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Default Extension="jpeg" ContentType="image/jpeg"/>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6 - Damages"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spacing w:before="194"/>
        <w:ind w:left="3972" w:right="0" w:firstLine="0"/>
        <w:jc w:val="left"/>
        <w:rPr>
          <w:rFonts w:ascii="Arial"/>
          <w:b/>
          <w:sz w:val="24"/>
        </w:rPr>
      </w:pPr>
      <w:r>
        <w:rPr>
          <w:rFonts w:ascii="Arial"/>
          <w:b/>
          <w:sz w:val="24"/>
        </w:rPr>
        <w:t>(a) - </w:t>
      </w:r>
      <w:r>
        <w:rPr>
          <w:rFonts w:ascii="Arial"/>
          <w:b/>
          <w:spacing w:val="-2"/>
          <w:sz w:val="24"/>
        </w:rPr>
        <w:t>General</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001</w:t>
      </w:r>
    </w:p>
    <w:p>
      <w:pPr>
        <w:pStyle w:val="BodyText"/>
        <w:spacing w:before="88"/>
        <w:rPr>
          <w:rFonts w:ascii="Arial"/>
          <w:b/>
        </w:rPr>
      </w:pPr>
    </w:p>
    <w:p>
      <w:pPr>
        <w:pStyle w:val="BodyText"/>
        <w:spacing w:before="1"/>
        <w:ind w:left="165"/>
        <w:jc w:val="both"/>
      </w:pPr>
      <w:r>
        <w:rPr/>
        <mc:AlternateContent>
          <mc:Choice Requires="wps">
            <w:drawing>
              <wp:anchor distT="0" distB="0" distL="0" distR="0" allowOverlap="1" layoutInCell="1" locked="0" behindDoc="1" simplePos="0" relativeHeight="479205376">
                <wp:simplePos x="0" y="0"/>
                <wp:positionH relativeFrom="page">
                  <wp:posOffset>2909633</wp:posOffset>
                </wp:positionH>
                <wp:positionV relativeFrom="paragraph">
                  <wp:posOffset>66482</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11104" from="229.104996pt,5.234863pt" to="232.440996pt,5.234863pt" stroked="true" strokeweight=".428pt" strokecolor="#005da1">
                <v:stroke dashstyle="solid"/>
                <w10:wrap type="none"/>
              </v:line>
            </w:pict>
          </mc:Fallback>
        </mc:AlternateContent>
      </w:r>
      <w:r>
        <w:rPr>
          <w:position w:val="-2"/>
        </w:rPr>
        <w:drawing>
          <wp:inline distT="0" distB="0" distL="0" distR="0">
            <wp:extent cx="107988" cy="107988"/>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0" w:id="2"/>
      <w:bookmarkEnd w:id="2"/>
      <w:r>
        <w:rPr>
          <w:rFonts w:ascii="Times New Roman"/>
          <w:spacing w:val="10"/>
        </w:rPr>
      </w:r>
      <w:bookmarkStart w:name="_bookmark1" w:id="3"/>
      <w:bookmarkEnd w:id="3"/>
      <w:r>
        <w:rPr>
          <w:rFonts w:ascii="Times New Roman"/>
          <w:spacing w:val="10"/>
        </w:rPr>
      </w:r>
      <w:r>
        <w:rPr/>
        <w:t>Subject</w:t>
      </w:r>
      <w:r>
        <w:rPr>
          <w:spacing w:val="5"/>
        </w:rPr>
        <w:t> </w:t>
      </w:r>
      <w:r>
        <w:rPr/>
        <w:t>to</w:t>
      </w:r>
      <w:r>
        <w:rPr>
          <w:spacing w:val="5"/>
        </w:rPr>
        <w:t> </w:t>
      </w:r>
      <w:r>
        <w:rPr/>
        <w:t>a</w:t>
      </w:r>
      <w:r>
        <w:rPr>
          <w:spacing w:val="5"/>
        </w:rPr>
        <w:t> </w:t>
      </w:r>
      <w:r>
        <w:rPr/>
        <w:t>number</w:t>
      </w:r>
      <w:r>
        <w:rPr>
          <w:spacing w:val="5"/>
        </w:rPr>
        <w:t> </w:t>
      </w:r>
      <w:r>
        <w:rPr/>
        <w:t>of</w:t>
      </w:r>
      <w:r>
        <w:rPr>
          <w:spacing w:val="5"/>
        </w:rPr>
        <w:t> </w:t>
      </w:r>
      <w:r>
        <w:rPr/>
        <w:t>controls,</w:t>
      </w:r>
      <w:r>
        <w:rPr>
          <w:spacing w:val="5"/>
        </w:rPr>
        <w:t> </w:t>
      </w:r>
      <w:r>
        <w:rPr>
          <w:color w:val="005DA1"/>
          <w:vertAlign w:val="superscript"/>
        </w:rPr>
        <w:t>1</w:t>
      </w:r>
      <w:r>
        <w:rPr>
          <w:color w:val="005DA1"/>
          <w:spacing w:val="5"/>
          <w:vertAlign w:val="baseline"/>
        </w:rPr>
        <w:t> </w:t>
      </w:r>
      <w:r>
        <w:rPr>
          <w:vertAlign w:val="baseline"/>
        </w:rPr>
        <w:t>the</w:t>
      </w:r>
      <w:r>
        <w:rPr>
          <w:spacing w:val="5"/>
          <w:vertAlign w:val="baseline"/>
        </w:rPr>
        <w:t> </w:t>
      </w:r>
      <w:r>
        <w:rPr>
          <w:vertAlign w:val="baseline"/>
        </w:rPr>
        <w:t>parties</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contract</w:t>
      </w:r>
      <w:r>
        <w:rPr>
          <w:spacing w:val="5"/>
          <w:vertAlign w:val="baseline"/>
        </w:rPr>
        <w:t> </w:t>
      </w:r>
      <w:r>
        <w:rPr>
          <w:vertAlign w:val="baseline"/>
        </w:rPr>
        <w:t>may</w:t>
      </w:r>
      <w:r>
        <w:rPr>
          <w:spacing w:val="5"/>
          <w:vertAlign w:val="baseline"/>
        </w:rPr>
        <w:t> </w:t>
      </w:r>
      <w:r>
        <w:rPr>
          <w:vertAlign w:val="baseline"/>
        </w:rPr>
        <w:t>themselves</w:t>
      </w:r>
      <w:r>
        <w:rPr>
          <w:spacing w:val="5"/>
          <w:vertAlign w:val="baseline"/>
        </w:rPr>
        <w:t> </w:t>
      </w:r>
      <w:r>
        <w:rPr>
          <w:vertAlign w:val="baseline"/>
        </w:rPr>
        <w:t>specify</w:t>
      </w:r>
      <w:r>
        <w:rPr>
          <w:spacing w:val="5"/>
          <w:vertAlign w:val="baseline"/>
        </w:rPr>
        <w:t> </w:t>
      </w:r>
      <w:r>
        <w:rPr>
          <w:vertAlign w:val="baseline"/>
        </w:rPr>
        <w:t>in</w:t>
      </w:r>
      <w:r>
        <w:rPr>
          <w:spacing w:val="5"/>
          <w:vertAlign w:val="baseline"/>
        </w:rPr>
        <w:t> </w:t>
      </w:r>
      <w:r>
        <w:rPr>
          <w:vertAlign w:val="baseline"/>
        </w:rPr>
        <w:t>their</w:t>
      </w:r>
      <w:r>
        <w:rPr>
          <w:spacing w:val="5"/>
          <w:vertAlign w:val="baseline"/>
        </w:rPr>
        <w:t> </w:t>
      </w:r>
      <w:r>
        <w:rPr>
          <w:vertAlign w:val="baseline"/>
        </w:rPr>
        <w:t>contract</w:t>
      </w:r>
    </w:p>
    <w:p>
      <w:pPr>
        <w:pStyle w:val="BodyText"/>
        <w:spacing w:line="235" w:lineRule="auto" w:before="118"/>
        <w:ind w:left="164" w:right="167"/>
        <w:jc w:val="both"/>
      </w:pPr>
      <w:r>
        <w:rPr/>
        <mc:AlternateContent>
          <mc:Choice Requires="wps">
            <w:drawing>
              <wp:anchor distT="0" distB="0" distL="0" distR="0" allowOverlap="1" layoutInCell="1" locked="0" behindDoc="0" simplePos="0" relativeHeight="15729152">
                <wp:simplePos x="0" y="0"/>
                <wp:positionH relativeFrom="page">
                  <wp:posOffset>5044617</wp:posOffset>
                </wp:positionH>
                <wp:positionV relativeFrom="paragraph">
                  <wp:posOffset>138885</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97.213989pt,10.93584pt" to="400.549989pt,10.9358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79206400">
                <wp:simplePos x="0" y="0"/>
                <wp:positionH relativeFrom="page">
                  <wp:posOffset>5256885</wp:posOffset>
                </wp:positionH>
                <wp:positionV relativeFrom="paragraph">
                  <wp:posOffset>424635</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10080" from="413.928009pt,33.435841pt" to="417.264009pt,33.43584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79206912">
                <wp:simplePos x="0" y="0"/>
                <wp:positionH relativeFrom="page">
                  <wp:posOffset>6596176</wp:posOffset>
                </wp:positionH>
                <wp:positionV relativeFrom="paragraph">
                  <wp:posOffset>424635</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9568" from="519.383972pt,33.435841pt" to="522.719972pt,33.43584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79207424">
                <wp:simplePos x="0" y="0"/>
                <wp:positionH relativeFrom="page">
                  <wp:posOffset>5783986</wp:posOffset>
                </wp:positionH>
                <wp:positionV relativeFrom="paragraph">
                  <wp:posOffset>710385</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9056" from="455.432007pt,55.935841pt" to="458.768007pt,55.93584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79207936">
                <wp:simplePos x="0" y="0"/>
                <wp:positionH relativeFrom="page">
                  <wp:posOffset>6596151</wp:posOffset>
                </wp:positionH>
                <wp:positionV relativeFrom="paragraph">
                  <wp:posOffset>710385</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8544" from="519.382019pt,55.935841pt" to="522.718019pt,55.93584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79208448">
                <wp:simplePos x="0" y="0"/>
                <wp:positionH relativeFrom="page">
                  <wp:posOffset>2913100</wp:posOffset>
                </wp:positionH>
                <wp:positionV relativeFrom="paragraph">
                  <wp:posOffset>853260</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8032" from="229.378006pt,67.185837pt" to="232.714006pt,67.185837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1890877</wp:posOffset>
                </wp:positionH>
                <wp:positionV relativeFrom="paragraph">
                  <wp:posOffset>1139010</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8.888pt,89.685837pt" to="152.224pt,89.685837pt" stroked="true" strokeweight=".428pt" strokecolor="#005da1">
                <v:stroke dashstyle="solid"/>
                <w10:wrap type="none"/>
              </v:line>
            </w:pict>
          </mc:Fallback>
        </mc:AlternateContent>
      </w:r>
      <w:r>
        <w:rPr/>
        <w:t>the remedy available to the innocent party following the other’s breach. </w:t>
      </w:r>
      <w:r>
        <w:rPr>
          <w:color w:val="005DA1"/>
          <w:vertAlign w:val="superscript"/>
        </w:rPr>
        <w:t>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In the absence of </w:t>
      </w:r>
      <w:r>
        <w:rPr>
          <w:vertAlign w:val="baseline"/>
        </w:rPr>
        <w:t>any </w:t>
      </w:r>
      <w:bookmarkStart w:name="_bookmark2" w:id="4"/>
      <w:bookmarkEnd w:id="4"/>
      <w:r>
        <w:rPr>
          <w:vertAlign w:val="baseline"/>
        </w:rPr>
        <w:t>such</w:t>
      </w:r>
      <w:r>
        <w:rPr>
          <w:spacing w:val="-1"/>
          <w:vertAlign w:val="baseline"/>
        </w:rPr>
        <w:t> </w:t>
      </w:r>
      <w:r>
        <w:rPr>
          <w:vertAlign w:val="baseline"/>
        </w:rPr>
        <w:t>“tailor-made”</w:t>
      </w:r>
      <w:r>
        <w:rPr>
          <w:spacing w:val="-1"/>
          <w:vertAlign w:val="baseline"/>
        </w:rPr>
        <w:t> </w:t>
      </w:r>
      <w:r>
        <w:rPr>
          <w:vertAlign w:val="baseline"/>
        </w:rPr>
        <w:t>clause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remedy,</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damages</w:t>
      </w:r>
      <w:r>
        <w:rPr>
          <w:spacing w:val="-1"/>
          <w:vertAlign w:val="baseline"/>
        </w:rPr>
        <w:t> </w:t>
      </w:r>
      <w:r>
        <w:rPr>
          <w:vertAlign w:val="baseline"/>
        </w:rPr>
        <w:t>fills</w:t>
      </w:r>
      <w:r>
        <w:rPr>
          <w:spacing w:val="-1"/>
          <w:vertAlign w:val="baseline"/>
        </w:rPr>
        <w:t> </w:t>
      </w:r>
      <w:r>
        <w:rPr>
          <w:vertAlign w:val="baseline"/>
        </w:rPr>
        <w:t>the</w:t>
      </w:r>
      <w:r>
        <w:rPr>
          <w:spacing w:val="-1"/>
          <w:vertAlign w:val="baseline"/>
        </w:rPr>
        <w:t> </w:t>
      </w:r>
      <w:r>
        <w:rPr>
          <w:vertAlign w:val="baseline"/>
        </w:rPr>
        <w:t>gap</w:t>
      </w:r>
      <w:r>
        <w:rPr>
          <w:spacing w:val="-1"/>
          <w:vertAlign w:val="baseline"/>
        </w:rPr>
        <w:t> </w:t>
      </w:r>
      <w:r>
        <w:rPr>
          <w:vertAlign w:val="baseline"/>
        </w:rPr>
        <w:t>with</w:t>
      </w:r>
      <w:r>
        <w:rPr>
          <w:spacing w:val="-1"/>
          <w:vertAlign w:val="baseline"/>
        </w:rPr>
        <w:t> </w:t>
      </w:r>
      <w:r>
        <w:rPr>
          <w:vertAlign w:val="baseline"/>
        </w:rPr>
        <w:t>“default”</w:t>
      </w:r>
      <w:r>
        <w:rPr>
          <w:spacing w:val="-1"/>
          <w:vertAlign w:val="baseline"/>
        </w:rPr>
        <w:t> </w:t>
      </w:r>
      <w:r>
        <w:rPr>
          <w:vertAlign w:val="baseline"/>
        </w:rPr>
        <w:t>provisions</w:t>
      </w:r>
      <w:r>
        <w:rPr>
          <w:spacing w:val="-1"/>
          <w:vertAlign w:val="baseline"/>
        </w:rPr>
        <w:t> </w:t>
      </w:r>
      <w:r>
        <w:rPr>
          <w:vertAlign w:val="baseline"/>
        </w:rPr>
        <w:t>on the assessment of money compensation which apply to all types of contract. </w:t>
      </w:r>
      <w:r>
        <w:rPr>
          <w:color w:val="005DA1"/>
          <w:vertAlign w:val="superscript"/>
        </w:rPr>
        <w:t>3</w:t>
      </w:r>
      <w:r>
        <w:rPr>
          <w:color w:val="005DA1"/>
          <w:vertAlign w:val="baseline"/>
        </w:rPr>
        <w:t> </w:t>
      </w:r>
      <w:r>
        <w:rPr>
          <w:vertAlign w:val="baseline"/>
        </w:rPr>
        <w:t>Until </w:t>
      </w:r>
      <w:r>
        <w:rPr>
          <w:rFonts w:ascii="Arial" w:hAnsi="Arial"/>
          <w:i/>
          <w:vertAlign w:val="baseline"/>
        </w:rPr>
        <w:t>Att-Gen v Blake</w:t>
      </w:r>
      <w:r>
        <w:rPr>
          <w:vertAlign w:val="baseline"/>
        </w:rPr>
        <w:t>, </w:t>
      </w:r>
      <w:r>
        <w:rPr>
          <w:color w:val="005DA1"/>
          <w:vertAlign w:val="superscript"/>
        </w:rPr>
        <w:t>4</w:t>
      </w:r>
      <w:r>
        <w:rPr>
          <w:color w:val="005DA1"/>
          <w:vertAlign w:val="baseline"/>
        </w:rPr>
        <w:t> </w:t>
      </w:r>
      <w:bookmarkStart w:name="_bookmark3" w:id="5"/>
      <w:bookmarkEnd w:id="5"/>
      <w:r>
        <w:rPr>
          <w:color w:val="005DA1"/>
          <w:w w:val="92"/>
          <w:vertAlign w:val="baseline"/>
        </w:rPr>
      </w:r>
      <w:r>
        <w:rPr>
          <w:vertAlign w:val="baseline"/>
        </w:rPr>
        <w:t>the traditional view was that damages for a breach of contract committed by the defendant are a </w:t>
      </w:r>
      <w:bookmarkStart w:name="_bookmark4" w:id="6"/>
      <w:bookmarkEnd w:id="6"/>
      <w:r>
        <w:rPr>
          <w:vertAlign w:val="baseline"/>
        </w:rPr>
        <w:t>compensation</w:t>
      </w:r>
      <w:r>
        <w:rPr>
          <w:vertAlign w:val="baseline"/>
        </w:rPr>
        <w:t> to the claimant for the damage, loss or injury he has suffered through </w:t>
      </w:r>
      <w:r>
        <w:rPr>
          <w:color w:val="005DA1"/>
          <w:vertAlign w:val="superscript"/>
        </w:rPr>
        <w:t>5</w:t>
      </w:r>
      <w:r>
        <w:rPr>
          <w:color w:val="005DA1"/>
          <w:vertAlign w:val="baseline"/>
        </w:rPr>
        <w:t> </w:t>
      </w:r>
      <w:r>
        <w:rPr>
          <w:vertAlign w:val="baseline"/>
        </w:rPr>
        <w:t>that breach, </w:t>
      </w:r>
      <w:r>
        <w:rPr>
          <w:color w:val="005DA1"/>
          <w:vertAlign w:val="superscript"/>
        </w:rPr>
        <w:t>6</w:t>
      </w:r>
      <w:r>
        <w:rPr>
          <w:color w:val="005DA1"/>
          <w:vertAlign w:val="baseline"/>
        </w:rPr>
        <w:t> </w:t>
      </w:r>
      <w:r>
        <w:rPr>
          <w:vertAlign w:val="baseline"/>
        </w:rPr>
        <w:t>and this remains the normal rule. </w:t>
      </w:r>
      <w:r>
        <w:rPr>
          <w:color w:val="005DA1"/>
          <w:vertAlign w:val="superscript"/>
        </w:rPr>
        <w:t>7</w:t>
      </w:r>
      <w:r>
        <w:rPr>
          <w:color w:val="005DA1"/>
          <w:vertAlign w:val="baseline"/>
        </w:rPr>
        <w:t> </w:t>
      </w:r>
      <w:r>
        <w:rPr>
          <w:vertAlign w:val="baseline"/>
        </w:rPr>
        <w:t>The claimant is, as far as money can do it and subject to the </w:t>
      </w:r>
      <w:bookmarkStart w:name="_bookmark5" w:id="7"/>
      <w:bookmarkEnd w:id="7"/>
      <w:r>
        <w:rPr>
          <w:vertAlign w:val="baseline"/>
        </w:rPr>
        <w:t>limitations</w:t>
      </w:r>
      <w:r>
        <w:rPr>
          <w:vertAlign w:val="baseline"/>
        </w:rPr>
        <w:t> referred to in the next paragraph, to be placed in the same position as if the contract had been performed. </w:t>
      </w:r>
      <w:r>
        <w:rPr>
          <w:color w:val="005DA1"/>
          <w:vertAlign w:val="superscript"/>
        </w:rPr>
        <w:t>8</w:t>
      </w:r>
      <w:r>
        <w:rPr>
          <w:color w:val="005DA1"/>
          <w:vertAlign w:val="baseline"/>
        </w:rPr>
        <w:t> </w:t>
      </w:r>
      <w:r>
        <w:rPr>
          <w:vertAlign w:val="baseline"/>
        </w:rPr>
        <w:t>This implies a “net loss” approach in which any gains made by the claimant as the </w:t>
      </w:r>
      <w:bookmarkStart w:name="_bookmark6" w:id="8"/>
      <w:bookmarkEnd w:id="8"/>
      <w:r>
        <w:rPr>
          <w:vertAlign w:val="baseline"/>
        </w:rPr>
        <w:t>result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breach</w:t>
      </w:r>
      <w:r>
        <w:rPr>
          <w:spacing w:val="9"/>
          <w:vertAlign w:val="baseline"/>
        </w:rPr>
        <w:t> </w:t>
      </w:r>
      <w:r>
        <w:rPr>
          <w:vertAlign w:val="baseline"/>
        </w:rPr>
        <w:t>(e.g.</w:t>
      </w:r>
      <w:r>
        <w:rPr>
          <w:spacing w:val="9"/>
          <w:vertAlign w:val="baseline"/>
        </w:rPr>
        <w:t> </w:t>
      </w:r>
      <w:r>
        <w:rPr>
          <w:vertAlign w:val="baseline"/>
        </w:rPr>
        <w:t>savings</w:t>
      </w:r>
      <w:r>
        <w:rPr>
          <w:spacing w:val="9"/>
          <w:vertAlign w:val="baseline"/>
        </w:rPr>
        <w:t> </w:t>
      </w:r>
      <w:r>
        <w:rPr>
          <w:vertAlign w:val="baseline"/>
        </w:rPr>
        <w:t>made</w:t>
      </w:r>
      <w:r>
        <w:rPr>
          <w:spacing w:val="9"/>
          <w:vertAlign w:val="baseline"/>
        </w:rPr>
        <w:t> </w:t>
      </w:r>
      <w:r>
        <w:rPr>
          <w:vertAlign w:val="baseline"/>
        </w:rPr>
        <w:t>because</w:t>
      </w:r>
      <w:r>
        <w:rPr>
          <w:spacing w:val="9"/>
          <w:vertAlign w:val="baseline"/>
        </w:rPr>
        <w:t> </w:t>
      </w:r>
      <w:r>
        <w:rPr>
          <w:vertAlign w:val="baseline"/>
        </w:rPr>
        <w:t>he</w:t>
      </w:r>
      <w:r>
        <w:rPr>
          <w:spacing w:val="9"/>
          <w:vertAlign w:val="baseline"/>
        </w:rPr>
        <w:t> </w:t>
      </w:r>
      <w:r>
        <w:rPr>
          <w:vertAlign w:val="baseline"/>
        </w:rPr>
        <w:t>is</w:t>
      </w:r>
      <w:r>
        <w:rPr>
          <w:spacing w:val="9"/>
          <w:vertAlign w:val="baseline"/>
        </w:rPr>
        <w:t> </w:t>
      </w:r>
      <w:r>
        <w:rPr>
          <w:vertAlign w:val="baseline"/>
        </w:rPr>
        <w:t>relieved</w:t>
      </w:r>
      <w:r>
        <w:rPr>
          <w:spacing w:val="9"/>
          <w:vertAlign w:val="baseline"/>
        </w:rPr>
        <w:t> </w:t>
      </w:r>
      <w:r>
        <w:rPr>
          <w:vertAlign w:val="baseline"/>
        </w:rPr>
        <w:t>from</w:t>
      </w:r>
      <w:r>
        <w:rPr>
          <w:spacing w:val="9"/>
          <w:vertAlign w:val="baseline"/>
        </w:rPr>
        <w:t> </w:t>
      </w:r>
      <w:r>
        <w:rPr>
          <w:vertAlign w:val="baseline"/>
        </w:rPr>
        <w:t>performing</w:t>
      </w:r>
      <w:r>
        <w:rPr>
          <w:spacing w:val="9"/>
          <w:vertAlign w:val="baseline"/>
        </w:rPr>
        <w:t> </w:t>
      </w:r>
      <w:r>
        <w:rPr>
          <w:vertAlign w:val="baseline"/>
        </w:rPr>
        <w:t>his</w:t>
      </w:r>
      <w:r>
        <w:rPr>
          <w:spacing w:val="9"/>
          <w:vertAlign w:val="baseline"/>
        </w:rPr>
        <w:t> </w:t>
      </w:r>
      <w:r>
        <w:rPr>
          <w:vertAlign w:val="baseline"/>
        </w:rPr>
        <w:t>side</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spacing w:val="-2"/>
          <w:vertAlign w:val="baseline"/>
        </w:rPr>
        <w:t>contract</w:t>
      </w:r>
    </w:p>
    <w:p>
      <w:pPr>
        <w:pStyle w:val="BodyText"/>
        <w:spacing w:line="235" w:lineRule="auto" w:before="117"/>
        <w:ind w:left="165" w:right="167"/>
        <w:jc w:val="both"/>
      </w:pPr>
      <w:r>
        <w:rPr/>
        <mc:AlternateContent>
          <mc:Choice Requires="wps">
            <w:drawing>
              <wp:anchor distT="0" distB="0" distL="0" distR="0" allowOverlap="1" layoutInCell="1" locked="0" behindDoc="0" simplePos="0" relativeHeight="15732736">
                <wp:simplePos x="0" y="0"/>
                <wp:positionH relativeFrom="page">
                  <wp:posOffset>3256000</wp:posOffset>
                </wp:positionH>
                <wp:positionV relativeFrom="paragraph">
                  <wp:posOffset>137978</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6.377991pt,10.864453pt" to="259.713991pt,10.864453pt" stroked="true" strokeweight=".428pt" strokecolor="#005da1">
                <v:stroke dashstyle="solid"/>
                <w10:wrap type="none"/>
              </v:line>
            </w:pict>
          </mc:Fallback>
        </mc:AlternateContent>
      </w:r>
      <w:r>
        <w:rPr/>
        <w:t>which has been terminated for breach </w:t>
      </w:r>
      <w:r>
        <w:rPr>
          <w:color w:val="005DA1"/>
          <w:vertAlign w:val="superscript"/>
        </w:rPr>
        <w:t>9</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vertAlign w:val="baseline"/>
        </w:rPr>
        <w:t>; savings in taxation; benefits obtained from </w:t>
      </w:r>
      <w:r>
        <w:rPr>
          <w:vertAlign w:val="baseline"/>
        </w:rPr>
        <w:t>partial </w:t>
      </w:r>
      <w:bookmarkStart w:name="_bookmark7" w:id="9"/>
      <w:bookmarkEnd w:id="9"/>
      <w:r>
        <w:rPr>
          <w:vertAlign w:val="baseline"/>
        </w:rPr>
        <w:t>performance;</w:t>
      </w:r>
      <w:r>
        <w:rPr>
          <w:vertAlign w:val="baseline"/>
        </w:rPr>
        <w:t> or the salvage value of something left in his hands) must be set off against his losses arising from the breach (after he has taken reasonable steps to minimise those losses). </w:t>
      </w:r>
      <w:r>
        <w:rPr>
          <w:color w:val="005DA1"/>
          <w:u w:val="single" w:color="005DA1"/>
          <w:vertAlign w:val="superscript"/>
        </w:rPr>
        <w:t>10</w:t>
      </w:r>
      <w:r>
        <w:rPr>
          <w:color w:val="005DA1"/>
          <w:vertAlign w:val="baseline"/>
        </w:rPr>
        <w:t> </w:t>
      </w:r>
      <w:r>
        <w:rPr>
          <w:vertAlign w:val="baseline"/>
        </w:rPr>
        <w:t>Where the </w:t>
      </w:r>
      <w:bookmarkStart w:name="_bookmark8" w:id="10"/>
      <w:bookmarkEnd w:id="10"/>
      <w:r>
        <w:rPr>
          <w:vertAlign w:val="baseline"/>
        </w:rPr>
        <w:t>claimant</w:t>
      </w:r>
      <w:r>
        <w:rPr>
          <w:spacing w:val="18"/>
          <w:vertAlign w:val="baseline"/>
        </w:rPr>
        <w:t> </w:t>
      </w:r>
      <w:r>
        <w:rPr>
          <w:vertAlign w:val="baseline"/>
        </w:rPr>
        <w:t>is</w:t>
      </w:r>
      <w:r>
        <w:rPr>
          <w:spacing w:val="18"/>
          <w:vertAlign w:val="baseline"/>
        </w:rPr>
        <w:t> </w:t>
      </w:r>
      <w:r>
        <w:rPr>
          <w:vertAlign w:val="baseline"/>
        </w:rPr>
        <w:t>to</w:t>
      </w:r>
      <w:r>
        <w:rPr>
          <w:spacing w:val="18"/>
          <w:vertAlign w:val="baseline"/>
        </w:rPr>
        <w:t> </w:t>
      </w:r>
      <w:r>
        <w:rPr>
          <w:vertAlign w:val="baseline"/>
        </w:rPr>
        <w:t>be</w:t>
      </w:r>
      <w:r>
        <w:rPr>
          <w:spacing w:val="18"/>
          <w:vertAlign w:val="baseline"/>
        </w:rPr>
        <w:t> </w:t>
      </w:r>
      <w:r>
        <w:rPr>
          <w:vertAlign w:val="baseline"/>
        </w:rPr>
        <w:t>compensated</w:t>
      </w:r>
      <w:r>
        <w:rPr>
          <w:spacing w:val="18"/>
          <w:vertAlign w:val="baseline"/>
        </w:rPr>
        <w:t> </w:t>
      </w:r>
      <w:r>
        <w:rPr>
          <w:vertAlign w:val="baseline"/>
        </w:rPr>
        <w:t>for</w:t>
      </w:r>
      <w:r>
        <w:rPr>
          <w:spacing w:val="18"/>
          <w:vertAlign w:val="baseline"/>
        </w:rPr>
        <w:t> </w:t>
      </w:r>
      <w:r>
        <w:rPr>
          <w:vertAlign w:val="baseline"/>
        </w:rPr>
        <w:t>loss</w:t>
      </w:r>
      <w:r>
        <w:rPr>
          <w:spacing w:val="18"/>
          <w:vertAlign w:val="baseline"/>
        </w:rPr>
        <w:t> </w:t>
      </w:r>
      <w:r>
        <w:rPr>
          <w:vertAlign w:val="baseline"/>
        </w:rPr>
        <w:t>of</w:t>
      </w:r>
      <w:r>
        <w:rPr>
          <w:spacing w:val="18"/>
          <w:vertAlign w:val="baseline"/>
        </w:rPr>
        <w:t> </w:t>
      </w:r>
      <w:r>
        <w:rPr>
          <w:vertAlign w:val="baseline"/>
        </w:rPr>
        <w:t>an</w:t>
      </w:r>
      <w:r>
        <w:rPr>
          <w:spacing w:val="18"/>
          <w:vertAlign w:val="baseline"/>
        </w:rPr>
        <w:t> </w:t>
      </w:r>
      <w:r>
        <w:rPr>
          <w:vertAlign w:val="baseline"/>
        </w:rPr>
        <w:t>income</w:t>
      </w:r>
      <w:r>
        <w:rPr>
          <w:spacing w:val="18"/>
          <w:vertAlign w:val="baseline"/>
        </w:rPr>
        <w:t> </w:t>
      </w:r>
      <w:r>
        <w:rPr>
          <w:vertAlign w:val="baseline"/>
        </w:rPr>
        <w:t>stream,</w:t>
      </w:r>
      <w:r>
        <w:rPr>
          <w:spacing w:val="18"/>
          <w:vertAlign w:val="baseline"/>
        </w:rPr>
        <w:t> </w:t>
      </w:r>
      <w:r>
        <w:rPr>
          <w:vertAlign w:val="baseline"/>
        </w:rPr>
        <w:t>a</w:t>
      </w:r>
      <w:r>
        <w:rPr>
          <w:spacing w:val="18"/>
          <w:vertAlign w:val="baseline"/>
        </w:rPr>
        <w:t> </w:t>
      </w:r>
      <w:r>
        <w:rPr>
          <w:vertAlign w:val="baseline"/>
        </w:rPr>
        <w:t>capital</w:t>
      </w:r>
      <w:r>
        <w:rPr>
          <w:spacing w:val="18"/>
          <w:vertAlign w:val="baseline"/>
        </w:rPr>
        <w:t> </w:t>
      </w:r>
      <w:r>
        <w:rPr>
          <w:vertAlign w:val="baseline"/>
        </w:rPr>
        <w:t>sum</w:t>
      </w:r>
      <w:r>
        <w:rPr>
          <w:spacing w:val="18"/>
          <w:vertAlign w:val="baseline"/>
        </w:rPr>
        <w:t> </w:t>
      </w:r>
      <w:r>
        <w:rPr>
          <w:vertAlign w:val="baseline"/>
        </w:rPr>
        <w:t>will</w:t>
      </w:r>
      <w:r>
        <w:rPr>
          <w:spacing w:val="18"/>
          <w:vertAlign w:val="baseline"/>
        </w:rPr>
        <w:t> </w:t>
      </w:r>
      <w:r>
        <w:rPr>
          <w:vertAlign w:val="baseline"/>
        </w:rPr>
        <w:t>be</w:t>
      </w:r>
      <w:r>
        <w:rPr>
          <w:spacing w:val="18"/>
          <w:vertAlign w:val="baseline"/>
        </w:rPr>
        <w:t> </w:t>
      </w:r>
      <w:r>
        <w:rPr>
          <w:vertAlign w:val="baseline"/>
        </w:rPr>
        <w:t>awarded</w:t>
      </w:r>
      <w:r>
        <w:rPr>
          <w:spacing w:val="18"/>
          <w:vertAlign w:val="baseline"/>
        </w:rPr>
        <w:t> </w:t>
      </w:r>
      <w:r>
        <w:rPr>
          <w:vertAlign w:val="baseline"/>
        </w:rPr>
        <w:t>with</w:t>
      </w:r>
      <w:r>
        <w:rPr>
          <w:spacing w:val="18"/>
          <w:vertAlign w:val="baseline"/>
        </w:rPr>
        <w:t> </w:t>
      </w:r>
      <w:r>
        <w:rPr>
          <w:spacing w:val="-7"/>
          <w:vertAlign w:val="baseline"/>
        </w:rPr>
        <w:t>an</w:t>
      </w:r>
    </w:p>
    <w:p>
      <w:pPr>
        <w:pStyle w:val="BodyText"/>
        <w:spacing w:line="235" w:lineRule="auto" w:before="118"/>
        <w:ind w:left="165" w:right="168"/>
        <w:jc w:val="both"/>
      </w:pPr>
      <w:bookmarkStart w:name="_bookmark9" w:id="11"/>
      <w:bookmarkEnd w:id="11"/>
      <w:r>
        <w:rPr/>
      </w:r>
      <w:r>
        <w:rPr/>
        <w:t>appropriate discount for accelerated receipt. </w:t>
      </w:r>
      <w:r>
        <w:rPr>
          <w:color w:val="005DA1"/>
          <w:u w:val="single" w:color="005DA1"/>
          <w:vertAlign w:val="superscript"/>
        </w:rPr>
        <w:t>11</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In assessing damages for breach of contract, </w:t>
      </w:r>
      <w:r>
        <w:rPr>
          <w:vertAlign w:val="baseline"/>
        </w:rPr>
        <w:t>the court can take account of only the defendant’s </w:t>
      </w:r>
      <w:r>
        <w:rPr>
          <w:color w:val="005DA1"/>
          <w:u w:val="single" w:color="005DA1"/>
          <w:vertAlign w:val="superscript"/>
        </w:rPr>
        <w:t>12</w:t>
      </w:r>
      <w:r>
        <w:rPr>
          <w:color w:val="005DA1"/>
          <w:vertAlign w:val="baseline"/>
        </w:rPr>
        <w:t> </w:t>
      </w:r>
      <w:r>
        <w:rPr>
          <w:vertAlign w:val="baseline"/>
        </w:rPr>
        <w:t>strict, legal obligations: it cannot take account of:</w:t>
      </w:r>
    </w:p>
    <w:p>
      <w:pPr>
        <w:pStyle w:val="BodyText"/>
      </w:pPr>
    </w:p>
    <w:p>
      <w:pPr>
        <w:pStyle w:val="BodyText"/>
        <w:spacing w:before="126"/>
      </w:pPr>
    </w:p>
    <w:p>
      <w:pPr>
        <w:pStyle w:val="BodyText"/>
        <w:spacing w:line="235" w:lineRule="auto"/>
        <w:ind w:left="1245"/>
      </w:pPr>
      <w:bookmarkStart w:name="_bookmark10" w:id="12"/>
      <w:bookmarkEnd w:id="12"/>
      <w:r>
        <w:rPr/>
      </w:r>
      <w:r>
        <w:rPr/>
        <w:t>“the expectations, however reasonable, of one contractor that the other will do </w:t>
      </w:r>
      <w:r>
        <w:rPr/>
        <w:t>something that he has assumed no legal obligation to do.” </w:t>
      </w:r>
      <w:r>
        <w:rPr>
          <w:color w:val="005DA1"/>
          <w:u w:val="single" w:color="005DA1"/>
          <w:vertAlign w:val="superscript"/>
        </w:rPr>
        <w:t>13</w:t>
      </w:r>
    </w:p>
    <w:p>
      <w:pPr>
        <w:pStyle w:val="BodyText"/>
        <w:spacing w:before="116"/>
      </w:pPr>
    </w:p>
    <w:p>
      <w:pPr>
        <w:pStyle w:val="BodyText"/>
        <w:spacing w:line="235" w:lineRule="auto"/>
        <w:ind w:left="164" w:right="167"/>
        <w:jc w:val="both"/>
      </w:pPr>
      <w:r>
        <w:rPr/>
        <w:t>Thus, if the contract-breaker had a choice of alternative methods of performance, damages will </w:t>
      </w:r>
      <w:r>
        <w:rPr/>
        <w:t>be </w:t>
      </w:r>
      <w:bookmarkStart w:name="_bookmark11" w:id="13"/>
      <w:bookmarkEnd w:id="13"/>
      <w:r>
        <w:rPr/>
        <w:t>assessed</w:t>
      </w:r>
      <w:r>
        <w:rPr/>
        <w:t> on the basis of his minimum legal obligation, viz on the alternative which would have been </w:t>
      </w:r>
      <w:bookmarkStart w:name="_bookmark12" w:id="14"/>
      <w:bookmarkEnd w:id="14"/>
      <w:r>
        <w:rPr/>
        <w:t>least</w:t>
      </w:r>
      <w:r>
        <w:rPr/>
        <w:t> onerous, or most beneficial to him. </w:t>
      </w:r>
      <w:r>
        <w:rPr>
          <w:color w:val="005DA1"/>
          <w:u w:val="single" w:color="005DA1"/>
          <w:vertAlign w:val="superscript"/>
        </w:rPr>
        <w:t>14</w:t>
      </w:r>
      <w:r>
        <w:rPr>
          <w:color w:val="005DA1"/>
          <w:vertAlign w:val="baseline"/>
        </w:rPr>
        <w:t> </w:t>
      </w:r>
      <w:r>
        <w:rPr>
          <w:vertAlign w:val="baseline"/>
        </w:rPr>
        <w:t>If the claimant cannot establish an actual loss, he is</w:t>
      </w:r>
      <w:r>
        <w:rPr>
          <w:spacing w:val="40"/>
          <w:vertAlign w:val="baseline"/>
        </w:rPr>
        <w:t> </w:t>
      </w:r>
      <w:r>
        <w:rPr>
          <w:vertAlign w:val="baseline"/>
        </w:rPr>
        <w:t>entitled only to nominal damages. </w:t>
      </w:r>
      <w:r>
        <w:rPr>
          <w:color w:val="005DA1"/>
          <w:u w:val="single" w:color="005DA1"/>
          <w:vertAlign w:val="superscript"/>
        </w:rPr>
        <w:t>15</w:t>
      </w:r>
      <w:r>
        <w:rPr>
          <w:color w:val="005DA1"/>
          <w:vertAlign w:val="baseline"/>
        </w:rPr>
        <w:t> </w:t>
      </w:r>
      <w:r>
        <w:rPr>
          <w:vertAlign w:val="baseline"/>
        </w:rPr>
        <w:t>Even where the claimant can prove his loss, damages are hardly </w:t>
      </w:r>
      <w:bookmarkStart w:name="_bookmark13" w:id="15"/>
      <w:bookmarkEnd w:id="15"/>
      <w:r>
        <w:rPr>
          <w:vertAlign w:val="baseline"/>
        </w:rPr>
        <w:t>ever</w:t>
      </w:r>
      <w:r>
        <w:rPr>
          <w:vertAlign w:val="baseline"/>
        </w:rPr>
        <w:t> a full recompense, since “it must be remembered that the rules as to damages can in the nature of things only be approximately just”. </w:t>
      </w:r>
      <w:r>
        <w:rPr>
          <w:color w:val="005DA1"/>
          <w:u w:val="single" w:color="005DA1"/>
          <w:vertAlign w:val="superscript"/>
        </w:rPr>
        <w:t>16</w:t>
      </w:r>
    </w:p>
    <w:p>
      <w:pPr>
        <w:pStyle w:val="BodyText"/>
      </w:pPr>
    </w:p>
    <w:p>
      <w:pPr>
        <w:pStyle w:val="BodyText"/>
        <w:spacing w:before="37"/>
      </w:pPr>
    </w:p>
    <w:p>
      <w:pPr>
        <w:spacing w:before="0"/>
        <w:ind w:left="165" w:right="0" w:firstLine="0"/>
        <w:jc w:val="both"/>
        <w:rPr>
          <w:rFonts w:ascii="Arial"/>
          <w:b/>
          <w:sz w:val="18"/>
        </w:rPr>
      </w:pPr>
      <w:r>
        <w:rPr>
          <w:rFonts w:ascii="Arial"/>
          <w:b/>
          <w:sz w:val="18"/>
        </w:rPr>
        <w:t>General limitations on </w:t>
      </w:r>
      <w:r>
        <w:rPr>
          <w:rFonts w:ascii="Arial"/>
          <w:b/>
          <w:spacing w:val="-2"/>
          <w:sz w:val="18"/>
        </w:rPr>
        <w:t>recovery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002</w:t>
      </w:r>
    </w:p>
    <w:p>
      <w:pPr>
        <w:pStyle w:val="BodyText"/>
        <w:spacing w:line="235" w:lineRule="auto" w:before="203"/>
        <w:ind w:left="165" w:right="167"/>
        <w:jc w:val="both"/>
      </w:pPr>
      <w:r>
        <w:rPr/>
        <w:t>The law on damages places various conditions and restrictions on the principle that the claimant </w:t>
      </w:r>
      <w:r>
        <w:rPr/>
        <w:t>is generally</w:t>
      </w:r>
      <w:r>
        <w:rPr>
          <w:spacing w:val="-1"/>
        </w:rPr>
        <w:t> </w:t>
      </w:r>
      <w:r>
        <w:rPr/>
        <w:t>entitled</w:t>
      </w:r>
      <w:r>
        <w:rPr>
          <w:spacing w:val="-1"/>
        </w:rPr>
        <w:t> </w:t>
      </w:r>
      <w:r>
        <w:rPr/>
        <w:t>to</w:t>
      </w:r>
      <w:r>
        <w:rPr>
          <w:spacing w:val="-1"/>
        </w:rPr>
        <w:t> </w:t>
      </w:r>
      <w:r>
        <w:rPr/>
        <w:t>recover</w:t>
      </w:r>
      <w:r>
        <w:rPr>
          <w:spacing w:val="-1"/>
        </w:rPr>
        <w:t> </w:t>
      </w:r>
      <w:r>
        <w:rPr/>
        <w:t>all</w:t>
      </w:r>
      <w:r>
        <w:rPr>
          <w:spacing w:val="-1"/>
        </w:rPr>
        <w:t> </w:t>
      </w:r>
      <w:r>
        <w:rPr/>
        <w:t>he</w:t>
      </w:r>
      <w:r>
        <w:rPr>
          <w:spacing w:val="-1"/>
        </w:rPr>
        <w:t> </w:t>
      </w:r>
      <w:r>
        <w:rPr/>
        <w:t>has</w:t>
      </w:r>
      <w:r>
        <w:rPr>
          <w:spacing w:val="-1"/>
        </w:rPr>
        <w:t> </w:t>
      </w:r>
      <w:r>
        <w:rPr/>
        <w:t>lost</w:t>
      </w:r>
      <w:r>
        <w:rPr>
          <w:spacing w:val="-1"/>
        </w:rPr>
        <w:t> </w:t>
      </w: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breach.</w:t>
      </w:r>
      <w:r>
        <w:rPr>
          <w:spacing w:val="-1"/>
        </w:rPr>
        <w:t> </w:t>
      </w:r>
      <w:r>
        <w:rPr/>
        <w:t>Traditionally</w:t>
      </w:r>
      <w:r>
        <w:rPr>
          <w:spacing w:val="-1"/>
        </w:rPr>
        <w:t> </w:t>
      </w:r>
      <w:r>
        <w:rPr/>
        <w:t>the</w:t>
      </w:r>
      <w:r>
        <w:rPr>
          <w:spacing w:val="-1"/>
        </w:rPr>
        <w:t> </w:t>
      </w:r>
      <w:r>
        <w:rPr/>
        <w:t>principal</w:t>
      </w:r>
      <w:r>
        <w:rPr>
          <w:spacing w:val="-1"/>
        </w:rPr>
        <w:t> </w:t>
      </w:r>
      <w:r>
        <w:rPr/>
        <w:t>general limitations</w:t>
      </w:r>
      <w:r>
        <w:rPr>
          <w:spacing w:val="17"/>
        </w:rPr>
        <w:t> </w:t>
      </w:r>
      <w:r>
        <w:rPr/>
        <w:t>on</w:t>
      </w:r>
      <w:r>
        <w:rPr>
          <w:spacing w:val="17"/>
        </w:rPr>
        <w:t> </w:t>
      </w:r>
      <w:r>
        <w:rPr/>
        <w:t>recovery</w:t>
      </w:r>
      <w:r>
        <w:rPr>
          <w:spacing w:val="17"/>
        </w:rPr>
        <w:t> </w:t>
      </w:r>
      <w:r>
        <w:rPr/>
        <w:t>have</w:t>
      </w:r>
      <w:r>
        <w:rPr>
          <w:spacing w:val="17"/>
        </w:rPr>
        <w:t> </w:t>
      </w:r>
      <w:r>
        <w:rPr/>
        <w:t>been</w:t>
      </w:r>
      <w:r>
        <w:rPr>
          <w:spacing w:val="17"/>
        </w:rPr>
        <w:t> </w:t>
      </w:r>
      <w:r>
        <w:rPr/>
        <w:t>(1)</w:t>
      </w:r>
      <w:r>
        <w:rPr>
          <w:spacing w:val="17"/>
        </w:rPr>
        <w:t> </w:t>
      </w:r>
      <w:r>
        <w:rPr/>
        <w:t>the</w:t>
      </w:r>
      <w:r>
        <w:rPr>
          <w:spacing w:val="17"/>
        </w:rPr>
        <w:t> </w:t>
      </w:r>
      <w:r>
        <w:rPr/>
        <w:t>“mitigation”</w:t>
      </w:r>
      <w:r>
        <w:rPr>
          <w:spacing w:val="17"/>
        </w:rPr>
        <w:t> </w:t>
      </w:r>
      <w:r>
        <w:rPr/>
        <w:t>rule,</w:t>
      </w:r>
      <w:r>
        <w:rPr>
          <w:spacing w:val="17"/>
        </w:rPr>
        <w:t> </w:t>
      </w:r>
      <w:r>
        <w:rPr/>
        <w:t>that</w:t>
      </w:r>
      <w:r>
        <w:rPr>
          <w:spacing w:val="17"/>
        </w:rPr>
        <w:t> </w:t>
      </w:r>
      <w:r>
        <w:rPr/>
        <w:t>a</w:t>
      </w:r>
      <w:r>
        <w:rPr>
          <w:spacing w:val="17"/>
        </w:rPr>
        <w:t> </w:t>
      </w:r>
      <w:r>
        <w:rPr/>
        <w:t>claimant</w:t>
      </w:r>
      <w:r>
        <w:rPr>
          <w:spacing w:val="17"/>
        </w:rPr>
        <w:t> </w:t>
      </w:r>
      <w:r>
        <w:rPr/>
        <w:t>cannot</w:t>
      </w:r>
      <w:r>
        <w:rPr>
          <w:spacing w:val="17"/>
        </w:rPr>
        <w:t> </w:t>
      </w:r>
      <w:r>
        <w:rPr/>
        <w:t>recover</w:t>
      </w:r>
      <w:r>
        <w:rPr>
          <w:spacing w:val="17"/>
        </w:rPr>
        <w:t> </w:t>
      </w:r>
      <w:r>
        <w:rPr/>
        <w:t>for</w:t>
      </w:r>
      <w:r>
        <w:rPr>
          <w:spacing w:val="17"/>
        </w:rPr>
        <w:t> </w:t>
      </w:r>
      <w:r>
        <w:rPr>
          <w:spacing w:val="-2"/>
        </w:rPr>
        <w:t>losses</w:t>
      </w:r>
    </w:p>
    <w:p>
      <w:pPr>
        <w:pStyle w:val="BodyText"/>
        <w:spacing w:after="0" w:line="235" w:lineRule="auto"/>
        <w:jc w:val="both"/>
        <w:sectPr>
          <w:headerReference w:type="default" r:id="rId5"/>
          <w:type w:val="continuous"/>
          <w:pgSz w:w="11900" w:h="16840"/>
          <w:pgMar w:header="971" w:footer="0" w:top="1300" w:bottom="280" w:left="1275" w:right="1275"/>
          <w:pgNumType w:start="1"/>
        </w:sectPr>
      </w:pPr>
    </w:p>
    <w:p>
      <w:pPr>
        <w:pStyle w:val="BodyText"/>
        <w:spacing w:line="235" w:lineRule="auto" w:before="210"/>
        <w:ind w:left="164" w:right="167"/>
        <w:jc w:val="both"/>
      </w:pPr>
      <w:bookmarkStart w:name="_bookmark14" w:id="16"/>
      <w:bookmarkEnd w:id="16"/>
      <w:r>
        <w:rPr/>
      </w:r>
      <w:r>
        <w:rPr/>
        <w:t>which he could have avoided by taking reasonable steps </w:t>
      </w:r>
      <w:r>
        <w:rPr>
          <w:color w:val="005DA1"/>
          <w:u w:val="single" w:color="005DA1"/>
          <w:vertAlign w:val="superscript"/>
        </w:rPr>
        <w:t>17</w:t>
      </w:r>
      <w:r>
        <w:rPr>
          <w:vertAlign w:val="baseline"/>
        </w:rPr>
        <w:t>; and (2) the “remoteness” rule, that the </w:t>
      </w:r>
      <w:bookmarkStart w:name="_bookmark15" w:id="17"/>
      <w:bookmarkEnd w:id="17"/>
      <w:r>
        <w:rPr>
          <w:vertAlign w:val="baseline"/>
        </w:rPr>
        <w:t>claimant</w:t>
      </w:r>
      <w:r>
        <w:rPr>
          <w:vertAlign w:val="baseline"/>
        </w:rPr>
        <w:t> will recover for losses only if they arose “in the usual course of things” or were losses that </w:t>
      </w:r>
      <w:bookmarkStart w:name="_bookmark16" w:id="18"/>
      <w:bookmarkEnd w:id="18"/>
      <w:r>
        <w:rPr>
          <w:vertAlign w:val="baseline"/>
        </w:rPr>
        <w:t>were</w:t>
      </w:r>
      <w:r>
        <w:rPr>
          <w:vertAlign w:val="baseline"/>
        </w:rPr>
        <w:t> contemplated by the parties at the time the contract was made. </w:t>
      </w:r>
      <w:r>
        <w:rPr>
          <w:color w:val="005DA1"/>
          <w:u w:val="single" w:color="005DA1"/>
          <w:vertAlign w:val="superscript"/>
        </w:rPr>
        <w:t>18</w:t>
      </w:r>
      <w:r>
        <w:rPr>
          <w:color w:val="005DA1"/>
          <w:vertAlign w:val="baseline"/>
        </w:rPr>
        <w:t> </w:t>
      </w:r>
      <w:r>
        <w:rPr>
          <w:vertAlign w:val="baseline"/>
        </w:rPr>
        <w:t>Following the recent </w:t>
      </w:r>
      <w:r>
        <w:rPr>
          <w:vertAlign w:val="baseline"/>
        </w:rPr>
        <w:t>decision of the House of Lords in </w:t>
      </w:r>
      <w:r>
        <w:rPr>
          <w:rFonts w:ascii="Arial" w:hAnsi="Arial"/>
          <w:i/>
          <w:vertAlign w:val="baseline"/>
        </w:rPr>
        <w:t>Transfield Shipping Inc v Mercator Shipping Inc (The Achilleas) </w:t>
      </w:r>
      <w:r>
        <w:rPr>
          <w:color w:val="005DA1"/>
          <w:u w:val="single" w:color="005DA1"/>
          <w:vertAlign w:val="superscript"/>
        </w:rPr>
        <w:t>19</w:t>
      </w:r>
      <w:r>
        <w:rPr>
          <w:color w:val="005DA1"/>
          <w:vertAlign w:val="baseline"/>
        </w:rPr>
        <w:t> </w:t>
      </w:r>
      <w:r>
        <w:rPr>
          <w:vertAlign w:val="baseline"/>
        </w:rPr>
        <w:t>it now seems that there is a third limitation of general application: (3) a claimant will not recover even losses </w:t>
      </w:r>
      <w:bookmarkStart w:name="_bookmark17" w:id="19"/>
      <w:bookmarkEnd w:id="19"/>
      <w:r>
        <w:rPr>
          <w:vertAlign w:val="baseline"/>
        </w:rPr>
        <w:t>that</w:t>
      </w:r>
      <w:r>
        <w:rPr>
          <w:vertAlign w:val="baseline"/>
        </w:rPr>
        <w:t> were not unlikely to occur in the usual course of things if the defendant could not reasonably be regarded as assuming responsibility for losses of the particular kind suffered. </w:t>
      </w:r>
      <w:r>
        <w:rPr>
          <w:color w:val="005DA1"/>
          <w:u w:val="single" w:color="005DA1"/>
          <w:vertAlign w:val="superscript"/>
        </w:rPr>
        <w:t>20</w:t>
      </w:r>
      <w:r>
        <w:rPr>
          <w:color w:val="005DA1"/>
          <w:vertAlign w:val="baseline"/>
        </w:rPr>
        <w:t> </w:t>
      </w:r>
      <w:r>
        <w:rPr>
          <w:vertAlign w:val="baseline"/>
        </w:rPr>
        <w:t>Whether this is an </w:t>
      </w:r>
      <w:bookmarkStart w:name="_bookmark18" w:id="20"/>
      <w:bookmarkEnd w:id="20"/>
      <w:r>
        <w:rPr>
          <w:vertAlign w:val="baseline"/>
        </w:rPr>
        <w:t>aspect</w:t>
      </w:r>
      <w:r>
        <w:rPr>
          <w:vertAlign w:val="baseline"/>
        </w:rPr>
        <w:t> of the remoteness rule or is a separate limitation is not wholly clear but the two topics are considered together. </w:t>
      </w:r>
      <w:r>
        <w:rPr>
          <w:color w:val="005DA1"/>
          <w:u w:val="single" w:color="005DA1"/>
          <w:vertAlign w:val="superscript"/>
        </w:rPr>
        <w:t>21</w:t>
      </w:r>
    </w:p>
    <w:p>
      <w:pPr>
        <w:pStyle w:val="BodyText"/>
      </w:pPr>
    </w:p>
    <w:p>
      <w:pPr>
        <w:pStyle w:val="BodyText"/>
        <w:spacing w:before="35"/>
      </w:pPr>
    </w:p>
    <w:p>
      <w:pPr>
        <w:spacing w:before="0"/>
        <w:ind w:left="165" w:right="0" w:firstLine="0"/>
        <w:jc w:val="left"/>
        <w:rPr>
          <w:rFonts w:ascii="Arial"/>
          <w:b/>
          <w:sz w:val="18"/>
        </w:rPr>
      </w:pPr>
      <w:bookmarkStart w:name="_bookmark19" w:id="21"/>
      <w:bookmarkEnd w:id="21"/>
      <w:r>
        <w:rPr/>
      </w:r>
      <w:r>
        <w:rPr>
          <w:rFonts w:ascii="Arial"/>
          <w:b/>
          <w:sz w:val="18"/>
        </w:rPr>
        <w:t>Particular restrictions</w:t>
      </w:r>
      <w:r>
        <w:rPr>
          <w:rFonts w:ascii="Arial"/>
          <w:b/>
          <w:spacing w:val="-1"/>
          <w:sz w:val="18"/>
        </w:rPr>
        <w:t> </w:t>
      </w:r>
      <w:r>
        <w:rPr>
          <w:rFonts w:ascii="Arial"/>
          <w:b/>
          <w:color w:val="005DA1"/>
          <w:spacing w:val="-5"/>
          <w:sz w:val="18"/>
          <w:u w:val="single" w:color="005DA1"/>
          <w:vertAlign w:val="superscript"/>
        </w:rPr>
        <w:t>22</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003</w:t>
      </w:r>
    </w:p>
    <w:p>
      <w:pPr>
        <w:pStyle w:val="BodyText"/>
        <w:spacing w:line="235" w:lineRule="auto" w:before="202"/>
        <w:ind w:left="165" w:right="167"/>
        <w:jc w:val="both"/>
      </w:pPr>
      <w:bookmarkStart w:name="_bookmark20" w:id="22"/>
      <w:bookmarkEnd w:id="22"/>
      <w:r>
        <w:rPr/>
      </w:r>
      <w:r>
        <w:rPr/>
        <w:t>There are also a few restrictions on recovery of particular kinds of loss. Two of these have now </w:t>
      </w:r>
      <w:r>
        <w:rPr/>
        <w:t>been removed. The rule in </w:t>
      </w:r>
      <w:r>
        <w:rPr>
          <w:rFonts w:ascii="Arial"/>
          <w:i/>
        </w:rPr>
        <w:t>Bain v Fothergill</w:t>
      </w:r>
      <w:r>
        <w:rPr/>
        <w:t>, </w:t>
      </w:r>
      <w:r>
        <w:rPr>
          <w:color w:val="005DA1"/>
          <w:u w:val="single" w:color="005DA1"/>
          <w:vertAlign w:val="superscript"/>
        </w:rPr>
        <w:t>23</w:t>
      </w:r>
      <w:r>
        <w:rPr>
          <w:color w:val="005DA1"/>
          <w:vertAlign w:val="baseline"/>
        </w:rPr>
        <w:t> </w:t>
      </w:r>
      <w:r>
        <w:rPr>
          <w:vertAlign w:val="baseline"/>
        </w:rPr>
        <w:t>which limited the liability of the vendor of land who was </w:t>
      </w:r>
      <w:bookmarkStart w:name="_bookmark21" w:id="23"/>
      <w:bookmarkEnd w:id="23"/>
      <w:r>
        <w:rPr>
          <w:vertAlign w:val="baseline"/>
        </w:rPr>
        <w:t>unable</w:t>
      </w:r>
      <w:r>
        <w:rPr>
          <w:vertAlign w:val="baseline"/>
        </w:rPr>
        <w:t> to complete the contract because of a defect in his title, was abolished by the Law of Property (Miscellaneous Provisions) Act 1989. </w:t>
      </w:r>
      <w:r>
        <w:rPr>
          <w:color w:val="005DA1"/>
          <w:u w:val="single" w:color="005DA1"/>
          <w:vertAlign w:val="superscript"/>
        </w:rPr>
        <w:t>24</w:t>
      </w:r>
      <w:r>
        <w:rPr>
          <w:color w:val="005DA1"/>
          <w:vertAlign w:val="baseline"/>
        </w:rPr>
        <w:t> </w:t>
      </w:r>
      <w:r>
        <w:rPr>
          <w:vertAlign w:val="baseline"/>
        </w:rPr>
        <w:t>The rule that if a breach consists in the late payment of </w:t>
      </w:r>
      <w:bookmarkStart w:name="_bookmark22" w:id="24"/>
      <w:bookmarkEnd w:id="24"/>
      <w:r>
        <w:rPr>
          <w:vertAlign w:val="baseline"/>
        </w:rPr>
        <w:t>money,</w:t>
      </w:r>
      <w:r>
        <w:rPr>
          <w:vertAlign w:val="baseline"/>
        </w:rPr>
        <w:t> interest is not recoverable unless the contract expressly or impliedly provides for it, nor </w:t>
      </w:r>
      <w:bookmarkStart w:name="_bookmark23" w:id="25"/>
      <w:bookmarkEnd w:id="25"/>
      <w:r>
        <w:rPr>
          <w:vertAlign w:val="baseline"/>
        </w:rPr>
        <w:t>damages</w:t>
      </w:r>
      <w:r>
        <w:rPr>
          <w:vertAlign w:val="baseline"/>
        </w:rPr>
        <w:t> for loss of interest,</w:t>
      </w:r>
      <w:r>
        <w:rPr>
          <w:spacing w:val="-1"/>
          <w:vertAlign w:val="baseline"/>
        </w:rPr>
        <w:t> </w:t>
      </w:r>
      <w:r>
        <w:rPr>
          <w:color w:val="005DA1"/>
          <w:u w:val="single" w:color="005DA1"/>
          <w:vertAlign w:val="superscript"/>
        </w:rPr>
        <w:t>25</w:t>
      </w:r>
      <w:r>
        <w:rPr>
          <w:color w:val="005DA1"/>
          <w:vertAlign w:val="baseline"/>
        </w:rPr>
        <w:t> </w:t>
      </w:r>
      <w:r>
        <w:rPr>
          <w:vertAlign w:val="baseline"/>
        </w:rPr>
        <w:t>has been reviewed in the House of Lords; damages for loss of interest should be recoverable whenever the loss has been pleaded or proved.</w:t>
      </w:r>
      <w:r>
        <w:rPr>
          <w:spacing w:val="-1"/>
          <w:vertAlign w:val="baseline"/>
        </w:rPr>
        <w:t> </w:t>
      </w:r>
      <w:r>
        <w:rPr>
          <w:color w:val="005DA1"/>
          <w:u w:val="single" w:color="005DA1"/>
          <w:vertAlign w:val="superscript"/>
        </w:rPr>
        <w:t>26</w:t>
      </w:r>
      <w:r>
        <w:rPr>
          <w:color w:val="005DA1"/>
          <w:vertAlign w:val="baseline"/>
        </w:rPr>
        <w:t> </w:t>
      </w:r>
      <w:r>
        <w:rPr>
          <w:vertAlign w:val="baseline"/>
        </w:rPr>
        <w:t>However, a number of other restrictions remain. First, recovery of damages for distress, disappointment or loss of amenity caused </w:t>
      </w:r>
      <w:bookmarkStart w:name="_bookmark24" w:id="26"/>
      <w:bookmarkEnd w:id="26"/>
      <w:r>
        <w:rPr>
          <w:vertAlign w:val="baseline"/>
        </w:rPr>
        <w:t>by</w:t>
      </w:r>
      <w:r>
        <w:rPr>
          <w:vertAlign w:val="baseline"/>
        </w:rPr>
        <w:t> a breach of contract still seems to be limited to cases in which the object of the contract was to prevent distress or to provide enjoyment or the promised amenity. </w:t>
      </w:r>
      <w:r>
        <w:rPr>
          <w:color w:val="005DA1"/>
          <w:u w:val="single" w:color="005DA1"/>
          <w:vertAlign w:val="superscript"/>
        </w:rPr>
        <w:t>27</w:t>
      </w:r>
      <w:r>
        <w:rPr>
          <w:color w:val="005DA1"/>
          <w:vertAlign w:val="baseline"/>
        </w:rPr>
        <w:t> </w:t>
      </w:r>
      <w:r>
        <w:rPr>
          <w:vertAlign w:val="baseline"/>
        </w:rPr>
        <w:t>Secondly, a valuer who negligently</w:t>
      </w:r>
      <w:r>
        <w:rPr>
          <w:spacing w:val="-2"/>
          <w:vertAlign w:val="baseline"/>
        </w:rPr>
        <w:t> </w:t>
      </w:r>
      <w:r>
        <w:rPr>
          <w:vertAlign w:val="baseline"/>
        </w:rPr>
        <w:t>overvalues</w:t>
      </w:r>
      <w:r>
        <w:rPr>
          <w:spacing w:val="-2"/>
          <w:vertAlign w:val="baseline"/>
        </w:rPr>
        <w:t> </w:t>
      </w:r>
      <w:r>
        <w:rPr>
          <w:vertAlign w:val="baseline"/>
        </w:rPr>
        <w:t>a</w:t>
      </w:r>
      <w:r>
        <w:rPr>
          <w:spacing w:val="-2"/>
          <w:vertAlign w:val="baseline"/>
        </w:rPr>
        <w:t> </w:t>
      </w:r>
      <w:r>
        <w:rPr>
          <w:vertAlign w:val="baseline"/>
        </w:rPr>
        <w:t>property</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fraud)</w:t>
      </w:r>
      <w:r>
        <w:rPr>
          <w:spacing w:val="-2"/>
          <w:vertAlign w:val="baseline"/>
        </w:rPr>
        <w:t> </w:t>
      </w:r>
      <w:r>
        <w:rPr>
          <w:vertAlign w:val="baseline"/>
        </w:rPr>
        <w:t>liable</w:t>
      </w:r>
      <w:r>
        <w:rPr>
          <w:spacing w:val="-2"/>
          <w:vertAlign w:val="baseline"/>
        </w:rPr>
        <w:t> </w:t>
      </w:r>
      <w:r>
        <w:rPr>
          <w:vertAlign w:val="baseline"/>
        </w:rPr>
        <w:t>only</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difference</w:t>
      </w:r>
      <w:r>
        <w:rPr>
          <w:spacing w:val="-2"/>
          <w:vertAlign w:val="baseline"/>
        </w:rPr>
        <w:t> </w:t>
      </w:r>
      <w:r>
        <w:rPr>
          <w:vertAlign w:val="baseline"/>
        </w:rPr>
        <w:t>between</w:t>
      </w:r>
      <w:r>
        <w:rPr>
          <w:spacing w:val="-2"/>
          <w:vertAlign w:val="baseline"/>
        </w:rPr>
        <w:t> </w:t>
      </w:r>
      <w:r>
        <w:rPr>
          <w:vertAlign w:val="baseline"/>
        </w:rPr>
        <w:t>the overvaluation and what would have been the proper valuation at the time of the loan; he is not liable </w:t>
      </w:r>
      <w:bookmarkStart w:name="_bookmark25" w:id="27"/>
      <w:bookmarkEnd w:id="27"/>
      <w:r>
        <w:rPr>
          <w:vertAlign w:val="baseline"/>
        </w:rPr>
        <w:t>for</w:t>
      </w:r>
      <w:r>
        <w:rPr>
          <w:vertAlign w:val="baseline"/>
        </w:rPr>
        <w:t> further loss called by the property falling in value even if the borrower for whom the valuation was prepared would not have accepted it as security at all had he been given a correct valuation. </w:t>
      </w:r>
      <w:r>
        <w:rPr>
          <w:color w:val="005DA1"/>
          <w:u w:val="single" w:color="005DA1"/>
          <w:vertAlign w:val="superscript"/>
        </w:rPr>
        <w:t>28</w:t>
      </w:r>
      <w:r>
        <w:rPr>
          <w:color w:val="005DA1"/>
          <w:vertAlign w:val="baseline"/>
        </w:rPr>
        <w:t> </w:t>
      </w:r>
      <w:r>
        <w:rPr>
          <w:vertAlign w:val="baseline"/>
        </w:rPr>
        <w:t>(It is </w:t>
      </w:r>
      <w:bookmarkStart w:name="_bookmark26" w:id="28"/>
      <w:bookmarkEnd w:id="28"/>
      <w:r>
        <w:rPr>
          <w:vertAlign w:val="baseline"/>
        </w:rPr>
        <w:t>possible</w:t>
      </w:r>
      <w:r>
        <w:rPr>
          <w:vertAlign w:val="baseline"/>
        </w:rPr>
        <w:t> that both the second and third restrictions are examples of the defendant not being liable for a loss for which it was unreasonable to think he was assuming responsibility. </w:t>
      </w:r>
      <w:r>
        <w:rPr>
          <w:color w:val="005DA1"/>
          <w:u w:val="single" w:color="005DA1"/>
          <w:vertAlign w:val="superscript"/>
        </w:rPr>
        <w:t>29</w:t>
      </w:r>
      <w:r>
        <w:rPr>
          <w:vertAlign w:val="baseline"/>
        </w:rPr>
        <w:t>) And thirdly, a party </w:t>
      </w:r>
      <w:bookmarkStart w:name="_bookmark27" w:id="29"/>
      <w:bookmarkEnd w:id="29"/>
      <w:r>
        <w:rPr>
          <w:vertAlign w:val="baseline"/>
        </w:rPr>
        <w:t>who</w:t>
      </w:r>
      <w:r>
        <w:rPr>
          <w:vertAlign w:val="baseline"/>
        </w:rPr>
        <w:t> in an action against the defendant has incurred legal costs for which it has not been awarded costs when those could have been awarded may not be able to recover them. </w:t>
      </w:r>
      <w:r>
        <w:rPr>
          <w:color w:val="005DA1"/>
          <w:u w:val="single" w:color="005DA1"/>
          <w:vertAlign w:val="superscript"/>
        </w:rPr>
        <w:t>30</w:t>
      </w:r>
    </w:p>
    <w:p>
      <w:pPr>
        <w:pStyle w:val="BodyText"/>
      </w:pPr>
    </w:p>
    <w:p>
      <w:pPr>
        <w:pStyle w:val="BodyText"/>
        <w:spacing w:before="32"/>
      </w:pPr>
    </w:p>
    <w:p>
      <w:pPr>
        <w:spacing w:before="0"/>
        <w:ind w:left="165" w:right="0" w:firstLine="0"/>
        <w:jc w:val="left"/>
        <w:rPr>
          <w:rFonts w:ascii="Arial"/>
          <w:b/>
          <w:sz w:val="18"/>
        </w:rPr>
      </w:pPr>
      <w:r>
        <w:rPr>
          <w:rFonts w:ascii="Arial"/>
          <w:b/>
          <w:sz w:val="18"/>
        </w:rPr>
        <w:t>Contract excluding or varying right to </w:t>
      </w:r>
      <w:r>
        <w:rPr>
          <w:rFonts w:ascii="Arial"/>
          <w:b/>
          <w:spacing w:val="-2"/>
          <w:sz w:val="18"/>
        </w:rPr>
        <w:t>damages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004</w:t>
      </w:r>
    </w:p>
    <w:p>
      <w:pPr>
        <w:pStyle w:val="BodyText"/>
        <w:spacing w:line="235" w:lineRule="auto" w:before="202"/>
        <w:ind w:left="165" w:right="167"/>
        <w:jc w:val="both"/>
      </w:pPr>
      <w:r>
        <w:rPr/>
        <w:t>At common law, the right of a contracting party to claim damages for a breach of the contract may be </w:t>
      </w:r>
      <w:bookmarkStart w:name="_bookmark28" w:id="30"/>
      <w:bookmarkEnd w:id="30"/>
      <w:r>
        <w:rPr/>
        <w:t>excluded</w:t>
      </w:r>
      <w:r>
        <w:rPr/>
        <w:t> or limited by the express terms of the contract, provided that the language employed to </w:t>
      </w:r>
      <w:r>
        <w:rPr/>
        <w:t>do so is plain. </w:t>
      </w:r>
      <w:r>
        <w:rPr>
          <w:color w:val="005DA1"/>
          <w:u w:val="single" w:color="005DA1"/>
          <w:vertAlign w:val="superscript"/>
        </w:rPr>
        <w:t>31</w:t>
      </w:r>
      <w:r>
        <w:rPr>
          <w:color w:val="005DA1"/>
          <w:vertAlign w:val="baseline"/>
        </w:rPr>
        <w:t> </w:t>
      </w:r>
      <w:r>
        <w:rPr>
          <w:vertAlign w:val="baseline"/>
        </w:rPr>
        <w:t>But the Unfair Contract Terms Act 1977, the Unfair Terms in Consumer Contracts </w:t>
      </w:r>
      <w:bookmarkStart w:name="_bookmark29" w:id="31"/>
      <w:bookmarkEnd w:id="31"/>
      <w:r>
        <w:rPr>
          <w:vertAlign w:val="baseline"/>
        </w:rPr>
        <w:t>Regulations</w:t>
      </w:r>
      <w:r>
        <w:rPr>
          <w:vertAlign w:val="baseline"/>
        </w:rPr>
        <w:t> 1999 and the Consumer Rights Act 2015 impose some statutory restrictions on attempts </w:t>
      </w:r>
      <w:bookmarkStart w:name="_bookmark30" w:id="32"/>
      <w:bookmarkEnd w:id="32"/>
      <w:r>
        <w:rPr>
          <w:vertAlign w:val="baseline"/>
        </w:rPr>
        <w:t>to</w:t>
      </w:r>
      <w:r>
        <w:rPr>
          <w:vertAlign w:val="baseline"/>
        </w:rPr>
        <w:t> exclude or limit liability for breach of contract. </w:t>
      </w:r>
      <w:r>
        <w:rPr>
          <w:color w:val="005DA1"/>
          <w:u w:val="single" w:color="005DA1"/>
          <w:vertAlign w:val="superscript"/>
        </w:rPr>
        <w:t>32</w:t>
      </w:r>
      <w:r>
        <w:rPr>
          <w:color w:val="005DA1"/>
          <w:vertAlign w:val="baseline"/>
        </w:rPr>
        <w:t> </w:t>
      </w:r>
      <w:r>
        <w:rPr>
          <w:vertAlign w:val="baseline"/>
        </w:rPr>
        <w:t>The parties may also agree that a particular sum </w:t>
      </w:r>
      <w:bookmarkStart w:name="_bookmark31" w:id="33"/>
      <w:bookmarkEnd w:id="33"/>
      <w:r>
        <w:rPr>
          <w:vertAlign w:val="baseline"/>
        </w:rPr>
        <w:t>shall</w:t>
      </w:r>
      <w:r>
        <w:rPr>
          <w:vertAlign w:val="baseline"/>
        </w:rPr>
        <w:t> be payable in the event of breach, </w:t>
      </w:r>
      <w:r>
        <w:rPr>
          <w:color w:val="005DA1"/>
          <w:u w:val="single" w:color="005DA1"/>
          <w:vertAlign w:val="superscript"/>
        </w:rPr>
        <w:t>33</w:t>
      </w:r>
      <w:r>
        <w:rPr>
          <w:color w:val="005DA1"/>
          <w:vertAlign w:val="baseline"/>
        </w:rPr>
        <w:t> </w:t>
      </w:r>
      <w:r>
        <w:rPr>
          <w:vertAlign w:val="baseline"/>
        </w:rPr>
        <w:t>or agree on other forms of contractual provision designed</w:t>
      </w:r>
      <w:r>
        <w:rPr>
          <w:spacing w:val="40"/>
          <w:vertAlign w:val="baseline"/>
        </w:rPr>
        <w:t> </w:t>
      </w:r>
      <w:bookmarkStart w:name="_bookmark32" w:id="34"/>
      <w:bookmarkEnd w:id="34"/>
      <w:r>
        <w:rPr>
          <w:vertAlign w:val="baseline"/>
        </w:rPr>
        <w:t>to</w:t>
      </w:r>
      <w:r>
        <w:rPr>
          <w:spacing w:val="7"/>
          <w:vertAlign w:val="baseline"/>
        </w:rPr>
        <w:t> </w:t>
      </w:r>
      <w:r>
        <w:rPr>
          <w:vertAlign w:val="baseline"/>
        </w:rPr>
        <w:t>operate</w:t>
      </w:r>
      <w:r>
        <w:rPr>
          <w:spacing w:val="7"/>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event</w:t>
      </w:r>
      <w:r>
        <w:rPr>
          <w:spacing w:val="8"/>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breach.</w:t>
      </w:r>
      <w:r>
        <w:rPr>
          <w:spacing w:val="8"/>
          <w:vertAlign w:val="baseline"/>
        </w:rPr>
        <w:t> </w:t>
      </w:r>
      <w:r>
        <w:rPr>
          <w:color w:val="005DA1"/>
          <w:u w:val="single" w:color="005DA1"/>
          <w:vertAlign w:val="superscript"/>
        </w:rPr>
        <w:t>34</w:t>
      </w:r>
      <w:r>
        <w:rPr>
          <w:color w:val="005DA1"/>
          <w:spacing w:val="7"/>
          <w:vertAlign w:val="baseline"/>
        </w:rPr>
        <w:t> </w:t>
      </w:r>
      <w:r>
        <w:rPr>
          <w:vertAlign w:val="baseline"/>
        </w:rPr>
        <w:t>The</w:t>
      </w:r>
      <w:r>
        <w:rPr>
          <w:spacing w:val="8"/>
          <w:vertAlign w:val="baseline"/>
        </w:rPr>
        <w:t> </w:t>
      </w:r>
      <w:r>
        <w:rPr>
          <w:vertAlign w:val="baseline"/>
        </w:rPr>
        <w:t>courts</w:t>
      </w:r>
      <w:r>
        <w:rPr>
          <w:spacing w:val="7"/>
          <w:vertAlign w:val="baseline"/>
        </w:rPr>
        <w:t> </w:t>
      </w:r>
      <w:r>
        <w:rPr>
          <w:vertAlign w:val="baseline"/>
        </w:rPr>
        <w:t>will</w:t>
      </w:r>
      <w:r>
        <w:rPr>
          <w:spacing w:val="8"/>
          <w:vertAlign w:val="baseline"/>
        </w:rPr>
        <w:t> </w:t>
      </w:r>
      <w:r>
        <w:rPr>
          <w:vertAlign w:val="baseline"/>
        </w:rPr>
        <w:t>enforce</w:t>
      </w:r>
      <w:r>
        <w:rPr>
          <w:spacing w:val="7"/>
          <w:vertAlign w:val="baseline"/>
        </w:rPr>
        <w:t> </w:t>
      </w:r>
      <w:r>
        <w:rPr>
          <w:vertAlign w:val="baseline"/>
        </w:rPr>
        <w:t>these</w:t>
      </w:r>
      <w:r>
        <w:rPr>
          <w:spacing w:val="7"/>
          <w:vertAlign w:val="baseline"/>
        </w:rPr>
        <w:t> </w:t>
      </w:r>
      <w:r>
        <w:rPr>
          <w:vertAlign w:val="baseline"/>
        </w:rPr>
        <w:t>subject</w:t>
      </w:r>
      <w:r>
        <w:rPr>
          <w:spacing w:val="8"/>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law</w:t>
      </w:r>
      <w:r>
        <w:rPr>
          <w:spacing w:val="7"/>
          <w:vertAlign w:val="baseline"/>
        </w:rPr>
        <w:t> </w:t>
      </w:r>
      <w:r>
        <w:rPr>
          <w:vertAlign w:val="baseline"/>
        </w:rPr>
        <w:t>as</w:t>
      </w:r>
      <w:r>
        <w:rPr>
          <w:spacing w:val="8"/>
          <w:vertAlign w:val="baseline"/>
        </w:rPr>
        <w:t> </w:t>
      </w:r>
      <w:r>
        <w:rPr>
          <w:vertAlign w:val="baseline"/>
        </w:rPr>
        <w:t>to</w:t>
      </w:r>
      <w:r>
        <w:rPr>
          <w:spacing w:val="7"/>
          <w:vertAlign w:val="baseline"/>
        </w:rPr>
        <w:t> </w:t>
      </w:r>
      <w:r>
        <w:rPr>
          <w:spacing w:val="-2"/>
          <w:vertAlign w:val="baseline"/>
        </w:rPr>
        <w:t>penalties</w:t>
      </w:r>
    </w:p>
    <w:p>
      <w:pPr>
        <w:pStyle w:val="BodyText"/>
        <w:spacing w:line="224" w:lineRule="exact"/>
        <w:ind w:left="165"/>
        <w:jc w:val="both"/>
      </w:pPr>
      <w:r>
        <w:rPr>
          <w:color w:val="005DA1"/>
          <w:u w:val="single" w:color="005DA1"/>
          <w:vertAlign w:val="superscript"/>
        </w:rPr>
        <w:t>35</w:t>
      </w:r>
      <w:r>
        <w:rPr>
          <w:color w:val="005DA1"/>
          <w:spacing w:val="-1"/>
          <w:vertAlign w:val="baseline"/>
        </w:rPr>
        <w:t> </w:t>
      </w:r>
      <w:r>
        <w:rPr>
          <w:vertAlign w:val="baseline"/>
        </w:rPr>
        <w:t>and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principles of</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such as</w:t>
      </w:r>
      <w:r>
        <w:rPr>
          <w:spacing w:val="-1"/>
          <w:vertAlign w:val="baseline"/>
        </w:rPr>
        <w:t> </w:t>
      </w:r>
      <w:r>
        <w:rPr>
          <w:vertAlign w:val="baseline"/>
        </w:rPr>
        <w:t>illegality.</w:t>
      </w:r>
      <w:r>
        <w:rPr>
          <w:spacing w:val="-2"/>
          <w:vertAlign w:val="baseline"/>
        </w:rPr>
        <w:t> </w:t>
      </w:r>
      <w:r>
        <w:rPr>
          <w:color w:val="005DA1"/>
          <w:spacing w:val="-5"/>
          <w:u w:val="single" w:color="005DA1"/>
          <w:vertAlign w:val="superscript"/>
        </w:rPr>
        <w:t>36</w:t>
      </w:r>
    </w:p>
    <w:p>
      <w:pPr>
        <w:pStyle w:val="BodyText"/>
      </w:pPr>
    </w:p>
    <w:p>
      <w:pPr>
        <w:pStyle w:val="BodyText"/>
        <w:spacing w:before="37"/>
      </w:pPr>
    </w:p>
    <w:p>
      <w:pPr>
        <w:spacing w:before="1"/>
        <w:ind w:left="165" w:right="0" w:firstLine="0"/>
        <w:jc w:val="left"/>
        <w:rPr>
          <w:rFonts w:ascii="Arial"/>
          <w:b/>
          <w:sz w:val="18"/>
        </w:rPr>
      </w:pPr>
      <w:r>
        <w:rPr>
          <w:rFonts w:ascii="Arial"/>
          <w:b/>
          <w:sz w:val="18"/>
        </w:rPr>
        <w:t>Damages in lieu of specific performance or </w:t>
      </w:r>
      <w:r>
        <w:rPr>
          <w:rFonts w:ascii="Arial"/>
          <w:b/>
          <w:spacing w:val="-2"/>
          <w:sz w:val="18"/>
        </w:rPr>
        <w:t>injunction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005</w:t>
      </w:r>
    </w:p>
    <w:p>
      <w:pPr>
        <w:pStyle w:val="BodyText"/>
        <w:spacing w:line="235" w:lineRule="auto" w:before="203"/>
        <w:ind w:left="165" w:right="167"/>
        <w:jc w:val="both"/>
      </w:pPr>
      <w:bookmarkStart w:name="_bookmark33" w:id="35"/>
      <w:bookmarkEnd w:id="35"/>
      <w:r>
        <w:rPr/>
      </w:r>
      <w:r>
        <w:rPr/>
        <w:t>The court is empowered by what is still often referred to as Lord Cairns’ Act </w:t>
      </w:r>
      <w:r>
        <w:rPr>
          <w:color w:val="005DA1"/>
          <w:u w:val="single" w:color="005DA1"/>
          <w:vertAlign w:val="superscript"/>
        </w:rPr>
        <w:t>37</w:t>
      </w:r>
      <w:r>
        <w:rPr>
          <w:color w:val="005DA1"/>
          <w:vertAlign w:val="baseline"/>
        </w:rPr>
        <w:t> </w:t>
      </w:r>
      <w:r>
        <w:rPr>
          <w:vertAlign w:val="baseline"/>
        </w:rPr>
        <w:t>to award damages in </w:t>
      </w:r>
      <w:bookmarkStart w:name="_bookmark34" w:id="36"/>
      <w:bookmarkEnd w:id="36"/>
      <w:r>
        <w:rPr>
          <w:vertAlign w:val="baseline"/>
        </w:rPr>
        <w:t>addition</w:t>
      </w:r>
      <w:r>
        <w:rPr>
          <w:vertAlign w:val="baseline"/>
        </w:rPr>
        <w:t> to, or in substitution for an order for specific performance or an injunction: the assessment </w:t>
      </w:r>
      <w:r>
        <w:rPr>
          <w:vertAlign w:val="baseline"/>
        </w:rPr>
        <w:t>of damages under this power is examined in the next chapter. </w:t>
      </w:r>
      <w:r>
        <w:rPr>
          <w:color w:val="005DA1"/>
          <w:u w:val="single" w:color="005DA1"/>
          <w:vertAlign w:val="superscript"/>
        </w:rPr>
        <w:t>38</w:t>
      </w:r>
      <w:r>
        <w:rPr>
          <w:color w:val="005DA1"/>
          <w:vertAlign w:val="baseline"/>
        </w:rPr>
        <w:t> </w:t>
      </w:r>
      <w:r>
        <w:rPr>
          <w:vertAlign w:val="baseline"/>
        </w:rPr>
        <w:t>There was at one time some support</w:t>
      </w:r>
      <w:r>
        <w:rPr>
          <w:spacing w:val="40"/>
          <w:vertAlign w:val="baseline"/>
        </w:rPr>
        <w:t> </w:t>
      </w:r>
      <w:bookmarkStart w:name="_bookmark35" w:id="37"/>
      <w:bookmarkEnd w:id="37"/>
      <w:r>
        <w:rPr>
          <w:vertAlign w:val="baseline"/>
        </w:rPr>
        <w:t>for</w:t>
      </w:r>
      <w:r>
        <w:rPr>
          <w:vertAlign w:val="baseline"/>
        </w:rPr>
        <w:t> the view that damages under Lord Cairns’ Act might be assessed differently to damages at </w:t>
      </w:r>
      <w:bookmarkStart w:name="_bookmark36" w:id="38"/>
      <w:bookmarkEnd w:id="38"/>
      <w:r>
        <w:rPr>
          <w:vertAlign w:val="baseline"/>
        </w:rPr>
        <w:t>common</w:t>
      </w:r>
      <w:r>
        <w:rPr>
          <w:vertAlign w:val="baseline"/>
        </w:rPr>
        <w:t> law: they might be assessed at a different date </w:t>
      </w:r>
      <w:r>
        <w:rPr>
          <w:color w:val="005DA1"/>
          <w:u w:val="single" w:color="005DA1"/>
          <w:vertAlign w:val="superscript"/>
        </w:rPr>
        <w:t>39</w:t>
      </w:r>
      <w:r>
        <w:rPr>
          <w:color w:val="005DA1"/>
          <w:vertAlign w:val="baseline"/>
        </w:rPr>
        <w:t> </w:t>
      </w:r>
      <w:r>
        <w:rPr>
          <w:vertAlign w:val="baseline"/>
        </w:rPr>
        <w:t>and the damages might include a share of the profit the defendant had made by breaking the contract. </w:t>
      </w:r>
      <w:r>
        <w:rPr>
          <w:color w:val="005DA1"/>
          <w:u w:val="single" w:color="005DA1"/>
          <w:vertAlign w:val="superscript"/>
        </w:rPr>
        <w:t>40</w:t>
      </w:r>
      <w:r>
        <w:rPr>
          <w:color w:val="005DA1"/>
          <w:vertAlign w:val="baseline"/>
        </w:rPr>
        <w:t> </w:t>
      </w:r>
      <w:r>
        <w:rPr>
          <w:vertAlign w:val="baseline"/>
        </w:rPr>
        <w:t>However, in </w:t>
      </w:r>
      <w:r>
        <w:rPr>
          <w:rFonts w:ascii="Arial" w:hAnsi="Arial"/>
          <w:i/>
          <w:vertAlign w:val="baseline"/>
        </w:rPr>
        <w:t>Johnson v Agnew </w:t>
      </w:r>
      <w:r>
        <w:rPr>
          <w:color w:val="005DA1"/>
          <w:u w:val="single" w:color="005DA1"/>
          <w:vertAlign w:val="superscript"/>
        </w:rPr>
        <w:t>41</w:t>
      </w:r>
      <w:r>
        <w:rPr>
          <w:color w:val="005DA1"/>
          <w:vertAlign w:val="baseline"/>
        </w:rPr>
        <w:t> </w:t>
      </w:r>
      <w:r>
        <w:rPr>
          <w:vertAlign w:val="baseline"/>
        </w:rPr>
        <w:t>the House</w:t>
      </w:r>
      <w:r>
        <w:rPr>
          <w:spacing w:val="11"/>
          <w:vertAlign w:val="baseline"/>
        </w:rPr>
        <w:t> </w:t>
      </w:r>
      <w:r>
        <w:rPr>
          <w:vertAlign w:val="baseline"/>
        </w:rPr>
        <w:t>of</w:t>
      </w:r>
      <w:r>
        <w:rPr>
          <w:spacing w:val="11"/>
          <w:vertAlign w:val="baseline"/>
        </w:rPr>
        <w:t> </w:t>
      </w:r>
      <w:r>
        <w:rPr>
          <w:vertAlign w:val="baseline"/>
        </w:rPr>
        <w:t>Lords</w:t>
      </w:r>
      <w:r>
        <w:rPr>
          <w:spacing w:val="11"/>
          <w:vertAlign w:val="baseline"/>
        </w:rPr>
        <w:t> </w:t>
      </w:r>
      <w:r>
        <w:rPr>
          <w:vertAlign w:val="baseline"/>
        </w:rPr>
        <w:t>said</w:t>
      </w:r>
      <w:r>
        <w:rPr>
          <w:spacing w:val="11"/>
          <w:vertAlign w:val="baseline"/>
        </w:rPr>
        <w:t> </w:t>
      </w:r>
      <w:r>
        <w:rPr>
          <w:vertAlign w:val="baseline"/>
        </w:rPr>
        <w:t>that</w:t>
      </w:r>
      <w:r>
        <w:rPr>
          <w:spacing w:val="11"/>
          <w:vertAlign w:val="baseline"/>
        </w:rPr>
        <w:t> </w:t>
      </w:r>
      <w:r>
        <w:rPr>
          <w:vertAlign w:val="baseline"/>
        </w:rPr>
        <w:t>there</w:t>
      </w:r>
      <w:r>
        <w:rPr>
          <w:spacing w:val="11"/>
          <w:vertAlign w:val="baseline"/>
        </w:rPr>
        <w:t> </w:t>
      </w:r>
      <w:r>
        <w:rPr>
          <w:vertAlign w:val="baseline"/>
        </w:rPr>
        <w:t>should</w:t>
      </w:r>
      <w:r>
        <w:rPr>
          <w:spacing w:val="11"/>
          <w:vertAlign w:val="baseline"/>
        </w:rPr>
        <w:t> </w:t>
      </w:r>
      <w:r>
        <w:rPr>
          <w:vertAlign w:val="baseline"/>
        </w:rPr>
        <w:t>be</w:t>
      </w:r>
      <w:r>
        <w:rPr>
          <w:spacing w:val="11"/>
          <w:vertAlign w:val="baseline"/>
        </w:rPr>
        <w:t> </w:t>
      </w:r>
      <w:r>
        <w:rPr>
          <w:vertAlign w:val="baseline"/>
        </w:rPr>
        <w:t>no</w:t>
      </w:r>
      <w:r>
        <w:rPr>
          <w:spacing w:val="11"/>
          <w:vertAlign w:val="baseline"/>
        </w:rPr>
        <w:t> </w:t>
      </w:r>
      <w:r>
        <w:rPr>
          <w:vertAlign w:val="baseline"/>
        </w:rPr>
        <w:t>difference</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assessment</w:t>
      </w:r>
      <w:r>
        <w:rPr>
          <w:spacing w:val="11"/>
          <w:vertAlign w:val="baseline"/>
        </w:rPr>
        <w:t> </w:t>
      </w:r>
      <w:r>
        <w:rPr>
          <w:vertAlign w:val="baseline"/>
        </w:rPr>
        <w:t>of</w:t>
      </w:r>
      <w:r>
        <w:rPr>
          <w:spacing w:val="11"/>
          <w:vertAlign w:val="baseline"/>
        </w:rPr>
        <w:t> </w:t>
      </w:r>
      <w:r>
        <w:rPr>
          <w:vertAlign w:val="baseline"/>
        </w:rPr>
        <w:t>damages</w:t>
      </w:r>
      <w:r>
        <w:rPr>
          <w:spacing w:val="11"/>
          <w:vertAlign w:val="baseline"/>
        </w:rPr>
        <w:t> </w:t>
      </w:r>
      <w:r>
        <w:rPr>
          <w:vertAlign w:val="baseline"/>
        </w:rPr>
        <w:t>under</w:t>
      </w:r>
      <w:r>
        <w:rPr>
          <w:spacing w:val="11"/>
          <w:vertAlign w:val="baseline"/>
        </w:rPr>
        <w:t> </w:t>
      </w:r>
      <w:r>
        <w:rPr>
          <w:vertAlign w:val="baseline"/>
        </w:rPr>
        <w:t>the</w:t>
      </w:r>
      <w:r>
        <w:rPr>
          <w:spacing w:val="11"/>
          <w:vertAlign w:val="baseline"/>
        </w:rPr>
        <w:t> </w:t>
      </w:r>
      <w:r>
        <w:rPr>
          <w:spacing w:val="-5"/>
          <w:vertAlign w:val="baseline"/>
        </w:rPr>
        <w:t>Act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37" w:id="39"/>
      <w:bookmarkEnd w:id="39"/>
      <w:r>
        <w:rPr/>
      </w:r>
      <w:r>
        <w:rPr/>
        <w:t>and damages at common law. It is now clear that on occasion damages at common law may </w:t>
      </w:r>
      <w:r>
        <w:rPr/>
        <w:t>include</w:t>
      </w:r>
      <w:r>
        <w:rPr>
          <w:spacing w:val="40"/>
        </w:rPr>
        <w:t> </w:t>
      </w:r>
      <w:r>
        <w:rPr/>
        <w:t>a share of the profit made by the defendant. </w:t>
      </w:r>
      <w:r>
        <w:rPr>
          <w:color w:val="005DA1"/>
          <w:u w:val="single" w:color="005DA1"/>
          <w:vertAlign w:val="superscript"/>
        </w:rPr>
        <w:t>42</w:t>
      </w:r>
    </w:p>
    <w:p>
      <w:pPr>
        <w:pStyle w:val="BodyText"/>
      </w:pPr>
    </w:p>
    <w:p>
      <w:pPr>
        <w:pStyle w:val="BodyText"/>
        <w:spacing w:before="38"/>
      </w:pPr>
    </w:p>
    <w:p>
      <w:pPr>
        <w:spacing w:before="0"/>
        <w:ind w:left="165" w:right="0" w:firstLine="0"/>
        <w:jc w:val="both"/>
        <w:rPr>
          <w:rFonts w:ascii="Arial"/>
          <w:b/>
          <w:sz w:val="18"/>
        </w:rPr>
      </w:pPr>
      <w:r>
        <w:rPr>
          <w:rFonts w:ascii="Arial"/>
          <w:b/>
          <w:sz w:val="18"/>
        </w:rPr>
        <w:t>Concurrent </w:t>
      </w:r>
      <w:r>
        <w:rPr>
          <w:rFonts w:ascii="Arial"/>
          <w:b/>
          <w:spacing w:val="-2"/>
          <w:sz w:val="18"/>
        </w:rPr>
        <w:t>liability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006</w:t>
      </w:r>
    </w:p>
    <w:p>
      <w:pPr>
        <w:pStyle w:val="BodyText"/>
        <w:spacing w:line="235" w:lineRule="auto" w:before="203"/>
        <w:ind w:left="164" w:right="167"/>
        <w:jc w:val="both"/>
      </w:pPr>
      <w:bookmarkStart w:name="_bookmark38" w:id="40"/>
      <w:bookmarkEnd w:id="40"/>
      <w:r>
        <w:rPr/>
      </w:r>
      <w:bookmarkStart w:name="_bookmark39" w:id="41"/>
      <w:bookmarkEnd w:id="41"/>
      <w:r>
        <w:rPr/>
      </w:r>
      <w:r>
        <w:rPr/>
        <w:t>If the claimant is able to sue in tort (i.e. there is concurrent liability, </w:t>
      </w:r>
      <w:r>
        <w:rPr>
          <w:color w:val="005DA1"/>
          <w:u w:val="single" w:color="005DA1"/>
          <w:vertAlign w:val="superscript"/>
        </w:rPr>
        <w:t>43</w:t>
      </w:r>
      <w:r>
        <w:rPr>
          <w:color w:val="005DA1"/>
          <w:vertAlign w:val="baseline"/>
        </w:rPr>
        <w:t> </w:t>
      </w:r>
      <w:r>
        <w:rPr>
          <w:vertAlign w:val="baseline"/>
        </w:rPr>
        <w:t>which has been considerably </w:t>
      </w:r>
      <w:bookmarkStart w:name="_bookmark40" w:id="42"/>
      <w:bookmarkEnd w:id="42"/>
      <w:r>
        <w:rPr>
          <w:vertAlign w:val="baseline"/>
        </w:rPr>
        <w:t>widened</w:t>
      </w:r>
      <w:r>
        <w:rPr>
          <w:vertAlign w:val="baseline"/>
        </w:rPr>
        <w:t> by </w:t>
      </w:r>
      <w:r>
        <w:rPr>
          <w:rFonts w:ascii="Arial"/>
          <w:i/>
          <w:vertAlign w:val="baseline"/>
        </w:rPr>
        <w:t>Henderson v Merrett </w:t>
      </w:r>
      <w:r>
        <w:rPr>
          <w:color w:val="005DA1"/>
          <w:u w:val="single" w:color="005DA1"/>
          <w:vertAlign w:val="superscript"/>
        </w:rPr>
        <w:t>44</w:t>
      </w:r>
      <w:r>
        <w:rPr>
          <w:vertAlign w:val="baseline"/>
        </w:rPr>
        <w:t>) he will be able to take advantage of the more favourable rules </w:t>
      </w:r>
      <w:r>
        <w:rPr>
          <w:vertAlign w:val="baseline"/>
        </w:rPr>
        <w:t>on </w:t>
      </w:r>
      <w:bookmarkStart w:name="_bookmark41" w:id="43"/>
      <w:bookmarkEnd w:id="43"/>
      <w:r>
        <w:rPr>
          <w:vertAlign w:val="baseline"/>
        </w:rPr>
        <w:t>damages</w:t>
      </w:r>
      <w:r>
        <w:rPr>
          <w:vertAlign w:val="baseline"/>
        </w:rPr>
        <w:t> in tort, e.g. on remoteness of damage. </w:t>
      </w:r>
      <w:r>
        <w:rPr>
          <w:color w:val="005DA1"/>
          <w:u w:val="single" w:color="005DA1"/>
          <w:vertAlign w:val="superscript"/>
        </w:rPr>
        <w:t>45</w:t>
      </w:r>
      <w:r>
        <w:rPr>
          <w:color w:val="005DA1"/>
          <w:vertAlign w:val="baseline"/>
        </w:rPr>
        <w:t> </w:t>
      </w:r>
      <w:r>
        <w:rPr>
          <w:vertAlign w:val="baseline"/>
        </w:rPr>
        <w:t>But concurrent liability in tort may benefit the defendant, e.g. in regard to contributory negligence. </w:t>
      </w:r>
      <w:r>
        <w:rPr>
          <w:color w:val="005DA1"/>
          <w:u w:val="single" w:color="005DA1"/>
          <w:vertAlign w:val="superscript"/>
        </w:rPr>
        <w:t>46</w:t>
      </w:r>
    </w:p>
    <w:p>
      <w:pPr>
        <w:pStyle w:val="BodyText"/>
      </w:pPr>
    </w:p>
    <w:p>
      <w:pPr>
        <w:pStyle w:val="BodyText"/>
        <w:spacing w:before="37"/>
      </w:pPr>
    </w:p>
    <w:p>
      <w:pPr>
        <w:spacing w:before="0"/>
        <w:ind w:left="165" w:right="0" w:firstLine="0"/>
        <w:jc w:val="left"/>
        <w:rPr>
          <w:rFonts w:ascii="Arial"/>
          <w:b/>
          <w:sz w:val="18"/>
        </w:rPr>
      </w:pPr>
      <w:r>
        <w:rPr>
          <w:rFonts w:ascii="Arial"/>
          <w:b/>
          <w:sz w:val="18"/>
        </w:rPr>
        <w:t>Abatement of </w:t>
      </w:r>
      <w:r>
        <w:rPr>
          <w:rFonts w:ascii="Arial"/>
          <w:b/>
          <w:spacing w:val="-2"/>
          <w:sz w:val="18"/>
        </w:rPr>
        <w:t>price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006A</w:t>
      </w:r>
    </w:p>
    <w:p>
      <w:pPr>
        <w:pStyle w:val="BodyText"/>
        <w:spacing w:before="92"/>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8"/>
        </w:rPr>
        <w:t> </w:t>
      </w:r>
      <w:r>
        <w:rPr/>
        <w:t>The victim of a breach of contract who has not yet paid the other party may be entitled to rely on</w:t>
      </w:r>
      <w:r>
        <w:rPr>
          <w:spacing w:val="40"/>
        </w:rPr>
        <w:t> </w:t>
      </w:r>
      <w:r>
        <w:rPr/>
        <w:t>the fact that what he has received is worth less than it would have been, had the contract been </w:t>
      </w:r>
      <w:bookmarkStart w:name="_bookmark42" w:id="44"/>
      <w:bookmarkEnd w:id="44"/>
      <w:r>
        <w:rPr/>
        <w:t>performed,</w:t>
      </w:r>
      <w:r>
        <w:rPr>
          <w:spacing w:val="20"/>
        </w:rPr>
        <w:t> </w:t>
      </w:r>
      <w:r>
        <w:rPr/>
        <w:t>as</w:t>
      </w:r>
      <w:r>
        <w:rPr>
          <w:spacing w:val="20"/>
        </w:rPr>
        <w:t> </w:t>
      </w:r>
      <w:r>
        <w:rPr/>
        <w:t>a</w:t>
      </w:r>
      <w:r>
        <w:rPr>
          <w:spacing w:val="20"/>
        </w:rPr>
        <w:t> </w:t>
      </w:r>
      <w:r>
        <w:rPr/>
        <w:t>ground</w:t>
      </w:r>
      <w:r>
        <w:rPr>
          <w:spacing w:val="20"/>
        </w:rPr>
        <w:t> </w:t>
      </w:r>
      <w:r>
        <w:rPr/>
        <w:t>for</w:t>
      </w:r>
      <w:r>
        <w:rPr>
          <w:spacing w:val="20"/>
        </w:rPr>
        <w:t> </w:t>
      </w:r>
      <w:r>
        <w:rPr/>
        <w:t>abatement</w:t>
      </w:r>
      <w:r>
        <w:rPr>
          <w:spacing w:val="20"/>
        </w:rPr>
        <w:t> </w:t>
      </w:r>
      <w:r>
        <w:rPr/>
        <w:t>of</w:t>
      </w:r>
      <w:r>
        <w:rPr>
          <w:spacing w:val="20"/>
        </w:rPr>
        <w:t> </w:t>
      </w:r>
      <w:r>
        <w:rPr/>
        <w:t>the</w:t>
      </w:r>
      <w:r>
        <w:rPr>
          <w:spacing w:val="20"/>
        </w:rPr>
        <w:t> </w:t>
      </w:r>
      <w:r>
        <w:rPr/>
        <w:t>price.</w:t>
      </w:r>
      <w:r>
        <w:rPr>
          <w:spacing w:val="20"/>
        </w:rPr>
        <w:t> </w:t>
      </w:r>
      <w:r>
        <w:rPr/>
        <w:t>In</w:t>
      </w:r>
      <w:r>
        <w:rPr>
          <w:spacing w:val="19"/>
        </w:rPr>
        <w:t> </w:t>
      </w:r>
      <w:r>
        <w:rPr>
          <w:rFonts w:ascii="Arial"/>
          <w:i/>
        </w:rPr>
        <w:t>Multiplex</w:t>
      </w:r>
      <w:r>
        <w:rPr>
          <w:rFonts w:ascii="Arial"/>
          <w:i/>
          <w:spacing w:val="20"/>
        </w:rPr>
        <w:t> </w:t>
      </w:r>
      <w:r>
        <w:rPr>
          <w:rFonts w:ascii="Arial"/>
          <w:i/>
        </w:rPr>
        <w:t>Constructions</w:t>
      </w:r>
      <w:r>
        <w:rPr>
          <w:rFonts w:ascii="Arial"/>
          <w:i/>
          <w:spacing w:val="20"/>
        </w:rPr>
        <w:t> </w:t>
      </w:r>
      <w:r>
        <w:rPr>
          <w:rFonts w:ascii="Arial"/>
          <w:i/>
        </w:rPr>
        <w:t>(UK)</w:t>
      </w:r>
      <w:r>
        <w:rPr>
          <w:rFonts w:ascii="Arial"/>
          <w:i/>
          <w:spacing w:val="20"/>
        </w:rPr>
        <w:t> </w:t>
      </w:r>
      <w:r>
        <w:rPr>
          <w:rFonts w:ascii="Arial"/>
          <w:i/>
        </w:rPr>
        <w:t>Ltd</w:t>
      </w:r>
      <w:r>
        <w:rPr>
          <w:rFonts w:ascii="Arial"/>
          <w:i/>
          <w:spacing w:val="20"/>
        </w:rPr>
        <w:t> </w:t>
      </w:r>
      <w:r>
        <w:rPr>
          <w:rFonts w:ascii="Arial"/>
          <w:i/>
        </w:rPr>
        <w:t>v</w:t>
      </w:r>
      <w:r>
        <w:rPr>
          <w:rFonts w:ascii="Arial"/>
          <w:i/>
          <w:spacing w:val="20"/>
        </w:rPr>
        <w:t> </w:t>
      </w:r>
      <w:r>
        <w:rPr>
          <w:rFonts w:ascii="Arial"/>
          <w:i/>
          <w:spacing w:val="-2"/>
        </w:rPr>
        <w:t>Cleveland</w:t>
      </w:r>
    </w:p>
    <w:p>
      <w:pPr>
        <w:pStyle w:val="BodyText"/>
        <w:spacing w:before="125"/>
        <w:rPr>
          <w:rFonts w:ascii="Arial"/>
          <w:i/>
        </w:rPr>
      </w:pPr>
    </w:p>
    <w:p>
      <w:pPr>
        <w:pStyle w:val="BodyText"/>
        <w:ind w:left="165"/>
        <w:jc w:val="both"/>
      </w:pPr>
      <w:bookmarkStart w:name="_bookmark43" w:id="45"/>
      <w:bookmarkEnd w:id="45"/>
      <w:r>
        <w:rPr/>
      </w:r>
      <w:bookmarkStart w:name="_bookmark44" w:id="46"/>
      <w:bookmarkEnd w:id="46"/>
      <w:r>
        <w:rPr/>
      </w:r>
      <w:r>
        <w:rPr>
          <w:rFonts w:ascii="Arial"/>
          <w:i/>
        </w:rPr>
        <w:t>Bridge</w:t>
      </w:r>
      <w:r>
        <w:rPr>
          <w:rFonts w:ascii="Arial"/>
          <w:i/>
          <w:spacing w:val="-2"/>
        </w:rPr>
        <w:t> </w:t>
      </w:r>
      <w:r>
        <w:rPr>
          <w:rFonts w:ascii="Arial"/>
          <w:i/>
        </w:rPr>
        <w:t>UK</w:t>
      </w:r>
      <w:r>
        <w:rPr>
          <w:rFonts w:ascii="Arial"/>
          <w:i/>
          <w:spacing w:val="-2"/>
        </w:rPr>
        <w:t> </w:t>
      </w:r>
      <w:r>
        <w:rPr>
          <w:rFonts w:ascii="Arial"/>
          <w:i/>
        </w:rPr>
        <w:t>Ltd</w:t>
      </w:r>
      <w:r>
        <w:rPr>
          <w:rFonts w:ascii="Arial"/>
          <w:i/>
          <w:spacing w:val="-2"/>
        </w:rPr>
        <w:t> </w:t>
      </w:r>
      <w:r>
        <w:rPr>
          <w:color w:val="005DA1"/>
          <w:u w:val="single" w:color="005DA1"/>
          <w:vertAlign w:val="superscript"/>
        </w:rPr>
        <w:t>47</w:t>
      </w:r>
      <w:r>
        <w:rPr>
          <w:color w:val="005DA1"/>
          <w:spacing w:val="79"/>
          <w:w w:val="150"/>
          <w:vertAlign w:val="baseline"/>
        </w:rPr>
        <w:t> </w:t>
      </w:r>
      <w:r>
        <w:rPr>
          <w:color w:val="005DA1"/>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
          <w:vertAlign w:val="baseline"/>
        </w:rPr>
        <w:t> </w:t>
      </w:r>
      <w:r>
        <w:rPr>
          <w:vertAlign w:val="baseline"/>
        </w:rPr>
        <w:t>Jackson</w:t>
      </w:r>
      <w:r>
        <w:rPr>
          <w:spacing w:val="-1"/>
          <w:vertAlign w:val="baseline"/>
        </w:rPr>
        <w:t> </w:t>
      </w:r>
      <w:r>
        <w:rPr>
          <w:vertAlign w:val="baseline"/>
        </w:rPr>
        <w:t>J.</w:t>
      </w:r>
      <w:r>
        <w:rPr>
          <w:spacing w:val="-2"/>
          <w:vertAlign w:val="baseline"/>
        </w:rPr>
        <w:t> </w:t>
      </w:r>
      <w:r>
        <w:rPr>
          <w:vertAlign w:val="baseline"/>
        </w:rPr>
        <w:t>reviewed</w:t>
      </w:r>
      <w:r>
        <w:rPr>
          <w:spacing w:val="-1"/>
          <w:vertAlign w:val="baseline"/>
        </w:rPr>
        <w:t> </w:t>
      </w:r>
      <w:r>
        <w:rPr>
          <w:vertAlign w:val="baseline"/>
        </w:rPr>
        <w:t>a</w:t>
      </w:r>
      <w:r>
        <w:rPr>
          <w:spacing w:val="-2"/>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authorities</w:t>
      </w:r>
      <w:r>
        <w:rPr>
          <w:spacing w:val="-2"/>
          <w:vertAlign w:val="baseline"/>
        </w:rPr>
        <w:t> </w:t>
      </w:r>
      <w:r>
        <w:rPr>
          <w:color w:val="005DA1"/>
          <w:u w:val="single" w:color="005DA1"/>
          <w:vertAlign w:val="superscript"/>
        </w:rPr>
        <w:t>48</w:t>
      </w:r>
      <w:r>
        <w:rPr>
          <w:color w:val="005DA1"/>
          <w:spacing w:val="79"/>
          <w:w w:val="150"/>
          <w:vertAlign w:val="baseline"/>
        </w:rPr>
        <w:t> </w:t>
      </w:r>
      <w:r>
        <w:rPr>
          <w:color w:val="005DA1"/>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
          <w:vertAlign w:val="baseline"/>
        </w:rPr>
        <w:t> </w:t>
      </w:r>
      <w:r>
        <w:rPr>
          <w:vertAlign w:val="baseline"/>
        </w:rPr>
        <w:t>and</w:t>
      </w:r>
      <w:r>
        <w:rPr>
          <w:spacing w:val="-1"/>
          <w:vertAlign w:val="baseline"/>
        </w:rPr>
        <w:t> </w:t>
      </w:r>
      <w:r>
        <w:rPr>
          <w:vertAlign w:val="baseline"/>
        </w:rPr>
        <w:t>said</w:t>
      </w:r>
      <w:r>
        <w:rPr>
          <w:spacing w:val="-3"/>
          <w:vertAlign w:val="baseline"/>
        </w:rPr>
        <w:t> </w:t>
      </w:r>
      <w:r>
        <w:rPr>
          <w:color w:val="005DA1"/>
          <w:u w:val="single" w:color="005DA1"/>
          <w:vertAlign w:val="superscript"/>
        </w:rPr>
        <w:t>49</w:t>
      </w:r>
      <w:r>
        <w:rPr>
          <w:color w:val="005DA1"/>
          <w:spacing w:val="79"/>
          <w:w w:val="150"/>
          <w:vertAlign w:val="baseline"/>
        </w:rPr>
        <w:t> </w:t>
      </w:r>
      <w:r>
        <w:rPr>
          <w:color w:val="005DA1"/>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126"/>
      </w:pPr>
    </w:p>
    <w:p>
      <w:pPr>
        <w:pStyle w:val="BodyText"/>
        <w:spacing w:line="235" w:lineRule="auto"/>
        <w:ind w:left="1245"/>
      </w:pPr>
      <w:r>
        <w:rPr/>
        <w:t>“Although there is not a complete harmony of approach to be discerned from this line of cases, I derive seven legal principles from the authorities cited:</w:t>
      </w:r>
    </w:p>
    <w:p>
      <w:pPr>
        <w:pStyle w:val="BodyText"/>
      </w:pPr>
    </w:p>
    <w:p>
      <w:pPr>
        <w:pStyle w:val="BodyText"/>
        <w:spacing w:before="195"/>
      </w:pPr>
    </w:p>
    <w:p>
      <w:pPr>
        <w:pStyle w:val="BodyText"/>
        <w:ind w:left="1245"/>
      </w:pPr>
      <w:r>
        <w:rPr>
          <w:spacing w:val="-5"/>
        </w:rPr>
        <w:t>(i)</w:t>
      </w:r>
    </w:p>
    <w:p>
      <w:pPr>
        <w:pStyle w:val="BodyText"/>
        <w:spacing w:line="235" w:lineRule="auto" w:before="114"/>
        <w:ind w:left="1725" w:right="167"/>
        <w:jc w:val="both"/>
      </w:pPr>
      <w:r>
        <w:rPr/>
        <w:t>In a contract for the provision of labour and materials, where performance has been defective, the employer is entitled at common law to maintain a defence </w:t>
      </w:r>
      <w:r>
        <w:rPr/>
        <w:t>of </w:t>
      </w:r>
      <w:r>
        <w:rPr>
          <w:spacing w:val="-2"/>
        </w:rPr>
        <w:t>abatement.</w:t>
      </w:r>
    </w:p>
    <w:p>
      <w:pPr>
        <w:pStyle w:val="BodyText"/>
      </w:pPr>
    </w:p>
    <w:p>
      <w:pPr>
        <w:pStyle w:val="BodyText"/>
        <w:spacing w:before="35"/>
      </w:pPr>
    </w:p>
    <w:p>
      <w:pPr>
        <w:pStyle w:val="BodyText"/>
        <w:ind w:left="1245"/>
      </w:pPr>
      <w:r>
        <w:rPr>
          <w:spacing w:val="-4"/>
        </w:rPr>
        <w:t>(ii)</w:t>
      </w:r>
    </w:p>
    <w:p>
      <w:pPr>
        <w:pStyle w:val="BodyText"/>
        <w:spacing w:line="235" w:lineRule="auto" w:before="114"/>
        <w:ind w:left="1725"/>
      </w:pPr>
      <w:r>
        <w:rPr/>
        <w:t>The measure of abatement is the amount by which the product of the </w:t>
      </w:r>
      <w:r>
        <w:rPr/>
        <w:t>contractor’s</w:t>
      </w:r>
      <w:r>
        <w:rPr>
          <w:spacing w:val="40"/>
        </w:rPr>
        <w:t> </w:t>
      </w:r>
      <w:r>
        <w:rPr/>
        <w:t>endeavours has been diminished in value as a result of that defective performance.</w:t>
      </w:r>
    </w:p>
    <w:p>
      <w:pPr>
        <w:pStyle w:val="BodyText"/>
      </w:pPr>
    </w:p>
    <w:p>
      <w:pPr>
        <w:pStyle w:val="BodyText"/>
        <w:spacing w:before="35"/>
      </w:pPr>
    </w:p>
    <w:p>
      <w:pPr>
        <w:pStyle w:val="BodyText"/>
        <w:spacing w:before="1"/>
        <w:ind w:left="1245"/>
      </w:pPr>
      <w:r>
        <w:rPr>
          <w:spacing w:val="-2"/>
        </w:rPr>
        <w:t>(iii)</w:t>
      </w:r>
    </w:p>
    <w:p>
      <w:pPr>
        <w:pStyle w:val="BodyText"/>
        <w:spacing w:line="235" w:lineRule="auto" w:before="113"/>
        <w:ind w:left="1725"/>
      </w:pPr>
      <w:r>
        <w:rPr/>
        <w:t>The</w:t>
      </w:r>
      <w:r>
        <w:rPr>
          <w:spacing w:val="40"/>
        </w:rPr>
        <w:t> </w:t>
      </w:r>
      <w:r>
        <w:rPr/>
        <w:t>method</w:t>
      </w:r>
      <w:r>
        <w:rPr>
          <w:spacing w:val="40"/>
        </w:rPr>
        <w:t> </w:t>
      </w:r>
      <w:r>
        <w:rPr/>
        <w:t>of</w:t>
      </w:r>
      <w:r>
        <w:rPr>
          <w:spacing w:val="40"/>
        </w:rPr>
        <w:t> </w:t>
      </w:r>
      <w:r>
        <w:rPr/>
        <w:t>assessing</w:t>
      </w:r>
      <w:r>
        <w:rPr>
          <w:spacing w:val="40"/>
        </w:rPr>
        <w:t> </w:t>
      </w:r>
      <w:r>
        <w:rPr/>
        <w:t>diminution</w:t>
      </w:r>
      <w:r>
        <w:rPr>
          <w:spacing w:val="40"/>
        </w:rPr>
        <w:t> </w:t>
      </w:r>
      <w:r>
        <w:rPr/>
        <w:t>in</w:t>
      </w:r>
      <w:r>
        <w:rPr>
          <w:spacing w:val="40"/>
        </w:rPr>
        <w:t> </w:t>
      </w:r>
      <w:r>
        <w:rPr/>
        <w:t>value</w:t>
      </w:r>
      <w:r>
        <w:rPr>
          <w:spacing w:val="40"/>
        </w:rPr>
        <w:t> </w:t>
      </w:r>
      <w:r>
        <w:rPr/>
        <w:t>will</w:t>
      </w:r>
      <w:r>
        <w:rPr>
          <w:spacing w:val="40"/>
        </w:rPr>
        <w:t> </w:t>
      </w:r>
      <w:r>
        <w:rPr/>
        <w:t>depend</w:t>
      </w:r>
      <w:r>
        <w:rPr>
          <w:spacing w:val="40"/>
        </w:rPr>
        <w:t> </w:t>
      </w:r>
      <w:r>
        <w:rPr/>
        <w:t>upon</w:t>
      </w:r>
      <w:r>
        <w:rPr>
          <w:spacing w:val="40"/>
        </w:rPr>
        <w:t> </w:t>
      </w:r>
      <w:r>
        <w:rPr/>
        <w:t>the</w:t>
      </w:r>
      <w:r>
        <w:rPr>
          <w:spacing w:val="40"/>
        </w:rPr>
        <w:t> </w:t>
      </w:r>
      <w:r>
        <w:rPr/>
        <w:t>facts</w:t>
      </w:r>
      <w:r>
        <w:rPr>
          <w:spacing w:val="40"/>
        </w:rPr>
        <w:t> </w:t>
      </w:r>
      <w:r>
        <w:rPr/>
        <w:t>and</w:t>
      </w:r>
      <w:r>
        <w:rPr>
          <w:spacing w:val="40"/>
        </w:rPr>
        <w:t> </w:t>
      </w:r>
      <w:r>
        <w:rPr/>
        <w:t>circumstances of each case.</w:t>
      </w:r>
    </w:p>
    <w:p>
      <w:pPr>
        <w:pStyle w:val="BodyText"/>
      </w:pPr>
    </w:p>
    <w:p>
      <w:pPr>
        <w:pStyle w:val="BodyText"/>
        <w:spacing w:before="36"/>
      </w:pPr>
    </w:p>
    <w:p>
      <w:pPr>
        <w:pStyle w:val="BodyText"/>
        <w:ind w:left="1245"/>
      </w:pPr>
      <w:r>
        <w:rPr>
          <w:spacing w:val="-4"/>
        </w:rPr>
        <w:t>(iv)</w:t>
      </w:r>
    </w:p>
    <w:p>
      <w:pPr>
        <w:pStyle w:val="BodyText"/>
        <w:spacing w:line="235" w:lineRule="auto" w:before="114"/>
        <w:ind w:left="1725" w:right="167"/>
        <w:jc w:val="both"/>
      </w:pPr>
      <w:r>
        <w:rPr/>
        <w:t>In some cases, diminution in value may be determined by comparing the current market value of that which has been constructed with the market value which it ought to have had. In other cases, diminution in value may be determined </w:t>
      </w:r>
      <w:r>
        <w:rPr/>
        <w:t>by reference to the cost of remedial works. In the latter situation, however, the cost of remedial works does not become the measure of abatement. It is merely a factor which may be used either in isolation or in conjunction with other factors for determining diminution in value.</w:t>
      </w:r>
    </w:p>
    <w:p>
      <w:pPr>
        <w:pStyle w:val="BodyText"/>
        <w:spacing w:after="0" w:line="235" w:lineRule="auto"/>
        <w:jc w:val="both"/>
        <w:sectPr>
          <w:pgSz w:w="11900" w:h="16840"/>
          <w:pgMar w:header="971" w:footer="0" w:top="1300" w:bottom="280" w:left="1275" w:right="1275"/>
        </w:sectPr>
      </w:pPr>
    </w:p>
    <w:p>
      <w:pPr>
        <w:pStyle w:val="BodyText"/>
        <w:spacing w:before="56"/>
      </w:pPr>
    </w:p>
    <w:p>
      <w:pPr>
        <w:pStyle w:val="BodyText"/>
        <w:ind w:left="1245"/>
      </w:pPr>
      <w:r>
        <w:rPr>
          <w:spacing w:val="-5"/>
        </w:rPr>
        <w:t>(v)</w:t>
      </w:r>
    </w:p>
    <w:p>
      <w:pPr>
        <w:pStyle w:val="BodyText"/>
        <w:spacing w:line="235" w:lineRule="auto" w:before="114"/>
        <w:ind w:left="1725"/>
      </w:pPr>
      <w:r>
        <w:rPr/>
        <w:t>The</w:t>
      </w:r>
      <w:r>
        <w:rPr>
          <w:spacing w:val="23"/>
        </w:rPr>
        <w:t> </w:t>
      </w:r>
      <w:r>
        <w:rPr/>
        <w:t>measure</w:t>
      </w:r>
      <w:r>
        <w:rPr>
          <w:spacing w:val="23"/>
        </w:rPr>
        <w:t> </w:t>
      </w:r>
      <w:r>
        <w:rPr/>
        <w:t>of</w:t>
      </w:r>
      <w:r>
        <w:rPr>
          <w:spacing w:val="23"/>
        </w:rPr>
        <w:t> </w:t>
      </w:r>
      <w:r>
        <w:rPr/>
        <w:t>abatement</w:t>
      </w:r>
      <w:r>
        <w:rPr>
          <w:spacing w:val="23"/>
        </w:rPr>
        <w:t> </w:t>
      </w:r>
      <w:r>
        <w:rPr/>
        <w:t>can</w:t>
      </w:r>
      <w:r>
        <w:rPr>
          <w:spacing w:val="23"/>
        </w:rPr>
        <w:t> </w:t>
      </w:r>
      <w:r>
        <w:rPr/>
        <w:t>never</w:t>
      </w:r>
      <w:r>
        <w:rPr>
          <w:spacing w:val="23"/>
        </w:rPr>
        <w:t> </w:t>
      </w:r>
      <w:r>
        <w:rPr/>
        <w:t>exceed</w:t>
      </w:r>
      <w:r>
        <w:rPr>
          <w:spacing w:val="23"/>
        </w:rPr>
        <w:t> </w:t>
      </w:r>
      <w:r>
        <w:rPr/>
        <w:t>the</w:t>
      </w:r>
      <w:r>
        <w:rPr>
          <w:spacing w:val="23"/>
        </w:rPr>
        <w:t> </w:t>
      </w:r>
      <w:r>
        <w:rPr/>
        <w:t>sum</w:t>
      </w:r>
      <w:r>
        <w:rPr>
          <w:spacing w:val="23"/>
        </w:rPr>
        <w:t> </w:t>
      </w:r>
      <w:r>
        <w:rPr/>
        <w:t>which</w:t>
      </w:r>
      <w:r>
        <w:rPr>
          <w:spacing w:val="23"/>
        </w:rPr>
        <w:t> </w:t>
      </w:r>
      <w:r>
        <w:rPr/>
        <w:t>would</w:t>
      </w:r>
      <w:r>
        <w:rPr>
          <w:spacing w:val="23"/>
        </w:rPr>
        <w:t> </w:t>
      </w:r>
      <w:r>
        <w:rPr/>
        <w:t>otherwise</w:t>
      </w:r>
      <w:r>
        <w:rPr>
          <w:spacing w:val="23"/>
        </w:rPr>
        <w:t> </w:t>
      </w:r>
      <w:r>
        <w:rPr/>
        <w:t>be due to the contractor as payment.</w:t>
      </w:r>
    </w:p>
    <w:p>
      <w:pPr>
        <w:pStyle w:val="BodyText"/>
      </w:pPr>
    </w:p>
    <w:p>
      <w:pPr>
        <w:pStyle w:val="BodyText"/>
        <w:spacing w:before="36"/>
      </w:pPr>
    </w:p>
    <w:p>
      <w:pPr>
        <w:pStyle w:val="BodyText"/>
        <w:ind w:left="1245"/>
      </w:pPr>
      <w:r>
        <w:rPr>
          <w:spacing w:val="-4"/>
        </w:rPr>
        <w:t>(vi)</w:t>
      </w:r>
    </w:p>
    <w:p>
      <w:pPr>
        <w:pStyle w:val="BodyText"/>
        <w:spacing w:line="235" w:lineRule="auto" w:before="114"/>
        <w:ind w:left="1725"/>
      </w:pPr>
      <w:r>
        <w:rPr/>
        <w:t>Abatement</w:t>
      </w:r>
      <w:r>
        <w:rPr>
          <w:spacing w:val="40"/>
        </w:rPr>
        <w:t> </w:t>
      </w:r>
      <w:r>
        <w:rPr/>
        <w:t>is</w:t>
      </w:r>
      <w:r>
        <w:rPr>
          <w:spacing w:val="40"/>
        </w:rPr>
        <w:t> </w:t>
      </w:r>
      <w:r>
        <w:rPr/>
        <w:t>not</w:t>
      </w:r>
      <w:r>
        <w:rPr>
          <w:spacing w:val="40"/>
        </w:rPr>
        <w:t> </w:t>
      </w:r>
      <w:r>
        <w:rPr/>
        <w:t>available</w:t>
      </w:r>
      <w:r>
        <w:rPr>
          <w:spacing w:val="40"/>
        </w:rPr>
        <w:t> </w:t>
      </w:r>
      <w:r>
        <w:rPr/>
        <w:t>as</w:t>
      </w:r>
      <w:r>
        <w:rPr>
          <w:spacing w:val="40"/>
        </w:rPr>
        <w:t> </w:t>
      </w:r>
      <w:r>
        <w:rPr/>
        <w:t>a</w:t>
      </w:r>
      <w:r>
        <w:rPr>
          <w:spacing w:val="40"/>
        </w:rPr>
        <w:t> </w:t>
      </w:r>
      <w:r>
        <w:rPr/>
        <w:t>defence</w:t>
      </w:r>
      <w:r>
        <w:rPr>
          <w:spacing w:val="40"/>
        </w:rPr>
        <w:t> </w:t>
      </w:r>
      <w:r>
        <w:rPr/>
        <w:t>to</w:t>
      </w:r>
      <w:r>
        <w:rPr>
          <w:spacing w:val="40"/>
        </w:rPr>
        <w:t> </w:t>
      </w:r>
      <w:r>
        <w:rPr/>
        <w:t>a</w:t>
      </w:r>
      <w:r>
        <w:rPr>
          <w:spacing w:val="40"/>
        </w:rPr>
        <w:t> </w:t>
      </w:r>
      <w:r>
        <w:rPr/>
        <w:t>claim</w:t>
      </w:r>
      <w:r>
        <w:rPr>
          <w:spacing w:val="40"/>
        </w:rPr>
        <w:t> </w:t>
      </w:r>
      <w:r>
        <w:rPr/>
        <w:t>for</w:t>
      </w:r>
      <w:r>
        <w:rPr>
          <w:spacing w:val="40"/>
        </w:rPr>
        <w:t> </w:t>
      </w:r>
      <w:r>
        <w:rPr/>
        <w:t>payment</w:t>
      </w:r>
      <w:r>
        <w:rPr>
          <w:spacing w:val="40"/>
        </w:rPr>
        <w:t> </w:t>
      </w:r>
      <w:r>
        <w:rPr/>
        <w:t>in</w:t>
      </w:r>
      <w:r>
        <w:rPr>
          <w:spacing w:val="40"/>
        </w:rPr>
        <w:t> </w:t>
      </w:r>
      <w:r>
        <w:rPr/>
        <w:t>respect</w:t>
      </w:r>
      <w:r>
        <w:rPr>
          <w:spacing w:val="40"/>
        </w:rPr>
        <w:t> </w:t>
      </w:r>
      <w:r>
        <w:rPr/>
        <w:t>of professional services.</w:t>
      </w:r>
    </w:p>
    <w:p>
      <w:pPr>
        <w:pStyle w:val="BodyText"/>
      </w:pPr>
    </w:p>
    <w:p>
      <w:pPr>
        <w:pStyle w:val="BodyText"/>
        <w:spacing w:before="35"/>
      </w:pPr>
    </w:p>
    <w:p>
      <w:pPr>
        <w:pStyle w:val="BodyText"/>
        <w:ind w:left="1245"/>
      </w:pPr>
      <w:r>
        <w:rPr>
          <w:spacing w:val="-4"/>
        </w:rPr>
        <w:t>(vii)</w:t>
      </w:r>
    </w:p>
    <w:p>
      <w:pPr>
        <w:pStyle w:val="BodyText"/>
        <w:spacing w:line="235" w:lineRule="auto" w:before="114"/>
        <w:ind w:left="1725"/>
      </w:pPr>
      <w:r>
        <w:rPr/>
        <w:t>Claims for delay, disruption or damage caused to anything other than that which the contractor has constructed cannot feature in a defence of abatement.”</w:t>
      </w:r>
    </w:p>
    <w:p>
      <w:pPr>
        <w:pStyle w:val="BodyText"/>
      </w:pPr>
    </w:p>
    <w:p>
      <w:pPr>
        <w:pStyle w:val="BodyText"/>
      </w:pPr>
    </w:p>
    <w:p>
      <w:pPr>
        <w:pStyle w:val="BodyText"/>
        <w:spacing w:before="92"/>
      </w:pPr>
    </w:p>
    <w:p>
      <w:pPr>
        <w:pStyle w:val="BodyText"/>
        <w:ind w:left="165"/>
      </w:pPr>
      <w:bookmarkStart w:name="_bookmark45" w:id="47"/>
      <w:bookmarkEnd w:id="47"/>
      <w:r>
        <w:rPr/>
      </w:r>
      <w:r>
        <w:rPr/>
        <w:t>The</w:t>
      </w:r>
      <w:r>
        <w:rPr>
          <w:spacing w:val="3"/>
        </w:rPr>
        <w:t> </w:t>
      </w:r>
      <w:r>
        <w:rPr/>
        <w:t>fact</w:t>
      </w:r>
      <w:r>
        <w:rPr>
          <w:spacing w:val="3"/>
        </w:rPr>
        <w:t> </w:t>
      </w:r>
      <w:r>
        <w:rPr/>
        <w:t>that</w:t>
      </w:r>
      <w:r>
        <w:rPr>
          <w:spacing w:val="3"/>
        </w:rPr>
        <w:t> </w:t>
      </w:r>
      <w:r>
        <w:rPr/>
        <w:t>the</w:t>
      </w:r>
      <w:r>
        <w:rPr>
          <w:spacing w:val="3"/>
        </w:rPr>
        <w:t> </w:t>
      </w:r>
      <w:r>
        <w:rPr/>
        <w:t>innocent</w:t>
      </w:r>
      <w:r>
        <w:rPr>
          <w:spacing w:val="3"/>
        </w:rPr>
        <w:t> </w:t>
      </w:r>
      <w:r>
        <w:rPr/>
        <w:t>party</w:t>
      </w:r>
      <w:r>
        <w:rPr>
          <w:spacing w:val="3"/>
        </w:rPr>
        <w:t> </w:t>
      </w:r>
      <w:r>
        <w:rPr/>
        <w:t>has</w:t>
      </w:r>
      <w:r>
        <w:rPr>
          <w:spacing w:val="3"/>
        </w:rPr>
        <w:t> </w:t>
      </w:r>
      <w:r>
        <w:rPr/>
        <w:t>paid</w:t>
      </w:r>
      <w:r>
        <w:rPr>
          <w:spacing w:val="3"/>
        </w:rPr>
        <w:t> </w:t>
      </w:r>
      <w:r>
        <w:rPr/>
        <w:t>the</w:t>
      </w:r>
      <w:r>
        <w:rPr>
          <w:spacing w:val="3"/>
        </w:rPr>
        <w:t> </w:t>
      </w:r>
      <w:r>
        <w:rPr/>
        <w:t>price</w:t>
      </w:r>
      <w:r>
        <w:rPr>
          <w:spacing w:val="3"/>
        </w:rPr>
        <w:t> </w:t>
      </w:r>
      <w:r>
        <w:rPr/>
        <w:t>in</w:t>
      </w:r>
      <w:r>
        <w:rPr>
          <w:spacing w:val="3"/>
        </w:rPr>
        <w:t> </w:t>
      </w:r>
      <w:r>
        <w:rPr/>
        <w:t>full</w:t>
      </w:r>
      <w:r>
        <w:rPr>
          <w:spacing w:val="3"/>
        </w:rPr>
        <w:t> </w:t>
      </w:r>
      <w:r>
        <w:rPr/>
        <w:t>does</w:t>
      </w:r>
      <w:r>
        <w:rPr>
          <w:spacing w:val="3"/>
        </w:rPr>
        <w:t> </w:t>
      </w:r>
      <w:r>
        <w:rPr/>
        <w:t>not</w:t>
      </w:r>
      <w:r>
        <w:rPr>
          <w:spacing w:val="3"/>
        </w:rPr>
        <w:t> </w:t>
      </w:r>
      <w:r>
        <w:rPr/>
        <w:t>prevent</w:t>
      </w:r>
      <w:r>
        <w:rPr>
          <w:spacing w:val="3"/>
        </w:rPr>
        <w:t> </w:t>
      </w:r>
      <w:r>
        <w:rPr/>
        <w:t>a</w:t>
      </w:r>
      <w:r>
        <w:rPr>
          <w:spacing w:val="3"/>
        </w:rPr>
        <w:t> </w:t>
      </w:r>
      <w:r>
        <w:rPr/>
        <w:t>later</w:t>
      </w:r>
      <w:r>
        <w:rPr>
          <w:spacing w:val="3"/>
        </w:rPr>
        <w:t> </w:t>
      </w:r>
      <w:r>
        <w:rPr/>
        <w:t>claim</w:t>
      </w:r>
      <w:r>
        <w:rPr>
          <w:spacing w:val="3"/>
        </w:rPr>
        <w:t> </w:t>
      </w:r>
      <w:r>
        <w:rPr/>
        <w:t>for</w:t>
      </w:r>
      <w:r>
        <w:rPr>
          <w:spacing w:val="3"/>
        </w:rPr>
        <w:t> </w:t>
      </w:r>
      <w:r>
        <w:rPr/>
        <w:t>damages</w:t>
      </w:r>
      <w:r>
        <w:rPr>
          <w:spacing w:val="2"/>
        </w:rPr>
        <w:t> </w:t>
      </w:r>
      <w:r>
        <w:rPr>
          <w:color w:val="005DA1"/>
          <w:spacing w:val="-5"/>
          <w:u w:val="single" w:color="005DA1"/>
          <w:vertAlign w:val="superscript"/>
        </w:rPr>
        <w:t>50</w:t>
      </w:r>
    </w:p>
    <w:p>
      <w:pPr>
        <w:pStyle w:val="BodyText"/>
        <w:spacing w:line="360" w:lineRule="auto" w:before="115"/>
        <w:ind w:left="165" w:right="174" w:firstLine="291"/>
      </w:pPr>
      <w:r>
        <w:rPr/>
        <w:drawing>
          <wp:anchor distT="0" distB="0" distL="0" distR="0" allowOverlap="1" layoutInCell="1" locked="0" behindDoc="0" simplePos="0" relativeHeight="15733248">
            <wp:simplePos x="0" y="0"/>
            <wp:positionH relativeFrom="page">
              <wp:posOffset>991361</wp:posOffset>
            </wp:positionH>
            <wp:positionV relativeFrom="paragraph">
              <wp:posOffset>101271</wp:posOffset>
            </wp:positionV>
            <wp:extent cx="107988" cy="10798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 w:id="48"/>
      <w:bookmarkEnd w:id="48"/>
      <w:r>
        <w:rPr/>
      </w:r>
      <w:r>
        <w:rPr/>
        <w:t>; nor does an abatement of the price to reflect the diminution in value of the performance </w:t>
      </w:r>
      <w:r>
        <w:rPr/>
        <w:t>preclude a later claim for other kinds of loss. </w:t>
      </w:r>
      <w:r>
        <w:rPr>
          <w:color w:val="005DA1"/>
          <w:u w:val="single" w:color="005DA1"/>
          <w:vertAlign w:val="superscript"/>
        </w:rPr>
        <w:t>51</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Similarly, s.53 of the Sale of Goods Act 1979 provides that</w:t>
      </w:r>
    </w:p>
    <w:p>
      <w:pPr>
        <w:pStyle w:val="BodyText"/>
      </w:pPr>
    </w:p>
    <w:p>
      <w:pPr>
        <w:pStyle w:val="BodyText"/>
      </w:pPr>
    </w:p>
    <w:p>
      <w:pPr>
        <w:pStyle w:val="BodyText"/>
        <w:spacing w:before="210"/>
      </w:pPr>
    </w:p>
    <w:p>
      <w:pPr>
        <w:pStyle w:val="BodyText"/>
        <w:ind w:left="1245"/>
      </w:pPr>
      <w:r>
        <w:rPr>
          <w:spacing w:val="-4"/>
        </w:rPr>
        <w:t>“(1)</w:t>
      </w:r>
    </w:p>
    <w:p>
      <w:pPr>
        <w:pStyle w:val="BodyText"/>
        <w:spacing w:line="235" w:lineRule="auto" w:before="114"/>
        <w:ind w:left="1725" w:right="167"/>
        <w:jc w:val="both"/>
      </w:pPr>
      <w:r>
        <w:rPr/>
        <w:t>Where there is a breach of warranty by the seller, or where the buyer elects (or is compelled) to treat any breach of a condition on the part of the seller as a breach of warranty, the buyer is not by reason only of such breach of warranty entitled </w:t>
      </w:r>
      <w:r>
        <w:rPr/>
        <w:t>to</w:t>
      </w:r>
      <w:r>
        <w:rPr>
          <w:spacing w:val="40"/>
        </w:rPr>
        <w:t> </w:t>
      </w:r>
      <w:r>
        <w:rPr/>
        <w:t>reject the goods; but he may—</w:t>
      </w:r>
    </w:p>
    <w:p>
      <w:pPr>
        <w:pStyle w:val="BodyText"/>
        <w:spacing w:before="205"/>
      </w:pPr>
    </w:p>
    <w:p>
      <w:pPr>
        <w:pStyle w:val="ListParagraph"/>
        <w:numPr>
          <w:ilvl w:val="0"/>
          <w:numId w:val="1"/>
        </w:numPr>
        <w:tabs>
          <w:tab w:pos="1969" w:val="left" w:leader="none"/>
        </w:tabs>
        <w:spacing w:line="240" w:lineRule="auto" w:before="0" w:after="0"/>
        <w:ind w:left="1969" w:right="0" w:hanging="244"/>
        <w:jc w:val="left"/>
        <w:rPr>
          <w:rFonts w:ascii="Arial MT" w:hAnsi="Arial MT"/>
          <w:sz w:val="18"/>
        </w:rPr>
      </w:pPr>
      <w:r>
        <w:rPr>
          <w:rFonts w:ascii="Arial MT" w:hAnsi="Arial MT"/>
          <w:sz w:val="20"/>
        </w:rPr>
        <w:t>​</w:t>
      </w:r>
    </w:p>
    <w:p>
      <w:pPr>
        <w:pStyle w:val="BodyText"/>
        <w:spacing w:line="235" w:lineRule="auto" w:before="114"/>
        <w:ind w:left="2205" w:right="174"/>
      </w:pPr>
      <w:r>
        <w:rPr/>
        <w:t>set up against the seller the breach of warranty in diminution or extinction of</w:t>
      </w:r>
      <w:r>
        <w:rPr>
          <w:spacing w:val="80"/>
        </w:rPr>
        <w:t> </w:t>
      </w:r>
      <w:r>
        <w:rPr/>
        <w:t>the price</w:t>
      </w:r>
    </w:p>
    <w:p>
      <w:pPr>
        <w:pStyle w:val="BodyText"/>
        <w:spacing w:before="85"/>
      </w:pPr>
    </w:p>
    <w:p>
      <w:pPr>
        <w:spacing w:before="0"/>
        <w:ind w:left="2205" w:right="0" w:firstLine="0"/>
        <w:jc w:val="left"/>
        <w:rPr>
          <w:sz w:val="20"/>
        </w:rPr>
      </w:pPr>
      <w:r>
        <w:rPr>
          <w:spacing w:val="-10"/>
          <w:sz w:val="20"/>
        </w:rPr>
        <w:t>…</w:t>
      </w:r>
    </w:p>
    <w:p>
      <w:pPr>
        <w:pStyle w:val="BodyText"/>
      </w:pPr>
    </w:p>
    <w:p>
      <w:pPr>
        <w:pStyle w:val="BodyText"/>
      </w:pPr>
    </w:p>
    <w:p>
      <w:pPr>
        <w:pStyle w:val="BodyText"/>
        <w:spacing w:before="185"/>
      </w:pPr>
    </w:p>
    <w:p>
      <w:pPr>
        <w:pStyle w:val="BodyText"/>
        <w:ind w:left="1245"/>
      </w:pPr>
      <w:r>
        <w:rPr>
          <w:spacing w:val="-5"/>
        </w:rPr>
        <w:t>(4)</w:t>
      </w:r>
    </w:p>
    <w:p>
      <w:pPr>
        <w:pStyle w:val="BodyText"/>
        <w:spacing w:line="235" w:lineRule="auto" w:before="114"/>
        <w:ind w:left="1725" w:right="167"/>
      </w:pPr>
      <w:r>
        <w:rPr/>
        <w:t>The fact that the buyer has set up the breach of warranty in diminution or extinction </w:t>
      </w:r>
      <w:bookmarkStart w:name="_bookmark47" w:id="49"/>
      <w:bookmarkEnd w:id="49"/>
      <w:r>
        <w:rPr/>
        <w:t>of</w:t>
      </w:r>
      <w:r>
        <w:rPr>
          <w:spacing w:val="5"/>
        </w:rPr>
        <w:t> </w:t>
      </w:r>
      <w:r>
        <w:rPr/>
        <w:t>the</w:t>
      </w:r>
      <w:r>
        <w:rPr>
          <w:spacing w:val="5"/>
        </w:rPr>
        <w:t> </w:t>
      </w:r>
      <w:r>
        <w:rPr/>
        <w:t>price</w:t>
      </w:r>
      <w:r>
        <w:rPr>
          <w:spacing w:val="5"/>
        </w:rPr>
        <w:t> </w:t>
      </w:r>
      <w:r>
        <w:rPr/>
        <w:t>does</w:t>
      </w:r>
      <w:r>
        <w:rPr>
          <w:spacing w:val="5"/>
        </w:rPr>
        <w:t> </w:t>
      </w:r>
      <w:r>
        <w:rPr/>
        <w:t>not</w:t>
      </w:r>
      <w:r>
        <w:rPr>
          <w:spacing w:val="5"/>
        </w:rPr>
        <w:t> </w:t>
      </w:r>
      <w:r>
        <w:rPr/>
        <w:t>prevent</w:t>
      </w:r>
      <w:r>
        <w:rPr>
          <w:spacing w:val="5"/>
        </w:rPr>
        <w:t> </w:t>
      </w:r>
      <w:r>
        <w:rPr/>
        <w:t>him</w:t>
      </w:r>
      <w:r>
        <w:rPr>
          <w:spacing w:val="5"/>
        </w:rPr>
        <w:t> </w:t>
      </w:r>
      <w:r>
        <w:rPr/>
        <w:t>from</w:t>
      </w:r>
      <w:r>
        <w:rPr>
          <w:spacing w:val="5"/>
        </w:rPr>
        <w:t> </w:t>
      </w:r>
      <w:r>
        <w:rPr/>
        <w:t>maintaining</w:t>
      </w:r>
      <w:r>
        <w:rPr>
          <w:spacing w:val="5"/>
        </w:rPr>
        <w:t> </w:t>
      </w:r>
      <w:r>
        <w:rPr/>
        <w:t>an</w:t>
      </w:r>
      <w:r>
        <w:rPr>
          <w:spacing w:val="5"/>
        </w:rPr>
        <w:t> </w:t>
      </w:r>
      <w:r>
        <w:rPr/>
        <w:t>action</w:t>
      </w:r>
      <w:r>
        <w:rPr>
          <w:spacing w:val="5"/>
        </w:rPr>
        <w:t> </w:t>
      </w:r>
      <w:r>
        <w:rPr/>
        <w:t>for</w:t>
      </w:r>
      <w:r>
        <w:rPr>
          <w:spacing w:val="5"/>
        </w:rPr>
        <w:t> </w:t>
      </w:r>
      <w:r>
        <w:rPr/>
        <w:t>the</w:t>
      </w:r>
      <w:r>
        <w:rPr>
          <w:spacing w:val="5"/>
        </w:rPr>
        <w:t> </w:t>
      </w:r>
      <w:r>
        <w:rPr/>
        <w:t>same</w:t>
      </w:r>
      <w:r>
        <w:rPr>
          <w:spacing w:val="5"/>
        </w:rPr>
        <w:t> </w:t>
      </w:r>
      <w:r>
        <w:rPr/>
        <w:t>breach</w:t>
      </w:r>
      <w:r>
        <w:rPr>
          <w:spacing w:val="5"/>
        </w:rPr>
        <w:t> </w:t>
      </w:r>
      <w:r>
        <w:rPr>
          <w:spacing w:val="-5"/>
        </w:rPr>
        <w:t>of</w:t>
      </w:r>
    </w:p>
    <w:p>
      <w:pPr>
        <w:pStyle w:val="BodyText"/>
        <w:spacing w:before="115"/>
        <w:ind w:left="1725"/>
        <w:rPr>
          <w:position w:val="-2"/>
        </w:rPr>
      </w:pPr>
      <w:r>
        <w:rPr/>
        <w:t>warranty if he has suffered further damage.” </w:t>
      </w:r>
      <w:r>
        <w:rPr>
          <w:color w:val="005DA1"/>
          <w:u w:val="single" w:color="005DA1"/>
          <w:vertAlign w:val="superscript"/>
        </w:rPr>
        <w:t>52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95"/>
      </w:pPr>
    </w:p>
    <w:p>
      <w:pPr>
        <w:pStyle w:val="BodyText"/>
        <w:ind w:left="165"/>
        <w:jc w:val="both"/>
      </w:pPr>
      <w:bookmarkStart w:name="_bookmark48" w:id="50"/>
      <w:bookmarkEnd w:id="50"/>
      <w:r>
        <w:rPr/>
      </w:r>
      <w:r>
        <w:rPr/>
        <w:t>Under the Consumer Rights Act 2015 a consumer who has received goods, digital content or </w:t>
      </w:r>
      <w:r>
        <w:rPr>
          <w:spacing w:val="-2"/>
        </w:rPr>
        <w:t>services</w:t>
      </w:r>
    </w:p>
    <w:p>
      <w:pPr>
        <w:pStyle w:val="BodyText"/>
        <w:spacing w:line="235" w:lineRule="auto" w:before="119"/>
        <w:ind w:left="165" w:right="167"/>
        <w:jc w:val="both"/>
      </w:pPr>
      <w:r>
        <w:rPr/>
        <w:t>that do not conform to the contract may have the right to a “price reduction”. </w:t>
      </w:r>
      <w:r>
        <w:rPr>
          <w:color w:val="005DA1"/>
          <w:u w:val="single" w:color="005DA1"/>
          <w:vertAlign w:val="superscript"/>
        </w:rPr>
        <w:t>53</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1"/>
          <w:vertAlign w:val="baseline"/>
        </w:rPr>
        <w:t> </w:t>
      </w:r>
      <w:r>
        <w:rPr>
          <w:vertAlign w:val="baseline"/>
        </w:rPr>
        <w:t>There are, however, certain cases in which there is no right to abatement of the price, in addition to contracts for </w:t>
      </w:r>
      <w:bookmarkStart w:name="_bookmark49" w:id="51"/>
      <w:bookmarkEnd w:id="51"/>
      <w:r>
        <w:rPr>
          <w:vertAlign w:val="baseline"/>
        </w:rPr>
        <w:t>professional</w:t>
      </w:r>
      <w:r>
        <w:rPr>
          <w:spacing w:val="15"/>
          <w:vertAlign w:val="baseline"/>
        </w:rPr>
        <w:t> </w:t>
      </w:r>
      <w:r>
        <w:rPr>
          <w:vertAlign w:val="baseline"/>
        </w:rPr>
        <w:t>services</w:t>
      </w:r>
      <w:r>
        <w:rPr>
          <w:spacing w:val="15"/>
          <w:vertAlign w:val="baseline"/>
        </w:rPr>
        <w:t> </w:t>
      </w:r>
      <w:r>
        <w:rPr>
          <w:vertAlign w:val="baseline"/>
        </w:rPr>
        <w:t>(as</w:t>
      </w:r>
      <w:r>
        <w:rPr>
          <w:spacing w:val="15"/>
          <w:vertAlign w:val="baseline"/>
        </w:rPr>
        <w:t> </w:t>
      </w:r>
      <w:r>
        <w:rPr>
          <w:vertAlign w:val="baseline"/>
        </w:rPr>
        <w:t>noted</w:t>
      </w:r>
      <w:r>
        <w:rPr>
          <w:spacing w:val="15"/>
          <w:vertAlign w:val="baseline"/>
        </w:rPr>
        <w:t> </w:t>
      </w:r>
      <w:r>
        <w:rPr>
          <w:vertAlign w:val="baseline"/>
        </w:rPr>
        <w:t>by</w:t>
      </w:r>
      <w:r>
        <w:rPr>
          <w:spacing w:val="15"/>
          <w:vertAlign w:val="baseline"/>
        </w:rPr>
        <w:t> </w:t>
      </w:r>
      <w:r>
        <w:rPr>
          <w:vertAlign w:val="baseline"/>
        </w:rPr>
        <w:t>Jackson</w:t>
      </w:r>
      <w:r>
        <w:rPr>
          <w:spacing w:val="15"/>
          <w:vertAlign w:val="baseline"/>
        </w:rPr>
        <w:t> </w:t>
      </w:r>
      <w:r>
        <w:rPr>
          <w:vertAlign w:val="baseline"/>
        </w:rPr>
        <w:t>J.).</w:t>
      </w:r>
      <w:r>
        <w:rPr>
          <w:spacing w:val="15"/>
          <w:vertAlign w:val="baseline"/>
        </w:rPr>
        <w:t> </w:t>
      </w:r>
      <w:r>
        <w:rPr>
          <w:vertAlign w:val="baseline"/>
        </w:rPr>
        <w:t>Claims</w:t>
      </w:r>
      <w:r>
        <w:rPr>
          <w:spacing w:val="15"/>
          <w:vertAlign w:val="baseline"/>
        </w:rPr>
        <w:t> </w:t>
      </w:r>
      <w:r>
        <w:rPr>
          <w:vertAlign w:val="baseline"/>
        </w:rPr>
        <w:t>in</w:t>
      </w:r>
      <w:r>
        <w:rPr>
          <w:spacing w:val="15"/>
          <w:vertAlign w:val="baseline"/>
        </w:rPr>
        <w:t> </w:t>
      </w:r>
      <w:r>
        <w:rPr>
          <w:vertAlign w:val="baseline"/>
        </w:rPr>
        <w:t>respect</w:t>
      </w:r>
      <w:r>
        <w:rPr>
          <w:spacing w:val="15"/>
          <w:vertAlign w:val="baseline"/>
        </w:rPr>
        <w:t> </w:t>
      </w:r>
      <w:r>
        <w:rPr>
          <w:vertAlign w:val="baseline"/>
        </w:rPr>
        <w:t>of</w:t>
      </w:r>
      <w:r>
        <w:rPr>
          <w:spacing w:val="15"/>
          <w:vertAlign w:val="baseline"/>
        </w:rPr>
        <w:t> </w:t>
      </w:r>
      <w:r>
        <w:rPr>
          <w:vertAlign w:val="baseline"/>
        </w:rPr>
        <w:t>cargo</w:t>
      </w:r>
      <w:r>
        <w:rPr>
          <w:spacing w:val="15"/>
          <w:vertAlign w:val="baseline"/>
        </w:rPr>
        <w:t> </w:t>
      </w:r>
      <w:r>
        <w:rPr>
          <w:vertAlign w:val="baseline"/>
        </w:rPr>
        <w:t>cannot</w:t>
      </w:r>
      <w:r>
        <w:rPr>
          <w:spacing w:val="15"/>
          <w:vertAlign w:val="baseline"/>
        </w:rPr>
        <w:t> </w:t>
      </w:r>
      <w:r>
        <w:rPr>
          <w:vertAlign w:val="baseline"/>
        </w:rPr>
        <w:t>be</w:t>
      </w:r>
      <w:r>
        <w:rPr>
          <w:spacing w:val="15"/>
          <w:vertAlign w:val="baseline"/>
        </w:rPr>
        <w:t> </w:t>
      </w:r>
      <w:r>
        <w:rPr>
          <w:vertAlign w:val="baseline"/>
        </w:rPr>
        <w:t>deducted</w:t>
      </w:r>
      <w:r>
        <w:rPr>
          <w:spacing w:val="15"/>
          <w:vertAlign w:val="baseline"/>
        </w:rPr>
        <w:t> </w:t>
      </w:r>
      <w:r>
        <w:rPr>
          <w:spacing w:val="-4"/>
          <w:vertAlign w:val="baseline"/>
        </w:rPr>
        <w:t>from</w:t>
      </w:r>
    </w:p>
    <w:p>
      <w:pPr>
        <w:pStyle w:val="BodyText"/>
        <w:spacing w:line="360" w:lineRule="auto" w:before="115"/>
        <w:ind w:left="165" w:right="167"/>
        <w:jc w:val="both"/>
        <w:rPr>
          <w:position w:val="-2"/>
        </w:rPr>
      </w:pPr>
      <w:bookmarkStart w:name="_bookmark50" w:id="52"/>
      <w:bookmarkEnd w:id="52"/>
      <w:r>
        <w:rPr/>
      </w:r>
      <w:r>
        <w:rPr/>
        <w:t>freight,</w:t>
      </w:r>
      <w:r>
        <w:rPr>
          <w:spacing w:val="-2"/>
        </w:rPr>
        <w:t> </w:t>
      </w:r>
      <w:r>
        <w:rPr>
          <w:color w:val="005DA1"/>
          <w:u w:val="single" w:color="005DA1"/>
          <w:vertAlign w:val="superscript"/>
        </w:rPr>
        <w:t>54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and</w:t>
      </w:r>
      <w:r>
        <w:rPr>
          <w:spacing w:val="-2"/>
          <w:vertAlign w:val="baseline"/>
        </w:rPr>
        <w:t> </w:t>
      </w:r>
      <w:r>
        <w:rPr>
          <w:vertAlign w:val="baseline"/>
        </w:rPr>
        <w:t>an</w:t>
      </w:r>
      <w:r>
        <w:rPr>
          <w:spacing w:val="-2"/>
          <w:vertAlign w:val="baseline"/>
        </w:rPr>
        <w:t> </w:t>
      </w:r>
      <w:r>
        <w:rPr>
          <w:vertAlign w:val="baseline"/>
        </w:rPr>
        <w:t>employer</w:t>
      </w:r>
      <w:r>
        <w:rPr>
          <w:spacing w:val="-2"/>
          <w:vertAlign w:val="baseline"/>
        </w:rPr>
        <w:t> </w:t>
      </w:r>
      <w:r>
        <w:rPr>
          <w:vertAlign w:val="baseline"/>
        </w:rPr>
        <w:t>has</w:t>
      </w:r>
      <w:r>
        <w:rPr>
          <w:spacing w:val="-2"/>
          <w:vertAlign w:val="baseline"/>
        </w:rPr>
        <w:t> </w:t>
      </w:r>
      <w:r>
        <w:rPr>
          <w:vertAlign w:val="baseline"/>
        </w:rPr>
        <w:t>no</w:t>
      </w:r>
      <w:r>
        <w:rPr>
          <w:spacing w:val="-2"/>
          <w:vertAlign w:val="baseline"/>
        </w:rPr>
        <w:t> </w:t>
      </w:r>
      <w:r>
        <w:rPr>
          <w:vertAlign w:val="baseline"/>
        </w:rPr>
        <w:t>right</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deductions</w:t>
      </w:r>
      <w:r>
        <w:rPr>
          <w:spacing w:val="-2"/>
          <w:vertAlign w:val="baseline"/>
        </w:rPr>
        <w:t> </w:t>
      </w:r>
      <w:r>
        <w:rPr>
          <w:vertAlign w:val="baseline"/>
        </w:rPr>
        <w:t>from</w:t>
      </w:r>
      <w:r>
        <w:rPr>
          <w:spacing w:val="-2"/>
          <w:vertAlign w:val="baseline"/>
        </w:rPr>
        <w:t> </w:t>
      </w:r>
      <w:r>
        <w:rPr>
          <w:vertAlign w:val="baseline"/>
        </w:rPr>
        <w:t>an</w:t>
      </w:r>
      <w:r>
        <w:rPr>
          <w:spacing w:val="-2"/>
          <w:vertAlign w:val="baseline"/>
        </w:rPr>
        <w:t> </w:t>
      </w:r>
      <w:r>
        <w:rPr>
          <w:vertAlign w:val="baseline"/>
        </w:rPr>
        <w:t>employee’s</w:t>
      </w:r>
      <w:r>
        <w:rPr>
          <w:spacing w:val="-2"/>
          <w:vertAlign w:val="baseline"/>
        </w:rPr>
        <w:t> </w:t>
      </w:r>
      <w:r>
        <w:rPr>
          <w:vertAlign w:val="baseline"/>
        </w:rPr>
        <w:t>salary</w:t>
      </w:r>
      <w:r>
        <w:rPr>
          <w:spacing w:val="-2"/>
          <w:vertAlign w:val="baseline"/>
        </w:rPr>
        <w:t> </w:t>
      </w:r>
      <w:r>
        <w:rPr>
          <w:vertAlign w:val="baseline"/>
        </w:rPr>
        <w:t>on</w:t>
      </w:r>
      <w:r>
        <w:rPr>
          <w:spacing w:val="-2"/>
          <w:vertAlign w:val="baseline"/>
        </w:rPr>
        <w:t> </w:t>
      </w:r>
      <w:r>
        <w:rPr>
          <w:vertAlign w:val="baseline"/>
        </w:rPr>
        <w:t>account of bad work unless there is provision to that effect in the contract. </w:t>
      </w:r>
      <w:r>
        <w:rPr>
          <w:color w:val="005DA1"/>
          <w:u w:val="single" w:color="005DA1"/>
          <w:vertAlign w:val="superscript"/>
        </w:rPr>
        <w:t>55</w:t>
      </w:r>
      <w:r>
        <w:rPr>
          <w:color w:val="005DA1"/>
          <w:spacing w:val="80"/>
          <w:vertAlign w:val="baseline"/>
        </w:rPr>
        <w:t> </w:t>
      </w:r>
      <w:r>
        <w:rPr>
          <w:color w:val="005DA1"/>
          <w:position w:val="-2"/>
          <w:vertAlign w:val="baseline"/>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line="360" w:lineRule="auto"/>
        <w:jc w:val="both"/>
        <w:rPr>
          <w:position w:val="-2"/>
        </w:rPr>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25" name="Group 25"/>
                <wp:cNvGraphicFramePr>
                  <a:graphicFrameLocks/>
                </wp:cNvGraphicFramePr>
                <a:graphic>
                  <a:graphicData uri="http://schemas.microsoft.com/office/word/2010/wordprocessingGroup">
                    <wpg:wgp>
                      <wpg:cNvPr id="25" name="Group 25"/>
                      <wpg:cNvGrpSpPr/>
                      <wpg:grpSpPr>
                        <a:xfrm>
                          <a:off x="0" y="0"/>
                          <a:ext cx="5724525" cy="12700"/>
                          <a:chExt cx="5724525" cy="12700"/>
                        </a:xfrm>
                      </wpg:grpSpPr>
                      <wps:wsp>
                        <wps:cNvPr id="26" name="Graphic 26"/>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2"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79212032">
                <wp:simplePos x="0" y="0"/>
                <wp:positionH relativeFrom="page">
                  <wp:posOffset>914400</wp:posOffset>
                </wp:positionH>
                <wp:positionV relativeFrom="paragraph">
                  <wp:posOffset>94576</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4448" from="72pt,7.446977pt" to="75.892pt,7.446977pt" stroked="true" strokeweight=".5pt" strokecolor="#005da1">
                <v:stroke dashstyle="solid"/>
                <w10:wrap type="none"/>
              </v:line>
            </w:pict>
          </mc:Fallback>
        </mc:AlternateContent>
      </w:r>
      <w:bookmarkStart w:name="_bookmark51" w:id="53"/>
      <w:bookmarkEnd w:id="53"/>
      <w:r>
        <w:rPr/>
      </w:r>
      <w:hyperlink w:history="true" w:anchor="_bookmark0">
        <w:r>
          <w:rPr>
            <w:color w:val="005DA1"/>
            <w:spacing w:val="-6"/>
            <w:position w:val="5"/>
            <w:sz w:val="14"/>
          </w:rPr>
          <w:t>1</w:t>
        </w:r>
      </w:hyperlink>
      <w:r>
        <w:rPr>
          <w:spacing w:val="-6"/>
          <w:position w:val="5"/>
          <w:sz w:val="14"/>
        </w:rPr>
        <w:t>.</w:t>
      </w:r>
      <w:r>
        <w:rPr>
          <w:position w:val="5"/>
          <w:sz w:val="14"/>
        </w:rPr>
        <w:tab/>
      </w:r>
      <w:r>
        <w:rPr/>
        <w:t>e.g. the law on penalties below, paras 26-178 et seq.; and statutory controls such as the Unfair Contract Terms Act 1977 (see above, Ch.15), the Unfair Terms in Consumer Contracts Regulations 1999 and the Consumer Rights Act 2015 (see below, Vol.II, Ch.38) and </w:t>
      </w:r>
      <w:r>
        <w:rPr/>
        <w:t>the Consumer Credit Act 1974 (as amended by the Consumer Credit Act 2006) (see below, Vol.II, paras 39-005 et seq.).</w:t>
      </w:r>
    </w:p>
    <w:p>
      <w:pPr>
        <w:pStyle w:val="BodyText"/>
        <w:spacing w:before="80"/>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92741</wp:posOffset>
                </wp:positionV>
                <wp:extent cx="4953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302445pt;width:3.9pt;height:.1pt;mso-position-horizontal-relative:page;mso-position-vertical-relative:paragraph;z-index:-15723008;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5808">
            <wp:simplePos x="0" y="0"/>
            <wp:positionH relativeFrom="page">
              <wp:posOffset>1257846</wp:posOffset>
            </wp:positionH>
            <wp:positionV relativeFrom="paragraph">
              <wp:posOffset>100030</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2" w:id="54"/>
      <w:bookmarkEnd w:id="54"/>
      <w:r>
        <w:rPr/>
      </w:r>
      <w:hyperlink w:history="true" w:anchor="_bookmark1">
        <w:r>
          <w:rPr>
            <w:color w:val="005DA1"/>
            <w:spacing w:val="-5"/>
            <w:sz w:val="14"/>
          </w:rPr>
          <w:t>2</w:t>
        </w:r>
      </w:hyperlink>
      <w:r>
        <w:rPr>
          <w:spacing w:val="-5"/>
          <w:sz w:val="14"/>
        </w:rPr>
        <w:t>.</w:t>
      </w:r>
    </w:p>
    <w:p>
      <w:pPr>
        <w:spacing w:line="189" w:lineRule="exact" w:before="0"/>
        <w:ind w:left="875" w:right="0" w:firstLine="0"/>
        <w:jc w:val="left"/>
        <w:rPr>
          <w:rFonts w:ascii="Arial"/>
          <w:i/>
          <w:sz w:val="20"/>
        </w:rPr>
      </w:pPr>
      <w:r>
        <w:rPr>
          <w:sz w:val="20"/>
        </w:rPr>
        <w:t>For</w:t>
      </w:r>
      <w:r>
        <w:rPr>
          <w:spacing w:val="6"/>
          <w:sz w:val="20"/>
        </w:rPr>
        <w:t> </w:t>
      </w:r>
      <w:r>
        <w:rPr>
          <w:sz w:val="20"/>
        </w:rPr>
        <w:t>an</w:t>
      </w:r>
      <w:r>
        <w:rPr>
          <w:spacing w:val="6"/>
          <w:sz w:val="20"/>
        </w:rPr>
        <w:t> </w:t>
      </w:r>
      <w:r>
        <w:rPr>
          <w:sz w:val="20"/>
        </w:rPr>
        <w:t>example</w:t>
      </w:r>
      <w:r>
        <w:rPr>
          <w:spacing w:val="6"/>
          <w:sz w:val="20"/>
        </w:rPr>
        <w:t> </w:t>
      </w:r>
      <w:r>
        <w:rPr>
          <w:sz w:val="20"/>
        </w:rPr>
        <w:t>see</w:t>
      </w:r>
      <w:r>
        <w:rPr>
          <w:spacing w:val="6"/>
          <w:sz w:val="20"/>
        </w:rPr>
        <w:t> </w:t>
      </w:r>
      <w:r>
        <w:rPr>
          <w:rFonts w:ascii="Arial"/>
          <w:i/>
          <w:sz w:val="20"/>
        </w:rPr>
        <w:t>Scottish</w:t>
      </w:r>
      <w:r>
        <w:rPr>
          <w:rFonts w:ascii="Arial"/>
          <w:i/>
          <w:spacing w:val="6"/>
          <w:sz w:val="20"/>
        </w:rPr>
        <w:t> </w:t>
      </w:r>
      <w:r>
        <w:rPr>
          <w:rFonts w:ascii="Arial"/>
          <w:i/>
          <w:sz w:val="20"/>
        </w:rPr>
        <w:t>Power</w:t>
      </w:r>
      <w:r>
        <w:rPr>
          <w:rFonts w:ascii="Arial"/>
          <w:i/>
          <w:spacing w:val="6"/>
          <w:sz w:val="20"/>
        </w:rPr>
        <w:t> </w:t>
      </w:r>
      <w:r>
        <w:rPr>
          <w:rFonts w:ascii="Arial"/>
          <w:i/>
          <w:sz w:val="20"/>
        </w:rPr>
        <w:t>UK</w:t>
      </w:r>
      <w:r>
        <w:rPr>
          <w:rFonts w:ascii="Arial"/>
          <w:i/>
          <w:spacing w:val="6"/>
          <w:sz w:val="20"/>
        </w:rPr>
        <w:t> </w:t>
      </w:r>
      <w:r>
        <w:rPr>
          <w:rFonts w:ascii="Arial"/>
          <w:i/>
          <w:sz w:val="20"/>
        </w:rPr>
        <w:t>Plc</w:t>
      </w:r>
      <w:r>
        <w:rPr>
          <w:rFonts w:ascii="Arial"/>
          <w:i/>
          <w:spacing w:val="6"/>
          <w:sz w:val="20"/>
        </w:rPr>
        <w:t> </w:t>
      </w:r>
      <w:r>
        <w:rPr>
          <w:rFonts w:ascii="Arial"/>
          <w:i/>
          <w:sz w:val="20"/>
        </w:rPr>
        <w:t>v</w:t>
      </w:r>
      <w:r>
        <w:rPr>
          <w:rFonts w:ascii="Arial"/>
          <w:i/>
          <w:spacing w:val="6"/>
          <w:sz w:val="20"/>
        </w:rPr>
        <w:t> </w:t>
      </w:r>
      <w:r>
        <w:rPr>
          <w:rFonts w:ascii="Arial"/>
          <w:i/>
          <w:sz w:val="20"/>
        </w:rPr>
        <w:t>BP</w:t>
      </w:r>
      <w:r>
        <w:rPr>
          <w:rFonts w:ascii="Arial"/>
          <w:i/>
          <w:spacing w:val="6"/>
          <w:sz w:val="20"/>
        </w:rPr>
        <w:t> </w:t>
      </w:r>
      <w:r>
        <w:rPr>
          <w:rFonts w:ascii="Arial"/>
          <w:i/>
          <w:sz w:val="20"/>
        </w:rPr>
        <w:t>Exploration</w:t>
      </w:r>
      <w:r>
        <w:rPr>
          <w:rFonts w:ascii="Arial"/>
          <w:i/>
          <w:spacing w:val="6"/>
          <w:sz w:val="20"/>
        </w:rPr>
        <w:t> </w:t>
      </w:r>
      <w:r>
        <w:rPr>
          <w:rFonts w:ascii="Arial"/>
          <w:i/>
          <w:sz w:val="20"/>
        </w:rPr>
        <w:t>Operating</w:t>
      </w:r>
      <w:r>
        <w:rPr>
          <w:rFonts w:ascii="Arial"/>
          <w:i/>
          <w:spacing w:val="6"/>
          <w:sz w:val="20"/>
        </w:rPr>
        <w:t> </w:t>
      </w:r>
      <w:r>
        <w:rPr>
          <w:rFonts w:ascii="Arial"/>
          <w:i/>
          <w:sz w:val="20"/>
        </w:rPr>
        <w:t>Co</w:t>
      </w:r>
      <w:r>
        <w:rPr>
          <w:rFonts w:ascii="Arial"/>
          <w:i/>
          <w:spacing w:val="6"/>
          <w:sz w:val="20"/>
        </w:rPr>
        <w:t> </w:t>
      </w:r>
      <w:r>
        <w:rPr>
          <w:rFonts w:ascii="Arial"/>
          <w:i/>
          <w:sz w:val="20"/>
        </w:rPr>
        <w:t>Ltd</w:t>
      </w:r>
      <w:r>
        <w:rPr>
          <w:rFonts w:ascii="Arial"/>
          <w:i/>
          <w:spacing w:val="6"/>
          <w:sz w:val="20"/>
        </w:rPr>
        <w:t> </w:t>
      </w:r>
      <w:r>
        <w:rPr>
          <w:rFonts w:ascii="Arial"/>
          <w:i/>
          <w:sz w:val="20"/>
        </w:rPr>
        <w:t>[2016]</w:t>
      </w:r>
      <w:r>
        <w:rPr>
          <w:rFonts w:ascii="Arial"/>
          <w:i/>
          <w:spacing w:val="6"/>
          <w:sz w:val="20"/>
        </w:rPr>
        <w:t> </w:t>
      </w:r>
      <w:r>
        <w:rPr>
          <w:rFonts w:ascii="Arial"/>
          <w:i/>
          <w:spacing w:val="-4"/>
          <w:sz w:val="20"/>
        </w:rPr>
        <w:t>EWCA</w:t>
      </w:r>
    </w:p>
    <w:p>
      <w:pPr>
        <w:spacing w:line="235" w:lineRule="auto" w:before="1"/>
        <w:ind w:left="705" w:right="167" w:firstLine="0"/>
        <w:jc w:val="both"/>
        <w:rPr>
          <w:sz w:val="20"/>
        </w:rPr>
      </w:pPr>
      <w:r>
        <w:rPr>
          <w:rFonts w:ascii="Arial" w:hAnsi="Arial"/>
          <w:i/>
          <w:sz w:val="20"/>
        </w:rPr>
        <w:t>Civ 1043</w:t>
      </w:r>
      <w:r>
        <w:rPr>
          <w:sz w:val="20"/>
        </w:rPr>
        <w:t>. There is a presumption that the parties do not intend to give up rights or claims which the general law gives them, and clear express words must be used in order to rebut this presumption: </w:t>
      </w:r>
      <w:r>
        <w:rPr>
          <w:rFonts w:ascii="Arial" w:hAnsi="Arial"/>
          <w:i/>
          <w:sz w:val="20"/>
        </w:rPr>
        <w:t>Gilbert-Ash (Northern) Ltd v Modern Engineering (Bristol) Ltd [1974] A.C. </w:t>
      </w:r>
      <w:r>
        <w:rPr>
          <w:rFonts w:ascii="Arial" w:hAnsi="Arial"/>
          <w:i/>
          <w:sz w:val="20"/>
        </w:rPr>
        <w:t>689, 717–718 </w:t>
      </w:r>
      <w:r>
        <w:rPr>
          <w:sz w:val="20"/>
        </w:rPr>
        <w:t>(Lord Diplock); but as the </w:t>
      </w:r>
      <w:r>
        <w:rPr>
          <w:rFonts w:ascii="Arial" w:hAnsi="Arial"/>
          <w:i/>
          <w:sz w:val="20"/>
        </w:rPr>
        <w:t>Scottish Power </w:t>
      </w:r>
      <w:r>
        <w:rPr>
          <w:sz w:val="20"/>
        </w:rPr>
        <w:t>case shows, it is a matter of interpretation.</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79213056">
                <wp:simplePos x="0" y="0"/>
                <wp:positionH relativeFrom="page">
                  <wp:posOffset>914400</wp:posOffset>
                </wp:positionH>
                <wp:positionV relativeFrom="paragraph">
                  <wp:posOffset>96852</wp:posOffset>
                </wp:positionV>
                <wp:extent cx="4953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3424" from="72pt,7.626176pt" to="75.892pt,7.626176pt" stroked="true" strokeweight=".5pt" strokecolor="#005da1">
                <v:stroke dashstyle="solid"/>
                <w10:wrap type="none"/>
              </v:line>
            </w:pict>
          </mc:Fallback>
        </mc:AlternateContent>
      </w:r>
      <w:bookmarkStart w:name="_bookmark53" w:id="55"/>
      <w:bookmarkEnd w:id="55"/>
      <w:r>
        <w:rPr/>
      </w:r>
      <w:hyperlink w:history="true" w:anchor="_bookmark2">
        <w:r>
          <w:rPr>
            <w:color w:val="005DA1"/>
            <w:spacing w:val="-5"/>
            <w:position w:val="5"/>
            <w:sz w:val="14"/>
          </w:rPr>
          <w:t>3</w:t>
        </w:r>
      </w:hyperlink>
      <w:r>
        <w:rPr>
          <w:spacing w:val="-5"/>
          <w:position w:val="5"/>
          <w:sz w:val="14"/>
        </w:rPr>
        <w:t>.</w:t>
      </w:r>
      <w:r>
        <w:rPr>
          <w:position w:val="5"/>
          <w:sz w:val="14"/>
        </w:rPr>
        <w:tab/>
      </w:r>
      <w:r>
        <w:rPr>
          <w:sz w:val="20"/>
        </w:rPr>
        <w:t>Harris,</w:t>
      </w:r>
      <w:r>
        <w:rPr>
          <w:spacing w:val="-1"/>
          <w:sz w:val="20"/>
        </w:rPr>
        <w:t> </w:t>
      </w:r>
      <w:r>
        <w:rPr>
          <w:sz w:val="20"/>
        </w:rPr>
        <w:t>Campbell and Halson,</w:t>
      </w:r>
      <w:r>
        <w:rPr>
          <w:spacing w:val="-1"/>
          <w:sz w:val="20"/>
        </w:rPr>
        <w:t> </w:t>
      </w:r>
      <w:r>
        <w:rPr>
          <w:rFonts w:ascii="Arial" w:hAnsi="Arial"/>
          <w:i/>
          <w:sz w:val="20"/>
        </w:rPr>
        <w:t>Remedies in Contract and Tort</w:t>
      </w:r>
      <w:r>
        <w:rPr>
          <w:sz w:val="20"/>
        </w:rPr>
        <w:t>, 2nd edn (2002), </w:t>
      </w:r>
      <w:r>
        <w:rPr>
          <w:spacing w:val="-2"/>
          <w:sz w:val="20"/>
        </w:rPr>
        <w:t>pp.88–94.</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79213568">
                <wp:simplePos x="0" y="0"/>
                <wp:positionH relativeFrom="page">
                  <wp:posOffset>914400</wp:posOffset>
                </wp:positionH>
                <wp:positionV relativeFrom="paragraph">
                  <wp:posOffset>96877</wp:posOffset>
                </wp:positionV>
                <wp:extent cx="495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2912" from="72pt,7.628129pt" to="75.892pt,7.628129pt" stroked="true" strokeweight=".5pt" strokecolor="#005da1">
                <v:stroke dashstyle="solid"/>
                <w10:wrap type="none"/>
              </v:line>
            </w:pict>
          </mc:Fallback>
        </mc:AlternateContent>
      </w:r>
      <w:bookmarkStart w:name="_bookmark54" w:id="56"/>
      <w:bookmarkEnd w:id="56"/>
      <w:r>
        <w:rPr/>
      </w:r>
      <w:hyperlink w:history="true" w:anchor="_bookmark2">
        <w:r>
          <w:rPr>
            <w:color w:val="005DA1"/>
            <w:spacing w:val="-5"/>
            <w:position w:val="5"/>
            <w:sz w:val="14"/>
          </w:rPr>
          <w:t>4</w:t>
        </w:r>
      </w:hyperlink>
      <w:r>
        <w:rPr>
          <w:spacing w:val="-5"/>
          <w:position w:val="5"/>
          <w:sz w:val="14"/>
        </w:rPr>
        <w:t>.</w:t>
      </w:r>
      <w:r>
        <w:rPr>
          <w:position w:val="5"/>
          <w:sz w:val="14"/>
        </w:rPr>
        <w:tab/>
      </w:r>
      <w:r>
        <w:rPr>
          <w:rFonts w:ascii="Arial" w:hAnsi="Arial"/>
          <w:i/>
          <w:sz w:val="20"/>
        </w:rPr>
        <w:t>[2001] 1 A.C. 268</w:t>
      </w:r>
      <w:r>
        <w:rPr>
          <w:rFonts w:ascii="Arial" w:hAnsi="Arial"/>
          <w:i/>
          <w:spacing w:val="-1"/>
          <w:sz w:val="20"/>
        </w:rPr>
        <w:t> </w:t>
      </w:r>
      <w:r>
        <w:rPr>
          <w:sz w:val="20"/>
        </w:rPr>
        <w:t>(see below, paras 26-046—26-</w:t>
      </w:r>
      <w:r>
        <w:rPr>
          <w:spacing w:val="-2"/>
          <w:sz w:val="20"/>
        </w:rPr>
        <w:t>057).</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79214080">
                <wp:simplePos x="0" y="0"/>
                <wp:positionH relativeFrom="page">
                  <wp:posOffset>914400</wp:posOffset>
                </wp:positionH>
                <wp:positionV relativeFrom="paragraph">
                  <wp:posOffset>96902</wp:posOffset>
                </wp:positionV>
                <wp:extent cx="495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2400" from="72pt,7.630082pt" to="75.892pt,7.630082pt" stroked="true" strokeweight=".5pt" strokecolor="#005da1">
                <v:stroke dashstyle="solid"/>
                <w10:wrap type="none"/>
              </v:line>
            </w:pict>
          </mc:Fallback>
        </mc:AlternateContent>
      </w:r>
      <w:bookmarkStart w:name="_bookmark55" w:id="57"/>
      <w:bookmarkEnd w:id="57"/>
      <w:r>
        <w:rPr/>
      </w:r>
      <w:hyperlink w:history="true" w:anchor="_bookmark3">
        <w:r>
          <w:rPr>
            <w:color w:val="005DA1"/>
            <w:spacing w:val="-5"/>
            <w:position w:val="5"/>
            <w:sz w:val="14"/>
          </w:rPr>
          <w:t>5</w:t>
        </w:r>
      </w:hyperlink>
      <w:r>
        <w:rPr>
          <w:spacing w:val="-5"/>
          <w:position w:val="5"/>
          <w:sz w:val="14"/>
        </w:rPr>
        <w:t>.</w:t>
      </w:r>
      <w:r>
        <w:rPr>
          <w:position w:val="5"/>
          <w:sz w:val="14"/>
        </w:rPr>
        <w:tab/>
      </w:r>
      <w:r>
        <w:rPr/>
        <w:t>For the necessary causal link between the breach and the loss, see below, para.26-</w:t>
      </w:r>
      <w:r>
        <w:rPr>
          <w:spacing w:val="-4"/>
        </w:rPr>
        <w:t>058.</w:t>
      </w:r>
    </w:p>
    <w:p>
      <w:pPr>
        <w:pStyle w:val="BodyText"/>
        <w:spacing w:before="5"/>
      </w:pPr>
    </w:p>
    <w:p>
      <w:pPr>
        <w:tabs>
          <w:tab w:pos="705" w:val="left" w:leader="none"/>
        </w:tabs>
        <w:spacing w:line="227" w:lineRule="exact" w:before="0"/>
        <w:ind w:left="165" w:right="0" w:firstLine="0"/>
        <w:jc w:val="both"/>
        <w:rPr>
          <w:sz w:val="20"/>
        </w:rPr>
      </w:pPr>
      <w:r>
        <w:rPr>
          <w:sz w:val="20"/>
        </w:rPr>
        <mc:AlternateContent>
          <mc:Choice Requires="wps">
            <w:drawing>
              <wp:anchor distT="0" distB="0" distL="0" distR="0" allowOverlap="1" layoutInCell="1" locked="0" behindDoc="1" simplePos="0" relativeHeight="479214592">
                <wp:simplePos x="0" y="0"/>
                <wp:positionH relativeFrom="page">
                  <wp:posOffset>914400</wp:posOffset>
                </wp:positionH>
                <wp:positionV relativeFrom="paragraph">
                  <wp:posOffset>96926</wp:posOffset>
                </wp:positionV>
                <wp:extent cx="495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1888" from="72pt,7.632035pt" to="75.892pt,7.632035pt" stroked="true" strokeweight=".5pt" strokecolor="#005da1">
                <v:stroke dashstyle="solid"/>
                <w10:wrap type="none"/>
              </v:line>
            </w:pict>
          </mc:Fallback>
        </mc:AlternateContent>
      </w:r>
      <w:bookmarkStart w:name="_bookmark56" w:id="58"/>
      <w:bookmarkEnd w:id="58"/>
      <w:r>
        <w:rPr/>
      </w:r>
      <w:hyperlink w:history="true" w:anchor="_bookmark3">
        <w:r>
          <w:rPr>
            <w:color w:val="005DA1"/>
            <w:spacing w:val="-5"/>
            <w:position w:val="5"/>
            <w:sz w:val="14"/>
          </w:rPr>
          <w:t>6</w:t>
        </w:r>
      </w:hyperlink>
      <w:r>
        <w:rPr>
          <w:spacing w:val="-5"/>
          <w:position w:val="5"/>
          <w:sz w:val="14"/>
        </w:rPr>
        <w:t>.</w:t>
      </w:r>
      <w:r>
        <w:rPr>
          <w:position w:val="5"/>
          <w:sz w:val="14"/>
        </w:rPr>
        <w:tab/>
      </w:r>
      <w:r>
        <w:rPr>
          <w:rFonts w:ascii="Arial" w:hAnsi="Arial"/>
          <w:i/>
          <w:sz w:val="20"/>
        </w:rPr>
        <w:t>Robinson v</w:t>
      </w:r>
      <w:r>
        <w:rPr>
          <w:rFonts w:ascii="Arial" w:hAnsi="Arial"/>
          <w:i/>
          <w:spacing w:val="1"/>
          <w:sz w:val="20"/>
        </w:rPr>
        <w:t> </w:t>
      </w:r>
      <w:r>
        <w:rPr>
          <w:rFonts w:ascii="Arial" w:hAnsi="Arial"/>
          <w:i/>
          <w:sz w:val="20"/>
        </w:rPr>
        <w:t>Harman</w:t>
      </w:r>
      <w:r>
        <w:rPr>
          <w:rFonts w:ascii="Arial" w:hAnsi="Arial"/>
          <w:i/>
          <w:spacing w:val="1"/>
          <w:sz w:val="20"/>
        </w:rPr>
        <w:t> </w:t>
      </w:r>
      <w:r>
        <w:rPr>
          <w:rFonts w:ascii="Arial" w:hAnsi="Arial"/>
          <w:i/>
          <w:sz w:val="20"/>
        </w:rPr>
        <w:t>(1848)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Ex.</w:t>
      </w:r>
      <w:r>
        <w:rPr>
          <w:rFonts w:ascii="Arial" w:hAnsi="Arial"/>
          <w:i/>
          <w:spacing w:val="1"/>
          <w:sz w:val="20"/>
        </w:rPr>
        <w:t> </w:t>
      </w:r>
      <w:r>
        <w:rPr>
          <w:rFonts w:ascii="Arial" w:hAnsi="Arial"/>
          <w:i/>
          <w:sz w:val="20"/>
        </w:rPr>
        <w:t>850,</w:t>
      </w:r>
      <w:r>
        <w:rPr>
          <w:rFonts w:ascii="Arial" w:hAnsi="Arial"/>
          <w:i/>
          <w:spacing w:val="1"/>
          <w:sz w:val="20"/>
        </w:rPr>
        <w:t> </w:t>
      </w:r>
      <w:r>
        <w:rPr>
          <w:rFonts w:ascii="Arial" w:hAnsi="Arial"/>
          <w:i/>
          <w:sz w:val="20"/>
        </w:rPr>
        <w:t>855</w:t>
      </w:r>
      <w:r>
        <w:rPr>
          <w:sz w:val="20"/>
        </w:rPr>
        <w:t>;</w:t>
      </w:r>
      <w:r>
        <w:rPr>
          <w:spacing w:val="1"/>
          <w:sz w:val="20"/>
        </w:rPr>
        <w:t> </w:t>
      </w:r>
      <w:r>
        <w:rPr>
          <w:rFonts w:ascii="Arial" w:hAnsi="Arial"/>
          <w:i/>
          <w:sz w:val="20"/>
        </w:rPr>
        <w:t>Lock</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Furze</w:t>
      </w:r>
      <w:r>
        <w:rPr>
          <w:rFonts w:ascii="Arial" w:hAnsi="Arial"/>
          <w:i/>
          <w:spacing w:val="1"/>
          <w:sz w:val="20"/>
        </w:rPr>
        <w:t> </w:t>
      </w:r>
      <w:r>
        <w:rPr>
          <w:rFonts w:ascii="Arial" w:hAnsi="Arial"/>
          <w:i/>
          <w:sz w:val="20"/>
        </w:rPr>
        <w:t>(1866)</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C.P.</w:t>
      </w:r>
      <w:r>
        <w:rPr>
          <w:rFonts w:ascii="Arial" w:hAnsi="Arial"/>
          <w:i/>
          <w:spacing w:val="1"/>
          <w:sz w:val="20"/>
        </w:rPr>
        <w:t> </w:t>
      </w:r>
      <w:r>
        <w:rPr>
          <w:rFonts w:ascii="Arial" w:hAnsi="Arial"/>
          <w:i/>
          <w:sz w:val="20"/>
        </w:rPr>
        <w:t>441,</w:t>
      </w:r>
      <w:r>
        <w:rPr>
          <w:rFonts w:ascii="Arial" w:hAnsi="Arial"/>
          <w:i/>
          <w:spacing w:val="1"/>
          <w:sz w:val="20"/>
        </w:rPr>
        <w:t> </w:t>
      </w:r>
      <w:r>
        <w:rPr>
          <w:rFonts w:ascii="Arial" w:hAnsi="Arial"/>
          <w:i/>
          <w:sz w:val="20"/>
        </w:rPr>
        <w:t>450–451,</w:t>
      </w:r>
      <w:r>
        <w:rPr>
          <w:rFonts w:ascii="Arial" w:hAnsi="Arial"/>
          <w:i/>
          <w:spacing w:val="1"/>
          <w:sz w:val="20"/>
        </w:rPr>
        <w:t> </w:t>
      </w:r>
      <w:r>
        <w:rPr>
          <w:rFonts w:ascii="Arial" w:hAnsi="Arial"/>
          <w:i/>
          <w:spacing w:val="-4"/>
          <w:sz w:val="20"/>
        </w:rPr>
        <w:t>453</w:t>
      </w:r>
      <w:r>
        <w:rPr>
          <w:spacing w:val="-4"/>
          <w:sz w:val="20"/>
        </w:rPr>
        <w:t>;</w:t>
      </w:r>
    </w:p>
    <w:p>
      <w:pPr>
        <w:spacing w:line="235" w:lineRule="auto" w:before="1"/>
        <w:ind w:left="705" w:right="168" w:firstLine="0"/>
        <w:jc w:val="both"/>
        <w:rPr>
          <w:rFonts w:ascii="Arial"/>
          <w:i/>
          <w:sz w:val="20"/>
        </w:rPr>
      </w:pPr>
      <w:r>
        <w:rPr>
          <w:rFonts w:ascii="Arial"/>
          <w:i/>
          <w:sz w:val="20"/>
        </w:rPr>
        <w:t>Livingstone v Rawyards Coal Co (1880) 5 App. Cas. 25, 39</w:t>
      </w:r>
      <w:r>
        <w:rPr>
          <w:sz w:val="20"/>
        </w:rPr>
        <w:t>; </w:t>
      </w:r>
      <w:r>
        <w:rPr>
          <w:rFonts w:ascii="Arial"/>
          <w:i/>
          <w:sz w:val="20"/>
        </w:rPr>
        <w:t>Wertheim v Chicoutimi Pulp </w:t>
      </w:r>
      <w:r>
        <w:rPr>
          <w:rFonts w:ascii="Arial"/>
          <w:i/>
          <w:sz w:val="20"/>
        </w:rPr>
        <w:t>Co [1911]</w:t>
      </w:r>
      <w:r>
        <w:rPr>
          <w:rFonts w:ascii="Arial"/>
          <w:i/>
          <w:spacing w:val="13"/>
          <w:sz w:val="20"/>
        </w:rPr>
        <w:t> </w:t>
      </w:r>
      <w:r>
        <w:rPr>
          <w:rFonts w:ascii="Arial"/>
          <w:i/>
          <w:sz w:val="20"/>
        </w:rPr>
        <w:t>A.C.</w:t>
      </w:r>
      <w:r>
        <w:rPr>
          <w:rFonts w:ascii="Arial"/>
          <w:i/>
          <w:spacing w:val="14"/>
          <w:sz w:val="20"/>
        </w:rPr>
        <w:t> </w:t>
      </w:r>
      <w:r>
        <w:rPr>
          <w:rFonts w:ascii="Arial"/>
          <w:i/>
          <w:sz w:val="20"/>
        </w:rPr>
        <w:t>301,</w:t>
      </w:r>
      <w:r>
        <w:rPr>
          <w:rFonts w:ascii="Arial"/>
          <w:i/>
          <w:spacing w:val="14"/>
          <w:sz w:val="20"/>
        </w:rPr>
        <w:t> </w:t>
      </w:r>
      <w:r>
        <w:rPr>
          <w:rFonts w:ascii="Arial"/>
          <w:i/>
          <w:sz w:val="20"/>
        </w:rPr>
        <w:t>307</w:t>
      </w:r>
      <w:r>
        <w:rPr>
          <w:sz w:val="20"/>
        </w:rPr>
        <w:t>;</w:t>
      </w:r>
      <w:r>
        <w:rPr>
          <w:spacing w:val="14"/>
          <w:sz w:val="20"/>
        </w:rPr>
        <w:t> </w:t>
      </w:r>
      <w:r>
        <w:rPr>
          <w:rFonts w:ascii="Arial"/>
          <w:i/>
          <w:sz w:val="20"/>
        </w:rPr>
        <w:t>British</w:t>
      </w:r>
      <w:r>
        <w:rPr>
          <w:rFonts w:ascii="Arial"/>
          <w:i/>
          <w:spacing w:val="14"/>
          <w:sz w:val="20"/>
        </w:rPr>
        <w:t> </w:t>
      </w:r>
      <w:r>
        <w:rPr>
          <w:rFonts w:ascii="Arial"/>
          <w:i/>
          <w:sz w:val="20"/>
        </w:rPr>
        <w:t>Westinghouse</w:t>
      </w:r>
      <w:r>
        <w:rPr>
          <w:rFonts w:ascii="Arial"/>
          <w:i/>
          <w:spacing w:val="14"/>
          <w:sz w:val="20"/>
        </w:rPr>
        <w:t> </w:t>
      </w:r>
      <w:r>
        <w:rPr>
          <w:rFonts w:ascii="Arial"/>
          <w:i/>
          <w:sz w:val="20"/>
        </w:rPr>
        <w:t>Electric</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Underground</w:t>
      </w:r>
      <w:r>
        <w:rPr>
          <w:rFonts w:ascii="Arial"/>
          <w:i/>
          <w:spacing w:val="14"/>
          <w:sz w:val="20"/>
        </w:rPr>
        <w:t> </w:t>
      </w:r>
      <w:r>
        <w:rPr>
          <w:rFonts w:ascii="Arial"/>
          <w:i/>
          <w:sz w:val="20"/>
        </w:rPr>
        <w:t>Electric</w:t>
      </w:r>
      <w:r>
        <w:rPr>
          <w:rFonts w:ascii="Arial"/>
          <w:i/>
          <w:spacing w:val="14"/>
          <w:sz w:val="20"/>
        </w:rPr>
        <w:t> </w:t>
      </w:r>
      <w:r>
        <w:rPr>
          <w:rFonts w:ascii="Arial"/>
          <w:i/>
          <w:sz w:val="20"/>
        </w:rPr>
        <w:t>Rys</w:t>
      </w:r>
      <w:r>
        <w:rPr>
          <w:rFonts w:ascii="Arial"/>
          <w:i/>
          <w:spacing w:val="14"/>
          <w:sz w:val="20"/>
        </w:rPr>
        <w:t> </w:t>
      </w:r>
      <w:r>
        <w:rPr>
          <w:rFonts w:ascii="Arial"/>
          <w:i/>
          <w:spacing w:val="-2"/>
          <w:sz w:val="20"/>
        </w:rPr>
        <w:t>[1912]</w:t>
      </w:r>
    </w:p>
    <w:p>
      <w:pPr>
        <w:spacing w:line="235" w:lineRule="auto" w:before="0"/>
        <w:ind w:left="705" w:right="168" w:firstLine="0"/>
        <w:jc w:val="both"/>
        <w:rPr>
          <w:rFonts w:ascii="Arial" w:hAnsi="Arial"/>
          <w:i/>
          <w:sz w:val="20"/>
        </w:rPr>
      </w:pPr>
      <w:r>
        <w:rPr>
          <w:rFonts w:ascii="Arial" w:hAnsi="Arial"/>
          <w:i/>
          <w:sz w:val="20"/>
        </w:rPr>
        <w:t>A.C. 673, 689</w:t>
      </w:r>
      <w:r>
        <w:rPr>
          <w:sz w:val="20"/>
        </w:rPr>
        <w:t>; </w:t>
      </w:r>
      <w:r>
        <w:rPr>
          <w:rFonts w:ascii="Arial" w:hAnsi="Arial"/>
          <w:i/>
          <w:sz w:val="20"/>
        </w:rPr>
        <w:t>Watts &amp; Co Ltd v Mitsui &amp; Co Ltd [1917] A.C. 227, 241</w:t>
      </w:r>
      <w:r>
        <w:rPr>
          <w:sz w:val="20"/>
        </w:rPr>
        <w:t>; </w:t>
      </w:r>
      <w:r>
        <w:rPr>
          <w:rFonts w:ascii="Arial" w:hAnsi="Arial"/>
          <w:i/>
          <w:sz w:val="20"/>
        </w:rPr>
        <w:t>Banco de Portugal v Waterlow &amp; Sons Ltd [1932] A.C. 452, 474</w:t>
      </w:r>
      <w:r>
        <w:rPr>
          <w:sz w:val="20"/>
        </w:rPr>
        <w:t>; </w:t>
      </w:r>
      <w:r>
        <w:rPr>
          <w:rFonts w:ascii="Arial" w:hAnsi="Arial"/>
          <w:i/>
          <w:sz w:val="20"/>
        </w:rPr>
        <w:t>Monarch S.S. Co Ltd v Karlshamns </w:t>
      </w:r>
      <w:r>
        <w:rPr>
          <w:rFonts w:ascii="Arial" w:hAnsi="Arial"/>
          <w:i/>
          <w:sz w:val="20"/>
        </w:rPr>
        <w:t>Oljefabriker (A/B)</w:t>
      </w:r>
      <w:r>
        <w:rPr>
          <w:rFonts w:ascii="Arial" w:hAnsi="Arial"/>
          <w:i/>
          <w:spacing w:val="7"/>
          <w:sz w:val="20"/>
        </w:rPr>
        <w:t> </w:t>
      </w:r>
      <w:r>
        <w:rPr>
          <w:rFonts w:ascii="Arial" w:hAnsi="Arial"/>
          <w:i/>
          <w:sz w:val="20"/>
        </w:rPr>
        <w:t>[1949]</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196,</w:t>
      </w:r>
      <w:r>
        <w:rPr>
          <w:rFonts w:ascii="Arial" w:hAnsi="Arial"/>
          <w:i/>
          <w:spacing w:val="8"/>
          <w:sz w:val="20"/>
        </w:rPr>
        <w:t> </w:t>
      </w:r>
      <w:r>
        <w:rPr>
          <w:rFonts w:ascii="Arial" w:hAnsi="Arial"/>
          <w:i/>
          <w:sz w:val="20"/>
        </w:rPr>
        <w:t>220–221</w:t>
      </w:r>
      <w:r>
        <w:rPr>
          <w:sz w:val="20"/>
        </w:rPr>
        <w:t>;</w:t>
      </w:r>
      <w:r>
        <w:rPr>
          <w:spacing w:val="8"/>
          <w:sz w:val="20"/>
        </w:rPr>
        <w:t> </w:t>
      </w:r>
      <w:r>
        <w:rPr>
          <w:rFonts w:ascii="Arial" w:hAnsi="Arial"/>
          <w:i/>
          <w:sz w:val="20"/>
        </w:rPr>
        <w:t>C.</w:t>
      </w:r>
      <w:r>
        <w:rPr>
          <w:rFonts w:ascii="Arial" w:hAnsi="Arial"/>
          <w:i/>
          <w:spacing w:val="8"/>
          <w:sz w:val="20"/>
        </w:rPr>
        <w:t> </w:t>
      </w:r>
      <w:r>
        <w:rPr>
          <w:rFonts w:ascii="Arial" w:hAnsi="Arial"/>
          <w:i/>
          <w:sz w:val="20"/>
        </w:rPr>
        <w:t>Czarnikow</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7"/>
          <w:sz w:val="20"/>
        </w:rPr>
        <w:t> </w:t>
      </w:r>
      <w:r>
        <w:rPr>
          <w:rFonts w:ascii="Arial" w:hAnsi="Arial"/>
          <w:i/>
          <w:sz w:val="20"/>
        </w:rPr>
        <w:t>Koufos</w:t>
      </w:r>
      <w:r>
        <w:rPr>
          <w:rFonts w:ascii="Arial" w:hAnsi="Arial"/>
          <w:i/>
          <w:spacing w:val="8"/>
          <w:sz w:val="20"/>
        </w:rPr>
        <w:t> </w:t>
      </w:r>
      <w:r>
        <w:rPr>
          <w:rFonts w:ascii="Arial" w:hAnsi="Arial"/>
          <w:i/>
          <w:sz w:val="20"/>
        </w:rPr>
        <w:t>[1969]</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350,</w:t>
      </w:r>
      <w:r>
        <w:rPr>
          <w:rFonts w:ascii="Arial" w:hAnsi="Arial"/>
          <w:i/>
          <w:spacing w:val="8"/>
          <w:sz w:val="20"/>
        </w:rPr>
        <w:t> </w:t>
      </w:r>
      <w:r>
        <w:rPr>
          <w:rFonts w:ascii="Arial" w:hAnsi="Arial"/>
          <w:i/>
          <w:sz w:val="20"/>
        </w:rPr>
        <w:t>414</w:t>
      </w:r>
      <w:r>
        <w:rPr>
          <w:sz w:val="20"/>
        </w:rPr>
        <w:t>;</w:t>
      </w:r>
      <w:r>
        <w:rPr>
          <w:spacing w:val="8"/>
          <w:sz w:val="20"/>
        </w:rPr>
        <w:t> </w:t>
      </w:r>
      <w:r>
        <w:rPr>
          <w:rFonts w:ascii="Arial" w:hAnsi="Arial"/>
          <w:i/>
          <w:sz w:val="20"/>
        </w:rPr>
        <w:t>Johnson</w:t>
      </w:r>
      <w:r>
        <w:rPr>
          <w:rFonts w:ascii="Arial" w:hAnsi="Arial"/>
          <w:i/>
          <w:spacing w:val="8"/>
          <w:sz w:val="20"/>
        </w:rPr>
        <w:t> </w:t>
      </w:r>
      <w:r>
        <w:rPr>
          <w:rFonts w:ascii="Arial" w:hAnsi="Arial"/>
          <w:i/>
          <w:spacing w:val="-10"/>
          <w:sz w:val="20"/>
        </w:rPr>
        <w:t>v</w:t>
      </w:r>
    </w:p>
    <w:p>
      <w:pPr>
        <w:spacing w:line="225" w:lineRule="exact" w:before="0"/>
        <w:ind w:left="705" w:right="0" w:firstLine="0"/>
        <w:jc w:val="both"/>
        <w:rPr>
          <w:sz w:val="20"/>
        </w:rPr>
      </w:pPr>
      <w:r>
        <w:rPr>
          <w:rFonts w:ascii="Arial"/>
          <w:i/>
          <w:sz w:val="20"/>
        </w:rPr>
        <w:t>Agnew</w:t>
      </w:r>
      <w:r>
        <w:rPr>
          <w:rFonts w:ascii="Arial"/>
          <w:i/>
          <w:spacing w:val="-2"/>
          <w:sz w:val="20"/>
        </w:rPr>
        <w:t> </w:t>
      </w:r>
      <w:r>
        <w:rPr>
          <w:rFonts w:ascii="Arial"/>
          <w:i/>
          <w:sz w:val="20"/>
        </w:rPr>
        <w:t>[1980] A.C. 367, </w:t>
      </w:r>
      <w:r>
        <w:rPr>
          <w:rFonts w:ascii="Arial"/>
          <w:i/>
          <w:spacing w:val="-4"/>
          <w:sz w:val="20"/>
        </w:rPr>
        <w:t>400</w:t>
      </w:r>
      <w:r>
        <w:rPr>
          <w:spacing w:val="-4"/>
          <w:sz w:val="20"/>
        </w:rPr>
        <w:t>.</w:t>
      </w:r>
    </w:p>
    <w:p>
      <w:pPr>
        <w:pStyle w:val="BodyText"/>
        <w:spacing w:before="4"/>
      </w:pPr>
    </w:p>
    <w:p>
      <w:pPr>
        <w:pStyle w:val="BodyText"/>
        <w:tabs>
          <w:tab w:pos="705" w:val="left" w:leader="none"/>
        </w:tabs>
        <w:ind w:left="165"/>
      </w:pPr>
      <w:r>
        <w:rPr/>
        <mc:AlternateContent>
          <mc:Choice Requires="wps">
            <w:drawing>
              <wp:anchor distT="0" distB="0" distL="0" distR="0" allowOverlap="1" layoutInCell="1" locked="0" behindDoc="1" simplePos="0" relativeHeight="479215104">
                <wp:simplePos x="0" y="0"/>
                <wp:positionH relativeFrom="page">
                  <wp:posOffset>914400</wp:posOffset>
                </wp:positionH>
                <wp:positionV relativeFrom="paragraph">
                  <wp:posOffset>97269</wp:posOffset>
                </wp:positionV>
                <wp:extent cx="49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1376" from="72pt,7.658988pt" to="75.892pt,7.658988pt" stroked="true" strokeweight=".5pt" strokecolor="#005da1">
                <v:stroke dashstyle="solid"/>
                <w10:wrap type="none"/>
              </v:line>
            </w:pict>
          </mc:Fallback>
        </mc:AlternateContent>
      </w:r>
      <w:bookmarkStart w:name="_bookmark57" w:id="59"/>
      <w:bookmarkEnd w:id="59"/>
      <w:r>
        <w:rPr/>
      </w:r>
      <w:hyperlink w:history="true" w:anchor="_bookmark4">
        <w:r>
          <w:rPr>
            <w:color w:val="005DA1"/>
            <w:spacing w:val="-5"/>
            <w:position w:val="5"/>
            <w:sz w:val="14"/>
          </w:rPr>
          <w:t>7</w:t>
        </w:r>
      </w:hyperlink>
      <w:r>
        <w:rPr>
          <w:spacing w:val="-5"/>
          <w:position w:val="5"/>
          <w:sz w:val="14"/>
        </w:rPr>
        <w:t>.</w:t>
      </w:r>
      <w:r>
        <w:rPr>
          <w:position w:val="5"/>
          <w:sz w:val="14"/>
        </w:rPr>
        <w:tab/>
      </w:r>
      <w:r>
        <w:rPr/>
        <w:t>For exceptions see below, paras 26-043—26-</w:t>
      </w:r>
      <w:r>
        <w:rPr>
          <w:spacing w:val="-4"/>
        </w:rPr>
        <w:t>057.</w:t>
      </w:r>
    </w:p>
    <w:p>
      <w:pPr>
        <w:pStyle w:val="BodyText"/>
        <w:spacing w:before="9"/>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79215616">
                <wp:simplePos x="0" y="0"/>
                <wp:positionH relativeFrom="page">
                  <wp:posOffset>914400</wp:posOffset>
                </wp:positionH>
                <wp:positionV relativeFrom="paragraph">
                  <wp:posOffset>94753</wp:posOffset>
                </wp:positionV>
                <wp:extent cx="495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4100864" from="72pt,7.460941pt" to="75.892pt,7.460941pt" stroked="true" strokeweight=".5pt" strokecolor="#005da1">
                <v:stroke dashstyle="solid"/>
                <w10:wrap type="none"/>
              </v:line>
            </w:pict>
          </mc:Fallback>
        </mc:AlternateContent>
      </w:r>
      <w:bookmarkStart w:name="_bookmark58" w:id="60"/>
      <w:bookmarkEnd w:id="60"/>
      <w:r>
        <w:rPr/>
      </w:r>
      <w:hyperlink w:history="true" w:anchor="_bookmark5">
        <w:r>
          <w:rPr>
            <w:color w:val="005DA1"/>
            <w:spacing w:val="-6"/>
            <w:position w:val="5"/>
            <w:sz w:val="14"/>
          </w:rPr>
          <w:t>8</w:t>
        </w:r>
      </w:hyperlink>
      <w:r>
        <w:rPr>
          <w:spacing w:val="-6"/>
          <w:position w:val="5"/>
          <w:sz w:val="14"/>
        </w:rPr>
        <w:t>.</w:t>
      </w:r>
      <w:r>
        <w:rPr>
          <w:position w:val="5"/>
          <w:sz w:val="14"/>
        </w:rPr>
        <w:tab/>
      </w:r>
      <w:r>
        <w:rPr>
          <w:sz w:val="20"/>
        </w:rPr>
        <w:t>For recent applications of this principle, see </w:t>
      </w:r>
      <w:r>
        <w:rPr>
          <w:rFonts w:ascii="Arial" w:hAnsi="Arial"/>
          <w:i/>
          <w:sz w:val="20"/>
        </w:rPr>
        <w:t>Golden Strait Corp v Nippon Yusen Kubishika Kaisha [2007] UKHL 12, [2007] 2 A.C. 353 </w:t>
      </w:r>
      <w:r>
        <w:rPr>
          <w:sz w:val="20"/>
        </w:rPr>
        <w:t>at [9], [29], and [57] and </w:t>
      </w:r>
      <w:r>
        <w:rPr>
          <w:rFonts w:ascii="Arial" w:hAnsi="Arial"/>
          <w:i/>
          <w:sz w:val="20"/>
        </w:rPr>
        <w:t>Bunge SA v Nidera </w:t>
      </w:r>
      <w:r>
        <w:rPr>
          <w:rFonts w:ascii="Arial" w:hAnsi="Arial"/>
          <w:i/>
          <w:sz w:val="20"/>
        </w:rPr>
        <w:t>BV [2015] UKSC 43 </w:t>
      </w:r>
      <w:r>
        <w:rPr>
          <w:sz w:val="20"/>
        </w:rPr>
        <w:t>at [76] (see below, para.26-074). If the victim of an anticipatory breach claims damages for non-performance, he must show that he would have been able to perform his obligations under the contract, otherwise he would be placed into a better position than if the party guilty of the repudiation had performed: </w:t>
      </w:r>
      <w:r>
        <w:rPr>
          <w:rFonts w:ascii="Arial" w:hAnsi="Arial"/>
          <w:i/>
          <w:sz w:val="20"/>
        </w:rPr>
        <w:t>Flame SA v Glory Wealth Shipping Pte Ltd (The Glory</w:t>
      </w:r>
      <w:r>
        <w:rPr>
          <w:rFonts w:ascii="Arial" w:hAnsi="Arial"/>
          <w:i/>
          <w:spacing w:val="-1"/>
          <w:sz w:val="20"/>
        </w:rPr>
        <w:t> </w:t>
      </w:r>
      <w:r>
        <w:rPr>
          <w:rFonts w:ascii="Arial" w:hAnsi="Arial"/>
          <w:i/>
          <w:sz w:val="20"/>
        </w:rPr>
        <w:t>Wealth) [2013] EWHC 3153 (Comm), [2013] 2 Lloyd’s Rep. 653</w:t>
      </w:r>
      <w:r>
        <w:rPr>
          <w:sz w:val="20"/>
        </w:rPr>
        <w:t>. See above, para.24-</w:t>
      </w:r>
      <w:r>
        <w:rPr>
          <w:spacing w:val="-4"/>
          <w:sz w:val="20"/>
        </w:rPr>
        <w:t>024.</w:t>
      </w:r>
    </w:p>
    <w:p>
      <w:pPr>
        <w:pStyle w:val="BodyText"/>
        <w:spacing w:before="80"/>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92434</wp:posOffset>
                </wp:positionV>
                <wp:extent cx="4953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8324pt;width:3.9pt;height:.1pt;mso-position-horizontal-relative:page;mso-position-vertical-relative:paragraph;z-index:-15722496;mso-wrap-distance-left:0;mso-wrap-distance-right:0" id="docshape4"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99724</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 w:id="61"/>
      <w:bookmarkEnd w:id="61"/>
      <w:r>
        <w:rPr/>
      </w:r>
      <w:hyperlink w:history="true" w:anchor="_bookmark6">
        <w:r>
          <w:rPr>
            <w:color w:val="005DA1"/>
            <w:spacing w:val="-5"/>
            <w:sz w:val="14"/>
          </w:rPr>
          <w:t>9</w:t>
        </w:r>
      </w:hyperlink>
      <w:r>
        <w:rPr>
          <w:spacing w:val="-5"/>
          <w:sz w:val="14"/>
        </w:rPr>
        <w:t>.</w:t>
      </w:r>
    </w:p>
    <w:p>
      <w:pPr>
        <w:pStyle w:val="BodyText"/>
        <w:spacing w:line="189" w:lineRule="exact"/>
        <w:ind w:left="875"/>
        <w:jc w:val="both"/>
      </w:pPr>
      <w:r>
        <w:rPr/>
        <w:t>Thus</w:t>
      </w:r>
      <w:r>
        <w:rPr>
          <w:spacing w:val="2"/>
        </w:rPr>
        <w:t> </w:t>
      </w:r>
      <w:r>
        <w:rPr/>
        <w:t>a</w:t>
      </w:r>
      <w:r>
        <w:rPr>
          <w:spacing w:val="2"/>
        </w:rPr>
        <w:t> </w:t>
      </w:r>
      <w:r>
        <w:rPr/>
        <w:t>football</w:t>
      </w:r>
      <w:r>
        <w:rPr>
          <w:spacing w:val="2"/>
        </w:rPr>
        <w:t> </w:t>
      </w:r>
      <w:r>
        <w:rPr/>
        <w:t>club</w:t>
      </w:r>
      <w:r>
        <w:rPr>
          <w:spacing w:val="2"/>
        </w:rPr>
        <w:t> </w:t>
      </w:r>
      <w:r>
        <w:rPr/>
        <w:t>that</w:t>
      </w:r>
      <w:r>
        <w:rPr>
          <w:spacing w:val="2"/>
        </w:rPr>
        <w:t> </w:t>
      </w:r>
      <w:r>
        <w:rPr/>
        <w:t>has</w:t>
      </w:r>
      <w:r>
        <w:rPr>
          <w:spacing w:val="2"/>
        </w:rPr>
        <w:t> </w:t>
      </w:r>
      <w:r>
        <w:rPr/>
        <w:t>terminated</w:t>
      </w:r>
      <w:r>
        <w:rPr>
          <w:spacing w:val="2"/>
        </w:rPr>
        <w:t> </w:t>
      </w:r>
      <w:r>
        <w:rPr/>
        <w:t>a</w:t>
      </w:r>
      <w:r>
        <w:rPr>
          <w:spacing w:val="2"/>
        </w:rPr>
        <w:t> </w:t>
      </w:r>
      <w:r>
        <w:rPr/>
        <w:t>contract</w:t>
      </w:r>
      <w:r>
        <w:rPr>
          <w:spacing w:val="2"/>
        </w:rPr>
        <w:t> </w:t>
      </w:r>
      <w:r>
        <w:rPr/>
        <w:t>for</w:t>
      </w:r>
      <w:r>
        <w:rPr>
          <w:spacing w:val="2"/>
        </w:rPr>
        <w:t> </w:t>
      </w:r>
      <w:r>
        <w:rPr/>
        <w:t>improvements</w:t>
      </w:r>
      <w:r>
        <w:rPr>
          <w:spacing w:val="2"/>
        </w:rPr>
        <w:t> </w:t>
      </w:r>
      <w:r>
        <w:rPr/>
        <w:t>to</w:t>
      </w:r>
      <w:r>
        <w:rPr>
          <w:spacing w:val="2"/>
        </w:rPr>
        <w:t> </w:t>
      </w:r>
      <w:r>
        <w:rPr/>
        <w:t>its</w:t>
      </w:r>
      <w:r>
        <w:rPr>
          <w:spacing w:val="2"/>
        </w:rPr>
        <w:t> </w:t>
      </w:r>
      <w:r>
        <w:rPr/>
        <w:t>pitch</w:t>
      </w:r>
      <w:r>
        <w:rPr>
          <w:spacing w:val="2"/>
        </w:rPr>
        <w:t> </w:t>
      </w:r>
      <w:r>
        <w:rPr/>
        <w:t>before</w:t>
      </w:r>
      <w:r>
        <w:rPr>
          <w:spacing w:val="2"/>
        </w:rPr>
        <w:t> </w:t>
      </w:r>
      <w:r>
        <w:rPr>
          <w:spacing w:val="-2"/>
        </w:rPr>
        <w:t>paying</w:t>
      </w:r>
    </w:p>
    <w:p>
      <w:pPr>
        <w:spacing w:line="235" w:lineRule="auto" w:before="1"/>
        <w:ind w:left="705" w:right="167" w:firstLine="0"/>
        <w:jc w:val="both"/>
        <w:rPr>
          <w:sz w:val="20"/>
        </w:rPr>
      </w:pPr>
      <w:r>
        <w:rPr>
          <w:sz w:val="20"/>
        </w:rPr>
        <w:t>the price cannot recover the full price of employing a third party to carry out the work instead: </w:t>
      </w:r>
      <w:r>
        <w:rPr>
          <w:rFonts w:ascii="Arial"/>
          <w:i/>
          <w:sz w:val="20"/>
        </w:rPr>
        <w:t>Gartell &amp; Son v Yeovil Town Football &amp; Athletic Club Ltd [2016] EWCA Civ 62, [2016] B.L.R. </w:t>
      </w:r>
      <w:r>
        <w:rPr>
          <w:rFonts w:ascii="Arial"/>
          <w:i/>
          <w:spacing w:val="-4"/>
          <w:sz w:val="20"/>
        </w:rPr>
        <w:t>206</w:t>
      </w:r>
      <w:r>
        <w:rPr>
          <w:spacing w:val="-4"/>
          <w:sz w:val="20"/>
        </w:rPr>
        <w:t>.</w:t>
      </w:r>
    </w:p>
    <w:p>
      <w:pPr>
        <w:pStyle w:val="BodyText"/>
        <w:spacing w:before="9"/>
      </w:pPr>
    </w:p>
    <w:p>
      <w:pPr>
        <w:spacing w:line="235" w:lineRule="auto" w:before="0"/>
        <w:ind w:left="705" w:right="167" w:hanging="541"/>
        <w:jc w:val="both"/>
        <w:rPr>
          <w:sz w:val="20"/>
        </w:rPr>
      </w:pPr>
      <w:bookmarkStart w:name="_bookmark60" w:id="62"/>
      <w:bookmarkEnd w:id="62"/>
      <w:r>
        <w:rPr/>
      </w:r>
      <w:hyperlink w:history="true" w:anchor="_bookmark7">
        <w:r>
          <w:rPr>
            <w:color w:val="005DA1"/>
            <w:position w:val="5"/>
            <w:sz w:val="14"/>
            <w:u w:val="single" w:color="005DA1"/>
          </w:rPr>
          <w:t>10</w:t>
        </w:r>
      </w:hyperlink>
      <w:r>
        <w:rPr>
          <w:position w:val="5"/>
          <w:sz w:val="14"/>
        </w:rPr>
        <w:t>.</w:t>
      </w:r>
      <w:r>
        <w:rPr>
          <w:spacing w:val="80"/>
          <w:w w:val="150"/>
          <w:position w:val="5"/>
          <w:sz w:val="14"/>
        </w:rPr>
        <w:t>  </w:t>
      </w:r>
      <w:r>
        <w:rPr>
          <w:sz w:val="20"/>
        </w:rPr>
        <w:t>The language of “balancing” or “setting off” gains and losses is used by the House of Lords in</w:t>
      </w:r>
      <w:r>
        <w:rPr>
          <w:spacing w:val="40"/>
          <w:sz w:val="20"/>
        </w:rPr>
        <w:t> </w:t>
      </w:r>
      <w:r>
        <w:rPr>
          <w:sz w:val="20"/>
        </w:rPr>
        <w:t>the </w:t>
      </w:r>
      <w:r>
        <w:rPr>
          <w:rFonts w:ascii="Arial" w:hAnsi="Arial"/>
          <w:i/>
          <w:sz w:val="20"/>
        </w:rPr>
        <w:t>British Westinghouse case [1912] A.C. 673, 691</w:t>
      </w:r>
      <w:r>
        <w:rPr>
          <w:sz w:val="20"/>
        </w:rPr>
        <w:t>, and in </w:t>
      </w:r>
      <w:r>
        <w:rPr>
          <w:rFonts w:ascii="Arial" w:hAnsi="Arial"/>
          <w:i/>
          <w:sz w:val="20"/>
        </w:rPr>
        <w:t>Westwood v Secretary of State for Employment [1985] A.C. 20, 44</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160180</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1" w:id="63"/>
      <w:bookmarkEnd w:id="63"/>
      <w:r>
        <w:rPr/>
      </w:r>
      <w:hyperlink w:history="true" w:anchor="_bookmark8">
        <w:r>
          <w:rPr>
            <w:color w:val="005DA1"/>
            <w:spacing w:val="-5"/>
            <w:sz w:val="14"/>
            <w:u w:val="single" w:color="005DA1"/>
          </w:rPr>
          <w:t>11</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Zodiac Maritime Agencies Ltd v Fortescue Metals Group Ltd (The Kildare) [2010] EWHC 903 (Comm), [2011] 2 Lloyd’s Rep. 360 </w:t>
      </w:r>
      <w:r>
        <w:rPr>
          <w:sz w:val="20"/>
        </w:rPr>
        <w:t>at [73]; </w:t>
      </w:r>
      <w:r>
        <w:rPr>
          <w:rFonts w:ascii="Arial" w:hAnsi="Arial"/>
          <w:i/>
          <w:sz w:val="20"/>
        </w:rPr>
        <w:t>Mitsui Osk Lines Ltd v Salgaocar Mining </w:t>
      </w:r>
      <w:r>
        <w:rPr>
          <w:rFonts w:ascii="Arial" w:hAnsi="Arial"/>
          <w:i/>
          <w:sz w:val="20"/>
        </w:rPr>
        <w:t>Industries Private Ltd [2015] EWHC 565 (Comm), [2015] 2 Lloyd’s Rep. 518 </w:t>
      </w:r>
      <w:r>
        <w:rPr>
          <w:sz w:val="20"/>
        </w:rPr>
        <w:t>at [56]–[58].</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8"/>
      </w:pPr>
    </w:p>
    <w:p>
      <w:pPr>
        <w:pStyle w:val="BodyText"/>
        <w:spacing w:line="235" w:lineRule="auto" w:before="1"/>
        <w:ind w:left="705" w:right="167" w:hanging="541"/>
        <w:jc w:val="both"/>
      </w:pPr>
      <w:bookmarkStart w:name="_bookmark62" w:id="64"/>
      <w:bookmarkEnd w:id="64"/>
      <w:r>
        <w:rPr/>
      </w:r>
      <w:hyperlink w:history="true" w:anchor="_bookmark9">
        <w:r>
          <w:rPr>
            <w:color w:val="005DA1"/>
            <w:position w:val="5"/>
            <w:sz w:val="14"/>
            <w:u w:val="single" w:color="005DA1"/>
          </w:rPr>
          <w:t>12</w:t>
        </w:r>
      </w:hyperlink>
      <w:r>
        <w:rPr>
          <w:position w:val="5"/>
          <w:sz w:val="14"/>
        </w:rPr>
        <w:t>.</w:t>
      </w:r>
      <w:r>
        <w:rPr>
          <w:spacing w:val="80"/>
          <w:position w:val="5"/>
          <w:sz w:val="14"/>
        </w:rPr>
        <w:t>  </w:t>
      </w:r>
      <w:r>
        <w:rPr/>
        <w:t>It will on occasion take into account losses incurred by the claimant even though he was not legally obliged to incur them, e.g. payments made voluntarily to a third person injured as the result of the defendant’s breach of contract. See below, para.26-033.</w:t>
      </w:r>
    </w:p>
    <w:p>
      <w:pPr>
        <w:pStyle w:val="BodyText"/>
        <w:spacing w:before="8"/>
      </w:pPr>
    </w:p>
    <w:p>
      <w:pPr>
        <w:spacing w:line="235" w:lineRule="auto" w:before="0"/>
        <w:ind w:left="705" w:right="168" w:hanging="541"/>
        <w:jc w:val="both"/>
        <w:rPr>
          <w:sz w:val="20"/>
        </w:rPr>
      </w:pPr>
      <w:bookmarkStart w:name="_bookmark63" w:id="65"/>
      <w:bookmarkEnd w:id="65"/>
      <w:r>
        <w:rPr/>
      </w:r>
      <w:hyperlink w:history="true" w:anchor="_bookmark10">
        <w:r>
          <w:rPr>
            <w:color w:val="005DA1"/>
            <w:position w:val="5"/>
            <w:sz w:val="14"/>
            <w:u w:val="single" w:color="005DA1"/>
          </w:rPr>
          <w:t>13</w:t>
        </w:r>
      </w:hyperlink>
      <w:r>
        <w:rPr>
          <w:position w:val="5"/>
          <w:sz w:val="14"/>
        </w:rPr>
        <w:t>.</w:t>
      </w:r>
      <w:r>
        <w:rPr>
          <w:spacing w:val="80"/>
          <w:position w:val="5"/>
          <w:sz w:val="14"/>
        </w:rPr>
        <w:t>  </w:t>
      </w:r>
      <w:r>
        <w:rPr>
          <w:rFonts w:ascii="Arial" w:hAnsi="Arial"/>
          <w:i/>
          <w:sz w:val="20"/>
        </w:rPr>
        <w:t>Lavarack v Woods of Colchester Ltd [1967] 1 Q.B. 278, 294 </w:t>
      </w:r>
      <w:r>
        <w:rPr>
          <w:sz w:val="20"/>
        </w:rPr>
        <w:t>(distinguished in a case of “unfair dismissal”: </w:t>
      </w:r>
      <w:r>
        <w:rPr>
          <w:rFonts w:ascii="Arial" w:hAnsi="Arial"/>
          <w:i/>
          <w:sz w:val="20"/>
        </w:rPr>
        <w:t>York Trailer Ltd v Sparkes [1973] IRC 518</w:t>
      </w:r>
      <w:r>
        <w:rPr>
          <w:sz w:val="20"/>
        </w:rPr>
        <w:t>; cf. </w:t>
      </w:r>
      <w:r>
        <w:rPr>
          <w:rFonts w:ascii="Arial" w:hAnsi="Arial"/>
          <w:i/>
          <w:sz w:val="20"/>
        </w:rPr>
        <w:t>Janciuk v Winerite Ltd [1998] I.R.L.R. 63</w:t>
      </w:r>
      <w:r>
        <w:rPr>
          <w:sz w:val="20"/>
        </w:rPr>
        <w:t>,</w:t>
      </w:r>
      <w:r>
        <w:rPr>
          <w:spacing w:val="3"/>
          <w:sz w:val="20"/>
        </w:rPr>
        <w:t> </w:t>
      </w:r>
      <w:r>
        <w:rPr>
          <w:sz w:val="20"/>
        </w:rPr>
        <w:t>and</w:t>
      </w:r>
      <w:r>
        <w:rPr>
          <w:spacing w:val="4"/>
          <w:sz w:val="20"/>
        </w:rPr>
        <w:t> </w:t>
      </w:r>
      <w:r>
        <w:rPr>
          <w:sz w:val="20"/>
        </w:rPr>
        <w:t>in</w:t>
      </w:r>
      <w:r>
        <w:rPr>
          <w:spacing w:val="4"/>
          <w:sz w:val="20"/>
        </w:rPr>
        <w:t> </w:t>
      </w:r>
      <w:r>
        <w:rPr>
          <w:rFonts w:ascii="Arial" w:hAnsi="Arial"/>
          <w:i/>
          <w:sz w:val="20"/>
        </w:rPr>
        <w:t>Horkulak</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Cantor</w:t>
      </w:r>
      <w:r>
        <w:rPr>
          <w:rFonts w:ascii="Arial" w:hAnsi="Arial"/>
          <w:i/>
          <w:spacing w:val="4"/>
          <w:sz w:val="20"/>
        </w:rPr>
        <w:t> </w:t>
      </w:r>
      <w:r>
        <w:rPr>
          <w:rFonts w:ascii="Arial" w:hAnsi="Arial"/>
          <w:i/>
          <w:sz w:val="20"/>
        </w:rPr>
        <w:t>Fitzgerald</w:t>
      </w:r>
      <w:r>
        <w:rPr>
          <w:rFonts w:ascii="Arial" w:hAnsi="Arial"/>
          <w:i/>
          <w:spacing w:val="4"/>
          <w:sz w:val="20"/>
        </w:rPr>
        <w:t> </w:t>
      </w:r>
      <w:r>
        <w:rPr>
          <w:rFonts w:ascii="Arial" w:hAnsi="Arial"/>
          <w:i/>
          <w:sz w:val="20"/>
        </w:rPr>
        <w:t>International</w:t>
      </w:r>
      <w:r>
        <w:rPr>
          <w:rFonts w:ascii="Arial" w:hAnsi="Arial"/>
          <w:i/>
          <w:spacing w:val="4"/>
          <w:sz w:val="20"/>
        </w:rPr>
        <w:t> </w:t>
      </w:r>
      <w:r>
        <w:rPr>
          <w:rFonts w:ascii="Arial" w:hAnsi="Arial"/>
          <w:i/>
          <w:sz w:val="20"/>
        </w:rPr>
        <w:t>[2004]</w:t>
      </w:r>
      <w:r>
        <w:rPr>
          <w:rFonts w:ascii="Arial" w:hAnsi="Arial"/>
          <w:i/>
          <w:spacing w:val="4"/>
          <w:sz w:val="20"/>
        </w:rPr>
        <w:t> </w:t>
      </w:r>
      <w:r>
        <w:rPr>
          <w:rFonts w:ascii="Arial" w:hAnsi="Arial"/>
          <w:i/>
          <w:sz w:val="20"/>
        </w:rPr>
        <w:t>EWCA</w:t>
      </w:r>
      <w:r>
        <w:rPr>
          <w:rFonts w:ascii="Arial" w:hAnsi="Arial"/>
          <w:i/>
          <w:spacing w:val="4"/>
          <w:sz w:val="20"/>
        </w:rPr>
        <w:t> </w:t>
      </w:r>
      <w:r>
        <w:rPr>
          <w:rFonts w:ascii="Arial" w:hAnsi="Arial"/>
          <w:i/>
          <w:sz w:val="20"/>
        </w:rPr>
        <w:t>Civ</w:t>
      </w:r>
      <w:r>
        <w:rPr>
          <w:rFonts w:ascii="Arial" w:hAnsi="Arial"/>
          <w:i/>
          <w:spacing w:val="4"/>
          <w:sz w:val="20"/>
        </w:rPr>
        <w:t> </w:t>
      </w:r>
      <w:r>
        <w:rPr>
          <w:rFonts w:ascii="Arial" w:hAnsi="Arial"/>
          <w:i/>
          <w:sz w:val="20"/>
        </w:rPr>
        <w:t>1287,</w:t>
      </w:r>
      <w:r>
        <w:rPr>
          <w:rFonts w:ascii="Arial" w:hAnsi="Arial"/>
          <w:i/>
          <w:spacing w:val="4"/>
          <w:sz w:val="20"/>
        </w:rPr>
        <w:t> </w:t>
      </w:r>
      <w:r>
        <w:rPr>
          <w:rFonts w:ascii="Arial" w:hAnsi="Arial"/>
          <w:i/>
          <w:sz w:val="20"/>
        </w:rPr>
        <w:t>[2005]</w:t>
      </w:r>
      <w:r>
        <w:rPr>
          <w:rFonts w:ascii="Arial" w:hAnsi="Arial"/>
          <w:i/>
          <w:spacing w:val="4"/>
          <w:sz w:val="20"/>
        </w:rPr>
        <w:t> </w:t>
      </w:r>
      <w:r>
        <w:rPr>
          <w:rFonts w:ascii="Arial" w:hAnsi="Arial"/>
          <w:i/>
          <w:sz w:val="20"/>
        </w:rPr>
        <w:t>I.C.R.</w:t>
      </w:r>
      <w:r>
        <w:rPr>
          <w:rFonts w:ascii="Arial" w:hAnsi="Arial"/>
          <w:i/>
          <w:spacing w:val="4"/>
          <w:sz w:val="20"/>
        </w:rPr>
        <w:t> </w:t>
      </w:r>
      <w:r>
        <w:rPr>
          <w:rFonts w:ascii="Arial" w:hAnsi="Arial"/>
          <w:i/>
          <w:spacing w:val="-4"/>
          <w:sz w:val="20"/>
        </w:rPr>
        <w:t>402</w:t>
      </w:r>
      <w:r>
        <w:rPr>
          <w:spacing w:val="-4"/>
          <w:sz w:val="20"/>
        </w:rPr>
        <w:t>,</w:t>
      </w:r>
    </w:p>
    <w:p>
      <w:pPr>
        <w:spacing w:after="0" w:line="235" w:lineRule="auto"/>
        <w:jc w:val="both"/>
        <w:rPr>
          <w:sz w:val="20"/>
        </w:rPr>
        <w:sectPr>
          <w:type w:val="continuous"/>
          <w:pgSz w:w="11900" w:h="16840"/>
          <w:pgMar w:header="971" w:footer="0" w:top="1300" w:bottom="280" w:left="1275" w:right="1275"/>
        </w:sectPr>
      </w:pPr>
    </w:p>
    <w:p>
      <w:pPr>
        <w:pStyle w:val="BodyText"/>
        <w:spacing w:before="106"/>
        <w:ind w:left="705"/>
      </w:pPr>
      <w:r>
        <w:rPr/>
        <w:t>which involved a discretionary bonus </w:t>
      </w:r>
      <w:r>
        <w:rPr>
          <w:spacing w:val="-2"/>
        </w:rPr>
        <w:t>clause).</w:t>
      </w:r>
    </w:p>
    <w:p>
      <w:pPr>
        <w:pStyle w:val="BodyText"/>
        <w:spacing w:before="5"/>
      </w:pPr>
    </w:p>
    <w:p>
      <w:pPr>
        <w:pStyle w:val="BodyText"/>
        <w:tabs>
          <w:tab w:pos="705" w:val="left" w:leader="none"/>
        </w:tabs>
        <w:spacing w:before="1"/>
        <w:ind w:left="165"/>
      </w:pPr>
      <w:bookmarkStart w:name="_bookmark64" w:id="66"/>
      <w:bookmarkEnd w:id="66"/>
      <w:r>
        <w:rPr/>
      </w:r>
      <w:hyperlink w:history="true" w:anchor="_bookmark11">
        <w:r>
          <w:rPr>
            <w:color w:val="005DA1"/>
            <w:spacing w:val="-5"/>
            <w:position w:val="5"/>
            <w:sz w:val="14"/>
            <w:u w:val="single" w:color="005DA1"/>
          </w:rPr>
          <w:t>14</w:t>
        </w:r>
      </w:hyperlink>
      <w:r>
        <w:rPr>
          <w:spacing w:val="-5"/>
          <w:position w:val="5"/>
          <w:sz w:val="14"/>
        </w:rPr>
        <w:t>.</w:t>
      </w:r>
      <w:r>
        <w:rPr>
          <w:position w:val="5"/>
          <w:sz w:val="14"/>
        </w:rPr>
        <w:tab/>
      </w:r>
      <w:r>
        <w:rPr/>
        <w:t>See</w:t>
      </w:r>
      <w:r>
        <w:rPr>
          <w:spacing w:val="-2"/>
        </w:rPr>
        <w:t> </w:t>
      </w:r>
      <w:r>
        <w:rPr/>
        <w:t>below, para.26-</w:t>
      </w:r>
      <w:r>
        <w:rPr>
          <w:spacing w:val="-4"/>
        </w:rPr>
        <w:t>075.</w:t>
      </w:r>
    </w:p>
    <w:p>
      <w:pPr>
        <w:pStyle w:val="BodyText"/>
        <w:spacing w:before="4"/>
      </w:pPr>
    </w:p>
    <w:p>
      <w:pPr>
        <w:pStyle w:val="BodyText"/>
        <w:tabs>
          <w:tab w:pos="705" w:val="left" w:leader="none"/>
        </w:tabs>
        <w:spacing w:before="1"/>
        <w:ind w:left="165"/>
      </w:pPr>
      <w:bookmarkStart w:name="_bookmark65" w:id="67"/>
      <w:bookmarkEnd w:id="67"/>
      <w:r>
        <w:rPr/>
      </w:r>
      <w:hyperlink w:history="true" w:anchor="_bookmark12">
        <w:r>
          <w:rPr>
            <w:color w:val="005DA1"/>
            <w:spacing w:val="-5"/>
            <w:position w:val="5"/>
            <w:sz w:val="14"/>
            <w:u w:val="single" w:color="005DA1"/>
          </w:rPr>
          <w:t>15</w:t>
        </w:r>
      </w:hyperlink>
      <w:r>
        <w:rPr>
          <w:spacing w:val="-5"/>
          <w:position w:val="5"/>
          <w:sz w:val="14"/>
        </w:rPr>
        <w:t>.</w:t>
      </w:r>
      <w:r>
        <w:rPr>
          <w:position w:val="5"/>
          <w:sz w:val="14"/>
        </w:rPr>
        <w:tab/>
      </w:r>
      <w:r>
        <w:rPr/>
        <w:t>See</w:t>
      </w:r>
      <w:r>
        <w:rPr>
          <w:spacing w:val="-2"/>
        </w:rPr>
        <w:t> </w:t>
      </w:r>
      <w:r>
        <w:rPr/>
        <w:t>below, para.26-</w:t>
      </w:r>
      <w:r>
        <w:rPr>
          <w:spacing w:val="-4"/>
        </w:rPr>
        <w:t>009.</w:t>
      </w:r>
    </w:p>
    <w:p>
      <w:pPr>
        <w:pStyle w:val="BodyText"/>
        <w:spacing w:before="8"/>
      </w:pPr>
    </w:p>
    <w:p>
      <w:pPr>
        <w:spacing w:line="235" w:lineRule="auto" w:before="0"/>
        <w:ind w:left="705" w:right="168" w:hanging="541"/>
        <w:jc w:val="both"/>
        <w:rPr>
          <w:sz w:val="20"/>
        </w:rPr>
      </w:pPr>
      <w:bookmarkStart w:name="_bookmark66" w:id="68"/>
      <w:bookmarkEnd w:id="68"/>
      <w:r>
        <w:rPr/>
      </w:r>
      <w:hyperlink w:history="true" w:anchor="_bookmark13">
        <w:r>
          <w:rPr>
            <w:color w:val="005DA1"/>
            <w:position w:val="5"/>
            <w:sz w:val="14"/>
            <w:u w:val="single" w:color="005DA1"/>
          </w:rPr>
          <w:t>16</w:t>
        </w:r>
      </w:hyperlink>
      <w:r>
        <w:rPr>
          <w:position w:val="5"/>
          <w:sz w:val="14"/>
        </w:rPr>
        <w:t>.</w:t>
      </w:r>
      <w:r>
        <w:rPr>
          <w:spacing w:val="80"/>
          <w:w w:val="150"/>
          <w:position w:val="5"/>
          <w:sz w:val="14"/>
        </w:rPr>
        <w:t>  </w:t>
      </w:r>
      <w:r>
        <w:rPr>
          <w:rFonts w:ascii="Arial"/>
          <w:i/>
          <w:sz w:val="20"/>
        </w:rPr>
        <w:t>Rodocanachi</w:t>
      </w:r>
      <w:r>
        <w:rPr>
          <w:rFonts w:ascii="Arial"/>
          <w:i/>
          <w:spacing w:val="-1"/>
          <w:sz w:val="20"/>
        </w:rPr>
        <w:t> </w:t>
      </w:r>
      <w:r>
        <w:rPr>
          <w:rFonts w:ascii="Arial"/>
          <w:i/>
          <w:sz w:val="20"/>
        </w:rPr>
        <w:t>v</w:t>
      </w:r>
      <w:r>
        <w:rPr>
          <w:rFonts w:ascii="Arial"/>
          <w:i/>
          <w:spacing w:val="-1"/>
          <w:sz w:val="20"/>
        </w:rPr>
        <w:t> </w:t>
      </w:r>
      <w:r>
        <w:rPr>
          <w:rFonts w:ascii="Arial"/>
          <w:i/>
          <w:sz w:val="20"/>
        </w:rPr>
        <w:t>Milburn</w:t>
      </w:r>
      <w:r>
        <w:rPr>
          <w:rFonts w:ascii="Arial"/>
          <w:i/>
          <w:spacing w:val="-1"/>
          <w:sz w:val="20"/>
        </w:rPr>
        <w:t> </w:t>
      </w:r>
      <w:r>
        <w:rPr>
          <w:rFonts w:ascii="Arial"/>
          <w:i/>
          <w:sz w:val="20"/>
        </w:rPr>
        <w:t>(1886)</w:t>
      </w:r>
      <w:r>
        <w:rPr>
          <w:rFonts w:ascii="Arial"/>
          <w:i/>
          <w:spacing w:val="-1"/>
          <w:sz w:val="20"/>
        </w:rPr>
        <w:t> </w:t>
      </w:r>
      <w:r>
        <w:rPr>
          <w:rFonts w:ascii="Arial"/>
          <w:i/>
          <w:sz w:val="20"/>
        </w:rPr>
        <w:t>18</w:t>
      </w:r>
      <w:r>
        <w:rPr>
          <w:rFonts w:ascii="Arial"/>
          <w:i/>
          <w:spacing w:val="-1"/>
          <w:sz w:val="20"/>
        </w:rPr>
        <w:t> </w:t>
      </w:r>
      <w:r>
        <w:rPr>
          <w:rFonts w:ascii="Arial"/>
          <w:i/>
          <w:sz w:val="20"/>
        </w:rPr>
        <w:t>Q.B.D.</w:t>
      </w:r>
      <w:r>
        <w:rPr>
          <w:rFonts w:ascii="Arial"/>
          <w:i/>
          <w:spacing w:val="-1"/>
          <w:sz w:val="20"/>
        </w:rPr>
        <w:t> </w:t>
      </w:r>
      <w:r>
        <w:rPr>
          <w:rFonts w:ascii="Arial"/>
          <w:i/>
          <w:sz w:val="20"/>
        </w:rPr>
        <w:t>67,</w:t>
      </w:r>
      <w:r>
        <w:rPr>
          <w:rFonts w:ascii="Arial"/>
          <w:i/>
          <w:spacing w:val="-1"/>
          <w:sz w:val="20"/>
        </w:rPr>
        <w:t> </w:t>
      </w:r>
      <w:r>
        <w:rPr>
          <w:rFonts w:ascii="Arial"/>
          <w:i/>
          <w:sz w:val="20"/>
        </w:rPr>
        <w:t>78</w:t>
      </w:r>
      <w:r>
        <w:rPr>
          <w:sz w:val="20"/>
        </w:rPr>
        <w:t>.</w:t>
      </w:r>
      <w:r>
        <w:rPr>
          <w:spacing w:val="-1"/>
          <w:sz w:val="20"/>
        </w:rPr>
        <w:t> </w:t>
      </w:r>
      <w:r>
        <w:rPr>
          <w:sz w:val="20"/>
        </w:rPr>
        <w:t>See</w:t>
      </w:r>
      <w:r>
        <w:rPr>
          <w:spacing w:val="-1"/>
          <w:sz w:val="20"/>
        </w:rPr>
        <w:t> </w:t>
      </w:r>
      <w:r>
        <w:rPr>
          <w:sz w:val="20"/>
        </w:rPr>
        <w:t>further</w:t>
      </w:r>
      <w:r>
        <w:rPr>
          <w:spacing w:val="-1"/>
          <w:sz w:val="20"/>
        </w:rPr>
        <w:t> </w:t>
      </w:r>
      <w:r>
        <w:rPr>
          <w:sz w:val="20"/>
        </w:rPr>
        <w:t>below,</w:t>
      </w:r>
      <w:r>
        <w:rPr>
          <w:spacing w:val="-1"/>
          <w:sz w:val="20"/>
        </w:rPr>
        <w:t> </w:t>
      </w:r>
      <w:r>
        <w:rPr>
          <w:sz w:val="20"/>
        </w:rPr>
        <w:t>para.26-015.</w:t>
      </w:r>
      <w:r>
        <w:rPr>
          <w:spacing w:val="-1"/>
          <w:sz w:val="20"/>
        </w:rPr>
        <w:t> </w:t>
      </w:r>
      <w:r>
        <w:rPr>
          <w:sz w:val="20"/>
        </w:rPr>
        <w:t>But</w:t>
      </w:r>
      <w:r>
        <w:rPr>
          <w:spacing w:val="-1"/>
          <w:sz w:val="20"/>
        </w:rPr>
        <w:t> </w:t>
      </w:r>
      <w:r>
        <w:rPr>
          <w:sz w:val="20"/>
        </w:rPr>
        <w:t>see</w:t>
      </w:r>
      <w:r>
        <w:rPr>
          <w:spacing w:val="-1"/>
          <w:sz w:val="20"/>
        </w:rPr>
        <w:t> </w:t>
      </w:r>
      <w:r>
        <w:rPr>
          <w:sz w:val="20"/>
        </w:rPr>
        <w:t>Street at Ch.6, and cf. the use of actuarial calculations approved by the House of Lords in </w:t>
      </w:r>
      <w:r>
        <w:rPr>
          <w:rFonts w:ascii="Arial"/>
          <w:i/>
          <w:sz w:val="20"/>
        </w:rPr>
        <w:t>Wells v Wells [1999] 1 A.C. 345</w:t>
      </w:r>
      <w:r>
        <w:rPr>
          <w:sz w:val="20"/>
        </w:rPr>
        <w:t>.</w:t>
      </w:r>
    </w:p>
    <w:p>
      <w:pPr>
        <w:pStyle w:val="BodyText"/>
        <w:spacing w:before="5"/>
      </w:pPr>
    </w:p>
    <w:p>
      <w:pPr>
        <w:pStyle w:val="BodyText"/>
        <w:tabs>
          <w:tab w:pos="705" w:val="left" w:leader="none"/>
        </w:tabs>
        <w:ind w:left="165"/>
      </w:pPr>
      <w:bookmarkStart w:name="_bookmark67" w:id="69"/>
      <w:bookmarkEnd w:id="69"/>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t>See below, paras 26-079 et </w:t>
      </w:r>
      <w:r>
        <w:rPr>
          <w:spacing w:val="-4"/>
        </w:rPr>
        <w:t>seq.</w:t>
      </w:r>
    </w:p>
    <w:p>
      <w:pPr>
        <w:pStyle w:val="BodyText"/>
        <w:spacing w:before="5"/>
      </w:pPr>
    </w:p>
    <w:p>
      <w:pPr>
        <w:pStyle w:val="BodyText"/>
        <w:tabs>
          <w:tab w:pos="705" w:val="left" w:leader="none"/>
        </w:tabs>
        <w:spacing w:before="1"/>
        <w:ind w:left="165"/>
      </w:pPr>
      <w:bookmarkStart w:name="_bookmark68" w:id="70"/>
      <w:bookmarkEnd w:id="70"/>
      <w:r>
        <w:rPr/>
      </w:r>
      <w:hyperlink w:history="true" w:anchor="_bookmark15">
        <w:r>
          <w:rPr>
            <w:color w:val="005DA1"/>
            <w:spacing w:val="-5"/>
            <w:position w:val="5"/>
            <w:sz w:val="14"/>
            <w:u w:val="single" w:color="005DA1"/>
          </w:rPr>
          <w:t>18</w:t>
        </w:r>
      </w:hyperlink>
      <w:r>
        <w:rPr>
          <w:spacing w:val="-5"/>
          <w:position w:val="5"/>
          <w:sz w:val="14"/>
        </w:rPr>
        <w:t>.</w:t>
      </w:r>
      <w:r>
        <w:rPr>
          <w:position w:val="5"/>
          <w:sz w:val="14"/>
        </w:rPr>
        <w:tab/>
      </w:r>
      <w:r>
        <w:rPr/>
        <w:t>See below, paras 26-107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69" w:id="71"/>
      <w:bookmarkEnd w:id="71"/>
      <w:r>
        <w:rPr/>
      </w:r>
      <w:hyperlink w:history="true" w:anchor="_bookmark16">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[2008] UKHL 48, [2009] 1 A.C. </w:t>
      </w:r>
      <w:r>
        <w:rPr>
          <w:rFonts w:ascii="Arial"/>
          <w:i/>
          <w:spacing w:val="-5"/>
          <w:sz w:val="20"/>
        </w:rPr>
        <w:t>61</w:t>
      </w:r>
      <w:r>
        <w:rPr>
          <w:spacing w:val="-5"/>
          <w:sz w:val="20"/>
        </w:rPr>
        <w:t>.</w:t>
      </w:r>
    </w:p>
    <w:p>
      <w:pPr>
        <w:pStyle w:val="BodyText"/>
        <w:spacing w:before="4"/>
      </w:pPr>
    </w:p>
    <w:p>
      <w:pPr>
        <w:pStyle w:val="BodyText"/>
        <w:tabs>
          <w:tab w:pos="705" w:val="left" w:leader="none"/>
        </w:tabs>
        <w:spacing w:before="1"/>
        <w:ind w:left="165"/>
      </w:pPr>
      <w:bookmarkStart w:name="_bookmark70" w:id="72"/>
      <w:bookmarkEnd w:id="72"/>
      <w:r>
        <w:rPr/>
      </w:r>
      <w:hyperlink w:history="true" w:anchor="_bookmark17">
        <w:r>
          <w:rPr>
            <w:color w:val="005DA1"/>
            <w:spacing w:val="-5"/>
            <w:position w:val="5"/>
            <w:sz w:val="14"/>
            <w:u w:val="single" w:color="005DA1"/>
          </w:rPr>
          <w:t>20</w:t>
        </w:r>
      </w:hyperlink>
      <w:r>
        <w:rPr>
          <w:spacing w:val="-5"/>
          <w:position w:val="5"/>
          <w:sz w:val="14"/>
        </w:rPr>
        <w:t>.</w:t>
      </w:r>
      <w:r>
        <w:rPr>
          <w:position w:val="5"/>
          <w:sz w:val="14"/>
        </w:rPr>
        <w:tab/>
      </w:r>
      <w:r>
        <w:rPr/>
        <w:t>See</w:t>
      </w:r>
      <w:r>
        <w:rPr>
          <w:spacing w:val="-2"/>
        </w:rPr>
        <w:t> </w:t>
      </w:r>
      <w:r>
        <w:rPr/>
        <w:t>below, para.26-</w:t>
      </w:r>
      <w:r>
        <w:rPr>
          <w:spacing w:val="-4"/>
        </w:rPr>
        <w:t>126.</w:t>
      </w:r>
    </w:p>
    <w:p>
      <w:pPr>
        <w:pStyle w:val="BodyText"/>
        <w:spacing w:before="4"/>
      </w:pPr>
    </w:p>
    <w:p>
      <w:pPr>
        <w:pStyle w:val="BodyText"/>
        <w:tabs>
          <w:tab w:pos="705" w:val="left" w:leader="none"/>
        </w:tabs>
        <w:spacing w:before="1"/>
        <w:ind w:left="165"/>
      </w:pPr>
      <w:bookmarkStart w:name="_bookmark71" w:id="73"/>
      <w:bookmarkEnd w:id="73"/>
      <w:r>
        <w:rPr/>
      </w:r>
      <w:hyperlink w:history="true" w:anchor="_bookmark18">
        <w:r>
          <w:rPr>
            <w:color w:val="005DA1"/>
            <w:spacing w:val="-5"/>
            <w:position w:val="5"/>
            <w:sz w:val="14"/>
            <w:u w:val="single" w:color="005DA1"/>
          </w:rPr>
          <w:t>21</w:t>
        </w:r>
      </w:hyperlink>
      <w:r>
        <w:rPr>
          <w:spacing w:val="-5"/>
          <w:position w:val="5"/>
          <w:sz w:val="14"/>
        </w:rPr>
        <w:t>.</w:t>
      </w:r>
      <w:r>
        <w:rPr>
          <w:position w:val="5"/>
          <w:sz w:val="14"/>
        </w:rPr>
        <w:tab/>
      </w:r>
      <w:r>
        <w:rPr/>
        <w:t>See below, paras 26-126—26-</w:t>
      </w:r>
      <w:r>
        <w:rPr>
          <w:spacing w:val="-4"/>
        </w:rPr>
        <w:t>134.</w:t>
      </w:r>
    </w:p>
    <w:p>
      <w:pPr>
        <w:pStyle w:val="BodyText"/>
        <w:spacing w:before="4"/>
      </w:pPr>
    </w:p>
    <w:p>
      <w:pPr>
        <w:pStyle w:val="BodyText"/>
        <w:tabs>
          <w:tab w:pos="705" w:val="left" w:leader="none"/>
        </w:tabs>
        <w:spacing w:before="1"/>
        <w:ind w:left="165"/>
      </w:pPr>
      <w:bookmarkStart w:name="_bookmark72" w:id="74"/>
      <w:bookmarkEnd w:id="74"/>
      <w:r>
        <w:rPr/>
      </w:r>
      <w:hyperlink w:history="true" w:anchor="_bookmark19">
        <w:r>
          <w:rPr>
            <w:color w:val="005DA1"/>
            <w:spacing w:val="-5"/>
            <w:position w:val="5"/>
            <w:sz w:val="14"/>
            <w:u w:val="single" w:color="005DA1"/>
          </w:rPr>
          <w:t>22</w:t>
        </w:r>
      </w:hyperlink>
      <w:r>
        <w:rPr>
          <w:spacing w:val="-5"/>
          <w:position w:val="5"/>
          <w:sz w:val="14"/>
        </w:rPr>
        <w:t>.</w:t>
      </w:r>
      <w:r>
        <w:rPr>
          <w:position w:val="5"/>
          <w:sz w:val="14"/>
        </w:rPr>
        <w:tab/>
      </w:r>
      <w:r>
        <w:rPr/>
        <w:t>See below, paras 26-139—26-</w:t>
      </w:r>
      <w:r>
        <w:rPr>
          <w:spacing w:val="-4"/>
        </w:rPr>
        <w:t>150.</w:t>
      </w:r>
    </w:p>
    <w:p>
      <w:pPr>
        <w:pStyle w:val="BodyText"/>
        <w:spacing w:before="5"/>
      </w:pPr>
    </w:p>
    <w:p>
      <w:pPr>
        <w:tabs>
          <w:tab w:pos="705" w:val="left" w:leader="none"/>
        </w:tabs>
        <w:spacing w:before="0"/>
        <w:ind w:left="165" w:right="0" w:firstLine="0"/>
        <w:jc w:val="left"/>
        <w:rPr>
          <w:sz w:val="20"/>
        </w:rPr>
      </w:pPr>
      <w:bookmarkStart w:name="_bookmark73" w:id="75"/>
      <w:bookmarkEnd w:id="75"/>
      <w:r>
        <w:rPr/>
      </w:r>
      <w:hyperlink w:history="true" w:anchor="_bookmark20">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(1874)</w:t>
      </w:r>
      <w:r>
        <w:rPr>
          <w:rFonts w:ascii="Arial"/>
          <w:i/>
          <w:spacing w:val="-2"/>
          <w:sz w:val="20"/>
        </w:rPr>
        <w:t> </w:t>
      </w:r>
      <w:r>
        <w:rPr>
          <w:rFonts w:ascii="Arial"/>
          <w:i/>
          <w:sz w:val="20"/>
        </w:rPr>
        <w:t>L.R. 7 H.L. </w:t>
      </w:r>
      <w:r>
        <w:rPr>
          <w:rFonts w:ascii="Arial"/>
          <w:i/>
          <w:spacing w:val="-4"/>
          <w:sz w:val="20"/>
        </w:rPr>
        <w:t>158</w:t>
      </w:r>
      <w:r>
        <w:rPr>
          <w:spacing w:val="-4"/>
          <w:sz w:val="20"/>
        </w:rPr>
        <w:t>.</w:t>
      </w:r>
    </w:p>
    <w:p>
      <w:pPr>
        <w:pStyle w:val="BodyText"/>
        <w:spacing w:before="5"/>
      </w:pPr>
    </w:p>
    <w:p>
      <w:pPr>
        <w:pStyle w:val="BodyText"/>
        <w:tabs>
          <w:tab w:pos="705" w:val="left" w:leader="none"/>
        </w:tabs>
        <w:ind w:left="165"/>
      </w:pPr>
      <w:bookmarkStart w:name="_bookmark74" w:id="76"/>
      <w:bookmarkEnd w:id="76"/>
      <w:r>
        <w:rPr/>
      </w:r>
      <w:hyperlink w:history="true" w:anchor="_bookmark21">
        <w:r>
          <w:rPr>
            <w:color w:val="005DA1"/>
            <w:spacing w:val="-5"/>
            <w:position w:val="5"/>
            <w:sz w:val="14"/>
            <w:u w:val="single" w:color="005DA1"/>
          </w:rPr>
          <w:t>24</w:t>
        </w:r>
      </w:hyperlink>
      <w:r>
        <w:rPr>
          <w:spacing w:val="-5"/>
          <w:position w:val="5"/>
          <w:sz w:val="14"/>
        </w:rPr>
        <w:t>.</w:t>
      </w:r>
      <w:r>
        <w:rPr>
          <w:position w:val="5"/>
          <w:sz w:val="14"/>
        </w:rPr>
        <w:tab/>
      </w:r>
      <w:r>
        <w:rPr/>
        <w:t>s.3.</w:t>
      </w:r>
      <w:r>
        <w:rPr>
          <w:spacing w:val="-2"/>
        </w:rPr>
        <w:t> </w:t>
      </w:r>
      <w:r>
        <w:rPr/>
        <w:t>See below, para.26-</w:t>
      </w:r>
      <w:r>
        <w:rPr>
          <w:spacing w:val="-4"/>
        </w:rPr>
        <w:t>165.</w:t>
      </w:r>
    </w:p>
    <w:p>
      <w:pPr>
        <w:pStyle w:val="BodyText"/>
        <w:spacing w:before="5"/>
      </w:pPr>
    </w:p>
    <w:p>
      <w:pPr>
        <w:pStyle w:val="BodyText"/>
        <w:tabs>
          <w:tab w:pos="705" w:val="left" w:leader="none"/>
        </w:tabs>
        <w:ind w:left="165"/>
      </w:pPr>
      <w:bookmarkStart w:name="_bookmark75" w:id="77"/>
      <w:bookmarkEnd w:id="77"/>
      <w:r>
        <w:rPr/>
      </w:r>
      <w:hyperlink w:history="true" w:anchor="_bookmark22">
        <w:r>
          <w:rPr>
            <w:color w:val="005DA1"/>
            <w:spacing w:val="-5"/>
            <w:position w:val="5"/>
            <w:sz w:val="14"/>
            <w:u w:val="single" w:color="005DA1"/>
          </w:rPr>
          <w:t>25</w:t>
        </w:r>
      </w:hyperlink>
      <w:r>
        <w:rPr>
          <w:spacing w:val="-5"/>
          <w:position w:val="5"/>
          <w:sz w:val="14"/>
        </w:rPr>
        <w:t>.</w:t>
      </w:r>
      <w:r>
        <w:rPr>
          <w:position w:val="5"/>
          <w:sz w:val="14"/>
        </w:rPr>
        <w:tab/>
      </w:r>
      <w:r>
        <w:rPr/>
        <w:t>See below, paras 26-227 et </w:t>
      </w:r>
      <w:r>
        <w:rPr>
          <w:spacing w:val="-4"/>
        </w:rPr>
        <w:t>seq.</w:t>
      </w:r>
    </w:p>
    <w:p>
      <w:pPr>
        <w:pStyle w:val="BodyText"/>
        <w:spacing w:before="8"/>
      </w:pPr>
    </w:p>
    <w:p>
      <w:pPr>
        <w:tabs>
          <w:tab w:pos="705" w:val="left" w:leader="none"/>
        </w:tabs>
        <w:spacing w:line="235" w:lineRule="auto" w:before="1"/>
        <w:ind w:left="705" w:right="168" w:hanging="541"/>
        <w:jc w:val="left"/>
        <w:rPr>
          <w:sz w:val="20"/>
        </w:rPr>
      </w:pPr>
      <w:bookmarkStart w:name="_bookmark76" w:id="78"/>
      <w:bookmarkEnd w:id="78"/>
      <w:r>
        <w:rPr/>
      </w:r>
      <w:hyperlink w:history="true" w:anchor="_bookmark23">
        <w:r>
          <w:rPr>
            <w:color w:val="005DA1"/>
            <w:spacing w:val="-4"/>
            <w:position w:val="5"/>
            <w:sz w:val="14"/>
            <w:u w:val="single" w:color="005DA1"/>
          </w:rPr>
          <w:t>26</w:t>
        </w:r>
      </w:hyperlink>
      <w:r>
        <w:rPr>
          <w:spacing w:val="-4"/>
          <w:position w:val="5"/>
          <w:sz w:val="14"/>
        </w:rPr>
        <w:t>.</w:t>
      </w:r>
      <w:r>
        <w:rPr>
          <w:position w:val="5"/>
          <w:sz w:val="14"/>
        </w:rPr>
        <w:tab/>
      </w:r>
      <w:r>
        <w:rPr>
          <w:rFonts w:ascii="Arial"/>
          <w:i/>
          <w:sz w:val="20"/>
        </w:rPr>
        <w:t>Sempra</w:t>
      </w:r>
      <w:r>
        <w:rPr>
          <w:rFonts w:ascii="Arial"/>
          <w:i/>
          <w:spacing w:val="39"/>
          <w:sz w:val="20"/>
        </w:rPr>
        <w:t> </w:t>
      </w:r>
      <w:r>
        <w:rPr>
          <w:rFonts w:ascii="Arial"/>
          <w:i/>
          <w:sz w:val="20"/>
        </w:rPr>
        <w:t>Metals</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Inland</w:t>
      </w:r>
      <w:r>
        <w:rPr>
          <w:rFonts w:ascii="Arial"/>
          <w:i/>
          <w:spacing w:val="39"/>
          <w:sz w:val="20"/>
        </w:rPr>
        <w:t> </w:t>
      </w:r>
      <w:r>
        <w:rPr>
          <w:rFonts w:ascii="Arial"/>
          <w:i/>
          <w:sz w:val="20"/>
        </w:rPr>
        <w:t>Revenue</w:t>
      </w:r>
      <w:r>
        <w:rPr>
          <w:rFonts w:ascii="Arial"/>
          <w:i/>
          <w:spacing w:val="39"/>
          <w:sz w:val="20"/>
        </w:rPr>
        <w:t> </w:t>
      </w:r>
      <w:r>
        <w:rPr>
          <w:rFonts w:ascii="Arial"/>
          <w:i/>
          <w:sz w:val="20"/>
        </w:rPr>
        <w:t>Commissioners</w:t>
      </w:r>
      <w:r>
        <w:rPr>
          <w:rFonts w:ascii="Arial"/>
          <w:i/>
          <w:spacing w:val="39"/>
          <w:sz w:val="20"/>
        </w:rPr>
        <w:t> </w:t>
      </w:r>
      <w:r>
        <w:rPr>
          <w:rFonts w:ascii="Arial"/>
          <w:i/>
          <w:sz w:val="20"/>
        </w:rPr>
        <w:t>[2007]</w:t>
      </w:r>
      <w:r>
        <w:rPr>
          <w:rFonts w:ascii="Arial"/>
          <w:i/>
          <w:spacing w:val="39"/>
          <w:sz w:val="20"/>
        </w:rPr>
        <w:t> </w:t>
      </w:r>
      <w:r>
        <w:rPr>
          <w:rFonts w:ascii="Arial"/>
          <w:i/>
          <w:sz w:val="20"/>
        </w:rPr>
        <w:t>UKHL</w:t>
      </w:r>
      <w:r>
        <w:rPr>
          <w:rFonts w:ascii="Arial"/>
          <w:i/>
          <w:spacing w:val="39"/>
          <w:sz w:val="20"/>
        </w:rPr>
        <w:t> </w:t>
      </w:r>
      <w:r>
        <w:rPr>
          <w:rFonts w:ascii="Arial"/>
          <w:i/>
          <w:sz w:val="20"/>
        </w:rPr>
        <w:t>34,</w:t>
      </w:r>
      <w:r>
        <w:rPr>
          <w:rFonts w:ascii="Arial"/>
          <w:i/>
          <w:spacing w:val="39"/>
          <w:sz w:val="20"/>
        </w:rPr>
        <w:t> </w:t>
      </w:r>
      <w:r>
        <w:rPr>
          <w:rFonts w:ascii="Arial"/>
          <w:i/>
          <w:sz w:val="20"/>
        </w:rPr>
        <w:t>[2008]</w:t>
      </w:r>
      <w:r>
        <w:rPr>
          <w:rFonts w:ascii="Arial"/>
          <w:i/>
          <w:spacing w:val="39"/>
          <w:sz w:val="20"/>
        </w:rPr>
        <w:t> </w:t>
      </w:r>
      <w:r>
        <w:rPr>
          <w:rFonts w:ascii="Arial"/>
          <w:i/>
          <w:sz w:val="20"/>
        </w:rPr>
        <w:t>1</w:t>
      </w:r>
      <w:r>
        <w:rPr>
          <w:rFonts w:ascii="Arial"/>
          <w:i/>
          <w:spacing w:val="39"/>
          <w:sz w:val="20"/>
        </w:rPr>
        <w:t> </w:t>
      </w:r>
      <w:r>
        <w:rPr>
          <w:rFonts w:ascii="Arial"/>
          <w:i/>
          <w:sz w:val="20"/>
        </w:rPr>
        <w:t>A.C.</w:t>
      </w:r>
      <w:r>
        <w:rPr>
          <w:rFonts w:ascii="Arial"/>
          <w:i/>
          <w:spacing w:val="39"/>
          <w:sz w:val="20"/>
        </w:rPr>
        <w:t> </w:t>
      </w:r>
      <w:r>
        <w:rPr>
          <w:rFonts w:ascii="Arial"/>
          <w:i/>
          <w:sz w:val="20"/>
        </w:rPr>
        <w:t>561</w:t>
      </w:r>
      <w:r>
        <w:rPr>
          <w:sz w:val="20"/>
        </w:rPr>
        <w:t>; below, para.26-230.</w:t>
      </w:r>
    </w:p>
    <w:p>
      <w:pPr>
        <w:pStyle w:val="BodyText"/>
        <w:spacing w:before="5"/>
      </w:pPr>
    </w:p>
    <w:p>
      <w:pPr>
        <w:pStyle w:val="BodyText"/>
        <w:tabs>
          <w:tab w:pos="705" w:val="left" w:leader="none"/>
        </w:tabs>
        <w:ind w:left="165"/>
      </w:pPr>
      <w:bookmarkStart w:name="_bookmark77" w:id="79"/>
      <w:bookmarkEnd w:id="79"/>
      <w:r>
        <w:rPr/>
      </w:r>
      <w:hyperlink w:history="true" w:anchor="_bookmark24">
        <w:r>
          <w:rPr>
            <w:color w:val="005DA1"/>
            <w:spacing w:val="-5"/>
            <w:position w:val="5"/>
            <w:sz w:val="14"/>
            <w:u w:val="single" w:color="005DA1"/>
          </w:rPr>
          <w:t>27</w:t>
        </w:r>
      </w:hyperlink>
      <w:r>
        <w:rPr>
          <w:spacing w:val="-5"/>
          <w:position w:val="5"/>
          <w:sz w:val="14"/>
        </w:rPr>
        <w:t>.</w:t>
      </w:r>
      <w:r>
        <w:rPr>
          <w:position w:val="5"/>
          <w:sz w:val="14"/>
        </w:rPr>
        <w:tab/>
      </w:r>
      <w:r>
        <w:rPr/>
        <w:t>See below, paras 26-140—26-</w:t>
      </w:r>
      <w:r>
        <w:rPr>
          <w:spacing w:val="-4"/>
        </w:rPr>
        <w:t>149.</w:t>
      </w:r>
    </w:p>
    <w:p>
      <w:pPr>
        <w:pStyle w:val="BodyText"/>
        <w:spacing w:before="5"/>
      </w:pPr>
    </w:p>
    <w:p>
      <w:pPr>
        <w:pStyle w:val="BodyText"/>
        <w:tabs>
          <w:tab w:pos="705" w:val="left" w:leader="none"/>
        </w:tabs>
        <w:ind w:left="165"/>
      </w:pPr>
      <w:bookmarkStart w:name="_bookmark78" w:id="80"/>
      <w:bookmarkEnd w:id="80"/>
      <w:r>
        <w:rPr/>
      </w:r>
      <w:hyperlink w:history="true" w:anchor="_bookmark25">
        <w:r>
          <w:rPr>
            <w:color w:val="005DA1"/>
            <w:spacing w:val="-5"/>
            <w:position w:val="5"/>
            <w:sz w:val="14"/>
            <w:u w:val="single" w:color="005DA1"/>
          </w:rPr>
          <w:t>28</w:t>
        </w:r>
      </w:hyperlink>
      <w:r>
        <w:rPr>
          <w:spacing w:val="-5"/>
          <w:position w:val="5"/>
          <w:sz w:val="14"/>
        </w:rPr>
        <w:t>.</w:t>
      </w:r>
      <w:r>
        <w:rPr>
          <w:position w:val="5"/>
          <w:sz w:val="14"/>
        </w:rPr>
        <w:tab/>
      </w:r>
      <w:r>
        <w:rPr/>
        <w:t>See</w:t>
      </w:r>
      <w:r>
        <w:rPr>
          <w:spacing w:val="-2"/>
        </w:rPr>
        <w:t> </w:t>
      </w:r>
      <w:r>
        <w:rPr/>
        <w:t>below, para.26-</w:t>
      </w:r>
      <w:r>
        <w:rPr>
          <w:spacing w:val="-4"/>
        </w:rPr>
        <w:t>168.</w:t>
      </w:r>
    </w:p>
    <w:p>
      <w:pPr>
        <w:pStyle w:val="BodyText"/>
        <w:spacing w:before="5"/>
      </w:pPr>
    </w:p>
    <w:p>
      <w:pPr>
        <w:pStyle w:val="BodyText"/>
        <w:tabs>
          <w:tab w:pos="705" w:val="left" w:leader="none"/>
        </w:tabs>
        <w:ind w:left="165"/>
      </w:pPr>
      <w:bookmarkStart w:name="_bookmark79" w:id="81"/>
      <w:bookmarkEnd w:id="81"/>
      <w:r>
        <w:rPr/>
      </w:r>
      <w:hyperlink w:history="true" w:anchor="_bookmark26">
        <w:r>
          <w:rPr>
            <w:color w:val="005DA1"/>
            <w:spacing w:val="-5"/>
            <w:position w:val="5"/>
            <w:sz w:val="14"/>
            <w:u w:val="single" w:color="005DA1"/>
          </w:rPr>
          <w:t>29</w:t>
        </w:r>
      </w:hyperlink>
      <w:r>
        <w:rPr>
          <w:spacing w:val="-5"/>
          <w:position w:val="5"/>
          <w:sz w:val="14"/>
        </w:rPr>
        <w:t>.</w:t>
      </w:r>
      <w:r>
        <w:rPr>
          <w:position w:val="5"/>
          <w:sz w:val="14"/>
        </w:rPr>
        <w:tab/>
      </w:r>
      <w:r>
        <w:rPr/>
        <w:t>See below, paras 26-126—26-</w:t>
      </w:r>
      <w:r>
        <w:rPr>
          <w:spacing w:val="-4"/>
        </w:rPr>
        <w:t>134.</w:t>
      </w:r>
    </w:p>
    <w:p>
      <w:pPr>
        <w:pStyle w:val="BodyText"/>
        <w:spacing w:before="5"/>
      </w:pPr>
    </w:p>
    <w:p>
      <w:pPr>
        <w:pStyle w:val="BodyText"/>
        <w:tabs>
          <w:tab w:pos="705" w:val="left" w:leader="none"/>
        </w:tabs>
        <w:ind w:left="165"/>
      </w:pPr>
      <w:bookmarkStart w:name="_bookmark80" w:id="82"/>
      <w:bookmarkEnd w:id="82"/>
      <w:r>
        <w:rPr/>
      </w:r>
      <w:hyperlink w:history="true" w:anchor="_bookmark27">
        <w:r>
          <w:rPr>
            <w:color w:val="005DA1"/>
            <w:spacing w:val="-5"/>
            <w:position w:val="5"/>
            <w:sz w:val="14"/>
            <w:u w:val="single" w:color="005DA1"/>
          </w:rPr>
          <w:t>30</w:t>
        </w:r>
      </w:hyperlink>
      <w:r>
        <w:rPr>
          <w:spacing w:val="-5"/>
          <w:position w:val="5"/>
          <w:sz w:val="14"/>
        </w:rPr>
        <w:t>.</w:t>
      </w:r>
      <w:r>
        <w:rPr>
          <w:position w:val="5"/>
          <w:sz w:val="14"/>
        </w:rPr>
        <w:tab/>
      </w:r>
      <w:r>
        <w:rPr/>
        <w:t>See</w:t>
      </w:r>
      <w:r>
        <w:rPr>
          <w:spacing w:val="-2"/>
        </w:rPr>
        <w:t> </w:t>
      </w:r>
      <w:r>
        <w:rPr/>
        <w:t>below, para.26-</w:t>
      </w:r>
      <w:r>
        <w:rPr>
          <w:spacing w:val="-4"/>
        </w:rPr>
        <w:t>150.</w:t>
      </w:r>
    </w:p>
    <w:p>
      <w:pPr>
        <w:pStyle w:val="BodyText"/>
        <w:spacing w:before="5"/>
      </w:pPr>
    </w:p>
    <w:p>
      <w:pPr>
        <w:pStyle w:val="BodyText"/>
        <w:tabs>
          <w:tab w:pos="705" w:val="left" w:leader="none"/>
        </w:tabs>
        <w:ind w:left="165"/>
      </w:pPr>
      <w:bookmarkStart w:name="_bookmark81" w:id="83"/>
      <w:bookmarkEnd w:id="83"/>
      <w:r>
        <w:rPr/>
      </w:r>
      <w:hyperlink w:history="true" w:anchor="_bookmark28">
        <w:r>
          <w:rPr>
            <w:color w:val="005DA1"/>
            <w:spacing w:val="-5"/>
            <w:position w:val="5"/>
            <w:sz w:val="14"/>
            <w:u w:val="single" w:color="005DA1"/>
          </w:rPr>
          <w:t>31</w:t>
        </w:r>
      </w:hyperlink>
      <w:r>
        <w:rPr>
          <w:spacing w:val="-5"/>
          <w:position w:val="5"/>
          <w:sz w:val="14"/>
        </w:rPr>
        <w:t>.</w:t>
      </w:r>
      <w:r>
        <w:rPr>
          <w:position w:val="5"/>
          <w:sz w:val="14"/>
        </w:rPr>
        <w:tab/>
      </w:r>
      <w:r>
        <w:rPr/>
        <w:t>On such exclusion or exemption clauses, see above, </w:t>
      </w:r>
      <w:r>
        <w:rPr>
          <w:spacing w:val="-2"/>
        </w:rPr>
        <w:t>Ch.15.</w:t>
      </w:r>
    </w:p>
    <w:p>
      <w:pPr>
        <w:pStyle w:val="BodyText"/>
        <w:spacing w:before="5"/>
      </w:pPr>
    </w:p>
    <w:p>
      <w:pPr>
        <w:pStyle w:val="BodyText"/>
        <w:tabs>
          <w:tab w:pos="705" w:val="left" w:leader="none"/>
        </w:tabs>
        <w:ind w:left="165"/>
      </w:pPr>
      <w:bookmarkStart w:name="_bookmark82" w:id="84"/>
      <w:bookmarkEnd w:id="84"/>
      <w:r>
        <w:rPr/>
      </w:r>
      <w:hyperlink w:history="true" w:anchor="_bookmark29">
        <w:r>
          <w:rPr>
            <w:color w:val="005DA1"/>
            <w:spacing w:val="-5"/>
            <w:position w:val="5"/>
            <w:sz w:val="14"/>
            <w:u w:val="single" w:color="005DA1"/>
          </w:rPr>
          <w:t>32</w:t>
        </w:r>
      </w:hyperlink>
      <w:r>
        <w:rPr>
          <w:spacing w:val="-5"/>
          <w:position w:val="5"/>
          <w:sz w:val="14"/>
        </w:rPr>
        <w:t>.</w:t>
      </w:r>
      <w:r>
        <w:rPr>
          <w:position w:val="5"/>
          <w:sz w:val="14"/>
        </w:rPr>
        <w:tab/>
      </w:r>
      <w:r>
        <w:rPr/>
        <w:t>See above, paras 15-066 et seq., and below, Vol.II, paras 38-192 et </w:t>
      </w:r>
      <w:r>
        <w:rPr>
          <w:spacing w:val="-4"/>
        </w:rPr>
        <w:t>seq.</w:t>
      </w:r>
    </w:p>
    <w:p>
      <w:pPr>
        <w:pStyle w:val="BodyText"/>
        <w:spacing w:before="5"/>
      </w:pPr>
    </w:p>
    <w:p>
      <w:pPr>
        <w:pStyle w:val="BodyText"/>
        <w:tabs>
          <w:tab w:pos="705" w:val="left" w:leader="none"/>
        </w:tabs>
        <w:ind w:left="165"/>
      </w:pPr>
      <w:bookmarkStart w:name="_bookmark83" w:id="85"/>
      <w:bookmarkEnd w:id="85"/>
      <w:r>
        <w:rPr/>
      </w:r>
      <w:hyperlink w:history="true" w:anchor="_bookmark30">
        <w:r>
          <w:rPr>
            <w:color w:val="005DA1"/>
            <w:spacing w:val="-5"/>
            <w:position w:val="5"/>
            <w:sz w:val="14"/>
            <w:u w:val="single" w:color="005DA1"/>
          </w:rPr>
          <w:t>33</w:t>
        </w:r>
      </w:hyperlink>
      <w:r>
        <w:rPr>
          <w:spacing w:val="-5"/>
          <w:position w:val="5"/>
          <w:sz w:val="14"/>
        </w:rPr>
        <w:t>.</w:t>
      </w:r>
      <w:r>
        <w:rPr>
          <w:position w:val="5"/>
          <w:sz w:val="14"/>
        </w:rPr>
        <w:tab/>
      </w:r>
      <w:r>
        <w:rPr/>
        <w:t>See</w:t>
      </w:r>
      <w:r>
        <w:rPr>
          <w:spacing w:val="-2"/>
        </w:rPr>
        <w:t> </w:t>
      </w:r>
      <w:r>
        <w:rPr/>
        <w:t>paras 26-178 et </w:t>
      </w:r>
      <w:r>
        <w:rPr>
          <w:spacing w:val="-4"/>
        </w:rPr>
        <w:t>seq.</w:t>
      </w:r>
    </w:p>
    <w:p>
      <w:pPr>
        <w:pStyle w:val="BodyText"/>
        <w:spacing w:before="5"/>
      </w:pPr>
    </w:p>
    <w:p>
      <w:pPr>
        <w:pStyle w:val="BodyText"/>
        <w:tabs>
          <w:tab w:pos="705" w:val="left" w:leader="none"/>
        </w:tabs>
        <w:ind w:left="165"/>
      </w:pPr>
      <w:bookmarkStart w:name="_bookmark84" w:id="86"/>
      <w:bookmarkEnd w:id="86"/>
      <w:r>
        <w:rPr/>
      </w:r>
      <w:hyperlink w:history="true" w:anchor="_bookmark31">
        <w:r>
          <w:rPr>
            <w:color w:val="005DA1"/>
            <w:spacing w:val="-5"/>
            <w:position w:val="5"/>
            <w:sz w:val="14"/>
            <w:u w:val="single" w:color="005DA1"/>
          </w:rPr>
          <w:t>34</w:t>
        </w:r>
      </w:hyperlink>
      <w:r>
        <w:rPr>
          <w:spacing w:val="-5"/>
          <w:position w:val="5"/>
          <w:sz w:val="14"/>
        </w:rPr>
        <w:t>.</w:t>
      </w:r>
      <w:r>
        <w:rPr>
          <w:position w:val="5"/>
          <w:sz w:val="14"/>
        </w:rPr>
        <w:tab/>
      </w:r>
      <w:r>
        <w:rPr/>
        <w:t>For illustrations, see below, paras 26-201 and 26-</w:t>
      </w:r>
      <w:r>
        <w:rPr>
          <w:spacing w:val="-4"/>
        </w:rPr>
        <w:t>203.</w:t>
      </w:r>
    </w:p>
    <w:p>
      <w:pPr>
        <w:pStyle w:val="BodyText"/>
        <w:spacing w:before="5"/>
      </w:pPr>
    </w:p>
    <w:p>
      <w:pPr>
        <w:pStyle w:val="BodyText"/>
        <w:tabs>
          <w:tab w:pos="705" w:val="left" w:leader="none"/>
        </w:tabs>
        <w:ind w:left="165"/>
      </w:pPr>
      <w:bookmarkStart w:name="_bookmark85" w:id="87"/>
      <w:bookmarkEnd w:id="87"/>
      <w:r>
        <w:rPr/>
      </w:r>
      <w:hyperlink w:history="true" w:anchor="_bookmark31">
        <w:r>
          <w:rPr>
            <w:color w:val="005DA1"/>
            <w:spacing w:val="-5"/>
            <w:position w:val="5"/>
            <w:sz w:val="14"/>
            <w:u w:val="single" w:color="005DA1"/>
          </w:rPr>
          <w:t>35</w:t>
        </w:r>
      </w:hyperlink>
      <w:r>
        <w:rPr>
          <w:spacing w:val="-5"/>
          <w:position w:val="5"/>
          <w:sz w:val="14"/>
        </w:rPr>
        <w:t>.</w:t>
      </w:r>
      <w:r>
        <w:rPr>
          <w:position w:val="5"/>
          <w:sz w:val="14"/>
        </w:rPr>
        <w:tab/>
      </w:r>
      <w:r>
        <w:rPr/>
        <w:t>See below, paras 26-178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86" w:id="88"/>
      <w:bookmarkEnd w:id="88"/>
      <w:r>
        <w:rPr/>
      </w:r>
      <w:hyperlink w:history="true" w:anchor="_bookmark32">
        <w:r>
          <w:rPr>
            <w:color w:val="005DA1"/>
            <w:spacing w:val="-5"/>
            <w:position w:val="5"/>
            <w:sz w:val="14"/>
            <w:u w:val="single" w:color="005DA1"/>
          </w:rPr>
          <w:t>36</w:t>
        </w:r>
      </w:hyperlink>
      <w:r>
        <w:rPr>
          <w:spacing w:val="-5"/>
          <w:position w:val="5"/>
          <w:sz w:val="14"/>
        </w:rPr>
        <w:t>.</w:t>
      </w:r>
      <w:r>
        <w:rPr>
          <w:position w:val="5"/>
          <w:sz w:val="14"/>
        </w:rPr>
        <w:tab/>
      </w:r>
      <w:r>
        <w:rPr>
          <w:sz w:val="20"/>
        </w:rPr>
        <w:t>See </w:t>
      </w:r>
      <w:r>
        <w:rPr>
          <w:spacing w:val="-2"/>
          <w:sz w:val="20"/>
        </w:rPr>
        <w:t>Ch.16.</w:t>
      </w:r>
    </w:p>
    <w:p>
      <w:pPr>
        <w:pStyle w:val="BodyText"/>
        <w:spacing w:before="5"/>
      </w:pPr>
    </w:p>
    <w:p>
      <w:pPr>
        <w:pStyle w:val="BodyText"/>
        <w:tabs>
          <w:tab w:pos="705" w:val="left" w:leader="none"/>
        </w:tabs>
        <w:ind w:left="165"/>
      </w:pPr>
      <w:bookmarkStart w:name="_bookmark87" w:id="89"/>
      <w:bookmarkEnd w:id="89"/>
      <w:r>
        <w:rPr/>
      </w:r>
      <w:hyperlink w:history="true" w:anchor="_bookmark33">
        <w:r>
          <w:rPr>
            <w:color w:val="005DA1"/>
            <w:spacing w:val="-5"/>
            <w:position w:val="5"/>
            <w:sz w:val="14"/>
            <w:u w:val="single" w:color="005DA1"/>
          </w:rPr>
          <w:t>37</w:t>
        </w:r>
      </w:hyperlink>
      <w:r>
        <w:rPr>
          <w:spacing w:val="-5"/>
          <w:position w:val="5"/>
          <w:sz w:val="14"/>
        </w:rPr>
        <w:t>.</w:t>
      </w:r>
      <w:r>
        <w:rPr>
          <w:position w:val="5"/>
          <w:sz w:val="14"/>
        </w:rPr>
        <w:tab/>
      </w:r>
      <w:r>
        <w:rPr/>
        <w:t>Chancery Amendment Act 1858 s.2; see now Senior Courts Act 1981 </w:t>
      </w:r>
      <w:r>
        <w:rPr>
          <w:spacing w:val="-2"/>
        </w:rPr>
        <w:t>s.50.</w:t>
      </w:r>
    </w:p>
    <w:p>
      <w:pPr>
        <w:pStyle w:val="BodyText"/>
        <w:spacing w:before="5"/>
      </w:pPr>
    </w:p>
    <w:p>
      <w:pPr>
        <w:pStyle w:val="BodyText"/>
        <w:tabs>
          <w:tab w:pos="705" w:val="left" w:leader="none"/>
        </w:tabs>
        <w:spacing w:before="1"/>
        <w:ind w:left="165"/>
      </w:pPr>
      <w:bookmarkStart w:name="_bookmark88" w:id="90"/>
      <w:bookmarkEnd w:id="90"/>
      <w:r>
        <w:rPr/>
      </w:r>
      <w:hyperlink w:history="true" w:anchor="_bookmark34">
        <w:r>
          <w:rPr>
            <w:color w:val="005DA1"/>
            <w:spacing w:val="-5"/>
            <w:position w:val="5"/>
            <w:sz w:val="14"/>
            <w:u w:val="single" w:color="005DA1"/>
          </w:rPr>
          <w:t>38</w:t>
        </w:r>
      </w:hyperlink>
      <w:r>
        <w:rPr>
          <w:spacing w:val="-5"/>
          <w:position w:val="5"/>
          <w:sz w:val="14"/>
        </w:rPr>
        <w:t>.</w:t>
      </w:r>
      <w:r>
        <w:rPr>
          <w:position w:val="5"/>
          <w:sz w:val="14"/>
        </w:rPr>
        <w:tab/>
      </w:r>
      <w:r>
        <w:rPr/>
        <w:t>Below,</w:t>
      </w:r>
      <w:r>
        <w:rPr>
          <w:spacing w:val="-2"/>
        </w:rPr>
        <w:t> </w:t>
      </w:r>
      <w:r>
        <w:rPr/>
        <w:t>paras 27-083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89" w:id="91"/>
      <w:bookmarkEnd w:id="91"/>
      <w:r>
        <w:rPr/>
      </w:r>
      <w:hyperlink w:history="true" w:anchor="_bookmark35">
        <w:r>
          <w:rPr>
            <w:color w:val="005DA1"/>
            <w:spacing w:val="-5"/>
            <w:position w:val="5"/>
            <w:sz w:val="14"/>
            <w:u w:val="single" w:color="005DA1"/>
          </w:rPr>
          <w:t>39</w:t>
        </w:r>
      </w:hyperlink>
      <w:r>
        <w:rPr>
          <w:spacing w:val="-5"/>
          <w:position w:val="5"/>
          <w:sz w:val="14"/>
        </w:rPr>
        <w:t>.</w:t>
      </w:r>
      <w:r>
        <w:rPr>
          <w:position w:val="5"/>
          <w:sz w:val="14"/>
        </w:rPr>
        <w:tab/>
      </w:r>
      <w:r>
        <w:rPr>
          <w:sz w:val="20"/>
        </w:rPr>
        <w:t>See</w:t>
      </w:r>
      <w:r>
        <w:rPr>
          <w:spacing w:val="-4"/>
          <w:sz w:val="20"/>
        </w:rPr>
        <w:t> </w:t>
      </w:r>
      <w:r>
        <w:rPr>
          <w:rFonts w:ascii="Arial"/>
          <w:i/>
          <w:sz w:val="20"/>
        </w:rPr>
        <w:t>Wroth v Tyler [1974] Ch. 30</w:t>
      </w:r>
      <w:r>
        <w:rPr>
          <w:sz w:val="20"/>
        </w:rPr>
        <w:t>: see below, para.27-</w:t>
      </w:r>
      <w:r>
        <w:rPr>
          <w:spacing w:val="-4"/>
          <w:sz w:val="20"/>
        </w:rPr>
        <w:t>085.</w:t>
      </w:r>
    </w:p>
    <w:p>
      <w:pPr>
        <w:pStyle w:val="BodyText"/>
        <w:spacing w:before="8"/>
      </w:pPr>
    </w:p>
    <w:p>
      <w:pPr>
        <w:tabs>
          <w:tab w:pos="705" w:val="left" w:leader="none"/>
        </w:tabs>
        <w:spacing w:line="235" w:lineRule="auto" w:before="0"/>
        <w:ind w:left="705" w:right="168" w:hanging="541"/>
        <w:jc w:val="left"/>
        <w:rPr>
          <w:sz w:val="20"/>
        </w:rPr>
      </w:pPr>
      <w:bookmarkStart w:name="_bookmark90" w:id="92"/>
      <w:bookmarkEnd w:id="92"/>
      <w:r>
        <w:rPr/>
      </w:r>
      <w:hyperlink w:history="true" w:anchor="_bookmark36">
        <w:r>
          <w:rPr>
            <w:color w:val="005DA1"/>
            <w:spacing w:val="-4"/>
            <w:position w:val="5"/>
            <w:sz w:val="14"/>
            <w:u w:val="single" w:color="005DA1"/>
          </w:rPr>
          <w:t>40</w:t>
        </w:r>
      </w:hyperlink>
      <w:r>
        <w:rPr>
          <w:spacing w:val="-4"/>
          <w:position w:val="5"/>
          <w:sz w:val="14"/>
        </w:rPr>
        <w:t>.</w:t>
      </w:r>
      <w:r>
        <w:rPr>
          <w:position w:val="5"/>
          <w:sz w:val="14"/>
        </w:rPr>
        <w:tab/>
      </w:r>
      <w:r>
        <w:rPr>
          <w:sz w:val="20"/>
        </w:rPr>
        <w:t>See </w:t>
      </w:r>
      <w:r>
        <w:rPr>
          <w:rFonts w:ascii="Arial" w:hAnsi="Arial"/>
          <w:i/>
          <w:sz w:val="20"/>
        </w:rPr>
        <w:t>Wrotham Park Estate Co v Parkside Homes [1974] 1 W.L.R. 798</w:t>
      </w:r>
      <w:r>
        <w:rPr>
          <w:sz w:val="20"/>
        </w:rPr>
        <w:t>, discussed below, paras </w:t>
      </w:r>
      <w:r>
        <w:rPr>
          <w:spacing w:val="-2"/>
          <w:sz w:val="20"/>
        </w:rPr>
        <w:t>26-049—26-054.</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6">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[1980]</w:t>
      </w:r>
      <w:r>
        <w:rPr>
          <w:rFonts w:ascii="Arial"/>
          <w:i/>
          <w:spacing w:val="-2"/>
          <w:sz w:val="20"/>
        </w:rPr>
        <w:t> </w:t>
      </w:r>
      <w:r>
        <w:rPr>
          <w:rFonts w:ascii="Arial"/>
          <w:i/>
          <w:sz w:val="20"/>
        </w:rPr>
        <w:t>A.C. 367, </w:t>
      </w:r>
      <w:r>
        <w:rPr>
          <w:rFonts w:ascii="Arial"/>
          <w:i/>
          <w:spacing w:val="-4"/>
          <w:sz w:val="20"/>
        </w:rPr>
        <w:t>400</w:t>
      </w:r>
      <w:r>
        <w:rPr>
          <w:spacing w:val="-4"/>
          <w:sz w:val="20"/>
        </w:rPr>
        <w:t>.</w:t>
      </w:r>
    </w:p>
    <w:p>
      <w:pPr>
        <w:pStyle w:val="BodyText"/>
        <w:spacing w:before="5"/>
      </w:pPr>
    </w:p>
    <w:p>
      <w:pPr>
        <w:pStyle w:val="BodyText"/>
        <w:tabs>
          <w:tab w:pos="705" w:val="left" w:leader="none"/>
        </w:tabs>
        <w:spacing w:before="1"/>
        <w:ind w:left="165"/>
      </w:pPr>
      <w:bookmarkStart w:name="_bookmark91" w:id="93"/>
      <w:bookmarkEnd w:id="93"/>
      <w:r>
        <w:rPr/>
      </w:r>
      <w:hyperlink w:history="true" w:anchor="_bookmark37">
        <w:r>
          <w:rPr>
            <w:color w:val="005DA1"/>
            <w:spacing w:val="-5"/>
            <w:position w:val="5"/>
            <w:sz w:val="14"/>
            <w:u w:val="single" w:color="005DA1"/>
          </w:rPr>
          <w:t>42</w:t>
        </w:r>
      </w:hyperlink>
      <w:r>
        <w:rPr>
          <w:spacing w:val="-5"/>
          <w:position w:val="5"/>
          <w:sz w:val="14"/>
        </w:rPr>
        <w:t>.</w:t>
      </w:r>
      <w:r>
        <w:rPr>
          <w:position w:val="5"/>
          <w:sz w:val="14"/>
        </w:rPr>
        <w:tab/>
      </w:r>
      <w:r>
        <w:rPr/>
        <w:t>See below, paras 26-046 et </w:t>
      </w:r>
      <w:r>
        <w:rPr>
          <w:spacing w:val="-4"/>
        </w:rPr>
        <w:t>seq.</w:t>
      </w:r>
    </w:p>
    <w:p>
      <w:pPr>
        <w:pStyle w:val="BodyText"/>
        <w:spacing w:before="4"/>
      </w:pPr>
    </w:p>
    <w:p>
      <w:pPr>
        <w:pStyle w:val="BodyText"/>
        <w:tabs>
          <w:tab w:pos="705" w:val="left" w:leader="none"/>
        </w:tabs>
        <w:spacing w:before="1"/>
        <w:ind w:left="165"/>
      </w:pPr>
      <w:bookmarkStart w:name="_bookmark92" w:id="94"/>
      <w:bookmarkEnd w:id="94"/>
      <w:r>
        <w:rPr/>
      </w:r>
      <w:hyperlink w:history="true" w:anchor="_bookmark38">
        <w:r>
          <w:rPr>
            <w:color w:val="005DA1"/>
            <w:spacing w:val="-5"/>
            <w:position w:val="5"/>
            <w:sz w:val="14"/>
            <w:u w:val="single" w:color="005DA1"/>
          </w:rPr>
          <w:t>43</w:t>
        </w:r>
      </w:hyperlink>
      <w:r>
        <w:rPr>
          <w:spacing w:val="-5"/>
          <w:position w:val="5"/>
          <w:sz w:val="14"/>
        </w:rPr>
        <w:t>.</w:t>
      </w:r>
      <w:r>
        <w:rPr>
          <w:position w:val="5"/>
          <w:sz w:val="14"/>
        </w:rPr>
        <w:tab/>
      </w:r>
      <w:r>
        <w:rPr/>
        <w:t>See above, paras 1-154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93" w:id="95"/>
      <w:bookmarkEnd w:id="95"/>
      <w:r>
        <w:rPr/>
      </w:r>
      <w:hyperlink w:history="true" w:anchor="_bookmark39">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[1995]</w:t>
      </w:r>
      <w:r>
        <w:rPr>
          <w:rFonts w:ascii="Arial"/>
          <w:i/>
          <w:spacing w:val="-2"/>
          <w:sz w:val="20"/>
        </w:rPr>
        <w:t> </w:t>
      </w:r>
      <w:r>
        <w:rPr>
          <w:rFonts w:ascii="Arial"/>
          <w:i/>
          <w:sz w:val="20"/>
        </w:rPr>
        <w:t>2 A.C. </w:t>
      </w:r>
      <w:r>
        <w:rPr>
          <w:rFonts w:ascii="Arial"/>
          <w:i/>
          <w:spacing w:val="-4"/>
          <w:sz w:val="20"/>
        </w:rPr>
        <w:t>145</w:t>
      </w:r>
      <w:r>
        <w:rPr>
          <w:spacing w:val="-4"/>
          <w:sz w:val="20"/>
        </w:rPr>
        <w:t>.</w:t>
      </w:r>
    </w:p>
    <w:p>
      <w:pPr>
        <w:pStyle w:val="BodyText"/>
        <w:spacing w:before="4"/>
      </w:pPr>
    </w:p>
    <w:p>
      <w:pPr>
        <w:pStyle w:val="BodyText"/>
        <w:tabs>
          <w:tab w:pos="705" w:val="left" w:leader="none"/>
        </w:tabs>
        <w:spacing w:before="1"/>
        <w:ind w:left="165"/>
      </w:pPr>
      <w:bookmarkStart w:name="_bookmark94" w:id="96"/>
      <w:bookmarkEnd w:id="96"/>
      <w:r>
        <w:rPr/>
      </w:r>
      <w:hyperlink w:history="true" w:anchor="_bookmark40">
        <w:r>
          <w:rPr>
            <w:color w:val="005DA1"/>
            <w:spacing w:val="-5"/>
            <w:position w:val="5"/>
            <w:sz w:val="14"/>
            <w:u w:val="single" w:color="005DA1"/>
          </w:rPr>
          <w:t>45</w:t>
        </w:r>
      </w:hyperlink>
      <w:r>
        <w:rPr>
          <w:spacing w:val="-5"/>
          <w:position w:val="5"/>
          <w:sz w:val="14"/>
        </w:rPr>
        <w:t>.</w:t>
      </w:r>
      <w:r>
        <w:rPr>
          <w:position w:val="5"/>
          <w:sz w:val="14"/>
        </w:rPr>
        <w:tab/>
      </w:r>
      <w:r>
        <w:rPr/>
        <w:t>Below,</w:t>
      </w:r>
      <w:r>
        <w:rPr>
          <w:spacing w:val="-2"/>
        </w:rPr>
        <w:t> </w:t>
      </w:r>
      <w:r>
        <w:rPr/>
        <w:t>paras 26-107 et </w:t>
      </w:r>
      <w:r>
        <w:rPr>
          <w:spacing w:val="-4"/>
        </w:rPr>
        <w:t>seq.</w:t>
      </w:r>
    </w:p>
    <w:p>
      <w:pPr>
        <w:pStyle w:val="BodyText"/>
        <w:spacing w:before="4"/>
      </w:pPr>
    </w:p>
    <w:p>
      <w:pPr>
        <w:pStyle w:val="BodyText"/>
        <w:tabs>
          <w:tab w:pos="705" w:val="left" w:leader="none"/>
        </w:tabs>
        <w:spacing w:before="1"/>
        <w:ind w:left="165"/>
      </w:pPr>
      <w:bookmarkStart w:name="_bookmark95" w:id="97"/>
      <w:bookmarkEnd w:id="97"/>
      <w:r>
        <w:rPr/>
      </w:r>
      <w:hyperlink w:history="true" w:anchor="_bookmark41">
        <w:r>
          <w:rPr>
            <w:color w:val="005DA1"/>
            <w:spacing w:val="-5"/>
            <w:position w:val="5"/>
            <w:sz w:val="14"/>
            <w:u w:val="single" w:color="005DA1"/>
          </w:rPr>
          <w:t>46</w:t>
        </w:r>
      </w:hyperlink>
      <w:r>
        <w:rPr>
          <w:spacing w:val="-5"/>
          <w:position w:val="5"/>
          <w:sz w:val="14"/>
        </w:rPr>
        <w:t>.</w:t>
      </w:r>
      <w:r>
        <w:rPr>
          <w:position w:val="5"/>
          <w:sz w:val="14"/>
        </w:rPr>
        <w:tab/>
      </w:r>
      <w:r>
        <w:rPr/>
        <w:t>Below, para.26-</w:t>
      </w:r>
      <w:r>
        <w:rPr>
          <w:spacing w:val="-4"/>
        </w:rPr>
        <w:t>077.</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6" w:id="98"/>
      <w:bookmarkEnd w:id="98"/>
      <w:r>
        <w:rPr/>
      </w:r>
      <w:hyperlink w:history="true" w:anchor="_bookmark42">
        <w:r>
          <w:rPr>
            <w:color w:val="005DA1"/>
            <w:spacing w:val="-5"/>
            <w:sz w:val="14"/>
            <w:u w:val="single" w:color="005DA1"/>
          </w:rPr>
          <w:t>47</w:t>
        </w:r>
      </w:hyperlink>
      <w:r>
        <w:rPr>
          <w:spacing w:val="-5"/>
          <w:sz w:val="14"/>
        </w:rPr>
        <w:t>.</w:t>
      </w:r>
    </w:p>
    <w:p>
      <w:pPr>
        <w:spacing w:before="209"/>
        <w:ind w:left="335" w:right="0" w:firstLine="0"/>
        <w:jc w:val="left"/>
        <w:rPr>
          <w:sz w:val="20"/>
        </w:rPr>
      </w:pPr>
      <w:r>
        <w:rPr/>
        <w:br w:type="column"/>
      </w:r>
      <w:r>
        <w:rPr>
          <w:rFonts w:ascii="Arial"/>
          <w:i/>
          <w:sz w:val="20"/>
        </w:rPr>
        <w:t>[2006] EWHC 1341 </w:t>
      </w:r>
      <w:r>
        <w:rPr>
          <w:rFonts w:ascii="Arial"/>
          <w:i/>
          <w:spacing w:val="-2"/>
          <w:sz w:val="20"/>
        </w:rPr>
        <w:t>(TCC)</w:t>
      </w:r>
      <w:r>
        <w:rPr>
          <w:spacing w:val="-2"/>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-210800</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7" w:id="99"/>
      <w:bookmarkEnd w:id="99"/>
      <w:r>
        <w:rPr/>
      </w:r>
      <w:hyperlink w:history="true" w:anchor="_bookmark43">
        <w:r>
          <w:rPr>
            <w:color w:val="005DA1"/>
            <w:spacing w:val="-5"/>
            <w:sz w:val="14"/>
            <w:u w:val="single" w:color="005DA1"/>
          </w:rPr>
          <w:t>48</w:t>
        </w:r>
      </w:hyperlink>
      <w:r>
        <w:rPr>
          <w:spacing w:val="-5"/>
          <w:sz w:val="14"/>
        </w:rPr>
        <w:t>.</w:t>
      </w:r>
    </w:p>
    <w:p>
      <w:pPr>
        <w:spacing w:line="235" w:lineRule="auto" w:before="212"/>
        <w:ind w:left="165" w:right="167" w:firstLine="170"/>
        <w:jc w:val="both"/>
        <w:rPr>
          <w:rFonts w:ascii="Arial"/>
          <w:i/>
          <w:sz w:val="20"/>
        </w:rPr>
      </w:pPr>
      <w:r>
        <w:rPr/>
        <w:br w:type="column"/>
      </w:r>
      <w:r>
        <w:rPr>
          <w:rFonts w:ascii="Arial"/>
          <w:i/>
          <w:sz w:val="20"/>
        </w:rPr>
        <w:t>Mondel v Steel [1841] 8 M. &amp; W. 858</w:t>
      </w:r>
      <w:r>
        <w:rPr>
          <w:sz w:val="20"/>
        </w:rPr>
        <w:t>; </w:t>
      </w:r>
      <w:r>
        <w:rPr>
          <w:rFonts w:ascii="Arial"/>
          <w:i/>
          <w:sz w:val="20"/>
        </w:rPr>
        <w:t>Davis v Hedges [1871] L.R. 6 Q.B. 687</w:t>
      </w:r>
      <w:r>
        <w:rPr>
          <w:sz w:val="20"/>
        </w:rPr>
        <w:t>; </w:t>
      </w:r>
      <w:r>
        <w:rPr>
          <w:rFonts w:ascii="Arial"/>
          <w:i/>
          <w:sz w:val="20"/>
        </w:rPr>
        <w:t>H. Dakin &amp; Co v</w:t>
      </w:r>
      <w:r>
        <w:rPr>
          <w:rFonts w:ascii="Arial"/>
          <w:i/>
          <w:spacing w:val="18"/>
          <w:sz w:val="20"/>
        </w:rPr>
        <w:t> </w:t>
      </w:r>
      <w:r>
        <w:rPr>
          <w:rFonts w:ascii="Arial"/>
          <w:i/>
          <w:sz w:val="20"/>
        </w:rPr>
        <w:t>Lee</w:t>
      </w:r>
      <w:r>
        <w:rPr>
          <w:rFonts w:ascii="Arial"/>
          <w:i/>
          <w:spacing w:val="19"/>
          <w:sz w:val="20"/>
        </w:rPr>
        <w:t> </w:t>
      </w:r>
      <w:r>
        <w:rPr>
          <w:rFonts w:ascii="Arial"/>
          <w:i/>
          <w:sz w:val="20"/>
        </w:rPr>
        <w:t>[1916]</w:t>
      </w:r>
      <w:r>
        <w:rPr>
          <w:rFonts w:ascii="Arial"/>
          <w:i/>
          <w:spacing w:val="19"/>
          <w:sz w:val="20"/>
        </w:rPr>
        <w:t> </w:t>
      </w:r>
      <w:r>
        <w:rPr>
          <w:rFonts w:ascii="Arial"/>
          <w:i/>
          <w:sz w:val="20"/>
        </w:rPr>
        <w:t>1</w:t>
      </w:r>
      <w:r>
        <w:rPr>
          <w:rFonts w:ascii="Arial"/>
          <w:i/>
          <w:spacing w:val="19"/>
          <w:sz w:val="20"/>
        </w:rPr>
        <w:t> </w:t>
      </w:r>
      <w:r>
        <w:rPr>
          <w:rFonts w:ascii="Arial"/>
          <w:i/>
          <w:sz w:val="20"/>
        </w:rPr>
        <w:t>K.B.</w:t>
      </w:r>
      <w:r>
        <w:rPr>
          <w:rFonts w:ascii="Arial"/>
          <w:i/>
          <w:spacing w:val="19"/>
          <w:sz w:val="20"/>
        </w:rPr>
        <w:t> </w:t>
      </w:r>
      <w:r>
        <w:rPr>
          <w:rFonts w:ascii="Arial"/>
          <w:i/>
          <w:sz w:val="20"/>
        </w:rPr>
        <w:t>566</w:t>
      </w:r>
      <w:r>
        <w:rPr>
          <w:sz w:val="20"/>
        </w:rPr>
        <w:t>;</w:t>
      </w:r>
      <w:r>
        <w:rPr>
          <w:spacing w:val="19"/>
          <w:sz w:val="20"/>
        </w:rPr>
        <w:t> </w:t>
      </w:r>
      <w:r>
        <w:rPr>
          <w:rFonts w:ascii="Arial"/>
          <w:i/>
          <w:sz w:val="20"/>
        </w:rPr>
        <w:t>Gilbert-Ash</w:t>
      </w:r>
      <w:r>
        <w:rPr>
          <w:rFonts w:ascii="Arial"/>
          <w:i/>
          <w:spacing w:val="19"/>
          <w:sz w:val="20"/>
        </w:rPr>
        <w:t> </w:t>
      </w:r>
      <w:r>
        <w:rPr>
          <w:rFonts w:ascii="Arial"/>
          <w:i/>
          <w:sz w:val="20"/>
        </w:rPr>
        <w:t>(Northern)</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Modern</w:t>
      </w:r>
      <w:r>
        <w:rPr>
          <w:rFonts w:ascii="Arial"/>
          <w:i/>
          <w:spacing w:val="19"/>
          <w:sz w:val="20"/>
        </w:rPr>
        <w:t> </w:t>
      </w:r>
      <w:r>
        <w:rPr>
          <w:rFonts w:ascii="Arial"/>
          <w:i/>
          <w:sz w:val="20"/>
        </w:rPr>
        <w:t>Engineering</w:t>
      </w:r>
      <w:r>
        <w:rPr>
          <w:rFonts w:ascii="Arial"/>
          <w:i/>
          <w:spacing w:val="19"/>
          <w:sz w:val="20"/>
        </w:rPr>
        <w:t> </w:t>
      </w:r>
      <w:r>
        <w:rPr>
          <w:rFonts w:ascii="Arial"/>
          <w:i/>
          <w:sz w:val="20"/>
        </w:rPr>
        <w:t>(Bristol)</w:t>
      </w:r>
      <w:r>
        <w:rPr>
          <w:rFonts w:ascii="Arial"/>
          <w:i/>
          <w:spacing w:val="19"/>
          <w:sz w:val="20"/>
        </w:rPr>
        <w:t> </w:t>
      </w:r>
      <w:r>
        <w:rPr>
          <w:rFonts w:ascii="Arial"/>
          <w:i/>
          <w:sz w:val="20"/>
        </w:rPr>
        <w:t>Ltd</w:t>
      </w:r>
      <w:r>
        <w:rPr>
          <w:rFonts w:ascii="Arial"/>
          <w:i/>
          <w:spacing w:val="19"/>
          <w:sz w:val="20"/>
        </w:rPr>
        <w:t> </w:t>
      </w:r>
      <w:r>
        <w:rPr>
          <w:rFonts w:ascii="Arial"/>
          <w:i/>
          <w:spacing w:val="-2"/>
          <w:sz w:val="20"/>
        </w:rPr>
        <w:t>[1974]</w:t>
      </w:r>
    </w:p>
    <w:p>
      <w:pPr>
        <w:spacing w:line="235" w:lineRule="auto" w:before="0"/>
        <w:ind w:left="165" w:right="168" w:firstLine="0"/>
        <w:jc w:val="both"/>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-260179</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A.C. 689</w:t>
      </w:r>
      <w:r>
        <w:rPr>
          <w:sz w:val="20"/>
        </w:rPr>
        <w:t>; </w:t>
      </w:r>
      <w:r>
        <w:rPr>
          <w:rFonts w:ascii="Arial"/>
          <w:i/>
          <w:sz w:val="20"/>
        </w:rPr>
        <w:t>Hutchinson v Harris [1978] 10 B.L.R. 19</w:t>
      </w:r>
      <w:r>
        <w:rPr>
          <w:sz w:val="20"/>
        </w:rPr>
        <w:t>; </w:t>
      </w:r>
      <w:r>
        <w:rPr>
          <w:rFonts w:ascii="Arial"/>
          <w:i/>
          <w:sz w:val="20"/>
        </w:rPr>
        <w:t>Acsim (Southern) v Danish Contracting </w:t>
      </w:r>
      <w:r>
        <w:rPr>
          <w:rFonts w:ascii="Arial"/>
          <w:i/>
          <w:sz w:val="20"/>
        </w:rPr>
        <w:t>and Development Co [1989] 47 B.L.R. 55</w:t>
      </w:r>
      <w:r>
        <w:rPr>
          <w:sz w:val="20"/>
        </w:rPr>
        <w:t>; </w:t>
      </w:r>
      <w:r>
        <w:rPr>
          <w:rFonts w:ascii="Arial"/>
          <w:i/>
          <w:sz w:val="20"/>
        </w:rPr>
        <w:t>Duquemin Ltd v Raymond Slater [1993] 65 B.L.R. 124</w:t>
      </w:r>
      <w:r>
        <w:rPr>
          <w:sz w:val="20"/>
        </w:rPr>
        <w:t>; </w:t>
      </w:r>
      <w:r>
        <w:rPr>
          <w:rFonts w:ascii="Arial"/>
          <w:i/>
          <w:sz w:val="20"/>
        </w:rPr>
        <w:t>Foster Wheeler Wood Group Engineering v Chevron UK Ltd Unreported February 29, 1996</w:t>
      </w:r>
      <w:r>
        <w:rPr>
          <w:sz w:val="20"/>
        </w:rPr>
        <w:t>; </w:t>
      </w:r>
      <w:r>
        <w:rPr>
          <w:rFonts w:ascii="Arial"/>
          <w:i/>
          <w:sz w:val="20"/>
        </w:rPr>
        <w:t>Mellowes Archital Ltd v Bell Projects Ltd [1997] 87 B.L.R. 26</w:t>
      </w:r>
      <w:r>
        <w:rPr>
          <w:sz w:val="20"/>
        </w:rPr>
        <w:t>.</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98" w:id="100"/>
      <w:bookmarkEnd w:id="100"/>
      <w:r>
        <w:rPr/>
      </w:r>
      <w:hyperlink w:history="true" w:anchor="_bookmark44">
        <w:r>
          <w:rPr>
            <w:color w:val="005DA1"/>
            <w:spacing w:val="-5"/>
            <w:sz w:val="14"/>
            <w:u w:val="single" w:color="005DA1"/>
          </w:rPr>
          <w:t>49</w:t>
        </w:r>
      </w:hyperlink>
      <w:r>
        <w:rPr>
          <w:spacing w:val="-5"/>
          <w:sz w:val="14"/>
        </w:rPr>
        <w:t>.</w:t>
      </w:r>
    </w:p>
    <w:p>
      <w:pPr>
        <w:spacing w:before="208"/>
        <w:ind w:left="335" w:right="0" w:firstLine="0"/>
        <w:jc w:val="left"/>
        <w:rPr>
          <w:sz w:val="20"/>
        </w:rPr>
      </w:pPr>
      <w:r>
        <w:rPr/>
        <w:br w:type="column"/>
      </w:r>
      <w:r>
        <w:rPr>
          <w:rFonts w:ascii="Arial"/>
          <w:i/>
          <w:sz w:val="20"/>
        </w:rPr>
        <w:t>[2006] EWHC 1341 (TCC)</w:t>
      </w:r>
      <w:r>
        <w:rPr>
          <w:rFonts w:ascii="Arial"/>
          <w:i/>
          <w:spacing w:val="-1"/>
          <w:sz w:val="20"/>
        </w:rPr>
        <w:t> </w:t>
      </w:r>
      <w:r>
        <w:rPr>
          <w:sz w:val="20"/>
        </w:rPr>
        <w:t>at </w:t>
      </w:r>
      <w:r>
        <w:rPr>
          <w:spacing w:val="-2"/>
          <w:sz w:val="20"/>
        </w:rPr>
        <w:t>[652].</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-210954</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9" w:id="101"/>
      <w:bookmarkEnd w:id="101"/>
      <w:r>
        <w:rPr/>
      </w:r>
      <w:hyperlink w:history="true" w:anchor="_bookmark45">
        <w:r>
          <w:rPr>
            <w:color w:val="005DA1"/>
            <w:spacing w:val="-5"/>
            <w:sz w:val="14"/>
            <w:u w:val="single" w:color="005DA1"/>
          </w:rPr>
          <w:t>50</w:t>
        </w:r>
      </w:hyperlink>
      <w:r>
        <w:rPr>
          <w:spacing w:val="-5"/>
          <w:sz w:val="14"/>
        </w:rPr>
        <w:t>.</w:t>
      </w:r>
    </w:p>
    <w:p>
      <w:pPr>
        <w:spacing w:before="208"/>
        <w:ind w:left="335" w:right="0" w:firstLine="0"/>
        <w:jc w:val="left"/>
        <w:rPr>
          <w:sz w:val="20"/>
        </w:rPr>
      </w:pPr>
      <w:r>
        <w:rPr/>
        <w:br w:type="column"/>
      </w:r>
      <w:r>
        <w:rPr>
          <w:rFonts w:ascii="Arial"/>
          <w:i/>
          <w:sz w:val="20"/>
        </w:rPr>
        <w:t>Davis v Hedges [1871] L.R. 6 QB </w:t>
      </w:r>
      <w:r>
        <w:rPr>
          <w:rFonts w:ascii="Arial"/>
          <w:i/>
          <w:spacing w:val="-4"/>
          <w:sz w:val="20"/>
        </w:rPr>
        <w:t>687</w:t>
      </w:r>
      <w:r>
        <w:rPr>
          <w:spacing w:val="-4"/>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-210934</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0" w:id="102"/>
      <w:bookmarkEnd w:id="102"/>
      <w:r>
        <w:rPr/>
      </w:r>
      <w:hyperlink w:history="true" w:anchor="_bookmark46">
        <w:r>
          <w:rPr>
            <w:color w:val="005DA1"/>
            <w:spacing w:val="-5"/>
            <w:sz w:val="14"/>
            <w:u w:val="single" w:color="005DA1"/>
          </w:rPr>
          <w:t>51</w:t>
        </w:r>
      </w:hyperlink>
      <w:r>
        <w:rPr>
          <w:spacing w:val="-5"/>
          <w:sz w:val="14"/>
        </w:rPr>
        <w:t>.</w:t>
      </w:r>
    </w:p>
    <w:p>
      <w:pPr>
        <w:spacing w:before="209"/>
        <w:ind w:left="335" w:right="0" w:firstLine="0"/>
        <w:jc w:val="left"/>
        <w:rPr>
          <w:sz w:val="20"/>
        </w:rPr>
      </w:pPr>
      <w:r>
        <w:rPr/>
        <w:br w:type="column"/>
      </w:r>
      <w:r>
        <w:rPr>
          <w:rFonts w:ascii="Arial"/>
          <w:i/>
          <w:sz w:val="20"/>
        </w:rPr>
        <w:t>Mondel v Steel [1841] 8 M. &amp; W. </w:t>
      </w:r>
      <w:r>
        <w:rPr>
          <w:rFonts w:ascii="Arial"/>
          <w:i/>
          <w:spacing w:val="-4"/>
          <w:sz w:val="20"/>
        </w:rPr>
        <w:t>858</w:t>
      </w:r>
      <w:r>
        <w:rPr>
          <w:spacing w:val="-4"/>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-210914</wp:posOffset>
            </wp:positionV>
            <wp:extent cx="107988" cy="10798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1" w:id="103"/>
      <w:bookmarkEnd w:id="103"/>
      <w:r>
        <w:rPr/>
      </w:r>
      <w:hyperlink w:history="true" w:anchor="_bookmark47">
        <w:r>
          <w:rPr>
            <w:color w:val="005DA1"/>
            <w:spacing w:val="-5"/>
            <w:sz w:val="14"/>
            <w:u w:val="single" w:color="005DA1"/>
          </w:rPr>
          <w:t>52</w:t>
        </w:r>
      </w:hyperlink>
      <w:r>
        <w:rPr>
          <w:spacing w:val="-5"/>
          <w:sz w:val="14"/>
        </w:rPr>
        <w:t>.</w:t>
      </w:r>
    </w:p>
    <w:p>
      <w:pPr>
        <w:pStyle w:val="BodyText"/>
        <w:spacing w:before="209"/>
        <w:ind w:left="335"/>
      </w:pPr>
      <w:r>
        <w:rPr/>
        <w:br w:type="column"/>
      </w:r>
      <w:r>
        <w:rPr/>
        <w:t>See Vol.II, para.44-</w:t>
      </w:r>
      <w:r>
        <w:rPr>
          <w:spacing w:val="-4"/>
        </w:rPr>
        <w:t>411.</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-210894</wp:posOffset>
            </wp:positionV>
            <wp:extent cx="107988" cy="10798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160580</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2" w:id="104"/>
      <w:bookmarkEnd w:id="104"/>
      <w:r>
        <w:rPr/>
      </w:r>
      <w:hyperlink w:history="true" w:anchor="_bookmark48">
        <w:r>
          <w:rPr>
            <w:color w:val="005DA1"/>
            <w:spacing w:val="-5"/>
            <w:sz w:val="14"/>
            <w:u w:val="single" w:color="005DA1"/>
          </w:rPr>
          <w:t>53</w:t>
        </w:r>
      </w:hyperlink>
      <w:r>
        <w:rPr>
          <w:spacing w:val="-5"/>
          <w:sz w:val="14"/>
        </w:rPr>
        <w:t>.</w:t>
      </w:r>
    </w:p>
    <w:p>
      <w:pPr>
        <w:pStyle w:val="BodyText"/>
        <w:spacing w:line="235" w:lineRule="auto" w:before="212"/>
        <w:ind w:left="165" w:firstLine="170"/>
      </w:pPr>
      <w:r>
        <w:rPr/>
        <w:br w:type="column"/>
      </w:r>
      <w:r>
        <w:rPr/>
        <w:t>See</w:t>
      </w:r>
      <w:r>
        <w:rPr>
          <w:spacing w:val="40"/>
        </w:rPr>
        <w:t> </w:t>
      </w:r>
      <w:r>
        <w:rPr/>
        <w:t>Consumer</w:t>
      </w:r>
      <w:r>
        <w:rPr>
          <w:spacing w:val="40"/>
        </w:rPr>
        <w:t> </w:t>
      </w:r>
      <w:r>
        <w:rPr/>
        <w:t>Rights</w:t>
      </w:r>
      <w:r>
        <w:rPr>
          <w:spacing w:val="40"/>
        </w:rPr>
        <w:t> </w:t>
      </w:r>
      <w:r>
        <w:rPr/>
        <w:t>Act</w:t>
      </w:r>
      <w:r>
        <w:rPr>
          <w:spacing w:val="40"/>
        </w:rPr>
        <w:t> </w:t>
      </w:r>
      <w:r>
        <w:rPr/>
        <w:t>2015</w:t>
      </w:r>
      <w:r>
        <w:rPr>
          <w:spacing w:val="40"/>
        </w:rPr>
        <w:t> </w:t>
      </w:r>
      <w:r>
        <w:rPr/>
        <w:t>ss.19(4)(b)</w:t>
      </w:r>
      <w:r>
        <w:rPr>
          <w:spacing w:val="40"/>
        </w:rPr>
        <w:t> </w:t>
      </w:r>
      <w:r>
        <w:rPr/>
        <w:t>and</w:t>
      </w:r>
      <w:r>
        <w:rPr>
          <w:spacing w:val="40"/>
        </w:rPr>
        <w:t> </w:t>
      </w:r>
      <w:r>
        <w:rPr/>
        <w:t>24</w:t>
      </w:r>
      <w:r>
        <w:rPr>
          <w:spacing w:val="40"/>
        </w:rPr>
        <w:t> </w:t>
      </w:r>
      <w:r>
        <w:rPr/>
        <w:t>(goods),</w:t>
      </w:r>
      <w:r>
        <w:rPr>
          <w:spacing w:val="40"/>
        </w:rPr>
        <w:t> </w:t>
      </w:r>
      <w:r>
        <w:rPr/>
        <w:t>ss.42(2)(b)</w:t>
      </w:r>
      <w:r>
        <w:rPr>
          <w:spacing w:val="40"/>
        </w:rPr>
        <w:t> </w:t>
      </w:r>
      <w:r>
        <w:rPr/>
        <w:t>and</w:t>
      </w:r>
      <w:r>
        <w:rPr>
          <w:spacing w:val="40"/>
        </w:rPr>
        <w:t> </w:t>
      </w:r>
      <w:r>
        <w:rPr/>
        <w:t>44</w:t>
      </w:r>
      <w:r>
        <w:rPr>
          <w:spacing w:val="40"/>
        </w:rPr>
        <w:t> </w:t>
      </w:r>
      <w:r>
        <w:rPr/>
        <w:t>(digital content) and ss.54(3)(b) and 56 (services); Vol.II, para.38-483.</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03" w:id="105"/>
      <w:bookmarkEnd w:id="105"/>
      <w:r>
        <w:rPr/>
      </w:r>
      <w:hyperlink w:history="true" w:anchor="_bookmark49">
        <w:r>
          <w:rPr>
            <w:color w:val="005DA1"/>
            <w:spacing w:val="-5"/>
            <w:sz w:val="14"/>
            <w:u w:val="single" w:color="005DA1"/>
          </w:rPr>
          <w:t>54</w:t>
        </w:r>
      </w:hyperlink>
      <w:r>
        <w:rPr>
          <w:spacing w:val="-5"/>
          <w:sz w:val="14"/>
        </w:rPr>
        <w:t>.</w:t>
      </w:r>
    </w:p>
    <w:p>
      <w:pPr>
        <w:spacing w:before="209"/>
        <w:ind w:left="335" w:right="0" w:firstLine="0"/>
        <w:jc w:val="left"/>
        <w:rPr>
          <w:sz w:val="20"/>
        </w:rPr>
      </w:pPr>
      <w:r>
        <w:rPr/>
        <w:br w:type="column"/>
      </w:r>
      <w:r>
        <w:rPr>
          <w:rFonts w:ascii="Arial"/>
          <w:i/>
          <w:sz w:val="20"/>
        </w:rPr>
        <w:t>Aries Tanker Corp v Total Transport Ltd (The Aries) [1977] 1 W.L.R. 185 </w:t>
      </w:r>
      <w:r>
        <w:rPr>
          <w:rFonts w:ascii="Arial"/>
          <w:i/>
          <w:spacing w:val="-5"/>
          <w:sz w:val="20"/>
        </w:rPr>
        <w:t>HL</w:t>
      </w:r>
      <w:r>
        <w:rPr>
          <w:spacing w:val="-5"/>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-210716</wp:posOffset>
            </wp:positionV>
            <wp:extent cx="107988" cy="10798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4" w:id="106"/>
      <w:bookmarkEnd w:id="106"/>
      <w:r>
        <w:rPr/>
      </w:r>
      <w:hyperlink w:history="true" w:anchor="_bookmark50">
        <w:r>
          <w:rPr>
            <w:color w:val="005DA1"/>
            <w:spacing w:val="-5"/>
            <w:sz w:val="14"/>
            <w:u w:val="single" w:color="005DA1"/>
          </w:rPr>
          <w:t>55</w:t>
        </w:r>
      </w:hyperlink>
      <w:r>
        <w:rPr>
          <w:spacing w:val="-5"/>
          <w:sz w:val="14"/>
        </w:rPr>
        <w:t>.</w:t>
      </w:r>
    </w:p>
    <w:p>
      <w:pPr>
        <w:spacing w:before="209"/>
        <w:ind w:left="335" w:right="0" w:firstLine="0"/>
        <w:jc w:val="left"/>
        <w:rPr>
          <w:sz w:val="20"/>
        </w:rPr>
      </w:pPr>
      <w:r>
        <w:rPr/>
        <w:br w:type="column"/>
      </w:r>
      <w:r>
        <w:rPr>
          <w:rFonts w:ascii="Arial"/>
          <w:i/>
          <w:sz w:val="20"/>
        </w:rPr>
        <w:t>Sagar v H Ridehalgh &amp; Son Ltd [1931] 1 Ch. 310 </w:t>
      </w:r>
      <w:r>
        <w:rPr>
          <w:rFonts w:ascii="Arial"/>
          <w:i/>
          <w:spacing w:val="-5"/>
          <w:sz w:val="20"/>
        </w:rPr>
        <w:t>CA</w:t>
      </w:r>
      <w:r>
        <w:rPr>
          <w:spacing w:val="-5"/>
          <w:sz w:val="20"/>
        </w:rPr>
        <w:t>.</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-385951</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00" w:space="141"/>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1"/>
        </w:numPr>
        <w:tabs>
          <w:tab w:pos="2604" w:val="left" w:leader="none"/>
        </w:tabs>
        <w:spacing w:line="240" w:lineRule="auto" w:before="194" w:after="0"/>
        <w:ind w:left="2604" w:right="0" w:hanging="373"/>
        <w:jc w:val="left"/>
        <w:rPr>
          <w:b/>
          <w:sz w:val="24"/>
        </w:rPr>
      </w:pPr>
      <w:r>
        <w:rPr>
          <w:b/>
          <w:sz w:val="24"/>
        </w:rPr>
        <w:t>- Liquidated and Unliquidated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Liquidated and unliquidated </w:t>
      </w:r>
      <w:r>
        <w:rPr>
          <w:rFonts w:asci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007</w:t>
      </w:r>
    </w:p>
    <w:p>
      <w:pPr>
        <w:pStyle w:val="BodyText"/>
        <w:spacing w:line="235" w:lineRule="auto" w:before="202"/>
        <w:ind w:left="164" w:right="167"/>
        <w:jc w:val="both"/>
      </w:pPr>
      <w:bookmarkStart w:name="_bookmark105" w:id="107"/>
      <w:bookmarkEnd w:id="107"/>
      <w:r>
        <w:rPr/>
      </w:r>
      <w:r>
        <w:rPr/>
        <w:t>The term liquidated damages is applied where the damages have been agreed and fixed by the </w:t>
      </w:r>
      <w:bookmarkStart w:name="_bookmark106" w:id="108"/>
      <w:bookmarkEnd w:id="108"/>
      <w:r>
        <w:rPr/>
        <w:t>parties</w:t>
      </w:r>
      <w:r>
        <w:rPr>
          <w:spacing w:val="-2"/>
        </w:rPr>
        <w:t> </w:t>
      </w:r>
      <w:r>
        <w:rPr/>
        <w:t>in</w:t>
      </w:r>
      <w:r>
        <w:rPr>
          <w:spacing w:val="-2"/>
        </w:rPr>
        <w:t> </w:t>
      </w:r>
      <w:r>
        <w:rPr/>
        <w:t>a</w:t>
      </w:r>
      <w:r>
        <w:rPr>
          <w:spacing w:val="-2"/>
        </w:rPr>
        <w:t> </w:t>
      </w:r>
      <w:r>
        <w:rPr/>
        <w:t>way</w:t>
      </w:r>
      <w:r>
        <w:rPr>
          <w:spacing w:val="-2"/>
        </w:rPr>
        <w:t> </w:t>
      </w:r>
      <w:r>
        <w:rPr/>
        <w:t>which</w:t>
      </w:r>
      <w:r>
        <w:rPr>
          <w:spacing w:val="-2"/>
        </w:rPr>
        <w:t> </w:t>
      </w:r>
      <w:r>
        <w:rPr/>
        <w:t>complies</w:t>
      </w:r>
      <w:r>
        <w:rPr>
          <w:spacing w:val="-2"/>
        </w:rPr>
        <w:t> </w:t>
      </w:r>
      <w:r>
        <w:rPr/>
        <w:t>with</w:t>
      </w:r>
      <w:r>
        <w:rPr>
          <w:spacing w:val="-2"/>
        </w:rPr>
        <w:t> </w:t>
      </w:r>
      <w:r>
        <w:rPr/>
        <w:t>the</w:t>
      </w:r>
      <w:r>
        <w:rPr>
          <w:spacing w:val="-2"/>
        </w:rPr>
        <w:t> </w:t>
      </w:r>
      <w:r>
        <w:rPr/>
        <w:t>criteria</w:t>
      </w:r>
      <w:r>
        <w:rPr>
          <w:spacing w:val="-2"/>
        </w:rPr>
        <w:t> </w:t>
      </w:r>
      <w:r>
        <w:rPr/>
        <w:t>developed</w:t>
      </w:r>
      <w:r>
        <w:rPr>
          <w:spacing w:val="-2"/>
        </w:rPr>
        <w:t> </w:t>
      </w:r>
      <w:r>
        <w:rPr/>
        <w:t>by</w:t>
      </w:r>
      <w:r>
        <w:rPr>
          <w:spacing w:val="-2"/>
        </w:rPr>
        <w:t> </w:t>
      </w:r>
      <w:r>
        <w:rPr/>
        <w:t>the</w:t>
      </w:r>
      <w:r>
        <w:rPr>
          <w:spacing w:val="-2"/>
        </w:rPr>
        <w:t> </w:t>
      </w:r>
      <w:r>
        <w:rPr/>
        <w:t>courts</w:t>
      </w:r>
      <w:r>
        <w:rPr>
          <w:spacing w:val="-2"/>
        </w:rPr>
        <w:t> </w:t>
      </w:r>
      <w:r>
        <w:rPr/>
        <w:t>for</w:t>
      </w:r>
      <w:r>
        <w:rPr>
          <w:spacing w:val="-2"/>
        </w:rPr>
        <w:t> </w:t>
      </w:r>
      <w:r>
        <w:rPr/>
        <w:t>their</w:t>
      </w:r>
      <w:r>
        <w:rPr>
          <w:spacing w:val="-2"/>
        </w:rPr>
        <w:t> </w:t>
      </w:r>
      <w:r>
        <w:rPr/>
        <w:t>validity,</w:t>
      </w:r>
      <w:r>
        <w:rPr>
          <w:spacing w:val="-3"/>
        </w:rPr>
        <w:t> </w:t>
      </w:r>
      <w:r>
        <w:rPr>
          <w:color w:val="005DA1"/>
          <w:u w:val="single" w:color="005DA1"/>
          <w:vertAlign w:val="superscript"/>
        </w:rPr>
        <w:t>56</w:t>
      </w:r>
      <w:r>
        <w:rPr>
          <w:color w:val="005DA1"/>
          <w:spacing w:val="-2"/>
          <w:vertAlign w:val="baseline"/>
        </w:rPr>
        <w:t> </w:t>
      </w:r>
      <w:r>
        <w:rPr>
          <w:vertAlign w:val="baseline"/>
        </w:rPr>
        <w:t>or</w:t>
      </w:r>
      <w:r>
        <w:rPr>
          <w:spacing w:val="-2"/>
          <w:vertAlign w:val="baseline"/>
        </w:rPr>
        <w:t> </w:t>
      </w:r>
      <w:r>
        <w:rPr>
          <w:vertAlign w:val="baseline"/>
        </w:rPr>
        <w:t>fixed</w:t>
      </w:r>
      <w:r>
        <w:rPr>
          <w:spacing w:val="-2"/>
          <w:vertAlign w:val="baseline"/>
        </w:rPr>
        <w:t> </w:t>
      </w:r>
      <w:r>
        <w:rPr>
          <w:vertAlign w:val="baseline"/>
        </w:rPr>
        <w:t>by statute as in the case of damages against parties to a dishonoured bill of exchange. </w:t>
      </w:r>
      <w:r>
        <w:rPr>
          <w:color w:val="005DA1"/>
          <w:u w:val="single" w:color="005DA1"/>
          <w:vertAlign w:val="superscript"/>
        </w:rPr>
        <w:t>57</w:t>
      </w:r>
      <w:r>
        <w:rPr>
          <w:color w:val="005DA1"/>
          <w:vertAlign w:val="baseline"/>
        </w:rPr>
        <w:t> </w:t>
      </w:r>
      <w:r>
        <w:rPr>
          <w:vertAlign w:val="baseline"/>
        </w:rPr>
        <w:t>Unliquidated </w:t>
      </w:r>
      <w:bookmarkStart w:name="_bookmark107" w:id="109"/>
      <w:bookmarkEnd w:id="109"/>
      <w:r>
        <w:rPr>
          <w:vertAlign w:val="baseline"/>
        </w:rPr>
        <w:t>damages</w:t>
      </w:r>
      <w:r>
        <w:rPr>
          <w:vertAlign w:val="baseline"/>
        </w:rPr>
        <w:t> is the term applied where the damages are at large and are to be assessed by the court;</w:t>
      </w:r>
      <w:r>
        <w:rPr>
          <w:spacing w:val="80"/>
          <w:vertAlign w:val="baseline"/>
        </w:rPr>
        <w:t> </w:t>
      </w:r>
      <w:r>
        <w:rPr>
          <w:vertAlign w:val="baseline"/>
        </w:rPr>
        <w:t>the</w:t>
      </w:r>
      <w:r>
        <w:rPr>
          <w:spacing w:val="-2"/>
          <w:vertAlign w:val="baseline"/>
        </w:rPr>
        <w:t> </w:t>
      </w:r>
      <w:r>
        <w:rPr>
          <w:vertAlign w:val="baseline"/>
        </w:rPr>
        <w:t>rules</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remoteness</w:t>
      </w:r>
      <w:r>
        <w:rPr>
          <w:spacing w:val="-2"/>
          <w:vertAlign w:val="baseline"/>
        </w:rPr>
        <w:t> </w:t>
      </w:r>
      <w:r>
        <w:rPr>
          <w:vertAlign w:val="baseline"/>
        </w:rPr>
        <w:t>of</w:t>
      </w:r>
      <w:r>
        <w:rPr>
          <w:spacing w:val="-2"/>
          <w:vertAlign w:val="baseline"/>
        </w:rPr>
        <w:t> </w:t>
      </w:r>
      <w:r>
        <w:rPr>
          <w:vertAlign w:val="baseline"/>
        </w:rPr>
        <w:t>damage</w:t>
      </w:r>
      <w:r>
        <w:rPr>
          <w:spacing w:val="-3"/>
          <w:vertAlign w:val="baseline"/>
        </w:rPr>
        <w:t> </w:t>
      </w:r>
      <w:r>
        <w:rPr>
          <w:color w:val="005DA1"/>
          <w:u w:val="single" w:color="005DA1"/>
          <w:vertAlign w:val="superscript"/>
        </w:rPr>
        <w:t>58</w:t>
      </w:r>
      <w:r>
        <w:rPr>
          <w:color w:val="005DA1"/>
          <w:spacing w:val="-2"/>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main</w:t>
      </w:r>
      <w:r>
        <w:rPr>
          <w:spacing w:val="-2"/>
          <w:vertAlign w:val="baseline"/>
        </w:rPr>
        <w:t> </w:t>
      </w:r>
      <w:r>
        <w:rPr>
          <w:vertAlign w:val="baseline"/>
        </w:rPr>
        <w:t>criteria</w:t>
      </w:r>
      <w:r>
        <w:rPr>
          <w:spacing w:val="-2"/>
          <w:vertAlign w:val="baseline"/>
        </w:rPr>
        <w:t> </w:t>
      </w:r>
      <w:r>
        <w:rPr>
          <w:vertAlign w:val="baseline"/>
        </w:rPr>
        <w:t>for</w:t>
      </w:r>
      <w:r>
        <w:rPr>
          <w:spacing w:val="-2"/>
          <w:vertAlign w:val="baseline"/>
        </w:rPr>
        <w:t> </w:t>
      </w:r>
      <w:r>
        <w:rPr>
          <w:vertAlign w:val="baseline"/>
        </w:rPr>
        <w:t>such</w:t>
      </w:r>
      <w:r>
        <w:rPr>
          <w:spacing w:val="-2"/>
          <w:vertAlign w:val="baseline"/>
        </w:rPr>
        <w:t> </w:t>
      </w:r>
      <w:r>
        <w:rPr>
          <w:vertAlign w:val="baseline"/>
        </w:rPr>
        <w:t>damages.</w:t>
      </w:r>
      <w:r>
        <w:rPr>
          <w:spacing w:val="-2"/>
          <w:vertAlign w:val="baseline"/>
        </w:rPr>
        <w:t> </w:t>
      </w:r>
      <w:r>
        <w:rPr>
          <w:vertAlign w:val="baseline"/>
        </w:rPr>
        <w:t>Often</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a </w:t>
      </w:r>
      <w:bookmarkStart w:name="_bookmark108" w:id="110"/>
      <w:bookmarkEnd w:id="110"/>
      <w:r>
        <w:rPr>
          <w:vertAlign w:val="baseline"/>
        </w:rPr>
        <w:t>contract</w:t>
      </w:r>
      <w:r>
        <w:rPr>
          <w:vertAlign w:val="baseline"/>
        </w:rPr>
        <w:t> fix a sum as liquidated damages in the event of one specific breach, and leave the claimant</w:t>
      </w:r>
      <w:r>
        <w:rPr>
          <w:spacing w:val="40"/>
          <w:vertAlign w:val="baseline"/>
        </w:rPr>
        <w:t> </w:t>
      </w:r>
      <w:r>
        <w:rPr>
          <w:vertAlign w:val="baseline"/>
        </w:rPr>
        <w:t>to sue for unliquidated damages in the ordinary way if other types of breach occur. </w:t>
      </w:r>
      <w:r>
        <w:rPr>
          <w:color w:val="005DA1"/>
          <w:u w:val="single" w:color="005DA1"/>
          <w:vertAlign w:val="superscript"/>
        </w:rPr>
        <w:t>59</w:t>
      </w:r>
      <w:r>
        <w:rPr>
          <w:color w:val="005DA1"/>
          <w:vertAlign w:val="baseline"/>
        </w:rPr>
        <w:t> </w:t>
      </w:r>
      <w:r>
        <w:rPr>
          <w:vertAlign w:val="baseline"/>
        </w:rPr>
        <w:t>Again, where </w:t>
      </w:r>
      <w:bookmarkStart w:name="_bookmark109" w:id="111"/>
      <w:bookmarkEnd w:id="111"/>
      <w:r>
        <w:rPr>
          <w:vertAlign w:val="baseline"/>
        </w:rPr>
        <w:t>there</w:t>
      </w:r>
      <w:r>
        <w:rPr>
          <w:vertAlign w:val="baseline"/>
        </w:rPr>
        <w:t> is provision for liquidated damages the claimant may, in appropriate cases, nevertheless elect</w:t>
      </w:r>
      <w:r>
        <w:rPr>
          <w:spacing w:val="80"/>
          <w:vertAlign w:val="baseline"/>
        </w:rPr>
        <w:t> </w:t>
      </w:r>
      <w:r>
        <w:rPr>
          <w:vertAlign w:val="baseline"/>
        </w:rPr>
        <w:t>to ask instead for an injunction to restrain a breach. </w:t>
      </w:r>
      <w:r>
        <w:rPr>
          <w:color w:val="005DA1"/>
          <w:u w:val="single" w:color="005DA1"/>
          <w:vertAlign w:val="superscript"/>
        </w:rPr>
        <w:t>60</w:t>
      </w:r>
    </w:p>
    <w:p>
      <w:pPr>
        <w:pStyle w:val="BodyText"/>
      </w:pPr>
    </w:p>
    <w:p>
      <w:pPr>
        <w:pStyle w:val="BodyText"/>
        <w:spacing w:before="37"/>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184787</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183pt;width:450.75pt;height:.1pt;mso-position-horizontal-relative:page;mso-position-vertical-relative:paragraph;z-index:-15712256;mso-wrap-distance-left:0;mso-wrap-distance-right:0" id="docshape6"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10" w:id="112"/>
      <w:bookmarkEnd w:id="112"/>
      <w:r>
        <w:rPr/>
      </w:r>
      <w:hyperlink w:history="true" w:anchor="_bookmark105">
        <w:r>
          <w:rPr>
            <w:color w:val="005DA1"/>
            <w:spacing w:val="-5"/>
            <w:position w:val="5"/>
            <w:sz w:val="14"/>
            <w:u w:val="single" w:color="005DA1"/>
          </w:rPr>
          <w:t>56</w:t>
        </w:r>
      </w:hyperlink>
      <w:r>
        <w:rPr>
          <w:spacing w:val="-5"/>
          <w:position w:val="5"/>
          <w:sz w:val="14"/>
        </w:rPr>
        <w:t>.</w:t>
      </w:r>
      <w:r>
        <w:rPr>
          <w:position w:val="5"/>
          <w:sz w:val="14"/>
        </w:rPr>
        <w:tab/>
      </w:r>
      <w:r>
        <w:rPr/>
        <w:t>The rules on “penalty clauses”: see below, paras 26-178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11" w:id="113"/>
      <w:bookmarkEnd w:id="113"/>
      <w:r>
        <w:rPr/>
      </w:r>
      <w:hyperlink w:history="true" w:anchor="_bookmark106">
        <w:r>
          <w:rPr>
            <w:color w:val="005DA1"/>
            <w:spacing w:val="-5"/>
            <w:position w:val="5"/>
            <w:sz w:val="14"/>
            <w:u w:val="single" w:color="005DA1"/>
          </w:rPr>
          <w:t>57</w:t>
        </w:r>
      </w:hyperlink>
      <w:r>
        <w:rPr>
          <w:spacing w:val="-5"/>
          <w:position w:val="5"/>
          <w:sz w:val="14"/>
        </w:rPr>
        <w:t>.</w:t>
      </w:r>
      <w:r>
        <w:rPr>
          <w:position w:val="5"/>
          <w:sz w:val="14"/>
        </w:rPr>
        <w:tab/>
      </w:r>
      <w:r>
        <w:rPr>
          <w:sz w:val="20"/>
        </w:rPr>
        <w:t>Bills of Exchange Act 1882 s.57 (see Vol.II, para.34-117);</w:t>
      </w:r>
      <w:r>
        <w:rPr>
          <w:spacing w:val="-1"/>
          <w:sz w:val="20"/>
        </w:rPr>
        <w:t> </w:t>
      </w:r>
      <w:r>
        <w:rPr>
          <w:rFonts w:ascii="Arial"/>
          <w:i/>
          <w:sz w:val="20"/>
        </w:rPr>
        <w:t>Re Rickett [1949] 1 All E.R. </w:t>
      </w:r>
      <w:r>
        <w:rPr>
          <w:rFonts w:ascii="Arial"/>
          <w:i/>
          <w:spacing w:val="-4"/>
          <w:sz w:val="20"/>
        </w:rPr>
        <w:t>737</w:t>
      </w:r>
      <w:r>
        <w:rPr>
          <w:spacing w:val="-4"/>
          <w:sz w:val="20"/>
        </w:rPr>
        <w:t>.</w:t>
      </w:r>
    </w:p>
    <w:p>
      <w:pPr>
        <w:pStyle w:val="BodyText"/>
        <w:spacing w:before="5"/>
      </w:pPr>
    </w:p>
    <w:p>
      <w:pPr>
        <w:pStyle w:val="BodyText"/>
        <w:tabs>
          <w:tab w:pos="705" w:val="left" w:leader="none"/>
        </w:tabs>
        <w:ind w:left="165"/>
      </w:pPr>
      <w:bookmarkStart w:name="_bookmark112" w:id="114"/>
      <w:bookmarkEnd w:id="114"/>
      <w:r>
        <w:rPr/>
      </w:r>
      <w:hyperlink w:history="true" w:anchor="_bookmark107">
        <w:r>
          <w:rPr>
            <w:color w:val="005DA1"/>
            <w:spacing w:val="-5"/>
            <w:position w:val="5"/>
            <w:sz w:val="14"/>
            <w:u w:val="single" w:color="005DA1"/>
          </w:rPr>
          <w:t>58</w:t>
        </w:r>
      </w:hyperlink>
      <w:r>
        <w:rPr>
          <w:spacing w:val="-5"/>
          <w:position w:val="5"/>
          <w:sz w:val="14"/>
        </w:rPr>
        <w:t>.</w:t>
      </w:r>
      <w:r>
        <w:rPr>
          <w:position w:val="5"/>
          <w:sz w:val="14"/>
        </w:rPr>
        <w:tab/>
      </w:r>
      <w:r>
        <w:rPr/>
        <w:t>Below,</w:t>
      </w:r>
      <w:r>
        <w:rPr>
          <w:spacing w:val="-2"/>
        </w:rPr>
        <w:t> </w:t>
      </w:r>
      <w:r>
        <w:rPr/>
        <w:t>paras 26-107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13" w:id="115"/>
      <w:bookmarkEnd w:id="115"/>
      <w:r>
        <w:rPr/>
      </w:r>
      <w:hyperlink w:history="true" w:anchor="_bookmark108">
        <w:r>
          <w:rPr>
            <w:color w:val="005DA1"/>
            <w:spacing w:val="-5"/>
            <w:position w:val="5"/>
            <w:sz w:val="14"/>
            <w:u w:val="single" w:color="005DA1"/>
          </w:rPr>
          <w:t>59</w:t>
        </w:r>
      </w:hyperlink>
      <w:r>
        <w:rPr>
          <w:spacing w:val="-5"/>
          <w:position w:val="5"/>
          <w:sz w:val="14"/>
        </w:rPr>
        <w:t>.</w:t>
      </w:r>
      <w:r>
        <w:rPr>
          <w:position w:val="5"/>
          <w:sz w:val="14"/>
        </w:rPr>
        <w:tab/>
      </w:r>
      <w:r>
        <w:rPr>
          <w:sz w:val="20"/>
        </w:rPr>
        <w:t>e.g.</w:t>
      </w:r>
      <w:r>
        <w:rPr>
          <w:spacing w:val="-1"/>
          <w:sz w:val="20"/>
        </w:rPr>
        <w:t> </w:t>
      </w:r>
      <w:r>
        <w:rPr>
          <w:rFonts w:ascii="Arial"/>
          <w:i/>
          <w:sz w:val="20"/>
        </w:rPr>
        <w:t>Aktieselskabet Reidar v Arcos Ltd [1927] 1 K.B. 352</w:t>
      </w:r>
      <w:r>
        <w:rPr>
          <w:sz w:val="20"/>
        </w:rPr>
        <w:t>. See below, para.26-</w:t>
      </w:r>
      <w:r>
        <w:rPr>
          <w:spacing w:val="-4"/>
          <w:sz w:val="20"/>
        </w:rPr>
        <w:t>179.</w:t>
      </w:r>
    </w:p>
    <w:p>
      <w:pPr>
        <w:pStyle w:val="BodyText"/>
        <w:spacing w:before="9"/>
      </w:pPr>
    </w:p>
    <w:p>
      <w:pPr>
        <w:spacing w:line="235" w:lineRule="auto" w:before="0"/>
        <w:ind w:left="705" w:right="167" w:hanging="541"/>
        <w:jc w:val="both"/>
        <w:rPr>
          <w:sz w:val="20"/>
        </w:rPr>
      </w:pPr>
      <w:bookmarkStart w:name="_bookmark114" w:id="116"/>
      <w:bookmarkEnd w:id="116"/>
      <w:r>
        <w:rPr/>
      </w:r>
      <w:hyperlink w:history="true" w:anchor="_bookmark109">
        <w:r>
          <w:rPr>
            <w:color w:val="005DA1"/>
            <w:position w:val="5"/>
            <w:sz w:val="14"/>
            <w:u w:val="single" w:color="005DA1"/>
          </w:rPr>
          <w:t>60</w:t>
        </w:r>
      </w:hyperlink>
      <w:r>
        <w:rPr>
          <w:position w:val="5"/>
          <w:sz w:val="14"/>
        </w:rPr>
        <w:t>.</w:t>
      </w:r>
      <w:r>
        <w:rPr>
          <w:spacing w:val="80"/>
          <w:position w:val="5"/>
          <w:sz w:val="14"/>
        </w:rPr>
        <w:t>  </w:t>
      </w:r>
      <w:r>
        <w:rPr>
          <w:sz w:val="20"/>
        </w:rPr>
        <w:t>But the claimant cannot have both an injunction and liquidated damages in respect of a single breach: </w:t>
      </w:r>
      <w:r>
        <w:rPr>
          <w:rFonts w:ascii="Arial" w:hAnsi="Arial"/>
          <w:i/>
          <w:sz w:val="20"/>
        </w:rPr>
        <w:t>Sainter v Ferguson (1849) 1 Mac. &amp; G. 286</w:t>
      </w:r>
      <w:r>
        <w:rPr>
          <w:sz w:val="20"/>
        </w:rPr>
        <w:t>; </w:t>
      </w:r>
      <w:r>
        <w:rPr>
          <w:rFonts w:ascii="Arial" w:hAnsi="Arial"/>
          <w:i/>
          <w:sz w:val="20"/>
        </w:rPr>
        <w:t>Carnes v Nesbitt (1862) 7 H. &amp; N. 778</w:t>
      </w:r>
      <w:r>
        <w:rPr>
          <w:sz w:val="20"/>
        </w:rPr>
        <w:t>; </w:t>
      </w:r>
      <w:r>
        <w:rPr>
          <w:rFonts w:ascii="Arial" w:hAnsi="Arial"/>
          <w:i/>
          <w:sz w:val="20"/>
        </w:rPr>
        <w:t>General Accident Insurance Co v Noel [1902] 1 K.B. 377</w:t>
      </w:r>
      <w:r>
        <w:rPr>
          <w:sz w:val="20"/>
        </w:rPr>
        <w:t>. cf. the position if there are different breaches: </w:t>
      </w:r>
      <w:r>
        <w:rPr>
          <w:rFonts w:ascii="Arial" w:hAnsi="Arial"/>
          <w:i/>
          <w:sz w:val="20"/>
        </w:rPr>
        <w:t>Imperial Tobacco Co v Parslay [1936] 2 All E.R. 515</w:t>
      </w:r>
      <w:r>
        <w:rPr>
          <w:sz w:val="20"/>
        </w:rPr>
        <w:t>; </w:t>
      </w:r>
      <w:r>
        <w:rPr>
          <w:rFonts w:ascii="Arial" w:hAnsi="Arial"/>
          <w:i/>
          <w:sz w:val="20"/>
        </w:rPr>
        <w:t>Elsley v J. G. Collins Insurance Agencies Ltd (1978) 83 D.L.R. (3d) 1 Sup.Ct. of Canada </w:t>
      </w:r>
      <w:r>
        <w:rPr>
          <w:sz w:val="20"/>
        </w:rPr>
        <w:t>(injunction granted to restrain future breaches of employee’s covenant not to compete, together with damages in respect of </w:t>
      </w:r>
      <w:r>
        <w:rPr>
          <w:sz w:val="20"/>
        </w:rPr>
        <w:t>past breaches). See also </w:t>
      </w:r>
      <w:r>
        <w:rPr>
          <w:rFonts w:ascii="Arial" w:hAnsi="Arial"/>
          <w:i/>
          <w:sz w:val="20"/>
        </w:rPr>
        <w:t>Upton v Henderson (1912) 28 T.L.R. 398</w:t>
      </w:r>
      <w:r>
        <w:rPr>
          <w:sz w:val="20"/>
        </w:rPr>
        <w:t>. The fact that the agreement provides</w:t>
      </w:r>
      <w:r>
        <w:rPr>
          <w:spacing w:val="-1"/>
          <w:sz w:val="20"/>
        </w:rPr>
        <w:t> </w:t>
      </w:r>
      <w:r>
        <w:rPr>
          <w:sz w:val="20"/>
        </w:rPr>
        <w:t>for</w:t>
      </w:r>
      <w:r>
        <w:rPr>
          <w:spacing w:val="-1"/>
          <w:sz w:val="20"/>
        </w:rPr>
        <w:t> </w:t>
      </w:r>
      <w:r>
        <w:rPr>
          <w:sz w:val="20"/>
        </w:rPr>
        <w:t>liquidated</w:t>
      </w:r>
      <w:r>
        <w:rPr>
          <w:spacing w:val="-1"/>
          <w:sz w:val="20"/>
        </w:rPr>
        <w:t> </w:t>
      </w:r>
      <w:r>
        <w:rPr>
          <w:sz w:val="20"/>
        </w:rPr>
        <w:t>damages</w:t>
      </w:r>
      <w:r>
        <w:rPr>
          <w:spacing w:val="-1"/>
          <w:sz w:val="20"/>
        </w:rPr>
        <w:t> </w:t>
      </w:r>
      <w:r>
        <w:rPr>
          <w:sz w:val="20"/>
        </w:rPr>
        <w:t>to</w:t>
      </w:r>
      <w:r>
        <w:rPr>
          <w:spacing w:val="-1"/>
          <w:sz w:val="20"/>
        </w:rPr>
        <w:t> </w:t>
      </w:r>
      <w:r>
        <w:rPr>
          <w:sz w:val="20"/>
        </w:rPr>
        <w:t>be</w:t>
      </w:r>
      <w:r>
        <w:rPr>
          <w:spacing w:val="-1"/>
          <w:sz w:val="20"/>
        </w:rPr>
        <w:t> </w:t>
      </w:r>
      <w:r>
        <w:rPr>
          <w:sz w:val="20"/>
        </w:rPr>
        <w:t>payable</w:t>
      </w:r>
      <w:r>
        <w:rPr>
          <w:spacing w:val="-1"/>
          <w:sz w:val="20"/>
        </w:rPr>
        <w:t> </w:t>
      </w:r>
      <w:r>
        <w:rPr>
          <w:sz w:val="20"/>
        </w:rPr>
        <w:t>for</w:t>
      </w:r>
      <w:r>
        <w:rPr>
          <w:spacing w:val="-1"/>
          <w:sz w:val="20"/>
        </w:rPr>
        <w:t> </w:t>
      </w:r>
      <w:r>
        <w:rPr>
          <w:sz w:val="20"/>
        </w:rPr>
        <w:t>some</w:t>
      </w:r>
      <w:r>
        <w:rPr>
          <w:spacing w:val="-1"/>
          <w:sz w:val="20"/>
        </w:rPr>
        <w:t> </w:t>
      </w:r>
      <w:r>
        <w:rPr>
          <w:sz w:val="20"/>
        </w:rPr>
        <w:t>breaches</w:t>
      </w:r>
      <w:r>
        <w:rPr>
          <w:spacing w:val="-1"/>
          <w:sz w:val="20"/>
        </w:rPr>
        <w:t> </w:t>
      </w:r>
      <w:r>
        <w:rPr>
          <w:sz w:val="20"/>
        </w:rPr>
        <w:t>does</w:t>
      </w:r>
      <w:r>
        <w:rPr>
          <w:spacing w:val="-1"/>
          <w:sz w:val="20"/>
        </w:rPr>
        <w:t> </w:t>
      </w:r>
      <w:r>
        <w:rPr>
          <w:sz w:val="20"/>
        </w:rPr>
        <w:t>not</w:t>
      </w:r>
      <w:r>
        <w:rPr>
          <w:spacing w:val="-1"/>
          <w:sz w:val="20"/>
        </w:rPr>
        <w:t> </w:t>
      </w:r>
      <w:r>
        <w:rPr>
          <w:sz w:val="20"/>
        </w:rPr>
        <w:t>mean</w:t>
      </w:r>
      <w:r>
        <w:rPr>
          <w:spacing w:val="-1"/>
          <w:sz w:val="20"/>
        </w:rPr>
        <w:t> </w:t>
      </w:r>
      <w:r>
        <w:rPr>
          <w:sz w:val="20"/>
        </w:rPr>
        <w:t>that</w:t>
      </w:r>
      <w:r>
        <w:rPr>
          <w:spacing w:val="-1"/>
          <w:sz w:val="20"/>
        </w:rPr>
        <w:t> </w:t>
      </w:r>
      <w:r>
        <w:rPr>
          <w:sz w:val="20"/>
        </w:rPr>
        <w:t>damages are an adequate remedy for every breach: </w:t>
      </w:r>
      <w:r>
        <w:rPr>
          <w:rFonts w:ascii="Arial" w:hAnsi="Arial"/>
          <w:i/>
          <w:sz w:val="20"/>
        </w:rPr>
        <w:t>Araci v Fallon [2011] EWCA Civ 668 </w:t>
      </w:r>
      <w:r>
        <w:rPr>
          <w:sz w:val="20"/>
        </w:rPr>
        <w:t>at [52].</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7"/>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1"/>
        </w:numPr>
        <w:tabs>
          <w:tab w:pos="3278" w:val="left" w:leader="none"/>
        </w:tabs>
        <w:spacing w:line="240" w:lineRule="auto" w:before="194" w:after="0"/>
        <w:ind w:left="3278" w:right="0" w:hanging="360"/>
        <w:jc w:val="left"/>
        <w:rPr>
          <w:b/>
          <w:sz w:val="24"/>
        </w:rPr>
      </w:pPr>
      <w:r>
        <w:rPr>
          <w:b/>
          <w:sz w:val="24"/>
        </w:rPr>
        <w:t>- Claims for an Agreed </w:t>
      </w:r>
      <w:r>
        <w:rPr>
          <w:b/>
          <w:spacing w:val="-5"/>
          <w:sz w:val="24"/>
        </w:rPr>
        <w:t>Sum</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Distinction between claims for payment of an agreed sum and claims for </w:t>
      </w:r>
      <w:r>
        <w:rPr>
          <w:rFonts w:asci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008</w:t>
      </w:r>
    </w:p>
    <w:p>
      <w:pPr>
        <w:pStyle w:val="BodyText"/>
        <w:spacing w:line="235" w:lineRule="auto" w:before="202"/>
        <w:ind w:left="164" w:right="167"/>
        <w:jc w:val="both"/>
      </w:pPr>
      <w:r>
        <w:rPr/>
        <w:t>There is an important distinction between a claim for payment of a debt and a claim for damages </w:t>
      </w:r>
      <w:r>
        <w:rPr/>
        <w:t>for breach</w:t>
      </w:r>
      <w:r>
        <w:rPr>
          <w:spacing w:val="-1"/>
        </w:rPr>
        <w:t> </w:t>
      </w:r>
      <w:r>
        <w:rPr/>
        <w:t>of</w:t>
      </w:r>
      <w:r>
        <w:rPr>
          <w:spacing w:val="-1"/>
        </w:rPr>
        <w:t> </w:t>
      </w:r>
      <w:r>
        <w:rPr/>
        <w:t>contract.</w:t>
      </w:r>
      <w:r>
        <w:rPr>
          <w:spacing w:val="-1"/>
        </w:rPr>
        <w:t> </w:t>
      </w:r>
      <w:r>
        <w:rPr/>
        <w:t>A</w:t>
      </w:r>
      <w:r>
        <w:rPr>
          <w:spacing w:val="-1"/>
        </w:rPr>
        <w:t> </w:t>
      </w:r>
      <w:r>
        <w:rPr/>
        <w:t>debt</w:t>
      </w:r>
      <w:r>
        <w:rPr>
          <w:spacing w:val="-1"/>
        </w:rPr>
        <w:t> </w:t>
      </w:r>
      <w:r>
        <w:rPr/>
        <w:t>is</w:t>
      </w:r>
      <w:r>
        <w:rPr>
          <w:spacing w:val="-1"/>
        </w:rPr>
        <w:t> </w:t>
      </w:r>
      <w:r>
        <w:rPr/>
        <w:t>a</w:t>
      </w:r>
      <w:r>
        <w:rPr>
          <w:spacing w:val="-1"/>
        </w:rPr>
        <w:t> </w:t>
      </w:r>
      <w:r>
        <w:rPr/>
        <w:t>definite</w:t>
      </w:r>
      <w:r>
        <w:rPr>
          <w:spacing w:val="-1"/>
        </w:rPr>
        <w:t> </w:t>
      </w:r>
      <w:r>
        <w:rPr/>
        <w:t>sum</w:t>
      </w:r>
      <w:r>
        <w:rPr>
          <w:spacing w:val="-1"/>
        </w:rPr>
        <w:t> </w:t>
      </w:r>
      <w:r>
        <w:rPr/>
        <w:t>of</w:t>
      </w:r>
      <w:r>
        <w:rPr>
          <w:spacing w:val="-1"/>
        </w:rPr>
        <w:t> </w:t>
      </w:r>
      <w:r>
        <w:rPr/>
        <w:t>money</w:t>
      </w:r>
      <w:r>
        <w:rPr>
          <w:spacing w:val="-1"/>
        </w:rPr>
        <w:t> </w:t>
      </w:r>
      <w:r>
        <w:rPr/>
        <w:t>fixed</w:t>
      </w:r>
      <w:r>
        <w:rPr>
          <w:spacing w:val="-1"/>
        </w:rPr>
        <w:t> </w:t>
      </w:r>
      <w:r>
        <w:rPr/>
        <w:t>by</w:t>
      </w:r>
      <w:r>
        <w:rPr>
          <w:spacing w:val="-1"/>
        </w:rPr>
        <w:t> </w:t>
      </w:r>
      <w:r>
        <w:rPr/>
        <w:t>the</w:t>
      </w:r>
      <w:r>
        <w:rPr>
          <w:spacing w:val="-1"/>
        </w:rPr>
        <w:t> </w:t>
      </w:r>
      <w:r>
        <w:rPr/>
        <w:t>agreement</w:t>
      </w:r>
      <w:r>
        <w:rPr>
          <w:spacing w:val="-1"/>
        </w:rPr>
        <w:t> </w:t>
      </w:r>
      <w:r>
        <w:rPr/>
        <w:t>of</w:t>
      </w:r>
      <w:r>
        <w:rPr>
          <w:spacing w:val="-1"/>
        </w:rPr>
        <w:t> </w:t>
      </w:r>
      <w:r>
        <w:rPr/>
        <w:t>the</w:t>
      </w:r>
      <w:r>
        <w:rPr>
          <w:spacing w:val="-1"/>
        </w:rPr>
        <w:t> </w:t>
      </w:r>
      <w:r>
        <w:rPr/>
        <w:t>parties</w:t>
      </w:r>
      <w:r>
        <w:rPr>
          <w:spacing w:val="-1"/>
        </w:rPr>
        <w:t> </w:t>
      </w:r>
      <w:r>
        <w:rPr/>
        <w:t>as</w:t>
      </w:r>
      <w:r>
        <w:rPr>
          <w:spacing w:val="-1"/>
        </w:rPr>
        <w:t> </w:t>
      </w:r>
      <w:r>
        <w:rPr/>
        <w:t>payable </w:t>
      </w:r>
      <w:bookmarkStart w:name="_bookmark115" w:id="117"/>
      <w:bookmarkEnd w:id="117"/>
      <w:r>
        <w:rPr/>
        <w:t>by</w:t>
      </w:r>
      <w:r>
        <w:rPr/>
        <w:t> one party in return for the performance of a specified obligation by the other party or upon the occurrence of some specified event or condition </w:t>
      </w:r>
      <w:r>
        <w:rPr>
          <w:color w:val="005DA1"/>
          <w:u w:val="single" w:color="005DA1"/>
          <w:vertAlign w:val="superscript"/>
        </w:rPr>
        <w:t>61</w:t>
      </w:r>
      <w:r>
        <w:rPr>
          <w:vertAlign w:val="baseline"/>
        </w:rPr>
        <w:t>; damages may be claimed from a party who has broken</w:t>
      </w:r>
      <w:r>
        <w:rPr>
          <w:spacing w:val="-1"/>
          <w:vertAlign w:val="baseline"/>
        </w:rPr>
        <w:t> </w:t>
      </w:r>
      <w:r>
        <w:rPr>
          <w:vertAlign w:val="baseline"/>
        </w:rPr>
        <w:t>his</w:t>
      </w:r>
      <w:r>
        <w:rPr>
          <w:spacing w:val="-1"/>
          <w:vertAlign w:val="baseline"/>
        </w:rPr>
        <w:t> </w:t>
      </w:r>
      <w:r>
        <w:rPr>
          <w:vertAlign w:val="baseline"/>
        </w:rPr>
        <w:t>contractual</w:t>
      </w:r>
      <w:r>
        <w:rPr>
          <w:spacing w:val="-1"/>
          <w:vertAlign w:val="baseline"/>
        </w:rPr>
        <w:t> </w:t>
      </w:r>
      <w:r>
        <w:rPr>
          <w:vertAlign w:val="baseline"/>
        </w:rPr>
        <w:t>obligation</w:t>
      </w:r>
      <w:r>
        <w:rPr>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way</w:t>
      </w:r>
      <w:r>
        <w:rPr>
          <w:spacing w:val="-1"/>
          <w:vertAlign w:val="baseline"/>
        </w:rPr>
        <w:t> </w:t>
      </w:r>
      <w:r>
        <w:rPr>
          <w:vertAlign w:val="baseline"/>
        </w:rPr>
        <w:t>other</w:t>
      </w:r>
      <w:r>
        <w:rPr>
          <w:spacing w:val="-1"/>
          <w:vertAlign w:val="baseline"/>
        </w:rPr>
        <w:t> </w:t>
      </w:r>
      <w:r>
        <w:rPr>
          <w:vertAlign w:val="baseline"/>
        </w:rPr>
        <w:t>than</w:t>
      </w:r>
      <w:r>
        <w:rPr>
          <w:spacing w:val="-1"/>
          <w:vertAlign w:val="baseline"/>
        </w:rPr>
        <w:t> </w:t>
      </w:r>
      <w:r>
        <w:rPr>
          <w:vertAlign w:val="baseline"/>
        </w:rPr>
        <w:t>failure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also</w:t>
      </w:r>
      <w:r>
        <w:rPr>
          <w:spacing w:val="-1"/>
          <w:vertAlign w:val="baseline"/>
        </w:rPr>
        <w:t> </w:t>
      </w:r>
      <w:r>
        <w:rPr>
          <w:vertAlign w:val="baseline"/>
        </w:rPr>
        <w:t>possible </w:t>
      </w:r>
      <w:bookmarkStart w:name="_bookmark116" w:id="118"/>
      <w:bookmarkEnd w:id="118"/>
      <w:r>
        <w:rPr>
          <w:vertAlign w:val="baseline"/>
        </w:rPr>
        <w:t>that,</w:t>
      </w:r>
      <w:r>
        <w:rPr>
          <w:vertAlign w:val="baseline"/>
        </w:rPr>
        <w:t> in addition to a claim for a debt, there may be a claim for damages in respect of consequential loss caused by the failure to pay such a debt at the due date. </w:t>
      </w:r>
      <w:r>
        <w:rPr>
          <w:color w:val="005DA1"/>
          <w:u w:val="single" w:color="005DA1"/>
          <w:vertAlign w:val="superscript"/>
        </w:rPr>
        <w:t>62</w:t>
      </w:r>
      <w:r>
        <w:rPr>
          <w:vertAlign w:val="baseline"/>
        </w:rPr>
        <w:t>) The relevance of this distinction is </w:t>
      </w:r>
      <w:bookmarkStart w:name="_bookmark117" w:id="119"/>
      <w:bookmarkEnd w:id="119"/>
      <w:r>
        <w:rPr>
          <w:vertAlign w:val="baseline"/>
        </w:rPr>
        <w:t>that</w:t>
      </w:r>
      <w:r>
        <w:rPr>
          <w:vertAlign w:val="baseline"/>
        </w:rPr>
        <w:t> rules on damages do not apply to a claim for a debt, e.g. the claimant who claims payment of a </w:t>
      </w:r>
      <w:bookmarkStart w:name="_bookmark118" w:id="120"/>
      <w:bookmarkEnd w:id="120"/>
      <w:r>
        <w:rPr>
          <w:vertAlign w:val="baseline"/>
        </w:rPr>
        <w:t>debt</w:t>
      </w:r>
      <w:r>
        <w:rPr>
          <w:vertAlign w:val="baseline"/>
        </w:rPr>
        <w:t> need not prove anything more than his performance </w:t>
      </w:r>
      <w:r>
        <w:rPr>
          <w:color w:val="005DA1"/>
          <w:u w:val="single" w:color="005DA1"/>
          <w:vertAlign w:val="superscript"/>
        </w:rPr>
        <w:t>63</w:t>
      </w:r>
      <w:r>
        <w:rPr>
          <w:color w:val="005DA1"/>
          <w:vertAlign w:val="baseline"/>
        </w:rPr>
        <w:t> </w:t>
      </w:r>
      <w:r>
        <w:rPr>
          <w:vertAlign w:val="baseline"/>
        </w:rPr>
        <w:t>or the occurrence of the event or</w:t>
      </w:r>
      <w:r>
        <w:rPr>
          <w:spacing w:val="40"/>
          <w:vertAlign w:val="baseline"/>
        </w:rPr>
        <w:t> </w:t>
      </w:r>
      <w:bookmarkStart w:name="_bookmark119" w:id="121"/>
      <w:bookmarkEnd w:id="121"/>
      <w:r>
        <w:rPr>
          <w:vertAlign w:val="baseline"/>
        </w:rPr>
        <w:t>condition</w:t>
      </w:r>
      <w:r>
        <w:rPr>
          <w:vertAlign w:val="baseline"/>
        </w:rPr>
        <w:t> </w:t>
      </w:r>
      <w:r>
        <w:rPr>
          <w:color w:val="005DA1"/>
          <w:u w:val="single" w:color="005DA1"/>
          <w:vertAlign w:val="superscript"/>
        </w:rPr>
        <w:t>64</w:t>
      </w:r>
      <w:r>
        <w:rPr>
          <w:color w:val="005DA1"/>
          <w:vertAlign w:val="baseline"/>
        </w:rPr>
        <w:t> </w:t>
      </w:r>
      <w:r>
        <w:rPr>
          <w:vertAlign w:val="baseline"/>
        </w:rPr>
        <w:t>on which the sum becomes payable; there is no need for him to prove any actual loss </w:t>
      </w:r>
      <w:bookmarkStart w:name="_bookmark120" w:id="122"/>
      <w:bookmarkEnd w:id="122"/>
      <w:r>
        <w:rPr>
          <w:vertAlign w:val="baseline"/>
        </w:rPr>
        <w:t>suffered</w:t>
      </w:r>
      <w:r>
        <w:rPr>
          <w:vertAlign w:val="baseline"/>
        </w:rPr>
        <w:t> by him </w:t>
      </w:r>
      <w:r>
        <w:rPr>
          <w:color w:val="005DA1"/>
          <w:u w:val="single" w:color="005DA1"/>
          <w:vertAlign w:val="superscript"/>
        </w:rPr>
        <w:t>65</w:t>
      </w:r>
      <w:r>
        <w:rPr>
          <w:color w:val="005DA1"/>
          <w:vertAlign w:val="baseline"/>
        </w:rPr>
        <w:t> </w:t>
      </w:r>
      <w:r>
        <w:rPr>
          <w:vertAlign w:val="baseline"/>
        </w:rPr>
        <w:t>as a result </w:t>
      </w:r>
      <w:r>
        <w:rPr>
          <w:color w:val="005DA1"/>
          <w:u w:val="single" w:color="005DA1"/>
          <w:vertAlign w:val="superscript"/>
        </w:rPr>
        <w:t>66</w:t>
      </w:r>
      <w:r>
        <w:rPr>
          <w:color w:val="005DA1"/>
          <w:vertAlign w:val="baseline"/>
        </w:rPr>
        <w:t> </w:t>
      </w:r>
      <w:r>
        <w:rPr>
          <w:vertAlign w:val="baseline"/>
        </w:rPr>
        <w:t>of the defendant’s failure to pay; the whole concept of the remoteness </w:t>
      </w:r>
      <w:bookmarkStart w:name="_bookmark121" w:id="123"/>
      <w:bookmarkEnd w:id="123"/>
      <w:r>
        <w:rPr>
          <w:vertAlign w:val="baseline"/>
        </w:rPr>
        <w:t>of</w:t>
      </w:r>
      <w:r>
        <w:rPr>
          <w:vertAlign w:val="baseline"/>
        </w:rPr>
        <w:t> damage </w:t>
      </w:r>
      <w:r>
        <w:rPr>
          <w:color w:val="005DA1"/>
          <w:u w:val="single" w:color="005DA1"/>
          <w:vertAlign w:val="superscript"/>
        </w:rPr>
        <w:t>67</w:t>
      </w:r>
      <w:r>
        <w:rPr>
          <w:color w:val="005DA1"/>
          <w:vertAlign w:val="baseline"/>
        </w:rPr>
        <w:t> </w:t>
      </w:r>
      <w:r>
        <w:rPr>
          <w:vertAlign w:val="baseline"/>
        </w:rPr>
        <w:t>is therefore irrelevant; the law on penalties does not apply to the agreed sum </w:t>
      </w:r>
      <w:r>
        <w:rPr>
          <w:color w:val="005DA1"/>
          <w:u w:val="single" w:color="005DA1"/>
          <w:vertAlign w:val="superscript"/>
        </w:rPr>
        <w:t>68</w:t>
      </w:r>
      <w:r>
        <w:rPr>
          <w:vertAlign w:val="baseline"/>
        </w:rPr>
        <w:t>; the </w:t>
      </w:r>
      <w:bookmarkStart w:name="_bookmark122" w:id="124"/>
      <w:bookmarkEnd w:id="124"/>
      <w:r>
        <w:rPr>
          <w:vertAlign w:val="baseline"/>
        </w:rPr>
        <w:t>claimant’s</w:t>
      </w:r>
      <w:r>
        <w:rPr>
          <w:vertAlign w:val="baseline"/>
        </w:rPr>
        <w:t> duty to mitigate his loss does not generally apply</w:t>
      </w:r>
      <w:r>
        <w:rPr>
          <w:spacing w:val="-1"/>
          <w:vertAlign w:val="baseline"/>
        </w:rPr>
        <w:t> </w:t>
      </w:r>
      <w:r>
        <w:rPr>
          <w:color w:val="005DA1"/>
          <w:u w:val="single" w:color="005DA1"/>
          <w:vertAlign w:val="superscript"/>
        </w:rPr>
        <w:t>69</w:t>
      </w:r>
      <w:r>
        <w:rPr>
          <w:vertAlign w:val="baseline"/>
        </w:rPr>
        <w:t>; and the claimant will usually be able to seek summary judgment. </w:t>
      </w:r>
      <w:r>
        <w:rPr>
          <w:color w:val="005DA1"/>
          <w:u w:val="single" w:color="005DA1"/>
          <w:vertAlign w:val="superscript"/>
        </w:rPr>
        <w:t>70</w:t>
      </w:r>
      <w:r>
        <w:rPr>
          <w:color w:val="005DA1"/>
          <w:vertAlign w:val="baseline"/>
        </w:rPr>
        <w:t> </w:t>
      </w:r>
      <w:r>
        <w:rPr>
          <w:vertAlign w:val="baseline"/>
        </w:rPr>
        <w:t>The distinction may also be relevant where a contract provides for payment to be made by instalments; thus, under a hire-purchase agreement, a claim for arrears of </w:t>
      </w:r>
      <w:bookmarkStart w:name="_bookmark123" w:id="125"/>
      <w:bookmarkEnd w:id="125"/>
      <w:r>
        <w:rPr>
          <w:vertAlign w:val="baseline"/>
        </w:rPr>
        <w:t>instalments</w:t>
      </w:r>
      <w:r>
        <w:rPr>
          <w:vertAlign w:val="baseline"/>
        </w:rPr>
        <w:t> already due is a claim in debt quite distinct from a claim for damages for breach of the </w:t>
      </w:r>
      <w:bookmarkStart w:name="_bookmark124" w:id="126"/>
      <w:bookmarkEnd w:id="126"/>
      <w:r>
        <w:rPr>
          <w:vertAlign w:val="baseline"/>
        </w:rPr>
        <w:t>contract</w:t>
      </w:r>
      <w:r>
        <w:rPr>
          <w:vertAlign w:val="baseline"/>
        </w:rPr>
        <w:t> as a whole. </w:t>
      </w:r>
      <w:r>
        <w:rPr>
          <w:color w:val="005DA1"/>
          <w:u w:val="single" w:color="005DA1"/>
          <w:vertAlign w:val="superscript"/>
        </w:rPr>
        <w:t>71</w:t>
      </w:r>
      <w:r>
        <w:rPr>
          <w:color w:val="005DA1"/>
          <w:vertAlign w:val="baseline"/>
        </w:rPr>
        <w:t> </w:t>
      </w:r>
      <w:r>
        <w:rPr>
          <w:vertAlign w:val="baseline"/>
        </w:rPr>
        <w:t>Under a contract for payment by instalments, no claim in respect of</w:t>
      </w:r>
      <w:r>
        <w:rPr>
          <w:spacing w:val="40"/>
          <w:vertAlign w:val="baseline"/>
        </w:rPr>
        <w:t> </w:t>
      </w:r>
      <w:r>
        <w:rPr>
          <w:vertAlign w:val="baseline"/>
        </w:rPr>
        <w:t>instalments due in the future may be brought as a claim for a debt, </w:t>
      </w:r>
      <w:r>
        <w:rPr>
          <w:color w:val="005DA1"/>
          <w:u w:val="single" w:color="005DA1"/>
          <w:vertAlign w:val="superscript"/>
        </w:rPr>
        <w:t>72</w:t>
      </w:r>
      <w:r>
        <w:rPr>
          <w:color w:val="005DA1"/>
          <w:vertAlign w:val="baseline"/>
        </w:rPr>
        <w:t> </w:t>
      </w:r>
      <w:r>
        <w:rPr>
          <w:vertAlign w:val="baseline"/>
        </w:rPr>
        <w:t>but if the party due to pay the instalments has committed a breach of his obligations which entitles the other party to terminate the contract, then, subject to the general rules on damages, an award of damages may be made in respect of the prospective loss of the future instalments, allowance being made for a discount on </w:t>
      </w:r>
      <w:bookmarkStart w:name="_bookmark125" w:id="127"/>
      <w:bookmarkEnd w:id="127"/>
      <w:r>
        <w:rPr>
          <w:vertAlign w:val="baseline"/>
        </w:rPr>
        <w:t>account</w:t>
      </w:r>
      <w:r>
        <w:rPr>
          <w:vertAlign w:val="baseline"/>
        </w:rPr>
        <w:t> of the earlier payment of a lump sum to be received under the judgment instead of the instalments spread over the future period. </w:t>
      </w:r>
      <w:r>
        <w:rPr>
          <w:color w:val="005DA1"/>
          <w:u w:val="single" w:color="005DA1"/>
          <w:vertAlign w:val="superscript"/>
        </w:rPr>
        <w:t>73</w:t>
      </w:r>
    </w:p>
    <w:p>
      <w:pPr>
        <w:pStyle w:val="BodyText"/>
      </w:pPr>
    </w:p>
    <w:p>
      <w:pPr>
        <w:pStyle w:val="BodyText"/>
        <w:spacing w:before="31"/>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181401</wp:posOffset>
                </wp:positionV>
                <wp:extent cx="57245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83582pt;width:450.75pt;height:.1pt;mso-position-horizontal-relative:page;mso-position-vertical-relative:paragraph;z-index:-15711744;mso-wrap-distance-left:0;mso-wrap-distance-right:0" id="docshape7" coordorigin="1440,286" coordsize="9015,0" path="m1440,286l10454,286e" filled="false" stroked="true" strokeweight="1pt" strokecolor="#000000">
                <v:path arrowok="t"/>
                <v:stroke dashstyle="solid"/>
                <w10:wrap type="topAndBottom"/>
              </v:shape>
            </w:pict>
          </mc:Fallback>
        </mc:AlternateContent>
      </w:r>
    </w:p>
    <w:p>
      <w:pPr>
        <w:pStyle w:val="BodyText"/>
        <w:spacing w:before="97"/>
      </w:pPr>
    </w:p>
    <w:p>
      <w:pPr>
        <w:spacing w:line="227" w:lineRule="exact" w:before="0"/>
        <w:ind w:left="165" w:right="0" w:firstLine="0"/>
        <w:jc w:val="both"/>
        <w:rPr>
          <w:rFonts w:ascii="Arial"/>
          <w:i/>
          <w:sz w:val="20"/>
        </w:rPr>
      </w:pPr>
      <w:bookmarkStart w:name="_bookmark126" w:id="128"/>
      <w:bookmarkEnd w:id="128"/>
      <w:r>
        <w:rPr/>
      </w:r>
      <w:hyperlink w:history="true" w:anchor="_bookmark115">
        <w:r>
          <w:rPr>
            <w:color w:val="005DA1"/>
            <w:position w:val="5"/>
            <w:sz w:val="14"/>
            <w:u w:val="single" w:color="005DA1"/>
          </w:rPr>
          <w:t>61</w:t>
        </w:r>
      </w:hyperlink>
      <w:r>
        <w:rPr>
          <w:position w:val="5"/>
          <w:sz w:val="14"/>
        </w:rPr>
        <w:t>.</w:t>
      </w:r>
      <w:r>
        <w:rPr>
          <w:spacing w:val="76"/>
          <w:position w:val="5"/>
          <w:sz w:val="14"/>
        </w:rPr>
        <w:t>   </w:t>
      </w:r>
      <w:r>
        <w:rPr>
          <w:sz w:val="20"/>
        </w:rPr>
        <w:t>e.g.</w:t>
      </w:r>
      <w:r>
        <w:rPr>
          <w:spacing w:val="1"/>
          <w:sz w:val="20"/>
        </w:rPr>
        <w:t> </w:t>
      </w:r>
      <w:r>
        <w:rPr>
          <w:rFonts w:ascii="Arial"/>
          <w:i/>
          <w:sz w:val="20"/>
        </w:rPr>
        <w:t>Alder</w:t>
      </w:r>
      <w:r>
        <w:rPr>
          <w:rFonts w:ascii="Arial"/>
          <w:i/>
          <w:spacing w:val="1"/>
          <w:sz w:val="20"/>
        </w:rPr>
        <w:t> </w:t>
      </w:r>
      <w:r>
        <w:rPr>
          <w:rFonts w:ascii="Arial"/>
          <w:i/>
          <w:sz w:val="20"/>
        </w:rPr>
        <w:t>v</w:t>
      </w:r>
      <w:r>
        <w:rPr>
          <w:rFonts w:ascii="Arial"/>
          <w:i/>
          <w:spacing w:val="1"/>
          <w:sz w:val="20"/>
        </w:rPr>
        <w:t> </w:t>
      </w:r>
      <w:r>
        <w:rPr>
          <w:rFonts w:ascii="Arial"/>
          <w:i/>
          <w:sz w:val="20"/>
        </w:rPr>
        <w:t>Moore</w:t>
      </w:r>
      <w:r>
        <w:rPr>
          <w:rFonts w:ascii="Arial"/>
          <w:i/>
          <w:spacing w:val="1"/>
          <w:sz w:val="20"/>
        </w:rPr>
        <w:t> </w:t>
      </w:r>
      <w:r>
        <w:rPr>
          <w:rFonts w:ascii="Arial"/>
          <w:i/>
          <w:sz w:val="20"/>
        </w:rPr>
        <w:t>[1961]</w:t>
      </w:r>
      <w:r>
        <w:rPr>
          <w:rFonts w:ascii="Arial"/>
          <w:i/>
          <w:spacing w:val="1"/>
          <w:sz w:val="20"/>
        </w:rPr>
        <w:t> </w:t>
      </w:r>
      <w:r>
        <w:rPr>
          <w:rFonts w:ascii="Arial"/>
          <w:i/>
          <w:sz w:val="20"/>
        </w:rPr>
        <w:t>2</w:t>
      </w:r>
      <w:r>
        <w:rPr>
          <w:rFonts w:ascii="Arial"/>
          <w:i/>
          <w:spacing w:val="1"/>
          <w:sz w:val="20"/>
        </w:rPr>
        <w:t> </w:t>
      </w:r>
      <w:r>
        <w:rPr>
          <w:rFonts w:ascii="Arial"/>
          <w:i/>
          <w:sz w:val="20"/>
        </w:rPr>
        <w:t>Q.B.</w:t>
      </w:r>
      <w:r>
        <w:rPr>
          <w:rFonts w:ascii="Arial"/>
          <w:i/>
          <w:spacing w:val="1"/>
          <w:sz w:val="20"/>
        </w:rPr>
        <w:t> </w:t>
      </w:r>
      <w:r>
        <w:rPr>
          <w:rFonts w:ascii="Arial"/>
          <w:i/>
          <w:sz w:val="20"/>
        </w:rPr>
        <w:t>57</w:t>
      </w:r>
      <w:r>
        <w:rPr>
          <w:sz w:val="20"/>
        </w:rPr>
        <w:t>; </w:t>
      </w:r>
      <w:r>
        <w:rPr>
          <w:rFonts w:ascii="Arial"/>
          <w:i/>
          <w:sz w:val="20"/>
        </w:rPr>
        <w:t>Hyundai</w:t>
      </w:r>
      <w:r>
        <w:rPr>
          <w:rFonts w:ascii="Arial"/>
          <w:i/>
          <w:spacing w:val="1"/>
          <w:sz w:val="20"/>
        </w:rPr>
        <w:t> </w:t>
      </w:r>
      <w:r>
        <w:rPr>
          <w:rFonts w:ascii="Arial"/>
          <w:i/>
          <w:sz w:val="20"/>
        </w:rPr>
        <w:t>Heavy</w:t>
      </w:r>
      <w:r>
        <w:rPr>
          <w:rFonts w:ascii="Arial"/>
          <w:i/>
          <w:spacing w:val="1"/>
          <w:sz w:val="20"/>
        </w:rPr>
        <w:t> </w:t>
      </w:r>
      <w:r>
        <w:rPr>
          <w:rFonts w:ascii="Arial"/>
          <w:i/>
          <w:sz w:val="20"/>
        </w:rPr>
        <w:t>Industries</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Papadopoulos</w:t>
      </w:r>
      <w:r>
        <w:rPr>
          <w:rFonts w:ascii="Arial"/>
          <w:i/>
          <w:spacing w:val="1"/>
          <w:sz w:val="20"/>
        </w:rPr>
        <w:t> </w:t>
      </w:r>
      <w:r>
        <w:rPr>
          <w:rFonts w:ascii="Arial"/>
          <w:i/>
          <w:sz w:val="20"/>
        </w:rPr>
        <w:t>[1980]</w:t>
      </w:r>
      <w:r>
        <w:rPr>
          <w:rFonts w:ascii="Arial"/>
          <w:i/>
          <w:spacing w:val="1"/>
          <w:sz w:val="20"/>
        </w:rPr>
        <w:t> </w:t>
      </w:r>
      <w:r>
        <w:rPr>
          <w:rFonts w:ascii="Arial"/>
          <w:i/>
          <w:spacing w:val="-10"/>
          <w:sz w:val="20"/>
        </w:rPr>
        <w:t>1</w:t>
      </w:r>
    </w:p>
    <w:p>
      <w:pPr>
        <w:spacing w:line="235" w:lineRule="auto" w:before="1"/>
        <w:ind w:left="705" w:right="167" w:firstLine="0"/>
        <w:jc w:val="both"/>
        <w:rPr>
          <w:sz w:val="20"/>
        </w:rPr>
      </w:pPr>
      <w:r>
        <w:rPr>
          <w:rFonts w:ascii="Arial"/>
          <w:i/>
          <w:sz w:val="20"/>
        </w:rPr>
        <w:t>W.L.R. 1129 HL </w:t>
      </w:r>
      <w:r>
        <w:rPr>
          <w:sz w:val="20"/>
        </w:rPr>
        <w:t>(guarantee: see Vol.II, Ch.45); </w:t>
      </w:r>
      <w:r>
        <w:rPr>
          <w:rFonts w:ascii="Arial"/>
          <w:i/>
          <w:sz w:val="20"/>
        </w:rPr>
        <w:t>Damon Compania Naviera SA v Hapag-Lloyd International SA [1985] 1 W.L.R. 435, 449 </w:t>
      </w:r>
      <w:r>
        <w:rPr>
          <w:sz w:val="20"/>
        </w:rPr>
        <w:t>(suing in debt to recover an unpaid deposit); </w:t>
      </w:r>
      <w:r>
        <w:rPr>
          <w:rFonts w:ascii="Arial"/>
          <w:i/>
          <w:sz w:val="20"/>
        </w:rPr>
        <w:t>Jervis </w:t>
      </w:r>
      <w:r>
        <w:rPr>
          <w:rFonts w:ascii="Arial"/>
          <w:i/>
          <w:sz w:val="20"/>
        </w:rPr>
        <w:t>v Harris [1996] Ch. 195</w:t>
      </w:r>
      <w:r>
        <w:rPr>
          <w:sz w:val="20"/>
        </w:rPr>
        <w:t>. Vol.II, Ch.42 (contracts of insurance).</w:t>
      </w:r>
    </w:p>
    <w:p>
      <w:pPr>
        <w:pStyle w:val="BodyText"/>
        <w:spacing w:before="5"/>
      </w:pPr>
    </w:p>
    <w:p>
      <w:pPr>
        <w:pStyle w:val="BodyText"/>
        <w:tabs>
          <w:tab w:pos="705" w:val="left" w:leader="none"/>
        </w:tabs>
        <w:spacing w:before="1"/>
        <w:ind w:left="165"/>
      </w:pPr>
      <w:bookmarkStart w:name="_bookmark127" w:id="129"/>
      <w:bookmarkEnd w:id="129"/>
      <w:r>
        <w:rPr/>
      </w:r>
      <w:hyperlink w:history="true" w:anchor="_bookmark116">
        <w:r>
          <w:rPr>
            <w:color w:val="005DA1"/>
            <w:spacing w:val="-5"/>
            <w:position w:val="5"/>
            <w:sz w:val="14"/>
            <w:u w:val="single" w:color="005DA1"/>
          </w:rPr>
          <w:t>62</w:t>
        </w:r>
      </w:hyperlink>
      <w:r>
        <w:rPr>
          <w:spacing w:val="-5"/>
          <w:position w:val="5"/>
          <w:sz w:val="14"/>
        </w:rPr>
        <w:t>.</w:t>
      </w:r>
      <w:r>
        <w:rPr>
          <w:position w:val="5"/>
          <w:sz w:val="14"/>
        </w:rPr>
        <w:tab/>
      </w:r>
      <w:r>
        <w:rPr/>
        <w:t>See below, para.26-175. Interest may also be payable on a debt: below, paras 26-227 et </w:t>
      </w:r>
      <w:r>
        <w:rPr>
          <w:spacing w:val="-4"/>
        </w:rPr>
        <w:t>seq.</w:t>
      </w:r>
    </w:p>
    <w:p>
      <w:pPr>
        <w:pStyle w:val="BodyText"/>
        <w:spacing w:before="8"/>
      </w:pPr>
    </w:p>
    <w:p>
      <w:pPr>
        <w:pStyle w:val="BodyText"/>
        <w:tabs>
          <w:tab w:pos="705" w:val="left" w:leader="none"/>
        </w:tabs>
        <w:spacing w:line="235" w:lineRule="auto"/>
        <w:ind w:left="705" w:right="174" w:hanging="541"/>
      </w:pPr>
      <w:bookmarkStart w:name="_bookmark128" w:id="130"/>
      <w:bookmarkEnd w:id="130"/>
      <w:r>
        <w:rPr/>
      </w:r>
      <w:hyperlink w:history="true" w:anchor="_bookmark117">
        <w:r>
          <w:rPr>
            <w:color w:val="005DA1"/>
            <w:spacing w:val="-4"/>
            <w:position w:val="5"/>
            <w:sz w:val="14"/>
            <w:u w:val="single" w:color="005DA1"/>
          </w:rPr>
          <w:t>63</w:t>
        </w:r>
      </w:hyperlink>
      <w:r>
        <w:rPr>
          <w:spacing w:val="-4"/>
          <w:position w:val="5"/>
          <w:sz w:val="14"/>
        </w:rPr>
        <w:t>.</w:t>
      </w:r>
      <w:r>
        <w:rPr>
          <w:position w:val="5"/>
          <w:sz w:val="14"/>
        </w:rPr>
        <w:tab/>
      </w:r>
      <w:r>
        <w:rPr/>
        <w:t>On</w:t>
      </w:r>
      <w:r>
        <w:rPr>
          <w:spacing w:val="19"/>
        </w:rPr>
        <w:t> </w:t>
      </w:r>
      <w:r>
        <w:rPr/>
        <w:t>the</w:t>
      </w:r>
      <w:r>
        <w:rPr>
          <w:spacing w:val="19"/>
        </w:rPr>
        <w:t> </w:t>
      </w:r>
      <w:r>
        <w:rPr/>
        <w:t>question</w:t>
      </w:r>
      <w:r>
        <w:rPr>
          <w:spacing w:val="19"/>
        </w:rPr>
        <w:t> </w:t>
      </w:r>
      <w:r>
        <w:rPr/>
        <w:t>when</w:t>
      </w:r>
      <w:r>
        <w:rPr>
          <w:spacing w:val="19"/>
        </w:rPr>
        <w:t> </w:t>
      </w:r>
      <w:r>
        <w:rPr/>
        <w:t>an</w:t>
      </w:r>
      <w:r>
        <w:rPr>
          <w:spacing w:val="19"/>
        </w:rPr>
        <w:t> </w:t>
      </w:r>
      <w:r>
        <w:rPr/>
        <w:t>action</w:t>
      </w:r>
      <w:r>
        <w:rPr>
          <w:spacing w:val="19"/>
        </w:rPr>
        <w:t> </w:t>
      </w:r>
      <w:r>
        <w:rPr/>
        <w:t>lies</w:t>
      </w:r>
      <w:r>
        <w:rPr>
          <w:spacing w:val="19"/>
        </w:rPr>
        <w:t> </w:t>
      </w:r>
      <w:r>
        <w:rPr/>
        <w:t>for</w:t>
      </w:r>
      <w:r>
        <w:rPr>
          <w:spacing w:val="19"/>
        </w:rPr>
        <w:t> </w:t>
      </w:r>
      <w:r>
        <w:rPr/>
        <w:t>the</w:t>
      </w:r>
      <w:r>
        <w:rPr>
          <w:spacing w:val="19"/>
        </w:rPr>
        <w:t> </w:t>
      </w:r>
      <w:r>
        <w:rPr/>
        <w:t>price</w:t>
      </w:r>
      <w:r>
        <w:rPr>
          <w:spacing w:val="19"/>
        </w:rPr>
        <w:t> </w:t>
      </w:r>
      <w:r>
        <w:rPr/>
        <w:t>under</w:t>
      </w:r>
      <w:r>
        <w:rPr>
          <w:spacing w:val="19"/>
        </w:rPr>
        <w:t> </w:t>
      </w:r>
      <w:r>
        <w:rPr/>
        <w:t>a</w:t>
      </w:r>
      <w:r>
        <w:rPr>
          <w:spacing w:val="19"/>
        </w:rPr>
        <w:t> </w:t>
      </w:r>
      <w:r>
        <w:rPr/>
        <w:t>contract</w:t>
      </w:r>
      <w:r>
        <w:rPr>
          <w:spacing w:val="19"/>
        </w:rPr>
        <w:t> </w:t>
      </w:r>
      <w:r>
        <w:rPr/>
        <w:t>for</w:t>
      </w:r>
      <w:r>
        <w:rPr>
          <w:spacing w:val="19"/>
        </w:rPr>
        <w:t> </w:t>
      </w:r>
      <w:r>
        <w:rPr/>
        <w:t>the</w:t>
      </w:r>
      <w:r>
        <w:rPr>
          <w:spacing w:val="19"/>
        </w:rPr>
        <w:t> </w:t>
      </w:r>
      <w:r>
        <w:rPr/>
        <w:t>sale</w:t>
      </w:r>
      <w:r>
        <w:rPr>
          <w:spacing w:val="19"/>
        </w:rPr>
        <w:t> </w:t>
      </w:r>
      <w:r>
        <w:rPr/>
        <w:t>of</w:t>
      </w:r>
      <w:r>
        <w:rPr>
          <w:spacing w:val="19"/>
        </w:rPr>
        <w:t> </w:t>
      </w:r>
      <w:r>
        <w:rPr/>
        <w:t>goods,</w:t>
      </w:r>
      <w:r>
        <w:rPr>
          <w:spacing w:val="19"/>
        </w:rPr>
        <w:t> </w:t>
      </w:r>
      <w:r>
        <w:rPr/>
        <w:t>see Vol.II, paras 44-395 et seq.</w:t>
      </w:r>
    </w:p>
    <w:p>
      <w:pPr>
        <w:pStyle w:val="BodyText"/>
        <w:spacing w:before="6"/>
      </w:pPr>
    </w:p>
    <w:p>
      <w:pPr>
        <w:pStyle w:val="BodyText"/>
        <w:tabs>
          <w:tab w:pos="705" w:val="left" w:leader="none"/>
        </w:tabs>
        <w:ind w:left="165"/>
      </w:pPr>
      <w:bookmarkStart w:name="_bookmark129" w:id="131"/>
      <w:bookmarkEnd w:id="131"/>
      <w:r>
        <w:rPr/>
      </w:r>
      <w:hyperlink w:history="true" w:anchor="_bookmark118">
        <w:r>
          <w:rPr>
            <w:color w:val="005DA1"/>
            <w:spacing w:val="-5"/>
            <w:position w:val="5"/>
            <w:sz w:val="14"/>
            <w:u w:val="single" w:color="005DA1"/>
          </w:rPr>
          <w:t>64</w:t>
        </w:r>
      </w:hyperlink>
      <w:r>
        <w:rPr>
          <w:spacing w:val="-5"/>
          <w:position w:val="5"/>
          <w:sz w:val="14"/>
        </w:rPr>
        <w:t>.</w:t>
      </w:r>
      <w:r>
        <w:rPr>
          <w:position w:val="5"/>
          <w:sz w:val="14"/>
        </w:rPr>
        <w:tab/>
      </w:r>
      <w:r>
        <w:rPr/>
        <w:t>See n.49, </w:t>
      </w:r>
      <w:r>
        <w:rPr>
          <w:spacing w:val="-2"/>
        </w:rPr>
        <w:t>above.</w:t>
      </w:r>
    </w:p>
    <w:p>
      <w:pPr>
        <w:pStyle w:val="BodyText"/>
        <w:spacing w:before="5"/>
      </w:pPr>
    </w:p>
    <w:p>
      <w:pPr>
        <w:pStyle w:val="BodyText"/>
        <w:tabs>
          <w:tab w:pos="705" w:val="left" w:leader="none"/>
        </w:tabs>
        <w:ind w:left="165"/>
      </w:pPr>
      <w:bookmarkStart w:name="_bookmark130" w:id="132"/>
      <w:bookmarkEnd w:id="132"/>
      <w:r>
        <w:rPr/>
      </w:r>
      <w:hyperlink w:history="true" w:anchor="_bookmark119">
        <w:r>
          <w:rPr>
            <w:color w:val="005DA1"/>
            <w:spacing w:val="-5"/>
            <w:position w:val="5"/>
            <w:sz w:val="14"/>
            <w:u w:val="single" w:color="005DA1"/>
          </w:rPr>
          <w:t>65</w:t>
        </w:r>
      </w:hyperlink>
      <w:r>
        <w:rPr>
          <w:spacing w:val="-5"/>
          <w:position w:val="5"/>
          <w:sz w:val="14"/>
        </w:rPr>
        <w:t>.</w:t>
      </w:r>
      <w:r>
        <w:rPr>
          <w:position w:val="5"/>
          <w:sz w:val="14"/>
        </w:rPr>
        <w:tab/>
      </w:r>
      <w:r>
        <w:rPr/>
        <w:t>cf. para.26-</w:t>
      </w:r>
      <w:r>
        <w:rPr>
          <w:spacing w:val="-4"/>
        </w:rPr>
        <w:t>015.</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bookmarkStart w:name="_bookmark131" w:id="133"/>
      <w:bookmarkEnd w:id="133"/>
      <w:r>
        <w:rPr/>
      </w:r>
      <w:hyperlink w:history="true" w:anchor="_bookmark119">
        <w:r>
          <w:rPr>
            <w:color w:val="005DA1"/>
            <w:spacing w:val="-5"/>
            <w:position w:val="5"/>
            <w:sz w:val="14"/>
            <w:u w:val="single" w:color="005DA1"/>
          </w:rPr>
          <w:t>66</w:t>
        </w:r>
      </w:hyperlink>
      <w:r>
        <w:rPr>
          <w:spacing w:val="-5"/>
          <w:position w:val="5"/>
          <w:sz w:val="14"/>
        </w:rPr>
        <w:t>.</w:t>
      </w:r>
      <w:r>
        <w:rPr>
          <w:position w:val="5"/>
          <w:sz w:val="14"/>
        </w:rPr>
        <w:tab/>
      </w:r>
      <w:r>
        <w:rPr/>
        <w:t>On causation, see below, paras 26-058 et </w:t>
      </w:r>
      <w:r>
        <w:rPr>
          <w:spacing w:val="-4"/>
        </w:rPr>
        <w:t>seq.</w:t>
      </w:r>
    </w:p>
    <w:p>
      <w:pPr>
        <w:pStyle w:val="BodyText"/>
        <w:spacing w:before="5"/>
      </w:pPr>
    </w:p>
    <w:p>
      <w:pPr>
        <w:pStyle w:val="BodyText"/>
        <w:tabs>
          <w:tab w:pos="705" w:val="left" w:leader="none"/>
        </w:tabs>
        <w:spacing w:before="1"/>
        <w:ind w:left="165"/>
      </w:pPr>
      <w:bookmarkStart w:name="_bookmark132" w:id="134"/>
      <w:bookmarkEnd w:id="134"/>
      <w:r>
        <w:rPr/>
      </w:r>
      <w:hyperlink w:history="true" w:anchor="_bookmark120">
        <w:r>
          <w:rPr>
            <w:color w:val="005DA1"/>
            <w:spacing w:val="-5"/>
            <w:position w:val="5"/>
            <w:sz w:val="14"/>
            <w:u w:val="single" w:color="005DA1"/>
          </w:rPr>
          <w:t>67</w:t>
        </w:r>
      </w:hyperlink>
      <w:r>
        <w:rPr>
          <w:spacing w:val="-5"/>
          <w:position w:val="5"/>
          <w:sz w:val="14"/>
        </w:rPr>
        <w:t>.</w:t>
      </w:r>
      <w:r>
        <w:rPr>
          <w:position w:val="5"/>
          <w:sz w:val="14"/>
        </w:rPr>
        <w:tab/>
      </w:r>
      <w:r>
        <w:rPr/>
        <w:t>See below, paras 26-107 et </w:t>
      </w:r>
      <w:r>
        <w:rPr>
          <w:spacing w:val="-4"/>
        </w:rPr>
        <w:t>seq.</w:t>
      </w:r>
    </w:p>
    <w:p>
      <w:pPr>
        <w:pStyle w:val="BodyText"/>
        <w:spacing w:before="4"/>
      </w:pPr>
    </w:p>
    <w:p>
      <w:pPr>
        <w:pStyle w:val="BodyText"/>
        <w:tabs>
          <w:tab w:pos="705" w:val="left" w:leader="none"/>
        </w:tabs>
        <w:spacing w:before="1"/>
        <w:ind w:left="165"/>
      </w:pPr>
      <w:bookmarkStart w:name="_bookmark133" w:id="135"/>
      <w:bookmarkEnd w:id="135"/>
      <w:r>
        <w:rPr/>
      </w:r>
      <w:hyperlink w:history="true" w:anchor="_bookmark120">
        <w:r>
          <w:rPr>
            <w:color w:val="005DA1"/>
            <w:spacing w:val="-5"/>
            <w:position w:val="5"/>
            <w:sz w:val="14"/>
            <w:u w:val="single" w:color="005DA1"/>
          </w:rPr>
          <w:t>68</w:t>
        </w:r>
      </w:hyperlink>
      <w:r>
        <w:rPr>
          <w:spacing w:val="-5"/>
          <w:position w:val="5"/>
          <w:sz w:val="14"/>
        </w:rPr>
        <w:t>.</w:t>
      </w:r>
      <w:r>
        <w:rPr>
          <w:position w:val="5"/>
          <w:sz w:val="14"/>
        </w:rPr>
        <w:tab/>
      </w:r>
      <w:r>
        <w:rPr/>
        <w:t>See</w:t>
      </w:r>
      <w:r>
        <w:rPr>
          <w:spacing w:val="-2"/>
        </w:rPr>
        <w:t> </w:t>
      </w:r>
      <w:r>
        <w:rPr/>
        <w:t>below, para.26-</w:t>
      </w:r>
      <w:r>
        <w:rPr>
          <w:spacing w:val="-4"/>
        </w:rPr>
        <w:t>178.</w:t>
      </w:r>
    </w:p>
    <w:p>
      <w:pPr>
        <w:pStyle w:val="BodyText"/>
        <w:spacing w:before="8"/>
      </w:pPr>
    </w:p>
    <w:p>
      <w:pPr>
        <w:spacing w:line="235" w:lineRule="auto" w:before="0"/>
        <w:ind w:left="705" w:right="167" w:hanging="541"/>
        <w:jc w:val="both"/>
        <w:rPr>
          <w:sz w:val="20"/>
        </w:rPr>
      </w:pPr>
      <w:bookmarkStart w:name="_bookmark134" w:id="136"/>
      <w:bookmarkEnd w:id="136"/>
      <w:r>
        <w:rPr/>
      </w:r>
      <w:hyperlink w:history="true" w:anchor="_bookmark121">
        <w:r>
          <w:rPr>
            <w:color w:val="005DA1"/>
            <w:position w:val="5"/>
            <w:sz w:val="14"/>
            <w:u w:val="single" w:color="005DA1"/>
          </w:rPr>
          <w:t>69</w:t>
        </w:r>
      </w:hyperlink>
      <w:r>
        <w:rPr>
          <w:position w:val="5"/>
          <w:sz w:val="14"/>
        </w:rPr>
        <w:t>.</w:t>
      </w:r>
      <w:r>
        <w:rPr>
          <w:spacing w:val="80"/>
          <w:w w:val="150"/>
          <w:position w:val="5"/>
          <w:sz w:val="14"/>
        </w:rPr>
        <w:t>  </w:t>
      </w:r>
      <w:r>
        <w:rPr>
          <w:rFonts w:ascii="Arial"/>
          <w:i/>
          <w:sz w:val="20"/>
        </w:rPr>
        <w:t>White</w:t>
      </w:r>
      <w:r>
        <w:rPr>
          <w:rFonts w:ascii="Arial"/>
          <w:i/>
          <w:spacing w:val="18"/>
          <w:sz w:val="20"/>
        </w:rPr>
        <w:t> </w:t>
      </w:r>
      <w:r>
        <w:rPr>
          <w:rFonts w:ascii="Arial"/>
          <w:i/>
          <w:sz w:val="20"/>
        </w:rPr>
        <w:t>and</w:t>
      </w:r>
      <w:r>
        <w:rPr>
          <w:rFonts w:ascii="Arial"/>
          <w:i/>
          <w:spacing w:val="18"/>
          <w:sz w:val="20"/>
        </w:rPr>
        <w:t> </w:t>
      </w:r>
      <w:r>
        <w:rPr>
          <w:rFonts w:ascii="Arial"/>
          <w:i/>
          <w:sz w:val="20"/>
        </w:rPr>
        <w:t>Carter</w:t>
      </w:r>
      <w:r>
        <w:rPr>
          <w:rFonts w:ascii="Arial"/>
          <w:i/>
          <w:spacing w:val="18"/>
          <w:sz w:val="20"/>
        </w:rPr>
        <w:t> </w:t>
      </w:r>
      <w:r>
        <w:rPr>
          <w:rFonts w:ascii="Arial"/>
          <w:i/>
          <w:sz w:val="20"/>
        </w:rPr>
        <w:t>(Councils)</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McGregor</w:t>
      </w:r>
      <w:r>
        <w:rPr>
          <w:rFonts w:ascii="Arial"/>
          <w:i/>
          <w:spacing w:val="18"/>
          <w:sz w:val="20"/>
        </w:rPr>
        <w:t> </w:t>
      </w:r>
      <w:r>
        <w:rPr>
          <w:rFonts w:ascii="Arial"/>
          <w:i/>
          <w:sz w:val="20"/>
        </w:rPr>
        <w:t>[1962]</w:t>
      </w:r>
      <w:r>
        <w:rPr>
          <w:rFonts w:ascii="Arial"/>
          <w:i/>
          <w:spacing w:val="18"/>
          <w:sz w:val="20"/>
        </w:rPr>
        <w:t> </w:t>
      </w:r>
      <w:r>
        <w:rPr>
          <w:rFonts w:ascii="Arial"/>
          <w:i/>
          <w:sz w:val="20"/>
        </w:rPr>
        <w:t>A.C.</w:t>
      </w:r>
      <w:r>
        <w:rPr>
          <w:rFonts w:ascii="Arial"/>
          <w:i/>
          <w:spacing w:val="18"/>
          <w:sz w:val="20"/>
        </w:rPr>
        <w:t> </w:t>
      </w:r>
      <w:r>
        <w:rPr>
          <w:rFonts w:ascii="Arial"/>
          <w:i/>
          <w:sz w:val="20"/>
        </w:rPr>
        <w:t>413</w:t>
      </w:r>
      <w:r>
        <w:rPr>
          <w:sz w:val="20"/>
        </w:rPr>
        <w:t>;</w:t>
      </w:r>
      <w:r>
        <w:rPr>
          <w:spacing w:val="18"/>
          <w:sz w:val="20"/>
        </w:rPr>
        <w:t> </w:t>
      </w:r>
      <w:r>
        <w:rPr>
          <w:sz w:val="20"/>
        </w:rPr>
        <w:t>but</w:t>
      </w:r>
      <w:r>
        <w:rPr>
          <w:spacing w:val="18"/>
          <w:sz w:val="20"/>
        </w:rPr>
        <w:t> </w:t>
      </w:r>
      <w:r>
        <w:rPr>
          <w:sz w:val="20"/>
        </w:rPr>
        <w:t>note</w:t>
      </w:r>
      <w:r>
        <w:rPr>
          <w:spacing w:val="18"/>
          <w:sz w:val="20"/>
        </w:rPr>
        <w:t> </w:t>
      </w:r>
      <w:r>
        <w:rPr>
          <w:sz w:val="20"/>
        </w:rPr>
        <w:t>the</w:t>
      </w:r>
      <w:r>
        <w:rPr>
          <w:spacing w:val="18"/>
          <w:sz w:val="20"/>
        </w:rPr>
        <w:t> </w:t>
      </w:r>
      <w:r>
        <w:rPr>
          <w:sz w:val="20"/>
        </w:rPr>
        <w:t>qualification</w:t>
      </w:r>
      <w:r>
        <w:rPr>
          <w:spacing w:val="18"/>
          <w:sz w:val="20"/>
        </w:rPr>
        <w:t> </w:t>
      </w:r>
      <w:r>
        <w:rPr>
          <w:sz w:val="20"/>
        </w:rPr>
        <w:t>that</w:t>
      </w:r>
      <w:r>
        <w:rPr>
          <w:spacing w:val="18"/>
          <w:sz w:val="20"/>
        </w:rPr>
        <w:t> </w:t>
      </w:r>
      <w:r>
        <w:rPr>
          <w:sz w:val="20"/>
        </w:rPr>
        <w:t>if the price is not yet payable because claimant has not yet performed, and he has no legitimate interest in performing, he may not be able earn the price by doing so: see below, paras 26-092 and 26-105.</w:t>
      </w:r>
    </w:p>
    <w:p>
      <w:pPr>
        <w:pStyle w:val="BodyText"/>
        <w:spacing w:before="5"/>
      </w:pPr>
    </w:p>
    <w:p>
      <w:pPr>
        <w:pStyle w:val="BodyText"/>
        <w:tabs>
          <w:tab w:pos="705" w:val="left" w:leader="none"/>
        </w:tabs>
        <w:ind w:left="165"/>
      </w:pPr>
      <w:bookmarkStart w:name="_bookmark135" w:id="137"/>
      <w:bookmarkEnd w:id="137"/>
      <w:r>
        <w:rPr/>
      </w:r>
      <w:hyperlink w:history="true" w:anchor="_bookmark122">
        <w:r>
          <w:rPr>
            <w:color w:val="005DA1"/>
            <w:spacing w:val="-5"/>
            <w:position w:val="5"/>
            <w:sz w:val="14"/>
            <w:u w:val="single" w:color="005DA1"/>
          </w:rPr>
          <w:t>70</w:t>
        </w:r>
      </w:hyperlink>
      <w:r>
        <w:rPr>
          <w:spacing w:val="-5"/>
          <w:position w:val="5"/>
          <w:sz w:val="14"/>
        </w:rPr>
        <w:t>.</w:t>
      </w:r>
      <w:r>
        <w:rPr>
          <w:position w:val="5"/>
          <w:sz w:val="14"/>
        </w:rPr>
        <w:tab/>
      </w:r>
      <w:r>
        <w:rPr/>
        <w:t>CPR Pt 24. A debt can be factored, viz sold to a financial </w:t>
      </w:r>
      <w:r>
        <w:rPr>
          <w:spacing w:val="-2"/>
        </w:rPr>
        <w:t>institution.</w:t>
      </w:r>
    </w:p>
    <w:p>
      <w:pPr>
        <w:pStyle w:val="BodyText"/>
        <w:spacing w:before="5"/>
      </w:pPr>
    </w:p>
    <w:p>
      <w:pPr>
        <w:tabs>
          <w:tab w:pos="705" w:val="left" w:leader="none"/>
        </w:tabs>
        <w:spacing w:before="0"/>
        <w:ind w:left="165" w:right="0" w:firstLine="0"/>
        <w:jc w:val="left"/>
        <w:rPr>
          <w:sz w:val="20"/>
        </w:rPr>
      </w:pPr>
      <w:bookmarkStart w:name="_bookmark136" w:id="138"/>
      <w:bookmarkEnd w:id="138"/>
      <w:r>
        <w:rPr/>
      </w:r>
      <w:hyperlink w:history="true" w:anchor="_bookmark123">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Overstone</w:t>
      </w:r>
      <w:r>
        <w:rPr>
          <w:rFonts w:ascii="Arial"/>
          <w:i/>
          <w:spacing w:val="-1"/>
          <w:sz w:val="20"/>
        </w:rPr>
        <w:t> </w:t>
      </w:r>
      <w:r>
        <w:rPr>
          <w:rFonts w:ascii="Arial"/>
          <w:i/>
          <w:sz w:val="20"/>
        </w:rPr>
        <w:t>Ltd v Shipway [1962] 1 W.L.R. 117, 123, 129</w:t>
      </w:r>
      <w:r>
        <w:rPr>
          <w:sz w:val="20"/>
        </w:rPr>
        <w:t>. (See Vol.II, para.39-</w:t>
      </w:r>
      <w:r>
        <w:rPr>
          <w:spacing w:val="-2"/>
          <w:sz w:val="20"/>
        </w:rPr>
        <w:t>346.)</w:t>
      </w:r>
    </w:p>
    <w:p>
      <w:pPr>
        <w:pStyle w:val="BodyText"/>
        <w:spacing w:before="9"/>
      </w:pPr>
    </w:p>
    <w:p>
      <w:pPr>
        <w:pStyle w:val="BodyText"/>
        <w:tabs>
          <w:tab w:pos="705" w:val="left" w:leader="none"/>
        </w:tabs>
        <w:spacing w:line="235" w:lineRule="auto"/>
        <w:ind w:left="705" w:right="174" w:hanging="541"/>
      </w:pPr>
      <w:bookmarkStart w:name="_bookmark137" w:id="139"/>
      <w:bookmarkEnd w:id="139"/>
      <w:r>
        <w:rPr/>
      </w:r>
      <w:hyperlink w:history="true" w:anchor="_bookmark124">
        <w:r>
          <w:rPr>
            <w:color w:val="005DA1"/>
            <w:spacing w:val="-4"/>
            <w:position w:val="5"/>
            <w:sz w:val="14"/>
            <w:u w:val="single" w:color="005DA1"/>
          </w:rPr>
          <w:t>72</w:t>
        </w:r>
      </w:hyperlink>
      <w:r>
        <w:rPr>
          <w:spacing w:val="-4"/>
          <w:position w:val="5"/>
          <w:sz w:val="14"/>
        </w:rPr>
        <w:t>.</w:t>
      </w:r>
      <w:r>
        <w:rPr>
          <w:position w:val="5"/>
          <w:sz w:val="14"/>
        </w:rPr>
        <w:tab/>
      </w:r>
      <w:r>
        <w:rPr/>
        <w:t>Unless the contract provides for payment to be accelerated in the circumstances which </w:t>
      </w:r>
      <w:r>
        <w:rPr/>
        <w:t>have</w:t>
      </w:r>
      <w:r>
        <w:rPr>
          <w:spacing w:val="80"/>
          <w:w w:val="150"/>
        </w:rPr>
        <w:t> </w:t>
      </w:r>
      <w:r>
        <w:rPr/>
        <w:t>occurred: see below, para.26-199.</w:t>
      </w:r>
    </w:p>
    <w:p>
      <w:pPr>
        <w:pStyle w:val="BodyText"/>
        <w:spacing w:before="9"/>
      </w:pPr>
    </w:p>
    <w:p>
      <w:pPr>
        <w:spacing w:line="235" w:lineRule="auto" w:before="0"/>
        <w:ind w:left="705" w:right="167" w:hanging="541"/>
        <w:jc w:val="both"/>
        <w:rPr>
          <w:sz w:val="20"/>
        </w:rPr>
      </w:pPr>
      <w:bookmarkStart w:name="_bookmark138" w:id="140"/>
      <w:bookmarkEnd w:id="140"/>
      <w:r>
        <w:rPr/>
      </w:r>
      <w:hyperlink w:history="true" w:anchor="_bookmark125">
        <w:r>
          <w:rPr>
            <w:color w:val="005DA1"/>
            <w:position w:val="5"/>
            <w:sz w:val="14"/>
            <w:u w:val="single" w:color="005DA1"/>
          </w:rPr>
          <w:t>73</w:t>
        </w:r>
      </w:hyperlink>
      <w:r>
        <w:rPr>
          <w:position w:val="5"/>
          <w:sz w:val="14"/>
        </w:rPr>
        <w:t>.</w:t>
      </w:r>
      <w:r>
        <w:rPr>
          <w:spacing w:val="80"/>
          <w:w w:val="150"/>
          <w:position w:val="5"/>
          <w:sz w:val="14"/>
        </w:rPr>
        <w:t>  </w:t>
      </w:r>
      <w:r>
        <w:rPr>
          <w:rFonts w:ascii="Arial" w:hAnsi="Arial"/>
          <w:i/>
          <w:sz w:val="20"/>
        </w:rPr>
        <w:t>Interoffice Telephones Ltd v Robert Freeman Co Ltd [1958] 1 Q.B. 190</w:t>
      </w:r>
      <w:r>
        <w:rPr>
          <w:sz w:val="20"/>
        </w:rPr>
        <w:t>; </w:t>
      </w:r>
      <w:r>
        <w:rPr>
          <w:rFonts w:ascii="Arial" w:hAnsi="Arial"/>
          <w:i/>
          <w:sz w:val="20"/>
        </w:rPr>
        <w:t>Robophone </w:t>
      </w:r>
      <w:r>
        <w:rPr>
          <w:rFonts w:ascii="Arial" w:hAnsi="Arial"/>
          <w:i/>
          <w:sz w:val="20"/>
        </w:rPr>
        <w:t>Facilities</w:t>
      </w:r>
      <w:r>
        <w:rPr>
          <w:rFonts w:ascii="Arial" w:hAnsi="Arial"/>
          <w:i/>
          <w:spacing w:val="40"/>
          <w:sz w:val="20"/>
        </w:rPr>
        <w:t> </w:t>
      </w:r>
      <w:r>
        <w:rPr>
          <w:rFonts w:ascii="Arial" w:hAnsi="Arial"/>
          <w:i/>
          <w:sz w:val="20"/>
        </w:rPr>
        <w:t>Ltd v Blank [1966] 1 W.L.R. 1428</w:t>
      </w:r>
      <w:r>
        <w:rPr>
          <w:sz w:val="20"/>
        </w:rPr>
        <w:t>; </w:t>
      </w:r>
      <w:r>
        <w:rPr>
          <w:rFonts w:ascii="Arial" w:hAnsi="Arial"/>
          <w:i/>
          <w:sz w:val="20"/>
        </w:rPr>
        <w:t>Lombard North Central Plc v Butterworth [1987] Q.B. 527</w:t>
      </w:r>
      <w:r>
        <w:rPr>
          <w:sz w:val="20"/>
        </w:rPr>
        <w:t>; </w:t>
      </w:r>
      <w:r>
        <w:rPr>
          <w:rFonts w:ascii="Arial" w:hAnsi="Arial"/>
          <w:i/>
          <w:sz w:val="20"/>
        </w:rPr>
        <w:t>Stocznia Gdanska SA v Latvian Shipping Co [1998] 1 All E.R. 883 HL</w:t>
      </w:r>
      <w:r>
        <w:rPr>
          <w:sz w:val="20"/>
        </w:rPr>
        <w:t>. On the question of the discount, see also </w:t>
      </w:r>
      <w:r>
        <w:rPr>
          <w:rFonts w:ascii="Arial" w:hAnsi="Arial"/>
          <w:i/>
          <w:sz w:val="20"/>
        </w:rPr>
        <w:t>Overstone Ltd v Shipway [1962] 1 W.L.R. 117 </w:t>
      </w:r>
      <w:r>
        <w:rPr>
          <w:sz w:val="20"/>
        </w:rPr>
        <w:t>(approved by HL in </w:t>
      </w:r>
      <w:r>
        <w:rPr>
          <w:rFonts w:ascii="Arial" w:hAnsi="Arial"/>
          <w:i/>
          <w:sz w:val="20"/>
        </w:rPr>
        <w:t>Christopher Moran Holdings Ltd v Bairstow [2000] 2 A.C. 172, 180, 184, 188) </w:t>
      </w:r>
      <w:r>
        <w:rPr>
          <w:sz w:val="20"/>
        </w:rPr>
        <w:t>and below, para.26-218, between nn.1135 and 1136. On damages for prospective loss in general, see below, paras 26-011—26-013.</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8"/>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1"/>
        </w:numPr>
        <w:tabs>
          <w:tab w:pos="2531" w:val="left" w:leader="none"/>
        </w:tabs>
        <w:spacing w:line="240" w:lineRule="auto" w:before="194" w:after="0"/>
        <w:ind w:left="2531" w:right="0" w:hanging="373"/>
        <w:jc w:val="left"/>
        <w:rPr>
          <w:b/>
          <w:sz w:val="24"/>
        </w:rPr>
      </w:pPr>
      <w:r>
        <w:rPr>
          <w:b/>
          <w:sz w:val="24"/>
        </w:rPr>
        <w:t>- Nominal, General and Special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Nominal </w:t>
      </w:r>
      <w:r>
        <w:rPr>
          <w:rFonts w:asci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009</w:t>
      </w:r>
    </w:p>
    <w:p>
      <w:pPr>
        <w:pStyle w:val="BodyText"/>
        <w:spacing w:line="235" w:lineRule="auto" w:before="202"/>
        <w:ind w:left="165" w:right="167"/>
        <w:jc w:val="both"/>
      </w:pPr>
      <w:bookmarkStart w:name="_bookmark139" w:id="141"/>
      <w:bookmarkEnd w:id="141"/>
      <w:r>
        <w:rPr/>
      </w:r>
      <w:r>
        <w:rPr/>
        <w:t>Wherever</w:t>
      </w:r>
      <w:r>
        <w:rPr>
          <w:spacing w:val="-1"/>
        </w:rPr>
        <w:t> </w:t>
      </w:r>
      <w:r>
        <w:rPr/>
        <w:t>the</w:t>
      </w:r>
      <w:r>
        <w:rPr>
          <w:spacing w:val="-1"/>
        </w:rPr>
        <w:t> </w:t>
      </w:r>
      <w:r>
        <w:rPr/>
        <w:t>defendant</w:t>
      </w:r>
      <w:r>
        <w:rPr>
          <w:spacing w:val="-1"/>
        </w:rPr>
        <w:t> </w:t>
      </w:r>
      <w:r>
        <w:rPr/>
        <w:t>is</w:t>
      </w:r>
      <w:r>
        <w:rPr>
          <w:spacing w:val="-1"/>
        </w:rPr>
        <w:t> </w:t>
      </w:r>
      <w:r>
        <w:rPr/>
        <w:t>liable</w:t>
      </w:r>
      <w:r>
        <w:rPr>
          <w:spacing w:val="-1"/>
        </w:rPr>
        <w:t> </w:t>
      </w:r>
      <w:r>
        <w:rPr/>
        <w:t>for</w:t>
      </w:r>
      <w:r>
        <w:rPr>
          <w:spacing w:val="-1"/>
        </w:rPr>
        <w:t> </w:t>
      </w:r>
      <w:r>
        <w:rPr/>
        <w:t>a</w:t>
      </w:r>
      <w:r>
        <w:rPr>
          <w:spacing w:val="-1"/>
        </w:rPr>
        <w:t> </w:t>
      </w:r>
      <w:r>
        <w:rPr/>
        <w:t>breach</w:t>
      </w:r>
      <w:r>
        <w:rPr>
          <w:spacing w:val="-1"/>
        </w:rPr>
        <w:t> </w:t>
      </w:r>
      <w:r>
        <w:rPr/>
        <w:t>of</w:t>
      </w:r>
      <w:r>
        <w:rPr>
          <w:spacing w:val="-1"/>
        </w:rPr>
        <w:t> </w:t>
      </w:r>
      <w:r>
        <w:rPr/>
        <w:t>contract,</w:t>
      </w:r>
      <w:r>
        <w:rPr>
          <w:spacing w:val="-1"/>
        </w:rPr>
        <w:t> </w:t>
      </w:r>
      <w:r>
        <w:rPr/>
        <w:t>the</w:t>
      </w:r>
      <w:r>
        <w:rPr>
          <w:spacing w:val="-1"/>
        </w:rPr>
        <w:t> </w:t>
      </w:r>
      <w:r>
        <w:rPr/>
        <w:t>claimant</w:t>
      </w:r>
      <w:r>
        <w:rPr>
          <w:spacing w:val="-1"/>
        </w:rPr>
        <w:t> </w:t>
      </w:r>
      <w:r>
        <w:rPr/>
        <w:t>is</w:t>
      </w:r>
      <w:r>
        <w:rPr>
          <w:spacing w:val="-1"/>
        </w:rPr>
        <w:t> </w:t>
      </w:r>
      <w:r>
        <w:rPr/>
        <w:t>in</w:t>
      </w:r>
      <w:r>
        <w:rPr>
          <w:spacing w:val="-1"/>
        </w:rPr>
        <w:t> </w:t>
      </w:r>
      <w:r>
        <w:rPr/>
        <w:t>general</w:t>
      </w:r>
      <w:r>
        <w:rPr>
          <w:spacing w:val="-1"/>
        </w:rPr>
        <w:t> </w:t>
      </w:r>
      <w:r>
        <w:rPr/>
        <w:t>entitled</w:t>
      </w:r>
      <w:r>
        <w:rPr>
          <w:spacing w:val="-1"/>
        </w:rPr>
        <w:t> </w:t>
      </w:r>
      <w:r>
        <w:rPr/>
        <w:t>to</w:t>
      </w:r>
      <w:r>
        <w:rPr>
          <w:spacing w:val="-1"/>
        </w:rPr>
        <w:t> </w:t>
      </w:r>
      <w:r>
        <w:rPr/>
        <w:t>nominal </w:t>
      </w:r>
      <w:bookmarkStart w:name="_bookmark140" w:id="142"/>
      <w:bookmarkEnd w:id="142"/>
      <w:r>
        <w:rPr/>
        <w:t>damages</w:t>
      </w:r>
      <w:r>
        <w:rPr/>
        <w:t> although no actual damage is proved </w:t>
      </w:r>
      <w:r>
        <w:rPr>
          <w:color w:val="005DA1"/>
          <w:u w:val="single" w:color="005DA1"/>
          <w:vertAlign w:val="superscript"/>
        </w:rPr>
        <w:t>74</w:t>
      </w:r>
      <w:r>
        <w:rPr>
          <w:vertAlign w:val="baseline"/>
        </w:rPr>
        <w:t>; the violation of a right at common law will usually entitle the claimant to nominal damages without proof of special damage. </w:t>
      </w:r>
      <w:r>
        <w:rPr>
          <w:color w:val="005DA1"/>
          <w:u w:val="single" w:color="005DA1"/>
          <w:vertAlign w:val="superscript"/>
        </w:rPr>
        <w:t>75</w:t>
      </w:r>
      <w:r>
        <w:rPr>
          <w:color w:val="005DA1"/>
          <w:vertAlign w:val="baseline"/>
        </w:rPr>
        <w:t> </w:t>
      </w:r>
      <w:r>
        <w:rPr>
          <w:vertAlign w:val="baseline"/>
        </w:rPr>
        <w:t>Normally, this </w:t>
      </w:r>
      <w:r>
        <w:rPr>
          <w:vertAlign w:val="baseline"/>
        </w:rPr>
        <w:t>situation arises when the defendant’s breach of contract has in fact caused no loss to the claimant, but it may </w:t>
      </w:r>
      <w:bookmarkStart w:name="_bookmark141" w:id="143"/>
      <w:bookmarkEnd w:id="143"/>
      <w:r>
        <w:rPr>
          <w:vertAlign w:val="baseline"/>
        </w:rPr>
        <w:t>also</w:t>
      </w:r>
      <w:r>
        <w:rPr>
          <w:vertAlign w:val="baseline"/>
        </w:rPr>
        <w:t> arise when the claimant, although he has suffered loss, fails to prove any loss flowing from the breach of contract, </w:t>
      </w:r>
      <w:r>
        <w:rPr>
          <w:color w:val="005DA1"/>
          <w:u w:val="single" w:color="005DA1"/>
          <w:vertAlign w:val="superscript"/>
        </w:rPr>
        <w:t>76</w:t>
      </w:r>
      <w:r>
        <w:rPr>
          <w:color w:val="005DA1"/>
          <w:vertAlign w:val="baseline"/>
        </w:rPr>
        <w:t> </w:t>
      </w:r>
      <w:r>
        <w:rPr>
          <w:vertAlign w:val="baseline"/>
        </w:rPr>
        <w:t>or fails to prove the actual amount of his loss. </w:t>
      </w:r>
      <w:r>
        <w:rPr>
          <w:color w:val="005DA1"/>
          <w:u w:val="single" w:color="005DA1"/>
          <w:vertAlign w:val="superscript"/>
        </w:rPr>
        <w:t>77</w:t>
      </w:r>
      <w:r>
        <w:rPr>
          <w:color w:val="005DA1"/>
          <w:vertAlign w:val="baseline"/>
        </w:rPr>
        <w:t> </w:t>
      </w:r>
      <w:r>
        <w:rPr>
          <w:vertAlign w:val="baseline"/>
        </w:rPr>
        <w:t>A regular use of nominal </w:t>
      </w:r>
      <w:bookmarkStart w:name="_bookmark142" w:id="144"/>
      <w:bookmarkEnd w:id="144"/>
      <w:r>
        <w:rPr>
          <w:vertAlign w:val="baseline"/>
        </w:rPr>
        <w:t>damages,</w:t>
      </w:r>
      <w:r>
        <w:rPr>
          <w:vertAlign w:val="baseline"/>
        </w:rPr>
        <w:t> however, is to establish the infringement of the claimant’s legal right, and sometimes the award of nominal damages is “a mere peg on which to hang costs”. </w:t>
      </w:r>
      <w:r>
        <w:rPr>
          <w:color w:val="005DA1"/>
          <w:u w:val="single" w:color="005DA1"/>
          <w:vertAlign w:val="superscript"/>
        </w:rPr>
        <w:t>78</w:t>
      </w:r>
    </w:p>
    <w:p>
      <w:pPr>
        <w:pStyle w:val="BodyText"/>
      </w:pPr>
    </w:p>
    <w:p>
      <w:pPr>
        <w:pStyle w:val="BodyText"/>
        <w:spacing w:before="36"/>
      </w:pPr>
    </w:p>
    <w:p>
      <w:pPr>
        <w:spacing w:before="0"/>
        <w:ind w:left="165" w:right="0" w:firstLine="0"/>
        <w:jc w:val="both"/>
        <w:rPr>
          <w:rFonts w:ascii="Arial"/>
          <w:b/>
          <w:sz w:val="18"/>
        </w:rPr>
      </w:pPr>
      <w:r>
        <w:rPr>
          <w:rFonts w:ascii="Arial"/>
          <w:b/>
          <w:sz w:val="18"/>
        </w:rPr>
        <w:t>General and special </w:t>
      </w:r>
      <w:r>
        <w:rPr>
          <w:rFonts w:ascii="Arial"/>
          <w:b/>
          <w:spacing w:val="-2"/>
          <w:sz w:val="18"/>
        </w:rPr>
        <w:t>damages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010</w:t>
      </w:r>
    </w:p>
    <w:p>
      <w:pPr>
        <w:pStyle w:val="BodyText"/>
        <w:spacing w:line="235" w:lineRule="auto" w:before="203"/>
        <w:ind w:left="164" w:right="167"/>
        <w:jc w:val="both"/>
      </w:pPr>
      <w:r>
        <w:rPr/>
        <w:t>Damages that are to compensate a claimant who has suffered a loss as the result of a breach of contract may be “general” or “special”. The distinction between general damages and </w:t>
      </w:r>
      <w:r>
        <w:rPr/>
        <w:t>special </w:t>
      </w:r>
      <w:bookmarkStart w:name="_bookmark143" w:id="145"/>
      <w:bookmarkEnd w:id="145"/>
      <w:r>
        <w:rPr/>
        <w:t>damages</w:t>
      </w:r>
      <w:r>
        <w:rPr/>
        <w:t> is mainly a matter of pleading and evidence. General damages are given in respect of such </w:t>
      </w:r>
      <w:bookmarkStart w:name="_bookmark144" w:id="146"/>
      <w:bookmarkEnd w:id="146"/>
      <w:r>
        <w:rPr/>
        <w:t>damage</w:t>
      </w:r>
      <w:r>
        <w:rPr/>
        <w:t> as the law presumes to result from the infringement of a legal right or duty </w:t>
      </w:r>
      <w:r>
        <w:rPr>
          <w:color w:val="005DA1"/>
          <w:u w:val="single" w:color="005DA1"/>
          <w:vertAlign w:val="superscript"/>
        </w:rPr>
        <w:t>79</w:t>
      </w:r>
      <w:r>
        <w:rPr>
          <w:vertAlign w:val="baseline"/>
        </w:rPr>
        <w:t>: damage must be</w:t>
      </w:r>
      <w:r>
        <w:rPr>
          <w:spacing w:val="-1"/>
          <w:vertAlign w:val="baseline"/>
        </w:rPr>
        <w:t> </w:t>
      </w:r>
      <w:r>
        <w:rPr>
          <w:vertAlign w:val="baseline"/>
        </w:rPr>
        <w:t>proved</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cannot</w:t>
      </w:r>
      <w:r>
        <w:rPr>
          <w:spacing w:val="-1"/>
          <w:vertAlign w:val="baseline"/>
        </w:rPr>
        <w:t> </w:t>
      </w:r>
      <w:r>
        <w:rPr>
          <w:vertAlign w:val="baseline"/>
        </w:rPr>
        <w:t>quantify</w:t>
      </w:r>
      <w:r>
        <w:rPr>
          <w:spacing w:val="-1"/>
          <w:vertAlign w:val="baseline"/>
        </w:rPr>
        <w:t> </w:t>
      </w:r>
      <w:r>
        <w:rPr>
          <w:vertAlign w:val="baseline"/>
        </w:rPr>
        <w:t>exactly</w:t>
      </w:r>
      <w:r>
        <w:rPr>
          <w:spacing w:val="-1"/>
          <w:vertAlign w:val="baseline"/>
        </w:rPr>
        <w:t> </w:t>
      </w:r>
      <w:r>
        <w:rPr>
          <w:vertAlign w:val="baseline"/>
        </w:rPr>
        <w:t>any</w:t>
      </w:r>
      <w:r>
        <w:rPr>
          <w:spacing w:val="-1"/>
          <w:vertAlign w:val="baseline"/>
        </w:rPr>
        <w:t> </w:t>
      </w:r>
      <w:r>
        <w:rPr>
          <w:vertAlign w:val="baseline"/>
        </w:rPr>
        <w:t>particular</w:t>
      </w:r>
      <w:r>
        <w:rPr>
          <w:spacing w:val="-1"/>
          <w:vertAlign w:val="baseline"/>
        </w:rPr>
        <w:t> </w:t>
      </w:r>
      <w:r>
        <w:rPr>
          <w:vertAlign w:val="baseline"/>
        </w:rPr>
        <w:t>items</w:t>
      </w:r>
      <w:r>
        <w:rPr>
          <w:spacing w:val="-1"/>
          <w:vertAlign w:val="baseline"/>
        </w:rPr>
        <w:t> </w:t>
      </w:r>
      <w:r>
        <w:rPr>
          <w:vertAlign w:val="baseline"/>
        </w:rPr>
        <w:t>in</w:t>
      </w:r>
      <w:r>
        <w:rPr>
          <w:spacing w:val="-1"/>
          <w:vertAlign w:val="baseline"/>
        </w:rPr>
        <w:t> </w:t>
      </w:r>
      <w:r>
        <w:rPr>
          <w:vertAlign w:val="baseline"/>
        </w:rPr>
        <w:t>it.</w:t>
      </w:r>
      <w:r>
        <w:rPr>
          <w:spacing w:val="-2"/>
          <w:vertAlign w:val="baseline"/>
        </w:rPr>
        <w:t> </w:t>
      </w:r>
      <w:r>
        <w:rPr>
          <w:color w:val="005DA1"/>
          <w:u w:val="single" w:color="005DA1"/>
          <w:vertAlign w:val="superscript"/>
        </w:rPr>
        <w:t>80</w:t>
      </w:r>
      <w:r>
        <w:rPr>
          <w:color w:val="005DA1"/>
          <w:spacing w:val="-1"/>
          <w:vertAlign w:val="baseline"/>
        </w:rPr>
        <w:t> </w:t>
      </w:r>
      <w:r>
        <w:rPr>
          <w:vertAlign w:val="baseline"/>
        </w:rPr>
        <w:t>The</w:t>
      </w:r>
      <w:r>
        <w:rPr>
          <w:spacing w:val="-1"/>
          <w:vertAlign w:val="baseline"/>
        </w:rPr>
        <w:t> </w:t>
      </w:r>
      <w:r>
        <w:rPr>
          <w:vertAlign w:val="baseline"/>
        </w:rPr>
        <w:t>main</w:t>
      </w:r>
      <w:r>
        <w:rPr>
          <w:spacing w:val="-1"/>
          <w:vertAlign w:val="baseline"/>
        </w:rPr>
        <w:t> </w:t>
      </w:r>
      <w:r>
        <w:rPr>
          <w:vertAlign w:val="baseline"/>
        </w:rPr>
        <w:t>meaning</w:t>
      </w:r>
      <w:r>
        <w:rPr>
          <w:spacing w:val="-1"/>
          <w:vertAlign w:val="baseline"/>
        </w:rPr>
        <w:t> </w:t>
      </w:r>
      <w:r>
        <w:rPr>
          <w:color w:val="005DA1"/>
          <w:u w:val="single" w:color="005DA1"/>
          <w:vertAlign w:val="superscript"/>
        </w:rPr>
        <w:t>81</w:t>
      </w:r>
      <w:r>
        <w:rPr>
          <w:color w:val="005DA1"/>
          <w:spacing w:val="-1"/>
          <w:vertAlign w:val="baseline"/>
        </w:rPr>
        <w:t> </w:t>
      </w:r>
      <w:r>
        <w:rPr>
          <w:vertAlign w:val="baseline"/>
        </w:rPr>
        <w:t>of special damages is that precise amount of pecuniary loss which the claimant can prove to have </w:t>
      </w:r>
      <w:bookmarkStart w:name="_bookmark145" w:id="147"/>
      <w:bookmarkEnd w:id="147"/>
      <w:r>
        <w:rPr>
          <w:vertAlign w:val="baseline"/>
        </w:rPr>
        <w:t>followed</w:t>
      </w:r>
      <w:r>
        <w:rPr>
          <w:vertAlign w:val="baseline"/>
        </w:rPr>
        <w:t> from the particular facts set out in his pleadings. Special damage must be specifically pleaded</w:t>
      </w:r>
      <w:r>
        <w:rPr>
          <w:spacing w:val="11"/>
          <w:vertAlign w:val="baseline"/>
        </w:rPr>
        <w:t> </w:t>
      </w:r>
      <w:r>
        <w:rPr>
          <w:vertAlign w:val="baseline"/>
        </w:rPr>
        <w:t>and</w:t>
      </w:r>
      <w:r>
        <w:rPr>
          <w:spacing w:val="11"/>
          <w:vertAlign w:val="baseline"/>
        </w:rPr>
        <w:t> </w:t>
      </w:r>
      <w:r>
        <w:rPr>
          <w:vertAlign w:val="baseline"/>
        </w:rPr>
        <w:t>evidence</w:t>
      </w:r>
      <w:r>
        <w:rPr>
          <w:spacing w:val="11"/>
          <w:vertAlign w:val="baseline"/>
        </w:rPr>
        <w:t> </w:t>
      </w:r>
      <w:r>
        <w:rPr>
          <w:vertAlign w:val="baseline"/>
        </w:rPr>
        <w:t>relevant</w:t>
      </w:r>
      <w:r>
        <w:rPr>
          <w:spacing w:val="11"/>
          <w:vertAlign w:val="baseline"/>
        </w:rPr>
        <w:t> </w:t>
      </w:r>
      <w:r>
        <w:rPr>
          <w:vertAlign w:val="baseline"/>
        </w:rPr>
        <w:t>to</w:t>
      </w:r>
      <w:r>
        <w:rPr>
          <w:spacing w:val="11"/>
          <w:vertAlign w:val="baseline"/>
        </w:rPr>
        <w:t> </w:t>
      </w:r>
      <w:r>
        <w:rPr>
          <w:vertAlign w:val="baseline"/>
        </w:rPr>
        <w:t>it</w:t>
      </w:r>
      <w:r>
        <w:rPr>
          <w:spacing w:val="11"/>
          <w:vertAlign w:val="baseline"/>
        </w:rPr>
        <w:t> </w:t>
      </w:r>
      <w:r>
        <w:rPr>
          <w:vertAlign w:val="baseline"/>
        </w:rPr>
        <w:t>cannot</w:t>
      </w:r>
      <w:r>
        <w:rPr>
          <w:spacing w:val="11"/>
          <w:vertAlign w:val="baseline"/>
        </w:rPr>
        <w:t> </w:t>
      </w:r>
      <w:r>
        <w:rPr>
          <w:vertAlign w:val="baseline"/>
        </w:rPr>
        <w:t>be</w:t>
      </w:r>
      <w:r>
        <w:rPr>
          <w:spacing w:val="11"/>
          <w:vertAlign w:val="baseline"/>
        </w:rPr>
        <w:t> </w:t>
      </w:r>
      <w:r>
        <w:rPr>
          <w:vertAlign w:val="baseline"/>
        </w:rPr>
        <w:t>adduced</w:t>
      </w:r>
      <w:r>
        <w:rPr>
          <w:spacing w:val="11"/>
          <w:vertAlign w:val="baseline"/>
        </w:rPr>
        <w:t> </w:t>
      </w:r>
      <w:r>
        <w:rPr>
          <w:vertAlign w:val="baseline"/>
        </w:rPr>
        <w:t>if</w:t>
      </w:r>
      <w:r>
        <w:rPr>
          <w:spacing w:val="11"/>
          <w:vertAlign w:val="baseline"/>
        </w:rPr>
        <w:t> </w:t>
      </w:r>
      <w:r>
        <w:rPr>
          <w:vertAlign w:val="baseline"/>
        </w:rPr>
        <w:t>only</w:t>
      </w:r>
      <w:r>
        <w:rPr>
          <w:spacing w:val="11"/>
          <w:vertAlign w:val="baseline"/>
        </w:rPr>
        <w:t> </w:t>
      </w:r>
      <w:r>
        <w:rPr>
          <w:vertAlign w:val="baseline"/>
        </w:rPr>
        <w:t>general</w:t>
      </w:r>
      <w:r>
        <w:rPr>
          <w:spacing w:val="11"/>
          <w:vertAlign w:val="baseline"/>
        </w:rPr>
        <w:t> </w:t>
      </w:r>
      <w:r>
        <w:rPr>
          <w:vertAlign w:val="baseline"/>
        </w:rPr>
        <w:t>damages</w:t>
      </w:r>
      <w:r>
        <w:rPr>
          <w:spacing w:val="11"/>
          <w:vertAlign w:val="baseline"/>
        </w:rPr>
        <w:t> </w:t>
      </w:r>
      <w:r>
        <w:rPr>
          <w:vertAlign w:val="baseline"/>
        </w:rPr>
        <w:t>have</w:t>
      </w:r>
      <w:r>
        <w:rPr>
          <w:spacing w:val="11"/>
          <w:vertAlign w:val="baseline"/>
        </w:rPr>
        <w:t> </w:t>
      </w:r>
      <w:r>
        <w:rPr>
          <w:vertAlign w:val="baseline"/>
        </w:rPr>
        <w:t>been</w:t>
      </w:r>
      <w:r>
        <w:rPr>
          <w:spacing w:val="11"/>
          <w:vertAlign w:val="baseline"/>
        </w:rPr>
        <w:t> </w:t>
      </w:r>
      <w:r>
        <w:rPr>
          <w:spacing w:val="-2"/>
          <w:vertAlign w:val="baseline"/>
        </w:rPr>
        <w:t>pleaded,</w:t>
      </w:r>
    </w:p>
    <w:p>
      <w:pPr>
        <w:pStyle w:val="BodyText"/>
        <w:spacing w:line="235" w:lineRule="auto"/>
        <w:ind w:left="165" w:right="167"/>
        <w:jc w:val="both"/>
      </w:pPr>
      <w:r>
        <w:rPr>
          <w:color w:val="005DA1"/>
          <w:u w:val="single" w:color="005DA1"/>
          <w:vertAlign w:val="superscript"/>
        </w:rPr>
        <w:t>82</w:t>
      </w:r>
      <w:r>
        <w:rPr>
          <w:color w:val="005DA1"/>
          <w:vertAlign w:val="baseline"/>
        </w:rPr>
        <w:t> </w:t>
      </w:r>
      <w:r>
        <w:rPr>
          <w:vertAlign w:val="baseline"/>
        </w:rPr>
        <w:t>since the purpose of pleading special damage is to prevent surprise at the trial by giving the defendant</w:t>
      </w:r>
      <w:r>
        <w:rPr>
          <w:spacing w:val="10"/>
          <w:vertAlign w:val="baseline"/>
        </w:rPr>
        <w:t> </w:t>
      </w:r>
      <w:r>
        <w:rPr>
          <w:vertAlign w:val="baseline"/>
        </w:rPr>
        <w:t>prior</w:t>
      </w:r>
      <w:r>
        <w:rPr>
          <w:spacing w:val="12"/>
          <w:vertAlign w:val="baseline"/>
        </w:rPr>
        <w:t> </w:t>
      </w:r>
      <w:r>
        <w:rPr>
          <w:vertAlign w:val="baseline"/>
        </w:rPr>
        <w:t>notice</w:t>
      </w:r>
      <w:r>
        <w:rPr>
          <w:spacing w:val="12"/>
          <w:vertAlign w:val="baseline"/>
        </w:rPr>
        <w:t> </w:t>
      </w:r>
      <w:r>
        <w:rPr>
          <w:vertAlign w:val="baseline"/>
        </w:rPr>
        <w:t>of</w:t>
      </w:r>
      <w:r>
        <w:rPr>
          <w:spacing w:val="12"/>
          <w:vertAlign w:val="baseline"/>
        </w:rPr>
        <w:t> </w:t>
      </w:r>
      <w:r>
        <w:rPr>
          <w:vertAlign w:val="baseline"/>
        </w:rPr>
        <w:t>any</w:t>
      </w:r>
      <w:r>
        <w:rPr>
          <w:spacing w:val="12"/>
          <w:vertAlign w:val="baseline"/>
        </w:rPr>
        <w:t> </w:t>
      </w:r>
      <w:r>
        <w:rPr>
          <w:vertAlign w:val="baseline"/>
        </w:rPr>
        <w:t>item</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claim</w:t>
      </w:r>
      <w:r>
        <w:rPr>
          <w:spacing w:val="12"/>
          <w:vertAlign w:val="baseline"/>
        </w:rPr>
        <w:t> </w:t>
      </w:r>
      <w:r>
        <w:rPr>
          <w:vertAlign w:val="baseline"/>
        </w:rPr>
        <w:t>for</w:t>
      </w:r>
      <w:r>
        <w:rPr>
          <w:spacing w:val="12"/>
          <w:vertAlign w:val="baseline"/>
        </w:rPr>
        <w:t> </w:t>
      </w:r>
      <w:r>
        <w:rPr>
          <w:vertAlign w:val="baseline"/>
        </w:rPr>
        <w:t>which</w:t>
      </w:r>
      <w:r>
        <w:rPr>
          <w:spacing w:val="12"/>
          <w:vertAlign w:val="baseline"/>
        </w:rPr>
        <w:t> </w:t>
      </w:r>
      <w:r>
        <w:rPr>
          <w:vertAlign w:val="baseline"/>
        </w:rPr>
        <w:t>a</w:t>
      </w:r>
      <w:r>
        <w:rPr>
          <w:spacing w:val="12"/>
          <w:vertAlign w:val="baseline"/>
        </w:rPr>
        <w:t> </w:t>
      </w:r>
      <w:r>
        <w:rPr>
          <w:vertAlign w:val="baseline"/>
        </w:rPr>
        <w:t>definite</w:t>
      </w:r>
      <w:r>
        <w:rPr>
          <w:spacing w:val="12"/>
          <w:vertAlign w:val="baseline"/>
        </w:rPr>
        <w:t> </w:t>
      </w:r>
      <w:r>
        <w:rPr>
          <w:vertAlign w:val="baseline"/>
        </w:rPr>
        <w:t>amount</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given</w:t>
      </w:r>
      <w:r>
        <w:rPr>
          <w:spacing w:val="12"/>
          <w:vertAlign w:val="baseline"/>
        </w:rPr>
        <w:t> </w:t>
      </w:r>
      <w:r>
        <w:rPr>
          <w:vertAlign w:val="baseline"/>
        </w:rPr>
        <w:t>in</w:t>
      </w:r>
      <w:r>
        <w:rPr>
          <w:spacing w:val="12"/>
          <w:vertAlign w:val="baseline"/>
        </w:rPr>
        <w:t> </w:t>
      </w:r>
      <w:r>
        <w:rPr>
          <w:spacing w:val="-2"/>
          <w:vertAlign w:val="baseline"/>
        </w:rPr>
        <w:t>evidence,</w:t>
      </w:r>
    </w:p>
    <w:p>
      <w:pPr>
        <w:pStyle w:val="BodyText"/>
        <w:spacing w:line="235" w:lineRule="auto"/>
        <w:ind w:left="165" w:right="167"/>
        <w:jc w:val="both"/>
      </w:pPr>
      <w:bookmarkStart w:name="_bookmark146" w:id="148"/>
      <w:bookmarkEnd w:id="148"/>
      <w:r>
        <w:rPr/>
      </w:r>
      <w:r>
        <w:rPr/>
        <w:t>e.g. in a claim for wrongful dismissal, loss of salary during the period of notice required by the </w:t>
      </w:r>
      <w:bookmarkStart w:name="_bookmark147" w:id="149"/>
      <w:bookmarkEnd w:id="149"/>
      <w:r>
        <w:rPr/>
        <w:t>contract.</w:t>
      </w:r>
      <w:r>
        <w:rPr/>
        <w:t> </w:t>
      </w:r>
      <w:r>
        <w:rPr>
          <w:color w:val="005DA1"/>
          <w:u w:val="single" w:color="005DA1"/>
          <w:vertAlign w:val="superscript"/>
        </w:rPr>
        <w:t>83</w:t>
      </w:r>
      <w:r>
        <w:rPr>
          <w:color w:val="005DA1"/>
          <w:vertAlign w:val="baseline"/>
        </w:rPr>
        <w:t> </w:t>
      </w:r>
      <w:r>
        <w:rPr>
          <w:vertAlign w:val="baseline"/>
        </w:rPr>
        <w:t>A claimant who bases his claim on precise calculations must give the defendant access </w:t>
      </w:r>
      <w:r>
        <w:rPr>
          <w:vertAlign w:val="baseline"/>
        </w:rPr>
        <w:t>to the facts on which they are based </w:t>
      </w:r>
      <w:r>
        <w:rPr>
          <w:color w:val="005DA1"/>
          <w:u w:val="single" w:color="005DA1"/>
          <w:vertAlign w:val="superscript"/>
        </w:rPr>
        <w:t>84</w:t>
      </w:r>
      <w:r>
        <w:rPr>
          <w:vertAlign w:val="baseline"/>
        </w:rPr>
        <w:t>: thus it was held that where loss of profits was not a necessary </w:t>
      </w:r>
      <w:bookmarkStart w:name="_bookmark148" w:id="150"/>
      <w:bookmarkEnd w:id="150"/>
      <w:r>
        <w:rPr>
          <w:vertAlign w:val="baseline"/>
        </w:rPr>
        <w:t>consequence</w:t>
      </w:r>
      <w:r>
        <w:rPr>
          <w:vertAlign w:val="baseline"/>
        </w:rPr>
        <w:t> of the alleged breach of contract the claim for such loss should be specifically pleaded, in order to give the defendant fair warning of the claim. </w:t>
      </w:r>
      <w:r>
        <w:rPr>
          <w:color w:val="005DA1"/>
          <w:u w:val="single" w:color="005DA1"/>
          <w:vertAlign w:val="superscript"/>
        </w:rPr>
        <w:t>85</w:t>
      </w:r>
    </w:p>
    <w:p>
      <w:pPr>
        <w:pStyle w:val="BodyText"/>
      </w:pPr>
    </w:p>
    <w:p>
      <w:pPr>
        <w:pStyle w:val="BodyText"/>
        <w:spacing w:before="34"/>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183050</wp:posOffset>
                </wp:positionV>
                <wp:extent cx="572452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3465pt;width:450.75pt;height:.1pt;mso-position-horizontal-relative:page;mso-position-vertical-relative:paragraph;z-index:-15711232;mso-wrap-distance-left:0;mso-wrap-distance-right:0" id="docshape10"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149" w:id="151"/>
      <w:bookmarkEnd w:id="151"/>
      <w:r>
        <w:rPr/>
      </w:r>
      <w:hyperlink w:history="true" w:anchor="_bookmark139">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Marzetti</w:t>
      </w:r>
      <w:r>
        <w:rPr>
          <w:rFonts w:ascii="Arial"/>
          <w:i/>
          <w:spacing w:val="24"/>
          <w:sz w:val="20"/>
        </w:rPr>
        <w:t> </w:t>
      </w:r>
      <w:r>
        <w:rPr>
          <w:rFonts w:ascii="Arial"/>
          <w:i/>
          <w:sz w:val="20"/>
        </w:rPr>
        <w:t>v</w:t>
      </w:r>
      <w:r>
        <w:rPr>
          <w:rFonts w:ascii="Arial"/>
          <w:i/>
          <w:spacing w:val="27"/>
          <w:sz w:val="20"/>
        </w:rPr>
        <w:t> </w:t>
      </w:r>
      <w:r>
        <w:rPr>
          <w:rFonts w:ascii="Arial"/>
          <w:i/>
          <w:sz w:val="20"/>
        </w:rPr>
        <w:t>Williams</w:t>
      </w:r>
      <w:r>
        <w:rPr>
          <w:rFonts w:ascii="Arial"/>
          <w:i/>
          <w:spacing w:val="27"/>
          <w:sz w:val="20"/>
        </w:rPr>
        <w:t> </w:t>
      </w:r>
      <w:r>
        <w:rPr>
          <w:rFonts w:ascii="Arial"/>
          <w:i/>
          <w:sz w:val="20"/>
        </w:rPr>
        <w:t>(1830)</w:t>
      </w:r>
      <w:r>
        <w:rPr>
          <w:rFonts w:ascii="Arial"/>
          <w:i/>
          <w:spacing w:val="27"/>
          <w:sz w:val="20"/>
        </w:rPr>
        <w:t> </w:t>
      </w:r>
      <w:r>
        <w:rPr>
          <w:rFonts w:ascii="Arial"/>
          <w:i/>
          <w:sz w:val="20"/>
        </w:rPr>
        <w:t>1</w:t>
      </w:r>
      <w:r>
        <w:rPr>
          <w:rFonts w:ascii="Arial"/>
          <w:i/>
          <w:spacing w:val="27"/>
          <w:sz w:val="20"/>
        </w:rPr>
        <w:t> </w:t>
      </w:r>
      <w:r>
        <w:rPr>
          <w:rFonts w:ascii="Arial"/>
          <w:i/>
          <w:sz w:val="20"/>
        </w:rPr>
        <w:t>B.</w:t>
      </w:r>
      <w:r>
        <w:rPr>
          <w:rFonts w:ascii="Arial"/>
          <w:i/>
          <w:spacing w:val="27"/>
          <w:sz w:val="20"/>
        </w:rPr>
        <w:t> </w:t>
      </w:r>
      <w:r>
        <w:rPr>
          <w:rFonts w:ascii="Arial"/>
          <w:i/>
          <w:sz w:val="20"/>
        </w:rPr>
        <w:t>&amp;</w:t>
      </w:r>
      <w:r>
        <w:rPr>
          <w:rFonts w:ascii="Arial"/>
          <w:i/>
          <w:spacing w:val="27"/>
          <w:sz w:val="20"/>
        </w:rPr>
        <w:t> </w:t>
      </w:r>
      <w:r>
        <w:rPr>
          <w:rFonts w:ascii="Arial"/>
          <w:i/>
          <w:sz w:val="20"/>
        </w:rPr>
        <w:t>Ad.</w:t>
      </w:r>
      <w:r>
        <w:rPr>
          <w:rFonts w:ascii="Arial"/>
          <w:i/>
          <w:spacing w:val="27"/>
          <w:sz w:val="20"/>
        </w:rPr>
        <w:t> </w:t>
      </w:r>
      <w:r>
        <w:rPr>
          <w:rFonts w:ascii="Arial"/>
          <w:i/>
          <w:sz w:val="20"/>
        </w:rPr>
        <w:t>415</w:t>
      </w:r>
      <w:r>
        <w:rPr>
          <w:sz w:val="20"/>
        </w:rPr>
        <w:t>;</w:t>
      </w:r>
      <w:r>
        <w:rPr>
          <w:spacing w:val="26"/>
          <w:sz w:val="20"/>
        </w:rPr>
        <w:t> </w:t>
      </w:r>
      <w:r>
        <w:rPr>
          <w:rFonts w:ascii="Arial"/>
          <w:i/>
          <w:sz w:val="20"/>
        </w:rPr>
        <w:t>The</w:t>
      </w:r>
      <w:r>
        <w:rPr>
          <w:rFonts w:ascii="Arial"/>
          <w:i/>
          <w:spacing w:val="27"/>
          <w:sz w:val="20"/>
        </w:rPr>
        <w:t> </w:t>
      </w:r>
      <w:r>
        <w:rPr>
          <w:rFonts w:ascii="Arial"/>
          <w:i/>
          <w:sz w:val="20"/>
        </w:rPr>
        <w:t>Mediana</w:t>
      </w:r>
      <w:r>
        <w:rPr>
          <w:rFonts w:ascii="Arial"/>
          <w:i/>
          <w:spacing w:val="27"/>
          <w:sz w:val="20"/>
        </w:rPr>
        <w:t> </w:t>
      </w:r>
      <w:r>
        <w:rPr>
          <w:rFonts w:ascii="Arial"/>
          <w:i/>
          <w:sz w:val="20"/>
        </w:rPr>
        <w:t>[1900]</w:t>
      </w:r>
      <w:r>
        <w:rPr>
          <w:rFonts w:ascii="Arial"/>
          <w:i/>
          <w:spacing w:val="27"/>
          <w:sz w:val="20"/>
        </w:rPr>
        <w:t> </w:t>
      </w:r>
      <w:r>
        <w:rPr>
          <w:rFonts w:ascii="Arial"/>
          <w:i/>
          <w:sz w:val="20"/>
        </w:rPr>
        <w:t>A.C.</w:t>
      </w:r>
      <w:r>
        <w:rPr>
          <w:rFonts w:ascii="Arial"/>
          <w:i/>
          <w:spacing w:val="27"/>
          <w:sz w:val="20"/>
        </w:rPr>
        <w:t> </w:t>
      </w:r>
      <w:r>
        <w:rPr>
          <w:rFonts w:ascii="Arial"/>
          <w:i/>
          <w:sz w:val="20"/>
        </w:rPr>
        <w:t>113,</w:t>
      </w:r>
      <w:r>
        <w:rPr>
          <w:rFonts w:ascii="Arial"/>
          <w:i/>
          <w:spacing w:val="27"/>
          <w:sz w:val="20"/>
        </w:rPr>
        <w:t> </w:t>
      </w:r>
      <w:r>
        <w:rPr>
          <w:rFonts w:ascii="Arial"/>
          <w:i/>
          <w:sz w:val="20"/>
        </w:rPr>
        <w:t>116</w:t>
      </w:r>
      <w:r>
        <w:rPr>
          <w:sz w:val="20"/>
        </w:rPr>
        <w:t>;</w:t>
      </w:r>
      <w:r>
        <w:rPr>
          <w:spacing w:val="27"/>
          <w:sz w:val="20"/>
        </w:rPr>
        <w:t> </w:t>
      </w:r>
      <w:r>
        <w:rPr>
          <w:rFonts w:ascii="Arial"/>
          <w:i/>
          <w:sz w:val="20"/>
        </w:rPr>
        <w:t>Surrey</w:t>
      </w:r>
      <w:r>
        <w:rPr>
          <w:rFonts w:ascii="Arial"/>
          <w:i/>
          <w:spacing w:val="27"/>
          <w:sz w:val="20"/>
        </w:rPr>
        <w:t> </w:t>
      </w:r>
      <w:r>
        <w:rPr>
          <w:rFonts w:ascii="Arial"/>
          <w:i/>
          <w:sz w:val="20"/>
        </w:rPr>
        <w:t>CC</w:t>
      </w:r>
      <w:r>
        <w:rPr>
          <w:rFonts w:ascii="Arial"/>
          <w:i/>
          <w:spacing w:val="27"/>
          <w:sz w:val="20"/>
        </w:rPr>
        <w:t> </w:t>
      </w:r>
      <w:r>
        <w:rPr>
          <w:rFonts w:ascii="Arial"/>
          <w:i/>
          <w:spacing w:val="-10"/>
          <w:sz w:val="20"/>
        </w:rPr>
        <w:t>v</w:t>
      </w:r>
    </w:p>
    <w:p>
      <w:pPr>
        <w:spacing w:line="227" w:lineRule="exact" w:before="0"/>
        <w:ind w:left="705" w:right="0" w:firstLine="0"/>
        <w:jc w:val="left"/>
        <w:rPr>
          <w:sz w:val="20"/>
        </w:rPr>
      </w:pPr>
      <w:r>
        <w:rPr>
          <w:rFonts w:ascii="Arial"/>
          <w:i/>
          <w:sz w:val="20"/>
        </w:rPr>
        <w:t>Bredero Homes Ltd [1993] 1 W.L.R. </w:t>
      </w:r>
      <w:r>
        <w:rPr>
          <w:rFonts w:ascii="Arial"/>
          <w:i/>
          <w:spacing w:val="-2"/>
          <w:sz w:val="20"/>
        </w:rPr>
        <w:t>1361</w:t>
      </w:r>
      <w:r>
        <w:rPr>
          <w:spacing w:val="-2"/>
          <w:sz w:val="20"/>
        </w:rPr>
        <w:t>.</w:t>
      </w:r>
    </w:p>
    <w:p>
      <w:pPr>
        <w:pStyle w:val="BodyText"/>
        <w:spacing w:before="9"/>
      </w:pPr>
    </w:p>
    <w:p>
      <w:pPr>
        <w:spacing w:line="235" w:lineRule="auto" w:before="0"/>
        <w:ind w:left="705" w:right="167" w:hanging="541"/>
        <w:jc w:val="both"/>
        <w:rPr>
          <w:sz w:val="20"/>
        </w:rPr>
      </w:pPr>
      <w:bookmarkStart w:name="_bookmark150" w:id="152"/>
      <w:bookmarkEnd w:id="152"/>
      <w:r>
        <w:rPr/>
      </w:r>
      <w:hyperlink w:history="true" w:anchor="_bookmark140">
        <w:r>
          <w:rPr>
            <w:color w:val="005DA1"/>
            <w:position w:val="5"/>
            <w:sz w:val="14"/>
            <w:u w:val="single" w:color="005DA1"/>
          </w:rPr>
          <w:t>75</w:t>
        </w:r>
      </w:hyperlink>
      <w:r>
        <w:rPr>
          <w:position w:val="5"/>
          <w:sz w:val="14"/>
        </w:rPr>
        <w:t>.</w:t>
      </w:r>
      <w:r>
        <w:rPr>
          <w:spacing w:val="80"/>
          <w:position w:val="5"/>
          <w:sz w:val="14"/>
        </w:rPr>
        <w:t>  </w:t>
      </w:r>
      <w:r>
        <w:rPr>
          <w:rFonts w:ascii="Arial" w:hAnsi="Arial"/>
          <w:i/>
          <w:sz w:val="20"/>
        </w:rPr>
        <w:t>Ashby v White (1704) 2 Ld. Raym. 938</w:t>
      </w:r>
      <w:r>
        <w:rPr>
          <w:sz w:val="20"/>
        </w:rPr>
        <w:t>; </w:t>
      </w:r>
      <w:r>
        <w:rPr>
          <w:rFonts w:ascii="Arial" w:hAnsi="Arial"/>
          <w:i/>
          <w:sz w:val="20"/>
        </w:rPr>
        <w:t>Constantine v Imperial Hotels Ltd [1944] K.B. 693</w:t>
      </w:r>
      <w:r>
        <w:rPr>
          <w:sz w:val="20"/>
        </w:rPr>
        <w:t>. On nominal</w:t>
      </w:r>
      <w:r>
        <w:rPr>
          <w:spacing w:val="40"/>
          <w:sz w:val="20"/>
        </w:rPr>
        <w:t> </w:t>
      </w:r>
      <w:r>
        <w:rPr>
          <w:sz w:val="20"/>
        </w:rPr>
        <w:t>damages</w:t>
      </w:r>
      <w:r>
        <w:rPr>
          <w:spacing w:val="40"/>
          <w:sz w:val="20"/>
        </w:rPr>
        <w:t> </w:t>
      </w:r>
      <w:r>
        <w:rPr>
          <w:sz w:val="20"/>
        </w:rPr>
        <w:t>when</w:t>
      </w:r>
      <w:r>
        <w:rPr>
          <w:spacing w:val="40"/>
          <w:sz w:val="20"/>
        </w:rPr>
        <w:t> </w:t>
      </w:r>
      <w:r>
        <w:rPr>
          <w:sz w:val="20"/>
        </w:rPr>
        <w:t>a</w:t>
      </w:r>
      <w:r>
        <w:rPr>
          <w:spacing w:val="40"/>
          <w:sz w:val="20"/>
        </w:rPr>
        <w:t> </w:t>
      </w:r>
      <w:r>
        <w:rPr>
          <w:sz w:val="20"/>
        </w:rPr>
        <w:t>bank</w:t>
      </w:r>
      <w:r>
        <w:rPr>
          <w:spacing w:val="40"/>
          <w:sz w:val="20"/>
        </w:rPr>
        <w:t> </w:t>
      </w:r>
      <w:r>
        <w:rPr>
          <w:sz w:val="20"/>
        </w:rPr>
        <w:t>wrongly</w:t>
      </w:r>
      <w:r>
        <w:rPr>
          <w:spacing w:val="40"/>
          <w:sz w:val="20"/>
        </w:rPr>
        <w:t> </w:t>
      </w:r>
      <w:r>
        <w:rPr>
          <w:sz w:val="20"/>
        </w:rPr>
        <w:t>dishonours</w:t>
      </w:r>
      <w:r>
        <w:rPr>
          <w:spacing w:val="40"/>
          <w:sz w:val="20"/>
        </w:rPr>
        <w:t> </w:t>
      </w:r>
      <w:r>
        <w:rPr>
          <w:sz w:val="20"/>
        </w:rPr>
        <w:t>a</w:t>
      </w:r>
      <w:r>
        <w:rPr>
          <w:spacing w:val="40"/>
          <w:sz w:val="20"/>
        </w:rPr>
        <w:t> </w:t>
      </w:r>
      <w:r>
        <w:rPr>
          <w:sz w:val="20"/>
        </w:rPr>
        <w:t>customer’s</w:t>
      </w:r>
      <w:r>
        <w:rPr>
          <w:spacing w:val="40"/>
          <w:sz w:val="20"/>
        </w:rPr>
        <w:t> </w:t>
      </w:r>
      <w:r>
        <w:rPr>
          <w:sz w:val="20"/>
        </w:rPr>
        <w:t>cheque,</w:t>
      </w:r>
      <w:r>
        <w:rPr>
          <w:spacing w:val="40"/>
          <w:sz w:val="20"/>
        </w:rPr>
        <w:t> </w:t>
      </w:r>
      <w:r>
        <w:rPr>
          <w:sz w:val="20"/>
        </w:rPr>
        <w:t>see</w:t>
      </w:r>
      <w:r>
        <w:rPr>
          <w:spacing w:val="40"/>
          <w:sz w:val="20"/>
        </w:rPr>
        <w:t> </w:t>
      </w:r>
      <w:r>
        <w:rPr>
          <w:sz w:val="20"/>
        </w:rPr>
        <w:t>Vol.II, </w:t>
      </w:r>
      <w:r>
        <w:rPr>
          <w:spacing w:val="-2"/>
          <w:sz w:val="20"/>
        </w:rPr>
        <w:t>para.34-323.</w:t>
      </w:r>
    </w:p>
    <w:p>
      <w:pPr>
        <w:spacing w:after="0" w:line="235" w:lineRule="auto"/>
        <w:jc w:val="both"/>
        <w:rPr>
          <w:sz w:val="20"/>
        </w:rPr>
        <w:sectPr>
          <w:headerReference w:type="default" r:id="rId9"/>
          <w:pgSz w:w="11900" w:h="16840"/>
          <w:pgMar w:header="971" w:footer="0" w:top="1300" w:bottom="280" w:left="1275" w:right="1275"/>
          <w:pgNumType w:start="1"/>
        </w:sectPr>
      </w:pPr>
    </w:p>
    <w:p>
      <w:pPr>
        <w:spacing w:line="235" w:lineRule="auto" w:before="170"/>
        <w:ind w:left="705" w:right="168" w:hanging="541"/>
        <w:jc w:val="both"/>
        <w:rPr>
          <w:rFonts w:ascii="Arial"/>
          <w:i/>
          <w:sz w:val="20"/>
        </w:rPr>
      </w:pPr>
      <w:bookmarkStart w:name="_bookmark151" w:id="153"/>
      <w:bookmarkEnd w:id="153"/>
      <w:r>
        <w:rPr/>
      </w:r>
      <w:hyperlink w:history="true" w:anchor="_bookmark141">
        <w:r>
          <w:rPr>
            <w:color w:val="005DA1"/>
            <w:position w:val="5"/>
            <w:sz w:val="14"/>
            <w:u w:val="single" w:color="005DA1"/>
          </w:rPr>
          <w:t>76</w:t>
        </w:r>
      </w:hyperlink>
      <w:r>
        <w:rPr>
          <w:position w:val="5"/>
          <w:sz w:val="14"/>
        </w:rPr>
        <w:t>.</w:t>
      </w:r>
      <w:r>
        <w:rPr>
          <w:spacing w:val="80"/>
          <w:position w:val="5"/>
          <w:sz w:val="14"/>
        </w:rPr>
        <w:t>  </w:t>
      </w:r>
      <w:r>
        <w:rPr>
          <w:rFonts w:ascii="Arial"/>
          <w:i/>
          <w:sz w:val="20"/>
        </w:rPr>
        <w:t>Columbus &amp; Co Ltd v Clowes [1903] 1 K.B. 244</w:t>
      </w:r>
      <w:r>
        <w:rPr>
          <w:sz w:val="20"/>
        </w:rPr>
        <w:t>; </w:t>
      </w:r>
      <w:r>
        <w:rPr>
          <w:rFonts w:ascii="Arial"/>
          <w:i/>
          <w:sz w:val="20"/>
        </w:rPr>
        <w:t>Weld-Blundell v Stephens [1920] A.C. 956</w:t>
      </w:r>
      <w:r>
        <w:rPr>
          <w:sz w:val="20"/>
        </w:rPr>
        <w:t>; </w:t>
      </w:r>
      <w:r>
        <w:rPr>
          <w:rFonts w:ascii="Arial"/>
          <w:i/>
          <w:sz w:val="20"/>
        </w:rPr>
        <w:t>Taylor &amp; Sons Ltd v Bank of Athens (1922) 91 L.J.K.B. 776</w:t>
      </w:r>
      <w:r>
        <w:rPr>
          <w:sz w:val="20"/>
        </w:rPr>
        <w:t>; </w:t>
      </w:r>
      <w:r>
        <w:rPr>
          <w:rFonts w:ascii="Arial"/>
          <w:i/>
          <w:sz w:val="20"/>
        </w:rPr>
        <w:t>James v Hutton and J. Cook &amp; Sons</w:t>
      </w:r>
      <w:r>
        <w:rPr>
          <w:rFonts w:ascii="Arial"/>
          <w:i/>
          <w:spacing w:val="21"/>
          <w:sz w:val="20"/>
        </w:rPr>
        <w:t> </w:t>
      </w:r>
      <w:r>
        <w:rPr>
          <w:rFonts w:ascii="Arial"/>
          <w:i/>
          <w:sz w:val="20"/>
        </w:rPr>
        <w:t>Ltd</w:t>
      </w:r>
      <w:r>
        <w:rPr>
          <w:rFonts w:ascii="Arial"/>
          <w:i/>
          <w:spacing w:val="22"/>
          <w:sz w:val="20"/>
        </w:rPr>
        <w:t> </w:t>
      </w:r>
      <w:r>
        <w:rPr>
          <w:rFonts w:ascii="Arial"/>
          <w:i/>
          <w:sz w:val="20"/>
        </w:rPr>
        <w:t>[1950]</w:t>
      </w:r>
      <w:r>
        <w:rPr>
          <w:rFonts w:ascii="Arial"/>
          <w:i/>
          <w:spacing w:val="22"/>
          <w:sz w:val="20"/>
        </w:rPr>
        <w:t> </w:t>
      </w:r>
      <w:r>
        <w:rPr>
          <w:rFonts w:ascii="Arial"/>
          <w:i/>
          <w:sz w:val="20"/>
        </w:rPr>
        <w:t>1</w:t>
      </w:r>
      <w:r>
        <w:rPr>
          <w:rFonts w:ascii="Arial"/>
          <w:i/>
          <w:spacing w:val="22"/>
          <w:sz w:val="20"/>
        </w:rPr>
        <w:t> </w:t>
      </w:r>
      <w:r>
        <w:rPr>
          <w:rFonts w:ascii="Arial"/>
          <w:i/>
          <w:sz w:val="20"/>
        </w:rPr>
        <w:t>K.B.</w:t>
      </w:r>
      <w:r>
        <w:rPr>
          <w:rFonts w:ascii="Arial"/>
          <w:i/>
          <w:spacing w:val="22"/>
          <w:sz w:val="20"/>
        </w:rPr>
        <w:t> </w:t>
      </w:r>
      <w:r>
        <w:rPr>
          <w:rFonts w:ascii="Arial"/>
          <w:i/>
          <w:sz w:val="20"/>
        </w:rPr>
        <w:t>9</w:t>
      </w:r>
      <w:r>
        <w:rPr>
          <w:sz w:val="20"/>
        </w:rPr>
        <w:t>;</w:t>
      </w:r>
      <w:r>
        <w:rPr>
          <w:spacing w:val="22"/>
          <w:sz w:val="20"/>
        </w:rPr>
        <w:t> </w:t>
      </w:r>
      <w:r>
        <w:rPr>
          <w:rFonts w:ascii="Arial"/>
          <w:i/>
          <w:sz w:val="20"/>
        </w:rPr>
        <w:t>Sykes</w:t>
      </w:r>
      <w:r>
        <w:rPr>
          <w:rFonts w:ascii="Arial"/>
          <w:i/>
          <w:spacing w:val="22"/>
          <w:sz w:val="20"/>
        </w:rPr>
        <w:t> </w:t>
      </w:r>
      <w:r>
        <w:rPr>
          <w:rFonts w:ascii="Arial"/>
          <w:i/>
          <w:sz w:val="20"/>
        </w:rPr>
        <w:t>v</w:t>
      </w:r>
      <w:r>
        <w:rPr>
          <w:rFonts w:ascii="Arial"/>
          <w:i/>
          <w:spacing w:val="22"/>
          <w:sz w:val="20"/>
        </w:rPr>
        <w:t> </w:t>
      </w:r>
      <w:r>
        <w:rPr>
          <w:rFonts w:ascii="Arial"/>
          <w:i/>
          <w:sz w:val="20"/>
        </w:rPr>
        <w:t>Midland</w:t>
      </w:r>
      <w:r>
        <w:rPr>
          <w:rFonts w:ascii="Arial"/>
          <w:i/>
          <w:spacing w:val="22"/>
          <w:sz w:val="20"/>
        </w:rPr>
        <w:t> </w:t>
      </w:r>
      <w:r>
        <w:rPr>
          <w:rFonts w:ascii="Arial"/>
          <w:i/>
          <w:sz w:val="20"/>
        </w:rPr>
        <w:t>Bank</w:t>
      </w:r>
      <w:r>
        <w:rPr>
          <w:rFonts w:ascii="Arial"/>
          <w:i/>
          <w:spacing w:val="22"/>
          <w:sz w:val="20"/>
        </w:rPr>
        <w:t> </w:t>
      </w:r>
      <w:r>
        <w:rPr>
          <w:rFonts w:ascii="Arial"/>
          <w:i/>
          <w:sz w:val="20"/>
        </w:rPr>
        <w:t>Executor</w:t>
      </w:r>
      <w:r>
        <w:rPr>
          <w:rFonts w:ascii="Arial"/>
          <w:i/>
          <w:spacing w:val="22"/>
          <w:sz w:val="20"/>
        </w:rPr>
        <w:t> </w:t>
      </w:r>
      <w:r>
        <w:rPr>
          <w:rFonts w:ascii="Arial"/>
          <w:i/>
          <w:sz w:val="20"/>
        </w:rPr>
        <w:t>and</w:t>
      </w:r>
      <w:r>
        <w:rPr>
          <w:rFonts w:ascii="Arial"/>
          <w:i/>
          <w:spacing w:val="22"/>
          <w:sz w:val="20"/>
        </w:rPr>
        <w:t> </w:t>
      </w:r>
      <w:r>
        <w:rPr>
          <w:rFonts w:ascii="Arial"/>
          <w:i/>
          <w:sz w:val="20"/>
        </w:rPr>
        <w:t>Trustee</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[1971]</w:t>
      </w:r>
      <w:r>
        <w:rPr>
          <w:rFonts w:ascii="Arial"/>
          <w:i/>
          <w:spacing w:val="22"/>
          <w:sz w:val="20"/>
        </w:rPr>
        <w:t> </w:t>
      </w:r>
      <w:r>
        <w:rPr>
          <w:rFonts w:ascii="Arial"/>
          <w:i/>
          <w:sz w:val="20"/>
        </w:rPr>
        <w:t>1</w:t>
      </w:r>
      <w:r>
        <w:rPr>
          <w:rFonts w:ascii="Arial"/>
          <w:i/>
          <w:spacing w:val="22"/>
          <w:sz w:val="20"/>
        </w:rPr>
        <w:t> </w:t>
      </w:r>
      <w:r>
        <w:rPr>
          <w:rFonts w:ascii="Arial"/>
          <w:i/>
          <w:spacing w:val="-4"/>
          <w:sz w:val="20"/>
        </w:rPr>
        <w:t>Q.B.</w:t>
      </w:r>
    </w:p>
    <w:p>
      <w:pPr>
        <w:pStyle w:val="BodyText"/>
        <w:spacing w:line="225" w:lineRule="exact"/>
        <w:ind w:left="705"/>
      </w:pPr>
      <w:r>
        <w:rPr>
          <w:rFonts w:ascii="Arial"/>
          <w:i/>
        </w:rPr>
        <w:t>113</w:t>
      </w:r>
      <w:r>
        <w:rPr/>
        <w:t>.</w:t>
      </w:r>
      <w:r>
        <w:rPr>
          <w:spacing w:val="-1"/>
        </w:rPr>
        <w:t> </w:t>
      </w:r>
      <w:r>
        <w:rPr/>
        <w:t>See below, paras 26-058 et </w:t>
      </w:r>
      <w:r>
        <w:rPr>
          <w:spacing w:val="-4"/>
        </w:rPr>
        <w:t>seq.</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52" w:id="154"/>
      <w:bookmarkEnd w:id="154"/>
      <w:r>
        <w:rPr/>
      </w:r>
      <w:hyperlink w:history="true" w:anchor="_bookmark141">
        <w:r>
          <w:rPr>
            <w:color w:val="005DA1"/>
            <w:spacing w:val="-4"/>
            <w:position w:val="5"/>
            <w:sz w:val="14"/>
            <w:u w:val="single" w:color="005DA1"/>
          </w:rPr>
          <w:t>77</w:t>
        </w:r>
      </w:hyperlink>
      <w:r>
        <w:rPr>
          <w:spacing w:val="-4"/>
          <w:position w:val="5"/>
          <w:sz w:val="14"/>
        </w:rPr>
        <w:t>.</w:t>
      </w:r>
      <w:r>
        <w:rPr>
          <w:position w:val="5"/>
          <w:sz w:val="14"/>
        </w:rPr>
        <w:tab/>
      </w:r>
      <w:r>
        <w:rPr>
          <w:rFonts w:ascii="Arial"/>
          <w:i/>
          <w:sz w:val="20"/>
        </w:rPr>
        <w:t>Erie County Natural Gas and Fuel Co Ltd v Carroll [1911] A.C. 105</w:t>
      </w:r>
      <w:r>
        <w:rPr>
          <w:sz w:val="20"/>
        </w:rPr>
        <w:t>; cf. </w:t>
      </w:r>
      <w:r>
        <w:rPr>
          <w:rFonts w:ascii="Arial"/>
          <w:i/>
          <w:sz w:val="20"/>
        </w:rPr>
        <w:t>Government of Ceylon v Chandris</w:t>
      </w:r>
      <w:r>
        <w:rPr>
          <w:rFonts w:ascii="Arial"/>
          <w:i/>
          <w:spacing w:val="21"/>
          <w:sz w:val="20"/>
        </w:rPr>
        <w:t> </w:t>
      </w:r>
      <w:r>
        <w:rPr>
          <w:rFonts w:ascii="Arial"/>
          <w:i/>
          <w:sz w:val="20"/>
        </w:rPr>
        <w:t>[1965]</w:t>
      </w:r>
      <w:r>
        <w:rPr>
          <w:rFonts w:ascii="Arial"/>
          <w:i/>
          <w:spacing w:val="24"/>
          <w:sz w:val="20"/>
        </w:rPr>
        <w:t> </w:t>
      </w:r>
      <w:r>
        <w:rPr>
          <w:rFonts w:ascii="Arial"/>
          <w:i/>
          <w:sz w:val="20"/>
        </w:rPr>
        <w:t>3</w:t>
      </w:r>
      <w:r>
        <w:rPr>
          <w:rFonts w:ascii="Arial"/>
          <w:i/>
          <w:spacing w:val="24"/>
          <w:sz w:val="20"/>
        </w:rPr>
        <w:t> </w:t>
      </w:r>
      <w:r>
        <w:rPr>
          <w:rFonts w:ascii="Arial"/>
          <w:i/>
          <w:sz w:val="20"/>
        </w:rPr>
        <w:t>All</w:t>
      </w:r>
      <w:r>
        <w:rPr>
          <w:rFonts w:ascii="Arial"/>
          <w:i/>
          <w:spacing w:val="24"/>
          <w:sz w:val="20"/>
        </w:rPr>
        <w:t> </w:t>
      </w:r>
      <w:r>
        <w:rPr>
          <w:rFonts w:ascii="Arial"/>
          <w:i/>
          <w:sz w:val="20"/>
        </w:rPr>
        <w:t>E.R.</w:t>
      </w:r>
      <w:r>
        <w:rPr>
          <w:rFonts w:ascii="Arial"/>
          <w:i/>
          <w:spacing w:val="24"/>
          <w:sz w:val="20"/>
        </w:rPr>
        <w:t> </w:t>
      </w:r>
      <w:r>
        <w:rPr>
          <w:rFonts w:ascii="Arial"/>
          <w:i/>
          <w:sz w:val="20"/>
        </w:rPr>
        <w:t>48</w:t>
      </w:r>
      <w:r>
        <w:rPr>
          <w:sz w:val="20"/>
        </w:rPr>
        <w:t>;</w:t>
      </w:r>
      <w:r>
        <w:rPr>
          <w:spacing w:val="24"/>
          <w:sz w:val="20"/>
        </w:rPr>
        <w:t> </w:t>
      </w:r>
      <w:r>
        <w:rPr>
          <w:sz w:val="20"/>
        </w:rPr>
        <w:t>cf.</w:t>
      </w:r>
      <w:r>
        <w:rPr>
          <w:spacing w:val="24"/>
          <w:sz w:val="20"/>
        </w:rPr>
        <w:t> </w:t>
      </w:r>
      <w:r>
        <w:rPr>
          <w:rFonts w:ascii="Arial"/>
          <w:i/>
          <w:sz w:val="20"/>
        </w:rPr>
        <w:t>Tai</w:t>
      </w:r>
      <w:r>
        <w:rPr>
          <w:rFonts w:ascii="Arial"/>
          <w:i/>
          <w:spacing w:val="24"/>
          <w:sz w:val="20"/>
        </w:rPr>
        <w:t> </w:t>
      </w:r>
      <w:r>
        <w:rPr>
          <w:rFonts w:ascii="Arial"/>
          <w:i/>
          <w:sz w:val="20"/>
        </w:rPr>
        <w:t>Hing</w:t>
      </w:r>
      <w:r>
        <w:rPr>
          <w:rFonts w:ascii="Arial"/>
          <w:i/>
          <w:spacing w:val="24"/>
          <w:sz w:val="20"/>
        </w:rPr>
        <w:t> </w:t>
      </w:r>
      <w:r>
        <w:rPr>
          <w:rFonts w:ascii="Arial"/>
          <w:i/>
          <w:sz w:val="20"/>
        </w:rPr>
        <w:t>Cotton</w:t>
      </w:r>
      <w:r>
        <w:rPr>
          <w:rFonts w:ascii="Arial"/>
          <w:i/>
          <w:spacing w:val="24"/>
          <w:sz w:val="20"/>
        </w:rPr>
        <w:t> </w:t>
      </w:r>
      <w:r>
        <w:rPr>
          <w:rFonts w:ascii="Arial"/>
          <w:i/>
          <w:sz w:val="20"/>
        </w:rPr>
        <w:t>Mill</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Kamsing</w:t>
      </w:r>
      <w:r>
        <w:rPr>
          <w:rFonts w:ascii="Arial"/>
          <w:i/>
          <w:spacing w:val="24"/>
          <w:sz w:val="20"/>
        </w:rPr>
        <w:t> </w:t>
      </w:r>
      <w:r>
        <w:rPr>
          <w:rFonts w:ascii="Arial"/>
          <w:i/>
          <w:sz w:val="20"/>
        </w:rPr>
        <w:t>Knitting</w:t>
      </w:r>
      <w:r>
        <w:rPr>
          <w:rFonts w:ascii="Arial"/>
          <w:i/>
          <w:spacing w:val="24"/>
          <w:sz w:val="20"/>
        </w:rPr>
        <w:t> </w:t>
      </w:r>
      <w:r>
        <w:rPr>
          <w:rFonts w:ascii="Arial"/>
          <w:i/>
          <w:sz w:val="20"/>
        </w:rPr>
        <w:t>Factory</w:t>
      </w:r>
      <w:r>
        <w:rPr>
          <w:rFonts w:ascii="Arial"/>
          <w:i/>
          <w:spacing w:val="24"/>
          <w:sz w:val="20"/>
        </w:rPr>
        <w:t> </w:t>
      </w:r>
      <w:r>
        <w:rPr>
          <w:rFonts w:ascii="Arial"/>
          <w:i/>
          <w:spacing w:val="-2"/>
          <w:sz w:val="20"/>
        </w:rPr>
        <w:t>[1979]</w:t>
      </w:r>
    </w:p>
    <w:p>
      <w:pPr>
        <w:spacing w:line="223" w:lineRule="exact" w:before="0"/>
        <w:ind w:left="705" w:right="0" w:firstLine="0"/>
        <w:jc w:val="left"/>
        <w:rPr>
          <w:rFonts w:ascii="Arial"/>
          <w:i/>
          <w:sz w:val="20"/>
        </w:rPr>
      </w:pPr>
      <w:r>
        <w:rPr>
          <w:rFonts w:ascii="Arial"/>
          <w:i/>
          <w:sz w:val="20"/>
        </w:rPr>
        <w:t>A.C. 91, 106 </w:t>
      </w:r>
      <w:r>
        <w:rPr>
          <w:sz w:val="20"/>
        </w:rPr>
        <w:t>(see below, para.26-015, text at n.85); cf. also</w:t>
      </w:r>
      <w:r>
        <w:rPr>
          <w:spacing w:val="-1"/>
          <w:sz w:val="20"/>
        </w:rPr>
        <w:t> </w:t>
      </w:r>
      <w:r>
        <w:rPr>
          <w:rFonts w:ascii="Arial"/>
          <w:i/>
          <w:sz w:val="20"/>
        </w:rPr>
        <w:t>Dean v Ainley [1987] 1 W.L.R. </w:t>
      </w:r>
      <w:r>
        <w:rPr>
          <w:rFonts w:ascii="Arial"/>
          <w:i/>
          <w:spacing w:val="-4"/>
          <w:sz w:val="20"/>
        </w:rPr>
        <w:t>1729</w:t>
      </w:r>
    </w:p>
    <w:p>
      <w:pPr>
        <w:spacing w:line="227" w:lineRule="exact" w:before="0"/>
        <w:ind w:left="705" w:right="0" w:firstLine="0"/>
        <w:jc w:val="left"/>
        <w:rPr>
          <w:sz w:val="20"/>
        </w:rPr>
      </w:pPr>
      <w:r>
        <w:rPr>
          <w:spacing w:val="-10"/>
          <w:sz w:val="20"/>
        </w:rPr>
        <w:t>.</w:t>
      </w:r>
    </w:p>
    <w:p>
      <w:pPr>
        <w:pStyle w:val="BodyText"/>
        <w:spacing w:before="9"/>
      </w:pPr>
    </w:p>
    <w:p>
      <w:pPr>
        <w:spacing w:line="235" w:lineRule="auto" w:before="0"/>
        <w:ind w:left="705" w:right="168" w:hanging="541"/>
        <w:jc w:val="both"/>
        <w:rPr>
          <w:sz w:val="20"/>
        </w:rPr>
      </w:pPr>
      <w:bookmarkStart w:name="_bookmark153" w:id="155"/>
      <w:bookmarkEnd w:id="155"/>
      <w:r>
        <w:rPr/>
      </w:r>
      <w:hyperlink w:history="true" w:anchor="_bookmark142">
        <w:r>
          <w:rPr>
            <w:color w:val="005DA1"/>
            <w:position w:val="5"/>
            <w:sz w:val="14"/>
            <w:u w:val="single" w:color="005DA1"/>
          </w:rPr>
          <w:t>78</w:t>
        </w:r>
      </w:hyperlink>
      <w:r>
        <w:rPr>
          <w:position w:val="5"/>
          <w:sz w:val="14"/>
        </w:rPr>
        <w:t>.</w:t>
      </w:r>
      <w:r>
        <w:rPr>
          <w:spacing w:val="80"/>
          <w:position w:val="5"/>
          <w:sz w:val="14"/>
        </w:rPr>
        <w:t>  </w:t>
      </w:r>
      <w:r>
        <w:rPr>
          <w:rFonts w:ascii="Arial"/>
          <w:i/>
          <w:sz w:val="20"/>
        </w:rPr>
        <w:t>Beaumont v Greathead (1846) 2 C.B. 494, 499</w:t>
      </w:r>
      <w:r>
        <w:rPr>
          <w:sz w:val="20"/>
        </w:rPr>
        <w:t>. But costs are in the discretion of the court, and sometimes a claimant who recovers nominal damages will not receive costs: </w:t>
      </w:r>
      <w:r>
        <w:rPr>
          <w:rFonts w:ascii="Arial"/>
          <w:i/>
          <w:sz w:val="20"/>
        </w:rPr>
        <w:t>Anglo-</w:t>
      </w:r>
      <w:r>
        <w:rPr>
          <w:rFonts w:ascii="Arial"/>
          <w:i/>
          <w:sz w:val="20"/>
        </w:rPr>
        <w:t>Cyprian Trade Agencies Ltd v Paphos Wine Industries Ltd [1951] 1 All E.R. 873, 874</w:t>
      </w:r>
      <w:r>
        <w:rPr>
          <w:sz w:val="20"/>
        </w:rPr>
        <w:t>.</w:t>
      </w:r>
    </w:p>
    <w:p>
      <w:pPr>
        <w:pStyle w:val="BodyText"/>
        <w:spacing w:before="8"/>
      </w:pPr>
    </w:p>
    <w:p>
      <w:pPr>
        <w:pStyle w:val="BodyText"/>
        <w:tabs>
          <w:tab w:pos="705" w:val="left" w:leader="none"/>
        </w:tabs>
        <w:spacing w:line="235" w:lineRule="auto" w:before="1"/>
        <w:ind w:left="705" w:right="168" w:hanging="541"/>
      </w:pPr>
      <w:bookmarkStart w:name="_bookmark154" w:id="156"/>
      <w:bookmarkEnd w:id="156"/>
      <w:r>
        <w:rPr/>
      </w:r>
      <w:hyperlink w:history="true" w:anchor="_bookmark143">
        <w:r>
          <w:rPr>
            <w:color w:val="005DA1"/>
            <w:spacing w:val="-4"/>
            <w:position w:val="5"/>
            <w:sz w:val="14"/>
            <w:u w:val="single" w:color="005DA1"/>
          </w:rPr>
          <w:t>79</w:t>
        </w:r>
      </w:hyperlink>
      <w:r>
        <w:rPr>
          <w:spacing w:val="-4"/>
          <w:position w:val="5"/>
          <w:sz w:val="14"/>
        </w:rPr>
        <w:t>.</w:t>
      </w:r>
      <w:r>
        <w:rPr>
          <w:position w:val="5"/>
          <w:sz w:val="14"/>
        </w:rPr>
        <w:tab/>
      </w:r>
      <w:r>
        <w:rPr/>
        <w:t>Pollock,</w:t>
      </w:r>
      <w:r>
        <w:rPr>
          <w:spacing w:val="80"/>
        </w:rPr>
        <w:t> </w:t>
      </w:r>
      <w:r>
        <w:rPr>
          <w:rFonts w:ascii="Arial"/>
          <w:i/>
        </w:rPr>
        <w:t>Contracts</w:t>
      </w:r>
      <w:r>
        <w:rPr/>
        <w:t>,</w:t>
      </w:r>
      <w:r>
        <w:rPr>
          <w:spacing w:val="80"/>
        </w:rPr>
        <w:t> </w:t>
      </w:r>
      <w:r>
        <w:rPr/>
        <w:t>13th</w:t>
      </w:r>
      <w:r>
        <w:rPr>
          <w:spacing w:val="80"/>
        </w:rPr>
        <w:t> </w:t>
      </w:r>
      <w:r>
        <w:rPr/>
        <w:t>edn,</w:t>
      </w:r>
      <w:r>
        <w:rPr>
          <w:spacing w:val="80"/>
        </w:rPr>
        <w:t> </w:t>
      </w:r>
      <w:r>
        <w:rPr/>
        <w:t>p.536;</w:t>
      </w:r>
      <w:r>
        <w:rPr>
          <w:spacing w:val="80"/>
        </w:rPr>
        <w:t> </w:t>
      </w:r>
      <w:r>
        <w:rPr/>
        <w:t>cf.</w:t>
      </w:r>
      <w:r>
        <w:rPr>
          <w:spacing w:val="80"/>
        </w:rPr>
        <w:t> </w:t>
      </w:r>
      <w:r>
        <w:rPr/>
        <w:t>the</w:t>
      </w:r>
      <w:r>
        <w:rPr>
          <w:spacing w:val="80"/>
        </w:rPr>
        <w:t> </w:t>
      </w:r>
      <w:r>
        <w:rPr/>
        <w:t>cases</w:t>
      </w:r>
      <w:r>
        <w:rPr>
          <w:spacing w:val="80"/>
        </w:rPr>
        <w:t> </w:t>
      </w:r>
      <w:r>
        <w:rPr/>
        <w:t>on</w:t>
      </w:r>
      <w:r>
        <w:rPr>
          <w:spacing w:val="80"/>
        </w:rPr>
        <w:t> </w:t>
      </w:r>
      <w:r>
        <w:rPr/>
        <w:t>dishonouring</w:t>
      </w:r>
      <w:r>
        <w:rPr>
          <w:spacing w:val="80"/>
        </w:rPr>
        <w:t> </w:t>
      </w:r>
      <w:r>
        <w:rPr/>
        <w:t>a</w:t>
      </w:r>
      <w:r>
        <w:rPr>
          <w:spacing w:val="80"/>
        </w:rPr>
        <w:t> </w:t>
      </w:r>
      <w:r>
        <w:rPr/>
        <w:t>cheque,</w:t>
      </w:r>
      <w:r>
        <w:rPr>
          <w:spacing w:val="80"/>
        </w:rPr>
        <w:t> </w:t>
      </w:r>
      <w:r>
        <w:rPr/>
        <w:t>Vol.II, </w:t>
      </w:r>
      <w:r>
        <w:rPr>
          <w:spacing w:val="-2"/>
        </w:rPr>
        <w:t>para.34-323.</w:t>
      </w:r>
    </w:p>
    <w:p>
      <w:pPr>
        <w:pStyle w:val="BodyText"/>
        <w:spacing w:before="9"/>
      </w:pPr>
    </w:p>
    <w:p>
      <w:pPr>
        <w:spacing w:line="235" w:lineRule="auto" w:before="0"/>
        <w:ind w:left="705" w:right="167" w:hanging="541"/>
        <w:jc w:val="both"/>
        <w:rPr>
          <w:sz w:val="20"/>
        </w:rPr>
      </w:pPr>
      <w:bookmarkStart w:name="_bookmark155" w:id="157"/>
      <w:bookmarkEnd w:id="157"/>
      <w:r>
        <w:rPr/>
      </w:r>
      <w:hyperlink w:history="true" w:anchor="_bookmark144">
        <w:r>
          <w:rPr>
            <w:color w:val="005DA1"/>
            <w:position w:val="5"/>
            <w:sz w:val="14"/>
            <w:u w:val="single" w:color="005DA1"/>
          </w:rPr>
          <w:t>80</w:t>
        </w:r>
      </w:hyperlink>
      <w:r>
        <w:rPr>
          <w:position w:val="5"/>
          <w:sz w:val="14"/>
        </w:rPr>
        <w:t>.</w:t>
      </w:r>
      <w:r>
        <w:rPr>
          <w:spacing w:val="80"/>
          <w:position w:val="5"/>
          <w:sz w:val="14"/>
        </w:rPr>
        <w:t>  </w:t>
      </w:r>
      <w:r>
        <w:rPr>
          <w:rFonts w:ascii="Arial" w:hAnsi="Arial"/>
          <w:i/>
          <w:sz w:val="20"/>
        </w:rPr>
        <w:t>Aerial Advertising Co v Batchelor’s Peas Ltd [1938] 2 All E.R. 788</w:t>
      </w:r>
      <w:r>
        <w:rPr>
          <w:sz w:val="20"/>
        </w:rPr>
        <w:t>; and cf. </w:t>
      </w:r>
      <w:r>
        <w:rPr>
          <w:rFonts w:ascii="Arial" w:hAnsi="Arial"/>
          <w:i/>
          <w:sz w:val="20"/>
        </w:rPr>
        <w:t>Sunley &amp; Co Ltd v Cunard White Star Ltd [1940] 1 K.B. 740</w:t>
      </w:r>
      <w:r>
        <w:rPr>
          <w:sz w:val="20"/>
        </w:rPr>
        <w:t>. In </w:t>
      </w:r>
      <w:r>
        <w:rPr>
          <w:rFonts w:ascii="Arial" w:hAnsi="Arial"/>
          <w:i/>
          <w:sz w:val="20"/>
        </w:rPr>
        <w:t>B.C. Sawmills v Nettleship (1868) L.R. 3 C.P 499 </w:t>
      </w:r>
      <w:r>
        <w:rPr>
          <w:sz w:val="20"/>
        </w:rPr>
        <w:t>it was presumed that delay in delivery had caused some loss and interest on the value of </w:t>
      </w:r>
      <w:r>
        <w:rPr>
          <w:sz w:val="20"/>
        </w:rPr>
        <w:t>the goods</w:t>
      </w:r>
      <w:r>
        <w:rPr>
          <w:spacing w:val="-3"/>
          <w:sz w:val="20"/>
        </w:rPr>
        <w:t> </w:t>
      </w:r>
      <w:r>
        <w:rPr>
          <w:sz w:val="20"/>
        </w:rPr>
        <w:t>was</w:t>
      </w:r>
      <w:r>
        <w:rPr>
          <w:spacing w:val="-3"/>
          <w:sz w:val="20"/>
        </w:rPr>
        <w:t> </w:t>
      </w:r>
      <w:r>
        <w:rPr>
          <w:sz w:val="20"/>
        </w:rPr>
        <w:t>awarded</w:t>
      </w:r>
      <w:r>
        <w:rPr>
          <w:spacing w:val="-3"/>
          <w:sz w:val="20"/>
        </w:rPr>
        <w:t> </w:t>
      </w:r>
      <w:r>
        <w:rPr>
          <w:sz w:val="20"/>
        </w:rPr>
        <w:t>by</w:t>
      </w:r>
      <w:r>
        <w:rPr>
          <w:spacing w:val="-3"/>
          <w:sz w:val="20"/>
        </w:rPr>
        <w:t> </w:t>
      </w:r>
      <w:r>
        <w:rPr>
          <w:sz w:val="20"/>
        </w:rPr>
        <w:t>way</w:t>
      </w:r>
      <w:r>
        <w:rPr>
          <w:spacing w:val="-3"/>
          <w:sz w:val="20"/>
        </w:rPr>
        <w:t> </w:t>
      </w:r>
      <w:r>
        <w:rPr>
          <w:sz w:val="20"/>
        </w:rPr>
        <w:t>of</w:t>
      </w:r>
      <w:r>
        <w:rPr>
          <w:spacing w:val="-3"/>
          <w:sz w:val="20"/>
        </w:rPr>
        <w:t> </w:t>
      </w:r>
      <w:r>
        <w:rPr>
          <w:sz w:val="20"/>
        </w:rPr>
        <w:t>general</w:t>
      </w:r>
      <w:r>
        <w:rPr>
          <w:spacing w:val="-3"/>
          <w:sz w:val="20"/>
        </w:rPr>
        <w:t> </w:t>
      </w:r>
      <w:r>
        <w:rPr>
          <w:sz w:val="20"/>
        </w:rPr>
        <w:t>damages.</w:t>
      </w:r>
      <w:r>
        <w:rPr>
          <w:spacing w:val="-3"/>
          <w:sz w:val="20"/>
        </w:rPr>
        <w:t> </w:t>
      </w:r>
      <w:r>
        <w:rPr>
          <w:sz w:val="20"/>
        </w:rPr>
        <w:t>General</w:t>
      </w:r>
      <w:r>
        <w:rPr>
          <w:spacing w:val="-3"/>
          <w:sz w:val="20"/>
        </w:rPr>
        <w:t> </w:t>
      </w:r>
      <w:r>
        <w:rPr>
          <w:sz w:val="20"/>
        </w:rPr>
        <w:t>damages</w:t>
      </w:r>
      <w:r>
        <w:rPr>
          <w:spacing w:val="-3"/>
          <w:sz w:val="20"/>
        </w:rPr>
        <w:t> </w:t>
      </w:r>
      <w:r>
        <w:rPr>
          <w:sz w:val="20"/>
        </w:rPr>
        <w:t>may</w:t>
      </w:r>
      <w:r>
        <w:rPr>
          <w:spacing w:val="-3"/>
          <w:sz w:val="20"/>
        </w:rPr>
        <w:t> </w:t>
      </w:r>
      <w:r>
        <w:rPr>
          <w:sz w:val="20"/>
        </w:rPr>
        <w:t>also</w:t>
      </w:r>
      <w:r>
        <w:rPr>
          <w:spacing w:val="-3"/>
          <w:sz w:val="20"/>
        </w:rPr>
        <w:t> </w:t>
      </w:r>
      <w:r>
        <w:rPr>
          <w:sz w:val="20"/>
        </w:rPr>
        <w:t>be</w:t>
      </w:r>
      <w:r>
        <w:rPr>
          <w:spacing w:val="-3"/>
          <w:sz w:val="20"/>
        </w:rPr>
        <w:t> </w:t>
      </w:r>
      <w:r>
        <w:rPr>
          <w:sz w:val="20"/>
        </w:rPr>
        <w:t>awarded</w:t>
      </w:r>
      <w:r>
        <w:rPr>
          <w:spacing w:val="-3"/>
          <w:sz w:val="20"/>
        </w:rPr>
        <w:t> </w:t>
      </w:r>
      <w:r>
        <w:rPr>
          <w:sz w:val="20"/>
        </w:rPr>
        <w:t>when a claimant’s goods have been put out of action by a tortfeasor but the claimant had a replacement available: for a recent example, see </w:t>
      </w:r>
      <w:r>
        <w:rPr>
          <w:rFonts w:ascii="Arial" w:hAnsi="Arial"/>
          <w:i/>
          <w:sz w:val="20"/>
        </w:rPr>
        <w:t>West Midlands Travel Ltd v Aviva Insurance UK Ltd [2013] EWCA Civ 887</w:t>
      </w:r>
      <w:r>
        <w:rPr>
          <w:sz w:val="20"/>
        </w:rPr>
        <w:t>, where the damages were assessed on the basis of the capital tied up in the goods, wasted expenditure and depreciation, see at [28]. In tort cases in which a property has been damaged through the defendant’s negligence, the true measure of the claimant’s loss is the diminution in the value of the property, and this should be pleaded as general damage; the cost of repairs is no more than evidence of the diminution in value: </w:t>
      </w:r>
      <w:r>
        <w:rPr>
          <w:rFonts w:ascii="Arial" w:hAnsi="Arial"/>
          <w:i/>
          <w:sz w:val="20"/>
        </w:rPr>
        <w:t>Coles</w:t>
      </w:r>
      <w:r>
        <w:rPr>
          <w:rFonts w:ascii="Arial" w:hAnsi="Arial"/>
          <w:i/>
          <w:spacing w:val="40"/>
          <w:sz w:val="20"/>
        </w:rPr>
        <w:t> </w:t>
      </w:r>
      <w:r>
        <w:rPr>
          <w:rFonts w:ascii="Arial" w:hAnsi="Arial"/>
          <w:i/>
          <w:sz w:val="20"/>
        </w:rPr>
        <w:t>v Hetherton [2013] EWCA Civ 1704, [2014] 1 W.L.R. 60 </w:t>
      </w:r>
      <w:r>
        <w:rPr>
          <w:sz w:val="20"/>
        </w:rPr>
        <w:t>at [28]. When a court awards less than the</w:t>
      </w:r>
      <w:r>
        <w:rPr>
          <w:spacing w:val="-2"/>
          <w:sz w:val="20"/>
        </w:rPr>
        <w:t> </w:t>
      </w:r>
      <w:r>
        <w:rPr>
          <w:sz w:val="20"/>
        </w:rPr>
        <w:t>full</w:t>
      </w:r>
      <w:r>
        <w:rPr>
          <w:spacing w:val="-2"/>
          <w:sz w:val="20"/>
        </w:rPr>
        <w:t> </w:t>
      </w:r>
      <w:r>
        <w:rPr>
          <w:sz w:val="20"/>
        </w:rPr>
        <w:t>cost</w:t>
      </w:r>
      <w:r>
        <w:rPr>
          <w:spacing w:val="-2"/>
          <w:sz w:val="20"/>
        </w:rPr>
        <w:t> </w:t>
      </w:r>
      <w:r>
        <w:rPr>
          <w:sz w:val="20"/>
        </w:rPr>
        <w:t>of</w:t>
      </w:r>
      <w:r>
        <w:rPr>
          <w:spacing w:val="-2"/>
          <w:sz w:val="20"/>
        </w:rPr>
        <w:t> </w:t>
      </w:r>
      <w:r>
        <w:rPr>
          <w:sz w:val="20"/>
        </w:rPr>
        <w:t>reinstating</w:t>
      </w:r>
      <w:r>
        <w:rPr>
          <w:spacing w:val="-2"/>
          <w:sz w:val="20"/>
        </w:rPr>
        <w:t> </w:t>
      </w:r>
      <w:r>
        <w:rPr>
          <w:sz w:val="20"/>
        </w:rPr>
        <w:t>property</w:t>
      </w:r>
      <w:r>
        <w:rPr>
          <w:spacing w:val="-2"/>
          <w:sz w:val="20"/>
        </w:rPr>
        <w:t> </w:t>
      </w:r>
      <w:r>
        <w:rPr>
          <w:sz w:val="20"/>
        </w:rPr>
        <w:t>that</w:t>
      </w:r>
      <w:r>
        <w:rPr>
          <w:spacing w:val="-2"/>
          <w:sz w:val="20"/>
        </w:rPr>
        <w:t> </w:t>
      </w:r>
      <w:r>
        <w:rPr>
          <w:sz w:val="20"/>
        </w:rPr>
        <w:t>has</w:t>
      </w:r>
      <w:r>
        <w:rPr>
          <w:spacing w:val="-2"/>
          <w:sz w:val="20"/>
        </w:rPr>
        <w:t> </w:t>
      </w:r>
      <w:r>
        <w:rPr>
          <w:sz w:val="20"/>
        </w:rPr>
        <w:t>been</w:t>
      </w:r>
      <w:r>
        <w:rPr>
          <w:spacing w:val="-2"/>
          <w:sz w:val="20"/>
        </w:rPr>
        <w:t> </w:t>
      </w:r>
      <w:r>
        <w:rPr>
          <w:sz w:val="20"/>
        </w:rPr>
        <w:t>damaged,</w:t>
      </w:r>
      <w:r>
        <w:rPr>
          <w:spacing w:val="-2"/>
          <w:sz w:val="20"/>
        </w:rPr>
        <w:t> </w:t>
      </w:r>
      <w:r>
        <w:rPr>
          <w:sz w:val="20"/>
        </w:rPr>
        <w:t>because</w:t>
      </w:r>
      <w:r>
        <w:rPr>
          <w:spacing w:val="-2"/>
          <w:sz w:val="20"/>
        </w:rPr>
        <w:t> </w:t>
      </w:r>
      <w:r>
        <w:rPr>
          <w:sz w:val="20"/>
        </w:rPr>
        <w:t>full</w:t>
      </w:r>
      <w:r>
        <w:rPr>
          <w:spacing w:val="-2"/>
          <w:sz w:val="20"/>
        </w:rPr>
        <w:t> </w:t>
      </w:r>
      <w:r>
        <w:rPr>
          <w:sz w:val="20"/>
        </w:rPr>
        <w:t>reinstatement</w:t>
      </w:r>
      <w:r>
        <w:rPr>
          <w:spacing w:val="-2"/>
          <w:sz w:val="20"/>
        </w:rPr>
        <w:t> </w:t>
      </w:r>
      <w:r>
        <w:rPr>
          <w:sz w:val="20"/>
        </w:rPr>
        <w:t>would</w:t>
      </w:r>
      <w:r>
        <w:rPr>
          <w:spacing w:val="-2"/>
          <w:sz w:val="20"/>
        </w:rPr>
        <w:t> </w:t>
      </w:r>
      <w:r>
        <w:rPr>
          <w:sz w:val="20"/>
        </w:rPr>
        <w:t>be unreasonable, the court may award “general damages” for loss of amenity to compensate for “an apparent deficit in compensation”: </w:t>
      </w:r>
      <w:r>
        <w:rPr>
          <w:rFonts w:ascii="Arial" w:hAnsi="Arial"/>
          <w:i/>
          <w:sz w:val="20"/>
        </w:rPr>
        <w:t>Arroyo v Equion Energia Ltd [2013] EWHC 3150 (TCC)</w:t>
      </w:r>
      <w:r>
        <w:rPr>
          <w:rFonts w:ascii="Arial" w:hAnsi="Arial"/>
          <w:i/>
          <w:spacing w:val="40"/>
          <w:sz w:val="20"/>
        </w:rPr>
        <w:t> </w:t>
      </w:r>
      <w:r>
        <w:rPr>
          <w:sz w:val="20"/>
        </w:rPr>
        <w:t>at [60]–[62]; but such general damages cannot be awarded in place of either diminution in the value of the property or the cost of reinstatement when these have not been claimed (at [63]), and nor can “</w:t>
      </w:r>
      <w:r>
        <w:rPr>
          <w:spacing w:val="-14"/>
          <w:sz w:val="20"/>
        </w:rPr>
        <w:t> </w:t>
      </w:r>
      <w:r>
        <w:rPr>
          <w:rFonts w:ascii="Arial" w:hAnsi="Arial"/>
          <w:i/>
          <w:sz w:val="20"/>
        </w:rPr>
        <w:t>Wrotham Par k</w:t>
      </w:r>
      <w:r>
        <w:rPr>
          <w:rFonts w:ascii="Arial" w:hAnsi="Arial"/>
          <w:i/>
          <w:spacing w:val="-14"/>
          <w:sz w:val="20"/>
        </w:rPr>
        <w:t> </w:t>
      </w:r>
      <w:r>
        <w:rPr>
          <w:sz w:val="20"/>
        </w:rPr>
        <w:t>” or “negotiation” damages (on which see para.26-051): </w:t>
      </w:r>
      <w:r>
        <w:rPr>
          <w:rFonts w:ascii="Arial" w:hAnsi="Arial"/>
          <w:i/>
          <w:sz w:val="20"/>
        </w:rPr>
        <w:t>[2013] EWHC 3150 (TCC) </w:t>
      </w:r>
      <w:r>
        <w:rPr>
          <w:sz w:val="20"/>
        </w:rPr>
        <w:t>at [67]. An example of general damages being used to compensate for an apparent deficit in compensation would seem to be the award of damages for loss of amenity in </w:t>
      </w:r>
      <w:r>
        <w:rPr>
          <w:rFonts w:ascii="Arial" w:hAnsi="Arial"/>
          <w:i/>
          <w:sz w:val="20"/>
        </w:rPr>
        <w:t>Ruxley Electronics and Construction Ltd v Forsyth [1996] A.C. 344</w:t>
      </w:r>
      <w:r>
        <w:rPr>
          <w:sz w:val="20"/>
        </w:rPr>
        <w:t>.</w:t>
      </w:r>
    </w:p>
    <w:p>
      <w:pPr>
        <w:pStyle w:val="BodyText"/>
        <w:spacing w:before="2"/>
      </w:pPr>
    </w:p>
    <w:p>
      <w:pPr>
        <w:spacing w:line="235" w:lineRule="auto" w:before="0"/>
        <w:ind w:left="705" w:right="167" w:hanging="541"/>
        <w:jc w:val="both"/>
        <w:rPr>
          <w:rFonts w:ascii="Arial"/>
          <w:i/>
          <w:sz w:val="20"/>
        </w:rPr>
      </w:pPr>
      <w:bookmarkStart w:name="_bookmark156" w:id="158"/>
      <w:bookmarkEnd w:id="158"/>
      <w:r>
        <w:rPr/>
      </w:r>
      <w:hyperlink w:history="true" w:anchor="_bookmark144">
        <w:r>
          <w:rPr>
            <w:color w:val="005DA1"/>
            <w:position w:val="5"/>
            <w:sz w:val="14"/>
            <w:u w:val="single" w:color="005DA1"/>
          </w:rPr>
          <w:t>81</w:t>
        </w:r>
      </w:hyperlink>
      <w:r>
        <w:rPr>
          <w:position w:val="5"/>
          <w:sz w:val="14"/>
        </w:rPr>
        <w:t>.</w:t>
      </w:r>
      <w:r>
        <w:rPr>
          <w:spacing w:val="80"/>
          <w:position w:val="5"/>
          <w:sz w:val="14"/>
        </w:rPr>
        <w:t>  </w:t>
      </w:r>
      <w:r>
        <w:rPr>
          <w:sz w:val="20"/>
        </w:rPr>
        <w:t>For</w:t>
      </w:r>
      <w:r>
        <w:rPr>
          <w:spacing w:val="40"/>
          <w:sz w:val="20"/>
        </w:rPr>
        <w:t> </w:t>
      </w:r>
      <w:r>
        <w:rPr>
          <w:sz w:val="20"/>
        </w:rPr>
        <w:t>other</w:t>
      </w:r>
      <w:r>
        <w:rPr>
          <w:spacing w:val="40"/>
          <w:sz w:val="20"/>
        </w:rPr>
        <w:t> </w:t>
      </w:r>
      <w:r>
        <w:rPr>
          <w:sz w:val="20"/>
        </w:rPr>
        <w:t>meanings,</w:t>
      </w:r>
      <w:r>
        <w:rPr>
          <w:spacing w:val="40"/>
          <w:sz w:val="20"/>
        </w:rPr>
        <w:t> </w:t>
      </w:r>
      <w:r>
        <w:rPr>
          <w:sz w:val="20"/>
        </w:rPr>
        <w:t>see</w:t>
      </w:r>
      <w:r>
        <w:rPr>
          <w:spacing w:val="40"/>
          <w:sz w:val="20"/>
        </w:rPr>
        <w:t> </w:t>
      </w:r>
      <w:r>
        <w:rPr>
          <w:sz w:val="20"/>
        </w:rPr>
        <w:t>Street</w:t>
      </w:r>
      <w:r>
        <w:rPr>
          <w:spacing w:val="40"/>
          <w:sz w:val="20"/>
        </w:rPr>
        <w:t> </w:t>
      </w:r>
      <w:r>
        <w:rPr>
          <w:sz w:val="20"/>
        </w:rPr>
        <w:t>at</w:t>
      </w:r>
      <w:r>
        <w:rPr>
          <w:spacing w:val="40"/>
          <w:sz w:val="20"/>
        </w:rPr>
        <w:t> </w:t>
      </w:r>
      <w:r>
        <w:rPr>
          <w:sz w:val="20"/>
        </w:rPr>
        <w:t>pp.18-22.</w:t>
      </w:r>
      <w:r>
        <w:rPr>
          <w:spacing w:val="40"/>
          <w:sz w:val="20"/>
        </w:rPr>
        <w:t> </w:t>
      </w:r>
      <w:r>
        <w:rPr>
          <w:sz w:val="20"/>
        </w:rPr>
        <w:t>One</w:t>
      </w:r>
      <w:r>
        <w:rPr>
          <w:spacing w:val="40"/>
          <w:sz w:val="20"/>
        </w:rPr>
        <w:t> </w:t>
      </w:r>
      <w:r>
        <w:rPr>
          <w:sz w:val="20"/>
        </w:rPr>
        <w:t>meaning</w:t>
      </w:r>
      <w:r>
        <w:rPr>
          <w:spacing w:val="40"/>
          <w:sz w:val="20"/>
        </w:rPr>
        <w:t> </w:t>
      </w:r>
      <w:r>
        <w:rPr>
          <w:sz w:val="20"/>
        </w:rPr>
        <w:t>which</w:t>
      </w:r>
      <w:r>
        <w:rPr>
          <w:spacing w:val="40"/>
          <w:sz w:val="20"/>
        </w:rPr>
        <w:t> </w:t>
      </w:r>
      <w:r>
        <w:rPr>
          <w:sz w:val="20"/>
        </w:rPr>
        <w:t>has</w:t>
      </w:r>
      <w:r>
        <w:rPr>
          <w:spacing w:val="40"/>
          <w:sz w:val="20"/>
        </w:rPr>
        <w:t> </w:t>
      </w:r>
      <w:r>
        <w:rPr>
          <w:sz w:val="20"/>
        </w:rPr>
        <w:t>been</w:t>
      </w:r>
      <w:r>
        <w:rPr>
          <w:spacing w:val="40"/>
          <w:sz w:val="20"/>
        </w:rPr>
        <w:t> </w:t>
      </w:r>
      <w:r>
        <w:rPr>
          <w:sz w:val="20"/>
        </w:rPr>
        <w:t>used</w:t>
      </w:r>
      <w:r>
        <w:rPr>
          <w:spacing w:val="40"/>
          <w:sz w:val="20"/>
        </w:rPr>
        <w:t> </w:t>
      </w:r>
      <w:r>
        <w:rPr>
          <w:sz w:val="20"/>
        </w:rPr>
        <w:t>is</w:t>
      </w:r>
      <w:r>
        <w:rPr>
          <w:spacing w:val="40"/>
          <w:sz w:val="20"/>
        </w:rPr>
        <w:t> </w:t>
      </w:r>
      <w:r>
        <w:rPr>
          <w:sz w:val="20"/>
        </w:rPr>
        <w:t>the reference to damages under the second rule in </w:t>
      </w:r>
      <w:r>
        <w:rPr>
          <w:rFonts w:ascii="Arial"/>
          <w:i/>
          <w:sz w:val="20"/>
        </w:rPr>
        <w:t>Hadley v Baxendale (1854) 9 Ex. 341 </w:t>
      </w:r>
      <w:r>
        <w:rPr>
          <w:sz w:val="20"/>
        </w:rPr>
        <w:t>(below, paras</w:t>
      </w:r>
      <w:r>
        <w:rPr>
          <w:spacing w:val="22"/>
          <w:sz w:val="20"/>
        </w:rPr>
        <w:t> </w:t>
      </w:r>
      <w:r>
        <w:rPr>
          <w:sz w:val="20"/>
        </w:rPr>
        <w:t>26-109</w:t>
      </w:r>
      <w:r>
        <w:rPr>
          <w:spacing w:val="24"/>
          <w:sz w:val="20"/>
        </w:rPr>
        <w:t> </w:t>
      </w:r>
      <w:r>
        <w:rPr>
          <w:sz w:val="20"/>
        </w:rPr>
        <w:t>et</w:t>
      </w:r>
      <w:r>
        <w:rPr>
          <w:spacing w:val="24"/>
          <w:sz w:val="20"/>
        </w:rPr>
        <w:t> </w:t>
      </w:r>
      <w:r>
        <w:rPr>
          <w:sz w:val="20"/>
        </w:rPr>
        <w:t>seq.):</w:t>
      </w:r>
      <w:r>
        <w:rPr>
          <w:spacing w:val="24"/>
          <w:sz w:val="20"/>
        </w:rPr>
        <w:t> </w:t>
      </w:r>
      <w:r>
        <w:rPr>
          <w:sz w:val="20"/>
        </w:rPr>
        <w:t>see</w:t>
      </w:r>
      <w:r>
        <w:rPr>
          <w:spacing w:val="24"/>
          <w:sz w:val="20"/>
        </w:rPr>
        <w:t> </w:t>
      </w:r>
      <w:r>
        <w:rPr>
          <w:rFonts w:ascii="Arial"/>
          <w:i/>
          <w:sz w:val="20"/>
        </w:rPr>
        <w:t>President</w:t>
      </w:r>
      <w:r>
        <w:rPr>
          <w:rFonts w:ascii="Arial"/>
          <w:i/>
          <w:spacing w:val="24"/>
          <w:sz w:val="20"/>
        </w:rPr>
        <w:t> </w:t>
      </w:r>
      <w:r>
        <w:rPr>
          <w:rFonts w:ascii="Arial"/>
          <w:i/>
          <w:sz w:val="20"/>
        </w:rPr>
        <w:t>of</w:t>
      </w:r>
      <w:r>
        <w:rPr>
          <w:rFonts w:ascii="Arial"/>
          <w:i/>
          <w:spacing w:val="24"/>
          <w:sz w:val="20"/>
        </w:rPr>
        <w:t> </w:t>
      </w:r>
      <w:r>
        <w:rPr>
          <w:rFonts w:ascii="Arial"/>
          <w:i/>
          <w:sz w:val="20"/>
        </w:rPr>
        <w:t>India</w:t>
      </w:r>
      <w:r>
        <w:rPr>
          <w:rFonts w:ascii="Arial"/>
          <w:i/>
          <w:spacing w:val="24"/>
          <w:sz w:val="20"/>
        </w:rPr>
        <w:t> </w:t>
      </w:r>
      <w:r>
        <w:rPr>
          <w:rFonts w:ascii="Arial"/>
          <w:i/>
          <w:sz w:val="20"/>
        </w:rPr>
        <w:t>v</w:t>
      </w:r>
      <w:r>
        <w:rPr>
          <w:rFonts w:ascii="Arial"/>
          <w:i/>
          <w:spacing w:val="24"/>
          <w:sz w:val="20"/>
        </w:rPr>
        <w:t> </w:t>
      </w:r>
      <w:r>
        <w:rPr>
          <w:rFonts w:ascii="Arial"/>
          <w:i/>
          <w:sz w:val="20"/>
        </w:rPr>
        <w:t>La</w:t>
      </w:r>
      <w:r>
        <w:rPr>
          <w:rFonts w:ascii="Arial"/>
          <w:i/>
          <w:spacing w:val="24"/>
          <w:sz w:val="20"/>
        </w:rPr>
        <w:t> </w:t>
      </w:r>
      <w:r>
        <w:rPr>
          <w:rFonts w:ascii="Arial"/>
          <w:i/>
          <w:sz w:val="20"/>
        </w:rPr>
        <w:t>Pintada</w:t>
      </w:r>
      <w:r>
        <w:rPr>
          <w:rFonts w:ascii="Arial"/>
          <w:i/>
          <w:spacing w:val="24"/>
          <w:sz w:val="20"/>
        </w:rPr>
        <w:t> </w:t>
      </w:r>
      <w:r>
        <w:rPr>
          <w:rFonts w:ascii="Arial"/>
          <w:i/>
          <w:sz w:val="20"/>
        </w:rPr>
        <w:t>Compania</w:t>
      </w:r>
      <w:r>
        <w:rPr>
          <w:rFonts w:ascii="Arial"/>
          <w:i/>
          <w:spacing w:val="24"/>
          <w:sz w:val="20"/>
        </w:rPr>
        <w:t> </w:t>
      </w:r>
      <w:r>
        <w:rPr>
          <w:rFonts w:ascii="Arial"/>
          <w:i/>
          <w:sz w:val="20"/>
        </w:rPr>
        <w:t>Navegacion</w:t>
      </w:r>
      <w:r>
        <w:rPr>
          <w:rFonts w:ascii="Arial"/>
          <w:i/>
          <w:spacing w:val="24"/>
          <w:sz w:val="20"/>
        </w:rPr>
        <w:t> </w:t>
      </w:r>
      <w:r>
        <w:rPr>
          <w:rFonts w:ascii="Arial"/>
          <w:i/>
          <w:sz w:val="20"/>
        </w:rPr>
        <w:t>SA</w:t>
      </w:r>
      <w:r>
        <w:rPr>
          <w:rFonts w:ascii="Arial"/>
          <w:i/>
          <w:spacing w:val="24"/>
          <w:sz w:val="20"/>
        </w:rPr>
        <w:t> </w:t>
      </w:r>
      <w:r>
        <w:rPr>
          <w:rFonts w:ascii="Arial"/>
          <w:i/>
          <w:spacing w:val="-2"/>
          <w:sz w:val="20"/>
        </w:rPr>
        <w:t>[1985]</w:t>
      </w:r>
    </w:p>
    <w:p>
      <w:pPr>
        <w:spacing w:line="225" w:lineRule="exact" w:before="0"/>
        <w:ind w:left="705" w:right="0" w:firstLine="0"/>
        <w:jc w:val="left"/>
        <w:rPr>
          <w:sz w:val="20"/>
        </w:rPr>
      </w:pPr>
      <w:r>
        <w:rPr>
          <w:rFonts w:ascii="Arial" w:hAnsi="Arial"/>
          <w:i/>
          <w:sz w:val="20"/>
        </w:rPr>
        <w:t>A.C. 104, </w:t>
      </w:r>
      <w:r>
        <w:rPr>
          <w:rFonts w:ascii="Arial" w:hAnsi="Arial"/>
          <w:i/>
          <w:spacing w:val="-2"/>
          <w:sz w:val="20"/>
        </w:rPr>
        <w:t>125–127</w:t>
      </w:r>
      <w:r>
        <w:rPr>
          <w:spacing w:val="-2"/>
          <w:sz w:val="20"/>
        </w:rPr>
        <w:t>.</w:t>
      </w:r>
    </w:p>
    <w:p>
      <w:pPr>
        <w:pStyle w:val="BodyText"/>
        <w:spacing w:before="9"/>
      </w:pPr>
    </w:p>
    <w:p>
      <w:pPr>
        <w:spacing w:line="235" w:lineRule="auto" w:before="0"/>
        <w:ind w:left="705" w:right="167" w:hanging="541"/>
        <w:jc w:val="both"/>
        <w:rPr>
          <w:rFonts w:ascii="Arial"/>
          <w:i/>
          <w:sz w:val="20"/>
        </w:rPr>
      </w:pPr>
      <w:bookmarkStart w:name="_bookmark157" w:id="159"/>
      <w:bookmarkEnd w:id="159"/>
      <w:r>
        <w:rPr/>
      </w:r>
      <w:hyperlink w:history="true" w:anchor="_bookmark145">
        <w:r>
          <w:rPr>
            <w:color w:val="005DA1"/>
            <w:position w:val="5"/>
            <w:sz w:val="14"/>
            <w:u w:val="single" w:color="005DA1"/>
          </w:rPr>
          <w:t>82</w:t>
        </w:r>
      </w:hyperlink>
      <w:r>
        <w:rPr>
          <w:position w:val="5"/>
          <w:sz w:val="14"/>
        </w:rPr>
        <w:t>.</w:t>
      </w:r>
      <w:r>
        <w:rPr>
          <w:spacing w:val="73"/>
          <w:position w:val="5"/>
          <w:sz w:val="14"/>
        </w:rPr>
        <w:t>   </w:t>
      </w:r>
      <w:r>
        <w:rPr>
          <w:rFonts w:ascii="Arial"/>
          <w:i/>
          <w:sz w:val="20"/>
        </w:rPr>
        <w:t>Hayward v Pullinger and Partners Ltd [1950] 1 All E.R. 581</w:t>
      </w:r>
      <w:r>
        <w:rPr>
          <w:sz w:val="20"/>
        </w:rPr>
        <w:t>; </w:t>
      </w:r>
      <w:r>
        <w:rPr>
          <w:rFonts w:ascii="Arial"/>
          <w:i/>
          <w:sz w:val="20"/>
        </w:rPr>
        <w:t>Anglo-Cyprian Trade Agencies Ltd</w:t>
      </w:r>
      <w:r>
        <w:rPr>
          <w:rFonts w:ascii="Arial"/>
          <w:i/>
          <w:spacing w:val="40"/>
          <w:sz w:val="20"/>
        </w:rPr>
        <w:t> </w:t>
      </w:r>
      <w:r>
        <w:rPr>
          <w:rFonts w:ascii="Arial"/>
          <w:i/>
          <w:sz w:val="20"/>
        </w:rPr>
        <w:t>v Paphos Wine Industries Ltd [1951] 1 All E.R. 873</w:t>
      </w:r>
      <w:r>
        <w:rPr>
          <w:sz w:val="20"/>
        </w:rPr>
        <w:t>. See also </w:t>
      </w:r>
      <w:r>
        <w:rPr>
          <w:rFonts w:ascii="Arial"/>
          <w:i/>
          <w:sz w:val="20"/>
        </w:rPr>
        <w:t>The Susquehanna [1926] </w:t>
      </w:r>
      <w:r>
        <w:rPr>
          <w:rFonts w:ascii="Arial"/>
          <w:i/>
          <w:sz w:val="20"/>
        </w:rPr>
        <w:t>A.C. 655, 661</w:t>
      </w:r>
      <w:r>
        <w:rPr>
          <w:sz w:val="20"/>
        </w:rPr>
        <w:t>; </w:t>
      </w:r>
      <w:r>
        <w:rPr>
          <w:rFonts w:ascii="Arial"/>
          <w:i/>
          <w:sz w:val="20"/>
        </w:rPr>
        <w:t>National Broach and Machine Co v Churchill Gear Machines Ltd [1965] 1 W.L.R.</w:t>
      </w:r>
      <w:r>
        <w:rPr>
          <w:rFonts w:ascii="Arial"/>
          <w:i/>
          <w:spacing w:val="40"/>
          <w:sz w:val="20"/>
        </w:rPr>
        <w:t> </w:t>
      </w:r>
      <w:r>
        <w:rPr>
          <w:rFonts w:ascii="Arial"/>
          <w:i/>
          <w:sz w:val="20"/>
        </w:rPr>
        <w:t>1199</w:t>
      </w:r>
      <w:r>
        <w:rPr>
          <w:rFonts w:ascii="Arial"/>
          <w:i/>
          <w:spacing w:val="7"/>
          <w:sz w:val="20"/>
        </w:rPr>
        <w:t> </w:t>
      </w:r>
      <w:r>
        <w:rPr>
          <w:sz w:val="20"/>
        </w:rPr>
        <w:t>(this</w:t>
      </w:r>
      <w:r>
        <w:rPr>
          <w:spacing w:val="7"/>
          <w:sz w:val="20"/>
        </w:rPr>
        <w:t> </w:t>
      </w:r>
      <w:r>
        <w:rPr>
          <w:sz w:val="20"/>
        </w:rPr>
        <w:t>decision</w:t>
      </w:r>
      <w:r>
        <w:rPr>
          <w:spacing w:val="7"/>
          <w:sz w:val="20"/>
        </w:rPr>
        <w:t> </w:t>
      </w:r>
      <w:r>
        <w:rPr>
          <w:sz w:val="20"/>
        </w:rPr>
        <w:t>was</w:t>
      </w:r>
      <w:r>
        <w:rPr>
          <w:spacing w:val="7"/>
          <w:sz w:val="20"/>
        </w:rPr>
        <w:t> </w:t>
      </w:r>
      <w:r>
        <w:rPr>
          <w:sz w:val="20"/>
        </w:rPr>
        <w:t>accepted</w:t>
      </w:r>
      <w:r>
        <w:rPr>
          <w:spacing w:val="7"/>
          <w:sz w:val="20"/>
        </w:rPr>
        <w:t> </w:t>
      </w:r>
      <w:r>
        <w:rPr>
          <w:sz w:val="20"/>
        </w:rPr>
        <w:t>by</w:t>
      </w:r>
      <w:r>
        <w:rPr>
          <w:spacing w:val="7"/>
          <w:sz w:val="20"/>
        </w:rPr>
        <w:t> </w:t>
      </w:r>
      <w:r>
        <w:rPr>
          <w:sz w:val="20"/>
        </w:rPr>
        <w:t>the</w:t>
      </w:r>
      <w:r>
        <w:rPr>
          <w:spacing w:val="7"/>
          <w:sz w:val="20"/>
        </w:rPr>
        <w:t> </w:t>
      </w:r>
      <w:r>
        <w:rPr>
          <w:sz w:val="20"/>
        </w:rPr>
        <w:t>appellants</w:t>
      </w:r>
      <w:r>
        <w:rPr>
          <w:spacing w:val="7"/>
          <w:sz w:val="20"/>
        </w:rPr>
        <w:t> </w:t>
      </w:r>
      <w:r>
        <w:rPr>
          <w:sz w:val="20"/>
        </w:rPr>
        <w:t>in</w:t>
      </w:r>
      <w:r>
        <w:rPr>
          <w:spacing w:val="7"/>
          <w:sz w:val="20"/>
        </w:rPr>
        <w:t> </w:t>
      </w:r>
      <w:r>
        <w:rPr>
          <w:sz w:val="20"/>
        </w:rPr>
        <w:t>the</w:t>
      </w:r>
      <w:r>
        <w:rPr>
          <w:spacing w:val="7"/>
          <w:sz w:val="20"/>
        </w:rPr>
        <w:t> </w:t>
      </w:r>
      <w:r>
        <w:rPr>
          <w:sz w:val="20"/>
        </w:rPr>
        <w:t>House</w:t>
      </w:r>
      <w:r>
        <w:rPr>
          <w:spacing w:val="7"/>
          <w:sz w:val="20"/>
        </w:rPr>
        <w:t> </w:t>
      </w:r>
      <w:r>
        <w:rPr>
          <w:sz w:val="20"/>
        </w:rPr>
        <w:t>of</w:t>
      </w:r>
      <w:r>
        <w:rPr>
          <w:spacing w:val="7"/>
          <w:sz w:val="20"/>
        </w:rPr>
        <w:t> </w:t>
      </w:r>
      <w:r>
        <w:rPr>
          <w:sz w:val="20"/>
        </w:rPr>
        <w:t>Lords:</w:t>
      </w:r>
      <w:r>
        <w:rPr>
          <w:spacing w:val="6"/>
          <w:sz w:val="20"/>
        </w:rPr>
        <w:t> </w:t>
      </w:r>
      <w:r>
        <w:rPr>
          <w:rFonts w:ascii="Arial"/>
          <w:i/>
          <w:sz w:val="20"/>
        </w:rPr>
        <w:t>[1967]</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pacing w:val="-5"/>
          <w:sz w:val="20"/>
        </w:rPr>
        <w:t>384</w:t>
      </w:r>
    </w:p>
    <w:p>
      <w:pPr>
        <w:spacing w:line="225" w:lineRule="exact" w:before="0"/>
        <w:ind w:left="705" w:right="0" w:firstLine="0"/>
        <w:jc w:val="left"/>
        <w:rPr>
          <w:sz w:val="20"/>
        </w:rPr>
      </w:pP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8" w:id="160"/>
      <w:bookmarkEnd w:id="160"/>
      <w:r>
        <w:rPr/>
      </w:r>
      <w:hyperlink w:history="true" w:anchor="_bookmark146">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Hayward</w:t>
      </w:r>
      <w:r>
        <w:rPr>
          <w:rFonts w:ascii="Arial"/>
          <w:i/>
          <w:spacing w:val="-1"/>
          <w:sz w:val="20"/>
        </w:rPr>
        <w:t> </w:t>
      </w:r>
      <w:r>
        <w:rPr>
          <w:rFonts w:ascii="Arial"/>
          <w:i/>
          <w:sz w:val="20"/>
        </w:rPr>
        <w:t>v Pullinger and Partners Ltd [1950] 1 All E.R. 581</w:t>
      </w:r>
      <w:r>
        <w:rPr>
          <w:sz w:val="20"/>
        </w:rPr>
        <w:t>. See Vol.II, para.40-</w:t>
      </w:r>
      <w:r>
        <w:rPr>
          <w:spacing w:val="-4"/>
          <w:sz w:val="20"/>
        </w:rPr>
        <w:t>201.</w:t>
      </w:r>
    </w:p>
    <w:p>
      <w:pPr>
        <w:pStyle w:val="BodyText"/>
        <w:spacing w:before="5"/>
      </w:pPr>
    </w:p>
    <w:p>
      <w:pPr>
        <w:tabs>
          <w:tab w:pos="705" w:val="left" w:leader="none"/>
        </w:tabs>
        <w:spacing w:before="0"/>
        <w:ind w:left="165" w:right="0" w:firstLine="0"/>
        <w:jc w:val="left"/>
        <w:rPr>
          <w:sz w:val="20"/>
        </w:rPr>
      </w:pPr>
      <w:bookmarkStart w:name="_bookmark159" w:id="161"/>
      <w:bookmarkEnd w:id="161"/>
      <w:r>
        <w:rPr/>
      </w:r>
      <w:hyperlink w:history="true" w:anchor="_bookmark147">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Perestrello e Companhia Limitada v United Paint Co Ltd [1969] 1 W.L.R. </w:t>
      </w:r>
      <w:r>
        <w:rPr>
          <w:rFonts w:ascii="Arial"/>
          <w:i/>
          <w:spacing w:val="-4"/>
          <w:sz w:val="20"/>
        </w:rPr>
        <w:t>570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0" w:id="162"/>
      <w:bookmarkEnd w:id="162"/>
      <w:r>
        <w:rPr/>
      </w:r>
      <w:hyperlink w:history="true" w:anchor="_bookmark148">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Perestrello e Companhia Limitada v United Paint Co Ltd [1969] 1 W.L.R. </w:t>
      </w:r>
      <w:r>
        <w:rPr>
          <w:rFonts w:ascii="Arial"/>
          <w:i/>
          <w:spacing w:val="-4"/>
          <w:sz w:val="20"/>
        </w:rPr>
        <w:t>570</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1"/>
        </w:numPr>
        <w:tabs>
          <w:tab w:pos="2298" w:val="left" w:leader="none"/>
        </w:tabs>
        <w:spacing w:line="240" w:lineRule="auto" w:before="194" w:after="0"/>
        <w:ind w:left="2298" w:right="0" w:hanging="360"/>
        <w:jc w:val="left"/>
        <w:rPr>
          <w:b/>
          <w:sz w:val="24"/>
        </w:rPr>
      </w:pPr>
      <w:r>
        <w:rPr>
          <w:b/>
          <w:sz w:val="24"/>
        </w:rPr>
        <w:t>- Prospective Loss and Continuing </w:t>
      </w:r>
      <w:r>
        <w:rPr>
          <w:b/>
          <w:spacing w:val="-2"/>
          <w:sz w:val="24"/>
        </w:rPr>
        <w:t>Breaches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61" w:id="163"/>
      <w:bookmarkEnd w:id="163"/>
      <w:r>
        <w:rPr/>
      </w:r>
      <w:r>
        <w:rPr>
          <w:rFonts w:ascii="Arial"/>
          <w:b/>
          <w:sz w:val="18"/>
        </w:rPr>
        <w:t>Prospective loss</w:t>
      </w:r>
      <w:r>
        <w:rPr>
          <w:rFonts w:ascii="Arial"/>
          <w:b/>
          <w:spacing w:val="-1"/>
          <w:sz w:val="18"/>
        </w:rPr>
        <w:t> </w:t>
      </w:r>
      <w:r>
        <w:rPr>
          <w:rFonts w:ascii="Arial"/>
          <w:b/>
          <w:color w:val="005DA1"/>
          <w:spacing w:val="-5"/>
          <w:sz w:val="18"/>
          <w:u w:val="single" w:color="005DA1"/>
          <w:vertAlign w:val="superscript"/>
        </w:rPr>
        <w:t>86</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011</w:t>
      </w:r>
    </w:p>
    <w:p>
      <w:pPr>
        <w:pStyle w:val="BodyText"/>
        <w:spacing w:line="235" w:lineRule="auto" w:before="202"/>
        <w:ind w:left="164" w:right="167"/>
        <w:jc w:val="both"/>
      </w:pPr>
      <w:bookmarkStart w:name="_bookmark162" w:id="164"/>
      <w:bookmarkEnd w:id="164"/>
      <w:r>
        <w:rPr/>
      </w:r>
      <w:r>
        <w:rPr/>
        <w:t>The general rule, in contract as well as in tort, is that damages for all prospective loss flowing from a single</w:t>
      </w:r>
      <w:r>
        <w:rPr>
          <w:spacing w:val="-3"/>
        </w:rPr>
        <w:t> </w:t>
      </w:r>
      <w:r>
        <w:rPr/>
        <w:t>cause</w:t>
      </w:r>
      <w:r>
        <w:rPr>
          <w:spacing w:val="-3"/>
        </w:rPr>
        <w:t> </w:t>
      </w:r>
      <w:r>
        <w:rPr/>
        <w:t>of</w:t>
      </w:r>
      <w:r>
        <w:rPr>
          <w:spacing w:val="-3"/>
        </w:rPr>
        <w:t> </w:t>
      </w:r>
      <w:r>
        <w:rPr/>
        <w:t>action</w:t>
      </w:r>
      <w:r>
        <w:rPr>
          <w:spacing w:val="-3"/>
        </w:rPr>
        <w:t> </w:t>
      </w:r>
      <w:r>
        <w:rPr/>
        <w:t>must</w:t>
      </w:r>
      <w:r>
        <w:rPr>
          <w:spacing w:val="-3"/>
        </w:rPr>
        <w:t> </w:t>
      </w:r>
      <w:r>
        <w:rPr/>
        <w:t>be</w:t>
      </w:r>
      <w:r>
        <w:rPr>
          <w:spacing w:val="-3"/>
        </w:rPr>
        <w:t> </w:t>
      </w:r>
      <w:r>
        <w:rPr/>
        <w:t>recovered</w:t>
      </w:r>
      <w:r>
        <w:rPr>
          <w:spacing w:val="-3"/>
        </w:rPr>
        <w:t> </w:t>
      </w:r>
      <w:r>
        <w:rPr/>
        <w:t>once</w:t>
      </w:r>
      <w:r>
        <w:rPr>
          <w:spacing w:val="-3"/>
        </w:rPr>
        <w:t> </w:t>
      </w:r>
      <w:r>
        <w:rPr/>
        <w:t>and</w:t>
      </w:r>
      <w:r>
        <w:rPr>
          <w:spacing w:val="-3"/>
        </w:rPr>
        <w:t> </w:t>
      </w:r>
      <w:r>
        <w:rPr/>
        <w:t>for</w:t>
      </w:r>
      <w:r>
        <w:rPr>
          <w:spacing w:val="-3"/>
        </w:rPr>
        <w:t> </w:t>
      </w:r>
      <w:r>
        <w:rPr/>
        <w:t>all</w:t>
      </w:r>
      <w:r>
        <w:rPr>
          <w:spacing w:val="-3"/>
        </w:rPr>
        <w:t> </w:t>
      </w:r>
      <w:r>
        <w:rPr/>
        <w:t>in</w:t>
      </w:r>
      <w:r>
        <w:rPr>
          <w:spacing w:val="-3"/>
        </w:rPr>
        <w:t> </w:t>
      </w:r>
      <w:r>
        <w:rPr/>
        <w:t>one</w:t>
      </w:r>
      <w:r>
        <w:rPr>
          <w:spacing w:val="-3"/>
        </w:rPr>
        <w:t> </w:t>
      </w:r>
      <w:r>
        <w:rPr/>
        <w:t>action</w:t>
      </w:r>
      <w:r>
        <w:rPr>
          <w:spacing w:val="-3"/>
        </w:rPr>
        <w:t> </w:t>
      </w:r>
      <w:r>
        <w:rPr>
          <w:color w:val="005DA1"/>
          <w:u w:val="single" w:color="005DA1"/>
          <w:vertAlign w:val="superscript"/>
        </w:rPr>
        <w:t>87</w:t>
      </w:r>
      <w:r>
        <w:rPr>
          <w:vertAlign w:val="baseline"/>
        </w:rPr>
        <w:t>:</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cannot</w:t>
      </w:r>
      <w:r>
        <w:rPr>
          <w:spacing w:val="-3"/>
          <w:vertAlign w:val="baseline"/>
        </w:rPr>
        <w:t> </w:t>
      </w:r>
      <w:r>
        <w:rPr>
          <w:vertAlign w:val="baseline"/>
        </w:rPr>
        <w:t>recover </w:t>
      </w:r>
      <w:bookmarkStart w:name="_bookmark163" w:id="165"/>
      <w:bookmarkEnd w:id="165"/>
      <w:r>
        <w:rPr>
          <w:vertAlign w:val="baseline"/>
        </w:rPr>
        <w:t>damages</w:t>
      </w:r>
      <w:r>
        <w:rPr>
          <w:vertAlign w:val="baseline"/>
        </w:rPr>
        <w:t> for one part of his loss in one action, and then recover further damages for another part of his loss in a subsequent action. </w:t>
      </w:r>
      <w:r>
        <w:rPr>
          <w:color w:val="005DA1"/>
          <w:u w:val="single" w:color="005DA1"/>
          <w:vertAlign w:val="superscript"/>
        </w:rPr>
        <w:t>88</w:t>
      </w:r>
      <w:r>
        <w:rPr>
          <w:color w:val="005DA1"/>
          <w:vertAlign w:val="baseline"/>
        </w:rPr>
        <w:t> </w:t>
      </w:r>
      <w:r>
        <w:rPr>
          <w:vertAlign w:val="baseline"/>
        </w:rPr>
        <w:t>Hence the claimant should claim at the same time damages for all his loss resulting or likely to result from the defendant’s breach of contract, whether the loss is past or </w:t>
      </w:r>
      <w:bookmarkStart w:name="_bookmark164" w:id="166"/>
      <w:bookmarkEnd w:id="166"/>
      <w:r>
        <w:rPr>
          <w:vertAlign w:val="baseline"/>
        </w:rPr>
        <w:t>is</w:t>
      </w:r>
      <w:r>
        <w:rPr>
          <w:vertAlign w:val="baseline"/>
        </w:rPr>
        <w:t> reasonably anticipated in the future. Damages for prospective loss should take into account the </w:t>
      </w:r>
      <w:bookmarkStart w:name="_bookmark165" w:id="167"/>
      <w:bookmarkEnd w:id="167"/>
      <w:r>
        <w:rPr>
          <w:vertAlign w:val="baseline"/>
        </w:rPr>
        <w:t>contingencies</w:t>
      </w:r>
      <w:r>
        <w:rPr>
          <w:vertAlign w:val="baseline"/>
        </w:rPr>
        <w:t> of life and other uncertainties affecting the future. </w:t>
      </w:r>
      <w:r>
        <w:rPr>
          <w:color w:val="005DA1"/>
          <w:u w:val="single" w:color="005DA1"/>
          <w:vertAlign w:val="superscript"/>
        </w:rPr>
        <w:t>89</w:t>
      </w:r>
      <w:r>
        <w:rPr>
          <w:color w:val="005DA1"/>
          <w:vertAlign w:val="baseline"/>
        </w:rPr>
        <w:t> </w:t>
      </w:r>
      <w:r>
        <w:rPr>
          <w:vertAlign w:val="baseline"/>
        </w:rPr>
        <w:t>The court may, however, defer </w:t>
      </w:r>
      <w:r>
        <w:rPr>
          <w:vertAlign w:val="baseline"/>
        </w:rPr>
        <w:t>the assessment of damages for future losses which are very uncertain. </w:t>
      </w:r>
      <w:r>
        <w:rPr>
          <w:color w:val="005DA1"/>
          <w:u w:val="single" w:color="005DA1"/>
          <w:vertAlign w:val="superscript"/>
        </w:rPr>
        <w:t>90</w:t>
      </w:r>
    </w:p>
    <w:p>
      <w:pPr>
        <w:pStyle w:val="BodyText"/>
      </w:pPr>
    </w:p>
    <w:p>
      <w:pPr>
        <w:pStyle w:val="BodyText"/>
        <w:spacing w:before="36"/>
      </w:pPr>
    </w:p>
    <w:p>
      <w:pPr>
        <w:spacing w:before="0"/>
        <w:ind w:left="165" w:right="0" w:firstLine="0"/>
        <w:jc w:val="both"/>
        <w:rPr>
          <w:rFonts w:ascii="Arial"/>
          <w:b/>
          <w:sz w:val="18"/>
        </w:rPr>
      </w:pPr>
      <w:r>
        <w:rPr>
          <w:rFonts w:ascii="Arial"/>
          <w:b/>
          <w:sz w:val="18"/>
        </w:rPr>
        <w:t>Separate </w:t>
      </w:r>
      <w:r>
        <w:rPr>
          <w:rFonts w:ascii="Arial"/>
          <w:b/>
          <w:spacing w:val="-2"/>
          <w:sz w:val="18"/>
        </w:rPr>
        <w:t>breaches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012</w:t>
      </w:r>
    </w:p>
    <w:p>
      <w:pPr>
        <w:pStyle w:val="BodyText"/>
        <w:spacing w:line="235" w:lineRule="auto" w:before="203"/>
        <w:ind w:left="165" w:right="167"/>
        <w:jc w:val="both"/>
      </w:pPr>
      <w:bookmarkStart w:name="_bookmark166" w:id="168"/>
      <w:bookmarkEnd w:id="168"/>
      <w:r>
        <w:rPr/>
      </w:r>
      <w:r>
        <w:rPr/>
        <w:t>There may be separate breaches of different promises in the same contract, giving rise to separate causes</w:t>
      </w:r>
      <w:r>
        <w:rPr>
          <w:spacing w:val="-3"/>
        </w:rPr>
        <w:t> </w:t>
      </w:r>
      <w:r>
        <w:rPr/>
        <w:t>of</w:t>
      </w:r>
      <w:r>
        <w:rPr>
          <w:spacing w:val="-3"/>
        </w:rPr>
        <w:t> </w:t>
      </w:r>
      <w:r>
        <w:rPr/>
        <w:t>action,</w:t>
      </w:r>
      <w:r>
        <w:rPr>
          <w:spacing w:val="-3"/>
        </w:rPr>
        <w:t> </w:t>
      </w:r>
      <w:r>
        <w:rPr/>
        <w:t>as</w:t>
      </w:r>
      <w:r>
        <w:rPr>
          <w:spacing w:val="-3"/>
        </w:rPr>
        <w:t> </w:t>
      </w:r>
      <w:r>
        <w:rPr/>
        <w:t>where</w:t>
      </w:r>
      <w:r>
        <w:rPr>
          <w:spacing w:val="-3"/>
        </w:rPr>
        <w:t> </w:t>
      </w:r>
      <w:r>
        <w:rPr/>
        <w:t>there</w:t>
      </w:r>
      <w:r>
        <w:rPr>
          <w:spacing w:val="-3"/>
        </w:rPr>
        <w:t> </w:t>
      </w:r>
      <w:r>
        <w:rPr/>
        <w:t>are</w:t>
      </w:r>
      <w:r>
        <w:rPr>
          <w:spacing w:val="-3"/>
        </w:rPr>
        <w:t> </w:t>
      </w:r>
      <w:r>
        <w:rPr/>
        <w:t>successive</w:t>
      </w:r>
      <w:r>
        <w:rPr>
          <w:spacing w:val="-3"/>
        </w:rPr>
        <w:t> </w:t>
      </w:r>
      <w:r>
        <w:rPr/>
        <w:t>breaches</w:t>
      </w:r>
      <w:r>
        <w:rPr>
          <w:spacing w:val="-3"/>
        </w:rPr>
        <w:t> </w:t>
      </w:r>
      <w:r>
        <w:rPr/>
        <w:t>of</w:t>
      </w:r>
      <w:r>
        <w:rPr>
          <w:spacing w:val="-3"/>
        </w:rPr>
        <w:t> </w:t>
      </w:r>
      <w:r>
        <w:rPr/>
        <w:t>an</w:t>
      </w:r>
      <w:r>
        <w:rPr>
          <w:spacing w:val="-3"/>
        </w:rPr>
        <w:t> </w:t>
      </w:r>
      <w:r>
        <w:rPr/>
        <w:t>instalment</w:t>
      </w:r>
      <w:r>
        <w:rPr>
          <w:spacing w:val="-3"/>
        </w:rPr>
        <w:t> </w:t>
      </w:r>
      <w:r>
        <w:rPr/>
        <w:t>contract</w:t>
      </w:r>
      <w:r>
        <w:rPr>
          <w:spacing w:val="-4"/>
        </w:rPr>
        <w:t> </w:t>
      </w:r>
      <w:r>
        <w:rPr>
          <w:color w:val="005DA1"/>
          <w:u w:val="single" w:color="005DA1"/>
          <w:vertAlign w:val="superscript"/>
        </w:rPr>
        <w:t>91</w:t>
      </w:r>
      <w:r>
        <w:rPr>
          <w:vertAlign w:val="baseline"/>
        </w:rPr>
        <w:t>;</w:t>
      </w:r>
      <w:r>
        <w:rPr>
          <w:spacing w:val="-3"/>
          <w:vertAlign w:val="baseline"/>
        </w:rPr>
        <w:t> </w:t>
      </w:r>
      <w:r>
        <w:rPr>
          <w:vertAlign w:val="baseline"/>
        </w:rPr>
        <w:t>in</w:t>
      </w:r>
      <w:r>
        <w:rPr>
          <w:spacing w:val="-3"/>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case, damages may be awarded for the separate breaches in separate actions.</w:t>
      </w:r>
    </w:p>
    <w:p>
      <w:pPr>
        <w:pStyle w:val="BodyText"/>
      </w:pPr>
    </w:p>
    <w:p>
      <w:pPr>
        <w:pStyle w:val="BodyText"/>
        <w:spacing w:before="37"/>
      </w:pPr>
    </w:p>
    <w:p>
      <w:pPr>
        <w:spacing w:before="0"/>
        <w:ind w:left="165" w:right="0" w:firstLine="0"/>
        <w:jc w:val="both"/>
        <w:rPr>
          <w:rFonts w:ascii="Arial"/>
          <w:b/>
          <w:sz w:val="18"/>
        </w:rPr>
      </w:pPr>
      <w:r>
        <w:rPr>
          <w:rFonts w:ascii="Arial"/>
          <w:b/>
          <w:sz w:val="18"/>
        </w:rPr>
        <w:t>Continuing breaches of </w:t>
      </w:r>
      <w:r>
        <w:rPr>
          <w:rFonts w:ascii="Arial"/>
          <w:b/>
          <w:spacing w:val="-2"/>
          <w:sz w:val="18"/>
        </w:rPr>
        <w:t>contract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013</w:t>
      </w:r>
    </w:p>
    <w:p>
      <w:pPr>
        <w:pStyle w:val="BodyText"/>
        <w:spacing w:line="235" w:lineRule="auto" w:before="202"/>
        <w:ind w:left="165" w:right="167"/>
        <w:jc w:val="both"/>
      </w:pPr>
      <w:bookmarkStart w:name="_bookmark167" w:id="169"/>
      <w:bookmarkEnd w:id="169"/>
      <w:r>
        <w:rPr/>
      </w:r>
      <w:r>
        <w:rPr/>
        <w:t>There is, however, a difference between repeated breaches of recurring obligations and a breach </w:t>
      </w:r>
      <w:r>
        <w:rPr/>
        <w:t>of contract which is a continuing one (giving rise to a continuing cause of action). </w:t>
      </w:r>
      <w:r>
        <w:rPr>
          <w:color w:val="005DA1"/>
          <w:u w:val="single" w:color="005DA1"/>
          <w:vertAlign w:val="superscript"/>
        </w:rPr>
        <w:t>92</w:t>
      </w:r>
      <w:r>
        <w:rPr>
          <w:color w:val="005DA1"/>
          <w:vertAlign w:val="baseline"/>
        </w:rPr>
        <w:t> </w:t>
      </w:r>
      <w:r>
        <w:rPr>
          <w:vertAlign w:val="baseline"/>
        </w:rPr>
        <w:t>With a continuing wrong, a fresh cause of action arises after recovery of damages in an earlier action, and the claimant may</w:t>
      </w:r>
      <w:r>
        <w:rPr>
          <w:spacing w:val="-1"/>
          <w:vertAlign w:val="baseline"/>
        </w:rPr>
        <w:t> </w:t>
      </w:r>
      <w:r>
        <w:rPr>
          <w:vertAlign w:val="baseline"/>
        </w:rPr>
        <w:t>bring</w:t>
      </w:r>
      <w:r>
        <w:rPr>
          <w:spacing w:val="-1"/>
          <w:vertAlign w:val="baseline"/>
        </w:rPr>
        <w:t> </w:t>
      </w:r>
      <w:r>
        <w:rPr>
          <w:vertAlign w:val="baseline"/>
        </w:rPr>
        <w:t>a</w:t>
      </w:r>
      <w:r>
        <w:rPr>
          <w:spacing w:val="-1"/>
          <w:vertAlign w:val="baseline"/>
        </w:rPr>
        <w:t> </w:t>
      </w:r>
      <w:r>
        <w:rPr>
          <w:vertAlign w:val="baseline"/>
        </w:rPr>
        <w:t>second</w:t>
      </w:r>
      <w:r>
        <w:rPr>
          <w:spacing w:val="-1"/>
          <w:vertAlign w:val="baseline"/>
        </w:rPr>
        <w:t> </w:t>
      </w:r>
      <w:r>
        <w:rPr>
          <w:vertAlign w:val="baseline"/>
        </w:rPr>
        <w:t>action</w:t>
      </w:r>
      <w:r>
        <w:rPr>
          <w:spacing w:val="-1"/>
          <w:vertAlign w:val="baseline"/>
        </w:rPr>
        <w:t> </w:t>
      </w:r>
      <w:r>
        <w:rPr>
          <w:vertAlign w:val="baseline"/>
        </w:rPr>
        <w:t>to</w:t>
      </w:r>
      <w:r>
        <w:rPr>
          <w:spacing w:val="-1"/>
          <w:vertAlign w:val="baseline"/>
        </w:rPr>
        <w:t> </w:t>
      </w:r>
      <w:r>
        <w:rPr>
          <w:vertAlign w:val="baseline"/>
        </w:rPr>
        <w:t>recover</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loss</w:t>
      </w:r>
      <w:r>
        <w:rPr>
          <w:spacing w:val="-1"/>
          <w:vertAlign w:val="baseline"/>
        </w:rPr>
        <w:t> </w:t>
      </w:r>
      <w:r>
        <w:rPr>
          <w:vertAlign w:val="baseline"/>
        </w:rPr>
        <w:t>arising</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earlier</w:t>
      </w:r>
      <w:r>
        <w:rPr>
          <w:spacing w:val="-1"/>
          <w:vertAlign w:val="baseline"/>
        </w:rPr>
        <w:t> </w:t>
      </w:r>
      <w:r>
        <w:rPr>
          <w:vertAlign w:val="baseline"/>
        </w:rPr>
        <w:t>action.</w:t>
      </w:r>
      <w:r>
        <w:rPr>
          <w:spacing w:val="-1"/>
          <w:vertAlign w:val="baseline"/>
        </w:rPr>
        <w:t> </w:t>
      </w:r>
      <w:r>
        <w:rPr>
          <w:vertAlign w:val="baseline"/>
        </w:rPr>
        <w:t>A</w:t>
      </w:r>
      <w:r>
        <w:rPr>
          <w:spacing w:val="-1"/>
          <w:vertAlign w:val="baseline"/>
        </w:rPr>
        <w:t> </w:t>
      </w:r>
      <w:r>
        <w:rPr>
          <w:vertAlign w:val="baseline"/>
        </w:rPr>
        <w:t>former</w:t>
      </w:r>
      <w:r>
        <w:rPr>
          <w:spacing w:val="-1"/>
          <w:vertAlign w:val="baseline"/>
        </w:rPr>
        <w:t> </w:t>
      </w:r>
      <w:r>
        <w:rPr>
          <w:vertAlign w:val="baseline"/>
        </w:rPr>
        <w:t>rule</w:t>
      </w:r>
      <w:r>
        <w:rPr>
          <w:spacing w:val="-1"/>
          <w:vertAlign w:val="baseline"/>
        </w:rPr>
        <w:t> </w:t>
      </w:r>
      <w:r>
        <w:rPr>
          <w:vertAlign w:val="baseline"/>
        </w:rPr>
        <w:t>of court prescribed:</w:t>
      </w:r>
    </w:p>
    <w:p>
      <w:pPr>
        <w:pStyle w:val="BodyText"/>
      </w:pPr>
    </w:p>
    <w:p>
      <w:pPr>
        <w:pStyle w:val="BodyText"/>
        <w:spacing w:before="125"/>
      </w:pPr>
    </w:p>
    <w:p>
      <w:pPr>
        <w:pStyle w:val="BodyText"/>
        <w:spacing w:line="235" w:lineRule="auto"/>
        <w:ind w:left="1245"/>
      </w:pPr>
      <w:bookmarkStart w:name="_bookmark168" w:id="170"/>
      <w:bookmarkEnd w:id="170"/>
      <w:r>
        <w:rPr/>
      </w:r>
      <w:r>
        <w:rPr/>
        <w:t>“Where</w:t>
      </w:r>
      <w:r>
        <w:rPr>
          <w:spacing w:val="-2"/>
        </w:rPr>
        <w:t> </w:t>
      </w:r>
      <w:r>
        <w:rPr/>
        <w:t>damages</w:t>
      </w:r>
      <w:r>
        <w:rPr>
          <w:spacing w:val="-2"/>
        </w:rPr>
        <w:t> </w:t>
      </w:r>
      <w:r>
        <w:rPr/>
        <w:t>are</w:t>
      </w:r>
      <w:r>
        <w:rPr>
          <w:spacing w:val="-2"/>
        </w:rPr>
        <w:t> </w:t>
      </w:r>
      <w:r>
        <w:rPr/>
        <w:t>to</w:t>
      </w:r>
      <w:r>
        <w:rPr>
          <w:spacing w:val="-2"/>
        </w:rPr>
        <w:t> </w:t>
      </w:r>
      <w:r>
        <w:rPr/>
        <w:t>be</w:t>
      </w:r>
      <w:r>
        <w:rPr>
          <w:spacing w:val="-2"/>
        </w:rPr>
        <w:t> </w:t>
      </w:r>
      <w:r>
        <w:rPr/>
        <w:t>assessed</w:t>
      </w:r>
      <w:r>
        <w:rPr>
          <w:spacing w:val="-2"/>
        </w:rPr>
        <w:t> </w:t>
      </w:r>
      <w:r>
        <w:rPr/>
        <w:t>…</w:t>
      </w:r>
      <w:r>
        <w:rPr>
          <w:spacing w:val="-2"/>
        </w:rPr>
        <w:t> </w:t>
      </w:r>
      <w:r>
        <w:rPr/>
        <w:t>in</w:t>
      </w:r>
      <w:r>
        <w:rPr>
          <w:spacing w:val="-2"/>
        </w:rPr>
        <w:t> </w:t>
      </w:r>
      <w:r>
        <w:rPr/>
        <w:t>respect</w:t>
      </w:r>
      <w:r>
        <w:rPr>
          <w:spacing w:val="-2"/>
        </w:rPr>
        <w:t> </w:t>
      </w:r>
      <w:r>
        <w:rPr/>
        <w:t>of</w:t>
      </w:r>
      <w:r>
        <w:rPr>
          <w:spacing w:val="-2"/>
        </w:rPr>
        <w:t> </w:t>
      </w:r>
      <w:r>
        <w:rPr/>
        <w:t>any</w:t>
      </w:r>
      <w:r>
        <w:rPr>
          <w:spacing w:val="-2"/>
        </w:rPr>
        <w:t> </w:t>
      </w:r>
      <w:r>
        <w:rPr/>
        <w:t>continuing</w:t>
      </w:r>
      <w:r>
        <w:rPr>
          <w:spacing w:val="-2"/>
        </w:rPr>
        <w:t> </w:t>
      </w:r>
      <w:r>
        <w:rPr/>
        <w:t>cause</w:t>
      </w:r>
      <w:r>
        <w:rPr>
          <w:spacing w:val="-2"/>
        </w:rPr>
        <w:t> </w:t>
      </w:r>
      <w:r>
        <w:rPr/>
        <w:t>of</w:t>
      </w:r>
      <w:r>
        <w:rPr>
          <w:spacing w:val="-2"/>
        </w:rPr>
        <w:t> </w:t>
      </w:r>
      <w:r>
        <w:rPr/>
        <w:t>action,</w:t>
      </w:r>
      <w:r>
        <w:rPr>
          <w:spacing w:val="-2"/>
        </w:rPr>
        <w:t> </w:t>
      </w:r>
      <w:r>
        <w:rPr/>
        <w:t>they shall be assessed down to the time of the assessment.” </w:t>
      </w:r>
      <w:r>
        <w:rPr>
          <w:color w:val="005DA1"/>
          <w:u w:val="single" w:color="005DA1"/>
          <w:vertAlign w:val="superscript"/>
        </w:rPr>
        <w:t>93</w:t>
      </w:r>
    </w:p>
    <w:p>
      <w:pPr>
        <w:pStyle w:val="BodyText"/>
        <w:spacing w:before="112"/>
      </w:pPr>
    </w:p>
    <w:p>
      <w:pPr>
        <w:pStyle w:val="BodyText"/>
        <w:ind w:left="165"/>
        <w:jc w:val="both"/>
      </w:pPr>
      <w:bookmarkStart w:name="_bookmark169" w:id="171"/>
      <w:bookmarkEnd w:id="171"/>
      <w:r>
        <w:rPr/>
      </w:r>
      <w:r>
        <w:rPr/>
        <w:t>An instance of a continuing breach of contract has been given by the Court of Appeal</w:t>
      </w:r>
      <w:r>
        <w:rPr>
          <w:spacing w:val="-2"/>
        </w:rPr>
        <w:t> </w:t>
      </w:r>
      <w:r>
        <w:rPr>
          <w:color w:val="005DA1"/>
          <w:spacing w:val="-5"/>
          <w:u w:val="single" w:color="005DA1"/>
          <w:vertAlign w:val="superscript"/>
        </w:rPr>
        <w:t>94</w:t>
      </w:r>
      <w:r>
        <w:rPr>
          <w:spacing w:val="-5"/>
          <w:vertAlign w:val="baseline"/>
        </w:rPr>
        <w:t>:</w:t>
      </w:r>
    </w:p>
    <w:p>
      <w:pPr>
        <w:pStyle w:val="BodyText"/>
      </w:pPr>
    </w:p>
    <w:p>
      <w:pPr>
        <w:pStyle w:val="BodyText"/>
        <w:spacing w:before="122"/>
      </w:pPr>
    </w:p>
    <w:p>
      <w:pPr>
        <w:pStyle w:val="BodyText"/>
        <w:ind w:left="1245"/>
      </w:pPr>
      <w:r>
        <w:rPr/>
        <w:t>“For example, a contract of service for a specified term might contain a stipulation that </w:t>
      </w:r>
      <w:r>
        <w:rPr>
          <w:spacing w:val="-5"/>
        </w:rPr>
        <w:t>the</w:t>
      </w:r>
    </w:p>
    <w:p>
      <w:pPr>
        <w:pStyle w:val="BodyText"/>
        <w:spacing w:after="0"/>
        <w:sectPr>
          <w:headerReference w:type="default" r:id="rId10"/>
          <w:pgSz w:w="11900" w:h="16840"/>
          <w:pgMar w:header="971" w:footer="0" w:top="1300" w:bottom="280" w:left="1275" w:right="1275"/>
          <w:pgNumType w:start="1"/>
        </w:sectPr>
      </w:pPr>
    </w:p>
    <w:p>
      <w:pPr>
        <w:pStyle w:val="BodyText"/>
        <w:spacing w:before="167"/>
      </w:pPr>
    </w:p>
    <w:p>
      <w:pPr>
        <w:pStyle w:val="BodyText"/>
        <w:spacing w:line="235" w:lineRule="auto"/>
        <w:ind w:left="1245" w:right="167"/>
        <w:jc w:val="both"/>
      </w:pPr>
      <w:r>
        <w:rPr/>
        <w:t>employee should not during the period of his service carry on or be concerned in any other</w:t>
      </w:r>
      <w:r>
        <w:rPr>
          <w:spacing w:val="-2"/>
        </w:rPr>
        <w:t> </w:t>
      </w:r>
      <w:r>
        <w:rPr/>
        <w:t>business</w:t>
      </w:r>
      <w:r>
        <w:rPr>
          <w:spacing w:val="-2"/>
        </w:rPr>
        <w:t> </w:t>
      </w:r>
      <w:r>
        <w:rPr/>
        <w:t>of</w:t>
      </w:r>
      <w:r>
        <w:rPr>
          <w:spacing w:val="-2"/>
        </w:rPr>
        <w:t> </w:t>
      </w:r>
      <w:r>
        <w:rPr/>
        <w:t>the</w:t>
      </w:r>
      <w:r>
        <w:rPr>
          <w:spacing w:val="-2"/>
        </w:rPr>
        <w:t> </w:t>
      </w:r>
      <w:r>
        <w:rPr/>
        <w:t>same</w:t>
      </w:r>
      <w:r>
        <w:rPr>
          <w:spacing w:val="-2"/>
        </w:rPr>
        <w:t> </w:t>
      </w:r>
      <w:r>
        <w:rPr/>
        <w:t>kind</w:t>
      </w:r>
      <w:r>
        <w:rPr>
          <w:spacing w:val="-2"/>
        </w:rPr>
        <w:t> </w:t>
      </w:r>
      <w:r>
        <w:rPr/>
        <w:t>as</w:t>
      </w:r>
      <w:r>
        <w:rPr>
          <w:spacing w:val="-2"/>
        </w:rPr>
        <w:t> </w:t>
      </w:r>
      <w:r>
        <w:rPr/>
        <w:t>the</w:t>
      </w:r>
      <w:r>
        <w:rPr>
          <w:spacing w:val="-2"/>
        </w:rPr>
        <w:t> </w:t>
      </w:r>
      <w:r>
        <w:rPr/>
        <w:t>employer’s</w:t>
      </w:r>
      <w:r>
        <w:rPr>
          <w:spacing w:val="-2"/>
        </w:rPr>
        <w:t> </w:t>
      </w:r>
      <w:r>
        <w:rPr/>
        <w:t>business.</w:t>
      </w:r>
      <w:r>
        <w:rPr>
          <w:spacing w:val="-2"/>
        </w:rPr>
        <w:t> </w:t>
      </w:r>
      <w:r>
        <w:rPr/>
        <w:t>If</w:t>
      </w:r>
      <w:r>
        <w:rPr>
          <w:spacing w:val="-2"/>
        </w:rPr>
        <w:t> </w:t>
      </w:r>
      <w:r>
        <w:rPr/>
        <w:t>the</w:t>
      </w:r>
      <w:r>
        <w:rPr>
          <w:spacing w:val="-2"/>
        </w:rPr>
        <w:t> </w:t>
      </w:r>
      <w:r>
        <w:rPr/>
        <w:t>employee,</w:t>
      </w:r>
      <w:r>
        <w:rPr>
          <w:spacing w:val="-2"/>
        </w:rPr>
        <w:t> </w:t>
      </w:r>
      <w:r>
        <w:rPr/>
        <w:t>in</w:t>
      </w:r>
      <w:r>
        <w:rPr>
          <w:spacing w:val="-2"/>
        </w:rPr>
        <w:t> </w:t>
      </w:r>
      <w:r>
        <w:rPr/>
        <w:t>breach</w:t>
      </w:r>
      <w:r>
        <w:rPr>
          <w:spacing w:val="-2"/>
        </w:rPr>
        <w:t> </w:t>
      </w:r>
      <w:r>
        <w:rPr/>
        <w:t>of such a stipulation, did proceed to carry out some other business of the kind in question, the breach would, we think, clearly be a continuing one, in that the employee would de</w:t>
      </w:r>
      <w:r>
        <w:rPr>
          <w:spacing w:val="40"/>
        </w:rPr>
        <w:t> </w:t>
      </w:r>
      <w:r>
        <w:rPr/>
        <w:t>die in diem be continuously in breach of the stipulation so long as the prohibited business was carried on.”</w:t>
      </w:r>
    </w:p>
    <w:p>
      <w:pPr>
        <w:pStyle w:val="BodyText"/>
      </w:pPr>
    </w:p>
    <w:p>
      <w:pPr>
        <w:pStyle w:val="BodyText"/>
      </w:pPr>
    </w:p>
    <w:p>
      <w:pPr>
        <w:pStyle w:val="BodyText"/>
        <w:spacing w:before="154"/>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259503</wp:posOffset>
                </wp:positionV>
                <wp:extent cx="572452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33313pt;width:450.75pt;height:.1pt;mso-position-horizontal-relative:page;mso-position-vertical-relative:paragraph;z-index:-15710720;mso-wrap-distance-left:0;mso-wrap-distance-right:0" id="docshape12" coordorigin="1440,409" coordsize="9015,0" path="m1440,409l10454,40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70" w:id="172"/>
      <w:bookmarkEnd w:id="172"/>
      <w:r>
        <w:rPr/>
      </w:r>
      <w:hyperlink w:history="true" w:anchor="_bookmark161">
        <w:r>
          <w:rPr>
            <w:color w:val="005DA1"/>
            <w:spacing w:val="-5"/>
            <w:position w:val="5"/>
            <w:sz w:val="14"/>
            <w:u w:val="single" w:color="005DA1"/>
          </w:rPr>
          <w:t>86</w:t>
        </w:r>
      </w:hyperlink>
      <w:r>
        <w:rPr>
          <w:spacing w:val="-5"/>
          <w:position w:val="5"/>
          <w:sz w:val="14"/>
        </w:rPr>
        <w:t>.</w:t>
      </w:r>
      <w:r>
        <w:rPr>
          <w:position w:val="5"/>
          <w:sz w:val="14"/>
        </w:rPr>
        <w:tab/>
      </w:r>
      <w:r>
        <w:rPr/>
        <w:t>On damages for sums of money payable in the future, see above, para.26-</w:t>
      </w:r>
      <w:r>
        <w:rPr>
          <w:spacing w:val="-4"/>
        </w:rPr>
        <w:t>008.</w:t>
      </w:r>
    </w:p>
    <w:p>
      <w:pPr>
        <w:pStyle w:val="BodyText"/>
        <w:spacing w:before="9"/>
      </w:pPr>
    </w:p>
    <w:p>
      <w:pPr>
        <w:spacing w:line="235" w:lineRule="auto" w:before="0"/>
        <w:ind w:left="705" w:right="167" w:hanging="541"/>
        <w:jc w:val="both"/>
        <w:rPr>
          <w:sz w:val="20"/>
        </w:rPr>
      </w:pPr>
      <w:bookmarkStart w:name="_bookmark171" w:id="173"/>
      <w:bookmarkEnd w:id="173"/>
      <w:r>
        <w:rPr/>
      </w:r>
      <w:hyperlink w:history="true" w:anchor="_bookmark162">
        <w:r>
          <w:rPr>
            <w:color w:val="005DA1"/>
            <w:position w:val="5"/>
            <w:sz w:val="14"/>
            <w:u w:val="single" w:color="005DA1"/>
          </w:rPr>
          <w:t>87</w:t>
        </w:r>
      </w:hyperlink>
      <w:r>
        <w:rPr>
          <w:position w:val="5"/>
          <w:sz w:val="14"/>
        </w:rPr>
        <w:t>.</w:t>
      </w:r>
      <w:r>
        <w:rPr>
          <w:spacing w:val="80"/>
          <w:position w:val="5"/>
          <w:sz w:val="14"/>
        </w:rPr>
        <w:t>  </w:t>
      </w:r>
      <w:r>
        <w:rPr>
          <w:rFonts w:ascii="Arial"/>
          <w:i/>
          <w:sz w:val="20"/>
        </w:rPr>
        <w:t>Rowntree &amp; Sons Ltd v Allen &amp; Sons (Poplar) Ltd (1936) 41 Com. Cas. 90</w:t>
      </w:r>
      <w:r>
        <w:rPr>
          <w:sz w:val="20"/>
        </w:rPr>
        <w:t>. See s.35 of the County Courts Act 1984; cf. the same rule in tort: </w:t>
      </w:r>
      <w:r>
        <w:rPr>
          <w:rFonts w:ascii="Arial"/>
          <w:i/>
          <w:sz w:val="20"/>
        </w:rPr>
        <w:t>Darley Main Colliery Co v Mitchell (1886) </w:t>
      </w:r>
      <w:r>
        <w:rPr>
          <w:rFonts w:ascii="Arial"/>
          <w:i/>
          <w:sz w:val="20"/>
        </w:rPr>
        <w:t>11 App. Cas. 127, 132</w:t>
      </w:r>
      <w:r>
        <w:rPr>
          <w:sz w:val="20"/>
        </w:rPr>
        <w:t>. See also </w:t>
      </w:r>
      <w:r>
        <w:rPr>
          <w:rFonts w:ascii="Arial"/>
          <w:i/>
          <w:sz w:val="20"/>
        </w:rPr>
        <w:t>Pegler v Ry Executive [1948] A.C. 332</w:t>
      </w:r>
      <w:r>
        <w:rPr>
          <w:sz w:val="20"/>
        </w:rPr>
        <w:t>.</w:t>
      </w:r>
    </w:p>
    <w:p>
      <w:pPr>
        <w:pStyle w:val="BodyText"/>
        <w:spacing w:before="9"/>
      </w:pPr>
    </w:p>
    <w:p>
      <w:pPr>
        <w:spacing w:line="235" w:lineRule="auto" w:before="0"/>
        <w:ind w:left="705" w:right="168" w:hanging="541"/>
        <w:jc w:val="both"/>
        <w:rPr>
          <w:sz w:val="20"/>
        </w:rPr>
      </w:pPr>
      <w:bookmarkStart w:name="_bookmark172" w:id="174"/>
      <w:bookmarkEnd w:id="174"/>
      <w:r>
        <w:rPr/>
      </w:r>
      <w:hyperlink w:history="true" w:anchor="_bookmark163">
        <w:r>
          <w:rPr>
            <w:color w:val="005DA1"/>
            <w:position w:val="5"/>
            <w:sz w:val="14"/>
            <w:u w:val="single" w:color="005DA1"/>
          </w:rPr>
          <w:t>88</w:t>
        </w:r>
      </w:hyperlink>
      <w:r>
        <w:rPr>
          <w:position w:val="5"/>
          <w:sz w:val="14"/>
        </w:rPr>
        <w:t>.</w:t>
      </w:r>
      <w:r>
        <w:rPr>
          <w:spacing w:val="80"/>
          <w:position w:val="5"/>
          <w:sz w:val="14"/>
        </w:rPr>
        <w:t>  </w:t>
      </w:r>
      <w:r>
        <w:rPr>
          <w:rFonts w:ascii="Arial"/>
          <w:i/>
          <w:sz w:val="20"/>
        </w:rPr>
        <w:t>Furness Withy &amp; Co v Hall (1909) 25 T.L.R. 233</w:t>
      </w:r>
      <w:r>
        <w:rPr>
          <w:sz w:val="20"/>
        </w:rPr>
        <w:t>. See also </w:t>
      </w:r>
      <w:r>
        <w:rPr>
          <w:rFonts w:ascii="Arial"/>
          <w:i/>
          <w:sz w:val="20"/>
        </w:rPr>
        <w:t>Conquer v Boot [1928] 2 K.B. 336 </w:t>
      </w:r>
      <w:r>
        <w:rPr>
          <w:sz w:val="20"/>
        </w:rPr>
        <w:t>(distinguished in </w:t>
      </w:r>
      <w:r>
        <w:rPr>
          <w:rFonts w:ascii="Arial"/>
          <w:i/>
          <w:sz w:val="20"/>
        </w:rPr>
        <w:t>Purser and Co (Hillingdon) Ltd v Jackson [1977] Q.B. 166 </w:t>
      </w:r>
      <w:r>
        <w:rPr>
          <w:sz w:val="20"/>
        </w:rPr>
        <w:t>(successive arbitrations over different building defects)); </w:t>
      </w:r>
      <w:r>
        <w:rPr>
          <w:rFonts w:ascii="Arial"/>
          <w:i/>
          <w:sz w:val="20"/>
        </w:rPr>
        <w:t>H.E. Daniels Ltd v Carmel Exporters and Importers Ltd [1953] 2 Q.B. 242</w:t>
      </w:r>
      <w:r>
        <w:rPr>
          <w:sz w:val="20"/>
        </w:rPr>
        <w:t>. Prospective loss falls within the rule: </w:t>
      </w:r>
      <w:r>
        <w:rPr>
          <w:rFonts w:ascii="Arial"/>
          <w:i/>
          <w:sz w:val="20"/>
        </w:rPr>
        <w:t>Clarke v Yorke (1882) 47 L.T. 381</w:t>
      </w:r>
      <w:r>
        <w:rPr>
          <w:sz w:val="20"/>
        </w:rPr>
        <w:t>.</w:t>
      </w:r>
    </w:p>
    <w:p>
      <w:pPr>
        <w:pStyle w:val="BodyText"/>
        <w:spacing w:before="8"/>
      </w:pPr>
    </w:p>
    <w:p>
      <w:pPr>
        <w:pStyle w:val="BodyText"/>
        <w:spacing w:line="235" w:lineRule="auto"/>
        <w:ind w:left="705" w:right="167" w:hanging="541"/>
        <w:jc w:val="both"/>
      </w:pPr>
      <w:bookmarkStart w:name="_bookmark173" w:id="175"/>
      <w:bookmarkEnd w:id="175"/>
      <w:r>
        <w:rPr/>
      </w:r>
      <w:hyperlink w:history="true" w:anchor="_bookmark164">
        <w:r>
          <w:rPr>
            <w:color w:val="005DA1"/>
            <w:position w:val="5"/>
            <w:sz w:val="14"/>
            <w:u w:val="single" w:color="005DA1"/>
          </w:rPr>
          <w:t>89</w:t>
        </w:r>
      </w:hyperlink>
      <w:r>
        <w:rPr>
          <w:position w:val="5"/>
          <w:sz w:val="14"/>
        </w:rPr>
        <w:t>.</w:t>
      </w:r>
      <w:r>
        <w:rPr>
          <w:spacing w:val="80"/>
          <w:w w:val="150"/>
          <w:position w:val="5"/>
          <w:sz w:val="14"/>
        </w:rPr>
        <w:t> </w:t>
      </w:r>
      <w:r>
        <w:rPr/>
        <w:t>e.g. </w:t>
      </w:r>
      <w:r>
        <w:rPr>
          <w:rFonts w:ascii="Arial" w:hAnsi="Arial"/>
          <w:i/>
        </w:rPr>
        <w:t>Johnston v G.W. Ry [1904] 2 K.B. 250, 259–260</w:t>
      </w:r>
      <w:r>
        <w:rPr/>
        <w:t>. On discounting for contingencies in hypothetical situations, see below, paras 26-069 et seq. Where a contingency which will </w:t>
      </w:r>
      <w:r>
        <w:rPr/>
        <w:t>affect the loss has in fact occurred by the time of trial, this should be taken into account: see below, </w:t>
      </w:r>
      <w:r>
        <w:rPr>
          <w:spacing w:val="-2"/>
        </w:rPr>
        <w:t>para.26-074.</w:t>
      </w:r>
    </w:p>
    <w:p>
      <w:pPr>
        <w:pStyle w:val="BodyText"/>
        <w:spacing w:before="9"/>
      </w:pPr>
    </w:p>
    <w:p>
      <w:pPr>
        <w:spacing w:line="235" w:lineRule="auto" w:before="0"/>
        <w:ind w:left="705" w:right="167" w:hanging="541"/>
        <w:jc w:val="both"/>
        <w:rPr>
          <w:sz w:val="20"/>
        </w:rPr>
      </w:pPr>
      <w:bookmarkStart w:name="_bookmark174" w:id="176"/>
      <w:bookmarkEnd w:id="176"/>
      <w:r>
        <w:rPr/>
      </w:r>
      <w:hyperlink w:history="true" w:anchor="_bookmark165">
        <w:r>
          <w:rPr>
            <w:color w:val="005DA1"/>
            <w:position w:val="5"/>
            <w:sz w:val="14"/>
            <w:u w:val="single" w:color="005DA1"/>
          </w:rPr>
          <w:t>90</w:t>
        </w:r>
      </w:hyperlink>
      <w:r>
        <w:rPr>
          <w:position w:val="5"/>
          <w:sz w:val="14"/>
        </w:rPr>
        <w:t>.</w:t>
      </w:r>
      <w:r>
        <w:rPr>
          <w:spacing w:val="80"/>
          <w:w w:val="150"/>
          <w:position w:val="5"/>
          <w:sz w:val="14"/>
        </w:rPr>
        <w:t> </w:t>
      </w:r>
      <w:r>
        <w:rPr>
          <w:rFonts w:ascii="Arial" w:hAnsi="Arial"/>
          <w:i/>
          <w:sz w:val="20"/>
        </w:rPr>
        <w:t>Deeny v Gooda Walker Ltd (No.3) [1995] 4 All E.R. 289 </w:t>
      </w:r>
      <w:r>
        <w:rPr>
          <w:sz w:val="20"/>
        </w:rPr>
        <w:t>(the plaintiff’s future liabilities to policyholders could not be predicted with reasonable confidence; there was also the risk that, having received a substantial sum for future losses, the plaintiff might allow the damages to </w:t>
      </w:r>
      <w:r>
        <w:rPr>
          <w:sz w:val="20"/>
        </w:rPr>
        <w:t>be dissipated before the policyholders’ claims were made); cf. </w:t>
      </w:r>
      <w:r>
        <w:rPr>
          <w:rFonts w:ascii="Arial" w:hAnsi="Arial"/>
          <w:i/>
          <w:sz w:val="20"/>
        </w:rPr>
        <w:t>Total Liban SA v Vitol Energy SA [2001] Q.B. 643</w:t>
      </w:r>
      <w:r>
        <w:rPr>
          <w:sz w:val="20"/>
        </w:rPr>
        <w:t>.</w:t>
      </w:r>
    </w:p>
    <w:p>
      <w:pPr>
        <w:pStyle w:val="BodyText"/>
        <w:spacing w:before="8"/>
      </w:pPr>
    </w:p>
    <w:p>
      <w:pPr>
        <w:tabs>
          <w:tab w:pos="705" w:val="left" w:leader="none"/>
        </w:tabs>
        <w:spacing w:line="235" w:lineRule="auto" w:before="0"/>
        <w:ind w:left="705" w:right="174" w:hanging="541"/>
        <w:jc w:val="left"/>
        <w:rPr>
          <w:sz w:val="20"/>
        </w:rPr>
      </w:pPr>
      <w:bookmarkStart w:name="_bookmark175" w:id="177"/>
      <w:bookmarkEnd w:id="177"/>
      <w:r>
        <w:rPr/>
      </w:r>
      <w:hyperlink w:history="true" w:anchor="_bookmark166">
        <w:r>
          <w:rPr>
            <w:color w:val="005DA1"/>
            <w:spacing w:val="-4"/>
            <w:position w:val="5"/>
            <w:sz w:val="14"/>
            <w:u w:val="single" w:color="005DA1"/>
          </w:rPr>
          <w:t>91</w:t>
        </w:r>
      </w:hyperlink>
      <w:r>
        <w:rPr>
          <w:spacing w:val="-4"/>
          <w:position w:val="5"/>
          <w:sz w:val="14"/>
        </w:rPr>
        <w:t>.</w:t>
      </w:r>
      <w:r>
        <w:rPr>
          <w:position w:val="5"/>
          <w:sz w:val="14"/>
        </w:rPr>
        <w:tab/>
      </w:r>
      <w:r>
        <w:rPr>
          <w:rFonts w:ascii="Arial"/>
          <w:i/>
          <w:sz w:val="20"/>
        </w:rPr>
        <w:t>H.E. Daniels Ltd v Carmel Exporters and Importers Ltd [1953] 2 Q.B. 242, 252</w:t>
      </w:r>
      <w:r>
        <w:rPr>
          <w:sz w:val="20"/>
        </w:rPr>
        <w:t>; </w:t>
      </w:r>
      <w:r>
        <w:rPr>
          <w:rFonts w:ascii="Arial"/>
          <w:i/>
          <w:sz w:val="20"/>
        </w:rPr>
        <w:t>National </w:t>
      </w:r>
      <w:r>
        <w:rPr>
          <w:rFonts w:ascii="Arial"/>
          <w:i/>
          <w:sz w:val="20"/>
        </w:rPr>
        <w:t>Coal</w:t>
      </w:r>
      <w:r>
        <w:rPr>
          <w:rFonts w:ascii="Arial"/>
          <w:i/>
          <w:spacing w:val="40"/>
          <w:sz w:val="20"/>
        </w:rPr>
        <w:t> </w:t>
      </w:r>
      <w:r>
        <w:rPr>
          <w:rFonts w:ascii="Arial"/>
          <w:i/>
          <w:sz w:val="20"/>
        </w:rPr>
        <w:t>Board v Galley [1958] 1 W.L.R. 16, 26</w:t>
      </w:r>
      <w:r>
        <w:rPr>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176" w:id="178"/>
      <w:bookmarkEnd w:id="178"/>
      <w:r>
        <w:rPr/>
      </w:r>
      <w:hyperlink w:history="true" w:anchor="_bookmark167">
        <w:r>
          <w:rPr>
            <w:color w:val="005DA1"/>
            <w:spacing w:val="-4"/>
            <w:position w:val="5"/>
            <w:sz w:val="14"/>
            <w:u w:val="single" w:color="005DA1"/>
          </w:rPr>
          <w:t>92</w:t>
        </w:r>
      </w:hyperlink>
      <w:r>
        <w:rPr>
          <w:spacing w:val="-4"/>
          <w:position w:val="5"/>
          <w:sz w:val="14"/>
        </w:rPr>
        <w:t>.</w:t>
      </w:r>
      <w:r>
        <w:rPr>
          <w:position w:val="5"/>
          <w:sz w:val="14"/>
        </w:rPr>
        <w:tab/>
      </w:r>
      <w:r>
        <w:rPr>
          <w:rFonts w:ascii="Arial"/>
          <w:i/>
          <w:sz w:val="20"/>
        </w:rPr>
        <w:t>National</w:t>
      </w:r>
      <w:r>
        <w:rPr>
          <w:rFonts w:ascii="Arial"/>
          <w:i/>
          <w:spacing w:val="20"/>
          <w:sz w:val="20"/>
        </w:rPr>
        <w:t> </w:t>
      </w:r>
      <w:r>
        <w:rPr>
          <w:rFonts w:ascii="Arial"/>
          <w:i/>
          <w:sz w:val="20"/>
        </w:rPr>
        <w:t>Coal</w:t>
      </w:r>
      <w:r>
        <w:rPr>
          <w:rFonts w:ascii="Arial"/>
          <w:i/>
          <w:spacing w:val="20"/>
          <w:sz w:val="20"/>
        </w:rPr>
        <w:t> </w:t>
      </w:r>
      <w:r>
        <w:rPr>
          <w:rFonts w:ascii="Arial"/>
          <w:i/>
          <w:sz w:val="20"/>
        </w:rPr>
        <w:t>Board</w:t>
      </w:r>
      <w:r>
        <w:rPr>
          <w:rFonts w:ascii="Arial"/>
          <w:i/>
          <w:spacing w:val="20"/>
          <w:sz w:val="20"/>
        </w:rPr>
        <w:t> </w:t>
      </w:r>
      <w:r>
        <w:rPr>
          <w:rFonts w:ascii="Arial"/>
          <w:i/>
          <w:sz w:val="20"/>
        </w:rPr>
        <w:t>v</w:t>
      </w:r>
      <w:r>
        <w:rPr>
          <w:rFonts w:ascii="Arial"/>
          <w:i/>
          <w:spacing w:val="20"/>
          <w:sz w:val="20"/>
        </w:rPr>
        <w:t> </w:t>
      </w:r>
      <w:r>
        <w:rPr>
          <w:rFonts w:ascii="Arial"/>
          <w:i/>
          <w:sz w:val="20"/>
        </w:rPr>
        <w:t>Galley</w:t>
      </w:r>
      <w:r>
        <w:rPr>
          <w:rFonts w:ascii="Arial"/>
          <w:i/>
          <w:spacing w:val="20"/>
          <w:sz w:val="20"/>
        </w:rPr>
        <w:t> </w:t>
      </w:r>
      <w:r>
        <w:rPr>
          <w:rFonts w:ascii="Arial"/>
          <w:i/>
          <w:sz w:val="20"/>
        </w:rPr>
        <w:t>[1958]</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16</w:t>
      </w:r>
      <w:r>
        <w:rPr>
          <w:rFonts w:ascii="Arial"/>
          <w:i/>
          <w:spacing w:val="19"/>
          <w:sz w:val="20"/>
        </w:rPr>
        <w:t> </w:t>
      </w:r>
      <w:r>
        <w:rPr>
          <w:sz w:val="20"/>
        </w:rPr>
        <w:t>(failure</w:t>
      </w:r>
      <w:r>
        <w:rPr>
          <w:spacing w:val="20"/>
          <w:sz w:val="20"/>
        </w:rPr>
        <w:t> </w:t>
      </w:r>
      <w:r>
        <w:rPr>
          <w:sz w:val="20"/>
        </w:rPr>
        <w:t>to</w:t>
      </w:r>
      <w:r>
        <w:rPr>
          <w:spacing w:val="20"/>
          <w:sz w:val="20"/>
        </w:rPr>
        <w:t> </w:t>
      </w:r>
      <w:r>
        <w:rPr>
          <w:sz w:val="20"/>
        </w:rPr>
        <w:t>work</w:t>
      </w:r>
      <w:r>
        <w:rPr>
          <w:spacing w:val="20"/>
          <w:sz w:val="20"/>
        </w:rPr>
        <w:t> </w:t>
      </w:r>
      <w:r>
        <w:rPr>
          <w:sz w:val="20"/>
        </w:rPr>
        <w:t>Saturday</w:t>
      </w:r>
      <w:r>
        <w:rPr>
          <w:spacing w:val="20"/>
          <w:sz w:val="20"/>
        </w:rPr>
        <w:t> </w:t>
      </w:r>
      <w:r>
        <w:rPr>
          <w:sz w:val="20"/>
        </w:rPr>
        <w:t>shifts</w:t>
      </w:r>
      <w:r>
        <w:rPr>
          <w:spacing w:val="20"/>
          <w:sz w:val="20"/>
        </w:rPr>
        <w:t> </w:t>
      </w:r>
      <w:r>
        <w:rPr>
          <w:sz w:val="20"/>
        </w:rPr>
        <w:t>at</w:t>
      </w:r>
      <w:r>
        <w:rPr>
          <w:spacing w:val="20"/>
          <w:sz w:val="20"/>
        </w:rPr>
        <w:t> </w:t>
      </w:r>
      <w:r>
        <w:rPr>
          <w:sz w:val="20"/>
        </w:rPr>
        <w:t>a</w:t>
      </w:r>
      <w:r>
        <w:rPr>
          <w:spacing w:val="20"/>
          <w:sz w:val="20"/>
        </w:rPr>
        <w:t> </w:t>
      </w:r>
      <w:r>
        <w:rPr>
          <w:sz w:val="20"/>
        </w:rPr>
        <w:t>colliery amounted to repeated breaches of a recurring obligation).</w:t>
      </w:r>
    </w:p>
    <w:p>
      <w:pPr>
        <w:pStyle w:val="BodyText"/>
        <w:spacing w:before="9"/>
      </w:pPr>
    </w:p>
    <w:p>
      <w:pPr>
        <w:tabs>
          <w:tab w:pos="705" w:val="left" w:leader="none"/>
        </w:tabs>
        <w:spacing w:line="235" w:lineRule="auto" w:before="0"/>
        <w:ind w:left="705" w:right="174" w:hanging="541"/>
        <w:jc w:val="left"/>
        <w:rPr>
          <w:sz w:val="20"/>
        </w:rPr>
      </w:pPr>
      <w:bookmarkStart w:name="_bookmark177" w:id="179"/>
      <w:bookmarkEnd w:id="179"/>
      <w:r>
        <w:rPr/>
      </w:r>
      <w:hyperlink w:history="true" w:anchor="_bookmark168">
        <w:r>
          <w:rPr>
            <w:color w:val="005DA1"/>
            <w:spacing w:val="-4"/>
            <w:position w:val="5"/>
            <w:sz w:val="14"/>
            <w:u w:val="single" w:color="005DA1"/>
          </w:rPr>
          <w:t>93</w:t>
        </w:r>
      </w:hyperlink>
      <w:r>
        <w:rPr>
          <w:spacing w:val="-4"/>
          <w:position w:val="5"/>
          <w:sz w:val="14"/>
        </w:rPr>
        <w:t>.</w:t>
      </w:r>
      <w:r>
        <w:rPr>
          <w:position w:val="5"/>
          <w:sz w:val="14"/>
        </w:rPr>
        <w:tab/>
      </w:r>
      <w:r>
        <w:rPr>
          <w:sz w:val="20"/>
        </w:rPr>
        <w:t>RSC Ord.37 r.6. See </w:t>
      </w:r>
      <w:r>
        <w:rPr>
          <w:rFonts w:ascii="Arial"/>
          <w:i/>
          <w:sz w:val="20"/>
        </w:rPr>
        <w:t>Hole v Chard Union [1894] 1 Ch. 293</w:t>
      </w:r>
      <w:r>
        <w:rPr>
          <w:sz w:val="20"/>
        </w:rPr>
        <w:t>; cf. the award of damages in lieu </w:t>
      </w:r>
      <w:r>
        <w:rPr>
          <w:sz w:val="20"/>
        </w:rPr>
        <w:t>of an injunction: below, paras 27-083 et seq.</w:t>
      </w:r>
    </w:p>
    <w:p>
      <w:pPr>
        <w:pStyle w:val="BodyText"/>
        <w:spacing w:before="6"/>
      </w:pPr>
    </w:p>
    <w:p>
      <w:pPr>
        <w:tabs>
          <w:tab w:pos="705" w:val="left" w:leader="none"/>
        </w:tabs>
        <w:spacing w:before="0"/>
        <w:ind w:left="165" w:right="0" w:firstLine="0"/>
        <w:jc w:val="left"/>
        <w:rPr>
          <w:sz w:val="20"/>
        </w:rPr>
      </w:pPr>
      <w:bookmarkStart w:name="_bookmark178" w:id="180"/>
      <w:bookmarkEnd w:id="180"/>
      <w:r>
        <w:rPr/>
      </w:r>
      <w:hyperlink w:history="true" w:anchor="_bookmark169">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National Coal Board v Galley [1958] 1 W.L.R. 16, </w:t>
      </w:r>
      <w:r>
        <w:rPr>
          <w:rFonts w:ascii="Arial"/>
          <w:i/>
          <w:spacing w:val="-5"/>
          <w:sz w:val="20"/>
        </w:rPr>
        <w:t>26</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2"/>
        </w:numPr>
        <w:tabs>
          <w:tab w:pos="3558" w:val="left" w:leader="none"/>
        </w:tabs>
        <w:spacing w:line="240" w:lineRule="auto" w:before="194" w:after="0"/>
        <w:ind w:left="3558" w:right="0" w:hanging="306"/>
        <w:jc w:val="left"/>
        <w:rPr>
          <w:b/>
          <w:sz w:val="24"/>
        </w:rPr>
      </w:pPr>
      <w:r>
        <w:rPr>
          <w:b/>
          <w:sz w:val="24"/>
        </w:rPr>
        <w:t>- Date for </w:t>
      </w:r>
      <w:r>
        <w:rPr>
          <w:b/>
          <w:spacing w:val="-2"/>
          <w:sz w:val="24"/>
        </w:rPr>
        <w:t>Assessment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Date for </w:t>
      </w:r>
      <w:r>
        <w:rPr>
          <w:rFonts w:ascii="Arial"/>
          <w:b/>
          <w:spacing w:val="-2"/>
          <w:sz w:val="18"/>
        </w:rPr>
        <w:t>assessment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014</w:t>
      </w:r>
    </w:p>
    <w:p>
      <w:pPr>
        <w:pStyle w:val="BodyText"/>
        <w:spacing w:line="235" w:lineRule="auto" w:before="202"/>
        <w:ind w:left="165" w:right="167"/>
        <w:jc w:val="both"/>
      </w:pPr>
      <w:r>
        <w:rPr/>
        <w:t>The normal rule is that damages should be assessed as of the time of breach. However, the rule is applied with a good deal of flexibility, in particular when the claimant has deferred reacting to </w:t>
      </w:r>
      <w:r>
        <w:rPr/>
        <w:t>the </w:t>
      </w:r>
      <w:bookmarkStart w:name="_bookmark179" w:id="181"/>
      <w:bookmarkEnd w:id="181"/>
      <w:r>
        <w:rPr/>
        <w:t>breach</w:t>
      </w:r>
      <w:r>
        <w:rPr/>
        <w:t> for a good reason. The rule is thus closely linked to the question of mitigation and will be considered in that context. </w:t>
      </w:r>
      <w:r>
        <w:rPr>
          <w:color w:val="005DA1"/>
          <w:u w:val="single" w:color="005DA1"/>
          <w:vertAlign w:val="superscript"/>
        </w:rPr>
        <w:t>95</w:t>
      </w:r>
    </w:p>
    <w:p>
      <w:pPr>
        <w:pStyle w:val="BodyText"/>
      </w:pPr>
    </w:p>
    <w:p>
      <w:pPr>
        <w:pStyle w:val="BodyText"/>
        <w:spacing w:before="38"/>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185996</wp:posOffset>
                </wp:positionV>
                <wp:extent cx="572452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5398pt;width:450.75pt;height:.1pt;mso-position-horizontal-relative:page;mso-position-vertical-relative:paragraph;z-index:-15710208;mso-wrap-distance-left:0;mso-wrap-distance-right:0" id="docshape14"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80" w:id="182"/>
      <w:bookmarkEnd w:id="182"/>
      <w:r>
        <w:rPr/>
      </w:r>
      <w:hyperlink w:history="true" w:anchor="_bookmark179">
        <w:r>
          <w:rPr>
            <w:color w:val="005DA1"/>
            <w:spacing w:val="-5"/>
            <w:position w:val="5"/>
            <w:sz w:val="14"/>
            <w:u w:val="single" w:color="005DA1"/>
          </w:rPr>
          <w:t>95</w:t>
        </w:r>
      </w:hyperlink>
      <w:r>
        <w:rPr>
          <w:spacing w:val="-5"/>
          <w:position w:val="5"/>
          <w:sz w:val="14"/>
        </w:rPr>
        <w:t>.</w:t>
      </w:r>
      <w:r>
        <w:rPr>
          <w:position w:val="5"/>
          <w:sz w:val="14"/>
        </w:rPr>
        <w:tab/>
      </w:r>
      <w:r>
        <w:rPr/>
        <w:t>See below, paras 26-087—26-</w:t>
      </w:r>
      <w:r>
        <w:rPr>
          <w:spacing w:val="-4"/>
        </w:rPr>
        <w:t>092.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1"/>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2"/>
        </w:numPr>
        <w:tabs>
          <w:tab w:pos="2464" w:val="left" w:leader="none"/>
        </w:tabs>
        <w:spacing w:line="240" w:lineRule="auto" w:before="194" w:after="0"/>
        <w:ind w:left="2464" w:right="0" w:hanging="373"/>
        <w:jc w:val="left"/>
        <w:rPr>
          <w:b/>
          <w:sz w:val="24"/>
        </w:rPr>
      </w:pPr>
      <w:r>
        <w:rPr>
          <w:b/>
          <w:sz w:val="24"/>
        </w:rPr>
        <w:t>- Difficulty in the Assessment of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Difficulty of </w:t>
      </w:r>
      <w:r>
        <w:rPr>
          <w:rFonts w:ascii="Arial"/>
          <w:b/>
          <w:spacing w:val="-2"/>
          <w:sz w:val="18"/>
        </w:rPr>
        <w:t>assessment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1" w:id="183"/>
      <w:bookmarkEnd w:id="183"/>
      <w:r>
        <w:rPr>
          <w:rFonts w:ascii="Times New Roman" w:hAnsi="Times New Roman"/>
          <w:spacing w:val="21"/>
        </w:rPr>
      </w:r>
      <w:r>
        <w:rPr/>
        <w:t>The fact that damages are difficult to assess does not disentitle the claimant to compensation for loss resulting from the defendant’s breach of contract. </w:t>
      </w:r>
      <w:r>
        <w:rPr>
          <w:color w:val="005DA1"/>
          <w:u w:val="single" w:color="005DA1"/>
          <w:vertAlign w:val="superscript"/>
        </w:rPr>
        <w:t>96</w:t>
      </w:r>
      <w:r>
        <w:rPr>
          <w:color w:val="005DA1"/>
          <w:vertAlign w:val="baseline"/>
        </w:rPr>
        <w:t> </w:t>
      </w:r>
      <w:r>
        <w:rPr>
          <w:vertAlign w:val="baseline"/>
        </w:rPr>
        <w:t>Where it is clear that the claimant has </w:t>
      </w:r>
      <w:bookmarkStart w:name="_bookmark182" w:id="184"/>
      <w:bookmarkEnd w:id="184"/>
      <w:r>
        <w:rPr>
          <w:vertAlign w:val="baseline"/>
        </w:rPr>
        <w:t>suffered</w:t>
      </w:r>
      <w:r>
        <w:rPr>
          <w:vertAlign w:val="baseline"/>
        </w:rPr>
        <w:t> substantial loss, but the evidence does not enable it to be precisely quantified, the court </w:t>
      </w:r>
      <w:r>
        <w:rPr>
          <w:vertAlign w:val="baseline"/>
        </w:rPr>
        <w:t>will </w:t>
      </w:r>
      <w:bookmarkStart w:name="_bookmark183" w:id="185"/>
      <w:bookmarkEnd w:id="185"/>
      <w:r>
        <w:rPr>
          <w:vertAlign w:val="baseline"/>
        </w:rPr>
        <w:t>assess</w:t>
      </w:r>
      <w:r>
        <w:rPr>
          <w:spacing w:val="25"/>
          <w:vertAlign w:val="baseline"/>
        </w:rPr>
        <w:t> </w:t>
      </w:r>
      <w:r>
        <w:rPr>
          <w:vertAlign w:val="baseline"/>
        </w:rPr>
        <w:t>damages</w:t>
      </w:r>
      <w:r>
        <w:rPr>
          <w:spacing w:val="25"/>
          <w:vertAlign w:val="baseline"/>
        </w:rPr>
        <w:t> </w:t>
      </w:r>
      <w:r>
        <w:rPr>
          <w:vertAlign w:val="baseline"/>
        </w:rPr>
        <w:t>as</w:t>
      </w:r>
      <w:r>
        <w:rPr>
          <w:spacing w:val="26"/>
          <w:vertAlign w:val="baseline"/>
        </w:rPr>
        <w:t> </w:t>
      </w:r>
      <w:r>
        <w:rPr>
          <w:vertAlign w:val="baseline"/>
        </w:rPr>
        <w:t>best</w:t>
      </w:r>
      <w:r>
        <w:rPr>
          <w:spacing w:val="25"/>
          <w:vertAlign w:val="baseline"/>
        </w:rPr>
        <w:t> </w:t>
      </w:r>
      <w:r>
        <w:rPr>
          <w:vertAlign w:val="baseline"/>
        </w:rPr>
        <w:t>it</w:t>
      </w:r>
      <w:r>
        <w:rPr>
          <w:spacing w:val="25"/>
          <w:vertAlign w:val="baseline"/>
        </w:rPr>
        <w:t> </w:t>
      </w:r>
      <w:r>
        <w:rPr>
          <w:vertAlign w:val="baseline"/>
        </w:rPr>
        <w:t>can</w:t>
      </w:r>
      <w:r>
        <w:rPr>
          <w:spacing w:val="26"/>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available</w:t>
      </w:r>
      <w:r>
        <w:rPr>
          <w:spacing w:val="26"/>
          <w:vertAlign w:val="baseline"/>
        </w:rPr>
        <w:t> </w:t>
      </w:r>
      <w:r>
        <w:rPr>
          <w:vertAlign w:val="baseline"/>
        </w:rPr>
        <w:t>evidence.</w:t>
      </w:r>
      <w:r>
        <w:rPr>
          <w:spacing w:val="24"/>
          <w:vertAlign w:val="baseline"/>
        </w:rPr>
        <w:t> </w:t>
      </w:r>
      <w:r>
        <w:rPr>
          <w:color w:val="005DA1"/>
          <w:u w:val="single" w:color="005DA1"/>
          <w:vertAlign w:val="superscript"/>
        </w:rPr>
        <w:t>97</w:t>
      </w:r>
      <w:r>
        <w:rPr>
          <w:color w:val="005DA1"/>
          <w:spacing w:val="25"/>
          <w:vertAlign w:val="baseline"/>
        </w:rPr>
        <w:t> </w:t>
      </w:r>
      <w:r>
        <w:rPr>
          <w:vertAlign w:val="baseline"/>
        </w:rPr>
        <w:t>The</w:t>
      </w:r>
      <w:r>
        <w:rPr>
          <w:spacing w:val="26"/>
          <w:vertAlign w:val="baseline"/>
        </w:rPr>
        <w:t> </w:t>
      </w:r>
      <w:r>
        <w:rPr>
          <w:vertAlign w:val="baseline"/>
        </w:rPr>
        <w:t>fact</w:t>
      </w:r>
      <w:r>
        <w:rPr>
          <w:spacing w:val="25"/>
          <w:vertAlign w:val="baseline"/>
        </w:rPr>
        <w:t> </w:t>
      </w:r>
      <w:r>
        <w:rPr>
          <w:vertAlign w:val="baseline"/>
        </w:rPr>
        <w:t>that</w:t>
      </w:r>
      <w:r>
        <w:rPr>
          <w:spacing w:val="26"/>
          <w:vertAlign w:val="baseline"/>
        </w:rPr>
        <w:t> </w:t>
      </w:r>
      <w:r>
        <w:rPr>
          <w:vertAlign w:val="baseline"/>
        </w:rPr>
        <w:t>the</w:t>
      </w:r>
      <w:r>
        <w:rPr>
          <w:spacing w:val="25"/>
          <w:vertAlign w:val="baseline"/>
        </w:rPr>
        <w:t> </w:t>
      </w:r>
      <w:r>
        <w:rPr>
          <w:vertAlign w:val="baseline"/>
        </w:rPr>
        <w:t>amount</w:t>
      </w:r>
      <w:r>
        <w:rPr>
          <w:spacing w:val="25"/>
          <w:vertAlign w:val="baseline"/>
        </w:rPr>
        <w:t> </w:t>
      </w:r>
      <w:r>
        <w:rPr>
          <w:vertAlign w:val="baseline"/>
        </w:rPr>
        <w:t>of</w:t>
      </w:r>
      <w:r>
        <w:rPr>
          <w:spacing w:val="26"/>
          <w:vertAlign w:val="baseline"/>
        </w:rPr>
        <w:t> </w:t>
      </w:r>
      <w:r>
        <w:rPr>
          <w:vertAlign w:val="baseline"/>
        </w:rPr>
        <w:t>that</w:t>
      </w:r>
      <w:r>
        <w:rPr>
          <w:spacing w:val="25"/>
          <w:vertAlign w:val="baseline"/>
        </w:rPr>
        <w:t> </w:t>
      </w:r>
      <w:r>
        <w:rPr>
          <w:spacing w:val="-4"/>
          <w:vertAlign w:val="baseline"/>
        </w:rPr>
        <w:t>loss</w:t>
      </w:r>
    </w:p>
    <w:p>
      <w:pPr>
        <w:pStyle w:val="BodyText"/>
        <w:spacing w:line="235" w:lineRule="auto" w:before="119"/>
        <w:ind w:left="165" w:right="167"/>
        <w:jc w:val="both"/>
      </w:pPr>
      <w:r>
        <w:rPr/>
        <w:t>cannot be precisely ascertained does not deprive the claimant of a remedy. </w:t>
      </w:r>
      <w:r>
        <w:rPr>
          <w:color w:val="005DA1"/>
          <w:u w:val="single" w:color="005DA1"/>
          <w:vertAlign w:val="superscript"/>
        </w:rPr>
        <w:t>98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The loss of </w:t>
      </w:r>
      <w:r>
        <w:rPr>
          <w:vertAlign w:val="baseline"/>
        </w:rPr>
        <w:t>profits </w:t>
      </w:r>
      <w:bookmarkStart w:name="_bookmark184" w:id="186"/>
      <w:bookmarkEnd w:id="186"/>
      <w:r>
        <w:rPr>
          <w:vertAlign w:val="baseline"/>
        </w:rPr>
        <w:t>suffered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claimant</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frequently</w:t>
      </w:r>
      <w:r>
        <w:rPr>
          <w:spacing w:val="-1"/>
          <w:vertAlign w:val="baseline"/>
        </w:rPr>
        <w:t> </w:t>
      </w:r>
      <w:r>
        <w:rPr>
          <w:vertAlign w:val="baseline"/>
        </w:rPr>
        <w:t>depends</w:t>
      </w:r>
      <w:r>
        <w:rPr>
          <w:spacing w:val="-1"/>
          <w:vertAlign w:val="baseline"/>
        </w:rPr>
        <w:t> </w:t>
      </w:r>
      <w:r>
        <w:rPr>
          <w:vertAlign w:val="baseline"/>
        </w:rPr>
        <w:t>on</w:t>
      </w:r>
      <w:r>
        <w:rPr>
          <w:spacing w:val="-1"/>
          <w:vertAlign w:val="baseline"/>
        </w:rPr>
        <w:t> </w:t>
      </w:r>
      <w:r>
        <w:rPr>
          <w:vertAlign w:val="baseline"/>
        </w:rPr>
        <w:t>many speculative</w:t>
      </w:r>
      <w:r>
        <w:rPr>
          <w:spacing w:val="-2"/>
          <w:vertAlign w:val="baseline"/>
        </w:rPr>
        <w:t> </w:t>
      </w:r>
      <w:r>
        <w:rPr>
          <w:vertAlign w:val="baseline"/>
        </w:rPr>
        <w:t>factors,</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will</w:t>
      </w:r>
      <w:r>
        <w:rPr>
          <w:spacing w:val="-2"/>
          <w:vertAlign w:val="baseline"/>
        </w:rPr>
        <w:t> </w:t>
      </w:r>
      <w:r>
        <w:rPr>
          <w:vertAlign w:val="baseline"/>
        </w:rPr>
        <w:t>always</w:t>
      </w:r>
      <w:r>
        <w:rPr>
          <w:spacing w:val="-2"/>
          <w:vertAlign w:val="baseline"/>
        </w:rPr>
        <w:t> </w:t>
      </w:r>
      <w:r>
        <w:rPr>
          <w:vertAlign w:val="baseline"/>
        </w:rPr>
        <w:t>attempt</w:t>
      </w:r>
      <w:r>
        <w:rPr>
          <w:spacing w:val="-2"/>
          <w:vertAlign w:val="baseline"/>
        </w:rPr>
        <w:t> </w:t>
      </w:r>
      <w:r>
        <w:rPr>
          <w:vertAlign w:val="baseline"/>
        </w:rPr>
        <w:t>to</w:t>
      </w:r>
      <w:r>
        <w:rPr>
          <w:spacing w:val="-2"/>
          <w:vertAlign w:val="baseline"/>
        </w:rPr>
        <w:t> </w:t>
      </w:r>
      <w:r>
        <w:rPr>
          <w:vertAlign w:val="baseline"/>
        </w:rPr>
        <w:t>assess</w:t>
      </w:r>
      <w:r>
        <w:rPr>
          <w:spacing w:val="-2"/>
          <w:vertAlign w:val="baseline"/>
        </w:rPr>
        <w:t> </w:t>
      </w:r>
      <w:r>
        <w:rPr>
          <w:vertAlign w:val="baseline"/>
        </w:rPr>
        <w:t>the</w:t>
      </w:r>
      <w:r>
        <w:rPr>
          <w:spacing w:val="-2"/>
          <w:vertAlign w:val="baseline"/>
        </w:rPr>
        <w:t> </w:t>
      </w:r>
      <w:r>
        <w:rPr>
          <w:vertAlign w:val="baseline"/>
        </w:rPr>
        <w:t>amount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loss.</w:t>
      </w:r>
      <w:r>
        <w:rPr>
          <w:spacing w:val="-3"/>
          <w:vertAlign w:val="baseline"/>
        </w:rPr>
        <w:t> </w:t>
      </w:r>
      <w:r>
        <w:rPr>
          <w:color w:val="005DA1"/>
          <w:u w:val="single" w:color="005DA1"/>
          <w:vertAlign w:val="superscript"/>
        </w:rPr>
        <w:t>99</w:t>
      </w:r>
      <w:r>
        <w:rPr>
          <w:color w:val="005DA1"/>
          <w:spacing w:val="-2"/>
          <w:vertAlign w:val="baseline"/>
        </w:rPr>
        <w:t> </w:t>
      </w:r>
      <w:r>
        <w:rPr>
          <w:vertAlign w:val="baseline"/>
        </w:rPr>
        <w:t>As</w:t>
      </w:r>
      <w:r>
        <w:rPr>
          <w:spacing w:val="-2"/>
          <w:vertAlign w:val="baseline"/>
        </w:rPr>
        <w:t> </w:t>
      </w:r>
      <w:r>
        <w:rPr>
          <w:vertAlign w:val="baseline"/>
        </w:rPr>
        <w:t>was</w:t>
      </w:r>
      <w:r>
        <w:rPr>
          <w:spacing w:val="-2"/>
          <w:vertAlign w:val="baseline"/>
        </w:rPr>
        <w:t> </w:t>
      </w:r>
      <w:r>
        <w:rPr>
          <w:vertAlign w:val="baseline"/>
        </w:rPr>
        <w:t>said in a recent fraud case:</w:t>
      </w:r>
    </w:p>
    <w:p>
      <w:pPr>
        <w:pStyle w:val="BodyText"/>
      </w:pPr>
    </w:p>
    <w:p>
      <w:pPr>
        <w:pStyle w:val="BodyText"/>
        <w:spacing w:before="125"/>
      </w:pPr>
    </w:p>
    <w:p>
      <w:pPr>
        <w:pStyle w:val="BodyText"/>
        <w:spacing w:line="235" w:lineRule="auto"/>
        <w:ind w:left="1245" w:right="167"/>
        <w:jc w:val="both"/>
      </w:pPr>
      <w:r>
        <w:rPr/>
        <w:t>“Some claims for consequential loss are capable of being established with precision (for example, expenses incurred prior to the date of trial). Other forms of consequential loss are not capable of similarly precise calculation because they involve the attempted measurement of things which would or might have happened (or might not </w:t>
      </w:r>
      <w:r>
        <w:rPr/>
        <w:t>have happened) but for the defendant’s wrongful conduct, as distinct from things which have happened. In such a situation the law does not require a claimant to perform the </w:t>
      </w:r>
      <w:bookmarkStart w:name="_bookmark185" w:id="187"/>
      <w:bookmarkEnd w:id="187"/>
      <w:r>
        <w:rPr/>
        <w:t>impossible,</w:t>
      </w:r>
      <w:r>
        <w:rPr>
          <w:spacing w:val="26"/>
        </w:rPr>
        <w:t> </w:t>
      </w:r>
      <w:r>
        <w:rPr/>
        <w:t>nor</w:t>
      </w:r>
      <w:r>
        <w:rPr>
          <w:spacing w:val="26"/>
        </w:rPr>
        <w:t> </w:t>
      </w:r>
      <w:r>
        <w:rPr/>
        <w:t>does</w:t>
      </w:r>
      <w:r>
        <w:rPr>
          <w:spacing w:val="26"/>
        </w:rPr>
        <w:t> </w:t>
      </w:r>
      <w:r>
        <w:rPr/>
        <w:t>it</w:t>
      </w:r>
      <w:r>
        <w:rPr>
          <w:spacing w:val="26"/>
        </w:rPr>
        <w:t> </w:t>
      </w:r>
      <w:r>
        <w:rPr/>
        <w:t>apply</w:t>
      </w:r>
      <w:r>
        <w:rPr>
          <w:spacing w:val="26"/>
        </w:rPr>
        <w:t> </w:t>
      </w:r>
      <w:r>
        <w:rPr/>
        <w:t>the</w:t>
      </w:r>
      <w:r>
        <w:rPr>
          <w:spacing w:val="26"/>
        </w:rPr>
        <w:t> </w:t>
      </w:r>
      <w:r>
        <w:rPr/>
        <w:t>balance</w:t>
      </w:r>
      <w:r>
        <w:rPr>
          <w:spacing w:val="26"/>
        </w:rPr>
        <w:t> </w:t>
      </w:r>
      <w:r>
        <w:rPr/>
        <w:t>of</w:t>
      </w:r>
      <w:r>
        <w:rPr>
          <w:spacing w:val="26"/>
        </w:rPr>
        <w:t> </w:t>
      </w:r>
      <w:r>
        <w:rPr/>
        <w:t>probability</w:t>
      </w:r>
      <w:r>
        <w:rPr>
          <w:spacing w:val="26"/>
        </w:rPr>
        <w:t> </w:t>
      </w:r>
      <w:r>
        <w:rPr/>
        <w:t>test</w:t>
      </w:r>
      <w:r>
        <w:rPr>
          <w:spacing w:val="26"/>
        </w:rPr>
        <w:t> </w:t>
      </w:r>
      <w:r>
        <w:rPr/>
        <w:t>to</w:t>
      </w:r>
      <w:r>
        <w:rPr>
          <w:spacing w:val="26"/>
        </w:rPr>
        <w:t> </w:t>
      </w:r>
      <w:r>
        <w:rPr/>
        <w:t>the</w:t>
      </w:r>
      <w:r>
        <w:rPr>
          <w:spacing w:val="26"/>
        </w:rPr>
        <w:t> </w:t>
      </w:r>
      <w:r>
        <w:rPr/>
        <w:t>measurement</w:t>
      </w:r>
      <w:r>
        <w:rPr>
          <w:spacing w:val="26"/>
        </w:rPr>
        <w:t> </w:t>
      </w:r>
      <w:r>
        <w:rPr/>
        <w:t>of</w:t>
      </w:r>
      <w:r>
        <w:rPr>
          <w:spacing w:val="26"/>
        </w:rPr>
        <w:t> </w:t>
      </w:r>
      <w:r>
        <w:rPr>
          <w:spacing w:val="-5"/>
        </w:rPr>
        <w:t>the</w:t>
      </w:r>
    </w:p>
    <w:p>
      <w:pPr>
        <w:pStyle w:val="BodyText"/>
        <w:spacing w:before="114"/>
        <w:ind w:left="1245"/>
        <w:jc w:val="both"/>
        <w:rPr>
          <w:position w:val="-2"/>
        </w:rPr>
      </w:pPr>
      <w:r>
        <w:rPr/>
        <w:t>loss.” </w:t>
      </w:r>
      <w:r>
        <w:rPr>
          <w:color w:val="005DA1"/>
          <w:u w:val="single" w:color="005DA1"/>
          <w:vertAlign w:val="superscript"/>
        </w:rPr>
        <w:t>100</w:t>
      </w:r>
      <w:r>
        <w:rPr>
          <w:color w:val="005DA1"/>
          <w:spacing w:val="80"/>
          <w:vertAlign w:val="baseline"/>
        </w:rPr>
        <w:t> </w:t>
      </w:r>
      <w:r>
        <w:rPr>
          <w:color w:val="005DA1"/>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165" w:right="167"/>
        <w:jc w:val="both"/>
      </w:pPr>
      <w:r>
        <w:rPr/>
        <w:t>If the exact loss cannot be determined, the court may have to use the nearest available measure. So</w:t>
      </w:r>
      <w:r>
        <w:rPr>
          <w:spacing w:val="40"/>
        </w:rPr>
        <w:t> </w:t>
      </w:r>
      <w:r>
        <w:rPr/>
        <w:t>if there is no market for the goods which the buyer has wrongly refused to accept, or no clear </w:t>
      </w:r>
      <w:bookmarkStart w:name="_bookmark186" w:id="188"/>
      <w:bookmarkEnd w:id="188"/>
      <w:r>
        <w:rPr/>
        <w:t>evidence</w:t>
      </w:r>
      <w:r>
        <w:rPr/>
        <w:t> of the market value, the price at which they were resold may be taken as the best evidence of their value. </w:t>
      </w:r>
      <w:r>
        <w:rPr>
          <w:color w:val="005DA1"/>
          <w:u w:val="single" w:color="005DA1"/>
          <w:vertAlign w:val="superscript"/>
        </w:rPr>
        <w:t>101</w:t>
      </w:r>
      <w:r>
        <w:rPr>
          <w:color w:val="005DA1"/>
          <w:vertAlign w:val="baseline"/>
        </w:rPr>
        <w:t> </w:t>
      </w:r>
      <w:r>
        <w:rPr>
          <w:vertAlign w:val="baseline"/>
        </w:rPr>
        <w:t>When there is no direct evidence that of the value of services that should have </w:t>
      </w:r>
      <w:r>
        <w:rPr>
          <w:vertAlign w:val="baseline"/>
        </w:rPr>
        <w:t>been </w:t>
      </w:r>
      <w:bookmarkStart w:name="_bookmark187" w:id="189"/>
      <w:bookmarkEnd w:id="189"/>
      <w:r>
        <w:rPr>
          <w:vertAlign w:val="baseline"/>
        </w:rPr>
        <w:t>provided,</w:t>
      </w:r>
      <w:r>
        <w:rPr>
          <w:spacing w:val="-2"/>
          <w:vertAlign w:val="baseline"/>
        </w:rPr>
        <w:t> </w:t>
      </w:r>
      <w:r>
        <w:rPr>
          <w:vertAlign w:val="baseline"/>
        </w:rPr>
        <w:t>damages</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calculated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assumption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services</w:t>
      </w:r>
      <w:r>
        <w:rPr>
          <w:spacing w:val="-2"/>
          <w:vertAlign w:val="baseline"/>
        </w:rPr>
        <w:t> </w:t>
      </w:r>
      <w:r>
        <w:rPr>
          <w:vertAlign w:val="baseline"/>
        </w:rPr>
        <w:t>were</w:t>
      </w:r>
      <w:r>
        <w:rPr>
          <w:spacing w:val="-2"/>
          <w:vertAlign w:val="baseline"/>
        </w:rPr>
        <w:t> </w:t>
      </w:r>
      <w:r>
        <w:rPr>
          <w:vertAlign w:val="baseline"/>
        </w:rPr>
        <w:t>worth</w:t>
      </w:r>
      <w:r>
        <w:rPr>
          <w:spacing w:val="-2"/>
          <w:vertAlign w:val="baseline"/>
        </w:rPr>
        <w:t> </w:t>
      </w:r>
      <w:r>
        <w:rPr>
          <w:vertAlign w:val="baseline"/>
        </w:rPr>
        <w:t>a</w:t>
      </w:r>
      <w:r>
        <w:rPr>
          <w:spacing w:val="-2"/>
          <w:vertAlign w:val="baseline"/>
        </w:rPr>
        <w:t> </w:t>
      </w:r>
      <w:r>
        <w:rPr>
          <w:vertAlign w:val="baseline"/>
        </w:rPr>
        <w:t>proportionate part of the contract price. </w:t>
      </w:r>
      <w:r>
        <w:rPr>
          <w:color w:val="005DA1"/>
          <w:u w:val="single" w:color="005DA1"/>
          <w:vertAlign w:val="superscript"/>
        </w:rPr>
        <w:t>102</w:t>
      </w:r>
      <w:r>
        <w:rPr>
          <w:color w:val="005DA1"/>
          <w:vertAlign w:val="baseline"/>
        </w:rPr>
        <w:t> </w:t>
      </w:r>
      <w:r>
        <w:rPr>
          <w:vertAlign w:val="baseline"/>
        </w:rPr>
        <w:t>When the profit-earning capacity of a business sold was less than had been warranted by the seller and there was no evidence of either the business’s actual value or the value it would have had if the warranty had been met, damages were assessed by working out the </w:t>
      </w:r>
      <w:bookmarkStart w:name="_bookmark188" w:id="190"/>
      <w:bookmarkEnd w:id="190"/>
      <w:r>
        <w:rPr>
          <w:vertAlign w:val="baseline"/>
        </w:rPr>
        <w:t>ratio</w:t>
      </w:r>
      <w:r>
        <w:rPr>
          <w:spacing w:val="26"/>
          <w:vertAlign w:val="baseline"/>
        </w:rPr>
        <w:t> </w:t>
      </w:r>
      <w:r>
        <w:rPr>
          <w:vertAlign w:val="baseline"/>
        </w:rPr>
        <w:t>between</w:t>
      </w:r>
      <w:r>
        <w:rPr>
          <w:spacing w:val="26"/>
          <w:vertAlign w:val="baseline"/>
        </w:rPr>
        <w:t> </w:t>
      </w:r>
      <w:r>
        <w:rPr>
          <w:vertAlign w:val="baseline"/>
        </w:rPr>
        <w:t>the</w:t>
      </w:r>
      <w:r>
        <w:rPr>
          <w:spacing w:val="26"/>
          <w:vertAlign w:val="baseline"/>
        </w:rPr>
        <w:t> </w:t>
      </w:r>
      <w:r>
        <w:rPr>
          <w:vertAlign w:val="baseline"/>
        </w:rPr>
        <w:t>price</w:t>
      </w:r>
      <w:r>
        <w:rPr>
          <w:spacing w:val="26"/>
          <w:vertAlign w:val="baseline"/>
        </w:rPr>
        <w:t> </w:t>
      </w:r>
      <w:r>
        <w:rPr>
          <w:vertAlign w:val="baseline"/>
        </w:rPr>
        <w:t>the</w:t>
      </w:r>
      <w:r>
        <w:rPr>
          <w:spacing w:val="26"/>
          <w:vertAlign w:val="baseline"/>
        </w:rPr>
        <w:t> </w:t>
      </w:r>
      <w:r>
        <w:rPr>
          <w:vertAlign w:val="baseline"/>
        </w:rPr>
        <w:t>buyer</w:t>
      </w:r>
      <w:r>
        <w:rPr>
          <w:spacing w:val="26"/>
          <w:vertAlign w:val="baseline"/>
        </w:rPr>
        <w:t> </w:t>
      </w:r>
      <w:r>
        <w:rPr>
          <w:vertAlign w:val="baseline"/>
        </w:rPr>
        <w:t>was</w:t>
      </w:r>
      <w:r>
        <w:rPr>
          <w:spacing w:val="26"/>
          <w:vertAlign w:val="baseline"/>
        </w:rPr>
        <w:t> </w:t>
      </w:r>
      <w:r>
        <w:rPr>
          <w:vertAlign w:val="baseline"/>
        </w:rPr>
        <w:t>willing</w:t>
      </w:r>
      <w:r>
        <w:rPr>
          <w:spacing w:val="26"/>
          <w:vertAlign w:val="baseline"/>
        </w:rPr>
        <w:t> </w:t>
      </w:r>
      <w:r>
        <w:rPr>
          <w:vertAlign w:val="baseline"/>
        </w:rPr>
        <w:t>to</w:t>
      </w:r>
      <w:r>
        <w:rPr>
          <w:spacing w:val="26"/>
          <w:vertAlign w:val="baseline"/>
        </w:rPr>
        <w:t> </w:t>
      </w:r>
      <w:r>
        <w:rPr>
          <w:vertAlign w:val="baseline"/>
        </w:rPr>
        <w:t>pay</w:t>
      </w:r>
      <w:r>
        <w:rPr>
          <w:spacing w:val="26"/>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warranted</w:t>
      </w:r>
      <w:r>
        <w:rPr>
          <w:spacing w:val="26"/>
          <w:vertAlign w:val="baseline"/>
        </w:rPr>
        <w:t> </w:t>
      </w:r>
      <w:r>
        <w:rPr>
          <w:vertAlign w:val="baseline"/>
        </w:rPr>
        <w:t>earning</w:t>
      </w:r>
      <w:r>
        <w:rPr>
          <w:spacing w:val="26"/>
          <w:vertAlign w:val="baseline"/>
        </w:rPr>
        <w:t> </w:t>
      </w:r>
      <w:r>
        <w:rPr>
          <w:vertAlign w:val="baseline"/>
        </w:rPr>
        <w:t>capacity,</w:t>
      </w:r>
      <w:r>
        <w:rPr>
          <w:spacing w:val="26"/>
          <w:vertAlign w:val="baseline"/>
        </w:rPr>
        <w:t> </w:t>
      </w:r>
      <w:r>
        <w:rPr>
          <w:vertAlign w:val="baseline"/>
        </w:rPr>
        <w:t>and</w:t>
      </w:r>
      <w:r>
        <w:rPr>
          <w:spacing w:val="26"/>
          <w:vertAlign w:val="baseline"/>
        </w:rPr>
        <w:t> </w:t>
      </w:r>
      <w:r>
        <w:rPr>
          <w:spacing w:val="-4"/>
          <w:vertAlign w:val="baseline"/>
        </w:rPr>
        <w:t>then</w:t>
      </w:r>
    </w:p>
    <w:p>
      <w:pPr>
        <w:pStyle w:val="BodyText"/>
        <w:spacing w:before="113"/>
        <w:ind w:left="165"/>
        <w:jc w:val="both"/>
        <w:rPr>
          <w:position w:val="-2"/>
        </w:rPr>
      </w:pPr>
      <w:r>
        <w:rPr/>
        <w:t>applying that to the shortfall in earning capacity. </w:t>
      </w:r>
      <w:r>
        <w:rPr>
          <w:color w:val="005DA1"/>
          <w:u w:val="single" w:color="005DA1"/>
          <w:vertAlign w:val="superscript"/>
        </w:rPr>
        <w:t>103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Loss of </w:t>
      </w:r>
      <w:r>
        <w:rPr>
          <w:rFonts w:ascii="Arial"/>
          <w:b/>
          <w:spacing w:val="-2"/>
          <w:sz w:val="18"/>
        </w:rPr>
        <w:t>chance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016</w:t>
      </w:r>
    </w:p>
    <w:p>
      <w:pPr>
        <w:pStyle w:val="BodyText"/>
        <w:spacing w:before="199"/>
        <w:ind w:left="165"/>
      </w:pPr>
      <w:r>
        <w:rPr/>
        <w:t>In</w:t>
      </w:r>
      <w:r>
        <w:rPr>
          <w:spacing w:val="24"/>
        </w:rPr>
        <w:t> </w:t>
      </w:r>
      <w:r>
        <w:rPr/>
        <w:t>some</w:t>
      </w:r>
      <w:r>
        <w:rPr>
          <w:spacing w:val="24"/>
        </w:rPr>
        <w:t> </w:t>
      </w:r>
      <w:r>
        <w:rPr/>
        <w:t>cases</w:t>
      </w:r>
      <w:r>
        <w:rPr>
          <w:spacing w:val="24"/>
        </w:rPr>
        <w:t> </w:t>
      </w:r>
      <w:r>
        <w:rPr/>
        <w:t>the</w:t>
      </w:r>
      <w:r>
        <w:rPr>
          <w:spacing w:val="24"/>
        </w:rPr>
        <w:t> </w:t>
      </w:r>
      <w:r>
        <w:rPr/>
        <w:t>amount</w:t>
      </w:r>
      <w:r>
        <w:rPr>
          <w:spacing w:val="24"/>
        </w:rPr>
        <w:t> </w:t>
      </w:r>
      <w:r>
        <w:rPr/>
        <w:t>of</w:t>
      </w:r>
      <w:r>
        <w:rPr>
          <w:spacing w:val="24"/>
        </w:rPr>
        <w:t> </w:t>
      </w:r>
      <w:r>
        <w:rPr/>
        <w:t>the</w:t>
      </w:r>
      <w:r>
        <w:rPr>
          <w:spacing w:val="24"/>
        </w:rPr>
        <w:t> </w:t>
      </w:r>
      <w:r>
        <w:rPr/>
        <w:t>claimant’s</w:t>
      </w:r>
      <w:r>
        <w:rPr>
          <w:spacing w:val="24"/>
        </w:rPr>
        <w:t> </w:t>
      </w:r>
      <w:r>
        <w:rPr/>
        <w:t>loss</w:t>
      </w:r>
      <w:r>
        <w:rPr>
          <w:spacing w:val="24"/>
        </w:rPr>
        <w:t> </w:t>
      </w:r>
      <w:r>
        <w:rPr/>
        <w:t>cannot</w:t>
      </w:r>
      <w:r>
        <w:rPr>
          <w:spacing w:val="24"/>
        </w:rPr>
        <w:t> </w:t>
      </w:r>
      <w:r>
        <w:rPr/>
        <w:t>be</w:t>
      </w:r>
      <w:r>
        <w:rPr>
          <w:spacing w:val="24"/>
        </w:rPr>
        <w:t> </w:t>
      </w:r>
      <w:r>
        <w:rPr/>
        <w:t>precisely</w:t>
      </w:r>
      <w:r>
        <w:rPr>
          <w:spacing w:val="24"/>
        </w:rPr>
        <w:t> </w:t>
      </w:r>
      <w:r>
        <w:rPr/>
        <w:t>ascertained</w:t>
      </w:r>
      <w:r>
        <w:rPr>
          <w:spacing w:val="24"/>
        </w:rPr>
        <w:t> </w:t>
      </w:r>
      <w:r>
        <w:rPr/>
        <w:t>because</w:t>
      </w:r>
      <w:r>
        <w:rPr>
          <w:spacing w:val="24"/>
        </w:rPr>
        <w:t> </w:t>
      </w:r>
      <w:r>
        <w:rPr/>
        <w:t>it</w:t>
      </w:r>
      <w:r>
        <w:rPr>
          <w:spacing w:val="24"/>
        </w:rPr>
        <w:t> </w:t>
      </w:r>
      <w:r>
        <w:rPr/>
        <w:t>is</w:t>
      </w:r>
      <w:r>
        <w:rPr>
          <w:spacing w:val="24"/>
        </w:rPr>
        <w:t> </w:t>
      </w:r>
      <w:r>
        <w:rPr>
          <w:spacing w:val="-5"/>
        </w:rPr>
        <w:t>not</w:t>
      </w:r>
    </w:p>
    <w:p>
      <w:pPr>
        <w:pStyle w:val="BodyText"/>
        <w:spacing w:after="0"/>
        <w:sectPr>
          <w:pgSz w:w="11900" w:h="16840"/>
          <w:pgMar w:header="971" w:footer="0" w:top="1300" w:bottom="280" w:left="1275" w:right="1275"/>
        </w:sectPr>
      </w:pPr>
    </w:p>
    <w:p>
      <w:pPr>
        <w:pStyle w:val="BodyText"/>
        <w:spacing w:line="235" w:lineRule="auto" w:before="210"/>
        <w:ind w:left="165" w:right="167"/>
        <w:jc w:val="both"/>
      </w:pPr>
      <w:r>
        <w:rPr/>
        <w:t>known what would have happened had the defendant not broken the contract, as, for example, where whether</w:t>
      </w:r>
      <w:r>
        <w:rPr>
          <w:spacing w:val="-2"/>
        </w:rPr>
        <w:t> </w:t>
      </w:r>
      <w:r>
        <w:rPr/>
        <w:t>the</w:t>
      </w:r>
      <w:r>
        <w:rPr>
          <w:spacing w:val="-2"/>
        </w:rPr>
        <w:t> </w:t>
      </w:r>
      <w:r>
        <w:rPr/>
        <w:t>claimant</w:t>
      </w:r>
      <w:r>
        <w:rPr>
          <w:spacing w:val="-2"/>
        </w:rPr>
        <w:t> </w:t>
      </w:r>
      <w:r>
        <w:rPr/>
        <w:t>would</w:t>
      </w:r>
      <w:r>
        <w:rPr>
          <w:spacing w:val="-2"/>
        </w:rPr>
        <w:t> </w:t>
      </w:r>
      <w:r>
        <w:rPr/>
        <w:t>have</w:t>
      </w:r>
      <w:r>
        <w:rPr>
          <w:spacing w:val="-2"/>
        </w:rPr>
        <w:t> </w:t>
      </w:r>
      <w:r>
        <w:rPr/>
        <w:t>made</w:t>
      </w:r>
      <w:r>
        <w:rPr>
          <w:spacing w:val="-2"/>
        </w:rPr>
        <w:t> </w:t>
      </w:r>
      <w:r>
        <w:rPr/>
        <w:t>a</w:t>
      </w:r>
      <w:r>
        <w:rPr>
          <w:spacing w:val="-2"/>
        </w:rPr>
        <w:t> </w:t>
      </w:r>
      <w:r>
        <w:rPr/>
        <w:t>profit</w:t>
      </w:r>
      <w:r>
        <w:rPr>
          <w:spacing w:val="-2"/>
        </w:rPr>
        <w:t> </w:t>
      </w:r>
      <w:r>
        <w:rPr/>
        <w:t>or</w:t>
      </w:r>
      <w:r>
        <w:rPr>
          <w:spacing w:val="-2"/>
        </w:rPr>
        <w:t> </w:t>
      </w:r>
      <w:r>
        <w:rPr/>
        <w:t>gained</w:t>
      </w:r>
      <w:r>
        <w:rPr>
          <w:spacing w:val="-2"/>
        </w:rPr>
        <w:t> </w:t>
      </w:r>
      <w:r>
        <w:rPr/>
        <w:t>some</w:t>
      </w:r>
      <w:r>
        <w:rPr>
          <w:spacing w:val="-2"/>
        </w:rPr>
        <w:t> </w:t>
      </w:r>
      <w:r>
        <w:rPr/>
        <w:t>advantage</w:t>
      </w:r>
      <w:r>
        <w:rPr>
          <w:spacing w:val="-2"/>
        </w:rPr>
        <w:t> </w:t>
      </w:r>
      <w:r>
        <w:rPr/>
        <w:t>depends</w:t>
      </w:r>
      <w:r>
        <w:rPr>
          <w:spacing w:val="-2"/>
        </w:rPr>
        <w:t> </w:t>
      </w:r>
      <w:r>
        <w:rPr/>
        <w:t>on</w:t>
      </w:r>
      <w:r>
        <w:rPr>
          <w:spacing w:val="-2"/>
        </w:rPr>
        <w:t> </w:t>
      </w:r>
      <w:r>
        <w:rPr/>
        <w:t>a</w:t>
      </w:r>
      <w:r>
        <w:rPr>
          <w:spacing w:val="-2"/>
        </w:rPr>
        <w:t> </w:t>
      </w:r>
      <w:r>
        <w:rPr/>
        <w:t>contingency, does not deprive the claimant of a remedy. Where, if the defendant had fully performed his undertaking, there was only a chance that the claimant would acquire a benefit or make a profit, the </w:t>
      </w:r>
      <w:bookmarkStart w:name="_bookmark189" w:id="191"/>
      <w:bookmarkEnd w:id="191"/>
      <w:r>
        <w:rPr/>
        <w:t>court</w:t>
      </w:r>
      <w:r>
        <w:rPr/>
        <w:t> will discount the damages to reflect the likelihood that the benefit or profit would have been received. </w:t>
      </w:r>
      <w:r>
        <w:rPr>
          <w:color w:val="005DA1"/>
          <w:u w:val="single" w:color="005DA1"/>
          <w:vertAlign w:val="superscript"/>
        </w:rPr>
        <w:t>104</w:t>
      </w:r>
      <w:r>
        <w:rPr>
          <w:color w:val="005DA1"/>
          <w:vertAlign w:val="baseline"/>
        </w:rPr>
        <w:t> </w:t>
      </w:r>
      <w:r>
        <w:rPr>
          <w:vertAlign w:val="baseline"/>
        </w:rPr>
        <w:t>Loss of chance will be explored more fully when we discuss causation. </w:t>
      </w:r>
      <w:r>
        <w:rPr>
          <w:color w:val="005DA1"/>
          <w:u w:val="single" w:color="005DA1"/>
          <w:vertAlign w:val="superscript"/>
        </w:rPr>
        <w:t>105</w:t>
      </w:r>
    </w:p>
    <w:p>
      <w:pPr>
        <w:pStyle w:val="BodyText"/>
      </w:pPr>
    </w:p>
    <w:p>
      <w:pPr>
        <w:pStyle w:val="BodyText"/>
        <w:spacing w:before="36"/>
      </w:pPr>
    </w:p>
    <w:p>
      <w:pPr>
        <w:spacing w:before="1"/>
        <w:ind w:left="165" w:right="0" w:firstLine="0"/>
        <w:jc w:val="both"/>
        <w:rPr>
          <w:rFonts w:ascii="Arial"/>
          <w:b/>
          <w:sz w:val="18"/>
        </w:rPr>
      </w:pPr>
      <w:r>
        <w:rPr>
          <w:rFonts w:ascii="Arial"/>
          <w:b/>
          <w:sz w:val="18"/>
        </w:rPr>
        <w:t>Different methods of </w:t>
      </w:r>
      <w:r>
        <w:rPr>
          <w:rFonts w:ascii="Arial"/>
          <w:b/>
          <w:spacing w:val="-2"/>
          <w:sz w:val="18"/>
        </w:rPr>
        <w:t>assessment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017</w:t>
      </w:r>
    </w:p>
    <w:p>
      <w:pPr>
        <w:pStyle w:val="BodyText"/>
        <w:spacing w:line="235" w:lineRule="auto" w:before="203"/>
        <w:ind w:left="165" w:right="167"/>
        <w:jc w:val="both"/>
      </w:pPr>
      <w:r>
        <w:rPr/>
        <w:t>We will see also that the court may have to determine the most appropriate way to measure the </w:t>
      </w:r>
      <w:r>
        <w:rPr/>
        <w:t>loss. For example, where construction or rebuilding work has not been carried out fully or correctly, the </w:t>
      </w:r>
      <w:bookmarkStart w:name="_bookmark190" w:id="192"/>
      <w:bookmarkEnd w:id="192"/>
      <w:r>
        <w:rPr/>
        <w:t>court</w:t>
      </w:r>
      <w:r>
        <w:rPr>
          <w:spacing w:val="-1"/>
        </w:rPr>
        <w:t> </w:t>
      </w:r>
      <w:r>
        <w:rPr/>
        <w:t>may</w:t>
      </w:r>
      <w:r>
        <w:rPr>
          <w:spacing w:val="-1"/>
        </w:rPr>
        <w:t> </w:t>
      </w:r>
      <w:r>
        <w:rPr/>
        <w:t>have</w:t>
      </w:r>
      <w:r>
        <w:rPr>
          <w:spacing w:val="-1"/>
        </w:rPr>
        <w:t> </w:t>
      </w:r>
      <w:r>
        <w:rPr/>
        <w:t>to</w:t>
      </w:r>
      <w:r>
        <w:rPr>
          <w:spacing w:val="-1"/>
        </w:rPr>
        <w:t> </w:t>
      </w:r>
      <w:r>
        <w:rPr/>
        <w:t>chose</w:t>
      </w:r>
      <w:r>
        <w:rPr>
          <w:spacing w:val="-1"/>
        </w:rPr>
        <w:t> </w:t>
      </w:r>
      <w:r>
        <w:rPr/>
        <w:t>between</w:t>
      </w:r>
      <w:r>
        <w:rPr>
          <w:spacing w:val="-1"/>
        </w:rPr>
        <w:t> </w:t>
      </w:r>
      <w:r>
        <w:rPr/>
        <w:t>measuring</w:t>
      </w:r>
      <w:r>
        <w:rPr>
          <w:spacing w:val="-1"/>
        </w:rPr>
        <w:t> </w:t>
      </w:r>
      <w:r>
        <w:rPr/>
        <w:t>the</w:t>
      </w:r>
      <w:r>
        <w:rPr>
          <w:spacing w:val="-1"/>
        </w:rPr>
        <w:t> </w:t>
      </w:r>
      <w:r>
        <w:rPr/>
        <w:t>claimant’s</w:t>
      </w:r>
      <w:r>
        <w:rPr>
          <w:spacing w:val="-1"/>
        </w:rPr>
        <w:t> </w:t>
      </w:r>
      <w:r>
        <w:rPr/>
        <w:t>loss</w:t>
      </w:r>
      <w:r>
        <w:rPr>
          <w:spacing w:val="-1"/>
        </w:rPr>
        <w:t> </w:t>
      </w:r>
      <w:r>
        <w:rPr/>
        <w:t>by</w:t>
      </w:r>
      <w:r>
        <w:rPr>
          <w:spacing w:val="-1"/>
        </w:rPr>
        <w:t> </w:t>
      </w:r>
      <w:r>
        <w:rPr/>
        <w:t>the</w:t>
      </w:r>
      <w:r>
        <w:rPr>
          <w:spacing w:val="-1"/>
        </w:rPr>
        <w:t> </w:t>
      </w:r>
      <w:r>
        <w:rPr/>
        <w:t>cost</w:t>
      </w:r>
      <w:r>
        <w:rPr>
          <w:spacing w:val="-1"/>
        </w:rPr>
        <w:t> </w:t>
      </w:r>
      <w:r>
        <w:rPr/>
        <w:t>of</w:t>
      </w:r>
      <w:r>
        <w:rPr>
          <w:spacing w:val="-1"/>
        </w:rPr>
        <w:t> </w:t>
      </w:r>
      <w:r>
        <w:rPr/>
        <w:t>completing</w:t>
      </w:r>
      <w:r>
        <w:rPr>
          <w:spacing w:val="-1"/>
        </w:rPr>
        <w:t> </w:t>
      </w:r>
      <w:r>
        <w:rPr/>
        <w:t>the</w:t>
      </w:r>
      <w:r>
        <w:rPr>
          <w:spacing w:val="-1"/>
        </w:rPr>
        <w:t> </w:t>
      </w:r>
      <w:r>
        <w:rPr/>
        <w:t>work</w:t>
      </w:r>
      <w:r>
        <w:rPr>
          <w:spacing w:val="-1"/>
        </w:rPr>
        <w:t> </w:t>
      </w:r>
      <w:r>
        <w:rPr/>
        <w:t>or by the difference in value of the resulting structure </w:t>
      </w:r>
      <w:r>
        <w:rPr>
          <w:color w:val="005DA1"/>
          <w:u w:val="single" w:color="005DA1"/>
          <w:vertAlign w:val="superscript"/>
        </w:rPr>
        <w:t>106</w:t>
      </w:r>
      <w:r>
        <w:rPr>
          <w:vertAlign w:val="baseline"/>
        </w:rPr>
        <w:t>; where a breach of contract has affected the </w:t>
      </w:r>
      <w:bookmarkStart w:name="_bookmark191" w:id="193"/>
      <w:bookmarkEnd w:id="193"/>
      <w:r>
        <w:rPr>
          <w:vertAlign w:val="baseline"/>
        </w:rPr>
        <w:t>claimant’s</w:t>
      </w:r>
      <w:r>
        <w:rPr>
          <w:vertAlign w:val="baseline"/>
        </w:rPr>
        <w:t> business, the court may have to choose between measuring the loss by the reduction in profits or by the effect on the value of the business. </w:t>
      </w:r>
      <w:r>
        <w:rPr>
          <w:color w:val="005DA1"/>
          <w:u w:val="single" w:color="005DA1"/>
          <w:vertAlign w:val="superscript"/>
        </w:rPr>
        <w:t>107</w:t>
      </w:r>
    </w:p>
    <w:p>
      <w:pPr>
        <w:pStyle w:val="BodyText"/>
      </w:pPr>
    </w:p>
    <w:p>
      <w:pPr>
        <w:pStyle w:val="BodyText"/>
        <w:spacing w:before="37"/>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185051</wp:posOffset>
                </wp:positionV>
                <wp:extent cx="572452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0985pt;width:450.75pt;height:.1pt;mso-position-horizontal-relative:page;mso-position-vertical-relative:paragraph;z-index:-15709696;mso-wrap-distance-left:0;mso-wrap-distance-right:0" id="docshape16"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192" w:id="194"/>
      <w:bookmarkEnd w:id="194"/>
      <w:r>
        <w:rPr/>
      </w:r>
      <w:hyperlink w:history="true" w:anchor="_bookmark181">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Chaplin</w:t>
      </w:r>
      <w:r>
        <w:rPr>
          <w:rFonts w:ascii="Arial"/>
          <w:i/>
          <w:spacing w:val="8"/>
          <w:sz w:val="20"/>
        </w:rPr>
        <w:t> </w:t>
      </w:r>
      <w:r>
        <w:rPr>
          <w:rFonts w:ascii="Arial"/>
          <w:i/>
          <w:sz w:val="20"/>
        </w:rPr>
        <w:t>v</w:t>
      </w:r>
      <w:r>
        <w:rPr>
          <w:rFonts w:ascii="Arial"/>
          <w:i/>
          <w:spacing w:val="8"/>
          <w:sz w:val="20"/>
        </w:rPr>
        <w:t> </w:t>
      </w:r>
      <w:r>
        <w:rPr>
          <w:rFonts w:ascii="Arial"/>
          <w:i/>
          <w:sz w:val="20"/>
        </w:rPr>
        <w:t>Hicks</w:t>
      </w:r>
      <w:r>
        <w:rPr>
          <w:rFonts w:ascii="Arial"/>
          <w:i/>
          <w:spacing w:val="8"/>
          <w:sz w:val="20"/>
        </w:rPr>
        <w:t> </w:t>
      </w:r>
      <w:r>
        <w:rPr>
          <w:rFonts w:ascii="Arial"/>
          <w:i/>
          <w:sz w:val="20"/>
        </w:rPr>
        <w:t>[1911]</w:t>
      </w:r>
      <w:r>
        <w:rPr>
          <w:rFonts w:ascii="Arial"/>
          <w:i/>
          <w:spacing w:val="8"/>
          <w:sz w:val="20"/>
        </w:rPr>
        <w:t> </w:t>
      </w:r>
      <w:r>
        <w:rPr>
          <w:rFonts w:ascii="Arial"/>
          <w:i/>
          <w:sz w:val="20"/>
        </w:rPr>
        <w:t>2</w:t>
      </w:r>
      <w:r>
        <w:rPr>
          <w:rFonts w:ascii="Arial"/>
          <w:i/>
          <w:spacing w:val="8"/>
          <w:sz w:val="20"/>
        </w:rPr>
        <w:t> </w:t>
      </w:r>
      <w:r>
        <w:rPr>
          <w:rFonts w:ascii="Arial"/>
          <w:i/>
          <w:sz w:val="20"/>
        </w:rPr>
        <w:t>K.B.</w:t>
      </w:r>
      <w:r>
        <w:rPr>
          <w:rFonts w:ascii="Arial"/>
          <w:i/>
          <w:spacing w:val="8"/>
          <w:sz w:val="20"/>
        </w:rPr>
        <w:t> </w:t>
      </w:r>
      <w:r>
        <w:rPr>
          <w:rFonts w:ascii="Arial"/>
          <w:i/>
          <w:sz w:val="20"/>
        </w:rPr>
        <w:t>786</w:t>
      </w:r>
      <w:r>
        <w:rPr>
          <w:rFonts w:ascii="Arial"/>
          <w:i/>
          <w:spacing w:val="8"/>
          <w:sz w:val="20"/>
        </w:rPr>
        <w:t> </w:t>
      </w:r>
      <w:r>
        <w:rPr>
          <w:sz w:val="20"/>
        </w:rPr>
        <w:t>(below,</w:t>
      </w:r>
      <w:r>
        <w:rPr>
          <w:spacing w:val="8"/>
          <w:sz w:val="20"/>
        </w:rPr>
        <w:t> </w:t>
      </w:r>
      <w:r>
        <w:rPr>
          <w:sz w:val="20"/>
        </w:rPr>
        <w:t>para.26-071);</w:t>
      </w:r>
      <w:r>
        <w:rPr>
          <w:spacing w:val="8"/>
          <w:sz w:val="20"/>
        </w:rPr>
        <w:t> </w:t>
      </w:r>
      <w:r>
        <w:rPr>
          <w:rFonts w:ascii="Arial"/>
          <w:i/>
          <w:sz w:val="20"/>
        </w:rPr>
        <w:t>Simpson</w:t>
      </w:r>
      <w:r>
        <w:rPr>
          <w:rFonts w:ascii="Arial"/>
          <w:i/>
          <w:spacing w:val="8"/>
          <w:sz w:val="20"/>
        </w:rPr>
        <w:t> </w:t>
      </w:r>
      <w:r>
        <w:rPr>
          <w:rFonts w:ascii="Arial"/>
          <w:i/>
          <w:sz w:val="20"/>
        </w:rPr>
        <w:t>v</w:t>
      </w:r>
      <w:r>
        <w:rPr>
          <w:rFonts w:ascii="Arial"/>
          <w:i/>
          <w:spacing w:val="8"/>
          <w:sz w:val="20"/>
        </w:rPr>
        <w:t> </w:t>
      </w:r>
      <w:r>
        <w:rPr>
          <w:rFonts w:ascii="Arial"/>
          <w:i/>
          <w:sz w:val="20"/>
        </w:rPr>
        <w:t>L.N.W.</w:t>
      </w:r>
      <w:r>
        <w:rPr>
          <w:rFonts w:ascii="Arial"/>
          <w:i/>
          <w:spacing w:val="8"/>
          <w:sz w:val="20"/>
        </w:rPr>
        <w:t> </w:t>
      </w:r>
      <w:r>
        <w:rPr>
          <w:rFonts w:ascii="Arial"/>
          <w:i/>
          <w:sz w:val="20"/>
        </w:rPr>
        <w:t>Ry</w:t>
      </w:r>
      <w:r>
        <w:rPr>
          <w:rFonts w:ascii="Arial"/>
          <w:i/>
          <w:spacing w:val="8"/>
          <w:sz w:val="20"/>
        </w:rPr>
        <w:t> </w:t>
      </w:r>
      <w:r>
        <w:rPr>
          <w:rFonts w:ascii="Arial"/>
          <w:i/>
          <w:sz w:val="20"/>
        </w:rPr>
        <w:t>(1876)</w:t>
      </w:r>
      <w:r>
        <w:rPr>
          <w:rFonts w:ascii="Arial"/>
          <w:i/>
          <w:spacing w:val="8"/>
          <w:sz w:val="20"/>
        </w:rPr>
        <w:t> </w:t>
      </w:r>
      <w:r>
        <w:rPr>
          <w:rFonts w:ascii="Arial"/>
          <w:i/>
          <w:sz w:val="20"/>
        </w:rPr>
        <w:t>1</w:t>
      </w:r>
      <w:r>
        <w:rPr>
          <w:rFonts w:ascii="Arial"/>
          <w:i/>
          <w:spacing w:val="8"/>
          <w:sz w:val="20"/>
        </w:rPr>
        <w:t> </w:t>
      </w:r>
      <w:r>
        <w:rPr>
          <w:rFonts w:ascii="Arial"/>
          <w:i/>
          <w:spacing w:val="-2"/>
          <w:sz w:val="20"/>
        </w:rPr>
        <w:t>Q.B.D.</w:t>
      </w:r>
    </w:p>
    <w:p>
      <w:pPr>
        <w:spacing w:line="227" w:lineRule="exact" w:before="0"/>
        <w:ind w:left="705" w:right="0" w:firstLine="0"/>
        <w:jc w:val="left"/>
        <w:rPr>
          <w:sz w:val="20"/>
        </w:rPr>
      </w:pPr>
      <w:r>
        <w:rPr>
          <w:rFonts w:ascii="Arial"/>
          <w:i/>
          <w:spacing w:val="-4"/>
          <w:sz w:val="20"/>
        </w:rPr>
        <w:t>274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3" w:id="195"/>
      <w:bookmarkEnd w:id="195"/>
      <w:r>
        <w:rPr/>
      </w:r>
      <w:hyperlink w:history="true" w:anchor="_bookmark182">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Tai Hing Cotton Mill Ltd v Kamsing Knitting Factory [1979] A.C. 91, </w:t>
      </w:r>
      <w:r>
        <w:rPr>
          <w:rFonts w:ascii="Arial"/>
          <w:i/>
          <w:spacing w:val="-4"/>
          <w:sz w:val="20"/>
        </w:rPr>
        <w:t>106</w:t>
      </w:r>
      <w:r>
        <w:rPr>
          <w:spacing w:val="-4"/>
          <w:sz w:val="20"/>
        </w:rPr>
        <w:t>.</w:t>
      </w:r>
    </w:p>
    <w:p>
      <w:pPr>
        <w:pStyle w:val="BodyText"/>
        <w:spacing w:before="9"/>
        <w:rPr>
          <w:sz w:val="12"/>
        </w:rPr>
      </w:pPr>
    </w:p>
    <w:p>
      <w:pPr>
        <w:pStyle w:val="BodyText"/>
        <w:spacing w:after="0"/>
        <w:rPr>
          <w:sz w:val="12"/>
        </w:rPr>
        <w:sectPr>
          <w:headerReference w:type="default" r:id="rId12"/>
          <w:pgSz w:w="11900" w:h="16840"/>
          <w:pgMar w:header="971" w:footer="0" w:top="1300" w:bottom="280" w:left="1275" w:right="1275"/>
          <w:pgNumType w:start="2"/>
        </w:sectPr>
      </w:pPr>
    </w:p>
    <w:p>
      <w:pPr>
        <w:spacing w:before="95"/>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160331</wp:posOffset>
            </wp:positionV>
            <wp:extent cx="107988" cy="107988"/>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4" w:id="196"/>
      <w:bookmarkEnd w:id="196"/>
      <w:r>
        <w:rPr/>
      </w:r>
      <w:hyperlink w:history="true" w:anchor="_bookmark183">
        <w:r>
          <w:rPr>
            <w:color w:val="005DA1"/>
            <w:spacing w:val="-5"/>
            <w:sz w:val="14"/>
            <w:u w:val="single" w:color="005DA1"/>
          </w:rPr>
          <w:t>98</w:t>
        </w:r>
      </w:hyperlink>
      <w:r>
        <w:rPr>
          <w:spacing w:val="-5"/>
          <w:sz w:val="14"/>
        </w:rPr>
        <w:t>.</w:t>
      </w:r>
    </w:p>
    <w:p>
      <w:pPr>
        <w:spacing w:line="235" w:lineRule="auto" w:before="212"/>
        <w:ind w:left="165" w:right="0" w:firstLine="170"/>
        <w:jc w:val="left"/>
        <w:rPr>
          <w:sz w:val="20"/>
        </w:rPr>
      </w:pPr>
      <w:r>
        <w:rPr/>
        <w:br w:type="column"/>
      </w:r>
      <w:r>
        <w:rPr>
          <w:sz w:val="20"/>
        </w:rPr>
        <w:t>The</w:t>
      </w:r>
      <w:r>
        <w:rPr>
          <w:spacing w:val="33"/>
          <w:sz w:val="20"/>
        </w:rPr>
        <w:t> </w:t>
      </w:r>
      <w:r>
        <w:rPr>
          <w:sz w:val="20"/>
        </w:rPr>
        <w:t>preceding</w:t>
      </w:r>
      <w:r>
        <w:rPr>
          <w:spacing w:val="33"/>
          <w:sz w:val="20"/>
        </w:rPr>
        <w:t> </w:t>
      </w:r>
      <w:r>
        <w:rPr>
          <w:sz w:val="20"/>
        </w:rPr>
        <w:t>sentences</w:t>
      </w:r>
      <w:r>
        <w:rPr>
          <w:spacing w:val="33"/>
          <w:sz w:val="20"/>
        </w:rPr>
        <w:t> </w:t>
      </w:r>
      <w:r>
        <w:rPr>
          <w:sz w:val="20"/>
        </w:rPr>
        <w:t>were</w:t>
      </w:r>
      <w:r>
        <w:rPr>
          <w:spacing w:val="33"/>
          <w:sz w:val="20"/>
        </w:rPr>
        <w:t> </w:t>
      </w:r>
      <w:r>
        <w:rPr>
          <w:sz w:val="20"/>
        </w:rPr>
        <w:t>quoted</w:t>
      </w:r>
      <w:r>
        <w:rPr>
          <w:spacing w:val="33"/>
          <w:sz w:val="20"/>
        </w:rPr>
        <w:t> </w:t>
      </w:r>
      <w:r>
        <w:rPr>
          <w:sz w:val="20"/>
        </w:rPr>
        <w:t>with</w:t>
      </w:r>
      <w:r>
        <w:rPr>
          <w:spacing w:val="33"/>
          <w:sz w:val="20"/>
        </w:rPr>
        <w:t> </w:t>
      </w:r>
      <w:r>
        <w:rPr>
          <w:sz w:val="20"/>
        </w:rPr>
        <w:t>apparent</w:t>
      </w:r>
      <w:r>
        <w:rPr>
          <w:spacing w:val="33"/>
          <w:sz w:val="20"/>
        </w:rPr>
        <w:t> </w:t>
      </w:r>
      <w:r>
        <w:rPr>
          <w:sz w:val="20"/>
        </w:rPr>
        <w:t>approval</w:t>
      </w:r>
      <w:r>
        <w:rPr>
          <w:spacing w:val="33"/>
          <w:sz w:val="20"/>
        </w:rPr>
        <w:t> </w:t>
      </w:r>
      <w:r>
        <w:rPr>
          <w:sz w:val="20"/>
        </w:rPr>
        <w:t>in</w:t>
      </w:r>
      <w:r>
        <w:rPr>
          <w:spacing w:val="32"/>
          <w:sz w:val="20"/>
        </w:rPr>
        <w:t> </w:t>
      </w:r>
      <w:r>
        <w:rPr>
          <w:rFonts w:ascii="Arial"/>
          <w:i/>
          <w:sz w:val="20"/>
        </w:rPr>
        <w:t>Wemyss</w:t>
      </w:r>
      <w:r>
        <w:rPr>
          <w:rFonts w:ascii="Arial"/>
          <w:i/>
          <w:spacing w:val="33"/>
          <w:sz w:val="20"/>
        </w:rPr>
        <w:t> </w:t>
      </w:r>
      <w:r>
        <w:rPr>
          <w:rFonts w:ascii="Arial"/>
          <w:i/>
          <w:sz w:val="20"/>
        </w:rPr>
        <w:t>v</w:t>
      </w:r>
      <w:r>
        <w:rPr>
          <w:rFonts w:ascii="Arial"/>
          <w:i/>
          <w:spacing w:val="33"/>
          <w:sz w:val="20"/>
        </w:rPr>
        <w:t> </w:t>
      </w:r>
      <w:r>
        <w:rPr>
          <w:rFonts w:ascii="Arial"/>
          <w:i/>
          <w:sz w:val="20"/>
        </w:rPr>
        <w:t>Karim</w:t>
      </w:r>
      <w:r>
        <w:rPr>
          <w:rFonts w:ascii="Arial"/>
          <w:i/>
          <w:spacing w:val="33"/>
          <w:sz w:val="20"/>
        </w:rPr>
        <w:t> </w:t>
      </w:r>
      <w:r>
        <w:rPr>
          <w:rFonts w:ascii="Arial"/>
          <w:i/>
          <w:sz w:val="20"/>
        </w:rPr>
        <w:t>[2016] EWCA Civ 27 </w:t>
      </w:r>
      <w:r>
        <w:rPr>
          <w:sz w:val="20"/>
        </w:rPr>
        <w:t>at [43].</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ind w:left="165"/>
      </w:pPr>
      <w:bookmarkStart w:name="_bookmark195" w:id="197"/>
      <w:bookmarkEnd w:id="197"/>
      <w:r>
        <w:rPr/>
      </w:r>
      <w:hyperlink w:history="true" w:anchor="_bookmark184">
        <w:r>
          <w:rPr>
            <w:color w:val="005DA1"/>
            <w:spacing w:val="-5"/>
            <w:position w:val="5"/>
            <w:sz w:val="14"/>
            <w:u w:val="single" w:color="005DA1"/>
          </w:rPr>
          <w:t>99</w:t>
        </w:r>
      </w:hyperlink>
      <w:r>
        <w:rPr>
          <w:spacing w:val="-5"/>
          <w:position w:val="5"/>
          <w:sz w:val="14"/>
        </w:rPr>
        <w:t>.</w:t>
      </w:r>
      <w:r>
        <w:rPr>
          <w:position w:val="5"/>
          <w:sz w:val="14"/>
        </w:rPr>
        <w:tab/>
      </w:r>
      <w:r>
        <w:rPr/>
        <w:t>See below, paras 26-135—26-</w:t>
      </w:r>
      <w:r>
        <w:rPr>
          <w:spacing w:val="-4"/>
        </w:rPr>
        <w:t>138.</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96" w:id="198"/>
      <w:bookmarkEnd w:id="198"/>
      <w:r>
        <w:rPr/>
      </w:r>
      <w:hyperlink w:history="true" w:anchor="_bookmark185">
        <w:r>
          <w:rPr>
            <w:color w:val="005DA1"/>
            <w:spacing w:val="-4"/>
            <w:sz w:val="14"/>
            <w:u w:val="single" w:color="005DA1"/>
          </w:rPr>
          <w:t>100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Parabola Investments Ltd v Browallia Cal Ltd [2010] EWCA Civ 486, [2011] Q.B. 477 </w:t>
      </w:r>
      <w:r>
        <w:rPr>
          <w:sz w:val="20"/>
        </w:rPr>
        <w:t>at [22], Toulson L.J. See also </w:t>
      </w:r>
      <w:r>
        <w:rPr>
          <w:rFonts w:ascii="Arial" w:hAnsi="Arial"/>
          <w:i/>
          <w:sz w:val="20"/>
        </w:rPr>
        <w:t>Wellesley Partners LLP v Withers LLP [2015] EWCA Civ 1146, </w:t>
      </w:r>
      <w:r>
        <w:rPr>
          <w:rFonts w:ascii="Arial" w:hAnsi="Arial"/>
          <w:i/>
          <w:sz w:val="20"/>
        </w:rPr>
        <w:t>[2016]</w:t>
      </w:r>
      <w:r>
        <w:rPr>
          <w:rFonts w:ascii="Arial" w:hAnsi="Arial"/>
          <w:i/>
          <w:spacing w:val="40"/>
          <w:sz w:val="20"/>
        </w:rPr>
        <w:t> </w:t>
      </w:r>
      <w:r>
        <w:rPr>
          <w:rFonts w:ascii="Arial" w:hAnsi="Arial"/>
          <w:i/>
          <w:sz w:val="20"/>
        </w:rPr>
        <w:t>Ch. 529 </w:t>
      </w:r>
      <w:r>
        <w:rPr>
          <w:sz w:val="20"/>
        </w:rPr>
        <w:t>at [95]–[96]. Where the claimant’s proof has been made more difficult by the defendant’s wrong, the principle in </w:t>
      </w:r>
      <w:r>
        <w:rPr>
          <w:rFonts w:ascii="Arial" w:hAnsi="Arial"/>
          <w:i/>
          <w:sz w:val="20"/>
        </w:rPr>
        <w:t>Armory v Delamirie (1722) 1 Stra. 505 </w:t>
      </w:r>
      <w:r>
        <w:rPr>
          <w:sz w:val="20"/>
        </w:rPr>
        <w:t>“raises an evidential (i.e. rebuttable) presumption in favour of the claimant which gives him the benefit of any</w:t>
      </w:r>
      <w:r>
        <w:rPr>
          <w:spacing w:val="40"/>
          <w:sz w:val="20"/>
        </w:rPr>
        <w:t> </w:t>
      </w:r>
      <w:r>
        <w:rPr>
          <w:sz w:val="20"/>
        </w:rPr>
        <w:t>relevant doubt. The practical effect of that is to give the claimant a fair wind in establishing the value of what he has lost”: Jonathan Parker L.J. in </w:t>
      </w:r>
      <w:r>
        <w:rPr>
          <w:rFonts w:ascii="Arial" w:hAnsi="Arial"/>
          <w:i/>
          <w:sz w:val="20"/>
        </w:rPr>
        <w:t>Browning v Brachers [2005] EWCA Civ 753 </w:t>
      </w:r>
      <w:r>
        <w:rPr>
          <w:sz w:val="20"/>
        </w:rPr>
        <w:t>at [210]; see also </w:t>
      </w:r>
      <w:r>
        <w:rPr>
          <w:rFonts w:ascii="Arial" w:hAnsi="Arial"/>
          <w:i/>
          <w:sz w:val="20"/>
        </w:rPr>
        <w:t>Fearns v Anglo-Dutch Paint &amp; Chemical Co Ltd [2010] EWHC 1708 (Ch) </w:t>
      </w:r>
      <w:r>
        <w:rPr>
          <w:sz w:val="20"/>
        </w:rPr>
        <w:t>at [70];</w:t>
      </w:r>
      <w:r>
        <w:rPr>
          <w:spacing w:val="9"/>
          <w:sz w:val="20"/>
        </w:rPr>
        <w:t> </w:t>
      </w:r>
      <w:r>
        <w:rPr>
          <w:rFonts w:ascii="Arial" w:hAnsi="Arial"/>
          <w:i/>
          <w:sz w:val="20"/>
        </w:rPr>
        <w:t>Double</w:t>
      </w:r>
      <w:r>
        <w:rPr>
          <w:rFonts w:ascii="Arial" w:hAnsi="Arial"/>
          <w:i/>
          <w:spacing w:val="9"/>
          <w:sz w:val="20"/>
        </w:rPr>
        <w:t> </w:t>
      </w:r>
      <w:r>
        <w:rPr>
          <w:rFonts w:ascii="Arial" w:hAnsi="Arial"/>
          <w:i/>
          <w:sz w:val="20"/>
        </w:rPr>
        <w:t>G</w:t>
      </w:r>
      <w:r>
        <w:rPr>
          <w:rFonts w:ascii="Arial" w:hAnsi="Arial"/>
          <w:i/>
          <w:spacing w:val="9"/>
          <w:sz w:val="20"/>
        </w:rPr>
        <w:t> </w:t>
      </w:r>
      <w:r>
        <w:rPr>
          <w:rFonts w:ascii="Arial" w:hAnsi="Arial"/>
          <w:i/>
          <w:sz w:val="20"/>
        </w:rPr>
        <w:t>Communications</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News</w:t>
      </w:r>
      <w:r>
        <w:rPr>
          <w:rFonts w:ascii="Arial" w:hAnsi="Arial"/>
          <w:i/>
          <w:spacing w:val="9"/>
          <w:sz w:val="20"/>
        </w:rPr>
        <w:t> </w:t>
      </w:r>
      <w:r>
        <w:rPr>
          <w:rFonts w:ascii="Arial" w:hAnsi="Arial"/>
          <w:i/>
          <w:sz w:val="20"/>
        </w:rPr>
        <w:t>Group</w:t>
      </w:r>
      <w:r>
        <w:rPr>
          <w:rFonts w:ascii="Arial" w:hAnsi="Arial"/>
          <w:i/>
          <w:spacing w:val="9"/>
          <w:sz w:val="20"/>
        </w:rPr>
        <w:t> </w:t>
      </w:r>
      <w:r>
        <w:rPr>
          <w:rFonts w:ascii="Arial" w:hAnsi="Arial"/>
          <w:i/>
          <w:sz w:val="20"/>
        </w:rPr>
        <w:t>International</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961</w:t>
      </w:r>
      <w:r>
        <w:rPr>
          <w:rFonts w:ascii="Arial" w:hAnsi="Arial"/>
          <w:i/>
          <w:spacing w:val="9"/>
          <w:sz w:val="20"/>
        </w:rPr>
        <w:t> </w:t>
      </w:r>
      <w:r>
        <w:rPr>
          <w:rFonts w:ascii="Arial" w:hAnsi="Arial"/>
          <w:i/>
          <w:sz w:val="20"/>
        </w:rPr>
        <w:t>(QB)</w:t>
      </w:r>
      <w:r>
        <w:rPr>
          <w:rFonts w:ascii="Arial" w:hAnsi="Arial"/>
          <w:i/>
          <w:spacing w:val="8"/>
          <w:sz w:val="20"/>
        </w:rPr>
        <w:t> </w:t>
      </w:r>
      <w:r>
        <w:rPr>
          <w:spacing w:val="-5"/>
          <w:sz w:val="20"/>
        </w:rPr>
        <w:t>at</w:t>
      </w:r>
    </w:p>
    <w:p>
      <w:pPr>
        <w:spacing w:line="235" w:lineRule="auto" w:before="0"/>
        <w:ind w:left="165" w:right="167" w:firstLine="0"/>
        <w:jc w:val="both"/>
        <w:rPr>
          <w:sz w:val="20"/>
        </w:rPr>
      </w:pPr>
      <w:r>
        <w:rPr>
          <w:sz w:val="20"/>
        </w:rPr>
        <w:drawing>
          <wp:anchor distT="0" distB="0" distL="0" distR="0" allowOverlap="1" layoutInCell="1" locked="0" behindDoc="0" simplePos="0" relativeHeight="15748608">
            <wp:simplePos x="0" y="0"/>
            <wp:positionH relativeFrom="page">
              <wp:posOffset>1257846</wp:posOffset>
            </wp:positionH>
            <wp:positionV relativeFrom="paragraph">
              <wp:posOffset>-1262156</wp:posOffset>
            </wp:positionV>
            <wp:extent cx="107988" cy="10798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[5]; </w:t>
      </w:r>
      <w:r>
        <w:rPr>
          <w:rFonts w:ascii="Arial" w:hAnsi="Arial"/>
          <w:i/>
          <w:sz w:val="20"/>
        </w:rPr>
        <w:t>Yam Seng Pte Ltd v International Trade Corp Ltd [2013] EWHC 111 (QB), [2013] 1 </w:t>
      </w:r>
      <w:r>
        <w:rPr>
          <w:rFonts w:ascii="Arial" w:hAnsi="Arial"/>
          <w:i/>
          <w:sz w:val="20"/>
        </w:rPr>
        <w:t>Lloyd’s Rep. 526 </w:t>
      </w:r>
      <w:r>
        <w:rPr>
          <w:sz w:val="20"/>
        </w:rPr>
        <w:t>at [189]; </w:t>
      </w:r>
      <w:r>
        <w:rPr>
          <w:rFonts w:ascii="Arial" w:hAnsi="Arial"/>
          <w:i/>
          <w:sz w:val="20"/>
        </w:rPr>
        <w:t>Gul Bottlers (PVT) Ltd v Nichols Plc [2014] EWHC 2173 (Comm) </w:t>
      </w:r>
      <w:r>
        <w:rPr>
          <w:sz w:val="20"/>
        </w:rPr>
        <w:t>at [86]. The principle applies where the defendant has suppressed or failed to produce evidence to which it has access, not when the evidence is simply incomplete or involves a measure of conjecture, see </w:t>
      </w:r>
      <w:r>
        <w:rPr>
          <w:rFonts w:ascii="Arial" w:hAnsi="Arial"/>
          <w:i/>
          <w:sz w:val="20"/>
        </w:rPr>
        <w:t>Porton Capital Technology Funds v 3M UK Holdings Ltd [2011] EWHC 2895 (Comm) </w:t>
      </w:r>
      <w:r>
        <w:rPr>
          <w:sz w:val="20"/>
        </w:rPr>
        <w:t>at [244]; </w:t>
      </w:r>
      <w:r>
        <w:rPr>
          <w:rFonts w:ascii="Arial" w:hAnsi="Arial"/>
          <w:i/>
          <w:sz w:val="20"/>
        </w:rPr>
        <w:t>University of Wales v London College of Business Ltd [2016] EWHC 888 (QB) </w:t>
      </w:r>
      <w:r>
        <w:rPr>
          <w:sz w:val="20"/>
        </w:rPr>
        <w:t>at [10].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spacing w:line="235" w:lineRule="auto" w:before="1"/>
        <w:ind w:left="705" w:right="167" w:hanging="541"/>
        <w:jc w:val="both"/>
        <w:rPr>
          <w:sz w:val="20"/>
        </w:rPr>
      </w:pPr>
      <w:bookmarkStart w:name="_bookmark197" w:id="199"/>
      <w:bookmarkEnd w:id="199"/>
      <w:r>
        <w:rPr/>
      </w:r>
      <w:hyperlink w:history="true" w:anchor="_bookmark186">
        <w:r>
          <w:rPr>
            <w:color w:val="005DA1"/>
            <w:position w:val="5"/>
            <w:sz w:val="14"/>
            <w:u w:val="single" w:color="005DA1"/>
          </w:rPr>
          <w:t>101</w:t>
        </w:r>
      </w:hyperlink>
      <w:r>
        <w:rPr>
          <w:position w:val="5"/>
          <w:sz w:val="14"/>
        </w:rPr>
        <w:t>.</w:t>
      </w:r>
      <w:r>
        <w:rPr>
          <w:spacing w:val="80"/>
          <w:position w:val="5"/>
          <w:sz w:val="14"/>
        </w:rPr>
        <w:t>  </w:t>
      </w:r>
      <w:r>
        <w:rPr>
          <w:sz w:val="20"/>
        </w:rPr>
        <w:t>See</w:t>
      </w:r>
      <w:r>
        <w:rPr>
          <w:spacing w:val="31"/>
          <w:sz w:val="20"/>
        </w:rPr>
        <w:t> </w:t>
      </w:r>
      <w:r>
        <w:rPr>
          <w:sz w:val="20"/>
        </w:rPr>
        <w:t>below,</w:t>
      </w:r>
      <w:r>
        <w:rPr>
          <w:spacing w:val="31"/>
          <w:sz w:val="20"/>
        </w:rPr>
        <w:t> </w:t>
      </w:r>
      <w:r>
        <w:rPr>
          <w:sz w:val="20"/>
        </w:rPr>
        <w:t>para.44-379.</w:t>
      </w:r>
      <w:r>
        <w:rPr>
          <w:spacing w:val="31"/>
          <w:sz w:val="20"/>
        </w:rPr>
        <w:t> </w:t>
      </w:r>
      <w:r>
        <w:rPr>
          <w:sz w:val="20"/>
        </w:rPr>
        <w:t>Likewise,</w:t>
      </w:r>
      <w:r>
        <w:rPr>
          <w:spacing w:val="31"/>
          <w:sz w:val="20"/>
        </w:rPr>
        <w:t> </w:t>
      </w:r>
      <w:r>
        <w:rPr>
          <w:sz w:val="20"/>
        </w:rPr>
        <w:t>evidence</w:t>
      </w:r>
      <w:r>
        <w:rPr>
          <w:spacing w:val="31"/>
          <w:sz w:val="20"/>
        </w:rPr>
        <w:t> </w:t>
      </w:r>
      <w:r>
        <w:rPr>
          <w:sz w:val="20"/>
        </w:rPr>
        <w:t>of</w:t>
      </w:r>
      <w:r>
        <w:rPr>
          <w:spacing w:val="31"/>
          <w:sz w:val="20"/>
        </w:rPr>
        <w:t> </w:t>
      </w:r>
      <w:r>
        <w:rPr>
          <w:sz w:val="20"/>
        </w:rPr>
        <w:t>the</w:t>
      </w:r>
      <w:r>
        <w:rPr>
          <w:spacing w:val="31"/>
          <w:sz w:val="20"/>
        </w:rPr>
        <w:t> </w:t>
      </w:r>
      <w:r>
        <w:rPr>
          <w:sz w:val="20"/>
        </w:rPr>
        <w:t>actual</w:t>
      </w:r>
      <w:r>
        <w:rPr>
          <w:spacing w:val="31"/>
          <w:sz w:val="20"/>
        </w:rPr>
        <w:t> </w:t>
      </w:r>
      <w:r>
        <w:rPr>
          <w:sz w:val="20"/>
        </w:rPr>
        <w:t>earnings</w:t>
      </w:r>
      <w:r>
        <w:rPr>
          <w:spacing w:val="31"/>
          <w:sz w:val="20"/>
        </w:rPr>
        <w:t> </w:t>
      </w:r>
      <w:r>
        <w:rPr>
          <w:sz w:val="20"/>
        </w:rPr>
        <w:t>made</w:t>
      </w:r>
      <w:r>
        <w:rPr>
          <w:spacing w:val="31"/>
          <w:sz w:val="20"/>
        </w:rPr>
        <w:t> </w:t>
      </w:r>
      <w:r>
        <w:rPr>
          <w:sz w:val="20"/>
        </w:rPr>
        <w:t>by</w:t>
      </w:r>
      <w:r>
        <w:rPr>
          <w:spacing w:val="31"/>
          <w:sz w:val="20"/>
        </w:rPr>
        <w:t> </w:t>
      </w:r>
      <w:r>
        <w:rPr>
          <w:sz w:val="20"/>
        </w:rPr>
        <w:t>a</w:t>
      </w:r>
      <w:r>
        <w:rPr>
          <w:spacing w:val="31"/>
          <w:sz w:val="20"/>
        </w:rPr>
        <w:t> </w:t>
      </w:r>
      <w:r>
        <w:rPr>
          <w:sz w:val="20"/>
        </w:rPr>
        <w:t>ship</w:t>
      </w:r>
      <w:r>
        <w:rPr>
          <w:spacing w:val="31"/>
          <w:sz w:val="20"/>
        </w:rPr>
        <w:t> </w:t>
      </w:r>
      <w:r>
        <w:rPr>
          <w:sz w:val="20"/>
        </w:rPr>
        <w:t>may</w:t>
      </w:r>
      <w:r>
        <w:rPr>
          <w:spacing w:val="31"/>
          <w:sz w:val="20"/>
        </w:rPr>
        <w:t> </w:t>
      </w:r>
      <w:r>
        <w:rPr>
          <w:sz w:val="20"/>
        </w:rPr>
        <w:t>be used as evidence of the current rates in the charter market: </w:t>
      </w:r>
      <w:r>
        <w:rPr>
          <w:rFonts w:ascii="Arial" w:hAnsi="Arial"/>
          <w:i/>
          <w:sz w:val="20"/>
        </w:rPr>
        <w:t>Glory Wealth Shipping Pte Ltd v North China Shipping Ltd (The North Prince) [2010] EWHC 1692 (Comm), [2011] 1 All E.R. (Comm) 641</w:t>
      </w:r>
      <w:r>
        <w:rPr>
          <w:sz w:val="20"/>
        </w:rPr>
        <w:t>, [16]–[19].</w:t>
      </w:r>
    </w:p>
    <w:p>
      <w:pPr>
        <w:pStyle w:val="BodyText"/>
        <w:spacing w:before="4"/>
      </w:pPr>
    </w:p>
    <w:p>
      <w:pPr>
        <w:pStyle w:val="BodyText"/>
        <w:tabs>
          <w:tab w:pos="705" w:val="left" w:leader="none"/>
        </w:tabs>
        <w:ind w:left="165"/>
      </w:pPr>
      <w:bookmarkStart w:name="_bookmark198" w:id="200"/>
      <w:bookmarkEnd w:id="200"/>
      <w:r>
        <w:rPr/>
      </w:r>
      <w:hyperlink w:history="true" w:anchor="_bookmark187">
        <w:r>
          <w:rPr>
            <w:color w:val="005DA1"/>
            <w:spacing w:val="-4"/>
            <w:position w:val="5"/>
            <w:sz w:val="14"/>
            <w:u w:val="single" w:color="005DA1"/>
          </w:rPr>
          <w:t>102</w:t>
        </w:r>
      </w:hyperlink>
      <w:r>
        <w:rPr>
          <w:spacing w:val="-4"/>
          <w:position w:val="5"/>
          <w:sz w:val="14"/>
        </w:rPr>
        <w:t>.</w:t>
      </w:r>
      <w:r>
        <w:rPr>
          <w:position w:val="5"/>
          <w:sz w:val="14"/>
        </w:rPr>
        <w:tab/>
      </w:r>
      <w:r>
        <w:rPr/>
        <w:t>See below, para.26-041 </w:t>
      </w:r>
      <w:r>
        <w:rPr>
          <w:spacing w:val="-2"/>
        </w:rPr>
        <w:t>n.218.</w:t>
      </w:r>
    </w:p>
    <w:p>
      <w:pPr>
        <w:pStyle w:val="BodyText"/>
        <w:spacing w:before="81"/>
        <w:rPr>
          <w:sz w:val="14"/>
        </w:rPr>
      </w:pPr>
    </w:p>
    <w:p>
      <w:pPr>
        <w:spacing w:line="137" w:lineRule="exact" w:before="1"/>
        <w:ind w:left="165" w:right="0" w:firstLine="0"/>
        <w:jc w:val="left"/>
        <w:rPr>
          <w:sz w:val="14"/>
        </w:rPr>
      </w:pPr>
      <w:bookmarkStart w:name="_bookmark199" w:id="201"/>
      <w:bookmarkEnd w:id="201"/>
      <w:r>
        <w:rPr/>
      </w:r>
      <w:hyperlink w:history="true" w:anchor="_bookmark188">
        <w:r>
          <w:rPr>
            <w:color w:val="005DA1"/>
            <w:spacing w:val="-4"/>
            <w:sz w:val="14"/>
            <w:u w:val="single" w:color="005DA1"/>
          </w:rPr>
          <w:t>103</w:t>
        </w:r>
      </w:hyperlink>
      <w:r>
        <w:rPr>
          <w:spacing w:val="-4"/>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749120">
            <wp:simplePos x="0" y="0"/>
            <wp:positionH relativeFrom="page">
              <wp:posOffset>1257846</wp:posOffset>
            </wp:positionH>
            <wp:positionV relativeFrom="paragraph">
              <wp:posOffset>12523</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Wemyss v Karim [2016] EWCA Civ 27</w:t>
      </w:r>
      <w:r>
        <w:rPr>
          <w:rFonts w:ascii="Arial"/>
          <w:i/>
          <w:spacing w:val="-1"/>
          <w:sz w:val="20"/>
        </w:rPr>
        <w:t> </w:t>
      </w:r>
      <w:r>
        <w:rPr>
          <w:sz w:val="20"/>
        </w:rPr>
        <w:t>at </w:t>
      </w:r>
      <w:r>
        <w:rPr>
          <w:spacing w:val="-2"/>
          <w:sz w:val="20"/>
        </w:rPr>
        <w:t>[49].</w:t>
      </w:r>
    </w:p>
    <w:p>
      <w:pPr>
        <w:pStyle w:val="BodyText"/>
        <w:spacing w:before="4"/>
      </w:pPr>
    </w:p>
    <w:p>
      <w:pPr>
        <w:pStyle w:val="BodyText"/>
        <w:tabs>
          <w:tab w:pos="705" w:val="left" w:leader="none"/>
        </w:tabs>
        <w:spacing w:before="1"/>
        <w:ind w:left="165"/>
      </w:pPr>
      <w:bookmarkStart w:name="_bookmark200" w:id="202"/>
      <w:bookmarkEnd w:id="202"/>
      <w:r>
        <w:rPr/>
      </w:r>
      <w:hyperlink w:history="true" w:anchor="_bookmark189">
        <w:r>
          <w:rPr>
            <w:color w:val="005DA1"/>
            <w:spacing w:val="-4"/>
            <w:position w:val="5"/>
            <w:sz w:val="14"/>
            <w:u w:val="single" w:color="005DA1"/>
          </w:rPr>
          <w:t>104</w:t>
        </w:r>
      </w:hyperlink>
      <w:r>
        <w:rPr>
          <w:spacing w:val="-4"/>
          <w:position w:val="5"/>
          <w:sz w:val="14"/>
        </w:rPr>
        <w:t>.</w:t>
      </w:r>
      <w:r>
        <w:rPr>
          <w:position w:val="5"/>
          <w:sz w:val="14"/>
        </w:rPr>
        <w:tab/>
      </w:r>
      <w:r>
        <w:rPr/>
        <w:t>See below, paras 26-071—26-</w:t>
      </w:r>
      <w:r>
        <w:rPr>
          <w:spacing w:val="-4"/>
        </w:rPr>
        <w:t>073.</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bookmarkStart w:name="_bookmark201" w:id="203"/>
      <w:bookmarkEnd w:id="203"/>
      <w:r>
        <w:rPr/>
      </w:r>
      <w:hyperlink w:history="true" w:anchor="_bookmark189">
        <w:r>
          <w:rPr>
            <w:color w:val="005DA1"/>
            <w:spacing w:val="-4"/>
            <w:position w:val="5"/>
            <w:sz w:val="14"/>
            <w:u w:val="single" w:color="005DA1"/>
          </w:rPr>
          <w:t>105</w:t>
        </w:r>
      </w:hyperlink>
      <w:r>
        <w:rPr>
          <w:spacing w:val="-4"/>
          <w:position w:val="5"/>
          <w:sz w:val="14"/>
        </w:rPr>
        <w:t>.</w:t>
      </w:r>
      <w:r>
        <w:rPr>
          <w:position w:val="5"/>
          <w:sz w:val="14"/>
        </w:rPr>
        <w:tab/>
      </w:r>
      <w:r>
        <w:rPr/>
        <w:t>See</w:t>
      </w:r>
      <w:r>
        <w:rPr>
          <w:spacing w:val="-2"/>
        </w:rPr>
        <w:t> </w:t>
      </w:r>
      <w:r>
        <w:rPr/>
        <w:t>below, para.26-</w:t>
      </w:r>
      <w:r>
        <w:rPr>
          <w:spacing w:val="-4"/>
        </w:rPr>
        <w:t>058.</w:t>
      </w:r>
    </w:p>
    <w:p>
      <w:pPr>
        <w:pStyle w:val="BodyText"/>
        <w:spacing w:before="5"/>
      </w:pPr>
    </w:p>
    <w:p>
      <w:pPr>
        <w:pStyle w:val="BodyText"/>
        <w:tabs>
          <w:tab w:pos="705" w:val="left" w:leader="none"/>
        </w:tabs>
        <w:spacing w:before="1"/>
        <w:ind w:left="165"/>
      </w:pPr>
      <w:bookmarkStart w:name="_bookmark202" w:id="204"/>
      <w:bookmarkEnd w:id="204"/>
      <w:r>
        <w:rPr/>
      </w:r>
      <w:hyperlink w:history="true" w:anchor="_bookmark190">
        <w:r>
          <w:rPr>
            <w:color w:val="005DA1"/>
            <w:spacing w:val="-4"/>
            <w:position w:val="5"/>
            <w:sz w:val="14"/>
            <w:u w:val="single" w:color="005DA1"/>
          </w:rPr>
          <w:t>106</w:t>
        </w:r>
      </w:hyperlink>
      <w:r>
        <w:rPr>
          <w:spacing w:val="-4"/>
          <w:position w:val="5"/>
          <w:sz w:val="14"/>
        </w:rPr>
        <w:t>.</w:t>
      </w:r>
      <w:r>
        <w:rPr>
          <w:position w:val="5"/>
          <w:sz w:val="14"/>
        </w:rPr>
        <w:tab/>
      </w:r>
      <w:r>
        <w:rPr/>
        <w:t>See below, paras 26-034 et </w:t>
      </w:r>
      <w:r>
        <w:rPr>
          <w:spacing w:val="-4"/>
        </w:rPr>
        <w:t>seq.</w:t>
      </w:r>
    </w:p>
    <w:p>
      <w:pPr>
        <w:pStyle w:val="BodyText"/>
        <w:spacing w:before="4"/>
      </w:pPr>
    </w:p>
    <w:p>
      <w:pPr>
        <w:pStyle w:val="BodyText"/>
        <w:tabs>
          <w:tab w:pos="705" w:val="left" w:leader="none"/>
        </w:tabs>
        <w:spacing w:before="1"/>
        <w:ind w:left="165"/>
      </w:pPr>
      <w:bookmarkStart w:name="_bookmark203" w:id="205"/>
      <w:bookmarkEnd w:id="205"/>
      <w:r>
        <w:rPr/>
      </w:r>
      <w:hyperlink w:history="true" w:anchor="_bookmark191">
        <w:r>
          <w:rPr>
            <w:color w:val="005DA1"/>
            <w:spacing w:val="-4"/>
            <w:position w:val="5"/>
            <w:sz w:val="14"/>
            <w:u w:val="single" w:color="005DA1"/>
          </w:rPr>
          <w:t>107</w:t>
        </w:r>
      </w:hyperlink>
      <w:r>
        <w:rPr>
          <w:spacing w:val="-4"/>
          <w:position w:val="5"/>
          <w:sz w:val="14"/>
        </w:rPr>
        <w:t>.</w:t>
      </w:r>
      <w:r>
        <w:rPr>
          <w:position w:val="5"/>
          <w:sz w:val="14"/>
        </w:rPr>
        <w:tab/>
      </w:r>
      <w:r>
        <w:rPr/>
        <w:t>See</w:t>
      </w:r>
      <w:r>
        <w:rPr>
          <w:spacing w:val="-2"/>
        </w:rPr>
        <w:t> </w:t>
      </w:r>
      <w:r>
        <w:rPr/>
        <w:t>below, para.26-</w:t>
      </w:r>
      <w:r>
        <w:rPr>
          <w:spacing w:val="-4"/>
        </w:rPr>
        <w:t>172.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 - The Nature of Damages for Breach of </w:t>
      </w:r>
      <w:r>
        <w:rPr>
          <w:rFonts w:ascii="Arial"/>
          <w:b/>
          <w:spacing w:val="-2"/>
          <w:sz w:val="24"/>
        </w:rPr>
        <w:t>Contract</w:t>
      </w:r>
    </w:p>
    <w:p>
      <w:pPr>
        <w:pStyle w:val="ListParagraph"/>
        <w:numPr>
          <w:ilvl w:val="0"/>
          <w:numId w:val="2"/>
        </w:numPr>
        <w:tabs>
          <w:tab w:pos="2197" w:val="left" w:leader="none"/>
        </w:tabs>
        <w:spacing w:line="240" w:lineRule="auto" w:before="194" w:after="0"/>
        <w:ind w:left="2197" w:right="0" w:hanging="373"/>
        <w:jc w:val="left"/>
        <w:rPr>
          <w:b/>
          <w:sz w:val="24"/>
        </w:rPr>
      </w:pPr>
      <w:r>
        <w:rPr>
          <w:b/>
          <w:sz w:val="24"/>
        </w:rPr>
        <w:t>- Appeals against the Assessment of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Power of appellate court to reassess </w:t>
      </w:r>
      <w:r>
        <w:rPr>
          <w:rFonts w:asci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018</w:t>
      </w:r>
    </w:p>
    <w:p>
      <w:pPr>
        <w:pStyle w:val="BodyText"/>
        <w:spacing w:line="235" w:lineRule="auto" w:before="202"/>
        <w:ind w:left="164" w:right="167"/>
        <w:jc w:val="both"/>
      </w:pPr>
      <w:bookmarkStart w:name="_bookmark204" w:id="206"/>
      <w:bookmarkEnd w:id="206"/>
      <w:r>
        <w:rPr/>
      </w:r>
      <w:r>
        <w:rPr/>
        <w:t>When the Court of Appeal hears an appeal </w:t>
      </w:r>
      <w:r>
        <w:rPr>
          <w:color w:val="005DA1"/>
          <w:u w:val="single" w:color="005DA1"/>
          <w:vertAlign w:val="superscript"/>
        </w:rPr>
        <w:t>108</w:t>
      </w:r>
      <w:r>
        <w:rPr>
          <w:color w:val="005DA1"/>
          <w:vertAlign w:val="baseline"/>
        </w:rPr>
        <w:t> </w:t>
      </w:r>
      <w:r>
        <w:rPr>
          <w:vertAlign w:val="baseline"/>
        </w:rPr>
        <w:t>against the assessment of damages made by a judge </w:t>
      </w:r>
      <w:bookmarkStart w:name="_bookmark205" w:id="207"/>
      <w:bookmarkEnd w:id="207"/>
      <w:r>
        <w:rPr>
          <w:vertAlign w:val="baseline"/>
        </w:rPr>
        <w:t>sitting</w:t>
      </w:r>
      <w:r>
        <w:rPr>
          <w:vertAlign w:val="baseline"/>
        </w:rPr>
        <w:t> alone, without a jury, it applies similar principles to those followed previously in considering </w:t>
      </w:r>
      <w:bookmarkStart w:name="_bookmark206" w:id="208"/>
      <w:bookmarkEnd w:id="208"/>
      <w:r>
        <w:rPr>
          <w:vertAlign w:val="baseline"/>
        </w:rPr>
        <w:t>appeals</w:t>
      </w:r>
      <w:r>
        <w:rPr>
          <w:vertAlign w:val="baseline"/>
        </w:rPr>
        <w:t> against the award of damages by the verdict of a jury. </w:t>
      </w:r>
      <w:r>
        <w:rPr>
          <w:color w:val="005DA1"/>
          <w:u w:val="single" w:color="005DA1"/>
          <w:vertAlign w:val="superscript"/>
        </w:rPr>
        <w:t>109</w:t>
      </w:r>
      <w:r>
        <w:rPr>
          <w:color w:val="005DA1"/>
          <w:vertAlign w:val="baseline"/>
        </w:rPr>
        <w:t> </w:t>
      </w:r>
      <w:r>
        <w:rPr>
          <w:vertAlign w:val="baseline"/>
        </w:rPr>
        <w:t>The court will interfere only if it </w:t>
      </w:r>
      <w:r>
        <w:rPr>
          <w:vertAlign w:val="baseline"/>
        </w:rPr>
        <w:t>is convinced that the trial judge acted upon some wrong principle of law, </w:t>
      </w:r>
      <w:r>
        <w:rPr>
          <w:color w:val="005DA1"/>
          <w:u w:val="single" w:color="005DA1"/>
          <w:vertAlign w:val="superscript"/>
        </w:rPr>
        <w:t>110</w:t>
      </w:r>
      <w:r>
        <w:rPr>
          <w:color w:val="005DA1"/>
          <w:vertAlign w:val="baseline"/>
        </w:rPr>
        <w:t> </w:t>
      </w:r>
      <w:r>
        <w:rPr>
          <w:vertAlign w:val="baseline"/>
        </w:rPr>
        <w:t>or that the amount awarded </w:t>
      </w:r>
      <w:bookmarkStart w:name="_bookmark207" w:id="209"/>
      <w:bookmarkEnd w:id="209"/>
      <w:r>
        <w:rPr>
          <w:vertAlign w:val="baseline"/>
        </w:rPr>
        <w:t>was</w:t>
      </w:r>
      <w:r>
        <w:rPr>
          <w:vertAlign w:val="baseline"/>
        </w:rPr>
        <w:t> so extremely high or so very small as to make it, in the judgment of the Court of Appeal, an entirely</w:t>
      </w:r>
      <w:r>
        <w:rPr>
          <w:spacing w:val="-2"/>
          <w:vertAlign w:val="baseline"/>
        </w:rPr>
        <w:t> </w:t>
      </w:r>
      <w:r>
        <w:rPr>
          <w:vertAlign w:val="baseline"/>
        </w:rPr>
        <w:t>erroneous</w:t>
      </w:r>
      <w:r>
        <w:rPr>
          <w:spacing w:val="-2"/>
          <w:vertAlign w:val="baseline"/>
        </w:rPr>
        <w:t> </w:t>
      </w:r>
      <w:r>
        <w:rPr>
          <w:vertAlign w:val="baseline"/>
        </w:rPr>
        <w:t>estimate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damages</w:t>
      </w:r>
      <w:r>
        <w:rPr>
          <w:spacing w:val="-2"/>
          <w:vertAlign w:val="baseline"/>
        </w:rPr>
        <w:t> </w:t>
      </w:r>
      <w:r>
        <w:rPr>
          <w:vertAlign w:val="baseline"/>
        </w:rPr>
        <w:t>to</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is</w:t>
      </w:r>
      <w:r>
        <w:rPr>
          <w:spacing w:val="-2"/>
          <w:vertAlign w:val="baseline"/>
        </w:rPr>
        <w:t> </w:t>
      </w:r>
      <w:r>
        <w:rPr>
          <w:vertAlign w:val="baseline"/>
        </w:rPr>
        <w:t>entitled.</w:t>
      </w:r>
      <w:r>
        <w:rPr>
          <w:spacing w:val="-3"/>
          <w:vertAlign w:val="baseline"/>
        </w:rPr>
        <w:t> </w:t>
      </w:r>
      <w:r>
        <w:rPr>
          <w:color w:val="005DA1"/>
          <w:u w:val="single" w:color="005DA1"/>
          <w:vertAlign w:val="superscript"/>
        </w:rPr>
        <w:t>111</w:t>
      </w:r>
      <w:r>
        <w:rPr>
          <w:color w:val="005DA1"/>
          <w:spacing w:val="-2"/>
          <w:vertAlign w:val="baseline"/>
        </w:rPr>
        <w:t> </w:t>
      </w:r>
      <w:r>
        <w:rPr>
          <w:vertAlign w:val="baseline"/>
        </w:rPr>
        <w:t>Great</w:t>
      </w:r>
      <w:r>
        <w:rPr>
          <w:spacing w:val="-2"/>
          <w:vertAlign w:val="baseline"/>
        </w:rPr>
        <w:t> </w:t>
      </w:r>
      <w:r>
        <w:rPr>
          <w:vertAlign w:val="baseline"/>
        </w:rPr>
        <w:t>attention</w:t>
      </w:r>
      <w:r>
        <w:rPr>
          <w:spacing w:val="-2"/>
          <w:vertAlign w:val="baseline"/>
        </w:rPr>
        <w:t> </w:t>
      </w:r>
      <w:r>
        <w:rPr>
          <w:vertAlign w:val="baseline"/>
        </w:rPr>
        <w:t>is</w:t>
      </w:r>
      <w:r>
        <w:rPr>
          <w:spacing w:val="-2"/>
          <w:vertAlign w:val="baseline"/>
        </w:rPr>
        <w:t> </w:t>
      </w:r>
      <w:r>
        <w:rPr>
          <w:vertAlign w:val="baseline"/>
        </w:rPr>
        <w:t>paid </w:t>
      </w:r>
      <w:bookmarkStart w:name="_bookmark208" w:id="210"/>
      <w:bookmarkEnd w:id="210"/>
      <w:r>
        <w:rPr>
          <w:vertAlign w:val="baseline"/>
        </w:rPr>
        <w:t>to</w:t>
      </w:r>
      <w:r>
        <w:rPr>
          <w:vertAlign w:val="baseline"/>
        </w:rPr>
        <w:t> the opinion of the trial judge and the appellate court should be slow to reverse the judgment of the judge who saw and heard the witnesses. </w:t>
      </w:r>
      <w:r>
        <w:rPr>
          <w:color w:val="005DA1"/>
          <w:u w:val="single" w:color="005DA1"/>
          <w:vertAlign w:val="superscript"/>
        </w:rPr>
        <w:t>112</w:t>
      </w:r>
      <w:r>
        <w:rPr>
          <w:color w:val="005DA1"/>
          <w:vertAlign w:val="baseline"/>
        </w:rPr>
        <w:t> </w:t>
      </w:r>
      <w:r>
        <w:rPr>
          <w:vertAlign w:val="baseline"/>
        </w:rPr>
        <w:t>In special situations, the appellate court may take</w:t>
      </w:r>
      <w:r>
        <w:rPr>
          <w:spacing w:val="40"/>
          <w:vertAlign w:val="baseline"/>
        </w:rPr>
        <w:t> </w:t>
      </w:r>
      <w:bookmarkStart w:name="_bookmark209" w:id="211"/>
      <w:bookmarkEnd w:id="211"/>
      <w:r>
        <w:rPr>
          <w:vertAlign w:val="baseline"/>
        </w:rPr>
        <w:t>account</w:t>
      </w:r>
      <w:r>
        <w:rPr>
          <w:vertAlign w:val="baseline"/>
        </w:rPr>
        <w:t> of circumstances affecting the assessment of damages which arise after the first instance </w:t>
      </w:r>
      <w:bookmarkStart w:name="_bookmark210" w:id="212"/>
      <w:bookmarkEnd w:id="212"/>
      <w:r>
        <w:rPr>
          <w:vertAlign w:val="baseline"/>
        </w:rPr>
        <w:t>trial,</w:t>
      </w:r>
      <w:r>
        <w:rPr>
          <w:vertAlign w:val="baseline"/>
        </w:rPr>
        <w:t> </w:t>
      </w:r>
      <w:r>
        <w:rPr>
          <w:color w:val="005DA1"/>
          <w:u w:val="single" w:color="005DA1"/>
          <w:vertAlign w:val="superscript"/>
        </w:rPr>
        <w:t>113</w:t>
      </w:r>
      <w:r>
        <w:rPr>
          <w:color w:val="005DA1"/>
          <w:vertAlign w:val="baseline"/>
        </w:rPr>
        <w:t> </w:t>
      </w:r>
      <w:r>
        <w:rPr>
          <w:vertAlign w:val="baseline"/>
        </w:rPr>
        <w:t>e.g. if the fresh evidence showed that the “basic or fundamental assumption” underlying the judge’s assessment had been “falsified by later events”. </w:t>
      </w:r>
      <w:r>
        <w:rPr>
          <w:color w:val="005DA1"/>
          <w:u w:val="single" w:color="005DA1"/>
          <w:vertAlign w:val="superscript"/>
        </w:rPr>
        <w:t>114</w:t>
      </w:r>
    </w:p>
    <w:p>
      <w:pPr>
        <w:pStyle w:val="BodyText"/>
      </w:pPr>
    </w:p>
    <w:p>
      <w:pPr>
        <w:pStyle w:val="BodyText"/>
        <w:spacing w:before="36"/>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184303</wp:posOffset>
                </wp:positionV>
                <wp:extent cx="572452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2097pt;width:450.75pt;height:.1pt;mso-position-horizontal-relative:page;mso-position-vertical-relative:paragraph;z-index:-15707648;mso-wrap-distance-left:0;mso-wrap-distance-right:0" id="docshape18"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211" w:id="213"/>
      <w:bookmarkEnd w:id="213"/>
      <w:r>
        <w:rPr/>
      </w:r>
      <w:hyperlink w:history="true" w:anchor="_bookmark204">
        <w:r>
          <w:rPr>
            <w:color w:val="005DA1"/>
            <w:position w:val="5"/>
            <w:sz w:val="14"/>
            <w:u w:val="single" w:color="005DA1"/>
          </w:rPr>
          <w:t>108</w:t>
        </w:r>
      </w:hyperlink>
      <w:r>
        <w:rPr>
          <w:position w:val="5"/>
          <w:sz w:val="14"/>
        </w:rPr>
        <w:t>.</w:t>
      </w:r>
      <w:r>
        <w:rPr>
          <w:spacing w:val="80"/>
          <w:position w:val="5"/>
          <w:sz w:val="14"/>
        </w:rPr>
        <w:t>  </w:t>
      </w:r>
      <w:r>
        <w:rPr>
          <w:sz w:val="20"/>
        </w:rPr>
        <w:t>The appeal used to be by way of rehearing: CPR Sch.1: RSC Ord.59 r.3(1) which enabled </w:t>
      </w:r>
      <w:r>
        <w:rPr>
          <w:sz w:val="20"/>
        </w:rPr>
        <w:t>the court to substitute its own view of the assessment of damages: </w:t>
      </w:r>
      <w:r>
        <w:rPr>
          <w:rFonts w:ascii="Arial" w:hAnsi="Arial"/>
          <w:i/>
          <w:sz w:val="20"/>
        </w:rPr>
        <w:t>Flint v Lovell [1935] 1 K.B. 354, 360</w:t>
      </w:r>
      <w:r>
        <w:rPr>
          <w:sz w:val="20"/>
        </w:rPr>
        <w:t>; </w:t>
      </w:r>
      <w:r>
        <w:rPr>
          <w:rFonts w:ascii="Arial" w:hAnsi="Arial"/>
          <w:i/>
          <w:sz w:val="20"/>
        </w:rPr>
        <w:t>Davies v Powell Duffryn Associated Collieries Ltd [1942] A.C. 601, 616–617</w:t>
      </w:r>
      <w:r>
        <w:rPr>
          <w:sz w:val="20"/>
        </w:rPr>
        <w:t>. Appeals are now normally limited reviews, CPR r.52.11, but CPR r.52.10 gives the Appeal Court all the powers of the lower court and power to alter its orders. The Court of Appeal is more willing to interfere with a judge’s award than with a jury’s award of damages: </w:t>
      </w:r>
      <w:r>
        <w:rPr>
          <w:rFonts w:ascii="Arial" w:hAnsi="Arial"/>
          <w:i/>
          <w:sz w:val="20"/>
        </w:rPr>
        <w:t>[1942] A.C. 601, 616</w:t>
      </w:r>
      <w:r>
        <w:rPr>
          <w:sz w:val="20"/>
        </w:rPr>
        <w:t>; and if it reverses a decision for the defendant on the issue of liability, it will assess the damages itself: </w:t>
      </w:r>
      <w:r>
        <w:rPr>
          <w:rFonts w:ascii="Arial" w:hAnsi="Arial"/>
          <w:i/>
          <w:sz w:val="20"/>
        </w:rPr>
        <w:t>Reaney v Co-operative Wholesale Society [1932] W.N. 78</w:t>
      </w:r>
      <w:r>
        <w:rPr>
          <w:sz w:val="20"/>
        </w:rPr>
        <w:t>; cf. the position in the Privy Council: </w:t>
      </w:r>
      <w:r>
        <w:rPr>
          <w:rFonts w:ascii="Arial" w:hAnsi="Arial"/>
          <w:i/>
          <w:sz w:val="20"/>
        </w:rPr>
        <w:t>Ratnasingam v Kow Ah Dek [1983] 1 W.L.R. 1235</w:t>
      </w:r>
      <w:r>
        <w:rPr>
          <w:sz w:val="20"/>
        </w:rPr>
        <w:t>.</w:t>
      </w:r>
    </w:p>
    <w:p>
      <w:pPr>
        <w:pStyle w:val="BodyText"/>
        <w:spacing w:before="6"/>
      </w:pPr>
    </w:p>
    <w:p>
      <w:pPr>
        <w:spacing w:line="235" w:lineRule="auto" w:before="0"/>
        <w:ind w:left="705" w:right="167" w:hanging="541"/>
        <w:jc w:val="both"/>
        <w:rPr>
          <w:rFonts w:ascii="Arial"/>
          <w:i/>
          <w:sz w:val="20"/>
        </w:rPr>
      </w:pPr>
      <w:bookmarkStart w:name="_bookmark212" w:id="214"/>
      <w:bookmarkEnd w:id="214"/>
      <w:r>
        <w:rPr/>
      </w:r>
      <w:hyperlink w:history="true" w:anchor="_bookmark205">
        <w:r>
          <w:rPr>
            <w:color w:val="005DA1"/>
            <w:position w:val="5"/>
            <w:sz w:val="14"/>
            <w:u w:val="single" w:color="005DA1"/>
          </w:rPr>
          <w:t>109</w:t>
        </w:r>
      </w:hyperlink>
      <w:r>
        <w:rPr>
          <w:position w:val="5"/>
          <w:sz w:val="14"/>
        </w:rPr>
        <w:t>.</w:t>
      </w:r>
      <w:r>
        <w:rPr>
          <w:spacing w:val="80"/>
          <w:position w:val="5"/>
          <w:sz w:val="14"/>
        </w:rPr>
        <w:t> </w:t>
      </w:r>
      <w:r>
        <w:rPr>
          <w:sz w:val="20"/>
        </w:rPr>
        <w:t>The verdict of a jury awarding damages can be set aside only if the Court of Appeal upon consideration</w:t>
      </w:r>
      <w:r>
        <w:rPr>
          <w:spacing w:val="-1"/>
          <w:sz w:val="20"/>
        </w:rPr>
        <w:t> </w:t>
      </w:r>
      <w:r>
        <w:rPr>
          <w:sz w:val="20"/>
        </w:rPr>
        <w:t>of</w:t>
      </w:r>
      <w:r>
        <w:rPr>
          <w:spacing w:val="-1"/>
          <w:sz w:val="20"/>
        </w:rPr>
        <w:t> </w:t>
      </w:r>
      <w:r>
        <w:rPr>
          <w:sz w:val="20"/>
        </w:rPr>
        <w:t>all</w:t>
      </w:r>
      <w:r>
        <w:rPr>
          <w:spacing w:val="-1"/>
          <w:sz w:val="20"/>
        </w:rPr>
        <w:t> </w:t>
      </w:r>
      <w:r>
        <w:rPr>
          <w:sz w:val="20"/>
        </w:rPr>
        <w:t>the</w:t>
      </w:r>
      <w:r>
        <w:rPr>
          <w:spacing w:val="-1"/>
          <w:sz w:val="20"/>
        </w:rPr>
        <w:t> </w:t>
      </w:r>
      <w:r>
        <w:rPr>
          <w:sz w:val="20"/>
        </w:rPr>
        <w:t>circumstances</w:t>
      </w:r>
      <w:r>
        <w:rPr>
          <w:spacing w:val="-1"/>
          <w:sz w:val="20"/>
        </w:rPr>
        <w:t> </w:t>
      </w:r>
      <w:r>
        <w:rPr>
          <w:sz w:val="20"/>
        </w:rPr>
        <w:t>comes</w:t>
      </w:r>
      <w:r>
        <w:rPr>
          <w:spacing w:val="-1"/>
          <w:sz w:val="20"/>
        </w:rPr>
        <w:t> </w:t>
      </w:r>
      <w:r>
        <w:rPr>
          <w:sz w:val="20"/>
        </w:rPr>
        <w:t>to</w:t>
      </w:r>
      <w:r>
        <w:rPr>
          <w:spacing w:val="-1"/>
          <w:sz w:val="20"/>
        </w:rPr>
        <w:t> </w:t>
      </w:r>
      <w:r>
        <w:rPr>
          <w:sz w:val="20"/>
        </w:rPr>
        <w:t>the</w:t>
      </w:r>
      <w:r>
        <w:rPr>
          <w:spacing w:val="-1"/>
          <w:sz w:val="20"/>
        </w:rPr>
        <w:t> </w:t>
      </w:r>
      <w:r>
        <w:rPr>
          <w:sz w:val="20"/>
        </w:rPr>
        <w:t>conclusion</w:t>
      </w:r>
      <w:r>
        <w:rPr>
          <w:spacing w:val="-1"/>
          <w:sz w:val="20"/>
        </w:rPr>
        <w:t> </w:t>
      </w:r>
      <w:r>
        <w:rPr>
          <w:sz w:val="20"/>
        </w:rPr>
        <w:t>that</w:t>
      </w:r>
      <w:r>
        <w:rPr>
          <w:spacing w:val="-1"/>
          <w:sz w:val="20"/>
        </w:rPr>
        <w:t> </w:t>
      </w:r>
      <w:r>
        <w:rPr>
          <w:sz w:val="20"/>
        </w:rPr>
        <w:t>the</w:t>
      </w:r>
      <w:r>
        <w:rPr>
          <w:spacing w:val="-1"/>
          <w:sz w:val="20"/>
        </w:rPr>
        <w:t> </w:t>
      </w:r>
      <w:r>
        <w:rPr>
          <w:sz w:val="20"/>
        </w:rPr>
        <w:t>damages</w:t>
      </w:r>
      <w:r>
        <w:rPr>
          <w:spacing w:val="-1"/>
          <w:sz w:val="20"/>
        </w:rPr>
        <w:t> </w:t>
      </w:r>
      <w:r>
        <w:rPr>
          <w:sz w:val="20"/>
        </w:rPr>
        <w:t>awarded</w:t>
      </w:r>
      <w:r>
        <w:rPr>
          <w:spacing w:val="-1"/>
          <w:sz w:val="20"/>
        </w:rPr>
        <w:t> </w:t>
      </w:r>
      <w:r>
        <w:rPr>
          <w:sz w:val="20"/>
        </w:rPr>
        <w:t>were so small or so large that 12 sensible jurors could not reasonably have awarded them: </w:t>
      </w:r>
      <w:r>
        <w:rPr>
          <w:rFonts w:ascii="Arial"/>
          <w:i/>
          <w:sz w:val="20"/>
        </w:rPr>
        <w:t>Mills v Stanway Coaches Ltd [1940] 2 K.B. 334, 340</w:t>
      </w:r>
      <w:r>
        <w:rPr>
          <w:sz w:val="20"/>
        </w:rPr>
        <w:t>; </w:t>
      </w:r>
      <w:r>
        <w:rPr>
          <w:rFonts w:ascii="Arial"/>
          <w:i/>
          <w:sz w:val="20"/>
        </w:rPr>
        <w:t>Phillips v London &amp; S.W. Ry (1879) 4 Q.B.D.</w:t>
      </w:r>
      <w:r>
        <w:rPr>
          <w:rFonts w:ascii="Arial"/>
          <w:i/>
          <w:spacing w:val="40"/>
          <w:sz w:val="20"/>
        </w:rPr>
        <w:t> </w:t>
      </w:r>
      <w:r>
        <w:rPr>
          <w:rFonts w:ascii="Arial"/>
          <w:i/>
          <w:sz w:val="20"/>
        </w:rPr>
        <w:t>406; (1879) 5 Q.B.D. 78</w:t>
      </w:r>
      <w:r>
        <w:rPr>
          <w:sz w:val="20"/>
        </w:rPr>
        <w:t>; or if the court is satisfied that the jury took into consideration matters which they ought not to have considered or had disregarded matters which they ought to </w:t>
      </w:r>
      <w:r>
        <w:rPr>
          <w:sz w:val="20"/>
        </w:rPr>
        <w:t>have considered:</w:t>
      </w:r>
      <w:r>
        <w:rPr>
          <w:spacing w:val="34"/>
          <w:sz w:val="20"/>
        </w:rPr>
        <w:t> </w:t>
      </w:r>
      <w:r>
        <w:rPr>
          <w:rFonts w:ascii="Arial"/>
          <w:i/>
          <w:sz w:val="20"/>
        </w:rPr>
        <w:t>Smith</w:t>
      </w:r>
      <w:r>
        <w:rPr>
          <w:rFonts w:ascii="Arial"/>
          <w:i/>
          <w:spacing w:val="35"/>
          <w:sz w:val="20"/>
        </w:rPr>
        <w:t> </w:t>
      </w:r>
      <w:r>
        <w:rPr>
          <w:rFonts w:ascii="Arial"/>
          <w:i/>
          <w:sz w:val="20"/>
        </w:rPr>
        <w:t>v</w:t>
      </w:r>
      <w:r>
        <w:rPr>
          <w:rFonts w:ascii="Arial"/>
          <w:i/>
          <w:spacing w:val="35"/>
          <w:sz w:val="20"/>
        </w:rPr>
        <w:t> </w:t>
      </w:r>
      <w:r>
        <w:rPr>
          <w:rFonts w:ascii="Arial"/>
          <w:i/>
          <w:sz w:val="20"/>
        </w:rPr>
        <w:t>Schilling</w:t>
      </w:r>
      <w:r>
        <w:rPr>
          <w:rFonts w:ascii="Arial"/>
          <w:i/>
          <w:spacing w:val="35"/>
          <w:sz w:val="20"/>
        </w:rPr>
        <w:t> </w:t>
      </w:r>
      <w:r>
        <w:rPr>
          <w:rFonts w:ascii="Arial"/>
          <w:i/>
          <w:sz w:val="20"/>
        </w:rPr>
        <w:t>[1928]</w:t>
      </w:r>
      <w:r>
        <w:rPr>
          <w:rFonts w:ascii="Arial"/>
          <w:i/>
          <w:spacing w:val="35"/>
          <w:sz w:val="20"/>
        </w:rPr>
        <w:t> </w:t>
      </w:r>
      <w:r>
        <w:rPr>
          <w:rFonts w:ascii="Arial"/>
          <w:i/>
          <w:sz w:val="20"/>
        </w:rPr>
        <w:t>1</w:t>
      </w:r>
      <w:r>
        <w:rPr>
          <w:rFonts w:ascii="Arial"/>
          <w:i/>
          <w:spacing w:val="35"/>
          <w:sz w:val="20"/>
        </w:rPr>
        <w:t> </w:t>
      </w:r>
      <w:r>
        <w:rPr>
          <w:rFonts w:ascii="Arial"/>
          <w:i/>
          <w:sz w:val="20"/>
        </w:rPr>
        <w:t>K.B.</w:t>
      </w:r>
      <w:r>
        <w:rPr>
          <w:rFonts w:ascii="Arial"/>
          <w:i/>
          <w:spacing w:val="35"/>
          <w:sz w:val="20"/>
        </w:rPr>
        <w:t> </w:t>
      </w:r>
      <w:r>
        <w:rPr>
          <w:rFonts w:ascii="Arial"/>
          <w:i/>
          <w:sz w:val="20"/>
        </w:rPr>
        <w:t>429,</w:t>
      </w:r>
      <w:r>
        <w:rPr>
          <w:rFonts w:ascii="Arial"/>
          <w:i/>
          <w:spacing w:val="35"/>
          <w:sz w:val="20"/>
        </w:rPr>
        <w:t> </w:t>
      </w:r>
      <w:r>
        <w:rPr>
          <w:rFonts w:ascii="Arial"/>
          <w:i/>
          <w:sz w:val="20"/>
        </w:rPr>
        <w:t>440</w:t>
      </w:r>
      <w:r>
        <w:rPr>
          <w:sz w:val="20"/>
        </w:rPr>
        <w:t>.</w:t>
      </w:r>
      <w:r>
        <w:rPr>
          <w:spacing w:val="35"/>
          <w:sz w:val="20"/>
        </w:rPr>
        <w:t> </w:t>
      </w:r>
      <w:r>
        <w:rPr>
          <w:sz w:val="20"/>
        </w:rPr>
        <w:t>See</w:t>
      </w:r>
      <w:r>
        <w:rPr>
          <w:spacing w:val="35"/>
          <w:sz w:val="20"/>
        </w:rPr>
        <w:t> </w:t>
      </w:r>
      <w:r>
        <w:rPr>
          <w:sz w:val="20"/>
        </w:rPr>
        <w:t>also</w:t>
      </w:r>
      <w:r>
        <w:rPr>
          <w:spacing w:val="35"/>
          <w:sz w:val="20"/>
        </w:rPr>
        <w:t> </w:t>
      </w:r>
      <w:r>
        <w:rPr>
          <w:rFonts w:ascii="Arial"/>
          <w:i/>
          <w:sz w:val="20"/>
        </w:rPr>
        <w:t>Praed</w:t>
      </w:r>
      <w:r>
        <w:rPr>
          <w:rFonts w:ascii="Arial"/>
          <w:i/>
          <w:spacing w:val="35"/>
          <w:sz w:val="20"/>
        </w:rPr>
        <w:t> </w:t>
      </w:r>
      <w:r>
        <w:rPr>
          <w:rFonts w:ascii="Arial"/>
          <w:i/>
          <w:sz w:val="20"/>
        </w:rPr>
        <w:t>v</w:t>
      </w:r>
      <w:r>
        <w:rPr>
          <w:rFonts w:ascii="Arial"/>
          <w:i/>
          <w:spacing w:val="35"/>
          <w:sz w:val="20"/>
        </w:rPr>
        <w:t> </w:t>
      </w:r>
      <w:r>
        <w:rPr>
          <w:rFonts w:ascii="Arial"/>
          <w:i/>
          <w:sz w:val="20"/>
        </w:rPr>
        <w:t>Graham</w:t>
      </w:r>
      <w:r>
        <w:rPr>
          <w:rFonts w:ascii="Arial"/>
          <w:i/>
          <w:spacing w:val="35"/>
          <w:sz w:val="20"/>
        </w:rPr>
        <w:t> </w:t>
      </w:r>
      <w:r>
        <w:rPr>
          <w:rFonts w:ascii="Arial"/>
          <w:i/>
          <w:sz w:val="20"/>
        </w:rPr>
        <w:t>(1889)</w:t>
      </w:r>
      <w:r>
        <w:rPr>
          <w:rFonts w:ascii="Arial"/>
          <w:i/>
          <w:spacing w:val="35"/>
          <w:sz w:val="20"/>
        </w:rPr>
        <w:t> </w:t>
      </w:r>
      <w:r>
        <w:rPr>
          <w:rFonts w:ascii="Arial"/>
          <w:i/>
          <w:spacing w:val="-7"/>
          <w:sz w:val="20"/>
        </w:rPr>
        <w:t>24</w:t>
      </w:r>
    </w:p>
    <w:p>
      <w:pPr>
        <w:spacing w:line="221" w:lineRule="exact" w:before="0"/>
        <w:ind w:left="705" w:right="0" w:firstLine="0"/>
        <w:jc w:val="left"/>
        <w:rPr>
          <w:rFonts w:ascii="Arial"/>
          <w:i/>
          <w:sz w:val="20"/>
        </w:rPr>
      </w:pPr>
      <w:r>
        <w:rPr>
          <w:rFonts w:ascii="Arial"/>
          <w:i/>
          <w:sz w:val="20"/>
        </w:rPr>
        <w:t>Q.B.D.</w:t>
      </w:r>
      <w:r>
        <w:rPr>
          <w:rFonts w:ascii="Arial"/>
          <w:i/>
          <w:spacing w:val="15"/>
          <w:sz w:val="20"/>
        </w:rPr>
        <w:t> </w:t>
      </w:r>
      <w:r>
        <w:rPr>
          <w:rFonts w:ascii="Arial"/>
          <w:i/>
          <w:sz w:val="20"/>
        </w:rPr>
        <w:t>53</w:t>
      </w:r>
      <w:r>
        <w:rPr>
          <w:sz w:val="20"/>
        </w:rPr>
        <w:t>;</w:t>
      </w:r>
      <w:r>
        <w:rPr>
          <w:spacing w:val="16"/>
          <w:sz w:val="20"/>
        </w:rPr>
        <w:t> </w:t>
      </w:r>
      <w:r>
        <w:rPr>
          <w:rFonts w:ascii="Arial"/>
          <w:i/>
          <w:sz w:val="20"/>
        </w:rPr>
        <w:t>Johnston</w:t>
      </w:r>
      <w:r>
        <w:rPr>
          <w:rFonts w:ascii="Arial"/>
          <w:i/>
          <w:spacing w:val="16"/>
          <w:sz w:val="20"/>
        </w:rPr>
        <w:t> </w:t>
      </w:r>
      <w:r>
        <w:rPr>
          <w:rFonts w:ascii="Arial"/>
          <w:i/>
          <w:sz w:val="20"/>
        </w:rPr>
        <w:t>v</w:t>
      </w:r>
      <w:r>
        <w:rPr>
          <w:rFonts w:ascii="Arial"/>
          <w:i/>
          <w:spacing w:val="16"/>
          <w:sz w:val="20"/>
        </w:rPr>
        <w:t> </w:t>
      </w:r>
      <w:r>
        <w:rPr>
          <w:rFonts w:ascii="Arial"/>
          <w:i/>
          <w:sz w:val="20"/>
        </w:rPr>
        <w:t>G.W.</w:t>
      </w:r>
      <w:r>
        <w:rPr>
          <w:rFonts w:ascii="Arial"/>
          <w:i/>
          <w:spacing w:val="16"/>
          <w:sz w:val="20"/>
        </w:rPr>
        <w:t> </w:t>
      </w:r>
      <w:r>
        <w:rPr>
          <w:rFonts w:ascii="Arial"/>
          <w:i/>
          <w:sz w:val="20"/>
        </w:rPr>
        <w:t>Ry</w:t>
      </w:r>
      <w:r>
        <w:rPr>
          <w:rFonts w:ascii="Arial"/>
          <w:i/>
          <w:spacing w:val="16"/>
          <w:sz w:val="20"/>
        </w:rPr>
        <w:t> </w:t>
      </w:r>
      <w:r>
        <w:rPr>
          <w:rFonts w:ascii="Arial"/>
          <w:i/>
          <w:sz w:val="20"/>
        </w:rPr>
        <w:t>[1904]</w:t>
      </w:r>
      <w:r>
        <w:rPr>
          <w:rFonts w:ascii="Arial"/>
          <w:i/>
          <w:spacing w:val="16"/>
          <w:sz w:val="20"/>
        </w:rPr>
        <w:t> </w:t>
      </w:r>
      <w:r>
        <w:rPr>
          <w:rFonts w:ascii="Arial"/>
          <w:i/>
          <w:sz w:val="20"/>
        </w:rPr>
        <w:t>2</w:t>
      </w:r>
      <w:r>
        <w:rPr>
          <w:rFonts w:ascii="Arial"/>
          <w:i/>
          <w:spacing w:val="16"/>
          <w:sz w:val="20"/>
        </w:rPr>
        <w:t> </w:t>
      </w:r>
      <w:r>
        <w:rPr>
          <w:rFonts w:ascii="Arial"/>
          <w:i/>
          <w:sz w:val="20"/>
        </w:rPr>
        <w:t>K.B.</w:t>
      </w:r>
      <w:r>
        <w:rPr>
          <w:rFonts w:ascii="Arial"/>
          <w:i/>
          <w:spacing w:val="16"/>
          <w:sz w:val="20"/>
        </w:rPr>
        <w:t> </w:t>
      </w:r>
      <w:r>
        <w:rPr>
          <w:rFonts w:ascii="Arial"/>
          <w:i/>
          <w:sz w:val="20"/>
        </w:rPr>
        <w:t>250</w:t>
      </w:r>
      <w:r>
        <w:rPr>
          <w:sz w:val="20"/>
        </w:rPr>
        <w:t>;</w:t>
      </w:r>
      <w:r>
        <w:rPr>
          <w:spacing w:val="16"/>
          <w:sz w:val="20"/>
        </w:rPr>
        <w:t> </w:t>
      </w:r>
      <w:r>
        <w:rPr>
          <w:rFonts w:ascii="Arial"/>
          <w:i/>
          <w:sz w:val="20"/>
        </w:rPr>
        <w:t>Bocock</w:t>
      </w:r>
      <w:r>
        <w:rPr>
          <w:rFonts w:ascii="Arial"/>
          <w:i/>
          <w:spacing w:val="16"/>
          <w:sz w:val="20"/>
        </w:rPr>
        <w:t> </w:t>
      </w:r>
      <w:r>
        <w:rPr>
          <w:rFonts w:ascii="Arial"/>
          <w:i/>
          <w:sz w:val="20"/>
        </w:rPr>
        <w:t>v</w:t>
      </w:r>
      <w:r>
        <w:rPr>
          <w:rFonts w:ascii="Arial"/>
          <w:i/>
          <w:spacing w:val="16"/>
          <w:sz w:val="20"/>
        </w:rPr>
        <w:t> </w:t>
      </w:r>
      <w:r>
        <w:rPr>
          <w:rFonts w:ascii="Arial"/>
          <w:i/>
          <w:sz w:val="20"/>
        </w:rPr>
        <w:t>Enfield</w:t>
      </w:r>
      <w:r>
        <w:rPr>
          <w:rFonts w:ascii="Arial"/>
          <w:i/>
          <w:spacing w:val="16"/>
          <w:sz w:val="20"/>
        </w:rPr>
        <w:t> </w:t>
      </w:r>
      <w:r>
        <w:rPr>
          <w:rFonts w:ascii="Arial"/>
          <w:i/>
          <w:sz w:val="20"/>
        </w:rPr>
        <w:t>Rolling</w:t>
      </w:r>
      <w:r>
        <w:rPr>
          <w:rFonts w:ascii="Arial"/>
          <w:i/>
          <w:spacing w:val="16"/>
          <w:sz w:val="20"/>
        </w:rPr>
        <w:t> </w:t>
      </w:r>
      <w:r>
        <w:rPr>
          <w:rFonts w:ascii="Arial"/>
          <w:i/>
          <w:sz w:val="20"/>
        </w:rPr>
        <w:t>Mills</w:t>
      </w:r>
      <w:r>
        <w:rPr>
          <w:rFonts w:ascii="Arial"/>
          <w:i/>
          <w:spacing w:val="16"/>
          <w:sz w:val="20"/>
        </w:rPr>
        <w:t> </w:t>
      </w:r>
      <w:r>
        <w:rPr>
          <w:rFonts w:ascii="Arial"/>
          <w:i/>
          <w:sz w:val="20"/>
        </w:rPr>
        <w:t>Ltd</w:t>
      </w:r>
      <w:r>
        <w:rPr>
          <w:rFonts w:ascii="Arial"/>
          <w:i/>
          <w:spacing w:val="16"/>
          <w:sz w:val="20"/>
        </w:rPr>
        <w:t> </w:t>
      </w:r>
      <w:r>
        <w:rPr>
          <w:rFonts w:ascii="Arial"/>
          <w:i/>
          <w:sz w:val="20"/>
        </w:rPr>
        <w:t>[1954]</w:t>
      </w:r>
      <w:r>
        <w:rPr>
          <w:rFonts w:ascii="Arial"/>
          <w:i/>
          <w:spacing w:val="16"/>
          <w:sz w:val="20"/>
        </w:rPr>
        <w:t> </w:t>
      </w:r>
      <w:r>
        <w:rPr>
          <w:rFonts w:ascii="Arial"/>
          <w:i/>
          <w:spacing w:val="-10"/>
          <w:sz w:val="20"/>
        </w:rPr>
        <w:t>1</w:t>
      </w:r>
    </w:p>
    <w:p>
      <w:pPr>
        <w:spacing w:line="225" w:lineRule="exact" w:before="0"/>
        <w:ind w:left="705" w:right="0" w:firstLine="0"/>
        <w:jc w:val="left"/>
        <w:rPr>
          <w:rFonts w:ascii="Arial"/>
          <w:i/>
          <w:sz w:val="20"/>
        </w:rPr>
      </w:pPr>
      <w:r>
        <w:rPr>
          <w:rFonts w:ascii="Arial"/>
          <w:i/>
          <w:sz w:val="20"/>
        </w:rPr>
        <w:t>W.L.R.</w:t>
      </w:r>
      <w:r>
        <w:rPr>
          <w:rFonts w:ascii="Arial"/>
          <w:i/>
          <w:spacing w:val="6"/>
          <w:sz w:val="20"/>
        </w:rPr>
        <w:t> </w:t>
      </w:r>
      <w:r>
        <w:rPr>
          <w:rFonts w:ascii="Arial"/>
          <w:i/>
          <w:sz w:val="20"/>
        </w:rPr>
        <w:t>1303</w:t>
      </w:r>
      <w:r>
        <w:rPr>
          <w:sz w:val="20"/>
        </w:rPr>
        <w:t>;</w:t>
      </w:r>
      <w:r>
        <w:rPr>
          <w:spacing w:val="9"/>
          <w:sz w:val="20"/>
        </w:rPr>
        <w:t> </w:t>
      </w:r>
      <w:r>
        <w:rPr>
          <w:rFonts w:ascii="Arial"/>
          <w:i/>
          <w:sz w:val="20"/>
        </w:rPr>
        <w:t>Nance</w:t>
      </w:r>
      <w:r>
        <w:rPr>
          <w:rFonts w:ascii="Arial"/>
          <w:i/>
          <w:spacing w:val="9"/>
          <w:sz w:val="20"/>
        </w:rPr>
        <w:t> </w:t>
      </w:r>
      <w:r>
        <w:rPr>
          <w:rFonts w:ascii="Arial"/>
          <w:i/>
          <w:sz w:val="20"/>
        </w:rPr>
        <w:t>v</w:t>
      </w:r>
      <w:r>
        <w:rPr>
          <w:rFonts w:ascii="Arial"/>
          <w:i/>
          <w:spacing w:val="9"/>
          <w:sz w:val="20"/>
        </w:rPr>
        <w:t> </w:t>
      </w:r>
      <w:r>
        <w:rPr>
          <w:rFonts w:ascii="Arial"/>
          <w:i/>
          <w:sz w:val="20"/>
        </w:rPr>
        <w:t>British</w:t>
      </w:r>
      <w:r>
        <w:rPr>
          <w:rFonts w:ascii="Arial"/>
          <w:i/>
          <w:spacing w:val="9"/>
          <w:sz w:val="20"/>
        </w:rPr>
        <w:t> </w:t>
      </w:r>
      <w:r>
        <w:rPr>
          <w:rFonts w:ascii="Arial"/>
          <w:i/>
          <w:sz w:val="20"/>
        </w:rPr>
        <w:t>Columbia</w:t>
      </w:r>
      <w:r>
        <w:rPr>
          <w:rFonts w:ascii="Arial"/>
          <w:i/>
          <w:spacing w:val="9"/>
          <w:sz w:val="20"/>
        </w:rPr>
        <w:t> </w:t>
      </w:r>
      <w:r>
        <w:rPr>
          <w:rFonts w:ascii="Arial"/>
          <w:i/>
          <w:sz w:val="20"/>
        </w:rPr>
        <w:t>Electric</w:t>
      </w:r>
      <w:r>
        <w:rPr>
          <w:rFonts w:ascii="Arial"/>
          <w:i/>
          <w:spacing w:val="9"/>
          <w:sz w:val="20"/>
        </w:rPr>
        <w:t> </w:t>
      </w:r>
      <w:r>
        <w:rPr>
          <w:rFonts w:ascii="Arial"/>
          <w:i/>
          <w:sz w:val="20"/>
        </w:rPr>
        <w:t>Ry</w:t>
      </w:r>
      <w:r>
        <w:rPr>
          <w:rFonts w:ascii="Arial"/>
          <w:i/>
          <w:spacing w:val="8"/>
          <w:sz w:val="20"/>
        </w:rPr>
        <w:t> </w:t>
      </w:r>
      <w:r>
        <w:rPr>
          <w:rFonts w:ascii="Arial"/>
          <w:i/>
          <w:sz w:val="20"/>
        </w:rPr>
        <w:t>[1951]</w:t>
      </w:r>
      <w:r>
        <w:rPr>
          <w:rFonts w:ascii="Arial"/>
          <w:i/>
          <w:spacing w:val="9"/>
          <w:sz w:val="20"/>
        </w:rPr>
        <w:t> </w:t>
      </w:r>
      <w:r>
        <w:rPr>
          <w:rFonts w:ascii="Arial"/>
          <w:i/>
          <w:sz w:val="20"/>
        </w:rPr>
        <w:t>A.C.</w:t>
      </w:r>
      <w:r>
        <w:rPr>
          <w:rFonts w:ascii="Arial"/>
          <w:i/>
          <w:spacing w:val="9"/>
          <w:sz w:val="20"/>
        </w:rPr>
        <w:t> </w:t>
      </w:r>
      <w:r>
        <w:rPr>
          <w:rFonts w:ascii="Arial"/>
          <w:i/>
          <w:sz w:val="20"/>
        </w:rPr>
        <w:t>601,</w:t>
      </w:r>
      <w:r>
        <w:rPr>
          <w:rFonts w:ascii="Arial"/>
          <w:i/>
          <w:spacing w:val="9"/>
          <w:sz w:val="20"/>
        </w:rPr>
        <w:t> </w:t>
      </w:r>
      <w:r>
        <w:rPr>
          <w:rFonts w:ascii="Arial"/>
          <w:i/>
          <w:sz w:val="20"/>
        </w:rPr>
        <w:t>613</w:t>
      </w:r>
      <w:r>
        <w:rPr>
          <w:sz w:val="20"/>
        </w:rPr>
        <w:t>;</w:t>
      </w:r>
      <w:r>
        <w:rPr>
          <w:spacing w:val="9"/>
          <w:sz w:val="20"/>
        </w:rPr>
        <w:t> </w:t>
      </w:r>
      <w:r>
        <w:rPr>
          <w:rFonts w:ascii="Arial"/>
          <w:i/>
          <w:sz w:val="20"/>
        </w:rPr>
        <w:t>Scott</w:t>
      </w:r>
      <w:r>
        <w:rPr>
          <w:rFonts w:ascii="Arial"/>
          <w:i/>
          <w:spacing w:val="9"/>
          <w:sz w:val="20"/>
        </w:rPr>
        <w:t> </w:t>
      </w:r>
      <w:r>
        <w:rPr>
          <w:rFonts w:ascii="Arial"/>
          <w:i/>
          <w:sz w:val="20"/>
        </w:rPr>
        <w:t>v</w:t>
      </w:r>
      <w:r>
        <w:rPr>
          <w:rFonts w:ascii="Arial"/>
          <w:i/>
          <w:spacing w:val="9"/>
          <w:sz w:val="20"/>
        </w:rPr>
        <w:t> </w:t>
      </w:r>
      <w:r>
        <w:rPr>
          <w:rFonts w:ascii="Arial"/>
          <w:i/>
          <w:sz w:val="20"/>
        </w:rPr>
        <w:t>Musial</w:t>
      </w:r>
      <w:r>
        <w:rPr>
          <w:rFonts w:ascii="Arial"/>
          <w:i/>
          <w:spacing w:val="9"/>
          <w:sz w:val="20"/>
        </w:rPr>
        <w:t> </w:t>
      </w:r>
      <w:r>
        <w:rPr>
          <w:rFonts w:ascii="Arial"/>
          <w:i/>
          <w:spacing w:val="-2"/>
          <w:sz w:val="20"/>
        </w:rPr>
        <w:t>[1959]</w:t>
      </w:r>
    </w:p>
    <w:p>
      <w:pPr>
        <w:spacing w:line="225" w:lineRule="exact" w:before="0"/>
        <w:ind w:left="705" w:right="0" w:firstLine="0"/>
        <w:jc w:val="left"/>
        <w:rPr>
          <w:rFonts w:ascii="Arial"/>
          <w:i/>
          <w:sz w:val="20"/>
        </w:rPr>
      </w:pPr>
      <w:r>
        <w:rPr>
          <w:rFonts w:ascii="Arial"/>
          <w:i/>
          <w:sz w:val="20"/>
        </w:rPr>
        <w:t>2</w:t>
      </w:r>
      <w:r>
        <w:rPr>
          <w:rFonts w:ascii="Arial"/>
          <w:i/>
          <w:spacing w:val="9"/>
          <w:sz w:val="20"/>
        </w:rPr>
        <w:t> </w:t>
      </w:r>
      <w:r>
        <w:rPr>
          <w:rFonts w:ascii="Arial"/>
          <w:i/>
          <w:sz w:val="20"/>
        </w:rPr>
        <w:t>Q.B.</w:t>
      </w:r>
      <w:r>
        <w:rPr>
          <w:rFonts w:ascii="Arial"/>
          <w:i/>
          <w:spacing w:val="12"/>
          <w:sz w:val="20"/>
        </w:rPr>
        <w:t> </w:t>
      </w:r>
      <w:r>
        <w:rPr>
          <w:rFonts w:ascii="Arial"/>
          <w:i/>
          <w:sz w:val="20"/>
        </w:rPr>
        <w:t>429</w:t>
      </w:r>
      <w:r>
        <w:rPr>
          <w:sz w:val="20"/>
        </w:rPr>
        <w:t>;</w:t>
      </w:r>
      <w:r>
        <w:rPr>
          <w:spacing w:val="12"/>
          <w:sz w:val="20"/>
        </w:rPr>
        <w:t> </w:t>
      </w:r>
      <w:r>
        <w:rPr>
          <w:rFonts w:ascii="Arial"/>
          <w:i/>
          <w:sz w:val="20"/>
        </w:rPr>
        <w:t>Cavanagh</w:t>
      </w:r>
      <w:r>
        <w:rPr>
          <w:rFonts w:ascii="Arial"/>
          <w:i/>
          <w:spacing w:val="12"/>
          <w:sz w:val="20"/>
        </w:rPr>
        <w:t> </w:t>
      </w:r>
      <w:r>
        <w:rPr>
          <w:rFonts w:ascii="Arial"/>
          <w:i/>
          <w:sz w:val="20"/>
        </w:rPr>
        <w:t>v</w:t>
      </w:r>
      <w:r>
        <w:rPr>
          <w:rFonts w:ascii="Arial"/>
          <w:i/>
          <w:spacing w:val="12"/>
          <w:sz w:val="20"/>
        </w:rPr>
        <w:t> </w:t>
      </w:r>
      <w:r>
        <w:rPr>
          <w:rFonts w:ascii="Arial"/>
          <w:i/>
          <w:sz w:val="20"/>
        </w:rPr>
        <w:t>Ulster</w:t>
      </w:r>
      <w:r>
        <w:rPr>
          <w:rFonts w:ascii="Arial"/>
          <w:i/>
          <w:spacing w:val="12"/>
          <w:sz w:val="20"/>
        </w:rPr>
        <w:t> </w:t>
      </w:r>
      <w:r>
        <w:rPr>
          <w:rFonts w:ascii="Arial"/>
          <w:i/>
          <w:sz w:val="20"/>
        </w:rPr>
        <w:t>Weaving</w:t>
      </w:r>
      <w:r>
        <w:rPr>
          <w:rFonts w:ascii="Arial"/>
          <w:i/>
          <w:spacing w:val="12"/>
          <w:sz w:val="20"/>
        </w:rPr>
        <w:t> </w:t>
      </w:r>
      <w:r>
        <w:rPr>
          <w:rFonts w:ascii="Arial"/>
          <w:i/>
          <w:sz w:val="20"/>
        </w:rPr>
        <w:t>Co</w:t>
      </w:r>
      <w:r>
        <w:rPr>
          <w:rFonts w:ascii="Arial"/>
          <w:i/>
          <w:spacing w:val="12"/>
          <w:sz w:val="20"/>
        </w:rPr>
        <w:t> </w:t>
      </w:r>
      <w:r>
        <w:rPr>
          <w:rFonts w:ascii="Arial"/>
          <w:i/>
          <w:sz w:val="20"/>
        </w:rPr>
        <w:t>Ltd</w:t>
      </w:r>
      <w:r>
        <w:rPr>
          <w:rFonts w:ascii="Arial"/>
          <w:i/>
          <w:spacing w:val="11"/>
          <w:sz w:val="20"/>
        </w:rPr>
        <w:t> </w:t>
      </w:r>
      <w:r>
        <w:rPr>
          <w:rFonts w:ascii="Arial"/>
          <w:i/>
          <w:sz w:val="20"/>
        </w:rPr>
        <w:t>[1960]</w:t>
      </w:r>
      <w:r>
        <w:rPr>
          <w:rFonts w:ascii="Arial"/>
          <w:i/>
          <w:spacing w:val="12"/>
          <w:sz w:val="20"/>
        </w:rPr>
        <w:t> </w:t>
      </w:r>
      <w:r>
        <w:rPr>
          <w:rFonts w:ascii="Arial"/>
          <w:i/>
          <w:sz w:val="20"/>
        </w:rPr>
        <w:t>A.C.</w:t>
      </w:r>
      <w:r>
        <w:rPr>
          <w:rFonts w:ascii="Arial"/>
          <w:i/>
          <w:spacing w:val="12"/>
          <w:sz w:val="20"/>
        </w:rPr>
        <w:t> </w:t>
      </w:r>
      <w:r>
        <w:rPr>
          <w:rFonts w:ascii="Arial"/>
          <w:i/>
          <w:sz w:val="20"/>
        </w:rPr>
        <w:t>145</w:t>
      </w:r>
      <w:r>
        <w:rPr>
          <w:sz w:val="20"/>
        </w:rPr>
        <w:t>;</w:t>
      </w:r>
      <w:r>
        <w:rPr>
          <w:spacing w:val="12"/>
          <w:sz w:val="20"/>
        </w:rPr>
        <w:t> </w:t>
      </w:r>
      <w:r>
        <w:rPr>
          <w:rFonts w:ascii="Arial"/>
          <w:i/>
          <w:sz w:val="20"/>
        </w:rPr>
        <w:t>Ward</w:t>
      </w:r>
      <w:r>
        <w:rPr>
          <w:rFonts w:ascii="Arial"/>
          <w:i/>
          <w:spacing w:val="12"/>
          <w:sz w:val="20"/>
        </w:rPr>
        <w:t> </w:t>
      </w:r>
      <w:r>
        <w:rPr>
          <w:rFonts w:ascii="Arial"/>
          <w:i/>
          <w:sz w:val="20"/>
        </w:rPr>
        <w:t>v</w:t>
      </w:r>
      <w:r>
        <w:rPr>
          <w:rFonts w:ascii="Arial"/>
          <w:i/>
          <w:spacing w:val="12"/>
          <w:sz w:val="20"/>
        </w:rPr>
        <w:t> </w:t>
      </w:r>
      <w:r>
        <w:rPr>
          <w:rFonts w:ascii="Arial"/>
          <w:i/>
          <w:sz w:val="20"/>
        </w:rPr>
        <w:t>James</w:t>
      </w:r>
      <w:r>
        <w:rPr>
          <w:rFonts w:ascii="Arial"/>
          <w:i/>
          <w:spacing w:val="12"/>
          <w:sz w:val="20"/>
        </w:rPr>
        <w:t> </w:t>
      </w:r>
      <w:r>
        <w:rPr>
          <w:rFonts w:ascii="Arial"/>
          <w:i/>
          <w:sz w:val="20"/>
        </w:rPr>
        <w:t>[1966]</w:t>
      </w:r>
      <w:r>
        <w:rPr>
          <w:rFonts w:ascii="Arial"/>
          <w:i/>
          <w:spacing w:val="12"/>
          <w:sz w:val="20"/>
        </w:rPr>
        <w:t> </w:t>
      </w:r>
      <w:r>
        <w:rPr>
          <w:rFonts w:ascii="Arial"/>
          <w:i/>
          <w:sz w:val="20"/>
        </w:rPr>
        <w:t>1</w:t>
      </w:r>
      <w:r>
        <w:rPr>
          <w:rFonts w:ascii="Arial"/>
          <w:i/>
          <w:spacing w:val="12"/>
          <w:sz w:val="20"/>
        </w:rPr>
        <w:t> </w:t>
      </w:r>
      <w:r>
        <w:rPr>
          <w:rFonts w:ascii="Arial"/>
          <w:i/>
          <w:spacing w:val="-4"/>
          <w:sz w:val="20"/>
        </w:rPr>
        <w:t>Q.B.</w:t>
      </w:r>
    </w:p>
    <w:p>
      <w:pPr>
        <w:spacing w:line="227" w:lineRule="exact" w:before="0"/>
        <w:ind w:left="705" w:right="0" w:firstLine="0"/>
        <w:jc w:val="left"/>
        <w:rPr>
          <w:sz w:val="20"/>
        </w:rPr>
      </w:pPr>
      <w:r>
        <w:rPr>
          <w:rFonts w:ascii="Arial"/>
          <w:i/>
          <w:spacing w:val="-4"/>
          <w:sz w:val="20"/>
        </w:rPr>
        <w:t>273</w:t>
      </w:r>
      <w:r>
        <w:rPr>
          <w:spacing w:val="-4"/>
          <w:sz w:val="20"/>
        </w:rPr>
        <w:t>.</w:t>
      </w:r>
    </w:p>
    <w:p>
      <w:pPr>
        <w:pStyle w:val="BodyText"/>
        <w:spacing w:before="9"/>
      </w:pPr>
    </w:p>
    <w:p>
      <w:pPr>
        <w:spacing w:line="235" w:lineRule="auto" w:before="0"/>
        <w:ind w:left="705" w:right="168" w:hanging="541"/>
        <w:jc w:val="both"/>
        <w:rPr>
          <w:sz w:val="20"/>
        </w:rPr>
      </w:pPr>
      <w:bookmarkStart w:name="_bookmark213" w:id="215"/>
      <w:bookmarkEnd w:id="215"/>
      <w:r>
        <w:rPr/>
      </w:r>
      <w:hyperlink w:history="true" w:anchor="_bookmark206">
        <w:r>
          <w:rPr>
            <w:color w:val="005DA1"/>
            <w:position w:val="5"/>
            <w:sz w:val="14"/>
            <w:u w:val="single" w:color="005DA1"/>
          </w:rPr>
          <w:t>110</w:t>
        </w:r>
      </w:hyperlink>
      <w:r>
        <w:rPr>
          <w:position w:val="5"/>
          <w:sz w:val="14"/>
        </w:rPr>
        <w:t>.</w:t>
      </w:r>
      <w:r>
        <w:rPr>
          <w:spacing w:val="40"/>
          <w:position w:val="5"/>
          <w:sz w:val="14"/>
        </w:rPr>
        <w:t>  </w:t>
      </w:r>
      <w:r>
        <w:rPr>
          <w:sz w:val="20"/>
        </w:rPr>
        <w:t>e.g. </w:t>
      </w:r>
      <w:r>
        <w:rPr>
          <w:rFonts w:ascii="Arial"/>
          <w:i/>
          <w:sz w:val="20"/>
        </w:rPr>
        <w:t>Benham v Gambling [1941] A.C. 157</w:t>
      </w:r>
      <w:r>
        <w:rPr>
          <w:sz w:val="20"/>
        </w:rPr>
        <w:t>; </w:t>
      </w:r>
      <w:r>
        <w:rPr>
          <w:rFonts w:ascii="Arial"/>
          <w:i/>
          <w:sz w:val="20"/>
        </w:rPr>
        <w:t>Naylor v Yorkshire Electricity Board [1968] A.C. 529</w:t>
      </w:r>
      <w:r>
        <w:rPr>
          <w:sz w:val="20"/>
        </w:rPr>
        <w:t>; </w:t>
      </w:r>
      <w:r>
        <w:rPr>
          <w:rFonts w:ascii="Arial"/>
          <w:i/>
          <w:sz w:val="20"/>
        </w:rPr>
        <w:t>Dingle v Associated Newspapers [1964] A.C. 371</w:t>
      </w:r>
      <w:r>
        <w:rPr>
          <w:sz w:val="20"/>
        </w:rPr>
        <w:t>; </w:t>
      </w:r>
      <w:r>
        <w:rPr>
          <w:rFonts w:ascii="Arial"/>
          <w:i/>
          <w:sz w:val="20"/>
        </w:rPr>
        <w:t>Lai Wee Lian v Singapore Bus </w:t>
      </w:r>
      <w:r>
        <w:rPr>
          <w:rFonts w:ascii="Arial"/>
          <w:i/>
          <w:sz w:val="20"/>
        </w:rPr>
        <w:t>Service (1978) Ltd [1984] A.C. 729 </w:t>
      </w:r>
      <w:r>
        <w:rPr>
          <w:sz w:val="20"/>
        </w:rPr>
        <w:t>(all cases on torts).</w:t>
      </w:r>
    </w:p>
    <w:p>
      <w:pPr>
        <w:spacing w:after="0" w:line="235" w:lineRule="auto"/>
        <w:jc w:val="both"/>
        <w:rPr>
          <w:sz w:val="20"/>
        </w:rPr>
        <w:sectPr>
          <w:headerReference w:type="default" r:id="rId13"/>
          <w:pgSz w:w="11900" w:h="16840"/>
          <w:pgMar w:header="971" w:footer="0" w:top="1300" w:bottom="280" w:left="1275" w:right="1275"/>
          <w:pgNumType w:start="1"/>
        </w:sectPr>
      </w:pPr>
    </w:p>
    <w:p>
      <w:pPr>
        <w:spacing w:line="235" w:lineRule="auto" w:before="170"/>
        <w:ind w:left="705" w:right="168" w:hanging="541"/>
        <w:jc w:val="both"/>
        <w:rPr>
          <w:rFonts w:ascii="Arial" w:hAnsi="Arial"/>
          <w:i/>
          <w:sz w:val="20"/>
        </w:rPr>
      </w:pPr>
      <w:bookmarkStart w:name="_bookmark214" w:id="216"/>
      <w:bookmarkEnd w:id="216"/>
      <w:r>
        <w:rPr/>
      </w:r>
      <w:hyperlink w:history="true" w:anchor="_bookmark207">
        <w:r>
          <w:rPr>
            <w:color w:val="005DA1"/>
            <w:position w:val="5"/>
            <w:sz w:val="14"/>
            <w:u w:val="single" w:color="005DA1"/>
          </w:rPr>
          <w:t>111</w:t>
        </w:r>
      </w:hyperlink>
      <w:r>
        <w:rPr>
          <w:position w:val="5"/>
          <w:sz w:val="14"/>
        </w:rPr>
        <w:t>.</w:t>
      </w:r>
      <w:r>
        <w:rPr>
          <w:spacing w:val="40"/>
          <w:position w:val="5"/>
          <w:sz w:val="14"/>
        </w:rPr>
        <w:t>  </w:t>
      </w:r>
      <w:r>
        <w:rPr>
          <w:rFonts w:ascii="Arial" w:hAnsi="Arial"/>
          <w:i/>
          <w:sz w:val="20"/>
        </w:rPr>
        <w:t>Flint v Lovell [1935] 1 K.B. 354, 360 </w:t>
      </w:r>
      <w:r>
        <w:rPr>
          <w:sz w:val="20"/>
        </w:rPr>
        <w:t>(approved in </w:t>
      </w:r>
      <w:r>
        <w:rPr>
          <w:rFonts w:ascii="Arial" w:hAnsi="Arial"/>
          <w:i/>
          <w:sz w:val="20"/>
        </w:rPr>
        <w:t>Owen v Sykes [1936] 1 K.B. 192</w:t>
      </w:r>
      <w:r>
        <w:rPr>
          <w:sz w:val="20"/>
        </w:rPr>
        <w:t>). See also </w:t>
      </w:r>
      <w:r>
        <w:rPr>
          <w:rFonts w:ascii="Arial" w:hAnsi="Arial"/>
          <w:i/>
          <w:sz w:val="20"/>
        </w:rPr>
        <w:t>Davies v Powell Duffryn Associated Collieries Ltd [1942] A.C. 601, 616–617, 623–624</w:t>
      </w:r>
      <w:r>
        <w:rPr>
          <w:sz w:val="20"/>
        </w:rPr>
        <w:t>; </w:t>
      </w:r>
      <w:r>
        <w:rPr>
          <w:rFonts w:ascii="Arial" w:hAnsi="Arial"/>
          <w:i/>
          <w:sz w:val="20"/>
        </w:rPr>
        <w:t>Nance v British</w:t>
      </w:r>
      <w:r>
        <w:rPr>
          <w:rFonts w:ascii="Arial" w:hAnsi="Arial"/>
          <w:i/>
          <w:spacing w:val="1"/>
          <w:sz w:val="20"/>
        </w:rPr>
        <w:t> </w:t>
      </w:r>
      <w:r>
        <w:rPr>
          <w:rFonts w:ascii="Arial" w:hAnsi="Arial"/>
          <w:i/>
          <w:sz w:val="20"/>
        </w:rPr>
        <w:t>Columbia</w:t>
      </w:r>
      <w:r>
        <w:rPr>
          <w:rFonts w:ascii="Arial" w:hAnsi="Arial"/>
          <w:i/>
          <w:spacing w:val="4"/>
          <w:sz w:val="20"/>
        </w:rPr>
        <w:t> </w:t>
      </w:r>
      <w:r>
        <w:rPr>
          <w:rFonts w:ascii="Arial" w:hAnsi="Arial"/>
          <w:i/>
          <w:sz w:val="20"/>
        </w:rPr>
        <w:t>Electric</w:t>
      </w:r>
      <w:r>
        <w:rPr>
          <w:rFonts w:ascii="Arial" w:hAnsi="Arial"/>
          <w:i/>
          <w:spacing w:val="4"/>
          <w:sz w:val="20"/>
        </w:rPr>
        <w:t> </w:t>
      </w:r>
      <w:r>
        <w:rPr>
          <w:rFonts w:ascii="Arial" w:hAnsi="Arial"/>
          <w:i/>
          <w:sz w:val="20"/>
        </w:rPr>
        <w:t>Ry</w:t>
      </w:r>
      <w:r>
        <w:rPr>
          <w:rFonts w:ascii="Arial" w:hAnsi="Arial"/>
          <w:i/>
          <w:spacing w:val="4"/>
          <w:sz w:val="20"/>
        </w:rPr>
        <w:t> </w:t>
      </w:r>
      <w:r>
        <w:rPr>
          <w:rFonts w:ascii="Arial" w:hAnsi="Arial"/>
          <w:i/>
          <w:sz w:val="20"/>
        </w:rPr>
        <w:t>[1951]</w:t>
      </w:r>
      <w:r>
        <w:rPr>
          <w:rFonts w:ascii="Arial" w:hAnsi="Arial"/>
          <w:i/>
          <w:spacing w:val="4"/>
          <w:sz w:val="20"/>
        </w:rPr>
        <w:t> </w:t>
      </w:r>
      <w:r>
        <w:rPr>
          <w:rFonts w:ascii="Arial" w:hAnsi="Arial"/>
          <w:i/>
          <w:sz w:val="20"/>
        </w:rPr>
        <w:t>A.C.</w:t>
      </w:r>
      <w:r>
        <w:rPr>
          <w:rFonts w:ascii="Arial" w:hAnsi="Arial"/>
          <w:i/>
          <w:spacing w:val="4"/>
          <w:sz w:val="20"/>
        </w:rPr>
        <w:t> </w:t>
      </w:r>
      <w:r>
        <w:rPr>
          <w:rFonts w:ascii="Arial" w:hAnsi="Arial"/>
          <w:i/>
          <w:sz w:val="20"/>
        </w:rPr>
        <w:t>601,</w:t>
      </w:r>
      <w:r>
        <w:rPr>
          <w:rFonts w:ascii="Arial" w:hAnsi="Arial"/>
          <w:i/>
          <w:spacing w:val="4"/>
          <w:sz w:val="20"/>
        </w:rPr>
        <w:t> </w:t>
      </w:r>
      <w:r>
        <w:rPr>
          <w:rFonts w:ascii="Arial" w:hAnsi="Arial"/>
          <w:i/>
          <w:sz w:val="20"/>
        </w:rPr>
        <w:t>613</w:t>
      </w:r>
      <w:r>
        <w:rPr>
          <w:sz w:val="20"/>
        </w:rPr>
        <w:t>;</w:t>
      </w:r>
      <w:r>
        <w:rPr>
          <w:spacing w:val="4"/>
          <w:sz w:val="20"/>
        </w:rPr>
        <w:t> </w:t>
      </w:r>
      <w:r>
        <w:rPr>
          <w:rFonts w:ascii="Arial" w:hAnsi="Arial"/>
          <w:i/>
          <w:sz w:val="20"/>
        </w:rPr>
        <w:t>Warren</w:t>
      </w:r>
      <w:r>
        <w:rPr>
          <w:rFonts w:ascii="Arial" w:hAnsi="Arial"/>
          <w:i/>
          <w:spacing w:val="3"/>
          <w:sz w:val="20"/>
        </w:rPr>
        <w:t> </w:t>
      </w:r>
      <w:r>
        <w:rPr>
          <w:rFonts w:ascii="Arial" w:hAnsi="Arial"/>
          <w:i/>
          <w:sz w:val="20"/>
        </w:rPr>
        <w:t>v</w:t>
      </w:r>
      <w:r>
        <w:rPr>
          <w:rFonts w:ascii="Arial" w:hAnsi="Arial"/>
          <w:i/>
          <w:spacing w:val="4"/>
          <w:sz w:val="20"/>
        </w:rPr>
        <w:t> </w:t>
      </w:r>
      <w:r>
        <w:rPr>
          <w:rFonts w:ascii="Arial" w:hAnsi="Arial"/>
          <w:i/>
          <w:sz w:val="20"/>
        </w:rPr>
        <w:t>King</w:t>
      </w:r>
      <w:r>
        <w:rPr>
          <w:rFonts w:ascii="Arial" w:hAnsi="Arial"/>
          <w:i/>
          <w:spacing w:val="4"/>
          <w:sz w:val="20"/>
        </w:rPr>
        <w:t> </w:t>
      </w:r>
      <w:r>
        <w:rPr>
          <w:rFonts w:ascii="Arial" w:hAnsi="Arial"/>
          <w:i/>
          <w:sz w:val="20"/>
        </w:rPr>
        <w:t>[1964]</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W.L.R.</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9</w:t>
      </w:r>
      <w:r>
        <w:rPr>
          <w:sz w:val="20"/>
        </w:rPr>
        <w:t>;</w:t>
      </w:r>
      <w:r>
        <w:rPr>
          <w:spacing w:val="4"/>
          <w:sz w:val="20"/>
        </w:rPr>
        <w:t> </w:t>
      </w:r>
      <w:r>
        <w:rPr>
          <w:rFonts w:ascii="Arial" w:hAnsi="Arial"/>
          <w:i/>
          <w:sz w:val="20"/>
        </w:rPr>
        <w:t>Morey</w:t>
      </w:r>
      <w:r>
        <w:rPr>
          <w:rFonts w:ascii="Arial" w:hAnsi="Arial"/>
          <w:i/>
          <w:spacing w:val="4"/>
          <w:sz w:val="20"/>
        </w:rPr>
        <w:t> </w:t>
      </w:r>
      <w:r>
        <w:rPr>
          <w:rFonts w:ascii="Arial" w:hAnsi="Arial"/>
          <w:i/>
          <w:spacing w:val="-10"/>
          <w:sz w:val="20"/>
        </w:rPr>
        <w:t>v</w:t>
      </w:r>
    </w:p>
    <w:p>
      <w:pPr>
        <w:spacing w:line="223" w:lineRule="exact" w:before="0"/>
        <w:ind w:left="705" w:right="0" w:firstLine="0"/>
        <w:jc w:val="both"/>
        <w:rPr>
          <w:rFonts w:ascii="Arial"/>
          <w:i/>
          <w:sz w:val="20"/>
        </w:rPr>
      </w:pPr>
      <w:r>
        <w:rPr>
          <w:rFonts w:ascii="Arial"/>
          <w:i/>
          <w:sz w:val="20"/>
        </w:rPr>
        <w:t>Woodfield</w:t>
      </w:r>
      <w:r>
        <w:rPr>
          <w:rFonts w:ascii="Arial"/>
          <w:i/>
          <w:spacing w:val="9"/>
          <w:sz w:val="20"/>
        </w:rPr>
        <w:t> </w:t>
      </w:r>
      <w:r>
        <w:rPr>
          <w:rFonts w:ascii="Arial"/>
          <w:i/>
          <w:sz w:val="20"/>
        </w:rPr>
        <w:t>(No.2)</w:t>
      </w:r>
      <w:r>
        <w:rPr>
          <w:rFonts w:ascii="Arial"/>
          <w:i/>
          <w:spacing w:val="10"/>
          <w:sz w:val="20"/>
        </w:rPr>
        <w:t> </w:t>
      </w:r>
      <w:r>
        <w:rPr>
          <w:rFonts w:ascii="Arial"/>
          <w:i/>
          <w:sz w:val="20"/>
        </w:rPr>
        <w:t>[1964]</w:t>
      </w:r>
      <w:r>
        <w:rPr>
          <w:rFonts w:ascii="Arial"/>
          <w:i/>
          <w:spacing w:val="10"/>
          <w:sz w:val="20"/>
        </w:rPr>
        <w:t> </w:t>
      </w:r>
      <w:r>
        <w:rPr>
          <w:rFonts w:ascii="Arial"/>
          <w:i/>
          <w:sz w:val="20"/>
        </w:rPr>
        <w:t>1</w:t>
      </w:r>
      <w:r>
        <w:rPr>
          <w:rFonts w:ascii="Arial"/>
          <w:i/>
          <w:spacing w:val="10"/>
          <w:sz w:val="20"/>
        </w:rPr>
        <w:t> </w:t>
      </w:r>
      <w:r>
        <w:rPr>
          <w:rFonts w:ascii="Arial"/>
          <w:i/>
          <w:sz w:val="20"/>
        </w:rPr>
        <w:t>W.L.R.</w:t>
      </w:r>
      <w:r>
        <w:rPr>
          <w:rFonts w:ascii="Arial"/>
          <w:i/>
          <w:spacing w:val="10"/>
          <w:sz w:val="20"/>
        </w:rPr>
        <w:t> </w:t>
      </w:r>
      <w:r>
        <w:rPr>
          <w:rFonts w:ascii="Arial"/>
          <w:i/>
          <w:sz w:val="20"/>
        </w:rPr>
        <w:t>16</w:t>
      </w:r>
      <w:r>
        <w:rPr>
          <w:sz w:val="20"/>
        </w:rPr>
        <w:t>.</w:t>
      </w:r>
      <w:r>
        <w:rPr>
          <w:spacing w:val="10"/>
          <w:sz w:val="20"/>
        </w:rPr>
        <w:t> </w:t>
      </w:r>
      <w:r>
        <w:rPr>
          <w:sz w:val="20"/>
        </w:rPr>
        <w:t>cf.</w:t>
      </w:r>
      <w:r>
        <w:rPr>
          <w:spacing w:val="10"/>
          <w:sz w:val="20"/>
        </w:rPr>
        <w:t> </w:t>
      </w:r>
      <w:r>
        <w:rPr>
          <w:rFonts w:ascii="Arial"/>
          <w:i/>
          <w:sz w:val="20"/>
        </w:rPr>
        <w:t>Hinz</w:t>
      </w:r>
      <w:r>
        <w:rPr>
          <w:rFonts w:ascii="Arial"/>
          <w:i/>
          <w:spacing w:val="10"/>
          <w:sz w:val="20"/>
        </w:rPr>
        <w:t> </w:t>
      </w:r>
      <w:r>
        <w:rPr>
          <w:rFonts w:ascii="Arial"/>
          <w:i/>
          <w:sz w:val="20"/>
        </w:rPr>
        <w:t>v</w:t>
      </w:r>
      <w:r>
        <w:rPr>
          <w:rFonts w:ascii="Arial"/>
          <w:i/>
          <w:spacing w:val="10"/>
          <w:sz w:val="20"/>
        </w:rPr>
        <w:t> </w:t>
      </w:r>
      <w:r>
        <w:rPr>
          <w:rFonts w:ascii="Arial"/>
          <w:i/>
          <w:sz w:val="20"/>
        </w:rPr>
        <w:t>Berry</w:t>
      </w:r>
      <w:r>
        <w:rPr>
          <w:rFonts w:ascii="Arial"/>
          <w:i/>
          <w:spacing w:val="9"/>
          <w:sz w:val="20"/>
        </w:rPr>
        <w:t> </w:t>
      </w:r>
      <w:r>
        <w:rPr>
          <w:rFonts w:ascii="Arial"/>
          <w:i/>
          <w:sz w:val="20"/>
        </w:rPr>
        <w:t>[1970]</w:t>
      </w:r>
      <w:r>
        <w:rPr>
          <w:rFonts w:ascii="Arial"/>
          <w:i/>
          <w:spacing w:val="10"/>
          <w:sz w:val="20"/>
        </w:rPr>
        <w:t> </w:t>
      </w:r>
      <w:r>
        <w:rPr>
          <w:rFonts w:ascii="Arial"/>
          <w:i/>
          <w:sz w:val="20"/>
        </w:rPr>
        <w:t>2</w:t>
      </w:r>
      <w:r>
        <w:rPr>
          <w:rFonts w:ascii="Arial"/>
          <w:i/>
          <w:spacing w:val="10"/>
          <w:sz w:val="20"/>
        </w:rPr>
        <w:t> </w:t>
      </w:r>
      <w:r>
        <w:rPr>
          <w:rFonts w:ascii="Arial"/>
          <w:i/>
          <w:sz w:val="20"/>
        </w:rPr>
        <w:t>Q.B.</w:t>
      </w:r>
      <w:r>
        <w:rPr>
          <w:rFonts w:ascii="Arial"/>
          <w:i/>
          <w:spacing w:val="10"/>
          <w:sz w:val="20"/>
        </w:rPr>
        <w:t> </w:t>
      </w:r>
      <w:r>
        <w:rPr>
          <w:rFonts w:ascii="Arial"/>
          <w:i/>
          <w:sz w:val="20"/>
        </w:rPr>
        <w:t>40</w:t>
      </w:r>
      <w:r>
        <w:rPr>
          <w:sz w:val="20"/>
        </w:rPr>
        <w:t>;</w:t>
      </w:r>
      <w:r>
        <w:rPr>
          <w:spacing w:val="10"/>
          <w:sz w:val="20"/>
        </w:rPr>
        <w:t> </w:t>
      </w:r>
      <w:r>
        <w:rPr>
          <w:rFonts w:ascii="Arial"/>
          <w:i/>
          <w:sz w:val="20"/>
        </w:rPr>
        <w:t>Bone</w:t>
      </w:r>
      <w:r>
        <w:rPr>
          <w:rFonts w:ascii="Arial"/>
          <w:i/>
          <w:spacing w:val="10"/>
          <w:sz w:val="20"/>
        </w:rPr>
        <w:t> </w:t>
      </w:r>
      <w:r>
        <w:rPr>
          <w:rFonts w:ascii="Arial"/>
          <w:i/>
          <w:sz w:val="20"/>
        </w:rPr>
        <w:t>v</w:t>
      </w:r>
      <w:r>
        <w:rPr>
          <w:rFonts w:ascii="Arial"/>
          <w:i/>
          <w:spacing w:val="10"/>
          <w:sz w:val="20"/>
        </w:rPr>
        <w:t> </w:t>
      </w:r>
      <w:r>
        <w:rPr>
          <w:rFonts w:ascii="Arial"/>
          <w:i/>
          <w:sz w:val="20"/>
        </w:rPr>
        <w:t>Seale</w:t>
      </w:r>
      <w:r>
        <w:rPr>
          <w:rFonts w:ascii="Arial"/>
          <w:i/>
          <w:spacing w:val="10"/>
          <w:sz w:val="20"/>
        </w:rPr>
        <w:t> </w:t>
      </w:r>
      <w:r>
        <w:rPr>
          <w:rFonts w:ascii="Arial"/>
          <w:i/>
          <w:sz w:val="20"/>
        </w:rPr>
        <w:t>[1975]</w:t>
      </w:r>
      <w:r>
        <w:rPr>
          <w:rFonts w:ascii="Arial"/>
          <w:i/>
          <w:spacing w:val="10"/>
          <w:sz w:val="20"/>
        </w:rPr>
        <w:t> </w:t>
      </w:r>
      <w:r>
        <w:rPr>
          <w:rFonts w:ascii="Arial"/>
          <w:i/>
          <w:spacing w:val="-10"/>
          <w:sz w:val="20"/>
        </w:rPr>
        <w:t>1</w:t>
      </w:r>
    </w:p>
    <w:p>
      <w:pPr>
        <w:spacing w:line="235" w:lineRule="auto" w:before="1"/>
        <w:ind w:left="705" w:right="168" w:firstLine="0"/>
        <w:jc w:val="both"/>
        <w:rPr>
          <w:sz w:val="20"/>
        </w:rPr>
      </w:pPr>
      <w:r>
        <w:rPr>
          <w:rFonts w:ascii="Arial"/>
          <w:i/>
          <w:sz w:val="20"/>
        </w:rPr>
        <w:t>W.L.R. 797 </w:t>
      </w:r>
      <w:r>
        <w:rPr>
          <w:sz w:val="20"/>
        </w:rPr>
        <w:t>(nuisance case). For an appeal from a county court judge, see </w:t>
      </w:r>
      <w:r>
        <w:rPr>
          <w:rFonts w:ascii="Arial"/>
          <w:i/>
          <w:sz w:val="20"/>
        </w:rPr>
        <w:t>Shave v J. W. </w:t>
      </w:r>
      <w:r>
        <w:rPr>
          <w:rFonts w:ascii="Arial"/>
          <w:i/>
          <w:sz w:val="20"/>
        </w:rPr>
        <w:t>Lees (Brewers) Ltd [1954] 1 W.L.R. 1300</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215" w:id="217"/>
      <w:bookmarkEnd w:id="217"/>
      <w:r>
        <w:rPr/>
      </w:r>
      <w:hyperlink w:history="true" w:anchor="_bookmark208">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Powell</w:t>
      </w:r>
      <w:r>
        <w:rPr>
          <w:rFonts w:ascii="Arial"/>
          <w:i/>
          <w:spacing w:val="9"/>
          <w:sz w:val="20"/>
        </w:rPr>
        <w:t> </w:t>
      </w:r>
      <w:r>
        <w:rPr>
          <w:rFonts w:ascii="Arial"/>
          <w:i/>
          <w:sz w:val="20"/>
        </w:rPr>
        <w:t>v</w:t>
      </w:r>
      <w:r>
        <w:rPr>
          <w:rFonts w:ascii="Arial"/>
          <w:i/>
          <w:spacing w:val="10"/>
          <w:sz w:val="20"/>
        </w:rPr>
        <w:t> </w:t>
      </w:r>
      <w:r>
        <w:rPr>
          <w:rFonts w:ascii="Arial"/>
          <w:i/>
          <w:sz w:val="20"/>
        </w:rPr>
        <w:t>Streatham</w:t>
      </w:r>
      <w:r>
        <w:rPr>
          <w:rFonts w:ascii="Arial"/>
          <w:i/>
          <w:spacing w:val="10"/>
          <w:sz w:val="20"/>
        </w:rPr>
        <w:t> </w:t>
      </w:r>
      <w:r>
        <w:rPr>
          <w:rFonts w:ascii="Arial"/>
          <w:i/>
          <w:sz w:val="20"/>
        </w:rPr>
        <w:t>Manor</w:t>
      </w:r>
      <w:r>
        <w:rPr>
          <w:rFonts w:ascii="Arial"/>
          <w:i/>
          <w:spacing w:val="10"/>
          <w:sz w:val="20"/>
        </w:rPr>
        <w:t> </w:t>
      </w:r>
      <w:r>
        <w:rPr>
          <w:rFonts w:ascii="Arial"/>
          <w:i/>
          <w:sz w:val="20"/>
        </w:rPr>
        <w:t>Nursing</w:t>
      </w:r>
      <w:r>
        <w:rPr>
          <w:rFonts w:ascii="Arial"/>
          <w:i/>
          <w:spacing w:val="10"/>
          <w:sz w:val="20"/>
        </w:rPr>
        <w:t> </w:t>
      </w:r>
      <w:r>
        <w:rPr>
          <w:rFonts w:ascii="Arial"/>
          <w:i/>
          <w:sz w:val="20"/>
        </w:rPr>
        <w:t>Home</w:t>
      </w:r>
      <w:r>
        <w:rPr>
          <w:rFonts w:ascii="Arial"/>
          <w:i/>
          <w:spacing w:val="10"/>
          <w:sz w:val="20"/>
        </w:rPr>
        <w:t> </w:t>
      </w:r>
      <w:r>
        <w:rPr>
          <w:rFonts w:ascii="Arial"/>
          <w:i/>
          <w:sz w:val="20"/>
        </w:rPr>
        <w:t>[1935]</w:t>
      </w:r>
      <w:r>
        <w:rPr>
          <w:rFonts w:ascii="Arial"/>
          <w:i/>
          <w:spacing w:val="10"/>
          <w:sz w:val="20"/>
        </w:rPr>
        <w:t> </w:t>
      </w:r>
      <w:r>
        <w:rPr>
          <w:rFonts w:ascii="Arial"/>
          <w:i/>
          <w:sz w:val="20"/>
        </w:rPr>
        <w:t>A.C.</w:t>
      </w:r>
      <w:r>
        <w:rPr>
          <w:rFonts w:ascii="Arial"/>
          <w:i/>
          <w:spacing w:val="10"/>
          <w:sz w:val="20"/>
        </w:rPr>
        <w:t> </w:t>
      </w:r>
      <w:r>
        <w:rPr>
          <w:rFonts w:ascii="Arial"/>
          <w:i/>
          <w:sz w:val="20"/>
        </w:rPr>
        <w:t>243</w:t>
      </w:r>
      <w:r>
        <w:rPr>
          <w:sz w:val="20"/>
        </w:rPr>
        <w:t>.</w:t>
      </w:r>
      <w:r>
        <w:rPr>
          <w:spacing w:val="10"/>
          <w:sz w:val="20"/>
        </w:rPr>
        <w:t> </w:t>
      </w:r>
      <w:r>
        <w:rPr>
          <w:sz w:val="20"/>
        </w:rPr>
        <w:t>See</w:t>
      </w:r>
      <w:r>
        <w:rPr>
          <w:spacing w:val="10"/>
          <w:sz w:val="20"/>
        </w:rPr>
        <w:t> </w:t>
      </w:r>
      <w:r>
        <w:rPr>
          <w:sz w:val="20"/>
        </w:rPr>
        <w:t>also</w:t>
      </w:r>
      <w:r>
        <w:rPr>
          <w:spacing w:val="10"/>
          <w:sz w:val="20"/>
        </w:rPr>
        <w:t> </w:t>
      </w:r>
      <w:r>
        <w:rPr>
          <w:rFonts w:ascii="Arial"/>
          <w:i/>
          <w:sz w:val="20"/>
        </w:rPr>
        <w:t>Smith</w:t>
      </w:r>
      <w:r>
        <w:rPr>
          <w:rFonts w:ascii="Arial"/>
          <w:i/>
          <w:spacing w:val="10"/>
          <w:sz w:val="20"/>
        </w:rPr>
        <w:t> </w:t>
      </w:r>
      <w:r>
        <w:rPr>
          <w:rFonts w:ascii="Arial"/>
          <w:i/>
          <w:sz w:val="20"/>
        </w:rPr>
        <w:t>v</w:t>
      </w:r>
      <w:r>
        <w:rPr>
          <w:rFonts w:ascii="Arial"/>
          <w:i/>
          <w:spacing w:val="10"/>
          <w:sz w:val="20"/>
        </w:rPr>
        <w:t> </w:t>
      </w:r>
      <w:r>
        <w:rPr>
          <w:rFonts w:ascii="Arial"/>
          <w:i/>
          <w:sz w:val="20"/>
        </w:rPr>
        <w:t>Schilling</w:t>
      </w:r>
      <w:r>
        <w:rPr>
          <w:rFonts w:ascii="Arial"/>
          <w:i/>
          <w:spacing w:val="10"/>
          <w:sz w:val="20"/>
        </w:rPr>
        <w:t> </w:t>
      </w:r>
      <w:r>
        <w:rPr>
          <w:rFonts w:ascii="Arial"/>
          <w:i/>
          <w:sz w:val="20"/>
        </w:rPr>
        <w:t>[1928]</w:t>
      </w:r>
      <w:r>
        <w:rPr>
          <w:rFonts w:ascii="Arial"/>
          <w:i/>
          <w:spacing w:val="10"/>
          <w:sz w:val="20"/>
        </w:rPr>
        <w:t> </w:t>
      </w:r>
      <w:r>
        <w:rPr>
          <w:rFonts w:ascii="Arial"/>
          <w:i/>
          <w:spacing w:val="-10"/>
          <w:sz w:val="20"/>
        </w:rPr>
        <w:t>1</w:t>
      </w:r>
    </w:p>
    <w:p>
      <w:pPr>
        <w:pStyle w:val="BodyText"/>
        <w:spacing w:line="235" w:lineRule="auto" w:before="1"/>
        <w:ind w:left="705"/>
      </w:pPr>
      <w:r>
        <w:rPr>
          <w:rFonts w:ascii="Arial" w:hAnsi="Arial"/>
          <w:i/>
        </w:rPr>
        <w:t>K.B.</w:t>
      </w:r>
      <w:r>
        <w:rPr>
          <w:rFonts w:ascii="Arial" w:hAnsi="Arial"/>
          <w:i/>
          <w:spacing w:val="40"/>
        </w:rPr>
        <w:t> </w:t>
      </w:r>
      <w:r>
        <w:rPr>
          <w:rFonts w:ascii="Arial" w:hAnsi="Arial"/>
          <w:i/>
        </w:rPr>
        <w:t>429,</w:t>
      </w:r>
      <w:r>
        <w:rPr>
          <w:rFonts w:ascii="Arial" w:hAnsi="Arial"/>
          <w:i/>
          <w:spacing w:val="40"/>
        </w:rPr>
        <w:t> </w:t>
      </w:r>
      <w:r>
        <w:rPr>
          <w:rFonts w:ascii="Arial" w:hAnsi="Arial"/>
          <w:i/>
        </w:rPr>
        <w:t>432–433</w:t>
      </w:r>
      <w:r>
        <w:rPr>
          <w:rFonts w:ascii="Arial" w:hAnsi="Arial"/>
          <w:i/>
          <w:spacing w:val="40"/>
        </w:rPr>
        <w:t> </w:t>
      </w:r>
      <w:r>
        <w:rPr/>
        <w:t>(similar</w:t>
      </w:r>
      <w:r>
        <w:rPr>
          <w:spacing w:val="40"/>
        </w:rPr>
        <w:t> </w:t>
      </w:r>
      <w:r>
        <w:rPr/>
        <w:t>remarks</w:t>
      </w:r>
      <w:r>
        <w:rPr>
          <w:spacing w:val="40"/>
        </w:rPr>
        <w:t> </w:t>
      </w:r>
      <w:r>
        <w:rPr/>
        <w:t>concerning</w:t>
      </w:r>
      <w:r>
        <w:rPr>
          <w:spacing w:val="40"/>
        </w:rPr>
        <w:t> </w:t>
      </w:r>
      <w:r>
        <w:rPr/>
        <w:t>the</w:t>
      </w:r>
      <w:r>
        <w:rPr>
          <w:spacing w:val="40"/>
        </w:rPr>
        <w:t> </w:t>
      </w:r>
      <w:r>
        <w:rPr/>
        <w:t>opinion</w:t>
      </w:r>
      <w:r>
        <w:rPr>
          <w:spacing w:val="40"/>
        </w:rPr>
        <w:t> </w:t>
      </w:r>
      <w:r>
        <w:rPr/>
        <w:t>of</w:t>
      </w:r>
      <w:r>
        <w:rPr>
          <w:spacing w:val="40"/>
        </w:rPr>
        <w:t> </w:t>
      </w:r>
      <w:r>
        <w:rPr/>
        <w:t>the</w:t>
      </w:r>
      <w:r>
        <w:rPr>
          <w:spacing w:val="40"/>
        </w:rPr>
        <w:t> </w:t>
      </w:r>
      <w:r>
        <w:rPr/>
        <w:t>trial</w:t>
      </w:r>
      <w:r>
        <w:rPr>
          <w:spacing w:val="40"/>
        </w:rPr>
        <w:t> </w:t>
      </w:r>
      <w:r>
        <w:rPr/>
        <w:t>judge</w:t>
      </w:r>
      <w:r>
        <w:rPr>
          <w:spacing w:val="40"/>
        </w:rPr>
        <w:t> </w:t>
      </w:r>
      <w:r>
        <w:rPr/>
        <w:t>who</w:t>
      </w:r>
      <w:r>
        <w:rPr>
          <w:spacing w:val="40"/>
        </w:rPr>
        <w:t> </w:t>
      </w:r>
      <w:r>
        <w:rPr/>
        <w:t>took</w:t>
      </w:r>
      <w:r>
        <w:rPr>
          <w:spacing w:val="40"/>
        </w:rPr>
        <w:t> </w:t>
      </w:r>
      <w:r>
        <w:rPr/>
        <w:t>the verdict of the jury).</w:t>
      </w:r>
    </w:p>
    <w:p>
      <w:pPr>
        <w:pStyle w:val="BodyText"/>
        <w:spacing w:before="9"/>
      </w:pPr>
    </w:p>
    <w:p>
      <w:pPr>
        <w:spacing w:line="235" w:lineRule="auto" w:before="1"/>
        <w:ind w:left="705" w:right="168" w:hanging="541"/>
        <w:jc w:val="both"/>
        <w:rPr>
          <w:sz w:val="20"/>
        </w:rPr>
      </w:pPr>
      <w:bookmarkStart w:name="_bookmark216" w:id="218"/>
      <w:bookmarkEnd w:id="218"/>
      <w:r>
        <w:rPr/>
      </w:r>
      <w:hyperlink w:history="true" w:anchor="_bookmark209">
        <w:r>
          <w:rPr>
            <w:color w:val="005DA1"/>
            <w:position w:val="5"/>
            <w:sz w:val="14"/>
            <w:u w:val="single" w:color="005DA1"/>
          </w:rPr>
          <w:t>113</w:t>
        </w:r>
      </w:hyperlink>
      <w:r>
        <w:rPr>
          <w:position w:val="5"/>
          <w:sz w:val="14"/>
        </w:rPr>
        <w:t>.</w:t>
      </w:r>
      <w:r>
        <w:rPr>
          <w:spacing w:val="80"/>
          <w:w w:val="150"/>
          <w:position w:val="5"/>
          <w:sz w:val="14"/>
        </w:rPr>
        <w:t> </w:t>
      </w:r>
      <w:r>
        <w:rPr>
          <w:rFonts w:ascii="Arial"/>
          <w:i/>
          <w:sz w:val="20"/>
        </w:rPr>
        <w:t>Edwards v Society of Graphical and Allied Trades [1971] Ch. 354, 377, 384 </w:t>
      </w:r>
      <w:r>
        <w:rPr>
          <w:sz w:val="20"/>
        </w:rPr>
        <w:t>(a contract case, following the tort case of </w:t>
      </w:r>
      <w:r>
        <w:rPr>
          <w:rFonts w:ascii="Arial"/>
          <w:i/>
          <w:sz w:val="20"/>
        </w:rPr>
        <w:t>Murphy v Stone-Wallwork (Charlton) Ltd [1969] 1 W.L.R. 1023</w:t>
      </w:r>
      <w:r>
        <w:rPr>
          <w:sz w:val="20"/>
        </w:rPr>
        <w:t>); see also </w:t>
      </w:r>
      <w:r>
        <w:rPr>
          <w:rFonts w:ascii="Arial"/>
          <w:i/>
          <w:sz w:val="20"/>
        </w:rPr>
        <w:t>Mulholland v Mitchell [1971] A.C. 666</w:t>
      </w:r>
      <w:r>
        <w:rPr>
          <w:sz w:val="20"/>
        </w:rPr>
        <w:t>.</w:t>
      </w:r>
    </w:p>
    <w:p>
      <w:pPr>
        <w:pStyle w:val="BodyText"/>
        <w:spacing w:before="4"/>
      </w:pPr>
    </w:p>
    <w:p>
      <w:pPr>
        <w:tabs>
          <w:tab w:pos="705" w:val="left" w:leader="none"/>
        </w:tabs>
        <w:spacing w:line="227" w:lineRule="exact" w:before="1"/>
        <w:ind w:left="165" w:right="0" w:firstLine="0"/>
        <w:jc w:val="left"/>
        <w:rPr>
          <w:sz w:val="20"/>
        </w:rPr>
      </w:pPr>
      <w:bookmarkStart w:name="_bookmark217" w:id="219"/>
      <w:bookmarkEnd w:id="219"/>
      <w:r>
        <w:rPr/>
      </w:r>
      <w:hyperlink w:history="true" w:anchor="_bookmark210">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Hunt</w:t>
      </w:r>
      <w:r>
        <w:rPr>
          <w:rFonts w:ascii="Arial"/>
          <w:i/>
          <w:spacing w:val="2"/>
          <w:sz w:val="20"/>
        </w:rPr>
        <w:t> </w:t>
      </w:r>
      <w:r>
        <w:rPr>
          <w:rFonts w:ascii="Arial"/>
          <w:i/>
          <w:sz w:val="20"/>
        </w:rPr>
        <w:t>v</w:t>
      </w:r>
      <w:r>
        <w:rPr>
          <w:rFonts w:ascii="Arial"/>
          <w:i/>
          <w:spacing w:val="2"/>
          <w:sz w:val="20"/>
        </w:rPr>
        <w:t> </w:t>
      </w:r>
      <w:r>
        <w:rPr>
          <w:rFonts w:ascii="Arial"/>
          <w:i/>
          <w:sz w:val="20"/>
        </w:rPr>
        <w:t>Severs</w:t>
      </w:r>
      <w:r>
        <w:rPr>
          <w:rFonts w:ascii="Arial"/>
          <w:i/>
          <w:spacing w:val="2"/>
          <w:sz w:val="20"/>
        </w:rPr>
        <w:t> </w:t>
      </w:r>
      <w:r>
        <w:rPr>
          <w:rFonts w:ascii="Arial"/>
          <w:i/>
          <w:sz w:val="20"/>
        </w:rPr>
        <w:t>[1993]</w:t>
      </w:r>
      <w:r>
        <w:rPr>
          <w:rFonts w:ascii="Arial"/>
          <w:i/>
          <w:spacing w:val="2"/>
          <w:sz w:val="20"/>
        </w:rPr>
        <w:t> </w:t>
      </w:r>
      <w:r>
        <w:rPr>
          <w:rFonts w:ascii="Arial"/>
          <w:i/>
          <w:sz w:val="20"/>
        </w:rPr>
        <w:t>Q.B.</w:t>
      </w:r>
      <w:r>
        <w:rPr>
          <w:rFonts w:ascii="Arial"/>
          <w:i/>
          <w:spacing w:val="2"/>
          <w:sz w:val="20"/>
        </w:rPr>
        <w:t> </w:t>
      </w:r>
      <w:r>
        <w:rPr>
          <w:rFonts w:ascii="Arial"/>
          <w:i/>
          <w:sz w:val="20"/>
        </w:rPr>
        <w:t>815,</w:t>
      </w:r>
      <w:r>
        <w:rPr>
          <w:rFonts w:ascii="Arial"/>
          <w:i/>
          <w:spacing w:val="2"/>
          <w:sz w:val="20"/>
        </w:rPr>
        <w:t> </w:t>
      </w:r>
      <w:r>
        <w:rPr>
          <w:rFonts w:ascii="Arial"/>
          <w:i/>
          <w:sz w:val="20"/>
        </w:rPr>
        <w:t>838</w:t>
      </w:r>
      <w:r>
        <w:rPr>
          <w:rFonts w:ascii="Arial"/>
          <w:i/>
          <w:spacing w:val="2"/>
          <w:sz w:val="20"/>
        </w:rPr>
        <w:t> </w:t>
      </w:r>
      <w:r>
        <w:rPr>
          <w:sz w:val="20"/>
        </w:rPr>
        <w:t>(a</w:t>
      </w:r>
      <w:r>
        <w:rPr>
          <w:spacing w:val="2"/>
          <w:sz w:val="20"/>
        </w:rPr>
        <w:t> </w:t>
      </w:r>
      <w:r>
        <w:rPr>
          <w:sz w:val="20"/>
        </w:rPr>
        <w:t>tort</w:t>
      </w:r>
      <w:r>
        <w:rPr>
          <w:spacing w:val="2"/>
          <w:sz w:val="20"/>
        </w:rPr>
        <w:t> </w:t>
      </w:r>
      <w:r>
        <w:rPr>
          <w:sz w:val="20"/>
        </w:rPr>
        <w:t>case:</w:t>
      </w:r>
      <w:r>
        <w:rPr>
          <w:spacing w:val="2"/>
          <w:sz w:val="20"/>
        </w:rPr>
        <w:t> </w:t>
      </w:r>
      <w:r>
        <w:rPr>
          <w:sz w:val="20"/>
        </w:rPr>
        <w:t>the</w:t>
      </w:r>
      <w:r>
        <w:rPr>
          <w:spacing w:val="2"/>
          <w:sz w:val="20"/>
        </w:rPr>
        <w:t> </w:t>
      </w:r>
      <w:r>
        <w:rPr>
          <w:sz w:val="20"/>
        </w:rPr>
        <w:t>House</w:t>
      </w:r>
      <w:r>
        <w:rPr>
          <w:spacing w:val="2"/>
          <w:sz w:val="20"/>
        </w:rPr>
        <w:t> </w:t>
      </w:r>
      <w:r>
        <w:rPr>
          <w:sz w:val="20"/>
        </w:rPr>
        <w:t>of</w:t>
      </w:r>
      <w:r>
        <w:rPr>
          <w:spacing w:val="2"/>
          <w:sz w:val="20"/>
        </w:rPr>
        <w:t> </w:t>
      </w:r>
      <w:r>
        <w:rPr>
          <w:sz w:val="20"/>
        </w:rPr>
        <w:t>Lords</w:t>
      </w:r>
      <w:r>
        <w:rPr>
          <w:spacing w:val="2"/>
          <w:sz w:val="20"/>
        </w:rPr>
        <w:t> </w:t>
      </w:r>
      <w:r>
        <w:rPr>
          <w:sz w:val="20"/>
        </w:rPr>
        <w:t>did</w:t>
      </w:r>
      <w:r>
        <w:rPr>
          <w:spacing w:val="2"/>
          <w:sz w:val="20"/>
        </w:rPr>
        <w:t> </w:t>
      </w:r>
      <w:r>
        <w:rPr>
          <w:sz w:val="20"/>
        </w:rPr>
        <w:t>not</w:t>
      </w:r>
      <w:r>
        <w:rPr>
          <w:spacing w:val="2"/>
          <w:sz w:val="20"/>
        </w:rPr>
        <w:t> </w:t>
      </w:r>
      <w:r>
        <w:rPr>
          <w:sz w:val="20"/>
        </w:rPr>
        <w:t>deal</w:t>
      </w:r>
      <w:r>
        <w:rPr>
          <w:spacing w:val="2"/>
          <w:sz w:val="20"/>
        </w:rPr>
        <w:t> </w:t>
      </w:r>
      <w:r>
        <w:rPr>
          <w:sz w:val="20"/>
        </w:rPr>
        <w:t>with</w:t>
      </w:r>
      <w:r>
        <w:rPr>
          <w:spacing w:val="2"/>
          <w:sz w:val="20"/>
        </w:rPr>
        <w:t> </w:t>
      </w:r>
      <w:r>
        <w:rPr>
          <w:sz w:val="20"/>
        </w:rPr>
        <w:t>this</w:t>
      </w:r>
      <w:r>
        <w:rPr>
          <w:spacing w:val="2"/>
          <w:sz w:val="20"/>
        </w:rPr>
        <w:t> </w:t>
      </w:r>
      <w:r>
        <w:rPr>
          <w:spacing w:val="-2"/>
          <w:sz w:val="20"/>
        </w:rPr>
        <w:t>point:</w:t>
      </w:r>
    </w:p>
    <w:p>
      <w:pPr>
        <w:spacing w:line="227" w:lineRule="exact" w:before="0"/>
        <w:ind w:left="705" w:right="0" w:firstLine="0"/>
        <w:jc w:val="left"/>
        <w:rPr>
          <w:sz w:val="20"/>
        </w:rPr>
      </w:pPr>
      <w:r>
        <w:rPr>
          <w:rFonts w:ascii="Arial"/>
          <w:i/>
          <w:sz w:val="20"/>
        </w:rPr>
        <w:t>[1994] 2 A.C. </w:t>
      </w:r>
      <w:r>
        <w:rPr>
          <w:rFonts w:ascii="Arial"/>
          <w:i/>
          <w:spacing w:val="-2"/>
          <w:sz w:val="20"/>
        </w:rPr>
        <w:t>350</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2. - Compensable Heads of </w:t>
      </w:r>
      <w:r>
        <w:rPr>
          <w:rFonts w:ascii="Arial"/>
          <w:b/>
          <w:spacing w:val="-4"/>
          <w:sz w:val="24"/>
        </w:rPr>
        <w:t>Loss</w:t>
      </w:r>
    </w:p>
    <w:p>
      <w:pPr>
        <w:pStyle w:val="ListParagraph"/>
        <w:numPr>
          <w:ilvl w:val="0"/>
          <w:numId w:val="3"/>
        </w:numPr>
        <w:tabs>
          <w:tab w:pos="2631" w:val="left" w:leader="none"/>
        </w:tabs>
        <w:spacing w:line="240" w:lineRule="auto" w:before="194" w:after="0"/>
        <w:ind w:left="2631" w:right="0" w:hanging="360"/>
        <w:jc w:val="left"/>
        <w:rPr>
          <w:b/>
          <w:sz w:val="24"/>
        </w:rPr>
      </w:pPr>
      <w:r>
        <w:rPr>
          <w:b/>
          <w:sz w:val="24"/>
        </w:rPr>
        <w:t>- Expectation, Reliance and </w:t>
      </w:r>
      <w:r>
        <w:rPr>
          <w:b/>
          <w:spacing w:val="-2"/>
          <w:sz w:val="24"/>
        </w:rPr>
        <w:t>Restitution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“Expectation” “reliance” and “restitution” </w:t>
      </w:r>
      <w:r>
        <w:rPr>
          <w:rFonts w:ascii="Arial" w:hAnsi="Arial"/>
          <w:b/>
          <w:spacing w:val="-2"/>
          <w:sz w:val="18"/>
        </w:rPr>
        <w:t>interests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019</w:t>
      </w:r>
    </w:p>
    <w:p>
      <w:pPr>
        <w:pStyle w:val="BodyText"/>
        <w:spacing w:line="235" w:lineRule="auto" w:before="202"/>
        <w:ind w:left="165" w:right="167"/>
        <w:jc w:val="both"/>
      </w:pPr>
      <w:bookmarkStart w:name="_bookmark218" w:id="220"/>
      <w:bookmarkEnd w:id="220"/>
      <w:r>
        <w:rPr/>
      </w:r>
      <w:r>
        <w:rPr/>
        <w:t>It has been pointed out </w:t>
      </w:r>
      <w:r>
        <w:rPr>
          <w:color w:val="005DA1"/>
          <w:u w:val="single" w:color="005DA1"/>
          <w:vertAlign w:val="superscript"/>
        </w:rPr>
        <w:t>115</w:t>
      </w:r>
      <w:r>
        <w:rPr>
          <w:color w:val="005DA1"/>
          <w:vertAlign w:val="baseline"/>
        </w:rPr>
        <w:t> </w:t>
      </w:r>
      <w:r>
        <w:rPr>
          <w:vertAlign w:val="baseline"/>
        </w:rPr>
        <w:t>that the victim of a breach of contract has a number of interests which may be protected by an award of damages. First, he may have paid money or conferred some </w:t>
      </w:r>
      <w:r>
        <w:rPr>
          <w:vertAlign w:val="baseline"/>
        </w:rPr>
        <w:t>other</w:t>
      </w:r>
      <w:r>
        <w:rPr>
          <w:spacing w:val="40"/>
          <w:vertAlign w:val="baseline"/>
        </w:rPr>
        <w:t> </w:t>
      </w:r>
      <w:r>
        <w:rPr>
          <w:vertAlign w:val="baseline"/>
        </w:rPr>
        <w:t>benefit on the other party, and he will have an interest in recovering the money or the value of the benefit conferred. This has been termed the “restitution interest” and there is a very strong moral argument for protecting it, as it represents both a loss to the claimant and a corresponding gain to the </w:t>
      </w:r>
      <w:bookmarkStart w:name="_bookmark219" w:id="221"/>
      <w:bookmarkEnd w:id="221"/>
      <w:r>
        <w:rPr>
          <w:vertAlign w:val="baseline"/>
        </w:rPr>
        <w:t>defendant.</w:t>
      </w:r>
      <w:r>
        <w:rPr>
          <w:vertAlign w:val="baseline"/>
        </w:rPr>
        <w:t> Secondly, the victim may have incurred expense or loss in reliance on the promised performance </w:t>
      </w:r>
      <w:r>
        <w:rPr>
          <w:color w:val="005DA1"/>
          <w:u w:val="single" w:color="005DA1"/>
          <w:vertAlign w:val="superscript"/>
        </w:rPr>
        <w:t>116</w:t>
      </w:r>
      <w:r>
        <w:rPr>
          <w:color w:val="005DA1"/>
          <w:vertAlign w:val="baseline"/>
        </w:rPr>
        <w:t> </w:t>
      </w:r>
      <w:r>
        <w:rPr>
          <w:vertAlign w:val="baseline"/>
        </w:rPr>
        <w:t>and which is wasted by the defendant’s breach. </w:t>
      </w:r>
      <w:r>
        <w:rPr>
          <w:color w:val="005DA1"/>
          <w:u w:val="single" w:color="005DA1"/>
          <w:vertAlign w:val="superscript"/>
        </w:rPr>
        <w:t>117</w:t>
      </w:r>
      <w:r>
        <w:rPr>
          <w:color w:val="005DA1"/>
          <w:vertAlign w:val="baseline"/>
        </w:rPr>
        <w:t> </w:t>
      </w:r>
      <w:r>
        <w:rPr>
          <w:vertAlign w:val="baseline"/>
        </w:rPr>
        <w:t>This is termed the “reliance </w:t>
      </w:r>
      <w:bookmarkStart w:name="_bookmark220" w:id="222"/>
      <w:bookmarkEnd w:id="222"/>
      <w:r>
        <w:rPr>
          <w:vertAlign w:val="baseline"/>
        </w:rPr>
        <w:t>interest”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merits</w:t>
      </w:r>
      <w:r>
        <w:rPr>
          <w:spacing w:val="-2"/>
          <w:vertAlign w:val="baseline"/>
        </w:rPr>
        <w:t> </w:t>
      </w:r>
      <w:r>
        <w:rPr>
          <w:vertAlign w:val="baseline"/>
        </w:rPr>
        <w:t>protection</w:t>
      </w:r>
      <w:r>
        <w:rPr>
          <w:spacing w:val="-2"/>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represents</w:t>
      </w:r>
      <w:r>
        <w:rPr>
          <w:spacing w:val="-2"/>
          <w:vertAlign w:val="baseline"/>
        </w:rPr>
        <w:t> </w:t>
      </w:r>
      <w:r>
        <w:rPr>
          <w:vertAlign w:val="baseline"/>
        </w:rPr>
        <w:t>the</w:t>
      </w:r>
      <w:r>
        <w:rPr>
          <w:spacing w:val="-2"/>
          <w:vertAlign w:val="baseline"/>
        </w:rPr>
        <w:t> </w:t>
      </w:r>
      <w:r>
        <w:rPr>
          <w:vertAlign w:val="baseline"/>
        </w:rPr>
        <w:t>extent</w:t>
      </w:r>
      <w:r>
        <w:rPr>
          <w:spacing w:val="-2"/>
          <w:vertAlign w:val="baseline"/>
        </w:rPr>
        <w:t> </w:t>
      </w:r>
      <w:r>
        <w:rPr>
          <w:vertAlign w:val="baseline"/>
        </w:rPr>
        <w:t>to</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victim</w:t>
      </w:r>
      <w:r>
        <w:rPr>
          <w:spacing w:val="-2"/>
          <w:vertAlign w:val="baseline"/>
        </w:rPr>
        <w:t> </w:t>
      </w:r>
      <w:r>
        <w:rPr>
          <w:vertAlign w:val="baseline"/>
        </w:rPr>
        <w:t>is </w:t>
      </w:r>
      <w:bookmarkStart w:name="_bookmark221" w:id="223"/>
      <w:bookmarkEnd w:id="223"/>
      <w:r>
        <w:rPr>
          <w:vertAlign w:val="baseline"/>
        </w:rPr>
        <w:t>left</w:t>
      </w:r>
      <w:r>
        <w:rPr>
          <w:spacing w:val="9"/>
          <w:vertAlign w:val="baseline"/>
        </w:rPr>
        <w:t> </w:t>
      </w:r>
      <w:r>
        <w:rPr>
          <w:vertAlign w:val="baseline"/>
        </w:rPr>
        <w:t>worse</w:t>
      </w:r>
      <w:r>
        <w:rPr>
          <w:spacing w:val="10"/>
          <w:vertAlign w:val="baseline"/>
        </w:rPr>
        <w:t> </w:t>
      </w:r>
      <w:r>
        <w:rPr>
          <w:vertAlign w:val="baseline"/>
        </w:rPr>
        <w:t>off</w:t>
      </w:r>
      <w:r>
        <w:rPr>
          <w:spacing w:val="10"/>
          <w:vertAlign w:val="baseline"/>
        </w:rPr>
        <w:t> </w:t>
      </w:r>
      <w:r>
        <w:rPr>
          <w:vertAlign w:val="baseline"/>
        </w:rPr>
        <w:t>than</w:t>
      </w:r>
      <w:r>
        <w:rPr>
          <w:spacing w:val="10"/>
          <w:vertAlign w:val="baseline"/>
        </w:rPr>
        <w:t> </w:t>
      </w:r>
      <w:r>
        <w:rPr>
          <w:vertAlign w:val="baseline"/>
        </w:rPr>
        <w:t>before</w:t>
      </w:r>
      <w:r>
        <w:rPr>
          <w:spacing w:val="10"/>
          <w:vertAlign w:val="baseline"/>
        </w:rPr>
        <w:t> </w:t>
      </w:r>
      <w:r>
        <w:rPr>
          <w:vertAlign w:val="baseline"/>
        </w:rPr>
        <w:t>the</w:t>
      </w:r>
      <w:r>
        <w:rPr>
          <w:spacing w:val="10"/>
          <w:vertAlign w:val="baseline"/>
        </w:rPr>
        <w:t> </w:t>
      </w:r>
      <w:r>
        <w:rPr>
          <w:vertAlign w:val="baseline"/>
        </w:rPr>
        <w:t>contract</w:t>
      </w:r>
      <w:r>
        <w:rPr>
          <w:spacing w:val="10"/>
          <w:vertAlign w:val="baseline"/>
        </w:rPr>
        <w:t> </w:t>
      </w:r>
      <w:r>
        <w:rPr>
          <w:vertAlign w:val="baseline"/>
        </w:rPr>
        <w:t>was</w:t>
      </w:r>
      <w:r>
        <w:rPr>
          <w:spacing w:val="10"/>
          <w:vertAlign w:val="baseline"/>
        </w:rPr>
        <w:t> </w:t>
      </w:r>
      <w:r>
        <w:rPr>
          <w:vertAlign w:val="baseline"/>
        </w:rPr>
        <w:t>made.</w:t>
      </w:r>
      <w:r>
        <w:rPr>
          <w:spacing w:val="10"/>
          <w:vertAlign w:val="baseline"/>
        </w:rPr>
        <w:t> </w:t>
      </w:r>
      <w:r>
        <w:rPr>
          <w:color w:val="005DA1"/>
          <w:u w:val="single" w:color="005DA1"/>
          <w:vertAlign w:val="superscript"/>
        </w:rPr>
        <w:t>118</w:t>
      </w:r>
      <w:r>
        <w:rPr>
          <w:color w:val="005DA1"/>
          <w:spacing w:val="10"/>
          <w:vertAlign w:val="baseline"/>
        </w:rPr>
        <w:t> </w:t>
      </w:r>
      <w:r>
        <w:rPr>
          <w:vertAlign w:val="baseline"/>
        </w:rPr>
        <w:t>Thirdly,</w:t>
      </w:r>
      <w:r>
        <w:rPr>
          <w:spacing w:val="10"/>
          <w:vertAlign w:val="baseline"/>
        </w:rPr>
        <w:t> </w:t>
      </w:r>
      <w:r>
        <w:rPr>
          <w:vertAlign w:val="baseline"/>
        </w:rPr>
        <w:t>the</w:t>
      </w:r>
      <w:r>
        <w:rPr>
          <w:spacing w:val="9"/>
          <w:vertAlign w:val="baseline"/>
        </w:rPr>
        <w:t> </w:t>
      </w:r>
      <w:r>
        <w:rPr>
          <w:vertAlign w:val="baseline"/>
        </w:rPr>
        <w:t>victim</w:t>
      </w:r>
      <w:r>
        <w:rPr>
          <w:spacing w:val="10"/>
          <w:vertAlign w:val="baseline"/>
        </w:rPr>
        <w:t> </w:t>
      </w:r>
      <w:r>
        <w:rPr>
          <w:vertAlign w:val="baseline"/>
        </w:rPr>
        <w:t>has</w:t>
      </w:r>
      <w:r>
        <w:rPr>
          <w:spacing w:val="10"/>
          <w:vertAlign w:val="baseline"/>
        </w:rPr>
        <w:t> </w:t>
      </w:r>
      <w:r>
        <w:rPr>
          <w:vertAlign w:val="baseline"/>
        </w:rPr>
        <w:t>an</w:t>
      </w:r>
      <w:r>
        <w:rPr>
          <w:spacing w:val="10"/>
          <w:vertAlign w:val="baseline"/>
        </w:rPr>
        <w:t> </w:t>
      </w:r>
      <w:r>
        <w:rPr>
          <w:vertAlign w:val="baseline"/>
        </w:rPr>
        <w:t>“expectation</w:t>
      </w:r>
      <w:r>
        <w:rPr>
          <w:spacing w:val="10"/>
          <w:vertAlign w:val="baseline"/>
        </w:rPr>
        <w:t> </w:t>
      </w:r>
      <w:r>
        <w:rPr>
          <w:spacing w:val="-2"/>
          <w:vertAlign w:val="baseline"/>
        </w:rPr>
        <w:t>interest”,</w:t>
      </w:r>
    </w:p>
    <w:p>
      <w:pPr>
        <w:pStyle w:val="BodyText"/>
        <w:spacing w:line="235" w:lineRule="auto"/>
        <w:ind w:left="165" w:right="167"/>
        <w:jc w:val="both"/>
      </w:pPr>
      <w:r>
        <w:rPr/>
        <w:t>i.e. the gains or benefits </w:t>
      </w:r>
      <w:r>
        <w:rPr>
          <w:color w:val="005DA1"/>
          <w:u w:val="single" w:color="005DA1"/>
          <w:vertAlign w:val="superscript"/>
        </w:rPr>
        <w:t>119</w:t>
      </w:r>
      <w:r>
        <w:rPr>
          <w:color w:val="005DA1"/>
          <w:vertAlign w:val="baseline"/>
        </w:rPr>
        <w:t> </w:t>
      </w:r>
      <w:r>
        <w:rPr>
          <w:vertAlign w:val="baseline"/>
        </w:rPr>
        <w:t>which he expected to receive from the completion of the promised </w:t>
      </w:r>
      <w:bookmarkStart w:name="_bookmark222" w:id="224"/>
      <w:bookmarkEnd w:id="224"/>
      <w:r>
        <w:rPr>
          <w:vertAlign w:val="baseline"/>
        </w:rPr>
        <w:t>performance</w:t>
      </w:r>
      <w:r>
        <w:rPr>
          <w:vertAlign w:val="baseline"/>
        </w:rPr>
        <w:t> of the other party’s obligation but which were in the event prevented by the breach </w:t>
      </w:r>
      <w:r>
        <w:rPr>
          <w:vertAlign w:val="baseline"/>
        </w:rPr>
        <w:t>of contract committed by the latter. </w:t>
      </w:r>
      <w:r>
        <w:rPr>
          <w:color w:val="005DA1"/>
          <w:u w:val="single" w:color="005DA1"/>
          <w:vertAlign w:val="superscript"/>
        </w:rPr>
        <w:t>120</w:t>
      </w:r>
      <w:r>
        <w:rPr>
          <w:color w:val="005DA1"/>
          <w:vertAlign w:val="baseline"/>
        </w:rPr>
        <w:t> </w:t>
      </w:r>
      <w:r>
        <w:rPr>
          <w:vertAlign w:val="baseline"/>
        </w:rPr>
        <w:t>It was pointed out that the expectation interest has perhaps the </w:t>
      </w:r>
      <w:bookmarkStart w:name="_bookmark223" w:id="225"/>
      <w:bookmarkEnd w:id="225"/>
      <w:r>
        <w:rPr>
          <w:vertAlign w:val="baseline"/>
        </w:rPr>
        <w:t>weakest</w:t>
      </w:r>
      <w:r>
        <w:rPr>
          <w:vertAlign w:val="baseline"/>
        </w:rPr>
        <w:t> claim to protection, since it represents something that the victim did not have before the contract was made. </w:t>
      </w:r>
      <w:r>
        <w:rPr>
          <w:color w:val="005DA1"/>
          <w:u w:val="single" w:color="005DA1"/>
          <w:vertAlign w:val="superscript"/>
        </w:rPr>
        <w:t>121</w:t>
      </w:r>
      <w:r>
        <w:rPr>
          <w:color w:val="005DA1"/>
          <w:vertAlign w:val="baseline"/>
        </w:rPr>
        <w:t> </w:t>
      </w:r>
      <w:r>
        <w:rPr>
          <w:vertAlign w:val="baseline"/>
        </w:rPr>
        <w:t>Nonetheless, damages for breach of contract will in principle compensate the victim for loss of expectation, as well as protecting his restitution and reliance interests. For example, if the buyer of a machine receives and pays the price but then justifiably rejects it because it is not in accordance with the contract, he may recover the value that the machine would have had if it had been in accordance with the contract, thus in effect recovering the price paid; wasted expenditure </w:t>
      </w:r>
      <w:bookmarkStart w:name="_bookmark224" w:id="226"/>
      <w:bookmarkEnd w:id="226"/>
      <w:r>
        <w:rPr>
          <w:vertAlign w:val="baseline"/>
        </w:rPr>
        <w:t>such</w:t>
      </w:r>
      <w:r>
        <w:rPr>
          <w:vertAlign w:val="baseline"/>
        </w:rPr>
        <w:t> as installation expenses, thus obtaining compensation for reliance loss; and (subject to the rules </w:t>
      </w:r>
      <w:bookmarkStart w:name="_bookmark225" w:id="227"/>
      <w:bookmarkEnd w:id="227"/>
      <w:r>
        <w:rPr>
          <w:vertAlign w:val="baseline"/>
        </w:rPr>
        <w:t>on</w:t>
      </w:r>
      <w:r>
        <w:rPr>
          <w:vertAlign w:val="baseline"/>
        </w:rPr>
        <w:t> remoteness, mitigation, etc </w:t>
      </w:r>
      <w:r>
        <w:rPr>
          <w:color w:val="005DA1"/>
          <w:u w:val="single" w:color="005DA1"/>
          <w:vertAlign w:val="superscript"/>
        </w:rPr>
        <w:t>122</w:t>
      </w:r>
      <w:r>
        <w:rPr>
          <w:vertAlign w:val="baseline"/>
        </w:rPr>
        <w:t>) the net profit that he would have been able to make by using the machine. </w:t>
      </w:r>
      <w:r>
        <w:rPr>
          <w:color w:val="005DA1"/>
          <w:u w:val="single" w:color="005DA1"/>
          <w:vertAlign w:val="superscript"/>
        </w:rPr>
        <w:t>123</w:t>
      </w:r>
    </w:p>
    <w:p>
      <w:pPr>
        <w:pStyle w:val="BodyText"/>
        <w:spacing w:before="74"/>
      </w:pPr>
    </w:p>
    <w:p>
      <w:pPr>
        <w:spacing w:before="0"/>
        <w:ind w:left="165" w:right="0" w:firstLine="0"/>
        <w:jc w:val="left"/>
        <w:rPr>
          <w:rFonts w:ascii="Arial"/>
          <w:b/>
          <w:sz w:val="24"/>
        </w:rPr>
      </w:pPr>
      <w:r>
        <w:rPr>
          <w:rFonts w:ascii="Arial"/>
          <w:b/>
          <w:sz w:val="24"/>
        </w:rPr>
        <w:t>26-</w:t>
      </w:r>
      <w:r>
        <w:rPr>
          <w:rFonts w:ascii="Arial"/>
          <w:b/>
          <w:spacing w:val="-5"/>
          <w:sz w:val="24"/>
        </w:rPr>
        <w:t>020</w:t>
      </w:r>
    </w:p>
    <w:p>
      <w:pPr>
        <w:pStyle w:val="BodyText"/>
        <w:spacing w:line="235" w:lineRule="auto" w:before="202"/>
        <w:ind w:left="165" w:right="167"/>
        <w:jc w:val="both"/>
      </w:pPr>
      <w:r>
        <w:rPr/>
        <w:t>This essentially theoretical analysis is a useful tool of analysis and it has found its way into the</w:t>
      </w:r>
      <w:r>
        <w:rPr>
          <w:spacing w:val="40"/>
        </w:rPr>
        <w:t> </w:t>
      </w:r>
      <w:bookmarkStart w:name="_bookmark226" w:id="228"/>
      <w:bookmarkEnd w:id="228"/>
      <w:r>
        <w:rPr/>
        <w:t>English</w:t>
      </w:r>
      <w:r>
        <w:rPr>
          <w:spacing w:val="-2"/>
        </w:rPr>
        <w:t> </w:t>
      </w:r>
      <w:r>
        <w:rPr/>
        <w:t>case-law.</w:t>
      </w:r>
      <w:r>
        <w:rPr>
          <w:spacing w:val="-2"/>
        </w:rPr>
        <w:t> </w:t>
      </w:r>
      <w:r>
        <w:rPr/>
        <w:t>However,</w:t>
      </w:r>
      <w:r>
        <w:rPr>
          <w:spacing w:val="-2"/>
        </w:rPr>
        <w:t> </w:t>
      </w:r>
      <w:r>
        <w:rPr/>
        <w:t>it</w:t>
      </w:r>
      <w:r>
        <w:rPr>
          <w:spacing w:val="-2"/>
        </w:rPr>
        <w:t> </w:t>
      </w:r>
      <w:r>
        <w:rPr/>
        <w:t>must</w:t>
      </w:r>
      <w:r>
        <w:rPr>
          <w:spacing w:val="-2"/>
        </w:rPr>
        <w:t> </w:t>
      </w:r>
      <w:r>
        <w:rPr/>
        <w:t>be</w:t>
      </w:r>
      <w:r>
        <w:rPr>
          <w:spacing w:val="-2"/>
        </w:rPr>
        <w:t> </w:t>
      </w:r>
      <w:r>
        <w:rPr/>
        <w:t>applied</w:t>
      </w:r>
      <w:r>
        <w:rPr>
          <w:spacing w:val="-2"/>
        </w:rPr>
        <w:t> </w:t>
      </w:r>
      <w:r>
        <w:rPr/>
        <w:t>with</w:t>
      </w:r>
      <w:r>
        <w:rPr>
          <w:spacing w:val="-2"/>
        </w:rPr>
        <w:t> </w:t>
      </w:r>
      <w:r>
        <w:rPr/>
        <w:t>some</w:t>
      </w:r>
      <w:r>
        <w:rPr>
          <w:spacing w:val="-2"/>
        </w:rPr>
        <w:t> </w:t>
      </w:r>
      <w:r>
        <w:rPr/>
        <w:t>caution.</w:t>
      </w:r>
      <w:r>
        <w:rPr>
          <w:spacing w:val="-2"/>
        </w:rPr>
        <w:t> </w:t>
      </w:r>
      <w:r>
        <w:rPr/>
        <w:t>First,</w:t>
      </w:r>
      <w:r>
        <w:rPr>
          <w:spacing w:val="-2"/>
        </w:rPr>
        <w:t> </w:t>
      </w:r>
      <w:r>
        <w:rPr/>
        <w:t>the</w:t>
      </w:r>
      <w:r>
        <w:rPr>
          <w:spacing w:val="-2"/>
        </w:rPr>
        <w:t> </w:t>
      </w:r>
      <w:r>
        <w:rPr/>
        <w:t>analysis</w:t>
      </w:r>
      <w:r>
        <w:rPr>
          <w:spacing w:val="-2"/>
        </w:rPr>
        <w:t> </w:t>
      </w:r>
      <w:r>
        <w:rPr/>
        <w:t>is</w:t>
      </w:r>
      <w:r>
        <w:rPr>
          <w:spacing w:val="-2"/>
        </w:rPr>
        <w:t> </w:t>
      </w:r>
      <w:r>
        <w:rPr/>
        <w:t>not</w:t>
      </w:r>
      <w:r>
        <w:rPr>
          <w:spacing w:val="-2"/>
        </w:rPr>
        <w:t> </w:t>
      </w:r>
      <w:r>
        <w:rPr/>
        <w:t>exhaustive: damages may be awarded for kinds of loss which do not fit readily into any of the three categories.</w:t>
      </w:r>
      <w:r>
        <w:rPr>
          <w:spacing w:val="-1"/>
        </w:rPr>
        <w:t> </w:t>
      </w:r>
      <w:r>
        <w:rPr>
          <w:color w:val="005DA1"/>
          <w:u w:val="single" w:color="005DA1"/>
          <w:vertAlign w:val="superscript"/>
        </w:rPr>
        <w:t>124</w:t>
      </w:r>
      <w:r>
        <w:rPr>
          <w:color w:val="005DA1"/>
          <w:vertAlign w:val="baseline"/>
        </w:rPr>
        <w:t> </w:t>
      </w:r>
      <w:r>
        <w:rPr>
          <w:vertAlign w:val="baseline"/>
        </w:rPr>
        <w:t>Secondly, the interests may overlap, in the sense that the broader interests will often include </w:t>
      </w:r>
      <w:r>
        <w:rPr>
          <w:vertAlign w:val="baseline"/>
        </w:rPr>
        <w:t>the narrower. Thus if the claimant has paid the price but has received nothing in return, recovery of the price may be viewed as the restitution interest, or as a form of wasted expenditure (and so part of the reliance interest), or as an element of being put into the position he would have been in had the contract been performed (the expectation interest). Thirdly, it must be emphasised that contract damages are normally assessed on the “expectation” measure and do not protect the restitution interest or the reliance interest as such. The last point is explained in the next paragraph.</w:t>
      </w:r>
    </w:p>
    <w:p>
      <w:pPr>
        <w:pStyle w:val="BodyText"/>
      </w:pPr>
    </w:p>
    <w:p>
      <w:pPr>
        <w:pStyle w:val="BodyText"/>
        <w:spacing w:before="35"/>
      </w:pPr>
    </w:p>
    <w:p>
      <w:pPr>
        <w:spacing w:before="0"/>
        <w:ind w:left="165" w:right="0" w:firstLine="0"/>
        <w:jc w:val="both"/>
        <w:rPr>
          <w:rFonts w:ascii="Arial"/>
          <w:b/>
          <w:sz w:val="18"/>
        </w:rPr>
      </w:pPr>
      <w:r>
        <w:rPr>
          <w:rFonts w:ascii="Arial"/>
          <w:b/>
          <w:sz w:val="18"/>
        </w:rPr>
        <w:t>Primacy of the expectation </w:t>
      </w:r>
      <w:r>
        <w:rPr>
          <w:rFonts w:ascii="Arial"/>
          <w:b/>
          <w:spacing w:val="-2"/>
          <w:sz w:val="18"/>
        </w:rPr>
        <w:t>interest</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021</w:t>
      </w:r>
    </w:p>
    <w:p>
      <w:pPr>
        <w:spacing w:after="0"/>
        <w:jc w:val="left"/>
        <w:rPr>
          <w:rFonts w:ascii="Arial"/>
          <w:b/>
          <w:sz w:val="24"/>
        </w:rPr>
        <w:sectPr>
          <w:headerReference w:type="default" r:id="rId14"/>
          <w:pgSz w:w="11900" w:h="16840"/>
          <w:pgMar w:header="971" w:footer="0" w:top="1300" w:bottom="280" w:left="1275" w:right="1275"/>
          <w:pgNumType w:start="1"/>
        </w:sectPr>
      </w:pPr>
    </w:p>
    <w:p>
      <w:pPr>
        <w:pStyle w:val="BodyText"/>
        <w:spacing w:line="235" w:lineRule="auto" w:before="210"/>
        <w:ind w:left="165" w:right="167"/>
        <w:jc w:val="both"/>
      </w:pPr>
      <w:r>
        <w:rPr/>
        <w:t>Damages</w:t>
      </w:r>
      <w:r>
        <w:rPr>
          <w:spacing w:val="-2"/>
        </w:rPr>
        <w:t> </w:t>
      </w:r>
      <w:r>
        <w:rPr/>
        <w:t>for</w:t>
      </w:r>
      <w:r>
        <w:rPr>
          <w:spacing w:val="-2"/>
        </w:rPr>
        <w:t> </w:t>
      </w:r>
      <w:r>
        <w:rPr/>
        <w:t>breach</w:t>
      </w:r>
      <w:r>
        <w:rPr>
          <w:spacing w:val="-2"/>
        </w:rPr>
        <w:t> </w:t>
      </w:r>
      <w:r>
        <w:rPr/>
        <w:t>of</w:t>
      </w:r>
      <w:r>
        <w:rPr>
          <w:spacing w:val="-2"/>
        </w:rPr>
        <w:t> </w:t>
      </w:r>
      <w:r>
        <w:rPr/>
        <w:t>contract</w:t>
      </w:r>
      <w:r>
        <w:rPr>
          <w:spacing w:val="-2"/>
        </w:rPr>
        <w:t> </w:t>
      </w:r>
      <w:r>
        <w:rPr/>
        <w:t>are</w:t>
      </w:r>
      <w:r>
        <w:rPr>
          <w:spacing w:val="-2"/>
        </w:rPr>
        <w:t> </w:t>
      </w:r>
      <w:r>
        <w:rPr/>
        <w:t>designed</w:t>
      </w:r>
      <w:r>
        <w:rPr>
          <w:spacing w:val="-2"/>
        </w:rPr>
        <w:t> </w:t>
      </w:r>
      <w:r>
        <w:rPr/>
        <w:t>to</w:t>
      </w:r>
      <w:r>
        <w:rPr>
          <w:spacing w:val="-2"/>
        </w:rPr>
        <w:t> </w:t>
      </w:r>
      <w:r>
        <w:rPr/>
        <w:t>put</w:t>
      </w:r>
      <w:r>
        <w:rPr>
          <w:spacing w:val="-2"/>
        </w:rPr>
        <w:t> </w:t>
      </w:r>
      <w:r>
        <w:rPr/>
        <w:t>the</w:t>
      </w:r>
      <w:r>
        <w:rPr>
          <w:spacing w:val="-2"/>
        </w:rPr>
        <w:t> </w:t>
      </w:r>
      <w:r>
        <w:rPr/>
        <w:t>claimant</w:t>
      </w:r>
      <w:r>
        <w:rPr>
          <w:spacing w:val="-2"/>
        </w:rPr>
        <w:t> </w:t>
      </w:r>
      <w:r>
        <w:rPr/>
        <w:t>into</w:t>
      </w:r>
      <w:r>
        <w:rPr>
          <w:spacing w:val="-2"/>
        </w:rPr>
        <w:t> </w:t>
      </w:r>
      <w:r>
        <w:rPr/>
        <w:t>the</w:t>
      </w:r>
      <w:r>
        <w:rPr>
          <w:spacing w:val="-2"/>
        </w:rPr>
        <w:t> </w:t>
      </w:r>
      <w:r>
        <w:rPr/>
        <w:t>position</w:t>
      </w:r>
      <w:r>
        <w:rPr>
          <w:spacing w:val="-2"/>
        </w:rPr>
        <w:t> </w:t>
      </w:r>
      <w:r>
        <w:rPr/>
        <w:t>he</w:t>
      </w:r>
      <w:r>
        <w:rPr>
          <w:spacing w:val="-2"/>
        </w:rPr>
        <w:t> </w:t>
      </w:r>
      <w:r>
        <w:rPr/>
        <w:t>would</w:t>
      </w:r>
      <w:r>
        <w:rPr>
          <w:spacing w:val="-2"/>
        </w:rPr>
        <w:t> </w:t>
      </w:r>
      <w:r>
        <w:rPr/>
        <w:t>have</w:t>
      </w:r>
      <w:r>
        <w:rPr>
          <w:spacing w:val="-2"/>
        </w:rPr>
        <w:t> </w:t>
      </w:r>
      <w:r>
        <w:rPr/>
        <w:t>been in had the contract been performed, and will not necessarily compensate the claimant’s restitution </w:t>
      </w:r>
      <w:r>
        <w:rPr/>
        <w:t>or reliance interest in full. For example, if a buyer of goods has paid the price and has received nothing</w:t>
      </w:r>
      <w:r>
        <w:rPr>
          <w:spacing w:val="40"/>
        </w:rPr>
        <w:t> </w:t>
      </w:r>
      <w:r>
        <w:rPr/>
        <w:t>in return, but the price was higher than the goods would have been worth even if they had complied </w:t>
      </w:r>
      <w:bookmarkStart w:name="_bookmark227" w:id="229"/>
      <w:bookmarkEnd w:id="229"/>
      <w:r>
        <w:rPr/>
        <w:t>with</w:t>
      </w:r>
      <w:r>
        <w:rPr/>
        <w:t> the contract, the damages will reflect that fact and will not fully protect the claimant’s restitution interest. </w:t>
      </w:r>
      <w:r>
        <w:rPr>
          <w:color w:val="005DA1"/>
          <w:u w:val="single" w:color="005DA1"/>
          <w:vertAlign w:val="superscript"/>
        </w:rPr>
        <w:t>125</w:t>
      </w:r>
      <w:r>
        <w:rPr>
          <w:color w:val="005DA1"/>
          <w:vertAlign w:val="baseline"/>
        </w:rPr>
        <w:t> </w:t>
      </w:r>
      <w:r>
        <w:rPr>
          <w:vertAlign w:val="baseline"/>
        </w:rPr>
        <w:t>The claimant may be able to recover the full amount of the price paid by means of a claim </w:t>
      </w:r>
      <w:bookmarkStart w:name="_bookmark228" w:id="230"/>
      <w:bookmarkEnd w:id="230"/>
      <w:r>
        <w:rPr>
          <w:vertAlign w:val="baseline"/>
        </w:rPr>
        <w:t>in</w:t>
      </w:r>
      <w:r>
        <w:rPr>
          <w:vertAlign w:val="baseline"/>
        </w:rPr>
        <w:t> restitution, but there are restrictions on such claims, notably that there must have been a total failure of consideration. </w:t>
      </w:r>
      <w:r>
        <w:rPr>
          <w:color w:val="005DA1"/>
          <w:u w:val="single" w:color="005DA1"/>
          <w:vertAlign w:val="superscript"/>
        </w:rPr>
        <w:t>126</w:t>
      </w:r>
      <w:r>
        <w:rPr>
          <w:color w:val="005DA1"/>
          <w:vertAlign w:val="baseline"/>
        </w:rPr>
        <w:t> </w:t>
      </w:r>
      <w:r>
        <w:rPr>
          <w:vertAlign w:val="baseline"/>
        </w:rPr>
        <w:t>Similarly, the claimant is permitted to claim wasted expenditure in reliance on</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as</w:t>
      </w:r>
      <w:r>
        <w:rPr>
          <w:spacing w:val="-2"/>
          <w:vertAlign w:val="baseline"/>
        </w:rPr>
        <w:t> </w:t>
      </w:r>
      <w:r>
        <w:rPr>
          <w:vertAlign w:val="baseline"/>
        </w:rPr>
        <w:t>an</w:t>
      </w:r>
      <w:r>
        <w:rPr>
          <w:spacing w:val="-2"/>
          <w:vertAlign w:val="baseline"/>
        </w:rPr>
        <w:t> </w:t>
      </w:r>
      <w:r>
        <w:rPr>
          <w:vertAlign w:val="baseline"/>
        </w:rPr>
        <w:t>item</w:t>
      </w:r>
      <w:r>
        <w:rPr>
          <w:spacing w:val="-2"/>
          <w:vertAlign w:val="baseline"/>
        </w:rPr>
        <w:t> </w:t>
      </w:r>
      <w:r>
        <w:rPr>
          <w:vertAlign w:val="baseline"/>
        </w:rPr>
        <w:t>of</w:t>
      </w:r>
      <w:r>
        <w:rPr>
          <w:spacing w:val="-2"/>
          <w:vertAlign w:val="baseline"/>
        </w:rPr>
        <w:t> </w:t>
      </w:r>
      <w:r>
        <w:rPr>
          <w:vertAlign w:val="baseline"/>
        </w:rPr>
        <w:t>damage</w:t>
      </w:r>
      <w:r>
        <w:rPr>
          <w:spacing w:val="-2"/>
          <w:vertAlign w:val="baseline"/>
        </w:rPr>
        <w:t> </w:t>
      </w:r>
      <w:r>
        <w:rPr>
          <w:vertAlign w:val="baseline"/>
        </w:rPr>
        <w:t>in</w:t>
      </w:r>
      <w:r>
        <w:rPr>
          <w:spacing w:val="-2"/>
          <w:vertAlign w:val="baseline"/>
        </w:rPr>
        <w:t> </w:t>
      </w:r>
      <w:r>
        <w:rPr>
          <w:vertAlign w:val="baseline"/>
        </w:rPr>
        <w:t>addition</w:t>
      </w:r>
      <w:r>
        <w:rPr>
          <w:spacing w:val="-2"/>
          <w:vertAlign w:val="baseline"/>
        </w:rPr>
        <w:t> </w:t>
      </w:r>
      <w:r>
        <w:rPr>
          <w:vertAlign w:val="baseline"/>
        </w:rPr>
        <w:t>to</w:t>
      </w:r>
      <w:r>
        <w:rPr>
          <w:spacing w:val="-2"/>
          <w:vertAlign w:val="baseline"/>
        </w:rPr>
        <w:t> </w:t>
      </w:r>
      <w:r>
        <w:rPr>
          <w:vertAlign w:val="baseline"/>
        </w:rPr>
        <w:t>or</w:t>
      </w:r>
      <w:r>
        <w:rPr>
          <w:spacing w:val="-2"/>
          <w:vertAlign w:val="baseline"/>
        </w:rPr>
        <w:t> </w:t>
      </w:r>
      <w:r>
        <w:rPr>
          <w:vertAlign w:val="baseline"/>
        </w:rPr>
        <w:t>in</w:t>
      </w:r>
      <w:r>
        <w:rPr>
          <w:spacing w:val="-2"/>
          <w:vertAlign w:val="baseline"/>
        </w:rPr>
        <w:t> </w:t>
      </w:r>
      <w:r>
        <w:rPr>
          <w:vertAlign w:val="baseline"/>
        </w:rPr>
        <w:t>place</w:t>
      </w:r>
      <w:r>
        <w:rPr>
          <w:spacing w:val="-2"/>
          <w:vertAlign w:val="baseline"/>
        </w:rPr>
        <w:t> </w:t>
      </w:r>
      <w:r>
        <w:rPr>
          <w:vertAlign w:val="baseline"/>
        </w:rPr>
        <w:t>of</w:t>
      </w:r>
      <w:r>
        <w:rPr>
          <w:spacing w:val="-2"/>
          <w:vertAlign w:val="baseline"/>
        </w:rPr>
        <w:t> </w:t>
      </w:r>
      <w:r>
        <w:rPr>
          <w:vertAlign w:val="baseline"/>
        </w:rPr>
        <w:t>claiming</w:t>
      </w:r>
      <w:r>
        <w:rPr>
          <w:spacing w:val="-2"/>
          <w:vertAlign w:val="baseline"/>
        </w:rPr>
        <w:t> </w:t>
      </w:r>
      <w:r>
        <w:rPr>
          <w:vertAlign w:val="baseline"/>
        </w:rPr>
        <w:t>for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profits,</w:t>
      </w:r>
      <w:r>
        <w:rPr>
          <w:spacing w:val="-2"/>
          <w:vertAlign w:val="baseline"/>
        </w:rPr>
        <w:t> </w:t>
      </w:r>
      <w:r>
        <w:rPr>
          <w:vertAlign w:val="baseline"/>
        </w:rPr>
        <w:t>but</w:t>
      </w:r>
      <w:r>
        <w:rPr>
          <w:spacing w:val="-2"/>
          <w:vertAlign w:val="baseline"/>
        </w:rPr>
        <w:t> </w:t>
      </w:r>
      <w:r>
        <w:rPr>
          <w:vertAlign w:val="baseline"/>
        </w:rPr>
        <w:t>he</w:t>
      </w:r>
      <w:r>
        <w:rPr>
          <w:spacing w:val="-2"/>
          <w:vertAlign w:val="baseline"/>
        </w:rPr>
        <w:t> </w:t>
      </w:r>
      <w:r>
        <w:rPr>
          <w:vertAlign w:val="baseline"/>
        </w:rPr>
        <w:t>will </w:t>
      </w:r>
      <w:bookmarkStart w:name="_bookmark229" w:id="231"/>
      <w:bookmarkEnd w:id="231"/>
      <w:r>
        <w:rPr>
          <w:vertAlign w:val="baseline"/>
        </w:rPr>
        <w:t>not</w:t>
      </w:r>
      <w:r>
        <w:rPr>
          <w:vertAlign w:val="baseline"/>
        </w:rPr>
        <w:t> recover damages for expenditure which he would not have recouped even if the contract had</w:t>
      </w:r>
      <w:r>
        <w:rPr>
          <w:spacing w:val="40"/>
          <w:vertAlign w:val="baseline"/>
        </w:rPr>
        <w:t> </w:t>
      </w:r>
      <w:bookmarkStart w:name="_bookmark230" w:id="232"/>
      <w:bookmarkEnd w:id="232"/>
      <w:r>
        <w:rPr>
          <w:vertAlign w:val="baseline"/>
        </w:rPr>
        <w:t>been</w:t>
      </w:r>
      <w:r>
        <w:rPr>
          <w:vertAlign w:val="baseline"/>
        </w:rPr>
        <w:t> performed. </w:t>
      </w:r>
      <w:r>
        <w:rPr>
          <w:color w:val="005DA1"/>
          <w:u w:val="single" w:color="005DA1"/>
          <w:vertAlign w:val="superscript"/>
        </w:rPr>
        <w:t>127</w:t>
      </w:r>
      <w:r>
        <w:rPr>
          <w:color w:val="005DA1"/>
          <w:vertAlign w:val="baseline"/>
        </w:rPr>
        <w:t> </w:t>
      </w:r>
      <w:r>
        <w:rPr>
          <w:vertAlign w:val="baseline"/>
        </w:rPr>
        <w:t>These results follow from the principle that the award should not put the claimant into a better position than if the contract had been performed. </w:t>
      </w:r>
      <w:r>
        <w:rPr>
          <w:color w:val="005DA1"/>
          <w:u w:val="single" w:color="005DA1"/>
          <w:vertAlign w:val="superscript"/>
        </w:rPr>
        <w:t>128</w:t>
      </w:r>
      <w:r>
        <w:rPr>
          <w:color w:val="005DA1"/>
          <w:vertAlign w:val="baseline"/>
        </w:rPr>
        <w:t> </w:t>
      </w:r>
      <w:r>
        <w:rPr>
          <w:vertAlign w:val="baseline"/>
        </w:rPr>
        <w:t>In other words, the “expectation measure” is the primary measure for damages for breach of contract. The circumstances in which reliance loss may be recovered, and the limit imposed by the expectation measure, are discussed more fully in the paragraphs that follow.</w:t>
      </w:r>
    </w:p>
    <w:p>
      <w:pPr>
        <w:pStyle w:val="BodyText"/>
      </w:pPr>
    </w:p>
    <w:p>
      <w:pPr>
        <w:pStyle w:val="BodyText"/>
        <w:spacing w:before="34"/>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183311</wp:posOffset>
                </wp:positionV>
                <wp:extent cx="57245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33972pt;width:450.75pt;height:.1pt;mso-position-horizontal-relative:page;mso-position-vertical-relative:paragraph;z-index:-15707136;mso-wrap-distance-left:0;mso-wrap-distance-right:0" id="docshape20"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pPr>
      <w:bookmarkStart w:name="_bookmark231" w:id="233"/>
      <w:bookmarkEnd w:id="233"/>
      <w:r>
        <w:rPr/>
      </w:r>
      <w:hyperlink w:history="true" w:anchor="_bookmark218">
        <w:r>
          <w:rPr>
            <w:color w:val="005DA1"/>
            <w:spacing w:val="-4"/>
            <w:position w:val="5"/>
            <w:sz w:val="14"/>
            <w:u w:val="single" w:color="005DA1"/>
          </w:rPr>
          <w:t>115</w:t>
        </w:r>
      </w:hyperlink>
      <w:r>
        <w:rPr>
          <w:spacing w:val="-4"/>
          <w:position w:val="5"/>
          <w:sz w:val="14"/>
        </w:rPr>
        <w:t>.</w:t>
      </w:r>
      <w:r>
        <w:rPr>
          <w:position w:val="5"/>
          <w:sz w:val="14"/>
        </w:rPr>
        <w:tab/>
      </w:r>
      <w:r>
        <w:rPr/>
        <w:t>Fuller and Perdue (1937) 46 Yale L.J. 52, 373 (on this article, see Friedmann (1995) 111 </w:t>
      </w:r>
      <w:r>
        <w:rPr>
          <w:spacing w:val="-2"/>
        </w:rPr>
        <w:t>L.Q.R.</w:t>
      </w:r>
    </w:p>
    <w:p>
      <w:pPr>
        <w:pStyle w:val="BodyText"/>
        <w:spacing w:line="235" w:lineRule="auto" w:before="1"/>
        <w:ind w:left="705" w:right="167"/>
      </w:pPr>
      <w:r>
        <w:rPr/>
        <w:t>628); Street at pp.240-247. Another analysis recognises the “performance interest”; see </w:t>
      </w:r>
      <w:r>
        <w:rPr/>
        <w:t>below, </w:t>
      </w:r>
      <w:r>
        <w:rPr>
          <w:spacing w:val="-2"/>
        </w:rPr>
        <w:t>para.26-042.</w:t>
      </w:r>
    </w:p>
    <w:p>
      <w:pPr>
        <w:pStyle w:val="BodyText"/>
        <w:spacing w:before="9"/>
      </w:pPr>
    </w:p>
    <w:p>
      <w:pPr>
        <w:pStyle w:val="BodyText"/>
        <w:spacing w:line="235" w:lineRule="auto" w:before="1"/>
        <w:ind w:left="705" w:right="167" w:hanging="541"/>
        <w:jc w:val="both"/>
      </w:pPr>
      <w:bookmarkStart w:name="_bookmark232" w:id="234"/>
      <w:bookmarkEnd w:id="234"/>
      <w:r>
        <w:rPr/>
      </w:r>
      <w:hyperlink w:history="true" w:anchor="_bookmark219">
        <w:r>
          <w:rPr>
            <w:color w:val="005DA1"/>
            <w:position w:val="5"/>
            <w:sz w:val="14"/>
            <w:u w:val="single" w:color="005DA1"/>
          </w:rPr>
          <w:t>116</w:t>
        </w:r>
      </w:hyperlink>
      <w:r>
        <w:rPr>
          <w:position w:val="5"/>
          <w:sz w:val="14"/>
        </w:rPr>
        <w:t>.</w:t>
      </w:r>
      <w:r>
        <w:rPr>
          <w:spacing w:val="80"/>
          <w:position w:val="5"/>
          <w:sz w:val="14"/>
        </w:rPr>
        <w:t>  </w:t>
      </w:r>
      <w:r>
        <w:rPr/>
        <w:t>Costs incurred by the claimant in attempting to mitigate (see below, para.26-102) are incurred</w:t>
      </w:r>
      <w:r>
        <w:rPr>
          <w:spacing w:val="40"/>
        </w:rPr>
        <w:t> </w:t>
      </w:r>
      <w:r>
        <w:rPr/>
        <w:t>as a result of the defendant’s breach and are therefore outside this definition: see </w:t>
      </w:r>
      <w:r>
        <w:rPr/>
        <w:t>below, </w:t>
      </w:r>
      <w:r>
        <w:rPr>
          <w:spacing w:val="-2"/>
        </w:rPr>
        <w:t>para.26-032.</w:t>
      </w:r>
    </w:p>
    <w:p>
      <w:pPr>
        <w:pStyle w:val="BodyText"/>
        <w:spacing w:before="5"/>
      </w:pPr>
    </w:p>
    <w:p>
      <w:pPr>
        <w:pStyle w:val="BodyText"/>
        <w:spacing w:line="227" w:lineRule="exact"/>
        <w:ind w:left="165"/>
        <w:jc w:val="both"/>
      </w:pPr>
      <w:bookmarkStart w:name="_bookmark233" w:id="235"/>
      <w:bookmarkEnd w:id="235"/>
      <w:r>
        <w:rPr/>
      </w:r>
      <w:hyperlink w:history="true" w:anchor="_bookmark219">
        <w:r>
          <w:rPr>
            <w:color w:val="005DA1"/>
            <w:position w:val="5"/>
            <w:sz w:val="14"/>
            <w:u w:val="single" w:color="005DA1"/>
          </w:rPr>
          <w:t>117</w:t>
        </w:r>
      </w:hyperlink>
      <w:r>
        <w:rPr>
          <w:position w:val="5"/>
          <w:sz w:val="14"/>
        </w:rPr>
        <w:t>.</w:t>
      </w:r>
      <w:r>
        <w:rPr>
          <w:spacing w:val="75"/>
          <w:w w:val="150"/>
          <w:position w:val="5"/>
          <w:sz w:val="14"/>
        </w:rPr>
        <w:t>  </w:t>
      </w:r>
      <w:r>
        <w:rPr/>
        <w:t>See,</w:t>
      </w:r>
      <w:r>
        <w:rPr>
          <w:spacing w:val="15"/>
        </w:rPr>
        <w:t> </w:t>
      </w:r>
      <w:r>
        <w:rPr/>
        <w:t>e.g.</w:t>
      </w:r>
      <w:r>
        <w:rPr>
          <w:spacing w:val="15"/>
        </w:rPr>
        <w:t> </w:t>
      </w:r>
      <w:r>
        <w:rPr/>
        <w:t>below,</w:t>
      </w:r>
      <w:r>
        <w:rPr>
          <w:spacing w:val="15"/>
        </w:rPr>
        <w:t> </w:t>
      </w:r>
      <w:r>
        <w:rPr/>
        <w:t>paras</w:t>
      </w:r>
      <w:r>
        <w:rPr>
          <w:spacing w:val="15"/>
        </w:rPr>
        <w:t> </w:t>
      </w:r>
      <w:r>
        <w:rPr/>
        <w:t>26-022—26-031;</w:t>
      </w:r>
      <w:r>
        <w:rPr>
          <w:spacing w:val="15"/>
        </w:rPr>
        <w:t> </w:t>
      </w:r>
      <w:r>
        <w:rPr/>
        <w:t>Vol.II,</w:t>
      </w:r>
      <w:r>
        <w:rPr>
          <w:spacing w:val="15"/>
        </w:rPr>
        <w:t> </w:t>
      </w:r>
      <w:r>
        <w:rPr/>
        <w:t>para.44-387.</w:t>
      </w:r>
      <w:r>
        <w:rPr>
          <w:spacing w:val="15"/>
        </w:rPr>
        <w:t> </w:t>
      </w:r>
      <w:r>
        <w:rPr/>
        <w:t>See</w:t>
      </w:r>
      <w:r>
        <w:rPr>
          <w:spacing w:val="15"/>
        </w:rPr>
        <w:t> </w:t>
      </w:r>
      <w:r>
        <w:rPr/>
        <w:t>also</w:t>
      </w:r>
      <w:r>
        <w:rPr>
          <w:spacing w:val="15"/>
        </w:rPr>
        <w:t> </w:t>
      </w:r>
      <w:r>
        <w:rPr/>
        <w:t>Owen</w:t>
      </w:r>
      <w:r>
        <w:rPr>
          <w:spacing w:val="15"/>
        </w:rPr>
        <w:t> </w:t>
      </w:r>
      <w:r>
        <w:rPr/>
        <w:t>(1984)</w:t>
      </w:r>
      <w:r>
        <w:rPr>
          <w:spacing w:val="15"/>
        </w:rPr>
        <w:t> </w:t>
      </w:r>
      <w:r>
        <w:rPr/>
        <w:t>4</w:t>
      </w:r>
      <w:r>
        <w:rPr>
          <w:spacing w:val="15"/>
        </w:rPr>
        <w:t> </w:t>
      </w:r>
      <w:r>
        <w:rPr>
          <w:spacing w:val="-2"/>
        </w:rPr>
        <w:t>O.J.L.S.</w:t>
      </w:r>
    </w:p>
    <w:p>
      <w:pPr>
        <w:pStyle w:val="BodyText"/>
        <w:spacing w:line="235" w:lineRule="auto" w:before="1"/>
        <w:ind w:left="705" w:right="167"/>
        <w:jc w:val="both"/>
      </w:pPr>
      <w:r>
        <w:rPr/>
        <w:t>393. The reliance interest includes the award of damages in some situations to restore </w:t>
      </w:r>
      <w:r>
        <w:rPr/>
        <w:t>the claimant to the position he would have been in if he had not entered a particular transaction:</w:t>
      </w:r>
      <w:r>
        <w:rPr>
          <w:spacing w:val="40"/>
        </w:rPr>
        <w:t> </w:t>
      </w:r>
      <w:r>
        <w:rPr/>
        <w:t>see below, para.26-031.</w:t>
      </w:r>
    </w:p>
    <w:p>
      <w:pPr>
        <w:pStyle w:val="BodyText"/>
        <w:spacing w:before="9"/>
      </w:pPr>
    </w:p>
    <w:p>
      <w:pPr>
        <w:pStyle w:val="BodyText"/>
        <w:spacing w:line="235" w:lineRule="auto"/>
        <w:ind w:left="705" w:right="167" w:hanging="541"/>
        <w:jc w:val="both"/>
      </w:pPr>
      <w:bookmarkStart w:name="_bookmark234" w:id="236"/>
      <w:bookmarkEnd w:id="236"/>
      <w:r>
        <w:rPr/>
      </w:r>
      <w:hyperlink w:history="true" w:anchor="_bookmark220">
        <w:r>
          <w:rPr>
            <w:color w:val="005DA1"/>
            <w:position w:val="5"/>
            <w:sz w:val="14"/>
            <w:u w:val="single" w:color="005DA1"/>
          </w:rPr>
          <w:t>118</w:t>
        </w:r>
      </w:hyperlink>
      <w:r>
        <w:rPr>
          <w:position w:val="5"/>
          <w:sz w:val="14"/>
        </w:rPr>
        <w:t>.</w:t>
      </w:r>
      <w:r>
        <w:rPr>
          <w:spacing w:val="80"/>
          <w:w w:val="150"/>
          <w:position w:val="5"/>
          <w:sz w:val="14"/>
        </w:rPr>
        <w:t> </w:t>
      </w:r>
      <w:r>
        <w:rPr/>
        <w:t>The price paid is also a form of wasted expenditure and thus the reliance interest includes the restitution interest but covers more. Recovery of the price is therefore sometimes discussed as an aspect of recovery of expenditure in reliance on the contract: see below, para.26-026.</w:t>
      </w:r>
    </w:p>
    <w:p>
      <w:pPr>
        <w:pStyle w:val="BodyText"/>
        <w:spacing w:before="5"/>
      </w:pPr>
    </w:p>
    <w:p>
      <w:pPr>
        <w:pStyle w:val="BodyText"/>
        <w:tabs>
          <w:tab w:pos="705" w:val="left" w:leader="none"/>
        </w:tabs>
        <w:ind w:left="165"/>
      </w:pPr>
      <w:bookmarkStart w:name="_bookmark235" w:id="237"/>
      <w:bookmarkEnd w:id="237"/>
      <w:r>
        <w:rPr/>
      </w:r>
      <w:hyperlink w:history="true" w:anchor="_bookmark221">
        <w:r>
          <w:rPr>
            <w:color w:val="005DA1"/>
            <w:spacing w:val="-4"/>
            <w:position w:val="5"/>
            <w:sz w:val="14"/>
            <w:u w:val="single" w:color="005DA1"/>
          </w:rPr>
          <w:t>119</w:t>
        </w:r>
      </w:hyperlink>
      <w:r>
        <w:rPr>
          <w:spacing w:val="-4"/>
          <w:position w:val="5"/>
          <w:sz w:val="14"/>
        </w:rPr>
        <w:t>.</w:t>
      </w:r>
      <w:r>
        <w:rPr>
          <w:position w:val="5"/>
          <w:sz w:val="14"/>
        </w:rPr>
        <w:tab/>
      </w:r>
      <w:r>
        <w:rPr/>
        <w:t>“Benefit” may include a personal or subjective, even idiosyncratic, </w:t>
      </w:r>
      <w:r>
        <w:rPr>
          <w:spacing w:val="-2"/>
        </w:rPr>
        <w:t>benefit.</w:t>
      </w:r>
    </w:p>
    <w:p>
      <w:pPr>
        <w:pStyle w:val="BodyText"/>
        <w:spacing w:before="5"/>
      </w:pPr>
    </w:p>
    <w:p>
      <w:pPr>
        <w:pStyle w:val="BodyText"/>
        <w:tabs>
          <w:tab w:pos="705" w:val="left" w:leader="none"/>
        </w:tabs>
        <w:ind w:left="165"/>
      </w:pPr>
      <w:bookmarkStart w:name="_bookmark236" w:id="238"/>
      <w:bookmarkEnd w:id="238"/>
      <w:r>
        <w:rPr/>
      </w:r>
      <w:hyperlink w:history="true" w:anchor="_bookmark222">
        <w:r>
          <w:rPr>
            <w:color w:val="005DA1"/>
            <w:spacing w:val="-4"/>
            <w:position w:val="5"/>
            <w:sz w:val="14"/>
            <w:u w:val="single" w:color="005DA1"/>
          </w:rPr>
          <w:t>120</w:t>
        </w:r>
      </w:hyperlink>
      <w:r>
        <w:rPr>
          <w:spacing w:val="-4"/>
          <w:position w:val="5"/>
          <w:sz w:val="14"/>
        </w:rPr>
        <w:t>.</w:t>
      </w:r>
      <w:r>
        <w:rPr>
          <w:position w:val="5"/>
          <w:sz w:val="14"/>
        </w:rPr>
        <w:tab/>
      </w:r>
      <w:r>
        <w:rPr/>
        <w:t>See, e.g. below, paras 26-133—26-</w:t>
      </w:r>
      <w:r>
        <w:rPr>
          <w:spacing w:val="-4"/>
        </w:rPr>
        <w:t>138.</w:t>
      </w:r>
    </w:p>
    <w:p>
      <w:pPr>
        <w:pStyle w:val="BodyText"/>
        <w:spacing w:before="5"/>
      </w:pPr>
    </w:p>
    <w:p>
      <w:pPr>
        <w:pStyle w:val="BodyText"/>
        <w:tabs>
          <w:tab w:pos="705" w:val="left" w:leader="none"/>
        </w:tabs>
        <w:ind w:left="165"/>
      </w:pPr>
      <w:bookmarkStart w:name="_bookmark237" w:id="239"/>
      <w:bookmarkEnd w:id="239"/>
      <w:r>
        <w:rPr/>
      </w:r>
      <w:hyperlink w:history="true" w:anchor="_bookmark223">
        <w:r>
          <w:rPr>
            <w:color w:val="005DA1"/>
            <w:spacing w:val="-4"/>
            <w:position w:val="5"/>
            <w:sz w:val="14"/>
            <w:u w:val="single" w:color="005DA1"/>
          </w:rPr>
          <w:t>121</w:t>
        </w:r>
      </w:hyperlink>
      <w:r>
        <w:rPr>
          <w:spacing w:val="-4"/>
          <w:position w:val="5"/>
          <w:sz w:val="14"/>
        </w:rPr>
        <w:t>.</w:t>
      </w:r>
      <w:r>
        <w:rPr>
          <w:position w:val="5"/>
          <w:sz w:val="14"/>
        </w:rPr>
        <w:tab/>
      </w:r>
      <w:r>
        <w:rPr/>
        <w:t>Fuller and Perdue (1937) 46 Yale L.J. 52, </w:t>
      </w:r>
      <w:r>
        <w:rPr>
          <w:spacing w:val="-5"/>
        </w:rPr>
        <w:t>56.</w:t>
      </w:r>
    </w:p>
    <w:p>
      <w:pPr>
        <w:pStyle w:val="BodyText"/>
        <w:spacing w:before="5"/>
      </w:pPr>
    </w:p>
    <w:p>
      <w:pPr>
        <w:tabs>
          <w:tab w:pos="705" w:val="left" w:leader="none"/>
        </w:tabs>
        <w:spacing w:before="0"/>
        <w:ind w:left="165" w:right="0" w:firstLine="0"/>
        <w:jc w:val="left"/>
        <w:rPr>
          <w:sz w:val="20"/>
        </w:rPr>
      </w:pPr>
      <w:bookmarkStart w:name="_bookmark238" w:id="240"/>
      <w:bookmarkEnd w:id="240"/>
      <w:r>
        <w:rPr/>
      </w:r>
      <w:hyperlink w:history="true" w:anchor="_bookmark224">
        <w:r>
          <w:rPr>
            <w:color w:val="005DA1"/>
            <w:spacing w:val="-4"/>
            <w:position w:val="5"/>
            <w:sz w:val="14"/>
            <w:u w:val="single" w:color="005DA1"/>
          </w:rPr>
          <w:t>122</w:t>
        </w:r>
      </w:hyperlink>
      <w:r>
        <w:rPr>
          <w:spacing w:val="-4"/>
          <w:position w:val="5"/>
          <w:sz w:val="14"/>
        </w:rPr>
        <w:t>.</w:t>
      </w:r>
      <w:r>
        <w:rPr>
          <w:position w:val="5"/>
          <w:sz w:val="14"/>
        </w:rPr>
        <w:tab/>
      </w:r>
      <w:r>
        <w:rPr>
          <w:sz w:val="20"/>
        </w:rPr>
        <w:t>See para.26-</w:t>
      </w:r>
      <w:r>
        <w:rPr>
          <w:spacing w:val="-4"/>
          <w:sz w:val="20"/>
        </w:rPr>
        <w:t>002.</w:t>
      </w:r>
    </w:p>
    <w:p>
      <w:pPr>
        <w:pStyle w:val="BodyText"/>
        <w:spacing w:before="9"/>
      </w:pPr>
    </w:p>
    <w:p>
      <w:pPr>
        <w:pStyle w:val="BodyText"/>
        <w:spacing w:line="235" w:lineRule="auto"/>
        <w:ind w:left="705" w:right="167" w:hanging="541"/>
        <w:jc w:val="both"/>
      </w:pPr>
      <w:bookmarkStart w:name="_bookmark239" w:id="241"/>
      <w:bookmarkEnd w:id="241"/>
      <w:r>
        <w:rPr/>
      </w:r>
      <w:hyperlink w:history="true" w:anchor="_bookmark225">
        <w:r>
          <w:rPr>
            <w:color w:val="005DA1"/>
            <w:position w:val="5"/>
            <w:sz w:val="14"/>
            <w:u w:val="single" w:color="005DA1"/>
          </w:rPr>
          <w:t>123</w:t>
        </w:r>
      </w:hyperlink>
      <w:r>
        <w:rPr>
          <w:position w:val="5"/>
          <w:sz w:val="14"/>
        </w:rPr>
        <w:t>.</w:t>
      </w:r>
      <w:r>
        <w:rPr>
          <w:spacing w:val="80"/>
          <w:position w:val="5"/>
          <w:sz w:val="14"/>
        </w:rPr>
        <w:t>  </w:t>
      </w:r>
      <w:r>
        <w:rPr/>
        <w:t>cf. </w:t>
      </w:r>
      <w:r>
        <w:rPr>
          <w:rFonts w:ascii="Arial" w:hAnsi="Arial"/>
          <w:i/>
        </w:rPr>
        <w:t>Millar’s Machinery Co Ltd v David Way &amp; Son (1935) 40 Com. Cas. 204</w:t>
      </w:r>
      <w:r>
        <w:rPr/>
        <w:t>. It is not yet </w:t>
      </w:r>
      <w:r>
        <w:rPr/>
        <w:t>wholly clear that English law permits the claimant to recover both his expected profit on the contract and the consequential expense he has incurred in reliance on the defendant’s promise; but it is submitted</w:t>
      </w:r>
      <w:r>
        <w:rPr>
          <w:spacing w:val="40"/>
        </w:rPr>
        <w:t> </w:t>
      </w:r>
      <w:r>
        <w:rPr/>
        <w:t>that</w:t>
      </w:r>
      <w:r>
        <w:rPr>
          <w:spacing w:val="40"/>
        </w:rPr>
        <w:t> </w:t>
      </w:r>
      <w:r>
        <w:rPr/>
        <w:t>the</w:t>
      </w:r>
      <w:r>
        <w:rPr>
          <w:spacing w:val="40"/>
        </w:rPr>
        <w:t> </w:t>
      </w:r>
      <w:r>
        <w:rPr/>
        <w:t>claimant</w:t>
      </w:r>
      <w:r>
        <w:rPr>
          <w:spacing w:val="40"/>
        </w:rPr>
        <w:t> </w:t>
      </w:r>
      <w:r>
        <w:rPr/>
        <w:t>may</w:t>
      </w:r>
      <w:r>
        <w:rPr>
          <w:spacing w:val="40"/>
        </w:rPr>
        <w:t> </w:t>
      </w:r>
      <w:r>
        <w:rPr/>
        <w:t>recover</w:t>
      </w:r>
      <w:r>
        <w:rPr>
          <w:spacing w:val="40"/>
        </w:rPr>
        <w:t> </w:t>
      </w:r>
      <w:r>
        <w:rPr/>
        <w:t>reliance</w:t>
      </w:r>
      <w:r>
        <w:rPr>
          <w:spacing w:val="40"/>
        </w:rPr>
        <w:t> </w:t>
      </w:r>
      <w:r>
        <w:rPr/>
        <w:t>loss</w:t>
      </w:r>
      <w:r>
        <w:rPr>
          <w:spacing w:val="40"/>
        </w:rPr>
        <w:t> </w:t>
      </w:r>
      <w:r>
        <w:rPr/>
        <w:t>and</w:t>
      </w:r>
      <w:r>
        <w:rPr>
          <w:spacing w:val="40"/>
        </w:rPr>
        <w:t> </w:t>
      </w:r>
      <w:r>
        <w:rPr/>
        <w:t>the</w:t>
      </w:r>
      <w:r>
        <w:rPr>
          <w:spacing w:val="40"/>
        </w:rPr>
        <w:t> </w:t>
      </w:r>
      <w:r>
        <w:rPr/>
        <w:t>net</w:t>
      </w:r>
      <w:r>
        <w:rPr>
          <w:spacing w:val="40"/>
        </w:rPr>
        <w:t> </w:t>
      </w:r>
      <w:r>
        <w:rPr/>
        <w:t>profit:</w:t>
      </w:r>
      <w:r>
        <w:rPr>
          <w:spacing w:val="40"/>
        </w:rPr>
        <w:t> </w:t>
      </w:r>
      <w:r>
        <w:rPr/>
        <w:t>see</w:t>
      </w:r>
      <w:r>
        <w:rPr>
          <w:spacing w:val="40"/>
        </w:rPr>
        <w:t> </w:t>
      </w:r>
      <w:r>
        <w:rPr/>
        <w:t>below, </w:t>
      </w:r>
      <w:r>
        <w:rPr>
          <w:spacing w:val="-2"/>
        </w:rPr>
        <w:t>para.26-029.</w:t>
      </w:r>
    </w:p>
    <w:p>
      <w:pPr>
        <w:pStyle w:val="BodyText"/>
        <w:spacing w:before="4"/>
      </w:pPr>
    </w:p>
    <w:p>
      <w:pPr>
        <w:pStyle w:val="BodyText"/>
        <w:tabs>
          <w:tab w:pos="705" w:val="left" w:leader="none"/>
        </w:tabs>
        <w:ind w:left="165"/>
      </w:pPr>
      <w:bookmarkStart w:name="_bookmark240" w:id="242"/>
      <w:bookmarkEnd w:id="242"/>
      <w:r>
        <w:rPr/>
      </w:r>
      <w:hyperlink w:history="true" w:anchor="_bookmark226">
        <w:r>
          <w:rPr>
            <w:color w:val="005DA1"/>
            <w:spacing w:val="-4"/>
            <w:position w:val="5"/>
            <w:sz w:val="14"/>
            <w:u w:val="single" w:color="005DA1"/>
          </w:rPr>
          <w:t>124</w:t>
        </w:r>
      </w:hyperlink>
      <w:r>
        <w:rPr>
          <w:spacing w:val="-4"/>
          <w:position w:val="5"/>
          <w:sz w:val="14"/>
        </w:rPr>
        <w:t>.</w:t>
      </w:r>
      <w:r>
        <w:rPr>
          <w:position w:val="5"/>
          <w:sz w:val="14"/>
        </w:rPr>
        <w:tab/>
      </w:r>
      <w:r>
        <w:rPr/>
        <w:t>See below, paras 26-032—26-</w:t>
      </w:r>
      <w:r>
        <w:rPr>
          <w:spacing w:val="-4"/>
        </w:rPr>
        <w:t>033.</w:t>
      </w:r>
    </w:p>
    <w:p>
      <w:pPr>
        <w:pStyle w:val="BodyText"/>
        <w:spacing w:before="9"/>
      </w:pPr>
    </w:p>
    <w:p>
      <w:pPr>
        <w:spacing w:line="235" w:lineRule="auto" w:before="0"/>
        <w:ind w:left="705" w:right="167" w:hanging="541"/>
        <w:jc w:val="both"/>
        <w:rPr>
          <w:sz w:val="20"/>
        </w:rPr>
      </w:pPr>
      <w:bookmarkStart w:name="_bookmark241" w:id="243"/>
      <w:bookmarkEnd w:id="243"/>
      <w:r>
        <w:rPr/>
      </w:r>
      <w:hyperlink w:history="true" w:anchor="_bookmark227">
        <w:r>
          <w:rPr>
            <w:color w:val="005DA1"/>
            <w:position w:val="5"/>
            <w:sz w:val="14"/>
            <w:u w:val="single" w:color="005DA1"/>
          </w:rPr>
          <w:t>125</w:t>
        </w:r>
      </w:hyperlink>
      <w:r>
        <w:rPr>
          <w:position w:val="5"/>
          <w:sz w:val="14"/>
        </w:rPr>
        <w:t>.</w:t>
      </w:r>
      <w:r>
        <w:rPr>
          <w:spacing w:val="80"/>
          <w:position w:val="5"/>
          <w:sz w:val="14"/>
        </w:rPr>
        <w:t>  </w:t>
      </w:r>
      <w:r>
        <w:rPr>
          <w:sz w:val="20"/>
        </w:rPr>
        <w:t>cf.</w:t>
      </w:r>
      <w:r>
        <w:rPr>
          <w:spacing w:val="38"/>
          <w:sz w:val="20"/>
        </w:rPr>
        <w:t> </w:t>
      </w:r>
      <w:r>
        <w:rPr>
          <w:rFonts w:ascii="Arial" w:hAnsi="Arial"/>
          <w:i/>
          <w:sz w:val="20"/>
        </w:rPr>
        <w:t>Dawood</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Heath</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[1961]</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512,</w:t>
      </w:r>
      <w:r>
        <w:rPr>
          <w:rFonts w:ascii="Arial" w:hAnsi="Arial"/>
          <w:i/>
          <w:spacing w:val="38"/>
          <w:sz w:val="20"/>
        </w:rPr>
        <w:t> </w:t>
      </w:r>
      <w:r>
        <w:rPr>
          <w:rFonts w:ascii="Arial" w:hAnsi="Arial"/>
          <w:i/>
          <w:sz w:val="20"/>
        </w:rPr>
        <w:t>518</w:t>
      </w:r>
      <w:r>
        <w:rPr>
          <w:rFonts w:ascii="Arial" w:hAnsi="Arial"/>
          <w:i/>
          <w:spacing w:val="38"/>
          <w:sz w:val="20"/>
        </w:rPr>
        <w:t> </w:t>
      </w:r>
      <w:r>
        <w:rPr>
          <w:sz w:val="20"/>
        </w:rPr>
        <w:t>and</w:t>
      </w:r>
      <w:r>
        <w:rPr>
          <w:spacing w:val="38"/>
          <w:sz w:val="20"/>
        </w:rPr>
        <w:t> </w:t>
      </w:r>
      <w:r>
        <w:rPr>
          <w:sz w:val="20"/>
        </w:rPr>
        <w:t>below,</w:t>
      </w:r>
      <w:r>
        <w:rPr>
          <w:spacing w:val="38"/>
          <w:sz w:val="20"/>
        </w:rPr>
        <w:t> </w:t>
      </w:r>
      <w:r>
        <w:rPr>
          <w:sz w:val="20"/>
        </w:rPr>
        <w:t>paras</w:t>
      </w:r>
      <w:r>
        <w:rPr>
          <w:spacing w:val="38"/>
          <w:sz w:val="20"/>
        </w:rPr>
        <w:t> </w:t>
      </w:r>
      <w:r>
        <w:rPr>
          <w:sz w:val="20"/>
        </w:rPr>
        <w:t>26-026</w:t>
      </w:r>
      <w:r>
        <w:rPr>
          <w:spacing w:val="38"/>
          <w:sz w:val="20"/>
        </w:rPr>
        <w:t> </w:t>
      </w:r>
      <w:r>
        <w:rPr>
          <w:sz w:val="20"/>
        </w:rPr>
        <w:t>and 29-062 et seq. See also </w:t>
      </w:r>
      <w:r>
        <w:rPr>
          <w:rFonts w:ascii="Arial" w:hAnsi="Arial"/>
          <w:i/>
          <w:sz w:val="20"/>
        </w:rPr>
        <w:t>Giedo van der Garde BV v Force India Formula One Team Ltd </w:t>
      </w:r>
      <w:r>
        <w:rPr>
          <w:rFonts w:ascii="Arial" w:hAnsi="Arial"/>
          <w:i/>
          <w:sz w:val="20"/>
        </w:rPr>
        <w:t>[2010] EWHC 2373 (QB) </w:t>
      </w:r>
      <w:r>
        <w:rPr>
          <w:sz w:val="20"/>
        </w:rPr>
        <w:t>at [433], Hamblen J. (“Unlike in a claim for restitution, the contract price</w:t>
      </w:r>
      <w:r>
        <w:rPr>
          <w:spacing w:val="40"/>
          <w:sz w:val="20"/>
        </w:rPr>
        <w:t> </w:t>
      </w:r>
      <w:r>
        <w:rPr>
          <w:sz w:val="20"/>
        </w:rPr>
        <w:t>forms no part of the relief or remedy to which the claimant is entitled. In so far as it is relevant</w:t>
      </w:r>
      <w:r>
        <w:rPr>
          <w:spacing w:val="40"/>
          <w:sz w:val="20"/>
        </w:rPr>
        <w:t> </w:t>
      </w:r>
      <w:r>
        <w:rPr>
          <w:sz w:val="20"/>
        </w:rPr>
        <w:t>its relevance is evidential in the sense that in an appropriate case an inference may be drawn from the contract price as to the value of the services to which the claimant was entitled and for whose value he is entitled to be compensated”.)</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bookmarkStart w:name="_bookmark242" w:id="244"/>
      <w:bookmarkEnd w:id="244"/>
      <w:r>
        <w:rPr/>
      </w:r>
      <w:hyperlink w:history="true" w:anchor="_bookmark228">
        <w:r>
          <w:rPr>
            <w:color w:val="005DA1"/>
            <w:position w:val="5"/>
            <w:sz w:val="14"/>
            <w:u w:val="single" w:color="005DA1"/>
          </w:rPr>
          <w:t>126</w:t>
        </w:r>
      </w:hyperlink>
      <w:r>
        <w:rPr>
          <w:position w:val="5"/>
          <w:sz w:val="14"/>
        </w:rPr>
        <w:t>.</w:t>
      </w:r>
      <w:r>
        <w:rPr>
          <w:spacing w:val="80"/>
          <w:position w:val="5"/>
          <w:sz w:val="14"/>
        </w:rPr>
        <w:t>  </w:t>
      </w:r>
      <w:r>
        <w:rPr>
          <w:sz w:val="20"/>
        </w:rPr>
        <w:t>See below, para.26-026. It seems that it suffices if there has been a total failure in respect of </w:t>
      </w:r>
      <w:r>
        <w:rPr>
          <w:sz w:val="20"/>
        </w:rPr>
        <w:t>a part of the contract if the price is divisible or can readily be apportioned, as in </w:t>
      </w:r>
      <w:r>
        <w:rPr>
          <w:rFonts w:ascii="Arial" w:hAnsi="Arial"/>
          <w:i/>
          <w:sz w:val="20"/>
        </w:rPr>
        <w:t>Dawood Ltd v Heath Ltd [1961] 2 Lloyd’s Rep. 512</w:t>
      </w:r>
      <w:r>
        <w:rPr>
          <w:sz w:val="20"/>
        </w:rPr>
        <w:t>: below, para.29-065.</w:t>
      </w:r>
    </w:p>
    <w:p>
      <w:pPr>
        <w:pStyle w:val="BodyText"/>
        <w:spacing w:before="5"/>
      </w:pPr>
    </w:p>
    <w:p>
      <w:pPr>
        <w:pStyle w:val="BodyText"/>
        <w:tabs>
          <w:tab w:pos="705" w:val="left" w:leader="none"/>
        </w:tabs>
        <w:ind w:left="165"/>
      </w:pPr>
      <w:bookmarkStart w:name="_bookmark243" w:id="245"/>
      <w:bookmarkEnd w:id="245"/>
      <w:r>
        <w:rPr/>
      </w:r>
      <w:hyperlink w:history="true" w:anchor="_bookmark229">
        <w:r>
          <w:rPr>
            <w:color w:val="005DA1"/>
            <w:spacing w:val="-4"/>
            <w:position w:val="5"/>
            <w:sz w:val="14"/>
            <w:u w:val="single" w:color="005DA1"/>
          </w:rPr>
          <w:t>127</w:t>
        </w:r>
      </w:hyperlink>
      <w:r>
        <w:rPr>
          <w:spacing w:val="-4"/>
          <w:position w:val="5"/>
          <w:sz w:val="14"/>
        </w:rPr>
        <w:t>.</w:t>
      </w:r>
      <w:r>
        <w:rPr>
          <w:position w:val="5"/>
          <w:sz w:val="14"/>
        </w:rPr>
        <w:tab/>
      </w:r>
      <w:r>
        <w:rPr/>
        <w:t>See</w:t>
      </w:r>
      <w:r>
        <w:rPr>
          <w:spacing w:val="-2"/>
        </w:rPr>
        <w:t> </w:t>
      </w:r>
      <w:r>
        <w:rPr/>
        <w:t>below, para.26-</w:t>
      </w:r>
      <w:r>
        <w:rPr>
          <w:spacing w:val="-4"/>
        </w:rPr>
        <w:t>024.</w:t>
      </w:r>
    </w:p>
    <w:p>
      <w:pPr>
        <w:pStyle w:val="BodyText"/>
        <w:spacing w:before="9"/>
      </w:pPr>
    </w:p>
    <w:p>
      <w:pPr>
        <w:spacing w:line="235" w:lineRule="auto" w:before="0"/>
        <w:ind w:left="705" w:right="167" w:hanging="541"/>
        <w:jc w:val="both"/>
        <w:rPr>
          <w:sz w:val="20"/>
        </w:rPr>
      </w:pPr>
      <w:bookmarkStart w:name="_bookmark244" w:id="246"/>
      <w:bookmarkEnd w:id="246"/>
      <w:r>
        <w:rPr/>
      </w:r>
      <w:hyperlink w:history="true" w:anchor="_bookmark230">
        <w:r>
          <w:rPr>
            <w:color w:val="005DA1"/>
            <w:position w:val="5"/>
            <w:sz w:val="14"/>
            <w:u w:val="single" w:color="005DA1"/>
          </w:rPr>
          <w:t>128</w:t>
        </w:r>
      </w:hyperlink>
      <w:r>
        <w:rPr>
          <w:position w:val="5"/>
          <w:sz w:val="14"/>
        </w:rPr>
        <w:t>.</w:t>
      </w:r>
      <w:r>
        <w:rPr>
          <w:spacing w:val="40"/>
          <w:position w:val="5"/>
          <w:sz w:val="14"/>
        </w:rPr>
        <w:t>  </w:t>
      </w:r>
      <w:r>
        <w:rPr>
          <w:sz w:val="20"/>
        </w:rPr>
        <w:t>The principle that the claimant should not be placed into a better position than if no breach had occurred was used recently to justify the decision that if the victim of an anticipatory breach claims damages for non-performance, he must show that he would have been able to perform his obligations under the contract: </w:t>
      </w:r>
      <w:r>
        <w:rPr>
          <w:rFonts w:ascii="Arial" w:hAnsi="Arial"/>
          <w:i/>
          <w:sz w:val="20"/>
        </w:rPr>
        <w:t>Flame SA v Glory Wealth Shipping Pte Ltd (The Glory Wealth) [2013] EWHC 3153 (Comm), [2013] 2 Lloyd’s Rep. 653</w:t>
      </w:r>
      <w:r>
        <w:rPr>
          <w:sz w:val="20"/>
        </w:rPr>
        <w:t>. See above, para.24-024.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2. - Compensable Heads of </w:t>
      </w:r>
      <w:r>
        <w:rPr>
          <w:rFonts w:ascii="Arial"/>
          <w:b/>
          <w:spacing w:val="-4"/>
          <w:sz w:val="24"/>
        </w:rPr>
        <w:t>Loss</w:t>
      </w:r>
    </w:p>
    <w:p>
      <w:pPr>
        <w:pStyle w:val="ListParagraph"/>
        <w:numPr>
          <w:ilvl w:val="0"/>
          <w:numId w:val="3"/>
        </w:numPr>
        <w:tabs>
          <w:tab w:pos="2031" w:val="left" w:leader="none"/>
        </w:tabs>
        <w:spacing w:line="240" w:lineRule="auto" w:before="194" w:after="0"/>
        <w:ind w:left="2031" w:right="0" w:hanging="373"/>
        <w:jc w:val="left"/>
        <w:rPr>
          <w:b/>
          <w:position w:val="11"/>
          <w:sz w:val="12"/>
        </w:rPr>
      </w:pPr>
      <w:bookmarkStart w:name="_bookmark245" w:id="247"/>
      <w:bookmarkEnd w:id="247"/>
      <w:r>
        <w:rPr/>
      </w:r>
      <w:r>
        <w:rPr>
          <w:b/>
          <w:sz w:val="24"/>
        </w:rPr>
        <w:t>- Expenditure Wasted as a Result of the Breach</w:t>
      </w:r>
      <w:r>
        <w:rPr>
          <w:b/>
          <w:spacing w:val="-1"/>
          <w:sz w:val="24"/>
        </w:rPr>
        <w:t> </w:t>
      </w:r>
      <w:r>
        <w:rPr>
          <w:b/>
          <w:color w:val="005DA1"/>
          <w:spacing w:val="-5"/>
          <w:position w:val="11"/>
          <w:sz w:val="12"/>
          <w:u w:val="single" w:color="005DA1"/>
        </w:rPr>
        <w:t>129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Expenditure wasted as a result of the defendant’s </w:t>
      </w:r>
      <w:r>
        <w:rPr>
          <w:rFonts w:ascii="Arial" w:hAnsi="Arial"/>
          <w:b/>
          <w:spacing w:val="-2"/>
          <w:sz w:val="18"/>
        </w:rPr>
        <w:t>breach</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022</w:t>
      </w:r>
    </w:p>
    <w:p>
      <w:pPr>
        <w:pStyle w:val="BodyText"/>
        <w:spacing w:line="235" w:lineRule="auto" w:before="202"/>
        <w:ind w:left="164" w:right="167"/>
        <w:jc w:val="both"/>
      </w:pPr>
      <w:r>
        <w:rPr/>
        <w:t>In an action for damages for breach of contract, the claimant is permitted to claim damages for expenditure which he incurred in reliance on his expectation that the defendant would perform his undertaking, if the breach results in that expenditure being wasted, at least in part. The claim may </w:t>
      </w:r>
      <w:r>
        <w:rPr/>
        <w:t>be either in addition to or in place of a claim for damages for loss of expectation. The claim will succeed </w:t>
      </w:r>
      <w:bookmarkStart w:name="_bookmark246" w:id="248"/>
      <w:bookmarkEnd w:id="248"/>
      <w:r>
        <w:rPr/>
        <w:t>unless</w:t>
      </w:r>
      <w:r>
        <w:rPr/>
        <w:t> it fails because of one of the normal limitations on recovery such as the rules on remoteness</w:t>
      </w:r>
      <w:r>
        <w:rPr>
          <w:spacing w:val="80"/>
        </w:rPr>
        <w:t> </w:t>
      </w:r>
      <w:bookmarkStart w:name="_bookmark247" w:id="249"/>
      <w:bookmarkEnd w:id="249"/>
      <w:r>
        <w:rPr/>
        <w:t>or</w:t>
      </w:r>
      <w:r>
        <w:rPr/>
        <w:t> mitigation, </w:t>
      </w:r>
      <w:r>
        <w:rPr>
          <w:color w:val="005DA1"/>
          <w:u w:val="single" w:color="005DA1"/>
          <w:vertAlign w:val="superscript"/>
        </w:rPr>
        <w:t>130</w:t>
      </w:r>
      <w:r>
        <w:rPr>
          <w:color w:val="005DA1"/>
          <w:vertAlign w:val="baseline"/>
        </w:rPr>
        <w:t> </w:t>
      </w:r>
      <w:r>
        <w:rPr>
          <w:vertAlign w:val="baseline"/>
        </w:rPr>
        <w:t>or because the defendant shows that the claimant would not have recouped the expenditure even if the contract had not been broken. </w:t>
      </w:r>
      <w:r>
        <w:rPr>
          <w:color w:val="005DA1"/>
          <w:u w:val="single" w:color="005DA1"/>
          <w:vertAlign w:val="superscript"/>
        </w:rPr>
        <w:t>131</w:t>
      </w:r>
      <w:r>
        <w:rPr>
          <w:color w:val="005DA1"/>
          <w:vertAlign w:val="baseline"/>
        </w:rPr>
        <w:t> </w:t>
      </w:r>
      <w:r>
        <w:rPr>
          <w:vertAlign w:val="baseline"/>
        </w:rPr>
        <w:t>One type of reliance expenditure is that </w:t>
      </w:r>
      <w:bookmarkStart w:name="_bookmark248" w:id="250"/>
      <w:bookmarkEnd w:id="250"/>
      <w:r>
        <w:rPr>
          <w:vertAlign w:val="baseline"/>
        </w:rPr>
        <w:t>directly</w:t>
      </w:r>
      <w:r>
        <w:rPr>
          <w:vertAlign w:val="baseline"/>
        </w:rPr>
        <w:t> related to the claimant’s own preparations for his performance, as where he has incurred the cost of labour and materials which will be wasted as a result of the breach. </w:t>
      </w:r>
      <w:r>
        <w:rPr>
          <w:color w:val="005DA1"/>
          <w:u w:val="single" w:color="005DA1"/>
          <w:vertAlign w:val="superscript"/>
        </w:rPr>
        <w:t>132</w:t>
      </w:r>
      <w:r>
        <w:rPr>
          <w:color w:val="005DA1"/>
          <w:vertAlign w:val="baseline"/>
        </w:rPr>
        <w:t> </w:t>
      </w:r>
      <w:r>
        <w:rPr>
          <w:vertAlign w:val="baseline"/>
        </w:rPr>
        <w:t>A second type is expenditure which was not incurred in or towards the performance of his own obligations but from which he expected to benefit as part of the activity in which he was engaged, and which he would have recouped had the contract been performed.</w:t>
      </w:r>
    </w:p>
    <w:p>
      <w:pPr>
        <w:pStyle w:val="BodyText"/>
      </w:pPr>
    </w:p>
    <w:p>
      <w:pPr>
        <w:pStyle w:val="BodyText"/>
        <w:spacing w:before="34"/>
      </w:pPr>
    </w:p>
    <w:p>
      <w:pPr>
        <w:spacing w:before="0"/>
        <w:ind w:left="165" w:right="0" w:firstLine="0"/>
        <w:jc w:val="left"/>
        <w:rPr>
          <w:rFonts w:ascii="Arial"/>
          <w:b/>
          <w:sz w:val="18"/>
        </w:rPr>
      </w:pPr>
      <w:r>
        <w:rPr>
          <w:rFonts w:ascii="Arial"/>
          <w:b/>
          <w:sz w:val="18"/>
        </w:rPr>
        <w:t>Expenditure in performing or in preparing to </w:t>
      </w:r>
      <w:r>
        <w:rPr>
          <w:rFonts w:ascii="Arial"/>
          <w:b/>
          <w:spacing w:val="-2"/>
          <w:sz w:val="18"/>
        </w:rPr>
        <w:t>perform</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023</w:t>
      </w:r>
    </w:p>
    <w:p>
      <w:pPr>
        <w:pStyle w:val="BodyText"/>
        <w:spacing w:line="235" w:lineRule="auto" w:before="202"/>
        <w:ind w:left="165" w:right="167"/>
        <w:jc w:val="both"/>
      </w:pPr>
      <w:r>
        <w:rPr/>
        <w:t>This expenditure is part of the cost of the claimant’s performance and if the defendant had fulfilled his side, the claimant would have received the benefit of the expenditure when he received </w:t>
      </w:r>
      <w:r>
        <w:rPr/>
        <w:t>the defendant’s performance (e.g. payment of the price). When the claimant terminates the contract on </w:t>
      </w:r>
      <w:bookmarkStart w:name="_bookmark249" w:id="251"/>
      <w:bookmarkEnd w:id="251"/>
      <w:r>
        <w:rPr/>
        <w:t>the</w:t>
      </w:r>
      <w:r>
        <w:rPr/>
        <w:t> ground of the breach, he may claim damages to cover his expenditure towards his own performance, but only to the extent that it has been wasted as a result of the breach. </w:t>
      </w:r>
      <w:r>
        <w:rPr>
          <w:color w:val="005DA1"/>
          <w:u w:val="single" w:color="005DA1"/>
          <w:vertAlign w:val="superscript"/>
        </w:rPr>
        <w:t>133</w:t>
      </w:r>
    </w:p>
    <w:p>
      <w:pPr>
        <w:pStyle w:val="BodyText"/>
      </w:pPr>
    </w:p>
    <w:p>
      <w:pPr>
        <w:pStyle w:val="BodyText"/>
        <w:spacing w:before="37"/>
      </w:pPr>
    </w:p>
    <w:p>
      <w:pPr>
        <w:spacing w:before="0"/>
        <w:ind w:left="165" w:right="0" w:firstLine="0"/>
        <w:jc w:val="left"/>
        <w:rPr>
          <w:rFonts w:ascii="Arial"/>
          <w:b/>
          <w:sz w:val="18"/>
        </w:rPr>
      </w:pPr>
      <w:r>
        <w:rPr>
          <w:rFonts w:ascii="Arial"/>
          <w:b/>
          <w:sz w:val="18"/>
        </w:rPr>
        <w:t>The ceiling on recovery in an unprofitable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024</w:t>
      </w:r>
    </w:p>
    <w:p>
      <w:pPr>
        <w:pStyle w:val="BodyText"/>
        <w:spacing w:line="235" w:lineRule="auto" w:before="203"/>
        <w:ind w:left="164" w:right="167"/>
        <w:jc w:val="both"/>
      </w:pPr>
      <w:r>
        <w:rPr/>
        <w:t>If the claimant fully performed his side of the contract, he would not be entitled to recover from the defendant more than the value of the latter’s performance, viz the gross return (such as the price) </w:t>
      </w:r>
      <w:r>
        <w:rPr/>
        <w:t>to which the claimant was entitled under the contract. If the claimant is relegated to a claim to damages because he had only partly performed his side by the time the contract was terminated, then, unless </w:t>
      </w:r>
      <w:bookmarkStart w:name="_bookmark250" w:id="252"/>
      <w:bookmarkEnd w:id="252"/>
      <w:r>
        <w:rPr/>
        <w:t>the</w:t>
      </w:r>
      <w:r>
        <w:rPr/>
        <w:t> cost of performing what he had originally undertaken were increased by breaches by the </w:t>
      </w:r>
      <w:bookmarkStart w:name="_bookmark251" w:id="253"/>
      <w:bookmarkEnd w:id="253"/>
      <w:r>
        <w:rPr/>
        <w:t>defendant,</w:t>
      </w:r>
      <w:r>
        <w:rPr/>
        <w:t> </w:t>
      </w:r>
      <w:r>
        <w:rPr>
          <w:color w:val="005DA1"/>
          <w:u w:val="single" w:color="005DA1"/>
          <w:vertAlign w:val="superscript"/>
        </w:rPr>
        <w:t>134</w:t>
      </w:r>
      <w:r>
        <w:rPr>
          <w:color w:val="005DA1"/>
          <w:vertAlign w:val="baseline"/>
        </w:rPr>
        <w:t> </w:t>
      </w:r>
      <w:r>
        <w:rPr>
          <w:vertAlign w:val="baseline"/>
        </w:rPr>
        <w:t>the amount of the gross return to which he would be entitled upon full performance will be a ceiling on the recovery of damages for the expenditure incurred in his partial performance.</w:t>
      </w:r>
      <w:r>
        <w:rPr>
          <w:spacing w:val="-1"/>
          <w:vertAlign w:val="baseline"/>
        </w:rPr>
        <w:t> </w:t>
      </w:r>
      <w:r>
        <w:rPr>
          <w:color w:val="005DA1"/>
          <w:u w:val="single" w:color="005DA1"/>
          <w:vertAlign w:val="superscript"/>
        </w:rPr>
        <w:t>135</w:t>
      </w:r>
      <w:r>
        <w:rPr>
          <w:color w:val="005DA1"/>
          <w:vertAlign w:val="baseline"/>
        </w:rPr>
        <w:t> </w:t>
      </w:r>
      <w:r>
        <w:rPr>
          <w:vertAlign w:val="baseline"/>
        </w:rPr>
        <w:t>By </w:t>
      </w:r>
      <w:bookmarkStart w:name="_bookmark252" w:id="254"/>
      <w:bookmarkEnd w:id="254"/>
      <w:r>
        <w:rPr>
          <w:vertAlign w:val="baseline"/>
        </w:rPr>
        <w:t>suing</w:t>
      </w:r>
      <w:r>
        <w:rPr>
          <w:vertAlign w:val="baseline"/>
        </w:rPr>
        <w:t> for damages for his costs in performing in reliance on the contract, the claimant cannot recover </w:t>
      </w:r>
      <w:bookmarkStart w:name="_bookmark253" w:id="255"/>
      <w:bookmarkEnd w:id="255"/>
      <w:r>
        <w:rPr>
          <w:vertAlign w:val="baseline"/>
        </w:rPr>
        <w:t>more</w:t>
      </w:r>
      <w:r>
        <w:rPr>
          <w:spacing w:val="-3"/>
          <w:vertAlign w:val="baseline"/>
        </w:rPr>
        <w:t> </w:t>
      </w:r>
      <w:r>
        <w:rPr>
          <w:vertAlign w:val="baseline"/>
        </w:rPr>
        <w:t>than</w:t>
      </w:r>
      <w:r>
        <w:rPr>
          <w:spacing w:val="-3"/>
          <w:vertAlign w:val="baseline"/>
        </w:rPr>
        <w:t> </w:t>
      </w:r>
      <w:r>
        <w:rPr>
          <w:vertAlign w:val="baseline"/>
        </w:rPr>
        <w:t>he</w:t>
      </w:r>
      <w:r>
        <w:rPr>
          <w:spacing w:val="-3"/>
          <w:vertAlign w:val="baseline"/>
        </w:rPr>
        <w:t> </w:t>
      </w:r>
      <w:r>
        <w:rPr>
          <w:vertAlign w:val="baseline"/>
        </w:rPr>
        <w:t>would</w:t>
      </w:r>
      <w:r>
        <w:rPr>
          <w:spacing w:val="-3"/>
          <w:vertAlign w:val="baseline"/>
        </w:rPr>
        <w:t> </w:t>
      </w:r>
      <w:r>
        <w:rPr>
          <w:vertAlign w:val="baseline"/>
        </w:rPr>
        <w:t>have</w:t>
      </w:r>
      <w:r>
        <w:rPr>
          <w:spacing w:val="-3"/>
          <w:vertAlign w:val="baseline"/>
        </w:rPr>
        <w:t> </w:t>
      </w:r>
      <w:r>
        <w:rPr>
          <w:vertAlign w:val="baseline"/>
        </w:rPr>
        <w:t>been</w:t>
      </w:r>
      <w:r>
        <w:rPr>
          <w:spacing w:val="-3"/>
          <w:vertAlign w:val="baseline"/>
        </w:rPr>
        <w:t> </w:t>
      </w:r>
      <w:r>
        <w:rPr>
          <w:vertAlign w:val="baseline"/>
        </w:rPr>
        <w:t>entitled</w:t>
      </w:r>
      <w:r>
        <w:rPr>
          <w:spacing w:val="-3"/>
          <w:vertAlign w:val="baseline"/>
        </w:rPr>
        <w:t> </w:t>
      </w:r>
      <w:r>
        <w:rPr>
          <w:vertAlign w:val="baseline"/>
        </w:rPr>
        <w:t>to</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had</w:t>
      </w:r>
      <w:r>
        <w:rPr>
          <w:spacing w:val="-3"/>
          <w:vertAlign w:val="baseline"/>
        </w:rPr>
        <w:t> </w:t>
      </w:r>
      <w:r>
        <w:rPr>
          <w:vertAlign w:val="baseline"/>
        </w:rPr>
        <w:t>not</w:t>
      </w:r>
      <w:r>
        <w:rPr>
          <w:spacing w:val="-3"/>
          <w:vertAlign w:val="baseline"/>
        </w:rPr>
        <w:t> </w:t>
      </w:r>
      <w:r>
        <w:rPr>
          <w:vertAlign w:val="baseline"/>
        </w:rPr>
        <w:t>broken</w:t>
      </w:r>
      <w:r>
        <w:rPr>
          <w:spacing w:val="-3"/>
          <w:vertAlign w:val="baseline"/>
        </w:rPr>
        <w:t> </w:t>
      </w:r>
      <w:r>
        <w:rPr>
          <w:vertAlign w:val="baseline"/>
        </w:rPr>
        <w:t>the</w:t>
      </w:r>
      <w:r>
        <w:rPr>
          <w:spacing w:val="-3"/>
          <w:vertAlign w:val="baseline"/>
        </w:rPr>
        <w:t> </w:t>
      </w:r>
      <w:r>
        <w:rPr>
          <w:vertAlign w:val="baseline"/>
        </w:rPr>
        <w:t>contract.</w:t>
      </w:r>
      <w:r>
        <w:rPr>
          <w:spacing w:val="-4"/>
          <w:vertAlign w:val="baseline"/>
        </w:rPr>
        <w:t> </w:t>
      </w:r>
      <w:r>
        <w:rPr>
          <w:color w:val="005DA1"/>
          <w:u w:val="single" w:color="005DA1"/>
          <w:vertAlign w:val="superscript"/>
        </w:rPr>
        <w:t>136</w:t>
      </w:r>
      <w:r>
        <w:rPr>
          <w:color w:val="005DA1"/>
          <w:spacing w:val="-3"/>
          <w:vertAlign w:val="baseline"/>
        </w:rPr>
        <w:t> </w:t>
      </w:r>
      <w:r>
        <w:rPr>
          <w:vertAlign w:val="baseline"/>
        </w:rPr>
        <w:t>The</w:t>
      </w:r>
      <w:r>
        <w:rPr>
          <w:spacing w:val="-3"/>
          <w:vertAlign w:val="baseline"/>
        </w:rPr>
        <w:t> </w:t>
      </w:r>
      <w:r>
        <w:rPr>
          <w:vertAlign w:val="baseline"/>
        </w:rPr>
        <w:t>precise arithmetical</w:t>
      </w:r>
      <w:r>
        <w:rPr>
          <w:spacing w:val="3"/>
          <w:vertAlign w:val="baseline"/>
        </w:rPr>
        <w:t> </w:t>
      </w:r>
      <w:r>
        <w:rPr>
          <w:vertAlign w:val="baseline"/>
        </w:rPr>
        <w:t>method</w:t>
      </w:r>
      <w:r>
        <w:rPr>
          <w:spacing w:val="4"/>
          <w:vertAlign w:val="baseline"/>
        </w:rPr>
        <w:t> </w:t>
      </w:r>
      <w:r>
        <w:rPr>
          <w:vertAlign w:val="baseline"/>
        </w:rPr>
        <w:t>of</w:t>
      </w:r>
      <w:r>
        <w:rPr>
          <w:spacing w:val="4"/>
          <w:vertAlign w:val="baseline"/>
        </w:rPr>
        <w:t> </w:t>
      </w:r>
      <w:r>
        <w:rPr>
          <w:vertAlign w:val="baseline"/>
        </w:rPr>
        <w:t>implementing</w:t>
      </w:r>
      <w:r>
        <w:rPr>
          <w:spacing w:val="4"/>
          <w:vertAlign w:val="baseline"/>
        </w:rPr>
        <w:t> </w:t>
      </w:r>
      <w:r>
        <w:rPr>
          <w:vertAlign w:val="baseline"/>
        </w:rPr>
        <w:t>this</w:t>
      </w:r>
      <w:r>
        <w:rPr>
          <w:spacing w:val="4"/>
          <w:vertAlign w:val="baseline"/>
        </w:rPr>
        <w:t> </w:t>
      </w:r>
      <w:r>
        <w:rPr>
          <w:vertAlign w:val="baseline"/>
        </w:rPr>
        <w:t>principle</w:t>
      </w:r>
      <w:r>
        <w:rPr>
          <w:spacing w:val="4"/>
          <w:vertAlign w:val="baseline"/>
        </w:rPr>
        <w:t> </w:t>
      </w:r>
      <w:r>
        <w:rPr>
          <w:vertAlign w:val="baseline"/>
        </w:rPr>
        <w:t>has</w:t>
      </w:r>
      <w:r>
        <w:rPr>
          <w:spacing w:val="4"/>
          <w:vertAlign w:val="baseline"/>
        </w:rPr>
        <w:t> </w:t>
      </w:r>
      <w:r>
        <w:rPr>
          <w:vertAlign w:val="baseline"/>
        </w:rPr>
        <w:t>not</w:t>
      </w:r>
      <w:r>
        <w:rPr>
          <w:spacing w:val="4"/>
          <w:vertAlign w:val="baseline"/>
        </w:rPr>
        <w:t> </w:t>
      </w:r>
      <w:r>
        <w:rPr>
          <w:vertAlign w:val="baseline"/>
        </w:rPr>
        <w:t>yet</w:t>
      </w:r>
      <w:r>
        <w:rPr>
          <w:spacing w:val="4"/>
          <w:vertAlign w:val="baseline"/>
        </w:rPr>
        <w:t> </w:t>
      </w:r>
      <w:r>
        <w:rPr>
          <w:vertAlign w:val="baseline"/>
        </w:rPr>
        <w:t>been</w:t>
      </w:r>
      <w:r>
        <w:rPr>
          <w:spacing w:val="4"/>
          <w:vertAlign w:val="baseline"/>
        </w:rPr>
        <w:t> </w:t>
      </w:r>
      <w:r>
        <w:rPr>
          <w:vertAlign w:val="baseline"/>
        </w:rPr>
        <w:t>decided</w:t>
      </w:r>
      <w:r>
        <w:rPr>
          <w:spacing w:val="3"/>
          <w:vertAlign w:val="baseline"/>
        </w:rPr>
        <w:t> </w:t>
      </w:r>
      <w:r>
        <w:rPr>
          <w:color w:val="005DA1"/>
          <w:u w:val="single" w:color="005DA1"/>
          <w:vertAlign w:val="superscript"/>
        </w:rPr>
        <w:t>137</w:t>
      </w:r>
      <w:r>
        <w:rPr>
          <w:color w:val="005DA1"/>
          <w:spacing w:val="4"/>
          <w:vertAlign w:val="baseline"/>
        </w:rPr>
        <w:t> </w:t>
      </w:r>
      <w:r>
        <w:rPr>
          <w:vertAlign w:val="baseline"/>
        </w:rPr>
        <w:t>but</w:t>
      </w:r>
      <w:r>
        <w:rPr>
          <w:spacing w:val="3"/>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submitted</w:t>
      </w:r>
      <w:r>
        <w:rPr>
          <w:spacing w:val="4"/>
          <w:vertAlign w:val="baseline"/>
        </w:rPr>
        <w:t> </w:t>
      </w:r>
      <w:r>
        <w:rPr>
          <w:spacing w:val="-4"/>
          <w:vertAlign w:val="baseline"/>
        </w:rPr>
        <w:t>that</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110"/>
        <w:ind w:left="164" w:right="168"/>
        <w:jc w:val="both"/>
      </w:pPr>
      <w:bookmarkStart w:name="_bookmark254" w:id="256"/>
      <w:bookmarkEnd w:id="256"/>
      <w:r>
        <w:rPr/>
      </w:r>
      <w:r>
        <w:rPr/>
        <w:t>the claimant should be entitled to claim his performance expenditure actually incurred to the </w:t>
      </w:r>
      <w:r>
        <w:rPr/>
        <w:t>limit imposed by the gross return (or price) due for full performance. </w:t>
      </w:r>
      <w:r>
        <w:rPr>
          <w:color w:val="005DA1"/>
          <w:u w:val="single" w:color="005DA1"/>
          <w:vertAlign w:val="superscript"/>
        </w:rPr>
        <w:t>138</w:t>
      </w:r>
      <w:r>
        <w:rPr>
          <w:color w:val="005DA1"/>
          <w:vertAlign w:val="baseline"/>
        </w:rPr>
        <w:t> </w:t>
      </w:r>
      <w:r>
        <w:rPr>
          <w:vertAlign w:val="baseline"/>
        </w:rPr>
        <w:t>The onus of proof is on the defendant to show (on the balance of probabilities) that the claimant would have made a loss on full </w:t>
      </w:r>
      <w:bookmarkStart w:name="_bookmark255" w:id="257"/>
      <w:bookmarkEnd w:id="257"/>
      <w:r>
        <w:rPr>
          <w:vertAlign w:val="baseline"/>
        </w:rPr>
        <w:t>performance</w:t>
      </w:r>
      <w:r>
        <w:rPr>
          <w:vertAlign w:val="baseline"/>
        </w:rPr>
        <w:t> of both sides of the contract and so would not have recouped all of his own costs in performing his side. </w:t>
      </w:r>
      <w:r>
        <w:rPr>
          <w:color w:val="005DA1"/>
          <w:u w:val="single" w:color="005DA1"/>
          <w:vertAlign w:val="superscript"/>
        </w:rPr>
        <w:t>139</w:t>
      </w:r>
      <w:r>
        <w:rPr>
          <w:color w:val="005DA1"/>
          <w:vertAlign w:val="baseline"/>
        </w:rPr>
        <w:t> </w:t>
      </w:r>
      <w:r>
        <w:rPr>
          <w:vertAlign w:val="baseline"/>
        </w:rPr>
        <w:t>In the absence of such proof, the court will assume in the claimant’s favour </w:t>
      </w:r>
      <w:bookmarkStart w:name="_bookmark256" w:id="258"/>
      <w:bookmarkEnd w:id="258"/>
      <w:r>
        <w:rPr>
          <w:vertAlign w:val="baseline"/>
        </w:rPr>
        <w:t>that</w:t>
      </w:r>
      <w:r>
        <w:rPr>
          <w:vertAlign w:val="baseline"/>
        </w:rPr>
        <w:t> he would have recouped all the costs incurred in his performance, and so will be willing to award damages to reimburse the claimant. </w:t>
      </w:r>
      <w:r>
        <w:rPr>
          <w:color w:val="005DA1"/>
          <w:u w:val="single" w:color="005DA1"/>
          <w:vertAlign w:val="superscript"/>
        </w:rPr>
        <w:t>140</w:t>
      </w:r>
      <w:r>
        <w:rPr>
          <w:color w:val="005DA1"/>
          <w:vertAlign w:val="baseline"/>
        </w:rPr>
        <w:t> </w:t>
      </w:r>
      <w:r>
        <w:rPr>
          <w:vertAlign w:val="baseline"/>
        </w:rPr>
        <w:t>Usually the claimant will seek damages for this reliance </w:t>
      </w:r>
      <w:bookmarkStart w:name="_bookmark257" w:id="259"/>
      <w:bookmarkEnd w:id="259"/>
      <w:r>
        <w:rPr>
          <w:vertAlign w:val="baseline"/>
        </w:rPr>
        <w:t>expenditure</w:t>
      </w:r>
      <w:r>
        <w:rPr>
          <w:vertAlign w:val="baseline"/>
        </w:rPr>
        <w:t> rather than for his loss of expectations (his gross return, less future expenses avoided after the breach) only where he lacks adequate proof of his loss of expectations (e.g. profits), </w:t>
      </w:r>
      <w:r>
        <w:rPr>
          <w:color w:val="005DA1"/>
          <w:u w:val="single" w:color="005DA1"/>
          <w:vertAlign w:val="superscript"/>
        </w:rPr>
        <w:t>141</w:t>
      </w:r>
      <w:r>
        <w:rPr>
          <w:color w:val="005DA1"/>
          <w:vertAlign w:val="baseline"/>
        </w:rPr>
        <w:t> </w:t>
      </w:r>
      <w:r>
        <w:rPr>
          <w:vertAlign w:val="baseline"/>
        </w:rPr>
        <w:t>or </w:t>
      </w:r>
      <w:bookmarkStart w:name="_bookmark258" w:id="260"/>
      <w:bookmarkEnd w:id="260"/>
      <w:r>
        <w:rPr>
          <w:vertAlign w:val="baseline"/>
        </w:rPr>
        <w:t>where</w:t>
      </w:r>
      <w:r>
        <w:rPr>
          <w:vertAlign w:val="baseline"/>
        </w:rPr>
        <w:t> he feared that it would have been a losing or unprofitable contract so that he would not be able </w:t>
      </w:r>
      <w:bookmarkStart w:name="_bookmark259" w:id="261"/>
      <w:bookmarkEnd w:id="261"/>
      <w:r>
        <w:rPr>
          <w:vertAlign w:val="baseline"/>
        </w:rPr>
        <w:t>to</w:t>
      </w:r>
      <w:r>
        <w:rPr>
          <w:vertAlign w:val="baseline"/>
        </w:rPr>
        <w:t> prove any net loss of expected profit. </w:t>
      </w:r>
      <w:r>
        <w:rPr>
          <w:color w:val="005DA1"/>
          <w:u w:val="single" w:color="005DA1"/>
          <w:vertAlign w:val="superscript"/>
        </w:rPr>
        <w:t>142</w:t>
      </w:r>
      <w:r>
        <w:rPr>
          <w:color w:val="005DA1"/>
          <w:vertAlign w:val="baseline"/>
        </w:rPr>
        <w:t> </w:t>
      </w:r>
      <w:r>
        <w:rPr>
          <w:vertAlign w:val="baseline"/>
        </w:rPr>
        <w:t>The courts insist that the claimant has an unfettered</w:t>
      </w:r>
      <w:r>
        <w:rPr>
          <w:spacing w:val="40"/>
          <w:vertAlign w:val="baseline"/>
        </w:rPr>
        <w:t> </w:t>
      </w:r>
      <w:r>
        <w:rPr>
          <w:vertAlign w:val="baseline"/>
        </w:rPr>
        <w:t>choice as to which measure of damages to claim, </w:t>
      </w:r>
      <w:r>
        <w:rPr>
          <w:color w:val="005DA1"/>
          <w:u w:val="single" w:color="005DA1"/>
          <w:vertAlign w:val="superscript"/>
        </w:rPr>
        <w:t>143</w:t>
      </w:r>
      <w:r>
        <w:rPr>
          <w:color w:val="005DA1"/>
          <w:vertAlign w:val="baseline"/>
        </w:rPr>
        <w:t> </w:t>
      </w:r>
      <w:r>
        <w:rPr>
          <w:vertAlign w:val="baseline"/>
        </w:rPr>
        <w:t>but any claim for reliance loss is subject to the principle stated in this paragraph.</w:t>
      </w:r>
    </w:p>
    <w:p>
      <w:pPr>
        <w:pStyle w:val="BodyText"/>
      </w:pPr>
    </w:p>
    <w:p>
      <w:pPr>
        <w:pStyle w:val="BodyText"/>
        <w:spacing w:before="34"/>
      </w:pPr>
    </w:p>
    <w:p>
      <w:pPr>
        <w:spacing w:before="0"/>
        <w:ind w:left="164" w:right="0" w:firstLine="0"/>
        <w:jc w:val="both"/>
        <w:rPr>
          <w:rFonts w:ascii="Arial" w:hAnsi="Arial"/>
          <w:b/>
          <w:sz w:val="18"/>
        </w:rPr>
      </w:pPr>
      <w:r>
        <w:rPr>
          <w:rFonts w:ascii="Arial" w:hAnsi="Arial"/>
          <w:b/>
          <w:sz w:val="18"/>
        </w:rPr>
        <w:t>Cost of performing increased by defendant’s </w:t>
      </w:r>
      <w:r>
        <w:rPr>
          <w:rFonts w:ascii="Arial" w:hAnsi="Arial"/>
          <w:b/>
          <w:spacing w:val="-2"/>
          <w:sz w:val="18"/>
        </w:rPr>
        <w:t>breach</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025</w:t>
      </w:r>
    </w:p>
    <w:p>
      <w:pPr>
        <w:pStyle w:val="BodyText"/>
        <w:spacing w:line="235" w:lineRule="auto" w:before="203"/>
        <w:ind w:left="164" w:right="167"/>
        <w:jc w:val="both"/>
      </w:pPr>
      <w:r>
        <w:rPr/>
        <w:t>The principle that the gross return to which a party would be entitled upon full performance will be a ceiling on the recovery of damages for the expenditure incurred in his partial performance, set out in </w:t>
      </w:r>
      <w:bookmarkStart w:name="_bookmark260" w:id="262"/>
      <w:bookmarkEnd w:id="262"/>
      <w:r>
        <w:rPr/>
        <w:t>the</w:t>
      </w:r>
      <w:r>
        <w:rPr/>
        <w:t> previous paragraph, will not apply if a breach by the defendant—for example, if the defendant </w:t>
      </w:r>
      <w:r>
        <w:rPr/>
        <w:t>has failed</w:t>
      </w:r>
      <w:r>
        <w:rPr>
          <w:spacing w:val="4"/>
        </w:rPr>
        <w:t> </w:t>
      </w:r>
      <w:r>
        <w:rPr/>
        <w:t>to</w:t>
      </w:r>
      <w:r>
        <w:rPr>
          <w:spacing w:val="6"/>
        </w:rPr>
        <w:t> </w:t>
      </w:r>
      <w:r>
        <w:rPr/>
        <w:t>provide</w:t>
      </w:r>
      <w:r>
        <w:rPr>
          <w:spacing w:val="6"/>
        </w:rPr>
        <w:t> </w:t>
      </w:r>
      <w:r>
        <w:rPr/>
        <w:t>access</w:t>
      </w:r>
      <w:r>
        <w:rPr>
          <w:spacing w:val="6"/>
        </w:rPr>
        <w:t> </w:t>
      </w:r>
      <w:r>
        <w:rPr/>
        <w:t>or</w:t>
      </w:r>
      <w:r>
        <w:rPr>
          <w:spacing w:val="6"/>
        </w:rPr>
        <w:t> </w:t>
      </w:r>
      <w:r>
        <w:rPr/>
        <w:t>facilities</w:t>
      </w:r>
      <w:r>
        <w:rPr>
          <w:spacing w:val="6"/>
        </w:rPr>
        <w:t> </w:t>
      </w:r>
      <w:r>
        <w:rPr/>
        <w:t>as</w:t>
      </w:r>
      <w:r>
        <w:rPr>
          <w:spacing w:val="6"/>
        </w:rPr>
        <w:t> </w:t>
      </w:r>
      <w:r>
        <w:rPr/>
        <w:t>promised—has</w:t>
      </w:r>
      <w:r>
        <w:rPr>
          <w:spacing w:val="6"/>
        </w:rPr>
        <w:t> </w:t>
      </w:r>
      <w:r>
        <w:rPr/>
        <w:t>increased</w:t>
      </w:r>
      <w:r>
        <w:rPr>
          <w:spacing w:val="6"/>
        </w:rPr>
        <w:t> </w:t>
      </w:r>
      <w:r>
        <w:rPr/>
        <w:t>the</w:t>
      </w:r>
      <w:r>
        <w:rPr>
          <w:spacing w:val="6"/>
        </w:rPr>
        <w:t> </w:t>
      </w:r>
      <w:r>
        <w:rPr/>
        <w:t>costs</w:t>
      </w:r>
      <w:r>
        <w:rPr>
          <w:spacing w:val="6"/>
        </w:rPr>
        <w:t> </w:t>
      </w:r>
      <w:r>
        <w:rPr/>
        <w:t>of</w:t>
      </w:r>
      <w:r>
        <w:rPr>
          <w:spacing w:val="6"/>
        </w:rPr>
        <w:t> </w:t>
      </w:r>
      <w:r>
        <w:rPr/>
        <w:t>the</w:t>
      </w:r>
      <w:r>
        <w:rPr>
          <w:spacing w:val="6"/>
        </w:rPr>
        <w:t> </w:t>
      </w:r>
      <w:r>
        <w:rPr/>
        <w:t>partial</w:t>
      </w:r>
      <w:r>
        <w:rPr>
          <w:spacing w:val="6"/>
        </w:rPr>
        <w:t> </w:t>
      </w:r>
      <w:r>
        <w:rPr>
          <w:spacing w:val="-2"/>
        </w:rPr>
        <w:t>performance.</w:t>
      </w:r>
    </w:p>
    <w:p>
      <w:pPr>
        <w:spacing w:line="112" w:lineRule="exact" w:before="0"/>
        <w:ind w:left="165" w:right="0" w:firstLine="0"/>
        <w:jc w:val="left"/>
        <w:rPr>
          <w:sz w:val="12"/>
        </w:rPr>
      </w:pPr>
      <w:r>
        <w:rPr>
          <w:color w:val="005DA1"/>
          <w:spacing w:val="-5"/>
          <w:sz w:val="12"/>
          <w:u w:val="single" w:color="005DA1"/>
        </w:rPr>
        <w:t>144</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Recovery of price paid as form of wasted </w:t>
      </w:r>
      <w:r>
        <w:rPr>
          <w:rFonts w:ascii="Arial"/>
          <w:b/>
          <w:spacing w:val="-2"/>
          <w:sz w:val="18"/>
        </w:rPr>
        <w:t>expenditure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026</w:t>
      </w:r>
    </w:p>
    <w:p>
      <w:pPr>
        <w:pStyle w:val="BodyText"/>
        <w:spacing w:line="235" w:lineRule="auto" w:before="203"/>
        <w:ind w:left="164" w:right="167"/>
        <w:jc w:val="both"/>
      </w:pPr>
      <w:r>
        <w:rPr/>
        <w:t>It has already been pointed out that if the victim of a breach of contract has paid the price </w:t>
      </w:r>
      <w:r>
        <w:rPr/>
        <w:t>and subsequently has terminated the contract, one of his interests is in recovering what he has paid. This may be viewed as the “restitution interest” or as part of the reliance interest, as it is a form of wasted expenditure.</w:t>
      </w:r>
      <w:r>
        <w:rPr>
          <w:spacing w:val="-1"/>
        </w:rPr>
        <w:t> </w:t>
      </w:r>
      <w:r>
        <w:rPr/>
        <w:t>He</w:t>
      </w:r>
      <w:r>
        <w:rPr>
          <w:spacing w:val="-1"/>
        </w:rPr>
        <w:t> </w:t>
      </w:r>
      <w:r>
        <w:rPr/>
        <w:t>may</w:t>
      </w:r>
      <w:r>
        <w:rPr>
          <w:spacing w:val="-1"/>
        </w:rPr>
        <w:t> </w:t>
      </w:r>
      <w:r>
        <w:rPr/>
        <w:t>recover</w:t>
      </w:r>
      <w:r>
        <w:rPr>
          <w:spacing w:val="-1"/>
        </w:rPr>
        <w:t> </w:t>
      </w:r>
      <w:r>
        <w:rPr/>
        <w:t>the</w:t>
      </w:r>
      <w:r>
        <w:rPr>
          <w:spacing w:val="-1"/>
        </w:rPr>
        <w:t> </w:t>
      </w:r>
      <w:r>
        <w:rPr/>
        <w:t>money</w:t>
      </w:r>
      <w:r>
        <w:rPr>
          <w:spacing w:val="-1"/>
        </w:rPr>
        <w:t> </w:t>
      </w:r>
      <w:r>
        <w:rPr/>
        <w:t>paid</w:t>
      </w:r>
      <w:r>
        <w:rPr>
          <w:spacing w:val="-1"/>
        </w:rPr>
        <w:t> </w:t>
      </w:r>
      <w:r>
        <w:rPr/>
        <w:t>by</w:t>
      </w:r>
      <w:r>
        <w:rPr>
          <w:spacing w:val="-1"/>
        </w:rPr>
        <w:t> </w:t>
      </w:r>
      <w:r>
        <w:rPr/>
        <w:t>way</w:t>
      </w:r>
      <w:r>
        <w:rPr>
          <w:spacing w:val="-1"/>
        </w:rPr>
        <w:t> </w:t>
      </w:r>
      <w:r>
        <w:rPr/>
        <w:t>of</w:t>
      </w:r>
      <w:r>
        <w:rPr>
          <w:spacing w:val="-1"/>
        </w:rPr>
        <w:t> </w:t>
      </w:r>
      <w:r>
        <w:rPr/>
        <w:t>restitution</w:t>
      </w:r>
      <w:r>
        <w:rPr>
          <w:spacing w:val="-1"/>
        </w:rPr>
        <w:t> </w:t>
      </w:r>
      <w:r>
        <w:rPr/>
        <w:t>only</w:t>
      </w:r>
      <w:r>
        <w:rPr>
          <w:spacing w:val="-1"/>
        </w:rPr>
        <w:t> </w:t>
      </w:r>
      <w:r>
        <w:rPr/>
        <w:t>if</w:t>
      </w:r>
      <w:r>
        <w:rPr>
          <w:spacing w:val="-1"/>
        </w:rPr>
        <w:t> </w:t>
      </w:r>
      <w:r>
        <w:rPr/>
        <w:t>there</w:t>
      </w:r>
      <w:r>
        <w:rPr>
          <w:spacing w:val="-1"/>
        </w:rPr>
        <w:t> </w:t>
      </w:r>
      <w:r>
        <w:rPr/>
        <w:t>has</w:t>
      </w:r>
      <w:r>
        <w:rPr>
          <w:spacing w:val="-1"/>
        </w:rPr>
        <w:t> </w:t>
      </w:r>
      <w:r>
        <w:rPr/>
        <w:t>been</w:t>
      </w:r>
      <w:r>
        <w:rPr>
          <w:spacing w:val="-1"/>
        </w:rPr>
        <w:t> </w:t>
      </w:r>
      <w:r>
        <w:rPr/>
        <w:t>a</w:t>
      </w:r>
      <w:r>
        <w:rPr>
          <w:spacing w:val="-1"/>
        </w:rPr>
        <w:t> </w:t>
      </w:r>
      <w:r>
        <w:rPr/>
        <w:t>total</w:t>
      </w:r>
      <w:r>
        <w:rPr>
          <w:spacing w:val="-1"/>
        </w:rPr>
        <w:t> </w:t>
      </w:r>
      <w:r>
        <w:rPr/>
        <w:t>failure </w:t>
      </w:r>
      <w:bookmarkStart w:name="_bookmark261" w:id="263"/>
      <w:bookmarkEnd w:id="263"/>
      <w:r>
        <w:rPr/>
        <w:t>of</w:t>
      </w:r>
      <w:r>
        <w:rPr/>
        <w:t> consideration, either in respect of the contract as a whole or in respect of a part of it to which the price paid may be apportioned.</w:t>
      </w:r>
      <w:r>
        <w:rPr>
          <w:spacing w:val="-1"/>
        </w:rPr>
        <w:t> </w:t>
      </w:r>
      <w:r>
        <w:rPr>
          <w:color w:val="005DA1"/>
          <w:u w:val="single" w:color="005DA1"/>
          <w:vertAlign w:val="superscript"/>
        </w:rPr>
        <w:t>145</w:t>
      </w:r>
      <w:r>
        <w:rPr>
          <w:color w:val="005DA1"/>
          <w:vertAlign w:val="baseline"/>
        </w:rPr>
        <w:t> </w:t>
      </w:r>
      <w:r>
        <w:rPr>
          <w:vertAlign w:val="baseline"/>
        </w:rPr>
        <w:t>Can the claimant opt to reclaim the price paid by way of a claim for damages for wasted expenditure? In cases in which there has been a total failure of consideration, </w:t>
      </w:r>
      <w:bookmarkStart w:name="_bookmark262" w:id="264"/>
      <w:bookmarkEnd w:id="264"/>
      <w:r>
        <w:rPr>
          <w:vertAlign w:val="baseline"/>
        </w:rPr>
        <w:t>courts</w:t>
      </w:r>
      <w:r>
        <w:rPr>
          <w:vertAlign w:val="baseline"/>
        </w:rPr>
        <w:t> have allowed claimants to recover the price paid as an element of damages for reliance loss: thus</w:t>
      </w:r>
      <w:r>
        <w:rPr>
          <w:spacing w:val="40"/>
          <w:vertAlign w:val="baseline"/>
        </w:rPr>
        <w:t> </w:t>
      </w:r>
      <w:r>
        <w:rPr>
          <w:vertAlign w:val="baseline"/>
        </w:rPr>
        <w:t>in</w:t>
      </w:r>
      <w:r>
        <w:rPr>
          <w:spacing w:val="40"/>
          <w:vertAlign w:val="baseline"/>
        </w:rPr>
        <w:t> </w:t>
      </w:r>
      <w:r>
        <w:rPr>
          <w:rFonts w:ascii="Arial" w:hAnsi="Arial"/>
          <w:i/>
          <w:vertAlign w:val="baseline"/>
        </w:rPr>
        <w:t>McRae</w:t>
      </w:r>
      <w:r>
        <w:rPr>
          <w:rFonts w:ascii="Arial" w:hAnsi="Arial"/>
          <w:i/>
          <w:spacing w:val="40"/>
          <w:vertAlign w:val="baseline"/>
        </w:rPr>
        <w:t> </w:t>
      </w:r>
      <w:r>
        <w:rPr>
          <w:rFonts w:ascii="Arial" w:hAnsi="Arial"/>
          <w:i/>
          <w:vertAlign w:val="baseline"/>
        </w:rPr>
        <w:t>v</w:t>
      </w:r>
      <w:r>
        <w:rPr>
          <w:rFonts w:ascii="Arial" w:hAnsi="Arial"/>
          <w:i/>
          <w:spacing w:val="40"/>
          <w:vertAlign w:val="baseline"/>
        </w:rPr>
        <w:t> </w:t>
      </w:r>
      <w:r>
        <w:rPr>
          <w:rFonts w:ascii="Arial" w:hAnsi="Arial"/>
          <w:i/>
          <w:vertAlign w:val="baseline"/>
        </w:rPr>
        <w:t>Commonwealth</w:t>
      </w:r>
      <w:r>
        <w:rPr>
          <w:rFonts w:ascii="Arial" w:hAnsi="Arial"/>
          <w:i/>
          <w:spacing w:val="40"/>
          <w:vertAlign w:val="baseline"/>
        </w:rPr>
        <w:t> </w:t>
      </w:r>
      <w:r>
        <w:rPr>
          <w:rFonts w:ascii="Arial" w:hAnsi="Arial"/>
          <w:i/>
          <w:vertAlign w:val="baseline"/>
        </w:rPr>
        <w:t>Disposals</w:t>
      </w:r>
      <w:r>
        <w:rPr>
          <w:rFonts w:ascii="Arial" w:hAnsi="Arial"/>
          <w:i/>
          <w:spacing w:val="40"/>
          <w:vertAlign w:val="baseline"/>
        </w:rPr>
        <w:t> </w:t>
      </w:r>
      <w:r>
        <w:rPr>
          <w:rFonts w:ascii="Arial" w:hAnsi="Arial"/>
          <w:i/>
          <w:vertAlign w:val="baseline"/>
        </w:rPr>
        <w:t>Commission</w:t>
      </w:r>
      <w:r>
        <w:rPr>
          <w:vertAlign w:val="baseline"/>
        </w:rPr>
        <w:t>,</w:t>
      </w:r>
      <w:r>
        <w:rPr>
          <w:spacing w:val="40"/>
          <w:vertAlign w:val="baseline"/>
        </w:rPr>
        <w:t> </w:t>
      </w:r>
      <w:r>
        <w:rPr>
          <w:color w:val="005DA1"/>
          <w:u w:val="single" w:color="005DA1"/>
          <w:vertAlign w:val="superscript"/>
        </w:rPr>
        <w:t>146</w:t>
      </w:r>
      <w:r>
        <w:rPr>
          <w:color w:val="005DA1"/>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the</w:t>
      </w:r>
      <w:r>
        <w:rPr>
          <w:spacing w:val="40"/>
          <w:vertAlign w:val="baseline"/>
        </w:rPr>
        <w:t> </w:t>
      </w:r>
      <w:r>
        <w:rPr>
          <w:vertAlign w:val="baseline"/>
        </w:rPr>
        <w:t>defendants</w:t>
      </w:r>
      <w:r>
        <w:rPr>
          <w:spacing w:val="40"/>
          <w:vertAlign w:val="baseline"/>
        </w:rPr>
        <w:t> </w:t>
      </w:r>
      <w:r>
        <w:rPr>
          <w:vertAlign w:val="baseline"/>
        </w:rPr>
        <w:t>sold</w:t>
      </w:r>
      <w:r>
        <w:rPr>
          <w:spacing w:val="40"/>
          <w:vertAlign w:val="baseline"/>
        </w:rPr>
        <w:t> </w:t>
      </w:r>
      <w:r>
        <w:rPr>
          <w:vertAlign w:val="baseline"/>
        </w:rPr>
        <w:t>a</w:t>
      </w:r>
      <w:r>
        <w:rPr>
          <w:spacing w:val="80"/>
          <w:vertAlign w:val="baseline"/>
        </w:rPr>
        <w:t> </w:t>
      </w:r>
      <w:bookmarkStart w:name="_bookmark263" w:id="265"/>
      <w:bookmarkEnd w:id="265"/>
      <w:r>
        <w:rPr>
          <w:vertAlign w:val="baseline"/>
        </w:rPr>
        <w:t>non</w:t>
      </w:r>
      <w:r>
        <w:rPr>
          <w:vertAlign w:val="baseline"/>
        </w:rPr>
        <w:t>-existent wreck of an oil-tanker, the High Court of Australia rejected the buyer’s claim for loss of profits</w:t>
      </w:r>
      <w:r>
        <w:rPr>
          <w:spacing w:val="-2"/>
          <w:vertAlign w:val="baseline"/>
        </w:rPr>
        <w:t> </w:t>
      </w:r>
      <w:r>
        <w:rPr>
          <w:vertAlign w:val="baseline"/>
        </w:rPr>
        <w:t>as</w:t>
      </w:r>
      <w:r>
        <w:rPr>
          <w:spacing w:val="-2"/>
          <w:vertAlign w:val="baseline"/>
        </w:rPr>
        <w:t> </w:t>
      </w:r>
      <w:r>
        <w:rPr>
          <w:vertAlign w:val="baseline"/>
        </w:rPr>
        <w:t>speculative</w:t>
      </w:r>
      <w:r>
        <w:rPr>
          <w:spacing w:val="-2"/>
          <w:vertAlign w:val="baseline"/>
        </w:rPr>
        <w:t> </w:t>
      </w:r>
      <w:r>
        <w:rPr>
          <w:vertAlign w:val="baseline"/>
        </w:rPr>
        <w:t>but</w:t>
      </w:r>
      <w:r>
        <w:rPr>
          <w:spacing w:val="-2"/>
          <w:vertAlign w:val="baseline"/>
        </w:rPr>
        <w:t> </w:t>
      </w:r>
      <w:r>
        <w:rPr>
          <w:vertAlign w:val="baseline"/>
        </w:rPr>
        <w:t>allowed</w:t>
      </w:r>
      <w:r>
        <w:rPr>
          <w:spacing w:val="-2"/>
          <w:vertAlign w:val="baseline"/>
        </w:rPr>
        <w:t> </w:t>
      </w:r>
      <w:r>
        <w:rPr>
          <w:vertAlign w:val="baseline"/>
        </w:rPr>
        <w:t>recovery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price</w:t>
      </w:r>
      <w:r>
        <w:rPr>
          <w:spacing w:val="-2"/>
          <w:vertAlign w:val="baseline"/>
        </w:rPr>
        <w:t> </w:t>
      </w:r>
      <w:r>
        <w:rPr>
          <w:vertAlign w:val="baseline"/>
        </w:rPr>
        <w:t>($285)</w:t>
      </w:r>
      <w:r>
        <w:rPr>
          <w:spacing w:val="-2"/>
          <w:vertAlign w:val="baseline"/>
        </w:rPr>
        <w:t> </w:t>
      </w:r>
      <w:r>
        <w:rPr>
          <w:vertAlign w:val="baseline"/>
        </w:rPr>
        <w:t>as</w:t>
      </w:r>
      <w:r>
        <w:rPr>
          <w:spacing w:val="-2"/>
          <w:vertAlign w:val="baseline"/>
        </w:rPr>
        <w:t> </w:t>
      </w:r>
      <w:r>
        <w:rPr>
          <w:vertAlign w:val="baseline"/>
        </w:rPr>
        <w:t>well</w:t>
      </w:r>
      <w:r>
        <w:rPr>
          <w:spacing w:val="-2"/>
          <w:vertAlign w:val="baseline"/>
        </w:rPr>
        <w:t> </w:t>
      </w:r>
      <w:r>
        <w:rPr>
          <w:vertAlign w:val="baseline"/>
        </w:rPr>
        <w:t>as</w:t>
      </w:r>
      <w:r>
        <w:rPr>
          <w:spacing w:val="-2"/>
          <w:vertAlign w:val="baseline"/>
        </w:rPr>
        <w:t> </w:t>
      </w:r>
      <w:r>
        <w:rPr>
          <w:vertAlign w:val="baseline"/>
        </w:rPr>
        <w:t>other</w:t>
      </w:r>
      <w:r>
        <w:rPr>
          <w:spacing w:val="-2"/>
          <w:vertAlign w:val="baseline"/>
        </w:rPr>
        <w:t> </w:t>
      </w:r>
      <w:r>
        <w:rPr>
          <w:vertAlign w:val="baseline"/>
        </w:rPr>
        <w:t>wasted</w:t>
      </w:r>
      <w:r>
        <w:rPr>
          <w:spacing w:val="-2"/>
          <w:vertAlign w:val="baseline"/>
        </w:rPr>
        <w:t> </w:t>
      </w:r>
      <w:r>
        <w:rPr>
          <w:vertAlign w:val="baseline"/>
        </w:rPr>
        <w:t>expenditure.</w:t>
      </w:r>
      <w:r>
        <w:rPr>
          <w:spacing w:val="-4"/>
          <w:vertAlign w:val="baseline"/>
        </w:rPr>
        <w:t> </w:t>
      </w:r>
      <w:r>
        <w:rPr>
          <w:color w:val="005DA1"/>
          <w:u w:val="single" w:color="005DA1"/>
          <w:vertAlign w:val="superscript"/>
        </w:rPr>
        <w:t>147</w:t>
      </w:r>
      <w:r>
        <w:rPr>
          <w:color w:val="005DA1"/>
          <w:vertAlign w:val="baseline"/>
        </w:rPr>
        <w:t> </w:t>
      </w:r>
      <w:r>
        <w:rPr>
          <w:vertAlign w:val="baseline"/>
        </w:rPr>
        <w:t>There seems no reason why the claim should not have been simply for the price paid. However, the claimant will not be permitted to recover the full price paid by way of damages if it is shown that the </w:t>
      </w:r>
      <w:bookmarkStart w:name="_bookmark264" w:id="266"/>
      <w:bookmarkEnd w:id="266"/>
      <w:r>
        <w:rPr>
          <w:vertAlign w:val="baseline"/>
        </w:rPr>
        <w:t>value</w:t>
      </w:r>
      <w:r>
        <w:rPr>
          <w:vertAlign w:val="baseline"/>
        </w:rPr>
        <w:t> of the performance would have been less than the price, as that would put the claimant into a better position than if the contract had been performed. </w:t>
      </w:r>
      <w:r>
        <w:rPr>
          <w:color w:val="005DA1"/>
          <w:u w:val="single" w:color="005DA1"/>
          <w:vertAlign w:val="superscript"/>
        </w:rPr>
        <w:t>148</w:t>
      </w:r>
      <w:r>
        <w:rPr>
          <w:color w:val="005DA1"/>
          <w:vertAlign w:val="baseline"/>
        </w:rPr>
        <w:t> </w:t>
      </w:r>
      <w:r>
        <w:rPr>
          <w:vertAlign w:val="baseline"/>
        </w:rPr>
        <w:t>Where there has not been a total failure of consideration, it has been said that the party cannot claim the price paid as a form of damages for </w:t>
      </w:r>
      <w:bookmarkStart w:name="_bookmark265" w:id="267"/>
      <w:bookmarkEnd w:id="267"/>
      <w:r>
        <w:rPr>
          <w:vertAlign w:val="baseline"/>
        </w:rPr>
        <w:t>wasted</w:t>
      </w:r>
      <w:r>
        <w:rPr>
          <w:vertAlign w:val="baseline"/>
        </w:rPr>
        <w:t> expenditure, since to allow that would undermine the total failure of consideration</w:t>
      </w:r>
      <w:r>
        <w:rPr>
          <w:spacing w:val="40"/>
          <w:vertAlign w:val="baseline"/>
        </w:rPr>
        <w:t> </w:t>
      </w:r>
      <w:bookmarkStart w:name="_bookmark266" w:id="268"/>
      <w:bookmarkEnd w:id="268"/>
      <w:r>
        <w:rPr>
          <w:vertAlign w:val="baseline"/>
        </w:rPr>
        <w:t>requirement.</w:t>
      </w:r>
      <w:r>
        <w:rPr>
          <w:vertAlign w:val="baseline"/>
        </w:rPr>
        <w:t> </w:t>
      </w:r>
      <w:r>
        <w:rPr>
          <w:color w:val="005DA1"/>
          <w:u w:val="single" w:color="005DA1"/>
          <w:vertAlign w:val="superscript"/>
        </w:rPr>
        <w:t>149</w:t>
      </w:r>
      <w:r>
        <w:rPr>
          <w:color w:val="005DA1"/>
          <w:vertAlign w:val="baseline"/>
        </w:rPr>
        <w:t> </w:t>
      </w:r>
      <w:r>
        <w:rPr>
          <w:vertAlign w:val="baseline"/>
        </w:rPr>
        <w:t>If the payor has received partial performance, its value must be taken into account in calculating the amount of expenditure wasted. </w:t>
      </w:r>
      <w:r>
        <w:rPr>
          <w:color w:val="005DA1"/>
          <w:u w:val="single" w:color="005DA1"/>
          <w:vertAlign w:val="superscript"/>
        </w:rPr>
        <w:t>150</w:t>
      </w:r>
      <w:r>
        <w:rPr>
          <w:color w:val="005DA1"/>
          <w:vertAlign w:val="baseline"/>
        </w:rPr>
        <w:t> </w:t>
      </w:r>
      <w:r>
        <w:rPr>
          <w:vertAlign w:val="baseline"/>
        </w:rPr>
        <w:t>Three points should be noted. First, in principle the </w:t>
      </w:r>
      <w:bookmarkStart w:name="_bookmark267" w:id="269"/>
      <w:bookmarkEnd w:id="269"/>
      <w:r>
        <w:rPr>
          <w:vertAlign w:val="baseline"/>
        </w:rPr>
        <w:t>difference</w:t>
      </w:r>
      <w:r>
        <w:rPr>
          <w:vertAlign w:val="baseline"/>
        </w:rPr>
        <w:t> between the value of what the claimant received and what he actually received is different </w:t>
      </w:r>
      <w:bookmarkStart w:name="_bookmark268" w:id="270"/>
      <w:bookmarkEnd w:id="270"/>
      <w:r>
        <w:rPr>
          <w:vertAlign w:val="baseline"/>
        </w:rPr>
        <w:t>to</w:t>
      </w:r>
      <w:r>
        <w:rPr>
          <w:vertAlign w:val="baseline"/>
        </w:rPr>
        <w:t> a proportion of the price paid </w:t>
      </w:r>
      <w:r>
        <w:rPr>
          <w:color w:val="005DA1"/>
          <w:u w:val="single" w:color="005DA1"/>
          <w:vertAlign w:val="superscript"/>
        </w:rPr>
        <w:t>151</w:t>
      </w:r>
      <w:r>
        <w:rPr>
          <w:vertAlign w:val="baseline"/>
        </w:rPr>
        <w:t>; but in practice it may be difficult to value the partial performance and the price paid may be used as evidence of its value. </w:t>
      </w:r>
      <w:r>
        <w:rPr>
          <w:color w:val="005DA1"/>
          <w:u w:val="single" w:color="005DA1"/>
          <w:vertAlign w:val="superscript"/>
        </w:rPr>
        <w:t>152</w:t>
      </w:r>
      <w:r>
        <w:rPr>
          <w:color w:val="005DA1"/>
          <w:vertAlign w:val="baseline"/>
        </w:rPr>
        <w:t> </w:t>
      </w:r>
      <w:r>
        <w:rPr>
          <w:vertAlign w:val="baseline"/>
        </w:rPr>
        <w:t>Secondly, though there has not been a total failure of consideration, it will not always be the case that the payor will have received a benefit that should be taken into account in assessing the damages for wasted expenditure. This is because</w:t>
      </w:r>
      <w:r>
        <w:rPr>
          <w:spacing w:val="40"/>
          <w:vertAlign w:val="baseline"/>
        </w:rPr>
        <w:t> </w:t>
      </w:r>
      <w:bookmarkStart w:name="_bookmark269" w:id="271"/>
      <w:bookmarkEnd w:id="271"/>
      <w:r>
        <w:rPr>
          <w:vertAlign w:val="baseline"/>
        </w:rPr>
        <w:t>it</w:t>
      </w:r>
      <w:r>
        <w:rPr>
          <w:vertAlign w:val="baseline"/>
        </w:rPr>
        <w:t> has been held that in contracts for work and materials, partial performance by the payee (such as a ship builder drawing up plans and starting construction </w:t>
      </w:r>
      <w:r>
        <w:rPr>
          <w:color w:val="005DA1"/>
          <w:u w:val="single" w:color="005DA1"/>
          <w:vertAlign w:val="superscript"/>
        </w:rPr>
        <w:t>153</w:t>
      </w:r>
      <w:r>
        <w:rPr>
          <w:vertAlign w:val="baseline"/>
        </w:rPr>
        <w:t>) may mean that there has been no total failure of consideration even though nothing is ever delivered to the payor. In such a case it is submitted that the price paid may in effect be recovered by way of damages for wasted expenditure. Thirdly, again, the claimant must not be put into a better position than if the contract had been performed. Thus, whether or not a deduction has to be made on account of a benefit that the payor has</w:t>
      </w:r>
      <w:r>
        <w:rPr>
          <w:spacing w:val="21"/>
          <w:vertAlign w:val="baseline"/>
        </w:rPr>
        <w:t> </w:t>
      </w:r>
      <w:r>
        <w:rPr>
          <w:vertAlign w:val="baseline"/>
        </w:rPr>
        <w:t>received</w:t>
      </w:r>
      <w:r>
        <w:rPr>
          <w:spacing w:val="21"/>
          <w:vertAlign w:val="baseline"/>
        </w:rPr>
        <w:t> </w:t>
      </w:r>
      <w:r>
        <w:rPr>
          <w:vertAlign w:val="baseline"/>
        </w:rPr>
        <w:t>by</w:t>
      </w:r>
      <w:r>
        <w:rPr>
          <w:spacing w:val="21"/>
          <w:vertAlign w:val="baseline"/>
        </w:rPr>
        <w:t> </w:t>
      </w:r>
      <w:r>
        <w:rPr>
          <w:vertAlign w:val="baseline"/>
        </w:rPr>
        <w:t>part</w:t>
      </w:r>
      <w:r>
        <w:rPr>
          <w:spacing w:val="21"/>
          <w:vertAlign w:val="baseline"/>
        </w:rPr>
        <w:t> </w:t>
      </w:r>
      <w:r>
        <w:rPr>
          <w:vertAlign w:val="baseline"/>
        </w:rPr>
        <w:t>performance,</w:t>
      </w:r>
      <w:r>
        <w:rPr>
          <w:spacing w:val="21"/>
          <w:vertAlign w:val="baseline"/>
        </w:rPr>
        <w:t> </w:t>
      </w:r>
      <w:r>
        <w:rPr>
          <w:vertAlign w:val="baseline"/>
        </w:rPr>
        <w:t>if</w:t>
      </w:r>
      <w:r>
        <w:rPr>
          <w:spacing w:val="21"/>
          <w:vertAlign w:val="baseline"/>
        </w:rPr>
        <w:t> </w:t>
      </w:r>
      <w:r>
        <w:rPr>
          <w:vertAlign w:val="baseline"/>
        </w:rPr>
        <w:t>the</w:t>
      </w:r>
      <w:r>
        <w:rPr>
          <w:spacing w:val="21"/>
          <w:vertAlign w:val="baseline"/>
        </w:rPr>
        <w:t> </w:t>
      </w:r>
      <w:r>
        <w:rPr>
          <w:vertAlign w:val="baseline"/>
        </w:rPr>
        <w:t>total</w:t>
      </w:r>
      <w:r>
        <w:rPr>
          <w:spacing w:val="21"/>
          <w:vertAlign w:val="baseline"/>
        </w:rPr>
        <w:t> </w:t>
      </w:r>
      <w:r>
        <w:rPr>
          <w:vertAlign w:val="baseline"/>
        </w:rPr>
        <w:t>benefit</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payor</w:t>
      </w:r>
      <w:r>
        <w:rPr>
          <w:spacing w:val="21"/>
          <w:vertAlign w:val="baseline"/>
        </w:rPr>
        <w:t> </w:t>
      </w:r>
      <w:r>
        <w:rPr>
          <w:vertAlign w:val="baseline"/>
        </w:rPr>
        <w:t>would</w:t>
      </w:r>
      <w:r>
        <w:rPr>
          <w:spacing w:val="21"/>
          <w:vertAlign w:val="baseline"/>
        </w:rPr>
        <w:t> </w:t>
      </w:r>
      <w:r>
        <w:rPr>
          <w:vertAlign w:val="baseline"/>
        </w:rPr>
        <w:t>have</w:t>
      </w:r>
      <w:r>
        <w:rPr>
          <w:spacing w:val="21"/>
          <w:vertAlign w:val="baseline"/>
        </w:rPr>
        <w:t> </w:t>
      </w:r>
      <w:r>
        <w:rPr>
          <w:vertAlign w:val="baseline"/>
        </w:rPr>
        <w:t>received</w:t>
      </w:r>
      <w:r>
        <w:rPr>
          <w:spacing w:val="21"/>
          <w:vertAlign w:val="baseline"/>
        </w:rPr>
        <w:t> </w:t>
      </w:r>
      <w:r>
        <w:rPr>
          <w:vertAlign w:val="baseline"/>
        </w:rPr>
        <w:t>under</w:t>
      </w:r>
      <w:r>
        <w:rPr>
          <w:spacing w:val="21"/>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70" w:id="272"/>
      <w:bookmarkEnd w:id="272"/>
      <w:r>
        <w:rPr/>
      </w:r>
      <w:r>
        <w:rPr/>
        <w:t>contract if it had been performed would have been worth less than the price payable, any </w:t>
      </w:r>
      <w:r>
        <w:rPr/>
        <w:t>damages awarded for wasted expenditure must be reduced accordingly. </w:t>
      </w:r>
      <w:r>
        <w:rPr>
          <w:color w:val="005DA1"/>
          <w:u w:val="single" w:color="005DA1"/>
          <w:vertAlign w:val="superscript"/>
        </w:rPr>
        <w:t>154</w:t>
      </w:r>
    </w:p>
    <w:p>
      <w:pPr>
        <w:pStyle w:val="BodyText"/>
      </w:pPr>
    </w:p>
    <w:p>
      <w:pPr>
        <w:pStyle w:val="BodyText"/>
        <w:spacing w:before="38"/>
      </w:pPr>
    </w:p>
    <w:p>
      <w:pPr>
        <w:spacing w:before="0"/>
        <w:ind w:left="165" w:right="0" w:firstLine="0"/>
        <w:jc w:val="left"/>
        <w:rPr>
          <w:rFonts w:ascii="Arial"/>
          <w:b/>
          <w:sz w:val="18"/>
        </w:rPr>
      </w:pPr>
      <w:r>
        <w:rPr>
          <w:rFonts w:ascii="Arial"/>
          <w:b/>
          <w:sz w:val="18"/>
        </w:rPr>
        <w:t>Reliance expenditure not directed at </w:t>
      </w:r>
      <w:r>
        <w:rPr>
          <w:rFonts w:ascii="Arial"/>
          <w:b/>
          <w:spacing w:val="-2"/>
          <w:sz w:val="18"/>
        </w:rPr>
        <w:t>performance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027</w:t>
      </w:r>
    </w:p>
    <w:p>
      <w:pPr>
        <w:pStyle w:val="BodyText"/>
        <w:spacing w:line="235" w:lineRule="auto" w:before="203"/>
        <w:ind w:left="165" w:right="167"/>
        <w:jc w:val="both"/>
      </w:pPr>
      <w:r>
        <w:rPr/>
        <w:t>Before the breach the claimant may incur expenditure in reliance on the expected performance of the contract by the defendant where the expenditure was not incurred in or towards the performance of his own obligations; this is expenditure from which he expected to benefit, as part of the activity in </w:t>
      </w:r>
      <w:bookmarkStart w:name="_bookmark271" w:id="273"/>
      <w:bookmarkEnd w:id="273"/>
      <w:r>
        <w:rPr/>
        <w:t>which</w:t>
      </w:r>
      <w:r>
        <w:rPr/>
        <w:t> he was engaged, after he had received the benefit of the defendant’s performance, but which the breach now renders futile. Subject to mitigation, </w:t>
      </w:r>
      <w:r>
        <w:rPr>
          <w:color w:val="005DA1"/>
          <w:u w:val="single" w:color="005DA1"/>
          <w:vertAlign w:val="superscript"/>
        </w:rPr>
        <w:t>155</w:t>
      </w:r>
      <w:r>
        <w:rPr>
          <w:color w:val="005DA1"/>
          <w:vertAlign w:val="baseline"/>
        </w:rPr>
        <w:t> </w:t>
      </w:r>
      <w:r>
        <w:rPr>
          <w:vertAlign w:val="baseline"/>
        </w:rPr>
        <w:t>the claimant is entitled to damages to reimburse him for this expenditure, provided it was within the reasonable contemplation of the </w:t>
      </w:r>
      <w:r>
        <w:rPr>
          <w:vertAlign w:val="baseline"/>
        </w:rPr>
        <w:t>parties that it was not unlikely that the claimant would incur it in reliance on the contract, and that it would be wasted if the defendant committed the breach in question. (No test of reasonableness in incurring the expenditure has been imposed on the claimant, but if the expenditure was incurred unreasonably, it would</w:t>
      </w:r>
      <w:r>
        <w:rPr>
          <w:spacing w:val="-1"/>
          <w:vertAlign w:val="baseline"/>
        </w:rPr>
        <w:t> </w:t>
      </w:r>
      <w:r>
        <w:rPr>
          <w:vertAlign w:val="baseline"/>
        </w:rPr>
        <w:t>not</w:t>
      </w:r>
      <w:r>
        <w:rPr>
          <w:spacing w:val="-1"/>
          <w:vertAlign w:val="baseline"/>
        </w:rPr>
        <w:t> </w:t>
      </w:r>
      <w:r>
        <w:rPr>
          <w:vertAlign w:val="baseline"/>
        </w:rPr>
        <w:t>satisfy</w:t>
      </w:r>
      <w:r>
        <w:rPr>
          <w:spacing w:val="-1"/>
          <w:vertAlign w:val="baseline"/>
        </w:rPr>
        <w:t> </w:t>
      </w:r>
      <w:r>
        <w:rPr>
          <w:vertAlign w:val="baseline"/>
        </w:rPr>
        <w:t>the</w:t>
      </w:r>
      <w:r>
        <w:rPr>
          <w:spacing w:val="-1"/>
          <w:vertAlign w:val="baseline"/>
        </w:rPr>
        <w:t> </w:t>
      </w:r>
      <w:r>
        <w:rPr>
          <w:vertAlign w:val="baseline"/>
        </w:rPr>
        <w:t>remoteness</w:t>
      </w:r>
      <w:r>
        <w:rPr>
          <w:spacing w:val="-1"/>
          <w:vertAlign w:val="baseline"/>
        </w:rPr>
        <w:t> </w:t>
      </w:r>
      <w:r>
        <w:rPr>
          <w:vertAlign w:val="baseline"/>
        </w:rPr>
        <w:t>test.)</w:t>
      </w:r>
      <w:r>
        <w:rPr>
          <w:spacing w:val="-1"/>
          <w:vertAlign w:val="baseline"/>
        </w:rPr>
        <w:t> </w:t>
      </w:r>
      <w:r>
        <w:rPr>
          <w:vertAlign w:val="baseline"/>
        </w:rPr>
        <w:t>So</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had</w:t>
      </w:r>
      <w:r>
        <w:rPr>
          <w:spacing w:val="-1"/>
          <w:vertAlign w:val="baseline"/>
        </w:rPr>
        <w:t> </w:t>
      </w:r>
      <w:r>
        <w:rPr>
          <w:vertAlign w:val="baseline"/>
        </w:rPr>
        <w:t>them</w:t>
      </w:r>
      <w:r>
        <w:rPr>
          <w:spacing w:val="-1"/>
          <w:vertAlign w:val="baseline"/>
        </w:rPr>
        <w:t> </w:t>
      </w:r>
      <w:r>
        <w:rPr>
          <w:vertAlign w:val="baseline"/>
        </w:rPr>
        <w:t>repaired</w:t>
      </w:r>
      <w:r>
        <w:rPr>
          <w:spacing w:val="-1"/>
          <w:vertAlign w:val="baseline"/>
        </w:rPr>
        <w:t> </w:t>
      </w:r>
      <w:r>
        <w:rPr>
          <w:vertAlign w:val="baseline"/>
        </w:rPr>
        <w:t>before</w:t>
      </w:r>
      <w:r>
        <w:rPr>
          <w:spacing w:val="-1"/>
          <w:vertAlign w:val="baseline"/>
        </w:rPr>
        <w:t> </w:t>
      </w:r>
      <w:r>
        <w:rPr>
          <w:vertAlign w:val="baseline"/>
        </w:rPr>
        <w:t>he</w:t>
      </w:r>
      <w:r>
        <w:rPr>
          <w:spacing w:val="-1"/>
          <w:vertAlign w:val="baseline"/>
        </w:rPr>
        <w:t> </w:t>
      </w:r>
      <w:r>
        <w:rPr>
          <w:vertAlign w:val="baseline"/>
        </w:rPr>
        <w:t>had </w:t>
      </w:r>
      <w:bookmarkStart w:name="_bookmark272" w:id="274"/>
      <w:bookmarkEnd w:id="274"/>
      <w:r>
        <w:rPr>
          <w:vertAlign w:val="baseline"/>
        </w:rPr>
        <w:t>to</w:t>
      </w:r>
      <w:r>
        <w:rPr>
          <w:vertAlign w:val="baseline"/>
        </w:rPr>
        <w:t> give them up to a third party (because it later emerged that the seller had no title to them), he </w:t>
      </w:r>
      <w:bookmarkStart w:name="_bookmark273" w:id="275"/>
      <w:bookmarkEnd w:id="275"/>
      <w:r>
        <w:rPr>
          <w:vertAlign w:val="baseline"/>
        </w:rPr>
        <w:t>recovered</w:t>
      </w:r>
      <w:r>
        <w:rPr>
          <w:vertAlign w:val="baseline"/>
        </w:rPr>
        <w:t> the cost of the repairs which was wasted from his point of view.</w:t>
      </w:r>
      <w:r>
        <w:rPr>
          <w:spacing w:val="-1"/>
          <w:vertAlign w:val="baseline"/>
        </w:rPr>
        <w:t> </w:t>
      </w:r>
      <w:r>
        <w:rPr>
          <w:color w:val="005DA1"/>
          <w:u w:val="single" w:color="005DA1"/>
          <w:vertAlign w:val="superscript"/>
        </w:rPr>
        <w:t>156</w:t>
      </w:r>
      <w:r>
        <w:rPr>
          <w:color w:val="005DA1"/>
          <w:vertAlign w:val="baseline"/>
        </w:rPr>
        <w:t> </w:t>
      </w:r>
      <w:r>
        <w:rPr>
          <w:vertAlign w:val="baseline"/>
        </w:rPr>
        <w:t>Other illustrations of the </w:t>
      </w:r>
      <w:bookmarkStart w:name="_bookmark274" w:id="276"/>
      <w:bookmarkEnd w:id="276"/>
      <w:r>
        <w:rPr>
          <w:vertAlign w:val="baseline"/>
        </w:rPr>
        <w:t>recovery</w:t>
      </w:r>
      <w:r>
        <w:rPr>
          <w:vertAlign w:val="baseline"/>
        </w:rPr>
        <w:t> of wasted expenditure are the cost of painting a machine before it was found to be defective </w:t>
      </w:r>
      <w:r>
        <w:rPr>
          <w:color w:val="005DA1"/>
          <w:u w:val="single" w:color="005DA1"/>
          <w:vertAlign w:val="superscript"/>
        </w:rPr>
        <w:t>157</w:t>
      </w:r>
      <w:r>
        <w:rPr>
          <w:vertAlign w:val="baseline"/>
        </w:rPr>
        <w:t>; the cost of transporting goods to a sub-buyer before they were examined and rejected</w:t>
      </w:r>
      <w:r>
        <w:rPr>
          <w:spacing w:val="-1"/>
          <w:vertAlign w:val="baseline"/>
        </w:rPr>
        <w:t> </w:t>
      </w:r>
      <w:r>
        <w:rPr>
          <w:color w:val="005DA1"/>
          <w:u w:val="single" w:color="005DA1"/>
          <w:vertAlign w:val="superscript"/>
        </w:rPr>
        <w:t>158</w:t>
      </w:r>
      <w:r>
        <w:rPr>
          <w:vertAlign w:val="baseline"/>
        </w:rPr>
        <w:t>; and the </w:t>
      </w:r>
      <w:bookmarkStart w:name="_bookmark275" w:id="277"/>
      <w:bookmarkEnd w:id="277"/>
      <w:r>
        <w:rPr>
          <w:vertAlign w:val="baseline"/>
        </w:rPr>
        <w:t>cost</w:t>
      </w:r>
      <w:r>
        <w:rPr>
          <w:vertAlign w:val="baseline"/>
        </w:rPr>
        <w:t> of equipping a salvage expedition to a tanker which the buyer had been promised was on the “Jourmand Reef”, when in fact neither the tanker nor the reef existed. </w:t>
      </w:r>
      <w:r>
        <w:rPr>
          <w:color w:val="005DA1"/>
          <w:u w:val="single" w:color="005DA1"/>
          <w:vertAlign w:val="superscript"/>
        </w:rPr>
        <w:t>159</w:t>
      </w:r>
    </w:p>
    <w:p>
      <w:pPr>
        <w:pStyle w:val="BodyText"/>
      </w:pPr>
    </w:p>
    <w:p>
      <w:pPr>
        <w:pStyle w:val="BodyText"/>
        <w:spacing w:before="32"/>
      </w:pPr>
    </w:p>
    <w:p>
      <w:pPr>
        <w:spacing w:before="1"/>
        <w:ind w:left="165" w:right="0" w:firstLine="0"/>
        <w:jc w:val="left"/>
        <w:rPr>
          <w:rFonts w:ascii="Arial" w:hAnsi="Arial"/>
          <w:b/>
          <w:sz w:val="18"/>
        </w:rPr>
      </w:pPr>
      <w:r>
        <w:rPr>
          <w:rFonts w:ascii="Arial" w:hAnsi="Arial"/>
          <w:b/>
          <w:sz w:val="18"/>
        </w:rPr>
        <w:t>Ceiling on recovery if claimant’s activity would have been </w:t>
      </w:r>
      <w:r>
        <w:rPr>
          <w:rFonts w:ascii="Arial" w:hAnsi="Arial"/>
          <w:b/>
          <w:spacing w:val="-2"/>
          <w:sz w:val="18"/>
        </w:rPr>
        <w:t>unprofitable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028</w:t>
      </w:r>
    </w:p>
    <w:p>
      <w:pPr>
        <w:pStyle w:val="BodyText"/>
        <w:spacing w:line="235" w:lineRule="auto" w:before="203"/>
        <w:ind w:left="164" w:right="167"/>
        <w:jc w:val="both"/>
      </w:pPr>
      <w:bookmarkStart w:name="_bookmark276" w:id="278"/>
      <w:bookmarkEnd w:id="278"/>
      <w:r>
        <w:rPr/>
      </w:r>
      <w:r>
        <w:rPr/>
        <w:t>As with the case of performance expenditure discussed above, </w:t>
      </w:r>
      <w:r>
        <w:rPr>
          <w:color w:val="005DA1"/>
          <w:u w:val="single" w:color="005DA1"/>
          <w:vertAlign w:val="superscript"/>
        </w:rPr>
        <w:t>160</w:t>
      </w:r>
      <w:r>
        <w:rPr>
          <w:color w:val="005DA1"/>
          <w:vertAlign w:val="baseline"/>
        </w:rPr>
        <w:t> </w:t>
      </w:r>
      <w:r>
        <w:rPr>
          <w:vertAlign w:val="baseline"/>
        </w:rPr>
        <w:t>the defendant may show </w:t>
      </w:r>
      <w:r>
        <w:rPr>
          <w:color w:val="005DA1"/>
          <w:u w:val="single" w:color="005DA1"/>
          <w:vertAlign w:val="superscript"/>
        </w:rPr>
        <w:t>161</w:t>
      </w:r>
      <w:r>
        <w:rPr>
          <w:color w:val="005DA1"/>
          <w:vertAlign w:val="baseline"/>
        </w:rPr>
        <w:t> </w:t>
      </w:r>
      <w:r>
        <w:rPr>
          <w:vertAlign w:val="baseline"/>
        </w:rPr>
        <w:t>that the</w:t>
      </w:r>
      <w:r>
        <w:rPr>
          <w:spacing w:val="-2"/>
          <w:vertAlign w:val="baseline"/>
        </w:rPr>
        <w:t> </w:t>
      </w:r>
      <w:r>
        <w:rPr>
          <w:vertAlign w:val="baseline"/>
        </w:rPr>
        <w:t>claimant</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as</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commercial</w:t>
      </w:r>
      <w:r>
        <w:rPr>
          <w:spacing w:val="-2"/>
          <w:vertAlign w:val="baseline"/>
        </w:rPr>
        <w:t> </w:t>
      </w:r>
      <w:r>
        <w:rPr>
          <w:vertAlign w:val="baseline"/>
        </w:rPr>
        <w:t>or</w:t>
      </w:r>
      <w:r>
        <w:rPr>
          <w:spacing w:val="-2"/>
          <w:vertAlign w:val="baseline"/>
        </w:rPr>
        <w:t> </w:t>
      </w:r>
      <w:r>
        <w:rPr>
          <w:vertAlign w:val="baseline"/>
        </w:rPr>
        <w:t>profit-making</w:t>
      </w:r>
      <w:r>
        <w:rPr>
          <w:spacing w:val="-2"/>
          <w:vertAlign w:val="baseline"/>
        </w:rPr>
        <w:t> </w:t>
      </w:r>
      <w:r>
        <w:rPr>
          <w:vertAlign w:val="baseline"/>
        </w:rPr>
        <w:t>activity</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would have</w:t>
      </w:r>
      <w:r>
        <w:rPr>
          <w:spacing w:val="-1"/>
          <w:vertAlign w:val="baseline"/>
        </w:rPr>
        <w:t> </w:t>
      </w:r>
      <w:r>
        <w:rPr>
          <w:vertAlign w:val="baseline"/>
        </w:rPr>
        <w:t>made</w:t>
      </w:r>
      <w:r>
        <w:rPr>
          <w:spacing w:val="-1"/>
          <w:vertAlign w:val="baseline"/>
        </w:rPr>
        <w:t> </w:t>
      </w:r>
      <w:r>
        <w:rPr>
          <w:vertAlign w:val="baseline"/>
        </w:rPr>
        <w:t>an</w:t>
      </w:r>
      <w:r>
        <w:rPr>
          <w:spacing w:val="-1"/>
          <w:vertAlign w:val="baseline"/>
        </w:rPr>
        <w:t> </w:t>
      </w:r>
      <w:r>
        <w:rPr>
          <w:vertAlign w:val="baseline"/>
        </w:rPr>
        <w:t>overall</w:t>
      </w:r>
      <w:r>
        <w:rPr>
          <w:spacing w:val="-1"/>
          <w:vertAlign w:val="baseline"/>
        </w:rPr>
        <w:t> </w:t>
      </w:r>
      <w:r>
        <w:rPr>
          <w:vertAlign w:val="baseline"/>
        </w:rPr>
        <w:t>loss</w:t>
      </w:r>
      <w:r>
        <w:rPr>
          <w:spacing w:val="-1"/>
          <w:vertAlign w:val="baseline"/>
        </w:rPr>
        <w:t> </w:t>
      </w:r>
      <w:r>
        <w:rPr>
          <w:vertAlign w:val="baseline"/>
        </w:rPr>
        <w:t>on</w:t>
      </w:r>
      <w:r>
        <w:rPr>
          <w:spacing w:val="-1"/>
          <w:vertAlign w:val="baseline"/>
        </w:rPr>
        <w:t> </w:t>
      </w:r>
      <w:r>
        <w:rPr>
          <w:vertAlign w:val="baseline"/>
        </w:rPr>
        <w:t>that</w:t>
      </w:r>
      <w:r>
        <w:rPr>
          <w:spacing w:val="-1"/>
          <w:vertAlign w:val="baseline"/>
        </w:rPr>
        <w:t> </w:t>
      </w:r>
      <w:r>
        <w:rPr>
          <w:vertAlign w:val="baseline"/>
        </w:rPr>
        <w:t>activity.</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must</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gross</w:t>
      </w:r>
      <w:r>
        <w:rPr>
          <w:spacing w:val="-1"/>
          <w:vertAlign w:val="baseline"/>
        </w:rPr>
        <w:t> </w:t>
      </w:r>
      <w:r>
        <w:rPr>
          <w:vertAlign w:val="baseline"/>
        </w:rPr>
        <w:t>return</w:t>
      </w:r>
      <w:r>
        <w:rPr>
          <w:spacing w:val="-1"/>
          <w:vertAlign w:val="baseline"/>
        </w:rPr>
        <w:t> </w:t>
      </w:r>
      <w:r>
        <w:rPr>
          <w:vertAlign w:val="baseline"/>
        </w:rPr>
        <w:t>which </w:t>
      </w:r>
      <w:bookmarkStart w:name="_bookmark277" w:id="279"/>
      <w:bookmarkEnd w:id="279"/>
      <w:r>
        <w:rPr>
          <w:vertAlign w:val="baseline"/>
        </w:rPr>
        <w:t>the</w:t>
      </w:r>
      <w:r>
        <w:rPr>
          <w:vertAlign w:val="baseline"/>
        </w:rPr>
        <w:t> claimant expected to receive from exploiting or using the subject matter of his contract with the defendant, </w:t>
      </w:r>
      <w:r>
        <w:rPr>
          <w:color w:val="005DA1"/>
          <w:u w:val="single" w:color="005DA1"/>
          <w:vertAlign w:val="superscript"/>
        </w:rPr>
        <w:t>162</w:t>
      </w:r>
      <w:r>
        <w:rPr>
          <w:color w:val="005DA1"/>
          <w:vertAlign w:val="baseline"/>
        </w:rPr>
        <w:t> </w:t>
      </w:r>
      <w:r>
        <w:rPr>
          <w:vertAlign w:val="baseline"/>
        </w:rPr>
        <w:t>he would not have recouped all of the expenditure incurred in reliance on the contract. Where the defendant can prove that, even if he had completely performed that contract, the</w:t>
      </w:r>
      <w:r>
        <w:rPr>
          <w:spacing w:val="40"/>
          <w:vertAlign w:val="baseline"/>
        </w:rPr>
        <w:t> </w:t>
      </w:r>
      <w:bookmarkStart w:name="_bookmark278" w:id="280"/>
      <w:bookmarkEnd w:id="280"/>
      <w:r>
        <w:rPr>
          <w:vertAlign w:val="baseline"/>
        </w:rPr>
        <w:t>claimant’s</w:t>
      </w:r>
      <w:r>
        <w:rPr>
          <w:vertAlign w:val="baseline"/>
        </w:rPr>
        <w:t> gross return from his exploitation would not have covered that expenditure, the claimant’s </w:t>
      </w:r>
      <w:bookmarkStart w:name="_bookmark279" w:id="281"/>
      <w:bookmarkEnd w:id="281"/>
      <w:r>
        <w:rPr>
          <w:vertAlign w:val="baseline"/>
        </w:rPr>
        <w:t>claim</w:t>
      </w:r>
      <w:r>
        <w:rPr>
          <w:vertAlign w:val="baseline"/>
        </w:rPr>
        <w:t> for wasted expenditure can succeed only to the extent that it would have been recouped. </w:t>
      </w:r>
      <w:r>
        <w:rPr>
          <w:color w:val="005DA1"/>
          <w:u w:val="single" w:color="005DA1"/>
          <w:vertAlign w:val="superscript"/>
        </w:rPr>
        <w:t>163</w:t>
      </w:r>
      <w:r>
        <w:rPr>
          <w:color w:val="005DA1"/>
          <w:vertAlign w:val="baseline"/>
        </w:rPr>
        <w:t> </w:t>
      </w:r>
      <w:r>
        <w:rPr>
          <w:vertAlign w:val="baseline"/>
        </w:rPr>
        <w:t>(The same question as discussed above arises over the method of implementing this principle. </w:t>
      </w:r>
      <w:r>
        <w:rPr>
          <w:color w:val="005DA1"/>
          <w:u w:val="single" w:color="005DA1"/>
          <w:vertAlign w:val="superscript"/>
        </w:rPr>
        <w:t>164</w:t>
      </w:r>
      <w:r>
        <w:rPr>
          <w:vertAlign w:val="baseline"/>
        </w:rPr>
        <w:t>)</w:t>
      </w:r>
    </w:p>
    <w:p>
      <w:pPr>
        <w:pStyle w:val="BodyText"/>
      </w:pPr>
    </w:p>
    <w:p>
      <w:pPr>
        <w:pStyle w:val="BodyText"/>
        <w:spacing w:before="35"/>
      </w:pPr>
    </w:p>
    <w:p>
      <w:pPr>
        <w:spacing w:before="0"/>
        <w:ind w:left="165" w:right="0" w:firstLine="0"/>
        <w:jc w:val="left"/>
        <w:rPr>
          <w:rFonts w:ascii="Arial"/>
          <w:b/>
          <w:sz w:val="18"/>
        </w:rPr>
      </w:pPr>
      <w:r>
        <w:rPr>
          <w:rFonts w:ascii="Arial"/>
          <w:b/>
          <w:sz w:val="18"/>
        </w:rPr>
        <w:t>Claims for both profit and reliance </w:t>
      </w:r>
      <w:r>
        <w:rPr>
          <w:rFonts w:ascii="Arial"/>
          <w:b/>
          <w:spacing w:val="-4"/>
          <w:sz w:val="18"/>
        </w:rPr>
        <w:t>loss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029</w:t>
      </w:r>
    </w:p>
    <w:p>
      <w:pPr>
        <w:pStyle w:val="BodyText"/>
        <w:spacing w:line="235" w:lineRule="auto" w:before="203"/>
        <w:ind w:left="164" w:right="167"/>
        <w:jc w:val="both"/>
      </w:pPr>
      <w:bookmarkStart w:name="_bookmark280" w:id="282"/>
      <w:bookmarkEnd w:id="282"/>
      <w:r>
        <w:rPr/>
      </w:r>
      <w:r>
        <w:rPr/>
        <w:t>Both expectation and (subject to the claimant’s expectation </w:t>
      </w:r>
      <w:r>
        <w:rPr>
          <w:color w:val="005DA1"/>
          <w:u w:val="single" w:color="005DA1"/>
          <w:vertAlign w:val="superscript"/>
        </w:rPr>
        <w:t>165</w:t>
      </w:r>
      <w:r>
        <w:rPr>
          <w:vertAlign w:val="baseline"/>
        </w:rPr>
        <w:t>) reliance interests are thus protected</w:t>
      </w:r>
      <w:r>
        <w:rPr>
          <w:spacing w:val="40"/>
          <w:vertAlign w:val="baseline"/>
        </w:rPr>
        <w:t> </w:t>
      </w:r>
      <w:r>
        <w:rPr>
          <w:vertAlign w:val="baseline"/>
        </w:rPr>
        <w:t>by the law on damages. May the claimant recover both, so long as he is not compensated twice for the same loss and is not put into a better position than if the contract had been performed? In </w:t>
      </w:r>
      <w:bookmarkStart w:name="_bookmark281" w:id="283"/>
      <w:bookmarkEnd w:id="283"/>
      <w:r>
        <w:rPr>
          <w:vertAlign w:val="baseline"/>
        </w:rPr>
        <w:t>principle,</w:t>
      </w:r>
      <w:r>
        <w:rPr>
          <w:vertAlign w:val="baseline"/>
        </w:rPr>
        <w:t> the claimant should be entitled to claim damages both for his wasted expenditure incurred up</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terminating</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also</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net</w:t>
      </w:r>
      <w:r>
        <w:rPr>
          <w:spacing w:val="-1"/>
          <w:vertAlign w:val="baseline"/>
        </w:rPr>
        <w:t> </w:t>
      </w:r>
      <w:r>
        <w:rPr>
          <w:vertAlign w:val="baseline"/>
        </w:rPr>
        <w:t>loss</w:t>
      </w:r>
      <w:r>
        <w:rPr>
          <w:spacing w:val="-1"/>
          <w:vertAlign w:val="baseline"/>
        </w:rPr>
        <w:t> </w:t>
      </w:r>
      <w:r>
        <w:rPr>
          <w:vertAlign w:val="baseline"/>
        </w:rPr>
        <w:t>of</w:t>
      </w:r>
      <w:r>
        <w:rPr>
          <w:spacing w:val="-1"/>
          <w:vertAlign w:val="baseline"/>
        </w:rPr>
        <w:t> </w:t>
      </w:r>
      <w:r>
        <w:rPr>
          <w:vertAlign w:val="baseline"/>
        </w:rPr>
        <w:t>profit</w:t>
      </w:r>
      <w:r>
        <w:rPr>
          <w:spacing w:val="-2"/>
          <w:vertAlign w:val="baseline"/>
        </w:rPr>
        <w:t> </w:t>
      </w:r>
      <w:r>
        <w:rPr>
          <w:color w:val="005DA1"/>
          <w:u w:val="single" w:color="005DA1"/>
          <w:vertAlign w:val="superscript"/>
        </w:rPr>
        <w:t>166</w:t>
      </w:r>
      <w:r>
        <w:rPr>
          <w:color w:val="005DA1"/>
          <w:spacing w:val="-1"/>
          <w:vertAlign w:val="baseline"/>
        </w:rPr>
        <w:t> </w:t>
      </w:r>
      <w:r>
        <w:rPr>
          <w:vertAlign w:val="baseline"/>
        </w:rPr>
        <w:t>which</w:t>
      </w:r>
      <w:r>
        <w:rPr>
          <w:spacing w:val="-1"/>
          <w:vertAlign w:val="baseline"/>
        </w:rPr>
        <w:t> </w:t>
      </w:r>
      <w:r>
        <w:rPr>
          <w:vertAlign w:val="baseline"/>
        </w:rPr>
        <w:t>he</w:t>
      </w:r>
      <w:r>
        <w:rPr>
          <w:spacing w:val="-1"/>
          <w:vertAlign w:val="baseline"/>
        </w:rPr>
        <w:t> </w:t>
      </w:r>
      <w:r>
        <w:rPr>
          <w:vertAlign w:val="baseline"/>
        </w:rPr>
        <w:t>would</w:t>
      </w:r>
      <w:r>
        <w:rPr>
          <w:spacing w:val="-1"/>
          <w:vertAlign w:val="baseline"/>
        </w:rPr>
        <w:t> </w:t>
      </w:r>
      <w:r>
        <w:rPr>
          <w:vertAlign w:val="baseline"/>
        </w:rPr>
        <w:t>have made but for the breach. There can be no valid objection to this, provided the calculations show that there is no overlapping in the claimant’s recovery, viz his net loss of profits is calculated by deducting </w:t>
      </w:r>
      <w:bookmarkStart w:name="_bookmark282" w:id="284"/>
      <w:bookmarkEnd w:id="284"/>
      <w:r>
        <w:rPr>
          <w:vertAlign w:val="baseline"/>
        </w:rPr>
        <w:t>from</w:t>
      </w:r>
      <w:r>
        <w:rPr>
          <w:vertAlign w:val="baseline"/>
        </w:rPr>
        <w:t> his expected gross return both the cost of his performance and reliance expenditure to the date </w:t>
      </w:r>
      <w:bookmarkStart w:name="_bookmark283" w:id="285"/>
      <w:bookmarkEnd w:id="285"/>
      <w:r>
        <w:rPr>
          <w:vertAlign w:val="baseline"/>
        </w:rPr>
        <w:t>of</w:t>
      </w:r>
      <w:r>
        <w:rPr>
          <w:vertAlign w:val="baseline"/>
        </w:rPr>
        <w:t> termination </w:t>
      </w:r>
      <w:r>
        <w:rPr>
          <w:color w:val="005DA1"/>
          <w:u w:val="single" w:color="005DA1"/>
          <w:vertAlign w:val="superscript"/>
        </w:rPr>
        <w:t>167</w:t>
      </w:r>
      <w:r>
        <w:rPr>
          <w:color w:val="005DA1"/>
          <w:vertAlign w:val="baseline"/>
        </w:rPr>
        <w:t> </w:t>
      </w:r>
      <w:r>
        <w:rPr>
          <w:vertAlign w:val="baseline"/>
        </w:rPr>
        <w:t>and the cost of the further expenditure which he would have incurred after that date</w:t>
      </w:r>
      <w:r>
        <w:rPr>
          <w:spacing w:val="40"/>
          <w:vertAlign w:val="baseline"/>
        </w:rPr>
        <w:t> </w:t>
      </w:r>
      <w:r>
        <w:rPr>
          <w:vertAlign w:val="baseline"/>
        </w:rPr>
        <w:t>if he had completed his performance. </w:t>
      </w:r>
      <w:r>
        <w:rPr>
          <w:color w:val="005DA1"/>
          <w:u w:val="single" w:color="005DA1"/>
          <w:vertAlign w:val="superscript"/>
        </w:rPr>
        <w:t>168</w:t>
      </w:r>
      <w:r>
        <w:rPr>
          <w:color w:val="005DA1"/>
          <w:vertAlign w:val="baseline"/>
        </w:rPr>
        <w:t> </w:t>
      </w:r>
      <w:r>
        <w:rPr>
          <w:vertAlign w:val="baseline"/>
        </w:rPr>
        <w:t>In one case, the Court of Appeal has ruled that the claimant </w:t>
      </w:r>
      <w:bookmarkStart w:name="_bookmark284" w:id="286"/>
      <w:bookmarkEnd w:id="286"/>
      <w:r>
        <w:rPr>
          <w:vertAlign w:val="baseline"/>
        </w:rPr>
        <w:t>must</w:t>
      </w:r>
      <w:r>
        <w:rPr>
          <w:vertAlign w:val="baseline"/>
        </w:rPr>
        <w:t> choose between claiming for his wasted reliance expenditure and claiming for his loss of expected profits, holding that he is not entitled to recover both. </w:t>
      </w:r>
      <w:r>
        <w:rPr>
          <w:color w:val="005DA1"/>
          <w:u w:val="single" w:color="005DA1"/>
          <w:vertAlign w:val="superscript"/>
        </w:rPr>
        <w:t>169</w:t>
      </w:r>
      <w:r>
        <w:rPr>
          <w:color w:val="005DA1"/>
          <w:vertAlign w:val="baseline"/>
        </w:rPr>
        <w:t> </w:t>
      </w:r>
      <w:r>
        <w:rPr>
          <w:vertAlign w:val="baseline"/>
        </w:rPr>
        <w:t>This position is correct if it is </w:t>
      </w:r>
      <w:bookmarkStart w:name="_bookmark285" w:id="287"/>
      <w:bookmarkEnd w:id="287"/>
      <w:r>
        <w:rPr>
          <w:vertAlign w:val="baseline"/>
        </w:rPr>
        <w:t>interpreted</w:t>
      </w:r>
      <w:r>
        <w:rPr>
          <w:vertAlign w:val="baseline"/>
        </w:rPr>
        <w:t> to mean that the claimant should not recover both his gross return or profits expected under</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(or</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activity</w:t>
      </w:r>
      <w:r>
        <w:rPr>
          <w:spacing w:val="-2"/>
          <w:vertAlign w:val="baseline"/>
        </w:rPr>
        <w:t> </w:t>
      </w:r>
      <w:r>
        <w:rPr>
          <w:vertAlign w:val="baseline"/>
        </w:rPr>
        <w:t>in</w:t>
      </w:r>
      <w:r>
        <w:rPr>
          <w:spacing w:val="-2"/>
          <w:vertAlign w:val="baseline"/>
        </w:rPr>
        <w:t> </w:t>
      </w:r>
      <w:r>
        <w:rPr>
          <w:vertAlign w:val="baseline"/>
        </w:rPr>
        <w:t>question)</w:t>
      </w:r>
      <w:r>
        <w:rPr>
          <w:spacing w:val="-3"/>
          <w:vertAlign w:val="baseline"/>
        </w:rPr>
        <w:t> </w:t>
      </w:r>
      <w:r>
        <w:rPr>
          <w:color w:val="005DA1"/>
          <w:u w:val="single" w:color="005DA1"/>
          <w:vertAlign w:val="superscript"/>
        </w:rPr>
        <w:t>170</w:t>
      </w:r>
      <w:r>
        <w:rPr>
          <w:color w:val="005DA1"/>
          <w:spacing w:val="-2"/>
          <w:vertAlign w:val="baseline"/>
        </w:rPr>
        <w:t> </w:t>
      </w:r>
      <w:r>
        <w:rPr>
          <w:vertAlign w:val="baseline"/>
        </w:rPr>
        <w:t>and</w:t>
      </w:r>
      <w:r>
        <w:rPr>
          <w:spacing w:val="-2"/>
          <w:vertAlign w:val="baseline"/>
        </w:rPr>
        <w:t> </w:t>
      </w:r>
      <w:r>
        <w:rPr>
          <w:vertAlign w:val="baseline"/>
        </w:rPr>
        <w:t>also</w:t>
      </w:r>
      <w:r>
        <w:rPr>
          <w:spacing w:val="-2"/>
          <w:vertAlign w:val="baseline"/>
        </w:rPr>
        <w:t> </w:t>
      </w:r>
      <w:r>
        <w:rPr>
          <w:vertAlign w:val="baseline"/>
        </w:rPr>
        <w:t>the</w:t>
      </w:r>
      <w:r>
        <w:rPr>
          <w:spacing w:val="-2"/>
          <w:vertAlign w:val="baseline"/>
        </w:rPr>
        <w:t> </w:t>
      </w:r>
      <w:r>
        <w:rPr>
          <w:vertAlign w:val="baseline"/>
        </w:rPr>
        <w:t>(now</w:t>
      </w:r>
      <w:r>
        <w:rPr>
          <w:spacing w:val="-2"/>
          <w:vertAlign w:val="baseline"/>
        </w:rPr>
        <w:t> </w:t>
      </w:r>
      <w:r>
        <w:rPr>
          <w:vertAlign w:val="baseline"/>
        </w:rPr>
        <w:t>wasted)</w:t>
      </w:r>
      <w:r>
        <w:rPr>
          <w:spacing w:val="-2"/>
          <w:vertAlign w:val="baseline"/>
        </w:rPr>
        <w:t> </w:t>
      </w:r>
      <w:r>
        <w:rPr>
          <w:vertAlign w:val="baseline"/>
        </w:rPr>
        <w:t>expenditure</w:t>
      </w:r>
      <w:r>
        <w:rPr>
          <w:spacing w:val="-2"/>
          <w:vertAlign w:val="baseline"/>
        </w:rPr>
        <w:t> </w:t>
      </w:r>
      <w:r>
        <w:rPr>
          <w:vertAlign w:val="baseline"/>
        </w:rPr>
        <w:t>incurred in</w:t>
      </w:r>
      <w:r>
        <w:rPr>
          <w:spacing w:val="16"/>
          <w:vertAlign w:val="baseline"/>
        </w:rPr>
        <w:t> </w:t>
      </w:r>
      <w:r>
        <w:rPr>
          <w:vertAlign w:val="baseline"/>
        </w:rPr>
        <w:t>reliance</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contract</w:t>
      </w:r>
      <w:r>
        <w:rPr>
          <w:spacing w:val="16"/>
          <w:vertAlign w:val="baseline"/>
        </w:rPr>
        <w:t> </w:t>
      </w:r>
      <w:r>
        <w:rPr>
          <w:vertAlign w:val="baseline"/>
        </w:rPr>
        <w:t>which</w:t>
      </w:r>
      <w:r>
        <w:rPr>
          <w:spacing w:val="16"/>
          <w:vertAlign w:val="baseline"/>
        </w:rPr>
        <w:t> </w:t>
      </w:r>
      <w:r>
        <w:rPr>
          <w:vertAlign w:val="baseline"/>
        </w:rPr>
        <w:t>he</w:t>
      </w:r>
      <w:r>
        <w:rPr>
          <w:spacing w:val="16"/>
          <w:vertAlign w:val="baseline"/>
        </w:rPr>
        <w:t> </w:t>
      </w:r>
      <w:r>
        <w:rPr>
          <w:vertAlign w:val="baseline"/>
        </w:rPr>
        <w:t>had</w:t>
      </w:r>
      <w:r>
        <w:rPr>
          <w:spacing w:val="16"/>
          <w:vertAlign w:val="baseline"/>
        </w:rPr>
        <w:t> </w:t>
      </w:r>
      <w:r>
        <w:rPr>
          <w:vertAlign w:val="baseline"/>
        </w:rPr>
        <w:t>intended</w:t>
      </w:r>
      <w:r>
        <w:rPr>
          <w:spacing w:val="16"/>
          <w:vertAlign w:val="baseline"/>
        </w:rPr>
        <w:t> </w:t>
      </w:r>
      <w:r>
        <w:rPr>
          <w:vertAlign w:val="baseline"/>
        </w:rPr>
        <w:t>to</w:t>
      </w:r>
      <w:r>
        <w:rPr>
          <w:spacing w:val="16"/>
          <w:vertAlign w:val="baseline"/>
        </w:rPr>
        <w:t> </w:t>
      </w:r>
      <w:r>
        <w:rPr>
          <w:vertAlign w:val="baseline"/>
        </w:rPr>
        <w:t>meet</w:t>
      </w:r>
      <w:r>
        <w:rPr>
          <w:spacing w:val="16"/>
          <w:vertAlign w:val="baseline"/>
        </w:rPr>
        <w:t> </w:t>
      </w:r>
      <w:r>
        <w:rPr>
          <w:vertAlign w:val="baseline"/>
        </w:rPr>
        <w:t>from</w:t>
      </w:r>
      <w:r>
        <w:rPr>
          <w:spacing w:val="16"/>
          <w:vertAlign w:val="baseline"/>
        </w:rPr>
        <w:t> </w:t>
      </w:r>
      <w:r>
        <w:rPr>
          <w:vertAlign w:val="baseline"/>
        </w:rPr>
        <w:t>that</w:t>
      </w:r>
      <w:r>
        <w:rPr>
          <w:spacing w:val="16"/>
          <w:vertAlign w:val="baseline"/>
        </w:rPr>
        <w:t> </w:t>
      </w:r>
      <w:r>
        <w:rPr>
          <w:vertAlign w:val="baseline"/>
        </w:rPr>
        <w:t>gross</w:t>
      </w:r>
      <w:r>
        <w:rPr>
          <w:spacing w:val="16"/>
          <w:vertAlign w:val="baseline"/>
        </w:rPr>
        <w:t> </w:t>
      </w:r>
      <w:r>
        <w:rPr>
          <w:vertAlign w:val="baseline"/>
        </w:rPr>
        <w:t>return.</w:t>
      </w:r>
      <w:r>
        <w:rPr>
          <w:spacing w:val="16"/>
          <w:vertAlign w:val="baseline"/>
        </w:rPr>
        <w:t> </w:t>
      </w:r>
      <w:r>
        <w:rPr>
          <w:vertAlign w:val="baseline"/>
        </w:rPr>
        <w:t>But</w:t>
      </w:r>
      <w:r>
        <w:rPr>
          <w:spacing w:val="16"/>
          <w:vertAlign w:val="baseline"/>
        </w:rPr>
        <w:t> </w:t>
      </w:r>
      <w:r>
        <w:rPr>
          <w:vertAlign w:val="baseline"/>
        </w:rPr>
        <w:t>it</w:t>
      </w:r>
      <w:r>
        <w:rPr>
          <w:spacing w:val="16"/>
          <w:vertAlign w:val="baseline"/>
        </w:rPr>
        <w:t> </w:t>
      </w:r>
      <w:r>
        <w:rPr>
          <w:vertAlign w:val="baseline"/>
        </w:rPr>
        <w:t>is</w:t>
      </w:r>
      <w:r>
        <w:rPr>
          <w:spacing w:val="16"/>
          <w:vertAlign w:val="baseline"/>
        </w:rPr>
        <w:t> </w:t>
      </w:r>
      <w:r>
        <w:rPr>
          <w:spacing w:val="-2"/>
          <w:vertAlign w:val="baseline"/>
        </w:rPr>
        <w:t>submitted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86" w:id="288"/>
      <w:bookmarkEnd w:id="288"/>
      <w:r>
        <w:rPr/>
      </w:r>
      <w:r>
        <w:rPr/>
        <w:t>that the ruling against a “split” claim cannot be justified if the claimant can show that there is no overlapping between the two claims. </w:t>
      </w:r>
      <w:r>
        <w:rPr>
          <w:color w:val="005DA1"/>
          <w:u w:val="single" w:color="005DA1"/>
          <w:vertAlign w:val="superscript"/>
        </w:rPr>
        <w:t>171</w:t>
      </w:r>
    </w:p>
    <w:p>
      <w:pPr>
        <w:pStyle w:val="BodyText"/>
      </w:pPr>
    </w:p>
    <w:p>
      <w:pPr>
        <w:pStyle w:val="BodyText"/>
        <w:spacing w:before="38"/>
      </w:pPr>
    </w:p>
    <w:p>
      <w:pPr>
        <w:spacing w:before="0"/>
        <w:ind w:left="165" w:right="0" w:firstLine="0"/>
        <w:jc w:val="both"/>
        <w:rPr>
          <w:rFonts w:ascii="Arial"/>
          <w:b/>
          <w:sz w:val="18"/>
        </w:rPr>
      </w:pPr>
      <w:r>
        <w:rPr>
          <w:rFonts w:ascii="Arial"/>
          <w:b/>
          <w:sz w:val="18"/>
        </w:rPr>
        <w:t>Expenditure incurred before making the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030</w:t>
      </w:r>
    </w:p>
    <w:p>
      <w:pPr>
        <w:pStyle w:val="BodyText"/>
        <w:spacing w:line="235" w:lineRule="auto" w:before="203"/>
        <w:ind w:left="164" w:right="167"/>
        <w:jc w:val="both"/>
      </w:pPr>
      <w:r>
        <w:rPr/>
        <w:t>The claimant may incur expense before entering the contract, but in the expectation that if such </w:t>
      </w:r>
      <w:r>
        <w:rPr/>
        <w:t>a contract is made, the expenditure will be needed to enable him to perform the contract (or to undertake the activity of which the expected contract will form part), and that he will be able to recoup the expenditure from the benefit of the defendant’s performance of that contract (e.g. the price) or from the profits he expects to make from the activity in question. If, at the time of contracting, it was within the reasonable contemplation of the parties that the claimant would be able to recoup this </w:t>
      </w:r>
      <w:bookmarkStart w:name="_bookmark287" w:id="289"/>
      <w:bookmarkEnd w:id="289"/>
      <w:r>
        <w:rPr/>
        <w:t>expenditure</w:t>
      </w:r>
      <w:r>
        <w:rPr/>
        <w:t> in this way, but that it will not be recouped if the contract is broken in the way in which it was, he may recover damages for any wasted </w:t>
      </w:r>
      <w:r>
        <w:rPr>
          <w:color w:val="005DA1"/>
          <w:u w:val="single" w:color="005DA1"/>
          <w:vertAlign w:val="superscript"/>
        </w:rPr>
        <w:t>172</w:t>
      </w:r>
      <w:r>
        <w:rPr>
          <w:color w:val="005DA1"/>
          <w:vertAlign w:val="baseline"/>
        </w:rPr>
        <w:t> </w:t>
      </w:r>
      <w:r>
        <w:rPr>
          <w:vertAlign w:val="baseline"/>
        </w:rPr>
        <w:t>part of the expenditure arising from the breach. </w:t>
      </w:r>
      <w:r>
        <w:rPr>
          <w:color w:val="005DA1"/>
          <w:u w:val="single" w:color="005DA1"/>
          <w:vertAlign w:val="superscript"/>
        </w:rPr>
        <w:t>173</w:t>
      </w:r>
      <w:r>
        <w:rPr>
          <w:color w:val="005DA1"/>
          <w:vertAlign w:val="baseline"/>
        </w:rPr>
        <w:t> </w:t>
      </w:r>
      <w:r>
        <w:rPr>
          <w:vertAlign w:val="baseline"/>
        </w:rPr>
        <w:t>For instance, the overhead costs (premises, staff, etc.) will often be incurred by the claimant before</w:t>
      </w:r>
      <w:r>
        <w:rPr>
          <w:spacing w:val="80"/>
          <w:vertAlign w:val="baseline"/>
        </w:rPr>
        <w:t> </w:t>
      </w:r>
      <w:bookmarkStart w:name="_bookmark288" w:id="290"/>
      <w:bookmarkEnd w:id="290"/>
      <w:r>
        <w:rPr>
          <w:vertAlign w:val="baseline"/>
        </w:rPr>
        <w:t>he</w:t>
      </w:r>
      <w:r>
        <w:rPr>
          <w:spacing w:val="-2"/>
          <w:vertAlign w:val="baseline"/>
        </w:rPr>
        <w:t> </w:t>
      </w:r>
      <w:r>
        <w:rPr>
          <w:vertAlign w:val="baseline"/>
        </w:rPr>
        <w:t>makes</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contract:</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when</w:t>
      </w:r>
      <w:r>
        <w:rPr>
          <w:spacing w:val="-2"/>
          <w:vertAlign w:val="baseline"/>
        </w:rPr>
        <w:t> </w:t>
      </w:r>
      <w:r>
        <w:rPr>
          <w:vertAlign w:val="baseline"/>
        </w:rPr>
        <w:t>entering</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can</w:t>
      </w:r>
      <w:r>
        <w:rPr>
          <w:spacing w:val="-2"/>
          <w:vertAlign w:val="baseline"/>
        </w:rPr>
        <w:t> </w:t>
      </w:r>
      <w:r>
        <w:rPr>
          <w:vertAlign w:val="baseline"/>
        </w:rPr>
        <w:t>easily</w:t>
      </w:r>
      <w:r>
        <w:rPr>
          <w:spacing w:val="-2"/>
          <w:vertAlign w:val="baseline"/>
        </w:rPr>
        <w:t> </w:t>
      </w:r>
      <w:r>
        <w:rPr>
          <w:vertAlign w:val="baseline"/>
        </w:rPr>
        <w:t>contemplate that the claimant will expect to recoup from it a contribution towards overheads. </w:t>
      </w:r>
      <w:r>
        <w:rPr>
          <w:color w:val="005DA1"/>
          <w:u w:val="single" w:color="005DA1"/>
          <w:vertAlign w:val="superscript"/>
        </w:rPr>
        <w:t>174</w:t>
      </w:r>
    </w:p>
    <w:p>
      <w:pPr>
        <w:pStyle w:val="BodyText"/>
      </w:pPr>
    </w:p>
    <w:p>
      <w:pPr>
        <w:pStyle w:val="BodyText"/>
        <w:spacing w:before="34"/>
      </w:pPr>
    </w:p>
    <w:p>
      <w:pPr>
        <w:spacing w:before="1"/>
        <w:ind w:left="165" w:right="0" w:firstLine="0"/>
        <w:jc w:val="left"/>
        <w:rPr>
          <w:rFonts w:ascii="Arial" w:hAnsi="Arial"/>
          <w:b/>
          <w:sz w:val="18"/>
        </w:rPr>
      </w:pPr>
      <w:r>
        <w:rPr>
          <w:rFonts w:ascii="Arial" w:hAnsi="Arial"/>
          <w:b/>
          <w:sz w:val="18"/>
        </w:rPr>
        <w:t>Damages assessed on a “no transaction” </w:t>
      </w:r>
      <w:r>
        <w:rPr>
          <w:rFonts w:ascii="Arial" w:hAnsi="Arial"/>
          <w:b/>
          <w:spacing w:val="-2"/>
          <w:sz w:val="18"/>
        </w:rPr>
        <w:t>basis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a limited number of situations, where the claimant claims that he would not have entered into a particular transaction but for the defendant’s negligent advice (or failure to advise), his damages have </w:t>
      </w:r>
      <w:bookmarkStart w:name="_bookmark289" w:id="291"/>
      <w:bookmarkEnd w:id="291"/>
      <w:r>
        <w:rPr/>
        <w:t>been</w:t>
      </w:r>
      <w:r>
        <w:rPr/>
        <w:t> assessed at the amount needed to restore him to the position he would have been in if he </w:t>
      </w:r>
      <w:r>
        <w:rPr/>
        <w:t>had never entered the transaction. </w:t>
      </w:r>
      <w:r>
        <w:rPr>
          <w:color w:val="005DA1"/>
          <w:u w:val="single" w:color="005DA1"/>
          <w:vertAlign w:val="superscript"/>
        </w:rPr>
        <w:t>175</w:t>
      </w:r>
      <w:r>
        <w:rPr>
          <w:color w:val="005DA1"/>
          <w:vertAlign w:val="baseline"/>
        </w:rPr>
        <w:t> </w:t>
      </w:r>
      <w:r>
        <w:rPr>
          <w:vertAlign w:val="baseline"/>
        </w:rPr>
        <w:t>So in </w:t>
      </w:r>
      <w:r>
        <w:rPr>
          <w:rFonts w:ascii="Arial" w:hAnsi="Arial"/>
          <w:i/>
          <w:vertAlign w:val="baseline"/>
        </w:rPr>
        <w:t>Hayes v Dodd </w:t>
      </w:r>
      <w:r>
        <w:rPr>
          <w:color w:val="005DA1"/>
          <w:u w:val="single" w:color="005DA1"/>
          <w:vertAlign w:val="superscript"/>
        </w:rPr>
        <w:t>176</w:t>
      </w:r>
      <w:r>
        <w:rPr>
          <w:color w:val="005DA1"/>
          <w:vertAlign w:val="baseline"/>
        </w:rPr>
        <w:t> </w:t>
      </w:r>
      <w:r>
        <w:rPr>
          <w:vertAlign w:val="baseline"/>
        </w:rPr>
        <w:t>a solicitor negligently advised the plaintiff that he had a right of way to give access to the leasehold property he proposed to acquire as a site</w:t>
      </w:r>
      <w:r>
        <w:rPr>
          <w:spacing w:val="80"/>
          <w:vertAlign w:val="baseline"/>
        </w:rPr>
        <w:t> </w:t>
      </w:r>
      <w:r>
        <w:rPr>
          <w:vertAlign w:val="baseline"/>
        </w:rPr>
        <w:t>for his business. There was no legally enforceable vehicular right of way and the business failed through the lack of adequate access. Damages were assessed on the “no transaction” basis viz all</w:t>
      </w:r>
      <w:r>
        <w:rPr>
          <w:spacing w:val="40"/>
          <w:vertAlign w:val="baseline"/>
        </w:rPr>
        <w:t> </w:t>
      </w:r>
      <w:r>
        <w:rPr>
          <w:vertAlign w:val="baseline"/>
        </w:rPr>
        <w:t>the wasted expenditure incurred by the plaintiff (the initial cost of the lease and goodwill, rent, rates, insurance, bank interest and other expenses wasted until the time he reasonably gave up the </w:t>
      </w:r>
      <w:bookmarkStart w:name="_bookmark290" w:id="292"/>
      <w:bookmarkEnd w:id="292"/>
      <w:r>
        <w:rPr>
          <w:vertAlign w:val="baseline"/>
        </w:rPr>
        <w:t>business)</w:t>
      </w:r>
      <w:r>
        <w:rPr>
          <w:spacing w:val="35"/>
          <w:vertAlign w:val="baseline"/>
        </w:rPr>
        <w:t> </w:t>
      </w:r>
      <w:r>
        <w:rPr>
          <w:rFonts w:ascii="Arial" w:hAnsi="Arial"/>
          <w:i/>
          <w:vertAlign w:val="baseline"/>
        </w:rPr>
        <w:t>less</w:t>
      </w:r>
      <w:r>
        <w:rPr>
          <w:rFonts w:ascii="Arial" w:hAnsi="Arial"/>
          <w:i/>
          <w:spacing w:val="35"/>
          <w:vertAlign w:val="baseline"/>
        </w:rPr>
        <w:t> </w:t>
      </w:r>
      <w:r>
        <w:rPr>
          <w:vertAlign w:val="baseline"/>
        </w:rPr>
        <w:t>the</w:t>
      </w:r>
      <w:r>
        <w:rPr>
          <w:spacing w:val="35"/>
          <w:vertAlign w:val="baseline"/>
        </w:rPr>
        <w:t> </w:t>
      </w:r>
      <w:r>
        <w:rPr>
          <w:vertAlign w:val="baseline"/>
        </w:rPr>
        <w:t>amounts</w:t>
      </w:r>
      <w:r>
        <w:rPr>
          <w:spacing w:val="35"/>
          <w:vertAlign w:val="baseline"/>
        </w:rPr>
        <w:t> </w:t>
      </w:r>
      <w:r>
        <w:rPr>
          <w:vertAlign w:val="baseline"/>
        </w:rPr>
        <w:t>recovered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plaintiff</w:t>
      </w:r>
      <w:r>
        <w:rPr>
          <w:spacing w:val="35"/>
          <w:vertAlign w:val="baseline"/>
        </w:rPr>
        <w:t> </w:t>
      </w:r>
      <w:r>
        <w:rPr>
          <w:vertAlign w:val="baseline"/>
        </w:rPr>
        <w:t>through</w:t>
      </w:r>
      <w:r>
        <w:rPr>
          <w:spacing w:val="35"/>
          <w:vertAlign w:val="baseline"/>
        </w:rPr>
        <w:t> </w:t>
      </w:r>
      <w:r>
        <w:rPr>
          <w:vertAlign w:val="baseline"/>
        </w:rPr>
        <w:t>selling</w:t>
      </w:r>
      <w:r>
        <w:rPr>
          <w:spacing w:val="35"/>
          <w:vertAlign w:val="baseline"/>
        </w:rPr>
        <w:t> </w:t>
      </w:r>
      <w:r>
        <w:rPr>
          <w:vertAlign w:val="baseline"/>
        </w:rPr>
        <w:t>the</w:t>
      </w:r>
      <w:r>
        <w:rPr>
          <w:spacing w:val="35"/>
          <w:vertAlign w:val="baseline"/>
        </w:rPr>
        <w:t> </w:t>
      </w:r>
      <w:r>
        <w:rPr>
          <w:vertAlign w:val="baseline"/>
        </w:rPr>
        <w:t>lease</w:t>
      </w:r>
      <w:r>
        <w:rPr>
          <w:spacing w:val="35"/>
          <w:vertAlign w:val="baseline"/>
        </w:rPr>
        <w:t> </w:t>
      </w:r>
      <w:r>
        <w:rPr>
          <w:vertAlign w:val="baseline"/>
        </w:rPr>
        <w:t>and</w:t>
      </w:r>
      <w:r>
        <w:rPr>
          <w:spacing w:val="35"/>
          <w:vertAlign w:val="baseline"/>
        </w:rPr>
        <w:t> </w:t>
      </w:r>
      <w:r>
        <w:rPr>
          <w:vertAlign w:val="baseline"/>
        </w:rPr>
        <w:t>his</w:t>
      </w:r>
      <w:r>
        <w:rPr>
          <w:spacing w:val="35"/>
          <w:vertAlign w:val="baseline"/>
        </w:rPr>
        <w:t> </w:t>
      </w:r>
      <w:r>
        <w:rPr>
          <w:vertAlign w:val="baseline"/>
        </w:rPr>
        <w:t>plant</w:t>
      </w:r>
      <w:r>
        <w:rPr>
          <w:spacing w:val="35"/>
          <w:vertAlign w:val="baseline"/>
        </w:rPr>
        <w:t> </w:t>
      </w:r>
      <w:r>
        <w:rPr>
          <w:spacing w:val="-4"/>
          <w:vertAlign w:val="baseline"/>
        </w:rPr>
        <w:t>(the</w:t>
      </w:r>
    </w:p>
    <w:p>
      <w:pPr>
        <w:pStyle w:val="BodyText"/>
        <w:spacing w:line="235" w:lineRule="auto" w:before="117"/>
        <w:ind w:left="165" w:right="166"/>
        <w:jc w:val="both"/>
      </w:pPr>
      <w:r>
        <w:rPr/>
        <w:t>mitigation rules applied). In </w:t>
      </w:r>
      <w:r>
        <w:rPr>
          <w:rFonts w:ascii="Arial"/>
          <w:i/>
        </w:rPr>
        <w:t>South Australia Asset Management Corp v York Montague Ltd </w:t>
      </w:r>
      <w:r>
        <w:rPr>
          <w:color w:val="005DA1"/>
          <w:u w:val="single" w:color="005DA1"/>
          <w:vertAlign w:val="superscript"/>
        </w:rPr>
        <w:t>177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9"/>
          <w:vertAlign w:val="baseline"/>
        </w:rPr>
        <w:t> </w:t>
      </w:r>
      <w:r>
        <w:rPr>
          <w:vertAlign w:val="baseline"/>
        </w:rPr>
        <w:t>the question was whether a valuer who is employed by a potential secured lender and who </w:t>
      </w:r>
      <w:r>
        <w:rPr>
          <w:vertAlign w:val="baseline"/>
        </w:rPr>
        <w:t>negligently over-values the property offered as security is liable not only for the difference between the negligent valuation of the property and its actual value at the time but for the whole loss suffered by the</w:t>
      </w:r>
      <w:r>
        <w:rPr>
          <w:spacing w:val="40"/>
          <w:vertAlign w:val="baseline"/>
        </w:rPr>
        <w:t> </w:t>
      </w:r>
      <w:bookmarkStart w:name="_bookmark291" w:id="293"/>
      <w:bookmarkEnd w:id="293"/>
      <w:r>
        <w:rPr>
          <w:vertAlign w:val="baseline"/>
        </w:rPr>
        <w:t>claimant</w:t>
      </w:r>
      <w:r>
        <w:rPr>
          <w:spacing w:val="18"/>
          <w:vertAlign w:val="baseline"/>
        </w:rPr>
        <w:t> </w:t>
      </w:r>
      <w:r>
        <w:rPr>
          <w:vertAlign w:val="baseline"/>
        </w:rPr>
        <w:t>if</w:t>
      </w:r>
      <w:r>
        <w:rPr>
          <w:spacing w:val="18"/>
          <w:vertAlign w:val="baseline"/>
        </w:rPr>
        <w:t> </w:t>
      </w:r>
      <w:r>
        <w:rPr>
          <w:vertAlign w:val="baseline"/>
        </w:rPr>
        <w:t>the</w:t>
      </w:r>
      <w:r>
        <w:rPr>
          <w:spacing w:val="18"/>
          <w:vertAlign w:val="baseline"/>
        </w:rPr>
        <w:t> </w:t>
      </w:r>
      <w:r>
        <w:rPr>
          <w:vertAlign w:val="baseline"/>
        </w:rPr>
        <w:t>property</w:t>
      </w:r>
      <w:r>
        <w:rPr>
          <w:spacing w:val="18"/>
          <w:vertAlign w:val="baseline"/>
        </w:rPr>
        <w:t> </w:t>
      </w:r>
      <w:r>
        <w:rPr>
          <w:vertAlign w:val="baseline"/>
        </w:rPr>
        <w:t>market</w:t>
      </w:r>
      <w:r>
        <w:rPr>
          <w:spacing w:val="18"/>
          <w:vertAlign w:val="baseline"/>
        </w:rPr>
        <w:t> </w:t>
      </w:r>
      <w:r>
        <w:rPr>
          <w:vertAlign w:val="baseline"/>
        </w:rPr>
        <w:t>falls</w:t>
      </w:r>
      <w:r>
        <w:rPr>
          <w:spacing w:val="18"/>
          <w:vertAlign w:val="baseline"/>
        </w:rPr>
        <w:t> </w:t>
      </w:r>
      <w:r>
        <w:rPr>
          <w:vertAlign w:val="baseline"/>
        </w:rPr>
        <w:t>so</w:t>
      </w:r>
      <w:r>
        <w:rPr>
          <w:spacing w:val="18"/>
          <w:vertAlign w:val="baseline"/>
        </w:rPr>
        <w:t> </w:t>
      </w:r>
      <w:r>
        <w:rPr>
          <w:vertAlign w:val="baseline"/>
        </w:rPr>
        <w:t>that</w:t>
      </w:r>
      <w:r>
        <w:rPr>
          <w:spacing w:val="18"/>
          <w:vertAlign w:val="baseline"/>
        </w:rPr>
        <w:t> </w:t>
      </w:r>
      <w:r>
        <w:rPr>
          <w:vertAlign w:val="baseline"/>
        </w:rPr>
        <w:t>the</w:t>
      </w:r>
      <w:r>
        <w:rPr>
          <w:spacing w:val="18"/>
          <w:vertAlign w:val="baseline"/>
        </w:rPr>
        <w:t> </w:t>
      </w:r>
      <w:r>
        <w:rPr>
          <w:vertAlign w:val="baseline"/>
        </w:rPr>
        <w:t>security</w:t>
      </w:r>
      <w:r>
        <w:rPr>
          <w:spacing w:val="18"/>
          <w:vertAlign w:val="baseline"/>
        </w:rPr>
        <w:t> </w:t>
      </w:r>
      <w:r>
        <w:rPr>
          <w:vertAlign w:val="baseline"/>
        </w:rPr>
        <w:t>becomes</w:t>
      </w:r>
      <w:r>
        <w:rPr>
          <w:spacing w:val="18"/>
          <w:vertAlign w:val="baseline"/>
        </w:rPr>
        <w:t> </w:t>
      </w:r>
      <w:r>
        <w:rPr>
          <w:vertAlign w:val="baseline"/>
        </w:rPr>
        <w:t>even</w:t>
      </w:r>
      <w:r>
        <w:rPr>
          <w:spacing w:val="18"/>
          <w:vertAlign w:val="baseline"/>
        </w:rPr>
        <w:t> </w:t>
      </w:r>
      <w:r>
        <w:rPr>
          <w:vertAlign w:val="baseline"/>
        </w:rPr>
        <w:t>less</w:t>
      </w:r>
      <w:r>
        <w:rPr>
          <w:spacing w:val="18"/>
          <w:vertAlign w:val="baseline"/>
        </w:rPr>
        <w:t> </w:t>
      </w:r>
      <w:r>
        <w:rPr>
          <w:vertAlign w:val="baseline"/>
        </w:rPr>
        <w:t>adequate.</w:t>
      </w:r>
      <w:r>
        <w:rPr>
          <w:spacing w:val="18"/>
          <w:vertAlign w:val="baseline"/>
        </w:rPr>
        <w:t> </w:t>
      </w:r>
      <w:r>
        <w:rPr>
          <w:vertAlign w:val="baseline"/>
        </w:rPr>
        <w:t>The</w:t>
      </w:r>
      <w:r>
        <w:rPr>
          <w:spacing w:val="18"/>
          <w:vertAlign w:val="baseline"/>
        </w:rPr>
        <w:t> </w:t>
      </w:r>
      <w:r>
        <w:rPr>
          <w:vertAlign w:val="baseline"/>
        </w:rPr>
        <w:t>Court</w:t>
      </w:r>
      <w:r>
        <w:rPr>
          <w:spacing w:val="18"/>
          <w:vertAlign w:val="baseline"/>
        </w:rPr>
        <w:t> </w:t>
      </w:r>
      <w:r>
        <w:rPr>
          <w:spacing w:val="-5"/>
          <w:vertAlign w:val="baseline"/>
        </w:rPr>
        <w:t>of</w:t>
      </w:r>
    </w:p>
    <w:p>
      <w:pPr>
        <w:pStyle w:val="BodyText"/>
        <w:spacing w:line="235" w:lineRule="auto" w:before="118"/>
        <w:ind w:left="165" w:right="167"/>
        <w:jc w:val="both"/>
      </w:pPr>
      <w:r>
        <w:rPr/>
        <w:t>Appeal </w:t>
      </w:r>
      <w:r>
        <w:rPr>
          <w:color w:val="005DA1"/>
          <w:u w:val="single" w:color="005DA1"/>
          <w:vertAlign w:val="superscript"/>
        </w:rPr>
        <w:t>178</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3"/>
          <w:vertAlign w:val="baseline"/>
        </w:rPr>
        <w:t> </w:t>
      </w:r>
      <w:r>
        <w:rPr>
          <w:vertAlign w:val="baseline"/>
        </w:rPr>
        <w:t>distinguished between “no transaction” cases, in which the transaction would not have proceeded but for the defendant’s negligence, and “successful transaction” cases in which it would have proceeded but possibly on different terms or for a different amount: once it was proved that the </w:t>
      </w:r>
      <w:bookmarkStart w:name="_bookmark292" w:id="294"/>
      <w:bookmarkEnd w:id="294"/>
      <w:r>
        <w:rPr>
          <w:vertAlign w:val="baseline"/>
        </w:rPr>
        <w:t>lender</w:t>
      </w:r>
      <w:r>
        <w:rPr>
          <w:spacing w:val="13"/>
          <w:vertAlign w:val="baseline"/>
        </w:rPr>
        <w:t> </w:t>
      </w:r>
      <w:r>
        <w:rPr>
          <w:vertAlign w:val="baseline"/>
        </w:rPr>
        <w:t>would</w:t>
      </w:r>
      <w:r>
        <w:rPr>
          <w:spacing w:val="13"/>
          <w:vertAlign w:val="baseline"/>
        </w:rPr>
        <w:t> </w:t>
      </w:r>
      <w:r>
        <w:rPr>
          <w:vertAlign w:val="baseline"/>
        </w:rPr>
        <w:t>not</w:t>
      </w:r>
      <w:r>
        <w:rPr>
          <w:spacing w:val="13"/>
          <w:vertAlign w:val="baseline"/>
        </w:rPr>
        <w:t> </w:t>
      </w:r>
      <w:r>
        <w:rPr>
          <w:vertAlign w:val="baseline"/>
        </w:rPr>
        <w:t>have</w:t>
      </w:r>
      <w:r>
        <w:rPr>
          <w:spacing w:val="13"/>
          <w:vertAlign w:val="baseline"/>
        </w:rPr>
        <w:t> </w:t>
      </w:r>
      <w:r>
        <w:rPr>
          <w:vertAlign w:val="baseline"/>
        </w:rPr>
        <w:t>made</w:t>
      </w:r>
      <w:r>
        <w:rPr>
          <w:spacing w:val="13"/>
          <w:vertAlign w:val="baseline"/>
        </w:rPr>
        <w:t> </w:t>
      </w:r>
      <w:r>
        <w:rPr>
          <w:vertAlign w:val="baseline"/>
        </w:rPr>
        <w:t>the</w:t>
      </w:r>
      <w:r>
        <w:rPr>
          <w:spacing w:val="13"/>
          <w:vertAlign w:val="baseline"/>
        </w:rPr>
        <w:t> </w:t>
      </w:r>
      <w:r>
        <w:rPr>
          <w:vertAlign w:val="baseline"/>
        </w:rPr>
        <w:t>particular</w:t>
      </w:r>
      <w:r>
        <w:rPr>
          <w:spacing w:val="13"/>
          <w:vertAlign w:val="baseline"/>
        </w:rPr>
        <w:t> </w:t>
      </w:r>
      <w:r>
        <w:rPr>
          <w:vertAlign w:val="baseline"/>
        </w:rPr>
        <w:t>loan</w:t>
      </w:r>
      <w:r>
        <w:rPr>
          <w:spacing w:val="13"/>
          <w:vertAlign w:val="baseline"/>
        </w:rPr>
        <w:t> </w:t>
      </w:r>
      <w:r>
        <w:rPr>
          <w:vertAlign w:val="baseline"/>
        </w:rPr>
        <w:t>but</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valuer’s</w:t>
      </w:r>
      <w:r>
        <w:rPr>
          <w:spacing w:val="13"/>
          <w:vertAlign w:val="baseline"/>
        </w:rPr>
        <w:t> </w:t>
      </w:r>
      <w:r>
        <w:rPr>
          <w:vertAlign w:val="baseline"/>
        </w:rPr>
        <w:t>negligence,</w:t>
      </w:r>
      <w:r>
        <w:rPr>
          <w:spacing w:val="13"/>
          <w:vertAlign w:val="baseline"/>
        </w:rPr>
        <w:t> </w:t>
      </w:r>
      <w:r>
        <w:rPr>
          <w:vertAlign w:val="baseline"/>
        </w:rPr>
        <w:t>the</w:t>
      </w:r>
      <w:r>
        <w:rPr>
          <w:spacing w:val="13"/>
          <w:vertAlign w:val="baseline"/>
        </w:rPr>
        <w:t> </w:t>
      </w:r>
      <w:r>
        <w:rPr>
          <w:vertAlign w:val="baseline"/>
        </w:rPr>
        <w:t>valuer</w:t>
      </w:r>
      <w:r>
        <w:rPr>
          <w:spacing w:val="13"/>
          <w:vertAlign w:val="baseline"/>
        </w:rPr>
        <w:t> </w:t>
      </w:r>
      <w:r>
        <w:rPr>
          <w:vertAlign w:val="baseline"/>
        </w:rPr>
        <w:t>was</w:t>
      </w:r>
      <w:r>
        <w:rPr>
          <w:spacing w:val="13"/>
          <w:vertAlign w:val="baseline"/>
        </w:rPr>
        <w:t> </w:t>
      </w:r>
      <w:r>
        <w:rPr>
          <w:spacing w:val="-2"/>
          <w:vertAlign w:val="baseline"/>
        </w:rPr>
        <w:t>liable</w:t>
      </w:r>
    </w:p>
    <w:p>
      <w:pPr>
        <w:pStyle w:val="BodyText"/>
        <w:spacing w:line="235" w:lineRule="auto" w:before="118"/>
        <w:ind w:left="165" w:right="167"/>
        <w:jc w:val="both"/>
      </w:pPr>
      <w:r>
        <w:rPr/>
        <w:t>for</w:t>
      </w:r>
      <w:r>
        <w:rPr>
          <w:spacing w:val="-2"/>
        </w:rPr>
        <w:t> </w:t>
      </w:r>
      <w:r>
        <w:rPr/>
        <w:t>the</w:t>
      </w:r>
      <w:r>
        <w:rPr>
          <w:spacing w:val="-2"/>
        </w:rPr>
        <w:t> </w:t>
      </w:r>
      <w:r>
        <w:rPr/>
        <w:t>entire</w:t>
      </w:r>
      <w:r>
        <w:rPr>
          <w:spacing w:val="-2"/>
        </w:rPr>
        <w:t> </w:t>
      </w:r>
      <w:r>
        <w:rPr/>
        <w:t>loss</w:t>
      </w:r>
      <w:r>
        <w:rPr>
          <w:spacing w:val="-2"/>
        </w:rPr>
        <w:t> </w:t>
      </w:r>
      <w:r>
        <w:rPr/>
        <w:t>flowing</w:t>
      </w:r>
      <w:r>
        <w:rPr>
          <w:spacing w:val="-2"/>
        </w:rPr>
        <w:t> </w:t>
      </w:r>
      <w:r>
        <w:rPr/>
        <w:t>from</w:t>
      </w:r>
      <w:r>
        <w:rPr>
          <w:spacing w:val="-2"/>
        </w:rPr>
        <w:t> </w:t>
      </w:r>
      <w:r>
        <w:rPr/>
        <w:t>the</w:t>
      </w:r>
      <w:r>
        <w:rPr>
          <w:spacing w:val="-2"/>
        </w:rPr>
        <w:t> </w:t>
      </w:r>
      <w:r>
        <w:rPr/>
        <w:t>transaction</w:t>
      </w:r>
      <w:r>
        <w:rPr>
          <w:spacing w:val="-2"/>
        </w:rPr>
        <w:t> </w:t>
      </w:r>
      <w:r>
        <w:rPr/>
        <w:t>so</w:t>
      </w:r>
      <w:r>
        <w:rPr>
          <w:spacing w:val="-2"/>
        </w:rPr>
        <w:t> </w:t>
      </w:r>
      <w:r>
        <w:rPr/>
        <w:t>far</w:t>
      </w:r>
      <w:r>
        <w:rPr>
          <w:spacing w:val="-2"/>
        </w:rPr>
        <w:t> </w:t>
      </w:r>
      <w:r>
        <w:rPr/>
        <w:t>as</w:t>
      </w:r>
      <w:r>
        <w:rPr>
          <w:spacing w:val="-2"/>
        </w:rPr>
        <w:t> </w:t>
      </w:r>
      <w:r>
        <w:rPr/>
        <w:t>it</w:t>
      </w:r>
      <w:r>
        <w:rPr>
          <w:spacing w:val="-2"/>
        </w:rPr>
        <w:t> </w:t>
      </w:r>
      <w:r>
        <w:rPr/>
        <w:t>was</w:t>
      </w:r>
      <w:r>
        <w:rPr>
          <w:spacing w:val="-2"/>
        </w:rPr>
        <w:t> </w:t>
      </w:r>
      <w:r>
        <w:rPr/>
        <w:t>foreseeable.</w:t>
      </w:r>
      <w:r>
        <w:rPr>
          <w:spacing w:val="-2"/>
        </w:rPr>
        <w:t> </w:t>
      </w:r>
      <w:r>
        <w:rPr/>
        <w:t>The</w:t>
      </w:r>
      <w:r>
        <w:rPr>
          <w:spacing w:val="-2"/>
        </w:rPr>
        <w:t> </w:t>
      </w:r>
      <w:r>
        <w:rPr/>
        <w:t>House</w:t>
      </w:r>
      <w:r>
        <w:rPr>
          <w:spacing w:val="-2"/>
        </w:rPr>
        <w:t> </w:t>
      </w:r>
      <w:r>
        <w:rPr/>
        <w:t>of</w:t>
      </w:r>
      <w:r>
        <w:rPr>
          <w:spacing w:val="-2"/>
        </w:rPr>
        <w:t> </w:t>
      </w:r>
      <w:r>
        <w:rPr/>
        <w:t>Lords</w:t>
      </w:r>
      <w:r>
        <w:rPr>
          <w:spacing w:val="-3"/>
        </w:rPr>
        <w:t> </w:t>
      </w:r>
      <w:r>
        <w:rPr>
          <w:color w:val="005DA1"/>
          <w:u w:val="single" w:color="005DA1"/>
          <w:vertAlign w:val="superscript"/>
        </w:rPr>
        <w:t>179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position w:val="-2"/>
          <w:vertAlign w:val="baseline"/>
        </w:rPr>
        <w:t> </w:t>
      </w:r>
      <w:r>
        <w:rPr>
          <w:vertAlign w:val="baseline"/>
        </w:rPr>
        <w:t>disagreed, holding that that the distinction between “no transaction” and “successful transaction” cases should be abandoned. Lord Hoffmann, with whose reasons the other Members of the </w:t>
      </w:r>
      <w:r>
        <w:rPr>
          <w:vertAlign w:val="baseline"/>
        </w:rPr>
        <w:t>Judicial </w:t>
      </w:r>
      <w:bookmarkStart w:name="_bookmark293" w:id="295"/>
      <w:bookmarkEnd w:id="295"/>
      <w:r>
        <w:rPr>
          <w:vertAlign w:val="baseline"/>
        </w:rPr>
        <w:t>Committee</w:t>
      </w:r>
      <w:r>
        <w:rPr>
          <w:spacing w:val="3"/>
          <w:vertAlign w:val="baseline"/>
        </w:rPr>
        <w:t> </w:t>
      </w:r>
      <w:r>
        <w:rPr>
          <w:vertAlign w:val="baseline"/>
        </w:rPr>
        <w:t>agreed,</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starting</w:t>
      </w:r>
      <w:r>
        <w:rPr>
          <w:spacing w:val="3"/>
          <w:vertAlign w:val="baseline"/>
        </w:rPr>
        <w:t> </w:t>
      </w:r>
      <w:r>
        <w:rPr>
          <w:vertAlign w:val="baseline"/>
        </w:rPr>
        <w:t>point</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scope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defendant’s</w:t>
      </w:r>
      <w:r>
        <w:rPr>
          <w:spacing w:val="3"/>
          <w:vertAlign w:val="baseline"/>
        </w:rPr>
        <w:t> </w:t>
      </w:r>
      <w:r>
        <w:rPr>
          <w:vertAlign w:val="baseline"/>
        </w:rPr>
        <w:t>duty</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spacing w:val="-4"/>
          <w:vertAlign w:val="baseline"/>
        </w:rPr>
        <w:t>kind</w:t>
      </w:r>
    </w:p>
    <w:p>
      <w:pPr>
        <w:pStyle w:val="BodyText"/>
        <w:spacing w:before="115"/>
        <w:ind w:left="165"/>
        <w:jc w:val="both"/>
      </w:pPr>
      <w:r>
        <w:rPr/>
        <w:t>of</w:t>
      </w:r>
      <w:r>
        <w:rPr>
          <w:spacing w:val="-2"/>
        </w:rPr>
        <w:t> </w:t>
      </w:r>
      <w:r>
        <w:rPr/>
        <w:t>loss</w:t>
      </w:r>
      <w:r>
        <w:rPr>
          <w:spacing w:val="-1"/>
        </w:rPr>
        <w:t> </w:t>
      </w:r>
      <w:r>
        <w:rPr/>
        <w:t>for</w:t>
      </w:r>
      <w:r>
        <w:rPr>
          <w:spacing w:val="-1"/>
        </w:rPr>
        <w:t> </w:t>
      </w:r>
      <w:r>
        <w:rPr/>
        <w:t>which</w:t>
      </w:r>
      <w:r>
        <w:rPr>
          <w:spacing w:val="-1"/>
        </w:rPr>
        <w:t> </w:t>
      </w:r>
      <w:r>
        <w:rPr/>
        <w:t>the</w:t>
      </w:r>
      <w:r>
        <w:rPr>
          <w:spacing w:val="-1"/>
        </w:rPr>
        <w:t> </w:t>
      </w:r>
      <w:r>
        <w:rPr/>
        <w:t>claimant</w:t>
      </w:r>
      <w:r>
        <w:rPr>
          <w:spacing w:val="-1"/>
        </w:rPr>
        <w:t> </w:t>
      </w:r>
      <w:r>
        <w:rPr/>
        <w:t>is</w:t>
      </w:r>
      <w:r>
        <w:rPr>
          <w:spacing w:val="-2"/>
        </w:rPr>
        <w:t> </w:t>
      </w:r>
      <w:r>
        <w:rPr/>
        <w:t>entitled</w:t>
      </w:r>
      <w:r>
        <w:rPr>
          <w:spacing w:val="-1"/>
        </w:rPr>
        <w:t> </w:t>
      </w:r>
      <w:r>
        <w:rPr/>
        <w:t>to</w:t>
      </w:r>
      <w:r>
        <w:rPr>
          <w:spacing w:val="-1"/>
        </w:rPr>
        <w:t> </w:t>
      </w:r>
      <w:r>
        <w:rPr/>
        <w:t>compensation.</w:t>
      </w:r>
      <w:r>
        <w:rPr>
          <w:spacing w:val="-2"/>
        </w:rPr>
        <w:t> </w:t>
      </w:r>
      <w:r>
        <w:rPr>
          <w:color w:val="005DA1"/>
          <w:u w:val="single" w:color="005DA1"/>
          <w:vertAlign w:val="superscript"/>
        </w:rPr>
        <w:t>180</w:t>
      </w:r>
      <w:r>
        <w:rPr>
          <w:color w:val="005DA1"/>
          <w:spacing w:val="26"/>
          <w:vertAlign w:val="baseline"/>
        </w:rPr>
        <w:t>  </w:t>
      </w:r>
      <w:r>
        <w:rPr>
          <w:color w:val="005DA1"/>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
          <w:vertAlign w:val="baseline"/>
        </w:rPr>
        <w:t> </w:t>
      </w:r>
      <w:r>
        <w:rPr>
          <w:vertAlign w:val="baseline"/>
        </w:rPr>
        <w:t>The</w:t>
      </w:r>
      <w:r>
        <w:rPr>
          <w:spacing w:val="-1"/>
          <w:vertAlign w:val="baseline"/>
        </w:rPr>
        <w:t> </w:t>
      </w:r>
      <w:r>
        <w:rPr>
          <w:spacing w:val="-2"/>
          <w:vertAlign w:val="baseline"/>
        </w:rPr>
        <w:t>principle</w:t>
      </w:r>
    </w:p>
    <w:p>
      <w:pPr>
        <w:pStyle w:val="BodyText"/>
      </w:pPr>
    </w:p>
    <w:p>
      <w:pPr>
        <w:pStyle w:val="BodyText"/>
        <w:spacing w:before="125"/>
      </w:pPr>
    </w:p>
    <w:p>
      <w:pPr>
        <w:pStyle w:val="BodyText"/>
        <w:spacing w:line="235" w:lineRule="auto" w:before="1"/>
        <w:ind w:left="1244" w:right="167"/>
        <w:jc w:val="both"/>
      </w:pPr>
      <w:r>
        <w:rPr/>
        <w:t>“… is that a person under a duty to take reasonable care to provide information on which someone else will decide upon a course of action is, if negligent, not generally </w:t>
      </w:r>
      <w:r>
        <w:rPr/>
        <w:t>regarded as responsible for all the consequences of that course of action. He is responsible only</w:t>
      </w:r>
      <w:r>
        <w:rPr>
          <w:spacing w:val="40"/>
        </w:rPr>
        <w:t> </w:t>
      </w:r>
      <w:r>
        <w:rPr/>
        <w:t>for the consequences of the information being wrong. A duty of care which imposes upon the informant responsibility for losses which would have occurred even if the information which</w:t>
      </w:r>
      <w:r>
        <w:rPr>
          <w:spacing w:val="24"/>
        </w:rPr>
        <w:t> </w:t>
      </w:r>
      <w:r>
        <w:rPr/>
        <w:t>he</w:t>
      </w:r>
      <w:r>
        <w:rPr>
          <w:spacing w:val="24"/>
        </w:rPr>
        <w:t> </w:t>
      </w:r>
      <w:r>
        <w:rPr/>
        <w:t>gave</w:t>
      </w:r>
      <w:r>
        <w:rPr>
          <w:spacing w:val="24"/>
        </w:rPr>
        <w:t> </w:t>
      </w:r>
      <w:r>
        <w:rPr/>
        <w:t>had</w:t>
      </w:r>
      <w:r>
        <w:rPr>
          <w:spacing w:val="24"/>
        </w:rPr>
        <w:t> </w:t>
      </w:r>
      <w:r>
        <w:rPr/>
        <w:t>been</w:t>
      </w:r>
      <w:r>
        <w:rPr>
          <w:spacing w:val="24"/>
        </w:rPr>
        <w:t> </w:t>
      </w:r>
      <w:r>
        <w:rPr/>
        <w:t>correct</w:t>
      </w:r>
      <w:r>
        <w:rPr>
          <w:spacing w:val="24"/>
        </w:rPr>
        <w:t> </w:t>
      </w:r>
      <w:r>
        <w:rPr/>
        <w:t>is</w:t>
      </w:r>
      <w:r>
        <w:rPr>
          <w:spacing w:val="24"/>
        </w:rPr>
        <w:t> </w:t>
      </w:r>
      <w:r>
        <w:rPr/>
        <w:t>not</w:t>
      </w:r>
      <w:r>
        <w:rPr>
          <w:spacing w:val="24"/>
        </w:rPr>
        <w:t> </w:t>
      </w:r>
      <w:r>
        <w:rPr/>
        <w:t>in</w:t>
      </w:r>
      <w:r>
        <w:rPr>
          <w:spacing w:val="24"/>
        </w:rPr>
        <w:t> </w:t>
      </w:r>
      <w:r>
        <w:rPr/>
        <w:t>my</w:t>
      </w:r>
      <w:r>
        <w:rPr>
          <w:spacing w:val="24"/>
        </w:rPr>
        <w:t> </w:t>
      </w:r>
      <w:r>
        <w:rPr/>
        <w:t>view</w:t>
      </w:r>
      <w:r>
        <w:rPr>
          <w:spacing w:val="24"/>
        </w:rPr>
        <w:t> </w:t>
      </w:r>
      <w:r>
        <w:rPr/>
        <w:t>fair</w:t>
      </w:r>
      <w:r>
        <w:rPr>
          <w:spacing w:val="24"/>
        </w:rPr>
        <w:t> </w:t>
      </w:r>
      <w:r>
        <w:rPr/>
        <w:t>and</w:t>
      </w:r>
      <w:r>
        <w:rPr>
          <w:spacing w:val="24"/>
        </w:rPr>
        <w:t> </w:t>
      </w:r>
      <w:r>
        <w:rPr/>
        <w:t>reasonable</w:t>
      </w:r>
      <w:r>
        <w:rPr>
          <w:spacing w:val="24"/>
        </w:rPr>
        <w:t> </w:t>
      </w:r>
      <w:r>
        <w:rPr/>
        <w:t>as</w:t>
      </w:r>
      <w:r>
        <w:rPr>
          <w:spacing w:val="24"/>
        </w:rPr>
        <w:t> </w:t>
      </w:r>
      <w:r>
        <w:rPr/>
        <w:t>between</w:t>
      </w:r>
      <w:r>
        <w:rPr>
          <w:spacing w:val="24"/>
        </w:rPr>
        <w:t> </w:t>
      </w:r>
      <w:r>
        <w:rPr>
          <w:spacing w:val="-5"/>
        </w:rPr>
        <w:t>the</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parties. It is therefore inappropriate either as an implied term of a contract or as a </w:t>
      </w:r>
      <w:r>
        <w:rPr/>
        <w:t>tortious duty arising from the relationship between them. The principle thus stated distinguishes between a duty to </w:t>
      </w:r>
      <w:r>
        <w:rPr>
          <w:rFonts w:ascii="Arial" w:hAnsi="Arial"/>
          <w:i/>
        </w:rPr>
        <w:t>provide information </w:t>
      </w:r>
      <w:r>
        <w:rPr/>
        <w:t>for the purpose of enabling someone else to</w:t>
      </w:r>
      <w:r>
        <w:rPr>
          <w:spacing w:val="40"/>
        </w:rPr>
        <w:t> </w:t>
      </w:r>
      <w:r>
        <w:rPr/>
        <w:t>decide upon a course of action and a duty to </w:t>
      </w:r>
      <w:r>
        <w:rPr>
          <w:rFonts w:ascii="Arial" w:hAnsi="Arial"/>
          <w:i/>
        </w:rPr>
        <w:t>advise </w:t>
      </w:r>
      <w:r>
        <w:rPr/>
        <w:t>someone as to what course of action he should take. If the duty is to advise whether or not a course of action should be taken, the adviser must take reasonable care to consider all the potential consequences of that course of action. If he is negligent, he will therefore be responsible for all the foreseeable loss which is a consequence of that course of action having been taken. If his duty is only to supply information, he must take reasonable care to ensure that the information is </w:t>
      </w:r>
      <w:bookmarkStart w:name="_bookmark294" w:id="296"/>
      <w:bookmarkEnd w:id="296"/>
      <w:r>
        <w:rPr/>
        <w:t>correct</w:t>
      </w:r>
      <w:r>
        <w:rPr/>
        <w:t> and, if he is negligent, will be responsible for all the foreseeable consequences of the information being wrong.” </w:t>
      </w:r>
      <w:r>
        <w:rPr>
          <w:color w:val="005DA1"/>
          <w:u w:val="single" w:color="005DA1"/>
          <w:vertAlign w:val="superscript"/>
        </w:rPr>
        <w:t>181</w:t>
      </w:r>
    </w:p>
    <w:p>
      <w:pPr>
        <w:pStyle w:val="BodyText"/>
      </w:pPr>
    </w:p>
    <w:p>
      <w:pPr>
        <w:pStyle w:val="BodyText"/>
      </w:pPr>
    </w:p>
    <w:p>
      <w:pPr>
        <w:pStyle w:val="BodyText"/>
      </w:pPr>
    </w:p>
    <w:p>
      <w:pPr>
        <w:pStyle w:val="BodyText"/>
        <w:spacing w:before="99"/>
      </w:pPr>
    </w:p>
    <w:p>
      <w:pPr>
        <w:spacing w:line="227" w:lineRule="exact" w:before="0"/>
        <w:ind w:left="395" w:right="0" w:firstLine="0"/>
        <w:jc w:val="both"/>
        <w:rPr>
          <w:sz w:val="20"/>
        </w:rPr>
      </w:pPr>
      <w:r>
        <w:rPr>
          <w:sz w:val="20"/>
        </w:rPr>
        <mc:AlternateContent>
          <mc:Choice Requires="wps">
            <w:drawing>
              <wp:anchor distT="0" distB="0" distL="0" distR="0" allowOverlap="1" layoutInCell="1" locked="0" behindDoc="0" simplePos="0" relativeHeight="15750656">
                <wp:simplePos x="0" y="0"/>
                <wp:positionH relativeFrom="page">
                  <wp:posOffset>914400</wp:posOffset>
                </wp:positionH>
                <wp:positionV relativeFrom="paragraph">
                  <wp:posOffset>28067</wp:posOffset>
                </wp:positionV>
                <wp:extent cx="108585" cy="25146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08585" cy="251460"/>
                          <a:chExt cx="108585" cy="251460"/>
                        </a:xfrm>
                      </wpg:grpSpPr>
                      <pic:pic>
                        <pic:nvPicPr>
                          <pic:cNvPr id="78" name="Image 78"/>
                          <pic:cNvPicPr/>
                        </pic:nvPicPr>
                        <pic:blipFill>
                          <a:blip r:embed="rId6" cstate="print"/>
                          <a:stretch>
                            <a:fillRect/>
                          </a:stretch>
                        </pic:blipFill>
                        <pic:spPr>
                          <a:xfrm>
                            <a:off x="0" y="0"/>
                            <a:ext cx="107988" cy="107988"/>
                          </a:xfrm>
                          <a:prstGeom prst="rect">
                            <a:avLst/>
                          </a:prstGeom>
                        </pic:spPr>
                      </pic:pic>
                      <pic:pic>
                        <pic:nvPicPr>
                          <pic:cNvPr id="79" name="Image 79"/>
                          <pic:cNvPicPr/>
                        </pic:nvPicPr>
                        <pic:blipFill>
                          <a:blip r:embed="rId6" cstate="print"/>
                          <a:stretch>
                            <a:fillRect/>
                          </a:stretch>
                        </pic:blipFill>
                        <pic:spPr>
                          <a:xfrm>
                            <a:off x="0" y="142875"/>
                            <a:ext cx="107988" cy="107988"/>
                          </a:xfrm>
                          <a:prstGeom prst="rect">
                            <a:avLst/>
                          </a:prstGeom>
                        </pic:spPr>
                      </pic:pic>
                    </wpg:wgp>
                  </a:graphicData>
                </a:graphic>
              </wp:anchor>
            </w:drawing>
          </mc:Choice>
          <mc:Fallback>
            <w:pict>
              <v:group style="position:absolute;margin-left:72pt;margin-top:2.210051pt;width:8.550pt;height:19.8pt;mso-position-horizontal-relative:page;mso-position-vertical-relative:paragraph;z-index:15750656" id="docshapegroup22" coordorigin="1440,44" coordsize="171,396">
                <v:shape style="position:absolute;left:1440;top:44;width:171;height:171" type="#_x0000_t75" id="docshape23" stroked="false">
                  <v:imagedata r:id="rId6" o:title=""/>
                </v:shape>
                <v:shape style="position:absolute;left:1440;top:269;width:171;height:171" type="#_x0000_t75" id="docshape24" stroked="false">
                  <v:imagedata r:id="rId6" o:title=""/>
                </v:shape>
                <w10:wrap type="none"/>
              </v:group>
            </w:pict>
          </mc:Fallback>
        </mc:AlternateContent>
      </w:r>
      <w:bookmarkStart w:name="_bookmark295" w:id="297"/>
      <w:bookmarkEnd w:id="297"/>
      <w:r>
        <w:rPr/>
      </w:r>
      <w:bookmarkStart w:name="_bookmark296" w:id="298"/>
      <w:bookmarkEnd w:id="298"/>
      <w:r>
        <w:rPr/>
      </w:r>
      <w:r>
        <w:rPr>
          <w:sz w:val="20"/>
        </w:rPr>
        <w:t>This</w:t>
      </w:r>
      <w:r>
        <w:rPr>
          <w:spacing w:val="2"/>
          <w:sz w:val="20"/>
        </w:rPr>
        <w:t> </w:t>
      </w:r>
      <w:r>
        <w:rPr>
          <w:sz w:val="20"/>
        </w:rPr>
        <w:t>has</w:t>
      </w:r>
      <w:r>
        <w:rPr>
          <w:spacing w:val="3"/>
          <w:sz w:val="20"/>
        </w:rPr>
        <w:t> </w:t>
      </w:r>
      <w:r>
        <w:rPr>
          <w:sz w:val="20"/>
        </w:rPr>
        <w:t>become</w:t>
      </w:r>
      <w:r>
        <w:rPr>
          <w:spacing w:val="3"/>
          <w:sz w:val="20"/>
        </w:rPr>
        <w:t> </w:t>
      </w:r>
      <w:r>
        <w:rPr>
          <w:sz w:val="20"/>
        </w:rPr>
        <w:t>known</w:t>
      </w:r>
      <w:r>
        <w:rPr>
          <w:spacing w:val="3"/>
          <w:sz w:val="20"/>
        </w:rPr>
        <w:t> </w:t>
      </w:r>
      <w:r>
        <w:rPr>
          <w:sz w:val="20"/>
        </w:rPr>
        <w:t>as</w:t>
      </w:r>
      <w:r>
        <w:rPr>
          <w:spacing w:val="3"/>
          <w:sz w:val="20"/>
        </w:rPr>
        <w:t> </w:t>
      </w:r>
      <w:r>
        <w:rPr>
          <w:sz w:val="20"/>
        </w:rPr>
        <w:t>the</w:t>
      </w:r>
      <w:r>
        <w:rPr>
          <w:spacing w:val="3"/>
          <w:sz w:val="20"/>
        </w:rPr>
        <w:t> </w:t>
      </w:r>
      <w:r>
        <w:rPr>
          <w:sz w:val="20"/>
        </w:rPr>
        <w:t>SAAMCo</w:t>
      </w:r>
      <w:r>
        <w:rPr>
          <w:spacing w:val="3"/>
          <w:sz w:val="20"/>
        </w:rPr>
        <w:t> </w:t>
      </w:r>
      <w:r>
        <w:rPr>
          <w:sz w:val="20"/>
        </w:rPr>
        <w:t>principle.</w:t>
      </w:r>
      <w:r>
        <w:rPr>
          <w:spacing w:val="2"/>
          <w:sz w:val="20"/>
        </w:rPr>
        <w:t> </w:t>
      </w:r>
      <w:r>
        <w:rPr>
          <w:color w:val="005DA1"/>
          <w:sz w:val="20"/>
          <w:u w:val="single" w:color="005DA1"/>
          <w:vertAlign w:val="superscript"/>
        </w:rPr>
        <w:t>182</w:t>
      </w:r>
      <w:r>
        <w:rPr>
          <w:color w:val="005DA1"/>
          <w:spacing w:val="33"/>
          <w:sz w:val="20"/>
          <w:vertAlign w:val="baseline"/>
        </w:rPr>
        <w:t>  </w:t>
      </w:r>
      <w:r>
        <w:rPr>
          <w:color w:val="005DA1"/>
          <w:spacing w:val="13"/>
          <w:position w:val="-2"/>
          <w:sz w:val="20"/>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sz w:val="20"/>
          <w:vertAlign w:val="baseline"/>
        </w:rPr>
      </w:r>
      <w:r>
        <w:rPr>
          <w:rFonts w:ascii="Times New Roman"/>
          <w:color w:val="005DA1"/>
          <w:spacing w:val="-4"/>
          <w:sz w:val="20"/>
          <w:vertAlign w:val="baseline"/>
        </w:rPr>
        <w:t> </w:t>
      </w:r>
      <w:r>
        <w:rPr>
          <w:sz w:val="20"/>
          <w:vertAlign w:val="baseline"/>
        </w:rPr>
        <w:t>In</w:t>
      </w:r>
      <w:r>
        <w:rPr>
          <w:spacing w:val="3"/>
          <w:sz w:val="20"/>
          <w:vertAlign w:val="baseline"/>
        </w:rPr>
        <w:t> </w:t>
      </w:r>
      <w:r>
        <w:rPr>
          <w:rFonts w:ascii="Arial"/>
          <w:i/>
          <w:sz w:val="20"/>
          <w:vertAlign w:val="baseline"/>
        </w:rPr>
        <w:t>Hughes-Holland</w:t>
      </w:r>
      <w:r>
        <w:rPr>
          <w:rFonts w:ascii="Arial"/>
          <w:i/>
          <w:spacing w:val="3"/>
          <w:sz w:val="20"/>
          <w:vertAlign w:val="baseline"/>
        </w:rPr>
        <w:t> </w:t>
      </w:r>
      <w:r>
        <w:rPr>
          <w:rFonts w:ascii="Arial"/>
          <w:i/>
          <w:sz w:val="20"/>
          <w:vertAlign w:val="baseline"/>
        </w:rPr>
        <w:t>v</w:t>
      </w:r>
      <w:r>
        <w:rPr>
          <w:rFonts w:ascii="Arial"/>
          <w:i/>
          <w:spacing w:val="3"/>
          <w:sz w:val="20"/>
          <w:vertAlign w:val="baseline"/>
        </w:rPr>
        <w:t> </w:t>
      </w:r>
      <w:r>
        <w:rPr>
          <w:rFonts w:ascii="Arial"/>
          <w:i/>
          <w:sz w:val="20"/>
          <w:vertAlign w:val="baseline"/>
        </w:rPr>
        <w:t>BPE</w:t>
      </w:r>
      <w:r>
        <w:rPr>
          <w:rFonts w:ascii="Arial"/>
          <w:i/>
          <w:spacing w:val="3"/>
          <w:sz w:val="20"/>
          <w:vertAlign w:val="baseline"/>
        </w:rPr>
        <w:t> </w:t>
      </w:r>
      <w:r>
        <w:rPr>
          <w:rFonts w:ascii="Arial"/>
          <w:i/>
          <w:sz w:val="20"/>
          <w:vertAlign w:val="baseline"/>
        </w:rPr>
        <w:t>Solicitors</w:t>
      </w:r>
      <w:r>
        <w:rPr>
          <w:rFonts w:ascii="Arial"/>
          <w:i/>
          <w:spacing w:val="2"/>
          <w:sz w:val="20"/>
          <w:vertAlign w:val="baseline"/>
        </w:rPr>
        <w:t> </w:t>
      </w:r>
      <w:r>
        <w:rPr>
          <w:color w:val="005DA1"/>
          <w:spacing w:val="-5"/>
          <w:sz w:val="20"/>
          <w:u w:val="single" w:color="005DA1"/>
          <w:vertAlign w:val="superscript"/>
        </w:rPr>
        <w:t>183</w:t>
      </w:r>
    </w:p>
    <w:p>
      <w:pPr>
        <w:pStyle w:val="BodyText"/>
        <w:spacing w:line="235" w:lineRule="auto" w:before="1"/>
        <w:ind w:left="165" w:right="167" w:firstLine="248"/>
        <w:jc w:val="both"/>
      </w:pPr>
      <w:r>
        <w:rPr/>
        <w:t>the Supreme Court confirmed where the defendant’s duty was to advise on the transaction as a whole, the claimant is in principle entitled to recover its full loss from entering the transaction;</w:t>
      </w:r>
      <w:r>
        <w:rPr>
          <w:spacing w:val="80"/>
        </w:rPr>
        <w:t> </w:t>
      </w:r>
      <w:r>
        <w:rPr/>
        <w:t>whereas where the duty was only to provide information on which the claimant was to base its decision,</w:t>
      </w:r>
      <w:r>
        <w:rPr>
          <w:spacing w:val="-1"/>
        </w:rPr>
        <w:t> </w:t>
      </w:r>
      <w:r>
        <w:rPr/>
        <w:t>even</w:t>
      </w:r>
      <w:r>
        <w:rPr>
          <w:spacing w:val="-1"/>
        </w:rPr>
        <w:t> </w:t>
      </w:r>
      <w:r>
        <w:rPr/>
        <w:t>if</w:t>
      </w:r>
      <w:r>
        <w:rPr>
          <w:spacing w:val="-1"/>
        </w:rPr>
        <w:t> </w:t>
      </w:r>
      <w:r>
        <w:rPr/>
        <w:t>the</w:t>
      </w:r>
      <w:r>
        <w:rPr>
          <w:spacing w:val="-1"/>
        </w:rPr>
        <w:t> </w:t>
      </w:r>
      <w:r>
        <w:rPr/>
        <w:t>information</w:t>
      </w:r>
      <w:r>
        <w:rPr>
          <w:spacing w:val="-1"/>
        </w:rPr>
        <w:t> </w:t>
      </w:r>
      <w:r>
        <w:rPr/>
        <w:t>was</w:t>
      </w:r>
      <w:r>
        <w:rPr>
          <w:spacing w:val="-1"/>
        </w:rPr>
        <w:t> </w:t>
      </w:r>
      <w:r>
        <w:rPr/>
        <w:t>critical</w:t>
      </w:r>
      <w:r>
        <w:rPr>
          <w:spacing w:val="-1"/>
        </w:rPr>
        <w:t> </w:t>
      </w:r>
      <w:r>
        <w:rPr/>
        <w:t>to</w:t>
      </w:r>
      <w:r>
        <w:rPr>
          <w:spacing w:val="-1"/>
        </w:rPr>
        <w:t> </w:t>
      </w:r>
      <w:r>
        <w:rPr/>
        <w:t>the</w:t>
      </w:r>
      <w:r>
        <w:rPr>
          <w:spacing w:val="-1"/>
        </w:rPr>
        <w:t> </w:t>
      </w:r>
      <w:r>
        <w:rPr/>
        <w:t>claimant’s</w:t>
      </w:r>
      <w:r>
        <w:rPr>
          <w:spacing w:val="-1"/>
        </w:rPr>
        <w:t> </w:t>
      </w:r>
      <w:r>
        <w:rPr/>
        <w:t>decision,</w:t>
      </w:r>
      <w:r>
        <w:rPr>
          <w:spacing w:val="-1"/>
        </w:rPr>
        <w:t> </w:t>
      </w:r>
      <w:r>
        <w:rPr/>
        <w:t>the</w:t>
      </w:r>
      <w:r>
        <w:rPr>
          <w:spacing w:val="-1"/>
        </w:rPr>
        <w:t> </w:t>
      </w:r>
      <w:r>
        <w:rPr/>
        <w:t>defendant</w:t>
      </w:r>
      <w:r>
        <w:rPr>
          <w:spacing w:val="-1"/>
        </w:rPr>
        <w:t> </w:t>
      </w:r>
      <w:r>
        <w:rPr/>
        <w:t>may</w:t>
      </w:r>
      <w:r>
        <w:rPr>
          <w:spacing w:val="-1"/>
        </w:rPr>
        <w:t> </w:t>
      </w:r>
      <w:r>
        <w:rPr/>
        <w:t>be</w:t>
      </w:r>
      <w:r>
        <w:rPr>
          <w:spacing w:val="-1"/>
        </w:rPr>
        <w:t> </w:t>
      </w:r>
      <w:r>
        <w:rPr/>
        <w:t>liable</w:t>
      </w:r>
      <w:r>
        <w:rPr>
          <w:spacing w:val="-1"/>
        </w:rPr>
        <w:t> </w:t>
      </w:r>
      <w:r>
        <w:rPr/>
        <w:t>for the financial consequences of its being wrong but not for the financial consequences of the claimant entering into the transaction so far as these are greater. Lord Sumption, with whose judgment the President and other Justices agreed, said:</w:t>
      </w:r>
    </w:p>
    <w:p>
      <w:pPr>
        <w:pStyle w:val="BodyText"/>
      </w:pPr>
    </w:p>
    <w:p>
      <w:pPr>
        <w:pStyle w:val="BodyText"/>
        <w:spacing w:before="124"/>
      </w:pPr>
    </w:p>
    <w:p>
      <w:pPr>
        <w:pStyle w:val="BodyText"/>
        <w:spacing w:line="235" w:lineRule="auto"/>
        <w:ind w:left="1245" w:right="167"/>
        <w:jc w:val="both"/>
      </w:pPr>
      <w:r>
        <w:rPr/>
        <w:t>“In cases falling within Lord Hoffmann’s ‘advice’ category, it is left to the adviser </w:t>
      </w:r>
      <w:r>
        <w:rPr/>
        <w:t>to consider what matters should be taken into account in deciding whether to enter into the transaction. His duty is to consider all relevant matters and not only specific factors in the decision. If one of those matters is negligently ignored or misjudged, and this proves to</w:t>
      </w:r>
      <w:r>
        <w:rPr>
          <w:spacing w:val="80"/>
        </w:rPr>
        <w:t> </w:t>
      </w:r>
      <w:r>
        <w:rPr/>
        <w:t>be critical to the decision, the client will in principle be entitled to recover all loss flowing from the transaction which he should have protected his client against. The House of Lords might have said of the ‘advice’ cases that the client was entitled to the losses flowing from the transaction if they were not just attributable to risks within the scope of the adviser’s duty but to risks which had been negligently assessed by the adviser.</w:t>
      </w:r>
    </w:p>
    <w:p>
      <w:pPr>
        <w:pStyle w:val="BodyText"/>
        <w:spacing w:before="220"/>
      </w:pPr>
    </w:p>
    <w:p>
      <w:pPr>
        <w:pStyle w:val="BodyText"/>
        <w:spacing w:line="235" w:lineRule="auto"/>
        <w:ind w:left="1245" w:right="167"/>
        <w:jc w:val="both"/>
      </w:pPr>
      <w:r>
        <w:rPr/>
        <w:t>By comparison, in the ‘information’ category, a professional adviser contributes a </w:t>
      </w:r>
      <w:r>
        <w:rPr/>
        <w:t>limited part of the material on which his client will rely in deciding whether to enter into a prospective transaction, but the process of identifying the other relevant considerations and the overall assessment of the commercial merits of the transaction are exclusively </w:t>
      </w:r>
      <w:bookmarkStart w:name="_bookmark297" w:id="299"/>
      <w:bookmarkEnd w:id="299"/>
      <w:r>
        <w:rPr/>
        <w:t>matters</w:t>
      </w:r>
      <w:r>
        <w:rPr>
          <w:spacing w:val="16"/>
        </w:rPr>
        <w:t> </w:t>
      </w:r>
      <w:r>
        <w:rPr/>
        <w:t>for</w:t>
      </w:r>
      <w:r>
        <w:rPr>
          <w:spacing w:val="16"/>
        </w:rPr>
        <w:t> </w:t>
      </w:r>
      <w:r>
        <w:rPr/>
        <w:t>the</w:t>
      </w:r>
      <w:r>
        <w:rPr>
          <w:spacing w:val="16"/>
        </w:rPr>
        <w:t> </w:t>
      </w:r>
      <w:r>
        <w:rPr/>
        <w:t>client</w:t>
      </w:r>
      <w:r>
        <w:rPr>
          <w:spacing w:val="16"/>
        </w:rPr>
        <w:t> </w:t>
      </w:r>
      <w:r>
        <w:rPr/>
        <w:t>(or</w:t>
      </w:r>
      <w:r>
        <w:rPr>
          <w:spacing w:val="16"/>
        </w:rPr>
        <w:t> </w:t>
      </w:r>
      <w:r>
        <w:rPr/>
        <w:t>possibly</w:t>
      </w:r>
      <w:r>
        <w:rPr>
          <w:spacing w:val="16"/>
        </w:rPr>
        <w:t> </w:t>
      </w:r>
      <w:r>
        <w:rPr/>
        <w:t>his</w:t>
      </w:r>
      <w:r>
        <w:rPr>
          <w:spacing w:val="16"/>
        </w:rPr>
        <w:t> </w:t>
      </w:r>
      <w:r>
        <w:rPr/>
        <w:t>other</w:t>
      </w:r>
      <w:r>
        <w:rPr>
          <w:spacing w:val="16"/>
        </w:rPr>
        <w:t> </w:t>
      </w:r>
      <w:r>
        <w:rPr/>
        <w:t>advisers).</w:t>
      </w:r>
      <w:r>
        <w:rPr>
          <w:spacing w:val="16"/>
        </w:rPr>
        <w:t> </w:t>
      </w:r>
      <w:r>
        <w:rPr/>
        <w:t>In</w:t>
      </w:r>
      <w:r>
        <w:rPr>
          <w:spacing w:val="16"/>
        </w:rPr>
        <w:t> </w:t>
      </w:r>
      <w:r>
        <w:rPr/>
        <w:t>such</w:t>
      </w:r>
      <w:r>
        <w:rPr>
          <w:spacing w:val="16"/>
        </w:rPr>
        <w:t> </w:t>
      </w:r>
      <w:r>
        <w:rPr/>
        <w:t>a</w:t>
      </w:r>
      <w:r>
        <w:rPr>
          <w:spacing w:val="16"/>
        </w:rPr>
        <w:t> </w:t>
      </w:r>
      <w:r>
        <w:rPr/>
        <w:t>case,</w:t>
      </w:r>
      <w:r>
        <w:rPr>
          <w:spacing w:val="16"/>
        </w:rPr>
        <w:t> </w:t>
      </w:r>
      <w:r>
        <w:rPr/>
        <w:t>as</w:t>
      </w:r>
      <w:r>
        <w:rPr>
          <w:spacing w:val="16"/>
        </w:rPr>
        <w:t> </w:t>
      </w:r>
      <w:r>
        <w:rPr/>
        <w:t>Lord</w:t>
      </w:r>
      <w:r>
        <w:rPr>
          <w:spacing w:val="16"/>
        </w:rPr>
        <w:t> </w:t>
      </w:r>
      <w:r>
        <w:rPr>
          <w:spacing w:val="-2"/>
        </w:rPr>
        <w:t>Hoffmann</w:t>
      </w:r>
    </w:p>
    <w:p>
      <w:pPr>
        <w:pStyle w:val="BodyText"/>
        <w:spacing w:line="235" w:lineRule="auto" w:before="119"/>
        <w:ind w:left="1245" w:right="167"/>
        <w:jc w:val="both"/>
      </w:pPr>
      <w:r>
        <w:rPr/>
        <w:t>explained</w:t>
      </w:r>
      <w:r>
        <w:rPr>
          <w:spacing w:val="-1"/>
        </w:rPr>
        <w:t> </w:t>
      </w:r>
      <w:r>
        <w:rPr/>
        <w:t>in</w:t>
      </w:r>
      <w:r>
        <w:rPr>
          <w:spacing w:val="-1"/>
        </w:rPr>
        <w:t> </w:t>
      </w:r>
      <w:r>
        <w:rPr/>
        <w:t>[</w:t>
      </w:r>
      <w:r>
        <w:rPr>
          <w:rFonts w:ascii="Arial" w:hAnsi="Arial"/>
          <w:i/>
        </w:rPr>
        <w:t>Nykredit</w:t>
      </w:r>
      <w:r>
        <w:rPr>
          <w:rFonts w:ascii="Arial" w:hAnsi="Arial"/>
          <w:i/>
          <w:spacing w:val="-1"/>
        </w:rPr>
        <w:t> </w:t>
      </w:r>
      <w:r>
        <w:rPr>
          <w:rFonts w:ascii="Arial" w:hAnsi="Arial"/>
          <w:i/>
        </w:rPr>
        <w:t>Mortgage</w:t>
      </w:r>
      <w:r>
        <w:rPr>
          <w:rFonts w:ascii="Arial" w:hAnsi="Arial"/>
          <w:i/>
          <w:spacing w:val="-1"/>
        </w:rPr>
        <w:t> </w:t>
      </w:r>
      <w:r>
        <w:rPr>
          <w:rFonts w:ascii="Arial" w:hAnsi="Arial"/>
          <w:i/>
        </w:rPr>
        <w:t>Bank</w:t>
      </w:r>
      <w:r>
        <w:rPr>
          <w:rFonts w:ascii="Arial" w:hAnsi="Arial"/>
          <w:i/>
          <w:spacing w:val="-1"/>
        </w:rPr>
        <w:t> </w:t>
      </w:r>
      <w:r>
        <w:rPr>
          <w:rFonts w:ascii="Arial" w:hAnsi="Arial"/>
          <w:i/>
        </w:rPr>
        <w:t>Plc</w:t>
      </w:r>
      <w:r>
        <w:rPr>
          <w:rFonts w:ascii="Arial" w:hAnsi="Arial"/>
          <w:i/>
          <w:spacing w:val="-1"/>
        </w:rPr>
        <w:t> </w:t>
      </w:r>
      <w:r>
        <w:rPr>
          <w:rFonts w:ascii="Arial" w:hAnsi="Arial"/>
          <w:i/>
        </w:rPr>
        <w:t>v</w:t>
      </w:r>
      <w:r>
        <w:rPr>
          <w:rFonts w:ascii="Arial" w:hAnsi="Arial"/>
          <w:i/>
          <w:spacing w:val="-1"/>
        </w:rPr>
        <w:t> </w:t>
      </w:r>
      <w:r>
        <w:rPr>
          <w:rFonts w:ascii="Arial" w:hAnsi="Arial"/>
          <w:i/>
        </w:rPr>
        <w:t>Edward</w:t>
      </w:r>
      <w:r>
        <w:rPr>
          <w:rFonts w:ascii="Arial" w:hAnsi="Arial"/>
          <w:i/>
          <w:spacing w:val="-1"/>
        </w:rPr>
        <w:t> </w:t>
      </w:r>
      <w:r>
        <w:rPr>
          <w:rFonts w:ascii="Arial" w:hAnsi="Arial"/>
          <w:i/>
        </w:rPr>
        <w:t>Erdman</w:t>
      </w:r>
      <w:r>
        <w:rPr>
          <w:rFonts w:ascii="Arial" w:hAnsi="Arial"/>
          <w:i/>
          <w:spacing w:val="-1"/>
        </w:rPr>
        <w:t> </w:t>
      </w:r>
      <w:r>
        <w:rPr>
          <w:rFonts w:ascii="Arial" w:hAnsi="Arial"/>
          <w:i/>
        </w:rPr>
        <w:t>Group</w:t>
      </w:r>
      <w:r>
        <w:rPr>
          <w:rFonts w:ascii="Arial" w:hAnsi="Arial"/>
          <w:i/>
          <w:spacing w:val="-1"/>
        </w:rPr>
        <w:t> </w:t>
      </w:r>
      <w:r>
        <w:rPr>
          <w:rFonts w:ascii="Arial" w:hAnsi="Arial"/>
          <w:i/>
        </w:rPr>
        <w:t>Ltd</w:t>
      </w:r>
      <w:r>
        <w:rPr>
          <w:rFonts w:ascii="Arial" w:hAnsi="Arial"/>
          <w:i/>
          <w:spacing w:val="-1"/>
        </w:rPr>
        <w:t> </w:t>
      </w:r>
      <w:r>
        <w:rPr>
          <w:rFonts w:ascii="Arial" w:hAnsi="Arial"/>
          <w:i/>
        </w:rPr>
        <w:t>(No.2)</w:t>
      </w:r>
      <w:r>
        <w:rPr>
          <w:rFonts w:ascii="Arial" w:hAnsi="Arial"/>
          <w:i/>
          <w:spacing w:val="-2"/>
        </w:rPr>
        <w:t> </w:t>
      </w:r>
      <w:r>
        <w:rPr>
          <w:color w:val="005DA1"/>
          <w:u w:val="single" w:color="005DA1"/>
          <w:vertAlign w:val="superscript"/>
        </w:rPr>
        <w:t>184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vertAlign w:val="baseline"/>
        </w:rPr>
        <w:t>],</w:t>
      </w:r>
      <w:r>
        <w:rPr>
          <w:spacing w:val="-1"/>
          <w:vertAlign w:val="baseline"/>
        </w:rPr>
        <w:t> </w:t>
      </w:r>
      <w:r>
        <w:rPr>
          <w:vertAlign w:val="baseline"/>
        </w:rPr>
        <w:t>the defendant’s legal responsibility does not extend to the decision itself. It follows that even</w:t>
      </w:r>
      <w:r>
        <w:rPr>
          <w:spacing w:val="80"/>
          <w:vertAlign w:val="baseline"/>
        </w:rPr>
        <w:t> </w:t>
      </w:r>
      <w:r>
        <w:rPr>
          <w:vertAlign w:val="baseline"/>
        </w:rPr>
        <w:t>if the material which the defendant supplied is known to be critical to the decision to </w:t>
      </w:r>
      <w:r>
        <w:rPr>
          <w:vertAlign w:val="baseline"/>
        </w:rPr>
        <w:t>enter into the transaction, he is liable only for the financial consequences of its being wrong</w:t>
      </w:r>
      <w:r>
        <w:rPr>
          <w:spacing w:val="40"/>
          <w:vertAlign w:val="baseline"/>
        </w:rPr>
        <w:t> </w:t>
      </w:r>
      <w:r>
        <w:rPr>
          <w:vertAlign w:val="baseline"/>
        </w:rPr>
        <w:t>and not for the financial consequences of the claimant entering into the transaction so far as these are greater. Otherwise the defendant would become the underwriter of the </w:t>
      </w:r>
      <w:bookmarkStart w:name="_bookmark298" w:id="300"/>
      <w:bookmarkEnd w:id="300"/>
      <w:r>
        <w:rPr>
          <w:vertAlign w:val="baseline"/>
        </w:rPr>
        <w:t>financial</w:t>
      </w:r>
      <w:r>
        <w:rPr>
          <w:spacing w:val="15"/>
          <w:vertAlign w:val="baseline"/>
        </w:rPr>
        <w:t> </w:t>
      </w:r>
      <w:r>
        <w:rPr>
          <w:vertAlign w:val="baseline"/>
        </w:rPr>
        <w:t>fortunes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whole</w:t>
      </w:r>
      <w:r>
        <w:rPr>
          <w:spacing w:val="15"/>
          <w:vertAlign w:val="baseline"/>
        </w:rPr>
        <w:t> </w:t>
      </w:r>
      <w:r>
        <w:rPr>
          <w:vertAlign w:val="baseline"/>
        </w:rPr>
        <w:t>transaction</w:t>
      </w:r>
      <w:r>
        <w:rPr>
          <w:spacing w:val="15"/>
          <w:vertAlign w:val="baseline"/>
        </w:rPr>
        <w:t> </w:t>
      </w:r>
      <w:r>
        <w:rPr>
          <w:vertAlign w:val="baseline"/>
        </w:rPr>
        <w:t>by</w:t>
      </w:r>
      <w:r>
        <w:rPr>
          <w:spacing w:val="15"/>
          <w:vertAlign w:val="baseline"/>
        </w:rPr>
        <w:t> </w:t>
      </w:r>
      <w:r>
        <w:rPr>
          <w:vertAlign w:val="baseline"/>
        </w:rPr>
        <w:t>virtue</w:t>
      </w:r>
      <w:r>
        <w:rPr>
          <w:spacing w:val="15"/>
          <w:vertAlign w:val="baseline"/>
        </w:rPr>
        <w:t> </w:t>
      </w:r>
      <w:r>
        <w:rPr>
          <w:vertAlign w:val="baseline"/>
        </w:rPr>
        <w:t>of</w:t>
      </w:r>
      <w:r>
        <w:rPr>
          <w:spacing w:val="15"/>
          <w:vertAlign w:val="baseline"/>
        </w:rPr>
        <w:t> </w:t>
      </w:r>
      <w:r>
        <w:rPr>
          <w:vertAlign w:val="baseline"/>
        </w:rPr>
        <w:t>having</w:t>
      </w:r>
      <w:r>
        <w:rPr>
          <w:spacing w:val="15"/>
          <w:vertAlign w:val="baseline"/>
        </w:rPr>
        <w:t> </w:t>
      </w:r>
      <w:r>
        <w:rPr>
          <w:vertAlign w:val="baseline"/>
        </w:rPr>
        <w:t>assumed</w:t>
      </w:r>
      <w:r>
        <w:rPr>
          <w:spacing w:val="15"/>
          <w:vertAlign w:val="baseline"/>
        </w:rPr>
        <w:t> </w:t>
      </w:r>
      <w:r>
        <w:rPr>
          <w:vertAlign w:val="baseline"/>
        </w:rPr>
        <w:t>a</w:t>
      </w:r>
      <w:r>
        <w:rPr>
          <w:spacing w:val="15"/>
          <w:vertAlign w:val="baseline"/>
        </w:rPr>
        <w:t> </w:t>
      </w:r>
      <w:r>
        <w:rPr>
          <w:vertAlign w:val="baseline"/>
        </w:rPr>
        <w:t>duty</w:t>
      </w:r>
      <w:r>
        <w:rPr>
          <w:spacing w:val="15"/>
          <w:vertAlign w:val="baseline"/>
        </w:rPr>
        <w:t> </w:t>
      </w:r>
      <w:r>
        <w:rPr>
          <w:vertAlign w:val="baseline"/>
        </w:rPr>
        <w:t>of</w:t>
      </w:r>
      <w:r>
        <w:rPr>
          <w:spacing w:val="15"/>
          <w:vertAlign w:val="baseline"/>
        </w:rPr>
        <w:t> </w:t>
      </w:r>
      <w:r>
        <w:rPr>
          <w:vertAlign w:val="baseline"/>
        </w:rPr>
        <w:t>care</w:t>
      </w:r>
      <w:r>
        <w:rPr>
          <w:spacing w:val="15"/>
          <w:vertAlign w:val="baseline"/>
        </w:rPr>
        <w:t> </w:t>
      </w:r>
      <w:r>
        <w:rPr>
          <w:spacing w:val="-5"/>
          <w:vertAlign w:val="baseline"/>
        </w:rPr>
        <w:t>in</w:t>
      </w:r>
    </w:p>
    <w:p>
      <w:pPr>
        <w:pStyle w:val="BodyText"/>
        <w:spacing w:before="113"/>
        <w:ind w:left="1245"/>
        <w:jc w:val="both"/>
        <w:rPr>
          <w:position w:val="-2"/>
        </w:rPr>
      </w:pPr>
      <w:r>
        <w:rPr/>
        <w:t>relation to just one element of someone else’s decision.” </w:t>
      </w:r>
      <w:r>
        <w:rPr>
          <w:color w:val="005DA1"/>
          <w:u w:val="single" w:color="005DA1"/>
          <w:vertAlign w:val="superscript"/>
        </w:rPr>
        <w:t>185</w:t>
      </w:r>
      <w:r>
        <w:rPr>
          <w:color w:val="005DA1"/>
          <w:spacing w:val="80"/>
          <w:w w:val="150"/>
          <w:vertAlign w:val="baseline"/>
        </w:rPr>
        <w:t> </w:t>
      </w:r>
      <w:r>
        <w:rPr>
          <w:color w:val="005DA1"/>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92"/>
      </w:pPr>
    </w:p>
    <w:p>
      <w:pPr>
        <w:pStyle w:val="BodyText"/>
        <w:ind w:left="165"/>
        <w:jc w:val="both"/>
      </w:pPr>
      <w:r>
        <w:rPr>
          <w:position w:val="-2"/>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299" w:id="301"/>
      <w:bookmarkEnd w:id="301"/>
      <w:r>
        <w:rPr>
          <w:rFonts w:ascii="Times New Roman"/>
          <w:spacing w:val="9"/>
        </w:rPr>
      </w:r>
      <w:r>
        <w:rPr/>
        <w:t>So</w:t>
      </w:r>
      <w:r>
        <w:rPr>
          <w:spacing w:val="4"/>
        </w:rPr>
        <w:t> </w:t>
      </w:r>
      <w:r>
        <w:rPr/>
        <w:t>the</w:t>
      </w:r>
      <w:r>
        <w:rPr>
          <w:spacing w:val="4"/>
        </w:rPr>
        <w:t> </w:t>
      </w:r>
      <w:r>
        <w:rPr/>
        <w:t>first</w:t>
      </w:r>
      <w:r>
        <w:rPr>
          <w:spacing w:val="4"/>
        </w:rPr>
        <w:t> </w:t>
      </w:r>
      <w:r>
        <w:rPr/>
        <w:t>basis</w:t>
      </w:r>
      <w:r>
        <w:rPr>
          <w:spacing w:val="4"/>
        </w:rPr>
        <w:t> </w:t>
      </w:r>
      <w:r>
        <w:rPr/>
        <w:t>applied</w:t>
      </w:r>
      <w:r>
        <w:rPr>
          <w:spacing w:val="4"/>
        </w:rPr>
        <w:t> </w:t>
      </w:r>
      <w:r>
        <w:rPr/>
        <w:t>where</w:t>
      </w:r>
      <w:r>
        <w:rPr>
          <w:spacing w:val="4"/>
        </w:rPr>
        <w:t> </w:t>
      </w:r>
      <w:r>
        <w:rPr/>
        <w:t>a</w:t>
      </w:r>
      <w:r>
        <w:rPr>
          <w:spacing w:val="4"/>
        </w:rPr>
        <w:t> </w:t>
      </w:r>
      <w:r>
        <w:rPr/>
        <w:t>broker</w:t>
      </w:r>
      <w:r>
        <w:rPr>
          <w:spacing w:val="4"/>
        </w:rPr>
        <w:t> </w:t>
      </w:r>
      <w:r>
        <w:rPr/>
        <w:t>negligently</w:t>
      </w:r>
      <w:r>
        <w:rPr>
          <w:spacing w:val="4"/>
        </w:rPr>
        <w:t> </w:t>
      </w:r>
      <w:r>
        <w:rPr/>
        <w:t>advised</w:t>
      </w:r>
      <w:r>
        <w:rPr>
          <w:spacing w:val="4"/>
        </w:rPr>
        <w:t> </w:t>
      </w:r>
      <w:r>
        <w:rPr/>
        <w:t>the</w:t>
      </w:r>
      <w:r>
        <w:rPr>
          <w:spacing w:val="4"/>
        </w:rPr>
        <w:t> </w:t>
      </w:r>
      <w:r>
        <w:rPr/>
        <w:t>claimant</w:t>
      </w:r>
      <w:r>
        <w:rPr>
          <w:spacing w:val="4"/>
        </w:rPr>
        <w:t> </w:t>
      </w:r>
      <w:r>
        <w:rPr/>
        <w:t>to</w:t>
      </w:r>
      <w:r>
        <w:rPr>
          <w:spacing w:val="4"/>
        </w:rPr>
        <w:t> </w:t>
      </w:r>
      <w:r>
        <w:rPr/>
        <w:t>enter</w:t>
      </w:r>
      <w:r>
        <w:rPr>
          <w:spacing w:val="4"/>
        </w:rPr>
        <w:t> </w:t>
      </w:r>
      <w:r>
        <w:rPr/>
        <w:t>a</w:t>
      </w:r>
      <w:r>
        <w:rPr>
          <w:spacing w:val="4"/>
        </w:rPr>
        <w:t> </w:t>
      </w:r>
      <w:r>
        <w:rPr/>
        <w:t>transaction;</w:t>
      </w:r>
      <w:r>
        <w:rPr>
          <w:spacing w:val="4"/>
        </w:rPr>
        <w:t> </w:t>
      </w:r>
      <w:r>
        <w:rPr/>
        <w:t>he</w:t>
      </w:r>
    </w:p>
    <w:p>
      <w:pPr>
        <w:pStyle w:val="BodyText"/>
        <w:spacing w:line="235" w:lineRule="auto" w:before="119"/>
        <w:ind w:left="165" w:right="167"/>
        <w:jc w:val="both"/>
      </w:pPr>
      <w:r>
        <w:rPr/>
        <w:t>was held liable for all the losses suffered by the claimant from that entry. </w:t>
      </w:r>
      <w:r>
        <w:rPr>
          <w:color w:val="005DA1"/>
          <w:u w:val="single" w:color="005DA1"/>
          <w:vertAlign w:val="superscript"/>
        </w:rPr>
        <w:t>186</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3"/>
          <w:vertAlign w:val="baseline"/>
        </w:rPr>
        <w:t> </w:t>
      </w:r>
      <w:r>
        <w:rPr>
          <w:vertAlign w:val="baseline"/>
        </w:rPr>
        <w:t>In contrast, if the defendant’s</w:t>
      </w:r>
      <w:r>
        <w:rPr>
          <w:spacing w:val="-2"/>
          <w:vertAlign w:val="baseline"/>
        </w:rPr>
        <w:t> </w:t>
      </w:r>
      <w:r>
        <w:rPr>
          <w:vertAlign w:val="baseline"/>
        </w:rPr>
        <w:t>duty</w:t>
      </w:r>
      <w:r>
        <w:rPr>
          <w:spacing w:val="-2"/>
          <w:vertAlign w:val="baseline"/>
        </w:rPr>
        <w:t> </w:t>
      </w:r>
      <w:r>
        <w:rPr>
          <w:vertAlign w:val="baseline"/>
        </w:rPr>
        <w:t>was</w:t>
      </w:r>
      <w:r>
        <w:rPr>
          <w:spacing w:val="-2"/>
          <w:vertAlign w:val="baseline"/>
        </w:rPr>
        <w:t> </w:t>
      </w:r>
      <w:r>
        <w:rPr>
          <w:vertAlign w:val="baseline"/>
        </w:rPr>
        <w:t>only</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information</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aspect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proposed</w:t>
      </w:r>
      <w:r>
        <w:rPr>
          <w:spacing w:val="-2"/>
          <w:vertAlign w:val="baseline"/>
        </w:rPr>
        <w:t> </w:t>
      </w:r>
      <w:r>
        <w:rPr>
          <w:vertAlign w:val="baseline"/>
        </w:rPr>
        <w:t>transaction</w:t>
      </w:r>
      <w:r>
        <w:rPr>
          <w:spacing w:val="-2"/>
          <w:vertAlign w:val="baseline"/>
        </w:rPr>
        <w:t> </w:t>
      </w:r>
      <w:r>
        <w:rPr>
          <w:vertAlign w:val="baseline"/>
        </w:rPr>
        <w:t>or,</w:t>
      </w:r>
      <w:r>
        <w:rPr>
          <w:spacing w:val="-2"/>
          <w:vertAlign w:val="baseline"/>
        </w:rPr>
        <w:t> </w:t>
      </w:r>
      <w:r>
        <w:rPr>
          <w:vertAlign w:val="baseline"/>
        </w:rPr>
        <w:t>as has occurred in a number of conveyancing cases, to report to a lender on title or similar matters, the claimant</w:t>
      </w:r>
      <w:r>
        <w:rPr>
          <w:spacing w:val="1"/>
          <w:vertAlign w:val="baseline"/>
        </w:rPr>
        <w:t> </w:t>
      </w:r>
      <w:r>
        <w:rPr>
          <w:vertAlign w:val="baseline"/>
        </w:rPr>
        <w:t>should</w:t>
      </w:r>
      <w:r>
        <w:rPr>
          <w:spacing w:val="1"/>
          <w:vertAlign w:val="baseline"/>
        </w:rPr>
        <w:t> </w:t>
      </w:r>
      <w:r>
        <w:rPr>
          <w:vertAlign w:val="baseline"/>
        </w:rPr>
        <w:t>not</w:t>
      </w:r>
      <w:r>
        <w:rPr>
          <w:spacing w:val="1"/>
          <w:vertAlign w:val="baseline"/>
        </w:rPr>
        <w:t> </w:t>
      </w:r>
      <w:r>
        <w:rPr>
          <w:vertAlign w:val="baseline"/>
        </w:rPr>
        <w:t>recover</w:t>
      </w:r>
      <w:r>
        <w:rPr>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loss</w:t>
      </w:r>
      <w:r>
        <w:rPr>
          <w:spacing w:val="1"/>
          <w:vertAlign w:val="baseline"/>
        </w:rPr>
        <w:t> </w:t>
      </w:r>
      <w:r>
        <w:rPr>
          <w:vertAlign w:val="baseline"/>
        </w:rPr>
        <w:t>suffered</w:t>
      </w:r>
      <w:r>
        <w:rPr>
          <w:spacing w:val="1"/>
          <w:vertAlign w:val="baseline"/>
        </w:rPr>
        <w:t> </w:t>
      </w:r>
      <w:r>
        <w:rPr>
          <w:vertAlign w:val="baseline"/>
        </w:rPr>
        <w:t>through</w:t>
      </w:r>
      <w:r>
        <w:rPr>
          <w:spacing w:val="1"/>
          <w:vertAlign w:val="baseline"/>
        </w:rPr>
        <w:t> </w:t>
      </w:r>
      <w:r>
        <w:rPr>
          <w:vertAlign w:val="baseline"/>
        </w:rPr>
        <w:t>entering</w:t>
      </w:r>
      <w:r>
        <w:rPr>
          <w:spacing w:val="1"/>
          <w:vertAlign w:val="baseline"/>
        </w:rPr>
        <w:t> </w:t>
      </w:r>
      <w:r>
        <w:rPr>
          <w:vertAlign w:val="baseline"/>
        </w:rPr>
        <w:t>the</w:t>
      </w:r>
      <w:r>
        <w:rPr>
          <w:spacing w:val="1"/>
          <w:vertAlign w:val="baseline"/>
        </w:rPr>
        <w:t> </w:t>
      </w:r>
      <w:r>
        <w:rPr>
          <w:vertAlign w:val="baseline"/>
        </w:rPr>
        <w:t>transaction</w:t>
      </w:r>
      <w:r>
        <w:rPr>
          <w:spacing w:val="1"/>
          <w:vertAlign w:val="baseline"/>
        </w:rPr>
        <w:t> </w:t>
      </w:r>
      <w:r>
        <w:rPr>
          <w:vertAlign w:val="baseline"/>
        </w:rPr>
        <w:t>that</w:t>
      </w:r>
      <w:r>
        <w:rPr>
          <w:spacing w:val="1"/>
          <w:vertAlign w:val="baseline"/>
        </w:rPr>
        <w:t> </w:t>
      </w:r>
      <w:r>
        <w:rPr>
          <w:spacing w:val="-2"/>
          <w:vertAlign w:val="baseline"/>
        </w:rPr>
        <w:t>turned</w:t>
      </w:r>
    </w:p>
    <w:p>
      <w:pPr>
        <w:pStyle w:val="BodyText"/>
        <w:spacing w:after="0" w:line="235" w:lineRule="auto"/>
        <w:jc w:val="both"/>
        <w:sectPr>
          <w:pgSz w:w="11900" w:h="16840"/>
          <w:pgMar w:header="971" w:footer="0" w:top="1300" w:bottom="280" w:left="1275" w:right="1275"/>
        </w:sectPr>
      </w:pPr>
    </w:p>
    <w:p>
      <w:pPr>
        <w:pStyle w:val="BodyText"/>
        <w:spacing w:before="60"/>
      </w:pPr>
    </w:p>
    <w:p>
      <w:pPr>
        <w:pStyle w:val="BodyText"/>
        <w:spacing w:line="235" w:lineRule="auto"/>
        <w:ind w:left="164" w:right="167"/>
        <w:jc w:val="both"/>
      </w:pPr>
      <w:bookmarkStart w:name="_bookmark300" w:id="302"/>
      <w:bookmarkEnd w:id="302"/>
      <w:r>
        <w:rPr/>
      </w:r>
      <w:r>
        <w:rPr/>
        <w:t>out to be bad for other reasons. </w:t>
      </w:r>
      <w:r>
        <w:rPr>
          <w:color w:val="005DA1"/>
          <w:u w:val="single" w:color="005DA1"/>
          <w:vertAlign w:val="superscript"/>
        </w:rPr>
        <w:t>187</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40"/>
          <w:vertAlign w:val="baseline"/>
        </w:rPr>
        <w:t> </w:t>
      </w:r>
      <w:r>
        <w:rPr>
          <w:vertAlign w:val="baseline"/>
        </w:rPr>
        <w:t>Thus if the defendant’s duty was to advise the client </w:t>
      </w:r>
      <w:r>
        <w:rPr>
          <w:vertAlign w:val="baseline"/>
        </w:rPr>
        <w:t>on whether to enter another transaction or arrangement, because of the defendant’s breach of contract the claimant entered that other transaction when it would not otherwise have done so, and the </w:t>
      </w:r>
      <w:bookmarkStart w:name="_bookmark301" w:id="303"/>
      <w:bookmarkEnd w:id="303"/>
      <w:r>
        <w:rPr>
          <w:vertAlign w:val="baseline"/>
        </w:rPr>
        <w:t>transaction</w:t>
      </w:r>
      <w:r>
        <w:rPr>
          <w:spacing w:val="49"/>
          <w:vertAlign w:val="baseline"/>
        </w:rPr>
        <w:t> </w:t>
      </w:r>
      <w:r>
        <w:rPr>
          <w:vertAlign w:val="baseline"/>
        </w:rPr>
        <w:t>turned</w:t>
      </w:r>
      <w:r>
        <w:rPr>
          <w:spacing w:val="49"/>
          <w:vertAlign w:val="baseline"/>
        </w:rPr>
        <w:t> </w:t>
      </w:r>
      <w:r>
        <w:rPr>
          <w:vertAlign w:val="baseline"/>
        </w:rPr>
        <w:t>out</w:t>
      </w:r>
      <w:r>
        <w:rPr>
          <w:spacing w:val="49"/>
          <w:vertAlign w:val="baseline"/>
        </w:rPr>
        <w:t> </w:t>
      </w:r>
      <w:r>
        <w:rPr>
          <w:vertAlign w:val="baseline"/>
        </w:rPr>
        <w:t>badly</w:t>
      </w:r>
      <w:r>
        <w:rPr>
          <w:spacing w:val="49"/>
          <w:vertAlign w:val="baseline"/>
        </w:rPr>
        <w:t> </w:t>
      </w:r>
      <w:r>
        <w:rPr>
          <w:vertAlign w:val="baseline"/>
        </w:rPr>
        <w:t>for</w:t>
      </w:r>
      <w:r>
        <w:rPr>
          <w:spacing w:val="49"/>
          <w:vertAlign w:val="baseline"/>
        </w:rPr>
        <w:t> </w:t>
      </w:r>
      <w:r>
        <w:rPr>
          <w:vertAlign w:val="baseline"/>
        </w:rPr>
        <w:t>other</w:t>
      </w:r>
      <w:r>
        <w:rPr>
          <w:spacing w:val="49"/>
          <w:vertAlign w:val="baseline"/>
        </w:rPr>
        <w:t> </w:t>
      </w:r>
      <w:r>
        <w:rPr>
          <w:vertAlign w:val="baseline"/>
        </w:rPr>
        <w:t>reasons,</w:t>
      </w:r>
      <w:r>
        <w:rPr>
          <w:spacing w:val="49"/>
          <w:vertAlign w:val="baseline"/>
        </w:rPr>
        <w:t> </w:t>
      </w:r>
      <w:r>
        <w:rPr>
          <w:vertAlign w:val="baseline"/>
        </w:rPr>
        <w:t>the</w:t>
      </w:r>
      <w:r>
        <w:rPr>
          <w:spacing w:val="49"/>
          <w:vertAlign w:val="baseline"/>
        </w:rPr>
        <w:t> </w:t>
      </w:r>
      <w:r>
        <w:rPr>
          <w:vertAlign w:val="baseline"/>
        </w:rPr>
        <w:t>claimant</w:t>
      </w:r>
      <w:r>
        <w:rPr>
          <w:spacing w:val="49"/>
          <w:vertAlign w:val="baseline"/>
        </w:rPr>
        <w:t> </w:t>
      </w:r>
      <w:r>
        <w:rPr>
          <w:vertAlign w:val="baseline"/>
        </w:rPr>
        <w:t>may</w:t>
      </w:r>
      <w:r>
        <w:rPr>
          <w:spacing w:val="49"/>
          <w:vertAlign w:val="baseline"/>
        </w:rPr>
        <w:t> </w:t>
      </w:r>
      <w:r>
        <w:rPr>
          <w:vertAlign w:val="baseline"/>
        </w:rPr>
        <w:t>be</w:t>
      </w:r>
      <w:r>
        <w:rPr>
          <w:spacing w:val="49"/>
          <w:vertAlign w:val="baseline"/>
        </w:rPr>
        <w:t> </w:t>
      </w:r>
      <w:r>
        <w:rPr>
          <w:vertAlign w:val="baseline"/>
        </w:rPr>
        <w:t>able</w:t>
      </w:r>
      <w:r>
        <w:rPr>
          <w:spacing w:val="49"/>
          <w:vertAlign w:val="baseline"/>
        </w:rPr>
        <w:t> </w:t>
      </w:r>
      <w:r>
        <w:rPr>
          <w:vertAlign w:val="baseline"/>
        </w:rPr>
        <w:t>to</w:t>
      </w:r>
      <w:r>
        <w:rPr>
          <w:spacing w:val="49"/>
          <w:vertAlign w:val="baseline"/>
        </w:rPr>
        <w:t> </w:t>
      </w:r>
      <w:r>
        <w:rPr>
          <w:vertAlign w:val="baseline"/>
        </w:rPr>
        <w:t>recover</w:t>
      </w:r>
      <w:r>
        <w:rPr>
          <w:spacing w:val="49"/>
          <w:vertAlign w:val="baseline"/>
        </w:rPr>
        <w:t> </w:t>
      </w:r>
      <w:r>
        <w:rPr>
          <w:vertAlign w:val="baseline"/>
        </w:rPr>
        <w:t>its</w:t>
      </w:r>
      <w:r>
        <w:rPr>
          <w:spacing w:val="49"/>
          <w:vertAlign w:val="baseline"/>
        </w:rPr>
        <w:t> </w:t>
      </w:r>
      <w:r>
        <w:rPr>
          <w:spacing w:val="-2"/>
          <w:vertAlign w:val="baseline"/>
        </w:rPr>
        <w:t>wasted</w:t>
      </w:r>
    </w:p>
    <w:p>
      <w:pPr>
        <w:pStyle w:val="BodyText"/>
        <w:spacing w:before="115"/>
        <w:ind w:left="164"/>
        <w:jc w:val="both"/>
      </w:pPr>
      <w:bookmarkStart w:name="_bookmark302" w:id="304"/>
      <w:bookmarkEnd w:id="304"/>
      <w:r>
        <w:rPr/>
      </w:r>
      <w:r>
        <w:rPr/>
        <w:t>expenditure</w:t>
      </w:r>
      <w:r>
        <w:rPr>
          <w:spacing w:val="9"/>
        </w:rPr>
        <w:t> </w:t>
      </w:r>
      <w:r>
        <w:rPr/>
        <w:t>in</w:t>
      </w:r>
      <w:r>
        <w:rPr>
          <w:spacing w:val="9"/>
        </w:rPr>
        <w:t> </w:t>
      </w:r>
      <w:r>
        <w:rPr/>
        <w:t>full.</w:t>
      </w:r>
      <w:r>
        <w:rPr>
          <w:spacing w:val="9"/>
        </w:rPr>
        <w:t> </w:t>
      </w:r>
      <w:r>
        <w:rPr>
          <w:color w:val="005DA1"/>
          <w:u w:val="single" w:color="005DA1"/>
          <w:vertAlign w:val="superscript"/>
        </w:rPr>
        <w:t>188</w:t>
      </w:r>
      <w:r>
        <w:rPr>
          <w:color w:val="005DA1"/>
          <w:spacing w:val="42"/>
          <w:vertAlign w:val="baseline"/>
        </w:rPr>
        <w:t>  </w:t>
      </w:r>
      <w:r>
        <w:rPr>
          <w:color w:val="005DA1"/>
          <w:spacing w:val="-23"/>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8"/>
          <w:vertAlign w:val="baseline"/>
        </w:rPr>
        <w:t> </w:t>
      </w:r>
      <w:r>
        <w:rPr>
          <w:vertAlign w:val="baseline"/>
        </w:rPr>
        <w:t>However,</w:t>
      </w:r>
      <w:r>
        <w:rPr>
          <w:spacing w:val="9"/>
          <w:vertAlign w:val="baseline"/>
        </w:rPr>
        <w:t> </w:t>
      </w:r>
      <w:r>
        <w:rPr>
          <w:vertAlign w:val="baseline"/>
        </w:rPr>
        <w:t>the</w:t>
      </w:r>
      <w:r>
        <w:rPr>
          <w:spacing w:val="9"/>
          <w:vertAlign w:val="baseline"/>
        </w:rPr>
        <w:t> </w:t>
      </w:r>
      <w:r>
        <w:rPr>
          <w:vertAlign w:val="baseline"/>
        </w:rPr>
        <w:t>claimant’s</w:t>
      </w:r>
      <w:r>
        <w:rPr>
          <w:spacing w:val="9"/>
          <w:vertAlign w:val="baseline"/>
        </w:rPr>
        <w:t> </w:t>
      </w:r>
      <w:r>
        <w:rPr>
          <w:vertAlign w:val="baseline"/>
        </w:rPr>
        <w:t>loss</w:t>
      </w:r>
      <w:r>
        <w:rPr>
          <w:spacing w:val="9"/>
          <w:vertAlign w:val="baseline"/>
        </w:rPr>
        <w:t> </w:t>
      </w:r>
      <w:r>
        <w:rPr>
          <w:vertAlign w:val="baseline"/>
        </w:rPr>
        <w:t>must</w:t>
      </w:r>
      <w:r>
        <w:rPr>
          <w:spacing w:val="9"/>
          <w:vertAlign w:val="baseline"/>
        </w:rPr>
        <w:t> </w:t>
      </w:r>
      <w:r>
        <w:rPr>
          <w:vertAlign w:val="baseline"/>
        </w:rPr>
        <w:t>still</w:t>
      </w:r>
      <w:r>
        <w:rPr>
          <w:spacing w:val="9"/>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within</w:t>
      </w:r>
      <w:r>
        <w:rPr>
          <w:spacing w:val="9"/>
          <w:vertAlign w:val="baseline"/>
        </w:rPr>
        <w:t> </w:t>
      </w:r>
      <w:r>
        <w:rPr>
          <w:vertAlign w:val="baseline"/>
        </w:rPr>
        <w:t>the</w:t>
      </w:r>
      <w:r>
        <w:rPr>
          <w:spacing w:val="9"/>
          <w:vertAlign w:val="baseline"/>
        </w:rPr>
        <w:t> </w:t>
      </w:r>
      <w:r>
        <w:rPr>
          <w:spacing w:val="-2"/>
          <w:vertAlign w:val="baseline"/>
        </w:rPr>
        <w:t>contemplation</w:t>
      </w:r>
    </w:p>
    <w:p>
      <w:pPr>
        <w:pStyle w:val="BodyText"/>
        <w:spacing w:before="9"/>
      </w:pPr>
    </w:p>
    <w:p>
      <w:pPr>
        <w:pStyle w:val="BodyText"/>
        <w:spacing w:line="235" w:lineRule="auto"/>
        <w:ind w:left="165" w:right="167"/>
        <w:jc w:val="both"/>
      </w:pPr>
      <w:bookmarkStart w:name="_bookmark303" w:id="305"/>
      <w:bookmarkEnd w:id="305"/>
      <w:r>
        <w:rPr/>
      </w:r>
      <w:r>
        <w:rPr/>
        <w:t>of</w:t>
      </w:r>
      <w:r>
        <w:rPr>
          <w:spacing w:val="-2"/>
        </w:rPr>
        <w:t> </w:t>
      </w:r>
      <w:r>
        <w:rPr/>
        <w:t>the</w:t>
      </w:r>
      <w:r>
        <w:rPr>
          <w:spacing w:val="-2"/>
        </w:rPr>
        <w:t> </w:t>
      </w:r>
      <w:r>
        <w:rPr/>
        <w:t>parties</w:t>
      </w:r>
      <w:r>
        <w:rPr>
          <w:spacing w:val="-2"/>
        </w:rPr>
        <w:t> </w:t>
      </w:r>
      <w:r>
        <w:rPr>
          <w:color w:val="005DA1"/>
          <w:u w:val="single" w:color="005DA1"/>
          <w:vertAlign w:val="superscript"/>
        </w:rPr>
        <w:t>189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vertAlign w:val="baseline"/>
        </w:rPr>
        <w:t>;</w:t>
      </w:r>
      <w:r>
        <w:rPr>
          <w:spacing w:val="-2"/>
          <w:vertAlign w:val="baseline"/>
        </w:rPr>
        <w:t> </w:t>
      </w:r>
      <w:r>
        <w:rPr>
          <w:vertAlign w:val="baseline"/>
        </w:rPr>
        <w:t>and</w:t>
      </w:r>
      <w:r>
        <w:rPr>
          <w:spacing w:val="-2"/>
          <w:vertAlign w:val="baseline"/>
        </w:rPr>
        <w:t> </w:t>
      </w:r>
      <w:r>
        <w:rPr>
          <w:vertAlign w:val="baseline"/>
        </w:rPr>
        <w:t>again</w:t>
      </w:r>
      <w:r>
        <w:rPr>
          <w:spacing w:val="-2"/>
          <w:vertAlign w:val="baseline"/>
        </w:rPr>
        <w:t> </w:t>
      </w:r>
      <w:r>
        <w:rPr>
          <w:color w:val="005DA1"/>
          <w:u w:val="single" w:color="005DA1"/>
          <w:vertAlign w:val="superscript"/>
        </w:rPr>
        <w:t>190</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put</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better</w:t>
      </w:r>
      <w:r>
        <w:rPr>
          <w:spacing w:val="-2"/>
          <w:vertAlign w:val="baseline"/>
        </w:rPr>
        <w:t> </w:t>
      </w:r>
      <w:r>
        <w:rPr>
          <w:vertAlign w:val="baseline"/>
        </w:rPr>
        <w:t>position</w:t>
      </w:r>
      <w:r>
        <w:rPr>
          <w:spacing w:val="-2"/>
          <w:vertAlign w:val="baseline"/>
        </w:rPr>
        <w:t> </w:t>
      </w:r>
      <w:r>
        <w:rPr>
          <w:vertAlign w:val="baseline"/>
        </w:rPr>
        <w:t>than</w:t>
      </w:r>
      <w:r>
        <w:rPr>
          <w:spacing w:val="-2"/>
          <w:vertAlign w:val="baseline"/>
        </w:rPr>
        <w:t> </w:t>
      </w:r>
      <w:r>
        <w:rPr>
          <w:vertAlign w:val="baseline"/>
        </w:rPr>
        <w:t>he</w:t>
      </w:r>
      <w:r>
        <w:rPr>
          <w:spacing w:val="-2"/>
          <w:vertAlign w:val="baseline"/>
        </w:rPr>
        <w:t> </w:t>
      </w:r>
      <w:r>
        <w:rPr>
          <w:vertAlign w:val="baseline"/>
        </w:rPr>
        <w:t>would</w:t>
      </w:r>
      <w:r>
        <w:rPr>
          <w:spacing w:val="-2"/>
          <w:vertAlign w:val="baseline"/>
        </w:rPr>
        <w:t> </w:t>
      </w:r>
      <w:r>
        <w:rPr>
          <w:vertAlign w:val="baseline"/>
        </w:rPr>
        <w:t>have been in if the contract had been performed properly. Thus a claimant will not recover if the </w:t>
      </w:r>
      <w:r>
        <w:rPr>
          <w:vertAlign w:val="baseline"/>
        </w:rPr>
        <w:t>project </w:t>
      </w:r>
      <w:bookmarkStart w:name="_bookmark304" w:id="306"/>
      <w:bookmarkEnd w:id="306"/>
      <w:r>
        <w:rPr>
          <w:vertAlign w:val="baseline"/>
        </w:rPr>
        <w:t>would</w:t>
      </w:r>
      <w:r>
        <w:rPr>
          <w:spacing w:val="55"/>
          <w:vertAlign w:val="baseline"/>
        </w:rPr>
        <w:t> </w:t>
      </w:r>
      <w:r>
        <w:rPr>
          <w:vertAlign w:val="baseline"/>
        </w:rPr>
        <w:t>not</w:t>
      </w:r>
      <w:r>
        <w:rPr>
          <w:spacing w:val="56"/>
          <w:vertAlign w:val="baseline"/>
        </w:rPr>
        <w:t> </w:t>
      </w:r>
      <w:r>
        <w:rPr>
          <w:vertAlign w:val="baseline"/>
        </w:rPr>
        <w:t>have</w:t>
      </w:r>
      <w:r>
        <w:rPr>
          <w:spacing w:val="55"/>
          <w:vertAlign w:val="baseline"/>
        </w:rPr>
        <w:t> </w:t>
      </w:r>
      <w:r>
        <w:rPr>
          <w:vertAlign w:val="baseline"/>
        </w:rPr>
        <w:t>been</w:t>
      </w:r>
      <w:r>
        <w:rPr>
          <w:spacing w:val="56"/>
          <w:vertAlign w:val="baseline"/>
        </w:rPr>
        <w:t> </w:t>
      </w:r>
      <w:r>
        <w:rPr>
          <w:vertAlign w:val="baseline"/>
        </w:rPr>
        <w:t>viable</w:t>
      </w:r>
      <w:r>
        <w:rPr>
          <w:spacing w:val="55"/>
          <w:vertAlign w:val="baseline"/>
        </w:rPr>
        <w:t> </w:t>
      </w:r>
      <w:r>
        <w:rPr>
          <w:vertAlign w:val="baseline"/>
        </w:rPr>
        <w:t>and</w:t>
      </w:r>
      <w:r>
        <w:rPr>
          <w:spacing w:val="56"/>
          <w:vertAlign w:val="baseline"/>
        </w:rPr>
        <w:t> </w:t>
      </w:r>
      <w:r>
        <w:rPr>
          <w:vertAlign w:val="baseline"/>
        </w:rPr>
        <w:t>the</w:t>
      </w:r>
      <w:r>
        <w:rPr>
          <w:spacing w:val="55"/>
          <w:vertAlign w:val="baseline"/>
        </w:rPr>
        <w:t> </w:t>
      </w:r>
      <w:r>
        <w:rPr>
          <w:vertAlign w:val="baseline"/>
        </w:rPr>
        <w:t>claimant</w:t>
      </w:r>
      <w:r>
        <w:rPr>
          <w:spacing w:val="56"/>
          <w:vertAlign w:val="baseline"/>
        </w:rPr>
        <w:t> </w:t>
      </w:r>
      <w:r>
        <w:rPr>
          <w:vertAlign w:val="baseline"/>
        </w:rPr>
        <w:t>would</w:t>
      </w:r>
      <w:r>
        <w:rPr>
          <w:spacing w:val="56"/>
          <w:vertAlign w:val="baseline"/>
        </w:rPr>
        <w:t> </w:t>
      </w:r>
      <w:r>
        <w:rPr>
          <w:vertAlign w:val="baseline"/>
        </w:rPr>
        <w:t>have</w:t>
      </w:r>
      <w:r>
        <w:rPr>
          <w:spacing w:val="55"/>
          <w:vertAlign w:val="baseline"/>
        </w:rPr>
        <w:t> </w:t>
      </w:r>
      <w:r>
        <w:rPr>
          <w:vertAlign w:val="baseline"/>
        </w:rPr>
        <w:t>lost</w:t>
      </w:r>
      <w:r>
        <w:rPr>
          <w:spacing w:val="56"/>
          <w:vertAlign w:val="baseline"/>
        </w:rPr>
        <w:t> </w:t>
      </w:r>
      <w:r>
        <w:rPr>
          <w:vertAlign w:val="baseline"/>
        </w:rPr>
        <w:t>its</w:t>
      </w:r>
      <w:r>
        <w:rPr>
          <w:spacing w:val="55"/>
          <w:vertAlign w:val="baseline"/>
        </w:rPr>
        <w:t> </w:t>
      </w:r>
      <w:r>
        <w:rPr>
          <w:vertAlign w:val="baseline"/>
        </w:rPr>
        <w:t>investment</w:t>
      </w:r>
      <w:r>
        <w:rPr>
          <w:spacing w:val="56"/>
          <w:vertAlign w:val="baseline"/>
        </w:rPr>
        <w:t> </w:t>
      </w:r>
      <w:r>
        <w:rPr>
          <w:vertAlign w:val="baseline"/>
        </w:rPr>
        <w:t>even</w:t>
      </w:r>
      <w:r>
        <w:rPr>
          <w:spacing w:val="55"/>
          <w:vertAlign w:val="baseline"/>
        </w:rPr>
        <w:t> </w:t>
      </w:r>
      <w:r>
        <w:rPr>
          <w:vertAlign w:val="baseline"/>
        </w:rPr>
        <w:t>without</w:t>
      </w:r>
      <w:r>
        <w:rPr>
          <w:spacing w:val="56"/>
          <w:vertAlign w:val="baseline"/>
        </w:rPr>
        <w:t> </w:t>
      </w:r>
      <w:r>
        <w:rPr>
          <w:spacing w:val="-5"/>
          <w:vertAlign w:val="baseline"/>
        </w:rPr>
        <w:t>the</w:t>
      </w:r>
    </w:p>
    <w:p>
      <w:pPr>
        <w:pStyle w:val="BodyText"/>
        <w:spacing w:line="235" w:lineRule="auto" w:before="119"/>
        <w:ind w:left="165" w:right="167"/>
        <w:jc w:val="both"/>
      </w:pPr>
      <w:r>
        <w:rPr/>
        <w:t>defendant’s breach. </w:t>
      </w:r>
      <w:r>
        <w:rPr>
          <w:color w:val="005DA1"/>
          <w:u w:val="single" w:color="005DA1"/>
          <w:vertAlign w:val="superscript"/>
        </w:rPr>
        <w:t>191</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29"/>
          <w:vertAlign w:val="baseline"/>
        </w:rPr>
        <w:t> </w:t>
      </w:r>
      <w:r>
        <w:rPr>
          <w:vertAlign w:val="baseline"/>
        </w:rPr>
        <w:t>It is clearly established that when the defendant fraudulently induced </w:t>
      </w:r>
      <w:r>
        <w:rPr>
          <w:vertAlign w:val="baseline"/>
        </w:rPr>
        <w:t>the </w:t>
      </w:r>
      <w:bookmarkStart w:name="_bookmark305" w:id="307"/>
      <w:bookmarkEnd w:id="307"/>
      <w:r>
        <w:rPr>
          <w:vertAlign w:val="baseline"/>
        </w:rPr>
        <w:t>claimant</w:t>
      </w:r>
      <w:r>
        <w:rPr>
          <w:spacing w:val="4"/>
          <w:vertAlign w:val="baseline"/>
        </w:rPr>
        <w:t> </w:t>
      </w:r>
      <w:r>
        <w:rPr>
          <w:vertAlign w:val="baseline"/>
        </w:rPr>
        <w:t>to</w:t>
      </w:r>
      <w:r>
        <w:rPr>
          <w:spacing w:val="4"/>
          <w:vertAlign w:val="baseline"/>
        </w:rPr>
        <w:t> </w:t>
      </w:r>
      <w:r>
        <w:rPr>
          <w:vertAlign w:val="baseline"/>
        </w:rPr>
        <w:t>enter</w:t>
      </w:r>
      <w:r>
        <w:rPr>
          <w:spacing w:val="4"/>
          <w:vertAlign w:val="baseline"/>
        </w:rPr>
        <w:t> </w:t>
      </w:r>
      <w:r>
        <w:rPr>
          <w:vertAlign w:val="baseline"/>
        </w:rPr>
        <w:t>into</w:t>
      </w:r>
      <w:r>
        <w:rPr>
          <w:spacing w:val="4"/>
          <w:vertAlign w:val="baseline"/>
        </w:rPr>
        <w:t> </w:t>
      </w:r>
      <w:r>
        <w:rPr>
          <w:vertAlign w:val="baseline"/>
        </w:rPr>
        <w:t>a</w:t>
      </w:r>
      <w:r>
        <w:rPr>
          <w:spacing w:val="4"/>
          <w:vertAlign w:val="baseline"/>
        </w:rPr>
        <w:t> </w:t>
      </w:r>
      <w:r>
        <w:rPr>
          <w:vertAlign w:val="baseline"/>
        </w:rPr>
        <w:t>transaction,</w:t>
      </w:r>
      <w:r>
        <w:rPr>
          <w:spacing w:val="4"/>
          <w:vertAlign w:val="baseline"/>
        </w:rPr>
        <w:t> </w:t>
      </w:r>
      <w:r>
        <w:rPr>
          <w:vertAlign w:val="baseline"/>
        </w:rPr>
        <w:t>even</w:t>
      </w:r>
      <w:r>
        <w:rPr>
          <w:spacing w:val="4"/>
          <w:vertAlign w:val="baseline"/>
        </w:rPr>
        <w:t> </w:t>
      </w:r>
      <w:r>
        <w:rPr>
          <w:vertAlign w:val="baseline"/>
        </w:rPr>
        <w:t>if</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an</w:t>
      </w:r>
      <w:r>
        <w:rPr>
          <w:spacing w:val="4"/>
          <w:vertAlign w:val="baseline"/>
        </w:rPr>
        <w:t> </w:t>
      </w:r>
      <w:r>
        <w:rPr>
          <w:vertAlign w:val="baseline"/>
        </w:rPr>
        <w:t>“advice”</w:t>
      </w:r>
      <w:r>
        <w:rPr>
          <w:spacing w:val="4"/>
          <w:vertAlign w:val="baseline"/>
        </w:rPr>
        <w:t> </w:t>
      </w:r>
      <w:r>
        <w:rPr>
          <w:vertAlign w:val="baseline"/>
        </w:rPr>
        <w:t>case,</w:t>
      </w:r>
      <w:r>
        <w:rPr>
          <w:spacing w:val="4"/>
          <w:vertAlign w:val="baseline"/>
        </w:rPr>
        <w:t> </w:t>
      </w:r>
      <w:r>
        <w:rPr>
          <w:vertAlign w:val="baseline"/>
        </w:rPr>
        <w:t>damages</w:t>
      </w:r>
      <w:r>
        <w:rPr>
          <w:spacing w:val="4"/>
          <w:vertAlign w:val="baseline"/>
        </w:rPr>
        <w:t> </w:t>
      </w:r>
      <w:r>
        <w:rPr>
          <w:vertAlign w:val="baseline"/>
        </w:rPr>
        <w:t>may</w:t>
      </w:r>
      <w:r>
        <w:rPr>
          <w:spacing w:val="4"/>
          <w:vertAlign w:val="baseline"/>
        </w:rPr>
        <w:t> </w:t>
      </w:r>
      <w:r>
        <w:rPr>
          <w:vertAlign w:val="baseline"/>
        </w:rPr>
        <w:t>also</w:t>
      </w:r>
      <w:r>
        <w:rPr>
          <w:spacing w:val="4"/>
          <w:vertAlign w:val="baseline"/>
        </w:rPr>
        <w:t> </w:t>
      </w:r>
      <w:r>
        <w:rPr>
          <w:vertAlign w:val="baseline"/>
        </w:rPr>
        <w:t>be</w:t>
      </w:r>
      <w:r>
        <w:rPr>
          <w:spacing w:val="4"/>
          <w:vertAlign w:val="baseline"/>
        </w:rPr>
        <w:t> </w:t>
      </w:r>
      <w:r>
        <w:rPr>
          <w:spacing w:val="-2"/>
          <w:vertAlign w:val="baseline"/>
        </w:rPr>
        <w:t>assessed</w:t>
      </w:r>
    </w:p>
    <w:p>
      <w:pPr>
        <w:pStyle w:val="BodyText"/>
        <w:spacing w:line="235" w:lineRule="auto" w:before="119"/>
        <w:ind w:left="165" w:right="167"/>
        <w:jc w:val="both"/>
      </w:pPr>
      <w:r>
        <w:rPr/>
        <w:t>on the “no transaction” basis. </w:t>
      </w:r>
      <w:r>
        <w:rPr>
          <w:color w:val="005DA1"/>
          <w:u w:val="single" w:color="005DA1"/>
          <w:vertAlign w:val="superscript"/>
        </w:rPr>
        <w:t>192</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In fraud cases, neither the normal remoteness test nor the </w:t>
      </w:r>
      <w:bookmarkStart w:name="_bookmark306" w:id="308"/>
      <w:bookmarkEnd w:id="308"/>
      <w:r>
        <w:rPr>
          <w:vertAlign w:val="baseline"/>
        </w:rPr>
        <w:t>principle</w:t>
      </w:r>
      <w:r>
        <w:rPr>
          <w:spacing w:val="50"/>
          <w:vertAlign w:val="baseline"/>
        </w:rPr>
        <w:t> </w:t>
      </w:r>
      <w:r>
        <w:rPr>
          <w:vertAlign w:val="baseline"/>
        </w:rPr>
        <w:t>that</w:t>
      </w:r>
      <w:r>
        <w:rPr>
          <w:spacing w:val="50"/>
          <w:vertAlign w:val="baseline"/>
        </w:rPr>
        <w:t> </w:t>
      </w:r>
      <w:r>
        <w:rPr>
          <w:vertAlign w:val="baseline"/>
        </w:rPr>
        <w:t>the</w:t>
      </w:r>
      <w:r>
        <w:rPr>
          <w:spacing w:val="50"/>
          <w:vertAlign w:val="baseline"/>
        </w:rPr>
        <w:t> </w:t>
      </w:r>
      <w:r>
        <w:rPr>
          <w:vertAlign w:val="baseline"/>
        </w:rPr>
        <w:t>claimant</w:t>
      </w:r>
      <w:r>
        <w:rPr>
          <w:spacing w:val="50"/>
          <w:vertAlign w:val="baseline"/>
        </w:rPr>
        <w:t> </w:t>
      </w:r>
      <w:r>
        <w:rPr>
          <w:vertAlign w:val="baseline"/>
        </w:rPr>
        <w:t>must</w:t>
      </w:r>
      <w:r>
        <w:rPr>
          <w:spacing w:val="50"/>
          <w:vertAlign w:val="baseline"/>
        </w:rPr>
        <w:t> </w:t>
      </w:r>
      <w:r>
        <w:rPr>
          <w:vertAlign w:val="baseline"/>
        </w:rPr>
        <w:t>not</w:t>
      </w:r>
      <w:r>
        <w:rPr>
          <w:spacing w:val="50"/>
          <w:vertAlign w:val="baseline"/>
        </w:rPr>
        <w:t> </w:t>
      </w:r>
      <w:r>
        <w:rPr>
          <w:vertAlign w:val="baseline"/>
        </w:rPr>
        <w:t>be</w:t>
      </w:r>
      <w:r>
        <w:rPr>
          <w:spacing w:val="50"/>
          <w:vertAlign w:val="baseline"/>
        </w:rPr>
        <w:t> </w:t>
      </w:r>
      <w:r>
        <w:rPr>
          <w:vertAlign w:val="baseline"/>
        </w:rPr>
        <w:t>put</w:t>
      </w:r>
      <w:r>
        <w:rPr>
          <w:spacing w:val="50"/>
          <w:vertAlign w:val="baseline"/>
        </w:rPr>
        <w:t> </w:t>
      </w:r>
      <w:r>
        <w:rPr>
          <w:vertAlign w:val="baseline"/>
        </w:rPr>
        <w:t>into</w:t>
      </w:r>
      <w:r>
        <w:rPr>
          <w:spacing w:val="50"/>
          <w:vertAlign w:val="baseline"/>
        </w:rPr>
        <w:t> </w:t>
      </w:r>
      <w:r>
        <w:rPr>
          <w:vertAlign w:val="baseline"/>
        </w:rPr>
        <w:t>a</w:t>
      </w:r>
      <w:r>
        <w:rPr>
          <w:spacing w:val="50"/>
          <w:vertAlign w:val="baseline"/>
        </w:rPr>
        <w:t> </w:t>
      </w:r>
      <w:r>
        <w:rPr>
          <w:vertAlign w:val="baseline"/>
        </w:rPr>
        <w:t>better</w:t>
      </w:r>
      <w:r>
        <w:rPr>
          <w:spacing w:val="50"/>
          <w:vertAlign w:val="baseline"/>
        </w:rPr>
        <w:t> </w:t>
      </w:r>
      <w:r>
        <w:rPr>
          <w:vertAlign w:val="baseline"/>
        </w:rPr>
        <w:t>position</w:t>
      </w:r>
      <w:r>
        <w:rPr>
          <w:spacing w:val="50"/>
          <w:vertAlign w:val="baseline"/>
        </w:rPr>
        <w:t> </w:t>
      </w:r>
      <w:r>
        <w:rPr>
          <w:vertAlign w:val="baseline"/>
        </w:rPr>
        <w:t>than</w:t>
      </w:r>
      <w:r>
        <w:rPr>
          <w:spacing w:val="50"/>
          <w:vertAlign w:val="baseline"/>
        </w:rPr>
        <w:t> </w:t>
      </w:r>
      <w:r>
        <w:rPr>
          <w:vertAlign w:val="baseline"/>
        </w:rPr>
        <w:t>if</w:t>
      </w:r>
      <w:r>
        <w:rPr>
          <w:spacing w:val="50"/>
          <w:vertAlign w:val="baseline"/>
        </w:rPr>
        <w:t> </w:t>
      </w:r>
      <w:r>
        <w:rPr>
          <w:vertAlign w:val="baseline"/>
        </w:rPr>
        <w:t>the</w:t>
      </w:r>
      <w:r>
        <w:rPr>
          <w:spacing w:val="50"/>
          <w:vertAlign w:val="baseline"/>
        </w:rPr>
        <w:t> </w:t>
      </w:r>
      <w:r>
        <w:rPr>
          <w:vertAlign w:val="baseline"/>
        </w:rPr>
        <w:t>contract</w:t>
      </w:r>
      <w:r>
        <w:rPr>
          <w:spacing w:val="50"/>
          <w:vertAlign w:val="baseline"/>
        </w:rPr>
        <w:t> </w:t>
      </w:r>
      <w:r>
        <w:rPr>
          <w:vertAlign w:val="baseline"/>
        </w:rPr>
        <w:t>had</w:t>
      </w:r>
      <w:r>
        <w:rPr>
          <w:spacing w:val="50"/>
          <w:vertAlign w:val="baseline"/>
        </w:rPr>
        <w:t> </w:t>
      </w:r>
      <w:r>
        <w:rPr>
          <w:spacing w:val="-4"/>
          <w:vertAlign w:val="baseline"/>
        </w:rPr>
        <w:t>been</w:t>
      </w:r>
    </w:p>
    <w:p>
      <w:pPr>
        <w:pStyle w:val="BodyText"/>
        <w:spacing w:before="115"/>
        <w:ind w:left="165"/>
        <w:jc w:val="both"/>
        <w:rPr>
          <w:position w:val="-2"/>
        </w:rPr>
      </w:pPr>
      <w:r>
        <w:rPr/>
        <w:t>performed applies. </w:t>
      </w:r>
      <w:r>
        <w:rPr>
          <w:color w:val="005DA1"/>
          <w:u w:val="single" w:color="005DA1"/>
          <w:vertAlign w:val="superscript"/>
        </w:rPr>
        <w:t>193</w:t>
      </w:r>
      <w:r>
        <w:rPr>
          <w:color w:val="005DA1"/>
          <w:spacing w:val="80"/>
          <w:vertAlign w:val="baseline"/>
        </w:rPr>
        <w:t> </w:t>
      </w:r>
      <w:r>
        <w:rPr>
          <w:color w:val="005DA1"/>
          <w:position w:val="-2"/>
          <w:vertAlign w:val="baseline"/>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186233</wp:posOffset>
                </wp:positionV>
                <wp:extent cx="572452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4051pt;width:450.75pt;height:.1pt;mso-position-horizontal-relative:page;mso-position-vertical-relative:paragraph;z-index:-15706112;mso-wrap-distance-left:0;mso-wrap-distance-right:0" id="docshape2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307" w:id="309"/>
      <w:bookmarkEnd w:id="309"/>
      <w:r>
        <w:rPr/>
      </w:r>
      <w:hyperlink w:history="true" w:anchor="_bookmark245">
        <w:r>
          <w:rPr>
            <w:color w:val="005DA1"/>
            <w:spacing w:val="-4"/>
            <w:position w:val="5"/>
            <w:sz w:val="14"/>
            <w:u w:val="single" w:color="005DA1"/>
          </w:rPr>
          <w:t>129</w:t>
        </w:r>
      </w:hyperlink>
      <w:r>
        <w:rPr>
          <w:spacing w:val="-4"/>
          <w:position w:val="5"/>
          <w:sz w:val="14"/>
        </w:rPr>
        <w:t>.</w:t>
      </w:r>
      <w:r>
        <w:rPr>
          <w:position w:val="5"/>
          <w:sz w:val="14"/>
        </w:rPr>
        <w:tab/>
      </w:r>
      <w:r>
        <w:rPr/>
        <w:t>See Owen (1984) 4 O.J.L.S. </w:t>
      </w:r>
      <w:r>
        <w:rPr>
          <w:spacing w:val="-4"/>
        </w:rPr>
        <w:t>393.</w:t>
      </w:r>
    </w:p>
    <w:p>
      <w:pPr>
        <w:pStyle w:val="BodyText"/>
        <w:spacing w:before="5"/>
      </w:pPr>
    </w:p>
    <w:p>
      <w:pPr>
        <w:pStyle w:val="BodyText"/>
        <w:tabs>
          <w:tab w:pos="705" w:val="left" w:leader="none"/>
        </w:tabs>
        <w:ind w:left="165"/>
      </w:pPr>
      <w:bookmarkStart w:name="_bookmark308" w:id="310"/>
      <w:bookmarkEnd w:id="310"/>
      <w:r>
        <w:rPr/>
      </w:r>
      <w:hyperlink w:history="true" w:anchor="_bookmark246">
        <w:r>
          <w:rPr>
            <w:color w:val="005DA1"/>
            <w:spacing w:val="-4"/>
            <w:position w:val="5"/>
            <w:sz w:val="14"/>
            <w:u w:val="single" w:color="005DA1"/>
          </w:rPr>
          <w:t>130</w:t>
        </w:r>
      </w:hyperlink>
      <w:r>
        <w:rPr>
          <w:spacing w:val="-4"/>
          <w:position w:val="5"/>
          <w:sz w:val="14"/>
        </w:rPr>
        <w:t>.</w:t>
      </w:r>
      <w:r>
        <w:rPr>
          <w:position w:val="5"/>
          <w:sz w:val="14"/>
        </w:rPr>
        <w:tab/>
      </w:r>
      <w:r>
        <w:rPr/>
        <w:t>See</w:t>
      </w:r>
      <w:r>
        <w:rPr>
          <w:spacing w:val="-2"/>
        </w:rPr>
        <w:t> </w:t>
      </w:r>
      <w:r>
        <w:rPr/>
        <w:t>above, para.26-</w:t>
      </w:r>
      <w:r>
        <w:rPr>
          <w:spacing w:val="-4"/>
        </w:rPr>
        <w:t>002.</w:t>
      </w:r>
    </w:p>
    <w:p>
      <w:pPr>
        <w:pStyle w:val="BodyText"/>
        <w:spacing w:before="5"/>
      </w:pPr>
    </w:p>
    <w:p>
      <w:pPr>
        <w:pStyle w:val="BodyText"/>
        <w:tabs>
          <w:tab w:pos="705" w:val="left" w:leader="none"/>
        </w:tabs>
        <w:ind w:left="165"/>
      </w:pPr>
      <w:bookmarkStart w:name="_bookmark309" w:id="311"/>
      <w:bookmarkEnd w:id="311"/>
      <w:r>
        <w:rPr/>
      </w:r>
      <w:hyperlink w:history="true" w:anchor="_bookmark247">
        <w:r>
          <w:rPr>
            <w:color w:val="005DA1"/>
            <w:spacing w:val="-4"/>
            <w:position w:val="5"/>
            <w:sz w:val="14"/>
            <w:u w:val="single" w:color="005DA1"/>
          </w:rPr>
          <w:t>131</w:t>
        </w:r>
      </w:hyperlink>
      <w:r>
        <w:rPr>
          <w:spacing w:val="-4"/>
          <w:position w:val="5"/>
          <w:sz w:val="14"/>
        </w:rPr>
        <w:t>.</w:t>
      </w:r>
      <w:r>
        <w:rPr>
          <w:position w:val="5"/>
          <w:sz w:val="14"/>
        </w:rPr>
        <w:tab/>
      </w:r>
      <w:r>
        <w:rPr/>
        <w:t>See</w:t>
      </w:r>
      <w:r>
        <w:rPr>
          <w:spacing w:val="-2"/>
        </w:rPr>
        <w:t> </w:t>
      </w:r>
      <w:r>
        <w:rPr/>
        <w:t>below, para.26-</w:t>
      </w:r>
      <w:r>
        <w:rPr>
          <w:spacing w:val="-4"/>
        </w:rPr>
        <w:t>026.</w:t>
      </w:r>
    </w:p>
    <w:p>
      <w:pPr>
        <w:pStyle w:val="BodyText"/>
        <w:spacing w:before="9"/>
      </w:pPr>
    </w:p>
    <w:p>
      <w:pPr>
        <w:pStyle w:val="BodyText"/>
        <w:spacing w:line="235" w:lineRule="auto"/>
        <w:ind w:left="705" w:right="167" w:hanging="541"/>
        <w:jc w:val="both"/>
      </w:pPr>
      <w:bookmarkStart w:name="_bookmark310" w:id="312"/>
      <w:bookmarkEnd w:id="312"/>
      <w:r>
        <w:rPr/>
      </w:r>
      <w:hyperlink w:history="true" w:anchor="_bookmark248">
        <w:r>
          <w:rPr>
            <w:color w:val="005DA1"/>
            <w:position w:val="5"/>
            <w:sz w:val="14"/>
            <w:u w:val="single" w:color="005DA1"/>
          </w:rPr>
          <w:t>132</w:t>
        </w:r>
      </w:hyperlink>
      <w:r>
        <w:rPr>
          <w:position w:val="5"/>
          <w:sz w:val="14"/>
        </w:rPr>
        <w:t>.</w:t>
      </w:r>
      <w:r>
        <w:rPr>
          <w:spacing w:val="80"/>
          <w:position w:val="5"/>
          <w:sz w:val="14"/>
        </w:rPr>
        <w:t>  </w:t>
      </w:r>
      <w:r>
        <w:rPr/>
        <w:t>The test of reasonableness in incurring the expenditure would not seem to be relevant (cf. the rule in mitigation for post-breach expenditure: below, para.26-032). But the expenditure </w:t>
      </w:r>
      <w:r>
        <w:rPr/>
        <w:t>must have been intended by the claimant to be part of his performance and must satisfy the remoteness rules, so unreasonably high costs may not be recoverable.</w:t>
      </w:r>
    </w:p>
    <w:p>
      <w:pPr>
        <w:pStyle w:val="BodyText"/>
        <w:spacing w:before="8"/>
      </w:pPr>
    </w:p>
    <w:p>
      <w:pPr>
        <w:pStyle w:val="BodyText"/>
        <w:spacing w:line="235" w:lineRule="auto"/>
        <w:ind w:left="705" w:right="167" w:hanging="541"/>
        <w:jc w:val="both"/>
      </w:pPr>
      <w:bookmarkStart w:name="_bookmark311" w:id="313"/>
      <w:bookmarkEnd w:id="313"/>
      <w:r>
        <w:rPr/>
      </w:r>
      <w:hyperlink w:history="true" w:anchor="_bookmark249">
        <w:r>
          <w:rPr>
            <w:color w:val="005DA1"/>
            <w:position w:val="5"/>
            <w:sz w:val="14"/>
            <w:u w:val="single" w:color="005DA1"/>
          </w:rPr>
          <w:t>133</w:t>
        </w:r>
      </w:hyperlink>
      <w:r>
        <w:rPr>
          <w:position w:val="5"/>
          <w:sz w:val="14"/>
        </w:rPr>
        <w:t>.</w:t>
      </w:r>
      <w:r>
        <w:rPr>
          <w:spacing w:val="80"/>
          <w:position w:val="5"/>
          <w:sz w:val="14"/>
        </w:rPr>
        <w:t>  </w:t>
      </w:r>
      <w:r>
        <w:rPr/>
        <w:t>If the claimant can salvage any items of value from his preparations for performance, the rules</w:t>
      </w:r>
      <w:r>
        <w:rPr>
          <w:spacing w:val="40"/>
        </w:rPr>
        <w:t> </w:t>
      </w:r>
      <w:r>
        <w:rPr/>
        <w:t>of mitigation require him to deduct from his claim the amount he obtained from selling the salvageable items to a third party (or the amount he ought reasonably to have obtained from doing so).</w:t>
      </w:r>
    </w:p>
    <w:p>
      <w:pPr>
        <w:pStyle w:val="BodyText"/>
        <w:spacing w:before="5"/>
      </w:pPr>
    </w:p>
    <w:p>
      <w:pPr>
        <w:pStyle w:val="BodyText"/>
        <w:tabs>
          <w:tab w:pos="705" w:val="left" w:leader="none"/>
        </w:tabs>
        <w:ind w:left="165"/>
      </w:pPr>
      <w:bookmarkStart w:name="_bookmark312" w:id="314"/>
      <w:bookmarkEnd w:id="314"/>
      <w:r>
        <w:rPr/>
      </w:r>
      <w:hyperlink w:history="true" w:anchor="_bookmark250">
        <w:r>
          <w:rPr>
            <w:color w:val="005DA1"/>
            <w:spacing w:val="-4"/>
            <w:position w:val="5"/>
            <w:sz w:val="14"/>
            <w:u w:val="single" w:color="005DA1"/>
          </w:rPr>
          <w:t>134</w:t>
        </w:r>
      </w:hyperlink>
      <w:r>
        <w:rPr>
          <w:spacing w:val="-4"/>
          <w:position w:val="5"/>
          <w:sz w:val="14"/>
        </w:rPr>
        <w:t>.</w:t>
      </w:r>
      <w:r>
        <w:rPr>
          <w:position w:val="5"/>
          <w:sz w:val="14"/>
        </w:rPr>
        <w:tab/>
      </w:r>
      <w:r>
        <w:rPr/>
        <w:t>On this see next </w:t>
      </w:r>
      <w:r>
        <w:rPr>
          <w:spacing w:val="-2"/>
        </w:rPr>
        <w:t>paragraph.</w:t>
      </w:r>
    </w:p>
    <w:p>
      <w:pPr>
        <w:pStyle w:val="BodyText"/>
        <w:spacing w:before="9"/>
      </w:pPr>
    </w:p>
    <w:p>
      <w:pPr>
        <w:spacing w:line="235" w:lineRule="auto" w:before="0"/>
        <w:ind w:left="705" w:right="167" w:hanging="541"/>
        <w:jc w:val="both"/>
        <w:rPr>
          <w:sz w:val="20"/>
        </w:rPr>
      </w:pPr>
      <w:bookmarkStart w:name="_bookmark313" w:id="315"/>
      <w:bookmarkEnd w:id="315"/>
      <w:r>
        <w:rPr/>
      </w:r>
      <w:hyperlink w:history="true" w:anchor="_bookmark251">
        <w:r>
          <w:rPr>
            <w:color w:val="005DA1"/>
            <w:position w:val="5"/>
            <w:sz w:val="14"/>
            <w:u w:val="single" w:color="005DA1"/>
          </w:rPr>
          <w:t>135</w:t>
        </w:r>
      </w:hyperlink>
      <w:r>
        <w:rPr>
          <w:position w:val="5"/>
          <w:sz w:val="14"/>
        </w:rPr>
        <w:t>.</w:t>
      </w:r>
      <w:r>
        <w:rPr>
          <w:spacing w:val="80"/>
          <w:position w:val="5"/>
          <w:sz w:val="14"/>
        </w:rPr>
        <w:t>  </w:t>
      </w:r>
      <w:r>
        <w:rPr>
          <w:rFonts w:ascii="Arial"/>
          <w:i/>
          <w:sz w:val="20"/>
        </w:rPr>
        <w:t>PJ Spillings (Builders) Ltd v Bonus Flooring Ltd [2008] EWHC 1516 (QB) </w:t>
      </w:r>
      <w:r>
        <w:rPr>
          <w:sz w:val="20"/>
        </w:rPr>
        <w:t>(citing this </w:t>
      </w:r>
      <w:r>
        <w:rPr>
          <w:sz w:val="20"/>
        </w:rPr>
        <w:t>paragraph in the 30th edition); see also </w:t>
      </w:r>
      <w:r>
        <w:rPr>
          <w:rFonts w:ascii="Arial"/>
          <w:i/>
          <w:sz w:val="20"/>
        </w:rPr>
        <w:t>C. &amp; P. Haulage v Middleton [1983] 1 W.L.R. 1461</w:t>
      </w:r>
      <w:r>
        <w:rPr>
          <w:sz w:val="20"/>
        </w:rPr>
        <w:t>; and </w:t>
      </w:r>
      <w:r>
        <w:rPr>
          <w:rFonts w:ascii="Arial"/>
          <w:i/>
          <w:sz w:val="20"/>
        </w:rPr>
        <w:t>C.C.C. Films (London) Ltd v Impact Quadrant Films Ltd [1985] Q.B. 16</w:t>
      </w:r>
      <w:r>
        <w:rPr>
          <w:sz w:val="20"/>
        </w:rPr>
        <w:t>), although they were concerned not with the profitability of the individual contract which the defendant broke, but of the activity</w:t>
      </w:r>
      <w:r>
        <w:rPr>
          <w:spacing w:val="40"/>
          <w:sz w:val="20"/>
        </w:rPr>
        <w:t> </w:t>
      </w:r>
      <w:r>
        <w:rPr>
          <w:sz w:val="20"/>
        </w:rPr>
        <w:t>of which that contract was an essential part. On this see below, para.29-028.</w:t>
      </w:r>
    </w:p>
    <w:p>
      <w:pPr>
        <w:pStyle w:val="BodyText"/>
        <w:spacing w:before="8"/>
      </w:pPr>
    </w:p>
    <w:p>
      <w:pPr>
        <w:spacing w:line="235" w:lineRule="auto" w:before="0"/>
        <w:ind w:left="705" w:right="167" w:hanging="541"/>
        <w:jc w:val="both"/>
        <w:rPr>
          <w:sz w:val="20"/>
        </w:rPr>
      </w:pPr>
      <w:bookmarkStart w:name="_bookmark314" w:id="316"/>
      <w:bookmarkEnd w:id="316"/>
      <w:r>
        <w:rPr/>
      </w:r>
      <w:hyperlink w:history="true" w:anchor="_bookmark252">
        <w:r>
          <w:rPr>
            <w:color w:val="005DA1"/>
            <w:position w:val="5"/>
            <w:sz w:val="14"/>
            <w:u w:val="single" w:color="005DA1"/>
          </w:rPr>
          <w:t>136</w:t>
        </w:r>
      </w:hyperlink>
      <w:r>
        <w:rPr>
          <w:position w:val="5"/>
          <w:sz w:val="14"/>
        </w:rPr>
        <w:t>.</w:t>
      </w:r>
      <w:r>
        <w:rPr>
          <w:spacing w:val="80"/>
          <w:w w:val="150"/>
          <w:position w:val="5"/>
          <w:sz w:val="14"/>
        </w:rPr>
        <w:t> </w:t>
      </w:r>
      <w:r>
        <w:rPr>
          <w:rFonts w:ascii="Arial" w:hAnsi="Arial"/>
          <w:i/>
          <w:sz w:val="20"/>
        </w:rPr>
        <w:t>C. &amp; P. Haulage v Middleton [1983] 1 W.L.R. 1461</w:t>
      </w:r>
      <w:r>
        <w:rPr>
          <w:sz w:val="20"/>
        </w:rPr>
        <w:t>; </w:t>
      </w:r>
      <w:r>
        <w:rPr>
          <w:rFonts w:ascii="Arial" w:hAnsi="Arial"/>
          <w:i/>
          <w:sz w:val="20"/>
        </w:rPr>
        <w:t>C.C.C. Films (London) Ltd v Impact</w:t>
      </w:r>
      <w:r>
        <w:rPr>
          <w:rFonts w:ascii="Arial" w:hAnsi="Arial"/>
          <w:i/>
          <w:spacing w:val="80"/>
          <w:sz w:val="20"/>
        </w:rPr>
        <w:t> </w:t>
      </w:r>
      <w:r>
        <w:rPr>
          <w:rFonts w:ascii="Arial" w:hAnsi="Arial"/>
          <w:i/>
          <w:sz w:val="20"/>
        </w:rPr>
        <w:t>Quadrant Films Ltd [1985] Q.B. 16</w:t>
      </w:r>
      <w:r>
        <w:rPr>
          <w:sz w:val="20"/>
        </w:rPr>
        <w:t>; </w:t>
      </w:r>
      <w:r>
        <w:rPr>
          <w:rFonts w:ascii="Arial" w:hAnsi="Arial"/>
          <w:i/>
          <w:sz w:val="20"/>
        </w:rPr>
        <w:t>Omak Maritime Ltd v Mamola Challenger Shipping Co [2010] EWHC 2026 (Comm) </w:t>
      </w:r>
      <w:r>
        <w:rPr>
          <w:sz w:val="20"/>
        </w:rPr>
        <w:t>(“the fundamental principle stated by Baron Parke in </w:t>
      </w:r>
      <w:r>
        <w:rPr>
          <w:rFonts w:ascii="Arial" w:hAnsi="Arial"/>
          <w:i/>
          <w:sz w:val="20"/>
        </w:rPr>
        <w:t>Robinson </w:t>
      </w:r>
      <w:r>
        <w:rPr>
          <w:rFonts w:ascii="Arial" w:hAnsi="Arial"/>
          <w:i/>
          <w:sz w:val="20"/>
        </w:rPr>
        <w:t>v Harman</w:t>
      </w:r>
      <w:r>
        <w:rPr>
          <w:rFonts w:ascii="Arial" w:hAnsi="Arial"/>
          <w:i/>
          <w:spacing w:val="-3"/>
          <w:sz w:val="20"/>
        </w:rPr>
        <w:t> </w:t>
      </w:r>
      <w:r>
        <w:rPr>
          <w:sz w:val="20"/>
        </w:rPr>
        <w:t>…</w:t>
      </w:r>
      <w:r>
        <w:rPr>
          <w:spacing w:val="-2"/>
          <w:sz w:val="20"/>
        </w:rPr>
        <w:t> </w:t>
      </w:r>
      <w:r>
        <w:rPr>
          <w:sz w:val="20"/>
        </w:rPr>
        <w:t>requires</w:t>
      </w:r>
      <w:r>
        <w:rPr>
          <w:spacing w:val="-2"/>
          <w:sz w:val="20"/>
        </w:rPr>
        <w:t> </w:t>
      </w:r>
      <w:r>
        <w:rPr>
          <w:sz w:val="20"/>
        </w:rPr>
        <w:t>the</w:t>
      </w:r>
      <w:r>
        <w:rPr>
          <w:spacing w:val="-2"/>
          <w:sz w:val="20"/>
        </w:rPr>
        <w:t> </w:t>
      </w:r>
      <w:r>
        <w:rPr>
          <w:sz w:val="20"/>
        </w:rPr>
        <w:t>court</w:t>
      </w:r>
      <w:r>
        <w:rPr>
          <w:spacing w:val="-2"/>
          <w:sz w:val="20"/>
        </w:rPr>
        <w:t> </w:t>
      </w:r>
      <w:r>
        <w:rPr>
          <w:sz w:val="20"/>
        </w:rPr>
        <w:t>to</w:t>
      </w:r>
      <w:r>
        <w:rPr>
          <w:spacing w:val="-2"/>
          <w:sz w:val="20"/>
        </w:rPr>
        <w:t> </w:t>
      </w:r>
      <w:r>
        <w:rPr>
          <w:sz w:val="20"/>
        </w:rPr>
        <w:t>make</w:t>
      </w:r>
      <w:r>
        <w:rPr>
          <w:spacing w:val="-2"/>
          <w:sz w:val="20"/>
        </w:rPr>
        <w:t> </w:t>
      </w:r>
      <w:r>
        <w:rPr>
          <w:sz w:val="20"/>
        </w:rPr>
        <w:t>a</w:t>
      </w:r>
      <w:r>
        <w:rPr>
          <w:spacing w:val="-2"/>
          <w:sz w:val="20"/>
        </w:rPr>
        <w:t> </w:t>
      </w:r>
      <w:r>
        <w:rPr>
          <w:sz w:val="20"/>
        </w:rPr>
        <w:t>comparison</w:t>
      </w:r>
      <w:r>
        <w:rPr>
          <w:spacing w:val="-2"/>
          <w:sz w:val="20"/>
        </w:rPr>
        <w:t> </w:t>
      </w:r>
      <w:r>
        <w:rPr>
          <w:sz w:val="20"/>
        </w:rPr>
        <w:t>between</w:t>
      </w:r>
      <w:r>
        <w:rPr>
          <w:spacing w:val="-2"/>
          <w:sz w:val="20"/>
        </w:rPr>
        <w:t> </w:t>
      </w:r>
      <w:r>
        <w:rPr>
          <w:sz w:val="20"/>
        </w:rPr>
        <w:t>the</w:t>
      </w:r>
      <w:r>
        <w:rPr>
          <w:spacing w:val="-2"/>
          <w:sz w:val="20"/>
        </w:rPr>
        <w:t> </w:t>
      </w:r>
      <w:r>
        <w:rPr>
          <w:sz w:val="20"/>
        </w:rPr>
        <w:t>claimant’s</w:t>
      </w:r>
      <w:r>
        <w:rPr>
          <w:spacing w:val="-2"/>
          <w:sz w:val="20"/>
        </w:rPr>
        <w:t> </w:t>
      </w:r>
      <w:r>
        <w:rPr>
          <w:sz w:val="20"/>
        </w:rPr>
        <w:t>position</w:t>
      </w:r>
      <w:r>
        <w:rPr>
          <w:spacing w:val="-2"/>
          <w:sz w:val="20"/>
        </w:rPr>
        <w:t> </w:t>
      </w:r>
      <w:r>
        <w:rPr>
          <w:sz w:val="20"/>
        </w:rPr>
        <w:t>and</w:t>
      </w:r>
      <w:r>
        <w:rPr>
          <w:spacing w:val="-2"/>
          <w:sz w:val="20"/>
        </w:rPr>
        <w:t> </w:t>
      </w:r>
      <w:r>
        <w:rPr>
          <w:sz w:val="20"/>
        </w:rPr>
        <w:t>what</w:t>
      </w:r>
      <w:r>
        <w:rPr>
          <w:spacing w:val="-2"/>
          <w:sz w:val="20"/>
        </w:rPr>
        <w:t> </w:t>
      </w:r>
      <w:r>
        <w:rPr>
          <w:sz w:val="20"/>
        </w:rPr>
        <w:t>it would have been had the contract been performed” (at [65])). The case is helpfully noted in (2011) 127 L.Q.R. 23 (McLauchlan).</w:t>
      </w:r>
    </w:p>
    <w:p>
      <w:pPr>
        <w:pStyle w:val="BodyText"/>
        <w:spacing w:before="4"/>
      </w:pPr>
    </w:p>
    <w:p>
      <w:pPr>
        <w:tabs>
          <w:tab w:pos="705" w:val="left" w:leader="none"/>
        </w:tabs>
        <w:spacing w:before="0"/>
        <w:ind w:left="165" w:right="0" w:firstLine="0"/>
        <w:jc w:val="left"/>
        <w:rPr>
          <w:sz w:val="20"/>
        </w:rPr>
      </w:pPr>
      <w:bookmarkStart w:name="_bookmark315" w:id="317"/>
      <w:bookmarkEnd w:id="317"/>
      <w:r>
        <w:rPr/>
      </w:r>
      <w:hyperlink w:history="true" w:anchor="_bookmark253">
        <w:r>
          <w:rPr>
            <w:color w:val="005DA1"/>
            <w:spacing w:val="-4"/>
            <w:position w:val="5"/>
            <w:sz w:val="14"/>
            <w:u w:val="single" w:color="005DA1"/>
          </w:rPr>
          <w:t>137</w:t>
        </w:r>
      </w:hyperlink>
      <w:r>
        <w:rPr>
          <w:spacing w:val="-4"/>
          <w:position w:val="5"/>
          <w:sz w:val="14"/>
        </w:rPr>
        <w:t>.</w:t>
      </w:r>
      <w:r>
        <w:rPr>
          <w:position w:val="5"/>
          <w:sz w:val="14"/>
        </w:rPr>
        <w:tab/>
      </w:r>
      <w:r>
        <w:rPr>
          <w:sz w:val="20"/>
        </w:rPr>
        <w:t>Harris,</w:t>
      </w:r>
      <w:r>
        <w:rPr>
          <w:spacing w:val="-1"/>
          <w:sz w:val="20"/>
        </w:rPr>
        <w:t> </w:t>
      </w:r>
      <w:r>
        <w:rPr>
          <w:sz w:val="20"/>
        </w:rPr>
        <w:t>Campbell and Halson,</w:t>
      </w:r>
      <w:r>
        <w:rPr>
          <w:spacing w:val="-1"/>
          <w:sz w:val="20"/>
        </w:rPr>
        <w:t> </w:t>
      </w:r>
      <w:r>
        <w:rPr>
          <w:rFonts w:ascii="Arial" w:hAnsi="Arial"/>
          <w:i/>
          <w:sz w:val="20"/>
        </w:rPr>
        <w:t>Remedies in Contract and Tort</w:t>
      </w:r>
      <w:r>
        <w:rPr>
          <w:sz w:val="20"/>
        </w:rPr>
        <w:t>, 2nd edn (2002) at </w:t>
      </w:r>
      <w:r>
        <w:rPr>
          <w:spacing w:val="-2"/>
          <w:sz w:val="20"/>
        </w:rPr>
        <w:t>pp.124–127.</w:t>
      </w:r>
    </w:p>
    <w:p>
      <w:pPr>
        <w:pStyle w:val="BodyText"/>
        <w:spacing w:before="9"/>
      </w:pPr>
    </w:p>
    <w:p>
      <w:pPr>
        <w:pStyle w:val="BodyText"/>
        <w:spacing w:line="235" w:lineRule="auto"/>
        <w:ind w:left="705" w:right="167" w:hanging="541"/>
        <w:jc w:val="both"/>
      </w:pPr>
      <w:bookmarkStart w:name="_bookmark316" w:id="318"/>
      <w:bookmarkEnd w:id="318"/>
      <w:r>
        <w:rPr/>
      </w:r>
      <w:hyperlink w:history="true" w:anchor="_bookmark254">
        <w:r>
          <w:rPr>
            <w:color w:val="005DA1"/>
            <w:position w:val="5"/>
            <w:sz w:val="14"/>
            <w:u w:val="single" w:color="005DA1"/>
          </w:rPr>
          <w:t>138</w:t>
        </w:r>
      </w:hyperlink>
      <w:r>
        <w:rPr>
          <w:position w:val="5"/>
          <w:sz w:val="14"/>
        </w:rPr>
        <w:t>.</w:t>
      </w:r>
      <w:r>
        <w:rPr>
          <w:spacing w:val="80"/>
          <w:w w:val="150"/>
          <w:position w:val="5"/>
          <w:sz w:val="14"/>
        </w:rPr>
        <w:t> </w:t>
      </w:r>
      <w:r>
        <w:rPr/>
        <w:t>This view is found (obiter) in the </w:t>
      </w:r>
      <w:r>
        <w:rPr>
          <w:rFonts w:ascii="Arial" w:hAnsi="Arial"/>
          <w:i/>
        </w:rPr>
        <w:t>C.C.C. Films case [1985] Q.B. 16, 35</w:t>
      </w:r>
      <w:r>
        <w:rPr/>
        <w:t>. Harris, Campbell and Halson at pp.124-127, prefer this method to scaling down the claimant’s damages by </w:t>
      </w:r>
      <w:r>
        <w:rPr/>
        <w:t>reference to the total of his costs incurred to date and the potential costs which (but for the breach) he would thereafter have incurred.</w:t>
      </w:r>
    </w:p>
    <w:p>
      <w:pPr>
        <w:pStyle w:val="BodyText"/>
        <w:spacing w:before="4"/>
      </w:pPr>
    </w:p>
    <w:p>
      <w:pPr>
        <w:tabs>
          <w:tab w:pos="705" w:val="left" w:leader="none"/>
        </w:tabs>
        <w:spacing w:before="1"/>
        <w:ind w:left="165" w:right="0" w:firstLine="0"/>
        <w:jc w:val="left"/>
        <w:rPr>
          <w:sz w:val="20"/>
        </w:rPr>
      </w:pPr>
      <w:bookmarkStart w:name="_bookmark317" w:id="319"/>
      <w:bookmarkEnd w:id="319"/>
      <w:r>
        <w:rPr/>
      </w:r>
      <w:hyperlink w:history="true" w:anchor="_bookmark255">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C.C.C. Films (London) Ltd v Impact Quadrant Films Ltd [1985] Q.B. </w:t>
      </w:r>
      <w:r>
        <w:rPr>
          <w:rFonts w:ascii="Arial"/>
          <w:i/>
          <w:spacing w:val="-5"/>
          <w:sz w:val="20"/>
        </w:rPr>
        <w:t>16</w:t>
      </w:r>
      <w:r>
        <w:rPr>
          <w:spacing w:val="-5"/>
          <w:sz w:val="20"/>
        </w:rPr>
        <w:t>.</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56">
        <w:r>
          <w:rPr>
            <w:color w:val="005DA1"/>
            <w:position w:val="5"/>
            <w:sz w:val="14"/>
            <w:u w:val="single" w:color="005DA1"/>
          </w:rPr>
          <w:t>140</w:t>
        </w:r>
      </w:hyperlink>
      <w:r>
        <w:rPr>
          <w:position w:val="5"/>
          <w:sz w:val="14"/>
        </w:rPr>
        <w:t>.</w:t>
      </w:r>
      <w:r>
        <w:rPr>
          <w:spacing w:val="40"/>
          <w:position w:val="5"/>
          <w:sz w:val="14"/>
        </w:rPr>
        <w:t>  </w:t>
      </w:r>
      <w:r>
        <w:rPr>
          <w:rFonts w:ascii="Arial"/>
          <w:i/>
          <w:sz w:val="20"/>
        </w:rPr>
        <w:t>[1985] Q.B. 16, 39-40</w:t>
      </w:r>
      <w:r>
        <w:rPr>
          <w:sz w:val="20"/>
        </w:rPr>
        <w:t>. But in </w:t>
      </w:r>
      <w:r>
        <w:rPr>
          <w:rFonts w:ascii="Arial"/>
          <w:i/>
          <w:sz w:val="20"/>
        </w:rPr>
        <w:t>Parker v SJ Berwin [2008] EWHC 3017 (QB) </w:t>
      </w:r>
      <w:r>
        <w:rPr>
          <w:sz w:val="20"/>
        </w:rPr>
        <w:t>it was held that the underlying principle is one of fairness and the burden would not be put on the defendant when the claimants had failed to explain how they would obtain finance (at [77]).</w:t>
      </w:r>
    </w:p>
    <w:p>
      <w:pPr>
        <w:pStyle w:val="BodyText"/>
        <w:spacing w:before="9"/>
      </w:pPr>
    </w:p>
    <w:p>
      <w:pPr>
        <w:tabs>
          <w:tab w:pos="705" w:val="left" w:leader="none"/>
        </w:tabs>
        <w:spacing w:line="235" w:lineRule="auto" w:before="0"/>
        <w:ind w:left="705" w:right="174" w:hanging="541"/>
        <w:jc w:val="left"/>
        <w:rPr>
          <w:sz w:val="20"/>
        </w:rPr>
      </w:pPr>
      <w:bookmarkStart w:name="_bookmark318" w:id="320"/>
      <w:bookmarkEnd w:id="320"/>
      <w:r>
        <w:rPr/>
      </w:r>
      <w:hyperlink w:history="true" w:anchor="_bookmark257">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Molling &amp; Co v Dean &amp; Son Ltd (1902) 18 T.L.R. 216</w:t>
      </w:r>
      <w:r>
        <w:rPr>
          <w:sz w:val="20"/>
        </w:rPr>
        <w:t>; </w:t>
      </w:r>
      <w:r>
        <w:rPr>
          <w:rFonts w:ascii="Arial"/>
          <w:i/>
          <w:sz w:val="20"/>
        </w:rPr>
        <w:t>Anglia Television v Reed [1972] 1 </w:t>
      </w:r>
      <w:r>
        <w:rPr>
          <w:rFonts w:ascii="Arial"/>
          <w:i/>
          <w:sz w:val="20"/>
        </w:rPr>
        <w:t>Q.B.</w:t>
      </w:r>
      <w:r>
        <w:rPr>
          <w:rFonts w:ascii="Arial"/>
          <w:i/>
          <w:spacing w:val="40"/>
          <w:sz w:val="20"/>
        </w:rPr>
        <w:t> </w:t>
      </w:r>
      <w:r>
        <w:rPr>
          <w:rFonts w:ascii="Arial"/>
          <w:i/>
          <w:spacing w:val="-4"/>
          <w:sz w:val="20"/>
        </w:rPr>
        <w:t>60</w:t>
      </w:r>
      <w:r>
        <w:rPr>
          <w:spacing w:val="-4"/>
          <w:sz w:val="20"/>
        </w:rPr>
        <w:t>.</w:t>
      </w:r>
    </w:p>
    <w:p>
      <w:pPr>
        <w:pStyle w:val="BodyText"/>
        <w:spacing w:before="9"/>
      </w:pPr>
    </w:p>
    <w:p>
      <w:pPr>
        <w:pStyle w:val="BodyText"/>
        <w:spacing w:line="235" w:lineRule="auto"/>
        <w:ind w:left="705" w:right="167" w:hanging="541"/>
        <w:jc w:val="both"/>
      </w:pPr>
      <w:bookmarkStart w:name="_bookmark319" w:id="321"/>
      <w:bookmarkEnd w:id="321"/>
      <w:r>
        <w:rPr/>
      </w:r>
      <w:hyperlink w:history="true" w:anchor="_bookmark258">
        <w:r>
          <w:rPr>
            <w:color w:val="005DA1"/>
            <w:position w:val="5"/>
            <w:sz w:val="14"/>
            <w:u w:val="single" w:color="005DA1"/>
          </w:rPr>
          <w:t>142</w:t>
        </w:r>
      </w:hyperlink>
      <w:r>
        <w:rPr>
          <w:position w:val="5"/>
          <w:sz w:val="14"/>
        </w:rPr>
        <w:t>.</w:t>
      </w:r>
      <w:r>
        <w:rPr>
          <w:spacing w:val="80"/>
          <w:position w:val="5"/>
          <w:sz w:val="14"/>
        </w:rPr>
        <w:t>  </w:t>
      </w:r>
      <w:r>
        <w:rPr/>
        <w:t>This statement is probably restricted to a contract where the claimant intended to make a profit from his performance of the contract (viz it was not a consumer contract where the </w:t>
      </w:r>
      <w:r>
        <w:rPr/>
        <w:t>claimant intended to use the subject matter of the contract).</w:t>
      </w:r>
    </w:p>
    <w:p>
      <w:pPr>
        <w:pStyle w:val="BodyText"/>
        <w:spacing w:before="9"/>
      </w:pPr>
    </w:p>
    <w:p>
      <w:pPr>
        <w:spacing w:line="235" w:lineRule="auto" w:before="0"/>
        <w:ind w:left="705" w:right="168" w:hanging="541"/>
        <w:jc w:val="both"/>
        <w:rPr>
          <w:sz w:val="20"/>
        </w:rPr>
      </w:pPr>
      <w:bookmarkStart w:name="_bookmark320" w:id="322"/>
      <w:bookmarkEnd w:id="322"/>
      <w:r>
        <w:rPr/>
      </w:r>
      <w:hyperlink w:history="true" w:anchor="_bookmark259">
        <w:r>
          <w:rPr>
            <w:color w:val="005DA1"/>
            <w:position w:val="5"/>
            <w:sz w:val="14"/>
            <w:u w:val="single" w:color="005DA1"/>
          </w:rPr>
          <w:t>143</w:t>
        </w:r>
      </w:hyperlink>
      <w:r>
        <w:rPr>
          <w:position w:val="5"/>
          <w:sz w:val="14"/>
        </w:rPr>
        <w:t>.</w:t>
      </w:r>
      <w:r>
        <w:rPr>
          <w:spacing w:val="40"/>
          <w:position w:val="5"/>
          <w:sz w:val="14"/>
        </w:rPr>
        <w:t>  </w:t>
      </w:r>
      <w:r>
        <w:rPr>
          <w:rFonts w:ascii="Arial" w:hAnsi="Arial"/>
          <w:i/>
          <w:sz w:val="20"/>
        </w:rPr>
        <w:t>Anglia Television v Reed [1972] 1 Q.B. 60</w:t>
      </w:r>
      <w:r>
        <w:rPr>
          <w:sz w:val="20"/>
        </w:rPr>
        <w:t>; </w:t>
      </w:r>
      <w:r>
        <w:rPr>
          <w:rFonts w:ascii="Arial" w:hAnsi="Arial"/>
          <w:i/>
          <w:sz w:val="20"/>
        </w:rPr>
        <w:t>C.C.C. Films (London) Ltd v Impact Quadrant </w:t>
      </w:r>
      <w:r>
        <w:rPr>
          <w:rFonts w:ascii="Arial" w:hAnsi="Arial"/>
          <w:i/>
          <w:sz w:val="20"/>
        </w:rPr>
        <w:t>Films [1985] Q.B. 16, 31–32</w:t>
      </w:r>
      <w:r>
        <w:rPr>
          <w:sz w:val="20"/>
        </w:rPr>
        <w:t>; </w:t>
      </w:r>
      <w:r>
        <w:rPr>
          <w:rFonts w:ascii="Arial" w:hAnsi="Arial"/>
          <w:i/>
          <w:sz w:val="20"/>
        </w:rPr>
        <w:t>Khan v Malik [2011] EWHC 1319 (Ch) </w:t>
      </w:r>
      <w:r>
        <w:rPr>
          <w:sz w:val="20"/>
        </w:rPr>
        <w:t>at [129]. On the possibility of a “split” claim, see below, para.26-029.</w:t>
      </w:r>
    </w:p>
    <w:p>
      <w:pPr>
        <w:pStyle w:val="BodyText"/>
        <w:spacing w:before="5"/>
      </w:pPr>
    </w:p>
    <w:p>
      <w:pPr>
        <w:pStyle w:val="BodyText"/>
        <w:tabs>
          <w:tab w:pos="705" w:val="left" w:leader="none"/>
        </w:tabs>
        <w:spacing w:line="227" w:lineRule="exact"/>
        <w:ind w:left="165"/>
      </w:pPr>
      <w:bookmarkStart w:name="_bookmark321" w:id="323"/>
      <w:bookmarkEnd w:id="323"/>
      <w:r>
        <w:rPr/>
      </w:r>
      <w:hyperlink w:history="true" w:anchor="_bookmark260">
        <w:r>
          <w:rPr>
            <w:color w:val="005DA1"/>
            <w:spacing w:val="-4"/>
            <w:position w:val="5"/>
            <w:sz w:val="14"/>
            <w:u w:val="single" w:color="005DA1"/>
          </w:rPr>
          <w:t>144</w:t>
        </w:r>
      </w:hyperlink>
      <w:r>
        <w:rPr>
          <w:spacing w:val="-4"/>
          <w:position w:val="5"/>
          <w:sz w:val="14"/>
        </w:rPr>
        <w:t>.</w:t>
      </w:r>
      <w:r>
        <w:rPr>
          <w:position w:val="5"/>
          <w:sz w:val="14"/>
        </w:rPr>
        <w:tab/>
      </w:r>
      <w:r>
        <w:rPr/>
        <w:t>See</w:t>
      </w:r>
      <w:r>
        <w:rPr>
          <w:spacing w:val="17"/>
        </w:rPr>
        <w:t> </w:t>
      </w:r>
      <w:r>
        <w:rPr/>
        <w:t>Campbell</w:t>
      </w:r>
      <w:r>
        <w:rPr>
          <w:spacing w:val="17"/>
        </w:rPr>
        <w:t> </w:t>
      </w:r>
      <w:r>
        <w:rPr/>
        <w:t>(2015)</w:t>
      </w:r>
      <w:r>
        <w:rPr>
          <w:spacing w:val="17"/>
        </w:rPr>
        <w:t> </w:t>
      </w:r>
      <w:r>
        <w:rPr/>
        <w:t>78</w:t>
      </w:r>
      <w:r>
        <w:rPr>
          <w:spacing w:val="17"/>
        </w:rPr>
        <w:t> </w:t>
      </w:r>
      <w:r>
        <w:rPr/>
        <w:t>MLR</w:t>
      </w:r>
      <w:r>
        <w:rPr>
          <w:spacing w:val="17"/>
        </w:rPr>
        <w:t> </w:t>
      </w:r>
      <w:r>
        <w:rPr/>
        <w:t>296,</w:t>
      </w:r>
      <w:r>
        <w:rPr>
          <w:spacing w:val="17"/>
        </w:rPr>
        <w:t> </w:t>
      </w:r>
      <w:r>
        <w:rPr/>
        <w:t>314-318,</w:t>
      </w:r>
      <w:r>
        <w:rPr>
          <w:spacing w:val="17"/>
        </w:rPr>
        <w:t> </w:t>
      </w:r>
      <w:r>
        <w:rPr/>
        <w:t>explain</w:t>
      </w:r>
      <w:r>
        <w:rPr>
          <w:spacing w:val="17"/>
        </w:rPr>
        <w:t> </w:t>
      </w:r>
      <w:r>
        <w:rPr/>
        <w:t>the</w:t>
      </w:r>
      <w:r>
        <w:rPr>
          <w:spacing w:val="17"/>
        </w:rPr>
        <w:t> </w:t>
      </w:r>
      <w:r>
        <w:rPr/>
        <w:t>facts</w:t>
      </w:r>
      <w:r>
        <w:rPr>
          <w:spacing w:val="17"/>
        </w:rPr>
        <w:t> </w:t>
      </w:r>
      <w:r>
        <w:rPr/>
        <w:t>and</w:t>
      </w:r>
      <w:r>
        <w:rPr>
          <w:spacing w:val="17"/>
        </w:rPr>
        <w:t> </w:t>
      </w:r>
      <w:r>
        <w:rPr/>
        <w:t>decision</w:t>
      </w:r>
      <w:r>
        <w:rPr>
          <w:spacing w:val="17"/>
        </w:rPr>
        <w:t> </w:t>
      </w:r>
      <w:r>
        <w:rPr/>
        <w:t>in</w:t>
      </w:r>
      <w:r>
        <w:rPr>
          <w:spacing w:val="17"/>
        </w:rPr>
        <w:t> </w:t>
      </w:r>
      <w:r>
        <w:rPr/>
        <w:t>the</w:t>
      </w:r>
      <w:r>
        <w:rPr>
          <w:spacing w:val="17"/>
        </w:rPr>
        <w:t> </w:t>
      </w:r>
      <w:r>
        <w:rPr/>
        <w:t>US</w:t>
      </w:r>
      <w:r>
        <w:rPr>
          <w:spacing w:val="17"/>
        </w:rPr>
        <w:t> </w:t>
      </w:r>
      <w:r>
        <w:rPr/>
        <w:t>case</w:t>
      </w:r>
      <w:r>
        <w:rPr>
          <w:spacing w:val="17"/>
        </w:rPr>
        <w:t> </w:t>
      </w:r>
      <w:r>
        <w:rPr>
          <w:spacing w:val="-5"/>
        </w:rPr>
        <w:t>of</w:t>
      </w:r>
    </w:p>
    <w:p>
      <w:pPr>
        <w:spacing w:line="227" w:lineRule="exact" w:before="0"/>
        <w:ind w:left="705" w:right="0" w:firstLine="0"/>
        <w:jc w:val="left"/>
        <w:rPr>
          <w:sz w:val="20"/>
        </w:rPr>
      </w:pPr>
      <w:r>
        <w:rPr>
          <w:rFonts w:ascii="Arial"/>
          <w:i/>
          <w:sz w:val="20"/>
        </w:rPr>
        <w:t>Boomer v Muir (1933) 24 P.2d 570</w:t>
      </w:r>
      <w:r>
        <w:rPr>
          <w:rFonts w:ascii="Arial"/>
          <w:i/>
          <w:spacing w:val="-1"/>
          <w:sz w:val="20"/>
        </w:rPr>
        <w:t> </w:t>
      </w:r>
      <w:r>
        <w:rPr>
          <w:sz w:val="20"/>
        </w:rPr>
        <w:t>(a case on quantum meruit: see below, para.29-</w:t>
      </w:r>
      <w:r>
        <w:rPr>
          <w:spacing w:val="-4"/>
          <w:sz w:val="20"/>
        </w:rPr>
        <w:t>074)</w:t>
      </w:r>
    </w:p>
    <w:p>
      <w:pPr>
        <w:pStyle w:val="BodyText"/>
        <w:spacing w:before="5"/>
      </w:pPr>
    </w:p>
    <w:p>
      <w:pPr>
        <w:pStyle w:val="BodyText"/>
        <w:tabs>
          <w:tab w:pos="705" w:val="left" w:leader="none"/>
        </w:tabs>
        <w:ind w:left="165"/>
      </w:pPr>
      <w:bookmarkStart w:name="_bookmark322" w:id="324"/>
      <w:bookmarkEnd w:id="324"/>
      <w:r>
        <w:rPr/>
      </w:r>
      <w:hyperlink w:history="true" w:anchor="_bookmark261">
        <w:r>
          <w:rPr>
            <w:color w:val="005DA1"/>
            <w:spacing w:val="-4"/>
            <w:position w:val="5"/>
            <w:sz w:val="14"/>
            <w:u w:val="single" w:color="005DA1"/>
          </w:rPr>
          <w:t>145</w:t>
        </w:r>
      </w:hyperlink>
      <w:r>
        <w:rPr>
          <w:spacing w:val="-4"/>
          <w:position w:val="5"/>
          <w:sz w:val="14"/>
        </w:rPr>
        <w:t>.</w:t>
      </w:r>
      <w:r>
        <w:rPr>
          <w:position w:val="5"/>
          <w:sz w:val="14"/>
        </w:rPr>
        <w:tab/>
      </w:r>
      <w:r>
        <w:rPr/>
        <w:t>See above, para.26-021 and below, paras 29-057—29-</w:t>
      </w:r>
      <w:r>
        <w:rPr>
          <w:spacing w:val="-4"/>
        </w:rPr>
        <w:t>067.</w:t>
      </w:r>
    </w:p>
    <w:p>
      <w:pPr>
        <w:pStyle w:val="BodyText"/>
        <w:spacing w:before="5"/>
      </w:pPr>
    </w:p>
    <w:p>
      <w:pPr>
        <w:tabs>
          <w:tab w:pos="705" w:val="left" w:leader="none"/>
        </w:tabs>
        <w:spacing w:before="0"/>
        <w:ind w:left="165" w:right="0" w:firstLine="0"/>
        <w:jc w:val="left"/>
        <w:rPr>
          <w:sz w:val="20"/>
        </w:rPr>
      </w:pPr>
      <w:bookmarkStart w:name="_bookmark323" w:id="325"/>
      <w:bookmarkEnd w:id="325"/>
      <w:r>
        <w:rPr/>
      </w:r>
      <w:hyperlink w:history="true" w:anchor="_bookmark262">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(1951)</w:t>
      </w:r>
      <w:r>
        <w:rPr>
          <w:rFonts w:ascii="Arial"/>
          <w:i/>
          <w:spacing w:val="-1"/>
          <w:sz w:val="20"/>
        </w:rPr>
        <w:t> </w:t>
      </w:r>
      <w:r>
        <w:rPr>
          <w:rFonts w:ascii="Arial"/>
          <w:i/>
          <w:sz w:val="20"/>
        </w:rPr>
        <w:t>84 C.L.R. 377</w:t>
      </w:r>
      <w:r>
        <w:rPr>
          <w:sz w:val="20"/>
        </w:rPr>
        <w:t>. Another example is provided by</w:t>
      </w:r>
      <w:r>
        <w:rPr>
          <w:spacing w:val="-1"/>
          <w:sz w:val="20"/>
        </w:rPr>
        <w:t> </w:t>
      </w:r>
      <w:r>
        <w:rPr>
          <w:rFonts w:ascii="Arial"/>
          <w:i/>
          <w:sz w:val="20"/>
        </w:rPr>
        <w:t>Harling v Eddy [1951] 2 K.B. </w:t>
      </w:r>
      <w:r>
        <w:rPr>
          <w:rFonts w:ascii="Arial"/>
          <w:i/>
          <w:spacing w:val="-4"/>
          <w:sz w:val="20"/>
        </w:rPr>
        <w:t>739</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324" w:id="326"/>
      <w:bookmarkEnd w:id="326"/>
      <w:r>
        <w:rPr/>
      </w:r>
      <w:hyperlink w:history="true" w:anchor="_bookmark263">
        <w:r>
          <w:rPr>
            <w:color w:val="005DA1"/>
            <w:spacing w:val="-4"/>
            <w:position w:val="5"/>
            <w:sz w:val="14"/>
            <w:u w:val="single" w:color="005DA1"/>
          </w:rPr>
          <w:t>147</w:t>
        </w:r>
      </w:hyperlink>
      <w:r>
        <w:rPr>
          <w:spacing w:val="-4"/>
          <w:position w:val="5"/>
          <w:sz w:val="14"/>
        </w:rPr>
        <w:t>.</w:t>
      </w:r>
      <w:r>
        <w:rPr>
          <w:position w:val="5"/>
          <w:sz w:val="14"/>
        </w:rPr>
        <w:tab/>
      </w:r>
      <w:r>
        <w:rPr/>
        <w:t>The</w:t>
      </w:r>
      <w:r>
        <w:rPr>
          <w:spacing w:val="67"/>
        </w:rPr>
        <w:t> </w:t>
      </w:r>
      <w:r>
        <w:rPr/>
        <w:t>other</w:t>
      </w:r>
      <w:r>
        <w:rPr>
          <w:spacing w:val="67"/>
        </w:rPr>
        <w:t> </w:t>
      </w:r>
      <w:r>
        <w:rPr/>
        <w:t>expenditure</w:t>
      </w:r>
      <w:r>
        <w:rPr>
          <w:spacing w:val="67"/>
        </w:rPr>
        <w:t> </w:t>
      </w:r>
      <w:r>
        <w:rPr/>
        <w:t>(the</w:t>
      </w:r>
      <w:r>
        <w:rPr>
          <w:spacing w:val="67"/>
        </w:rPr>
        <w:t> </w:t>
      </w:r>
      <w:r>
        <w:rPr/>
        <w:t>cost</w:t>
      </w:r>
      <w:r>
        <w:rPr>
          <w:spacing w:val="67"/>
        </w:rPr>
        <w:t> </w:t>
      </w:r>
      <w:r>
        <w:rPr/>
        <w:t>of</w:t>
      </w:r>
      <w:r>
        <w:rPr>
          <w:spacing w:val="67"/>
        </w:rPr>
        <w:t> </w:t>
      </w:r>
      <w:r>
        <w:rPr/>
        <w:t>an</w:t>
      </w:r>
      <w:r>
        <w:rPr>
          <w:spacing w:val="67"/>
        </w:rPr>
        <w:t> </w:t>
      </w:r>
      <w:r>
        <w:rPr/>
        <w:t>abortive</w:t>
      </w:r>
      <w:r>
        <w:rPr>
          <w:spacing w:val="67"/>
        </w:rPr>
        <w:t> </w:t>
      </w:r>
      <w:r>
        <w:rPr/>
        <w:t>salvage</w:t>
      </w:r>
      <w:r>
        <w:rPr>
          <w:spacing w:val="67"/>
        </w:rPr>
        <w:t> </w:t>
      </w:r>
      <w:r>
        <w:rPr/>
        <w:t>expedition)</w:t>
      </w:r>
      <w:r>
        <w:rPr>
          <w:spacing w:val="67"/>
        </w:rPr>
        <w:t> </w:t>
      </w:r>
      <w:r>
        <w:rPr/>
        <w:t>was</w:t>
      </w:r>
      <w:r>
        <w:rPr>
          <w:spacing w:val="67"/>
        </w:rPr>
        <w:t> </w:t>
      </w:r>
      <w:r>
        <w:rPr/>
        <w:t>not</w:t>
      </w:r>
      <w:r>
        <w:rPr>
          <w:spacing w:val="67"/>
        </w:rPr>
        <w:t> </w:t>
      </w:r>
      <w:r>
        <w:rPr/>
        <w:t>directed</w:t>
      </w:r>
      <w:r>
        <w:rPr>
          <w:spacing w:val="67"/>
        </w:rPr>
        <w:t> </w:t>
      </w:r>
      <w:r>
        <w:rPr/>
        <w:t>at performance: cf. para.26-027 below.</w:t>
      </w:r>
    </w:p>
    <w:p>
      <w:pPr>
        <w:pStyle w:val="BodyText"/>
        <w:spacing w:before="6"/>
      </w:pPr>
    </w:p>
    <w:p>
      <w:pPr>
        <w:pStyle w:val="BodyText"/>
        <w:tabs>
          <w:tab w:pos="705" w:val="left" w:leader="none"/>
        </w:tabs>
        <w:ind w:left="165"/>
      </w:pPr>
      <w:bookmarkStart w:name="_bookmark325" w:id="327"/>
      <w:bookmarkEnd w:id="327"/>
      <w:r>
        <w:rPr/>
      </w:r>
      <w:hyperlink w:history="true" w:anchor="_bookmark264">
        <w:r>
          <w:rPr>
            <w:color w:val="005DA1"/>
            <w:spacing w:val="-4"/>
            <w:position w:val="5"/>
            <w:sz w:val="14"/>
            <w:u w:val="single" w:color="005DA1"/>
          </w:rPr>
          <w:t>148</w:t>
        </w:r>
      </w:hyperlink>
      <w:r>
        <w:rPr>
          <w:spacing w:val="-4"/>
          <w:position w:val="5"/>
          <w:sz w:val="14"/>
        </w:rPr>
        <w:t>.</w:t>
      </w:r>
      <w:r>
        <w:rPr>
          <w:position w:val="5"/>
          <w:sz w:val="14"/>
        </w:rPr>
        <w:tab/>
      </w:r>
      <w:r>
        <w:rPr/>
        <w:t>See</w:t>
      </w:r>
      <w:r>
        <w:rPr>
          <w:spacing w:val="-2"/>
        </w:rPr>
        <w:t> </w:t>
      </w:r>
      <w:r>
        <w:rPr/>
        <w:t>above, para.26-</w:t>
      </w:r>
      <w:r>
        <w:rPr>
          <w:spacing w:val="-4"/>
        </w:rPr>
        <w:t>024.</w:t>
      </w:r>
    </w:p>
    <w:p>
      <w:pPr>
        <w:pStyle w:val="BodyText"/>
        <w:spacing w:before="8"/>
      </w:pPr>
    </w:p>
    <w:p>
      <w:pPr>
        <w:pStyle w:val="BodyText"/>
        <w:spacing w:line="235" w:lineRule="auto" w:before="1"/>
        <w:ind w:left="705" w:right="167" w:hanging="541"/>
        <w:jc w:val="both"/>
      </w:pPr>
      <w:bookmarkStart w:name="_bookmark326" w:id="328"/>
      <w:bookmarkEnd w:id="328"/>
      <w:r>
        <w:rPr/>
      </w:r>
      <w:hyperlink w:history="true" w:anchor="_bookmark265">
        <w:r>
          <w:rPr>
            <w:color w:val="005DA1"/>
            <w:position w:val="5"/>
            <w:sz w:val="14"/>
            <w:u w:val="single" w:color="005DA1"/>
          </w:rPr>
          <w:t>149</w:t>
        </w:r>
      </w:hyperlink>
      <w:r>
        <w:rPr>
          <w:position w:val="5"/>
          <w:sz w:val="14"/>
        </w:rPr>
        <w:t>.</w:t>
      </w:r>
      <w:r>
        <w:rPr>
          <w:spacing w:val="80"/>
          <w:position w:val="5"/>
          <w:sz w:val="14"/>
        </w:rPr>
        <w:t>  </w:t>
      </w:r>
      <w:r>
        <w:rPr>
          <w:rFonts w:ascii="Arial" w:hAnsi="Arial"/>
          <w:i/>
        </w:rPr>
        <w:t>Khan</w:t>
      </w:r>
      <w:r>
        <w:rPr>
          <w:rFonts w:ascii="Arial" w:hAnsi="Arial"/>
          <w:i/>
          <w:spacing w:val="33"/>
        </w:rPr>
        <w:t> </w:t>
      </w:r>
      <w:r>
        <w:rPr>
          <w:rFonts w:ascii="Arial" w:hAnsi="Arial"/>
          <w:i/>
        </w:rPr>
        <w:t>v</w:t>
      </w:r>
      <w:r>
        <w:rPr>
          <w:rFonts w:ascii="Arial" w:hAnsi="Arial"/>
          <w:i/>
          <w:spacing w:val="33"/>
        </w:rPr>
        <w:t> </w:t>
      </w:r>
      <w:r>
        <w:rPr>
          <w:rFonts w:ascii="Arial" w:hAnsi="Arial"/>
          <w:i/>
        </w:rPr>
        <w:t>Malik</w:t>
      </w:r>
      <w:r>
        <w:rPr>
          <w:rFonts w:ascii="Arial" w:hAnsi="Arial"/>
          <w:i/>
          <w:spacing w:val="33"/>
        </w:rPr>
        <w:t> </w:t>
      </w:r>
      <w:r>
        <w:rPr>
          <w:rFonts w:ascii="Arial" w:hAnsi="Arial"/>
          <w:i/>
        </w:rPr>
        <w:t>[2011]</w:t>
      </w:r>
      <w:r>
        <w:rPr>
          <w:rFonts w:ascii="Arial" w:hAnsi="Arial"/>
          <w:i/>
          <w:spacing w:val="33"/>
        </w:rPr>
        <w:t> </w:t>
      </w:r>
      <w:r>
        <w:rPr>
          <w:rFonts w:ascii="Arial" w:hAnsi="Arial"/>
          <w:i/>
        </w:rPr>
        <w:t>EWHC</w:t>
      </w:r>
      <w:r>
        <w:rPr>
          <w:rFonts w:ascii="Arial" w:hAnsi="Arial"/>
          <w:i/>
          <w:spacing w:val="33"/>
        </w:rPr>
        <w:t> </w:t>
      </w:r>
      <w:r>
        <w:rPr>
          <w:rFonts w:ascii="Arial" w:hAnsi="Arial"/>
          <w:i/>
        </w:rPr>
        <w:t>1319</w:t>
      </w:r>
      <w:r>
        <w:rPr>
          <w:rFonts w:ascii="Arial" w:hAnsi="Arial"/>
          <w:i/>
          <w:spacing w:val="33"/>
        </w:rPr>
        <w:t> </w:t>
      </w:r>
      <w:r>
        <w:rPr>
          <w:rFonts w:ascii="Arial" w:hAnsi="Arial"/>
          <w:i/>
        </w:rPr>
        <w:t>(Ch)</w:t>
      </w:r>
      <w:r>
        <w:rPr>
          <w:rFonts w:ascii="Arial" w:hAnsi="Arial"/>
          <w:i/>
          <w:spacing w:val="32"/>
        </w:rPr>
        <w:t> </w:t>
      </w:r>
      <w:r>
        <w:rPr/>
        <w:t>at</w:t>
      </w:r>
      <w:r>
        <w:rPr>
          <w:spacing w:val="33"/>
        </w:rPr>
        <w:t> </w:t>
      </w:r>
      <w:r>
        <w:rPr/>
        <w:t>[130].</w:t>
      </w:r>
      <w:r>
        <w:rPr>
          <w:spacing w:val="33"/>
        </w:rPr>
        <w:t> </w:t>
      </w:r>
      <w:r>
        <w:rPr/>
        <w:t>In</w:t>
      </w:r>
      <w:r>
        <w:rPr>
          <w:spacing w:val="33"/>
        </w:rPr>
        <w:t> </w:t>
      </w:r>
      <w:r>
        <w:rPr>
          <w:rFonts w:ascii="Arial" w:hAnsi="Arial"/>
          <w:i/>
        </w:rPr>
        <w:t>Howard-Jones</w:t>
      </w:r>
      <w:r>
        <w:rPr>
          <w:rFonts w:ascii="Arial" w:hAnsi="Arial"/>
          <w:i/>
          <w:spacing w:val="33"/>
        </w:rPr>
        <w:t> </w:t>
      </w:r>
      <w:r>
        <w:rPr>
          <w:rFonts w:ascii="Arial" w:hAnsi="Arial"/>
          <w:i/>
        </w:rPr>
        <w:t>v</w:t>
      </w:r>
      <w:r>
        <w:rPr>
          <w:rFonts w:ascii="Arial" w:hAnsi="Arial"/>
          <w:i/>
          <w:spacing w:val="33"/>
        </w:rPr>
        <w:t> </w:t>
      </w:r>
      <w:r>
        <w:rPr>
          <w:rFonts w:ascii="Arial" w:hAnsi="Arial"/>
          <w:i/>
        </w:rPr>
        <w:t>Tate</w:t>
      </w:r>
      <w:r>
        <w:rPr>
          <w:rFonts w:ascii="Arial" w:hAnsi="Arial"/>
          <w:i/>
          <w:spacing w:val="33"/>
        </w:rPr>
        <w:t> </w:t>
      </w:r>
      <w:r>
        <w:rPr>
          <w:rFonts w:ascii="Arial" w:hAnsi="Arial"/>
          <w:i/>
        </w:rPr>
        <w:t>[2011]</w:t>
      </w:r>
      <w:r>
        <w:rPr>
          <w:rFonts w:ascii="Arial" w:hAnsi="Arial"/>
          <w:i/>
          <w:spacing w:val="33"/>
        </w:rPr>
        <w:t> </w:t>
      </w:r>
      <w:r>
        <w:rPr>
          <w:rFonts w:ascii="Arial" w:hAnsi="Arial"/>
          <w:i/>
        </w:rPr>
        <w:t>EWCA</w:t>
      </w:r>
      <w:r>
        <w:rPr>
          <w:rFonts w:ascii="Arial" w:hAnsi="Arial"/>
          <w:i/>
          <w:spacing w:val="33"/>
        </w:rPr>
        <w:t> </w:t>
      </w:r>
      <w:r>
        <w:rPr>
          <w:rFonts w:ascii="Arial" w:hAnsi="Arial"/>
          <w:i/>
        </w:rPr>
        <w:t>Civ 1330, [2012] 1 P. &amp; C.R. 11 </w:t>
      </w:r>
      <w:r>
        <w:rPr/>
        <w:t>it appears that a claim seeking reimbursement of the purchaser’s payment and expenses, made after he had terminated the contract because of the vendor’s non-performance of a post-completion obligation to install water and power, was denied on the basis that there had not been a total failure of consideration; but, with respect, it is hard to </w:t>
      </w:r>
      <w:r>
        <w:rPr/>
        <w:t>see why recovery by way of damages should be refused so long as (a) any benefits received by the purchaser before termination are taken into account; and (b) the purchaser was not put into a better position than he would have been in if the contract had been performed. The measure of damages</w:t>
      </w:r>
      <w:r>
        <w:rPr>
          <w:spacing w:val="-1"/>
        </w:rPr>
        <w:t> </w:t>
      </w:r>
      <w:r>
        <w:rPr/>
        <w:t>awarded</w:t>
      </w:r>
      <w:r>
        <w:rPr>
          <w:spacing w:val="-1"/>
        </w:rPr>
        <w:t> </w:t>
      </w:r>
      <w:r>
        <w:rPr/>
        <w:t>(the</w:t>
      </w:r>
      <w:r>
        <w:rPr>
          <w:spacing w:val="-1"/>
        </w:rPr>
        <w:t> </w:t>
      </w:r>
      <w:r>
        <w:rPr/>
        <w:t>cost</w:t>
      </w:r>
      <w:r>
        <w:rPr>
          <w:spacing w:val="-1"/>
        </w:rPr>
        <w:t> </w:t>
      </w:r>
      <w:r>
        <w:rPr/>
        <w:t>of</w:t>
      </w:r>
      <w:r>
        <w:rPr>
          <w:spacing w:val="-1"/>
        </w:rPr>
        <w:t> </w:t>
      </w:r>
      <w:r>
        <w:rPr/>
        <w:t>making</w:t>
      </w:r>
      <w:r>
        <w:rPr>
          <w:spacing w:val="-1"/>
        </w:rPr>
        <w:t> </w:t>
      </w:r>
      <w:r>
        <w:rPr/>
        <w:t>good</w:t>
      </w:r>
      <w:r>
        <w:rPr>
          <w:spacing w:val="-1"/>
        </w:rPr>
        <w:t> </w:t>
      </w:r>
      <w:r>
        <w:rPr/>
        <w:t>the</w:t>
      </w:r>
      <w:r>
        <w:rPr>
          <w:spacing w:val="-1"/>
        </w:rPr>
        <w:t> </w:t>
      </w:r>
      <w:r>
        <w:rPr/>
        <w:t>vendor’s</w:t>
      </w:r>
      <w:r>
        <w:rPr>
          <w:spacing w:val="-1"/>
        </w:rPr>
        <w:t> </w:t>
      </w:r>
      <w:r>
        <w:rPr/>
        <w:t>obligations</w:t>
      </w:r>
      <w:r>
        <w:rPr>
          <w:spacing w:val="-1"/>
        </w:rPr>
        <w:t> </w:t>
      </w:r>
      <w:r>
        <w:rPr/>
        <w:t>to</w:t>
      </w:r>
      <w:r>
        <w:rPr>
          <w:spacing w:val="-1"/>
        </w:rPr>
        <w:t> </w:t>
      </w:r>
      <w:r>
        <w:rPr/>
        <w:t>install</w:t>
      </w:r>
      <w:r>
        <w:rPr>
          <w:spacing w:val="-1"/>
        </w:rPr>
        <w:t> </w:t>
      </w:r>
      <w:r>
        <w:rPr/>
        <w:t>water</w:t>
      </w:r>
      <w:r>
        <w:rPr>
          <w:spacing w:val="-1"/>
        </w:rPr>
        <w:t> </w:t>
      </w:r>
      <w:r>
        <w:rPr/>
        <w:t>and</w:t>
      </w:r>
      <w:r>
        <w:rPr>
          <w:spacing w:val="-1"/>
        </w:rPr>
        <w:t> </w:t>
      </w:r>
      <w:r>
        <w:rPr/>
        <w:t>power) seems appropriate only on the assumption that, despite having the right to terminate the contract, the purchaser had not done so.</w:t>
      </w:r>
    </w:p>
    <w:p>
      <w:pPr>
        <w:pStyle w:val="BodyText"/>
        <w:spacing w:before="1"/>
      </w:pPr>
    </w:p>
    <w:p>
      <w:pPr>
        <w:tabs>
          <w:tab w:pos="705" w:val="left" w:leader="none"/>
        </w:tabs>
        <w:spacing w:before="1"/>
        <w:ind w:left="165" w:right="0" w:firstLine="0"/>
        <w:jc w:val="left"/>
        <w:rPr>
          <w:sz w:val="20"/>
        </w:rPr>
      </w:pPr>
      <w:bookmarkStart w:name="_bookmark327" w:id="329"/>
      <w:bookmarkEnd w:id="329"/>
      <w:r>
        <w:rPr/>
      </w:r>
      <w:hyperlink w:history="true" w:anchor="_bookmark266">
        <w:r>
          <w:rPr>
            <w:color w:val="005DA1"/>
            <w:spacing w:val="-4"/>
            <w:position w:val="5"/>
            <w:sz w:val="14"/>
            <w:u w:val="single" w:color="005DA1"/>
          </w:rPr>
          <w:t>150</w:t>
        </w:r>
      </w:hyperlink>
      <w:r>
        <w:rPr>
          <w:spacing w:val="-4"/>
          <w:position w:val="5"/>
          <w:sz w:val="14"/>
        </w:rPr>
        <w:t>.</w:t>
      </w:r>
      <w:r>
        <w:rPr>
          <w:position w:val="5"/>
          <w:sz w:val="14"/>
        </w:rPr>
        <w:tab/>
      </w:r>
      <w:r>
        <w:rPr>
          <w:rFonts w:ascii="Arial"/>
          <w:i/>
          <w:sz w:val="20"/>
        </w:rPr>
        <w:t>[2011] EWHC 1319 (Ch)</w:t>
      </w:r>
      <w:r>
        <w:rPr>
          <w:rFonts w:ascii="Arial"/>
          <w:i/>
          <w:spacing w:val="-1"/>
          <w:sz w:val="20"/>
        </w:rPr>
        <w:t> </w:t>
      </w:r>
      <w:r>
        <w:rPr>
          <w:sz w:val="20"/>
        </w:rPr>
        <w:t>at </w:t>
      </w:r>
      <w:r>
        <w:rPr>
          <w:spacing w:val="-2"/>
          <w:sz w:val="20"/>
        </w:rPr>
        <w:t>[132].</w:t>
      </w:r>
    </w:p>
    <w:p>
      <w:pPr>
        <w:pStyle w:val="BodyText"/>
        <w:spacing w:before="4"/>
      </w:pPr>
    </w:p>
    <w:p>
      <w:pPr>
        <w:pStyle w:val="BodyText"/>
        <w:tabs>
          <w:tab w:pos="705" w:val="left" w:leader="none"/>
        </w:tabs>
        <w:spacing w:before="1"/>
        <w:ind w:left="165"/>
      </w:pPr>
      <w:bookmarkStart w:name="_bookmark328" w:id="330"/>
      <w:bookmarkEnd w:id="330"/>
      <w:r>
        <w:rPr/>
      </w:r>
      <w:hyperlink w:history="true" w:anchor="_bookmark267">
        <w:r>
          <w:rPr>
            <w:color w:val="005DA1"/>
            <w:spacing w:val="-4"/>
            <w:position w:val="5"/>
            <w:sz w:val="14"/>
            <w:u w:val="single" w:color="005DA1"/>
          </w:rPr>
          <w:t>151</w:t>
        </w:r>
      </w:hyperlink>
      <w:r>
        <w:rPr>
          <w:spacing w:val="-4"/>
          <w:position w:val="5"/>
          <w:sz w:val="14"/>
        </w:rPr>
        <w:t>.</w:t>
      </w:r>
      <w:r>
        <w:rPr>
          <w:position w:val="5"/>
          <w:sz w:val="14"/>
        </w:rPr>
        <w:tab/>
      </w:r>
      <w:r>
        <w:rPr/>
        <w:t>See also the discussion of cases of failure to provide services, below, para.26-</w:t>
      </w:r>
      <w:r>
        <w:rPr>
          <w:spacing w:val="-4"/>
        </w:rPr>
        <w:t>041.</w:t>
      </w:r>
    </w:p>
    <w:p>
      <w:pPr>
        <w:pStyle w:val="BodyText"/>
        <w:spacing w:before="4"/>
      </w:pPr>
    </w:p>
    <w:p>
      <w:pPr>
        <w:tabs>
          <w:tab w:pos="705" w:val="left" w:leader="none"/>
        </w:tabs>
        <w:spacing w:before="1"/>
        <w:ind w:left="165" w:right="0" w:firstLine="0"/>
        <w:jc w:val="left"/>
        <w:rPr>
          <w:sz w:val="20"/>
        </w:rPr>
      </w:pPr>
      <w:bookmarkStart w:name="_bookmark329" w:id="331"/>
      <w:bookmarkEnd w:id="331"/>
      <w:r>
        <w:rPr/>
      </w:r>
      <w:hyperlink w:history="true" w:anchor="_bookmark268">
        <w:r>
          <w:rPr>
            <w:color w:val="005DA1"/>
            <w:spacing w:val="-4"/>
            <w:position w:val="5"/>
            <w:sz w:val="14"/>
            <w:u w:val="single" w:color="005DA1"/>
          </w:rPr>
          <w:t>152</w:t>
        </w:r>
      </w:hyperlink>
      <w:r>
        <w:rPr>
          <w:spacing w:val="-4"/>
          <w:position w:val="5"/>
          <w:sz w:val="14"/>
        </w:rPr>
        <w:t>.</w:t>
      </w:r>
      <w:r>
        <w:rPr>
          <w:position w:val="5"/>
          <w:sz w:val="14"/>
        </w:rPr>
        <w:tab/>
      </w:r>
      <w:r>
        <w:rPr>
          <w:rFonts w:ascii="Arial" w:hAnsi="Arial"/>
          <w:i/>
          <w:sz w:val="20"/>
        </w:rPr>
        <w:t>Peninsular &amp; Orient SN Co v Youell [1997] 2 Lloyd’s Rep. 136, </w:t>
      </w:r>
      <w:r>
        <w:rPr>
          <w:rFonts w:ascii="Arial" w:hAnsi="Arial"/>
          <w:i/>
          <w:spacing w:val="-4"/>
          <w:sz w:val="20"/>
        </w:rPr>
        <w:t>141</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330" w:id="332"/>
      <w:bookmarkEnd w:id="332"/>
      <w:r>
        <w:rPr/>
      </w:r>
      <w:hyperlink w:history="true" w:anchor="_bookmark269">
        <w:r>
          <w:rPr>
            <w:color w:val="005DA1"/>
            <w:spacing w:val="-4"/>
            <w:position w:val="5"/>
            <w:sz w:val="14"/>
            <w:u w:val="single" w:color="005DA1"/>
          </w:rPr>
          <w:t>153</w:t>
        </w:r>
      </w:hyperlink>
      <w:r>
        <w:rPr>
          <w:spacing w:val="-4"/>
          <w:position w:val="5"/>
          <w:sz w:val="14"/>
        </w:rPr>
        <w:t>.</w:t>
      </w:r>
      <w:r>
        <w:rPr>
          <w:position w:val="5"/>
          <w:sz w:val="14"/>
        </w:rPr>
        <w:tab/>
      </w:r>
      <w:r>
        <w:rPr>
          <w:sz w:val="20"/>
        </w:rPr>
        <w:t>e.g.</w:t>
      </w:r>
      <w:r>
        <w:rPr>
          <w:spacing w:val="33"/>
          <w:sz w:val="20"/>
        </w:rPr>
        <w:t> </w:t>
      </w:r>
      <w:r>
        <w:rPr>
          <w:rFonts w:ascii="Arial" w:hAnsi="Arial"/>
          <w:i/>
          <w:sz w:val="20"/>
        </w:rPr>
        <w:t>Stocznia</w:t>
      </w:r>
      <w:r>
        <w:rPr>
          <w:rFonts w:ascii="Arial" w:hAnsi="Arial"/>
          <w:i/>
          <w:spacing w:val="33"/>
          <w:sz w:val="20"/>
        </w:rPr>
        <w:t> </w:t>
      </w:r>
      <w:r>
        <w:rPr>
          <w:rFonts w:ascii="Arial" w:hAnsi="Arial"/>
          <w:i/>
          <w:sz w:val="20"/>
        </w:rPr>
        <w:t>Gdanska</w:t>
      </w:r>
      <w:r>
        <w:rPr>
          <w:rFonts w:ascii="Arial" w:hAnsi="Arial"/>
          <w:i/>
          <w:spacing w:val="33"/>
          <w:sz w:val="20"/>
        </w:rPr>
        <w:t> </w:t>
      </w:r>
      <w:r>
        <w:rPr>
          <w:rFonts w:ascii="Arial" w:hAnsi="Arial"/>
          <w:i/>
          <w:sz w:val="20"/>
        </w:rPr>
        <w:t>SA</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Latvian</w:t>
      </w:r>
      <w:r>
        <w:rPr>
          <w:rFonts w:ascii="Arial" w:hAnsi="Arial"/>
          <w:i/>
          <w:spacing w:val="33"/>
          <w:sz w:val="20"/>
        </w:rPr>
        <w:t> </w:t>
      </w:r>
      <w:r>
        <w:rPr>
          <w:rFonts w:ascii="Arial" w:hAnsi="Arial"/>
          <w:i/>
          <w:sz w:val="20"/>
        </w:rPr>
        <w:t>Shipping</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Latreefers</w:t>
      </w:r>
      <w:r>
        <w:rPr>
          <w:rFonts w:ascii="Arial" w:hAnsi="Arial"/>
          <w:i/>
          <w:spacing w:val="33"/>
          <w:sz w:val="20"/>
        </w:rPr>
        <w:t> </w:t>
      </w:r>
      <w:r>
        <w:rPr>
          <w:rFonts w:ascii="Arial" w:hAnsi="Arial"/>
          <w:i/>
          <w:sz w:val="20"/>
        </w:rPr>
        <w:t>Inc</w:t>
      </w:r>
      <w:r>
        <w:rPr>
          <w:rFonts w:ascii="Arial" w:hAnsi="Arial"/>
          <w:i/>
          <w:spacing w:val="33"/>
          <w:sz w:val="20"/>
        </w:rPr>
        <w:t> </w:t>
      </w:r>
      <w:r>
        <w:rPr>
          <w:rFonts w:ascii="Arial" w:hAnsi="Arial"/>
          <w:i/>
          <w:sz w:val="20"/>
        </w:rPr>
        <w:t>[1998]</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W.L.R.</w:t>
      </w:r>
      <w:r>
        <w:rPr>
          <w:rFonts w:ascii="Arial" w:hAnsi="Arial"/>
          <w:i/>
          <w:spacing w:val="33"/>
          <w:sz w:val="20"/>
        </w:rPr>
        <w:t> </w:t>
      </w:r>
      <w:r>
        <w:rPr>
          <w:rFonts w:ascii="Arial" w:hAnsi="Arial"/>
          <w:i/>
          <w:sz w:val="20"/>
        </w:rPr>
        <w:t>574</w:t>
      </w:r>
      <w:r>
        <w:rPr>
          <w:sz w:val="20"/>
        </w:rPr>
        <w:t>.</w:t>
      </w:r>
      <w:r>
        <w:rPr>
          <w:spacing w:val="33"/>
          <w:sz w:val="20"/>
        </w:rPr>
        <w:t> </w:t>
      </w:r>
      <w:r>
        <w:rPr>
          <w:sz w:val="20"/>
        </w:rPr>
        <w:t>See below, paras 29-057—29-058.</w:t>
      </w:r>
    </w:p>
    <w:p>
      <w:pPr>
        <w:pStyle w:val="BodyText"/>
        <w:spacing w:before="10"/>
      </w:pPr>
    </w:p>
    <w:p>
      <w:pPr>
        <w:pStyle w:val="BodyText"/>
        <w:spacing w:line="235" w:lineRule="auto"/>
        <w:ind w:left="705" w:right="167" w:hanging="541"/>
        <w:jc w:val="both"/>
      </w:pPr>
      <w:bookmarkStart w:name="_bookmark331" w:id="333"/>
      <w:bookmarkEnd w:id="333"/>
      <w:r>
        <w:rPr/>
      </w:r>
      <w:hyperlink w:history="true" w:anchor="_bookmark270">
        <w:r>
          <w:rPr>
            <w:color w:val="005DA1"/>
            <w:position w:val="5"/>
            <w:sz w:val="14"/>
            <w:u w:val="single" w:color="005DA1"/>
          </w:rPr>
          <w:t>154</w:t>
        </w:r>
      </w:hyperlink>
      <w:r>
        <w:rPr>
          <w:position w:val="5"/>
          <w:sz w:val="14"/>
        </w:rPr>
        <w:t>.</w:t>
      </w:r>
      <w:r>
        <w:rPr>
          <w:spacing w:val="80"/>
          <w:position w:val="5"/>
          <w:sz w:val="14"/>
        </w:rPr>
        <w:t>  </w:t>
      </w:r>
      <w:r>
        <w:rPr/>
        <w:t>For a worked example, see below, para.29-063. See also </w:t>
      </w:r>
      <w:r>
        <w:rPr>
          <w:rFonts w:ascii="Arial" w:hAnsi="Arial"/>
          <w:i/>
        </w:rPr>
        <w:t>Giedo van der Garde BV v Force</w:t>
      </w:r>
      <w:r>
        <w:rPr>
          <w:rFonts w:ascii="Arial" w:hAnsi="Arial"/>
          <w:i/>
          <w:spacing w:val="40"/>
        </w:rPr>
        <w:t> </w:t>
      </w:r>
      <w:r>
        <w:rPr>
          <w:rFonts w:ascii="Arial" w:hAnsi="Arial"/>
          <w:i/>
        </w:rPr>
        <w:t>India Formula One Team Ltd [2010] EWHC 2373 (QB) </w:t>
      </w:r>
      <w:r>
        <w:rPr/>
        <w:t>at [433], Hamblen J. (“Unlike in a claim for restitution, the contract price forms no part of the relief or remedy to which the claimant is entitled. In so far as it is relevant its relevance is evidential in the sense that in an appropriate case an inference may be drawn from the contract price as to the value of the services to which the claimant was entitled and for whose value he is entitled to be compensated.”)</w:t>
      </w:r>
    </w:p>
    <w:p>
      <w:pPr>
        <w:pStyle w:val="BodyText"/>
        <w:spacing w:before="7"/>
      </w:pPr>
    </w:p>
    <w:p>
      <w:pPr>
        <w:pStyle w:val="BodyText"/>
        <w:tabs>
          <w:tab w:pos="705" w:val="left" w:leader="none"/>
        </w:tabs>
        <w:spacing w:line="235" w:lineRule="auto"/>
        <w:ind w:left="705" w:right="174" w:hanging="541"/>
      </w:pPr>
      <w:bookmarkStart w:name="_bookmark332" w:id="334"/>
      <w:bookmarkEnd w:id="334"/>
      <w:r>
        <w:rPr/>
      </w:r>
      <w:hyperlink w:history="true" w:anchor="_bookmark271">
        <w:r>
          <w:rPr>
            <w:color w:val="005DA1"/>
            <w:spacing w:val="-4"/>
            <w:position w:val="5"/>
            <w:sz w:val="14"/>
            <w:u w:val="single" w:color="005DA1"/>
          </w:rPr>
          <w:t>155</w:t>
        </w:r>
      </w:hyperlink>
      <w:r>
        <w:rPr>
          <w:spacing w:val="-4"/>
          <w:position w:val="5"/>
          <w:sz w:val="14"/>
        </w:rPr>
        <w:t>.</w:t>
      </w:r>
      <w:r>
        <w:rPr>
          <w:position w:val="5"/>
          <w:sz w:val="14"/>
        </w:rPr>
        <w:tab/>
      </w:r>
      <w:r>
        <w:rPr/>
        <w:t>See below, para.26-079. The claimant’s damages will be calculated on the basis that he </w:t>
      </w:r>
      <w:r>
        <w:rPr/>
        <w:t>took</w:t>
      </w:r>
      <w:r>
        <w:rPr>
          <w:spacing w:val="40"/>
        </w:rPr>
        <w:t> </w:t>
      </w:r>
      <w:r>
        <w:rPr/>
        <w:t>reasonable steps to realise the salvage value of anything left on his hands after the breach.</w:t>
      </w:r>
    </w:p>
    <w:p>
      <w:pPr>
        <w:pStyle w:val="BodyText"/>
        <w:spacing w:before="10"/>
      </w:pPr>
    </w:p>
    <w:p>
      <w:pPr>
        <w:tabs>
          <w:tab w:pos="705" w:val="left" w:leader="none"/>
        </w:tabs>
        <w:spacing w:line="235" w:lineRule="auto" w:before="0"/>
        <w:ind w:left="705" w:right="167" w:hanging="541"/>
        <w:jc w:val="left"/>
        <w:rPr>
          <w:sz w:val="20"/>
        </w:rPr>
      </w:pPr>
      <w:bookmarkStart w:name="_bookmark333" w:id="335"/>
      <w:bookmarkEnd w:id="335"/>
      <w:r>
        <w:rPr/>
      </w:r>
      <w:hyperlink w:history="true" w:anchor="_bookmark272">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Mason v Burningham [1949] 2 K.B. 545</w:t>
      </w:r>
      <w:r>
        <w:rPr>
          <w:sz w:val="20"/>
        </w:rPr>
        <w:t>. See also </w:t>
      </w:r>
      <w:r>
        <w:rPr>
          <w:rFonts w:ascii="Arial"/>
          <w:i/>
          <w:sz w:val="20"/>
        </w:rPr>
        <w:t>Steam Herring Fleet Ltd v V.S. Richards </w:t>
      </w:r>
      <w:r>
        <w:rPr>
          <w:rFonts w:ascii="Arial"/>
          <w:i/>
          <w:sz w:val="20"/>
        </w:rPr>
        <w:t>&amp;</w:t>
      </w:r>
      <w:r>
        <w:rPr>
          <w:rFonts w:ascii="Arial"/>
          <w:i/>
          <w:spacing w:val="80"/>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z w:val="20"/>
        </w:rPr>
        <w:t>(1901)</w:t>
      </w:r>
      <w:r>
        <w:rPr>
          <w:rFonts w:ascii="Arial"/>
          <w:i/>
          <w:spacing w:val="4"/>
          <w:sz w:val="20"/>
        </w:rPr>
        <w:t> </w:t>
      </w:r>
      <w:r>
        <w:rPr>
          <w:rFonts w:ascii="Arial"/>
          <w:i/>
          <w:sz w:val="20"/>
        </w:rPr>
        <w:t>17</w:t>
      </w:r>
      <w:r>
        <w:rPr>
          <w:rFonts w:ascii="Arial"/>
          <w:i/>
          <w:spacing w:val="4"/>
          <w:sz w:val="20"/>
        </w:rPr>
        <w:t> </w:t>
      </w:r>
      <w:r>
        <w:rPr>
          <w:rFonts w:ascii="Arial"/>
          <w:i/>
          <w:sz w:val="20"/>
        </w:rPr>
        <w:t>T.L.R.</w:t>
      </w:r>
      <w:r>
        <w:rPr>
          <w:rFonts w:ascii="Arial"/>
          <w:i/>
          <w:spacing w:val="4"/>
          <w:sz w:val="20"/>
        </w:rPr>
        <w:t> </w:t>
      </w:r>
      <w:r>
        <w:rPr>
          <w:rFonts w:ascii="Arial"/>
          <w:i/>
          <w:sz w:val="20"/>
        </w:rPr>
        <w:t>731</w:t>
      </w:r>
      <w:r>
        <w:rPr>
          <w:rFonts w:ascii="Arial"/>
          <w:i/>
          <w:spacing w:val="4"/>
          <w:sz w:val="20"/>
        </w:rPr>
        <w:t> </w:t>
      </w:r>
      <w:r>
        <w:rPr>
          <w:sz w:val="20"/>
        </w:rPr>
        <w:t>(expenses</w:t>
      </w:r>
      <w:r>
        <w:rPr>
          <w:spacing w:val="4"/>
          <w:sz w:val="20"/>
        </w:rPr>
        <w:t> </w:t>
      </w:r>
      <w:r>
        <w:rPr>
          <w:sz w:val="20"/>
        </w:rPr>
        <w:t>in</w:t>
      </w:r>
      <w:r>
        <w:rPr>
          <w:spacing w:val="4"/>
          <w:sz w:val="20"/>
        </w:rPr>
        <w:t> </w:t>
      </w:r>
      <w:r>
        <w:rPr>
          <w:sz w:val="20"/>
        </w:rPr>
        <w:t>preparing</w:t>
      </w:r>
      <w:r>
        <w:rPr>
          <w:spacing w:val="4"/>
          <w:sz w:val="20"/>
        </w:rPr>
        <w:t> </w:t>
      </w:r>
      <w:r>
        <w:rPr>
          <w:sz w:val="20"/>
        </w:rPr>
        <w:t>for</w:t>
      </w:r>
      <w:r>
        <w:rPr>
          <w:spacing w:val="4"/>
          <w:sz w:val="20"/>
        </w:rPr>
        <w:t> </w:t>
      </w:r>
      <w:r>
        <w:rPr>
          <w:sz w:val="20"/>
        </w:rPr>
        <w:t>a</w:t>
      </w:r>
      <w:r>
        <w:rPr>
          <w:spacing w:val="4"/>
          <w:sz w:val="20"/>
        </w:rPr>
        <w:t> </w:t>
      </w:r>
      <w:r>
        <w:rPr>
          <w:sz w:val="20"/>
        </w:rPr>
        <w:t>voyage;</w:t>
      </w:r>
      <w:r>
        <w:rPr>
          <w:spacing w:val="4"/>
          <w:sz w:val="20"/>
        </w:rPr>
        <w:t> </w:t>
      </w:r>
      <w:r>
        <w:rPr>
          <w:sz w:val="20"/>
        </w:rPr>
        <w:t>delay</w:t>
      </w:r>
      <w:r>
        <w:rPr>
          <w:spacing w:val="4"/>
          <w:sz w:val="20"/>
        </w:rPr>
        <w:t> </w:t>
      </w:r>
      <w:r>
        <w:rPr>
          <w:sz w:val="20"/>
        </w:rPr>
        <w:t>in</w:t>
      </w:r>
      <w:r>
        <w:rPr>
          <w:spacing w:val="4"/>
          <w:sz w:val="20"/>
        </w:rPr>
        <w:t> </w:t>
      </w:r>
      <w:r>
        <w:rPr>
          <w:sz w:val="20"/>
        </w:rPr>
        <w:t>delivering</w:t>
      </w:r>
      <w:r>
        <w:rPr>
          <w:spacing w:val="4"/>
          <w:sz w:val="20"/>
        </w:rPr>
        <w:t> </w:t>
      </w:r>
      <w:r>
        <w:rPr>
          <w:sz w:val="20"/>
        </w:rPr>
        <w:t>ship).</w:t>
      </w:r>
      <w:r>
        <w:rPr>
          <w:spacing w:val="4"/>
          <w:sz w:val="20"/>
        </w:rPr>
        <w:t> </w:t>
      </w:r>
      <w:r>
        <w:rPr>
          <w:spacing w:val="-5"/>
          <w:sz w:val="20"/>
        </w:rPr>
        <w:t>See</w:t>
      </w:r>
    </w:p>
    <w:p>
      <w:pPr>
        <w:spacing w:after="0" w:line="235" w:lineRule="auto"/>
        <w:jc w:val="left"/>
        <w:rPr>
          <w:sz w:val="20"/>
        </w:rPr>
        <w:sectPr>
          <w:pgSz w:w="11900" w:h="16840"/>
          <w:pgMar w:header="971" w:footer="0" w:top="1300" w:bottom="280" w:left="1275" w:right="1275"/>
        </w:sectPr>
      </w:pPr>
    </w:p>
    <w:p>
      <w:pPr>
        <w:spacing w:before="106"/>
        <w:ind w:left="705" w:right="0" w:firstLine="0"/>
        <w:jc w:val="left"/>
        <w:rPr>
          <w:sz w:val="20"/>
        </w:rPr>
      </w:pPr>
      <w:r>
        <w:rPr>
          <w:sz w:val="20"/>
        </w:rPr>
        <w:t>also</w:t>
      </w:r>
      <w:r>
        <w:rPr>
          <w:spacing w:val="-1"/>
          <w:sz w:val="20"/>
        </w:rPr>
        <w:t> </w:t>
      </w:r>
      <w:r>
        <w:rPr>
          <w:rFonts w:ascii="Arial"/>
          <w:i/>
          <w:sz w:val="20"/>
        </w:rPr>
        <w:t>Saint Line Ltd v Richardsons, Westgarth &amp; Co Ltd [1940] 2 K.B. 99, </w:t>
      </w:r>
      <w:r>
        <w:rPr>
          <w:rFonts w:ascii="Arial"/>
          <w:i/>
          <w:spacing w:val="-4"/>
          <w:sz w:val="20"/>
        </w:rPr>
        <w:t>105</w:t>
      </w:r>
      <w:r>
        <w:rPr>
          <w:spacing w:val="-4"/>
          <w:sz w:val="20"/>
        </w:rPr>
        <w:t>.</w:t>
      </w:r>
    </w:p>
    <w:p>
      <w:pPr>
        <w:pStyle w:val="BodyText"/>
        <w:spacing w:before="9"/>
      </w:pPr>
    </w:p>
    <w:p>
      <w:pPr>
        <w:spacing w:line="235" w:lineRule="auto" w:before="0"/>
        <w:ind w:left="705" w:right="168" w:hanging="541"/>
        <w:jc w:val="both"/>
        <w:rPr>
          <w:sz w:val="20"/>
        </w:rPr>
      </w:pPr>
      <w:bookmarkStart w:name="_bookmark334" w:id="336"/>
      <w:bookmarkEnd w:id="336"/>
      <w:r>
        <w:rPr/>
      </w:r>
      <w:hyperlink w:history="true" w:anchor="_bookmark273">
        <w:r>
          <w:rPr>
            <w:color w:val="005DA1"/>
            <w:position w:val="5"/>
            <w:sz w:val="14"/>
            <w:u w:val="single" w:color="005DA1"/>
          </w:rPr>
          <w:t>157</w:t>
        </w:r>
      </w:hyperlink>
      <w:r>
        <w:rPr>
          <w:position w:val="5"/>
          <w:sz w:val="14"/>
        </w:rPr>
        <w:t>.</w:t>
      </w:r>
      <w:r>
        <w:rPr>
          <w:spacing w:val="80"/>
          <w:position w:val="5"/>
          <w:sz w:val="14"/>
        </w:rPr>
        <w:t>  </w:t>
      </w:r>
      <w:r>
        <w:rPr>
          <w:rFonts w:ascii="Arial" w:hAnsi="Arial"/>
          <w:i/>
          <w:sz w:val="20"/>
        </w:rPr>
        <w:t>Cullinane v British “Rema” Manufacturing Co Ltd [1954] 1 Q.B. 292</w:t>
      </w:r>
      <w:r>
        <w:rPr>
          <w:sz w:val="20"/>
        </w:rPr>
        <w:t>. See also </w:t>
      </w:r>
      <w:r>
        <w:rPr>
          <w:rFonts w:ascii="Arial" w:hAnsi="Arial"/>
          <w:i/>
          <w:sz w:val="20"/>
        </w:rPr>
        <w:t>Richard Holden Ltd v Bostock &amp; Co Ltd (1902) 18 T.L.R. 317 </w:t>
      </w:r>
      <w:r>
        <w:rPr>
          <w:sz w:val="20"/>
        </w:rPr>
        <w:t>(beer wasted when ingredient found to be </w:t>
      </w:r>
      <w:r>
        <w:rPr>
          <w:spacing w:val="-2"/>
          <w:sz w:val="20"/>
        </w:rPr>
        <w:t>contaminated).</w:t>
      </w:r>
    </w:p>
    <w:p>
      <w:pPr>
        <w:pStyle w:val="BodyText"/>
        <w:spacing w:before="5"/>
      </w:pPr>
    </w:p>
    <w:p>
      <w:pPr>
        <w:tabs>
          <w:tab w:pos="705" w:val="left" w:leader="none"/>
        </w:tabs>
        <w:spacing w:before="0"/>
        <w:ind w:left="165" w:right="0" w:firstLine="0"/>
        <w:jc w:val="left"/>
        <w:rPr>
          <w:sz w:val="20"/>
        </w:rPr>
      </w:pPr>
      <w:bookmarkStart w:name="_bookmark335" w:id="337"/>
      <w:bookmarkEnd w:id="337"/>
      <w:r>
        <w:rPr/>
      </w:r>
      <w:hyperlink w:history="true" w:anchor="_bookmark274">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Molling &amp; Co v Dean &amp; Son Ltd (1901) 18 T.L.R. </w:t>
      </w:r>
      <w:r>
        <w:rPr>
          <w:rFonts w:ascii="Arial"/>
          <w:i/>
          <w:spacing w:val="-4"/>
          <w:sz w:val="20"/>
        </w:rPr>
        <w:t>217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36" w:id="338"/>
      <w:bookmarkEnd w:id="338"/>
      <w:r>
        <w:rPr/>
      </w:r>
      <w:hyperlink w:history="true" w:anchor="_bookmark275">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McRae</w:t>
      </w:r>
      <w:r>
        <w:rPr>
          <w:rFonts w:ascii="Arial"/>
          <w:i/>
          <w:spacing w:val="80"/>
          <w:w w:val="150"/>
          <w:sz w:val="20"/>
        </w:rPr>
        <w:t> </w:t>
      </w:r>
      <w:r>
        <w:rPr>
          <w:rFonts w:ascii="Arial"/>
          <w:i/>
          <w:sz w:val="20"/>
        </w:rPr>
        <w:t>v</w:t>
      </w:r>
      <w:r>
        <w:rPr>
          <w:rFonts w:ascii="Arial"/>
          <w:i/>
          <w:spacing w:val="80"/>
          <w:w w:val="150"/>
          <w:sz w:val="20"/>
        </w:rPr>
        <w:t> </w:t>
      </w:r>
      <w:r>
        <w:rPr>
          <w:rFonts w:ascii="Arial"/>
          <w:i/>
          <w:sz w:val="20"/>
        </w:rPr>
        <w:t>Commonwealth</w:t>
      </w:r>
      <w:r>
        <w:rPr>
          <w:rFonts w:ascii="Arial"/>
          <w:i/>
          <w:spacing w:val="80"/>
          <w:w w:val="150"/>
          <w:sz w:val="20"/>
        </w:rPr>
        <w:t> </w:t>
      </w:r>
      <w:r>
        <w:rPr>
          <w:rFonts w:ascii="Arial"/>
          <w:i/>
          <w:sz w:val="20"/>
        </w:rPr>
        <w:t>Disposals</w:t>
      </w:r>
      <w:r>
        <w:rPr>
          <w:rFonts w:ascii="Arial"/>
          <w:i/>
          <w:spacing w:val="80"/>
          <w:w w:val="150"/>
          <w:sz w:val="20"/>
        </w:rPr>
        <w:t> </w:t>
      </w:r>
      <w:r>
        <w:rPr>
          <w:rFonts w:ascii="Arial"/>
          <w:i/>
          <w:sz w:val="20"/>
        </w:rPr>
        <w:t>Commission</w:t>
      </w:r>
      <w:r>
        <w:rPr>
          <w:rFonts w:ascii="Arial"/>
          <w:i/>
          <w:spacing w:val="80"/>
          <w:w w:val="150"/>
          <w:sz w:val="20"/>
        </w:rPr>
        <w:t> </w:t>
      </w:r>
      <w:r>
        <w:rPr>
          <w:rFonts w:ascii="Arial"/>
          <w:i/>
          <w:sz w:val="20"/>
        </w:rPr>
        <w:t>(1950)</w:t>
      </w:r>
      <w:r>
        <w:rPr>
          <w:rFonts w:ascii="Arial"/>
          <w:i/>
          <w:spacing w:val="80"/>
          <w:w w:val="150"/>
          <w:sz w:val="20"/>
        </w:rPr>
        <w:t> </w:t>
      </w:r>
      <w:r>
        <w:rPr>
          <w:rFonts w:ascii="Arial"/>
          <w:i/>
          <w:sz w:val="20"/>
        </w:rPr>
        <w:t>84</w:t>
      </w:r>
      <w:r>
        <w:rPr>
          <w:rFonts w:ascii="Arial"/>
          <w:i/>
          <w:spacing w:val="80"/>
          <w:w w:val="150"/>
          <w:sz w:val="20"/>
        </w:rPr>
        <w:t> </w:t>
      </w:r>
      <w:r>
        <w:rPr>
          <w:rFonts w:ascii="Arial"/>
          <w:i/>
          <w:sz w:val="20"/>
        </w:rPr>
        <w:t>C.L.R.</w:t>
      </w:r>
      <w:r>
        <w:rPr>
          <w:rFonts w:ascii="Arial"/>
          <w:i/>
          <w:spacing w:val="80"/>
          <w:w w:val="150"/>
          <w:sz w:val="20"/>
        </w:rPr>
        <w:t> </w:t>
      </w:r>
      <w:r>
        <w:rPr>
          <w:rFonts w:ascii="Arial"/>
          <w:i/>
          <w:sz w:val="20"/>
        </w:rPr>
        <w:t>377</w:t>
      </w:r>
      <w:r>
        <w:rPr>
          <w:rFonts w:ascii="Arial"/>
          <w:i/>
          <w:spacing w:val="80"/>
          <w:w w:val="150"/>
          <w:sz w:val="20"/>
        </w:rPr>
        <w:t> </w:t>
      </w:r>
      <w:r>
        <w:rPr>
          <w:sz w:val="20"/>
        </w:rPr>
        <w:t>(see</w:t>
      </w:r>
      <w:r>
        <w:rPr>
          <w:spacing w:val="80"/>
          <w:w w:val="150"/>
          <w:sz w:val="20"/>
        </w:rPr>
        <w:t> </w:t>
      </w:r>
      <w:r>
        <w:rPr>
          <w:sz w:val="20"/>
        </w:rPr>
        <w:t>above, para.6-031). The High Court of Australia dismissed a claim for loss of profit as speculative.</w:t>
      </w:r>
    </w:p>
    <w:p>
      <w:pPr>
        <w:pStyle w:val="BodyText"/>
        <w:spacing w:before="9"/>
      </w:pPr>
    </w:p>
    <w:p>
      <w:pPr>
        <w:pStyle w:val="BodyText"/>
        <w:spacing w:line="235" w:lineRule="auto"/>
        <w:ind w:left="705" w:right="167" w:hanging="541"/>
        <w:jc w:val="both"/>
      </w:pPr>
      <w:bookmarkStart w:name="_bookmark337" w:id="339"/>
      <w:bookmarkEnd w:id="339"/>
      <w:r>
        <w:rPr/>
      </w:r>
      <w:hyperlink w:history="true" w:anchor="_bookmark276">
        <w:r>
          <w:rPr>
            <w:color w:val="005DA1"/>
            <w:position w:val="5"/>
            <w:sz w:val="14"/>
            <w:u w:val="single" w:color="005DA1"/>
          </w:rPr>
          <w:t>160</w:t>
        </w:r>
      </w:hyperlink>
      <w:r>
        <w:rPr>
          <w:position w:val="5"/>
          <w:sz w:val="14"/>
        </w:rPr>
        <w:t>.</w:t>
      </w:r>
      <w:r>
        <w:rPr>
          <w:spacing w:val="40"/>
          <w:position w:val="5"/>
          <w:sz w:val="14"/>
        </w:rPr>
        <w:t>  </w:t>
      </w:r>
      <w:r>
        <w:rPr/>
        <w:t>Above,</w:t>
      </w:r>
      <w:r>
        <w:rPr>
          <w:spacing w:val="40"/>
        </w:rPr>
        <w:t> </w:t>
      </w:r>
      <w:r>
        <w:rPr/>
        <w:t>para.26-024.</w:t>
      </w:r>
      <w:r>
        <w:rPr>
          <w:spacing w:val="40"/>
        </w:rPr>
        <w:t> </w:t>
      </w:r>
      <w:r>
        <w:rPr/>
        <w:t>(The</w:t>
      </w:r>
      <w:r>
        <w:rPr>
          <w:spacing w:val="40"/>
        </w:rPr>
        <w:t> </w:t>
      </w:r>
      <w:r>
        <w:rPr/>
        <w:t>discussion</w:t>
      </w:r>
      <w:r>
        <w:rPr>
          <w:spacing w:val="40"/>
        </w:rPr>
        <w:t> </w:t>
      </w:r>
      <w:r>
        <w:rPr/>
        <w:t>in</w:t>
      </w:r>
      <w:r>
        <w:rPr>
          <w:spacing w:val="40"/>
        </w:rPr>
        <w:t> </w:t>
      </w:r>
      <w:r>
        <w:rPr/>
        <w:t>that</w:t>
      </w:r>
      <w:r>
        <w:rPr>
          <w:spacing w:val="40"/>
        </w:rPr>
        <w:t> </w:t>
      </w:r>
      <w:r>
        <w:rPr/>
        <w:t>paragraph</w:t>
      </w:r>
      <w:r>
        <w:rPr>
          <w:spacing w:val="40"/>
        </w:rPr>
        <w:t> </w:t>
      </w:r>
      <w:r>
        <w:rPr/>
        <w:t>applies</w:t>
      </w:r>
      <w:r>
        <w:rPr>
          <w:spacing w:val="40"/>
        </w:rPr>
        <w:t> </w:t>
      </w:r>
      <w:r>
        <w:rPr/>
        <w:t>to</w:t>
      </w:r>
      <w:r>
        <w:rPr>
          <w:spacing w:val="40"/>
        </w:rPr>
        <w:t> </w:t>
      </w:r>
      <w:r>
        <w:rPr/>
        <w:t>the</w:t>
      </w:r>
      <w:r>
        <w:rPr>
          <w:spacing w:val="40"/>
        </w:rPr>
        <w:t> </w:t>
      </w:r>
      <w:r>
        <w:rPr/>
        <w:t>present</w:t>
      </w:r>
      <w:r>
        <w:rPr>
          <w:spacing w:val="40"/>
        </w:rPr>
        <w:t> </w:t>
      </w:r>
      <w:r>
        <w:rPr/>
        <w:t>paragraph, subject to the proviso that the latter is not limited to the profitability of the contract in question, but applies to the profitability of the activity in question.)</w:t>
      </w:r>
    </w:p>
    <w:p>
      <w:pPr>
        <w:pStyle w:val="BodyText"/>
        <w:spacing w:before="9"/>
      </w:pPr>
    </w:p>
    <w:p>
      <w:pPr>
        <w:tabs>
          <w:tab w:pos="705" w:val="left" w:leader="none"/>
        </w:tabs>
        <w:spacing w:line="235" w:lineRule="auto" w:before="0"/>
        <w:ind w:left="705" w:right="174" w:hanging="541"/>
        <w:jc w:val="left"/>
        <w:rPr>
          <w:sz w:val="20"/>
        </w:rPr>
      </w:pPr>
      <w:bookmarkStart w:name="_bookmark338" w:id="340"/>
      <w:bookmarkEnd w:id="340"/>
      <w:r>
        <w:rPr/>
      </w:r>
      <w:hyperlink w:history="true" w:anchor="_bookmark276">
        <w:r>
          <w:rPr>
            <w:color w:val="005DA1"/>
            <w:spacing w:val="-4"/>
            <w:position w:val="5"/>
            <w:sz w:val="14"/>
            <w:u w:val="single" w:color="005DA1"/>
          </w:rPr>
          <w:t>161</w:t>
        </w:r>
      </w:hyperlink>
      <w:r>
        <w:rPr>
          <w:spacing w:val="-4"/>
          <w:position w:val="5"/>
          <w:sz w:val="14"/>
        </w:rPr>
        <w:t>.</w:t>
      </w:r>
      <w:r>
        <w:rPr>
          <w:position w:val="5"/>
          <w:sz w:val="14"/>
        </w:rPr>
        <w:tab/>
      </w:r>
      <w:r>
        <w:rPr>
          <w:sz w:val="20"/>
        </w:rPr>
        <w:t>The onus of proof is on the defendant: </w:t>
      </w:r>
      <w:r>
        <w:rPr>
          <w:rFonts w:ascii="Arial"/>
          <w:i/>
          <w:sz w:val="20"/>
        </w:rPr>
        <w:t>C.C.C. Films (London) Ltd v Impact Quadrant Films </w:t>
      </w:r>
      <w:r>
        <w:rPr>
          <w:rFonts w:ascii="Arial"/>
          <w:i/>
          <w:sz w:val="20"/>
        </w:rPr>
        <w:t>Ltd [1985] Q.B. 16 </w:t>
      </w:r>
      <w:r>
        <w:rPr>
          <w:sz w:val="20"/>
        </w:rPr>
        <w:t>(above, para.26-024).</w:t>
      </w:r>
    </w:p>
    <w:p>
      <w:pPr>
        <w:pStyle w:val="BodyText"/>
        <w:spacing w:before="9"/>
      </w:pPr>
    </w:p>
    <w:p>
      <w:pPr>
        <w:tabs>
          <w:tab w:pos="705" w:val="left" w:leader="none"/>
        </w:tabs>
        <w:spacing w:line="235" w:lineRule="auto" w:before="1"/>
        <w:ind w:left="705" w:right="167" w:hanging="541"/>
        <w:jc w:val="left"/>
        <w:rPr>
          <w:rFonts w:ascii="Arial" w:hAnsi="Arial"/>
          <w:i/>
          <w:sz w:val="20"/>
        </w:rPr>
      </w:pPr>
      <w:bookmarkStart w:name="_bookmark339" w:id="341"/>
      <w:bookmarkEnd w:id="341"/>
      <w:r>
        <w:rPr/>
      </w:r>
      <w:hyperlink w:history="true" w:anchor="_bookmark277">
        <w:r>
          <w:rPr>
            <w:color w:val="005DA1"/>
            <w:spacing w:val="-4"/>
            <w:position w:val="5"/>
            <w:sz w:val="14"/>
            <w:u w:val="single" w:color="005DA1"/>
          </w:rPr>
          <w:t>162</w:t>
        </w:r>
      </w:hyperlink>
      <w:r>
        <w:rPr>
          <w:spacing w:val="-4"/>
          <w:position w:val="5"/>
          <w:sz w:val="14"/>
        </w:rPr>
        <w:t>.</w:t>
      </w:r>
      <w:r>
        <w:rPr>
          <w:position w:val="5"/>
          <w:sz w:val="14"/>
        </w:rPr>
        <w:tab/>
      </w:r>
      <w:r>
        <w:rPr>
          <w:sz w:val="20"/>
        </w:rPr>
        <w:t>The relevant gross return is that expected from the claimant’s whole undertaking, of which the contract</w:t>
      </w:r>
      <w:r>
        <w:rPr>
          <w:spacing w:val="36"/>
          <w:sz w:val="20"/>
        </w:rPr>
        <w:t> </w:t>
      </w:r>
      <w:r>
        <w:rPr>
          <w:sz w:val="20"/>
        </w:rPr>
        <w:t>with</w:t>
      </w:r>
      <w:r>
        <w:rPr>
          <w:spacing w:val="38"/>
          <w:sz w:val="20"/>
        </w:rPr>
        <w:t> </w:t>
      </w:r>
      <w:r>
        <w:rPr>
          <w:sz w:val="20"/>
        </w:rPr>
        <w:t>the</w:t>
      </w:r>
      <w:r>
        <w:rPr>
          <w:spacing w:val="38"/>
          <w:sz w:val="20"/>
        </w:rPr>
        <w:t> </w:t>
      </w:r>
      <w:r>
        <w:rPr>
          <w:sz w:val="20"/>
        </w:rPr>
        <w:t>defendant</w:t>
      </w:r>
      <w:r>
        <w:rPr>
          <w:spacing w:val="38"/>
          <w:sz w:val="20"/>
        </w:rPr>
        <w:t> </w:t>
      </w:r>
      <w:r>
        <w:rPr>
          <w:sz w:val="20"/>
        </w:rPr>
        <w:t>forms</w:t>
      </w:r>
      <w:r>
        <w:rPr>
          <w:spacing w:val="38"/>
          <w:sz w:val="20"/>
        </w:rPr>
        <w:t> </w:t>
      </w:r>
      <w:r>
        <w:rPr>
          <w:sz w:val="20"/>
        </w:rPr>
        <w:t>an</w:t>
      </w:r>
      <w:r>
        <w:rPr>
          <w:spacing w:val="38"/>
          <w:sz w:val="20"/>
        </w:rPr>
        <w:t> </w:t>
      </w:r>
      <w:r>
        <w:rPr>
          <w:sz w:val="20"/>
        </w:rPr>
        <w:t>essential</w:t>
      </w:r>
      <w:r>
        <w:rPr>
          <w:spacing w:val="38"/>
          <w:sz w:val="20"/>
        </w:rPr>
        <w:t> </w:t>
      </w:r>
      <w:r>
        <w:rPr>
          <w:sz w:val="20"/>
        </w:rPr>
        <w:t>part:</w:t>
      </w:r>
      <w:r>
        <w:rPr>
          <w:spacing w:val="38"/>
          <w:sz w:val="20"/>
        </w:rPr>
        <w:t> </w:t>
      </w:r>
      <w:r>
        <w:rPr>
          <w:rFonts w:ascii="Arial" w:hAnsi="Arial"/>
          <w:i/>
          <w:sz w:val="20"/>
        </w:rPr>
        <w:t>C.</w:t>
      </w:r>
      <w:r>
        <w:rPr>
          <w:rFonts w:ascii="Arial" w:hAnsi="Arial"/>
          <w:i/>
          <w:spacing w:val="38"/>
          <w:sz w:val="20"/>
        </w:rPr>
        <w:t> </w:t>
      </w:r>
      <w:r>
        <w:rPr>
          <w:rFonts w:ascii="Arial" w:hAnsi="Arial"/>
          <w:i/>
          <w:sz w:val="20"/>
        </w:rPr>
        <w:t>&amp;</w:t>
      </w:r>
      <w:r>
        <w:rPr>
          <w:rFonts w:ascii="Arial" w:hAnsi="Arial"/>
          <w:i/>
          <w:spacing w:val="38"/>
          <w:sz w:val="20"/>
        </w:rPr>
        <w:t> </w:t>
      </w:r>
      <w:r>
        <w:rPr>
          <w:rFonts w:ascii="Arial" w:hAnsi="Arial"/>
          <w:i/>
          <w:sz w:val="20"/>
        </w:rPr>
        <w:t>P.</w:t>
      </w:r>
      <w:r>
        <w:rPr>
          <w:rFonts w:ascii="Arial" w:hAnsi="Arial"/>
          <w:i/>
          <w:spacing w:val="38"/>
          <w:sz w:val="20"/>
        </w:rPr>
        <w:t> </w:t>
      </w:r>
      <w:r>
        <w:rPr>
          <w:rFonts w:ascii="Arial" w:hAnsi="Arial"/>
          <w:i/>
          <w:sz w:val="20"/>
        </w:rPr>
        <w:t>Haulage</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Middleton</w:t>
      </w:r>
      <w:r>
        <w:rPr>
          <w:rFonts w:ascii="Arial" w:hAnsi="Arial"/>
          <w:i/>
          <w:spacing w:val="38"/>
          <w:sz w:val="20"/>
        </w:rPr>
        <w:t> </w:t>
      </w:r>
      <w:r>
        <w:rPr>
          <w:rFonts w:ascii="Arial" w:hAnsi="Arial"/>
          <w:i/>
          <w:sz w:val="20"/>
        </w:rPr>
        <w:t>[1983]</w:t>
      </w:r>
      <w:r>
        <w:rPr>
          <w:rFonts w:ascii="Arial" w:hAnsi="Arial"/>
          <w:i/>
          <w:spacing w:val="38"/>
          <w:sz w:val="20"/>
        </w:rPr>
        <w:t> </w:t>
      </w:r>
      <w:r>
        <w:rPr>
          <w:rFonts w:ascii="Arial" w:hAnsi="Arial"/>
          <w:i/>
          <w:spacing w:val="-10"/>
          <w:sz w:val="20"/>
        </w:rPr>
        <w:t>1</w:t>
      </w:r>
    </w:p>
    <w:p>
      <w:pPr>
        <w:spacing w:line="235" w:lineRule="auto" w:before="0"/>
        <w:ind w:left="705" w:right="174" w:firstLine="0"/>
        <w:jc w:val="left"/>
        <w:rPr>
          <w:sz w:val="20"/>
        </w:rPr>
      </w:pPr>
      <w:r>
        <w:rPr>
          <w:rFonts w:ascii="Arial" w:hAnsi="Arial"/>
          <w:i/>
          <w:sz w:val="20"/>
        </w:rPr>
        <w:t>W.L.R. 1461</w:t>
      </w:r>
      <w:r>
        <w:rPr>
          <w:sz w:val="20"/>
        </w:rPr>
        <w:t>. This point is implicitly recognised in </w:t>
      </w:r>
      <w:r>
        <w:rPr>
          <w:rFonts w:ascii="Arial" w:hAnsi="Arial"/>
          <w:i/>
          <w:sz w:val="20"/>
        </w:rPr>
        <w:t>Cullinane v British “Rema” Manufacturing Co Ltd [1954] 1 Q.B. 292</w:t>
      </w:r>
      <w:r>
        <w:rPr>
          <w:sz w:val="20"/>
        </w:rPr>
        <w:t>.</w:t>
      </w:r>
    </w:p>
    <w:p>
      <w:pPr>
        <w:pStyle w:val="BodyText"/>
        <w:spacing w:before="8"/>
      </w:pPr>
    </w:p>
    <w:p>
      <w:pPr>
        <w:pStyle w:val="BodyText"/>
        <w:spacing w:line="235" w:lineRule="auto"/>
        <w:ind w:left="705" w:right="167" w:hanging="541"/>
        <w:jc w:val="both"/>
      </w:pPr>
      <w:bookmarkStart w:name="_bookmark340" w:id="342"/>
      <w:bookmarkEnd w:id="342"/>
      <w:r>
        <w:rPr/>
      </w:r>
      <w:hyperlink w:history="true" w:anchor="_bookmark278">
        <w:r>
          <w:rPr>
            <w:color w:val="005DA1"/>
            <w:position w:val="5"/>
            <w:sz w:val="14"/>
            <w:u w:val="single" w:color="005DA1"/>
          </w:rPr>
          <w:t>163</w:t>
        </w:r>
      </w:hyperlink>
      <w:r>
        <w:rPr>
          <w:position w:val="5"/>
          <w:sz w:val="14"/>
        </w:rPr>
        <w:t>.</w:t>
      </w:r>
      <w:r>
        <w:rPr>
          <w:spacing w:val="40"/>
          <w:position w:val="5"/>
          <w:sz w:val="14"/>
        </w:rPr>
        <w:t>  </w:t>
      </w:r>
      <w:r>
        <w:rPr/>
        <w:t>The </w:t>
      </w:r>
      <w:r>
        <w:rPr>
          <w:rFonts w:ascii="Arial" w:hAnsi="Arial"/>
          <w:i/>
        </w:rPr>
        <w:t>C.C.C. Films case [1985] Q.B. 16</w:t>
      </w:r>
      <w:r>
        <w:rPr/>
        <w:t>; </w:t>
      </w:r>
      <w:r>
        <w:rPr>
          <w:rFonts w:ascii="Arial" w:hAnsi="Arial"/>
          <w:i/>
        </w:rPr>
        <w:t>C. &amp; P. Haulage v Middleton [1983] 1 W.L.R. 1461</w:t>
      </w:r>
      <w:r>
        <w:rPr/>
        <w:t>. The equivalent of para.26-028 in the 30th edition of Chitty was relied on by Gloster J. in </w:t>
      </w:r>
      <w:r>
        <w:rPr>
          <w:rFonts w:ascii="Arial" w:hAnsi="Arial"/>
          <w:i/>
        </w:rPr>
        <w:t>Grange v Quinn [2013] EWCA Civ 24 </w:t>
      </w:r>
      <w:r>
        <w:rPr/>
        <w:t>at [103]. In that case a tenant who had been wrongly evicted from business premises after a short period sought to recover the premium she had paid by way of an action for damages; her claim was rejected by the trial judge on the ground that even if she had not been evicted, her business was so unprofitable that she would not have been able to recoup even the premium. Gloster J. and Arden L.J. agreed that the premium could </w:t>
      </w:r>
      <w:r>
        <w:rPr/>
        <w:t>be recovered by way of damages except to the extent that the landlord could show that the tenant would not have been able to recoup it from gross income derived from using the premises, but they differed over whether the landlord had discharged or could discharge the burden of showing that the tenant would not have recouped the premium. Jackson L.J agreed with</w:t>
      </w:r>
      <w:r>
        <w:rPr>
          <w:spacing w:val="40"/>
        </w:rPr>
        <w:t> </w:t>
      </w:r>
      <w:r>
        <w:rPr/>
        <w:t>Gloster J. that the tenant should be allowed to recover the premium, but on the simple ground that a tenant who has been wrongfully evicted at an early stage should have a claim to recover the premium. Jackson L.J. relied on the decision of the CA in </w:t>
      </w:r>
      <w:r>
        <w:rPr>
          <w:rFonts w:ascii="Arial" w:hAnsi="Arial"/>
          <w:i/>
        </w:rPr>
        <w:t>Sampson v Floyd [1989] 33 E.G. 41</w:t>
      </w:r>
      <w:r>
        <w:rPr/>
        <w:t>, which had stated this. However, as Arden L.J. (at [21]) and Gloster J. (at [97]) pointed out,</w:t>
      </w:r>
      <w:r>
        <w:rPr>
          <w:spacing w:val="40"/>
        </w:rPr>
        <w:t> </w:t>
      </w:r>
      <w:r>
        <w:rPr/>
        <w:t>in </w:t>
      </w:r>
      <w:r>
        <w:rPr>
          <w:rFonts w:ascii="Arial" w:hAnsi="Arial"/>
          <w:i/>
        </w:rPr>
        <w:t>Sampson v Floyd </w:t>
      </w:r>
      <w:r>
        <w:rPr/>
        <w:t>the court had not heard argument on the question of profitability of the venture, which did not arise. It is submitted that in the case where the claimant’s overall activity would not have earned enough to recoup the premium, the entire premium can only be recovered by way of restitution, and there must have been a total failure of consideration: see </w:t>
      </w:r>
      <w:r>
        <w:rPr>
          <w:spacing w:val="-2"/>
        </w:rPr>
        <w:t>para.26-026.</w:t>
      </w:r>
    </w:p>
    <w:p>
      <w:pPr>
        <w:pStyle w:val="BodyText"/>
        <w:tabs>
          <w:tab w:pos="705" w:val="left" w:leader="none"/>
        </w:tabs>
        <w:spacing w:before="229"/>
        <w:ind w:left="165"/>
      </w:pPr>
      <w:bookmarkStart w:name="_bookmark341" w:id="343"/>
      <w:bookmarkEnd w:id="343"/>
      <w:r>
        <w:rPr/>
      </w:r>
      <w:hyperlink w:history="true" w:anchor="_bookmark279">
        <w:r>
          <w:rPr>
            <w:color w:val="005DA1"/>
            <w:spacing w:val="-4"/>
            <w:position w:val="5"/>
            <w:sz w:val="14"/>
            <w:u w:val="single" w:color="005DA1"/>
          </w:rPr>
          <w:t>164</w:t>
        </w:r>
      </w:hyperlink>
      <w:r>
        <w:rPr>
          <w:spacing w:val="-4"/>
          <w:position w:val="5"/>
          <w:sz w:val="14"/>
        </w:rPr>
        <w:t>.</w:t>
      </w:r>
      <w:r>
        <w:rPr>
          <w:position w:val="5"/>
          <w:sz w:val="14"/>
        </w:rPr>
        <w:tab/>
      </w:r>
      <w:r>
        <w:rPr/>
        <w:t>See above, para.26-024 </w:t>
      </w:r>
      <w:r>
        <w:rPr>
          <w:spacing w:val="-2"/>
        </w:rPr>
        <w:t>n.123.</w:t>
      </w:r>
    </w:p>
    <w:p>
      <w:pPr>
        <w:pStyle w:val="BodyText"/>
        <w:spacing w:before="5"/>
      </w:pPr>
    </w:p>
    <w:p>
      <w:pPr>
        <w:tabs>
          <w:tab w:pos="705" w:val="left" w:leader="none"/>
        </w:tabs>
        <w:spacing w:before="0"/>
        <w:ind w:left="165" w:right="0" w:firstLine="0"/>
        <w:jc w:val="left"/>
        <w:rPr>
          <w:sz w:val="20"/>
        </w:rPr>
      </w:pPr>
      <w:bookmarkStart w:name="_bookmark342" w:id="344"/>
      <w:bookmarkEnd w:id="344"/>
      <w:r>
        <w:rPr/>
      </w:r>
      <w:hyperlink w:history="true" w:anchor="_bookmark280">
        <w:r>
          <w:rPr>
            <w:color w:val="005DA1"/>
            <w:spacing w:val="-4"/>
            <w:position w:val="5"/>
            <w:sz w:val="14"/>
            <w:u w:val="single" w:color="005DA1"/>
          </w:rPr>
          <w:t>165</w:t>
        </w:r>
      </w:hyperlink>
      <w:r>
        <w:rPr>
          <w:spacing w:val="-4"/>
          <w:position w:val="5"/>
          <w:sz w:val="14"/>
        </w:rPr>
        <w:t>.</w:t>
      </w:r>
      <w:r>
        <w:rPr>
          <w:position w:val="5"/>
          <w:sz w:val="14"/>
        </w:rPr>
        <w:tab/>
      </w:r>
      <w:r>
        <w:rPr>
          <w:sz w:val="20"/>
        </w:rPr>
        <w:t>Above, para.26-</w:t>
      </w:r>
      <w:r>
        <w:rPr>
          <w:spacing w:val="-4"/>
          <w:sz w:val="20"/>
        </w:rPr>
        <w:t>021.</w:t>
      </w:r>
    </w:p>
    <w:p>
      <w:pPr>
        <w:pStyle w:val="BodyText"/>
        <w:spacing w:before="8"/>
      </w:pPr>
    </w:p>
    <w:p>
      <w:pPr>
        <w:pStyle w:val="BodyText"/>
        <w:tabs>
          <w:tab w:pos="705" w:val="left" w:leader="none"/>
        </w:tabs>
        <w:spacing w:line="235" w:lineRule="auto" w:before="1"/>
        <w:ind w:left="705" w:right="167" w:hanging="541"/>
      </w:pPr>
      <w:bookmarkStart w:name="_bookmark343" w:id="345"/>
      <w:bookmarkEnd w:id="345"/>
      <w:r>
        <w:rPr/>
      </w:r>
      <w:hyperlink w:history="true" w:anchor="_bookmark281">
        <w:r>
          <w:rPr>
            <w:color w:val="005DA1"/>
            <w:spacing w:val="-4"/>
            <w:position w:val="5"/>
            <w:sz w:val="14"/>
            <w:u w:val="single" w:color="005DA1"/>
          </w:rPr>
          <w:t>166</w:t>
        </w:r>
      </w:hyperlink>
      <w:r>
        <w:rPr>
          <w:spacing w:val="-4"/>
          <w:position w:val="5"/>
          <w:sz w:val="14"/>
        </w:rPr>
        <w:t>.</w:t>
      </w:r>
      <w:r>
        <w:rPr>
          <w:position w:val="5"/>
          <w:sz w:val="14"/>
        </w:rPr>
        <w:tab/>
      </w:r>
      <w:r>
        <w:rPr/>
        <w:t>The expected profit will either be from the particular contract (performance expenditure: </w:t>
      </w:r>
      <w:r>
        <w:rPr/>
        <w:t>above para.26-023) or from the profit-making activity of which it forms a part (above, para.26-027).</w:t>
      </w:r>
    </w:p>
    <w:p>
      <w:pPr>
        <w:pStyle w:val="BodyText"/>
        <w:spacing w:before="5"/>
      </w:pPr>
    </w:p>
    <w:p>
      <w:pPr>
        <w:pStyle w:val="BodyText"/>
        <w:tabs>
          <w:tab w:pos="705" w:val="left" w:leader="none"/>
        </w:tabs>
        <w:ind w:left="165"/>
      </w:pPr>
      <w:bookmarkStart w:name="_bookmark344" w:id="346"/>
      <w:bookmarkEnd w:id="346"/>
      <w:r>
        <w:rPr/>
      </w:r>
      <w:hyperlink w:history="true" w:anchor="_bookmark282">
        <w:r>
          <w:rPr>
            <w:color w:val="005DA1"/>
            <w:spacing w:val="-4"/>
            <w:position w:val="5"/>
            <w:sz w:val="14"/>
            <w:u w:val="single" w:color="005DA1"/>
          </w:rPr>
          <w:t>167</w:t>
        </w:r>
      </w:hyperlink>
      <w:r>
        <w:rPr>
          <w:spacing w:val="-4"/>
          <w:position w:val="5"/>
          <w:sz w:val="14"/>
        </w:rPr>
        <w:t>.</w:t>
      </w:r>
      <w:r>
        <w:rPr>
          <w:position w:val="5"/>
          <w:sz w:val="14"/>
        </w:rPr>
        <w:tab/>
      </w:r>
      <w:r>
        <w:rPr/>
        <w:t>Allowance must be made for any salvage </w:t>
      </w:r>
      <w:r>
        <w:rPr>
          <w:spacing w:val="-2"/>
        </w:rPr>
        <w:t>value.</w:t>
      </w:r>
    </w:p>
    <w:p>
      <w:pPr>
        <w:pStyle w:val="BodyText"/>
        <w:spacing w:before="5"/>
      </w:pPr>
    </w:p>
    <w:p>
      <w:pPr>
        <w:tabs>
          <w:tab w:pos="705" w:val="left" w:leader="none"/>
        </w:tabs>
        <w:spacing w:line="227" w:lineRule="exact" w:before="0"/>
        <w:ind w:left="165" w:right="0" w:firstLine="0"/>
        <w:jc w:val="left"/>
        <w:rPr>
          <w:sz w:val="20"/>
        </w:rPr>
      </w:pPr>
      <w:bookmarkStart w:name="_bookmark345" w:id="347"/>
      <w:bookmarkEnd w:id="347"/>
      <w:r>
        <w:rPr/>
      </w:r>
      <w:hyperlink w:history="true" w:anchor="_bookmark283">
        <w:r>
          <w:rPr>
            <w:color w:val="005DA1"/>
            <w:spacing w:val="-4"/>
            <w:position w:val="5"/>
            <w:sz w:val="14"/>
            <w:u w:val="single" w:color="005DA1"/>
          </w:rPr>
          <w:t>168</w:t>
        </w:r>
      </w:hyperlink>
      <w:r>
        <w:rPr>
          <w:spacing w:val="-4"/>
          <w:position w:val="5"/>
          <w:sz w:val="14"/>
        </w:rPr>
        <w:t>.</w:t>
      </w:r>
      <w:r>
        <w:rPr>
          <w:position w:val="5"/>
          <w:sz w:val="14"/>
        </w:rPr>
        <w:tab/>
      </w:r>
      <w:r>
        <w:rPr>
          <w:sz w:val="20"/>
        </w:rPr>
        <w:t>Macleod</w:t>
      </w:r>
      <w:r>
        <w:rPr>
          <w:spacing w:val="8"/>
          <w:sz w:val="20"/>
        </w:rPr>
        <w:t> </w:t>
      </w:r>
      <w:r>
        <w:rPr>
          <w:sz w:val="20"/>
        </w:rPr>
        <w:t>[1970]</w:t>
      </w:r>
      <w:r>
        <w:rPr>
          <w:spacing w:val="8"/>
          <w:sz w:val="20"/>
        </w:rPr>
        <w:t> </w:t>
      </w:r>
      <w:r>
        <w:rPr>
          <w:sz w:val="20"/>
        </w:rPr>
        <w:t>J.B.L.</w:t>
      </w:r>
      <w:r>
        <w:rPr>
          <w:spacing w:val="8"/>
          <w:sz w:val="20"/>
        </w:rPr>
        <w:t> </w:t>
      </w:r>
      <w:r>
        <w:rPr>
          <w:sz w:val="20"/>
        </w:rPr>
        <w:t>19;Street,</w:t>
      </w:r>
      <w:r>
        <w:rPr>
          <w:spacing w:val="8"/>
          <w:sz w:val="20"/>
        </w:rPr>
        <w:t> </w:t>
      </w:r>
      <w:r>
        <w:rPr>
          <w:rFonts w:ascii="Arial" w:hAnsi="Arial"/>
          <w:i/>
          <w:sz w:val="20"/>
        </w:rPr>
        <w:t>Principles</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the</w:t>
      </w:r>
      <w:r>
        <w:rPr>
          <w:rFonts w:ascii="Arial" w:hAnsi="Arial"/>
          <w:i/>
          <w:spacing w:val="8"/>
          <w:sz w:val="20"/>
        </w:rPr>
        <w:t> </w:t>
      </w:r>
      <w:r>
        <w:rPr>
          <w:rFonts w:ascii="Arial" w:hAnsi="Arial"/>
          <w:i/>
          <w:sz w:val="20"/>
        </w:rPr>
        <w:t>Law</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Damages</w:t>
      </w:r>
      <w:r>
        <w:rPr>
          <w:rFonts w:ascii="Arial" w:hAnsi="Arial"/>
          <w:i/>
          <w:spacing w:val="8"/>
          <w:sz w:val="20"/>
        </w:rPr>
        <w:t> </w:t>
      </w:r>
      <w:r>
        <w:rPr>
          <w:sz w:val="20"/>
        </w:rPr>
        <w:t>(1962),</w:t>
      </w:r>
      <w:r>
        <w:rPr>
          <w:spacing w:val="8"/>
          <w:sz w:val="20"/>
        </w:rPr>
        <w:t> </w:t>
      </w:r>
      <w:r>
        <w:rPr>
          <w:sz w:val="20"/>
        </w:rPr>
        <w:t>pp.242–245;</w:t>
      </w:r>
      <w:r>
        <w:rPr>
          <w:spacing w:val="8"/>
          <w:sz w:val="20"/>
        </w:rPr>
        <w:t> </w:t>
      </w:r>
      <w:r>
        <w:rPr>
          <w:spacing w:val="-2"/>
          <w:sz w:val="20"/>
        </w:rPr>
        <w:t>Beale,</w:t>
      </w:r>
    </w:p>
    <w:p>
      <w:pPr>
        <w:spacing w:line="227" w:lineRule="exact" w:before="0"/>
        <w:ind w:left="705" w:right="0" w:firstLine="0"/>
        <w:jc w:val="left"/>
        <w:rPr>
          <w:sz w:val="20"/>
        </w:rPr>
      </w:pPr>
      <w:r>
        <w:rPr>
          <w:rFonts w:ascii="Arial"/>
          <w:i/>
          <w:sz w:val="20"/>
        </w:rPr>
        <w:t>Remedies for Breach of Contract</w:t>
      </w:r>
      <w:r>
        <w:rPr>
          <w:rFonts w:ascii="Arial"/>
          <w:i/>
          <w:spacing w:val="-1"/>
          <w:sz w:val="20"/>
        </w:rPr>
        <w:t> </w:t>
      </w:r>
      <w:r>
        <w:rPr>
          <w:sz w:val="20"/>
        </w:rPr>
        <w:t>(1980), </w:t>
      </w:r>
      <w:r>
        <w:rPr>
          <w:spacing w:val="-2"/>
          <w:sz w:val="20"/>
        </w:rPr>
        <w:t>p.238.</w:t>
      </w:r>
    </w:p>
    <w:p>
      <w:pPr>
        <w:pStyle w:val="BodyText"/>
        <w:spacing w:before="9"/>
      </w:pPr>
    </w:p>
    <w:p>
      <w:pPr>
        <w:spacing w:line="235" w:lineRule="auto" w:before="0"/>
        <w:ind w:left="705" w:right="168" w:hanging="541"/>
        <w:jc w:val="both"/>
        <w:rPr>
          <w:sz w:val="20"/>
        </w:rPr>
      </w:pPr>
      <w:bookmarkStart w:name="_bookmark346" w:id="348"/>
      <w:bookmarkEnd w:id="348"/>
      <w:r>
        <w:rPr/>
      </w:r>
      <w:hyperlink w:history="true" w:anchor="_bookmark284">
        <w:r>
          <w:rPr>
            <w:color w:val="005DA1"/>
            <w:position w:val="5"/>
            <w:sz w:val="14"/>
            <w:u w:val="single" w:color="005DA1"/>
          </w:rPr>
          <w:t>169</w:t>
        </w:r>
      </w:hyperlink>
      <w:r>
        <w:rPr>
          <w:position w:val="5"/>
          <w:sz w:val="14"/>
        </w:rPr>
        <w:t>.</w:t>
      </w:r>
      <w:r>
        <w:rPr>
          <w:spacing w:val="80"/>
          <w:position w:val="5"/>
          <w:sz w:val="14"/>
        </w:rPr>
        <w:t>  </w:t>
      </w:r>
      <w:r>
        <w:rPr>
          <w:rFonts w:ascii="Arial" w:hAnsi="Arial"/>
          <w:i/>
          <w:sz w:val="20"/>
        </w:rPr>
        <w:t>Cullinane v British “Rema” Manufacturing Co Ltd [1954] 1 Q.B. 292, 308</w:t>
      </w:r>
      <w:r>
        <w:rPr>
          <w:sz w:val="20"/>
        </w:rPr>
        <w:t>. (This case is explored in more detail below, Vol.II, paras 44-422—44-423); </w:t>
      </w:r>
      <w:r>
        <w:rPr>
          <w:rFonts w:ascii="Arial" w:hAnsi="Arial"/>
          <w:i/>
          <w:sz w:val="20"/>
        </w:rPr>
        <w:t>Anglia Television Ltd v Reed [1972] 1 </w:t>
      </w:r>
      <w:r>
        <w:rPr>
          <w:rFonts w:ascii="Arial" w:hAnsi="Arial"/>
          <w:i/>
          <w:sz w:val="20"/>
        </w:rPr>
        <w:t>Q.B. 60, 63–64</w:t>
      </w:r>
      <w:r>
        <w:rPr>
          <w:sz w:val="20"/>
        </w:rPr>
        <w:t>.</w:t>
      </w:r>
    </w:p>
    <w:p>
      <w:pPr>
        <w:pStyle w:val="BodyText"/>
        <w:spacing w:before="5"/>
      </w:pPr>
    </w:p>
    <w:p>
      <w:pPr>
        <w:tabs>
          <w:tab w:pos="705" w:val="left" w:leader="none"/>
        </w:tabs>
        <w:spacing w:before="0"/>
        <w:ind w:left="165" w:right="0" w:firstLine="0"/>
        <w:jc w:val="left"/>
        <w:rPr>
          <w:sz w:val="20"/>
        </w:rPr>
      </w:pPr>
      <w:bookmarkStart w:name="_bookmark347" w:id="349"/>
      <w:bookmarkEnd w:id="349"/>
      <w:r>
        <w:rPr/>
      </w:r>
      <w:hyperlink w:history="true" w:anchor="_bookmark285">
        <w:r>
          <w:rPr>
            <w:color w:val="005DA1"/>
            <w:spacing w:val="-4"/>
            <w:position w:val="5"/>
            <w:sz w:val="14"/>
            <w:u w:val="single" w:color="005DA1"/>
          </w:rPr>
          <w:t>170</w:t>
        </w:r>
      </w:hyperlink>
      <w:r>
        <w:rPr>
          <w:spacing w:val="-4"/>
          <w:position w:val="5"/>
          <w:sz w:val="14"/>
        </w:rPr>
        <w:t>.</w:t>
      </w:r>
      <w:r>
        <w:rPr>
          <w:position w:val="5"/>
          <w:sz w:val="14"/>
        </w:rPr>
        <w:tab/>
      </w:r>
      <w:r>
        <w:rPr>
          <w:sz w:val="20"/>
        </w:rPr>
        <w:t>In</w:t>
      </w:r>
      <w:r>
        <w:rPr>
          <w:spacing w:val="16"/>
          <w:sz w:val="20"/>
        </w:rPr>
        <w:t> </w:t>
      </w:r>
      <w:r>
        <w:rPr>
          <w:sz w:val="20"/>
        </w:rPr>
        <w:t>both</w:t>
      </w:r>
      <w:r>
        <w:rPr>
          <w:spacing w:val="16"/>
          <w:sz w:val="20"/>
        </w:rPr>
        <w:t> </w:t>
      </w:r>
      <w:r>
        <w:rPr>
          <w:sz w:val="20"/>
        </w:rPr>
        <w:t>the</w:t>
      </w:r>
      <w:r>
        <w:rPr>
          <w:spacing w:val="16"/>
          <w:sz w:val="20"/>
        </w:rPr>
        <w:t> </w:t>
      </w:r>
      <w:r>
        <w:rPr>
          <w:rFonts w:ascii="Arial"/>
          <w:i/>
          <w:sz w:val="20"/>
        </w:rPr>
        <w:t>Cullinane</w:t>
      </w:r>
      <w:r>
        <w:rPr>
          <w:rFonts w:ascii="Arial"/>
          <w:i/>
          <w:spacing w:val="16"/>
          <w:sz w:val="20"/>
        </w:rPr>
        <w:t> </w:t>
      </w:r>
      <w:r>
        <w:rPr>
          <w:rFonts w:ascii="Arial"/>
          <w:i/>
          <w:sz w:val="20"/>
        </w:rPr>
        <w:t>[1954]</w:t>
      </w:r>
      <w:r>
        <w:rPr>
          <w:rFonts w:ascii="Arial"/>
          <w:i/>
          <w:spacing w:val="16"/>
          <w:sz w:val="20"/>
        </w:rPr>
        <w:t> </w:t>
      </w:r>
      <w:r>
        <w:rPr>
          <w:rFonts w:ascii="Arial"/>
          <w:i/>
          <w:sz w:val="20"/>
        </w:rPr>
        <w:t>1</w:t>
      </w:r>
      <w:r>
        <w:rPr>
          <w:rFonts w:ascii="Arial"/>
          <w:i/>
          <w:spacing w:val="16"/>
          <w:sz w:val="20"/>
        </w:rPr>
        <w:t> </w:t>
      </w:r>
      <w:r>
        <w:rPr>
          <w:rFonts w:ascii="Arial"/>
          <w:i/>
          <w:sz w:val="20"/>
        </w:rPr>
        <w:t>Q.B.</w:t>
      </w:r>
      <w:r>
        <w:rPr>
          <w:rFonts w:ascii="Arial"/>
          <w:i/>
          <w:spacing w:val="16"/>
          <w:sz w:val="20"/>
        </w:rPr>
        <w:t> </w:t>
      </w:r>
      <w:r>
        <w:rPr>
          <w:rFonts w:ascii="Arial"/>
          <w:i/>
          <w:sz w:val="20"/>
        </w:rPr>
        <w:t>292</w:t>
      </w:r>
      <w:r>
        <w:rPr>
          <w:rFonts w:ascii="Arial"/>
          <w:i/>
          <w:spacing w:val="15"/>
          <w:sz w:val="20"/>
        </w:rPr>
        <w:t> </w:t>
      </w:r>
      <w:r>
        <w:rPr>
          <w:sz w:val="20"/>
        </w:rPr>
        <w:t>and</w:t>
      </w:r>
      <w:r>
        <w:rPr>
          <w:spacing w:val="16"/>
          <w:sz w:val="20"/>
        </w:rPr>
        <w:t> </w:t>
      </w:r>
      <w:r>
        <w:rPr>
          <w:rFonts w:ascii="Arial"/>
          <w:i/>
          <w:sz w:val="20"/>
        </w:rPr>
        <w:t>Anglia</w:t>
      </w:r>
      <w:r>
        <w:rPr>
          <w:rFonts w:ascii="Arial"/>
          <w:i/>
          <w:spacing w:val="16"/>
          <w:sz w:val="20"/>
        </w:rPr>
        <w:t> </w:t>
      </w:r>
      <w:r>
        <w:rPr>
          <w:rFonts w:ascii="Arial"/>
          <w:i/>
          <w:sz w:val="20"/>
        </w:rPr>
        <w:t>Television</w:t>
      </w:r>
      <w:r>
        <w:rPr>
          <w:rFonts w:ascii="Arial"/>
          <w:i/>
          <w:spacing w:val="16"/>
          <w:sz w:val="20"/>
        </w:rPr>
        <w:t> </w:t>
      </w:r>
      <w:r>
        <w:rPr>
          <w:rFonts w:ascii="Arial"/>
          <w:i/>
          <w:sz w:val="20"/>
        </w:rPr>
        <w:t>[1972]</w:t>
      </w:r>
      <w:r>
        <w:rPr>
          <w:rFonts w:ascii="Arial"/>
          <w:i/>
          <w:spacing w:val="16"/>
          <w:sz w:val="20"/>
        </w:rPr>
        <w:t> </w:t>
      </w:r>
      <w:r>
        <w:rPr>
          <w:rFonts w:ascii="Arial"/>
          <w:i/>
          <w:sz w:val="20"/>
        </w:rPr>
        <w:t>1</w:t>
      </w:r>
      <w:r>
        <w:rPr>
          <w:rFonts w:ascii="Arial"/>
          <w:i/>
          <w:spacing w:val="16"/>
          <w:sz w:val="20"/>
        </w:rPr>
        <w:t> </w:t>
      </w:r>
      <w:r>
        <w:rPr>
          <w:rFonts w:ascii="Arial"/>
          <w:i/>
          <w:sz w:val="20"/>
        </w:rPr>
        <w:t>Q.B.</w:t>
      </w:r>
      <w:r>
        <w:rPr>
          <w:rFonts w:ascii="Arial"/>
          <w:i/>
          <w:spacing w:val="16"/>
          <w:sz w:val="20"/>
        </w:rPr>
        <w:t> </w:t>
      </w:r>
      <w:r>
        <w:rPr>
          <w:rFonts w:ascii="Arial"/>
          <w:i/>
          <w:sz w:val="20"/>
        </w:rPr>
        <w:t>60</w:t>
      </w:r>
      <w:r>
        <w:rPr>
          <w:rFonts w:ascii="Arial"/>
          <w:i/>
          <w:spacing w:val="15"/>
          <w:sz w:val="20"/>
        </w:rPr>
        <w:t> </w:t>
      </w:r>
      <w:r>
        <w:rPr>
          <w:sz w:val="20"/>
        </w:rPr>
        <w:t>cases,</w:t>
      </w:r>
      <w:r>
        <w:rPr>
          <w:spacing w:val="16"/>
          <w:sz w:val="20"/>
        </w:rPr>
        <w:t> </w:t>
      </w:r>
      <w:r>
        <w:rPr>
          <w:spacing w:val="-2"/>
          <w:sz w:val="20"/>
        </w:rPr>
        <w:t>above,</w:t>
      </w:r>
    </w:p>
    <w:p>
      <w:pPr>
        <w:spacing w:after="0"/>
        <w:jc w:val="left"/>
        <w:rPr>
          <w:sz w:val="20"/>
        </w:rPr>
        <w:sectPr>
          <w:pgSz w:w="11900" w:h="16840"/>
          <w:pgMar w:header="971" w:footer="0" w:top="1300" w:bottom="280" w:left="1275" w:right="1275"/>
        </w:sectPr>
      </w:pPr>
    </w:p>
    <w:p>
      <w:pPr>
        <w:pStyle w:val="BodyText"/>
        <w:spacing w:line="235" w:lineRule="auto" w:before="110"/>
        <w:ind w:left="705" w:right="174"/>
      </w:pPr>
      <w:r>
        <w:rPr/>
        <w:t>the relevant profit-making related to the activity in which the plaintiff was engaged (processing clay for sale or making a proposed film) rather than to the individual contract.</w:t>
      </w:r>
    </w:p>
    <w:p>
      <w:pPr>
        <w:pStyle w:val="BodyText"/>
        <w:spacing w:before="9"/>
      </w:pPr>
    </w:p>
    <w:p>
      <w:pPr>
        <w:spacing w:line="235" w:lineRule="auto" w:before="0"/>
        <w:ind w:left="705" w:right="167" w:hanging="541"/>
        <w:jc w:val="both"/>
        <w:rPr>
          <w:sz w:val="20"/>
        </w:rPr>
      </w:pPr>
      <w:bookmarkStart w:name="_bookmark348" w:id="350"/>
      <w:bookmarkEnd w:id="350"/>
      <w:r>
        <w:rPr/>
      </w:r>
      <w:hyperlink w:history="true" w:anchor="_bookmark286">
        <w:r>
          <w:rPr>
            <w:color w:val="005DA1"/>
            <w:position w:val="5"/>
            <w:sz w:val="14"/>
            <w:u w:val="single" w:color="005DA1"/>
          </w:rPr>
          <w:t>171</w:t>
        </w:r>
      </w:hyperlink>
      <w:r>
        <w:rPr>
          <w:position w:val="5"/>
          <w:sz w:val="14"/>
        </w:rPr>
        <w:t>.</w:t>
      </w:r>
      <w:r>
        <w:rPr>
          <w:spacing w:val="40"/>
          <w:position w:val="5"/>
          <w:sz w:val="14"/>
        </w:rPr>
        <w:t>  </w:t>
      </w:r>
      <w:r>
        <w:rPr>
          <w:sz w:val="20"/>
        </w:rPr>
        <w:t>See </w:t>
      </w:r>
      <w:r>
        <w:rPr>
          <w:rFonts w:ascii="Arial" w:hAnsi="Arial"/>
          <w:i/>
          <w:sz w:val="20"/>
        </w:rPr>
        <w:t>T.C Industrial Plant Pty Ltd v Robert’s (Queensland) Pty Ltd [1964] A.L.R. 1083</w:t>
      </w:r>
      <w:r>
        <w:rPr>
          <w:sz w:val="20"/>
        </w:rPr>
        <w:t>; </w:t>
      </w:r>
      <w:r>
        <w:rPr>
          <w:sz w:val="20"/>
        </w:rPr>
        <w:t>Stoljar [1975] 91 L.Q.R. 68. In </w:t>
      </w:r>
      <w:r>
        <w:rPr>
          <w:rFonts w:ascii="Arial" w:hAnsi="Arial"/>
          <w:i/>
          <w:sz w:val="20"/>
        </w:rPr>
        <w:t>Hydraulic Engineering Co Ltd v McHaffie Goslett &amp; Co (1878) 4 Q.B.D. 670</w:t>
      </w:r>
      <w:r>
        <w:rPr>
          <w:sz w:val="20"/>
        </w:rPr>
        <w:t>, both wasted expenses and profits were awarded, but it is not clear whether the latter were </w:t>
      </w:r>
      <w:r>
        <w:rPr>
          <w:rFonts w:ascii="Arial" w:hAnsi="Arial"/>
          <w:i/>
          <w:sz w:val="20"/>
        </w:rPr>
        <w:t>net </w:t>
      </w:r>
      <w:r>
        <w:rPr>
          <w:sz w:val="20"/>
        </w:rPr>
        <w:t>profits. See also </w:t>
      </w:r>
      <w:r>
        <w:rPr>
          <w:rFonts w:ascii="Arial" w:hAnsi="Arial"/>
          <w:i/>
          <w:sz w:val="20"/>
        </w:rPr>
        <w:t>Saint Line Ltd v Richardsons, Westgarth &amp; Co Ltd [1940] 2 K.B. 99 </w:t>
      </w:r>
      <w:r>
        <w:rPr>
          <w:sz w:val="20"/>
        </w:rPr>
        <w:t>which accepted</w:t>
      </w:r>
      <w:r>
        <w:rPr>
          <w:spacing w:val="12"/>
          <w:sz w:val="20"/>
        </w:rPr>
        <w:t> </w:t>
      </w:r>
      <w:r>
        <w:rPr>
          <w:sz w:val="20"/>
        </w:rPr>
        <w:t>a</w:t>
      </w:r>
      <w:r>
        <w:rPr>
          <w:spacing w:val="12"/>
          <w:sz w:val="20"/>
        </w:rPr>
        <w:t> </w:t>
      </w:r>
      <w:r>
        <w:rPr>
          <w:sz w:val="20"/>
        </w:rPr>
        <w:t>claim</w:t>
      </w:r>
      <w:r>
        <w:rPr>
          <w:spacing w:val="12"/>
          <w:sz w:val="20"/>
        </w:rPr>
        <w:t> </w:t>
      </w:r>
      <w:r>
        <w:rPr>
          <w:sz w:val="20"/>
        </w:rPr>
        <w:t>involving</w:t>
      </w:r>
      <w:r>
        <w:rPr>
          <w:spacing w:val="12"/>
          <w:sz w:val="20"/>
        </w:rPr>
        <w:t> </w:t>
      </w:r>
      <w:r>
        <w:rPr>
          <w:sz w:val="20"/>
        </w:rPr>
        <w:t>both.</w:t>
      </w:r>
      <w:r>
        <w:rPr>
          <w:spacing w:val="12"/>
          <w:sz w:val="20"/>
        </w:rPr>
        <w:t> </w:t>
      </w:r>
      <w:r>
        <w:rPr>
          <w:sz w:val="20"/>
        </w:rPr>
        <w:t>The</w:t>
      </w:r>
      <w:r>
        <w:rPr>
          <w:spacing w:val="12"/>
          <w:sz w:val="20"/>
        </w:rPr>
        <w:t> </w:t>
      </w:r>
      <w:r>
        <w:rPr>
          <w:sz w:val="20"/>
        </w:rPr>
        <w:t>distinction</w:t>
      </w:r>
      <w:r>
        <w:rPr>
          <w:spacing w:val="12"/>
          <w:sz w:val="20"/>
        </w:rPr>
        <w:t> </w:t>
      </w:r>
      <w:r>
        <w:rPr>
          <w:sz w:val="20"/>
        </w:rPr>
        <w:t>between</w:t>
      </w:r>
      <w:r>
        <w:rPr>
          <w:spacing w:val="12"/>
          <w:sz w:val="20"/>
        </w:rPr>
        <w:t> </w:t>
      </w:r>
      <w:r>
        <w:rPr>
          <w:sz w:val="20"/>
        </w:rPr>
        <w:t>gross</w:t>
      </w:r>
      <w:r>
        <w:rPr>
          <w:spacing w:val="12"/>
          <w:sz w:val="20"/>
        </w:rPr>
        <w:t> </w:t>
      </w:r>
      <w:r>
        <w:rPr>
          <w:sz w:val="20"/>
        </w:rPr>
        <w:t>and</w:t>
      </w:r>
      <w:r>
        <w:rPr>
          <w:spacing w:val="12"/>
          <w:sz w:val="20"/>
        </w:rPr>
        <w:t> </w:t>
      </w:r>
      <w:r>
        <w:rPr>
          <w:sz w:val="20"/>
        </w:rPr>
        <w:t>net</w:t>
      </w:r>
      <w:r>
        <w:rPr>
          <w:spacing w:val="12"/>
          <w:sz w:val="20"/>
        </w:rPr>
        <w:t> </w:t>
      </w:r>
      <w:r>
        <w:rPr>
          <w:sz w:val="20"/>
        </w:rPr>
        <w:t>profits</w:t>
      </w:r>
      <w:r>
        <w:rPr>
          <w:spacing w:val="12"/>
          <w:sz w:val="20"/>
        </w:rPr>
        <w:t> </w:t>
      </w:r>
      <w:r>
        <w:rPr>
          <w:sz w:val="20"/>
        </w:rPr>
        <w:t>is</w:t>
      </w:r>
      <w:r>
        <w:rPr>
          <w:spacing w:val="12"/>
          <w:sz w:val="20"/>
        </w:rPr>
        <w:t> </w:t>
      </w:r>
      <w:r>
        <w:rPr>
          <w:sz w:val="20"/>
        </w:rPr>
        <w:t>recognised</w:t>
      </w:r>
      <w:r>
        <w:rPr>
          <w:spacing w:val="12"/>
          <w:sz w:val="20"/>
        </w:rPr>
        <w:t> </w:t>
      </w:r>
      <w:r>
        <w:rPr>
          <w:spacing w:val="-5"/>
          <w:sz w:val="20"/>
        </w:rPr>
        <w:t>in</w:t>
      </w:r>
    </w:p>
    <w:p>
      <w:pPr>
        <w:spacing w:line="224" w:lineRule="exact" w:before="0"/>
        <w:ind w:left="705" w:right="0" w:firstLine="0"/>
        <w:jc w:val="left"/>
        <w:rPr>
          <w:sz w:val="20"/>
        </w:rPr>
      </w:pPr>
      <w:r>
        <w:rPr>
          <w:rFonts w:ascii="Arial"/>
          <w:i/>
          <w:sz w:val="20"/>
        </w:rPr>
        <w:t>C.C.C. Films (London) Ltd v Impact Quadrant Films Ltd [1985] Q.B. 16, </w:t>
      </w:r>
      <w:r>
        <w:rPr>
          <w:rFonts w:ascii="Arial"/>
          <w:i/>
          <w:spacing w:val="-5"/>
          <w:sz w:val="20"/>
        </w:rPr>
        <w:t>32</w:t>
      </w:r>
      <w:r>
        <w:rPr>
          <w:spacing w:val="-5"/>
          <w:sz w:val="20"/>
        </w:rPr>
        <w:t>.</w:t>
      </w:r>
    </w:p>
    <w:p>
      <w:pPr>
        <w:pStyle w:val="BodyText"/>
        <w:spacing w:before="9"/>
      </w:pPr>
    </w:p>
    <w:p>
      <w:pPr>
        <w:pStyle w:val="BodyText"/>
        <w:tabs>
          <w:tab w:pos="705" w:val="left" w:leader="none"/>
        </w:tabs>
        <w:spacing w:line="235" w:lineRule="auto"/>
        <w:ind w:left="705" w:right="174" w:hanging="541"/>
      </w:pPr>
      <w:bookmarkStart w:name="_bookmark349" w:id="351"/>
      <w:bookmarkEnd w:id="351"/>
      <w:r>
        <w:rPr/>
      </w:r>
      <w:hyperlink w:history="true" w:anchor="_bookmark287">
        <w:r>
          <w:rPr>
            <w:color w:val="005DA1"/>
            <w:spacing w:val="-4"/>
            <w:position w:val="5"/>
            <w:sz w:val="14"/>
            <w:u w:val="single" w:color="005DA1"/>
          </w:rPr>
          <w:t>172</w:t>
        </w:r>
      </w:hyperlink>
      <w:r>
        <w:rPr>
          <w:spacing w:val="-4"/>
          <w:position w:val="5"/>
          <w:sz w:val="14"/>
        </w:rPr>
        <w:t>.</w:t>
      </w:r>
      <w:r>
        <w:rPr>
          <w:position w:val="5"/>
          <w:sz w:val="14"/>
        </w:rPr>
        <w:tab/>
      </w:r>
      <w:r>
        <w:rPr/>
        <w:t>Under</w:t>
      </w:r>
      <w:r>
        <w:rPr>
          <w:spacing w:val="40"/>
        </w:rPr>
        <w:t> </w:t>
      </w:r>
      <w:r>
        <w:rPr/>
        <w:t>the</w:t>
      </w:r>
      <w:r>
        <w:rPr>
          <w:spacing w:val="40"/>
        </w:rPr>
        <w:t> </w:t>
      </w:r>
      <w:r>
        <w:rPr/>
        <w:t>rules</w:t>
      </w:r>
      <w:r>
        <w:rPr>
          <w:spacing w:val="40"/>
        </w:rPr>
        <w:t> </w:t>
      </w:r>
      <w:r>
        <w:rPr/>
        <w:t>of</w:t>
      </w:r>
      <w:r>
        <w:rPr>
          <w:spacing w:val="40"/>
        </w:rPr>
        <w:t> </w:t>
      </w:r>
      <w:r>
        <w:rPr/>
        <w:t>mitigation,</w:t>
      </w:r>
      <w:r>
        <w:rPr>
          <w:spacing w:val="40"/>
        </w:rPr>
        <w:t> </w:t>
      </w:r>
      <w:r>
        <w:rPr/>
        <w:t>a</w:t>
      </w:r>
      <w:r>
        <w:rPr>
          <w:spacing w:val="40"/>
        </w:rPr>
        <w:t> </w:t>
      </w:r>
      <w:r>
        <w:rPr/>
        <w:t>deduction</w:t>
      </w:r>
      <w:r>
        <w:rPr>
          <w:spacing w:val="40"/>
        </w:rPr>
        <w:t> </w:t>
      </w:r>
      <w:r>
        <w:rPr/>
        <w:t>must</w:t>
      </w:r>
      <w:r>
        <w:rPr>
          <w:spacing w:val="40"/>
        </w:rPr>
        <w:t> </w:t>
      </w:r>
      <w:r>
        <w:rPr/>
        <w:t>be</w:t>
      </w:r>
      <w:r>
        <w:rPr>
          <w:spacing w:val="40"/>
        </w:rPr>
        <w:t> </w:t>
      </w:r>
      <w:r>
        <w:rPr/>
        <w:t>made</w:t>
      </w:r>
      <w:r>
        <w:rPr>
          <w:spacing w:val="40"/>
        </w:rPr>
        <w:t> </w:t>
      </w:r>
      <w:r>
        <w:rPr/>
        <w:t>from</w:t>
      </w:r>
      <w:r>
        <w:rPr>
          <w:spacing w:val="40"/>
        </w:rPr>
        <w:t> </w:t>
      </w:r>
      <w:r>
        <w:rPr/>
        <w:t>the</w:t>
      </w:r>
      <w:r>
        <w:rPr>
          <w:spacing w:val="40"/>
        </w:rPr>
        <w:t> </w:t>
      </w:r>
      <w:r>
        <w:rPr/>
        <w:t>damages</w:t>
      </w:r>
      <w:r>
        <w:rPr>
          <w:spacing w:val="40"/>
        </w:rPr>
        <w:t> </w:t>
      </w:r>
      <w:r>
        <w:rPr/>
        <w:t>in</w:t>
      </w:r>
      <w:r>
        <w:rPr>
          <w:spacing w:val="40"/>
        </w:rPr>
        <w:t> </w:t>
      </w:r>
      <w:r>
        <w:rPr/>
        <w:t>respect</w:t>
      </w:r>
      <w:r>
        <w:rPr>
          <w:spacing w:val="40"/>
        </w:rPr>
        <w:t> </w:t>
      </w:r>
      <w:r>
        <w:rPr/>
        <w:t>of anything with a salvage value arising from the expenditure.</w:t>
      </w:r>
    </w:p>
    <w:p>
      <w:pPr>
        <w:pStyle w:val="BodyText"/>
        <w:spacing w:before="9"/>
      </w:pPr>
    </w:p>
    <w:p>
      <w:pPr>
        <w:spacing w:line="235" w:lineRule="auto" w:before="1"/>
        <w:ind w:left="705" w:right="167" w:hanging="541"/>
        <w:jc w:val="both"/>
        <w:rPr>
          <w:sz w:val="20"/>
        </w:rPr>
      </w:pPr>
      <w:bookmarkStart w:name="_bookmark350" w:id="352"/>
      <w:bookmarkEnd w:id="352"/>
      <w:r>
        <w:rPr/>
      </w:r>
      <w:hyperlink w:history="true" w:anchor="_bookmark287">
        <w:r>
          <w:rPr>
            <w:color w:val="005DA1"/>
            <w:position w:val="5"/>
            <w:sz w:val="14"/>
            <w:u w:val="single" w:color="005DA1"/>
          </w:rPr>
          <w:t>173</w:t>
        </w:r>
      </w:hyperlink>
      <w:r>
        <w:rPr>
          <w:position w:val="5"/>
          <w:sz w:val="14"/>
        </w:rPr>
        <w:t>.</w:t>
      </w:r>
      <w:r>
        <w:rPr>
          <w:spacing w:val="80"/>
          <w:position w:val="5"/>
          <w:sz w:val="14"/>
        </w:rPr>
        <w:t>  </w:t>
      </w:r>
      <w:r>
        <w:rPr>
          <w:rFonts w:ascii="Arial" w:hAnsi="Arial"/>
          <w:i/>
          <w:sz w:val="20"/>
        </w:rPr>
        <w:t>Anglia Television Ltd v Reed [1972] 1 Q.B. 60</w:t>
      </w:r>
      <w:r>
        <w:rPr>
          <w:rFonts w:ascii="Arial" w:hAnsi="Arial"/>
          <w:i/>
          <w:spacing w:val="-1"/>
          <w:sz w:val="20"/>
        </w:rPr>
        <w:t> </w:t>
      </w:r>
      <w:r>
        <w:rPr>
          <w:sz w:val="20"/>
        </w:rPr>
        <w:t>(the expenditure was part of the overall activity </w:t>
      </w:r>
      <w:r>
        <w:rPr>
          <w:sz w:val="20"/>
        </w:rPr>
        <w:t>in which the plaintiff was engaged, the making of a film); </w:t>
      </w:r>
      <w:r>
        <w:rPr>
          <w:rFonts w:ascii="Arial" w:hAnsi="Arial"/>
          <w:i/>
          <w:sz w:val="20"/>
        </w:rPr>
        <w:t>Lloyd v Stanbury [1971] 1 W.L.R. 535, 546 </w:t>
      </w:r>
      <w:r>
        <w:rPr>
          <w:sz w:val="20"/>
        </w:rPr>
        <w:t>(legal costs, and removal expenses: “the costs of performing an act required to be done by the contract”). See Ogus (1972) 35 M.L.R. 423. The question of a ceiling on recovery will be relevant: see above, paras 26-024, 26-028.</w:t>
      </w:r>
    </w:p>
    <w:p>
      <w:pPr>
        <w:pStyle w:val="BodyText"/>
        <w:spacing w:before="7"/>
      </w:pPr>
    </w:p>
    <w:p>
      <w:pPr>
        <w:tabs>
          <w:tab w:pos="705" w:val="left" w:leader="none"/>
        </w:tabs>
        <w:spacing w:line="235" w:lineRule="auto" w:before="1"/>
        <w:ind w:left="705" w:right="174" w:hanging="541"/>
        <w:jc w:val="left"/>
        <w:rPr>
          <w:sz w:val="20"/>
        </w:rPr>
      </w:pPr>
      <w:bookmarkStart w:name="_bookmark351" w:id="353"/>
      <w:bookmarkEnd w:id="353"/>
      <w:r>
        <w:rPr/>
      </w:r>
      <w:hyperlink w:history="true" w:anchor="_bookmark288">
        <w:r>
          <w:rPr>
            <w:color w:val="005DA1"/>
            <w:spacing w:val="-4"/>
            <w:position w:val="5"/>
            <w:sz w:val="14"/>
            <w:u w:val="single" w:color="005DA1"/>
          </w:rPr>
          <w:t>174</w:t>
        </w:r>
      </w:hyperlink>
      <w:r>
        <w:rPr>
          <w:spacing w:val="-4"/>
          <w:position w:val="5"/>
          <w:sz w:val="14"/>
        </w:rPr>
        <w:t>.</w:t>
      </w:r>
      <w:r>
        <w:rPr>
          <w:position w:val="5"/>
          <w:sz w:val="14"/>
        </w:rPr>
        <w:tab/>
      </w:r>
      <w:r>
        <w:rPr>
          <w:sz w:val="20"/>
        </w:rPr>
        <w:t>The facts of the </w:t>
      </w:r>
      <w:r>
        <w:rPr>
          <w:rFonts w:ascii="Arial"/>
          <w:i/>
          <w:sz w:val="20"/>
        </w:rPr>
        <w:t>C.C.C. Films case [1985] Q.B. 16 </w:t>
      </w:r>
      <w:r>
        <w:rPr>
          <w:sz w:val="20"/>
        </w:rPr>
        <w:t>show that the expenditure in question was</w:t>
      </w:r>
      <w:r>
        <w:rPr>
          <w:spacing w:val="80"/>
          <w:sz w:val="20"/>
        </w:rPr>
        <w:t> </w:t>
      </w:r>
      <w:r>
        <w:rPr>
          <w:sz w:val="20"/>
        </w:rPr>
        <w:t>incurred before the making of the subsidiary agreement broken by the defendant.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52" w:id="354"/>
      <w:bookmarkEnd w:id="354"/>
      <w:r>
        <w:rPr/>
      </w:r>
      <w:hyperlink w:history="true" w:anchor="_bookmark289">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Aneco</w:t>
      </w:r>
      <w:r>
        <w:rPr>
          <w:rFonts w:ascii="Arial"/>
          <w:i/>
          <w:spacing w:val="27"/>
          <w:sz w:val="20"/>
        </w:rPr>
        <w:t> </w:t>
      </w:r>
      <w:r>
        <w:rPr>
          <w:rFonts w:ascii="Arial"/>
          <w:i/>
          <w:sz w:val="20"/>
        </w:rPr>
        <w:t>Reinsurance</w:t>
      </w:r>
      <w:r>
        <w:rPr>
          <w:rFonts w:ascii="Arial"/>
          <w:i/>
          <w:spacing w:val="29"/>
          <w:sz w:val="20"/>
        </w:rPr>
        <w:t> </w:t>
      </w:r>
      <w:r>
        <w:rPr>
          <w:rFonts w:ascii="Arial"/>
          <w:i/>
          <w:sz w:val="20"/>
        </w:rPr>
        <w:t>Underwriting</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Johnson</w:t>
      </w:r>
      <w:r>
        <w:rPr>
          <w:rFonts w:ascii="Arial"/>
          <w:i/>
          <w:spacing w:val="29"/>
          <w:sz w:val="20"/>
        </w:rPr>
        <w:t> </w:t>
      </w:r>
      <w:r>
        <w:rPr>
          <w:rFonts w:ascii="Arial"/>
          <w:i/>
          <w:sz w:val="20"/>
        </w:rPr>
        <w:t>&amp;</w:t>
      </w:r>
      <w:r>
        <w:rPr>
          <w:rFonts w:ascii="Arial"/>
          <w:i/>
          <w:spacing w:val="29"/>
          <w:sz w:val="20"/>
        </w:rPr>
        <w:t> </w:t>
      </w:r>
      <w:r>
        <w:rPr>
          <w:rFonts w:ascii="Arial"/>
          <w:i/>
          <w:sz w:val="20"/>
        </w:rPr>
        <w:t>Higgins</w:t>
      </w:r>
      <w:r>
        <w:rPr>
          <w:rFonts w:ascii="Arial"/>
          <w:i/>
          <w:spacing w:val="29"/>
          <w:sz w:val="20"/>
        </w:rPr>
        <w:t> </w:t>
      </w:r>
      <w:r>
        <w:rPr>
          <w:rFonts w:ascii="Arial"/>
          <w:i/>
          <w:sz w:val="20"/>
        </w:rPr>
        <w:t>Ltd</w:t>
      </w:r>
      <w:r>
        <w:rPr>
          <w:rFonts w:ascii="Arial"/>
          <w:i/>
          <w:spacing w:val="29"/>
          <w:sz w:val="20"/>
        </w:rPr>
        <w:t> </w:t>
      </w:r>
      <w:r>
        <w:rPr>
          <w:rFonts w:ascii="Arial"/>
          <w:i/>
          <w:sz w:val="20"/>
        </w:rPr>
        <w:t>[2001]</w:t>
      </w:r>
      <w:r>
        <w:rPr>
          <w:rFonts w:ascii="Arial"/>
          <w:i/>
          <w:spacing w:val="29"/>
          <w:sz w:val="20"/>
        </w:rPr>
        <w:t> </w:t>
      </w:r>
      <w:r>
        <w:rPr>
          <w:rFonts w:ascii="Arial"/>
          <w:i/>
          <w:sz w:val="20"/>
        </w:rPr>
        <w:t>UKHL</w:t>
      </w:r>
      <w:r>
        <w:rPr>
          <w:rFonts w:ascii="Arial"/>
          <w:i/>
          <w:spacing w:val="29"/>
          <w:sz w:val="20"/>
        </w:rPr>
        <w:t> </w:t>
      </w:r>
      <w:r>
        <w:rPr>
          <w:rFonts w:ascii="Arial"/>
          <w:i/>
          <w:sz w:val="20"/>
        </w:rPr>
        <w:t>51,</w:t>
      </w:r>
      <w:r>
        <w:rPr>
          <w:rFonts w:ascii="Arial"/>
          <w:i/>
          <w:spacing w:val="29"/>
          <w:sz w:val="20"/>
        </w:rPr>
        <w:t> </w:t>
      </w:r>
      <w:r>
        <w:rPr>
          <w:rFonts w:ascii="Arial"/>
          <w:i/>
          <w:sz w:val="20"/>
        </w:rPr>
        <w:t>[2001]</w:t>
      </w:r>
      <w:r>
        <w:rPr>
          <w:rFonts w:ascii="Arial"/>
          <w:i/>
          <w:spacing w:val="29"/>
          <w:sz w:val="20"/>
        </w:rPr>
        <w:t> </w:t>
      </w:r>
      <w:r>
        <w:rPr>
          <w:rFonts w:ascii="Arial"/>
          <w:i/>
          <w:sz w:val="20"/>
        </w:rPr>
        <w:t>2</w:t>
      </w:r>
      <w:r>
        <w:rPr>
          <w:rFonts w:ascii="Arial"/>
          <w:i/>
          <w:spacing w:val="29"/>
          <w:sz w:val="20"/>
        </w:rPr>
        <w:t> </w:t>
      </w:r>
      <w:r>
        <w:rPr>
          <w:rFonts w:ascii="Arial"/>
          <w:i/>
          <w:spacing w:val="-5"/>
          <w:sz w:val="20"/>
        </w:rPr>
        <w:t>All</w:t>
      </w:r>
    </w:p>
    <w:p>
      <w:pPr>
        <w:pStyle w:val="BodyText"/>
        <w:spacing w:line="235" w:lineRule="auto" w:before="1"/>
        <w:ind w:left="705"/>
      </w:pPr>
      <w:r>
        <w:rPr>
          <w:rFonts w:ascii="Arial"/>
          <w:i/>
        </w:rPr>
        <w:t>E.R. (Comm) 929 HL </w:t>
      </w:r>
      <w:r>
        <w:rPr/>
        <w:t>(advice to enter the transaction, as distinct from the provision of </w:t>
      </w:r>
      <w:r>
        <w:rPr/>
        <w:t>specific </w:t>
      </w:r>
      <w:r>
        <w:rPr>
          <w:spacing w:val="-2"/>
        </w:rPr>
        <w:t>information).</w:t>
      </w:r>
    </w:p>
    <w:p>
      <w:pPr>
        <w:pStyle w:val="BodyText"/>
        <w:spacing w:before="6"/>
      </w:pPr>
    </w:p>
    <w:p>
      <w:pPr>
        <w:tabs>
          <w:tab w:pos="705" w:val="left" w:leader="none"/>
        </w:tabs>
        <w:spacing w:before="0"/>
        <w:ind w:left="165" w:right="0" w:firstLine="0"/>
        <w:jc w:val="left"/>
        <w:rPr>
          <w:sz w:val="20"/>
        </w:rPr>
      </w:pPr>
      <w:bookmarkStart w:name="_bookmark353" w:id="355"/>
      <w:bookmarkEnd w:id="355"/>
      <w:r>
        <w:rPr/>
      </w:r>
      <w:hyperlink w:history="true" w:anchor="_bookmark289">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[1990] 2 All E.R. 815 </w:t>
      </w:r>
      <w:r>
        <w:rPr>
          <w:rFonts w:ascii="Arial"/>
          <w:i/>
          <w:spacing w:val="-5"/>
          <w:sz w:val="20"/>
        </w:rPr>
        <w:t>CA</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354" w:id="356"/>
      <w:bookmarkEnd w:id="356"/>
      <w:r>
        <w:rPr/>
      </w:r>
      <w:hyperlink w:history="true" w:anchor="_bookmark290">
        <w:r>
          <w:rPr>
            <w:color w:val="005DA1"/>
            <w:spacing w:val="-4"/>
            <w:sz w:val="14"/>
            <w:u w:val="single" w:color="005DA1"/>
          </w:rPr>
          <w:t>177</w:t>
        </w:r>
      </w:hyperlink>
      <w:r>
        <w:rPr>
          <w:spacing w:val="-4"/>
          <w:sz w:val="14"/>
        </w:rPr>
        <w:t>.</w:t>
      </w:r>
    </w:p>
    <w:p>
      <w:pPr>
        <w:spacing w:before="208"/>
        <w:ind w:left="335" w:right="0" w:firstLine="0"/>
        <w:jc w:val="left"/>
        <w:rPr>
          <w:sz w:val="20"/>
        </w:rPr>
      </w:pPr>
      <w:r>
        <w:rPr/>
        <w:br w:type="column"/>
      </w:r>
      <w:r>
        <w:rPr>
          <w:rFonts w:ascii="Arial"/>
          <w:i/>
          <w:sz w:val="20"/>
        </w:rPr>
        <w:t>[1997] A.C. 191</w:t>
      </w:r>
      <w:r>
        <w:rPr>
          <w:rFonts w:ascii="Arial"/>
          <w:i/>
          <w:spacing w:val="-1"/>
          <w:sz w:val="20"/>
        </w:rPr>
        <w:t> </w:t>
      </w:r>
      <w:r>
        <w:rPr>
          <w:sz w:val="20"/>
        </w:rPr>
        <w:t>(below, para.26-</w:t>
      </w:r>
      <w:r>
        <w:rPr>
          <w:spacing w:val="-2"/>
          <w:sz w:val="20"/>
        </w:rPr>
        <w:t>168).</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-211275</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5" w:id="357"/>
      <w:bookmarkEnd w:id="357"/>
      <w:r>
        <w:rPr/>
      </w:r>
      <w:hyperlink w:history="true" w:anchor="_bookmark291">
        <w:r>
          <w:rPr>
            <w:color w:val="005DA1"/>
            <w:spacing w:val="-4"/>
            <w:sz w:val="14"/>
            <w:u w:val="single" w:color="005DA1"/>
          </w:rPr>
          <w:t>178</w:t>
        </w:r>
      </w:hyperlink>
      <w:r>
        <w:rPr>
          <w:spacing w:val="-4"/>
          <w:sz w:val="14"/>
        </w:rPr>
        <w:t>.</w:t>
      </w:r>
    </w:p>
    <w:p>
      <w:pPr>
        <w:spacing w:before="208"/>
        <w:ind w:left="335" w:right="0" w:firstLine="0"/>
        <w:jc w:val="left"/>
        <w:rPr>
          <w:sz w:val="20"/>
        </w:rPr>
      </w:pPr>
      <w:r>
        <w:rPr/>
        <w:br w:type="column"/>
      </w:r>
      <w:r>
        <w:rPr>
          <w:sz w:val="20"/>
        </w:rPr>
        <w:t>sub nom.</w:t>
      </w:r>
      <w:r>
        <w:rPr>
          <w:spacing w:val="-1"/>
          <w:sz w:val="20"/>
        </w:rPr>
        <w:t> </w:t>
      </w:r>
      <w:r>
        <w:rPr>
          <w:rFonts w:ascii="Arial"/>
          <w:i/>
          <w:sz w:val="20"/>
        </w:rPr>
        <w:t>Banque Bruxelles Lambert SA v Eagle Star Insurance Co Ltd [1995] Q.B. </w:t>
      </w:r>
      <w:r>
        <w:rPr>
          <w:rFonts w:ascii="Arial"/>
          <w:i/>
          <w:spacing w:val="-4"/>
          <w:sz w:val="20"/>
        </w:rPr>
        <w:t>375</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-211255</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6" w:id="358"/>
      <w:bookmarkEnd w:id="358"/>
      <w:r>
        <w:rPr/>
      </w:r>
      <w:hyperlink w:history="true" w:anchor="_bookmark292">
        <w:r>
          <w:rPr>
            <w:color w:val="005DA1"/>
            <w:spacing w:val="-4"/>
            <w:sz w:val="14"/>
            <w:u w:val="single" w:color="005DA1"/>
          </w:rPr>
          <w:t>179</w:t>
        </w:r>
      </w:hyperlink>
      <w:r>
        <w:rPr>
          <w:spacing w:val="-4"/>
          <w:sz w:val="14"/>
        </w:rPr>
        <w:t>.</w:t>
      </w:r>
    </w:p>
    <w:p>
      <w:pPr>
        <w:spacing w:before="208"/>
        <w:ind w:left="335" w:right="0" w:firstLine="0"/>
        <w:jc w:val="left"/>
        <w:rPr>
          <w:sz w:val="20"/>
        </w:rPr>
      </w:pPr>
      <w:r>
        <w:rPr/>
        <w:br w:type="column"/>
      </w:r>
      <w:r>
        <w:rPr>
          <w:rFonts w:ascii="Arial"/>
          <w:i/>
          <w:sz w:val="20"/>
        </w:rPr>
        <w:t>[1997] A.C. </w:t>
      </w:r>
      <w:r>
        <w:rPr>
          <w:rFonts w:ascii="Arial"/>
          <w:i/>
          <w:spacing w:val="-4"/>
          <w:sz w:val="20"/>
        </w:rPr>
        <w:t>191</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-211235</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7" w:id="359"/>
      <w:bookmarkEnd w:id="359"/>
      <w:r>
        <w:rPr/>
      </w:r>
      <w:hyperlink w:history="true" w:anchor="_bookmark293">
        <w:r>
          <w:rPr>
            <w:color w:val="005DA1"/>
            <w:spacing w:val="-4"/>
            <w:sz w:val="14"/>
            <w:u w:val="single" w:color="005DA1"/>
          </w:rPr>
          <w:t>180</w:t>
        </w:r>
      </w:hyperlink>
      <w:r>
        <w:rPr>
          <w:spacing w:val="-4"/>
          <w:sz w:val="14"/>
        </w:rPr>
        <w:t>.</w:t>
      </w:r>
    </w:p>
    <w:p>
      <w:pPr>
        <w:spacing w:before="208"/>
        <w:ind w:left="335" w:right="0" w:firstLine="0"/>
        <w:jc w:val="left"/>
        <w:rPr>
          <w:rFonts w:ascii="Arial"/>
          <w:i/>
          <w:sz w:val="20"/>
        </w:rPr>
      </w:pPr>
      <w:r>
        <w:rPr/>
        <w:br w:type="column"/>
      </w:r>
      <w:r>
        <w:rPr>
          <w:rFonts w:ascii="Arial"/>
          <w:i/>
          <w:sz w:val="20"/>
        </w:rPr>
        <w:t>[1997] A.C. 191, </w:t>
      </w:r>
      <w:r>
        <w:rPr>
          <w:rFonts w:ascii="Arial"/>
          <w:i/>
          <w:spacing w:val="-5"/>
          <w:sz w:val="20"/>
        </w:rPr>
        <w:t>211</w:t>
      </w:r>
    </w:p>
    <w:p>
      <w:pPr>
        <w:spacing w:after="0"/>
        <w:jc w:val="left"/>
        <w:rPr>
          <w:rFonts w:ascii="Arial"/>
          <w:i/>
          <w:sz w:val="20"/>
        </w:rPr>
        <w:sectPr>
          <w:type w:val="continuous"/>
          <w:pgSz w:w="11900" w:h="16840"/>
          <w:pgMar w:header="971" w:footer="0" w:top="1300" w:bottom="280" w:left="1275" w:right="1275"/>
          <w:cols w:num="2" w:equalWidth="0">
            <w:col w:w="478" w:space="63"/>
            <w:col w:w="8809"/>
          </w:cols>
        </w:sectPr>
      </w:pPr>
    </w:p>
    <w:p>
      <w:pPr>
        <w:pStyle w:val="BodyText"/>
        <w:spacing w:before="9"/>
        <w:rPr>
          <w:rFonts w:ascii="Arial"/>
          <w:i/>
        </w:rPr>
      </w:pPr>
    </w:p>
    <w:p>
      <w:pPr>
        <w:spacing w:line="235" w:lineRule="auto" w:before="0"/>
        <w:ind w:left="705" w:right="167" w:hanging="541"/>
        <w:jc w:val="both"/>
        <w:rPr>
          <w:sz w:val="20"/>
        </w:rPr>
      </w:pPr>
      <w:r>
        <w:rPr>
          <w:sz w:val="20"/>
        </w:rPr>
        <w:drawing>
          <wp:anchor distT="0" distB="0" distL="0" distR="0" allowOverlap="1" layoutInCell="1" locked="0" behindDoc="0" simplePos="0" relativeHeight="15753216">
            <wp:simplePos x="0" y="0"/>
            <wp:positionH relativeFrom="page">
              <wp:posOffset>1257846</wp:posOffset>
            </wp:positionH>
            <wp:positionV relativeFrom="paragraph">
              <wp:posOffset>-269631</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8" w:id="360"/>
      <w:bookmarkEnd w:id="360"/>
      <w:r>
        <w:rPr/>
      </w:r>
      <w:hyperlink w:history="true" w:anchor="_bookmark294">
        <w:r>
          <w:rPr>
            <w:color w:val="005DA1"/>
            <w:position w:val="5"/>
            <w:sz w:val="14"/>
            <w:u w:val="single" w:color="005DA1"/>
          </w:rPr>
          <w:t>181</w:t>
        </w:r>
      </w:hyperlink>
      <w:r>
        <w:rPr>
          <w:position w:val="5"/>
          <w:sz w:val="14"/>
        </w:rPr>
        <w:t>.</w:t>
      </w:r>
      <w:r>
        <w:rPr>
          <w:spacing w:val="40"/>
          <w:position w:val="5"/>
          <w:sz w:val="14"/>
        </w:rPr>
        <w:t>  </w:t>
      </w:r>
      <w:r>
        <w:rPr>
          <w:rFonts w:ascii="Arial" w:hAnsi="Arial"/>
          <w:i/>
          <w:sz w:val="20"/>
        </w:rPr>
        <w:t>[1997] A.C. 191, 214</w:t>
      </w:r>
      <w:r>
        <w:rPr>
          <w:sz w:val="20"/>
        </w:rPr>
        <w:t>. </w:t>
      </w:r>
      <w:r>
        <w:rPr>
          <w:rFonts w:ascii="Arial" w:hAnsi="Arial"/>
          <w:i/>
          <w:sz w:val="20"/>
        </w:rPr>
        <w:t>Hayes v James &amp; Charles Dodd (A Firm) [1990] 2 All E.R. 815 CA </w:t>
      </w:r>
      <w:r>
        <w:rPr>
          <w:sz w:val="20"/>
        </w:rPr>
        <w:t>and </w:t>
      </w:r>
      <w:r>
        <w:rPr>
          <w:rFonts w:ascii="Arial" w:hAnsi="Arial"/>
          <w:i/>
          <w:sz w:val="20"/>
        </w:rPr>
        <w:t>County Personnel (Employment Agency) Ltd v Alan R Pulver and Co [1987] 1 W.L.R. 916 </w:t>
      </w:r>
      <w:r>
        <w:rPr>
          <w:rFonts w:ascii="Arial" w:hAnsi="Arial"/>
          <w:i/>
          <w:sz w:val="20"/>
        </w:rPr>
        <w:t>CA </w:t>
      </w:r>
      <w:r>
        <w:rPr>
          <w:sz w:val="20"/>
        </w:rPr>
        <w:t>were seemingly approved on the basis of the mitigation or “extrication” principle (“a reasonable attempt</w:t>
      </w:r>
      <w:r>
        <w:rPr>
          <w:spacing w:val="-1"/>
          <w:sz w:val="20"/>
        </w:rPr>
        <w:t> </w:t>
      </w:r>
      <w:r>
        <w:rPr>
          <w:sz w:val="20"/>
        </w:rPr>
        <w:t>to</w:t>
      </w:r>
      <w:r>
        <w:rPr>
          <w:spacing w:val="-1"/>
          <w:sz w:val="20"/>
        </w:rPr>
        <w:t> </w:t>
      </w:r>
      <w:r>
        <w:rPr>
          <w:sz w:val="20"/>
        </w:rPr>
        <w:t>cope</w:t>
      </w:r>
      <w:r>
        <w:rPr>
          <w:spacing w:val="-1"/>
          <w:sz w:val="20"/>
        </w:rPr>
        <w:t> </w:t>
      </w:r>
      <w:r>
        <w:rPr>
          <w:sz w:val="20"/>
        </w:rPr>
        <w:t>with</w:t>
      </w:r>
      <w:r>
        <w:rPr>
          <w:spacing w:val="-1"/>
          <w:sz w:val="20"/>
        </w:rPr>
        <w:t> </w:t>
      </w:r>
      <w:r>
        <w:rPr>
          <w:sz w:val="20"/>
        </w:rPr>
        <w:t>the</w:t>
      </w:r>
      <w:r>
        <w:rPr>
          <w:spacing w:val="-1"/>
          <w:sz w:val="20"/>
        </w:rPr>
        <w:t> </w:t>
      </w:r>
      <w:r>
        <w:rPr>
          <w:sz w:val="20"/>
        </w:rPr>
        <w:t>consequences</w:t>
      </w:r>
      <w:r>
        <w:rPr>
          <w:spacing w:val="-1"/>
          <w:sz w:val="20"/>
        </w:rPr>
        <w:t> </w:t>
      </w:r>
      <w:r>
        <w:rPr>
          <w:sz w:val="20"/>
        </w:rPr>
        <w:t>of</w:t>
      </w:r>
      <w:r>
        <w:rPr>
          <w:spacing w:val="-1"/>
          <w:sz w:val="20"/>
        </w:rPr>
        <w:t> </w:t>
      </w:r>
      <w:r>
        <w:rPr>
          <w:sz w:val="20"/>
        </w:rPr>
        <w:t>the</w:t>
      </w:r>
      <w:r>
        <w:rPr>
          <w:spacing w:val="-1"/>
          <w:sz w:val="20"/>
        </w:rPr>
        <w:t> </w:t>
      </w:r>
      <w:r>
        <w:rPr>
          <w:sz w:val="20"/>
        </w:rPr>
        <w:t>defendant’s</w:t>
      </w:r>
      <w:r>
        <w:rPr>
          <w:spacing w:val="-1"/>
          <w:sz w:val="20"/>
        </w:rPr>
        <w:t> </w:t>
      </w:r>
      <w:r>
        <w:rPr>
          <w:sz w:val="20"/>
        </w:rPr>
        <w:t>breach</w:t>
      </w:r>
      <w:r>
        <w:rPr>
          <w:spacing w:val="-1"/>
          <w:sz w:val="20"/>
        </w:rPr>
        <w:t> </w:t>
      </w:r>
      <w:r>
        <w:rPr>
          <w:sz w:val="20"/>
        </w:rPr>
        <w:t>of</w:t>
      </w:r>
      <w:r>
        <w:rPr>
          <w:spacing w:val="-1"/>
          <w:sz w:val="20"/>
        </w:rPr>
        <w:t> </w:t>
      </w:r>
      <w:r>
        <w:rPr>
          <w:sz w:val="20"/>
        </w:rPr>
        <w:t>duty”)</w:t>
      </w:r>
      <w:r>
        <w:rPr>
          <w:spacing w:val="-1"/>
          <w:sz w:val="20"/>
        </w:rPr>
        <w:t> </w:t>
      </w:r>
      <w:r>
        <w:rPr>
          <w:sz w:val="20"/>
        </w:rPr>
        <w:t>see</w:t>
      </w:r>
      <w:r>
        <w:rPr>
          <w:spacing w:val="-2"/>
          <w:sz w:val="20"/>
        </w:rPr>
        <w:t> </w:t>
      </w:r>
      <w:r>
        <w:rPr>
          <w:rFonts w:ascii="Arial" w:hAnsi="Arial"/>
          <w:i/>
          <w:sz w:val="20"/>
        </w:rPr>
        <w:t>[1997]</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191, 219</w:t>
      </w:r>
      <w:r>
        <w:rPr>
          <w:sz w:val="20"/>
        </w:rPr>
        <w:t>, though in </w:t>
      </w:r>
      <w:r>
        <w:rPr>
          <w:rFonts w:ascii="Arial" w:hAnsi="Arial"/>
          <w:i/>
          <w:sz w:val="20"/>
        </w:rPr>
        <w:t>Hayes v James &amp; Charles Dodd </w:t>
      </w:r>
      <w:r>
        <w:rPr>
          <w:sz w:val="20"/>
        </w:rPr>
        <w:t>the damages went beyond “extrication” and covered </w:t>
      </w:r>
      <w:r>
        <w:rPr>
          <w:rFonts w:ascii="Arial" w:hAnsi="Arial"/>
          <w:i/>
          <w:sz w:val="20"/>
        </w:rPr>
        <w:t>all </w:t>
      </w:r>
      <w:r>
        <w:rPr>
          <w:sz w:val="20"/>
        </w:rPr>
        <w:t>the plaintiff’s wasted expenditure from the beginning of the transaction.</w:t>
      </w: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59" w:id="361"/>
      <w:bookmarkEnd w:id="361"/>
      <w:r>
        <w:rPr/>
      </w:r>
      <w:hyperlink w:history="true" w:anchor="_bookmark295">
        <w:r>
          <w:rPr>
            <w:color w:val="005DA1"/>
            <w:spacing w:val="-4"/>
            <w:sz w:val="14"/>
            <w:u w:val="single" w:color="005DA1"/>
          </w:rPr>
          <w:t>182</w:t>
        </w:r>
      </w:hyperlink>
      <w:r>
        <w:rPr>
          <w:spacing w:val="-4"/>
          <w:sz w:val="14"/>
        </w:rPr>
        <w:t>.</w:t>
      </w:r>
    </w:p>
    <w:p>
      <w:pPr>
        <w:pStyle w:val="BodyText"/>
        <w:spacing w:before="209"/>
        <w:ind w:left="335"/>
      </w:pPr>
      <w:r>
        <w:rPr/>
        <w:br w:type="column"/>
      </w:r>
      <w:r>
        <w:rPr/>
        <w:t>See further below, para.26-</w:t>
      </w:r>
      <w:r>
        <w:rPr>
          <w:spacing w:val="-4"/>
        </w:rPr>
        <w:t>168.</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-210729</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0" w:id="362"/>
      <w:bookmarkEnd w:id="362"/>
      <w:r>
        <w:rPr/>
      </w:r>
      <w:hyperlink w:history="true" w:anchor="_bookmark296">
        <w:r>
          <w:rPr>
            <w:color w:val="005DA1"/>
            <w:spacing w:val="-4"/>
            <w:sz w:val="14"/>
            <w:u w:val="single" w:color="005DA1"/>
          </w:rPr>
          <w:t>183</w:t>
        </w:r>
      </w:hyperlink>
      <w:r>
        <w:rPr>
          <w:spacing w:val="-4"/>
          <w:sz w:val="14"/>
        </w:rPr>
        <w:t>.</w:t>
      </w:r>
    </w:p>
    <w:p>
      <w:pPr>
        <w:spacing w:before="209"/>
        <w:ind w:left="335" w:right="0" w:firstLine="0"/>
        <w:jc w:val="left"/>
        <w:rPr>
          <w:sz w:val="20"/>
        </w:rPr>
      </w:pPr>
      <w:r>
        <w:rPr/>
        <w:br w:type="column"/>
      </w:r>
      <w:r>
        <w:rPr>
          <w:rFonts w:ascii="Arial"/>
          <w:i/>
          <w:sz w:val="20"/>
        </w:rPr>
        <w:t>[2017] UKSC 21, [2017] 2 W.L.R. </w:t>
      </w:r>
      <w:r>
        <w:rPr>
          <w:rFonts w:ascii="Arial"/>
          <w:i/>
          <w:spacing w:val="-2"/>
          <w:sz w:val="20"/>
        </w:rPr>
        <w:t>1029</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-210710</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1" w:id="363"/>
      <w:bookmarkEnd w:id="363"/>
      <w:r>
        <w:rPr/>
      </w:r>
      <w:hyperlink w:history="true" w:anchor="_bookmark297">
        <w:r>
          <w:rPr>
            <w:color w:val="005DA1"/>
            <w:spacing w:val="-4"/>
            <w:sz w:val="14"/>
            <w:u w:val="single" w:color="005DA1"/>
          </w:rPr>
          <w:t>184</w:t>
        </w:r>
      </w:hyperlink>
      <w:r>
        <w:rPr>
          <w:spacing w:val="-4"/>
          <w:sz w:val="14"/>
        </w:rPr>
        <w:t>.</w:t>
      </w:r>
    </w:p>
    <w:p>
      <w:pPr>
        <w:spacing w:before="209"/>
        <w:ind w:left="335" w:right="0" w:firstLine="0"/>
        <w:jc w:val="left"/>
        <w:rPr>
          <w:sz w:val="20"/>
        </w:rPr>
      </w:pPr>
      <w:r>
        <w:rPr/>
        <w:br w:type="column"/>
      </w:r>
      <w:r>
        <w:rPr>
          <w:rFonts w:ascii="Arial"/>
          <w:i/>
          <w:sz w:val="20"/>
        </w:rPr>
        <w:t>[2017] 1 W.L.R. 1627 </w:t>
      </w:r>
      <w:r>
        <w:rPr>
          <w:rFonts w:ascii="Arial"/>
          <w:i/>
          <w:spacing w:val="-5"/>
          <w:sz w:val="20"/>
        </w:rPr>
        <w:t>HL</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-210690</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2" w:id="364"/>
      <w:bookmarkEnd w:id="364"/>
      <w:r>
        <w:rPr/>
      </w:r>
      <w:hyperlink w:history="true" w:anchor="_bookmark298">
        <w:r>
          <w:rPr>
            <w:color w:val="005DA1"/>
            <w:spacing w:val="-4"/>
            <w:sz w:val="14"/>
            <w:u w:val="single" w:color="005DA1"/>
          </w:rPr>
          <w:t>185</w:t>
        </w:r>
      </w:hyperlink>
      <w:r>
        <w:rPr>
          <w:spacing w:val="-4"/>
          <w:sz w:val="14"/>
        </w:rPr>
        <w:t>.</w:t>
      </w:r>
    </w:p>
    <w:p>
      <w:pPr>
        <w:spacing w:before="209"/>
        <w:ind w:left="335" w:right="0" w:firstLine="0"/>
        <w:jc w:val="left"/>
        <w:rPr>
          <w:sz w:val="20"/>
        </w:rPr>
      </w:pPr>
      <w:r>
        <w:rPr/>
        <w:br w:type="column"/>
      </w:r>
      <w:r>
        <w:rPr>
          <w:rFonts w:ascii="Arial" w:hAnsi="Arial"/>
          <w:i/>
          <w:sz w:val="20"/>
        </w:rPr>
        <w:t>Hughes-Holland v BPE Solicitors [2017] UKSC 21</w:t>
      </w:r>
      <w:r>
        <w:rPr>
          <w:rFonts w:ascii="Arial" w:hAnsi="Arial"/>
          <w:i/>
          <w:spacing w:val="-1"/>
          <w:sz w:val="20"/>
        </w:rPr>
        <w:t> </w:t>
      </w:r>
      <w:r>
        <w:rPr>
          <w:sz w:val="20"/>
        </w:rPr>
        <w:t>at </w:t>
      </w:r>
      <w:r>
        <w:rPr>
          <w:spacing w:val="-2"/>
          <w:sz w:val="20"/>
        </w:rPr>
        <w:t>[40]–[41].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-211305</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160169</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3" w:id="365"/>
      <w:bookmarkEnd w:id="365"/>
      <w:r>
        <w:rPr/>
      </w:r>
      <w:hyperlink w:history="true" w:anchor="_bookmark299">
        <w:r>
          <w:rPr>
            <w:color w:val="005DA1"/>
            <w:spacing w:val="-4"/>
            <w:sz w:val="14"/>
            <w:u w:val="single" w:color="005DA1"/>
          </w:rPr>
          <w:t>186</w:t>
        </w:r>
      </w:hyperlink>
      <w:r>
        <w:rPr>
          <w:spacing w:val="-4"/>
          <w:sz w:val="14"/>
        </w:rPr>
        <w:t>.</w:t>
      </w:r>
    </w:p>
    <w:p>
      <w:pPr>
        <w:spacing w:line="235" w:lineRule="auto" w:before="212"/>
        <w:ind w:left="165" w:right="168" w:firstLine="170"/>
        <w:jc w:val="left"/>
        <w:rPr>
          <w:sz w:val="20"/>
        </w:rPr>
      </w:pPr>
      <w:r>
        <w:rPr/>
        <w:br w:type="column"/>
      </w:r>
      <w:r>
        <w:rPr>
          <w:rFonts w:ascii="Arial" w:hAnsi="Arial"/>
          <w:i/>
          <w:sz w:val="20"/>
        </w:rPr>
        <w:t>Aneco Reinsurance Underwriting Ltd v Johnson &amp; Higgins Ltd [2001] 2 All E.R. (Comm) 929 HL</w:t>
      </w:r>
      <w:r>
        <w:rPr>
          <w:sz w:val="20"/>
        </w:rPr>
        <w:t>, as explained in </w:t>
      </w:r>
      <w:r>
        <w:rPr>
          <w:rFonts w:ascii="Arial" w:hAnsi="Arial"/>
          <w:i/>
          <w:sz w:val="20"/>
        </w:rPr>
        <w:t>Hughes-Holland v BPE Solicitors [2017] UKSC 21 </w:t>
      </w:r>
      <w:r>
        <w:rPr>
          <w:sz w:val="20"/>
        </w:rPr>
        <w:t>at [43]–[44].</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160328</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4" w:id="366"/>
      <w:bookmarkEnd w:id="366"/>
      <w:r>
        <w:rPr/>
      </w:r>
      <w:hyperlink w:history="true" w:anchor="_bookmark300">
        <w:r>
          <w:rPr>
            <w:color w:val="005DA1"/>
            <w:spacing w:val="-4"/>
            <w:sz w:val="14"/>
            <w:u w:val="single" w:color="005DA1"/>
          </w:rPr>
          <w:t>187</w:t>
        </w:r>
      </w:hyperlink>
      <w:r>
        <w:rPr>
          <w:spacing w:val="-4"/>
          <w:sz w:val="14"/>
        </w:rPr>
        <w:t>.</w:t>
      </w:r>
    </w:p>
    <w:p>
      <w:pPr>
        <w:spacing w:before="208"/>
        <w:ind w:left="335" w:right="0" w:firstLine="0"/>
        <w:jc w:val="left"/>
        <w:rPr>
          <w:sz w:val="20"/>
        </w:rPr>
      </w:pPr>
      <w:r>
        <w:rPr/>
        <w:br w:type="column"/>
      </w:r>
      <w:r>
        <w:rPr>
          <w:sz w:val="20"/>
        </w:rPr>
        <w:t>See</w:t>
      </w:r>
      <w:r>
        <w:rPr>
          <w:spacing w:val="31"/>
          <w:sz w:val="20"/>
        </w:rPr>
        <w:t> </w:t>
      </w:r>
      <w:r>
        <w:rPr>
          <w:rFonts w:ascii="Arial" w:hAnsi="Arial"/>
          <w:i/>
          <w:sz w:val="20"/>
        </w:rPr>
        <w:t>[2017]</w:t>
      </w:r>
      <w:r>
        <w:rPr>
          <w:rFonts w:ascii="Arial" w:hAnsi="Arial"/>
          <w:i/>
          <w:spacing w:val="31"/>
          <w:sz w:val="20"/>
        </w:rPr>
        <w:t> </w:t>
      </w:r>
      <w:r>
        <w:rPr>
          <w:rFonts w:ascii="Arial" w:hAnsi="Arial"/>
          <w:i/>
          <w:sz w:val="20"/>
        </w:rPr>
        <w:t>UKSC</w:t>
      </w:r>
      <w:r>
        <w:rPr>
          <w:rFonts w:ascii="Arial" w:hAnsi="Arial"/>
          <w:i/>
          <w:spacing w:val="31"/>
          <w:sz w:val="20"/>
        </w:rPr>
        <w:t> </w:t>
      </w:r>
      <w:r>
        <w:rPr>
          <w:rFonts w:ascii="Arial" w:hAnsi="Arial"/>
          <w:i/>
          <w:sz w:val="20"/>
        </w:rPr>
        <w:t>21</w:t>
      </w:r>
      <w:r>
        <w:rPr>
          <w:rFonts w:ascii="Arial" w:hAnsi="Arial"/>
          <w:i/>
          <w:spacing w:val="31"/>
          <w:sz w:val="20"/>
        </w:rPr>
        <w:t> </w:t>
      </w:r>
      <w:r>
        <w:rPr>
          <w:sz w:val="20"/>
        </w:rPr>
        <w:t>at</w:t>
      </w:r>
      <w:r>
        <w:rPr>
          <w:spacing w:val="31"/>
          <w:sz w:val="20"/>
        </w:rPr>
        <w:t> </w:t>
      </w:r>
      <w:r>
        <w:rPr>
          <w:sz w:val="20"/>
        </w:rPr>
        <w:t>[47]–[52],</w:t>
      </w:r>
      <w:r>
        <w:rPr>
          <w:spacing w:val="31"/>
          <w:sz w:val="20"/>
        </w:rPr>
        <w:t> </w:t>
      </w:r>
      <w:r>
        <w:rPr>
          <w:sz w:val="20"/>
        </w:rPr>
        <w:t>disapproving</w:t>
      </w:r>
      <w:r>
        <w:rPr>
          <w:spacing w:val="31"/>
          <w:sz w:val="20"/>
        </w:rPr>
        <w:t> </w:t>
      </w:r>
      <w:r>
        <w:rPr>
          <w:sz w:val="20"/>
        </w:rPr>
        <w:t>the</w:t>
      </w:r>
      <w:r>
        <w:rPr>
          <w:spacing w:val="31"/>
          <w:sz w:val="20"/>
        </w:rPr>
        <w:t> </w:t>
      </w:r>
      <w:r>
        <w:rPr>
          <w:sz w:val="20"/>
        </w:rPr>
        <w:t>reasoning</w:t>
      </w:r>
      <w:r>
        <w:rPr>
          <w:spacing w:val="31"/>
          <w:sz w:val="20"/>
        </w:rPr>
        <w:t> </w:t>
      </w:r>
      <w:r>
        <w:rPr>
          <w:sz w:val="20"/>
        </w:rPr>
        <w:t>in</w:t>
      </w:r>
      <w:r>
        <w:rPr>
          <w:spacing w:val="31"/>
          <w:sz w:val="20"/>
        </w:rPr>
        <w:t> </w:t>
      </w:r>
      <w:r>
        <w:rPr>
          <w:sz w:val="20"/>
        </w:rPr>
        <w:t>the</w:t>
      </w:r>
      <w:r>
        <w:rPr>
          <w:spacing w:val="31"/>
          <w:sz w:val="20"/>
        </w:rPr>
        <w:t> </w:t>
      </w:r>
      <w:r>
        <w:rPr>
          <w:rFonts w:ascii="Arial" w:hAnsi="Arial"/>
          <w:i/>
          <w:sz w:val="20"/>
        </w:rPr>
        <w:t>Steggles</w:t>
      </w:r>
      <w:r>
        <w:rPr>
          <w:rFonts w:ascii="Arial" w:hAnsi="Arial"/>
          <w:i/>
          <w:spacing w:val="31"/>
          <w:sz w:val="20"/>
        </w:rPr>
        <w:t> </w:t>
      </w:r>
      <w:r>
        <w:rPr>
          <w:rFonts w:ascii="Arial" w:hAnsi="Arial"/>
          <w:i/>
          <w:sz w:val="20"/>
        </w:rPr>
        <w:t>Palmer</w:t>
      </w:r>
      <w:r>
        <w:rPr>
          <w:rFonts w:ascii="Arial" w:hAnsi="Arial"/>
          <w:i/>
          <w:spacing w:val="31"/>
          <w:sz w:val="20"/>
        </w:rPr>
        <w:t> </w:t>
      </w:r>
      <w:r>
        <w:rPr>
          <w:spacing w:val="-5"/>
          <w:sz w:val="20"/>
        </w:rPr>
        <w:t>and</w:t>
      </w:r>
    </w:p>
    <w:p>
      <w:pPr>
        <w:spacing w:after="0"/>
        <w:jc w:val="left"/>
        <w:rPr>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8" w:firstLine="0"/>
        <w:jc w:val="both"/>
        <w:rPr>
          <w:sz w:val="20"/>
        </w:rPr>
      </w:pPr>
      <w:r>
        <w:rPr>
          <w:rFonts w:ascii="Arial"/>
          <w:i/>
          <w:sz w:val="20"/>
        </w:rPr>
        <w:t>Colin Bishop </w:t>
      </w:r>
      <w:r>
        <w:rPr>
          <w:sz w:val="20"/>
        </w:rPr>
        <w:t>cases (two of the cases brought by the </w:t>
      </w:r>
      <w:r>
        <w:rPr>
          <w:rFonts w:ascii="Arial"/>
          <w:i/>
          <w:sz w:val="20"/>
        </w:rPr>
        <w:t>Bristol and West Building Society</w:t>
      </w:r>
      <w:r>
        <w:rPr>
          <w:sz w:val="20"/>
        </w:rPr>
        <w:t>, and reported in </w:t>
      </w:r>
      <w:r>
        <w:rPr>
          <w:rFonts w:ascii="Arial"/>
          <w:i/>
          <w:sz w:val="20"/>
        </w:rPr>
        <w:t>[1997] 4 All E.R. 582</w:t>
      </w:r>
      <w:r>
        <w:rPr>
          <w:sz w:val="20"/>
        </w:rPr>
        <w:t>), and also the application of the </w:t>
      </w:r>
      <w:r>
        <w:rPr>
          <w:rFonts w:ascii="Arial"/>
          <w:i/>
          <w:sz w:val="20"/>
        </w:rPr>
        <w:t>Steggles Palmer </w:t>
      </w:r>
      <w:r>
        <w:rPr>
          <w:sz w:val="20"/>
        </w:rPr>
        <w:t>case by </w:t>
      </w:r>
      <w:r>
        <w:rPr>
          <w:sz w:val="20"/>
        </w:rPr>
        <w:t>the Court of Appeal in </w:t>
      </w:r>
      <w:r>
        <w:rPr>
          <w:rFonts w:ascii="Arial"/>
          <w:i/>
          <w:sz w:val="20"/>
        </w:rPr>
        <w:t>Portman Building Society v Bevan Ashford [2000] P.N.L.R. 344</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65" w:id="367"/>
      <w:bookmarkEnd w:id="367"/>
      <w:r>
        <w:rPr/>
      </w:r>
      <w:hyperlink w:history="true" w:anchor="_bookmark301">
        <w:r>
          <w:rPr>
            <w:color w:val="005DA1"/>
            <w:spacing w:val="-4"/>
            <w:sz w:val="14"/>
            <w:u w:val="single" w:color="005DA1"/>
          </w:rPr>
          <w:t>188</w:t>
        </w:r>
      </w:hyperlink>
      <w:r>
        <w:rPr>
          <w:spacing w:val="-4"/>
          <w:sz w:val="14"/>
        </w:rPr>
        <w:t>.</w:t>
      </w:r>
    </w:p>
    <w:p>
      <w:pPr>
        <w:pStyle w:val="BodyText"/>
        <w:spacing w:line="227" w:lineRule="exact" w:before="208"/>
        <w:ind w:left="335"/>
        <w:rPr>
          <w:rFonts w:ascii="Arial" w:hAnsi="Arial"/>
          <w:i/>
        </w:rPr>
      </w:pPr>
      <w:r>
        <w:rPr/>
        <w:br w:type="column"/>
      </w:r>
      <w:r>
        <w:rPr/>
        <w:t>The</w:t>
      </w:r>
      <w:r>
        <w:rPr>
          <w:spacing w:val="10"/>
        </w:rPr>
        <w:t> </w:t>
      </w:r>
      <w:r>
        <w:rPr/>
        <w:t>burden</w:t>
      </w:r>
      <w:r>
        <w:rPr>
          <w:spacing w:val="10"/>
        </w:rPr>
        <w:t> </w:t>
      </w:r>
      <w:r>
        <w:rPr/>
        <w:t>of</w:t>
      </w:r>
      <w:r>
        <w:rPr>
          <w:spacing w:val="10"/>
        </w:rPr>
        <w:t> </w:t>
      </w:r>
      <w:r>
        <w:rPr/>
        <w:t>proving</w:t>
      </w:r>
      <w:r>
        <w:rPr>
          <w:spacing w:val="10"/>
        </w:rPr>
        <w:t> </w:t>
      </w:r>
      <w:r>
        <w:rPr/>
        <w:t>the</w:t>
      </w:r>
      <w:r>
        <w:rPr>
          <w:spacing w:val="10"/>
        </w:rPr>
        <w:t> </w:t>
      </w:r>
      <w:r>
        <w:rPr/>
        <w:t>extent</w:t>
      </w:r>
      <w:r>
        <w:rPr>
          <w:spacing w:val="10"/>
        </w:rPr>
        <w:t> </w:t>
      </w:r>
      <w:r>
        <w:rPr/>
        <w:t>of</w:t>
      </w:r>
      <w:r>
        <w:rPr>
          <w:spacing w:val="10"/>
        </w:rPr>
        <w:t> </w:t>
      </w:r>
      <w:r>
        <w:rPr/>
        <w:t>the</w:t>
      </w:r>
      <w:r>
        <w:rPr>
          <w:spacing w:val="10"/>
        </w:rPr>
        <w:t> </w:t>
      </w:r>
      <w:r>
        <w:rPr/>
        <w:t>defendant’s</w:t>
      </w:r>
      <w:r>
        <w:rPr>
          <w:spacing w:val="10"/>
        </w:rPr>
        <w:t> </w:t>
      </w:r>
      <w:r>
        <w:rPr/>
        <w:t>duty</w:t>
      </w:r>
      <w:r>
        <w:rPr>
          <w:spacing w:val="10"/>
        </w:rPr>
        <w:t> </w:t>
      </w:r>
      <w:r>
        <w:rPr/>
        <w:t>is</w:t>
      </w:r>
      <w:r>
        <w:rPr>
          <w:spacing w:val="10"/>
        </w:rPr>
        <w:t> </w:t>
      </w:r>
      <w:r>
        <w:rPr/>
        <w:t>on</w:t>
      </w:r>
      <w:r>
        <w:rPr>
          <w:spacing w:val="10"/>
        </w:rPr>
        <w:t> </w:t>
      </w:r>
      <w:r>
        <w:rPr/>
        <w:t>the</w:t>
      </w:r>
      <w:r>
        <w:rPr>
          <w:spacing w:val="10"/>
        </w:rPr>
        <w:t> </w:t>
      </w:r>
      <w:r>
        <w:rPr/>
        <w:t>claimant:</w:t>
      </w:r>
      <w:r>
        <w:rPr>
          <w:spacing w:val="9"/>
        </w:rPr>
        <w:t> </w:t>
      </w:r>
      <w:r>
        <w:rPr>
          <w:rFonts w:ascii="Arial" w:hAnsi="Arial"/>
          <w:i/>
        </w:rPr>
        <w:t>[2017]</w:t>
      </w:r>
      <w:r>
        <w:rPr>
          <w:rFonts w:ascii="Arial" w:hAnsi="Arial"/>
          <w:i/>
          <w:spacing w:val="10"/>
        </w:rPr>
        <w:t> </w:t>
      </w:r>
      <w:r>
        <w:rPr>
          <w:rFonts w:ascii="Arial" w:hAnsi="Arial"/>
          <w:i/>
        </w:rPr>
        <w:t>UKSC</w:t>
      </w:r>
      <w:r>
        <w:rPr>
          <w:rFonts w:ascii="Arial" w:hAnsi="Arial"/>
          <w:i/>
          <w:spacing w:val="10"/>
        </w:rPr>
        <w:t> </w:t>
      </w:r>
      <w:r>
        <w:rPr>
          <w:rFonts w:ascii="Arial" w:hAnsi="Arial"/>
          <w:i/>
          <w:spacing w:val="-5"/>
        </w:rPr>
        <w:t>21</w:t>
      </w:r>
    </w:p>
    <w:p>
      <w:pPr>
        <w:pStyle w:val="BodyText"/>
        <w:spacing w:line="227" w:lineRule="exact"/>
        <w:ind w:left="165"/>
      </w:pPr>
      <w:r>
        <w:rPr/>
        <w:drawing>
          <wp:anchor distT="0" distB="0" distL="0" distR="0" allowOverlap="1" layoutInCell="1" locked="0" behindDoc="0" simplePos="0" relativeHeight="15756800">
            <wp:simplePos x="0" y="0"/>
            <wp:positionH relativeFrom="page">
              <wp:posOffset>1257846</wp:posOffset>
            </wp:positionH>
            <wp:positionV relativeFrom="paragraph">
              <wp:posOffset>-116108</wp:posOffset>
            </wp:positionV>
            <wp:extent cx="107988" cy="107988"/>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anchor>
        </w:drawing>
      </w:r>
      <w:r>
        <w:rPr/>
        <w:t>at </w:t>
      </w:r>
      <w:r>
        <w:rPr>
          <w:spacing w:val="-2"/>
        </w:rPr>
        <w:t>[53].</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160447</wp:posOffset>
            </wp:positionV>
            <wp:extent cx="107988" cy="10798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6" w:id="368"/>
      <w:bookmarkEnd w:id="368"/>
      <w:r>
        <w:rPr/>
      </w:r>
      <w:hyperlink w:history="true" w:anchor="_bookmark302">
        <w:r>
          <w:rPr>
            <w:color w:val="005DA1"/>
            <w:spacing w:val="-4"/>
            <w:sz w:val="14"/>
            <w:u w:val="single" w:color="005DA1"/>
          </w:rPr>
          <w:t>189</w:t>
        </w:r>
      </w:hyperlink>
      <w:r>
        <w:rPr>
          <w:spacing w:val="-4"/>
          <w:sz w:val="14"/>
        </w:rPr>
        <w:t>.</w:t>
      </w:r>
    </w:p>
    <w:p>
      <w:pPr>
        <w:pStyle w:val="BodyText"/>
        <w:spacing w:line="235" w:lineRule="auto" w:before="212"/>
        <w:ind w:left="165" w:right="167" w:firstLine="170"/>
        <w:jc w:val="both"/>
      </w:pPr>
      <w:r>
        <w:rPr/>
        <w:br w:type="column"/>
      </w:r>
      <w:r>
        <w:rPr/>
        <w:t>It is thought that if the defendant has undertaken such a duty to advise, then the loss will </w:t>
      </w:r>
      <w:r>
        <w:rPr/>
        <w:t>not be one for which the defendant could not reasonably be assumed to be taking responsibility: cf. Main Work, Vol.I, paras 26-126 et seq.</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67" w:id="369"/>
      <w:bookmarkEnd w:id="369"/>
      <w:r>
        <w:rPr/>
      </w:r>
      <w:hyperlink w:history="true" w:anchor="_bookmark303">
        <w:r>
          <w:rPr>
            <w:color w:val="005DA1"/>
            <w:spacing w:val="-4"/>
            <w:sz w:val="14"/>
            <w:u w:val="single" w:color="005DA1"/>
          </w:rPr>
          <w:t>190</w:t>
        </w:r>
      </w:hyperlink>
      <w:r>
        <w:rPr>
          <w:spacing w:val="-4"/>
          <w:sz w:val="14"/>
        </w:rPr>
        <w:t>.</w:t>
      </w:r>
    </w:p>
    <w:p>
      <w:pPr>
        <w:pStyle w:val="BodyText"/>
        <w:spacing w:before="208"/>
        <w:ind w:left="335"/>
      </w:pPr>
      <w:r>
        <w:rPr/>
        <w:br w:type="column"/>
      </w:r>
      <w:r>
        <w:rPr/>
        <w:t>cf. Main Work, Vol.I, para.26-</w:t>
      </w:r>
      <w:r>
        <w:rPr>
          <w:spacing w:val="-4"/>
        </w:rPr>
        <w:t>028.</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-211090</wp:posOffset>
            </wp:positionV>
            <wp:extent cx="107988" cy="107988"/>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8" w:id="370"/>
      <w:bookmarkEnd w:id="370"/>
      <w:r>
        <w:rPr/>
      </w:r>
      <w:hyperlink w:history="true" w:anchor="_bookmark304">
        <w:r>
          <w:rPr>
            <w:color w:val="005DA1"/>
            <w:spacing w:val="-4"/>
            <w:sz w:val="14"/>
            <w:u w:val="single" w:color="005DA1"/>
          </w:rPr>
          <w:t>191</w:t>
        </w:r>
      </w:hyperlink>
      <w:r>
        <w:rPr>
          <w:spacing w:val="-4"/>
          <w:sz w:val="14"/>
        </w:rPr>
        <w:t>.</w:t>
      </w:r>
    </w:p>
    <w:p>
      <w:pPr>
        <w:spacing w:before="208"/>
        <w:ind w:left="335" w:right="0" w:firstLine="0"/>
        <w:jc w:val="left"/>
        <w:rPr>
          <w:sz w:val="20"/>
        </w:rPr>
      </w:pPr>
      <w:r>
        <w:rPr/>
        <w:br w:type="column"/>
      </w:r>
      <w:r>
        <w:rPr>
          <w:sz w:val="20"/>
        </w:rPr>
        <w:t>As</w:t>
      </w:r>
      <w:r>
        <w:rPr>
          <w:spacing w:val="-1"/>
          <w:sz w:val="20"/>
        </w:rPr>
        <w:t> </w:t>
      </w:r>
      <w:r>
        <w:rPr>
          <w:sz w:val="20"/>
        </w:rPr>
        <w:t>in</w:t>
      </w:r>
      <w:r>
        <w:rPr>
          <w:spacing w:val="-1"/>
          <w:sz w:val="20"/>
        </w:rPr>
        <w:t> </w:t>
      </w:r>
      <w:r>
        <w:rPr>
          <w:rFonts w:ascii="Arial"/>
          <w:i/>
          <w:sz w:val="20"/>
        </w:rPr>
        <w:t>Hughes-Holland v BPE Solicitors [2017] UKSC 21</w:t>
      </w:r>
      <w:r>
        <w:rPr>
          <w:sz w:val="20"/>
        </w:rPr>
        <w:t>, see at [11], </w:t>
      </w:r>
      <w:r>
        <w:rPr>
          <w:spacing w:val="-2"/>
          <w:sz w:val="20"/>
        </w:rPr>
        <w:t>[19].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-211070</wp:posOffset>
            </wp:positionV>
            <wp:extent cx="107988" cy="107988"/>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160404</wp:posOffset>
            </wp:positionV>
            <wp:extent cx="107988" cy="107988"/>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9" w:id="371"/>
      <w:bookmarkEnd w:id="371"/>
      <w:r>
        <w:rPr/>
      </w:r>
      <w:hyperlink w:history="true" w:anchor="_bookmark305">
        <w:r>
          <w:rPr>
            <w:color w:val="005DA1"/>
            <w:spacing w:val="-4"/>
            <w:sz w:val="14"/>
            <w:u w:val="single" w:color="005DA1"/>
          </w:rPr>
          <w:t>192</w:t>
        </w:r>
      </w:hyperlink>
      <w:r>
        <w:rPr>
          <w:spacing w:val="-4"/>
          <w:sz w:val="14"/>
        </w:rPr>
        <w:t>.</w:t>
      </w:r>
    </w:p>
    <w:p>
      <w:pPr>
        <w:spacing w:line="235" w:lineRule="auto" w:before="212"/>
        <w:ind w:left="165" w:right="168" w:firstLine="170"/>
        <w:jc w:val="left"/>
        <w:rPr>
          <w:sz w:val="20"/>
        </w:rPr>
      </w:pPr>
      <w:r>
        <w:rPr/>
        <w:br w:type="column"/>
      </w:r>
      <w:r>
        <w:rPr>
          <w:rFonts w:ascii="Arial" w:hAnsi="Arial"/>
          <w:i/>
          <w:sz w:val="20"/>
        </w:rPr>
        <w:t>Smith New Court Securities Ltd v Scrimgeour Vickers (Asset Management) Ltd [1997] </w:t>
      </w:r>
      <w:r>
        <w:rPr>
          <w:rFonts w:ascii="Arial" w:hAnsi="Arial"/>
          <w:i/>
          <w:sz w:val="20"/>
        </w:rPr>
        <w:t>A.C.</w:t>
      </w:r>
      <w:r>
        <w:rPr>
          <w:rFonts w:ascii="Arial" w:hAnsi="Arial"/>
          <w:i/>
          <w:spacing w:val="80"/>
          <w:sz w:val="20"/>
        </w:rPr>
        <w:t> </w:t>
      </w:r>
      <w:r>
        <w:rPr>
          <w:rFonts w:ascii="Arial" w:hAnsi="Arial"/>
          <w:i/>
          <w:sz w:val="20"/>
        </w:rPr>
        <w:t>254</w:t>
      </w:r>
      <w:r>
        <w:rPr>
          <w:sz w:val="20"/>
        </w:rPr>
        <w:t>; see Main Work, Vol.I, paras 7-061—7-065.</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70" w:id="372"/>
      <w:bookmarkEnd w:id="372"/>
      <w:r>
        <w:rPr/>
      </w:r>
      <w:hyperlink w:history="true" w:anchor="_bookmark306">
        <w:r>
          <w:rPr>
            <w:color w:val="005DA1"/>
            <w:spacing w:val="-4"/>
            <w:sz w:val="14"/>
            <w:u w:val="single" w:color="005DA1"/>
          </w:rPr>
          <w:t>193</w:t>
        </w:r>
      </w:hyperlink>
      <w:r>
        <w:rPr>
          <w:spacing w:val="-4"/>
          <w:sz w:val="14"/>
        </w:rPr>
        <w:t>.</w:t>
      </w:r>
    </w:p>
    <w:p>
      <w:pPr>
        <w:pStyle w:val="BodyText"/>
        <w:spacing w:before="209"/>
        <w:ind w:left="335"/>
      </w:pPr>
      <w:r>
        <w:rPr/>
        <w:br w:type="column"/>
      </w:r>
      <w:r>
        <w:rPr/>
        <w:t>See Main Work, Vol.I, paras 7-055—7-</w:t>
      </w:r>
      <w:r>
        <w:rPr>
          <w:spacing w:val="-4"/>
        </w:rPr>
        <w:t>056.</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-386147</wp:posOffset>
            </wp:positionV>
            <wp:extent cx="107988" cy="1079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2. - Compensable Heads of </w:t>
      </w:r>
      <w:r>
        <w:rPr>
          <w:rFonts w:ascii="Arial"/>
          <w:b/>
          <w:spacing w:val="-4"/>
          <w:sz w:val="24"/>
        </w:rPr>
        <w:t>Loss</w:t>
      </w:r>
    </w:p>
    <w:p>
      <w:pPr>
        <w:pStyle w:val="ListParagraph"/>
        <w:numPr>
          <w:ilvl w:val="0"/>
          <w:numId w:val="3"/>
        </w:numPr>
        <w:tabs>
          <w:tab w:pos="1351" w:val="left" w:leader="none"/>
        </w:tabs>
        <w:spacing w:line="240" w:lineRule="auto" w:before="194" w:after="0"/>
        <w:ind w:left="1351" w:right="0" w:hanging="360"/>
        <w:jc w:val="left"/>
        <w:rPr>
          <w:b/>
          <w:sz w:val="24"/>
        </w:rPr>
      </w:pPr>
      <w:r>
        <w:rPr>
          <w:b/>
          <w:sz w:val="24"/>
        </w:rPr>
        <w:t>- Expenditure and Other Types of Loss Caused by the </w:t>
      </w:r>
      <w:r>
        <w:rPr>
          <w:b/>
          <w:spacing w:val="-2"/>
          <w:sz w:val="24"/>
        </w:rPr>
        <w:t>Breach</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Incidental </w:t>
      </w:r>
      <w:r>
        <w:rPr>
          <w:rFonts w:ascii="Arial"/>
          <w:b/>
          <w:spacing w:val="-2"/>
          <w:sz w:val="18"/>
        </w:rPr>
        <w:t>losses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032</w:t>
      </w:r>
    </w:p>
    <w:p>
      <w:pPr>
        <w:pStyle w:val="BodyText"/>
        <w:spacing w:line="235" w:lineRule="auto" w:before="202"/>
        <w:ind w:left="164" w:right="167"/>
        <w:jc w:val="both"/>
      </w:pPr>
      <w:bookmarkStart w:name="_bookmark371" w:id="373"/>
      <w:bookmarkEnd w:id="373"/>
      <w:r>
        <w:rPr/>
      </w:r>
      <w:bookmarkStart w:name="_bookmark372" w:id="374"/>
      <w:bookmarkEnd w:id="374"/>
      <w:r>
        <w:rPr/>
      </w:r>
      <w:r>
        <w:rPr/>
        <w:t>Subject</w:t>
      </w:r>
      <w:r>
        <w:rPr>
          <w:spacing w:val="-3"/>
        </w:rPr>
        <w:t> </w:t>
      </w:r>
      <w:r>
        <w:rPr/>
        <w:t>to</w:t>
      </w:r>
      <w:r>
        <w:rPr>
          <w:spacing w:val="-3"/>
        </w:rPr>
        <w:t> </w:t>
      </w:r>
      <w:r>
        <w:rPr/>
        <w:t>the</w:t>
      </w:r>
      <w:r>
        <w:rPr>
          <w:spacing w:val="-3"/>
        </w:rPr>
        <w:t> </w:t>
      </w:r>
      <w:r>
        <w:rPr/>
        <w:t>rules</w:t>
      </w:r>
      <w:r>
        <w:rPr>
          <w:spacing w:val="-3"/>
        </w:rPr>
        <w:t> </w:t>
      </w:r>
      <w:r>
        <w:rPr/>
        <w:t>on</w:t>
      </w:r>
      <w:r>
        <w:rPr>
          <w:spacing w:val="-3"/>
        </w:rPr>
        <w:t> </w:t>
      </w:r>
      <w:r>
        <w:rPr/>
        <w:t>causation</w:t>
      </w:r>
      <w:r>
        <w:rPr>
          <w:spacing w:val="-3"/>
        </w:rPr>
        <w:t> </w:t>
      </w:r>
      <w:r>
        <w:rPr/>
        <w:t>and</w:t>
      </w:r>
      <w:r>
        <w:rPr>
          <w:spacing w:val="-3"/>
        </w:rPr>
        <w:t> </w:t>
      </w:r>
      <w:r>
        <w:rPr/>
        <w:t>remoteness</w:t>
      </w:r>
      <w:r>
        <w:rPr>
          <w:spacing w:val="-3"/>
        </w:rPr>
        <w:t> </w:t>
      </w:r>
      <w:r>
        <w:rPr/>
        <w:t>and</w:t>
      </w:r>
      <w:r>
        <w:rPr>
          <w:spacing w:val="-3"/>
        </w:rPr>
        <w:t> </w:t>
      </w:r>
      <w:r>
        <w:rPr/>
        <w:t>to</w:t>
      </w:r>
      <w:r>
        <w:rPr>
          <w:spacing w:val="-3"/>
        </w:rPr>
        <w:t> </w:t>
      </w:r>
      <w:r>
        <w:rPr/>
        <w:t>the</w:t>
      </w:r>
      <w:r>
        <w:rPr>
          <w:spacing w:val="-3"/>
        </w:rPr>
        <w:t> </w:t>
      </w:r>
      <w:r>
        <w:rPr/>
        <w:t>test</w:t>
      </w:r>
      <w:r>
        <w:rPr>
          <w:spacing w:val="-3"/>
        </w:rPr>
        <w:t> </w:t>
      </w:r>
      <w:r>
        <w:rPr/>
        <w:t>of</w:t>
      </w:r>
      <w:r>
        <w:rPr>
          <w:spacing w:val="-3"/>
        </w:rPr>
        <w:t> </w:t>
      </w:r>
      <w:r>
        <w:rPr/>
        <w:t>acting</w:t>
      </w:r>
      <w:r>
        <w:rPr>
          <w:spacing w:val="-3"/>
        </w:rPr>
        <w:t> </w:t>
      </w:r>
      <w:r>
        <w:rPr/>
        <w:t>reasonably,</w:t>
      </w:r>
      <w:r>
        <w:rPr>
          <w:spacing w:val="-4"/>
        </w:rPr>
        <w:t> </w:t>
      </w:r>
      <w:r>
        <w:rPr>
          <w:color w:val="005DA1"/>
          <w:u w:val="single" w:color="005DA1"/>
          <w:vertAlign w:val="superscript"/>
        </w:rPr>
        <w:t>194</w:t>
      </w:r>
      <w:r>
        <w:rPr>
          <w:color w:val="005DA1"/>
          <w:spacing w:val="-3"/>
          <w:vertAlign w:val="baseline"/>
        </w:rPr>
        <w:t> </w:t>
      </w:r>
      <w:r>
        <w:rPr>
          <w:vertAlign w:val="baseline"/>
        </w:rPr>
        <w:t>the</w:t>
      </w:r>
      <w:r>
        <w:rPr>
          <w:spacing w:val="-3"/>
          <w:vertAlign w:val="baseline"/>
        </w:rPr>
        <w:t> </w:t>
      </w:r>
      <w:r>
        <w:rPr>
          <w:vertAlign w:val="baseline"/>
        </w:rPr>
        <w:t>claimant </w:t>
      </w:r>
      <w:bookmarkStart w:name="_bookmark373" w:id="375"/>
      <w:bookmarkEnd w:id="375"/>
      <w:r>
        <w:rPr>
          <w:vertAlign w:val="baseline"/>
        </w:rPr>
        <w:t>may</w:t>
      </w:r>
      <w:r>
        <w:rPr>
          <w:vertAlign w:val="baseline"/>
        </w:rPr>
        <w:t> recover as damages reasonable costs</w:t>
      </w:r>
      <w:r>
        <w:rPr>
          <w:spacing w:val="-1"/>
          <w:vertAlign w:val="baseline"/>
        </w:rPr>
        <w:t> </w:t>
      </w:r>
      <w:r>
        <w:rPr>
          <w:color w:val="005DA1"/>
          <w:u w:val="single" w:color="005DA1"/>
          <w:vertAlign w:val="superscript"/>
        </w:rPr>
        <w:t>195</w:t>
      </w:r>
      <w:r>
        <w:rPr>
          <w:color w:val="005DA1"/>
          <w:vertAlign w:val="baseline"/>
        </w:rPr>
        <w:t> </w:t>
      </w:r>
      <w:r>
        <w:rPr>
          <w:vertAlign w:val="baseline"/>
        </w:rPr>
        <w:t>he incurred in mitigating the loss caused by the breach or in otherwise dealing with the consequences of breach. </w:t>
      </w:r>
      <w:r>
        <w:rPr>
          <w:color w:val="005DA1"/>
          <w:u w:val="single" w:color="005DA1"/>
          <w:vertAlign w:val="superscript"/>
        </w:rPr>
        <w:t>196</w:t>
      </w:r>
      <w:r>
        <w:rPr>
          <w:color w:val="005DA1"/>
          <w:vertAlign w:val="baseline"/>
        </w:rPr>
        <w:t> </w:t>
      </w:r>
      <w:r>
        <w:rPr>
          <w:vertAlign w:val="baseline"/>
        </w:rPr>
        <w:t>This expenditure does not fit readily </w:t>
      </w:r>
      <w:r>
        <w:rPr>
          <w:vertAlign w:val="baseline"/>
        </w:rPr>
        <w:t>into </w:t>
      </w:r>
      <w:bookmarkStart w:name="_bookmark374" w:id="376"/>
      <w:bookmarkEnd w:id="376"/>
      <w:r>
        <w:rPr>
          <w:vertAlign w:val="baseline"/>
        </w:rPr>
        <w:t>any</w:t>
      </w:r>
      <w:r>
        <w:rPr>
          <w:vertAlign w:val="baseline"/>
        </w:rPr>
        <w:t> of the three categories of “restitution”, “reliance” or “expectation” loss. It is sometimes termed “incidental” loss. </w:t>
      </w:r>
      <w:r>
        <w:rPr>
          <w:color w:val="005DA1"/>
          <w:u w:val="single" w:color="005DA1"/>
          <w:vertAlign w:val="superscript"/>
        </w:rPr>
        <w:t>197</w:t>
      </w:r>
      <w:r>
        <w:rPr>
          <w:color w:val="005DA1"/>
          <w:vertAlign w:val="baseline"/>
        </w:rPr>
        <w:t> </w:t>
      </w:r>
      <w:r>
        <w:rPr>
          <w:vertAlign w:val="baseline"/>
        </w:rPr>
        <w:t>So where the defendant delayed delivery of a crane sold to the plaintiff whom he </w:t>
      </w:r>
      <w:bookmarkStart w:name="_bookmark375" w:id="377"/>
      <w:bookmarkEnd w:id="377"/>
      <w:r>
        <w:rPr>
          <w:vertAlign w:val="baseline"/>
        </w:rPr>
        <w:t>knew</w:t>
      </w:r>
      <w:r>
        <w:rPr>
          <w:vertAlign w:val="baseline"/>
        </w:rPr>
        <w:t> to be an importer of timber, the plaintiff recovered the extra cost of man-handling timber at his </w:t>
      </w:r>
      <w:bookmarkStart w:name="_bookmark376" w:id="378"/>
      <w:bookmarkEnd w:id="378"/>
      <w:r>
        <w:rPr>
          <w:vertAlign w:val="baseline"/>
        </w:rPr>
        <w:t>wharf.</w:t>
      </w:r>
      <w:r>
        <w:rPr>
          <w:vertAlign w:val="baseline"/>
        </w:rPr>
        <w:t> </w:t>
      </w:r>
      <w:r>
        <w:rPr>
          <w:color w:val="005DA1"/>
          <w:u w:val="single" w:color="005DA1"/>
          <w:vertAlign w:val="superscript"/>
        </w:rPr>
        <w:t>198</w:t>
      </w:r>
      <w:r>
        <w:rPr>
          <w:color w:val="005DA1"/>
          <w:vertAlign w:val="baseline"/>
        </w:rPr>
        <w:t> </w:t>
      </w:r>
      <w:r>
        <w:rPr>
          <w:vertAlign w:val="baseline"/>
        </w:rPr>
        <w:t>Other illustrations are the recovery of the cost of substitute performance by a third party </w:t>
      </w:r>
      <w:r>
        <w:rPr>
          <w:color w:val="005DA1"/>
          <w:u w:val="single" w:color="005DA1"/>
          <w:vertAlign w:val="superscript"/>
        </w:rPr>
        <w:t>199</w:t>
      </w:r>
      <w:r>
        <w:rPr>
          <w:vertAlign w:val="baseline"/>
        </w:rPr>
        <w:t>; </w:t>
      </w:r>
      <w:bookmarkStart w:name="_bookmark377" w:id="379"/>
      <w:bookmarkEnd w:id="379"/>
      <w:r>
        <w:rPr>
          <w:vertAlign w:val="baseline"/>
        </w:rPr>
        <w:t>the</w:t>
      </w:r>
      <w:r>
        <w:rPr>
          <w:vertAlign w:val="baseline"/>
        </w:rPr>
        <w:t> recovery of storage charges after the defendant refused to accept goods </w:t>
      </w:r>
      <w:r>
        <w:rPr>
          <w:color w:val="005DA1"/>
          <w:u w:val="single" w:color="005DA1"/>
          <w:vertAlign w:val="superscript"/>
        </w:rPr>
        <w:t>200</w:t>
      </w:r>
      <w:r>
        <w:rPr>
          <w:vertAlign w:val="baseline"/>
        </w:rPr>
        <w:t>; the recovery of the reasonable cost of rebuilding, </w:t>
      </w:r>
      <w:r>
        <w:rPr>
          <w:color w:val="005DA1"/>
          <w:u w:val="single" w:color="005DA1"/>
          <w:vertAlign w:val="superscript"/>
        </w:rPr>
        <w:t>201</w:t>
      </w:r>
      <w:r>
        <w:rPr>
          <w:color w:val="005DA1"/>
          <w:vertAlign w:val="baseline"/>
        </w:rPr>
        <w:t> </w:t>
      </w:r>
      <w:r>
        <w:rPr>
          <w:vertAlign w:val="baseline"/>
        </w:rPr>
        <w:t>repairing or replacing </w:t>
      </w:r>
      <w:r>
        <w:rPr>
          <w:color w:val="005DA1"/>
          <w:u w:val="single" w:color="005DA1"/>
          <w:vertAlign w:val="superscript"/>
        </w:rPr>
        <w:t>202</w:t>
      </w:r>
      <w:r>
        <w:rPr>
          <w:color w:val="005DA1"/>
          <w:vertAlign w:val="baseline"/>
        </w:rPr>
        <w:t> </w:t>
      </w:r>
      <w:r>
        <w:rPr>
          <w:vertAlign w:val="baseline"/>
        </w:rPr>
        <w:t>property of the claimant damaged or </w:t>
      </w:r>
      <w:bookmarkStart w:name="_bookmark378" w:id="380"/>
      <w:bookmarkEnd w:id="380"/>
      <w:r>
        <w:rPr>
          <w:vertAlign w:val="baseline"/>
        </w:rPr>
        <w:t>destroyed</w:t>
      </w:r>
      <w:r>
        <w:rPr>
          <w:vertAlign w:val="baseline"/>
        </w:rPr>
        <w:t> through the defendant’s breach of contract; the recovery of medical or rehabilitation </w:t>
      </w:r>
      <w:bookmarkStart w:name="_bookmark379" w:id="381"/>
      <w:bookmarkEnd w:id="381"/>
      <w:r>
        <w:rPr>
          <w:vertAlign w:val="baseline"/>
        </w:rPr>
        <w:t>expenses</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breach</w:t>
      </w:r>
      <w:r>
        <w:rPr>
          <w:spacing w:val="-3"/>
          <w:vertAlign w:val="baseline"/>
        </w:rPr>
        <w:t> </w:t>
      </w:r>
      <w:r>
        <w:rPr>
          <w:vertAlign w:val="baseline"/>
        </w:rPr>
        <w:t>causes</w:t>
      </w:r>
      <w:r>
        <w:rPr>
          <w:spacing w:val="-3"/>
          <w:vertAlign w:val="baseline"/>
        </w:rPr>
        <w:t> </w:t>
      </w:r>
      <w:r>
        <w:rPr>
          <w:vertAlign w:val="baseline"/>
        </w:rPr>
        <w:t>physical</w:t>
      </w:r>
      <w:r>
        <w:rPr>
          <w:spacing w:val="-3"/>
          <w:vertAlign w:val="baseline"/>
        </w:rPr>
        <w:t> </w:t>
      </w:r>
      <w:r>
        <w:rPr>
          <w:vertAlign w:val="baseline"/>
        </w:rPr>
        <w:t>injury</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claimant</w:t>
      </w:r>
      <w:r>
        <w:rPr>
          <w:spacing w:val="-4"/>
          <w:vertAlign w:val="baseline"/>
        </w:rPr>
        <w:t> </w:t>
      </w:r>
      <w:r>
        <w:rPr>
          <w:color w:val="005DA1"/>
          <w:u w:val="single" w:color="005DA1"/>
          <w:vertAlign w:val="superscript"/>
        </w:rPr>
        <w:t>203</w:t>
      </w:r>
      <w:r>
        <w:rPr>
          <w:vertAlign w:val="baseline"/>
        </w:rPr>
        <w:t>;</w:t>
      </w:r>
      <w:r>
        <w:rPr>
          <w:spacing w:val="-3"/>
          <w:vertAlign w:val="baseline"/>
        </w:rPr>
        <w:t> </w:t>
      </w:r>
      <w:r>
        <w:rPr>
          <w:vertAlign w:val="baseline"/>
        </w:rPr>
        <w:t>extra</w:t>
      </w:r>
      <w:r>
        <w:rPr>
          <w:spacing w:val="-3"/>
          <w:vertAlign w:val="baseline"/>
        </w:rPr>
        <w:t> </w:t>
      </w:r>
      <w:r>
        <w:rPr>
          <w:vertAlign w:val="baseline"/>
        </w:rPr>
        <w:t>freight</w:t>
      </w:r>
      <w:r>
        <w:rPr>
          <w:spacing w:val="-3"/>
          <w:vertAlign w:val="baseline"/>
        </w:rPr>
        <w:t> </w:t>
      </w:r>
      <w:r>
        <w:rPr>
          <w:vertAlign w:val="baseline"/>
        </w:rPr>
        <w:t>and</w:t>
      </w:r>
      <w:r>
        <w:rPr>
          <w:spacing w:val="-3"/>
          <w:vertAlign w:val="baseline"/>
        </w:rPr>
        <w:t> </w:t>
      </w:r>
      <w:r>
        <w:rPr>
          <w:vertAlign w:val="baseline"/>
        </w:rPr>
        <w:t>insurance</w:t>
      </w:r>
      <w:r>
        <w:rPr>
          <w:spacing w:val="-3"/>
          <w:vertAlign w:val="baseline"/>
        </w:rPr>
        <w:t> </w:t>
      </w:r>
      <w:r>
        <w:rPr>
          <w:vertAlign w:val="baseline"/>
        </w:rPr>
        <w:t>costs arising from late delivery of goods. </w:t>
      </w:r>
      <w:r>
        <w:rPr>
          <w:color w:val="005DA1"/>
          <w:u w:val="single" w:color="005DA1"/>
          <w:vertAlign w:val="superscript"/>
        </w:rPr>
        <w:t>204</w:t>
      </w:r>
      <w:r>
        <w:rPr>
          <w:color w:val="005DA1"/>
          <w:vertAlign w:val="baseline"/>
        </w:rPr>
        <w:t> </w:t>
      </w:r>
      <w:r>
        <w:rPr>
          <w:vertAlign w:val="baseline"/>
        </w:rPr>
        <w:t>Unlike in the case of reliance expenditure, there is no question </w:t>
      </w:r>
      <w:bookmarkStart w:name="_bookmark380" w:id="382"/>
      <w:bookmarkEnd w:id="382"/>
      <w:r>
        <w:rPr>
          <w:vertAlign w:val="baseline"/>
        </w:rPr>
        <w:t>of</w:t>
      </w:r>
      <w:r>
        <w:rPr>
          <w:vertAlign w:val="baseline"/>
        </w:rPr>
        <w:t> this category being subject to a ceiling on recovery being fixed by the expected profitability of the contract or activity. </w:t>
      </w:r>
      <w:r>
        <w:rPr>
          <w:color w:val="005DA1"/>
          <w:u w:val="single" w:color="005DA1"/>
          <w:vertAlign w:val="superscript"/>
        </w:rPr>
        <w:t>205</w:t>
      </w:r>
    </w:p>
    <w:p>
      <w:pPr>
        <w:pStyle w:val="BodyText"/>
      </w:pPr>
    </w:p>
    <w:p>
      <w:pPr>
        <w:pStyle w:val="BodyText"/>
        <w:spacing w:before="33"/>
      </w:pPr>
    </w:p>
    <w:p>
      <w:pPr>
        <w:spacing w:before="1"/>
        <w:ind w:left="164" w:right="0" w:firstLine="0"/>
        <w:jc w:val="both"/>
        <w:rPr>
          <w:rFonts w:ascii="Arial"/>
          <w:b/>
          <w:sz w:val="18"/>
        </w:rPr>
      </w:pPr>
      <w:r>
        <w:rPr>
          <w:rFonts w:ascii="Arial"/>
          <w:b/>
          <w:sz w:val="18"/>
        </w:rPr>
        <w:t>Injury, damage or other loss caused by </w:t>
      </w:r>
      <w:r>
        <w:rPr>
          <w:rFonts w:ascii="Arial"/>
          <w:b/>
          <w:spacing w:val="-2"/>
          <w:sz w:val="18"/>
        </w:rPr>
        <w:t>breach</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033</w:t>
      </w:r>
    </w:p>
    <w:p>
      <w:pPr>
        <w:pStyle w:val="BodyText"/>
        <w:spacing w:line="235" w:lineRule="auto" w:before="203"/>
        <w:ind w:left="164" w:right="167"/>
        <w:jc w:val="both"/>
      </w:pPr>
      <w:r>
        <w:rPr/>
        <w:t>The claimant may also suffer physical injury or other damage as the result of a breach of contract: for example if a defect in goods supplied causes injury, damage to other property or simply disruption </w:t>
      </w:r>
      <w:r>
        <w:rPr/>
        <w:t>to </w:t>
      </w:r>
      <w:bookmarkStart w:name="_bookmark381" w:id="383"/>
      <w:bookmarkEnd w:id="383"/>
      <w:r>
        <w:rPr/>
        <w:t>the</w:t>
      </w:r>
      <w:r>
        <w:rPr/>
        <w:t> running of the claimant’s business. Examples include the recovery of the amount of damages and costs paid by the claimant to a third party as a consequence of the defendant’s breach of contract, </w:t>
      </w:r>
      <w:r>
        <w:rPr>
          <w:color w:val="005DA1"/>
          <w:u w:val="single" w:color="005DA1"/>
          <w:vertAlign w:val="superscript"/>
        </w:rPr>
        <w:t>206</w:t>
      </w:r>
      <w:r>
        <w:rPr>
          <w:color w:val="005DA1"/>
          <w:vertAlign w:val="baseline"/>
        </w:rPr>
        <w:t> </w:t>
      </w:r>
      <w:r>
        <w:rPr>
          <w:vertAlign w:val="baseline"/>
        </w:rPr>
        <w:t>as where it was within reasonable contemplation of the parties that the buyer would probably resell</w:t>
      </w:r>
      <w:r>
        <w:rPr>
          <w:spacing w:val="40"/>
          <w:vertAlign w:val="baseline"/>
        </w:rPr>
        <w:t> </w:t>
      </w:r>
      <w:bookmarkStart w:name="_bookmark382" w:id="384"/>
      <w:bookmarkEnd w:id="384"/>
      <w:r>
        <w:rPr>
          <w:vertAlign w:val="baseline"/>
        </w:rPr>
        <w:t>the</w:t>
      </w:r>
      <w:r>
        <w:rPr>
          <w:vertAlign w:val="baseline"/>
        </w:rPr>
        <w:t> goods, and that the seller’s breach in supplying defective goods was not unlikely to result in the buyer</w:t>
      </w:r>
      <w:r>
        <w:rPr>
          <w:spacing w:val="-2"/>
          <w:vertAlign w:val="baseline"/>
        </w:rPr>
        <w:t> </w:t>
      </w:r>
      <w:r>
        <w:rPr>
          <w:vertAlign w:val="baseline"/>
        </w:rPr>
        <w:t>being</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damages</w:t>
      </w:r>
      <w:r>
        <w:rPr>
          <w:spacing w:val="-2"/>
          <w:vertAlign w:val="baseline"/>
        </w:rPr>
        <w:t> </w:t>
      </w:r>
      <w:r>
        <w:rPr>
          <w:vertAlign w:val="baseline"/>
        </w:rPr>
        <w:t>and</w:t>
      </w:r>
      <w:r>
        <w:rPr>
          <w:spacing w:val="-2"/>
          <w:vertAlign w:val="baseline"/>
        </w:rPr>
        <w:t> </w:t>
      </w:r>
      <w:r>
        <w:rPr>
          <w:vertAlign w:val="baseline"/>
        </w:rPr>
        <w:t>costs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sub-buyer</w:t>
      </w:r>
      <w:r>
        <w:rPr>
          <w:spacing w:val="-2"/>
          <w:vertAlign w:val="baseline"/>
        </w:rPr>
        <w:t> </w:t>
      </w:r>
      <w:r>
        <w:rPr>
          <w:vertAlign w:val="baseline"/>
        </w:rPr>
        <w:t>for</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sub-contract.</w:t>
      </w:r>
      <w:r>
        <w:rPr>
          <w:spacing w:val="-3"/>
          <w:vertAlign w:val="baseline"/>
        </w:rPr>
        <w:t> </w:t>
      </w:r>
      <w:r>
        <w:rPr>
          <w:color w:val="005DA1"/>
          <w:u w:val="single" w:color="005DA1"/>
          <w:vertAlign w:val="superscript"/>
        </w:rPr>
        <w:t>207</w:t>
      </w:r>
      <w:r>
        <w:rPr>
          <w:color w:val="005DA1"/>
          <w:spacing w:val="-2"/>
          <w:vertAlign w:val="baseline"/>
        </w:rPr>
        <w:t> </w:t>
      </w:r>
      <w:r>
        <w:rPr>
          <w:vertAlign w:val="baseline"/>
        </w:rPr>
        <w:t>Subject to the normal limitations, the claimant may recover damages for loss of this kind although it is not</w:t>
      </w:r>
      <w:r>
        <w:rPr>
          <w:spacing w:val="40"/>
          <w:vertAlign w:val="baseline"/>
        </w:rPr>
        <w:t> </w:t>
      </w:r>
      <w:r>
        <w:rPr>
          <w:vertAlign w:val="baseline"/>
        </w:rPr>
        <w:t>clear that it was caused by reliance on the contract (save in the most general sense that the claimant </w:t>
      </w:r>
      <w:bookmarkStart w:name="_bookmark383" w:id="385"/>
      <w:bookmarkEnd w:id="385"/>
      <w:r>
        <w:rPr>
          <w:vertAlign w:val="baseline"/>
        </w:rPr>
        <w:t>assumed</w:t>
      </w:r>
      <w:r>
        <w:rPr>
          <w:vertAlign w:val="baseline"/>
        </w:rPr>
        <w:t> that the goods would not be defective) or constituted loss of expectation (save in the</w:t>
      </w:r>
      <w:r>
        <w:rPr>
          <w:spacing w:val="40"/>
          <w:vertAlign w:val="baseline"/>
        </w:rPr>
        <w:t> </w:t>
      </w:r>
      <w:r>
        <w:rPr>
          <w:vertAlign w:val="baseline"/>
        </w:rPr>
        <w:t>general sense that the claimant expected that he would not suffer the injury or damage). </w:t>
      </w:r>
      <w:r>
        <w:rPr>
          <w:color w:val="005DA1"/>
          <w:u w:val="single" w:color="005DA1"/>
          <w:vertAlign w:val="superscript"/>
        </w:rPr>
        <w:t>208</w:t>
      </w:r>
    </w:p>
    <w:p>
      <w:pPr>
        <w:pStyle w:val="BodyText"/>
      </w:pPr>
    </w:p>
    <w:p>
      <w:pPr>
        <w:pStyle w:val="BodyText"/>
        <w:spacing w:before="35"/>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183837</wp:posOffset>
                </wp:positionV>
                <wp:extent cx="572452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5379pt;width:450.75pt;height:.1pt;mso-position-horizontal-relative:page;mso-position-vertical-relative:paragraph;z-index:-15697408;mso-wrap-distance-left:0;mso-wrap-distance-right:0" id="docshape27"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384" w:id="386"/>
      <w:bookmarkEnd w:id="386"/>
      <w:r>
        <w:rPr/>
      </w:r>
      <w:hyperlink w:history="true" w:anchor="_bookmark371">
        <w:r>
          <w:rPr>
            <w:color w:val="005DA1"/>
            <w:position w:val="5"/>
            <w:sz w:val="14"/>
            <w:u w:val="single" w:color="005DA1"/>
          </w:rPr>
          <w:t>194</w:t>
        </w:r>
      </w:hyperlink>
      <w:r>
        <w:rPr>
          <w:position w:val="5"/>
          <w:sz w:val="14"/>
        </w:rPr>
        <w:t>.</w:t>
      </w:r>
      <w:r>
        <w:rPr>
          <w:spacing w:val="80"/>
          <w:position w:val="5"/>
          <w:sz w:val="14"/>
        </w:rPr>
        <w:t>  </w:t>
      </w:r>
      <w:r>
        <w:rPr>
          <w:sz w:val="20"/>
        </w:rPr>
        <w:t>The</w:t>
      </w:r>
      <w:r>
        <w:rPr>
          <w:spacing w:val="-2"/>
          <w:sz w:val="20"/>
        </w:rPr>
        <w:t> </w:t>
      </w:r>
      <w:r>
        <w:rPr>
          <w:sz w:val="20"/>
        </w:rPr>
        <w:t>cost</w:t>
      </w:r>
      <w:r>
        <w:rPr>
          <w:spacing w:val="-2"/>
          <w:sz w:val="20"/>
        </w:rPr>
        <w:t> </w:t>
      </w:r>
      <w:r>
        <w:rPr>
          <w:sz w:val="20"/>
        </w:rPr>
        <w:t>of</w:t>
      </w:r>
      <w:r>
        <w:rPr>
          <w:spacing w:val="-2"/>
          <w:sz w:val="20"/>
        </w:rPr>
        <w:t> </w:t>
      </w:r>
      <w:r>
        <w:rPr>
          <w:sz w:val="20"/>
        </w:rPr>
        <w:t>“reasonable”</w:t>
      </w:r>
      <w:r>
        <w:rPr>
          <w:spacing w:val="-2"/>
          <w:sz w:val="20"/>
        </w:rPr>
        <w:t> </w:t>
      </w:r>
      <w:r>
        <w:rPr>
          <w:sz w:val="20"/>
        </w:rPr>
        <w:t>action</w:t>
      </w:r>
      <w:r>
        <w:rPr>
          <w:spacing w:val="-2"/>
          <w:sz w:val="20"/>
        </w:rPr>
        <w:t> </w:t>
      </w:r>
      <w:r>
        <w:rPr>
          <w:sz w:val="20"/>
        </w:rPr>
        <w:t>may</w:t>
      </w:r>
      <w:r>
        <w:rPr>
          <w:spacing w:val="-2"/>
          <w:sz w:val="20"/>
        </w:rPr>
        <w:t> </w:t>
      </w:r>
      <w:r>
        <w:rPr>
          <w:sz w:val="20"/>
        </w:rPr>
        <w:t>be</w:t>
      </w:r>
      <w:r>
        <w:rPr>
          <w:spacing w:val="-2"/>
          <w:sz w:val="20"/>
        </w:rPr>
        <w:t> </w:t>
      </w:r>
      <w:r>
        <w:rPr>
          <w:sz w:val="20"/>
        </w:rPr>
        <w:t>recovered</w:t>
      </w:r>
      <w:r>
        <w:rPr>
          <w:spacing w:val="-2"/>
          <w:sz w:val="20"/>
        </w:rPr>
        <w:t> </w:t>
      </w:r>
      <w:r>
        <w:rPr>
          <w:sz w:val="20"/>
        </w:rPr>
        <w:t>even</w:t>
      </w:r>
      <w:r>
        <w:rPr>
          <w:spacing w:val="-2"/>
          <w:sz w:val="20"/>
        </w:rPr>
        <w:t> </w:t>
      </w:r>
      <w:r>
        <w:rPr>
          <w:sz w:val="20"/>
        </w:rPr>
        <w:t>if</w:t>
      </w:r>
      <w:r>
        <w:rPr>
          <w:spacing w:val="-2"/>
          <w:sz w:val="20"/>
        </w:rPr>
        <w:t> </w:t>
      </w:r>
      <w:r>
        <w:rPr>
          <w:sz w:val="20"/>
        </w:rPr>
        <w:t>it</w:t>
      </w:r>
      <w:r>
        <w:rPr>
          <w:spacing w:val="-2"/>
          <w:sz w:val="20"/>
        </w:rPr>
        <w:t> </w:t>
      </w:r>
      <w:r>
        <w:rPr>
          <w:sz w:val="20"/>
        </w:rPr>
        <w:t>later</w:t>
      </w:r>
      <w:r>
        <w:rPr>
          <w:spacing w:val="-2"/>
          <w:sz w:val="20"/>
        </w:rPr>
        <w:t> </w:t>
      </w:r>
      <w:r>
        <w:rPr>
          <w:sz w:val="20"/>
        </w:rPr>
        <w:t>appears</w:t>
      </w:r>
      <w:r>
        <w:rPr>
          <w:spacing w:val="-2"/>
          <w:sz w:val="20"/>
        </w:rPr>
        <w:t> </w:t>
      </w:r>
      <w:r>
        <w:rPr>
          <w:sz w:val="20"/>
        </w:rPr>
        <w:t>that</w:t>
      </w:r>
      <w:r>
        <w:rPr>
          <w:spacing w:val="-2"/>
          <w:sz w:val="20"/>
        </w:rPr>
        <w:t> </w:t>
      </w:r>
      <w:r>
        <w:rPr>
          <w:sz w:val="20"/>
        </w:rPr>
        <w:t>some</w:t>
      </w:r>
      <w:r>
        <w:rPr>
          <w:spacing w:val="-2"/>
          <w:sz w:val="20"/>
        </w:rPr>
        <w:t> </w:t>
      </w:r>
      <w:r>
        <w:rPr>
          <w:sz w:val="20"/>
        </w:rPr>
        <w:t>other</w:t>
      </w:r>
      <w:r>
        <w:rPr>
          <w:spacing w:val="-2"/>
          <w:sz w:val="20"/>
        </w:rPr>
        <w:t> </w:t>
      </w:r>
      <w:r>
        <w:rPr>
          <w:sz w:val="20"/>
        </w:rPr>
        <w:t>action would</w:t>
      </w:r>
      <w:r>
        <w:rPr>
          <w:spacing w:val="-3"/>
          <w:sz w:val="20"/>
        </w:rPr>
        <w:t> </w:t>
      </w:r>
      <w:r>
        <w:rPr>
          <w:sz w:val="20"/>
        </w:rPr>
        <w:t>have</w:t>
      </w:r>
      <w:r>
        <w:rPr>
          <w:spacing w:val="-3"/>
          <w:sz w:val="20"/>
        </w:rPr>
        <w:t> </w:t>
      </w:r>
      <w:r>
        <w:rPr>
          <w:sz w:val="20"/>
        </w:rPr>
        <w:t>been</w:t>
      </w:r>
      <w:r>
        <w:rPr>
          <w:spacing w:val="-3"/>
          <w:sz w:val="20"/>
        </w:rPr>
        <w:t> </w:t>
      </w:r>
      <w:r>
        <w:rPr>
          <w:sz w:val="20"/>
        </w:rPr>
        <w:t>better:</w:t>
      </w:r>
      <w:r>
        <w:rPr>
          <w:spacing w:val="-4"/>
          <w:sz w:val="20"/>
        </w:rPr>
        <w:t> </w:t>
      </w:r>
      <w:r>
        <w:rPr>
          <w:rFonts w:ascii="Arial" w:hAnsi="Arial"/>
          <w:i/>
          <w:sz w:val="20"/>
        </w:rPr>
        <w:t>Gebruder</w:t>
      </w:r>
      <w:r>
        <w:rPr>
          <w:rFonts w:ascii="Arial" w:hAnsi="Arial"/>
          <w:i/>
          <w:spacing w:val="-3"/>
          <w:sz w:val="20"/>
        </w:rPr>
        <w:t> </w:t>
      </w:r>
      <w:r>
        <w:rPr>
          <w:rFonts w:ascii="Arial" w:hAnsi="Arial"/>
          <w:i/>
          <w:sz w:val="20"/>
        </w:rPr>
        <w:t>Metelmann</w:t>
      </w:r>
      <w:r>
        <w:rPr>
          <w:rFonts w:ascii="Arial" w:hAnsi="Arial"/>
          <w:i/>
          <w:spacing w:val="-3"/>
          <w:sz w:val="20"/>
        </w:rPr>
        <w:t> </w:t>
      </w:r>
      <w:r>
        <w:rPr>
          <w:rFonts w:ascii="Arial" w:hAnsi="Arial"/>
          <w:i/>
          <w:sz w:val="20"/>
        </w:rPr>
        <w:t>GmbH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NBR</w:t>
      </w:r>
      <w:r>
        <w:rPr>
          <w:rFonts w:ascii="Arial" w:hAnsi="Arial"/>
          <w:i/>
          <w:spacing w:val="-3"/>
          <w:sz w:val="20"/>
        </w:rPr>
        <w:t> </w:t>
      </w:r>
      <w:r>
        <w:rPr>
          <w:rFonts w:ascii="Arial" w:hAnsi="Arial"/>
          <w:i/>
          <w:sz w:val="20"/>
        </w:rPr>
        <w:t>(London)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[1984]</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 614, 634</w:t>
      </w:r>
      <w:r>
        <w:rPr>
          <w:sz w:val="20"/>
        </w:rPr>
        <w:t>.</w:t>
      </w:r>
    </w:p>
    <w:p>
      <w:pPr>
        <w:pStyle w:val="BodyText"/>
        <w:spacing w:before="5"/>
      </w:pPr>
    </w:p>
    <w:p>
      <w:pPr>
        <w:pStyle w:val="BodyText"/>
        <w:tabs>
          <w:tab w:pos="705" w:val="left" w:leader="none"/>
        </w:tabs>
        <w:ind w:left="165"/>
      </w:pPr>
      <w:bookmarkStart w:name="_bookmark385" w:id="387"/>
      <w:bookmarkEnd w:id="387"/>
      <w:r>
        <w:rPr/>
      </w:r>
      <w:hyperlink w:history="true" w:anchor="_bookmark372">
        <w:r>
          <w:rPr>
            <w:color w:val="005DA1"/>
            <w:spacing w:val="-4"/>
            <w:position w:val="5"/>
            <w:sz w:val="14"/>
            <w:u w:val="single" w:color="005DA1"/>
          </w:rPr>
          <w:t>195</w:t>
        </w:r>
      </w:hyperlink>
      <w:r>
        <w:rPr>
          <w:spacing w:val="-4"/>
          <w:position w:val="5"/>
          <w:sz w:val="14"/>
        </w:rPr>
        <w:t>.</w:t>
      </w:r>
      <w:r>
        <w:rPr>
          <w:position w:val="5"/>
          <w:sz w:val="14"/>
        </w:rPr>
        <w:tab/>
      </w:r>
      <w:r>
        <w:rPr/>
        <w:t>See</w:t>
      </w:r>
      <w:r>
        <w:rPr>
          <w:spacing w:val="-2"/>
        </w:rPr>
        <w:t> </w:t>
      </w:r>
      <w:r>
        <w:rPr/>
        <w:t>below, para.26-</w:t>
      </w:r>
      <w:r>
        <w:rPr>
          <w:spacing w:val="-4"/>
        </w:rPr>
        <w:t>102.</w:t>
      </w:r>
    </w:p>
    <w:p>
      <w:pPr>
        <w:pStyle w:val="BodyText"/>
        <w:spacing w:after="0"/>
        <w:sectPr>
          <w:headerReference w:type="default" r:id="rId16"/>
          <w:pgSz w:w="11900" w:h="16840"/>
          <w:pgMar w:header="971" w:footer="0" w:top="1300" w:bottom="280" w:left="1275" w:right="1275"/>
          <w:pgNumType w:start="1"/>
        </w:sectPr>
      </w:pPr>
    </w:p>
    <w:p>
      <w:pPr>
        <w:spacing w:line="235" w:lineRule="auto" w:before="170"/>
        <w:ind w:left="705" w:right="167" w:hanging="541"/>
        <w:jc w:val="both"/>
        <w:rPr>
          <w:sz w:val="20"/>
        </w:rPr>
      </w:pPr>
      <w:bookmarkStart w:name="_bookmark386" w:id="388"/>
      <w:bookmarkEnd w:id="388"/>
      <w:r>
        <w:rPr/>
      </w:r>
      <w:hyperlink w:history="true" w:anchor="_bookmark373">
        <w:r>
          <w:rPr>
            <w:color w:val="005DA1"/>
            <w:position w:val="5"/>
            <w:sz w:val="14"/>
            <w:u w:val="single" w:color="005DA1"/>
          </w:rPr>
          <w:t>196</w:t>
        </w:r>
      </w:hyperlink>
      <w:r>
        <w:rPr>
          <w:position w:val="5"/>
          <w:sz w:val="14"/>
        </w:rPr>
        <w:t>.</w:t>
      </w:r>
      <w:r>
        <w:rPr>
          <w:spacing w:val="80"/>
          <w:w w:val="150"/>
          <w:position w:val="5"/>
          <w:sz w:val="14"/>
        </w:rPr>
        <w:t> </w:t>
      </w:r>
      <w:r>
        <w:rPr>
          <w:rFonts w:ascii="Arial"/>
          <w:i/>
          <w:sz w:val="20"/>
        </w:rPr>
        <w:t>Richard Holden Ltd v Bostock &amp; Co Ltd (1902) 18 T.L.R. 317 </w:t>
      </w:r>
      <w:r>
        <w:rPr>
          <w:sz w:val="20"/>
        </w:rPr>
        <w:t>(cost of sending notices to customers to minimise loss of business); </w:t>
      </w:r>
      <w:r>
        <w:rPr>
          <w:rFonts w:ascii="Arial"/>
          <w:i/>
          <w:sz w:val="20"/>
        </w:rPr>
        <w:t>Heskell v Continental Express Ltd [1950] 1 All </w:t>
      </w:r>
      <w:r>
        <w:rPr>
          <w:rFonts w:ascii="Arial"/>
          <w:i/>
          <w:sz w:val="20"/>
        </w:rPr>
        <w:t>E.R. 1033, 1046 </w:t>
      </w:r>
      <w:r>
        <w:rPr>
          <w:sz w:val="20"/>
        </w:rPr>
        <w:t>(cost of trying to trace goods). On claims for interest charges incurred, see below, paras 26-227 et seq. On mitigation, see below, para.26-079.</w:t>
      </w:r>
    </w:p>
    <w:p>
      <w:pPr>
        <w:pStyle w:val="BodyText"/>
        <w:spacing w:before="5"/>
      </w:pPr>
    </w:p>
    <w:p>
      <w:pPr>
        <w:pStyle w:val="BodyText"/>
        <w:tabs>
          <w:tab w:pos="705" w:val="left" w:leader="none"/>
        </w:tabs>
        <w:ind w:left="165"/>
      </w:pPr>
      <w:bookmarkStart w:name="_bookmark387" w:id="389"/>
      <w:bookmarkEnd w:id="389"/>
      <w:r>
        <w:rPr/>
      </w:r>
      <w:hyperlink w:history="true" w:anchor="_bookmark374">
        <w:r>
          <w:rPr>
            <w:color w:val="005DA1"/>
            <w:spacing w:val="-4"/>
            <w:position w:val="5"/>
            <w:sz w:val="14"/>
            <w:u w:val="single" w:color="005DA1"/>
          </w:rPr>
          <w:t>197</w:t>
        </w:r>
      </w:hyperlink>
      <w:r>
        <w:rPr>
          <w:spacing w:val="-4"/>
          <w:position w:val="5"/>
          <w:sz w:val="14"/>
        </w:rPr>
        <w:t>.</w:t>
      </w:r>
      <w:r>
        <w:rPr>
          <w:position w:val="5"/>
          <w:sz w:val="14"/>
        </w:rPr>
        <w:tab/>
      </w:r>
      <w:r>
        <w:rPr/>
        <w:t>e.g. American Law Institute, Restatement of Contracts 2nd (1981), § </w:t>
      </w:r>
      <w:r>
        <w:rPr>
          <w:spacing w:val="-4"/>
        </w:rPr>
        <w:t>347.</w:t>
      </w:r>
    </w:p>
    <w:p>
      <w:pPr>
        <w:pStyle w:val="BodyText"/>
        <w:spacing w:before="9"/>
      </w:pPr>
    </w:p>
    <w:p>
      <w:pPr>
        <w:spacing w:line="235" w:lineRule="auto" w:before="0"/>
        <w:ind w:left="705" w:right="168" w:hanging="541"/>
        <w:jc w:val="both"/>
        <w:rPr>
          <w:sz w:val="20"/>
        </w:rPr>
      </w:pPr>
      <w:bookmarkStart w:name="_bookmark388" w:id="390"/>
      <w:bookmarkEnd w:id="390"/>
      <w:r>
        <w:rPr/>
      </w:r>
      <w:hyperlink w:history="true" w:anchor="_bookmark375">
        <w:r>
          <w:rPr>
            <w:color w:val="005DA1"/>
            <w:position w:val="5"/>
            <w:sz w:val="14"/>
            <w:u w:val="single" w:color="005DA1"/>
          </w:rPr>
          <w:t>198</w:t>
        </w:r>
      </w:hyperlink>
      <w:r>
        <w:rPr>
          <w:position w:val="5"/>
          <w:sz w:val="14"/>
        </w:rPr>
        <w:t>.</w:t>
      </w:r>
      <w:r>
        <w:rPr>
          <w:spacing w:val="80"/>
          <w:position w:val="5"/>
          <w:sz w:val="14"/>
        </w:rPr>
        <w:t>  </w:t>
      </w:r>
      <w:r>
        <w:rPr>
          <w:rFonts w:ascii="Arial" w:hAnsi="Arial"/>
          <w:i/>
          <w:sz w:val="20"/>
        </w:rPr>
        <w:t>John</w:t>
      </w:r>
      <w:r>
        <w:rPr>
          <w:rFonts w:ascii="Arial" w:hAnsi="Arial"/>
          <w:i/>
          <w:spacing w:val="21"/>
          <w:sz w:val="20"/>
        </w:rPr>
        <w:t> </w:t>
      </w:r>
      <w:r>
        <w:rPr>
          <w:rFonts w:ascii="Arial" w:hAnsi="Arial"/>
          <w:i/>
          <w:sz w:val="20"/>
        </w:rPr>
        <w:t>M.</w:t>
      </w:r>
      <w:r>
        <w:rPr>
          <w:rFonts w:ascii="Arial" w:hAnsi="Arial"/>
          <w:i/>
          <w:spacing w:val="21"/>
          <w:sz w:val="20"/>
        </w:rPr>
        <w:t> </w:t>
      </w:r>
      <w:r>
        <w:rPr>
          <w:rFonts w:ascii="Arial" w:hAnsi="Arial"/>
          <w:i/>
          <w:sz w:val="20"/>
        </w:rPr>
        <w:t>Henderson</w:t>
      </w:r>
      <w:r>
        <w:rPr>
          <w:rFonts w:ascii="Arial" w:hAnsi="Arial"/>
          <w:i/>
          <w:spacing w:val="21"/>
          <w:sz w:val="20"/>
        </w:rPr>
        <w:t> </w:t>
      </w:r>
      <w:r>
        <w:rPr>
          <w:rFonts w:ascii="Arial" w:hAnsi="Arial"/>
          <w:i/>
          <w:sz w:val="20"/>
        </w:rPr>
        <w:t>&amp;</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Montague</w:t>
      </w:r>
      <w:r>
        <w:rPr>
          <w:rFonts w:ascii="Arial" w:hAnsi="Arial"/>
          <w:i/>
          <w:spacing w:val="21"/>
          <w:sz w:val="20"/>
        </w:rPr>
        <w:t> </w:t>
      </w:r>
      <w:r>
        <w:rPr>
          <w:rFonts w:ascii="Arial" w:hAnsi="Arial"/>
          <w:i/>
          <w:sz w:val="20"/>
        </w:rPr>
        <w:t>L.</w:t>
      </w:r>
      <w:r>
        <w:rPr>
          <w:rFonts w:ascii="Arial" w:hAnsi="Arial"/>
          <w:i/>
          <w:spacing w:val="21"/>
          <w:sz w:val="20"/>
        </w:rPr>
        <w:t> </w:t>
      </w:r>
      <w:r>
        <w:rPr>
          <w:rFonts w:ascii="Arial" w:hAnsi="Arial"/>
          <w:i/>
          <w:sz w:val="20"/>
        </w:rPr>
        <w:t>Meyer</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(1941)</w:t>
      </w:r>
      <w:r>
        <w:rPr>
          <w:rFonts w:ascii="Arial" w:hAnsi="Arial"/>
          <w:i/>
          <w:spacing w:val="21"/>
          <w:sz w:val="20"/>
        </w:rPr>
        <w:t> </w:t>
      </w:r>
      <w:r>
        <w:rPr>
          <w:rFonts w:ascii="Arial" w:hAnsi="Arial"/>
          <w:i/>
          <w:sz w:val="20"/>
        </w:rPr>
        <w:t>46</w:t>
      </w:r>
      <w:r>
        <w:rPr>
          <w:rFonts w:ascii="Arial" w:hAnsi="Arial"/>
          <w:i/>
          <w:spacing w:val="21"/>
          <w:sz w:val="20"/>
        </w:rPr>
        <w:t> </w:t>
      </w:r>
      <w:r>
        <w:rPr>
          <w:rFonts w:ascii="Arial" w:hAnsi="Arial"/>
          <w:i/>
          <w:sz w:val="20"/>
        </w:rPr>
        <w:t>Com.</w:t>
      </w:r>
      <w:r>
        <w:rPr>
          <w:rFonts w:ascii="Arial" w:hAnsi="Arial"/>
          <w:i/>
          <w:spacing w:val="21"/>
          <w:sz w:val="20"/>
        </w:rPr>
        <w:t> </w:t>
      </w:r>
      <w:r>
        <w:rPr>
          <w:rFonts w:ascii="Arial" w:hAnsi="Arial"/>
          <w:i/>
          <w:sz w:val="20"/>
        </w:rPr>
        <w:t>Cas.</w:t>
      </w:r>
      <w:r>
        <w:rPr>
          <w:rFonts w:ascii="Arial" w:hAnsi="Arial"/>
          <w:i/>
          <w:spacing w:val="21"/>
          <w:sz w:val="20"/>
        </w:rPr>
        <w:t> </w:t>
      </w:r>
      <w:r>
        <w:rPr>
          <w:rFonts w:ascii="Arial" w:hAnsi="Arial"/>
          <w:i/>
          <w:sz w:val="20"/>
        </w:rPr>
        <w:t>209,</w:t>
      </w:r>
      <w:r>
        <w:rPr>
          <w:rFonts w:ascii="Arial" w:hAnsi="Arial"/>
          <w:i/>
          <w:spacing w:val="21"/>
          <w:sz w:val="20"/>
        </w:rPr>
        <w:t> </w:t>
      </w:r>
      <w:r>
        <w:rPr>
          <w:rFonts w:ascii="Arial" w:hAnsi="Arial"/>
          <w:i/>
          <w:sz w:val="20"/>
        </w:rPr>
        <w:t>219–220</w:t>
      </w:r>
      <w:r>
        <w:rPr>
          <w:sz w:val="20"/>
        </w:rPr>
        <w:t>. See also on the costs caused by delay, </w:t>
      </w:r>
      <w:r>
        <w:rPr>
          <w:rFonts w:ascii="Arial" w:hAnsi="Arial"/>
          <w:i/>
          <w:sz w:val="20"/>
        </w:rPr>
        <w:t>Borries v Hutchinson (1865) 19 C.B.(N.S.) 445 </w:t>
      </w:r>
      <w:r>
        <w:rPr>
          <w:sz w:val="20"/>
        </w:rPr>
        <w:t>(extra freight and insurance); </w:t>
      </w:r>
      <w:r>
        <w:rPr>
          <w:rFonts w:ascii="Arial" w:hAnsi="Arial"/>
          <w:i/>
          <w:sz w:val="20"/>
        </w:rPr>
        <w:t>Watson v Gray (1900) 16 T.L.R. 308 </w:t>
      </w:r>
      <w:r>
        <w:rPr>
          <w:sz w:val="20"/>
        </w:rPr>
        <w:t>(increased building costs).</w:t>
      </w:r>
    </w:p>
    <w:p>
      <w:pPr>
        <w:pStyle w:val="BodyText"/>
        <w:spacing w:before="5"/>
      </w:pPr>
    </w:p>
    <w:p>
      <w:pPr>
        <w:tabs>
          <w:tab w:pos="705" w:val="left" w:leader="none"/>
        </w:tabs>
        <w:spacing w:before="0"/>
        <w:ind w:left="165" w:right="0" w:firstLine="0"/>
        <w:jc w:val="left"/>
        <w:rPr>
          <w:sz w:val="20"/>
        </w:rPr>
      </w:pPr>
      <w:bookmarkStart w:name="_bookmark389" w:id="391"/>
      <w:bookmarkEnd w:id="391"/>
      <w:r>
        <w:rPr/>
      </w:r>
      <w:hyperlink w:history="true" w:anchor="_bookmark375">
        <w:r>
          <w:rPr>
            <w:color w:val="005DA1"/>
            <w:spacing w:val="-4"/>
            <w:position w:val="5"/>
            <w:sz w:val="14"/>
            <w:u w:val="single" w:color="005DA1"/>
          </w:rPr>
          <w:t>199</w:t>
        </w:r>
      </w:hyperlink>
      <w:r>
        <w:rPr>
          <w:spacing w:val="-4"/>
          <w:position w:val="5"/>
          <w:sz w:val="14"/>
        </w:rPr>
        <w:t>.</w:t>
      </w:r>
      <w:r>
        <w:rPr>
          <w:position w:val="5"/>
          <w:sz w:val="14"/>
        </w:rPr>
        <w:tab/>
      </w:r>
      <w:r>
        <w:rPr>
          <w:sz w:val="20"/>
        </w:rPr>
        <w:t>Below, para.26-</w:t>
      </w:r>
      <w:r>
        <w:rPr>
          <w:spacing w:val="-4"/>
          <w:sz w:val="20"/>
        </w:rPr>
        <w:t>036.</w:t>
      </w:r>
    </w:p>
    <w:p>
      <w:pPr>
        <w:pStyle w:val="BodyText"/>
        <w:spacing w:before="8"/>
      </w:pPr>
    </w:p>
    <w:p>
      <w:pPr>
        <w:tabs>
          <w:tab w:pos="705" w:val="left" w:leader="none"/>
        </w:tabs>
        <w:spacing w:line="235" w:lineRule="auto" w:before="1"/>
        <w:ind w:left="705" w:right="168" w:hanging="541"/>
        <w:jc w:val="left"/>
        <w:rPr>
          <w:rFonts w:ascii="Arial" w:hAnsi="Arial"/>
          <w:i/>
          <w:sz w:val="20"/>
        </w:rPr>
      </w:pPr>
      <w:bookmarkStart w:name="_bookmark390" w:id="392"/>
      <w:bookmarkEnd w:id="392"/>
      <w:r>
        <w:rPr/>
      </w:r>
      <w:hyperlink w:history="true" w:anchor="_bookmark376">
        <w:r>
          <w:rPr>
            <w:color w:val="005DA1"/>
            <w:spacing w:val="-4"/>
            <w:position w:val="5"/>
            <w:sz w:val="14"/>
            <w:u w:val="single" w:color="005DA1"/>
          </w:rPr>
          <w:t>200</w:t>
        </w:r>
      </w:hyperlink>
      <w:r>
        <w:rPr>
          <w:spacing w:val="-4"/>
          <w:position w:val="5"/>
          <w:sz w:val="14"/>
        </w:rPr>
        <w:t>.</w:t>
      </w:r>
      <w:r>
        <w:rPr>
          <w:position w:val="5"/>
          <w:sz w:val="14"/>
        </w:rPr>
        <w:tab/>
      </w:r>
      <w:r>
        <w:rPr>
          <w:rFonts w:ascii="Arial" w:hAnsi="Arial"/>
          <w:i/>
          <w:sz w:val="20"/>
        </w:rPr>
        <w:t>Harlow</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Jones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Panex</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509</w:t>
      </w:r>
      <w:r>
        <w:rPr>
          <w:rFonts w:ascii="Arial" w:hAnsi="Arial"/>
          <w:i/>
          <w:spacing w:val="40"/>
          <w:sz w:val="20"/>
        </w:rPr>
        <w:t> </w:t>
      </w:r>
      <w:r>
        <w:rPr>
          <w:sz w:val="20"/>
        </w:rPr>
        <w:t>(there</w:t>
      </w:r>
      <w:r>
        <w:rPr>
          <w:spacing w:val="40"/>
          <w:sz w:val="20"/>
        </w:rPr>
        <w:t> </w:t>
      </w:r>
      <w:r>
        <w:rPr>
          <w:sz w:val="20"/>
        </w:rPr>
        <w:t>was</w:t>
      </w:r>
      <w:r>
        <w:rPr>
          <w:spacing w:val="40"/>
          <w:sz w:val="20"/>
        </w:rPr>
        <w:t> </w:t>
      </w:r>
      <w:r>
        <w:rPr>
          <w:sz w:val="20"/>
        </w:rPr>
        <w:t>no available</w:t>
      </w:r>
      <w:r>
        <w:rPr>
          <w:spacing w:val="6"/>
          <w:sz w:val="20"/>
        </w:rPr>
        <w:t> </w:t>
      </w:r>
      <w:r>
        <w:rPr>
          <w:sz w:val="20"/>
        </w:rPr>
        <w:t>market).</w:t>
      </w:r>
      <w:r>
        <w:rPr>
          <w:spacing w:val="6"/>
          <w:sz w:val="20"/>
        </w:rPr>
        <w:t> </w:t>
      </w:r>
      <w:r>
        <w:rPr>
          <w:sz w:val="20"/>
        </w:rPr>
        <w:t>See</w:t>
      </w:r>
      <w:r>
        <w:rPr>
          <w:spacing w:val="6"/>
          <w:sz w:val="20"/>
        </w:rPr>
        <w:t> </w:t>
      </w:r>
      <w:r>
        <w:rPr>
          <w:sz w:val="20"/>
        </w:rPr>
        <w:t>also</w:t>
      </w:r>
      <w:r>
        <w:rPr>
          <w:spacing w:val="5"/>
          <w:sz w:val="20"/>
        </w:rPr>
        <w:t> </w:t>
      </w:r>
      <w:r>
        <w:rPr>
          <w:rFonts w:ascii="Arial" w:hAnsi="Arial"/>
          <w:i/>
          <w:sz w:val="20"/>
        </w:rPr>
        <w:t>S.S.</w:t>
      </w:r>
      <w:r>
        <w:rPr>
          <w:rFonts w:ascii="Arial" w:hAnsi="Arial"/>
          <w:i/>
          <w:spacing w:val="6"/>
          <w:sz w:val="20"/>
        </w:rPr>
        <w:t> </w:t>
      </w:r>
      <w:r>
        <w:rPr>
          <w:rFonts w:ascii="Arial" w:hAnsi="Arial"/>
          <w:i/>
          <w:sz w:val="20"/>
        </w:rPr>
        <w:t>Ardennes</w:t>
      </w:r>
      <w:r>
        <w:rPr>
          <w:rFonts w:ascii="Arial" w:hAnsi="Arial"/>
          <w:i/>
          <w:spacing w:val="6"/>
          <w:sz w:val="20"/>
        </w:rPr>
        <w:t> </w:t>
      </w:r>
      <w:r>
        <w:rPr>
          <w:rFonts w:ascii="Arial" w:hAnsi="Arial"/>
          <w:i/>
          <w:sz w:val="20"/>
        </w:rPr>
        <w:t>(Cargo</w:t>
      </w:r>
      <w:r>
        <w:rPr>
          <w:rFonts w:ascii="Arial" w:hAnsi="Arial"/>
          <w:i/>
          <w:spacing w:val="6"/>
          <w:sz w:val="20"/>
        </w:rPr>
        <w:t> </w:t>
      </w:r>
      <w:r>
        <w:rPr>
          <w:rFonts w:ascii="Arial" w:hAnsi="Arial"/>
          <w:i/>
          <w:sz w:val="20"/>
        </w:rPr>
        <w:t>Owners)</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S.S.</w:t>
      </w:r>
      <w:r>
        <w:rPr>
          <w:rFonts w:ascii="Arial" w:hAnsi="Arial"/>
          <w:i/>
          <w:spacing w:val="6"/>
          <w:sz w:val="20"/>
        </w:rPr>
        <w:t> </w:t>
      </w:r>
      <w:r>
        <w:rPr>
          <w:rFonts w:ascii="Arial" w:hAnsi="Arial"/>
          <w:i/>
          <w:sz w:val="20"/>
        </w:rPr>
        <w:t>Ardennes</w:t>
      </w:r>
      <w:r>
        <w:rPr>
          <w:rFonts w:ascii="Arial" w:hAnsi="Arial"/>
          <w:i/>
          <w:spacing w:val="6"/>
          <w:sz w:val="20"/>
        </w:rPr>
        <w:t> </w:t>
      </w:r>
      <w:r>
        <w:rPr>
          <w:rFonts w:ascii="Arial" w:hAnsi="Arial"/>
          <w:i/>
          <w:sz w:val="20"/>
        </w:rPr>
        <w:t>(Owners)</w:t>
      </w:r>
      <w:r>
        <w:rPr>
          <w:rFonts w:ascii="Arial" w:hAnsi="Arial"/>
          <w:i/>
          <w:spacing w:val="6"/>
          <w:sz w:val="20"/>
        </w:rPr>
        <w:t> </w:t>
      </w:r>
      <w:r>
        <w:rPr>
          <w:rFonts w:ascii="Arial" w:hAnsi="Arial"/>
          <w:i/>
          <w:sz w:val="20"/>
        </w:rPr>
        <w:t>[1951]</w:t>
      </w:r>
      <w:r>
        <w:rPr>
          <w:rFonts w:ascii="Arial" w:hAnsi="Arial"/>
          <w:i/>
          <w:spacing w:val="6"/>
          <w:sz w:val="20"/>
        </w:rPr>
        <w:t> </w:t>
      </w:r>
      <w:r>
        <w:rPr>
          <w:rFonts w:ascii="Arial" w:hAnsi="Arial"/>
          <w:i/>
          <w:spacing w:val="-10"/>
          <w:sz w:val="20"/>
        </w:rPr>
        <w:t>1</w:t>
      </w:r>
    </w:p>
    <w:p>
      <w:pPr>
        <w:pStyle w:val="BodyText"/>
        <w:spacing w:line="225" w:lineRule="exact"/>
        <w:ind w:left="705"/>
      </w:pPr>
      <w:r>
        <w:rPr>
          <w:rFonts w:ascii="Arial"/>
          <w:i/>
        </w:rPr>
        <w:t>K.B. 55 </w:t>
      </w:r>
      <w:r>
        <w:rPr/>
        <w:t>(increased import duty </w:t>
      </w:r>
      <w:r>
        <w:rPr>
          <w:spacing w:val="-2"/>
        </w:rPr>
        <w:t>payable).</w:t>
      </w:r>
    </w:p>
    <w:p>
      <w:pPr>
        <w:pStyle w:val="BodyText"/>
        <w:spacing w:before="8"/>
      </w:pPr>
    </w:p>
    <w:p>
      <w:pPr>
        <w:spacing w:line="235" w:lineRule="auto" w:before="0"/>
        <w:ind w:left="705" w:right="167" w:hanging="541"/>
        <w:jc w:val="both"/>
        <w:rPr>
          <w:sz w:val="20"/>
        </w:rPr>
      </w:pPr>
      <w:bookmarkStart w:name="_bookmark391" w:id="393"/>
      <w:bookmarkEnd w:id="393"/>
      <w:r>
        <w:rPr/>
      </w:r>
      <w:hyperlink w:history="true" w:anchor="_bookmark377">
        <w:r>
          <w:rPr>
            <w:color w:val="005DA1"/>
            <w:position w:val="5"/>
            <w:sz w:val="14"/>
            <w:u w:val="single" w:color="005DA1"/>
          </w:rPr>
          <w:t>201</w:t>
        </w:r>
      </w:hyperlink>
      <w:r>
        <w:rPr>
          <w:position w:val="5"/>
          <w:sz w:val="14"/>
        </w:rPr>
        <w:t>.</w:t>
      </w:r>
      <w:r>
        <w:rPr>
          <w:spacing w:val="40"/>
          <w:position w:val="5"/>
          <w:sz w:val="14"/>
        </w:rPr>
        <w:t>  </w:t>
      </w:r>
      <w:r>
        <w:rPr>
          <w:rFonts w:ascii="Arial" w:hAnsi="Arial"/>
          <w:i/>
          <w:sz w:val="20"/>
        </w:rPr>
        <w:t>Harbutt’s “Plasticine” Ltd v Wayne Tank and Pump Co Ltd [1970] 1 Q.B. 447</w:t>
      </w:r>
      <w:r>
        <w:rPr>
          <w:sz w:val="20"/>
        </w:rPr>
        <w:t>. See also </w:t>
      </w:r>
      <w:r>
        <w:rPr>
          <w:rFonts w:ascii="Arial" w:hAnsi="Arial"/>
          <w:i/>
          <w:sz w:val="20"/>
        </w:rPr>
        <w:t>Smith v Johnson</w:t>
      </w:r>
      <w:r>
        <w:rPr>
          <w:rFonts w:ascii="Arial" w:hAnsi="Arial"/>
          <w:i/>
          <w:spacing w:val="-3"/>
          <w:sz w:val="20"/>
        </w:rPr>
        <w:t> </w:t>
      </w:r>
      <w:r>
        <w:rPr>
          <w:rFonts w:ascii="Arial" w:hAnsi="Arial"/>
          <w:i/>
          <w:sz w:val="20"/>
        </w:rPr>
        <w:t>(1899)</w:t>
      </w:r>
      <w:r>
        <w:rPr>
          <w:rFonts w:ascii="Arial" w:hAnsi="Arial"/>
          <w:i/>
          <w:spacing w:val="-3"/>
          <w:sz w:val="20"/>
        </w:rPr>
        <w:t> </w:t>
      </w:r>
      <w:r>
        <w:rPr>
          <w:rFonts w:ascii="Arial" w:hAnsi="Arial"/>
          <w:i/>
          <w:sz w:val="20"/>
        </w:rPr>
        <w:t>15</w:t>
      </w:r>
      <w:r>
        <w:rPr>
          <w:rFonts w:ascii="Arial" w:hAnsi="Arial"/>
          <w:i/>
          <w:spacing w:val="-3"/>
          <w:sz w:val="20"/>
        </w:rPr>
        <w:t> </w:t>
      </w:r>
      <w:r>
        <w:rPr>
          <w:rFonts w:ascii="Arial" w:hAnsi="Arial"/>
          <w:i/>
          <w:sz w:val="20"/>
        </w:rPr>
        <w:t>T.L.R.</w:t>
      </w:r>
      <w:r>
        <w:rPr>
          <w:rFonts w:ascii="Arial" w:hAnsi="Arial"/>
          <w:i/>
          <w:spacing w:val="-3"/>
          <w:sz w:val="20"/>
        </w:rPr>
        <w:t> </w:t>
      </w:r>
      <w:r>
        <w:rPr>
          <w:rFonts w:ascii="Arial" w:hAnsi="Arial"/>
          <w:i/>
          <w:sz w:val="20"/>
        </w:rPr>
        <w:t>179</w:t>
      </w:r>
      <w:r>
        <w:rPr>
          <w:rFonts w:ascii="Arial" w:hAnsi="Arial"/>
          <w:i/>
          <w:spacing w:val="-3"/>
          <w:sz w:val="20"/>
        </w:rPr>
        <w:t> </w:t>
      </w:r>
      <w:r>
        <w:rPr>
          <w:sz w:val="20"/>
        </w:rPr>
        <w:t>(mortar</w:t>
      </w:r>
      <w:r>
        <w:rPr>
          <w:spacing w:val="-3"/>
          <w:sz w:val="20"/>
        </w:rPr>
        <w:t> </w:t>
      </w:r>
      <w:r>
        <w:rPr>
          <w:sz w:val="20"/>
        </w:rPr>
        <w:t>supplied</w:t>
      </w:r>
      <w:r>
        <w:rPr>
          <w:spacing w:val="-3"/>
          <w:sz w:val="20"/>
        </w:rPr>
        <w:t> </w:t>
      </w:r>
      <w:r>
        <w:rPr>
          <w:sz w:val="20"/>
        </w:rPr>
        <w:t>by</w:t>
      </w:r>
      <w:r>
        <w:rPr>
          <w:spacing w:val="-3"/>
          <w:sz w:val="20"/>
        </w:rPr>
        <w:t> </w:t>
      </w:r>
      <w:r>
        <w:rPr>
          <w:sz w:val="20"/>
        </w:rPr>
        <w:t>a</w:t>
      </w:r>
      <w:r>
        <w:rPr>
          <w:spacing w:val="-3"/>
          <w:sz w:val="20"/>
        </w:rPr>
        <w:t> </w:t>
      </w:r>
      <w:r>
        <w:rPr>
          <w:sz w:val="20"/>
        </w:rPr>
        <w:t>builder</w:t>
      </w:r>
      <w:r>
        <w:rPr>
          <w:spacing w:val="-3"/>
          <w:sz w:val="20"/>
        </w:rPr>
        <w:t> </w:t>
      </w:r>
      <w:r>
        <w:rPr>
          <w:sz w:val="20"/>
        </w:rPr>
        <w:t>was</w:t>
      </w:r>
      <w:r>
        <w:rPr>
          <w:spacing w:val="-3"/>
          <w:sz w:val="20"/>
        </w:rPr>
        <w:t> </w:t>
      </w:r>
      <w:r>
        <w:rPr>
          <w:sz w:val="20"/>
        </w:rPr>
        <w:t>below</w:t>
      </w:r>
      <w:r>
        <w:rPr>
          <w:spacing w:val="-3"/>
          <w:sz w:val="20"/>
        </w:rPr>
        <w:t> </w:t>
      </w:r>
      <w:r>
        <w:rPr>
          <w:sz w:val="20"/>
        </w:rPr>
        <w:t>standard;</w:t>
      </w:r>
      <w:r>
        <w:rPr>
          <w:spacing w:val="-3"/>
          <w:sz w:val="20"/>
        </w:rPr>
        <w:t> </w:t>
      </w:r>
      <w:r>
        <w:rPr>
          <w:sz w:val="20"/>
        </w:rPr>
        <w:t>it</w:t>
      </w:r>
      <w:r>
        <w:rPr>
          <w:spacing w:val="-3"/>
          <w:sz w:val="20"/>
        </w:rPr>
        <w:t> </w:t>
      </w:r>
      <w:r>
        <w:rPr>
          <w:sz w:val="20"/>
        </w:rPr>
        <w:t>was</w:t>
      </w:r>
      <w:r>
        <w:rPr>
          <w:spacing w:val="-3"/>
          <w:sz w:val="20"/>
        </w:rPr>
        <w:t> </w:t>
      </w:r>
      <w:r>
        <w:rPr>
          <w:sz w:val="20"/>
        </w:rPr>
        <w:t>used</w:t>
      </w:r>
      <w:r>
        <w:rPr>
          <w:spacing w:val="-3"/>
          <w:sz w:val="20"/>
        </w:rPr>
        <w:t> </w:t>
      </w:r>
      <w:r>
        <w:rPr>
          <w:sz w:val="20"/>
        </w:rPr>
        <w:t>for building a wall which the local authority later condemned as unsafe; the owner recovered from the builder the cost of pulling it down and of rebuilding). See also </w:t>
      </w:r>
      <w:r>
        <w:rPr>
          <w:rFonts w:ascii="Arial" w:hAnsi="Arial"/>
          <w:i/>
          <w:sz w:val="20"/>
        </w:rPr>
        <w:t>Calabar Properties Ltd v Stitcher [1984] 1 W.L.R. 287 </w:t>
      </w:r>
      <w:r>
        <w:rPr>
          <w:sz w:val="20"/>
        </w:rPr>
        <w:t>(cost of alternative accommodation during repairs to flat occupied by tenant).</w:t>
      </w:r>
    </w:p>
    <w:p>
      <w:pPr>
        <w:pStyle w:val="BodyText"/>
        <w:spacing w:before="4"/>
      </w:pPr>
    </w:p>
    <w:p>
      <w:pPr>
        <w:tabs>
          <w:tab w:pos="705" w:val="left" w:leader="none"/>
        </w:tabs>
        <w:spacing w:before="0"/>
        <w:ind w:left="165" w:right="0" w:firstLine="0"/>
        <w:jc w:val="left"/>
        <w:rPr>
          <w:sz w:val="20"/>
        </w:rPr>
      </w:pPr>
      <w:bookmarkStart w:name="_bookmark392" w:id="394"/>
      <w:bookmarkEnd w:id="394"/>
      <w:r>
        <w:rPr/>
      </w:r>
      <w:hyperlink w:history="true" w:anchor="_bookmark377">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Bacon v Cooper (Metals) Ltd [1982] 1 All E.R. </w:t>
      </w:r>
      <w:r>
        <w:rPr>
          <w:rFonts w:ascii="Arial"/>
          <w:i/>
          <w:spacing w:val="-4"/>
          <w:sz w:val="20"/>
        </w:rPr>
        <w:t>397</w:t>
      </w:r>
      <w:r>
        <w:rPr>
          <w:spacing w:val="-4"/>
          <w:sz w:val="20"/>
        </w:rPr>
        <w:t>.</w:t>
      </w:r>
    </w:p>
    <w:p>
      <w:pPr>
        <w:pStyle w:val="BodyText"/>
        <w:spacing w:before="9"/>
      </w:pPr>
    </w:p>
    <w:p>
      <w:pPr>
        <w:spacing w:line="235" w:lineRule="auto" w:before="0"/>
        <w:ind w:left="705" w:right="167" w:hanging="541"/>
        <w:jc w:val="both"/>
        <w:rPr>
          <w:sz w:val="20"/>
        </w:rPr>
      </w:pPr>
      <w:bookmarkStart w:name="_bookmark393" w:id="395"/>
      <w:bookmarkEnd w:id="395"/>
      <w:r>
        <w:rPr/>
      </w:r>
      <w:hyperlink w:history="true" w:anchor="_bookmark378">
        <w:r>
          <w:rPr>
            <w:color w:val="005DA1"/>
            <w:position w:val="5"/>
            <w:sz w:val="14"/>
            <w:u w:val="single" w:color="005DA1"/>
          </w:rPr>
          <w:t>203</w:t>
        </w:r>
      </w:hyperlink>
      <w:r>
        <w:rPr>
          <w:position w:val="5"/>
          <w:sz w:val="14"/>
        </w:rPr>
        <w:t>.</w:t>
      </w:r>
      <w:r>
        <w:rPr>
          <w:spacing w:val="80"/>
          <w:w w:val="150"/>
          <w:position w:val="5"/>
          <w:sz w:val="14"/>
        </w:rPr>
        <w:t> </w:t>
      </w:r>
      <w:r>
        <w:rPr>
          <w:sz w:val="20"/>
        </w:rPr>
        <w:t>The decision in </w:t>
      </w:r>
      <w:r>
        <w:rPr>
          <w:rFonts w:ascii="Arial"/>
          <w:i/>
          <w:sz w:val="20"/>
        </w:rPr>
        <w:t>Grant v Australian Knitting Mills Ltd [1936] A.C. 85 </w:t>
      </w:r>
      <w:r>
        <w:rPr>
          <w:sz w:val="20"/>
        </w:rPr>
        <w:t>supports the view </w:t>
      </w:r>
      <w:r>
        <w:rPr>
          <w:sz w:val="20"/>
        </w:rPr>
        <w:t>that damages for personal injury caused by breach of contract should be assessed on a similar</w:t>
      </w:r>
      <w:r>
        <w:rPr>
          <w:spacing w:val="40"/>
          <w:sz w:val="20"/>
        </w:rPr>
        <w:t> </w:t>
      </w:r>
      <w:r>
        <w:rPr>
          <w:sz w:val="20"/>
        </w:rPr>
        <w:t>basis to that used in tort.</w:t>
      </w:r>
    </w:p>
    <w:p>
      <w:pPr>
        <w:pStyle w:val="BodyText"/>
        <w:spacing w:before="5"/>
      </w:pPr>
    </w:p>
    <w:p>
      <w:pPr>
        <w:tabs>
          <w:tab w:pos="705" w:val="left" w:leader="none"/>
        </w:tabs>
        <w:spacing w:before="0"/>
        <w:ind w:left="165" w:right="0" w:firstLine="0"/>
        <w:jc w:val="left"/>
        <w:rPr>
          <w:sz w:val="20"/>
        </w:rPr>
      </w:pPr>
      <w:bookmarkStart w:name="_bookmark394" w:id="396"/>
      <w:bookmarkEnd w:id="396"/>
      <w:r>
        <w:rPr/>
      </w:r>
      <w:hyperlink w:history="true" w:anchor="_bookmark379">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Borries v Hutchinson (1865) 18 C.B.(N.S.) </w:t>
      </w:r>
      <w:r>
        <w:rPr>
          <w:rFonts w:ascii="Arial"/>
          <w:i/>
          <w:spacing w:val="-4"/>
          <w:sz w:val="20"/>
        </w:rPr>
        <w:t>445</w:t>
      </w:r>
      <w:r>
        <w:rPr>
          <w:spacing w:val="-4"/>
          <w:sz w:val="20"/>
        </w:rPr>
        <w:t>.</w:t>
      </w:r>
    </w:p>
    <w:p>
      <w:pPr>
        <w:pStyle w:val="BodyText"/>
        <w:spacing w:before="5"/>
      </w:pPr>
    </w:p>
    <w:p>
      <w:pPr>
        <w:pStyle w:val="BodyText"/>
        <w:tabs>
          <w:tab w:pos="705" w:val="left" w:leader="none"/>
        </w:tabs>
        <w:ind w:left="165"/>
      </w:pPr>
      <w:bookmarkStart w:name="_bookmark395" w:id="397"/>
      <w:bookmarkEnd w:id="397"/>
      <w:r>
        <w:rPr/>
      </w:r>
      <w:hyperlink w:history="true" w:anchor="_bookmark380">
        <w:r>
          <w:rPr>
            <w:color w:val="005DA1"/>
            <w:spacing w:val="-4"/>
            <w:position w:val="5"/>
            <w:sz w:val="14"/>
            <w:u w:val="single" w:color="005DA1"/>
          </w:rPr>
          <w:t>205</w:t>
        </w:r>
      </w:hyperlink>
      <w:r>
        <w:rPr>
          <w:spacing w:val="-4"/>
          <w:position w:val="5"/>
          <w:sz w:val="14"/>
        </w:rPr>
        <w:t>.</w:t>
      </w:r>
      <w:r>
        <w:rPr>
          <w:position w:val="5"/>
          <w:sz w:val="14"/>
        </w:rPr>
        <w:tab/>
      </w:r>
      <w:r>
        <w:rPr/>
        <w:t>See above, paras 26-024, 26-</w:t>
      </w:r>
      <w:r>
        <w:rPr>
          <w:spacing w:val="-4"/>
        </w:rPr>
        <w:t>028.</w:t>
      </w:r>
    </w:p>
    <w:p>
      <w:pPr>
        <w:pStyle w:val="BodyText"/>
        <w:spacing w:before="9"/>
      </w:pPr>
    </w:p>
    <w:p>
      <w:pPr>
        <w:spacing w:line="235" w:lineRule="auto" w:before="0"/>
        <w:ind w:left="705" w:right="167" w:hanging="541"/>
        <w:jc w:val="both"/>
        <w:rPr>
          <w:sz w:val="20"/>
        </w:rPr>
      </w:pPr>
      <w:bookmarkStart w:name="_bookmark396" w:id="398"/>
      <w:bookmarkEnd w:id="398"/>
      <w:r>
        <w:rPr/>
      </w:r>
      <w:hyperlink w:history="true" w:anchor="_bookmark381">
        <w:r>
          <w:rPr>
            <w:color w:val="005DA1"/>
            <w:position w:val="5"/>
            <w:sz w:val="14"/>
            <w:u w:val="single" w:color="005DA1"/>
          </w:rPr>
          <w:t>206</w:t>
        </w:r>
      </w:hyperlink>
      <w:r>
        <w:rPr>
          <w:position w:val="5"/>
          <w:sz w:val="14"/>
        </w:rPr>
        <w:t>.</w:t>
      </w:r>
      <w:r>
        <w:rPr>
          <w:spacing w:val="80"/>
          <w:position w:val="5"/>
          <w:sz w:val="14"/>
        </w:rPr>
        <w:t>  </w:t>
      </w:r>
      <w:r>
        <w:rPr>
          <w:sz w:val="20"/>
        </w:rPr>
        <w:t>See Vol.II, para.44-405. The breach of contract may even result in a tortious claim by a third party against the claimant, the cost of which is within the remoteness test: </w:t>
      </w:r>
      <w:r>
        <w:rPr>
          <w:rFonts w:ascii="Arial" w:hAnsi="Arial"/>
          <w:i/>
          <w:sz w:val="20"/>
        </w:rPr>
        <w:t>Mowbray v Merryweather [1895] 2 Q.B. 640 </w:t>
      </w:r>
      <w:r>
        <w:rPr>
          <w:sz w:val="20"/>
        </w:rPr>
        <w:t>(see Vol.II, para.44-431). The claimant’s legal liability to a </w:t>
      </w:r>
      <w:r>
        <w:rPr>
          <w:sz w:val="20"/>
        </w:rPr>
        <w:t>third person (even before it is discharged by payment) constitutes recoverable loss:</w:t>
      </w:r>
      <w:r>
        <w:rPr>
          <w:spacing w:val="-1"/>
          <w:sz w:val="20"/>
        </w:rPr>
        <w:t> </w:t>
      </w:r>
      <w:r>
        <w:rPr>
          <w:rFonts w:ascii="Arial" w:hAnsi="Arial"/>
          <w:i/>
          <w:sz w:val="20"/>
        </w:rPr>
        <w:t>Total Liban SA v Vitol Energy SA [2001] Q.B. 643</w:t>
      </w:r>
      <w:r>
        <w:rPr>
          <w:sz w:val="20"/>
        </w:rPr>
        <w:t>.</w:t>
      </w:r>
    </w:p>
    <w:p>
      <w:pPr>
        <w:pStyle w:val="BodyText"/>
        <w:spacing w:before="8"/>
      </w:pPr>
    </w:p>
    <w:p>
      <w:pPr>
        <w:spacing w:line="235" w:lineRule="auto" w:before="0"/>
        <w:ind w:left="705" w:right="167" w:hanging="541"/>
        <w:jc w:val="both"/>
        <w:rPr>
          <w:sz w:val="20"/>
        </w:rPr>
      </w:pPr>
      <w:bookmarkStart w:name="_bookmark397" w:id="399"/>
      <w:bookmarkEnd w:id="399"/>
      <w:r>
        <w:rPr/>
      </w:r>
      <w:hyperlink w:history="true" w:anchor="_bookmark382">
        <w:r>
          <w:rPr>
            <w:color w:val="005DA1"/>
            <w:position w:val="5"/>
            <w:sz w:val="14"/>
            <w:u w:val="single" w:color="005DA1"/>
          </w:rPr>
          <w:t>207</w:t>
        </w:r>
      </w:hyperlink>
      <w:r>
        <w:rPr>
          <w:position w:val="5"/>
          <w:sz w:val="14"/>
        </w:rPr>
        <w:t>.</w:t>
      </w:r>
      <w:r>
        <w:rPr>
          <w:spacing w:val="80"/>
          <w:position w:val="5"/>
          <w:sz w:val="14"/>
        </w:rPr>
        <w:t>  </w:t>
      </w:r>
      <w:r>
        <w:rPr>
          <w:sz w:val="20"/>
        </w:rPr>
        <w:t>e.g. </w:t>
      </w:r>
      <w:r>
        <w:rPr>
          <w:rFonts w:ascii="Arial" w:hAnsi="Arial"/>
          <w:i/>
          <w:sz w:val="20"/>
        </w:rPr>
        <w:t>Biggin v Permanite [1951] 2 K.B. 314</w:t>
      </w:r>
      <w:r>
        <w:rPr>
          <w:sz w:val="20"/>
        </w:rPr>
        <w:t>. See Vol.II, paras 44-433—44-435. If the claimant</w:t>
      </w:r>
      <w:r>
        <w:rPr>
          <w:spacing w:val="40"/>
          <w:sz w:val="20"/>
        </w:rPr>
        <w:t> </w:t>
      </w:r>
      <w:r>
        <w:rPr>
          <w:sz w:val="20"/>
        </w:rPr>
        <w:t>acts reasonably in reaching an out-of-court settlement with the third party, he may be entitled </w:t>
      </w:r>
      <w:r>
        <w:rPr>
          <w:sz w:val="20"/>
        </w:rPr>
        <w:t>to recover the amount of the settlement: Vol.II, para.44-433. The cost of the settlement is not recoverable if the settlement was not a reasonable one to have made: </w:t>
      </w:r>
      <w:r>
        <w:rPr>
          <w:rFonts w:ascii="Arial" w:hAnsi="Arial"/>
          <w:i/>
          <w:sz w:val="20"/>
        </w:rPr>
        <w:t>Symrise AG v Baker &amp; McKenzie [2015] EWHC 912 (Comm)</w:t>
      </w:r>
      <w:r>
        <w:rPr>
          <w:sz w:val="20"/>
        </w:rPr>
        <w:t>. It is not necessary that he should have been under a legal obligation to pay the third party if it was reasonable to do so:</w:t>
      </w:r>
      <w:r>
        <w:rPr>
          <w:spacing w:val="-1"/>
          <w:sz w:val="20"/>
        </w:rPr>
        <w:t> </w:t>
      </w:r>
      <w:r>
        <w:rPr>
          <w:rFonts w:ascii="Arial" w:hAnsi="Arial"/>
          <w:i/>
          <w:sz w:val="20"/>
        </w:rPr>
        <w:t>John F Hunt Demolition Ltd v ASME Engineering Ltd [2007] EWHC 1507 (TCC), [2008] 1 All E.R. 180</w:t>
      </w:r>
      <w:r>
        <w:rPr>
          <w:sz w:val="20"/>
        </w:rPr>
        <w:t>. On the recovery of a fine imposed on the claimant as the result of the defendant’s breach of contract, see Vol.II, </w:t>
      </w:r>
      <w:r>
        <w:rPr>
          <w:spacing w:val="-2"/>
          <w:sz w:val="20"/>
        </w:rPr>
        <w:t>para.44-421.</w:t>
      </w:r>
    </w:p>
    <w:p>
      <w:pPr>
        <w:pStyle w:val="BodyText"/>
        <w:spacing w:before="7"/>
      </w:pPr>
    </w:p>
    <w:p>
      <w:pPr>
        <w:pStyle w:val="BodyText"/>
        <w:spacing w:line="235" w:lineRule="auto"/>
        <w:ind w:left="705" w:right="167" w:hanging="541"/>
        <w:jc w:val="both"/>
      </w:pPr>
      <w:bookmarkStart w:name="_bookmark398" w:id="400"/>
      <w:bookmarkEnd w:id="400"/>
      <w:r>
        <w:rPr/>
      </w:r>
      <w:hyperlink w:history="true" w:anchor="_bookmark383">
        <w:r>
          <w:rPr>
            <w:color w:val="005DA1"/>
            <w:position w:val="5"/>
            <w:sz w:val="14"/>
            <w:u w:val="single" w:color="005DA1"/>
          </w:rPr>
          <w:t>208</w:t>
        </w:r>
      </w:hyperlink>
      <w:r>
        <w:rPr>
          <w:position w:val="5"/>
          <w:sz w:val="14"/>
        </w:rPr>
        <w:t>.</w:t>
      </w:r>
      <w:r>
        <w:rPr>
          <w:spacing w:val="80"/>
          <w:w w:val="150"/>
          <w:position w:val="5"/>
          <w:sz w:val="14"/>
        </w:rPr>
        <w:t> </w:t>
      </w:r>
      <w:r>
        <w:rPr/>
        <w:t>Restatement of Contracts 2nd (1981), § 347 refers to these as “consequential” losses, </w:t>
      </w:r>
      <w:r>
        <w:rPr/>
        <w:t>in</w:t>
      </w:r>
      <w:r>
        <w:rPr>
          <w:spacing w:val="80"/>
        </w:rPr>
        <w:t> </w:t>
      </w:r>
      <w:r>
        <w:rPr/>
        <w:t>contrast to “the loss in the value to him of the other party’s performance”. However, some</w:t>
      </w:r>
      <w:r>
        <w:rPr>
          <w:spacing w:val="40"/>
        </w:rPr>
        <w:t> </w:t>
      </w:r>
      <w:r>
        <w:rPr/>
        <w:t>claims</w:t>
      </w:r>
      <w:r>
        <w:rPr>
          <w:spacing w:val="-1"/>
        </w:rPr>
        <w:t> </w:t>
      </w:r>
      <w:r>
        <w:rPr/>
        <w:t>for</w:t>
      </w:r>
      <w:r>
        <w:rPr>
          <w:spacing w:val="-1"/>
        </w:rPr>
        <w:t> </w:t>
      </w:r>
      <w:r>
        <w:rPr/>
        <w:t>loss</w:t>
      </w:r>
      <w:r>
        <w:rPr>
          <w:spacing w:val="-1"/>
        </w:rPr>
        <w:t> </w:t>
      </w:r>
      <w:r>
        <w:rPr/>
        <w:t>of</w:t>
      </w:r>
      <w:r>
        <w:rPr>
          <w:spacing w:val="-1"/>
        </w:rPr>
        <w:t> </w:t>
      </w:r>
      <w:r>
        <w:rPr/>
        <w:t>expectation</w:t>
      </w:r>
      <w:r>
        <w:rPr>
          <w:spacing w:val="-1"/>
        </w:rPr>
        <w:t> </w:t>
      </w:r>
      <w:r>
        <w:rPr/>
        <w:t>will</w:t>
      </w:r>
      <w:r>
        <w:rPr>
          <w:spacing w:val="-1"/>
        </w:rPr>
        <w:t> </w:t>
      </w:r>
      <w:r>
        <w:rPr/>
        <w:t>be</w:t>
      </w:r>
      <w:r>
        <w:rPr>
          <w:spacing w:val="-1"/>
        </w:rPr>
        <w:t> </w:t>
      </w:r>
      <w:r>
        <w:rPr/>
        <w:t>for</w:t>
      </w:r>
      <w:r>
        <w:rPr>
          <w:spacing w:val="-1"/>
        </w:rPr>
        <w:t> </w:t>
      </w:r>
      <w:r>
        <w:rPr/>
        <w:t>“consequential”</w:t>
      </w:r>
      <w:r>
        <w:rPr>
          <w:spacing w:val="-1"/>
        </w:rPr>
        <w:t> </w:t>
      </w:r>
      <w:r>
        <w:rPr/>
        <w:t>loss</w:t>
      </w:r>
      <w:r>
        <w:rPr>
          <w:spacing w:val="-1"/>
        </w:rPr>
        <w:t> </w:t>
      </w:r>
      <w:r>
        <w:rPr/>
        <w:t>in</w:t>
      </w:r>
      <w:r>
        <w:rPr>
          <w:spacing w:val="-1"/>
        </w:rPr>
        <w:t> </w:t>
      </w:r>
      <w:r>
        <w:rPr/>
        <w:t>this</w:t>
      </w:r>
      <w:r>
        <w:rPr>
          <w:spacing w:val="-1"/>
        </w:rPr>
        <w:t> </w:t>
      </w:r>
      <w:r>
        <w:rPr/>
        <w:t>sense,</w:t>
      </w:r>
      <w:r>
        <w:rPr>
          <w:spacing w:val="-1"/>
        </w:rPr>
        <w:t> </w:t>
      </w:r>
      <w:r>
        <w:rPr/>
        <w:t>as</w:t>
      </w:r>
      <w:r>
        <w:rPr>
          <w:spacing w:val="-1"/>
        </w:rPr>
        <w:t> </w:t>
      </w:r>
      <w:r>
        <w:rPr/>
        <w:t>where</w:t>
      </w:r>
      <w:r>
        <w:rPr>
          <w:spacing w:val="-1"/>
        </w:rPr>
        <w:t> </w:t>
      </w:r>
      <w:r>
        <w:rPr/>
        <w:t>the</w:t>
      </w:r>
      <w:r>
        <w:rPr>
          <w:spacing w:val="-1"/>
        </w:rPr>
        <w:t> </w:t>
      </w:r>
      <w:r>
        <w:rPr/>
        <w:t>claim</w:t>
      </w:r>
      <w:r>
        <w:rPr>
          <w:spacing w:val="-1"/>
        </w:rPr>
        <w:t> </w:t>
      </w:r>
      <w:r>
        <w:rPr/>
        <w:t>is for profit that a buyer would have been able to make had the goods been delivered in accordance with the contract. English courts have interpreted the words “consequential loss” when contained in a limitation of liability clause as referring to losses that will not occur in the ordinary course of things and thus may be too remote under the rule in </w:t>
      </w:r>
      <w:r>
        <w:rPr>
          <w:rFonts w:ascii="Arial" w:hAnsi="Arial"/>
          <w:i/>
        </w:rPr>
        <w:t>Hadley v Baxendale (1854) 9 Ex. 341 </w:t>
      </w:r>
      <w:r>
        <w:rPr/>
        <w:t>(below, para.26-109): see para.15-009.</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3. - Measures of </w:t>
      </w:r>
      <w:r>
        <w:rPr>
          <w:rFonts w:ascii="Arial"/>
          <w:b/>
          <w:spacing w:val="-2"/>
          <w:sz w:val="24"/>
        </w:rPr>
        <w:t>Compensation</w:t>
      </w:r>
    </w:p>
    <w:p>
      <w:pPr>
        <w:pStyle w:val="ListParagraph"/>
        <w:numPr>
          <w:ilvl w:val="0"/>
          <w:numId w:val="4"/>
        </w:numPr>
        <w:tabs>
          <w:tab w:pos="4078" w:val="left" w:leader="none"/>
        </w:tabs>
        <w:spacing w:line="240" w:lineRule="auto" w:before="194" w:after="0"/>
        <w:ind w:left="4078" w:right="0" w:hanging="360"/>
        <w:jc w:val="left"/>
        <w:rPr>
          <w:b/>
          <w:sz w:val="24"/>
        </w:rPr>
      </w:pPr>
      <w:r>
        <w:rPr>
          <w:b/>
          <w:sz w:val="24"/>
        </w:rPr>
        <w:t>- </w:t>
      </w:r>
      <w:r>
        <w:rPr>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Different measures of </w:t>
      </w:r>
      <w:r>
        <w:rPr>
          <w:rFonts w:ascii="Arial"/>
          <w:b/>
          <w:spacing w:val="-2"/>
          <w:sz w:val="18"/>
        </w:rPr>
        <w:t>compensation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034</w:t>
      </w:r>
    </w:p>
    <w:p>
      <w:pPr>
        <w:pStyle w:val="BodyText"/>
        <w:spacing w:line="235" w:lineRule="auto" w:before="202"/>
        <w:ind w:left="165" w:right="167"/>
        <w:jc w:val="both"/>
      </w:pPr>
      <w:bookmarkStart w:name="_bookmark399" w:id="401"/>
      <w:bookmarkEnd w:id="401"/>
      <w:r>
        <w:rPr/>
      </w:r>
      <w:r>
        <w:rPr/>
        <w:t>In some cases the court may be faced with a choice over how to measure the loss that the </w:t>
      </w:r>
      <w:r>
        <w:rPr/>
        <w:t>claimant has suffered. One example </w:t>
      </w:r>
      <w:r>
        <w:rPr>
          <w:color w:val="005DA1"/>
          <w:u w:val="single" w:color="005DA1"/>
          <w:vertAlign w:val="superscript"/>
        </w:rPr>
        <w:t>209</w:t>
      </w:r>
      <w:r>
        <w:rPr>
          <w:color w:val="005DA1"/>
          <w:vertAlign w:val="baseline"/>
        </w:rPr>
        <w:t> </w:t>
      </w:r>
      <w:r>
        <w:rPr>
          <w:vertAlign w:val="baseline"/>
        </w:rPr>
        <w:t>occurs when the performance rendered was defective: should the loss be measured by the cost of putting the defect right or by the difference in the value of the</w:t>
      </w:r>
      <w:r>
        <w:rPr>
          <w:spacing w:val="40"/>
          <w:vertAlign w:val="baseline"/>
        </w:rPr>
        <w:t> </w:t>
      </w:r>
      <w:r>
        <w:rPr>
          <w:vertAlign w:val="baseline"/>
        </w:rPr>
        <w:t>performance that was rendered? The two measures may produce very different results. In such</w:t>
      </w:r>
      <w:r>
        <w:rPr>
          <w:spacing w:val="40"/>
          <w:vertAlign w:val="baseline"/>
        </w:rPr>
        <w:t> </w:t>
      </w:r>
      <w:r>
        <w:rPr>
          <w:vertAlign w:val="baseline"/>
        </w:rPr>
        <w:t>cases, the outcome seems to depend on what it would be reasonable for the claimant to do in the circumstances. If the cost of correction was lower than the difference in value, the claimant will normally be expected to have the defect corrected. If the cost of correction was higher, the damages </w:t>
      </w:r>
      <w:bookmarkStart w:name="_bookmark400" w:id="402"/>
      <w:bookmarkEnd w:id="402"/>
      <w:r>
        <w:rPr>
          <w:vertAlign w:val="baseline"/>
        </w:rPr>
        <w:t>may</w:t>
      </w:r>
      <w:r>
        <w:rPr>
          <w:vertAlign w:val="baseline"/>
        </w:rPr>
        <w:t> be assessed by the more expensive measure if it was reasonable for the claimant to have the defect corrected. </w:t>
      </w:r>
      <w:r>
        <w:rPr>
          <w:color w:val="005DA1"/>
          <w:u w:val="single" w:color="005DA1"/>
          <w:vertAlign w:val="superscript"/>
        </w:rPr>
        <w:t>210</w:t>
      </w:r>
      <w:r>
        <w:rPr>
          <w:color w:val="005DA1"/>
          <w:vertAlign w:val="baseline"/>
        </w:rPr>
        <w:t> </w:t>
      </w:r>
      <w:r>
        <w:rPr>
          <w:vertAlign w:val="baseline"/>
        </w:rPr>
        <w:t>A more difficult case is where the contract was to supply goods or services and what was supplied was not in accordance with the contract, but the claimant was nonetheless able to earn the same profit as he had expected to earn had the contract been performed properly, or did not suffer any loss because of the shortcoming. Should the court consider the difference in value or only </w:t>
      </w:r>
      <w:bookmarkStart w:name="_bookmark401" w:id="403"/>
      <w:bookmarkEnd w:id="403"/>
      <w:r>
        <w:rPr>
          <w:vertAlign w:val="baseline"/>
        </w:rPr>
        <w:t>the</w:t>
      </w:r>
      <w:r>
        <w:rPr>
          <w:spacing w:val="-2"/>
          <w:vertAlign w:val="baseline"/>
        </w:rPr>
        <w:t> </w:t>
      </w:r>
      <w:r>
        <w:rPr>
          <w:vertAlign w:val="baseline"/>
        </w:rPr>
        <w:t>final</w:t>
      </w:r>
      <w:r>
        <w:rPr>
          <w:spacing w:val="-2"/>
          <w:vertAlign w:val="baseline"/>
        </w:rPr>
        <w:t> </w:t>
      </w:r>
      <w:r>
        <w:rPr>
          <w:vertAlign w:val="baseline"/>
        </w:rPr>
        <w:t>outcome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some</w:t>
      </w:r>
      <w:r>
        <w:rPr>
          <w:spacing w:val="-2"/>
          <w:vertAlign w:val="baseline"/>
        </w:rPr>
        <w:t> </w:t>
      </w:r>
      <w:r>
        <w:rPr>
          <w:vertAlign w:val="baseline"/>
        </w:rPr>
        <w:t>controversy</w:t>
      </w:r>
      <w:r>
        <w:rPr>
          <w:spacing w:val="-2"/>
          <w:vertAlign w:val="baseline"/>
        </w:rPr>
        <w:t> </w:t>
      </w:r>
      <w:r>
        <w:rPr>
          <w:vertAlign w:val="baseline"/>
        </w:rPr>
        <w:t>over</w:t>
      </w:r>
      <w:r>
        <w:rPr>
          <w:spacing w:val="-2"/>
          <w:vertAlign w:val="baseline"/>
        </w:rPr>
        <w:t> </w:t>
      </w:r>
      <w:r>
        <w:rPr>
          <w:vertAlign w:val="baseline"/>
        </w:rPr>
        <w:t>the</w:t>
      </w:r>
      <w:r>
        <w:rPr>
          <w:spacing w:val="-2"/>
          <w:vertAlign w:val="baseline"/>
        </w:rPr>
        <w:t> </w:t>
      </w:r>
      <w:r>
        <w:rPr>
          <w:vertAlign w:val="baseline"/>
        </w:rPr>
        <w:t>correct</w:t>
      </w:r>
      <w:r>
        <w:rPr>
          <w:spacing w:val="-2"/>
          <w:vertAlign w:val="baseline"/>
        </w:rPr>
        <w:t> </w:t>
      </w:r>
      <w:r>
        <w:rPr>
          <w:vertAlign w:val="baseline"/>
        </w:rPr>
        <w:t>approach;</w:t>
      </w:r>
      <w:r>
        <w:rPr>
          <w:spacing w:val="-2"/>
          <w:vertAlign w:val="baseline"/>
        </w:rPr>
        <w:t> </w:t>
      </w:r>
      <w:r>
        <w:rPr>
          <w:vertAlign w:val="baseline"/>
        </w:rPr>
        <w:t>the</w:t>
      </w:r>
      <w:r>
        <w:rPr>
          <w:spacing w:val="-2"/>
          <w:vertAlign w:val="baseline"/>
        </w:rPr>
        <w:t> </w:t>
      </w:r>
      <w:r>
        <w:rPr>
          <w:vertAlign w:val="baseline"/>
        </w:rPr>
        <w:t>question is explored below. </w:t>
      </w:r>
      <w:r>
        <w:rPr>
          <w:color w:val="005DA1"/>
          <w:u w:val="single" w:color="005DA1"/>
          <w:vertAlign w:val="superscript"/>
        </w:rPr>
        <w:t>211</w:t>
      </w:r>
    </w:p>
    <w:p>
      <w:pPr>
        <w:pStyle w:val="BodyText"/>
      </w:pPr>
    </w:p>
    <w:p>
      <w:pPr>
        <w:pStyle w:val="BodyText"/>
        <w:spacing w:before="33"/>
      </w:pPr>
    </w:p>
    <w:p>
      <w:pPr>
        <w:spacing w:before="1"/>
        <w:ind w:left="165" w:right="0" w:firstLine="0"/>
        <w:jc w:val="both"/>
        <w:rPr>
          <w:rFonts w:ascii="Arial"/>
          <w:b/>
          <w:sz w:val="18"/>
        </w:rPr>
      </w:pPr>
      <w:r>
        <w:rPr>
          <w:rFonts w:ascii="Arial"/>
          <w:b/>
          <w:sz w:val="18"/>
        </w:rPr>
        <w:t>Measures that go beyond strict </w:t>
      </w:r>
      <w:r>
        <w:rPr>
          <w:rFonts w:ascii="Arial"/>
          <w:b/>
          <w:spacing w:val="-2"/>
          <w:sz w:val="18"/>
        </w:rPr>
        <w:t>compensation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035</w:t>
      </w:r>
    </w:p>
    <w:p>
      <w:pPr>
        <w:pStyle w:val="BodyText"/>
        <w:spacing w:line="235" w:lineRule="auto" w:before="203"/>
        <w:ind w:left="165" w:right="167"/>
        <w:jc w:val="both"/>
      </w:pPr>
      <w:r>
        <w:rPr/>
        <w:t>In this section we also consider cases in which the courts have awarded remedies that may </w:t>
      </w:r>
      <w:r>
        <w:rPr/>
        <w:t>go beyond compensation. There are two categories. One is where the measure of damages the </w:t>
      </w:r>
      <w:bookmarkStart w:name="_bookmark402" w:id="404"/>
      <w:bookmarkEnd w:id="404"/>
      <w:r>
        <w:rPr/>
        <w:t>defendant</w:t>
      </w:r>
      <w:r>
        <w:rPr/>
        <w:t> is made to pay over a proportion of the profit that he has made through breaking the </w:t>
      </w:r>
      <w:bookmarkStart w:name="_bookmark403" w:id="405"/>
      <w:bookmarkEnd w:id="405"/>
      <w:r>
        <w:rPr/>
        <w:t>contract.</w:t>
      </w:r>
      <w:r>
        <w:rPr/>
        <w:t> </w:t>
      </w:r>
      <w:r>
        <w:rPr>
          <w:color w:val="005DA1"/>
          <w:u w:val="single" w:color="005DA1"/>
          <w:vertAlign w:val="superscript"/>
        </w:rPr>
        <w:t>212</w:t>
      </w:r>
      <w:r>
        <w:rPr>
          <w:color w:val="005DA1"/>
          <w:vertAlign w:val="baseline"/>
        </w:rPr>
        <w:t> </w:t>
      </w:r>
      <w:r>
        <w:rPr>
          <w:vertAlign w:val="baseline"/>
        </w:rPr>
        <w:t>There is some debate whether this measure is compensatory or a form of restitution for </w:t>
      </w:r>
      <w:bookmarkStart w:name="_bookmark404" w:id="406"/>
      <w:bookmarkEnd w:id="406"/>
      <w:r>
        <w:rPr>
          <w:vertAlign w:val="baseline"/>
        </w:rPr>
        <w:t>wrong</w:t>
      </w:r>
      <w:r>
        <w:rPr>
          <w:vertAlign w:val="baseline"/>
        </w:rPr>
        <w:t>-doing. </w:t>
      </w:r>
      <w:r>
        <w:rPr>
          <w:color w:val="005DA1"/>
          <w:u w:val="single" w:color="005DA1"/>
          <w:vertAlign w:val="superscript"/>
        </w:rPr>
        <w:t>213</w:t>
      </w:r>
      <w:r>
        <w:rPr>
          <w:color w:val="005DA1"/>
          <w:vertAlign w:val="baseline"/>
        </w:rPr>
        <w:t> </w:t>
      </w:r>
      <w:r>
        <w:rPr>
          <w:vertAlign w:val="baseline"/>
        </w:rPr>
        <w:t>The second is an exceptional category in which the defendant is required to account </w:t>
      </w:r>
      <w:bookmarkStart w:name="_bookmark405" w:id="407"/>
      <w:bookmarkEnd w:id="407"/>
      <w:r>
        <w:rPr>
          <w:vertAlign w:val="baseline"/>
        </w:rPr>
        <w:t>for</w:t>
      </w:r>
      <w:r>
        <w:rPr>
          <w:vertAlign w:val="baseline"/>
        </w:rPr>
        <w:t> the full profit he has made. </w:t>
      </w:r>
      <w:r>
        <w:rPr>
          <w:color w:val="005DA1"/>
          <w:u w:val="single" w:color="005DA1"/>
          <w:vertAlign w:val="superscript"/>
        </w:rPr>
        <w:t>214</w:t>
      </w:r>
      <w:r>
        <w:rPr>
          <w:color w:val="005DA1"/>
          <w:vertAlign w:val="baseline"/>
        </w:rPr>
        <w:t> </w:t>
      </w:r>
      <w:r>
        <w:rPr>
          <w:vertAlign w:val="baseline"/>
        </w:rPr>
        <w:t>This is better viewed as a restitutionary award, not one of </w:t>
      </w:r>
      <w:bookmarkStart w:name="_bookmark406" w:id="408"/>
      <w:bookmarkEnd w:id="408"/>
      <w:r>
        <w:rPr>
          <w:vertAlign w:val="baseline"/>
        </w:rPr>
        <w:t>compensatory</w:t>
      </w:r>
      <w:r>
        <w:rPr>
          <w:vertAlign w:val="baseline"/>
        </w:rPr>
        <w:t> damages, </w:t>
      </w:r>
      <w:r>
        <w:rPr>
          <w:color w:val="005DA1"/>
          <w:u w:val="single" w:color="005DA1"/>
          <w:vertAlign w:val="superscript"/>
        </w:rPr>
        <w:t>215</w:t>
      </w:r>
      <w:r>
        <w:rPr>
          <w:color w:val="005DA1"/>
          <w:vertAlign w:val="baseline"/>
        </w:rPr>
        <w:t> </w:t>
      </w:r>
      <w:r>
        <w:rPr>
          <w:vertAlign w:val="baseline"/>
        </w:rPr>
        <w:t>but it is convenient to discuss it here because there is a very close connection to the “share of profit” cases. We also consider punitive or exemplary damages. </w:t>
      </w:r>
      <w:r>
        <w:rPr>
          <w:color w:val="005DA1"/>
          <w:u w:val="single" w:color="005DA1"/>
          <w:vertAlign w:val="superscript"/>
        </w:rPr>
        <w:t>216</w:t>
      </w:r>
      <w:r>
        <w:rPr>
          <w:color w:val="005DA1"/>
          <w:vertAlign w:val="baseline"/>
        </w:rPr>
        <w:t> </w:t>
      </w:r>
      <w:r>
        <w:rPr>
          <w:vertAlign w:val="baseline"/>
        </w:rPr>
        <w:t>These are not normally available for mere breach of contract.</w:t>
      </w:r>
    </w:p>
    <w:p>
      <w:pPr>
        <w:pStyle w:val="BodyText"/>
      </w:pPr>
    </w:p>
    <w:p>
      <w:pPr>
        <w:pStyle w:val="BodyText"/>
        <w:spacing w:before="36"/>
      </w:pPr>
      <w:r>
        <w:rPr/>
        <mc:AlternateContent>
          <mc:Choice Requires="wps">
            <w:drawing>
              <wp:anchor distT="0" distB="0" distL="0" distR="0" allowOverlap="1" layoutInCell="1" locked="0" behindDoc="1" simplePos="0" relativeHeight="487619584">
                <wp:simplePos x="0" y="0"/>
                <wp:positionH relativeFrom="page">
                  <wp:posOffset>914400</wp:posOffset>
                </wp:positionH>
                <wp:positionV relativeFrom="paragraph">
                  <wp:posOffset>184321</wp:posOffset>
                </wp:positionV>
                <wp:extent cx="572452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3465pt;width:450.75pt;height:.1pt;mso-position-horizontal-relative:page;mso-position-vertical-relative:paragraph;z-index:-15696896;mso-wrap-distance-left:0;mso-wrap-distance-right:0" id="docshape29"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407" w:id="409"/>
      <w:bookmarkEnd w:id="409"/>
      <w:r>
        <w:rPr/>
      </w:r>
      <w:hyperlink w:history="true" w:anchor="_bookmark399">
        <w:r>
          <w:rPr>
            <w:color w:val="005DA1"/>
            <w:position w:val="5"/>
            <w:sz w:val="14"/>
            <w:u w:val="single" w:color="005DA1"/>
          </w:rPr>
          <w:t>209</w:t>
        </w:r>
      </w:hyperlink>
      <w:r>
        <w:rPr>
          <w:position w:val="5"/>
          <w:sz w:val="14"/>
        </w:rPr>
        <w:t>.</w:t>
      </w:r>
      <w:r>
        <w:rPr>
          <w:spacing w:val="80"/>
          <w:position w:val="5"/>
          <w:sz w:val="14"/>
        </w:rPr>
        <w:t>  </w:t>
      </w:r>
      <w:r>
        <w:rPr/>
        <w:t>A further example occurs when a breach of contract affects the running of a business, when </w:t>
      </w:r>
      <w:r>
        <w:rPr/>
        <w:t>the loss might be measured by the effect on the value of the business or by the effect on the profit made. In this case the question seems to depend on which measure is more appropriate given what took place after the breach. See below, para.26-172.</w:t>
      </w:r>
    </w:p>
    <w:p>
      <w:pPr>
        <w:pStyle w:val="BodyText"/>
        <w:spacing w:before="4"/>
      </w:pPr>
    </w:p>
    <w:p>
      <w:pPr>
        <w:pStyle w:val="BodyText"/>
        <w:tabs>
          <w:tab w:pos="705" w:val="left" w:leader="none"/>
        </w:tabs>
        <w:spacing w:before="1"/>
        <w:ind w:left="165"/>
      </w:pPr>
      <w:bookmarkStart w:name="_bookmark408" w:id="410"/>
      <w:bookmarkEnd w:id="410"/>
      <w:r>
        <w:rPr/>
      </w:r>
      <w:hyperlink w:history="true" w:anchor="_bookmark400">
        <w:r>
          <w:rPr>
            <w:color w:val="005DA1"/>
            <w:spacing w:val="-4"/>
            <w:position w:val="5"/>
            <w:sz w:val="14"/>
            <w:u w:val="single" w:color="005DA1"/>
          </w:rPr>
          <w:t>210</w:t>
        </w:r>
      </w:hyperlink>
      <w:r>
        <w:rPr>
          <w:spacing w:val="-4"/>
          <w:position w:val="5"/>
          <w:sz w:val="14"/>
        </w:rPr>
        <w:t>.</w:t>
      </w:r>
      <w:r>
        <w:rPr>
          <w:position w:val="5"/>
          <w:sz w:val="14"/>
        </w:rPr>
        <w:tab/>
      </w:r>
      <w:r>
        <w:rPr/>
        <w:t>See below, paras 26-036—26-</w:t>
      </w:r>
      <w:r>
        <w:rPr>
          <w:spacing w:val="-4"/>
        </w:rPr>
        <w:t>038.</w:t>
      </w:r>
    </w:p>
    <w:p>
      <w:pPr>
        <w:pStyle w:val="BodyText"/>
        <w:spacing w:after="0"/>
        <w:sectPr>
          <w:headerReference w:type="default" r:id="rId17"/>
          <w:pgSz w:w="11900" w:h="16840"/>
          <w:pgMar w:header="971" w:footer="0" w:top="1300" w:bottom="280" w:left="1275" w:right="1275"/>
          <w:pgNumType w:start="1"/>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2962"/>
        <w:gridCol w:w="1968"/>
      </w:tblGrid>
      <w:tr>
        <w:trPr>
          <w:trHeight w:val="344" w:hRule="atLeast"/>
        </w:trPr>
        <w:tc>
          <w:tcPr>
            <w:tcW w:w="457" w:type="dxa"/>
          </w:tcPr>
          <w:p>
            <w:pPr>
              <w:pStyle w:val="TableParagraph"/>
              <w:spacing w:before="0"/>
              <w:ind w:right="82"/>
              <w:jc w:val="center"/>
              <w:rPr>
                <w:sz w:val="14"/>
              </w:rPr>
            </w:pPr>
            <w:bookmarkStart w:name="_bookmark409" w:id="411"/>
            <w:bookmarkEnd w:id="411"/>
            <w:r>
              <w:rPr/>
            </w:r>
            <w:hyperlink w:history="true" w:anchor="_bookmark401">
              <w:r>
                <w:rPr>
                  <w:color w:val="005DA1"/>
                  <w:spacing w:val="-4"/>
                  <w:sz w:val="14"/>
                  <w:u w:val="single" w:color="005DA1"/>
                </w:rPr>
                <w:t>211</w:t>
              </w:r>
            </w:hyperlink>
            <w:r>
              <w:rPr>
                <w:spacing w:val="-4"/>
                <w:sz w:val="14"/>
              </w:rPr>
              <w:t>.</w:t>
            </w:r>
          </w:p>
        </w:tc>
        <w:tc>
          <w:tcPr>
            <w:tcW w:w="2962" w:type="dxa"/>
          </w:tcPr>
          <w:p>
            <w:pPr>
              <w:pStyle w:val="TableParagraph"/>
              <w:spacing w:line="223" w:lineRule="exact" w:before="0"/>
              <w:ind w:left="133"/>
              <w:rPr>
                <w:sz w:val="20"/>
              </w:rPr>
            </w:pPr>
            <w:r>
              <w:rPr>
                <w:sz w:val="20"/>
              </w:rPr>
              <w:t>See paras 26-039—26-</w:t>
            </w:r>
            <w:r>
              <w:rPr>
                <w:spacing w:val="-4"/>
                <w:sz w:val="20"/>
              </w:rPr>
              <w:t>042.</w:t>
            </w:r>
          </w:p>
        </w:tc>
        <w:tc>
          <w:tcPr>
            <w:tcW w:w="1968" w:type="dxa"/>
          </w:tcPr>
          <w:p>
            <w:pPr>
              <w:pStyle w:val="TableParagraph"/>
              <w:spacing w:before="0"/>
              <w:rPr>
                <w:rFonts w:ascii="Times New Roman"/>
                <w:sz w:val="18"/>
              </w:rPr>
            </w:pPr>
          </w:p>
        </w:tc>
      </w:tr>
      <w:tr>
        <w:trPr>
          <w:trHeight w:val="465" w:hRule="atLeast"/>
        </w:trPr>
        <w:tc>
          <w:tcPr>
            <w:tcW w:w="457" w:type="dxa"/>
          </w:tcPr>
          <w:p>
            <w:pPr>
              <w:pStyle w:val="TableParagraph"/>
              <w:ind w:right="82"/>
              <w:jc w:val="center"/>
              <w:rPr>
                <w:sz w:val="14"/>
              </w:rPr>
            </w:pPr>
            <w:bookmarkStart w:name="_bookmark410" w:id="412"/>
            <w:bookmarkEnd w:id="412"/>
            <w:r>
              <w:rPr/>
            </w:r>
            <w:hyperlink w:history="true" w:anchor="_bookmark402">
              <w:r>
                <w:rPr>
                  <w:color w:val="005DA1"/>
                  <w:spacing w:val="-4"/>
                  <w:sz w:val="14"/>
                  <w:u w:val="single" w:color="005DA1"/>
                </w:rPr>
                <w:t>212</w:t>
              </w:r>
            </w:hyperlink>
            <w:r>
              <w:rPr>
                <w:spacing w:val="-4"/>
                <w:sz w:val="14"/>
              </w:rPr>
              <w:t>.</w:t>
            </w:r>
          </w:p>
        </w:tc>
        <w:tc>
          <w:tcPr>
            <w:tcW w:w="2962" w:type="dxa"/>
          </w:tcPr>
          <w:p>
            <w:pPr>
              <w:pStyle w:val="TableParagraph"/>
              <w:spacing w:before="114"/>
              <w:ind w:left="133"/>
              <w:rPr>
                <w:sz w:val="20"/>
              </w:rPr>
            </w:pPr>
            <w:r>
              <w:rPr>
                <w:sz w:val="20"/>
              </w:rPr>
              <w:t>See below, para.26-</w:t>
            </w:r>
            <w:r>
              <w:rPr>
                <w:spacing w:val="-4"/>
                <w:sz w:val="20"/>
              </w:rPr>
              <w:t>046.</w:t>
            </w:r>
          </w:p>
        </w:tc>
        <w:tc>
          <w:tcPr>
            <w:tcW w:w="1968" w:type="dxa"/>
          </w:tcPr>
          <w:p>
            <w:pPr>
              <w:pStyle w:val="TableParagraph"/>
              <w:spacing w:before="0"/>
              <w:rPr>
                <w:rFonts w:ascii="Times New Roman"/>
                <w:sz w:val="18"/>
              </w:rPr>
            </w:pPr>
          </w:p>
        </w:tc>
      </w:tr>
      <w:tr>
        <w:trPr>
          <w:trHeight w:val="465" w:hRule="atLeast"/>
        </w:trPr>
        <w:tc>
          <w:tcPr>
            <w:tcW w:w="457" w:type="dxa"/>
          </w:tcPr>
          <w:p>
            <w:pPr>
              <w:pStyle w:val="TableParagraph"/>
              <w:ind w:right="82"/>
              <w:jc w:val="center"/>
              <w:rPr>
                <w:sz w:val="14"/>
              </w:rPr>
            </w:pPr>
            <w:bookmarkStart w:name="_bookmark411" w:id="413"/>
            <w:bookmarkEnd w:id="413"/>
            <w:r>
              <w:rPr/>
            </w:r>
            <w:hyperlink w:history="true" w:anchor="_bookmark403">
              <w:r>
                <w:rPr>
                  <w:color w:val="005DA1"/>
                  <w:spacing w:val="-4"/>
                  <w:sz w:val="14"/>
                  <w:u w:val="single" w:color="005DA1"/>
                </w:rPr>
                <w:t>213</w:t>
              </w:r>
            </w:hyperlink>
            <w:r>
              <w:rPr>
                <w:spacing w:val="-4"/>
                <w:sz w:val="14"/>
              </w:rPr>
              <w:t>.</w:t>
            </w:r>
          </w:p>
        </w:tc>
        <w:tc>
          <w:tcPr>
            <w:tcW w:w="2962" w:type="dxa"/>
          </w:tcPr>
          <w:p>
            <w:pPr>
              <w:pStyle w:val="TableParagraph"/>
              <w:spacing w:before="114"/>
              <w:ind w:left="133"/>
              <w:rPr>
                <w:sz w:val="20"/>
              </w:rPr>
            </w:pPr>
            <w:r>
              <w:rPr>
                <w:sz w:val="20"/>
              </w:rPr>
              <w:t>See below, para.26-</w:t>
            </w:r>
            <w:r>
              <w:rPr>
                <w:spacing w:val="-4"/>
                <w:sz w:val="20"/>
              </w:rPr>
              <w:t>049.</w:t>
            </w:r>
          </w:p>
        </w:tc>
        <w:tc>
          <w:tcPr>
            <w:tcW w:w="1968" w:type="dxa"/>
          </w:tcPr>
          <w:p>
            <w:pPr>
              <w:pStyle w:val="TableParagraph"/>
              <w:spacing w:before="0"/>
              <w:rPr>
                <w:rFonts w:ascii="Times New Roman"/>
                <w:sz w:val="18"/>
              </w:rPr>
            </w:pPr>
          </w:p>
        </w:tc>
      </w:tr>
      <w:tr>
        <w:trPr>
          <w:trHeight w:val="465" w:hRule="atLeast"/>
        </w:trPr>
        <w:tc>
          <w:tcPr>
            <w:tcW w:w="457" w:type="dxa"/>
          </w:tcPr>
          <w:p>
            <w:pPr>
              <w:pStyle w:val="TableParagraph"/>
              <w:ind w:right="82"/>
              <w:jc w:val="center"/>
              <w:rPr>
                <w:sz w:val="14"/>
              </w:rPr>
            </w:pPr>
            <w:bookmarkStart w:name="_bookmark412" w:id="414"/>
            <w:bookmarkEnd w:id="414"/>
            <w:r>
              <w:rPr/>
            </w:r>
            <w:hyperlink w:history="true" w:anchor="_bookmark404">
              <w:r>
                <w:rPr>
                  <w:color w:val="005DA1"/>
                  <w:spacing w:val="-4"/>
                  <w:sz w:val="14"/>
                  <w:u w:val="single" w:color="005DA1"/>
                </w:rPr>
                <w:t>214</w:t>
              </w:r>
            </w:hyperlink>
            <w:r>
              <w:rPr>
                <w:spacing w:val="-4"/>
                <w:sz w:val="14"/>
              </w:rPr>
              <w:t>.</w:t>
            </w:r>
          </w:p>
        </w:tc>
        <w:tc>
          <w:tcPr>
            <w:tcW w:w="2962" w:type="dxa"/>
          </w:tcPr>
          <w:p>
            <w:pPr>
              <w:pStyle w:val="TableParagraph"/>
              <w:spacing w:before="114"/>
              <w:ind w:left="133"/>
              <w:rPr>
                <w:sz w:val="20"/>
              </w:rPr>
            </w:pPr>
            <w:r>
              <w:rPr>
                <w:sz w:val="20"/>
              </w:rPr>
              <w:t>See below, para.26-</w:t>
            </w:r>
            <w:r>
              <w:rPr>
                <w:spacing w:val="-4"/>
                <w:sz w:val="20"/>
              </w:rPr>
              <w:t>055.</w:t>
            </w:r>
          </w:p>
        </w:tc>
        <w:tc>
          <w:tcPr>
            <w:tcW w:w="1968" w:type="dxa"/>
          </w:tcPr>
          <w:p>
            <w:pPr>
              <w:pStyle w:val="TableParagraph"/>
              <w:spacing w:before="0"/>
              <w:rPr>
                <w:rFonts w:ascii="Times New Roman"/>
                <w:sz w:val="18"/>
              </w:rPr>
            </w:pPr>
          </w:p>
        </w:tc>
      </w:tr>
      <w:tr>
        <w:trPr>
          <w:trHeight w:val="465" w:hRule="atLeast"/>
        </w:trPr>
        <w:tc>
          <w:tcPr>
            <w:tcW w:w="457" w:type="dxa"/>
          </w:tcPr>
          <w:p>
            <w:pPr>
              <w:pStyle w:val="TableParagraph"/>
              <w:ind w:right="82"/>
              <w:jc w:val="center"/>
              <w:rPr>
                <w:sz w:val="14"/>
              </w:rPr>
            </w:pPr>
            <w:bookmarkStart w:name="_bookmark413" w:id="415"/>
            <w:bookmarkEnd w:id="415"/>
            <w:r>
              <w:rPr/>
            </w:r>
            <w:hyperlink w:history="true" w:anchor="_bookmark405">
              <w:r>
                <w:rPr>
                  <w:color w:val="005DA1"/>
                  <w:spacing w:val="-4"/>
                  <w:sz w:val="14"/>
                  <w:u w:val="single" w:color="005DA1"/>
                </w:rPr>
                <w:t>215</w:t>
              </w:r>
            </w:hyperlink>
            <w:r>
              <w:rPr>
                <w:spacing w:val="-4"/>
                <w:sz w:val="14"/>
              </w:rPr>
              <w:t>.</w:t>
            </w:r>
          </w:p>
        </w:tc>
        <w:tc>
          <w:tcPr>
            <w:tcW w:w="2962" w:type="dxa"/>
          </w:tcPr>
          <w:p>
            <w:pPr>
              <w:pStyle w:val="TableParagraph"/>
              <w:spacing w:before="114"/>
              <w:ind w:left="133"/>
              <w:rPr>
                <w:sz w:val="20"/>
              </w:rPr>
            </w:pPr>
            <w:r>
              <w:rPr>
                <w:sz w:val="20"/>
              </w:rPr>
              <w:t>See below, para.26-</w:t>
            </w:r>
            <w:r>
              <w:rPr>
                <w:spacing w:val="-4"/>
                <w:sz w:val="20"/>
              </w:rPr>
              <w:t>055.</w:t>
            </w:r>
          </w:p>
        </w:tc>
        <w:tc>
          <w:tcPr>
            <w:tcW w:w="1968" w:type="dxa"/>
          </w:tcPr>
          <w:p>
            <w:pPr>
              <w:pStyle w:val="TableParagraph"/>
              <w:spacing w:before="0"/>
              <w:rPr>
                <w:rFonts w:ascii="Times New Roman"/>
                <w:sz w:val="18"/>
              </w:rPr>
            </w:pPr>
          </w:p>
        </w:tc>
      </w:tr>
      <w:tr>
        <w:trPr>
          <w:trHeight w:val="927" w:hRule="atLeast"/>
        </w:trPr>
        <w:tc>
          <w:tcPr>
            <w:tcW w:w="457" w:type="dxa"/>
          </w:tcPr>
          <w:p>
            <w:pPr>
              <w:pStyle w:val="TableParagraph"/>
              <w:ind w:right="82"/>
              <w:jc w:val="center"/>
              <w:rPr>
                <w:sz w:val="14"/>
              </w:rPr>
            </w:pPr>
            <w:bookmarkStart w:name="_bookmark414" w:id="416"/>
            <w:bookmarkEnd w:id="416"/>
            <w:r>
              <w:rPr/>
            </w:r>
            <w:hyperlink w:history="true" w:anchor="_bookmark406">
              <w:r>
                <w:rPr>
                  <w:color w:val="005DA1"/>
                  <w:spacing w:val="-4"/>
                  <w:sz w:val="14"/>
                  <w:u w:val="single" w:color="005DA1"/>
                </w:rPr>
                <w:t>216</w:t>
              </w:r>
            </w:hyperlink>
            <w:r>
              <w:rPr>
                <w:spacing w:val="-4"/>
                <w:sz w:val="14"/>
              </w:rPr>
              <w:t>.</w:t>
            </w:r>
          </w:p>
        </w:tc>
        <w:tc>
          <w:tcPr>
            <w:tcW w:w="2962" w:type="dxa"/>
          </w:tcPr>
          <w:p>
            <w:pPr>
              <w:pStyle w:val="TableParagraph"/>
              <w:spacing w:before="114"/>
              <w:ind w:left="133"/>
              <w:rPr>
                <w:sz w:val="20"/>
              </w:rPr>
            </w:pPr>
            <w:r>
              <w:rPr>
                <w:sz w:val="20"/>
              </w:rPr>
              <w:t>See below, para.26-</w:t>
            </w:r>
            <w:r>
              <w:rPr>
                <w:spacing w:val="-4"/>
                <w:sz w:val="20"/>
              </w:rPr>
              <w:t>044.</w:t>
            </w:r>
          </w:p>
        </w:tc>
        <w:tc>
          <w:tcPr>
            <w:tcW w:w="1968" w:type="dxa"/>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122"/>
              <w:rPr>
                <w:sz w:val="14"/>
              </w:rPr>
            </w:pPr>
          </w:p>
          <w:p>
            <w:pPr>
              <w:pStyle w:val="TableParagraph"/>
              <w:spacing w:line="141" w:lineRule="exact" w:before="0"/>
              <w:ind w:left="359"/>
              <w:rPr>
                <w:sz w:val="14"/>
              </w:rPr>
            </w:pPr>
            <w:r>
              <w:rPr>
                <w:sz w:val="14"/>
              </w:rPr>
              <w:t>© 2018 Sweet &amp; </w:t>
            </w:r>
            <w:r>
              <w:rPr>
                <w:spacing w:val="-2"/>
                <w:sz w:val="14"/>
              </w:rPr>
              <w:t>Maxwell</w:t>
            </w:r>
          </w:p>
        </w:tc>
      </w:tr>
    </w:tbl>
    <w:p>
      <w:pPr>
        <w:pStyle w:val="TableParagraph"/>
        <w:spacing w:after="0" w:line="141" w:lineRule="exact"/>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3. - Measures of </w:t>
      </w:r>
      <w:r>
        <w:rPr>
          <w:rFonts w:ascii="Arial"/>
          <w:b/>
          <w:spacing w:val="-2"/>
          <w:sz w:val="24"/>
        </w:rPr>
        <w:t>Compensation</w:t>
      </w:r>
    </w:p>
    <w:p>
      <w:pPr>
        <w:pStyle w:val="ListParagraph"/>
        <w:numPr>
          <w:ilvl w:val="0"/>
          <w:numId w:val="4"/>
        </w:numPr>
        <w:tabs>
          <w:tab w:pos="1584" w:val="left" w:leader="none"/>
        </w:tabs>
        <w:spacing w:line="240" w:lineRule="auto" w:before="194" w:after="0"/>
        <w:ind w:left="1584" w:right="0" w:hanging="373"/>
        <w:jc w:val="left"/>
        <w:rPr>
          <w:b/>
          <w:sz w:val="24"/>
        </w:rPr>
      </w:pPr>
      <w:r>
        <w:rPr>
          <w:b/>
          <w:sz w:val="24"/>
        </w:rPr>
        <w:t>- Substitute Performance (Cost of Completion or </w:t>
      </w:r>
      <w:r>
        <w:rPr>
          <w:b/>
          <w:spacing w:val="-2"/>
          <w:sz w:val="24"/>
        </w:rPr>
        <w:t>Repairs)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Damages for the cost of completion, reinstatement or </w:t>
      </w:r>
      <w:r>
        <w:rPr>
          <w:rFonts w:ascii="Arial"/>
          <w:b/>
          <w:spacing w:val="-2"/>
          <w:sz w:val="18"/>
        </w:rPr>
        <w:t>repairs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036</w:t>
      </w:r>
    </w:p>
    <w:p>
      <w:pPr>
        <w:pStyle w:val="BodyText"/>
        <w:spacing w:line="235" w:lineRule="auto" w:before="202"/>
        <w:ind w:left="165" w:right="166"/>
        <w:jc w:val="both"/>
      </w:pPr>
      <w:bookmarkStart w:name="_bookmark415" w:id="417"/>
      <w:bookmarkEnd w:id="417"/>
      <w:r>
        <w:rPr/>
      </w:r>
      <w:r>
        <w:rPr/>
        <w:t>In appropriate circumstances, </w:t>
      </w:r>
      <w:r>
        <w:rPr>
          <w:color w:val="005DA1"/>
          <w:u w:val="single" w:color="005DA1"/>
          <w:vertAlign w:val="superscript"/>
        </w:rPr>
        <w:t>217</w:t>
      </w:r>
      <w:r>
        <w:rPr>
          <w:color w:val="005DA1"/>
          <w:vertAlign w:val="baseline"/>
        </w:rPr>
        <w:t> </w:t>
      </w:r>
      <w:r>
        <w:rPr>
          <w:vertAlign w:val="baseline"/>
        </w:rPr>
        <w:t>damages may be assessed on the basis of what it will cost the </w:t>
      </w:r>
      <w:bookmarkStart w:name="_bookmark416" w:id="418"/>
      <w:bookmarkEnd w:id="418"/>
      <w:r>
        <w:rPr>
          <w:vertAlign w:val="baseline"/>
        </w:rPr>
        <w:t>claimant</w:t>
      </w:r>
      <w:r>
        <w:rPr>
          <w:vertAlign w:val="baseline"/>
        </w:rPr>
        <w:t> to obtain performance (or completion of performance) of the contractual undertaking by </w:t>
      </w:r>
      <w:r>
        <w:rPr>
          <w:vertAlign w:val="baseline"/>
        </w:rPr>
        <w:t>a third party. </w:t>
      </w:r>
      <w:r>
        <w:rPr>
          <w:color w:val="005DA1"/>
          <w:u w:val="single" w:color="005DA1"/>
          <w:vertAlign w:val="superscript"/>
        </w:rPr>
        <w:t>218</w:t>
      </w:r>
      <w:r>
        <w:rPr>
          <w:color w:val="005DA1"/>
          <w:vertAlign w:val="baseline"/>
        </w:rPr>
        <w:t> </w:t>
      </w:r>
      <w:r>
        <w:rPr>
          <w:vertAlign w:val="baseline"/>
        </w:rPr>
        <w:t>Where the contract was one to transfer goods to the claimant, it is assumed that the claimant will obtain performance by purchasing goods which conform to the contractual requirements, and damages will be assessed as the difference between the cost (if reasonable) of the substitute purchase and the price fixed in the original contract (the rules of mitigation apply). In other situations, the damages are assessed as the difference between the market value of the defendant’s </w:t>
      </w:r>
      <w:bookmarkStart w:name="_bookmark417" w:id="419"/>
      <w:bookmarkEnd w:id="419"/>
      <w:r>
        <w:rPr>
          <w:vertAlign w:val="baseline"/>
        </w:rPr>
        <w:t>performance</w:t>
      </w:r>
      <w:r>
        <w:rPr>
          <w:vertAlign w:val="baseline"/>
        </w:rPr>
        <w:t> in its defective or incomplete state, and the market value of the performance if it had been properly completed. </w:t>
      </w:r>
      <w:r>
        <w:rPr>
          <w:color w:val="005DA1"/>
          <w:u w:val="single" w:color="005DA1"/>
          <w:vertAlign w:val="superscript"/>
        </w:rPr>
        <w:t>219</w:t>
      </w:r>
      <w:r>
        <w:rPr>
          <w:color w:val="005DA1"/>
          <w:vertAlign w:val="baseline"/>
        </w:rPr>
        <w:t> </w:t>
      </w:r>
      <w:r>
        <w:rPr>
          <w:vertAlign w:val="baseline"/>
        </w:rPr>
        <w:t>In a contract to perform services or for work and materials it will be assumed that the claimant will have the incomplete or defective performance completed or corrected and the damages will be assessed by the cost of getting this done; however, in </w:t>
      </w:r>
      <w:r>
        <w:rPr>
          <w:rFonts w:ascii="Arial" w:hAnsi="Arial"/>
          <w:i/>
          <w:vertAlign w:val="baseline"/>
        </w:rPr>
        <w:t>Ruxley Electronics</w:t>
      </w:r>
      <w:r>
        <w:rPr>
          <w:rFonts w:ascii="Arial" w:hAnsi="Arial"/>
          <w:i/>
          <w:spacing w:val="40"/>
          <w:vertAlign w:val="baseline"/>
        </w:rPr>
        <w:t> </w:t>
      </w:r>
      <w:r>
        <w:rPr>
          <w:rFonts w:ascii="Arial" w:hAnsi="Arial"/>
          <w:i/>
          <w:vertAlign w:val="baseline"/>
        </w:rPr>
        <w:t>and Construction Ltd v Forsyth </w:t>
      </w:r>
      <w:r>
        <w:rPr>
          <w:vertAlign w:val="baseline"/>
        </w:rPr>
        <w:t>the House of Lords held that if the claimant will not have the work</w:t>
      </w:r>
      <w:r>
        <w:rPr>
          <w:spacing w:val="40"/>
          <w:vertAlign w:val="baseline"/>
        </w:rPr>
        <w:t> </w:t>
      </w:r>
      <w:r>
        <w:rPr>
          <w:vertAlign w:val="baseline"/>
        </w:rPr>
        <w:t>done or it would be unreasonable to do so, the damages will again be measured by the difference in value, which may be less than the cost of having the work done. The claimant is entitled to the </w:t>
      </w:r>
      <w:bookmarkStart w:name="_bookmark418" w:id="420"/>
      <w:bookmarkEnd w:id="420"/>
      <w:r>
        <w:rPr>
          <w:vertAlign w:val="baseline"/>
        </w:rPr>
        <w:t>reasonable</w:t>
      </w:r>
      <w:r>
        <w:rPr>
          <w:spacing w:val="-1"/>
          <w:vertAlign w:val="baseline"/>
        </w:rPr>
        <w:t> </w:t>
      </w:r>
      <w:r>
        <w:rPr>
          <w:vertAlign w:val="baseline"/>
        </w:rPr>
        <w:t>cost</w:t>
      </w:r>
      <w:r>
        <w:rPr>
          <w:spacing w:val="-1"/>
          <w:vertAlign w:val="baseline"/>
        </w:rPr>
        <w:t> </w:t>
      </w:r>
      <w:r>
        <w:rPr>
          <w:vertAlign w:val="baseline"/>
        </w:rPr>
        <w:t>of</w:t>
      </w:r>
      <w:r>
        <w:rPr>
          <w:spacing w:val="-1"/>
          <w:vertAlign w:val="baseline"/>
        </w:rPr>
        <w:t> </w:t>
      </w:r>
      <w:r>
        <w:rPr>
          <w:vertAlign w:val="baseline"/>
        </w:rPr>
        <w:t>having</w:t>
      </w:r>
      <w:r>
        <w:rPr>
          <w:spacing w:val="-1"/>
          <w:vertAlign w:val="baseline"/>
        </w:rPr>
        <w:t> </w:t>
      </w:r>
      <w:r>
        <w:rPr>
          <w:vertAlign w:val="baseline"/>
        </w:rPr>
        <w:t>the</w:t>
      </w:r>
      <w:r>
        <w:rPr>
          <w:spacing w:val="-1"/>
          <w:vertAlign w:val="baseline"/>
        </w:rPr>
        <w:t> </w:t>
      </w:r>
      <w:r>
        <w:rPr>
          <w:vertAlign w:val="baseline"/>
        </w:rPr>
        <w:t>remedial</w:t>
      </w:r>
      <w:r>
        <w:rPr>
          <w:spacing w:val="-1"/>
          <w:vertAlign w:val="baseline"/>
        </w:rPr>
        <w:t> </w:t>
      </w:r>
      <w:r>
        <w:rPr>
          <w:vertAlign w:val="baseline"/>
        </w:rPr>
        <w:t>work</w:t>
      </w:r>
      <w:r>
        <w:rPr>
          <w:spacing w:val="-1"/>
          <w:vertAlign w:val="baseline"/>
        </w:rPr>
        <w:t> </w:t>
      </w:r>
      <w:r>
        <w:rPr>
          <w:vertAlign w:val="baseline"/>
        </w:rPr>
        <w:t>done</w:t>
      </w:r>
      <w:r>
        <w:rPr>
          <w:spacing w:val="-1"/>
          <w:vertAlign w:val="baseline"/>
        </w:rPr>
        <w:t> </w:t>
      </w:r>
      <w:r>
        <w:rPr>
          <w:vertAlign w:val="baseline"/>
        </w:rPr>
        <w:t>if,</w:t>
      </w:r>
      <w:r>
        <w:rPr>
          <w:spacing w:val="-1"/>
          <w:vertAlign w:val="baseline"/>
        </w:rPr>
        <w:t> </w:t>
      </w:r>
      <w:r>
        <w:rPr>
          <w:vertAlign w:val="baseline"/>
        </w:rPr>
        <w:t>in</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(or</w:t>
      </w:r>
      <w:r>
        <w:rPr>
          <w:spacing w:val="-1"/>
          <w:vertAlign w:val="baseline"/>
        </w:rPr>
        <w:t> </w:t>
      </w:r>
      <w:r>
        <w:rPr>
          <w:vertAlign w:val="baseline"/>
        </w:rPr>
        <w:t>was)</w:t>
      </w:r>
      <w:r>
        <w:rPr>
          <w:spacing w:val="-1"/>
          <w:vertAlign w:val="baseline"/>
        </w:rPr>
        <w:t> </w:t>
      </w:r>
      <w:r>
        <w:rPr>
          <w:vertAlign w:val="baseline"/>
        </w:rPr>
        <w:t>reasonable for him to insist on having the work done. </w:t>
      </w:r>
      <w:r>
        <w:rPr>
          <w:color w:val="005DA1"/>
          <w:u w:val="single" w:color="005DA1"/>
          <w:vertAlign w:val="superscript"/>
        </w:rPr>
        <w:t>220</w:t>
      </w:r>
      <w:r>
        <w:rPr>
          <w:color w:val="005DA1"/>
          <w:vertAlign w:val="baseline"/>
        </w:rPr>
        <w:t> </w:t>
      </w:r>
      <w:r>
        <w:rPr>
          <w:vertAlign w:val="baseline"/>
        </w:rPr>
        <w:t>Factors which are relevant to the issue of reasonableness include:</w:t>
      </w:r>
    </w:p>
    <w:p>
      <w:pPr>
        <w:pStyle w:val="BodyText"/>
      </w:pPr>
    </w:p>
    <w:p>
      <w:pPr>
        <w:pStyle w:val="BodyText"/>
        <w:spacing w:before="190"/>
      </w:pPr>
    </w:p>
    <w:p>
      <w:pPr>
        <w:pStyle w:val="BodyText"/>
        <w:ind w:left="165"/>
      </w:pPr>
      <w:r>
        <w:rPr>
          <w:spacing w:val="-5"/>
        </w:rPr>
        <w:t>(i)</w:t>
      </w:r>
    </w:p>
    <w:p>
      <w:pPr>
        <w:pStyle w:val="BodyText"/>
        <w:spacing w:before="110"/>
        <w:ind w:left="645"/>
      </w:pPr>
      <w:bookmarkStart w:name="_bookmark419" w:id="421"/>
      <w:bookmarkEnd w:id="421"/>
      <w:r>
        <w:rPr/>
      </w:r>
      <w:r>
        <w:rPr/>
        <w:t>the</w:t>
      </w:r>
      <w:r>
        <w:rPr>
          <w:spacing w:val="-3"/>
        </w:rPr>
        <w:t> </w:t>
      </w:r>
      <w:r>
        <w:rPr/>
        <w:t>claimant</w:t>
      </w:r>
      <w:r>
        <w:rPr>
          <w:spacing w:val="-2"/>
        </w:rPr>
        <w:t> </w:t>
      </w:r>
      <w:r>
        <w:rPr/>
        <w:t>has</w:t>
      </w:r>
      <w:r>
        <w:rPr>
          <w:spacing w:val="-2"/>
        </w:rPr>
        <w:t> </w:t>
      </w:r>
      <w:r>
        <w:rPr/>
        <w:t>actually</w:t>
      </w:r>
      <w:r>
        <w:rPr>
          <w:spacing w:val="-2"/>
        </w:rPr>
        <w:t> </w:t>
      </w:r>
      <w:r>
        <w:rPr/>
        <w:t>had</w:t>
      </w:r>
      <w:r>
        <w:rPr>
          <w:spacing w:val="-2"/>
        </w:rPr>
        <w:t> </w:t>
      </w:r>
      <w:r>
        <w:rPr/>
        <w:t>the</w:t>
      </w:r>
      <w:r>
        <w:rPr>
          <w:spacing w:val="-2"/>
        </w:rPr>
        <w:t> </w:t>
      </w:r>
      <w:r>
        <w:rPr/>
        <w:t>work</w:t>
      </w:r>
      <w:r>
        <w:rPr>
          <w:spacing w:val="-2"/>
        </w:rPr>
        <w:t> </w:t>
      </w:r>
      <w:r>
        <w:rPr/>
        <w:t>done</w:t>
      </w:r>
      <w:r>
        <w:rPr>
          <w:spacing w:val="-3"/>
        </w:rPr>
        <w:t> </w:t>
      </w:r>
      <w:r>
        <w:rPr>
          <w:color w:val="005DA1"/>
          <w:u w:val="single" w:color="005DA1"/>
          <w:vertAlign w:val="superscript"/>
        </w:rPr>
        <w:t>221</w:t>
      </w:r>
      <w:r>
        <w:rPr>
          <w:vertAlign w:val="baseline"/>
        </w:rPr>
        <w:t>;</w:t>
      </w:r>
      <w:r>
        <w:rPr>
          <w:spacing w:val="-2"/>
          <w:vertAlign w:val="baseline"/>
        </w:rPr>
        <w:t> </w:t>
      </w:r>
      <w:r>
        <w:rPr>
          <w:spacing w:val="-5"/>
          <w:vertAlign w:val="baseline"/>
        </w:rPr>
        <w:t>or</w:t>
      </w:r>
    </w:p>
    <w:p>
      <w:pPr>
        <w:pStyle w:val="BodyText"/>
      </w:pPr>
    </w:p>
    <w:p>
      <w:pPr>
        <w:pStyle w:val="BodyText"/>
        <w:spacing w:before="35"/>
      </w:pPr>
    </w:p>
    <w:p>
      <w:pPr>
        <w:pStyle w:val="BodyText"/>
        <w:ind w:left="164"/>
      </w:pPr>
      <w:r>
        <w:rPr>
          <w:spacing w:val="-4"/>
        </w:rPr>
        <w:t>(ii)</w:t>
      </w:r>
    </w:p>
    <w:p>
      <w:pPr>
        <w:pStyle w:val="BodyText"/>
        <w:spacing w:line="235" w:lineRule="auto" w:before="114"/>
        <w:ind w:left="645"/>
      </w:pPr>
      <w:bookmarkStart w:name="_bookmark420" w:id="422"/>
      <w:bookmarkEnd w:id="422"/>
      <w:r>
        <w:rPr/>
      </w:r>
      <w:bookmarkStart w:name="_bookmark421" w:id="423"/>
      <w:bookmarkEnd w:id="423"/>
      <w:r>
        <w:rPr/>
      </w:r>
      <w:r>
        <w:rPr/>
        <w:t>he</w:t>
      </w:r>
      <w:r>
        <w:rPr>
          <w:spacing w:val="40"/>
        </w:rPr>
        <w:t> </w:t>
      </w:r>
      <w:r>
        <w:rPr/>
        <w:t>undertakes</w:t>
      </w:r>
      <w:r>
        <w:rPr>
          <w:spacing w:val="40"/>
        </w:rPr>
        <w:t> </w:t>
      </w:r>
      <w:r>
        <w:rPr/>
        <w:t>to</w:t>
      </w:r>
      <w:r>
        <w:rPr>
          <w:spacing w:val="40"/>
        </w:rPr>
        <w:t> </w:t>
      </w:r>
      <w:r>
        <w:rPr/>
        <w:t>have</w:t>
      </w:r>
      <w:r>
        <w:rPr>
          <w:spacing w:val="40"/>
        </w:rPr>
        <w:t> </w:t>
      </w:r>
      <w:r>
        <w:rPr/>
        <w:t>it</w:t>
      </w:r>
      <w:r>
        <w:rPr>
          <w:spacing w:val="40"/>
        </w:rPr>
        <w:t> </w:t>
      </w:r>
      <w:r>
        <w:rPr/>
        <w:t>done</w:t>
      </w:r>
      <w:r>
        <w:rPr>
          <w:spacing w:val="40"/>
        </w:rPr>
        <w:t> </w:t>
      </w:r>
      <w:r>
        <w:rPr>
          <w:color w:val="005DA1"/>
          <w:u w:val="single" w:color="005DA1"/>
          <w:vertAlign w:val="superscript"/>
        </w:rPr>
        <w:t>222</w:t>
      </w:r>
      <w:r>
        <w:rPr>
          <w:color w:val="005DA1"/>
          <w:spacing w:val="40"/>
          <w:vertAlign w:val="baseline"/>
        </w:rPr>
        <w:t> </w:t>
      </w:r>
      <w:r>
        <w:rPr>
          <w:vertAlign w:val="baseline"/>
        </w:rPr>
        <w:t>(but</w:t>
      </w:r>
      <w:r>
        <w:rPr>
          <w:spacing w:val="40"/>
          <w:vertAlign w:val="baseline"/>
        </w:rPr>
        <w:t> </w:t>
      </w:r>
      <w:r>
        <w:rPr>
          <w:vertAlign w:val="baseline"/>
        </w:rPr>
        <w:t>such</w:t>
      </w:r>
      <w:r>
        <w:rPr>
          <w:spacing w:val="40"/>
          <w:vertAlign w:val="baseline"/>
        </w:rPr>
        <w:t> </w:t>
      </w:r>
      <w:r>
        <w:rPr>
          <w:vertAlign w:val="baseline"/>
        </w:rPr>
        <w:t>an</w:t>
      </w:r>
      <w:r>
        <w:rPr>
          <w:spacing w:val="40"/>
          <w:vertAlign w:val="baseline"/>
        </w:rPr>
        <w:t> </w:t>
      </w:r>
      <w:r>
        <w:rPr>
          <w:vertAlign w:val="baseline"/>
        </w:rPr>
        <w:t>undertaking</w:t>
      </w:r>
      <w:r>
        <w:rPr>
          <w:spacing w:val="40"/>
          <w:vertAlign w:val="baseline"/>
        </w:rPr>
        <w:t> </w:t>
      </w:r>
      <w:r>
        <w:rPr>
          <w:vertAlign w:val="baseline"/>
        </w:rPr>
        <w:t>will</w:t>
      </w:r>
      <w:r>
        <w:rPr>
          <w:spacing w:val="40"/>
          <w:vertAlign w:val="baseline"/>
        </w:rPr>
        <w:t> </w:t>
      </w:r>
      <w:r>
        <w:rPr>
          <w:vertAlign w:val="baseline"/>
        </w:rPr>
        <w:t>not,</w:t>
      </w:r>
      <w:r>
        <w:rPr>
          <w:spacing w:val="40"/>
          <w:vertAlign w:val="baseline"/>
        </w:rPr>
        <w:t> </w:t>
      </w:r>
      <w:r>
        <w:rPr>
          <w:vertAlign w:val="baseline"/>
        </w:rPr>
        <w:t>on</w:t>
      </w:r>
      <w:r>
        <w:rPr>
          <w:spacing w:val="40"/>
          <w:vertAlign w:val="baseline"/>
        </w:rPr>
        <w:t> </w:t>
      </w:r>
      <w:r>
        <w:rPr>
          <w:vertAlign w:val="baseline"/>
        </w:rPr>
        <w:t>its</w:t>
      </w:r>
      <w:r>
        <w:rPr>
          <w:spacing w:val="40"/>
          <w:vertAlign w:val="baseline"/>
        </w:rPr>
        <w:t> </w:t>
      </w:r>
      <w:r>
        <w:rPr>
          <w:vertAlign w:val="baseline"/>
        </w:rPr>
        <w:t>own,</w:t>
      </w:r>
      <w:r>
        <w:rPr>
          <w:spacing w:val="40"/>
          <w:vertAlign w:val="baseline"/>
        </w:rPr>
        <w:t> </w:t>
      </w:r>
      <w:r>
        <w:rPr>
          <w:vertAlign w:val="baseline"/>
        </w:rPr>
        <w:t>make</w:t>
      </w:r>
      <w:r>
        <w:rPr>
          <w:spacing w:val="40"/>
          <w:vertAlign w:val="baseline"/>
        </w:rPr>
        <w:t> </w:t>
      </w:r>
      <w:r>
        <w:rPr>
          <w:vertAlign w:val="baseline"/>
        </w:rPr>
        <w:t>it</w:t>
      </w:r>
      <w:r>
        <w:rPr>
          <w:spacing w:val="40"/>
          <w:vertAlign w:val="baseline"/>
        </w:rPr>
        <w:t> </w:t>
      </w:r>
      <w:r>
        <w:rPr>
          <w:vertAlign w:val="baseline"/>
        </w:rPr>
        <w:t>reasonable for the claimant to have it done </w:t>
      </w:r>
      <w:r>
        <w:rPr>
          <w:color w:val="005DA1"/>
          <w:u w:val="single" w:color="005DA1"/>
          <w:vertAlign w:val="superscript"/>
        </w:rPr>
        <w:t>223</w:t>
      </w:r>
      <w:r>
        <w:rPr>
          <w:vertAlign w:val="baseline"/>
        </w:rPr>
        <w:t>); or</w:t>
      </w:r>
    </w:p>
    <w:p>
      <w:pPr>
        <w:pStyle w:val="BodyText"/>
      </w:pPr>
    </w:p>
    <w:p>
      <w:pPr>
        <w:pStyle w:val="BodyText"/>
        <w:spacing w:before="35"/>
      </w:pPr>
    </w:p>
    <w:p>
      <w:pPr>
        <w:pStyle w:val="BodyText"/>
        <w:ind w:left="164"/>
      </w:pPr>
      <w:r>
        <w:rPr>
          <w:spacing w:val="-2"/>
        </w:rPr>
        <w:t>(iii)</w:t>
      </w:r>
    </w:p>
    <w:p>
      <w:pPr>
        <w:pStyle w:val="BodyText"/>
        <w:spacing w:line="235" w:lineRule="auto" w:before="114"/>
        <w:ind w:left="645" w:right="174"/>
      </w:pPr>
      <w:bookmarkStart w:name="_bookmark422" w:id="424"/>
      <w:bookmarkEnd w:id="424"/>
      <w:r>
        <w:rPr/>
      </w:r>
      <w:bookmarkStart w:name="_bookmark423" w:id="425"/>
      <w:bookmarkEnd w:id="425"/>
      <w:r>
        <w:rPr/>
      </w:r>
      <w:r>
        <w:rPr/>
        <w:t>he shows a “sufficient intention” to have the work done if he receives damages on this basis </w:t>
      </w:r>
      <w:r>
        <w:rPr>
          <w:color w:val="005DA1"/>
          <w:u w:val="single" w:color="005DA1"/>
          <w:vertAlign w:val="superscript"/>
        </w:rPr>
        <w:t>224</w:t>
      </w:r>
      <w:r>
        <w:rPr>
          <w:vertAlign w:val="baseline"/>
        </w:rPr>
        <w:t>: the claimant’s subjective intention is relevant. </w:t>
      </w:r>
      <w:r>
        <w:rPr>
          <w:color w:val="005DA1"/>
          <w:u w:val="single" w:color="005DA1"/>
          <w:vertAlign w:val="superscript"/>
        </w:rPr>
        <w:t>225</w:t>
      </w:r>
    </w:p>
    <w:p>
      <w:pPr>
        <w:pStyle w:val="BodyText"/>
        <w:rPr>
          <w:sz w:val="24"/>
        </w:rPr>
      </w:pPr>
    </w:p>
    <w:p>
      <w:pPr>
        <w:pStyle w:val="BodyText"/>
        <w:spacing w:before="199"/>
        <w:rPr>
          <w:sz w:val="24"/>
        </w:rPr>
      </w:pPr>
    </w:p>
    <w:p>
      <w:pPr>
        <w:spacing w:before="0"/>
        <w:ind w:left="165" w:right="0" w:firstLine="0"/>
        <w:jc w:val="left"/>
        <w:rPr>
          <w:rFonts w:ascii="Arial"/>
          <w:b/>
          <w:sz w:val="24"/>
        </w:rPr>
      </w:pPr>
      <w:r>
        <w:rPr>
          <w:rFonts w:ascii="Arial"/>
          <w:b/>
          <w:sz w:val="24"/>
        </w:rPr>
        <w:t>26-</w:t>
      </w:r>
      <w:r>
        <w:rPr>
          <w:rFonts w:ascii="Arial"/>
          <w:b/>
          <w:spacing w:val="-5"/>
          <w:sz w:val="24"/>
        </w:rPr>
        <w:t>037</w:t>
      </w:r>
    </w:p>
    <w:p>
      <w:pPr>
        <w:spacing w:after="0"/>
        <w:jc w:val="left"/>
        <w:rPr>
          <w:rFonts w:ascii="Arial"/>
          <w:b/>
          <w:sz w:val="24"/>
        </w:rPr>
        <w:sectPr>
          <w:headerReference w:type="default" r:id="rId18"/>
          <w:pgSz w:w="11900" w:h="16840"/>
          <w:pgMar w:header="971" w:footer="0" w:top="1300" w:bottom="280" w:left="1275" w:right="1275"/>
          <w:pgNumType w:start="1"/>
        </w:sectPr>
      </w:pPr>
    </w:p>
    <w:p>
      <w:pPr>
        <w:pStyle w:val="BodyText"/>
        <w:spacing w:line="235" w:lineRule="auto" w:before="210"/>
        <w:ind w:left="165" w:right="167"/>
        <w:jc w:val="both"/>
      </w:pPr>
      <w:bookmarkStart w:name="_bookmark424" w:id="426"/>
      <w:bookmarkEnd w:id="426"/>
      <w:r>
        <w:rPr/>
      </w:r>
      <w:r>
        <w:rPr/>
        <w:t>In </w:t>
      </w:r>
      <w:r>
        <w:rPr>
          <w:rFonts w:ascii="Arial"/>
          <w:i/>
        </w:rPr>
        <w:t>Ruxley Electronics and Construction Ltd v Forsyth</w:t>
      </w:r>
      <w:r>
        <w:rPr/>
        <w:t>, </w:t>
      </w:r>
      <w:r>
        <w:rPr>
          <w:color w:val="005DA1"/>
          <w:u w:val="single" w:color="005DA1"/>
          <w:vertAlign w:val="superscript"/>
        </w:rPr>
        <w:t>226</w:t>
      </w:r>
      <w:r>
        <w:rPr>
          <w:color w:val="005DA1"/>
          <w:vertAlign w:val="baseline"/>
        </w:rPr>
        <w:t> </w:t>
      </w:r>
      <w:r>
        <w:rPr>
          <w:vertAlign w:val="baseline"/>
        </w:rPr>
        <w:t>above, the House of Lords emphasised the </w:t>
      </w:r>
      <w:bookmarkStart w:name="_bookmark425" w:id="427"/>
      <w:bookmarkEnd w:id="427"/>
      <w:r>
        <w:rPr>
          <w:vertAlign w:val="baseline"/>
        </w:rPr>
        <w:t>role</w:t>
      </w:r>
      <w:r>
        <w:rPr>
          <w:vertAlign w:val="baseline"/>
        </w:rPr>
        <w:t> of reasonableness and held that where the cost of reinstatement was out of all proportion to the advantage</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gained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plaintiff</w:t>
      </w:r>
      <w:r>
        <w:rPr>
          <w:spacing w:val="-3"/>
          <w:vertAlign w:val="baseline"/>
        </w:rPr>
        <w:t> </w:t>
      </w:r>
      <w:r>
        <w:rPr>
          <w:vertAlign w:val="baseline"/>
        </w:rPr>
        <w:t>from</w:t>
      </w:r>
      <w:r>
        <w:rPr>
          <w:spacing w:val="-3"/>
          <w:vertAlign w:val="baseline"/>
        </w:rPr>
        <w:t> </w:t>
      </w:r>
      <w:r>
        <w:rPr>
          <w:vertAlign w:val="baseline"/>
        </w:rPr>
        <w:t>reinstatement,</w:t>
      </w:r>
      <w:r>
        <w:rPr>
          <w:spacing w:val="-4"/>
          <w:vertAlign w:val="baseline"/>
        </w:rPr>
        <w:t> </w:t>
      </w:r>
      <w:r>
        <w:rPr>
          <w:color w:val="005DA1"/>
          <w:u w:val="single" w:color="005DA1"/>
          <w:vertAlign w:val="superscript"/>
        </w:rPr>
        <w:t>227</w:t>
      </w:r>
      <w:r>
        <w:rPr>
          <w:color w:val="005DA1"/>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unreasonable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plaintiff to insist on it. In this case, a swimming pool was not built to the depth specified in the contract but</w:t>
      </w:r>
      <w:r>
        <w:rPr>
          <w:spacing w:val="80"/>
          <w:vertAlign w:val="baseline"/>
        </w:rPr>
        <w:t> </w:t>
      </w:r>
      <w:r>
        <w:rPr>
          <w:vertAlign w:val="baseline"/>
        </w:rPr>
        <w:t>was</w:t>
      </w:r>
      <w:r>
        <w:rPr>
          <w:spacing w:val="-1"/>
          <w:vertAlign w:val="baseline"/>
        </w:rPr>
        <w:t> </w:t>
      </w:r>
      <w:r>
        <w:rPr>
          <w:vertAlign w:val="baseline"/>
        </w:rPr>
        <w:t>sufficiently</w:t>
      </w:r>
      <w:r>
        <w:rPr>
          <w:spacing w:val="-1"/>
          <w:vertAlign w:val="baseline"/>
        </w:rPr>
        <w:t> </w:t>
      </w:r>
      <w:r>
        <w:rPr>
          <w:vertAlign w:val="baseline"/>
        </w:rPr>
        <w:t>deep</w:t>
      </w:r>
      <w:r>
        <w:rPr>
          <w:spacing w:val="-1"/>
          <w:vertAlign w:val="baseline"/>
        </w:rPr>
        <w:t> </w:t>
      </w:r>
      <w:r>
        <w:rPr>
          <w:vertAlign w:val="baseline"/>
        </w:rPr>
        <w:t>for</w:t>
      </w:r>
      <w:r>
        <w:rPr>
          <w:spacing w:val="-1"/>
          <w:vertAlign w:val="baseline"/>
        </w:rPr>
        <w:t> </w:t>
      </w:r>
      <w:r>
        <w:rPr>
          <w:vertAlign w:val="baseline"/>
        </w:rPr>
        <w:t>diving</w:t>
      </w:r>
      <w:r>
        <w:rPr>
          <w:spacing w:val="-1"/>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normal</w:t>
      </w:r>
      <w:r>
        <w:rPr>
          <w:spacing w:val="-1"/>
          <w:vertAlign w:val="baseline"/>
        </w:rPr>
        <w:t> </w:t>
      </w:r>
      <w:r>
        <w:rPr>
          <w:vertAlign w:val="baseline"/>
        </w:rPr>
        <w:t>standards</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market</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property was not reduced. It was held that it was unreasonable for the plaintiff to claim the cost of rebuilding</w:t>
      </w:r>
      <w:r>
        <w:rPr>
          <w:spacing w:val="40"/>
          <w:vertAlign w:val="baseline"/>
        </w:rPr>
        <w:t> </w:t>
      </w:r>
      <w:bookmarkStart w:name="_bookmark426" w:id="428"/>
      <w:bookmarkEnd w:id="428"/>
      <w:r>
        <w:rPr>
          <w:vertAlign w:val="baseline"/>
        </w:rPr>
        <w:t>the</w:t>
      </w:r>
      <w:r>
        <w:rPr>
          <w:spacing w:val="34"/>
          <w:vertAlign w:val="baseline"/>
        </w:rPr>
        <w:t> </w:t>
      </w:r>
      <w:r>
        <w:rPr>
          <w:vertAlign w:val="baseline"/>
        </w:rPr>
        <w:t>pool</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contractual</w:t>
      </w:r>
      <w:r>
        <w:rPr>
          <w:spacing w:val="34"/>
          <w:vertAlign w:val="baseline"/>
        </w:rPr>
        <w:t> </w:t>
      </w:r>
      <w:r>
        <w:rPr>
          <w:vertAlign w:val="baseline"/>
        </w:rPr>
        <w:t>specification.</w:t>
      </w:r>
      <w:r>
        <w:rPr>
          <w:spacing w:val="34"/>
          <w:vertAlign w:val="baseline"/>
        </w:rPr>
        <w:t> </w:t>
      </w:r>
      <w:r>
        <w:rPr>
          <w:vertAlign w:val="baseline"/>
        </w:rPr>
        <w:t>(However,</w:t>
      </w:r>
      <w:r>
        <w:rPr>
          <w:spacing w:val="34"/>
          <w:vertAlign w:val="baseline"/>
        </w:rPr>
        <w:t> </w:t>
      </w:r>
      <w:r>
        <w:rPr>
          <w:vertAlign w:val="baseline"/>
        </w:rPr>
        <w:t>the</w:t>
      </w:r>
      <w:r>
        <w:rPr>
          <w:spacing w:val="34"/>
          <w:vertAlign w:val="baseline"/>
        </w:rPr>
        <w:t> </w:t>
      </w:r>
      <w:r>
        <w:rPr>
          <w:vertAlign w:val="baseline"/>
        </w:rPr>
        <w:t>House</w:t>
      </w:r>
      <w:r>
        <w:rPr>
          <w:spacing w:val="34"/>
          <w:vertAlign w:val="baseline"/>
        </w:rPr>
        <w:t> </w:t>
      </w:r>
      <w:r>
        <w:rPr>
          <w:vertAlign w:val="baseline"/>
        </w:rPr>
        <w:t>of</w:t>
      </w:r>
      <w:r>
        <w:rPr>
          <w:spacing w:val="34"/>
          <w:vertAlign w:val="baseline"/>
        </w:rPr>
        <w:t> </w:t>
      </w:r>
      <w:r>
        <w:rPr>
          <w:vertAlign w:val="baseline"/>
        </w:rPr>
        <w:t>Lords</w:t>
      </w:r>
      <w:r>
        <w:rPr>
          <w:spacing w:val="34"/>
          <w:vertAlign w:val="baseline"/>
        </w:rPr>
        <w:t> </w:t>
      </w:r>
      <w:r>
        <w:rPr>
          <w:vertAlign w:val="baseline"/>
        </w:rPr>
        <w:t>did</w:t>
      </w:r>
      <w:r>
        <w:rPr>
          <w:spacing w:val="34"/>
          <w:vertAlign w:val="baseline"/>
        </w:rPr>
        <w:t> </w:t>
      </w:r>
      <w:r>
        <w:rPr>
          <w:vertAlign w:val="baseline"/>
        </w:rPr>
        <w:t>approve</w:t>
      </w:r>
      <w:r>
        <w:rPr>
          <w:spacing w:val="34"/>
          <w:vertAlign w:val="baseline"/>
        </w:rPr>
        <w:t> </w:t>
      </w:r>
      <w:r>
        <w:rPr>
          <w:vertAlign w:val="baseline"/>
        </w:rPr>
        <w:t>the</w:t>
      </w:r>
      <w:r>
        <w:rPr>
          <w:spacing w:val="34"/>
          <w:vertAlign w:val="baseline"/>
        </w:rPr>
        <w:t> </w:t>
      </w:r>
      <w:r>
        <w:rPr>
          <w:vertAlign w:val="baseline"/>
        </w:rPr>
        <w:t>award</w:t>
      </w:r>
      <w:r>
        <w:rPr>
          <w:spacing w:val="34"/>
          <w:vertAlign w:val="baseline"/>
        </w:rPr>
        <w:t> </w:t>
      </w:r>
      <w:r>
        <w:rPr>
          <w:spacing w:val="-7"/>
          <w:vertAlign w:val="baseline"/>
        </w:rPr>
        <w:t>of</w:t>
      </w:r>
    </w:p>
    <w:p>
      <w:pPr>
        <w:pStyle w:val="BodyText"/>
        <w:spacing w:line="235" w:lineRule="auto"/>
        <w:ind w:left="165" w:right="167"/>
        <w:jc w:val="both"/>
      </w:pPr>
      <w:r>
        <w:rPr/>
        <w:t>£2,500 as damages for loss of amenity or loss of consumer surplus.) </w:t>
      </w:r>
      <w:r>
        <w:rPr>
          <w:color w:val="005DA1"/>
          <w:u w:val="single" w:color="005DA1"/>
          <w:vertAlign w:val="superscript"/>
        </w:rPr>
        <w:t>228</w:t>
      </w:r>
      <w:r>
        <w:rPr>
          <w:color w:val="005DA1"/>
          <w:vertAlign w:val="baseline"/>
        </w:rPr>
        <w:t> </w:t>
      </w:r>
      <w:r>
        <w:rPr>
          <w:vertAlign w:val="baseline"/>
        </w:rPr>
        <w:t>But the courts have refused</w:t>
      </w:r>
      <w:r>
        <w:rPr>
          <w:spacing w:val="40"/>
          <w:vertAlign w:val="baseline"/>
        </w:rPr>
        <w:t> </w:t>
      </w:r>
      <w:bookmarkStart w:name="_bookmark427" w:id="429"/>
      <w:bookmarkEnd w:id="429"/>
      <w:r>
        <w:rPr>
          <w:vertAlign w:val="baseline"/>
        </w:rPr>
        <w:t>to</w:t>
      </w:r>
      <w:r>
        <w:rPr>
          <w:vertAlign w:val="baseline"/>
        </w:rPr>
        <w:t> assess damages at the cost of repairs where a surveyor negligently failed to report defects in </w:t>
      </w:r>
      <w:r>
        <w:rPr>
          <w:vertAlign w:val="baseline"/>
        </w:rPr>
        <w:t>a property purchased by the claimant in reliance on the report. </w:t>
      </w:r>
      <w:r>
        <w:rPr>
          <w:color w:val="005DA1"/>
          <w:u w:val="single" w:color="005DA1"/>
          <w:vertAlign w:val="superscript"/>
        </w:rPr>
        <w:t>229</w:t>
      </w:r>
    </w:p>
    <w:p>
      <w:pPr>
        <w:pStyle w:val="BodyText"/>
        <w:spacing w:before="78"/>
      </w:pPr>
    </w:p>
    <w:p>
      <w:pPr>
        <w:spacing w:before="0"/>
        <w:ind w:left="165" w:right="0" w:firstLine="0"/>
        <w:jc w:val="left"/>
        <w:rPr>
          <w:rFonts w:ascii="Arial"/>
          <w:b/>
          <w:sz w:val="24"/>
        </w:rPr>
      </w:pPr>
      <w:r>
        <w:rPr>
          <w:rFonts w:ascii="Arial"/>
          <w:b/>
          <w:sz w:val="24"/>
        </w:rPr>
        <w:t>26-</w:t>
      </w:r>
      <w:r>
        <w:rPr>
          <w:rFonts w:ascii="Arial"/>
          <w:b/>
          <w:spacing w:val="-5"/>
          <w:sz w:val="24"/>
        </w:rPr>
        <w:t>038</w:t>
      </w:r>
    </w:p>
    <w:p>
      <w:pPr>
        <w:pStyle w:val="BodyText"/>
        <w:spacing w:line="235" w:lineRule="auto" w:before="202"/>
        <w:ind w:left="165" w:right="167"/>
        <w:jc w:val="both"/>
      </w:pPr>
      <w:bookmarkStart w:name="_bookmark428" w:id="430"/>
      <w:bookmarkEnd w:id="430"/>
      <w:r>
        <w:rPr/>
      </w:r>
      <w:r>
        <w:rPr/>
        <w:t>The time at which the cost of repairs should be assessed is when it would have been reasonable for </w:t>
      </w:r>
      <w:bookmarkStart w:name="_bookmark429" w:id="431"/>
      <w:bookmarkEnd w:id="431"/>
      <w:r>
        <w:rPr/>
        <w:t>the</w:t>
      </w:r>
      <w:r>
        <w:rPr/>
        <w:t> claimant to begin repairs, </w:t>
      </w:r>
      <w:r>
        <w:rPr>
          <w:color w:val="005DA1"/>
          <w:u w:val="single" w:color="005DA1"/>
          <w:vertAlign w:val="superscript"/>
        </w:rPr>
        <w:t>230</w:t>
      </w:r>
      <w:r>
        <w:rPr>
          <w:color w:val="005DA1"/>
          <w:vertAlign w:val="baseline"/>
        </w:rPr>
        <w:t> </w:t>
      </w:r>
      <w:r>
        <w:rPr>
          <w:vertAlign w:val="baseline"/>
        </w:rPr>
        <w:t>which may be as late as the date of the hearing if the claimant </w:t>
      </w:r>
      <w:r>
        <w:rPr>
          <w:vertAlign w:val="baseline"/>
        </w:rPr>
        <w:t>was acting reasonably in not mitigating earlier. </w:t>
      </w:r>
      <w:r>
        <w:rPr>
          <w:color w:val="005DA1"/>
          <w:u w:val="single" w:color="005DA1"/>
          <w:vertAlign w:val="superscript"/>
        </w:rPr>
        <w:t>231</w:t>
      </w:r>
    </w:p>
    <w:p>
      <w:pPr>
        <w:pStyle w:val="BodyText"/>
      </w:pPr>
    </w:p>
    <w:p>
      <w:pPr>
        <w:pStyle w:val="BodyText"/>
        <w:spacing w:before="39"/>
      </w:pPr>
      <w:r>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186362</wp:posOffset>
                </wp:positionV>
                <wp:extent cx="572452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4207pt;width:450.75pt;height:.1pt;mso-position-horizontal-relative:page;mso-position-vertical-relative:paragraph;z-index:-15696384;mso-wrap-distance-left:0;mso-wrap-distance-right:0" id="docshape31"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rPr>
          <w:rFonts w:ascii="Arial" w:hAnsi="Arial"/>
          <w:i/>
        </w:rPr>
      </w:pPr>
      <w:bookmarkStart w:name="_bookmark430" w:id="432"/>
      <w:bookmarkEnd w:id="432"/>
      <w:r>
        <w:rPr/>
      </w:r>
      <w:hyperlink w:history="true" w:anchor="_bookmark415">
        <w:r>
          <w:rPr>
            <w:color w:val="005DA1"/>
            <w:position w:val="5"/>
            <w:sz w:val="14"/>
            <w:u w:val="single" w:color="005DA1"/>
          </w:rPr>
          <w:t>217</w:t>
        </w:r>
      </w:hyperlink>
      <w:r>
        <w:rPr>
          <w:position w:val="5"/>
          <w:sz w:val="14"/>
        </w:rPr>
        <w:t>.</w:t>
      </w:r>
      <w:r>
        <w:rPr>
          <w:spacing w:val="80"/>
          <w:position w:val="5"/>
          <w:sz w:val="14"/>
        </w:rPr>
        <w:t> </w:t>
      </w:r>
      <w:r>
        <w:rPr/>
        <w:t>In contrast, in tort cases in which a property has been damaged through the defendant’s negligence, the true measure of the claimant’s loss is the diminution in the value of </w:t>
      </w:r>
      <w:r>
        <w:rPr/>
        <w:t>the</w:t>
      </w:r>
      <w:r>
        <w:rPr>
          <w:spacing w:val="40"/>
        </w:rPr>
        <w:t> </w:t>
      </w:r>
      <w:r>
        <w:rPr/>
        <w:t>property, which should be pleaded as general damage; the cost of repairs is no more than evidence of the diminution in value and mitigation is not relevant: that loss cannot be mitigated by having the property repaired at a lower cost: </w:t>
      </w:r>
      <w:r>
        <w:rPr>
          <w:rFonts w:ascii="Arial" w:hAnsi="Arial"/>
          <w:i/>
        </w:rPr>
        <w:t>Coles v Hetherton [2013] EWCA Civ 1704, [2014]</w:t>
      </w:r>
      <w:r>
        <w:rPr>
          <w:rFonts w:ascii="Arial" w:hAnsi="Arial"/>
          <w:i/>
          <w:spacing w:val="23"/>
        </w:rPr>
        <w:t> </w:t>
      </w:r>
      <w:r>
        <w:rPr>
          <w:rFonts w:ascii="Arial" w:hAnsi="Arial"/>
          <w:i/>
        </w:rPr>
        <w:t>1</w:t>
      </w:r>
      <w:r>
        <w:rPr>
          <w:rFonts w:ascii="Arial" w:hAnsi="Arial"/>
          <w:i/>
          <w:spacing w:val="23"/>
        </w:rPr>
        <w:t> </w:t>
      </w:r>
      <w:r>
        <w:rPr>
          <w:rFonts w:ascii="Arial" w:hAnsi="Arial"/>
          <w:i/>
        </w:rPr>
        <w:t>W.L.R.</w:t>
      </w:r>
      <w:r>
        <w:rPr>
          <w:rFonts w:ascii="Arial" w:hAnsi="Arial"/>
          <w:i/>
          <w:spacing w:val="23"/>
        </w:rPr>
        <w:t> </w:t>
      </w:r>
      <w:r>
        <w:rPr>
          <w:rFonts w:ascii="Arial" w:hAnsi="Arial"/>
          <w:i/>
        </w:rPr>
        <w:t>60</w:t>
      </w:r>
      <w:r>
        <w:rPr>
          <w:rFonts w:ascii="Arial" w:hAnsi="Arial"/>
          <w:i/>
          <w:spacing w:val="23"/>
        </w:rPr>
        <w:t> </w:t>
      </w:r>
      <w:r>
        <w:rPr/>
        <w:t>at</w:t>
      </w:r>
      <w:r>
        <w:rPr>
          <w:spacing w:val="23"/>
        </w:rPr>
        <w:t> </w:t>
      </w:r>
      <w:r>
        <w:rPr/>
        <w:t>[28]–[29]</w:t>
      </w:r>
      <w:r>
        <w:rPr>
          <w:spacing w:val="23"/>
        </w:rPr>
        <w:t> </w:t>
      </w:r>
      <w:r>
        <w:rPr/>
        <w:t>and</w:t>
      </w:r>
      <w:r>
        <w:rPr>
          <w:spacing w:val="23"/>
        </w:rPr>
        <w:t> </w:t>
      </w:r>
      <w:r>
        <w:rPr/>
        <w:t>[31]</w:t>
      </w:r>
      <w:r>
        <w:rPr>
          <w:spacing w:val="23"/>
        </w:rPr>
        <w:t> </w:t>
      </w:r>
      <w:r>
        <w:rPr/>
        <w:t>(referring</w:t>
      </w:r>
      <w:r>
        <w:rPr>
          <w:spacing w:val="23"/>
        </w:rPr>
        <w:t> </w:t>
      </w:r>
      <w:r>
        <w:rPr/>
        <w:t>to</w:t>
      </w:r>
      <w:r>
        <w:rPr>
          <w:spacing w:val="23"/>
        </w:rPr>
        <w:t> </w:t>
      </w:r>
      <w:r>
        <w:rPr/>
        <w:t>Admiralty</w:t>
      </w:r>
      <w:r>
        <w:rPr>
          <w:spacing w:val="23"/>
        </w:rPr>
        <w:t> </w:t>
      </w:r>
      <w:r>
        <w:rPr/>
        <w:t>cases</w:t>
      </w:r>
      <w:r>
        <w:rPr>
          <w:spacing w:val="23"/>
        </w:rPr>
        <w:t> </w:t>
      </w:r>
      <w:r>
        <w:rPr/>
        <w:t>such</w:t>
      </w:r>
      <w:r>
        <w:rPr>
          <w:spacing w:val="23"/>
        </w:rPr>
        <w:t> </w:t>
      </w:r>
      <w:r>
        <w:rPr/>
        <w:t>as</w:t>
      </w:r>
      <w:r>
        <w:rPr>
          <w:spacing w:val="23"/>
        </w:rPr>
        <w:t> </w:t>
      </w:r>
      <w:r>
        <w:rPr>
          <w:rFonts w:ascii="Arial" w:hAnsi="Arial"/>
          <w:i/>
        </w:rPr>
        <w:t>The</w:t>
      </w:r>
      <w:r>
        <w:rPr>
          <w:rFonts w:ascii="Arial" w:hAnsi="Arial"/>
          <w:i/>
          <w:spacing w:val="23"/>
        </w:rPr>
        <w:t> </w:t>
      </w:r>
      <w:r>
        <w:rPr>
          <w:rFonts w:ascii="Arial" w:hAnsi="Arial"/>
          <w:i/>
          <w:spacing w:val="-2"/>
        </w:rPr>
        <w:t>Kingsway</w:t>
      </w:r>
    </w:p>
    <w:p>
      <w:pPr>
        <w:spacing w:line="224" w:lineRule="exact" w:before="0"/>
        <w:ind w:left="705" w:right="0" w:firstLine="0"/>
        <w:jc w:val="left"/>
        <w:rPr>
          <w:sz w:val="20"/>
        </w:rPr>
      </w:pPr>
      <w:r>
        <w:rPr>
          <w:rFonts w:ascii="Arial"/>
          <w:i/>
          <w:sz w:val="20"/>
        </w:rPr>
        <w:t>[1918] P. 344</w:t>
      </w:r>
      <w:r>
        <w:rPr>
          <w:rFonts w:ascii="Arial"/>
          <w:i/>
          <w:spacing w:val="-1"/>
          <w:sz w:val="20"/>
        </w:rPr>
        <w:t> </w:t>
      </w:r>
      <w:r>
        <w:rPr>
          <w:sz w:val="20"/>
        </w:rPr>
        <w:t>and also</w:t>
      </w:r>
      <w:r>
        <w:rPr>
          <w:spacing w:val="-1"/>
          <w:sz w:val="20"/>
        </w:rPr>
        <w:t> </w:t>
      </w:r>
      <w:r>
        <w:rPr>
          <w:rFonts w:ascii="Arial"/>
          <w:i/>
          <w:sz w:val="20"/>
        </w:rPr>
        <w:t>Dimond v Lovell [2002] 1 A.C. </w:t>
      </w:r>
      <w:r>
        <w:rPr>
          <w:rFonts w:ascii="Arial"/>
          <w:i/>
          <w:spacing w:val="-2"/>
          <w:sz w:val="20"/>
        </w:rPr>
        <w:t>384)</w:t>
      </w:r>
      <w:r>
        <w:rPr>
          <w:spacing w:val="-2"/>
          <w:sz w:val="20"/>
        </w:rPr>
        <w:t>.</w:t>
      </w:r>
    </w:p>
    <w:p>
      <w:pPr>
        <w:pStyle w:val="BodyText"/>
        <w:spacing w:before="8"/>
      </w:pPr>
    </w:p>
    <w:p>
      <w:pPr>
        <w:tabs>
          <w:tab w:pos="705" w:val="left" w:leader="none"/>
        </w:tabs>
        <w:spacing w:line="235" w:lineRule="auto" w:before="1"/>
        <w:ind w:left="705" w:right="174" w:hanging="541"/>
        <w:jc w:val="left"/>
        <w:rPr>
          <w:sz w:val="20"/>
        </w:rPr>
      </w:pPr>
      <w:bookmarkStart w:name="_bookmark431" w:id="433"/>
      <w:bookmarkEnd w:id="433"/>
      <w:r>
        <w:rPr/>
      </w:r>
      <w:hyperlink w:history="true" w:anchor="_bookmark416">
        <w:r>
          <w:rPr>
            <w:color w:val="005DA1"/>
            <w:spacing w:val="-4"/>
            <w:position w:val="5"/>
            <w:sz w:val="14"/>
            <w:u w:val="single" w:color="005DA1"/>
          </w:rPr>
          <w:t>218</w:t>
        </w:r>
      </w:hyperlink>
      <w:r>
        <w:rPr>
          <w:spacing w:val="-4"/>
          <w:position w:val="5"/>
          <w:sz w:val="14"/>
        </w:rPr>
        <w:t>.</w:t>
      </w:r>
      <w:r>
        <w:rPr>
          <w:position w:val="5"/>
          <w:sz w:val="14"/>
        </w:rPr>
        <w:tab/>
      </w:r>
      <w:r>
        <w:rPr>
          <w:sz w:val="20"/>
        </w:rPr>
        <w:t>The</w:t>
      </w:r>
      <w:r>
        <w:rPr>
          <w:spacing w:val="29"/>
          <w:sz w:val="20"/>
        </w:rPr>
        <w:t> </w:t>
      </w:r>
      <w:r>
        <w:rPr>
          <w:sz w:val="20"/>
        </w:rPr>
        <w:t>advantages</w:t>
      </w:r>
      <w:r>
        <w:rPr>
          <w:spacing w:val="29"/>
          <w:sz w:val="20"/>
        </w:rPr>
        <w:t> </w:t>
      </w:r>
      <w:r>
        <w:rPr>
          <w:sz w:val="20"/>
        </w:rPr>
        <w:t>of</w:t>
      </w:r>
      <w:r>
        <w:rPr>
          <w:spacing w:val="29"/>
          <w:sz w:val="20"/>
        </w:rPr>
        <w:t> </w:t>
      </w:r>
      <w:r>
        <w:rPr>
          <w:sz w:val="20"/>
        </w:rPr>
        <w:t>this</w:t>
      </w:r>
      <w:r>
        <w:rPr>
          <w:spacing w:val="29"/>
          <w:sz w:val="20"/>
        </w:rPr>
        <w:t> </w:t>
      </w:r>
      <w:r>
        <w:rPr>
          <w:sz w:val="20"/>
        </w:rPr>
        <w:t>remedy</w:t>
      </w:r>
      <w:r>
        <w:rPr>
          <w:spacing w:val="29"/>
          <w:sz w:val="20"/>
        </w:rPr>
        <w:t> </w:t>
      </w:r>
      <w:r>
        <w:rPr>
          <w:sz w:val="20"/>
        </w:rPr>
        <w:t>are</w:t>
      </w:r>
      <w:r>
        <w:rPr>
          <w:spacing w:val="29"/>
          <w:sz w:val="20"/>
        </w:rPr>
        <w:t> </w:t>
      </w:r>
      <w:r>
        <w:rPr>
          <w:sz w:val="20"/>
        </w:rPr>
        <w:t>reviewed</w:t>
      </w:r>
      <w:r>
        <w:rPr>
          <w:spacing w:val="29"/>
          <w:sz w:val="20"/>
        </w:rPr>
        <w:t> </w:t>
      </w:r>
      <w:r>
        <w:rPr>
          <w:sz w:val="20"/>
        </w:rPr>
        <w:t>by</w:t>
      </w:r>
      <w:r>
        <w:rPr>
          <w:spacing w:val="29"/>
          <w:sz w:val="20"/>
        </w:rPr>
        <w:t> </w:t>
      </w:r>
      <w:r>
        <w:rPr>
          <w:sz w:val="20"/>
        </w:rPr>
        <w:t>Harris,</w:t>
      </w:r>
      <w:r>
        <w:rPr>
          <w:spacing w:val="29"/>
          <w:sz w:val="20"/>
        </w:rPr>
        <w:t> </w:t>
      </w:r>
      <w:r>
        <w:rPr>
          <w:sz w:val="20"/>
        </w:rPr>
        <w:t>Campbell</w:t>
      </w:r>
      <w:r>
        <w:rPr>
          <w:spacing w:val="29"/>
          <w:sz w:val="20"/>
        </w:rPr>
        <w:t> </w:t>
      </w:r>
      <w:r>
        <w:rPr>
          <w:sz w:val="20"/>
        </w:rPr>
        <w:t>and</w:t>
      </w:r>
      <w:r>
        <w:rPr>
          <w:spacing w:val="29"/>
          <w:sz w:val="20"/>
        </w:rPr>
        <w:t> </w:t>
      </w:r>
      <w:r>
        <w:rPr>
          <w:sz w:val="20"/>
        </w:rPr>
        <w:t>Halson,</w:t>
      </w:r>
      <w:r>
        <w:rPr>
          <w:spacing w:val="28"/>
          <w:sz w:val="20"/>
        </w:rPr>
        <w:t> </w:t>
      </w:r>
      <w:r>
        <w:rPr>
          <w:rFonts w:ascii="Arial" w:hAnsi="Arial"/>
          <w:i/>
          <w:sz w:val="20"/>
        </w:rPr>
        <w:t>Remedies</w:t>
      </w:r>
      <w:r>
        <w:rPr>
          <w:rFonts w:ascii="Arial" w:hAnsi="Arial"/>
          <w:i/>
          <w:spacing w:val="29"/>
          <w:sz w:val="20"/>
        </w:rPr>
        <w:t> </w:t>
      </w:r>
      <w:r>
        <w:rPr>
          <w:rFonts w:ascii="Arial" w:hAnsi="Arial"/>
          <w:i/>
          <w:sz w:val="20"/>
        </w:rPr>
        <w:t>in Contract and Tort</w:t>
      </w:r>
      <w:r>
        <w:rPr>
          <w:sz w:val="20"/>
        </w:rPr>
        <w:t>, 2nd edn (2002), pp.210–216.</w:t>
      </w:r>
    </w:p>
    <w:p>
      <w:pPr>
        <w:pStyle w:val="BodyText"/>
        <w:spacing w:before="9"/>
      </w:pPr>
    </w:p>
    <w:p>
      <w:pPr>
        <w:spacing w:line="235" w:lineRule="auto" w:before="0"/>
        <w:ind w:left="705" w:right="167" w:hanging="541"/>
        <w:jc w:val="both"/>
        <w:rPr>
          <w:sz w:val="20"/>
        </w:rPr>
      </w:pPr>
      <w:bookmarkStart w:name="_bookmark432" w:id="434"/>
      <w:bookmarkEnd w:id="434"/>
      <w:r>
        <w:rPr/>
      </w:r>
      <w:hyperlink w:history="true" w:anchor="_bookmark417">
        <w:r>
          <w:rPr>
            <w:color w:val="005DA1"/>
            <w:position w:val="5"/>
            <w:sz w:val="14"/>
            <w:u w:val="single" w:color="005DA1"/>
          </w:rPr>
          <w:t>219</w:t>
        </w:r>
      </w:hyperlink>
      <w:r>
        <w:rPr>
          <w:position w:val="5"/>
          <w:sz w:val="14"/>
        </w:rPr>
        <w:t>.</w:t>
      </w:r>
      <w:r>
        <w:rPr>
          <w:spacing w:val="80"/>
          <w:w w:val="150"/>
          <w:position w:val="5"/>
          <w:sz w:val="14"/>
        </w:rPr>
        <w:t> </w:t>
      </w:r>
      <w:r>
        <w:rPr>
          <w:rFonts w:ascii="Arial"/>
          <w:i/>
          <w:sz w:val="20"/>
        </w:rPr>
        <w:t>Tito v Waddell (No.2) (The Ocean Island case) [1977] Ch. 106</w:t>
      </w:r>
      <w:r>
        <w:rPr>
          <w:sz w:val="20"/>
        </w:rPr>
        <w:t>. In appropriate </w:t>
      </w:r>
      <w:r>
        <w:rPr>
          <w:sz w:val="20"/>
        </w:rPr>
        <w:t>circumstances, damages may be awarded for loss of amenity, even the loss of a personal, subjective value in obtaining</w:t>
      </w:r>
      <w:r>
        <w:rPr>
          <w:spacing w:val="-3"/>
          <w:sz w:val="20"/>
        </w:rPr>
        <w:t> </w:t>
      </w:r>
      <w:r>
        <w:rPr>
          <w:sz w:val="20"/>
        </w:rPr>
        <w:t>the</w:t>
      </w:r>
      <w:r>
        <w:rPr>
          <w:spacing w:val="-3"/>
          <w:sz w:val="20"/>
        </w:rPr>
        <w:t> </w:t>
      </w:r>
      <w:r>
        <w:rPr>
          <w:sz w:val="20"/>
        </w:rPr>
        <w:t>benefit</w:t>
      </w:r>
      <w:r>
        <w:rPr>
          <w:spacing w:val="-3"/>
          <w:sz w:val="20"/>
        </w:rPr>
        <w:t> </w:t>
      </w:r>
      <w:r>
        <w:rPr>
          <w:sz w:val="20"/>
        </w:rPr>
        <w:t>of</w:t>
      </w:r>
      <w:r>
        <w:rPr>
          <w:spacing w:val="-3"/>
          <w:sz w:val="20"/>
        </w:rPr>
        <w:t> </w:t>
      </w:r>
      <w:r>
        <w:rPr>
          <w:sz w:val="20"/>
        </w:rPr>
        <w:t>performance.</w:t>
      </w:r>
      <w:r>
        <w:rPr>
          <w:spacing w:val="-3"/>
          <w:sz w:val="20"/>
        </w:rPr>
        <w:t> </w:t>
      </w:r>
      <w:r>
        <w:rPr>
          <w:sz w:val="20"/>
        </w:rPr>
        <w:t>Such</w:t>
      </w:r>
      <w:r>
        <w:rPr>
          <w:spacing w:val="-3"/>
          <w:sz w:val="20"/>
        </w:rPr>
        <w:t> </w:t>
      </w:r>
      <w:r>
        <w:rPr>
          <w:sz w:val="20"/>
        </w:rPr>
        <w:t>a</w:t>
      </w:r>
      <w:r>
        <w:rPr>
          <w:spacing w:val="-3"/>
          <w:sz w:val="20"/>
        </w:rPr>
        <w:t> </w:t>
      </w:r>
      <w:r>
        <w:rPr>
          <w:sz w:val="20"/>
        </w:rPr>
        <w:t>measure</w:t>
      </w:r>
      <w:r>
        <w:rPr>
          <w:spacing w:val="-3"/>
          <w:sz w:val="20"/>
        </w:rPr>
        <w:t> </w:t>
      </w:r>
      <w:r>
        <w:rPr>
          <w:sz w:val="20"/>
        </w:rPr>
        <w:t>will</w:t>
      </w:r>
      <w:r>
        <w:rPr>
          <w:spacing w:val="-3"/>
          <w:sz w:val="20"/>
        </w:rPr>
        <w:t> </w:t>
      </w:r>
      <w:r>
        <w:rPr>
          <w:sz w:val="20"/>
        </w:rPr>
        <w:t>fall</w:t>
      </w:r>
      <w:r>
        <w:rPr>
          <w:spacing w:val="-3"/>
          <w:sz w:val="20"/>
        </w:rPr>
        <w:t> </w:t>
      </w:r>
      <w:r>
        <w:rPr>
          <w:sz w:val="20"/>
        </w:rPr>
        <w:t>between</w:t>
      </w:r>
      <w:r>
        <w:rPr>
          <w:spacing w:val="-3"/>
          <w:sz w:val="20"/>
        </w:rPr>
        <w:t> </w:t>
      </w:r>
      <w:r>
        <w:rPr>
          <w:sz w:val="20"/>
        </w:rPr>
        <w:t>the</w:t>
      </w:r>
      <w:r>
        <w:rPr>
          <w:spacing w:val="-3"/>
          <w:sz w:val="20"/>
        </w:rPr>
        <w:t> </w:t>
      </w:r>
      <w:r>
        <w:rPr>
          <w:sz w:val="20"/>
        </w:rPr>
        <w:t>cost</w:t>
      </w:r>
      <w:r>
        <w:rPr>
          <w:spacing w:val="-3"/>
          <w:sz w:val="20"/>
        </w:rPr>
        <w:t> </w:t>
      </w:r>
      <w:r>
        <w:rPr>
          <w:sz w:val="20"/>
        </w:rPr>
        <w:t>of</w:t>
      </w:r>
      <w:r>
        <w:rPr>
          <w:spacing w:val="-3"/>
          <w:sz w:val="20"/>
        </w:rPr>
        <w:t> </w:t>
      </w:r>
      <w:r>
        <w:rPr>
          <w:sz w:val="20"/>
        </w:rPr>
        <w:t>reinstatement and the diminution in market value.</w:t>
      </w:r>
    </w:p>
    <w:p>
      <w:pPr>
        <w:pStyle w:val="BodyText"/>
        <w:spacing w:before="4"/>
      </w:pPr>
    </w:p>
    <w:p>
      <w:pPr>
        <w:tabs>
          <w:tab w:pos="705" w:val="left" w:leader="none"/>
        </w:tabs>
        <w:spacing w:line="227" w:lineRule="exact" w:before="1"/>
        <w:ind w:left="165" w:right="0" w:firstLine="0"/>
        <w:jc w:val="left"/>
        <w:rPr>
          <w:sz w:val="20"/>
        </w:rPr>
      </w:pPr>
      <w:bookmarkStart w:name="_bookmark433" w:id="435"/>
      <w:bookmarkEnd w:id="435"/>
      <w:r>
        <w:rPr/>
      </w:r>
      <w:hyperlink w:history="true" w:anchor="_bookmark418">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[1996]</w:t>
      </w:r>
      <w:r>
        <w:rPr>
          <w:rFonts w:ascii="Arial"/>
          <w:i/>
          <w:spacing w:val="27"/>
          <w:sz w:val="20"/>
        </w:rPr>
        <w:t> </w:t>
      </w:r>
      <w:r>
        <w:rPr>
          <w:rFonts w:ascii="Arial"/>
          <w:i/>
          <w:sz w:val="20"/>
        </w:rPr>
        <w:t>A.C.</w:t>
      </w:r>
      <w:r>
        <w:rPr>
          <w:rFonts w:ascii="Arial"/>
          <w:i/>
          <w:spacing w:val="27"/>
          <w:sz w:val="20"/>
        </w:rPr>
        <w:t> </w:t>
      </w:r>
      <w:r>
        <w:rPr>
          <w:rFonts w:ascii="Arial"/>
          <w:i/>
          <w:sz w:val="20"/>
        </w:rPr>
        <w:t>344</w:t>
      </w:r>
      <w:r>
        <w:rPr>
          <w:rFonts w:ascii="Arial"/>
          <w:i/>
          <w:spacing w:val="27"/>
          <w:sz w:val="20"/>
        </w:rPr>
        <w:t> </w:t>
      </w:r>
      <w:r>
        <w:rPr>
          <w:sz w:val="20"/>
        </w:rPr>
        <w:t>(see</w:t>
      </w:r>
      <w:r>
        <w:rPr>
          <w:spacing w:val="27"/>
          <w:sz w:val="20"/>
        </w:rPr>
        <w:t> </w:t>
      </w:r>
      <w:r>
        <w:rPr>
          <w:sz w:val="20"/>
        </w:rPr>
        <w:t>the</w:t>
      </w:r>
      <w:r>
        <w:rPr>
          <w:spacing w:val="27"/>
          <w:sz w:val="20"/>
        </w:rPr>
        <w:t> </w:t>
      </w:r>
      <w:r>
        <w:rPr>
          <w:sz w:val="20"/>
        </w:rPr>
        <w:t>comment</w:t>
      </w:r>
      <w:r>
        <w:rPr>
          <w:spacing w:val="27"/>
          <w:sz w:val="20"/>
        </w:rPr>
        <w:t> </w:t>
      </w:r>
      <w:r>
        <w:rPr>
          <w:sz w:val="20"/>
        </w:rPr>
        <w:t>by</w:t>
      </w:r>
      <w:r>
        <w:rPr>
          <w:spacing w:val="27"/>
          <w:sz w:val="20"/>
        </w:rPr>
        <w:t> </w:t>
      </w:r>
      <w:r>
        <w:rPr>
          <w:sz w:val="20"/>
        </w:rPr>
        <w:t>Poole</w:t>
      </w:r>
      <w:r>
        <w:rPr>
          <w:spacing w:val="27"/>
          <w:sz w:val="20"/>
        </w:rPr>
        <w:t> </w:t>
      </w:r>
      <w:r>
        <w:rPr>
          <w:sz w:val="20"/>
        </w:rPr>
        <w:t>(1996)</w:t>
      </w:r>
      <w:r>
        <w:rPr>
          <w:spacing w:val="27"/>
          <w:sz w:val="20"/>
        </w:rPr>
        <w:t> </w:t>
      </w:r>
      <w:r>
        <w:rPr>
          <w:sz w:val="20"/>
        </w:rPr>
        <w:t>59</w:t>
      </w:r>
      <w:r>
        <w:rPr>
          <w:spacing w:val="27"/>
          <w:sz w:val="20"/>
        </w:rPr>
        <w:t> </w:t>
      </w:r>
      <w:r>
        <w:rPr>
          <w:sz w:val="20"/>
        </w:rPr>
        <w:t>M.L.R.</w:t>
      </w:r>
      <w:r>
        <w:rPr>
          <w:spacing w:val="27"/>
          <w:sz w:val="20"/>
        </w:rPr>
        <w:t> </w:t>
      </w:r>
      <w:r>
        <w:rPr>
          <w:sz w:val="20"/>
        </w:rPr>
        <w:t>272;</w:t>
      </w:r>
      <w:r>
        <w:rPr>
          <w:spacing w:val="27"/>
          <w:sz w:val="20"/>
        </w:rPr>
        <w:t> </w:t>
      </w:r>
      <w:r>
        <w:rPr>
          <w:sz w:val="20"/>
        </w:rPr>
        <w:t>and</w:t>
      </w:r>
      <w:r>
        <w:rPr>
          <w:spacing w:val="27"/>
          <w:sz w:val="20"/>
        </w:rPr>
        <w:t> </w:t>
      </w:r>
      <w:r>
        <w:rPr>
          <w:sz w:val="20"/>
        </w:rPr>
        <w:t>Coote</w:t>
      </w:r>
      <w:r>
        <w:rPr>
          <w:spacing w:val="27"/>
          <w:sz w:val="20"/>
        </w:rPr>
        <w:t> </w:t>
      </w:r>
      <w:r>
        <w:rPr>
          <w:sz w:val="20"/>
        </w:rPr>
        <w:t>[1997]</w:t>
      </w:r>
      <w:r>
        <w:rPr>
          <w:spacing w:val="27"/>
          <w:sz w:val="20"/>
        </w:rPr>
        <w:t> </w:t>
      </w:r>
      <w:r>
        <w:rPr>
          <w:spacing w:val="-2"/>
          <w:sz w:val="20"/>
        </w:rPr>
        <w:t>C.L.J.</w:t>
      </w:r>
    </w:p>
    <w:p>
      <w:pPr>
        <w:spacing w:line="235" w:lineRule="auto" w:before="1"/>
        <w:ind w:left="705" w:right="168" w:firstLine="0"/>
        <w:jc w:val="both"/>
        <w:rPr>
          <w:rFonts w:ascii="Arial" w:hAnsi="Arial"/>
          <w:i/>
          <w:sz w:val="20"/>
        </w:rPr>
      </w:pPr>
      <w:r>
        <w:rPr>
          <w:sz w:val="20"/>
        </w:rPr>
        <w:t>537); </w:t>
      </w:r>
      <w:r>
        <w:rPr>
          <w:rFonts w:ascii="Arial" w:hAnsi="Arial"/>
          <w:i/>
          <w:sz w:val="20"/>
        </w:rPr>
        <w:t>Harbutt’s “Plasticine” Ltd v Wayne Tank and Pump Co [1970] 1 Q.B. 447, 473</w:t>
      </w:r>
      <w:r>
        <w:rPr>
          <w:sz w:val="20"/>
        </w:rPr>
        <w:t>. On the question of the reasonableness of substitute performance in building contracts, see </w:t>
      </w:r>
      <w:r>
        <w:rPr>
          <w:rFonts w:ascii="Arial" w:hAnsi="Arial"/>
          <w:i/>
          <w:sz w:val="20"/>
        </w:rPr>
        <w:t>East </w:t>
      </w:r>
      <w:r>
        <w:rPr>
          <w:rFonts w:ascii="Arial" w:hAnsi="Arial"/>
          <w:i/>
          <w:sz w:val="20"/>
        </w:rPr>
        <w:t>Ham Corp v Bernard Sunley &amp; Sons Ltd [1966] A.C. 406 </w:t>
      </w:r>
      <w:r>
        <w:rPr>
          <w:sz w:val="20"/>
        </w:rPr>
        <w:t>(repairs carried out promptly when defect discovered); </w:t>
      </w:r>
      <w:r>
        <w:rPr>
          <w:rFonts w:ascii="Arial" w:hAnsi="Arial"/>
          <w:i/>
          <w:sz w:val="20"/>
        </w:rPr>
        <w:t>Radford v De Froberville [1971] 1 W.L.R. 1262 </w:t>
      </w:r>
      <w:r>
        <w:rPr>
          <w:sz w:val="20"/>
        </w:rPr>
        <w:t>(commented on by Wallace in (1980)</w:t>
      </w:r>
      <w:r>
        <w:rPr>
          <w:spacing w:val="20"/>
          <w:sz w:val="20"/>
        </w:rPr>
        <w:t> </w:t>
      </w:r>
      <w:r>
        <w:rPr>
          <w:sz w:val="20"/>
        </w:rPr>
        <w:t>96</w:t>
      </w:r>
      <w:r>
        <w:rPr>
          <w:spacing w:val="20"/>
          <w:sz w:val="20"/>
        </w:rPr>
        <w:t> </w:t>
      </w:r>
      <w:r>
        <w:rPr>
          <w:sz w:val="20"/>
        </w:rPr>
        <w:t>L.Q.R.</w:t>
      </w:r>
      <w:r>
        <w:rPr>
          <w:spacing w:val="20"/>
          <w:sz w:val="20"/>
        </w:rPr>
        <w:t> </w:t>
      </w:r>
      <w:r>
        <w:rPr>
          <w:sz w:val="20"/>
        </w:rPr>
        <w:t>101,</w:t>
      </w:r>
      <w:r>
        <w:rPr>
          <w:spacing w:val="20"/>
          <w:sz w:val="20"/>
        </w:rPr>
        <w:t> </w:t>
      </w:r>
      <w:r>
        <w:rPr>
          <w:sz w:val="20"/>
        </w:rPr>
        <w:t>341);</w:t>
      </w:r>
      <w:r>
        <w:rPr>
          <w:spacing w:val="19"/>
          <w:sz w:val="20"/>
        </w:rPr>
        <w:t> </w:t>
      </w:r>
      <w:r>
        <w:rPr>
          <w:rFonts w:ascii="Arial" w:hAnsi="Arial"/>
          <w:i/>
          <w:sz w:val="20"/>
        </w:rPr>
        <w:t>Bevan</w:t>
      </w:r>
      <w:r>
        <w:rPr>
          <w:rFonts w:ascii="Arial" w:hAnsi="Arial"/>
          <w:i/>
          <w:spacing w:val="20"/>
          <w:sz w:val="20"/>
        </w:rPr>
        <w:t> </w:t>
      </w:r>
      <w:r>
        <w:rPr>
          <w:rFonts w:ascii="Arial" w:hAnsi="Arial"/>
          <w:i/>
          <w:sz w:val="20"/>
        </w:rPr>
        <w:t>Investments</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Blackhall</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Struthers</w:t>
      </w:r>
      <w:r>
        <w:rPr>
          <w:rFonts w:ascii="Arial" w:hAnsi="Arial"/>
          <w:i/>
          <w:spacing w:val="20"/>
          <w:sz w:val="20"/>
        </w:rPr>
        <w:t> </w:t>
      </w:r>
      <w:r>
        <w:rPr>
          <w:rFonts w:ascii="Arial" w:hAnsi="Arial"/>
          <w:i/>
          <w:sz w:val="20"/>
        </w:rPr>
        <w:t>(No.2)</w:t>
      </w:r>
      <w:r>
        <w:rPr>
          <w:rFonts w:ascii="Arial" w:hAnsi="Arial"/>
          <w:i/>
          <w:spacing w:val="20"/>
          <w:sz w:val="20"/>
        </w:rPr>
        <w:t> </w:t>
      </w:r>
      <w:r>
        <w:rPr>
          <w:rFonts w:ascii="Arial" w:hAnsi="Arial"/>
          <w:i/>
          <w:sz w:val="20"/>
        </w:rPr>
        <w:t>[1973]</w:t>
      </w:r>
      <w:r>
        <w:rPr>
          <w:rFonts w:ascii="Arial" w:hAnsi="Arial"/>
          <w:i/>
          <w:spacing w:val="20"/>
          <w:sz w:val="20"/>
        </w:rPr>
        <w:t> </w:t>
      </w:r>
      <w:r>
        <w:rPr>
          <w:rFonts w:ascii="Arial" w:hAnsi="Arial"/>
          <w:i/>
          <w:spacing w:val="-10"/>
          <w:sz w:val="20"/>
        </w:rPr>
        <w:t>2</w:t>
      </w:r>
    </w:p>
    <w:p>
      <w:pPr>
        <w:spacing w:line="224" w:lineRule="exact" w:before="0"/>
        <w:ind w:left="705" w:right="0" w:firstLine="0"/>
        <w:jc w:val="both"/>
        <w:rPr>
          <w:sz w:val="20"/>
        </w:rPr>
      </w:pPr>
      <w:r>
        <w:rPr>
          <w:rFonts w:ascii="Arial"/>
          <w:i/>
          <w:sz w:val="20"/>
        </w:rPr>
        <w:t>N.Z.L.R.</w:t>
      </w:r>
      <w:r>
        <w:rPr>
          <w:rFonts w:ascii="Arial"/>
          <w:i/>
          <w:spacing w:val="-1"/>
          <w:sz w:val="20"/>
        </w:rPr>
        <w:t> </w:t>
      </w:r>
      <w:r>
        <w:rPr>
          <w:rFonts w:ascii="Arial"/>
          <w:i/>
          <w:sz w:val="20"/>
        </w:rPr>
        <w:t>45; [1978] 2 N.Z.L.R. 97</w:t>
      </w:r>
      <w:r>
        <w:rPr>
          <w:sz w:val="20"/>
        </w:rPr>
        <w:t>; </w:t>
      </w:r>
      <w:r>
        <w:rPr>
          <w:rFonts w:ascii="Arial"/>
          <w:i/>
          <w:sz w:val="20"/>
        </w:rPr>
        <w:t>G.W. Atkins Ltd v Scott (1980) 7 Const. L.J. 215, </w:t>
      </w:r>
      <w:r>
        <w:rPr>
          <w:rFonts w:ascii="Arial"/>
          <w:i/>
          <w:spacing w:val="-5"/>
          <w:sz w:val="20"/>
        </w:rPr>
        <w:t>CA</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34" w:id="436"/>
      <w:bookmarkEnd w:id="436"/>
      <w:r>
        <w:rPr/>
      </w:r>
      <w:hyperlink w:history="true" w:anchor="_bookmark419">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Jones v Herxheimer [1950] 2 K.B. </w:t>
      </w:r>
      <w:r>
        <w:rPr>
          <w:rFonts w:ascii="Arial"/>
          <w:i/>
          <w:spacing w:val="-4"/>
          <w:sz w:val="20"/>
        </w:rPr>
        <w:t>106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5" w:id="437"/>
      <w:bookmarkEnd w:id="437"/>
      <w:r>
        <w:rPr/>
      </w:r>
      <w:hyperlink w:history="true" w:anchor="_bookmark420">
        <w:r>
          <w:rPr>
            <w:color w:val="005DA1"/>
            <w:spacing w:val="-4"/>
            <w:position w:val="5"/>
            <w:sz w:val="14"/>
            <w:u w:val="single" w:color="005DA1"/>
          </w:rPr>
          <w:t>222</w:t>
        </w:r>
      </w:hyperlink>
      <w:r>
        <w:rPr>
          <w:spacing w:val="-4"/>
          <w:position w:val="5"/>
          <w:sz w:val="14"/>
        </w:rPr>
        <w:t>.</w:t>
      </w:r>
      <w:r>
        <w:rPr>
          <w:position w:val="5"/>
          <w:sz w:val="14"/>
        </w:rPr>
        <w:tab/>
      </w:r>
      <w:r>
        <w:rPr>
          <w:sz w:val="20"/>
        </w:rPr>
        <w:t>The </w:t>
      </w:r>
      <w:r>
        <w:rPr>
          <w:rFonts w:ascii="Arial"/>
          <w:i/>
          <w:sz w:val="20"/>
        </w:rPr>
        <w:t>Ocean Island case [1977] Ch. 106, </w:t>
      </w:r>
      <w:r>
        <w:rPr>
          <w:rFonts w:ascii="Arial"/>
          <w:i/>
          <w:spacing w:val="-4"/>
          <w:sz w:val="20"/>
        </w:rPr>
        <w:t>333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421">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Ruxley Electronics and Construction Ltd v Forsyth [1996] A.C. 344, </w:t>
      </w:r>
      <w:r>
        <w:rPr>
          <w:rFonts w:ascii="Arial"/>
          <w:i/>
          <w:spacing w:val="-4"/>
          <w:sz w:val="20"/>
        </w:rPr>
        <w:t>373</w:t>
      </w:r>
      <w:r>
        <w:rPr>
          <w:spacing w:val="-4"/>
          <w:sz w:val="20"/>
        </w:rPr>
        <w:t>.</w:t>
      </w:r>
    </w:p>
    <w:p>
      <w:pPr>
        <w:pStyle w:val="BodyText"/>
        <w:spacing w:before="9"/>
      </w:pPr>
    </w:p>
    <w:p>
      <w:pPr>
        <w:spacing w:line="235" w:lineRule="auto" w:before="0"/>
        <w:ind w:left="705" w:right="167" w:hanging="541"/>
        <w:jc w:val="both"/>
        <w:rPr>
          <w:sz w:val="20"/>
        </w:rPr>
      </w:pPr>
      <w:bookmarkStart w:name="_bookmark437" w:id="439"/>
      <w:bookmarkEnd w:id="439"/>
      <w:r>
        <w:rPr/>
      </w:r>
      <w:hyperlink w:history="true" w:anchor="_bookmark422">
        <w:r>
          <w:rPr>
            <w:color w:val="005DA1"/>
            <w:position w:val="5"/>
            <w:sz w:val="14"/>
            <w:u w:val="single" w:color="005DA1"/>
          </w:rPr>
          <w:t>224</w:t>
        </w:r>
      </w:hyperlink>
      <w:r>
        <w:rPr>
          <w:position w:val="5"/>
          <w:sz w:val="14"/>
        </w:rPr>
        <w:t>.</w:t>
      </w:r>
      <w:r>
        <w:rPr>
          <w:spacing w:val="80"/>
          <w:w w:val="150"/>
          <w:position w:val="5"/>
          <w:sz w:val="14"/>
        </w:rPr>
        <w:t> </w:t>
      </w:r>
      <w:r>
        <w:rPr>
          <w:sz w:val="20"/>
        </w:rPr>
        <w:t>The </w:t>
      </w:r>
      <w:r>
        <w:rPr>
          <w:rFonts w:ascii="Arial" w:hAnsi="Arial"/>
          <w:i/>
          <w:sz w:val="20"/>
        </w:rPr>
        <w:t>Ocean Island case [1977] Ch. 106, 333</w:t>
      </w:r>
      <w:r>
        <w:rPr>
          <w:sz w:val="20"/>
        </w:rPr>
        <w:t>; </w:t>
      </w:r>
      <w:r>
        <w:rPr>
          <w:rFonts w:ascii="Arial" w:hAnsi="Arial"/>
          <w:i/>
          <w:sz w:val="20"/>
        </w:rPr>
        <w:t>Radford v De Froberville [1971] 1 W.L.R. 1262, 1269–1270</w:t>
      </w:r>
      <w:r>
        <w:rPr>
          <w:sz w:val="20"/>
        </w:rPr>
        <w:t>; cf. the tort case of </w:t>
      </w:r>
      <w:r>
        <w:rPr>
          <w:rFonts w:ascii="Arial" w:hAnsi="Arial"/>
          <w:i/>
          <w:sz w:val="20"/>
        </w:rPr>
        <w:t>Dodd Properties Ltd v Canterbury City Council [1980] 1 </w:t>
      </w:r>
      <w:r>
        <w:rPr>
          <w:rFonts w:ascii="Arial" w:hAnsi="Arial"/>
          <w:i/>
          <w:sz w:val="20"/>
        </w:rPr>
        <w:t>W.L.R. </w:t>
      </w:r>
      <w:r>
        <w:rPr>
          <w:rFonts w:ascii="Arial" w:hAnsi="Arial"/>
          <w:i/>
          <w:spacing w:val="-4"/>
          <w:sz w:val="20"/>
        </w:rPr>
        <w:t>433</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438" w:id="440"/>
      <w:bookmarkEnd w:id="440"/>
      <w:r>
        <w:rPr/>
      </w:r>
      <w:hyperlink w:history="true" w:anchor="_bookmark423">
        <w:r>
          <w:rPr>
            <w:color w:val="005DA1"/>
            <w:spacing w:val="-4"/>
            <w:position w:val="5"/>
            <w:sz w:val="14"/>
            <w:u w:val="single" w:color="005DA1"/>
          </w:rPr>
          <w:t>225</w:t>
        </w:r>
      </w:hyperlink>
      <w:r>
        <w:rPr>
          <w:spacing w:val="-4"/>
          <w:position w:val="5"/>
          <w:sz w:val="14"/>
        </w:rPr>
        <w:t>.</w:t>
      </w:r>
      <w:r>
        <w:rPr>
          <w:position w:val="5"/>
          <w:sz w:val="14"/>
        </w:rPr>
        <w:tab/>
      </w:r>
      <w:r>
        <w:rPr>
          <w:sz w:val="20"/>
        </w:rPr>
        <w:t>The</w:t>
      </w:r>
      <w:r>
        <w:rPr>
          <w:spacing w:val="7"/>
          <w:sz w:val="20"/>
        </w:rPr>
        <w:t> </w:t>
      </w:r>
      <w:r>
        <w:rPr>
          <w:rFonts w:ascii="Arial" w:hAnsi="Arial"/>
          <w:i/>
          <w:sz w:val="20"/>
        </w:rPr>
        <w:t>Ruxley</w:t>
      </w:r>
      <w:r>
        <w:rPr>
          <w:rFonts w:ascii="Arial" w:hAnsi="Arial"/>
          <w:i/>
          <w:spacing w:val="8"/>
          <w:sz w:val="20"/>
        </w:rPr>
        <w:t> </w:t>
      </w:r>
      <w:r>
        <w:rPr>
          <w:rFonts w:ascii="Arial" w:hAnsi="Arial"/>
          <w:i/>
          <w:sz w:val="20"/>
        </w:rPr>
        <w:t>Electronics</w:t>
      </w:r>
      <w:r>
        <w:rPr>
          <w:rFonts w:ascii="Arial" w:hAnsi="Arial"/>
          <w:i/>
          <w:spacing w:val="8"/>
          <w:sz w:val="20"/>
        </w:rPr>
        <w:t> </w:t>
      </w:r>
      <w:r>
        <w:rPr>
          <w:rFonts w:ascii="Arial" w:hAnsi="Arial"/>
          <w:i/>
          <w:sz w:val="20"/>
        </w:rPr>
        <w:t>case</w:t>
      </w:r>
      <w:r>
        <w:rPr>
          <w:rFonts w:ascii="Arial" w:hAnsi="Arial"/>
          <w:i/>
          <w:spacing w:val="8"/>
          <w:sz w:val="20"/>
        </w:rPr>
        <w:t> </w:t>
      </w:r>
      <w:r>
        <w:rPr>
          <w:rFonts w:ascii="Arial" w:hAnsi="Arial"/>
          <w:i/>
          <w:sz w:val="20"/>
        </w:rPr>
        <w:t>[1996]</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344,</w:t>
      </w:r>
      <w:r>
        <w:rPr>
          <w:rFonts w:ascii="Arial" w:hAnsi="Arial"/>
          <w:i/>
          <w:spacing w:val="8"/>
          <w:sz w:val="20"/>
        </w:rPr>
        <w:t> </w:t>
      </w:r>
      <w:r>
        <w:rPr>
          <w:rFonts w:ascii="Arial" w:hAnsi="Arial"/>
          <w:i/>
          <w:sz w:val="20"/>
        </w:rPr>
        <w:t>359,</w:t>
      </w:r>
      <w:r>
        <w:rPr>
          <w:rFonts w:ascii="Arial" w:hAnsi="Arial"/>
          <w:i/>
          <w:spacing w:val="8"/>
          <w:sz w:val="20"/>
        </w:rPr>
        <w:t> </w:t>
      </w:r>
      <w:r>
        <w:rPr>
          <w:rFonts w:ascii="Arial" w:hAnsi="Arial"/>
          <w:i/>
          <w:sz w:val="20"/>
        </w:rPr>
        <w:t>372–373</w:t>
      </w:r>
      <w:r>
        <w:rPr>
          <w:sz w:val="20"/>
        </w:rPr>
        <w:t>.</w:t>
      </w:r>
      <w:r>
        <w:rPr>
          <w:spacing w:val="8"/>
          <w:sz w:val="20"/>
        </w:rPr>
        <w:t> </w:t>
      </w:r>
      <w:r>
        <w:rPr>
          <w:sz w:val="20"/>
        </w:rPr>
        <w:t>The</w:t>
      </w:r>
      <w:r>
        <w:rPr>
          <w:spacing w:val="8"/>
          <w:sz w:val="20"/>
        </w:rPr>
        <w:t> </w:t>
      </w:r>
      <w:r>
        <w:rPr>
          <w:sz w:val="20"/>
        </w:rPr>
        <w:t>principles</w:t>
      </w:r>
      <w:r>
        <w:rPr>
          <w:spacing w:val="8"/>
          <w:sz w:val="20"/>
        </w:rPr>
        <w:t> </w:t>
      </w:r>
      <w:r>
        <w:rPr>
          <w:sz w:val="20"/>
        </w:rPr>
        <w:t>are</w:t>
      </w:r>
      <w:r>
        <w:rPr>
          <w:spacing w:val="8"/>
          <w:sz w:val="20"/>
        </w:rPr>
        <w:t> </w:t>
      </w:r>
      <w:r>
        <w:rPr>
          <w:sz w:val="20"/>
        </w:rPr>
        <w:t>summarised</w:t>
      </w:r>
      <w:r>
        <w:rPr>
          <w:spacing w:val="8"/>
          <w:sz w:val="20"/>
        </w:rPr>
        <w:t> </w:t>
      </w:r>
      <w:r>
        <w:rPr>
          <w:spacing w:val="-5"/>
          <w:sz w:val="20"/>
        </w:rPr>
        <w:t>in</w:t>
      </w:r>
    </w:p>
    <w:p>
      <w:pPr>
        <w:spacing w:line="235" w:lineRule="auto" w:before="1"/>
        <w:ind w:left="705" w:right="0" w:firstLine="0"/>
        <w:jc w:val="left"/>
        <w:rPr>
          <w:sz w:val="20"/>
        </w:rPr>
      </w:pPr>
      <w:r>
        <w:rPr>
          <w:rFonts w:ascii="Arial"/>
          <w:i/>
          <w:sz w:val="20"/>
        </w:rPr>
        <w:t>Harrison v Shepherd Homes Ltd [2011] EWHC 1811 (TCC), (2011) 27 Const. L.J. 709 at [263] (Ramsey J.) (affirmed [2012] EWCA Civ 904</w:t>
      </w:r>
      <w:r>
        <w:rPr>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439" w:id="441"/>
      <w:bookmarkEnd w:id="441"/>
      <w:r>
        <w:rPr/>
      </w:r>
      <w:hyperlink w:history="true" w:anchor="_bookmark424">
        <w:r>
          <w:rPr>
            <w:color w:val="005DA1"/>
            <w:spacing w:val="-4"/>
            <w:position w:val="5"/>
            <w:sz w:val="14"/>
            <w:u w:val="single" w:color="005DA1"/>
          </w:rPr>
          <w:t>226</w:t>
        </w:r>
      </w:hyperlink>
      <w:r>
        <w:rPr>
          <w:spacing w:val="-4"/>
          <w:position w:val="5"/>
          <w:sz w:val="14"/>
        </w:rPr>
        <w:t>.</w:t>
      </w:r>
      <w:r>
        <w:rPr>
          <w:position w:val="5"/>
          <w:sz w:val="14"/>
        </w:rPr>
        <w:tab/>
      </w:r>
      <w:r>
        <w:rPr>
          <w:rFonts w:ascii="Arial" w:hAnsi="Arial"/>
          <w:i/>
          <w:sz w:val="20"/>
        </w:rPr>
        <w:t>[1996] A.C. 344</w:t>
      </w:r>
      <w:r>
        <w:rPr>
          <w:sz w:val="20"/>
        </w:rPr>
        <w:t>. For an application of the case see </w:t>
      </w:r>
      <w:r>
        <w:rPr>
          <w:rFonts w:ascii="Arial" w:hAnsi="Arial"/>
          <w:i/>
          <w:sz w:val="20"/>
        </w:rPr>
        <w:t>Sunrock Aircraft Corp Ltd v </w:t>
      </w:r>
      <w:r>
        <w:rPr>
          <w:rFonts w:ascii="Arial" w:hAnsi="Arial"/>
          <w:i/>
          <w:sz w:val="20"/>
        </w:rPr>
        <w:t>Scandinavian</w:t>
      </w:r>
      <w:r>
        <w:rPr>
          <w:rFonts w:ascii="Arial" w:hAnsi="Arial"/>
          <w:i/>
          <w:spacing w:val="40"/>
          <w:sz w:val="20"/>
        </w:rPr>
        <w:t> </w:t>
      </w:r>
      <w:r>
        <w:rPr>
          <w:rFonts w:ascii="Arial" w:hAnsi="Arial"/>
          <w:i/>
          <w:sz w:val="20"/>
        </w:rPr>
        <w:t>Airlines System Denmark-Norway-Sweden [2007] EWCA Civ 882, [2007] 2 Lloyd’s Rep. 612</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bookmarkStart w:name="_bookmark440" w:id="442"/>
      <w:bookmarkEnd w:id="442"/>
      <w:r>
        <w:rPr/>
      </w:r>
      <w:hyperlink w:history="true" w:anchor="_bookmark425">
        <w:r>
          <w:rPr>
            <w:color w:val="005DA1"/>
            <w:position w:val="5"/>
            <w:sz w:val="14"/>
            <w:u w:val="single" w:color="005DA1"/>
          </w:rPr>
          <w:t>227</w:t>
        </w:r>
      </w:hyperlink>
      <w:r>
        <w:rPr>
          <w:position w:val="5"/>
          <w:sz w:val="14"/>
        </w:rPr>
        <w:t>.</w:t>
      </w:r>
      <w:r>
        <w:rPr>
          <w:spacing w:val="80"/>
          <w:position w:val="5"/>
          <w:sz w:val="14"/>
        </w:rPr>
        <w:t>  </w:t>
      </w:r>
      <w:r>
        <w:rPr>
          <w:sz w:val="20"/>
        </w:rPr>
        <w:t>On</w:t>
      </w:r>
      <w:r>
        <w:rPr>
          <w:spacing w:val="-2"/>
          <w:sz w:val="20"/>
        </w:rPr>
        <w:t> </w:t>
      </w:r>
      <w:r>
        <w:rPr>
          <w:sz w:val="20"/>
        </w:rPr>
        <w:t>the</w:t>
      </w:r>
      <w:r>
        <w:rPr>
          <w:spacing w:val="-2"/>
          <w:sz w:val="20"/>
        </w:rPr>
        <w:t> </w:t>
      </w:r>
      <w:r>
        <w:rPr>
          <w:sz w:val="20"/>
        </w:rPr>
        <w:t>question</w:t>
      </w:r>
      <w:r>
        <w:rPr>
          <w:spacing w:val="-2"/>
          <w:sz w:val="20"/>
        </w:rPr>
        <w:t> </w:t>
      </w:r>
      <w:r>
        <w:rPr>
          <w:sz w:val="20"/>
        </w:rPr>
        <w:t>whether</w:t>
      </w:r>
      <w:r>
        <w:rPr>
          <w:spacing w:val="-2"/>
          <w:sz w:val="20"/>
        </w:rPr>
        <w:t> </w:t>
      </w:r>
      <w:r>
        <w:rPr>
          <w:sz w:val="20"/>
        </w:rPr>
        <w:t>the</w:t>
      </w:r>
      <w:r>
        <w:rPr>
          <w:spacing w:val="-2"/>
          <w:sz w:val="20"/>
        </w:rPr>
        <w:t> </w:t>
      </w:r>
      <w:r>
        <w:rPr>
          <w:sz w:val="20"/>
        </w:rPr>
        <w:t>“cost</w:t>
      </w:r>
      <w:r>
        <w:rPr>
          <w:spacing w:val="-2"/>
          <w:sz w:val="20"/>
        </w:rPr>
        <w:t> </w:t>
      </w:r>
      <w:r>
        <w:rPr>
          <w:sz w:val="20"/>
        </w:rPr>
        <w:t>of</w:t>
      </w:r>
      <w:r>
        <w:rPr>
          <w:spacing w:val="-2"/>
          <w:sz w:val="20"/>
        </w:rPr>
        <w:t> </w:t>
      </w:r>
      <w:r>
        <w:rPr>
          <w:sz w:val="20"/>
        </w:rPr>
        <w:t>cure”</w:t>
      </w:r>
      <w:r>
        <w:rPr>
          <w:spacing w:val="-2"/>
          <w:sz w:val="20"/>
        </w:rPr>
        <w:t> </w:t>
      </w:r>
      <w:r>
        <w:rPr>
          <w:sz w:val="20"/>
        </w:rPr>
        <w:t>is</w:t>
      </w:r>
      <w:r>
        <w:rPr>
          <w:spacing w:val="-2"/>
          <w:sz w:val="20"/>
        </w:rPr>
        <w:t> </w:t>
      </w:r>
      <w:r>
        <w:rPr>
          <w:sz w:val="20"/>
        </w:rPr>
        <w:t>disproportionate</w:t>
      </w:r>
      <w:r>
        <w:rPr>
          <w:spacing w:val="-2"/>
          <w:sz w:val="20"/>
        </w:rPr>
        <w:t> </w:t>
      </w:r>
      <w:r>
        <w:rPr>
          <w:sz w:val="20"/>
        </w:rPr>
        <w:t>to</w:t>
      </w:r>
      <w:r>
        <w:rPr>
          <w:spacing w:val="-2"/>
          <w:sz w:val="20"/>
        </w:rPr>
        <w:t> </w:t>
      </w:r>
      <w:r>
        <w:rPr>
          <w:sz w:val="20"/>
        </w:rPr>
        <w:t>the</w:t>
      </w:r>
      <w:r>
        <w:rPr>
          <w:spacing w:val="-2"/>
          <w:sz w:val="20"/>
        </w:rPr>
        <w:t> </w:t>
      </w:r>
      <w:r>
        <w:rPr>
          <w:sz w:val="20"/>
        </w:rPr>
        <w:t>benefit,</w:t>
      </w:r>
      <w:r>
        <w:rPr>
          <w:spacing w:val="-2"/>
          <w:sz w:val="20"/>
        </w:rPr>
        <w:t> </w:t>
      </w:r>
      <w:r>
        <w:rPr>
          <w:sz w:val="20"/>
        </w:rPr>
        <w:t>see</w:t>
      </w:r>
      <w:r>
        <w:rPr>
          <w:spacing w:val="-2"/>
          <w:sz w:val="20"/>
        </w:rPr>
        <w:t> </w:t>
      </w:r>
      <w:r>
        <w:rPr>
          <w:rFonts w:ascii="Arial" w:hAnsi="Arial"/>
          <w:i/>
          <w:sz w:val="20"/>
        </w:rPr>
        <w:t>Channel</w:t>
      </w:r>
      <w:r>
        <w:rPr>
          <w:rFonts w:ascii="Arial" w:hAnsi="Arial"/>
          <w:i/>
          <w:spacing w:val="-2"/>
          <w:sz w:val="20"/>
        </w:rPr>
        <w:t> </w:t>
      </w:r>
      <w:r>
        <w:rPr>
          <w:rFonts w:ascii="Arial" w:hAnsi="Arial"/>
          <w:i/>
          <w:sz w:val="20"/>
        </w:rPr>
        <w:t>Island Ferries Ltd v Cenargo Navigation Ltd (The Rozel) [1994] 2 Lloyd’s Rep. 161</w:t>
      </w:r>
      <w:r>
        <w:rPr>
          <w:sz w:val="20"/>
        </w:rPr>
        <w:t>; cf. the use of reasonableness to decide whether the owner of a chattel damaged by negligence (tort) was entitled to the cost of replacing it rather than its market value: </w:t>
      </w:r>
      <w:r>
        <w:rPr>
          <w:rFonts w:ascii="Arial" w:hAnsi="Arial"/>
          <w:i/>
          <w:sz w:val="20"/>
        </w:rPr>
        <w:t>Southampton Container</w:t>
      </w:r>
      <w:r>
        <w:rPr>
          <w:rFonts w:ascii="Arial" w:hAnsi="Arial"/>
          <w:i/>
          <w:spacing w:val="40"/>
          <w:sz w:val="20"/>
        </w:rPr>
        <w:t> </w:t>
      </w:r>
      <w:r>
        <w:rPr>
          <w:rFonts w:ascii="Arial" w:hAnsi="Arial"/>
          <w:i/>
          <w:sz w:val="20"/>
        </w:rPr>
        <w:t>Terminals Ltd v Hansa Schiffahrts GmbH (The Maersk Colombo) [2001] EWCA Civ 717, </w:t>
      </w:r>
      <w:r>
        <w:rPr>
          <w:rFonts w:ascii="Arial" w:hAnsi="Arial"/>
          <w:i/>
          <w:sz w:val="20"/>
        </w:rPr>
        <w:t>[2001] 2 Lloyd’s Rep. 275</w:t>
      </w:r>
      <w:r>
        <w:rPr>
          <w:sz w:val="20"/>
        </w:rPr>
        <w:t>.</w:t>
      </w:r>
    </w:p>
    <w:p>
      <w:pPr>
        <w:pStyle w:val="BodyText"/>
        <w:spacing w:before="4"/>
      </w:pPr>
    </w:p>
    <w:p>
      <w:pPr>
        <w:pStyle w:val="BodyText"/>
        <w:tabs>
          <w:tab w:pos="705" w:val="left" w:leader="none"/>
        </w:tabs>
        <w:ind w:left="165"/>
      </w:pPr>
      <w:bookmarkStart w:name="_bookmark441" w:id="443"/>
      <w:bookmarkEnd w:id="443"/>
      <w:r>
        <w:rPr/>
      </w:r>
      <w:hyperlink w:history="true" w:anchor="_bookmark426">
        <w:r>
          <w:rPr>
            <w:color w:val="005DA1"/>
            <w:spacing w:val="-4"/>
            <w:position w:val="5"/>
            <w:sz w:val="14"/>
            <w:u w:val="single" w:color="005DA1"/>
          </w:rPr>
          <w:t>228</w:t>
        </w:r>
      </w:hyperlink>
      <w:r>
        <w:rPr>
          <w:spacing w:val="-4"/>
          <w:position w:val="5"/>
          <w:sz w:val="14"/>
        </w:rPr>
        <w:t>.</w:t>
      </w:r>
      <w:r>
        <w:rPr>
          <w:position w:val="5"/>
          <w:sz w:val="14"/>
        </w:rPr>
        <w:tab/>
      </w:r>
      <w:r>
        <w:rPr/>
        <w:t>See</w:t>
      </w:r>
      <w:r>
        <w:rPr>
          <w:spacing w:val="-2"/>
        </w:rPr>
        <w:t> </w:t>
      </w:r>
      <w:r>
        <w:rPr/>
        <w:t>below, para.26-</w:t>
      </w:r>
      <w:r>
        <w:rPr>
          <w:spacing w:val="-4"/>
        </w:rPr>
        <w:t>145.</w:t>
      </w:r>
    </w:p>
    <w:p>
      <w:pPr>
        <w:pStyle w:val="BodyText"/>
        <w:spacing w:before="5"/>
      </w:pPr>
    </w:p>
    <w:p>
      <w:pPr>
        <w:pStyle w:val="BodyText"/>
        <w:tabs>
          <w:tab w:pos="705" w:val="left" w:leader="none"/>
        </w:tabs>
        <w:ind w:left="165"/>
      </w:pPr>
      <w:bookmarkStart w:name="_bookmark442" w:id="444"/>
      <w:bookmarkEnd w:id="444"/>
      <w:r>
        <w:rPr/>
      </w:r>
      <w:hyperlink w:history="true" w:anchor="_bookmark427">
        <w:r>
          <w:rPr>
            <w:color w:val="005DA1"/>
            <w:spacing w:val="-4"/>
            <w:position w:val="5"/>
            <w:sz w:val="14"/>
            <w:u w:val="single" w:color="005DA1"/>
          </w:rPr>
          <w:t>229</w:t>
        </w:r>
      </w:hyperlink>
      <w:r>
        <w:rPr>
          <w:spacing w:val="-4"/>
          <w:position w:val="5"/>
          <w:sz w:val="14"/>
        </w:rPr>
        <w:t>.</w:t>
      </w:r>
      <w:r>
        <w:rPr>
          <w:position w:val="5"/>
          <w:sz w:val="14"/>
        </w:rPr>
        <w:tab/>
      </w:r>
      <w:r>
        <w:rPr/>
        <w:t>See</w:t>
      </w:r>
      <w:r>
        <w:rPr>
          <w:spacing w:val="-2"/>
        </w:rPr>
        <w:t> </w:t>
      </w:r>
      <w:r>
        <w:rPr/>
        <w:t>below, para.26-</w:t>
      </w:r>
      <w:r>
        <w:rPr>
          <w:spacing w:val="-4"/>
        </w:rPr>
        <w:t>167.</w:t>
      </w:r>
    </w:p>
    <w:p>
      <w:pPr>
        <w:pStyle w:val="BodyText"/>
        <w:spacing w:before="9"/>
      </w:pPr>
    </w:p>
    <w:p>
      <w:pPr>
        <w:spacing w:line="235" w:lineRule="auto" w:before="0"/>
        <w:ind w:left="705" w:right="167" w:hanging="541"/>
        <w:jc w:val="both"/>
        <w:rPr>
          <w:sz w:val="20"/>
        </w:rPr>
      </w:pPr>
      <w:bookmarkStart w:name="_bookmark443" w:id="445"/>
      <w:bookmarkEnd w:id="445"/>
      <w:r>
        <w:rPr/>
      </w:r>
      <w:hyperlink w:history="true" w:anchor="_bookmark428">
        <w:r>
          <w:rPr>
            <w:color w:val="005DA1"/>
            <w:position w:val="5"/>
            <w:sz w:val="14"/>
            <w:u w:val="single" w:color="005DA1"/>
          </w:rPr>
          <w:t>230</w:t>
        </w:r>
      </w:hyperlink>
      <w:r>
        <w:rPr>
          <w:position w:val="5"/>
          <w:sz w:val="14"/>
        </w:rPr>
        <w:t>.</w:t>
      </w:r>
      <w:r>
        <w:rPr>
          <w:spacing w:val="40"/>
          <w:position w:val="5"/>
          <w:sz w:val="14"/>
        </w:rPr>
        <w:t>  </w:t>
      </w:r>
      <w:r>
        <w:rPr>
          <w:rFonts w:ascii="Arial"/>
          <w:i/>
          <w:sz w:val="20"/>
        </w:rPr>
        <w:t>Radford v De Froberville [1971] 1 W.L.R. 1262</w:t>
      </w:r>
      <w:r>
        <w:rPr>
          <w:sz w:val="20"/>
        </w:rPr>
        <w:t>; </w:t>
      </w:r>
      <w:r>
        <w:rPr>
          <w:rFonts w:ascii="Arial"/>
          <w:i/>
          <w:sz w:val="20"/>
        </w:rPr>
        <w:t>London Congregational Union Inc v Harriss and Harriss [1985] 1 All E.R. 335, 344 </w:t>
      </w:r>
      <w:r>
        <w:rPr>
          <w:sz w:val="20"/>
        </w:rPr>
        <w:t>(the appeal did not deal with this point: [1988] 1 All E.R. </w:t>
      </w:r>
      <w:r>
        <w:rPr>
          <w:sz w:val="20"/>
        </w:rPr>
        <w:t>15); </w:t>
      </w:r>
      <w:r>
        <w:rPr>
          <w:rFonts w:ascii="Arial"/>
          <w:i/>
          <w:sz w:val="20"/>
        </w:rPr>
        <w:t>Cormier Enterprises Ltd v Costello (1980) 108 D.L.R. (3d) 472</w:t>
      </w:r>
      <w:r>
        <w:rPr>
          <w:sz w:val="20"/>
        </w:rPr>
        <w:t>. See below, para.26-088; and,</w:t>
      </w:r>
      <w:r>
        <w:rPr>
          <w:spacing w:val="40"/>
          <w:sz w:val="20"/>
        </w:rPr>
        <w:t> </w:t>
      </w:r>
      <w:r>
        <w:rPr>
          <w:sz w:val="20"/>
        </w:rPr>
        <w:t>on the duty to mitigate in general, below, para.26-079; cf. the tort case of </w:t>
      </w:r>
      <w:r>
        <w:rPr>
          <w:rFonts w:ascii="Arial"/>
          <w:i/>
          <w:sz w:val="20"/>
        </w:rPr>
        <w:t>Dodd Properties Ltd v Canterbury City Council [1980] 1 W.L.R. 433</w:t>
      </w:r>
      <w:r>
        <w:rPr>
          <w:sz w:val="20"/>
        </w:rPr>
        <w:t>.</w:t>
      </w:r>
    </w:p>
    <w:p>
      <w:pPr>
        <w:pStyle w:val="BodyText"/>
        <w:spacing w:before="8"/>
      </w:pPr>
    </w:p>
    <w:p>
      <w:pPr>
        <w:spacing w:line="235" w:lineRule="auto" w:before="0"/>
        <w:ind w:left="705" w:right="167" w:hanging="541"/>
        <w:jc w:val="both"/>
        <w:rPr>
          <w:rFonts w:ascii="Arial" w:hAnsi="Arial"/>
          <w:i/>
          <w:sz w:val="20"/>
        </w:rPr>
      </w:pPr>
      <w:bookmarkStart w:name="_bookmark444" w:id="446"/>
      <w:bookmarkEnd w:id="446"/>
      <w:r>
        <w:rPr/>
      </w:r>
      <w:hyperlink w:history="true" w:anchor="_bookmark429">
        <w:r>
          <w:rPr>
            <w:color w:val="005DA1"/>
            <w:position w:val="5"/>
            <w:sz w:val="14"/>
            <w:u w:val="single" w:color="005DA1"/>
          </w:rPr>
          <w:t>231</w:t>
        </w:r>
      </w:hyperlink>
      <w:r>
        <w:rPr>
          <w:position w:val="5"/>
          <w:sz w:val="14"/>
        </w:rPr>
        <w:t>.</w:t>
      </w:r>
      <w:r>
        <w:rPr>
          <w:spacing w:val="40"/>
          <w:position w:val="5"/>
          <w:sz w:val="14"/>
        </w:rPr>
        <w:t>  </w:t>
      </w:r>
      <w:r>
        <w:rPr>
          <w:rFonts w:ascii="Arial" w:hAnsi="Arial"/>
          <w:i/>
          <w:sz w:val="20"/>
        </w:rPr>
        <w:t>Radford v De Froberville [1971] 1 W.L.R. 1262</w:t>
      </w:r>
      <w:r>
        <w:rPr>
          <w:sz w:val="20"/>
        </w:rPr>
        <w:t>; </w:t>
      </w:r>
      <w:r>
        <w:rPr>
          <w:rFonts w:ascii="Arial" w:hAnsi="Arial"/>
          <w:i/>
          <w:sz w:val="20"/>
        </w:rPr>
        <w:t>Dodd Properties Ltd v Canterbury City Council [1980] 1 W.L.R. 433 </w:t>
      </w:r>
      <w:r>
        <w:rPr>
          <w:sz w:val="20"/>
        </w:rPr>
        <w:t>(a tort case where a building was damaged by defendant’s tort; </w:t>
      </w:r>
      <w:r>
        <w:rPr>
          <w:sz w:val="20"/>
        </w:rPr>
        <w:t>plaintiff reasonably</w:t>
      </w:r>
      <w:r>
        <w:rPr>
          <w:spacing w:val="-3"/>
          <w:sz w:val="20"/>
        </w:rPr>
        <w:t> </w:t>
      </w:r>
      <w:r>
        <w:rPr>
          <w:sz w:val="20"/>
        </w:rPr>
        <w:t>postponed</w:t>
      </w:r>
      <w:r>
        <w:rPr>
          <w:spacing w:val="-3"/>
          <w:sz w:val="20"/>
        </w:rPr>
        <w:t> </w:t>
      </w:r>
      <w:r>
        <w:rPr>
          <w:sz w:val="20"/>
        </w:rPr>
        <w:t>repairs</w:t>
      </w:r>
      <w:r>
        <w:rPr>
          <w:spacing w:val="-3"/>
          <w:sz w:val="20"/>
        </w:rPr>
        <w:t> </w:t>
      </w:r>
      <w:r>
        <w:rPr>
          <w:sz w:val="20"/>
        </w:rPr>
        <w:t>until</w:t>
      </w:r>
      <w:r>
        <w:rPr>
          <w:spacing w:val="-3"/>
          <w:sz w:val="20"/>
        </w:rPr>
        <w:t> </w:t>
      </w:r>
      <w:r>
        <w:rPr>
          <w:sz w:val="20"/>
        </w:rPr>
        <w:t>defendant</w:t>
      </w:r>
      <w:r>
        <w:rPr>
          <w:spacing w:val="-3"/>
          <w:sz w:val="20"/>
        </w:rPr>
        <w:t> </w:t>
      </w:r>
      <w:r>
        <w:rPr>
          <w:sz w:val="20"/>
        </w:rPr>
        <w:t>admitted</w:t>
      </w:r>
      <w:r>
        <w:rPr>
          <w:spacing w:val="-3"/>
          <w:sz w:val="20"/>
        </w:rPr>
        <w:t> </w:t>
      </w:r>
      <w:r>
        <w:rPr>
          <w:sz w:val="20"/>
        </w:rPr>
        <w:t>liability);</w:t>
      </w:r>
      <w:r>
        <w:rPr>
          <w:spacing w:val="-4"/>
          <w:sz w:val="20"/>
        </w:rPr>
        <w:t> </w:t>
      </w:r>
      <w:r>
        <w:rPr>
          <w:rFonts w:ascii="Arial" w:hAnsi="Arial"/>
          <w:i/>
          <w:sz w:val="20"/>
        </w:rPr>
        <w:t>Alcoa</w:t>
      </w:r>
      <w:r>
        <w:rPr>
          <w:rFonts w:ascii="Arial" w:hAnsi="Arial"/>
          <w:i/>
          <w:spacing w:val="-3"/>
          <w:sz w:val="20"/>
        </w:rPr>
        <w:t> </w:t>
      </w:r>
      <w:r>
        <w:rPr>
          <w:rFonts w:ascii="Arial" w:hAnsi="Arial"/>
          <w:i/>
          <w:sz w:val="20"/>
        </w:rPr>
        <w:t>Minerals</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Jamaica</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 Broderick [2002] 1 A.C. 371, PC </w:t>
      </w:r>
      <w:r>
        <w:rPr>
          <w:sz w:val="20"/>
        </w:rPr>
        <w:t>(claimant entitled to wait until liability had been established for cost</w:t>
      </w:r>
      <w:r>
        <w:rPr>
          <w:spacing w:val="20"/>
          <w:sz w:val="20"/>
        </w:rPr>
        <w:t> </w:t>
      </w:r>
      <w:r>
        <w:rPr>
          <w:sz w:val="20"/>
        </w:rPr>
        <w:t>of</w:t>
      </w:r>
      <w:r>
        <w:rPr>
          <w:spacing w:val="20"/>
          <w:sz w:val="20"/>
        </w:rPr>
        <w:t> </w:t>
      </w:r>
      <w:r>
        <w:rPr>
          <w:sz w:val="20"/>
        </w:rPr>
        <w:t>repairs:</w:t>
      </w:r>
      <w:r>
        <w:rPr>
          <w:spacing w:val="20"/>
          <w:sz w:val="20"/>
        </w:rPr>
        <w:t> </w:t>
      </w:r>
      <w:r>
        <w:rPr>
          <w:sz w:val="20"/>
        </w:rPr>
        <w:t>a</w:t>
      </w:r>
      <w:r>
        <w:rPr>
          <w:spacing w:val="20"/>
          <w:sz w:val="20"/>
        </w:rPr>
        <w:t> </w:t>
      </w:r>
      <w:r>
        <w:rPr>
          <w:sz w:val="20"/>
        </w:rPr>
        <w:t>tort</w:t>
      </w:r>
      <w:r>
        <w:rPr>
          <w:spacing w:val="20"/>
          <w:sz w:val="20"/>
        </w:rPr>
        <w:t> </w:t>
      </w:r>
      <w:r>
        <w:rPr>
          <w:sz w:val="20"/>
        </w:rPr>
        <w:t>case);</w:t>
      </w:r>
      <w:r>
        <w:rPr>
          <w:spacing w:val="20"/>
          <w:sz w:val="20"/>
        </w:rPr>
        <w:t> </w:t>
      </w:r>
      <w:r>
        <w:rPr>
          <w:rFonts w:ascii="Arial" w:hAnsi="Arial"/>
          <w:i/>
          <w:sz w:val="20"/>
        </w:rPr>
        <w:t>Bevan</w:t>
      </w:r>
      <w:r>
        <w:rPr>
          <w:rFonts w:ascii="Arial" w:hAnsi="Arial"/>
          <w:i/>
          <w:spacing w:val="20"/>
          <w:sz w:val="20"/>
        </w:rPr>
        <w:t> </w:t>
      </w:r>
      <w:r>
        <w:rPr>
          <w:rFonts w:ascii="Arial" w:hAnsi="Arial"/>
          <w:i/>
          <w:sz w:val="20"/>
        </w:rPr>
        <w:t>Investments</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Blackhall</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Struthers</w:t>
      </w:r>
      <w:r>
        <w:rPr>
          <w:rFonts w:ascii="Arial" w:hAnsi="Arial"/>
          <w:i/>
          <w:spacing w:val="20"/>
          <w:sz w:val="20"/>
        </w:rPr>
        <w:t> </w:t>
      </w:r>
      <w:r>
        <w:rPr>
          <w:rFonts w:ascii="Arial" w:hAnsi="Arial"/>
          <w:i/>
          <w:sz w:val="20"/>
        </w:rPr>
        <w:t>(No.2)</w:t>
      </w:r>
      <w:r>
        <w:rPr>
          <w:rFonts w:ascii="Arial" w:hAnsi="Arial"/>
          <w:i/>
          <w:spacing w:val="20"/>
          <w:sz w:val="20"/>
        </w:rPr>
        <w:t> </w:t>
      </w:r>
      <w:r>
        <w:rPr>
          <w:rFonts w:ascii="Arial" w:hAnsi="Arial"/>
          <w:i/>
          <w:sz w:val="20"/>
        </w:rPr>
        <w:t>[1973]</w:t>
      </w:r>
      <w:r>
        <w:rPr>
          <w:rFonts w:ascii="Arial" w:hAnsi="Arial"/>
          <w:i/>
          <w:spacing w:val="20"/>
          <w:sz w:val="20"/>
        </w:rPr>
        <w:t> </w:t>
      </w:r>
      <w:r>
        <w:rPr>
          <w:rFonts w:ascii="Arial" w:hAnsi="Arial"/>
          <w:i/>
          <w:spacing w:val="-10"/>
          <w:sz w:val="20"/>
        </w:rPr>
        <w:t>2</w:t>
      </w:r>
    </w:p>
    <w:p>
      <w:pPr>
        <w:spacing w:line="235" w:lineRule="auto" w:before="0"/>
        <w:ind w:left="705" w:right="168" w:firstLine="0"/>
        <w:jc w:val="both"/>
        <w:rPr>
          <w:sz w:val="20"/>
        </w:rPr>
      </w:pPr>
      <w:r>
        <w:rPr>
          <w:rFonts w:ascii="Arial"/>
          <w:i/>
          <w:sz w:val="20"/>
        </w:rPr>
        <w:t>N.Z.L.R. 45 </w:t>
      </w:r>
      <w:r>
        <w:rPr>
          <w:sz w:val="20"/>
        </w:rPr>
        <w:t>(commented on by Wallace (1980) 96 L.Q.R. 101, 115, and 341); </w:t>
      </w:r>
      <w:r>
        <w:rPr>
          <w:rFonts w:ascii="Arial"/>
          <w:i/>
          <w:sz w:val="20"/>
        </w:rPr>
        <w:t>Perry v Sidney Phillips &amp; Son [1982] 1 W.L.R. 1297 </w:t>
      </w:r>
      <w:r>
        <w:rPr>
          <w:sz w:val="20"/>
        </w:rPr>
        <w:t>(defendant denied liability).</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3. - Measures of </w:t>
      </w:r>
      <w:r>
        <w:rPr>
          <w:rFonts w:ascii="Arial"/>
          <w:b/>
          <w:spacing w:val="-2"/>
          <w:sz w:val="24"/>
        </w:rPr>
        <w:t>Compensation</w:t>
      </w:r>
    </w:p>
    <w:p>
      <w:pPr>
        <w:pStyle w:val="ListParagraph"/>
        <w:numPr>
          <w:ilvl w:val="0"/>
          <w:numId w:val="4"/>
        </w:numPr>
        <w:tabs>
          <w:tab w:pos="1771" w:val="left" w:leader="none"/>
        </w:tabs>
        <w:spacing w:line="240" w:lineRule="auto" w:before="194" w:after="0"/>
        <w:ind w:left="1771" w:right="0" w:hanging="360"/>
        <w:jc w:val="left"/>
        <w:rPr>
          <w:b/>
          <w:sz w:val="24"/>
        </w:rPr>
      </w:pPr>
      <w:r>
        <w:rPr>
          <w:b/>
          <w:sz w:val="24"/>
        </w:rPr>
        <w:t>- Claimant’s Original Purpose Fulfilled Despite </w:t>
      </w:r>
      <w:r>
        <w:rPr>
          <w:b/>
          <w:spacing w:val="-2"/>
          <w:sz w:val="24"/>
        </w:rPr>
        <w:t>Breach</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Defendant has performed in part or defectively but claimant’s original purpose not </w:t>
      </w:r>
      <w:r>
        <w:rPr>
          <w:rFonts w:ascii="Arial" w:hAnsi="Arial"/>
          <w:b/>
          <w:spacing w:val="-2"/>
          <w:sz w:val="18"/>
        </w:rPr>
        <w:t>affected</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039</w:t>
      </w:r>
    </w:p>
    <w:p>
      <w:pPr>
        <w:pStyle w:val="BodyText"/>
        <w:spacing w:line="235" w:lineRule="auto" w:before="202"/>
        <w:ind w:left="165" w:right="167"/>
        <w:jc w:val="both"/>
      </w:pPr>
      <w:r>
        <w:rPr/>
        <w:t>In at lest two types of case a difficult question of the appropriate measure has arisen after </w:t>
      </w:r>
      <w:r>
        <w:rPr/>
        <w:t>the defendant</w:t>
      </w:r>
      <w:r>
        <w:rPr>
          <w:spacing w:val="-2"/>
        </w:rPr>
        <w:t> </w:t>
      </w:r>
      <w:r>
        <w:rPr/>
        <w:t>has</w:t>
      </w:r>
      <w:r>
        <w:rPr>
          <w:spacing w:val="-2"/>
        </w:rPr>
        <w:t> </w:t>
      </w:r>
      <w:r>
        <w:rPr/>
        <w:t>done</w:t>
      </w:r>
      <w:r>
        <w:rPr>
          <w:spacing w:val="-2"/>
        </w:rPr>
        <w:t> </w:t>
      </w:r>
      <w:r>
        <w:rPr/>
        <w:t>less</w:t>
      </w:r>
      <w:r>
        <w:rPr>
          <w:spacing w:val="-2"/>
        </w:rPr>
        <w:t> </w:t>
      </w:r>
      <w:r>
        <w:rPr/>
        <w:t>than</w:t>
      </w:r>
      <w:r>
        <w:rPr>
          <w:spacing w:val="-2"/>
        </w:rPr>
        <w:t> </w:t>
      </w:r>
      <w:r>
        <w:rPr/>
        <w:t>was</w:t>
      </w:r>
      <w:r>
        <w:rPr>
          <w:spacing w:val="-2"/>
        </w:rPr>
        <w:t> </w:t>
      </w:r>
      <w:r>
        <w:rPr/>
        <w:t>promised,</w:t>
      </w:r>
      <w:r>
        <w:rPr>
          <w:spacing w:val="-2"/>
        </w:rPr>
        <w:t> </w:t>
      </w:r>
      <w:r>
        <w:rPr/>
        <w:t>or</w:t>
      </w:r>
      <w:r>
        <w:rPr>
          <w:spacing w:val="-2"/>
        </w:rPr>
        <w:t> </w:t>
      </w:r>
      <w:r>
        <w:rPr/>
        <w:t>has</w:t>
      </w:r>
      <w:r>
        <w:rPr>
          <w:spacing w:val="-2"/>
        </w:rPr>
        <w:t> </w:t>
      </w:r>
      <w:r>
        <w:rPr/>
        <w:t>delivered</w:t>
      </w:r>
      <w:r>
        <w:rPr>
          <w:spacing w:val="-2"/>
        </w:rPr>
        <w:t> </w:t>
      </w:r>
      <w:r>
        <w:rPr/>
        <w:t>a</w:t>
      </w:r>
      <w:r>
        <w:rPr>
          <w:spacing w:val="-2"/>
        </w:rPr>
        <w:t> </w:t>
      </w:r>
      <w:r>
        <w:rPr/>
        <w:t>good</w:t>
      </w:r>
      <w:r>
        <w:rPr>
          <w:spacing w:val="-2"/>
        </w:rPr>
        <w:t> </w:t>
      </w:r>
      <w:r>
        <w:rPr/>
        <w:t>or</w:t>
      </w:r>
      <w:r>
        <w:rPr>
          <w:spacing w:val="-2"/>
        </w:rPr>
        <w:t> </w:t>
      </w:r>
      <w:r>
        <w:rPr/>
        <w:t>service</w:t>
      </w:r>
      <w:r>
        <w:rPr>
          <w:spacing w:val="-2"/>
        </w:rPr>
        <w:t> </w:t>
      </w:r>
      <w:r>
        <w:rPr/>
        <w:t>that</w:t>
      </w:r>
      <w:r>
        <w:rPr>
          <w:spacing w:val="-2"/>
        </w:rPr>
        <w:t> </w:t>
      </w:r>
      <w:r>
        <w:rPr/>
        <w:t>was</w:t>
      </w:r>
      <w:r>
        <w:rPr>
          <w:spacing w:val="-2"/>
        </w:rPr>
        <w:t> </w:t>
      </w:r>
      <w:r>
        <w:rPr/>
        <w:t>not</w:t>
      </w:r>
      <w:r>
        <w:rPr>
          <w:spacing w:val="-2"/>
        </w:rPr>
        <w:t> </w:t>
      </w:r>
      <w:r>
        <w:rPr/>
        <w:t>up</w:t>
      </w:r>
      <w:r>
        <w:rPr>
          <w:spacing w:val="-2"/>
        </w:rPr>
        <w:t> </w:t>
      </w:r>
      <w:r>
        <w:rPr/>
        <w:t>to</w:t>
      </w:r>
      <w:r>
        <w:rPr>
          <w:spacing w:val="-2"/>
        </w:rPr>
        <w:t> </w:t>
      </w:r>
      <w:r>
        <w:rPr/>
        <w:t>the contractual requirements; there is no question of making good the deficiency or correcting the defect and it appears that the breach has not affected the claimant’s original purpose. Should the damages be merely nominal, or should they be based on the difference (if any) between the “objective” value of what was delivered (e.g. its market value) and the value of what should have been delivered? The approach in sale of goods cases has been to award the difference in value, but in services cases to look</w:t>
      </w:r>
      <w:r>
        <w:rPr>
          <w:spacing w:val="-1"/>
        </w:rPr>
        <w:t> </w:t>
      </w:r>
      <w:r>
        <w:rPr/>
        <w:t>at</w:t>
      </w:r>
      <w:r>
        <w:rPr>
          <w:spacing w:val="-1"/>
        </w:rPr>
        <w:t> </w:t>
      </w:r>
      <w:r>
        <w:rPr/>
        <w:t>the</w:t>
      </w:r>
      <w:r>
        <w:rPr>
          <w:spacing w:val="-1"/>
        </w:rPr>
        <w:t> </w:t>
      </w:r>
      <w:r>
        <w:rPr/>
        <w:t>outcome,</w:t>
      </w:r>
      <w:r>
        <w:rPr>
          <w:spacing w:val="-1"/>
        </w:rPr>
        <w:t> </w:t>
      </w:r>
      <w:r>
        <w:rPr/>
        <w:t>with</w:t>
      </w:r>
      <w:r>
        <w:rPr>
          <w:spacing w:val="-1"/>
        </w:rPr>
        <w:t> </w:t>
      </w:r>
      <w:r>
        <w:rPr/>
        <w:t>the</w:t>
      </w:r>
      <w:r>
        <w:rPr>
          <w:spacing w:val="-1"/>
        </w:rPr>
        <w:t> </w:t>
      </w:r>
      <w:r>
        <w:rPr/>
        <w:t>result</w:t>
      </w:r>
      <w:r>
        <w:rPr>
          <w:spacing w:val="-1"/>
        </w:rPr>
        <w:t> </w:t>
      </w:r>
      <w:r>
        <w:rPr/>
        <w:t>that</w:t>
      </w:r>
      <w:r>
        <w:rPr>
          <w:spacing w:val="-1"/>
        </w:rPr>
        <w:t> </w:t>
      </w:r>
      <w:r>
        <w:rPr/>
        <w:t>the</w:t>
      </w:r>
      <w:r>
        <w:rPr>
          <w:spacing w:val="-1"/>
        </w:rPr>
        <w:t> </w:t>
      </w:r>
      <w:r>
        <w:rPr/>
        <w:t>claimant</w:t>
      </w:r>
      <w:r>
        <w:rPr>
          <w:spacing w:val="-1"/>
        </w:rPr>
        <w:t> </w:t>
      </w:r>
      <w:r>
        <w:rPr/>
        <w:t>may</w:t>
      </w:r>
      <w:r>
        <w:rPr>
          <w:spacing w:val="-1"/>
        </w:rPr>
        <w:t> </w:t>
      </w:r>
      <w:r>
        <w:rPr/>
        <w:t>recover</w:t>
      </w:r>
      <w:r>
        <w:rPr>
          <w:spacing w:val="-1"/>
        </w:rPr>
        <w:t> </w:t>
      </w:r>
      <w:r>
        <w:rPr/>
        <w:t>only</w:t>
      </w:r>
      <w:r>
        <w:rPr>
          <w:spacing w:val="-1"/>
        </w:rPr>
        <w:t> </w:t>
      </w:r>
      <w:r>
        <w:rPr/>
        <w:t>nominal</w:t>
      </w:r>
      <w:r>
        <w:rPr>
          <w:spacing w:val="-1"/>
        </w:rPr>
        <w:t> </w:t>
      </w:r>
      <w:r>
        <w:rPr/>
        <w:t>damages.</w:t>
      </w:r>
      <w:r>
        <w:rPr>
          <w:spacing w:val="-1"/>
        </w:rPr>
        <w:t> </w:t>
      </w:r>
      <w:r>
        <w:rPr/>
        <w:t>However,</w:t>
      </w:r>
      <w:r>
        <w:rPr>
          <w:spacing w:val="-1"/>
        </w:rPr>
        <w:t> </w:t>
      </w:r>
      <w:r>
        <w:rPr/>
        <w:t>in recent</w:t>
      </w:r>
      <w:r>
        <w:rPr>
          <w:spacing w:val="-1"/>
        </w:rPr>
        <w:t> </w:t>
      </w:r>
      <w:r>
        <w:rPr/>
        <w:t>years</w:t>
      </w:r>
      <w:r>
        <w:rPr>
          <w:spacing w:val="-1"/>
        </w:rPr>
        <w:t> </w:t>
      </w:r>
      <w:r>
        <w:rPr/>
        <w:t>there</w:t>
      </w:r>
      <w:r>
        <w:rPr>
          <w:spacing w:val="-1"/>
        </w:rPr>
        <w:t> </w:t>
      </w:r>
      <w:r>
        <w:rPr/>
        <w:t>have</w:t>
      </w:r>
      <w:r>
        <w:rPr>
          <w:spacing w:val="-1"/>
        </w:rPr>
        <w:t> </w:t>
      </w:r>
      <w:r>
        <w:rPr/>
        <w:t>been</w:t>
      </w:r>
      <w:r>
        <w:rPr>
          <w:spacing w:val="-1"/>
        </w:rPr>
        <w:t> </w:t>
      </w:r>
      <w:r>
        <w:rPr/>
        <w:t>changes</w:t>
      </w:r>
      <w:r>
        <w:rPr>
          <w:spacing w:val="-1"/>
        </w:rPr>
        <w:t> </w:t>
      </w:r>
      <w:r>
        <w:rPr/>
        <w:t>in</w:t>
      </w:r>
      <w:r>
        <w:rPr>
          <w:spacing w:val="-1"/>
        </w:rPr>
        <w:t> </w:t>
      </w:r>
      <w:r>
        <w:rPr/>
        <w:t>approach—in</w:t>
      </w:r>
      <w:r>
        <w:rPr>
          <w:spacing w:val="-1"/>
        </w:rPr>
        <w:t> </w:t>
      </w:r>
      <w:r>
        <w:rPr/>
        <w:t>the</w:t>
      </w:r>
      <w:r>
        <w:rPr>
          <w:spacing w:val="-1"/>
        </w:rPr>
        <w:t> </w:t>
      </w:r>
      <w:r>
        <w:rPr/>
        <w:t>sale</w:t>
      </w:r>
      <w:r>
        <w:rPr>
          <w:spacing w:val="-1"/>
        </w:rPr>
        <w:t> </w:t>
      </w:r>
      <w:r>
        <w:rPr/>
        <w:t>of</w:t>
      </w:r>
      <w:r>
        <w:rPr>
          <w:spacing w:val="-1"/>
        </w:rPr>
        <w:t> </w:t>
      </w:r>
      <w:r>
        <w:rPr/>
        <w:t>goods</w:t>
      </w:r>
      <w:r>
        <w:rPr>
          <w:spacing w:val="-1"/>
        </w:rPr>
        <w:t> </w:t>
      </w:r>
      <w:r>
        <w:rPr/>
        <w:t>case,</w:t>
      </w:r>
      <w:r>
        <w:rPr>
          <w:spacing w:val="-1"/>
        </w:rPr>
        <w:t> </w:t>
      </w:r>
      <w:r>
        <w:rPr/>
        <w:t>towards</w:t>
      </w:r>
      <w:r>
        <w:rPr>
          <w:spacing w:val="-1"/>
        </w:rPr>
        <w:t> </w:t>
      </w:r>
      <w:r>
        <w:rPr/>
        <w:t>looking</w:t>
      </w:r>
      <w:r>
        <w:rPr>
          <w:spacing w:val="-1"/>
        </w:rPr>
        <w:t> </w:t>
      </w:r>
      <w:r>
        <w:rPr/>
        <w:t>at</w:t>
      </w:r>
      <w:r>
        <w:rPr>
          <w:spacing w:val="-1"/>
        </w:rPr>
        <w:t> </w:t>
      </w:r>
      <w:r>
        <w:rPr/>
        <w:t>the outcome, but in services cases to awarding the difference in value. The resulting position is therefore </w:t>
      </w:r>
      <w:r>
        <w:rPr>
          <w:spacing w:val="-2"/>
        </w:rPr>
        <w:t>unclear.</w:t>
      </w:r>
    </w:p>
    <w:p>
      <w:pPr>
        <w:pStyle w:val="BodyText"/>
      </w:pPr>
    </w:p>
    <w:p>
      <w:pPr>
        <w:pStyle w:val="BodyText"/>
        <w:spacing w:before="35"/>
      </w:pPr>
    </w:p>
    <w:p>
      <w:pPr>
        <w:spacing w:before="0"/>
        <w:ind w:left="165" w:right="0" w:firstLine="0"/>
        <w:jc w:val="both"/>
        <w:rPr>
          <w:rFonts w:ascii="Arial"/>
          <w:b/>
          <w:sz w:val="18"/>
        </w:rPr>
      </w:pPr>
      <w:r>
        <w:rPr>
          <w:rFonts w:ascii="Arial"/>
          <w:b/>
          <w:sz w:val="18"/>
        </w:rPr>
        <w:t>Sale of goods </w:t>
      </w:r>
      <w:r>
        <w:rPr>
          <w:rFonts w:ascii="Arial"/>
          <w:b/>
          <w:spacing w:val="-2"/>
          <w:sz w:val="18"/>
        </w:rPr>
        <w:t>cases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contract was for the sale of goods for which a market price can be established, the traditional answer has been that the claimant is entitled to the difference in value between what</w:t>
      </w:r>
      <w:r>
        <w:rPr>
          <w:spacing w:val="40"/>
        </w:rPr>
        <w:t> </w:t>
      </w:r>
      <w:bookmarkStart w:name="_bookmark445" w:id="447"/>
      <w:bookmarkEnd w:id="447"/>
      <w:r>
        <w:rPr/>
        <w:t>should</w:t>
      </w:r>
      <w:r>
        <w:rPr>
          <w:spacing w:val="17"/>
        </w:rPr>
        <w:t> </w:t>
      </w:r>
      <w:r>
        <w:rPr/>
        <w:t>have</w:t>
      </w:r>
      <w:r>
        <w:rPr>
          <w:spacing w:val="17"/>
        </w:rPr>
        <w:t> </w:t>
      </w:r>
      <w:r>
        <w:rPr/>
        <w:t>been</w:t>
      </w:r>
      <w:r>
        <w:rPr>
          <w:spacing w:val="17"/>
        </w:rPr>
        <w:t> </w:t>
      </w:r>
      <w:r>
        <w:rPr/>
        <w:t>delivered</w:t>
      </w:r>
      <w:r>
        <w:rPr>
          <w:spacing w:val="17"/>
        </w:rPr>
        <w:t> </w:t>
      </w:r>
      <w:r>
        <w:rPr/>
        <w:t>and</w:t>
      </w:r>
      <w:r>
        <w:rPr>
          <w:spacing w:val="17"/>
        </w:rPr>
        <w:t> </w:t>
      </w:r>
      <w:r>
        <w:rPr/>
        <w:t>what</w:t>
      </w:r>
      <w:r>
        <w:rPr>
          <w:spacing w:val="17"/>
        </w:rPr>
        <w:t> </w:t>
      </w:r>
      <w:r>
        <w:rPr/>
        <w:t>was</w:t>
      </w:r>
      <w:r>
        <w:rPr>
          <w:spacing w:val="17"/>
        </w:rPr>
        <w:t> </w:t>
      </w:r>
      <w:r>
        <w:rPr/>
        <w:t>delivered,</w:t>
      </w:r>
      <w:r>
        <w:rPr>
          <w:spacing w:val="17"/>
        </w:rPr>
        <w:t> </w:t>
      </w:r>
      <w:r>
        <w:rPr/>
        <w:t>even</w:t>
      </w:r>
      <w:r>
        <w:rPr>
          <w:spacing w:val="17"/>
        </w:rPr>
        <w:t> </w:t>
      </w:r>
      <w:r>
        <w:rPr/>
        <w:t>if</w:t>
      </w:r>
      <w:r>
        <w:rPr>
          <w:spacing w:val="17"/>
        </w:rPr>
        <w:t> </w:t>
      </w:r>
      <w:r>
        <w:rPr/>
        <w:t>he</w:t>
      </w:r>
      <w:r>
        <w:rPr>
          <w:spacing w:val="17"/>
        </w:rPr>
        <w:t> </w:t>
      </w:r>
      <w:r>
        <w:rPr/>
        <w:t>has</w:t>
      </w:r>
      <w:r>
        <w:rPr>
          <w:spacing w:val="17"/>
        </w:rPr>
        <w:t> </w:t>
      </w:r>
      <w:r>
        <w:rPr/>
        <w:t>been</w:t>
      </w:r>
      <w:r>
        <w:rPr>
          <w:spacing w:val="17"/>
        </w:rPr>
        <w:t> </w:t>
      </w:r>
      <w:r>
        <w:rPr/>
        <w:t>able</w:t>
      </w:r>
      <w:r>
        <w:rPr>
          <w:spacing w:val="17"/>
        </w:rPr>
        <w:t> </w:t>
      </w:r>
      <w:r>
        <w:rPr/>
        <w:t>to</w:t>
      </w:r>
      <w:r>
        <w:rPr>
          <w:spacing w:val="17"/>
        </w:rPr>
        <w:t> </w:t>
      </w:r>
      <w:r>
        <w:rPr/>
        <w:t>use</w:t>
      </w:r>
      <w:r>
        <w:rPr>
          <w:spacing w:val="17"/>
        </w:rPr>
        <w:t> </w:t>
      </w:r>
      <w:r>
        <w:rPr/>
        <w:t>the</w:t>
      </w:r>
      <w:r>
        <w:rPr>
          <w:spacing w:val="17"/>
        </w:rPr>
        <w:t> </w:t>
      </w:r>
      <w:r>
        <w:rPr/>
        <w:t>goods</w:t>
      </w:r>
      <w:r>
        <w:rPr>
          <w:spacing w:val="17"/>
        </w:rPr>
        <w:t> </w:t>
      </w:r>
      <w:r>
        <w:rPr>
          <w:spacing w:val="-5"/>
        </w:rPr>
        <w:t>for</w:t>
      </w:r>
    </w:p>
    <w:p>
      <w:pPr>
        <w:pStyle w:val="BodyText"/>
        <w:spacing w:line="235" w:lineRule="auto" w:before="119"/>
        <w:ind w:left="165" w:right="167"/>
        <w:jc w:val="both"/>
      </w:pPr>
      <w:r>
        <w:rPr/>
        <w:t>their intended purpose without any loss. </w:t>
      </w:r>
      <w:r>
        <w:rPr>
          <w:color w:val="005DA1"/>
          <w:u w:val="single" w:color="005DA1"/>
          <w:vertAlign w:val="superscript"/>
        </w:rPr>
        <w:t>232</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Thus if the buyer bought the goods to resell, and had agreed a sub-sale before the defect was known, the traditional answer has been to say that the </w:t>
      </w:r>
      <w:r>
        <w:rPr>
          <w:vertAlign w:val="baseline"/>
        </w:rPr>
        <w:t>buyer is entitled to the difference in value even if the sub-buyer has paid the full agreed price despite the defect. Thus the Sale of Goods Act 1979 s.53 provides for damages where the seller delivers defective goods which the buyer does not, or is unable, to reject, and provides:</w:t>
      </w:r>
    </w:p>
    <w:p>
      <w:pPr>
        <w:pStyle w:val="BodyText"/>
      </w:pPr>
    </w:p>
    <w:p>
      <w:pPr>
        <w:pStyle w:val="BodyText"/>
      </w:pPr>
    </w:p>
    <w:p>
      <w:pPr>
        <w:pStyle w:val="BodyText"/>
      </w:pPr>
    </w:p>
    <w:p>
      <w:pPr>
        <w:pStyle w:val="BodyText"/>
        <w:spacing w:before="94"/>
      </w:pPr>
    </w:p>
    <w:p>
      <w:pPr>
        <w:pStyle w:val="BodyText"/>
        <w:ind w:left="1245"/>
      </w:pPr>
      <w:r>
        <w:rPr>
          <w:spacing w:val="-4"/>
        </w:rPr>
        <w:t>“(3)</w:t>
      </w:r>
    </w:p>
    <w:p>
      <w:pPr>
        <w:pStyle w:val="BodyText"/>
        <w:spacing w:line="235" w:lineRule="auto" w:before="114"/>
        <w:ind w:left="1725" w:right="167"/>
        <w:jc w:val="both"/>
      </w:pPr>
      <w:r>
        <w:rPr/>
        <w:t>In the case of breach of warranty of quality such loss is prima facie the difference between the value of the goods at the time of delivery to the buyer and the value they would have had if they had fulfilled the warranty.”</w:t>
      </w:r>
    </w:p>
    <w:p>
      <w:pPr>
        <w:pStyle w:val="BodyText"/>
      </w:pPr>
    </w:p>
    <w:p>
      <w:pPr>
        <w:pStyle w:val="BodyText"/>
        <w:spacing w:before="95"/>
      </w:pPr>
    </w:p>
    <w:p>
      <w:pPr>
        <w:spacing w:before="0"/>
        <w:ind w:left="165" w:right="0" w:firstLine="0"/>
        <w:jc w:val="left"/>
        <w:rPr>
          <w:sz w:val="20"/>
        </w:rPr>
      </w:pPr>
      <w:r>
        <w:rPr>
          <w:sz w:val="20"/>
        </w:rPr>
        <w:t>In </w:t>
      </w:r>
      <w:r>
        <w:rPr>
          <w:rFonts w:ascii="Arial"/>
          <w:i/>
          <w:sz w:val="20"/>
        </w:rPr>
        <w:t>Att-Gen v Blake</w:t>
      </w:r>
      <w:r>
        <w:rPr>
          <w:rFonts w:ascii="Arial"/>
          <w:i/>
          <w:spacing w:val="-1"/>
          <w:sz w:val="20"/>
        </w:rPr>
        <w:t> </w:t>
      </w:r>
      <w:r>
        <w:rPr>
          <w:sz w:val="20"/>
        </w:rPr>
        <w:t>Lord Nicholls </w:t>
      </w:r>
      <w:r>
        <w:rPr>
          <w:spacing w:val="-2"/>
          <w:sz w:val="20"/>
        </w:rPr>
        <w:t>said:</w:t>
      </w:r>
    </w:p>
    <w:p>
      <w:pPr>
        <w:spacing w:after="0"/>
        <w:jc w:val="left"/>
        <w:rPr>
          <w:sz w:val="20"/>
        </w:rPr>
        <w:sectPr>
          <w:headerReference w:type="default" r:id="rId19"/>
          <w:pgSz w:w="11900" w:h="16840"/>
          <w:pgMar w:header="971" w:footer="0" w:top="1300" w:bottom="280" w:left="1275" w:right="1275"/>
          <w:pgNumType w:start="1"/>
        </w:sectPr>
      </w:pPr>
    </w:p>
    <w:p>
      <w:pPr>
        <w:pStyle w:val="BodyText"/>
      </w:pPr>
    </w:p>
    <w:p>
      <w:pPr>
        <w:pStyle w:val="BodyText"/>
        <w:spacing w:before="177"/>
      </w:pPr>
    </w:p>
    <w:p>
      <w:pPr>
        <w:pStyle w:val="BodyText"/>
        <w:spacing w:line="235" w:lineRule="auto"/>
        <w:ind w:left="1245" w:right="167"/>
        <w:jc w:val="both"/>
      </w:pPr>
      <w:r>
        <w:rPr/>
        <w:t>“If</w:t>
      </w:r>
      <w:r>
        <w:rPr>
          <w:spacing w:val="-1"/>
        </w:rPr>
        <w:t> </w:t>
      </w:r>
      <w:r>
        <w:rPr/>
        <w:t>a</w:t>
      </w:r>
      <w:r>
        <w:rPr>
          <w:spacing w:val="-1"/>
        </w:rPr>
        <w:t> </w:t>
      </w:r>
      <w:r>
        <w:rPr/>
        <w:t>shop</w:t>
      </w:r>
      <w:r>
        <w:rPr>
          <w:spacing w:val="-1"/>
        </w:rPr>
        <w:t> </w:t>
      </w:r>
      <w:r>
        <w:rPr/>
        <w:t>keeper</w:t>
      </w:r>
      <w:r>
        <w:rPr>
          <w:spacing w:val="-1"/>
        </w:rPr>
        <w:t> </w:t>
      </w:r>
      <w:r>
        <w:rPr/>
        <w:t>supplies</w:t>
      </w:r>
      <w:r>
        <w:rPr>
          <w:spacing w:val="-1"/>
        </w:rPr>
        <w:t> </w:t>
      </w:r>
      <w:r>
        <w:rPr/>
        <w:t>inferior</w:t>
      </w:r>
      <w:r>
        <w:rPr>
          <w:spacing w:val="-1"/>
        </w:rPr>
        <w:t> </w:t>
      </w:r>
      <w:r>
        <w:rPr/>
        <w:t>and</w:t>
      </w:r>
      <w:r>
        <w:rPr>
          <w:spacing w:val="-1"/>
        </w:rPr>
        <w:t> </w:t>
      </w:r>
      <w:r>
        <w:rPr/>
        <w:t>cheaper</w:t>
      </w:r>
      <w:r>
        <w:rPr>
          <w:spacing w:val="-1"/>
        </w:rPr>
        <w:t> </w:t>
      </w:r>
      <w:r>
        <w:rPr/>
        <w:t>goods</w:t>
      </w:r>
      <w:r>
        <w:rPr>
          <w:spacing w:val="-1"/>
        </w:rPr>
        <w:t> </w:t>
      </w:r>
      <w:r>
        <w:rPr/>
        <w:t>than</w:t>
      </w:r>
      <w:r>
        <w:rPr>
          <w:spacing w:val="-1"/>
        </w:rPr>
        <w:t> </w:t>
      </w:r>
      <w:r>
        <w:rPr/>
        <w:t>those</w:t>
      </w:r>
      <w:r>
        <w:rPr>
          <w:spacing w:val="-1"/>
        </w:rPr>
        <w:t> </w:t>
      </w:r>
      <w:r>
        <w:rPr/>
        <w:t>ordered</w:t>
      </w:r>
      <w:r>
        <w:rPr>
          <w:spacing w:val="-1"/>
        </w:rPr>
        <w:t> </w:t>
      </w:r>
      <w:r>
        <w:rPr/>
        <w:t>and</w:t>
      </w:r>
      <w:r>
        <w:rPr>
          <w:spacing w:val="-1"/>
        </w:rPr>
        <w:t> </w:t>
      </w:r>
      <w:r>
        <w:rPr/>
        <w:t>paid</w:t>
      </w:r>
      <w:r>
        <w:rPr>
          <w:spacing w:val="-1"/>
        </w:rPr>
        <w:t> </w:t>
      </w:r>
      <w:r>
        <w:rPr/>
        <w:t>for,</w:t>
      </w:r>
      <w:r>
        <w:rPr>
          <w:spacing w:val="-1"/>
        </w:rPr>
        <w:t> </w:t>
      </w:r>
      <w:r>
        <w:rPr/>
        <w:t>he has to refund the difference in price. That would be the outcome of a claim for damages for breach of contract. That would be so irrespective of whether the goods in fact served the intended purpose.”</w:t>
      </w:r>
    </w:p>
    <w:p>
      <w:pPr>
        <w:pStyle w:val="BodyText"/>
        <w:spacing w:before="115"/>
      </w:pPr>
    </w:p>
    <w:p>
      <w:pPr>
        <w:pStyle w:val="BodyText"/>
        <w:spacing w:line="235" w:lineRule="auto"/>
        <w:ind w:left="165" w:right="167"/>
        <w:jc w:val="both"/>
      </w:pPr>
      <w:bookmarkStart w:name="_bookmark446" w:id="448"/>
      <w:bookmarkEnd w:id="448"/>
      <w:r>
        <w:rPr/>
      </w:r>
      <w:r>
        <w:rPr/>
        <w:t>In </w:t>
      </w:r>
      <w:r>
        <w:rPr>
          <w:rFonts w:ascii="Arial" w:hAnsi="Arial"/>
          <w:i/>
        </w:rPr>
        <w:t>Slater v Hoyle and Smith Ltd </w:t>
      </w:r>
      <w:r>
        <w:rPr>
          <w:color w:val="005DA1"/>
          <w:u w:val="single" w:color="005DA1"/>
          <w:vertAlign w:val="superscript"/>
        </w:rPr>
        <w:t>233</w:t>
      </w:r>
      <w:r>
        <w:rPr>
          <w:color w:val="005DA1"/>
          <w:vertAlign w:val="baseline"/>
        </w:rPr>
        <w:t> </w:t>
      </w:r>
      <w:r>
        <w:rPr>
          <w:vertAlign w:val="baseline"/>
        </w:rPr>
        <w:t>it was held by the Court of Appeal that where the seller delivered defective goods, but the buyer was nevertheless able to perform a sub-contract by delivering </w:t>
      </w:r>
      <w:r>
        <w:rPr>
          <w:vertAlign w:val="baseline"/>
        </w:rPr>
        <w:t>the goods to his sub-buyer, the buyer’s damages against the seller should not be reduced by taking this into account; the buyer was entitled to rely on the normal measure of damages under s.53(3) viz the difference between (a) the market price, at the time and place of delivery, of goods up to the </w:t>
      </w:r>
      <w:bookmarkStart w:name="_bookmark447" w:id="449"/>
      <w:bookmarkEnd w:id="449"/>
      <w:r>
        <w:rPr>
          <w:vertAlign w:val="baseline"/>
        </w:rPr>
        <w:t>contractual</w:t>
      </w:r>
      <w:r>
        <w:rPr>
          <w:vertAlign w:val="baseline"/>
        </w:rPr>
        <w:t> quality; and (b) the market price, at the time and place of delivery, of the goods actually </w:t>
      </w:r>
      <w:bookmarkStart w:name="_bookmark448" w:id="450"/>
      <w:bookmarkEnd w:id="450"/>
      <w:r>
        <w:rPr>
          <w:vertAlign w:val="baseline"/>
        </w:rPr>
        <w:t>delivered.</w:t>
      </w:r>
      <w:r>
        <w:rPr>
          <w:vertAlign w:val="baseline"/>
        </w:rPr>
        <w:t> </w:t>
      </w:r>
      <w:r>
        <w:rPr>
          <w:color w:val="005DA1"/>
          <w:u w:val="single" w:color="005DA1"/>
          <w:vertAlign w:val="superscript"/>
        </w:rPr>
        <w:t>234</w:t>
      </w:r>
      <w:r>
        <w:rPr>
          <w:color w:val="005DA1"/>
          <w:vertAlign w:val="baseline"/>
        </w:rPr>
        <w:t> </w:t>
      </w:r>
      <w:r>
        <w:rPr>
          <w:vertAlign w:val="baseline"/>
        </w:rPr>
        <w:t>However, a contrary approach was taken by the Court of Appeal in </w:t>
      </w:r>
      <w:r>
        <w:rPr>
          <w:rFonts w:ascii="Arial" w:hAnsi="Arial"/>
          <w:i/>
          <w:vertAlign w:val="baseline"/>
        </w:rPr>
        <w:t>Bence Graphics International Ltd v Fasson UK Ltd</w:t>
      </w:r>
      <w:r>
        <w:rPr>
          <w:vertAlign w:val="baseline"/>
        </w:rPr>
        <w:t>. </w:t>
      </w:r>
      <w:r>
        <w:rPr>
          <w:color w:val="005DA1"/>
          <w:u w:val="single" w:color="005DA1"/>
          <w:vertAlign w:val="superscript"/>
        </w:rPr>
        <w:t>235</w:t>
      </w:r>
      <w:r>
        <w:rPr>
          <w:color w:val="005DA1"/>
          <w:vertAlign w:val="baseline"/>
        </w:rPr>
        <w:t> </w:t>
      </w:r>
      <w:r>
        <w:rPr>
          <w:vertAlign w:val="baseline"/>
        </w:rPr>
        <w:t>The seller knew that the buyer would sell on to others (after manufacturing</w:t>
      </w:r>
      <w:r>
        <w:rPr>
          <w:spacing w:val="-2"/>
          <w:vertAlign w:val="baseline"/>
        </w:rPr>
        <w:t> </w:t>
      </w:r>
      <w:r>
        <w:rPr>
          <w:vertAlign w:val="baseline"/>
        </w:rPr>
        <w:t>the</w:t>
      </w:r>
      <w:r>
        <w:rPr>
          <w:spacing w:val="-2"/>
          <w:vertAlign w:val="baseline"/>
        </w:rPr>
        <w:t> </w:t>
      </w:r>
      <w:r>
        <w:rPr>
          <w:vertAlign w:val="baseline"/>
        </w:rPr>
        <w:t>goods</w:t>
      </w:r>
      <w:r>
        <w:rPr>
          <w:spacing w:val="-2"/>
          <w:vertAlign w:val="baseline"/>
        </w:rPr>
        <w:t> </w:t>
      </w:r>
      <w:r>
        <w:rPr>
          <w:vertAlign w:val="baseline"/>
        </w:rPr>
        <w:t>into</w:t>
      </w:r>
      <w:r>
        <w:rPr>
          <w:spacing w:val="-2"/>
          <w:vertAlign w:val="baseline"/>
        </w:rPr>
        <w:t> </w:t>
      </w:r>
      <w:r>
        <w:rPr>
          <w:vertAlign w:val="baseline"/>
        </w:rPr>
        <w:t>another</w:t>
      </w:r>
      <w:r>
        <w:rPr>
          <w:spacing w:val="-2"/>
          <w:vertAlign w:val="baseline"/>
        </w:rPr>
        <w:t> </w:t>
      </w:r>
      <w:r>
        <w:rPr>
          <w:vertAlign w:val="baseline"/>
        </w:rPr>
        <w:t>product);</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contemplated that the measure of damages for defects in the goods should be the extent of the buyer’s liability (if any) to those others resulting from the defect. In </w:t>
      </w:r>
      <w:r>
        <w:rPr>
          <w:rFonts w:ascii="Arial" w:hAnsi="Arial"/>
          <w:i/>
          <w:vertAlign w:val="baseline"/>
        </w:rPr>
        <w:t>Bence’s </w:t>
      </w:r>
      <w:r>
        <w:rPr>
          <w:vertAlign w:val="baseline"/>
        </w:rPr>
        <w:t>case the decision in </w:t>
      </w:r>
      <w:r>
        <w:rPr>
          <w:rFonts w:ascii="Arial" w:hAnsi="Arial"/>
          <w:i/>
          <w:vertAlign w:val="baseline"/>
        </w:rPr>
        <w:t>Slater’s </w:t>
      </w:r>
      <w:r>
        <w:rPr>
          <w:vertAlign w:val="baseline"/>
        </w:rPr>
        <w:t>case was </w:t>
      </w:r>
      <w:bookmarkStart w:name="_bookmark449" w:id="451"/>
      <w:bookmarkEnd w:id="451"/>
      <w:r>
        <w:rPr>
          <w:vertAlign w:val="baseline"/>
        </w:rPr>
        <w:t>doubted,</w:t>
      </w:r>
      <w:r>
        <w:rPr>
          <w:vertAlign w:val="baseline"/>
        </w:rPr>
        <w:t> on the ground that s.53(3) laid down only a prima facie rule, which should not be applied if it would give the buyer “more than his true loss”. </w:t>
      </w:r>
      <w:r>
        <w:rPr>
          <w:color w:val="005DA1"/>
          <w:u w:val="single" w:color="005DA1"/>
          <w:vertAlign w:val="superscript"/>
        </w:rPr>
        <w:t>236</w:t>
      </w:r>
      <w:r>
        <w:rPr>
          <w:color w:val="005DA1"/>
          <w:vertAlign w:val="baseline"/>
        </w:rPr>
        <w:t> </w:t>
      </w:r>
      <w:r>
        <w:rPr>
          <w:vertAlign w:val="baseline"/>
        </w:rPr>
        <w:t>The case has been the subject of trenchant</w:t>
      </w:r>
      <w:r>
        <w:rPr>
          <w:spacing w:val="40"/>
          <w:vertAlign w:val="baseline"/>
        </w:rPr>
        <w:t> </w:t>
      </w:r>
      <w:r>
        <w:rPr>
          <w:vertAlign w:val="baseline"/>
        </w:rPr>
        <w:t>criticism and it is submitted that it should not be followed, particularly in the light of the development described in the next paragraph.</w:t>
      </w:r>
    </w:p>
    <w:p>
      <w:pPr>
        <w:pStyle w:val="BodyText"/>
      </w:pPr>
    </w:p>
    <w:p>
      <w:pPr>
        <w:pStyle w:val="BodyText"/>
        <w:spacing w:before="33"/>
      </w:pPr>
    </w:p>
    <w:p>
      <w:pPr>
        <w:spacing w:before="0"/>
        <w:ind w:left="165" w:right="0" w:firstLine="0"/>
        <w:jc w:val="both"/>
        <w:rPr>
          <w:rFonts w:ascii="Arial"/>
          <w:b/>
          <w:sz w:val="18"/>
        </w:rPr>
      </w:pPr>
      <w:r>
        <w:rPr>
          <w:rFonts w:ascii="Arial"/>
          <w:b/>
          <w:sz w:val="18"/>
        </w:rPr>
        <w:t>Shortcomings in contracts for </w:t>
      </w:r>
      <w:r>
        <w:rPr>
          <w:rFonts w:ascii="Arial"/>
          <w:b/>
          <w:spacing w:val="-2"/>
          <w:sz w:val="18"/>
        </w:rPr>
        <w:t>services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041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some cases in which the defendant supplied services which were deficient or defective, but the breach does not appear to have caused the claimant any loss, it has been held that the </w:t>
      </w:r>
      <w:r>
        <w:rPr/>
        <w:t>damages </w:t>
      </w:r>
      <w:bookmarkStart w:name="_bookmark450" w:id="452"/>
      <w:bookmarkEnd w:id="452"/>
      <w:r>
        <w:rPr/>
        <w:t>should</w:t>
      </w:r>
      <w:r>
        <w:rPr/>
        <w:t> be nominal. Thus in a famous case from the United States, </w:t>
      </w:r>
      <w:r>
        <w:rPr>
          <w:rFonts w:ascii="Arial" w:hAnsi="Arial"/>
          <w:i/>
        </w:rPr>
        <w:t>City of New Orleans v Firemen’s Charitable</w:t>
      </w:r>
      <w:r>
        <w:rPr>
          <w:rFonts w:ascii="Arial" w:hAnsi="Arial"/>
          <w:i/>
          <w:spacing w:val="-1"/>
        </w:rPr>
        <w:t> </w:t>
      </w:r>
      <w:r>
        <w:rPr>
          <w:rFonts w:ascii="Arial" w:hAnsi="Arial"/>
          <w:i/>
        </w:rPr>
        <w:t>Association</w:t>
      </w:r>
      <w:r>
        <w:rPr>
          <w:rFonts w:ascii="Arial" w:hAnsi="Arial"/>
          <w:i/>
          <w:spacing w:val="-2"/>
        </w:rPr>
        <w:t> </w:t>
      </w:r>
      <w:r>
        <w:rPr>
          <w:color w:val="005DA1"/>
          <w:u w:val="single" w:color="005DA1"/>
          <w:vertAlign w:val="superscript"/>
        </w:rPr>
        <w:t>237</w:t>
      </w:r>
      <w:r>
        <w:rPr>
          <w:color w:val="005DA1"/>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had</w:t>
      </w:r>
      <w:r>
        <w:rPr>
          <w:spacing w:val="-1"/>
          <w:vertAlign w:val="baseline"/>
        </w:rPr>
        <w:t> </w:t>
      </w:r>
      <w:r>
        <w:rPr>
          <w:vertAlign w:val="baseline"/>
        </w:rPr>
        <w:t>undertaken</w:t>
      </w:r>
      <w:r>
        <w:rPr>
          <w:spacing w:val="-1"/>
          <w:vertAlign w:val="baseline"/>
        </w:rPr>
        <w:t> </w:t>
      </w:r>
      <w:r>
        <w:rPr>
          <w:vertAlign w:val="baseline"/>
        </w:rPr>
        <w:t>to</w:t>
      </w:r>
      <w:r>
        <w:rPr>
          <w:spacing w:val="-1"/>
          <w:vertAlign w:val="baseline"/>
        </w:rPr>
        <w:t> </w:t>
      </w:r>
      <w:r>
        <w:rPr>
          <w:vertAlign w:val="baseline"/>
        </w:rPr>
        <w:t>keep</w:t>
      </w:r>
      <w:r>
        <w:rPr>
          <w:spacing w:val="-1"/>
          <w:vertAlign w:val="baseline"/>
        </w:rPr>
        <w:t> </w:t>
      </w:r>
      <w:r>
        <w:rPr>
          <w:vertAlign w:val="baseline"/>
        </w:rPr>
        <w:t>available</w:t>
      </w:r>
      <w:r>
        <w:rPr>
          <w:spacing w:val="-1"/>
          <w:vertAlign w:val="baseline"/>
        </w:rPr>
        <w:t> </w:t>
      </w:r>
      <w:r>
        <w:rPr>
          <w:vertAlign w:val="baseline"/>
        </w:rPr>
        <w:t>specified</w:t>
      </w:r>
      <w:r>
        <w:rPr>
          <w:spacing w:val="-1"/>
          <w:vertAlign w:val="baseline"/>
        </w:rPr>
        <w:t> </w:t>
      </w:r>
      <w:r>
        <w:rPr>
          <w:vertAlign w:val="baseline"/>
        </w:rPr>
        <w:t>numbers</w:t>
      </w:r>
      <w:r>
        <w:rPr>
          <w:spacing w:val="-1"/>
          <w:vertAlign w:val="baseline"/>
        </w:rPr>
        <w:t> </w:t>
      </w:r>
      <w:r>
        <w:rPr>
          <w:vertAlign w:val="baseline"/>
        </w:rPr>
        <w:t>of</w:t>
      </w:r>
      <w:r>
        <w:rPr>
          <w:spacing w:val="-1"/>
          <w:vertAlign w:val="baseline"/>
        </w:rPr>
        <w:t> </w:t>
      </w:r>
      <w:r>
        <w:rPr>
          <w:vertAlign w:val="baseline"/>
        </w:rPr>
        <w:t>men and lengths of hosepipe, and were paid accordingly. Later it was discovered that they had not kept</w:t>
      </w:r>
      <w:r>
        <w:rPr>
          <w:spacing w:val="40"/>
          <w:vertAlign w:val="baseline"/>
        </w:rPr>
        <w:t> </w:t>
      </w:r>
      <w:r>
        <w:rPr>
          <w:vertAlign w:val="baseline"/>
        </w:rPr>
        <w:t>the proper numbers of men or equipment available (and had thereby saved themselves $40,000); but the City could not show that it had suffered any loss through fires not being put out. The Louisiana </w:t>
      </w:r>
      <w:bookmarkStart w:name="_bookmark451" w:id="453"/>
      <w:bookmarkEnd w:id="453"/>
      <w:r>
        <w:rPr>
          <w:vertAlign w:val="baseline"/>
        </w:rPr>
        <w:t>Supreme</w:t>
      </w:r>
      <w:r>
        <w:rPr>
          <w:vertAlign w:val="baseline"/>
        </w:rPr>
        <w:t> Court held that substantial damages could not be recovered. But in a rather similar case in this country, the defendants were employed to deliver and collect goods for a mail order company. </w:t>
      </w:r>
      <w:r>
        <w:rPr>
          <w:color w:val="005DA1"/>
          <w:u w:val="single" w:color="005DA1"/>
          <w:vertAlign w:val="superscript"/>
        </w:rPr>
        <w:t>238</w:t>
      </w:r>
      <w:r>
        <w:rPr>
          <w:color w:val="005DA1"/>
          <w:vertAlign w:val="baseline"/>
        </w:rPr>
        <w:t> </w:t>
      </w:r>
      <w:r>
        <w:rPr>
          <w:vertAlign w:val="baseline"/>
        </w:rPr>
        <w:t>They had failed to provide the “enhanced” level of service for which the mail order company had paid, but it was not shown that this had caused any loss to the company. The company sought to recover damages based on the additional price they had paid for the enhanced level of service. This was rejected by the Court of Appeal on the ground that it amounted to seeking to recover the price by way of restitution, which is not permitted when there has been only a partial failure of consideration. It is the value of what should have been received that is relevant to damages, not the price paid.</w:t>
      </w:r>
      <w:r>
        <w:rPr>
          <w:spacing w:val="80"/>
          <w:vertAlign w:val="baseline"/>
        </w:rPr>
        <w:t> </w:t>
      </w:r>
      <w:r>
        <w:rPr>
          <w:vertAlign w:val="baseline"/>
        </w:rPr>
        <w:t>However, Sir Thomas Bingham M.R. said that if there is a clear difference between the market value of what was contracted for and what was supplied, the difference will be the measure of damages. If there is no market price, it may still be possible to quantify the loss by reference to the cost of </w:t>
      </w:r>
      <w:bookmarkStart w:name="_bookmark452" w:id="454"/>
      <w:bookmarkEnd w:id="454"/>
      <w:r>
        <w:rPr>
          <w:vertAlign w:val="baseline"/>
        </w:rPr>
        <w:t>providing</w:t>
      </w:r>
      <w:r>
        <w:rPr>
          <w:vertAlign w:val="baseline"/>
        </w:rPr>
        <w:t> the lacking services, or indeed to use the contract price as best evidence of the value of </w:t>
      </w:r>
      <w:bookmarkStart w:name="_bookmark453" w:id="455"/>
      <w:bookmarkEnd w:id="455"/>
      <w:r>
        <w:rPr>
          <w:vertAlign w:val="baseline"/>
        </w:rPr>
        <w:t>them.</w:t>
      </w:r>
      <w:r>
        <w:rPr>
          <w:vertAlign w:val="baseline"/>
        </w:rPr>
        <w:t> </w:t>
      </w:r>
      <w:r>
        <w:rPr>
          <w:color w:val="005DA1"/>
          <w:u w:val="single" w:color="005DA1"/>
          <w:vertAlign w:val="superscript"/>
        </w:rPr>
        <w:t>239</w:t>
      </w:r>
      <w:r>
        <w:rPr>
          <w:color w:val="005DA1"/>
          <w:vertAlign w:val="baseline"/>
        </w:rPr>
        <w:t> </w:t>
      </w:r>
      <w:r>
        <w:rPr>
          <w:vertAlign w:val="baseline"/>
        </w:rPr>
        <w:t>Thus the value of a performance has sometimes been calculated by assuming that it was worth at least what the buyer had agreed to pay for it. </w:t>
      </w:r>
      <w:r>
        <w:rPr>
          <w:color w:val="005DA1"/>
          <w:u w:val="single" w:color="005DA1"/>
          <w:vertAlign w:val="superscript"/>
        </w:rPr>
        <w:t>240</w:t>
      </w:r>
      <w:r>
        <w:rPr>
          <w:color w:val="005DA1"/>
          <w:vertAlign w:val="baseline"/>
        </w:rPr>
        <w:t> </w:t>
      </w:r>
      <w:r>
        <w:rPr>
          <w:vertAlign w:val="baseline"/>
        </w:rPr>
        <w:t>Subsequently it has been held that if the services provided are incomplete or of less than the contracted quality, the buyer is prima facie entitled to the difference in value between the service promised and the service delivered, whether or </w:t>
      </w:r>
      <w:bookmarkStart w:name="_bookmark454" w:id="456"/>
      <w:bookmarkEnd w:id="456"/>
      <w:r>
        <w:rPr>
          <w:vertAlign w:val="baseline"/>
        </w:rPr>
        <w:t>not</w:t>
      </w:r>
      <w:r>
        <w:rPr>
          <w:spacing w:val="32"/>
          <w:vertAlign w:val="baseline"/>
        </w:rPr>
        <w:t> </w:t>
      </w:r>
      <w:r>
        <w:rPr>
          <w:vertAlign w:val="baseline"/>
        </w:rPr>
        <w:t>he</w:t>
      </w:r>
      <w:r>
        <w:rPr>
          <w:spacing w:val="32"/>
          <w:vertAlign w:val="baseline"/>
        </w:rPr>
        <w:t> </w:t>
      </w:r>
      <w:r>
        <w:rPr>
          <w:vertAlign w:val="baseline"/>
        </w:rPr>
        <w:t>has</w:t>
      </w:r>
      <w:r>
        <w:rPr>
          <w:spacing w:val="32"/>
          <w:vertAlign w:val="baseline"/>
        </w:rPr>
        <w:t> </w:t>
      </w:r>
      <w:r>
        <w:rPr>
          <w:vertAlign w:val="baseline"/>
        </w:rPr>
        <w:t>suffered</w:t>
      </w:r>
      <w:r>
        <w:rPr>
          <w:spacing w:val="32"/>
          <w:vertAlign w:val="baseline"/>
        </w:rPr>
        <w:t> </w:t>
      </w:r>
      <w:r>
        <w:rPr>
          <w:vertAlign w:val="baseline"/>
        </w:rPr>
        <w:t>any</w:t>
      </w:r>
      <w:r>
        <w:rPr>
          <w:spacing w:val="32"/>
          <w:vertAlign w:val="baseline"/>
        </w:rPr>
        <w:t> </w:t>
      </w:r>
      <w:r>
        <w:rPr>
          <w:vertAlign w:val="baseline"/>
        </w:rPr>
        <w:t>further</w:t>
      </w:r>
      <w:r>
        <w:rPr>
          <w:spacing w:val="32"/>
          <w:vertAlign w:val="baseline"/>
        </w:rPr>
        <w:t> </w:t>
      </w:r>
      <w:r>
        <w:rPr>
          <w:vertAlign w:val="baseline"/>
        </w:rPr>
        <w:t>loss</w:t>
      </w:r>
      <w:r>
        <w:rPr>
          <w:spacing w:val="32"/>
          <w:vertAlign w:val="baseline"/>
        </w:rPr>
        <w:t> </w:t>
      </w:r>
      <w:r>
        <w:rPr>
          <w:vertAlign w:val="baseline"/>
        </w:rPr>
        <w:t>and</w:t>
      </w:r>
      <w:r>
        <w:rPr>
          <w:spacing w:val="32"/>
          <w:vertAlign w:val="baseline"/>
        </w:rPr>
        <w:t> </w:t>
      </w:r>
      <w:r>
        <w:rPr>
          <w:vertAlign w:val="baseline"/>
        </w:rPr>
        <w:t>whether</w:t>
      </w:r>
      <w:r>
        <w:rPr>
          <w:spacing w:val="32"/>
          <w:vertAlign w:val="baseline"/>
        </w:rPr>
        <w:t> </w:t>
      </w:r>
      <w:r>
        <w:rPr>
          <w:vertAlign w:val="baseline"/>
        </w:rPr>
        <w:t>or</w:t>
      </w:r>
      <w:r>
        <w:rPr>
          <w:spacing w:val="32"/>
          <w:vertAlign w:val="baseline"/>
        </w:rPr>
        <w:t> </w:t>
      </w:r>
      <w:r>
        <w:rPr>
          <w:vertAlign w:val="baseline"/>
        </w:rPr>
        <w:t>not</w:t>
      </w:r>
      <w:r>
        <w:rPr>
          <w:spacing w:val="32"/>
          <w:vertAlign w:val="baseline"/>
        </w:rPr>
        <w:t> </w:t>
      </w:r>
      <w:r>
        <w:rPr>
          <w:vertAlign w:val="baseline"/>
        </w:rPr>
        <w:t>he</w:t>
      </w:r>
      <w:r>
        <w:rPr>
          <w:spacing w:val="32"/>
          <w:vertAlign w:val="baseline"/>
        </w:rPr>
        <w:t> </w:t>
      </w:r>
      <w:r>
        <w:rPr>
          <w:vertAlign w:val="baseline"/>
        </w:rPr>
        <w:t>has</w:t>
      </w:r>
      <w:r>
        <w:rPr>
          <w:spacing w:val="32"/>
          <w:vertAlign w:val="baseline"/>
        </w:rPr>
        <w:t> </w:t>
      </w:r>
      <w:r>
        <w:rPr>
          <w:vertAlign w:val="baseline"/>
        </w:rPr>
        <w:t>obtained</w:t>
      </w:r>
      <w:r>
        <w:rPr>
          <w:spacing w:val="32"/>
          <w:vertAlign w:val="baseline"/>
        </w:rPr>
        <w:t> </w:t>
      </w:r>
      <w:r>
        <w:rPr>
          <w:vertAlign w:val="baseline"/>
        </w:rPr>
        <w:t>substitute</w:t>
      </w:r>
      <w:r>
        <w:rPr>
          <w:spacing w:val="32"/>
          <w:vertAlign w:val="baseline"/>
        </w:rPr>
        <w:t> </w:t>
      </w:r>
      <w:r>
        <w:rPr>
          <w:vertAlign w:val="baseline"/>
        </w:rPr>
        <w:t>services</w:t>
      </w:r>
      <w:r>
        <w:rPr>
          <w:spacing w:val="32"/>
          <w:vertAlign w:val="baseline"/>
        </w:rPr>
        <w:t> </w:t>
      </w:r>
      <w:r>
        <w:rPr>
          <w:spacing w:val="-4"/>
          <w:vertAlign w:val="baseline"/>
        </w:rPr>
        <w:t>from</w:t>
      </w:r>
    </w:p>
    <w:p>
      <w:pPr>
        <w:pStyle w:val="BodyText"/>
        <w:spacing w:before="107"/>
        <w:ind w:left="165"/>
        <w:jc w:val="both"/>
        <w:rPr>
          <w:position w:val="-2"/>
        </w:rPr>
      </w:pPr>
      <w:r>
        <w:rPr/>
        <w:t>another supplier. </w:t>
      </w:r>
      <w:r>
        <w:rPr>
          <w:color w:val="005DA1"/>
          <w:u w:val="single" w:color="005DA1"/>
          <w:vertAlign w:val="superscript"/>
        </w:rPr>
        <w:t>241</w:t>
      </w:r>
      <w:r>
        <w:rPr>
          <w:color w:val="005DA1"/>
          <w:spacing w:val="80"/>
          <w:vertAlign w:val="baseline"/>
        </w:rPr>
        <w:t> </w:t>
      </w:r>
      <w:r>
        <w:rPr>
          <w:color w:val="005DA1"/>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Landlord’s failure to maintain or </w:t>
      </w:r>
      <w:r>
        <w:rPr>
          <w:rFonts w:ascii="Arial" w:hAnsi="Arial"/>
          <w:b/>
          <w:spacing w:val="-2"/>
          <w:sz w:val="18"/>
        </w:rPr>
        <w:t>repair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041A</w:t>
      </w:r>
    </w:p>
    <w:p>
      <w:pPr>
        <w:spacing w:after="0"/>
        <w:jc w:val="left"/>
        <w:rPr>
          <w:rFonts w:ascii="Arial"/>
          <w:b/>
          <w:sz w:val="24"/>
        </w:rPr>
        <w:sectPr>
          <w:pgSz w:w="11900" w:h="16840"/>
          <w:pgMar w:header="971" w:footer="0" w:top="1300" w:bottom="280" w:left="1275" w:right="1275"/>
        </w:sectPr>
      </w:pPr>
    </w:p>
    <w:p>
      <w:pPr>
        <w:pStyle w:val="BodyText"/>
        <w:spacing w:before="96"/>
        <w:rPr>
          <w:rFonts w:ascii="Arial"/>
          <w:b/>
        </w:rPr>
      </w:pPr>
    </w:p>
    <w:p>
      <w:pPr>
        <w:pStyle w:val="BodyText"/>
        <w:ind w:left="165"/>
        <w:jc w:val="both"/>
      </w:pPr>
      <w:r>
        <w:rPr>
          <w:position w:val="-2"/>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455" w:id="457"/>
      <w:bookmarkEnd w:id="457"/>
      <w:r>
        <w:rPr>
          <w:rFonts w:ascii="Times New Roman"/>
          <w:spacing w:val="20"/>
        </w:rPr>
      </w:r>
      <w:r>
        <w:rPr/>
        <w:t>A</w:t>
      </w:r>
      <w:r>
        <w:rPr>
          <w:spacing w:val="16"/>
        </w:rPr>
        <w:t> </w:t>
      </w:r>
      <w:r>
        <w:rPr/>
        <w:t>slightly</w:t>
      </w:r>
      <w:r>
        <w:rPr>
          <w:spacing w:val="16"/>
        </w:rPr>
        <w:t> </w:t>
      </w:r>
      <w:r>
        <w:rPr/>
        <w:t>different</w:t>
      </w:r>
      <w:r>
        <w:rPr>
          <w:spacing w:val="16"/>
        </w:rPr>
        <w:t> </w:t>
      </w:r>
      <w:r>
        <w:rPr/>
        <w:t>approach</w:t>
      </w:r>
      <w:r>
        <w:rPr>
          <w:spacing w:val="16"/>
        </w:rPr>
        <w:t> </w:t>
      </w:r>
      <w:r>
        <w:rPr/>
        <w:t>has</w:t>
      </w:r>
      <w:r>
        <w:rPr>
          <w:spacing w:val="16"/>
        </w:rPr>
        <w:t> </w:t>
      </w:r>
      <w:r>
        <w:rPr/>
        <w:t>been</w:t>
      </w:r>
      <w:r>
        <w:rPr>
          <w:spacing w:val="16"/>
        </w:rPr>
        <w:t> </w:t>
      </w:r>
      <w:r>
        <w:rPr/>
        <w:t>taken</w:t>
      </w:r>
      <w:r>
        <w:rPr>
          <w:spacing w:val="16"/>
        </w:rPr>
        <w:t> </w:t>
      </w:r>
      <w:r>
        <w:rPr/>
        <w:t>by</w:t>
      </w:r>
      <w:r>
        <w:rPr>
          <w:spacing w:val="16"/>
        </w:rPr>
        <w:t> </w:t>
      </w:r>
      <w:r>
        <w:rPr/>
        <w:t>the</w:t>
      </w:r>
      <w:r>
        <w:rPr>
          <w:spacing w:val="16"/>
        </w:rPr>
        <w:t> </w:t>
      </w:r>
      <w:r>
        <w:rPr/>
        <w:t>Court</w:t>
      </w:r>
      <w:r>
        <w:rPr>
          <w:spacing w:val="16"/>
        </w:rPr>
        <w:t> </w:t>
      </w:r>
      <w:r>
        <w:rPr/>
        <w:t>of</w:t>
      </w:r>
      <w:r>
        <w:rPr>
          <w:spacing w:val="16"/>
        </w:rPr>
        <w:t> </w:t>
      </w:r>
      <w:r>
        <w:rPr/>
        <w:t>Appeal</w:t>
      </w:r>
      <w:r>
        <w:rPr>
          <w:spacing w:val="16"/>
        </w:rPr>
        <w:t> </w:t>
      </w:r>
      <w:r>
        <w:rPr/>
        <w:t>in</w:t>
      </w:r>
      <w:r>
        <w:rPr>
          <w:spacing w:val="16"/>
        </w:rPr>
        <w:t> </w:t>
      </w:r>
      <w:r>
        <w:rPr/>
        <w:t>a</w:t>
      </w:r>
      <w:r>
        <w:rPr>
          <w:spacing w:val="16"/>
        </w:rPr>
        <w:t> </w:t>
      </w:r>
      <w:r>
        <w:rPr/>
        <w:t>case</w:t>
      </w:r>
      <w:r>
        <w:rPr>
          <w:spacing w:val="16"/>
        </w:rPr>
        <w:t> </w:t>
      </w:r>
      <w:r>
        <w:rPr/>
        <w:t>in</w:t>
      </w:r>
      <w:r>
        <w:rPr>
          <w:spacing w:val="16"/>
        </w:rPr>
        <w:t> </w:t>
      </w:r>
      <w:r>
        <w:rPr/>
        <w:t>which</w:t>
      </w:r>
      <w:r>
        <w:rPr>
          <w:spacing w:val="16"/>
        </w:rPr>
        <w:t> </w:t>
      </w:r>
      <w:r>
        <w:rPr/>
        <w:t>a</w:t>
      </w:r>
      <w:r>
        <w:rPr>
          <w:spacing w:val="16"/>
        </w:rPr>
        <w:t> </w:t>
      </w:r>
      <w:r>
        <w:rPr/>
        <w:t>landlord</w:t>
      </w:r>
    </w:p>
    <w:p>
      <w:pPr>
        <w:pStyle w:val="BodyText"/>
        <w:spacing w:line="235" w:lineRule="auto" w:before="119"/>
        <w:ind w:left="165" w:right="167"/>
        <w:jc w:val="both"/>
      </w:pPr>
      <w:r>
        <w:rPr/>
        <w:t>had</w:t>
      </w:r>
      <w:r>
        <w:rPr>
          <w:spacing w:val="-2"/>
        </w:rPr>
        <w:t> </w:t>
      </w:r>
      <w:r>
        <w:rPr/>
        <w:t>failed</w:t>
      </w:r>
      <w:r>
        <w:rPr>
          <w:spacing w:val="-2"/>
        </w:rPr>
        <w:t> </w:t>
      </w:r>
      <w:r>
        <w:rPr/>
        <w:t>to</w:t>
      </w:r>
      <w:r>
        <w:rPr>
          <w:spacing w:val="-2"/>
        </w:rPr>
        <w:t> </w:t>
      </w:r>
      <w:r>
        <w:rPr/>
        <w:t>repair</w:t>
      </w:r>
      <w:r>
        <w:rPr>
          <w:spacing w:val="-2"/>
        </w:rPr>
        <w:t> </w:t>
      </w:r>
      <w:r>
        <w:rPr/>
        <w:t>premises</w:t>
      </w:r>
      <w:r>
        <w:rPr>
          <w:spacing w:val="-2"/>
        </w:rPr>
        <w:t> </w:t>
      </w:r>
      <w:r>
        <w:rPr/>
        <w:t>that</w:t>
      </w:r>
      <w:r>
        <w:rPr>
          <w:spacing w:val="-2"/>
        </w:rPr>
        <w:t> </w:t>
      </w:r>
      <w:r>
        <w:rPr/>
        <w:t>had</w:t>
      </w:r>
      <w:r>
        <w:rPr>
          <w:spacing w:val="-2"/>
        </w:rPr>
        <w:t> </w:t>
      </w:r>
      <w:r>
        <w:rPr/>
        <w:t>been</w:t>
      </w:r>
      <w:r>
        <w:rPr>
          <w:spacing w:val="-2"/>
        </w:rPr>
        <w:t> </w:t>
      </w:r>
      <w:r>
        <w:rPr/>
        <w:t>flooded.</w:t>
      </w:r>
      <w:r>
        <w:rPr>
          <w:spacing w:val="-2"/>
        </w:rPr>
        <w:t> </w:t>
      </w:r>
      <w:r>
        <w:rPr>
          <w:color w:val="005DA1"/>
          <w:u w:val="single" w:color="005DA1"/>
          <w:vertAlign w:val="superscript"/>
        </w:rPr>
        <w:t>242</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loss</w:t>
      </w:r>
      <w:r>
        <w:rPr>
          <w:spacing w:val="-2"/>
          <w:vertAlign w:val="baseline"/>
        </w:rPr>
        <w:t> </w:t>
      </w:r>
      <w:r>
        <w:rPr>
          <w:vertAlign w:val="baseline"/>
        </w:rPr>
        <w:t>consists</w:t>
      </w:r>
      <w:r>
        <w:rPr>
          <w:spacing w:val="-2"/>
          <w:vertAlign w:val="baseline"/>
        </w:rPr>
        <w:t> </w:t>
      </w:r>
      <w:r>
        <w:rPr>
          <w:vertAlign w:val="baseline"/>
        </w:rPr>
        <w:t>in</w:t>
      </w:r>
      <w:r>
        <w:rPr>
          <w:spacing w:val="-2"/>
          <w:vertAlign w:val="baseline"/>
        </w:rPr>
        <w:t> </w:t>
      </w:r>
      <w:r>
        <w:rPr>
          <w:vertAlign w:val="baseline"/>
        </w:rPr>
        <w:t>the impairment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rights</w:t>
      </w:r>
      <w:r>
        <w:rPr>
          <w:spacing w:val="-2"/>
          <w:vertAlign w:val="baseline"/>
        </w:rPr>
        <w:t> </w:t>
      </w:r>
      <w:r>
        <w:rPr>
          <w:vertAlign w:val="baseline"/>
        </w:rPr>
        <w:t>of</w:t>
      </w:r>
      <w:r>
        <w:rPr>
          <w:spacing w:val="-2"/>
          <w:vertAlign w:val="baseline"/>
        </w:rPr>
        <w:t> </w:t>
      </w:r>
      <w:r>
        <w:rPr>
          <w:vertAlign w:val="baseline"/>
        </w:rPr>
        <w:t>amenity</w:t>
      </w:r>
      <w:r>
        <w:rPr>
          <w:spacing w:val="-2"/>
          <w:vertAlign w:val="baseline"/>
        </w:rPr>
        <w:t> </w:t>
      </w:r>
      <w:r>
        <w:rPr>
          <w:vertAlign w:val="baseline"/>
        </w:rPr>
        <w:t>afforded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lessee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lease;</w:t>
      </w:r>
      <w:r>
        <w:rPr>
          <w:spacing w:val="-2"/>
          <w:vertAlign w:val="baseline"/>
        </w:rPr>
        <w:t> </w:t>
      </w:r>
      <w:r>
        <w:rPr>
          <w:vertAlign w:val="baseline"/>
        </w:rPr>
        <w:t>discomfort,</w:t>
      </w:r>
      <w:r>
        <w:rPr>
          <w:spacing w:val="-2"/>
          <w:vertAlign w:val="baseline"/>
        </w:rPr>
        <w:t> </w:t>
      </w:r>
      <w:r>
        <w:rPr>
          <w:vertAlign w:val="baseline"/>
        </w:rPr>
        <w:t>inconvenience</w:t>
      </w:r>
      <w:r>
        <w:rPr>
          <w:spacing w:val="-2"/>
          <w:vertAlign w:val="baseline"/>
        </w:rPr>
        <w:t> </w:t>
      </w:r>
      <w:r>
        <w:rPr>
          <w:vertAlign w:val="baseline"/>
        </w:rPr>
        <w:t>and distress (and even the deterioration of the health of a loved one) are only symptoms. Therefore the lessee may claim for loss of amenity even though for reasons unconnected with the disrepair itself he may have chosen not to make full use, or even any use, of them during part or all of the relevant period. But the non-use of the premises may be seen as a form of mitigation of loss, and non-use of the premises for other reasons may also be taken into account, so that the lessee will not necessarily recover the full market rental for the period of disrepair. If the lessee has to rent other premises, then </w:t>
      </w:r>
      <w:bookmarkStart w:name="_bookmark456" w:id="458"/>
      <w:bookmarkEnd w:id="458"/>
      <w:r>
        <w:rPr>
          <w:vertAlign w:val="baseline"/>
        </w:rPr>
        <w:t>the</w:t>
      </w:r>
      <w:r>
        <w:rPr>
          <w:spacing w:val="9"/>
          <w:vertAlign w:val="baseline"/>
        </w:rPr>
        <w:t> </w:t>
      </w:r>
      <w:r>
        <w:rPr>
          <w:vertAlign w:val="baseline"/>
        </w:rPr>
        <w:t>cost</w:t>
      </w:r>
      <w:r>
        <w:rPr>
          <w:spacing w:val="11"/>
          <w:vertAlign w:val="baseline"/>
        </w:rPr>
        <w:t> </w:t>
      </w:r>
      <w:r>
        <w:rPr>
          <w:vertAlign w:val="baseline"/>
        </w:rPr>
        <w:t>of</w:t>
      </w:r>
      <w:r>
        <w:rPr>
          <w:spacing w:val="11"/>
          <w:vertAlign w:val="baseline"/>
        </w:rPr>
        <w:t> </w:t>
      </w:r>
      <w:r>
        <w:rPr>
          <w:vertAlign w:val="baseline"/>
        </w:rPr>
        <w:t>doing</w:t>
      </w:r>
      <w:r>
        <w:rPr>
          <w:spacing w:val="11"/>
          <w:vertAlign w:val="baseline"/>
        </w:rPr>
        <w:t> </w:t>
      </w:r>
      <w:r>
        <w:rPr>
          <w:vertAlign w:val="baseline"/>
        </w:rPr>
        <w:t>so</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the</w:t>
      </w:r>
      <w:r>
        <w:rPr>
          <w:spacing w:val="11"/>
          <w:vertAlign w:val="baseline"/>
        </w:rPr>
        <w:t> </w:t>
      </w:r>
      <w:r>
        <w:rPr>
          <w:vertAlign w:val="baseline"/>
        </w:rPr>
        <w:t>best</w:t>
      </w:r>
      <w:r>
        <w:rPr>
          <w:spacing w:val="11"/>
          <w:vertAlign w:val="baseline"/>
        </w:rPr>
        <w:t> </w:t>
      </w:r>
      <w:r>
        <w:rPr>
          <w:vertAlign w:val="baseline"/>
        </w:rPr>
        <w:t>measure</w:t>
      </w:r>
      <w:r>
        <w:rPr>
          <w:spacing w:val="11"/>
          <w:vertAlign w:val="baseline"/>
        </w:rPr>
        <w:t> </w:t>
      </w:r>
      <w:r>
        <w:rPr>
          <w:vertAlign w:val="baseline"/>
        </w:rPr>
        <w:t>of</w:t>
      </w:r>
      <w:r>
        <w:rPr>
          <w:spacing w:val="11"/>
          <w:vertAlign w:val="baseline"/>
        </w:rPr>
        <w:t> </w:t>
      </w:r>
      <w:r>
        <w:rPr>
          <w:vertAlign w:val="baseline"/>
        </w:rPr>
        <w:t>his</w:t>
      </w:r>
      <w:r>
        <w:rPr>
          <w:spacing w:val="11"/>
          <w:vertAlign w:val="baseline"/>
        </w:rPr>
        <w:t> </w:t>
      </w:r>
      <w:r>
        <w:rPr>
          <w:vertAlign w:val="baseline"/>
        </w:rPr>
        <w:t>loss</w:t>
      </w:r>
      <w:r>
        <w:rPr>
          <w:spacing w:val="11"/>
          <w:vertAlign w:val="baseline"/>
        </w:rPr>
        <w:t> </w:t>
      </w:r>
      <w:r>
        <w:rPr>
          <w:vertAlign w:val="baseline"/>
        </w:rPr>
        <w:t>and</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recoverable</w:t>
      </w:r>
      <w:r>
        <w:rPr>
          <w:spacing w:val="11"/>
          <w:vertAlign w:val="baseline"/>
        </w:rPr>
        <w:t> </w:t>
      </w:r>
      <w:r>
        <w:rPr>
          <w:vertAlign w:val="baseline"/>
        </w:rPr>
        <w:t>even</w:t>
      </w:r>
      <w:r>
        <w:rPr>
          <w:spacing w:val="11"/>
          <w:vertAlign w:val="baseline"/>
        </w:rPr>
        <w:t> </w:t>
      </w:r>
      <w:r>
        <w:rPr>
          <w:vertAlign w:val="baseline"/>
        </w:rPr>
        <w:t>if</w:t>
      </w:r>
      <w:r>
        <w:rPr>
          <w:spacing w:val="11"/>
          <w:vertAlign w:val="baseline"/>
        </w:rPr>
        <w:t> </w:t>
      </w:r>
      <w:r>
        <w:rPr>
          <w:vertAlign w:val="baseline"/>
        </w:rPr>
        <w:t>it</w:t>
      </w:r>
      <w:r>
        <w:rPr>
          <w:spacing w:val="11"/>
          <w:vertAlign w:val="baseline"/>
        </w:rPr>
        <w:t> </w:t>
      </w:r>
      <w:r>
        <w:rPr>
          <w:spacing w:val="-2"/>
          <w:vertAlign w:val="baseline"/>
        </w:rPr>
        <w:t>exceeds</w:t>
      </w:r>
    </w:p>
    <w:p>
      <w:pPr>
        <w:pStyle w:val="BodyText"/>
        <w:spacing w:before="113"/>
        <w:ind w:left="165"/>
        <w:jc w:val="both"/>
      </w:pPr>
      <w:r>
        <w:rPr/>
        <w:t>the</w:t>
      </w:r>
      <w:r>
        <w:rPr>
          <w:spacing w:val="-4"/>
        </w:rPr>
        <w:t> </w:t>
      </w:r>
      <w:r>
        <w:rPr/>
        <w:t>market</w:t>
      </w:r>
      <w:r>
        <w:rPr>
          <w:spacing w:val="-1"/>
        </w:rPr>
        <w:t> </w:t>
      </w:r>
      <w:r>
        <w:rPr/>
        <w:t>rental</w:t>
      </w:r>
      <w:r>
        <w:rPr>
          <w:spacing w:val="-2"/>
        </w:rPr>
        <w:t> </w:t>
      </w:r>
      <w:r>
        <w:rPr/>
        <w:t>value</w:t>
      </w:r>
      <w:r>
        <w:rPr>
          <w:spacing w:val="-1"/>
        </w:rPr>
        <w:t> </w:t>
      </w:r>
      <w:r>
        <w:rPr/>
        <w:t>of</w:t>
      </w:r>
      <w:r>
        <w:rPr>
          <w:spacing w:val="-2"/>
        </w:rPr>
        <w:t> </w:t>
      </w:r>
      <w:r>
        <w:rPr/>
        <w:t>the</w:t>
      </w:r>
      <w:r>
        <w:rPr>
          <w:spacing w:val="-1"/>
        </w:rPr>
        <w:t> </w:t>
      </w:r>
      <w:r>
        <w:rPr/>
        <w:t>original</w:t>
      </w:r>
      <w:r>
        <w:rPr>
          <w:spacing w:val="-2"/>
        </w:rPr>
        <w:t> </w:t>
      </w:r>
      <w:r>
        <w:rPr/>
        <w:t>property</w:t>
      </w:r>
      <w:r>
        <w:rPr>
          <w:spacing w:val="-2"/>
        </w:rPr>
        <w:t> </w:t>
      </w:r>
      <w:r>
        <w:rPr>
          <w:color w:val="005DA1"/>
          <w:u w:val="single" w:color="005DA1"/>
          <w:vertAlign w:val="superscript"/>
        </w:rPr>
        <w:t>243</w:t>
      </w:r>
      <w:r>
        <w:rPr>
          <w:color w:val="005DA1"/>
          <w:spacing w:val="79"/>
          <w:w w:val="150"/>
          <w:vertAlign w:val="baseline"/>
        </w:rPr>
        <w:t> </w:t>
      </w:r>
      <w:r>
        <w:rPr>
          <w:color w:val="005DA1"/>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1"/>
          <w:vertAlign w:val="baseline"/>
        </w:rPr>
        <w:t> </w:t>
      </w:r>
      <w:r>
        <w:rPr>
          <w:spacing w:val="-2"/>
          <w:vertAlign w:val="baseline"/>
        </w:rPr>
        <w:t>conversely,</w:t>
      </w:r>
    </w:p>
    <w:p>
      <w:pPr>
        <w:pStyle w:val="BodyText"/>
      </w:pPr>
    </w:p>
    <w:p>
      <w:pPr>
        <w:pStyle w:val="BodyText"/>
        <w:spacing w:before="125"/>
      </w:pPr>
    </w:p>
    <w:p>
      <w:pPr>
        <w:pStyle w:val="BodyText"/>
        <w:spacing w:line="235" w:lineRule="auto" w:before="1"/>
        <w:ind w:left="1245"/>
      </w:pPr>
      <w:r>
        <w:rPr/>
        <w:t>“… the court is entitled and, I would say, obliged to temper the rigour of those rules </w:t>
      </w:r>
      <w:r>
        <w:rPr/>
        <w:t>which </w:t>
      </w:r>
      <w:bookmarkStart w:name="_bookmark457" w:id="459"/>
      <w:bookmarkEnd w:id="459"/>
      <w:r>
        <w:rPr/>
        <w:t>seek</w:t>
      </w:r>
      <w:r>
        <w:rPr>
          <w:spacing w:val="52"/>
        </w:rPr>
        <w:t> </w:t>
      </w:r>
      <w:r>
        <w:rPr/>
        <w:t>to</w:t>
      </w:r>
      <w:r>
        <w:rPr>
          <w:spacing w:val="52"/>
        </w:rPr>
        <w:t> </w:t>
      </w:r>
      <w:r>
        <w:rPr/>
        <w:t>implement</w:t>
      </w:r>
      <w:r>
        <w:rPr>
          <w:spacing w:val="52"/>
        </w:rPr>
        <w:t> </w:t>
      </w:r>
      <w:r>
        <w:rPr/>
        <w:t>the</w:t>
      </w:r>
      <w:r>
        <w:rPr>
          <w:spacing w:val="52"/>
        </w:rPr>
        <w:t> </w:t>
      </w:r>
      <w:r>
        <w:rPr/>
        <w:t>compensatory</w:t>
      </w:r>
      <w:r>
        <w:rPr>
          <w:spacing w:val="52"/>
        </w:rPr>
        <w:t> </w:t>
      </w:r>
      <w:r>
        <w:rPr/>
        <w:t>principle</w:t>
      </w:r>
      <w:r>
        <w:rPr>
          <w:spacing w:val="52"/>
        </w:rPr>
        <w:t> </w:t>
      </w:r>
      <w:r>
        <w:rPr/>
        <w:t>which</w:t>
      </w:r>
      <w:r>
        <w:rPr>
          <w:spacing w:val="52"/>
        </w:rPr>
        <w:t> </w:t>
      </w:r>
      <w:r>
        <w:rPr/>
        <w:t>lies</w:t>
      </w:r>
      <w:r>
        <w:rPr>
          <w:spacing w:val="52"/>
        </w:rPr>
        <w:t> </w:t>
      </w:r>
      <w:r>
        <w:rPr/>
        <w:t>at</w:t>
      </w:r>
      <w:r>
        <w:rPr>
          <w:spacing w:val="52"/>
        </w:rPr>
        <w:t> </w:t>
      </w:r>
      <w:r>
        <w:rPr/>
        <w:t>the</w:t>
      </w:r>
      <w:r>
        <w:rPr>
          <w:spacing w:val="52"/>
        </w:rPr>
        <w:t> </w:t>
      </w:r>
      <w:r>
        <w:rPr/>
        <w:t>heart</w:t>
      </w:r>
      <w:r>
        <w:rPr>
          <w:spacing w:val="52"/>
        </w:rPr>
        <w:t> </w:t>
      </w:r>
      <w:r>
        <w:rPr/>
        <w:t>of</w:t>
      </w:r>
      <w:r>
        <w:rPr>
          <w:spacing w:val="52"/>
        </w:rPr>
        <w:t> </w:t>
      </w:r>
      <w:r>
        <w:rPr/>
        <w:t>the</w:t>
      </w:r>
      <w:r>
        <w:rPr>
          <w:spacing w:val="52"/>
        </w:rPr>
        <w:t> </w:t>
      </w:r>
      <w:r>
        <w:rPr/>
        <w:t>law</w:t>
      </w:r>
      <w:r>
        <w:rPr>
          <w:spacing w:val="52"/>
        </w:rPr>
        <w:t> </w:t>
      </w:r>
      <w:r>
        <w:rPr>
          <w:spacing w:val="-5"/>
        </w:rPr>
        <w:t>of</w:t>
      </w:r>
    </w:p>
    <w:p>
      <w:pPr>
        <w:pStyle w:val="BodyText"/>
        <w:spacing w:before="115"/>
        <w:ind w:left="1245"/>
        <w:rPr>
          <w:position w:val="-2"/>
        </w:rPr>
      </w:pPr>
      <w:r>
        <w:rPr/>
        <w:t>damages, where particular circumstances make it just to do so”. </w:t>
      </w:r>
      <w:r>
        <w:rPr>
          <w:color w:val="005DA1"/>
          <w:u w:val="single" w:color="005DA1"/>
          <w:vertAlign w:val="superscript"/>
        </w:rPr>
        <w:t>244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6"/>
      </w:pPr>
    </w:p>
    <w:p>
      <w:pPr>
        <w:pStyle w:val="BodyText"/>
        <w:spacing w:line="235" w:lineRule="auto"/>
        <w:ind w:left="165" w:right="167"/>
        <w:jc w:val="both"/>
      </w:pPr>
      <w:bookmarkStart w:name="_bookmark458" w:id="460"/>
      <w:bookmarkEnd w:id="460"/>
      <w:r>
        <w:rPr/>
      </w:r>
      <w:r>
        <w:rPr/>
        <w:t>The cases on goods and services cited in the previous paragraphs </w:t>
      </w:r>
      <w:r>
        <w:rPr>
          <w:color w:val="005DA1"/>
          <w:u w:val="single" w:color="005DA1"/>
          <w:vertAlign w:val="superscript"/>
        </w:rPr>
        <w:t>245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10"/>
          <w:vertAlign w:val="baseline"/>
        </w:rPr>
        <w:t> </w:t>
      </w:r>
      <w:r>
        <w:rPr>
          <w:vertAlign w:val="baseline"/>
        </w:rPr>
        <w:t>were not cited. It is not obvious why a buyer of goods or services should recover the difference between the value of </w:t>
      </w:r>
      <w:r>
        <w:rPr>
          <w:vertAlign w:val="baseline"/>
        </w:rPr>
        <w:t>the goods or services that should have been provided and the value of what was provided, but a lessee who has been deprived of the use of the property because of a failure to repair will not recover the full market rental irrespective of whether he would have used the property.</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The “performance” </w:t>
      </w:r>
      <w:r>
        <w:rPr>
          <w:rFonts w:ascii="Arial" w:hAnsi="Arial"/>
          <w:b/>
          <w:spacing w:val="-2"/>
          <w:sz w:val="18"/>
        </w:rPr>
        <w:t>interest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Recent cases of three different types have recognised that a party to a contract may have an interest in performance of the contract even though the defendant’s breach does not cause </w:t>
      </w:r>
      <w:r>
        <w:rPr/>
        <w:t>the </w:t>
      </w:r>
      <w:bookmarkStart w:name="_bookmark459" w:id="461"/>
      <w:bookmarkEnd w:id="461"/>
      <w:r>
        <w:rPr/>
        <w:t>claimant</w:t>
      </w:r>
      <w:r>
        <w:rPr>
          <w:spacing w:val="28"/>
        </w:rPr>
        <w:t> </w:t>
      </w:r>
      <w:r>
        <w:rPr/>
        <w:t>any</w:t>
      </w:r>
      <w:r>
        <w:rPr>
          <w:spacing w:val="30"/>
        </w:rPr>
        <w:t> </w:t>
      </w:r>
      <w:r>
        <w:rPr/>
        <w:t>obvious</w:t>
      </w:r>
      <w:r>
        <w:rPr>
          <w:spacing w:val="30"/>
        </w:rPr>
        <w:t> </w:t>
      </w:r>
      <w:r>
        <w:rPr/>
        <w:t>loss.</w:t>
      </w:r>
      <w:r>
        <w:rPr>
          <w:spacing w:val="30"/>
        </w:rPr>
        <w:t> </w:t>
      </w:r>
      <w:r>
        <w:rPr/>
        <w:t>One</w:t>
      </w:r>
      <w:r>
        <w:rPr>
          <w:spacing w:val="30"/>
        </w:rPr>
        <w:t> </w:t>
      </w:r>
      <w:r>
        <w:rPr/>
        <w:t>class</w:t>
      </w:r>
      <w:r>
        <w:rPr>
          <w:spacing w:val="30"/>
        </w:rPr>
        <w:t> </w:t>
      </w:r>
      <w:r>
        <w:rPr/>
        <w:t>of</w:t>
      </w:r>
      <w:r>
        <w:rPr>
          <w:spacing w:val="30"/>
        </w:rPr>
        <w:t> </w:t>
      </w:r>
      <w:r>
        <w:rPr/>
        <w:t>case</w:t>
      </w:r>
      <w:r>
        <w:rPr>
          <w:spacing w:val="30"/>
        </w:rPr>
        <w:t> </w:t>
      </w:r>
      <w:r>
        <w:rPr/>
        <w:t>is</w:t>
      </w:r>
      <w:r>
        <w:rPr>
          <w:spacing w:val="30"/>
        </w:rPr>
        <w:t> </w:t>
      </w:r>
      <w:r>
        <w:rPr/>
        <w:t>where</w:t>
      </w:r>
      <w:r>
        <w:rPr>
          <w:spacing w:val="30"/>
        </w:rPr>
        <w:t> </w:t>
      </w:r>
      <w:r>
        <w:rPr/>
        <w:t>the</w:t>
      </w:r>
      <w:r>
        <w:rPr>
          <w:spacing w:val="30"/>
        </w:rPr>
        <w:t> </w:t>
      </w:r>
      <w:r>
        <w:rPr/>
        <w:t>claimant</w:t>
      </w:r>
      <w:r>
        <w:rPr>
          <w:spacing w:val="30"/>
        </w:rPr>
        <w:t> </w:t>
      </w:r>
      <w:r>
        <w:rPr/>
        <w:t>has</w:t>
      </w:r>
      <w:r>
        <w:rPr>
          <w:spacing w:val="30"/>
        </w:rPr>
        <w:t> </w:t>
      </w:r>
      <w:r>
        <w:rPr/>
        <w:t>contracted</w:t>
      </w:r>
      <w:r>
        <w:rPr>
          <w:spacing w:val="30"/>
        </w:rPr>
        <w:t> </w:t>
      </w:r>
      <w:r>
        <w:rPr/>
        <w:t>for</w:t>
      </w:r>
      <w:r>
        <w:rPr>
          <w:spacing w:val="30"/>
        </w:rPr>
        <w:t> </w:t>
      </w:r>
      <w:r>
        <w:rPr>
          <w:spacing w:val="-2"/>
        </w:rPr>
        <w:t>something</w:t>
      </w:r>
    </w:p>
    <w:p>
      <w:pPr>
        <w:pStyle w:val="BodyText"/>
        <w:spacing w:line="235" w:lineRule="auto" w:before="119"/>
        <w:ind w:left="165" w:right="167"/>
        <w:jc w:val="both"/>
      </w:pPr>
      <w:r>
        <w:rPr/>
        <w:t>which will benefit a third person </w:t>
      </w:r>
      <w:r>
        <w:rPr>
          <w:color w:val="005DA1"/>
          <w:u w:val="single" w:color="005DA1"/>
          <w:vertAlign w:val="superscript"/>
        </w:rPr>
        <w:t>246</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The courts have recognised that though failure to provide </w:t>
      </w:r>
      <w:r>
        <w:rPr>
          <w:vertAlign w:val="baseline"/>
        </w:rPr>
        <w:t>the </w:t>
      </w:r>
      <w:bookmarkStart w:name="_bookmark460" w:id="462"/>
      <w:bookmarkEnd w:id="462"/>
      <w:r>
        <w:rPr>
          <w:vertAlign w:val="baseline"/>
        </w:rPr>
        <w:t>service</w:t>
      </w:r>
      <w:r>
        <w:rPr>
          <w:vertAlign w:val="baseline"/>
        </w:rPr>
        <w:t> may not cause loss to the claimant, the claimant nonetheless has an interest in performance. The damages available in this type of case were discussed in Ch.18. </w:t>
      </w:r>
      <w:r>
        <w:rPr>
          <w:color w:val="005DA1"/>
          <w:u w:val="single" w:color="005DA1"/>
          <w:vertAlign w:val="superscript"/>
        </w:rPr>
        <w:t>247</w:t>
      </w:r>
      <w:r>
        <w:rPr>
          <w:color w:val="005DA1"/>
          <w:vertAlign w:val="baseline"/>
        </w:rPr>
        <w:t> </w:t>
      </w:r>
      <w:r>
        <w:rPr>
          <w:vertAlign w:val="baseline"/>
        </w:rPr>
        <w:t>It was in a case of this type that Lord Goff (dissenting) said that the courts may now be giving:</w:t>
      </w:r>
    </w:p>
    <w:p>
      <w:pPr>
        <w:pStyle w:val="BodyText"/>
      </w:pPr>
    </w:p>
    <w:p>
      <w:pPr>
        <w:pStyle w:val="BodyText"/>
        <w:spacing w:before="125"/>
      </w:pPr>
    </w:p>
    <w:p>
      <w:pPr>
        <w:pStyle w:val="BodyText"/>
        <w:spacing w:line="235" w:lineRule="auto" w:before="1"/>
        <w:ind w:left="1245"/>
      </w:pPr>
      <w:bookmarkStart w:name="_bookmark461" w:id="463"/>
      <w:bookmarkEnd w:id="463"/>
      <w:r>
        <w:rPr/>
      </w:r>
      <w:r>
        <w:rPr/>
        <w:t>“… fuller recognition of the importance of the protection of a contracting party’s interest in the performance of his contract than has occurred in the past.” </w:t>
      </w:r>
      <w:r>
        <w:rPr>
          <w:color w:val="005DA1"/>
          <w:u w:val="single" w:color="005DA1"/>
          <w:vertAlign w:val="superscript"/>
        </w:rPr>
        <w:t>248</w:t>
      </w:r>
    </w:p>
    <w:p>
      <w:pPr>
        <w:pStyle w:val="BodyText"/>
        <w:spacing w:before="115"/>
      </w:pPr>
    </w:p>
    <w:p>
      <w:pPr>
        <w:pStyle w:val="BodyText"/>
        <w:spacing w:line="235" w:lineRule="auto" w:before="1"/>
        <w:ind w:left="165" w:right="167"/>
        <w:jc w:val="both"/>
      </w:pPr>
      <w:r>
        <w:rPr/>
        <w:t>Secondly, cases in which the claimant is allowed to recover the difference in value between what he should have received and what in fact he received, even though it did not affect his ultimate purpose, </w:t>
      </w:r>
      <w:bookmarkStart w:name="_bookmark462" w:id="464"/>
      <w:bookmarkEnd w:id="464"/>
      <w:r>
        <w:rPr/>
        <w:t>also</w:t>
      </w:r>
      <w:r>
        <w:rPr/>
        <w:t> seem to illustrate protection of the performance interest. Third is the exceptional class of </w:t>
      </w:r>
      <w:r>
        <w:rPr/>
        <w:t>case</w:t>
      </w:r>
      <w:r>
        <w:rPr>
          <w:spacing w:val="40"/>
        </w:rPr>
        <w:t> </w:t>
      </w:r>
      <w:r>
        <w:rPr/>
        <w:t>like </w:t>
      </w:r>
      <w:r>
        <w:rPr>
          <w:rFonts w:ascii="Arial" w:hAnsi="Arial"/>
          <w:i/>
        </w:rPr>
        <w:t>Att-Gen v Blake </w:t>
      </w:r>
      <w:r>
        <w:rPr>
          <w:color w:val="005DA1"/>
          <w:u w:val="single" w:color="005DA1"/>
          <w:vertAlign w:val="superscript"/>
        </w:rPr>
        <w:t>249</w:t>
      </w:r>
      <w:r>
        <w:rPr>
          <w:color w:val="005DA1"/>
          <w:vertAlign w:val="baseline"/>
        </w:rPr>
        <w:t> </w:t>
      </w:r>
      <w:r>
        <w:rPr>
          <w:vertAlign w:val="baseline"/>
        </w:rPr>
        <w:t>in which the claimant has not suffered any loss but, because of the strong </w:t>
      </w:r>
      <w:bookmarkStart w:name="_bookmark463" w:id="465"/>
      <w:bookmarkEnd w:id="465"/>
      <w:r>
        <w:rPr>
          <w:vertAlign w:val="baseline"/>
        </w:rPr>
        <w:t>interest</w:t>
      </w:r>
      <w:r>
        <w:rPr>
          <w:vertAlign w:val="baseline"/>
        </w:rPr>
        <w:t> in performance, the courts have found it appropriate to order the defendant to account for his </w:t>
      </w:r>
      <w:bookmarkStart w:name="_bookmark464" w:id="466"/>
      <w:bookmarkEnd w:id="466"/>
      <w:r>
        <w:rPr>
          <w:vertAlign w:val="baseline"/>
        </w:rPr>
        <w:t>profits.</w:t>
      </w:r>
      <w:r>
        <w:rPr>
          <w:spacing w:val="-4"/>
          <w:vertAlign w:val="baseline"/>
        </w:rPr>
        <w:t> </w:t>
      </w:r>
      <w:r>
        <w:rPr>
          <w:color w:val="005DA1"/>
          <w:u w:val="single" w:color="005DA1"/>
          <w:vertAlign w:val="superscript"/>
        </w:rPr>
        <w:t>250</w:t>
      </w:r>
      <w:r>
        <w:rPr>
          <w:color w:val="005DA1"/>
          <w:spacing w:val="-4"/>
          <w:vertAlign w:val="baseline"/>
        </w:rPr>
        <w:t> </w:t>
      </w:r>
      <w:r>
        <w:rPr>
          <w:vertAlign w:val="baseline"/>
        </w:rPr>
        <w:t>Academic</w:t>
      </w:r>
      <w:r>
        <w:rPr>
          <w:spacing w:val="-4"/>
          <w:vertAlign w:val="baseline"/>
        </w:rPr>
        <w:t> </w:t>
      </w:r>
      <w:r>
        <w:rPr>
          <w:vertAlign w:val="baseline"/>
        </w:rPr>
        <w:t>writers</w:t>
      </w:r>
      <w:r>
        <w:rPr>
          <w:spacing w:val="-4"/>
          <w:vertAlign w:val="baseline"/>
        </w:rPr>
        <w:t> </w:t>
      </w:r>
      <w:r>
        <w:rPr>
          <w:vertAlign w:val="baseline"/>
        </w:rPr>
        <w:t>have</w:t>
      </w:r>
      <w:r>
        <w:rPr>
          <w:spacing w:val="-4"/>
          <w:vertAlign w:val="baseline"/>
        </w:rPr>
        <w:t> </w:t>
      </w:r>
      <w:r>
        <w:rPr>
          <w:vertAlign w:val="baseline"/>
        </w:rPr>
        <w:t>supported</w:t>
      </w:r>
      <w:r>
        <w:rPr>
          <w:spacing w:val="-4"/>
          <w:vertAlign w:val="baseline"/>
        </w:rPr>
        <w:t> </w:t>
      </w:r>
      <w:r>
        <w:rPr>
          <w:vertAlign w:val="baseline"/>
        </w:rPr>
        <w:t>this</w:t>
      </w:r>
      <w:r>
        <w:rPr>
          <w:spacing w:val="-4"/>
          <w:vertAlign w:val="baseline"/>
        </w:rPr>
        <w:t> </w:t>
      </w:r>
      <w:r>
        <w:rPr>
          <w:vertAlign w:val="baseline"/>
        </w:rPr>
        <w:t>approach,</w:t>
      </w:r>
      <w:r>
        <w:rPr>
          <w:spacing w:val="-4"/>
          <w:vertAlign w:val="baseline"/>
        </w:rPr>
        <w:t> </w:t>
      </w:r>
      <w:r>
        <w:rPr>
          <w:vertAlign w:val="baseline"/>
        </w:rPr>
        <w:t>which</w:t>
      </w:r>
      <w:r>
        <w:rPr>
          <w:spacing w:val="-4"/>
          <w:vertAlign w:val="baseline"/>
        </w:rPr>
        <w:t> </w:t>
      </w:r>
      <w:r>
        <w:rPr>
          <w:vertAlign w:val="baseline"/>
        </w:rPr>
        <w:t>they</w:t>
      </w:r>
      <w:r>
        <w:rPr>
          <w:spacing w:val="-4"/>
          <w:vertAlign w:val="baseline"/>
        </w:rPr>
        <w:t> </w:t>
      </w:r>
      <w:r>
        <w:rPr>
          <w:vertAlign w:val="baseline"/>
        </w:rPr>
        <w:t>see</w:t>
      </w:r>
      <w:r>
        <w:rPr>
          <w:spacing w:val="-4"/>
          <w:vertAlign w:val="baseline"/>
        </w:rPr>
        <w:t> </w:t>
      </w:r>
      <w:r>
        <w:rPr>
          <w:vertAlign w:val="baseline"/>
        </w:rPr>
        <w:t>as</w:t>
      </w:r>
      <w:r>
        <w:rPr>
          <w:spacing w:val="-4"/>
          <w:vertAlign w:val="baseline"/>
        </w:rPr>
        <w:t> </w:t>
      </w:r>
      <w:r>
        <w:rPr>
          <w:vertAlign w:val="baseline"/>
        </w:rPr>
        <w:t>underlying</w:t>
      </w:r>
      <w:r>
        <w:rPr>
          <w:spacing w:val="-4"/>
          <w:vertAlign w:val="baseline"/>
        </w:rPr>
        <w:t> </w:t>
      </w:r>
      <w:r>
        <w:rPr>
          <w:vertAlign w:val="baseline"/>
        </w:rPr>
        <w:t>restitutionary remedies for breach of contract. </w:t>
      </w:r>
      <w:r>
        <w:rPr>
          <w:color w:val="005DA1"/>
          <w:u w:val="single" w:color="005DA1"/>
          <w:vertAlign w:val="superscript"/>
        </w:rPr>
        <w:t>251</w:t>
      </w:r>
      <w:r>
        <w:rPr>
          <w:color w:val="005DA1"/>
          <w:vertAlign w:val="baseline"/>
        </w:rPr>
        <w:t> </w:t>
      </w:r>
      <w:r>
        <w:rPr>
          <w:vertAlign w:val="baseline"/>
        </w:rPr>
        <w:t>Whenever the court makes an order for specific performance (or injunction) to force the promisor to fulfil exactly what he has undertaken to do (or refrain from doing) </w:t>
      </w:r>
      <w:bookmarkStart w:name="_bookmark465" w:id="467"/>
      <w:bookmarkEnd w:id="467"/>
      <w:r>
        <w:rPr>
          <w:vertAlign w:val="baseline"/>
        </w:rPr>
        <w:t>the</w:t>
      </w:r>
      <w:r>
        <w:rPr>
          <w:vertAlign w:val="baseline"/>
        </w:rPr>
        <w:t> remedy recognises the performance interest by giving the claimant exactly what was promised. </w:t>
      </w:r>
      <w:bookmarkStart w:name="_bookmark466" w:id="468"/>
      <w:bookmarkEnd w:id="468"/>
      <w:r>
        <w:rPr>
          <w:vertAlign w:val="baseline"/>
        </w:rPr>
        <w:t>But</w:t>
      </w:r>
      <w:r>
        <w:rPr>
          <w:vertAlign w:val="baseline"/>
        </w:rPr>
        <w:t> such a remedy has always been a discretionary one </w:t>
      </w:r>
      <w:r>
        <w:rPr>
          <w:color w:val="005DA1"/>
          <w:u w:val="single" w:color="005DA1"/>
          <w:vertAlign w:val="superscript"/>
        </w:rPr>
        <w:t>252</w:t>
      </w:r>
      <w:r>
        <w:rPr>
          <w:color w:val="005DA1"/>
          <w:vertAlign w:val="baseline"/>
        </w:rPr>
        <w:t> </w:t>
      </w:r>
      <w:r>
        <w:rPr>
          <w:vertAlign w:val="baseline"/>
        </w:rPr>
        <w:t>and has not been granted as a regular </w:t>
      </w:r>
      <w:bookmarkStart w:name="_bookmark467" w:id="469"/>
      <w:bookmarkEnd w:id="469"/>
      <w:r>
        <w:rPr>
          <w:vertAlign w:val="baseline"/>
        </w:rPr>
        <w:t>remedy</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contract,</w:t>
      </w:r>
      <w:r>
        <w:rPr>
          <w:spacing w:val="3"/>
          <w:vertAlign w:val="baseline"/>
        </w:rPr>
        <w:t> </w:t>
      </w:r>
      <w:r>
        <w:rPr>
          <w:vertAlign w:val="baseline"/>
        </w:rPr>
        <w:t>especially</w:t>
      </w:r>
      <w:r>
        <w:rPr>
          <w:spacing w:val="3"/>
          <w:vertAlign w:val="baseline"/>
        </w:rPr>
        <w:t> </w:t>
      </w:r>
      <w:r>
        <w:rPr>
          <w:vertAlign w:val="baseline"/>
        </w:rPr>
        <w:t>since</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granted</w:t>
      </w:r>
      <w:r>
        <w:rPr>
          <w:spacing w:val="3"/>
          <w:vertAlign w:val="baseline"/>
        </w:rPr>
        <w:t> </w:t>
      </w:r>
      <w:r>
        <w:rPr>
          <w:vertAlign w:val="baseline"/>
        </w:rPr>
        <w:t>where</w:t>
      </w:r>
      <w:r>
        <w:rPr>
          <w:spacing w:val="3"/>
          <w:vertAlign w:val="baseline"/>
        </w:rPr>
        <w:t> </w:t>
      </w:r>
      <w:r>
        <w:rPr>
          <w:vertAlign w:val="baseline"/>
        </w:rPr>
        <w:t>damages</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spacing w:val="-2"/>
          <w:vertAlign w:val="baseline"/>
        </w:rPr>
        <w:t>“adequate”.</w:t>
      </w:r>
    </w:p>
    <w:p>
      <w:pPr>
        <w:pStyle w:val="BodyText"/>
        <w:spacing w:line="235" w:lineRule="auto"/>
        <w:ind w:left="165" w:right="168"/>
        <w:jc w:val="both"/>
      </w:pPr>
      <w:r>
        <w:rPr>
          <w:color w:val="005DA1"/>
          <w:u w:val="single" w:color="005DA1"/>
          <w:vertAlign w:val="superscript"/>
        </w:rPr>
        <w:t>253</w:t>
      </w:r>
      <w:r>
        <w:rPr>
          <w:color w:val="005DA1"/>
          <w:vertAlign w:val="baseline"/>
        </w:rPr>
        <w:t> </w:t>
      </w:r>
      <w:bookmarkStart w:name="_bookmark468" w:id="470"/>
      <w:bookmarkEnd w:id="470"/>
      <w:r>
        <w:rPr>
          <w:color w:val="005DA1"/>
          <w:spacing w:val="24"/>
          <w:vertAlign w:val="baseline"/>
        </w:rPr>
      </w:r>
      <w:r>
        <w:rPr>
          <w:vertAlign w:val="baseline"/>
        </w:rPr>
        <w:t>But the new restitutionary remedies recognised in </w:t>
      </w:r>
      <w:r>
        <w:rPr>
          <w:rFonts w:ascii="Arial" w:hAnsi="Arial"/>
          <w:i/>
          <w:vertAlign w:val="baseline"/>
        </w:rPr>
        <w:t>Att-Gen v Blake </w:t>
      </w:r>
      <w:r>
        <w:rPr>
          <w:color w:val="005DA1"/>
          <w:u w:val="single" w:color="005DA1"/>
          <w:vertAlign w:val="superscript"/>
        </w:rPr>
        <w:t>254</w:t>
      </w:r>
      <w:r>
        <w:rPr>
          <w:color w:val="005DA1"/>
          <w:vertAlign w:val="baseline"/>
        </w:rPr>
        <w:t> </w:t>
      </w:r>
      <w:r>
        <w:rPr>
          <w:vertAlign w:val="baseline"/>
        </w:rPr>
        <w:t>go a considerable way to recognising that the claimant’s interest in performance should be given legal protection. </w:t>
      </w:r>
      <w:r>
        <w:rPr>
          <w:color w:val="005DA1"/>
          <w:u w:val="single" w:color="005DA1"/>
          <w:vertAlign w:val="superscript"/>
        </w:rPr>
        <w:t>255</w:t>
      </w:r>
    </w:p>
    <w:p>
      <w:pPr>
        <w:pStyle w:val="BodyText"/>
        <w:spacing w:after="0" w:line="235" w:lineRule="auto"/>
        <w:jc w:val="both"/>
        <w:sectPr>
          <w:pgSz w:w="11900" w:h="16840"/>
          <w:pgMar w:header="971" w:footer="0" w:top="1300" w:bottom="280" w:left="1275" w:right="1275"/>
        </w:sectPr>
      </w:pPr>
    </w:p>
    <w:p>
      <w:pPr>
        <w:pStyle w:val="BodyText"/>
        <w:spacing w:before="18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127" name="Group 127"/>
                <wp:cNvGraphicFramePr>
                  <a:graphicFrameLocks/>
                </wp:cNvGraphicFramePr>
                <a:graphic>
                  <a:graphicData uri="http://schemas.microsoft.com/office/word/2010/wordprocessingGroup">
                    <wpg:wgp>
                      <wpg:cNvPr id="127" name="Group 127"/>
                      <wpg:cNvGrpSpPr/>
                      <wpg:grpSpPr>
                        <a:xfrm>
                          <a:off x="0" y="0"/>
                          <a:ext cx="5724525" cy="12700"/>
                          <a:chExt cx="5724525" cy="12700"/>
                        </a:xfrm>
                      </wpg:grpSpPr>
                      <wps:wsp>
                        <wps:cNvPr id="128" name="Graphic 128"/>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33" coordorigin="0,0" coordsize="9015,20">
                <v:line style="position:absolute" from="0,10" to="9014,10" stroked="true" strokeweight="1pt" strokecolor="#000000">
                  <v:stroke dashstyle="solid"/>
                </v:line>
              </v:group>
            </w:pict>
          </mc:Fallback>
        </mc:AlternateContent>
      </w:r>
      <w:r>
        <w:rPr>
          <w:sz w:val="2"/>
        </w:rPr>
      </w:r>
    </w:p>
    <w:p>
      <w:pPr>
        <w:pStyle w:val="BodyText"/>
        <w:spacing w:before="10"/>
        <w:rPr>
          <w:sz w:val="19"/>
        </w:rPr>
      </w:pPr>
    </w:p>
    <w:p>
      <w:pPr>
        <w:pStyle w:val="BodyText"/>
        <w:spacing w:after="0"/>
        <w:rPr>
          <w:sz w:val="19"/>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160603</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9" w:id="471"/>
      <w:bookmarkEnd w:id="471"/>
      <w:r>
        <w:rPr/>
      </w:r>
      <w:hyperlink w:history="true" w:anchor="_bookmark445">
        <w:r>
          <w:rPr>
            <w:color w:val="005DA1"/>
            <w:spacing w:val="-4"/>
            <w:sz w:val="14"/>
            <w:u w:val="single" w:color="005DA1"/>
          </w:rPr>
          <w:t>232</w:t>
        </w:r>
      </w:hyperlink>
      <w:r>
        <w:rPr>
          <w:spacing w:val="-4"/>
          <w:sz w:val="14"/>
        </w:rPr>
        <w:t>.</w:t>
      </w:r>
    </w:p>
    <w:p>
      <w:pPr>
        <w:pStyle w:val="BodyText"/>
        <w:spacing w:line="235" w:lineRule="auto" w:before="212"/>
        <w:ind w:left="165" w:right="167" w:firstLine="170"/>
        <w:jc w:val="both"/>
      </w:pPr>
      <w:r>
        <w:rPr/>
        <w:br w:type="column"/>
      </w:r>
      <w:r>
        <w:rPr/>
        <w:t>This situation must be distinguished from the case in which the claimant has been able to mitigate</w:t>
      </w:r>
      <w:r>
        <w:rPr>
          <w:spacing w:val="-2"/>
        </w:rPr>
        <w:t> </w:t>
      </w:r>
      <w:r>
        <w:rPr/>
        <w:t>its</w:t>
      </w:r>
      <w:r>
        <w:rPr>
          <w:spacing w:val="-2"/>
        </w:rPr>
        <w:t> </w:t>
      </w:r>
      <w:r>
        <w:rPr/>
        <w:t>loss</w:t>
      </w:r>
      <w:r>
        <w:rPr>
          <w:spacing w:val="-2"/>
        </w:rPr>
        <w:t> </w:t>
      </w:r>
      <w:r>
        <w:rPr/>
        <w:t>by</w:t>
      </w:r>
      <w:r>
        <w:rPr>
          <w:spacing w:val="-2"/>
        </w:rPr>
        <w:t> </w:t>
      </w:r>
      <w:r>
        <w:rPr/>
        <w:t>subsequent</w:t>
      </w:r>
      <w:r>
        <w:rPr>
          <w:spacing w:val="-2"/>
        </w:rPr>
        <w:t> </w:t>
      </w:r>
      <w:r>
        <w:rPr/>
        <w:t>action</w:t>
      </w:r>
      <w:r>
        <w:rPr>
          <w:spacing w:val="-2"/>
        </w:rPr>
        <w:t> </w:t>
      </w:r>
      <w:r>
        <w:rPr/>
        <w:t>that</w:t>
      </w:r>
      <w:r>
        <w:rPr>
          <w:spacing w:val="-2"/>
        </w:rPr>
        <w:t> </w:t>
      </w:r>
      <w:r>
        <w:rPr/>
        <w:t>reduced</w:t>
      </w:r>
      <w:r>
        <w:rPr>
          <w:spacing w:val="-2"/>
        </w:rPr>
        <w:t> </w:t>
      </w:r>
      <w:r>
        <w:rPr/>
        <w:t>or</w:t>
      </w:r>
      <w:r>
        <w:rPr>
          <w:spacing w:val="-2"/>
        </w:rPr>
        <w:t> </w:t>
      </w:r>
      <w:r>
        <w:rPr/>
        <w:t>eliminated</w:t>
      </w:r>
      <w:r>
        <w:rPr>
          <w:spacing w:val="-2"/>
        </w:rPr>
        <w:t> </w:t>
      </w:r>
      <w:r>
        <w:rPr/>
        <w:t>it:</w:t>
      </w:r>
      <w:r>
        <w:rPr>
          <w:spacing w:val="-2"/>
        </w:rPr>
        <w:t> </w:t>
      </w:r>
      <w:r>
        <w:rPr/>
        <w:t>see</w:t>
      </w:r>
      <w:r>
        <w:rPr>
          <w:spacing w:val="-2"/>
        </w:rPr>
        <w:t> </w:t>
      </w:r>
      <w:r>
        <w:rPr/>
        <w:t>Vol.I,</w:t>
      </w:r>
      <w:r>
        <w:rPr>
          <w:spacing w:val="-2"/>
        </w:rPr>
        <w:t> </w:t>
      </w:r>
      <w:r>
        <w:rPr/>
        <w:t>para.26-095.</w:t>
      </w:r>
      <w:r>
        <w:rPr>
          <w:spacing w:val="-2"/>
        </w:rPr>
        <w:t> </w:t>
      </w:r>
      <w:r>
        <w:rPr/>
        <w:t>Most of the cases cited in that paragraph concern the recovery of loss beyond the value of the promised performance itself, but it is thought that mitigation may also reduce the claim below the difference in value between the promised performance and the performance in fact rendered. For example, if the buyer has the goods repaired so that they conform to the contract for less than the difference in value, the buyer will recover only the cost of repair not the difference in value between the goods as they should have been and as they were delivered.</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1"/>
        <w:ind w:left="165" w:right="0" w:firstLine="0"/>
        <w:jc w:val="left"/>
        <w:rPr>
          <w:sz w:val="20"/>
        </w:rPr>
      </w:pPr>
      <w:bookmarkStart w:name="_bookmark470" w:id="472"/>
      <w:bookmarkEnd w:id="472"/>
      <w:r>
        <w:rPr/>
      </w:r>
      <w:hyperlink w:history="true" w:anchor="_bookmark446">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[1920] 2 K.B. </w:t>
      </w:r>
      <w:r>
        <w:rPr>
          <w:rFonts w:ascii="Arial"/>
          <w:i/>
          <w:spacing w:val="-5"/>
          <w:sz w:val="20"/>
        </w:rPr>
        <w:t>11</w:t>
      </w:r>
      <w:r>
        <w:rPr>
          <w:spacing w:val="-5"/>
          <w:sz w:val="20"/>
        </w:rPr>
        <w:t>.</w:t>
      </w:r>
    </w:p>
    <w:p>
      <w:pPr>
        <w:pStyle w:val="BodyText"/>
        <w:spacing w:before="8"/>
      </w:pPr>
    </w:p>
    <w:p>
      <w:pPr>
        <w:spacing w:line="235" w:lineRule="auto" w:before="0"/>
        <w:ind w:left="705" w:right="167" w:hanging="541"/>
        <w:jc w:val="both"/>
        <w:rPr>
          <w:rFonts w:ascii="Arial" w:hAnsi="Arial"/>
          <w:i/>
          <w:sz w:val="20"/>
        </w:rPr>
      </w:pPr>
      <w:bookmarkStart w:name="_bookmark471" w:id="473"/>
      <w:bookmarkEnd w:id="473"/>
      <w:r>
        <w:rPr/>
      </w:r>
      <w:hyperlink w:history="true" w:anchor="_bookmark447">
        <w:r>
          <w:rPr>
            <w:color w:val="005DA1"/>
            <w:position w:val="5"/>
            <w:sz w:val="14"/>
            <w:u w:val="single" w:color="005DA1"/>
          </w:rPr>
          <w:t>234</w:t>
        </w:r>
      </w:hyperlink>
      <w:r>
        <w:rPr>
          <w:position w:val="5"/>
          <w:sz w:val="14"/>
        </w:rPr>
        <w:t>.</w:t>
      </w:r>
      <w:r>
        <w:rPr>
          <w:spacing w:val="80"/>
          <w:w w:val="150"/>
          <w:position w:val="5"/>
          <w:sz w:val="14"/>
        </w:rPr>
        <w:t> </w:t>
      </w:r>
      <w:r>
        <w:rPr>
          <w:sz w:val="20"/>
        </w:rPr>
        <w:t>The buyers were not obliged to deliver to the sub-buyer the goods which they bought from </w:t>
      </w:r>
      <w:r>
        <w:rPr>
          <w:sz w:val="20"/>
        </w:rPr>
        <w:t>the original</w:t>
      </w:r>
      <w:r>
        <w:rPr>
          <w:spacing w:val="-1"/>
          <w:sz w:val="20"/>
        </w:rPr>
        <w:t> </w:t>
      </w:r>
      <w:r>
        <w:rPr>
          <w:sz w:val="20"/>
        </w:rPr>
        <w:t>seller,</w:t>
      </w:r>
      <w:r>
        <w:rPr>
          <w:spacing w:val="-1"/>
          <w:sz w:val="20"/>
        </w:rPr>
        <w:t> </w:t>
      </w:r>
      <w:r>
        <w:rPr>
          <w:sz w:val="20"/>
        </w:rPr>
        <w:t>and</w:t>
      </w:r>
      <w:r>
        <w:rPr>
          <w:spacing w:val="-1"/>
          <w:sz w:val="20"/>
        </w:rPr>
        <w:t> </w:t>
      </w:r>
      <w:r>
        <w:rPr>
          <w:sz w:val="20"/>
        </w:rPr>
        <w:t>in</w:t>
      </w:r>
      <w:r>
        <w:rPr>
          <w:spacing w:val="-1"/>
          <w:sz w:val="20"/>
        </w:rPr>
        <w:t> </w:t>
      </w:r>
      <w:r>
        <w:rPr>
          <w:sz w:val="20"/>
        </w:rPr>
        <w:t>fact</w:t>
      </w:r>
      <w:r>
        <w:rPr>
          <w:spacing w:val="-1"/>
          <w:sz w:val="20"/>
        </w:rPr>
        <w:t> </w:t>
      </w:r>
      <w:r>
        <w:rPr>
          <w:sz w:val="20"/>
        </w:rPr>
        <w:t>some</w:t>
      </w:r>
      <w:r>
        <w:rPr>
          <w:spacing w:val="-1"/>
          <w:sz w:val="20"/>
        </w:rPr>
        <w:t> </w:t>
      </w:r>
      <w:r>
        <w:rPr>
          <w:sz w:val="20"/>
        </w:rPr>
        <w:t>of</w:t>
      </w:r>
      <w:r>
        <w:rPr>
          <w:spacing w:val="-1"/>
          <w:sz w:val="20"/>
        </w:rPr>
        <w:t> </w:t>
      </w:r>
      <w:r>
        <w:rPr>
          <w:sz w:val="20"/>
        </w:rPr>
        <w:t>the</w:t>
      </w:r>
      <w:r>
        <w:rPr>
          <w:spacing w:val="-1"/>
          <w:sz w:val="20"/>
        </w:rPr>
        <w:t> </w:t>
      </w:r>
      <w:r>
        <w:rPr>
          <w:sz w:val="20"/>
        </w:rPr>
        <w:t>goods</w:t>
      </w:r>
      <w:r>
        <w:rPr>
          <w:spacing w:val="-1"/>
          <w:sz w:val="20"/>
        </w:rPr>
        <w:t> </w:t>
      </w:r>
      <w:r>
        <w:rPr>
          <w:sz w:val="20"/>
        </w:rPr>
        <w:t>which</w:t>
      </w:r>
      <w:r>
        <w:rPr>
          <w:spacing w:val="-1"/>
          <w:sz w:val="20"/>
        </w:rPr>
        <w:t> </w:t>
      </w:r>
      <w:r>
        <w:rPr>
          <w:sz w:val="20"/>
        </w:rPr>
        <w:t>they</w:t>
      </w:r>
      <w:r>
        <w:rPr>
          <w:spacing w:val="-1"/>
          <w:sz w:val="20"/>
        </w:rPr>
        <w:t> </w:t>
      </w:r>
      <w:r>
        <w:rPr>
          <w:sz w:val="20"/>
        </w:rPr>
        <w:t>delivered</w:t>
      </w:r>
      <w:r>
        <w:rPr>
          <w:spacing w:val="-1"/>
          <w:sz w:val="20"/>
        </w:rPr>
        <w:t> </w:t>
      </w:r>
      <w:r>
        <w:rPr>
          <w:sz w:val="20"/>
        </w:rPr>
        <w:t>to</w:t>
      </w:r>
      <w:r>
        <w:rPr>
          <w:spacing w:val="-1"/>
          <w:sz w:val="20"/>
        </w:rPr>
        <w:t> </w:t>
      </w:r>
      <w:r>
        <w:rPr>
          <w:sz w:val="20"/>
        </w:rPr>
        <w:t>the</w:t>
      </w:r>
      <w:r>
        <w:rPr>
          <w:spacing w:val="-1"/>
          <w:sz w:val="20"/>
        </w:rPr>
        <w:t> </w:t>
      </w:r>
      <w:r>
        <w:rPr>
          <w:sz w:val="20"/>
        </w:rPr>
        <w:t>sub-buyer</w:t>
      </w:r>
      <w:r>
        <w:rPr>
          <w:spacing w:val="-1"/>
          <w:sz w:val="20"/>
        </w:rPr>
        <w:t> </w:t>
      </w:r>
      <w:r>
        <w:rPr>
          <w:sz w:val="20"/>
        </w:rPr>
        <w:t>came</w:t>
      </w:r>
      <w:r>
        <w:rPr>
          <w:spacing w:val="-1"/>
          <w:sz w:val="20"/>
        </w:rPr>
        <w:t> </w:t>
      </w:r>
      <w:r>
        <w:rPr>
          <w:sz w:val="20"/>
        </w:rPr>
        <w:t>from</w:t>
      </w:r>
      <w:r>
        <w:rPr>
          <w:spacing w:val="-1"/>
          <w:sz w:val="20"/>
        </w:rPr>
        <w:t> </w:t>
      </w:r>
      <w:r>
        <w:rPr>
          <w:sz w:val="20"/>
        </w:rPr>
        <w:t>a different source. It is submitted that the decision in this case is to be preferred to the reasoning of the Privy Council in the analogous case of </w:t>
      </w:r>
      <w:r>
        <w:rPr>
          <w:rFonts w:ascii="Arial" w:hAnsi="Arial"/>
          <w:i/>
          <w:sz w:val="20"/>
        </w:rPr>
        <w:t>Wertheim v Chicoutimi Pulp Co [1918] A.C. 301 </w:t>
      </w:r>
      <w:r>
        <w:rPr>
          <w:sz w:val="20"/>
        </w:rPr>
        <w:t>(late</w:t>
      </w:r>
      <w:r>
        <w:rPr>
          <w:spacing w:val="39"/>
          <w:sz w:val="20"/>
        </w:rPr>
        <w:t> </w:t>
      </w:r>
      <w:r>
        <w:rPr>
          <w:sz w:val="20"/>
        </w:rPr>
        <w:t>delivery),</w:t>
      </w:r>
      <w:r>
        <w:rPr>
          <w:spacing w:val="39"/>
          <w:sz w:val="20"/>
        </w:rPr>
        <w:t> </w:t>
      </w:r>
      <w:r>
        <w:rPr>
          <w:sz w:val="20"/>
        </w:rPr>
        <w:t>which</w:t>
      </w:r>
      <w:r>
        <w:rPr>
          <w:spacing w:val="39"/>
          <w:sz w:val="20"/>
        </w:rPr>
        <w:t> </w:t>
      </w:r>
      <w:r>
        <w:rPr>
          <w:sz w:val="20"/>
        </w:rPr>
        <w:t>is</w:t>
      </w:r>
      <w:r>
        <w:rPr>
          <w:spacing w:val="39"/>
          <w:sz w:val="20"/>
        </w:rPr>
        <w:t> </w:t>
      </w:r>
      <w:r>
        <w:rPr>
          <w:sz w:val="20"/>
        </w:rPr>
        <w:t>criticised</w:t>
      </w:r>
      <w:r>
        <w:rPr>
          <w:spacing w:val="39"/>
          <w:sz w:val="20"/>
        </w:rPr>
        <w:t> </w:t>
      </w:r>
      <w:r>
        <w:rPr>
          <w:sz w:val="20"/>
        </w:rPr>
        <w:t>see</w:t>
      </w:r>
      <w:r>
        <w:rPr>
          <w:spacing w:val="39"/>
          <w:sz w:val="20"/>
        </w:rPr>
        <w:t> </w:t>
      </w:r>
      <w:r>
        <w:rPr>
          <w:sz w:val="20"/>
        </w:rPr>
        <w:t>Vol.II,</w:t>
      </w:r>
      <w:r>
        <w:rPr>
          <w:spacing w:val="39"/>
          <w:sz w:val="20"/>
        </w:rPr>
        <w:t> </w:t>
      </w:r>
      <w:r>
        <w:rPr>
          <w:sz w:val="20"/>
        </w:rPr>
        <w:t>para.44-407</w:t>
      </w:r>
      <w:r>
        <w:rPr>
          <w:spacing w:val="39"/>
          <w:sz w:val="20"/>
        </w:rPr>
        <w:t> </w:t>
      </w:r>
      <w:r>
        <w:rPr>
          <w:sz w:val="20"/>
        </w:rPr>
        <w:t>n.1951,</w:t>
      </w:r>
      <w:r>
        <w:rPr>
          <w:spacing w:val="39"/>
          <w:sz w:val="20"/>
        </w:rPr>
        <w:t> </w:t>
      </w:r>
      <w:r>
        <w:rPr>
          <w:sz w:val="20"/>
        </w:rPr>
        <w:t>and</w:t>
      </w:r>
      <w:r>
        <w:rPr>
          <w:spacing w:val="39"/>
          <w:sz w:val="20"/>
        </w:rPr>
        <w:t> </w:t>
      </w:r>
      <w:r>
        <w:rPr>
          <w:sz w:val="20"/>
        </w:rPr>
        <w:t>in</w:t>
      </w:r>
      <w:r>
        <w:rPr>
          <w:spacing w:val="38"/>
          <w:sz w:val="20"/>
        </w:rPr>
        <w:t> </w:t>
      </w:r>
      <w:r>
        <w:rPr>
          <w:rFonts w:ascii="Arial" w:hAnsi="Arial"/>
          <w:i/>
          <w:sz w:val="20"/>
        </w:rPr>
        <w:t>Benjamin</w:t>
      </w:r>
      <w:r>
        <w:rPr>
          <w:rFonts w:ascii="Arial" w:hAnsi="Arial"/>
          <w:i/>
          <w:spacing w:val="39"/>
          <w:sz w:val="20"/>
        </w:rPr>
        <w:t> </w:t>
      </w:r>
      <w:r>
        <w:rPr>
          <w:sz w:val="20"/>
        </w:rPr>
        <w:t>at</w:t>
      </w:r>
      <w:r>
        <w:rPr>
          <w:spacing w:val="39"/>
          <w:sz w:val="20"/>
        </w:rPr>
        <w:t> </w:t>
      </w:r>
      <w:r>
        <w:rPr>
          <w:sz w:val="20"/>
        </w:rPr>
        <w:t>paras 17-039,</w:t>
      </w:r>
      <w:r>
        <w:rPr>
          <w:spacing w:val="1"/>
          <w:sz w:val="20"/>
        </w:rPr>
        <w:t> </w:t>
      </w:r>
      <w:r>
        <w:rPr>
          <w:sz w:val="20"/>
        </w:rPr>
        <w:t>17-057—17-058.</w:t>
      </w:r>
      <w:r>
        <w:rPr>
          <w:spacing w:val="1"/>
          <w:sz w:val="20"/>
        </w:rPr>
        <w:t> </w:t>
      </w:r>
      <w:r>
        <w:rPr>
          <w:sz w:val="20"/>
        </w:rPr>
        <w:t>However,</w:t>
      </w:r>
      <w:r>
        <w:rPr>
          <w:spacing w:val="1"/>
          <w:sz w:val="20"/>
        </w:rPr>
        <w:t> </w:t>
      </w:r>
      <w:r>
        <w:rPr>
          <w:sz w:val="20"/>
        </w:rPr>
        <w:t>in </w:t>
      </w:r>
      <w:r>
        <w:rPr>
          <w:rFonts w:ascii="Arial" w:hAnsi="Arial"/>
          <w:i/>
          <w:sz w:val="20"/>
        </w:rPr>
        <w:t>Bence</w:t>
      </w:r>
      <w:r>
        <w:rPr>
          <w:rFonts w:ascii="Arial" w:hAnsi="Arial"/>
          <w:i/>
          <w:spacing w:val="1"/>
          <w:sz w:val="20"/>
        </w:rPr>
        <w:t> </w:t>
      </w:r>
      <w:r>
        <w:rPr>
          <w:rFonts w:ascii="Arial" w:hAnsi="Arial"/>
          <w:i/>
          <w:sz w:val="20"/>
        </w:rPr>
        <w:t>Graphics</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Fasson</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pacing w:val="-2"/>
          <w:sz w:val="20"/>
        </w:rPr>
        <w:t>[1998]</w:t>
      </w:r>
    </w:p>
    <w:p>
      <w:pPr>
        <w:pStyle w:val="BodyText"/>
        <w:spacing w:line="235" w:lineRule="auto"/>
        <w:ind w:left="705" w:right="167"/>
        <w:jc w:val="both"/>
      </w:pPr>
      <w:r>
        <w:rPr>
          <w:rFonts w:ascii="Arial" w:hAnsi="Arial"/>
          <w:i/>
        </w:rPr>
        <w:t>Q.B. 87 </w:t>
      </w:r>
      <w:r>
        <w:rPr/>
        <w:t>at 103–105, Auld L.J. approved the decision in Wertheim’s case (see below (this paragraph) and Vol.II, para.44-413).</w:t>
      </w:r>
    </w:p>
    <w:p>
      <w:pPr>
        <w:pStyle w:val="BodyText"/>
        <w:spacing w:before="7"/>
      </w:pPr>
    </w:p>
    <w:p>
      <w:pPr>
        <w:spacing w:line="235" w:lineRule="auto" w:before="0"/>
        <w:ind w:left="705" w:right="167" w:hanging="541"/>
        <w:jc w:val="both"/>
        <w:rPr>
          <w:sz w:val="20"/>
        </w:rPr>
      </w:pPr>
      <w:bookmarkStart w:name="_bookmark472" w:id="474"/>
      <w:bookmarkEnd w:id="474"/>
      <w:r>
        <w:rPr/>
      </w:r>
      <w:hyperlink w:history="true" w:anchor="_bookmark448">
        <w:r>
          <w:rPr>
            <w:color w:val="005DA1"/>
            <w:position w:val="5"/>
            <w:sz w:val="14"/>
            <w:u w:val="single" w:color="005DA1"/>
          </w:rPr>
          <w:t>235</w:t>
        </w:r>
      </w:hyperlink>
      <w:r>
        <w:rPr>
          <w:position w:val="5"/>
          <w:sz w:val="14"/>
        </w:rPr>
        <w:t>.</w:t>
      </w:r>
      <w:r>
        <w:rPr>
          <w:spacing w:val="80"/>
          <w:w w:val="150"/>
          <w:position w:val="5"/>
          <w:sz w:val="14"/>
        </w:rPr>
        <w:t> </w:t>
      </w:r>
      <w:r>
        <w:rPr>
          <w:rFonts w:ascii="Arial" w:hAnsi="Arial"/>
          <w:i/>
          <w:sz w:val="20"/>
        </w:rPr>
        <w:t>[1998] Q.B. 87</w:t>
      </w:r>
      <w:r>
        <w:rPr>
          <w:sz w:val="20"/>
        </w:rPr>
        <w:t>. See </w:t>
      </w:r>
      <w:r>
        <w:rPr>
          <w:rFonts w:ascii="Arial" w:hAnsi="Arial"/>
          <w:i/>
          <w:sz w:val="20"/>
        </w:rPr>
        <w:t>Louis Dreyfus Trading Ltd v Reliance Trading Ltd [2004] EWHC 525 (Comm),</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243</w:t>
      </w:r>
      <w:r>
        <w:rPr>
          <w:rFonts w:ascii="Arial" w:hAnsi="Arial"/>
          <w:i/>
          <w:spacing w:val="40"/>
          <w:sz w:val="20"/>
        </w:rPr>
        <w:t> </w:t>
      </w:r>
      <w:r>
        <w:rPr>
          <w:sz w:val="20"/>
        </w:rPr>
        <w:t>(parties</w:t>
      </w:r>
      <w:r>
        <w:rPr>
          <w:spacing w:val="40"/>
          <w:sz w:val="20"/>
        </w:rPr>
        <w:t> </w:t>
      </w:r>
      <w:r>
        <w:rPr>
          <w:sz w:val="20"/>
        </w:rPr>
        <w:t>contemplated</w:t>
      </w:r>
      <w:r>
        <w:rPr>
          <w:spacing w:val="40"/>
          <w:sz w:val="20"/>
        </w:rPr>
        <w:t> </w:t>
      </w:r>
      <w:r>
        <w:rPr>
          <w:sz w:val="20"/>
        </w:rPr>
        <w:t>sale</w:t>
      </w:r>
      <w:r>
        <w:rPr>
          <w:spacing w:val="40"/>
          <w:sz w:val="20"/>
        </w:rPr>
        <w:t> </w:t>
      </w:r>
      <w:r>
        <w:rPr>
          <w:sz w:val="20"/>
        </w:rPr>
        <w:t>of</w:t>
      </w:r>
      <w:r>
        <w:rPr>
          <w:spacing w:val="40"/>
          <w:sz w:val="20"/>
        </w:rPr>
        <w:t> </w:t>
      </w:r>
      <w:r>
        <w:rPr>
          <w:sz w:val="20"/>
        </w:rPr>
        <w:t>the</w:t>
      </w:r>
      <w:r>
        <w:rPr>
          <w:spacing w:val="40"/>
          <w:sz w:val="20"/>
        </w:rPr>
        <w:t> </w:t>
      </w:r>
      <w:r>
        <w:rPr>
          <w:sz w:val="20"/>
        </w:rPr>
        <w:t>same</w:t>
      </w:r>
      <w:r>
        <w:rPr>
          <w:spacing w:val="40"/>
          <w:sz w:val="20"/>
        </w:rPr>
        <w:t> </w:t>
      </w:r>
      <w:r>
        <w:rPr>
          <w:sz w:val="20"/>
        </w:rPr>
        <w:t>goods</w:t>
      </w:r>
      <w:r>
        <w:rPr>
          <w:spacing w:val="40"/>
          <w:sz w:val="20"/>
        </w:rPr>
        <w:t> </w:t>
      </w:r>
      <w:r>
        <w:rPr>
          <w:sz w:val="20"/>
        </w:rPr>
        <w:t>to</w:t>
      </w:r>
      <w:r>
        <w:rPr>
          <w:spacing w:val="40"/>
          <w:sz w:val="20"/>
        </w:rPr>
        <w:t> </w:t>
      </w:r>
      <w:r>
        <w:rPr>
          <w:sz w:val="20"/>
        </w:rPr>
        <w:t>the sub-buyer under a specific contract); </w:t>
      </w:r>
      <w:r>
        <w:rPr>
          <w:rFonts w:ascii="Arial" w:hAnsi="Arial"/>
          <w:i/>
          <w:sz w:val="20"/>
        </w:rPr>
        <w:t>Choil Trading SA v Sahara Energy Resources Ltd </w:t>
      </w:r>
      <w:r>
        <w:rPr>
          <w:rFonts w:ascii="Arial" w:hAnsi="Arial"/>
          <w:i/>
          <w:sz w:val="20"/>
        </w:rPr>
        <w:t>[2010] EWHC 374 (Comm) </w:t>
      </w:r>
      <w:r>
        <w:rPr>
          <w:sz w:val="20"/>
        </w:rPr>
        <w:t>at [124]–[139].</w:t>
      </w:r>
    </w:p>
    <w:p>
      <w:pPr>
        <w:pStyle w:val="BodyText"/>
        <w:spacing w:before="9"/>
      </w:pPr>
    </w:p>
    <w:p>
      <w:pPr>
        <w:pStyle w:val="BodyText"/>
        <w:tabs>
          <w:tab w:pos="705" w:val="left" w:leader="none"/>
        </w:tabs>
        <w:spacing w:line="235" w:lineRule="auto"/>
        <w:ind w:left="705" w:right="174" w:hanging="541"/>
      </w:pPr>
      <w:bookmarkStart w:name="_bookmark473" w:id="475"/>
      <w:bookmarkEnd w:id="475"/>
      <w:r>
        <w:rPr/>
      </w:r>
      <w:hyperlink w:history="true" w:anchor="_bookmark449">
        <w:r>
          <w:rPr>
            <w:color w:val="005DA1"/>
            <w:spacing w:val="-4"/>
            <w:position w:val="5"/>
            <w:sz w:val="14"/>
            <w:u w:val="single" w:color="005DA1"/>
          </w:rPr>
          <w:t>236</w:t>
        </w:r>
      </w:hyperlink>
      <w:r>
        <w:rPr>
          <w:spacing w:val="-4"/>
          <w:position w:val="5"/>
          <w:sz w:val="14"/>
        </w:rPr>
        <w:t>.</w:t>
      </w:r>
      <w:r>
        <w:rPr>
          <w:position w:val="5"/>
          <w:sz w:val="14"/>
        </w:rPr>
        <w:tab/>
      </w:r>
      <w:r>
        <w:rPr>
          <w:rFonts w:ascii="Arial"/>
          <w:i/>
        </w:rPr>
        <w:t>[1998] Q.B. 87 </w:t>
      </w:r>
      <w:r>
        <w:rPr/>
        <w:t>at 102 (see Vol.II, para.44-413). But see the powerful criticism of Treitel </w:t>
      </w:r>
      <w:r>
        <w:rPr/>
        <w:t>(1997) 113 L.Q.R. 188.</w:t>
      </w:r>
    </w:p>
    <w:p>
      <w:pPr>
        <w:pStyle w:val="BodyText"/>
        <w:spacing w:before="5"/>
      </w:pPr>
    </w:p>
    <w:p>
      <w:pPr>
        <w:tabs>
          <w:tab w:pos="705" w:val="left" w:leader="none"/>
        </w:tabs>
        <w:spacing w:before="0"/>
        <w:ind w:left="165" w:right="0" w:firstLine="0"/>
        <w:jc w:val="left"/>
        <w:rPr>
          <w:sz w:val="20"/>
        </w:rPr>
      </w:pPr>
      <w:bookmarkStart w:name="_bookmark474" w:id="476"/>
      <w:bookmarkEnd w:id="476"/>
      <w:r>
        <w:rPr/>
      </w:r>
      <w:hyperlink w:history="true" w:anchor="_bookmark450">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9 So 486 </w:t>
      </w:r>
      <w:r>
        <w:rPr>
          <w:rFonts w:ascii="Arial"/>
          <w:i/>
          <w:spacing w:val="-2"/>
          <w:sz w:val="20"/>
        </w:rPr>
        <w:t>(1891)</w:t>
      </w:r>
      <w:r>
        <w:rPr>
          <w:spacing w:val="-2"/>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475" w:id="477"/>
      <w:bookmarkEnd w:id="477"/>
      <w:r>
        <w:rPr/>
      </w:r>
      <w:hyperlink w:history="true" w:anchor="_bookmark451">
        <w:r>
          <w:rPr>
            <w:color w:val="005DA1"/>
            <w:spacing w:val="-4"/>
            <w:position w:val="5"/>
            <w:sz w:val="14"/>
            <w:u w:val="single" w:color="005DA1"/>
          </w:rPr>
          <w:t>238</w:t>
        </w:r>
      </w:hyperlink>
      <w:r>
        <w:rPr>
          <w:spacing w:val="-4"/>
          <w:position w:val="5"/>
          <w:sz w:val="14"/>
        </w:rPr>
        <w:t>.</w:t>
      </w:r>
      <w:r>
        <w:rPr>
          <w:position w:val="5"/>
          <w:sz w:val="14"/>
        </w:rPr>
        <w:tab/>
      </w:r>
      <w:r>
        <w:rPr>
          <w:sz w:val="20"/>
        </w:rPr>
        <w:t>See</w:t>
      </w:r>
      <w:r>
        <w:rPr>
          <w:spacing w:val="22"/>
          <w:sz w:val="20"/>
        </w:rPr>
        <w:t> </w:t>
      </w:r>
      <w:r>
        <w:rPr>
          <w:rFonts w:ascii="Arial" w:hAnsi="Arial"/>
          <w:i/>
          <w:sz w:val="20"/>
        </w:rPr>
        <w:t>White</w:t>
      </w:r>
      <w:r>
        <w:rPr>
          <w:rFonts w:ascii="Arial" w:hAnsi="Arial"/>
          <w:i/>
          <w:spacing w:val="22"/>
          <w:sz w:val="20"/>
        </w:rPr>
        <w:t> </w:t>
      </w:r>
      <w:r>
        <w:rPr>
          <w:rFonts w:ascii="Arial" w:hAnsi="Arial"/>
          <w:i/>
          <w:sz w:val="20"/>
        </w:rPr>
        <w:t>Arrow</w:t>
      </w:r>
      <w:r>
        <w:rPr>
          <w:rFonts w:ascii="Arial" w:hAnsi="Arial"/>
          <w:i/>
          <w:spacing w:val="22"/>
          <w:sz w:val="20"/>
        </w:rPr>
        <w:t> </w:t>
      </w:r>
      <w:r>
        <w:rPr>
          <w:rFonts w:ascii="Arial" w:hAnsi="Arial"/>
          <w:i/>
          <w:sz w:val="20"/>
        </w:rPr>
        <w:t>Express</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Lamey’s</w:t>
      </w:r>
      <w:r>
        <w:rPr>
          <w:rFonts w:ascii="Arial" w:hAnsi="Arial"/>
          <w:i/>
          <w:spacing w:val="22"/>
          <w:sz w:val="20"/>
        </w:rPr>
        <w:t> </w:t>
      </w:r>
      <w:r>
        <w:rPr>
          <w:rFonts w:ascii="Arial" w:hAnsi="Arial"/>
          <w:i/>
          <w:sz w:val="20"/>
        </w:rPr>
        <w:t>Distribution</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[1995]</w:t>
      </w:r>
      <w:r>
        <w:rPr>
          <w:rFonts w:ascii="Arial" w:hAnsi="Arial"/>
          <w:i/>
          <w:spacing w:val="22"/>
          <w:sz w:val="20"/>
        </w:rPr>
        <w:t> </w:t>
      </w:r>
      <w:r>
        <w:rPr>
          <w:rFonts w:ascii="Arial" w:hAnsi="Arial"/>
          <w:i/>
          <w:sz w:val="20"/>
        </w:rPr>
        <w:t>15</w:t>
      </w:r>
      <w:r>
        <w:rPr>
          <w:rFonts w:ascii="Arial" w:hAnsi="Arial"/>
          <w:i/>
          <w:spacing w:val="22"/>
          <w:sz w:val="20"/>
        </w:rPr>
        <w:t> </w:t>
      </w:r>
      <w:r>
        <w:rPr>
          <w:rFonts w:ascii="Arial" w:hAnsi="Arial"/>
          <w:i/>
          <w:sz w:val="20"/>
        </w:rPr>
        <w:t>Tr.</w:t>
      </w:r>
      <w:r>
        <w:rPr>
          <w:rFonts w:ascii="Arial" w:hAnsi="Arial"/>
          <w:i/>
          <w:spacing w:val="22"/>
          <w:sz w:val="20"/>
        </w:rPr>
        <w:t> </w:t>
      </w:r>
      <w:r>
        <w:rPr>
          <w:rFonts w:ascii="Arial" w:hAnsi="Arial"/>
          <w:i/>
          <w:sz w:val="20"/>
        </w:rPr>
        <w:t>L.R.</w:t>
      </w:r>
      <w:r>
        <w:rPr>
          <w:rFonts w:ascii="Arial" w:hAnsi="Arial"/>
          <w:i/>
          <w:spacing w:val="22"/>
          <w:sz w:val="20"/>
        </w:rPr>
        <w:t> </w:t>
      </w:r>
      <w:r>
        <w:rPr>
          <w:rFonts w:ascii="Arial" w:hAnsi="Arial"/>
          <w:i/>
          <w:sz w:val="20"/>
        </w:rPr>
        <w:t>69</w:t>
      </w:r>
      <w:r>
        <w:rPr>
          <w:sz w:val="20"/>
        </w:rPr>
        <w:t>,</w:t>
      </w:r>
      <w:r>
        <w:rPr>
          <w:spacing w:val="22"/>
          <w:sz w:val="20"/>
        </w:rPr>
        <w:t> </w:t>
      </w:r>
      <w:r>
        <w:rPr>
          <w:sz w:val="20"/>
        </w:rPr>
        <w:t>noted</w:t>
      </w:r>
      <w:r>
        <w:rPr>
          <w:spacing w:val="22"/>
          <w:sz w:val="20"/>
        </w:rPr>
        <w:t> </w:t>
      </w:r>
      <w:r>
        <w:rPr>
          <w:sz w:val="20"/>
        </w:rPr>
        <w:t>(1995) 112 L.Q.R. 205.</w:t>
      </w:r>
    </w:p>
    <w:p>
      <w:pPr>
        <w:pStyle w:val="BodyText"/>
        <w:spacing w:before="9"/>
      </w:pPr>
    </w:p>
    <w:p>
      <w:pPr>
        <w:pStyle w:val="BodyText"/>
        <w:tabs>
          <w:tab w:pos="705" w:val="left" w:leader="none"/>
        </w:tabs>
        <w:spacing w:line="235" w:lineRule="auto"/>
        <w:ind w:left="705" w:right="174" w:hanging="541"/>
      </w:pPr>
      <w:bookmarkStart w:name="_bookmark476" w:id="478"/>
      <w:bookmarkEnd w:id="478"/>
      <w:r>
        <w:rPr/>
      </w:r>
      <w:hyperlink w:history="true" w:anchor="_bookmark452">
        <w:r>
          <w:rPr>
            <w:color w:val="005DA1"/>
            <w:spacing w:val="-4"/>
            <w:position w:val="5"/>
            <w:sz w:val="14"/>
            <w:u w:val="single" w:color="005DA1"/>
          </w:rPr>
          <w:t>239</w:t>
        </w:r>
      </w:hyperlink>
      <w:r>
        <w:rPr>
          <w:spacing w:val="-4"/>
          <w:position w:val="5"/>
          <w:sz w:val="14"/>
        </w:rPr>
        <w:t>.</w:t>
      </w:r>
      <w:r>
        <w:rPr>
          <w:position w:val="5"/>
          <w:sz w:val="14"/>
        </w:rPr>
        <w:tab/>
      </w:r>
      <w:r>
        <w:rPr/>
        <w:t>It</w:t>
      </w:r>
      <w:r>
        <w:rPr>
          <w:spacing w:val="25"/>
        </w:rPr>
        <w:t> </w:t>
      </w:r>
      <w:r>
        <w:rPr/>
        <w:t>seems</w:t>
      </w:r>
      <w:r>
        <w:rPr>
          <w:spacing w:val="25"/>
        </w:rPr>
        <w:t> </w:t>
      </w:r>
      <w:r>
        <w:rPr/>
        <w:t>that</w:t>
      </w:r>
      <w:r>
        <w:rPr>
          <w:spacing w:val="25"/>
        </w:rPr>
        <w:t> </w:t>
      </w:r>
      <w:r>
        <w:rPr/>
        <w:t>this</w:t>
      </w:r>
      <w:r>
        <w:rPr>
          <w:spacing w:val="25"/>
        </w:rPr>
        <w:t> </w:t>
      </w:r>
      <w:r>
        <w:rPr/>
        <w:t>measure</w:t>
      </w:r>
      <w:r>
        <w:rPr>
          <w:spacing w:val="25"/>
        </w:rPr>
        <w:t> </w:t>
      </w:r>
      <w:r>
        <w:rPr/>
        <w:t>was</w:t>
      </w:r>
      <w:r>
        <w:rPr>
          <w:spacing w:val="25"/>
        </w:rPr>
        <w:t> </w:t>
      </w:r>
      <w:r>
        <w:rPr/>
        <w:t>outside</w:t>
      </w:r>
      <w:r>
        <w:rPr>
          <w:spacing w:val="25"/>
        </w:rPr>
        <w:t> </w:t>
      </w:r>
      <w:r>
        <w:rPr/>
        <w:t>both</w:t>
      </w:r>
      <w:r>
        <w:rPr>
          <w:spacing w:val="25"/>
        </w:rPr>
        <w:t> </w:t>
      </w:r>
      <w:r>
        <w:rPr/>
        <w:t>the</w:t>
      </w:r>
      <w:r>
        <w:rPr>
          <w:spacing w:val="25"/>
        </w:rPr>
        <w:t> </w:t>
      </w:r>
      <w:r>
        <w:rPr/>
        <w:t>preliminary</w:t>
      </w:r>
      <w:r>
        <w:rPr>
          <w:spacing w:val="25"/>
        </w:rPr>
        <w:t> </w:t>
      </w:r>
      <w:r>
        <w:rPr/>
        <w:t>question</w:t>
      </w:r>
      <w:r>
        <w:rPr>
          <w:spacing w:val="25"/>
        </w:rPr>
        <w:t> </w:t>
      </w:r>
      <w:r>
        <w:rPr/>
        <w:t>on</w:t>
      </w:r>
      <w:r>
        <w:rPr>
          <w:spacing w:val="25"/>
        </w:rPr>
        <w:t> </w:t>
      </w:r>
      <w:r>
        <w:rPr/>
        <w:t>which</w:t>
      </w:r>
      <w:r>
        <w:rPr>
          <w:spacing w:val="25"/>
        </w:rPr>
        <w:t> </w:t>
      </w:r>
      <w:r>
        <w:rPr/>
        <w:t>a</w:t>
      </w:r>
      <w:r>
        <w:rPr>
          <w:spacing w:val="25"/>
        </w:rPr>
        <w:t> </w:t>
      </w:r>
      <w:r>
        <w:rPr/>
        <w:t>ruling</w:t>
      </w:r>
      <w:r>
        <w:rPr>
          <w:spacing w:val="25"/>
        </w:rPr>
        <w:t> </w:t>
      </w:r>
      <w:r>
        <w:rPr/>
        <w:t>was sought and the notice of appeal.</w:t>
      </w:r>
    </w:p>
    <w:p>
      <w:pPr>
        <w:pStyle w:val="BodyText"/>
        <w:spacing w:before="9"/>
      </w:pPr>
    </w:p>
    <w:p>
      <w:pPr>
        <w:spacing w:line="235" w:lineRule="auto" w:before="1"/>
        <w:ind w:left="705" w:right="167" w:hanging="541"/>
        <w:jc w:val="both"/>
        <w:rPr>
          <w:sz w:val="20"/>
        </w:rPr>
      </w:pPr>
      <w:bookmarkStart w:name="_bookmark477" w:id="479"/>
      <w:bookmarkEnd w:id="479"/>
      <w:r>
        <w:rPr/>
      </w:r>
      <w:hyperlink w:history="true" w:anchor="_bookmark453">
        <w:r>
          <w:rPr>
            <w:color w:val="005DA1"/>
            <w:position w:val="5"/>
            <w:sz w:val="14"/>
            <w:u w:val="single" w:color="005DA1"/>
          </w:rPr>
          <w:t>240</w:t>
        </w:r>
      </w:hyperlink>
      <w:r>
        <w:rPr>
          <w:position w:val="5"/>
          <w:sz w:val="14"/>
        </w:rPr>
        <w:t>.</w:t>
      </w:r>
      <w:r>
        <w:rPr>
          <w:spacing w:val="80"/>
          <w:position w:val="5"/>
          <w:sz w:val="14"/>
        </w:rPr>
        <w:t>  </w:t>
      </w:r>
      <w:r>
        <w:rPr>
          <w:sz w:val="20"/>
        </w:rPr>
        <w:t>See (1995) 112 L.Q.R. 205, 207–208. For an example of damages based on a “rough and ready” approach of this kind, see </w:t>
      </w:r>
      <w:r>
        <w:rPr>
          <w:rFonts w:ascii="Arial" w:hAnsi="Arial"/>
          <w:i/>
          <w:sz w:val="20"/>
        </w:rPr>
        <w:t>PlayUp Interactive Entertainment (UK) Pty Ltd v Givemefootball Ltd [2011] EWHC 1980 (Comm) </w:t>
      </w:r>
      <w:r>
        <w:rPr>
          <w:sz w:val="20"/>
        </w:rPr>
        <w:t>at [268]–[275].</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160706</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8" w:id="480"/>
      <w:bookmarkEnd w:id="480"/>
      <w:r>
        <w:rPr/>
      </w:r>
      <w:hyperlink w:history="true" w:anchor="_bookmark454">
        <w:r>
          <w:rPr>
            <w:color w:val="005DA1"/>
            <w:spacing w:val="-4"/>
            <w:sz w:val="14"/>
            <w:u w:val="single" w:color="005DA1"/>
          </w:rPr>
          <w:t>241</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Giedo</w:t>
      </w:r>
      <w:r>
        <w:rPr>
          <w:rFonts w:ascii="Arial" w:hAnsi="Arial"/>
          <w:i/>
          <w:spacing w:val="-2"/>
          <w:sz w:val="20"/>
        </w:rPr>
        <w:t> </w:t>
      </w:r>
      <w:r>
        <w:rPr>
          <w:rFonts w:ascii="Arial" w:hAnsi="Arial"/>
          <w:i/>
          <w:sz w:val="20"/>
        </w:rPr>
        <w:t>van</w:t>
      </w:r>
      <w:r>
        <w:rPr>
          <w:rFonts w:ascii="Arial" w:hAnsi="Arial"/>
          <w:i/>
          <w:spacing w:val="-2"/>
          <w:sz w:val="20"/>
        </w:rPr>
        <w:t> </w:t>
      </w:r>
      <w:r>
        <w:rPr>
          <w:rFonts w:ascii="Arial" w:hAnsi="Arial"/>
          <w:i/>
          <w:sz w:val="20"/>
        </w:rPr>
        <w:t>der</w:t>
      </w:r>
      <w:r>
        <w:rPr>
          <w:rFonts w:ascii="Arial" w:hAnsi="Arial"/>
          <w:i/>
          <w:spacing w:val="-2"/>
          <w:sz w:val="20"/>
        </w:rPr>
        <w:t> </w:t>
      </w:r>
      <w:r>
        <w:rPr>
          <w:rFonts w:ascii="Arial" w:hAnsi="Arial"/>
          <w:i/>
          <w:sz w:val="20"/>
        </w:rPr>
        <w:t>Garde</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Force</w:t>
      </w:r>
      <w:r>
        <w:rPr>
          <w:rFonts w:ascii="Arial" w:hAnsi="Arial"/>
          <w:i/>
          <w:spacing w:val="-2"/>
          <w:sz w:val="20"/>
        </w:rPr>
        <w:t> </w:t>
      </w:r>
      <w:r>
        <w:rPr>
          <w:rFonts w:ascii="Arial" w:hAnsi="Arial"/>
          <w:i/>
          <w:sz w:val="20"/>
        </w:rPr>
        <w:t>India</w:t>
      </w:r>
      <w:r>
        <w:rPr>
          <w:rFonts w:ascii="Arial" w:hAnsi="Arial"/>
          <w:i/>
          <w:spacing w:val="-2"/>
          <w:sz w:val="20"/>
        </w:rPr>
        <w:t> </w:t>
      </w:r>
      <w:r>
        <w:rPr>
          <w:rFonts w:ascii="Arial" w:hAnsi="Arial"/>
          <w:i/>
          <w:sz w:val="20"/>
        </w:rPr>
        <w:t>Formula</w:t>
      </w:r>
      <w:r>
        <w:rPr>
          <w:rFonts w:ascii="Arial" w:hAnsi="Arial"/>
          <w:i/>
          <w:spacing w:val="-2"/>
          <w:sz w:val="20"/>
        </w:rPr>
        <w:t> </w:t>
      </w:r>
      <w:r>
        <w:rPr>
          <w:rFonts w:ascii="Arial" w:hAnsi="Arial"/>
          <w:i/>
          <w:sz w:val="20"/>
        </w:rPr>
        <w:t>One</w:t>
      </w:r>
      <w:r>
        <w:rPr>
          <w:rFonts w:ascii="Arial" w:hAnsi="Arial"/>
          <w:i/>
          <w:spacing w:val="-2"/>
          <w:sz w:val="20"/>
        </w:rPr>
        <w:t> </w:t>
      </w:r>
      <w:r>
        <w:rPr>
          <w:rFonts w:ascii="Arial" w:hAnsi="Arial"/>
          <w:i/>
          <w:sz w:val="20"/>
        </w:rPr>
        <w:t>Team</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2373</w:t>
      </w:r>
      <w:r>
        <w:rPr>
          <w:rFonts w:ascii="Arial" w:hAnsi="Arial"/>
          <w:i/>
          <w:spacing w:val="-2"/>
          <w:sz w:val="20"/>
        </w:rPr>
        <w:t> </w:t>
      </w:r>
      <w:r>
        <w:rPr>
          <w:rFonts w:ascii="Arial" w:hAnsi="Arial"/>
          <w:i/>
          <w:sz w:val="20"/>
        </w:rPr>
        <w:t>(QB)</w:t>
      </w:r>
      <w:r>
        <w:rPr>
          <w:rFonts w:ascii="Arial" w:hAnsi="Arial"/>
          <w:i/>
          <w:spacing w:val="-3"/>
          <w:sz w:val="20"/>
        </w:rPr>
        <w:t> </w:t>
      </w:r>
      <w:r>
        <w:rPr>
          <w:sz w:val="20"/>
        </w:rPr>
        <w:t>(“in</w:t>
      </w:r>
      <w:r>
        <w:rPr>
          <w:spacing w:val="-2"/>
          <w:sz w:val="20"/>
        </w:rPr>
        <w:t> </w:t>
      </w:r>
      <w:r>
        <w:rPr>
          <w:sz w:val="20"/>
        </w:rPr>
        <w:t>a contract for services where there is no proof of consequential financial loss by reason of </w:t>
      </w:r>
      <w:r>
        <w:rPr>
          <w:sz w:val="20"/>
        </w:rPr>
        <w:t>the breach, the claimant is nonetheless entitled to damages for breach of contract, the measure for which is the value to the claimant of the services which were not provided. In an appropriate case the measure of the value to the claimant of the services which should have been but were not provided may be the notional cost to the claimant of obtaining those services elsewhere, it not being a conditional precedent for the award of such damages that equivalent services were in fact purchased elsewhere”: at [424]). See also at [430] and [435]. On another aspect of the </w:t>
      </w:r>
      <w:r>
        <w:rPr>
          <w:rFonts w:ascii="Arial" w:hAnsi="Arial"/>
          <w:i/>
          <w:sz w:val="20"/>
        </w:rPr>
        <w:t>Giedo </w:t>
      </w:r>
      <w:r>
        <w:rPr>
          <w:sz w:val="20"/>
        </w:rPr>
        <w:t>case see further below, para.26-053. On recovery although no substitute has been obtained see also </w:t>
      </w:r>
      <w:r>
        <w:rPr>
          <w:rFonts w:ascii="Arial" w:hAnsi="Arial"/>
          <w:i/>
          <w:sz w:val="20"/>
        </w:rPr>
        <w:t>De Beers UK Ltd (formerly: Diamond Trading Co Ltd) v Atos Origin IT Services UK Ltd [2010] EWHC 3276 (TCC) </w:t>
      </w:r>
      <w:r>
        <w:rPr>
          <w:sz w:val="20"/>
        </w:rPr>
        <w:t>at [344]. When services are not provided as promised, the “clear and obvious” measure is the diminution in value of the promised services: </w:t>
      </w:r>
      <w:r>
        <w:rPr>
          <w:rFonts w:ascii="Arial" w:hAnsi="Arial"/>
          <w:i/>
          <w:sz w:val="20"/>
        </w:rPr>
        <w:t>Regus (UK) Ltd v Epcot Solutions Ltd [2008] EWCA Civ 361 </w:t>
      </w:r>
      <w:r>
        <w:rPr>
          <w:sz w:val="20"/>
        </w:rPr>
        <w:t>at [30]–[31]. For a similar issue in</w:t>
      </w:r>
      <w:r>
        <w:rPr>
          <w:spacing w:val="40"/>
          <w:sz w:val="20"/>
        </w:rPr>
        <w:t> </w:t>
      </w:r>
      <w:r>
        <w:rPr>
          <w:sz w:val="20"/>
        </w:rPr>
        <w:t>a tort case, see </w:t>
      </w:r>
      <w:r>
        <w:rPr>
          <w:rFonts w:ascii="Arial" w:hAnsi="Arial"/>
          <w:i/>
          <w:sz w:val="20"/>
        </w:rPr>
        <w:t>Aerospace Publishing Ltd v Thames Water Utilities Ltd [2007] EWCA Civ 3, [2007] Bus. L.R. 726</w:t>
      </w:r>
      <w:r>
        <w:rPr>
          <w:sz w:val="20"/>
        </w:rPr>
        <w:t>. But see above, para.26-040, n.210a.</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455">
        <w:r>
          <w:rPr>
            <w:color w:val="005DA1"/>
            <w:spacing w:val="-4"/>
            <w:sz w:val="14"/>
            <w:u w:val="single" w:color="005DA1"/>
          </w:rPr>
          <w:t>242</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62944">
            <wp:simplePos x="0" y="0"/>
            <wp:positionH relativeFrom="page">
              <wp:posOffset>1257846</wp:posOffset>
            </wp:positionH>
            <wp:positionV relativeFrom="paragraph">
              <wp:posOffset>28443</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Moorjani v Durban Estates Ltd [2015] EWCA Civ 1252, [2016] H.L.R. </w:t>
      </w:r>
      <w:r>
        <w:rPr>
          <w:rFonts w:ascii="Arial"/>
          <w:i/>
          <w:spacing w:val="-5"/>
          <w:sz w:val="20"/>
        </w:rPr>
        <w:t>6</w:t>
      </w:r>
      <w:r>
        <w:rPr>
          <w:spacing w:val="-5"/>
          <w:sz w:val="20"/>
        </w:rPr>
        <w:t>.</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160542</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9" w:id="481"/>
      <w:bookmarkEnd w:id="481"/>
      <w:r>
        <w:rPr/>
      </w:r>
      <w:hyperlink w:history="true" w:anchor="_bookmark456">
        <w:r>
          <w:rPr>
            <w:color w:val="005DA1"/>
            <w:spacing w:val="-4"/>
            <w:sz w:val="14"/>
            <w:u w:val="single" w:color="005DA1"/>
          </w:rPr>
          <w:t>243</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[2015] EWCA Civ 1252 </w:t>
      </w:r>
      <w:r>
        <w:rPr>
          <w:sz w:val="20"/>
        </w:rPr>
        <w:t>at [35]–[39] (Briggs L.J., with whom the other members of the court</w:t>
      </w:r>
      <w:r>
        <w:rPr>
          <w:spacing w:val="80"/>
          <w:sz w:val="20"/>
        </w:rPr>
        <w:t> </w:t>
      </w:r>
      <w:r>
        <w:rPr>
          <w:spacing w:val="-2"/>
          <w:sz w:val="20"/>
        </w:rPr>
        <w:t>agreed).</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160701</wp:posOffset>
            </wp:positionV>
            <wp:extent cx="107988" cy="10798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80" w:id="482"/>
      <w:bookmarkEnd w:id="482"/>
      <w:r>
        <w:rPr/>
      </w:r>
      <w:hyperlink w:history="true" w:anchor="_bookmark457">
        <w:r>
          <w:rPr>
            <w:color w:val="005DA1"/>
            <w:spacing w:val="-4"/>
            <w:sz w:val="14"/>
            <w:u w:val="single" w:color="005DA1"/>
          </w:rPr>
          <w:t>244</w:t>
        </w:r>
      </w:hyperlink>
      <w:r>
        <w:rPr>
          <w:spacing w:val="-4"/>
          <w:sz w:val="14"/>
        </w:rPr>
        <w:t>.</w:t>
      </w:r>
    </w:p>
    <w:p>
      <w:pPr>
        <w:spacing w:line="235" w:lineRule="auto" w:before="213"/>
        <w:ind w:left="165" w:right="167" w:firstLine="170"/>
        <w:jc w:val="both"/>
        <w:rPr>
          <w:sz w:val="20"/>
        </w:rPr>
      </w:pPr>
      <w:r>
        <w:rPr/>
        <w:br w:type="column"/>
      </w:r>
      <w:r>
        <w:rPr>
          <w:rFonts w:ascii="Arial"/>
          <w:i/>
          <w:sz w:val="20"/>
        </w:rPr>
        <w:t>[2015]</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1252</w:t>
      </w:r>
      <w:r>
        <w:rPr>
          <w:rFonts w:ascii="Arial"/>
          <w:i/>
          <w:spacing w:val="-2"/>
          <w:sz w:val="20"/>
        </w:rPr>
        <w:t> </w:t>
      </w:r>
      <w:r>
        <w:rPr>
          <w:sz w:val="20"/>
        </w:rPr>
        <w:t>at</w:t>
      </w:r>
      <w:r>
        <w:rPr>
          <w:spacing w:val="-2"/>
          <w:sz w:val="20"/>
        </w:rPr>
        <w:t> </w:t>
      </w:r>
      <w:r>
        <w:rPr>
          <w:sz w:val="20"/>
        </w:rPr>
        <w:t>[40].</w:t>
      </w:r>
      <w:r>
        <w:rPr>
          <w:spacing w:val="-2"/>
          <w:sz w:val="20"/>
        </w:rPr>
        <w:t> </w:t>
      </w:r>
      <w:r>
        <w:rPr>
          <w:sz w:val="20"/>
        </w:rPr>
        <w:t>Briggs</w:t>
      </w:r>
      <w:r>
        <w:rPr>
          <w:spacing w:val="-2"/>
          <w:sz w:val="20"/>
        </w:rPr>
        <w:t> </w:t>
      </w:r>
      <w:r>
        <w:rPr>
          <w:sz w:val="20"/>
        </w:rPr>
        <w:t>L.J.</w:t>
      </w:r>
      <w:r>
        <w:rPr>
          <w:spacing w:val="-2"/>
          <w:sz w:val="20"/>
        </w:rPr>
        <w:t> </w:t>
      </w:r>
      <w:r>
        <w:rPr>
          <w:sz w:val="20"/>
        </w:rPr>
        <w:t>relied</w:t>
      </w:r>
      <w:r>
        <w:rPr>
          <w:spacing w:val="-2"/>
          <w:sz w:val="20"/>
        </w:rPr>
        <w:t> </w:t>
      </w:r>
      <w:r>
        <w:rPr>
          <w:sz w:val="20"/>
        </w:rPr>
        <w:t>in</w:t>
      </w:r>
      <w:r>
        <w:rPr>
          <w:spacing w:val="-2"/>
          <w:sz w:val="20"/>
        </w:rPr>
        <w:t> </w:t>
      </w:r>
      <w:r>
        <w:rPr>
          <w:sz w:val="20"/>
        </w:rPr>
        <w:t>particular</w:t>
      </w:r>
      <w:r>
        <w:rPr>
          <w:spacing w:val="-2"/>
          <w:sz w:val="20"/>
        </w:rPr>
        <w:t> </w:t>
      </w:r>
      <w:r>
        <w:rPr>
          <w:sz w:val="20"/>
        </w:rPr>
        <w:t>on</w:t>
      </w:r>
      <w:r>
        <w:rPr>
          <w:spacing w:val="-2"/>
          <w:sz w:val="20"/>
        </w:rPr>
        <w:t> </w:t>
      </w:r>
      <w:r>
        <w:rPr>
          <w:rFonts w:ascii="Arial"/>
          <w:i/>
          <w:sz w:val="20"/>
        </w:rPr>
        <w:t>Earle</w:t>
      </w:r>
      <w:r>
        <w:rPr>
          <w:rFonts w:ascii="Arial"/>
          <w:i/>
          <w:spacing w:val="-2"/>
          <w:sz w:val="20"/>
        </w:rPr>
        <w:t> </w:t>
      </w:r>
      <w:r>
        <w:rPr>
          <w:rFonts w:ascii="Arial"/>
          <w:i/>
          <w:sz w:val="20"/>
        </w:rPr>
        <w:t>v</w:t>
      </w:r>
      <w:r>
        <w:rPr>
          <w:rFonts w:ascii="Arial"/>
          <w:i/>
          <w:spacing w:val="-2"/>
          <w:sz w:val="20"/>
        </w:rPr>
        <w:t> </w:t>
      </w:r>
      <w:r>
        <w:rPr>
          <w:rFonts w:ascii="Arial"/>
          <w:i/>
          <w:sz w:val="20"/>
        </w:rPr>
        <w:t>Charalambous</w:t>
      </w:r>
      <w:r>
        <w:rPr>
          <w:rFonts w:ascii="Arial"/>
          <w:i/>
          <w:spacing w:val="-2"/>
          <w:sz w:val="20"/>
        </w:rPr>
        <w:t> </w:t>
      </w:r>
      <w:r>
        <w:rPr>
          <w:rFonts w:ascii="Arial"/>
          <w:i/>
          <w:sz w:val="20"/>
        </w:rPr>
        <w:t>[2006] EWCA Civ 1090, [2007] H.L.R. 8</w:t>
      </w:r>
      <w:r>
        <w:rPr>
          <w:sz w:val="20"/>
        </w:rPr>
        <w:t>, in which the lessee had gone to live with his parents and the Court of Appeal limited his damages to 50 per cent of the notional market rent for the period: see </w:t>
      </w:r>
      <w:r>
        <w:rPr>
          <w:rFonts w:ascii="Arial"/>
          <w:i/>
          <w:sz w:val="20"/>
        </w:rPr>
        <w:t>[2015] EWCA Civ 1252 </w:t>
      </w:r>
      <w:r>
        <w:rPr>
          <w:sz w:val="20"/>
        </w:rPr>
        <w:t>at [37].</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481" w:id="483"/>
      <w:bookmarkEnd w:id="483"/>
      <w:r>
        <w:rPr/>
      </w:r>
      <w:hyperlink w:history="true" w:anchor="_bookmark458">
        <w:r>
          <w:rPr>
            <w:color w:val="005DA1"/>
            <w:spacing w:val="-4"/>
            <w:sz w:val="14"/>
            <w:u w:val="single" w:color="005DA1"/>
          </w:rPr>
          <w:t>245</w:t>
        </w:r>
      </w:hyperlink>
      <w:r>
        <w:rPr>
          <w:spacing w:val="-4"/>
          <w:sz w:val="14"/>
        </w:rPr>
        <w:t>.</w:t>
      </w:r>
    </w:p>
    <w:p>
      <w:pPr>
        <w:pStyle w:val="BodyText"/>
        <w:spacing w:before="208"/>
        <w:ind w:left="335"/>
      </w:pPr>
      <w:r>
        <w:rPr/>
        <w:br w:type="column"/>
      </w:r>
      <w:r>
        <w:rPr/>
        <w:t>See Vol.I, paras 26-040—26-</w:t>
      </w:r>
      <w:r>
        <w:rPr>
          <w:spacing w:val="-4"/>
        </w:rPr>
        <w:t>041.</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-211078</wp:posOffset>
            </wp:positionV>
            <wp:extent cx="107988" cy="10798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160396</wp:posOffset>
            </wp:positionV>
            <wp:extent cx="107988" cy="107988"/>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82" w:id="484"/>
      <w:bookmarkEnd w:id="484"/>
      <w:r>
        <w:rPr/>
      </w:r>
      <w:hyperlink w:history="true" w:anchor="_bookmark459">
        <w:r>
          <w:rPr>
            <w:color w:val="005DA1"/>
            <w:spacing w:val="-4"/>
            <w:sz w:val="14"/>
            <w:u w:val="single" w:color="005DA1"/>
          </w:rPr>
          <w:t>246</w:t>
        </w:r>
      </w:hyperlink>
      <w:r>
        <w:rPr>
          <w:spacing w:val="-4"/>
          <w:sz w:val="14"/>
        </w:rPr>
        <w:t>.</w:t>
      </w:r>
    </w:p>
    <w:p>
      <w:pPr>
        <w:spacing w:line="235" w:lineRule="auto" w:before="212"/>
        <w:ind w:left="165" w:right="167" w:firstLine="170"/>
        <w:jc w:val="both"/>
        <w:rPr>
          <w:sz w:val="20"/>
        </w:rPr>
      </w:pPr>
      <w:r>
        <w:rPr/>
        <w:br w:type="column"/>
      </w:r>
      <w:r>
        <w:rPr>
          <w:sz w:val="20"/>
        </w:rPr>
        <w:t>Thus a party who has been deprived by the defendant’s breach of the chance to earn </w:t>
      </w:r>
      <w:r>
        <w:rPr>
          <w:sz w:val="20"/>
        </w:rPr>
        <w:t>freight suffers a substantial loss even if the first party would have directed the money to be paid to a third</w:t>
      </w:r>
      <w:r>
        <w:rPr>
          <w:spacing w:val="-1"/>
          <w:sz w:val="20"/>
        </w:rPr>
        <w:t> </w:t>
      </w:r>
      <w:r>
        <w:rPr>
          <w:sz w:val="20"/>
        </w:rPr>
        <w:t>party</w:t>
      </w:r>
      <w:r>
        <w:rPr>
          <w:spacing w:val="-1"/>
          <w:sz w:val="20"/>
        </w:rPr>
        <w:t> </w:t>
      </w:r>
      <w:r>
        <w:rPr>
          <w:sz w:val="20"/>
        </w:rPr>
        <w:t>who</w:t>
      </w:r>
      <w:r>
        <w:rPr>
          <w:spacing w:val="-1"/>
          <w:sz w:val="20"/>
        </w:rPr>
        <w:t> </w:t>
      </w:r>
      <w:r>
        <w:rPr>
          <w:sz w:val="20"/>
        </w:rPr>
        <w:t>was</w:t>
      </w:r>
      <w:r>
        <w:rPr>
          <w:spacing w:val="-1"/>
          <w:sz w:val="20"/>
        </w:rPr>
        <w:t> </w:t>
      </w:r>
      <w:r>
        <w:rPr>
          <w:sz w:val="20"/>
        </w:rPr>
        <w:t>not</w:t>
      </w:r>
      <w:r>
        <w:rPr>
          <w:spacing w:val="-1"/>
          <w:sz w:val="20"/>
        </w:rPr>
        <w:t> </w:t>
      </w:r>
      <w:r>
        <w:rPr>
          <w:sz w:val="20"/>
        </w:rPr>
        <w:t>the</w:t>
      </w:r>
      <w:r>
        <w:rPr>
          <w:spacing w:val="-1"/>
          <w:sz w:val="20"/>
        </w:rPr>
        <w:t> </w:t>
      </w:r>
      <w:r>
        <w:rPr>
          <w:sz w:val="20"/>
        </w:rPr>
        <w:t>first</w:t>
      </w:r>
      <w:r>
        <w:rPr>
          <w:spacing w:val="-1"/>
          <w:sz w:val="20"/>
        </w:rPr>
        <w:t> </w:t>
      </w:r>
      <w:r>
        <w:rPr>
          <w:sz w:val="20"/>
        </w:rPr>
        <w:t>party’s</w:t>
      </w:r>
      <w:r>
        <w:rPr>
          <w:spacing w:val="-1"/>
          <w:sz w:val="20"/>
        </w:rPr>
        <w:t> </w:t>
      </w:r>
      <w:r>
        <w:rPr>
          <w:sz w:val="20"/>
        </w:rPr>
        <w:t>agent</w:t>
      </w:r>
      <w:r>
        <w:rPr>
          <w:spacing w:val="-1"/>
          <w:sz w:val="20"/>
        </w:rPr>
        <w:t> </w:t>
      </w:r>
      <w:r>
        <w:rPr>
          <w:sz w:val="20"/>
        </w:rPr>
        <w:t>nor</w:t>
      </w:r>
      <w:r>
        <w:rPr>
          <w:spacing w:val="-1"/>
          <w:sz w:val="20"/>
        </w:rPr>
        <w:t> </w:t>
      </w:r>
      <w:r>
        <w:rPr>
          <w:sz w:val="20"/>
        </w:rPr>
        <w:t>bound</w:t>
      </w:r>
      <w:r>
        <w:rPr>
          <w:spacing w:val="-1"/>
          <w:sz w:val="20"/>
        </w:rPr>
        <w:t> </w:t>
      </w:r>
      <w:r>
        <w:rPr>
          <w:sz w:val="20"/>
        </w:rPr>
        <w:t>to</w:t>
      </w:r>
      <w:r>
        <w:rPr>
          <w:spacing w:val="-1"/>
          <w:sz w:val="20"/>
        </w:rPr>
        <w:t> </w:t>
      </w:r>
      <w:r>
        <w:rPr>
          <w:sz w:val="20"/>
        </w:rPr>
        <w:t>account</w:t>
      </w:r>
      <w:r>
        <w:rPr>
          <w:spacing w:val="-1"/>
          <w:sz w:val="20"/>
        </w:rPr>
        <w:t> </w:t>
      </w:r>
      <w:r>
        <w:rPr>
          <w:sz w:val="20"/>
        </w:rPr>
        <w:t>for</w:t>
      </w:r>
      <w:r>
        <w:rPr>
          <w:spacing w:val="-1"/>
          <w:sz w:val="20"/>
        </w:rPr>
        <w:t> </w:t>
      </w:r>
      <w:r>
        <w:rPr>
          <w:sz w:val="20"/>
        </w:rPr>
        <w:t>it:</w:t>
      </w:r>
      <w:r>
        <w:rPr>
          <w:spacing w:val="-2"/>
          <w:sz w:val="20"/>
        </w:rPr>
        <w:t> </w:t>
      </w:r>
      <w:r>
        <w:rPr>
          <w:rFonts w:ascii="Arial" w:hAnsi="Arial"/>
          <w:i/>
          <w:sz w:val="20"/>
        </w:rPr>
        <w:t>Glory</w:t>
      </w:r>
      <w:r>
        <w:rPr>
          <w:rFonts w:ascii="Arial" w:hAnsi="Arial"/>
          <w:i/>
          <w:spacing w:val="-1"/>
          <w:sz w:val="20"/>
        </w:rPr>
        <w:t> </w:t>
      </w:r>
      <w:r>
        <w:rPr>
          <w:rFonts w:ascii="Arial" w:hAnsi="Arial"/>
          <w:i/>
          <w:sz w:val="20"/>
        </w:rPr>
        <w:t>Wealth</w:t>
      </w:r>
      <w:r>
        <w:rPr>
          <w:rFonts w:ascii="Arial" w:hAnsi="Arial"/>
          <w:i/>
          <w:spacing w:val="-1"/>
          <w:sz w:val="20"/>
        </w:rPr>
        <w:t> </w:t>
      </w:r>
      <w:r>
        <w:rPr>
          <w:rFonts w:ascii="Arial" w:hAnsi="Arial"/>
          <w:i/>
          <w:sz w:val="20"/>
        </w:rPr>
        <w:t>Shipping Pte Ltd v Flame SA [2016] EWHC 293 (Comm), [2016] 1 Lloyd’s Rep. 571</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483" w:id="485"/>
      <w:bookmarkEnd w:id="485"/>
      <w:r>
        <w:rPr/>
      </w:r>
      <w:hyperlink w:history="true" w:anchor="_bookmark460">
        <w:r>
          <w:rPr>
            <w:color w:val="005DA1"/>
            <w:spacing w:val="-4"/>
            <w:position w:val="5"/>
            <w:sz w:val="14"/>
            <w:u w:val="single" w:color="005DA1"/>
          </w:rPr>
          <w:t>247</w:t>
        </w:r>
      </w:hyperlink>
      <w:r>
        <w:rPr>
          <w:spacing w:val="-4"/>
          <w:position w:val="5"/>
          <w:sz w:val="14"/>
        </w:rPr>
        <w:t>.</w:t>
      </w:r>
      <w:r>
        <w:rPr>
          <w:position w:val="5"/>
          <w:sz w:val="14"/>
        </w:rPr>
        <w:tab/>
      </w:r>
      <w:r>
        <w:rPr/>
        <w:t>See</w:t>
      </w:r>
      <w:r>
        <w:rPr>
          <w:spacing w:val="-2"/>
        </w:rPr>
        <w:t> </w:t>
      </w:r>
      <w:r>
        <w:rPr/>
        <w:t>paras 18-049—18-</w:t>
      </w:r>
      <w:r>
        <w:rPr>
          <w:spacing w:val="-4"/>
        </w:rPr>
        <w:t>070.</w:t>
      </w:r>
    </w:p>
    <w:p>
      <w:pPr>
        <w:pStyle w:val="BodyText"/>
        <w:spacing w:before="5"/>
      </w:pPr>
    </w:p>
    <w:p>
      <w:pPr>
        <w:tabs>
          <w:tab w:pos="705" w:val="left" w:leader="none"/>
        </w:tabs>
        <w:spacing w:before="0"/>
        <w:ind w:left="165" w:right="0" w:firstLine="0"/>
        <w:jc w:val="left"/>
        <w:rPr>
          <w:sz w:val="20"/>
        </w:rPr>
      </w:pPr>
      <w:bookmarkStart w:name="_bookmark484" w:id="486"/>
      <w:bookmarkEnd w:id="486"/>
      <w:r>
        <w:rPr/>
      </w:r>
      <w:hyperlink w:history="true" w:anchor="_bookmark461">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Alfred McAlpine Construction Ltd v Panatown Ltd [2001] 1 A.C. 518, </w:t>
      </w:r>
      <w:r>
        <w:rPr>
          <w:rFonts w:ascii="Arial"/>
          <w:i/>
          <w:spacing w:val="-4"/>
          <w:sz w:val="20"/>
        </w:rPr>
        <w:t>551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85" w:id="487"/>
      <w:bookmarkEnd w:id="487"/>
      <w:r>
        <w:rPr/>
      </w:r>
      <w:hyperlink w:history="true" w:anchor="_bookmark462">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w:t>
      </w:r>
      <w:r>
        <w:rPr>
          <w:rFonts w:ascii="Arial"/>
          <w:i/>
          <w:spacing w:val="-4"/>
          <w:sz w:val="20"/>
        </w:rPr>
        <w:t>268</w:t>
      </w:r>
      <w:r>
        <w:rPr>
          <w:spacing w:val="-4"/>
          <w:sz w:val="20"/>
        </w:rPr>
        <w:t>.</w:t>
      </w:r>
    </w:p>
    <w:p>
      <w:pPr>
        <w:pStyle w:val="BodyText"/>
        <w:spacing w:before="5"/>
      </w:pPr>
    </w:p>
    <w:p>
      <w:pPr>
        <w:pStyle w:val="BodyText"/>
        <w:tabs>
          <w:tab w:pos="705" w:val="left" w:leader="none"/>
        </w:tabs>
        <w:ind w:left="165"/>
      </w:pPr>
      <w:bookmarkStart w:name="_bookmark486" w:id="488"/>
      <w:bookmarkEnd w:id="488"/>
      <w:r>
        <w:rPr/>
      </w:r>
      <w:hyperlink w:history="true" w:anchor="_bookmark463">
        <w:r>
          <w:rPr>
            <w:color w:val="005DA1"/>
            <w:spacing w:val="-4"/>
            <w:position w:val="5"/>
            <w:sz w:val="14"/>
            <w:u w:val="single" w:color="005DA1"/>
          </w:rPr>
          <w:t>250</w:t>
        </w:r>
      </w:hyperlink>
      <w:r>
        <w:rPr>
          <w:spacing w:val="-4"/>
          <w:position w:val="5"/>
          <w:sz w:val="14"/>
        </w:rPr>
        <w:t>.</w:t>
      </w:r>
      <w:r>
        <w:rPr>
          <w:position w:val="5"/>
          <w:sz w:val="14"/>
        </w:rPr>
        <w:tab/>
      </w:r>
      <w:r>
        <w:rPr/>
        <w:t>See below, paras 26-055 et </w:t>
      </w:r>
      <w:r>
        <w:rPr>
          <w:spacing w:val="-4"/>
        </w:rPr>
        <w:t>seq.</w:t>
      </w:r>
    </w:p>
    <w:p>
      <w:pPr>
        <w:pStyle w:val="BodyText"/>
        <w:spacing w:before="5"/>
      </w:pPr>
    </w:p>
    <w:p>
      <w:pPr>
        <w:pStyle w:val="BodyText"/>
        <w:tabs>
          <w:tab w:pos="705" w:val="left" w:leader="none"/>
        </w:tabs>
        <w:ind w:left="165"/>
      </w:pPr>
      <w:bookmarkStart w:name="_bookmark487" w:id="489"/>
      <w:bookmarkEnd w:id="489"/>
      <w:r>
        <w:rPr/>
      </w:r>
      <w:hyperlink w:history="true" w:anchor="_bookmark464">
        <w:r>
          <w:rPr>
            <w:color w:val="005DA1"/>
            <w:spacing w:val="-4"/>
            <w:position w:val="5"/>
            <w:sz w:val="14"/>
            <w:u w:val="single" w:color="005DA1"/>
          </w:rPr>
          <w:t>251</w:t>
        </w:r>
      </w:hyperlink>
      <w:r>
        <w:rPr>
          <w:spacing w:val="-4"/>
          <w:position w:val="5"/>
          <w:sz w:val="14"/>
        </w:rPr>
        <w:t>.</w:t>
      </w:r>
      <w:r>
        <w:rPr>
          <w:position w:val="5"/>
          <w:sz w:val="14"/>
        </w:rPr>
        <w:tab/>
      </w:r>
      <w:r>
        <w:rPr/>
        <w:t>Friedmann (1995) 111 L.Q.R. 628; Coote [1997] C.L.J. </w:t>
      </w:r>
      <w:r>
        <w:rPr>
          <w:spacing w:val="-4"/>
        </w:rPr>
        <w:t>537.</w:t>
      </w:r>
    </w:p>
    <w:p>
      <w:pPr>
        <w:pStyle w:val="BodyText"/>
        <w:spacing w:before="5"/>
      </w:pPr>
    </w:p>
    <w:p>
      <w:pPr>
        <w:tabs>
          <w:tab w:pos="705" w:val="left" w:leader="none"/>
        </w:tabs>
        <w:spacing w:before="0"/>
        <w:ind w:left="165" w:right="0" w:firstLine="0"/>
        <w:jc w:val="left"/>
        <w:rPr>
          <w:sz w:val="20"/>
        </w:rPr>
      </w:pPr>
      <w:bookmarkStart w:name="_bookmark488" w:id="490"/>
      <w:bookmarkEnd w:id="490"/>
      <w:r>
        <w:rPr/>
      </w:r>
      <w:hyperlink w:history="true" w:anchor="_bookmark465">
        <w:r>
          <w:rPr>
            <w:color w:val="005DA1"/>
            <w:spacing w:val="-4"/>
            <w:position w:val="5"/>
            <w:sz w:val="14"/>
            <w:u w:val="single" w:color="005DA1"/>
          </w:rPr>
          <w:t>252</w:t>
        </w:r>
      </w:hyperlink>
      <w:r>
        <w:rPr>
          <w:spacing w:val="-4"/>
          <w:position w:val="5"/>
          <w:sz w:val="14"/>
        </w:rPr>
        <w:t>.</w:t>
      </w:r>
      <w:r>
        <w:rPr>
          <w:position w:val="5"/>
          <w:sz w:val="14"/>
        </w:rPr>
        <w:tab/>
      </w:r>
      <w:r>
        <w:rPr>
          <w:sz w:val="20"/>
        </w:rPr>
        <w:t>Below, para.27-</w:t>
      </w:r>
      <w:r>
        <w:rPr>
          <w:spacing w:val="-4"/>
          <w:sz w:val="20"/>
        </w:rPr>
        <w:t>034.</w:t>
      </w:r>
    </w:p>
    <w:p>
      <w:pPr>
        <w:pStyle w:val="BodyText"/>
        <w:spacing w:before="5"/>
      </w:pPr>
    </w:p>
    <w:p>
      <w:pPr>
        <w:pStyle w:val="BodyText"/>
        <w:tabs>
          <w:tab w:pos="705" w:val="left" w:leader="none"/>
        </w:tabs>
        <w:ind w:left="165"/>
      </w:pPr>
      <w:bookmarkStart w:name="_bookmark489" w:id="491"/>
      <w:bookmarkEnd w:id="491"/>
      <w:r>
        <w:rPr/>
      </w:r>
      <w:hyperlink w:history="true" w:anchor="_bookmark466">
        <w:r>
          <w:rPr>
            <w:color w:val="005DA1"/>
            <w:spacing w:val="-4"/>
            <w:position w:val="5"/>
            <w:sz w:val="14"/>
            <w:u w:val="single" w:color="005DA1"/>
          </w:rPr>
          <w:t>253</w:t>
        </w:r>
      </w:hyperlink>
      <w:r>
        <w:rPr>
          <w:spacing w:val="-4"/>
          <w:position w:val="5"/>
          <w:sz w:val="14"/>
        </w:rPr>
        <w:t>.</w:t>
      </w:r>
      <w:r>
        <w:rPr>
          <w:position w:val="5"/>
          <w:sz w:val="14"/>
        </w:rPr>
        <w:tab/>
      </w:r>
      <w:r>
        <w:rPr/>
        <w:t>Below, para.27-005; cf. below, para.26-</w:t>
      </w:r>
      <w:r>
        <w:rPr>
          <w:spacing w:val="-4"/>
        </w:rPr>
        <w:t>106.</w:t>
      </w:r>
    </w:p>
    <w:p>
      <w:pPr>
        <w:pStyle w:val="BodyText"/>
        <w:spacing w:before="5"/>
      </w:pPr>
    </w:p>
    <w:p>
      <w:pPr>
        <w:tabs>
          <w:tab w:pos="705" w:val="left" w:leader="none"/>
        </w:tabs>
        <w:spacing w:before="0"/>
        <w:ind w:left="165" w:right="0" w:firstLine="0"/>
        <w:jc w:val="left"/>
        <w:rPr>
          <w:sz w:val="20"/>
        </w:rPr>
      </w:pPr>
      <w:bookmarkStart w:name="_bookmark490" w:id="492"/>
      <w:bookmarkEnd w:id="492"/>
      <w:r>
        <w:rPr/>
      </w:r>
      <w:hyperlink w:history="true" w:anchor="_bookmark467">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w:t>
      </w:r>
      <w:r>
        <w:rPr>
          <w:rFonts w:ascii="Arial"/>
          <w:i/>
          <w:spacing w:val="-4"/>
          <w:sz w:val="20"/>
        </w:rPr>
        <w:t>268</w:t>
      </w:r>
      <w:r>
        <w:rPr>
          <w:spacing w:val="-4"/>
          <w:sz w:val="20"/>
        </w:rPr>
        <w:t>.</w:t>
      </w:r>
    </w:p>
    <w:p>
      <w:pPr>
        <w:pStyle w:val="BodyText"/>
        <w:spacing w:before="9"/>
      </w:pPr>
    </w:p>
    <w:p>
      <w:pPr>
        <w:pStyle w:val="BodyText"/>
        <w:spacing w:line="235" w:lineRule="auto"/>
        <w:ind w:left="705" w:right="167" w:hanging="541"/>
        <w:jc w:val="both"/>
      </w:pPr>
      <w:bookmarkStart w:name="_bookmark491" w:id="493"/>
      <w:bookmarkEnd w:id="493"/>
      <w:r>
        <w:rPr/>
      </w:r>
      <w:hyperlink w:history="true" w:anchor="_bookmark468">
        <w:r>
          <w:rPr>
            <w:color w:val="005DA1"/>
            <w:position w:val="5"/>
            <w:sz w:val="14"/>
            <w:u w:val="single" w:color="005DA1"/>
          </w:rPr>
          <w:t>255</w:t>
        </w:r>
      </w:hyperlink>
      <w:r>
        <w:rPr>
          <w:position w:val="5"/>
          <w:sz w:val="14"/>
        </w:rPr>
        <w:t>.</w:t>
      </w:r>
      <w:r>
        <w:rPr>
          <w:spacing w:val="40"/>
          <w:position w:val="5"/>
          <w:sz w:val="14"/>
        </w:rPr>
        <w:t>  </w:t>
      </w:r>
      <w:r>
        <w:rPr/>
        <w:t>See also the remedies given to consumers (originally in Pt 5A of the Sale of Goods Act 1979 </w:t>
      </w:r>
      <w:r>
        <w:rPr/>
        <w:t>in respect of the purchase of “non-conforming” goods, see below, Vol.II, paras 38-408 et seq.); now see Consumer Rights Act 2015 ss.23 (goods), 43 (digital content) and 55 (services): see Vol.II, paras 38-477, 38-517 and 38-540, especially the use of specific performance to enforce the requirement to repair or replacement.</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4. - Measures that are not Strictly </w:t>
      </w:r>
      <w:r>
        <w:rPr>
          <w:rFonts w:ascii="Arial"/>
          <w:b/>
          <w:spacing w:val="-2"/>
          <w:sz w:val="24"/>
        </w:rPr>
        <w:t>Compensatory</w:t>
      </w:r>
    </w:p>
    <w:p>
      <w:pPr>
        <w:pStyle w:val="ListParagraph"/>
        <w:numPr>
          <w:ilvl w:val="0"/>
          <w:numId w:val="5"/>
        </w:numPr>
        <w:tabs>
          <w:tab w:pos="4078" w:val="left" w:leader="none"/>
        </w:tabs>
        <w:spacing w:line="240" w:lineRule="auto" w:before="194" w:after="0"/>
        <w:ind w:left="4078" w:right="0" w:hanging="360"/>
        <w:jc w:val="left"/>
        <w:rPr>
          <w:b/>
          <w:sz w:val="24"/>
        </w:rPr>
      </w:pPr>
      <w:r>
        <w:rPr>
          <w:b/>
          <w:sz w:val="24"/>
        </w:rPr>
        <w:t>- </w:t>
      </w:r>
      <w:r>
        <w:rPr>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Measure that go beyond </w:t>
      </w:r>
      <w:r>
        <w:rPr>
          <w:rFonts w:ascii="Arial"/>
          <w:b/>
          <w:spacing w:val="-2"/>
          <w:sz w:val="18"/>
        </w:rPr>
        <w:t>compensation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043</w:t>
      </w:r>
    </w:p>
    <w:p>
      <w:pPr>
        <w:pStyle w:val="BodyText"/>
        <w:spacing w:line="235" w:lineRule="auto" w:before="202"/>
        <w:ind w:left="165" w:right="167"/>
        <w:jc w:val="both"/>
      </w:pPr>
      <w:bookmarkStart w:name="_bookmark492" w:id="494"/>
      <w:bookmarkEnd w:id="494"/>
      <w:r>
        <w:rPr/>
      </w:r>
      <w:r>
        <w:rPr/>
        <w:t>The traditional view was that when assessing damages for breach of contract, the court is “concerned with the [claimant’s] loss and not with the [defendant’s] profit, the latter being wholly irrelevant”. </w:t>
      </w:r>
      <w:r>
        <w:rPr>
          <w:color w:val="005DA1"/>
          <w:u w:val="single" w:color="005DA1"/>
          <w:vertAlign w:val="superscript"/>
        </w:rPr>
        <w:t>256</w:t>
      </w:r>
      <w:r>
        <w:rPr>
          <w:color w:val="005DA1"/>
          <w:vertAlign w:val="baseline"/>
        </w:rPr>
        <w:t> </w:t>
      </w:r>
      <w:r>
        <w:rPr>
          <w:vertAlign w:val="baseline"/>
        </w:rPr>
        <w:t>However, in cases of breach of contract the courts have awarded monetary remedies of two </w:t>
      </w:r>
      <w:r>
        <w:rPr>
          <w:vertAlign w:val="baseline"/>
        </w:rPr>
        <w:t>kinds</w:t>
      </w:r>
      <w:r>
        <w:rPr>
          <w:spacing w:val="40"/>
          <w:vertAlign w:val="baseline"/>
        </w:rPr>
        <w:t> </w:t>
      </w:r>
      <w:bookmarkStart w:name="_bookmark493" w:id="495"/>
      <w:bookmarkEnd w:id="495"/>
      <w:r>
        <w:rPr>
          <w:vertAlign w:val="baseline"/>
        </w:rPr>
        <w:t>that</w:t>
      </w:r>
      <w:r>
        <w:rPr>
          <w:vertAlign w:val="baseline"/>
        </w:rPr>
        <w:t> go beyond a strict measure of compensation. The first kind is an award of damages measured in terms of a share of the profit that the defendant made (or that he was expected to make </w:t>
      </w:r>
      <w:r>
        <w:rPr>
          <w:color w:val="005DA1"/>
          <w:u w:val="single" w:color="005DA1"/>
          <w:vertAlign w:val="superscript"/>
        </w:rPr>
        <w:t>257</w:t>
      </w:r>
      <w:r>
        <w:rPr>
          <w:vertAlign w:val="baseline"/>
        </w:rPr>
        <w:t>) through breaking the contract. This measure is often treated as a “rough” form of compensation: if the defendant had not broken the contract but instead had sought to negotiate with the claimant to be released from the contract, the sum awarded represents the payment the claimant might have </w:t>
      </w:r>
      <w:bookmarkStart w:name="_bookmark494" w:id="496"/>
      <w:bookmarkEnd w:id="496"/>
      <w:r>
        <w:rPr>
          <w:vertAlign w:val="baseline"/>
        </w:rPr>
        <w:t>demanded</w:t>
      </w:r>
      <w:r>
        <w:rPr>
          <w:vertAlign w:val="baseline"/>
        </w:rPr>
        <w:t> as the price of releasing the defendant. It has been described as compensation for loss of the opportunity to bargain. </w:t>
      </w:r>
      <w:r>
        <w:rPr>
          <w:color w:val="005DA1"/>
          <w:u w:val="single" w:color="005DA1"/>
          <w:vertAlign w:val="superscript"/>
        </w:rPr>
        <w:t>258</w:t>
      </w:r>
      <w:r>
        <w:rPr>
          <w:color w:val="005DA1"/>
          <w:vertAlign w:val="baseline"/>
        </w:rPr>
        <w:t> </w:t>
      </w:r>
      <w:r>
        <w:rPr>
          <w:vertAlign w:val="baseline"/>
        </w:rPr>
        <w:t>The second kind is to require the defendant to account to the claimant for the full amount of the profit the defendant made by breaking the contract. As explained below, an account</w:t>
      </w:r>
      <w:r>
        <w:rPr>
          <w:spacing w:val="-2"/>
          <w:vertAlign w:val="baseline"/>
        </w:rPr>
        <w:t> </w:t>
      </w:r>
      <w:r>
        <w:rPr>
          <w:vertAlign w:val="baseline"/>
        </w:rPr>
        <w:t>of</w:t>
      </w:r>
      <w:r>
        <w:rPr>
          <w:spacing w:val="-2"/>
          <w:vertAlign w:val="baseline"/>
        </w:rPr>
        <w:t> </w:t>
      </w:r>
      <w:r>
        <w:rPr>
          <w:vertAlign w:val="baseline"/>
        </w:rPr>
        <w:t>profits</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ordered</w:t>
      </w:r>
      <w:r>
        <w:rPr>
          <w:spacing w:val="-2"/>
          <w:vertAlign w:val="baseline"/>
        </w:rPr>
        <w:t> </w:t>
      </w:r>
      <w:r>
        <w:rPr>
          <w:vertAlign w:val="baseline"/>
        </w:rPr>
        <w:t>only</w:t>
      </w:r>
      <w:r>
        <w:rPr>
          <w:spacing w:val="-2"/>
          <w:vertAlign w:val="baseline"/>
        </w:rPr>
        <w:t> </w:t>
      </w:r>
      <w:r>
        <w:rPr>
          <w:vertAlign w:val="baseline"/>
        </w:rPr>
        <w:t>in</w:t>
      </w:r>
      <w:r>
        <w:rPr>
          <w:spacing w:val="-2"/>
          <w:vertAlign w:val="baseline"/>
        </w:rPr>
        <w:t> </w:t>
      </w:r>
      <w:r>
        <w:rPr>
          <w:vertAlign w:val="baseline"/>
        </w:rPr>
        <w:t>exceptional</w:t>
      </w:r>
      <w:r>
        <w:rPr>
          <w:spacing w:val="-2"/>
          <w:vertAlign w:val="baseline"/>
        </w:rPr>
        <w:t> </w:t>
      </w:r>
      <w:r>
        <w:rPr>
          <w:vertAlign w:val="baseline"/>
        </w:rPr>
        <w:t>circumstances.</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possible</w:t>
      </w:r>
      <w:r>
        <w:rPr>
          <w:spacing w:val="-2"/>
          <w:vertAlign w:val="baseline"/>
        </w:rPr>
        <w:t> </w:t>
      </w:r>
      <w:r>
        <w:rPr>
          <w:vertAlign w:val="baseline"/>
        </w:rPr>
        <w:t>monetary</w:t>
      </w:r>
      <w:r>
        <w:rPr>
          <w:spacing w:val="-2"/>
          <w:vertAlign w:val="baseline"/>
        </w:rPr>
        <w:t> </w:t>
      </w:r>
      <w:r>
        <w:rPr>
          <w:vertAlign w:val="baseline"/>
        </w:rPr>
        <w:t>remedy that goes beyond compensation of the claimant is an award of exemplary (or “punitive”) damages. By “exemplary” damages we mean damages that are intended to punish the defendant, rather than to compensate</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strip</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or</w:t>
      </w:r>
      <w:r>
        <w:rPr>
          <w:spacing w:val="-2"/>
          <w:vertAlign w:val="baseline"/>
        </w:rPr>
        <w:t> </w:t>
      </w:r>
      <w:r>
        <w:rPr>
          <w:vertAlign w:val="baseline"/>
        </w:rPr>
        <w:t>all</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he</w:t>
      </w:r>
      <w:r>
        <w:rPr>
          <w:spacing w:val="-2"/>
          <w:vertAlign w:val="baseline"/>
        </w:rPr>
        <w:t> </w:t>
      </w:r>
      <w:r>
        <w:rPr>
          <w:vertAlign w:val="baseline"/>
        </w:rPr>
        <w:t>has</w:t>
      </w:r>
      <w:r>
        <w:rPr>
          <w:spacing w:val="-2"/>
          <w:vertAlign w:val="baseline"/>
        </w:rPr>
        <w:t> </w:t>
      </w:r>
      <w:r>
        <w:rPr>
          <w:vertAlign w:val="baseline"/>
        </w:rPr>
        <w:t>made</w:t>
      </w:r>
      <w:r>
        <w:rPr>
          <w:spacing w:val="-2"/>
          <w:vertAlign w:val="baseline"/>
        </w:rPr>
        <w:t> </w:t>
      </w:r>
      <w:r>
        <w:rPr>
          <w:vertAlign w:val="baseline"/>
        </w:rPr>
        <w:t>by</w:t>
      </w:r>
      <w:r>
        <w:rPr>
          <w:spacing w:val="-2"/>
          <w:vertAlign w:val="baseline"/>
        </w:rPr>
        <w:t> </w:t>
      </w:r>
      <w:r>
        <w:rPr>
          <w:vertAlign w:val="baseline"/>
        </w:rPr>
        <w:t>breaking the contract. As is explained in the next paragraph, exemplary damages in this sense are not</w:t>
      </w:r>
      <w:r>
        <w:rPr>
          <w:spacing w:val="40"/>
          <w:vertAlign w:val="baseline"/>
        </w:rPr>
        <w:t> </w:t>
      </w:r>
      <w:r>
        <w:rPr>
          <w:vertAlign w:val="baseline"/>
        </w:rPr>
        <w:t>awarded for breach of contract.</w:t>
      </w:r>
    </w:p>
    <w:p>
      <w:pPr>
        <w:pStyle w:val="BodyText"/>
      </w:pPr>
    </w:p>
    <w:p>
      <w:pPr>
        <w:pStyle w:val="BodyText"/>
        <w:spacing w:before="33"/>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182852</wp:posOffset>
                </wp:positionV>
                <wp:extent cx="572452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784pt;width:450.75pt;height:.1pt;mso-position-horizontal-relative:page;mso-position-vertical-relative:paragraph;z-index:-15691776;mso-wrap-distance-left:0;mso-wrap-distance-right:0" id="docshape35"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495" w:id="497"/>
      <w:bookmarkEnd w:id="497"/>
      <w:r>
        <w:rPr/>
      </w:r>
      <w:hyperlink w:history="true" w:anchor="_bookmark492">
        <w:r>
          <w:rPr>
            <w:color w:val="005DA1"/>
            <w:spacing w:val="-4"/>
            <w:position w:val="5"/>
            <w:sz w:val="14"/>
            <w:u w:val="single" w:color="005DA1"/>
          </w:rPr>
          <w:t>256</w:t>
        </w:r>
      </w:hyperlink>
      <w:r>
        <w:rPr>
          <w:spacing w:val="-4"/>
          <w:position w:val="5"/>
          <w:sz w:val="14"/>
        </w:rPr>
        <w:t>.</w:t>
      </w:r>
      <w:r>
        <w:rPr>
          <w:position w:val="5"/>
          <w:sz w:val="14"/>
        </w:rPr>
        <w:tab/>
      </w:r>
      <w:r>
        <w:rPr>
          <w:rFonts w:ascii="Arial" w:hAnsi="Arial"/>
          <w:i/>
          <w:sz w:val="20"/>
        </w:rPr>
        <w:t>The Solholt [1983] 1 Lloyd’s Rep. 605, </w:t>
      </w:r>
      <w:r>
        <w:rPr>
          <w:rFonts w:ascii="Arial" w:hAnsi="Arial"/>
          <w:i/>
          <w:spacing w:val="-4"/>
          <w:sz w:val="20"/>
        </w:rPr>
        <w:t>608</w:t>
      </w:r>
      <w:r>
        <w:rPr>
          <w:spacing w:val="-4"/>
          <w:sz w:val="20"/>
        </w:rPr>
        <w:t>.</w:t>
      </w:r>
    </w:p>
    <w:p>
      <w:pPr>
        <w:pStyle w:val="BodyText"/>
        <w:spacing w:before="5"/>
      </w:pPr>
    </w:p>
    <w:p>
      <w:pPr>
        <w:pStyle w:val="BodyText"/>
        <w:tabs>
          <w:tab w:pos="705" w:val="left" w:leader="none"/>
        </w:tabs>
        <w:ind w:left="165"/>
      </w:pPr>
      <w:bookmarkStart w:name="_bookmark496" w:id="498"/>
      <w:bookmarkEnd w:id="498"/>
      <w:r>
        <w:rPr/>
      </w:r>
      <w:hyperlink w:history="true" w:anchor="_bookmark493">
        <w:r>
          <w:rPr>
            <w:color w:val="005DA1"/>
            <w:spacing w:val="-4"/>
            <w:position w:val="5"/>
            <w:sz w:val="14"/>
            <w:u w:val="single" w:color="005DA1"/>
          </w:rPr>
          <w:t>257</w:t>
        </w:r>
      </w:hyperlink>
      <w:r>
        <w:rPr>
          <w:spacing w:val="-4"/>
          <w:position w:val="5"/>
          <w:sz w:val="14"/>
        </w:rPr>
        <w:t>.</w:t>
      </w:r>
      <w:r>
        <w:rPr>
          <w:position w:val="5"/>
          <w:sz w:val="14"/>
        </w:rPr>
        <w:tab/>
      </w:r>
      <w:r>
        <w:rPr/>
        <w:t>See</w:t>
      </w:r>
      <w:r>
        <w:rPr>
          <w:spacing w:val="-2"/>
        </w:rPr>
        <w:t> </w:t>
      </w:r>
      <w:r>
        <w:rPr/>
        <w:t>below, para.26-</w:t>
      </w:r>
      <w:r>
        <w:rPr>
          <w:spacing w:val="-4"/>
        </w:rPr>
        <w:t>054.</w:t>
      </w:r>
    </w:p>
    <w:p>
      <w:pPr>
        <w:pStyle w:val="BodyText"/>
        <w:spacing w:before="5"/>
      </w:pPr>
    </w:p>
    <w:p>
      <w:pPr>
        <w:pStyle w:val="BodyText"/>
        <w:tabs>
          <w:tab w:pos="705" w:val="left" w:leader="none"/>
        </w:tabs>
        <w:ind w:left="165"/>
      </w:pPr>
      <w:bookmarkStart w:name="_bookmark497" w:id="499"/>
      <w:bookmarkEnd w:id="499"/>
      <w:r>
        <w:rPr/>
      </w:r>
      <w:hyperlink w:history="true" w:anchor="_bookmark494">
        <w:r>
          <w:rPr>
            <w:color w:val="005DA1"/>
            <w:spacing w:val="-4"/>
            <w:position w:val="5"/>
            <w:sz w:val="14"/>
            <w:u w:val="single" w:color="005DA1"/>
          </w:rPr>
          <w:t>258</w:t>
        </w:r>
      </w:hyperlink>
      <w:r>
        <w:rPr>
          <w:spacing w:val="-4"/>
          <w:position w:val="5"/>
          <w:sz w:val="14"/>
        </w:rPr>
        <w:t>.</w:t>
      </w:r>
      <w:r>
        <w:rPr>
          <w:position w:val="5"/>
          <w:sz w:val="14"/>
        </w:rPr>
        <w:tab/>
      </w:r>
      <w:r>
        <w:rPr/>
        <w:t>See below, para.26-051 </w:t>
      </w:r>
      <w:r>
        <w:rPr>
          <w:spacing w:val="-2"/>
        </w:rPr>
        <w:t>n.278.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0"/>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4. - Measures that are not Strictly </w:t>
      </w:r>
      <w:r>
        <w:rPr>
          <w:rFonts w:ascii="Arial"/>
          <w:b/>
          <w:spacing w:val="-2"/>
          <w:sz w:val="24"/>
        </w:rPr>
        <w:t>Compensatory</w:t>
      </w:r>
    </w:p>
    <w:p>
      <w:pPr>
        <w:pStyle w:val="ListParagraph"/>
        <w:numPr>
          <w:ilvl w:val="0"/>
          <w:numId w:val="5"/>
        </w:numPr>
        <w:tabs>
          <w:tab w:pos="3611" w:val="left" w:leader="none"/>
        </w:tabs>
        <w:spacing w:line="240" w:lineRule="auto" w:before="194" w:after="0"/>
        <w:ind w:left="3611" w:right="0" w:hanging="373"/>
        <w:jc w:val="left"/>
        <w:rPr>
          <w:b/>
          <w:sz w:val="24"/>
        </w:rPr>
      </w:pPr>
      <w:r>
        <w:rPr>
          <w:b/>
          <w:sz w:val="24"/>
        </w:rPr>
        <w:t>- Exemplary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bookmarkStart w:name="_bookmark498" w:id="500"/>
      <w:bookmarkEnd w:id="500"/>
      <w:r>
        <w:rPr/>
      </w:r>
      <w:r>
        <w:rPr>
          <w:rFonts w:ascii="Arial" w:hAnsi="Arial"/>
          <w:b/>
          <w:sz w:val="18"/>
        </w:rPr>
        <w:t>Exemplary (or “punitive”) damages</w:t>
      </w:r>
      <w:r>
        <w:rPr>
          <w:rFonts w:ascii="Arial" w:hAnsi="Arial"/>
          <w:b/>
          <w:spacing w:val="-1"/>
          <w:sz w:val="18"/>
        </w:rPr>
        <w:t> </w:t>
      </w:r>
      <w:r>
        <w:rPr>
          <w:rFonts w:ascii="Arial" w:hAnsi="Arial"/>
          <w:b/>
          <w:color w:val="005DA1"/>
          <w:spacing w:val="-5"/>
          <w:sz w:val="18"/>
          <w:u w:val="single" w:color="005DA1"/>
          <w:vertAlign w:val="superscript"/>
        </w:rPr>
        <w:t>259</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044</w:t>
      </w:r>
    </w:p>
    <w:p>
      <w:pPr>
        <w:pStyle w:val="BodyText"/>
        <w:spacing w:line="235" w:lineRule="auto" w:before="202"/>
        <w:ind w:left="165" w:right="167"/>
        <w:jc w:val="both"/>
      </w:pPr>
      <w:r>
        <w:rPr/>
        <w:t>Exemplary damages are damages awarded against the defendant as a punishment, so that </w:t>
      </w:r>
      <w:r>
        <w:rPr/>
        <w:t>the </w:t>
      </w:r>
      <w:bookmarkStart w:name="_bookmark499" w:id="501"/>
      <w:bookmarkEnd w:id="501"/>
      <w:r>
        <w:rPr/>
        <w:t>assessment</w:t>
      </w:r>
      <w:r>
        <w:rPr>
          <w:spacing w:val="-3"/>
        </w:rPr>
        <w:t> </w:t>
      </w:r>
      <w:r>
        <w:rPr/>
        <w:t>goes</w:t>
      </w:r>
      <w:r>
        <w:rPr>
          <w:spacing w:val="-3"/>
        </w:rPr>
        <w:t> </w:t>
      </w:r>
      <w:r>
        <w:rPr/>
        <w:t>beyond</w:t>
      </w:r>
      <w:r>
        <w:rPr>
          <w:spacing w:val="-3"/>
        </w:rPr>
        <w:t> </w:t>
      </w:r>
      <w:r>
        <w:rPr/>
        <w:t>mere</w:t>
      </w:r>
      <w:r>
        <w:rPr>
          <w:spacing w:val="-3"/>
        </w:rPr>
        <w:t> </w:t>
      </w:r>
      <w:r>
        <w:rPr/>
        <w:t>compensation</w:t>
      </w:r>
      <w:r>
        <w:rPr>
          <w:spacing w:val="-3"/>
        </w:rPr>
        <w:t> </w:t>
      </w:r>
      <w:r>
        <w:rPr/>
        <w:t>of</w:t>
      </w:r>
      <w:r>
        <w:rPr>
          <w:spacing w:val="-3"/>
        </w:rPr>
        <w:t> </w:t>
      </w:r>
      <w:r>
        <w:rPr/>
        <w:t>the</w:t>
      </w:r>
      <w:r>
        <w:rPr>
          <w:spacing w:val="-3"/>
        </w:rPr>
        <w:t> </w:t>
      </w:r>
      <w:r>
        <w:rPr/>
        <w:t>claimant.</w:t>
      </w:r>
      <w:r>
        <w:rPr>
          <w:spacing w:val="-3"/>
        </w:rPr>
        <w:t> </w:t>
      </w:r>
      <w:r>
        <w:rPr/>
        <w:t>Such</w:t>
      </w:r>
      <w:r>
        <w:rPr>
          <w:spacing w:val="-3"/>
        </w:rPr>
        <w:t> </w:t>
      </w:r>
      <w:r>
        <w:rPr/>
        <w:t>“punitive”</w:t>
      </w:r>
      <w:r>
        <w:rPr>
          <w:spacing w:val="-3"/>
        </w:rPr>
        <w:t> </w:t>
      </w:r>
      <w:r>
        <w:rPr/>
        <w:t>or</w:t>
      </w:r>
      <w:r>
        <w:rPr>
          <w:spacing w:val="-3"/>
        </w:rPr>
        <w:t> </w:t>
      </w:r>
      <w:r>
        <w:rPr/>
        <w:t>“vindictive”</w:t>
      </w:r>
      <w:r>
        <w:rPr>
          <w:spacing w:val="-3"/>
        </w:rPr>
        <w:t> </w:t>
      </w:r>
      <w:r>
        <w:rPr/>
        <w:t>damages were permitted in some cases of tort until 1964 when the House of Lords in </w:t>
      </w:r>
      <w:r>
        <w:rPr>
          <w:rFonts w:ascii="Arial" w:hAnsi="Arial"/>
          <w:i/>
        </w:rPr>
        <w:t>Rookes v Barnard </w:t>
      </w:r>
      <w:r>
        <w:rPr>
          <w:color w:val="005DA1"/>
          <w:u w:val="single" w:color="005DA1"/>
          <w:vertAlign w:val="superscript"/>
        </w:rPr>
        <w:t>260</w:t>
      </w:r>
      <w:r>
        <w:rPr>
          <w:color w:val="005DA1"/>
          <w:vertAlign w:val="baseline"/>
        </w:rPr>
        <w:t> </w:t>
      </w:r>
      <w:r>
        <w:rPr>
          <w:vertAlign w:val="baseline"/>
        </w:rPr>
        <w:t>severely restricted their use in such cases by specifying only two categories where they may be </w:t>
      </w:r>
      <w:bookmarkStart w:name="_bookmark500" w:id="502"/>
      <w:bookmarkEnd w:id="502"/>
      <w:r>
        <w:rPr>
          <w:vertAlign w:val="baseline"/>
        </w:rPr>
        <w:t>awarded</w:t>
      </w:r>
      <w:r>
        <w:rPr>
          <w:vertAlign w:val="baseline"/>
        </w:rPr>
        <w:t> at common law. The right to receive exemplary damages for breach of contract was, for </w:t>
      </w:r>
      <w:bookmarkStart w:name="_bookmark501" w:id="503"/>
      <w:bookmarkEnd w:id="503"/>
      <w:r>
        <w:rPr>
          <w:vertAlign w:val="baseline"/>
        </w:rPr>
        <w:t>many</w:t>
      </w:r>
      <w:r>
        <w:rPr>
          <w:vertAlign w:val="baseline"/>
        </w:rPr>
        <w:t> years before 1964, </w:t>
      </w:r>
      <w:r>
        <w:rPr>
          <w:color w:val="005DA1"/>
          <w:u w:val="single" w:color="005DA1"/>
          <w:vertAlign w:val="superscript"/>
        </w:rPr>
        <w:t>261</w:t>
      </w:r>
      <w:r>
        <w:rPr>
          <w:color w:val="005DA1"/>
          <w:vertAlign w:val="baseline"/>
        </w:rPr>
        <w:t> </w:t>
      </w:r>
      <w:r>
        <w:rPr>
          <w:vertAlign w:val="baseline"/>
        </w:rPr>
        <w:t>confined to the single case of damages for breach of promise of </w:t>
      </w:r>
      <w:bookmarkStart w:name="_bookmark502" w:id="504"/>
      <w:bookmarkEnd w:id="504"/>
      <w:r>
        <w:rPr>
          <w:vertAlign w:val="baseline"/>
        </w:rPr>
        <w:t>marriage,</w:t>
      </w:r>
      <w:r>
        <w:rPr>
          <w:vertAlign w:val="baseline"/>
        </w:rPr>
        <w:t> </w:t>
      </w:r>
      <w:r>
        <w:rPr>
          <w:color w:val="005DA1"/>
          <w:u w:val="single" w:color="005DA1"/>
          <w:vertAlign w:val="superscript"/>
        </w:rPr>
        <w:t>262</w:t>
      </w:r>
      <w:r>
        <w:rPr>
          <w:color w:val="005DA1"/>
          <w:vertAlign w:val="baseline"/>
        </w:rPr>
        <w:t> </w:t>
      </w:r>
      <w:r>
        <w:rPr>
          <w:vertAlign w:val="baseline"/>
        </w:rPr>
        <w:t>but this cause of action was abolished in 1970. </w:t>
      </w:r>
      <w:r>
        <w:rPr>
          <w:color w:val="005DA1"/>
          <w:u w:val="single" w:color="005DA1"/>
          <w:vertAlign w:val="superscript"/>
        </w:rPr>
        <w:t>263</w:t>
      </w:r>
      <w:r>
        <w:rPr>
          <w:color w:val="005DA1"/>
          <w:vertAlign w:val="baseline"/>
        </w:rPr>
        <w:t> </w:t>
      </w:r>
      <w:r>
        <w:rPr>
          <w:vertAlign w:val="baseline"/>
        </w:rPr>
        <w:t>Thus it appears that exemplary damages are not available when the wrong complained of is merely a breach of contract. </w:t>
      </w:r>
      <w:r>
        <w:rPr>
          <w:color w:val="005DA1"/>
          <w:u w:val="single" w:color="005DA1"/>
          <w:vertAlign w:val="superscript"/>
        </w:rPr>
        <w:t>264</w:t>
      </w:r>
      <w:r>
        <w:rPr>
          <w:color w:val="005DA1"/>
          <w:vertAlign w:val="baseline"/>
        </w:rPr>
        <w:t> </w:t>
      </w:r>
      <w:r>
        <w:rPr>
          <w:vertAlign w:val="baseline"/>
        </w:rPr>
        <w:t>If the </w:t>
      </w:r>
      <w:bookmarkStart w:name="_bookmark503" w:id="505"/>
      <w:bookmarkEnd w:id="505"/>
      <w:r>
        <w:rPr>
          <w:vertAlign w:val="baseline"/>
        </w:rPr>
        <w:t>defendant’s</w:t>
      </w:r>
      <w:r>
        <w:rPr>
          <w:vertAlign w:val="baseline"/>
        </w:rPr>
        <w:t> conduct amounted to a tort for which exemplary damages are available, they may be awarded even though it also constituted a breach of contract. </w:t>
      </w:r>
      <w:r>
        <w:rPr>
          <w:color w:val="005DA1"/>
          <w:u w:val="single" w:color="005DA1"/>
          <w:vertAlign w:val="superscript"/>
        </w:rPr>
        <w:t>265</w:t>
      </w:r>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Wider meaning of “exemplary </w:t>
      </w:r>
      <w:r>
        <w:rPr>
          <w:rFonts w:ascii="Arial" w:hAnsi="Arial"/>
          <w:b/>
          <w:spacing w:val="-2"/>
          <w:sz w:val="18"/>
        </w:rPr>
        <w:t>damages”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045</w:t>
      </w:r>
    </w:p>
    <w:p>
      <w:pPr>
        <w:pStyle w:val="BodyText"/>
        <w:spacing w:line="235" w:lineRule="auto" w:before="203"/>
        <w:ind w:left="164" w:right="167"/>
        <w:jc w:val="both"/>
      </w:pPr>
      <w:r>
        <w:rPr/>
        <w:t>While exemplary damages in the sense explained in the previous paragraph—i.e. damages </w:t>
      </w:r>
      <w:r>
        <w:rPr/>
        <w:t>intended solely to punish the defendant—are not available for breach of contract, it must be noted that some awards that previously have been refused on the ground that the damages would be exemplary or </w:t>
      </w:r>
      <w:bookmarkStart w:name="_bookmark504" w:id="506"/>
      <w:bookmarkEnd w:id="506"/>
      <w:r>
        <w:rPr/>
        <w:t>punitive</w:t>
      </w:r>
      <w:r>
        <w:rPr/>
        <w:t> will now be possible under another heading. Thus in 1909, the House of Lords in </w:t>
      </w:r>
      <w:r>
        <w:rPr>
          <w:rFonts w:ascii="Arial" w:hAnsi="Arial"/>
          <w:i/>
        </w:rPr>
        <w:t>Addis v </w:t>
      </w:r>
      <w:bookmarkStart w:name="_bookmark505" w:id="507"/>
      <w:bookmarkEnd w:id="507"/>
      <w:r>
        <w:rPr>
          <w:rFonts w:ascii="Arial" w:hAnsi="Arial"/>
          <w:i/>
        </w:rPr>
        <w:t>Gramophone</w:t>
      </w:r>
      <w:r>
        <w:rPr>
          <w:rFonts w:ascii="Arial" w:hAnsi="Arial"/>
          <w:i/>
        </w:rPr>
        <w:t> Co Ltd </w:t>
      </w:r>
      <w:r>
        <w:rPr>
          <w:color w:val="005DA1"/>
          <w:u w:val="single" w:color="005DA1"/>
          <w:vertAlign w:val="superscript"/>
        </w:rPr>
        <w:t>266</w:t>
      </w:r>
      <w:r>
        <w:rPr>
          <w:color w:val="005DA1"/>
          <w:vertAlign w:val="baseline"/>
        </w:rPr>
        <w:t> </w:t>
      </w:r>
      <w:r>
        <w:rPr>
          <w:vertAlign w:val="baseline"/>
        </w:rPr>
        <w:t>held that exemplary damages could not be awarded for wrongful dismissal:</w:t>
      </w:r>
      <w:r>
        <w:rPr>
          <w:spacing w:val="40"/>
          <w:vertAlign w:val="baseline"/>
        </w:rPr>
        <w:t> </w:t>
      </w:r>
      <w:bookmarkStart w:name="_bookmark506" w:id="508"/>
      <w:bookmarkEnd w:id="508"/>
      <w:r>
        <w:rPr>
          <w:vertAlign w:val="baseline"/>
        </w:rPr>
        <w:t>no</w:t>
      </w:r>
      <w:r>
        <w:rPr>
          <w:vertAlign w:val="baseline"/>
        </w:rPr>
        <w:t> compensation should be given for the plaintiff’s injured feelings </w:t>
      </w:r>
      <w:r>
        <w:rPr>
          <w:color w:val="005DA1"/>
          <w:u w:val="single" w:color="005DA1"/>
          <w:vertAlign w:val="superscript"/>
        </w:rPr>
        <w:t>267</w:t>
      </w:r>
      <w:r>
        <w:rPr>
          <w:color w:val="005DA1"/>
          <w:vertAlign w:val="baseline"/>
        </w:rPr>
        <w:t> </w:t>
      </w:r>
      <w:r>
        <w:rPr>
          <w:vertAlign w:val="baseline"/>
        </w:rPr>
        <w:t>even where the dismissal was </w:t>
      </w:r>
      <w:bookmarkStart w:name="_bookmark507" w:id="509"/>
      <w:bookmarkEnd w:id="509"/>
      <w:r>
        <w:rPr>
          <w:vertAlign w:val="baseline"/>
        </w:rPr>
        <w:t>carried</w:t>
      </w:r>
      <w:r>
        <w:rPr>
          <w:vertAlign w:val="baseline"/>
        </w:rPr>
        <w:t> out in a humiliating manner. </w:t>
      </w:r>
      <w:r>
        <w:rPr>
          <w:color w:val="005DA1"/>
          <w:u w:val="single" w:color="005DA1"/>
          <w:vertAlign w:val="superscript"/>
        </w:rPr>
        <w:t>268</w:t>
      </w:r>
      <w:r>
        <w:rPr>
          <w:color w:val="005DA1"/>
          <w:vertAlign w:val="baseline"/>
        </w:rPr>
        <w:t> </w:t>
      </w:r>
      <w:r>
        <w:rPr>
          <w:vertAlign w:val="baseline"/>
        </w:rPr>
        <w:t>The principle of this decision is not confined to cases of </w:t>
      </w:r>
      <w:bookmarkStart w:name="_bookmark508" w:id="510"/>
      <w:bookmarkEnd w:id="510"/>
      <w:r>
        <w:rPr>
          <w:vertAlign w:val="baseline"/>
        </w:rPr>
        <w:t>wrongful</w:t>
      </w:r>
      <w:r>
        <w:rPr>
          <w:vertAlign w:val="baseline"/>
        </w:rPr>
        <w:t> dismissal, and it is submitted that it now prevents the recovery of exemplary </w:t>
      </w:r>
      <w:r>
        <w:rPr>
          <w:color w:val="005DA1"/>
          <w:u w:val="single" w:color="005DA1"/>
          <w:vertAlign w:val="superscript"/>
        </w:rPr>
        <w:t>269</w:t>
      </w:r>
      <w:r>
        <w:rPr>
          <w:color w:val="005DA1"/>
          <w:vertAlign w:val="baseline"/>
        </w:rPr>
        <w:t> </w:t>
      </w:r>
      <w:r>
        <w:rPr>
          <w:vertAlign w:val="baseline"/>
        </w:rPr>
        <w:t>damages for </w:t>
      </w:r>
      <w:bookmarkStart w:name="_bookmark509" w:id="511"/>
      <w:bookmarkEnd w:id="511"/>
      <w:r>
        <w:rPr>
          <w:vertAlign w:val="baseline"/>
        </w:rPr>
        <w:t>any</w:t>
      </w:r>
      <w:r>
        <w:rPr>
          <w:vertAlign w:val="baseline"/>
        </w:rPr>
        <w:t> breach of contract. </w:t>
      </w:r>
      <w:r>
        <w:rPr>
          <w:color w:val="005DA1"/>
          <w:u w:val="single" w:color="005DA1"/>
          <w:vertAlign w:val="superscript"/>
        </w:rPr>
        <w:t>270</w:t>
      </w:r>
      <w:r>
        <w:rPr>
          <w:color w:val="005DA1"/>
          <w:vertAlign w:val="baseline"/>
        </w:rPr>
        <w:t> </w:t>
      </w:r>
      <w:r>
        <w:rPr>
          <w:vertAlign w:val="baseline"/>
        </w:rPr>
        <w:t>However, in special circumstances, damages may be awarded for mental </w:t>
      </w:r>
      <w:bookmarkStart w:name="_bookmark510" w:id="512"/>
      <w:bookmarkEnd w:id="512"/>
      <w:r>
        <w:rPr>
          <w:vertAlign w:val="baseline"/>
        </w:rPr>
        <w:t>distress</w:t>
      </w:r>
      <w:r>
        <w:rPr>
          <w:spacing w:val="11"/>
          <w:vertAlign w:val="baseline"/>
        </w:rPr>
        <w:t> </w:t>
      </w:r>
      <w:r>
        <w:rPr>
          <w:vertAlign w:val="baseline"/>
        </w:rPr>
        <w:t>at</w:t>
      </w:r>
      <w:r>
        <w:rPr>
          <w:spacing w:val="11"/>
          <w:vertAlign w:val="baseline"/>
        </w:rPr>
        <w:t> </w:t>
      </w:r>
      <w:r>
        <w:rPr>
          <w:vertAlign w:val="baseline"/>
        </w:rPr>
        <w:t>least</w:t>
      </w:r>
      <w:r>
        <w:rPr>
          <w:spacing w:val="11"/>
          <w:vertAlign w:val="baseline"/>
        </w:rPr>
        <w:t> </w:t>
      </w:r>
      <w:r>
        <w:rPr>
          <w:vertAlign w:val="baseline"/>
        </w:rPr>
        <w:t>where</w:t>
      </w:r>
      <w:r>
        <w:rPr>
          <w:spacing w:val="11"/>
          <w:vertAlign w:val="baseline"/>
        </w:rPr>
        <w:t> </w:t>
      </w:r>
      <w:r>
        <w:rPr>
          <w:vertAlign w:val="baseline"/>
        </w:rPr>
        <w:t>the</w:t>
      </w:r>
      <w:r>
        <w:rPr>
          <w:spacing w:val="11"/>
          <w:vertAlign w:val="baseline"/>
        </w:rPr>
        <w:t> </w:t>
      </w:r>
      <w:r>
        <w:rPr>
          <w:vertAlign w:val="baseline"/>
        </w:rPr>
        <w:t>purpose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contract</w:t>
      </w:r>
      <w:r>
        <w:rPr>
          <w:spacing w:val="11"/>
          <w:vertAlign w:val="baseline"/>
        </w:rPr>
        <w:t> </w:t>
      </w:r>
      <w:r>
        <w:rPr>
          <w:vertAlign w:val="baseline"/>
        </w:rPr>
        <w:t>was</w:t>
      </w:r>
      <w:r>
        <w:rPr>
          <w:spacing w:val="11"/>
          <w:vertAlign w:val="baseline"/>
        </w:rPr>
        <w:t> </w:t>
      </w:r>
      <w:r>
        <w:rPr>
          <w:vertAlign w:val="baseline"/>
        </w:rPr>
        <w:t>to</w:t>
      </w:r>
      <w:r>
        <w:rPr>
          <w:spacing w:val="11"/>
          <w:vertAlign w:val="baseline"/>
        </w:rPr>
        <w:t> </w:t>
      </w:r>
      <w:r>
        <w:rPr>
          <w:vertAlign w:val="baseline"/>
        </w:rPr>
        <w:t>protect</w:t>
      </w:r>
      <w:r>
        <w:rPr>
          <w:spacing w:val="11"/>
          <w:vertAlign w:val="baseline"/>
        </w:rPr>
        <w:t> </w:t>
      </w:r>
      <w:r>
        <w:rPr>
          <w:vertAlign w:val="baseline"/>
        </w:rPr>
        <w:t>the</w:t>
      </w:r>
      <w:r>
        <w:rPr>
          <w:spacing w:val="11"/>
          <w:vertAlign w:val="baseline"/>
        </w:rPr>
        <w:t> </w:t>
      </w:r>
      <w:r>
        <w:rPr>
          <w:vertAlign w:val="baseline"/>
        </w:rPr>
        <w:t>claimant</w:t>
      </w:r>
      <w:r>
        <w:rPr>
          <w:spacing w:val="11"/>
          <w:vertAlign w:val="baseline"/>
        </w:rPr>
        <w:t> </w:t>
      </w:r>
      <w:r>
        <w:rPr>
          <w:vertAlign w:val="baseline"/>
        </w:rPr>
        <w:t>against</w:t>
      </w:r>
      <w:r>
        <w:rPr>
          <w:spacing w:val="11"/>
          <w:vertAlign w:val="baseline"/>
        </w:rPr>
        <w:t> </w:t>
      </w:r>
      <w:r>
        <w:rPr>
          <w:vertAlign w:val="baseline"/>
        </w:rPr>
        <w:t>such</w:t>
      </w:r>
      <w:r>
        <w:rPr>
          <w:spacing w:val="11"/>
          <w:vertAlign w:val="baseline"/>
        </w:rPr>
        <w:t> </w:t>
      </w:r>
      <w:r>
        <w:rPr>
          <w:spacing w:val="-2"/>
          <w:vertAlign w:val="baseline"/>
        </w:rPr>
        <w:t>distress,</w:t>
      </w:r>
    </w:p>
    <w:p>
      <w:pPr>
        <w:pStyle w:val="BodyText"/>
        <w:spacing w:line="235" w:lineRule="auto"/>
        <w:ind w:left="165" w:right="167"/>
        <w:jc w:val="both"/>
      </w:pPr>
      <w:r>
        <w:rPr>
          <w:color w:val="005DA1"/>
          <w:u w:val="single" w:color="005DA1"/>
          <w:vertAlign w:val="superscript"/>
        </w:rPr>
        <w:t>271</w:t>
      </w:r>
      <w:r>
        <w:rPr>
          <w:color w:val="005DA1"/>
          <w:vertAlign w:val="baseline"/>
        </w:rPr>
        <w:t> </w:t>
      </w:r>
      <w:r>
        <w:rPr>
          <w:vertAlign w:val="baseline"/>
        </w:rPr>
        <w:t>as well as for financial loss which may follow from the manner of dismissal. </w:t>
      </w:r>
      <w:r>
        <w:rPr>
          <w:color w:val="005DA1"/>
          <w:u w:val="single" w:color="005DA1"/>
          <w:vertAlign w:val="superscript"/>
        </w:rPr>
        <w:t>272</w:t>
      </w:r>
      <w:r>
        <w:rPr>
          <w:color w:val="005DA1"/>
          <w:vertAlign w:val="baseline"/>
        </w:rPr>
        <w:t> </w:t>
      </w:r>
      <w:r>
        <w:rPr>
          <w:vertAlign w:val="baseline"/>
        </w:rPr>
        <w:t>Secondly, in </w:t>
      </w:r>
      <w:r>
        <w:rPr>
          <w:vertAlign w:val="baseline"/>
        </w:rPr>
        <w:t>tort </w:t>
      </w:r>
      <w:bookmarkStart w:name="_bookmark511" w:id="513"/>
      <w:bookmarkEnd w:id="513"/>
      <w:r>
        <w:rPr>
          <w:vertAlign w:val="baseline"/>
        </w:rPr>
        <w:t>cases</w:t>
      </w:r>
      <w:r>
        <w:rPr>
          <w:vertAlign w:val="baseline"/>
        </w:rPr>
        <w:t> it has been said that one case in which an award of punitive damages can be made is when</w:t>
      </w:r>
      <w:r>
        <w:rPr>
          <w:spacing w:val="80"/>
          <w:vertAlign w:val="baseline"/>
        </w:rPr>
        <w:t> </w:t>
      </w:r>
      <w:r>
        <w:rPr>
          <w:vertAlign w:val="baseline"/>
        </w:rPr>
        <w:t>the defendant’s conduct was calculated to make a profit for himself </w:t>
      </w:r>
      <w:r>
        <w:rPr>
          <w:color w:val="005DA1"/>
          <w:u w:val="single" w:color="005DA1"/>
          <w:vertAlign w:val="superscript"/>
        </w:rPr>
        <w:t>273</w:t>
      </w:r>
      <w:r>
        <w:rPr>
          <w:vertAlign w:val="baseline"/>
        </w:rPr>
        <w:t>; the aim of the punitive </w:t>
      </w:r>
      <w:bookmarkStart w:name="_bookmark512" w:id="514"/>
      <w:bookmarkEnd w:id="514"/>
      <w:r>
        <w:rPr>
          <w:vertAlign w:val="baseline"/>
        </w:rPr>
        <w:t>damages</w:t>
      </w:r>
      <w:r>
        <w:rPr>
          <w:vertAlign w:val="baseline"/>
        </w:rPr>
        <w:t> is to strip the defendant of the profit he has made by his wrongdoing. In some cases of breach of contract the courts may now achieve this result by awarding an account of profits. </w:t>
      </w:r>
      <w:r>
        <w:rPr>
          <w:color w:val="005DA1"/>
          <w:u w:val="single" w:color="005DA1"/>
          <w:vertAlign w:val="superscript"/>
        </w:rPr>
        <w:t>274</w:t>
      </w:r>
    </w:p>
    <w:p>
      <w:pPr>
        <w:pStyle w:val="BodyText"/>
      </w:pPr>
    </w:p>
    <w:p>
      <w:pPr>
        <w:pStyle w:val="BodyText"/>
        <w:spacing w:before="34"/>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183202</wp:posOffset>
                </wp:positionV>
                <wp:extent cx="572452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25379pt;width:450.75pt;height:.1pt;mso-position-horizontal-relative:page;mso-position-vertical-relative:paragraph;z-index:-15691264;mso-wrap-distance-left:0;mso-wrap-distance-right:0" id="docshape36"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74" w:hanging="541"/>
      </w:pPr>
      <w:bookmarkStart w:name="_bookmark513" w:id="515"/>
      <w:bookmarkEnd w:id="515"/>
      <w:r>
        <w:rPr/>
      </w:r>
      <w:hyperlink w:history="true" w:anchor="_bookmark498">
        <w:r>
          <w:rPr>
            <w:color w:val="005DA1"/>
            <w:spacing w:val="-4"/>
            <w:position w:val="5"/>
            <w:sz w:val="14"/>
            <w:u w:val="single" w:color="005DA1"/>
          </w:rPr>
          <w:t>259</w:t>
        </w:r>
      </w:hyperlink>
      <w:r>
        <w:rPr>
          <w:spacing w:val="-4"/>
          <w:position w:val="5"/>
          <w:sz w:val="14"/>
        </w:rPr>
        <w:t>.</w:t>
      </w:r>
      <w:r>
        <w:rPr>
          <w:position w:val="5"/>
          <w:sz w:val="14"/>
        </w:rPr>
        <w:tab/>
      </w:r>
      <w:r>
        <w:rPr/>
        <w:t>See the Law Commission Report (Law Com. No.247, 1997), Pt III (paras 3.33–3.37, 3.45–3.47 refer to breach of contract cases); Smith (1997) 60 M.L.R. 360.</w:t>
      </w:r>
    </w:p>
    <w:p>
      <w:pPr>
        <w:pStyle w:val="BodyText"/>
        <w:spacing w:before="9"/>
      </w:pPr>
    </w:p>
    <w:p>
      <w:pPr>
        <w:tabs>
          <w:tab w:pos="705" w:val="left" w:leader="none"/>
        </w:tabs>
        <w:spacing w:line="235" w:lineRule="auto" w:before="0"/>
        <w:ind w:left="705" w:right="167" w:hanging="541"/>
        <w:jc w:val="left"/>
        <w:rPr>
          <w:sz w:val="20"/>
        </w:rPr>
      </w:pPr>
      <w:bookmarkStart w:name="_bookmark514" w:id="516"/>
      <w:bookmarkEnd w:id="516"/>
      <w:r>
        <w:rPr/>
      </w:r>
      <w:hyperlink w:history="true" w:anchor="_bookmark499">
        <w:r>
          <w:rPr>
            <w:color w:val="005DA1"/>
            <w:spacing w:val="-4"/>
            <w:position w:val="5"/>
            <w:sz w:val="14"/>
            <w:u w:val="single" w:color="005DA1"/>
          </w:rPr>
          <w:t>260</w:t>
        </w:r>
      </w:hyperlink>
      <w:r>
        <w:rPr>
          <w:spacing w:val="-4"/>
          <w:position w:val="5"/>
          <w:sz w:val="14"/>
        </w:rPr>
        <w:t>.</w:t>
      </w:r>
      <w:r>
        <w:rPr>
          <w:position w:val="5"/>
          <w:sz w:val="14"/>
        </w:rPr>
        <w:tab/>
      </w:r>
      <w:r>
        <w:rPr>
          <w:rFonts w:ascii="Arial" w:hAnsi="Arial"/>
          <w:i/>
          <w:sz w:val="20"/>
        </w:rPr>
        <w:t>[1964] A.C. 1129, 1220–1231</w:t>
      </w:r>
      <w:r>
        <w:rPr>
          <w:sz w:val="20"/>
        </w:rPr>
        <w:t>; the ruling was upheld by the House of Lords in </w:t>
      </w:r>
      <w:r>
        <w:rPr>
          <w:rFonts w:ascii="Arial" w:hAnsi="Arial"/>
          <w:i/>
          <w:sz w:val="20"/>
        </w:rPr>
        <w:t>Cassell &amp; Co Ltd v Broome [1972] A.C. 1027 </w:t>
      </w:r>
      <w:r>
        <w:rPr>
          <w:sz w:val="20"/>
        </w:rPr>
        <w:t>(libel), but it was not followed by the Privy Council in an appeal </w:t>
      </w:r>
      <w:r>
        <w:rPr>
          <w:spacing w:val="-4"/>
          <w:sz w:val="20"/>
        </w:rPr>
        <w:t>from</w:t>
      </w:r>
    </w:p>
    <w:p>
      <w:pPr>
        <w:spacing w:after="0" w:line="235" w:lineRule="auto"/>
        <w:jc w:val="left"/>
        <w:rPr>
          <w:sz w:val="20"/>
        </w:rPr>
        <w:sectPr>
          <w:pgSz w:w="11900" w:h="16840"/>
          <w:pgMar w:header="971" w:footer="0" w:top="1300" w:bottom="280" w:left="1275" w:right="1275"/>
        </w:sectPr>
      </w:pPr>
    </w:p>
    <w:p>
      <w:pPr>
        <w:spacing w:line="235" w:lineRule="auto" w:before="110"/>
        <w:ind w:left="705" w:right="168" w:firstLine="0"/>
        <w:jc w:val="both"/>
        <w:rPr>
          <w:rFonts w:ascii="Arial"/>
          <w:i/>
          <w:sz w:val="20"/>
        </w:rPr>
      </w:pPr>
      <w:r>
        <w:rPr>
          <w:sz w:val="20"/>
        </w:rPr>
        <w:t>Australia: </w:t>
      </w:r>
      <w:r>
        <w:rPr>
          <w:rFonts w:ascii="Arial"/>
          <w:i/>
          <w:sz w:val="20"/>
        </w:rPr>
        <w:t>Australian Consolidated Press v Uren [1969] 1 A.C. 590</w:t>
      </w:r>
      <w:r>
        <w:rPr>
          <w:sz w:val="20"/>
        </w:rPr>
        <w:t>. The use of exemplary damages in tort was again examined by the House of Lords in </w:t>
      </w:r>
      <w:r>
        <w:rPr>
          <w:rFonts w:ascii="Arial"/>
          <w:i/>
          <w:sz w:val="20"/>
        </w:rPr>
        <w:t>Kuddus v Chief Constable </w:t>
      </w:r>
      <w:r>
        <w:rPr>
          <w:rFonts w:ascii="Arial"/>
          <w:i/>
          <w:sz w:val="20"/>
        </w:rPr>
        <w:t>of Leicestershire [2001] UKHL 29, [2002] 2 A.C. 122 </w:t>
      </w:r>
      <w:r>
        <w:rPr>
          <w:sz w:val="20"/>
        </w:rPr>
        <w:t>and in </w:t>
      </w:r>
      <w:r>
        <w:rPr>
          <w:rFonts w:ascii="Arial"/>
          <w:i/>
          <w:sz w:val="20"/>
        </w:rPr>
        <w:t>Borders (UK) Ltd v Metropolitan </w:t>
      </w:r>
      <w:r>
        <w:rPr>
          <w:rFonts w:ascii="Arial"/>
          <w:i/>
          <w:spacing w:val="-2"/>
          <w:sz w:val="20"/>
        </w:rPr>
        <w:t>Police</w:t>
      </w:r>
    </w:p>
    <w:p>
      <w:pPr>
        <w:spacing w:line="225" w:lineRule="exact" w:before="0"/>
        <w:ind w:left="705" w:right="0" w:firstLine="0"/>
        <w:jc w:val="both"/>
        <w:rPr>
          <w:sz w:val="20"/>
        </w:rPr>
      </w:pPr>
      <w:r>
        <w:rPr>
          <w:rFonts w:ascii="Arial"/>
          <w:i/>
          <w:sz w:val="20"/>
        </w:rPr>
        <w:t>Commissioner [2005] EWCA Civ </w:t>
      </w:r>
      <w:r>
        <w:rPr>
          <w:rFonts w:ascii="Arial"/>
          <w:i/>
          <w:spacing w:val="-4"/>
          <w:sz w:val="20"/>
        </w:rPr>
        <w:t>197</w:t>
      </w:r>
      <w:r>
        <w:rPr>
          <w:spacing w:val="-4"/>
          <w:sz w:val="20"/>
        </w:rPr>
        <w:t>.</w:t>
      </w:r>
    </w:p>
    <w:p>
      <w:pPr>
        <w:pStyle w:val="BodyText"/>
        <w:spacing w:before="9"/>
      </w:pPr>
    </w:p>
    <w:p>
      <w:pPr>
        <w:spacing w:line="235" w:lineRule="auto" w:before="0"/>
        <w:ind w:left="705" w:right="168" w:hanging="541"/>
        <w:jc w:val="both"/>
        <w:rPr>
          <w:sz w:val="20"/>
        </w:rPr>
      </w:pPr>
      <w:bookmarkStart w:name="_bookmark515" w:id="517"/>
      <w:bookmarkEnd w:id="517"/>
      <w:r>
        <w:rPr/>
      </w:r>
      <w:hyperlink w:history="true" w:anchor="_bookmark500">
        <w:r>
          <w:rPr>
            <w:color w:val="005DA1"/>
            <w:position w:val="5"/>
            <w:sz w:val="14"/>
            <w:u w:val="single" w:color="005DA1"/>
          </w:rPr>
          <w:t>261</w:t>
        </w:r>
      </w:hyperlink>
      <w:r>
        <w:rPr>
          <w:position w:val="5"/>
          <w:sz w:val="14"/>
        </w:rPr>
        <w:t>.</w:t>
      </w:r>
      <w:r>
        <w:rPr>
          <w:spacing w:val="80"/>
          <w:w w:val="150"/>
          <w:position w:val="5"/>
          <w:sz w:val="14"/>
        </w:rPr>
        <w:t> </w:t>
      </w:r>
      <w:r>
        <w:rPr>
          <w:sz w:val="20"/>
        </w:rPr>
        <w:t>In some cases, before </w:t>
      </w:r>
      <w:r>
        <w:rPr>
          <w:rFonts w:ascii="Arial"/>
          <w:i/>
          <w:sz w:val="20"/>
        </w:rPr>
        <w:t>Addis v Gramophone Co Ltd [1909] A.C. 488</w:t>
      </w:r>
      <w:r>
        <w:rPr>
          <w:sz w:val="20"/>
        </w:rPr>
        <w:t>, exemplary damages </w:t>
      </w:r>
      <w:r>
        <w:rPr>
          <w:sz w:val="20"/>
        </w:rPr>
        <w:t>for breach of contract were awarded, e.g. </w:t>
      </w:r>
      <w:r>
        <w:rPr>
          <w:rFonts w:ascii="Arial"/>
          <w:i/>
          <w:sz w:val="20"/>
        </w:rPr>
        <w:t>Lord Sondes v Fletcher (1822) 5 B. &amp; Ald. 835</w:t>
      </w:r>
      <w:r>
        <w:rPr>
          <w:sz w:val="20"/>
        </w:rPr>
        <w:t>; </w:t>
      </w:r>
      <w:r>
        <w:rPr>
          <w:rFonts w:ascii="Arial"/>
          <w:i/>
          <w:sz w:val="20"/>
        </w:rPr>
        <w:t>Maw v Jones (1890) 25 Q.B.D. 107</w:t>
      </w:r>
      <w:r>
        <w:rPr>
          <w:sz w:val="20"/>
        </w:rPr>
        <w:t>.</w:t>
      </w:r>
    </w:p>
    <w:p>
      <w:pPr>
        <w:pStyle w:val="BodyText"/>
        <w:spacing w:before="5"/>
      </w:pPr>
    </w:p>
    <w:p>
      <w:pPr>
        <w:tabs>
          <w:tab w:pos="705" w:val="left" w:leader="none"/>
        </w:tabs>
        <w:spacing w:before="0"/>
        <w:ind w:left="165" w:right="0" w:firstLine="0"/>
        <w:jc w:val="left"/>
        <w:rPr>
          <w:sz w:val="20"/>
        </w:rPr>
      </w:pPr>
      <w:bookmarkStart w:name="_bookmark516" w:id="518"/>
      <w:bookmarkEnd w:id="518"/>
      <w:r>
        <w:rPr/>
      </w:r>
      <w:hyperlink w:history="true" w:anchor="_bookmark501">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Quirk v Thomas [1916] 1 K.B. 516, 527, 531, </w:t>
      </w:r>
      <w:r>
        <w:rPr>
          <w:rFonts w:ascii="Arial"/>
          <w:i/>
          <w:spacing w:val="-4"/>
          <w:sz w:val="20"/>
        </w:rPr>
        <w:t>538</w:t>
      </w:r>
      <w:r>
        <w:rPr>
          <w:spacing w:val="-4"/>
          <w:sz w:val="20"/>
        </w:rPr>
        <w:t>.</w:t>
      </w:r>
    </w:p>
    <w:p>
      <w:pPr>
        <w:pStyle w:val="BodyText"/>
        <w:spacing w:before="9"/>
      </w:pPr>
    </w:p>
    <w:p>
      <w:pPr>
        <w:pStyle w:val="BodyText"/>
        <w:spacing w:line="235" w:lineRule="auto"/>
        <w:ind w:left="705" w:right="167" w:hanging="541"/>
        <w:jc w:val="both"/>
      </w:pPr>
      <w:bookmarkStart w:name="_bookmark517" w:id="519"/>
      <w:bookmarkEnd w:id="519"/>
      <w:r>
        <w:rPr/>
      </w:r>
      <w:hyperlink w:history="true" w:anchor="_bookmark501">
        <w:r>
          <w:rPr>
            <w:color w:val="005DA1"/>
            <w:position w:val="5"/>
            <w:sz w:val="14"/>
            <w:u w:val="single" w:color="005DA1"/>
          </w:rPr>
          <w:t>263</w:t>
        </w:r>
      </w:hyperlink>
      <w:r>
        <w:rPr>
          <w:position w:val="5"/>
          <w:sz w:val="14"/>
        </w:rPr>
        <w:t>.</w:t>
      </w:r>
      <w:r>
        <w:rPr>
          <w:spacing w:val="80"/>
          <w:position w:val="5"/>
          <w:sz w:val="14"/>
        </w:rPr>
        <w:t>  </w:t>
      </w:r>
      <w:r>
        <w:rPr/>
        <w:t>Law Reform (Miscellaneous Provisions) Act 1970 s.1 provides that an engagement to </w:t>
      </w:r>
      <w:r>
        <w:rPr/>
        <w:t>marry shall</w:t>
      </w:r>
      <w:r>
        <w:rPr>
          <w:spacing w:val="-2"/>
        </w:rPr>
        <w:t> </w:t>
      </w:r>
      <w:r>
        <w:rPr/>
        <w:t>not</w:t>
      </w:r>
      <w:r>
        <w:rPr>
          <w:spacing w:val="-2"/>
        </w:rPr>
        <w:t> </w:t>
      </w:r>
      <w:r>
        <w:rPr/>
        <w:t>have</w:t>
      </w:r>
      <w:r>
        <w:rPr>
          <w:spacing w:val="-2"/>
        </w:rPr>
        <w:t> </w:t>
      </w:r>
      <w:r>
        <w:rPr/>
        <w:t>effect</w:t>
      </w:r>
      <w:r>
        <w:rPr>
          <w:spacing w:val="-2"/>
        </w:rPr>
        <w:t> </w:t>
      </w:r>
      <w:r>
        <w:rPr/>
        <w:t>as</w:t>
      </w:r>
      <w:r>
        <w:rPr>
          <w:spacing w:val="-2"/>
        </w:rPr>
        <w:t> </w:t>
      </w:r>
      <w:r>
        <w:rPr/>
        <w:t>a</w:t>
      </w:r>
      <w:r>
        <w:rPr>
          <w:spacing w:val="-2"/>
        </w:rPr>
        <w:t> </w:t>
      </w:r>
      <w:r>
        <w:rPr/>
        <w:t>contract</w:t>
      </w:r>
      <w:r>
        <w:rPr>
          <w:spacing w:val="-2"/>
        </w:rPr>
        <w:t> </w:t>
      </w:r>
      <w:r>
        <w:rPr/>
        <w:t>giving</w:t>
      </w:r>
      <w:r>
        <w:rPr>
          <w:spacing w:val="-2"/>
        </w:rPr>
        <w:t> </w:t>
      </w:r>
      <w:r>
        <w:rPr/>
        <w:t>rise</w:t>
      </w:r>
      <w:r>
        <w:rPr>
          <w:spacing w:val="-2"/>
        </w:rPr>
        <w:t> </w:t>
      </w:r>
      <w:r>
        <w:rPr/>
        <w:t>to</w:t>
      </w:r>
      <w:r>
        <w:rPr>
          <w:spacing w:val="-2"/>
        </w:rPr>
        <w:t> </w:t>
      </w:r>
      <w:r>
        <w:rPr/>
        <w:t>legal</w:t>
      </w:r>
      <w:r>
        <w:rPr>
          <w:spacing w:val="-2"/>
        </w:rPr>
        <w:t> </w:t>
      </w:r>
      <w:r>
        <w:rPr/>
        <w:t>rights.</w:t>
      </w:r>
      <w:r>
        <w:rPr>
          <w:spacing w:val="-2"/>
        </w:rPr>
        <w:t> </w:t>
      </w:r>
      <w:r>
        <w:rPr/>
        <w:t>(See</w:t>
      </w:r>
      <w:r>
        <w:rPr>
          <w:spacing w:val="-2"/>
        </w:rPr>
        <w:t> </w:t>
      </w:r>
      <w:r>
        <w:rPr/>
        <w:t>notes</w:t>
      </w:r>
      <w:r>
        <w:rPr>
          <w:spacing w:val="-2"/>
        </w:rPr>
        <w:t> </w:t>
      </w:r>
      <w:r>
        <w:rPr/>
        <w:t>in</w:t>
      </w:r>
      <w:r>
        <w:rPr>
          <w:spacing w:val="-2"/>
        </w:rPr>
        <w:t> </w:t>
      </w:r>
      <w:r>
        <w:rPr/>
        <w:t>(1971)</w:t>
      </w:r>
      <w:r>
        <w:rPr>
          <w:spacing w:val="-2"/>
        </w:rPr>
        <w:t> </w:t>
      </w:r>
      <w:r>
        <w:rPr/>
        <w:t>87</w:t>
      </w:r>
      <w:r>
        <w:rPr>
          <w:spacing w:val="-2"/>
        </w:rPr>
        <w:t> </w:t>
      </w:r>
      <w:r>
        <w:rPr/>
        <w:t>L.Q.R.</w:t>
      </w:r>
      <w:r>
        <w:rPr>
          <w:spacing w:val="-2"/>
        </w:rPr>
        <w:t> </w:t>
      </w:r>
      <w:r>
        <w:rPr/>
        <w:t>158, </w:t>
      </w:r>
      <w:r>
        <w:rPr>
          <w:spacing w:val="-2"/>
        </w:rPr>
        <w:t>314.)</w:t>
      </w:r>
    </w:p>
    <w:p>
      <w:pPr>
        <w:pStyle w:val="BodyText"/>
        <w:spacing w:before="9"/>
      </w:pPr>
    </w:p>
    <w:p>
      <w:pPr>
        <w:tabs>
          <w:tab w:pos="705" w:val="left" w:leader="none"/>
        </w:tabs>
        <w:spacing w:line="235" w:lineRule="auto" w:before="0"/>
        <w:ind w:left="705" w:right="174" w:hanging="541"/>
        <w:jc w:val="left"/>
        <w:rPr>
          <w:sz w:val="20"/>
        </w:rPr>
      </w:pPr>
      <w:bookmarkStart w:name="_bookmark518" w:id="520"/>
      <w:bookmarkEnd w:id="520"/>
      <w:r>
        <w:rPr/>
      </w:r>
      <w:hyperlink w:history="true" w:anchor="_bookmark502">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Crawfordsburn</w:t>
      </w:r>
      <w:r>
        <w:rPr>
          <w:rFonts w:ascii="Arial"/>
          <w:i/>
          <w:spacing w:val="80"/>
          <w:sz w:val="20"/>
        </w:rPr>
        <w:t> </w:t>
      </w:r>
      <w:r>
        <w:rPr>
          <w:rFonts w:ascii="Arial"/>
          <w:i/>
          <w:sz w:val="20"/>
        </w:rPr>
        <w:t>Inn</w:t>
      </w:r>
      <w:r>
        <w:rPr>
          <w:rFonts w:ascii="Arial"/>
          <w:i/>
          <w:spacing w:val="80"/>
          <w:sz w:val="20"/>
        </w:rPr>
        <w:t> </w:t>
      </w:r>
      <w:r>
        <w:rPr>
          <w:rFonts w:ascii="Arial"/>
          <w:i/>
          <w:sz w:val="20"/>
        </w:rPr>
        <w:t>Ltd</w:t>
      </w:r>
      <w:r>
        <w:rPr>
          <w:rFonts w:ascii="Arial"/>
          <w:i/>
          <w:spacing w:val="80"/>
          <w:sz w:val="20"/>
        </w:rPr>
        <w:t> </w:t>
      </w:r>
      <w:r>
        <w:rPr>
          <w:rFonts w:ascii="Arial"/>
          <w:i/>
          <w:sz w:val="20"/>
        </w:rPr>
        <w:t>v</w:t>
      </w:r>
      <w:r>
        <w:rPr>
          <w:rFonts w:ascii="Arial"/>
          <w:i/>
          <w:spacing w:val="80"/>
          <w:sz w:val="20"/>
        </w:rPr>
        <w:t> </w:t>
      </w:r>
      <w:r>
        <w:rPr>
          <w:rFonts w:ascii="Arial"/>
          <w:i/>
          <w:sz w:val="20"/>
        </w:rPr>
        <w:t>Graham</w:t>
      </w:r>
      <w:r>
        <w:rPr>
          <w:rFonts w:ascii="Arial"/>
          <w:i/>
          <w:spacing w:val="80"/>
          <w:sz w:val="20"/>
        </w:rPr>
        <w:t> </w:t>
      </w:r>
      <w:r>
        <w:rPr>
          <w:rFonts w:ascii="Arial"/>
          <w:i/>
          <w:sz w:val="20"/>
        </w:rPr>
        <w:t>[2013]</w:t>
      </w:r>
      <w:r>
        <w:rPr>
          <w:rFonts w:ascii="Arial"/>
          <w:i/>
          <w:spacing w:val="80"/>
          <w:sz w:val="20"/>
        </w:rPr>
        <w:t> </w:t>
      </w:r>
      <w:r>
        <w:rPr>
          <w:rFonts w:ascii="Arial"/>
          <w:i/>
          <w:sz w:val="20"/>
        </w:rPr>
        <w:t>NIQB</w:t>
      </w:r>
      <w:r>
        <w:rPr>
          <w:rFonts w:ascii="Arial"/>
          <w:i/>
          <w:spacing w:val="80"/>
          <w:sz w:val="20"/>
        </w:rPr>
        <w:t> </w:t>
      </w:r>
      <w:r>
        <w:rPr>
          <w:rFonts w:ascii="Arial"/>
          <w:i/>
          <w:sz w:val="20"/>
        </w:rPr>
        <w:t>79</w:t>
      </w:r>
      <w:r>
        <w:rPr>
          <w:rFonts w:ascii="Arial"/>
          <w:i/>
          <w:spacing w:val="80"/>
          <w:sz w:val="20"/>
        </w:rPr>
        <w:t> </w:t>
      </w:r>
      <w:r>
        <w:rPr>
          <w:sz w:val="20"/>
        </w:rPr>
        <w:t>(breach</w:t>
      </w:r>
      <w:r>
        <w:rPr>
          <w:spacing w:val="80"/>
          <w:sz w:val="20"/>
        </w:rPr>
        <w:t> </w:t>
      </w:r>
      <w:r>
        <w:rPr>
          <w:sz w:val="20"/>
        </w:rPr>
        <w:t>of</w:t>
      </w:r>
      <w:r>
        <w:rPr>
          <w:spacing w:val="80"/>
          <w:sz w:val="20"/>
        </w:rPr>
        <w:t> </w:t>
      </w:r>
      <w:r>
        <w:rPr>
          <w:sz w:val="20"/>
        </w:rPr>
        <w:t>contract</w:t>
      </w:r>
      <w:r>
        <w:rPr>
          <w:spacing w:val="80"/>
          <w:sz w:val="20"/>
        </w:rPr>
        <w:t> </w:t>
      </w:r>
      <w:r>
        <w:rPr>
          <w:sz w:val="20"/>
        </w:rPr>
        <w:t>and</w:t>
      </w:r>
      <w:r>
        <w:rPr>
          <w:spacing w:val="80"/>
          <w:sz w:val="20"/>
        </w:rPr>
        <w:t> </w:t>
      </w:r>
      <w:r>
        <w:rPr>
          <w:sz w:val="20"/>
        </w:rPr>
        <w:t>breach</w:t>
      </w:r>
      <w:r>
        <w:rPr>
          <w:spacing w:val="80"/>
          <w:sz w:val="20"/>
        </w:rPr>
        <w:t> </w:t>
      </w:r>
      <w:r>
        <w:rPr>
          <w:sz w:val="20"/>
        </w:rPr>
        <w:t>of </w:t>
      </w:r>
      <w:r>
        <w:rPr>
          <w:spacing w:val="-2"/>
          <w:sz w:val="20"/>
        </w:rPr>
        <w:t>confidence).</w:t>
      </w:r>
    </w:p>
    <w:p>
      <w:pPr>
        <w:pStyle w:val="BodyText"/>
        <w:spacing w:before="9"/>
      </w:pPr>
    </w:p>
    <w:p>
      <w:pPr>
        <w:tabs>
          <w:tab w:pos="705" w:val="left" w:leader="none"/>
        </w:tabs>
        <w:spacing w:line="235" w:lineRule="auto" w:before="0"/>
        <w:ind w:left="705" w:right="174" w:hanging="541"/>
        <w:jc w:val="left"/>
        <w:rPr>
          <w:sz w:val="20"/>
        </w:rPr>
      </w:pPr>
      <w:bookmarkStart w:name="_bookmark519" w:id="521"/>
      <w:bookmarkEnd w:id="521"/>
      <w:r>
        <w:rPr/>
      </w:r>
      <w:hyperlink w:history="true" w:anchor="_bookmark503">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Drane</w:t>
      </w:r>
      <w:r>
        <w:rPr>
          <w:rFonts w:ascii="Arial"/>
          <w:i/>
          <w:spacing w:val="40"/>
          <w:sz w:val="20"/>
        </w:rPr>
        <w:t> </w:t>
      </w:r>
      <w:r>
        <w:rPr>
          <w:rFonts w:ascii="Arial"/>
          <w:i/>
          <w:sz w:val="20"/>
        </w:rPr>
        <w:t>v</w:t>
      </w:r>
      <w:r>
        <w:rPr>
          <w:rFonts w:ascii="Arial"/>
          <w:i/>
          <w:spacing w:val="40"/>
          <w:sz w:val="20"/>
        </w:rPr>
        <w:t> </w:t>
      </w:r>
      <w:r>
        <w:rPr>
          <w:rFonts w:ascii="Arial"/>
          <w:i/>
          <w:sz w:val="20"/>
        </w:rPr>
        <w:t>Evangelou</w:t>
      </w:r>
      <w:r>
        <w:rPr>
          <w:rFonts w:ascii="Arial"/>
          <w:i/>
          <w:spacing w:val="40"/>
          <w:sz w:val="20"/>
        </w:rPr>
        <w:t> </w:t>
      </w:r>
      <w:r>
        <w:rPr>
          <w:rFonts w:ascii="Arial"/>
          <w:i/>
          <w:sz w:val="20"/>
        </w:rPr>
        <w:t>[1978]</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455</w:t>
      </w:r>
      <w:r>
        <w:rPr>
          <w:rFonts w:ascii="Arial"/>
          <w:i/>
          <w:spacing w:val="40"/>
          <w:sz w:val="20"/>
        </w:rPr>
        <w:t> </w:t>
      </w:r>
      <w:r>
        <w:rPr>
          <w:sz w:val="20"/>
        </w:rPr>
        <w:t>(exemplary</w:t>
      </w:r>
      <w:r>
        <w:rPr>
          <w:spacing w:val="40"/>
          <w:sz w:val="20"/>
        </w:rPr>
        <w:t> </w:t>
      </w:r>
      <w:r>
        <w:rPr>
          <w:sz w:val="20"/>
        </w:rPr>
        <w:t>damages</w:t>
      </w:r>
      <w:r>
        <w:rPr>
          <w:spacing w:val="40"/>
          <w:sz w:val="20"/>
        </w:rPr>
        <w:t> </w:t>
      </w:r>
      <w:r>
        <w:rPr>
          <w:sz w:val="20"/>
        </w:rPr>
        <w:t>awarded</w:t>
      </w:r>
      <w:r>
        <w:rPr>
          <w:spacing w:val="40"/>
          <w:sz w:val="20"/>
        </w:rPr>
        <w:t> </w:t>
      </w:r>
      <w:r>
        <w:rPr>
          <w:sz w:val="20"/>
        </w:rPr>
        <w:t>for</w:t>
      </w:r>
      <w:r>
        <w:rPr>
          <w:spacing w:val="40"/>
          <w:sz w:val="20"/>
        </w:rPr>
        <w:t> </w:t>
      </w:r>
      <w:r>
        <w:rPr>
          <w:sz w:val="20"/>
        </w:rPr>
        <w:t>trespass</w:t>
      </w:r>
      <w:r>
        <w:rPr>
          <w:spacing w:val="40"/>
          <w:sz w:val="20"/>
        </w:rPr>
        <w:t> </w:t>
      </w:r>
      <w:r>
        <w:rPr>
          <w:sz w:val="20"/>
        </w:rPr>
        <w:t>when landlord wrongfully evicted his tenant).</w:t>
      </w:r>
    </w:p>
    <w:p>
      <w:pPr>
        <w:pStyle w:val="BodyText"/>
        <w:spacing w:before="5"/>
      </w:pPr>
    </w:p>
    <w:p>
      <w:pPr>
        <w:tabs>
          <w:tab w:pos="705" w:val="left" w:leader="none"/>
        </w:tabs>
        <w:spacing w:before="1"/>
        <w:ind w:left="165" w:right="0" w:firstLine="0"/>
        <w:jc w:val="left"/>
        <w:rPr>
          <w:sz w:val="20"/>
        </w:rPr>
      </w:pPr>
      <w:bookmarkStart w:name="_bookmark520" w:id="522"/>
      <w:bookmarkEnd w:id="522"/>
      <w:r>
        <w:rPr/>
      </w:r>
      <w:hyperlink w:history="true" w:anchor="_bookmark504">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[1909] A.C. 488</w:t>
      </w:r>
      <w:r>
        <w:rPr>
          <w:rFonts w:ascii="Arial"/>
          <w:i/>
          <w:spacing w:val="-1"/>
          <w:sz w:val="20"/>
        </w:rPr>
        <w:t> </w:t>
      </w:r>
      <w:r>
        <w:rPr>
          <w:sz w:val="20"/>
        </w:rPr>
        <w:t>(see further, below, para.26-</w:t>
      </w:r>
      <w:r>
        <w:rPr>
          <w:spacing w:val="-4"/>
          <w:sz w:val="20"/>
        </w:rPr>
        <w:t>140).</w:t>
      </w:r>
    </w:p>
    <w:p>
      <w:pPr>
        <w:pStyle w:val="BodyText"/>
        <w:spacing w:before="4"/>
      </w:pPr>
    </w:p>
    <w:p>
      <w:pPr>
        <w:tabs>
          <w:tab w:pos="705" w:val="left" w:leader="none"/>
        </w:tabs>
        <w:spacing w:before="1"/>
        <w:ind w:left="165" w:right="0" w:firstLine="0"/>
        <w:jc w:val="left"/>
        <w:rPr>
          <w:sz w:val="20"/>
        </w:rPr>
      </w:pPr>
      <w:bookmarkStart w:name="_bookmark521" w:id="523"/>
      <w:bookmarkEnd w:id="523"/>
      <w:r>
        <w:rPr/>
      </w:r>
      <w:hyperlink w:history="true" w:anchor="_bookmark505">
        <w:r>
          <w:rPr>
            <w:color w:val="005DA1"/>
            <w:spacing w:val="-4"/>
            <w:position w:val="5"/>
            <w:sz w:val="14"/>
            <w:u w:val="single" w:color="005DA1"/>
          </w:rPr>
          <w:t>267</w:t>
        </w:r>
      </w:hyperlink>
      <w:r>
        <w:rPr>
          <w:spacing w:val="-4"/>
          <w:position w:val="5"/>
          <w:sz w:val="14"/>
        </w:rPr>
        <w:t>.</w:t>
      </w:r>
      <w:r>
        <w:rPr>
          <w:position w:val="5"/>
          <w:sz w:val="14"/>
        </w:rPr>
        <w:tab/>
      </w:r>
      <w:r>
        <w:rPr>
          <w:sz w:val="20"/>
        </w:rPr>
        <w:t>Followed in</w:t>
      </w:r>
      <w:r>
        <w:rPr>
          <w:spacing w:val="-1"/>
          <w:sz w:val="20"/>
        </w:rPr>
        <w:t> </w:t>
      </w:r>
      <w:r>
        <w:rPr>
          <w:rFonts w:ascii="Arial"/>
          <w:i/>
          <w:sz w:val="20"/>
        </w:rPr>
        <w:t>Bliss v S.E. Thames Regional H.A. [1987] I.C.R. </w:t>
      </w:r>
      <w:r>
        <w:rPr>
          <w:rFonts w:ascii="Arial"/>
          <w:i/>
          <w:spacing w:val="-4"/>
          <w:sz w:val="20"/>
        </w:rPr>
        <w:t>700</w:t>
      </w:r>
      <w:r>
        <w:rPr>
          <w:spacing w:val="-4"/>
          <w:sz w:val="20"/>
        </w:rPr>
        <w:t>.</w:t>
      </w:r>
    </w:p>
    <w:p>
      <w:pPr>
        <w:pStyle w:val="BodyText"/>
        <w:spacing w:before="8"/>
      </w:pPr>
    </w:p>
    <w:p>
      <w:pPr>
        <w:spacing w:line="235" w:lineRule="auto" w:before="0"/>
        <w:ind w:left="705" w:right="167" w:hanging="541"/>
        <w:jc w:val="both"/>
        <w:rPr>
          <w:sz w:val="20"/>
        </w:rPr>
      </w:pPr>
      <w:bookmarkStart w:name="_bookmark522" w:id="524"/>
      <w:bookmarkEnd w:id="524"/>
      <w:r>
        <w:rPr/>
      </w:r>
      <w:hyperlink w:history="true" w:anchor="_bookmark506">
        <w:r>
          <w:rPr>
            <w:color w:val="005DA1"/>
            <w:position w:val="5"/>
            <w:sz w:val="14"/>
            <w:u w:val="single" w:color="005DA1"/>
          </w:rPr>
          <w:t>268</w:t>
        </w:r>
      </w:hyperlink>
      <w:r>
        <w:rPr>
          <w:position w:val="5"/>
          <w:sz w:val="14"/>
        </w:rPr>
        <w:t>.</w:t>
      </w:r>
      <w:r>
        <w:rPr>
          <w:spacing w:val="80"/>
          <w:w w:val="150"/>
          <w:position w:val="5"/>
          <w:sz w:val="14"/>
        </w:rPr>
        <w:t> </w:t>
      </w:r>
      <w:r>
        <w:rPr>
          <w:sz w:val="20"/>
        </w:rPr>
        <w:t>Some of the general statements in the </w:t>
      </w:r>
      <w:r>
        <w:rPr>
          <w:rFonts w:ascii="Arial" w:hAnsi="Arial"/>
          <w:i/>
          <w:sz w:val="20"/>
        </w:rPr>
        <w:t>Addis case [1909] A.C. 488 </w:t>
      </w:r>
      <w:r>
        <w:rPr>
          <w:sz w:val="20"/>
        </w:rPr>
        <w:t>have been qualified by </w:t>
      </w:r>
      <w:r>
        <w:rPr>
          <w:sz w:val="20"/>
        </w:rPr>
        <w:t>the House of Lords in </w:t>
      </w:r>
      <w:r>
        <w:rPr>
          <w:rFonts w:ascii="Arial" w:hAnsi="Arial"/>
          <w:i/>
          <w:sz w:val="20"/>
        </w:rPr>
        <w:t>Malik v Bank of Credit and Commerce International SA [1998] A.C. 20</w:t>
      </w:r>
      <w:r>
        <w:rPr>
          <w:sz w:val="20"/>
        </w:rPr>
        <w:t>. In </w:t>
      </w:r>
      <w:r>
        <w:rPr>
          <w:rFonts w:ascii="Arial" w:hAnsi="Arial"/>
          <w:i/>
          <w:sz w:val="20"/>
        </w:rPr>
        <w:t>Johnson v Gore Wood &amp; Co [2002] 2 A.C. 1</w:t>
      </w:r>
      <w:r>
        <w:rPr>
          <w:rFonts w:ascii="Arial" w:hAnsi="Arial"/>
          <w:i/>
          <w:spacing w:val="-1"/>
          <w:sz w:val="20"/>
        </w:rPr>
        <w:t> </w:t>
      </w:r>
      <w:r>
        <w:rPr>
          <w:sz w:val="20"/>
        </w:rPr>
        <w:t>the House of Lords recognised that some “inroads” had been made into the general principle laid down by </w:t>
      </w:r>
      <w:r>
        <w:rPr>
          <w:rFonts w:ascii="Arial" w:hAnsi="Arial"/>
          <w:i/>
          <w:sz w:val="20"/>
        </w:rPr>
        <w:t>Addis’s </w:t>
      </w:r>
      <w:r>
        <w:rPr>
          <w:sz w:val="20"/>
        </w:rPr>
        <w:t>case, but refused to make</w:t>
      </w:r>
      <w:r>
        <w:rPr>
          <w:spacing w:val="40"/>
          <w:sz w:val="20"/>
        </w:rPr>
        <w:t> </w:t>
      </w:r>
      <w:r>
        <w:rPr>
          <w:sz w:val="20"/>
        </w:rPr>
        <w:t>further inroads. cf. </w:t>
      </w:r>
      <w:r>
        <w:rPr>
          <w:rFonts w:ascii="Arial" w:hAnsi="Arial"/>
          <w:i/>
          <w:sz w:val="20"/>
        </w:rPr>
        <w:t>Dunk v George Waller &amp; Son Ltd [1970] 2 Q.B. 163 </w:t>
      </w:r>
      <w:r>
        <w:rPr>
          <w:sz w:val="20"/>
        </w:rPr>
        <w:t>(employer’s breach of contract of apprenticeship: see Vol.II, para.40-203); </w:t>
      </w:r>
      <w:r>
        <w:rPr>
          <w:rFonts w:ascii="Arial" w:hAnsi="Arial"/>
          <w:i/>
          <w:sz w:val="20"/>
        </w:rPr>
        <w:t>Edwards v Society of Graphical and Allied Trades</w:t>
      </w:r>
      <w:r>
        <w:rPr>
          <w:rFonts w:ascii="Arial" w:hAnsi="Arial"/>
          <w:i/>
          <w:spacing w:val="-3"/>
          <w:sz w:val="20"/>
        </w:rPr>
        <w:t> </w:t>
      </w:r>
      <w:r>
        <w:rPr>
          <w:rFonts w:ascii="Arial" w:hAnsi="Arial"/>
          <w:i/>
          <w:sz w:val="20"/>
        </w:rPr>
        <w:t>[1971]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354</w:t>
      </w:r>
      <w:r>
        <w:rPr>
          <w:rFonts w:ascii="Arial" w:hAnsi="Arial"/>
          <w:i/>
          <w:spacing w:val="-3"/>
          <w:sz w:val="20"/>
        </w:rPr>
        <w:t> </w:t>
      </w:r>
      <w:r>
        <w:rPr>
          <w:sz w:val="20"/>
        </w:rPr>
        <w:t>(damages</w:t>
      </w:r>
      <w:r>
        <w:rPr>
          <w:spacing w:val="-3"/>
          <w:sz w:val="20"/>
        </w:rPr>
        <w:t> </w:t>
      </w:r>
      <w:r>
        <w:rPr>
          <w:sz w:val="20"/>
        </w:rPr>
        <w:t>for</w:t>
      </w:r>
      <w:r>
        <w:rPr>
          <w:spacing w:val="-3"/>
          <w:sz w:val="20"/>
        </w:rPr>
        <w:t> </w:t>
      </w:r>
      <w:r>
        <w:rPr>
          <w:sz w:val="20"/>
        </w:rPr>
        <w:t>wrongful</w:t>
      </w:r>
      <w:r>
        <w:rPr>
          <w:spacing w:val="-3"/>
          <w:sz w:val="20"/>
        </w:rPr>
        <w:t> </w:t>
      </w:r>
      <w:r>
        <w:rPr>
          <w:sz w:val="20"/>
        </w:rPr>
        <w:t>expulsion</w:t>
      </w:r>
      <w:r>
        <w:rPr>
          <w:spacing w:val="-3"/>
          <w:sz w:val="20"/>
        </w:rPr>
        <w:t> </w:t>
      </w:r>
      <w:r>
        <w:rPr>
          <w:sz w:val="20"/>
        </w:rPr>
        <w:t>from</w:t>
      </w:r>
      <w:r>
        <w:rPr>
          <w:spacing w:val="-3"/>
          <w:sz w:val="20"/>
        </w:rPr>
        <w:t> </w:t>
      </w:r>
      <w:r>
        <w:rPr>
          <w:sz w:val="20"/>
        </w:rPr>
        <w:t>a</w:t>
      </w:r>
      <w:r>
        <w:rPr>
          <w:spacing w:val="-3"/>
          <w:sz w:val="20"/>
        </w:rPr>
        <w:t> </w:t>
      </w:r>
      <w:r>
        <w:rPr>
          <w:sz w:val="20"/>
        </w:rPr>
        <w:t>trade</w:t>
      </w:r>
      <w:r>
        <w:rPr>
          <w:spacing w:val="-3"/>
          <w:sz w:val="20"/>
        </w:rPr>
        <w:t> </w:t>
      </w:r>
      <w:r>
        <w:rPr>
          <w:sz w:val="20"/>
        </w:rPr>
        <w:t>union,</w:t>
      </w:r>
      <w:r>
        <w:rPr>
          <w:spacing w:val="-3"/>
          <w:sz w:val="20"/>
        </w:rPr>
        <w:t> </w:t>
      </w:r>
      <w:r>
        <w:rPr>
          <w:sz w:val="20"/>
        </w:rPr>
        <w:t>leading</w:t>
      </w:r>
      <w:r>
        <w:rPr>
          <w:spacing w:val="-3"/>
          <w:sz w:val="20"/>
        </w:rPr>
        <w:t> </w:t>
      </w:r>
      <w:r>
        <w:rPr>
          <w:sz w:val="20"/>
        </w:rPr>
        <w:t>to</w:t>
      </w:r>
      <w:r>
        <w:rPr>
          <w:spacing w:val="-3"/>
          <w:sz w:val="20"/>
        </w:rPr>
        <w:t> </w:t>
      </w:r>
      <w:r>
        <w:rPr>
          <w:sz w:val="20"/>
        </w:rPr>
        <w:t>dismissal from employment, may include damages “for the difficulty the dismissal causes to a plaintiff in getting fresh employment”: at 379).</w:t>
      </w:r>
    </w:p>
    <w:p>
      <w:pPr>
        <w:pStyle w:val="BodyText"/>
        <w:spacing w:before="7"/>
      </w:pPr>
    </w:p>
    <w:p>
      <w:pPr>
        <w:spacing w:line="235" w:lineRule="auto" w:before="0"/>
        <w:ind w:left="705" w:right="167" w:hanging="541"/>
        <w:jc w:val="both"/>
        <w:rPr>
          <w:sz w:val="20"/>
        </w:rPr>
      </w:pPr>
      <w:bookmarkStart w:name="_bookmark523" w:id="525"/>
      <w:bookmarkEnd w:id="525"/>
      <w:r>
        <w:rPr/>
      </w:r>
      <w:hyperlink w:history="true" w:anchor="_bookmark507">
        <w:r>
          <w:rPr>
            <w:color w:val="005DA1"/>
            <w:position w:val="5"/>
            <w:sz w:val="14"/>
            <w:u w:val="single" w:color="005DA1"/>
          </w:rPr>
          <w:t>269</w:t>
        </w:r>
      </w:hyperlink>
      <w:r>
        <w:rPr>
          <w:position w:val="5"/>
          <w:sz w:val="14"/>
        </w:rPr>
        <w:t>.</w:t>
      </w:r>
      <w:r>
        <w:rPr>
          <w:spacing w:val="40"/>
          <w:position w:val="5"/>
          <w:sz w:val="14"/>
        </w:rPr>
        <w:t>  </w:t>
      </w:r>
      <w:r>
        <w:rPr>
          <w:sz w:val="20"/>
        </w:rPr>
        <w:t>The</w:t>
      </w:r>
      <w:r>
        <w:rPr>
          <w:spacing w:val="40"/>
          <w:sz w:val="20"/>
        </w:rPr>
        <w:t> </w:t>
      </w:r>
      <w:r>
        <w:rPr>
          <w:sz w:val="20"/>
        </w:rPr>
        <w:t>decision</w:t>
      </w:r>
      <w:r>
        <w:rPr>
          <w:spacing w:val="40"/>
          <w:sz w:val="20"/>
        </w:rPr>
        <w:t> </w:t>
      </w:r>
      <w:r>
        <w:rPr>
          <w:sz w:val="20"/>
        </w:rPr>
        <w:t>in</w:t>
      </w:r>
      <w:r>
        <w:rPr>
          <w:spacing w:val="40"/>
          <w:sz w:val="20"/>
        </w:rPr>
        <w:t> </w:t>
      </w:r>
      <w:r>
        <w:rPr>
          <w:rFonts w:ascii="Arial" w:hAnsi="Arial"/>
          <w:i/>
          <w:sz w:val="20"/>
        </w:rPr>
        <w:t>Addis</w:t>
      </w:r>
      <w:r>
        <w:rPr>
          <w:rFonts w:ascii="Arial" w:hAnsi="Arial"/>
          <w:i/>
          <w:spacing w:val="40"/>
          <w:sz w:val="20"/>
        </w:rPr>
        <w:t> </w:t>
      </w:r>
      <w:r>
        <w:rPr>
          <w:rFonts w:ascii="Arial" w:hAnsi="Arial"/>
          <w:i/>
          <w:sz w:val="20"/>
        </w:rPr>
        <w:t>’s</w:t>
      </w:r>
      <w:r>
        <w:rPr>
          <w:rFonts w:ascii="Arial" w:hAnsi="Arial"/>
          <w:i/>
          <w:spacing w:val="40"/>
          <w:sz w:val="20"/>
        </w:rPr>
        <w:t> </w:t>
      </w:r>
      <w:r>
        <w:rPr>
          <w:rFonts w:ascii="Arial" w:hAnsi="Arial"/>
          <w:i/>
          <w:sz w:val="20"/>
        </w:rPr>
        <w:t>case</w:t>
      </w:r>
      <w:r>
        <w:rPr>
          <w:rFonts w:ascii="Arial" w:hAnsi="Arial"/>
          <w:i/>
          <w:spacing w:val="40"/>
          <w:sz w:val="20"/>
        </w:rPr>
        <w:t> </w:t>
      </w:r>
      <w:r>
        <w:rPr>
          <w:rFonts w:ascii="Arial" w:hAnsi="Arial"/>
          <w:i/>
          <w:sz w:val="20"/>
        </w:rPr>
        <w:t>[1909]</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488</w:t>
      </w:r>
      <w:r>
        <w:rPr>
          <w:rFonts w:ascii="Arial" w:hAnsi="Arial"/>
          <w:i/>
          <w:spacing w:val="40"/>
          <w:sz w:val="20"/>
        </w:rPr>
        <w:t> </w:t>
      </w:r>
      <w:r>
        <w:rPr>
          <w:sz w:val="20"/>
        </w:rPr>
        <w:t>is</w:t>
      </w:r>
      <w:r>
        <w:rPr>
          <w:spacing w:val="40"/>
          <w:sz w:val="20"/>
        </w:rPr>
        <w:t> </w:t>
      </w:r>
      <w:r>
        <w:rPr>
          <w:sz w:val="20"/>
        </w:rPr>
        <w:t>wide</w:t>
      </w:r>
      <w:r>
        <w:rPr>
          <w:spacing w:val="40"/>
          <w:sz w:val="20"/>
        </w:rPr>
        <w:t> </w:t>
      </w:r>
      <w:r>
        <w:rPr>
          <w:sz w:val="20"/>
        </w:rPr>
        <w:t>enough</w:t>
      </w:r>
      <w:r>
        <w:rPr>
          <w:spacing w:val="40"/>
          <w:sz w:val="20"/>
        </w:rPr>
        <w:t> </w:t>
      </w:r>
      <w:r>
        <w:rPr>
          <w:sz w:val="20"/>
        </w:rPr>
        <w:t>to</w:t>
      </w:r>
      <w:r>
        <w:rPr>
          <w:spacing w:val="40"/>
          <w:sz w:val="20"/>
        </w:rPr>
        <w:t> </w:t>
      </w:r>
      <w:r>
        <w:rPr>
          <w:sz w:val="20"/>
        </w:rPr>
        <w:t>mean</w:t>
      </w:r>
      <w:r>
        <w:rPr>
          <w:spacing w:val="40"/>
          <w:sz w:val="20"/>
        </w:rPr>
        <w:t> </w:t>
      </w:r>
      <w:r>
        <w:rPr>
          <w:sz w:val="20"/>
        </w:rPr>
        <w:t>that</w:t>
      </w:r>
      <w:r>
        <w:rPr>
          <w:spacing w:val="40"/>
          <w:sz w:val="20"/>
        </w:rPr>
        <w:t> </w:t>
      </w:r>
      <w:r>
        <w:rPr>
          <w:sz w:val="20"/>
        </w:rPr>
        <w:t>aggravated damages (as sometimes available in tort) cannot be awarded in contract: see </w:t>
      </w:r>
      <w:r>
        <w:rPr>
          <w:rFonts w:ascii="Arial" w:hAnsi="Arial"/>
          <w:i/>
          <w:sz w:val="20"/>
        </w:rPr>
        <w:t>Kralj v McGrath [1986] 1 All E.R. 54, 61</w:t>
      </w:r>
      <w:r>
        <w:rPr>
          <w:sz w:val="20"/>
        </w:rPr>
        <w:t>; and </w:t>
      </w:r>
      <w:r>
        <w:rPr>
          <w:rFonts w:ascii="Arial" w:hAnsi="Arial"/>
          <w:i/>
          <w:sz w:val="20"/>
        </w:rPr>
        <w:t>Johnson v Gore Wood &amp; Co [2002] 2 A.C. 1 </w:t>
      </w:r>
      <w:r>
        <w:rPr>
          <w:sz w:val="20"/>
        </w:rPr>
        <w:t>where a claim for aggravated damages was struck out. In </w:t>
      </w:r>
      <w:r>
        <w:rPr>
          <w:rFonts w:ascii="Arial" w:hAnsi="Arial"/>
          <w:i/>
          <w:sz w:val="20"/>
        </w:rPr>
        <w:t>Abbey Forwarding Ltd (In Liquidation) v Hone [2012] EWHC 3525 (Ch), [2013] 2 W.L.R. 1368</w:t>
      </w:r>
      <w:r>
        <w:rPr>
          <w:sz w:val="20"/>
        </w:rPr>
        <w:t>, a case involving assessment of damages due in accordance</w:t>
      </w:r>
      <w:r>
        <w:rPr>
          <w:spacing w:val="-1"/>
          <w:sz w:val="20"/>
        </w:rPr>
        <w:t> </w:t>
      </w:r>
      <w:r>
        <w:rPr>
          <w:sz w:val="20"/>
        </w:rPr>
        <w:t>with</w:t>
      </w:r>
      <w:r>
        <w:rPr>
          <w:spacing w:val="-1"/>
          <w:sz w:val="20"/>
        </w:rPr>
        <w:t> </w:t>
      </w:r>
      <w:r>
        <w:rPr>
          <w:sz w:val="20"/>
        </w:rPr>
        <w:t>a</w:t>
      </w:r>
      <w:r>
        <w:rPr>
          <w:spacing w:val="-1"/>
          <w:sz w:val="20"/>
        </w:rPr>
        <w:t> </w:t>
      </w:r>
      <w:r>
        <w:rPr>
          <w:sz w:val="20"/>
        </w:rPr>
        <w:t>cross-undertaking</w:t>
      </w:r>
      <w:r>
        <w:rPr>
          <w:spacing w:val="-1"/>
          <w:sz w:val="20"/>
        </w:rPr>
        <w:t> </w:t>
      </w:r>
      <w:r>
        <w:rPr>
          <w:sz w:val="20"/>
        </w:rPr>
        <w:t>given</w:t>
      </w:r>
      <w:r>
        <w:rPr>
          <w:spacing w:val="-1"/>
          <w:sz w:val="20"/>
        </w:rPr>
        <w:t> </w:t>
      </w:r>
      <w:r>
        <w:rPr>
          <w:sz w:val="20"/>
        </w:rPr>
        <w:t>when</w:t>
      </w:r>
      <w:r>
        <w:rPr>
          <w:spacing w:val="-1"/>
          <w:sz w:val="20"/>
        </w:rPr>
        <w:t> </w:t>
      </w:r>
      <w:r>
        <w:rPr>
          <w:sz w:val="20"/>
        </w:rPr>
        <w:t>a</w:t>
      </w:r>
      <w:r>
        <w:rPr>
          <w:spacing w:val="-1"/>
          <w:sz w:val="20"/>
        </w:rPr>
        <w:t> </w:t>
      </w:r>
      <w:r>
        <w:rPr>
          <w:sz w:val="20"/>
        </w:rPr>
        <w:t>freezing</w:t>
      </w:r>
      <w:r>
        <w:rPr>
          <w:spacing w:val="-1"/>
          <w:sz w:val="20"/>
        </w:rPr>
        <w:t> </w:t>
      </w:r>
      <w:r>
        <w:rPr>
          <w:sz w:val="20"/>
        </w:rPr>
        <w:t>injunction</w:t>
      </w:r>
      <w:r>
        <w:rPr>
          <w:spacing w:val="-1"/>
          <w:sz w:val="20"/>
        </w:rPr>
        <w:t> </w:t>
      </w:r>
      <w:r>
        <w:rPr>
          <w:sz w:val="20"/>
        </w:rPr>
        <w:t>was</w:t>
      </w:r>
      <w:r>
        <w:rPr>
          <w:spacing w:val="-1"/>
          <w:sz w:val="20"/>
        </w:rPr>
        <w:t> </w:t>
      </w:r>
      <w:r>
        <w:rPr>
          <w:sz w:val="20"/>
        </w:rPr>
        <w:t>obtained,</w:t>
      </w:r>
      <w:r>
        <w:rPr>
          <w:spacing w:val="-1"/>
          <w:sz w:val="20"/>
        </w:rPr>
        <w:t> </w:t>
      </w:r>
      <w:r>
        <w:rPr>
          <w:sz w:val="20"/>
        </w:rPr>
        <w:t>it</w:t>
      </w:r>
      <w:r>
        <w:rPr>
          <w:spacing w:val="-1"/>
          <w:sz w:val="20"/>
        </w:rPr>
        <w:t> </w:t>
      </w:r>
      <w:r>
        <w:rPr>
          <w:sz w:val="20"/>
        </w:rPr>
        <w:t>was</w:t>
      </w:r>
      <w:r>
        <w:rPr>
          <w:spacing w:val="-1"/>
          <w:sz w:val="20"/>
        </w:rPr>
        <w:t> </w:t>
      </w:r>
      <w:r>
        <w:rPr>
          <w:sz w:val="20"/>
        </w:rPr>
        <w:t>said that the decision in </w:t>
      </w:r>
      <w:r>
        <w:rPr>
          <w:rFonts w:ascii="Arial" w:hAnsi="Arial"/>
          <w:i/>
          <w:sz w:val="20"/>
        </w:rPr>
        <w:t>Johnson</w:t>
      </w:r>
      <w:r>
        <w:rPr>
          <w:rFonts w:ascii="Arial" w:hAnsi="Arial"/>
          <w:i/>
          <w:spacing w:val="-14"/>
          <w:sz w:val="20"/>
        </w:rPr>
        <w:t> </w:t>
      </w:r>
      <w:r>
        <w:rPr>
          <w:sz w:val="20"/>
        </w:rPr>
        <w:t>’s case does not mean that aggravated damages can never be awarded in breach of contract cases (at [122]); but it is submitted that this is permissible only in the situations discussed in paras 26-139—26-149.</w:t>
      </w:r>
    </w:p>
    <w:p>
      <w:pPr>
        <w:pStyle w:val="BodyText"/>
        <w:spacing w:before="3"/>
      </w:pPr>
    </w:p>
    <w:p>
      <w:pPr>
        <w:tabs>
          <w:tab w:pos="705" w:val="left" w:leader="none"/>
        </w:tabs>
        <w:spacing w:line="227" w:lineRule="exact" w:before="0"/>
        <w:ind w:left="165" w:right="0" w:firstLine="0"/>
        <w:jc w:val="left"/>
        <w:rPr>
          <w:sz w:val="20"/>
        </w:rPr>
      </w:pPr>
      <w:bookmarkStart w:name="_bookmark524" w:id="526"/>
      <w:bookmarkEnd w:id="526"/>
      <w:r>
        <w:rPr/>
      </w:r>
      <w:hyperlink w:history="true" w:anchor="_bookmark508">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Perera</w:t>
      </w:r>
      <w:r>
        <w:rPr>
          <w:rFonts w:ascii="Arial"/>
          <w:i/>
          <w:spacing w:val="8"/>
          <w:sz w:val="20"/>
        </w:rPr>
        <w:t> </w:t>
      </w:r>
      <w:r>
        <w:rPr>
          <w:rFonts w:ascii="Arial"/>
          <w:i/>
          <w:sz w:val="20"/>
        </w:rPr>
        <w:t>v</w:t>
      </w:r>
      <w:r>
        <w:rPr>
          <w:rFonts w:ascii="Arial"/>
          <w:i/>
          <w:spacing w:val="9"/>
          <w:sz w:val="20"/>
        </w:rPr>
        <w:t> </w:t>
      </w:r>
      <w:r>
        <w:rPr>
          <w:rFonts w:ascii="Arial"/>
          <w:i/>
          <w:sz w:val="20"/>
        </w:rPr>
        <w:t>Vandiyar</w:t>
      </w:r>
      <w:r>
        <w:rPr>
          <w:rFonts w:ascii="Arial"/>
          <w:i/>
          <w:spacing w:val="9"/>
          <w:sz w:val="20"/>
        </w:rPr>
        <w:t> </w:t>
      </w:r>
      <w:r>
        <w:rPr>
          <w:rFonts w:ascii="Arial"/>
          <w:i/>
          <w:sz w:val="20"/>
        </w:rPr>
        <w:t>[1953]</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672</w:t>
      </w:r>
      <w:r>
        <w:rPr>
          <w:sz w:val="20"/>
        </w:rPr>
        <w:t>;</w:t>
      </w:r>
      <w:r>
        <w:rPr>
          <w:spacing w:val="9"/>
          <w:sz w:val="20"/>
        </w:rPr>
        <w:t> </w:t>
      </w:r>
      <w:r>
        <w:rPr>
          <w:rFonts w:ascii="Arial"/>
          <w:i/>
          <w:sz w:val="20"/>
        </w:rPr>
        <w:t>Kenny</w:t>
      </w:r>
      <w:r>
        <w:rPr>
          <w:rFonts w:ascii="Arial"/>
          <w:i/>
          <w:spacing w:val="9"/>
          <w:sz w:val="20"/>
        </w:rPr>
        <w:t> </w:t>
      </w:r>
      <w:r>
        <w:rPr>
          <w:rFonts w:ascii="Arial"/>
          <w:i/>
          <w:sz w:val="20"/>
        </w:rPr>
        <w:t>v</w:t>
      </w:r>
      <w:r>
        <w:rPr>
          <w:rFonts w:ascii="Arial"/>
          <w:i/>
          <w:spacing w:val="9"/>
          <w:sz w:val="20"/>
        </w:rPr>
        <w:t> </w:t>
      </w:r>
      <w:r>
        <w:rPr>
          <w:rFonts w:ascii="Arial"/>
          <w:i/>
          <w:sz w:val="20"/>
        </w:rPr>
        <w:t>Preen</w:t>
      </w:r>
      <w:r>
        <w:rPr>
          <w:rFonts w:ascii="Arial"/>
          <w:i/>
          <w:spacing w:val="9"/>
          <w:sz w:val="20"/>
        </w:rPr>
        <w:t> </w:t>
      </w:r>
      <w:r>
        <w:rPr>
          <w:rFonts w:ascii="Arial"/>
          <w:i/>
          <w:sz w:val="20"/>
        </w:rPr>
        <w:t>[1963]</w:t>
      </w:r>
      <w:r>
        <w:rPr>
          <w:rFonts w:ascii="Arial"/>
          <w:i/>
          <w:spacing w:val="9"/>
          <w:sz w:val="20"/>
        </w:rPr>
        <w:t> </w:t>
      </w:r>
      <w:r>
        <w:rPr>
          <w:rFonts w:ascii="Arial"/>
          <w:i/>
          <w:sz w:val="20"/>
        </w:rPr>
        <w:t>1</w:t>
      </w:r>
      <w:r>
        <w:rPr>
          <w:rFonts w:ascii="Arial"/>
          <w:i/>
          <w:spacing w:val="9"/>
          <w:sz w:val="20"/>
        </w:rPr>
        <w:t> </w:t>
      </w:r>
      <w:r>
        <w:rPr>
          <w:rFonts w:ascii="Arial"/>
          <w:i/>
          <w:sz w:val="20"/>
        </w:rPr>
        <w:t>Q.B.</w:t>
      </w:r>
      <w:r>
        <w:rPr>
          <w:rFonts w:ascii="Arial"/>
          <w:i/>
          <w:spacing w:val="9"/>
          <w:sz w:val="20"/>
        </w:rPr>
        <w:t> </w:t>
      </w:r>
      <w:r>
        <w:rPr>
          <w:rFonts w:ascii="Arial"/>
          <w:i/>
          <w:sz w:val="20"/>
        </w:rPr>
        <w:t>499</w:t>
      </w:r>
      <w:r>
        <w:rPr>
          <w:rFonts w:ascii="Arial"/>
          <w:i/>
          <w:spacing w:val="9"/>
          <w:sz w:val="20"/>
        </w:rPr>
        <w:t> </w:t>
      </w:r>
      <w:r>
        <w:rPr>
          <w:sz w:val="20"/>
        </w:rPr>
        <w:t>(but</w:t>
      </w:r>
      <w:r>
        <w:rPr>
          <w:spacing w:val="9"/>
          <w:sz w:val="20"/>
        </w:rPr>
        <w:t> </w:t>
      </w:r>
      <w:r>
        <w:rPr>
          <w:sz w:val="20"/>
        </w:rPr>
        <w:t>both</w:t>
      </w:r>
      <w:r>
        <w:rPr>
          <w:spacing w:val="9"/>
          <w:sz w:val="20"/>
        </w:rPr>
        <w:t> </w:t>
      </w:r>
      <w:r>
        <w:rPr>
          <w:sz w:val="20"/>
        </w:rPr>
        <w:t>doubted</w:t>
      </w:r>
      <w:r>
        <w:rPr>
          <w:spacing w:val="9"/>
          <w:sz w:val="20"/>
        </w:rPr>
        <w:t> </w:t>
      </w:r>
      <w:r>
        <w:rPr>
          <w:spacing w:val="-5"/>
          <w:sz w:val="20"/>
        </w:rPr>
        <w:t>in</w:t>
      </w:r>
    </w:p>
    <w:p>
      <w:pPr>
        <w:spacing w:line="235" w:lineRule="auto" w:before="1"/>
        <w:ind w:left="705" w:right="167" w:firstLine="0"/>
        <w:jc w:val="both"/>
        <w:rPr>
          <w:sz w:val="20"/>
        </w:rPr>
      </w:pPr>
      <w:r>
        <w:rPr>
          <w:rFonts w:ascii="Arial"/>
          <w:i/>
          <w:sz w:val="20"/>
        </w:rPr>
        <w:t>McCall v Abelesz [1976] Q.B. 585, 594)</w:t>
      </w:r>
      <w:r>
        <w:rPr>
          <w:sz w:val="20"/>
        </w:rPr>
        <w:t>. cf. </w:t>
      </w:r>
      <w:r>
        <w:rPr>
          <w:rFonts w:ascii="Arial"/>
          <w:i/>
          <w:sz w:val="20"/>
        </w:rPr>
        <w:t>Lavender v Betts [1942] 2 All E.R. 72 </w:t>
      </w:r>
      <w:r>
        <w:rPr>
          <w:sz w:val="20"/>
        </w:rPr>
        <w:t>(action in tort in</w:t>
      </w:r>
      <w:r>
        <w:rPr>
          <w:spacing w:val="-1"/>
          <w:sz w:val="20"/>
        </w:rPr>
        <w:t> </w:t>
      </w:r>
      <w:r>
        <w:rPr>
          <w:sz w:val="20"/>
        </w:rPr>
        <w:t>similar</w:t>
      </w:r>
      <w:r>
        <w:rPr>
          <w:spacing w:val="-1"/>
          <w:sz w:val="20"/>
        </w:rPr>
        <w:t> </w:t>
      </w:r>
      <w:r>
        <w:rPr>
          <w:sz w:val="20"/>
        </w:rPr>
        <w:t>circumstances);</w:t>
      </w:r>
      <w:r>
        <w:rPr>
          <w:spacing w:val="-1"/>
          <w:sz w:val="20"/>
        </w:rPr>
        <w:t> </w:t>
      </w:r>
      <w:r>
        <w:rPr>
          <w:sz w:val="20"/>
        </w:rPr>
        <w:t>cf.</w:t>
      </w:r>
      <w:r>
        <w:rPr>
          <w:spacing w:val="-1"/>
          <w:sz w:val="20"/>
        </w:rPr>
        <w:t> </w:t>
      </w:r>
      <w:r>
        <w:rPr>
          <w:sz w:val="20"/>
        </w:rPr>
        <w:t>also</w:t>
      </w:r>
      <w:r>
        <w:rPr>
          <w:spacing w:val="-2"/>
          <w:sz w:val="20"/>
        </w:rPr>
        <w:t> </w:t>
      </w:r>
      <w:r>
        <w:rPr>
          <w:rFonts w:ascii="Arial"/>
          <w:i/>
          <w:sz w:val="20"/>
        </w:rPr>
        <w:t>Drane</w:t>
      </w:r>
      <w:r>
        <w:rPr>
          <w:rFonts w:ascii="Arial"/>
          <w:i/>
          <w:spacing w:val="-1"/>
          <w:sz w:val="20"/>
        </w:rPr>
        <w:t> </w:t>
      </w:r>
      <w:r>
        <w:rPr>
          <w:rFonts w:ascii="Arial"/>
          <w:i/>
          <w:sz w:val="20"/>
        </w:rPr>
        <w:t>v</w:t>
      </w:r>
      <w:r>
        <w:rPr>
          <w:rFonts w:ascii="Arial"/>
          <w:i/>
          <w:spacing w:val="-1"/>
          <w:sz w:val="20"/>
        </w:rPr>
        <w:t> </w:t>
      </w:r>
      <w:r>
        <w:rPr>
          <w:rFonts w:ascii="Arial"/>
          <w:i/>
          <w:sz w:val="20"/>
        </w:rPr>
        <w:t>Evangelou</w:t>
      </w:r>
      <w:r>
        <w:rPr>
          <w:rFonts w:ascii="Arial"/>
          <w:i/>
          <w:spacing w:val="-1"/>
          <w:sz w:val="20"/>
        </w:rPr>
        <w:t> </w:t>
      </w:r>
      <w:r>
        <w:rPr>
          <w:rFonts w:ascii="Arial"/>
          <w:i/>
          <w:sz w:val="20"/>
        </w:rPr>
        <w:t>[1978]</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455</w:t>
      </w:r>
      <w:r>
        <w:rPr>
          <w:rFonts w:ascii="Arial"/>
          <w:i/>
          <w:spacing w:val="-2"/>
          <w:sz w:val="20"/>
        </w:rPr>
        <w:t> </w:t>
      </w:r>
      <w:r>
        <w:rPr>
          <w:sz w:val="20"/>
        </w:rPr>
        <w:t>(exemplary</w:t>
      </w:r>
      <w:r>
        <w:rPr>
          <w:spacing w:val="-1"/>
          <w:sz w:val="20"/>
        </w:rPr>
        <w:t> </w:t>
      </w:r>
      <w:r>
        <w:rPr>
          <w:sz w:val="20"/>
        </w:rPr>
        <w:t>damages awarded for trespass when landlord wrongfully evicted his tenant). The Supreme Court of Canada has allowed exemplary damages for breach of contract in exceptional circumstances: </w:t>
      </w:r>
      <w:r>
        <w:rPr>
          <w:rFonts w:ascii="Arial"/>
          <w:i/>
          <w:sz w:val="20"/>
        </w:rPr>
        <w:t>Royal Bank of Canada v W. Gott &amp; Associates Electric Ltd (2000) 178 D.L.R. (4th) 385 </w:t>
      </w:r>
      <w:r>
        <w:rPr>
          <w:sz w:val="20"/>
        </w:rPr>
        <w:t>(noted</w:t>
      </w:r>
      <w:r>
        <w:rPr>
          <w:spacing w:val="40"/>
          <w:sz w:val="20"/>
        </w:rPr>
        <w:t> </w:t>
      </w:r>
      <w:r>
        <w:rPr>
          <w:sz w:val="20"/>
        </w:rPr>
        <w:t>in</w:t>
      </w:r>
      <w:r>
        <w:rPr>
          <w:spacing w:val="18"/>
          <w:sz w:val="20"/>
        </w:rPr>
        <w:t> </w:t>
      </w:r>
      <w:r>
        <w:rPr>
          <w:sz w:val="20"/>
        </w:rPr>
        <w:t>117</w:t>
      </w:r>
      <w:r>
        <w:rPr>
          <w:spacing w:val="18"/>
          <w:sz w:val="20"/>
        </w:rPr>
        <w:t> </w:t>
      </w:r>
      <w:r>
        <w:rPr>
          <w:sz w:val="20"/>
        </w:rPr>
        <w:t>(2001)</w:t>
      </w:r>
      <w:r>
        <w:rPr>
          <w:spacing w:val="18"/>
          <w:sz w:val="20"/>
        </w:rPr>
        <w:t> </w:t>
      </w:r>
      <w:r>
        <w:rPr>
          <w:sz w:val="20"/>
        </w:rPr>
        <w:t>L.Q.R.</w:t>
      </w:r>
      <w:r>
        <w:rPr>
          <w:spacing w:val="18"/>
          <w:sz w:val="20"/>
        </w:rPr>
        <w:t> </w:t>
      </w:r>
      <w:r>
        <w:rPr>
          <w:sz w:val="20"/>
        </w:rPr>
        <w:t>539);</w:t>
      </w:r>
      <w:r>
        <w:rPr>
          <w:spacing w:val="18"/>
          <w:sz w:val="20"/>
        </w:rPr>
        <w:t> </w:t>
      </w:r>
      <w:r>
        <w:rPr>
          <w:rFonts w:ascii="Arial"/>
          <w:i/>
          <w:sz w:val="20"/>
        </w:rPr>
        <w:t>Whiten</w:t>
      </w:r>
      <w:r>
        <w:rPr>
          <w:rFonts w:ascii="Arial"/>
          <w:i/>
          <w:spacing w:val="18"/>
          <w:sz w:val="20"/>
        </w:rPr>
        <w:t> </w:t>
      </w:r>
      <w:r>
        <w:rPr>
          <w:rFonts w:ascii="Arial"/>
          <w:i/>
          <w:sz w:val="20"/>
        </w:rPr>
        <w:t>v</w:t>
      </w:r>
      <w:r>
        <w:rPr>
          <w:rFonts w:ascii="Arial"/>
          <w:i/>
          <w:spacing w:val="18"/>
          <w:sz w:val="20"/>
        </w:rPr>
        <w:t> </w:t>
      </w:r>
      <w:r>
        <w:rPr>
          <w:rFonts w:ascii="Arial"/>
          <w:i/>
          <w:sz w:val="20"/>
        </w:rPr>
        <w:t>Pilot</w:t>
      </w:r>
      <w:r>
        <w:rPr>
          <w:rFonts w:ascii="Arial"/>
          <w:i/>
          <w:spacing w:val="18"/>
          <w:sz w:val="20"/>
        </w:rPr>
        <w:t> </w:t>
      </w:r>
      <w:r>
        <w:rPr>
          <w:rFonts w:ascii="Arial"/>
          <w:i/>
          <w:sz w:val="20"/>
        </w:rPr>
        <w:t>Insurance</w:t>
      </w:r>
      <w:r>
        <w:rPr>
          <w:rFonts w:ascii="Arial"/>
          <w:i/>
          <w:spacing w:val="18"/>
          <w:sz w:val="20"/>
        </w:rPr>
        <w:t> </w:t>
      </w:r>
      <w:r>
        <w:rPr>
          <w:rFonts w:ascii="Arial"/>
          <w:i/>
          <w:sz w:val="20"/>
        </w:rPr>
        <w:t>Co</w:t>
      </w:r>
      <w:r>
        <w:rPr>
          <w:rFonts w:ascii="Arial"/>
          <w:i/>
          <w:spacing w:val="18"/>
          <w:sz w:val="20"/>
        </w:rPr>
        <w:t> </w:t>
      </w:r>
      <w:r>
        <w:rPr>
          <w:rFonts w:ascii="Arial"/>
          <w:i/>
          <w:sz w:val="20"/>
        </w:rPr>
        <w:t>(2002)</w:t>
      </w:r>
      <w:r>
        <w:rPr>
          <w:rFonts w:ascii="Arial"/>
          <w:i/>
          <w:spacing w:val="18"/>
          <w:sz w:val="20"/>
        </w:rPr>
        <w:t> </w:t>
      </w:r>
      <w:r>
        <w:rPr>
          <w:rFonts w:ascii="Arial"/>
          <w:i/>
          <w:sz w:val="20"/>
        </w:rPr>
        <w:t>209</w:t>
      </w:r>
      <w:r>
        <w:rPr>
          <w:rFonts w:ascii="Arial"/>
          <w:i/>
          <w:spacing w:val="18"/>
          <w:sz w:val="20"/>
        </w:rPr>
        <w:t> </w:t>
      </w:r>
      <w:r>
        <w:rPr>
          <w:rFonts w:ascii="Arial"/>
          <w:i/>
          <w:sz w:val="20"/>
        </w:rPr>
        <w:t>D.L.R.</w:t>
      </w:r>
      <w:r>
        <w:rPr>
          <w:rFonts w:ascii="Arial"/>
          <w:i/>
          <w:spacing w:val="18"/>
          <w:sz w:val="20"/>
        </w:rPr>
        <w:t> </w:t>
      </w:r>
      <w:r>
        <w:rPr>
          <w:rFonts w:ascii="Arial"/>
          <w:i/>
          <w:sz w:val="20"/>
        </w:rPr>
        <w:t>(4th)</w:t>
      </w:r>
      <w:r>
        <w:rPr>
          <w:rFonts w:ascii="Arial"/>
          <w:i/>
          <w:spacing w:val="18"/>
          <w:sz w:val="20"/>
        </w:rPr>
        <w:t> </w:t>
      </w:r>
      <w:r>
        <w:rPr>
          <w:rFonts w:ascii="Arial"/>
          <w:i/>
          <w:sz w:val="20"/>
        </w:rPr>
        <w:t>257</w:t>
      </w:r>
      <w:r>
        <w:rPr>
          <w:rFonts w:ascii="Arial"/>
          <w:i/>
          <w:spacing w:val="17"/>
          <w:sz w:val="20"/>
        </w:rPr>
        <w:t> </w:t>
      </w:r>
      <w:r>
        <w:rPr>
          <w:sz w:val="20"/>
        </w:rPr>
        <w:t>(noted</w:t>
      </w:r>
      <w:r>
        <w:rPr>
          <w:spacing w:val="18"/>
          <w:sz w:val="20"/>
        </w:rPr>
        <w:t> </w:t>
      </w:r>
      <w:r>
        <w:rPr>
          <w:spacing w:val="-5"/>
          <w:sz w:val="20"/>
        </w:rPr>
        <w:t>in</w:t>
      </w:r>
    </w:p>
    <w:p>
      <w:pPr>
        <w:pStyle w:val="BodyText"/>
        <w:spacing w:line="224" w:lineRule="exact"/>
        <w:ind w:left="705"/>
        <w:jc w:val="both"/>
      </w:pPr>
      <w:r>
        <w:rPr/>
        <w:t>119 (2003) L.Q.R. </w:t>
      </w:r>
      <w:r>
        <w:rPr>
          <w:spacing w:val="-4"/>
        </w:rPr>
        <w:t>20).</w:t>
      </w:r>
    </w:p>
    <w:p>
      <w:pPr>
        <w:pStyle w:val="BodyText"/>
        <w:spacing w:before="9"/>
      </w:pPr>
    </w:p>
    <w:p>
      <w:pPr>
        <w:spacing w:line="235" w:lineRule="auto" w:before="0"/>
        <w:ind w:left="705" w:right="167" w:hanging="541"/>
        <w:jc w:val="both"/>
        <w:rPr>
          <w:sz w:val="20"/>
        </w:rPr>
      </w:pPr>
      <w:bookmarkStart w:name="_bookmark525" w:id="527"/>
      <w:bookmarkEnd w:id="527"/>
      <w:r>
        <w:rPr/>
      </w:r>
      <w:hyperlink w:history="true" w:anchor="_bookmark509">
        <w:r>
          <w:rPr>
            <w:color w:val="005DA1"/>
            <w:position w:val="5"/>
            <w:sz w:val="14"/>
            <w:u w:val="single" w:color="005DA1"/>
          </w:rPr>
          <w:t>271</w:t>
        </w:r>
      </w:hyperlink>
      <w:r>
        <w:rPr>
          <w:position w:val="5"/>
          <w:sz w:val="14"/>
        </w:rPr>
        <w:t>.</w:t>
      </w:r>
      <w:r>
        <w:rPr>
          <w:spacing w:val="80"/>
          <w:w w:val="150"/>
          <w:position w:val="5"/>
          <w:sz w:val="14"/>
        </w:rPr>
        <w:t> </w:t>
      </w:r>
      <w:r>
        <w:rPr>
          <w:sz w:val="20"/>
        </w:rPr>
        <w:t>See below, para.26–144. However, even in a tort case, aggravated damages in the sense of damages designed to compensate the successful claimant for distress and injury to </w:t>
      </w:r>
      <w:r>
        <w:rPr>
          <w:sz w:val="20"/>
        </w:rPr>
        <w:t>feelings caused by the defendant’s conduct cannot be awarded to a limited company: </w:t>
      </w:r>
      <w:r>
        <w:rPr>
          <w:rFonts w:ascii="Arial" w:hAnsi="Arial"/>
          <w:i/>
          <w:sz w:val="20"/>
        </w:rPr>
        <w:t>Eaton Mansions (Westminster) Ltd v Stinger Compania de Inversion SA [2013] EWCA Civ 1308, [2014] H.L.R. 4 </w:t>
      </w:r>
      <w:r>
        <w:rPr>
          <w:sz w:val="20"/>
        </w:rPr>
        <w:t>at [30].</w:t>
      </w:r>
    </w:p>
    <w:p>
      <w:pPr>
        <w:pStyle w:val="BodyText"/>
        <w:spacing w:before="4"/>
      </w:pPr>
    </w:p>
    <w:p>
      <w:pPr>
        <w:pStyle w:val="BodyText"/>
        <w:tabs>
          <w:tab w:pos="705" w:val="left" w:leader="none"/>
        </w:tabs>
        <w:ind w:left="165"/>
      </w:pPr>
      <w:bookmarkStart w:name="_bookmark526" w:id="528"/>
      <w:bookmarkEnd w:id="528"/>
      <w:r>
        <w:rPr/>
      </w:r>
      <w:hyperlink w:history="true" w:anchor="_bookmark510">
        <w:r>
          <w:rPr>
            <w:color w:val="005DA1"/>
            <w:spacing w:val="-4"/>
            <w:position w:val="5"/>
            <w:sz w:val="14"/>
            <w:u w:val="single" w:color="005DA1"/>
          </w:rPr>
          <w:t>272</w:t>
        </w:r>
      </w:hyperlink>
      <w:r>
        <w:rPr>
          <w:spacing w:val="-4"/>
          <w:position w:val="5"/>
          <w:sz w:val="14"/>
        </w:rPr>
        <w:t>.</w:t>
      </w:r>
      <w:r>
        <w:rPr>
          <w:position w:val="5"/>
          <w:sz w:val="14"/>
        </w:rPr>
        <w:tab/>
      </w:r>
      <w:r>
        <w:rPr/>
        <w:t>See below, paras 26-147—26-</w:t>
      </w:r>
      <w:r>
        <w:rPr>
          <w:spacing w:val="-4"/>
        </w:rPr>
        <w:t>148.</w:t>
      </w:r>
    </w:p>
    <w:p>
      <w:pPr>
        <w:pStyle w:val="BodyText"/>
        <w:spacing w:after="0"/>
        <w:sectPr>
          <w:headerReference w:type="default" r:id="rId21"/>
          <w:pgSz w:w="11900" w:h="16840"/>
          <w:pgMar w:header="971" w:footer="0" w:top="1300" w:bottom="280" w:left="1275" w:right="1275"/>
          <w:pgNumType w:start="2"/>
        </w:sectPr>
      </w:pPr>
    </w:p>
    <w:p>
      <w:pPr>
        <w:tabs>
          <w:tab w:pos="705" w:val="left" w:leader="none"/>
        </w:tabs>
        <w:spacing w:before="166"/>
        <w:ind w:left="165" w:right="0" w:firstLine="0"/>
        <w:jc w:val="left"/>
        <w:rPr>
          <w:sz w:val="20"/>
        </w:rPr>
      </w:pPr>
      <w:hyperlink w:history="true" w:anchor="_bookmark511">
        <w:r>
          <w:rPr>
            <w:color w:val="005DA1"/>
            <w:spacing w:val="-4"/>
            <w:position w:val="5"/>
            <w:sz w:val="14"/>
            <w:u w:val="single" w:color="005DA1"/>
          </w:rPr>
          <w:t>273</w:t>
        </w:r>
      </w:hyperlink>
      <w:r>
        <w:rPr>
          <w:spacing w:val="-4"/>
          <w:position w:val="5"/>
          <w:sz w:val="14"/>
        </w:rPr>
        <w:t>.</w:t>
      </w:r>
      <w:r>
        <w:rPr>
          <w:position w:val="5"/>
          <w:sz w:val="14"/>
        </w:rPr>
        <w:tab/>
      </w:r>
      <w:r>
        <w:rPr>
          <w:rFonts w:ascii="Arial" w:hAnsi="Arial"/>
          <w:i/>
          <w:sz w:val="20"/>
        </w:rPr>
        <w:t>Rookes v Barnard [1964] A.C. 1129, </w:t>
      </w:r>
      <w:r>
        <w:rPr>
          <w:rFonts w:ascii="Arial" w:hAnsi="Arial"/>
          <w:i/>
          <w:spacing w:val="-2"/>
          <w:sz w:val="20"/>
        </w:rPr>
        <w:t>1225–1226</w:t>
      </w:r>
      <w:r>
        <w:rPr>
          <w:spacing w:val="-2"/>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527" w:id="529"/>
      <w:bookmarkEnd w:id="529"/>
      <w:r>
        <w:rPr/>
      </w:r>
      <w:hyperlink w:history="true" w:anchor="_bookmark512">
        <w:r>
          <w:rPr>
            <w:color w:val="005DA1"/>
            <w:spacing w:val="-4"/>
            <w:position w:val="5"/>
            <w:sz w:val="14"/>
            <w:u w:val="single" w:color="005DA1"/>
          </w:rPr>
          <w:t>274</w:t>
        </w:r>
      </w:hyperlink>
      <w:r>
        <w:rPr>
          <w:spacing w:val="-4"/>
          <w:position w:val="5"/>
          <w:sz w:val="14"/>
        </w:rPr>
        <w:t>.</w:t>
      </w:r>
      <w:r>
        <w:rPr>
          <w:position w:val="5"/>
          <w:sz w:val="14"/>
        </w:rPr>
        <w:tab/>
      </w:r>
      <w:r>
        <w:rPr>
          <w:sz w:val="20"/>
        </w:rPr>
        <w:t>In </w:t>
      </w:r>
      <w:r>
        <w:rPr>
          <w:rFonts w:ascii="Arial"/>
          <w:i/>
          <w:sz w:val="20"/>
        </w:rPr>
        <w:t>Kuddus</w:t>
      </w:r>
      <w:r>
        <w:rPr>
          <w:rFonts w:ascii="Arial"/>
          <w:i/>
          <w:spacing w:val="2"/>
          <w:sz w:val="20"/>
        </w:rPr>
        <w:t> </w:t>
      </w:r>
      <w:r>
        <w:rPr>
          <w:rFonts w:ascii="Arial"/>
          <w:i/>
          <w:sz w:val="20"/>
        </w:rPr>
        <w:t>v</w:t>
      </w:r>
      <w:r>
        <w:rPr>
          <w:rFonts w:ascii="Arial"/>
          <w:i/>
          <w:spacing w:val="2"/>
          <w:sz w:val="20"/>
        </w:rPr>
        <w:t> </w:t>
      </w:r>
      <w:r>
        <w:rPr>
          <w:rFonts w:ascii="Arial"/>
          <w:i/>
          <w:sz w:val="20"/>
        </w:rPr>
        <w:t>Chief</w:t>
      </w:r>
      <w:r>
        <w:rPr>
          <w:rFonts w:ascii="Arial"/>
          <w:i/>
          <w:spacing w:val="2"/>
          <w:sz w:val="20"/>
        </w:rPr>
        <w:t> </w:t>
      </w:r>
      <w:r>
        <w:rPr>
          <w:rFonts w:ascii="Arial"/>
          <w:i/>
          <w:sz w:val="20"/>
        </w:rPr>
        <w:t>Constable</w:t>
      </w:r>
      <w:r>
        <w:rPr>
          <w:rFonts w:ascii="Arial"/>
          <w:i/>
          <w:spacing w:val="2"/>
          <w:sz w:val="20"/>
        </w:rPr>
        <w:t> </w:t>
      </w:r>
      <w:r>
        <w:rPr>
          <w:rFonts w:ascii="Arial"/>
          <w:i/>
          <w:sz w:val="20"/>
        </w:rPr>
        <w:t>of</w:t>
      </w:r>
      <w:r>
        <w:rPr>
          <w:rFonts w:ascii="Arial"/>
          <w:i/>
          <w:spacing w:val="2"/>
          <w:sz w:val="20"/>
        </w:rPr>
        <w:t> </w:t>
      </w:r>
      <w:r>
        <w:rPr>
          <w:rFonts w:ascii="Arial"/>
          <w:i/>
          <w:sz w:val="20"/>
        </w:rPr>
        <w:t>Leicestershire</w:t>
      </w:r>
      <w:r>
        <w:rPr>
          <w:rFonts w:ascii="Arial"/>
          <w:i/>
          <w:spacing w:val="2"/>
          <w:sz w:val="20"/>
        </w:rPr>
        <w:t> </w:t>
      </w:r>
      <w:r>
        <w:rPr>
          <w:rFonts w:ascii="Arial"/>
          <w:i/>
          <w:sz w:val="20"/>
        </w:rPr>
        <w:t>Constabulary</w:t>
      </w:r>
      <w:r>
        <w:rPr>
          <w:rFonts w:ascii="Arial"/>
          <w:i/>
          <w:spacing w:val="2"/>
          <w:sz w:val="20"/>
        </w:rPr>
        <w:t> </w:t>
      </w:r>
      <w:r>
        <w:rPr>
          <w:rFonts w:ascii="Arial"/>
          <w:i/>
          <w:sz w:val="20"/>
        </w:rPr>
        <w:t>[2001]</w:t>
      </w:r>
      <w:r>
        <w:rPr>
          <w:rFonts w:ascii="Arial"/>
          <w:i/>
          <w:spacing w:val="2"/>
          <w:sz w:val="20"/>
        </w:rPr>
        <w:t> </w:t>
      </w:r>
      <w:r>
        <w:rPr>
          <w:rFonts w:ascii="Arial"/>
          <w:i/>
          <w:sz w:val="20"/>
        </w:rPr>
        <w:t>UKHL</w:t>
      </w:r>
      <w:r>
        <w:rPr>
          <w:rFonts w:ascii="Arial"/>
          <w:i/>
          <w:spacing w:val="2"/>
          <w:sz w:val="20"/>
        </w:rPr>
        <w:t> </w:t>
      </w:r>
      <w:r>
        <w:rPr>
          <w:rFonts w:ascii="Arial"/>
          <w:i/>
          <w:sz w:val="20"/>
        </w:rPr>
        <w:t>29,</w:t>
      </w:r>
      <w:r>
        <w:rPr>
          <w:rFonts w:ascii="Arial"/>
          <w:i/>
          <w:spacing w:val="2"/>
          <w:sz w:val="20"/>
        </w:rPr>
        <w:t> </w:t>
      </w:r>
      <w:r>
        <w:rPr>
          <w:rFonts w:ascii="Arial"/>
          <w:i/>
          <w:sz w:val="20"/>
        </w:rPr>
        <w:t>[2002]</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pacing w:val="-5"/>
          <w:sz w:val="20"/>
        </w:rPr>
        <w:t>122</w:t>
      </w:r>
    </w:p>
    <w:p>
      <w:pPr>
        <w:pStyle w:val="BodyText"/>
        <w:spacing w:line="235" w:lineRule="auto" w:before="1"/>
        <w:ind w:left="705" w:right="167"/>
        <w:jc w:val="both"/>
      </w:pPr>
      <w:r>
        <w:rPr/>
        <w:t>, Lord Nicholls (at [67]) and Lord Scott (at [109]) had said that the growth of remedies for unjust enrichment mean that the defendant’s profit may be removed without an award of </w:t>
      </w:r>
      <w:r>
        <w:rPr/>
        <w:t>exemplary damages. Lord Scott referred to </w:t>
      </w:r>
      <w:r>
        <w:rPr>
          <w:rFonts w:ascii="Arial" w:hAnsi="Arial"/>
          <w:i/>
        </w:rPr>
        <w:t>A-G v Blake</w:t>
      </w:r>
      <w:r>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4. - Measures that are not Strictly </w:t>
      </w:r>
      <w:r>
        <w:rPr>
          <w:rFonts w:ascii="Arial"/>
          <w:b/>
          <w:spacing w:val="-2"/>
          <w:sz w:val="24"/>
        </w:rPr>
        <w:t>Compensatory</w:t>
      </w:r>
    </w:p>
    <w:p>
      <w:pPr>
        <w:spacing w:before="194"/>
        <w:ind w:left="1918" w:right="0" w:firstLine="0"/>
        <w:jc w:val="left"/>
        <w:rPr>
          <w:rFonts w:ascii="Arial"/>
          <w:b/>
          <w:sz w:val="24"/>
        </w:rPr>
      </w:pPr>
      <w:r>
        <w:rPr>
          <w:rFonts w:ascii="Arial"/>
          <w:b/>
          <w:sz w:val="24"/>
        </w:rPr>
        <w:t>(c) - Depriving the Defendant of Part of his </w:t>
      </w:r>
      <w:r>
        <w:rPr>
          <w:rFonts w:ascii="Arial"/>
          <w:b/>
          <w:spacing w:val="-2"/>
          <w:sz w:val="24"/>
        </w:rPr>
        <w:t>Profit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Depriving the defendant of profit made through his </w:t>
      </w:r>
      <w:r>
        <w:rPr>
          <w:rFonts w:ascii="Arial"/>
          <w:b/>
          <w:spacing w:val="-2"/>
          <w:sz w:val="18"/>
        </w:rPr>
        <w:t>breach</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046</w:t>
      </w:r>
    </w:p>
    <w:p>
      <w:pPr>
        <w:pStyle w:val="BodyText"/>
        <w:spacing w:line="235" w:lineRule="auto" w:before="202"/>
        <w:ind w:left="165" w:right="167"/>
        <w:jc w:val="both"/>
      </w:pPr>
      <w:bookmarkStart w:name="_bookmark528" w:id="530"/>
      <w:bookmarkEnd w:id="530"/>
      <w:r>
        <w:rPr/>
      </w:r>
      <w:r>
        <w:rPr/>
        <w:t>Until</w:t>
      </w:r>
      <w:r>
        <w:rPr>
          <w:spacing w:val="-5"/>
        </w:rPr>
        <w:t> </w:t>
      </w:r>
      <w:r>
        <w:rPr>
          <w:rFonts w:ascii="Arial" w:hAnsi="Arial"/>
          <w:i/>
        </w:rPr>
        <w:t>Blake</w:t>
      </w:r>
      <w:r>
        <w:rPr>
          <w:rFonts w:ascii="Arial" w:hAnsi="Arial"/>
          <w:i/>
          <w:spacing w:val="-14"/>
        </w:rPr>
        <w:t> </w:t>
      </w:r>
      <w:r>
        <w:rPr/>
        <w:t>’s case </w:t>
      </w:r>
      <w:r>
        <w:rPr>
          <w:color w:val="005DA1"/>
          <w:u w:val="single" w:color="005DA1"/>
          <w:vertAlign w:val="superscript"/>
        </w:rPr>
        <w:t>275</w:t>
      </w:r>
      <w:r>
        <w:rPr>
          <w:color w:val="005DA1"/>
          <w:vertAlign w:val="baseline"/>
        </w:rPr>
        <w:t> </w:t>
      </w:r>
      <w:r>
        <w:rPr>
          <w:vertAlign w:val="baseline"/>
        </w:rPr>
        <w:t>in 2000, the only recognised exceptions to the principle that, when assessing </w:t>
      </w:r>
      <w:bookmarkStart w:name="_bookmark529" w:id="531"/>
      <w:bookmarkEnd w:id="531"/>
      <w:r>
        <w:rPr>
          <w:vertAlign w:val="baseline"/>
        </w:rPr>
        <w:t>damages</w:t>
      </w:r>
      <w:r>
        <w:rPr>
          <w:vertAlign w:val="baseline"/>
        </w:rPr>
        <w:t> for breach of contract, the court is “concerned with the [claimant’s] loss and not with </w:t>
      </w:r>
      <w:r>
        <w:rPr>
          <w:vertAlign w:val="baseline"/>
        </w:rPr>
        <w:t>the [defendant’s] profit” </w:t>
      </w:r>
      <w:r>
        <w:rPr>
          <w:color w:val="005DA1"/>
          <w:u w:val="single" w:color="005DA1"/>
          <w:vertAlign w:val="superscript"/>
        </w:rPr>
        <w:t>276</w:t>
      </w:r>
      <w:r>
        <w:rPr>
          <w:color w:val="005DA1"/>
          <w:vertAlign w:val="baseline"/>
        </w:rPr>
        <w:t> </w:t>
      </w:r>
      <w:r>
        <w:rPr>
          <w:vertAlign w:val="baseline"/>
        </w:rPr>
        <w:t>were where the claimant had a remedy in restitution or could enforce a fiduciary obligation; or where he had a remedy in tort or had an interest in property used by the defendant without permission. In these two types of case, the claimant may be awarded damages on </w:t>
      </w:r>
      <w:bookmarkStart w:name="_bookmark530" w:id="532"/>
      <w:bookmarkEnd w:id="532"/>
      <w:r>
        <w:rPr>
          <w:vertAlign w:val="baseline"/>
        </w:rPr>
        <w:t>a</w:t>
      </w:r>
      <w:r>
        <w:rPr>
          <w:vertAlign w:val="baseline"/>
        </w:rPr>
        <w:t> broad measure which is not necessarily related to a real loss he has suffered. They are briefly reviewed in turn. </w:t>
      </w:r>
      <w:r>
        <w:rPr>
          <w:color w:val="005DA1"/>
          <w:u w:val="single" w:color="005DA1"/>
          <w:vertAlign w:val="superscript"/>
        </w:rPr>
        <w:t>277</w:t>
      </w:r>
    </w:p>
    <w:p>
      <w:pPr>
        <w:pStyle w:val="BodyText"/>
      </w:pPr>
    </w:p>
    <w:p>
      <w:pPr>
        <w:pStyle w:val="BodyText"/>
        <w:spacing w:before="36"/>
      </w:pPr>
    </w:p>
    <w:p>
      <w:pPr>
        <w:spacing w:before="0"/>
        <w:ind w:left="164" w:right="0" w:firstLine="0"/>
        <w:jc w:val="left"/>
        <w:rPr>
          <w:rFonts w:ascii="Arial"/>
          <w:b/>
          <w:sz w:val="18"/>
        </w:rPr>
      </w:pPr>
      <w:r>
        <w:rPr>
          <w:rFonts w:ascii="Arial"/>
          <w:b/>
          <w:sz w:val="18"/>
        </w:rPr>
        <w:t>Restitutionary </w:t>
      </w:r>
      <w:r>
        <w:rPr>
          <w:rFonts w:ascii="Arial"/>
          <w:b/>
          <w:spacing w:val="-2"/>
          <w:sz w:val="18"/>
        </w:rPr>
        <w:t>remedies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26-</w:t>
      </w:r>
      <w:r>
        <w:rPr>
          <w:rFonts w:ascii="Arial"/>
          <w:b/>
          <w:spacing w:val="-5"/>
          <w:sz w:val="24"/>
        </w:rPr>
        <w:t>047</w:t>
      </w:r>
    </w:p>
    <w:p>
      <w:pPr>
        <w:pStyle w:val="BodyText"/>
        <w:spacing w:line="235" w:lineRule="auto" w:before="202"/>
        <w:ind w:left="165" w:right="167"/>
        <w:jc w:val="both"/>
      </w:pPr>
      <w:bookmarkStart w:name="_bookmark531" w:id="533"/>
      <w:bookmarkEnd w:id="533"/>
      <w:r>
        <w:rPr/>
      </w:r>
      <w:bookmarkStart w:name="_bookmark532" w:id="534"/>
      <w:bookmarkEnd w:id="534"/>
      <w:r>
        <w:rPr/>
      </w:r>
      <w:r>
        <w:rPr/>
        <w:t>Restitutionary remedies may be used to deprive the defendant of a profit, </w:t>
      </w:r>
      <w:r>
        <w:rPr>
          <w:color w:val="005DA1"/>
          <w:u w:val="single" w:color="005DA1"/>
          <w:vertAlign w:val="superscript"/>
        </w:rPr>
        <w:t>278</w:t>
      </w:r>
      <w:r>
        <w:rPr>
          <w:color w:val="005DA1"/>
          <w:vertAlign w:val="baseline"/>
        </w:rPr>
        <w:t> </w:t>
      </w:r>
      <w:r>
        <w:rPr>
          <w:vertAlign w:val="baseline"/>
        </w:rPr>
        <w:t>e.g. to deprive an agent </w:t>
      </w:r>
      <w:bookmarkStart w:name="_bookmark533" w:id="535"/>
      <w:bookmarkEnd w:id="535"/>
      <w:r>
        <w:rPr>
          <w:vertAlign w:val="baseline"/>
        </w:rPr>
        <w:t>of</w:t>
      </w:r>
      <w:r>
        <w:rPr>
          <w:vertAlign w:val="baseline"/>
        </w:rPr>
        <w:t> a bribe or secret profit </w:t>
      </w:r>
      <w:r>
        <w:rPr>
          <w:color w:val="005DA1"/>
          <w:u w:val="single" w:color="005DA1"/>
          <w:vertAlign w:val="superscript"/>
        </w:rPr>
        <w:t>279</w:t>
      </w:r>
      <w:r>
        <w:rPr>
          <w:color w:val="005DA1"/>
          <w:vertAlign w:val="baseline"/>
        </w:rPr>
        <w:t> </w:t>
      </w:r>
      <w:r>
        <w:rPr>
          <w:vertAlign w:val="baseline"/>
        </w:rPr>
        <w:t>or an employee of profits arising from misuse of confidential </w:t>
      </w:r>
      <w:r>
        <w:rPr>
          <w:vertAlign w:val="baseline"/>
        </w:rPr>
        <w:t>information. </w:t>
      </w:r>
      <w:r>
        <w:rPr>
          <w:color w:val="005DA1"/>
          <w:u w:val="single" w:color="005DA1"/>
          <w:vertAlign w:val="superscript"/>
        </w:rPr>
        <w:t>280</w:t>
      </w:r>
      <w:r>
        <w:rPr>
          <w:color w:val="005DA1"/>
          <w:spacing w:val="-4"/>
          <w:vertAlign w:val="baseline"/>
        </w:rPr>
        <w:t> </w:t>
      </w:r>
      <w:bookmarkStart w:name="_bookmark534" w:id="536"/>
      <w:bookmarkEnd w:id="536"/>
      <w:r>
        <w:rPr>
          <w:color w:val="005DA1"/>
          <w:vertAlign w:val="baseline"/>
        </w:rPr>
      </w:r>
      <w:r>
        <w:rPr>
          <w:vertAlign w:val="baseline"/>
        </w:rPr>
        <w:t>The</w:t>
      </w:r>
      <w:r>
        <w:rPr>
          <w:spacing w:val="-4"/>
          <w:vertAlign w:val="baseline"/>
        </w:rPr>
        <w:t> </w:t>
      </w:r>
      <w:r>
        <w:rPr>
          <w:vertAlign w:val="baseline"/>
        </w:rPr>
        <w:t>equitable</w:t>
      </w:r>
      <w:r>
        <w:rPr>
          <w:spacing w:val="-4"/>
          <w:vertAlign w:val="baseline"/>
        </w:rPr>
        <w:t> </w:t>
      </w:r>
      <w:r>
        <w:rPr>
          <w:vertAlign w:val="baseline"/>
        </w:rPr>
        <w:t>proprietary</w:t>
      </w:r>
      <w:r>
        <w:rPr>
          <w:spacing w:val="-4"/>
          <w:vertAlign w:val="baseline"/>
        </w:rPr>
        <w:t> </w:t>
      </w:r>
      <w:r>
        <w:rPr>
          <w:vertAlign w:val="baseline"/>
        </w:rPr>
        <w:t>remedies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holding</w:t>
      </w:r>
      <w:r>
        <w:rPr>
          <w:spacing w:val="-4"/>
          <w:vertAlign w:val="baseline"/>
        </w:rPr>
        <w:t> </w:t>
      </w:r>
      <w:r>
        <w:rPr>
          <w:vertAlign w:val="baseline"/>
        </w:rPr>
        <w:t>profits</w:t>
      </w:r>
      <w:r>
        <w:rPr>
          <w:spacing w:val="-4"/>
          <w:vertAlign w:val="baseline"/>
        </w:rPr>
        <w:t> </w:t>
      </w:r>
      <w:r>
        <w:rPr>
          <w:vertAlign w:val="baseline"/>
        </w:rPr>
        <w:t>on</w:t>
      </w:r>
      <w:r>
        <w:rPr>
          <w:spacing w:val="-4"/>
          <w:vertAlign w:val="baseline"/>
        </w:rPr>
        <w:t> </w:t>
      </w:r>
      <w:r>
        <w:rPr>
          <w:vertAlign w:val="baseline"/>
        </w:rPr>
        <w:t>trust</w:t>
      </w:r>
      <w:r>
        <w:rPr>
          <w:spacing w:val="-4"/>
          <w:vertAlign w:val="baseline"/>
        </w:rPr>
        <w:t> </w:t>
      </w:r>
      <w:r>
        <w:rPr>
          <w:vertAlign w:val="baseline"/>
        </w:rPr>
        <w:t>or</w:t>
      </w:r>
      <w:r>
        <w:rPr>
          <w:spacing w:val="-4"/>
          <w:vertAlign w:val="baseline"/>
        </w:rPr>
        <w:t> </w:t>
      </w:r>
      <w:r>
        <w:rPr>
          <w:vertAlign w:val="baseline"/>
        </w:rPr>
        <w:t>imposing</w:t>
      </w:r>
      <w:r>
        <w:rPr>
          <w:spacing w:val="-4"/>
          <w:vertAlign w:val="baseline"/>
        </w:rPr>
        <w:t> </w:t>
      </w:r>
      <w:r>
        <w:rPr>
          <w:vertAlign w:val="baseline"/>
        </w:rPr>
        <w:t>a</w:t>
      </w:r>
      <w:r>
        <w:rPr>
          <w:spacing w:val="-4"/>
          <w:vertAlign w:val="baseline"/>
        </w:rPr>
        <w:t> </w:t>
      </w:r>
      <w:r>
        <w:rPr>
          <w:vertAlign w:val="baseline"/>
        </w:rPr>
        <w:t>lien</w:t>
      </w:r>
      <w:r>
        <w:rPr>
          <w:spacing w:val="-5"/>
          <w:vertAlign w:val="baseline"/>
        </w:rPr>
        <w:t> </w:t>
      </w:r>
      <w:r>
        <w:rPr>
          <w:color w:val="005DA1"/>
          <w:u w:val="single" w:color="005DA1"/>
          <w:vertAlign w:val="superscript"/>
        </w:rPr>
        <w:t>281</w:t>
      </w:r>
      <w:r>
        <w:rPr>
          <w:color w:val="005DA1"/>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wide use of the remedial device of a constructive trust, </w:t>
      </w:r>
      <w:r>
        <w:rPr>
          <w:color w:val="005DA1"/>
          <w:u w:val="single" w:color="005DA1"/>
          <w:vertAlign w:val="superscript"/>
        </w:rPr>
        <w:t>282</w:t>
      </w:r>
      <w:r>
        <w:rPr>
          <w:color w:val="005DA1"/>
          <w:vertAlign w:val="baseline"/>
        </w:rPr>
        <w:t> </w:t>
      </w:r>
      <w:r>
        <w:rPr>
          <w:vertAlign w:val="baseline"/>
        </w:rPr>
        <w:t>have also been used to deprive a defendant of </w:t>
      </w:r>
      <w:bookmarkStart w:name="_bookmark535" w:id="537"/>
      <w:bookmarkEnd w:id="537"/>
      <w:r>
        <w:rPr>
          <w:vertAlign w:val="baseline"/>
        </w:rPr>
        <w:t>his</w:t>
      </w:r>
      <w:r>
        <w:rPr>
          <w:vertAlign w:val="baseline"/>
        </w:rPr>
        <w:t> profit. So the Privy Council held a defendant liable to account for the profits made through the wrongful use of a telegraph wire. </w:t>
      </w:r>
      <w:r>
        <w:rPr>
          <w:color w:val="005DA1"/>
          <w:u w:val="single" w:color="005DA1"/>
          <w:vertAlign w:val="superscript"/>
        </w:rPr>
        <w:t>283</w:t>
      </w:r>
      <w:r>
        <w:rPr>
          <w:color w:val="005DA1"/>
          <w:vertAlign w:val="baseline"/>
        </w:rPr>
        <w:t> </w:t>
      </w:r>
      <w:r>
        <w:rPr>
          <w:vertAlign w:val="baseline"/>
        </w:rPr>
        <w:t>The House of Lords in </w:t>
      </w:r>
      <w:r>
        <w:rPr>
          <w:rFonts w:ascii="Arial"/>
          <w:i/>
          <w:vertAlign w:val="baseline"/>
        </w:rPr>
        <w:t>Blake </w:t>
      </w:r>
      <w:r>
        <w:rPr>
          <w:color w:val="005DA1"/>
          <w:u w:val="single" w:color="005DA1"/>
          <w:vertAlign w:val="superscript"/>
        </w:rPr>
        <w:t>284</w:t>
      </w:r>
      <w:r>
        <w:rPr>
          <w:color w:val="005DA1"/>
          <w:vertAlign w:val="baseline"/>
        </w:rPr>
        <w:t> </w:t>
      </w:r>
      <w:r>
        <w:rPr>
          <w:vertAlign w:val="baseline"/>
        </w:rPr>
        <w:t>reviewed and approved the earlier cases on interference with rights of property at common law and equity mentioned in both this and the next paragraph.</w:t>
      </w:r>
    </w:p>
    <w:p>
      <w:pPr>
        <w:pStyle w:val="BodyText"/>
      </w:pPr>
    </w:p>
    <w:p>
      <w:pPr>
        <w:pStyle w:val="BodyText"/>
        <w:spacing w:before="36"/>
      </w:pPr>
    </w:p>
    <w:p>
      <w:pPr>
        <w:spacing w:before="0"/>
        <w:ind w:left="165" w:right="0" w:firstLine="0"/>
        <w:jc w:val="left"/>
        <w:rPr>
          <w:rFonts w:ascii="Arial"/>
          <w:b/>
          <w:sz w:val="18"/>
        </w:rPr>
      </w:pPr>
      <w:r>
        <w:rPr>
          <w:rFonts w:ascii="Arial"/>
          <w:b/>
          <w:sz w:val="18"/>
        </w:rPr>
        <w:t>Broad measures of damages in </w:t>
      </w:r>
      <w:r>
        <w:rPr>
          <w:rFonts w:ascii="Arial"/>
          <w:b/>
          <w:spacing w:val="-4"/>
          <w:sz w:val="18"/>
        </w:rPr>
        <w:t>tort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048</w:t>
      </w:r>
    </w:p>
    <w:p>
      <w:pPr>
        <w:pStyle w:val="BodyText"/>
        <w:spacing w:line="235" w:lineRule="auto" w:before="203"/>
        <w:ind w:left="164" w:right="167"/>
        <w:jc w:val="both"/>
      </w:pPr>
      <w:bookmarkStart w:name="_bookmark536" w:id="538"/>
      <w:bookmarkEnd w:id="538"/>
      <w:r>
        <w:rPr/>
      </w:r>
      <w:r>
        <w:rPr/>
        <w:t>In</w:t>
      </w:r>
      <w:r>
        <w:rPr>
          <w:spacing w:val="-3"/>
        </w:rPr>
        <w:t> </w:t>
      </w:r>
      <w:r>
        <w:rPr/>
        <w:t>tort,</w:t>
      </w:r>
      <w:r>
        <w:rPr>
          <w:spacing w:val="-3"/>
        </w:rPr>
        <w:t> </w:t>
      </w:r>
      <w:r>
        <w:rPr/>
        <w:t>damages</w:t>
      </w:r>
      <w:r>
        <w:rPr>
          <w:spacing w:val="-3"/>
        </w:rPr>
        <w:t> </w:t>
      </w:r>
      <w:r>
        <w:rPr/>
        <w:t>have</w:t>
      </w:r>
      <w:r>
        <w:rPr>
          <w:spacing w:val="-3"/>
        </w:rPr>
        <w:t> </w:t>
      </w:r>
      <w:r>
        <w:rPr/>
        <w:t>often</w:t>
      </w:r>
      <w:r>
        <w:rPr>
          <w:spacing w:val="-3"/>
        </w:rPr>
        <w:t> </w:t>
      </w:r>
      <w:r>
        <w:rPr/>
        <w:t>been</w:t>
      </w:r>
      <w:r>
        <w:rPr>
          <w:spacing w:val="-3"/>
        </w:rPr>
        <w:t> </w:t>
      </w:r>
      <w:r>
        <w:rPr/>
        <w:t>awarded</w:t>
      </w:r>
      <w:r>
        <w:rPr>
          <w:spacing w:val="-3"/>
        </w:rPr>
        <w:t> </w:t>
      </w:r>
      <w:r>
        <w:rPr/>
        <w:t>for</w:t>
      </w:r>
      <w:r>
        <w:rPr>
          <w:spacing w:val="-3"/>
        </w:rPr>
        <w:t> </w:t>
      </w:r>
      <w:r>
        <w:rPr/>
        <w:t>unauthorised</w:t>
      </w:r>
      <w:r>
        <w:rPr>
          <w:spacing w:val="-3"/>
        </w:rPr>
        <w:t> </w:t>
      </w:r>
      <w:r>
        <w:rPr/>
        <w:t>use</w:t>
      </w:r>
      <w:r>
        <w:rPr>
          <w:spacing w:val="-3"/>
        </w:rPr>
        <w:t> </w:t>
      </w:r>
      <w:r>
        <w:rPr/>
        <w:t>of</w:t>
      </w:r>
      <w:r>
        <w:rPr>
          <w:spacing w:val="-3"/>
        </w:rPr>
        <w:t> </w:t>
      </w:r>
      <w:r>
        <w:rPr/>
        <w:t>the</w:t>
      </w:r>
      <w:r>
        <w:rPr>
          <w:spacing w:val="-3"/>
        </w:rPr>
        <w:t> </w:t>
      </w:r>
      <w:r>
        <w:rPr/>
        <w:t>claimant’s</w:t>
      </w:r>
      <w:r>
        <w:rPr>
          <w:spacing w:val="-3"/>
        </w:rPr>
        <w:t> </w:t>
      </w:r>
      <w:r>
        <w:rPr/>
        <w:t>land.</w:t>
      </w:r>
      <w:r>
        <w:rPr>
          <w:spacing w:val="-4"/>
        </w:rPr>
        <w:t> </w:t>
      </w:r>
      <w:r>
        <w:rPr>
          <w:color w:val="005DA1"/>
          <w:u w:val="single" w:color="005DA1"/>
          <w:vertAlign w:val="superscript"/>
        </w:rPr>
        <w:t>285</w:t>
      </w:r>
      <w:r>
        <w:rPr>
          <w:color w:val="005DA1"/>
          <w:spacing w:val="-3"/>
          <w:vertAlign w:val="baseline"/>
        </w:rPr>
        <w:t> </w:t>
      </w:r>
      <w:r>
        <w:rPr>
          <w:vertAlign w:val="baseline"/>
        </w:rPr>
        <w:t>On</w:t>
      </w:r>
      <w:r>
        <w:rPr>
          <w:spacing w:val="-3"/>
          <w:vertAlign w:val="baseline"/>
        </w:rPr>
        <w:t> </w:t>
      </w:r>
      <w:r>
        <w:rPr>
          <w:vertAlign w:val="baseline"/>
        </w:rPr>
        <w:t>a</w:t>
      </w:r>
      <w:r>
        <w:rPr>
          <w:spacing w:val="-3"/>
          <w:vertAlign w:val="baseline"/>
        </w:rPr>
        <w:t> </w:t>
      </w:r>
      <w:r>
        <w:rPr>
          <w:vertAlign w:val="baseline"/>
        </w:rPr>
        <w:t>similar </w:t>
      </w:r>
      <w:bookmarkStart w:name="_bookmark537" w:id="539"/>
      <w:bookmarkEnd w:id="539"/>
      <w:r>
        <w:rPr>
          <w:vertAlign w:val="baseline"/>
        </w:rPr>
        <w:t>principle,</w:t>
      </w:r>
      <w:r>
        <w:rPr>
          <w:vertAlign w:val="baseline"/>
        </w:rPr>
        <w:t> damages for retaining goods or buildings beyond the period of a letting to the defendant </w:t>
      </w:r>
      <w:r>
        <w:rPr>
          <w:vertAlign w:val="baseline"/>
        </w:rPr>
        <w:t>are </w:t>
      </w:r>
      <w:bookmarkStart w:name="_bookmark538" w:id="540"/>
      <w:bookmarkEnd w:id="540"/>
      <w:r>
        <w:rPr>
          <w:vertAlign w:val="baseline"/>
        </w:rPr>
        <w:t>assessed</w:t>
      </w:r>
      <w:r>
        <w:rPr>
          <w:vertAlign w:val="baseline"/>
        </w:rPr>
        <w:t> at the ordinary letting value of their use </w:t>
      </w:r>
      <w:r>
        <w:rPr>
          <w:color w:val="005DA1"/>
          <w:u w:val="single" w:color="005DA1"/>
          <w:vertAlign w:val="superscript"/>
        </w:rPr>
        <w:t>286</w:t>
      </w:r>
      <w:r>
        <w:rPr>
          <w:vertAlign w:val="baseline"/>
        </w:rPr>
        <w:t>; the same approach has been used in assessing damages against a buyer who refused to remove the goods from the seller’s premises. </w:t>
      </w:r>
      <w:r>
        <w:rPr>
          <w:color w:val="005DA1"/>
          <w:u w:val="single" w:color="005DA1"/>
          <w:vertAlign w:val="superscript"/>
        </w:rPr>
        <w:t>287</w:t>
      </w:r>
      <w:r>
        <w:rPr>
          <w:color w:val="005DA1"/>
          <w:vertAlign w:val="baseline"/>
        </w:rPr>
        <w:t> </w:t>
      </w:r>
      <w:r>
        <w:rPr>
          <w:vertAlign w:val="baseline"/>
        </w:rPr>
        <w:t>It is not </w:t>
      </w:r>
      <w:bookmarkStart w:name="_bookmark539" w:id="541"/>
      <w:bookmarkEnd w:id="541"/>
      <w:r>
        <w:rPr>
          <w:vertAlign w:val="baseline"/>
        </w:rPr>
        <w:t>always</w:t>
      </w:r>
      <w:r>
        <w:rPr>
          <w:vertAlign w:val="baseline"/>
        </w:rPr>
        <w:t> the case that the claimant would have used the goods or land himself or have rented them to someone</w:t>
      </w:r>
      <w:r>
        <w:rPr>
          <w:spacing w:val="-1"/>
          <w:vertAlign w:val="baseline"/>
        </w:rPr>
        <w:t> </w:t>
      </w:r>
      <w:r>
        <w:rPr>
          <w:vertAlign w:val="baseline"/>
        </w:rPr>
        <w:t>else</w:t>
      </w:r>
      <w:r>
        <w:rPr>
          <w:spacing w:val="-1"/>
          <w:vertAlign w:val="baseline"/>
        </w:rPr>
        <w:t> </w:t>
      </w:r>
      <w:r>
        <w:rPr>
          <w:color w:val="005DA1"/>
          <w:u w:val="single" w:color="005DA1"/>
          <w:vertAlign w:val="superscript"/>
        </w:rPr>
        <w:t>288</w:t>
      </w:r>
      <w:r>
        <w:rPr>
          <w:vertAlign w:val="baseline"/>
        </w:rPr>
        <w: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may</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suffered</w:t>
      </w:r>
      <w:r>
        <w:rPr>
          <w:spacing w:val="-1"/>
          <w:vertAlign w:val="baseline"/>
        </w:rPr>
        <w:t> </w:t>
      </w:r>
      <w:r>
        <w:rPr>
          <w:vertAlign w:val="baseline"/>
        </w:rPr>
        <w:t>any</w:t>
      </w:r>
      <w:r>
        <w:rPr>
          <w:spacing w:val="-1"/>
          <w:vertAlign w:val="baseline"/>
        </w:rPr>
        <w:t> </w:t>
      </w:r>
      <w:r>
        <w:rPr>
          <w:vertAlign w:val="baseline"/>
        </w:rPr>
        <w:t>loss</w:t>
      </w:r>
      <w:r>
        <w:rPr>
          <w:spacing w:val="-1"/>
          <w:vertAlign w:val="baseline"/>
        </w:rPr>
        <w:t> </w:t>
      </w:r>
      <w:r>
        <w:rPr>
          <w:vertAlign w:val="baseline"/>
        </w:rPr>
        <w:t>at</w:t>
      </w:r>
      <w:r>
        <w:rPr>
          <w:spacing w:val="-1"/>
          <w:vertAlign w:val="baseline"/>
        </w:rPr>
        <w:t> </w:t>
      </w:r>
      <w:r>
        <w:rPr>
          <w:vertAlign w:val="baseline"/>
        </w:rPr>
        <w:t>all.</w:t>
      </w:r>
      <w:r>
        <w:rPr>
          <w:spacing w:val="-1"/>
          <w:vertAlign w:val="baseline"/>
        </w:rPr>
        <w:t> </w:t>
      </w:r>
      <w:r>
        <w:rPr>
          <w:vertAlign w:val="baseline"/>
        </w:rPr>
        <w:t>A</w:t>
      </w:r>
      <w:r>
        <w:rPr>
          <w:spacing w:val="-1"/>
          <w:vertAlign w:val="baseline"/>
        </w:rPr>
        <w:t> </w:t>
      </w:r>
      <w:r>
        <w:rPr>
          <w:vertAlign w:val="baseline"/>
        </w:rPr>
        <w:t>famous</w:t>
      </w:r>
      <w:r>
        <w:rPr>
          <w:spacing w:val="-1"/>
          <w:vertAlign w:val="baseline"/>
        </w:rPr>
        <w:t> </w:t>
      </w:r>
      <w:r>
        <w:rPr>
          <w:vertAlign w:val="baseline"/>
        </w:rPr>
        <w:t>example</w:t>
      </w:r>
      <w:r>
        <w:rPr>
          <w:spacing w:val="-1"/>
          <w:vertAlign w:val="baseline"/>
        </w:rPr>
        <w:t> </w:t>
      </w:r>
      <w:r>
        <w:rPr>
          <w:vertAlign w:val="baseline"/>
        </w:rPr>
        <w:t>was</w:t>
      </w:r>
      <w:r>
        <w:rPr>
          <w:spacing w:val="-1"/>
          <w:vertAlign w:val="baseline"/>
        </w:rPr>
        <w:t> </w:t>
      </w:r>
      <w:r>
        <w:rPr>
          <w:vertAlign w:val="baseline"/>
        </w:rPr>
        <w:t>given</w:t>
      </w:r>
      <w:r>
        <w:rPr>
          <w:spacing w:val="-1"/>
          <w:vertAlign w:val="baseline"/>
        </w:rPr>
        <w:t> </w:t>
      </w:r>
      <w:r>
        <w:rPr>
          <w:vertAlign w:val="baseline"/>
        </w:rPr>
        <w:t>by </w:t>
      </w:r>
      <w:bookmarkStart w:name="_bookmark540" w:id="542"/>
      <w:bookmarkEnd w:id="542"/>
      <w:r>
        <w:rPr>
          <w:vertAlign w:val="baseline"/>
        </w:rPr>
        <w:t>Lord</w:t>
      </w:r>
      <w:r>
        <w:rPr>
          <w:vertAlign w:val="baseline"/>
        </w:rPr>
        <w:t> Shaw: the owner of a horse which the defendant has ridden without permission may recover damages even though the horse may actually be the better for having been ridden. </w:t>
      </w:r>
      <w:r>
        <w:rPr>
          <w:color w:val="005DA1"/>
          <w:u w:val="single" w:color="005DA1"/>
          <w:vertAlign w:val="superscript"/>
        </w:rPr>
        <w:t>289</w:t>
      </w:r>
      <w:r>
        <w:rPr>
          <w:color w:val="005DA1"/>
          <w:vertAlign w:val="baseline"/>
        </w:rPr>
        <w:t> </w:t>
      </w:r>
      <w:r>
        <w:rPr>
          <w:vertAlign w:val="baseline"/>
        </w:rPr>
        <w:t>So the </w:t>
      </w:r>
      <w:bookmarkStart w:name="_bookmark541" w:id="543"/>
      <w:bookmarkEnd w:id="543"/>
      <w:r>
        <w:rPr>
          <w:vertAlign w:val="baseline"/>
        </w:rPr>
        <w:t>damages</w:t>
      </w:r>
      <w:r>
        <w:rPr>
          <w:vertAlign w:val="baseline"/>
        </w:rPr>
        <w:t> cannot be described as compensatory in the strict sense. It is sometimes stated that they </w:t>
      </w:r>
      <w:bookmarkStart w:name="_bookmark542" w:id="544"/>
      <w:bookmarkEnd w:id="544"/>
      <w:r>
        <w:rPr>
          <w:vertAlign w:val="baseline"/>
        </w:rPr>
        <w:t>are</w:t>
      </w:r>
      <w:r>
        <w:rPr>
          <w:vertAlign w:val="baseline"/>
        </w:rPr>
        <w:t> on a restitutionary basis, </w:t>
      </w:r>
      <w:r>
        <w:rPr>
          <w:color w:val="005DA1"/>
          <w:u w:val="single" w:color="005DA1"/>
          <w:vertAlign w:val="superscript"/>
        </w:rPr>
        <w:t>290</w:t>
      </w:r>
      <w:r>
        <w:rPr>
          <w:color w:val="005DA1"/>
          <w:vertAlign w:val="baseline"/>
        </w:rPr>
        <w:t> </w:t>
      </w:r>
      <w:r>
        <w:rPr>
          <w:vertAlign w:val="baseline"/>
        </w:rPr>
        <w:t>but in the light of dicta on the nature of damages in analogous cases of</w:t>
      </w:r>
      <w:r>
        <w:rPr>
          <w:spacing w:val="15"/>
          <w:vertAlign w:val="baseline"/>
        </w:rPr>
        <w:t> </w:t>
      </w:r>
      <w:r>
        <w:rPr>
          <w:vertAlign w:val="baseline"/>
        </w:rPr>
        <w:t>breach</w:t>
      </w:r>
      <w:r>
        <w:rPr>
          <w:spacing w:val="15"/>
          <w:vertAlign w:val="baseline"/>
        </w:rPr>
        <w:t> </w:t>
      </w:r>
      <w:r>
        <w:rPr>
          <w:vertAlign w:val="baseline"/>
        </w:rPr>
        <w:t>of</w:t>
      </w:r>
      <w:r>
        <w:rPr>
          <w:spacing w:val="15"/>
          <w:vertAlign w:val="baseline"/>
        </w:rPr>
        <w:t> </w:t>
      </w:r>
      <w:r>
        <w:rPr>
          <w:vertAlign w:val="baseline"/>
        </w:rPr>
        <w:t>contract,</w:t>
      </w:r>
      <w:r>
        <w:rPr>
          <w:spacing w:val="15"/>
          <w:vertAlign w:val="baseline"/>
        </w:rPr>
        <w:t> </w:t>
      </w:r>
      <w:r>
        <w:rPr>
          <w:vertAlign w:val="baseline"/>
        </w:rPr>
        <w:t>it</w:t>
      </w:r>
      <w:r>
        <w:rPr>
          <w:spacing w:val="15"/>
          <w:vertAlign w:val="baseline"/>
        </w:rPr>
        <w:t> </w:t>
      </w:r>
      <w:r>
        <w:rPr>
          <w:vertAlign w:val="baseline"/>
        </w:rPr>
        <w:t>seems</w:t>
      </w:r>
      <w:r>
        <w:rPr>
          <w:spacing w:val="15"/>
          <w:vertAlign w:val="baseline"/>
        </w:rPr>
        <w:t> </w:t>
      </w:r>
      <w:r>
        <w:rPr>
          <w:vertAlign w:val="baseline"/>
        </w:rPr>
        <w:t>that</w:t>
      </w:r>
      <w:r>
        <w:rPr>
          <w:spacing w:val="15"/>
          <w:vertAlign w:val="baseline"/>
        </w:rPr>
        <w:t> </w:t>
      </w:r>
      <w:r>
        <w:rPr>
          <w:vertAlign w:val="baseline"/>
        </w:rPr>
        <w:t>they</w:t>
      </w:r>
      <w:r>
        <w:rPr>
          <w:spacing w:val="15"/>
          <w:vertAlign w:val="baseline"/>
        </w:rPr>
        <w:t> </w:t>
      </w:r>
      <w:r>
        <w:rPr>
          <w:vertAlign w:val="baseline"/>
        </w:rPr>
        <w:t>should</w:t>
      </w:r>
      <w:r>
        <w:rPr>
          <w:spacing w:val="15"/>
          <w:vertAlign w:val="baseline"/>
        </w:rPr>
        <w:t> </w:t>
      </w:r>
      <w:r>
        <w:rPr>
          <w:vertAlign w:val="baseline"/>
        </w:rPr>
        <w:t>be</w:t>
      </w:r>
      <w:r>
        <w:rPr>
          <w:spacing w:val="15"/>
          <w:vertAlign w:val="baseline"/>
        </w:rPr>
        <w:t> </w:t>
      </w:r>
      <w:r>
        <w:rPr>
          <w:vertAlign w:val="baseline"/>
        </w:rPr>
        <w:t>described</w:t>
      </w:r>
      <w:r>
        <w:rPr>
          <w:spacing w:val="15"/>
          <w:vertAlign w:val="baseline"/>
        </w:rPr>
        <w:t> </w:t>
      </w:r>
      <w:r>
        <w:rPr>
          <w:vertAlign w:val="baseline"/>
        </w:rPr>
        <w:t>as</w:t>
      </w:r>
      <w:r>
        <w:rPr>
          <w:spacing w:val="15"/>
          <w:vertAlign w:val="baseline"/>
        </w:rPr>
        <w:t> </w:t>
      </w:r>
      <w:r>
        <w:rPr>
          <w:vertAlign w:val="baseline"/>
        </w:rPr>
        <w:t>a</w:t>
      </w:r>
      <w:r>
        <w:rPr>
          <w:spacing w:val="15"/>
          <w:vertAlign w:val="baseline"/>
        </w:rPr>
        <w:t> </w:t>
      </w:r>
      <w:r>
        <w:rPr>
          <w:vertAlign w:val="baseline"/>
        </w:rPr>
        <w:t>broad</w:t>
      </w:r>
      <w:r>
        <w:rPr>
          <w:spacing w:val="15"/>
          <w:vertAlign w:val="baseline"/>
        </w:rPr>
        <w:t> </w:t>
      </w:r>
      <w:r>
        <w:rPr>
          <w:vertAlign w:val="baseline"/>
        </w:rPr>
        <w:t>measure</w:t>
      </w:r>
      <w:r>
        <w:rPr>
          <w:spacing w:val="15"/>
          <w:vertAlign w:val="baseline"/>
        </w:rPr>
        <w:t> </w:t>
      </w:r>
      <w:r>
        <w:rPr>
          <w:vertAlign w:val="baseline"/>
        </w:rPr>
        <w:t>of</w:t>
      </w:r>
      <w:r>
        <w:rPr>
          <w:spacing w:val="15"/>
          <w:vertAlign w:val="baseline"/>
        </w:rPr>
        <w:t> </w:t>
      </w:r>
      <w:r>
        <w:rPr>
          <w:spacing w:val="-2"/>
          <w:vertAlign w:val="baseline"/>
        </w:rPr>
        <w:t>compensation.</w:t>
      </w:r>
    </w:p>
    <w:p>
      <w:pPr>
        <w:spacing w:line="109" w:lineRule="exact" w:before="0"/>
        <w:ind w:left="165" w:right="0" w:firstLine="0"/>
        <w:jc w:val="left"/>
        <w:rPr>
          <w:sz w:val="12"/>
        </w:rPr>
      </w:pPr>
      <w:r>
        <w:rPr>
          <w:color w:val="005DA1"/>
          <w:spacing w:val="-5"/>
          <w:sz w:val="12"/>
          <w:u w:val="single" w:color="005DA1"/>
        </w:rPr>
        <w:t>291</w:t>
      </w:r>
    </w:p>
    <w:p>
      <w:pPr>
        <w:spacing w:after="0" w:line="109" w:lineRule="exact"/>
        <w:jc w:val="left"/>
        <w:rPr>
          <w:sz w:val="12"/>
        </w:rPr>
        <w:sectPr>
          <w:headerReference w:type="default" r:id="rId22"/>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Invasion of property </w:t>
      </w:r>
      <w:r>
        <w:rPr>
          <w:rFonts w:asci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049</w:t>
      </w:r>
    </w:p>
    <w:p>
      <w:pPr>
        <w:pStyle w:val="BodyText"/>
        <w:spacing w:line="235" w:lineRule="auto" w:before="203"/>
        <w:ind w:left="165" w:right="167"/>
        <w:jc w:val="both"/>
      </w:pPr>
      <w:bookmarkStart w:name="_bookmark543" w:id="545"/>
      <w:bookmarkEnd w:id="545"/>
      <w:r>
        <w:rPr/>
      </w:r>
      <w:r>
        <w:rPr/>
        <w:t>Where a breach of contract also amounts to the invasion of a property interest vested in the claimant, </w:t>
      </w:r>
      <w:bookmarkStart w:name="_bookmark544" w:id="546"/>
      <w:bookmarkEnd w:id="546"/>
      <w:r>
        <w:rPr/>
        <w:t>he</w:t>
      </w:r>
      <w:r>
        <w:rPr>
          <w:spacing w:val="13"/>
        </w:rPr>
        <w:t> </w:t>
      </w:r>
      <w:r>
        <w:rPr/>
        <w:t>may</w:t>
      </w:r>
      <w:r>
        <w:rPr>
          <w:spacing w:val="15"/>
        </w:rPr>
        <w:t> </w:t>
      </w:r>
      <w:r>
        <w:rPr/>
        <w:t>obtain</w:t>
      </w:r>
      <w:r>
        <w:rPr>
          <w:spacing w:val="15"/>
        </w:rPr>
        <w:t> </w:t>
      </w:r>
      <w:r>
        <w:rPr/>
        <w:t>a</w:t>
      </w:r>
      <w:r>
        <w:rPr>
          <w:spacing w:val="15"/>
        </w:rPr>
        <w:t> </w:t>
      </w:r>
      <w:r>
        <w:rPr/>
        <w:t>remedy</w:t>
      </w:r>
      <w:r>
        <w:rPr>
          <w:spacing w:val="15"/>
        </w:rPr>
        <w:t> </w:t>
      </w:r>
      <w:r>
        <w:rPr/>
        <w:t>which</w:t>
      </w:r>
      <w:r>
        <w:rPr>
          <w:spacing w:val="15"/>
        </w:rPr>
        <w:t> </w:t>
      </w:r>
      <w:r>
        <w:rPr/>
        <w:t>has</w:t>
      </w:r>
      <w:r>
        <w:rPr>
          <w:spacing w:val="15"/>
        </w:rPr>
        <w:t> </w:t>
      </w:r>
      <w:r>
        <w:rPr/>
        <w:t>the</w:t>
      </w:r>
      <w:r>
        <w:rPr>
          <w:spacing w:val="15"/>
        </w:rPr>
        <w:t> </w:t>
      </w:r>
      <w:r>
        <w:rPr/>
        <w:t>effect</w:t>
      </w:r>
      <w:r>
        <w:rPr>
          <w:spacing w:val="15"/>
        </w:rPr>
        <w:t> </w:t>
      </w:r>
      <w:r>
        <w:rPr/>
        <w:t>of</w:t>
      </w:r>
      <w:r>
        <w:rPr>
          <w:spacing w:val="15"/>
        </w:rPr>
        <w:t> </w:t>
      </w:r>
      <w:r>
        <w:rPr/>
        <w:t>depriving</w:t>
      </w:r>
      <w:r>
        <w:rPr>
          <w:spacing w:val="15"/>
        </w:rPr>
        <w:t> </w:t>
      </w:r>
      <w:r>
        <w:rPr/>
        <w:t>the</w:t>
      </w:r>
      <w:r>
        <w:rPr>
          <w:spacing w:val="15"/>
        </w:rPr>
        <w:t> </w:t>
      </w:r>
      <w:r>
        <w:rPr/>
        <w:t>contract-breaker</w:t>
      </w:r>
      <w:r>
        <w:rPr>
          <w:spacing w:val="15"/>
        </w:rPr>
        <w:t> </w:t>
      </w:r>
      <w:r>
        <w:rPr/>
        <w:t>of</w:t>
      </w:r>
      <w:r>
        <w:rPr>
          <w:spacing w:val="15"/>
        </w:rPr>
        <w:t> </w:t>
      </w:r>
      <w:r>
        <w:rPr/>
        <w:t>some</w:t>
      </w:r>
      <w:r>
        <w:rPr>
          <w:spacing w:val="15"/>
        </w:rPr>
        <w:t> </w:t>
      </w:r>
      <w:r>
        <w:rPr/>
        <w:t>of</w:t>
      </w:r>
      <w:r>
        <w:rPr>
          <w:spacing w:val="15"/>
        </w:rPr>
        <w:t> </w:t>
      </w:r>
      <w:r>
        <w:rPr/>
        <w:t>his</w:t>
      </w:r>
      <w:r>
        <w:rPr>
          <w:spacing w:val="15"/>
        </w:rPr>
        <w:t> </w:t>
      </w:r>
      <w:r>
        <w:rPr>
          <w:spacing w:val="-2"/>
        </w:rPr>
        <w:t>profit.</w:t>
      </w:r>
    </w:p>
    <w:p>
      <w:pPr>
        <w:pStyle w:val="BodyText"/>
        <w:spacing w:line="235" w:lineRule="auto"/>
        <w:ind w:left="164" w:right="167"/>
        <w:jc w:val="both"/>
      </w:pPr>
      <w:r>
        <w:rPr>
          <w:color w:val="005DA1"/>
          <w:u w:val="single" w:color="005DA1"/>
          <w:vertAlign w:val="superscript"/>
        </w:rPr>
        <w:t>292</w:t>
      </w:r>
      <w:r>
        <w:rPr>
          <w:color w:val="005DA1"/>
          <w:vertAlign w:val="baseline"/>
        </w:rPr>
        <w:t> </w:t>
      </w:r>
      <w:r>
        <w:rPr>
          <w:vertAlign w:val="baseline"/>
        </w:rPr>
        <w:t>So in the </w:t>
      </w:r>
      <w:r>
        <w:rPr>
          <w:rFonts w:ascii="Arial" w:hAnsi="Arial"/>
          <w:i/>
          <w:vertAlign w:val="baseline"/>
        </w:rPr>
        <w:t>Wrotham Park </w:t>
      </w:r>
      <w:r>
        <w:rPr>
          <w:vertAlign w:val="baseline"/>
        </w:rPr>
        <w:t>case </w:t>
      </w:r>
      <w:r>
        <w:rPr>
          <w:color w:val="005DA1"/>
          <w:u w:val="single" w:color="005DA1"/>
          <w:vertAlign w:val="superscript"/>
        </w:rPr>
        <w:t>293</w:t>
      </w:r>
      <w:r>
        <w:rPr>
          <w:color w:val="005DA1"/>
          <w:vertAlign w:val="baseline"/>
        </w:rPr>
        <w:t> </w:t>
      </w:r>
      <w:r>
        <w:rPr>
          <w:vertAlign w:val="baseline"/>
        </w:rPr>
        <w:t>where the defendant built on his land in defiance of a restrictive covenant in favour of the plaintiff, the damages were assessed at the price which the plaintiff </w:t>
      </w:r>
      <w:r>
        <w:rPr>
          <w:vertAlign w:val="baseline"/>
        </w:rPr>
        <w:t>could reasonably have expected to receive from a negotiated partial release from the covenant; this price </w:t>
      </w:r>
      <w:bookmarkStart w:name="_bookmark545" w:id="547"/>
      <w:bookmarkEnd w:id="547"/>
      <w:r>
        <w:rPr>
          <w:vertAlign w:val="baseline"/>
        </w:rPr>
        <w:t>could</w:t>
      </w:r>
      <w:r>
        <w:rPr>
          <w:vertAlign w:val="baseline"/>
        </w:rPr>
        <w:t> be a proportion of the profits expected to be made by the defendant. The damages in the </w:t>
      </w:r>
      <w:r>
        <w:rPr>
          <w:rFonts w:ascii="Arial" w:hAnsi="Arial"/>
          <w:i/>
          <w:vertAlign w:val="baseline"/>
        </w:rPr>
        <w:t>Wrotham Park </w:t>
      </w:r>
      <w:r>
        <w:rPr>
          <w:vertAlign w:val="baseline"/>
        </w:rPr>
        <w:t>case were in lieu of an injunction </w:t>
      </w:r>
      <w:r>
        <w:rPr>
          <w:color w:val="005DA1"/>
          <w:u w:val="single" w:color="005DA1"/>
          <w:vertAlign w:val="superscript"/>
        </w:rPr>
        <w:t>294</w:t>
      </w:r>
      <w:r>
        <w:rPr>
          <w:color w:val="005DA1"/>
          <w:vertAlign w:val="baseline"/>
        </w:rPr>
        <w:t> </w:t>
      </w:r>
      <w:r>
        <w:rPr>
          <w:vertAlign w:val="baseline"/>
        </w:rPr>
        <w:t>but the House of Lords has said that the </w:t>
      </w:r>
      <w:bookmarkStart w:name="_bookmark546" w:id="548"/>
      <w:bookmarkEnd w:id="548"/>
      <w:r>
        <w:rPr>
          <w:vertAlign w:val="baseline"/>
        </w:rPr>
        <w:t>assessment</w:t>
      </w:r>
      <w:r>
        <w:rPr>
          <w:vertAlign w:val="baseline"/>
        </w:rPr>
        <w:t> of damages was governed by the same principles whether the damages were awarded </w:t>
      </w:r>
      <w:bookmarkStart w:name="_bookmark547" w:id="549"/>
      <w:bookmarkEnd w:id="549"/>
      <w:r>
        <w:rPr>
          <w:vertAlign w:val="baseline"/>
        </w:rPr>
        <w:t>under</w:t>
      </w:r>
      <w:r>
        <w:rPr>
          <w:spacing w:val="-1"/>
          <w:vertAlign w:val="baseline"/>
        </w:rPr>
        <w:t> </w:t>
      </w:r>
      <w:r>
        <w:rPr>
          <w:vertAlign w:val="baseline"/>
        </w:rPr>
        <w:t>the Act or at common law. </w:t>
      </w:r>
      <w:r>
        <w:rPr>
          <w:color w:val="005DA1"/>
          <w:u w:val="single" w:color="005DA1"/>
          <w:vertAlign w:val="superscript"/>
        </w:rPr>
        <w:t>295</w:t>
      </w:r>
      <w:r>
        <w:rPr>
          <w:color w:val="005DA1"/>
          <w:vertAlign w:val="baseline"/>
        </w:rPr>
        <w:t> </w:t>
      </w:r>
      <w:r>
        <w:rPr>
          <w:vertAlign w:val="baseline"/>
        </w:rPr>
        <w:t>In </w:t>
      </w:r>
      <w:r>
        <w:rPr>
          <w:rFonts w:ascii="Arial" w:hAnsi="Arial"/>
          <w:i/>
          <w:vertAlign w:val="baseline"/>
        </w:rPr>
        <w:t>Blake</w:t>
      </w:r>
      <w:r>
        <w:rPr>
          <w:rFonts w:ascii="Arial" w:hAnsi="Arial"/>
          <w:i/>
          <w:spacing w:val="-14"/>
          <w:vertAlign w:val="baseline"/>
        </w:rPr>
        <w:t> </w:t>
      </w:r>
      <w:r>
        <w:rPr>
          <w:vertAlign w:val="baseline"/>
        </w:rPr>
        <w:t>’s case </w:t>
      </w:r>
      <w:r>
        <w:rPr>
          <w:color w:val="005DA1"/>
          <w:u w:val="single" w:color="005DA1"/>
          <w:vertAlign w:val="superscript"/>
        </w:rPr>
        <w:t>296</w:t>
      </w:r>
      <w:r>
        <w:rPr>
          <w:color w:val="005DA1"/>
          <w:vertAlign w:val="baseline"/>
        </w:rPr>
        <w:t> </w:t>
      </w:r>
      <w:r>
        <w:rPr>
          <w:vertAlign w:val="baseline"/>
        </w:rPr>
        <w:t>the House of Lords explicitly approved the basis of the award in </w:t>
      </w:r>
      <w:r>
        <w:rPr>
          <w:rFonts w:ascii="Arial" w:hAnsi="Arial"/>
          <w:i/>
          <w:vertAlign w:val="baseline"/>
        </w:rPr>
        <w:t>Wrotham Park</w:t>
      </w:r>
      <w:r>
        <w:rPr>
          <w:vertAlign w:val="baseline"/>
        </w:rPr>
        <w:t>, preferring it to some inconsistent Court of Appeal authority. </w:t>
      </w:r>
      <w:r>
        <w:rPr>
          <w:color w:val="005DA1"/>
          <w:u w:val="single" w:color="005DA1"/>
          <w:vertAlign w:val="superscript"/>
        </w:rPr>
        <w:t>297</w:t>
      </w:r>
      <w:r>
        <w:rPr>
          <w:color w:val="005DA1"/>
          <w:vertAlign w:val="baseline"/>
        </w:rPr>
        <w:t> </w:t>
      </w:r>
      <w:r>
        <w:rPr>
          <w:vertAlign w:val="baseline"/>
        </w:rPr>
        <w:t>It may be that in </w:t>
      </w:r>
      <w:r>
        <w:rPr>
          <w:rFonts w:ascii="Arial" w:hAnsi="Arial"/>
          <w:i/>
          <w:vertAlign w:val="baseline"/>
        </w:rPr>
        <w:t>Blake</w:t>
      </w:r>
      <w:r>
        <w:rPr>
          <w:vertAlign w:val="baseline"/>
        </w:rPr>
        <w:t>’s case the compensation for loss of the opportunity to bargain was viewed as a form of restitutionary remedy rather than a form of damages, but subsequently the Court of Appeal </w:t>
      </w:r>
      <w:bookmarkStart w:name="_bookmark548" w:id="550"/>
      <w:bookmarkEnd w:id="550"/>
      <w:r>
        <w:rPr>
          <w:vertAlign w:val="baseline"/>
        </w:rPr>
        <w:t>has</w:t>
      </w:r>
      <w:r>
        <w:rPr>
          <w:vertAlign w:val="baseline"/>
        </w:rPr>
        <w:t> held it to be a form of compensatory damages, in contrast to the account of profits ordered in </w:t>
      </w:r>
      <w:r>
        <w:rPr>
          <w:rFonts w:ascii="Arial" w:hAnsi="Arial"/>
          <w:i/>
          <w:vertAlign w:val="baseline"/>
        </w:rPr>
        <w:t>Blake</w:t>
      </w:r>
      <w:r>
        <w:rPr>
          <w:vertAlign w:val="baseline"/>
        </w:rPr>
        <w:t>’s case itself. </w:t>
      </w:r>
      <w:r>
        <w:rPr>
          <w:color w:val="005DA1"/>
          <w:u w:val="single" w:color="005DA1"/>
          <w:vertAlign w:val="superscript"/>
        </w:rPr>
        <w:t>298</w:t>
      </w:r>
    </w:p>
    <w:p>
      <w:pPr>
        <w:pStyle w:val="BodyText"/>
      </w:pPr>
    </w:p>
    <w:p>
      <w:pPr>
        <w:pStyle w:val="BodyText"/>
        <w:spacing w:before="33"/>
      </w:pPr>
    </w:p>
    <w:p>
      <w:pPr>
        <w:spacing w:before="0"/>
        <w:ind w:left="165" w:right="0" w:firstLine="0"/>
        <w:jc w:val="both"/>
        <w:rPr>
          <w:rFonts w:ascii="Arial"/>
          <w:b/>
          <w:sz w:val="18"/>
        </w:rPr>
      </w:pPr>
      <w:r>
        <w:rPr>
          <w:rFonts w:ascii="Arial"/>
          <w:b/>
          <w:sz w:val="18"/>
        </w:rPr>
        <w:t>The extension made by Att-Gen v </w:t>
      </w:r>
      <w:r>
        <w:rPr>
          <w:rFonts w:ascii="Arial"/>
          <w:b/>
          <w:spacing w:val="-2"/>
          <w:sz w:val="18"/>
        </w:rPr>
        <w:t>Blake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050</w:t>
      </w:r>
    </w:p>
    <w:p>
      <w:pPr>
        <w:pStyle w:val="BodyText"/>
        <w:spacing w:line="235" w:lineRule="auto" w:before="202"/>
        <w:ind w:left="165" w:right="167"/>
        <w:jc w:val="both"/>
      </w:pPr>
      <w:bookmarkStart w:name="_bookmark549" w:id="551"/>
      <w:bookmarkEnd w:id="551"/>
      <w:r>
        <w:rPr/>
      </w:r>
      <w:r>
        <w:rPr/>
        <w:t>In </w:t>
      </w:r>
      <w:r>
        <w:rPr>
          <w:rFonts w:ascii="Arial"/>
          <w:i/>
        </w:rPr>
        <w:t>Att-Gen v Blake </w:t>
      </w:r>
      <w:r>
        <w:rPr>
          <w:color w:val="005DA1"/>
          <w:u w:val="single" w:color="005DA1"/>
          <w:vertAlign w:val="superscript"/>
        </w:rPr>
        <w:t>299</w:t>
      </w:r>
      <w:r>
        <w:rPr>
          <w:color w:val="005DA1"/>
          <w:vertAlign w:val="baseline"/>
        </w:rPr>
        <w:t> </w:t>
      </w:r>
      <w:r>
        <w:rPr>
          <w:vertAlign w:val="baseline"/>
        </w:rPr>
        <w:t>the House of Lords, while upholding the exceptions set out in paras 26-020 and 26-023 above, extended the principles in two ways. First, the </w:t>
      </w:r>
      <w:r>
        <w:rPr>
          <w:rFonts w:ascii="Arial"/>
          <w:i/>
          <w:vertAlign w:val="baseline"/>
        </w:rPr>
        <w:t>Wrotham Park </w:t>
      </w:r>
      <w:r>
        <w:rPr>
          <w:vertAlign w:val="baseline"/>
        </w:rPr>
        <w:t>basis was </w:t>
      </w:r>
      <w:r>
        <w:rPr>
          <w:vertAlign w:val="baseline"/>
        </w:rPr>
        <w:t>approved without it being restricted to the invasion of a property interest:</w:t>
      </w:r>
    </w:p>
    <w:p>
      <w:pPr>
        <w:pStyle w:val="BodyText"/>
      </w:pPr>
    </w:p>
    <w:p>
      <w:pPr>
        <w:pStyle w:val="BodyText"/>
        <w:spacing w:before="126"/>
      </w:pPr>
    </w:p>
    <w:p>
      <w:pPr>
        <w:pStyle w:val="BodyText"/>
        <w:spacing w:line="235" w:lineRule="auto"/>
        <w:ind w:left="1245" w:right="167"/>
        <w:jc w:val="both"/>
      </w:pPr>
      <w:r>
        <w:rPr/>
        <w:t>“In a suitable case damages for breach of contract may be measured by the benefit </w:t>
      </w:r>
      <w:bookmarkStart w:name="_bookmark550" w:id="552"/>
      <w:bookmarkEnd w:id="552"/>
      <w:r>
        <w:rPr/>
        <w:t>gained</w:t>
      </w:r>
      <w:r>
        <w:rPr/>
        <w:t> by the wrong-doer from the breach. The defendant must make a </w:t>
      </w:r>
      <w:r>
        <w:rPr/>
        <w:t>reasonable payment in respect of the benefit he has gained.” </w:t>
      </w:r>
      <w:r>
        <w:rPr>
          <w:color w:val="005DA1"/>
          <w:u w:val="single" w:color="005DA1"/>
          <w:vertAlign w:val="superscript"/>
        </w:rPr>
        <w:t>300</w:t>
      </w:r>
    </w:p>
    <w:p>
      <w:pPr>
        <w:pStyle w:val="BodyText"/>
        <w:spacing w:before="115"/>
      </w:pPr>
    </w:p>
    <w:p>
      <w:pPr>
        <w:pStyle w:val="BodyText"/>
        <w:spacing w:line="235" w:lineRule="auto"/>
        <w:ind w:left="165" w:right="167"/>
        <w:jc w:val="both"/>
      </w:pPr>
      <w:r>
        <w:rPr/>
        <w:t>This basis is discussed in this section. The second extension was that in exceptional circumstances </w:t>
      </w:r>
      <w:bookmarkStart w:name="_bookmark551" w:id="553"/>
      <w:bookmarkEnd w:id="553"/>
      <w:r>
        <w:rPr/>
        <w:t>the</w:t>
      </w:r>
      <w:r>
        <w:rPr/>
        <w:t> defendant may be made to account for the full profit he made. The second extension is discussed further below under the heading of “account of profit”. </w:t>
      </w:r>
      <w:r>
        <w:rPr>
          <w:color w:val="005DA1"/>
          <w:u w:val="single" w:color="005DA1"/>
          <w:vertAlign w:val="superscript"/>
        </w:rPr>
        <w:t>301</w:t>
      </w:r>
    </w:p>
    <w:p>
      <w:pPr>
        <w:pStyle w:val="BodyText"/>
      </w:pPr>
    </w:p>
    <w:p>
      <w:pPr>
        <w:pStyle w:val="BodyText"/>
        <w:spacing w:before="38"/>
      </w:pPr>
    </w:p>
    <w:p>
      <w:pPr>
        <w:spacing w:before="0"/>
        <w:ind w:left="164" w:right="0" w:firstLine="0"/>
        <w:jc w:val="left"/>
        <w:rPr>
          <w:rFonts w:ascii="Arial"/>
          <w:b/>
          <w:sz w:val="18"/>
        </w:rPr>
      </w:pPr>
      <w:bookmarkStart w:name="_bookmark552" w:id="554"/>
      <w:bookmarkEnd w:id="554"/>
      <w:r>
        <w:rPr/>
      </w:r>
      <w:r>
        <w:rPr>
          <w:rFonts w:ascii="Arial"/>
          <w:b/>
          <w:sz w:val="18"/>
        </w:rPr>
        <w:t>Hypothetical bargain damages on the Wrotham Park basis.</w:t>
      </w:r>
      <w:r>
        <w:rPr>
          <w:rFonts w:ascii="Arial"/>
          <w:b/>
          <w:spacing w:val="-1"/>
          <w:sz w:val="18"/>
        </w:rPr>
        <w:t> </w:t>
      </w:r>
      <w:r>
        <w:rPr>
          <w:rFonts w:ascii="Arial"/>
          <w:b/>
          <w:color w:val="005DA1"/>
          <w:spacing w:val="-5"/>
          <w:sz w:val="18"/>
          <w:u w:val="single" w:color="005DA1"/>
          <w:vertAlign w:val="superscript"/>
        </w:rPr>
        <w:t>302</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On this basis, the claimant is awarded “hypothetical bargain” damages representing what </w:t>
      </w:r>
      <w:r>
        <w:rPr/>
        <w:t>the claimant could reasonably have charged for giving permission to the defendant to act contrary to his contractual undertaking. Such damages (in earlier editions of this Work called “partial disgorgement” </w:t>
      </w:r>
      <w:bookmarkStart w:name="_bookmark553" w:id="555"/>
      <w:bookmarkEnd w:id="555"/>
      <w:r>
        <w:rPr/>
        <w:t>of</w:t>
      </w:r>
      <w:r>
        <w:rPr>
          <w:spacing w:val="53"/>
        </w:rPr>
        <w:t> </w:t>
      </w:r>
      <w:r>
        <w:rPr/>
        <w:t>the</w:t>
      </w:r>
      <w:r>
        <w:rPr>
          <w:spacing w:val="53"/>
        </w:rPr>
        <w:t> </w:t>
      </w:r>
      <w:r>
        <w:rPr/>
        <w:t>“wrongful”</w:t>
      </w:r>
      <w:r>
        <w:rPr>
          <w:spacing w:val="53"/>
        </w:rPr>
        <w:t> </w:t>
      </w:r>
      <w:r>
        <w:rPr/>
        <w:t>profits</w:t>
      </w:r>
      <w:r>
        <w:rPr>
          <w:spacing w:val="53"/>
        </w:rPr>
        <w:t> </w:t>
      </w:r>
      <w:r>
        <w:rPr/>
        <w:t>made</w:t>
      </w:r>
      <w:r>
        <w:rPr>
          <w:spacing w:val="53"/>
        </w:rPr>
        <w:t> </w:t>
      </w:r>
      <w:r>
        <w:rPr/>
        <w:t>through</w:t>
      </w:r>
      <w:r>
        <w:rPr>
          <w:spacing w:val="53"/>
        </w:rPr>
        <w:t> </w:t>
      </w:r>
      <w:r>
        <w:rPr/>
        <w:t>the</w:t>
      </w:r>
      <w:r>
        <w:rPr>
          <w:spacing w:val="53"/>
        </w:rPr>
        <w:t> </w:t>
      </w:r>
      <w:r>
        <w:rPr/>
        <w:t>breach)</w:t>
      </w:r>
      <w:r>
        <w:rPr>
          <w:spacing w:val="53"/>
        </w:rPr>
        <w:t> </w:t>
      </w:r>
      <w:r>
        <w:rPr/>
        <w:t>were</w:t>
      </w:r>
      <w:r>
        <w:rPr>
          <w:spacing w:val="53"/>
        </w:rPr>
        <w:t> </w:t>
      </w:r>
      <w:r>
        <w:rPr/>
        <w:t>explained</w:t>
      </w:r>
      <w:r>
        <w:rPr>
          <w:spacing w:val="53"/>
        </w:rPr>
        <w:t> </w:t>
      </w:r>
      <w:r>
        <w:rPr/>
        <w:t>in</w:t>
      </w:r>
      <w:r>
        <w:rPr>
          <w:spacing w:val="52"/>
        </w:rPr>
        <w:t> </w:t>
      </w:r>
      <w:r>
        <w:rPr>
          <w:rFonts w:ascii="Arial" w:hAnsi="Arial"/>
          <w:i/>
        </w:rPr>
        <w:t>Experience</w:t>
      </w:r>
      <w:r>
        <w:rPr>
          <w:rFonts w:ascii="Arial" w:hAnsi="Arial"/>
          <w:i/>
          <w:spacing w:val="53"/>
        </w:rPr>
        <w:t> </w:t>
      </w:r>
      <w:r>
        <w:rPr>
          <w:rFonts w:ascii="Arial" w:hAnsi="Arial"/>
          <w:i/>
        </w:rPr>
        <w:t>Hendrix</w:t>
      </w:r>
      <w:r>
        <w:rPr>
          <w:rFonts w:ascii="Arial" w:hAnsi="Arial"/>
          <w:i/>
          <w:spacing w:val="53"/>
        </w:rPr>
        <w:t> </w:t>
      </w:r>
      <w:r>
        <w:rPr/>
        <w:t>on</w:t>
      </w:r>
      <w:r>
        <w:rPr>
          <w:spacing w:val="53"/>
        </w:rPr>
        <w:t> </w:t>
      </w:r>
      <w:r>
        <w:rPr>
          <w:spacing w:val="-10"/>
        </w:rPr>
        <w:t>a</w:t>
      </w:r>
    </w:p>
    <w:p>
      <w:pPr>
        <w:pStyle w:val="BodyText"/>
        <w:spacing w:line="235" w:lineRule="auto" w:before="118"/>
        <w:ind w:left="165" w:right="167"/>
        <w:jc w:val="both"/>
      </w:pPr>
      <w:r>
        <w:rPr/>
        <w:t>restitutionary, not a compensatory, basis. In the later </w:t>
      </w:r>
      <w:r>
        <w:rPr>
          <w:rFonts w:ascii="Arial" w:hAnsi="Arial"/>
          <w:i/>
        </w:rPr>
        <w:t>WWF </w:t>
      </w:r>
      <w:r>
        <w:rPr/>
        <w:t>case </w:t>
      </w:r>
      <w:r>
        <w:rPr>
          <w:color w:val="005DA1"/>
          <w:u w:val="single" w:color="005DA1"/>
          <w:vertAlign w:val="superscript"/>
        </w:rPr>
        <w:t>303</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it was held to be a form of compensatory damages. Whichever is correct, strict compensation for loss which the claimant </w:t>
      </w:r>
      <w:r>
        <w:rPr>
          <w:vertAlign w:val="baseline"/>
        </w:rPr>
        <w:t>can </w:t>
      </w:r>
      <w:bookmarkStart w:name="_bookmark554" w:id="556"/>
      <w:bookmarkEnd w:id="556"/>
      <w:r>
        <w:rPr>
          <w:vertAlign w:val="baseline"/>
        </w:rPr>
        <w:t>prove</w:t>
      </w:r>
      <w:r>
        <w:rPr>
          <w:vertAlign w:val="baseline"/>
        </w:rPr>
        <w:t> to have been caused by the breach is treated as irrelevant: the defendant is required to make a </w:t>
      </w:r>
      <w:bookmarkStart w:name="_bookmark555" w:id="557"/>
      <w:bookmarkEnd w:id="557"/>
      <w:r>
        <w:rPr>
          <w:vertAlign w:val="baseline"/>
        </w:rPr>
        <w:t>“reasonable”</w:t>
      </w:r>
      <w:r>
        <w:rPr>
          <w:vertAlign w:val="baseline"/>
        </w:rPr>
        <w:t> payment in respect of the benefit he has gained. </w:t>
      </w:r>
      <w:r>
        <w:rPr>
          <w:color w:val="005DA1"/>
          <w:u w:val="single" w:color="005DA1"/>
          <w:vertAlign w:val="superscript"/>
        </w:rPr>
        <w:t>304</w:t>
      </w:r>
      <w:r>
        <w:rPr>
          <w:color w:val="005DA1"/>
          <w:vertAlign w:val="baseline"/>
        </w:rPr>
        <w:t> </w:t>
      </w:r>
      <w:r>
        <w:rPr>
          <w:vertAlign w:val="baseline"/>
        </w:rPr>
        <w:t>In another phrase, it is the “value of </w:t>
      </w:r>
      <w:bookmarkStart w:name="_bookmark556" w:id="558"/>
      <w:bookmarkEnd w:id="558"/>
      <w:r>
        <w:rPr>
          <w:vertAlign w:val="baseline"/>
        </w:rPr>
        <w:t>a</w:t>
      </w:r>
      <w:r>
        <w:rPr>
          <w:vertAlign w:val="baseline"/>
        </w:rPr>
        <w:t> bargaining opportunity”, </w:t>
      </w:r>
      <w:r>
        <w:rPr>
          <w:color w:val="005DA1"/>
          <w:u w:val="single" w:color="005DA1"/>
          <w:vertAlign w:val="superscript"/>
        </w:rPr>
        <w:t>305</w:t>
      </w:r>
      <w:r>
        <w:rPr>
          <w:color w:val="005DA1"/>
          <w:vertAlign w:val="baseline"/>
        </w:rPr>
        <w:t> </w:t>
      </w:r>
      <w:r>
        <w:rPr>
          <w:vertAlign w:val="baseline"/>
        </w:rPr>
        <w:t>but it does not matter that had the claimant’s permission been sought it </w:t>
      </w:r>
      <w:bookmarkStart w:name="_bookmark557" w:id="559"/>
      <w:bookmarkEnd w:id="559"/>
      <w:r>
        <w:rPr>
          <w:vertAlign w:val="baseline"/>
        </w:rPr>
        <w:t>would</w:t>
      </w:r>
      <w:r>
        <w:rPr>
          <w:vertAlign w:val="baseline"/>
        </w:rPr>
        <w:t> never have given it. </w:t>
      </w:r>
      <w:r>
        <w:rPr>
          <w:color w:val="005DA1"/>
          <w:u w:val="single" w:color="005DA1"/>
          <w:vertAlign w:val="superscript"/>
        </w:rPr>
        <w:t>306</w:t>
      </w:r>
      <w:r>
        <w:rPr>
          <w:color w:val="005DA1"/>
          <w:vertAlign w:val="baseline"/>
        </w:rPr>
        <w:t> </w:t>
      </w:r>
      <w:r>
        <w:rPr>
          <w:vertAlign w:val="baseline"/>
        </w:rPr>
        <w:t>Another possible explanation is that the award represents the value of the claimant’s right to use his property as he wished. </w:t>
      </w:r>
      <w:r>
        <w:rPr>
          <w:color w:val="005DA1"/>
          <w:u w:val="single" w:color="005DA1"/>
          <w:vertAlign w:val="superscript"/>
        </w:rPr>
        <w:t>307</w:t>
      </w:r>
      <w:r>
        <w:rPr>
          <w:color w:val="005DA1"/>
          <w:vertAlign w:val="baseline"/>
        </w:rPr>
        <w:t> </w:t>
      </w:r>
      <w:r>
        <w:rPr>
          <w:vertAlign w:val="baseline"/>
        </w:rPr>
        <w:t>At the very least it can be said that the same broad measure of damages previously applied in tort cases of deliberately wrongful interference may </w:t>
      </w:r>
      <w:bookmarkStart w:name="_bookmark558" w:id="560"/>
      <w:bookmarkEnd w:id="560"/>
      <w:r>
        <w:rPr>
          <w:vertAlign w:val="baseline"/>
        </w:rPr>
        <w:t>now</w:t>
      </w:r>
      <w:r>
        <w:rPr>
          <w:spacing w:val="9"/>
          <w:vertAlign w:val="baseline"/>
        </w:rPr>
        <w:t> </w:t>
      </w:r>
      <w:r>
        <w:rPr>
          <w:vertAlign w:val="baseline"/>
        </w:rPr>
        <w:t>be</w:t>
      </w:r>
      <w:r>
        <w:rPr>
          <w:spacing w:val="11"/>
          <w:vertAlign w:val="baseline"/>
        </w:rPr>
        <w:t> </w:t>
      </w:r>
      <w:r>
        <w:rPr>
          <w:vertAlign w:val="baseline"/>
        </w:rPr>
        <w:t>used</w:t>
      </w:r>
      <w:r>
        <w:rPr>
          <w:spacing w:val="11"/>
          <w:vertAlign w:val="baseline"/>
        </w:rPr>
        <w:t> </w:t>
      </w:r>
      <w:r>
        <w:rPr>
          <w:vertAlign w:val="baseline"/>
        </w:rPr>
        <w:t>in</w:t>
      </w:r>
      <w:r>
        <w:rPr>
          <w:spacing w:val="11"/>
          <w:vertAlign w:val="baseline"/>
        </w:rPr>
        <w:t> </w:t>
      </w:r>
      <w:r>
        <w:rPr>
          <w:vertAlign w:val="baseline"/>
        </w:rPr>
        <w:t>cases</w:t>
      </w:r>
      <w:r>
        <w:rPr>
          <w:spacing w:val="11"/>
          <w:vertAlign w:val="baseline"/>
        </w:rPr>
        <w:t> </w:t>
      </w:r>
      <w:r>
        <w:rPr>
          <w:vertAlign w:val="baseline"/>
        </w:rPr>
        <w:t>of</w:t>
      </w:r>
      <w:r>
        <w:rPr>
          <w:spacing w:val="11"/>
          <w:vertAlign w:val="baseline"/>
        </w:rPr>
        <w:t> </w:t>
      </w:r>
      <w:r>
        <w:rPr>
          <w:vertAlign w:val="baseline"/>
        </w:rPr>
        <w:t>breach</w:t>
      </w:r>
      <w:r>
        <w:rPr>
          <w:spacing w:val="11"/>
          <w:vertAlign w:val="baseline"/>
        </w:rPr>
        <w:t> </w:t>
      </w:r>
      <w:r>
        <w:rPr>
          <w:vertAlign w:val="baseline"/>
        </w:rPr>
        <w:t>of</w:t>
      </w:r>
      <w:r>
        <w:rPr>
          <w:spacing w:val="11"/>
          <w:vertAlign w:val="baseline"/>
        </w:rPr>
        <w:t> </w:t>
      </w:r>
      <w:r>
        <w:rPr>
          <w:vertAlign w:val="baseline"/>
        </w:rPr>
        <w:t>contract</w:t>
      </w:r>
      <w:r>
        <w:rPr>
          <w:spacing w:val="11"/>
          <w:vertAlign w:val="baseline"/>
        </w:rPr>
        <w:t> </w:t>
      </w:r>
      <w:r>
        <w:rPr>
          <w:vertAlign w:val="baseline"/>
        </w:rPr>
        <w:t>where</w:t>
      </w:r>
      <w:r>
        <w:rPr>
          <w:spacing w:val="11"/>
          <w:vertAlign w:val="baseline"/>
        </w:rPr>
        <w:t> </w:t>
      </w:r>
      <w:r>
        <w:rPr>
          <w:vertAlign w:val="baseline"/>
        </w:rPr>
        <w:t>the</w:t>
      </w:r>
      <w:r>
        <w:rPr>
          <w:spacing w:val="11"/>
          <w:vertAlign w:val="baseline"/>
        </w:rPr>
        <w:t> </w:t>
      </w:r>
      <w:r>
        <w:rPr>
          <w:vertAlign w:val="baseline"/>
        </w:rPr>
        <w:t>defendant</w:t>
      </w:r>
      <w:r>
        <w:rPr>
          <w:spacing w:val="11"/>
          <w:vertAlign w:val="baseline"/>
        </w:rPr>
        <w:t> </w:t>
      </w:r>
      <w:r>
        <w:rPr>
          <w:vertAlign w:val="baseline"/>
        </w:rPr>
        <w:t>acted</w:t>
      </w:r>
      <w:r>
        <w:rPr>
          <w:spacing w:val="11"/>
          <w:vertAlign w:val="baseline"/>
        </w:rPr>
        <w:t> </w:t>
      </w:r>
      <w:r>
        <w:rPr>
          <w:vertAlign w:val="baseline"/>
        </w:rPr>
        <w:t>in</w:t>
      </w:r>
      <w:r>
        <w:rPr>
          <w:spacing w:val="11"/>
          <w:vertAlign w:val="baseline"/>
        </w:rPr>
        <w:t> </w:t>
      </w:r>
      <w:r>
        <w:rPr>
          <w:vertAlign w:val="baseline"/>
        </w:rPr>
        <w:t>disregard</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spacing w:val="-2"/>
          <w:vertAlign w:val="baseline"/>
        </w:rPr>
        <w:t>claimant’s</w:t>
      </w:r>
    </w:p>
    <w:p>
      <w:pPr>
        <w:pStyle w:val="BodyText"/>
        <w:spacing w:before="113"/>
        <w:ind w:left="165"/>
        <w:jc w:val="both"/>
        <w:rPr>
          <w:position w:val="-2"/>
        </w:rPr>
      </w:pPr>
      <w:r>
        <w:rPr/>
        <w:t>rights </w:t>
      </w:r>
      <w:r>
        <w:rPr>
          <w:color w:val="005DA1"/>
          <w:u w:val="single" w:color="005DA1"/>
          <w:vertAlign w:val="superscript"/>
        </w:rPr>
        <w:t>308</w:t>
      </w:r>
      <w:r>
        <w:rPr>
          <w:color w:val="005DA1"/>
          <w:vertAlign w:val="baseline"/>
        </w:rPr>
        <w:t> </w:t>
      </w:r>
      <w:r>
        <w:rPr>
          <w:vertAlign w:val="baseline"/>
        </w:rPr>
        <w:t>but the latter cannot show that he suffered a loss. </w:t>
      </w:r>
      <w:r>
        <w:rPr>
          <w:color w:val="005DA1"/>
          <w:u w:val="single" w:color="005DA1"/>
          <w:vertAlign w:val="superscript"/>
        </w:rPr>
        <w:t>309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052</w:t>
      </w:r>
    </w:p>
    <w:p>
      <w:pPr>
        <w:pStyle w:val="BodyText"/>
        <w:spacing w:line="235" w:lineRule="auto" w:before="202"/>
        <w:ind w:left="164" w:right="167"/>
        <w:jc w:val="both"/>
      </w:pPr>
      <w:bookmarkStart w:name="_bookmark559" w:id="561"/>
      <w:bookmarkEnd w:id="561"/>
      <w:r>
        <w:rPr/>
      </w:r>
      <w:r>
        <w:rPr>
          <w:rFonts w:ascii="Arial" w:hAnsi="Arial"/>
          <w:i/>
        </w:rPr>
        <w:t>Wrotham Park </w:t>
      </w:r>
      <w:r>
        <w:rPr/>
        <w:t>damages have been awarded or discussed in a number of cases since </w:t>
      </w:r>
      <w:r>
        <w:rPr>
          <w:rFonts w:ascii="Arial" w:hAnsi="Arial"/>
          <w:i/>
        </w:rPr>
        <w:t>Att-Gen v Blake</w:t>
      </w:r>
      <w:r>
        <w:rPr/>
        <w:t>. </w:t>
      </w:r>
      <w:r>
        <w:rPr>
          <w:color w:val="005DA1"/>
          <w:u w:val="single" w:color="005DA1"/>
          <w:vertAlign w:val="superscript"/>
        </w:rPr>
        <w:t>310</w:t>
      </w:r>
      <w:r>
        <w:rPr>
          <w:color w:val="005DA1"/>
          <w:vertAlign w:val="baseline"/>
        </w:rPr>
        <w:t> </w:t>
      </w:r>
      <w:r>
        <w:rPr>
          <w:vertAlign w:val="baseline"/>
        </w:rPr>
        <w:t>Many of the cases have involved either infringements of intellectual property rights or</w:t>
      </w:r>
      <w:r>
        <w:rPr>
          <w:spacing w:val="40"/>
          <w:vertAlign w:val="baseline"/>
        </w:rPr>
        <w:t> </w:t>
      </w:r>
      <w:bookmarkStart w:name="_bookmark560" w:id="562"/>
      <w:bookmarkEnd w:id="562"/>
      <w:r>
        <w:rPr>
          <w:vertAlign w:val="baseline"/>
        </w:rPr>
        <w:t>breach</w:t>
      </w:r>
      <w:r>
        <w:rPr>
          <w:vertAlign w:val="baseline"/>
        </w:rPr>
        <w:t> of confidence. In the Privy Council case of </w:t>
      </w:r>
      <w:r>
        <w:rPr>
          <w:rFonts w:ascii="Arial" w:hAnsi="Arial"/>
          <w:i/>
          <w:vertAlign w:val="baseline"/>
        </w:rPr>
        <w:t>Pell Frischmann Engineering Ltd v Bow Valley Iran Ltd</w:t>
      </w:r>
      <w:r>
        <w:rPr>
          <w:vertAlign w:val="baseline"/>
        </w:rPr>
        <w:t>, </w:t>
      </w:r>
      <w:r>
        <w:rPr>
          <w:color w:val="005DA1"/>
          <w:u w:val="single" w:color="005DA1"/>
          <w:vertAlign w:val="superscript"/>
        </w:rPr>
        <w:t>311</w:t>
      </w:r>
      <w:r>
        <w:rPr>
          <w:color w:val="005DA1"/>
          <w:vertAlign w:val="baseline"/>
        </w:rPr>
        <w:t> </w:t>
      </w:r>
      <w:r>
        <w:rPr>
          <w:vertAlign w:val="baseline"/>
        </w:rPr>
        <w:t>a case of breach of confidence, Lord Walker said that the phrase “</w:t>
      </w:r>
      <w:r>
        <w:rPr>
          <w:rFonts w:ascii="Arial" w:hAnsi="Arial"/>
          <w:i/>
          <w:vertAlign w:val="baseline"/>
        </w:rPr>
        <w:t>Wrotham Park </w:t>
      </w:r>
      <w:r>
        <w:rPr>
          <w:vertAlign w:val="baseline"/>
        </w:rPr>
        <w:t>damages” is mostly</w:t>
      </w:r>
      <w:r>
        <w:rPr>
          <w:spacing w:val="1"/>
          <w:vertAlign w:val="baseline"/>
        </w:rPr>
        <w:t> </w:t>
      </w:r>
      <w:r>
        <w:rPr>
          <w:vertAlign w:val="baseline"/>
        </w:rPr>
        <w:t>helpfully</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describe</w:t>
      </w:r>
      <w:r>
        <w:rPr>
          <w:spacing w:val="1"/>
          <w:vertAlign w:val="baseline"/>
        </w:rPr>
        <w:t> </w:t>
      </w:r>
      <w:r>
        <w:rPr>
          <w:vertAlign w:val="baseline"/>
        </w:rPr>
        <w:t>damages</w:t>
      </w:r>
      <w:r>
        <w:rPr>
          <w:spacing w:val="1"/>
          <w:vertAlign w:val="baseline"/>
        </w:rPr>
        <w:t> </w:t>
      </w:r>
      <w:r>
        <w:rPr>
          <w:vertAlign w:val="baseline"/>
        </w:rPr>
        <w:t>awarded</w:t>
      </w:r>
      <w:r>
        <w:rPr>
          <w:spacing w:val="1"/>
          <w:vertAlign w:val="baseline"/>
        </w:rPr>
        <w:t> </w:t>
      </w:r>
      <w:r>
        <w:rPr>
          <w:vertAlign w:val="baseline"/>
        </w:rPr>
        <w:t>in</w:t>
      </w:r>
      <w:r>
        <w:rPr>
          <w:spacing w:val="1"/>
          <w:vertAlign w:val="baseline"/>
        </w:rPr>
        <w:t> </w:t>
      </w:r>
      <w:r>
        <w:rPr>
          <w:vertAlign w:val="baseline"/>
        </w:rPr>
        <w:t>lieu</w:t>
      </w:r>
      <w:r>
        <w:rPr>
          <w:spacing w:val="1"/>
          <w:vertAlign w:val="baseline"/>
        </w:rPr>
        <w:t> </w:t>
      </w:r>
      <w:r>
        <w:rPr>
          <w:vertAlign w:val="baseline"/>
        </w:rPr>
        <w:t>of</w:t>
      </w:r>
      <w:r>
        <w:rPr>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or</w:t>
      </w:r>
      <w:r>
        <w:rPr>
          <w:spacing w:val="1"/>
          <w:vertAlign w:val="baseline"/>
        </w:rPr>
        <w:t> </w:t>
      </w:r>
      <w:r>
        <w:rPr>
          <w:vertAlign w:val="baseline"/>
        </w:rPr>
        <w:t>injunction</w:t>
      </w:r>
      <w:r>
        <w:rPr>
          <w:spacing w:val="1"/>
          <w:vertAlign w:val="baseline"/>
        </w:rPr>
        <w:t> </w:t>
      </w:r>
      <w:r>
        <w:rPr>
          <w:spacing w:val="-2"/>
          <w:vertAlign w:val="baseline"/>
        </w:rPr>
        <w:t>under</w:t>
      </w:r>
    </w:p>
    <w:p>
      <w:pPr>
        <w:pStyle w:val="BodyText"/>
        <w:spacing w:line="235" w:lineRule="auto"/>
        <w:ind w:left="165" w:right="167"/>
        <w:jc w:val="both"/>
      </w:pPr>
      <w:r>
        <w:rPr/>
        <w:t>s.2 of Lord Cairns’ Act, including both cases involving invasion of a proprietary right and </w:t>
      </w:r>
      <w:r>
        <w:rPr/>
        <w:t>cases involving other breaches of contract.</w:t>
      </w:r>
    </w:p>
    <w:p>
      <w:pPr>
        <w:pStyle w:val="BodyText"/>
        <w:spacing w:before="84"/>
      </w:pPr>
    </w:p>
    <w:p>
      <w:pPr>
        <w:spacing w:before="0"/>
        <w:ind w:left="165" w:right="0" w:firstLine="0"/>
        <w:jc w:val="both"/>
        <w:rPr>
          <w:sz w:val="20"/>
        </w:rPr>
      </w:pPr>
      <w:r>
        <w:rPr>
          <w:sz w:val="20"/>
        </w:rPr>
        <w:t>Lord Walker continued that the cases on</w:t>
      </w:r>
      <w:r>
        <w:rPr>
          <w:spacing w:val="-1"/>
          <w:sz w:val="20"/>
        </w:rPr>
        <w:t> </w:t>
      </w:r>
      <w:r>
        <w:rPr>
          <w:rFonts w:ascii="Arial"/>
          <w:i/>
          <w:sz w:val="20"/>
        </w:rPr>
        <w:t>Wrotham Park</w:t>
      </w:r>
      <w:r>
        <w:rPr>
          <w:rFonts w:ascii="Arial"/>
          <w:i/>
          <w:spacing w:val="-1"/>
          <w:sz w:val="20"/>
        </w:rPr>
        <w:t> </w:t>
      </w:r>
      <w:r>
        <w:rPr>
          <w:spacing w:val="-2"/>
          <w:sz w:val="20"/>
        </w:rPr>
        <w:t>damages:</w:t>
      </w:r>
    </w:p>
    <w:p>
      <w:pPr>
        <w:pStyle w:val="BodyText"/>
      </w:pPr>
    </w:p>
    <w:p>
      <w:pPr>
        <w:pStyle w:val="BodyText"/>
        <w:spacing w:before="121"/>
      </w:pPr>
    </w:p>
    <w:p>
      <w:pPr>
        <w:spacing w:before="1"/>
        <w:ind w:left="1245" w:right="0" w:firstLine="0"/>
        <w:jc w:val="left"/>
        <w:rPr>
          <w:sz w:val="20"/>
        </w:rPr>
      </w:pPr>
      <w:r>
        <w:rPr>
          <w:sz w:val="20"/>
        </w:rPr>
        <w:t>“…</w:t>
      </w:r>
      <w:r>
        <w:rPr>
          <w:spacing w:val="-3"/>
          <w:sz w:val="20"/>
        </w:rPr>
        <w:t> </w:t>
      </w:r>
      <w:r>
        <w:rPr>
          <w:sz w:val="20"/>
        </w:rPr>
        <w:t>establish the following general principles …: [</w:t>
      </w:r>
      <w:r>
        <w:rPr>
          <w:rFonts w:ascii="Arial" w:hAnsi="Arial"/>
          <w:i/>
          <w:sz w:val="20"/>
        </w:rPr>
        <w:t>citations </w:t>
      </w:r>
      <w:r>
        <w:rPr>
          <w:rFonts w:ascii="Arial" w:hAnsi="Arial"/>
          <w:i/>
          <w:spacing w:val="-2"/>
          <w:sz w:val="20"/>
        </w:rPr>
        <w:t>omitted</w:t>
      </w:r>
      <w:r>
        <w:rPr>
          <w:spacing w:val="-2"/>
          <w:sz w:val="20"/>
        </w:rPr>
        <w:t>]</w:t>
      </w:r>
    </w:p>
    <w:p>
      <w:pPr>
        <w:pStyle w:val="BodyText"/>
      </w:pPr>
    </w:p>
    <w:p>
      <w:pPr>
        <w:pStyle w:val="BodyText"/>
      </w:pPr>
    </w:p>
    <w:p>
      <w:pPr>
        <w:pStyle w:val="BodyText"/>
        <w:spacing w:before="191"/>
      </w:pPr>
    </w:p>
    <w:p>
      <w:pPr>
        <w:pStyle w:val="BodyText"/>
        <w:spacing w:before="1"/>
        <w:ind w:left="1245"/>
      </w:pPr>
      <w:r>
        <w:rPr>
          <w:spacing w:val="-5"/>
        </w:rPr>
        <w:t>(1)</w:t>
      </w:r>
    </w:p>
    <w:p>
      <w:pPr>
        <w:pStyle w:val="BodyText"/>
        <w:spacing w:line="235" w:lineRule="auto" w:before="113"/>
        <w:ind w:left="1725" w:right="167"/>
        <w:jc w:val="both"/>
      </w:pPr>
      <w:r>
        <w:rPr/>
        <w:t>Damages (often termed ‘user damage’) are readily awarded at common law for the invasion of rights to tangible moveable or immoveable property (by </w:t>
      </w:r>
      <w:r>
        <w:rPr/>
        <w:t>detinue, conversion or trespass): …</w:t>
      </w:r>
    </w:p>
    <w:p>
      <w:pPr>
        <w:pStyle w:val="BodyText"/>
      </w:pPr>
    </w:p>
    <w:p>
      <w:pPr>
        <w:pStyle w:val="BodyText"/>
        <w:spacing w:before="35"/>
      </w:pPr>
    </w:p>
    <w:p>
      <w:pPr>
        <w:pStyle w:val="BodyText"/>
        <w:ind w:left="1245"/>
      </w:pPr>
      <w:r>
        <w:rPr>
          <w:spacing w:val="-5"/>
        </w:rPr>
        <w:t>(2)</w:t>
      </w:r>
    </w:p>
    <w:p>
      <w:pPr>
        <w:pStyle w:val="BodyText"/>
        <w:spacing w:line="235" w:lineRule="auto" w:before="114"/>
        <w:ind w:left="1725" w:right="174"/>
      </w:pPr>
      <w:r>
        <w:rPr/>
        <w:t>Damages are also available on a similar basis for patent infringement and </w:t>
      </w:r>
      <w:r>
        <w:rPr/>
        <w:t>breaches of other intellectual property rights of a proprietary character: …</w:t>
      </w:r>
    </w:p>
    <w:p>
      <w:pPr>
        <w:pStyle w:val="BodyText"/>
      </w:pPr>
    </w:p>
    <w:p>
      <w:pPr>
        <w:pStyle w:val="BodyText"/>
        <w:spacing w:before="36"/>
      </w:pPr>
    </w:p>
    <w:p>
      <w:pPr>
        <w:pStyle w:val="BodyText"/>
        <w:ind w:left="1245"/>
      </w:pPr>
      <w:r>
        <w:rPr>
          <w:spacing w:val="-5"/>
        </w:rPr>
        <w:t>(3)</w:t>
      </w:r>
    </w:p>
    <w:p>
      <w:pPr>
        <w:pStyle w:val="BodyText"/>
        <w:spacing w:line="235" w:lineRule="auto" w:before="113"/>
        <w:ind w:left="1725" w:right="167"/>
        <w:jc w:val="both"/>
      </w:pPr>
      <w:r>
        <w:rPr/>
        <w:t>Damages under Lord Cairns’s Act are intended to provide compensation for </w:t>
      </w:r>
      <w:r>
        <w:rPr/>
        <w:t>the court’s decision not to grant equitable relief in the form of an order for specific performance or an injunction in cases where the court has jurisdiction to entertain</w:t>
      </w:r>
      <w:r>
        <w:rPr>
          <w:spacing w:val="40"/>
        </w:rPr>
        <w:t> </w:t>
      </w:r>
      <w:r>
        <w:rPr/>
        <w:t>an application for such relief: … The breach of a restrictive covenant is also generally regarded as the invasion of a property right … since a restrictive covenant is akin to a negative easement. (It is therefore a little surprising that Lord Nicholls in </w:t>
      </w:r>
      <w:r>
        <w:rPr>
          <w:rFonts w:ascii="Arial" w:hAnsi="Arial"/>
          <w:i/>
        </w:rPr>
        <w:t>Blake </w:t>
      </w:r>
      <w:r>
        <w:rPr/>
        <w:t>… referred to </w:t>
      </w:r>
      <w:r>
        <w:rPr>
          <w:rFonts w:ascii="Arial" w:hAnsi="Arial"/>
          <w:i/>
        </w:rPr>
        <w:t>Wrotham Park </w:t>
      </w:r>
      <w:r>
        <w:rPr/>
        <w:t>as a ‘solitary beacon’ concerned with breach of contract; that case was concerned with the breach of a restrictive covenant to which neither the plaintiff nor the defendant was a party; but the decision of the House of Lords</w:t>
      </w:r>
      <w:r>
        <w:rPr>
          <w:spacing w:val="40"/>
        </w:rPr>
        <w:t> </w:t>
      </w:r>
      <w:r>
        <w:rPr/>
        <w:t>in</w:t>
      </w:r>
      <w:r>
        <w:rPr>
          <w:spacing w:val="40"/>
        </w:rPr>
        <w:t> </w:t>
      </w:r>
      <w:r>
        <w:rPr>
          <w:rFonts w:ascii="Arial" w:hAnsi="Arial"/>
          <w:i/>
        </w:rPr>
        <w:t>Blake</w:t>
      </w:r>
      <w:r>
        <w:rPr>
          <w:rFonts w:ascii="Arial" w:hAnsi="Arial"/>
          <w:i/>
          <w:spacing w:val="40"/>
        </w:rPr>
        <w:t> </w:t>
      </w:r>
      <w:r>
        <w:rPr/>
        <w:t>decisively</w:t>
      </w:r>
      <w:r>
        <w:rPr>
          <w:spacing w:val="40"/>
        </w:rPr>
        <w:t> </w:t>
      </w:r>
      <w:r>
        <w:rPr/>
        <w:t>covers</w:t>
      </w:r>
      <w:r>
        <w:rPr>
          <w:spacing w:val="40"/>
        </w:rPr>
        <w:t> </w:t>
      </w:r>
      <w:r>
        <w:rPr/>
        <w:t>what</w:t>
      </w:r>
      <w:r>
        <w:rPr>
          <w:spacing w:val="40"/>
        </w:rPr>
        <w:t> </w:t>
      </w:r>
      <w:r>
        <w:rPr/>
        <w:t>their</w:t>
      </w:r>
      <w:r>
        <w:rPr>
          <w:spacing w:val="40"/>
        </w:rPr>
        <w:t> </w:t>
      </w:r>
      <w:r>
        <w:rPr/>
        <w:t>Lordships</w:t>
      </w:r>
      <w:r>
        <w:rPr>
          <w:spacing w:val="40"/>
        </w:rPr>
        <w:t> </w:t>
      </w:r>
      <w:r>
        <w:rPr/>
        <w:t>have</w:t>
      </w:r>
      <w:r>
        <w:rPr>
          <w:spacing w:val="40"/>
        </w:rPr>
        <w:t> </w:t>
      </w:r>
      <w:r>
        <w:rPr/>
        <w:t>referred</w:t>
      </w:r>
      <w:r>
        <w:rPr>
          <w:spacing w:val="40"/>
        </w:rPr>
        <w:t> </w:t>
      </w:r>
      <w:r>
        <w:rPr/>
        <w:t>to</w:t>
      </w:r>
      <w:r>
        <w:rPr>
          <w:spacing w:val="40"/>
        </w:rPr>
        <w:t> </w:t>
      </w:r>
      <w:r>
        <w:rPr/>
        <w:t>as</w:t>
      </w:r>
      <w:r>
        <w:rPr>
          <w:spacing w:val="40"/>
        </w:rPr>
        <w:t> </w:t>
      </w:r>
      <w:r>
        <w:rPr/>
        <w:t>a non-proprietary breach of contract.)</w:t>
      </w:r>
    </w:p>
    <w:p>
      <w:pPr>
        <w:pStyle w:val="BodyText"/>
      </w:pPr>
    </w:p>
    <w:p>
      <w:pPr>
        <w:pStyle w:val="BodyText"/>
        <w:spacing w:before="32"/>
      </w:pPr>
    </w:p>
    <w:p>
      <w:pPr>
        <w:pStyle w:val="BodyText"/>
        <w:spacing w:before="1"/>
        <w:ind w:left="1245"/>
      </w:pPr>
      <w:r>
        <w:rPr>
          <w:spacing w:val="-5"/>
        </w:rPr>
        <w:t>(4)</w:t>
      </w:r>
    </w:p>
    <w:p>
      <w:pPr>
        <w:pStyle w:val="BodyText"/>
        <w:spacing w:line="235" w:lineRule="auto" w:before="113"/>
        <w:ind w:left="1725" w:right="167"/>
        <w:jc w:val="both"/>
      </w:pPr>
      <w:r>
        <w:rPr/>
        <w:t>Damages under this head … represent ‘such a sum of money as might </w:t>
      </w:r>
      <w:r>
        <w:rPr/>
        <w:t>reasonably have been demanded by [the claimant] from [the defendant] as a quid pro quo for [permitting the continuation of the breach of covenant or other invasion of right]’ …</w:t>
      </w:r>
    </w:p>
    <w:p>
      <w:pPr>
        <w:pStyle w:val="BodyText"/>
      </w:pPr>
    </w:p>
    <w:p>
      <w:pPr>
        <w:pStyle w:val="BodyText"/>
        <w:spacing w:before="35"/>
      </w:pPr>
    </w:p>
    <w:p>
      <w:pPr>
        <w:pStyle w:val="BodyText"/>
        <w:spacing w:before="1"/>
        <w:ind w:left="1245"/>
      </w:pPr>
      <w:r>
        <w:rPr>
          <w:spacing w:val="-5"/>
        </w:rPr>
        <w:t>(5)</w:t>
      </w:r>
    </w:p>
    <w:p>
      <w:pPr>
        <w:pStyle w:val="BodyText"/>
        <w:spacing w:line="235" w:lineRule="auto" w:before="113"/>
        <w:ind w:left="1725" w:right="167"/>
        <w:jc w:val="both"/>
      </w:pPr>
      <w:r>
        <w:rPr/>
        <w:t>Although damages under Lord Cairns’s Act are awarded in lieu of an injunction it </w:t>
      </w:r>
      <w:r>
        <w:rPr/>
        <w:t>is not necessary that an injunction should actually have been claimed in the </w:t>
      </w:r>
      <w:bookmarkStart w:name="_bookmark561" w:id="563"/>
      <w:bookmarkEnd w:id="563"/>
      <w:r>
        <w:rPr/>
        <w:t>proceedings,</w:t>
      </w:r>
      <w:r>
        <w:rPr/>
        <w:t> or that there should have been any prospect, on the facts, of it being granted: …” </w:t>
      </w:r>
      <w:r>
        <w:rPr>
          <w:color w:val="005DA1"/>
          <w:u w:val="single" w:color="005DA1"/>
          <w:vertAlign w:val="superscript"/>
        </w:rPr>
        <w:t>312</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Breach of contract </w:t>
      </w:r>
      <w:r>
        <w:rPr>
          <w:rFonts w:ascii="Arial"/>
          <w:b/>
          <w:spacing w:val="-2"/>
          <w:sz w:val="18"/>
        </w:rPr>
        <w:t>cases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053</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0"/>
        </w:rPr>
        <w:t> </w:t>
      </w:r>
      <w:r>
        <w:rPr/>
        <w:t>Where there has been only a breach of contract and not an infringement of property rights or </w:t>
      </w:r>
      <w:bookmarkStart w:name="_bookmark562" w:id="564"/>
      <w:bookmarkEnd w:id="564"/>
      <w:r>
        <w:rPr/>
        <w:t>breach</w:t>
      </w:r>
      <w:r>
        <w:rPr/>
        <w:t> of confidence, the court may be willing to make an award on the “hypothetical bargain” basis </w:t>
      </w:r>
      <w:bookmarkStart w:name="_bookmark563" w:id="565"/>
      <w:bookmarkEnd w:id="565"/>
      <w:r>
        <w:rPr/>
        <w:t>only</w:t>
      </w:r>
      <w:r>
        <w:rPr/>
        <w:t> if there are special circumstances to justify it. Thus in </w:t>
      </w:r>
      <w:r>
        <w:rPr>
          <w:rFonts w:ascii="Arial" w:hAnsi="Arial"/>
          <w:i/>
        </w:rPr>
        <w:t>Experience Hendrix </w:t>
      </w:r>
      <w:r>
        <w:rPr>
          <w:color w:val="005DA1"/>
          <w:u w:val="single" w:color="005DA1"/>
          <w:vertAlign w:val="superscript"/>
        </w:rPr>
        <w:t>313</w:t>
      </w:r>
      <w:r>
        <w:rPr>
          <w:color w:val="005DA1"/>
          <w:vertAlign w:val="baseline"/>
        </w:rPr>
        <w:t> </w:t>
      </w:r>
      <w:r>
        <w:rPr>
          <w:vertAlign w:val="baseline"/>
        </w:rPr>
        <w:t>the Court of Appeal used some of the factors relevant to the granting of an account of profits </w:t>
      </w:r>
      <w:r>
        <w:rPr>
          <w:color w:val="005DA1"/>
          <w:u w:val="single" w:color="005DA1"/>
          <w:vertAlign w:val="superscript"/>
        </w:rPr>
        <w:t>314</w:t>
      </w:r>
      <w:r>
        <w:rPr>
          <w:color w:val="005DA1"/>
          <w:vertAlign w:val="baseline"/>
        </w:rPr>
        <w:t> </w:t>
      </w:r>
      <w:r>
        <w:rPr>
          <w:vertAlign w:val="baseline"/>
        </w:rPr>
        <w:t>as also relevant to </w:t>
      </w:r>
      <w:r>
        <w:rPr>
          <w:vertAlign w:val="baseline"/>
        </w:rPr>
        <w:t>their </w:t>
      </w:r>
      <w:bookmarkStart w:name="_bookmark564" w:id="566"/>
      <w:bookmarkEnd w:id="566"/>
      <w:r>
        <w:rPr>
          <w:vertAlign w:val="baseline"/>
        </w:rPr>
        <w:t>discretion</w:t>
      </w:r>
      <w:r>
        <w:rPr>
          <w:vertAlign w:val="baseline"/>
        </w:rPr>
        <w:t> to grant </w:t>
      </w:r>
      <w:r>
        <w:rPr>
          <w:rFonts w:ascii="Arial" w:hAnsi="Arial"/>
          <w:i/>
          <w:vertAlign w:val="baseline"/>
        </w:rPr>
        <w:t>Wrotham Park </w:t>
      </w:r>
      <w:r>
        <w:rPr>
          <w:vertAlign w:val="baseline"/>
        </w:rPr>
        <w:t>damages. The court took into account the fact that the defendant </w:t>
      </w:r>
      <w:bookmarkStart w:name="_bookmark565" w:id="567"/>
      <w:bookmarkEnd w:id="567"/>
      <w:r>
        <w:rPr>
          <w:vertAlign w:val="baseline"/>
        </w:rPr>
        <w:t>“did</w:t>
      </w:r>
      <w:r>
        <w:rPr>
          <w:vertAlign w:val="baseline"/>
        </w:rPr>
        <w:t> do the very thing it had contracted not to do” </w:t>
      </w:r>
      <w:r>
        <w:rPr>
          <w:color w:val="005DA1"/>
          <w:u w:val="single" w:color="005DA1"/>
          <w:vertAlign w:val="superscript"/>
        </w:rPr>
        <w:t>315</w:t>
      </w:r>
      <w:r>
        <w:rPr>
          <w:vertAlign w:val="baseline"/>
        </w:rPr>
        <w:t>; that the defendant “knew that it was doing </w:t>
      </w:r>
      <w:bookmarkStart w:name="_bookmark566" w:id="568"/>
      <w:bookmarkEnd w:id="568"/>
      <w:r>
        <w:rPr>
          <w:vertAlign w:val="baseline"/>
        </w:rPr>
        <w:t>something</w:t>
      </w:r>
      <w:r>
        <w:rPr>
          <w:vertAlign w:val="baseline"/>
        </w:rPr>
        <w:t> which it had contracted not to do” </w:t>
      </w:r>
      <w:r>
        <w:rPr>
          <w:color w:val="005DA1"/>
          <w:u w:val="single" w:color="005DA1"/>
          <w:vertAlign w:val="superscript"/>
        </w:rPr>
        <w:t>316</w:t>
      </w:r>
      <w:r>
        <w:rPr>
          <w:vertAlign w:val="baseline"/>
        </w:rPr>
        <w:t>; that it was a “deliberate breach”, </w:t>
      </w:r>
      <w:r>
        <w:rPr>
          <w:color w:val="005DA1"/>
          <w:u w:val="single" w:color="005DA1"/>
          <w:vertAlign w:val="superscript"/>
        </w:rPr>
        <w:t>317</w:t>
      </w:r>
      <w:r>
        <w:rPr>
          <w:color w:val="005DA1"/>
          <w:vertAlign w:val="baseline"/>
        </w:rPr>
        <w:t> </w:t>
      </w:r>
      <w:r>
        <w:rPr>
          <w:vertAlign w:val="baseline"/>
        </w:rPr>
        <w:t>a “flagrant </w:t>
      </w:r>
      <w:bookmarkStart w:name="_bookmark567" w:id="569"/>
      <w:bookmarkEnd w:id="569"/>
      <w:r>
        <w:rPr>
          <w:vertAlign w:val="baseline"/>
        </w:rPr>
        <w:t>contravention”</w:t>
      </w:r>
      <w:r>
        <w:rPr>
          <w:spacing w:val="12"/>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defendant’s</w:t>
      </w:r>
      <w:r>
        <w:rPr>
          <w:spacing w:val="13"/>
          <w:vertAlign w:val="baseline"/>
        </w:rPr>
        <w:t> </w:t>
      </w:r>
      <w:r>
        <w:rPr>
          <w:vertAlign w:val="baseline"/>
        </w:rPr>
        <w:t>obligation.</w:t>
      </w:r>
      <w:r>
        <w:rPr>
          <w:spacing w:val="12"/>
          <w:vertAlign w:val="baseline"/>
        </w:rPr>
        <w:t> </w:t>
      </w:r>
      <w:r>
        <w:rPr>
          <w:color w:val="005DA1"/>
          <w:u w:val="single" w:color="005DA1"/>
          <w:vertAlign w:val="superscript"/>
        </w:rPr>
        <w:t>318</w:t>
      </w:r>
      <w:r>
        <w:rPr>
          <w:color w:val="005DA1"/>
          <w:spacing w:val="12"/>
          <w:vertAlign w:val="baseline"/>
        </w:rPr>
        <w:t> </w:t>
      </w:r>
      <w:r>
        <w:rPr>
          <w:vertAlign w:val="baseline"/>
        </w:rPr>
        <w:t>In</w:t>
      </w:r>
      <w:r>
        <w:rPr>
          <w:spacing w:val="12"/>
          <w:vertAlign w:val="baseline"/>
        </w:rPr>
        <w:t> </w:t>
      </w:r>
      <w:r>
        <w:rPr>
          <w:vertAlign w:val="baseline"/>
        </w:rPr>
        <w:t>cases</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breach</w:t>
      </w:r>
      <w:r>
        <w:rPr>
          <w:spacing w:val="13"/>
          <w:vertAlign w:val="baseline"/>
        </w:rPr>
        <w:t> </w:t>
      </w:r>
      <w:r>
        <w:rPr>
          <w:vertAlign w:val="baseline"/>
        </w:rPr>
        <w:t>of</w:t>
      </w:r>
      <w:r>
        <w:rPr>
          <w:spacing w:val="13"/>
          <w:vertAlign w:val="baseline"/>
        </w:rPr>
        <w:t> </w:t>
      </w:r>
      <w:r>
        <w:rPr>
          <w:vertAlign w:val="baseline"/>
        </w:rPr>
        <w:t>non-competition</w:t>
      </w:r>
      <w:r>
        <w:rPr>
          <w:spacing w:val="12"/>
          <w:vertAlign w:val="baseline"/>
        </w:rPr>
        <w:t> </w:t>
      </w:r>
      <w:r>
        <w:rPr>
          <w:vertAlign w:val="baseline"/>
        </w:rPr>
        <w:t>clauses</w:t>
      </w:r>
      <w:r>
        <w:rPr>
          <w:spacing w:val="13"/>
          <w:vertAlign w:val="baseline"/>
        </w:rPr>
        <w:t> </w:t>
      </w:r>
      <w:r>
        <w:rPr>
          <w:vertAlign w:val="baseline"/>
        </w:rPr>
        <w:t>in</w:t>
      </w:r>
      <w:r>
        <w:rPr>
          <w:spacing w:val="13"/>
          <w:vertAlign w:val="baseline"/>
        </w:rPr>
        <w:t> </w:t>
      </w:r>
      <w:r>
        <w:rPr>
          <w:spacing w:val="-10"/>
          <w:vertAlign w:val="baseline"/>
        </w:rPr>
        <w:t>a</w:t>
      </w:r>
    </w:p>
    <w:p>
      <w:pPr>
        <w:pStyle w:val="BodyText"/>
        <w:spacing w:line="227" w:lineRule="exact" w:before="113"/>
        <w:ind w:left="164"/>
        <w:jc w:val="both"/>
        <w:rPr>
          <w:position w:val="-2"/>
        </w:rPr>
      </w:pPr>
      <w:r>
        <w:rPr/>
        <w:t>sale</w:t>
      </w:r>
      <w:r>
        <w:rPr>
          <w:spacing w:val="13"/>
        </w:rPr>
        <w:t> </w:t>
      </w:r>
      <w:r>
        <w:rPr/>
        <w:t>of</w:t>
      </w:r>
      <w:r>
        <w:rPr>
          <w:spacing w:val="13"/>
        </w:rPr>
        <w:t> </w:t>
      </w:r>
      <w:r>
        <w:rPr/>
        <w:t>a</w:t>
      </w:r>
      <w:r>
        <w:rPr>
          <w:spacing w:val="13"/>
        </w:rPr>
        <w:t> </w:t>
      </w:r>
      <w:r>
        <w:rPr/>
        <w:t>business,</w:t>
      </w:r>
      <w:r>
        <w:rPr>
          <w:spacing w:val="13"/>
        </w:rPr>
        <w:t> </w:t>
      </w:r>
      <w:r>
        <w:rPr/>
        <w:t>a</w:t>
      </w:r>
      <w:r>
        <w:rPr>
          <w:spacing w:val="13"/>
        </w:rPr>
        <w:t> </w:t>
      </w:r>
      <w:r>
        <w:rPr/>
        <w:t>fourth</w:t>
      </w:r>
      <w:r>
        <w:rPr>
          <w:spacing w:val="13"/>
        </w:rPr>
        <w:t> </w:t>
      </w:r>
      <w:r>
        <w:rPr/>
        <w:t>factor</w:t>
      </w:r>
      <w:r>
        <w:rPr>
          <w:spacing w:val="13"/>
        </w:rPr>
        <w:t> </w:t>
      </w:r>
      <w:r>
        <w:rPr/>
        <w:t>is</w:t>
      </w:r>
      <w:r>
        <w:rPr>
          <w:spacing w:val="13"/>
        </w:rPr>
        <w:t> </w:t>
      </w:r>
      <w:r>
        <w:rPr/>
        <w:t>whether</w:t>
      </w:r>
      <w:r>
        <w:rPr>
          <w:spacing w:val="13"/>
        </w:rPr>
        <w:t> </w:t>
      </w:r>
      <w:r>
        <w:rPr/>
        <w:t>it</w:t>
      </w:r>
      <w:r>
        <w:rPr>
          <w:spacing w:val="13"/>
        </w:rPr>
        <w:t> </w:t>
      </w:r>
      <w:r>
        <w:rPr/>
        <w:t>is</w:t>
      </w:r>
      <w:r>
        <w:rPr>
          <w:spacing w:val="13"/>
        </w:rPr>
        <w:t> </w:t>
      </w:r>
      <w:r>
        <w:rPr/>
        <w:t>doubtful</w:t>
      </w:r>
      <w:r>
        <w:rPr>
          <w:spacing w:val="13"/>
        </w:rPr>
        <w:t> </w:t>
      </w:r>
      <w:r>
        <w:rPr/>
        <w:t>that</w:t>
      </w:r>
      <w:r>
        <w:rPr>
          <w:spacing w:val="13"/>
        </w:rPr>
        <w:t> </w:t>
      </w:r>
      <w:r>
        <w:rPr/>
        <w:t>interim</w:t>
      </w:r>
      <w:r>
        <w:rPr>
          <w:spacing w:val="13"/>
        </w:rPr>
        <w:t> </w:t>
      </w:r>
      <w:r>
        <w:rPr/>
        <w:t>relief</w:t>
      </w:r>
      <w:r>
        <w:rPr>
          <w:spacing w:val="13"/>
        </w:rPr>
        <w:t> </w:t>
      </w:r>
      <w:r>
        <w:rPr/>
        <w:t>could</w:t>
      </w:r>
      <w:r>
        <w:rPr>
          <w:spacing w:val="13"/>
        </w:rPr>
        <w:t> </w:t>
      </w:r>
      <w:r>
        <w:rPr/>
        <w:t>be</w:t>
      </w:r>
      <w:r>
        <w:rPr>
          <w:spacing w:val="13"/>
        </w:rPr>
        <w:t> </w:t>
      </w:r>
      <w:r>
        <w:rPr/>
        <w:t>obtained.</w:t>
      </w:r>
      <w:r>
        <w:rPr>
          <w:spacing w:val="12"/>
        </w:rPr>
        <w:t> </w:t>
      </w:r>
      <w:r>
        <w:rPr>
          <w:color w:val="005DA1"/>
          <w:u w:val="single" w:color="005DA1"/>
          <w:vertAlign w:val="superscript"/>
        </w:rPr>
        <w:t>319</w:t>
      </w:r>
      <w:r>
        <w:rPr>
          <w:color w:val="005DA1"/>
          <w:spacing w:val="40"/>
          <w:vertAlign w:val="baseline"/>
        </w:rPr>
        <w:t>  </w:t>
      </w:r>
      <w:r>
        <w:rPr>
          <w:color w:val="005DA1"/>
          <w:spacing w:val="23"/>
          <w:position w:val="-2"/>
          <w:vertAlign w:val="baseline"/>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p>
    <w:p>
      <w:pPr>
        <w:pStyle w:val="BodyText"/>
        <w:spacing w:line="227" w:lineRule="exact"/>
        <w:ind w:left="165"/>
        <w:jc w:val="both"/>
      </w:pPr>
      <w:bookmarkStart w:name="_bookmark568" w:id="570"/>
      <w:bookmarkEnd w:id="570"/>
      <w:r>
        <w:rPr/>
      </w:r>
      <w:r>
        <w:rPr/>
        <w:t>However,</w:t>
      </w:r>
      <w:r>
        <w:rPr>
          <w:spacing w:val="8"/>
        </w:rPr>
        <w:t> </w:t>
      </w:r>
      <w:r>
        <w:rPr/>
        <w:t>the</w:t>
      </w:r>
      <w:r>
        <w:rPr>
          <w:spacing w:val="8"/>
        </w:rPr>
        <w:t> </w:t>
      </w:r>
      <w:r>
        <w:rPr/>
        <w:t>circumstances</w:t>
      </w:r>
      <w:r>
        <w:rPr>
          <w:spacing w:val="8"/>
        </w:rPr>
        <w:t> </w:t>
      </w:r>
      <w:r>
        <w:rPr/>
        <w:t>need</w:t>
      </w:r>
      <w:r>
        <w:rPr>
          <w:spacing w:val="8"/>
        </w:rPr>
        <w:t> </w:t>
      </w:r>
      <w:r>
        <w:rPr/>
        <w:t>not</w:t>
      </w:r>
      <w:r>
        <w:rPr>
          <w:spacing w:val="8"/>
        </w:rPr>
        <w:t> </w:t>
      </w:r>
      <w:r>
        <w:rPr/>
        <w:t>be</w:t>
      </w:r>
      <w:r>
        <w:rPr>
          <w:spacing w:val="8"/>
        </w:rPr>
        <w:t> </w:t>
      </w:r>
      <w:r>
        <w:rPr/>
        <w:t>exceptional</w:t>
      </w:r>
      <w:r>
        <w:rPr>
          <w:spacing w:val="8"/>
        </w:rPr>
        <w:t> </w:t>
      </w:r>
      <w:r>
        <w:rPr/>
        <w:t>in</w:t>
      </w:r>
      <w:r>
        <w:rPr>
          <w:spacing w:val="8"/>
        </w:rPr>
        <w:t> </w:t>
      </w:r>
      <w:r>
        <w:rPr/>
        <w:t>the</w:t>
      </w:r>
      <w:r>
        <w:rPr>
          <w:spacing w:val="8"/>
        </w:rPr>
        <w:t> </w:t>
      </w:r>
      <w:r>
        <w:rPr/>
        <w:t>way</w:t>
      </w:r>
      <w:r>
        <w:rPr>
          <w:spacing w:val="8"/>
        </w:rPr>
        <w:t> </w:t>
      </w:r>
      <w:r>
        <w:rPr/>
        <w:t>required</w:t>
      </w:r>
      <w:r>
        <w:rPr>
          <w:spacing w:val="8"/>
        </w:rPr>
        <w:t> </w:t>
      </w:r>
      <w:r>
        <w:rPr/>
        <w:t>if</w:t>
      </w:r>
      <w:r>
        <w:rPr>
          <w:spacing w:val="8"/>
        </w:rPr>
        <w:t> </w:t>
      </w:r>
      <w:r>
        <w:rPr/>
        <w:t>an</w:t>
      </w:r>
      <w:r>
        <w:rPr>
          <w:spacing w:val="8"/>
        </w:rPr>
        <w:t> </w:t>
      </w:r>
      <w:r>
        <w:rPr/>
        <w:t>account</w:t>
      </w:r>
      <w:r>
        <w:rPr>
          <w:spacing w:val="8"/>
        </w:rPr>
        <w:t> </w:t>
      </w:r>
      <w:r>
        <w:rPr/>
        <w:t>of</w:t>
      </w:r>
      <w:r>
        <w:rPr>
          <w:spacing w:val="8"/>
        </w:rPr>
        <w:t> </w:t>
      </w:r>
      <w:r>
        <w:rPr/>
        <w:t>profits</w:t>
      </w:r>
      <w:r>
        <w:rPr>
          <w:spacing w:val="8"/>
        </w:rPr>
        <w:t> </w:t>
      </w:r>
      <w:r>
        <w:rPr/>
        <w:t>is</w:t>
      </w:r>
      <w:r>
        <w:rPr>
          <w:spacing w:val="8"/>
        </w:rPr>
        <w:t> </w:t>
      </w:r>
      <w:r>
        <w:rPr>
          <w:spacing w:val="-5"/>
        </w:rPr>
        <w:t>to</w:t>
      </w:r>
    </w:p>
    <w:p>
      <w:pPr>
        <w:pStyle w:val="BodyText"/>
        <w:spacing w:line="235" w:lineRule="auto" w:before="119"/>
        <w:ind w:left="165" w:right="167"/>
        <w:jc w:val="both"/>
      </w:pPr>
      <w:r>
        <w:rPr/>
        <w:t>be ordered. </w:t>
      </w:r>
      <w:r>
        <w:rPr>
          <w:color w:val="005DA1"/>
          <w:u w:val="single" w:color="005DA1"/>
          <w:vertAlign w:val="superscript"/>
        </w:rPr>
        <w:t>320</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it has been held that where the defendant has failed to provide the </w:t>
      </w:r>
      <w:r>
        <w:rPr>
          <w:vertAlign w:val="baseline"/>
        </w:rPr>
        <w:t>services </w:t>
      </w:r>
      <w:bookmarkStart w:name="_bookmark569" w:id="571"/>
      <w:bookmarkEnd w:id="571"/>
      <w:r>
        <w:rPr>
          <w:vertAlign w:val="baseline"/>
        </w:rPr>
        <w:t>promised</w:t>
      </w:r>
      <w:r>
        <w:rPr>
          <w:vertAlign w:val="baseline"/>
        </w:rPr>
        <w:t> but the claimant cannot show a consequential loss, if damages cannot be awarded on the </w:t>
      </w:r>
      <w:bookmarkStart w:name="_bookmark570" w:id="572"/>
      <w:bookmarkEnd w:id="572"/>
      <w:r>
        <w:rPr>
          <w:vertAlign w:val="baseline"/>
        </w:rPr>
        <w:t>simple</w:t>
      </w:r>
      <w:r>
        <w:rPr>
          <w:vertAlign w:val="baseline"/>
        </w:rPr>
        <w:t> difference in value between the services promised and those provided, </w:t>
      </w:r>
      <w:r>
        <w:rPr>
          <w:color w:val="005DA1"/>
          <w:u w:val="single" w:color="005DA1"/>
          <w:vertAlign w:val="superscript"/>
        </w:rPr>
        <w:t>321</w:t>
      </w:r>
      <w:r>
        <w:rPr>
          <w:color w:val="005DA1"/>
          <w:vertAlign w:val="baseline"/>
        </w:rPr>
        <w:t> </w:t>
      </w:r>
      <w:r>
        <w:rPr>
          <w:vertAlign w:val="baseline"/>
        </w:rPr>
        <w:t>an award on the </w:t>
      </w:r>
      <w:bookmarkStart w:name="_bookmark571" w:id="573"/>
      <w:bookmarkEnd w:id="573"/>
      <w:r>
        <w:rPr>
          <w:vertAlign w:val="baseline"/>
        </w:rPr>
        <w:t>hypothetical</w:t>
      </w:r>
      <w:r>
        <w:rPr>
          <w:vertAlign w:val="baseline"/>
        </w:rPr>
        <w:t> bargain basis may be made instead.</w:t>
      </w:r>
      <w:r>
        <w:rPr>
          <w:spacing w:val="-1"/>
          <w:vertAlign w:val="baseline"/>
        </w:rPr>
        <w:t> </w:t>
      </w:r>
      <w:r>
        <w:rPr>
          <w:color w:val="005DA1"/>
          <w:u w:val="single" w:color="005DA1"/>
          <w:vertAlign w:val="superscript"/>
        </w:rPr>
        <w:t>322</w:t>
      </w:r>
      <w:r>
        <w:rPr>
          <w:color w:val="005DA1"/>
          <w:vertAlign w:val="baseline"/>
        </w:rPr>
        <w:t> </w:t>
      </w:r>
      <w:r>
        <w:rPr>
          <w:vertAlign w:val="baseline"/>
        </w:rPr>
        <w:t>It has been said that “the inability to demonstrate identifiable</w:t>
      </w:r>
      <w:r>
        <w:rPr>
          <w:spacing w:val="-1"/>
          <w:vertAlign w:val="baseline"/>
        </w:rPr>
        <w:t> </w:t>
      </w:r>
      <w:r>
        <w:rPr>
          <w:vertAlign w:val="baseline"/>
        </w:rPr>
        <w:t>financial</w:t>
      </w:r>
      <w:r>
        <w:rPr>
          <w:spacing w:val="-1"/>
          <w:vertAlign w:val="baseline"/>
        </w:rPr>
        <w:t> </w:t>
      </w:r>
      <w:r>
        <w:rPr>
          <w:vertAlign w:val="baseline"/>
        </w:rPr>
        <w:t>loss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conventional</w:t>
      </w:r>
      <w:r>
        <w:rPr>
          <w:spacing w:val="-1"/>
          <w:vertAlign w:val="baseline"/>
        </w:rPr>
        <w:t> </w:t>
      </w:r>
      <w:r>
        <w:rPr>
          <w:vertAlign w:val="baseline"/>
        </w:rPr>
        <w:t>sort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pre-condition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damages”.</w:t>
      </w:r>
      <w:r>
        <w:rPr>
          <w:spacing w:val="-2"/>
          <w:vertAlign w:val="baseline"/>
        </w:rPr>
        <w:t> </w:t>
      </w:r>
      <w:r>
        <w:rPr>
          <w:color w:val="005DA1"/>
          <w:u w:val="single" w:color="005DA1"/>
          <w:vertAlign w:val="superscript"/>
        </w:rPr>
        <w:t>323</w:t>
      </w:r>
      <w:r>
        <w:rPr>
          <w:color w:val="005DA1"/>
          <w:vertAlign w:val="baseline"/>
        </w:rPr>
        <w:t> </w:t>
      </w:r>
      <w:r>
        <w:rPr>
          <w:vertAlign w:val="baseline"/>
        </w:rPr>
        <w:t>However, in </w:t>
      </w:r>
      <w:r>
        <w:rPr>
          <w:rFonts w:ascii="Arial" w:hAnsi="Arial"/>
          <w:i/>
          <w:vertAlign w:val="baseline"/>
        </w:rPr>
        <w:t>One Step (Support) Ltd v Morris-Garner </w:t>
      </w:r>
      <w:r>
        <w:rPr>
          <w:vertAlign w:val="baseline"/>
        </w:rPr>
        <w:t>the Court of Appeal declined to follow this</w:t>
      </w:r>
      <w:r>
        <w:rPr>
          <w:spacing w:val="80"/>
          <w:vertAlign w:val="baseline"/>
        </w:rPr>
        <w:t> </w:t>
      </w:r>
      <w:r>
        <w:rPr>
          <w:vertAlign w:val="baseline"/>
        </w:rPr>
        <w:t>dictum and held that </w:t>
      </w:r>
      <w:r>
        <w:rPr>
          <w:rFonts w:ascii="Arial" w:hAnsi="Arial"/>
          <w:i/>
          <w:vertAlign w:val="baseline"/>
        </w:rPr>
        <w:t>Wrotham Park </w:t>
      </w:r>
      <w:r>
        <w:rPr>
          <w:vertAlign w:val="baseline"/>
        </w:rPr>
        <w:t>damages may be awarded when it will be very difficult to prove </w:t>
      </w:r>
      <w:bookmarkStart w:name="_bookmark572" w:id="574"/>
      <w:bookmarkEnd w:id="574"/>
      <w:r>
        <w:rPr>
          <w:vertAlign w:val="baseline"/>
        </w:rPr>
        <w:t>the</w:t>
      </w:r>
      <w:r>
        <w:rPr>
          <w:spacing w:val="35"/>
          <w:vertAlign w:val="baseline"/>
        </w:rPr>
        <w:t> </w:t>
      </w:r>
      <w:r>
        <w:rPr>
          <w:vertAlign w:val="baseline"/>
        </w:rPr>
        <w:t>loss</w:t>
      </w:r>
      <w:r>
        <w:rPr>
          <w:spacing w:val="35"/>
          <w:vertAlign w:val="baseline"/>
        </w:rPr>
        <w:t> </w:t>
      </w:r>
      <w:r>
        <w:rPr>
          <w:vertAlign w:val="baseline"/>
        </w:rPr>
        <w:t>that</w:t>
      </w:r>
      <w:r>
        <w:rPr>
          <w:spacing w:val="35"/>
          <w:vertAlign w:val="baseline"/>
        </w:rPr>
        <w:t> </w:t>
      </w:r>
      <w:r>
        <w:rPr>
          <w:vertAlign w:val="baseline"/>
        </w:rPr>
        <w:t>has</w:t>
      </w:r>
      <w:r>
        <w:rPr>
          <w:spacing w:val="35"/>
          <w:vertAlign w:val="baseline"/>
        </w:rPr>
        <w:t> </w:t>
      </w:r>
      <w:r>
        <w:rPr>
          <w:vertAlign w:val="baseline"/>
        </w:rPr>
        <w:t>been</w:t>
      </w:r>
      <w:r>
        <w:rPr>
          <w:spacing w:val="35"/>
          <w:vertAlign w:val="baseline"/>
        </w:rPr>
        <w:t> </w:t>
      </w:r>
      <w:r>
        <w:rPr>
          <w:vertAlign w:val="baseline"/>
        </w:rPr>
        <w:t>caused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breach;</w:t>
      </w:r>
      <w:r>
        <w:rPr>
          <w:spacing w:val="35"/>
          <w:vertAlign w:val="baseline"/>
        </w:rPr>
        <w:t> </w:t>
      </w:r>
      <w:r>
        <w:rPr>
          <w:vertAlign w:val="baseline"/>
        </w:rPr>
        <w:t>the</w:t>
      </w:r>
      <w:r>
        <w:rPr>
          <w:spacing w:val="35"/>
          <w:vertAlign w:val="baseline"/>
        </w:rPr>
        <w:t> </w:t>
      </w:r>
      <w:r>
        <w:rPr>
          <w:vertAlign w:val="baseline"/>
        </w:rPr>
        <w:t>question</w:t>
      </w:r>
      <w:r>
        <w:rPr>
          <w:spacing w:val="35"/>
          <w:vertAlign w:val="baseline"/>
        </w:rPr>
        <w:t> </w:t>
      </w:r>
      <w:r>
        <w:rPr>
          <w:vertAlign w:val="baseline"/>
        </w:rPr>
        <w:t>is</w:t>
      </w:r>
      <w:r>
        <w:rPr>
          <w:spacing w:val="35"/>
          <w:vertAlign w:val="baseline"/>
        </w:rPr>
        <w:t> </w:t>
      </w:r>
      <w:r>
        <w:rPr>
          <w:vertAlign w:val="baseline"/>
        </w:rPr>
        <w:t>whether</w:t>
      </w:r>
      <w:r>
        <w:rPr>
          <w:spacing w:val="35"/>
          <w:vertAlign w:val="baseline"/>
        </w:rPr>
        <w:t> </w:t>
      </w:r>
      <w:r>
        <w:rPr>
          <w:vertAlign w:val="baseline"/>
        </w:rPr>
        <w:t>an</w:t>
      </w:r>
      <w:r>
        <w:rPr>
          <w:spacing w:val="35"/>
          <w:vertAlign w:val="baseline"/>
        </w:rPr>
        <w:t> </w:t>
      </w:r>
      <w:r>
        <w:rPr>
          <w:vertAlign w:val="baseline"/>
        </w:rPr>
        <w:t>award</w:t>
      </w:r>
      <w:r>
        <w:rPr>
          <w:spacing w:val="35"/>
          <w:vertAlign w:val="baseline"/>
        </w:rPr>
        <w:t> </w:t>
      </w:r>
      <w:r>
        <w:rPr>
          <w:vertAlign w:val="baseline"/>
        </w:rPr>
        <w:t>would</w:t>
      </w:r>
      <w:r>
        <w:rPr>
          <w:spacing w:val="35"/>
          <w:vertAlign w:val="baseline"/>
        </w:rPr>
        <w:t> </w:t>
      </w:r>
      <w:r>
        <w:rPr>
          <w:vertAlign w:val="baseline"/>
        </w:rPr>
        <w:t>be</w:t>
      </w:r>
      <w:r>
        <w:rPr>
          <w:spacing w:val="35"/>
          <w:vertAlign w:val="baseline"/>
        </w:rPr>
        <w:t> </w:t>
      </w:r>
      <w:r>
        <w:rPr>
          <w:vertAlign w:val="baseline"/>
        </w:rPr>
        <w:t>a</w:t>
      </w:r>
      <w:r>
        <w:rPr>
          <w:spacing w:val="35"/>
          <w:vertAlign w:val="baseline"/>
        </w:rPr>
        <w:t> </w:t>
      </w:r>
      <w:r>
        <w:rPr>
          <w:spacing w:val="-4"/>
          <w:vertAlign w:val="baseline"/>
        </w:rPr>
        <w:t>just</w:t>
      </w:r>
    </w:p>
    <w:p>
      <w:pPr>
        <w:pStyle w:val="BodyText"/>
        <w:spacing w:line="235" w:lineRule="auto" w:before="117"/>
        <w:ind w:left="165" w:right="168"/>
        <w:jc w:val="both"/>
      </w:pPr>
      <w:bookmarkStart w:name="_bookmark573" w:id="575"/>
      <w:bookmarkEnd w:id="575"/>
      <w:r>
        <w:rPr/>
      </w:r>
      <w:r>
        <w:rPr/>
        <w:t>response. </w:t>
      </w:r>
      <w:r>
        <w:rPr>
          <w:color w:val="005DA1"/>
          <w:u w:val="single" w:color="005DA1"/>
          <w:vertAlign w:val="superscript"/>
        </w:rPr>
        <w:t>324</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40"/>
          <w:vertAlign w:val="baseline"/>
        </w:rPr>
        <w:t> </w:t>
      </w:r>
      <w:r>
        <w:rPr>
          <w:vertAlign w:val="baseline"/>
        </w:rPr>
        <w:t>It is submitted that </w:t>
      </w:r>
      <w:r>
        <w:rPr>
          <w:rFonts w:ascii="Arial"/>
          <w:i/>
          <w:vertAlign w:val="baseline"/>
        </w:rPr>
        <w:t>Wrotham Park </w:t>
      </w:r>
      <w:r>
        <w:rPr>
          <w:vertAlign w:val="baseline"/>
        </w:rPr>
        <w:t>damages may also be awarded when </w:t>
      </w:r>
      <w:r>
        <w:rPr>
          <w:vertAlign w:val="baseline"/>
        </w:rPr>
        <w:t>the </w:t>
      </w:r>
      <w:bookmarkStart w:name="_bookmark574" w:id="576"/>
      <w:bookmarkEnd w:id="576"/>
      <w:r>
        <w:rPr>
          <w:vertAlign w:val="baseline"/>
        </w:rPr>
        <w:t>conventional</w:t>
      </w:r>
      <w:r>
        <w:rPr>
          <w:spacing w:val="3"/>
          <w:vertAlign w:val="baseline"/>
        </w:rPr>
        <w:t> </w:t>
      </w:r>
      <w:r>
        <w:rPr>
          <w:vertAlign w:val="baseline"/>
        </w:rPr>
        <w:t>measure</w:t>
      </w:r>
      <w:r>
        <w:rPr>
          <w:spacing w:val="4"/>
          <w:vertAlign w:val="baseline"/>
        </w:rPr>
        <w:t> </w:t>
      </w:r>
      <w:r>
        <w:rPr>
          <w:vertAlign w:val="baseline"/>
        </w:rPr>
        <w:t>of</w:t>
      </w:r>
      <w:r>
        <w:rPr>
          <w:spacing w:val="3"/>
          <w:vertAlign w:val="baseline"/>
        </w:rPr>
        <w:t> </w:t>
      </w:r>
      <w:r>
        <w:rPr>
          <w:vertAlign w:val="baseline"/>
        </w:rPr>
        <w:t>damages</w:t>
      </w:r>
      <w:r>
        <w:rPr>
          <w:spacing w:val="4"/>
          <w:vertAlign w:val="baseline"/>
        </w:rPr>
        <w:t> </w:t>
      </w:r>
      <w:r>
        <w:rPr>
          <w:vertAlign w:val="baseline"/>
        </w:rPr>
        <w:t>would</w:t>
      </w:r>
      <w:r>
        <w:rPr>
          <w:spacing w:val="3"/>
          <w:vertAlign w:val="baseline"/>
        </w:rPr>
        <w:t> </w:t>
      </w:r>
      <w:r>
        <w:rPr>
          <w:vertAlign w:val="baseline"/>
        </w:rPr>
        <w:t>leave</w:t>
      </w:r>
      <w:r>
        <w:rPr>
          <w:spacing w:val="4"/>
          <w:vertAlign w:val="baseline"/>
        </w:rPr>
        <w:t> </w:t>
      </w:r>
      <w:r>
        <w:rPr>
          <w:vertAlign w:val="baseline"/>
        </w:rPr>
        <w:t>the</w:t>
      </w:r>
      <w:r>
        <w:rPr>
          <w:spacing w:val="4"/>
          <w:vertAlign w:val="baseline"/>
        </w:rPr>
        <w:t> </w:t>
      </w:r>
      <w:r>
        <w:rPr>
          <w:vertAlign w:val="baseline"/>
        </w:rPr>
        <w:t>claimant</w:t>
      </w:r>
      <w:r>
        <w:rPr>
          <w:spacing w:val="3"/>
          <w:vertAlign w:val="baseline"/>
        </w:rPr>
        <w:t> </w:t>
      </w:r>
      <w:r>
        <w:rPr>
          <w:vertAlign w:val="baseline"/>
        </w:rPr>
        <w:t>undercompensated.</w:t>
      </w:r>
      <w:r>
        <w:rPr>
          <w:spacing w:val="3"/>
          <w:vertAlign w:val="baseline"/>
        </w:rPr>
        <w:t> </w:t>
      </w:r>
      <w:r>
        <w:rPr>
          <w:color w:val="005DA1"/>
          <w:u w:val="single" w:color="005DA1"/>
          <w:vertAlign w:val="superscript"/>
        </w:rPr>
        <w:t>325</w:t>
      </w:r>
      <w:r>
        <w:rPr>
          <w:vertAlign w:val="baseline"/>
        </w:rPr>
        <w:t>;</w:t>
      </w:r>
      <w:r>
        <w:rPr>
          <w:spacing w:val="3"/>
          <w:vertAlign w:val="baseline"/>
        </w:rPr>
        <w:t> </w:t>
      </w:r>
      <w:r>
        <w:rPr>
          <w:vertAlign w:val="baseline"/>
        </w:rPr>
        <w:t>or</w:t>
      </w:r>
      <w:r>
        <w:rPr>
          <w:spacing w:val="4"/>
          <w:vertAlign w:val="baseline"/>
        </w:rPr>
        <w:t> </w:t>
      </w:r>
      <w:r>
        <w:rPr>
          <w:vertAlign w:val="baseline"/>
        </w:rPr>
        <w:t>possibly</w:t>
      </w:r>
      <w:r>
        <w:rPr>
          <w:spacing w:val="4"/>
          <w:vertAlign w:val="baseline"/>
        </w:rPr>
        <w:t> </w:t>
      </w:r>
      <w:r>
        <w:rPr>
          <w:vertAlign w:val="baseline"/>
        </w:rPr>
        <w:t>if</w:t>
      </w:r>
      <w:r>
        <w:rPr>
          <w:spacing w:val="3"/>
          <w:vertAlign w:val="baseline"/>
        </w:rPr>
        <w:t> </w:t>
      </w:r>
      <w:r>
        <w:rPr>
          <w:spacing w:val="-5"/>
          <w:vertAlign w:val="baseline"/>
        </w:rPr>
        <w:t>the</w:t>
      </w:r>
    </w:p>
    <w:p>
      <w:pPr>
        <w:pStyle w:val="BodyText"/>
        <w:spacing w:before="115"/>
        <w:ind w:left="164"/>
        <w:jc w:val="both"/>
        <w:rPr>
          <w:position w:val="-2"/>
        </w:rPr>
      </w:pPr>
      <w:r>
        <w:rPr/>
        <w:t>real loss would be suffered by a third party. </w:t>
      </w:r>
      <w:r>
        <w:rPr>
          <w:color w:val="005DA1"/>
          <w:u w:val="single" w:color="005DA1"/>
          <w:vertAlign w:val="superscript"/>
        </w:rPr>
        <w:t>326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Assessing hypothetical bargain </w:t>
      </w:r>
      <w:r>
        <w:rPr>
          <w:rFonts w:ascii="Arial"/>
          <w:b/>
          <w:spacing w:val="-2"/>
          <w:sz w:val="18"/>
        </w:rPr>
        <w:t>damages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054</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75" w:id="577"/>
      <w:bookmarkEnd w:id="577"/>
      <w:r>
        <w:rPr>
          <w:rFonts w:ascii="Times New Roman" w:hAnsi="Times New Roman"/>
          <w:spacing w:val="17"/>
        </w:rPr>
      </w:r>
      <w:r>
        <w:rPr/>
        <w:t>“Hypothetical bargain” damages have been assessed at a modest level (5 per cent of </w:t>
      </w:r>
      <w:r>
        <w:rPr/>
        <w:t>the </w:t>
      </w:r>
      <w:bookmarkStart w:name="_bookmark576" w:id="578"/>
      <w:bookmarkEnd w:id="578"/>
      <w:r>
        <w:rPr/>
        <w:t>defendant’s</w:t>
      </w:r>
      <w:r>
        <w:rPr/>
        <w:t> anticipated profit in </w:t>
      </w:r>
      <w:r>
        <w:rPr>
          <w:rFonts w:ascii="Arial" w:hAnsi="Arial"/>
          <w:i/>
        </w:rPr>
        <w:t>Wrotham Park </w:t>
      </w:r>
      <w:r>
        <w:rPr>
          <w:color w:val="005DA1"/>
          <w:u w:val="single" w:color="005DA1"/>
          <w:vertAlign w:val="superscript"/>
        </w:rPr>
        <w:t>327</w:t>
      </w:r>
      <w:r>
        <w:rPr>
          <w:vertAlign w:val="baseline"/>
        </w:rPr>
        <w:t>; in </w:t>
      </w:r>
      <w:r>
        <w:rPr>
          <w:rFonts w:ascii="Arial" w:hAnsi="Arial"/>
          <w:i/>
          <w:vertAlign w:val="baseline"/>
        </w:rPr>
        <w:t>Experience Hendrix </w:t>
      </w:r>
      <w:r>
        <w:rPr>
          <w:vertAlign w:val="baseline"/>
        </w:rPr>
        <w:t>“significantly in excess of </w:t>
      </w:r>
      <w:bookmarkStart w:name="_bookmark577" w:id="579"/>
      <w:bookmarkEnd w:id="579"/>
      <w:r>
        <w:rPr>
          <w:vertAlign w:val="baseline"/>
        </w:rPr>
        <w:t>2%”</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royalty</w:t>
      </w:r>
      <w:r>
        <w:rPr>
          <w:spacing w:val="-1"/>
          <w:vertAlign w:val="baseline"/>
        </w:rPr>
        <w:t> </w:t>
      </w:r>
      <w:r>
        <w:rPr>
          <w:vertAlign w:val="baseline"/>
        </w:rPr>
        <w:t>on</w:t>
      </w:r>
      <w:r>
        <w:rPr>
          <w:spacing w:val="-1"/>
          <w:vertAlign w:val="baseline"/>
        </w:rPr>
        <w:t> </w:t>
      </w:r>
      <w:r>
        <w:rPr>
          <w:vertAlign w:val="baseline"/>
        </w:rPr>
        <w:t>retail</w:t>
      </w:r>
      <w:r>
        <w:rPr>
          <w:spacing w:val="-1"/>
          <w:vertAlign w:val="baseline"/>
        </w:rPr>
        <w:t> </w:t>
      </w:r>
      <w:r>
        <w:rPr>
          <w:vertAlign w:val="baseline"/>
        </w:rPr>
        <w:t>sales</w:t>
      </w:r>
      <w:r>
        <w:rPr>
          <w:spacing w:val="-1"/>
          <w:vertAlign w:val="baseline"/>
        </w:rPr>
        <w:t> </w:t>
      </w:r>
      <w:r>
        <w:rPr>
          <w:vertAlign w:val="baseline"/>
        </w:rPr>
        <w:t>(sums</w:t>
      </w:r>
      <w:r>
        <w:rPr>
          <w:spacing w:val="-1"/>
          <w:vertAlign w:val="baseline"/>
        </w:rPr>
        <w:t> </w:t>
      </w:r>
      <w:r>
        <w:rPr>
          <w:vertAlign w:val="baseline"/>
        </w:rPr>
        <w:t>yet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assessed).</w:t>
      </w:r>
      <w:r>
        <w:rPr>
          <w:spacing w:val="-2"/>
          <w:vertAlign w:val="baseline"/>
        </w:rPr>
        <w:t> </w:t>
      </w:r>
      <w:r>
        <w:rPr>
          <w:color w:val="005DA1"/>
          <w:u w:val="single" w:color="005DA1"/>
          <w:vertAlign w:val="superscript"/>
        </w:rPr>
        <w:t>328</w:t>
      </w:r>
      <w:r>
        <w:rPr>
          <w:color w:val="005DA1"/>
          <w:spacing w:val="-1"/>
          <w:vertAlign w:val="baseline"/>
        </w:rPr>
        <w:t> </w:t>
      </w:r>
      <w:r>
        <w:rPr>
          <w:vertAlign w:val="baseline"/>
        </w:rPr>
        <w:t>In</w:t>
      </w:r>
      <w:r>
        <w:rPr>
          <w:spacing w:val="-1"/>
          <w:vertAlign w:val="baseline"/>
        </w:rPr>
        <w:t> </w:t>
      </w:r>
      <w:r>
        <w:rPr>
          <w:rFonts w:ascii="Arial" w:hAnsi="Arial"/>
          <w:i/>
          <w:vertAlign w:val="baseline"/>
        </w:rPr>
        <w:t>Vercoe</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Rutland</w:t>
      </w:r>
      <w:r>
        <w:rPr>
          <w:rFonts w:ascii="Arial" w:hAnsi="Arial"/>
          <w:i/>
          <w:spacing w:val="-1"/>
          <w:vertAlign w:val="baseline"/>
        </w:rPr>
        <w:t> </w:t>
      </w:r>
      <w:r>
        <w:rPr>
          <w:rFonts w:ascii="Arial" w:hAnsi="Arial"/>
          <w:i/>
          <w:vertAlign w:val="baseline"/>
        </w:rPr>
        <w:t>Fund</w:t>
      </w:r>
      <w:r>
        <w:rPr>
          <w:rFonts w:ascii="Arial" w:hAnsi="Arial"/>
          <w:i/>
          <w:spacing w:val="-1"/>
          <w:vertAlign w:val="baseline"/>
        </w:rPr>
        <w:t> </w:t>
      </w:r>
      <w:r>
        <w:rPr>
          <w:rFonts w:ascii="Arial" w:hAnsi="Arial"/>
          <w:i/>
          <w:vertAlign w:val="baseline"/>
        </w:rPr>
        <w:t>Management Ltd </w:t>
      </w:r>
      <w:r>
        <w:rPr>
          <w:color w:val="005DA1"/>
          <w:u w:val="single" w:color="005DA1"/>
          <w:vertAlign w:val="superscript"/>
        </w:rPr>
        <w:t>329</w:t>
      </w:r>
      <w:r>
        <w:rPr>
          <w:color w:val="005DA1"/>
          <w:vertAlign w:val="baseline"/>
        </w:rPr>
        <w:t> </w:t>
      </w:r>
      <w:r>
        <w:rPr>
          <w:vertAlign w:val="baseline"/>
        </w:rPr>
        <w:t>Sales J. said the factors to be taken into account in assessing the damages include:</w:t>
      </w:r>
    </w:p>
    <w:p>
      <w:pPr>
        <w:pStyle w:val="BodyText"/>
      </w:pPr>
    </w:p>
    <w:p>
      <w:pPr>
        <w:pStyle w:val="BodyText"/>
        <w:spacing w:before="125"/>
      </w:pPr>
    </w:p>
    <w:p>
      <w:pPr>
        <w:pStyle w:val="BodyText"/>
        <w:spacing w:line="235" w:lineRule="auto"/>
        <w:ind w:left="1245" w:right="167"/>
        <w:jc w:val="both"/>
      </w:pPr>
      <w:r>
        <w:rPr/>
        <w:t>“(i) the likely parameters given by ordinary commercial considerations bearing on each </w:t>
      </w:r>
      <w:r>
        <w:rPr/>
        <w:t>of the parties … (ii) any additional factors particularly affecting the just balance to be struck between the competing interests of the parties … and (iii) the court’s overriding obligation to ensure that an award of damages for breach of contract—which falls to be assessed in light of events which have now moved beyond the time the breach of contract occurred and which may have worked themselves out in a way which affects the balance of justice between the parties—does not provide relief out of proportion to the real extent of the claimant’s</w:t>
      </w:r>
      <w:r>
        <w:rPr>
          <w:spacing w:val="-3"/>
        </w:rPr>
        <w:t> </w:t>
      </w:r>
      <w:r>
        <w:rPr/>
        <w:t>interest</w:t>
      </w:r>
      <w:r>
        <w:rPr>
          <w:spacing w:val="-3"/>
        </w:rPr>
        <w:t> </w:t>
      </w:r>
      <w:r>
        <w:rPr/>
        <w:t>in</w:t>
      </w:r>
      <w:r>
        <w:rPr>
          <w:spacing w:val="-3"/>
        </w:rPr>
        <w:t> </w:t>
      </w:r>
      <w:r>
        <w:rPr/>
        <w:t>proper</w:t>
      </w:r>
      <w:r>
        <w:rPr>
          <w:spacing w:val="-3"/>
        </w:rPr>
        <w:t> </w:t>
      </w:r>
      <w:r>
        <w:rPr/>
        <w:t>performance</w:t>
      </w:r>
      <w:r>
        <w:rPr>
          <w:spacing w:val="-3"/>
        </w:rPr>
        <w:t> </w:t>
      </w:r>
      <w:r>
        <w:rPr/>
        <w:t>judged</w:t>
      </w:r>
      <w:r>
        <w:rPr>
          <w:spacing w:val="-3"/>
        </w:rPr>
        <w:t> </w:t>
      </w:r>
      <w:r>
        <w:rPr/>
        <w:t>on</w:t>
      </w:r>
      <w:r>
        <w:rPr>
          <w:spacing w:val="-3"/>
        </w:rPr>
        <w:t> </w:t>
      </w:r>
      <w:r>
        <w:rPr/>
        <w:t>an</w:t>
      </w:r>
      <w:r>
        <w:rPr>
          <w:spacing w:val="-3"/>
        </w:rPr>
        <w:t> </w:t>
      </w:r>
      <w:r>
        <w:rPr/>
        <w:t>objective</w:t>
      </w:r>
      <w:r>
        <w:rPr>
          <w:spacing w:val="-3"/>
        </w:rPr>
        <w:t> </w:t>
      </w:r>
      <w:r>
        <w:rPr/>
        <w:t>basis</w:t>
      </w:r>
      <w:r>
        <w:rPr>
          <w:spacing w:val="-3"/>
        </w:rPr>
        <w:t> </w:t>
      </w:r>
      <w:r>
        <w:rPr/>
        <w:t>by</w:t>
      </w:r>
      <w:r>
        <w:rPr>
          <w:spacing w:val="-3"/>
        </w:rPr>
        <w:t> </w:t>
      </w:r>
      <w:r>
        <w:rPr/>
        <w:t>reference</w:t>
      </w:r>
      <w:r>
        <w:rPr>
          <w:spacing w:val="-3"/>
        </w:rPr>
        <w:t> </w:t>
      </w:r>
      <w:r>
        <w:rPr/>
        <w:t>to</w:t>
      </w:r>
      <w:r>
        <w:rPr>
          <w:spacing w:val="-3"/>
        </w:rPr>
        <w:t> </w:t>
      </w:r>
      <w:r>
        <w:rPr/>
        <w:t>the situation which presents itself to the court.”</w:t>
      </w:r>
    </w:p>
    <w:p>
      <w:pPr>
        <w:pStyle w:val="BodyText"/>
        <w:spacing w:before="113"/>
      </w:pPr>
    </w:p>
    <w:p>
      <w:pPr>
        <w:pStyle w:val="BodyText"/>
        <w:spacing w:line="235" w:lineRule="auto"/>
        <w:ind w:left="165" w:right="167"/>
        <w:jc w:val="both"/>
      </w:pPr>
      <w:bookmarkStart w:name="_bookmark578" w:id="580"/>
      <w:bookmarkEnd w:id="580"/>
      <w:r>
        <w:rPr/>
      </w:r>
      <w:r>
        <w:rPr/>
        <w:t>In the </w:t>
      </w:r>
      <w:r>
        <w:rPr>
          <w:rFonts w:ascii="Arial" w:hAnsi="Arial"/>
          <w:i/>
        </w:rPr>
        <w:t>Pell Frischmann </w:t>
      </w:r>
      <w:r>
        <w:rPr/>
        <w:t>case, </w:t>
      </w:r>
      <w:r>
        <w:rPr>
          <w:color w:val="005DA1"/>
          <w:u w:val="single" w:color="005DA1"/>
          <w:vertAlign w:val="superscript"/>
        </w:rPr>
        <w:t>330</w:t>
      </w:r>
      <w:r>
        <w:rPr>
          <w:color w:val="005DA1"/>
          <w:vertAlign w:val="baseline"/>
        </w:rPr>
        <w:t> </w:t>
      </w:r>
      <w:r>
        <w:rPr>
          <w:vertAlign w:val="baseline"/>
        </w:rPr>
        <w:t>Lord Walker said that the court should consider a hypothetical negotiation between a willing buyer (the contract-breaker) and a willing seller (the party </w:t>
      </w:r>
      <w:r>
        <w:rPr>
          <w:vertAlign w:val="baseline"/>
        </w:rPr>
        <w:t>claiming damages);</w:t>
      </w:r>
      <w:r>
        <w:rPr>
          <w:spacing w:val="-2"/>
          <w:vertAlign w:val="baseline"/>
        </w:rPr>
        <w:t> </w:t>
      </w:r>
      <w:r>
        <w:rPr>
          <w:vertAlign w:val="baseline"/>
        </w:rPr>
        <w:t>both</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assumed</w:t>
      </w:r>
      <w:r>
        <w:rPr>
          <w:spacing w:val="-2"/>
          <w:vertAlign w:val="baseline"/>
        </w:rPr>
        <w:t> </w:t>
      </w:r>
      <w:r>
        <w:rPr>
          <w:vertAlign w:val="baseline"/>
        </w:rPr>
        <w:t>to</w:t>
      </w:r>
      <w:r>
        <w:rPr>
          <w:spacing w:val="-2"/>
          <w:vertAlign w:val="baseline"/>
        </w:rPr>
        <w:t> </w:t>
      </w:r>
      <w:r>
        <w:rPr>
          <w:vertAlign w:val="baseline"/>
        </w:rPr>
        <w:t>act</w:t>
      </w:r>
      <w:r>
        <w:rPr>
          <w:spacing w:val="-2"/>
          <w:vertAlign w:val="baseline"/>
        </w:rPr>
        <w:t> </w:t>
      </w:r>
      <w:r>
        <w:rPr>
          <w:vertAlign w:val="baseline"/>
        </w:rPr>
        <w:t>reasonably,</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one</w:t>
      </w:r>
      <w:r>
        <w:rPr>
          <w:spacing w:val="-2"/>
          <w:vertAlign w:val="baseline"/>
        </w:rPr>
        <w:t> </w:t>
      </w:r>
      <w:r>
        <w:rPr>
          <w:vertAlign w:val="baseline"/>
        </w:rPr>
        <w:t>or</w:t>
      </w:r>
      <w:r>
        <w:rPr>
          <w:spacing w:val="-2"/>
          <w:vertAlign w:val="baseline"/>
        </w:rPr>
        <w:t> </w:t>
      </w:r>
      <w:r>
        <w:rPr>
          <w:vertAlign w:val="baseline"/>
        </w:rPr>
        <w:t>other</w:t>
      </w:r>
      <w:r>
        <w:rPr>
          <w:spacing w:val="-2"/>
          <w:vertAlign w:val="baseline"/>
        </w:rPr>
        <w:t> </w:t>
      </w:r>
      <w:r>
        <w:rPr>
          <w:vertAlign w:val="baseline"/>
        </w:rPr>
        <w:t>would</w:t>
      </w:r>
      <w:r>
        <w:rPr>
          <w:spacing w:val="-2"/>
          <w:vertAlign w:val="baseline"/>
        </w:rPr>
        <w:t> </w:t>
      </w:r>
      <w:r>
        <w:rPr>
          <w:vertAlign w:val="baseline"/>
        </w:rPr>
        <w:t>have </w:t>
      </w:r>
      <w:bookmarkStart w:name="_bookmark579" w:id="581"/>
      <w:bookmarkEnd w:id="581"/>
      <w:r>
        <w:rPr>
          <w:vertAlign w:val="baseline"/>
        </w:rPr>
        <w:t>refused</w:t>
      </w:r>
      <w:r>
        <w:rPr>
          <w:vertAlign w:val="baseline"/>
        </w:rPr>
        <w:t> to make a deal is to be ignored. But the fact that the alternative project could not proceed unless the negative rights were bought out can properly be taken into account. </w:t>
      </w:r>
      <w:r>
        <w:rPr>
          <w:color w:val="005DA1"/>
          <w:u w:val="single" w:color="005DA1"/>
          <w:vertAlign w:val="superscript"/>
        </w:rPr>
        <w:t>331</w:t>
      </w:r>
      <w:r>
        <w:rPr>
          <w:color w:val="005DA1"/>
          <w:vertAlign w:val="baseline"/>
        </w:rPr>
        <w:t> </w:t>
      </w:r>
      <w:r>
        <w:rPr>
          <w:vertAlign w:val="baseline"/>
        </w:rPr>
        <w:t>Events subsequent </w:t>
      </w:r>
      <w:bookmarkStart w:name="_bookmark580" w:id="582"/>
      <w:bookmarkEnd w:id="582"/>
      <w:r>
        <w:rPr>
          <w:vertAlign w:val="baseline"/>
        </w:rPr>
        <w:t>to</w:t>
      </w:r>
      <w:r>
        <w:rPr>
          <w:spacing w:val="17"/>
          <w:vertAlign w:val="baseline"/>
        </w:rPr>
        <w:t> </w:t>
      </w:r>
      <w:r>
        <w:rPr>
          <w:vertAlign w:val="baseline"/>
        </w:rPr>
        <w:t>the</w:t>
      </w:r>
      <w:r>
        <w:rPr>
          <w:spacing w:val="19"/>
          <w:vertAlign w:val="baseline"/>
        </w:rPr>
        <w:t> </w:t>
      </w:r>
      <w:r>
        <w:rPr>
          <w:vertAlign w:val="baseline"/>
        </w:rPr>
        <w:t>hypothetical</w:t>
      </w:r>
      <w:r>
        <w:rPr>
          <w:spacing w:val="19"/>
          <w:vertAlign w:val="baseline"/>
        </w:rPr>
        <w:t> </w:t>
      </w:r>
      <w:r>
        <w:rPr>
          <w:vertAlign w:val="baseline"/>
        </w:rPr>
        <w:t>bargain,</w:t>
      </w:r>
      <w:r>
        <w:rPr>
          <w:spacing w:val="19"/>
          <w:vertAlign w:val="baseline"/>
        </w:rPr>
        <w:t> </w:t>
      </w:r>
      <w:r>
        <w:rPr>
          <w:vertAlign w:val="baseline"/>
        </w:rPr>
        <w:t>such</w:t>
      </w:r>
      <w:r>
        <w:rPr>
          <w:spacing w:val="19"/>
          <w:vertAlign w:val="baseline"/>
        </w:rPr>
        <w:t> </w:t>
      </w:r>
      <w:r>
        <w:rPr>
          <w:vertAlign w:val="baseline"/>
        </w:rPr>
        <w:t>as</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contract-breaker’s</w:t>
      </w:r>
      <w:r>
        <w:rPr>
          <w:spacing w:val="19"/>
          <w:vertAlign w:val="baseline"/>
        </w:rPr>
        <w:t> </w:t>
      </w:r>
      <w:r>
        <w:rPr>
          <w:vertAlign w:val="baseline"/>
        </w:rPr>
        <w:t>profit</w:t>
      </w:r>
      <w:r>
        <w:rPr>
          <w:spacing w:val="19"/>
          <w:vertAlign w:val="baseline"/>
        </w:rPr>
        <w:t> </w:t>
      </w:r>
      <w:r>
        <w:rPr>
          <w:vertAlign w:val="baseline"/>
        </w:rPr>
        <w:t>turned</w:t>
      </w:r>
      <w:r>
        <w:rPr>
          <w:spacing w:val="19"/>
          <w:vertAlign w:val="baseline"/>
        </w:rPr>
        <w:t> </w:t>
      </w:r>
      <w:r>
        <w:rPr>
          <w:vertAlign w:val="baseline"/>
        </w:rPr>
        <w:t>out</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much</w:t>
      </w:r>
      <w:r>
        <w:rPr>
          <w:spacing w:val="19"/>
          <w:vertAlign w:val="baseline"/>
        </w:rPr>
        <w:t> </w:t>
      </w:r>
      <w:r>
        <w:rPr>
          <w:spacing w:val="-2"/>
          <w:vertAlign w:val="baseline"/>
        </w:rPr>
        <w:t>smaller</w:t>
      </w:r>
    </w:p>
    <w:p>
      <w:pPr>
        <w:pStyle w:val="BodyText"/>
        <w:spacing w:before="114"/>
        <w:ind w:left="165"/>
        <w:jc w:val="both"/>
        <w:rPr>
          <w:position w:val="-2"/>
        </w:rPr>
      </w:pPr>
      <w:r>
        <w:rPr/>
        <w:t>than expected, should not normally be taken into account. </w:t>
      </w:r>
      <w:r>
        <w:rPr>
          <w:color w:val="005DA1"/>
          <w:u w:val="single" w:color="005DA1"/>
          <w:vertAlign w:val="superscript"/>
        </w:rPr>
        <w:t>332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151" name="Group 151"/>
                <wp:cNvGraphicFramePr>
                  <a:graphicFrameLocks/>
                </wp:cNvGraphicFramePr>
                <a:graphic>
                  <a:graphicData uri="http://schemas.microsoft.com/office/word/2010/wordprocessingGroup">
                    <wpg:wgp>
                      <wpg:cNvPr id="151" name="Group 151"/>
                      <wpg:cNvGrpSpPr/>
                      <wpg:grpSpPr>
                        <a:xfrm>
                          <a:off x="0" y="0"/>
                          <a:ext cx="5724525" cy="12700"/>
                          <a:chExt cx="5724525" cy="12700"/>
                        </a:xfrm>
                      </wpg:grpSpPr>
                      <wps:wsp>
                        <wps:cNvPr id="152" name="Graphic 152"/>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39"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tabs>
          <w:tab w:pos="705" w:val="left" w:leader="none"/>
        </w:tabs>
        <w:spacing w:before="0"/>
        <w:ind w:left="165" w:right="0" w:firstLine="0"/>
        <w:jc w:val="left"/>
        <w:rPr>
          <w:sz w:val="20"/>
        </w:rPr>
      </w:pPr>
      <w:bookmarkStart w:name="_bookmark581" w:id="583"/>
      <w:bookmarkEnd w:id="583"/>
      <w:r>
        <w:rPr/>
      </w:r>
      <w:hyperlink w:history="true" w:anchor="_bookmark528">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Att-Gen v Blake [2001] 1 A.C. </w:t>
      </w:r>
      <w:r>
        <w:rPr>
          <w:rFonts w:ascii="Arial"/>
          <w:i/>
          <w:spacing w:val="-4"/>
          <w:sz w:val="20"/>
        </w:rPr>
        <w:t>268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2" w:id="584"/>
      <w:bookmarkEnd w:id="584"/>
      <w:r>
        <w:rPr/>
      </w:r>
      <w:hyperlink w:history="true" w:anchor="_bookmark529">
        <w:r>
          <w:rPr>
            <w:color w:val="005DA1"/>
            <w:spacing w:val="-4"/>
            <w:position w:val="5"/>
            <w:sz w:val="14"/>
            <w:u w:val="single" w:color="005DA1"/>
          </w:rPr>
          <w:t>276</w:t>
        </w:r>
      </w:hyperlink>
      <w:r>
        <w:rPr>
          <w:spacing w:val="-4"/>
          <w:position w:val="5"/>
          <w:sz w:val="14"/>
        </w:rPr>
        <w:t>.</w:t>
      </w:r>
      <w:r>
        <w:rPr>
          <w:position w:val="5"/>
          <w:sz w:val="14"/>
        </w:rPr>
        <w:tab/>
      </w:r>
      <w:r>
        <w:rPr>
          <w:rFonts w:ascii="Arial" w:hAnsi="Arial"/>
          <w:i/>
          <w:sz w:val="20"/>
        </w:rPr>
        <w:t>The Solholt [1983] 1 Lloyd’s Rep. 605, </w:t>
      </w:r>
      <w:r>
        <w:rPr>
          <w:rFonts w:ascii="Arial" w:hAnsi="Arial"/>
          <w:i/>
          <w:spacing w:val="-4"/>
          <w:sz w:val="20"/>
        </w:rPr>
        <w:t>608</w:t>
      </w:r>
      <w:r>
        <w:rPr>
          <w:spacing w:val="-4"/>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583" w:id="585"/>
      <w:bookmarkEnd w:id="585"/>
      <w:r>
        <w:rPr/>
      </w:r>
      <w:hyperlink w:history="true" w:anchor="_bookmark530">
        <w:r>
          <w:rPr>
            <w:color w:val="005DA1"/>
            <w:spacing w:val="-4"/>
            <w:position w:val="5"/>
            <w:sz w:val="14"/>
            <w:u w:val="single" w:color="005DA1"/>
          </w:rPr>
          <w:t>277</w:t>
        </w:r>
      </w:hyperlink>
      <w:r>
        <w:rPr>
          <w:spacing w:val="-4"/>
          <w:position w:val="5"/>
          <w:sz w:val="14"/>
        </w:rPr>
        <w:t>.</w:t>
      </w:r>
      <w:r>
        <w:rPr>
          <w:position w:val="5"/>
          <w:sz w:val="14"/>
        </w:rPr>
        <w:tab/>
      </w:r>
      <w:r>
        <w:rPr>
          <w:sz w:val="20"/>
        </w:rPr>
        <w:t>In </w:t>
      </w:r>
      <w:r>
        <w:rPr>
          <w:rFonts w:ascii="Arial" w:hAnsi="Arial"/>
          <w:i/>
          <w:sz w:val="20"/>
        </w:rPr>
        <w:t>Blake ’s case [2001] 1 A.C. 268 </w:t>
      </w:r>
      <w:r>
        <w:rPr>
          <w:sz w:val="20"/>
        </w:rPr>
        <w:t>the House of Lords upheld all the exceptions set out in this </w:t>
      </w:r>
      <w:r>
        <w:rPr>
          <w:spacing w:val="-2"/>
          <w:sz w:val="20"/>
        </w:rPr>
        <w:t>paragraph.</w:t>
      </w:r>
    </w:p>
    <w:p>
      <w:pPr>
        <w:pStyle w:val="BodyText"/>
        <w:spacing w:before="9"/>
      </w:pPr>
    </w:p>
    <w:p>
      <w:pPr>
        <w:tabs>
          <w:tab w:pos="705" w:val="left" w:leader="none"/>
        </w:tabs>
        <w:spacing w:line="235" w:lineRule="auto" w:before="0"/>
        <w:ind w:left="705" w:right="174" w:hanging="541"/>
        <w:jc w:val="left"/>
        <w:rPr>
          <w:sz w:val="20"/>
        </w:rPr>
      </w:pPr>
      <w:bookmarkStart w:name="_bookmark584" w:id="586"/>
      <w:bookmarkEnd w:id="586"/>
      <w:r>
        <w:rPr/>
      </w:r>
      <w:hyperlink w:history="true" w:anchor="_bookmark531">
        <w:r>
          <w:rPr>
            <w:color w:val="005DA1"/>
            <w:spacing w:val="-4"/>
            <w:position w:val="5"/>
            <w:sz w:val="14"/>
            <w:u w:val="single" w:color="005DA1"/>
          </w:rPr>
          <w:t>278</w:t>
        </w:r>
      </w:hyperlink>
      <w:r>
        <w:rPr>
          <w:spacing w:val="-4"/>
          <w:position w:val="5"/>
          <w:sz w:val="14"/>
        </w:rPr>
        <w:t>.</w:t>
      </w:r>
      <w:r>
        <w:rPr>
          <w:position w:val="5"/>
          <w:sz w:val="14"/>
        </w:rPr>
        <w:tab/>
      </w:r>
      <w:r>
        <w:rPr>
          <w:sz w:val="20"/>
        </w:rPr>
        <w:t>Goff and Jones, </w:t>
      </w:r>
      <w:r>
        <w:rPr>
          <w:rFonts w:ascii="Arial" w:hAnsi="Arial"/>
          <w:i/>
          <w:sz w:val="20"/>
        </w:rPr>
        <w:t>The Law of Restitution</w:t>
      </w:r>
      <w:r>
        <w:rPr>
          <w:sz w:val="20"/>
        </w:rPr>
        <w:t>, 7th edn (2007), paras 20–024 et seq.; Dawson (1959) 20 Ohio State L.J. 175, 185–188.</w:t>
      </w:r>
    </w:p>
    <w:p>
      <w:pPr>
        <w:pStyle w:val="BodyText"/>
        <w:spacing w:before="6"/>
      </w:pPr>
    </w:p>
    <w:p>
      <w:pPr>
        <w:tabs>
          <w:tab w:pos="705" w:val="left" w:leader="none"/>
        </w:tabs>
        <w:spacing w:before="0"/>
        <w:ind w:left="165" w:right="0" w:firstLine="0"/>
        <w:jc w:val="left"/>
        <w:rPr>
          <w:sz w:val="20"/>
        </w:rPr>
      </w:pPr>
      <w:bookmarkStart w:name="_bookmark585" w:id="587"/>
      <w:bookmarkEnd w:id="587"/>
      <w:r>
        <w:rPr/>
      </w:r>
      <w:hyperlink w:history="true" w:anchor="_bookmark532">
        <w:r>
          <w:rPr>
            <w:color w:val="005DA1"/>
            <w:spacing w:val="-4"/>
            <w:position w:val="5"/>
            <w:sz w:val="14"/>
            <w:u w:val="single" w:color="005DA1"/>
          </w:rPr>
          <w:t>279</w:t>
        </w:r>
      </w:hyperlink>
      <w:r>
        <w:rPr>
          <w:spacing w:val="-4"/>
          <w:position w:val="5"/>
          <w:sz w:val="14"/>
        </w:rPr>
        <w:t>.</w:t>
      </w:r>
      <w:r>
        <w:rPr>
          <w:position w:val="5"/>
          <w:sz w:val="14"/>
        </w:rPr>
        <w:tab/>
      </w:r>
      <w:r>
        <w:rPr>
          <w:sz w:val="20"/>
        </w:rPr>
        <w:t>Below, para.29-</w:t>
      </w:r>
      <w:r>
        <w:rPr>
          <w:spacing w:val="-4"/>
          <w:sz w:val="20"/>
        </w:rPr>
        <w:t>164.</w:t>
      </w:r>
    </w:p>
    <w:p>
      <w:pPr>
        <w:pStyle w:val="BodyText"/>
        <w:spacing w:before="5"/>
      </w:pPr>
    </w:p>
    <w:p>
      <w:pPr>
        <w:pStyle w:val="BodyText"/>
        <w:tabs>
          <w:tab w:pos="705" w:val="left" w:leader="none"/>
        </w:tabs>
        <w:ind w:left="165"/>
      </w:pPr>
      <w:bookmarkStart w:name="_bookmark586" w:id="588"/>
      <w:bookmarkEnd w:id="588"/>
      <w:r>
        <w:rPr/>
      </w:r>
      <w:hyperlink w:history="true" w:anchor="_bookmark532">
        <w:r>
          <w:rPr>
            <w:color w:val="005DA1"/>
            <w:spacing w:val="-4"/>
            <w:position w:val="5"/>
            <w:sz w:val="14"/>
            <w:u w:val="single" w:color="005DA1"/>
          </w:rPr>
          <w:t>280</w:t>
        </w:r>
      </w:hyperlink>
      <w:r>
        <w:rPr>
          <w:spacing w:val="-4"/>
          <w:position w:val="5"/>
          <w:sz w:val="14"/>
        </w:rPr>
        <w:t>.</w:t>
      </w:r>
      <w:r>
        <w:rPr>
          <w:position w:val="5"/>
          <w:sz w:val="14"/>
        </w:rPr>
        <w:tab/>
      </w:r>
      <w:r>
        <w:rPr/>
        <w:t>See Vol.II, paras 31-122 and 31-127 et seq., 40-066—40-</w:t>
      </w:r>
      <w:r>
        <w:rPr>
          <w:spacing w:val="-4"/>
        </w:rPr>
        <w:t>068.</w:t>
      </w:r>
    </w:p>
    <w:p>
      <w:pPr>
        <w:pStyle w:val="BodyText"/>
        <w:spacing w:before="5"/>
      </w:pPr>
    </w:p>
    <w:p>
      <w:pPr>
        <w:pStyle w:val="BodyText"/>
        <w:tabs>
          <w:tab w:pos="705" w:val="left" w:leader="none"/>
        </w:tabs>
        <w:ind w:left="165"/>
      </w:pPr>
      <w:bookmarkStart w:name="_bookmark587" w:id="589"/>
      <w:bookmarkEnd w:id="589"/>
      <w:r>
        <w:rPr/>
      </w:r>
      <w:hyperlink w:history="true" w:anchor="_bookmark533">
        <w:r>
          <w:rPr>
            <w:color w:val="005DA1"/>
            <w:spacing w:val="-4"/>
            <w:position w:val="5"/>
            <w:sz w:val="14"/>
            <w:u w:val="single" w:color="005DA1"/>
          </w:rPr>
          <w:t>281</w:t>
        </w:r>
      </w:hyperlink>
      <w:r>
        <w:rPr>
          <w:spacing w:val="-4"/>
          <w:position w:val="5"/>
          <w:sz w:val="14"/>
        </w:rPr>
        <w:t>.</w:t>
      </w:r>
      <w:r>
        <w:rPr>
          <w:position w:val="5"/>
          <w:sz w:val="14"/>
        </w:rPr>
        <w:tab/>
      </w:r>
      <w:r>
        <w:rPr/>
        <w:t>Below,</w:t>
      </w:r>
      <w:r>
        <w:rPr>
          <w:spacing w:val="-2"/>
        </w:rPr>
        <w:t> </w:t>
      </w:r>
      <w:r>
        <w:rPr/>
        <w:t>paras 29-172 et </w:t>
      </w:r>
      <w:r>
        <w:rPr>
          <w:spacing w:val="-4"/>
        </w:rPr>
        <w:t>seq.</w:t>
      </w:r>
    </w:p>
    <w:p>
      <w:pPr>
        <w:pStyle w:val="BodyText"/>
        <w:spacing w:before="8"/>
      </w:pPr>
    </w:p>
    <w:p>
      <w:pPr>
        <w:spacing w:line="235" w:lineRule="auto" w:before="1"/>
        <w:ind w:left="705" w:right="167" w:hanging="541"/>
        <w:jc w:val="both"/>
        <w:rPr>
          <w:sz w:val="20"/>
        </w:rPr>
      </w:pPr>
      <w:bookmarkStart w:name="_bookmark588" w:id="590"/>
      <w:bookmarkEnd w:id="590"/>
      <w:r>
        <w:rPr/>
      </w:r>
      <w:hyperlink w:history="true" w:anchor="_bookmark534">
        <w:r>
          <w:rPr>
            <w:color w:val="005DA1"/>
            <w:position w:val="5"/>
            <w:sz w:val="14"/>
            <w:u w:val="single" w:color="005DA1"/>
          </w:rPr>
          <w:t>282</w:t>
        </w:r>
      </w:hyperlink>
      <w:r>
        <w:rPr>
          <w:position w:val="5"/>
          <w:sz w:val="14"/>
        </w:rPr>
        <w:t>.</w:t>
      </w:r>
      <w:r>
        <w:rPr>
          <w:spacing w:val="40"/>
          <w:position w:val="5"/>
          <w:sz w:val="14"/>
        </w:rPr>
        <w:t>  </w:t>
      </w:r>
      <w:r>
        <w:rPr>
          <w:sz w:val="20"/>
        </w:rPr>
        <w:t>Below,</w:t>
      </w:r>
      <w:r>
        <w:rPr>
          <w:spacing w:val="-1"/>
          <w:sz w:val="20"/>
        </w:rPr>
        <w:t> </w:t>
      </w:r>
      <w:r>
        <w:rPr>
          <w:sz w:val="20"/>
        </w:rPr>
        <w:t>para.29-168.</w:t>
      </w:r>
      <w:r>
        <w:rPr>
          <w:spacing w:val="-1"/>
          <w:sz w:val="20"/>
        </w:rPr>
        <w:t> </w:t>
      </w:r>
      <w:r>
        <w:rPr>
          <w:sz w:val="20"/>
        </w:rPr>
        <w:t>The</w:t>
      </w:r>
      <w:r>
        <w:rPr>
          <w:spacing w:val="-1"/>
          <w:sz w:val="20"/>
        </w:rPr>
        <w:t> </w:t>
      </w:r>
      <w:r>
        <w:rPr>
          <w:sz w:val="20"/>
        </w:rPr>
        <w:t>US</w:t>
      </w:r>
      <w:r>
        <w:rPr>
          <w:spacing w:val="-1"/>
          <w:sz w:val="20"/>
        </w:rPr>
        <w:t> </w:t>
      </w:r>
      <w:r>
        <w:rPr>
          <w:sz w:val="20"/>
        </w:rPr>
        <w:t>Supreme</w:t>
      </w:r>
      <w:r>
        <w:rPr>
          <w:spacing w:val="-1"/>
          <w:sz w:val="20"/>
        </w:rPr>
        <w:t> </w:t>
      </w:r>
      <w:r>
        <w:rPr>
          <w:sz w:val="20"/>
        </w:rPr>
        <w:t>Court</w:t>
      </w:r>
      <w:r>
        <w:rPr>
          <w:spacing w:val="-1"/>
          <w:sz w:val="20"/>
        </w:rPr>
        <w:t> </w:t>
      </w:r>
      <w:r>
        <w:rPr>
          <w:sz w:val="20"/>
        </w:rPr>
        <w:t>has</w:t>
      </w:r>
      <w:r>
        <w:rPr>
          <w:spacing w:val="-1"/>
          <w:sz w:val="20"/>
        </w:rPr>
        <w:t> </w:t>
      </w:r>
      <w:r>
        <w:rPr>
          <w:sz w:val="20"/>
        </w:rPr>
        <w:t>used</w:t>
      </w:r>
      <w:r>
        <w:rPr>
          <w:spacing w:val="-1"/>
          <w:sz w:val="20"/>
        </w:rPr>
        <w:t> </w:t>
      </w:r>
      <w:r>
        <w:rPr>
          <w:sz w:val="20"/>
        </w:rPr>
        <w:t>a</w:t>
      </w:r>
      <w:r>
        <w:rPr>
          <w:spacing w:val="-1"/>
          <w:sz w:val="20"/>
        </w:rPr>
        <w:t> </w:t>
      </w:r>
      <w:r>
        <w:rPr>
          <w:sz w:val="20"/>
        </w:rPr>
        <w:t>remedial</w:t>
      </w:r>
      <w:r>
        <w:rPr>
          <w:spacing w:val="-1"/>
          <w:sz w:val="20"/>
        </w:rPr>
        <w:t> </w:t>
      </w:r>
      <w:r>
        <w:rPr>
          <w:sz w:val="20"/>
        </w:rPr>
        <w:t>constructive</w:t>
      </w:r>
      <w:r>
        <w:rPr>
          <w:spacing w:val="-1"/>
          <w:sz w:val="20"/>
        </w:rPr>
        <w:t> </w:t>
      </w:r>
      <w:r>
        <w:rPr>
          <w:sz w:val="20"/>
        </w:rPr>
        <w:t>trust</w:t>
      </w:r>
      <w:r>
        <w:rPr>
          <w:spacing w:val="-1"/>
          <w:sz w:val="20"/>
        </w:rPr>
        <w:t> </w:t>
      </w:r>
      <w:r>
        <w:rPr>
          <w:sz w:val="20"/>
        </w:rPr>
        <w:t>to</w:t>
      </w:r>
      <w:r>
        <w:rPr>
          <w:spacing w:val="-1"/>
          <w:sz w:val="20"/>
        </w:rPr>
        <w:t> </w:t>
      </w:r>
      <w:r>
        <w:rPr>
          <w:sz w:val="20"/>
        </w:rPr>
        <w:t>deprive</w:t>
      </w:r>
      <w:r>
        <w:rPr>
          <w:spacing w:val="-1"/>
          <w:sz w:val="20"/>
        </w:rPr>
        <w:t> </w:t>
      </w:r>
      <w:r>
        <w:rPr>
          <w:sz w:val="20"/>
        </w:rPr>
        <w:t>a cynical contract-breaker of his profits: </w:t>
      </w:r>
      <w:r>
        <w:rPr>
          <w:rFonts w:ascii="Arial"/>
          <w:i/>
          <w:sz w:val="20"/>
        </w:rPr>
        <w:t>Snepp v United States 444 US 507 (1980)</w:t>
      </w:r>
      <w:r>
        <w:rPr>
          <w:sz w:val="20"/>
        </w:rPr>
        <w:t>, but the English Court of Appeal preferred not to use this concept: </w:t>
      </w:r>
      <w:r>
        <w:rPr>
          <w:rFonts w:ascii="Arial"/>
          <w:i/>
          <w:sz w:val="20"/>
        </w:rPr>
        <w:t>Att-Gen v Blake [1998] Ch. 439, 459</w:t>
      </w:r>
      <w:r>
        <w:rPr>
          <w:sz w:val="20"/>
        </w:rPr>
        <w:t>. See also Deane J. (dissenting) in </w:t>
      </w:r>
      <w:r>
        <w:rPr>
          <w:rFonts w:ascii="Arial"/>
          <w:i/>
          <w:sz w:val="20"/>
        </w:rPr>
        <w:t>Hospital Products Ltd v US Surgical Corp (1984) 156 C.L.R. 41, High Ct of Australia</w:t>
      </w:r>
      <w:r>
        <w:rPr>
          <w:sz w:val="20"/>
        </w:rPr>
        <w:t>.</w:t>
      </w:r>
    </w:p>
    <w:p>
      <w:pPr>
        <w:pStyle w:val="BodyText"/>
        <w:spacing w:before="8"/>
      </w:pPr>
    </w:p>
    <w:p>
      <w:pPr>
        <w:tabs>
          <w:tab w:pos="705" w:val="left" w:leader="none"/>
        </w:tabs>
        <w:spacing w:line="235" w:lineRule="auto" w:before="0"/>
        <w:ind w:left="705" w:right="174" w:hanging="541"/>
        <w:jc w:val="left"/>
        <w:rPr>
          <w:sz w:val="20"/>
        </w:rPr>
      </w:pPr>
      <w:bookmarkStart w:name="_bookmark589" w:id="591"/>
      <w:bookmarkEnd w:id="591"/>
      <w:r>
        <w:rPr/>
      </w:r>
      <w:hyperlink w:history="true" w:anchor="_bookmark535">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Reid</w:t>
      </w:r>
      <w:r>
        <w:rPr>
          <w:rFonts w:ascii="Arial"/>
          <w:i/>
          <w:spacing w:val="36"/>
          <w:sz w:val="20"/>
        </w:rPr>
        <w:t> </w:t>
      </w:r>
      <w:r>
        <w:rPr>
          <w:rFonts w:ascii="Arial"/>
          <w:i/>
          <w:sz w:val="20"/>
        </w:rPr>
        <w:t>Newfoundland</w:t>
      </w:r>
      <w:r>
        <w:rPr>
          <w:rFonts w:ascii="Arial"/>
          <w:i/>
          <w:spacing w:val="36"/>
          <w:sz w:val="20"/>
        </w:rPr>
        <w:t> </w:t>
      </w:r>
      <w:r>
        <w:rPr>
          <w:rFonts w:ascii="Arial"/>
          <w:i/>
          <w:sz w:val="20"/>
        </w:rPr>
        <w:t>Co</w:t>
      </w:r>
      <w:r>
        <w:rPr>
          <w:rFonts w:ascii="Arial"/>
          <w:i/>
          <w:spacing w:val="36"/>
          <w:sz w:val="20"/>
        </w:rPr>
        <w:t> </w:t>
      </w:r>
      <w:r>
        <w:rPr>
          <w:rFonts w:ascii="Arial"/>
          <w:i/>
          <w:sz w:val="20"/>
        </w:rPr>
        <w:t>v</w:t>
      </w:r>
      <w:r>
        <w:rPr>
          <w:rFonts w:ascii="Arial"/>
          <w:i/>
          <w:spacing w:val="36"/>
          <w:sz w:val="20"/>
        </w:rPr>
        <w:t> </w:t>
      </w:r>
      <w:r>
        <w:rPr>
          <w:rFonts w:ascii="Arial"/>
          <w:i/>
          <w:sz w:val="20"/>
        </w:rPr>
        <w:t>Anglo-American</w:t>
      </w:r>
      <w:r>
        <w:rPr>
          <w:rFonts w:ascii="Arial"/>
          <w:i/>
          <w:spacing w:val="36"/>
          <w:sz w:val="20"/>
        </w:rPr>
        <w:t> </w:t>
      </w:r>
      <w:r>
        <w:rPr>
          <w:rFonts w:ascii="Arial"/>
          <w:i/>
          <w:sz w:val="20"/>
        </w:rPr>
        <w:t>Telegraph</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[1912]</w:t>
      </w:r>
      <w:r>
        <w:rPr>
          <w:rFonts w:ascii="Arial"/>
          <w:i/>
          <w:spacing w:val="36"/>
          <w:sz w:val="20"/>
        </w:rPr>
        <w:t> </w:t>
      </w:r>
      <w:r>
        <w:rPr>
          <w:rFonts w:ascii="Arial"/>
          <w:i/>
          <w:sz w:val="20"/>
        </w:rPr>
        <w:t>A.C.</w:t>
      </w:r>
      <w:r>
        <w:rPr>
          <w:rFonts w:ascii="Arial"/>
          <w:i/>
          <w:spacing w:val="36"/>
          <w:sz w:val="20"/>
        </w:rPr>
        <w:t> </w:t>
      </w:r>
      <w:r>
        <w:rPr>
          <w:rFonts w:ascii="Arial"/>
          <w:i/>
          <w:sz w:val="20"/>
        </w:rPr>
        <w:t>555</w:t>
      </w:r>
      <w:r>
        <w:rPr>
          <w:rFonts w:ascii="Arial"/>
          <w:i/>
          <w:spacing w:val="34"/>
          <w:sz w:val="20"/>
        </w:rPr>
        <w:t> </w:t>
      </w:r>
      <w:r>
        <w:rPr>
          <w:sz w:val="20"/>
        </w:rPr>
        <w:t>(a</w:t>
      </w:r>
      <w:r>
        <w:rPr>
          <w:spacing w:val="36"/>
          <w:sz w:val="20"/>
        </w:rPr>
        <w:t> </w:t>
      </w:r>
      <w:r>
        <w:rPr>
          <w:sz w:val="20"/>
        </w:rPr>
        <w:t>promise</w:t>
      </w:r>
      <w:r>
        <w:rPr>
          <w:spacing w:val="36"/>
          <w:sz w:val="20"/>
        </w:rPr>
        <w:t> </w:t>
      </w:r>
      <w:r>
        <w:rPr>
          <w:sz w:val="20"/>
        </w:rPr>
        <w:t>to account for the profits of breach). See also </w:t>
      </w:r>
      <w:r>
        <w:rPr>
          <w:rFonts w:ascii="Arial"/>
          <w:i/>
          <w:sz w:val="20"/>
        </w:rPr>
        <w:t>Reading v Att-Gen [1951] A.C. 507</w:t>
      </w:r>
      <w:r>
        <w:rPr>
          <w:sz w:val="20"/>
        </w:rPr>
        <w:t>.</w:t>
      </w:r>
    </w:p>
    <w:p>
      <w:pPr>
        <w:pStyle w:val="BodyText"/>
        <w:spacing w:before="5"/>
      </w:pPr>
    </w:p>
    <w:p>
      <w:pPr>
        <w:tabs>
          <w:tab w:pos="705" w:val="left" w:leader="none"/>
        </w:tabs>
        <w:spacing w:before="0"/>
        <w:ind w:left="165" w:right="0" w:firstLine="0"/>
        <w:jc w:val="left"/>
        <w:rPr>
          <w:sz w:val="20"/>
        </w:rPr>
      </w:pPr>
      <w:bookmarkStart w:name="_bookmark590" w:id="592"/>
      <w:bookmarkEnd w:id="592"/>
      <w:r>
        <w:rPr/>
      </w:r>
      <w:hyperlink w:history="true" w:anchor="_bookmark535">
        <w:r>
          <w:rPr>
            <w:color w:val="005DA1"/>
            <w:spacing w:val="-4"/>
            <w:position w:val="5"/>
            <w:sz w:val="14"/>
            <w:u w:val="single" w:color="005DA1"/>
          </w:rPr>
          <w:t>284</w:t>
        </w:r>
      </w:hyperlink>
      <w:r>
        <w:rPr>
          <w:spacing w:val="-4"/>
          <w:position w:val="5"/>
          <w:sz w:val="14"/>
        </w:rPr>
        <w:t>.</w:t>
      </w:r>
      <w:r>
        <w:rPr>
          <w:position w:val="5"/>
          <w:sz w:val="14"/>
        </w:rPr>
        <w:tab/>
      </w:r>
      <w:r>
        <w:rPr>
          <w:rFonts w:ascii="Arial" w:hAnsi="Arial"/>
          <w:i/>
          <w:sz w:val="20"/>
        </w:rPr>
        <w:t>[2001] 1 A.C. 268, </w:t>
      </w:r>
      <w:r>
        <w:rPr>
          <w:rFonts w:ascii="Arial" w:hAnsi="Arial"/>
          <w:i/>
          <w:spacing w:val="-2"/>
          <w:sz w:val="20"/>
        </w:rPr>
        <w:t>278–280</w:t>
      </w:r>
      <w:r>
        <w:rPr>
          <w:spacing w:val="-2"/>
          <w:sz w:val="20"/>
        </w:rPr>
        <w:t>.</w:t>
      </w:r>
    </w:p>
    <w:p>
      <w:pPr>
        <w:pStyle w:val="BodyText"/>
        <w:spacing w:before="9"/>
      </w:pPr>
    </w:p>
    <w:p>
      <w:pPr>
        <w:spacing w:line="235" w:lineRule="auto" w:before="0"/>
        <w:ind w:left="705" w:right="167" w:hanging="541"/>
        <w:jc w:val="both"/>
        <w:rPr>
          <w:sz w:val="20"/>
        </w:rPr>
      </w:pPr>
      <w:bookmarkStart w:name="_bookmark591" w:id="593"/>
      <w:bookmarkEnd w:id="593"/>
      <w:r>
        <w:rPr/>
      </w:r>
      <w:hyperlink w:history="true" w:anchor="_bookmark536">
        <w:r>
          <w:rPr>
            <w:color w:val="005DA1"/>
            <w:position w:val="5"/>
            <w:sz w:val="14"/>
            <w:u w:val="single" w:color="005DA1"/>
          </w:rPr>
          <w:t>285</w:t>
        </w:r>
      </w:hyperlink>
      <w:r>
        <w:rPr>
          <w:position w:val="5"/>
          <w:sz w:val="14"/>
        </w:rPr>
        <w:t>.</w:t>
      </w:r>
      <w:r>
        <w:rPr>
          <w:spacing w:val="40"/>
          <w:position w:val="5"/>
          <w:sz w:val="14"/>
        </w:rPr>
        <w:t>  </w:t>
      </w:r>
      <w:r>
        <w:rPr>
          <w:sz w:val="20"/>
        </w:rPr>
        <w:t>e.g. the wayleave cases, such as </w:t>
      </w:r>
      <w:r>
        <w:rPr>
          <w:rFonts w:ascii="Arial" w:hAnsi="Arial"/>
          <w:i/>
          <w:sz w:val="20"/>
        </w:rPr>
        <w:t>Phillips v Homfray (1871) L.R. 6 Ch. App. 770</w:t>
      </w:r>
      <w:r>
        <w:rPr>
          <w:sz w:val="20"/>
        </w:rPr>
        <w:t>; or where the defendant had trespassed by tipping soil on the plaintiff’s land: </w:t>
      </w:r>
      <w:r>
        <w:rPr>
          <w:rFonts w:ascii="Arial" w:hAnsi="Arial"/>
          <w:i/>
          <w:sz w:val="20"/>
        </w:rPr>
        <w:t>Whitwham v </w:t>
      </w:r>
      <w:r>
        <w:rPr>
          <w:rFonts w:ascii="Arial" w:hAnsi="Arial"/>
          <w:i/>
          <w:sz w:val="20"/>
        </w:rPr>
        <w:t>Westminster Brymbo Coal and Coke Co [1896] 2 Ch. 538</w:t>
      </w:r>
      <w:r>
        <w:rPr>
          <w:sz w:val="20"/>
        </w:rPr>
        <w:t>; or where a landlord wrongfully ejected his tenant and the damages for trespass were assessed as a reasonable rent for the entire period of the trespass, whether or not the landlord had derived any benefit from using the property:</w:t>
      </w:r>
      <w:r>
        <w:rPr>
          <w:spacing w:val="-1"/>
          <w:sz w:val="20"/>
        </w:rPr>
        <w:t> </w:t>
      </w:r>
      <w:r>
        <w:rPr>
          <w:rFonts w:ascii="Arial" w:hAnsi="Arial"/>
          <w:i/>
          <w:sz w:val="20"/>
        </w:rPr>
        <w:t>Inverugie Investments Ltd v Hackett [1995] 1 W.L.R. 713 PC</w:t>
      </w:r>
      <w:r>
        <w:rPr>
          <w:sz w:val="20"/>
        </w:rPr>
        <w:t>. See Cooke (1994) 110 L.Q.R. 420. General damages may also be awarded when a claimant’s goods have been put out of action by a tortfeasor but the claimant had a replacement available: for a recent example, see </w:t>
      </w:r>
      <w:r>
        <w:rPr>
          <w:rFonts w:ascii="Arial" w:hAnsi="Arial"/>
          <w:i/>
          <w:sz w:val="20"/>
        </w:rPr>
        <w:t>West Midlands Travel Ltd v Aviva Insurance UK Ltd [2013] EWCA Civ 887</w:t>
      </w:r>
      <w:r>
        <w:rPr>
          <w:sz w:val="20"/>
        </w:rPr>
        <w:t>, where the damages were assessed on the basis of the capital tied up in the goods, wasted expenditure and depreciation (at [28]). See also above, para.26-010, n.68.</w:t>
      </w:r>
    </w:p>
    <w:p>
      <w:pPr>
        <w:pStyle w:val="BodyText"/>
        <w:spacing w:before="6"/>
      </w:pPr>
    </w:p>
    <w:p>
      <w:pPr>
        <w:tabs>
          <w:tab w:pos="705" w:val="left" w:leader="none"/>
        </w:tabs>
        <w:spacing w:line="235" w:lineRule="auto" w:before="0"/>
        <w:ind w:left="705" w:right="174" w:hanging="541"/>
        <w:jc w:val="left"/>
        <w:rPr>
          <w:sz w:val="20"/>
        </w:rPr>
      </w:pPr>
      <w:bookmarkStart w:name="_bookmark592" w:id="594"/>
      <w:bookmarkEnd w:id="594"/>
      <w:r>
        <w:rPr/>
      </w:r>
      <w:hyperlink w:history="true" w:anchor="_bookmark537">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Strand</w:t>
      </w:r>
      <w:r>
        <w:rPr>
          <w:rFonts w:ascii="Arial"/>
          <w:i/>
          <w:spacing w:val="40"/>
          <w:sz w:val="20"/>
        </w:rPr>
        <w:t> </w:t>
      </w:r>
      <w:r>
        <w:rPr>
          <w:rFonts w:ascii="Arial"/>
          <w:i/>
          <w:sz w:val="20"/>
        </w:rPr>
        <w:t>Electric</w:t>
      </w:r>
      <w:r>
        <w:rPr>
          <w:rFonts w:ascii="Arial"/>
          <w:i/>
          <w:spacing w:val="40"/>
          <w:sz w:val="20"/>
        </w:rPr>
        <w:t> </w:t>
      </w:r>
      <w:r>
        <w:rPr>
          <w:rFonts w:ascii="Arial"/>
          <w:i/>
          <w:sz w:val="20"/>
        </w:rPr>
        <w:t>and</w:t>
      </w:r>
      <w:r>
        <w:rPr>
          <w:rFonts w:ascii="Arial"/>
          <w:i/>
          <w:spacing w:val="40"/>
          <w:sz w:val="20"/>
        </w:rPr>
        <w:t> </w:t>
      </w:r>
      <w:r>
        <w:rPr>
          <w:rFonts w:ascii="Arial"/>
          <w:i/>
          <w:sz w:val="20"/>
        </w:rPr>
        <w:t>Engineering</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Brisford</w:t>
      </w:r>
      <w:r>
        <w:rPr>
          <w:rFonts w:ascii="Arial"/>
          <w:i/>
          <w:spacing w:val="40"/>
          <w:sz w:val="20"/>
        </w:rPr>
        <w:t> </w:t>
      </w:r>
      <w:r>
        <w:rPr>
          <w:rFonts w:ascii="Arial"/>
          <w:i/>
          <w:sz w:val="20"/>
        </w:rPr>
        <w:t>Entertainments</w:t>
      </w:r>
      <w:r>
        <w:rPr>
          <w:rFonts w:ascii="Arial"/>
          <w:i/>
          <w:spacing w:val="40"/>
          <w:sz w:val="20"/>
        </w:rPr>
        <w:t> </w:t>
      </w:r>
      <w:r>
        <w:rPr>
          <w:rFonts w:ascii="Arial"/>
          <w:i/>
          <w:sz w:val="20"/>
        </w:rPr>
        <w:t>Ltd</w:t>
      </w:r>
      <w:r>
        <w:rPr>
          <w:rFonts w:ascii="Arial"/>
          <w:i/>
          <w:spacing w:val="40"/>
          <w:sz w:val="20"/>
        </w:rPr>
        <w:t> </w:t>
      </w:r>
      <w:r>
        <w:rPr>
          <w:rFonts w:ascii="Arial"/>
          <w:i/>
          <w:sz w:val="20"/>
        </w:rPr>
        <w:t>[1952]</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246</w:t>
      </w:r>
      <w:r>
        <w:rPr>
          <w:sz w:val="20"/>
        </w:rPr>
        <w:t>; </w:t>
      </w:r>
      <w:r>
        <w:rPr>
          <w:rFonts w:ascii="Arial"/>
          <w:i/>
          <w:sz w:val="20"/>
        </w:rPr>
        <w:t>Swordheath Properties Ltd v Tabet [1979] 1 W.L.R. 285</w:t>
      </w:r>
      <w:r>
        <w:rPr>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593" w:id="595"/>
      <w:bookmarkEnd w:id="595"/>
      <w:r>
        <w:rPr/>
      </w:r>
      <w:hyperlink w:history="true" w:anchor="_bookmark538">
        <w:r>
          <w:rPr>
            <w:color w:val="005DA1"/>
            <w:spacing w:val="-4"/>
            <w:position w:val="5"/>
            <w:sz w:val="14"/>
            <w:u w:val="single" w:color="005DA1"/>
          </w:rPr>
          <w:t>287</w:t>
        </w:r>
      </w:hyperlink>
      <w:r>
        <w:rPr>
          <w:spacing w:val="-4"/>
          <w:position w:val="5"/>
          <w:sz w:val="14"/>
        </w:rPr>
        <w:t>.</w:t>
      </w:r>
      <w:r>
        <w:rPr>
          <w:position w:val="5"/>
          <w:sz w:val="14"/>
        </w:rPr>
        <w:tab/>
      </w:r>
      <w:r>
        <w:rPr>
          <w:rFonts w:ascii="Arial" w:hAnsi="Arial"/>
          <w:i/>
          <w:sz w:val="20"/>
        </w:rPr>
        <w:t>Penarth Dock Engineering Co Ltd v Pounds [1963] 1 Lloyd’s Rep. 359 </w:t>
      </w:r>
      <w:r>
        <w:rPr>
          <w:sz w:val="20"/>
        </w:rPr>
        <w:t>(the reasonable </w:t>
      </w:r>
      <w:r>
        <w:rPr>
          <w:sz w:val="20"/>
        </w:rPr>
        <w:t>charge for storage facilities was allowed as damages).</w:t>
      </w:r>
    </w:p>
    <w:p>
      <w:pPr>
        <w:pStyle w:val="BodyText"/>
        <w:spacing w:before="9"/>
      </w:pPr>
    </w:p>
    <w:p>
      <w:pPr>
        <w:tabs>
          <w:tab w:pos="705" w:val="left" w:leader="none"/>
        </w:tabs>
        <w:spacing w:line="235" w:lineRule="auto" w:before="0"/>
        <w:ind w:left="705" w:right="174" w:hanging="541"/>
        <w:jc w:val="left"/>
        <w:rPr>
          <w:sz w:val="20"/>
        </w:rPr>
      </w:pPr>
      <w:bookmarkStart w:name="_bookmark594" w:id="596"/>
      <w:bookmarkEnd w:id="596"/>
      <w:r>
        <w:rPr/>
      </w:r>
      <w:hyperlink w:history="true" w:anchor="_bookmark539">
        <w:r>
          <w:rPr>
            <w:color w:val="005DA1"/>
            <w:spacing w:val="-4"/>
            <w:position w:val="5"/>
            <w:sz w:val="14"/>
            <w:u w:val="single" w:color="005DA1"/>
          </w:rPr>
          <w:t>288</w:t>
        </w:r>
      </w:hyperlink>
      <w:r>
        <w:rPr>
          <w:spacing w:val="-4"/>
          <w:position w:val="5"/>
          <w:sz w:val="14"/>
        </w:rPr>
        <w:t>.</w:t>
      </w:r>
      <w:r>
        <w:rPr>
          <w:position w:val="5"/>
          <w:sz w:val="14"/>
        </w:rPr>
        <w:tab/>
      </w:r>
      <w:r>
        <w:rPr>
          <w:sz w:val="20"/>
        </w:rPr>
        <w:t>See</w:t>
      </w:r>
      <w:r>
        <w:rPr>
          <w:spacing w:val="29"/>
          <w:sz w:val="20"/>
        </w:rPr>
        <w:t> </w:t>
      </w:r>
      <w:r>
        <w:rPr>
          <w:rFonts w:ascii="Arial"/>
          <w:i/>
          <w:sz w:val="20"/>
        </w:rPr>
        <w:t>Experience</w:t>
      </w:r>
      <w:r>
        <w:rPr>
          <w:rFonts w:ascii="Arial"/>
          <w:i/>
          <w:spacing w:val="29"/>
          <w:sz w:val="20"/>
        </w:rPr>
        <w:t> </w:t>
      </w:r>
      <w:r>
        <w:rPr>
          <w:rFonts w:ascii="Arial"/>
          <w:i/>
          <w:sz w:val="20"/>
        </w:rPr>
        <w:t>Hendrix</w:t>
      </w:r>
      <w:r>
        <w:rPr>
          <w:rFonts w:ascii="Arial"/>
          <w:i/>
          <w:spacing w:val="29"/>
          <w:sz w:val="20"/>
        </w:rPr>
        <w:t> </w:t>
      </w:r>
      <w:r>
        <w:rPr>
          <w:rFonts w:ascii="Arial"/>
          <w:i/>
          <w:sz w:val="20"/>
        </w:rPr>
        <w:t>LLC</w:t>
      </w:r>
      <w:r>
        <w:rPr>
          <w:rFonts w:ascii="Arial"/>
          <w:i/>
          <w:spacing w:val="29"/>
          <w:sz w:val="20"/>
        </w:rPr>
        <w:t> </w:t>
      </w:r>
      <w:r>
        <w:rPr>
          <w:rFonts w:ascii="Arial"/>
          <w:i/>
          <w:sz w:val="20"/>
        </w:rPr>
        <w:t>v</w:t>
      </w:r>
      <w:r>
        <w:rPr>
          <w:rFonts w:ascii="Arial"/>
          <w:i/>
          <w:spacing w:val="29"/>
          <w:sz w:val="20"/>
        </w:rPr>
        <w:t> </w:t>
      </w:r>
      <w:r>
        <w:rPr>
          <w:rFonts w:ascii="Arial"/>
          <w:i/>
          <w:sz w:val="20"/>
        </w:rPr>
        <w:t>PPX</w:t>
      </w:r>
      <w:r>
        <w:rPr>
          <w:rFonts w:ascii="Arial"/>
          <w:i/>
          <w:spacing w:val="29"/>
          <w:sz w:val="20"/>
        </w:rPr>
        <w:t> </w:t>
      </w:r>
      <w:r>
        <w:rPr>
          <w:rFonts w:ascii="Arial"/>
          <w:i/>
          <w:sz w:val="20"/>
        </w:rPr>
        <w:t>Enterprises</w:t>
      </w:r>
      <w:r>
        <w:rPr>
          <w:rFonts w:ascii="Arial"/>
          <w:i/>
          <w:spacing w:val="29"/>
          <w:sz w:val="20"/>
        </w:rPr>
        <w:t> </w:t>
      </w:r>
      <w:r>
        <w:rPr>
          <w:rFonts w:ascii="Arial"/>
          <w:i/>
          <w:sz w:val="20"/>
        </w:rPr>
        <w:t>Inc</w:t>
      </w:r>
      <w:r>
        <w:rPr>
          <w:rFonts w:ascii="Arial"/>
          <w:i/>
          <w:spacing w:val="29"/>
          <w:sz w:val="20"/>
        </w:rPr>
        <w:t> </w:t>
      </w:r>
      <w:r>
        <w:rPr>
          <w:rFonts w:ascii="Arial"/>
          <w:i/>
          <w:sz w:val="20"/>
        </w:rPr>
        <w:t>and</w:t>
      </w:r>
      <w:r>
        <w:rPr>
          <w:rFonts w:ascii="Arial"/>
          <w:i/>
          <w:spacing w:val="29"/>
          <w:sz w:val="20"/>
        </w:rPr>
        <w:t> </w:t>
      </w:r>
      <w:r>
        <w:rPr>
          <w:rFonts w:ascii="Arial"/>
          <w:i/>
          <w:sz w:val="20"/>
        </w:rPr>
        <w:t>Edward</w:t>
      </w:r>
      <w:r>
        <w:rPr>
          <w:rFonts w:ascii="Arial"/>
          <w:i/>
          <w:spacing w:val="29"/>
          <w:sz w:val="20"/>
        </w:rPr>
        <w:t> </w:t>
      </w:r>
      <w:r>
        <w:rPr>
          <w:rFonts w:ascii="Arial"/>
          <w:i/>
          <w:sz w:val="20"/>
        </w:rPr>
        <w:t>Chaplin</w:t>
      </w:r>
      <w:r>
        <w:rPr>
          <w:rFonts w:ascii="Arial"/>
          <w:i/>
          <w:spacing w:val="29"/>
          <w:sz w:val="20"/>
        </w:rPr>
        <w:t> </w:t>
      </w:r>
      <w:r>
        <w:rPr>
          <w:rFonts w:ascii="Arial"/>
          <w:i/>
          <w:sz w:val="20"/>
        </w:rPr>
        <w:t>[2003]</w:t>
      </w:r>
      <w:r>
        <w:rPr>
          <w:rFonts w:ascii="Arial"/>
          <w:i/>
          <w:spacing w:val="29"/>
          <w:sz w:val="20"/>
        </w:rPr>
        <w:t> </w:t>
      </w:r>
      <w:r>
        <w:rPr>
          <w:rFonts w:ascii="Arial"/>
          <w:i/>
          <w:sz w:val="20"/>
        </w:rPr>
        <w:t>EWCA</w:t>
      </w:r>
      <w:r>
        <w:rPr>
          <w:rFonts w:ascii="Arial"/>
          <w:i/>
          <w:spacing w:val="29"/>
          <w:sz w:val="20"/>
        </w:rPr>
        <w:t> </w:t>
      </w:r>
      <w:r>
        <w:rPr>
          <w:rFonts w:ascii="Arial"/>
          <w:i/>
          <w:sz w:val="20"/>
        </w:rPr>
        <w:t>Civ 323, [2003] 1 All E.R. (Comm) 830 </w:t>
      </w:r>
      <w:r>
        <w:rPr>
          <w:sz w:val="20"/>
        </w:rPr>
        <w:t>at [25] (Mance L.J.).</w:t>
      </w:r>
    </w:p>
    <w:p>
      <w:pPr>
        <w:pStyle w:val="BodyText"/>
        <w:spacing w:before="6"/>
      </w:pPr>
    </w:p>
    <w:p>
      <w:pPr>
        <w:tabs>
          <w:tab w:pos="705" w:val="left" w:leader="none"/>
        </w:tabs>
        <w:spacing w:before="0"/>
        <w:ind w:left="165" w:right="0" w:firstLine="0"/>
        <w:jc w:val="left"/>
        <w:rPr>
          <w:sz w:val="20"/>
        </w:rPr>
      </w:pPr>
      <w:bookmarkStart w:name="_bookmark595" w:id="597"/>
      <w:bookmarkEnd w:id="597"/>
      <w:r>
        <w:rPr/>
      </w:r>
      <w:hyperlink w:history="true" w:anchor="_bookmark540">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Watson, Laidlaw &amp; Co Ltd v Potts, Cassels and Williamson (1914) 31 R.P.C. 104, </w:t>
      </w:r>
      <w:r>
        <w:rPr>
          <w:rFonts w:ascii="Arial"/>
          <w:i/>
          <w:spacing w:val="-4"/>
          <w:sz w:val="20"/>
        </w:rPr>
        <w:t>119</w:t>
      </w:r>
      <w:r>
        <w:rPr>
          <w:spacing w:val="-4"/>
          <w:sz w:val="20"/>
        </w:rPr>
        <w:t>.</w:t>
      </w:r>
    </w:p>
    <w:p>
      <w:pPr>
        <w:pStyle w:val="BodyText"/>
        <w:spacing w:before="8"/>
      </w:pPr>
    </w:p>
    <w:p>
      <w:pPr>
        <w:pStyle w:val="BodyText"/>
        <w:tabs>
          <w:tab w:pos="705" w:val="left" w:leader="none"/>
        </w:tabs>
        <w:spacing w:line="235" w:lineRule="auto" w:before="1"/>
        <w:ind w:left="705" w:right="174" w:hanging="541"/>
      </w:pPr>
      <w:bookmarkStart w:name="_bookmark596" w:id="598"/>
      <w:bookmarkEnd w:id="598"/>
      <w:r>
        <w:rPr/>
      </w:r>
      <w:hyperlink w:history="true" w:anchor="_bookmark541">
        <w:r>
          <w:rPr>
            <w:color w:val="005DA1"/>
            <w:spacing w:val="-4"/>
            <w:position w:val="5"/>
            <w:sz w:val="14"/>
            <w:u w:val="single" w:color="005DA1"/>
          </w:rPr>
          <w:t>290</w:t>
        </w:r>
      </w:hyperlink>
      <w:r>
        <w:rPr>
          <w:spacing w:val="-4"/>
          <w:position w:val="5"/>
          <w:sz w:val="14"/>
        </w:rPr>
        <w:t>.</w:t>
      </w:r>
      <w:r>
        <w:rPr>
          <w:position w:val="5"/>
          <w:sz w:val="14"/>
        </w:rPr>
        <w:tab/>
      </w:r>
      <w:r>
        <w:rPr/>
        <w:t>See the discussion in McGregor on Damages, 19th edn (2014), paras 37–045—37–053; </w:t>
      </w:r>
      <w:r>
        <w:rPr/>
        <w:t>and</w:t>
      </w:r>
      <w:r>
        <w:rPr>
          <w:spacing w:val="80"/>
        </w:rPr>
        <w:t> </w:t>
      </w:r>
      <w:r>
        <w:rPr/>
        <w:t>see below, para.29-148.</w:t>
      </w:r>
    </w:p>
    <w:p>
      <w:pPr>
        <w:pStyle w:val="BodyText"/>
        <w:spacing w:before="5"/>
      </w:pPr>
    </w:p>
    <w:p>
      <w:pPr>
        <w:pStyle w:val="BodyText"/>
        <w:tabs>
          <w:tab w:pos="705" w:val="left" w:leader="none"/>
        </w:tabs>
        <w:ind w:left="165"/>
      </w:pPr>
      <w:bookmarkStart w:name="_bookmark597" w:id="599"/>
      <w:bookmarkEnd w:id="599"/>
      <w:r>
        <w:rPr/>
      </w:r>
      <w:hyperlink w:history="true" w:anchor="_bookmark542">
        <w:r>
          <w:rPr>
            <w:color w:val="005DA1"/>
            <w:spacing w:val="-4"/>
            <w:position w:val="5"/>
            <w:sz w:val="14"/>
            <w:u w:val="single" w:color="005DA1"/>
          </w:rPr>
          <w:t>291</w:t>
        </w:r>
      </w:hyperlink>
      <w:r>
        <w:rPr>
          <w:spacing w:val="-4"/>
          <w:position w:val="5"/>
          <w:sz w:val="14"/>
        </w:rPr>
        <w:t>.</w:t>
      </w:r>
      <w:r>
        <w:rPr>
          <w:position w:val="5"/>
          <w:sz w:val="14"/>
        </w:rPr>
        <w:tab/>
      </w:r>
      <w:r>
        <w:rPr/>
        <w:t>See</w:t>
      </w:r>
      <w:r>
        <w:rPr>
          <w:spacing w:val="-2"/>
        </w:rPr>
        <w:t> </w:t>
      </w:r>
      <w:r>
        <w:rPr/>
        <w:t>below, para.26-</w:t>
      </w:r>
      <w:r>
        <w:rPr>
          <w:spacing w:val="-4"/>
        </w:rPr>
        <w:t>051.</w:t>
      </w:r>
    </w:p>
    <w:p>
      <w:pPr>
        <w:pStyle w:val="BodyText"/>
        <w:spacing w:before="5"/>
      </w:pPr>
    </w:p>
    <w:p>
      <w:pPr>
        <w:tabs>
          <w:tab w:pos="705" w:val="left" w:leader="none"/>
        </w:tabs>
        <w:spacing w:before="0"/>
        <w:ind w:left="165" w:right="0" w:firstLine="0"/>
        <w:jc w:val="left"/>
        <w:rPr>
          <w:sz w:val="20"/>
        </w:rPr>
      </w:pPr>
      <w:bookmarkStart w:name="_bookmark598" w:id="600"/>
      <w:bookmarkEnd w:id="600"/>
      <w:r>
        <w:rPr/>
      </w:r>
      <w:hyperlink w:history="true" w:anchor="_bookmark543">
        <w:r>
          <w:rPr>
            <w:color w:val="005DA1"/>
            <w:spacing w:val="-4"/>
            <w:position w:val="5"/>
            <w:sz w:val="14"/>
            <w:u w:val="single" w:color="005DA1"/>
          </w:rPr>
          <w:t>292</w:t>
        </w:r>
      </w:hyperlink>
      <w:r>
        <w:rPr>
          <w:spacing w:val="-4"/>
          <w:position w:val="5"/>
          <w:sz w:val="14"/>
        </w:rPr>
        <w:t>.</w:t>
      </w:r>
      <w:r>
        <w:rPr>
          <w:position w:val="5"/>
          <w:sz w:val="14"/>
        </w:rPr>
        <w:tab/>
      </w:r>
      <w:r>
        <w:rPr>
          <w:sz w:val="20"/>
        </w:rPr>
        <w:t>e.g. </w:t>
      </w:r>
      <w:r>
        <w:rPr>
          <w:rFonts w:ascii="Arial"/>
          <w:i/>
          <w:sz w:val="20"/>
        </w:rPr>
        <w:t>Lake v Bayliss [1974] 1 W.L.R. </w:t>
      </w:r>
      <w:r>
        <w:rPr>
          <w:rFonts w:ascii="Arial"/>
          <w:i/>
          <w:spacing w:val="-2"/>
          <w:sz w:val="20"/>
        </w:rPr>
        <w:t>1073</w:t>
      </w:r>
      <w:r>
        <w:rPr>
          <w:spacing w:val="-2"/>
          <w:sz w:val="20"/>
        </w:rPr>
        <w:t>.</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74" w:hanging="541"/>
        <w:jc w:val="left"/>
        <w:rPr>
          <w:sz w:val="20"/>
        </w:rPr>
      </w:pPr>
      <w:hyperlink w:history="true" w:anchor="_bookmark544">
        <w:r>
          <w:rPr>
            <w:color w:val="005DA1"/>
            <w:spacing w:val="-4"/>
            <w:position w:val="5"/>
            <w:sz w:val="14"/>
            <w:u w:val="single" w:color="005DA1"/>
          </w:rPr>
          <w:t>293</w:t>
        </w:r>
      </w:hyperlink>
      <w:r>
        <w:rPr>
          <w:spacing w:val="-4"/>
          <w:position w:val="5"/>
          <w:sz w:val="14"/>
        </w:rPr>
        <w:t>.</w:t>
      </w:r>
      <w:r>
        <w:rPr>
          <w:position w:val="5"/>
          <w:sz w:val="14"/>
        </w:rPr>
        <w:tab/>
      </w:r>
      <w:r>
        <w:rPr>
          <w:rFonts w:ascii="Arial" w:hAnsi="Arial"/>
          <w:i/>
          <w:sz w:val="20"/>
        </w:rPr>
        <w:t>Wrotham</w:t>
      </w:r>
      <w:r>
        <w:rPr>
          <w:rFonts w:ascii="Arial" w:hAnsi="Arial"/>
          <w:i/>
          <w:spacing w:val="20"/>
          <w:sz w:val="20"/>
        </w:rPr>
        <w:t> </w:t>
      </w:r>
      <w:r>
        <w:rPr>
          <w:rFonts w:ascii="Arial" w:hAnsi="Arial"/>
          <w:i/>
          <w:sz w:val="20"/>
        </w:rPr>
        <w:t>Park</w:t>
      </w:r>
      <w:r>
        <w:rPr>
          <w:rFonts w:ascii="Arial" w:hAnsi="Arial"/>
          <w:i/>
          <w:spacing w:val="20"/>
          <w:sz w:val="20"/>
        </w:rPr>
        <w:t> </w:t>
      </w:r>
      <w:r>
        <w:rPr>
          <w:rFonts w:ascii="Arial" w:hAnsi="Arial"/>
          <w:i/>
          <w:sz w:val="20"/>
        </w:rPr>
        <w:t>Estate</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Parkside</w:t>
      </w:r>
      <w:r>
        <w:rPr>
          <w:rFonts w:ascii="Arial" w:hAnsi="Arial"/>
          <w:i/>
          <w:spacing w:val="20"/>
          <w:sz w:val="20"/>
        </w:rPr>
        <w:t> </w:t>
      </w:r>
      <w:r>
        <w:rPr>
          <w:rFonts w:ascii="Arial" w:hAnsi="Arial"/>
          <w:i/>
          <w:sz w:val="20"/>
        </w:rPr>
        <w:t>Homes</w:t>
      </w:r>
      <w:r>
        <w:rPr>
          <w:rFonts w:ascii="Arial" w:hAnsi="Arial"/>
          <w:i/>
          <w:spacing w:val="20"/>
          <w:sz w:val="20"/>
        </w:rPr>
        <w:t> </w:t>
      </w:r>
      <w:r>
        <w:rPr>
          <w:rFonts w:ascii="Arial" w:hAnsi="Arial"/>
          <w:i/>
          <w:sz w:val="20"/>
        </w:rPr>
        <w:t>[1974]</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W.L.R.</w:t>
      </w:r>
      <w:r>
        <w:rPr>
          <w:rFonts w:ascii="Arial" w:hAnsi="Arial"/>
          <w:i/>
          <w:spacing w:val="20"/>
          <w:sz w:val="20"/>
        </w:rPr>
        <w:t> </w:t>
      </w:r>
      <w:r>
        <w:rPr>
          <w:rFonts w:ascii="Arial" w:hAnsi="Arial"/>
          <w:i/>
          <w:sz w:val="20"/>
        </w:rPr>
        <w:t>798</w:t>
      </w:r>
      <w:r>
        <w:rPr>
          <w:sz w:val="20"/>
        </w:rPr>
        <w:t>,</w:t>
      </w:r>
      <w:r>
        <w:rPr>
          <w:spacing w:val="20"/>
          <w:sz w:val="20"/>
        </w:rPr>
        <w:t> </w:t>
      </w:r>
      <w:r>
        <w:rPr>
          <w:sz w:val="20"/>
        </w:rPr>
        <w:t>approved</w:t>
      </w:r>
      <w:r>
        <w:rPr>
          <w:spacing w:val="20"/>
          <w:sz w:val="20"/>
        </w:rPr>
        <w:t> </w:t>
      </w:r>
      <w:r>
        <w:rPr>
          <w:sz w:val="20"/>
        </w:rPr>
        <w:t>by</w:t>
      </w:r>
      <w:r>
        <w:rPr>
          <w:spacing w:val="20"/>
          <w:sz w:val="20"/>
        </w:rPr>
        <w:t> </w:t>
      </w:r>
      <w:r>
        <w:rPr>
          <w:sz w:val="20"/>
        </w:rPr>
        <w:t>the</w:t>
      </w:r>
      <w:r>
        <w:rPr>
          <w:spacing w:val="20"/>
          <w:sz w:val="20"/>
        </w:rPr>
        <w:t> </w:t>
      </w:r>
      <w:r>
        <w:rPr>
          <w:sz w:val="20"/>
        </w:rPr>
        <w:t>House</w:t>
      </w:r>
      <w:r>
        <w:rPr>
          <w:spacing w:val="20"/>
          <w:sz w:val="20"/>
        </w:rPr>
        <w:t> </w:t>
      </w:r>
      <w:r>
        <w:rPr>
          <w:sz w:val="20"/>
        </w:rPr>
        <w:t>of Lords in </w:t>
      </w:r>
      <w:r>
        <w:rPr>
          <w:rFonts w:ascii="Arial" w:hAnsi="Arial"/>
          <w:i/>
          <w:sz w:val="20"/>
        </w:rPr>
        <w:t>Blake ’s case [2001] 1 A.C. 268</w:t>
      </w:r>
      <w:r>
        <w:rPr>
          <w:sz w:val="20"/>
        </w:rPr>
        <w:t>; followed in </w:t>
      </w:r>
      <w:r>
        <w:rPr>
          <w:rFonts w:ascii="Arial" w:hAnsi="Arial"/>
          <w:i/>
          <w:sz w:val="20"/>
        </w:rPr>
        <w:t>Bracewell v Appleby [1975] Ch. 408</w:t>
      </w:r>
      <w:r>
        <w:rPr>
          <w:sz w:val="20"/>
        </w:rPr>
        <w:t>.</w:t>
      </w:r>
    </w:p>
    <w:p>
      <w:pPr>
        <w:pStyle w:val="BodyText"/>
        <w:spacing w:before="6"/>
      </w:pPr>
    </w:p>
    <w:p>
      <w:pPr>
        <w:pStyle w:val="BodyText"/>
        <w:tabs>
          <w:tab w:pos="705" w:val="left" w:leader="none"/>
        </w:tabs>
        <w:ind w:left="165"/>
      </w:pPr>
      <w:bookmarkStart w:name="_bookmark599" w:id="601"/>
      <w:bookmarkEnd w:id="601"/>
      <w:r>
        <w:rPr/>
      </w:r>
      <w:hyperlink w:history="true" w:anchor="_bookmark545">
        <w:r>
          <w:rPr>
            <w:color w:val="005DA1"/>
            <w:spacing w:val="-4"/>
            <w:position w:val="5"/>
            <w:sz w:val="14"/>
            <w:u w:val="single" w:color="005DA1"/>
          </w:rPr>
          <w:t>294</w:t>
        </w:r>
      </w:hyperlink>
      <w:r>
        <w:rPr>
          <w:spacing w:val="-4"/>
          <w:position w:val="5"/>
          <w:sz w:val="14"/>
        </w:rPr>
        <w:t>.</w:t>
      </w:r>
      <w:r>
        <w:rPr>
          <w:position w:val="5"/>
          <w:sz w:val="14"/>
        </w:rPr>
        <w:tab/>
      </w:r>
      <w:r>
        <w:rPr/>
        <w:t>Senior Courts Act 1981 s.50 (formerly Lord Cairns’ </w:t>
      </w:r>
      <w:r>
        <w:rPr>
          <w:spacing w:val="-2"/>
        </w:rPr>
        <w:t>Act).</w:t>
      </w:r>
    </w:p>
    <w:p>
      <w:pPr>
        <w:pStyle w:val="BodyText"/>
        <w:spacing w:before="5"/>
      </w:pPr>
    </w:p>
    <w:p>
      <w:pPr>
        <w:tabs>
          <w:tab w:pos="705" w:val="left" w:leader="none"/>
        </w:tabs>
        <w:spacing w:before="0"/>
        <w:ind w:left="165" w:right="0" w:firstLine="0"/>
        <w:jc w:val="left"/>
        <w:rPr>
          <w:sz w:val="20"/>
        </w:rPr>
      </w:pPr>
      <w:bookmarkStart w:name="_bookmark600" w:id="602"/>
      <w:bookmarkEnd w:id="602"/>
      <w:r>
        <w:rPr/>
      </w:r>
      <w:hyperlink w:history="true" w:anchor="_bookmark546">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Johnson v Agnew [1980] A.C. 367, </w:t>
      </w:r>
      <w:r>
        <w:rPr>
          <w:rFonts w:ascii="Arial"/>
          <w:i/>
          <w:spacing w:val="-4"/>
          <w:sz w:val="20"/>
        </w:rPr>
        <w:t>400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1" w:id="603"/>
      <w:bookmarkEnd w:id="603"/>
      <w:r>
        <w:rPr/>
      </w:r>
      <w:hyperlink w:history="true" w:anchor="_bookmark546">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w:t>
      </w:r>
      <w:r>
        <w:rPr>
          <w:rFonts w:ascii="Arial"/>
          <w:i/>
          <w:spacing w:val="-4"/>
          <w:sz w:val="20"/>
        </w:rPr>
        <w:t>268</w:t>
      </w:r>
      <w:r>
        <w:rPr>
          <w:spacing w:val="-4"/>
          <w:sz w:val="20"/>
        </w:rPr>
        <w:t>.</w:t>
      </w:r>
    </w:p>
    <w:p>
      <w:pPr>
        <w:pStyle w:val="BodyText"/>
        <w:spacing w:before="8"/>
      </w:pPr>
    </w:p>
    <w:p>
      <w:pPr>
        <w:spacing w:line="235" w:lineRule="auto" w:before="1"/>
        <w:ind w:left="705" w:right="167" w:hanging="541"/>
        <w:jc w:val="both"/>
        <w:rPr>
          <w:rFonts w:ascii="Arial"/>
          <w:i/>
          <w:sz w:val="20"/>
        </w:rPr>
      </w:pPr>
      <w:bookmarkStart w:name="_bookmark602" w:id="604"/>
      <w:bookmarkEnd w:id="604"/>
      <w:r>
        <w:rPr/>
      </w:r>
      <w:hyperlink w:history="true" w:anchor="_bookmark547">
        <w:r>
          <w:rPr>
            <w:color w:val="005DA1"/>
            <w:position w:val="5"/>
            <w:sz w:val="14"/>
            <w:u w:val="single" w:color="005DA1"/>
          </w:rPr>
          <w:t>297</w:t>
        </w:r>
      </w:hyperlink>
      <w:r>
        <w:rPr>
          <w:position w:val="5"/>
          <w:sz w:val="14"/>
        </w:rPr>
        <w:t>.</w:t>
      </w:r>
      <w:r>
        <w:rPr>
          <w:spacing w:val="80"/>
          <w:position w:val="5"/>
          <w:sz w:val="14"/>
        </w:rPr>
        <w:t>  </w:t>
      </w:r>
      <w:r>
        <w:rPr>
          <w:rFonts w:ascii="Arial"/>
          <w:i/>
          <w:sz w:val="20"/>
        </w:rPr>
        <w:t>Surrey CC v Bredero Homes Ltd [1993] 1 W.L.R. 1361</w:t>
      </w:r>
      <w:r>
        <w:rPr>
          <w:sz w:val="20"/>
        </w:rPr>
        <w:t>; </w:t>
      </w:r>
      <w:r>
        <w:rPr>
          <w:rFonts w:ascii="Arial"/>
          <w:i/>
          <w:sz w:val="20"/>
        </w:rPr>
        <w:t>Jaggard v Sawyer [1995] 1 W.L.R. </w:t>
      </w:r>
      <w:r>
        <w:rPr>
          <w:rFonts w:ascii="Arial"/>
          <w:i/>
          <w:sz w:val="20"/>
        </w:rPr>
        <w:t>269</w:t>
      </w:r>
      <w:r>
        <w:rPr>
          <w:sz w:val="20"/>
        </w:rPr>
        <w:t>. The cases subsequent to </w:t>
      </w:r>
      <w:r>
        <w:rPr>
          <w:rFonts w:ascii="Arial"/>
          <w:i/>
          <w:sz w:val="20"/>
        </w:rPr>
        <w:t>Wrotham Park </w:t>
      </w:r>
      <w:r>
        <w:rPr>
          <w:sz w:val="20"/>
        </w:rPr>
        <w:t>are exhaustively analysed in </w:t>
      </w:r>
      <w:r>
        <w:rPr>
          <w:rFonts w:ascii="Arial"/>
          <w:i/>
          <w:sz w:val="20"/>
        </w:rPr>
        <w:t>WWF-World Wide Fund for</w:t>
      </w:r>
      <w:r>
        <w:rPr>
          <w:rFonts w:ascii="Arial"/>
          <w:i/>
          <w:spacing w:val="37"/>
          <w:sz w:val="20"/>
        </w:rPr>
        <w:t> </w:t>
      </w:r>
      <w:r>
        <w:rPr>
          <w:rFonts w:ascii="Arial"/>
          <w:i/>
          <w:sz w:val="20"/>
        </w:rPr>
        <w:t>Nature</w:t>
      </w:r>
      <w:r>
        <w:rPr>
          <w:rFonts w:ascii="Arial"/>
          <w:i/>
          <w:spacing w:val="37"/>
          <w:sz w:val="20"/>
        </w:rPr>
        <w:t> </w:t>
      </w:r>
      <w:r>
        <w:rPr>
          <w:rFonts w:ascii="Arial"/>
          <w:i/>
          <w:sz w:val="20"/>
        </w:rPr>
        <w:t>v</w:t>
      </w:r>
      <w:r>
        <w:rPr>
          <w:rFonts w:ascii="Arial"/>
          <w:i/>
          <w:spacing w:val="37"/>
          <w:sz w:val="20"/>
        </w:rPr>
        <w:t> </w:t>
      </w:r>
      <w:r>
        <w:rPr>
          <w:rFonts w:ascii="Arial"/>
          <w:i/>
          <w:sz w:val="20"/>
        </w:rPr>
        <w:t>World</w:t>
      </w:r>
      <w:r>
        <w:rPr>
          <w:rFonts w:ascii="Arial"/>
          <w:i/>
          <w:spacing w:val="37"/>
          <w:sz w:val="20"/>
        </w:rPr>
        <w:t> </w:t>
      </w:r>
      <w:r>
        <w:rPr>
          <w:rFonts w:ascii="Arial"/>
          <w:i/>
          <w:sz w:val="20"/>
        </w:rPr>
        <w:t>Wrestling</w:t>
      </w:r>
      <w:r>
        <w:rPr>
          <w:rFonts w:ascii="Arial"/>
          <w:i/>
          <w:spacing w:val="37"/>
          <w:sz w:val="20"/>
        </w:rPr>
        <w:t> </w:t>
      </w:r>
      <w:r>
        <w:rPr>
          <w:rFonts w:ascii="Arial"/>
          <w:i/>
          <w:sz w:val="20"/>
        </w:rPr>
        <w:t>Federation</w:t>
      </w:r>
      <w:r>
        <w:rPr>
          <w:rFonts w:ascii="Arial"/>
          <w:i/>
          <w:spacing w:val="37"/>
          <w:sz w:val="20"/>
        </w:rPr>
        <w:t> </w:t>
      </w:r>
      <w:r>
        <w:rPr>
          <w:rFonts w:ascii="Arial"/>
          <w:i/>
          <w:sz w:val="20"/>
        </w:rPr>
        <w:t>Entertainment</w:t>
      </w:r>
      <w:r>
        <w:rPr>
          <w:rFonts w:ascii="Arial"/>
          <w:i/>
          <w:spacing w:val="37"/>
          <w:sz w:val="20"/>
        </w:rPr>
        <w:t> </w:t>
      </w:r>
      <w:r>
        <w:rPr>
          <w:rFonts w:ascii="Arial"/>
          <w:i/>
          <w:sz w:val="20"/>
        </w:rPr>
        <w:t>Inc</w:t>
      </w:r>
      <w:r>
        <w:rPr>
          <w:rFonts w:ascii="Arial"/>
          <w:i/>
          <w:spacing w:val="37"/>
          <w:sz w:val="20"/>
        </w:rPr>
        <w:t> </w:t>
      </w:r>
      <w:r>
        <w:rPr>
          <w:rFonts w:ascii="Arial"/>
          <w:i/>
          <w:sz w:val="20"/>
        </w:rPr>
        <w:t>[2007]</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z w:val="20"/>
        </w:rPr>
        <w:t>286,</w:t>
      </w:r>
      <w:r>
        <w:rPr>
          <w:rFonts w:ascii="Arial"/>
          <w:i/>
          <w:spacing w:val="37"/>
          <w:sz w:val="20"/>
        </w:rPr>
        <w:t> </w:t>
      </w:r>
      <w:r>
        <w:rPr>
          <w:rFonts w:ascii="Arial"/>
          <w:i/>
          <w:sz w:val="20"/>
        </w:rPr>
        <w:t>[2008]</w:t>
      </w:r>
      <w:r>
        <w:rPr>
          <w:rFonts w:ascii="Arial"/>
          <w:i/>
          <w:spacing w:val="37"/>
          <w:sz w:val="20"/>
        </w:rPr>
        <w:t> </w:t>
      </w:r>
      <w:r>
        <w:rPr>
          <w:rFonts w:ascii="Arial"/>
          <w:i/>
          <w:spacing w:val="-10"/>
          <w:sz w:val="20"/>
        </w:rPr>
        <w:t>1</w:t>
      </w:r>
    </w:p>
    <w:p>
      <w:pPr>
        <w:spacing w:line="225" w:lineRule="exact" w:before="0"/>
        <w:ind w:left="705" w:right="0" w:firstLine="0"/>
        <w:jc w:val="both"/>
        <w:rPr>
          <w:sz w:val="20"/>
        </w:rPr>
      </w:pPr>
      <w:r>
        <w:rPr>
          <w:rFonts w:ascii="Arial"/>
          <w:i/>
          <w:sz w:val="20"/>
        </w:rPr>
        <w:t>W.L.R.</w:t>
      </w:r>
      <w:r>
        <w:rPr>
          <w:rFonts w:ascii="Arial"/>
          <w:i/>
          <w:spacing w:val="-2"/>
          <w:sz w:val="20"/>
        </w:rPr>
        <w:t> </w:t>
      </w:r>
      <w:r>
        <w:rPr>
          <w:rFonts w:ascii="Arial"/>
          <w:i/>
          <w:spacing w:val="-4"/>
          <w:sz w:val="20"/>
        </w:rPr>
        <w:t>445</w:t>
      </w:r>
      <w:r>
        <w:rPr>
          <w:spacing w:val="-4"/>
          <w:sz w:val="20"/>
        </w:rPr>
        <w:t>.</w:t>
      </w:r>
    </w:p>
    <w:p>
      <w:pPr>
        <w:pStyle w:val="BodyText"/>
        <w:spacing w:before="8"/>
      </w:pPr>
    </w:p>
    <w:p>
      <w:pPr>
        <w:spacing w:line="235" w:lineRule="auto" w:before="0"/>
        <w:ind w:left="705" w:right="167" w:hanging="541"/>
        <w:jc w:val="both"/>
        <w:rPr>
          <w:sz w:val="20"/>
        </w:rPr>
      </w:pPr>
      <w:bookmarkStart w:name="_bookmark603" w:id="605"/>
      <w:bookmarkEnd w:id="605"/>
      <w:r>
        <w:rPr/>
      </w:r>
      <w:hyperlink w:history="true" w:anchor="_bookmark548">
        <w:r>
          <w:rPr>
            <w:color w:val="005DA1"/>
            <w:position w:val="5"/>
            <w:sz w:val="14"/>
            <w:u w:val="single" w:color="005DA1"/>
          </w:rPr>
          <w:t>298</w:t>
        </w:r>
      </w:hyperlink>
      <w:r>
        <w:rPr>
          <w:position w:val="5"/>
          <w:sz w:val="14"/>
        </w:rPr>
        <w:t>.</w:t>
      </w:r>
      <w:r>
        <w:rPr>
          <w:spacing w:val="40"/>
          <w:position w:val="5"/>
          <w:sz w:val="14"/>
        </w:rPr>
        <w:t>  </w:t>
      </w:r>
      <w:r>
        <w:rPr>
          <w:rFonts w:ascii="Arial" w:hAnsi="Arial"/>
          <w:i/>
          <w:sz w:val="20"/>
        </w:rPr>
        <w:t>WWF-World Wide Fund for Nature v World Wrestling Federation Entertainment Inc </w:t>
      </w:r>
      <w:r>
        <w:rPr>
          <w:rFonts w:ascii="Arial" w:hAnsi="Arial"/>
          <w:i/>
          <w:sz w:val="20"/>
        </w:rPr>
        <w:t>[2007]</w:t>
      </w:r>
      <w:r>
        <w:rPr>
          <w:rFonts w:ascii="Arial" w:hAnsi="Arial"/>
          <w:i/>
          <w:spacing w:val="80"/>
          <w:sz w:val="20"/>
        </w:rPr>
        <w:t> </w:t>
      </w:r>
      <w:r>
        <w:rPr>
          <w:rFonts w:ascii="Arial" w:hAnsi="Arial"/>
          <w:i/>
          <w:sz w:val="20"/>
        </w:rPr>
        <w:t>EWCA Civ 286, [2008] 1 W.L.R. 445</w:t>
      </w:r>
      <w:r>
        <w:rPr>
          <w:sz w:val="20"/>
        </w:rPr>
        <w:t>. It was necessary for the court to examine the </w:t>
      </w:r>
      <w:r>
        <w:rPr>
          <w:rFonts w:ascii="Arial" w:hAnsi="Arial"/>
          <w:i/>
          <w:sz w:val="20"/>
        </w:rPr>
        <w:t>Wrotham Park </w:t>
      </w:r>
      <w:r>
        <w:rPr>
          <w:sz w:val="20"/>
        </w:rPr>
        <w:t>basis for assessing damages in order to reach its decision, which was based on the claimant’s abuse of process in seeking such damages after inviting the judge below to decide whether to order an account of profits on the basis that there would be no claim for </w:t>
      </w:r>
      <w:r>
        <w:rPr>
          <w:rFonts w:ascii="Arial" w:hAnsi="Arial"/>
          <w:i/>
          <w:sz w:val="20"/>
        </w:rPr>
        <w:t>Wrotham Park </w:t>
      </w:r>
      <w:r>
        <w:rPr>
          <w:sz w:val="20"/>
        </w:rPr>
        <w:t>damages: at [74].</w:t>
      </w:r>
    </w:p>
    <w:p>
      <w:pPr>
        <w:pStyle w:val="BodyText"/>
        <w:spacing w:before="4"/>
      </w:pPr>
    </w:p>
    <w:p>
      <w:pPr>
        <w:tabs>
          <w:tab w:pos="705" w:val="left" w:leader="none"/>
        </w:tabs>
        <w:spacing w:before="0"/>
        <w:ind w:left="165" w:right="0" w:firstLine="0"/>
        <w:jc w:val="left"/>
        <w:rPr>
          <w:sz w:val="20"/>
        </w:rPr>
      </w:pPr>
      <w:bookmarkStart w:name="_bookmark604" w:id="606"/>
      <w:bookmarkEnd w:id="606"/>
      <w:r>
        <w:rPr/>
      </w:r>
      <w:hyperlink w:history="true" w:anchor="_bookmark549">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1 A.C. 268</w:t>
      </w:r>
      <w:r>
        <w:rPr>
          <w:sz w:val="20"/>
        </w:rPr>
        <w:t>. See below, paras 29-159 et </w:t>
      </w:r>
      <w:r>
        <w:rPr>
          <w:spacing w:val="-4"/>
          <w:sz w:val="20"/>
        </w:rPr>
        <w:t>seq.</w:t>
      </w:r>
    </w:p>
    <w:p>
      <w:pPr>
        <w:pStyle w:val="BodyText"/>
        <w:spacing w:before="5"/>
      </w:pPr>
    </w:p>
    <w:p>
      <w:pPr>
        <w:tabs>
          <w:tab w:pos="705" w:val="left" w:leader="none"/>
        </w:tabs>
        <w:spacing w:before="0"/>
        <w:ind w:left="165" w:right="0" w:firstLine="0"/>
        <w:jc w:val="left"/>
        <w:rPr>
          <w:sz w:val="20"/>
        </w:rPr>
      </w:pPr>
      <w:bookmarkStart w:name="_bookmark605" w:id="607"/>
      <w:bookmarkEnd w:id="607"/>
      <w:r>
        <w:rPr/>
      </w:r>
      <w:hyperlink w:history="true" w:anchor="_bookmark550">
        <w:r>
          <w:rPr>
            <w:color w:val="005DA1"/>
            <w:spacing w:val="-4"/>
            <w:position w:val="5"/>
            <w:sz w:val="14"/>
            <w:u w:val="single" w:color="005DA1"/>
          </w:rPr>
          <w:t>300</w:t>
        </w:r>
      </w:hyperlink>
      <w:r>
        <w:rPr>
          <w:spacing w:val="-4"/>
          <w:position w:val="5"/>
          <w:sz w:val="14"/>
        </w:rPr>
        <w:t>.</w:t>
      </w:r>
      <w:r>
        <w:rPr>
          <w:position w:val="5"/>
          <w:sz w:val="14"/>
        </w:rPr>
        <w:tab/>
      </w:r>
      <w:r>
        <w:rPr>
          <w:rFonts w:ascii="Arial" w:hAnsi="Arial"/>
          <w:i/>
          <w:sz w:val="20"/>
        </w:rPr>
        <w:t>[2001] 1 A.C. 268, </w:t>
      </w:r>
      <w:r>
        <w:rPr>
          <w:rFonts w:ascii="Arial" w:hAnsi="Arial"/>
          <w:i/>
          <w:spacing w:val="-2"/>
          <w:sz w:val="20"/>
        </w:rPr>
        <w:t>283–284</w:t>
      </w:r>
      <w:r>
        <w:rPr>
          <w:spacing w:val="-2"/>
          <w:sz w:val="20"/>
        </w:rPr>
        <w:t>.</w:t>
      </w:r>
    </w:p>
    <w:p>
      <w:pPr>
        <w:pStyle w:val="BodyText"/>
        <w:spacing w:before="5"/>
      </w:pPr>
    </w:p>
    <w:p>
      <w:pPr>
        <w:pStyle w:val="BodyText"/>
        <w:tabs>
          <w:tab w:pos="705" w:val="left" w:leader="none"/>
        </w:tabs>
        <w:ind w:left="165"/>
      </w:pPr>
      <w:bookmarkStart w:name="_bookmark606" w:id="608"/>
      <w:bookmarkEnd w:id="608"/>
      <w:r>
        <w:rPr/>
      </w:r>
      <w:hyperlink w:history="true" w:anchor="_bookmark551">
        <w:r>
          <w:rPr>
            <w:color w:val="005DA1"/>
            <w:spacing w:val="-4"/>
            <w:position w:val="5"/>
            <w:sz w:val="14"/>
            <w:u w:val="single" w:color="005DA1"/>
          </w:rPr>
          <w:t>301</w:t>
        </w:r>
      </w:hyperlink>
      <w:r>
        <w:rPr>
          <w:spacing w:val="-4"/>
          <w:position w:val="5"/>
          <w:sz w:val="14"/>
        </w:rPr>
        <w:t>.</w:t>
      </w:r>
      <w:r>
        <w:rPr>
          <w:position w:val="5"/>
          <w:sz w:val="14"/>
        </w:rPr>
        <w:tab/>
      </w:r>
      <w:r>
        <w:rPr/>
        <w:t>See</w:t>
      </w:r>
      <w:r>
        <w:rPr>
          <w:spacing w:val="-2"/>
        </w:rPr>
        <w:t> </w:t>
      </w:r>
      <w:r>
        <w:rPr/>
        <w:t>below, para.26-</w:t>
      </w:r>
      <w:r>
        <w:rPr>
          <w:spacing w:val="-4"/>
        </w:rPr>
        <w:t>055.</w:t>
      </w:r>
    </w:p>
    <w:p>
      <w:pPr>
        <w:pStyle w:val="BodyText"/>
        <w:spacing w:before="5"/>
      </w:pPr>
    </w:p>
    <w:p>
      <w:pPr>
        <w:pStyle w:val="BodyText"/>
        <w:tabs>
          <w:tab w:pos="705" w:val="left" w:leader="none"/>
        </w:tabs>
        <w:ind w:left="165"/>
      </w:pPr>
      <w:bookmarkStart w:name="_bookmark607" w:id="609"/>
      <w:bookmarkEnd w:id="609"/>
      <w:r>
        <w:rPr/>
      </w:r>
      <w:hyperlink w:history="true" w:anchor="_bookmark552">
        <w:r>
          <w:rPr>
            <w:color w:val="005DA1"/>
            <w:spacing w:val="-4"/>
            <w:position w:val="5"/>
            <w:sz w:val="14"/>
            <w:u w:val="single" w:color="005DA1"/>
          </w:rPr>
          <w:t>302</w:t>
        </w:r>
      </w:hyperlink>
      <w:r>
        <w:rPr>
          <w:spacing w:val="-4"/>
          <w:position w:val="5"/>
          <w:sz w:val="14"/>
        </w:rPr>
        <w:t>.</w:t>
      </w:r>
      <w:r>
        <w:rPr>
          <w:position w:val="5"/>
          <w:sz w:val="14"/>
        </w:rPr>
        <w:tab/>
      </w:r>
      <w:r>
        <w:rPr/>
        <w:t>See also below, para.29-</w:t>
      </w:r>
      <w:r>
        <w:rPr>
          <w:spacing w:val="-4"/>
        </w:rPr>
        <w:t>162.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608" w:id="610"/>
      <w:bookmarkEnd w:id="610"/>
      <w:r>
        <w:rPr/>
      </w:r>
      <w:hyperlink w:history="true" w:anchor="_bookmark553">
        <w:r>
          <w:rPr>
            <w:color w:val="005DA1"/>
            <w:spacing w:val="-4"/>
            <w:sz w:val="14"/>
            <w:u w:val="single" w:color="005DA1"/>
          </w:rPr>
          <w:t>303</w:t>
        </w:r>
      </w:hyperlink>
      <w:r>
        <w:rPr>
          <w:spacing w:val="-4"/>
          <w:sz w:val="14"/>
        </w:rPr>
        <w:t>.</w:t>
      </w:r>
    </w:p>
    <w:p>
      <w:pPr>
        <w:spacing w:line="235" w:lineRule="auto" w:before="212"/>
        <w:ind w:left="165" w:right="0" w:firstLine="170"/>
        <w:jc w:val="left"/>
        <w:rPr>
          <w:rFonts w:ascii="Arial"/>
          <w:i/>
          <w:sz w:val="20"/>
        </w:rPr>
      </w:pPr>
      <w:r>
        <w:rPr/>
        <w:br w:type="column"/>
      </w:r>
      <w:r>
        <w:rPr>
          <w:rFonts w:ascii="Arial"/>
          <w:i/>
          <w:sz w:val="20"/>
        </w:rPr>
        <w:t>WWF-World</w:t>
      </w:r>
      <w:r>
        <w:rPr>
          <w:rFonts w:ascii="Arial"/>
          <w:i/>
          <w:spacing w:val="31"/>
          <w:sz w:val="20"/>
        </w:rPr>
        <w:t> </w:t>
      </w:r>
      <w:r>
        <w:rPr>
          <w:rFonts w:ascii="Arial"/>
          <w:i/>
          <w:sz w:val="20"/>
        </w:rPr>
        <w:t>Wide</w:t>
      </w:r>
      <w:r>
        <w:rPr>
          <w:rFonts w:ascii="Arial"/>
          <w:i/>
          <w:spacing w:val="31"/>
          <w:sz w:val="20"/>
        </w:rPr>
        <w:t> </w:t>
      </w:r>
      <w:r>
        <w:rPr>
          <w:rFonts w:ascii="Arial"/>
          <w:i/>
          <w:sz w:val="20"/>
        </w:rPr>
        <w:t>Fund</w:t>
      </w:r>
      <w:r>
        <w:rPr>
          <w:rFonts w:ascii="Arial"/>
          <w:i/>
          <w:spacing w:val="31"/>
          <w:sz w:val="20"/>
        </w:rPr>
        <w:t> </w:t>
      </w:r>
      <w:r>
        <w:rPr>
          <w:rFonts w:ascii="Arial"/>
          <w:i/>
          <w:sz w:val="20"/>
        </w:rPr>
        <w:t>for</w:t>
      </w:r>
      <w:r>
        <w:rPr>
          <w:rFonts w:ascii="Arial"/>
          <w:i/>
          <w:spacing w:val="31"/>
          <w:sz w:val="20"/>
        </w:rPr>
        <w:t> </w:t>
      </w:r>
      <w:r>
        <w:rPr>
          <w:rFonts w:ascii="Arial"/>
          <w:i/>
          <w:sz w:val="20"/>
        </w:rPr>
        <w:t>Nature</w:t>
      </w:r>
      <w:r>
        <w:rPr>
          <w:rFonts w:ascii="Arial"/>
          <w:i/>
          <w:spacing w:val="31"/>
          <w:sz w:val="20"/>
        </w:rPr>
        <w:t> </w:t>
      </w:r>
      <w:r>
        <w:rPr>
          <w:rFonts w:ascii="Arial"/>
          <w:i/>
          <w:sz w:val="20"/>
        </w:rPr>
        <w:t>v</w:t>
      </w:r>
      <w:r>
        <w:rPr>
          <w:rFonts w:ascii="Arial"/>
          <w:i/>
          <w:spacing w:val="31"/>
          <w:sz w:val="20"/>
        </w:rPr>
        <w:t> </w:t>
      </w:r>
      <w:r>
        <w:rPr>
          <w:rFonts w:ascii="Arial"/>
          <w:i/>
          <w:sz w:val="20"/>
        </w:rPr>
        <w:t>World</w:t>
      </w:r>
      <w:r>
        <w:rPr>
          <w:rFonts w:ascii="Arial"/>
          <w:i/>
          <w:spacing w:val="31"/>
          <w:sz w:val="20"/>
        </w:rPr>
        <w:t> </w:t>
      </w:r>
      <w:r>
        <w:rPr>
          <w:rFonts w:ascii="Arial"/>
          <w:i/>
          <w:sz w:val="20"/>
        </w:rPr>
        <w:t>Wrestling</w:t>
      </w:r>
      <w:r>
        <w:rPr>
          <w:rFonts w:ascii="Arial"/>
          <w:i/>
          <w:spacing w:val="31"/>
          <w:sz w:val="20"/>
        </w:rPr>
        <w:t> </w:t>
      </w:r>
      <w:r>
        <w:rPr>
          <w:rFonts w:ascii="Arial"/>
          <w:i/>
          <w:sz w:val="20"/>
        </w:rPr>
        <w:t>Federation</w:t>
      </w:r>
      <w:r>
        <w:rPr>
          <w:rFonts w:ascii="Arial"/>
          <w:i/>
          <w:spacing w:val="31"/>
          <w:sz w:val="20"/>
        </w:rPr>
        <w:t> </w:t>
      </w:r>
      <w:r>
        <w:rPr>
          <w:rFonts w:ascii="Arial"/>
          <w:i/>
          <w:sz w:val="20"/>
        </w:rPr>
        <w:t>Entertainment</w:t>
      </w:r>
      <w:r>
        <w:rPr>
          <w:rFonts w:ascii="Arial"/>
          <w:i/>
          <w:spacing w:val="31"/>
          <w:sz w:val="20"/>
        </w:rPr>
        <w:t> </w:t>
      </w:r>
      <w:r>
        <w:rPr>
          <w:rFonts w:ascii="Arial"/>
          <w:i/>
          <w:sz w:val="20"/>
        </w:rPr>
        <w:t>Inc</w:t>
      </w:r>
      <w:r>
        <w:rPr>
          <w:rFonts w:ascii="Arial"/>
          <w:i/>
          <w:spacing w:val="31"/>
          <w:sz w:val="20"/>
        </w:rPr>
        <w:t> </w:t>
      </w:r>
      <w:r>
        <w:rPr>
          <w:rFonts w:ascii="Arial"/>
          <w:i/>
          <w:sz w:val="20"/>
        </w:rPr>
        <w:t>[2007] EWCA</w:t>
      </w:r>
      <w:r>
        <w:rPr>
          <w:rFonts w:ascii="Arial"/>
          <w:i/>
          <w:spacing w:val="10"/>
          <w:sz w:val="20"/>
        </w:rPr>
        <w:t> </w:t>
      </w:r>
      <w:r>
        <w:rPr>
          <w:rFonts w:ascii="Arial"/>
          <w:i/>
          <w:sz w:val="20"/>
        </w:rPr>
        <w:t>Civ</w:t>
      </w:r>
      <w:r>
        <w:rPr>
          <w:rFonts w:ascii="Arial"/>
          <w:i/>
          <w:spacing w:val="11"/>
          <w:sz w:val="20"/>
        </w:rPr>
        <w:t> </w:t>
      </w:r>
      <w:r>
        <w:rPr>
          <w:rFonts w:ascii="Arial"/>
          <w:i/>
          <w:sz w:val="20"/>
        </w:rPr>
        <w:t>286,</w:t>
      </w:r>
      <w:r>
        <w:rPr>
          <w:rFonts w:ascii="Arial"/>
          <w:i/>
          <w:spacing w:val="11"/>
          <w:sz w:val="20"/>
        </w:rPr>
        <w:t> </w:t>
      </w:r>
      <w:r>
        <w:rPr>
          <w:rFonts w:ascii="Arial"/>
          <w:i/>
          <w:sz w:val="20"/>
        </w:rPr>
        <w:t>[2008]</w:t>
      </w:r>
      <w:r>
        <w:rPr>
          <w:rFonts w:ascii="Arial"/>
          <w:i/>
          <w:spacing w:val="11"/>
          <w:sz w:val="20"/>
        </w:rPr>
        <w:t> </w:t>
      </w:r>
      <w:r>
        <w:rPr>
          <w:rFonts w:ascii="Arial"/>
          <w:i/>
          <w:sz w:val="20"/>
        </w:rPr>
        <w:t>1</w:t>
      </w:r>
      <w:r>
        <w:rPr>
          <w:rFonts w:ascii="Arial"/>
          <w:i/>
          <w:spacing w:val="11"/>
          <w:sz w:val="20"/>
        </w:rPr>
        <w:t> </w:t>
      </w:r>
      <w:r>
        <w:rPr>
          <w:rFonts w:ascii="Arial"/>
          <w:i/>
          <w:sz w:val="20"/>
        </w:rPr>
        <w:t>W.L.R.</w:t>
      </w:r>
      <w:r>
        <w:rPr>
          <w:rFonts w:ascii="Arial"/>
          <w:i/>
          <w:spacing w:val="11"/>
          <w:sz w:val="20"/>
        </w:rPr>
        <w:t> </w:t>
      </w:r>
      <w:r>
        <w:rPr>
          <w:rFonts w:ascii="Arial"/>
          <w:i/>
          <w:sz w:val="20"/>
        </w:rPr>
        <w:t>445</w:t>
      </w:r>
      <w:r>
        <w:rPr>
          <w:sz w:val="20"/>
        </w:rPr>
        <w:t>.</w:t>
      </w:r>
      <w:r>
        <w:rPr>
          <w:spacing w:val="11"/>
          <w:sz w:val="20"/>
        </w:rPr>
        <w:t> </w:t>
      </w:r>
      <w:r>
        <w:rPr>
          <w:sz w:val="20"/>
        </w:rPr>
        <w:t>See</w:t>
      </w:r>
      <w:r>
        <w:rPr>
          <w:spacing w:val="11"/>
          <w:sz w:val="20"/>
        </w:rPr>
        <w:t> </w:t>
      </w:r>
      <w:r>
        <w:rPr>
          <w:sz w:val="20"/>
        </w:rPr>
        <w:t>also</w:t>
      </w:r>
      <w:r>
        <w:rPr>
          <w:spacing w:val="11"/>
          <w:sz w:val="20"/>
        </w:rPr>
        <w:t> </w:t>
      </w:r>
      <w:r>
        <w:rPr>
          <w:rFonts w:ascii="Arial"/>
          <w:i/>
          <w:sz w:val="20"/>
        </w:rPr>
        <w:t>One</w:t>
      </w:r>
      <w:r>
        <w:rPr>
          <w:rFonts w:ascii="Arial"/>
          <w:i/>
          <w:spacing w:val="11"/>
          <w:sz w:val="20"/>
        </w:rPr>
        <w:t> </w:t>
      </w:r>
      <w:r>
        <w:rPr>
          <w:rFonts w:ascii="Arial"/>
          <w:i/>
          <w:sz w:val="20"/>
        </w:rPr>
        <w:t>Step</w:t>
      </w:r>
      <w:r>
        <w:rPr>
          <w:rFonts w:ascii="Arial"/>
          <w:i/>
          <w:spacing w:val="11"/>
          <w:sz w:val="20"/>
        </w:rPr>
        <w:t> </w:t>
      </w:r>
      <w:r>
        <w:rPr>
          <w:rFonts w:ascii="Arial"/>
          <w:i/>
          <w:sz w:val="20"/>
        </w:rPr>
        <w:t>(Support)</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Morris-Garner</w:t>
      </w:r>
      <w:r>
        <w:rPr>
          <w:rFonts w:ascii="Arial"/>
          <w:i/>
          <w:spacing w:val="11"/>
          <w:sz w:val="20"/>
        </w:rPr>
        <w:t> </w:t>
      </w:r>
      <w:r>
        <w:rPr>
          <w:rFonts w:ascii="Arial"/>
          <w:i/>
          <w:spacing w:val="-2"/>
          <w:sz w:val="20"/>
        </w:rPr>
        <w:t>[2016]</w:t>
      </w:r>
    </w:p>
    <w:p>
      <w:pPr>
        <w:spacing w:line="225" w:lineRule="exact" w:before="0"/>
        <w:ind w:left="165" w:right="0" w:firstLine="0"/>
        <w:jc w:val="left"/>
        <w:rPr>
          <w:sz w:val="20"/>
        </w:rPr>
      </w:pPr>
      <w:r>
        <w:rPr>
          <w:sz w:val="20"/>
        </w:rPr>
        <w:drawing>
          <wp:anchor distT="0" distB="0" distL="0" distR="0" allowOverlap="1" layoutInCell="1" locked="0" behindDoc="0" simplePos="0" relativeHeight="15767040">
            <wp:simplePos x="0" y="0"/>
            <wp:positionH relativeFrom="page">
              <wp:posOffset>1257846</wp:posOffset>
            </wp:positionH>
            <wp:positionV relativeFrom="paragraph">
              <wp:posOffset>-260311</wp:posOffset>
            </wp:positionV>
            <wp:extent cx="107988" cy="10798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EWCA Civ 180</w:t>
      </w:r>
      <w:r>
        <w:rPr>
          <w:rFonts w:ascii="Arial"/>
          <w:i/>
          <w:spacing w:val="-1"/>
          <w:sz w:val="20"/>
        </w:rPr>
        <w:t> </w:t>
      </w:r>
      <w:r>
        <w:rPr>
          <w:sz w:val="20"/>
        </w:rPr>
        <w:t>at </w:t>
      </w:r>
      <w:r>
        <w:rPr>
          <w:spacing w:val="-2"/>
          <w:sz w:val="20"/>
        </w:rPr>
        <w:t>[81].</w:t>
      </w:r>
    </w:p>
    <w:p>
      <w:pPr>
        <w:spacing w:after="0" w:line="225"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8" w:hanging="541"/>
        <w:jc w:val="both"/>
        <w:rPr>
          <w:sz w:val="20"/>
        </w:rPr>
      </w:pPr>
      <w:bookmarkStart w:name="_bookmark609" w:id="611"/>
      <w:bookmarkEnd w:id="611"/>
      <w:r>
        <w:rPr/>
      </w:r>
      <w:hyperlink w:history="true" w:anchor="_bookmark554">
        <w:r>
          <w:rPr>
            <w:color w:val="005DA1"/>
            <w:position w:val="5"/>
            <w:sz w:val="14"/>
            <w:u w:val="single" w:color="005DA1"/>
          </w:rPr>
          <w:t>304</w:t>
        </w:r>
      </w:hyperlink>
      <w:r>
        <w:rPr>
          <w:position w:val="5"/>
          <w:sz w:val="14"/>
        </w:rPr>
        <w:t>.</w:t>
      </w:r>
      <w:r>
        <w:rPr>
          <w:spacing w:val="80"/>
          <w:position w:val="5"/>
          <w:sz w:val="14"/>
        </w:rPr>
        <w:t>  </w:t>
      </w:r>
      <w:r>
        <w:rPr>
          <w:rFonts w:ascii="Arial"/>
          <w:i/>
          <w:sz w:val="20"/>
        </w:rPr>
        <w:t>Experience Hendrix case [2003] EWCA Civ 323 </w:t>
      </w:r>
      <w:r>
        <w:rPr>
          <w:sz w:val="20"/>
        </w:rPr>
        <w:t>at [58]. Since </w:t>
      </w:r>
      <w:r>
        <w:rPr>
          <w:rFonts w:ascii="Arial"/>
          <w:i/>
          <w:sz w:val="20"/>
        </w:rPr>
        <w:t>Att-Gen v Blake </w:t>
      </w:r>
      <w:r>
        <w:rPr>
          <w:sz w:val="20"/>
        </w:rPr>
        <w:t>there is no </w:t>
      </w:r>
      <w:r>
        <w:rPr>
          <w:sz w:val="20"/>
        </w:rPr>
        <w:t>need for such damages to be available only where an injunction is not granted: </w:t>
      </w:r>
      <w:r>
        <w:rPr>
          <w:rFonts w:ascii="Arial"/>
          <w:i/>
          <w:sz w:val="20"/>
        </w:rPr>
        <w:t>Experience Hendrix</w:t>
      </w:r>
      <w:r>
        <w:rPr>
          <w:rFonts w:ascii="Arial"/>
          <w:i/>
          <w:spacing w:val="40"/>
          <w:sz w:val="20"/>
        </w:rPr>
        <w:t> </w:t>
      </w:r>
      <w:r>
        <w:rPr>
          <w:sz w:val="20"/>
        </w:rPr>
        <w:t>at [34] and [56].</w:t>
      </w:r>
    </w:p>
    <w:p>
      <w:pPr>
        <w:pStyle w:val="BodyText"/>
        <w:spacing w:before="9"/>
      </w:pPr>
    </w:p>
    <w:p>
      <w:pPr>
        <w:tabs>
          <w:tab w:pos="705" w:val="left" w:leader="none"/>
        </w:tabs>
        <w:spacing w:line="235" w:lineRule="auto" w:before="0"/>
        <w:ind w:left="705" w:right="174" w:hanging="541"/>
        <w:jc w:val="left"/>
        <w:rPr>
          <w:sz w:val="20"/>
        </w:rPr>
      </w:pPr>
      <w:bookmarkStart w:name="_bookmark610" w:id="612"/>
      <w:bookmarkEnd w:id="612"/>
      <w:r>
        <w:rPr/>
      </w:r>
      <w:hyperlink w:history="true" w:anchor="_bookmark555">
        <w:r>
          <w:rPr>
            <w:color w:val="005DA1"/>
            <w:spacing w:val="-4"/>
            <w:position w:val="5"/>
            <w:sz w:val="14"/>
            <w:u w:val="single" w:color="005DA1"/>
          </w:rPr>
          <w:t>305</w:t>
        </w:r>
      </w:hyperlink>
      <w:r>
        <w:rPr>
          <w:spacing w:val="-4"/>
          <w:position w:val="5"/>
          <w:sz w:val="14"/>
        </w:rPr>
        <w:t>.</w:t>
      </w:r>
      <w:r>
        <w:rPr>
          <w:position w:val="5"/>
          <w:sz w:val="14"/>
        </w:rPr>
        <w:tab/>
      </w:r>
      <w:r>
        <w:rPr>
          <w:rFonts w:ascii="Arial"/>
          <w:i/>
          <w:sz w:val="20"/>
        </w:rPr>
        <w:t>Experience</w:t>
      </w:r>
      <w:r>
        <w:rPr>
          <w:rFonts w:ascii="Arial"/>
          <w:i/>
          <w:spacing w:val="20"/>
          <w:sz w:val="20"/>
        </w:rPr>
        <w:t> </w:t>
      </w:r>
      <w:r>
        <w:rPr>
          <w:rFonts w:ascii="Arial"/>
          <w:i/>
          <w:sz w:val="20"/>
        </w:rPr>
        <w:t>Hendrix</w:t>
      </w:r>
      <w:r>
        <w:rPr>
          <w:rFonts w:ascii="Arial"/>
          <w:i/>
          <w:spacing w:val="20"/>
          <w:sz w:val="20"/>
        </w:rPr>
        <w:t> </w:t>
      </w:r>
      <w:r>
        <w:rPr>
          <w:rFonts w:ascii="Arial"/>
          <w:i/>
          <w:sz w:val="20"/>
        </w:rPr>
        <w:t>case</w:t>
      </w:r>
      <w:r>
        <w:rPr>
          <w:rFonts w:ascii="Arial"/>
          <w:i/>
          <w:spacing w:val="20"/>
          <w:sz w:val="20"/>
        </w:rPr>
        <w:t> </w:t>
      </w:r>
      <w:r>
        <w:rPr>
          <w:rFonts w:ascii="Arial"/>
          <w:i/>
          <w:sz w:val="20"/>
        </w:rPr>
        <w:t>[2003]</w:t>
      </w:r>
      <w:r>
        <w:rPr>
          <w:rFonts w:ascii="Arial"/>
          <w:i/>
          <w:spacing w:val="20"/>
          <w:sz w:val="20"/>
        </w:rPr>
        <w:t> </w:t>
      </w:r>
      <w:r>
        <w:rPr>
          <w:rFonts w:ascii="Arial"/>
          <w:i/>
          <w:sz w:val="20"/>
        </w:rPr>
        <w:t>EWCA</w:t>
      </w:r>
      <w:r>
        <w:rPr>
          <w:rFonts w:ascii="Arial"/>
          <w:i/>
          <w:spacing w:val="20"/>
          <w:sz w:val="20"/>
        </w:rPr>
        <w:t> </w:t>
      </w:r>
      <w:r>
        <w:rPr>
          <w:rFonts w:ascii="Arial"/>
          <w:i/>
          <w:sz w:val="20"/>
        </w:rPr>
        <w:t>Civ</w:t>
      </w:r>
      <w:r>
        <w:rPr>
          <w:rFonts w:ascii="Arial"/>
          <w:i/>
          <w:spacing w:val="20"/>
          <w:sz w:val="20"/>
        </w:rPr>
        <w:t> </w:t>
      </w:r>
      <w:r>
        <w:rPr>
          <w:rFonts w:ascii="Arial"/>
          <w:i/>
          <w:sz w:val="20"/>
        </w:rPr>
        <w:t>323 </w:t>
      </w:r>
      <w:r>
        <w:rPr>
          <w:sz w:val="20"/>
        </w:rPr>
        <w:t>at</w:t>
      </w:r>
      <w:r>
        <w:rPr>
          <w:spacing w:val="20"/>
          <w:sz w:val="20"/>
        </w:rPr>
        <w:t> </w:t>
      </w:r>
      <w:r>
        <w:rPr>
          <w:sz w:val="20"/>
        </w:rPr>
        <w:t>[45].</w:t>
      </w:r>
      <w:r>
        <w:rPr>
          <w:spacing w:val="20"/>
          <w:sz w:val="20"/>
        </w:rPr>
        <w:t> </w:t>
      </w:r>
      <w:r>
        <w:rPr>
          <w:sz w:val="20"/>
        </w:rPr>
        <w:t>See</w:t>
      </w:r>
      <w:r>
        <w:rPr>
          <w:spacing w:val="20"/>
          <w:sz w:val="20"/>
        </w:rPr>
        <w:t> </w:t>
      </w:r>
      <w:r>
        <w:rPr>
          <w:sz w:val="20"/>
        </w:rPr>
        <w:t>Sharpe</w:t>
      </w:r>
      <w:r>
        <w:rPr>
          <w:spacing w:val="20"/>
          <w:sz w:val="20"/>
        </w:rPr>
        <w:t> </w:t>
      </w:r>
      <w:r>
        <w:rPr>
          <w:sz w:val="20"/>
        </w:rPr>
        <w:t>and</w:t>
      </w:r>
      <w:r>
        <w:rPr>
          <w:spacing w:val="20"/>
          <w:sz w:val="20"/>
        </w:rPr>
        <w:t> </w:t>
      </w:r>
      <w:r>
        <w:rPr>
          <w:sz w:val="20"/>
        </w:rPr>
        <w:t>Waddams</w:t>
      </w:r>
      <w:r>
        <w:rPr>
          <w:spacing w:val="20"/>
          <w:sz w:val="20"/>
        </w:rPr>
        <w:t> </w:t>
      </w:r>
      <w:r>
        <w:rPr>
          <w:sz w:val="20"/>
        </w:rPr>
        <w:t>(1982)</w:t>
      </w:r>
      <w:r>
        <w:rPr>
          <w:spacing w:val="20"/>
          <w:sz w:val="20"/>
        </w:rPr>
        <w:t> </w:t>
      </w:r>
      <w:r>
        <w:rPr>
          <w:sz w:val="20"/>
        </w:rPr>
        <w:t>2 Oxf. J. Leg.S. 290.</w:t>
      </w:r>
    </w:p>
    <w:p>
      <w:pPr>
        <w:pStyle w:val="BodyText"/>
        <w:spacing w:before="9"/>
      </w:pPr>
    </w:p>
    <w:p>
      <w:pPr>
        <w:tabs>
          <w:tab w:pos="705" w:val="left" w:leader="none"/>
        </w:tabs>
        <w:spacing w:line="235" w:lineRule="auto" w:before="0"/>
        <w:ind w:left="705" w:right="174" w:hanging="541"/>
        <w:jc w:val="left"/>
        <w:rPr>
          <w:sz w:val="20"/>
        </w:rPr>
      </w:pPr>
      <w:bookmarkStart w:name="_bookmark611" w:id="613"/>
      <w:bookmarkEnd w:id="613"/>
      <w:r>
        <w:rPr/>
      </w:r>
      <w:hyperlink w:history="true" w:anchor="_bookmark556">
        <w:r>
          <w:rPr>
            <w:color w:val="005DA1"/>
            <w:spacing w:val="-4"/>
            <w:position w:val="5"/>
            <w:sz w:val="14"/>
            <w:u w:val="single" w:color="005DA1"/>
          </w:rPr>
          <w:t>306</w:t>
        </w:r>
      </w:hyperlink>
      <w:r>
        <w:rPr>
          <w:spacing w:val="-4"/>
          <w:position w:val="5"/>
          <w:sz w:val="14"/>
        </w:rPr>
        <w:t>.</w:t>
      </w:r>
      <w:r>
        <w:rPr>
          <w:position w:val="5"/>
          <w:sz w:val="14"/>
        </w:rPr>
        <w:tab/>
      </w:r>
      <w:r>
        <w:rPr>
          <w:sz w:val="20"/>
        </w:rPr>
        <w:t>See</w:t>
      </w:r>
      <w:r>
        <w:rPr>
          <w:spacing w:val="29"/>
          <w:sz w:val="20"/>
        </w:rPr>
        <w:t> </w:t>
      </w:r>
      <w:r>
        <w:rPr>
          <w:rFonts w:ascii="Arial"/>
          <w:i/>
          <w:sz w:val="20"/>
        </w:rPr>
        <w:t>Experience</w:t>
      </w:r>
      <w:r>
        <w:rPr>
          <w:rFonts w:ascii="Arial"/>
          <w:i/>
          <w:spacing w:val="29"/>
          <w:sz w:val="20"/>
        </w:rPr>
        <w:t> </w:t>
      </w:r>
      <w:r>
        <w:rPr>
          <w:rFonts w:ascii="Arial"/>
          <w:i/>
          <w:sz w:val="20"/>
        </w:rPr>
        <w:t>Hendrix</w:t>
      </w:r>
      <w:r>
        <w:rPr>
          <w:rFonts w:ascii="Arial"/>
          <w:i/>
          <w:spacing w:val="29"/>
          <w:sz w:val="20"/>
        </w:rPr>
        <w:t> </w:t>
      </w:r>
      <w:r>
        <w:rPr>
          <w:rFonts w:ascii="Arial"/>
          <w:i/>
          <w:sz w:val="20"/>
        </w:rPr>
        <w:t>LLC</w:t>
      </w:r>
      <w:r>
        <w:rPr>
          <w:rFonts w:ascii="Arial"/>
          <w:i/>
          <w:spacing w:val="29"/>
          <w:sz w:val="20"/>
        </w:rPr>
        <w:t> </w:t>
      </w:r>
      <w:r>
        <w:rPr>
          <w:rFonts w:ascii="Arial"/>
          <w:i/>
          <w:sz w:val="20"/>
        </w:rPr>
        <w:t>v</w:t>
      </w:r>
      <w:r>
        <w:rPr>
          <w:rFonts w:ascii="Arial"/>
          <w:i/>
          <w:spacing w:val="29"/>
          <w:sz w:val="20"/>
        </w:rPr>
        <w:t> </w:t>
      </w:r>
      <w:r>
        <w:rPr>
          <w:rFonts w:ascii="Arial"/>
          <w:i/>
          <w:sz w:val="20"/>
        </w:rPr>
        <w:t>PPX</w:t>
      </w:r>
      <w:r>
        <w:rPr>
          <w:rFonts w:ascii="Arial"/>
          <w:i/>
          <w:spacing w:val="29"/>
          <w:sz w:val="20"/>
        </w:rPr>
        <w:t> </w:t>
      </w:r>
      <w:r>
        <w:rPr>
          <w:rFonts w:ascii="Arial"/>
          <w:i/>
          <w:sz w:val="20"/>
        </w:rPr>
        <w:t>Enterprises</w:t>
      </w:r>
      <w:r>
        <w:rPr>
          <w:rFonts w:ascii="Arial"/>
          <w:i/>
          <w:spacing w:val="29"/>
          <w:sz w:val="20"/>
        </w:rPr>
        <w:t> </w:t>
      </w:r>
      <w:r>
        <w:rPr>
          <w:rFonts w:ascii="Arial"/>
          <w:i/>
          <w:sz w:val="20"/>
        </w:rPr>
        <w:t>Inc</w:t>
      </w:r>
      <w:r>
        <w:rPr>
          <w:rFonts w:ascii="Arial"/>
          <w:i/>
          <w:spacing w:val="29"/>
          <w:sz w:val="20"/>
        </w:rPr>
        <w:t> </w:t>
      </w:r>
      <w:r>
        <w:rPr>
          <w:rFonts w:ascii="Arial"/>
          <w:i/>
          <w:sz w:val="20"/>
        </w:rPr>
        <w:t>and</w:t>
      </w:r>
      <w:r>
        <w:rPr>
          <w:rFonts w:ascii="Arial"/>
          <w:i/>
          <w:spacing w:val="29"/>
          <w:sz w:val="20"/>
        </w:rPr>
        <w:t> </w:t>
      </w:r>
      <w:r>
        <w:rPr>
          <w:rFonts w:ascii="Arial"/>
          <w:i/>
          <w:sz w:val="20"/>
        </w:rPr>
        <w:t>Edward</w:t>
      </w:r>
      <w:r>
        <w:rPr>
          <w:rFonts w:ascii="Arial"/>
          <w:i/>
          <w:spacing w:val="29"/>
          <w:sz w:val="20"/>
        </w:rPr>
        <w:t> </w:t>
      </w:r>
      <w:r>
        <w:rPr>
          <w:rFonts w:ascii="Arial"/>
          <w:i/>
          <w:sz w:val="20"/>
        </w:rPr>
        <w:t>Chaplin</w:t>
      </w:r>
      <w:r>
        <w:rPr>
          <w:rFonts w:ascii="Arial"/>
          <w:i/>
          <w:spacing w:val="29"/>
          <w:sz w:val="20"/>
        </w:rPr>
        <w:t> </w:t>
      </w:r>
      <w:r>
        <w:rPr>
          <w:rFonts w:ascii="Arial"/>
          <w:i/>
          <w:sz w:val="20"/>
        </w:rPr>
        <w:t>[2003]</w:t>
      </w:r>
      <w:r>
        <w:rPr>
          <w:rFonts w:ascii="Arial"/>
          <w:i/>
          <w:spacing w:val="29"/>
          <w:sz w:val="20"/>
        </w:rPr>
        <w:t> </w:t>
      </w:r>
      <w:r>
        <w:rPr>
          <w:rFonts w:ascii="Arial"/>
          <w:i/>
          <w:sz w:val="20"/>
        </w:rPr>
        <w:t>EWCA</w:t>
      </w:r>
      <w:r>
        <w:rPr>
          <w:rFonts w:ascii="Arial"/>
          <w:i/>
          <w:spacing w:val="29"/>
          <w:sz w:val="20"/>
        </w:rPr>
        <w:t> </w:t>
      </w:r>
      <w:r>
        <w:rPr>
          <w:rFonts w:ascii="Arial"/>
          <w:i/>
          <w:sz w:val="20"/>
        </w:rPr>
        <w:t>Civ 323, [2003] 1 All E.R. (Comm) 830 </w:t>
      </w:r>
      <w:r>
        <w:rPr>
          <w:sz w:val="20"/>
        </w:rPr>
        <w:t>at [25] (Mance L.J.).</w:t>
      </w:r>
    </w:p>
    <w:p>
      <w:pPr>
        <w:pStyle w:val="BodyText"/>
        <w:spacing w:before="9"/>
      </w:pPr>
    </w:p>
    <w:p>
      <w:pPr>
        <w:spacing w:line="235" w:lineRule="auto" w:before="0"/>
        <w:ind w:left="705" w:right="168" w:hanging="541"/>
        <w:jc w:val="both"/>
        <w:rPr>
          <w:sz w:val="20"/>
        </w:rPr>
      </w:pPr>
      <w:bookmarkStart w:name="_bookmark612" w:id="614"/>
      <w:bookmarkEnd w:id="614"/>
      <w:r>
        <w:rPr/>
      </w:r>
      <w:hyperlink w:history="true" w:anchor="_bookmark557">
        <w:r>
          <w:rPr>
            <w:color w:val="005DA1"/>
            <w:position w:val="5"/>
            <w:sz w:val="14"/>
            <w:u w:val="single" w:color="005DA1"/>
          </w:rPr>
          <w:t>307</w:t>
        </w:r>
      </w:hyperlink>
      <w:r>
        <w:rPr>
          <w:position w:val="5"/>
          <w:sz w:val="14"/>
        </w:rPr>
        <w:t>.</w:t>
      </w:r>
      <w:r>
        <w:rPr>
          <w:spacing w:val="80"/>
          <w:position w:val="5"/>
          <w:sz w:val="14"/>
        </w:rPr>
        <w:t>  </w:t>
      </w:r>
      <w:r>
        <w:rPr>
          <w:sz w:val="20"/>
        </w:rPr>
        <w:t>See</w:t>
      </w:r>
      <w:r>
        <w:rPr>
          <w:spacing w:val="34"/>
          <w:sz w:val="20"/>
        </w:rPr>
        <w:t> </w:t>
      </w:r>
      <w:r>
        <w:rPr>
          <w:sz w:val="20"/>
        </w:rPr>
        <w:t>Stevens,</w:t>
      </w:r>
      <w:r>
        <w:rPr>
          <w:spacing w:val="34"/>
          <w:sz w:val="20"/>
        </w:rPr>
        <w:t> </w:t>
      </w:r>
      <w:r>
        <w:rPr>
          <w:rFonts w:ascii="Arial" w:hAnsi="Arial"/>
          <w:i/>
          <w:sz w:val="20"/>
        </w:rPr>
        <w:t>Torts</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Rights</w:t>
      </w:r>
      <w:r>
        <w:rPr>
          <w:rFonts w:ascii="Arial" w:hAnsi="Arial"/>
          <w:i/>
          <w:spacing w:val="34"/>
          <w:sz w:val="20"/>
        </w:rPr>
        <w:t> </w:t>
      </w:r>
      <w:r>
        <w:rPr>
          <w:sz w:val="20"/>
        </w:rPr>
        <w:t>(2007),</w:t>
      </w:r>
      <w:r>
        <w:rPr>
          <w:spacing w:val="34"/>
          <w:sz w:val="20"/>
        </w:rPr>
        <w:t> </w:t>
      </w:r>
      <w:r>
        <w:rPr>
          <w:sz w:val="20"/>
        </w:rPr>
        <w:t>59–61;</w:t>
      </w:r>
      <w:r>
        <w:rPr>
          <w:spacing w:val="34"/>
          <w:sz w:val="20"/>
        </w:rPr>
        <w:t> </w:t>
      </w:r>
      <w:r>
        <w:rPr>
          <w:sz w:val="20"/>
        </w:rPr>
        <w:t>Barnett</w:t>
      </w:r>
      <w:r>
        <w:rPr>
          <w:spacing w:val="34"/>
          <w:sz w:val="20"/>
        </w:rPr>
        <w:t> </w:t>
      </w:r>
      <w:r>
        <w:rPr>
          <w:sz w:val="20"/>
        </w:rPr>
        <w:t>[2009]</w:t>
      </w:r>
      <w:r>
        <w:rPr>
          <w:spacing w:val="34"/>
          <w:sz w:val="20"/>
        </w:rPr>
        <w:t> </w:t>
      </w:r>
      <w:r>
        <w:rPr>
          <w:sz w:val="20"/>
        </w:rPr>
        <w:t>R.L.R.</w:t>
      </w:r>
      <w:r>
        <w:rPr>
          <w:spacing w:val="34"/>
          <w:sz w:val="20"/>
        </w:rPr>
        <w:t> </w:t>
      </w:r>
      <w:r>
        <w:rPr>
          <w:sz w:val="20"/>
        </w:rPr>
        <w:t>79,</w:t>
      </w:r>
      <w:r>
        <w:rPr>
          <w:spacing w:val="34"/>
          <w:sz w:val="20"/>
        </w:rPr>
        <w:t> </w:t>
      </w:r>
      <w:r>
        <w:rPr>
          <w:sz w:val="20"/>
        </w:rPr>
        <w:t>81</w:t>
      </w:r>
      <w:r>
        <w:rPr>
          <w:spacing w:val="34"/>
          <w:sz w:val="20"/>
        </w:rPr>
        <w:t> </w:t>
      </w:r>
      <w:r>
        <w:rPr>
          <w:sz w:val="20"/>
        </w:rPr>
        <w:t>and</w:t>
      </w:r>
      <w:r>
        <w:rPr>
          <w:spacing w:val="34"/>
          <w:sz w:val="20"/>
        </w:rPr>
        <w:t> </w:t>
      </w:r>
      <w:r>
        <w:rPr>
          <w:sz w:val="20"/>
        </w:rPr>
        <w:t>work</w:t>
      </w:r>
      <w:r>
        <w:rPr>
          <w:spacing w:val="34"/>
          <w:sz w:val="20"/>
        </w:rPr>
        <w:t> </w:t>
      </w:r>
      <w:r>
        <w:rPr>
          <w:sz w:val="20"/>
        </w:rPr>
        <w:t>cited there. See also Andrews, Clarke, Tettenborn and Virgo, </w:t>
      </w:r>
      <w:r>
        <w:rPr>
          <w:rFonts w:ascii="Arial" w:hAnsi="Arial"/>
          <w:i/>
          <w:sz w:val="20"/>
        </w:rPr>
        <w:t>Contractual Duties: Performance, Breach, Termination and Remedies </w:t>
      </w:r>
      <w:r>
        <w:rPr>
          <w:sz w:val="20"/>
        </w:rPr>
        <w:t>(2011), paras 26–023—26–024.</w:t>
      </w:r>
    </w:p>
    <w:p>
      <w:pPr>
        <w:pStyle w:val="BodyText"/>
        <w:spacing w:before="5"/>
      </w:pPr>
    </w:p>
    <w:p>
      <w:pPr>
        <w:pStyle w:val="BodyText"/>
        <w:tabs>
          <w:tab w:pos="705" w:val="left" w:leader="none"/>
        </w:tabs>
        <w:spacing w:before="1"/>
        <w:ind w:left="165"/>
      </w:pPr>
      <w:bookmarkStart w:name="_bookmark613" w:id="615"/>
      <w:bookmarkEnd w:id="615"/>
      <w:r>
        <w:rPr/>
      </w:r>
      <w:hyperlink w:history="true" w:anchor="_bookmark558">
        <w:r>
          <w:rPr>
            <w:color w:val="005DA1"/>
            <w:spacing w:val="-4"/>
            <w:position w:val="5"/>
            <w:sz w:val="14"/>
            <w:u w:val="single" w:color="005DA1"/>
          </w:rPr>
          <w:t>308</w:t>
        </w:r>
      </w:hyperlink>
      <w:r>
        <w:rPr>
          <w:spacing w:val="-4"/>
          <w:position w:val="5"/>
          <w:sz w:val="14"/>
        </w:rPr>
        <w:t>.</w:t>
      </w:r>
      <w:r>
        <w:rPr>
          <w:position w:val="5"/>
          <w:sz w:val="14"/>
        </w:rPr>
        <w:tab/>
      </w:r>
      <w:r>
        <w:rPr/>
        <w:t>See</w:t>
      </w:r>
      <w:r>
        <w:rPr>
          <w:spacing w:val="-2"/>
        </w:rPr>
        <w:t> </w:t>
      </w:r>
      <w:r>
        <w:rPr/>
        <w:t>below, para.26-</w:t>
      </w:r>
      <w:r>
        <w:rPr>
          <w:spacing w:val="-4"/>
        </w:rPr>
        <w:t>055.</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614" w:id="616"/>
      <w:bookmarkEnd w:id="616"/>
      <w:r>
        <w:rPr/>
      </w:r>
      <w:hyperlink w:history="true" w:anchor="_bookmark558">
        <w:r>
          <w:rPr>
            <w:color w:val="005DA1"/>
            <w:spacing w:val="-4"/>
            <w:sz w:val="14"/>
            <w:u w:val="single" w:color="005DA1"/>
          </w:rPr>
          <w:t>309</w:t>
        </w:r>
      </w:hyperlink>
      <w:r>
        <w:rPr>
          <w:spacing w:val="-4"/>
          <w:sz w:val="14"/>
        </w:rPr>
        <w:t>.</w:t>
      </w:r>
    </w:p>
    <w:p>
      <w:pPr>
        <w:spacing w:line="227" w:lineRule="exact" w:before="209"/>
        <w:ind w:left="335" w:right="0" w:firstLine="0"/>
        <w:jc w:val="left"/>
        <w:rPr>
          <w:rFonts w:ascii="Arial"/>
          <w:i/>
          <w:sz w:val="20"/>
        </w:rPr>
      </w:pPr>
      <w:r>
        <w:rPr/>
        <w:br w:type="column"/>
      </w:r>
      <w:r>
        <w:rPr>
          <w:sz w:val="20"/>
        </w:rPr>
        <w:t>However,</w:t>
      </w:r>
      <w:r>
        <w:rPr>
          <w:spacing w:val="12"/>
          <w:sz w:val="20"/>
        </w:rPr>
        <w:t> </w:t>
      </w:r>
      <w:r>
        <w:rPr>
          <w:sz w:val="20"/>
        </w:rPr>
        <w:t>in</w:t>
      </w:r>
      <w:r>
        <w:rPr>
          <w:spacing w:val="11"/>
          <w:sz w:val="20"/>
        </w:rPr>
        <w:t> </w:t>
      </w:r>
      <w:r>
        <w:rPr>
          <w:rFonts w:ascii="Arial"/>
          <w:i/>
          <w:sz w:val="20"/>
        </w:rPr>
        <w:t>Marathon</w:t>
      </w:r>
      <w:r>
        <w:rPr>
          <w:rFonts w:ascii="Arial"/>
          <w:i/>
          <w:spacing w:val="12"/>
          <w:sz w:val="20"/>
        </w:rPr>
        <w:t> </w:t>
      </w:r>
      <w:r>
        <w:rPr>
          <w:rFonts w:ascii="Arial"/>
          <w:i/>
          <w:sz w:val="20"/>
        </w:rPr>
        <w:t>Asset</w:t>
      </w:r>
      <w:r>
        <w:rPr>
          <w:rFonts w:ascii="Arial"/>
          <w:i/>
          <w:spacing w:val="12"/>
          <w:sz w:val="20"/>
        </w:rPr>
        <w:t> </w:t>
      </w:r>
      <w:r>
        <w:rPr>
          <w:rFonts w:ascii="Arial"/>
          <w:i/>
          <w:sz w:val="20"/>
        </w:rPr>
        <w:t>Management</w:t>
      </w:r>
      <w:r>
        <w:rPr>
          <w:rFonts w:ascii="Arial"/>
          <w:i/>
          <w:spacing w:val="12"/>
          <w:sz w:val="20"/>
        </w:rPr>
        <w:t> </w:t>
      </w:r>
      <w:r>
        <w:rPr>
          <w:rFonts w:ascii="Arial"/>
          <w:i/>
          <w:sz w:val="20"/>
        </w:rPr>
        <w:t>LLP</w:t>
      </w:r>
      <w:r>
        <w:rPr>
          <w:rFonts w:ascii="Arial"/>
          <w:i/>
          <w:spacing w:val="12"/>
          <w:sz w:val="20"/>
        </w:rPr>
        <w:t> </w:t>
      </w:r>
      <w:r>
        <w:rPr>
          <w:rFonts w:ascii="Arial"/>
          <w:i/>
          <w:sz w:val="20"/>
        </w:rPr>
        <w:t>v</w:t>
      </w:r>
      <w:r>
        <w:rPr>
          <w:rFonts w:ascii="Arial"/>
          <w:i/>
          <w:spacing w:val="12"/>
          <w:sz w:val="20"/>
        </w:rPr>
        <w:t> </w:t>
      </w:r>
      <w:r>
        <w:rPr>
          <w:rFonts w:ascii="Arial"/>
          <w:i/>
          <w:sz w:val="20"/>
        </w:rPr>
        <w:t>Seddon</w:t>
      </w:r>
      <w:r>
        <w:rPr>
          <w:rFonts w:ascii="Arial"/>
          <w:i/>
          <w:spacing w:val="12"/>
          <w:sz w:val="20"/>
        </w:rPr>
        <w:t> </w:t>
      </w:r>
      <w:r>
        <w:rPr>
          <w:rFonts w:ascii="Arial"/>
          <w:i/>
          <w:sz w:val="20"/>
        </w:rPr>
        <w:t>[2017]</w:t>
      </w:r>
      <w:r>
        <w:rPr>
          <w:rFonts w:ascii="Arial"/>
          <w:i/>
          <w:spacing w:val="12"/>
          <w:sz w:val="20"/>
        </w:rPr>
        <w:t> </w:t>
      </w:r>
      <w:r>
        <w:rPr>
          <w:rFonts w:ascii="Arial"/>
          <w:i/>
          <w:sz w:val="20"/>
        </w:rPr>
        <w:t>EWHC</w:t>
      </w:r>
      <w:r>
        <w:rPr>
          <w:rFonts w:ascii="Arial"/>
          <w:i/>
          <w:spacing w:val="12"/>
          <w:sz w:val="20"/>
        </w:rPr>
        <w:t> </w:t>
      </w:r>
      <w:r>
        <w:rPr>
          <w:rFonts w:ascii="Arial"/>
          <w:i/>
          <w:sz w:val="20"/>
        </w:rPr>
        <w:t>300</w:t>
      </w:r>
      <w:r>
        <w:rPr>
          <w:rFonts w:ascii="Arial"/>
          <w:i/>
          <w:spacing w:val="12"/>
          <w:sz w:val="20"/>
        </w:rPr>
        <w:t> </w:t>
      </w:r>
      <w:r>
        <w:rPr>
          <w:rFonts w:ascii="Arial"/>
          <w:i/>
          <w:sz w:val="20"/>
        </w:rPr>
        <w:t>(Comm),</w:t>
      </w:r>
      <w:r>
        <w:rPr>
          <w:rFonts w:ascii="Arial"/>
          <w:i/>
          <w:spacing w:val="12"/>
          <w:sz w:val="20"/>
        </w:rPr>
        <w:t> </w:t>
      </w:r>
      <w:r>
        <w:rPr>
          <w:rFonts w:ascii="Arial"/>
          <w:i/>
          <w:spacing w:val="-2"/>
          <w:sz w:val="20"/>
        </w:rPr>
        <w:t>[2017]</w:t>
      </w:r>
    </w:p>
    <w:p>
      <w:pPr>
        <w:pStyle w:val="BodyText"/>
        <w:spacing w:line="235" w:lineRule="auto" w:before="1"/>
        <w:ind w:left="165" w:right="167"/>
        <w:jc w:val="both"/>
      </w:pPr>
      <w:r>
        <w:rPr/>
        <w:drawing>
          <wp:anchor distT="0" distB="0" distL="0" distR="0" allowOverlap="1" layoutInCell="1" locked="0" behindDoc="0" simplePos="0" relativeHeight="15767552">
            <wp:simplePos x="0" y="0"/>
            <wp:positionH relativeFrom="page">
              <wp:posOffset>1257846</wp:posOffset>
            </wp:positionH>
            <wp:positionV relativeFrom="paragraph">
              <wp:posOffset>-116571</wp:posOffset>
            </wp:positionV>
            <wp:extent cx="107988" cy="10798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I.C.R. 791 </w:t>
      </w:r>
      <w:r>
        <w:rPr/>
        <w:t>no award was made when the defendant had wrongfully made a copy of the claimant’s data. The claimants had not attempted to show that they had suffered any loss </w:t>
      </w:r>
      <w:r>
        <w:rPr/>
        <w:t>(at [155]) or that the defendants had made any gain (at [156]); the defendants had not </w:t>
      </w:r>
      <w:r>
        <w:rPr/>
        <w:t>benefitted from having the data (the defendant had made very little use of it and the claimant based </w:t>
      </w:r>
      <w:r>
        <w:rPr/>
        <w:t>its case solely on the making of the copy: at [243]); and the remedy must match the wrong (at [256]). Unlike the cases of wrongful use of the claimant’s goods, making a copy did not </w:t>
      </w:r>
      <w:r>
        <w:rPr/>
        <w:t>deprive the claimant of anything (at [159]). Leggatt J. said that it may be appropriate to award what </w:t>
      </w:r>
      <w:r>
        <w:rPr/>
        <w:t>he termed</w:t>
      </w:r>
      <w:r>
        <w:rPr>
          <w:spacing w:val="-3"/>
        </w:rPr>
        <w:t> </w:t>
      </w:r>
      <w:r>
        <w:rPr/>
        <w:t>“licence</w:t>
      </w:r>
      <w:r>
        <w:rPr>
          <w:spacing w:val="-3"/>
        </w:rPr>
        <w:t> </w:t>
      </w:r>
      <w:r>
        <w:rPr/>
        <w:t>fee</w:t>
      </w:r>
      <w:r>
        <w:rPr>
          <w:spacing w:val="-3"/>
        </w:rPr>
        <w:t> </w:t>
      </w:r>
      <w:r>
        <w:rPr/>
        <w:t>damages”</w:t>
      </w:r>
      <w:r>
        <w:rPr>
          <w:spacing w:val="-3"/>
        </w:rPr>
        <w:t> </w:t>
      </w:r>
      <w:r>
        <w:rPr/>
        <w:t>in</w:t>
      </w:r>
      <w:r>
        <w:rPr>
          <w:spacing w:val="-3"/>
        </w:rPr>
        <w:t> </w:t>
      </w:r>
      <w:r>
        <w:rPr/>
        <w:t>a</w:t>
      </w:r>
      <w:r>
        <w:rPr>
          <w:spacing w:val="-3"/>
        </w:rPr>
        <w:t> </w:t>
      </w:r>
      <w:r>
        <w:rPr/>
        <w:t>mere</w:t>
      </w:r>
      <w:r>
        <w:rPr>
          <w:spacing w:val="-3"/>
        </w:rPr>
        <w:t> </w:t>
      </w:r>
      <w:r>
        <w:rPr/>
        <w:t>breach</w:t>
      </w:r>
      <w:r>
        <w:rPr>
          <w:spacing w:val="-3"/>
        </w:rPr>
        <w:t> </w:t>
      </w:r>
      <w:r>
        <w:rPr/>
        <w:t>of</w:t>
      </w:r>
      <w:r>
        <w:rPr>
          <w:spacing w:val="-3"/>
        </w:rPr>
        <w:t> </w:t>
      </w:r>
      <w:r>
        <w:rPr/>
        <w:t>contract</w:t>
      </w:r>
      <w:r>
        <w:rPr>
          <w:spacing w:val="-3"/>
        </w:rPr>
        <w:t> </w:t>
      </w:r>
      <w:r>
        <w:rPr/>
        <w:t>case</w:t>
      </w:r>
      <w:r>
        <w:rPr>
          <w:spacing w:val="-3"/>
        </w:rPr>
        <w:t> </w:t>
      </w:r>
      <w:r>
        <w:rPr/>
        <w:t>if</w:t>
      </w:r>
      <w:r>
        <w:rPr>
          <w:spacing w:val="-3"/>
        </w:rPr>
        <w:t> </w:t>
      </w:r>
      <w:r>
        <w:rPr/>
        <w:t>the</w:t>
      </w:r>
      <w:r>
        <w:rPr>
          <w:spacing w:val="-3"/>
        </w:rPr>
        <w:t> </w:t>
      </w:r>
      <w:r>
        <w:rPr/>
        <w:t>defendant</w:t>
      </w:r>
      <w:r>
        <w:rPr>
          <w:spacing w:val="-3"/>
        </w:rPr>
        <w:t> </w:t>
      </w:r>
      <w:r>
        <w:rPr/>
        <w:t>has</w:t>
      </w:r>
      <w:r>
        <w:rPr>
          <w:spacing w:val="-3"/>
        </w:rPr>
        <w:t> </w:t>
      </w:r>
      <w:r>
        <w:rPr/>
        <w:t>obtained</w:t>
      </w:r>
      <w:r>
        <w:rPr>
          <w:spacing w:val="-3"/>
        </w:rPr>
        <w:t> </w:t>
      </w:r>
      <w:r>
        <w:rPr/>
        <w:t>a benefit</w:t>
      </w:r>
      <w:r>
        <w:rPr>
          <w:spacing w:val="17"/>
        </w:rPr>
        <w:t> </w:t>
      </w:r>
      <w:r>
        <w:rPr/>
        <w:t>that</w:t>
      </w:r>
      <w:r>
        <w:rPr>
          <w:spacing w:val="17"/>
        </w:rPr>
        <w:t> </w:t>
      </w:r>
      <w:r>
        <w:rPr/>
        <w:t>has</w:t>
      </w:r>
      <w:r>
        <w:rPr>
          <w:spacing w:val="17"/>
        </w:rPr>
        <w:t> </w:t>
      </w:r>
      <w:r>
        <w:rPr/>
        <w:t>a</w:t>
      </w:r>
      <w:r>
        <w:rPr>
          <w:spacing w:val="17"/>
        </w:rPr>
        <w:t> </w:t>
      </w:r>
      <w:r>
        <w:rPr/>
        <w:t>market</w:t>
      </w:r>
      <w:r>
        <w:rPr>
          <w:spacing w:val="17"/>
        </w:rPr>
        <w:t> </w:t>
      </w:r>
      <w:r>
        <w:rPr/>
        <w:t>value</w:t>
      </w:r>
      <w:r>
        <w:rPr>
          <w:spacing w:val="17"/>
        </w:rPr>
        <w:t> </w:t>
      </w:r>
      <w:r>
        <w:rPr/>
        <w:t>(at</w:t>
      </w:r>
      <w:r>
        <w:rPr>
          <w:spacing w:val="17"/>
        </w:rPr>
        <w:t> </w:t>
      </w:r>
      <w:r>
        <w:rPr/>
        <w:t>[189]),</w:t>
      </w:r>
      <w:r>
        <w:rPr>
          <w:spacing w:val="17"/>
        </w:rPr>
        <w:t> </w:t>
      </w:r>
      <w:r>
        <w:rPr/>
        <w:t>or</w:t>
      </w:r>
      <w:r>
        <w:rPr>
          <w:spacing w:val="17"/>
        </w:rPr>
        <w:t> </w:t>
      </w:r>
      <w:r>
        <w:rPr/>
        <w:t>where</w:t>
      </w:r>
      <w:r>
        <w:rPr>
          <w:spacing w:val="17"/>
        </w:rPr>
        <w:t> </w:t>
      </w:r>
      <w:r>
        <w:rPr/>
        <w:t>there</w:t>
      </w:r>
      <w:r>
        <w:rPr>
          <w:spacing w:val="17"/>
        </w:rPr>
        <w:t> </w:t>
      </w:r>
      <w:r>
        <w:rPr/>
        <w:t>was</w:t>
      </w:r>
      <w:r>
        <w:rPr>
          <w:spacing w:val="17"/>
        </w:rPr>
        <w:t> </w:t>
      </w:r>
      <w:r>
        <w:rPr/>
        <w:t>an</w:t>
      </w:r>
      <w:r>
        <w:rPr>
          <w:spacing w:val="17"/>
        </w:rPr>
        <w:t> </w:t>
      </w:r>
      <w:r>
        <w:rPr/>
        <w:t>alternative</w:t>
      </w:r>
      <w:r>
        <w:rPr>
          <w:spacing w:val="17"/>
        </w:rPr>
        <w:t> </w:t>
      </w:r>
      <w:r>
        <w:rPr/>
        <w:t>way</w:t>
      </w:r>
      <w:r>
        <w:rPr>
          <w:spacing w:val="17"/>
        </w:rPr>
        <w:t> </w:t>
      </w:r>
      <w:r>
        <w:rPr/>
        <w:t>in</w:t>
      </w:r>
      <w:r>
        <w:rPr>
          <w:spacing w:val="17"/>
        </w:rPr>
        <w:t> </w:t>
      </w:r>
      <w:r>
        <w:rPr/>
        <w:t>which</w:t>
      </w:r>
      <w:r>
        <w:rPr>
          <w:spacing w:val="17"/>
        </w:rPr>
        <w:t> </w:t>
      </w:r>
      <w:r>
        <w:rPr>
          <w:spacing w:val="-5"/>
        </w:rPr>
        <w:t>th</w:t>
      </w:r>
      <w:r>
        <w:rPr>
          <w:spacing w:val="-5"/>
        </w:rPr>
        <w:t>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defendant could have obtained the same thing; or if it was reasonable to expect that the claimant would grant a licence if a reasonable fee was paid (at [233]). But if it was not reasonable to expect this and the defendant could not obtain the same thing from </w:t>
      </w:r>
      <w:r>
        <w:rPr/>
        <w:t>elsewhere, then a hypothetical bargain makes no sense and the appropriate method of valuation is to assess the amount of profit actually made by the wrongdoer which is fairly attributable to its wrongful use of the claimant’s property or other wrongful act (at [235]–[236]). As the mere copying of the files neither harmed the claimant nor benefitted the defendant, no reasonable person would charge or agree to pay more than a token sum for that right (at [260]).</w:t>
      </w:r>
    </w:p>
    <w:p>
      <w:pPr>
        <w:pStyle w:val="BodyText"/>
        <w:spacing w:before="7"/>
      </w:pPr>
    </w:p>
    <w:p>
      <w:pPr>
        <w:spacing w:line="235" w:lineRule="auto" w:before="0"/>
        <w:ind w:left="705" w:right="168" w:hanging="541"/>
        <w:jc w:val="both"/>
        <w:rPr>
          <w:sz w:val="20"/>
        </w:rPr>
      </w:pPr>
      <w:bookmarkStart w:name="_bookmark615" w:id="617"/>
      <w:bookmarkEnd w:id="617"/>
      <w:r>
        <w:rPr/>
      </w:r>
      <w:hyperlink w:history="true" w:anchor="_bookmark559">
        <w:r>
          <w:rPr>
            <w:color w:val="005DA1"/>
            <w:position w:val="5"/>
            <w:sz w:val="14"/>
            <w:u w:val="single" w:color="005DA1"/>
          </w:rPr>
          <w:t>310</w:t>
        </w:r>
      </w:hyperlink>
      <w:r>
        <w:rPr>
          <w:position w:val="5"/>
          <w:sz w:val="14"/>
        </w:rPr>
        <w:t>.</w:t>
      </w:r>
      <w:r>
        <w:rPr>
          <w:spacing w:val="80"/>
          <w:position w:val="5"/>
          <w:sz w:val="14"/>
        </w:rPr>
        <w:t>  </w:t>
      </w:r>
      <w:r>
        <w:rPr>
          <w:sz w:val="20"/>
        </w:rPr>
        <w:t>See </w:t>
      </w:r>
      <w:r>
        <w:rPr>
          <w:rFonts w:ascii="Arial"/>
          <w:i/>
          <w:sz w:val="20"/>
        </w:rPr>
        <w:t>Lunn Poly Ltd v Liverpool &amp; Lancashire Properties Ltd (2006) 25 E.G. 210</w:t>
      </w:r>
      <w:r>
        <w:rPr>
          <w:sz w:val="20"/>
        </w:rPr>
        <w:t>; </w:t>
      </w:r>
      <w:r>
        <w:rPr>
          <w:rFonts w:ascii="Arial"/>
          <w:i/>
          <w:sz w:val="20"/>
        </w:rPr>
        <w:t>Field Common Ltd v Elmbridge BC [2008] EWHC 2079 (Ch), [2009] 1 P. &amp; C.R. 1 </w:t>
      </w:r>
      <w:r>
        <w:rPr>
          <w:sz w:val="20"/>
        </w:rPr>
        <w:t>and </w:t>
      </w:r>
      <w:r>
        <w:rPr>
          <w:rFonts w:ascii="Arial"/>
          <w:i/>
          <w:sz w:val="20"/>
        </w:rPr>
        <w:t>Devenish Nutrition v Sanofi-Aventis [2008] EWCA Civ 1086, [2009] 3 All E.R. 27</w:t>
      </w:r>
      <w:r>
        <w:rPr>
          <w:sz w:val="20"/>
        </w:rPr>
        <w:t>.</w:t>
      </w:r>
    </w:p>
    <w:p>
      <w:pPr>
        <w:pStyle w:val="BodyText"/>
        <w:spacing w:before="5"/>
      </w:pPr>
    </w:p>
    <w:p>
      <w:pPr>
        <w:tabs>
          <w:tab w:pos="705" w:val="left" w:leader="none"/>
        </w:tabs>
        <w:spacing w:before="0"/>
        <w:ind w:left="165" w:right="0" w:firstLine="0"/>
        <w:jc w:val="left"/>
        <w:rPr>
          <w:sz w:val="20"/>
        </w:rPr>
      </w:pPr>
      <w:bookmarkStart w:name="_bookmark616" w:id="618"/>
      <w:bookmarkEnd w:id="618"/>
      <w:r>
        <w:rPr/>
      </w:r>
      <w:hyperlink w:history="true" w:anchor="_bookmark560">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[2009] UKPC 45, [2010] B.L.R. 73</w:t>
      </w:r>
      <w:r>
        <w:rPr>
          <w:rFonts w:ascii="Arial"/>
          <w:i/>
          <w:spacing w:val="-1"/>
          <w:sz w:val="20"/>
        </w:rPr>
        <w:t> </w:t>
      </w:r>
      <w:r>
        <w:rPr>
          <w:sz w:val="20"/>
        </w:rPr>
        <w:t>at </w:t>
      </w:r>
      <w:r>
        <w:rPr>
          <w:spacing w:val="-2"/>
          <w:sz w:val="20"/>
        </w:rPr>
        <w:t>[46].</w:t>
      </w:r>
    </w:p>
    <w:p>
      <w:pPr>
        <w:pStyle w:val="BodyText"/>
        <w:spacing w:before="5"/>
      </w:pPr>
    </w:p>
    <w:p>
      <w:pPr>
        <w:tabs>
          <w:tab w:pos="705" w:val="left" w:leader="none"/>
        </w:tabs>
        <w:spacing w:before="0"/>
        <w:ind w:left="165" w:right="0" w:firstLine="0"/>
        <w:jc w:val="left"/>
        <w:rPr>
          <w:sz w:val="20"/>
        </w:rPr>
      </w:pPr>
      <w:bookmarkStart w:name="_bookmark617" w:id="619"/>
      <w:bookmarkEnd w:id="619"/>
      <w:r>
        <w:rPr/>
      </w:r>
      <w:hyperlink w:history="true" w:anchor="_bookmark561">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UKPC 45</w:t>
      </w:r>
      <w:r>
        <w:rPr>
          <w:rFonts w:ascii="Arial"/>
          <w:i/>
          <w:spacing w:val="-1"/>
          <w:sz w:val="20"/>
        </w:rPr>
        <w:t> </w:t>
      </w:r>
      <w:r>
        <w:rPr>
          <w:sz w:val="20"/>
        </w:rPr>
        <w:t>at </w:t>
      </w:r>
      <w:r>
        <w:rPr>
          <w:spacing w:val="-2"/>
          <w:sz w:val="20"/>
        </w:rPr>
        <w:t>[48].</w:t>
      </w:r>
    </w:p>
    <w:p>
      <w:pPr>
        <w:pStyle w:val="BodyText"/>
        <w:spacing w:before="5"/>
      </w:pPr>
    </w:p>
    <w:p>
      <w:pPr>
        <w:tabs>
          <w:tab w:pos="705" w:val="left" w:leader="none"/>
        </w:tabs>
        <w:spacing w:before="0"/>
        <w:ind w:left="165" w:right="0" w:firstLine="0"/>
        <w:jc w:val="left"/>
        <w:rPr>
          <w:sz w:val="20"/>
        </w:rPr>
      </w:pPr>
      <w:bookmarkStart w:name="_bookmark618" w:id="620"/>
      <w:bookmarkEnd w:id="620"/>
      <w:r>
        <w:rPr/>
      </w:r>
      <w:hyperlink w:history="true" w:anchor="_bookmark562">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[44], </w:t>
      </w:r>
      <w:r>
        <w:rPr>
          <w:spacing w:val="-2"/>
          <w:sz w:val="20"/>
        </w:rPr>
        <w:t>[58].</w:t>
      </w:r>
    </w:p>
    <w:p>
      <w:pPr>
        <w:pStyle w:val="BodyText"/>
        <w:spacing w:before="5"/>
      </w:pPr>
    </w:p>
    <w:p>
      <w:pPr>
        <w:tabs>
          <w:tab w:pos="705" w:val="left" w:leader="none"/>
        </w:tabs>
        <w:spacing w:before="0"/>
        <w:ind w:left="165" w:right="0" w:firstLine="0"/>
        <w:jc w:val="left"/>
        <w:rPr>
          <w:sz w:val="20"/>
        </w:rPr>
      </w:pPr>
      <w:bookmarkStart w:name="_bookmark619" w:id="621"/>
      <w:bookmarkEnd w:id="621"/>
      <w:r>
        <w:rPr/>
      </w:r>
      <w:hyperlink w:history="true" w:anchor="_bookmark563">
        <w:r>
          <w:rPr>
            <w:color w:val="005DA1"/>
            <w:spacing w:val="-4"/>
            <w:position w:val="5"/>
            <w:sz w:val="14"/>
            <w:u w:val="single" w:color="005DA1"/>
          </w:rPr>
          <w:t>314</w:t>
        </w:r>
      </w:hyperlink>
      <w:r>
        <w:rPr>
          <w:spacing w:val="-4"/>
          <w:position w:val="5"/>
          <w:sz w:val="14"/>
        </w:rPr>
        <w:t>.</w:t>
      </w:r>
      <w:r>
        <w:rPr>
          <w:position w:val="5"/>
          <w:sz w:val="14"/>
        </w:rPr>
        <w:tab/>
      </w:r>
      <w:r>
        <w:rPr>
          <w:sz w:val="20"/>
        </w:rPr>
        <w:t>Below, para.26-</w:t>
      </w:r>
      <w:r>
        <w:rPr>
          <w:spacing w:val="-4"/>
          <w:sz w:val="20"/>
        </w:rPr>
        <w:t>055.</w:t>
      </w:r>
    </w:p>
    <w:p>
      <w:pPr>
        <w:pStyle w:val="BodyText"/>
        <w:spacing w:before="5"/>
      </w:pPr>
    </w:p>
    <w:p>
      <w:pPr>
        <w:tabs>
          <w:tab w:pos="705" w:val="left" w:leader="none"/>
        </w:tabs>
        <w:spacing w:before="0"/>
        <w:ind w:left="165" w:right="0" w:firstLine="0"/>
        <w:jc w:val="left"/>
        <w:rPr>
          <w:sz w:val="20"/>
        </w:rPr>
      </w:pPr>
      <w:bookmarkStart w:name="_bookmark620" w:id="622"/>
      <w:bookmarkEnd w:id="622"/>
      <w:r>
        <w:rPr/>
      </w:r>
      <w:hyperlink w:history="true" w:anchor="_bookmark564">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[36].</w:t>
      </w:r>
    </w:p>
    <w:p>
      <w:pPr>
        <w:pStyle w:val="BodyText"/>
        <w:spacing w:before="5"/>
      </w:pPr>
    </w:p>
    <w:p>
      <w:pPr>
        <w:tabs>
          <w:tab w:pos="705" w:val="left" w:leader="none"/>
        </w:tabs>
        <w:spacing w:before="1"/>
        <w:ind w:left="165" w:right="0" w:firstLine="0"/>
        <w:jc w:val="left"/>
        <w:rPr>
          <w:sz w:val="20"/>
        </w:rPr>
      </w:pPr>
      <w:bookmarkStart w:name="_bookmark621" w:id="623"/>
      <w:bookmarkEnd w:id="623"/>
      <w:r>
        <w:rPr/>
      </w:r>
      <w:hyperlink w:history="true" w:anchor="_bookmark565">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[36].</w:t>
      </w:r>
    </w:p>
    <w:p>
      <w:pPr>
        <w:pStyle w:val="BodyText"/>
        <w:spacing w:before="4"/>
      </w:pPr>
    </w:p>
    <w:p>
      <w:pPr>
        <w:tabs>
          <w:tab w:pos="705" w:val="left" w:leader="none"/>
        </w:tabs>
        <w:spacing w:before="1"/>
        <w:ind w:left="165" w:right="0" w:firstLine="0"/>
        <w:jc w:val="left"/>
        <w:rPr>
          <w:sz w:val="20"/>
        </w:rPr>
      </w:pPr>
      <w:bookmarkStart w:name="_bookmark622" w:id="624"/>
      <w:bookmarkEnd w:id="624"/>
      <w:r>
        <w:rPr/>
      </w:r>
      <w:hyperlink w:history="true" w:anchor="_bookmark565">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[58].</w:t>
      </w:r>
    </w:p>
    <w:p>
      <w:pPr>
        <w:pStyle w:val="BodyText"/>
        <w:spacing w:before="4"/>
      </w:pPr>
    </w:p>
    <w:p>
      <w:pPr>
        <w:tabs>
          <w:tab w:pos="705" w:val="left" w:leader="none"/>
        </w:tabs>
        <w:spacing w:before="1"/>
        <w:ind w:left="165" w:right="0" w:firstLine="0"/>
        <w:jc w:val="left"/>
        <w:rPr>
          <w:sz w:val="20"/>
        </w:rPr>
      </w:pPr>
      <w:bookmarkStart w:name="_bookmark623" w:id="625"/>
      <w:bookmarkEnd w:id="625"/>
      <w:r>
        <w:rPr/>
      </w:r>
      <w:hyperlink w:history="true" w:anchor="_bookmark566">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[54].</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160608</wp:posOffset>
            </wp:positionV>
            <wp:extent cx="107988" cy="10798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24" w:id="626"/>
      <w:bookmarkEnd w:id="626"/>
      <w:r>
        <w:rPr/>
      </w:r>
      <w:hyperlink w:history="true" w:anchor="_bookmark567">
        <w:r>
          <w:rPr>
            <w:color w:val="005DA1"/>
            <w:spacing w:val="-4"/>
            <w:sz w:val="14"/>
            <w:u w:val="single" w:color="005DA1"/>
          </w:rPr>
          <w:t>319</w:t>
        </w:r>
      </w:hyperlink>
      <w:r>
        <w:rPr>
          <w:spacing w:val="-4"/>
          <w:sz w:val="14"/>
        </w:rPr>
        <w:t>.</w:t>
      </w:r>
    </w:p>
    <w:p>
      <w:pPr>
        <w:spacing w:line="235" w:lineRule="auto" w:before="212"/>
        <w:ind w:left="165" w:right="0" w:firstLine="170"/>
        <w:jc w:val="left"/>
        <w:rPr>
          <w:sz w:val="20"/>
        </w:rPr>
      </w:pPr>
      <w:r>
        <w:rPr/>
        <w:br w:type="column"/>
      </w:r>
      <w:r>
        <w:rPr>
          <w:sz w:val="20"/>
        </w:rPr>
        <w:t>Longmore</w:t>
      </w:r>
      <w:r>
        <w:rPr>
          <w:spacing w:val="33"/>
          <w:sz w:val="20"/>
        </w:rPr>
        <w:t> </w:t>
      </w:r>
      <w:r>
        <w:rPr>
          <w:sz w:val="20"/>
        </w:rPr>
        <w:t>L.J.</w:t>
      </w:r>
      <w:r>
        <w:rPr>
          <w:spacing w:val="33"/>
          <w:sz w:val="20"/>
        </w:rPr>
        <w:t> </w:t>
      </w:r>
      <w:r>
        <w:rPr>
          <w:sz w:val="20"/>
        </w:rPr>
        <w:t>in</w:t>
      </w:r>
      <w:r>
        <w:rPr>
          <w:spacing w:val="33"/>
          <w:sz w:val="20"/>
        </w:rPr>
        <w:t> </w:t>
      </w:r>
      <w:r>
        <w:rPr>
          <w:rFonts w:ascii="Arial" w:hAnsi="Arial"/>
          <w:i/>
          <w:sz w:val="20"/>
        </w:rPr>
        <w:t>One</w:t>
      </w:r>
      <w:r>
        <w:rPr>
          <w:rFonts w:ascii="Arial" w:hAnsi="Arial"/>
          <w:i/>
          <w:spacing w:val="33"/>
          <w:sz w:val="20"/>
        </w:rPr>
        <w:t> </w:t>
      </w:r>
      <w:r>
        <w:rPr>
          <w:rFonts w:ascii="Arial" w:hAnsi="Arial"/>
          <w:i/>
          <w:sz w:val="20"/>
        </w:rPr>
        <w:t>Step</w:t>
      </w:r>
      <w:r>
        <w:rPr>
          <w:rFonts w:ascii="Arial" w:hAnsi="Arial"/>
          <w:i/>
          <w:spacing w:val="33"/>
          <w:sz w:val="20"/>
        </w:rPr>
        <w:t> </w:t>
      </w:r>
      <w:r>
        <w:rPr>
          <w:rFonts w:ascii="Arial" w:hAnsi="Arial"/>
          <w:i/>
          <w:sz w:val="20"/>
        </w:rPr>
        <w:t>(Support)</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Morris-Garner</w:t>
      </w:r>
      <w:r>
        <w:rPr>
          <w:rFonts w:ascii="Arial" w:hAnsi="Arial"/>
          <w:i/>
          <w:spacing w:val="33"/>
          <w:sz w:val="20"/>
        </w:rPr>
        <w:t> </w:t>
      </w:r>
      <w:r>
        <w:rPr>
          <w:rFonts w:ascii="Arial" w:hAnsi="Arial"/>
          <w:i/>
          <w:sz w:val="20"/>
        </w:rPr>
        <w:t>[2016]</w:t>
      </w:r>
      <w:r>
        <w:rPr>
          <w:rFonts w:ascii="Arial" w:hAnsi="Arial"/>
          <w:i/>
          <w:spacing w:val="33"/>
          <w:sz w:val="20"/>
        </w:rPr>
        <w:t> </w:t>
      </w:r>
      <w:r>
        <w:rPr>
          <w:rFonts w:ascii="Arial" w:hAnsi="Arial"/>
          <w:i/>
          <w:sz w:val="20"/>
        </w:rPr>
        <w:t>EWCA</w:t>
      </w:r>
      <w:r>
        <w:rPr>
          <w:rFonts w:ascii="Arial" w:hAnsi="Arial"/>
          <w:i/>
          <w:spacing w:val="33"/>
          <w:sz w:val="20"/>
        </w:rPr>
        <w:t> </w:t>
      </w:r>
      <w:r>
        <w:rPr>
          <w:rFonts w:ascii="Arial" w:hAnsi="Arial"/>
          <w:i/>
          <w:sz w:val="20"/>
        </w:rPr>
        <w:t>Civ</w:t>
      </w:r>
      <w:r>
        <w:rPr>
          <w:rFonts w:ascii="Arial" w:hAnsi="Arial"/>
          <w:i/>
          <w:spacing w:val="33"/>
          <w:sz w:val="20"/>
        </w:rPr>
        <w:t> </w:t>
      </w:r>
      <w:r>
        <w:rPr>
          <w:rFonts w:ascii="Arial" w:hAnsi="Arial"/>
          <w:i/>
          <w:sz w:val="20"/>
        </w:rPr>
        <w:t>180</w:t>
      </w:r>
      <w:r>
        <w:rPr>
          <w:rFonts w:ascii="Arial" w:hAnsi="Arial"/>
          <w:i/>
          <w:spacing w:val="33"/>
          <w:sz w:val="20"/>
        </w:rPr>
        <w:t> </w:t>
      </w:r>
      <w:r>
        <w:rPr>
          <w:sz w:val="20"/>
        </w:rPr>
        <w:t>at</w:t>
      </w:r>
      <w:r>
        <w:rPr>
          <w:spacing w:val="33"/>
          <w:sz w:val="20"/>
        </w:rPr>
        <w:t> </w:t>
      </w:r>
      <w:r>
        <w:rPr>
          <w:sz w:val="20"/>
        </w:rPr>
        <w:t>[151] (defendant’s furtive conduct deprived claimant of opportunity to obtain interim relief).</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160767</wp:posOffset>
            </wp:positionV>
            <wp:extent cx="107988" cy="107988"/>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25" w:id="627"/>
      <w:bookmarkEnd w:id="627"/>
      <w:r>
        <w:rPr/>
      </w:r>
      <w:hyperlink w:history="true" w:anchor="_bookmark568">
        <w:r>
          <w:rPr>
            <w:color w:val="005DA1"/>
            <w:spacing w:val="-4"/>
            <w:sz w:val="14"/>
            <w:u w:val="single" w:color="005DA1"/>
          </w:rPr>
          <w:t>320</w:t>
        </w:r>
      </w:hyperlink>
      <w:r>
        <w:rPr>
          <w:spacing w:val="-4"/>
          <w:sz w:val="14"/>
        </w:rPr>
        <w:t>.</w:t>
      </w:r>
    </w:p>
    <w:p>
      <w:pPr>
        <w:spacing w:line="235" w:lineRule="auto" w:before="213"/>
        <w:ind w:left="165" w:right="0" w:firstLine="170"/>
        <w:jc w:val="left"/>
        <w:rPr>
          <w:sz w:val="20"/>
        </w:rPr>
      </w:pPr>
      <w:r>
        <w:rPr/>
        <w:br w:type="column"/>
      </w:r>
      <w:r>
        <w:rPr>
          <w:rFonts w:ascii="Arial" w:hAnsi="Arial"/>
          <w:i/>
          <w:sz w:val="20"/>
        </w:rPr>
        <w:t>[2003] EWCA Civ 323 </w:t>
      </w:r>
      <w:r>
        <w:rPr>
          <w:sz w:val="20"/>
        </w:rPr>
        <w:t>at [24]–[25]; </w:t>
      </w:r>
      <w:r>
        <w:rPr>
          <w:rFonts w:ascii="Arial" w:hAnsi="Arial"/>
          <w:i/>
          <w:sz w:val="20"/>
        </w:rPr>
        <w:t>One Step (Support) Ltd v Morris-Garner [2016] EWCA </w:t>
      </w:r>
      <w:r>
        <w:rPr>
          <w:rFonts w:ascii="Arial" w:hAnsi="Arial"/>
          <w:i/>
          <w:sz w:val="20"/>
        </w:rPr>
        <w:t>Civ 180 </w:t>
      </w:r>
      <w:r>
        <w:rPr>
          <w:sz w:val="20"/>
        </w:rPr>
        <w:t>at [126] and [149].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626" w:id="628"/>
      <w:bookmarkEnd w:id="628"/>
      <w:r>
        <w:rPr/>
      </w:r>
      <w:hyperlink w:history="true" w:anchor="_bookmark569">
        <w:r>
          <w:rPr>
            <w:color w:val="005DA1"/>
            <w:spacing w:val="-4"/>
            <w:position w:val="5"/>
            <w:sz w:val="14"/>
            <w:u w:val="single" w:color="005DA1"/>
          </w:rPr>
          <w:t>321</w:t>
        </w:r>
      </w:hyperlink>
      <w:r>
        <w:rPr>
          <w:spacing w:val="-4"/>
          <w:position w:val="5"/>
          <w:sz w:val="14"/>
        </w:rPr>
        <w:t>.</w:t>
      </w:r>
      <w:r>
        <w:rPr>
          <w:position w:val="5"/>
          <w:sz w:val="14"/>
        </w:rPr>
        <w:tab/>
      </w:r>
      <w:r>
        <w:rPr/>
        <w:t>See</w:t>
      </w:r>
      <w:r>
        <w:rPr>
          <w:spacing w:val="-2"/>
        </w:rPr>
        <w:t> </w:t>
      </w:r>
      <w:r>
        <w:rPr/>
        <w:t>above, para.26-</w:t>
      </w:r>
      <w:r>
        <w:rPr>
          <w:spacing w:val="-4"/>
        </w:rPr>
        <w:t>041.</w:t>
      </w:r>
    </w:p>
    <w:p>
      <w:pPr>
        <w:pStyle w:val="BodyText"/>
        <w:spacing w:before="9"/>
      </w:pPr>
    </w:p>
    <w:p>
      <w:pPr>
        <w:pStyle w:val="BodyText"/>
        <w:spacing w:line="235" w:lineRule="auto"/>
        <w:ind w:left="705" w:right="167" w:hanging="541"/>
        <w:jc w:val="both"/>
      </w:pPr>
      <w:bookmarkStart w:name="_bookmark627" w:id="629"/>
      <w:bookmarkEnd w:id="629"/>
      <w:r>
        <w:rPr/>
      </w:r>
      <w:hyperlink w:history="true" w:anchor="_bookmark570">
        <w:r>
          <w:rPr>
            <w:color w:val="005DA1"/>
            <w:position w:val="5"/>
            <w:sz w:val="14"/>
            <w:u w:val="single" w:color="005DA1"/>
          </w:rPr>
          <w:t>322</w:t>
        </w:r>
      </w:hyperlink>
      <w:r>
        <w:rPr>
          <w:position w:val="5"/>
          <w:sz w:val="14"/>
        </w:rPr>
        <w:t>.</w:t>
      </w:r>
      <w:r>
        <w:rPr>
          <w:spacing w:val="80"/>
          <w:w w:val="150"/>
          <w:position w:val="5"/>
          <w:sz w:val="14"/>
        </w:rPr>
        <w:t> </w:t>
      </w:r>
      <w:r>
        <w:rPr>
          <w:rFonts w:ascii="Arial" w:hAnsi="Arial"/>
          <w:i/>
        </w:rPr>
        <w:t>Giedo van der Garde BV v Force India Formula One Team Ltd [2010] EWHC 2373 (QB)</w:t>
      </w:r>
      <w:r>
        <w:rPr/>
        <w:t>. Hamblen</w:t>
      </w:r>
      <w:r>
        <w:rPr>
          <w:spacing w:val="-1"/>
        </w:rPr>
        <w:t> </w:t>
      </w:r>
      <w:r>
        <w:rPr/>
        <w:t>J.</w:t>
      </w:r>
      <w:r>
        <w:rPr>
          <w:spacing w:val="-1"/>
        </w:rPr>
        <w:t> </w:t>
      </w:r>
      <w:r>
        <w:rPr/>
        <w:t>pointed</w:t>
      </w:r>
      <w:r>
        <w:rPr>
          <w:spacing w:val="-1"/>
        </w:rPr>
        <w:t> </w:t>
      </w:r>
      <w:r>
        <w:rPr/>
        <w:t>out</w:t>
      </w:r>
      <w:r>
        <w:rPr>
          <w:spacing w:val="-1"/>
        </w:rPr>
        <w:t> </w:t>
      </w:r>
      <w:r>
        <w:rPr/>
        <w:t>that</w:t>
      </w:r>
      <w:r>
        <w:rPr>
          <w:spacing w:val="-1"/>
        </w:rPr>
        <w:t> </w:t>
      </w:r>
      <w:r>
        <w:rPr/>
        <w:t>an</w:t>
      </w:r>
      <w:r>
        <w:rPr>
          <w:spacing w:val="-1"/>
        </w:rPr>
        <w:t> </w:t>
      </w:r>
      <w:r>
        <w:rPr/>
        <w:t>award</w:t>
      </w:r>
      <w:r>
        <w:rPr>
          <w:spacing w:val="-1"/>
        </w:rPr>
        <w:t> </w:t>
      </w:r>
      <w:r>
        <w:rPr/>
        <w:t>was</w:t>
      </w:r>
      <w:r>
        <w:rPr>
          <w:spacing w:val="-1"/>
        </w:rPr>
        <w:t> </w:t>
      </w:r>
      <w:r>
        <w:rPr/>
        <w:t>not</w:t>
      </w:r>
      <w:r>
        <w:rPr>
          <w:spacing w:val="-1"/>
        </w:rPr>
        <w:t> </w:t>
      </w:r>
      <w:r>
        <w:rPr/>
        <w:t>“precluded</w:t>
      </w:r>
      <w:r>
        <w:rPr>
          <w:spacing w:val="-1"/>
        </w:rPr>
        <w:t> </w:t>
      </w:r>
      <w:r>
        <w:rPr/>
        <w:t>by</w:t>
      </w:r>
      <w:r>
        <w:rPr>
          <w:spacing w:val="-1"/>
        </w:rPr>
        <w:t> </w:t>
      </w:r>
      <w:r>
        <w:rPr/>
        <w:t>any</w:t>
      </w:r>
      <w:r>
        <w:rPr>
          <w:spacing w:val="-1"/>
        </w:rPr>
        <w:t> </w:t>
      </w:r>
      <w:r>
        <w:rPr/>
        <w:t>of</w:t>
      </w:r>
      <w:r>
        <w:rPr>
          <w:spacing w:val="-1"/>
        </w:rPr>
        <w:t> </w:t>
      </w:r>
      <w:r>
        <w:rPr/>
        <w:t>the</w:t>
      </w:r>
      <w:r>
        <w:rPr>
          <w:spacing w:val="-1"/>
        </w:rPr>
        <w:t> </w:t>
      </w:r>
      <w:r>
        <w:rPr/>
        <w:t>following</w:t>
      </w:r>
      <w:r>
        <w:rPr>
          <w:spacing w:val="-1"/>
        </w:rPr>
        <w:t> </w:t>
      </w:r>
      <w:r>
        <w:rPr/>
        <w:t>factors:</w:t>
      </w:r>
      <w:r>
        <w:rPr>
          <w:spacing w:val="-1"/>
        </w:rPr>
        <w:t> </w:t>
      </w:r>
      <w:r>
        <w:rPr/>
        <w:t>(i)</w:t>
      </w:r>
      <w:r>
        <w:rPr>
          <w:spacing w:val="-1"/>
        </w:rPr>
        <w:t> </w:t>
      </w:r>
      <w:r>
        <w:rPr/>
        <w:t>that the claimants advanced no claim for an injunction or specific performance, or the fact that there would have been no prospect of such an order being granted; (ii) the fact that damages are not claimed</w:t>
      </w:r>
      <w:r>
        <w:rPr>
          <w:spacing w:val="-2"/>
        </w:rPr>
        <w:t> </w:t>
      </w:r>
      <w:r>
        <w:rPr/>
        <w:t>under</w:t>
      </w:r>
      <w:r>
        <w:rPr>
          <w:spacing w:val="-2"/>
        </w:rPr>
        <w:t> </w:t>
      </w:r>
      <w:r>
        <w:rPr/>
        <w:t>Lord</w:t>
      </w:r>
      <w:r>
        <w:rPr>
          <w:spacing w:val="-2"/>
        </w:rPr>
        <w:t> </w:t>
      </w:r>
      <w:r>
        <w:rPr/>
        <w:t>Cairns’</w:t>
      </w:r>
      <w:r>
        <w:rPr>
          <w:spacing w:val="-2"/>
        </w:rPr>
        <w:t> </w:t>
      </w:r>
      <w:r>
        <w:rPr/>
        <w:t>Act</w:t>
      </w:r>
      <w:r>
        <w:rPr>
          <w:spacing w:val="-2"/>
        </w:rPr>
        <w:t> </w:t>
      </w:r>
      <w:r>
        <w:rPr/>
        <w:t>in</w:t>
      </w:r>
      <w:r>
        <w:rPr>
          <w:spacing w:val="-2"/>
        </w:rPr>
        <w:t> </w:t>
      </w:r>
      <w:r>
        <w:rPr/>
        <w:t>lieu</w:t>
      </w:r>
      <w:r>
        <w:rPr>
          <w:spacing w:val="-2"/>
        </w:rPr>
        <w:t> </w:t>
      </w:r>
      <w:r>
        <w:rPr/>
        <w:t>of</w:t>
      </w:r>
      <w:r>
        <w:rPr>
          <w:spacing w:val="-2"/>
        </w:rPr>
        <w:t> </w:t>
      </w:r>
      <w:r>
        <w:rPr/>
        <w:t>an</w:t>
      </w:r>
      <w:r>
        <w:rPr>
          <w:spacing w:val="-2"/>
        </w:rPr>
        <w:t> </w:t>
      </w:r>
      <w:r>
        <w:rPr/>
        <w:t>injunction;</w:t>
      </w:r>
      <w:r>
        <w:rPr>
          <w:spacing w:val="-2"/>
        </w:rPr>
        <w:t> </w:t>
      </w:r>
      <w:r>
        <w:rPr/>
        <w:t>(iii)</w:t>
      </w:r>
      <w:r>
        <w:rPr>
          <w:spacing w:val="-2"/>
        </w:rPr>
        <w:t> </w:t>
      </w:r>
      <w:r>
        <w:rPr/>
        <w:t>the</w:t>
      </w:r>
      <w:r>
        <w:rPr>
          <w:spacing w:val="-2"/>
        </w:rPr>
        <w:t> </w:t>
      </w:r>
      <w:r>
        <w:rPr/>
        <w:t>fact</w:t>
      </w:r>
      <w:r>
        <w:rPr>
          <w:spacing w:val="-2"/>
        </w:rPr>
        <w:t> </w:t>
      </w:r>
      <w:r>
        <w:rPr/>
        <w:t>that</w:t>
      </w:r>
      <w:r>
        <w:rPr>
          <w:spacing w:val="-2"/>
        </w:rPr>
        <w:t> </w:t>
      </w:r>
      <w:r>
        <w:rPr/>
        <w:t>the</w:t>
      </w:r>
      <w:r>
        <w:rPr>
          <w:spacing w:val="-2"/>
        </w:rPr>
        <w:t> </w:t>
      </w:r>
      <w:r>
        <w:rPr/>
        <w:t>claim</w:t>
      </w:r>
      <w:r>
        <w:rPr>
          <w:spacing w:val="-2"/>
        </w:rPr>
        <w:t> </w:t>
      </w:r>
      <w:r>
        <w:rPr/>
        <w:t>is</w:t>
      </w:r>
      <w:r>
        <w:rPr>
          <w:spacing w:val="-2"/>
        </w:rPr>
        <w:t> </w:t>
      </w:r>
      <w:r>
        <w:rPr/>
        <w:t>not</w:t>
      </w:r>
      <w:r>
        <w:rPr>
          <w:spacing w:val="-2"/>
        </w:rPr>
        <w:t> </w:t>
      </w:r>
      <w:r>
        <w:rPr/>
        <w:t>based</w:t>
      </w:r>
      <w:r>
        <w:rPr>
          <w:spacing w:val="-2"/>
        </w:rPr>
        <w:t> </w:t>
      </w:r>
      <w:r>
        <w:rPr/>
        <w:t>on a breach of a restrictive covenant; and (iv) the fact that the claim is based on breach of contract rather than invasion of property rights” (at [533]). On the facts of the case, the loss assessed on this basis would be same amount as the difference in value (at [559]).</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628" w:id="630"/>
      <w:bookmarkEnd w:id="630"/>
      <w:r>
        <w:rPr/>
      </w:r>
      <w:hyperlink w:history="true" w:anchor="_bookmark571">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Abbar v Saudi Economic &amp; Development Co (SEDCO) Real Estate Ltd [2013] EWHC 1414 </w:t>
      </w:r>
      <w:r>
        <w:rPr>
          <w:rFonts w:ascii="Arial"/>
          <w:i/>
          <w:spacing w:val="-4"/>
          <w:sz w:val="20"/>
        </w:rPr>
        <w:t>(Ch)</w:t>
      </w:r>
    </w:p>
    <w:p>
      <w:pPr>
        <w:pStyle w:val="BodyText"/>
        <w:spacing w:line="227" w:lineRule="exact"/>
        <w:ind w:left="705"/>
      </w:pPr>
      <w:r>
        <w:rPr/>
        <w:t>at </w:t>
      </w:r>
      <w:r>
        <w:rPr>
          <w:spacing w:val="-2"/>
        </w:rPr>
        <w:t>[225].</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160323</wp:posOffset>
            </wp:positionV>
            <wp:extent cx="107988" cy="107988"/>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29" w:id="631"/>
      <w:bookmarkEnd w:id="631"/>
      <w:r>
        <w:rPr/>
      </w:r>
      <w:hyperlink w:history="true" w:anchor="_bookmark572">
        <w:r>
          <w:rPr>
            <w:color w:val="005DA1"/>
            <w:spacing w:val="-4"/>
            <w:sz w:val="14"/>
            <w:u w:val="single" w:color="005DA1"/>
          </w:rPr>
          <w:t>324</w:t>
        </w:r>
      </w:hyperlink>
      <w:r>
        <w:rPr>
          <w:spacing w:val="-4"/>
          <w:sz w:val="14"/>
        </w:rPr>
        <w:t>.</w:t>
      </w:r>
    </w:p>
    <w:p>
      <w:pPr>
        <w:pStyle w:val="BodyText"/>
        <w:spacing w:line="235" w:lineRule="auto" w:before="212"/>
        <w:ind w:left="165" w:right="167" w:firstLine="170"/>
        <w:jc w:val="both"/>
      </w:pPr>
      <w:r>
        <w:rPr/>
        <w:br w:type="column"/>
      </w:r>
      <w:r>
        <w:rPr>
          <w:rFonts w:ascii="Arial" w:hAnsi="Arial"/>
          <w:i/>
        </w:rPr>
        <w:t>[2016] EWCA Civ 180, [2017] Q.B. 1 </w:t>
      </w:r>
      <w:r>
        <w:rPr/>
        <w:t>at [122] and [145]–[146]. In that case the </w:t>
      </w:r>
      <w:r>
        <w:rPr/>
        <w:t>defendants</w:t>
      </w:r>
      <w:r>
        <w:rPr>
          <w:spacing w:val="40"/>
        </w:rPr>
        <w:t> </w:t>
      </w:r>
      <w:r>
        <w:rPr/>
        <w:t>had made wrongful use of confidential information and broken no-solicitation covenants. The case is noted by Davies [2017] L.M.C.L.Q. 201. In </w:t>
      </w:r>
      <w:r>
        <w:rPr>
          <w:rFonts w:ascii="Arial" w:hAnsi="Arial"/>
          <w:i/>
        </w:rPr>
        <w:t>Marathon Asset Management LLP v Seddon [2017] EWHC 300 (Comm) </w:t>
      </w:r>
      <w:r>
        <w:rPr/>
        <w:t>Leggatt J. said (at [217]) he did not find it easy to discern the principle on which the award for breach of obligations not to compete had been made in the</w:t>
      </w:r>
      <w:r>
        <w:rPr>
          <w:spacing w:val="40"/>
        </w:rPr>
        <w:t> </w:t>
      </w:r>
      <w:r>
        <w:rPr>
          <w:rFonts w:ascii="Arial" w:hAnsi="Arial"/>
          <w:i/>
        </w:rPr>
        <w:t>One Step </w:t>
      </w:r>
      <w:r>
        <w:rPr/>
        <w:t>case. The fact that the claimant’s loss would be difficult to prove or quantify might be a good reason for granting an injunction rather than leaving the claimant to seek damages, but</w:t>
      </w:r>
      <w:r>
        <w:rPr>
          <w:spacing w:val="40"/>
        </w:rPr>
        <w:t> </w:t>
      </w:r>
      <w:r>
        <w:rPr/>
        <w:t>it is not a principled reason for awarding a sum of money which does not depend on whether</w:t>
      </w:r>
      <w:r>
        <w:rPr>
          <w:spacing w:val="40"/>
        </w:rPr>
        <w:t> </w:t>
      </w:r>
      <w:r>
        <w:rPr/>
        <w:t>the claimant has suffered any loss at all. Awarding a gain-based remedy can only be a just response</w:t>
      </w:r>
      <w:r>
        <w:rPr>
          <w:spacing w:val="29"/>
        </w:rPr>
        <w:t> </w:t>
      </w:r>
      <w:r>
        <w:rPr/>
        <w:t>where</w:t>
      </w:r>
      <w:r>
        <w:rPr>
          <w:spacing w:val="29"/>
        </w:rPr>
        <w:t> </w:t>
      </w:r>
      <w:r>
        <w:rPr/>
        <w:t>compensatory</w:t>
      </w:r>
      <w:r>
        <w:rPr>
          <w:spacing w:val="29"/>
        </w:rPr>
        <w:t> </w:t>
      </w:r>
      <w:r>
        <w:rPr/>
        <w:t>damages</w:t>
      </w:r>
      <w:r>
        <w:rPr>
          <w:spacing w:val="29"/>
        </w:rPr>
        <w:t> </w:t>
      </w:r>
      <w:r>
        <w:rPr/>
        <w:t>are</w:t>
      </w:r>
      <w:r>
        <w:rPr>
          <w:spacing w:val="29"/>
        </w:rPr>
        <w:t> </w:t>
      </w:r>
      <w:r>
        <w:rPr/>
        <w:t>an</w:t>
      </w:r>
      <w:r>
        <w:rPr>
          <w:spacing w:val="29"/>
        </w:rPr>
        <w:t> </w:t>
      </w:r>
      <w:r>
        <w:rPr/>
        <w:t>inherently</w:t>
      </w:r>
      <w:r>
        <w:rPr>
          <w:spacing w:val="29"/>
        </w:rPr>
        <w:t> </w:t>
      </w:r>
      <w:r>
        <w:rPr/>
        <w:t>inadequate</w:t>
      </w:r>
      <w:r>
        <w:rPr>
          <w:spacing w:val="29"/>
        </w:rPr>
        <w:t> </w:t>
      </w:r>
      <w:r>
        <w:rPr/>
        <w:t>remedy</w:t>
      </w:r>
      <w:r>
        <w:rPr>
          <w:spacing w:val="29"/>
        </w:rPr>
        <w:t> </w:t>
      </w:r>
      <w:r>
        <w:rPr/>
        <w:t>because</w:t>
      </w:r>
      <w:r>
        <w:rPr>
          <w:spacing w:val="29"/>
        </w:rPr>
        <w:t> </w:t>
      </w:r>
      <w:r>
        <w:rPr>
          <w:spacing w:val="-4"/>
        </w:rPr>
        <w:t>they</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pPr>
      <w:r>
        <w:rPr/>
        <w:t>would not represent adequate redress for the wrong done to the claimant even where any loss caused by the defendant’s wrong can be fully identified and reversed (at [214]-[215]).</w:t>
      </w:r>
    </w:p>
    <w:p>
      <w:pPr>
        <w:pStyle w:val="BodyText"/>
        <w:spacing w:before="9"/>
      </w:pPr>
    </w:p>
    <w:p>
      <w:pPr>
        <w:spacing w:line="235" w:lineRule="auto" w:before="0"/>
        <w:ind w:left="705" w:right="167" w:hanging="541"/>
        <w:jc w:val="both"/>
        <w:rPr>
          <w:sz w:val="20"/>
        </w:rPr>
      </w:pPr>
      <w:bookmarkStart w:name="_bookmark630" w:id="632"/>
      <w:bookmarkEnd w:id="632"/>
      <w:r>
        <w:rPr/>
      </w:r>
      <w:hyperlink w:history="true" w:anchor="_bookmark573">
        <w:r>
          <w:rPr>
            <w:color w:val="005DA1"/>
            <w:position w:val="5"/>
            <w:sz w:val="14"/>
            <w:u w:val="single" w:color="005DA1"/>
          </w:rPr>
          <w:t>325</w:t>
        </w:r>
      </w:hyperlink>
      <w:r>
        <w:rPr>
          <w:position w:val="5"/>
          <w:sz w:val="14"/>
        </w:rPr>
        <w:t>.</w:t>
      </w:r>
      <w:r>
        <w:rPr>
          <w:spacing w:val="80"/>
          <w:w w:val="150"/>
          <w:position w:val="5"/>
          <w:sz w:val="14"/>
        </w:rPr>
        <w:t> </w:t>
      </w:r>
      <w:r>
        <w:rPr>
          <w:sz w:val="20"/>
        </w:rPr>
        <w:t>In </w:t>
      </w:r>
      <w:r>
        <w:rPr>
          <w:rFonts w:ascii="Arial" w:hAnsi="Arial"/>
          <w:i/>
          <w:sz w:val="20"/>
        </w:rPr>
        <w:t>WWF-World Wide Fund for Nature v World Wrestling Federation Entertainment Inc </w:t>
      </w:r>
      <w:r>
        <w:rPr>
          <w:rFonts w:ascii="Arial" w:hAnsi="Arial"/>
          <w:i/>
          <w:sz w:val="20"/>
        </w:rPr>
        <w:t>[2007] EWCA Civ 286, [2008] 1 W.L.R. 445 </w:t>
      </w:r>
      <w:r>
        <w:rPr>
          <w:sz w:val="20"/>
        </w:rPr>
        <w:t>the Court said (at [59]) that </w:t>
      </w:r>
      <w:r>
        <w:rPr>
          <w:rFonts w:ascii="Arial" w:hAnsi="Arial"/>
          <w:i/>
          <w:sz w:val="20"/>
        </w:rPr>
        <w:t>Wrotham Park </w:t>
      </w:r>
      <w:r>
        <w:rPr>
          <w:sz w:val="20"/>
        </w:rPr>
        <w:t>damages may be awarded as “a just response to circumstances in which the compensation which is the claimant’s due cannot be measured (or cannot be measured solely) by reference to identifiable financial loss”. See also </w:t>
      </w:r>
      <w:r>
        <w:rPr>
          <w:rFonts w:ascii="Arial" w:hAnsi="Arial"/>
          <w:i/>
          <w:sz w:val="20"/>
        </w:rPr>
        <w:t>Arroyo v Equion Energia Ltd [2013] EWHC 3150 (TCC) </w:t>
      </w:r>
      <w:r>
        <w:rPr>
          <w:sz w:val="20"/>
        </w:rPr>
        <w:t>at [65] and at [66], where Stuart Smith J. said that “In theory, a claim for </w:t>
      </w:r>
      <w:r>
        <w:rPr>
          <w:rFonts w:ascii="Arial" w:hAnsi="Arial"/>
          <w:i/>
          <w:sz w:val="20"/>
        </w:rPr>
        <w:t>Wrotham Park </w:t>
      </w:r>
      <w:r>
        <w:rPr>
          <w:sz w:val="20"/>
        </w:rPr>
        <w:t>or ‘negotiation’ damages could have been made in conjunction with a claim for reinstatement costs if the facts of the case justified it”. See also </w:t>
      </w:r>
      <w:r>
        <w:rPr>
          <w:rFonts w:ascii="Arial" w:hAnsi="Arial"/>
          <w:i/>
          <w:sz w:val="20"/>
        </w:rPr>
        <w:t>Primary Group (UK) Ltd v Royal Bank of Scotland Plc [2014] EWHC 1082 (Ch) </w:t>
      </w:r>
      <w:r>
        <w:rPr>
          <w:sz w:val="20"/>
        </w:rPr>
        <w:t>(breach of an express contractual obligation of confidentiality), below, </w:t>
      </w:r>
      <w:r>
        <w:rPr>
          <w:spacing w:val="-2"/>
          <w:sz w:val="20"/>
        </w:rPr>
        <w:t>para.34-310.</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631" w:id="633"/>
      <w:bookmarkEnd w:id="633"/>
      <w:r>
        <w:rPr/>
      </w:r>
      <w:hyperlink w:history="true" w:anchor="_bookmark574">
        <w:r>
          <w:rPr>
            <w:color w:val="005DA1"/>
            <w:spacing w:val="-4"/>
            <w:sz w:val="14"/>
            <w:u w:val="single" w:color="005DA1"/>
          </w:rPr>
          <w:t>326</w:t>
        </w:r>
      </w:hyperlink>
      <w:r>
        <w:rPr>
          <w:spacing w:val="-4"/>
          <w:sz w:val="14"/>
        </w:rPr>
        <w:t>.</w:t>
      </w:r>
    </w:p>
    <w:p>
      <w:pPr>
        <w:spacing w:before="208"/>
        <w:ind w:left="335" w:right="0" w:firstLine="0"/>
        <w:jc w:val="left"/>
        <w:rPr>
          <w:sz w:val="20"/>
        </w:rPr>
      </w:pPr>
      <w:r>
        <w:rPr/>
        <w:br w:type="column"/>
      </w:r>
      <w:r>
        <w:rPr>
          <w:sz w:val="20"/>
        </w:rPr>
        <w:t>cf.</w:t>
      </w:r>
      <w:r>
        <w:rPr>
          <w:spacing w:val="-1"/>
          <w:sz w:val="20"/>
        </w:rPr>
        <w:t> </w:t>
      </w:r>
      <w:r>
        <w:rPr>
          <w:rFonts w:ascii="Arial"/>
          <w:i/>
          <w:sz w:val="20"/>
        </w:rPr>
        <w:t>ParkingEye Ltd v Beavis [2015] UKSC 67, [2016] A.C. 1172</w:t>
      </w:r>
      <w:r>
        <w:rPr>
          <w:sz w:val="20"/>
        </w:rPr>
        <w:t>, below, paras 26-195 et </w:t>
      </w:r>
      <w:r>
        <w:rPr>
          <w:spacing w:val="-4"/>
          <w:sz w:val="20"/>
        </w:rPr>
        <w:t>seq.</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69600">
            <wp:simplePos x="0" y="0"/>
            <wp:positionH relativeFrom="page">
              <wp:posOffset>1257846</wp:posOffset>
            </wp:positionH>
            <wp:positionV relativeFrom="paragraph">
              <wp:posOffset>-267161</wp:posOffset>
            </wp:positionV>
            <wp:extent cx="107988" cy="107988"/>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32" w:id="634"/>
      <w:bookmarkEnd w:id="634"/>
      <w:r>
        <w:rPr/>
      </w:r>
      <w:hyperlink w:history="true" w:anchor="_bookmark575">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Wrotham Park Estate Co v Parkside Homes [1974] 1 W.L.R. 798, </w:t>
      </w:r>
      <w:r>
        <w:rPr>
          <w:rFonts w:ascii="Arial"/>
          <w:i/>
          <w:spacing w:val="-4"/>
          <w:sz w:val="20"/>
        </w:rPr>
        <w:t>816</w:t>
      </w:r>
      <w:r>
        <w:rPr>
          <w:spacing w:val="-4"/>
          <w:sz w:val="20"/>
        </w:rPr>
        <w:t>.</w:t>
      </w:r>
    </w:p>
    <w:p>
      <w:pPr>
        <w:pStyle w:val="BodyText"/>
        <w:spacing w:before="9"/>
      </w:pPr>
    </w:p>
    <w:p>
      <w:pPr>
        <w:spacing w:line="235" w:lineRule="auto" w:before="0"/>
        <w:ind w:left="705" w:right="167" w:hanging="541"/>
        <w:jc w:val="both"/>
        <w:rPr>
          <w:sz w:val="20"/>
        </w:rPr>
      </w:pPr>
      <w:bookmarkStart w:name="_bookmark633" w:id="635"/>
      <w:bookmarkEnd w:id="635"/>
      <w:r>
        <w:rPr/>
      </w:r>
      <w:hyperlink w:history="true" w:anchor="_bookmark576">
        <w:r>
          <w:rPr>
            <w:color w:val="005DA1"/>
            <w:position w:val="5"/>
            <w:sz w:val="14"/>
            <w:u w:val="single" w:color="005DA1"/>
          </w:rPr>
          <w:t>328</w:t>
        </w:r>
      </w:hyperlink>
      <w:r>
        <w:rPr>
          <w:position w:val="5"/>
          <w:sz w:val="14"/>
        </w:rPr>
        <w:t>.</w:t>
      </w:r>
      <w:r>
        <w:rPr>
          <w:spacing w:val="40"/>
          <w:position w:val="5"/>
          <w:sz w:val="14"/>
        </w:rPr>
        <w:t>  </w:t>
      </w:r>
      <w:r>
        <w:rPr>
          <w:rFonts w:ascii="Arial"/>
          <w:i/>
          <w:sz w:val="20"/>
        </w:rPr>
        <w:t>[2003] EWCA Civ 323 </w:t>
      </w:r>
      <w:r>
        <w:rPr>
          <w:sz w:val="20"/>
        </w:rPr>
        <w:t>at [46]. In a case of trespass and breach of covenant it was held that the damages should be assessed on the basis of the period of the trespass that actually occurred, not of some longer period for which the defendants might have tried to negotiate: </w:t>
      </w:r>
      <w:r>
        <w:rPr>
          <w:rFonts w:ascii="Arial"/>
          <w:i/>
          <w:sz w:val="20"/>
        </w:rPr>
        <w:t>Eaton Mansions (Westminster) Ltd v Stinger Compania de Inversion SA [2013] EWCA Civ </w:t>
      </w:r>
      <w:r>
        <w:rPr>
          <w:rFonts w:ascii="Arial"/>
          <w:i/>
          <w:sz w:val="20"/>
        </w:rPr>
        <w:t>1308, [2014] H.L.R. 4 </w:t>
      </w:r>
      <w:r>
        <w:rPr>
          <w:sz w:val="20"/>
        </w:rPr>
        <w:t>especially at [21].</w:t>
      </w:r>
    </w:p>
    <w:p>
      <w:pPr>
        <w:pStyle w:val="BodyText"/>
        <w:spacing w:before="4"/>
      </w:pPr>
    </w:p>
    <w:p>
      <w:pPr>
        <w:tabs>
          <w:tab w:pos="705" w:val="left" w:leader="none"/>
        </w:tabs>
        <w:spacing w:before="0"/>
        <w:ind w:left="165" w:right="0" w:firstLine="0"/>
        <w:jc w:val="left"/>
        <w:rPr>
          <w:sz w:val="20"/>
        </w:rPr>
      </w:pPr>
      <w:bookmarkStart w:name="_bookmark634" w:id="636"/>
      <w:bookmarkEnd w:id="636"/>
      <w:r>
        <w:rPr/>
      </w:r>
      <w:hyperlink w:history="true" w:anchor="_bookmark577">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[2010] EWHC 424 (Ch)</w:t>
      </w:r>
      <w:r>
        <w:rPr>
          <w:rFonts w:ascii="Arial"/>
          <w:i/>
          <w:spacing w:val="-1"/>
          <w:sz w:val="20"/>
        </w:rPr>
        <w:t> </w:t>
      </w:r>
      <w:r>
        <w:rPr>
          <w:sz w:val="20"/>
        </w:rPr>
        <w:t>at </w:t>
      </w:r>
      <w:r>
        <w:rPr>
          <w:spacing w:val="-2"/>
          <w:sz w:val="20"/>
        </w:rPr>
        <w:t>[292].</w:t>
      </w:r>
    </w:p>
    <w:p>
      <w:pPr>
        <w:pStyle w:val="BodyText"/>
        <w:spacing w:before="9"/>
      </w:pPr>
    </w:p>
    <w:p>
      <w:pPr>
        <w:tabs>
          <w:tab w:pos="705" w:val="left" w:leader="none"/>
        </w:tabs>
        <w:spacing w:line="235" w:lineRule="auto" w:before="0"/>
        <w:ind w:left="705" w:right="168" w:hanging="541"/>
        <w:jc w:val="left"/>
        <w:rPr>
          <w:sz w:val="20"/>
        </w:rPr>
      </w:pPr>
      <w:bookmarkStart w:name="_bookmark635" w:id="637"/>
      <w:bookmarkEnd w:id="637"/>
      <w:r>
        <w:rPr/>
      </w:r>
      <w:hyperlink w:history="true" w:anchor="_bookmark578">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Pell</w:t>
      </w:r>
      <w:r>
        <w:rPr>
          <w:rFonts w:ascii="Arial"/>
          <w:i/>
          <w:spacing w:val="22"/>
          <w:sz w:val="20"/>
        </w:rPr>
        <w:t> </w:t>
      </w:r>
      <w:r>
        <w:rPr>
          <w:rFonts w:ascii="Arial"/>
          <w:i/>
          <w:sz w:val="20"/>
        </w:rPr>
        <w:t>Frischmann</w:t>
      </w:r>
      <w:r>
        <w:rPr>
          <w:rFonts w:ascii="Arial"/>
          <w:i/>
          <w:spacing w:val="22"/>
          <w:sz w:val="20"/>
        </w:rPr>
        <w:t> </w:t>
      </w:r>
      <w:r>
        <w:rPr>
          <w:rFonts w:ascii="Arial"/>
          <w:i/>
          <w:sz w:val="20"/>
        </w:rPr>
        <w:t>Engineering</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Bow</w:t>
      </w:r>
      <w:r>
        <w:rPr>
          <w:rFonts w:ascii="Arial"/>
          <w:i/>
          <w:spacing w:val="22"/>
          <w:sz w:val="20"/>
        </w:rPr>
        <w:t> </w:t>
      </w:r>
      <w:r>
        <w:rPr>
          <w:rFonts w:ascii="Arial"/>
          <w:i/>
          <w:sz w:val="20"/>
        </w:rPr>
        <w:t>Valley</w:t>
      </w:r>
      <w:r>
        <w:rPr>
          <w:rFonts w:ascii="Arial"/>
          <w:i/>
          <w:spacing w:val="22"/>
          <w:sz w:val="20"/>
        </w:rPr>
        <w:t> </w:t>
      </w:r>
      <w:r>
        <w:rPr>
          <w:rFonts w:ascii="Arial"/>
          <w:i/>
          <w:sz w:val="20"/>
        </w:rPr>
        <w:t>Iran</w:t>
      </w:r>
      <w:r>
        <w:rPr>
          <w:rFonts w:ascii="Arial"/>
          <w:i/>
          <w:spacing w:val="22"/>
          <w:sz w:val="20"/>
        </w:rPr>
        <w:t> </w:t>
      </w:r>
      <w:r>
        <w:rPr>
          <w:rFonts w:ascii="Arial"/>
          <w:i/>
          <w:sz w:val="20"/>
        </w:rPr>
        <w:t>Ltd</w:t>
      </w:r>
      <w:r>
        <w:rPr>
          <w:rFonts w:ascii="Arial"/>
          <w:i/>
          <w:spacing w:val="22"/>
          <w:sz w:val="20"/>
        </w:rPr>
        <w:t> </w:t>
      </w:r>
      <w:r>
        <w:rPr>
          <w:rFonts w:ascii="Arial"/>
          <w:i/>
          <w:sz w:val="20"/>
        </w:rPr>
        <w:t>[2009]</w:t>
      </w:r>
      <w:r>
        <w:rPr>
          <w:rFonts w:ascii="Arial"/>
          <w:i/>
          <w:spacing w:val="22"/>
          <w:sz w:val="20"/>
        </w:rPr>
        <w:t> </w:t>
      </w:r>
      <w:r>
        <w:rPr>
          <w:rFonts w:ascii="Arial"/>
          <w:i/>
          <w:sz w:val="20"/>
        </w:rPr>
        <w:t>UKPC</w:t>
      </w:r>
      <w:r>
        <w:rPr>
          <w:rFonts w:ascii="Arial"/>
          <w:i/>
          <w:spacing w:val="22"/>
          <w:sz w:val="20"/>
        </w:rPr>
        <w:t> </w:t>
      </w:r>
      <w:r>
        <w:rPr>
          <w:rFonts w:ascii="Arial"/>
          <w:i/>
          <w:sz w:val="20"/>
        </w:rPr>
        <w:t>45,</w:t>
      </w:r>
      <w:r>
        <w:rPr>
          <w:rFonts w:ascii="Arial"/>
          <w:i/>
          <w:spacing w:val="22"/>
          <w:sz w:val="20"/>
        </w:rPr>
        <w:t> </w:t>
      </w:r>
      <w:r>
        <w:rPr>
          <w:rFonts w:ascii="Arial"/>
          <w:i/>
          <w:sz w:val="20"/>
        </w:rPr>
        <w:t>[2010]</w:t>
      </w:r>
      <w:r>
        <w:rPr>
          <w:rFonts w:ascii="Arial"/>
          <w:i/>
          <w:spacing w:val="22"/>
          <w:sz w:val="20"/>
        </w:rPr>
        <w:t> </w:t>
      </w:r>
      <w:r>
        <w:rPr>
          <w:rFonts w:ascii="Arial"/>
          <w:i/>
          <w:sz w:val="20"/>
        </w:rPr>
        <w:t>B.L.R.</w:t>
      </w:r>
      <w:r>
        <w:rPr>
          <w:rFonts w:ascii="Arial"/>
          <w:i/>
          <w:spacing w:val="22"/>
          <w:sz w:val="20"/>
        </w:rPr>
        <w:t> </w:t>
      </w:r>
      <w:r>
        <w:rPr>
          <w:rFonts w:ascii="Arial"/>
          <w:i/>
          <w:sz w:val="20"/>
        </w:rPr>
        <w:t>73</w:t>
      </w:r>
      <w:r>
        <w:rPr>
          <w:rFonts w:ascii="Arial"/>
          <w:i/>
          <w:spacing w:val="21"/>
          <w:sz w:val="20"/>
        </w:rPr>
        <w:t> </w:t>
      </w:r>
      <w:r>
        <w:rPr>
          <w:sz w:val="20"/>
        </w:rPr>
        <w:t>at </w:t>
      </w:r>
      <w:r>
        <w:rPr>
          <w:spacing w:val="-2"/>
          <w:sz w:val="20"/>
        </w:rPr>
        <w:t>[49].</w:t>
      </w:r>
    </w:p>
    <w:p>
      <w:pPr>
        <w:pStyle w:val="BodyText"/>
        <w:spacing w:before="5"/>
      </w:pPr>
    </w:p>
    <w:p>
      <w:pPr>
        <w:tabs>
          <w:tab w:pos="705" w:val="left" w:leader="none"/>
        </w:tabs>
        <w:spacing w:before="0"/>
        <w:ind w:left="165" w:right="0" w:firstLine="0"/>
        <w:jc w:val="left"/>
        <w:rPr>
          <w:sz w:val="20"/>
        </w:rPr>
      </w:pPr>
      <w:bookmarkStart w:name="_bookmark636" w:id="638"/>
      <w:bookmarkEnd w:id="638"/>
      <w:r>
        <w:rPr/>
      </w:r>
      <w:hyperlink w:history="true" w:anchor="_bookmark579">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UKPC 45</w:t>
      </w:r>
      <w:r>
        <w:rPr>
          <w:rFonts w:ascii="Arial"/>
          <w:i/>
          <w:spacing w:val="-1"/>
          <w:sz w:val="20"/>
        </w:rPr>
        <w:t> </w:t>
      </w:r>
      <w:r>
        <w:rPr>
          <w:sz w:val="20"/>
        </w:rPr>
        <w:t>at </w:t>
      </w:r>
      <w:r>
        <w:rPr>
          <w:spacing w:val="-2"/>
          <w:sz w:val="20"/>
        </w:rPr>
        <w:t>[53].</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637" w:id="639"/>
      <w:bookmarkEnd w:id="639"/>
      <w:r>
        <w:rPr/>
      </w:r>
      <w:hyperlink w:history="true" w:anchor="_bookmark580">
        <w:r>
          <w:rPr>
            <w:color w:val="005DA1"/>
            <w:spacing w:val="-4"/>
            <w:sz w:val="14"/>
            <w:u w:val="single" w:color="005DA1"/>
          </w:rPr>
          <w:t>332</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Pell Frischmann Engineering Ltd v Bow Valley Iran Ltd [2009] UKPC 45, [2010] B.L.R. 73 </w:t>
      </w:r>
      <w:r>
        <w:rPr>
          <w:sz w:val="20"/>
        </w:rPr>
        <w:t>at [50]–[51]. See also </w:t>
      </w:r>
      <w:r>
        <w:rPr>
          <w:rFonts w:ascii="Arial" w:hAnsi="Arial"/>
          <w:i/>
          <w:sz w:val="20"/>
        </w:rPr>
        <w:t>Marathon Asset Management LLP v Seddon [2017] EWHC 300 (Comm), [2017] I.C.R. 791 </w:t>
      </w:r>
      <w:r>
        <w:rPr>
          <w:sz w:val="20"/>
        </w:rPr>
        <w:t>at [245]–[252].</w:t>
      </w:r>
    </w:p>
    <w:p>
      <w:pPr>
        <w:pStyle w:val="BodyText"/>
        <w:spacing w:before="192"/>
      </w:pPr>
    </w:p>
    <w:p>
      <w:pPr>
        <w:spacing w:before="1"/>
        <w:ind w:left="0" w:right="544" w:firstLine="0"/>
        <w:jc w:val="center"/>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-671428</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4. - Measures that are not Strictly </w:t>
      </w:r>
      <w:r>
        <w:rPr>
          <w:rFonts w:ascii="Arial"/>
          <w:b/>
          <w:spacing w:val="-2"/>
          <w:sz w:val="24"/>
        </w:rPr>
        <w:t>Compensatory</w:t>
      </w:r>
    </w:p>
    <w:p>
      <w:pPr>
        <w:spacing w:before="194"/>
        <w:ind w:left="3372" w:right="0" w:firstLine="0"/>
        <w:jc w:val="left"/>
        <w:rPr>
          <w:rFonts w:ascii="Arial"/>
          <w:b/>
          <w:sz w:val="24"/>
        </w:rPr>
      </w:pPr>
      <w:r>
        <w:rPr>
          <w:rFonts w:ascii="Arial"/>
          <w:b/>
          <w:sz w:val="24"/>
        </w:rPr>
        <w:t>(d) - Account of </w:t>
      </w:r>
      <w:r>
        <w:rPr>
          <w:rFonts w:ascii="Arial"/>
          <w:b/>
          <w:spacing w:val="-2"/>
          <w:sz w:val="24"/>
        </w:rPr>
        <w:t>Profits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Total disgorgement by an account of </w:t>
      </w:r>
      <w:r>
        <w:rPr>
          <w:rFonts w:ascii="Arial"/>
          <w:b/>
          <w:spacing w:val="-2"/>
          <w:sz w:val="18"/>
        </w:rPr>
        <w:t>profits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055</w:t>
      </w:r>
    </w:p>
    <w:p>
      <w:pPr>
        <w:pStyle w:val="BodyText"/>
        <w:spacing w:line="235" w:lineRule="auto" w:before="202"/>
        <w:ind w:left="165" w:right="167"/>
        <w:jc w:val="both"/>
      </w:pPr>
      <w:bookmarkStart w:name="_bookmark638" w:id="640"/>
      <w:bookmarkEnd w:id="640"/>
      <w:r>
        <w:rPr/>
      </w:r>
      <w:bookmarkStart w:name="_bookmark639" w:id="641"/>
      <w:bookmarkEnd w:id="641"/>
      <w:r>
        <w:rPr/>
      </w:r>
      <w:r>
        <w:rPr/>
        <w:t>In </w:t>
      </w:r>
      <w:r>
        <w:rPr>
          <w:rFonts w:ascii="Arial" w:hAnsi="Arial"/>
          <w:i/>
        </w:rPr>
        <w:t>Att-Gen v Blake </w:t>
      </w:r>
      <w:r>
        <w:rPr>
          <w:color w:val="005DA1"/>
          <w:u w:val="single" w:color="005DA1"/>
          <w:vertAlign w:val="superscript"/>
        </w:rPr>
        <w:t>333</w:t>
      </w:r>
      <w:r>
        <w:rPr>
          <w:color w:val="005DA1"/>
          <w:vertAlign w:val="baseline"/>
        </w:rPr>
        <w:t> </w:t>
      </w:r>
      <w:r>
        <w:rPr>
          <w:vertAlign w:val="baseline"/>
        </w:rPr>
        <w:t>the traitor Blake had written and published a book in breach of </w:t>
      </w:r>
      <w:r>
        <w:rPr>
          <w:vertAlign w:val="baseline"/>
        </w:rPr>
        <w:t>the</w:t>
      </w:r>
      <w:r>
        <w:rPr>
          <w:spacing w:val="40"/>
          <w:vertAlign w:val="baseline"/>
        </w:rPr>
        <w:t> </w:t>
      </w:r>
      <w:r>
        <w:rPr>
          <w:vertAlign w:val="baseline"/>
        </w:rPr>
        <w:t>confidentiality agreement made by him when he entered the Secret Intelligence Service. </w:t>
      </w:r>
      <w:r>
        <w:rPr>
          <w:color w:val="005DA1"/>
          <w:u w:val="single" w:color="005DA1"/>
          <w:vertAlign w:val="superscript"/>
        </w:rPr>
        <w:t>334</w:t>
      </w:r>
      <w:r>
        <w:rPr>
          <w:color w:val="005DA1"/>
          <w:vertAlign w:val="baseline"/>
        </w:rPr>
        <w:t> </w:t>
      </w:r>
      <w:r>
        <w:rPr>
          <w:vertAlign w:val="baseline"/>
        </w:rPr>
        <w:t>The House of Lords gave the claimant the “exceptional” remedy of an account of profits, which would amount to a total disgorgement of the profits made by the defendant as a result of the breach. Their Lordships avoided any definition of “exceptional” circumstances which would justify an account of profits as the remedy for breach of contract.</w:t>
      </w:r>
    </w:p>
    <w:p>
      <w:pPr>
        <w:pStyle w:val="BodyText"/>
      </w:pPr>
    </w:p>
    <w:p>
      <w:pPr>
        <w:pStyle w:val="BodyText"/>
        <w:spacing w:before="125"/>
      </w:pPr>
    </w:p>
    <w:p>
      <w:pPr>
        <w:pStyle w:val="BodyText"/>
        <w:spacing w:line="235" w:lineRule="auto"/>
        <w:ind w:left="1245" w:right="167"/>
        <w:jc w:val="both"/>
      </w:pPr>
      <w:r>
        <w:rPr/>
        <w:t>“Normally the remedies of damages, specific performance and injunction, coupled </w:t>
      </w:r>
      <w:r>
        <w:rPr/>
        <w:t>with</w:t>
      </w:r>
      <w:r>
        <w:rPr>
          <w:spacing w:val="40"/>
        </w:rPr>
        <w:t> </w:t>
      </w:r>
      <w:r>
        <w:rPr/>
        <w:t>the characterisation of some contractual obligations as fiduciary, will provide an adequate </w:t>
      </w:r>
      <w:bookmarkStart w:name="_bookmark640" w:id="642"/>
      <w:bookmarkEnd w:id="642"/>
      <w:r>
        <w:rPr/>
        <w:t>response</w:t>
      </w:r>
      <w:r>
        <w:rPr/>
        <w:t> to a breach of contract. It will be only in exceptional cases, where those remedies</w:t>
      </w:r>
      <w:r>
        <w:rPr>
          <w:spacing w:val="-2"/>
        </w:rPr>
        <w:t> </w:t>
      </w:r>
      <w:r>
        <w:rPr/>
        <w:t>are</w:t>
      </w:r>
      <w:r>
        <w:rPr>
          <w:spacing w:val="-2"/>
        </w:rPr>
        <w:t> </w:t>
      </w:r>
      <w:r>
        <w:rPr/>
        <w:t>inadequate,</w:t>
      </w:r>
      <w:r>
        <w:rPr>
          <w:spacing w:val="-2"/>
        </w:rPr>
        <w:t> </w:t>
      </w:r>
      <w:r>
        <w:rPr/>
        <w:t>that</w:t>
      </w:r>
      <w:r>
        <w:rPr>
          <w:spacing w:val="-2"/>
        </w:rPr>
        <w:t> </w:t>
      </w:r>
      <w:r>
        <w:rPr/>
        <w:t>any</w:t>
      </w:r>
      <w:r>
        <w:rPr>
          <w:spacing w:val="-2"/>
        </w:rPr>
        <w:t> </w:t>
      </w:r>
      <w:r>
        <w:rPr/>
        <w:t>question</w:t>
      </w:r>
      <w:r>
        <w:rPr>
          <w:spacing w:val="-2"/>
        </w:rPr>
        <w:t> </w:t>
      </w:r>
      <w:r>
        <w:rPr/>
        <w:t>of</w:t>
      </w:r>
      <w:r>
        <w:rPr>
          <w:spacing w:val="-2"/>
        </w:rPr>
        <w:t> </w:t>
      </w:r>
      <w:r>
        <w:rPr/>
        <w:t>accounting</w:t>
      </w:r>
      <w:r>
        <w:rPr>
          <w:spacing w:val="-2"/>
        </w:rPr>
        <w:t> </w:t>
      </w:r>
      <w:r>
        <w:rPr/>
        <w:t>for</w:t>
      </w:r>
      <w:r>
        <w:rPr>
          <w:spacing w:val="-2"/>
        </w:rPr>
        <w:t> </w:t>
      </w:r>
      <w:r>
        <w:rPr/>
        <w:t>profits</w:t>
      </w:r>
      <w:r>
        <w:rPr>
          <w:spacing w:val="-2"/>
        </w:rPr>
        <w:t> </w:t>
      </w:r>
      <w:r>
        <w:rPr/>
        <w:t>will</w:t>
      </w:r>
      <w:r>
        <w:rPr>
          <w:spacing w:val="-2"/>
        </w:rPr>
        <w:t> </w:t>
      </w:r>
      <w:r>
        <w:rPr/>
        <w:t>arise.</w:t>
      </w:r>
      <w:r>
        <w:rPr>
          <w:spacing w:val="-3"/>
        </w:rPr>
        <w:t> </w:t>
      </w:r>
      <w:r>
        <w:rPr>
          <w:color w:val="005DA1"/>
          <w:u w:val="single" w:color="005DA1"/>
          <w:vertAlign w:val="superscript"/>
        </w:rPr>
        <w:t>335</w:t>
      </w:r>
      <w:r>
        <w:rPr>
          <w:color w:val="005DA1"/>
          <w:spacing w:val="-2"/>
          <w:vertAlign w:val="baseline"/>
        </w:rPr>
        <w:t> </w:t>
      </w:r>
      <w:r>
        <w:rPr>
          <w:vertAlign w:val="baseline"/>
        </w:rPr>
        <w:t>No</w:t>
      </w:r>
      <w:r>
        <w:rPr>
          <w:spacing w:val="-2"/>
          <w:vertAlign w:val="baseline"/>
        </w:rPr>
        <w:t> </w:t>
      </w:r>
      <w:r>
        <w:rPr>
          <w:vertAlign w:val="baseline"/>
        </w:rPr>
        <w:t>fixed rules can be prescribed. The court will have regard to all the circumstances, including the subject matter of the contract, the purpose of the contractual provision which has been breached, the circumstances in which the breach occurred, the consequences of the breach and the circumstances in which relief is being sought. A useful general guide, although not exhaustive, is whether the plaintiff had a legitimate interest in preventing the defendant’s profit-making activity and, hence, in depriving him of his profit.</w:t>
      </w:r>
    </w:p>
    <w:p>
      <w:pPr>
        <w:pStyle w:val="BodyText"/>
        <w:spacing w:before="216"/>
      </w:pPr>
    </w:p>
    <w:p>
      <w:pPr>
        <w:pStyle w:val="BodyText"/>
        <w:ind w:left="1245"/>
        <w:jc w:val="both"/>
      </w:pPr>
      <w:bookmarkStart w:name="_bookmark641" w:id="643"/>
      <w:bookmarkEnd w:id="643"/>
      <w:r>
        <w:rPr/>
      </w:r>
      <w:r>
        <w:rPr/>
        <w:t>It would be difficult, and unwise, to attempt to be more specific …”</w:t>
      </w:r>
      <w:r>
        <w:rPr>
          <w:spacing w:val="-1"/>
        </w:rPr>
        <w:t> </w:t>
      </w:r>
      <w:r>
        <w:rPr>
          <w:color w:val="005DA1"/>
          <w:spacing w:val="-5"/>
          <w:u w:val="single" w:color="005DA1"/>
          <w:vertAlign w:val="superscript"/>
        </w:rPr>
        <w:t>336</w:t>
      </w:r>
    </w:p>
    <w:p>
      <w:pPr>
        <w:pStyle w:val="BodyText"/>
        <w:spacing w:before="115"/>
      </w:pPr>
    </w:p>
    <w:p>
      <w:pPr>
        <w:pStyle w:val="BodyText"/>
        <w:spacing w:line="235" w:lineRule="auto"/>
        <w:ind w:left="165" w:right="167"/>
        <w:jc w:val="both"/>
      </w:pPr>
      <w:r>
        <w:rPr/>
        <w:t>It appears that no one factor is crucial. But judges have given some factors which may be relevant </w:t>
      </w:r>
      <w:r>
        <w:rPr/>
        <w:t>to their decision:</w:t>
      </w:r>
    </w:p>
    <w:p>
      <w:pPr>
        <w:pStyle w:val="BodyText"/>
      </w:pPr>
    </w:p>
    <w:p>
      <w:pPr>
        <w:pStyle w:val="BodyText"/>
        <w:spacing w:before="196"/>
      </w:pPr>
    </w:p>
    <w:p>
      <w:pPr>
        <w:pStyle w:val="BodyText"/>
        <w:ind w:left="165"/>
      </w:pPr>
      <w:r>
        <w:rPr>
          <w:spacing w:val="-5"/>
        </w:rPr>
        <w:t>(a)</w:t>
      </w:r>
    </w:p>
    <w:p>
      <w:pPr>
        <w:pStyle w:val="BodyText"/>
        <w:spacing w:line="235" w:lineRule="auto" w:before="114"/>
        <w:ind w:left="645" w:right="167"/>
        <w:jc w:val="both"/>
      </w:pPr>
      <w:r>
        <w:rPr/>
        <w:t>The</w:t>
      </w:r>
      <w:r>
        <w:rPr>
          <w:spacing w:val="-3"/>
        </w:rPr>
        <w:t> </w:t>
      </w:r>
      <w:r>
        <w:rPr/>
        <w:t>moral</w:t>
      </w:r>
      <w:r>
        <w:rPr>
          <w:spacing w:val="-3"/>
        </w:rPr>
        <w:t> </w:t>
      </w:r>
      <w:r>
        <w:rPr/>
        <w:t>character</w:t>
      </w:r>
      <w:r>
        <w:rPr>
          <w:spacing w:val="-3"/>
        </w:rPr>
        <w:t> </w:t>
      </w:r>
      <w:r>
        <w:rPr/>
        <w:t>of</w:t>
      </w:r>
      <w:r>
        <w:rPr>
          <w:spacing w:val="-3"/>
        </w:rPr>
        <w:t> </w:t>
      </w:r>
      <w:r>
        <w:rPr/>
        <w:t>the</w:t>
      </w:r>
      <w:r>
        <w:rPr>
          <w:spacing w:val="-3"/>
        </w:rPr>
        <w:t> </w:t>
      </w:r>
      <w:r>
        <w:rPr/>
        <w:t>defendant’s</w:t>
      </w:r>
      <w:r>
        <w:rPr>
          <w:spacing w:val="-3"/>
        </w:rPr>
        <w:t> </w:t>
      </w:r>
      <w:r>
        <w:rPr/>
        <w:t>conduct</w:t>
      </w:r>
      <w:r>
        <w:rPr>
          <w:spacing w:val="-3"/>
        </w:rPr>
        <w:t> </w:t>
      </w:r>
      <w:r>
        <w:rPr/>
        <w:t>in</w:t>
      </w:r>
      <w:r>
        <w:rPr>
          <w:spacing w:val="-3"/>
        </w:rPr>
        <w:t> </w:t>
      </w:r>
      <w:r>
        <w:rPr/>
        <w:t>breaching,</w:t>
      </w:r>
      <w:r>
        <w:rPr>
          <w:spacing w:val="-3"/>
        </w:rPr>
        <w:t> </w:t>
      </w:r>
      <w:r>
        <w:rPr/>
        <w:t>e.g.</w:t>
      </w:r>
      <w:r>
        <w:rPr>
          <w:spacing w:val="-3"/>
        </w:rPr>
        <w:t> </w:t>
      </w:r>
      <w:r>
        <w:rPr/>
        <w:t>was</w:t>
      </w:r>
      <w:r>
        <w:rPr>
          <w:spacing w:val="-3"/>
        </w:rPr>
        <w:t> </w:t>
      </w:r>
      <w:r>
        <w:rPr/>
        <w:t>it</w:t>
      </w:r>
      <w:r>
        <w:rPr>
          <w:spacing w:val="-3"/>
        </w:rPr>
        <w:t> </w:t>
      </w:r>
      <w:r>
        <w:rPr/>
        <w:t>“deliberate</w:t>
      </w:r>
      <w:r>
        <w:rPr>
          <w:spacing w:val="-3"/>
        </w:rPr>
        <w:t> </w:t>
      </w:r>
      <w:r>
        <w:rPr/>
        <w:t>and</w:t>
      </w:r>
      <w:r>
        <w:rPr>
          <w:spacing w:val="-3"/>
        </w:rPr>
        <w:t> </w:t>
      </w:r>
      <w:r>
        <w:rPr/>
        <w:t>cynical”; did</w:t>
      </w:r>
      <w:r>
        <w:rPr>
          <w:spacing w:val="-1"/>
        </w:rPr>
        <w:t> </w:t>
      </w:r>
      <w:r>
        <w:rPr/>
        <w:t>it</w:t>
      </w:r>
      <w:r>
        <w:rPr>
          <w:spacing w:val="-1"/>
        </w:rPr>
        <w:t> </w:t>
      </w:r>
      <w:r>
        <w:rPr/>
        <w:t>involve</w:t>
      </w:r>
      <w:r>
        <w:rPr>
          <w:spacing w:val="-1"/>
        </w:rPr>
        <w:t> </w:t>
      </w:r>
      <w:r>
        <w:rPr/>
        <w:t>“doing</w:t>
      </w:r>
      <w:r>
        <w:rPr>
          <w:spacing w:val="-1"/>
        </w:rPr>
        <w:t> </w:t>
      </w:r>
      <w:r>
        <w:rPr/>
        <w:t>exactly</w:t>
      </w:r>
      <w:r>
        <w:rPr>
          <w:spacing w:val="-1"/>
        </w:rPr>
        <w:t> </w:t>
      </w:r>
      <w:r>
        <w:rPr/>
        <w:t>what</w:t>
      </w:r>
      <w:r>
        <w:rPr>
          <w:spacing w:val="-1"/>
        </w:rPr>
        <w:t> </w:t>
      </w:r>
      <w:r>
        <w:rPr/>
        <w:t>one</w:t>
      </w:r>
      <w:r>
        <w:rPr>
          <w:spacing w:val="-1"/>
        </w:rPr>
        <w:t> </w:t>
      </w:r>
      <w:r>
        <w:rPr/>
        <w:t>promised</w:t>
      </w:r>
      <w:r>
        <w:rPr>
          <w:spacing w:val="-1"/>
        </w:rPr>
        <w:t> </w:t>
      </w:r>
      <w:r>
        <w:rPr/>
        <w:t>not</w:t>
      </w:r>
      <w:r>
        <w:rPr>
          <w:spacing w:val="-1"/>
        </w:rPr>
        <w:t> </w:t>
      </w:r>
      <w:r>
        <w:rPr/>
        <w:t>to</w:t>
      </w:r>
      <w:r>
        <w:rPr>
          <w:spacing w:val="-1"/>
        </w:rPr>
        <w:t> </w:t>
      </w:r>
      <w:r>
        <w:rPr/>
        <w:t>do”?</w:t>
      </w:r>
      <w:r>
        <w:rPr>
          <w:spacing w:val="-1"/>
        </w:rPr>
        <w:t> </w:t>
      </w:r>
      <w:r>
        <w:rPr/>
        <w:t>In</w:t>
      </w:r>
      <w:r>
        <w:rPr>
          <w:spacing w:val="-2"/>
        </w:rPr>
        <w:t> </w:t>
      </w:r>
      <w:r>
        <w:rPr>
          <w:rFonts w:ascii="Arial" w:hAnsi="Arial"/>
          <w:i/>
        </w:rPr>
        <w:t>Blake</w:t>
      </w:r>
      <w:r>
        <w:rPr/>
        <w:t>,</w:t>
      </w:r>
      <w:r>
        <w:rPr>
          <w:spacing w:val="-1"/>
        </w:rPr>
        <w:t> </w:t>
      </w:r>
      <w:r>
        <w:rPr/>
        <w:t>Lord</w:t>
      </w:r>
      <w:r>
        <w:rPr>
          <w:spacing w:val="-1"/>
        </w:rPr>
        <w:t> </w:t>
      </w:r>
      <w:r>
        <w:rPr/>
        <w:t>Nicholls</w:t>
      </w:r>
      <w:r>
        <w:rPr>
          <w:spacing w:val="-1"/>
        </w:rPr>
        <w:t> </w:t>
      </w:r>
      <w:r>
        <w:rPr/>
        <w:t>said</w:t>
      </w:r>
      <w:r>
        <w:rPr>
          <w:spacing w:val="-1"/>
        </w:rPr>
        <w:t> </w:t>
      </w:r>
      <w:r>
        <w:rPr/>
        <w:t>that</w:t>
      </w:r>
      <w:r>
        <w:rPr>
          <w:spacing w:val="-1"/>
        </w:rPr>
        <w:t> </w:t>
      </w:r>
      <w:r>
        <w:rPr/>
        <w:t>none of the following facts “would be, by itself, a good reason for ordering an account of profits”:</w:t>
      </w:r>
    </w:p>
    <w:p>
      <w:pPr>
        <w:pStyle w:val="BodyText"/>
      </w:pPr>
    </w:p>
    <w:p>
      <w:pPr>
        <w:pStyle w:val="BodyText"/>
        <w:spacing w:before="125"/>
      </w:pPr>
    </w:p>
    <w:p>
      <w:pPr>
        <w:pStyle w:val="BodyText"/>
        <w:spacing w:line="235" w:lineRule="auto"/>
        <w:ind w:left="1545" w:right="167"/>
        <w:jc w:val="both"/>
      </w:pPr>
      <w:r>
        <w:rPr/>
        <w:t>“… the fact that the breach was cynical and deliberate; the fact that the </w:t>
      </w:r>
      <w:r>
        <w:rPr/>
        <w:t>breach enabled the defendant to enter into a more profitable contract elsewhere; and the fact </w:t>
      </w:r>
      <w:bookmarkStart w:name="_bookmark642" w:id="644"/>
      <w:bookmarkEnd w:id="644"/>
      <w:r>
        <w:rPr/>
        <w:t>that</w:t>
      </w:r>
      <w:r>
        <w:rPr/>
        <w:t> by entering into a new and more profitable contract the defendant put it out of his power to perform his contract with the plaintiff.” </w:t>
      </w:r>
      <w:r>
        <w:rPr>
          <w:color w:val="005DA1"/>
          <w:u w:val="single" w:color="005DA1"/>
          <w:vertAlign w:val="superscript"/>
        </w:rPr>
        <w:t>337</w:t>
      </w:r>
    </w:p>
    <w:p>
      <w:pPr>
        <w:pStyle w:val="BodyText"/>
        <w:spacing w:after="0" w:line="235" w:lineRule="auto"/>
        <w:jc w:val="both"/>
        <w:sectPr>
          <w:headerReference w:type="default" r:id="rId23"/>
          <w:pgSz w:w="11900" w:h="16840"/>
          <w:pgMar w:header="971" w:footer="0" w:top="1300" w:bottom="280" w:left="1275" w:right="1275"/>
          <w:pgNumType w:start="1"/>
        </w:sectPr>
      </w:pPr>
    </w:p>
    <w:p>
      <w:pPr>
        <w:pStyle w:val="BodyText"/>
        <w:spacing w:before="60"/>
      </w:pPr>
    </w:p>
    <w:p>
      <w:pPr>
        <w:pStyle w:val="BodyText"/>
        <w:spacing w:line="235" w:lineRule="auto"/>
        <w:ind w:left="644" w:right="167"/>
        <w:jc w:val="both"/>
      </w:pPr>
      <w:r>
        <w:rPr/>
        <w:t>But his words imply that these lacks might contribute to the cumulative weight in favour of </w:t>
      </w:r>
      <w:r>
        <w:rPr/>
        <w:t>the </w:t>
      </w:r>
      <w:bookmarkStart w:name="_bookmark643" w:id="645"/>
      <w:bookmarkEnd w:id="645"/>
      <w:r>
        <w:rPr/>
        <w:t>remedy.</w:t>
      </w:r>
      <w:r>
        <w:rPr/>
        <w:t> Other relevant factors in </w:t>
      </w:r>
      <w:r>
        <w:rPr>
          <w:rFonts w:ascii="Arial" w:hAnsi="Arial"/>
          <w:i/>
        </w:rPr>
        <w:t>Blake </w:t>
      </w:r>
      <w:r>
        <w:rPr/>
        <w:t>were that the breach of contract involved committing a </w:t>
      </w:r>
      <w:bookmarkStart w:name="_bookmark644" w:id="646"/>
      <w:bookmarkEnd w:id="646"/>
      <w:r>
        <w:rPr/>
        <w:t>criminal</w:t>
      </w:r>
      <w:r>
        <w:rPr/>
        <w:t> offence </w:t>
      </w:r>
      <w:r>
        <w:rPr>
          <w:color w:val="005DA1"/>
          <w:u w:val="single" w:color="005DA1"/>
          <w:vertAlign w:val="superscript"/>
        </w:rPr>
        <w:t>338</w:t>
      </w:r>
      <w:r>
        <w:rPr>
          <w:vertAlign w:val="baseline"/>
        </w:rPr>
        <w:t>; and that he committed repeated breaches. </w:t>
      </w:r>
      <w:r>
        <w:rPr>
          <w:color w:val="005DA1"/>
          <w:u w:val="single" w:color="005DA1"/>
          <w:vertAlign w:val="superscript"/>
        </w:rPr>
        <w:t>339</w:t>
      </w:r>
      <w:r>
        <w:rPr>
          <w:color w:val="005DA1"/>
          <w:vertAlign w:val="baseline"/>
        </w:rPr>
        <w:t> </w:t>
      </w:r>
      <w:r>
        <w:rPr>
          <w:vertAlign w:val="baseline"/>
        </w:rPr>
        <w:t>In </w:t>
      </w:r>
      <w:r>
        <w:rPr>
          <w:rFonts w:ascii="Arial" w:hAnsi="Arial"/>
          <w:i/>
          <w:vertAlign w:val="baseline"/>
        </w:rPr>
        <w:t>Hendrix </w:t>
      </w:r>
      <w:r>
        <w:rPr>
          <w:vertAlign w:val="baseline"/>
        </w:rPr>
        <w:t>an account of </w:t>
      </w:r>
      <w:bookmarkStart w:name="_bookmark645" w:id="647"/>
      <w:bookmarkEnd w:id="647"/>
      <w:r>
        <w:rPr>
          <w:vertAlign w:val="baseline"/>
        </w:rPr>
        <w:t>profits</w:t>
      </w:r>
      <w:r>
        <w:rPr>
          <w:vertAlign w:val="baseline"/>
        </w:rPr>
        <w:t> was not awarded on the particular facts </w:t>
      </w:r>
      <w:r>
        <w:rPr>
          <w:color w:val="005DA1"/>
          <w:u w:val="single" w:color="005DA1"/>
          <w:vertAlign w:val="superscript"/>
        </w:rPr>
        <w:t>340</w:t>
      </w:r>
      <w:r>
        <w:rPr>
          <w:color w:val="005DA1"/>
          <w:vertAlign w:val="baseline"/>
        </w:rPr>
        <w:t> </w:t>
      </w:r>
      <w:r>
        <w:rPr>
          <w:vertAlign w:val="baseline"/>
        </w:rPr>
        <w:t>but it was recognised that such a remedy was </w:t>
      </w:r>
      <w:bookmarkStart w:name="_bookmark646" w:id="648"/>
      <w:bookmarkEnd w:id="648"/>
      <w:r>
        <w:rPr>
          <w:vertAlign w:val="baseline"/>
        </w:rPr>
        <w:t>possible</w:t>
      </w:r>
      <w:r>
        <w:rPr>
          <w:vertAlign w:val="baseline"/>
        </w:rPr>
        <w:t> in a commercial case </w:t>
      </w:r>
      <w:r>
        <w:rPr>
          <w:color w:val="005DA1"/>
          <w:u w:val="single" w:color="005DA1"/>
          <w:vertAlign w:val="superscript"/>
        </w:rPr>
        <w:t>341</w:t>
      </w:r>
      <w:r>
        <w:rPr>
          <w:vertAlign w:val="baseline"/>
        </w:rPr>
        <w:t>; in granting hypothetical bargain damages the Court of Appeal </w:t>
      </w:r>
      <w:bookmarkStart w:name="_bookmark647" w:id="649"/>
      <w:bookmarkEnd w:id="649"/>
      <w:r>
        <w:rPr>
          <w:vertAlign w:val="baseline"/>
        </w:rPr>
        <w:t>took</w:t>
      </w:r>
      <w:r>
        <w:rPr>
          <w:spacing w:val="1"/>
          <w:vertAlign w:val="baseline"/>
        </w:rPr>
        <w:t> </w:t>
      </w:r>
      <w:r>
        <w:rPr>
          <w:vertAlign w:val="baseline"/>
        </w:rPr>
        <w:t>into</w:t>
      </w:r>
      <w:r>
        <w:rPr>
          <w:spacing w:val="1"/>
          <w:vertAlign w:val="baseline"/>
        </w:rPr>
        <w:t> </w:t>
      </w:r>
      <w:r>
        <w:rPr>
          <w:vertAlign w:val="baseline"/>
        </w:rPr>
        <w:t>account</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“did</w:t>
      </w:r>
      <w:r>
        <w:rPr>
          <w:spacing w:val="1"/>
          <w:vertAlign w:val="baseline"/>
        </w:rPr>
        <w:t> </w:t>
      </w:r>
      <w:r>
        <w:rPr>
          <w:vertAlign w:val="baseline"/>
        </w:rPr>
        <w:t>do</w:t>
      </w:r>
      <w:r>
        <w:rPr>
          <w:spacing w:val="1"/>
          <w:vertAlign w:val="baseline"/>
        </w:rPr>
        <w:t> </w:t>
      </w:r>
      <w:r>
        <w:rPr>
          <w:vertAlign w:val="baseline"/>
        </w:rPr>
        <w:t>the</w:t>
      </w:r>
      <w:r>
        <w:rPr>
          <w:spacing w:val="1"/>
          <w:vertAlign w:val="baseline"/>
        </w:rPr>
        <w:t> </w:t>
      </w:r>
      <w:r>
        <w:rPr>
          <w:vertAlign w:val="baseline"/>
        </w:rPr>
        <w:t>very</w:t>
      </w:r>
      <w:r>
        <w:rPr>
          <w:spacing w:val="1"/>
          <w:vertAlign w:val="baseline"/>
        </w:rPr>
        <w:t> </w:t>
      </w:r>
      <w:r>
        <w:rPr>
          <w:vertAlign w:val="baseline"/>
        </w:rPr>
        <w:t>thing</w:t>
      </w:r>
      <w:r>
        <w:rPr>
          <w:spacing w:val="1"/>
          <w:vertAlign w:val="baseline"/>
        </w:rPr>
        <w:t> </w:t>
      </w:r>
      <w:r>
        <w:rPr>
          <w:vertAlign w:val="baseline"/>
        </w:rPr>
        <w:t>it</w:t>
      </w:r>
      <w:r>
        <w:rPr>
          <w:spacing w:val="1"/>
          <w:vertAlign w:val="baseline"/>
        </w:rPr>
        <w:t> </w:t>
      </w:r>
      <w:r>
        <w:rPr>
          <w:vertAlign w:val="baseline"/>
        </w:rPr>
        <w:t>had</w:t>
      </w:r>
      <w:r>
        <w:rPr>
          <w:spacing w:val="1"/>
          <w:vertAlign w:val="baseline"/>
        </w:rPr>
        <w:t> </w:t>
      </w:r>
      <w:r>
        <w:rPr>
          <w:vertAlign w:val="baseline"/>
        </w:rPr>
        <w:t>contracted</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do” </w:t>
      </w:r>
      <w:r>
        <w:rPr>
          <w:color w:val="005DA1"/>
          <w:spacing w:val="-5"/>
          <w:u w:val="single" w:color="005DA1"/>
          <w:vertAlign w:val="superscript"/>
        </w:rPr>
        <w:t>342</w:t>
      </w:r>
    </w:p>
    <w:p>
      <w:pPr>
        <w:pStyle w:val="BodyText"/>
        <w:spacing w:line="235" w:lineRule="auto"/>
        <w:ind w:left="645" w:right="168"/>
        <w:jc w:val="both"/>
      </w:pPr>
      <w:bookmarkStart w:name="_bookmark648" w:id="650"/>
      <w:bookmarkEnd w:id="650"/>
      <w:r>
        <w:rPr/>
      </w:r>
      <w:r>
        <w:rPr/>
        <w:t>;</w:t>
      </w:r>
      <w:r>
        <w:rPr>
          <w:spacing w:val="-1"/>
        </w:rPr>
        <w:t> </w:t>
      </w:r>
      <w:r>
        <w:rPr/>
        <w:t>that</w:t>
      </w:r>
      <w:r>
        <w:rPr>
          <w:spacing w:val="-1"/>
        </w:rPr>
        <w:t> </w:t>
      </w:r>
      <w:r>
        <w:rPr/>
        <w:t>the</w:t>
      </w:r>
      <w:r>
        <w:rPr>
          <w:spacing w:val="-1"/>
        </w:rPr>
        <w:t> </w:t>
      </w:r>
      <w:r>
        <w:rPr/>
        <w:t>defendant</w:t>
      </w:r>
      <w:r>
        <w:rPr>
          <w:spacing w:val="-1"/>
        </w:rPr>
        <w:t> </w:t>
      </w:r>
      <w:r>
        <w:rPr/>
        <w:t>“knew</w:t>
      </w:r>
      <w:r>
        <w:rPr>
          <w:spacing w:val="-1"/>
        </w:rPr>
        <w:t> </w:t>
      </w:r>
      <w:r>
        <w:rPr/>
        <w:t>that</w:t>
      </w:r>
      <w:r>
        <w:rPr>
          <w:spacing w:val="-1"/>
        </w:rPr>
        <w:t> </w:t>
      </w:r>
      <w:r>
        <w:rPr/>
        <w:t>it</w:t>
      </w:r>
      <w:r>
        <w:rPr>
          <w:spacing w:val="-1"/>
        </w:rPr>
        <w:t> </w:t>
      </w:r>
      <w:r>
        <w:rPr/>
        <w:t>was</w:t>
      </w:r>
      <w:r>
        <w:rPr>
          <w:spacing w:val="-1"/>
        </w:rPr>
        <w:t> </w:t>
      </w:r>
      <w:r>
        <w:rPr/>
        <w:t>doing</w:t>
      </w:r>
      <w:r>
        <w:rPr>
          <w:spacing w:val="-1"/>
        </w:rPr>
        <w:t> </w:t>
      </w:r>
      <w:r>
        <w:rPr/>
        <w:t>something</w:t>
      </w:r>
      <w:r>
        <w:rPr>
          <w:spacing w:val="-1"/>
        </w:rPr>
        <w:t> </w:t>
      </w:r>
      <w:r>
        <w:rPr/>
        <w:t>which</w:t>
      </w:r>
      <w:r>
        <w:rPr>
          <w:spacing w:val="-1"/>
        </w:rPr>
        <w:t> </w:t>
      </w:r>
      <w:r>
        <w:rPr/>
        <w:t>it</w:t>
      </w:r>
      <w:r>
        <w:rPr>
          <w:spacing w:val="-1"/>
        </w:rPr>
        <w:t> </w:t>
      </w:r>
      <w:r>
        <w:rPr/>
        <w:t>had</w:t>
      </w:r>
      <w:r>
        <w:rPr>
          <w:spacing w:val="-1"/>
        </w:rPr>
        <w:t> </w:t>
      </w:r>
      <w:r>
        <w:rPr/>
        <w:t>contracted</w:t>
      </w:r>
      <w:r>
        <w:rPr>
          <w:spacing w:val="-1"/>
        </w:rPr>
        <w:t> </w:t>
      </w:r>
      <w:r>
        <w:rPr/>
        <w:t>not</w:t>
      </w:r>
      <w:r>
        <w:rPr>
          <w:spacing w:val="-1"/>
        </w:rPr>
        <w:t> </w:t>
      </w:r>
      <w:r>
        <w:rPr/>
        <w:t>to</w:t>
      </w:r>
      <w:r>
        <w:rPr>
          <w:spacing w:val="-1"/>
        </w:rPr>
        <w:t> </w:t>
      </w:r>
      <w:r>
        <w:rPr/>
        <w:t>do”</w:t>
      </w:r>
      <w:r>
        <w:rPr>
          <w:spacing w:val="-2"/>
        </w:rPr>
        <w:t> </w:t>
      </w:r>
      <w:r>
        <w:rPr>
          <w:color w:val="005DA1"/>
          <w:u w:val="single" w:color="005DA1"/>
          <w:vertAlign w:val="superscript"/>
        </w:rPr>
        <w:t>343</w:t>
      </w:r>
      <w:r>
        <w:rPr>
          <w:vertAlign w:val="baseline"/>
        </w:rPr>
        <w:t>;</w:t>
      </w:r>
      <w:r>
        <w:rPr>
          <w:spacing w:val="-1"/>
          <w:vertAlign w:val="baseline"/>
        </w:rPr>
        <w:t> </w:t>
      </w:r>
      <w:r>
        <w:rPr>
          <w:vertAlign w:val="baseline"/>
        </w:rPr>
        <w:t>that it was a “deliberate breach”, </w:t>
      </w:r>
      <w:r>
        <w:rPr>
          <w:color w:val="005DA1"/>
          <w:u w:val="single" w:color="005DA1"/>
          <w:vertAlign w:val="superscript"/>
        </w:rPr>
        <w:t>344</w:t>
      </w:r>
      <w:r>
        <w:rPr>
          <w:color w:val="005DA1"/>
          <w:vertAlign w:val="baseline"/>
        </w:rPr>
        <w:t> </w:t>
      </w:r>
      <w:r>
        <w:rPr>
          <w:vertAlign w:val="baseline"/>
        </w:rPr>
        <w:t>a “flagrant contravention” of the defendant’s obligation. </w:t>
      </w:r>
      <w:r>
        <w:rPr>
          <w:color w:val="005DA1"/>
          <w:u w:val="single" w:color="005DA1"/>
          <w:vertAlign w:val="superscript"/>
        </w:rPr>
        <w:t>345</w:t>
      </w:r>
      <w:r>
        <w:rPr>
          <w:color w:val="005DA1"/>
          <w:vertAlign w:val="baseline"/>
        </w:rPr>
        <w:t> </w:t>
      </w:r>
      <w:r>
        <w:rPr>
          <w:vertAlign w:val="baseline"/>
        </w:rPr>
        <w:t>But prior to</w:t>
      </w:r>
      <w:r>
        <w:rPr>
          <w:spacing w:val="-1"/>
          <w:vertAlign w:val="baseline"/>
        </w:rPr>
        <w:t> </w:t>
      </w:r>
      <w:r>
        <w:rPr>
          <w:rFonts w:ascii="Arial" w:hAnsi="Arial"/>
          <w:i/>
          <w:vertAlign w:val="baseline"/>
        </w:rPr>
        <w:t>Hendrix</w:t>
      </w:r>
      <w:r>
        <w:rPr>
          <w:rFonts w:ascii="Arial" w:hAnsi="Arial"/>
          <w:i/>
          <w:spacing w:val="-1"/>
          <w:vertAlign w:val="baseline"/>
        </w:rPr>
        <w:t> </w:t>
      </w:r>
      <w:r>
        <w:rPr>
          <w:vertAlign w:val="baseline"/>
        </w:rPr>
        <w:t>courts did not treat moral considerations as relevant in commercial transactions.</w:t>
      </w:r>
    </w:p>
    <w:p>
      <w:pPr>
        <w:pStyle w:val="BodyText"/>
      </w:pPr>
    </w:p>
    <w:p>
      <w:pPr>
        <w:pStyle w:val="BodyText"/>
        <w:spacing w:before="33"/>
      </w:pPr>
    </w:p>
    <w:p>
      <w:pPr>
        <w:pStyle w:val="BodyText"/>
        <w:ind w:left="165"/>
      </w:pPr>
      <w:r>
        <w:rPr>
          <w:spacing w:val="-5"/>
        </w:rPr>
        <w:t>(b)</w:t>
      </w:r>
    </w:p>
    <w:p>
      <w:pPr>
        <w:pStyle w:val="BodyText"/>
        <w:spacing w:line="235" w:lineRule="auto" w:before="114"/>
        <w:ind w:left="645" w:right="167"/>
        <w:jc w:val="both"/>
      </w:pPr>
      <w:bookmarkStart w:name="_bookmark649" w:id="651"/>
      <w:bookmarkEnd w:id="651"/>
      <w:r>
        <w:rPr/>
      </w:r>
      <w:r>
        <w:rPr/>
        <w:t>The question whether the claimant “had a legitimate interest in preventing the </w:t>
      </w:r>
      <w:r>
        <w:rPr/>
        <w:t>defendant’s</w:t>
      </w:r>
      <w:r>
        <w:rPr>
          <w:spacing w:val="80"/>
          <w:w w:val="150"/>
        </w:rPr>
        <w:t> </w:t>
      </w:r>
      <w:r>
        <w:rPr/>
        <w:t>profit-making activity”. </w:t>
      </w:r>
      <w:r>
        <w:rPr>
          <w:color w:val="005DA1"/>
          <w:u w:val="single" w:color="005DA1"/>
          <w:vertAlign w:val="superscript"/>
        </w:rPr>
        <w:t>346</w:t>
      </w:r>
      <w:r>
        <w:rPr>
          <w:color w:val="005DA1"/>
          <w:vertAlign w:val="baseline"/>
        </w:rPr>
        <w:t> </w:t>
      </w:r>
      <w:r>
        <w:rPr>
          <w:vertAlign w:val="baseline"/>
        </w:rPr>
        <w:t>In </w:t>
      </w:r>
      <w:r>
        <w:rPr>
          <w:rFonts w:ascii="Arial" w:hAnsi="Arial"/>
          <w:i/>
          <w:vertAlign w:val="baseline"/>
        </w:rPr>
        <w:t>Blake</w:t>
      </w:r>
      <w:r>
        <w:rPr>
          <w:vertAlign w:val="baseline"/>
        </w:rPr>
        <w:t>, the Crown’s interest in protecting the Secret Service’s information met this test but in </w:t>
      </w:r>
      <w:r>
        <w:rPr>
          <w:rFonts w:ascii="Arial" w:hAnsi="Arial"/>
          <w:i/>
          <w:vertAlign w:val="baseline"/>
        </w:rPr>
        <w:t>Experience Hendrix</w:t>
      </w:r>
      <w:r>
        <w:rPr>
          <w:vertAlign w:val="baseline"/>
        </w:rPr>
        <w:t>, a case between commercial parties, such a legitimate interest was found because on orthodox rules the claimant would be confined to </w:t>
      </w:r>
      <w:bookmarkStart w:name="_bookmark650" w:id="652"/>
      <w:bookmarkEnd w:id="652"/>
      <w:r>
        <w:rPr>
          <w:vertAlign w:val="baseline"/>
        </w:rPr>
        <w:t>nominal</w:t>
      </w:r>
      <w:r>
        <w:rPr>
          <w:vertAlign w:val="baseline"/>
        </w:rPr>
        <w:t> damages—the claimant could not adequately prove any loss, or could prove only minor loss. </w:t>
      </w:r>
      <w:r>
        <w:rPr>
          <w:color w:val="005DA1"/>
          <w:u w:val="single" w:color="005DA1"/>
          <w:vertAlign w:val="superscript"/>
        </w:rPr>
        <w:t>347</w:t>
      </w:r>
      <w:r>
        <w:rPr>
          <w:color w:val="005DA1"/>
          <w:vertAlign w:val="baseline"/>
        </w:rPr>
        <w:t> </w:t>
      </w:r>
      <w:r>
        <w:rPr>
          <w:vertAlign w:val="baseline"/>
        </w:rPr>
        <w:t>It is submitted that this interpretation may be too wide, because it could allow many claims to be based (at the claimant’s choice) on either restitution or compensation for loss.</w:t>
      </w:r>
    </w:p>
    <w:p>
      <w:pPr>
        <w:pStyle w:val="BodyText"/>
      </w:pPr>
    </w:p>
    <w:p>
      <w:pPr>
        <w:pStyle w:val="BodyText"/>
        <w:spacing w:before="33"/>
      </w:pPr>
    </w:p>
    <w:p>
      <w:pPr>
        <w:pStyle w:val="BodyText"/>
        <w:ind w:left="165"/>
      </w:pPr>
      <w:r>
        <w:rPr>
          <w:spacing w:val="-5"/>
        </w:rPr>
        <w:t>(c)</w:t>
      </w:r>
    </w:p>
    <w:p>
      <w:pPr>
        <w:pStyle w:val="BodyText"/>
        <w:spacing w:line="235" w:lineRule="auto" w:before="114"/>
        <w:ind w:left="645" w:right="167"/>
        <w:jc w:val="both"/>
      </w:pPr>
      <w:r>
        <w:rPr/>
        <w:t>The analogy with fiduciary obligations. Before the </w:t>
      </w:r>
      <w:r>
        <w:rPr>
          <w:rFonts w:ascii="Arial" w:hAnsi="Arial"/>
          <w:i/>
        </w:rPr>
        <w:t>Blake </w:t>
      </w:r>
      <w:r>
        <w:rPr/>
        <w:t>decision it was clear that an account of </w:t>
      </w:r>
      <w:bookmarkStart w:name="_bookmark651" w:id="653"/>
      <w:bookmarkEnd w:id="653"/>
      <w:r>
        <w:rPr/>
        <w:t>profits</w:t>
      </w:r>
      <w:r>
        <w:rPr/>
        <w:t> could be awarded for breach of a fiduciary obligation: although Blake was not a </w:t>
      </w:r>
      <w:r>
        <w:rPr/>
        <w:t>fiduciary, their Lordships said that his obligation was “closely akin to a fiduciary obligation”. </w:t>
      </w:r>
      <w:r>
        <w:rPr>
          <w:color w:val="005DA1"/>
          <w:u w:val="single" w:color="005DA1"/>
          <w:vertAlign w:val="superscript"/>
        </w:rPr>
        <w:t>348</w:t>
      </w:r>
      <w:r>
        <w:rPr>
          <w:color w:val="005DA1"/>
          <w:vertAlign w:val="baseline"/>
        </w:rPr>
        <w:t> </w:t>
      </w:r>
      <w:r>
        <w:rPr>
          <w:vertAlign w:val="baseline"/>
        </w:rPr>
        <w:t>In effect, Blake extended the previous category of fiduciaries by creating a quasifiduciary out of a contractual obligation. In </w:t>
      </w:r>
      <w:r>
        <w:rPr>
          <w:rFonts w:ascii="Arial" w:hAnsi="Arial"/>
          <w:i/>
          <w:vertAlign w:val="baseline"/>
        </w:rPr>
        <w:t>Experience Hendrix </w:t>
      </w:r>
      <w:r>
        <w:rPr>
          <w:vertAlign w:val="baseline"/>
        </w:rPr>
        <w:t>it was said that an account of profits was not </w:t>
      </w:r>
      <w:bookmarkStart w:name="_bookmark652" w:id="654"/>
      <w:bookmarkEnd w:id="654"/>
      <w:r>
        <w:rPr>
          <w:vertAlign w:val="baseline"/>
        </w:rPr>
        <w:t>justified</w:t>
      </w:r>
      <w:r>
        <w:rPr>
          <w:vertAlign w:val="baseline"/>
        </w:rPr>
        <w:t> on the facts because the defendant’s situation was not analogous with a fiduciary’s</w:t>
      </w:r>
      <w:r>
        <w:rPr>
          <w:spacing w:val="40"/>
          <w:vertAlign w:val="baseline"/>
        </w:rPr>
        <w:t> </w:t>
      </w:r>
      <w:r>
        <w:rPr>
          <w:vertAlign w:val="baseline"/>
        </w:rPr>
        <w:t>duty: “there is no direct analogy between [the defendant’s] position and that of a fiduciary”. </w:t>
      </w:r>
      <w:r>
        <w:rPr>
          <w:color w:val="005DA1"/>
          <w:u w:val="single" w:color="005DA1"/>
          <w:vertAlign w:val="superscript"/>
        </w:rPr>
        <w:t>349</w:t>
      </w:r>
      <w:r>
        <w:rPr>
          <w:color w:val="005DA1"/>
          <w:vertAlign w:val="baseline"/>
        </w:rPr>
        <w:t> </w:t>
      </w:r>
      <w:r>
        <w:rPr>
          <w:vertAlign w:val="baseline"/>
        </w:rPr>
        <w:t>The concept that contractual obligations may give rise to remedies previously given only to genuine fiduciaries is unsatisfactory because it is uncertain and so unpredictable in its </w:t>
      </w:r>
      <w:r>
        <w:rPr>
          <w:spacing w:val="-2"/>
          <w:vertAlign w:val="baseline"/>
        </w:rPr>
        <w:t>application.</w:t>
      </w:r>
    </w:p>
    <w:p>
      <w:pPr>
        <w:pStyle w:val="BodyText"/>
        <w:rPr>
          <w:sz w:val="18"/>
        </w:rPr>
      </w:pPr>
    </w:p>
    <w:p>
      <w:pPr>
        <w:pStyle w:val="BodyText"/>
        <w:rPr>
          <w:sz w:val="18"/>
        </w:rPr>
      </w:pPr>
    </w:p>
    <w:p>
      <w:pPr>
        <w:pStyle w:val="BodyText"/>
        <w:rPr>
          <w:sz w:val="18"/>
        </w:rPr>
      </w:pPr>
    </w:p>
    <w:p>
      <w:pPr>
        <w:pStyle w:val="BodyText"/>
        <w:spacing w:before="107"/>
        <w:rPr>
          <w:sz w:val="18"/>
        </w:rPr>
      </w:pPr>
    </w:p>
    <w:p>
      <w:pPr>
        <w:spacing w:before="0"/>
        <w:ind w:left="165" w:right="0" w:firstLine="0"/>
        <w:jc w:val="left"/>
        <w:rPr>
          <w:rFonts w:ascii="Arial"/>
          <w:b/>
          <w:sz w:val="18"/>
        </w:rPr>
      </w:pPr>
      <w:r>
        <w:rPr>
          <w:rFonts w:ascii="Arial"/>
          <w:b/>
          <w:sz w:val="18"/>
        </w:rPr>
        <w:t>Analogies with intellectual property </w:t>
      </w:r>
      <w:r>
        <w:rPr>
          <w:rFonts w:ascii="Arial"/>
          <w:b/>
          <w:spacing w:val="-2"/>
          <w:sz w:val="18"/>
        </w:rPr>
        <w:t>rights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056</w:t>
      </w:r>
    </w:p>
    <w:p>
      <w:pPr>
        <w:pStyle w:val="BodyText"/>
        <w:spacing w:line="235" w:lineRule="auto" w:before="202"/>
        <w:ind w:left="165" w:right="167"/>
        <w:jc w:val="both"/>
      </w:pPr>
      <w:bookmarkStart w:name="_bookmark653" w:id="655"/>
      <w:bookmarkEnd w:id="655"/>
      <w:r>
        <w:rPr/>
      </w:r>
      <w:r>
        <w:rPr/>
        <w:t>An account of profits has been a standard remedy for infringements of property rights such </w:t>
      </w:r>
      <w:r>
        <w:rPr/>
        <w:t>as</w:t>
      </w:r>
      <w:r>
        <w:rPr>
          <w:spacing w:val="80"/>
        </w:rPr>
        <w:t> </w:t>
      </w:r>
      <w:r>
        <w:rPr/>
        <w:t>passing off, infringement of trade marks, copyrights and breach of confidence. </w:t>
      </w:r>
      <w:r>
        <w:rPr>
          <w:color w:val="005DA1"/>
          <w:u w:val="single" w:color="005DA1"/>
          <w:vertAlign w:val="superscript"/>
        </w:rPr>
        <w:t>350</w:t>
      </w:r>
      <w:r>
        <w:rPr>
          <w:color w:val="005DA1"/>
          <w:vertAlign w:val="baseline"/>
        </w:rPr>
        <w:t> </w:t>
      </w:r>
      <w:r>
        <w:rPr>
          <w:vertAlign w:val="baseline"/>
        </w:rPr>
        <w:t>So the House of </w:t>
      </w:r>
      <w:bookmarkStart w:name="_bookmark654" w:id="656"/>
      <w:bookmarkEnd w:id="656"/>
      <w:r>
        <w:rPr>
          <w:vertAlign w:val="baseline"/>
        </w:rPr>
        <w:t>Lords</w:t>
      </w:r>
      <w:r>
        <w:rPr>
          <w:vertAlign w:val="baseline"/>
        </w:rPr>
        <w:t> has treated the infringement of a patent as an injury to the claimant’s property right so that </w:t>
      </w:r>
      <w:bookmarkStart w:name="_bookmark655" w:id="657"/>
      <w:bookmarkEnd w:id="657"/>
      <w:r>
        <w:rPr>
          <w:vertAlign w:val="baseline"/>
        </w:rPr>
        <w:t>damages</w:t>
      </w:r>
      <w:r>
        <w:rPr>
          <w:vertAlign w:val="baseline"/>
        </w:rPr>
        <w:t> were assessed as a royalty for every infringing article. </w:t>
      </w:r>
      <w:r>
        <w:rPr>
          <w:color w:val="005DA1"/>
          <w:u w:val="single" w:color="005DA1"/>
          <w:vertAlign w:val="superscript"/>
        </w:rPr>
        <w:t>351</w:t>
      </w:r>
      <w:r>
        <w:rPr>
          <w:color w:val="005DA1"/>
          <w:vertAlign w:val="baseline"/>
        </w:rPr>
        <w:t> </w:t>
      </w:r>
      <w:r>
        <w:rPr>
          <w:vertAlign w:val="baseline"/>
        </w:rPr>
        <w:t>The facts in </w:t>
      </w:r>
      <w:r>
        <w:rPr>
          <w:rFonts w:ascii="Arial" w:hAnsi="Arial"/>
          <w:i/>
          <w:vertAlign w:val="baseline"/>
        </w:rPr>
        <w:t>Experience Hendrix </w:t>
      </w:r>
      <w:r>
        <w:rPr>
          <w:vertAlign w:val="baseline"/>
        </w:rPr>
        <w:t>give a flavour of intellectual property rights, </w:t>
      </w:r>
      <w:r>
        <w:rPr>
          <w:color w:val="005DA1"/>
          <w:u w:val="single" w:color="005DA1"/>
          <w:vertAlign w:val="superscript"/>
        </w:rPr>
        <w:t>352</w:t>
      </w:r>
      <w:r>
        <w:rPr>
          <w:color w:val="005DA1"/>
          <w:vertAlign w:val="baseline"/>
        </w:rPr>
        <w:t> </w:t>
      </w:r>
      <w:r>
        <w:rPr>
          <w:vertAlign w:val="baseline"/>
        </w:rPr>
        <w:t>but the remedy was not based on such rights.</w:t>
      </w:r>
    </w:p>
    <w:p>
      <w:pPr>
        <w:pStyle w:val="BodyText"/>
      </w:pPr>
    </w:p>
    <w:p>
      <w:pPr>
        <w:pStyle w:val="BodyText"/>
        <w:spacing w:before="37"/>
      </w:pPr>
    </w:p>
    <w:p>
      <w:pPr>
        <w:spacing w:before="0"/>
        <w:ind w:left="165" w:right="0" w:firstLine="0"/>
        <w:jc w:val="both"/>
        <w:rPr>
          <w:rFonts w:ascii="Arial"/>
          <w:b/>
          <w:sz w:val="18"/>
        </w:rPr>
      </w:pPr>
      <w:r>
        <w:rPr>
          <w:rFonts w:ascii="Arial"/>
          <w:b/>
          <w:sz w:val="18"/>
        </w:rPr>
        <w:t>Account of profit in commercial </w:t>
      </w:r>
      <w:r>
        <w:rPr>
          <w:rFonts w:ascii="Arial"/>
          <w:b/>
          <w:spacing w:val="-2"/>
          <w:sz w:val="18"/>
        </w:rPr>
        <w:t>cases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057</w:t>
      </w:r>
    </w:p>
    <w:p>
      <w:pPr>
        <w:pStyle w:val="BodyText"/>
        <w:spacing w:line="235" w:lineRule="auto" w:before="203"/>
        <w:ind w:left="165" w:right="167"/>
        <w:jc w:val="both"/>
      </w:pPr>
      <w:bookmarkStart w:name="_bookmark656" w:id="658"/>
      <w:bookmarkEnd w:id="658"/>
      <w:r>
        <w:rPr/>
      </w:r>
      <w:r>
        <w:rPr/>
        <w:t>In the </w:t>
      </w:r>
      <w:r>
        <w:rPr>
          <w:rFonts w:ascii="Arial" w:hAnsi="Arial"/>
          <w:i/>
        </w:rPr>
        <w:t>Experience Hendrix </w:t>
      </w:r>
      <w:r>
        <w:rPr/>
        <w:t>case an account of profits was not awarded on the particular facts </w:t>
      </w:r>
      <w:r>
        <w:rPr>
          <w:color w:val="005DA1"/>
          <w:u w:val="single" w:color="005DA1"/>
          <w:vertAlign w:val="superscript"/>
        </w:rPr>
        <w:t>353</w:t>
      </w:r>
      <w:r>
        <w:rPr>
          <w:color w:val="005DA1"/>
          <w:vertAlign w:val="baseline"/>
        </w:rPr>
        <w:t> </w:t>
      </w:r>
      <w:r>
        <w:rPr>
          <w:vertAlign w:val="baseline"/>
        </w:rPr>
        <w:t>but it was recognised that such a remedy was possible in a commercial case. To date, however, </w:t>
      </w:r>
      <w:r>
        <w:rPr>
          <w:vertAlign w:val="baseline"/>
        </w:rPr>
        <w:t>an</w:t>
      </w:r>
      <w:r>
        <w:rPr>
          <w:spacing w:val="40"/>
          <w:vertAlign w:val="baseline"/>
        </w:rPr>
        <w:t> </w:t>
      </w:r>
      <w:bookmarkStart w:name="_bookmark657" w:id="659"/>
      <w:bookmarkEnd w:id="659"/>
      <w:r>
        <w:rPr>
          <w:vertAlign w:val="baseline"/>
        </w:rPr>
        <w:t>account</w:t>
      </w:r>
      <w:r>
        <w:rPr>
          <w:vertAlign w:val="baseline"/>
        </w:rPr>
        <w:t> of profits has been awarded only in one case at first instance. In </w:t>
      </w:r>
      <w:r>
        <w:rPr>
          <w:rFonts w:ascii="Arial" w:hAnsi="Arial"/>
          <w:i/>
          <w:vertAlign w:val="baseline"/>
        </w:rPr>
        <w:t>Esso Petroleum Co Ltd v Niad Ltd </w:t>
      </w:r>
      <w:r>
        <w:rPr>
          <w:color w:val="005DA1"/>
          <w:u w:val="single" w:color="005DA1"/>
          <w:vertAlign w:val="superscript"/>
        </w:rPr>
        <w:t>354</w:t>
      </w:r>
      <w:r>
        <w:rPr>
          <w:color w:val="005DA1"/>
          <w:vertAlign w:val="baseline"/>
        </w:rPr>
        <w:t> </w:t>
      </w:r>
      <w:r>
        <w:rPr>
          <w:vertAlign w:val="baseline"/>
        </w:rPr>
        <w:t>the defendant had agreed to participate in a “Price Watch” scheme under which participating</w:t>
      </w:r>
      <w:r>
        <w:rPr>
          <w:spacing w:val="-2"/>
          <w:vertAlign w:val="baseline"/>
        </w:rPr>
        <w:t> </w:t>
      </w:r>
      <w:r>
        <w:rPr>
          <w:vertAlign w:val="baseline"/>
        </w:rPr>
        <w:t>petrol</w:t>
      </w:r>
      <w:r>
        <w:rPr>
          <w:spacing w:val="-2"/>
          <w:vertAlign w:val="baseline"/>
        </w:rPr>
        <w:t> </w:t>
      </w:r>
      <w:r>
        <w:rPr>
          <w:vertAlign w:val="baseline"/>
        </w:rPr>
        <w:t>stations</w:t>
      </w:r>
      <w:r>
        <w:rPr>
          <w:spacing w:val="-2"/>
          <w:vertAlign w:val="baseline"/>
        </w:rPr>
        <w:t> </w:t>
      </w:r>
      <w:r>
        <w:rPr>
          <w:vertAlign w:val="baseline"/>
        </w:rPr>
        <w:t>agreed</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sell</w:t>
      </w:r>
      <w:r>
        <w:rPr>
          <w:spacing w:val="-2"/>
          <w:vertAlign w:val="baseline"/>
        </w:rPr>
        <w:t> </w:t>
      </w:r>
      <w:r>
        <w:rPr>
          <w:vertAlign w:val="baseline"/>
        </w:rPr>
        <w:t>at</w:t>
      </w:r>
      <w:r>
        <w:rPr>
          <w:spacing w:val="-2"/>
          <w:vertAlign w:val="baseline"/>
        </w:rPr>
        <w:t> </w:t>
      </w:r>
      <w:r>
        <w:rPr>
          <w:vertAlign w:val="baseline"/>
        </w:rPr>
        <w:t>above</w:t>
      </w:r>
      <w:r>
        <w:rPr>
          <w:spacing w:val="-2"/>
          <w:vertAlign w:val="baseline"/>
        </w:rPr>
        <w:t> </w:t>
      </w:r>
      <w:r>
        <w:rPr>
          <w:vertAlign w:val="baseline"/>
        </w:rPr>
        <w:t>set</w:t>
      </w:r>
      <w:r>
        <w:rPr>
          <w:spacing w:val="-2"/>
          <w:vertAlign w:val="baseline"/>
        </w:rPr>
        <w:t> </w:t>
      </w:r>
      <w:r>
        <w:rPr>
          <w:vertAlign w:val="baseline"/>
        </w:rPr>
        <w:t>prices.</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broke</w:t>
      </w:r>
      <w:r>
        <w:rPr>
          <w:spacing w:val="-2"/>
          <w:vertAlign w:val="baseline"/>
        </w:rPr>
        <w:t> </w:t>
      </w:r>
      <w:r>
        <w:rPr>
          <w:vertAlign w:val="baseline"/>
        </w:rPr>
        <w:t>the</w:t>
      </w:r>
      <w:r>
        <w:rPr>
          <w:spacing w:val="-2"/>
          <w:vertAlign w:val="baseline"/>
        </w:rPr>
        <w:t> </w:t>
      </w:r>
      <w:r>
        <w:rPr>
          <w:vertAlign w:val="baseline"/>
        </w:rPr>
        <w:t>agreement by selling at higher prices. The claimants were unable to show what loss this had caused them but it was</w:t>
      </w:r>
      <w:r>
        <w:rPr>
          <w:spacing w:val="26"/>
          <w:vertAlign w:val="baseline"/>
        </w:rPr>
        <w:t> </w:t>
      </w:r>
      <w:r>
        <w:rPr>
          <w:vertAlign w:val="baseline"/>
        </w:rPr>
        <w:t>held</w:t>
      </w:r>
      <w:r>
        <w:rPr>
          <w:spacing w:val="26"/>
          <w:vertAlign w:val="baseline"/>
        </w:rPr>
        <w:t> </w:t>
      </w:r>
      <w:r>
        <w:rPr>
          <w:vertAlign w:val="baseline"/>
        </w:rPr>
        <w:t>that</w:t>
      </w:r>
      <w:r>
        <w:rPr>
          <w:spacing w:val="26"/>
          <w:vertAlign w:val="baseline"/>
        </w:rPr>
        <w:t> </w:t>
      </w:r>
      <w:r>
        <w:rPr>
          <w:vertAlign w:val="baseline"/>
        </w:rPr>
        <w:t>they</w:t>
      </w:r>
      <w:r>
        <w:rPr>
          <w:spacing w:val="26"/>
          <w:vertAlign w:val="baseline"/>
        </w:rPr>
        <w:t> </w:t>
      </w:r>
      <w:r>
        <w:rPr>
          <w:vertAlign w:val="baseline"/>
        </w:rPr>
        <w:t>had</w:t>
      </w:r>
      <w:r>
        <w:rPr>
          <w:spacing w:val="26"/>
          <w:vertAlign w:val="baseline"/>
        </w:rPr>
        <w:t> </w:t>
      </w:r>
      <w:r>
        <w:rPr>
          <w:vertAlign w:val="baseline"/>
        </w:rPr>
        <w:t>a</w:t>
      </w:r>
      <w:r>
        <w:rPr>
          <w:spacing w:val="26"/>
          <w:vertAlign w:val="baseline"/>
        </w:rPr>
        <w:t> </w:t>
      </w:r>
      <w:r>
        <w:rPr>
          <w:vertAlign w:val="baseline"/>
        </w:rPr>
        <w:t>strong</w:t>
      </w:r>
      <w:r>
        <w:rPr>
          <w:spacing w:val="26"/>
          <w:vertAlign w:val="baseline"/>
        </w:rPr>
        <w:t> </w:t>
      </w:r>
      <w:r>
        <w:rPr>
          <w:vertAlign w:val="baseline"/>
        </w:rPr>
        <w:t>interest</w:t>
      </w:r>
      <w:r>
        <w:rPr>
          <w:spacing w:val="26"/>
          <w:vertAlign w:val="baseline"/>
        </w:rPr>
        <w:t> </w:t>
      </w:r>
      <w:r>
        <w:rPr>
          <w:vertAlign w:val="baseline"/>
        </w:rPr>
        <w:t>in</w:t>
      </w:r>
      <w:r>
        <w:rPr>
          <w:spacing w:val="26"/>
          <w:vertAlign w:val="baseline"/>
        </w:rPr>
        <w:t> </w:t>
      </w:r>
      <w:r>
        <w:rPr>
          <w:vertAlign w:val="baseline"/>
        </w:rPr>
        <w:t>performance</w:t>
      </w:r>
      <w:r>
        <w:rPr>
          <w:spacing w:val="26"/>
          <w:vertAlign w:val="baseline"/>
        </w:rPr>
        <w:t> </w:t>
      </w:r>
      <w:r>
        <w:rPr>
          <w:vertAlign w:val="baseline"/>
        </w:rPr>
        <w:t>and</w:t>
      </w:r>
      <w:r>
        <w:rPr>
          <w:spacing w:val="26"/>
          <w:vertAlign w:val="baseline"/>
        </w:rPr>
        <w:t> </w:t>
      </w:r>
      <w:r>
        <w:rPr>
          <w:vertAlign w:val="baseline"/>
        </w:rPr>
        <w:t>an</w:t>
      </w:r>
      <w:r>
        <w:rPr>
          <w:spacing w:val="26"/>
          <w:vertAlign w:val="baseline"/>
        </w:rPr>
        <w:t> </w:t>
      </w:r>
      <w:r>
        <w:rPr>
          <w:vertAlign w:val="baseline"/>
        </w:rPr>
        <w:t>account</w:t>
      </w:r>
      <w:r>
        <w:rPr>
          <w:spacing w:val="26"/>
          <w:vertAlign w:val="baseline"/>
        </w:rPr>
        <w:t> </w:t>
      </w:r>
      <w:r>
        <w:rPr>
          <w:vertAlign w:val="baseline"/>
        </w:rPr>
        <w:t>of</w:t>
      </w:r>
      <w:r>
        <w:rPr>
          <w:spacing w:val="26"/>
          <w:vertAlign w:val="baseline"/>
        </w:rPr>
        <w:t> </w:t>
      </w:r>
      <w:r>
        <w:rPr>
          <w:vertAlign w:val="baseline"/>
        </w:rPr>
        <w:t>profits</w:t>
      </w:r>
      <w:r>
        <w:rPr>
          <w:spacing w:val="26"/>
          <w:vertAlign w:val="baseline"/>
        </w:rPr>
        <w:t> </w:t>
      </w:r>
      <w:r>
        <w:rPr>
          <w:vertAlign w:val="baseline"/>
        </w:rPr>
        <w:t>was</w:t>
      </w:r>
      <w:r>
        <w:rPr>
          <w:spacing w:val="26"/>
          <w:vertAlign w:val="baseline"/>
        </w:rPr>
        <w:t> </w:t>
      </w:r>
      <w:r>
        <w:rPr>
          <w:vertAlign w:val="baseline"/>
        </w:rPr>
        <w:t>ordered.</w:t>
      </w:r>
      <w:r>
        <w:rPr>
          <w:spacing w:val="26"/>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658" w:id="660"/>
      <w:bookmarkEnd w:id="660"/>
      <w:r>
        <w:rPr/>
      </w:r>
      <w:r>
        <w:rPr/>
        <w:t>most subsequent decisions </w:t>
      </w:r>
      <w:r>
        <w:rPr>
          <w:color w:val="005DA1"/>
          <w:u w:val="single" w:color="005DA1"/>
          <w:vertAlign w:val="superscript"/>
        </w:rPr>
        <w:t>355</w:t>
      </w:r>
      <w:r>
        <w:rPr>
          <w:color w:val="005DA1"/>
          <w:vertAlign w:val="baseline"/>
        </w:rPr>
        <w:t> </w:t>
      </w:r>
      <w:r>
        <w:rPr>
          <w:vertAlign w:val="baseline"/>
        </w:rPr>
        <w:t>an account of profits has not been granted. Thus in the </w:t>
      </w:r>
      <w:r>
        <w:rPr>
          <w:rFonts w:ascii="Arial"/>
          <w:i/>
          <w:vertAlign w:val="baseline"/>
        </w:rPr>
        <w:t>WWF </w:t>
      </w:r>
      <w:r>
        <w:rPr>
          <w:vertAlign w:val="baseline"/>
        </w:rPr>
        <w:t>case </w:t>
      </w:r>
      <w:r>
        <w:rPr>
          <w:vertAlign w:val="baseline"/>
        </w:rPr>
        <w:t>at first instance the judge refused to treat a breach of restraint of trade (a contractual obligation) as sufficient to justify an account of profits, despite the facts giving the flavour of a trademark case. The </w:t>
      </w:r>
      <w:bookmarkStart w:name="_bookmark659" w:id="661"/>
      <w:bookmarkEnd w:id="661"/>
      <w:r>
        <w:rPr>
          <w:vertAlign w:val="baseline"/>
        </w:rPr>
        <w:t>judge</w:t>
      </w:r>
      <w:r>
        <w:rPr>
          <w:vertAlign w:val="baseline"/>
        </w:rPr>
        <w:t> said that the common law should not provide what statute provides for the infringement of an intellectual property right. </w:t>
      </w:r>
      <w:r>
        <w:rPr>
          <w:color w:val="005DA1"/>
          <w:u w:val="single" w:color="005DA1"/>
          <w:vertAlign w:val="superscript"/>
        </w:rPr>
        <w:t>356</w:t>
      </w:r>
      <w:r>
        <w:rPr>
          <w:color w:val="005DA1"/>
          <w:vertAlign w:val="baseline"/>
        </w:rPr>
        <w:t> </w:t>
      </w:r>
      <w:r>
        <w:rPr>
          <w:vertAlign w:val="baseline"/>
        </w:rPr>
        <w:t>In </w:t>
      </w:r>
      <w:r>
        <w:rPr>
          <w:rFonts w:ascii="Arial"/>
          <w:i/>
          <w:vertAlign w:val="baseline"/>
        </w:rPr>
        <w:t>Vercoe v Rutland Fund Management Ltd </w:t>
      </w:r>
      <w:r>
        <w:rPr>
          <w:color w:val="005DA1"/>
          <w:u w:val="single" w:color="005DA1"/>
          <w:vertAlign w:val="superscript"/>
        </w:rPr>
        <w:t>357</w:t>
      </w:r>
      <w:r>
        <w:rPr>
          <w:color w:val="005DA1"/>
          <w:vertAlign w:val="baseline"/>
        </w:rPr>
        <w:t> </w:t>
      </w:r>
      <w:r>
        <w:rPr>
          <w:vertAlign w:val="baseline"/>
        </w:rPr>
        <w:t>Sales J said:</w:t>
      </w:r>
    </w:p>
    <w:p>
      <w:pPr>
        <w:pStyle w:val="BodyText"/>
      </w:pPr>
    </w:p>
    <w:p>
      <w:pPr>
        <w:pStyle w:val="BodyText"/>
        <w:spacing w:before="121"/>
      </w:pPr>
    </w:p>
    <w:p>
      <w:pPr>
        <w:pStyle w:val="BodyText"/>
        <w:spacing w:line="227" w:lineRule="exact"/>
        <w:ind w:left="1245"/>
        <w:jc w:val="both"/>
      </w:pPr>
      <w:r>
        <w:rPr/>
        <w:t>“where</w:t>
      </w:r>
      <w:r>
        <w:rPr>
          <w:spacing w:val="3"/>
        </w:rPr>
        <w:t> </w:t>
      </w:r>
      <w:r>
        <w:rPr/>
        <w:t>one</w:t>
      </w:r>
      <w:r>
        <w:rPr>
          <w:spacing w:val="3"/>
        </w:rPr>
        <w:t> </w:t>
      </w:r>
      <w:r>
        <w:rPr/>
        <w:t>is</w:t>
      </w:r>
      <w:r>
        <w:rPr>
          <w:spacing w:val="3"/>
        </w:rPr>
        <w:t> </w:t>
      </w:r>
      <w:r>
        <w:rPr/>
        <w:t>not</w:t>
      </w:r>
      <w:r>
        <w:rPr>
          <w:spacing w:val="3"/>
        </w:rPr>
        <w:t> </w:t>
      </w:r>
      <w:r>
        <w:rPr/>
        <w:t>dealing</w:t>
      </w:r>
      <w:r>
        <w:rPr>
          <w:spacing w:val="3"/>
        </w:rPr>
        <w:t> </w:t>
      </w:r>
      <w:r>
        <w:rPr/>
        <w:t>with</w:t>
      </w:r>
      <w:r>
        <w:rPr>
          <w:spacing w:val="3"/>
        </w:rPr>
        <w:t> </w:t>
      </w:r>
      <w:r>
        <w:rPr/>
        <w:t>infringement</w:t>
      </w:r>
      <w:r>
        <w:rPr>
          <w:spacing w:val="3"/>
        </w:rPr>
        <w:t> </w:t>
      </w:r>
      <w:r>
        <w:rPr/>
        <w:t>of</w:t>
      </w:r>
      <w:r>
        <w:rPr>
          <w:spacing w:val="3"/>
        </w:rPr>
        <w:t> </w:t>
      </w:r>
      <w:r>
        <w:rPr/>
        <w:t>a</w:t>
      </w:r>
      <w:r>
        <w:rPr>
          <w:spacing w:val="3"/>
        </w:rPr>
        <w:t> </w:t>
      </w:r>
      <w:r>
        <w:rPr/>
        <w:t>right</w:t>
      </w:r>
      <w:r>
        <w:rPr>
          <w:spacing w:val="3"/>
        </w:rPr>
        <w:t> </w:t>
      </w:r>
      <w:r>
        <w:rPr/>
        <w:t>which</w:t>
      </w:r>
      <w:r>
        <w:rPr>
          <w:spacing w:val="3"/>
        </w:rPr>
        <w:t> </w:t>
      </w:r>
      <w:r>
        <w:rPr/>
        <w:t>is</w:t>
      </w:r>
      <w:r>
        <w:rPr>
          <w:spacing w:val="3"/>
        </w:rPr>
        <w:t> </w:t>
      </w:r>
      <w:r>
        <w:rPr/>
        <w:t>clearly</w:t>
      </w:r>
      <w:r>
        <w:rPr>
          <w:spacing w:val="3"/>
        </w:rPr>
        <w:t> </w:t>
      </w:r>
      <w:r>
        <w:rPr/>
        <w:t>proprietary</w:t>
      </w:r>
      <w:r>
        <w:rPr>
          <w:spacing w:val="3"/>
        </w:rPr>
        <w:t> </w:t>
      </w:r>
      <w:r>
        <w:rPr/>
        <w:t>in</w:t>
      </w:r>
      <w:r>
        <w:rPr>
          <w:spacing w:val="3"/>
        </w:rPr>
        <w:t> </w:t>
      </w:r>
      <w:r>
        <w:rPr>
          <w:spacing w:val="-2"/>
        </w:rPr>
        <w:t>nature</w:t>
      </w:r>
    </w:p>
    <w:p>
      <w:pPr>
        <w:pStyle w:val="BodyText"/>
        <w:spacing w:line="235" w:lineRule="auto" w:before="2"/>
        <w:ind w:left="1245" w:right="167"/>
        <w:jc w:val="both"/>
      </w:pPr>
      <w:r>
        <w:rPr/>
        <w:t>…</w:t>
      </w:r>
      <w:r>
        <w:rPr>
          <w:spacing w:val="-1"/>
        </w:rPr>
        <w:t> </w:t>
      </w:r>
      <w:r>
        <w:rPr/>
        <w:t>and</w:t>
      </w:r>
      <w:r>
        <w:rPr>
          <w:spacing w:val="-1"/>
        </w:rPr>
        <w:t> </w:t>
      </w:r>
      <w:r>
        <w:rPr/>
        <w:t>there</w:t>
      </w:r>
      <w:r>
        <w:rPr>
          <w:spacing w:val="-1"/>
        </w:rPr>
        <w:t> </w:t>
      </w:r>
      <w:r>
        <w:rPr/>
        <w:t>is</w:t>
      </w:r>
      <w:r>
        <w:rPr>
          <w:spacing w:val="-1"/>
        </w:rPr>
        <w:t> </w:t>
      </w:r>
      <w:r>
        <w:rPr/>
        <w:t>nothing</w:t>
      </w:r>
      <w:r>
        <w:rPr>
          <w:spacing w:val="-1"/>
        </w:rPr>
        <w:t> </w:t>
      </w:r>
      <w:r>
        <w:rPr/>
        <w:t>exceptional</w:t>
      </w:r>
      <w:r>
        <w:rPr>
          <w:spacing w:val="-1"/>
        </w:rPr>
        <w:t> </w:t>
      </w:r>
      <w:r>
        <w:rPr/>
        <w:t>to</w:t>
      </w:r>
      <w:r>
        <w:rPr>
          <w:spacing w:val="-1"/>
        </w:rPr>
        <w:t> </w:t>
      </w:r>
      <w:r>
        <w:rPr/>
        <w:t>indicate</w:t>
      </w:r>
      <w:r>
        <w:rPr>
          <w:spacing w:val="-1"/>
        </w:rPr>
        <w:t> </w:t>
      </w:r>
      <w:r>
        <w:rPr/>
        <w:t>that</w:t>
      </w:r>
      <w:r>
        <w:rPr>
          <w:spacing w:val="-1"/>
        </w:rPr>
        <w:t> </w:t>
      </w:r>
      <w:r>
        <w:rPr/>
        <w:t>the</w:t>
      </w:r>
      <w:r>
        <w:rPr>
          <w:spacing w:val="-1"/>
        </w:rPr>
        <w:t> </w:t>
      </w:r>
      <w:r>
        <w:rPr/>
        <w:t>defendant</w:t>
      </w:r>
      <w:r>
        <w:rPr>
          <w:spacing w:val="-1"/>
        </w:rPr>
        <w:t> </w:t>
      </w:r>
      <w:r>
        <w:rPr/>
        <w:t>should</w:t>
      </w:r>
      <w:r>
        <w:rPr>
          <w:spacing w:val="-1"/>
        </w:rPr>
        <w:t> </w:t>
      </w:r>
      <w:r>
        <w:rPr/>
        <w:t>never</w:t>
      </w:r>
      <w:r>
        <w:rPr>
          <w:spacing w:val="-1"/>
        </w:rPr>
        <w:t> </w:t>
      </w:r>
      <w:r>
        <w:rPr/>
        <w:t>have</w:t>
      </w:r>
      <w:r>
        <w:rPr>
          <w:spacing w:val="-1"/>
        </w:rPr>
        <w:t> </w:t>
      </w:r>
      <w:r>
        <w:rPr/>
        <w:t>been entitled to adopt a commercial approach in deciding how to behave in relation to that</w:t>
      </w:r>
      <w:r>
        <w:rPr>
          <w:spacing w:val="40"/>
        </w:rPr>
        <w:t> </w:t>
      </w:r>
      <w:bookmarkStart w:name="_bookmark660" w:id="662"/>
      <w:bookmarkEnd w:id="662"/>
      <w:r>
        <w:rPr/>
        <w:t>right,</w:t>
      </w:r>
      <w:r>
        <w:rPr/>
        <w:t> the appropriate remedy is likely to be an award of damages assessed by reference to a reasonable buy out fee rather than an account of profits.” </w:t>
      </w:r>
      <w:r>
        <w:rPr>
          <w:color w:val="005DA1"/>
          <w:u w:val="single" w:color="005DA1"/>
          <w:vertAlign w:val="superscript"/>
        </w:rPr>
        <w:t>358</w:t>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259748</wp:posOffset>
                </wp:positionV>
                <wp:extent cx="5724525"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52648pt;width:450.75pt;height:.1pt;mso-position-horizontal-relative:page;mso-position-vertical-relative:paragraph;z-index:-15686656;mso-wrap-distance-left:0;mso-wrap-distance-right:0" id="docshape41" coordorigin="1440,409" coordsize="9015,0" path="m1440,409l10454,40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661" w:id="663"/>
      <w:bookmarkEnd w:id="663"/>
      <w:r>
        <w:rPr/>
      </w:r>
      <w:hyperlink w:history="true" w:anchor="_bookmark638">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1 A.C. 268</w:t>
      </w:r>
      <w:r>
        <w:rPr>
          <w:sz w:val="20"/>
        </w:rPr>
        <w:t>. See also below, paras 29-159 et </w:t>
      </w:r>
      <w:r>
        <w:rPr>
          <w:spacing w:val="-4"/>
          <w:sz w:val="20"/>
        </w:rPr>
        <w:t>seq.</w:t>
      </w:r>
    </w:p>
    <w:p>
      <w:pPr>
        <w:pStyle w:val="BodyText"/>
        <w:spacing w:before="9"/>
      </w:pPr>
    </w:p>
    <w:p>
      <w:pPr>
        <w:pStyle w:val="BodyText"/>
        <w:tabs>
          <w:tab w:pos="705" w:val="left" w:leader="none"/>
        </w:tabs>
        <w:spacing w:line="235" w:lineRule="auto"/>
        <w:ind w:left="705" w:right="174" w:hanging="541"/>
      </w:pPr>
      <w:bookmarkStart w:name="_bookmark662" w:id="664"/>
      <w:bookmarkEnd w:id="664"/>
      <w:r>
        <w:rPr/>
      </w:r>
      <w:hyperlink w:history="true" w:anchor="_bookmark639">
        <w:r>
          <w:rPr>
            <w:color w:val="005DA1"/>
            <w:spacing w:val="-4"/>
            <w:position w:val="5"/>
            <w:sz w:val="14"/>
            <w:u w:val="single" w:color="005DA1"/>
          </w:rPr>
          <w:t>334</w:t>
        </w:r>
      </w:hyperlink>
      <w:r>
        <w:rPr>
          <w:spacing w:val="-4"/>
          <w:position w:val="5"/>
          <w:sz w:val="14"/>
        </w:rPr>
        <w:t>.</w:t>
      </w:r>
      <w:r>
        <w:rPr>
          <w:position w:val="5"/>
          <w:sz w:val="14"/>
        </w:rPr>
        <w:tab/>
      </w:r>
      <w:r>
        <w:rPr/>
        <w:t>Though subsequently it has questioned whether he had in fact given a contractual </w:t>
      </w:r>
      <w:r>
        <w:rPr/>
        <w:t>undertaking: see Simpson (2009) 125 L.Q.R. 433.</w:t>
      </w:r>
    </w:p>
    <w:p>
      <w:pPr>
        <w:pStyle w:val="BodyText"/>
        <w:spacing w:before="9"/>
      </w:pPr>
    </w:p>
    <w:p>
      <w:pPr>
        <w:pStyle w:val="BodyText"/>
        <w:spacing w:line="235" w:lineRule="auto"/>
        <w:ind w:left="705" w:right="167" w:hanging="541"/>
        <w:jc w:val="both"/>
      </w:pPr>
      <w:bookmarkStart w:name="_bookmark663" w:id="665"/>
      <w:bookmarkEnd w:id="665"/>
      <w:r>
        <w:rPr/>
      </w:r>
      <w:hyperlink w:history="true" w:anchor="_bookmark640">
        <w:r>
          <w:rPr>
            <w:color w:val="005DA1"/>
            <w:position w:val="5"/>
            <w:sz w:val="14"/>
            <w:u w:val="single" w:color="005DA1"/>
          </w:rPr>
          <w:t>335</w:t>
        </w:r>
      </w:hyperlink>
      <w:r>
        <w:rPr>
          <w:position w:val="5"/>
          <w:sz w:val="14"/>
        </w:rPr>
        <w:t>.</w:t>
      </w:r>
      <w:r>
        <w:rPr>
          <w:spacing w:val="80"/>
          <w:position w:val="5"/>
          <w:sz w:val="14"/>
        </w:rPr>
        <w:t>  </w:t>
      </w:r>
      <w:r>
        <w:rPr/>
        <w:t>Although Scott [2007] L.M.C.L.Q. 465, 468 treats both the remedy given in the </w:t>
      </w:r>
      <w:r>
        <w:rPr>
          <w:rFonts w:ascii="Arial" w:hAnsi="Arial"/>
          <w:i/>
        </w:rPr>
        <w:t>Wrotham Park </w:t>
      </w:r>
      <w:r>
        <w:rPr/>
        <w:t>case and in </w:t>
      </w:r>
      <w:r>
        <w:rPr>
          <w:rFonts w:ascii="Arial" w:hAnsi="Arial"/>
          <w:i/>
        </w:rPr>
        <w:t>Blake</w:t>
      </w:r>
      <w:r>
        <w:rPr/>
        <w:t>’s case as compensatory, these words show that the remedy in </w:t>
      </w:r>
      <w:r>
        <w:rPr>
          <w:rFonts w:ascii="Arial" w:hAnsi="Arial"/>
          <w:i/>
        </w:rPr>
        <w:t>Blake</w:t>
      </w:r>
      <w:r>
        <w:rPr/>
        <w:t>’s case is not one of damages; and a compensatory analysis is must now be doubted: see above, </w:t>
      </w:r>
      <w:r>
        <w:rPr>
          <w:spacing w:val="-2"/>
        </w:rPr>
        <w:t>para.26-051.</w:t>
      </w:r>
    </w:p>
    <w:p>
      <w:pPr>
        <w:pStyle w:val="BodyText"/>
        <w:spacing w:before="5"/>
      </w:pPr>
    </w:p>
    <w:p>
      <w:pPr>
        <w:tabs>
          <w:tab w:pos="705" w:val="left" w:leader="none"/>
        </w:tabs>
        <w:spacing w:before="0"/>
        <w:ind w:left="165" w:right="0" w:firstLine="0"/>
        <w:jc w:val="left"/>
        <w:rPr>
          <w:sz w:val="20"/>
        </w:rPr>
      </w:pPr>
      <w:bookmarkStart w:name="_bookmark664" w:id="666"/>
      <w:bookmarkEnd w:id="666"/>
      <w:r>
        <w:rPr/>
      </w:r>
      <w:hyperlink w:history="true" w:anchor="_bookmark641">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[2001] 1 A.C. 268, 285</w:t>
      </w:r>
      <w:r>
        <w:rPr>
          <w:rFonts w:ascii="Arial"/>
          <w:i/>
          <w:spacing w:val="-1"/>
          <w:sz w:val="20"/>
        </w:rPr>
        <w:t> </w:t>
      </w:r>
      <w:r>
        <w:rPr>
          <w:sz w:val="20"/>
        </w:rPr>
        <w:t>(per Lord </w:t>
      </w:r>
      <w:r>
        <w:rPr>
          <w:spacing w:val="-2"/>
          <w:sz w:val="20"/>
        </w:rPr>
        <w:t>Nicholls).</w:t>
      </w:r>
    </w:p>
    <w:p>
      <w:pPr>
        <w:pStyle w:val="BodyText"/>
        <w:spacing w:before="5"/>
      </w:pPr>
    </w:p>
    <w:p>
      <w:pPr>
        <w:tabs>
          <w:tab w:pos="705" w:val="left" w:leader="none"/>
        </w:tabs>
        <w:spacing w:before="0"/>
        <w:ind w:left="165" w:right="0" w:firstLine="0"/>
        <w:jc w:val="left"/>
        <w:rPr>
          <w:sz w:val="20"/>
        </w:rPr>
      </w:pPr>
      <w:bookmarkStart w:name="_bookmark665" w:id="667"/>
      <w:bookmarkEnd w:id="667"/>
      <w:r>
        <w:rPr/>
      </w:r>
      <w:hyperlink w:history="true" w:anchor="_bookmark642">
        <w:r>
          <w:rPr>
            <w:color w:val="005DA1"/>
            <w:spacing w:val="-4"/>
            <w:position w:val="5"/>
            <w:sz w:val="14"/>
            <w:u w:val="single" w:color="005DA1"/>
          </w:rPr>
          <w:t>337</w:t>
        </w:r>
      </w:hyperlink>
      <w:r>
        <w:rPr>
          <w:spacing w:val="-4"/>
          <w:position w:val="5"/>
          <w:sz w:val="14"/>
        </w:rPr>
        <w:t>.</w:t>
      </w:r>
      <w:r>
        <w:rPr>
          <w:position w:val="5"/>
          <w:sz w:val="14"/>
        </w:rPr>
        <w:tab/>
      </w:r>
      <w:r>
        <w:rPr>
          <w:rFonts w:ascii="Arial" w:hAnsi="Arial"/>
          <w:i/>
          <w:sz w:val="20"/>
        </w:rPr>
        <w:t>[2001] 1 A.C. 268, 286 </w:t>
      </w:r>
      <w:r>
        <w:rPr>
          <w:rFonts w:ascii="Arial" w:hAnsi="Arial"/>
          <w:i/>
          <w:spacing w:val="-4"/>
          <w:sz w:val="20"/>
        </w:rPr>
        <w:t>E–F</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66" w:id="668"/>
      <w:bookmarkEnd w:id="668"/>
      <w:r>
        <w:rPr/>
      </w:r>
      <w:hyperlink w:history="true" w:anchor="_bookmark643">
        <w:r>
          <w:rPr>
            <w:color w:val="005DA1"/>
            <w:spacing w:val="-4"/>
            <w:position w:val="5"/>
            <w:sz w:val="14"/>
            <w:u w:val="single" w:color="005DA1"/>
          </w:rPr>
          <w:t>338</w:t>
        </w:r>
      </w:hyperlink>
      <w:r>
        <w:rPr>
          <w:spacing w:val="-4"/>
          <w:position w:val="5"/>
          <w:sz w:val="14"/>
        </w:rPr>
        <w:t>.</w:t>
      </w:r>
      <w:r>
        <w:rPr>
          <w:position w:val="5"/>
          <w:sz w:val="14"/>
        </w:rPr>
        <w:tab/>
      </w:r>
      <w:r>
        <w:rPr>
          <w:rFonts w:ascii="Arial" w:hAnsi="Arial"/>
          <w:i/>
          <w:sz w:val="20"/>
        </w:rPr>
        <w:t>[2001] 1 A.C. 268, 286 </w:t>
      </w:r>
      <w:r>
        <w:rPr>
          <w:rFonts w:ascii="Arial" w:hAnsi="Arial"/>
          <w:i/>
          <w:spacing w:val="-4"/>
          <w:sz w:val="20"/>
        </w:rPr>
        <w:t>G–H</w:t>
      </w:r>
      <w:r>
        <w:rPr>
          <w:spacing w:val="-4"/>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667" w:id="669"/>
      <w:bookmarkEnd w:id="669"/>
      <w:r>
        <w:rPr/>
      </w:r>
      <w:hyperlink w:history="true" w:anchor="_bookmark643">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[2001]</w:t>
      </w:r>
      <w:r>
        <w:rPr>
          <w:rFonts w:ascii="Arial"/>
          <w:i/>
          <w:spacing w:val="30"/>
          <w:sz w:val="20"/>
        </w:rPr>
        <w:t> </w:t>
      </w:r>
      <w:r>
        <w:rPr>
          <w:rFonts w:ascii="Arial"/>
          <w:i/>
          <w:sz w:val="20"/>
        </w:rPr>
        <w:t>1</w:t>
      </w:r>
      <w:r>
        <w:rPr>
          <w:rFonts w:ascii="Arial"/>
          <w:i/>
          <w:spacing w:val="30"/>
          <w:sz w:val="20"/>
        </w:rPr>
        <w:t> </w:t>
      </w:r>
      <w:r>
        <w:rPr>
          <w:rFonts w:ascii="Arial"/>
          <w:i/>
          <w:sz w:val="20"/>
        </w:rPr>
        <w:t>A.C.</w:t>
      </w:r>
      <w:r>
        <w:rPr>
          <w:rFonts w:ascii="Arial"/>
          <w:i/>
          <w:spacing w:val="30"/>
          <w:sz w:val="20"/>
        </w:rPr>
        <w:t> </w:t>
      </w:r>
      <w:r>
        <w:rPr>
          <w:rFonts w:ascii="Arial"/>
          <w:i/>
          <w:sz w:val="20"/>
        </w:rPr>
        <w:t>268,</w:t>
      </w:r>
      <w:r>
        <w:rPr>
          <w:rFonts w:ascii="Arial"/>
          <w:i/>
          <w:spacing w:val="30"/>
          <w:sz w:val="20"/>
        </w:rPr>
        <w:t> </w:t>
      </w:r>
      <w:r>
        <w:rPr>
          <w:rFonts w:ascii="Arial"/>
          <w:i/>
          <w:sz w:val="20"/>
        </w:rPr>
        <w:t>286</w:t>
      </w:r>
      <w:r>
        <w:rPr>
          <w:rFonts w:ascii="Arial"/>
          <w:i/>
          <w:spacing w:val="30"/>
          <w:sz w:val="20"/>
        </w:rPr>
        <w:t> </w:t>
      </w:r>
      <w:r>
        <w:rPr>
          <w:sz w:val="20"/>
        </w:rPr>
        <w:t>G.</w:t>
      </w:r>
      <w:r>
        <w:rPr>
          <w:spacing w:val="30"/>
          <w:sz w:val="20"/>
        </w:rPr>
        <w:t> </w:t>
      </w:r>
      <w:r>
        <w:rPr>
          <w:sz w:val="20"/>
        </w:rPr>
        <w:t>Repetition</w:t>
      </w:r>
      <w:r>
        <w:rPr>
          <w:spacing w:val="30"/>
          <w:sz w:val="20"/>
        </w:rPr>
        <w:t> </w:t>
      </w:r>
      <w:r>
        <w:rPr>
          <w:sz w:val="20"/>
        </w:rPr>
        <w:t>of</w:t>
      </w:r>
      <w:r>
        <w:rPr>
          <w:spacing w:val="30"/>
          <w:sz w:val="20"/>
        </w:rPr>
        <w:t> </w:t>
      </w:r>
      <w:r>
        <w:rPr>
          <w:sz w:val="20"/>
        </w:rPr>
        <w:t>breaches</w:t>
      </w:r>
      <w:r>
        <w:rPr>
          <w:spacing w:val="30"/>
          <w:sz w:val="20"/>
        </w:rPr>
        <w:t> </w:t>
      </w:r>
      <w:r>
        <w:rPr>
          <w:sz w:val="20"/>
        </w:rPr>
        <w:t>was</w:t>
      </w:r>
      <w:r>
        <w:rPr>
          <w:spacing w:val="30"/>
          <w:sz w:val="20"/>
        </w:rPr>
        <w:t> </w:t>
      </w:r>
      <w:r>
        <w:rPr>
          <w:sz w:val="20"/>
        </w:rPr>
        <w:t>an</w:t>
      </w:r>
      <w:r>
        <w:rPr>
          <w:spacing w:val="30"/>
          <w:sz w:val="20"/>
        </w:rPr>
        <w:t> </w:t>
      </w:r>
      <w:r>
        <w:rPr>
          <w:sz w:val="20"/>
        </w:rPr>
        <w:t>important</w:t>
      </w:r>
      <w:r>
        <w:rPr>
          <w:spacing w:val="30"/>
          <w:sz w:val="20"/>
        </w:rPr>
        <w:t> </w:t>
      </w:r>
      <w:r>
        <w:rPr>
          <w:sz w:val="20"/>
        </w:rPr>
        <w:t>factor</w:t>
      </w:r>
      <w:r>
        <w:rPr>
          <w:spacing w:val="30"/>
          <w:sz w:val="20"/>
        </w:rPr>
        <w:t> </w:t>
      </w:r>
      <w:r>
        <w:rPr>
          <w:sz w:val="20"/>
        </w:rPr>
        <w:t>in</w:t>
      </w:r>
      <w:r>
        <w:rPr>
          <w:spacing w:val="30"/>
          <w:sz w:val="20"/>
        </w:rPr>
        <w:t> </w:t>
      </w:r>
      <w:r>
        <w:rPr>
          <w:sz w:val="20"/>
        </w:rPr>
        <w:t>the</w:t>
      </w:r>
      <w:r>
        <w:rPr>
          <w:spacing w:val="29"/>
          <w:sz w:val="20"/>
        </w:rPr>
        <w:t> </w:t>
      </w:r>
      <w:r>
        <w:rPr>
          <w:rFonts w:ascii="Arial"/>
          <w:i/>
          <w:sz w:val="20"/>
        </w:rPr>
        <w:t>Niad</w:t>
      </w:r>
      <w:r>
        <w:rPr>
          <w:rFonts w:ascii="Arial"/>
          <w:i/>
          <w:spacing w:val="30"/>
          <w:sz w:val="20"/>
        </w:rPr>
        <w:t> </w:t>
      </w:r>
      <w:r>
        <w:rPr>
          <w:rFonts w:ascii="Arial"/>
          <w:i/>
          <w:sz w:val="20"/>
        </w:rPr>
        <w:t>case [2001] All E.R. (D) 324</w:t>
      </w:r>
      <w:r>
        <w:rPr>
          <w:sz w:val="20"/>
        </w:rPr>
        <w:t>.</w:t>
      </w:r>
    </w:p>
    <w:p>
      <w:pPr>
        <w:pStyle w:val="BodyText"/>
        <w:spacing w:before="9"/>
      </w:pPr>
    </w:p>
    <w:p>
      <w:pPr>
        <w:pStyle w:val="BodyText"/>
        <w:tabs>
          <w:tab w:pos="705" w:val="left" w:leader="none"/>
        </w:tabs>
        <w:spacing w:line="235" w:lineRule="auto"/>
        <w:ind w:left="705" w:right="167" w:hanging="541"/>
      </w:pPr>
      <w:bookmarkStart w:name="_bookmark668" w:id="670"/>
      <w:bookmarkEnd w:id="670"/>
      <w:r>
        <w:rPr/>
      </w:r>
      <w:hyperlink w:history="true" w:anchor="_bookmark644">
        <w:r>
          <w:rPr>
            <w:color w:val="005DA1"/>
            <w:spacing w:val="-4"/>
            <w:position w:val="5"/>
            <w:sz w:val="14"/>
            <w:u w:val="single" w:color="005DA1"/>
          </w:rPr>
          <w:t>340</w:t>
        </w:r>
      </w:hyperlink>
      <w:r>
        <w:rPr>
          <w:spacing w:val="-4"/>
          <w:position w:val="5"/>
          <w:sz w:val="14"/>
        </w:rPr>
        <w:t>.</w:t>
      </w:r>
      <w:r>
        <w:rPr>
          <w:position w:val="5"/>
          <w:sz w:val="14"/>
        </w:rPr>
        <w:tab/>
      </w:r>
      <w:r>
        <w:rPr/>
        <w:t>The</w:t>
      </w:r>
      <w:r>
        <w:rPr>
          <w:spacing w:val="76"/>
        </w:rPr>
        <w:t> </w:t>
      </w:r>
      <w:r>
        <w:rPr/>
        <w:t>situation</w:t>
      </w:r>
      <w:r>
        <w:rPr>
          <w:spacing w:val="76"/>
        </w:rPr>
        <w:t> </w:t>
      </w:r>
      <w:r>
        <w:rPr/>
        <w:t>was</w:t>
      </w:r>
      <w:r>
        <w:rPr>
          <w:spacing w:val="76"/>
        </w:rPr>
        <w:t> </w:t>
      </w:r>
      <w:r>
        <w:rPr/>
        <w:t>not</w:t>
      </w:r>
      <w:r>
        <w:rPr>
          <w:spacing w:val="76"/>
        </w:rPr>
        <w:t> </w:t>
      </w:r>
      <w:r>
        <w:rPr/>
        <w:t>sufficiently</w:t>
      </w:r>
      <w:r>
        <w:rPr>
          <w:spacing w:val="76"/>
        </w:rPr>
        <w:t> </w:t>
      </w:r>
      <w:r>
        <w:rPr/>
        <w:t>exceptional</w:t>
      </w:r>
      <w:r>
        <w:rPr>
          <w:spacing w:val="76"/>
        </w:rPr>
        <w:t> </w:t>
      </w:r>
      <w:r>
        <w:rPr/>
        <w:t>for</w:t>
      </w:r>
      <w:r>
        <w:rPr>
          <w:spacing w:val="76"/>
        </w:rPr>
        <w:t> </w:t>
      </w:r>
      <w:r>
        <w:rPr/>
        <w:t>an</w:t>
      </w:r>
      <w:r>
        <w:rPr>
          <w:spacing w:val="76"/>
        </w:rPr>
        <w:t> </w:t>
      </w:r>
      <w:r>
        <w:rPr/>
        <w:t>account</w:t>
      </w:r>
      <w:r>
        <w:rPr>
          <w:spacing w:val="76"/>
        </w:rPr>
        <w:t> </w:t>
      </w:r>
      <w:r>
        <w:rPr/>
        <w:t>of</w:t>
      </w:r>
      <w:r>
        <w:rPr>
          <w:spacing w:val="76"/>
        </w:rPr>
        <w:t> </w:t>
      </w:r>
      <w:r>
        <w:rPr/>
        <w:t>all</w:t>
      </w:r>
      <w:r>
        <w:rPr>
          <w:spacing w:val="76"/>
        </w:rPr>
        <w:t> </w:t>
      </w:r>
      <w:r>
        <w:rPr/>
        <w:t>profits.</w:t>
      </w:r>
      <w:r>
        <w:rPr>
          <w:spacing w:val="76"/>
        </w:rPr>
        <w:t> </w:t>
      </w:r>
      <w:r>
        <w:rPr/>
        <w:t>See</w:t>
      </w:r>
      <w:r>
        <w:rPr>
          <w:spacing w:val="76"/>
        </w:rPr>
        <w:t> </w:t>
      </w:r>
      <w:r>
        <w:rPr/>
        <w:t>below, </w:t>
      </w:r>
      <w:r>
        <w:rPr>
          <w:spacing w:val="-2"/>
        </w:rPr>
        <w:t>para.29-161.</w:t>
      </w:r>
    </w:p>
    <w:p>
      <w:pPr>
        <w:pStyle w:val="BodyText"/>
        <w:spacing w:before="9"/>
      </w:pPr>
    </w:p>
    <w:p>
      <w:pPr>
        <w:tabs>
          <w:tab w:pos="705" w:val="left" w:leader="none"/>
        </w:tabs>
        <w:spacing w:line="235" w:lineRule="auto" w:before="0"/>
        <w:ind w:left="705" w:right="174" w:hanging="541"/>
        <w:jc w:val="left"/>
        <w:rPr>
          <w:sz w:val="20"/>
        </w:rPr>
      </w:pPr>
      <w:bookmarkStart w:name="_bookmark669" w:id="671"/>
      <w:bookmarkEnd w:id="671"/>
      <w:r>
        <w:rPr/>
      </w:r>
      <w:hyperlink w:history="true" w:anchor="_bookmark645">
        <w:r>
          <w:rPr>
            <w:color w:val="005DA1"/>
            <w:spacing w:val="-4"/>
            <w:position w:val="5"/>
            <w:sz w:val="14"/>
            <w:u w:val="single" w:color="005DA1"/>
          </w:rPr>
          <w:t>341</w:t>
        </w:r>
      </w:hyperlink>
      <w:r>
        <w:rPr>
          <w:spacing w:val="-4"/>
          <w:position w:val="5"/>
          <w:sz w:val="14"/>
        </w:rPr>
        <w:t>.</w:t>
      </w:r>
      <w:r>
        <w:rPr>
          <w:position w:val="5"/>
          <w:sz w:val="14"/>
        </w:rPr>
        <w:tab/>
      </w:r>
      <w:r>
        <w:rPr>
          <w:sz w:val="20"/>
        </w:rPr>
        <w:t>An account of profits in a commercial case was granted at first instance in </w:t>
      </w:r>
      <w:r>
        <w:rPr>
          <w:rFonts w:ascii="Arial" w:hAnsi="Arial"/>
          <w:i/>
          <w:sz w:val="20"/>
        </w:rPr>
        <w:t>Esso Petroleum </w:t>
      </w:r>
      <w:r>
        <w:rPr>
          <w:rFonts w:ascii="Arial" w:hAnsi="Arial"/>
          <w:i/>
          <w:sz w:val="20"/>
        </w:rPr>
        <w:t>Co Ltd v Niad Ltd [2001] All E.R. (D) 324</w:t>
      </w:r>
      <w:r>
        <w:rPr>
          <w:sz w:val="20"/>
        </w:rPr>
        <w:t>, see below para.26–057.</w:t>
      </w:r>
    </w:p>
    <w:p>
      <w:pPr>
        <w:pStyle w:val="BodyText"/>
        <w:spacing w:before="6"/>
      </w:pPr>
    </w:p>
    <w:p>
      <w:pPr>
        <w:tabs>
          <w:tab w:pos="705" w:val="left" w:leader="none"/>
        </w:tabs>
        <w:spacing w:before="0"/>
        <w:ind w:left="165" w:right="0" w:firstLine="0"/>
        <w:jc w:val="left"/>
        <w:rPr>
          <w:sz w:val="20"/>
        </w:rPr>
      </w:pPr>
      <w:bookmarkStart w:name="_bookmark670" w:id="672"/>
      <w:bookmarkEnd w:id="672"/>
      <w:r>
        <w:rPr/>
      </w:r>
      <w:hyperlink w:history="true" w:anchor="_bookmark646">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[36].</w:t>
      </w:r>
    </w:p>
    <w:p>
      <w:pPr>
        <w:pStyle w:val="BodyText"/>
        <w:spacing w:before="5"/>
      </w:pPr>
    </w:p>
    <w:p>
      <w:pPr>
        <w:tabs>
          <w:tab w:pos="705" w:val="left" w:leader="none"/>
        </w:tabs>
        <w:spacing w:before="0"/>
        <w:ind w:left="165" w:right="0" w:firstLine="0"/>
        <w:jc w:val="left"/>
        <w:rPr>
          <w:sz w:val="20"/>
        </w:rPr>
      </w:pPr>
      <w:bookmarkStart w:name="_bookmark671" w:id="673"/>
      <w:bookmarkEnd w:id="673"/>
      <w:r>
        <w:rPr/>
      </w:r>
      <w:hyperlink w:history="true" w:anchor="_bookmark647">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[36].</w:t>
      </w:r>
    </w:p>
    <w:p>
      <w:pPr>
        <w:pStyle w:val="BodyText"/>
        <w:spacing w:before="5"/>
      </w:pPr>
    </w:p>
    <w:p>
      <w:pPr>
        <w:tabs>
          <w:tab w:pos="705" w:val="left" w:leader="none"/>
        </w:tabs>
        <w:spacing w:before="0"/>
        <w:ind w:left="165" w:right="0" w:firstLine="0"/>
        <w:jc w:val="left"/>
        <w:rPr>
          <w:sz w:val="20"/>
        </w:rPr>
      </w:pPr>
      <w:bookmarkStart w:name="_bookmark672" w:id="674"/>
      <w:bookmarkEnd w:id="674"/>
      <w:r>
        <w:rPr/>
      </w:r>
      <w:hyperlink w:history="true" w:anchor="_bookmark648">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[58].</w:t>
      </w:r>
    </w:p>
    <w:p>
      <w:pPr>
        <w:pStyle w:val="BodyText"/>
        <w:spacing w:before="5"/>
      </w:pPr>
    </w:p>
    <w:p>
      <w:pPr>
        <w:tabs>
          <w:tab w:pos="705" w:val="left" w:leader="none"/>
        </w:tabs>
        <w:spacing w:before="0"/>
        <w:ind w:left="165" w:right="0" w:firstLine="0"/>
        <w:jc w:val="left"/>
        <w:rPr>
          <w:sz w:val="20"/>
        </w:rPr>
      </w:pPr>
      <w:bookmarkStart w:name="_bookmark673" w:id="675"/>
      <w:bookmarkEnd w:id="675"/>
      <w:r>
        <w:rPr/>
      </w:r>
      <w:hyperlink w:history="true" w:anchor="_bookmark648">
        <w:r>
          <w:rPr>
            <w:color w:val="005DA1"/>
            <w:spacing w:val="-4"/>
            <w:position w:val="5"/>
            <w:sz w:val="14"/>
            <w:u w:val="single" w:color="005DA1"/>
          </w:rPr>
          <w:t>345</w:t>
        </w:r>
      </w:hyperlink>
      <w:r>
        <w:rPr>
          <w:spacing w:val="-4"/>
          <w:position w:val="5"/>
          <w:sz w:val="14"/>
        </w:rPr>
        <w:t>.</w:t>
      </w:r>
      <w:r>
        <w:rPr>
          <w:position w:val="5"/>
          <w:sz w:val="14"/>
        </w:rPr>
        <w:tab/>
      </w:r>
      <w:r>
        <w:rPr>
          <w:rFonts w:ascii="Arial"/>
          <w:i/>
          <w:sz w:val="20"/>
        </w:rPr>
        <w:t>[2003] EWCA Civ 323</w:t>
      </w:r>
      <w:r>
        <w:rPr>
          <w:rFonts w:ascii="Arial"/>
          <w:i/>
          <w:spacing w:val="-1"/>
          <w:sz w:val="20"/>
        </w:rPr>
        <w:t> </w:t>
      </w:r>
      <w:r>
        <w:rPr>
          <w:sz w:val="20"/>
        </w:rPr>
        <w:t>at </w:t>
      </w:r>
      <w:r>
        <w:rPr>
          <w:spacing w:val="-2"/>
          <w:sz w:val="20"/>
        </w:rPr>
        <w:t>[54].</w:t>
      </w:r>
    </w:p>
    <w:p>
      <w:pPr>
        <w:pStyle w:val="BodyText"/>
        <w:spacing w:before="5"/>
      </w:pPr>
    </w:p>
    <w:p>
      <w:pPr>
        <w:tabs>
          <w:tab w:pos="705" w:val="left" w:leader="none"/>
        </w:tabs>
        <w:spacing w:before="0"/>
        <w:ind w:left="165" w:right="0" w:firstLine="0"/>
        <w:jc w:val="left"/>
        <w:rPr>
          <w:rFonts w:ascii="Arial"/>
          <w:i/>
          <w:sz w:val="20"/>
        </w:rPr>
      </w:pPr>
      <w:bookmarkStart w:name="_bookmark674" w:id="676"/>
      <w:bookmarkEnd w:id="676"/>
      <w:r>
        <w:rPr/>
      </w:r>
      <w:hyperlink w:history="true" w:anchor="_bookmark649">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Att-Gen v Blake [2001] 1 A.C. 268, </w:t>
      </w:r>
      <w:r>
        <w:rPr>
          <w:rFonts w:ascii="Arial"/>
          <w:i/>
          <w:spacing w:val="-4"/>
          <w:sz w:val="20"/>
        </w:rPr>
        <w:t>285.</w:t>
      </w:r>
    </w:p>
    <w:p>
      <w:pPr>
        <w:pStyle w:val="BodyText"/>
        <w:spacing w:before="5"/>
        <w:rPr>
          <w:rFonts w:ascii="Arial"/>
          <w:i/>
        </w:rPr>
      </w:pPr>
    </w:p>
    <w:p>
      <w:pPr>
        <w:tabs>
          <w:tab w:pos="705" w:val="left" w:leader="none"/>
        </w:tabs>
        <w:spacing w:before="0"/>
        <w:ind w:left="165" w:right="0" w:firstLine="0"/>
        <w:jc w:val="left"/>
        <w:rPr>
          <w:sz w:val="20"/>
        </w:rPr>
      </w:pPr>
      <w:bookmarkStart w:name="_bookmark675" w:id="677"/>
      <w:bookmarkEnd w:id="677"/>
      <w:r>
        <w:rPr/>
      </w:r>
      <w:hyperlink w:history="true" w:anchor="_bookmark650">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Experience Hendrix [2003] EWCA Civ 323</w:t>
      </w:r>
      <w:r>
        <w:rPr>
          <w:rFonts w:ascii="Arial"/>
          <w:i/>
          <w:spacing w:val="-1"/>
          <w:sz w:val="20"/>
        </w:rPr>
        <w:t> </w:t>
      </w:r>
      <w:r>
        <w:rPr>
          <w:sz w:val="20"/>
        </w:rPr>
        <w:t>at </w:t>
      </w:r>
      <w:r>
        <w:rPr>
          <w:spacing w:val="-4"/>
          <w:sz w:val="20"/>
        </w:rPr>
        <w:t>[58].</w:t>
      </w:r>
    </w:p>
    <w:p>
      <w:pPr>
        <w:pStyle w:val="BodyText"/>
        <w:spacing w:before="5"/>
      </w:pPr>
    </w:p>
    <w:p>
      <w:pPr>
        <w:tabs>
          <w:tab w:pos="705" w:val="left" w:leader="none"/>
        </w:tabs>
        <w:spacing w:before="0"/>
        <w:ind w:left="165" w:right="0" w:firstLine="0"/>
        <w:jc w:val="left"/>
        <w:rPr>
          <w:sz w:val="20"/>
        </w:rPr>
      </w:pPr>
      <w:bookmarkStart w:name="_bookmark676" w:id="678"/>
      <w:bookmarkEnd w:id="678"/>
      <w:r>
        <w:rPr/>
      </w:r>
      <w:hyperlink w:history="true" w:anchor="_bookmark651">
        <w:r>
          <w:rPr>
            <w:color w:val="005DA1"/>
            <w:spacing w:val="-4"/>
            <w:position w:val="5"/>
            <w:sz w:val="14"/>
            <w:u w:val="single" w:color="005DA1"/>
          </w:rPr>
          <w:t>348</w:t>
        </w:r>
      </w:hyperlink>
      <w:r>
        <w:rPr>
          <w:spacing w:val="-4"/>
          <w:position w:val="5"/>
          <w:sz w:val="14"/>
        </w:rPr>
        <w:t>.</w:t>
      </w:r>
      <w:r>
        <w:rPr>
          <w:position w:val="5"/>
          <w:sz w:val="14"/>
        </w:rPr>
        <w:tab/>
      </w:r>
      <w:r>
        <w:rPr>
          <w:rFonts w:ascii="Arial" w:hAnsi="Arial"/>
          <w:i/>
          <w:sz w:val="20"/>
        </w:rPr>
        <w:t>Att-Gen v Blake [2001] 1 A.C. 268, 287 </w:t>
      </w:r>
      <w:r>
        <w:rPr>
          <w:rFonts w:ascii="Arial" w:hAnsi="Arial"/>
          <w:i/>
          <w:spacing w:val="-4"/>
          <w:sz w:val="20"/>
        </w:rPr>
        <w:t>F–G</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77" w:id="679"/>
      <w:bookmarkEnd w:id="679"/>
      <w:r>
        <w:rPr/>
      </w:r>
      <w:hyperlink w:history="true" w:anchor="_bookmark652">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Experience Hendrix [2003] EWCA Civ 323</w:t>
      </w:r>
      <w:r>
        <w:rPr>
          <w:rFonts w:ascii="Arial"/>
          <w:i/>
          <w:spacing w:val="-1"/>
          <w:sz w:val="20"/>
        </w:rPr>
        <w:t> </w:t>
      </w:r>
      <w:r>
        <w:rPr>
          <w:sz w:val="20"/>
        </w:rPr>
        <w:t>at </w:t>
      </w:r>
      <w:r>
        <w:rPr>
          <w:spacing w:val="-4"/>
          <w:sz w:val="20"/>
        </w:rPr>
        <w:t>[37].</w:t>
      </w:r>
    </w:p>
    <w:p>
      <w:pPr>
        <w:pStyle w:val="BodyText"/>
        <w:spacing w:before="5"/>
      </w:pPr>
    </w:p>
    <w:p>
      <w:pPr>
        <w:tabs>
          <w:tab w:pos="705" w:val="left" w:leader="none"/>
        </w:tabs>
        <w:spacing w:before="0"/>
        <w:ind w:left="165" w:right="0" w:firstLine="0"/>
        <w:jc w:val="left"/>
        <w:rPr>
          <w:sz w:val="20"/>
        </w:rPr>
      </w:pPr>
      <w:bookmarkStart w:name="_bookmark678" w:id="680"/>
      <w:bookmarkEnd w:id="680"/>
      <w:r>
        <w:rPr/>
      </w:r>
      <w:hyperlink w:history="true" w:anchor="_bookmark653">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Att-Gen v Blake [2001] 1 A.C. 268, </w:t>
      </w:r>
      <w:r>
        <w:rPr>
          <w:rFonts w:ascii="Arial"/>
          <w:i/>
          <w:spacing w:val="-4"/>
          <w:sz w:val="20"/>
        </w:rPr>
        <w:t>279</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54">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Watson, Laidlaw &amp; Co Ltd v Pott. Cassels and Williamson (1914) 31 R.P.C. </w:t>
      </w:r>
      <w:r>
        <w:rPr>
          <w:rFonts w:ascii="Arial"/>
          <w:i/>
          <w:spacing w:val="-4"/>
          <w:sz w:val="20"/>
        </w:rPr>
        <w:t>104</w:t>
      </w:r>
      <w:r>
        <w:rPr>
          <w:spacing w:val="-4"/>
          <w:sz w:val="20"/>
        </w:rPr>
        <w:t>.</w:t>
      </w:r>
    </w:p>
    <w:p>
      <w:pPr>
        <w:pStyle w:val="BodyText"/>
        <w:spacing w:before="5"/>
      </w:pPr>
    </w:p>
    <w:p>
      <w:pPr>
        <w:pStyle w:val="BodyText"/>
        <w:tabs>
          <w:tab w:pos="705" w:val="left" w:leader="none"/>
        </w:tabs>
        <w:spacing w:before="1"/>
        <w:ind w:left="165"/>
      </w:pPr>
      <w:bookmarkStart w:name="_bookmark679" w:id="681"/>
      <w:bookmarkEnd w:id="681"/>
      <w:r>
        <w:rPr/>
      </w:r>
      <w:hyperlink w:history="true" w:anchor="_bookmark655">
        <w:r>
          <w:rPr>
            <w:color w:val="005DA1"/>
            <w:spacing w:val="-4"/>
            <w:position w:val="5"/>
            <w:sz w:val="14"/>
            <w:u w:val="single" w:color="005DA1"/>
          </w:rPr>
          <w:t>352</w:t>
        </w:r>
      </w:hyperlink>
      <w:r>
        <w:rPr>
          <w:spacing w:val="-4"/>
          <w:position w:val="5"/>
          <w:sz w:val="14"/>
        </w:rPr>
        <w:t>.</w:t>
      </w:r>
      <w:r>
        <w:rPr>
          <w:position w:val="5"/>
          <w:sz w:val="14"/>
        </w:rPr>
        <w:tab/>
      </w:r>
      <w:r>
        <w:rPr/>
        <w:t>Campbell and Wylie [2003] C.L.J. 605, </w:t>
      </w:r>
      <w:r>
        <w:rPr>
          <w:spacing w:val="-2"/>
        </w:rPr>
        <w:t>623–628.</w:t>
      </w:r>
    </w:p>
    <w:p>
      <w:pPr>
        <w:pStyle w:val="BodyText"/>
        <w:spacing w:before="8"/>
      </w:pPr>
    </w:p>
    <w:p>
      <w:pPr>
        <w:pStyle w:val="BodyText"/>
        <w:tabs>
          <w:tab w:pos="705" w:val="left" w:leader="none"/>
        </w:tabs>
        <w:spacing w:line="235" w:lineRule="auto"/>
        <w:ind w:left="705" w:right="167" w:hanging="541"/>
      </w:pPr>
      <w:bookmarkStart w:name="_bookmark680" w:id="682"/>
      <w:bookmarkEnd w:id="682"/>
      <w:r>
        <w:rPr/>
      </w:r>
      <w:hyperlink w:history="true" w:anchor="_bookmark656">
        <w:r>
          <w:rPr>
            <w:color w:val="005DA1"/>
            <w:spacing w:val="-4"/>
            <w:position w:val="5"/>
            <w:sz w:val="14"/>
            <w:u w:val="single" w:color="005DA1"/>
          </w:rPr>
          <w:t>353</w:t>
        </w:r>
      </w:hyperlink>
      <w:r>
        <w:rPr>
          <w:spacing w:val="-4"/>
          <w:position w:val="5"/>
          <w:sz w:val="14"/>
        </w:rPr>
        <w:t>.</w:t>
      </w:r>
      <w:r>
        <w:rPr>
          <w:position w:val="5"/>
          <w:sz w:val="14"/>
        </w:rPr>
        <w:tab/>
      </w:r>
      <w:r>
        <w:rPr/>
        <w:t>The</w:t>
      </w:r>
      <w:r>
        <w:rPr>
          <w:spacing w:val="76"/>
        </w:rPr>
        <w:t> </w:t>
      </w:r>
      <w:r>
        <w:rPr/>
        <w:t>situation</w:t>
      </w:r>
      <w:r>
        <w:rPr>
          <w:spacing w:val="76"/>
        </w:rPr>
        <w:t> </w:t>
      </w:r>
      <w:r>
        <w:rPr/>
        <w:t>was</w:t>
      </w:r>
      <w:r>
        <w:rPr>
          <w:spacing w:val="76"/>
        </w:rPr>
        <w:t> </w:t>
      </w:r>
      <w:r>
        <w:rPr/>
        <w:t>not</w:t>
      </w:r>
      <w:r>
        <w:rPr>
          <w:spacing w:val="76"/>
        </w:rPr>
        <w:t> </w:t>
      </w:r>
      <w:r>
        <w:rPr/>
        <w:t>sufficiently</w:t>
      </w:r>
      <w:r>
        <w:rPr>
          <w:spacing w:val="76"/>
        </w:rPr>
        <w:t> </w:t>
      </w:r>
      <w:r>
        <w:rPr/>
        <w:t>exceptional</w:t>
      </w:r>
      <w:r>
        <w:rPr>
          <w:spacing w:val="76"/>
        </w:rPr>
        <w:t> </w:t>
      </w:r>
      <w:r>
        <w:rPr/>
        <w:t>for</w:t>
      </w:r>
      <w:r>
        <w:rPr>
          <w:spacing w:val="76"/>
        </w:rPr>
        <w:t> </w:t>
      </w:r>
      <w:r>
        <w:rPr/>
        <w:t>an</w:t>
      </w:r>
      <w:r>
        <w:rPr>
          <w:spacing w:val="76"/>
        </w:rPr>
        <w:t> </w:t>
      </w:r>
      <w:r>
        <w:rPr/>
        <w:t>account</w:t>
      </w:r>
      <w:r>
        <w:rPr>
          <w:spacing w:val="76"/>
        </w:rPr>
        <w:t> </w:t>
      </w:r>
      <w:r>
        <w:rPr/>
        <w:t>of</w:t>
      </w:r>
      <w:r>
        <w:rPr>
          <w:spacing w:val="76"/>
        </w:rPr>
        <w:t> </w:t>
      </w:r>
      <w:r>
        <w:rPr/>
        <w:t>all</w:t>
      </w:r>
      <w:r>
        <w:rPr>
          <w:spacing w:val="76"/>
        </w:rPr>
        <w:t> </w:t>
      </w:r>
      <w:r>
        <w:rPr/>
        <w:t>profits.</w:t>
      </w:r>
      <w:r>
        <w:rPr>
          <w:spacing w:val="76"/>
        </w:rPr>
        <w:t> </w:t>
      </w:r>
      <w:r>
        <w:rPr/>
        <w:t>See</w:t>
      </w:r>
      <w:r>
        <w:rPr>
          <w:spacing w:val="76"/>
        </w:rPr>
        <w:t> </w:t>
      </w:r>
      <w:r>
        <w:rPr/>
        <w:t>below, </w:t>
      </w:r>
      <w:r>
        <w:rPr>
          <w:spacing w:val="-2"/>
        </w:rPr>
        <w:t>para.29-161.</w:t>
      </w:r>
    </w:p>
    <w:p>
      <w:pPr>
        <w:pStyle w:val="BodyText"/>
        <w:spacing w:before="6"/>
      </w:pPr>
    </w:p>
    <w:p>
      <w:pPr>
        <w:tabs>
          <w:tab w:pos="705" w:val="left" w:leader="none"/>
        </w:tabs>
        <w:spacing w:before="0"/>
        <w:ind w:left="165" w:right="0" w:firstLine="0"/>
        <w:jc w:val="left"/>
        <w:rPr>
          <w:sz w:val="20"/>
        </w:rPr>
      </w:pPr>
      <w:bookmarkStart w:name="_bookmark681" w:id="683"/>
      <w:bookmarkEnd w:id="683"/>
      <w:r>
        <w:rPr/>
      </w:r>
      <w:hyperlink w:history="true" w:anchor="_bookmark657">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[2001] All E.R. (D) 324 </w:t>
      </w:r>
      <w:r>
        <w:rPr>
          <w:rFonts w:ascii="Arial"/>
          <w:i/>
          <w:spacing w:val="-2"/>
          <w:sz w:val="20"/>
        </w:rPr>
        <w:t>(Nov)</w:t>
      </w:r>
      <w:r>
        <w:rPr>
          <w:spacing w:val="-2"/>
          <w:sz w:val="20"/>
        </w:rPr>
        <w:t>.</w:t>
      </w:r>
    </w:p>
    <w:p>
      <w:pPr>
        <w:pStyle w:val="BodyText"/>
        <w:spacing w:before="8"/>
      </w:pPr>
    </w:p>
    <w:p>
      <w:pPr>
        <w:spacing w:line="235" w:lineRule="auto" w:before="1"/>
        <w:ind w:left="705" w:right="168" w:hanging="541"/>
        <w:jc w:val="both"/>
        <w:rPr>
          <w:sz w:val="20"/>
        </w:rPr>
      </w:pPr>
      <w:bookmarkStart w:name="_bookmark682" w:id="684"/>
      <w:bookmarkEnd w:id="684"/>
      <w:r>
        <w:rPr/>
      </w:r>
      <w:hyperlink w:history="true" w:anchor="_bookmark658">
        <w:r>
          <w:rPr>
            <w:color w:val="005DA1"/>
            <w:position w:val="5"/>
            <w:sz w:val="14"/>
            <w:u w:val="single" w:color="005DA1"/>
          </w:rPr>
          <w:t>355</w:t>
        </w:r>
      </w:hyperlink>
      <w:r>
        <w:rPr>
          <w:position w:val="5"/>
          <w:sz w:val="14"/>
        </w:rPr>
        <w:t>.</w:t>
      </w:r>
      <w:r>
        <w:rPr>
          <w:spacing w:val="40"/>
          <w:position w:val="5"/>
          <w:sz w:val="14"/>
        </w:rPr>
        <w:t>  </w:t>
      </w:r>
      <w:r>
        <w:rPr>
          <w:sz w:val="20"/>
        </w:rPr>
        <w:t>Compare </w:t>
      </w:r>
      <w:r>
        <w:rPr>
          <w:rFonts w:ascii="Arial" w:hAnsi="Arial"/>
          <w:i/>
          <w:sz w:val="20"/>
        </w:rPr>
        <w:t>AB Corp v CD Co (The Sine Nomine) [2002] 1 Lloyd’s Rep. 805</w:t>
      </w:r>
      <w:r>
        <w:rPr>
          <w:sz w:val="20"/>
        </w:rPr>
        <w:t>; </w:t>
      </w:r>
      <w:r>
        <w:rPr>
          <w:rFonts w:ascii="Arial" w:hAnsi="Arial"/>
          <w:i/>
          <w:sz w:val="20"/>
        </w:rPr>
        <w:t>Devenish Nutrition v Sanofi-Aventis [2008] EWCA Civ 1086, [2009] 3 All E.R. 27</w:t>
      </w:r>
      <w:r>
        <w:rPr>
          <w:sz w:val="20"/>
        </w:rPr>
        <w:t>, especially at [148] and [157] (a cartel case; facts must be exceptional for an account of profits); </w:t>
      </w:r>
      <w:r>
        <w:rPr>
          <w:rFonts w:ascii="Arial" w:hAnsi="Arial"/>
          <w:i/>
          <w:sz w:val="20"/>
        </w:rPr>
        <w:t>Luxe Holding Ltd v Midland Resources Holding Ltd [2010] EWHC 1908 (Ch) </w:t>
      </w:r>
      <w:r>
        <w:rPr>
          <w:sz w:val="20"/>
        </w:rPr>
        <w:t>(ordinary commercial contract broken so that seller could take advantage of better offer; normal compensatory measure should apply).</w:t>
      </w:r>
    </w:p>
    <w:p>
      <w:pPr>
        <w:pStyle w:val="BodyText"/>
        <w:spacing w:before="8"/>
      </w:pPr>
    </w:p>
    <w:p>
      <w:pPr>
        <w:spacing w:line="235" w:lineRule="auto" w:before="0"/>
        <w:ind w:left="705" w:right="167" w:hanging="541"/>
        <w:jc w:val="both"/>
        <w:rPr>
          <w:sz w:val="20"/>
        </w:rPr>
      </w:pPr>
      <w:bookmarkStart w:name="_bookmark683" w:id="685"/>
      <w:bookmarkEnd w:id="685"/>
      <w:r>
        <w:rPr/>
      </w:r>
      <w:hyperlink w:history="true" w:anchor="_bookmark659">
        <w:r>
          <w:rPr>
            <w:color w:val="005DA1"/>
            <w:position w:val="5"/>
            <w:sz w:val="14"/>
            <w:u w:val="single" w:color="005DA1"/>
          </w:rPr>
          <w:t>356</w:t>
        </w:r>
      </w:hyperlink>
      <w:r>
        <w:rPr>
          <w:position w:val="5"/>
          <w:sz w:val="14"/>
        </w:rPr>
        <w:t>.</w:t>
      </w:r>
      <w:r>
        <w:rPr>
          <w:spacing w:val="80"/>
          <w:position w:val="5"/>
          <w:sz w:val="14"/>
        </w:rPr>
        <w:t>  </w:t>
      </w:r>
      <w:r>
        <w:rPr>
          <w:rFonts w:ascii="Arial"/>
          <w:i/>
          <w:sz w:val="20"/>
        </w:rPr>
        <w:t>World Wide Fund for Nature v World Wrestling Foundation Entertainment Inc [2002] F.S.R. </w:t>
      </w:r>
      <w:r>
        <w:rPr>
          <w:rFonts w:ascii="Arial"/>
          <w:i/>
          <w:sz w:val="20"/>
        </w:rPr>
        <w:t>32</w:t>
      </w:r>
      <w:r>
        <w:rPr>
          <w:rFonts w:ascii="Arial"/>
          <w:i/>
          <w:spacing w:val="40"/>
          <w:sz w:val="20"/>
        </w:rPr>
        <w:t> </w:t>
      </w:r>
      <w:r>
        <w:rPr>
          <w:sz w:val="20"/>
        </w:rPr>
        <w:t>at 63. See now the Court of Appeal decision in the </w:t>
      </w:r>
      <w:r>
        <w:rPr>
          <w:rFonts w:ascii="Arial"/>
          <w:i/>
          <w:sz w:val="20"/>
        </w:rPr>
        <w:t>World Wide Fund </w:t>
      </w:r>
      <w:r>
        <w:rPr>
          <w:sz w:val="20"/>
        </w:rPr>
        <w:t>case, above, para.26-049 </w:t>
      </w:r>
      <w:r>
        <w:rPr>
          <w:spacing w:val="-2"/>
          <w:sz w:val="20"/>
        </w:rPr>
        <w:t>n.271.</w:t>
      </w:r>
    </w:p>
    <w:p>
      <w:pPr>
        <w:pStyle w:val="BodyText"/>
        <w:spacing w:before="5"/>
      </w:pPr>
    </w:p>
    <w:p>
      <w:pPr>
        <w:tabs>
          <w:tab w:pos="705" w:val="left" w:leader="none"/>
        </w:tabs>
        <w:spacing w:before="0"/>
        <w:ind w:left="165" w:right="0" w:firstLine="0"/>
        <w:jc w:val="left"/>
        <w:rPr>
          <w:sz w:val="20"/>
        </w:rPr>
      </w:pPr>
      <w:bookmarkStart w:name="_bookmark684" w:id="686"/>
      <w:bookmarkEnd w:id="686"/>
      <w:r>
        <w:rPr/>
      </w:r>
      <w:hyperlink w:history="true" w:anchor="_bookmark659">
        <w:r>
          <w:rPr>
            <w:color w:val="005DA1"/>
            <w:spacing w:val="-4"/>
            <w:position w:val="5"/>
            <w:sz w:val="14"/>
            <w:u w:val="single" w:color="005DA1"/>
          </w:rPr>
          <w:t>357</w:t>
        </w:r>
      </w:hyperlink>
      <w:r>
        <w:rPr>
          <w:spacing w:val="-4"/>
          <w:position w:val="5"/>
          <w:sz w:val="14"/>
        </w:rPr>
        <w:t>.</w:t>
      </w:r>
      <w:r>
        <w:rPr>
          <w:position w:val="5"/>
          <w:sz w:val="14"/>
        </w:rPr>
        <w:tab/>
      </w:r>
      <w:r>
        <w:rPr>
          <w:rFonts w:ascii="Arial" w:hAnsi="Arial"/>
          <w:i/>
          <w:sz w:val="20"/>
        </w:rPr>
        <w:t>[2010]</w:t>
      </w:r>
      <w:r>
        <w:rPr>
          <w:rFonts w:ascii="Arial" w:hAnsi="Arial"/>
          <w:i/>
          <w:spacing w:val="-2"/>
          <w:sz w:val="20"/>
        </w:rPr>
        <w:t> </w:t>
      </w:r>
      <w:r>
        <w:rPr>
          <w:rFonts w:ascii="Arial" w:hAnsi="Arial"/>
          <w:i/>
          <w:sz w:val="20"/>
        </w:rPr>
        <w:t>EWHC 424 (Ch)</w:t>
      </w:r>
      <w:r>
        <w:rPr>
          <w:rFonts w:ascii="Arial" w:hAnsi="Arial"/>
          <w:i/>
          <w:spacing w:val="-1"/>
          <w:sz w:val="20"/>
        </w:rPr>
        <w:t> </w:t>
      </w:r>
      <w:r>
        <w:rPr>
          <w:sz w:val="20"/>
        </w:rPr>
        <w:t>at </w:t>
      </w:r>
      <w:r>
        <w:rPr>
          <w:spacing w:val="-2"/>
          <w:sz w:val="20"/>
        </w:rPr>
        <w:t>[336]–[343].</w:t>
      </w:r>
    </w:p>
    <w:p>
      <w:pPr>
        <w:pStyle w:val="BodyText"/>
        <w:spacing w:before="5"/>
      </w:pPr>
    </w:p>
    <w:p>
      <w:pPr>
        <w:tabs>
          <w:tab w:pos="705" w:val="left" w:leader="none"/>
        </w:tabs>
        <w:spacing w:before="0"/>
        <w:ind w:left="165" w:right="0" w:firstLine="0"/>
        <w:jc w:val="left"/>
        <w:rPr>
          <w:sz w:val="20"/>
        </w:rPr>
      </w:pPr>
      <w:bookmarkStart w:name="_bookmark685" w:id="687"/>
      <w:bookmarkEnd w:id="687"/>
      <w:r>
        <w:rPr/>
      </w:r>
      <w:hyperlink w:history="true" w:anchor="_bookmark660">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[2010] EWHC 424</w:t>
      </w:r>
      <w:r>
        <w:rPr>
          <w:rFonts w:ascii="Arial"/>
          <w:i/>
          <w:spacing w:val="-1"/>
          <w:sz w:val="20"/>
        </w:rPr>
        <w:t> </w:t>
      </w:r>
      <w:r>
        <w:rPr>
          <w:sz w:val="20"/>
        </w:rPr>
        <w:t>at </w:t>
      </w:r>
      <w:r>
        <w:rPr>
          <w:spacing w:val="-2"/>
          <w:sz w:val="20"/>
        </w:rPr>
        <w:t>[341].</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5. - Causation </w:t>
      </w:r>
      <w:r>
        <w:rPr>
          <w:rFonts w:ascii="Arial"/>
          <w:b/>
          <w:color w:val="005DA1"/>
          <w:position w:val="11"/>
          <w:sz w:val="12"/>
          <w:u w:val="single" w:color="005DA1"/>
        </w:rPr>
        <w:t>359</w:t>
      </w:r>
      <w:r>
        <w:rPr>
          <w:rFonts w:ascii="Arial"/>
          <w:b/>
          <w:color w:val="005DA1"/>
          <w:spacing w:val="32"/>
          <w:position w:val="11"/>
          <w:sz w:val="12"/>
        </w:rPr>
        <w:t> </w:t>
      </w:r>
      <w:r>
        <w:rPr>
          <w:rFonts w:ascii="Arial"/>
          <w:b/>
          <w:sz w:val="24"/>
        </w:rPr>
        <w:t>and Contributory </w:t>
      </w:r>
      <w:r>
        <w:rPr>
          <w:rFonts w:ascii="Arial"/>
          <w:b/>
          <w:spacing w:val="-2"/>
          <w:sz w:val="24"/>
        </w:rPr>
        <w:t>Negligence</w:t>
      </w:r>
    </w:p>
    <w:p>
      <w:pPr>
        <w:spacing w:before="194"/>
        <w:ind w:left="3838" w:right="0" w:firstLine="0"/>
        <w:jc w:val="left"/>
        <w:rPr>
          <w:rFonts w:ascii="Arial"/>
          <w:b/>
          <w:sz w:val="24"/>
        </w:rPr>
      </w:pPr>
      <w:r>
        <w:rPr>
          <w:rFonts w:ascii="Arial"/>
          <w:b/>
          <w:sz w:val="24"/>
        </w:rPr>
        <w:t>(a) - </w:t>
      </w:r>
      <w:r>
        <w:rPr>
          <w:rFonts w:ascii="Arial"/>
          <w:b/>
          <w:spacing w:val="-2"/>
          <w:sz w:val="24"/>
        </w:rPr>
        <w:t>Causation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Requirement of a causal </w:t>
      </w:r>
      <w:r>
        <w:rPr>
          <w:rFonts w:ascii="Arial"/>
          <w:b/>
          <w:spacing w:val="-2"/>
          <w:sz w:val="18"/>
        </w:rPr>
        <w:t>connection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058</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Although the issue of remoteness—whether a particular loss was within the </w:t>
      </w:r>
      <w:r>
        <w:rPr/>
        <w:t>reasonable </w:t>
      </w:r>
      <w:bookmarkStart w:name="_bookmark686" w:id="688"/>
      <w:bookmarkEnd w:id="688"/>
      <w:r>
        <w:rPr/>
        <w:t>contemplation</w:t>
      </w:r>
      <w:r>
        <w:rPr/>
        <w:t> of the parties—tends to the prominent one in cases of liability for damage in the law of </w:t>
      </w:r>
      <w:bookmarkStart w:name="_bookmark687" w:id="689"/>
      <w:bookmarkEnd w:id="689"/>
      <w:r>
        <w:rPr/>
        <w:t>contract,</w:t>
      </w:r>
      <w:r>
        <w:rPr/>
        <w:t> </w:t>
      </w:r>
      <w:r>
        <w:rPr>
          <w:color w:val="005DA1"/>
          <w:u w:val="single" w:color="005DA1"/>
          <w:vertAlign w:val="superscript"/>
        </w:rPr>
        <w:t>360</w:t>
      </w:r>
      <w:r>
        <w:rPr>
          <w:color w:val="005DA1"/>
          <w:vertAlign w:val="baseline"/>
        </w:rPr>
        <w:t> </w:t>
      </w:r>
      <w:r>
        <w:rPr>
          <w:vertAlign w:val="baseline"/>
        </w:rPr>
        <w:t>before any issue of remoteness can arise causation must first be proved: there must be a causal connection between the defendant’s breach of contract </w:t>
      </w:r>
      <w:r>
        <w:rPr>
          <w:color w:val="005DA1"/>
          <w:u w:val="single" w:color="005DA1"/>
          <w:vertAlign w:val="superscript"/>
        </w:rPr>
        <w:t>361</w:t>
      </w:r>
      <w:r>
        <w:rPr>
          <w:color w:val="005DA1"/>
          <w:vertAlign w:val="baseline"/>
        </w:rPr>
        <w:t> </w:t>
      </w:r>
      <w:r>
        <w:rPr>
          <w:vertAlign w:val="baseline"/>
        </w:rPr>
        <w:t>and the claimant’s loss. </w:t>
      </w:r>
      <w:r>
        <w:rPr>
          <w:color w:val="005DA1"/>
          <w:u w:val="single" w:color="005DA1"/>
          <w:vertAlign w:val="superscript"/>
        </w:rPr>
        <w:t>362</w:t>
      </w:r>
      <w:r>
        <w:rPr>
          <w:color w:val="005DA1"/>
          <w:vertAlign w:val="baseline"/>
        </w:rPr>
        <w:t> </w:t>
      </w:r>
      <w:r>
        <w:rPr>
          <w:vertAlign w:val="baseline"/>
        </w:rPr>
        <w:t>The </w:t>
      </w:r>
      <w:bookmarkStart w:name="_bookmark688" w:id="690"/>
      <w:bookmarkEnd w:id="690"/>
      <w:r>
        <w:rPr>
          <w:vertAlign w:val="baseline"/>
        </w:rPr>
        <w:t>claimant</w:t>
      </w:r>
      <w:r>
        <w:rPr>
          <w:vertAlign w:val="baseline"/>
        </w:rPr>
        <w:t> may recover damages for a loss only where the breach of contract was the “effective” or “dominant” cause of that loss. </w:t>
      </w:r>
      <w:r>
        <w:rPr>
          <w:color w:val="005DA1"/>
          <w:u w:val="single" w:color="005DA1"/>
          <w:vertAlign w:val="superscript"/>
        </w:rPr>
        <w:t>363</w:t>
      </w:r>
      <w:r>
        <w:rPr>
          <w:color w:val="005DA1"/>
          <w:vertAlign w:val="baseline"/>
        </w:rPr>
        <w:t> </w:t>
      </w:r>
      <w:r>
        <w:rPr>
          <w:vertAlign w:val="baseline"/>
        </w:rPr>
        <w:t>The courts have avoided laying down any formal tests for causation: </w:t>
      </w:r>
      <w:bookmarkStart w:name="_bookmark689" w:id="691"/>
      <w:bookmarkEnd w:id="691"/>
      <w:r>
        <w:rPr>
          <w:vertAlign w:val="baseline"/>
        </w:rPr>
        <w:t>they</w:t>
      </w:r>
      <w:r>
        <w:rPr>
          <w:vertAlign w:val="baseline"/>
        </w:rPr>
        <w:t> have relied on common sense to guide decisions as to whether a breach of contract is a sufficiently substantial cause of the claimant’s loss. </w:t>
      </w:r>
      <w:r>
        <w:rPr>
          <w:color w:val="005DA1"/>
          <w:u w:val="single" w:color="005DA1"/>
          <w:vertAlign w:val="superscript"/>
        </w:rPr>
        <w:t>364</w:t>
      </w:r>
      <w:r>
        <w:rPr>
          <w:color w:val="005DA1"/>
          <w:vertAlign w:val="baseline"/>
        </w:rPr>
        <w:t> </w:t>
      </w:r>
      <w:r>
        <w:rPr>
          <w:vertAlign w:val="baseline"/>
        </w:rPr>
        <w:t>The answer to whether the breach was the </w:t>
      </w:r>
      <w:bookmarkStart w:name="_bookmark690" w:id="692"/>
      <w:bookmarkEnd w:id="692"/>
      <w:r>
        <w:rPr>
          <w:vertAlign w:val="baseline"/>
        </w:rPr>
        <w:t>cause</w:t>
      </w:r>
      <w:r>
        <w:rPr>
          <w:spacing w:val="44"/>
          <w:vertAlign w:val="baseline"/>
        </w:rPr>
        <w:t> </w:t>
      </w:r>
      <w:r>
        <w:rPr>
          <w:vertAlign w:val="baseline"/>
        </w:rPr>
        <w:t>of</w:t>
      </w:r>
      <w:r>
        <w:rPr>
          <w:spacing w:val="44"/>
          <w:vertAlign w:val="baseline"/>
        </w:rPr>
        <w:t> </w:t>
      </w:r>
      <w:r>
        <w:rPr>
          <w:vertAlign w:val="baseline"/>
        </w:rPr>
        <w:t>the</w:t>
      </w:r>
      <w:r>
        <w:rPr>
          <w:spacing w:val="44"/>
          <w:vertAlign w:val="baseline"/>
        </w:rPr>
        <w:t> </w:t>
      </w:r>
      <w:r>
        <w:rPr>
          <w:vertAlign w:val="baseline"/>
        </w:rPr>
        <w:t>loss</w:t>
      </w:r>
      <w:r>
        <w:rPr>
          <w:spacing w:val="44"/>
          <w:vertAlign w:val="baseline"/>
        </w:rPr>
        <w:t> </w:t>
      </w:r>
      <w:r>
        <w:rPr>
          <w:vertAlign w:val="baseline"/>
        </w:rPr>
        <w:t>or</w:t>
      </w:r>
      <w:r>
        <w:rPr>
          <w:spacing w:val="44"/>
          <w:vertAlign w:val="baseline"/>
        </w:rPr>
        <w:t> </w:t>
      </w:r>
      <w:r>
        <w:rPr>
          <w:vertAlign w:val="baseline"/>
        </w:rPr>
        <w:t>merely</w:t>
      </w:r>
      <w:r>
        <w:rPr>
          <w:spacing w:val="44"/>
          <w:vertAlign w:val="baseline"/>
        </w:rPr>
        <w:t> </w:t>
      </w:r>
      <w:r>
        <w:rPr>
          <w:vertAlign w:val="baseline"/>
        </w:rPr>
        <w:t>the</w:t>
      </w:r>
      <w:r>
        <w:rPr>
          <w:spacing w:val="44"/>
          <w:vertAlign w:val="baseline"/>
        </w:rPr>
        <w:t> </w:t>
      </w:r>
      <w:r>
        <w:rPr>
          <w:vertAlign w:val="baseline"/>
        </w:rPr>
        <w:t>occasion</w:t>
      </w:r>
      <w:r>
        <w:rPr>
          <w:spacing w:val="44"/>
          <w:vertAlign w:val="baseline"/>
        </w:rPr>
        <w:t> </w:t>
      </w:r>
      <w:r>
        <w:rPr>
          <w:vertAlign w:val="baseline"/>
        </w:rPr>
        <w:t>for</w:t>
      </w:r>
      <w:r>
        <w:rPr>
          <w:spacing w:val="44"/>
          <w:vertAlign w:val="baseline"/>
        </w:rPr>
        <w:t> </w:t>
      </w:r>
      <w:r>
        <w:rPr>
          <w:vertAlign w:val="baseline"/>
        </w:rPr>
        <w:t>the</w:t>
      </w:r>
      <w:r>
        <w:rPr>
          <w:spacing w:val="44"/>
          <w:vertAlign w:val="baseline"/>
        </w:rPr>
        <w:t> </w:t>
      </w:r>
      <w:r>
        <w:rPr>
          <w:vertAlign w:val="baseline"/>
        </w:rPr>
        <w:t>loss</w:t>
      </w:r>
      <w:r>
        <w:rPr>
          <w:spacing w:val="44"/>
          <w:vertAlign w:val="baseline"/>
        </w:rPr>
        <w:t> </w:t>
      </w:r>
      <w:r>
        <w:rPr>
          <w:vertAlign w:val="baseline"/>
        </w:rPr>
        <w:t>must</w:t>
      </w:r>
      <w:r>
        <w:rPr>
          <w:spacing w:val="44"/>
          <w:vertAlign w:val="baseline"/>
        </w:rPr>
        <w:t> </w:t>
      </w:r>
      <w:r>
        <w:rPr>
          <w:vertAlign w:val="baseline"/>
        </w:rPr>
        <w:t>“in</w:t>
      </w:r>
      <w:r>
        <w:rPr>
          <w:spacing w:val="44"/>
          <w:vertAlign w:val="baseline"/>
        </w:rPr>
        <w:t> </w:t>
      </w:r>
      <w:r>
        <w:rPr>
          <w:vertAlign w:val="baseline"/>
        </w:rPr>
        <w:t>the</w:t>
      </w:r>
      <w:r>
        <w:rPr>
          <w:spacing w:val="44"/>
          <w:vertAlign w:val="baseline"/>
        </w:rPr>
        <w:t> </w:t>
      </w:r>
      <w:r>
        <w:rPr>
          <w:vertAlign w:val="baseline"/>
        </w:rPr>
        <w:t>end”</w:t>
      </w:r>
      <w:r>
        <w:rPr>
          <w:spacing w:val="44"/>
          <w:vertAlign w:val="baseline"/>
        </w:rPr>
        <w:t> </w:t>
      </w:r>
      <w:r>
        <w:rPr>
          <w:vertAlign w:val="baseline"/>
        </w:rPr>
        <w:t>depend</w:t>
      </w:r>
      <w:r>
        <w:rPr>
          <w:spacing w:val="44"/>
          <w:vertAlign w:val="baseline"/>
        </w:rPr>
        <w:t> </w:t>
      </w:r>
      <w:r>
        <w:rPr>
          <w:vertAlign w:val="baseline"/>
        </w:rPr>
        <w:t>on</w:t>
      </w:r>
      <w:r>
        <w:rPr>
          <w:spacing w:val="44"/>
          <w:vertAlign w:val="baseline"/>
        </w:rPr>
        <w:t> </w:t>
      </w:r>
      <w:r>
        <w:rPr>
          <w:vertAlign w:val="baseline"/>
        </w:rPr>
        <w:t>“the</w:t>
      </w:r>
      <w:r>
        <w:rPr>
          <w:spacing w:val="44"/>
          <w:vertAlign w:val="baseline"/>
        </w:rPr>
        <w:t> </w:t>
      </w:r>
      <w:r>
        <w:rPr>
          <w:spacing w:val="-2"/>
          <w:vertAlign w:val="baseline"/>
        </w:rPr>
        <w:t>court’s</w:t>
      </w:r>
    </w:p>
    <w:p>
      <w:pPr>
        <w:pStyle w:val="BodyText"/>
        <w:spacing w:line="235" w:lineRule="auto" w:before="117"/>
        <w:ind w:left="165" w:right="167"/>
        <w:jc w:val="both"/>
      </w:pPr>
      <w:r>
        <w:rPr/>
        <w:t>commonsense” in interpreting the facts. </w:t>
      </w:r>
      <w:r>
        <w:rPr>
          <w:color w:val="005DA1"/>
          <w:u w:val="single" w:color="005DA1"/>
          <w:vertAlign w:val="superscript"/>
        </w:rPr>
        <w:t>365</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13"/>
          <w:vertAlign w:val="baseline"/>
        </w:rPr>
        <w:t> </w:t>
      </w:r>
      <w:r>
        <w:rPr>
          <w:vertAlign w:val="baseline"/>
        </w:rPr>
        <w:t>So where a company continued to trade after a negligent audit by the defendant failed to reveal the true financial position of the company, the Court</w:t>
      </w:r>
      <w:r>
        <w:rPr>
          <w:spacing w:val="40"/>
          <w:vertAlign w:val="baseline"/>
        </w:rPr>
        <w:t> </w:t>
      </w:r>
      <w:bookmarkStart w:name="_bookmark691" w:id="693"/>
      <w:bookmarkEnd w:id="693"/>
      <w:r>
        <w:rPr>
          <w:vertAlign w:val="baseline"/>
        </w:rPr>
        <w:t>of</w:t>
      </w:r>
      <w:r>
        <w:rPr>
          <w:vertAlign w:val="baseline"/>
        </w:rPr>
        <w:t> Appeal held that the auditor’s breach of contract gave the company “the </w:t>
      </w:r>
      <w:r>
        <w:rPr>
          <w:rFonts w:ascii="Arial" w:hAnsi="Arial"/>
          <w:i/>
          <w:vertAlign w:val="baseline"/>
        </w:rPr>
        <w:t>opportunity </w:t>
      </w:r>
      <w:r>
        <w:rPr>
          <w:vertAlign w:val="baseline"/>
        </w:rPr>
        <w:t>… to incur </w:t>
      </w:r>
      <w:r>
        <w:rPr>
          <w:vertAlign w:val="baseline"/>
        </w:rPr>
        <w:t>… trading losses: it did not </w:t>
      </w:r>
      <w:r>
        <w:rPr>
          <w:rFonts w:ascii="Arial" w:hAnsi="Arial"/>
          <w:i/>
          <w:vertAlign w:val="baseline"/>
        </w:rPr>
        <w:t>cause </w:t>
      </w:r>
      <w:r>
        <w:rPr>
          <w:vertAlign w:val="baseline"/>
        </w:rPr>
        <w:t>those trading losses”. </w:t>
      </w:r>
      <w:r>
        <w:rPr>
          <w:color w:val="005DA1"/>
          <w:u w:val="single" w:color="005DA1"/>
          <w:vertAlign w:val="superscript"/>
        </w:rPr>
        <w:t>366</w:t>
      </w:r>
      <w:r>
        <w:rPr>
          <w:color w:val="005DA1"/>
          <w:vertAlign w:val="baseline"/>
        </w:rPr>
        <w:t> </w:t>
      </w:r>
      <w:r>
        <w:rPr>
          <w:vertAlign w:val="baseline"/>
        </w:rPr>
        <w:t>The trading losses flowed from trading, not </w:t>
      </w:r>
      <w:r>
        <w:rPr>
          <w:spacing w:val="-2"/>
          <w:vertAlign w:val="baseline"/>
        </w:rPr>
        <w:t>auditing.</w:t>
      </w:r>
    </w:p>
    <w:p>
      <w:pPr>
        <w:pStyle w:val="BodyText"/>
        <w:spacing w:before="79"/>
      </w:pPr>
    </w:p>
    <w:p>
      <w:pPr>
        <w:spacing w:before="0"/>
        <w:ind w:left="165" w:right="0" w:firstLine="0"/>
        <w:jc w:val="left"/>
        <w:rPr>
          <w:rFonts w:ascii="Arial"/>
          <w:b/>
          <w:sz w:val="24"/>
        </w:rPr>
      </w:pPr>
      <w:r>
        <w:rPr>
          <w:rFonts w:ascii="Arial"/>
          <w:b/>
          <w:sz w:val="24"/>
        </w:rPr>
        <w:t>26-</w:t>
      </w:r>
      <w:r>
        <w:rPr>
          <w:rFonts w:ascii="Arial"/>
          <w:b/>
          <w:spacing w:val="-5"/>
          <w:sz w:val="24"/>
        </w:rPr>
        <w:t>059</w:t>
      </w:r>
    </w:p>
    <w:p>
      <w:pPr>
        <w:pStyle w:val="BodyText"/>
        <w:spacing w:line="235" w:lineRule="auto" w:before="203"/>
        <w:ind w:left="165" w:right="167"/>
        <w:jc w:val="both"/>
      </w:pPr>
      <w:r>
        <w:rPr/>
        <w:t>The problems of causation most likely to arise concern intervening acts of either a third party or of </w:t>
      </w:r>
      <w:r>
        <w:rPr/>
        <w:t>the claimant; but an issue of causation may also arise when the alleged loss is claimed on the basis of a </w:t>
      </w:r>
      <w:bookmarkStart w:name="_bookmark692" w:id="694"/>
      <w:bookmarkEnd w:id="694"/>
      <w:r>
        <w:rPr/>
        <w:t>hypothesis</w:t>
      </w:r>
      <w:r>
        <w:rPr/>
        <w:t> as to what the claimant or a third person would have done had the defendant not broken the contract. </w:t>
      </w:r>
      <w:r>
        <w:rPr>
          <w:color w:val="005DA1"/>
          <w:u w:val="single" w:color="005DA1"/>
          <w:vertAlign w:val="superscript"/>
        </w:rPr>
        <w:t>367</w:t>
      </w:r>
    </w:p>
    <w:p>
      <w:pPr>
        <w:pStyle w:val="BodyText"/>
      </w:pPr>
    </w:p>
    <w:p>
      <w:pPr>
        <w:pStyle w:val="BodyText"/>
        <w:spacing w:before="37"/>
      </w:pPr>
    </w:p>
    <w:p>
      <w:pPr>
        <w:spacing w:before="0"/>
        <w:ind w:left="165" w:right="0" w:firstLine="0"/>
        <w:jc w:val="left"/>
        <w:rPr>
          <w:rFonts w:ascii="Arial"/>
          <w:b/>
          <w:sz w:val="18"/>
        </w:rPr>
      </w:pPr>
      <w:r>
        <w:rPr>
          <w:rFonts w:ascii="Arial"/>
          <w:b/>
          <w:sz w:val="18"/>
        </w:rPr>
        <w:t>Intervening act of third </w:t>
      </w:r>
      <w:r>
        <w:rPr>
          <w:rFonts w:ascii="Arial"/>
          <w:b/>
          <w:spacing w:val="-2"/>
          <w:sz w:val="18"/>
        </w:rPr>
        <w:t>party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060</w:t>
      </w:r>
    </w:p>
    <w:p>
      <w:pPr>
        <w:pStyle w:val="BodyText"/>
        <w:spacing w:line="235" w:lineRule="auto" w:before="203"/>
        <w:ind w:left="165" w:right="167"/>
        <w:jc w:val="both"/>
      </w:pPr>
      <w:r>
        <w:rPr/>
        <w:t>Although the voluntary act of a third person intervening between the breach of contract by </w:t>
      </w:r>
      <w:r>
        <w:rPr/>
        <w:t>the defendant and the loss suffered by the claimant will normally “break the chain of causation”, this will depend on the court’s appraisal of the particular circumstances. Thus, where the negligence of a solicitor (in breach of his contractual duty to his client) creates a risk for the client, an “error of </w:t>
      </w:r>
      <w:bookmarkStart w:name="_bookmark693" w:id="695"/>
      <w:bookmarkEnd w:id="695"/>
      <w:r>
        <w:rPr/>
        <w:t>judgment”</w:t>
      </w:r>
      <w:r>
        <w:rPr/>
        <w:t> made subsequently by counsel advising the client may not interrupt the chain of causation resulting from the solicitor’s negligence. </w:t>
      </w:r>
      <w:r>
        <w:rPr>
          <w:color w:val="005DA1"/>
          <w:u w:val="single" w:color="005DA1"/>
          <w:vertAlign w:val="superscript"/>
        </w:rPr>
        <w:t>368</w:t>
      </w:r>
      <w:r>
        <w:rPr>
          <w:color w:val="005DA1"/>
          <w:vertAlign w:val="baseline"/>
        </w:rPr>
        <w:t> </w:t>
      </w:r>
      <w:r>
        <w:rPr>
          <w:vertAlign w:val="baseline"/>
        </w:rPr>
        <w:t>Similarly, in a case where insurers were held liable to a bank, the mortgagee of a ship, for failing (in breach of contract) to notify the bank that the ship had been trading in a war zone prohibited by the terms of the insurance, the fact that the shipowners lied </w:t>
      </w:r>
      <w:bookmarkStart w:name="_bookmark694" w:id="696"/>
      <w:bookmarkEnd w:id="696"/>
      <w:r>
        <w:rPr>
          <w:vertAlign w:val="baseline"/>
        </w:rPr>
        <w:t>to</w:t>
      </w:r>
      <w:r>
        <w:rPr>
          <w:vertAlign w:val="baseline"/>
        </w:rPr>
        <w:t> the bank when seeking the refinancing of their loan, did not break the chain of causation between the breach of contract and the bank’s loss as a result of the refinancing. </w:t>
      </w:r>
      <w:r>
        <w:rPr>
          <w:color w:val="005DA1"/>
          <w:u w:val="single" w:color="005DA1"/>
          <w:vertAlign w:val="superscript"/>
        </w:rPr>
        <w:t>369</w:t>
      </w:r>
    </w:p>
    <w:p>
      <w:pPr>
        <w:pStyle w:val="BodyText"/>
        <w:spacing w:after="0" w:line="235" w:lineRule="auto"/>
        <w:jc w:val="both"/>
        <w:sectPr>
          <w:headerReference w:type="default" r:id="rId24"/>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Duty to prevent third party’s </w:t>
      </w:r>
      <w:r>
        <w:rPr>
          <w:rFonts w:ascii="Arial" w:hAnsi="Arial"/>
          <w:b/>
          <w:spacing w:val="-5"/>
          <w:sz w:val="18"/>
        </w:rPr>
        <w:t>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061</w:t>
      </w:r>
    </w:p>
    <w:p>
      <w:pPr>
        <w:pStyle w:val="BodyText"/>
        <w:spacing w:line="235" w:lineRule="auto" w:before="203"/>
        <w:ind w:left="165" w:right="167"/>
        <w:jc w:val="both"/>
      </w:pPr>
      <w:r>
        <w:rPr/>
        <w:t>If</w:t>
      </w:r>
      <w:r>
        <w:rPr>
          <w:spacing w:val="-1"/>
        </w:rPr>
        <w:t> </w:t>
      </w:r>
      <w:r>
        <w:rPr/>
        <w:t>the</w:t>
      </w:r>
      <w:r>
        <w:rPr>
          <w:spacing w:val="-1"/>
        </w:rPr>
        <w:t> </w:t>
      </w:r>
      <w:r>
        <w:rPr/>
        <w:t>defendant</w:t>
      </w:r>
      <w:r>
        <w:rPr>
          <w:spacing w:val="-1"/>
        </w:rPr>
        <w:t> </w:t>
      </w:r>
      <w:r>
        <w:rPr/>
        <w:t>owes</w:t>
      </w:r>
      <w:r>
        <w:rPr>
          <w:spacing w:val="-1"/>
        </w:rPr>
        <w:t> </w:t>
      </w:r>
      <w:r>
        <w:rPr/>
        <w:t>a</w:t>
      </w:r>
      <w:r>
        <w:rPr>
          <w:spacing w:val="-1"/>
        </w:rPr>
        <w:t> </w:t>
      </w:r>
      <w:r>
        <w:rPr/>
        <w:t>contractual</w:t>
      </w:r>
      <w:r>
        <w:rPr>
          <w:spacing w:val="-1"/>
        </w:rPr>
        <w:t> </w:t>
      </w:r>
      <w:r>
        <w:rPr/>
        <w:t>duty</w:t>
      </w:r>
      <w:r>
        <w:rPr>
          <w:spacing w:val="-1"/>
        </w:rPr>
        <w:t> </w:t>
      </w:r>
      <w:r>
        <w:rPr/>
        <w:t>to</w:t>
      </w:r>
      <w:r>
        <w:rPr>
          <w:spacing w:val="-1"/>
        </w:rPr>
        <w:t> </w:t>
      </w:r>
      <w:r>
        <w:rPr/>
        <w:t>the</w:t>
      </w:r>
      <w:r>
        <w:rPr>
          <w:spacing w:val="-1"/>
        </w:rPr>
        <w:t> </w:t>
      </w:r>
      <w:r>
        <w:rPr/>
        <w:t>claimant</w:t>
      </w:r>
      <w:r>
        <w:rPr>
          <w:spacing w:val="-1"/>
        </w:rPr>
        <w:t> </w:t>
      </w:r>
      <w:r>
        <w:rPr/>
        <w:t>to</w:t>
      </w:r>
      <w:r>
        <w:rPr>
          <w:spacing w:val="-1"/>
        </w:rPr>
        <w:t> </w:t>
      </w:r>
      <w:r>
        <w:rPr/>
        <w:t>take</w:t>
      </w:r>
      <w:r>
        <w:rPr>
          <w:spacing w:val="-1"/>
        </w:rPr>
        <w:t> </w:t>
      </w:r>
      <w:r>
        <w:rPr/>
        <w:t>care</w:t>
      </w:r>
      <w:r>
        <w:rPr>
          <w:spacing w:val="-1"/>
        </w:rPr>
        <w:t> </w:t>
      </w:r>
      <w:r>
        <w:rPr/>
        <w:t>to</w:t>
      </w:r>
      <w:r>
        <w:rPr>
          <w:spacing w:val="-1"/>
        </w:rPr>
        <w:t> </w:t>
      </w:r>
      <w:r>
        <w:rPr/>
        <w:t>ensure</w:t>
      </w:r>
      <w:r>
        <w:rPr>
          <w:spacing w:val="-1"/>
        </w:rPr>
        <w:t> </w:t>
      </w:r>
      <w:r>
        <w:rPr/>
        <w:t>that</w:t>
      </w:r>
      <w:r>
        <w:rPr>
          <w:spacing w:val="-1"/>
        </w:rPr>
        <w:t> </w:t>
      </w:r>
      <w:r>
        <w:rPr/>
        <w:t>an</w:t>
      </w:r>
      <w:r>
        <w:rPr>
          <w:spacing w:val="-1"/>
        </w:rPr>
        <w:t> </w:t>
      </w:r>
      <w:r>
        <w:rPr/>
        <w:t>intervening</w:t>
      </w:r>
      <w:r>
        <w:rPr>
          <w:spacing w:val="-1"/>
        </w:rPr>
        <w:t> </w:t>
      </w:r>
      <w:r>
        <w:rPr/>
        <w:t>and </w:t>
      </w:r>
      <w:bookmarkStart w:name="_bookmark695" w:id="697"/>
      <w:bookmarkEnd w:id="697"/>
      <w:r>
        <w:rPr/>
        <w:t>voluntary</w:t>
      </w:r>
      <w:r>
        <w:rPr/>
        <w:t> act of a third party is not permitted, then the defendant will be liable if he fails to take such care. </w:t>
      </w:r>
      <w:r>
        <w:rPr>
          <w:color w:val="005DA1"/>
          <w:u w:val="single" w:color="005DA1"/>
          <w:vertAlign w:val="superscript"/>
        </w:rPr>
        <w:t>370</w:t>
      </w:r>
      <w:r>
        <w:rPr>
          <w:color w:val="005DA1"/>
          <w:vertAlign w:val="baseline"/>
        </w:rPr>
        <w:t> </w:t>
      </w:r>
      <w:r>
        <w:rPr>
          <w:vertAlign w:val="baseline"/>
        </w:rPr>
        <w:t>Thus a customer of a bank owes a duty to the bank to draw his cheques carefully so as not</w:t>
      </w:r>
      <w:r>
        <w:rPr>
          <w:spacing w:val="40"/>
          <w:vertAlign w:val="baseline"/>
        </w:rPr>
        <w:t> </w:t>
      </w:r>
      <w:r>
        <w:rPr>
          <w:vertAlign w:val="baseline"/>
        </w:rPr>
        <w:t>to facilitate fraud; where the customer drew a cheque in such a way that the amount could be </w:t>
      </w:r>
      <w:r>
        <w:rPr>
          <w:vertAlign w:val="baseline"/>
        </w:rPr>
        <w:t>readily </w:t>
      </w:r>
      <w:bookmarkStart w:name="_bookmark696" w:id="698"/>
      <w:bookmarkEnd w:id="698"/>
      <w:r>
        <w:rPr>
          <w:vertAlign w:val="baseline"/>
        </w:rPr>
        <w:t>altered,</w:t>
      </w:r>
      <w:r>
        <w:rPr>
          <w:vertAlign w:val="baseline"/>
        </w:rPr>
        <w:t> he was held liable to the bank for the increase forged by a third party, who obtained payment of the increased amount </w:t>
      </w:r>
      <w:r>
        <w:rPr>
          <w:color w:val="005DA1"/>
          <w:u w:val="single" w:color="005DA1"/>
          <w:vertAlign w:val="superscript"/>
        </w:rPr>
        <w:t>371</w:t>
      </w:r>
      <w:r>
        <w:rPr>
          <w:vertAlign w:val="baseline"/>
        </w:rPr>
        <w:t>:</w:t>
      </w:r>
    </w:p>
    <w:p>
      <w:pPr>
        <w:pStyle w:val="BodyText"/>
      </w:pPr>
    </w:p>
    <w:p>
      <w:pPr>
        <w:pStyle w:val="BodyText"/>
        <w:spacing w:before="124"/>
      </w:pPr>
    </w:p>
    <w:p>
      <w:pPr>
        <w:pStyle w:val="BodyText"/>
        <w:spacing w:line="235" w:lineRule="auto"/>
        <w:ind w:left="1245" w:right="206"/>
      </w:pPr>
      <w:bookmarkStart w:name="_bookmark697" w:id="699"/>
      <w:bookmarkEnd w:id="699"/>
      <w:r>
        <w:rPr/>
      </w:r>
      <w:r>
        <w:rPr/>
        <w:t>“The fact that a crime was necessary to bring about the loss does not prevent its being</w:t>
      </w:r>
      <w:r>
        <w:rPr>
          <w:spacing w:val="80"/>
        </w:rPr>
        <w:t> </w:t>
      </w:r>
      <w:r>
        <w:rPr/>
        <w:t>the natural consequence of the carelessness.” </w:t>
      </w:r>
      <w:r>
        <w:rPr>
          <w:color w:val="005DA1"/>
          <w:u w:val="single" w:color="005DA1"/>
          <w:vertAlign w:val="superscript"/>
        </w:rPr>
        <w:t>372</w:t>
      </w:r>
    </w:p>
    <w:p>
      <w:pPr>
        <w:pStyle w:val="BodyText"/>
      </w:pPr>
    </w:p>
    <w:p>
      <w:pPr>
        <w:pStyle w:val="BodyText"/>
        <w:spacing w:before="198"/>
      </w:pPr>
    </w:p>
    <w:p>
      <w:pPr>
        <w:spacing w:before="0"/>
        <w:ind w:left="165" w:right="0" w:firstLine="0"/>
        <w:jc w:val="left"/>
        <w:rPr>
          <w:rFonts w:ascii="Arial"/>
          <w:b/>
          <w:sz w:val="24"/>
        </w:rPr>
      </w:pPr>
      <w:r>
        <w:rPr>
          <w:rFonts w:ascii="Arial"/>
          <w:b/>
          <w:sz w:val="24"/>
        </w:rPr>
        <w:t>26-</w:t>
      </w:r>
      <w:r>
        <w:rPr>
          <w:rFonts w:ascii="Arial"/>
          <w:b/>
          <w:spacing w:val="-5"/>
          <w:sz w:val="24"/>
        </w:rPr>
        <w:t>062</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98" w:id="700"/>
      <w:bookmarkEnd w:id="700"/>
      <w:r>
        <w:rPr>
          <w:rFonts w:ascii="Times New Roman" w:hAnsi="Times New Roman"/>
          <w:spacing w:val="-14"/>
        </w:rPr>
      </w:r>
      <w:r>
        <w:rPr/>
        <w:t>In </w:t>
      </w:r>
      <w:r>
        <w:rPr>
          <w:rFonts w:ascii="Arial" w:hAnsi="Arial"/>
          <w:i/>
        </w:rPr>
        <w:t>Weld-Blundell v Stephens</w:t>
      </w:r>
      <w:r>
        <w:rPr/>
        <w:t>, </w:t>
      </w:r>
      <w:r>
        <w:rPr>
          <w:color w:val="005DA1"/>
          <w:u w:val="single" w:color="005DA1"/>
          <w:vertAlign w:val="superscript"/>
        </w:rPr>
        <w:t>373</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the defendant, in breach of his contract, negligently left </w:t>
      </w:r>
      <w:r>
        <w:rPr>
          <w:vertAlign w:val="baseline"/>
        </w:rPr>
        <w:t>a libellous letter (written by the plaintiff) where it was read by a third party, who was likely to, and did, communicate its contents to the persons libelled; the latter recovered damages for libel from the plaintiff, who thereupon sued the defendant. The House of Lords, by a bare majority, held that the plaintiff could recover only nominal damages for the defendant’s breach of contract, and not the damages and costs paid in the libel action. There appear to have been two reasons: the client was </w:t>
      </w:r>
      <w:bookmarkStart w:name="_bookmark699" w:id="701"/>
      <w:bookmarkEnd w:id="701"/>
      <w:r>
        <w:rPr>
          <w:vertAlign w:val="baseline"/>
        </w:rPr>
        <w:t>liable</w:t>
      </w:r>
      <w:r>
        <w:rPr>
          <w:vertAlign w:val="baseline"/>
        </w:rPr>
        <w:t> in any event, and though in general terms, disclosure by a third party was foreseeable, it was a “new and independent” cause. </w:t>
      </w:r>
      <w:r>
        <w:rPr>
          <w:color w:val="005DA1"/>
          <w:u w:val="single" w:color="005DA1"/>
          <w:vertAlign w:val="superscript"/>
        </w:rPr>
        <w:t>374</w:t>
      </w:r>
      <w:r>
        <w:rPr>
          <w:color w:val="005DA1"/>
          <w:vertAlign w:val="baseline"/>
        </w:rPr>
        <w:t> </w:t>
      </w:r>
      <w:r>
        <w:rPr>
          <w:vertAlign w:val="baseline"/>
        </w:rPr>
        <w:t>Much seems to depend on the court’s assessment of the facts; it is </w:t>
      </w:r>
      <w:bookmarkStart w:name="_bookmark700" w:id="702"/>
      <w:bookmarkEnd w:id="702"/>
      <w:r>
        <w:rPr>
          <w:vertAlign w:val="baseline"/>
        </w:rPr>
        <w:t>submitted</w:t>
      </w:r>
      <w:r>
        <w:rPr>
          <w:spacing w:val="27"/>
          <w:vertAlign w:val="baseline"/>
        </w:rPr>
        <w:t> </w:t>
      </w:r>
      <w:r>
        <w:rPr>
          <w:vertAlign w:val="baseline"/>
        </w:rPr>
        <w:t>that</w:t>
      </w:r>
      <w:r>
        <w:rPr>
          <w:spacing w:val="27"/>
          <w:vertAlign w:val="baseline"/>
        </w:rPr>
        <w:t> </w:t>
      </w:r>
      <w:r>
        <w:rPr>
          <w:vertAlign w:val="baseline"/>
        </w:rPr>
        <w:t>a</w:t>
      </w:r>
      <w:r>
        <w:rPr>
          <w:spacing w:val="27"/>
          <w:vertAlign w:val="baseline"/>
        </w:rPr>
        <w:t> </w:t>
      </w:r>
      <w:r>
        <w:rPr>
          <w:vertAlign w:val="baseline"/>
        </w:rPr>
        <w:t>party</w:t>
      </w:r>
      <w:r>
        <w:rPr>
          <w:spacing w:val="27"/>
          <w:vertAlign w:val="baseline"/>
        </w:rPr>
        <w:t> </w:t>
      </w:r>
      <w:r>
        <w:rPr>
          <w:vertAlign w:val="baseline"/>
        </w:rPr>
        <w:t>may</w:t>
      </w:r>
      <w:r>
        <w:rPr>
          <w:spacing w:val="27"/>
          <w:vertAlign w:val="baseline"/>
        </w:rPr>
        <w:t> </w:t>
      </w:r>
      <w:r>
        <w:rPr>
          <w:vertAlign w:val="baseline"/>
        </w:rPr>
        <w:t>be</w:t>
      </w:r>
      <w:r>
        <w:rPr>
          <w:spacing w:val="27"/>
          <w:vertAlign w:val="baseline"/>
        </w:rPr>
        <w:t> </w:t>
      </w:r>
      <w:r>
        <w:rPr>
          <w:vertAlign w:val="baseline"/>
        </w:rPr>
        <w:t>liable</w:t>
      </w:r>
      <w:r>
        <w:rPr>
          <w:spacing w:val="27"/>
          <w:vertAlign w:val="baseline"/>
        </w:rPr>
        <w:t> </w:t>
      </w:r>
      <w:r>
        <w:rPr>
          <w:vertAlign w:val="baseline"/>
        </w:rPr>
        <w:t>when</w:t>
      </w:r>
      <w:r>
        <w:rPr>
          <w:spacing w:val="27"/>
          <w:vertAlign w:val="baseline"/>
        </w:rPr>
        <w:t> </w:t>
      </w:r>
      <w:r>
        <w:rPr>
          <w:vertAlign w:val="baseline"/>
        </w:rPr>
        <w:t>his</w:t>
      </w:r>
      <w:r>
        <w:rPr>
          <w:spacing w:val="27"/>
          <w:vertAlign w:val="baseline"/>
        </w:rPr>
        <w:t> </w:t>
      </w:r>
      <w:r>
        <w:rPr>
          <w:vertAlign w:val="baseline"/>
        </w:rPr>
        <w:t>breach</w:t>
      </w:r>
      <w:r>
        <w:rPr>
          <w:spacing w:val="27"/>
          <w:vertAlign w:val="baseline"/>
        </w:rPr>
        <w:t> </w:t>
      </w:r>
      <w:r>
        <w:rPr>
          <w:vertAlign w:val="baseline"/>
        </w:rPr>
        <w:t>and</w:t>
      </w:r>
      <w:r>
        <w:rPr>
          <w:spacing w:val="27"/>
          <w:vertAlign w:val="baseline"/>
        </w:rPr>
        <w:t> </w:t>
      </w:r>
      <w:r>
        <w:rPr>
          <w:vertAlign w:val="baseline"/>
        </w:rPr>
        <w:t>a</w:t>
      </w:r>
      <w:r>
        <w:rPr>
          <w:spacing w:val="27"/>
          <w:vertAlign w:val="baseline"/>
        </w:rPr>
        <w:t> </w:t>
      </w:r>
      <w:r>
        <w:rPr>
          <w:vertAlign w:val="baseline"/>
        </w:rPr>
        <w:t>foreseeable</w:t>
      </w:r>
      <w:r>
        <w:rPr>
          <w:spacing w:val="27"/>
          <w:vertAlign w:val="baseline"/>
        </w:rPr>
        <w:t> </w:t>
      </w:r>
      <w:r>
        <w:rPr>
          <w:vertAlign w:val="baseline"/>
        </w:rPr>
        <w:t>breach</w:t>
      </w:r>
      <w:r>
        <w:rPr>
          <w:spacing w:val="27"/>
          <w:vertAlign w:val="baseline"/>
        </w:rPr>
        <w:t> </w:t>
      </w:r>
      <w:r>
        <w:rPr>
          <w:vertAlign w:val="baseline"/>
        </w:rPr>
        <w:t>of</w:t>
      </w:r>
      <w:r>
        <w:rPr>
          <w:spacing w:val="27"/>
          <w:vertAlign w:val="baseline"/>
        </w:rPr>
        <w:t> </w:t>
      </w:r>
      <w:r>
        <w:rPr>
          <w:vertAlign w:val="baseline"/>
        </w:rPr>
        <w:t>duty</w:t>
      </w:r>
      <w:r>
        <w:rPr>
          <w:spacing w:val="27"/>
          <w:vertAlign w:val="baseline"/>
        </w:rPr>
        <w:t> </w:t>
      </w:r>
      <w:r>
        <w:rPr>
          <w:vertAlign w:val="baseline"/>
        </w:rPr>
        <w:t>by</w:t>
      </w:r>
      <w:r>
        <w:rPr>
          <w:spacing w:val="27"/>
          <w:vertAlign w:val="baseline"/>
        </w:rPr>
        <w:t> </w:t>
      </w:r>
      <w:r>
        <w:rPr>
          <w:vertAlign w:val="baseline"/>
        </w:rPr>
        <w:t>a</w:t>
      </w:r>
      <w:r>
        <w:rPr>
          <w:spacing w:val="27"/>
          <w:vertAlign w:val="baseline"/>
        </w:rPr>
        <w:t> </w:t>
      </w:r>
      <w:r>
        <w:rPr>
          <w:spacing w:val="-2"/>
          <w:vertAlign w:val="baseline"/>
        </w:rPr>
        <w:t>third</w:t>
      </w:r>
    </w:p>
    <w:p>
      <w:pPr>
        <w:pStyle w:val="BodyText"/>
        <w:spacing w:before="113"/>
        <w:ind w:left="165"/>
        <w:jc w:val="both"/>
        <w:rPr>
          <w:position w:val="-2"/>
        </w:rPr>
      </w:pPr>
      <w:r>
        <w:rPr/>
        <w:t>party, even a deliberate breach, have combined to cause the loss. </w:t>
      </w:r>
      <w:r>
        <w:rPr>
          <w:color w:val="005DA1"/>
          <w:u w:val="single" w:color="005DA1"/>
          <w:vertAlign w:val="superscript"/>
        </w:rPr>
        <w:t>375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Intervening act or omission of the </w:t>
      </w:r>
      <w:r>
        <w:rPr>
          <w:rFonts w:ascii="Arial"/>
          <w:b/>
          <w:spacing w:val="-2"/>
          <w:sz w:val="18"/>
        </w:rPr>
        <w:t>claimant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063</w:t>
      </w:r>
    </w:p>
    <w:p>
      <w:pPr>
        <w:pStyle w:val="BodyText"/>
        <w:spacing w:line="235" w:lineRule="auto" w:before="203"/>
        <w:ind w:left="164" w:right="167"/>
        <w:jc w:val="both"/>
      </w:pPr>
      <w:r>
        <w:rPr/>
        <w:t>There may be a break in the chain of causation where the claimant, following the defendant’s </w:t>
      </w:r>
      <w:r>
        <w:rPr/>
        <w:t>breach </w:t>
      </w:r>
      <w:bookmarkStart w:name="_bookmark701" w:id="703"/>
      <w:bookmarkEnd w:id="703"/>
      <w:r>
        <w:rPr/>
        <w:t>of</w:t>
      </w:r>
      <w:r>
        <w:rPr/>
        <w:t> contract, has suffered loss through his own voluntary act or omission. In </w:t>
      </w:r>
      <w:r>
        <w:rPr>
          <w:rFonts w:ascii="Arial" w:hAnsi="Arial"/>
          <w:i/>
        </w:rPr>
        <w:t>Quinn v Burch Bros (Builders)</w:t>
      </w:r>
      <w:r>
        <w:rPr>
          <w:rFonts w:ascii="Arial" w:hAnsi="Arial"/>
          <w:i/>
          <w:spacing w:val="-1"/>
        </w:rPr>
        <w:t> </w:t>
      </w:r>
      <w:r>
        <w:rPr>
          <w:rFonts w:ascii="Arial" w:hAnsi="Arial"/>
          <w:i/>
        </w:rPr>
        <w:t>Ltd</w:t>
      </w:r>
      <w:r>
        <w:rPr>
          <w:rFonts w:ascii="Arial" w:hAnsi="Arial"/>
          <w:i/>
          <w:spacing w:val="-1"/>
        </w:rPr>
        <w:t> </w:t>
      </w:r>
      <w:r>
        <w:rPr>
          <w:color w:val="005DA1"/>
          <w:u w:val="single" w:color="005DA1"/>
          <w:vertAlign w:val="superscript"/>
        </w:rPr>
        <w:t>376</w:t>
      </w:r>
      <w:r>
        <w:rPr>
          <w:color w:val="005DA1"/>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could</w:t>
      </w:r>
      <w:r>
        <w:rPr>
          <w:spacing w:val="-1"/>
          <w:vertAlign w:val="baseline"/>
        </w:rPr>
        <w:t> </w:t>
      </w:r>
      <w:r>
        <w:rPr>
          <w:vertAlign w:val="baseline"/>
        </w:rPr>
        <w:t>have</w:t>
      </w:r>
      <w:r>
        <w:rPr>
          <w:spacing w:val="-1"/>
          <w:vertAlign w:val="baseline"/>
        </w:rPr>
        <w:t> </w:t>
      </w:r>
      <w:r>
        <w:rPr>
          <w:vertAlign w:val="baseline"/>
        </w:rPr>
        <w:t>foreseen</w:t>
      </w:r>
      <w:r>
        <w:rPr>
          <w:spacing w:val="-1"/>
          <w:vertAlign w:val="baseline"/>
        </w:rPr>
        <w:t> </w:t>
      </w:r>
      <w:r>
        <w:rPr>
          <w:vertAlign w:val="baseline"/>
        </w:rPr>
        <w:t>that</w:t>
      </w:r>
      <w:r>
        <w:rPr>
          <w:spacing w:val="-1"/>
          <w:vertAlign w:val="baseline"/>
        </w:rPr>
        <w:t> </w:t>
      </w:r>
      <w:r>
        <w:rPr>
          <w:vertAlign w:val="baseline"/>
        </w:rPr>
        <w:t>their</w:t>
      </w:r>
      <w:r>
        <w:rPr>
          <w:spacing w:val="-1"/>
          <w:vertAlign w:val="baseline"/>
        </w:rPr>
        <w:t> </w:t>
      </w:r>
      <w:r>
        <w:rPr>
          <w:vertAlign w:val="baseline"/>
        </w:rPr>
        <w:t>failure</w:t>
      </w:r>
      <w:r>
        <w:rPr>
          <w:spacing w:val="-1"/>
          <w:vertAlign w:val="baseline"/>
        </w:rPr>
        <w:t> </w:t>
      </w:r>
      <w:r>
        <w:rPr>
          <w:vertAlign w:val="baseline"/>
        </w:rPr>
        <w:t>(in</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supply the plaintiff, an independent contractor, with adequate equipment might result in an accident if he</w:t>
      </w:r>
      <w:r>
        <w:rPr>
          <w:spacing w:val="40"/>
          <w:vertAlign w:val="baseline"/>
        </w:rPr>
        <w:t> </w:t>
      </w:r>
      <w:r>
        <w:rPr>
          <w:vertAlign w:val="baseline"/>
        </w:rPr>
        <w:t>used unsuitable equipment. When this actually happened so that the plaintiff was injured, the Court of Appeal held that it was the voluntary choice of the plaintiff following the breach of contract which </w:t>
      </w:r>
      <w:r>
        <w:rPr>
          <w:rFonts w:ascii="Arial" w:hAnsi="Arial"/>
          <w:i/>
          <w:vertAlign w:val="baseline"/>
        </w:rPr>
        <w:t>caused </w:t>
      </w:r>
      <w:r>
        <w:rPr>
          <w:vertAlign w:val="baseline"/>
        </w:rPr>
        <w:t>the accident; the breach of contract did not cause it but merely gave the plaintiff the </w:t>
      </w:r>
      <w:bookmarkStart w:name="_bookmark702" w:id="704"/>
      <w:bookmarkEnd w:id="704"/>
      <w:r>
        <w:rPr>
          <w:vertAlign w:val="baseline"/>
        </w:rPr>
        <w:t>opportunity</w:t>
      </w:r>
      <w:r>
        <w:rPr>
          <w:spacing w:val="-1"/>
          <w:vertAlign w:val="baseline"/>
        </w:rPr>
        <w:t> </w:t>
      </w:r>
      <w:r>
        <w:rPr>
          <w:vertAlign w:val="baseline"/>
        </w:rPr>
        <w:t>to</w:t>
      </w:r>
      <w:r>
        <w:rPr>
          <w:spacing w:val="-1"/>
          <w:vertAlign w:val="baseline"/>
        </w:rPr>
        <w:t> </w:t>
      </w:r>
      <w:r>
        <w:rPr>
          <w:vertAlign w:val="baseline"/>
        </w:rPr>
        <w:t>injure</w:t>
      </w:r>
      <w:r>
        <w:rPr>
          <w:spacing w:val="-1"/>
          <w:vertAlign w:val="baseline"/>
        </w:rPr>
        <w:t> </w:t>
      </w:r>
      <w:r>
        <w:rPr>
          <w:vertAlign w:val="baseline"/>
        </w:rPr>
        <w:t>himself</w:t>
      </w:r>
      <w:r>
        <w:rPr>
          <w:spacing w:val="-1"/>
          <w:vertAlign w:val="baseline"/>
        </w:rPr>
        <w:t> </w:t>
      </w:r>
      <w:r>
        <w:rPr>
          <w:vertAlign w:val="baseline"/>
        </w:rPr>
        <w:t>by</w:t>
      </w:r>
      <w:r>
        <w:rPr>
          <w:spacing w:val="-1"/>
          <w:vertAlign w:val="baseline"/>
        </w:rPr>
        <w:t> </w:t>
      </w:r>
      <w:r>
        <w:rPr>
          <w:vertAlign w:val="baseline"/>
        </w:rPr>
        <w:t>his</w:t>
      </w:r>
      <w:r>
        <w:rPr>
          <w:spacing w:val="-1"/>
          <w:vertAlign w:val="baseline"/>
        </w:rPr>
        <w:t> </w:t>
      </w:r>
      <w:r>
        <w:rPr>
          <w:vertAlign w:val="baseline"/>
        </w:rPr>
        <w:t>choice</w:t>
      </w:r>
      <w:r>
        <w:rPr>
          <w:spacing w:val="-1"/>
          <w:vertAlign w:val="baseline"/>
        </w:rPr>
        <w:t> </w:t>
      </w:r>
      <w:r>
        <w:rPr>
          <w:vertAlign w:val="baseline"/>
        </w:rPr>
        <w:t>to</w:t>
      </w:r>
      <w:r>
        <w:rPr>
          <w:spacing w:val="-1"/>
          <w:vertAlign w:val="baseline"/>
        </w:rPr>
        <w:t> </w:t>
      </w:r>
      <w:r>
        <w:rPr>
          <w:vertAlign w:val="baseline"/>
        </w:rPr>
        <w:t>use</w:t>
      </w:r>
      <w:r>
        <w:rPr>
          <w:spacing w:val="-1"/>
          <w:vertAlign w:val="baseline"/>
        </w:rPr>
        <w:t> </w:t>
      </w:r>
      <w:r>
        <w:rPr>
          <w:vertAlign w:val="baseline"/>
        </w:rPr>
        <w:t>the</w:t>
      </w:r>
      <w:r>
        <w:rPr>
          <w:spacing w:val="-1"/>
          <w:vertAlign w:val="baseline"/>
        </w:rPr>
        <w:t> </w:t>
      </w:r>
      <w:r>
        <w:rPr>
          <w:vertAlign w:val="baseline"/>
        </w:rPr>
        <w:t>unsuitable</w:t>
      </w:r>
      <w:r>
        <w:rPr>
          <w:spacing w:val="-1"/>
          <w:vertAlign w:val="baseline"/>
        </w:rPr>
        <w:t> </w:t>
      </w:r>
      <w:r>
        <w:rPr>
          <w:vertAlign w:val="baseline"/>
        </w:rPr>
        <w:t>equipment,</w:t>
      </w:r>
      <w:r>
        <w:rPr>
          <w:spacing w:val="-1"/>
          <w:vertAlign w:val="baseline"/>
        </w:rPr>
        <w:t> </w:t>
      </w:r>
      <w:r>
        <w:rPr>
          <w:vertAlign w:val="baseline"/>
        </w:rPr>
        <w:t>despite</w:t>
      </w:r>
      <w:r>
        <w:rPr>
          <w:spacing w:val="-1"/>
          <w:vertAlign w:val="baseline"/>
        </w:rPr>
        <w:t> </w:t>
      </w:r>
      <w:r>
        <w:rPr>
          <w:vertAlign w:val="baseline"/>
        </w:rPr>
        <w:t>his</w:t>
      </w:r>
      <w:r>
        <w:rPr>
          <w:spacing w:val="-1"/>
          <w:vertAlign w:val="baseline"/>
        </w:rPr>
        <w:t> </w:t>
      </w:r>
      <w:r>
        <w:rPr>
          <w:vertAlign w:val="baseline"/>
        </w:rPr>
        <w:t>appreciation</w:t>
      </w:r>
      <w:r>
        <w:rPr>
          <w:spacing w:val="-1"/>
          <w:vertAlign w:val="baseline"/>
        </w:rPr>
        <w:t> </w:t>
      </w:r>
      <w:r>
        <w:rPr>
          <w:vertAlign w:val="baseline"/>
        </w:rPr>
        <w:t>of the risk involved. </w:t>
      </w:r>
      <w:r>
        <w:rPr>
          <w:color w:val="005DA1"/>
          <w:u w:val="single" w:color="005DA1"/>
          <w:vertAlign w:val="superscript"/>
        </w:rPr>
        <w:t>377</w:t>
      </w:r>
      <w:r>
        <w:rPr>
          <w:color w:val="005DA1"/>
          <w:vertAlign w:val="baseline"/>
        </w:rPr>
        <w:t> </w:t>
      </w:r>
      <w:r>
        <w:rPr>
          <w:vertAlign w:val="baseline"/>
        </w:rPr>
        <w:t>Similarly, where a buyer engaged a third party to repair the defect in a machine </w:t>
      </w:r>
      <w:bookmarkStart w:name="_bookmark703" w:id="705"/>
      <w:bookmarkEnd w:id="705"/>
      <w:r>
        <w:rPr>
          <w:vertAlign w:val="baseline"/>
        </w:rPr>
        <w:t>supplied</w:t>
      </w:r>
      <w:r>
        <w:rPr>
          <w:vertAlign w:val="baseline"/>
        </w:rPr>
        <w:t> by the seller, but the buyer then failed to inspect the repairs before using the machine, the </w:t>
      </w:r>
      <w:bookmarkStart w:name="_bookmark704" w:id="706"/>
      <w:bookmarkEnd w:id="706"/>
      <w:r>
        <w:rPr>
          <w:vertAlign w:val="baseline"/>
        </w:rPr>
        <w:t>Court</w:t>
      </w:r>
      <w:r>
        <w:rPr>
          <w:vertAlign w:val="baseline"/>
        </w:rPr>
        <w:t> of Appeal held </w:t>
      </w:r>
      <w:r>
        <w:rPr>
          <w:color w:val="005DA1"/>
          <w:u w:val="single" w:color="005DA1"/>
          <w:vertAlign w:val="superscript"/>
        </w:rPr>
        <w:t>378</w:t>
      </w:r>
      <w:r>
        <w:rPr>
          <w:color w:val="005DA1"/>
          <w:vertAlign w:val="baseline"/>
        </w:rPr>
        <w:t> </w:t>
      </w:r>
      <w:r>
        <w:rPr>
          <w:vertAlign w:val="baseline"/>
        </w:rPr>
        <w:t>that the cause of the subsequent explosion was the negligence of the buyer</w:t>
      </w:r>
      <w:r>
        <w:rPr>
          <w:spacing w:val="40"/>
          <w:vertAlign w:val="baseline"/>
        </w:rPr>
        <w:t> </w:t>
      </w:r>
      <w:r>
        <w:rPr>
          <w:vertAlign w:val="baseline"/>
        </w:rPr>
        <w:t>in using the machine without inspecting it to see whether the defect had been adequately repaired.</w:t>
      </w:r>
      <w:r>
        <w:rPr>
          <w:spacing w:val="-2"/>
          <w:vertAlign w:val="baseline"/>
        </w:rPr>
        <w:t> </w:t>
      </w:r>
      <w:r>
        <w:rPr>
          <w:color w:val="005DA1"/>
          <w:u w:val="single" w:color="005DA1"/>
          <w:vertAlign w:val="superscript"/>
        </w:rPr>
        <w:t>379</w:t>
      </w:r>
      <w:r>
        <w:rPr>
          <w:color w:val="005DA1"/>
          <w:vertAlign w:val="baseline"/>
        </w:rPr>
        <w:t> </w:t>
      </w:r>
      <w:r>
        <w:rPr>
          <w:vertAlign w:val="baseline"/>
        </w:rPr>
        <w:t>However, “it is difficult to conceive that anything less than unreasonable conduct on the part of the </w:t>
      </w:r>
      <w:bookmarkStart w:name="_bookmark705" w:id="707"/>
      <w:bookmarkEnd w:id="707"/>
      <w:r>
        <w:rPr>
          <w:vertAlign w:val="baseline"/>
        </w:rPr>
        <w:t>claimant</w:t>
      </w:r>
      <w:r>
        <w:rPr>
          <w:vertAlign w:val="baseline"/>
        </w:rPr>
        <w:t> would be capable of breaking the chain of causation”; merely unreasonable conduct on a claimant’s part will not necessarily do so, whereas reckless conduct often will. </w:t>
      </w:r>
      <w:r>
        <w:rPr>
          <w:color w:val="005DA1"/>
          <w:u w:val="single" w:color="005DA1"/>
          <w:vertAlign w:val="superscript"/>
        </w:rPr>
        <w:t>380</w:t>
      </w:r>
      <w:r>
        <w:rPr>
          <w:color w:val="005DA1"/>
          <w:vertAlign w:val="baseline"/>
        </w:rPr>
        <w:t> </w:t>
      </w:r>
      <w:r>
        <w:rPr>
          <w:vertAlign w:val="baseline"/>
        </w:rPr>
        <w:t>A highly relevant factor is whether the claimant knew of the defendant’s breach; he need not have “exact knowledge of the legal niceties” or even “actual knowledge that a breach of contract has occurred—otherwise there would</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premium</w:t>
      </w:r>
      <w:r>
        <w:rPr>
          <w:spacing w:val="-1"/>
          <w:vertAlign w:val="baseline"/>
        </w:rPr>
        <w:t> </w:t>
      </w:r>
      <w:r>
        <w:rPr>
          <w:vertAlign w:val="baseline"/>
        </w:rPr>
        <w:t>on</w:t>
      </w:r>
      <w:r>
        <w:rPr>
          <w:spacing w:val="-1"/>
          <w:vertAlign w:val="baseline"/>
        </w:rPr>
        <w:t> </w:t>
      </w:r>
      <w:r>
        <w:rPr>
          <w:vertAlign w:val="baseline"/>
        </w:rPr>
        <w:t>ignorance”,</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more</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has</w:t>
      </w:r>
      <w:r>
        <w:rPr>
          <w:spacing w:val="-1"/>
          <w:vertAlign w:val="baseline"/>
        </w:rPr>
        <w:t> </w:t>
      </w:r>
      <w:r>
        <w:rPr>
          <w:vertAlign w:val="baseline"/>
        </w:rPr>
        <w:t>actual</w:t>
      </w:r>
      <w:r>
        <w:rPr>
          <w:spacing w:val="-1"/>
          <w:vertAlign w:val="baseline"/>
        </w:rPr>
        <w:t> </w:t>
      </w:r>
      <w:r>
        <w:rPr>
          <w:vertAlign w:val="baseline"/>
        </w:rPr>
        <w:t>knowledge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of </w:t>
      </w:r>
      <w:bookmarkStart w:name="_bookmark706" w:id="708"/>
      <w:bookmarkEnd w:id="708"/>
      <w:r>
        <w:rPr>
          <w:vertAlign w:val="baseline"/>
        </w:rPr>
        <w:t>the</w:t>
      </w:r>
      <w:r>
        <w:rPr>
          <w:vertAlign w:val="baseline"/>
        </w:rPr>
        <w:t> dangerousness of the situation which has thus arisen and of the need to take appropriate</w:t>
      </w:r>
      <w:r>
        <w:rPr>
          <w:spacing w:val="40"/>
          <w:vertAlign w:val="baseline"/>
        </w:rPr>
        <w:t> </w:t>
      </w:r>
      <w:r>
        <w:rPr>
          <w:vertAlign w:val="baseline"/>
        </w:rPr>
        <w:t>remedial measures, the greater the likelihood that the chain of causation will be broken”. </w:t>
      </w:r>
      <w:r>
        <w:rPr>
          <w:color w:val="005DA1"/>
          <w:u w:val="single" w:color="005DA1"/>
          <w:vertAlign w:val="superscript"/>
        </w:rPr>
        <w:t>381</w:t>
      </w:r>
    </w:p>
    <w:p>
      <w:pPr>
        <w:pStyle w:val="BodyText"/>
        <w:spacing w:before="73"/>
      </w:pPr>
    </w:p>
    <w:p>
      <w:pPr>
        <w:spacing w:before="0"/>
        <w:ind w:left="165" w:right="0" w:firstLine="0"/>
        <w:jc w:val="left"/>
        <w:rPr>
          <w:rFonts w:ascii="Arial"/>
          <w:b/>
          <w:sz w:val="24"/>
        </w:rPr>
      </w:pPr>
      <w:r>
        <w:rPr>
          <w:rFonts w:ascii="Arial"/>
          <w:b/>
          <w:sz w:val="24"/>
        </w:rPr>
        <w:t>26-</w:t>
      </w:r>
      <w:r>
        <w:rPr>
          <w:rFonts w:ascii="Arial"/>
          <w:b/>
          <w:spacing w:val="-5"/>
          <w:sz w:val="24"/>
        </w:rPr>
        <w:t>064</w:t>
      </w:r>
    </w:p>
    <w:p>
      <w:pPr>
        <w:spacing w:after="0"/>
        <w:jc w:val="left"/>
        <w:rPr>
          <w:rFonts w:ascii="Arial"/>
          <w:b/>
          <w:sz w:val="24"/>
        </w:rPr>
        <w:sectPr>
          <w:pgSz w:w="11900" w:h="16840"/>
          <w:pgMar w:header="971" w:footer="0" w:top="1300" w:bottom="280" w:left="1275" w:right="1275"/>
        </w:sectPr>
      </w:pPr>
    </w:p>
    <w:p>
      <w:pPr>
        <w:pStyle w:val="BodyText"/>
        <w:spacing w:before="22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07" w:id="709"/>
      <w:bookmarkEnd w:id="709"/>
      <w:r>
        <w:rPr>
          <w:rFonts w:ascii="Times New Roman" w:hAnsi="Times New Roman"/>
          <w:spacing w:val="11"/>
        </w:rPr>
      </w:r>
      <w:r>
        <w:rPr/>
        <w:t>Other contract cases </w:t>
      </w:r>
      <w:r>
        <w:rPr>
          <w:color w:val="005DA1"/>
          <w:u w:val="single" w:color="005DA1"/>
          <w:vertAlign w:val="superscript"/>
        </w:rPr>
        <w:t>382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8"/>
          <w:vertAlign w:val="baseline"/>
        </w:rPr>
        <w:t> </w:t>
      </w:r>
      <w:r>
        <w:rPr>
          <w:vertAlign w:val="baseline"/>
        </w:rPr>
        <w:t>dealing with the causal effect of the claimant’s intervening act concern the actions of masters of ships in obeying instructions of the charterers. Thus where a charterer </w:t>
      </w:r>
      <w:r>
        <w:rPr>
          <w:vertAlign w:val="baseline"/>
        </w:rPr>
        <w:t>was obliged to nominate a safe port of loading, but nominated a port which in fact was unsafe, and the </w:t>
      </w:r>
      <w:bookmarkStart w:name="_bookmark708" w:id="710"/>
      <w:bookmarkEnd w:id="710"/>
      <w:r>
        <w:rPr>
          <w:vertAlign w:val="baseline"/>
        </w:rPr>
        <w:t>master</w:t>
      </w:r>
      <w:r>
        <w:rPr>
          <w:vertAlign w:val="baseline"/>
        </w:rPr>
        <w:t> of the ship acted reasonably in accepting the nomination, the owners of the ship were entitled to recover damages from the charterer for injury sustained by the ship</w:t>
      </w:r>
      <w:r>
        <w:rPr>
          <w:spacing w:val="-1"/>
          <w:vertAlign w:val="baseline"/>
        </w:rPr>
        <w:t> </w:t>
      </w:r>
      <w:r>
        <w:rPr>
          <w:color w:val="005DA1"/>
          <w:u w:val="single" w:color="005DA1"/>
          <w:vertAlign w:val="superscript"/>
        </w:rPr>
        <w:t>383</w:t>
      </w:r>
      <w:r>
        <w:rPr>
          <w:vertAlign w:val="baseline"/>
        </w:rPr>
        <w:t>; the master of a ship cannot enter a port which is obviously unsafe and then charge the charterers with damage done, but</w:t>
      </w:r>
      <w:r>
        <w:rPr>
          <w:spacing w:val="40"/>
          <w:vertAlign w:val="baseline"/>
        </w:rPr>
        <w:t> </w:t>
      </w:r>
      <w:r>
        <w:rPr>
          <w:spacing w:val="-2"/>
          <w:vertAlign w:val="baseline"/>
        </w:rPr>
        <w:t>normally:</w:t>
      </w:r>
    </w:p>
    <w:p>
      <w:pPr>
        <w:pStyle w:val="BodyText"/>
      </w:pPr>
    </w:p>
    <w:p>
      <w:pPr>
        <w:pStyle w:val="BodyText"/>
        <w:spacing w:before="124"/>
      </w:pPr>
    </w:p>
    <w:p>
      <w:pPr>
        <w:pStyle w:val="BodyText"/>
        <w:spacing w:line="235" w:lineRule="auto"/>
        <w:ind w:left="1244"/>
      </w:pPr>
      <w:bookmarkStart w:name="_bookmark709" w:id="711"/>
      <w:bookmarkEnd w:id="711"/>
      <w:r>
        <w:rPr/>
      </w:r>
      <w:r>
        <w:rPr/>
        <w:t>“a</w:t>
      </w:r>
      <w:r>
        <w:rPr>
          <w:spacing w:val="18"/>
        </w:rPr>
        <w:t> </w:t>
      </w:r>
      <w:r>
        <w:rPr/>
        <w:t>man</w:t>
      </w:r>
      <w:r>
        <w:rPr>
          <w:spacing w:val="18"/>
        </w:rPr>
        <w:t> </w:t>
      </w:r>
      <w:r>
        <w:rPr/>
        <w:t>is</w:t>
      </w:r>
      <w:r>
        <w:rPr>
          <w:spacing w:val="18"/>
        </w:rPr>
        <w:t> </w:t>
      </w:r>
      <w:r>
        <w:rPr/>
        <w:t>entitled</w:t>
      </w:r>
      <w:r>
        <w:rPr>
          <w:spacing w:val="18"/>
        </w:rPr>
        <w:t> </w:t>
      </w:r>
      <w:r>
        <w:rPr/>
        <w:t>to</w:t>
      </w:r>
      <w:r>
        <w:rPr>
          <w:spacing w:val="18"/>
        </w:rPr>
        <w:t> </w:t>
      </w:r>
      <w:r>
        <w:rPr/>
        <w:t>act</w:t>
      </w:r>
      <w:r>
        <w:rPr>
          <w:spacing w:val="18"/>
        </w:rPr>
        <w:t> </w:t>
      </w:r>
      <w:r>
        <w:rPr/>
        <w:t>in</w:t>
      </w:r>
      <w:r>
        <w:rPr>
          <w:spacing w:val="18"/>
        </w:rPr>
        <w:t> </w:t>
      </w:r>
      <w:r>
        <w:rPr/>
        <w:t>the</w:t>
      </w:r>
      <w:r>
        <w:rPr>
          <w:spacing w:val="18"/>
        </w:rPr>
        <w:t> </w:t>
      </w:r>
      <w:r>
        <w:rPr/>
        <w:t>faith</w:t>
      </w:r>
      <w:r>
        <w:rPr>
          <w:spacing w:val="18"/>
        </w:rPr>
        <w:t> </w:t>
      </w:r>
      <w:r>
        <w:rPr/>
        <w:t>that</w:t>
      </w:r>
      <w:r>
        <w:rPr>
          <w:spacing w:val="18"/>
        </w:rPr>
        <w:t> </w:t>
      </w:r>
      <w:r>
        <w:rPr/>
        <w:t>the</w:t>
      </w:r>
      <w:r>
        <w:rPr>
          <w:spacing w:val="18"/>
        </w:rPr>
        <w:t> </w:t>
      </w:r>
      <w:r>
        <w:rPr/>
        <w:t>other</w:t>
      </w:r>
      <w:r>
        <w:rPr>
          <w:spacing w:val="18"/>
        </w:rPr>
        <w:t> </w:t>
      </w:r>
      <w:r>
        <w:rPr/>
        <w:t>party</w:t>
      </w:r>
      <w:r>
        <w:rPr>
          <w:spacing w:val="18"/>
        </w:rPr>
        <w:t> </w:t>
      </w:r>
      <w:r>
        <w:rPr/>
        <w:t>to</w:t>
      </w:r>
      <w:r>
        <w:rPr>
          <w:spacing w:val="18"/>
        </w:rPr>
        <w:t> </w:t>
      </w:r>
      <w:r>
        <w:rPr/>
        <w:t>a</w:t>
      </w:r>
      <w:r>
        <w:rPr>
          <w:spacing w:val="18"/>
        </w:rPr>
        <w:t> </w:t>
      </w:r>
      <w:r>
        <w:rPr/>
        <w:t>contract</w:t>
      </w:r>
      <w:r>
        <w:rPr>
          <w:spacing w:val="18"/>
        </w:rPr>
        <w:t> </w:t>
      </w:r>
      <w:r>
        <w:rPr/>
        <w:t>is</w:t>
      </w:r>
      <w:r>
        <w:rPr>
          <w:spacing w:val="18"/>
        </w:rPr>
        <w:t> </w:t>
      </w:r>
      <w:r>
        <w:rPr/>
        <w:t>carrying</w:t>
      </w:r>
      <w:r>
        <w:rPr>
          <w:spacing w:val="18"/>
        </w:rPr>
        <w:t> </w:t>
      </w:r>
      <w:r>
        <w:rPr/>
        <w:t>out</w:t>
      </w:r>
      <w:r>
        <w:rPr>
          <w:spacing w:val="18"/>
        </w:rPr>
        <w:t> </w:t>
      </w:r>
      <w:r>
        <w:rPr/>
        <w:t>his part of it properly.” </w:t>
      </w:r>
      <w:r>
        <w:rPr>
          <w:color w:val="005DA1"/>
          <w:u w:val="single" w:color="005DA1"/>
          <w:vertAlign w:val="superscript"/>
        </w:rPr>
        <w:t>384</w:t>
      </w:r>
    </w:p>
    <w:p>
      <w:pPr>
        <w:pStyle w:val="BodyText"/>
        <w:spacing w:before="116"/>
      </w:pPr>
    </w:p>
    <w:p>
      <w:pPr>
        <w:pStyle w:val="BodyText"/>
        <w:spacing w:line="235" w:lineRule="auto"/>
        <w:ind w:left="165" w:right="167"/>
        <w:jc w:val="both"/>
      </w:pPr>
      <w:bookmarkStart w:name="_bookmark710" w:id="712"/>
      <w:bookmarkEnd w:id="712"/>
      <w:r>
        <w:rPr/>
      </w:r>
      <w:r>
        <w:rPr/>
        <w:t>If the claimant is put on the horns of a dilemma by the defendant’s breach of contract, the defendant cannot escape liability if the claimant acts in a reasonable way. </w:t>
      </w:r>
      <w:r>
        <w:rPr>
          <w:color w:val="005DA1"/>
          <w:u w:val="single" w:color="005DA1"/>
          <w:vertAlign w:val="superscript"/>
        </w:rPr>
        <w:t>385</w:t>
      </w:r>
    </w:p>
    <w:p>
      <w:pPr>
        <w:pStyle w:val="BodyText"/>
      </w:pPr>
    </w:p>
    <w:p>
      <w:pPr>
        <w:pStyle w:val="BodyText"/>
        <w:spacing w:before="38"/>
      </w:pPr>
    </w:p>
    <w:p>
      <w:pPr>
        <w:spacing w:before="0"/>
        <w:ind w:left="165" w:right="0" w:firstLine="0"/>
        <w:jc w:val="both"/>
        <w:rPr>
          <w:rFonts w:ascii="Arial"/>
          <w:b/>
          <w:sz w:val="18"/>
        </w:rPr>
      </w:pPr>
      <w:r>
        <w:rPr>
          <w:rFonts w:ascii="Arial"/>
          <w:b/>
          <w:sz w:val="18"/>
        </w:rPr>
        <w:t>A fact-specific </w:t>
      </w:r>
      <w:r>
        <w:rPr>
          <w:rFonts w:ascii="Arial"/>
          <w:b/>
          <w:spacing w:val="-2"/>
          <w:sz w:val="18"/>
        </w:rPr>
        <w:t>issue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065</w:t>
      </w:r>
    </w:p>
    <w:p>
      <w:pPr>
        <w:pStyle w:val="BodyText"/>
        <w:spacing w:before="108"/>
        <w:rPr>
          <w:rFonts w:ascii="Arial"/>
          <w:b/>
        </w:rPr>
      </w:pPr>
      <w:r>
        <w:rPr>
          <w:rFonts w:ascii="Arial"/>
          <w:b/>
        </w:rPr>
        <w:drawing>
          <wp:anchor distT="0" distB="0" distL="0" distR="0" allowOverlap="1" layoutInCell="1" locked="0" behindDoc="1" simplePos="0" relativeHeight="487630336">
            <wp:simplePos x="0" y="0"/>
            <wp:positionH relativeFrom="page">
              <wp:posOffset>914400</wp:posOffset>
            </wp:positionH>
            <wp:positionV relativeFrom="paragraph">
              <wp:posOffset>230364</wp:posOffset>
            </wp:positionV>
            <wp:extent cx="107727" cy="107727"/>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6" cstate="print"/>
                    <a:stretch>
                      <a:fillRect/>
                    </a:stretch>
                  </pic:blipFill>
                  <pic:spPr>
                    <a:xfrm>
                      <a:off x="0" y="0"/>
                      <a:ext cx="107727" cy="107727"/>
                    </a:xfrm>
                    <a:prstGeom prst="rect">
                      <a:avLst/>
                    </a:prstGeom>
                  </pic:spPr>
                </pic:pic>
              </a:graphicData>
            </a:graphic>
          </wp:anchor>
        </w:drawing>
      </w:r>
    </w:p>
    <w:p>
      <w:pPr>
        <w:pStyle w:val="BodyText"/>
        <w:rPr>
          <w:rFonts w:ascii="Arial"/>
          <w:b/>
          <w:sz w:val="24"/>
        </w:rPr>
      </w:pPr>
    </w:p>
    <w:p>
      <w:pPr>
        <w:pStyle w:val="BodyText"/>
        <w:spacing w:before="49"/>
        <w:rPr>
          <w:rFonts w:ascii="Arial"/>
          <w:b/>
          <w:sz w:val="24"/>
        </w:rPr>
      </w:pPr>
    </w:p>
    <w:p>
      <w:pPr>
        <w:pStyle w:val="BodyText"/>
        <w:spacing w:line="235" w:lineRule="auto" w:before="1"/>
        <w:ind w:left="1245" w:right="174"/>
      </w:pPr>
      <w:bookmarkStart w:name="_bookmark711" w:id="713"/>
      <w:bookmarkEnd w:id="713"/>
      <w:r>
        <w:rPr/>
      </w:r>
      <w:r>
        <w:rPr/>
        <w:t>“[U]ltimately, the question of whether there has been a break in the chain of causation is fact sensitive …‘it is almost impossible to generalise’.” </w:t>
      </w:r>
      <w:r>
        <w:rPr>
          <w:color w:val="005DA1"/>
          <w:u w:val="single" w:color="005DA1"/>
          <w:vertAlign w:val="superscript"/>
        </w:rPr>
        <w:t>386</w:t>
      </w:r>
    </w:p>
    <w:p>
      <w:pPr>
        <w:pStyle w:val="BodyText"/>
        <w:spacing w:before="112"/>
      </w:pPr>
    </w:p>
    <w:p>
      <w:pPr>
        <w:pStyle w:val="BodyText"/>
        <w:spacing w:line="360" w:lineRule="auto"/>
        <w:ind w:left="165" w:right="168"/>
        <w:jc w:val="both"/>
        <w:rPr>
          <w:position w:val="-2"/>
        </w:rPr>
      </w:pPr>
      <w:bookmarkStart w:name="_bookmark712" w:id="714"/>
      <w:bookmarkEnd w:id="714"/>
      <w:r>
        <w:rPr/>
      </w:r>
      <w:bookmarkStart w:name="_bookmark713" w:id="715"/>
      <w:bookmarkEnd w:id="715"/>
      <w:r>
        <w:rPr/>
      </w:r>
      <w:r>
        <w:rPr/>
        <w:t>The doctrines of mitigation </w:t>
      </w:r>
      <w:r>
        <w:rPr>
          <w:color w:val="005DA1"/>
          <w:u w:val="single" w:color="005DA1"/>
          <w:vertAlign w:val="superscript"/>
        </w:rPr>
        <w:t>387</w:t>
      </w:r>
      <w:r>
        <w:rPr>
          <w:color w:val="005DA1"/>
          <w:vertAlign w:val="baseline"/>
        </w:rPr>
        <w:t> </w:t>
      </w:r>
      <w:r>
        <w:rPr>
          <w:vertAlign w:val="baseline"/>
        </w:rPr>
        <w:t>and possibly of contributory negligence </w:t>
      </w:r>
      <w:r>
        <w:rPr>
          <w:color w:val="005DA1"/>
          <w:u w:val="single" w:color="005DA1"/>
          <w:vertAlign w:val="superscript"/>
        </w:rPr>
        <w:t>388</w:t>
      </w:r>
      <w:r>
        <w:rPr>
          <w:color w:val="005DA1"/>
          <w:vertAlign w:val="baseline"/>
        </w:rPr>
        <w:t> </w:t>
      </w:r>
      <w:r>
        <w:rPr>
          <w:vertAlign w:val="baseline"/>
        </w:rPr>
        <w:t>may be relevant in </w:t>
      </w:r>
      <w:r>
        <w:rPr>
          <w:vertAlign w:val="baseline"/>
        </w:rPr>
        <w:t>addition to causation. </w:t>
      </w:r>
      <w:r>
        <w:rPr>
          <w:color w:val="005DA1"/>
          <w:u w:val="single" w:color="005DA1"/>
          <w:vertAlign w:val="superscript"/>
        </w:rPr>
        <w:t>389</w:t>
      </w:r>
      <w:r>
        <w:rPr>
          <w:color w:val="005DA1"/>
          <w:spacing w:val="80"/>
          <w:vertAlign w:val="baseline"/>
        </w:rPr>
        <w:t> </w:t>
      </w:r>
      <w:r>
        <w:rPr>
          <w:color w:val="005DA1"/>
          <w:position w:val="-2"/>
          <w:vertAlign w:val="baseline"/>
        </w:rPr>
        <w:drawing>
          <wp:inline distT="0" distB="0" distL="0" distR="0">
            <wp:extent cx="107988" cy="10798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Apportionment between claimant and </w:t>
      </w:r>
      <w:r>
        <w:rPr>
          <w:rFonts w:ascii="Arial"/>
          <w:b/>
          <w:spacing w:val="-2"/>
          <w:sz w:val="18"/>
        </w:rPr>
        <w:t>defendant</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066</w:t>
      </w:r>
    </w:p>
    <w:p>
      <w:pPr>
        <w:pStyle w:val="BodyText"/>
        <w:spacing w:line="235" w:lineRule="auto" w:before="202"/>
        <w:ind w:left="165" w:right="167"/>
        <w:jc w:val="both"/>
      </w:pPr>
      <w:bookmarkStart w:name="_bookmark714" w:id="716"/>
      <w:bookmarkEnd w:id="716"/>
      <w:r>
        <w:rPr/>
      </w:r>
      <w:r>
        <w:rPr/>
        <w:t>In one case, the Court of Appeal unusually allowed apportionment of causation between the </w:t>
      </w:r>
      <w:r>
        <w:rPr/>
        <w:t>claimant and the defendant. </w:t>
      </w:r>
      <w:r>
        <w:rPr>
          <w:color w:val="005DA1"/>
          <w:u w:val="single" w:color="005DA1"/>
          <w:vertAlign w:val="superscript"/>
        </w:rPr>
        <w:t>390</w:t>
      </w:r>
    </w:p>
    <w:p>
      <w:pPr>
        <w:pStyle w:val="BodyText"/>
      </w:pPr>
    </w:p>
    <w:p>
      <w:pPr>
        <w:pStyle w:val="BodyText"/>
        <w:spacing w:before="38"/>
      </w:pPr>
    </w:p>
    <w:p>
      <w:pPr>
        <w:spacing w:before="0"/>
        <w:ind w:left="165" w:right="0" w:firstLine="0"/>
        <w:jc w:val="both"/>
        <w:rPr>
          <w:rFonts w:ascii="Arial"/>
          <w:b/>
          <w:sz w:val="18"/>
        </w:rPr>
      </w:pPr>
      <w:r>
        <w:rPr>
          <w:rFonts w:ascii="Arial"/>
          <w:b/>
          <w:sz w:val="18"/>
        </w:rPr>
        <w:t>Intervening </w:t>
      </w:r>
      <w:r>
        <w:rPr>
          <w:rFonts w:ascii="Arial"/>
          <w:b/>
          <w:spacing w:val="-2"/>
          <w:sz w:val="18"/>
        </w:rPr>
        <w:t>events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067</w:t>
      </w:r>
    </w:p>
    <w:p>
      <w:pPr>
        <w:pStyle w:val="BodyText"/>
        <w:spacing w:line="235" w:lineRule="auto" w:before="202"/>
        <w:ind w:left="165" w:right="167"/>
        <w:jc w:val="both"/>
      </w:pPr>
      <w:bookmarkStart w:name="_bookmark715" w:id="717"/>
      <w:bookmarkEnd w:id="717"/>
      <w:r>
        <w:rPr/>
      </w:r>
      <w:r>
        <w:rPr/>
        <w:t>An intervening event which could reasonably be expected will not excuse the defendant for loss </w:t>
      </w:r>
      <w:bookmarkStart w:name="_bookmark716" w:id="718"/>
      <w:bookmarkEnd w:id="718"/>
      <w:r>
        <w:rPr/>
        <w:t>caused</w:t>
      </w:r>
      <w:r>
        <w:rPr/>
        <w:t> by</w:t>
      </w:r>
      <w:r>
        <w:rPr>
          <w:spacing w:val="1"/>
        </w:rPr>
        <w:t> </w:t>
      </w:r>
      <w:r>
        <w:rPr/>
        <w:t>the</w:t>
      </w:r>
      <w:r>
        <w:rPr>
          <w:spacing w:val="1"/>
        </w:rPr>
        <w:t> </w:t>
      </w:r>
      <w:r>
        <w:rPr/>
        <w:t>combined</w:t>
      </w:r>
      <w:r>
        <w:rPr>
          <w:spacing w:val="1"/>
        </w:rPr>
        <w:t> </w:t>
      </w:r>
      <w:r>
        <w:rPr/>
        <w:t>operation</w:t>
      </w:r>
      <w:r>
        <w:rPr>
          <w:spacing w:val="1"/>
        </w:rPr>
        <w:t> </w:t>
      </w:r>
      <w:r>
        <w:rPr/>
        <w:t>of</w:t>
      </w:r>
      <w:r>
        <w:rPr>
          <w:spacing w:val="1"/>
        </w:rPr>
        <w:t> </w:t>
      </w:r>
      <w:r>
        <w:rPr/>
        <w:t>the defendant’s</w:t>
      </w:r>
      <w:r>
        <w:rPr>
          <w:spacing w:val="1"/>
        </w:rPr>
        <w:t> </w:t>
      </w:r>
      <w:r>
        <w:rPr/>
        <w:t>breach</w:t>
      </w:r>
      <w:r>
        <w:rPr>
          <w:spacing w:val="1"/>
        </w:rPr>
        <w:t> </w:t>
      </w:r>
      <w:r>
        <w:rPr/>
        <w:t>of</w:t>
      </w:r>
      <w:r>
        <w:rPr>
          <w:spacing w:val="1"/>
        </w:rPr>
        <w:t> </w:t>
      </w:r>
      <w:r>
        <w:rPr/>
        <w:t>contract </w:t>
      </w:r>
      <w:r>
        <w:rPr>
          <w:color w:val="005DA1"/>
          <w:u w:val="single" w:color="005DA1"/>
          <w:vertAlign w:val="superscript"/>
        </w:rPr>
        <w:t>391</w:t>
      </w:r>
      <w:r>
        <w:rPr>
          <w:color w:val="005DA1"/>
          <w:spacing w:val="1"/>
          <w:vertAlign w:val="baseline"/>
        </w:rPr>
        <w:t> </w:t>
      </w:r>
      <w:r>
        <w:rPr>
          <w:vertAlign w:val="baseline"/>
        </w:rPr>
        <w:t>and the</w:t>
      </w:r>
      <w:r>
        <w:rPr>
          <w:spacing w:val="1"/>
          <w:vertAlign w:val="baseline"/>
        </w:rPr>
        <w:t> </w:t>
      </w:r>
      <w:r>
        <w:rPr>
          <w:vertAlign w:val="baseline"/>
        </w:rPr>
        <w:t>intervening</w:t>
      </w:r>
      <w:r>
        <w:rPr>
          <w:spacing w:val="1"/>
          <w:vertAlign w:val="baseline"/>
        </w:rPr>
        <w:t> </w:t>
      </w:r>
      <w:r>
        <w:rPr>
          <w:spacing w:val="-2"/>
          <w:vertAlign w:val="baseline"/>
        </w:rPr>
        <w:t>event.</w:t>
      </w:r>
    </w:p>
    <w:p>
      <w:pPr>
        <w:pStyle w:val="BodyText"/>
        <w:spacing w:line="235" w:lineRule="auto"/>
        <w:ind w:left="165" w:right="167"/>
        <w:jc w:val="both"/>
      </w:pPr>
      <w:r>
        <w:rPr>
          <w:color w:val="005DA1"/>
          <w:u w:val="single" w:color="005DA1"/>
          <w:vertAlign w:val="superscript"/>
        </w:rPr>
        <w:t>392</w:t>
      </w:r>
      <w:r>
        <w:rPr>
          <w:color w:val="005DA1"/>
          <w:vertAlign w:val="baseline"/>
        </w:rPr>
        <w:t> </w:t>
      </w:r>
      <w:r>
        <w:rPr>
          <w:vertAlign w:val="baseline"/>
        </w:rPr>
        <w:t>Thus in </w:t>
      </w:r>
      <w:r>
        <w:rPr>
          <w:rFonts w:ascii="Arial" w:hAnsi="Arial"/>
          <w:i/>
          <w:vertAlign w:val="baseline"/>
        </w:rPr>
        <w:t>Monarch S.S. Co Ltd v Karlshamns Oljefabriker (A/B) </w:t>
      </w:r>
      <w:r>
        <w:rPr>
          <w:color w:val="005DA1"/>
          <w:u w:val="single" w:color="005DA1"/>
          <w:vertAlign w:val="superscript"/>
        </w:rPr>
        <w:t>393</w:t>
      </w:r>
      <w:r>
        <w:rPr>
          <w:color w:val="005DA1"/>
          <w:vertAlign w:val="baseline"/>
        </w:rPr>
        <w:t> </w:t>
      </w:r>
      <w:r>
        <w:rPr>
          <w:vertAlign w:val="baseline"/>
        </w:rPr>
        <w:t>the defendants’ ship </w:t>
      </w:r>
      <w:r>
        <w:rPr>
          <w:vertAlign w:val="baseline"/>
        </w:rPr>
        <w:t>was chartered to carry a cargo from Manchuria to Sweden. The ship should have reached Sweden in July 1939 but the defendants broke their contractual duty to provide a seaworthy ship and she was</w:t>
      </w:r>
      <w:r>
        <w:rPr>
          <w:spacing w:val="40"/>
          <w:vertAlign w:val="baseline"/>
        </w:rPr>
        <w:t> </w:t>
      </w:r>
      <w:r>
        <w:rPr>
          <w:vertAlign w:val="baseline"/>
        </w:rPr>
        <w:t>delayed till September. By this time war had broken out, and the vessel was ordered by the British Admiralty to unload at Glasgow. The plaintiffs (indorsees of the bills of lading) incurred expenses in forwarding the cargo to Sweden in neutral ships, and the House of Lords held that these could be recovered from the defendants. Reasonable business men, knowing of the possibility of war, would have foreseen that a delay might lead to the risk that the vessel would be diverted by the Admiralty. </w:t>
      </w:r>
      <w:bookmarkStart w:name="_bookmark717" w:id="719"/>
      <w:bookmarkEnd w:id="719"/>
      <w:r>
        <w:rPr>
          <w:vertAlign w:val="baseline"/>
        </w:rPr>
        <w:t>The</w:t>
      </w:r>
      <w:r>
        <w:rPr>
          <w:vertAlign w:val="baseline"/>
        </w:rPr>
        <w:t> House of Lords held that the cost of transhipment was due to, or caused by, the breach of contract, and was damage arising as a direct and natural consequence of the breach. </w:t>
      </w:r>
      <w:r>
        <w:rPr>
          <w:color w:val="005DA1"/>
          <w:u w:val="single" w:color="005DA1"/>
          <w:vertAlign w:val="superscript"/>
        </w:rPr>
        <w:t>394</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Two </w:t>
      </w:r>
      <w:r>
        <w:rPr>
          <w:rFonts w:ascii="Arial"/>
          <w:b/>
          <w:spacing w:val="-2"/>
          <w:sz w:val="18"/>
        </w:rPr>
        <w:t>causes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068</w:t>
      </w:r>
    </w:p>
    <w:p>
      <w:pPr>
        <w:pStyle w:val="BodyText"/>
        <w:spacing w:line="235" w:lineRule="auto" w:before="203"/>
        <w:ind w:left="164" w:right="167"/>
        <w:jc w:val="both"/>
      </w:pPr>
      <w:bookmarkStart w:name="_bookmark718" w:id="720"/>
      <w:bookmarkEnd w:id="720"/>
      <w:r>
        <w:rPr/>
      </w:r>
      <w:r>
        <w:rPr/>
        <w:t>If a breach of contract is one of two causes, both co-operating and both of equal efficacy in </w:t>
      </w:r>
      <w:r>
        <w:rPr/>
        <w:t>causing loss to the claimant, the party responsible for the breach is liable to the claimant for that loss. </w:t>
      </w:r>
      <w:r>
        <w:rPr>
          <w:color w:val="005DA1"/>
          <w:u w:val="single" w:color="005DA1"/>
          <w:vertAlign w:val="superscript"/>
        </w:rPr>
        <w:t>395</w:t>
      </w:r>
      <w:r>
        <w:rPr>
          <w:color w:val="005DA1"/>
          <w:vertAlign w:val="baseline"/>
        </w:rPr>
        <w:t> </w:t>
      </w:r>
      <w:r>
        <w:rPr>
          <w:vertAlign w:val="baseline"/>
        </w:rPr>
        <w:t>The </w:t>
      </w:r>
      <w:bookmarkStart w:name="_bookmark719" w:id="721"/>
      <w:bookmarkEnd w:id="721"/>
      <w:r>
        <w:rPr>
          <w:vertAlign w:val="baseline"/>
        </w:rPr>
        <w:t>contract</w:t>
      </w:r>
      <w:r>
        <w:rPr>
          <w:vertAlign w:val="baseline"/>
        </w:rPr>
        <w:t>-breaker</w:t>
      </w:r>
      <w:r>
        <w:rPr>
          <w:spacing w:val="-2"/>
          <w:vertAlign w:val="baseline"/>
        </w:rPr>
        <w:t> </w:t>
      </w:r>
      <w:r>
        <w:rPr>
          <w:vertAlign w:val="baseline"/>
        </w:rPr>
        <w:t>is</w:t>
      </w:r>
      <w:r>
        <w:rPr>
          <w:spacing w:val="-2"/>
          <w:vertAlign w:val="baseline"/>
        </w:rPr>
        <w:t> </w:t>
      </w:r>
      <w:r>
        <w:rPr>
          <w:vertAlign w:val="baseline"/>
        </w:rPr>
        <w:t>liable</w:t>
      </w:r>
      <w:r>
        <w:rPr>
          <w:spacing w:val="-2"/>
          <w:vertAlign w:val="baseline"/>
        </w:rPr>
        <w:t> </w:t>
      </w:r>
      <w:r>
        <w:rPr>
          <w:vertAlign w:val="baseline"/>
        </w:rPr>
        <w:t>so</w:t>
      </w:r>
      <w:r>
        <w:rPr>
          <w:spacing w:val="-2"/>
          <w:vertAlign w:val="baseline"/>
        </w:rPr>
        <w:t> </w:t>
      </w:r>
      <w:r>
        <w:rPr>
          <w:vertAlign w:val="baseline"/>
        </w:rPr>
        <w:t>long</w:t>
      </w:r>
      <w:r>
        <w:rPr>
          <w:spacing w:val="-2"/>
          <w:vertAlign w:val="baseline"/>
        </w:rPr>
        <w:t> </w:t>
      </w:r>
      <w:r>
        <w:rPr>
          <w:vertAlign w:val="baseline"/>
        </w:rPr>
        <w:t>as</w:t>
      </w:r>
      <w:r>
        <w:rPr>
          <w:spacing w:val="-2"/>
          <w:vertAlign w:val="baseline"/>
        </w:rPr>
        <w:t> </w:t>
      </w:r>
      <w:r>
        <w:rPr>
          <w:vertAlign w:val="baseline"/>
        </w:rPr>
        <w:t>his</w:t>
      </w:r>
      <w:r>
        <w:rPr>
          <w:spacing w:val="-2"/>
          <w:vertAlign w:val="baseline"/>
        </w:rPr>
        <w:t> </w:t>
      </w:r>
      <w:r>
        <w:rPr>
          <w:vertAlign w:val="baseline"/>
        </w:rPr>
        <w:t>breach</w:t>
      </w:r>
      <w:r>
        <w:rPr>
          <w:spacing w:val="-2"/>
          <w:vertAlign w:val="baseline"/>
        </w:rPr>
        <w:t> </w:t>
      </w:r>
      <w:r>
        <w:rPr>
          <w:vertAlign w:val="baseline"/>
        </w:rPr>
        <w:t>was</w:t>
      </w:r>
      <w:r>
        <w:rPr>
          <w:spacing w:val="-2"/>
          <w:vertAlign w:val="baseline"/>
        </w:rPr>
        <w:t> </w:t>
      </w:r>
      <w:r>
        <w:rPr>
          <w:vertAlign w:val="baseline"/>
        </w:rPr>
        <w:t>“an”</w:t>
      </w:r>
      <w:r>
        <w:rPr>
          <w:spacing w:val="-2"/>
          <w:vertAlign w:val="baseline"/>
        </w:rPr>
        <w:t> </w:t>
      </w:r>
      <w:r>
        <w:rPr>
          <w:vertAlign w:val="baseline"/>
        </w:rPr>
        <w:t>effective</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loss:</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need</w:t>
      </w:r>
      <w:r>
        <w:rPr>
          <w:spacing w:val="-2"/>
          <w:vertAlign w:val="baseline"/>
        </w:rPr>
        <w:t> </w:t>
      </w:r>
      <w:r>
        <w:rPr>
          <w:vertAlign w:val="baseline"/>
        </w:rPr>
        <w:t>not choose which cause was the more effective. </w:t>
      </w:r>
      <w:r>
        <w:rPr>
          <w:color w:val="005DA1"/>
          <w:u w:val="single" w:color="005DA1"/>
          <w:vertAlign w:val="superscript"/>
        </w:rPr>
        <w:t>396</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The claimant’s lost opportunities: hypothetical </w:t>
      </w:r>
      <w:r>
        <w:rPr>
          <w:rFonts w:ascii="Arial" w:hAnsi="Arial"/>
          <w:b/>
          <w:spacing w:val="-2"/>
          <w:sz w:val="18"/>
        </w:rPr>
        <w:t>consequences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069</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20" w:id="722"/>
      <w:bookmarkEnd w:id="722"/>
      <w:r>
        <w:rPr>
          <w:rFonts w:ascii="Times New Roman" w:hAnsi="Times New Roman"/>
          <w:spacing w:val="18"/>
        </w:rPr>
      </w:r>
      <w:r>
        <w:rPr/>
        <w:t>The claimant may claim that, in the absence of the defendant’s breach of contract, he might have obtained a benefit or avoided a loss </w:t>
      </w:r>
      <w:r>
        <w:rPr>
          <w:color w:val="005DA1"/>
          <w:u w:val="single" w:color="005DA1"/>
          <w:vertAlign w:val="superscript"/>
        </w:rPr>
        <w:t>397</w:t>
      </w:r>
      <w:r>
        <w:rPr>
          <w:vertAlign w:val="baseline"/>
        </w:rPr>
        <w:t>: this consequence was not certain to follow proper performance of the contract but the breach deprived the claimant of the opportunity to benefit from </w:t>
      </w:r>
      <w:r>
        <w:rPr>
          <w:vertAlign w:val="baseline"/>
        </w:rPr>
        <w:t>it. </w:t>
      </w:r>
      <w:bookmarkStart w:name="_bookmark721" w:id="723"/>
      <w:bookmarkEnd w:id="723"/>
      <w:r>
        <w:rPr>
          <w:vertAlign w:val="baseline"/>
        </w:rPr>
        <w:t>The</w:t>
      </w:r>
      <w:r>
        <w:rPr>
          <w:spacing w:val="13"/>
          <w:vertAlign w:val="baseline"/>
        </w:rPr>
        <w:t> </w:t>
      </w:r>
      <w:r>
        <w:rPr>
          <w:vertAlign w:val="baseline"/>
        </w:rPr>
        <w:t>question</w:t>
      </w:r>
      <w:r>
        <w:rPr>
          <w:spacing w:val="13"/>
          <w:vertAlign w:val="baseline"/>
        </w:rPr>
        <w:t> </w:t>
      </w:r>
      <w:r>
        <w:rPr>
          <w:vertAlign w:val="baseline"/>
        </w:rPr>
        <w:t>usually</w:t>
      </w:r>
      <w:r>
        <w:rPr>
          <w:spacing w:val="13"/>
          <w:vertAlign w:val="baseline"/>
        </w:rPr>
        <w:t> </w:t>
      </w:r>
      <w:r>
        <w:rPr>
          <w:vertAlign w:val="baseline"/>
        </w:rPr>
        <w:t>arises</w:t>
      </w:r>
      <w:r>
        <w:rPr>
          <w:spacing w:val="13"/>
          <w:vertAlign w:val="baseline"/>
        </w:rPr>
        <w:t> </w:t>
      </w:r>
      <w:r>
        <w:rPr>
          <w:vertAlign w:val="baseline"/>
        </w:rPr>
        <w:t>when</w:t>
      </w:r>
      <w:r>
        <w:rPr>
          <w:spacing w:val="13"/>
          <w:vertAlign w:val="baseline"/>
        </w:rPr>
        <w:t> </w:t>
      </w:r>
      <w:r>
        <w:rPr>
          <w:vertAlign w:val="baseline"/>
        </w:rPr>
        <w:t>the</w:t>
      </w:r>
      <w:r>
        <w:rPr>
          <w:spacing w:val="13"/>
          <w:vertAlign w:val="baseline"/>
        </w:rPr>
        <w:t> </w:t>
      </w:r>
      <w:r>
        <w:rPr>
          <w:vertAlign w:val="baseline"/>
        </w:rPr>
        <w:t>defendant</w:t>
      </w:r>
      <w:r>
        <w:rPr>
          <w:spacing w:val="13"/>
          <w:vertAlign w:val="baseline"/>
        </w:rPr>
        <w:t> </w:t>
      </w:r>
      <w:r>
        <w:rPr>
          <w:vertAlign w:val="baseline"/>
        </w:rPr>
        <w:t>has</w:t>
      </w:r>
      <w:r>
        <w:rPr>
          <w:spacing w:val="13"/>
          <w:vertAlign w:val="baseline"/>
        </w:rPr>
        <w:t> </w:t>
      </w:r>
      <w:r>
        <w:rPr>
          <w:vertAlign w:val="baseline"/>
        </w:rPr>
        <w:t>failed</w:t>
      </w:r>
      <w:r>
        <w:rPr>
          <w:spacing w:val="13"/>
          <w:vertAlign w:val="baseline"/>
        </w:rPr>
        <w:t> </w:t>
      </w:r>
      <w:r>
        <w:rPr>
          <w:vertAlign w:val="baseline"/>
        </w:rPr>
        <w:t>to</w:t>
      </w:r>
      <w:r>
        <w:rPr>
          <w:spacing w:val="13"/>
          <w:vertAlign w:val="baseline"/>
        </w:rPr>
        <w:t> </w:t>
      </w:r>
      <w:r>
        <w:rPr>
          <w:vertAlign w:val="baseline"/>
        </w:rPr>
        <w:t>do</w:t>
      </w:r>
      <w:r>
        <w:rPr>
          <w:spacing w:val="13"/>
          <w:vertAlign w:val="baseline"/>
        </w:rPr>
        <w:t> </w:t>
      </w:r>
      <w:r>
        <w:rPr>
          <w:vertAlign w:val="baseline"/>
        </w:rPr>
        <w:t>something,</w:t>
      </w:r>
      <w:r>
        <w:rPr>
          <w:spacing w:val="13"/>
          <w:vertAlign w:val="baseline"/>
        </w:rPr>
        <w:t> </w:t>
      </w:r>
      <w:r>
        <w:rPr>
          <w:vertAlign w:val="baseline"/>
        </w:rPr>
        <w:t>but</w:t>
      </w:r>
      <w:r>
        <w:rPr>
          <w:spacing w:val="13"/>
          <w:vertAlign w:val="baseline"/>
        </w:rPr>
        <w:t> </w:t>
      </w:r>
      <w:r>
        <w:rPr>
          <w:vertAlign w:val="baseline"/>
        </w:rPr>
        <w:t>it</w:t>
      </w:r>
      <w:r>
        <w:rPr>
          <w:spacing w:val="13"/>
          <w:vertAlign w:val="baseline"/>
        </w:rPr>
        <w:t> </w:t>
      </w:r>
      <w:r>
        <w:rPr>
          <w:vertAlign w:val="baseline"/>
        </w:rPr>
        <w:t>could</w:t>
      </w:r>
      <w:r>
        <w:rPr>
          <w:spacing w:val="13"/>
          <w:vertAlign w:val="baseline"/>
        </w:rPr>
        <w:t> </w:t>
      </w:r>
      <w:r>
        <w:rPr>
          <w:vertAlign w:val="baseline"/>
        </w:rPr>
        <w:t>arise</w:t>
      </w:r>
      <w:r>
        <w:rPr>
          <w:spacing w:val="13"/>
          <w:vertAlign w:val="baseline"/>
        </w:rPr>
        <w:t> </w:t>
      </w:r>
      <w:r>
        <w:rPr>
          <w:spacing w:val="-2"/>
          <w:vertAlign w:val="baseline"/>
        </w:rPr>
        <w:t>where</w:t>
      </w:r>
    </w:p>
    <w:p>
      <w:pPr>
        <w:pStyle w:val="BodyText"/>
        <w:spacing w:line="235" w:lineRule="auto" w:before="118"/>
        <w:ind w:left="165" w:right="167"/>
        <w:jc w:val="both"/>
      </w:pPr>
      <w:r>
        <w:rPr/>
        <w:t>his performance had been inadequate or deficient in some way. </w:t>
      </w:r>
      <w:r>
        <w:rPr>
          <w:color w:val="005DA1"/>
          <w:u w:val="single" w:color="005DA1"/>
          <w:vertAlign w:val="superscript"/>
        </w:rPr>
        <w:t>398</w:t>
      </w:r>
      <w:r>
        <w:rPr>
          <w:color w:val="005DA1"/>
          <w:spacing w:val="80"/>
          <w:vertAlign w:val="baseline"/>
        </w:rPr>
        <w:t> </w:t>
      </w:r>
      <w:r>
        <w:rPr>
          <w:color w:val="005DA1"/>
          <w:position w:val="-2"/>
          <w:vertAlign w:val="baseline"/>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 law distinguishes three situations: where the hypothetical consequence involves the hypothesis of the claimant’s act, where </w:t>
      </w:r>
      <w:r>
        <w:rPr>
          <w:vertAlign w:val="baseline"/>
        </w:rPr>
        <w:t>it involves that of a third person and where it involves the occurrence of a contingency outside the control of either party to the contract. It seems, however, that the second and third cases are treated in the same way.</w:t>
      </w:r>
    </w:p>
    <w:p>
      <w:pPr>
        <w:pStyle w:val="BodyText"/>
      </w:pPr>
    </w:p>
    <w:p>
      <w:pPr>
        <w:pStyle w:val="BodyText"/>
        <w:spacing w:before="37"/>
      </w:pPr>
    </w:p>
    <w:p>
      <w:pPr>
        <w:spacing w:before="0"/>
        <w:ind w:left="165" w:right="0" w:firstLine="0"/>
        <w:jc w:val="both"/>
        <w:rPr>
          <w:rFonts w:ascii="Arial"/>
          <w:b/>
          <w:sz w:val="18"/>
        </w:rPr>
      </w:pPr>
      <w:r>
        <w:rPr>
          <w:rFonts w:ascii="Arial"/>
          <w:b/>
          <w:sz w:val="18"/>
        </w:rPr>
        <w:t>A hypothetical action of the </w:t>
      </w:r>
      <w:r>
        <w:rPr>
          <w:rFonts w:ascii="Arial"/>
          <w:b/>
          <w:spacing w:val="-2"/>
          <w:sz w:val="18"/>
        </w:rPr>
        <w:t>claimant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070</w:t>
      </w:r>
    </w:p>
    <w:p>
      <w:pPr>
        <w:pStyle w:val="BodyText"/>
        <w:spacing w:line="235" w:lineRule="auto" w:before="203"/>
        <w:ind w:left="165" w:right="167"/>
        <w:jc w:val="both"/>
      </w:pPr>
      <w:r>
        <w:rPr/>
        <w:t>This</w:t>
      </w:r>
      <w:r>
        <w:rPr>
          <w:spacing w:val="-3"/>
        </w:rPr>
        <w:t> </w:t>
      </w:r>
      <w:r>
        <w:rPr/>
        <w:t>situation</w:t>
      </w:r>
      <w:r>
        <w:rPr>
          <w:spacing w:val="-3"/>
        </w:rPr>
        <w:t> </w:t>
      </w:r>
      <w:r>
        <w:rPr/>
        <w:t>arises</w:t>
      </w:r>
      <w:r>
        <w:rPr>
          <w:spacing w:val="-3"/>
        </w:rPr>
        <w:t> </w:t>
      </w:r>
      <w:r>
        <w:rPr/>
        <w:t>where</w:t>
      </w:r>
      <w:r>
        <w:rPr>
          <w:spacing w:val="-3"/>
        </w:rPr>
        <w:t> </w:t>
      </w:r>
      <w:r>
        <w:rPr/>
        <w:t>a</w:t>
      </w:r>
      <w:r>
        <w:rPr>
          <w:spacing w:val="-3"/>
        </w:rPr>
        <w:t> </w:t>
      </w:r>
      <w:r>
        <w:rPr/>
        <w:t>particular</w:t>
      </w:r>
      <w:r>
        <w:rPr>
          <w:spacing w:val="-3"/>
        </w:rPr>
        <w:t> </w:t>
      </w:r>
      <w:r>
        <w:rPr/>
        <w:t>contingency</w:t>
      </w:r>
      <w:r>
        <w:rPr>
          <w:spacing w:val="-3"/>
        </w:rPr>
        <w:t> </w:t>
      </w:r>
      <w:r>
        <w:rPr/>
        <w:t>depends</w:t>
      </w:r>
      <w:r>
        <w:rPr>
          <w:spacing w:val="-3"/>
        </w:rPr>
        <w:t> </w:t>
      </w:r>
      <w:r>
        <w:rPr/>
        <w:t>on</w:t>
      </w:r>
      <w:r>
        <w:rPr>
          <w:spacing w:val="-3"/>
        </w:rPr>
        <w:t> </w:t>
      </w:r>
      <w:r>
        <w:rPr/>
        <w:t>the</w:t>
      </w:r>
      <w:r>
        <w:rPr>
          <w:spacing w:val="-3"/>
        </w:rPr>
        <w:t> </w:t>
      </w:r>
      <w:r>
        <w:rPr/>
        <w:t>hypothetical</w:t>
      </w:r>
      <w:r>
        <w:rPr>
          <w:spacing w:val="-3"/>
        </w:rPr>
        <w:t> </w:t>
      </w:r>
      <w:r>
        <w:rPr/>
        <w:t>question</w:t>
      </w:r>
      <w:r>
        <w:rPr>
          <w:spacing w:val="-3"/>
        </w:rPr>
        <w:t> </w:t>
      </w:r>
      <w:r>
        <w:rPr/>
        <w:t>whether</w:t>
      </w:r>
      <w:r>
        <w:rPr>
          <w:spacing w:val="-3"/>
        </w:rPr>
        <w:t> </w:t>
      </w:r>
      <w:r>
        <w:rPr/>
        <w:t>the claimant himself would have acted in a certain way. It is illustrated by the case where a solicitor </w:t>
      </w:r>
      <w:r>
        <w:rPr/>
        <w:t>failed to give proper advice to his client and the issue is whether the client would have accepted the advice and acted on it in a particular way. The client must prove, on the balance of probabilities, that he would have done so: unless he can prove this, he fails to establish the causal link between the </w:t>
      </w:r>
      <w:bookmarkStart w:name="_bookmark722" w:id="724"/>
      <w:bookmarkEnd w:id="724"/>
      <w:r>
        <w:rPr/>
        <w:t>defendant’s</w:t>
      </w:r>
      <w:r>
        <w:rPr/>
        <w:t> omission and the loss he would have avoided if he had accepted and acted on the hypothetical advice. </w:t>
      </w:r>
      <w:r>
        <w:rPr>
          <w:color w:val="005DA1"/>
          <w:u w:val="single" w:color="005DA1"/>
          <w:vertAlign w:val="superscript"/>
        </w:rPr>
        <w:t>399</w:t>
      </w:r>
      <w:r>
        <w:rPr>
          <w:color w:val="005DA1"/>
          <w:vertAlign w:val="baseline"/>
        </w:rPr>
        <w:t> </w:t>
      </w:r>
      <w:r>
        <w:rPr>
          <w:vertAlign w:val="baseline"/>
        </w:rPr>
        <w:t>But if he can satisfy this burden of proof, it is not a case of loss of a chance, </w:t>
      </w:r>
      <w:bookmarkStart w:name="_bookmark723" w:id="725"/>
      <w:bookmarkEnd w:id="725"/>
      <w:r>
        <w:rPr>
          <w:vertAlign w:val="baseline"/>
        </w:rPr>
        <w:t>because</w:t>
      </w:r>
      <w:r>
        <w:rPr>
          <w:vertAlign w:val="baseline"/>
        </w:rPr>
        <w:t> the claimant has proved what he would have done and damages must be assessed on this basis. </w:t>
      </w:r>
      <w:r>
        <w:rPr>
          <w:color w:val="005DA1"/>
          <w:u w:val="single" w:color="005DA1"/>
          <w:vertAlign w:val="superscript"/>
        </w:rPr>
        <w:t>400</w:t>
      </w:r>
    </w:p>
    <w:p>
      <w:pPr>
        <w:pStyle w:val="BodyText"/>
      </w:pPr>
    </w:p>
    <w:p>
      <w:pPr>
        <w:pStyle w:val="BodyText"/>
        <w:spacing w:before="35"/>
      </w:pPr>
    </w:p>
    <w:p>
      <w:pPr>
        <w:spacing w:before="0"/>
        <w:ind w:left="165" w:right="0" w:firstLine="0"/>
        <w:jc w:val="left"/>
        <w:rPr>
          <w:rFonts w:ascii="Arial"/>
          <w:b/>
          <w:sz w:val="18"/>
        </w:rPr>
      </w:pPr>
      <w:r>
        <w:rPr>
          <w:rFonts w:ascii="Arial"/>
          <w:b/>
          <w:sz w:val="18"/>
        </w:rPr>
        <w:t>A hypothetical action of a third </w:t>
      </w:r>
      <w:r>
        <w:rPr>
          <w:rFonts w:ascii="Arial"/>
          <w:b/>
          <w:spacing w:val="-2"/>
          <w:sz w:val="18"/>
        </w:rPr>
        <w:t>party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071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24" w:id="726"/>
      <w:bookmarkEnd w:id="726"/>
      <w:r>
        <w:rPr>
          <w:rFonts w:ascii="Times New Roman" w:hAnsi="Times New Roman"/>
          <w:spacing w:val="19"/>
        </w:rPr>
      </w:r>
      <w:r>
        <w:rPr/>
        <w:t>This situation arises where a particular contingency depends on whether a third party would have acted in a certain way. </w:t>
      </w:r>
      <w:r>
        <w:rPr>
          <w:color w:val="005DA1"/>
          <w:u w:val="single" w:color="005DA1"/>
          <w:vertAlign w:val="superscript"/>
        </w:rPr>
        <w:t>401</w:t>
      </w:r>
      <w:r>
        <w:rPr>
          <w:color w:val="005DA1"/>
          <w:vertAlign w:val="baseline"/>
        </w:rPr>
        <w:t> </w:t>
      </w:r>
      <w:r>
        <w:rPr>
          <w:vertAlign w:val="baseline"/>
        </w:rPr>
        <w:t>Where the claimant claims that, in the absence of the breach of contract by the defendant, a third party would have acted in a particular way, so as to benefit the claimant, he </w:t>
      </w:r>
      <w:bookmarkStart w:name="_bookmark725" w:id="727"/>
      <w:bookmarkEnd w:id="727"/>
      <w:r>
        <w:rPr>
          <w:vertAlign w:val="baseline"/>
        </w:rPr>
        <w:t>need</w:t>
      </w:r>
      <w:r>
        <w:rPr>
          <w:vertAlign w:val="baseline"/>
        </w:rPr>
        <w:t> not prove that hypothetical action on the balance of probabilities. Provided that the claimant </w:t>
      </w:r>
      <w:r>
        <w:rPr>
          <w:vertAlign w:val="baseline"/>
        </w:rPr>
        <w:t>can </w:t>
      </w:r>
      <w:bookmarkStart w:name="_bookmark726" w:id="728"/>
      <w:bookmarkEnd w:id="728"/>
      <w:r>
        <w:rPr>
          <w:vertAlign w:val="baseline"/>
        </w:rPr>
        <w:t>prove</w:t>
      </w:r>
      <w:r>
        <w:rPr>
          <w:spacing w:val="33"/>
          <w:vertAlign w:val="baseline"/>
        </w:rPr>
        <w:t> </w:t>
      </w:r>
      <w:r>
        <w:rPr>
          <w:color w:val="005DA1"/>
          <w:u w:val="single" w:color="005DA1"/>
          <w:vertAlign w:val="superscript"/>
        </w:rPr>
        <w:t>402</w:t>
      </w:r>
      <w:r>
        <w:rPr>
          <w:color w:val="005DA1"/>
          <w:spacing w:val="34"/>
          <w:vertAlign w:val="baseline"/>
        </w:rPr>
        <w:t> </w:t>
      </w:r>
      <w:r>
        <w:rPr>
          <w:vertAlign w:val="baseline"/>
        </w:rPr>
        <w:t>that</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absence</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breach</w:t>
      </w:r>
      <w:r>
        <w:rPr>
          <w:spacing w:val="34"/>
          <w:vertAlign w:val="baseline"/>
        </w:rPr>
        <w:t> </w:t>
      </w:r>
      <w:r>
        <w:rPr>
          <w:vertAlign w:val="baseline"/>
        </w:rPr>
        <w:t>there</w:t>
      </w:r>
      <w:r>
        <w:rPr>
          <w:spacing w:val="34"/>
          <w:vertAlign w:val="baseline"/>
        </w:rPr>
        <w:t> </w:t>
      </w:r>
      <w:r>
        <w:rPr>
          <w:vertAlign w:val="baseline"/>
        </w:rPr>
        <w:t>was</w:t>
      </w:r>
      <w:r>
        <w:rPr>
          <w:spacing w:val="34"/>
          <w:vertAlign w:val="baseline"/>
        </w:rPr>
        <w:t> </w:t>
      </w:r>
      <w:r>
        <w:rPr>
          <w:vertAlign w:val="baseline"/>
        </w:rPr>
        <w:t>a</w:t>
      </w:r>
      <w:r>
        <w:rPr>
          <w:spacing w:val="34"/>
          <w:vertAlign w:val="baseline"/>
        </w:rPr>
        <w:t> </w:t>
      </w:r>
      <w:r>
        <w:rPr>
          <w:vertAlign w:val="baseline"/>
        </w:rPr>
        <w:t>“real”</w:t>
      </w:r>
      <w:r>
        <w:rPr>
          <w:spacing w:val="34"/>
          <w:vertAlign w:val="baseline"/>
        </w:rPr>
        <w:t> </w:t>
      </w:r>
      <w:r>
        <w:rPr>
          <w:vertAlign w:val="baseline"/>
        </w:rPr>
        <w:t>or</w:t>
      </w:r>
      <w:r>
        <w:rPr>
          <w:spacing w:val="34"/>
          <w:vertAlign w:val="baseline"/>
        </w:rPr>
        <w:t> </w:t>
      </w:r>
      <w:r>
        <w:rPr>
          <w:vertAlign w:val="baseline"/>
        </w:rPr>
        <w:t>“substantial”</w:t>
      </w:r>
      <w:r>
        <w:rPr>
          <w:spacing w:val="34"/>
          <w:vertAlign w:val="baseline"/>
        </w:rPr>
        <w:t> </w:t>
      </w:r>
      <w:r>
        <w:rPr>
          <w:vertAlign w:val="baseline"/>
        </w:rPr>
        <w:t>(not</w:t>
      </w:r>
      <w:r>
        <w:rPr>
          <w:spacing w:val="34"/>
          <w:vertAlign w:val="baseline"/>
        </w:rPr>
        <w:t> </w:t>
      </w:r>
      <w:r>
        <w:rPr>
          <w:vertAlign w:val="baseline"/>
        </w:rPr>
        <w:t>a</w:t>
      </w:r>
      <w:r>
        <w:rPr>
          <w:spacing w:val="34"/>
          <w:vertAlign w:val="baseline"/>
        </w:rPr>
        <w:t> </w:t>
      </w:r>
      <w:r>
        <w:rPr>
          <w:spacing w:val="-2"/>
          <w:vertAlign w:val="baseline"/>
        </w:rPr>
        <w:t>speculative)</w:t>
      </w:r>
    </w:p>
    <w:p>
      <w:pPr>
        <w:pStyle w:val="BodyText"/>
        <w:spacing w:line="235" w:lineRule="auto" w:before="118"/>
        <w:ind w:left="165" w:right="167"/>
        <w:jc w:val="both"/>
      </w:pPr>
      <w:r>
        <w:rPr/>
        <w:t>chance of the third party’s action, and the loss of chance is not too remote, </w:t>
      </w:r>
      <w:r>
        <w:rPr>
          <w:color w:val="005DA1"/>
          <w:u w:val="single" w:color="005DA1"/>
          <w:vertAlign w:val="superscript"/>
        </w:rPr>
        <w:t>403</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1"/>
          <w:vertAlign w:val="baseline"/>
        </w:rPr>
        <w:t> </w:t>
      </w:r>
      <w:r>
        <w:rPr>
          <w:vertAlign w:val="baseline"/>
        </w:rPr>
        <w:t>the court must </w:t>
      </w:r>
      <w:bookmarkStart w:name="_bookmark727" w:id="729"/>
      <w:bookmarkEnd w:id="729"/>
      <w:r>
        <w:rPr>
          <w:vertAlign w:val="baseline"/>
        </w:rPr>
        <w:t>assess</w:t>
      </w:r>
      <w:r>
        <w:rPr>
          <w:spacing w:val="8"/>
          <w:vertAlign w:val="baseline"/>
        </w:rPr>
        <w:t> </w:t>
      </w:r>
      <w:r>
        <w:rPr>
          <w:vertAlign w:val="baseline"/>
        </w:rPr>
        <w:t>the</w:t>
      </w:r>
      <w:r>
        <w:rPr>
          <w:spacing w:val="8"/>
          <w:vertAlign w:val="baseline"/>
        </w:rPr>
        <w:t> </w:t>
      </w:r>
      <w:r>
        <w:rPr>
          <w:vertAlign w:val="baseline"/>
        </w:rPr>
        <w:t>chance</w:t>
      </w:r>
      <w:r>
        <w:rPr>
          <w:spacing w:val="8"/>
          <w:vertAlign w:val="baseline"/>
        </w:rPr>
        <w:t> </w:t>
      </w:r>
      <w:r>
        <w:rPr>
          <w:vertAlign w:val="baseline"/>
        </w:rPr>
        <w:t>of</w:t>
      </w:r>
      <w:r>
        <w:rPr>
          <w:spacing w:val="8"/>
          <w:vertAlign w:val="baseline"/>
        </w:rPr>
        <w:t> </w:t>
      </w:r>
      <w:r>
        <w:rPr>
          <w:vertAlign w:val="baseline"/>
        </w:rPr>
        <w:t>that</w:t>
      </w:r>
      <w:r>
        <w:rPr>
          <w:spacing w:val="8"/>
          <w:vertAlign w:val="baseline"/>
        </w:rPr>
        <w:t> </w:t>
      </w:r>
      <w:r>
        <w:rPr>
          <w:vertAlign w:val="baseline"/>
        </w:rPr>
        <w:t>action</w:t>
      </w:r>
      <w:r>
        <w:rPr>
          <w:spacing w:val="8"/>
          <w:vertAlign w:val="baseline"/>
        </w:rPr>
        <w:t> </w:t>
      </w:r>
      <w:r>
        <w:rPr>
          <w:vertAlign w:val="baseline"/>
        </w:rPr>
        <w:t>resulting</w:t>
      </w:r>
      <w:r>
        <w:rPr>
          <w:spacing w:val="8"/>
          <w:vertAlign w:val="baseline"/>
        </w:rPr>
        <w:t> </w:t>
      </w:r>
      <w:r>
        <w:rPr>
          <w:vertAlign w:val="baseline"/>
        </w:rPr>
        <w:t>(usually</w:t>
      </w:r>
      <w:r>
        <w:rPr>
          <w:spacing w:val="8"/>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percentage)</w:t>
      </w:r>
      <w:r>
        <w:rPr>
          <w:spacing w:val="8"/>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discount</w:t>
      </w:r>
      <w:r>
        <w:rPr>
          <w:spacing w:val="8"/>
          <w:vertAlign w:val="baseline"/>
        </w:rPr>
        <w:t> </w:t>
      </w:r>
      <w:r>
        <w:rPr>
          <w:vertAlign w:val="baseline"/>
        </w:rPr>
        <w:t>the</w:t>
      </w:r>
      <w:r>
        <w:rPr>
          <w:spacing w:val="8"/>
          <w:vertAlign w:val="baseline"/>
        </w:rPr>
        <w:t> </w:t>
      </w:r>
      <w:r>
        <w:rPr>
          <w:spacing w:val="-2"/>
          <w:vertAlign w:val="baseline"/>
        </w:rPr>
        <w:t>claimant’s</w:t>
      </w:r>
    </w:p>
    <w:p>
      <w:pPr>
        <w:pStyle w:val="BodyText"/>
        <w:spacing w:line="235" w:lineRule="auto" w:before="120"/>
        <w:ind w:left="165" w:right="167"/>
        <w:jc w:val="both"/>
      </w:pPr>
      <w:bookmarkStart w:name="_bookmark728" w:id="730"/>
      <w:bookmarkEnd w:id="730"/>
      <w:r>
        <w:rPr/>
      </w:r>
      <w:r>
        <w:rPr/>
        <w:t>damages</w:t>
      </w:r>
      <w:r>
        <w:rPr>
          <w:spacing w:val="-1"/>
        </w:rPr>
        <w:t> </w:t>
      </w:r>
      <w:r>
        <w:rPr/>
        <w:t>for</w:t>
      </w:r>
      <w:r>
        <w:rPr>
          <w:spacing w:val="-1"/>
        </w:rPr>
        <w:t> </w:t>
      </w:r>
      <w:r>
        <w:rPr/>
        <w:t>his</w:t>
      </w:r>
      <w:r>
        <w:rPr>
          <w:spacing w:val="-1"/>
        </w:rPr>
        <w:t> </w:t>
      </w:r>
      <w:r>
        <w:rPr/>
        <w:t>loss</w:t>
      </w:r>
      <w:r>
        <w:rPr>
          <w:spacing w:val="-1"/>
        </w:rPr>
        <w:t> </w:t>
      </w:r>
      <w:r>
        <w:rPr/>
        <w:t>by</w:t>
      </w:r>
      <w:r>
        <w:rPr>
          <w:spacing w:val="-1"/>
        </w:rPr>
        <w:t> </w:t>
      </w:r>
      <w:r>
        <w:rPr/>
        <w:t>reference</w:t>
      </w:r>
      <w:r>
        <w:rPr>
          <w:spacing w:val="-1"/>
        </w:rPr>
        <w:t> </w:t>
      </w:r>
      <w:r>
        <w:rPr/>
        <w:t>to</w:t>
      </w:r>
      <w:r>
        <w:rPr>
          <w:spacing w:val="-1"/>
        </w:rPr>
        <w:t> </w:t>
      </w:r>
      <w:r>
        <w:rPr/>
        <w:t>that</w:t>
      </w:r>
      <w:r>
        <w:rPr>
          <w:spacing w:val="-1"/>
        </w:rPr>
        <w:t> </w:t>
      </w:r>
      <w:r>
        <w:rPr/>
        <w:t>percentage.</w:t>
      </w:r>
      <w:r>
        <w:rPr>
          <w:spacing w:val="-2"/>
        </w:rPr>
        <w:t> </w:t>
      </w:r>
      <w:r>
        <w:rPr>
          <w:color w:val="005DA1"/>
          <w:u w:val="single" w:color="005DA1"/>
          <w:vertAlign w:val="superscript"/>
        </w:rPr>
        <w:t>404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leading</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rFonts w:ascii="Arial"/>
          <w:i/>
          <w:vertAlign w:val="baseline"/>
        </w:rPr>
        <w:t>Chaplin</w:t>
      </w:r>
      <w:r>
        <w:rPr>
          <w:rFonts w:ascii="Arial"/>
          <w:i/>
          <w:spacing w:val="-1"/>
          <w:vertAlign w:val="baseline"/>
        </w:rPr>
        <w:t> </w:t>
      </w:r>
      <w:r>
        <w:rPr>
          <w:rFonts w:ascii="Arial"/>
          <w:i/>
          <w:vertAlign w:val="baseline"/>
        </w:rPr>
        <w:t>v</w:t>
      </w:r>
      <w:r>
        <w:rPr>
          <w:rFonts w:ascii="Arial"/>
          <w:i/>
          <w:spacing w:val="-1"/>
          <w:vertAlign w:val="baseline"/>
        </w:rPr>
        <w:t> </w:t>
      </w:r>
      <w:r>
        <w:rPr>
          <w:rFonts w:ascii="Arial"/>
          <w:i/>
          <w:vertAlign w:val="baseline"/>
        </w:rPr>
        <w:t>Hicks</w:t>
      </w:r>
      <w:r>
        <w:rPr>
          <w:rFonts w:ascii="Arial"/>
          <w:i/>
          <w:spacing w:val="-1"/>
          <w:vertAlign w:val="baseline"/>
        </w:rPr>
        <w:t> </w:t>
      </w:r>
      <w:r>
        <w:rPr>
          <w:color w:val="005DA1"/>
          <w:u w:val="single" w:color="005DA1"/>
          <w:vertAlign w:val="superscript"/>
        </w:rPr>
        <w:t>405</w:t>
      </w:r>
      <w:r>
        <w:rPr>
          <w:color w:val="005DA1"/>
          <w:vertAlign w:val="baseline"/>
        </w:rPr>
        <w:t> </w:t>
      </w:r>
      <w:r>
        <w:rPr>
          <w:vertAlign w:val="baseline"/>
        </w:rPr>
        <w:t>the defendant, by a breach of contract in conducting a contest, deprived the plaintiff, one of </w:t>
      </w:r>
      <w:r>
        <w:rPr>
          <w:vertAlign w:val="baseline"/>
        </w:rPr>
        <w:t>50 finalists, of the opportunity to compete for one of the 12 prizes. Although there could be no precision</w:t>
      </w:r>
      <w:r>
        <w:rPr>
          <w:spacing w:val="40"/>
          <w:vertAlign w:val="baseline"/>
        </w:rPr>
        <w:t> </w:t>
      </w:r>
      <w:r>
        <w:rPr>
          <w:vertAlign w:val="baseline"/>
        </w:rPr>
        <w:t>in calculating the value of her lost chance, she was entitled to substantial damages. Similarly, where the</w:t>
      </w:r>
      <w:r>
        <w:rPr>
          <w:spacing w:val="11"/>
          <w:vertAlign w:val="baseline"/>
        </w:rPr>
        <w:t> </w:t>
      </w:r>
      <w:r>
        <w:rPr>
          <w:vertAlign w:val="baseline"/>
        </w:rPr>
        <w:t>breach</w:t>
      </w:r>
      <w:r>
        <w:rPr>
          <w:spacing w:val="11"/>
          <w:vertAlign w:val="baseline"/>
        </w:rPr>
        <w:t> </w:t>
      </w:r>
      <w:r>
        <w:rPr>
          <w:vertAlign w:val="baseline"/>
        </w:rPr>
        <w:t>of</w:t>
      </w:r>
      <w:r>
        <w:rPr>
          <w:spacing w:val="11"/>
          <w:vertAlign w:val="baseline"/>
        </w:rPr>
        <w:t> </w:t>
      </w:r>
      <w:r>
        <w:rPr>
          <w:vertAlign w:val="baseline"/>
        </w:rPr>
        <w:t>contract</w:t>
      </w:r>
      <w:r>
        <w:rPr>
          <w:spacing w:val="11"/>
          <w:vertAlign w:val="baseline"/>
        </w:rPr>
        <w:t> </w:t>
      </w:r>
      <w:r>
        <w:rPr>
          <w:vertAlign w:val="baseline"/>
        </w:rPr>
        <w:t>caused</w:t>
      </w:r>
      <w:r>
        <w:rPr>
          <w:spacing w:val="11"/>
          <w:vertAlign w:val="baseline"/>
        </w:rPr>
        <w:t> </w:t>
      </w:r>
      <w:r>
        <w:rPr>
          <w:vertAlign w:val="baseline"/>
        </w:rPr>
        <w:t>the</w:t>
      </w:r>
      <w:r>
        <w:rPr>
          <w:spacing w:val="11"/>
          <w:vertAlign w:val="baseline"/>
        </w:rPr>
        <w:t> </w:t>
      </w:r>
      <w:r>
        <w:rPr>
          <w:vertAlign w:val="baseline"/>
        </w:rPr>
        <w:t>claimant</w:t>
      </w:r>
      <w:r>
        <w:rPr>
          <w:spacing w:val="11"/>
          <w:vertAlign w:val="baseline"/>
        </w:rPr>
        <w:t> </w:t>
      </w:r>
      <w:r>
        <w:rPr>
          <w:vertAlign w:val="baseline"/>
        </w:rPr>
        <w:t>to</w:t>
      </w:r>
      <w:r>
        <w:rPr>
          <w:spacing w:val="11"/>
          <w:vertAlign w:val="baseline"/>
        </w:rPr>
        <w:t> </w:t>
      </w:r>
      <w:r>
        <w:rPr>
          <w:vertAlign w:val="baseline"/>
        </w:rPr>
        <w:t>lose</w:t>
      </w:r>
      <w:r>
        <w:rPr>
          <w:spacing w:val="11"/>
          <w:vertAlign w:val="baseline"/>
        </w:rPr>
        <w:t> </w:t>
      </w:r>
      <w:r>
        <w:rPr>
          <w:vertAlign w:val="baseline"/>
        </w:rPr>
        <w:t>his</w:t>
      </w:r>
      <w:r>
        <w:rPr>
          <w:spacing w:val="11"/>
          <w:vertAlign w:val="baseline"/>
        </w:rPr>
        <w:t> </w:t>
      </w:r>
      <w:r>
        <w:rPr>
          <w:vertAlign w:val="baseline"/>
        </w:rPr>
        <w:t>chance</w:t>
      </w:r>
      <w:r>
        <w:rPr>
          <w:spacing w:val="11"/>
          <w:vertAlign w:val="baseline"/>
        </w:rPr>
        <w:t> </w:t>
      </w:r>
      <w:r>
        <w:rPr>
          <w:vertAlign w:val="baseline"/>
        </w:rPr>
        <w:t>of</w:t>
      </w:r>
      <w:r>
        <w:rPr>
          <w:spacing w:val="11"/>
          <w:vertAlign w:val="baseline"/>
        </w:rPr>
        <w:t> </w:t>
      </w:r>
      <w:r>
        <w:rPr>
          <w:vertAlign w:val="baseline"/>
        </w:rPr>
        <w:t>success</w:t>
      </w:r>
      <w:r>
        <w:rPr>
          <w:spacing w:val="11"/>
          <w:vertAlign w:val="baseline"/>
        </w:rPr>
        <w:t> </w:t>
      </w:r>
      <w:r>
        <w:rPr>
          <w:vertAlign w:val="baseline"/>
        </w:rPr>
        <w:t>in</w:t>
      </w:r>
      <w:r>
        <w:rPr>
          <w:spacing w:val="11"/>
          <w:vertAlign w:val="baseline"/>
        </w:rPr>
        <w:t> </w:t>
      </w:r>
      <w:r>
        <w:rPr>
          <w:vertAlign w:val="baseline"/>
        </w:rPr>
        <w:t>litigation,</w:t>
      </w:r>
      <w:r>
        <w:rPr>
          <w:spacing w:val="11"/>
          <w:vertAlign w:val="baseline"/>
        </w:rPr>
        <w:t> </w:t>
      </w:r>
      <w:r>
        <w:rPr>
          <w:vertAlign w:val="baseline"/>
        </w:rPr>
        <w:t>the</w:t>
      </w:r>
      <w:r>
        <w:rPr>
          <w:spacing w:val="11"/>
          <w:vertAlign w:val="baseline"/>
        </w:rPr>
        <w:t> </w:t>
      </w:r>
      <w:r>
        <w:rPr>
          <w:vertAlign w:val="baseline"/>
        </w:rPr>
        <w:t>question</w:t>
      </w:r>
      <w:r>
        <w:rPr>
          <w:spacing w:val="11"/>
          <w:vertAlign w:val="baseline"/>
        </w:rPr>
        <w:t> </w:t>
      </w:r>
      <w:r>
        <w:rPr>
          <w:spacing w:val="-5"/>
          <w:vertAlign w:val="baseline"/>
        </w:rPr>
        <w:t>is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what chance the claimant would have had of a favourable outcome. So where the client’s claim </w:t>
      </w:r>
      <w:bookmarkStart w:name="_bookmark729" w:id="731"/>
      <w:bookmarkEnd w:id="731"/>
      <w:r>
        <w:rPr/>
        <w:t>became</w:t>
      </w:r>
      <w:r>
        <w:rPr/>
        <w:t> statute-barred because his solicitor failed to bring proceedings within time, the measure </w:t>
      </w:r>
      <w:r>
        <w:rPr/>
        <w:t>of</w:t>
      </w:r>
      <w:r>
        <w:rPr>
          <w:spacing w:val="40"/>
        </w:rPr>
        <w:t> </w:t>
      </w:r>
      <w:r>
        <w:rPr/>
        <w:t>the client’s damages recovered from the solicitor was the expected proceeds of the original claim </w:t>
      </w:r>
      <w:r>
        <w:rPr>
          <w:color w:val="005DA1"/>
          <w:u w:val="single" w:color="005DA1"/>
          <w:vertAlign w:val="superscript"/>
        </w:rPr>
        <w:t>406</w:t>
      </w:r>
      <w:r>
        <w:rPr>
          <w:vertAlign w:val="baseline"/>
        </w:rPr>
        <w:t>: </w:t>
      </w:r>
      <w:bookmarkStart w:name="_bookmark730" w:id="732"/>
      <w:bookmarkEnd w:id="732"/>
      <w:r>
        <w:rPr>
          <w:vertAlign w:val="baseline"/>
        </w:rPr>
        <w:t>what</w:t>
      </w:r>
      <w:r>
        <w:rPr>
          <w:vertAlign w:val="baseline"/>
        </w:rPr>
        <w:t> he might have recovered in the original claim must be discounted by reference to his chances of </w:t>
      </w:r>
      <w:bookmarkStart w:name="_bookmark731" w:id="733"/>
      <w:bookmarkEnd w:id="733"/>
      <w:r>
        <w:rPr>
          <w:vertAlign w:val="baseline"/>
        </w:rPr>
        <w:t>success</w:t>
      </w:r>
      <w:r>
        <w:rPr>
          <w:vertAlign w:val="baseline"/>
        </w:rPr>
        <w:t> in recovering it. </w:t>
      </w:r>
      <w:r>
        <w:rPr>
          <w:color w:val="005DA1"/>
          <w:u w:val="single" w:color="005DA1"/>
          <w:vertAlign w:val="superscript"/>
        </w:rPr>
        <w:t>407</w:t>
      </w:r>
      <w:r>
        <w:rPr>
          <w:color w:val="005DA1"/>
          <w:vertAlign w:val="baseline"/>
        </w:rPr>
        <w:t> </w:t>
      </w:r>
      <w:r>
        <w:rPr>
          <w:vertAlign w:val="baseline"/>
        </w:rPr>
        <w:t>“The more the contingencies, the lower the value of the chance or </w:t>
      </w:r>
      <w:bookmarkStart w:name="_bookmark732" w:id="734"/>
      <w:bookmarkEnd w:id="734"/>
      <w:r>
        <w:rPr>
          <w:vertAlign w:val="baseline"/>
        </w:rPr>
        <w:t>opportunity</w:t>
      </w:r>
      <w:r>
        <w:rPr>
          <w:vertAlign w:val="baseline"/>
        </w:rPr>
        <w:t> of which the plaintiff was deprived.” </w:t>
      </w:r>
      <w:r>
        <w:rPr>
          <w:color w:val="005DA1"/>
          <w:u w:val="single" w:color="005DA1"/>
          <w:vertAlign w:val="superscript"/>
        </w:rPr>
        <w:t>408</w:t>
      </w:r>
      <w:r>
        <w:rPr>
          <w:color w:val="005DA1"/>
          <w:vertAlign w:val="baseline"/>
        </w:rPr>
        <w:t> </w:t>
      </w:r>
      <w:r>
        <w:rPr>
          <w:vertAlign w:val="baseline"/>
        </w:rPr>
        <w:t>Where one contingency may depend on another, the chance should be evaluated as a percentage of a percentage. </w:t>
      </w:r>
      <w:r>
        <w:rPr>
          <w:color w:val="005DA1"/>
          <w:u w:val="single" w:color="005DA1"/>
          <w:vertAlign w:val="superscript"/>
        </w:rPr>
        <w:t>409</w:t>
      </w:r>
    </w:p>
    <w:p>
      <w:pPr>
        <w:pStyle w:val="BodyText"/>
        <w:spacing w:before="79"/>
      </w:pPr>
    </w:p>
    <w:p>
      <w:pPr>
        <w:spacing w:before="0"/>
        <w:ind w:left="165" w:right="0" w:firstLine="0"/>
        <w:jc w:val="left"/>
        <w:rPr>
          <w:rFonts w:ascii="Arial"/>
          <w:b/>
          <w:sz w:val="24"/>
        </w:rPr>
      </w:pPr>
      <w:r>
        <w:rPr>
          <w:rFonts w:ascii="Arial"/>
          <w:b/>
          <w:sz w:val="24"/>
        </w:rPr>
        <w:t>26-</w:t>
      </w:r>
      <w:r>
        <w:rPr>
          <w:rFonts w:ascii="Arial"/>
          <w:b/>
          <w:spacing w:val="-5"/>
          <w:sz w:val="24"/>
        </w:rPr>
        <w:t>072</w:t>
      </w:r>
    </w:p>
    <w:p>
      <w:pPr>
        <w:pStyle w:val="BodyText"/>
        <w:spacing w:line="235" w:lineRule="auto" w:before="203"/>
        <w:ind w:left="165" w:right="167"/>
        <w:jc w:val="both"/>
      </w:pPr>
      <w:r>
        <w:rPr/>
        <w:t>A similar approach to assessing damages is found in other “loss of a chance” cases not involving litigation: for instance, where through a solicitor’s failure to give proper advice, the client lost the </w:t>
      </w:r>
      <w:bookmarkStart w:name="_bookmark733" w:id="735"/>
      <w:bookmarkEnd w:id="735"/>
      <w:r>
        <w:rPr/>
        <w:t>chance</w:t>
      </w:r>
      <w:r>
        <w:rPr/>
        <w:t> to negotiate better terms in a commercial transaction with a third party, who might have accepted</w:t>
      </w:r>
      <w:r>
        <w:rPr>
          <w:spacing w:val="-3"/>
        </w:rPr>
        <w:t> </w:t>
      </w:r>
      <w:r>
        <w:rPr/>
        <w:t>such</w:t>
      </w:r>
      <w:r>
        <w:rPr>
          <w:spacing w:val="-3"/>
        </w:rPr>
        <w:t> </w:t>
      </w:r>
      <w:r>
        <w:rPr/>
        <w:t>terms</w:t>
      </w:r>
      <w:r>
        <w:rPr>
          <w:spacing w:val="-3"/>
        </w:rPr>
        <w:t> </w:t>
      </w:r>
      <w:r>
        <w:rPr>
          <w:color w:val="005DA1"/>
          <w:u w:val="single" w:color="005DA1"/>
          <w:vertAlign w:val="superscript"/>
        </w:rPr>
        <w:t>410</w:t>
      </w:r>
      <w:r>
        <w:rPr>
          <w:vertAlign w:val="baseline"/>
        </w:rPr>
        <w:t>;</w:t>
      </w:r>
      <w:r>
        <w:rPr>
          <w:spacing w:val="-3"/>
          <w:vertAlign w:val="baseline"/>
        </w:rPr>
        <w:t> </w:t>
      </w:r>
      <w:r>
        <w:rPr>
          <w:vertAlign w:val="baseline"/>
        </w:rPr>
        <w:t>or</w:t>
      </w:r>
      <w:r>
        <w:rPr>
          <w:spacing w:val="-3"/>
          <w:vertAlign w:val="baseline"/>
        </w:rPr>
        <w:t> </w:t>
      </w:r>
      <w:r>
        <w:rPr>
          <w:vertAlign w:val="baseline"/>
        </w:rPr>
        <w:t>where</w:t>
      </w:r>
      <w:r>
        <w:rPr>
          <w:spacing w:val="-3"/>
          <w:vertAlign w:val="baseline"/>
        </w:rPr>
        <w:t> </w:t>
      </w:r>
      <w:r>
        <w:rPr>
          <w:vertAlign w:val="baseline"/>
        </w:rPr>
        <w:t>an</w:t>
      </w:r>
      <w:r>
        <w:rPr>
          <w:spacing w:val="-3"/>
          <w:vertAlign w:val="baseline"/>
        </w:rPr>
        <w:t> </w:t>
      </w:r>
      <w:r>
        <w:rPr>
          <w:vertAlign w:val="baseline"/>
        </w:rPr>
        <w:t>author</w:t>
      </w:r>
      <w:r>
        <w:rPr>
          <w:spacing w:val="-3"/>
          <w:vertAlign w:val="baseline"/>
        </w:rPr>
        <w:t> </w:t>
      </w:r>
      <w:r>
        <w:rPr>
          <w:vertAlign w:val="baseline"/>
        </w:rPr>
        <w:t>or</w:t>
      </w:r>
      <w:r>
        <w:rPr>
          <w:spacing w:val="-3"/>
          <w:vertAlign w:val="baseline"/>
        </w:rPr>
        <w:t> </w:t>
      </w:r>
      <w:r>
        <w:rPr>
          <w:vertAlign w:val="baseline"/>
        </w:rPr>
        <w:t>actor</w:t>
      </w:r>
      <w:r>
        <w:rPr>
          <w:spacing w:val="-3"/>
          <w:vertAlign w:val="baseline"/>
        </w:rPr>
        <w:t> </w:t>
      </w:r>
      <w:r>
        <w:rPr>
          <w:vertAlign w:val="baseline"/>
        </w:rPr>
        <w:t>lost</w:t>
      </w:r>
      <w:r>
        <w:rPr>
          <w:spacing w:val="-3"/>
          <w:vertAlign w:val="baseline"/>
        </w:rPr>
        <w:t> </w:t>
      </w:r>
      <w:r>
        <w:rPr>
          <w:vertAlign w:val="baseline"/>
        </w:rPr>
        <w:t>the</w:t>
      </w:r>
      <w:r>
        <w:rPr>
          <w:spacing w:val="-3"/>
          <w:vertAlign w:val="baseline"/>
        </w:rPr>
        <w:t> </w:t>
      </w:r>
      <w:r>
        <w:rPr>
          <w:vertAlign w:val="baseline"/>
        </w:rPr>
        <w:t>opportunity</w:t>
      </w:r>
      <w:r>
        <w:rPr>
          <w:spacing w:val="-3"/>
          <w:vertAlign w:val="baseline"/>
        </w:rPr>
        <w:t> </w:t>
      </w:r>
      <w:r>
        <w:rPr>
          <w:vertAlign w:val="baseline"/>
        </w:rPr>
        <w:t>to</w:t>
      </w:r>
      <w:r>
        <w:rPr>
          <w:spacing w:val="-3"/>
          <w:vertAlign w:val="baseline"/>
        </w:rPr>
        <w:t> </w:t>
      </w:r>
      <w:r>
        <w:rPr>
          <w:vertAlign w:val="baseline"/>
        </w:rPr>
        <w:t>enhance</w:t>
      </w:r>
      <w:r>
        <w:rPr>
          <w:spacing w:val="-3"/>
          <w:vertAlign w:val="baseline"/>
        </w:rPr>
        <w:t> </w:t>
      </w:r>
      <w:r>
        <w:rPr>
          <w:vertAlign w:val="baseline"/>
        </w:rPr>
        <w:t>his</w:t>
      </w:r>
      <w:r>
        <w:rPr>
          <w:spacing w:val="-3"/>
          <w:vertAlign w:val="baseline"/>
        </w:rPr>
        <w:t> </w:t>
      </w:r>
      <w:r>
        <w:rPr>
          <w:vertAlign w:val="baseline"/>
        </w:rPr>
        <w:t>reputation</w:t>
      </w:r>
      <w:r>
        <w:rPr>
          <w:spacing w:val="-4"/>
          <w:vertAlign w:val="baseline"/>
        </w:rPr>
        <w:t> </w:t>
      </w:r>
      <w:r>
        <w:rPr>
          <w:color w:val="005DA1"/>
          <w:u w:val="single" w:color="005DA1"/>
          <w:vertAlign w:val="superscript"/>
        </w:rPr>
        <w:t>411</w:t>
      </w:r>
      <w:r>
        <w:rPr>
          <w:vertAlign w:val="baseline"/>
        </w:rPr>
        <w:t>; </w:t>
      </w:r>
      <w:bookmarkStart w:name="_bookmark734" w:id="736"/>
      <w:bookmarkEnd w:id="736"/>
      <w:r>
        <w:rPr>
          <w:vertAlign w:val="baseline"/>
        </w:rPr>
        <w:t>or</w:t>
      </w:r>
      <w:r>
        <w:rPr>
          <w:vertAlign w:val="baseline"/>
        </w:rPr>
        <w:t> where, but for the breach, there was a real or substantial chance that the claimant would </w:t>
      </w:r>
      <w:r>
        <w:rPr>
          <w:vertAlign w:val="baseline"/>
        </w:rPr>
        <w:t>have continued to make profits from “repeat orders” from customers. </w:t>
      </w:r>
      <w:r>
        <w:rPr>
          <w:color w:val="005DA1"/>
          <w:u w:val="single" w:color="005DA1"/>
          <w:vertAlign w:val="superscript"/>
        </w:rPr>
        <w:t>412</w:t>
      </w:r>
    </w:p>
    <w:p>
      <w:pPr>
        <w:pStyle w:val="BodyText"/>
      </w:pPr>
    </w:p>
    <w:p>
      <w:pPr>
        <w:pStyle w:val="BodyText"/>
        <w:spacing w:before="36"/>
      </w:pPr>
    </w:p>
    <w:p>
      <w:pPr>
        <w:spacing w:before="0"/>
        <w:ind w:left="165" w:right="0" w:firstLine="0"/>
        <w:jc w:val="left"/>
        <w:rPr>
          <w:rFonts w:ascii="Arial"/>
          <w:b/>
          <w:sz w:val="18"/>
        </w:rPr>
      </w:pPr>
      <w:r>
        <w:rPr>
          <w:rFonts w:ascii="Arial"/>
          <w:b/>
          <w:sz w:val="18"/>
        </w:rPr>
        <w:t>Other </w:t>
      </w:r>
      <w:r>
        <w:rPr>
          <w:rFonts w:ascii="Arial"/>
          <w:b/>
          <w:spacing w:val="-2"/>
          <w:sz w:val="18"/>
        </w:rPr>
        <w:t>contingencies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073</w:t>
      </w:r>
    </w:p>
    <w:p>
      <w:pPr>
        <w:pStyle w:val="BodyText"/>
        <w:spacing w:line="235" w:lineRule="auto" w:before="203"/>
        <w:ind w:left="165" w:right="167"/>
        <w:jc w:val="both"/>
      </w:pPr>
      <w:r>
        <w:rPr/>
        <w:t>The amount of the claimant’s loss may depend on a contingency not involving hypothetical action </w:t>
      </w:r>
      <w:r>
        <w:rPr/>
        <w:t>by the</w:t>
      </w:r>
      <w:r>
        <w:rPr>
          <w:spacing w:val="-2"/>
        </w:rPr>
        <w:t> </w:t>
      </w:r>
      <w:r>
        <w:rPr/>
        <w:t>claimant</w:t>
      </w:r>
      <w:r>
        <w:rPr>
          <w:spacing w:val="-2"/>
        </w:rPr>
        <w:t> </w:t>
      </w:r>
      <w:r>
        <w:rPr/>
        <w:t>or</w:t>
      </w:r>
      <w:r>
        <w:rPr>
          <w:spacing w:val="-2"/>
        </w:rPr>
        <w:t> </w:t>
      </w:r>
      <w:r>
        <w:rPr/>
        <w:t>a</w:t>
      </w:r>
      <w:r>
        <w:rPr>
          <w:spacing w:val="-2"/>
        </w:rPr>
        <w:t> </w:t>
      </w:r>
      <w:r>
        <w:rPr/>
        <w:t>third</w:t>
      </w:r>
      <w:r>
        <w:rPr>
          <w:spacing w:val="-2"/>
        </w:rPr>
        <w:t> </w:t>
      </w:r>
      <w:r>
        <w:rPr/>
        <w:t>person.</w:t>
      </w:r>
      <w:r>
        <w:rPr>
          <w:spacing w:val="-2"/>
        </w:rPr>
        <w:t> </w:t>
      </w:r>
      <w:r>
        <w:rPr/>
        <w:t>If,</w:t>
      </w:r>
      <w:r>
        <w:rPr>
          <w:spacing w:val="-2"/>
        </w:rPr>
        <w:t> </w:t>
      </w:r>
      <w:r>
        <w:rPr/>
        <w:t>at</w:t>
      </w:r>
      <w:r>
        <w:rPr>
          <w:spacing w:val="-2"/>
        </w:rPr>
        <w:t> </w:t>
      </w:r>
      <w:r>
        <w:rPr/>
        <w:t>the</w:t>
      </w:r>
      <w:r>
        <w:rPr>
          <w:spacing w:val="-2"/>
        </w:rPr>
        <w:t> </w:t>
      </w:r>
      <w:r>
        <w:rPr/>
        <w:t>time</w:t>
      </w:r>
      <w:r>
        <w:rPr>
          <w:spacing w:val="-2"/>
        </w:rPr>
        <w:t> </w:t>
      </w:r>
      <w:r>
        <w:rPr/>
        <w:t>when</w:t>
      </w:r>
      <w:r>
        <w:rPr>
          <w:spacing w:val="-2"/>
        </w:rPr>
        <w:t> </w:t>
      </w:r>
      <w:r>
        <w:rPr/>
        <w:t>damages</w:t>
      </w:r>
      <w:r>
        <w:rPr>
          <w:spacing w:val="-2"/>
        </w:rPr>
        <w:t> </w:t>
      </w:r>
      <w:r>
        <w:rPr/>
        <w:t>are</w:t>
      </w:r>
      <w:r>
        <w:rPr>
          <w:spacing w:val="-2"/>
        </w:rPr>
        <w:t> </w:t>
      </w:r>
      <w:r>
        <w:rPr/>
        <w:t>assessed,</w:t>
      </w:r>
      <w:r>
        <w:rPr>
          <w:spacing w:val="-2"/>
        </w:rPr>
        <w:t> </w:t>
      </w:r>
      <w:r>
        <w:rPr/>
        <w:t>a</w:t>
      </w:r>
      <w:r>
        <w:rPr>
          <w:spacing w:val="-2"/>
        </w:rPr>
        <w:t> </w:t>
      </w:r>
      <w:r>
        <w:rPr/>
        <w:t>relevant</w:t>
      </w:r>
      <w:r>
        <w:rPr>
          <w:spacing w:val="-2"/>
        </w:rPr>
        <w:t> </w:t>
      </w:r>
      <w:r>
        <w:rPr/>
        <w:t>contingency</w:t>
      </w:r>
      <w:r>
        <w:rPr>
          <w:spacing w:val="-2"/>
        </w:rPr>
        <w:t> </w:t>
      </w:r>
      <w:r>
        <w:rPr/>
        <w:t>has not yet occurred, the future risk that it might occur should be assessed as a percentage chance and damages adjusted accordingly: e.g. the risk that war might break out so as to entitle a party to cancel a long-term contract under a war clause.</w:t>
      </w:r>
    </w:p>
    <w:p>
      <w:pPr>
        <w:pStyle w:val="BodyText"/>
      </w:pPr>
    </w:p>
    <w:p>
      <w:pPr>
        <w:pStyle w:val="BodyText"/>
        <w:spacing w:before="37"/>
      </w:pPr>
    </w:p>
    <w:p>
      <w:pPr>
        <w:spacing w:before="0"/>
        <w:ind w:left="165" w:right="0" w:firstLine="0"/>
        <w:jc w:val="left"/>
        <w:rPr>
          <w:rFonts w:ascii="Arial"/>
          <w:b/>
          <w:sz w:val="18"/>
        </w:rPr>
      </w:pPr>
      <w:r>
        <w:rPr>
          <w:rFonts w:ascii="Arial"/>
          <w:b/>
          <w:sz w:val="18"/>
        </w:rPr>
        <w:t>Contingency has occurred by time of </w:t>
      </w:r>
      <w:r>
        <w:rPr>
          <w:rFonts w:ascii="Arial"/>
          <w:b/>
          <w:spacing w:val="-2"/>
          <w:sz w:val="18"/>
        </w:rPr>
        <w:t>trial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074</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If the contingency has actually occurred before the time of assessment, the damages should </w:t>
      </w:r>
      <w:r>
        <w:rPr/>
        <w:t>be </w:t>
      </w:r>
      <w:bookmarkStart w:name="_bookmark735" w:id="737"/>
      <w:bookmarkEnd w:id="737"/>
      <w:r>
        <w:rPr/>
        <w:t>assessed</w:t>
      </w:r>
      <w:r>
        <w:rPr>
          <w:spacing w:val="46"/>
        </w:rPr>
        <w:t> </w:t>
      </w:r>
      <w:r>
        <w:rPr/>
        <w:t>on</w:t>
      </w:r>
      <w:r>
        <w:rPr>
          <w:spacing w:val="46"/>
        </w:rPr>
        <w:t> </w:t>
      </w:r>
      <w:r>
        <w:rPr/>
        <w:t>the</w:t>
      </w:r>
      <w:r>
        <w:rPr>
          <w:spacing w:val="46"/>
        </w:rPr>
        <w:t> </w:t>
      </w:r>
      <w:r>
        <w:rPr/>
        <w:t>basis</w:t>
      </w:r>
      <w:r>
        <w:rPr>
          <w:spacing w:val="46"/>
        </w:rPr>
        <w:t> </w:t>
      </w:r>
      <w:r>
        <w:rPr/>
        <w:t>of</w:t>
      </w:r>
      <w:r>
        <w:rPr>
          <w:spacing w:val="46"/>
        </w:rPr>
        <w:t> </w:t>
      </w:r>
      <w:r>
        <w:rPr/>
        <w:t>the</w:t>
      </w:r>
      <w:r>
        <w:rPr>
          <w:spacing w:val="46"/>
        </w:rPr>
        <w:t> </w:t>
      </w:r>
      <w:r>
        <w:rPr/>
        <w:t>actual</w:t>
      </w:r>
      <w:r>
        <w:rPr>
          <w:spacing w:val="46"/>
        </w:rPr>
        <w:t> </w:t>
      </w:r>
      <w:r>
        <w:rPr/>
        <w:t>facts</w:t>
      </w:r>
      <w:r>
        <w:rPr>
          <w:spacing w:val="46"/>
        </w:rPr>
        <w:t> </w:t>
      </w:r>
      <w:r>
        <w:rPr/>
        <w:t>as</w:t>
      </w:r>
      <w:r>
        <w:rPr>
          <w:spacing w:val="46"/>
        </w:rPr>
        <w:t> </w:t>
      </w:r>
      <w:r>
        <w:rPr/>
        <w:t>then</w:t>
      </w:r>
      <w:r>
        <w:rPr>
          <w:spacing w:val="46"/>
        </w:rPr>
        <w:t> </w:t>
      </w:r>
      <w:r>
        <w:rPr/>
        <w:t>known,</w:t>
      </w:r>
      <w:r>
        <w:rPr>
          <w:spacing w:val="46"/>
        </w:rPr>
        <w:t> </w:t>
      </w:r>
      <w:r>
        <w:rPr/>
        <w:t>despite</w:t>
      </w:r>
      <w:r>
        <w:rPr>
          <w:spacing w:val="46"/>
        </w:rPr>
        <w:t> </w:t>
      </w:r>
      <w:r>
        <w:rPr/>
        <w:t>the</w:t>
      </w:r>
      <w:r>
        <w:rPr>
          <w:spacing w:val="46"/>
        </w:rPr>
        <w:t> </w:t>
      </w:r>
      <w:r>
        <w:rPr/>
        <w:t>fact</w:t>
      </w:r>
      <w:r>
        <w:rPr>
          <w:spacing w:val="46"/>
        </w:rPr>
        <w:t> </w:t>
      </w:r>
      <w:r>
        <w:rPr/>
        <w:t>that</w:t>
      </w:r>
      <w:r>
        <w:rPr>
          <w:spacing w:val="46"/>
        </w:rPr>
        <w:t> </w:t>
      </w:r>
      <w:r>
        <w:rPr/>
        <w:t>the</w:t>
      </w:r>
      <w:r>
        <w:rPr>
          <w:spacing w:val="46"/>
        </w:rPr>
        <w:t> </w:t>
      </w:r>
      <w:r>
        <w:rPr>
          <w:spacing w:val="-2"/>
        </w:rPr>
        <w:t>contingency</w:t>
      </w:r>
    </w:p>
    <w:p>
      <w:pPr>
        <w:pStyle w:val="BodyText"/>
        <w:spacing w:line="235" w:lineRule="auto" w:before="119"/>
        <w:ind w:left="165" w:right="167"/>
        <w:jc w:val="both"/>
      </w:pPr>
      <w:r>
        <w:rPr/>
        <w:t>occurred only after the breach of contract. So in </w:t>
      </w:r>
      <w:r>
        <w:rPr>
          <w:rFonts w:ascii="Arial" w:hAnsi="Arial"/>
          <w:i/>
        </w:rPr>
        <w:t>The Golden Victory</w:t>
      </w:r>
      <w:r>
        <w:rPr/>
        <w:t>, </w:t>
      </w:r>
      <w:r>
        <w:rPr>
          <w:color w:val="005DA1"/>
          <w:u w:val="single" w:color="005DA1"/>
          <w:vertAlign w:val="superscript"/>
        </w:rPr>
        <w:t>413</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where a charterparty </w:t>
      </w:r>
      <w:r>
        <w:rPr>
          <w:vertAlign w:val="baseline"/>
        </w:rPr>
        <w:t>to</w:t>
      </w:r>
      <w:r>
        <w:rPr>
          <w:spacing w:val="40"/>
          <w:vertAlign w:val="baseline"/>
        </w:rPr>
        <w:t> </w:t>
      </w:r>
      <w:r>
        <w:rPr>
          <w:vertAlign w:val="baseline"/>
        </w:rPr>
        <w:t>be performed over seven years contained a war clause, the House of Lords assessed damages for the charterer’s repudiation on the basis that war had actually broken out before the time when </w:t>
      </w:r>
      <w:bookmarkStart w:name="_bookmark736" w:id="738"/>
      <w:bookmarkEnd w:id="738"/>
      <w:r>
        <w:rPr>
          <w:vertAlign w:val="baseline"/>
        </w:rPr>
        <w:t>damages</w:t>
      </w:r>
      <w:r>
        <w:rPr>
          <w:vertAlign w:val="baseline"/>
        </w:rPr>
        <w:t> were assessed so that the charterparty would have been brought to an end at that time. In </w:t>
      </w:r>
      <w:r>
        <w:rPr>
          <w:rFonts w:ascii="Arial" w:hAnsi="Arial"/>
          <w:i/>
          <w:vertAlign w:val="baseline"/>
        </w:rPr>
        <w:t>Bunge SA v Nidera BV </w:t>
      </w:r>
      <w:r>
        <w:rPr>
          <w:color w:val="005DA1"/>
          <w:u w:val="single" w:color="005DA1"/>
          <w:vertAlign w:val="superscript"/>
        </w:rPr>
        <w:t>414</w:t>
      </w:r>
      <w:r>
        <w:rPr>
          <w:color w:val="005DA1"/>
          <w:vertAlign w:val="baseline"/>
        </w:rPr>
        <w:t> </w:t>
      </w:r>
      <w:r>
        <w:rPr>
          <w:vertAlign w:val="baseline"/>
        </w:rPr>
        <w:t>the Supreme Court held that the principle applies to a sale contract for a single delivery as much as to a contract for performance over a period of time.</w:t>
      </w:r>
    </w:p>
    <w:p>
      <w:pPr>
        <w:pStyle w:val="BodyText"/>
      </w:pPr>
    </w:p>
    <w:p>
      <w:pPr>
        <w:pStyle w:val="BodyText"/>
        <w:spacing w:before="36"/>
      </w:pPr>
    </w:p>
    <w:p>
      <w:pPr>
        <w:spacing w:before="0"/>
        <w:ind w:left="165" w:right="0" w:firstLine="0"/>
        <w:jc w:val="left"/>
        <w:rPr>
          <w:rFonts w:ascii="Arial" w:hAnsi="Arial"/>
          <w:b/>
          <w:sz w:val="18"/>
        </w:rPr>
      </w:pPr>
      <w:bookmarkStart w:name="_bookmark737" w:id="739"/>
      <w:bookmarkEnd w:id="739"/>
      <w:r>
        <w:rPr/>
      </w:r>
      <w:r>
        <w:rPr>
          <w:rFonts w:ascii="Arial" w:hAnsi="Arial"/>
          <w:b/>
          <w:sz w:val="18"/>
        </w:rPr>
        <w:t>The contract-breaker’s opportunity to minimise the cost of performance</w:t>
      </w:r>
      <w:r>
        <w:rPr>
          <w:rFonts w:ascii="Arial" w:hAnsi="Arial"/>
          <w:b/>
          <w:spacing w:val="-1"/>
          <w:sz w:val="18"/>
        </w:rPr>
        <w:t> </w:t>
      </w:r>
      <w:r>
        <w:rPr>
          <w:rFonts w:ascii="Arial" w:hAnsi="Arial"/>
          <w:b/>
          <w:color w:val="005DA1"/>
          <w:spacing w:val="-5"/>
          <w:sz w:val="18"/>
          <w:u w:val="single" w:color="005DA1"/>
          <w:vertAlign w:val="superscript"/>
        </w:rPr>
        <w:t>415</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075</w:t>
      </w:r>
    </w:p>
    <w:p>
      <w:pPr>
        <w:pStyle w:val="BodyText"/>
        <w:spacing w:line="235" w:lineRule="auto" w:before="202"/>
        <w:ind w:left="165" w:right="167"/>
        <w:jc w:val="both"/>
      </w:pPr>
      <w:bookmarkStart w:name="_bookmark738" w:id="740"/>
      <w:bookmarkEnd w:id="740"/>
      <w:r>
        <w:rPr/>
      </w:r>
      <w:r>
        <w:rPr/>
        <w:t>A contingency may depend on whether the contract-breaker would have acted in a certain way. If </w:t>
      </w:r>
      <w:r>
        <w:rPr/>
        <w:t>the defendant fails to perform, when he had an option to perform the contract in one of several ways, </w:t>
      </w:r>
      <w:r>
        <w:rPr>
          <w:color w:val="005DA1"/>
          <w:u w:val="single" w:color="005DA1"/>
          <w:vertAlign w:val="superscript"/>
        </w:rPr>
        <w:t>416</w:t>
      </w:r>
      <w:r>
        <w:rPr>
          <w:color w:val="005DA1"/>
          <w:vertAlign w:val="baseline"/>
        </w:rPr>
        <w:t> </w:t>
      </w:r>
      <w:bookmarkStart w:name="_bookmark739" w:id="741"/>
      <w:bookmarkEnd w:id="741"/>
      <w:r>
        <w:rPr>
          <w:color w:val="005DA1"/>
          <w:w w:val="92"/>
          <w:vertAlign w:val="baseline"/>
        </w:rPr>
      </w:r>
      <w:r>
        <w:rPr>
          <w:vertAlign w:val="baseline"/>
        </w:rPr>
        <w:t>damages are assessed on the basis that he would have performed in the way which would have benefited him most, </w:t>
      </w:r>
      <w:r>
        <w:rPr>
          <w:color w:val="005DA1"/>
          <w:u w:val="single" w:color="005DA1"/>
          <w:vertAlign w:val="superscript"/>
        </w:rPr>
        <w:t>417</w:t>
      </w:r>
      <w:r>
        <w:rPr>
          <w:color w:val="005DA1"/>
          <w:vertAlign w:val="baseline"/>
        </w:rPr>
        <w:t> </w:t>
      </w:r>
      <w:r>
        <w:rPr>
          <w:vertAlign w:val="baseline"/>
        </w:rPr>
        <w:t>e.g. at the least cost to himself. </w:t>
      </w:r>
      <w:r>
        <w:rPr>
          <w:color w:val="005DA1"/>
          <w:u w:val="single" w:color="005DA1"/>
          <w:vertAlign w:val="superscript"/>
        </w:rPr>
        <w:t>418</w:t>
      </w:r>
      <w:r>
        <w:rPr>
          <w:color w:val="005DA1"/>
          <w:vertAlign w:val="baseline"/>
        </w:rPr>
        <w:t> </w:t>
      </w:r>
      <w:r>
        <w:rPr>
          <w:vertAlign w:val="baseline"/>
        </w:rPr>
        <w:t>So damages were assessed against </w:t>
      </w:r>
      <w:bookmarkStart w:name="_bookmark740" w:id="742"/>
      <w:bookmarkEnd w:id="742"/>
      <w:r>
        <w:rPr>
          <w:vertAlign w:val="baseline"/>
        </w:rPr>
        <w:t>charterers</w:t>
      </w:r>
      <w:r>
        <w:rPr>
          <w:vertAlign w:val="baseline"/>
        </w:rPr>
        <w:t> on the basis that they would have used their contractual entitlements to produce the least profitable result for the owners. </w:t>
      </w:r>
      <w:r>
        <w:rPr>
          <w:color w:val="005DA1"/>
          <w:u w:val="single" w:color="005DA1"/>
          <w:vertAlign w:val="superscript"/>
        </w:rPr>
        <w:t>419</w:t>
      </w:r>
      <w:r>
        <w:rPr>
          <w:color w:val="005DA1"/>
          <w:vertAlign w:val="baseline"/>
        </w:rPr>
        <w:t> </w:t>
      </w:r>
      <w:r>
        <w:rPr>
          <w:vertAlign w:val="baseline"/>
        </w:rPr>
        <w:t>A similar situation arises where the contract-breaker had an option </w:t>
      </w:r>
      <w:bookmarkStart w:name="_bookmark741" w:id="743"/>
      <w:bookmarkEnd w:id="743"/>
      <w:r>
        <w:rPr>
          <w:vertAlign w:val="baseline"/>
        </w:rPr>
        <w:t>to</w:t>
      </w:r>
      <w:r>
        <w:rPr>
          <w:vertAlign w:val="baseline"/>
        </w:rPr>
        <w:t> terminate the contract: if the claimant accepts the anticipatory breach of the defendant as a ground for terminating the contract, </w:t>
      </w:r>
      <w:r>
        <w:rPr>
          <w:color w:val="005DA1"/>
          <w:u w:val="single" w:color="005DA1"/>
          <w:vertAlign w:val="superscript"/>
        </w:rPr>
        <w:t>420</w:t>
      </w:r>
      <w:r>
        <w:rPr>
          <w:color w:val="005DA1"/>
          <w:vertAlign w:val="baseline"/>
        </w:rPr>
        <w:t> </w:t>
      </w:r>
      <w:r>
        <w:rPr>
          <w:vertAlign w:val="baseline"/>
        </w:rPr>
        <w:t>but the defendant could have exercised his option to terminate the contract so as to extinguish or reduce the loss caused by the anticipatory breach, the court will</w:t>
      </w:r>
      <w:r>
        <w:rPr>
          <w:spacing w:val="80"/>
          <w:vertAlign w:val="baseline"/>
        </w:rPr>
        <w:t> </w:t>
      </w:r>
      <w:bookmarkStart w:name="_bookmark742" w:id="744"/>
      <w:bookmarkEnd w:id="744"/>
      <w:r>
        <w:rPr>
          <w:vertAlign w:val="baseline"/>
        </w:rPr>
        <w:t>assess</w:t>
      </w:r>
      <w:r>
        <w:rPr>
          <w:vertAlign w:val="baseline"/>
        </w:rPr>
        <w:t> the damages for the breach on the assumption that the defendant would have exercised the option. </w:t>
      </w:r>
      <w:r>
        <w:rPr>
          <w:color w:val="005DA1"/>
          <w:u w:val="single" w:color="005DA1"/>
          <w:vertAlign w:val="superscript"/>
        </w:rPr>
        <w:t>421</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Single obligation that is not precisely </w:t>
      </w:r>
      <w:r>
        <w:rPr>
          <w:rFonts w:ascii="Arial"/>
          <w:b/>
          <w:spacing w:val="-2"/>
          <w:sz w:val="18"/>
        </w:rPr>
        <w:t>specified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076</w:t>
      </w:r>
    </w:p>
    <w:p>
      <w:pPr>
        <w:pStyle w:val="BodyText"/>
        <w:spacing w:line="235" w:lineRule="auto" w:before="203"/>
        <w:ind w:left="165" w:right="167"/>
        <w:jc w:val="both"/>
      </w:pPr>
      <w:r>
        <w:rPr/>
        <w:t>It seems that the principle stated in the last paragraph applies only where the contract gives</w:t>
      </w:r>
      <w:r>
        <w:rPr>
          <w:spacing w:val="40"/>
        </w:rPr>
        <w:t> </w:t>
      </w:r>
      <w:r>
        <w:rPr/>
        <w:t>defendant a choice as to how to perform. If the defendant is under a single contractual obligation that it could have performed in a number of ways, it is not necessarily correct to assume that </w:t>
      </w:r>
      <w:r>
        <w:rPr/>
        <w:t>the</w:t>
      </w:r>
      <w:r>
        <w:rPr>
          <w:spacing w:val="40"/>
        </w:rPr>
        <w:t> </w:t>
      </w:r>
      <w:r>
        <w:rPr/>
        <w:t>defendant would have done the absolute minimum. The court should:</w:t>
      </w:r>
    </w:p>
    <w:p>
      <w:pPr>
        <w:pStyle w:val="BodyText"/>
      </w:pPr>
    </w:p>
    <w:p>
      <w:pPr>
        <w:pStyle w:val="BodyText"/>
        <w:spacing w:before="125"/>
      </w:pPr>
    </w:p>
    <w:p>
      <w:pPr>
        <w:pStyle w:val="BodyText"/>
        <w:spacing w:line="235" w:lineRule="auto"/>
        <w:ind w:left="1245" w:right="167"/>
        <w:jc w:val="both"/>
      </w:pPr>
      <w:r>
        <w:rPr/>
        <w:t>“…</w:t>
      </w:r>
      <w:r>
        <w:rPr>
          <w:spacing w:val="-1"/>
        </w:rPr>
        <w:t> </w:t>
      </w:r>
      <w:r>
        <w:rPr/>
        <w:t>conduct</w:t>
      </w:r>
      <w:r>
        <w:rPr>
          <w:spacing w:val="-1"/>
        </w:rPr>
        <w:t> </w:t>
      </w:r>
      <w:r>
        <w:rPr/>
        <w:t>a</w:t>
      </w:r>
      <w:r>
        <w:rPr>
          <w:spacing w:val="-1"/>
        </w:rPr>
        <w:t> </w:t>
      </w:r>
      <w:r>
        <w:rPr/>
        <w:t>factual</w:t>
      </w:r>
      <w:r>
        <w:rPr>
          <w:spacing w:val="-1"/>
        </w:rPr>
        <w:t> </w:t>
      </w:r>
      <w:r>
        <w:rPr/>
        <w:t>inquiry</w:t>
      </w:r>
      <w:r>
        <w:rPr>
          <w:spacing w:val="-1"/>
        </w:rPr>
        <w:t> </w:t>
      </w:r>
      <w:r>
        <w:rPr/>
        <w:t>as</w:t>
      </w:r>
      <w:r>
        <w:rPr>
          <w:spacing w:val="-1"/>
        </w:rPr>
        <w:t> </w:t>
      </w:r>
      <w:r>
        <w:rPr/>
        <w:t>to</w:t>
      </w:r>
      <w:r>
        <w:rPr>
          <w:spacing w:val="-1"/>
        </w:rPr>
        <w:t> </w:t>
      </w:r>
      <w:r>
        <w:rPr/>
        <w:t>how</w:t>
      </w:r>
      <w:r>
        <w:rPr>
          <w:spacing w:val="-1"/>
        </w:rPr>
        <w:t> </w:t>
      </w:r>
      <w:r>
        <w:rPr/>
        <w:t>the</w:t>
      </w:r>
      <w:r>
        <w:rPr>
          <w:spacing w:val="-1"/>
        </w:rPr>
        <w:t> </w:t>
      </w:r>
      <w:r>
        <w:rPr/>
        <w:t>contract</w:t>
      </w:r>
      <w:r>
        <w:rPr>
          <w:spacing w:val="-1"/>
        </w:rPr>
        <w:t> </w:t>
      </w:r>
      <w:r>
        <w:rPr/>
        <w:t>would</w:t>
      </w:r>
      <w:r>
        <w:rPr>
          <w:spacing w:val="-1"/>
        </w:rPr>
        <w:t> </w:t>
      </w:r>
      <w:r>
        <w:rPr/>
        <w:t>have</w:t>
      </w:r>
      <w:r>
        <w:rPr>
          <w:spacing w:val="-1"/>
        </w:rPr>
        <w:t> </w:t>
      </w:r>
      <w:r>
        <w:rPr/>
        <w:t>been</w:t>
      </w:r>
      <w:r>
        <w:rPr>
          <w:spacing w:val="-1"/>
        </w:rPr>
        <w:t> </w:t>
      </w:r>
      <w:r>
        <w:rPr/>
        <w:t>performed</w:t>
      </w:r>
      <w:r>
        <w:rPr>
          <w:spacing w:val="-1"/>
        </w:rPr>
        <w:t> </w:t>
      </w:r>
      <w:r>
        <w:rPr/>
        <w:t>had</w:t>
      </w:r>
      <w:r>
        <w:rPr>
          <w:spacing w:val="-1"/>
        </w:rPr>
        <w:t> </w:t>
      </w:r>
      <w:r>
        <w:rPr/>
        <w:t>it</w:t>
      </w:r>
      <w:r>
        <w:rPr>
          <w:spacing w:val="-1"/>
        </w:rPr>
        <w:t> </w:t>
      </w:r>
      <w:r>
        <w:rPr/>
        <w:t>not been repudiated … The court has to look at the relevant economic and other surrounding circumstances to decide on the level of performance which the defendant would </w:t>
      </w:r>
      <w:r>
        <w:rPr/>
        <w:t>have adopted. The judge conducting the assessment must assume that the defendant would not have acted outside the terms of the contract and would have performed it in his own interests having regard to the relevant factors prevailing at the time. But the court is not required to make assumptions that the defaulting party would have acted uncommercially </w:t>
      </w:r>
      <w:bookmarkStart w:name="_bookmark743" w:id="745"/>
      <w:bookmarkEnd w:id="745"/>
      <w:r>
        <w:rPr/>
        <w:t>merely</w:t>
      </w:r>
      <w:r>
        <w:rPr/>
        <w:t> in order to spite the claimant. To that extent, the parties are to be assumed to</w:t>
      </w:r>
      <w:r>
        <w:rPr>
          <w:spacing w:val="40"/>
        </w:rPr>
        <w:t> </w:t>
      </w:r>
      <w:r>
        <w:rPr/>
        <w:t>have</w:t>
      </w:r>
      <w:r>
        <w:rPr>
          <w:spacing w:val="1"/>
        </w:rPr>
        <w:t> </w:t>
      </w:r>
      <w:r>
        <w:rPr/>
        <w:t>acted</w:t>
      </w:r>
      <w:r>
        <w:rPr>
          <w:spacing w:val="1"/>
        </w:rPr>
        <w:t> </w:t>
      </w:r>
      <w:r>
        <w:rPr/>
        <w:t>in</w:t>
      </w:r>
      <w:r>
        <w:rPr>
          <w:spacing w:val="1"/>
        </w:rPr>
        <w:t> </w:t>
      </w:r>
      <w:r>
        <w:rPr/>
        <w:t>good</w:t>
      </w:r>
      <w:r>
        <w:rPr>
          <w:spacing w:val="1"/>
        </w:rPr>
        <w:t> </w:t>
      </w:r>
      <w:r>
        <w:rPr/>
        <w:t>faith</w:t>
      </w:r>
      <w:r>
        <w:rPr>
          <w:spacing w:val="1"/>
        </w:rPr>
        <w:t> </w:t>
      </w:r>
      <w:r>
        <w:rPr/>
        <w:t>although</w:t>
      </w:r>
      <w:r>
        <w:rPr>
          <w:spacing w:val="1"/>
        </w:rPr>
        <w:t> </w:t>
      </w:r>
      <w:r>
        <w:rPr/>
        <w:t>with</w:t>
      </w:r>
      <w:r>
        <w:rPr>
          <w:spacing w:val="1"/>
        </w:rPr>
        <w:t> </w:t>
      </w:r>
      <w:r>
        <w:rPr/>
        <w:t>their</w:t>
      </w:r>
      <w:r>
        <w:rPr>
          <w:spacing w:val="1"/>
        </w:rPr>
        <w:t> </w:t>
      </w:r>
      <w:r>
        <w:rPr/>
        <w:t>own</w:t>
      </w:r>
      <w:r>
        <w:rPr>
          <w:spacing w:val="1"/>
        </w:rPr>
        <w:t> </w:t>
      </w:r>
      <w:r>
        <w:rPr/>
        <w:t>commercial</w:t>
      </w:r>
      <w:r>
        <w:rPr>
          <w:spacing w:val="1"/>
        </w:rPr>
        <w:t> </w:t>
      </w:r>
      <w:r>
        <w:rPr/>
        <w:t>interests</w:t>
      </w:r>
      <w:r>
        <w:rPr>
          <w:spacing w:val="1"/>
        </w:rPr>
        <w:t> </w:t>
      </w:r>
      <w:r>
        <w:rPr/>
        <w:t>very</w:t>
      </w:r>
      <w:r>
        <w:rPr>
          <w:spacing w:val="1"/>
        </w:rPr>
        <w:t> </w:t>
      </w:r>
      <w:r>
        <w:rPr/>
        <w:t>much</w:t>
      </w:r>
      <w:r>
        <w:rPr>
          <w:spacing w:val="1"/>
        </w:rPr>
        <w:t> </w:t>
      </w:r>
      <w:r>
        <w:rPr/>
        <w:t>in</w:t>
      </w:r>
      <w:r>
        <w:rPr>
          <w:spacing w:val="1"/>
        </w:rPr>
        <w:t> </w:t>
      </w:r>
      <w:r>
        <w:rPr>
          <w:spacing w:val="-2"/>
        </w:rPr>
        <w:t>mind.”</w:t>
      </w:r>
    </w:p>
    <w:p>
      <w:pPr>
        <w:spacing w:line="110" w:lineRule="exact" w:before="0"/>
        <w:ind w:left="1245" w:right="0" w:firstLine="0"/>
        <w:jc w:val="left"/>
        <w:rPr>
          <w:sz w:val="12"/>
        </w:rPr>
      </w:pPr>
      <w:r>
        <w:rPr>
          <w:color w:val="005DA1"/>
          <w:spacing w:val="-5"/>
          <w:sz w:val="12"/>
          <w:u w:val="single" w:color="005DA1"/>
        </w:rPr>
        <w:t>422</w:t>
      </w:r>
    </w:p>
    <w:p>
      <w:pPr>
        <w:pStyle w:val="BodyText"/>
      </w:pPr>
    </w:p>
    <w:p>
      <w:pPr>
        <w:pStyle w:val="BodyText"/>
      </w:pPr>
    </w:p>
    <w:p>
      <w:pPr>
        <w:pStyle w:val="BodyText"/>
      </w:pPr>
    </w:p>
    <w:p>
      <w:pPr>
        <w:pStyle w:val="BodyText"/>
        <w:spacing w:before="38"/>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185753</wp:posOffset>
                </wp:positionV>
                <wp:extent cx="572452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257pt;width:450.75pt;height:.1pt;mso-position-horizontal-relative:page;mso-position-vertical-relative:paragraph;z-index:-15685632;mso-wrap-distance-left:0;mso-wrap-distance-right:0" id="docshape43"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hyperlink w:history="true" w:anchor="_bookmark805">
        <w:r>
          <w:rPr>
            <w:color w:val="005DA1"/>
            <w:position w:val="5"/>
            <w:sz w:val="14"/>
            <w:u w:val="single" w:color="005DA1"/>
          </w:rPr>
          <w:t>359</w:t>
        </w:r>
      </w:hyperlink>
      <w:r>
        <w:rPr>
          <w:position w:val="5"/>
          <w:sz w:val="14"/>
        </w:rPr>
        <w:t>.</w:t>
      </w:r>
      <w:r>
        <w:rPr>
          <w:spacing w:val="80"/>
          <w:position w:val="5"/>
          <w:sz w:val="14"/>
        </w:rPr>
        <w:t>  </w:t>
      </w:r>
      <w:r>
        <w:rPr/>
        <w:t>This topic has been developed mainly in the law of torts, but may arise in the law of contract (see Hart &amp; Honoré, </w:t>
      </w:r>
      <w:r>
        <w:rPr>
          <w:rFonts w:ascii="Arial" w:hAnsi="Arial"/>
          <w:i/>
        </w:rPr>
        <w:t>Causation in the Law</w:t>
      </w:r>
      <w:r>
        <w:rPr/>
        <w:t>, 2nd edn (1985), Ch.11). No doubt the </w:t>
      </w:r>
      <w:r>
        <w:rPr/>
        <w:t>numerous decisions on causation in the law of torts may be used as analogies in the law of contract.</w:t>
      </w:r>
    </w:p>
    <w:p>
      <w:pPr>
        <w:pStyle w:val="BodyText"/>
        <w:spacing w:before="5"/>
      </w:pPr>
    </w:p>
    <w:p>
      <w:pPr>
        <w:pStyle w:val="BodyText"/>
        <w:tabs>
          <w:tab w:pos="705" w:val="left" w:leader="none"/>
        </w:tabs>
        <w:ind w:left="165"/>
      </w:pPr>
      <w:bookmarkStart w:name="_bookmark744" w:id="746"/>
      <w:bookmarkEnd w:id="746"/>
      <w:r>
        <w:rPr/>
      </w:r>
      <w:hyperlink w:history="true" w:anchor="_bookmark686">
        <w:r>
          <w:rPr>
            <w:color w:val="005DA1"/>
            <w:spacing w:val="-4"/>
            <w:position w:val="5"/>
            <w:sz w:val="14"/>
            <w:u w:val="single" w:color="005DA1"/>
          </w:rPr>
          <w:t>360</w:t>
        </w:r>
      </w:hyperlink>
      <w:r>
        <w:rPr>
          <w:spacing w:val="-4"/>
          <w:position w:val="5"/>
          <w:sz w:val="14"/>
        </w:rPr>
        <w:t>.</w:t>
      </w:r>
      <w:r>
        <w:rPr>
          <w:position w:val="5"/>
          <w:sz w:val="14"/>
        </w:rPr>
        <w:tab/>
      </w:r>
      <w:r>
        <w:rPr/>
        <w:t>See below, paras 26-107 et </w:t>
      </w:r>
      <w:r>
        <w:rPr>
          <w:spacing w:val="-4"/>
        </w:rPr>
        <w:t>seq.</w:t>
      </w:r>
    </w:p>
    <w:p>
      <w:pPr>
        <w:pStyle w:val="BodyText"/>
        <w:spacing w:before="9"/>
      </w:pPr>
    </w:p>
    <w:p>
      <w:pPr>
        <w:spacing w:line="235" w:lineRule="auto" w:before="0"/>
        <w:ind w:left="705" w:right="167" w:hanging="541"/>
        <w:jc w:val="both"/>
        <w:rPr>
          <w:sz w:val="20"/>
        </w:rPr>
      </w:pPr>
      <w:bookmarkStart w:name="_bookmark745" w:id="747"/>
      <w:bookmarkEnd w:id="747"/>
      <w:r>
        <w:rPr/>
      </w:r>
      <w:hyperlink w:history="true" w:anchor="_bookmark687">
        <w:r>
          <w:rPr>
            <w:color w:val="005DA1"/>
            <w:position w:val="5"/>
            <w:sz w:val="14"/>
            <w:u w:val="single" w:color="005DA1"/>
          </w:rPr>
          <w:t>361</w:t>
        </w:r>
      </w:hyperlink>
      <w:r>
        <w:rPr>
          <w:position w:val="5"/>
          <w:sz w:val="14"/>
        </w:rPr>
        <w:t>.</w:t>
      </w:r>
      <w:r>
        <w:rPr>
          <w:spacing w:val="80"/>
          <w:position w:val="5"/>
          <w:sz w:val="14"/>
        </w:rPr>
        <w:t>  </w:t>
      </w:r>
      <w:r>
        <w:rPr>
          <w:sz w:val="20"/>
        </w:rPr>
        <w:t>The loss must have been caused by the breach itself, since “damages for breach of contract may …[not] be awarded … for loss caused by the manner of the breach”: per Lord Steyn in </w:t>
      </w:r>
      <w:r>
        <w:rPr>
          <w:rFonts w:ascii="Arial" w:hAnsi="Arial"/>
          <w:i/>
          <w:sz w:val="20"/>
        </w:rPr>
        <w:t>Malik v Bank of Credit and Commerce International SA [1998] A.C. 20, 51 </w:t>
      </w:r>
      <w:r>
        <w:rPr>
          <w:sz w:val="20"/>
        </w:rPr>
        <w:t>(citing </w:t>
      </w:r>
      <w:r>
        <w:rPr>
          <w:rFonts w:ascii="Arial" w:hAnsi="Arial"/>
          <w:i/>
          <w:sz w:val="20"/>
        </w:rPr>
        <w:t>Addis v Gramophone Co [1909] A.C. 488</w:t>
      </w:r>
      <w:r>
        <w:rPr>
          <w:sz w:val="20"/>
        </w:rPr>
        <w:t>).</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746" w:id="748"/>
      <w:bookmarkEnd w:id="748"/>
      <w:r>
        <w:rPr/>
      </w:r>
      <w:hyperlink w:history="true" w:anchor="_bookmark687">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Monarch</w:t>
      </w:r>
      <w:r>
        <w:rPr>
          <w:rFonts w:ascii="Arial"/>
          <w:i/>
          <w:spacing w:val="-1"/>
          <w:sz w:val="20"/>
        </w:rPr>
        <w:t> </w:t>
      </w:r>
      <w:r>
        <w:rPr>
          <w:rFonts w:ascii="Arial"/>
          <w:i/>
          <w:sz w:val="20"/>
        </w:rPr>
        <w:t>S.S.</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Karlshamns</w:t>
      </w:r>
      <w:r>
        <w:rPr>
          <w:rFonts w:ascii="Arial"/>
          <w:i/>
          <w:spacing w:val="-1"/>
          <w:sz w:val="20"/>
        </w:rPr>
        <w:t> </w:t>
      </w:r>
      <w:r>
        <w:rPr>
          <w:rFonts w:ascii="Arial"/>
          <w:i/>
          <w:sz w:val="20"/>
        </w:rPr>
        <w:t>Oljefabriker</w:t>
      </w:r>
      <w:r>
        <w:rPr>
          <w:rFonts w:ascii="Arial"/>
          <w:i/>
          <w:spacing w:val="-1"/>
          <w:sz w:val="20"/>
        </w:rPr>
        <w:t> </w:t>
      </w:r>
      <w:r>
        <w:rPr>
          <w:rFonts w:ascii="Arial"/>
          <w:i/>
          <w:sz w:val="20"/>
        </w:rPr>
        <w:t>(A/B)</w:t>
      </w:r>
      <w:r>
        <w:rPr>
          <w:rFonts w:ascii="Arial"/>
          <w:i/>
          <w:spacing w:val="-1"/>
          <w:sz w:val="20"/>
        </w:rPr>
        <w:t> </w:t>
      </w:r>
      <w:r>
        <w:rPr>
          <w:rFonts w:ascii="Arial"/>
          <w:i/>
          <w:sz w:val="20"/>
        </w:rPr>
        <w:t>[1949]</w:t>
      </w:r>
      <w:r>
        <w:rPr>
          <w:rFonts w:ascii="Arial"/>
          <w:i/>
          <w:spacing w:val="-1"/>
          <w:sz w:val="20"/>
        </w:rPr>
        <w:t> </w:t>
      </w:r>
      <w:r>
        <w:rPr>
          <w:rFonts w:ascii="Arial"/>
          <w:i/>
          <w:sz w:val="20"/>
        </w:rPr>
        <w:t>A.C.</w:t>
      </w:r>
      <w:r>
        <w:rPr>
          <w:rFonts w:ascii="Arial"/>
          <w:i/>
          <w:spacing w:val="-1"/>
          <w:sz w:val="20"/>
        </w:rPr>
        <w:t> </w:t>
      </w:r>
      <w:r>
        <w:rPr>
          <w:rFonts w:ascii="Arial"/>
          <w:i/>
          <w:sz w:val="20"/>
        </w:rPr>
        <w:t>196,</w:t>
      </w:r>
      <w:r>
        <w:rPr>
          <w:rFonts w:ascii="Arial"/>
          <w:i/>
          <w:spacing w:val="-1"/>
          <w:sz w:val="20"/>
        </w:rPr>
        <w:t> </w:t>
      </w:r>
      <w:r>
        <w:rPr>
          <w:rFonts w:ascii="Arial"/>
          <w:i/>
          <w:sz w:val="20"/>
        </w:rPr>
        <w:t>225</w:t>
      </w:r>
      <w:r>
        <w:rPr>
          <w:sz w:val="20"/>
        </w:rPr>
        <w:t>;</w:t>
      </w:r>
      <w:r>
        <w:rPr>
          <w:spacing w:val="-1"/>
          <w:sz w:val="20"/>
        </w:rPr>
        <w:t> </w:t>
      </w:r>
      <w:r>
        <w:rPr>
          <w:rFonts w:ascii="Arial"/>
          <w:i/>
          <w:sz w:val="20"/>
        </w:rPr>
        <w:t>Quinn</w:t>
      </w:r>
      <w:r>
        <w:rPr>
          <w:rFonts w:ascii="Arial"/>
          <w:i/>
          <w:spacing w:val="-1"/>
          <w:sz w:val="20"/>
        </w:rPr>
        <w:t> </w:t>
      </w:r>
      <w:r>
        <w:rPr>
          <w:rFonts w:ascii="Arial"/>
          <w:i/>
          <w:sz w:val="20"/>
        </w:rPr>
        <w:t>v</w:t>
      </w:r>
      <w:r>
        <w:rPr>
          <w:rFonts w:ascii="Arial"/>
          <w:i/>
          <w:spacing w:val="-1"/>
          <w:sz w:val="20"/>
        </w:rPr>
        <w:t> </w:t>
      </w:r>
      <w:r>
        <w:rPr>
          <w:rFonts w:ascii="Arial"/>
          <w:i/>
          <w:sz w:val="20"/>
        </w:rPr>
        <w:t>Burch</w:t>
      </w:r>
      <w:r>
        <w:rPr>
          <w:rFonts w:ascii="Arial"/>
          <w:i/>
          <w:spacing w:val="-1"/>
          <w:sz w:val="20"/>
        </w:rPr>
        <w:t> </w:t>
      </w:r>
      <w:r>
        <w:rPr>
          <w:rFonts w:ascii="Arial"/>
          <w:i/>
          <w:sz w:val="20"/>
        </w:rPr>
        <w:t>Bros (Builders)</w:t>
      </w:r>
      <w:r>
        <w:rPr>
          <w:rFonts w:ascii="Arial"/>
          <w:i/>
          <w:spacing w:val="11"/>
          <w:sz w:val="20"/>
        </w:rPr>
        <w:t> </w:t>
      </w:r>
      <w:r>
        <w:rPr>
          <w:rFonts w:ascii="Arial"/>
          <w:i/>
          <w:sz w:val="20"/>
        </w:rPr>
        <w:t>Ltd</w:t>
      </w:r>
      <w:r>
        <w:rPr>
          <w:rFonts w:ascii="Arial"/>
          <w:i/>
          <w:spacing w:val="12"/>
          <w:sz w:val="20"/>
        </w:rPr>
        <w:t> </w:t>
      </w:r>
      <w:r>
        <w:rPr>
          <w:rFonts w:ascii="Arial"/>
          <w:i/>
          <w:sz w:val="20"/>
        </w:rPr>
        <w:t>[1966]</w:t>
      </w:r>
      <w:r>
        <w:rPr>
          <w:rFonts w:ascii="Arial"/>
          <w:i/>
          <w:spacing w:val="12"/>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z w:val="20"/>
        </w:rPr>
        <w:t>370</w:t>
      </w:r>
      <w:r>
        <w:rPr>
          <w:sz w:val="20"/>
        </w:rPr>
        <w:t>;</w:t>
      </w:r>
      <w:r>
        <w:rPr>
          <w:spacing w:val="12"/>
          <w:sz w:val="20"/>
        </w:rPr>
        <w:t> </w:t>
      </w:r>
      <w:r>
        <w:rPr>
          <w:rFonts w:ascii="Arial"/>
          <w:i/>
          <w:sz w:val="20"/>
        </w:rPr>
        <w:t>Sykes</w:t>
      </w:r>
      <w:r>
        <w:rPr>
          <w:rFonts w:ascii="Arial"/>
          <w:i/>
          <w:spacing w:val="12"/>
          <w:sz w:val="20"/>
        </w:rPr>
        <w:t> </w:t>
      </w:r>
      <w:r>
        <w:rPr>
          <w:rFonts w:ascii="Arial"/>
          <w:i/>
          <w:sz w:val="20"/>
        </w:rPr>
        <w:t>v</w:t>
      </w:r>
      <w:r>
        <w:rPr>
          <w:rFonts w:ascii="Arial"/>
          <w:i/>
          <w:spacing w:val="12"/>
          <w:sz w:val="20"/>
        </w:rPr>
        <w:t> </w:t>
      </w:r>
      <w:r>
        <w:rPr>
          <w:rFonts w:ascii="Arial"/>
          <w:i/>
          <w:sz w:val="20"/>
        </w:rPr>
        <w:t>Midland</w:t>
      </w:r>
      <w:r>
        <w:rPr>
          <w:rFonts w:ascii="Arial"/>
          <w:i/>
          <w:spacing w:val="12"/>
          <w:sz w:val="20"/>
        </w:rPr>
        <w:t> </w:t>
      </w:r>
      <w:r>
        <w:rPr>
          <w:rFonts w:ascii="Arial"/>
          <w:i/>
          <w:sz w:val="20"/>
        </w:rPr>
        <w:t>Bank</w:t>
      </w:r>
      <w:r>
        <w:rPr>
          <w:rFonts w:ascii="Arial"/>
          <w:i/>
          <w:spacing w:val="12"/>
          <w:sz w:val="20"/>
        </w:rPr>
        <w:t> </w:t>
      </w:r>
      <w:r>
        <w:rPr>
          <w:rFonts w:ascii="Arial"/>
          <w:i/>
          <w:sz w:val="20"/>
        </w:rPr>
        <w:t>Executor</w:t>
      </w:r>
      <w:r>
        <w:rPr>
          <w:rFonts w:ascii="Arial"/>
          <w:i/>
          <w:spacing w:val="12"/>
          <w:sz w:val="20"/>
        </w:rPr>
        <w:t> </w:t>
      </w:r>
      <w:r>
        <w:rPr>
          <w:rFonts w:ascii="Arial"/>
          <w:i/>
          <w:sz w:val="20"/>
        </w:rPr>
        <w:t>and</w:t>
      </w:r>
      <w:r>
        <w:rPr>
          <w:rFonts w:ascii="Arial"/>
          <w:i/>
          <w:spacing w:val="12"/>
          <w:sz w:val="20"/>
        </w:rPr>
        <w:t> </w:t>
      </w:r>
      <w:r>
        <w:rPr>
          <w:rFonts w:ascii="Arial"/>
          <w:i/>
          <w:sz w:val="20"/>
        </w:rPr>
        <w:t>Trustee</w:t>
      </w:r>
      <w:r>
        <w:rPr>
          <w:rFonts w:ascii="Arial"/>
          <w:i/>
          <w:spacing w:val="12"/>
          <w:sz w:val="20"/>
        </w:rPr>
        <w:t> </w:t>
      </w:r>
      <w:r>
        <w:rPr>
          <w:rFonts w:ascii="Arial"/>
          <w:i/>
          <w:sz w:val="20"/>
        </w:rPr>
        <w:t>Co</w:t>
      </w:r>
      <w:r>
        <w:rPr>
          <w:rFonts w:ascii="Arial"/>
          <w:i/>
          <w:spacing w:val="12"/>
          <w:sz w:val="20"/>
        </w:rPr>
        <w:t> </w:t>
      </w:r>
      <w:r>
        <w:rPr>
          <w:rFonts w:ascii="Arial"/>
          <w:i/>
          <w:sz w:val="20"/>
        </w:rPr>
        <w:t>Ltd</w:t>
      </w:r>
      <w:r>
        <w:rPr>
          <w:rFonts w:ascii="Arial"/>
          <w:i/>
          <w:spacing w:val="12"/>
          <w:sz w:val="20"/>
        </w:rPr>
        <w:t> </w:t>
      </w:r>
      <w:r>
        <w:rPr>
          <w:rFonts w:ascii="Arial"/>
          <w:i/>
          <w:sz w:val="20"/>
        </w:rPr>
        <w:t>[1971]</w:t>
      </w:r>
      <w:r>
        <w:rPr>
          <w:rFonts w:ascii="Arial"/>
          <w:i/>
          <w:spacing w:val="12"/>
          <w:sz w:val="20"/>
        </w:rPr>
        <w:t> </w:t>
      </w:r>
      <w:r>
        <w:rPr>
          <w:rFonts w:ascii="Arial"/>
          <w:i/>
          <w:spacing w:val="-10"/>
          <w:sz w:val="20"/>
        </w:rPr>
        <w:t>1</w:t>
      </w:r>
    </w:p>
    <w:p>
      <w:pPr>
        <w:spacing w:line="225" w:lineRule="exact" w:before="0"/>
        <w:ind w:left="705" w:right="0" w:firstLine="0"/>
        <w:jc w:val="left"/>
        <w:rPr>
          <w:sz w:val="20"/>
        </w:rPr>
      </w:pPr>
      <w:r>
        <w:rPr>
          <w:rFonts w:ascii="Arial"/>
          <w:i/>
          <w:sz w:val="20"/>
        </w:rPr>
        <w:t>Q.B.</w:t>
      </w:r>
      <w:r>
        <w:rPr>
          <w:rFonts w:ascii="Arial"/>
          <w:i/>
          <w:spacing w:val="-2"/>
          <w:sz w:val="20"/>
        </w:rPr>
        <w:t> </w:t>
      </w:r>
      <w:r>
        <w:rPr>
          <w:rFonts w:ascii="Arial"/>
          <w:i/>
          <w:spacing w:val="-4"/>
          <w:sz w:val="20"/>
        </w:rPr>
        <w:t>113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47" w:id="749"/>
      <w:bookmarkEnd w:id="749"/>
      <w:r>
        <w:rPr/>
      </w:r>
      <w:hyperlink w:history="true" w:anchor="_bookmark688">
        <w:r>
          <w:rPr>
            <w:color w:val="005DA1"/>
            <w:spacing w:val="-4"/>
            <w:position w:val="5"/>
            <w:sz w:val="14"/>
            <w:u w:val="single" w:color="005DA1"/>
          </w:rPr>
          <w:t>363</w:t>
        </w:r>
      </w:hyperlink>
      <w:r>
        <w:rPr>
          <w:spacing w:val="-4"/>
          <w:position w:val="5"/>
          <w:sz w:val="14"/>
        </w:rPr>
        <w:t>.</w:t>
      </w:r>
      <w:r>
        <w:rPr>
          <w:position w:val="5"/>
          <w:sz w:val="14"/>
        </w:rPr>
        <w:tab/>
      </w:r>
      <w:r>
        <w:rPr>
          <w:rFonts w:ascii="Arial" w:hAnsi="Arial"/>
          <w:i/>
          <w:sz w:val="20"/>
        </w:rPr>
        <w:t>Galoo</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Bright</w:t>
      </w:r>
      <w:r>
        <w:rPr>
          <w:rFonts w:ascii="Arial" w:hAnsi="Arial"/>
          <w:i/>
          <w:spacing w:val="33"/>
          <w:sz w:val="20"/>
        </w:rPr>
        <w:t> </w:t>
      </w:r>
      <w:r>
        <w:rPr>
          <w:rFonts w:ascii="Arial" w:hAnsi="Arial"/>
          <w:i/>
          <w:sz w:val="20"/>
        </w:rPr>
        <w:t>Grahame</w:t>
      </w:r>
      <w:r>
        <w:rPr>
          <w:rFonts w:ascii="Arial" w:hAnsi="Arial"/>
          <w:i/>
          <w:spacing w:val="33"/>
          <w:sz w:val="20"/>
        </w:rPr>
        <w:t> </w:t>
      </w:r>
      <w:r>
        <w:rPr>
          <w:rFonts w:ascii="Arial" w:hAnsi="Arial"/>
          <w:i/>
          <w:sz w:val="20"/>
        </w:rPr>
        <w:t>Murray</w:t>
      </w:r>
      <w:r>
        <w:rPr>
          <w:rFonts w:ascii="Arial" w:hAnsi="Arial"/>
          <w:i/>
          <w:spacing w:val="33"/>
          <w:sz w:val="20"/>
        </w:rPr>
        <w:t> </w:t>
      </w:r>
      <w:r>
        <w:rPr>
          <w:rFonts w:ascii="Arial" w:hAnsi="Arial"/>
          <w:i/>
          <w:sz w:val="20"/>
        </w:rPr>
        <w:t>[1994]</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W.L.R.</w:t>
      </w:r>
      <w:r>
        <w:rPr>
          <w:rFonts w:ascii="Arial" w:hAnsi="Arial"/>
          <w:i/>
          <w:spacing w:val="33"/>
          <w:sz w:val="20"/>
        </w:rPr>
        <w:t> </w:t>
      </w:r>
      <w:r>
        <w:rPr>
          <w:rFonts w:ascii="Arial" w:hAnsi="Arial"/>
          <w:i/>
          <w:sz w:val="20"/>
        </w:rPr>
        <w:t>1360,</w:t>
      </w:r>
      <w:r>
        <w:rPr>
          <w:rFonts w:ascii="Arial" w:hAnsi="Arial"/>
          <w:i/>
          <w:spacing w:val="33"/>
          <w:sz w:val="20"/>
        </w:rPr>
        <w:t> </w:t>
      </w:r>
      <w:r>
        <w:rPr>
          <w:rFonts w:ascii="Arial" w:hAnsi="Arial"/>
          <w:i/>
          <w:sz w:val="20"/>
        </w:rPr>
        <w:t>1374–1375</w:t>
      </w:r>
      <w:r>
        <w:rPr>
          <w:sz w:val="20"/>
        </w:rPr>
        <w:t>.</w:t>
      </w:r>
      <w:r>
        <w:rPr>
          <w:spacing w:val="33"/>
          <w:sz w:val="20"/>
        </w:rPr>
        <w:t> </w:t>
      </w:r>
      <w:r>
        <w:rPr>
          <w:sz w:val="20"/>
        </w:rPr>
        <w:t>The</w:t>
      </w:r>
      <w:r>
        <w:rPr>
          <w:spacing w:val="33"/>
          <w:sz w:val="20"/>
        </w:rPr>
        <w:t> </w:t>
      </w:r>
      <w:r>
        <w:rPr>
          <w:sz w:val="20"/>
        </w:rPr>
        <w:t>breach</w:t>
      </w:r>
      <w:r>
        <w:rPr>
          <w:spacing w:val="33"/>
          <w:sz w:val="20"/>
        </w:rPr>
        <w:t> </w:t>
      </w:r>
      <w:r>
        <w:rPr>
          <w:sz w:val="20"/>
        </w:rPr>
        <w:t>of</w:t>
      </w:r>
      <w:r>
        <w:rPr>
          <w:spacing w:val="33"/>
          <w:sz w:val="20"/>
        </w:rPr>
        <w:t> </w:t>
      </w:r>
      <w:r>
        <w:rPr>
          <w:sz w:val="20"/>
        </w:rPr>
        <w:t>contract need not be the sole cause: below, para.26-068.</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748" w:id="750"/>
      <w:bookmarkEnd w:id="750"/>
      <w:r>
        <w:rPr/>
      </w:r>
      <w:hyperlink w:history="true" w:anchor="_bookmark689">
        <w:r>
          <w:rPr>
            <w:color w:val="005DA1"/>
            <w:spacing w:val="-4"/>
            <w:position w:val="5"/>
            <w:sz w:val="14"/>
            <w:u w:val="single" w:color="005DA1"/>
          </w:rPr>
          <w:t>364</w:t>
        </w:r>
      </w:hyperlink>
      <w:r>
        <w:rPr>
          <w:spacing w:val="-4"/>
          <w:position w:val="5"/>
          <w:sz w:val="14"/>
        </w:rPr>
        <w:t>.</w:t>
      </w:r>
      <w:r>
        <w:rPr>
          <w:position w:val="5"/>
          <w:sz w:val="14"/>
        </w:rPr>
        <w:tab/>
      </w:r>
      <w:r>
        <w:rPr>
          <w:sz w:val="20"/>
        </w:rPr>
        <w:t>This</w:t>
      </w:r>
      <w:r>
        <w:rPr>
          <w:spacing w:val="6"/>
          <w:sz w:val="20"/>
        </w:rPr>
        <w:t> </w:t>
      </w:r>
      <w:r>
        <w:rPr>
          <w:sz w:val="20"/>
        </w:rPr>
        <w:t>sentence</w:t>
      </w:r>
      <w:r>
        <w:rPr>
          <w:spacing w:val="6"/>
          <w:sz w:val="20"/>
        </w:rPr>
        <w:t> </w:t>
      </w:r>
      <w:r>
        <w:rPr>
          <w:sz w:val="20"/>
        </w:rPr>
        <w:t>was</w:t>
      </w:r>
      <w:r>
        <w:rPr>
          <w:spacing w:val="6"/>
          <w:sz w:val="20"/>
        </w:rPr>
        <w:t> </w:t>
      </w:r>
      <w:r>
        <w:rPr>
          <w:sz w:val="20"/>
        </w:rPr>
        <w:t>quoted</w:t>
      </w:r>
      <w:r>
        <w:rPr>
          <w:spacing w:val="6"/>
          <w:sz w:val="20"/>
        </w:rPr>
        <w:t> </w:t>
      </w:r>
      <w:r>
        <w:rPr>
          <w:sz w:val="20"/>
        </w:rPr>
        <w:t>with</w:t>
      </w:r>
      <w:r>
        <w:rPr>
          <w:spacing w:val="6"/>
          <w:sz w:val="20"/>
        </w:rPr>
        <w:t> </w:t>
      </w:r>
      <w:r>
        <w:rPr>
          <w:sz w:val="20"/>
        </w:rPr>
        <w:t>approval</w:t>
      </w:r>
      <w:r>
        <w:rPr>
          <w:spacing w:val="6"/>
          <w:sz w:val="20"/>
        </w:rPr>
        <w:t> </w:t>
      </w:r>
      <w:r>
        <w:rPr>
          <w:sz w:val="20"/>
        </w:rPr>
        <w:t>by</w:t>
      </w:r>
      <w:r>
        <w:rPr>
          <w:spacing w:val="6"/>
          <w:sz w:val="20"/>
        </w:rPr>
        <w:t> </w:t>
      </w:r>
      <w:r>
        <w:rPr>
          <w:sz w:val="20"/>
        </w:rPr>
        <w:t>the</w:t>
      </w:r>
      <w:r>
        <w:rPr>
          <w:spacing w:val="6"/>
          <w:sz w:val="20"/>
        </w:rPr>
        <w:t> </w:t>
      </w:r>
      <w:r>
        <w:rPr>
          <w:sz w:val="20"/>
        </w:rPr>
        <w:t>CA</w:t>
      </w:r>
      <w:r>
        <w:rPr>
          <w:spacing w:val="6"/>
          <w:sz w:val="20"/>
        </w:rPr>
        <w:t> </w:t>
      </w:r>
      <w:r>
        <w:rPr>
          <w:sz w:val="20"/>
        </w:rPr>
        <w:t>in</w:t>
      </w:r>
      <w:r>
        <w:rPr>
          <w:spacing w:val="5"/>
          <w:sz w:val="20"/>
        </w:rPr>
        <w:t> </w:t>
      </w:r>
      <w:r>
        <w:rPr>
          <w:rFonts w:ascii="Arial"/>
          <w:i/>
          <w:sz w:val="20"/>
        </w:rPr>
        <w:t>Galoo</w:t>
      </w:r>
      <w:r>
        <w:rPr>
          <w:rFonts w:ascii="Arial"/>
          <w:i/>
          <w:spacing w:val="6"/>
          <w:sz w:val="20"/>
        </w:rPr>
        <w:t> </w:t>
      </w:r>
      <w:r>
        <w:rPr>
          <w:rFonts w:ascii="Arial"/>
          <w:i/>
          <w:sz w:val="20"/>
        </w:rPr>
        <w:t>v</w:t>
      </w:r>
      <w:r>
        <w:rPr>
          <w:rFonts w:ascii="Arial"/>
          <w:i/>
          <w:spacing w:val="6"/>
          <w:sz w:val="20"/>
        </w:rPr>
        <w:t> </w:t>
      </w:r>
      <w:r>
        <w:rPr>
          <w:rFonts w:ascii="Arial"/>
          <w:i/>
          <w:sz w:val="20"/>
        </w:rPr>
        <w:t>Bright</w:t>
      </w:r>
      <w:r>
        <w:rPr>
          <w:rFonts w:ascii="Arial"/>
          <w:i/>
          <w:spacing w:val="6"/>
          <w:sz w:val="20"/>
        </w:rPr>
        <w:t> </w:t>
      </w:r>
      <w:r>
        <w:rPr>
          <w:rFonts w:ascii="Arial"/>
          <w:i/>
          <w:sz w:val="20"/>
        </w:rPr>
        <w:t>Grahame</w:t>
      </w:r>
      <w:r>
        <w:rPr>
          <w:rFonts w:ascii="Arial"/>
          <w:i/>
          <w:spacing w:val="6"/>
          <w:sz w:val="20"/>
        </w:rPr>
        <w:t> </w:t>
      </w:r>
      <w:r>
        <w:rPr>
          <w:rFonts w:ascii="Arial"/>
          <w:i/>
          <w:sz w:val="20"/>
        </w:rPr>
        <w:t>Murray</w:t>
      </w:r>
      <w:r>
        <w:rPr>
          <w:rFonts w:ascii="Arial"/>
          <w:i/>
          <w:spacing w:val="6"/>
          <w:sz w:val="20"/>
        </w:rPr>
        <w:t> </w:t>
      </w:r>
      <w:r>
        <w:rPr>
          <w:rFonts w:ascii="Arial"/>
          <w:i/>
          <w:sz w:val="20"/>
        </w:rPr>
        <w:t>[1994]</w:t>
      </w:r>
      <w:r>
        <w:rPr>
          <w:rFonts w:ascii="Arial"/>
          <w:i/>
          <w:spacing w:val="6"/>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W.L.R. 1360, </w:t>
      </w:r>
      <w:r>
        <w:rPr>
          <w:rFonts w:ascii="Arial" w:hAnsi="Arial"/>
          <w:i/>
          <w:spacing w:val="-2"/>
          <w:sz w:val="20"/>
        </w:rPr>
        <w:t>1374–1375</w:t>
      </w:r>
      <w:r>
        <w:rPr>
          <w:spacing w:val="-2"/>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160598</wp:posOffset>
            </wp:positionV>
            <wp:extent cx="107988" cy="107988"/>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49" w:id="751"/>
      <w:bookmarkEnd w:id="751"/>
      <w:r>
        <w:rPr/>
      </w:r>
      <w:hyperlink w:history="true" w:anchor="_bookmark690">
        <w:r>
          <w:rPr>
            <w:color w:val="005DA1"/>
            <w:spacing w:val="-4"/>
            <w:sz w:val="14"/>
            <w:u w:val="single" w:color="005DA1"/>
          </w:rPr>
          <w:t>365</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Galoo v Bright Grahame Murray [1994] 1 W.L.R. 1360</w:t>
      </w:r>
      <w:r>
        <w:rPr>
          <w:sz w:val="20"/>
        </w:rPr>
        <w:t>; </w:t>
      </w:r>
      <w:r>
        <w:rPr>
          <w:rFonts w:ascii="Arial" w:hAnsi="Arial"/>
          <w:i/>
          <w:sz w:val="20"/>
        </w:rPr>
        <w:t>Racing Drivers’ Club Ltd v Hextall Erskine &amp; Co [1996] 3 All E.R. 667, 671–672, 681–682</w:t>
      </w:r>
      <w:r>
        <w:rPr>
          <w:sz w:val="20"/>
        </w:rPr>
        <w:t>. See also </w:t>
      </w:r>
      <w:r>
        <w:rPr>
          <w:rFonts w:ascii="Arial" w:hAnsi="Arial"/>
          <w:i/>
          <w:sz w:val="20"/>
        </w:rPr>
        <w:t>County Ltd v Girozentrale Securities [1996] 3 All E.R. 834 CA </w:t>
      </w:r>
      <w:r>
        <w:rPr>
          <w:sz w:val="20"/>
        </w:rPr>
        <w:t>(causation does not depend on the parties’ </w:t>
      </w:r>
      <w:r>
        <w:rPr>
          <w:sz w:val="20"/>
        </w:rPr>
        <w:t>contemplation). In </w:t>
      </w:r>
      <w:r>
        <w:rPr>
          <w:rFonts w:ascii="Arial" w:hAnsi="Arial"/>
          <w:i/>
          <w:sz w:val="20"/>
        </w:rPr>
        <w:t>Environment Agency v Empress Car Co (Abertillery) Ltd [1999] 2 A.C. 22, 31 </w:t>
      </w:r>
      <w:r>
        <w:rPr>
          <w:sz w:val="20"/>
        </w:rPr>
        <w:t>Lord Hoffmann said “One cannot give a common sense answer to a question of causation for the purpose of attributing responsibility under some rule without knowing the purpose and scope of the rule”. That was not a contract case but the dictum is applicable to contract cases: e.g. </w:t>
      </w:r>
      <w:r>
        <w:rPr>
          <w:rFonts w:ascii="Arial" w:hAnsi="Arial"/>
          <w:i/>
          <w:sz w:val="20"/>
        </w:rPr>
        <w:t>IG Index Ltd v Ehrentreu [2015] EWHC 3390 (QB) </w:t>
      </w:r>
      <w:r>
        <w:rPr>
          <w:sz w:val="20"/>
        </w:rPr>
        <w:t>at [110] (purpose of contractual obligation considered).</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spacing w:line="235" w:lineRule="auto" w:before="0"/>
        <w:ind w:left="705" w:right="168" w:hanging="541"/>
        <w:jc w:val="both"/>
        <w:rPr>
          <w:sz w:val="20"/>
        </w:rPr>
      </w:pPr>
      <w:bookmarkStart w:name="_bookmark750" w:id="752"/>
      <w:bookmarkEnd w:id="752"/>
      <w:r>
        <w:rPr/>
      </w:r>
      <w:hyperlink w:history="true" w:anchor="_bookmark691">
        <w:r>
          <w:rPr>
            <w:color w:val="005DA1"/>
            <w:position w:val="5"/>
            <w:sz w:val="14"/>
            <w:u w:val="single" w:color="005DA1"/>
          </w:rPr>
          <w:t>366</w:t>
        </w:r>
      </w:hyperlink>
      <w:r>
        <w:rPr>
          <w:position w:val="5"/>
          <w:sz w:val="14"/>
        </w:rPr>
        <w:t>.</w:t>
      </w:r>
      <w:r>
        <w:rPr>
          <w:spacing w:val="80"/>
          <w:position w:val="5"/>
          <w:sz w:val="14"/>
        </w:rPr>
        <w:t> </w:t>
      </w:r>
      <w:r>
        <w:rPr>
          <w:sz w:val="20"/>
        </w:rPr>
        <w:t>The </w:t>
      </w:r>
      <w:r>
        <w:rPr>
          <w:rFonts w:ascii="Arial" w:hAnsi="Arial"/>
          <w:i/>
          <w:sz w:val="20"/>
        </w:rPr>
        <w:t>Galoo case [1994] 1 W.L.R. 1360, 1375</w:t>
      </w:r>
      <w:r>
        <w:rPr>
          <w:sz w:val="20"/>
        </w:rPr>
        <w:t>. The contrast between the “occasion” (or “opportunity”) and the “cause” is also made in </w:t>
      </w:r>
      <w:r>
        <w:rPr>
          <w:rFonts w:ascii="Arial" w:hAnsi="Arial"/>
          <w:i/>
          <w:sz w:val="20"/>
        </w:rPr>
        <w:t>Quinn v Burch Bros (Builders) Ltd [1966] 2 </w:t>
      </w:r>
      <w:r>
        <w:rPr>
          <w:rFonts w:ascii="Arial" w:hAnsi="Arial"/>
          <w:i/>
          <w:sz w:val="20"/>
        </w:rPr>
        <w:t>Q.B. 370 </w:t>
      </w:r>
      <w:r>
        <w:rPr>
          <w:sz w:val="20"/>
        </w:rPr>
        <w:t>(below, para.26-063).</w:t>
      </w:r>
    </w:p>
    <w:p>
      <w:pPr>
        <w:spacing w:after="0" w:line="235" w:lineRule="auto"/>
        <w:jc w:val="both"/>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692">
        <w:r>
          <w:rPr>
            <w:color w:val="005DA1"/>
            <w:spacing w:val="-4"/>
            <w:position w:val="5"/>
            <w:sz w:val="14"/>
            <w:u w:val="single" w:color="005DA1"/>
          </w:rPr>
          <w:t>367</w:t>
        </w:r>
      </w:hyperlink>
      <w:r>
        <w:rPr>
          <w:spacing w:val="-4"/>
          <w:position w:val="5"/>
          <w:sz w:val="14"/>
        </w:rPr>
        <w:t>.</w:t>
      </w:r>
      <w:r>
        <w:rPr>
          <w:position w:val="5"/>
          <w:sz w:val="14"/>
        </w:rPr>
        <w:tab/>
      </w:r>
      <w:r>
        <w:rPr/>
        <w:t>See below, paras 26-069—26-</w:t>
      </w:r>
      <w:r>
        <w:rPr>
          <w:spacing w:val="-4"/>
        </w:rPr>
        <w:t>070.</w:t>
      </w:r>
    </w:p>
    <w:p>
      <w:pPr>
        <w:pStyle w:val="BodyText"/>
        <w:spacing w:before="9"/>
      </w:pPr>
    </w:p>
    <w:p>
      <w:pPr>
        <w:spacing w:line="235" w:lineRule="auto" w:before="0"/>
        <w:ind w:left="705" w:right="168" w:hanging="541"/>
        <w:jc w:val="both"/>
        <w:rPr>
          <w:sz w:val="20"/>
        </w:rPr>
      </w:pPr>
      <w:bookmarkStart w:name="_bookmark751" w:id="753"/>
      <w:bookmarkEnd w:id="753"/>
      <w:r>
        <w:rPr/>
      </w:r>
      <w:hyperlink w:history="true" w:anchor="_bookmark693">
        <w:r>
          <w:rPr>
            <w:color w:val="005DA1"/>
            <w:position w:val="5"/>
            <w:sz w:val="14"/>
            <w:u w:val="single" w:color="005DA1"/>
          </w:rPr>
          <w:t>368</w:t>
        </w:r>
      </w:hyperlink>
      <w:r>
        <w:rPr>
          <w:position w:val="5"/>
          <w:sz w:val="14"/>
        </w:rPr>
        <w:t>.</w:t>
      </w:r>
      <w:r>
        <w:rPr>
          <w:spacing w:val="80"/>
          <w:position w:val="5"/>
          <w:sz w:val="14"/>
        </w:rPr>
        <w:t>  </w:t>
      </w:r>
      <w:r>
        <w:rPr>
          <w:rFonts w:ascii="Arial"/>
          <w:i/>
          <w:sz w:val="20"/>
        </w:rPr>
        <w:t>Cook</w:t>
      </w:r>
      <w:r>
        <w:rPr>
          <w:rFonts w:ascii="Arial"/>
          <w:i/>
          <w:spacing w:val="-2"/>
          <w:sz w:val="20"/>
        </w:rPr>
        <w:t> </w:t>
      </w:r>
      <w:r>
        <w:rPr>
          <w:rFonts w:ascii="Arial"/>
          <w:i/>
          <w:sz w:val="20"/>
        </w:rPr>
        <w:t>v</w:t>
      </w:r>
      <w:r>
        <w:rPr>
          <w:rFonts w:ascii="Arial"/>
          <w:i/>
          <w:spacing w:val="-2"/>
          <w:sz w:val="20"/>
        </w:rPr>
        <w:t> </w:t>
      </w:r>
      <w:r>
        <w:rPr>
          <w:rFonts w:ascii="Arial"/>
          <w:i/>
          <w:sz w:val="20"/>
        </w:rPr>
        <w:t>S.</w:t>
      </w:r>
      <w:r>
        <w:rPr>
          <w:rFonts w:ascii="Arial"/>
          <w:i/>
          <w:spacing w:val="-2"/>
          <w:sz w:val="20"/>
        </w:rPr>
        <w:t> </w:t>
      </w:r>
      <w:r>
        <w:rPr>
          <w:rFonts w:ascii="Arial"/>
          <w:i/>
          <w:sz w:val="20"/>
        </w:rPr>
        <w:t>[1966]</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635,</w:t>
      </w:r>
      <w:r>
        <w:rPr>
          <w:rFonts w:ascii="Arial"/>
          <w:i/>
          <w:spacing w:val="-2"/>
          <w:sz w:val="20"/>
        </w:rPr>
        <w:t> </w:t>
      </w:r>
      <w:r>
        <w:rPr>
          <w:rFonts w:ascii="Arial"/>
          <w:i/>
          <w:sz w:val="20"/>
        </w:rPr>
        <w:t>642</w:t>
      </w:r>
      <w:r>
        <w:rPr>
          <w:rFonts w:ascii="Arial"/>
          <w:i/>
          <w:spacing w:val="-3"/>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did</w:t>
      </w:r>
      <w:r>
        <w:rPr>
          <w:spacing w:val="-2"/>
          <w:sz w:val="20"/>
        </w:rPr>
        <w:t> </w:t>
      </w:r>
      <w:r>
        <w:rPr>
          <w:sz w:val="20"/>
        </w:rPr>
        <w:t>not</w:t>
      </w:r>
      <w:r>
        <w:rPr>
          <w:spacing w:val="-2"/>
          <w:sz w:val="20"/>
        </w:rPr>
        <w:t> </w:t>
      </w:r>
      <w:r>
        <w:rPr>
          <w:sz w:val="20"/>
        </w:rPr>
        <w:t>discuss</w:t>
      </w:r>
      <w:r>
        <w:rPr>
          <w:spacing w:val="-2"/>
          <w:sz w:val="20"/>
        </w:rPr>
        <w:t> </w:t>
      </w:r>
      <w:r>
        <w:rPr>
          <w:sz w:val="20"/>
        </w:rPr>
        <w:t>this</w:t>
      </w:r>
      <w:r>
        <w:rPr>
          <w:spacing w:val="-2"/>
          <w:sz w:val="20"/>
        </w:rPr>
        <w:t> </w:t>
      </w:r>
      <w:r>
        <w:rPr>
          <w:sz w:val="20"/>
        </w:rPr>
        <w:t>aspect</w:t>
      </w:r>
      <w:r>
        <w:rPr>
          <w:spacing w:val="-2"/>
          <w:sz w:val="20"/>
        </w:rPr>
        <w:t> </w:t>
      </w:r>
      <w:r>
        <w:rPr>
          <w:sz w:val="20"/>
        </w:rPr>
        <w:t>of</w:t>
      </w:r>
      <w:r>
        <w:rPr>
          <w:spacing w:val="-2"/>
          <w:sz w:val="20"/>
        </w:rPr>
        <w:t> </w:t>
      </w:r>
      <w:r>
        <w:rPr>
          <w:sz w:val="20"/>
        </w:rPr>
        <w:t>the</w:t>
      </w:r>
      <w:r>
        <w:rPr>
          <w:spacing w:val="-2"/>
          <w:sz w:val="20"/>
        </w:rPr>
        <w:t> </w:t>
      </w:r>
      <w:r>
        <w:rPr>
          <w:sz w:val="20"/>
        </w:rPr>
        <w:t>case: </w:t>
      </w:r>
      <w:r>
        <w:rPr>
          <w:rFonts w:ascii="Arial"/>
          <w:i/>
          <w:sz w:val="20"/>
        </w:rPr>
        <w:t>[1967] 1 W.L.R. 457</w:t>
      </w:r>
      <w:r>
        <w:rPr>
          <w:sz w:val="20"/>
        </w:rPr>
        <w:t>). cf. </w:t>
      </w:r>
      <w:r>
        <w:rPr>
          <w:rFonts w:ascii="Arial"/>
          <w:i/>
          <w:sz w:val="20"/>
        </w:rPr>
        <w:t>East Ham Corp v Bernard Sunley &amp; Sons Ltd [1966] A.C. 406 </w:t>
      </w:r>
      <w:r>
        <w:rPr>
          <w:sz w:val="20"/>
        </w:rPr>
        <w:t>(failure of architect to notice defective work by builder).</w:t>
      </w:r>
    </w:p>
    <w:p>
      <w:pPr>
        <w:pStyle w:val="BodyText"/>
        <w:spacing w:before="9"/>
      </w:pPr>
    </w:p>
    <w:p>
      <w:pPr>
        <w:tabs>
          <w:tab w:pos="705" w:val="left" w:leader="none"/>
        </w:tabs>
        <w:spacing w:line="235" w:lineRule="auto" w:before="0"/>
        <w:ind w:left="705" w:right="167" w:hanging="541"/>
        <w:jc w:val="left"/>
        <w:rPr>
          <w:sz w:val="20"/>
        </w:rPr>
      </w:pPr>
      <w:bookmarkStart w:name="_bookmark752" w:id="754"/>
      <w:bookmarkEnd w:id="754"/>
      <w:r>
        <w:rPr/>
      </w:r>
      <w:hyperlink w:history="true" w:anchor="_bookmark694">
        <w:r>
          <w:rPr>
            <w:color w:val="005DA1"/>
            <w:spacing w:val="-4"/>
            <w:position w:val="5"/>
            <w:sz w:val="14"/>
            <w:u w:val="single" w:color="005DA1"/>
          </w:rPr>
          <w:t>369</w:t>
        </w:r>
      </w:hyperlink>
      <w:r>
        <w:rPr>
          <w:spacing w:val="-4"/>
          <w:position w:val="5"/>
          <w:sz w:val="14"/>
        </w:rPr>
        <w:t>.</w:t>
      </w:r>
      <w:r>
        <w:rPr>
          <w:position w:val="5"/>
          <w:sz w:val="14"/>
        </w:rPr>
        <w:tab/>
      </w:r>
      <w:r>
        <w:rPr>
          <w:rFonts w:ascii="Arial" w:hAnsi="Arial"/>
          <w:i/>
          <w:sz w:val="20"/>
        </w:rPr>
        <w:t>Bank of Nova Scotia v Hellenic Mutual War Risks Association (Bermuda) Ltd [1992] 1 A.C. 233, </w:t>
      </w:r>
      <w:r>
        <w:rPr>
          <w:rFonts w:ascii="Arial" w:hAnsi="Arial"/>
          <w:i/>
          <w:spacing w:val="-2"/>
          <w:sz w:val="20"/>
        </w:rPr>
        <w:t>266–268</w:t>
      </w:r>
      <w:r>
        <w:rPr>
          <w:spacing w:val="-2"/>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753" w:id="755"/>
      <w:bookmarkEnd w:id="755"/>
      <w:r>
        <w:rPr/>
      </w:r>
      <w:hyperlink w:history="true" w:anchor="_bookmark695">
        <w:r>
          <w:rPr>
            <w:color w:val="005DA1"/>
            <w:spacing w:val="-4"/>
            <w:position w:val="5"/>
            <w:sz w:val="14"/>
            <w:u w:val="single" w:color="005DA1"/>
          </w:rPr>
          <w:t>370</w:t>
        </w:r>
      </w:hyperlink>
      <w:r>
        <w:rPr>
          <w:spacing w:val="-4"/>
          <w:position w:val="5"/>
          <w:sz w:val="14"/>
        </w:rPr>
        <w:t>.</w:t>
      </w:r>
      <w:r>
        <w:rPr>
          <w:position w:val="5"/>
          <w:sz w:val="14"/>
        </w:rPr>
        <w:tab/>
      </w:r>
      <w:r>
        <w:rPr>
          <w:rFonts w:ascii="Arial"/>
          <w:i/>
          <w:sz w:val="20"/>
        </w:rPr>
        <w:t>London</w:t>
      </w:r>
      <w:r>
        <w:rPr>
          <w:rFonts w:ascii="Arial"/>
          <w:i/>
          <w:spacing w:val="30"/>
          <w:sz w:val="20"/>
        </w:rPr>
        <w:t> </w:t>
      </w:r>
      <w:r>
        <w:rPr>
          <w:rFonts w:ascii="Arial"/>
          <w:i/>
          <w:sz w:val="20"/>
        </w:rPr>
        <w:t>Joint</w:t>
      </w:r>
      <w:r>
        <w:rPr>
          <w:rFonts w:ascii="Arial"/>
          <w:i/>
          <w:spacing w:val="30"/>
          <w:sz w:val="20"/>
        </w:rPr>
        <w:t> </w:t>
      </w:r>
      <w:r>
        <w:rPr>
          <w:rFonts w:ascii="Arial"/>
          <w:i/>
          <w:sz w:val="20"/>
        </w:rPr>
        <w:t>Stock</w:t>
      </w:r>
      <w:r>
        <w:rPr>
          <w:rFonts w:ascii="Arial"/>
          <w:i/>
          <w:spacing w:val="30"/>
          <w:sz w:val="20"/>
        </w:rPr>
        <w:t> </w:t>
      </w:r>
      <w:r>
        <w:rPr>
          <w:rFonts w:ascii="Arial"/>
          <w:i/>
          <w:sz w:val="20"/>
        </w:rPr>
        <w:t>Bank</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Macmillan</w:t>
      </w:r>
      <w:r>
        <w:rPr>
          <w:rFonts w:ascii="Arial"/>
          <w:i/>
          <w:spacing w:val="30"/>
          <w:sz w:val="20"/>
        </w:rPr>
        <w:t> </w:t>
      </w:r>
      <w:r>
        <w:rPr>
          <w:rFonts w:ascii="Arial"/>
          <w:i/>
          <w:sz w:val="20"/>
        </w:rPr>
        <w:t>[1918]</w:t>
      </w:r>
      <w:r>
        <w:rPr>
          <w:rFonts w:ascii="Arial"/>
          <w:i/>
          <w:spacing w:val="30"/>
          <w:sz w:val="20"/>
        </w:rPr>
        <w:t> </w:t>
      </w:r>
      <w:r>
        <w:rPr>
          <w:rFonts w:ascii="Arial"/>
          <w:i/>
          <w:sz w:val="20"/>
        </w:rPr>
        <w:t>A.C.</w:t>
      </w:r>
      <w:r>
        <w:rPr>
          <w:rFonts w:ascii="Arial"/>
          <w:i/>
          <w:spacing w:val="30"/>
          <w:sz w:val="20"/>
        </w:rPr>
        <w:t> </w:t>
      </w:r>
      <w:r>
        <w:rPr>
          <w:rFonts w:ascii="Arial"/>
          <w:i/>
          <w:sz w:val="20"/>
        </w:rPr>
        <w:t>777</w:t>
      </w:r>
      <w:r>
        <w:rPr>
          <w:sz w:val="20"/>
        </w:rPr>
        <w:t>.</w:t>
      </w:r>
      <w:r>
        <w:rPr>
          <w:spacing w:val="30"/>
          <w:sz w:val="20"/>
        </w:rPr>
        <w:t> </w:t>
      </w:r>
      <w:r>
        <w:rPr>
          <w:sz w:val="20"/>
        </w:rPr>
        <w:t>See</w:t>
      </w:r>
      <w:r>
        <w:rPr>
          <w:spacing w:val="30"/>
          <w:sz w:val="20"/>
        </w:rPr>
        <w:t> </w:t>
      </w:r>
      <w:r>
        <w:rPr>
          <w:sz w:val="20"/>
        </w:rPr>
        <w:t>also</w:t>
      </w:r>
      <w:r>
        <w:rPr>
          <w:spacing w:val="30"/>
          <w:sz w:val="20"/>
        </w:rPr>
        <w:t> </w:t>
      </w:r>
      <w:r>
        <w:rPr>
          <w:rFonts w:ascii="Arial"/>
          <w:i/>
          <w:sz w:val="20"/>
        </w:rPr>
        <w:t>De</w:t>
      </w:r>
      <w:r>
        <w:rPr>
          <w:rFonts w:ascii="Arial"/>
          <w:i/>
          <w:spacing w:val="30"/>
          <w:sz w:val="20"/>
        </w:rPr>
        <w:t> </w:t>
      </w:r>
      <w:r>
        <w:rPr>
          <w:rFonts w:ascii="Arial"/>
          <w:i/>
          <w:sz w:val="20"/>
        </w:rPr>
        <w:t>la</w:t>
      </w:r>
      <w:r>
        <w:rPr>
          <w:rFonts w:ascii="Arial"/>
          <w:i/>
          <w:spacing w:val="30"/>
          <w:sz w:val="20"/>
        </w:rPr>
        <w:t> </w:t>
      </w:r>
      <w:r>
        <w:rPr>
          <w:rFonts w:ascii="Arial"/>
          <w:i/>
          <w:sz w:val="20"/>
        </w:rPr>
        <w:t>Bere</w:t>
      </w:r>
      <w:r>
        <w:rPr>
          <w:rFonts w:ascii="Arial"/>
          <w:i/>
          <w:spacing w:val="30"/>
          <w:sz w:val="20"/>
        </w:rPr>
        <w:t> </w:t>
      </w:r>
      <w:r>
        <w:rPr>
          <w:rFonts w:ascii="Arial"/>
          <w:i/>
          <w:sz w:val="20"/>
        </w:rPr>
        <w:t>v</w:t>
      </w:r>
      <w:r>
        <w:rPr>
          <w:rFonts w:ascii="Arial"/>
          <w:i/>
          <w:spacing w:val="30"/>
          <w:sz w:val="20"/>
        </w:rPr>
        <w:t> </w:t>
      </w:r>
      <w:r>
        <w:rPr>
          <w:rFonts w:ascii="Arial"/>
          <w:i/>
          <w:sz w:val="20"/>
        </w:rPr>
        <w:t>Pearson [1908]</w:t>
      </w:r>
      <w:r>
        <w:rPr>
          <w:rFonts w:ascii="Arial"/>
          <w:i/>
          <w:spacing w:val="26"/>
          <w:sz w:val="20"/>
        </w:rPr>
        <w:t> </w:t>
      </w:r>
      <w:r>
        <w:rPr>
          <w:rFonts w:ascii="Arial"/>
          <w:i/>
          <w:sz w:val="20"/>
        </w:rPr>
        <w:t>1</w:t>
      </w:r>
      <w:r>
        <w:rPr>
          <w:rFonts w:ascii="Arial"/>
          <w:i/>
          <w:spacing w:val="27"/>
          <w:sz w:val="20"/>
        </w:rPr>
        <w:t> </w:t>
      </w:r>
      <w:r>
        <w:rPr>
          <w:rFonts w:ascii="Arial"/>
          <w:i/>
          <w:sz w:val="20"/>
        </w:rPr>
        <w:t>K.B.</w:t>
      </w:r>
      <w:r>
        <w:rPr>
          <w:rFonts w:ascii="Arial"/>
          <w:i/>
          <w:spacing w:val="27"/>
          <w:sz w:val="20"/>
        </w:rPr>
        <w:t> </w:t>
      </w:r>
      <w:r>
        <w:rPr>
          <w:rFonts w:ascii="Arial"/>
          <w:i/>
          <w:sz w:val="20"/>
        </w:rPr>
        <w:t>280</w:t>
      </w:r>
      <w:r>
        <w:rPr>
          <w:sz w:val="20"/>
        </w:rPr>
        <w:t>;</w:t>
      </w:r>
      <w:r>
        <w:rPr>
          <w:spacing w:val="27"/>
          <w:sz w:val="20"/>
        </w:rPr>
        <w:t> </w:t>
      </w:r>
      <w:r>
        <w:rPr>
          <w:rFonts w:ascii="Arial"/>
          <w:i/>
          <w:sz w:val="20"/>
        </w:rPr>
        <w:t>Stansbie</w:t>
      </w:r>
      <w:r>
        <w:rPr>
          <w:rFonts w:ascii="Arial"/>
          <w:i/>
          <w:spacing w:val="27"/>
          <w:sz w:val="20"/>
        </w:rPr>
        <w:t> </w:t>
      </w:r>
      <w:r>
        <w:rPr>
          <w:rFonts w:ascii="Arial"/>
          <w:i/>
          <w:sz w:val="20"/>
        </w:rPr>
        <w:t>v</w:t>
      </w:r>
      <w:r>
        <w:rPr>
          <w:rFonts w:ascii="Arial"/>
          <w:i/>
          <w:spacing w:val="27"/>
          <w:sz w:val="20"/>
        </w:rPr>
        <w:t> </w:t>
      </w:r>
      <w:r>
        <w:rPr>
          <w:rFonts w:ascii="Arial"/>
          <w:i/>
          <w:sz w:val="20"/>
        </w:rPr>
        <w:t>Troman</w:t>
      </w:r>
      <w:r>
        <w:rPr>
          <w:rFonts w:ascii="Arial"/>
          <w:i/>
          <w:spacing w:val="27"/>
          <w:sz w:val="20"/>
        </w:rPr>
        <w:t> </w:t>
      </w:r>
      <w:r>
        <w:rPr>
          <w:rFonts w:ascii="Arial"/>
          <w:i/>
          <w:sz w:val="20"/>
        </w:rPr>
        <w:t>[1948]</w:t>
      </w:r>
      <w:r>
        <w:rPr>
          <w:rFonts w:ascii="Arial"/>
          <w:i/>
          <w:spacing w:val="27"/>
          <w:sz w:val="20"/>
        </w:rPr>
        <w:t> </w:t>
      </w:r>
      <w:r>
        <w:rPr>
          <w:rFonts w:ascii="Arial"/>
          <w:i/>
          <w:sz w:val="20"/>
        </w:rPr>
        <w:t>2</w:t>
      </w:r>
      <w:r>
        <w:rPr>
          <w:rFonts w:ascii="Arial"/>
          <w:i/>
          <w:spacing w:val="26"/>
          <w:sz w:val="20"/>
        </w:rPr>
        <w:t> </w:t>
      </w:r>
      <w:r>
        <w:rPr>
          <w:rFonts w:ascii="Arial"/>
          <w:i/>
          <w:sz w:val="20"/>
        </w:rPr>
        <w:t>K.B.</w:t>
      </w:r>
      <w:r>
        <w:rPr>
          <w:rFonts w:ascii="Arial"/>
          <w:i/>
          <w:spacing w:val="27"/>
          <w:sz w:val="20"/>
        </w:rPr>
        <w:t> </w:t>
      </w:r>
      <w:r>
        <w:rPr>
          <w:rFonts w:ascii="Arial"/>
          <w:i/>
          <w:sz w:val="20"/>
        </w:rPr>
        <w:t>48</w:t>
      </w:r>
      <w:r>
        <w:rPr>
          <w:sz w:val="20"/>
        </w:rPr>
        <w:t>;</w:t>
      </w:r>
      <w:r>
        <w:rPr>
          <w:spacing w:val="27"/>
          <w:sz w:val="20"/>
        </w:rPr>
        <w:t> </w:t>
      </w:r>
      <w:r>
        <w:rPr>
          <w:rFonts w:ascii="Arial"/>
          <w:i/>
          <w:sz w:val="20"/>
        </w:rPr>
        <w:t>Marshall</w:t>
      </w:r>
      <w:r>
        <w:rPr>
          <w:rFonts w:ascii="Arial"/>
          <w:i/>
          <w:spacing w:val="27"/>
          <w:sz w:val="20"/>
        </w:rPr>
        <w:t> </w:t>
      </w:r>
      <w:r>
        <w:rPr>
          <w:rFonts w:ascii="Arial"/>
          <w:i/>
          <w:sz w:val="20"/>
        </w:rPr>
        <w:t>v</w:t>
      </w:r>
      <w:r>
        <w:rPr>
          <w:rFonts w:ascii="Arial"/>
          <w:i/>
          <w:spacing w:val="27"/>
          <w:sz w:val="20"/>
        </w:rPr>
        <w:t> </w:t>
      </w:r>
      <w:r>
        <w:rPr>
          <w:rFonts w:ascii="Arial"/>
          <w:i/>
          <w:sz w:val="20"/>
        </w:rPr>
        <w:t>Rubypoint</w:t>
      </w:r>
      <w:r>
        <w:rPr>
          <w:rFonts w:ascii="Arial"/>
          <w:i/>
          <w:spacing w:val="27"/>
          <w:sz w:val="20"/>
        </w:rPr>
        <w:t> </w:t>
      </w:r>
      <w:r>
        <w:rPr>
          <w:rFonts w:ascii="Arial"/>
          <w:i/>
          <w:sz w:val="20"/>
        </w:rPr>
        <w:t>Ltd</w:t>
      </w:r>
      <w:r>
        <w:rPr>
          <w:rFonts w:ascii="Arial"/>
          <w:i/>
          <w:spacing w:val="27"/>
          <w:sz w:val="20"/>
        </w:rPr>
        <w:t> </w:t>
      </w:r>
      <w:r>
        <w:rPr>
          <w:rFonts w:ascii="Arial"/>
          <w:i/>
          <w:sz w:val="20"/>
        </w:rPr>
        <w:t>[1997]</w:t>
      </w:r>
      <w:r>
        <w:rPr>
          <w:rFonts w:ascii="Arial"/>
          <w:i/>
          <w:spacing w:val="27"/>
          <w:sz w:val="20"/>
        </w:rPr>
        <w:t> </w:t>
      </w:r>
      <w:r>
        <w:rPr>
          <w:rFonts w:ascii="Arial"/>
          <w:i/>
          <w:spacing w:val="-7"/>
          <w:sz w:val="20"/>
        </w:rPr>
        <w:t>25</w:t>
      </w:r>
    </w:p>
    <w:p>
      <w:pPr>
        <w:spacing w:line="225" w:lineRule="exact" w:before="0"/>
        <w:ind w:left="705" w:right="0" w:firstLine="0"/>
        <w:jc w:val="left"/>
        <w:rPr>
          <w:sz w:val="20"/>
        </w:rPr>
      </w:pPr>
      <w:r>
        <w:rPr>
          <w:rFonts w:ascii="Arial"/>
          <w:i/>
          <w:sz w:val="20"/>
        </w:rPr>
        <w:t>E.G. 142</w:t>
      </w:r>
      <w:r>
        <w:rPr>
          <w:sz w:val="20"/>
        </w:rPr>
        <w:t>; cf. </w:t>
      </w:r>
      <w:r>
        <w:rPr>
          <w:rFonts w:ascii="Arial"/>
          <w:i/>
          <w:sz w:val="20"/>
        </w:rPr>
        <w:t>Cobb v G.W. Ry [1894] A.C. </w:t>
      </w:r>
      <w:r>
        <w:rPr>
          <w:rFonts w:ascii="Arial"/>
          <w:i/>
          <w:spacing w:val="-4"/>
          <w:sz w:val="20"/>
        </w:rPr>
        <w:t>419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54" w:id="756"/>
      <w:bookmarkEnd w:id="756"/>
      <w:r>
        <w:rPr/>
      </w:r>
      <w:hyperlink w:history="true" w:anchor="_bookmark696">
        <w:r>
          <w:rPr>
            <w:color w:val="005DA1"/>
            <w:spacing w:val="-4"/>
            <w:position w:val="5"/>
            <w:sz w:val="14"/>
            <w:u w:val="single" w:color="005DA1"/>
          </w:rPr>
          <w:t>371</w:t>
        </w:r>
      </w:hyperlink>
      <w:r>
        <w:rPr>
          <w:spacing w:val="-4"/>
          <w:position w:val="5"/>
          <w:sz w:val="14"/>
        </w:rPr>
        <w:t>.</w:t>
      </w:r>
      <w:r>
        <w:rPr>
          <w:position w:val="5"/>
          <w:sz w:val="14"/>
        </w:rPr>
        <w:tab/>
      </w:r>
      <w:r>
        <w:rPr>
          <w:rFonts w:ascii="Arial"/>
          <w:i/>
          <w:sz w:val="20"/>
        </w:rPr>
        <w:t>London Joint Stock Bank Ltd v Macmillan [1918] A.C. </w:t>
      </w:r>
      <w:r>
        <w:rPr>
          <w:rFonts w:ascii="Arial"/>
          <w:i/>
          <w:spacing w:val="-4"/>
          <w:sz w:val="20"/>
        </w:rPr>
        <w:t>777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55" w:id="757"/>
      <w:bookmarkEnd w:id="757"/>
      <w:r>
        <w:rPr/>
      </w:r>
      <w:hyperlink w:history="true" w:anchor="_bookmark697">
        <w:r>
          <w:rPr>
            <w:color w:val="005DA1"/>
            <w:spacing w:val="-4"/>
            <w:position w:val="5"/>
            <w:sz w:val="14"/>
            <w:u w:val="single" w:color="005DA1"/>
          </w:rPr>
          <w:t>372</w:t>
        </w:r>
      </w:hyperlink>
      <w:r>
        <w:rPr>
          <w:spacing w:val="-4"/>
          <w:position w:val="5"/>
          <w:sz w:val="14"/>
        </w:rPr>
        <w:t>.</w:t>
      </w:r>
      <w:r>
        <w:rPr>
          <w:position w:val="5"/>
          <w:sz w:val="14"/>
        </w:rPr>
        <w:tab/>
      </w:r>
      <w:r>
        <w:rPr>
          <w:rFonts w:ascii="Arial"/>
          <w:i/>
          <w:sz w:val="20"/>
        </w:rPr>
        <w:t>[1918]</w:t>
      </w:r>
      <w:r>
        <w:rPr>
          <w:rFonts w:ascii="Arial"/>
          <w:i/>
          <w:spacing w:val="-1"/>
          <w:sz w:val="20"/>
        </w:rPr>
        <w:t> </w:t>
      </w:r>
      <w:r>
        <w:rPr>
          <w:rFonts w:ascii="Arial"/>
          <w:i/>
          <w:sz w:val="20"/>
        </w:rPr>
        <w:t>A.C. 777, 794</w:t>
      </w:r>
      <w:r>
        <w:rPr>
          <w:sz w:val="20"/>
        </w:rPr>
        <w:t>. See also the cases cited in n.339, </w:t>
      </w:r>
      <w:r>
        <w:rPr>
          <w:spacing w:val="-2"/>
          <w:sz w:val="20"/>
        </w:rPr>
        <w:t>above.</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756" w:id="758"/>
      <w:bookmarkEnd w:id="758"/>
      <w:r>
        <w:rPr/>
      </w:r>
      <w:hyperlink w:history="true" w:anchor="_bookmark698">
        <w:r>
          <w:rPr>
            <w:color w:val="005DA1"/>
            <w:spacing w:val="-4"/>
            <w:sz w:val="14"/>
            <w:u w:val="single" w:color="005DA1"/>
          </w:rPr>
          <w:t>373</w:t>
        </w:r>
      </w:hyperlink>
      <w:r>
        <w:rPr>
          <w:spacing w:val="-4"/>
          <w:sz w:val="14"/>
        </w:rPr>
        <w:t>.</w:t>
      </w:r>
    </w:p>
    <w:p>
      <w:pPr>
        <w:pStyle w:val="BodyText"/>
        <w:spacing w:line="227" w:lineRule="exact" w:before="209"/>
        <w:ind w:left="335"/>
      </w:pPr>
      <w:r>
        <w:rPr/>
        <w:br w:type="column"/>
      </w:r>
      <w:r>
        <w:rPr>
          <w:rFonts w:ascii="Arial"/>
          <w:i/>
        </w:rPr>
        <w:t>[1920]</w:t>
      </w:r>
      <w:r>
        <w:rPr>
          <w:rFonts w:ascii="Arial"/>
          <w:i/>
          <w:spacing w:val="13"/>
        </w:rPr>
        <w:t> </w:t>
      </w:r>
      <w:r>
        <w:rPr>
          <w:rFonts w:ascii="Arial"/>
          <w:i/>
        </w:rPr>
        <w:t>A.C.</w:t>
      </w:r>
      <w:r>
        <w:rPr>
          <w:rFonts w:ascii="Arial"/>
          <w:i/>
          <w:spacing w:val="13"/>
        </w:rPr>
        <w:t> </w:t>
      </w:r>
      <w:r>
        <w:rPr>
          <w:rFonts w:ascii="Arial"/>
          <w:i/>
        </w:rPr>
        <w:t>956</w:t>
      </w:r>
      <w:r>
        <w:rPr>
          <w:rFonts w:ascii="Arial"/>
          <w:i/>
          <w:spacing w:val="13"/>
        </w:rPr>
        <w:t> </w:t>
      </w:r>
      <w:r>
        <w:rPr/>
        <w:t>(some</w:t>
      </w:r>
      <w:r>
        <w:rPr>
          <w:spacing w:val="13"/>
        </w:rPr>
        <w:t> </w:t>
      </w:r>
      <w:r>
        <w:rPr/>
        <w:t>intervening</w:t>
      </w:r>
      <w:r>
        <w:rPr>
          <w:spacing w:val="13"/>
        </w:rPr>
        <w:t> </w:t>
      </w:r>
      <w:r>
        <w:rPr/>
        <w:t>act</w:t>
      </w:r>
      <w:r>
        <w:rPr>
          <w:spacing w:val="13"/>
        </w:rPr>
        <w:t> </w:t>
      </w:r>
      <w:r>
        <w:rPr/>
        <w:t>was</w:t>
      </w:r>
      <w:r>
        <w:rPr>
          <w:spacing w:val="13"/>
        </w:rPr>
        <w:t> </w:t>
      </w:r>
      <w:r>
        <w:rPr/>
        <w:t>foreseeable:</w:t>
      </w:r>
      <w:r>
        <w:rPr>
          <w:spacing w:val="13"/>
        </w:rPr>
        <w:t> </w:t>
      </w:r>
      <w:r>
        <w:rPr/>
        <w:t>see</w:t>
      </w:r>
      <w:r>
        <w:rPr>
          <w:spacing w:val="13"/>
        </w:rPr>
        <w:t> </w:t>
      </w:r>
      <w:r>
        <w:rPr/>
        <w:t>at</w:t>
      </w:r>
      <w:r>
        <w:rPr>
          <w:spacing w:val="13"/>
        </w:rPr>
        <w:t> </w:t>
      </w:r>
      <w:r>
        <w:rPr/>
        <w:t>974,</w:t>
      </w:r>
      <w:r>
        <w:rPr>
          <w:spacing w:val="13"/>
        </w:rPr>
        <w:t> </w:t>
      </w:r>
      <w:r>
        <w:rPr/>
        <w:t>987,</w:t>
      </w:r>
      <w:r>
        <w:rPr>
          <w:spacing w:val="13"/>
        </w:rPr>
        <w:t> </w:t>
      </w:r>
      <w:r>
        <w:rPr/>
        <w:t>991.</w:t>
      </w:r>
      <w:r>
        <w:rPr>
          <w:spacing w:val="13"/>
        </w:rPr>
        <w:t> </w:t>
      </w:r>
      <w:r>
        <w:rPr/>
        <w:t>But</w:t>
      </w:r>
      <w:r>
        <w:rPr>
          <w:spacing w:val="13"/>
        </w:rPr>
        <w:t> </w:t>
      </w:r>
      <w:r>
        <w:rPr/>
        <w:t>see</w:t>
      </w:r>
      <w:r>
        <w:rPr>
          <w:spacing w:val="13"/>
        </w:rPr>
        <w:t> </w:t>
      </w:r>
      <w:r>
        <w:rPr>
          <w:spacing w:val="-2"/>
        </w:rPr>
        <w:t>Peel,</w:t>
      </w:r>
    </w:p>
    <w:p>
      <w:pPr>
        <w:spacing w:line="227" w:lineRule="exact" w:before="0"/>
        <w:ind w:left="165" w:right="0" w:firstLine="0"/>
        <w:jc w:val="left"/>
        <w:rPr>
          <w:sz w:val="20"/>
        </w:rPr>
      </w:pPr>
      <w:r>
        <w:rPr>
          <w:sz w:val="20"/>
        </w:rPr>
        <w:drawing>
          <wp:anchor distT="0" distB="0" distL="0" distR="0" allowOverlap="1" layoutInCell="1" locked="0" behindDoc="0" simplePos="0" relativeHeight="15772672">
            <wp:simplePos x="0" y="0"/>
            <wp:positionH relativeFrom="page">
              <wp:posOffset>1257846</wp:posOffset>
            </wp:positionH>
            <wp:positionV relativeFrom="paragraph">
              <wp:posOffset>-116638</wp:posOffset>
            </wp:positionV>
            <wp:extent cx="107988" cy="107988"/>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Treitel</w:t>
      </w:r>
      <w:r>
        <w:rPr>
          <w:rFonts w:ascii="Arial" w:hAnsi="Arial"/>
          <w:i/>
          <w:spacing w:val="-1"/>
          <w:sz w:val="20"/>
        </w:rPr>
        <w:t> </w:t>
      </w:r>
      <w:r>
        <w:rPr>
          <w:rFonts w:ascii="Arial" w:hAnsi="Arial"/>
          <w:i/>
          <w:sz w:val="20"/>
        </w:rPr>
        <w:t>on The Law of Contract</w:t>
      </w:r>
      <w:r>
        <w:rPr>
          <w:sz w:val="20"/>
        </w:rPr>
        <w:t>, 14th edn (2015), </w:t>
      </w:r>
      <w:r>
        <w:rPr>
          <w:spacing w:val="-2"/>
          <w:sz w:val="20"/>
        </w:rPr>
        <w:t>para.20–097).</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757" w:id="759"/>
      <w:bookmarkEnd w:id="759"/>
      <w:r>
        <w:rPr/>
      </w:r>
      <w:hyperlink w:history="true" w:anchor="_bookmark699">
        <w:r>
          <w:rPr>
            <w:color w:val="005DA1"/>
            <w:spacing w:val="-4"/>
            <w:position w:val="5"/>
            <w:sz w:val="14"/>
            <w:u w:val="single" w:color="005DA1"/>
          </w:rPr>
          <w:t>374</w:t>
        </w:r>
      </w:hyperlink>
      <w:r>
        <w:rPr>
          <w:spacing w:val="-4"/>
          <w:position w:val="5"/>
          <w:sz w:val="14"/>
        </w:rPr>
        <w:t>.</w:t>
      </w:r>
      <w:r>
        <w:rPr>
          <w:position w:val="5"/>
          <w:sz w:val="14"/>
        </w:rPr>
        <w:tab/>
      </w:r>
      <w:r>
        <w:rPr>
          <w:rFonts w:ascii="Arial"/>
          <w:i/>
          <w:sz w:val="20"/>
        </w:rPr>
        <w:t>Weld-Blundell v Stephens [1920] A.C. 956, </w:t>
      </w:r>
      <w:r>
        <w:rPr>
          <w:rFonts w:ascii="Arial"/>
          <w:i/>
          <w:spacing w:val="-4"/>
          <w:sz w:val="20"/>
        </w:rPr>
        <w:t>986</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160577</wp:posOffset>
            </wp:positionV>
            <wp:extent cx="107988" cy="107988"/>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58" w:id="760"/>
      <w:bookmarkEnd w:id="760"/>
      <w:r>
        <w:rPr/>
      </w:r>
      <w:hyperlink w:history="true" w:anchor="_bookmark700">
        <w:r>
          <w:rPr>
            <w:color w:val="005DA1"/>
            <w:spacing w:val="-4"/>
            <w:sz w:val="14"/>
            <w:u w:val="single" w:color="005DA1"/>
          </w:rPr>
          <w:t>375</w:t>
        </w:r>
      </w:hyperlink>
      <w:r>
        <w:rPr>
          <w:spacing w:val="-4"/>
          <w:sz w:val="14"/>
        </w:rPr>
        <w:t>.</w:t>
      </w:r>
    </w:p>
    <w:p>
      <w:pPr>
        <w:spacing w:line="235" w:lineRule="auto" w:before="212"/>
        <w:ind w:left="165" w:right="0" w:firstLine="170"/>
        <w:jc w:val="left"/>
        <w:rPr>
          <w:sz w:val="20"/>
        </w:rPr>
      </w:pPr>
      <w:r>
        <w:rPr/>
        <w:br w:type="column"/>
      </w:r>
      <w:r>
        <w:rPr>
          <w:sz w:val="20"/>
        </w:rPr>
        <w:t>See Peel, </w:t>
      </w:r>
      <w:r>
        <w:rPr>
          <w:rFonts w:ascii="Arial" w:hAnsi="Arial"/>
          <w:i/>
          <w:sz w:val="20"/>
        </w:rPr>
        <w:t>Treitel on The Law of Contract</w:t>
      </w:r>
      <w:r>
        <w:rPr>
          <w:sz w:val="20"/>
        </w:rPr>
        <w:t>, 14th edn (2015), para.20–097; Clerk &amp; Lindsell </w:t>
      </w:r>
      <w:r>
        <w:rPr>
          <w:sz w:val="20"/>
        </w:rPr>
        <w:t>on Torts, 21st edn (2014), paras 2-107 et seq.</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tabs>
          <w:tab w:pos="705" w:val="left" w:leader="none"/>
        </w:tabs>
        <w:spacing w:line="235" w:lineRule="auto" w:before="1"/>
        <w:ind w:left="705" w:right="174" w:hanging="541"/>
        <w:jc w:val="left"/>
        <w:rPr>
          <w:sz w:val="20"/>
        </w:rPr>
      </w:pPr>
      <w:bookmarkStart w:name="_bookmark759" w:id="761"/>
      <w:bookmarkEnd w:id="761"/>
      <w:r>
        <w:rPr/>
      </w:r>
      <w:hyperlink w:history="true" w:anchor="_bookmark701">
        <w:r>
          <w:rPr>
            <w:color w:val="005DA1"/>
            <w:spacing w:val="-4"/>
            <w:position w:val="5"/>
            <w:sz w:val="14"/>
            <w:u w:val="single" w:color="005DA1"/>
          </w:rPr>
          <w:t>376</w:t>
        </w:r>
      </w:hyperlink>
      <w:r>
        <w:rPr>
          <w:spacing w:val="-4"/>
          <w:position w:val="5"/>
          <w:sz w:val="14"/>
        </w:rPr>
        <w:t>.</w:t>
      </w:r>
      <w:r>
        <w:rPr>
          <w:position w:val="5"/>
          <w:sz w:val="14"/>
        </w:rPr>
        <w:tab/>
      </w:r>
      <w:r>
        <w:rPr>
          <w:rFonts w:ascii="Arial" w:hAnsi="Arial"/>
          <w:i/>
          <w:sz w:val="20"/>
        </w:rPr>
        <w:t>[1966] 2 Q.B. 370 </w:t>
      </w:r>
      <w:r>
        <w:rPr>
          <w:sz w:val="20"/>
        </w:rPr>
        <w:t>(followed in </w:t>
      </w:r>
      <w:r>
        <w:rPr>
          <w:rFonts w:ascii="Arial" w:hAnsi="Arial"/>
          <w:i/>
          <w:sz w:val="20"/>
        </w:rPr>
        <w:t>Sole v W. J. Hallt Ltd [1973] Q.B. 574 </w:t>
      </w:r>
      <w:r>
        <w:rPr>
          <w:sz w:val="20"/>
        </w:rPr>
        <w:t>but it is submitted that </w:t>
      </w:r>
      <w:r>
        <w:rPr>
          <w:sz w:val="20"/>
        </w:rPr>
        <w:t>this decision is unsatisfactory on this point); see also</w:t>
      </w:r>
      <w:r>
        <w:rPr>
          <w:spacing w:val="-1"/>
          <w:sz w:val="20"/>
        </w:rPr>
        <w:t> </w:t>
      </w:r>
      <w:r>
        <w:rPr>
          <w:rFonts w:ascii="Arial" w:hAnsi="Arial"/>
          <w:i/>
          <w:sz w:val="20"/>
        </w:rPr>
        <w:t>O’Connor v B. D. Kirby &amp; Co [1972] 1 Q.B. </w:t>
      </w:r>
      <w:r>
        <w:rPr>
          <w:rFonts w:ascii="Arial" w:hAnsi="Arial"/>
          <w:i/>
          <w:spacing w:val="-5"/>
          <w:sz w:val="20"/>
        </w:rPr>
        <w:t>90</w:t>
      </w:r>
      <w:r>
        <w:rPr>
          <w:spacing w:val="-5"/>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760" w:id="762"/>
      <w:bookmarkEnd w:id="762"/>
      <w:r>
        <w:rPr/>
      </w:r>
      <w:hyperlink w:history="true" w:anchor="_bookmark702">
        <w:r>
          <w:rPr>
            <w:color w:val="005DA1"/>
            <w:spacing w:val="-4"/>
            <w:position w:val="5"/>
            <w:sz w:val="14"/>
            <w:u w:val="single" w:color="005DA1"/>
          </w:rPr>
          <w:t>377</w:t>
        </w:r>
      </w:hyperlink>
      <w:r>
        <w:rPr>
          <w:spacing w:val="-4"/>
          <w:position w:val="5"/>
          <w:sz w:val="14"/>
        </w:rPr>
        <w:t>.</w:t>
      </w:r>
      <w:r>
        <w:rPr>
          <w:position w:val="5"/>
          <w:sz w:val="14"/>
        </w:rPr>
        <w:tab/>
      </w:r>
      <w:r>
        <w:rPr>
          <w:sz w:val="20"/>
        </w:rPr>
        <w:t>cf. </w:t>
      </w:r>
      <w:r>
        <w:rPr>
          <w:rFonts w:ascii="Arial"/>
          <w:i/>
          <w:sz w:val="20"/>
        </w:rPr>
        <w:t>Galoo v Bright Grahame Murray [1994] 1 W.L.R. 1360 </w:t>
      </w:r>
      <w:r>
        <w:rPr>
          <w:sz w:val="20"/>
        </w:rPr>
        <w:t>(above, para.26-058). cf. also </w:t>
      </w:r>
      <w:r>
        <w:rPr>
          <w:rFonts w:ascii="Arial"/>
          <w:i/>
          <w:sz w:val="20"/>
        </w:rPr>
        <w:t>Young</w:t>
      </w:r>
      <w:r>
        <w:rPr>
          <w:rFonts w:ascii="Arial"/>
          <w:i/>
          <w:spacing w:val="40"/>
          <w:sz w:val="20"/>
        </w:rPr>
        <w:t> </w:t>
      </w:r>
      <w:r>
        <w:rPr>
          <w:rFonts w:ascii="Arial"/>
          <w:i/>
          <w:sz w:val="20"/>
        </w:rPr>
        <w:t>v</w:t>
      </w:r>
      <w:r>
        <w:rPr>
          <w:rFonts w:ascii="Arial"/>
          <w:i/>
          <w:spacing w:val="26"/>
          <w:sz w:val="20"/>
        </w:rPr>
        <w:t> </w:t>
      </w:r>
      <w:r>
        <w:rPr>
          <w:rFonts w:ascii="Arial"/>
          <w:i/>
          <w:sz w:val="20"/>
        </w:rPr>
        <w:t>Purdy</w:t>
      </w:r>
      <w:r>
        <w:rPr>
          <w:rFonts w:ascii="Arial"/>
          <w:i/>
          <w:spacing w:val="27"/>
          <w:sz w:val="20"/>
        </w:rPr>
        <w:t> </w:t>
      </w:r>
      <w:r>
        <w:rPr>
          <w:rFonts w:ascii="Arial"/>
          <w:i/>
          <w:sz w:val="20"/>
        </w:rPr>
        <w:t>[1997]</w:t>
      </w:r>
      <w:r>
        <w:rPr>
          <w:rFonts w:ascii="Arial"/>
          <w:i/>
          <w:spacing w:val="27"/>
          <w:sz w:val="20"/>
        </w:rPr>
        <w:t> </w:t>
      </w:r>
      <w:r>
        <w:rPr>
          <w:rFonts w:ascii="Arial"/>
          <w:i/>
          <w:sz w:val="20"/>
        </w:rPr>
        <w:t>P.N.L.R.</w:t>
      </w:r>
      <w:r>
        <w:rPr>
          <w:rFonts w:ascii="Arial"/>
          <w:i/>
          <w:spacing w:val="27"/>
          <w:sz w:val="20"/>
        </w:rPr>
        <w:t> </w:t>
      </w:r>
      <w:r>
        <w:rPr>
          <w:rFonts w:ascii="Arial"/>
          <w:i/>
          <w:sz w:val="20"/>
        </w:rPr>
        <w:t>130</w:t>
      </w:r>
      <w:r>
        <w:rPr>
          <w:sz w:val="20"/>
        </w:rPr>
        <w:t>.</w:t>
      </w:r>
      <w:r>
        <w:rPr>
          <w:spacing w:val="27"/>
          <w:sz w:val="20"/>
        </w:rPr>
        <w:t> </w:t>
      </w:r>
      <w:r>
        <w:rPr>
          <w:sz w:val="20"/>
        </w:rPr>
        <w:t>An</w:t>
      </w:r>
      <w:r>
        <w:rPr>
          <w:spacing w:val="27"/>
          <w:sz w:val="20"/>
        </w:rPr>
        <w:t> </w:t>
      </w:r>
      <w:r>
        <w:rPr>
          <w:sz w:val="20"/>
        </w:rPr>
        <w:t>analogous</w:t>
      </w:r>
      <w:r>
        <w:rPr>
          <w:spacing w:val="27"/>
          <w:sz w:val="20"/>
        </w:rPr>
        <w:t> </w:t>
      </w:r>
      <w:r>
        <w:rPr>
          <w:sz w:val="20"/>
        </w:rPr>
        <w:t>situation</w:t>
      </w:r>
      <w:r>
        <w:rPr>
          <w:spacing w:val="27"/>
          <w:sz w:val="20"/>
        </w:rPr>
        <w:t> </w:t>
      </w:r>
      <w:r>
        <w:rPr>
          <w:sz w:val="20"/>
        </w:rPr>
        <w:t>is</w:t>
      </w:r>
      <w:r>
        <w:rPr>
          <w:spacing w:val="27"/>
          <w:sz w:val="20"/>
        </w:rPr>
        <w:t> </w:t>
      </w:r>
      <w:r>
        <w:rPr>
          <w:sz w:val="20"/>
        </w:rPr>
        <w:t>dealt</w:t>
      </w:r>
      <w:r>
        <w:rPr>
          <w:spacing w:val="27"/>
          <w:sz w:val="20"/>
        </w:rPr>
        <w:t> </w:t>
      </w:r>
      <w:r>
        <w:rPr>
          <w:sz w:val="20"/>
        </w:rPr>
        <w:t>with</w:t>
      </w:r>
      <w:r>
        <w:rPr>
          <w:spacing w:val="27"/>
          <w:sz w:val="20"/>
        </w:rPr>
        <w:t> </w:t>
      </w:r>
      <w:r>
        <w:rPr>
          <w:sz w:val="20"/>
        </w:rPr>
        <w:t>in</w:t>
      </w:r>
      <w:r>
        <w:rPr>
          <w:spacing w:val="27"/>
          <w:sz w:val="20"/>
        </w:rPr>
        <w:t> </w:t>
      </w:r>
      <w:r>
        <w:rPr>
          <w:rFonts w:ascii="Arial"/>
          <w:i/>
          <w:sz w:val="20"/>
        </w:rPr>
        <w:t>Lambert</w:t>
      </w:r>
      <w:r>
        <w:rPr>
          <w:rFonts w:ascii="Arial"/>
          <w:i/>
          <w:spacing w:val="27"/>
          <w:sz w:val="20"/>
        </w:rPr>
        <w:t> </w:t>
      </w:r>
      <w:r>
        <w:rPr>
          <w:rFonts w:ascii="Arial"/>
          <w:i/>
          <w:sz w:val="20"/>
        </w:rPr>
        <w:t>v</w:t>
      </w:r>
      <w:r>
        <w:rPr>
          <w:rFonts w:ascii="Arial"/>
          <w:i/>
          <w:spacing w:val="27"/>
          <w:sz w:val="20"/>
        </w:rPr>
        <w:t> </w:t>
      </w:r>
      <w:r>
        <w:rPr>
          <w:rFonts w:ascii="Arial"/>
          <w:i/>
          <w:sz w:val="20"/>
        </w:rPr>
        <w:t>Lewis</w:t>
      </w:r>
      <w:r>
        <w:rPr>
          <w:rFonts w:ascii="Arial"/>
          <w:i/>
          <w:spacing w:val="27"/>
          <w:sz w:val="20"/>
        </w:rPr>
        <w:t> </w:t>
      </w:r>
      <w:r>
        <w:rPr>
          <w:rFonts w:ascii="Arial"/>
          <w:i/>
          <w:spacing w:val="-2"/>
          <w:sz w:val="20"/>
        </w:rPr>
        <w:t>[1982]</w:t>
      </w:r>
    </w:p>
    <w:p>
      <w:pPr>
        <w:pStyle w:val="BodyText"/>
        <w:spacing w:line="235" w:lineRule="auto"/>
        <w:ind w:left="705" w:right="167"/>
        <w:jc w:val="both"/>
      </w:pPr>
      <w:r>
        <w:rPr>
          <w:rFonts w:ascii="Arial"/>
          <w:i/>
        </w:rPr>
        <w:t>A.C. 225 </w:t>
      </w:r>
      <w:r>
        <w:rPr/>
        <w:t>(below, para.26-087; Vol.II, para.44-417). This decision indicates that a buyer </w:t>
      </w:r>
      <w:r>
        <w:rPr/>
        <w:t>who negligently fails to discover a defect in the goods may not be able to recover from the seller for breach of his implied undertakings as to the quality of the goods: see Hervey (1981) 44 </w:t>
      </w:r>
      <w:r>
        <w:rPr/>
        <w:t>M.L.R. </w:t>
      </w:r>
      <w:r>
        <w:rPr>
          <w:spacing w:val="-4"/>
        </w:rPr>
        <w:t>575.</w:t>
      </w:r>
    </w:p>
    <w:p>
      <w:pPr>
        <w:pStyle w:val="BodyText"/>
        <w:spacing w:before="7"/>
      </w:pPr>
    </w:p>
    <w:p>
      <w:pPr>
        <w:spacing w:line="235" w:lineRule="auto" w:before="1"/>
        <w:ind w:left="705" w:right="168" w:hanging="541"/>
        <w:jc w:val="both"/>
        <w:rPr>
          <w:sz w:val="20"/>
        </w:rPr>
      </w:pPr>
      <w:bookmarkStart w:name="_bookmark761" w:id="763"/>
      <w:bookmarkEnd w:id="763"/>
      <w:r>
        <w:rPr/>
      </w:r>
      <w:hyperlink w:history="true" w:anchor="_bookmark703">
        <w:r>
          <w:rPr>
            <w:color w:val="005DA1"/>
            <w:position w:val="5"/>
            <w:sz w:val="14"/>
            <w:u w:val="single" w:color="005DA1"/>
          </w:rPr>
          <w:t>378</w:t>
        </w:r>
      </w:hyperlink>
      <w:r>
        <w:rPr>
          <w:position w:val="5"/>
          <w:sz w:val="14"/>
        </w:rPr>
        <w:t>.</w:t>
      </w:r>
      <w:r>
        <w:rPr>
          <w:spacing w:val="40"/>
          <w:position w:val="5"/>
          <w:sz w:val="14"/>
        </w:rPr>
        <w:t>  </w:t>
      </w:r>
      <w:r>
        <w:rPr>
          <w:rFonts w:ascii="Arial" w:hAnsi="Arial"/>
          <w:i/>
          <w:sz w:val="20"/>
        </w:rPr>
        <w:t>Beoco Ltd v Alfa Laval Co Ltd [1995] Q.B. 137</w:t>
      </w:r>
      <w:r>
        <w:rPr>
          <w:sz w:val="20"/>
        </w:rPr>
        <w:t>. Compare the outcome in </w:t>
      </w:r>
      <w:r>
        <w:rPr>
          <w:rFonts w:ascii="Arial" w:hAnsi="Arial"/>
          <w:i/>
          <w:sz w:val="20"/>
        </w:rPr>
        <w:t>Borealis AB v </w:t>
      </w:r>
      <w:r>
        <w:rPr>
          <w:rFonts w:ascii="Arial" w:hAnsi="Arial"/>
          <w:i/>
          <w:sz w:val="20"/>
        </w:rPr>
        <w:t>Geogas Trading SA [2010] EWHC 2789 (Comm), [2011] 1 Lloyd’s Rep. 482</w:t>
      </w:r>
      <w:r>
        <w:rPr>
          <w:sz w:val="20"/>
        </w:rPr>
        <w:t>, where the buyers had no reason to suspect the contamination which caused the damage that occurred.</w:t>
      </w:r>
    </w:p>
    <w:p>
      <w:pPr>
        <w:pStyle w:val="BodyText"/>
        <w:spacing w:before="8"/>
      </w:pPr>
    </w:p>
    <w:p>
      <w:pPr>
        <w:pStyle w:val="BodyText"/>
        <w:spacing w:line="235" w:lineRule="auto"/>
        <w:ind w:left="705" w:right="167" w:hanging="541"/>
        <w:jc w:val="both"/>
      </w:pPr>
      <w:bookmarkStart w:name="_bookmark762" w:id="764"/>
      <w:bookmarkEnd w:id="764"/>
      <w:r>
        <w:rPr/>
      </w:r>
      <w:hyperlink w:history="true" w:anchor="_bookmark704">
        <w:r>
          <w:rPr>
            <w:color w:val="005DA1"/>
            <w:position w:val="5"/>
            <w:sz w:val="14"/>
            <w:u w:val="single" w:color="005DA1"/>
          </w:rPr>
          <w:t>379</w:t>
        </w:r>
      </w:hyperlink>
      <w:r>
        <w:rPr>
          <w:position w:val="5"/>
          <w:sz w:val="14"/>
        </w:rPr>
        <w:t>.</w:t>
      </w:r>
      <w:r>
        <w:rPr>
          <w:spacing w:val="40"/>
          <w:position w:val="5"/>
          <w:sz w:val="14"/>
        </w:rPr>
        <w:t>  </w:t>
      </w:r>
      <w:r>
        <w:rPr/>
        <w:t>Although the seller was liable for the cost of repairing the original defect, and for the loss of the buyer’s profit while the original repairs were made, the seller was not liable for the cost of repairing the explosion damage, nor for the further loss of production after the explosion. The need for further repairs to remedy the original defect had been overtaken by the need for more extensive repairs due to the explosion, and the buyer could not recover damages for the loss of production during the notional period which would have been necessary for further repairs even if there had been no explosion.</w:t>
      </w:r>
    </w:p>
    <w:p>
      <w:pPr>
        <w:pStyle w:val="BodyText"/>
        <w:spacing w:before="4"/>
      </w:pPr>
    </w:p>
    <w:p>
      <w:pPr>
        <w:tabs>
          <w:tab w:pos="540" w:val="left" w:leader="none"/>
        </w:tabs>
        <w:spacing w:line="227" w:lineRule="exact" w:before="0"/>
        <w:ind w:left="0" w:right="168" w:firstLine="0"/>
        <w:jc w:val="right"/>
        <w:rPr>
          <w:sz w:val="20"/>
        </w:rPr>
      </w:pPr>
      <w:bookmarkStart w:name="_bookmark763" w:id="765"/>
      <w:bookmarkEnd w:id="765"/>
      <w:r>
        <w:rPr/>
      </w:r>
      <w:hyperlink w:history="true" w:anchor="_bookmark705">
        <w:r>
          <w:rPr>
            <w:color w:val="005DA1"/>
            <w:spacing w:val="-4"/>
            <w:position w:val="5"/>
            <w:sz w:val="14"/>
            <w:u w:val="single" w:color="005DA1"/>
          </w:rPr>
          <w:t>380</w:t>
        </w:r>
      </w:hyperlink>
      <w:r>
        <w:rPr>
          <w:spacing w:val="-4"/>
          <w:position w:val="5"/>
          <w:sz w:val="14"/>
        </w:rPr>
        <w:t>.</w:t>
      </w:r>
      <w:r>
        <w:rPr>
          <w:position w:val="5"/>
          <w:sz w:val="14"/>
        </w:rPr>
        <w:tab/>
      </w:r>
      <w:r>
        <w:rPr>
          <w:rFonts w:ascii="Arial" w:hAnsi="Arial"/>
          <w:i/>
          <w:sz w:val="20"/>
        </w:rPr>
        <w:t>Borealis</w:t>
      </w:r>
      <w:r>
        <w:rPr>
          <w:rFonts w:ascii="Arial" w:hAnsi="Arial"/>
          <w:i/>
          <w:spacing w:val="20"/>
          <w:sz w:val="20"/>
        </w:rPr>
        <w:t> </w:t>
      </w:r>
      <w:r>
        <w:rPr>
          <w:rFonts w:ascii="Arial" w:hAnsi="Arial"/>
          <w:i/>
          <w:sz w:val="20"/>
        </w:rPr>
        <w:t>AB</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Geogas</w:t>
      </w:r>
      <w:r>
        <w:rPr>
          <w:rFonts w:ascii="Arial" w:hAnsi="Arial"/>
          <w:i/>
          <w:spacing w:val="20"/>
          <w:sz w:val="20"/>
        </w:rPr>
        <w:t> </w:t>
      </w:r>
      <w:r>
        <w:rPr>
          <w:rFonts w:ascii="Arial" w:hAnsi="Arial"/>
          <w:i/>
          <w:sz w:val="20"/>
        </w:rPr>
        <w:t>Trading</w:t>
      </w:r>
      <w:r>
        <w:rPr>
          <w:rFonts w:ascii="Arial" w:hAnsi="Arial"/>
          <w:i/>
          <w:spacing w:val="20"/>
          <w:sz w:val="20"/>
        </w:rPr>
        <w:t> </w:t>
      </w:r>
      <w:r>
        <w:rPr>
          <w:rFonts w:ascii="Arial" w:hAnsi="Arial"/>
          <w:i/>
          <w:sz w:val="20"/>
        </w:rPr>
        <w:t>SA</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2789</w:t>
      </w:r>
      <w:r>
        <w:rPr>
          <w:rFonts w:ascii="Arial" w:hAnsi="Arial"/>
          <w:i/>
          <w:spacing w:val="20"/>
          <w:sz w:val="20"/>
        </w:rPr>
        <w:t> </w:t>
      </w:r>
      <w:r>
        <w:rPr>
          <w:rFonts w:ascii="Arial" w:hAnsi="Arial"/>
          <w:i/>
          <w:sz w:val="20"/>
        </w:rPr>
        <w:t>(Comm),</w:t>
      </w:r>
      <w:r>
        <w:rPr>
          <w:rFonts w:ascii="Arial" w:hAnsi="Arial"/>
          <w:i/>
          <w:spacing w:val="20"/>
          <w:sz w:val="20"/>
        </w:rPr>
        <w:t> </w:t>
      </w:r>
      <w:r>
        <w:rPr>
          <w:rFonts w:ascii="Arial" w:hAnsi="Arial"/>
          <w:i/>
          <w:sz w:val="20"/>
        </w:rPr>
        <w:t>[2011]</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482</w:t>
      </w:r>
      <w:r>
        <w:rPr>
          <w:rFonts w:ascii="Arial" w:hAnsi="Arial"/>
          <w:i/>
          <w:spacing w:val="19"/>
          <w:sz w:val="20"/>
        </w:rPr>
        <w:t> </w:t>
      </w:r>
      <w:r>
        <w:rPr>
          <w:spacing w:val="-5"/>
          <w:sz w:val="20"/>
        </w:rPr>
        <w:t>at</w:t>
      </w:r>
    </w:p>
    <w:p>
      <w:pPr>
        <w:spacing w:line="225" w:lineRule="exact" w:before="0"/>
        <w:ind w:left="0" w:right="168" w:firstLine="0"/>
        <w:jc w:val="right"/>
        <w:rPr>
          <w:rFonts w:ascii="Arial" w:hAnsi="Arial"/>
          <w:i/>
          <w:sz w:val="20"/>
        </w:rPr>
      </w:pPr>
      <w:r>
        <w:rPr>
          <w:sz w:val="20"/>
        </w:rPr>
        <w:t>[42]–[47].</w:t>
      </w:r>
      <w:r>
        <w:rPr>
          <w:spacing w:val="1"/>
          <w:sz w:val="20"/>
        </w:rPr>
        <w:t> </w:t>
      </w:r>
      <w:r>
        <w:rPr>
          <w:sz w:val="20"/>
        </w:rPr>
        <w:t>The</w:t>
      </w:r>
      <w:r>
        <w:rPr>
          <w:spacing w:val="1"/>
          <w:sz w:val="20"/>
        </w:rPr>
        <w:t> </w:t>
      </w:r>
      <w:r>
        <w:rPr>
          <w:rFonts w:ascii="Arial" w:hAnsi="Arial"/>
          <w:i/>
          <w:sz w:val="20"/>
        </w:rPr>
        <w:t>Borealis</w:t>
      </w:r>
      <w:r>
        <w:rPr>
          <w:rFonts w:ascii="Arial" w:hAnsi="Arial"/>
          <w:i/>
          <w:spacing w:val="1"/>
          <w:sz w:val="20"/>
        </w:rPr>
        <w:t> </w:t>
      </w:r>
      <w:r>
        <w:rPr>
          <w:sz w:val="20"/>
        </w:rPr>
        <w:t>case</w:t>
      </w:r>
      <w:r>
        <w:rPr>
          <w:spacing w:val="1"/>
          <w:sz w:val="20"/>
        </w:rPr>
        <w:t> </w:t>
      </w:r>
      <w:r>
        <w:rPr>
          <w:sz w:val="20"/>
        </w:rPr>
        <w:t>was</w:t>
      </w:r>
      <w:r>
        <w:rPr>
          <w:spacing w:val="1"/>
          <w:sz w:val="20"/>
        </w:rPr>
        <w:t> </w:t>
      </w:r>
      <w:r>
        <w:rPr>
          <w:sz w:val="20"/>
        </w:rPr>
        <w:t>applied</w:t>
      </w:r>
      <w:r>
        <w:rPr>
          <w:spacing w:val="1"/>
          <w:sz w:val="20"/>
        </w:rPr>
        <w:t> </w:t>
      </w:r>
      <w:r>
        <w:rPr>
          <w:sz w:val="20"/>
        </w:rPr>
        <w:t>in</w:t>
      </w:r>
      <w:r>
        <w:rPr>
          <w:spacing w:val="1"/>
          <w:sz w:val="20"/>
        </w:rPr>
        <w:t> </w:t>
      </w:r>
      <w:r>
        <w:rPr>
          <w:rFonts w:ascii="Arial" w:hAnsi="Arial"/>
          <w:i/>
          <w:sz w:val="20"/>
        </w:rPr>
        <w:t>Flanagan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Greenbanks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pacing w:val="-4"/>
          <w:sz w:val="20"/>
        </w:rPr>
        <w:t>1702</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764" w:id="766"/>
      <w:bookmarkEnd w:id="766"/>
      <w:r>
        <w:rPr/>
      </w:r>
      <w:hyperlink w:history="true" w:anchor="_bookmark706">
        <w:r>
          <w:rPr>
            <w:color w:val="005DA1"/>
            <w:spacing w:val="-4"/>
            <w:position w:val="5"/>
            <w:sz w:val="14"/>
            <w:u w:val="single" w:color="005DA1"/>
          </w:rPr>
          <w:t>381</w:t>
        </w:r>
      </w:hyperlink>
      <w:r>
        <w:rPr>
          <w:spacing w:val="-4"/>
          <w:position w:val="5"/>
          <w:sz w:val="14"/>
        </w:rPr>
        <w:t>.</w:t>
      </w:r>
      <w:r>
        <w:rPr>
          <w:position w:val="5"/>
          <w:sz w:val="14"/>
        </w:rPr>
        <w:tab/>
      </w:r>
      <w:r>
        <w:rPr>
          <w:rFonts w:ascii="Arial" w:hAnsi="Arial"/>
          <w:i/>
          <w:sz w:val="20"/>
        </w:rPr>
        <w:t>[2010]</w:t>
      </w:r>
      <w:r>
        <w:rPr>
          <w:rFonts w:ascii="Arial" w:hAnsi="Arial"/>
          <w:i/>
          <w:spacing w:val="1"/>
          <w:sz w:val="20"/>
        </w:rPr>
        <w:t> </w:t>
      </w:r>
      <w:r>
        <w:rPr>
          <w:rFonts w:ascii="Arial" w:hAnsi="Arial"/>
          <w:i/>
          <w:sz w:val="20"/>
        </w:rPr>
        <w:t>EWHC</w:t>
      </w:r>
      <w:r>
        <w:rPr>
          <w:rFonts w:ascii="Arial" w:hAnsi="Arial"/>
          <w:i/>
          <w:spacing w:val="3"/>
          <w:sz w:val="20"/>
        </w:rPr>
        <w:t> </w:t>
      </w:r>
      <w:r>
        <w:rPr>
          <w:rFonts w:ascii="Arial" w:hAnsi="Arial"/>
          <w:i/>
          <w:sz w:val="20"/>
        </w:rPr>
        <w:t>2789</w:t>
      </w:r>
      <w:r>
        <w:rPr>
          <w:rFonts w:ascii="Arial" w:hAnsi="Arial"/>
          <w:i/>
          <w:spacing w:val="3"/>
          <w:sz w:val="20"/>
        </w:rPr>
        <w:t> </w:t>
      </w:r>
      <w:r>
        <w:rPr>
          <w:rFonts w:ascii="Arial" w:hAnsi="Arial"/>
          <w:i/>
          <w:sz w:val="20"/>
        </w:rPr>
        <w:t>(Comm)</w:t>
      </w:r>
      <w:r>
        <w:rPr>
          <w:rFonts w:ascii="Arial" w:hAnsi="Arial"/>
          <w:i/>
          <w:spacing w:val="2"/>
          <w:sz w:val="20"/>
        </w:rPr>
        <w:t> </w:t>
      </w:r>
      <w:r>
        <w:rPr>
          <w:sz w:val="20"/>
        </w:rPr>
        <w:t>at</w:t>
      </w:r>
      <w:r>
        <w:rPr>
          <w:spacing w:val="3"/>
          <w:sz w:val="20"/>
        </w:rPr>
        <w:t> </w:t>
      </w:r>
      <w:r>
        <w:rPr>
          <w:sz w:val="20"/>
        </w:rPr>
        <w:t>[46],</w:t>
      </w:r>
      <w:r>
        <w:rPr>
          <w:spacing w:val="3"/>
          <w:sz w:val="20"/>
        </w:rPr>
        <w:t> </w:t>
      </w:r>
      <w:r>
        <w:rPr>
          <w:sz w:val="20"/>
        </w:rPr>
        <w:t>referring</w:t>
      </w:r>
      <w:r>
        <w:rPr>
          <w:spacing w:val="3"/>
          <w:sz w:val="20"/>
        </w:rPr>
        <w:t> </w:t>
      </w:r>
      <w:r>
        <w:rPr>
          <w:sz w:val="20"/>
        </w:rPr>
        <w:t>to</w:t>
      </w:r>
      <w:r>
        <w:rPr>
          <w:spacing w:val="3"/>
          <w:sz w:val="20"/>
        </w:rPr>
        <w:t> </w:t>
      </w:r>
      <w:r>
        <w:rPr>
          <w:rFonts w:ascii="Arial" w:hAnsi="Arial"/>
          <w:i/>
          <w:sz w:val="20"/>
        </w:rPr>
        <w:t>Lambert</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Lewis</w:t>
      </w:r>
      <w:r>
        <w:rPr>
          <w:rFonts w:ascii="Arial" w:hAnsi="Arial"/>
          <w:i/>
          <w:spacing w:val="3"/>
          <w:sz w:val="20"/>
        </w:rPr>
        <w:t> </w:t>
      </w:r>
      <w:r>
        <w:rPr>
          <w:rFonts w:ascii="Arial" w:hAnsi="Arial"/>
          <w:i/>
          <w:sz w:val="20"/>
        </w:rPr>
        <w:t>[1982]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225,</w:t>
      </w:r>
      <w:r>
        <w:rPr>
          <w:rFonts w:ascii="Arial" w:hAnsi="Arial"/>
          <w:i/>
          <w:spacing w:val="3"/>
          <w:sz w:val="20"/>
        </w:rPr>
        <w:t> </w:t>
      </w:r>
      <w:r>
        <w:rPr>
          <w:rFonts w:ascii="Arial" w:hAnsi="Arial"/>
          <w:i/>
          <w:sz w:val="20"/>
        </w:rPr>
        <w:t>276–277</w:t>
      </w:r>
      <w:r>
        <w:rPr>
          <w:rFonts w:ascii="Arial" w:hAnsi="Arial"/>
          <w:i/>
          <w:spacing w:val="2"/>
          <w:sz w:val="20"/>
        </w:rPr>
        <w:t> </w:t>
      </w:r>
      <w:r>
        <w:rPr>
          <w:spacing w:val="-5"/>
          <w:sz w:val="20"/>
        </w:rPr>
        <w:t>and</w:t>
      </w:r>
    </w:p>
    <w:p>
      <w:pPr>
        <w:spacing w:line="227" w:lineRule="exact" w:before="0"/>
        <w:ind w:left="705" w:right="0" w:firstLine="0"/>
        <w:jc w:val="left"/>
        <w:rPr>
          <w:sz w:val="20"/>
        </w:rPr>
      </w:pPr>
      <w:r>
        <w:rPr>
          <w:rFonts w:ascii="Arial"/>
          <w:i/>
          <w:sz w:val="20"/>
        </w:rPr>
        <w:t>Schering</w:t>
      </w:r>
      <w:r>
        <w:rPr>
          <w:rFonts w:ascii="Arial"/>
          <w:i/>
          <w:spacing w:val="-2"/>
          <w:sz w:val="20"/>
        </w:rPr>
        <w:t> </w:t>
      </w:r>
      <w:r>
        <w:rPr>
          <w:rFonts w:ascii="Arial"/>
          <w:i/>
          <w:sz w:val="20"/>
        </w:rPr>
        <w:t>Agrochemicals Ltd v Resibel NVSA Unreported, [1992] CA Transcript </w:t>
      </w:r>
      <w:r>
        <w:rPr>
          <w:rFonts w:ascii="Arial"/>
          <w:i/>
          <w:spacing w:val="-2"/>
          <w:sz w:val="20"/>
        </w:rPr>
        <w:t>1298</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3696">
            <wp:simplePos x="0" y="0"/>
            <wp:positionH relativeFrom="page">
              <wp:posOffset>1257846</wp:posOffset>
            </wp:positionH>
            <wp:positionV relativeFrom="paragraph">
              <wp:posOffset>160292</wp:posOffset>
            </wp:positionV>
            <wp:extent cx="107988" cy="107988"/>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65" w:id="767"/>
      <w:bookmarkEnd w:id="767"/>
      <w:r>
        <w:rPr/>
      </w:r>
      <w:hyperlink w:history="true" w:anchor="_bookmark707">
        <w:r>
          <w:rPr>
            <w:color w:val="005DA1"/>
            <w:spacing w:val="-4"/>
            <w:sz w:val="14"/>
            <w:u w:val="single" w:color="005DA1"/>
          </w:rPr>
          <w:t>382</w:t>
        </w:r>
      </w:hyperlink>
      <w:r>
        <w:rPr>
          <w:spacing w:val="-4"/>
          <w:sz w:val="14"/>
        </w:rPr>
        <w:t>.</w:t>
      </w:r>
    </w:p>
    <w:p>
      <w:pPr>
        <w:spacing w:line="235" w:lineRule="auto" w:before="212"/>
        <w:ind w:left="165" w:right="168" w:firstLine="170"/>
        <w:jc w:val="both"/>
        <w:rPr>
          <w:sz w:val="20"/>
        </w:rPr>
      </w:pPr>
      <w:r>
        <w:rPr/>
        <w:br w:type="column"/>
      </w:r>
      <w:r>
        <w:rPr>
          <w:sz w:val="20"/>
        </w:rPr>
        <w:t>See also cases on a party’s decision to continue with spread betting: e.g. </w:t>
      </w:r>
      <w:r>
        <w:rPr>
          <w:rFonts w:ascii="Arial" w:hAnsi="Arial"/>
          <w:i/>
          <w:sz w:val="20"/>
        </w:rPr>
        <w:t>IG Index Ltd </w:t>
      </w:r>
      <w:r>
        <w:rPr>
          <w:rFonts w:ascii="Arial" w:hAnsi="Arial"/>
          <w:i/>
          <w:sz w:val="20"/>
        </w:rPr>
        <w:t>v Ehrentreu [2015] EWHC 3390 (QB) </w:t>
      </w:r>
      <w:r>
        <w:rPr>
          <w:sz w:val="20"/>
        </w:rPr>
        <w:t>at [107]–[118]. Permission to appeal has been granted: </w:t>
      </w:r>
      <w:r>
        <w:rPr>
          <w:rFonts w:ascii="Arial" w:hAnsi="Arial"/>
          <w:i/>
          <w:sz w:val="20"/>
        </w:rPr>
        <w:t>[2017] EWCA Civ 326</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766" w:id="768"/>
      <w:bookmarkEnd w:id="768"/>
      <w:r>
        <w:rPr/>
      </w:r>
      <w:hyperlink w:history="true" w:anchor="_bookmark708">
        <w:r>
          <w:rPr>
            <w:color w:val="005DA1"/>
            <w:spacing w:val="-4"/>
            <w:position w:val="5"/>
            <w:sz w:val="14"/>
            <w:u w:val="single" w:color="005DA1"/>
          </w:rPr>
          <w:t>383</w:t>
        </w:r>
      </w:hyperlink>
      <w:r>
        <w:rPr>
          <w:spacing w:val="-4"/>
          <w:position w:val="5"/>
          <w:sz w:val="14"/>
        </w:rPr>
        <w:t>.</w:t>
      </w:r>
      <w:r>
        <w:rPr>
          <w:position w:val="5"/>
          <w:sz w:val="14"/>
        </w:rPr>
        <w:tab/>
      </w:r>
      <w:r>
        <w:rPr>
          <w:rFonts w:ascii="Arial" w:hAnsi="Arial"/>
          <w:i/>
          <w:sz w:val="20"/>
        </w:rPr>
        <w:t>Reardon</w:t>
      </w:r>
      <w:r>
        <w:rPr>
          <w:rFonts w:ascii="Arial" w:hAnsi="Arial"/>
          <w:i/>
          <w:spacing w:val="24"/>
          <w:sz w:val="20"/>
        </w:rPr>
        <w:t> </w:t>
      </w:r>
      <w:r>
        <w:rPr>
          <w:rFonts w:ascii="Arial" w:hAnsi="Arial"/>
          <w:i/>
          <w:sz w:val="20"/>
        </w:rPr>
        <w:t>Smith</w:t>
      </w:r>
      <w:r>
        <w:rPr>
          <w:rFonts w:ascii="Arial" w:hAnsi="Arial"/>
          <w:i/>
          <w:spacing w:val="25"/>
          <w:sz w:val="20"/>
        </w:rPr>
        <w:t> </w:t>
      </w:r>
      <w:r>
        <w:rPr>
          <w:rFonts w:ascii="Arial" w:hAnsi="Arial"/>
          <w:i/>
          <w:sz w:val="20"/>
        </w:rPr>
        <w:t>Line</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Australian</w:t>
      </w:r>
      <w:r>
        <w:rPr>
          <w:rFonts w:ascii="Arial" w:hAnsi="Arial"/>
          <w:i/>
          <w:spacing w:val="25"/>
          <w:sz w:val="20"/>
        </w:rPr>
        <w:t> </w:t>
      </w:r>
      <w:r>
        <w:rPr>
          <w:rFonts w:ascii="Arial" w:hAnsi="Arial"/>
          <w:i/>
          <w:sz w:val="20"/>
        </w:rPr>
        <w:t>Wheat</w:t>
      </w:r>
      <w:r>
        <w:rPr>
          <w:rFonts w:ascii="Arial" w:hAnsi="Arial"/>
          <w:i/>
          <w:spacing w:val="25"/>
          <w:sz w:val="20"/>
        </w:rPr>
        <w:t> </w:t>
      </w:r>
      <w:r>
        <w:rPr>
          <w:rFonts w:ascii="Arial" w:hAnsi="Arial"/>
          <w:i/>
          <w:sz w:val="20"/>
        </w:rPr>
        <w:t>Board</w:t>
      </w:r>
      <w:r>
        <w:rPr>
          <w:rFonts w:ascii="Arial" w:hAnsi="Arial"/>
          <w:i/>
          <w:spacing w:val="25"/>
          <w:sz w:val="20"/>
        </w:rPr>
        <w:t> </w:t>
      </w:r>
      <w:r>
        <w:rPr>
          <w:rFonts w:ascii="Arial" w:hAnsi="Arial"/>
          <w:i/>
          <w:sz w:val="20"/>
        </w:rPr>
        <w:t>[1956]</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266,</w:t>
      </w:r>
      <w:r>
        <w:rPr>
          <w:rFonts w:ascii="Arial" w:hAnsi="Arial"/>
          <w:i/>
          <w:spacing w:val="25"/>
          <w:sz w:val="20"/>
        </w:rPr>
        <w:t> </w:t>
      </w:r>
      <w:r>
        <w:rPr>
          <w:rFonts w:ascii="Arial" w:hAnsi="Arial"/>
          <w:i/>
          <w:sz w:val="20"/>
        </w:rPr>
        <w:t>282–283</w:t>
      </w:r>
      <w:r>
        <w:rPr>
          <w:rFonts w:ascii="Arial" w:hAnsi="Arial"/>
          <w:i/>
          <w:spacing w:val="25"/>
          <w:sz w:val="20"/>
        </w:rPr>
        <w:t> </w:t>
      </w:r>
      <w:r>
        <w:rPr>
          <w:rFonts w:ascii="Arial" w:hAnsi="Arial"/>
          <w:i/>
          <w:sz w:val="20"/>
        </w:rPr>
        <w:t>(PC</w:t>
      </w:r>
      <w:r>
        <w:rPr>
          <w:sz w:val="20"/>
        </w:rPr>
        <w:t>,</w:t>
      </w:r>
      <w:r>
        <w:rPr>
          <w:spacing w:val="25"/>
          <w:sz w:val="20"/>
        </w:rPr>
        <w:t> </w:t>
      </w:r>
      <w:r>
        <w:rPr>
          <w:spacing w:val="-2"/>
          <w:sz w:val="20"/>
        </w:rPr>
        <w:t>approving</w:t>
      </w:r>
    </w:p>
    <w:p>
      <w:pPr>
        <w:spacing w:after="0"/>
        <w:jc w:val="left"/>
        <w:rPr>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sz w:val="20"/>
        </w:rPr>
        <w:t>the judgment of Devlin J. in </w:t>
      </w:r>
      <w:r>
        <w:rPr>
          <w:rFonts w:ascii="Arial"/>
          <w:i/>
          <w:sz w:val="20"/>
        </w:rPr>
        <w:t>Compania Naviera Maropan SA v Bowaters Lloyd Pulp and </w:t>
      </w:r>
      <w:r>
        <w:rPr>
          <w:rFonts w:ascii="Arial"/>
          <w:i/>
          <w:sz w:val="20"/>
        </w:rPr>
        <w:t>Paper Mills Ltd [1955] 2 Q.B. 68</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67" w:id="769"/>
      <w:bookmarkEnd w:id="769"/>
      <w:r>
        <w:rPr/>
      </w:r>
      <w:hyperlink w:history="true" w:anchor="_bookmark709">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Compania Naviera Maropan SA v Bowaters Lloyd Pulp and Paper Mills Ltd [1955] 2 Q.B. 68, </w:t>
      </w:r>
      <w:r>
        <w:rPr>
          <w:rFonts w:ascii="Arial"/>
          <w:i/>
          <w:spacing w:val="-5"/>
          <w:sz w:val="20"/>
        </w:rPr>
        <w:t>77</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768" w:id="770"/>
      <w:bookmarkEnd w:id="770"/>
      <w:r>
        <w:rPr/>
      </w:r>
      <w:hyperlink w:history="true" w:anchor="_bookmark710">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[1955]</w:t>
      </w:r>
      <w:r>
        <w:rPr>
          <w:rFonts w:ascii="Arial"/>
          <w:i/>
          <w:spacing w:val="-1"/>
          <w:sz w:val="20"/>
        </w:rPr>
        <w:t> </w:t>
      </w:r>
      <w:r>
        <w:rPr>
          <w:rFonts w:ascii="Arial"/>
          <w:i/>
          <w:sz w:val="20"/>
        </w:rPr>
        <w:t>2 Q.B. 68, 77, 88</w:t>
      </w:r>
      <w:r>
        <w:rPr>
          <w:sz w:val="20"/>
        </w:rPr>
        <w:t>; cf. </w:t>
      </w:r>
      <w:r>
        <w:rPr>
          <w:rFonts w:ascii="Arial"/>
          <w:i/>
          <w:sz w:val="20"/>
        </w:rPr>
        <w:t>Lambert v Lewis [1982] A.C. </w:t>
      </w:r>
      <w:r>
        <w:rPr>
          <w:rFonts w:ascii="Arial"/>
          <w:i/>
          <w:spacing w:val="-4"/>
          <w:sz w:val="20"/>
        </w:rPr>
        <w:t>225</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769" w:id="771"/>
      <w:bookmarkEnd w:id="771"/>
      <w:r>
        <w:rPr/>
      </w:r>
      <w:hyperlink w:history="true" w:anchor="_bookmark711">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Borealis</w:t>
      </w:r>
      <w:r>
        <w:rPr>
          <w:rFonts w:ascii="Arial"/>
          <w:i/>
          <w:spacing w:val="40"/>
          <w:sz w:val="20"/>
        </w:rPr>
        <w:t> </w:t>
      </w:r>
      <w:r>
        <w:rPr>
          <w:rFonts w:ascii="Arial"/>
          <w:i/>
          <w:sz w:val="20"/>
        </w:rPr>
        <w:t>AB</w:t>
      </w:r>
      <w:r>
        <w:rPr>
          <w:rFonts w:ascii="Arial"/>
          <w:i/>
          <w:spacing w:val="40"/>
          <w:sz w:val="20"/>
        </w:rPr>
        <w:t> </w:t>
      </w:r>
      <w:r>
        <w:rPr>
          <w:rFonts w:ascii="Arial"/>
          <w:i/>
          <w:sz w:val="20"/>
        </w:rPr>
        <w:t>v</w:t>
      </w:r>
      <w:r>
        <w:rPr>
          <w:rFonts w:ascii="Arial"/>
          <w:i/>
          <w:spacing w:val="40"/>
          <w:sz w:val="20"/>
        </w:rPr>
        <w:t> </w:t>
      </w:r>
      <w:r>
        <w:rPr>
          <w:rFonts w:ascii="Arial"/>
          <w:i/>
          <w:sz w:val="20"/>
        </w:rPr>
        <w:t>Geogas</w:t>
      </w:r>
      <w:r>
        <w:rPr>
          <w:rFonts w:ascii="Arial"/>
          <w:i/>
          <w:spacing w:val="40"/>
          <w:sz w:val="20"/>
        </w:rPr>
        <w:t> </w:t>
      </w:r>
      <w:r>
        <w:rPr>
          <w:rFonts w:ascii="Arial"/>
          <w:i/>
          <w:sz w:val="20"/>
        </w:rPr>
        <w:t>Trading</w:t>
      </w:r>
      <w:r>
        <w:rPr>
          <w:rFonts w:ascii="Arial"/>
          <w:i/>
          <w:spacing w:val="40"/>
          <w:sz w:val="20"/>
        </w:rPr>
        <w:t> </w:t>
      </w:r>
      <w:r>
        <w:rPr>
          <w:rFonts w:ascii="Arial"/>
          <w:i/>
          <w:sz w:val="20"/>
        </w:rPr>
        <w:t>SA</w:t>
      </w:r>
      <w:r>
        <w:rPr>
          <w:rFonts w:ascii="Arial"/>
          <w:i/>
          <w:spacing w:val="40"/>
          <w:sz w:val="20"/>
        </w:rPr>
        <w:t> </w:t>
      </w:r>
      <w:r>
        <w:rPr>
          <w:rFonts w:ascii="Arial"/>
          <w:i/>
          <w:sz w:val="20"/>
        </w:rPr>
        <w:t>[2010]</w:t>
      </w:r>
      <w:r>
        <w:rPr>
          <w:rFonts w:ascii="Arial"/>
          <w:i/>
          <w:spacing w:val="40"/>
          <w:sz w:val="20"/>
        </w:rPr>
        <w:t> </w:t>
      </w:r>
      <w:r>
        <w:rPr>
          <w:rFonts w:ascii="Arial"/>
          <w:i/>
          <w:sz w:val="20"/>
        </w:rPr>
        <w:t>EWHC</w:t>
      </w:r>
      <w:r>
        <w:rPr>
          <w:rFonts w:ascii="Arial"/>
          <w:i/>
          <w:spacing w:val="40"/>
          <w:sz w:val="20"/>
        </w:rPr>
        <w:t> </w:t>
      </w:r>
      <w:r>
        <w:rPr>
          <w:rFonts w:ascii="Arial"/>
          <w:i/>
          <w:sz w:val="20"/>
        </w:rPr>
        <w:t>2789</w:t>
      </w:r>
      <w:r>
        <w:rPr>
          <w:rFonts w:ascii="Arial"/>
          <w:i/>
          <w:spacing w:val="40"/>
          <w:sz w:val="20"/>
        </w:rPr>
        <w:t> </w:t>
      </w:r>
      <w:r>
        <w:rPr>
          <w:rFonts w:ascii="Arial"/>
          <w:i/>
          <w:sz w:val="20"/>
        </w:rPr>
        <w:t>(Comm)</w:t>
      </w:r>
      <w:r>
        <w:rPr>
          <w:rFonts w:ascii="Arial"/>
          <w:i/>
          <w:spacing w:val="40"/>
          <w:sz w:val="20"/>
        </w:rPr>
        <w:t> </w:t>
      </w:r>
      <w:r>
        <w:rPr>
          <w:sz w:val="20"/>
        </w:rPr>
        <w:t>at</w:t>
      </w:r>
      <w:r>
        <w:rPr>
          <w:spacing w:val="40"/>
          <w:sz w:val="20"/>
        </w:rPr>
        <w:t> </w:t>
      </w:r>
      <w:r>
        <w:rPr>
          <w:sz w:val="20"/>
        </w:rPr>
        <w:t>[47],</w:t>
      </w:r>
      <w:r>
        <w:rPr>
          <w:spacing w:val="40"/>
          <w:sz w:val="20"/>
        </w:rPr>
        <w:t> </w:t>
      </w:r>
      <w:r>
        <w:rPr>
          <w:sz w:val="20"/>
        </w:rPr>
        <w:t>citing</w:t>
      </w:r>
      <w:r>
        <w:rPr>
          <w:spacing w:val="40"/>
          <w:sz w:val="20"/>
        </w:rPr>
        <w:t> </w:t>
      </w:r>
      <w:r>
        <w:rPr>
          <w:sz w:val="20"/>
        </w:rPr>
        <w:t>a</w:t>
      </w:r>
      <w:r>
        <w:rPr>
          <w:spacing w:val="40"/>
          <w:sz w:val="20"/>
        </w:rPr>
        <w:t> </w:t>
      </w:r>
      <w:r>
        <w:rPr>
          <w:sz w:val="20"/>
        </w:rPr>
        <w:t>dictum</w:t>
      </w:r>
      <w:r>
        <w:rPr>
          <w:spacing w:val="40"/>
          <w:sz w:val="20"/>
        </w:rPr>
        <w:t> </w:t>
      </w:r>
      <w:r>
        <w:rPr>
          <w:sz w:val="20"/>
        </w:rPr>
        <w:t>by Evans-Lombe J. in </w:t>
      </w:r>
      <w:r>
        <w:rPr>
          <w:rFonts w:ascii="Arial"/>
          <w:i/>
          <w:sz w:val="20"/>
        </w:rPr>
        <w:t>Barings Plc v Coopers &amp; Lybrand [2003] EWHC 1319 (Ch) </w:t>
      </w:r>
      <w:r>
        <w:rPr>
          <w:sz w:val="20"/>
        </w:rPr>
        <w:t>at [838].</w:t>
      </w:r>
    </w:p>
    <w:p>
      <w:pPr>
        <w:pStyle w:val="BodyText"/>
        <w:spacing w:before="5"/>
      </w:pPr>
    </w:p>
    <w:p>
      <w:pPr>
        <w:pStyle w:val="BodyText"/>
        <w:tabs>
          <w:tab w:pos="705" w:val="left" w:leader="none"/>
        </w:tabs>
        <w:ind w:left="165"/>
      </w:pPr>
      <w:bookmarkStart w:name="_bookmark770" w:id="772"/>
      <w:bookmarkEnd w:id="772"/>
      <w:r>
        <w:rPr/>
      </w:r>
      <w:hyperlink w:history="true" w:anchor="_bookmark712">
        <w:r>
          <w:rPr>
            <w:color w:val="005DA1"/>
            <w:spacing w:val="-4"/>
            <w:position w:val="5"/>
            <w:sz w:val="14"/>
            <w:u w:val="single" w:color="005DA1"/>
          </w:rPr>
          <w:t>387</w:t>
        </w:r>
      </w:hyperlink>
      <w:r>
        <w:rPr>
          <w:spacing w:val="-4"/>
          <w:position w:val="5"/>
          <w:sz w:val="14"/>
        </w:rPr>
        <w:t>.</w:t>
      </w:r>
      <w:r>
        <w:rPr>
          <w:position w:val="5"/>
          <w:sz w:val="14"/>
        </w:rPr>
        <w:tab/>
      </w:r>
      <w:r>
        <w:rPr/>
        <w:t>See</w:t>
      </w:r>
      <w:r>
        <w:rPr>
          <w:spacing w:val="-2"/>
        </w:rPr>
        <w:t> </w:t>
      </w:r>
      <w:r>
        <w:rPr/>
        <w:t>below, para.26-</w:t>
      </w:r>
      <w:r>
        <w:rPr>
          <w:spacing w:val="-4"/>
        </w:rPr>
        <w:t>079.</w:t>
      </w:r>
    </w:p>
    <w:p>
      <w:pPr>
        <w:pStyle w:val="BodyText"/>
        <w:spacing w:before="9"/>
      </w:pPr>
    </w:p>
    <w:p>
      <w:pPr>
        <w:tabs>
          <w:tab w:pos="705" w:val="left" w:leader="none"/>
        </w:tabs>
        <w:spacing w:line="235" w:lineRule="auto" w:before="0"/>
        <w:ind w:left="705" w:right="174" w:hanging="541"/>
        <w:jc w:val="left"/>
        <w:rPr>
          <w:sz w:val="20"/>
        </w:rPr>
      </w:pPr>
      <w:bookmarkStart w:name="_bookmark771" w:id="773"/>
      <w:bookmarkEnd w:id="773"/>
      <w:r>
        <w:rPr/>
      </w:r>
      <w:hyperlink w:history="true" w:anchor="_bookmark712">
        <w:r>
          <w:rPr>
            <w:color w:val="005DA1"/>
            <w:spacing w:val="-4"/>
            <w:position w:val="5"/>
            <w:sz w:val="14"/>
            <w:u w:val="single" w:color="005DA1"/>
          </w:rPr>
          <w:t>388</w:t>
        </w:r>
      </w:hyperlink>
      <w:r>
        <w:rPr>
          <w:spacing w:val="-4"/>
          <w:position w:val="5"/>
          <w:sz w:val="14"/>
        </w:rPr>
        <w:t>.</w:t>
      </w:r>
      <w:r>
        <w:rPr>
          <w:position w:val="5"/>
          <w:sz w:val="14"/>
        </w:rPr>
        <w:tab/>
      </w:r>
      <w:r>
        <w:rPr>
          <w:sz w:val="20"/>
        </w:rPr>
        <w:t>See below, para.26-077. A similar problem arises when loss is caused by breaches of </w:t>
      </w:r>
      <w:r>
        <w:rPr>
          <w:sz w:val="20"/>
        </w:rPr>
        <w:t>contract by both the claimant and the defendant: </w:t>
      </w:r>
      <w:r>
        <w:rPr>
          <w:rFonts w:ascii="Arial"/>
          <w:i/>
          <w:sz w:val="20"/>
        </w:rPr>
        <w:t>Government of Ceylon v Chandris [1965] 3 All E.R. 48</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4208">
            <wp:simplePos x="0" y="0"/>
            <wp:positionH relativeFrom="page">
              <wp:posOffset>1257846</wp:posOffset>
            </wp:positionH>
            <wp:positionV relativeFrom="paragraph">
              <wp:posOffset>160436</wp:posOffset>
            </wp:positionV>
            <wp:extent cx="107988" cy="107988"/>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72" w:id="774"/>
      <w:bookmarkEnd w:id="774"/>
      <w:r>
        <w:rPr/>
      </w:r>
      <w:hyperlink w:history="true" w:anchor="_bookmark713">
        <w:r>
          <w:rPr>
            <w:color w:val="005DA1"/>
            <w:spacing w:val="-4"/>
            <w:sz w:val="14"/>
            <w:u w:val="single" w:color="005DA1"/>
          </w:rPr>
          <w:t>389</w:t>
        </w:r>
      </w:hyperlink>
      <w:r>
        <w:rPr>
          <w:spacing w:val="-4"/>
          <w:sz w:val="14"/>
        </w:rPr>
        <w:t>.</w:t>
      </w:r>
    </w:p>
    <w:p>
      <w:pPr>
        <w:spacing w:line="235" w:lineRule="auto" w:before="212"/>
        <w:ind w:left="165" w:right="168" w:firstLine="170"/>
        <w:jc w:val="both"/>
        <w:rPr>
          <w:sz w:val="20"/>
        </w:rPr>
      </w:pPr>
      <w:r>
        <w:rPr/>
        <w:br w:type="column"/>
      </w:r>
      <w:r>
        <w:rPr>
          <w:sz w:val="20"/>
        </w:rPr>
        <w:t>e.g. </w:t>
      </w:r>
      <w:r>
        <w:rPr>
          <w:rFonts w:ascii="Arial"/>
          <w:i/>
          <w:sz w:val="20"/>
        </w:rPr>
        <w:t>IG Index Ltd v Ehrentreu [2015] EWHC 3390 (QB)</w:t>
      </w:r>
      <w:r>
        <w:rPr>
          <w:sz w:val="20"/>
        </w:rPr>
        <w:t>, in which both mitigation and contributory negligence were considered. Permission to appeal has been granted: </w:t>
      </w:r>
      <w:r>
        <w:rPr>
          <w:rFonts w:ascii="Arial"/>
          <w:i/>
          <w:sz w:val="20"/>
        </w:rPr>
        <w:t>[2017]</w:t>
      </w:r>
      <w:r>
        <w:rPr>
          <w:rFonts w:ascii="Arial"/>
          <w:i/>
          <w:spacing w:val="40"/>
          <w:sz w:val="20"/>
        </w:rPr>
        <w:t> </w:t>
      </w:r>
      <w:r>
        <w:rPr>
          <w:rFonts w:ascii="Arial"/>
          <w:i/>
          <w:sz w:val="20"/>
        </w:rPr>
        <w:t>EWCA Civ 326</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74" w:hanging="541"/>
        <w:jc w:val="left"/>
        <w:rPr>
          <w:sz w:val="20"/>
        </w:rPr>
      </w:pPr>
      <w:bookmarkStart w:name="_bookmark773" w:id="775"/>
      <w:bookmarkEnd w:id="775"/>
      <w:r>
        <w:rPr/>
      </w:r>
      <w:hyperlink w:history="true" w:anchor="_bookmark714">
        <w:r>
          <w:rPr>
            <w:color w:val="005DA1"/>
            <w:spacing w:val="-4"/>
            <w:position w:val="5"/>
            <w:sz w:val="14"/>
            <w:u w:val="single" w:color="005DA1"/>
          </w:rPr>
          <w:t>390</w:t>
        </w:r>
      </w:hyperlink>
      <w:r>
        <w:rPr>
          <w:spacing w:val="-4"/>
          <w:position w:val="5"/>
          <w:sz w:val="14"/>
        </w:rPr>
        <w:t>.</w:t>
      </w:r>
      <w:r>
        <w:rPr>
          <w:position w:val="5"/>
          <w:sz w:val="14"/>
        </w:rPr>
        <w:tab/>
      </w:r>
      <w:r>
        <w:rPr>
          <w:rFonts w:ascii="Arial"/>
          <w:i/>
          <w:sz w:val="20"/>
        </w:rPr>
        <w:t>Tennant</w:t>
      </w:r>
      <w:r>
        <w:rPr>
          <w:rFonts w:ascii="Arial"/>
          <w:i/>
          <w:spacing w:val="28"/>
          <w:sz w:val="20"/>
        </w:rPr>
        <w:t> </w:t>
      </w:r>
      <w:r>
        <w:rPr>
          <w:rFonts w:ascii="Arial"/>
          <w:i/>
          <w:sz w:val="20"/>
        </w:rPr>
        <w:t>Radiant</w:t>
      </w:r>
      <w:r>
        <w:rPr>
          <w:rFonts w:ascii="Arial"/>
          <w:i/>
          <w:spacing w:val="28"/>
          <w:sz w:val="20"/>
        </w:rPr>
        <w:t> </w:t>
      </w:r>
      <w:r>
        <w:rPr>
          <w:rFonts w:ascii="Arial"/>
          <w:i/>
          <w:sz w:val="20"/>
        </w:rPr>
        <w:t>Heat</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Warrington</w:t>
      </w:r>
      <w:r>
        <w:rPr>
          <w:rFonts w:ascii="Arial"/>
          <w:i/>
          <w:spacing w:val="28"/>
          <w:sz w:val="20"/>
        </w:rPr>
        <w:t> </w:t>
      </w:r>
      <w:r>
        <w:rPr>
          <w:rFonts w:ascii="Arial"/>
          <w:i/>
          <w:sz w:val="20"/>
        </w:rPr>
        <w:t>Development</w:t>
      </w:r>
      <w:r>
        <w:rPr>
          <w:rFonts w:ascii="Arial"/>
          <w:i/>
          <w:spacing w:val="28"/>
          <w:sz w:val="20"/>
        </w:rPr>
        <w:t> </w:t>
      </w:r>
      <w:r>
        <w:rPr>
          <w:rFonts w:ascii="Arial"/>
          <w:i/>
          <w:sz w:val="20"/>
        </w:rPr>
        <w:t>Corp</w:t>
      </w:r>
      <w:r>
        <w:rPr>
          <w:rFonts w:ascii="Arial"/>
          <w:i/>
          <w:spacing w:val="28"/>
          <w:sz w:val="20"/>
        </w:rPr>
        <w:t> </w:t>
      </w:r>
      <w:r>
        <w:rPr>
          <w:rFonts w:ascii="Arial"/>
          <w:i/>
          <w:sz w:val="20"/>
        </w:rPr>
        <w:t>[1988]</w:t>
      </w:r>
      <w:r>
        <w:rPr>
          <w:rFonts w:ascii="Arial"/>
          <w:i/>
          <w:spacing w:val="28"/>
          <w:sz w:val="20"/>
        </w:rPr>
        <w:t> </w:t>
      </w:r>
      <w:r>
        <w:rPr>
          <w:rFonts w:ascii="Arial"/>
          <w:i/>
          <w:sz w:val="20"/>
        </w:rPr>
        <w:t>1</w:t>
      </w:r>
      <w:r>
        <w:rPr>
          <w:rFonts w:ascii="Arial"/>
          <w:i/>
          <w:spacing w:val="28"/>
          <w:sz w:val="20"/>
        </w:rPr>
        <w:t> </w:t>
      </w:r>
      <w:r>
        <w:rPr>
          <w:rFonts w:ascii="Arial"/>
          <w:i/>
          <w:sz w:val="20"/>
        </w:rPr>
        <w:t>E.G.L.R.</w:t>
      </w:r>
      <w:r>
        <w:rPr>
          <w:rFonts w:ascii="Arial"/>
          <w:i/>
          <w:spacing w:val="28"/>
          <w:sz w:val="20"/>
        </w:rPr>
        <w:t> </w:t>
      </w:r>
      <w:r>
        <w:rPr>
          <w:rFonts w:ascii="Arial"/>
          <w:i/>
          <w:sz w:val="20"/>
        </w:rPr>
        <w:t>41</w:t>
      </w:r>
      <w:r>
        <w:rPr>
          <w:rFonts w:ascii="Arial"/>
          <w:i/>
          <w:spacing w:val="27"/>
          <w:sz w:val="20"/>
        </w:rPr>
        <w:t> </w:t>
      </w:r>
      <w:r>
        <w:rPr>
          <w:sz w:val="20"/>
        </w:rPr>
        <w:t>(discussed below para.26-078, where later doubts in the Court of Appeal are noted).</w:t>
      </w:r>
    </w:p>
    <w:p>
      <w:pPr>
        <w:pStyle w:val="BodyText"/>
        <w:spacing w:before="9"/>
      </w:pPr>
    </w:p>
    <w:p>
      <w:pPr>
        <w:pStyle w:val="BodyText"/>
        <w:tabs>
          <w:tab w:pos="705" w:val="left" w:leader="none"/>
        </w:tabs>
        <w:spacing w:line="235" w:lineRule="auto"/>
        <w:ind w:left="705" w:right="174" w:hanging="541"/>
      </w:pPr>
      <w:bookmarkStart w:name="_bookmark774" w:id="776"/>
      <w:bookmarkEnd w:id="776"/>
      <w:r>
        <w:rPr/>
      </w:r>
      <w:hyperlink w:history="true" w:anchor="_bookmark715">
        <w:r>
          <w:rPr>
            <w:color w:val="005DA1"/>
            <w:spacing w:val="-4"/>
            <w:position w:val="5"/>
            <w:sz w:val="14"/>
            <w:u w:val="single" w:color="005DA1"/>
          </w:rPr>
          <w:t>391</w:t>
        </w:r>
      </w:hyperlink>
      <w:r>
        <w:rPr>
          <w:spacing w:val="-4"/>
          <w:position w:val="5"/>
          <w:sz w:val="14"/>
        </w:rPr>
        <w:t>.</w:t>
      </w:r>
      <w:r>
        <w:rPr>
          <w:position w:val="5"/>
          <w:sz w:val="14"/>
        </w:rPr>
        <w:tab/>
      </w:r>
      <w:r>
        <w:rPr/>
        <w:t>The</w:t>
      </w:r>
      <w:r>
        <w:rPr>
          <w:spacing w:val="-1"/>
        </w:rPr>
        <w:t> </w:t>
      </w:r>
      <w:r>
        <w:rPr/>
        <w:t>defendant</w:t>
      </w:r>
      <w:r>
        <w:rPr>
          <w:spacing w:val="-1"/>
        </w:rPr>
        <w:t> </w:t>
      </w:r>
      <w:r>
        <w:rPr/>
        <w:t>will</w:t>
      </w:r>
      <w:r>
        <w:rPr>
          <w:spacing w:val="-1"/>
        </w:rPr>
        <w:t> </w:t>
      </w:r>
      <w:r>
        <w:rPr/>
        <w:t>not</w:t>
      </w:r>
      <w:r>
        <w:rPr>
          <w:spacing w:val="-1"/>
        </w:rPr>
        <w:t> </w:t>
      </w:r>
      <w:r>
        <w:rPr/>
        <w:t>be</w:t>
      </w:r>
      <w:r>
        <w:rPr>
          <w:spacing w:val="-1"/>
        </w:rPr>
        <w:t> </w:t>
      </w:r>
      <w:r>
        <w:rPr/>
        <w:t>liable</w:t>
      </w:r>
      <w:r>
        <w:rPr>
          <w:spacing w:val="-1"/>
        </w:rPr>
        <w:t> </w:t>
      </w:r>
      <w:r>
        <w:rPr/>
        <w:t>if</w:t>
      </w:r>
      <w:r>
        <w:rPr>
          <w:spacing w:val="-1"/>
        </w:rPr>
        <w:t> </w:t>
      </w:r>
      <w:r>
        <w:rPr/>
        <w:t>his</w:t>
      </w:r>
      <w:r>
        <w:rPr>
          <w:spacing w:val="-1"/>
        </w:rPr>
        <w:t> </w:t>
      </w:r>
      <w:r>
        <w:rPr/>
        <w:t>breach</w:t>
      </w:r>
      <w:r>
        <w:rPr>
          <w:spacing w:val="-1"/>
        </w:rPr>
        <w:t> </w:t>
      </w:r>
      <w:r>
        <w:rPr/>
        <w:t>did</w:t>
      </w:r>
      <w:r>
        <w:rPr>
          <w:spacing w:val="-1"/>
        </w:rPr>
        <w:t> </w:t>
      </w:r>
      <w:r>
        <w:rPr/>
        <w:t>not</w:t>
      </w:r>
      <w:r>
        <w:rPr>
          <w:spacing w:val="-1"/>
        </w:rPr>
        <w:t> </w:t>
      </w:r>
      <w:r>
        <w:rPr/>
        <w:t>contribute</w:t>
      </w:r>
      <w:r>
        <w:rPr>
          <w:spacing w:val="-1"/>
        </w:rPr>
        <w:t> </w:t>
      </w:r>
      <w:r>
        <w:rPr/>
        <w:t>to</w:t>
      </w:r>
      <w:r>
        <w:rPr>
          <w:spacing w:val="-1"/>
        </w:rPr>
        <w:t> </w:t>
      </w:r>
      <w:r>
        <w:rPr/>
        <w:t>the</w:t>
      </w:r>
      <w:r>
        <w:rPr>
          <w:spacing w:val="-1"/>
        </w:rPr>
        <w:t> </w:t>
      </w:r>
      <w:r>
        <w:rPr/>
        <w:t>risk</w:t>
      </w:r>
      <w:r>
        <w:rPr>
          <w:spacing w:val="-1"/>
        </w:rPr>
        <w:t> </w:t>
      </w:r>
      <w:r>
        <w:rPr/>
        <w:t>of</w:t>
      </w:r>
      <w:r>
        <w:rPr>
          <w:spacing w:val="-1"/>
        </w:rPr>
        <w:t> </w:t>
      </w:r>
      <w:r>
        <w:rPr/>
        <w:t>the</w:t>
      </w:r>
      <w:r>
        <w:rPr>
          <w:spacing w:val="-1"/>
        </w:rPr>
        <w:t> </w:t>
      </w:r>
      <w:r>
        <w:rPr/>
        <w:t>event</w:t>
      </w:r>
      <w:r>
        <w:rPr>
          <w:spacing w:val="-1"/>
        </w:rPr>
        <w:t> </w:t>
      </w:r>
      <w:r>
        <w:rPr/>
        <w:t>occurring: see below, n.361; cf. the cases dealing with a fall in the property market: below, para.26-168.</w:t>
      </w:r>
    </w:p>
    <w:p>
      <w:pPr>
        <w:pStyle w:val="BodyText"/>
        <w:spacing w:before="9"/>
      </w:pPr>
    </w:p>
    <w:p>
      <w:pPr>
        <w:spacing w:line="235" w:lineRule="auto" w:before="1"/>
        <w:ind w:left="705" w:right="169" w:hanging="541"/>
        <w:jc w:val="both"/>
        <w:rPr>
          <w:sz w:val="20"/>
        </w:rPr>
      </w:pPr>
      <w:bookmarkStart w:name="_bookmark775" w:id="777"/>
      <w:bookmarkEnd w:id="777"/>
      <w:r>
        <w:rPr/>
      </w:r>
      <w:hyperlink w:history="true" w:anchor="_bookmark715">
        <w:r>
          <w:rPr>
            <w:color w:val="005DA1"/>
            <w:position w:val="5"/>
            <w:sz w:val="14"/>
            <w:u w:val="single" w:color="005DA1"/>
          </w:rPr>
          <w:t>392</w:t>
        </w:r>
      </w:hyperlink>
      <w:r>
        <w:rPr>
          <w:position w:val="5"/>
          <w:sz w:val="14"/>
        </w:rPr>
        <w:t>.</w:t>
      </w:r>
      <w:r>
        <w:rPr>
          <w:spacing w:val="80"/>
          <w:w w:val="150"/>
          <w:position w:val="5"/>
          <w:sz w:val="14"/>
        </w:rPr>
        <w:t> </w:t>
      </w:r>
      <w:r>
        <w:rPr>
          <w:rFonts w:ascii="Arial"/>
          <w:i/>
          <w:sz w:val="20"/>
        </w:rPr>
        <w:t>Monarch S.S. Co Ltd v Karlshamns Oljefabriker (A/B) [1949] A.C. 196</w:t>
      </w:r>
      <w:r>
        <w:rPr>
          <w:sz w:val="20"/>
        </w:rPr>
        <w:t>. See also </w:t>
      </w:r>
      <w:r>
        <w:rPr>
          <w:rFonts w:ascii="Arial"/>
          <w:i/>
          <w:sz w:val="20"/>
        </w:rPr>
        <w:t>The Wilhem (1866) 14 L.T. 636</w:t>
      </w:r>
      <w:r>
        <w:rPr>
          <w:sz w:val="20"/>
        </w:rPr>
        <w:t>; cf. </w:t>
      </w:r>
      <w:r>
        <w:rPr>
          <w:rFonts w:ascii="Arial"/>
          <w:i/>
          <w:sz w:val="20"/>
        </w:rPr>
        <w:t>Associated Portland Cement Manufacturers (1900) Ltd v Houlder Bros </w:t>
      </w:r>
      <w:r>
        <w:rPr>
          <w:rFonts w:ascii="Arial"/>
          <w:i/>
          <w:sz w:val="20"/>
        </w:rPr>
        <w:t>&amp; Co Ltd (1917) 86 L.J.K.B. 1495</w:t>
      </w:r>
      <w:r>
        <w:rPr>
          <w:sz w:val="20"/>
        </w:rPr>
        <w:t>; </w:t>
      </w:r>
      <w:r>
        <w:rPr>
          <w:rFonts w:ascii="Arial"/>
          <w:i/>
          <w:sz w:val="20"/>
        </w:rPr>
        <w:t>Diamond v Campbell-Jones [1961] Ch. 22</w:t>
      </w:r>
      <w:r>
        <w:rPr>
          <w:sz w:val="20"/>
        </w:rPr>
        <w:t>.</w:t>
      </w:r>
    </w:p>
    <w:p>
      <w:pPr>
        <w:pStyle w:val="BodyText"/>
        <w:spacing w:before="4"/>
      </w:pPr>
    </w:p>
    <w:p>
      <w:pPr>
        <w:tabs>
          <w:tab w:pos="705" w:val="left" w:leader="none"/>
        </w:tabs>
        <w:spacing w:before="1"/>
        <w:ind w:left="165" w:right="0" w:firstLine="0"/>
        <w:jc w:val="left"/>
        <w:rPr>
          <w:sz w:val="20"/>
        </w:rPr>
      </w:pPr>
      <w:bookmarkStart w:name="_bookmark776" w:id="778"/>
      <w:bookmarkEnd w:id="778"/>
      <w:r>
        <w:rPr/>
      </w:r>
      <w:hyperlink w:history="true" w:anchor="_bookmark716">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[1949]</w:t>
      </w:r>
      <w:r>
        <w:rPr>
          <w:rFonts w:ascii="Arial"/>
          <w:i/>
          <w:spacing w:val="-2"/>
          <w:sz w:val="20"/>
        </w:rPr>
        <w:t> </w:t>
      </w:r>
      <w:r>
        <w:rPr>
          <w:rFonts w:ascii="Arial"/>
          <w:i/>
          <w:sz w:val="20"/>
        </w:rPr>
        <w:t>A.C. </w:t>
      </w:r>
      <w:r>
        <w:rPr>
          <w:rFonts w:ascii="Arial"/>
          <w:i/>
          <w:spacing w:val="-4"/>
          <w:sz w:val="20"/>
        </w:rPr>
        <w:t>196</w:t>
      </w:r>
      <w:r>
        <w:rPr>
          <w:spacing w:val="-4"/>
          <w:sz w:val="20"/>
        </w:rPr>
        <w:t>.</w:t>
      </w:r>
    </w:p>
    <w:p>
      <w:pPr>
        <w:pStyle w:val="BodyText"/>
        <w:spacing w:before="8"/>
      </w:pPr>
    </w:p>
    <w:p>
      <w:pPr>
        <w:pStyle w:val="BodyText"/>
        <w:spacing w:line="235" w:lineRule="auto"/>
        <w:ind w:left="705" w:right="167" w:hanging="541"/>
        <w:jc w:val="both"/>
      </w:pPr>
      <w:bookmarkStart w:name="_bookmark777" w:id="779"/>
      <w:bookmarkEnd w:id="779"/>
      <w:r>
        <w:rPr/>
      </w:r>
      <w:hyperlink w:history="true" w:anchor="_bookmark717">
        <w:r>
          <w:rPr>
            <w:color w:val="005DA1"/>
            <w:position w:val="5"/>
            <w:sz w:val="14"/>
            <w:u w:val="single" w:color="005DA1"/>
          </w:rPr>
          <w:t>394</w:t>
        </w:r>
      </w:hyperlink>
      <w:r>
        <w:rPr>
          <w:position w:val="5"/>
          <w:sz w:val="14"/>
        </w:rPr>
        <w:t>.</w:t>
      </w:r>
      <w:r>
        <w:rPr>
          <w:spacing w:val="80"/>
          <w:position w:val="5"/>
          <w:sz w:val="14"/>
        </w:rPr>
        <w:t>  </w:t>
      </w:r>
      <w:r>
        <w:rPr/>
        <w:t>But if during the delayed voyage the ship ran into a typhoon and suffered damage, it could not be said that the delay caused the damage: </w:t>
      </w:r>
      <w:r>
        <w:rPr>
          <w:rFonts w:ascii="Arial" w:hAnsi="Arial"/>
          <w:i/>
        </w:rPr>
        <w:t>[1949] A.C. 196, 215</w:t>
      </w:r>
      <w:r>
        <w:rPr/>
        <w:t>; cf. the explosion in </w:t>
      </w:r>
      <w:r>
        <w:rPr>
          <w:rFonts w:ascii="Arial" w:hAnsi="Arial"/>
          <w:i/>
        </w:rPr>
        <w:t>Beoco Ltd v Alfa Laval Co Ltd [1995] Q.B. 137 </w:t>
      </w:r>
      <w:r>
        <w:rPr/>
        <w:t>(above, para.26-063) for which the plaintiff (the buyer) was held responsible, and which put an end to any continuing liability on the seller for the cost of further repairs even though the original defect was due to the seller’s breach of contract.</w:t>
      </w:r>
    </w:p>
    <w:p>
      <w:pPr>
        <w:pStyle w:val="BodyText"/>
        <w:spacing w:before="8"/>
      </w:pPr>
    </w:p>
    <w:p>
      <w:pPr>
        <w:spacing w:line="235" w:lineRule="auto" w:before="1"/>
        <w:ind w:left="705" w:right="167" w:hanging="541"/>
        <w:jc w:val="both"/>
        <w:rPr>
          <w:sz w:val="20"/>
        </w:rPr>
      </w:pPr>
      <w:bookmarkStart w:name="_bookmark778" w:id="780"/>
      <w:bookmarkEnd w:id="780"/>
      <w:r>
        <w:rPr/>
      </w:r>
      <w:hyperlink w:history="true" w:anchor="_bookmark718">
        <w:r>
          <w:rPr>
            <w:color w:val="005DA1"/>
            <w:position w:val="5"/>
            <w:sz w:val="14"/>
            <w:u w:val="single" w:color="005DA1"/>
          </w:rPr>
          <w:t>395</w:t>
        </w:r>
      </w:hyperlink>
      <w:r>
        <w:rPr>
          <w:position w:val="5"/>
          <w:sz w:val="14"/>
        </w:rPr>
        <w:t>.</w:t>
      </w:r>
      <w:r>
        <w:rPr>
          <w:spacing w:val="80"/>
          <w:position w:val="5"/>
          <w:sz w:val="14"/>
        </w:rPr>
        <w:t>  </w:t>
      </w:r>
      <w:r>
        <w:rPr>
          <w:rFonts w:ascii="Arial" w:hAnsi="Arial"/>
          <w:i/>
          <w:sz w:val="20"/>
        </w:rPr>
        <w:t>Heskell v Continental Express Ltd [1950] 1 All E.R. 1033, 1047–1048</w:t>
      </w:r>
      <w:r>
        <w:rPr>
          <w:sz w:val="20"/>
        </w:rPr>
        <w:t>; </w:t>
      </w:r>
      <w:r>
        <w:rPr>
          <w:rFonts w:ascii="Arial" w:hAnsi="Arial"/>
          <w:i/>
          <w:sz w:val="20"/>
        </w:rPr>
        <w:t>Banque Keyser Ullmann SA v Skandia (UK) Insurance Co Ltd [1990] Q.B. 665, 813–814 </w:t>
      </w:r>
      <w:r>
        <w:rPr>
          <w:sz w:val="20"/>
        </w:rPr>
        <w:t>(the decision of the HL did not deal with this point: </w:t>
      </w:r>
      <w:r>
        <w:rPr>
          <w:rFonts w:ascii="Arial" w:hAnsi="Arial"/>
          <w:i/>
          <w:sz w:val="20"/>
        </w:rPr>
        <w:t>[1991] 2 A.C. 249</w:t>
      </w:r>
      <w:r>
        <w:rPr>
          <w:sz w:val="20"/>
        </w:rPr>
        <w:t>); </w:t>
      </w:r>
      <w:r>
        <w:rPr>
          <w:rFonts w:ascii="Arial" w:hAnsi="Arial"/>
          <w:i/>
          <w:sz w:val="20"/>
        </w:rPr>
        <w:t>Supershield Ltd v Siemens Building Technologies </w:t>
      </w:r>
      <w:r>
        <w:rPr>
          <w:rFonts w:ascii="Arial" w:hAnsi="Arial"/>
          <w:i/>
          <w:sz w:val="20"/>
        </w:rPr>
        <w:t>FE Ltd</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7,</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349</w:t>
      </w:r>
      <w:r>
        <w:rPr>
          <w:sz w:val="20"/>
        </w:rPr>
        <w:t>.</w:t>
      </w:r>
      <w:r>
        <w:rPr>
          <w:spacing w:val="-2"/>
          <w:sz w:val="20"/>
        </w:rPr>
        <w:t> </w:t>
      </w:r>
      <w:r>
        <w:rPr>
          <w:sz w:val="20"/>
        </w:rPr>
        <w:t>The</w:t>
      </w:r>
      <w:r>
        <w:rPr>
          <w:spacing w:val="-2"/>
          <w:sz w:val="20"/>
        </w:rPr>
        <w:t> </w:t>
      </w:r>
      <w:r>
        <w:rPr>
          <w:sz w:val="20"/>
        </w:rPr>
        <w:t>defendant</w:t>
      </w:r>
      <w:r>
        <w:rPr>
          <w:spacing w:val="-2"/>
          <w:sz w:val="20"/>
        </w:rPr>
        <w:t> </w:t>
      </w:r>
      <w:r>
        <w:rPr>
          <w:sz w:val="20"/>
        </w:rPr>
        <w:t>may</w:t>
      </w:r>
      <w:r>
        <w:rPr>
          <w:spacing w:val="-2"/>
          <w:sz w:val="20"/>
        </w:rPr>
        <w:t> </w:t>
      </w:r>
      <w:r>
        <w:rPr>
          <w:sz w:val="20"/>
        </w:rPr>
        <w:t>seek</w:t>
      </w:r>
      <w:r>
        <w:rPr>
          <w:spacing w:val="-2"/>
          <w:sz w:val="20"/>
        </w:rPr>
        <w:t> </w:t>
      </w:r>
      <w:r>
        <w:rPr>
          <w:sz w:val="20"/>
        </w:rPr>
        <w:t>contribution</w:t>
      </w:r>
      <w:r>
        <w:rPr>
          <w:spacing w:val="-2"/>
          <w:sz w:val="20"/>
        </w:rPr>
        <w:t> </w:t>
      </w:r>
      <w:r>
        <w:rPr>
          <w:sz w:val="20"/>
        </w:rPr>
        <w:t>from</w:t>
      </w:r>
      <w:r>
        <w:rPr>
          <w:spacing w:val="-2"/>
          <w:sz w:val="20"/>
        </w:rPr>
        <w:t> </w:t>
      </w:r>
      <w:r>
        <w:rPr>
          <w:sz w:val="20"/>
        </w:rPr>
        <w:t>a third party who contributed to the causation of the loss and who would also have been liable to the claimant: s.1(1) of the Civil Liability (Contribution) Act 1978. See Ch.17.</w:t>
      </w:r>
    </w:p>
    <w:p>
      <w:pPr>
        <w:pStyle w:val="BodyText"/>
        <w:spacing w:before="3"/>
      </w:pPr>
    </w:p>
    <w:p>
      <w:pPr>
        <w:tabs>
          <w:tab w:pos="705" w:val="left" w:leader="none"/>
        </w:tabs>
        <w:spacing w:before="1"/>
        <w:ind w:left="165" w:right="0" w:firstLine="0"/>
        <w:jc w:val="left"/>
        <w:rPr>
          <w:sz w:val="20"/>
        </w:rPr>
      </w:pPr>
      <w:bookmarkStart w:name="_bookmark779" w:id="781"/>
      <w:bookmarkEnd w:id="781"/>
      <w:r>
        <w:rPr/>
      </w:r>
      <w:hyperlink w:history="true" w:anchor="_bookmark719">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County Ltd v Girozentrale Securities [1996] 3 All E.R. 834 </w:t>
      </w:r>
      <w:r>
        <w:rPr>
          <w:rFonts w:ascii="Arial"/>
          <w:i/>
          <w:spacing w:val="-5"/>
          <w:sz w:val="20"/>
        </w:rPr>
        <w:t>CA</w:t>
      </w:r>
      <w:r>
        <w:rPr>
          <w:spacing w:val="-5"/>
          <w:sz w:val="20"/>
        </w:rPr>
        <w:t>.</w:t>
      </w:r>
    </w:p>
    <w:p>
      <w:pPr>
        <w:pStyle w:val="BodyText"/>
        <w:spacing w:before="8"/>
      </w:pPr>
    </w:p>
    <w:p>
      <w:pPr>
        <w:pStyle w:val="BodyText"/>
        <w:spacing w:line="235" w:lineRule="auto"/>
        <w:ind w:left="705" w:right="167" w:hanging="541"/>
        <w:jc w:val="both"/>
      </w:pPr>
      <w:bookmarkStart w:name="_bookmark780" w:id="782"/>
      <w:bookmarkEnd w:id="782"/>
      <w:r>
        <w:rPr/>
      </w:r>
      <w:hyperlink w:history="true" w:anchor="_bookmark720">
        <w:r>
          <w:rPr>
            <w:color w:val="005DA1"/>
            <w:position w:val="5"/>
            <w:sz w:val="14"/>
            <w:u w:val="single" w:color="005DA1"/>
          </w:rPr>
          <w:t>397</w:t>
        </w:r>
      </w:hyperlink>
      <w:r>
        <w:rPr>
          <w:position w:val="5"/>
          <w:sz w:val="14"/>
        </w:rPr>
        <w:t>.</w:t>
      </w:r>
      <w:r>
        <w:rPr>
          <w:spacing w:val="80"/>
          <w:w w:val="150"/>
          <w:position w:val="5"/>
          <w:sz w:val="14"/>
        </w:rPr>
        <w:t> </w:t>
      </w:r>
      <w:r>
        <w:rPr/>
        <w:t>The</w:t>
      </w:r>
      <w:r>
        <w:rPr>
          <w:spacing w:val="40"/>
        </w:rPr>
        <w:t> </w:t>
      </w:r>
      <w:r>
        <w:rPr/>
        <w:t>question</w:t>
      </w:r>
      <w:r>
        <w:rPr>
          <w:spacing w:val="40"/>
        </w:rPr>
        <w:t> </w:t>
      </w:r>
      <w:r>
        <w:rPr/>
        <w:t>whether</w:t>
      </w:r>
      <w:r>
        <w:rPr>
          <w:spacing w:val="40"/>
        </w:rPr>
        <w:t> </w:t>
      </w:r>
      <w:r>
        <w:rPr/>
        <w:t>a</w:t>
      </w:r>
      <w:r>
        <w:rPr>
          <w:spacing w:val="40"/>
        </w:rPr>
        <w:t> </w:t>
      </w:r>
      <w:r>
        <w:rPr/>
        <w:t>past</w:t>
      </w:r>
      <w:r>
        <w:rPr>
          <w:spacing w:val="40"/>
        </w:rPr>
        <w:t> </w:t>
      </w:r>
      <w:r>
        <w:rPr/>
        <w:t>event</w:t>
      </w:r>
      <w:r>
        <w:rPr>
          <w:spacing w:val="40"/>
        </w:rPr>
        <w:t> </w:t>
      </w:r>
      <w:r>
        <w:rPr/>
        <w:t>occurred</w:t>
      </w:r>
      <w:r>
        <w:rPr>
          <w:spacing w:val="40"/>
        </w:rPr>
        <w:t> </w:t>
      </w:r>
      <w:r>
        <w:rPr/>
        <w:t>must</w:t>
      </w:r>
      <w:r>
        <w:rPr>
          <w:spacing w:val="40"/>
        </w:rPr>
        <w:t> </w:t>
      </w:r>
      <w:r>
        <w:rPr/>
        <w:t>be</w:t>
      </w:r>
      <w:r>
        <w:rPr>
          <w:spacing w:val="40"/>
        </w:rPr>
        <w:t> </w:t>
      </w:r>
      <w:r>
        <w:rPr/>
        <w:t>decided</w:t>
      </w:r>
      <w:r>
        <w:rPr>
          <w:spacing w:val="40"/>
        </w:rPr>
        <w:t> </w:t>
      </w:r>
      <w:r>
        <w:rPr/>
        <w:t>on</w:t>
      </w:r>
      <w:r>
        <w:rPr>
          <w:spacing w:val="40"/>
        </w:rPr>
        <w:t> </w:t>
      </w:r>
      <w:r>
        <w:rPr/>
        <w:t>the</w:t>
      </w:r>
      <w:r>
        <w:rPr>
          <w:spacing w:val="40"/>
        </w:rPr>
        <w:t> </w:t>
      </w:r>
      <w:r>
        <w:rPr/>
        <w:t>balance</w:t>
      </w:r>
      <w:r>
        <w:rPr>
          <w:spacing w:val="40"/>
        </w:rPr>
        <w:t> </w:t>
      </w:r>
      <w:r>
        <w:rPr/>
        <w:t>of probabilities—once the claimant proves that it was more likely than not to have occurred, the court treats it as a definite fact: </w:t>
      </w:r>
      <w:r>
        <w:rPr>
          <w:rFonts w:ascii="Arial" w:hAnsi="Arial"/>
          <w:i/>
        </w:rPr>
        <w:t>Davies v Taylor [1974] A.C. 207, 213 </w:t>
      </w:r>
      <w:r>
        <w:rPr/>
        <w:t>(a tort case); it does “not raise any question of what might have been the situation in a hypothetical state of facts”:</w:t>
      </w:r>
      <w:r>
        <w:rPr>
          <w:spacing w:val="40"/>
        </w:rPr>
        <w:t> </w:t>
      </w:r>
      <w:r>
        <w:rPr>
          <w:rFonts w:ascii="Arial" w:hAnsi="Arial"/>
          <w:i/>
        </w:rPr>
        <w:t>Hotson v East Berkshire A.H.A. [1987] A.C. 750, 785</w:t>
      </w:r>
      <w:r>
        <w:rPr/>
        <w:t>; and so “chances” are not legally relevant. See Reece (1996) 59 M.L.R. 188.</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4720">
            <wp:simplePos x="0" y="0"/>
            <wp:positionH relativeFrom="page">
              <wp:posOffset>1257846</wp:posOffset>
            </wp:positionH>
            <wp:positionV relativeFrom="paragraph">
              <wp:posOffset>160387</wp:posOffset>
            </wp:positionV>
            <wp:extent cx="107988" cy="107988"/>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1" w:id="783"/>
      <w:bookmarkEnd w:id="783"/>
      <w:r>
        <w:rPr/>
      </w:r>
      <w:hyperlink w:history="true" w:anchor="_bookmark721">
        <w:r>
          <w:rPr>
            <w:color w:val="005DA1"/>
            <w:spacing w:val="-4"/>
            <w:sz w:val="14"/>
            <w:u w:val="single" w:color="005DA1"/>
          </w:rPr>
          <w:t>398</w:t>
        </w:r>
      </w:hyperlink>
      <w:r>
        <w:rPr>
          <w:spacing w:val="-4"/>
          <w:sz w:val="14"/>
        </w:rPr>
        <w:t>.</w:t>
      </w:r>
    </w:p>
    <w:p>
      <w:pPr>
        <w:spacing w:line="235" w:lineRule="auto" w:before="212"/>
        <w:ind w:left="165" w:right="167" w:firstLine="170"/>
        <w:jc w:val="both"/>
        <w:rPr>
          <w:sz w:val="20"/>
        </w:rPr>
      </w:pPr>
      <w:r>
        <w:rPr/>
        <w:br w:type="column"/>
      </w:r>
      <w:r>
        <w:rPr>
          <w:sz w:val="20"/>
        </w:rPr>
        <w:t>Where the defendant’s negligence has allegedly led to the claimant losing an opportunity to pursue a claim in litigation or in commercial negotiation, the defendant may bear an </w:t>
      </w:r>
      <w:r>
        <w:rPr>
          <w:sz w:val="20"/>
        </w:rPr>
        <w:t>evidential burden to prove that there is no causal link between the negligence and the loss: see </w:t>
      </w:r>
      <w:r>
        <w:rPr>
          <w:rFonts w:ascii="Arial" w:hAnsi="Arial"/>
          <w:i/>
          <w:sz w:val="20"/>
        </w:rPr>
        <w:t>Mount v Barker Austin [1998] P.N.L.R. 493, 510</w:t>
      </w:r>
      <w:r>
        <w:rPr>
          <w:sz w:val="20"/>
        </w:rPr>
        <w:t>, applied in </w:t>
      </w:r>
      <w:r>
        <w:rPr>
          <w:rFonts w:ascii="Arial" w:hAnsi="Arial"/>
          <w:i/>
          <w:sz w:val="20"/>
        </w:rPr>
        <w:t>Harding Homes (East Street) Ltd v Bircham Dyson</w:t>
      </w:r>
      <w:r>
        <w:rPr>
          <w:rFonts w:ascii="Arial" w:hAnsi="Arial"/>
          <w:i/>
          <w:spacing w:val="2"/>
          <w:sz w:val="20"/>
        </w:rPr>
        <w:t> </w:t>
      </w:r>
      <w:r>
        <w:rPr>
          <w:rFonts w:ascii="Arial" w:hAnsi="Arial"/>
          <w:i/>
          <w:sz w:val="20"/>
        </w:rPr>
        <w:t>Bell</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3329</w:t>
      </w:r>
      <w:r>
        <w:rPr>
          <w:rFonts w:ascii="Arial" w:hAnsi="Arial"/>
          <w:i/>
          <w:spacing w:val="2"/>
          <w:sz w:val="20"/>
        </w:rPr>
        <w:t> </w:t>
      </w:r>
      <w:r>
        <w:rPr>
          <w:rFonts w:ascii="Arial" w:hAnsi="Arial"/>
          <w:i/>
          <w:sz w:val="20"/>
        </w:rPr>
        <w:t>(Ch)</w:t>
      </w:r>
      <w:r>
        <w:rPr>
          <w:rFonts w:ascii="Arial" w:hAnsi="Arial"/>
          <w:i/>
          <w:spacing w:val="1"/>
          <w:sz w:val="20"/>
        </w:rPr>
        <w:t> </w:t>
      </w:r>
      <w:r>
        <w:rPr>
          <w:sz w:val="20"/>
        </w:rPr>
        <w:t>at</w:t>
      </w:r>
      <w:r>
        <w:rPr>
          <w:spacing w:val="2"/>
          <w:sz w:val="20"/>
        </w:rPr>
        <w:t> </w:t>
      </w:r>
      <w:r>
        <w:rPr>
          <w:sz w:val="20"/>
        </w:rPr>
        <w:t>[34].</w:t>
      </w:r>
      <w:r>
        <w:rPr>
          <w:spacing w:val="2"/>
          <w:sz w:val="20"/>
        </w:rPr>
        <w:t> </w:t>
      </w:r>
      <w:r>
        <w:rPr>
          <w:sz w:val="20"/>
        </w:rPr>
        <w:t>Where</w:t>
      </w:r>
      <w:r>
        <w:rPr>
          <w:spacing w:val="2"/>
          <w:sz w:val="20"/>
        </w:rPr>
        <w:t> </w:t>
      </w:r>
      <w:r>
        <w:rPr>
          <w:sz w:val="20"/>
        </w:rPr>
        <w:t>there</w:t>
      </w:r>
      <w:r>
        <w:rPr>
          <w:spacing w:val="2"/>
          <w:sz w:val="20"/>
        </w:rPr>
        <w:t> </w:t>
      </w:r>
      <w:r>
        <w:rPr>
          <w:sz w:val="20"/>
        </w:rPr>
        <w:t>are</w:t>
      </w:r>
      <w:r>
        <w:rPr>
          <w:spacing w:val="2"/>
          <w:sz w:val="20"/>
        </w:rPr>
        <w:t> </w:t>
      </w:r>
      <w:r>
        <w:rPr>
          <w:sz w:val="20"/>
        </w:rPr>
        <w:t>multiple</w:t>
      </w:r>
      <w:r>
        <w:rPr>
          <w:spacing w:val="2"/>
          <w:sz w:val="20"/>
        </w:rPr>
        <w:t> </w:t>
      </w:r>
      <w:r>
        <w:rPr>
          <w:sz w:val="20"/>
        </w:rPr>
        <w:t>contingencies</w:t>
      </w:r>
      <w:r>
        <w:rPr>
          <w:spacing w:val="2"/>
          <w:sz w:val="20"/>
        </w:rPr>
        <w:t> </w:t>
      </w:r>
      <w:r>
        <w:rPr>
          <w:sz w:val="20"/>
        </w:rPr>
        <w:t>that</w:t>
      </w:r>
      <w:r>
        <w:rPr>
          <w:spacing w:val="2"/>
          <w:sz w:val="20"/>
        </w:rPr>
        <w:t> </w:t>
      </w:r>
      <w:r>
        <w:rPr>
          <w:sz w:val="20"/>
        </w:rPr>
        <w:t>are</w:t>
      </w:r>
      <w:r>
        <w:rPr>
          <w:spacing w:val="2"/>
          <w:sz w:val="20"/>
        </w:rPr>
        <w:t> </w:t>
      </w:r>
      <w:r>
        <w:rPr>
          <w:spacing w:val="-5"/>
          <w:sz w:val="20"/>
        </w:rPr>
        <w:t>not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0" w:firstLine="0"/>
        <w:jc w:val="left"/>
        <w:rPr>
          <w:rFonts w:ascii="Arial"/>
          <w:i/>
          <w:sz w:val="20"/>
        </w:rPr>
      </w:pPr>
      <w:r>
        <w:rPr>
          <w:sz w:val="20"/>
        </w:rPr>
        <w:t>independent, the court should make an overall assessment rather than simply multiplying </w:t>
      </w:r>
      <w:r>
        <w:rPr>
          <w:sz w:val="20"/>
        </w:rPr>
        <w:t>the</w:t>
      </w:r>
      <w:r>
        <w:rPr>
          <w:spacing w:val="40"/>
          <w:sz w:val="20"/>
        </w:rPr>
        <w:t> </w:t>
      </w:r>
      <w:r>
        <w:rPr>
          <w:sz w:val="20"/>
        </w:rPr>
        <w:t>percentage</w:t>
      </w:r>
      <w:r>
        <w:rPr>
          <w:spacing w:val="3"/>
          <w:sz w:val="20"/>
        </w:rPr>
        <w:t> </w:t>
      </w:r>
      <w:r>
        <w:rPr>
          <w:sz w:val="20"/>
        </w:rPr>
        <w:t>chances</w:t>
      </w:r>
      <w:r>
        <w:rPr>
          <w:spacing w:val="3"/>
          <w:sz w:val="20"/>
        </w:rPr>
        <w:t> </w:t>
      </w:r>
      <w:r>
        <w:rPr>
          <w:sz w:val="20"/>
        </w:rPr>
        <w:t>of</w:t>
      </w:r>
      <w:r>
        <w:rPr>
          <w:spacing w:val="3"/>
          <w:sz w:val="20"/>
        </w:rPr>
        <w:t> </w:t>
      </w:r>
      <w:r>
        <w:rPr>
          <w:sz w:val="20"/>
        </w:rPr>
        <w:t>each</w:t>
      </w:r>
      <w:r>
        <w:rPr>
          <w:spacing w:val="3"/>
          <w:sz w:val="20"/>
        </w:rPr>
        <w:t> </w:t>
      </w:r>
      <w:r>
        <w:rPr>
          <w:sz w:val="20"/>
        </w:rPr>
        <w:t>one:</w:t>
      </w:r>
      <w:r>
        <w:rPr>
          <w:spacing w:val="3"/>
          <w:sz w:val="20"/>
        </w:rPr>
        <w:t> </w:t>
      </w:r>
      <w:r>
        <w:rPr>
          <w:rFonts w:ascii="Arial"/>
          <w:i/>
          <w:sz w:val="20"/>
        </w:rPr>
        <w:t>Tom</w:t>
      </w:r>
      <w:r>
        <w:rPr>
          <w:rFonts w:ascii="Arial"/>
          <w:i/>
          <w:spacing w:val="3"/>
          <w:sz w:val="20"/>
        </w:rPr>
        <w:t> </w:t>
      </w:r>
      <w:r>
        <w:rPr>
          <w:rFonts w:ascii="Arial"/>
          <w:i/>
          <w:sz w:val="20"/>
        </w:rPr>
        <w:t>Hoskins</w:t>
      </w:r>
      <w:r>
        <w:rPr>
          <w:rFonts w:ascii="Arial"/>
          <w:i/>
          <w:spacing w:val="3"/>
          <w:sz w:val="20"/>
        </w:rPr>
        <w:t> </w:t>
      </w:r>
      <w:r>
        <w:rPr>
          <w:rFonts w:ascii="Arial"/>
          <w:i/>
          <w:sz w:val="20"/>
        </w:rPr>
        <w:t>Plc</w:t>
      </w:r>
      <w:r>
        <w:rPr>
          <w:rFonts w:ascii="Arial"/>
          <w:i/>
          <w:spacing w:val="3"/>
          <w:sz w:val="20"/>
        </w:rPr>
        <w:t> </w:t>
      </w:r>
      <w:r>
        <w:rPr>
          <w:rFonts w:ascii="Arial"/>
          <w:i/>
          <w:sz w:val="20"/>
        </w:rPr>
        <w:t>v</w:t>
      </w:r>
      <w:r>
        <w:rPr>
          <w:rFonts w:ascii="Arial"/>
          <w:i/>
          <w:spacing w:val="3"/>
          <w:sz w:val="20"/>
        </w:rPr>
        <w:t> </w:t>
      </w:r>
      <w:r>
        <w:rPr>
          <w:rFonts w:ascii="Arial"/>
          <w:i/>
          <w:sz w:val="20"/>
        </w:rPr>
        <w:t>EMW</w:t>
      </w:r>
      <w:r>
        <w:rPr>
          <w:rFonts w:ascii="Arial"/>
          <w:i/>
          <w:spacing w:val="3"/>
          <w:sz w:val="20"/>
        </w:rPr>
        <w:t> </w:t>
      </w:r>
      <w:r>
        <w:rPr>
          <w:rFonts w:ascii="Arial"/>
          <w:i/>
          <w:sz w:val="20"/>
        </w:rPr>
        <w:t>Law</w:t>
      </w:r>
      <w:r>
        <w:rPr>
          <w:rFonts w:ascii="Arial"/>
          <w:i/>
          <w:spacing w:val="3"/>
          <w:sz w:val="20"/>
        </w:rPr>
        <w:t> </w:t>
      </w:r>
      <w:r>
        <w:rPr>
          <w:rFonts w:ascii="Arial"/>
          <w:i/>
          <w:sz w:val="20"/>
        </w:rPr>
        <w:t>[2010]</w:t>
      </w:r>
      <w:r>
        <w:rPr>
          <w:rFonts w:ascii="Arial"/>
          <w:i/>
          <w:spacing w:val="3"/>
          <w:sz w:val="20"/>
        </w:rPr>
        <w:t> </w:t>
      </w:r>
      <w:r>
        <w:rPr>
          <w:rFonts w:ascii="Arial"/>
          <w:i/>
          <w:sz w:val="20"/>
        </w:rPr>
        <w:t>EWHC</w:t>
      </w:r>
      <w:r>
        <w:rPr>
          <w:rFonts w:ascii="Arial"/>
          <w:i/>
          <w:spacing w:val="3"/>
          <w:sz w:val="20"/>
        </w:rPr>
        <w:t> </w:t>
      </w:r>
      <w:r>
        <w:rPr>
          <w:rFonts w:ascii="Arial"/>
          <w:i/>
          <w:sz w:val="20"/>
        </w:rPr>
        <w:t>479</w:t>
      </w:r>
      <w:r>
        <w:rPr>
          <w:rFonts w:ascii="Arial"/>
          <w:i/>
          <w:spacing w:val="3"/>
          <w:sz w:val="20"/>
        </w:rPr>
        <w:t> </w:t>
      </w:r>
      <w:r>
        <w:rPr>
          <w:rFonts w:ascii="Arial"/>
          <w:i/>
          <w:sz w:val="20"/>
        </w:rPr>
        <w:t>(Ch),</w:t>
      </w:r>
      <w:r>
        <w:rPr>
          <w:rFonts w:ascii="Arial"/>
          <w:i/>
          <w:spacing w:val="3"/>
          <w:sz w:val="20"/>
        </w:rPr>
        <w:t> </w:t>
      </w:r>
      <w:r>
        <w:rPr>
          <w:rFonts w:ascii="Arial"/>
          <w:i/>
          <w:spacing w:val="-2"/>
          <w:sz w:val="20"/>
        </w:rPr>
        <w:t>[2010]</w:t>
      </w:r>
    </w:p>
    <w:p>
      <w:pPr>
        <w:spacing w:line="235" w:lineRule="auto" w:before="0"/>
        <w:ind w:left="705" w:right="0" w:firstLine="0"/>
        <w:jc w:val="left"/>
        <w:rPr>
          <w:sz w:val="20"/>
        </w:rPr>
      </w:pPr>
      <w:r>
        <w:rPr>
          <w:rFonts w:ascii="Arial" w:hAnsi="Arial"/>
          <w:i/>
          <w:sz w:val="20"/>
        </w:rPr>
        <w:t>E.C.C. 20 </w:t>
      </w:r>
      <w:r>
        <w:rPr>
          <w:sz w:val="20"/>
        </w:rPr>
        <w:t>at [133]–[134]; </w:t>
      </w:r>
      <w:r>
        <w:rPr>
          <w:rFonts w:ascii="Arial" w:hAnsi="Arial"/>
          <w:i/>
          <w:sz w:val="20"/>
        </w:rPr>
        <w:t>Harding Homes (East Street) Ltd v Bircham Dyson Bell [2015] EWHC 3329 (Ch) </w:t>
      </w:r>
      <w:r>
        <w:rPr>
          <w:sz w:val="20"/>
        </w:rPr>
        <w:t>at [42].</w:t>
      </w:r>
    </w:p>
    <w:p>
      <w:pPr>
        <w:pStyle w:val="BodyText"/>
        <w:spacing w:before="9"/>
      </w:pPr>
    </w:p>
    <w:p>
      <w:pPr>
        <w:spacing w:line="235" w:lineRule="auto" w:before="0"/>
        <w:ind w:left="705" w:right="168" w:hanging="541"/>
        <w:jc w:val="both"/>
        <w:rPr>
          <w:sz w:val="20"/>
        </w:rPr>
      </w:pPr>
      <w:bookmarkStart w:name="_bookmark782" w:id="784"/>
      <w:bookmarkEnd w:id="784"/>
      <w:r>
        <w:rPr/>
      </w:r>
      <w:hyperlink w:history="true" w:anchor="_bookmark722">
        <w:r>
          <w:rPr>
            <w:color w:val="005DA1"/>
            <w:position w:val="5"/>
            <w:sz w:val="14"/>
            <w:u w:val="single" w:color="005DA1"/>
          </w:rPr>
          <w:t>399</w:t>
        </w:r>
      </w:hyperlink>
      <w:r>
        <w:rPr>
          <w:position w:val="5"/>
          <w:sz w:val="14"/>
        </w:rPr>
        <w:t>.</w:t>
      </w:r>
      <w:r>
        <w:rPr>
          <w:spacing w:val="80"/>
          <w:w w:val="150"/>
          <w:position w:val="5"/>
          <w:sz w:val="14"/>
        </w:rPr>
        <w:t> </w:t>
      </w:r>
      <w:r>
        <w:rPr>
          <w:rFonts w:ascii="Arial"/>
          <w:i/>
          <w:sz w:val="20"/>
        </w:rPr>
        <w:t>Allied Maples Group Ltd v Simmons and Simmons [1995] 1 W.L.R. 1602 CA</w:t>
      </w:r>
      <w:r>
        <w:rPr>
          <w:sz w:val="20"/>
        </w:rPr>
        <w:t>; </w:t>
      </w:r>
      <w:r>
        <w:rPr>
          <w:rFonts w:ascii="Arial"/>
          <w:i/>
          <w:sz w:val="20"/>
        </w:rPr>
        <w:t>Brown v K.M.R. Services Ltd [1995] 4 All E.R. 598, 617, 638 CA</w:t>
      </w:r>
      <w:r>
        <w:rPr>
          <w:sz w:val="20"/>
        </w:rPr>
        <w:t>. See also </w:t>
      </w:r>
      <w:r>
        <w:rPr>
          <w:rFonts w:ascii="Arial"/>
          <w:i/>
          <w:sz w:val="20"/>
        </w:rPr>
        <w:t>Sykes v Midland Bank Executor and Trustee Co [1971] 1 Q.B. 113</w:t>
      </w:r>
      <w:r>
        <w:rPr>
          <w:sz w:val="20"/>
        </w:rPr>
        <w:t>.</w:t>
      </w:r>
    </w:p>
    <w:p>
      <w:pPr>
        <w:pStyle w:val="BodyText"/>
        <w:spacing w:before="8"/>
      </w:pPr>
    </w:p>
    <w:p>
      <w:pPr>
        <w:spacing w:line="235" w:lineRule="auto" w:before="1"/>
        <w:ind w:left="705" w:right="168" w:hanging="541"/>
        <w:jc w:val="both"/>
        <w:rPr>
          <w:sz w:val="20"/>
        </w:rPr>
      </w:pPr>
      <w:bookmarkStart w:name="_bookmark783" w:id="785"/>
      <w:bookmarkEnd w:id="785"/>
      <w:r>
        <w:rPr/>
      </w:r>
      <w:hyperlink w:history="true" w:anchor="_bookmark723">
        <w:r>
          <w:rPr>
            <w:color w:val="005DA1"/>
            <w:position w:val="5"/>
            <w:sz w:val="14"/>
            <w:u w:val="single" w:color="005DA1"/>
          </w:rPr>
          <w:t>400</w:t>
        </w:r>
      </w:hyperlink>
      <w:r>
        <w:rPr>
          <w:position w:val="5"/>
          <w:sz w:val="14"/>
        </w:rPr>
        <w:t>.</w:t>
      </w:r>
      <w:r>
        <w:rPr>
          <w:spacing w:val="80"/>
          <w:position w:val="5"/>
          <w:sz w:val="14"/>
        </w:rPr>
        <w:t>  </w:t>
      </w:r>
      <w:r>
        <w:rPr>
          <w:sz w:val="20"/>
        </w:rPr>
        <w:t>The</w:t>
      </w:r>
      <w:r>
        <w:rPr>
          <w:spacing w:val="-1"/>
          <w:sz w:val="20"/>
        </w:rPr>
        <w:t> </w:t>
      </w:r>
      <w:r>
        <w:rPr>
          <w:sz w:val="20"/>
        </w:rPr>
        <w:t>case</w:t>
      </w:r>
      <w:r>
        <w:rPr>
          <w:spacing w:val="-1"/>
          <w:sz w:val="20"/>
        </w:rPr>
        <w:t> </w:t>
      </w:r>
      <w:r>
        <w:rPr>
          <w:sz w:val="20"/>
        </w:rPr>
        <w:t>of</w:t>
      </w:r>
      <w:r>
        <w:rPr>
          <w:spacing w:val="-1"/>
          <w:sz w:val="20"/>
        </w:rPr>
        <w:t> </w:t>
      </w:r>
      <w:r>
        <w:rPr>
          <w:rFonts w:ascii="Arial"/>
          <w:i/>
          <w:sz w:val="20"/>
        </w:rPr>
        <w:t>Otter</w:t>
      </w:r>
      <w:r>
        <w:rPr>
          <w:rFonts w:ascii="Arial"/>
          <w:i/>
          <w:spacing w:val="-1"/>
          <w:sz w:val="20"/>
        </w:rPr>
        <w:t> </w:t>
      </w:r>
      <w:r>
        <w:rPr>
          <w:rFonts w:ascii="Arial"/>
          <w:i/>
          <w:sz w:val="20"/>
        </w:rPr>
        <w:t>v</w:t>
      </w:r>
      <w:r>
        <w:rPr>
          <w:rFonts w:ascii="Arial"/>
          <w:i/>
          <w:spacing w:val="-1"/>
          <w:sz w:val="20"/>
        </w:rPr>
        <w:t> </w:t>
      </w:r>
      <w:r>
        <w:rPr>
          <w:rFonts w:ascii="Arial"/>
          <w:i/>
          <w:sz w:val="20"/>
        </w:rPr>
        <w:t>Church,</w:t>
      </w:r>
      <w:r>
        <w:rPr>
          <w:rFonts w:ascii="Arial"/>
          <w:i/>
          <w:spacing w:val="-1"/>
          <w:sz w:val="20"/>
        </w:rPr>
        <w:t> </w:t>
      </w:r>
      <w:r>
        <w:rPr>
          <w:rFonts w:ascii="Arial"/>
          <w:i/>
          <w:sz w:val="20"/>
        </w:rPr>
        <w:t>Adams</w:t>
      </w:r>
      <w:r>
        <w:rPr>
          <w:rFonts w:ascii="Arial"/>
          <w:i/>
          <w:spacing w:val="-1"/>
          <w:sz w:val="20"/>
        </w:rPr>
        <w:t> </w:t>
      </w:r>
      <w:r>
        <w:rPr>
          <w:rFonts w:ascii="Arial"/>
          <w:i/>
          <w:sz w:val="20"/>
        </w:rPr>
        <w:t>Tatham</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[1953]</w:t>
      </w:r>
      <w:r>
        <w:rPr>
          <w:rFonts w:ascii="Arial"/>
          <w:i/>
          <w:spacing w:val="-1"/>
          <w:sz w:val="20"/>
        </w:rPr>
        <w:t> </w:t>
      </w:r>
      <w:r>
        <w:rPr>
          <w:rFonts w:ascii="Arial"/>
          <w:i/>
          <w:sz w:val="20"/>
        </w:rPr>
        <w:t>1</w:t>
      </w:r>
      <w:r>
        <w:rPr>
          <w:rFonts w:ascii="Arial"/>
          <w:i/>
          <w:spacing w:val="-1"/>
          <w:sz w:val="20"/>
        </w:rPr>
        <w:t> </w:t>
      </w:r>
      <w:r>
        <w:rPr>
          <w:rFonts w:ascii="Arial"/>
          <w:i/>
          <w:sz w:val="20"/>
        </w:rPr>
        <w:t>Ch.</w:t>
      </w:r>
      <w:r>
        <w:rPr>
          <w:rFonts w:ascii="Arial"/>
          <w:i/>
          <w:spacing w:val="-1"/>
          <w:sz w:val="20"/>
        </w:rPr>
        <w:t> </w:t>
      </w:r>
      <w:r>
        <w:rPr>
          <w:rFonts w:ascii="Arial"/>
          <w:i/>
          <w:sz w:val="20"/>
        </w:rPr>
        <w:t>280</w:t>
      </w:r>
      <w:r>
        <w:rPr>
          <w:sz w:val="20"/>
        </w:rPr>
        <w:t>,</w:t>
      </w:r>
      <w:r>
        <w:rPr>
          <w:spacing w:val="-1"/>
          <w:sz w:val="20"/>
        </w:rPr>
        <w:t> </w:t>
      </w:r>
      <w:r>
        <w:rPr>
          <w:sz w:val="20"/>
        </w:rPr>
        <w:t>which</w:t>
      </w:r>
      <w:r>
        <w:rPr>
          <w:spacing w:val="-1"/>
          <w:sz w:val="20"/>
        </w:rPr>
        <w:t> </w:t>
      </w:r>
      <w:r>
        <w:rPr>
          <w:sz w:val="20"/>
        </w:rPr>
        <w:t>decided</w:t>
      </w:r>
      <w:r>
        <w:rPr>
          <w:spacing w:val="-1"/>
          <w:sz w:val="20"/>
        </w:rPr>
        <w:t> </w:t>
      </w:r>
      <w:r>
        <w:rPr>
          <w:sz w:val="20"/>
        </w:rPr>
        <w:t>the</w:t>
      </w:r>
      <w:r>
        <w:rPr>
          <w:spacing w:val="-1"/>
          <w:sz w:val="20"/>
        </w:rPr>
        <w:t> </w:t>
      </w:r>
      <w:r>
        <w:rPr>
          <w:sz w:val="20"/>
        </w:rPr>
        <w:t>contrary, was criticised in the Court of Appeal in both the </w:t>
      </w:r>
      <w:r>
        <w:rPr>
          <w:rFonts w:ascii="Arial"/>
          <w:i/>
          <w:sz w:val="20"/>
        </w:rPr>
        <w:t>Allied Maples case [1995] 1 W.L.R. 1602, </w:t>
      </w:r>
      <w:r>
        <w:rPr>
          <w:rFonts w:ascii="Arial"/>
          <w:i/>
          <w:sz w:val="20"/>
        </w:rPr>
        <w:t>290</w:t>
      </w:r>
      <w:r>
        <w:rPr>
          <w:sz w:val="20"/>
        </w:rPr>
        <w:t>; and </w:t>
      </w:r>
      <w:r>
        <w:rPr>
          <w:rFonts w:ascii="Arial"/>
          <w:i/>
          <w:sz w:val="20"/>
        </w:rPr>
        <w:t>Sykes v Midland Bank Executor and Trustee Co [1971] 1 Q.B. 113, 130</w:t>
      </w:r>
      <w:r>
        <w:rPr>
          <w:sz w:val="20"/>
        </w:rPr>
        <w:t>.</w:t>
      </w:r>
    </w:p>
    <w:p>
      <w:pPr>
        <w:pStyle w:val="BodyText"/>
        <w:spacing w:before="8"/>
      </w:pPr>
    </w:p>
    <w:p>
      <w:pPr>
        <w:pStyle w:val="BodyText"/>
        <w:spacing w:line="235" w:lineRule="auto"/>
        <w:ind w:left="705" w:right="167" w:hanging="541"/>
        <w:jc w:val="both"/>
      </w:pPr>
      <w:bookmarkStart w:name="_bookmark784" w:id="786"/>
      <w:bookmarkEnd w:id="786"/>
      <w:r>
        <w:rPr/>
      </w:r>
      <w:hyperlink w:history="true" w:anchor="_bookmark724">
        <w:r>
          <w:rPr>
            <w:color w:val="005DA1"/>
            <w:position w:val="5"/>
            <w:sz w:val="14"/>
            <w:u w:val="single" w:color="005DA1"/>
          </w:rPr>
          <w:t>401</w:t>
        </w:r>
      </w:hyperlink>
      <w:r>
        <w:rPr>
          <w:position w:val="5"/>
          <w:sz w:val="14"/>
        </w:rPr>
        <w:t>.</w:t>
      </w:r>
      <w:r>
        <w:rPr>
          <w:spacing w:val="40"/>
          <w:position w:val="5"/>
          <w:sz w:val="14"/>
        </w:rPr>
        <w:t>  </w:t>
      </w:r>
      <w:r>
        <w:rPr/>
        <w:t>This issue could arise in a case where it was also relevant to decide how the claimant </w:t>
      </w:r>
      <w:r>
        <w:rPr/>
        <w:t>himself would have acted: the </w:t>
      </w:r>
      <w:r>
        <w:rPr>
          <w:rFonts w:ascii="Arial"/>
          <w:i/>
        </w:rPr>
        <w:t>Allied Maples case [1995] 1 W.L.R. 1602</w:t>
      </w:r>
      <w:r>
        <w:rPr/>
        <w:t>. Loss of profits will always depend on many speculative factors, such as third parties continuing to deal with the claimant: this paragraph, however, deals with the loss of a specific opportunity.</w:t>
      </w:r>
    </w:p>
    <w:p>
      <w:pPr>
        <w:pStyle w:val="BodyText"/>
        <w:spacing w:before="9"/>
      </w:pPr>
    </w:p>
    <w:p>
      <w:pPr>
        <w:spacing w:line="235" w:lineRule="auto" w:before="0"/>
        <w:ind w:left="705" w:right="167" w:hanging="541"/>
        <w:jc w:val="both"/>
        <w:rPr>
          <w:sz w:val="20"/>
        </w:rPr>
      </w:pPr>
      <w:bookmarkStart w:name="_bookmark785" w:id="787"/>
      <w:bookmarkEnd w:id="787"/>
      <w:r>
        <w:rPr/>
      </w:r>
      <w:hyperlink w:history="true" w:anchor="_bookmark725">
        <w:r>
          <w:rPr>
            <w:color w:val="005DA1"/>
            <w:position w:val="5"/>
            <w:sz w:val="14"/>
            <w:u w:val="single" w:color="005DA1"/>
          </w:rPr>
          <w:t>402</w:t>
        </w:r>
      </w:hyperlink>
      <w:r>
        <w:rPr>
          <w:position w:val="5"/>
          <w:sz w:val="14"/>
        </w:rPr>
        <w:t>.</w:t>
      </w:r>
      <w:r>
        <w:rPr>
          <w:spacing w:val="80"/>
          <w:w w:val="150"/>
          <w:position w:val="5"/>
          <w:sz w:val="14"/>
        </w:rPr>
        <w:t> </w:t>
      </w:r>
      <w:r>
        <w:rPr>
          <w:sz w:val="20"/>
        </w:rPr>
        <w:t>On the balance of probabilities: </w:t>
      </w:r>
      <w:r>
        <w:rPr>
          <w:rFonts w:ascii="Arial" w:hAnsi="Arial"/>
          <w:i/>
          <w:sz w:val="20"/>
        </w:rPr>
        <w:t>North Sea Energy Holdings NV v Petroleum Authority of</w:t>
      </w:r>
      <w:r>
        <w:rPr>
          <w:rFonts w:ascii="Arial" w:hAnsi="Arial"/>
          <w:i/>
          <w:spacing w:val="80"/>
          <w:sz w:val="20"/>
        </w:rPr>
        <w:t> </w:t>
      </w:r>
      <w:r>
        <w:rPr>
          <w:rFonts w:ascii="Arial" w:hAnsi="Arial"/>
          <w:i/>
          <w:sz w:val="20"/>
        </w:rPr>
        <w:t>Thailand [1999] 1 All E.R. (Comm) 173, 187 CA </w:t>
      </w:r>
      <w:r>
        <w:rPr>
          <w:sz w:val="20"/>
        </w:rPr>
        <w:t>(no substantial chance shown). A case is not one of loss of chance merely because the court has to evaluate what someone would </w:t>
      </w:r>
      <w:r>
        <w:rPr>
          <w:sz w:val="20"/>
        </w:rPr>
        <w:t>have done had the contract not been broken: </w:t>
      </w:r>
      <w:r>
        <w:rPr>
          <w:rFonts w:ascii="Arial" w:hAnsi="Arial"/>
          <w:i/>
          <w:sz w:val="20"/>
        </w:rPr>
        <w:t>Law Debenture Trust Corp Plc v Elektrim SA [2010] EWCA Civ 1142 </w:t>
      </w:r>
      <w:r>
        <w:rPr>
          <w:sz w:val="20"/>
        </w:rPr>
        <w:t>at [45]–[46]; </w:t>
      </w:r>
      <w:r>
        <w:rPr>
          <w:rFonts w:ascii="Arial" w:hAnsi="Arial"/>
          <w:i/>
          <w:sz w:val="20"/>
        </w:rPr>
        <w:t>AerCap Partners 1 Ltd v Avia Asset Management AB [2010] EWHC 2431 (Comm), [2010] 2 C.L.C. 578 </w:t>
      </w:r>
      <w:r>
        <w:rPr>
          <w:sz w:val="20"/>
        </w:rPr>
        <w:t>(“The rationale of the loss of a chance doctrine is to permit recovery to a claimant who, by reason of uncertainty, would otherwise be unable to</w:t>
      </w:r>
      <w:r>
        <w:rPr>
          <w:spacing w:val="40"/>
          <w:sz w:val="20"/>
        </w:rPr>
        <w:t> </w:t>
      </w:r>
      <w:r>
        <w:rPr>
          <w:sz w:val="20"/>
        </w:rPr>
        <w:t>prove causation to the standard of a balance of probabilities; it is not to deny full recovery to a claimant who successfully meets that burden. Underlying the loss of a chance doctrine, are, as</w:t>
      </w:r>
      <w:r>
        <w:rPr>
          <w:spacing w:val="40"/>
          <w:sz w:val="20"/>
        </w:rPr>
        <w:t> </w:t>
      </w:r>
      <w:r>
        <w:rPr>
          <w:sz w:val="20"/>
        </w:rPr>
        <w:t>it seems to me considerations of policy and good sense. But where a claimant can establish causation on a balance of probabilities, such considerations do not oblige the court and the parties nonetheless to evaluate the chances involved”: Gross L.J. at [76]).</w:t>
      </w:r>
    </w:p>
    <w:p>
      <w:pPr>
        <w:pStyle w:val="BodyText"/>
        <w:spacing w:before="5"/>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5232">
            <wp:simplePos x="0" y="0"/>
            <wp:positionH relativeFrom="page">
              <wp:posOffset>1257846</wp:posOffset>
            </wp:positionH>
            <wp:positionV relativeFrom="paragraph">
              <wp:posOffset>160629</wp:posOffset>
            </wp:positionV>
            <wp:extent cx="107988" cy="107988"/>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6" w:id="788"/>
      <w:bookmarkEnd w:id="788"/>
      <w:r>
        <w:rPr/>
      </w:r>
      <w:hyperlink w:history="true" w:anchor="_bookmark726">
        <w:r>
          <w:rPr>
            <w:color w:val="005DA1"/>
            <w:spacing w:val="-4"/>
            <w:sz w:val="14"/>
            <w:u w:val="single" w:color="005DA1"/>
          </w:rPr>
          <w:t>403</w:t>
        </w:r>
      </w:hyperlink>
      <w:r>
        <w:rPr>
          <w:spacing w:val="-4"/>
          <w:sz w:val="14"/>
        </w:rPr>
        <w:t>.</w:t>
      </w:r>
    </w:p>
    <w:p>
      <w:pPr>
        <w:spacing w:line="235" w:lineRule="auto" w:before="212"/>
        <w:ind w:left="165" w:right="0" w:firstLine="170"/>
        <w:jc w:val="left"/>
        <w:rPr>
          <w:sz w:val="20"/>
        </w:rPr>
      </w:pPr>
      <w:r>
        <w:rPr/>
        <w:br w:type="column"/>
      </w:r>
      <w:r>
        <w:rPr>
          <w:sz w:val="20"/>
        </w:rPr>
        <w:t>As in </w:t>
      </w:r>
      <w:r>
        <w:rPr>
          <w:rFonts w:ascii="Arial" w:hAnsi="Arial"/>
          <w:i/>
          <w:sz w:val="20"/>
        </w:rPr>
        <w:t>Wright v Lewis Silkin LLP [2016] EWCA Civ 1308 </w:t>
      </w:r>
      <w:r>
        <w:rPr>
          <w:sz w:val="20"/>
        </w:rPr>
        <w:t>at [62]–[66]. On remoteness see Main Work, Vol.I, paras 2-107 et seq.</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10"/>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5744">
            <wp:simplePos x="0" y="0"/>
            <wp:positionH relativeFrom="page">
              <wp:posOffset>1257846</wp:posOffset>
            </wp:positionH>
            <wp:positionV relativeFrom="paragraph">
              <wp:posOffset>160153</wp:posOffset>
            </wp:positionV>
            <wp:extent cx="107988" cy="107988"/>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7" w:id="789"/>
      <w:bookmarkEnd w:id="789"/>
      <w:r>
        <w:rPr/>
      </w:r>
      <w:hyperlink w:history="true" w:anchor="_bookmark727">
        <w:r>
          <w:rPr>
            <w:color w:val="005DA1"/>
            <w:spacing w:val="-4"/>
            <w:sz w:val="14"/>
            <w:u w:val="single" w:color="005DA1"/>
          </w:rPr>
          <w:t>404</w:t>
        </w:r>
      </w:hyperlink>
      <w:r>
        <w:rPr>
          <w:spacing w:val="-4"/>
          <w:sz w:val="14"/>
        </w:rPr>
        <w:t>.</w:t>
      </w:r>
    </w:p>
    <w:p>
      <w:pPr>
        <w:spacing w:line="235" w:lineRule="auto" w:before="212"/>
        <w:ind w:left="165" w:right="167" w:firstLine="170"/>
        <w:jc w:val="both"/>
        <w:rPr>
          <w:sz w:val="20"/>
        </w:rPr>
      </w:pPr>
      <w:r>
        <w:rPr/>
        <w:br w:type="column"/>
      </w:r>
      <w:r>
        <w:rPr>
          <w:sz w:val="20"/>
        </w:rPr>
        <w:t>The </w:t>
      </w:r>
      <w:r>
        <w:rPr>
          <w:rFonts w:ascii="Arial" w:hAnsi="Arial"/>
          <w:i/>
          <w:sz w:val="20"/>
        </w:rPr>
        <w:t>Allied Maples case [1995] 1 W.L.R. 1602</w:t>
      </w:r>
      <w:r>
        <w:rPr>
          <w:sz w:val="20"/>
        </w:rPr>
        <w:t>. (CA: a claim in tort, but the facts also</w:t>
      </w:r>
      <w:r>
        <w:rPr>
          <w:spacing w:val="40"/>
          <w:sz w:val="20"/>
        </w:rPr>
        <w:t> </w:t>
      </w:r>
      <w:r>
        <w:rPr>
          <w:sz w:val="20"/>
        </w:rPr>
        <w:t>amounted to a breach of contract: the case was considered in </w:t>
      </w:r>
      <w:r>
        <w:rPr>
          <w:rFonts w:ascii="Arial" w:hAnsi="Arial"/>
          <w:i/>
          <w:sz w:val="20"/>
        </w:rPr>
        <w:t>Bank of Credit and </w:t>
      </w:r>
      <w:r>
        <w:rPr>
          <w:rFonts w:ascii="Arial" w:hAnsi="Arial"/>
          <w:i/>
          <w:sz w:val="20"/>
        </w:rPr>
        <w:t>Commerce International SA v Ali (No.3) [2002] EWCA 82, [2002] 3 All E.R. 750 </w:t>
      </w:r>
      <w:r>
        <w:rPr>
          <w:sz w:val="20"/>
        </w:rPr>
        <w:t>(loss of the chance of employment)). See also </w:t>
      </w:r>
      <w:r>
        <w:rPr>
          <w:rFonts w:ascii="Arial" w:hAnsi="Arial"/>
          <w:i/>
          <w:sz w:val="20"/>
        </w:rPr>
        <w:t>Maden v Clifford Coppock &amp; Carter (A Firm) [2004] EWCA Civ 1037, [2005] 2 All E.R. 43 </w:t>
      </w:r>
      <w:r>
        <w:rPr>
          <w:sz w:val="20"/>
        </w:rPr>
        <w:t>(80 per cent chance of obtaining a particular level of damages in an out of court settlement); </w:t>
      </w:r>
      <w:r>
        <w:rPr>
          <w:rFonts w:ascii="Arial" w:hAnsi="Arial"/>
          <w:i/>
          <w:sz w:val="20"/>
        </w:rPr>
        <w:t>Wellesley Partners LLP v Withers LLP [2015] EWCA Civ 1146, [2016] Ch.</w:t>
      </w:r>
      <w:r>
        <w:rPr>
          <w:rFonts w:ascii="Arial" w:hAnsi="Arial"/>
          <w:i/>
          <w:spacing w:val="40"/>
          <w:sz w:val="20"/>
        </w:rPr>
        <w:t> </w:t>
      </w:r>
      <w:r>
        <w:rPr>
          <w:rFonts w:ascii="Arial" w:hAnsi="Arial"/>
          <w:i/>
          <w:sz w:val="20"/>
        </w:rPr>
        <w:t>529 </w:t>
      </w:r>
      <w:r>
        <w:rPr>
          <w:sz w:val="20"/>
        </w:rPr>
        <w:t>(distinguishing, at [96]–[98], the different exercise of assessing or quantifying the loss once the</w:t>
      </w:r>
      <w:r>
        <w:rPr>
          <w:spacing w:val="-1"/>
          <w:sz w:val="20"/>
        </w:rPr>
        <w:t> </w:t>
      </w:r>
      <w:r>
        <w:rPr>
          <w:sz w:val="20"/>
        </w:rPr>
        <w:t>loss</w:t>
      </w:r>
      <w:r>
        <w:rPr>
          <w:spacing w:val="-1"/>
          <w:sz w:val="20"/>
        </w:rPr>
        <w:t> </w:t>
      </w:r>
      <w:r>
        <w:rPr>
          <w:sz w:val="20"/>
        </w:rPr>
        <w:t>of</w:t>
      </w:r>
      <w:r>
        <w:rPr>
          <w:spacing w:val="-1"/>
          <w:sz w:val="20"/>
        </w:rPr>
        <w:t> </w:t>
      </w:r>
      <w:r>
        <w:rPr>
          <w:sz w:val="20"/>
        </w:rPr>
        <w:t>chance</w:t>
      </w:r>
      <w:r>
        <w:rPr>
          <w:spacing w:val="-1"/>
          <w:sz w:val="20"/>
        </w:rPr>
        <w:t> </w:t>
      </w:r>
      <w:r>
        <w:rPr>
          <w:sz w:val="20"/>
        </w:rPr>
        <w:t>has</w:t>
      </w:r>
      <w:r>
        <w:rPr>
          <w:spacing w:val="-1"/>
          <w:sz w:val="20"/>
        </w:rPr>
        <w:t> </w:t>
      </w:r>
      <w:r>
        <w:rPr>
          <w:sz w:val="20"/>
        </w:rPr>
        <w:t>been</w:t>
      </w:r>
      <w:r>
        <w:rPr>
          <w:spacing w:val="-1"/>
          <w:sz w:val="20"/>
        </w:rPr>
        <w:t> </w:t>
      </w:r>
      <w:r>
        <w:rPr>
          <w:sz w:val="20"/>
        </w:rPr>
        <w:t>established;</w:t>
      </w:r>
      <w:r>
        <w:rPr>
          <w:spacing w:val="-1"/>
          <w:sz w:val="20"/>
        </w:rPr>
        <w:t> </w:t>
      </w:r>
      <w:r>
        <w:rPr>
          <w:sz w:val="20"/>
        </w:rPr>
        <w:t>on</w:t>
      </w:r>
      <w:r>
        <w:rPr>
          <w:spacing w:val="-1"/>
          <w:sz w:val="20"/>
        </w:rPr>
        <w:t> </w:t>
      </w:r>
      <w:r>
        <w:rPr>
          <w:sz w:val="20"/>
        </w:rPr>
        <w:t>assessment,</w:t>
      </w:r>
      <w:r>
        <w:rPr>
          <w:spacing w:val="-1"/>
          <w:sz w:val="20"/>
        </w:rPr>
        <w:t> </w:t>
      </w:r>
      <w:r>
        <w:rPr>
          <w:sz w:val="20"/>
        </w:rPr>
        <w:t>see</w:t>
      </w:r>
      <w:r>
        <w:rPr>
          <w:spacing w:val="-1"/>
          <w:sz w:val="20"/>
        </w:rPr>
        <w:t> </w:t>
      </w:r>
      <w:r>
        <w:rPr>
          <w:sz w:val="20"/>
        </w:rPr>
        <w:t>Vol.I,</w:t>
      </w:r>
      <w:r>
        <w:rPr>
          <w:spacing w:val="-1"/>
          <w:sz w:val="20"/>
        </w:rPr>
        <w:t> </w:t>
      </w:r>
      <w:r>
        <w:rPr>
          <w:sz w:val="20"/>
        </w:rPr>
        <w:t>para.26-015);</w:t>
      </w:r>
      <w:r>
        <w:rPr>
          <w:spacing w:val="-1"/>
          <w:sz w:val="20"/>
        </w:rPr>
        <w:t> </w:t>
      </w:r>
      <w:r>
        <w:rPr>
          <w:rFonts w:ascii="Arial" w:hAnsi="Arial"/>
          <w:i/>
          <w:sz w:val="20"/>
        </w:rPr>
        <w:t>Commodities Research Unit International (Holdings) Ltd v King and Wood Mallesons LLP [2016] EWHC 727 (QB)</w:t>
      </w:r>
      <w:r>
        <w:rPr>
          <w:sz w:val="20"/>
        </w:rPr>
        <w:t>; </w:t>
      </w:r>
      <w:r>
        <w:rPr>
          <w:rFonts w:ascii="Arial" w:hAnsi="Arial"/>
          <w:i/>
          <w:sz w:val="20"/>
        </w:rPr>
        <w:t>McGill v Sports and Entertainment Media Group [2016] EWCA Civ 1063</w:t>
      </w:r>
      <w:r>
        <w:rPr>
          <w:sz w:val="20"/>
        </w:rPr>
        <w:t>. The chance of the third party’s action can be considerably less than 50 per cent. But no discount for contingency is appropriate if it is certain what the third party would have done: see </w:t>
      </w:r>
      <w:r>
        <w:rPr>
          <w:rFonts w:ascii="Arial" w:hAnsi="Arial"/>
          <w:i/>
          <w:sz w:val="20"/>
        </w:rPr>
        <w:t>White v Jones [1995] 2 A.C. 207, 228 CA</w:t>
      </w:r>
      <w:r>
        <w:rPr>
          <w:sz w:val="20"/>
        </w:rPr>
        <w:t>; </w:t>
      </w:r>
      <w:r>
        <w:rPr>
          <w:rFonts w:ascii="Arial" w:hAnsi="Arial"/>
          <w:i/>
          <w:sz w:val="20"/>
        </w:rPr>
        <w:t>Dickinson v Jones Alexander &amp; Co [1993] 2 F.L.R. 321</w:t>
      </w:r>
      <w:r>
        <w:rPr>
          <w:sz w:val="20"/>
        </w:rPr>
        <w:t>. Where the claim is for the loss of a chance to sell property to a third party, the court must consider the price that the third party might have offered as well as the chance of the resale: </w:t>
      </w:r>
      <w:r>
        <w:rPr>
          <w:rFonts w:ascii="Arial" w:hAnsi="Arial"/>
          <w:i/>
          <w:sz w:val="20"/>
        </w:rPr>
        <w:t>Dennard v PricewaterhouseCoopers LLP [2010] EWHC 812 (Ch) </w:t>
      </w:r>
      <w:r>
        <w:rPr>
          <w:sz w:val="20"/>
        </w:rPr>
        <w:t>at [200].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spacing w:line="235" w:lineRule="auto" w:before="1"/>
        <w:ind w:left="705" w:right="168" w:hanging="541"/>
        <w:jc w:val="both"/>
        <w:rPr>
          <w:sz w:val="20"/>
        </w:rPr>
      </w:pPr>
      <w:bookmarkStart w:name="_bookmark788" w:id="790"/>
      <w:bookmarkEnd w:id="790"/>
      <w:r>
        <w:rPr/>
      </w:r>
      <w:hyperlink w:history="true" w:anchor="_bookmark728">
        <w:r>
          <w:rPr>
            <w:color w:val="005DA1"/>
            <w:position w:val="5"/>
            <w:sz w:val="14"/>
            <w:u w:val="single" w:color="005DA1"/>
          </w:rPr>
          <w:t>405</w:t>
        </w:r>
      </w:hyperlink>
      <w:r>
        <w:rPr>
          <w:position w:val="5"/>
          <w:sz w:val="14"/>
        </w:rPr>
        <w:t>.</w:t>
      </w:r>
      <w:r>
        <w:rPr>
          <w:spacing w:val="80"/>
          <w:position w:val="5"/>
          <w:sz w:val="14"/>
        </w:rPr>
        <w:t>  </w:t>
      </w:r>
      <w:r>
        <w:rPr>
          <w:rFonts w:ascii="Arial" w:hAnsi="Arial"/>
          <w:i/>
          <w:sz w:val="20"/>
        </w:rPr>
        <w:t>[1911] 2 K.B. 786 CA</w:t>
      </w:r>
      <w:r>
        <w:rPr>
          <w:sz w:val="20"/>
        </w:rPr>
        <w:t>. (This case, and </w:t>
      </w:r>
      <w:r>
        <w:rPr>
          <w:rFonts w:ascii="Arial" w:hAnsi="Arial"/>
          <w:i/>
          <w:sz w:val="20"/>
        </w:rPr>
        <w:t>Kitchen v Royal Air Force Association [1958] 1 W.L.R. 563 </w:t>
      </w:r>
      <w:r>
        <w:rPr>
          <w:sz w:val="20"/>
        </w:rPr>
        <w:t>were cited by the House of Lords in </w:t>
      </w:r>
      <w:r>
        <w:rPr>
          <w:rFonts w:ascii="Arial" w:hAnsi="Arial"/>
          <w:i/>
          <w:sz w:val="20"/>
        </w:rPr>
        <w:t>Hotson v East Berkshire A.H.A. [1987] A.C. 750, </w:t>
      </w:r>
      <w:r>
        <w:rPr>
          <w:rFonts w:ascii="Arial" w:hAnsi="Arial"/>
          <w:i/>
          <w:sz w:val="20"/>
        </w:rPr>
        <w:t>782, 792–793 </w:t>
      </w:r>
      <w:r>
        <w:rPr>
          <w:sz w:val="20"/>
        </w:rPr>
        <w:t>(a tort case).)</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89" w:id="791"/>
      <w:bookmarkEnd w:id="791"/>
      <w:r>
        <w:rPr/>
      </w:r>
      <w:hyperlink w:history="true" w:anchor="_bookmark729">
        <w:r>
          <w:rPr>
            <w:color w:val="005DA1"/>
            <w:spacing w:val="-4"/>
            <w:position w:val="5"/>
            <w:sz w:val="14"/>
            <w:u w:val="single" w:color="005DA1"/>
          </w:rPr>
          <w:t>406</w:t>
        </w:r>
      </w:hyperlink>
      <w:r>
        <w:rPr>
          <w:spacing w:val="-4"/>
          <w:position w:val="5"/>
          <w:sz w:val="14"/>
        </w:rPr>
        <w:t>.</w:t>
      </w:r>
      <w:r>
        <w:rPr>
          <w:position w:val="5"/>
          <w:sz w:val="14"/>
        </w:rPr>
        <w:tab/>
      </w:r>
      <w:r>
        <w:rPr>
          <w:rFonts w:ascii="Arial" w:hAnsi="Arial"/>
          <w:i/>
          <w:sz w:val="20"/>
        </w:rPr>
        <w:t>Kitchen</w:t>
      </w:r>
      <w:r>
        <w:rPr>
          <w:rFonts w:ascii="Arial" w:hAnsi="Arial"/>
          <w:i/>
          <w:spacing w:val="8"/>
          <w:sz w:val="20"/>
        </w:rPr>
        <w:t> </w:t>
      </w:r>
      <w:r>
        <w:rPr>
          <w:rFonts w:ascii="Arial" w:hAnsi="Arial"/>
          <w:i/>
          <w:sz w:val="20"/>
        </w:rPr>
        <w:t>v</w:t>
      </w:r>
      <w:r>
        <w:rPr>
          <w:rFonts w:ascii="Arial" w:hAnsi="Arial"/>
          <w:i/>
          <w:spacing w:val="9"/>
          <w:sz w:val="20"/>
        </w:rPr>
        <w:t> </w:t>
      </w:r>
      <w:r>
        <w:rPr>
          <w:rFonts w:ascii="Arial" w:hAnsi="Arial"/>
          <w:i/>
          <w:sz w:val="20"/>
        </w:rPr>
        <w:t>Royal</w:t>
      </w:r>
      <w:r>
        <w:rPr>
          <w:rFonts w:ascii="Arial" w:hAnsi="Arial"/>
          <w:i/>
          <w:spacing w:val="9"/>
          <w:sz w:val="20"/>
        </w:rPr>
        <w:t> </w:t>
      </w:r>
      <w:r>
        <w:rPr>
          <w:rFonts w:ascii="Arial" w:hAnsi="Arial"/>
          <w:i/>
          <w:sz w:val="20"/>
        </w:rPr>
        <w:t>Air</w:t>
      </w:r>
      <w:r>
        <w:rPr>
          <w:rFonts w:ascii="Arial" w:hAnsi="Arial"/>
          <w:i/>
          <w:spacing w:val="9"/>
          <w:sz w:val="20"/>
        </w:rPr>
        <w:t> </w:t>
      </w:r>
      <w:r>
        <w:rPr>
          <w:rFonts w:ascii="Arial" w:hAnsi="Arial"/>
          <w:i/>
          <w:sz w:val="20"/>
        </w:rPr>
        <w:t>Force</w:t>
      </w:r>
      <w:r>
        <w:rPr>
          <w:rFonts w:ascii="Arial" w:hAnsi="Arial"/>
          <w:i/>
          <w:spacing w:val="9"/>
          <w:sz w:val="20"/>
        </w:rPr>
        <w:t> </w:t>
      </w:r>
      <w:r>
        <w:rPr>
          <w:rFonts w:ascii="Arial" w:hAnsi="Arial"/>
          <w:i/>
          <w:sz w:val="20"/>
        </w:rPr>
        <w:t>Association</w:t>
      </w:r>
      <w:r>
        <w:rPr>
          <w:rFonts w:ascii="Arial" w:hAnsi="Arial"/>
          <w:i/>
          <w:spacing w:val="9"/>
          <w:sz w:val="20"/>
        </w:rPr>
        <w:t> </w:t>
      </w:r>
      <w:r>
        <w:rPr>
          <w:rFonts w:ascii="Arial" w:hAnsi="Arial"/>
          <w:i/>
          <w:sz w:val="20"/>
        </w:rPr>
        <w:t>[1958]</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W.L.R.</w:t>
      </w:r>
      <w:r>
        <w:rPr>
          <w:rFonts w:ascii="Arial" w:hAnsi="Arial"/>
          <w:i/>
          <w:spacing w:val="9"/>
          <w:sz w:val="20"/>
        </w:rPr>
        <w:t> </w:t>
      </w:r>
      <w:r>
        <w:rPr>
          <w:rFonts w:ascii="Arial" w:hAnsi="Arial"/>
          <w:i/>
          <w:sz w:val="20"/>
        </w:rPr>
        <w:t>563,</w:t>
      </w:r>
      <w:r>
        <w:rPr>
          <w:rFonts w:ascii="Arial" w:hAnsi="Arial"/>
          <w:i/>
          <w:spacing w:val="9"/>
          <w:sz w:val="20"/>
        </w:rPr>
        <w:t> </w:t>
      </w:r>
      <w:r>
        <w:rPr>
          <w:rFonts w:ascii="Arial" w:hAnsi="Arial"/>
          <w:i/>
          <w:sz w:val="20"/>
        </w:rPr>
        <w:t>575–576</w:t>
      </w:r>
      <w:r>
        <w:rPr>
          <w:sz w:val="20"/>
        </w:rPr>
        <w:t>;</w:t>
      </w:r>
      <w:r>
        <w:rPr>
          <w:spacing w:val="9"/>
          <w:sz w:val="20"/>
        </w:rPr>
        <w:t> </w:t>
      </w:r>
      <w:r>
        <w:rPr>
          <w:rFonts w:ascii="Arial" w:hAnsi="Arial"/>
          <w:i/>
          <w:sz w:val="20"/>
        </w:rPr>
        <w:t>Cook</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Swinfen</w:t>
      </w:r>
      <w:r>
        <w:rPr>
          <w:rFonts w:ascii="Arial" w:hAnsi="Arial"/>
          <w:i/>
          <w:spacing w:val="9"/>
          <w:sz w:val="20"/>
        </w:rPr>
        <w:t> </w:t>
      </w:r>
      <w:r>
        <w:rPr>
          <w:rFonts w:ascii="Arial" w:hAnsi="Arial"/>
          <w:i/>
          <w:sz w:val="20"/>
        </w:rPr>
        <w:t>[1967]</w:t>
      </w:r>
      <w:r>
        <w:rPr>
          <w:rFonts w:ascii="Arial" w:hAnsi="Arial"/>
          <w:i/>
          <w:spacing w:val="9"/>
          <w:sz w:val="20"/>
        </w:rPr>
        <w:t> </w:t>
      </w:r>
      <w:r>
        <w:rPr>
          <w:rFonts w:ascii="Arial" w:hAnsi="Arial"/>
          <w:i/>
          <w:spacing w:val="-10"/>
          <w:sz w:val="20"/>
        </w:rPr>
        <w:t>1</w:t>
      </w:r>
    </w:p>
    <w:p>
      <w:pPr>
        <w:spacing w:line="227" w:lineRule="exact" w:before="0"/>
        <w:ind w:left="705" w:right="0" w:firstLine="0"/>
        <w:jc w:val="left"/>
        <w:rPr>
          <w:sz w:val="20"/>
        </w:rPr>
      </w:pPr>
      <w:r>
        <w:rPr>
          <w:rFonts w:ascii="Arial" w:hAnsi="Arial"/>
          <w:i/>
          <w:sz w:val="20"/>
        </w:rPr>
        <w:t>W.L.R.</w:t>
      </w:r>
      <w:r>
        <w:rPr>
          <w:rFonts w:ascii="Arial" w:hAnsi="Arial"/>
          <w:i/>
          <w:spacing w:val="-1"/>
          <w:sz w:val="20"/>
        </w:rPr>
        <w:t> </w:t>
      </w:r>
      <w:r>
        <w:rPr>
          <w:rFonts w:ascii="Arial" w:hAnsi="Arial"/>
          <w:i/>
          <w:sz w:val="20"/>
        </w:rPr>
        <w:t>457</w:t>
      </w:r>
      <w:r>
        <w:rPr>
          <w:sz w:val="20"/>
        </w:rPr>
        <w:t>; </w:t>
      </w:r>
      <w:r>
        <w:rPr>
          <w:rFonts w:ascii="Arial" w:hAnsi="Arial"/>
          <w:i/>
          <w:sz w:val="20"/>
        </w:rPr>
        <w:t>Malyon v Lawrence, Messer &amp; Co [1968] 2 Lloyd’s Rep. </w:t>
      </w:r>
      <w:r>
        <w:rPr>
          <w:rFonts w:ascii="Arial" w:hAnsi="Arial"/>
          <w:i/>
          <w:spacing w:val="-4"/>
          <w:sz w:val="20"/>
        </w:rPr>
        <w:t>539</w:t>
      </w:r>
      <w:r>
        <w:rPr>
          <w:spacing w:val="-4"/>
          <w:sz w:val="20"/>
        </w:rPr>
        <w:t>.</w:t>
      </w:r>
    </w:p>
    <w:p>
      <w:pPr>
        <w:pStyle w:val="BodyText"/>
        <w:spacing w:before="8"/>
      </w:pPr>
    </w:p>
    <w:p>
      <w:pPr>
        <w:tabs>
          <w:tab w:pos="705" w:val="left" w:leader="none"/>
        </w:tabs>
        <w:spacing w:line="235" w:lineRule="auto" w:before="1"/>
        <w:ind w:left="705" w:right="174" w:hanging="541"/>
        <w:jc w:val="left"/>
        <w:rPr>
          <w:sz w:val="20"/>
        </w:rPr>
      </w:pPr>
      <w:bookmarkStart w:name="_bookmark790" w:id="792"/>
      <w:bookmarkEnd w:id="792"/>
      <w:r>
        <w:rPr/>
      </w:r>
      <w:hyperlink w:history="true" w:anchor="_bookmark730">
        <w:r>
          <w:rPr>
            <w:color w:val="005DA1"/>
            <w:spacing w:val="-4"/>
            <w:position w:val="5"/>
            <w:sz w:val="14"/>
            <w:u w:val="single" w:color="005DA1"/>
          </w:rPr>
          <w:t>407</w:t>
        </w:r>
      </w:hyperlink>
      <w:r>
        <w:rPr>
          <w:spacing w:val="-4"/>
          <w:position w:val="5"/>
          <w:sz w:val="14"/>
        </w:rPr>
        <w:t>.</w:t>
      </w:r>
      <w:r>
        <w:rPr>
          <w:position w:val="5"/>
          <w:sz w:val="14"/>
        </w:rPr>
        <w:tab/>
      </w:r>
      <w:r>
        <w:rPr>
          <w:sz w:val="20"/>
        </w:rPr>
        <w:t>cf. </w:t>
      </w:r>
      <w:r>
        <w:rPr>
          <w:rFonts w:ascii="Arial" w:hAnsi="Arial"/>
          <w:i/>
          <w:sz w:val="20"/>
        </w:rPr>
        <w:t>Yeoman’s Executrix v Ferries (1967) S.L.T. 332 </w:t>
      </w:r>
      <w:r>
        <w:rPr>
          <w:sz w:val="20"/>
        </w:rPr>
        <w:t>(the value of an “out-of-court” settlement of the plaintiff’s claim).</w:t>
      </w:r>
    </w:p>
    <w:p>
      <w:pPr>
        <w:spacing w:after="0" w:line="235" w:lineRule="auto"/>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31">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Hall v Meyrick [1957] 2 Q.B. 455, 471</w:t>
      </w:r>
      <w:r>
        <w:rPr>
          <w:rFonts w:ascii="Arial"/>
          <w:i/>
          <w:spacing w:val="-1"/>
          <w:sz w:val="20"/>
        </w:rPr>
        <w:t> </w:t>
      </w:r>
      <w:r>
        <w:rPr>
          <w:sz w:val="20"/>
        </w:rPr>
        <w:t>(reversed by the Court of Appeal on other </w:t>
      </w:r>
      <w:r>
        <w:rPr>
          <w:spacing w:val="-2"/>
          <w:sz w:val="20"/>
        </w:rPr>
        <w:t>grounds).</w:t>
      </w:r>
    </w:p>
    <w:p>
      <w:pPr>
        <w:pStyle w:val="BodyText"/>
        <w:spacing w:before="9"/>
      </w:pPr>
    </w:p>
    <w:p>
      <w:pPr>
        <w:spacing w:line="235" w:lineRule="auto" w:before="0"/>
        <w:ind w:left="705" w:right="167" w:hanging="541"/>
        <w:jc w:val="both"/>
        <w:rPr>
          <w:sz w:val="20"/>
        </w:rPr>
      </w:pPr>
      <w:bookmarkStart w:name="_bookmark791" w:id="793"/>
      <w:bookmarkEnd w:id="793"/>
      <w:r>
        <w:rPr/>
      </w:r>
      <w:hyperlink w:history="true" w:anchor="_bookmark732">
        <w:r>
          <w:rPr>
            <w:color w:val="005DA1"/>
            <w:position w:val="5"/>
            <w:sz w:val="14"/>
            <w:u w:val="single" w:color="005DA1"/>
          </w:rPr>
          <w:t>409</w:t>
        </w:r>
      </w:hyperlink>
      <w:r>
        <w:rPr>
          <w:position w:val="5"/>
          <w:sz w:val="14"/>
        </w:rPr>
        <w:t>.</w:t>
      </w:r>
      <w:r>
        <w:rPr>
          <w:spacing w:val="80"/>
          <w:w w:val="150"/>
          <w:position w:val="5"/>
          <w:sz w:val="14"/>
        </w:rPr>
        <w:t> </w:t>
      </w:r>
      <w:r>
        <w:rPr>
          <w:rFonts w:ascii="Arial" w:hAnsi="Arial"/>
          <w:i/>
          <w:sz w:val="20"/>
        </w:rPr>
        <w:t>Ministry of Defence v Wheeler [1998] 1 All E.R. 790 CA</w:t>
      </w:r>
      <w:r>
        <w:rPr>
          <w:sz w:val="20"/>
        </w:rPr>
        <w:t>. Where the claimant had </w:t>
      </w:r>
      <w:r>
        <w:rPr>
          <w:sz w:val="20"/>
        </w:rPr>
        <w:t>different chances of success on different issues in litigation it is not appropriate to multiply the chances together; an overall view should be taken: </w:t>
      </w:r>
      <w:r>
        <w:rPr>
          <w:rFonts w:ascii="Arial" w:hAnsi="Arial"/>
          <w:i/>
          <w:sz w:val="20"/>
        </w:rPr>
        <w:t>Hanif v Middleweeks [2000] Lloyd’s Rep. P.N. 920 </w:t>
      </w:r>
      <w:r>
        <w:rPr>
          <w:rFonts w:ascii="Arial" w:hAnsi="Arial"/>
          <w:i/>
          <w:spacing w:val="-4"/>
          <w:sz w:val="20"/>
        </w:rPr>
        <w:t>CA</w:t>
      </w:r>
      <w:r>
        <w:rPr>
          <w:spacing w:val="-4"/>
          <w:sz w:val="20"/>
        </w:rPr>
        <w:t>.</w:t>
      </w:r>
    </w:p>
    <w:p>
      <w:pPr>
        <w:pStyle w:val="BodyText"/>
        <w:spacing w:before="9"/>
      </w:pPr>
    </w:p>
    <w:p>
      <w:pPr>
        <w:spacing w:line="235" w:lineRule="auto" w:before="0"/>
        <w:ind w:left="705" w:right="168" w:hanging="541"/>
        <w:jc w:val="both"/>
        <w:rPr>
          <w:sz w:val="20"/>
        </w:rPr>
      </w:pPr>
      <w:bookmarkStart w:name="_bookmark792" w:id="794"/>
      <w:bookmarkEnd w:id="794"/>
      <w:r>
        <w:rPr/>
      </w:r>
      <w:hyperlink w:history="true" w:anchor="_bookmark733">
        <w:r>
          <w:rPr>
            <w:color w:val="005DA1"/>
            <w:position w:val="5"/>
            <w:sz w:val="14"/>
            <w:u w:val="single" w:color="005DA1"/>
          </w:rPr>
          <w:t>410</w:t>
        </w:r>
      </w:hyperlink>
      <w:r>
        <w:rPr>
          <w:position w:val="5"/>
          <w:sz w:val="14"/>
        </w:rPr>
        <w:t>.</w:t>
      </w:r>
      <w:r>
        <w:rPr>
          <w:spacing w:val="80"/>
          <w:w w:val="150"/>
          <w:position w:val="5"/>
          <w:sz w:val="14"/>
        </w:rPr>
        <w:t> </w:t>
      </w:r>
      <w:r>
        <w:rPr>
          <w:sz w:val="20"/>
        </w:rPr>
        <w:t>The </w:t>
      </w:r>
      <w:r>
        <w:rPr>
          <w:rFonts w:ascii="Arial" w:hAnsi="Arial"/>
          <w:i/>
          <w:sz w:val="20"/>
        </w:rPr>
        <w:t>Allied Maples case [1995] 1 W.L.R. 1602</w:t>
      </w:r>
      <w:r>
        <w:rPr>
          <w:sz w:val="20"/>
        </w:rPr>
        <w:t>; </w:t>
      </w:r>
      <w:r>
        <w:rPr>
          <w:rFonts w:ascii="Arial" w:hAnsi="Arial"/>
          <w:i/>
          <w:sz w:val="20"/>
        </w:rPr>
        <w:t>Stovold v Barlows [1996] P.N.L.R. 91</w:t>
      </w:r>
      <w:r>
        <w:rPr>
          <w:sz w:val="20"/>
        </w:rPr>
        <w:t>. cf. </w:t>
      </w:r>
      <w:r>
        <w:rPr>
          <w:rFonts w:ascii="Arial" w:hAnsi="Arial"/>
          <w:i/>
          <w:sz w:val="20"/>
        </w:rPr>
        <w:t>First Interstate Bank of California v Cohen Arnold [1996] P.N.L.R. 17 CA </w:t>
      </w:r>
      <w:r>
        <w:rPr>
          <w:sz w:val="20"/>
        </w:rPr>
        <w:t>(negligence claim </w:t>
      </w:r>
      <w:r>
        <w:rPr>
          <w:sz w:val="20"/>
        </w:rPr>
        <w:t>against accountants); </w:t>
      </w:r>
      <w:r>
        <w:rPr>
          <w:rFonts w:ascii="Arial" w:hAnsi="Arial"/>
          <w:i/>
          <w:sz w:val="20"/>
        </w:rPr>
        <w:t>Davies v Taylor [1974] A.C. 207 </w:t>
      </w:r>
      <w:r>
        <w:rPr>
          <w:sz w:val="20"/>
        </w:rPr>
        <w:t>(loss of chance of widow’s fatal accident claim); </w:t>
      </w:r>
      <w:r>
        <w:rPr>
          <w:rFonts w:ascii="Arial" w:hAnsi="Arial"/>
          <w:i/>
          <w:sz w:val="20"/>
        </w:rPr>
        <w:t>Spring v Guardian Assurance [1995] A.C. 296, 327 </w:t>
      </w:r>
      <w:r>
        <w:rPr>
          <w:sz w:val="20"/>
        </w:rPr>
        <w:t>(tort claim for former employee’s loss of reasonable chance of a particular employment).</w:t>
      </w:r>
    </w:p>
    <w:p>
      <w:pPr>
        <w:pStyle w:val="BodyText"/>
        <w:spacing w:before="4"/>
      </w:pPr>
    </w:p>
    <w:p>
      <w:pPr>
        <w:tabs>
          <w:tab w:pos="705" w:val="left" w:leader="none"/>
        </w:tabs>
        <w:spacing w:before="0"/>
        <w:ind w:left="165" w:right="0" w:firstLine="0"/>
        <w:jc w:val="left"/>
        <w:rPr>
          <w:sz w:val="20"/>
        </w:rPr>
      </w:pPr>
      <w:bookmarkStart w:name="_bookmark793" w:id="795"/>
      <w:bookmarkEnd w:id="795"/>
      <w:r>
        <w:rPr/>
      </w:r>
      <w:hyperlink w:history="true" w:anchor="_bookmark733">
        <w:r>
          <w:rPr>
            <w:color w:val="005DA1"/>
            <w:spacing w:val="-4"/>
            <w:position w:val="5"/>
            <w:sz w:val="14"/>
            <w:u w:val="single" w:color="005DA1"/>
          </w:rPr>
          <w:t>411</w:t>
        </w:r>
      </w:hyperlink>
      <w:r>
        <w:rPr>
          <w:spacing w:val="-4"/>
          <w:position w:val="5"/>
          <w:sz w:val="14"/>
        </w:rPr>
        <w:t>.</w:t>
      </w:r>
      <w:r>
        <w:rPr>
          <w:position w:val="5"/>
          <w:sz w:val="14"/>
        </w:rPr>
        <w:tab/>
      </w:r>
      <w:r>
        <w:rPr>
          <w:sz w:val="20"/>
        </w:rPr>
        <w:t>Below, para.26-</w:t>
      </w:r>
      <w:r>
        <w:rPr>
          <w:spacing w:val="-4"/>
          <w:sz w:val="20"/>
        </w:rPr>
        <w:t>149.</w:t>
      </w:r>
    </w:p>
    <w:p>
      <w:pPr>
        <w:pStyle w:val="BodyText"/>
        <w:spacing w:before="5"/>
      </w:pPr>
    </w:p>
    <w:p>
      <w:pPr>
        <w:tabs>
          <w:tab w:pos="705" w:val="left" w:leader="none"/>
        </w:tabs>
        <w:spacing w:before="0"/>
        <w:ind w:left="165" w:right="0" w:firstLine="0"/>
        <w:jc w:val="left"/>
        <w:rPr>
          <w:sz w:val="20"/>
        </w:rPr>
      </w:pPr>
      <w:bookmarkStart w:name="_bookmark794" w:id="796"/>
      <w:bookmarkEnd w:id="796"/>
      <w:r>
        <w:rPr/>
      </w:r>
      <w:hyperlink w:history="true" w:anchor="_bookmark734">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Jackson v Bank of Scotland [2005] UKHL 3, [2005] 1 W.L.R. </w:t>
      </w:r>
      <w:r>
        <w:rPr>
          <w:rFonts w:ascii="Arial"/>
          <w:i/>
          <w:spacing w:val="-4"/>
          <w:sz w:val="20"/>
        </w:rPr>
        <w:t>377</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6256">
            <wp:simplePos x="0" y="0"/>
            <wp:positionH relativeFrom="page">
              <wp:posOffset>1257846</wp:posOffset>
            </wp:positionH>
            <wp:positionV relativeFrom="paragraph">
              <wp:posOffset>160333</wp:posOffset>
            </wp:positionV>
            <wp:extent cx="107988" cy="107988"/>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95" w:id="797"/>
      <w:bookmarkEnd w:id="797"/>
      <w:r>
        <w:rPr/>
      </w:r>
      <w:hyperlink w:history="true" w:anchor="_bookmark735">
        <w:r>
          <w:rPr>
            <w:color w:val="005DA1"/>
            <w:spacing w:val="-4"/>
            <w:sz w:val="14"/>
            <w:u w:val="single" w:color="005DA1"/>
          </w:rPr>
          <w:t>413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Golden Strait Corp v Nippon Yusen Kubishika Kaisha, The Golden Victory [2007] UKHL 12, [2007] 2 A.C. 353</w:t>
      </w:r>
      <w:r>
        <w:rPr>
          <w:sz w:val="20"/>
        </w:rPr>
        <w:t>; applied in </w:t>
      </w:r>
      <w:r>
        <w:rPr>
          <w:rFonts w:ascii="Arial" w:hAnsi="Arial"/>
          <w:i/>
          <w:sz w:val="20"/>
        </w:rPr>
        <w:t>Tele2 International Card Co SA v Kub 2 Technology Ltd [2009] EWCA Civ 9</w:t>
      </w:r>
      <w:r>
        <w:rPr>
          <w:sz w:val="20"/>
        </w:rPr>
        <w:t>. It has been held that when assessing damages for breach of contract by</w:t>
      </w:r>
      <w:r>
        <w:rPr>
          <w:spacing w:val="40"/>
          <w:sz w:val="20"/>
        </w:rPr>
        <w:t> </w:t>
      </w:r>
      <w:r>
        <w:rPr>
          <w:sz w:val="20"/>
        </w:rPr>
        <w:t>reference to the value of a company or other property at the date of breach, whose </w:t>
      </w:r>
      <w:r>
        <w:rPr>
          <w:sz w:val="20"/>
        </w:rPr>
        <w:t>value depends</w:t>
      </w:r>
      <w:r>
        <w:rPr>
          <w:spacing w:val="-2"/>
          <w:sz w:val="20"/>
        </w:rPr>
        <w:t> </w:t>
      </w:r>
      <w:r>
        <w:rPr>
          <w:sz w:val="20"/>
        </w:rPr>
        <w:t>upon</w:t>
      </w:r>
      <w:r>
        <w:rPr>
          <w:spacing w:val="-2"/>
          <w:sz w:val="20"/>
        </w:rPr>
        <w:t> </w:t>
      </w:r>
      <w:r>
        <w:rPr>
          <w:sz w:val="20"/>
        </w:rPr>
        <w:t>a</w:t>
      </w:r>
      <w:r>
        <w:rPr>
          <w:spacing w:val="-2"/>
          <w:sz w:val="20"/>
        </w:rPr>
        <w:t> </w:t>
      </w:r>
      <w:r>
        <w:rPr>
          <w:sz w:val="20"/>
        </w:rPr>
        <w:t>future</w:t>
      </w:r>
      <w:r>
        <w:rPr>
          <w:spacing w:val="-2"/>
          <w:sz w:val="20"/>
        </w:rPr>
        <w:t> </w:t>
      </w:r>
      <w:r>
        <w:rPr>
          <w:sz w:val="20"/>
        </w:rPr>
        <w:t>contingency,</w:t>
      </w:r>
      <w:r>
        <w:rPr>
          <w:spacing w:val="-2"/>
          <w:sz w:val="20"/>
        </w:rPr>
        <w:t> </w:t>
      </w:r>
      <w:r>
        <w:rPr>
          <w:sz w:val="20"/>
        </w:rPr>
        <w:t>account</w:t>
      </w:r>
      <w:r>
        <w:rPr>
          <w:spacing w:val="-2"/>
          <w:sz w:val="20"/>
        </w:rPr>
        <w:t> </w:t>
      </w:r>
      <w:r>
        <w:rPr>
          <w:sz w:val="20"/>
        </w:rPr>
        <w:t>can</w:t>
      </w:r>
      <w:r>
        <w:rPr>
          <w:spacing w:val="-2"/>
          <w:sz w:val="20"/>
        </w:rPr>
        <w:t> </w:t>
      </w:r>
      <w:r>
        <w:rPr>
          <w:sz w:val="20"/>
        </w:rPr>
        <w:t>be</w:t>
      </w:r>
      <w:r>
        <w:rPr>
          <w:spacing w:val="-2"/>
          <w:sz w:val="20"/>
        </w:rPr>
        <w:t> </w:t>
      </w:r>
      <w:r>
        <w:rPr>
          <w:sz w:val="20"/>
        </w:rPr>
        <w:t>taken</w:t>
      </w:r>
      <w:r>
        <w:rPr>
          <w:spacing w:val="-2"/>
          <w:sz w:val="20"/>
        </w:rPr>
        <w:t> </w:t>
      </w:r>
      <w:r>
        <w:rPr>
          <w:sz w:val="20"/>
        </w:rPr>
        <w:t>of</w:t>
      </w:r>
      <w:r>
        <w:rPr>
          <w:spacing w:val="-2"/>
          <w:sz w:val="20"/>
        </w:rPr>
        <w:t> </w:t>
      </w:r>
      <w:r>
        <w:rPr>
          <w:sz w:val="20"/>
        </w:rPr>
        <w:t>what</w:t>
      </w:r>
      <w:r>
        <w:rPr>
          <w:spacing w:val="-2"/>
          <w:sz w:val="20"/>
        </w:rPr>
        <w:t> </w:t>
      </w:r>
      <w:r>
        <w:rPr>
          <w:sz w:val="20"/>
        </w:rPr>
        <w:t>is</w:t>
      </w:r>
      <w:r>
        <w:rPr>
          <w:spacing w:val="-2"/>
          <w:sz w:val="20"/>
        </w:rPr>
        <w:t> </w:t>
      </w:r>
      <w:r>
        <w:rPr>
          <w:sz w:val="20"/>
        </w:rPr>
        <w:t>subsequently</w:t>
      </w:r>
      <w:r>
        <w:rPr>
          <w:spacing w:val="-2"/>
          <w:sz w:val="20"/>
        </w:rPr>
        <w:t> </w:t>
      </w:r>
      <w:r>
        <w:rPr>
          <w:sz w:val="20"/>
        </w:rPr>
        <w:t>known</w:t>
      </w:r>
      <w:r>
        <w:rPr>
          <w:spacing w:val="-2"/>
          <w:sz w:val="20"/>
        </w:rPr>
        <w:t> </w:t>
      </w:r>
      <w:r>
        <w:rPr>
          <w:sz w:val="20"/>
        </w:rPr>
        <w:t>about the outcome of the contingency as a result of events subsequent to the valuation date, but only where</w:t>
      </w:r>
      <w:r>
        <w:rPr>
          <w:spacing w:val="-1"/>
          <w:sz w:val="20"/>
        </w:rPr>
        <w:t> </w:t>
      </w:r>
      <w:r>
        <w:rPr>
          <w:sz w:val="20"/>
        </w:rPr>
        <w:t>that</w:t>
      </w:r>
      <w:r>
        <w:rPr>
          <w:spacing w:val="-1"/>
          <w:sz w:val="20"/>
        </w:rPr>
        <w:t> </w:t>
      </w:r>
      <w:r>
        <w:rPr>
          <w:sz w:val="20"/>
        </w:rPr>
        <w:t>is</w:t>
      </w:r>
      <w:r>
        <w:rPr>
          <w:spacing w:val="-1"/>
          <w:sz w:val="20"/>
        </w:rPr>
        <w:t> </w:t>
      </w:r>
      <w:r>
        <w:rPr>
          <w:sz w:val="20"/>
        </w:rPr>
        <w:t>necessary</w:t>
      </w:r>
      <w:r>
        <w:rPr>
          <w:spacing w:val="-1"/>
          <w:sz w:val="20"/>
        </w:rPr>
        <w:t> </w:t>
      </w:r>
      <w:r>
        <w:rPr>
          <w:sz w:val="20"/>
        </w:rPr>
        <w:t>in</w:t>
      </w:r>
      <w:r>
        <w:rPr>
          <w:spacing w:val="-1"/>
          <w:sz w:val="20"/>
        </w:rPr>
        <w:t> </w:t>
      </w:r>
      <w:r>
        <w:rPr>
          <w:sz w:val="20"/>
        </w:rPr>
        <w:t>order</w:t>
      </w:r>
      <w:r>
        <w:rPr>
          <w:spacing w:val="-1"/>
          <w:sz w:val="20"/>
        </w:rPr>
        <w:t> </w:t>
      </w:r>
      <w:r>
        <w:rPr>
          <w:sz w:val="20"/>
        </w:rPr>
        <w:t>to</w:t>
      </w:r>
      <w:r>
        <w:rPr>
          <w:spacing w:val="-1"/>
          <w:sz w:val="20"/>
        </w:rPr>
        <w:t> </w:t>
      </w:r>
      <w:r>
        <w:rPr>
          <w:sz w:val="20"/>
        </w:rPr>
        <w:t>give</w:t>
      </w:r>
      <w:r>
        <w:rPr>
          <w:spacing w:val="-1"/>
          <w:sz w:val="20"/>
        </w:rPr>
        <w:t> </w:t>
      </w:r>
      <w:r>
        <w:rPr>
          <w:sz w:val="20"/>
        </w:rPr>
        <w:t>effect</w:t>
      </w:r>
      <w:r>
        <w:rPr>
          <w:spacing w:val="-1"/>
          <w:sz w:val="20"/>
        </w:rPr>
        <w:t> </w:t>
      </w:r>
      <w:r>
        <w:rPr>
          <w:sz w:val="20"/>
        </w:rPr>
        <w:t>to</w:t>
      </w:r>
      <w:r>
        <w:rPr>
          <w:spacing w:val="-1"/>
          <w:sz w:val="20"/>
        </w:rPr>
        <w:t> </w:t>
      </w:r>
      <w:r>
        <w:rPr>
          <w:sz w:val="20"/>
        </w:rPr>
        <w:t>the</w:t>
      </w:r>
      <w:r>
        <w:rPr>
          <w:spacing w:val="-1"/>
          <w:sz w:val="20"/>
        </w:rPr>
        <w:t> </w:t>
      </w:r>
      <w:r>
        <w:rPr>
          <w:sz w:val="20"/>
        </w:rPr>
        <w:t>compensatory</w:t>
      </w:r>
      <w:r>
        <w:rPr>
          <w:spacing w:val="-1"/>
          <w:sz w:val="20"/>
        </w:rPr>
        <w:t> </w:t>
      </w:r>
      <w:r>
        <w:rPr>
          <w:sz w:val="20"/>
        </w:rPr>
        <w:t>principle</w:t>
      </w:r>
      <w:r>
        <w:rPr>
          <w:spacing w:val="-1"/>
          <w:sz w:val="20"/>
        </w:rPr>
        <w:t> </w:t>
      </w:r>
      <w:r>
        <w:rPr>
          <w:sz w:val="20"/>
        </w:rPr>
        <w:t>and</w:t>
      </w:r>
      <w:r>
        <w:rPr>
          <w:spacing w:val="-1"/>
          <w:sz w:val="20"/>
        </w:rPr>
        <w:t> </w:t>
      </w:r>
      <w:r>
        <w:rPr>
          <w:sz w:val="20"/>
        </w:rPr>
        <w:t>where</w:t>
      </w:r>
      <w:r>
        <w:rPr>
          <w:spacing w:val="-1"/>
          <w:sz w:val="20"/>
        </w:rPr>
        <w:t> </w:t>
      </w:r>
      <w:r>
        <w:rPr>
          <w:sz w:val="20"/>
        </w:rPr>
        <w:t>to</w:t>
      </w:r>
      <w:r>
        <w:rPr>
          <w:spacing w:val="-1"/>
          <w:sz w:val="20"/>
        </w:rPr>
        <w:t> </w:t>
      </w:r>
      <w:r>
        <w:rPr>
          <w:sz w:val="20"/>
        </w:rPr>
        <w:t>do</w:t>
      </w:r>
      <w:r>
        <w:rPr>
          <w:spacing w:val="-1"/>
          <w:sz w:val="20"/>
        </w:rPr>
        <w:t> </w:t>
      </w:r>
      <w:r>
        <w:rPr>
          <w:sz w:val="20"/>
        </w:rPr>
        <w:t>so would not cut across the contractual allocation of risk: </w:t>
      </w:r>
      <w:r>
        <w:rPr>
          <w:rFonts w:ascii="Arial" w:hAnsi="Arial"/>
          <w:i/>
          <w:sz w:val="20"/>
        </w:rPr>
        <w:t>(UK) Ltd v Kwik-Fit (GB) Ltd [2014] EWHC 2178 (QB) </w:t>
      </w:r>
      <w:r>
        <w:rPr>
          <w:sz w:val="20"/>
        </w:rPr>
        <w:t>at [35]–[38] (but for a contrary suggestion, see </w:t>
      </w:r>
      <w:r>
        <w:rPr>
          <w:rFonts w:ascii="Arial" w:hAnsi="Arial"/>
          <w:i/>
          <w:sz w:val="20"/>
        </w:rPr>
        <w:t>OMV Petrom SA v Glencore International AG [2016] EWCA Civ 778 </w:t>
      </w:r>
      <w:r>
        <w:rPr>
          <w:sz w:val="20"/>
        </w:rPr>
        <w:t>at [56]); </w:t>
      </w:r>
      <w:r>
        <w:rPr>
          <w:rFonts w:ascii="Arial" w:hAnsi="Arial"/>
          <w:i/>
          <w:sz w:val="20"/>
        </w:rPr>
        <w:t>Hut Group Ltd v Nobahar-Cookson [2014] EWHC 3842 (QB) </w:t>
      </w:r>
      <w:r>
        <w:rPr>
          <w:sz w:val="20"/>
        </w:rPr>
        <w:t>at [184] (purchaser of shares bore risk of fall and chance of rise in value, so when shares not as warranted, difference in value should be calculated at time of breach and subsequent increase in value of shares should not be taken into account: at [218]).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spacing w:line="235" w:lineRule="auto" w:before="0"/>
        <w:ind w:left="705" w:right="167" w:hanging="541"/>
        <w:jc w:val="both"/>
        <w:rPr>
          <w:sz w:val="20"/>
        </w:rPr>
      </w:pPr>
      <w:bookmarkStart w:name="_bookmark796" w:id="798"/>
      <w:bookmarkEnd w:id="798"/>
      <w:r>
        <w:rPr/>
      </w:r>
      <w:hyperlink w:history="true" w:anchor="_bookmark736">
        <w:r>
          <w:rPr>
            <w:color w:val="005DA1"/>
            <w:position w:val="5"/>
            <w:sz w:val="14"/>
            <w:u w:val="single" w:color="005DA1"/>
          </w:rPr>
          <w:t>414</w:t>
        </w:r>
      </w:hyperlink>
      <w:r>
        <w:rPr>
          <w:position w:val="5"/>
          <w:sz w:val="14"/>
        </w:rPr>
        <w:t>.</w:t>
      </w:r>
      <w:r>
        <w:rPr>
          <w:spacing w:val="40"/>
          <w:position w:val="5"/>
          <w:sz w:val="14"/>
        </w:rPr>
        <w:t>  </w:t>
      </w:r>
      <w:r>
        <w:rPr>
          <w:rFonts w:ascii="Arial" w:hAnsi="Arial"/>
          <w:i/>
          <w:sz w:val="20"/>
        </w:rPr>
        <w:t>[2015] UKSC 43</w:t>
      </w:r>
      <w:r>
        <w:rPr>
          <w:sz w:val="20"/>
        </w:rPr>
        <w:t>, especially at [22] and [87]. Dicta by Lord Scott in </w:t>
      </w:r>
      <w:r>
        <w:rPr>
          <w:rFonts w:ascii="Arial" w:hAnsi="Arial"/>
          <w:i/>
          <w:sz w:val="20"/>
        </w:rPr>
        <w:t>The Golden Victory </w:t>
      </w:r>
      <w:r>
        <w:rPr>
          <w:sz w:val="20"/>
        </w:rPr>
        <w:t>(</w:t>
      </w:r>
      <w:r>
        <w:rPr>
          <w:rFonts w:ascii="Arial" w:hAnsi="Arial"/>
          <w:i/>
          <w:sz w:val="20"/>
        </w:rPr>
        <w:t>[2007] UKHL 12 </w:t>
      </w:r>
      <w:r>
        <w:rPr>
          <w:sz w:val="20"/>
        </w:rPr>
        <w:t>at [34]–[35]), which had led Hamblen J. to doubt whether the approach used in that case applies to a sale contract for a single delivery (see </w:t>
      </w:r>
      <w:r>
        <w:rPr>
          <w:rFonts w:ascii="Arial" w:hAnsi="Arial"/>
          <w:i/>
          <w:sz w:val="20"/>
        </w:rPr>
        <w:t>[2013] EWHC 84 (Comm), [2013] 1 Lloyd’s Rep. 621 </w:t>
      </w:r>
      <w:r>
        <w:rPr>
          <w:sz w:val="20"/>
        </w:rPr>
        <w:t>at [55]) were taken to have been referring to the simple case of repudiation by non-delivery or non-acceptance: </w:t>
      </w:r>
      <w:r>
        <w:rPr>
          <w:rFonts w:ascii="Arial" w:hAnsi="Arial"/>
          <w:i/>
          <w:sz w:val="20"/>
        </w:rPr>
        <w:t>[2015] UKSC 43 </w:t>
      </w:r>
      <w:r>
        <w:rPr>
          <w:sz w:val="20"/>
        </w:rPr>
        <w:t>at [87].</w:t>
      </w:r>
    </w:p>
    <w:p>
      <w:pPr>
        <w:pStyle w:val="BodyText"/>
        <w:spacing w:before="4"/>
      </w:pPr>
    </w:p>
    <w:p>
      <w:pPr>
        <w:tabs>
          <w:tab w:pos="705" w:val="left" w:leader="none"/>
        </w:tabs>
        <w:spacing w:before="0"/>
        <w:ind w:left="165" w:right="0" w:firstLine="0"/>
        <w:jc w:val="left"/>
        <w:rPr>
          <w:sz w:val="20"/>
        </w:rPr>
      </w:pPr>
      <w:bookmarkStart w:name="_bookmark797" w:id="799"/>
      <w:bookmarkEnd w:id="799"/>
      <w:r>
        <w:rPr/>
      </w:r>
      <w:hyperlink w:history="true" w:anchor="_bookmark737">
        <w:r>
          <w:rPr>
            <w:color w:val="005DA1"/>
            <w:spacing w:val="-4"/>
            <w:position w:val="5"/>
            <w:sz w:val="14"/>
            <w:u w:val="single" w:color="005DA1"/>
          </w:rPr>
          <w:t>415</w:t>
        </w:r>
      </w:hyperlink>
      <w:r>
        <w:rPr>
          <w:spacing w:val="-4"/>
          <w:position w:val="5"/>
          <w:sz w:val="14"/>
        </w:rPr>
        <w:t>.</w:t>
      </w:r>
      <w:r>
        <w:rPr>
          <w:position w:val="5"/>
          <w:sz w:val="14"/>
        </w:rPr>
        <w:tab/>
      </w:r>
      <w:r>
        <w:rPr>
          <w:sz w:val="20"/>
        </w:rPr>
        <w:t>cf. </w:t>
      </w:r>
      <w:r>
        <w:rPr>
          <w:rFonts w:ascii="Arial"/>
          <w:i/>
          <w:sz w:val="20"/>
        </w:rPr>
        <w:t>Lavarack v Woods of Colchester Ltd [1967] 1 Q.B. 278, 294</w:t>
      </w:r>
      <w:r>
        <w:rPr>
          <w:rFonts w:ascii="Arial"/>
          <w:i/>
          <w:spacing w:val="-1"/>
          <w:sz w:val="20"/>
        </w:rPr>
        <w:t> </w:t>
      </w:r>
      <w:r>
        <w:rPr>
          <w:sz w:val="20"/>
        </w:rPr>
        <w:t>(above, para.26-</w:t>
      </w:r>
      <w:r>
        <w:rPr>
          <w:spacing w:val="-2"/>
          <w:sz w:val="20"/>
        </w:rPr>
        <w:t>001).</w:t>
      </w:r>
    </w:p>
    <w:p>
      <w:pPr>
        <w:pStyle w:val="BodyText"/>
        <w:spacing w:before="5"/>
      </w:pPr>
    </w:p>
    <w:p>
      <w:pPr>
        <w:pStyle w:val="BodyText"/>
        <w:tabs>
          <w:tab w:pos="705" w:val="left" w:leader="none"/>
        </w:tabs>
        <w:ind w:left="165"/>
      </w:pPr>
      <w:bookmarkStart w:name="_bookmark798" w:id="800"/>
      <w:bookmarkEnd w:id="800"/>
      <w:r>
        <w:rPr/>
      </w:r>
      <w:hyperlink w:history="true" w:anchor="_bookmark738">
        <w:r>
          <w:rPr>
            <w:color w:val="005DA1"/>
            <w:spacing w:val="-4"/>
            <w:position w:val="5"/>
            <w:sz w:val="14"/>
            <w:u w:val="single" w:color="005DA1"/>
          </w:rPr>
          <w:t>416</w:t>
        </w:r>
      </w:hyperlink>
      <w:r>
        <w:rPr>
          <w:spacing w:val="-4"/>
          <w:position w:val="5"/>
          <w:sz w:val="14"/>
        </w:rPr>
        <w:t>.</w:t>
      </w:r>
      <w:r>
        <w:rPr>
          <w:position w:val="5"/>
          <w:sz w:val="14"/>
        </w:rPr>
        <w:tab/>
      </w:r>
      <w:r>
        <w:rPr/>
        <w:t>See above, paras 21-006 et </w:t>
      </w:r>
      <w:r>
        <w:rPr>
          <w:spacing w:val="-4"/>
        </w:rPr>
        <w:t>seq.</w:t>
      </w:r>
    </w:p>
    <w:p>
      <w:pPr>
        <w:pStyle w:val="BodyText"/>
        <w:spacing w:before="9"/>
      </w:pPr>
    </w:p>
    <w:p>
      <w:pPr>
        <w:spacing w:line="235" w:lineRule="auto" w:before="0"/>
        <w:ind w:left="705" w:right="167" w:hanging="541"/>
        <w:jc w:val="both"/>
        <w:rPr>
          <w:sz w:val="20"/>
        </w:rPr>
      </w:pPr>
      <w:bookmarkStart w:name="_bookmark799" w:id="801"/>
      <w:bookmarkEnd w:id="801"/>
      <w:r>
        <w:rPr/>
      </w:r>
      <w:hyperlink w:history="true" w:anchor="_bookmark739">
        <w:r>
          <w:rPr>
            <w:color w:val="005DA1"/>
            <w:position w:val="5"/>
            <w:sz w:val="14"/>
            <w:u w:val="single" w:color="005DA1"/>
          </w:rPr>
          <w:t>417</w:t>
        </w:r>
      </w:hyperlink>
      <w:r>
        <w:rPr>
          <w:position w:val="5"/>
          <w:sz w:val="14"/>
        </w:rPr>
        <w:t>.</w:t>
      </w:r>
      <w:r>
        <w:rPr>
          <w:spacing w:val="80"/>
          <w:position w:val="5"/>
          <w:sz w:val="14"/>
        </w:rPr>
        <w:t>  </w:t>
      </w:r>
      <w:r>
        <w:rPr>
          <w:sz w:val="20"/>
        </w:rPr>
        <w:t>But where the defendant had a choice of alternative methods of performance, the damages will be assessed on the basis of the method least onerous to him only where that method was reasonable in all the circumstances: </w:t>
      </w:r>
      <w:r>
        <w:rPr>
          <w:rFonts w:ascii="Arial"/>
          <w:i/>
          <w:sz w:val="20"/>
        </w:rPr>
        <w:t>Paula Lee Ltd v Robert Zehil &amp; Co Ltd [1983] 2 All E.R. 390</w:t>
      </w:r>
      <w:r>
        <w:rPr>
          <w:sz w:val="20"/>
        </w:rPr>
        <w:t>; cf. </w:t>
      </w:r>
      <w:r>
        <w:rPr>
          <w:rFonts w:ascii="Arial"/>
          <w:i/>
          <w:sz w:val="20"/>
        </w:rPr>
        <w:t>Abrahams v Herbert Reiach Ltd [1922] 1 K.B. 477</w:t>
      </w:r>
      <w:r>
        <w:rPr>
          <w:sz w:val="20"/>
        </w:rPr>
        <w:t>.</w:t>
      </w:r>
    </w:p>
    <w:p>
      <w:pPr>
        <w:pStyle w:val="BodyText"/>
        <w:spacing w:before="5"/>
      </w:pPr>
    </w:p>
    <w:p>
      <w:pPr>
        <w:spacing w:line="227" w:lineRule="exact" w:before="0"/>
        <w:ind w:left="165" w:right="0" w:firstLine="0"/>
        <w:jc w:val="both"/>
        <w:rPr>
          <w:rFonts w:ascii="Arial"/>
          <w:i/>
          <w:sz w:val="20"/>
        </w:rPr>
      </w:pPr>
      <w:bookmarkStart w:name="_bookmark800" w:id="802"/>
      <w:bookmarkEnd w:id="802"/>
      <w:r>
        <w:rPr/>
      </w:r>
      <w:hyperlink w:history="true" w:anchor="_bookmark739">
        <w:r>
          <w:rPr>
            <w:color w:val="005DA1"/>
            <w:position w:val="5"/>
            <w:sz w:val="14"/>
            <w:u w:val="single" w:color="005DA1"/>
          </w:rPr>
          <w:t>418</w:t>
        </w:r>
      </w:hyperlink>
      <w:r>
        <w:rPr>
          <w:position w:val="5"/>
          <w:sz w:val="14"/>
        </w:rPr>
        <w:t>.</w:t>
      </w:r>
      <w:r>
        <w:rPr>
          <w:spacing w:val="75"/>
          <w:w w:val="150"/>
          <w:position w:val="5"/>
          <w:sz w:val="14"/>
        </w:rPr>
        <w:t>  </w:t>
      </w:r>
      <w:r>
        <w:rPr>
          <w:rFonts w:ascii="Arial"/>
          <w:i/>
          <w:sz w:val="20"/>
        </w:rPr>
        <w:t>Re</w:t>
      </w:r>
      <w:r>
        <w:rPr>
          <w:rFonts w:ascii="Arial"/>
          <w:i/>
          <w:spacing w:val="13"/>
          <w:sz w:val="20"/>
        </w:rPr>
        <w:t> </w:t>
      </w:r>
      <w:r>
        <w:rPr>
          <w:rFonts w:ascii="Arial"/>
          <w:i/>
          <w:sz w:val="20"/>
        </w:rPr>
        <w:t>Thornett,</w:t>
      </w:r>
      <w:r>
        <w:rPr>
          <w:rFonts w:ascii="Arial"/>
          <w:i/>
          <w:spacing w:val="13"/>
          <w:sz w:val="20"/>
        </w:rPr>
        <w:t> </w:t>
      </w:r>
      <w:r>
        <w:rPr>
          <w:rFonts w:ascii="Arial"/>
          <w:i/>
          <w:sz w:val="20"/>
        </w:rPr>
        <w:t>Fehr</w:t>
      </w:r>
      <w:r>
        <w:rPr>
          <w:rFonts w:ascii="Arial"/>
          <w:i/>
          <w:spacing w:val="13"/>
          <w:sz w:val="20"/>
        </w:rPr>
        <w:t> </w:t>
      </w:r>
      <w:r>
        <w:rPr>
          <w:rFonts w:ascii="Arial"/>
          <w:i/>
          <w:sz w:val="20"/>
        </w:rPr>
        <w:t>and</w:t>
      </w:r>
      <w:r>
        <w:rPr>
          <w:rFonts w:ascii="Arial"/>
          <w:i/>
          <w:spacing w:val="13"/>
          <w:sz w:val="20"/>
        </w:rPr>
        <w:t> </w:t>
      </w:r>
      <w:r>
        <w:rPr>
          <w:rFonts w:ascii="Arial"/>
          <w:i/>
          <w:sz w:val="20"/>
        </w:rPr>
        <w:t>Yuills</w:t>
      </w:r>
      <w:r>
        <w:rPr>
          <w:rFonts w:ascii="Arial"/>
          <w:i/>
          <w:spacing w:val="13"/>
          <w:sz w:val="20"/>
        </w:rPr>
        <w:t> </w:t>
      </w:r>
      <w:r>
        <w:rPr>
          <w:rFonts w:ascii="Arial"/>
          <w:i/>
          <w:sz w:val="20"/>
        </w:rPr>
        <w:t>[1921]</w:t>
      </w:r>
      <w:r>
        <w:rPr>
          <w:rFonts w:ascii="Arial"/>
          <w:i/>
          <w:spacing w:val="13"/>
          <w:sz w:val="20"/>
        </w:rPr>
        <w:t> </w:t>
      </w:r>
      <w:r>
        <w:rPr>
          <w:rFonts w:ascii="Arial"/>
          <w:i/>
          <w:sz w:val="20"/>
        </w:rPr>
        <w:t>1</w:t>
      </w:r>
      <w:r>
        <w:rPr>
          <w:rFonts w:ascii="Arial"/>
          <w:i/>
          <w:spacing w:val="13"/>
          <w:sz w:val="20"/>
        </w:rPr>
        <w:t> </w:t>
      </w:r>
      <w:r>
        <w:rPr>
          <w:rFonts w:ascii="Arial"/>
          <w:i/>
          <w:sz w:val="20"/>
        </w:rPr>
        <w:t>K.B.</w:t>
      </w:r>
      <w:r>
        <w:rPr>
          <w:rFonts w:ascii="Arial"/>
          <w:i/>
          <w:spacing w:val="13"/>
          <w:sz w:val="20"/>
        </w:rPr>
        <w:t> </w:t>
      </w:r>
      <w:r>
        <w:rPr>
          <w:rFonts w:ascii="Arial"/>
          <w:i/>
          <w:sz w:val="20"/>
        </w:rPr>
        <w:t>219</w:t>
      </w:r>
      <w:r>
        <w:rPr>
          <w:sz w:val="20"/>
        </w:rPr>
        <w:t>;</w:t>
      </w:r>
      <w:r>
        <w:rPr>
          <w:spacing w:val="12"/>
          <w:sz w:val="20"/>
        </w:rPr>
        <w:t> </w:t>
      </w:r>
      <w:r>
        <w:rPr>
          <w:rFonts w:ascii="Arial"/>
          <w:i/>
          <w:sz w:val="20"/>
        </w:rPr>
        <w:t>Withers</w:t>
      </w:r>
      <w:r>
        <w:rPr>
          <w:rFonts w:ascii="Arial"/>
          <w:i/>
          <w:spacing w:val="13"/>
          <w:sz w:val="20"/>
        </w:rPr>
        <w:t> </w:t>
      </w:r>
      <w:r>
        <w:rPr>
          <w:rFonts w:ascii="Arial"/>
          <w:i/>
          <w:sz w:val="20"/>
        </w:rPr>
        <w:t>v</w:t>
      </w:r>
      <w:r>
        <w:rPr>
          <w:rFonts w:ascii="Arial"/>
          <w:i/>
          <w:spacing w:val="13"/>
          <w:sz w:val="20"/>
        </w:rPr>
        <w:t> </w:t>
      </w:r>
      <w:r>
        <w:rPr>
          <w:rFonts w:ascii="Arial"/>
          <w:i/>
          <w:sz w:val="20"/>
        </w:rPr>
        <w:t>General</w:t>
      </w:r>
      <w:r>
        <w:rPr>
          <w:rFonts w:ascii="Arial"/>
          <w:i/>
          <w:spacing w:val="13"/>
          <w:sz w:val="20"/>
        </w:rPr>
        <w:t> </w:t>
      </w:r>
      <w:r>
        <w:rPr>
          <w:rFonts w:ascii="Arial"/>
          <w:i/>
          <w:sz w:val="20"/>
        </w:rPr>
        <w:t>Theatre</w:t>
      </w:r>
      <w:r>
        <w:rPr>
          <w:rFonts w:ascii="Arial"/>
          <w:i/>
          <w:spacing w:val="13"/>
          <w:sz w:val="20"/>
        </w:rPr>
        <w:t> </w:t>
      </w:r>
      <w:r>
        <w:rPr>
          <w:rFonts w:ascii="Arial"/>
          <w:i/>
          <w:sz w:val="20"/>
        </w:rPr>
        <w:t>Corp</w:t>
      </w:r>
      <w:r>
        <w:rPr>
          <w:rFonts w:ascii="Arial"/>
          <w:i/>
          <w:spacing w:val="13"/>
          <w:sz w:val="20"/>
        </w:rPr>
        <w:t> </w:t>
      </w:r>
      <w:r>
        <w:rPr>
          <w:rFonts w:ascii="Arial"/>
          <w:i/>
          <w:sz w:val="20"/>
        </w:rPr>
        <w:t>[1933]</w:t>
      </w:r>
      <w:r>
        <w:rPr>
          <w:rFonts w:ascii="Arial"/>
          <w:i/>
          <w:spacing w:val="13"/>
          <w:sz w:val="20"/>
        </w:rPr>
        <w:t> </w:t>
      </w:r>
      <w:r>
        <w:rPr>
          <w:rFonts w:ascii="Arial"/>
          <w:i/>
          <w:sz w:val="20"/>
        </w:rPr>
        <w:t>2</w:t>
      </w:r>
      <w:r>
        <w:rPr>
          <w:rFonts w:ascii="Arial"/>
          <w:i/>
          <w:spacing w:val="13"/>
          <w:sz w:val="20"/>
        </w:rPr>
        <w:t> </w:t>
      </w:r>
      <w:r>
        <w:rPr>
          <w:rFonts w:ascii="Arial"/>
          <w:i/>
          <w:spacing w:val="-4"/>
          <w:sz w:val="20"/>
        </w:rPr>
        <w:t>K.B.</w:t>
      </w:r>
    </w:p>
    <w:p>
      <w:pPr>
        <w:spacing w:line="235" w:lineRule="auto" w:before="1"/>
        <w:ind w:left="705" w:right="168" w:firstLine="0"/>
        <w:jc w:val="both"/>
        <w:rPr>
          <w:sz w:val="20"/>
        </w:rPr>
      </w:pPr>
      <w:r>
        <w:rPr>
          <w:rFonts w:ascii="Arial" w:hAnsi="Arial"/>
          <w:i/>
          <w:sz w:val="20"/>
        </w:rPr>
        <w:t>536</w:t>
      </w:r>
      <w:r>
        <w:rPr>
          <w:sz w:val="20"/>
        </w:rPr>
        <w:t>; </w:t>
      </w:r>
      <w:r>
        <w:rPr>
          <w:rFonts w:ascii="Arial" w:hAnsi="Arial"/>
          <w:i/>
          <w:sz w:val="20"/>
        </w:rPr>
        <w:t>Beach v Reed Corrugated Cases [1956] 1 W.L.R. 807, 816–817</w:t>
      </w:r>
      <w:r>
        <w:rPr>
          <w:sz w:val="20"/>
        </w:rPr>
        <w:t>; </w:t>
      </w:r>
      <w:r>
        <w:rPr>
          <w:rFonts w:ascii="Arial" w:hAnsi="Arial"/>
          <w:i/>
          <w:sz w:val="20"/>
        </w:rPr>
        <w:t>Bunge Corp, New York v Tradax SA Panama [1981] 1 W.L.R. 711 HL</w:t>
      </w:r>
      <w:r>
        <w:rPr>
          <w:sz w:val="20"/>
        </w:rPr>
        <w:t>; </w:t>
      </w:r>
      <w:r>
        <w:rPr>
          <w:rFonts w:ascii="Arial" w:hAnsi="Arial"/>
          <w:i/>
          <w:sz w:val="20"/>
        </w:rPr>
        <w:t>Johnson Matthey Banking v State Trading Corp </w:t>
      </w:r>
      <w:r>
        <w:rPr>
          <w:rFonts w:ascii="Arial" w:hAnsi="Arial"/>
          <w:i/>
          <w:sz w:val="20"/>
        </w:rPr>
        <w:t>of India [1984] 1 Lloyd’s Rep. 427 </w:t>
      </w:r>
      <w:r>
        <w:rPr>
          <w:sz w:val="20"/>
        </w:rPr>
        <w:t>(sellers entitled to take advantage of 1.5 per cent tolerance).</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801" w:id="803"/>
      <w:bookmarkEnd w:id="803"/>
      <w:r>
        <w:rPr/>
      </w:r>
      <w:hyperlink w:history="true" w:anchor="_bookmark740">
        <w:r>
          <w:rPr>
            <w:color w:val="005DA1"/>
            <w:spacing w:val="-4"/>
            <w:position w:val="5"/>
            <w:sz w:val="14"/>
            <w:u w:val="single" w:color="005DA1"/>
          </w:rPr>
          <w:t>419</w:t>
        </w:r>
      </w:hyperlink>
      <w:r>
        <w:rPr>
          <w:spacing w:val="-4"/>
          <w:position w:val="5"/>
          <w:sz w:val="14"/>
        </w:rPr>
        <w:t>.</w:t>
      </w:r>
      <w:r>
        <w:rPr>
          <w:position w:val="5"/>
          <w:sz w:val="14"/>
        </w:rPr>
        <w:tab/>
      </w:r>
      <w:r>
        <w:rPr>
          <w:rFonts w:ascii="Arial" w:hAnsi="Arial"/>
          <w:i/>
          <w:sz w:val="20"/>
        </w:rPr>
        <w:t>Spiliada</w:t>
      </w:r>
      <w:r>
        <w:rPr>
          <w:rFonts w:ascii="Arial" w:hAnsi="Arial"/>
          <w:i/>
          <w:spacing w:val="35"/>
          <w:sz w:val="20"/>
        </w:rPr>
        <w:t> </w:t>
      </w:r>
      <w:r>
        <w:rPr>
          <w:rFonts w:ascii="Arial" w:hAnsi="Arial"/>
          <w:i/>
          <w:sz w:val="20"/>
        </w:rPr>
        <w:t>Maritime</w:t>
      </w:r>
      <w:r>
        <w:rPr>
          <w:rFonts w:ascii="Arial" w:hAnsi="Arial"/>
          <w:i/>
          <w:spacing w:val="35"/>
          <w:sz w:val="20"/>
        </w:rPr>
        <w:t> </w:t>
      </w:r>
      <w:r>
        <w:rPr>
          <w:rFonts w:ascii="Arial" w:hAnsi="Arial"/>
          <w:i/>
          <w:sz w:val="20"/>
        </w:rPr>
        <w:t>Corp</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Louis</w:t>
      </w:r>
      <w:r>
        <w:rPr>
          <w:rFonts w:ascii="Arial" w:hAnsi="Arial"/>
          <w:i/>
          <w:spacing w:val="35"/>
          <w:sz w:val="20"/>
        </w:rPr>
        <w:t> </w:t>
      </w:r>
      <w:r>
        <w:rPr>
          <w:rFonts w:ascii="Arial" w:hAnsi="Arial"/>
          <w:i/>
          <w:sz w:val="20"/>
        </w:rPr>
        <w:t>Dreyfus</w:t>
      </w:r>
      <w:r>
        <w:rPr>
          <w:rFonts w:ascii="Arial" w:hAnsi="Arial"/>
          <w:i/>
          <w:spacing w:val="35"/>
          <w:sz w:val="20"/>
        </w:rPr>
        <w:t> </w:t>
      </w:r>
      <w:r>
        <w:rPr>
          <w:rFonts w:ascii="Arial" w:hAnsi="Arial"/>
          <w:i/>
          <w:sz w:val="20"/>
        </w:rPr>
        <w:t>Corp</w:t>
      </w:r>
      <w:r>
        <w:rPr>
          <w:rFonts w:ascii="Arial" w:hAnsi="Arial"/>
          <w:i/>
          <w:spacing w:val="35"/>
          <w:sz w:val="20"/>
        </w:rPr>
        <w:t> </w:t>
      </w:r>
      <w:r>
        <w:rPr>
          <w:rFonts w:ascii="Arial" w:hAnsi="Arial"/>
          <w:i/>
          <w:sz w:val="20"/>
        </w:rPr>
        <w:t>[1983]</w:t>
      </w:r>
      <w:r>
        <w:rPr>
          <w:rFonts w:ascii="Arial" w:hAnsi="Arial"/>
          <w:i/>
          <w:spacing w:val="35"/>
          <w:sz w:val="20"/>
        </w:rPr>
        <w:t> </w:t>
      </w:r>
      <w:r>
        <w:rPr>
          <w:rFonts w:ascii="Arial" w:hAnsi="Arial"/>
          <w:i/>
          <w:sz w:val="20"/>
        </w:rPr>
        <w:t>Com.</w:t>
      </w:r>
      <w:r>
        <w:rPr>
          <w:rFonts w:ascii="Arial" w:hAnsi="Arial"/>
          <w:i/>
          <w:spacing w:val="35"/>
          <w:sz w:val="20"/>
        </w:rPr>
        <w:t> </w:t>
      </w:r>
      <w:r>
        <w:rPr>
          <w:rFonts w:ascii="Arial" w:hAnsi="Arial"/>
          <w:i/>
          <w:sz w:val="20"/>
        </w:rPr>
        <w:t>L.R.</w:t>
      </w:r>
      <w:r>
        <w:rPr>
          <w:rFonts w:ascii="Arial" w:hAnsi="Arial"/>
          <w:i/>
          <w:spacing w:val="35"/>
          <w:sz w:val="20"/>
        </w:rPr>
        <w:t> </w:t>
      </w:r>
      <w:r>
        <w:rPr>
          <w:rFonts w:ascii="Arial" w:hAnsi="Arial"/>
          <w:i/>
          <w:sz w:val="20"/>
        </w:rPr>
        <w:t>268</w:t>
      </w:r>
      <w:r>
        <w:rPr>
          <w:sz w:val="20"/>
        </w:rPr>
        <w:t>.</w:t>
      </w:r>
      <w:r>
        <w:rPr>
          <w:spacing w:val="35"/>
          <w:sz w:val="20"/>
        </w:rPr>
        <w:t> </w:t>
      </w:r>
      <w:r>
        <w:rPr>
          <w:sz w:val="20"/>
        </w:rPr>
        <w:t>See</w:t>
      </w:r>
      <w:r>
        <w:rPr>
          <w:spacing w:val="35"/>
          <w:sz w:val="20"/>
        </w:rPr>
        <w:t> </w:t>
      </w:r>
      <w:r>
        <w:rPr>
          <w:sz w:val="20"/>
        </w:rPr>
        <w:t>also</w:t>
      </w:r>
      <w:r>
        <w:rPr>
          <w:spacing w:val="35"/>
          <w:sz w:val="20"/>
        </w:rPr>
        <w:t> </w:t>
      </w:r>
      <w:r>
        <w:rPr>
          <w:rFonts w:ascii="Arial" w:hAnsi="Arial"/>
          <w:i/>
          <w:sz w:val="20"/>
        </w:rPr>
        <w:t>Kaye</w:t>
      </w:r>
      <w:r>
        <w:rPr>
          <w:rFonts w:ascii="Arial" w:hAnsi="Arial"/>
          <w:i/>
          <w:spacing w:val="35"/>
          <w:sz w:val="20"/>
        </w:rPr>
        <w:t> </w:t>
      </w:r>
      <w:r>
        <w:rPr>
          <w:rFonts w:ascii="Arial" w:hAnsi="Arial"/>
          <w:i/>
          <w:sz w:val="20"/>
        </w:rPr>
        <w:t>Steam Navigating</w:t>
      </w:r>
      <w:r>
        <w:rPr>
          <w:rFonts w:ascii="Arial" w:hAnsi="Arial"/>
          <w:i/>
          <w:spacing w:val="23"/>
          <w:sz w:val="20"/>
        </w:rPr>
        <w:t> </w:t>
      </w:r>
      <w:r>
        <w:rPr>
          <w:rFonts w:ascii="Arial" w:hAnsi="Arial"/>
          <w:i/>
          <w:sz w:val="20"/>
        </w:rPr>
        <w:t>Co</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Barnett</w:t>
      </w:r>
      <w:r>
        <w:rPr>
          <w:rFonts w:ascii="Arial" w:hAnsi="Arial"/>
          <w:i/>
          <w:spacing w:val="26"/>
          <w:sz w:val="20"/>
        </w:rPr>
        <w:t> </w:t>
      </w:r>
      <w:r>
        <w:rPr>
          <w:rFonts w:ascii="Arial" w:hAnsi="Arial"/>
          <w:i/>
          <w:sz w:val="20"/>
        </w:rPr>
        <w:t>(1932)</w:t>
      </w:r>
      <w:r>
        <w:rPr>
          <w:rFonts w:ascii="Arial" w:hAnsi="Arial"/>
          <w:i/>
          <w:spacing w:val="26"/>
          <w:sz w:val="20"/>
        </w:rPr>
        <w:t> </w:t>
      </w:r>
      <w:r>
        <w:rPr>
          <w:rFonts w:ascii="Arial" w:hAnsi="Arial"/>
          <w:i/>
          <w:sz w:val="20"/>
        </w:rPr>
        <w:t>48</w:t>
      </w:r>
      <w:r>
        <w:rPr>
          <w:rFonts w:ascii="Arial" w:hAnsi="Arial"/>
          <w:i/>
          <w:spacing w:val="26"/>
          <w:sz w:val="20"/>
        </w:rPr>
        <w:t> </w:t>
      </w:r>
      <w:r>
        <w:rPr>
          <w:rFonts w:ascii="Arial" w:hAnsi="Arial"/>
          <w:i/>
          <w:sz w:val="20"/>
        </w:rPr>
        <w:t>T.L.R.</w:t>
      </w:r>
      <w:r>
        <w:rPr>
          <w:rFonts w:ascii="Arial" w:hAnsi="Arial"/>
          <w:i/>
          <w:spacing w:val="26"/>
          <w:sz w:val="20"/>
        </w:rPr>
        <w:t> </w:t>
      </w:r>
      <w:r>
        <w:rPr>
          <w:rFonts w:ascii="Arial" w:hAnsi="Arial"/>
          <w:i/>
          <w:sz w:val="20"/>
        </w:rPr>
        <w:t>440</w:t>
      </w:r>
      <w:r>
        <w:rPr>
          <w:sz w:val="20"/>
        </w:rPr>
        <w:t>;</w:t>
      </w:r>
      <w:r>
        <w:rPr>
          <w:spacing w:val="26"/>
          <w:sz w:val="20"/>
        </w:rPr>
        <w:t> </w:t>
      </w:r>
      <w:r>
        <w:rPr>
          <w:rFonts w:ascii="Arial" w:hAnsi="Arial"/>
          <w:i/>
          <w:sz w:val="20"/>
        </w:rPr>
        <w:t>Becher</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Koplak</w:t>
      </w:r>
      <w:r>
        <w:rPr>
          <w:rFonts w:ascii="Arial" w:hAnsi="Arial"/>
          <w:i/>
          <w:spacing w:val="26"/>
          <w:sz w:val="20"/>
        </w:rPr>
        <w:t> </w:t>
      </w:r>
      <w:r>
        <w:rPr>
          <w:rFonts w:ascii="Arial" w:hAnsi="Arial"/>
          <w:i/>
          <w:sz w:val="20"/>
        </w:rPr>
        <w:t>Enterprises</w:t>
      </w:r>
      <w:r>
        <w:rPr>
          <w:rFonts w:ascii="Arial" w:hAnsi="Arial"/>
          <w:i/>
          <w:spacing w:val="26"/>
          <w:sz w:val="20"/>
        </w:rPr>
        <w:t> </w:t>
      </w:r>
      <w:r>
        <w:rPr>
          <w:rFonts w:ascii="Arial" w:hAnsi="Arial"/>
          <w:i/>
          <w:sz w:val="20"/>
        </w:rPr>
        <w:t>[1991]</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pacing w:val="-2"/>
          <w:sz w:val="20"/>
        </w:rPr>
        <w:t>Lloyd’s</w:t>
      </w:r>
    </w:p>
    <w:p>
      <w:pPr>
        <w:spacing w:line="225" w:lineRule="exact" w:before="0"/>
        <w:ind w:left="705" w:right="0" w:firstLine="0"/>
        <w:jc w:val="left"/>
        <w:rPr>
          <w:sz w:val="20"/>
        </w:rPr>
      </w:pPr>
      <w:r>
        <w:rPr>
          <w:rFonts w:ascii="Arial"/>
          <w:i/>
          <w:sz w:val="20"/>
        </w:rPr>
        <w:t>Rep. 23 </w:t>
      </w:r>
      <w:r>
        <w:rPr>
          <w:rFonts w:ascii="Arial"/>
          <w:i/>
          <w:spacing w:val="-5"/>
          <w:sz w:val="20"/>
        </w:rPr>
        <w:t>CA</w:t>
      </w:r>
      <w:r>
        <w:rPr>
          <w:spacing w:val="-5"/>
          <w:sz w:val="20"/>
        </w:rPr>
        <w:t>.</w:t>
      </w:r>
    </w:p>
    <w:p>
      <w:pPr>
        <w:pStyle w:val="BodyText"/>
        <w:spacing w:before="5"/>
      </w:pPr>
    </w:p>
    <w:p>
      <w:pPr>
        <w:pStyle w:val="BodyText"/>
        <w:tabs>
          <w:tab w:pos="705" w:val="left" w:leader="none"/>
        </w:tabs>
        <w:ind w:left="165"/>
      </w:pPr>
      <w:bookmarkStart w:name="_bookmark802" w:id="804"/>
      <w:bookmarkEnd w:id="804"/>
      <w:r>
        <w:rPr/>
      </w:r>
      <w:hyperlink w:history="true" w:anchor="_bookmark741">
        <w:r>
          <w:rPr>
            <w:color w:val="005DA1"/>
            <w:spacing w:val="-4"/>
            <w:position w:val="5"/>
            <w:sz w:val="14"/>
            <w:u w:val="single" w:color="005DA1"/>
          </w:rPr>
          <w:t>420</w:t>
        </w:r>
      </w:hyperlink>
      <w:r>
        <w:rPr>
          <w:spacing w:val="-4"/>
          <w:position w:val="5"/>
          <w:sz w:val="14"/>
        </w:rPr>
        <w:t>.</w:t>
      </w:r>
      <w:r>
        <w:rPr>
          <w:position w:val="5"/>
          <w:sz w:val="14"/>
        </w:rPr>
        <w:tab/>
      </w:r>
      <w:r>
        <w:rPr/>
        <w:t>See above, paras 24-027—24-028, 24-</w:t>
      </w:r>
      <w:r>
        <w:rPr>
          <w:spacing w:val="-4"/>
        </w:rPr>
        <w:t>031.</w:t>
      </w:r>
    </w:p>
    <w:p>
      <w:pPr>
        <w:pStyle w:val="BodyText"/>
        <w:spacing w:before="9"/>
      </w:pPr>
    </w:p>
    <w:p>
      <w:pPr>
        <w:spacing w:line="235" w:lineRule="auto" w:before="0"/>
        <w:ind w:left="705" w:right="168" w:hanging="541"/>
        <w:jc w:val="both"/>
        <w:rPr>
          <w:rFonts w:ascii="Arial" w:hAnsi="Arial"/>
          <w:i/>
          <w:sz w:val="20"/>
        </w:rPr>
      </w:pPr>
      <w:bookmarkStart w:name="_bookmark803" w:id="805"/>
      <w:bookmarkEnd w:id="805"/>
      <w:r>
        <w:rPr/>
      </w:r>
      <w:hyperlink w:history="true" w:anchor="_bookmark742">
        <w:r>
          <w:rPr>
            <w:color w:val="005DA1"/>
            <w:position w:val="5"/>
            <w:sz w:val="14"/>
            <w:u w:val="single" w:color="005DA1"/>
          </w:rPr>
          <w:t>421</w:t>
        </w:r>
      </w:hyperlink>
      <w:r>
        <w:rPr>
          <w:position w:val="5"/>
          <w:sz w:val="14"/>
        </w:rPr>
        <w:t>.</w:t>
      </w:r>
      <w:r>
        <w:rPr>
          <w:spacing w:val="80"/>
          <w:position w:val="5"/>
          <w:sz w:val="14"/>
        </w:rPr>
        <w:t> </w:t>
      </w:r>
      <w:r>
        <w:rPr>
          <w:rFonts w:ascii="Arial" w:hAnsi="Arial"/>
          <w:i/>
          <w:sz w:val="20"/>
        </w:rPr>
        <w:t>The Mihalis Angelos [1971] 1 Q.B. 164 </w:t>
      </w:r>
      <w:r>
        <w:rPr>
          <w:sz w:val="20"/>
        </w:rPr>
        <w:t>(see above, para.24-023); </w:t>
      </w:r>
      <w:r>
        <w:rPr>
          <w:rFonts w:ascii="Arial" w:hAnsi="Arial"/>
          <w:i/>
          <w:sz w:val="20"/>
        </w:rPr>
        <w:t>Comau UK Ltd v </w:t>
      </w:r>
      <w:r>
        <w:rPr>
          <w:rFonts w:ascii="Arial" w:hAnsi="Arial"/>
          <w:i/>
          <w:sz w:val="20"/>
        </w:rPr>
        <w:t>Lotus Lightweight Structures Ltd [2014] EWHC 2122 (Comm)</w:t>
      </w:r>
      <w:r>
        <w:rPr>
          <w:sz w:val="20"/>
        </w:rPr>
        <w:t>; cf. the principles on which damages</w:t>
      </w:r>
      <w:r>
        <w:rPr>
          <w:spacing w:val="40"/>
          <w:sz w:val="20"/>
        </w:rPr>
        <w:t> </w:t>
      </w:r>
      <w:r>
        <w:rPr>
          <w:sz w:val="20"/>
        </w:rPr>
        <w:t>are</w:t>
      </w:r>
      <w:r>
        <w:rPr>
          <w:spacing w:val="27"/>
          <w:sz w:val="20"/>
        </w:rPr>
        <w:t> </w:t>
      </w:r>
      <w:r>
        <w:rPr>
          <w:sz w:val="20"/>
        </w:rPr>
        <w:t>assessed</w:t>
      </w:r>
      <w:r>
        <w:rPr>
          <w:spacing w:val="27"/>
          <w:sz w:val="20"/>
        </w:rPr>
        <w:t> </w:t>
      </w:r>
      <w:r>
        <w:rPr>
          <w:sz w:val="20"/>
        </w:rPr>
        <w:t>for</w:t>
      </w:r>
      <w:r>
        <w:rPr>
          <w:spacing w:val="27"/>
          <w:sz w:val="20"/>
        </w:rPr>
        <w:t> </w:t>
      </w:r>
      <w:r>
        <w:rPr>
          <w:sz w:val="20"/>
        </w:rPr>
        <w:t>wrongful</w:t>
      </w:r>
      <w:r>
        <w:rPr>
          <w:spacing w:val="27"/>
          <w:sz w:val="20"/>
        </w:rPr>
        <w:t> </w:t>
      </w:r>
      <w:r>
        <w:rPr>
          <w:sz w:val="20"/>
        </w:rPr>
        <w:t>dismissal:</w:t>
      </w:r>
      <w:r>
        <w:rPr>
          <w:spacing w:val="27"/>
          <w:sz w:val="20"/>
        </w:rPr>
        <w:t> </w:t>
      </w:r>
      <w:r>
        <w:rPr>
          <w:sz w:val="20"/>
        </w:rPr>
        <w:t>Vol.II,</w:t>
      </w:r>
      <w:r>
        <w:rPr>
          <w:spacing w:val="27"/>
          <w:sz w:val="20"/>
        </w:rPr>
        <w:t> </w:t>
      </w:r>
      <w:r>
        <w:rPr>
          <w:sz w:val="20"/>
        </w:rPr>
        <w:t>paras</w:t>
      </w:r>
      <w:r>
        <w:rPr>
          <w:spacing w:val="27"/>
          <w:sz w:val="20"/>
        </w:rPr>
        <w:t> </w:t>
      </w:r>
      <w:r>
        <w:rPr>
          <w:sz w:val="20"/>
        </w:rPr>
        <w:t>40-200—40-206.</w:t>
      </w:r>
      <w:r>
        <w:rPr>
          <w:spacing w:val="27"/>
          <w:sz w:val="20"/>
        </w:rPr>
        <w:t> </w:t>
      </w:r>
      <w:r>
        <w:rPr>
          <w:sz w:val="20"/>
        </w:rPr>
        <w:t>cf.</w:t>
      </w:r>
      <w:r>
        <w:rPr>
          <w:spacing w:val="27"/>
          <w:sz w:val="20"/>
        </w:rPr>
        <w:t> </w:t>
      </w:r>
      <w:r>
        <w:rPr>
          <w:sz w:val="20"/>
        </w:rPr>
        <w:t>also</w:t>
      </w:r>
      <w:r>
        <w:rPr>
          <w:spacing w:val="27"/>
          <w:sz w:val="20"/>
        </w:rPr>
        <w:t> </w:t>
      </w:r>
      <w:r>
        <w:rPr>
          <w:sz w:val="20"/>
        </w:rPr>
        <w:t>the</w:t>
      </w:r>
      <w:r>
        <w:rPr>
          <w:spacing w:val="26"/>
          <w:sz w:val="20"/>
        </w:rPr>
        <w:t> </w:t>
      </w:r>
      <w:r>
        <w:rPr>
          <w:rFonts w:ascii="Arial" w:hAnsi="Arial"/>
          <w:i/>
          <w:sz w:val="20"/>
        </w:rPr>
        <w:t>Golden</w:t>
      </w:r>
      <w:r>
        <w:rPr>
          <w:rFonts w:ascii="Arial" w:hAnsi="Arial"/>
          <w:i/>
          <w:spacing w:val="27"/>
          <w:sz w:val="20"/>
        </w:rPr>
        <w:t> </w:t>
      </w:r>
      <w:r>
        <w:rPr>
          <w:rFonts w:ascii="Arial" w:hAnsi="Arial"/>
          <w:i/>
          <w:spacing w:val="-2"/>
          <w:sz w:val="20"/>
        </w:rPr>
        <w:t>Strait</w:t>
      </w:r>
    </w:p>
    <w:p>
      <w:pPr>
        <w:spacing w:after="0" w:line="235" w:lineRule="auto"/>
        <w:jc w:val="both"/>
        <w:rPr>
          <w:rFonts w:ascii="Arial" w:hAnsi="Arial"/>
          <w:i/>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case</w:t>
      </w:r>
      <w:r>
        <w:rPr>
          <w:rFonts w:ascii="Arial"/>
          <w:i/>
          <w:spacing w:val="-1"/>
          <w:sz w:val="20"/>
        </w:rPr>
        <w:t> </w:t>
      </w:r>
      <w:r>
        <w:rPr>
          <w:rFonts w:ascii="Arial"/>
          <w:i/>
          <w:sz w:val="20"/>
        </w:rPr>
        <w:t>[2007] UKHL 12</w:t>
      </w:r>
      <w:r>
        <w:rPr>
          <w:sz w:val="20"/>
        </w:rPr>
        <w:t>, above, para.26-</w:t>
      </w:r>
      <w:r>
        <w:rPr>
          <w:spacing w:val="-4"/>
          <w:sz w:val="20"/>
        </w:rPr>
        <w:t>074.</w:t>
      </w:r>
    </w:p>
    <w:p>
      <w:pPr>
        <w:pStyle w:val="BodyText"/>
        <w:spacing w:before="9"/>
      </w:pPr>
    </w:p>
    <w:p>
      <w:pPr>
        <w:spacing w:line="235" w:lineRule="auto" w:before="0"/>
        <w:ind w:left="705" w:right="167" w:hanging="541"/>
        <w:jc w:val="both"/>
        <w:rPr>
          <w:sz w:val="20"/>
        </w:rPr>
      </w:pPr>
      <w:bookmarkStart w:name="_bookmark804" w:id="806"/>
      <w:bookmarkEnd w:id="806"/>
      <w:r>
        <w:rPr/>
      </w:r>
      <w:hyperlink w:history="true" w:anchor="_bookmark743">
        <w:r>
          <w:rPr>
            <w:color w:val="005DA1"/>
            <w:position w:val="5"/>
            <w:sz w:val="14"/>
            <w:u w:val="single" w:color="005DA1"/>
          </w:rPr>
          <w:t>422</w:t>
        </w:r>
      </w:hyperlink>
      <w:r>
        <w:rPr>
          <w:position w:val="5"/>
          <w:sz w:val="14"/>
        </w:rPr>
        <w:t>.</w:t>
      </w:r>
      <w:r>
        <w:rPr>
          <w:spacing w:val="80"/>
          <w:position w:val="5"/>
          <w:sz w:val="14"/>
        </w:rPr>
        <w:t>  </w:t>
      </w:r>
      <w:r>
        <w:rPr>
          <w:rFonts w:ascii="Arial" w:hAnsi="Arial"/>
          <w:i/>
          <w:sz w:val="20"/>
        </w:rPr>
        <w:t>Durham Tees Valley Airport Ltd v bmibaby Ltd [2010] EWCA Civ 485, [2011] 1 Lloyd’s Rep. </w:t>
      </w:r>
      <w:r>
        <w:rPr>
          <w:rFonts w:ascii="Arial" w:hAnsi="Arial"/>
          <w:i/>
          <w:sz w:val="20"/>
        </w:rPr>
        <w:t>68 </w:t>
      </w:r>
      <w:r>
        <w:rPr>
          <w:sz w:val="20"/>
        </w:rPr>
        <w:t>at [79] (Patten L.J.); distinguished in </w:t>
      </w:r>
      <w:r>
        <w:rPr>
          <w:rFonts w:ascii="Arial" w:hAnsi="Arial"/>
          <w:i/>
          <w:sz w:val="20"/>
        </w:rPr>
        <w:t>Comau UK Ltd v Lotus Lightweight Structures Ltd [2014] EWHC 2122 (Comm) </w:t>
      </w:r>
      <w:r>
        <w:rPr>
          <w:sz w:val="20"/>
        </w:rPr>
        <w:t>at [23].</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bookmarkStart w:name="_bookmark805" w:id="807"/>
      <w:bookmarkEnd w:id="807"/>
      <w:r>
        <w:rPr/>
      </w:r>
      <w:r>
        <w:rPr>
          <w:rFonts w:ascii="Arial"/>
          <w:b/>
          <w:sz w:val="24"/>
        </w:rPr>
        <w:t>Section 5. - Causation </w:t>
      </w:r>
      <w:r>
        <w:rPr>
          <w:rFonts w:ascii="Arial"/>
          <w:b/>
          <w:color w:val="005DA1"/>
          <w:position w:val="11"/>
          <w:sz w:val="12"/>
          <w:u w:val="single" w:color="005DA1"/>
        </w:rPr>
        <w:t>359</w:t>
      </w:r>
      <w:r>
        <w:rPr>
          <w:rFonts w:ascii="Arial"/>
          <w:b/>
          <w:color w:val="005DA1"/>
          <w:spacing w:val="32"/>
          <w:position w:val="11"/>
          <w:sz w:val="12"/>
        </w:rPr>
        <w:t> </w:t>
      </w:r>
      <w:r>
        <w:rPr>
          <w:rFonts w:ascii="Arial"/>
          <w:b/>
          <w:sz w:val="24"/>
        </w:rPr>
        <w:t>and Contributory </w:t>
      </w:r>
      <w:r>
        <w:rPr>
          <w:rFonts w:ascii="Arial"/>
          <w:b/>
          <w:spacing w:val="-2"/>
          <w:sz w:val="24"/>
        </w:rPr>
        <w:t>Negligence</w:t>
      </w:r>
    </w:p>
    <w:p>
      <w:pPr>
        <w:spacing w:before="194"/>
        <w:ind w:left="3012" w:right="0" w:firstLine="0"/>
        <w:jc w:val="left"/>
        <w:rPr>
          <w:rFonts w:ascii="Arial"/>
          <w:b/>
          <w:sz w:val="24"/>
        </w:rPr>
      </w:pPr>
      <w:r>
        <w:rPr>
          <w:rFonts w:ascii="Arial"/>
          <w:b/>
          <w:sz w:val="24"/>
        </w:rPr>
        <w:t>(b) - Contributory </w:t>
      </w:r>
      <w:r>
        <w:rPr>
          <w:rFonts w:ascii="Arial"/>
          <w:b/>
          <w:spacing w:val="-2"/>
          <w:sz w:val="24"/>
        </w:rPr>
        <w:t>Negligence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806" w:id="808"/>
      <w:bookmarkEnd w:id="808"/>
      <w:r>
        <w:rPr/>
      </w:r>
      <w:r>
        <w:rPr>
          <w:rFonts w:ascii="Arial"/>
          <w:b/>
          <w:sz w:val="18"/>
        </w:rPr>
        <w:t>Contributory negligence and breach of contract. </w:t>
      </w:r>
      <w:r>
        <w:rPr>
          <w:rFonts w:ascii="Arial"/>
          <w:b/>
          <w:color w:val="005DA1"/>
          <w:spacing w:val="-5"/>
          <w:sz w:val="18"/>
          <w:u w:val="single" w:color="005DA1"/>
          <w:vertAlign w:val="superscript"/>
        </w:rPr>
        <w:t>423</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0"/>
        </w:rPr>
        <w:t> </w:t>
      </w:r>
      <w:r>
        <w:rPr/>
        <w:t>The Law Reform (Contributory Negligence) Act 1945 permits apportionment of loss by </w:t>
      </w:r>
      <w:r>
        <w:rPr/>
        <w:t>the </w:t>
      </w:r>
      <w:bookmarkStart w:name="_bookmark807" w:id="809"/>
      <w:bookmarkEnd w:id="809"/>
      <w:r>
        <w:rPr/>
        <w:t>reduction</w:t>
      </w:r>
      <w:r>
        <w:rPr/>
        <w:t> of the claimant’s damages where he “suffers damage as the result partly of his own fault</w:t>
      </w:r>
      <w:r>
        <w:rPr>
          <w:spacing w:val="40"/>
        </w:rPr>
        <w:t> </w:t>
      </w:r>
      <w:bookmarkStart w:name="_bookmark808" w:id="810"/>
      <w:bookmarkEnd w:id="810"/>
      <w:r>
        <w:rPr/>
        <w:t>and</w:t>
      </w:r>
      <w:r>
        <w:rPr/>
        <w:t> partly of the fault of any other person”. </w:t>
      </w:r>
      <w:r>
        <w:rPr>
          <w:color w:val="005DA1"/>
          <w:u w:val="single" w:color="005DA1"/>
          <w:vertAlign w:val="superscript"/>
        </w:rPr>
        <w:t>424</w:t>
      </w:r>
      <w:r>
        <w:rPr>
          <w:color w:val="005DA1"/>
          <w:vertAlign w:val="baseline"/>
        </w:rPr>
        <w:t> </w:t>
      </w:r>
      <w:r>
        <w:rPr>
          <w:vertAlign w:val="baseline"/>
        </w:rPr>
        <w:t>Although the Act was obviously designed for claims in tort, </w:t>
      </w:r>
      <w:r>
        <w:rPr>
          <w:color w:val="005DA1"/>
          <w:u w:val="single" w:color="005DA1"/>
          <w:vertAlign w:val="superscript"/>
        </w:rPr>
        <w:t>425</w:t>
      </w:r>
      <w:r>
        <w:rPr>
          <w:color w:val="005DA1"/>
          <w:vertAlign w:val="baseline"/>
        </w:rPr>
        <w:t> </w:t>
      </w:r>
      <w:r>
        <w:rPr>
          <w:vertAlign w:val="baseline"/>
        </w:rPr>
        <w:t>the definition of “fault” as (inter alia) “negligence” raises the question whether a defendant guilty of a breach of contract can take advantage of this provision if the claimant has himself </w:t>
      </w:r>
      <w:bookmarkStart w:name="_bookmark809" w:id="811"/>
      <w:bookmarkEnd w:id="811"/>
      <w:r>
        <w:rPr>
          <w:vertAlign w:val="baseline"/>
        </w:rPr>
        <w:t>contributed</w:t>
      </w:r>
      <w:r>
        <w:rPr>
          <w:vertAlign w:val="baseline"/>
        </w:rPr>
        <w:t> to causing his loss by some “fault” on his part. In </w:t>
      </w:r>
      <w:r>
        <w:rPr>
          <w:rFonts w:ascii="Arial" w:hAnsi="Arial"/>
          <w:i/>
          <w:vertAlign w:val="baseline"/>
        </w:rPr>
        <w:t>Forsikringsaktieselskapet Vesta v Butcher </w:t>
      </w:r>
      <w:r>
        <w:rPr>
          <w:color w:val="005DA1"/>
          <w:u w:val="single" w:color="005DA1"/>
          <w:vertAlign w:val="superscript"/>
        </w:rPr>
        <w:t>426</w:t>
      </w:r>
      <w:r>
        <w:rPr>
          <w:color w:val="005DA1"/>
          <w:vertAlign w:val="baseline"/>
        </w:rPr>
        <w:t> </w:t>
      </w:r>
      <w:r>
        <w:rPr>
          <w:vertAlign w:val="baseline"/>
        </w:rPr>
        <w:t>the Court of Appeal accepted that three categories are relevant to this question: category 1, where the defendant is liable only in contract for breach of a strict duty (negligence being irrelevant); category 2, where the defendant is liable only in contract for breach of an obligation to</w:t>
      </w:r>
      <w:r>
        <w:rPr>
          <w:spacing w:val="80"/>
          <w:vertAlign w:val="baseline"/>
        </w:rPr>
        <w:t> </w:t>
      </w:r>
      <w:r>
        <w:rPr>
          <w:vertAlign w:val="baseline"/>
        </w:rPr>
        <w:t>take care (there being no corresponding duty of care in tort); and category 3, where the defendant’s </w:t>
      </w:r>
      <w:bookmarkStart w:name="_bookmark810" w:id="812"/>
      <w:bookmarkEnd w:id="812"/>
      <w:r>
        <w:rPr>
          <w:vertAlign w:val="baseline"/>
        </w:rPr>
        <w:t>liability</w:t>
      </w:r>
      <w:r>
        <w:rPr>
          <w:vertAlign w:val="baseline"/>
        </w:rPr>
        <w:t> in contract is the same as his liability in negligence (the tortious duty of care arising </w:t>
      </w:r>
      <w:bookmarkStart w:name="_bookmark811" w:id="813"/>
      <w:bookmarkEnd w:id="813"/>
      <w:r>
        <w:rPr>
          <w:vertAlign w:val="baseline"/>
        </w:rPr>
        <w:t>independently</w:t>
      </w:r>
      <w:r>
        <w:rPr>
          <w:vertAlign w:val="baseline"/>
        </w:rPr>
        <w:t> of the contract). In </w:t>
      </w:r>
      <w:r>
        <w:rPr>
          <w:rFonts w:ascii="Arial" w:hAnsi="Arial"/>
          <w:i/>
          <w:vertAlign w:val="baseline"/>
        </w:rPr>
        <w:t>Forsikringsaktieselskapet Vesta v Butcher </w:t>
      </w:r>
      <w:r>
        <w:rPr>
          <w:color w:val="005DA1"/>
          <w:u w:val="single" w:color="005DA1"/>
          <w:vertAlign w:val="superscript"/>
        </w:rPr>
        <w:t>427</w:t>
      </w:r>
      <w:r>
        <w:rPr>
          <w:color w:val="005DA1"/>
          <w:vertAlign w:val="baseline"/>
        </w:rPr>
        <w:t> </w:t>
      </w:r>
      <w:r>
        <w:rPr>
          <w:vertAlign w:val="baseline"/>
        </w:rPr>
        <w:t>the Court of Appeal </w:t>
      </w:r>
      <w:bookmarkStart w:name="_bookmark812" w:id="814"/>
      <w:bookmarkEnd w:id="814"/>
      <w:r>
        <w:rPr>
          <w:vertAlign w:val="baseline"/>
        </w:rPr>
        <w:t>held</w:t>
      </w:r>
      <w:r>
        <w:rPr>
          <w:vertAlign w:val="baseline"/>
        </w:rPr>
        <w:t> </w:t>
      </w:r>
      <w:r>
        <w:rPr>
          <w:color w:val="005DA1"/>
          <w:u w:val="single" w:color="005DA1"/>
          <w:vertAlign w:val="superscript"/>
        </w:rPr>
        <w:t>428</w:t>
      </w:r>
      <w:r>
        <w:rPr>
          <w:color w:val="005DA1"/>
          <w:vertAlign w:val="baseline"/>
        </w:rPr>
        <w:t> </w:t>
      </w:r>
      <w:r>
        <w:rPr>
          <w:vertAlign w:val="baseline"/>
        </w:rPr>
        <w:t>that the Act of 1945 applied only to category 3 cases, </w:t>
      </w:r>
      <w:r>
        <w:rPr>
          <w:color w:val="005DA1"/>
          <w:u w:val="single" w:color="005DA1"/>
          <w:vertAlign w:val="superscript"/>
        </w:rPr>
        <w:t>429</w:t>
      </w:r>
      <w:r>
        <w:rPr>
          <w:color w:val="005DA1"/>
          <w:vertAlign w:val="baseline"/>
        </w:rPr>
        <w:t> </w:t>
      </w:r>
      <w:r>
        <w:rPr>
          <w:vertAlign w:val="baseline"/>
        </w:rPr>
        <w:t>namely those where the breach of contract is co-extensive with the breach of the tortious duty. </w:t>
      </w:r>
      <w:r>
        <w:rPr>
          <w:color w:val="005DA1"/>
          <w:u w:val="single" w:color="005DA1"/>
          <w:vertAlign w:val="superscript"/>
        </w:rPr>
        <w:t>430</w:t>
      </w:r>
      <w:r>
        <w:rPr>
          <w:color w:val="005DA1"/>
          <w:vertAlign w:val="baseline"/>
        </w:rPr>
        <w:t> </w:t>
      </w:r>
      <w:r>
        <w:rPr>
          <w:vertAlign w:val="baseline"/>
        </w:rPr>
        <w:t>In this situation it would be anomalous </w:t>
      </w:r>
      <w:bookmarkStart w:name="_bookmark813" w:id="815"/>
      <w:bookmarkEnd w:id="815"/>
      <w:r>
        <w:rPr>
          <w:vertAlign w:val="baseline"/>
        </w:rPr>
        <w:t>if</w:t>
      </w:r>
      <w:r>
        <w:rPr>
          <w:spacing w:val="8"/>
          <w:vertAlign w:val="baseline"/>
        </w:rPr>
        <w:t> </w:t>
      </w:r>
      <w:r>
        <w:rPr>
          <w:vertAlign w:val="baseline"/>
        </w:rPr>
        <w:t>the</w:t>
      </w:r>
      <w:r>
        <w:rPr>
          <w:spacing w:val="8"/>
          <w:vertAlign w:val="baseline"/>
        </w:rPr>
        <w:t> </w:t>
      </w:r>
      <w:r>
        <w:rPr>
          <w:vertAlign w:val="baseline"/>
        </w:rPr>
        <w:t>claimant</w:t>
      </w:r>
      <w:r>
        <w:rPr>
          <w:spacing w:val="8"/>
          <w:vertAlign w:val="baseline"/>
        </w:rPr>
        <w:t> </w:t>
      </w:r>
      <w:r>
        <w:rPr>
          <w:vertAlign w:val="baseline"/>
        </w:rPr>
        <w:t>could</w:t>
      </w:r>
      <w:r>
        <w:rPr>
          <w:spacing w:val="8"/>
          <w:vertAlign w:val="baseline"/>
        </w:rPr>
        <w:t> </w:t>
      </w:r>
      <w:r>
        <w:rPr>
          <w:vertAlign w:val="baseline"/>
        </w:rPr>
        <w:t>avoid</w:t>
      </w:r>
      <w:r>
        <w:rPr>
          <w:spacing w:val="8"/>
          <w:vertAlign w:val="baseline"/>
        </w:rPr>
        <w:t> </w:t>
      </w:r>
      <w:r>
        <w:rPr>
          <w:vertAlign w:val="baseline"/>
        </w:rPr>
        <w:t>the</w:t>
      </w:r>
      <w:r>
        <w:rPr>
          <w:spacing w:val="8"/>
          <w:vertAlign w:val="baseline"/>
        </w:rPr>
        <w:t> </w:t>
      </w:r>
      <w:r>
        <w:rPr>
          <w:vertAlign w:val="baseline"/>
        </w:rPr>
        <w:t>apportionment</w:t>
      </w:r>
      <w:r>
        <w:rPr>
          <w:spacing w:val="8"/>
          <w:vertAlign w:val="baseline"/>
        </w:rPr>
        <w:t> </w:t>
      </w:r>
      <w:r>
        <w:rPr>
          <w:vertAlign w:val="baseline"/>
        </w:rPr>
        <w:t>provisions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Act</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simple</w:t>
      </w:r>
      <w:r>
        <w:rPr>
          <w:spacing w:val="8"/>
          <w:vertAlign w:val="baseline"/>
        </w:rPr>
        <w:t> </w:t>
      </w:r>
      <w:r>
        <w:rPr>
          <w:vertAlign w:val="baseline"/>
        </w:rPr>
        <w:t>device</w:t>
      </w:r>
      <w:r>
        <w:rPr>
          <w:spacing w:val="8"/>
          <w:vertAlign w:val="baseline"/>
        </w:rPr>
        <w:t> </w:t>
      </w:r>
      <w:r>
        <w:rPr>
          <w:vertAlign w:val="baseline"/>
        </w:rPr>
        <w:t>of</w:t>
      </w:r>
      <w:r>
        <w:rPr>
          <w:spacing w:val="8"/>
          <w:vertAlign w:val="baseline"/>
        </w:rPr>
        <w:t> </w:t>
      </w:r>
      <w:r>
        <w:rPr>
          <w:vertAlign w:val="baseline"/>
        </w:rPr>
        <w:t>suing</w:t>
      </w:r>
      <w:r>
        <w:rPr>
          <w:spacing w:val="8"/>
          <w:vertAlign w:val="baseline"/>
        </w:rPr>
        <w:t> </w:t>
      </w:r>
      <w:r>
        <w:rPr>
          <w:spacing w:val="-4"/>
          <w:vertAlign w:val="baseline"/>
        </w:rPr>
        <w:t>only</w:t>
      </w:r>
    </w:p>
    <w:p>
      <w:pPr>
        <w:pStyle w:val="BodyText"/>
        <w:spacing w:line="235" w:lineRule="auto" w:before="115"/>
        <w:ind w:left="164" w:right="168"/>
        <w:jc w:val="both"/>
      </w:pPr>
      <w:bookmarkStart w:name="_bookmark814" w:id="816"/>
      <w:bookmarkEnd w:id="816"/>
      <w:r>
        <w:rPr/>
      </w:r>
      <w:r>
        <w:rPr/>
        <w:t>in contract. </w:t>
      </w:r>
      <w:r>
        <w:rPr>
          <w:color w:val="005DA1"/>
          <w:u w:val="single" w:color="005DA1"/>
          <w:vertAlign w:val="superscript"/>
        </w:rPr>
        <w:t>431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 decision in </w:t>
      </w:r>
      <w:r>
        <w:rPr>
          <w:rFonts w:ascii="Arial" w:hAnsi="Arial"/>
          <w:i/>
          <w:vertAlign w:val="baseline"/>
        </w:rPr>
        <w:t>Forsikringsaktieselskapet Vesta v Butcher </w:t>
      </w:r>
      <w:r>
        <w:rPr>
          <w:vertAlign w:val="baseline"/>
        </w:rPr>
        <w:t>means that where </w:t>
      </w:r>
      <w:r>
        <w:rPr>
          <w:vertAlign w:val="baseline"/>
        </w:rPr>
        <w:t>the </w:t>
      </w:r>
      <w:bookmarkStart w:name="_bookmark815" w:id="817"/>
      <w:bookmarkEnd w:id="817"/>
      <w:r>
        <w:rPr>
          <w:vertAlign w:val="baseline"/>
        </w:rPr>
        <w:t>defendant’s</w:t>
      </w:r>
      <w:r>
        <w:rPr>
          <w:vertAlign w:val="baseline"/>
        </w:rPr>
        <w:t> liability arises only in contract (categories 1 </w:t>
      </w:r>
      <w:r>
        <w:rPr>
          <w:color w:val="005DA1"/>
          <w:u w:val="single" w:color="005DA1"/>
          <w:vertAlign w:val="superscript"/>
        </w:rPr>
        <w:t>432</w:t>
      </w:r>
      <w:r>
        <w:rPr>
          <w:color w:val="005DA1"/>
          <w:vertAlign w:val="baseline"/>
        </w:rPr>
        <w:t> </w:t>
      </w:r>
      <w:r>
        <w:rPr>
          <w:vertAlign w:val="baseline"/>
        </w:rPr>
        <w:t>and 2 </w:t>
      </w:r>
      <w:r>
        <w:rPr>
          <w:color w:val="005DA1"/>
          <w:u w:val="single" w:color="005DA1"/>
          <w:vertAlign w:val="superscript"/>
        </w:rPr>
        <w:t>433</w:t>
      </w:r>
      <w:r>
        <w:rPr>
          <w:vertAlign w:val="baseline"/>
        </w:rPr>
        <w:t>) contributory negligence cannot be relied on to reduce the claimant’s damages. </w:t>
      </w:r>
      <w:r>
        <w:rPr>
          <w:color w:val="005DA1"/>
          <w:u w:val="single" w:color="005DA1"/>
          <w:vertAlign w:val="superscript"/>
        </w:rPr>
        <w:t>434</w:t>
      </w:r>
    </w:p>
    <w:p>
      <w:pPr>
        <w:pStyle w:val="BodyText"/>
      </w:pPr>
    </w:p>
    <w:p>
      <w:pPr>
        <w:pStyle w:val="BodyText"/>
        <w:spacing w:before="37"/>
      </w:pPr>
    </w:p>
    <w:p>
      <w:pPr>
        <w:spacing w:before="0"/>
        <w:ind w:left="165" w:right="0" w:firstLine="0"/>
        <w:jc w:val="both"/>
        <w:rPr>
          <w:rFonts w:ascii="Arial"/>
          <w:b/>
          <w:sz w:val="18"/>
        </w:rPr>
      </w:pPr>
      <w:r>
        <w:rPr>
          <w:rFonts w:ascii="Arial"/>
          <w:b/>
          <w:sz w:val="18"/>
        </w:rPr>
        <w:t>Recovery barred on other </w:t>
      </w:r>
      <w:r>
        <w:rPr>
          <w:rFonts w:ascii="Arial"/>
          <w:b/>
          <w:spacing w:val="-2"/>
          <w:sz w:val="18"/>
        </w:rPr>
        <w:t>grounds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078</w:t>
      </w:r>
    </w:p>
    <w:p>
      <w:pPr>
        <w:pStyle w:val="BodyText"/>
        <w:spacing w:line="235" w:lineRule="auto" w:before="203"/>
        <w:ind w:left="165" w:right="167"/>
        <w:jc w:val="both"/>
      </w:pPr>
      <w:r>
        <w:rPr/>
        <w:t>But even where the Act does not apply to claims founded only on contract, there are many situations </w:t>
      </w:r>
      <w:bookmarkStart w:name="_bookmark816" w:id="818"/>
      <w:bookmarkEnd w:id="818"/>
      <w:r>
        <w:rPr/>
        <w:t>where</w:t>
      </w:r>
      <w:r>
        <w:rPr/>
        <w:t> conduct of the claimant which would have constituted contributory negligence under the Act</w:t>
      </w:r>
      <w:r>
        <w:rPr>
          <w:spacing w:val="80"/>
        </w:rPr>
        <w:t> </w:t>
      </w:r>
      <w:bookmarkStart w:name="_bookmark817" w:id="819"/>
      <w:bookmarkEnd w:id="819"/>
      <w:r>
        <w:rPr/>
        <w:t>will</w:t>
      </w:r>
      <w:r>
        <w:rPr/>
        <w:t> bar his recovery on the ground of his failure to mitigate, </w:t>
      </w:r>
      <w:r>
        <w:rPr>
          <w:color w:val="005DA1"/>
          <w:u w:val="single" w:color="005DA1"/>
          <w:vertAlign w:val="superscript"/>
        </w:rPr>
        <w:t>435</w:t>
      </w:r>
      <w:r>
        <w:rPr>
          <w:color w:val="005DA1"/>
          <w:vertAlign w:val="baseline"/>
        </w:rPr>
        <w:t> </w:t>
      </w:r>
      <w:r>
        <w:rPr>
          <w:vertAlign w:val="baseline"/>
        </w:rPr>
        <w:t>or his failure to prove causation—</w:t>
      </w:r>
      <w:r>
        <w:rPr>
          <w:vertAlign w:val="baseline"/>
        </w:rPr>
        <w:t>his own carelessness may be held to be the sole cause of the loss. </w:t>
      </w:r>
      <w:r>
        <w:rPr>
          <w:color w:val="005DA1"/>
          <w:u w:val="single" w:color="005DA1"/>
          <w:vertAlign w:val="superscript"/>
        </w:rPr>
        <w:t>436</w:t>
      </w:r>
      <w:r>
        <w:rPr>
          <w:color w:val="005DA1"/>
          <w:vertAlign w:val="baseline"/>
        </w:rPr>
        <w:t> </w:t>
      </w:r>
      <w:r>
        <w:rPr>
          <w:vertAlign w:val="baseline"/>
        </w:rPr>
        <w:t>In one case, the Court of Appeal, after holding that contributory negligence did not apply to a Category 1 case, nevertheless reached a similar result by an unusual application of causation: a landlord’s damages against his lessees for </w:t>
      </w:r>
      <w:bookmarkStart w:name="_bookmark818" w:id="820"/>
      <w:bookmarkEnd w:id="820"/>
      <w:r>
        <w:rPr>
          <w:vertAlign w:val="baseline"/>
        </w:rPr>
        <w:t>breach</w:t>
      </w:r>
      <w:r>
        <w:rPr>
          <w:vertAlign w:val="baseline"/>
        </w:rPr>
        <w:t> of a repairing covenant (a strict obligation) were reduced by 90 per cent because he (the landlord) had negligently failed to keep clear the drainage outlets of the roof. </w:t>
      </w:r>
      <w:r>
        <w:rPr>
          <w:color w:val="005DA1"/>
          <w:u w:val="single" w:color="005DA1"/>
          <w:vertAlign w:val="superscript"/>
        </w:rPr>
        <w:t>437</w:t>
      </w:r>
      <w:r>
        <w:rPr>
          <w:color w:val="005DA1"/>
          <w:vertAlign w:val="baseline"/>
        </w:rPr>
        <w:t> </w:t>
      </w:r>
      <w:r>
        <w:rPr>
          <w:vertAlign w:val="baseline"/>
        </w:rPr>
        <w:t>The landlord’s failure was held to be a concurrent cause of the collapse of the roof, to which 90 per cent of the total causation was assigned.</w:t>
      </w:r>
    </w:p>
    <w:p>
      <w:pPr>
        <w:pStyle w:val="BodyText"/>
      </w:pPr>
    </w:p>
    <w:p>
      <w:pPr>
        <w:pStyle w:val="BodyText"/>
        <w:spacing w:before="36"/>
      </w:pPr>
      <w:r>
        <w:rPr/>
        <mc:AlternateContent>
          <mc:Choice Requires="wps">
            <w:drawing>
              <wp:anchor distT="0" distB="0" distL="0" distR="0" allowOverlap="1" layoutInCell="1" locked="0" behindDoc="1" simplePos="0" relativeHeight="487635968">
                <wp:simplePos x="0" y="0"/>
                <wp:positionH relativeFrom="page">
                  <wp:posOffset>914400</wp:posOffset>
                </wp:positionH>
                <wp:positionV relativeFrom="paragraph">
                  <wp:posOffset>184394</wp:posOffset>
                </wp:positionV>
                <wp:extent cx="572452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9227pt;width:450.75pt;height:.1pt;mso-position-horizontal-relative:page;mso-position-vertical-relative:paragraph;z-index:-15680512;mso-wrap-distance-left:0;mso-wrap-distance-right:0" id="docshape45"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819" w:id="821"/>
      <w:bookmarkEnd w:id="821"/>
      <w:r>
        <w:rPr/>
      </w:r>
      <w:hyperlink w:history="true" w:anchor="_bookmark805">
        <w:r>
          <w:rPr>
            <w:color w:val="005DA1"/>
            <w:spacing w:val="-4"/>
            <w:position w:val="5"/>
            <w:sz w:val="14"/>
            <w:u w:val="single" w:color="005DA1"/>
          </w:rPr>
          <w:t>359</w:t>
        </w:r>
      </w:hyperlink>
      <w:r>
        <w:rPr>
          <w:spacing w:val="-4"/>
          <w:position w:val="5"/>
          <w:sz w:val="14"/>
        </w:rPr>
        <w:t>.</w:t>
      </w:r>
      <w:r>
        <w:rPr>
          <w:position w:val="5"/>
          <w:sz w:val="14"/>
        </w:rPr>
        <w:tab/>
      </w:r>
      <w:r>
        <w:rPr/>
        <w:t>This</w:t>
      </w:r>
      <w:r>
        <w:rPr>
          <w:spacing w:val="19"/>
        </w:rPr>
        <w:t> </w:t>
      </w:r>
      <w:r>
        <w:rPr/>
        <w:t>topic</w:t>
      </w:r>
      <w:r>
        <w:rPr>
          <w:spacing w:val="19"/>
        </w:rPr>
        <w:t> </w:t>
      </w:r>
      <w:r>
        <w:rPr/>
        <w:t>has</w:t>
      </w:r>
      <w:r>
        <w:rPr>
          <w:spacing w:val="19"/>
        </w:rPr>
        <w:t> </w:t>
      </w:r>
      <w:r>
        <w:rPr/>
        <w:t>been</w:t>
      </w:r>
      <w:r>
        <w:rPr>
          <w:spacing w:val="19"/>
        </w:rPr>
        <w:t> </w:t>
      </w:r>
      <w:r>
        <w:rPr/>
        <w:t>developed</w:t>
      </w:r>
      <w:r>
        <w:rPr>
          <w:spacing w:val="19"/>
        </w:rPr>
        <w:t> </w:t>
      </w:r>
      <w:r>
        <w:rPr/>
        <w:t>mainly</w:t>
      </w:r>
      <w:r>
        <w:rPr>
          <w:spacing w:val="19"/>
        </w:rPr>
        <w:t> </w:t>
      </w:r>
      <w:r>
        <w:rPr/>
        <w:t>in</w:t>
      </w:r>
      <w:r>
        <w:rPr>
          <w:spacing w:val="19"/>
        </w:rPr>
        <w:t> </w:t>
      </w:r>
      <w:r>
        <w:rPr/>
        <w:t>the</w:t>
      </w:r>
      <w:r>
        <w:rPr>
          <w:spacing w:val="19"/>
        </w:rPr>
        <w:t> </w:t>
      </w:r>
      <w:r>
        <w:rPr/>
        <w:t>law</w:t>
      </w:r>
      <w:r>
        <w:rPr>
          <w:spacing w:val="19"/>
        </w:rPr>
        <w:t> </w:t>
      </w:r>
      <w:r>
        <w:rPr/>
        <w:t>of</w:t>
      </w:r>
      <w:r>
        <w:rPr>
          <w:spacing w:val="19"/>
        </w:rPr>
        <w:t> </w:t>
      </w:r>
      <w:r>
        <w:rPr/>
        <w:t>torts,</w:t>
      </w:r>
      <w:r>
        <w:rPr>
          <w:spacing w:val="19"/>
        </w:rPr>
        <w:t> </w:t>
      </w:r>
      <w:r>
        <w:rPr/>
        <w:t>but</w:t>
      </w:r>
      <w:r>
        <w:rPr>
          <w:spacing w:val="19"/>
        </w:rPr>
        <w:t> </w:t>
      </w:r>
      <w:r>
        <w:rPr/>
        <w:t>may</w:t>
      </w:r>
      <w:r>
        <w:rPr>
          <w:spacing w:val="19"/>
        </w:rPr>
        <w:t> </w:t>
      </w:r>
      <w:r>
        <w:rPr/>
        <w:t>arise</w:t>
      </w:r>
      <w:r>
        <w:rPr>
          <w:spacing w:val="19"/>
        </w:rPr>
        <w:t> </w:t>
      </w:r>
      <w:r>
        <w:rPr/>
        <w:t>in</w:t>
      </w:r>
      <w:r>
        <w:rPr>
          <w:spacing w:val="19"/>
        </w:rPr>
        <w:t> </w:t>
      </w:r>
      <w:r>
        <w:rPr/>
        <w:t>the</w:t>
      </w:r>
      <w:r>
        <w:rPr>
          <w:spacing w:val="19"/>
        </w:rPr>
        <w:t> </w:t>
      </w:r>
      <w:r>
        <w:rPr/>
        <w:t>law</w:t>
      </w:r>
      <w:r>
        <w:rPr>
          <w:spacing w:val="19"/>
        </w:rPr>
        <w:t> </w:t>
      </w:r>
      <w:r>
        <w:rPr/>
        <w:t>of</w:t>
      </w:r>
      <w:r>
        <w:rPr>
          <w:spacing w:val="19"/>
        </w:rPr>
        <w:t> </w:t>
      </w:r>
      <w:r>
        <w:rPr>
          <w:spacing w:val="-2"/>
        </w:rPr>
        <w:t>contract</w:t>
      </w:r>
    </w:p>
    <w:p>
      <w:pPr>
        <w:pStyle w:val="BodyText"/>
        <w:spacing w:after="0"/>
        <w:sectPr>
          <w:headerReference w:type="default" r:id="rId25"/>
          <w:pgSz w:w="11900" w:h="16840"/>
          <w:pgMar w:header="971" w:footer="0" w:top="1300" w:bottom="280" w:left="1275" w:right="1275"/>
          <w:pgNumType w:start="1"/>
        </w:sectPr>
      </w:pPr>
    </w:p>
    <w:p>
      <w:pPr>
        <w:pStyle w:val="BodyText"/>
      </w:pPr>
    </w:p>
    <w:p>
      <w:pPr>
        <w:pStyle w:val="BodyText"/>
        <w:spacing w:line="235" w:lineRule="auto"/>
        <w:ind w:left="705"/>
      </w:pPr>
      <w:r>
        <w:rPr/>
        <w:t>(see</w:t>
      </w:r>
      <w:r>
        <w:rPr>
          <w:spacing w:val="23"/>
        </w:rPr>
        <w:t> </w:t>
      </w:r>
      <w:r>
        <w:rPr/>
        <w:t>Hart</w:t>
      </w:r>
      <w:r>
        <w:rPr>
          <w:spacing w:val="23"/>
        </w:rPr>
        <w:t> </w:t>
      </w:r>
      <w:r>
        <w:rPr/>
        <w:t>&amp;</w:t>
      </w:r>
      <w:r>
        <w:rPr>
          <w:spacing w:val="23"/>
        </w:rPr>
        <w:t> </w:t>
      </w:r>
      <w:r>
        <w:rPr/>
        <w:t>Honoré,</w:t>
      </w:r>
      <w:r>
        <w:rPr>
          <w:spacing w:val="22"/>
        </w:rPr>
        <w:t> </w:t>
      </w:r>
      <w:r>
        <w:rPr>
          <w:rFonts w:ascii="Arial" w:hAnsi="Arial"/>
          <w:i/>
        </w:rPr>
        <w:t>Causation</w:t>
      </w:r>
      <w:r>
        <w:rPr>
          <w:rFonts w:ascii="Arial" w:hAnsi="Arial"/>
          <w:i/>
          <w:spacing w:val="23"/>
        </w:rPr>
        <w:t> </w:t>
      </w:r>
      <w:r>
        <w:rPr>
          <w:rFonts w:ascii="Arial" w:hAnsi="Arial"/>
          <w:i/>
        </w:rPr>
        <w:t>in</w:t>
      </w:r>
      <w:r>
        <w:rPr>
          <w:rFonts w:ascii="Arial" w:hAnsi="Arial"/>
          <w:i/>
          <w:spacing w:val="23"/>
        </w:rPr>
        <w:t> </w:t>
      </w:r>
      <w:r>
        <w:rPr>
          <w:rFonts w:ascii="Arial" w:hAnsi="Arial"/>
          <w:i/>
        </w:rPr>
        <w:t>the</w:t>
      </w:r>
      <w:r>
        <w:rPr>
          <w:rFonts w:ascii="Arial" w:hAnsi="Arial"/>
          <w:i/>
          <w:spacing w:val="23"/>
        </w:rPr>
        <w:t> </w:t>
      </w:r>
      <w:r>
        <w:rPr>
          <w:rFonts w:ascii="Arial" w:hAnsi="Arial"/>
          <w:i/>
        </w:rPr>
        <w:t>Law</w:t>
      </w:r>
      <w:r>
        <w:rPr/>
        <w:t>,</w:t>
      </w:r>
      <w:r>
        <w:rPr>
          <w:spacing w:val="23"/>
        </w:rPr>
        <w:t> </w:t>
      </w:r>
      <w:r>
        <w:rPr/>
        <w:t>2nd</w:t>
      </w:r>
      <w:r>
        <w:rPr>
          <w:spacing w:val="23"/>
        </w:rPr>
        <w:t> </w:t>
      </w:r>
      <w:r>
        <w:rPr/>
        <w:t>edn</w:t>
      </w:r>
      <w:r>
        <w:rPr>
          <w:spacing w:val="23"/>
        </w:rPr>
        <w:t> </w:t>
      </w:r>
      <w:r>
        <w:rPr/>
        <w:t>(1985),</w:t>
      </w:r>
      <w:r>
        <w:rPr>
          <w:spacing w:val="23"/>
        </w:rPr>
        <w:t> </w:t>
      </w:r>
      <w:r>
        <w:rPr/>
        <w:t>Ch.11).</w:t>
      </w:r>
      <w:r>
        <w:rPr>
          <w:spacing w:val="23"/>
        </w:rPr>
        <w:t> </w:t>
      </w:r>
      <w:r>
        <w:rPr/>
        <w:t>No</w:t>
      </w:r>
      <w:r>
        <w:rPr>
          <w:spacing w:val="23"/>
        </w:rPr>
        <w:t> </w:t>
      </w:r>
      <w:r>
        <w:rPr/>
        <w:t>doubt</w:t>
      </w:r>
      <w:r>
        <w:rPr>
          <w:spacing w:val="23"/>
        </w:rPr>
        <w:t> </w:t>
      </w:r>
      <w:r>
        <w:rPr/>
        <w:t>the</w:t>
      </w:r>
      <w:r>
        <w:rPr>
          <w:spacing w:val="23"/>
        </w:rPr>
        <w:t> </w:t>
      </w:r>
      <w:r>
        <w:rPr/>
        <w:t>numerous decisions on causation in the law of torts may be used as analogies in the law of contract.</w:t>
      </w:r>
    </w:p>
    <w:p>
      <w:pPr>
        <w:pStyle w:val="BodyText"/>
        <w:spacing w:before="9"/>
      </w:pPr>
    </w:p>
    <w:p>
      <w:pPr>
        <w:pStyle w:val="BodyText"/>
        <w:spacing w:line="235" w:lineRule="auto" w:before="1"/>
        <w:ind w:left="705" w:right="167" w:hanging="541"/>
        <w:jc w:val="both"/>
      </w:pPr>
      <w:bookmarkStart w:name="_bookmark820" w:id="822"/>
      <w:bookmarkEnd w:id="822"/>
      <w:r>
        <w:rPr/>
      </w:r>
      <w:hyperlink w:history="true" w:anchor="_bookmark806">
        <w:r>
          <w:rPr>
            <w:color w:val="005DA1"/>
            <w:position w:val="5"/>
            <w:sz w:val="14"/>
            <w:u w:val="single" w:color="005DA1"/>
          </w:rPr>
          <w:t>423</w:t>
        </w:r>
      </w:hyperlink>
      <w:r>
        <w:rPr>
          <w:position w:val="5"/>
          <w:sz w:val="14"/>
        </w:rPr>
        <w:t>.</w:t>
      </w:r>
      <w:r>
        <w:rPr>
          <w:spacing w:val="40"/>
          <w:position w:val="5"/>
          <w:sz w:val="14"/>
        </w:rPr>
        <w:t>  </w:t>
      </w:r>
      <w:r>
        <w:rPr/>
        <w:t>Proposals to change the law were made in the Law Commission’s Report No.219, </w:t>
      </w:r>
      <w:r>
        <w:rPr/>
        <w:t>Contributory Negligence</w:t>
      </w:r>
      <w:r>
        <w:rPr>
          <w:spacing w:val="-3"/>
        </w:rPr>
        <w:t> </w:t>
      </w:r>
      <w:r>
        <w:rPr/>
        <w:t>as</w:t>
      </w:r>
      <w:r>
        <w:rPr>
          <w:spacing w:val="-3"/>
        </w:rPr>
        <w:t> </w:t>
      </w:r>
      <w:r>
        <w:rPr/>
        <w:t>a</w:t>
      </w:r>
      <w:r>
        <w:rPr>
          <w:spacing w:val="-3"/>
        </w:rPr>
        <w:t> </w:t>
      </w:r>
      <w:r>
        <w:rPr/>
        <w:t>Defence</w:t>
      </w:r>
      <w:r>
        <w:rPr>
          <w:spacing w:val="-3"/>
        </w:rPr>
        <w:t> </w:t>
      </w:r>
      <w:r>
        <w:rPr/>
        <w:t>in</w:t>
      </w:r>
      <w:r>
        <w:rPr>
          <w:spacing w:val="-3"/>
        </w:rPr>
        <w:t> </w:t>
      </w:r>
      <w:r>
        <w:rPr/>
        <w:t>Contract</w:t>
      </w:r>
      <w:r>
        <w:rPr>
          <w:spacing w:val="-3"/>
        </w:rPr>
        <w:t> </w:t>
      </w:r>
      <w:r>
        <w:rPr/>
        <w:t>(1993).</w:t>
      </w:r>
      <w:r>
        <w:rPr>
          <w:spacing w:val="-3"/>
        </w:rPr>
        <w:t> </w:t>
      </w:r>
      <w:r>
        <w:rPr/>
        <w:t>See</w:t>
      </w:r>
      <w:r>
        <w:rPr>
          <w:spacing w:val="-3"/>
        </w:rPr>
        <w:t> </w:t>
      </w:r>
      <w:r>
        <w:rPr/>
        <w:t>the</w:t>
      </w:r>
      <w:r>
        <w:rPr>
          <w:spacing w:val="-3"/>
        </w:rPr>
        <w:t> </w:t>
      </w:r>
      <w:r>
        <w:rPr/>
        <w:t>comment</w:t>
      </w:r>
      <w:r>
        <w:rPr>
          <w:spacing w:val="-3"/>
        </w:rPr>
        <w:t> </w:t>
      </w:r>
      <w:r>
        <w:rPr/>
        <w:t>by</w:t>
      </w:r>
      <w:r>
        <w:rPr>
          <w:spacing w:val="-3"/>
        </w:rPr>
        <w:t> </w:t>
      </w:r>
      <w:r>
        <w:rPr/>
        <w:t>Porat</w:t>
      </w:r>
      <w:r>
        <w:rPr>
          <w:spacing w:val="-3"/>
        </w:rPr>
        <w:t> </w:t>
      </w:r>
      <w:r>
        <w:rPr/>
        <w:t>(1995)</w:t>
      </w:r>
      <w:r>
        <w:rPr>
          <w:spacing w:val="-3"/>
        </w:rPr>
        <w:t> </w:t>
      </w:r>
      <w:r>
        <w:rPr/>
        <w:t>111</w:t>
      </w:r>
      <w:r>
        <w:rPr>
          <w:spacing w:val="-3"/>
        </w:rPr>
        <w:t> </w:t>
      </w:r>
      <w:r>
        <w:rPr/>
        <w:t>L.Q.R.</w:t>
      </w:r>
      <w:r>
        <w:rPr>
          <w:spacing w:val="-3"/>
        </w:rPr>
        <w:t> </w:t>
      </w:r>
      <w:r>
        <w:rPr/>
        <w:t>228. The proposals were not accepted by the Government.</w:t>
      </w:r>
    </w:p>
    <w:p>
      <w:pPr>
        <w:pStyle w:val="BodyText"/>
        <w:spacing w:before="8"/>
      </w:pPr>
    </w:p>
    <w:p>
      <w:pPr>
        <w:pStyle w:val="BodyText"/>
        <w:spacing w:line="235" w:lineRule="auto"/>
        <w:ind w:left="705" w:right="167" w:hanging="541"/>
        <w:jc w:val="both"/>
      </w:pPr>
      <w:bookmarkStart w:name="_bookmark821" w:id="823"/>
      <w:bookmarkEnd w:id="823"/>
      <w:r>
        <w:rPr/>
      </w:r>
      <w:hyperlink w:history="true" w:anchor="_bookmark807">
        <w:r>
          <w:rPr>
            <w:color w:val="005DA1"/>
            <w:position w:val="5"/>
            <w:sz w:val="14"/>
            <w:u w:val="single" w:color="005DA1"/>
          </w:rPr>
          <w:t>424</w:t>
        </w:r>
      </w:hyperlink>
      <w:r>
        <w:rPr>
          <w:position w:val="5"/>
          <w:sz w:val="14"/>
        </w:rPr>
        <w:t>.</w:t>
      </w:r>
      <w:r>
        <w:rPr>
          <w:spacing w:val="40"/>
          <w:position w:val="5"/>
          <w:sz w:val="14"/>
        </w:rPr>
        <w:t>  </w:t>
      </w:r>
      <w:r>
        <w:rPr/>
        <w:t>s.1(1). At common law, the claimant’s contributory negligence was a complete defence in </w:t>
      </w:r>
      <w:r>
        <w:rPr/>
        <w:t>an action in tort; the defence had never been applied (eo nomine) in an action in contract before 1945: see the discussion in Williams, </w:t>
      </w:r>
      <w:r>
        <w:rPr>
          <w:rFonts w:ascii="Arial" w:hAnsi="Arial"/>
          <w:i/>
        </w:rPr>
        <w:t>Joint Torts and Contributory Negligence (1951)</w:t>
      </w:r>
      <w:r>
        <w:rPr/>
        <w:t>, pp.214–222; and in the Law Commission’s Report No.219 Pt II.</w:t>
      </w:r>
    </w:p>
    <w:p>
      <w:pPr>
        <w:pStyle w:val="BodyText"/>
        <w:spacing w:before="9"/>
      </w:pPr>
    </w:p>
    <w:p>
      <w:pPr>
        <w:spacing w:line="235" w:lineRule="auto" w:before="0"/>
        <w:ind w:left="705" w:right="167" w:hanging="541"/>
        <w:jc w:val="both"/>
        <w:rPr>
          <w:sz w:val="20"/>
        </w:rPr>
      </w:pPr>
      <w:bookmarkStart w:name="_bookmark822" w:id="824"/>
      <w:bookmarkEnd w:id="824"/>
      <w:r>
        <w:rPr/>
      </w:r>
      <w:hyperlink w:history="true" w:anchor="_bookmark808">
        <w:r>
          <w:rPr>
            <w:color w:val="005DA1"/>
            <w:position w:val="5"/>
            <w:sz w:val="14"/>
            <w:u w:val="single" w:color="005DA1"/>
          </w:rPr>
          <w:t>425</w:t>
        </w:r>
      </w:hyperlink>
      <w:r>
        <w:rPr>
          <w:position w:val="5"/>
          <w:sz w:val="14"/>
        </w:rPr>
        <w:t>.</w:t>
      </w:r>
      <w:r>
        <w:rPr>
          <w:spacing w:val="80"/>
          <w:position w:val="5"/>
          <w:sz w:val="14"/>
        </w:rPr>
        <w:t>  </w:t>
      </w:r>
      <w:r>
        <w:rPr>
          <w:sz w:val="20"/>
        </w:rPr>
        <w:t>Contributory negligence may be raised in a claim under s.2(1) of the Misrepresentation Act 1967:</w:t>
      </w:r>
      <w:r>
        <w:rPr>
          <w:spacing w:val="-3"/>
          <w:sz w:val="20"/>
        </w:rPr>
        <w:t> </w:t>
      </w:r>
      <w:r>
        <w:rPr>
          <w:rFonts w:ascii="Arial" w:hAnsi="Arial"/>
          <w:i/>
          <w:sz w:val="20"/>
        </w:rPr>
        <w:t>Gran</w:t>
      </w:r>
      <w:r>
        <w:rPr>
          <w:rFonts w:ascii="Arial" w:hAnsi="Arial"/>
          <w:i/>
          <w:spacing w:val="-3"/>
          <w:sz w:val="20"/>
        </w:rPr>
        <w:t> </w:t>
      </w:r>
      <w:r>
        <w:rPr>
          <w:rFonts w:ascii="Arial" w:hAnsi="Arial"/>
          <w:i/>
          <w:sz w:val="20"/>
        </w:rPr>
        <w:t>Gelato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Richcliff</w:t>
      </w:r>
      <w:r>
        <w:rPr>
          <w:rFonts w:ascii="Arial" w:hAnsi="Arial"/>
          <w:i/>
          <w:spacing w:val="-3"/>
          <w:sz w:val="20"/>
        </w:rPr>
        <w:t> </w:t>
      </w:r>
      <w:r>
        <w:rPr>
          <w:rFonts w:ascii="Arial" w:hAnsi="Arial"/>
          <w:i/>
          <w:sz w:val="20"/>
        </w:rPr>
        <w:t>(Group)</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[1992]</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560,</w:t>
      </w:r>
      <w:r>
        <w:rPr>
          <w:rFonts w:ascii="Arial" w:hAnsi="Arial"/>
          <w:i/>
          <w:spacing w:val="-3"/>
          <w:sz w:val="20"/>
        </w:rPr>
        <w:t> </w:t>
      </w:r>
      <w:r>
        <w:rPr>
          <w:rFonts w:ascii="Arial" w:hAnsi="Arial"/>
          <w:i/>
          <w:sz w:val="20"/>
        </w:rPr>
        <w:t>572–575</w:t>
      </w:r>
      <w:r>
        <w:rPr>
          <w:rFonts w:ascii="Arial" w:hAnsi="Arial"/>
          <w:i/>
          <w:spacing w:val="-4"/>
          <w:sz w:val="20"/>
        </w:rPr>
        <w:t> </w:t>
      </w:r>
      <w:r>
        <w:rPr>
          <w:sz w:val="20"/>
        </w:rPr>
        <w:t>(see</w:t>
      </w:r>
      <w:r>
        <w:rPr>
          <w:spacing w:val="-3"/>
          <w:sz w:val="20"/>
        </w:rPr>
        <w:t> </w:t>
      </w:r>
      <w:r>
        <w:rPr>
          <w:sz w:val="20"/>
        </w:rPr>
        <w:t>above,</w:t>
      </w:r>
      <w:r>
        <w:rPr>
          <w:spacing w:val="-3"/>
          <w:sz w:val="20"/>
        </w:rPr>
        <w:t> </w:t>
      </w:r>
      <w:r>
        <w:rPr>
          <w:sz w:val="20"/>
        </w:rPr>
        <w:t>para.7-</w:t>
      </w:r>
      <w:r>
        <w:rPr>
          <w:sz w:val="20"/>
        </w:rPr>
        <w:t>082). But contributory negligence is no defence against a claim in deceit: </w:t>
      </w:r>
      <w:r>
        <w:rPr>
          <w:rFonts w:ascii="Arial" w:hAnsi="Arial"/>
          <w:i/>
          <w:sz w:val="20"/>
        </w:rPr>
        <w:t>Standard Chartered Bank v Pakistan National Shipping Corp [2002] UKHL 43, [2003] 1 A.C. 959 </w:t>
      </w:r>
      <w:r>
        <w:rPr>
          <w:sz w:val="20"/>
        </w:rPr>
        <w:t>(above, para.7-071). (The case has an extensive discussion of the meaning of the word “fault” in the 1945 Act.)</w:t>
      </w:r>
    </w:p>
    <w:p>
      <w:pPr>
        <w:pStyle w:val="BodyText"/>
        <w:spacing w:before="8"/>
      </w:pPr>
    </w:p>
    <w:p>
      <w:pPr>
        <w:tabs>
          <w:tab w:pos="705" w:val="left" w:leader="none"/>
        </w:tabs>
        <w:spacing w:line="235" w:lineRule="auto" w:before="0"/>
        <w:ind w:left="705" w:right="174" w:hanging="541"/>
        <w:jc w:val="left"/>
        <w:rPr>
          <w:sz w:val="20"/>
        </w:rPr>
      </w:pPr>
      <w:bookmarkStart w:name="_bookmark823" w:id="825"/>
      <w:bookmarkEnd w:id="825"/>
      <w:r>
        <w:rPr/>
      </w:r>
      <w:hyperlink w:history="true" w:anchor="_bookmark809">
        <w:r>
          <w:rPr>
            <w:color w:val="005DA1"/>
            <w:spacing w:val="-4"/>
            <w:position w:val="5"/>
            <w:sz w:val="14"/>
            <w:u w:val="single" w:color="005DA1"/>
          </w:rPr>
          <w:t>426</w:t>
        </w:r>
      </w:hyperlink>
      <w:r>
        <w:rPr>
          <w:spacing w:val="-4"/>
          <w:position w:val="5"/>
          <w:sz w:val="14"/>
        </w:rPr>
        <w:t>.</w:t>
      </w:r>
      <w:r>
        <w:rPr>
          <w:position w:val="5"/>
          <w:sz w:val="14"/>
        </w:rPr>
        <w:tab/>
      </w:r>
      <w:r>
        <w:rPr>
          <w:rFonts w:ascii="Arial" w:hAnsi="Arial"/>
          <w:i/>
          <w:sz w:val="20"/>
        </w:rPr>
        <w:t>[1989]</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852</w:t>
      </w:r>
      <w:r>
        <w:rPr>
          <w:rFonts w:ascii="Arial" w:hAnsi="Arial"/>
          <w:i/>
          <w:spacing w:val="40"/>
          <w:sz w:val="20"/>
        </w:rPr>
        <w:t> </w:t>
      </w:r>
      <w:r>
        <w:rPr>
          <w:rFonts w:ascii="Arial" w:hAnsi="Arial"/>
          <w:i/>
          <w:sz w:val="20"/>
        </w:rPr>
        <w:t>CA</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HL,</w:t>
      </w:r>
      <w:r>
        <w:rPr>
          <w:rFonts w:ascii="Arial" w:hAnsi="Arial"/>
          <w:i/>
          <w:spacing w:val="40"/>
          <w:sz w:val="20"/>
        </w:rPr>
        <w:t> </w:t>
      </w:r>
      <w:r>
        <w:rPr>
          <w:rFonts w:ascii="Arial" w:hAnsi="Arial"/>
          <w:i/>
          <w:sz w:val="20"/>
        </w:rPr>
        <w:t>860–867,</w:t>
      </w:r>
      <w:r>
        <w:rPr>
          <w:rFonts w:ascii="Arial" w:hAnsi="Arial"/>
          <w:i/>
          <w:spacing w:val="40"/>
          <w:sz w:val="20"/>
        </w:rPr>
        <w:t> </w:t>
      </w:r>
      <w:r>
        <w:rPr>
          <w:rFonts w:ascii="Arial" w:hAnsi="Arial"/>
          <w:i/>
          <w:sz w:val="20"/>
        </w:rPr>
        <w:t>875,</w:t>
      </w:r>
      <w:r>
        <w:rPr>
          <w:rFonts w:ascii="Arial" w:hAnsi="Arial"/>
          <w:i/>
          <w:spacing w:val="40"/>
          <w:sz w:val="20"/>
        </w:rPr>
        <w:t> </w:t>
      </w:r>
      <w:r>
        <w:rPr>
          <w:rFonts w:ascii="Arial" w:hAnsi="Arial"/>
          <w:i/>
          <w:sz w:val="20"/>
        </w:rPr>
        <w:t>879</w:t>
      </w:r>
      <w:r>
        <w:rPr>
          <w:rFonts w:ascii="Arial" w:hAnsi="Arial"/>
          <w:i/>
          <w:spacing w:val="40"/>
          <w:sz w:val="20"/>
        </w:rPr>
        <w:t> </w:t>
      </w:r>
      <w:r>
        <w:rPr>
          <w:sz w:val="20"/>
        </w:rPr>
        <w:t>(in</w:t>
      </w:r>
      <w:r>
        <w:rPr>
          <w:spacing w:val="40"/>
          <w:sz w:val="20"/>
        </w:rPr>
        <w:t> </w:t>
      </w:r>
      <w:r>
        <w:rPr>
          <w:sz w:val="20"/>
        </w:rPr>
        <w:t>the</w:t>
      </w:r>
      <w:r>
        <w:rPr>
          <w:spacing w:val="40"/>
          <w:sz w:val="20"/>
        </w:rPr>
        <w:t> </w:t>
      </w:r>
      <w:r>
        <w:rPr>
          <w:sz w:val="20"/>
        </w:rPr>
        <w:t>decision</w:t>
      </w:r>
      <w:r>
        <w:rPr>
          <w:spacing w:val="40"/>
          <w:sz w:val="20"/>
        </w:rPr>
        <w:t> </w:t>
      </w:r>
      <w:r>
        <w:rPr>
          <w:sz w:val="20"/>
        </w:rPr>
        <w:t>of</w:t>
      </w:r>
      <w:r>
        <w:rPr>
          <w:spacing w:val="40"/>
          <w:sz w:val="20"/>
        </w:rPr>
        <w:t> </w:t>
      </w:r>
      <w:r>
        <w:rPr>
          <w:sz w:val="20"/>
        </w:rPr>
        <w:t>the</w:t>
      </w:r>
      <w:r>
        <w:rPr>
          <w:spacing w:val="40"/>
          <w:sz w:val="20"/>
        </w:rPr>
        <w:t> </w:t>
      </w:r>
      <w:r>
        <w:rPr>
          <w:sz w:val="20"/>
        </w:rPr>
        <w:t>House</w:t>
      </w:r>
      <w:r>
        <w:rPr>
          <w:spacing w:val="40"/>
          <w:sz w:val="20"/>
        </w:rPr>
        <w:t> </w:t>
      </w:r>
      <w:r>
        <w:rPr>
          <w:sz w:val="20"/>
        </w:rPr>
        <w:t>of</w:t>
      </w:r>
      <w:r>
        <w:rPr>
          <w:spacing w:val="40"/>
          <w:sz w:val="20"/>
        </w:rPr>
        <w:t> </w:t>
      </w:r>
      <w:r>
        <w:rPr>
          <w:sz w:val="20"/>
        </w:rPr>
        <w:t>Lords, contributory negligence was not dealt with).</w:t>
      </w:r>
    </w:p>
    <w:p>
      <w:pPr>
        <w:pStyle w:val="BodyText"/>
        <w:spacing w:before="5"/>
      </w:pPr>
    </w:p>
    <w:p>
      <w:pPr>
        <w:tabs>
          <w:tab w:pos="705" w:val="left" w:leader="none"/>
        </w:tabs>
        <w:spacing w:before="0"/>
        <w:ind w:left="165" w:right="0" w:firstLine="0"/>
        <w:jc w:val="left"/>
        <w:rPr>
          <w:sz w:val="20"/>
        </w:rPr>
      </w:pPr>
      <w:bookmarkStart w:name="_bookmark824" w:id="826"/>
      <w:bookmarkEnd w:id="826"/>
      <w:r>
        <w:rPr/>
      </w:r>
      <w:hyperlink w:history="true" w:anchor="_bookmark810">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[1989]</w:t>
      </w:r>
      <w:r>
        <w:rPr>
          <w:rFonts w:ascii="Arial"/>
          <w:i/>
          <w:spacing w:val="-2"/>
          <w:sz w:val="20"/>
        </w:rPr>
        <w:t> </w:t>
      </w:r>
      <w:r>
        <w:rPr>
          <w:rFonts w:ascii="Arial"/>
          <w:i/>
          <w:sz w:val="20"/>
        </w:rPr>
        <w:t>A.C. </w:t>
      </w:r>
      <w:r>
        <w:rPr>
          <w:rFonts w:ascii="Arial"/>
          <w:i/>
          <w:spacing w:val="-4"/>
          <w:sz w:val="20"/>
        </w:rPr>
        <w:t>852</w:t>
      </w:r>
      <w:r>
        <w:rPr>
          <w:spacing w:val="-4"/>
          <w:sz w:val="20"/>
        </w:rPr>
        <w:t>.</w:t>
      </w:r>
    </w:p>
    <w:p>
      <w:pPr>
        <w:pStyle w:val="BodyText"/>
        <w:spacing w:before="9"/>
      </w:pPr>
    </w:p>
    <w:p>
      <w:pPr>
        <w:spacing w:line="235" w:lineRule="auto" w:before="0"/>
        <w:ind w:left="705" w:right="167" w:hanging="541"/>
        <w:jc w:val="both"/>
        <w:rPr>
          <w:sz w:val="20"/>
        </w:rPr>
      </w:pPr>
      <w:bookmarkStart w:name="_bookmark825" w:id="827"/>
      <w:bookmarkEnd w:id="827"/>
      <w:r>
        <w:rPr/>
      </w:r>
      <w:hyperlink w:history="true" w:anchor="_bookmark811">
        <w:r>
          <w:rPr>
            <w:color w:val="005DA1"/>
            <w:position w:val="5"/>
            <w:sz w:val="14"/>
            <w:u w:val="single" w:color="005DA1"/>
          </w:rPr>
          <w:t>428</w:t>
        </w:r>
      </w:hyperlink>
      <w:r>
        <w:rPr>
          <w:position w:val="5"/>
          <w:sz w:val="14"/>
        </w:rPr>
        <w:t>.</w:t>
      </w:r>
      <w:r>
        <w:rPr>
          <w:spacing w:val="40"/>
          <w:position w:val="5"/>
          <w:sz w:val="14"/>
        </w:rPr>
        <w:t>  </w:t>
      </w:r>
      <w:r>
        <w:rPr>
          <w:sz w:val="20"/>
        </w:rPr>
        <w:t>Following</w:t>
      </w:r>
      <w:r>
        <w:rPr>
          <w:spacing w:val="-1"/>
          <w:sz w:val="20"/>
        </w:rPr>
        <w:t> </w:t>
      </w:r>
      <w:r>
        <w:rPr>
          <w:sz w:val="20"/>
        </w:rPr>
        <w:t>a</w:t>
      </w:r>
      <w:r>
        <w:rPr>
          <w:spacing w:val="-1"/>
          <w:sz w:val="20"/>
        </w:rPr>
        <w:t> </w:t>
      </w:r>
      <w:r>
        <w:rPr>
          <w:sz w:val="20"/>
        </w:rPr>
        <w:t>New</w:t>
      </w:r>
      <w:r>
        <w:rPr>
          <w:spacing w:val="-1"/>
          <w:sz w:val="20"/>
        </w:rPr>
        <w:t> </w:t>
      </w:r>
      <w:r>
        <w:rPr>
          <w:sz w:val="20"/>
        </w:rPr>
        <w:t>Zealand</w:t>
      </w:r>
      <w:r>
        <w:rPr>
          <w:spacing w:val="-1"/>
          <w:sz w:val="20"/>
        </w:rPr>
        <w:t> </w:t>
      </w:r>
      <w:r>
        <w:rPr>
          <w:sz w:val="20"/>
        </w:rPr>
        <w:t>decision,</w:t>
      </w:r>
      <w:r>
        <w:rPr>
          <w:spacing w:val="-2"/>
          <w:sz w:val="20"/>
        </w:rPr>
        <w:t> </w:t>
      </w:r>
      <w:r>
        <w:rPr>
          <w:rFonts w:ascii="Arial"/>
          <w:i/>
          <w:sz w:val="20"/>
        </w:rPr>
        <w:t>Rowe</w:t>
      </w:r>
      <w:r>
        <w:rPr>
          <w:rFonts w:ascii="Arial"/>
          <w:i/>
          <w:spacing w:val="-1"/>
          <w:sz w:val="20"/>
        </w:rPr>
        <w:t> </w:t>
      </w:r>
      <w:r>
        <w:rPr>
          <w:rFonts w:ascii="Arial"/>
          <w:i/>
          <w:sz w:val="20"/>
        </w:rPr>
        <w:t>v</w:t>
      </w:r>
      <w:r>
        <w:rPr>
          <w:rFonts w:ascii="Arial"/>
          <w:i/>
          <w:spacing w:val="-1"/>
          <w:sz w:val="20"/>
        </w:rPr>
        <w:t> </w:t>
      </w:r>
      <w:r>
        <w:rPr>
          <w:rFonts w:ascii="Arial"/>
          <w:i/>
          <w:sz w:val="20"/>
        </w:rPr>
        <w:t>Turner</w:t>
      </w:r>
      <w:r>
        <w:rPr>
          <w:rFonts w:ascii="Arial"/>
          <w:i/>
          <w:spacing w:val="-1"/>
          <w:sz w:val="20"/>
        </w:rPr>
        <w:t> </w:t>
      </w:r>
      <w:r>
        <w:rPr>
          <w:rFonts w:ascii="Arial"/>
          <w:i/>
          <w:sz w:val="20"/>
        </w:rPr>
        <w:t>Hopkins</w:t>
      </w:r>
      <w:r>
        <w:rPr>
          <w:rFonts w:ascii="Arial"/>
          <w:i/>
          <w:spacing w:val="-1"/>
          <w:sz w:val="20"/>
        </w:rPr>
        <w:t> </w:t>
      </w:r>
      <w:r>
        <w:rPr>
          <w:rFonts w:ascii="Arial"/>
          <w:i/>
          <w:sz w:val="20"/>
        </w:rPr>
        <w:t>and</w:t>
      </w:r>
      <w:r>
        <w:rPr>
          <w:rFonts w:ascii="Arial"/>
          <w:i/>
          <w:spacing w:val="-1"/>
          <w:sz w:val="20"/>
        </w:rPr>
        <w:t> </w:t>
      </w:r>
      <w:r>
        <w:rPr>
          <w:rFonts w:ascii="Arial"/>
          <w:i/>
          <w:sz w:val="20"/>
        </w:rPr>
        <w:t>Partners</w:t>
      </w:r>
      <w:r>
        <w:rPr>
          <w:rFonts w:ascii="Arial"/>
          <w:i/>
          <w:spacing w:val="-1"/>
          <w:sz w:val="20"/>
        </w:rPr>
        <w:t> </w:t>
      </w:r>
      <w:r>
        <w:rPr>
          <w:rFonts w:ascii="Arial"/>
          <w:i/>
          <w:sz w:val="20"/>
        </w:rPr>
        <w:t>[1980]</w:t>
      </w:r>
      <w:r>
        <w:rPr>
          <w:rFonts w:ascii="Arial"/>
          <w:i/>
          <w:spacing w:val="-1"/>
          <w:sz w:val="20"/>
        </w:rPr>
        <w:t> </w:t>
      </w:r>
      <w:r>
        <w:rPr>
          <w:rFonts w:ascii="Arial"/>
          <w:i/>
          <w:sz w:val="20"/>
        </w:rPr>
        <w:t>2</w:t>
      </w:r>
      <w:r>
        <w:rPr>
          <w:rFonts w:ascii="Arial"/>
          <w:i/>
          <w:spacing w:val="-1"/>
          <w:sz w:val="20"/>
        </w:rPr>
        <w:t> </w:t>
      </w:r>
      <w:r>
        <w:rPr>
          <w:rFonts w:ascii="Arial"/>
          <w:i/>
          <w:sz w:val="20"/>
        </w:rPr>
        <w:t>N.Z.L.R.</w:t>
      </w:r>
      <w:r>
        <w:rPr>
          <w:rFonts w:ascii="Arial"/>
          <w:i/>
          <w:spacing w:val="-1"/>
          <w:sz w:val="20"/>
        </w:rPr>
        <w:t> </w:t>
      </w:r>
      <w:r>
        <w:rPr>
          <w:rFonts w:ascii="Arial"/>
          <w:i/>
          <w:sz w:val="20"/>
        </w:rPr>
        <w:t>550</w:t>
      </w:r>
      <w:r>
        <w:rPr>
          <w:sz w:val="20"/>
        </w:rPr>
        <w:t>. The</w:t>
      </w:r>
      <w:r>
        <w:rPr>
          <w:spacing w:val="-3"/>
          <w:sz w:val="20"/>
        </w:rPr>
        <w:t> </w:t>
      </w:r>
      <w:r>
        <w:rPr>
          <w:sz w:val="20"/>
        </w:rPr>
        <w:t>question</w:t>
      </w:r>
      <w:r>
        <w:rPr>
          <w:spacing w:val="-3"/>
          <w:sz w:val="20"/>
        </w:rPr>
        <w:t> </w:t>
      </w:r>
      <w:r>
        <w:rPr>
          <w:sz w:val="20"/>
        </w:rPr>
        <w:t>had</w:t>
      </w:r>
      <w:r>
        <w:rPr>
          <w:spacing w:val="-3"/>
          <w:sz w:val="20"/>
        </w:rPr>
        <w:t> </w:t>
      </w:r>
      <w:r>
        <w:rPr>
          <w:sz w:val="20"/>
        </w:rPr>
        <w:t>been</w:t>
      </w:r>
      <w:r>
        <w:rPr>
          <w:spacing w:val="-3"/>
          <w:sz w:val="20"/>
        </w:rPr>
        <w:t> </w:t>
      </w:r>
      <w:r>
        <w:rPr>
          <w:sz w:val="20"/>
        </w:rPr>
        <w:t>examined</w:t>
      </w:r>
      <w:r>
        <w:rPr>
          <w:spacing w:val="-3"/>
          <w:sz w:val="20"/>
        </w:rPr>
        <w:t> </w:t>
      </w:r>
      <w:r>
        <w:rPr>
          <w:sz w:val="20"/>
        </w:rPr>
        <w:t>by</w:t>
      </w:r>
      <w:r>
        <w:rPr>
          <w:spacing w:val="-3"/>
          <w:sz w:val="20"/>
        </w:rPr>
        <w:t> </w:t>
      </w:r>
      <w:r>
        <w:rPr>
          <w:sz w:val="20"/>
        </w:rPr>
        <w:t>academic</w:t>
      </w:r>
      <w:r>
        <w:rPr>
          <w:spacing w:val="-3"/>
          <w:sz w:val="20"/>
        </w:rPr>
        <w:t> </w:t>
      </w:r>
      <w:r>
        <w:rPr>
          <w:sz w:val="20"/>
        </w:rPr>
        <w:t>writers:</w:t>
      </w:r>
      <w:r>
        <w:rPr>
          <w:spacing w:val="-3"/>
          <w:sz w:val="20"/>
        </w:rPr>
        <w:t> </w:t>
      </w:r>
      <w:r>
        <w:rPr>
          <w:sz w:val="20"/>
        </w:rPr>
        <w:t>Swanton</w:t>
      </w:r>
      <w:r>
        <w:rPr>
          <w:spacing w:val="-3"/>
          <w:sz w:val="20"/>
        </w:rPr>
        <w:t> </w:t>
      </w:r>
      <w:r>
        <w:rPr>
          <w:sz w:val="20"/>
        </w:rPr>
        <w:t>(1981)</w:t>
      </w:r>
      <w:r>
        <w:rPr>
          <w:spacing w:val="-3"/>
          <w:sz w:val="20"/>
        </w:rPr>
        <w:t> </w:t>
      </w:r>
      <w:r>
        <w:rPr>
          <w:sz w:val="20"/>
        </w:rPr>
        <w:t>55</w:t>
      </w:r>
      <w:r>
        <w:rPr>
          <w:spacing w:val="-3"/>
          <w:sz w:val="20"/>
        </w:rPr>
        <w:t> </w:t>
      </w:r>
      <w:r>
        <w:rPr>
          <w:sz w:val="20"/>
        </w:rPr>
        <w:t>A.L.J.</w:t>
      </w:r>
      <w:r>
        <w:rPr>
          <w:spacing w:val="-3"/>
          <w:sz w:val="20"/>
        </w:rPr>
        <w:t> </w:t>
      </w:r>
      <w:r>
        <w:rPr>
          <w:sz w:val="20"/>
        </w:rPr>
        <w:t>278;</w:t>
      </w:r>
      <w:r>
        <w:rPr>
          <w:spacing w:val="-3"/>
          <w:sz w:val="20"/>
        </w:rPr>
        <w:t> </w:t>
      </w:r>
      <w:r>
        <w:rPr>
          <w:sz w:val="20"/>
        </w:rPr>
        <w:t>Chandler (1989) 40 N.I.L.Q. 152; Anderson [1987] L.M.C.L.Q. 10.</w:t>
      </w:r>
    </w:p>
    <w:p>
      <w:pPr>
        <w:pStyle w:val="BodyText"/>
        <w:spacing w:before="9"/>
      </w:pPr>
    </w:p>
    <w:p>
      <w:pPr>
        <w:spacing w:line="235" w:lineRule="auto" w:before="0"/>
        <w:ind w:left="705" w:right="167" w:hanging="541"/>
        <w:jc w:val="both"/>
        <w:rPr>
          <w:sz w:val="20"/>
        </w:rPr>
      </w:pPr>
      <w:bookmarkStart w:name="_bookmark826" w:id="828"/>
      <w:bookmarkEnd w:id="828"/>
      <w:r>
        <w:rPr/>
      </w:r>
      <w:hyperlink w:history="true" w:anchor="_bookmark811">
        <w:r>
          <w:rPr>
            <w:color w:val="005DA1"/>
            <w:position w:val="5"/>
            <w:sz w:val="14"/>
            <w:u w:val="single" w:color="005DA1"/>
          </w:rPr>
          <w:t>429</w:t>
        </w:r>
      </w:hyperlink>
      <w:r>
        <w:rPr>
          <w:position w:val="5"/>
          <w:sz w:val="14"/>
        </w:rPr>
        <w:t>.</w:t>
      </w:r>
      <w:r>
        <w:rPr>
          <w:spacing w:val="40"/>
          <w:position w:val="5"/>
          <w:sz w:val="14"/>
        </w:rPr>
        <w:t>  </w:t>
      </w:r>
      <w:r>
        <w:rPr>
          <w:sz w:val="20"/>
        </w:rPr>
        <w:t>This decision has been followed (obiter) by the Court of Appeal in </w:t>
      </w:r>
      <w:r>
        <w:rPr>
          <w:rFonts w:ascii="Arial" w:hAnsi="Arial"/>
          <w:i/>
          <w:sz w:val="20"/>
        </w:rPr>
        <w:t>Bank of Nova Scotia v</w:t>
      </w:r>
      <w:r>
        <w:rPr>
          <w:rFonts w:ascii="Arial" w:hAnsi="Arial"/>
          <w:i/>
          <w:spacing w:val="80"/>
          <w:sz w:val="20"/>
        </w:rPr>
        <w:t> </w:t>
      </w:r>
      <w:r>
        <w:rPr>
          <w:rFonts w:ascii="Arial" w:hAnsi="Arial"/>
          <w:i/>
          <w:sz w:val="20"/>
        </w:rPr>
        <w:t>Hellenic Mutual War Risks Association (Bermuda) Ltd [1990] 1 Q.B. 818, 904</w:t>
      </w:r>
      <w:r>
        <w:rPr>
          <w:sz w:val="20"/>
        </w:rPr>
        <w:t>. (The appeal </w:t>
      </w:r>
      <w:r>
        <w:rPr>
          <w:sz w:val="20"/>
        </w:rPr>
        <w:t>was allowed by the House of Lords on another issue, with the result that contributory negligence</w:t>
      </w:r>
      <w:r>
        <w:rPr>
          <w:spacing w:val="40"/>
          <w:sz w:val="20"/>
        </w:rPr>
        <w:t> </w:t>
      </w:r>
      <w:r>
        <w:rPr>
          <w:sz w:val="20"/>
        </w:rPr>
        <w:t>was not considered: </w:t>
      </w:r>
      <w:r>
        <w:rPr>
          <w:rFonts w:ascii="Arial" w:hAnsi="Arial"/>
          <w:i/>
          <w:sz w:val="20"/>
        </w:rPr>
        <w:t>[1992] 1 A.C. 233, 266</w:t>
      </w:r>
      <w:r>
        <w:rPr>
          <w:sz w:val="20"/>
        </w:rPr>
        <w:t>.) But the High Court of Australia has not followed the decision: </w:t>
      </w:r>
      <w:r>
        <w:rPr>
          <w:rFonts w:ascii="Arial" w:hAnsi="Arial"/>
          <w:i/>
          <w:sz w:val="20"/>
        </w:rPr>
        <w:t>Astley v Austrust Ltd [1999] Lloyd’s Rep. P.N. 758 </w:t>
      </w:r>
      <w:r>
        <w:rPr>
          <w:sz w:val="20"/>
        </w:rPr>
        <w:t>(no defence even when concurrent liability).</w:t>
      </w:r>
    </w:p>
    <w:p>
      <w:pPr>
        <w:pStyle w:val="BodyText"/>
        <w:spacing w:before="8"/>
      </w:pPr>
    </w:p>
    <w:p>
      <w:pPr>
        <w:pStyle w:val="BodyText"/>
        <w:spacing w:line="235" w:lineRule="auto"/>
        <w:ind w:left="705" w:right="167" w:hanging="541"/>
        <w:jc w:val="both"/>
        <w:rPr>
          <w:rFonts w:ascii="Arial"/>
          <w:i/>
        </w:rPr>
      </w:pPr>
      <w:bookmarkStart w:name="_bookmark827" w:id="829"/>
      <w:bookmarkEnd w:id="829"/>
      <w:r>
        <w:rPr/>
      </w:r>
      <w:hyperlink w:history="true" w:anchor="_bookmark812">
        <w:r>
          <w:rPr>
            <w:color w:val="005DA1"/>
            <w:position w:val="5"/>
            <w:sz w:val="14"/>
            <w:u w:val="single" w:color="005DA1"/>
          </w:rPr>
          <w:t>430</w:t>
        </w:r>
      </w:hyperlink>
      <w:r>
        <w:rPr>
          <w:position w:val="5"/>
          <w:sz w:val="14"/>
        </w:rPr>
        <w:t>.</w:t>
      </w:r>
      <w:r>
        <w:rPr>
          <w:spacing w:val="40"/>
          <w:position w:val="5"/>
          <w:sz w:val="14"/>
        </w:rPr>
        <w:t>  </w:t>
      </w:r>
      <w:r>
        <w:rPr/>
        <w:t>In other words, the claim in contract is founded on an act or omission by the defendant which would</w:t>
      </w:r>
      <w:r>
        <w:rPr>
          <w:spacing w:val="25"/>
        </w:rPr>
        <w:t> </w:t>
      </w:r>
      <w:r>
        <w:rPr/>
        <w:t>also</w:t>
      </w:r>
      <w:r>
        <w:rPr>
          <w:spacing w:val="27"/>
        </w:rPr>
        <w:t> </w:t>
      </w:r>
      <w:r>
        <w:rPr/>
        <w:t>have</w:t>
      </w:r>
      <w:r>
        <w:rPr>
          <w:spacing w:val="27"/>
        </w:rPr>
        <w:t> </w:t>
      </w:r>
      <w:r>
        <w:rPr/>
        <w:t>given</w:t>
      </w:r>
      <w:r>
        <w:rPr>
          <w:spacing w:val="27"/>
        </w:rPr>
        <w:t> </w:t>
      </w:r>
      <w:r>
        <w:rPr/>
        <w:t>rise</w:t>
      </w:r>
      <w:r>
        <w:rPr>
          <w:spacing w:val="27"/>
        </w:rPr>
        <w:t> </w:t>
      </w:r>
      <w:r>
        <w:rPr/>
        <w:t>to</w:t>
      </w:r>
      <w:r>
        <w:rPr>
          <w:spacing w:val="27"/>
        </w:rPr>
        <w:t> </w:t>
      </w:r>
      <w:r>
        <w:rPr/>
        <w:t>liability</w:t>
      </w:r>
      <w:r>
        <w:rPr>
          <w:spacing w:val="27"/>
        </w:rPr>
        <w:t> </w:t>
      </w:r>
      <w:r>
        <w:rPr/>
        <w:t>in</w:t>
      </w:r>
      <w:r>
        <w:rPr>
          <w:spacing w:val="27"/>
        </w:rPr>
        <w:t> </w:t>
      </w:r>
      <w:r>
        <w:rPr/>
        <w:t>tort.</w:t>
      </w:r>
      <w:r>
        <w:rPr>
          <w:spacing w:val="27"/>
        </w:rPr>
        <w:t> </w:t>
      </w:r>
      <w:r>
        <w:rPr/>
        <w:t>Illustrations</w:t>
      </w:r>
      <w:r>
        <w:rPr>
          <w:spacing w:val="27"/>
        </w:rPr>
        <w:t> </w:t>
      </w:r>
      <w:r>
        <w:rPr/>
        <w:t>of</w:t>
      </w:r>
      <w:r>
        <w:rPr>
          <w:spacing w:val="27"/>
        </w:rPr>
        <w:t> </w:t>
      </w:r>
      <w:r>
        <w:rPr/>
        <w:t>category</w:t>
      </w:r>
      <w:r>
        <w:rPr>
          <w:spacing w:val="27"/>
        </w:rPr>
        <w:t> </w:t>
      </w:r>
      <w:r>
        <w:rPr/>
        <w:t>3</w:t>
      </w:r>
      <w:r>
        <w:rPr>
          <w:spacing w:val="27"/>
        </w:rPr>
        <w:t> </w:t>
      </w:r>
      <w:r>
        <w:rPr/>
        <w:t>are:</w:t>
      </w:r>
      <w:r>
        <w:rPr>
          <w:spacing w:val="27"/>
        </w:rPr>
        <w:t> </w:t>
      </w:r>
      <w:r>
        <w:rPr>
          <w:rFonts w:ascii="Arial"/>
          <w:i/>
        </w:rPr>
        <w:t>Sayers</w:t>
      </w:r>
      <w:r>
        <w:rPr>
          <w:rFonts w:ascii="Arial"/>
          <w:i/>
          <w:spacing w:val="27"/>
        </w:rPr>
        <w:t> </w:t>
      </w:r>
      <w:r>
        <w:rPr>
          <w:rFonts w:ascii="Arial"/>
          <w:i/>
        </w:rPr>
        <w:t>v</w:t>
      </w:r>
      <w:r>
        <w:rPr>
          <w:rFonts w:ascii="Arial"/>
          <w:i/>
          <w:spacing w:val="27"/>
        </w:rPr>
        <w:t> </w:t>
      </w:r>
      <w:r>
        <w:rPr>
          <w:rFonts w:ascii="Arial"/>
          <w:i/>
          <w:spacing w:val="-2"/>
        </w:rPr>
        <w:t>Harlow</w:t>
      </w:r>
    </w:p>
    <w:p>
      <w:pPr>
        <w:spacing w:line="235" w:lineRule="auto" w:before="0"/>
        <w:ind w:left="705" w:right="167" w:firstLine="0"/>
        <w:jc w:val="both"/>
        <w:rPr>
          <w:sz w:val="20"/>
        </w:rPr>
      </w:pPr>
      <w:r>
        <w:rPr>
          <w:rFonts w:ascii="Arial" w:hAnsi="Arial"/>
          <w:i/>
          <w:sz w:val="20"/>
        </w:rPr>
        <w:t>U.D.C. [1958] 1 W.L.R. 623 </w:t>
      </w:r>
      <w:r>
        <w:rPr>
          <w:sz w:val="20"/>
        </w:rPr>
        <w:t>(see the comments on this case in </w:t>
      </w:r>
      <w:r>
        <w:rPr>
          <w:rFonts w:ascii="Arial" w:hAnsi="Arial"/>
          <w:i/>
          <w:sz w:val="20"/>
        </w:rPr>
        <w:t>Vesta v Butcher [1989] A.C.</w:t>
      </w:r>
      <w:r>
        <w:rPr>
          <w:rFonts w:ascii="Arial" w:hAnsi="Arial"/>
          <w:i/>
          <w:spacing w:val="40"/>
          <w:sz w:val="20"/>
        </w:rPr>
        <w:t> </w:t>
      </w:r>
      <w:r>
        <w:rPr>
          <w:rFonts w:ascii="Arial" w:hAnsi="Arial"/>
          <w:i/>
          <w:sz w:val="20"/>
        </w:rPr>
        <w:t>852, 861, 866–867</w:t>
      </w:r>
      <w:r>
        <w:rPr>
          <w:sz w:val="20"/>
        </w:rPr>
        <w:t>); </w:t>
      </w:r>
      <w:r>
        <w:rPr>
          <w:rFonts w:ascii="Arial" w:hAnsi="Arial"/>
          <w:i/>
          <w:sz w:val="20"/>
        </w:rPr>
        <w:t>Vesta v Butcher </w:t>
      </w:r>
      <w:r>
        <w:rPr>
          <w:sz w:val="20"/>
        </w:rPr>
        <w:t>(insurers’ claim against brokers for failing to inform reinsurers that the insured could not comply with a clause in the contract of </w:t>
      </w:r>
      <w:r>
        <w:rPr>
          <w:sz w:val="20"/>
        </w:rPr>
        <w:t>reinsurance); </w:t>
      </w:r>
      <w:r>
        <w:rPr>
          <w:rFonts w:ascii="Arial" w:hAnsi="Arial"/>
          <w:i/>
          <w:sz w:val="20"/>
        </w:rPr>
        <w:t>Platform Home Loans Ltd v Oyston Shipways Ltd [2000] 2 A.C. 190 </w:t>
      </w:r>
      <w:r>
        <w:rPr>
          <w:sz w:val="20"/>
        </w:rPr>
        <w:t>(lender suing valuer for negligent over-valuation of the security). The decision in </w:t>
      </w:r>
      <w:r>
        <w:rPr>
          <w:rFonts w:ascii="Arial" w:hAnsi="Arial"/>
          <w:i/>
          <w:sz w:val="20"/>
        </w:rPr>
        <w:t>Vesta v Butcher </w:t>
      </w:r>
      <w:r>
        <w:rPr>
          <w:sz w:val="20"/>
        </w:rPr>
        <w:t>leaves open the question whether the Act of 1945 applies where the claimant’s claim in tort is not co-extensive with his claim in contract: see the Law Commission’s Report No.219 (1993), para.3.29.</w:t>
      </w:r>
    </w:p>
    <w:p>
      <w:pPr>
        <w:pStyle w:val="BodyText"/>
        <w:spacing w:before="6"/>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828" w:id="830"/>
      <w:bookmarkEnd w:id="830"/>
      <w:r>
        <w:rPr/>
      </w:r>
      <w:hyperlink w:history="true" w:anchor="_bookmark813">
        <w:r>
          <w:rPr>
            <w:color w:val="005DA1"/>
            <w:spacing w:val="-4"/>
            <w:sz w:val="14"/>
            <w:u w:val="single" w:color="005DA1"/>
          </w:rPr>
          <w:t>431</w:t>
        </w:r>
      </w:hyperlink>
      <w:r>
        <w:rPr>
          <w:spacing w:val="-4"/>
          <w:sz w:val="14"/>
        </w:rPr>
        <w:t>.</w:t>
      </w:r>
    </w:p>
    <w:p>
      <w:pPr>
        <w:spacing w:line="227" w:lineRule="exact" w:before="209"/>
        <w:ind w:left="335" w:right="0" w:firstLine="0"/>
        <w:jc w:val="both"/>
        <w:rPr>
          <w:rFonts w:ascii="Arial"/>
          <w:i/>
          <w:sz w:val="20"/>
        </w:rPr>
      </w:pPr>
      <w:r>
        <w:rPr/>
        <w:br w:type="column"/>
      </w:r>
      <w:r>
        <w:rPr>
          <w:sz w:val="20"/>
        </w:rPr>
        <w:t>Category</w:t>
      </w:r>
      <w:r>
        <w:rPr>
          <w:spacing w:val="25"/>
          <w:sz w:val="20"/>
        </w:rPr>
        <w:t> </w:t>
      </w:r>
      <w:r>
        <w:rPr>
          <w:sz w:val="20"/>
        </w:rPr>
        <w:t>3</w:t>
      </w:r>
      <w:r>
        <w:rPr>
          <w:spacing w:val="25"/>
          <w:sz w:val="20"/>
        </w:rPr>
        <w:t> </w:t>
      </w:r>
      <w:r>
        <w:rPr>
          <w:sz w:val="20"/>
        </w:rPr>
        <w:t>cases</w:t>
      </w:r>
      <w:r>
        <w:rPr>
          <w:spacing w:val="25"/>
          <w:sz w:val="20"/>
        </w:rPr>
        <w:t> </w:t>
      </w:r>
      <w:r>
        <w:rPr>
          <w:sz w:val="20"/>
        </w:rPr>
        <w:t>will</w:t>
      </w:r>
      <w:r>
        <w:rPr>
          <w:spacing w:val="25"/>
          <w:sz w:val="20"/>
        </w:rPr>
        <w:t> </w:t>
      </w:r>
      <w:r>
        <w:rPr>
          <w:sz w:val="20"/>
        </w:rPr>
        <w:t>be</w:t>
      </w:r>
      <w:r>
        <w:rPr>
          <w:spacing w:val="25"/>
          <w:sz w:val="20"/>
        </w:rPr>
        <w:t> </w:t>
      </w:r>
      <w:r>
        <w:rPr>
          <w:sz w:val="20"/>
        </w:rPr>
        <w:t>more</w:t>
      </w:r>
      <w:r>
        <w:rPr>
          <w:spacing w:val="25"/>
          <w:sz w:val="20"/>
        </w:rPr>
        <w:t> </w:t>
      </w:r>
      <w:r>
        <w:rPr>
          <w:sz w:val="20"/>
        </w:rPr>
        <w:t>frequent</w:t>
      </w:r>
      <w:r>
        <w:rPr>
          <w:spacing w:val="25"/>
          <w:sz w:val="20"/>
        </w:rPr>
        <w:t> </w:t>
      </w:r>
      <w:r>
        <w:rPr>
          <w:sz w:val="20"/>
        </w:rPr>
        <w:t>after</w:t>
      </w:r>
      <w:r>
        <w:rPr>
          <w:spacing w:val="25"/>
          <w:sz w:val="20"/>
        </w:rPr>
        <w:t> </w:t>
      </w:r>
      <w:r>
        <w:rPr>
          <w:sz w:val="20"/>
        </w:rPr>
        <w:t>the</w:t>
      </w:r>
      <w:r>
        <w:rPr>
          <w:spacing w:val="25"/>
          <w:sz w:val="20"/>
        </w:rPr>
        <w:t> </w:t>
      </w:r>
      <w:r>
        <w:rPr>
          <w:sz w:val="20"/>
        </w:rPr>
        <w:t>decision</w:t>
      </w:r>
      <w:r>
        <w:rPr>
          <w:spacing w:val="25"/>
          <w:sz w:val="20"/>
        </w:rPr>
        <w:t> </w:t>
      </w:r>
      <w:r>
        <w:rPr>
          <w:sz w:val="20"/>
        </w:rPr>
        <w:t>in</w:t>
      </w:r>
      <w:r>
        <w:rPr>
          <w:spacing w:val="25"/>
          <w:sz w:val="20"/>
        </w:rPr>
        <w:t> </w:t>
      </w:r>
      <w:r>
        <w:rPr>
          <w:rFonts w:ascii="Arial"/>
          <w:i/>
          <w:sz w:val="20"/>
        </w:rPr>
        <w:t>Henderson</w:t>
      </w:r>
      <w:r>
        <w:rPr>
          <w:rFonts w:ascii="Arial"/>
          <w:i/>
          <w:spacing w:val="25"/>
          <w:sz w:val="20"/>
        </w:rPr>
        <w:t> </w:t>
      </w:r>
      <w:r>
        <w:rPr>
          <w:rFonts w:ascii="Arial"/>
          <w:i/>
          <w:sz w:val="20"/>
        </w:rPr>
        <w:t>v</w:t>
      </w:r>
      <w:r>
        <w:rPr>
          <w:rFonts w:ascii="Arial"/>
          <w:i/>
          <w:spacing w:val="25"/>
          <w:sz w:val="20"/>
        </w:rPr>
        <w:t> </w:t>
      </w:r>
      <w:r>
        <w:rPr>
          <w:rFonts w:ascii="Arial"/>
          <w:i/>
          <w:sz w:val="20"/>
        </w:rPr>
        <w:t>Merrett</w:t>
      </w:r>
      <w:r>
        <w:rPr>
          <w:rFonts w:ascii="Arial"/>
          <w:i/>
          <w:spacing w:val="25"/>
          <w:sz w:val="20"/>
        </w:rPr>
        <w:t> </w:t>
      </w:r>
      <w:r>
        <w:rPr>
          <w:rFonts w:ascii="Arial"/>
          <w:i/>
          <w:sz w:val="20"/>
        </w:rPr>
        <w:t>[1995]</w:t>
      </w:r>
      <w:r>
        <w:rPr>
          <w:rFonts w:ascii="Arial"/>
          <w:i/>
          <w:spacing w:val="25"/>
          <w:sz w:val="20"/>
        </w:rPr>
        <w:t> </w:t>
      </w:r>
      <w:r>
        <w:rPr>
          <w:rFonts w:ascii="Arial"/>
          <w:i/>
          <w:spacing w:val="-10"/>
          <w:sz w:val="20"/>
        </w:rPr>
        <w:t>2</w:t>
      </w:r>
    </w:p>
    <w:p>
      <w:pPr>
        <w:spacing w:line="235" w:lineRule="auto" w:before="1"/>
        <w:ind w:left="165" w:right="167" w:firstLine="0"/>
        <w:jc w:val="both"/>
        <w:rPr>
          <w:sz w:val="20"/>
        </w:rPr>
      </w:pPr>
      <w:r>
        <w:rPr>
          <w:sz w:val="20"/>
        </w:rPr>
        <w:drawing>
          <wp:anchor distT="0" distB="0" distL="0" distR="0" allowOverlap="1" layoutInCell="1" locked="0" behindDoc="0" simplePos="0" relativeHeight="15777280">
            <wp:simplePos x="0" y="0"/>
            <wp:positionH relativeFrom="page">
              <wp:posOffset>1257846</wp:posOffset>
            </wp:positionH>
            <wp:positionV relativeFrom="paragraph">
              <wp:posOffset>-116496</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 145 </w:t>
      </w:r>
      <w:r>
        <w:rPr>
          <w:sz w:val="20"/>
        </w:rPr>
        <w:t>(see above, paras 1-166 et seq.) (especially where clients sue those </w:t>
      </w:r>
      <w:r>
        <w:rPr>
          <w:sz w:val="20"/>
        </w:rPr>
        <w:t>providing professional services and advice). For an illustration see</w:t>
      </w:r>
      <w:r>
        <w:rPr>
          <w:spacing w:val="-1"/>
          <w:sz w:val="20"/>
        </w:rPr>
        <w:t> </w:t>
      </w:r>
      <w:r>
        <w:rPr>
          <w:rFonts w:ascii="Arial" w:hAnsi="Arial"/>
          <w:i/>
          <w:sz w:val="20"/>
        </w:rPr>
        <w:t>U.C.B. Bank Plc v Hepferd Winstanley &amp; Pugh [1999] Lloyd’s Rep. P.N. 963 CA</w:t>
      </w:r>
      <w:r>
        <w:rPr>
          <w:sz w:val="20"/>
        </w:rPr>
        <w:t>; </w:t>
      </w:r>
      <w:r>
        <w:rPr>
          <w:rFonts w:ascii="Arial" w:hAnsi="Arial"/>
          <w:i/>
          <w:sz w:val="20"/>
        </w:rPr>
        <w:t>IG Index Ltd v Ehrentreu [2015] EWHC 3390 (QB)</w:t>
      </w:r>
      <w:r>
        <w:rPr>
          <w:sz w:val="20"/>
        </w:rPr>
        <w:t>, </w:t>
      </w:r>
      <w:r>
        <w:rPr>
          <w:sz w:val="20"/>
        </w:rPr>
        <w:t>in which the judge, had he considered it to be a category 3 case, would have made a deduction of 95 per cent (at [130]). Permission to appeal has been granted: </w:t>
      </w:r>
      <w:r>
        <w:rPr>
          <w:rFonts w:ascii="Arial" w:hAnsi="Arial"/>
          <w:i/>
          <w:sz w:val="20"/>
        </w:rPr>
        <w:t>[2017] EWCA Civ 326</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7" w:hanging="541"/>
        <w:jc w:val="both"/>
        <w:rPr>
          <w:rFonts w:ascii="Arial" w:hAnsi="Arial"/>
          <w:i/>
          <w:sz w:val="20"/>
        </w:rPr>
      </w:pPr>
      <w:bookmarkStart w:name="_bookmark829" w:id="831"/>
      <w:bookmarkEnd w:id="831"/>
      <w:r>
        <w:rPr/>
      </w:r>
      <w:hyperlink w:history="true" w:anchor="_bookmark814">
        <w:r>
          <w:rPr>
            <w:color w:val="005DA1"/>
            <w:position w:val="5"/>
            <w:sz w:val="14"/>
            <w:u w:val="single" w:color="005DA1"/>
          </w:rPr>
          <w:t>432</w:t>
        </w:r>
      </w:hyperlink>
      <w:r>
        <w:rPr>
          <w:position w:val="5"/>
          <w:sz w:val="14"/>
        </w:rPr>
        <w:t>.</w:t>
      </w:r>
      <w:r>
        <w:rPr>
          <w:spacing w:val="80"/>
          <w:position w:val="5"/>
          <w:sz w:val="14"/>
        </w:rPr>
        <w:t>  </w:t>
      </w:r>
      <w:r>
        <w:rPr>
          <w:sz w:val="20"/>
        </w:rPr>
        <w:t>Illustrations</w:t>
      </w:r>
      <w:r>
        <w:rPr>
          <w:spacing w:val="-2"/>
          <w:sz w:val="20"/>
        </w:rPr>
        <w:t> </w:t>
      </w:r>
      <w:r>
        <w:rPr>
          <w:sz w:val="20"/>
        </w:rPr>
        <w:t>of</w:t>
      </w:r>
      <w:r>
        <w:rPr>
          <w:spacing w:val="-2"/>
          <w:sz w:val="20"/>
        </w:rPr>
        <w:t> </w:t>
      </w:r>
      <w:r>
        <w:rPr>
          <w:sz w:val="20"/>
        </w:rPr>
        <w:t>category</w:t>
      </w:r>
      <w:r>
        <w:rPr>
          <w:spacing w:val="-2"/>
          <w:sz w:val="20"/>
        </w:rPr>
        <w:t> </w:t>
      </w:r>
      <w:r>
        <w:rPr>
          <w:sz w:val="20"/>
        </w:rPr>
        <w:t>1</w:t>
      </w:r>
      <w:r>
        <w:rPr>
          <w:spacing w:val="-2"/>
          <w:sz w:val="20"/>
        </w:rPr>
        <w:t> </w:t>
      </w:r>
      <w:r>
        <w:rPr>
          <w:sz w:val="20"/>
        </w:rPr>
        <w:t>cases</w:t>
      </w:r>
      <w:r>
        <w:rPr>
          <w:spacing w:val="-2"/>
          <w:sz w:val="20"/>
        </w:rPr>
        <w:t> </w:t>
      </w:r>
      <w:r>
        <w:rPr>
          <w:sz w:val="20"/>
        </w:rPr>
        <w:t>are:</w:t>
      </w:r>
      <w:r>
        <w:rPr>
          <w:spacing w:val="-3"/>
          <w:sz w:val="20"/>
        </w:rPr>
        <w:t> </w:t>
      </w:r>
      <w:r>
        <w:rPr>
          <w:rFonts w:ascii="Arial" w:hAnsi="Arial"/>
          <w:i/>
          <w:sz w:val="20"/>
        </w:rPr>
        <w:t>Basildon</w:t>
      </w:r>
      <w:r>
        <w:rPr>
          <w:rFonts w:ascii="Arial" w:hAnsi="Arial"/>
          <w:i/>
          <w:spacing w:val="-2"/>
          <w:sz w:val="20"/>
        </w:rPr>
        <w:t> </w:t>
      </w:r>
      <w:r>
        <w:rPr>
          <w:rFonts w:ascii="Arial" w:hAnsi="Arial"/>
          <w:i/>
          <w:sz w:val="20"/>
        </w:rPr>
        <w:t>DC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J.E.</w:t>
      </w:r>
      <w:r>
        <w:rPr>
          <w:rFonts w:ascii="Arial" w:hAnsi="Arial"/>
          <w:i/>
          <w:spacing w:val="-2"/>
          <w:sz w:val="20"/>
        </w:rPr>
        <w:t> </w:t>
      </w:r>
      <w:r>
        <w:rPr>
          <w:rFonts w:ascii="Arial" w:hAnsi="Arial"/>
          <w:i/>
          <w:sz w:val="20"/>
        </w:rPr>
        <w:t>Lesser</w:t>
      </w:r>
      <w:r>
        <w:rPr>
          <w:rFonts w:ascii="Arial" w:hAnsi="Arial"/>
          <w:i/>
          <w:spacing w:val="-2"/>
          <w:sz w:val="20"/>
        </w:rPr>
        <w:t> </w:t>
      </w:r>
      <w:r>
        <w:rPr>
          <w:rFonts w:ascii="Arial" w:hAnsi="Arial"/>
          <w:i/>
          <w:sz w:val="20"/>
        </w:rPr>
        <w:t>(Properties)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839 </w:t>
      </w:r>
      <w:r>
        <w:rPr>
          <w:sz w:val="20"/>
        </w:rPr>
        <w:t>(claim for an indemnity under a deed); </w:t>
      </w:r>
      <w:r>
        <w:rPr>
          <w:rFonts w:ascii="Arial" w:hAnsi="Arial"/>
          <w:i/>
          <w:sz w:val="20"/>
        </w:rPr>
        <w:t>Quinn v Burch Bros (Builders) Ltd [1966] 2 Q.B. 370 </w:t>
      </w:r>
      <w:r>
        <w:rPr>
          <w:sz w:val="20"/>
        </w:rPr>
        <w:t>(the Court of Appeal did not discuss contributory negligence: see above, para.26-063); </w:t>
      </w:r>
      <w:r>
        <w:rPr>
          <w:rFonts w:ascii="Arial" w:hAnsi="Arial"/>
          <w:i/>
          <w:sz w:val="20"/>
        </w:rPr>
        <w:t>Tennant Radiant Heat Ltd v Warrington Development Corp [1988] 1 E.G.L.R. 41 </w:t>
      </w:r>
      <w:r>
        <w:rPr>
          <w:sz w:val="20"/>
        </w:rPr>
        <w:t>(but see below, n.402); </w:t>
      </w:r>
      <w:r>
        <w:rPr>
          <w:rFonts w:ascii="Arial" w:hAnsi="Arial"/>
          <w:i/>
          <w:sz w:val="20"/>
        </w:rPr>
        <w:t>Banque Keyser Ullmann SA v Skandia (UK) Insurance Co Ltd [1990] Q.B. 665, 720–721 </w:t>
      </w:r>
      <w:r>
        <w:rPr>
          <w:sz w:val="20"/>
        </w:rPr>
        <w:t>(neither the Court of Appeal, at 815–817, nor the House of Lords [1991] 2 A.C. 249 deal with this</w:t>
      </w:r>
      <w:r>
        <w:rPr>
          <w:spacing w:val="8"/>
          <w:sz w:val="20"/>
        </w:rPr>
        <w:t> </w:t>
      </w:r>
      <w:r>
        <w:rPr>
          <w:sz w:val="20"/>
        </w:rPr>
        <w:t>point);</w:t>
      </w:r>
      <w:r>
        <w:rPr>
          <w:spacing w:val="8"/>
          <w:sz w:val="20"/>
        </w:rPr>
        <w:t> </w:t>
      </w:r>
      <w:r>
        <w:rPr>
          <w:rFonts w:ascii="Arial" w:hAnsi="Arial"/>
          <w:i/>
          <w:sz w:val="20"/>
        </w:rPr>
        <w:t>Bank</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Nova</w:t>
      </w:r>
      <w:r>
        <w:rPr>
          <w:rFonts w:ascii="Arial" w:hAnsi="Arial"/>
          <w:i/>
          <w:spacing w:val="8"/>
          <w:sz w:val="20"/>
        </w:rPr>
        <w:t> </w:t>
      </w:r>
      <w:r>
        <w:rPr>
          <w:rFonts w:ascii="Arial" w:hAnsi="Arial"/>
          <w:i/>
          <w:sz w:val="20"/>
        </w:rPr>
        <w:t>Scotia</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Hellenic</w:t>
      </w:r>
      <w:r>
        <w:rPr>
          <w:rFonts w:ascii="Arial" w:hAnsi="Arial"/>
          <w:i/>
          <w:spacing w:val="8"/>
          <w:sz w:val="20"/>
        </w:rPr>
        <w:t> </w:t>
      </w:r>
      <w:r>
        <w:rPr>
          <w:rFonts w:ascii="Arial" w:hAnsi="Arial"/>
          <w:i/>
          <w:sz w:val="20"/>
        </w:rPr>
        <w:t>Mutual</w:t>
      </w:r>
      <w:r>
        <w:rPr>
          <w:rFonts w:ascii="Arial" w:hAnsi="Arial"/>
          <w:i/>
          <w:spacing w:val="8"/>
          <w:sz w:val="20"/>
        </w:rPr>
        <w:t> </w:t>
      </w:r>
      <w:r>
        <w:rPr>
          <w:rFonts w:ascii="Arial" w:hAnsi="Arial"/>
          <w:i/>
          <w:sz w:val="20"/>
        </w:rPr>
        <w:t>War</w:t>
      </w:r>
      <w:r>
        <w:rPr>
          <w:rFonts w:ascii="Arial" w:hAnsi="Arial"/>
          <w:i/>
          <w:spacing w:val="8"/>
          <w:sz w:val="20"/>
        </w:rPr>
        <w:t> </w:t>
      </w:r>
      <w:r>
        <w:rPr>
          <w:rFonts w:ascii="Arial" w:hAnsi="Arial"/>
          <w:i/>
          <w:sz w:val="20"/>
        </w:rPr>
        <w:t>Risks</w:t>
      </w:r>
      <w:r>
        <w:rPr>
          <w:rFonts w:ascii="Arial" w:hAnsi="Arial"/>
          <w:i/>
          <w:spacing w:val="8"/>
          <w:sz w:val="20"/>
        </w:rPr>
        <w:t> </w:t>
      </w:r>
      <w:r>
        <w:rPr>
          <w:rFonts w:ascii="Arial" w:hAnsi="Arial"/>
          <w:i/>
          <w:sz w:val="20"/>
        </w:rPr>
        <w:t>Association</w:t>
      </w:r>
      <w:r>
        <w:rPr>
          <w:rFonts w:ascii="Arial" w:hAnsi="Arial"/>
          <w:i/>
          <w:spacing w:val="8"/>
          <w:sz w:val="20"/>
        </w:rPr>
        <w:t> </w:t>
      </w:r>
      <w:r>
        <w:rPr>
          <w:rFonts w:ascii="Arial" w:hAnsi="Arial"/>
          <w:i/>
          <w:sz w:val="20"/>
        </w:rPr>
        <w:t>(Bermuda)</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pacing w:val="-2"/>
          <w:sz w:val="20"/>
        </w:rPr>
        <w:t>[1990]</w:t>
      </w:r>
    </w:p>
    <w:p>
      <w:pPr>
        <w:spacing w:line="235" w:lineRule="auto" w:before="0"/>
        <w:ind w:left="705" w:right="0" w:firstLine="0"/>
        <w:jc w:val="left"/>
        <w:rPr>
          <w:sz w:val="20"/>
        </w:rPr>
      </w:pPr>
      <w:r>
        <w:rPr>
          <w:rFonts w:ascii="Arial"/>
          <w:i/>
          <w:sz w:val="20"/>
        </w:rPr>
        <w:t>1</w:t>
      </w:r>
      <w:r>
        <w:rPr>
          <w:rFonts w:ascii="Arial"/>
          <w:i/>
          <w:spacing w:val="76"/>
          <w:sz w:val="20"/>
        </w:rPr>
        <w:t> </w:t>
      </w:r>
      <w:r>
        <w:rPr>
          <w:rFonts w:ascii="Arial"/>
          <w:i/>
          <w:sz w:val="20"/>
        </w:rPr>
        <w:t>Q.B.</w:t>
      </w:r>
      <w:r>
        <w:rPr>
          <w:rFonts w:ascii="Arial"/>
          <w:i/>
          <w:spacing w:val="76"/>
          <w:sz w:val="20"/>
        </w:rPr>
        <w:t> </w:t>
      </w:r>
      <w:r>
        <w:rPr>
          <w:rFonts w:ascii="Arial"/>
          <w:i/>
          <w:sz w:val="20"/>
        </w:rPr>
        <w:t>818,</w:t>
      </w:r>
      <w:r>
        <w:rPr>
          <w:rFonts w:ascii="Arial"/>
          <w:i/>
          <w:spacing w:val="76"/>
          <w:sz w:val="20"/>
        </w:rPr>
        <w:t> </w:t>
      </w:r>
      <w:r>
        <w:rPr>
          <w:rFonts w:ascii="Arial"/>
          <w:i/>
          <w:sz w:val="20"/>
        </w:rPr>
        <w:t>904</w:t>
      </w:r>
      <w:r>
        <w:rPr>
          <w:sz w:val="20"/>
        </w:rPr>
        <w:t>;</w:t>
      </w:r>
      <w:r>
        <w:rPr>
          <w:spacing w:val="76"/>
          <w:sz w:val="20"/>
        </w:rPr>
        <w:t> </w:t>
      </w:r>
      <w:r>
        <w:rPr>
          <w:rFonts w:ascii="Arial"/>
          <w:i/>
          <w:sz w:val="20"/>
        </w:rPr>
        <w:t>Barclays</w:t>
      </w:r>
      <w:r>
        <w:rPr>
          <w:rFonts w:ascii="Arial"/>
          <w:i/>
          <w:spacing w:val="76"/>
          <w:sz w:val="20"/>
        </w:rPr>
        <w:t> </w:t>
      </w:r>
      <w:r>
        <w:rPr>
          <w:rFonts w:ascii="Arial"/>
          <w:i/>
          <w:sz w:val="20"/>
        </w:rPr>
        <w:t>Bank</w:t>
      </w:r>
      <w:r>
        <w:rPr>
          <w:rFonts w:ascii="Arial"/>
          <w:i/>
          <w:spacing w:val="76"/>
          <w:sz w:val="20"/>
        </w:rPr>
        <w:t> </w:t>
      </w:r>
      <w:r>
        <w:rPr>
          <w:rFonts w:ascii="Arial"/>
          <w:i/>
          <w:sz w:val="20"/>
        </w:rPr>
        <w:t>Plc</w:t>
      </w:r>
      <w:r>
        <w:rPr>
          <w:rFonts w:ascii="Arial"/>
          <w:i/>
          <w:spacing w:val="76"/>
          <w:sz w:val="20"/>
        </w:rPr>
        <w:t> </w:t>
      </w:r>
      <w:r>
        <w:rPr>
          <w:rFonts w:ascii="Arial"/>
          <w:i/>
          <w:sz w:val="20"/>
        </w:rPr>
        <w:t>v</w:t>
      </w:r>
      <w:r>
        <w:rPr>
          <w:rFonts w:ascii="Arial"/>
          <w:i/>
          <w:spacing w:val="76"/>
          <w:sz w:val="20"/>
        </w:rPr>
        <w:t> </w:t>
      </w:r>
      <w:r>
        <w:rPr>
          <w:rFonts w:ascii="Arial"/>
          <w:i/>
          <w:sz w:val="20"/>
        </w:rPr>
        <w:t>Fairclough</w:t>
      </w:r>
      <w:r>
        <w:rPr>
          <w:rFonts w:ascii="Arial"/>
          <w:i/>
          <w:spacing w:val="76"/>
          <w:sz w:val="20"/>
        </w:rPr>
        <w:t> </w:t>
      </w:r>
      <w:r>
        <w:rPr>
          <w:rFonts w:ascii="Arial"/>
          <w:i/>
          <w:sz w:val="20"/>
        </w:rPr>
        <w:t>Building</w:t>
      </w:r>
      <w:r>
        <w:rPr>
          <w:rFonts w:ascii="Arial"/>
          <w:i/>
          <w:spacing w:val="76"/>
          <w:sz w:val="20"/>
        </w:rPr>
        <w:t> </w:t>
      </w:r>
      <w:r>
        <w:rPr>
          <w:rFonts w:ascii="Arial"/>
          <w:i/>
          <w:sz w:val="20"/>
        </w:rPr>
        <w:t>Ltd</w:t>
      </w:r>
      <w:r>
        <w:rPr>
          <w:rFonts w:ascii="Arial"/>
          <w:i/>
          <w:spacing w:val="76"/>
          <w:sz w:val="20"/>
        </w:rPr>
        <w:t> </w:t>
      </w:r>
      <w:r>
        <w:rPr>
          <w:rFonts w:ascii="Arial"/>
          <w:i/>
          <w:sz w:val="20"/>
        </w:rPr>
        <w:t>[1995]</w:t>
      </w:r>
      <w:r>
        <w:rPr>
          <w:rFonts w:ascii="Arial"/>
          <w:i/>
          <w:spacing w:val="76"/>
          <w:sz w:val="20"/>
        </w:rPr>
        <w:t> </w:t>
      </w:r>
      <w:r>
        <w:rPr>
          <w:rFonts w:ascii="Arial"/>
          <w:i/>
          <w:sz w:val="20"/>
        </w:rPr>
        <w:t>Q.B.</w:t>
      </w:r>
      <w:r>
        <w:rPr>
          <w:rFonts w:ascii="Arial"/>
          <w:i/>
          <w:spacing w:val="76"/>
          <w:sz w:val="20"/>
        </w:rPr>
        <w:t> </w:t>
      </w:r>
      <w:r>
        <w:rPr>
          <w:rFonts w:ascii="Arial"/>
          <w:i/>
          <w:sz w:val="20"/>
        </w:rPr>
        <w:t>214</w:t>
      </w:r>
      <w:r>
        <w:rPr>
          <w:rFonts w:ascii="Arial"/>
          <w:i/>
          <w:spacing w:val="75"/>
          <w:sz w:val="20"/>
        </w:rPr>
        <w:t> </w:t>
      </w:r>
      <w:r>
        <w:rPr>
          <w:sz w:val="20"/>
        </w:rPr>
        <w:t>(strict undertakings</w:t>
      </w:r>
      <w:r>
        <w:rPr>
          <w:spacing w:val="79"/>
          <w:sz w:val="20"/>
        </w:rPr>
        <w:t> </w:t>
      </w:r>
      <w:r>
        <w:rPr>
          <w:sz w:val="20"/>
        </w:rPr>
        <w:t>by</w:t>
      </w:r>
      <w:r>
        <w:rPr>
          <w:spacing w:val="79"/>
          <w:sz w:val="20"/>
        </w:rPr>
        <w:t> </w:t>
      </w:r>
      <w:r>
        <w:rPr>
          <w:sz w:val="20"/>
        </w:rPr>
        <w:t>builder</w:t>
      </w:r>
      <w:r>
        <w:rPr>
          <w:spacing w:val="79"/>
          <w:sz w:val="20"/>
        </w:rPr>
        <w:t> </w:t>
      </w:r>
      <w:r>
        <w:rPr>
          <w:sz w:val="20"/>
        </w:rPr>
        <w:t>that</w:t>
      </w:r>
      <w:r>
        <w:rPr>
          <w:spacing w:val="79"/>
          <w:sz w:val="20"/>
        </w:rPr>
        <w:t> </w:t>
      </w:r>
      <w:r>
        <w:rPr>
          <w:sz w:val="20"/>
        </w:rPr>
        <w:t>roofing</w:t>
      </w:r>
      <w:r>
        <w:rPr>
          <w:spacing w:val="79"/>
          <w:sz w:val="20"/>
        </w:rPr>
        <w:t> </w:t>
      </w:r>
      <w:r>
        <w:rPr>
          <w:sz w:val="20"/>
        </w:rPr>
        <w:t>work</w:t>
      </w:r>
      <w:r>
        <w:rPr>
          <w:spacing w:val="79"/>
          <w:sz w:val="20"/>
        </w:rPr>
        <w:t> </w:t>
      </w:r>
      <w:r>
        <w:rPr>
          <w:sz w:val="20"/>
        </w:rPr>
        <w:t>should</w:t>
      </w:r>
      <w:r>
        <w:rPr>
          <w:spacing w:val="79"/>
          <w:sz w:val="20"/>
        </w:rPr>
        <w:t> </w:t>
      </w:r>
      <w:r>
        <w:rPr>
          <w:sz w:val="20"/>
        </w:rPr>
        <w:t>be</w:t>
      </w:r>
      <w:r>
        <w:rPr>
          <w:spacing w:val="79"/>
          <w:sz w:val="20"/>
        </w:rPr>
        <w:t> </w:t>
      </w:r>
      <w:r>
        <w:rPr>
          <w:sz w:val="20"/>
        </w:rPr>
        <w:t>done</w:t>
      </w:r>
      <w:r>
        <w:rPr>
          <w:spacing w:val="79"/>
          <w:sz w:val="20"/>
        </w:rPr>
        <w:t> </w:t>
      </w:r>
      <w:r>
        <w:rPr>
          <w:sz w:val="20"/>
        </w:rPr>
        <w:t>by</w:t>
      </w:r>
      <w:r>
        <w:rPr>
          <w:spacing w:val="79"/>
          <w:sz w:val="20"/>
        </w:rPr>
        <w:t> </w:t>
      </w:r>
      <w:r>
        <w:rPr>
          <w:sz w:val="20"/>
        </w:rPr>
        <w:t>specialists,</w:t>
      </w:r>
      <w:r>
        <w:rPr>
          <w:spacing w:val="79"/>
          <w:sz w:val="20"/>
        </w:rPr>
        <w:t> </w:t>
      </w:r>
      <w:r>
        <w:rPr>
          <w:sz w:val="20"/>
        </w:rPr>
        <w:t>and</w:t>
      </w:r>
      <w:r>
        <w:rPr>
          <w:spacing w:val="79"/>
          <w:sz w:val="20"/>
        </w:rPr>
        <w:t> </w:t>
      </w:r>
      <w:r>
        <w:rPr>
          <w:sz w:val="20"/>
        </w:rPr>
        <w:t>that</w:t>
      </w:r>
      <w:r>
        <w:rPr>
          <w:spacing w:val="79"/>
          <w:sz w:val="20"/>
        </w:rPr>
        <w:t> </w:t>
      </w:r>
      <w:r>
        <w:rPr>
          <w:spacing w:val="-5"/>
          <w:sz w:val="20"/>
        </w:rPr>
        <w:t>th</w:t>
      </w:r>
      <w:r>
        <w:rPr>
          <w:spacing w:val="-5"/>
          <w:sz w:val="20"/>
        </w:rPr>
        <w:t>e</w:t>
      </w:r>
    </w:p>
    <w:p>
      <w:pPr>
        <w:spacing w:after="0" w:line="235" w:lineRule="auto"/>
        <w:jc w:val="left"/>
        <w:rPr>
          <w:sz w:val="20"/>
        </w:rPr>
        <w:sectPr>
          <w:type w:val="continuous"/>
          <w:pgSz w:w="11900" w:h="16840"/>
          <w:pgMar w:header="971" w:footer="0" w:top="1300" w:bottom="280" w:left="1275" w:right="1275"/>
        </w:sectPr>
      </w:pPr>
    </w:p>
    <w:p>
      <w:pPr>
        <w:pStyle w:val="BodyText"/>
        <w:spacing w:before="106"/>
        <w:ind w:left="705"/>
      </w:pPr>
      <w:r>
        <w:rPr/>
        <w:t>workmanship should be the best of its </w:t>
      </w:r>
      <w:r>
        <w:rPr>
          <w:spacing w:val="-2"/>
        </w:rPr>
        <w:t>kind).</w:t>
      </w:r>
    </w:p>
    <w:p>
      <w:pPr>
        <w:pStyle w:val="BodyText"/>
        <w:spacing w:before="9"/>
      </w:pPr>
    </w:p>
    <w:p>
      <w:pPr>
        <w:spacing w:line="235" w:lineRule="auto" w:before="0"/>
        <w:ind w:left="705" w:right="167" w:hanging="541"/>
        <w:jc w:val="both"/>
        <w:rPr>
          <w:sz w:val="20"/>
        </w:rPr>
      </w:pPr>
      <w:bookmarkStart w:name="_bookmark830" w:id="832"/>
      <w:bookmarkEnd w:id="832"/>
      <w:r>
        <w:rPr/>
      </w:r>
      <w:hyperlink w:history="true" w:anchor="_bookmark814">
        <w:r>
          <w:rPr>
            <w:color w:val="005DA1"/>
            <w:position w:val="5"/>
            <w:sz w:val="14"/>
            <w:u w:val="single" w:color="005DA1"/>
          </w:rPr>
          <w:t>433</w:t>
        </w:r>
      </w:hyperlink>
      <w:r>
        <w:rPr>
          <w:position w:val="5"/>
          <w:sz w:val="14"/>
        </w:rPr>
        <w:t>.</w:t>
      </w:r>
      <w:r>
        <w:rPr>
          <w:spacing w:val="40"/>
          <w:position w:val="5"/>
          <w:sz w:val="14"/>
        </w:rPr>
        <w:t>  </w:t>
      </w:r>
      <w:r>
        <w:rPr>
          <w:sz w:val="20"/>
        </w:rPr>
        <w:t>Illustrations of category 2 cases are: </w:t>
      </w:r>
      <w:r>
        <w:rPr>
          <w:rFonts w:ascii="Arial" w:hAnsi="Arial"/>
          <w:i/>
          <w:sz w:val="20"/>
        </w:rPr>
        <w:t>A.S. James Pty Ltd v Duncan [1970] V.R. 705</w:t>
      </w:r>
      <w:r>
        <w:rPr>
          <w:sz w:val="20"/>
        </w:rPr>
        <w:t>; </w:t>
      </w:r>
      <w:r>
        <w:rPr>
          <w:rFonts w:ascii="Arial" w:hAnsi="Arial"/>
          <w:i/>
          <w:sz w:val="20"/>
        </w:rPr>
        <w:t>De Meza </w:t>
      </w:r>
      <w:r>
        <w:rPr>
          <w:rFonts w:ascii="Arial" w:hAnsi="Arial"/>
          <w:i/>
          <w:sz w:val="20"/>
        </w:rPr>
        <w:t>v Apple [1974] 1 Lloyd’s Rep. 508 </w:t>
      </w:r>
      <w:r>
        <w:rPr>
          <w:sz w:val="20"/>
        </w:rPr>
        <w:t>(solicitor’s claim for both negligence and breach of contract against auditors: the appeal did not deal with the point: </w:t>
      </w:r>
      <w:r>
        <w:rPr>
          <w:rFonts w:ascii="Arial" w:hAnsi="Arial"/>
          <w:i/>
          <w:sz w:val="20"/>
        </w:rPr>
        <w:t>[1975] 1 Lloyd’s Rep. 498, 509</w:t>
      </w:r>
      <w:r>
        <w:rPr>
          <w:sz w:val="20"/>
        </w:rPr>
        <w:t>; it is submitted that the decision at first instance is not consistent with </w:t>
      </w:r>
      <w:r>
        <w:rPr>
          <w:rFonts w:ascii="Arial" w:hAnsi="Arial"/>
          <w:i/>
          <w:sz w:val="20"/>
        </w:rPr>
        <w:t>Forsikringsaktieselskapet Vesta v Butcher [1989] A.C. 852</w:t>
      </w:r>
      <w:r>
        <w:rPr>
          <w:sz w:val="20"/>
        </w:rPr>
        <w:t>); </w:t>
      </w:r>
      <w:r>
        <w:rPr>
          <w:rFonts w:ascii="Arial" w:hAnsi="Arial"/>
          <w:i/>
          <w:sz w:val="20"/>
        </w:rPr>
        <w:t>Marintrans (AB) v Comet Shipping Ltd [1985] 1 W.L.R. 1270</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31" w:id="833"/>
      <w:bookmarkEnd w:id="833"/>
      <w:r>
        <w:rPr/>
      </w:r>
      <w:hyperlink w:history="true" w:anchor="_bookmark815">
        <w:r>
          <w:rPr>
            <w:color w:val="005DA1"/>
            <w:spacing w:val="-4"/>
            <w:position w:val="5"/>
            <w:sz w:val="14"/>
            <w:u w:val="single" w:color="005DA1"/>
          </w:rPr>
          <w:t>434</w:t>
        </w:r>
      </w:hyperlink>
      <w:r>
        <w:rPr>
          <w:spacing w:val="-4"/>
          <w:position w:val="5"/>
          <w:sz w:val="14"/>
        </w:rPr>
        <w:t>.</w:t>
      </w:r>
      <w:r>
        <w:rPr>
          <w:position w:val="5"/>
          <w:sz w:val="14"/>
        </w:rPr>
        <w:tab/>
      </w:r>
      <w:r>
        <w:rPr>
          <w:sz w:val="20"/>
        </w:rPr>
        <w:t>See</w:t>
      </w:r>
      <w:r>
        <w:rPr>
          <w:spacing w:val="22"/>
          <w:sz w:val="20"/>
        </w:rPr>
        <w:t> </w:t>
      </w:r>
      <w:r>
        <w:rPr>
          <w:rFonts w:ascii="Arial"/>
          <w:i/>
          <w:sz w:val="20"/>
        </w:rPr>
        <w:t>Oakapple</w:t>
      </w:r>
      <w:r>
        <w:rPr>
          <w:rFonts w:ascii="Arial"/>
          <w:i/>
          <w:spacing w:val="22"/>
          <w:sz w:val="20"/>
        </w:rPr>
        <w:t> </w:t>
      </w:r>
      <w:r>
        <w:rPr>
          <w:rFonts w:ascii="Arial"/>
          <w:i/>
          <w:sz w:val="20"/>
        </w:rPr>
        <w:t>Homes</w:t>
      </w:r>
      <w:r>
        <w:rPr>
          <w:rFonts w:ascii="Arial"/>
          <w:i/>
          <w:spacing w:val="22"/>
          <w:sz w:val="20"/>
        </w:rPr>
        <w:t> </w:t>
      </w:r>
      <w:r>
        <w:rPr>
          <w:rFonts w:ascii="Arial"/>
          <w:i/>
          <w:sz w:val="20"/>
        </w:rPr>
        <w:t>(Glossop)</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DTR</w:t>
      </w:r>
      <w:r>
        <w:rPr>
          <w:rFonts w:ascii="Arial"/>
          <w:i/>
          <w:spacing w:val="22"/>
          <w:sz w:val="20"/>
        </w:rPr>
        <w:t> </w:t>
      </w:r>
      <w:r>
        <w:rPr>
          <w:rFonts w:ascii="Arial"/>
          <w:i/>
          <w:sz w:val="20"/>
        </w:rPr>
        <w:t>(2009)</w:t>
      </w:r>
      <w:r>
        <w:rPr>
          <w:rFonts w:ascii="Arial"/>
          <w:i/>
          <w:spacing w:val="22"/>
          <w:sz w:val="20"/>
        </w:rPr>
        <w:t> </w:t>
      </w:r>
      <w:r>
        <w:rPr>
          <w:rFonts w:ascii="Arial"/>
          <w:i/>
          <w:sz w:val="20"/>
        </w:rPr>
        <w:t>Ltd</w:t>
      </w:r>
      <w:r>
        <w:rPr>
          <w:rFonts w:ascii="Arial"/>
          <w:i/>
          <w:spacing w:val="22"/>
          <w:sz w:val="20"/>
        </w:rPr>
        <w:t> </w:t>
      </w:r>
      <w:r>
        <w:rPr>
          <w:rFonts w:ascii="Arial"/>
          <w:i/>
          <w:sz w:val="20"/>
        </w:rPr>
        <w:t>[2013]</w:t>
      </w:r>
      <w:r>
        <w:rPr>
          <w:rFonts w:ascii="Arial"/>
          <w:i/>
          <w:spacing w:val="22"/>
          <w:sz w:val="20"/>
        </w:rPr>
        <w:t> </w:t>
      </w:r>
      <w:r>
        <w:rPr>
          <w:rFonts w:ascii="Arial"/>
          <w:i/>
          <w:sz w:val="20"/>
        </w:rPr>
        <w:t>EWHC</w:t>
      </w:r>
      <w:r>
        <w:rPr>
          <w:rFonts w:ascii="Arial"/>
          <w:i/>
          <w:spacing w:val="22"/>
          <w:sz w:val="20"/>
        </w:rPr>
        <w:t> </w:t>
      </w:r>
      <w:r>
        <w:rPr>
          <w:rFonts w:ascii="Arial"/>
          <w:i/>
          <w:sz w:val="20"/>
        </w:rPr>
        <w:t>2394</w:t>
      </w:r>
      <w:r>
        <w:rPr>
          <w:rFonts w:ascii="Arial"/>
          <w:i/>
          <w:spacing w:val="22"/>
          <w:sz w:val="20"/>
        </w:rPr>
        <w:t> </w:t>
      </w:r>
      <w:r>
        <w:rPr>
          <w:rFonts w:ascii="Arial"/>
          <w:i/>
          <w:sz w:val="20"/>
        </w:rPr>
        <w:t>(TCC)</w:t>
      </w:r>
      <w:r>
        <w:rPr>
          <w:sz w:val="20"/>
        </w:rPr>
        <w:t>,</w:t>
      </w:r>
      <w:r>
        <w:rPr>
          <w:spacing w:val="22"/>
          <w:sz w:val="20"/>
        </w:rPr>
        <w:t> </w:t>
      </w:r>
      <w:r>
        <w:rPr>
          <w:sz w:val="20"/>
        </w:rPr>
        <w:t>citing</w:t>
      </w:r>
      <w:r>
        <w:rPr>
          <w:spacing w:val="22"/>
          <w:sz w:val="20"/>
        </w:rPr>
        <w:t> </w:t>
      </w:r>
      <w:r>
        <w:rPr>
          <w:sz w:val="20"/>
        </w:rPr>
        <w:t>this paragraph (at [42]).</w:t>
      </w:r>
    </w:p>
    <w:p>
      <w:pPr>
        <w:pStyle w:val="BodyText"/>
        <w:spacing w:before="9"/>
      </w:pPr>
    </w:p>
    <w:p>
      <w:pPr>
        <w:tabs>
          <w:tab w:pos="705" w:val="left" w:leader="none"/>
        </w:tabs>
        <w:spacing w:line="235" w:lineRule="auto" w:before="1"/>
        <w:ind w:left="705" w:right="168" w:hanging="541"/>
        <w:jc w:val="left"/>
        <w:rPr>
          <w:sz w:val="20"/>
        </w:rPr>
      </w:pPr>
      <w:bookmarkStart w:name="_bookmark832" w:id="834"/>
      <w:bookmarkEnd w:id="834"/>
      <w:r>
        <w:rPr/>
      </w:r>
      <w:hyperlink w:history="true" w:anchor="_bookmark816">
        <w:r>
          <w:rPr>
            <w:color w:val="005DA1"/>
            <w:spacing w:val="-4"/>
            <w:position w:val="5"/>
            <w:sz w:val="14"/>
            <w:u w:val="single" w:color="005DA1"/>
          </w:rPr>
          <w:t>435</w:t>
        </w:r>
      </w:hyperlink>
      <w:r>
        <w:rPr>
          <w:spacing w:val="-4"/>
          <w:position w:val="5"/>
          <w:sz w:val="14"/>
        </w:rPr>
        <w:t>.</w:t>
      </w:r>
      <w:r>
        <w:rPr>
          <w:position w:val="5"/>
          <w:sz w:val="14"/>
        </w:rPr>
        <w:tab/>
      </w:r>
      <w:r>
        <w:rPr>
          <w:sz w:val="20"/>
        </w:rPr>
        <w:t>Below, paras 26-079 et seq. For an illustration, see </w:t>
      </w:r>
      <w:r>
        <w:rPr>
          <w:rFonts w:ascii="Arial"/>
          <w:i/>
          <w:sz w:val="20"/>
        </w:rPr>
        <w:t>Lambert v Lewis [1982] A.C. 225 </w:t>
      </w:r>
      <w:r>
        <w:rPr>
          <w:sz w:val="20"/>
        </w:rPr>
        <w:t>(below,</w:t>
      </w:r>
      <w:r>
        <w:rPr>
          <w:spacing w:val="80"/>
          <w:sz w:val="20"/>
        </w:rPr>
        <w:t> </w:t>
      </w:r>
      <w:r>
        <w:rPr>
          <w:spacing w:val="-2"/>
          <w:sz w:val="20"/>
        </w:rPr>
        <w:t>para.26-087).</w:t>
      </w:r>
    </w:p>
    <w:p>
      <w:pPr>
        <w:pStyle w:val="BodyText"/>
        <w:spacing w:before="5"/>
      </w:pPr>
    </w:p>
    <w:p>
      <w:pPr>
        <w:tabs>
          <w:tab w:pos="705" w:val="left" w:leader="none"/>
        </w:tabs>
        <w:spacing w:before="0"/>
        <w:ind w:left="165" w:right="0" w:firstLine="0"/>
        <w:jc w:val="left"/>
        <w:rPr>
          <w:sz w:val="20"/>
        </w:rPr>
      </w:pPr>
      <w:bookmarkStart w:name="_bookmark833" w:id="835"/>
      <w:bookmarkEnd w:id="835"/>
      <w:r>
        <w:rPr/>
      </w:r>
      <w:hyperlink w:history="true" w:anchor="_bookmark817">
        <w:r>
          <w:rPr>
            <w:color w:val="005DA1"/>
            <w:spacing w:val="-4"/>
            <w:position w:val="5"/>
            <w:sz w:val="14"/>
            <w:u w:val="single" w:color="005DA1"/>
          </w:rPr>
          <w:t>436</w:t>
        </w:r>
      </w:hyperlink>
      <w:r>
        <w:rPr>
          <w:spacing w:val="-4"/>
          <w:position w:val="5"/>
          <w:sz w:val="14"/>
        </w:rPr>
        <w:t>.</w:t>
      </w:r>
      <w:r>
        <w:rPr>
          <w:position w:val="5"/>
          <w:sz w:val="14"/>
        </w:rPr>
        <w:tab/>
      </w:r>
      <w:r>
        <w:rPr>
          <w:sz w:val="20"/>
        </w:rPr>
        <w:t>Above, para.26-</w:t>
      </w:r>
      <w:r>
        <w:rPr>
          <w:spacing w:val="-4"/>
          <w:sz w:val="20"/>
        </w:rPr>
        <w:t>063.</w:t>
      </w:r>
    </w:p>
    <w:p>
      <w:pPr>
        <w:pStyle w:val="BodyText"/>
        <w:spacing w:before="9"/>
      </w:pPr>
    </w:p>
    <w:p>
      <w:pPr>
        <w:spacing w:line="235" w:lineRule="auto" w:before="0"/>
        <w:ind w:left="705" w:right="167" w:hanging="541"/>
        <w:jc w:val="both"/>
        <w:rPr>
          <w:sz w:val="20"/>
        </w:rPr>
      </w:pPr>
      <w:bookmarkStart w:name="_bookmark834" w:id="836"/>
      <w:bookmarkEnd w:id="836"/>
      <w:r>
        <w:rPr/>
      </w:r>
      <w:hyperlink w:history="true" w:anchor="_bookmark818">
        <w:r>
          <w:rPr>
            <w:color w:val="005DA1"/>
            <w:position w:val="5"/>
            <w:sz w:val="14"/>
            <w:u w:val="single" w:color="005DA1"/>
          </w:rPr>
          <w:t>437</w:t>
        </w:r>
      </w:hyperlink>
      <w:r>
        <w:rPr>
          <w:position w:val="5"/>
          <w:sz w:val="14"/>
        </w:rPr>
        <w:t>.</w:t>
      </w:r>
      <w:r>
        <w:rPr>
          <w:spacing w:val="80"/>
          <w:w w:val="150"/>
          <w:position w:val="5"/>
          <w:sz w:val="14"/>
        </w:rPr>
        <w:t> </w:t>
      </w:r>
      <w:r>
        <w:rPr>
          <w:rFonts w:ascii="Arial" w:hAnsi="Arial"/>
          <w:i/>
          <w:sz w:val="20"/>
        </w:rPr>
        <w:t>Tennant Radiant Heat Ltd v Warrington Development Corp [1988] 1 E.G.L.R. 41 </w:t>
      </w:r>
      <w:r>
        <w:rPr>
          <w:sz w:val="20"/>
        </w:rPr>
        <w:t>(but </w:t>
      </w:r>
      <w:r>
        <w:rPr>
          <w:sz w:val="20"/>
        </w:rPr>
        <w:t>the</w:t>
      </w:r>
      <w:r>
        <w:rPr>
          <w:spacing w:val="40"/>
          <w:sz w:val="20"/>
        </w:rPr>
        <w:t> </w:t>
      </w:r>
      <w:r>
        <w:rPr>
          <w:sz w:val="20"/>
        </w:rPr>
        <w:t>principle applied in this case was doubted by the Court of Appeal in </w:t>
      </w:r>
      <w:r>
        <w:rPr>
          <w:rFonts w:ascii="Arial" w:hAnsi="Arial"/>
          <w:i/>
          <w:sz w:val="20"/>
        </w:rPr>
        <w:t>Bank of Nova Scotia v Hellenic Mutual War Risks Association (Bermuda) Ltd [1990] 1 Q.B. 818, 904</w:t>
      </w:r>
      <w:r>
        <w:rPr>
          <w:sz w:val="20"/>
        </w:rPr>
        <w:t>: the House of Lords did not deal with this point: </w:t>
      </w:r>
      <w:r>
        <w:rPr>
          <w:rFonts w:ascii="Arial" w:hAnsi="Arial"/>
          <w:i/>
          <w:sz w:val="20"/>
        </w:rPr>
        <w:t>[1992] 1 A.C. 233, 266</w:t>
      </w:r>
      <w:r>
        <w:rPr>
          <w:sz w:val="20"/>
        </w:rPr>
        <w:t>). See also Bennett (1984–85) 4 Litigation</w:t>
      </w:r>
      <w:r>
        <w:rPr>
          <w:spacing w:val="12"/>
          <w:sz w:val="20"/>
        </w:rPr>
        <w:t> </w:t>
      </w:r>
      <w:r>
        <w:rPr>
          <w:sz w:val="20"/>
        </w:rPr>
        <w:t>195,</w:t>
      </w:r>
      <w:r>
        <w:rPr>
          <w:spacing w:val="14"/>
          <w:sz w:val="20"/>
        </w:rPr>
        <w:t> </w:t>
      </w:r>
      <w:r>
        <w:rPr>
          <w:sz w:val="20"/>
        </w:rPr>
        <w:t>197;</w:t>
      </w:r>
      <w:r>
        <w:rPr>
          <w:spacing w:val="14"/>
          <w:sz w:val="20"/>
        </w:rPr>
        <w:t> </w:t>
      </w:r>
      <w:r>
        <w:rPr>
          <w:sz w:val="20"/>
        </w:rPr>
        <w:t>the</w:t>
      </w:r>
      <w:r>
        <w:rPr>
          <w:spacing w:val="14"/>
          <w:sz w:val="20"/>
        </w:rPr>
        <w:t> </w:t>
      </w:r>
      <w:r>
        <w:rPr>
          <w:sz w:val="20"/>
        </w:rPr>
        <w:t>Law</w:t>
      </w:r>
      <w:r>
        <w:rPr>
          <w:spacing w:val="14"/>
          <w:sz w:val="20"/>
        </w:rPr>
        <w:t> </w:t>
      </w:r>
      <w:r>
        <w:rPr>
          <w:sz w:val="20"/>
        </w:rPr>
        <w:t>Commission’s</w:t>
      </w:r>
      <w:r>
        <w:rPr>
          <w:spacing w:val="14"/>
          <w:sz w:val="20"/>
        </w:rPr>
        <w:t> </w:t>
      </w:r>
      <w:r>
        <w:rPr>
          <w:sz w:val="20"/>
        </w:rPr>
        <w:t>Report</w:t>
      </w:r>
      <w:r>
        <w:rPr>
          <w:spacing w:val="14"/>
          <w:sz w:val="20"/>
        </w:rPr>
        <w:t> </w:t>
      </w:r>
      <w:r>
        <w:rPr>
          <w:sz w:val="20"/>
        </w:rPr>
        <w:t>No.219</w:t>
      </w:r>
      <w:r>
        <w:rPr>
          <w:spacing w:val="14"/>
          <w:sz w:val="20"/>
        </w:rPr>
        <w:t> </w:t>
      </w:r>
      <w:r>
        <w:rPr>
          <w:sz w:val="20"/>
        </w:rPr>
        <w:t>(above,</w:t>
      </w:r>
      <w:r>
        <w:rPr>
          <w:spacing w:val="14"/>
          <w:sz w:val="20"/>
        </w:rPr>
        <w:t> </w:t>
      </w:r>
      <w:r>
        <w:rPr>
          <w:sz w:val="20"/>
        </w:rPr>
        <w:t>para.26-077</w:t>
      </w:r>
      <w:r>
        <w:rPr>
          <w:spacing w:val="14"/>
          <w:sz w:val="20"/>
        </w:rPr>
        <w:t> </w:t>
      </w:r>
      <w:r>
        <w:rPr>
          <w:sz w:val="20"/>
        </w:rPr>
        <w:t>n.388),</w:t>
      </w:r>
      <w:r>
        <w:rPr>
          <w:spacing w:val="14"/>
          <w:sz w:val="20"/>
        </w:rPr>
        <w:t> </w:t>
      </w:r>
      <w:r>
        <w:rPr>
          <w:sz w:val="20"/>
        </w:rPr>
        <w:t>3.13</w:t>
      </w:r>
      <w:r>
        <w:rPr>
          <w:spacing w:val="14"/>
          <w:sz w:val="20"/>
        </w:rPr>
        <w:t> </w:t>
      </w:r>
      <w:r>
        <w:rPr>
          <w:spacing w:val="-5"/>
          <w:sz w:val="20"/>
        </w:rPr>
        <w:t>to</w:t>
      </w:r>
    </w:p>
    <w:p>
      <w:pPr>
        <w:spacing w:line="222" w:lineRule="exact" w:before="0"/>
        <w:ind w:left="705" w:right="0" w:firstLine="0"/>
        <w:jc w:val="left"/>
        <w:rPr>
          <w:sz w:val="20"/>
        </w:rPr>
      </w:pPr>
      <w:r>
        <w:rPr>
          <w:sz w:val="20"/>
        </w:rPr>
        <w:t>3.15;</w:t>
      </w:r>
      <w:r>
        <w:rPr>
          <w:spacing w:val="12"/>
          <w:sz w:val="20"/>
        </w:rPr>
        <w:t> </w:t>
      </w:r>
      <w:r>
        <w:rPr>
          <w:sz w:val="20"/>
        </w:rPr>
        <w:t>and</w:t>
      </w:r>
      <w:r>
        <w:rPr>
          <w:spacing w:val="13"/>
          <w:sz w:val="20"/>
        </w:rPr>
        <w:t> </w:t>
      </w:r>
      <w:r>
        <w:rPr>
          <w:rFonts w:ascii="Arial"/>
          <w:i/>
          <w:sz w:val="20"/>
        </w:rPr>
        <w:t>Schering</w:t>
      </w:r>
      <w:r>
        <w:rPr>
          <w:rFonts w:ascii="Arial"/>
          <w:i/>
          <w:spacing w:val="13"/>
          <w:sz w:val="20"/>
        </w:rPr>
        <w:t> </w:t>
      </w:r>
      <w:r>
        <w:rPr>
          <w:rFonts w:ascii="Arial"/>
          <w:i/>
          <w:sz w:val="20"/>
        </w:rPr>
        <w:t>Agrochemicals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Resibel</w:t>
      </w:r>
      <w:r>
        <w:rPr>
          <w:rFonts w:ascii="Arial"/>
          <w:i/>
          <w:spacing w:val="13"/>
          <w:sz w:val="20"/>
        </w:rPr>
        <w:t> </w:t>
      </w:r>
      <w:r>
        <w:rPr>
          <w:rFonts w:ascii="Arial"/>
          <w:i/>
          <w:sz w:val="20"/>
        </w:rPr>
        <w:t>NVSA</w:t>
      </w:r>
      <w:r>
        <w:rPr>
          <w:rFonts w:ascii="Arial"/>
          <w:i/>
          <w:spacing w:val="13"/>
          <w:sz w:val="20"/>
        </w:rPr>
        <w:t> </w:t>
      </w:r>
      <w:r>
        <w:rPr>
          <w:rFonts w:ascii="Arial"/>
          <w:i/>
          <w:sz w:val="20"/>
        </w:rPr>
        <w:t>unreported,</w:t>
      </w:r>
      <w:r>
        <w:rPr>
          <w:rFonts w:ascii="Arial"/>
          <w:i/>
          <w:spacing w:val="13"/>
          <w:sz w:val="20"/>
        </w:rPr>
        <w:t> </w:t>
      </w:r>
      <w:r>
        <w:rPr>
          <w:rFonts w:ascii="Arial"/>
          <w:i/>
          <w:sz w:val="20"/>
        </w:rPr>
        <w:t>1992</w:t>
      </w:r>
      <w:r>
        <w:rPr>
          <w:sz w:val="20"/>
        </w:rPr>
        <w:t>;</w:t>
      </w:r>
      <w:r>
        <w:rPr>
          <w:spacing w:val="13"/>
          <w:sz w:val="20"/>
        </w:rPr>
        <w:t> </w:t>
      </w:r>
      <w:r>
        <w:rPr>
          <w:sz w:val="20"/>
        </w:rPr>
        <w:t>noted</w:t>
      </w:r>
      <w:r>
        <w:rPr>
          <w:spacing w:val="13"/>
          <w:sz w:val="20"/>
        </w:rPr>
        <w:t> </w:t>
      </w:r>
      <w:r>
        <w:rPr>
          <w:sz w:val="20"/>
        </w:rPr>
        <w:t>at</w:t>
      </w:r>
      <w:r>
        <w:rPr>
          <w:spacing w:val="13"/>
          <w:sz w:val="20"/>
        </w:rPr>
        <w:t> </w:t>
      </w:r>
      <w:r>
        <w:rPr>
          <w:sz w:val="20"/>
        </w:rPr>
        <w:t>(1993)</w:t>
      </w:r>
      <w:r>
        <w:rPr>
          <w:spacing w:val="13"/>
          <w:sz w:val="20"/>
        </w:rPr>
        <w:t> </w:t>
      </w:r>
      <w:r>
        <w:rPr>
          <w:spacing w:val="-5"/>
          <w:sz w:val="20"/>
        </w:rPr>
        <w:t>109</w:t>
      </w:r>
    </w:p>
    <w:p>
      <w:pPr>
        <w:pStyle w:val="BodyText"/>
        <w:spacing w:line="227" w:lineRule="exact"/>
        <w:ind w:left="705"/>
      </w:pPr>
      <w:r>
        <w:rPr/>
        <w:t>L.Q.R. </w:t>
      </w:r>
      <w:r>
        <w:rPr>
          <w:spacing w:val="-4"/>
        </w:rPr>
        <w:t>175.</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6"/>
        </w:numPr>
        <w:tabs>
          <w:tab w:pos="3211" w:val="left" w:leader="none"/>
        </w:tabs>
        <w:spacing w:line="240" w:lineRule="auto" w:before="194" w:after="0"/>
        <w:ind w:left="3211" w:right="0" w:hanging="360"/>
        <w:jc w:val="left"/>
        <w:rPr>
          <w:b/>
          <w:sz w:val="24"/>
        </w:rPr>
      </w:pPr>
      <w:r>
        <w:rPr>
          <w:b/>
          <w:sz w:val="24"/>
        </w:rPr>
        <w:t>- The Principles of </w:t>
      </w:r>
      <w:r>
        <w:rPr>
          <w:b/>
          <w:spacing w:val="-2"/>
          <w:sz w:val="24"/>
        </w:rPr>
        <w:t>Mitigation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Mitigation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079</w:t>
      </w:r>
    </w:p>
    <w:p>
      <w:pPr>
        <w:pStyle w:val="BodyText"/>
        <w:spacing w:line="235" w:lineRule="auto" w:before="202"/>
        <w:ind w:left="165" w:right="167"/>
        <w:jc w:val="both"/>
      </w:pPr>
      <w:r>
        <w:rPr/>
        <w:t>There are three rules often referred to under the comprehensive heading of “mitigation”: they will be considered in turn. First, the claimant cannot recover damages for any part of his loss </w:t>
      </w:r>
      <w:r>
        <w:rPr/>
        <w:t>consequent upon the defendant’s breach of contract that the claimant could have avoided by taking reasonable steps. Secondly, if the claimant in fact avoids or mitigates his loss consequent upon the defendant’s breach, he cannot recover for such avoided loss, even though the steps he took were more than</w:t>
      </w:r>
      <w:r>
        <w:rPr>
          <w:spacing w:val="40"/>
        </w:rPr>
        <w:t> </w:t>
      </w:r>
      <w:r>
        <w:rPr/>
        <w:t>could be reasonably required of him under the first rule. Thirdly, where the claimant incurs loss or </w:t>
      </w:r>
      <w:bookmarkStart w:name="_bookmark835" w:id="837"/>
      <w:bookmarkEnd w:id="837"/>
      <w:r>
        <w:rPr/>
        <w:t>expense</w:t>
      </w:r>
      <w:r>
        <w:rPr/>
        <w:t> in the course of taking reasonable steps to mitigate the loss resulting from the defendant’s breach, the claimant may recover this further loss or expense from the defendant. </w:t>
      </w:r>
      <w:r>
        <w:rPr>
          <w:color w:val="005DA1"/>
          <w:u w:val="single" w:color="005DA1"/>
          <w:vertAlign w:val="superscript"/>
        </w:rPr>
        <w:t>438</w:t>
      </w:r>
    </w:p>
    <w:p>
      <w:pPr>
        <w:pStyle w:val="BodyText"/>
      </w:pPr>
    </w:p>
    <w:p>
      <w:pPr>
        <w:pStyle w:val="BodyText"/>
        <w:spacing w:before="36"/>
      </w:pPr>
    </w:p>
    <w:p>
      <w:pPr>
        <w:spacing w:before="0"/>
        <w:ind w:left="165" w:right="0" w:firstLine="0"/>
        <w:jc w:val="left"/>
        <w:rPr>
          <w:rFonts w:ascii="Arial"/>
          <w:b/>
          <w:sz w:val="18"/>
        </w:rPr>
      </w:pPr>
      <w:r>
        <w:rPr>
          <w:rFonts w:ascii="Arial"/>
          <w:b/>
          <w:sz w:val="18"/>
        </w:rPr>
        <w:t>Purpose of mitigation </w:t>
      </w:r>
      <w:r>
        <w:rPr>
          <w:rFonts w:ascii="Arial"/>
          <w:b/>
          <w:spacing w:val="-4"/>
          <w:sz w:val="18"/>
        </w:rPr>
        <w:t>rule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080</w:t>
      </w:r>
    </w:p>
    <w:p>
      <w:pPr>
        <w:pStyle w:val="BodyText"/>
        <w:spacing w:line="235" w:lineRule="auto" w:before="203"/>
        <w:ind w:left="165" w:right="167"/>
        <w:jc w:val="both"/>
      </w:pPr>
      <w:r>
        <w:rPr/>
        <w:t>The purpose of the rules on mitigation is to prevent the waste of resources in society, since they </w:t>
      </w:r>
      <w:r>
        <w:rPr/>
        <w:t>are obviously limited. Wherever the innocent party, following the defendant’s breach, is able to find substitute performance from a third party, the mitigation rules give him a strong incentive to accept</w:t>
      </w:r>
      <w:r>
        <w:rPr>
          <w:spacing w:val="80"/>
        </w:rPr>
        <w:t> </w:t>
      </w:r>
      <w:r>
        <w:rPr/>
        <w:t>the substitute. The rules inevitably give some incentive to the defendant deliberately to break his contractual</w:t>
      </w:r>
      <w:r>
        <w:rPr>
          <w:spacing w:val="-2"/>
        </w:rPr>
        <w:t> </w:t>
      </w:r>
      <w:r>
        <w:rPr/>
        <w:t>undertaking</w:t>
      </w:r>
      <w:r>
        <w:rPr>
          <w:spacing w:val="-2"/>
        </w:rPr>
        <w:t> </w:t>
      </w:r>
      <w:r>
        <w:rPr/>
        <w:t>whenever</w:t>
      </w:r>
      <w:r>
        <w:rPr>
          <w:spacing w:val="-2"/>
        </w:rPr>
        <w:t> </w:t>
      </w:r>
      <w:r>
        <w:rPr/>
        <w:t>he</w:t>
      </w:r>
      <w:r>
        <w:rPr>
          <w:spacing w:val="-2"/>
        </w:rPr>
        <w:t> </w:t>
      </w:r>
      <w:r>
        <w:rPr/>
        <w:t>finds</w:t>
      </w:r>
      <w:r>
        <w:rPr>
          <w:spacing w:val="-2"/>
        </w:rPr>
        <w:t> </w:t>
      </w:r>
      <w:r>
        <w:rPr/>
        <w:t>a</w:t>
      </w:r>
      <w:r>
        <w:rPr>
          <w:spacing w:val="-2"/>
        </w:rPr>
        <w:t> </w:t>
      </w:r>
      <w:r>
        <w:rPr/>
        <w:t>better</w:t>
      </w:r>
      <w:r>
        <w:rPr>
          <w:spacing w:val="-2"/>
        </w:rPr>
        <w:t> </w:t>
      </w:r>
      <w:r>
        <w:rPr/>
        <w:t>opportunity</w:t>
      </w:r>
      <w:r>
        <w:rPr>
          <w:spacing w:val="-2"/>
        </w:rPr>
        <w:t> </w:t>
      </w:r>
      <w:r>
        <w:rPr/>
        <w:t>for</w:t>
      </w:r>
      <w:r>
        <w:rPr>
          <w:spacing w:val="-2"/>
        </w:rPr>
        <w:t> </w:t>
      </w:r>
      <w:r>
        <w:rPr/>
        <w:t>the</w:t>
      </w:r>
      <w:r>
        <w:rPr>
          <w:spacing w:val="-2"/>
        </w:rPr>
        <w:t> </w:t>
      </w:r>
      <w:r>
        <w:rPr/>
        <w:t>resources</w:t>
      </w:r>
      <w:r>
        <w:rPr>
          <w:spacing w:val="-2"/>
        </w:rPr>
        <w:t> </w:t>
      </w:r>
      <w:r>
        <w:rPr/>
        <w:t>he</w:t>
      </w:r>
      <w:r>
        <w:rPr>
          <w:spacing w:val="-2"/>
        </w:rPr>
        <w:t> </w:t>
      </w:r>
      <w:r>
        <w:rPr/>
        <w:t>intended</w:t>
      </w:r>
      <w:r>
        <w:rPr>
          <w:spacing w:val="-2"/>
        </w:rPr>
        <w:t> </w:t>
      </w:r>
      <w:r>
        <w:rPr/>
        <w:t>to</w:t>
      </w:r>
      <w:r>
        <w:rPr>
          <w:spacing w:val="-2"/>
        </w:rPr>
        <w:t> </w:t>
      </w:r>
      <w:r>
        <w:rPr/>
        <w:t>use</w:t>
      </w:r>
      <w:r>
        <w:rPr>
          <w:spacing w:val="-2"/>
        </w:rPr>
        <w:t> </w:t>
      </w:r>
      <w:r>
        <w:rPr/>
        <w:t>in performing the contract: if he makes a higher profit on a new contract, he may be better off even after </w:t>
      </w:r>
      <w:bookmarkStart w:name="_bookmark836" w:id="838"/>
      <w:bookmarkEnd w:id="838"/>
      <w:r>
        <w:rPr/>
        <w:t>paying</w:t>
      </w:r>
      <w:r>
        <w:rPr/>
        <w:t> damages to compensate the original promisee (because these damages may be relatively low whenever substitute performance is readily available). </w:t>
      </w:r>
      <w:r>
        <w:rPr>
          <w:color w:val="005DA1"/>
          <w:u w:val="single" w:color="005DA1"/>
          <w:vertAlign w:val="superscript"/>
        </w:rPr>
        <w:t>439</w:t>
      </w:r>
    </w:p>
    <w:p>
      <w:pPr>
        <w:pStyle w:val="BodyText"/>
      </w:pPr>
    </w:p>
    <w:p>
      <w:pPr>
        <w:pStyle w:val="BodyText"/>
        <w:spacing w:before="35"/>
      </w:pPr>
    </w:p>
    <w:p>
      <w:pPr>
        <w:spacing w:before="0"/>
        <w:ind w:left="165" w:right="0" w:firstLine="0"/>
        <w:jc w:val="left"/>
        <w:rPr>
          <w:rFonts w:ascii="Arial"/>
          <w:b/>
          <w:sz w:val="18"/>
        </w:rPr>
      </w:pPr>
      <w:r>
        <w:rPr>
          <w:rFonts w:ascii="Arial"/>
          <w:b/>
          <w:sz w:val="18"/>
        </w:rPr>
        <w:t>Avoidable </w:t>
      </w:r>
      <w:r>
        <w:rPr>
          <w:rFonts w:ascii="Arial"/>
          <w:b/>
          <w:spacing w:val="-4"/>
          <w:sz w:val="18"/>
        </w:rPr>
        <w:t>loss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081</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first rule:</w:t>
      </w:r>
    </w:p>
    <w:p>
      <w:pPr>
        <w:pStyle w:val="BodyText"/>
      </w:pPr>
    </w:p>
    <w:p>
      <w:pPr>
        <w:pStyle w:val="BodyText"/>
        <w:spacing w:before="125"/>
      </w:pPr>
    </w:p>
    <w:p>
      <w:pPr>
        <w:pStyle w:val="BodyText"/>
        <w:spacing w:line="235" w:lineRule="auto"/>
        <w:ind w:left="1245" w:right="167"/>
        <w:jc w:val="both"/>
      </w:pPr>
      <w:r>
        <w:rPr/>
        <w:t>“… imposes on a plaintiff the duty of taking all reasonable steps to mitigate the </w:t>
      </w:r>
      <w:r>
        <w:rPr/>
        <w:t>loss </w:t>
      </w:r>
      <w:bookmarkStart w:name="_bookmark837" w:id="839"/>
      <w:bookmarkEnd w:id="839"/>
      <w:r>
        <w:rPr/>
        <w:t>consequent</w:t>
      </w:r>
      <w:r>
        <w:rPr>
          <w:spacing w:val="-2"/>
        </w:rPr>
        <w:t> </w:t>
      </w:r>
      <w:r>
        <w:rPr/>
        <w:t>on</w:t>
      </w:r>
      <w:r>
        <w:rPr>
          <w:spacing w:val="-2"/>
        </w:rPr>
        <w:t> </w:t>
      </w:r>
      <w:r>
        <w:rPr/>
        <w:t>the</w:t>
      </w:r>
      <w:r>
        <w:rPr>
          <w:spacing w:val="-2"/>
        </w:rPr>
        <w:t> </w:t>
      </w:r>
      <w:r>
        <w:rPr/>
        <w:t>breach,</w:t>
      </w:r>
      <w:r>
        <w:rPr>
          <w:spacing w:val="-2"/>
        </w:rPr>
        <w:t> </w:t>
      </w:r>
      <w:r>
        <w:rPr/>
        <w:t>and</w:t>
      </w:r>
      <w:r>
        <w:rPr>
          <w:spacing w:val="-2"/>
        </w:rPr>
        <w:t> </w:t>
      </w:r>
      <w:r>
        <w:rPr/>
        <w:t>debars</w:t>
      </w:r>
      <w:r>
        <w:rPr>
          <w:spacing w:val="-2"/>
        </w:rPr>
        <w:t> </w:t>
      </w:r>
      <w:r>
        <w:rPr/>
        <w:t>him</w:t>
      </w:r>
      <w:r>
        <w:rPr>
          <w:spacing w:val="-2"/>
        </w:rPr>
        <w:t> </w:t>
      </w:r>
      <w:r>
        <w:rPr/>
        <w:t>from</w:t>
      </w:r>
      <w:r>
        <w:rPr>
          <w:spacing w:val="-2"/>
        </w:rPr>
        <w:t> </w:t>
      </w:r>
      <w:r>
        <w:rPr/>
        <w:t>claiming</w:t>
      </w:r>
      <w:r>
        <w:rPr>
          <w:spacing w:val="-2"/>
        </w:rPr>
        <w:t> </w:t>
      </w:r>
      <w:r>
        <w:rPr/>
        <w:t>any</w:t>
      </w:r>
      <w:r>
        <w:rPr>
          <w:spacing w:val="-2"/>
        </w:rPr>
        <w:t> </w:t>
      </w:r>
      <w:r>
        <w:rPr/>
        <w:t>part</w:t>
      </w:r>
      <w:r>
        <w:rPr>
          <w:spacing w:val="-2"/>
        </w:rPr>
        <w:t> </w:t>
      </w:r>
      <w:r>
        <w:rPr/>
        <w:t>of</w:t>
      </w:r>
      <w:r>
        <w:rPr>
          <w:spacing w:val="-2"/>
        </w:rPr>
        <w:t> </w:t>
      </w:r>
      <w:r>
        <w:rPr/>
        <w:t>the</w:t>
      </w:r>
      <w:r>
        <w:rPr>
          <w:spacing w:val="-2"/>
        </w:rPr>
        <w:t> </w:t>
      </w:r>
      <w:r>
        <w:rPr/>
        <w:t>damage</w:t>
      </w:r>
      <w:r>
        <w:rPr>
          <w:spacing w:val="-2"/>
        </w:rPr>
        <w:t> </w:t>
      </w:r>
      <w:r>
        <w:rPr/>
        <w:t>which</w:t>
      </w:r>
      <w:r>
        <w:rPr>
          <w:spacing w:val="-2"/>
        </w:rPr>
        <w:t> </w:t>
      </w:r>
      <w:r>
        <w:rPr/>
        <w:t>is due to his neglect to take such steps.” </w:t>
      </w:r>
      <w:r>
        <w:rPr>
          <w:color w:val="005DA1"/>
          <w:u w:val="single" w:color="005DA1"/>
          <w:vertAlign w:val="superscript"/>
        </w:rPr>
        <w:t>440</w:t>
      </w:r>
    </w:p>
    <w:p>
      <w:pPr>
        <w:pStyle w:val="BodyText"/>
        <w:spacing w:before="112"/>
      </w:pPr>
    </w:p>
    <w:p>
      <w:pPr>
        <w:pStyle w:val="BodyText"/>
        <w:spacing w:line="360" w:lineRule="auto"/>
        <w:ind w:left="164"/>
      </w:pPr>
      <w:bookmarkStart w:name="_bookmark838" w:id="840"/>
      <w:bookmarkEnd w:id="840"/>
      <w:r>
        <w:rPr/>
      </w:r>
      <w:r>
        <w:rPr/>
        <w:t>It is not strictly a “duty” to mitigate, but rather a restriction on the damages recoverable, which will be calculated</w:t>
      </w:r>
      <w:r>
        <w:rPr>
          <w:spacing w:val="1"/>
        </w:rPr>
        <w:t> </w:t>
      </w:r>
      <w:r>
        <w:rPr>
          <w:rFonts w:ascii="Arial" w:hAnsi="Arial"/>
          <w:i/>
        </w:rPr>
        <w:t>as</w:t>
      </w:r>
      <w:r>
        <w:rPr>
          <w:rFonts w:ascii="Arial" w:hAnsi="Arial"/>
          <w:i/>
          <w:spacing w:val="1"/>
        </w:rPr>
        <w:t> </w:t>
      </w:r>
      <w:r>
        <w:rPr>
          <w:rFonts w:ascii="Arial" w:hAnsi="Arial"/>
          <w:i/>
        </w:rPr>
        <w:t>if</w:t>
      </w:r>
      <w:r>
        <w:rPr>
          <w:rFonts w:ascii="Arial" w:hAnsi="Arial"/>
          <w:i/>
          <w:spacing w:val="1"/>
        </w:rPr>
        <w:t> </w:t>
      </w:r>
      <w:r>
        <w:rPr/>
        <w:t>the</w:t>
      </w:r>
      <w:r>
        <w:rPr>
          <w:spacing w:val="1"/>
        </w:rPr>
        <w:t> </w:t>
      </w:r>
      <w:r>
        <w:rPr/>
        <w:t>claimant</w:t>
      </w:r>
      <w:r>
        <w:rPr>
          <w:spacing w:val="1"/>
        </w:rPr>
        <w:t> </w:t>
      </w:r>
      <w:r>
        <w:rPr/>
        <w:t>had</w:t>
      </w:r>
      <w:r>
        <w:rPr>
          <w:spacing w:val="2"/>
        </w:rPr>
        <w:t> </w:t>
      </w:r>
      <w:r>
        <w:rPr/>
        <w:t>acted</w:t>
      </w:r>
      <w:r>
        <w:rPr>
          <w:spacing w:val="1"/>
        </w:rPr>
        <w:t> </w:t>
      </w:r>
      <w:r>
        <w:rPr/>
        <w:t>reasonably</w:t>
      </w:r>
      <w:r>
        <w:rPr>
          <w:spacing w:val="1"/>
        </w:rPr>
        <w:t> </w:t>
      </w:r>
      <w:r>
        <w:rPr/>
        <w:t>to</w:t>
      </w:r>
      <w:r>
        <w:rPr>
          <w:spacing w:val="1"/>
        </w:rPr>
        <w:t> </w:t>
      </w:r>
      <w:r>
        <w:rPr/>
        <w:t>minimise</w:t>
      </w:r>
      <w:r>
        <w:rPr>
          <w:spacing w:val="1"/>
        </w:rPr>
        <w:t> </w:t>
      </w:r>
      <w:r>
        <w:rPr/>
        <w:t>his</w:t>
      </w:r>
      <w:r>
        <w:rPr>
          <w:spacing w:val="1"/>
        </w:rPr>
        <w:t> </w:t>
      </w:r>
      <w:r>
        <w:rPr/>
        <w:t>loss.</w:t>
      </w:r>
      <w:r>
        <w:rPr>
          <w:spacing w:val="1"/>
        </w:rPr>
        <w:t> </w:t>
      </w:r>
      <w:r>
        <w:rPr>
          <w:color w:val="005DA1"/>
          <w:u w:val="single" w:color="005DA1"/>
          <w:vertAlign w:val="superscript"/>
        </w:rPr>
        <w:t>441</w:t>
      </w:r>
      <w:r>
        <w:rPr>
          <w:color w:val="005DA1"/>
          <w:spacing w:val="29"/>
          <w:vertAlign w:val="baseline"/>
        </w:rPr>
        <w:t>  </w:t>
      </w:r>
      <w:r>
        <w:rPr>
          <w:color w:val="005DA1"/>
          <w:spacing w:val="7"/>
          <w:position w:val="-2"/>
          <w:vertAlign w:val="baseline"/>
        </w:rPr>
        <w:drawing>
          <wp:inline distT="0" distB="0" distL="0" distR="0">
            <wp:extent cx="107988" cy="10798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2"/>
          <w:vertAlign w:val="baseline"/>
        </w:rPr>
        <w:t> </w:t>
      </w:r>
      <w:r>
        <w:rPr>
          <w:vertAlign w:val="baseline"/>
        </w:rPr>
        <w:t>The</w:t>
      </w:r>
      <w:r>
        <w:rPr>
          <w:spacing w:val="1"/>
          <w:vertAlign w:val="baseline"/>
        </w:rPr>
        <w:t> </w:t>
      </w:r>
      <w:r>
        <w:rPr>
          <w:vertAlign w:val="baseline"/>
        </w:rPr>
        <w:t>onus</w:t>
      </w:r>
      <w:r>
        <w:rPr>
          <w:spacing w:val="1"/>
          <w:vertAlign w:val="baseline"/>
        </w:rPr>
        <w:t> </w:t>
      </w:r>
      <w:r>
        <w:rPr>
          <w:vertAlign w:val="baseline"/>
        </w:rPr>
        <w:t>of</w:t>
      </w:r>
      <w:r>
        <w:rPr>
          <w:spacing w:val="1"/>
          <w:vertAlign w:val="baseline"/>
        </w:rPr>
        <w:t> </w:t>
      </w:r>
      <w:r>
        <w:rPr>
          <w:vertAlign w:val="baseline"/>
        </w:rPr>
        <w:t>proof</w:t>
      </w:r>
      <w:r>
        <w:rPr>
          <w:spacing w:val="1"/>
          <w:vertAlign w:val="baseline"/>
        </w:rPr>
        <w:t> </w:t>
      </w:r>
      <w:r>
        <w:rPr>
          <w:vertAlign w:val="baseline"/>
        </w:rPr>
        <w:t>is</w:t>
      </w:r>
      <w:r>
        <w:rPr>
          <w:spacing w:val="2"/>
          <w:vertAlign w:val="baseline"/>
        </w:rPr>
        <w:t> </w:t>
      </w:r>
      <w:r>
        <w:rPr>
          <w:spacing w:val="-5"/>
          <w:vertAlign w:val="baseline"/>
        </w:rPr>
        <w:t>on</w:t>
      </w:r>
    </w:p>
    <w:p>
      <w:pPr>
        <w:pStyle w:val="BodyText"/>
        <w:spacing w:after="0" w:line="360" w:lineRule="auto"/>
        <w:sectPr>
          <w:headerReference w:type="default" r:id="rId26"/>
          <w:pgSz w:w="11900" w:h="16840"/>
          <w:pgMar w:header="971" w:footer="0" w:top="1300" w:bottom="280" w:left="1275" w:right="1275"/>
          <w:pgNumType w:start="1"/>
        </w:sectPr>
      </w:pPr>
    </w:p>
    <w:p>
      <w:pPr>
        <w:pStyle w:val="BodyText"/>
        <w:spacing w:line="235" w:lineRule="auto" w:before="110"/>
        <w:ind w:left="165" w:right="167"/>
        <w:jc w:val="both"/>
      </w:pPr>
      <w:bookmarkStart w:name="_bookmark839" w:id="841"/>
      <w:bookmarkEnd w:id="841"/>
      <w:r>
        <w:rPr/>
      </w:r>
      <w:r>
        <w:rPr/>
        <w:t>the defendant, who must show that the claimant ought, as a reasonable man, to have taken </w:t>
      </w:r>
      <w:r>
        <w:rPr/>
        <w:t>certain steps</w:t>
      </w:r>
      <w:r>
        <w:rPr>
          <w:spacing w:val="8"/>
        </w:rPr>
        <w:t> </w:t>
      </w:r>
      <w:r>
        <w:rPr/>
        <w:t>to</w:t>
      </w:r>
      <w:r>
        <w:rPr>
          <w:spacing w:val="8"/>
        </w:rPr>
        <w:t> </w:t>
      </w:r>
      <w:r>
        <w:rPr/>
        <w:t>mitigate</w:t>
      </w:r>
      <w:r>
        <w:rPr>
          <w:spacing w:val="8"/>
        </w:rPr>
        <w:t> </w:t>
      </w:r>
      <w:r>
        <w:rPr/>
        <w:t>his</w:t>
      </w:r>
      <w:r>
        <w:rPr>
          <w:spacing w:val="8"/>
        </w:rPr>
        <w:t> </w:t>
      </w:r>
      <w:r>
        <w:rPr/>
        <w:t>loss,</w:t>
      </w:r>
      <w:r>
        <w:rPr>
          <w:spacing w:val="8"/>
        </w:rPr>
        <w:t> </w:t>
      </w:r>
      <w:r>
        <w:rPr>
          <w:color w:val="005DA1"/>
          <w:u w:val="single" w:color="005DA1"/>
          <w:vertAlign w:val="superscript"/>
        </w:rPr>
        <w:t>442</w:t>
      </w:r>
      <w:r>
        <w:rPr>
          <w:color w:val="005DA1"/>
          <w:spacing w:val="8"/>
          <w:vertAlign w:val="baseline"/>
        </w:rPr>
        <w:t> </w:t>
      </w:r>
      <w:r>
        <w:rPr>
          <w:vertAlign w:val="baseline"/>
        </w:rPr>
        <w:t>and</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claimant</w:t>
      </w:r>
      <w:r>
        <w:rPr>
          <w:spacing w:val="8"/>
          <w:vertAlign w:val="baseline"/>
        </w:rPr>
        <w:t> </w:t>
      </w:r>
      <w:r>
        <w:rPr>
          <w:vertAlign w:val="baseline"/>
        </w:rPr>
        <w:t>could</w:t>
      </w:r>
      <w:r>
        <w:rPr>
          <w:spacing w:val="8"/>
          <w:vertAlign w:val="baseline"/>
        </w:rPr>
        <w:t> </w:t>
      </w:r>
      <w:r>
        <w:rPr>
          <w:vertAlign w:val="baseline"/>
        </w:rPr>
        <w:t>thereby</w:t>
      </w:r>
      <w:r>
        <w:rPr>
          <w:spacing w:val="8"/>
          <w:vertAlign w:val="baseline"/>
        </w:rPr>
        <w:t> </w:t>
      </w:r>
      <w:r>
        <w:rPr>
          <w:vertAlign w:val="baseline"/>
        </w:rPr>
        <w:t>have</w:t>
      </w:r>
      <w:r>
        <w:rPr>
          <w:spacing w:val="8"/>
          <w:vertAlign w:val="baseline"/>
        </w:rPr>
        <w:t> </w:t>
      </w:r>
      <w:r>
        <w:rPr>
          <w:vertAlign w:val="baseline"/>
        </w:rPr>
        <w:t>avoided</w:t>
      </w:r>
      <w:r>
        <w:rPr>
          <w:spacing w:val="8"/>
          <w:vertAlign w:val="baseline"/>
        </w:rPr>
        <w:t> </w:t>
      </w:r>
      <w:r>
        <w:rPr>
          <w:vertAlign w:val="baseline"/>
        </w:rPr>
        <w:t>some</w:t>
      </w:r>
      <w:r>
        <w:rPr>
          <w:spacing w:val="8"/>
          <w:vertAlign w:val="baseline"/>
        </w:rPr>
        <w:t> </w:t>
      </w:r>
      <w:r>
        <w:rPr>
          <w:vertAlign w:val="baseline"/>
        </w:rPr>
        <w:t>part</w:t>
      </w:r>
      <w:r>
        <w:rPr>
          <w:spacing w:val="8"/>
          <w:vertAlign w:val="baseline"/>
        </w:rPr>
        <w:t> </w:t>
      </w:r>
      <w:r>
        <w:rPr>
          <w:vertAlign w:val="baseline"/>
        </w:rPr>
        <w:t>of</w:t>
      </w:r>
      <w:r>
        <w:rPr>
          <w:spacing w:val="8"/>
          <w:vertAlign w:val="baseline"/>
        </w:rPr>
        <w:t> </w:t>
      </w:r>
      <w:r>
        <w:rPr>
          <w:vertAlign w:val="baseline"/>
        </w:rPr>
        <w:t>his</w:t>
      </w:r>
      <w:r>
        <w:rPr>
          <w:spacing w:val="8"/>
          <w:vertAlign w:val="baseline"/>
        </w:rPr>
        <w:t> </w:t>
      </w:r>
      <w:r>
        <w:rPr>
          <w:spacing w:val="-2"/>
          <w:vertAlign w:val="baseline"/>
        </w:rPr>
        <w:t>loss.</w:t>
      </w:r>
    </w:p>
    <w:p>
      <w:pPr>
        <w:pStyle w:val="BodyText"/>
        <w:spacing w:line="235" w:lineRule="auto"/>
        <w:ind w:left="165" w:right="167"/>
        <w:jc w:val="both"/>
      </w:pPr>
      <w:r>
        <w:rPr>
          <w:color w:val="005DA1"/>
          <w:u w:val="single" w:color="005DA1"/>
          <w:vertAlign w:val="superscript"/>
        </w:rPr>
        <w:t>443</w:t>
      </w:r>
      <w:r>
        <w:rPr>
          <w:color w:val="005DA1"/>
          <w:vertAlign w:val="baseline"/>
        </w:rPr>
        <w:t> </w:t>
      </w:r>
      <w:bookmarkStart w:name="_bookmark840" w:id="842"/>
      <w:bookmarkEnd w:id="842"/>
      <w:r>
        <w:rPr>
          <w:color w:val="005DA1"/>
          <w:spacing w:val="25"/>
          <w:vertAlign w:val="baseline"/>
        </w:rPr>
      </w:r>
      <w:r>
        <w:rPr>
          <w:vertAlign w:val="baseline"/>
        </w:rPr>
        <w:t>Any loss which is directly caused by a failure to meet this standard is not recoverable from the defendant. Thus an employee who has been wrongfully dismissed and unreasonably </w:t>
      </w:r>
      <w:r>
        <w:rPr>
          <w:color w:val="005DA1"/>
          <w:u w:val="single" w:color="005DA1"/>
          <w:vertAlign w:val="superscript"/>
        </w:rPr>
        <w:t>444</w:t>
      </w:r>
      <w:r>
        <w:rPr>
          <w:color w:val="005DA1"/>
          <w:vertAlign w:val="baseline"/>
        </w:rPr>
        <w:t> </w:t>
      </w:r>
      <w:r>
        <w:rPr>
          <w:vertAlign w:val="baseline"/>
        </w:rPr>
        <w:t>refuses to </w:t>
      </w:r>
      <w:bookmarkStart w:name="_bookmark841" w:id="843"/>
      <w:bookmarkEnd w:id="843"/>
      <w:r>
        <w:rPr>
          <w:vertAlign w:val="baseline"/>
        </w:rPr>
        <w:t>accept</w:t>
      </w:r>
      <w:r>
        <w:rPr>
          <w:vertAlign w:val="baseline"/>
        </w:rPr>
        <w:t> another equally remunerative post to date from the dismissal is only entitled to </w:t>
      </w:r>
      <w:r>
        <w:rPr>
          <w:vertAlign w:val="baseline"/>
        </w:rPr>
        <w:t>nominal </w:t>
      </w:r>
      <w:bookmarkStart w:name="_bookmark842" w:id="844"/>
      <w:bookmarkEnd w:id="844"/>
      <w:r>
        <w:rPr>
          <w:vertAlign w:val="baseline"/>
        </w:rPr>
        <w:t>damages.</w:t>
      </w:r>
      <w:r>
        <w:rPr>
          <w:vertAlign w:val="baseline"/>
        </w:rPr>
        <w:t> </w:t>
      </w:r>
      <w:r>
        <w:rPr>
          <w:color w:val="005DA1"/>
          <w:u w:val="single" w:color="005DA1"/>
          <w:vertAlign w:val="superscript"/>
        </w:rPr>
        <w:t>445</w:t>
      </w:r>
      <w:r>
        <w:rPr>
          <w:color w:val="005DA1"/>
          <w:vertAlign w:val="baseline"/>
        </w:rPr>
        <w:t> </w:t>
      </w:r>
      <w:r>
        <w:rPr>
          <w:vertAlign w:val="baseline"/>
        </w:rPr>
        <w:t>Where there is an available market in which the innocent party can obtain what has not been supplied to him, he is normally expected to go into that market to obtain it. </w:t>
      </w:r>
      <w:r>
        <w:rPr>
          <w:color w:val="005DA1"/>
          <w:u w:val="single" w:color="005DA1"/>
          <w:vertAlign w:val="superscript"/>
        </w:rPr>
        <w:t>446</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“Reasonable </w:t>
      </w:r>
      <w:r>
        <w:rPr>
          <w:rFonts w:ascii="Arial" w:hAnsi="Arial"/>
          <w:b/>
          <w:spacing w:val="-2"/>
          <w:sz w:val="18"/>
        </w:rPr>
        <w:t>steps”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082</w:t>
      </w:r>
    </w:p>
    <w:p>
      <w:pPr>
        <w:pStyle w:val="BodyText"/>
        <w:spacing w:line="340" w:lineRule="atLeast" w:before="208"/>
        <w:ind w:left="165" w:right="167"/>
        <w:jc w:val="both"/>
      </w:pPr>
      <w:r>
        <w:rPr>
          <w:position w:val="-2"/>
        </w:rPr>
        <w:drawing>
          <wp:inline distT="0" distB="0" distL="0" distR="0">
            <wp:extent cx="107988" cy="10798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43" w:id="845"/>
      <w:bookmarkEnd w:id="845"/>
      <w:r>
        <w:rPr>
          <w:rFonts w:ascii="Times New Roman" w:hAnsi="Times New Roman"/>
          <w:spacing w:val="-15"/>
        </w:rPr>
      </w:r>
      <w:r>
        <w:rPr/>
        <w:t>The question as to what it was reasonable for a person to do in mitigation of damage is not a </w:t>
      </w:r>
      <w:bookmarkStart w:name="_bookmark844" w:id="846"/>
      <w:bookmarkEnd w:id="846"/>
      <w:r>
        <w:rPr/>
        <w:t>question</w:t>
      </w:r>
      <w:r>
        <w:rPr/>
        <w:t> of law but one of fact in the circumstances of each particular case. </w:t>
      </w:r>
      <w:r>
        <w:rPr>
          <w:color w:val="005DA1"/>
          <w:u w:val="single" w:color="005DA1"/>
          <w:vertAlign w:val="superscript"/>
        </w:rPr>
        <w:t>447</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A business claimant is not “under any obligation to do anything other than in the ordinary course of business” </w:t>
      </w:r>
      <w:r>
        <w:rPr>
          <w:color w:val="005DA1"/>
          <w:u w:val="single" w:color="005DA1"/>
          <w:vertAlign w:val="superscript"/>
        </w:rPr>
        <w:t>448</w:t>
      </w:r>
    </w:p>
    <w:p>
      <w:pPr>
        <w:pStyle w:val="BodyText"/>
        <w:spacing w:before="5"/>
        <w:ind w:left="335"/>
        <w:jc w:val="both"/>
      </w:pPr>
      <w:r>
        <w:rPr/>
        <w:drawing>
          <wp:anchor distT="0" distB="0" distL="0" distR="0" allowOverlap="1" layoutInCell="1" locked="0" behindDoc="0" simplePos="0" relativeHeight="15778304">
            <wp:simplePos x="0" y="0"/>
            <wp:positionH relativeFrom="page">
              <wp:posOffset>914400</wp:posOffset>
            </wp:positionH>
            <wp:positionV relativeFrom="paragraph">
              <wp:posOffset>31562</wp:posOffset>
            </wp:positionV>
            <wp:extent cx="107988" cy="107988"/>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107988" cy="107988"/>
                    </a:xfrm>
                    <a:prstGeom prst="rect">
                      <a:avLst/>
                    </a:prstGeom>
                  </pic:spPr>
                </pic:pic>
              </a:graphicData>
            </a:graphic>
          </wp:anchor>
        </w:drawing>
      </w:r>
      <w:r>
        <w:rPr/>
        <w:t>; the standard is not a high one, since the defendant is a </w:t>
      </w:r>
      <w:r>
        <w:rPr>
          <w:spacing w:val="-2"/>
        </w:rPr>
        <w:t>wrongdoer:</w:t>
      </w:r>
    </w:p>
    <w:p>
      <w:pPr>
        <w:pStyle w:val="BodyText"/>
      </w:pPr>
    </w:p>
    <w:p>
      <w:pPr>
        <w:pStyle w:val="BodyText"/>
        <w:spacing w:before="126"/>
      </w:pPr>
    </w:p>
    <w:p>
      <w:pPr>
        <w:pStyle w:val="BodyText"/>
        <w:spacing w:line="235" w:lineRule="auto"/>
        <w:ind w:left="1245" w:right="167"/>
        <w:jc w:val="both"/>
      </w:pPr>
      <w:r>
        <w:rPr/>
        <w:t>“The law is satisfied if the party placed in a difficult situation by reason of the breach of a duty owed to him has acted reasonably in the adoption of remedial measures, and he </w:t>
      </w:r>
      <w:r>
        <w:rPr/>
        <w:t>will not be held disentitled to recover the cost of such measures merely because the party in </w:t>
      </w:r>
      <w:bookmarkStart w:name="_bookmark845" w:id="847"/>
      <w:bookmarkEnd w:id="847"/>
      <w:r>
        <w:rPr/>
        <w:t>breach</w:t>
      </w:r>
      <w:r>
        <w:rPr/>
        <w:t> can suggest that other measures less burdensome to him might have been</w:t>
      </w:r>
      <w:r>
        <w:rPr>
          <w:spacing w:val="40"/>
        </w:rPr>
        <w:t> </w:t>
      </w:r>
      <w:r>
        <w:rPr/>
        <w:t>taken.” </w:t>
      </w:r>
      <w:r>
        <w:rPr>
          <w:color w:val="005DA1"/>
          <w:u w:val="single" w:color="005DA1"/>
          <w:vertAlign w:val="superscript"/>
        </w:rPr>
        <w:t>449</w:t>
      </w:r>
    </w:p>
    <w:p>
      <w:pPr>
        <w:pStyle w:val="BodyText"/>
        <w:spacing w:before="115"/>
      </w:pPr>
    </w:p>
    <w:p>
      <w:pPr>
        <w:pStyle w:val="BodyText"/>
        <w:spacing w:line="235" w:lineRule="auto"/>
        <w:ind w:left="165" w:right="167"/>
        <w:jc w:val="both"/>
      </w:pPr>
      <w:bookmarkStart w:name="_bookmark846" w:id="848"/>
      <w:bookmarkEnd w:id="848"/>
      <w:r>
        <w:rPr/>
      </w:r>
      <w:r>
        <w:rPr/>
        <w:t>Questions about the reasonableness of the claimant’s steps to mitigate his loss have arisen in cases (discussed elsewhere </w:t>
      </w:r>
      <w:r>
        <w:rPr>
          <w:color w:val="005DA1"/>
          <w:u w:val="single" w:color="005DA1"/>
          <w:vertAlign w:val="superscript"/>
        </w:rPr>
        <w:t>450</w:t>
      </w:r>
      <w:r>
        <w:rPr>
          <w:vertAlign w:val="baseline"/>
        </w:rPr>
        <w:t>) where the defendant has failed to complete the contractual work (e.g. </w:t>
      </w:r>
      <w:bookmarkStart w:name="_bookmark847" w:id="849"/>
      <w:bookmarkEnd w:id="849"/>
      <w:r>
        <w:rPr>
          <w:vertAlign w:val="baseline"/>
        </w:rPr>
        <w:t>building</w:t>
      </w:r>
      <w:r>
        <w:rPr>
          <w:vertAlign w:val="baseline"/>
        </w:rPr>
        <w:t> or repair work) and the claimant claims damages for the cost of substitute performance by </w:t>
      </w:r>
      <w:r>
        <w:rPr>
          <w:vertAlign w:val="baseline"/>
        </w:rPr>
        <w:t>a </w:t>
      </w:r>
      <w:bookmarkStart w:name="_bookmark848" w:id="850"/>
      <w:bookmarkEnd w:id="850"/>
      <w:r>
        <w:rPr>
          <w:vertAlign w:val="baseline"/>
        </w:rPr>
        <w:t>third</w:t>
      </w:r>
      <w:r>
        <w:rPr>
          <w:vertAlign w:val="baseline"/>
        </w:rPr>
        <w:t> party. But the claimant need not take risks with his money </w:t>
      </w:r>
      <w:r>
        <w:rPr>
          <w:color w:val="005DA1"/>
          <w:u w:val="single" w:color="005DA1"/>
          <w:vertAlign w:val="superscript"/>
        </w:rPr>
        <w:t>451</w:t>
      </w:r>
      <w:r>
        <w:rPr>
          <w:color w:val="005DA1"/>
          <w:vertAlign w:val="baseline"/>
        </w:rPr>
        <w:t> </w:t>
      </w:r>
      <w:r>
        <w:rPr>
          <w:vertAlign w:val="baseline"/>
        </w:rPr>
        <w:t>in attempting to mitigate, nor need he</w:t>
      </w:r>
      <w:r>
        <w:rPr>
          <w:spacing w:val="6"/>
          <w:vertAlign w:val="baseline"/>
        </w:rPr>
        <w:t> </w:t>
      </w:r>
      <w:r>
        <w:rPr>
          <w:vertAlign w:val="baseline"/>
        </w:rPr>
        <w:t>take</w:t>
      </w:r>
      <w:r>
        <w:rPr>
          <w:spacing w:val="6"/>
          <w:vertAlign w:val="baseline"/>
        </w:rPr>
        <w:t> </w:t>
      </w:r>
      <w:r>
        <w:rPr>
          <w:vertAlign w:val="baseline"/>
        </w:rPr>
        <w:t>a</w:t>
      </w:r>
      <w:r>
        <w:rPr>
          <w:spacing w:val="6"/>
          <w:vertAlign w:val="baseline"/>
        </w:rPr>
        <w:t> </w:t>
      </w:r>
      <w:r>
        <w:rPr>
          <w:vertAlign w:val="baseline"/>
        </w:rPr>
        <w:t>step</w:t>
      </w:r>
      <w:r>
        <w:rPr>
          <w:spacing w:val="6"/>
          <w:vertAlign w:val="baseline"/>
        </w:rPr>
        <w:t> </w:t>
      </w:r>
      <w:r>
        <w:rPr>
          <w:vertAlign w:val="baseline"/>
        </w:rPr>
        <w:t>which</w:t>
      </w:r>
      <w:r>
        <w:rPr>
          <w:spacing w:val="6"/>
          <w:vertAlign w:val="baseline"/>
        </w:rPr>
        <w:t> </w:t>
      </w:r>
      <w:r>
        <w:rPr>
          <w:vertAlign w:val="baseline"/>
        </w:rPr>
        <w:t>might</w:t>
      </w:r>
      <w:r>
        <w:rPr>
          <w:spacing w:val="6"/>
          <w:vertAlign w:val="baseline"/>
        </w:rPr>
        <w:t> </w:t>
      </w:r>
      <w:r>
        <w:rPr>
          <w:vertAlign w:val="baseline"/>
        </w:rPr>
        <w:t>endanger</w:t>
      </w:r>
      <w:r>
        <w:rPr>
          <w:spacing w:val="6"/>
          <w:vertAlign w:val="baseline"/>
        </w:rPr>
        <w:t> </w:t>
      </w:r>
      <w:r>
        <w:rPr>
          <w:vertAlign w:val="baseline"/>
        </w:rPr>
        <w:t>his</w:t>
      </w:r>
      <w:r>
        <w:rPr>
          <w:spacing w:val="6"/>
          <w:vertAlign w:val="baseline"/>
        </w:rPr>
        <w:t> </w:t>
      </w:r>
      <w:r>
        <w:rPr>
          <w:vertAlign w:val="baseline"/>
        </w:rPr>
        <w:t>own</w:t>
      </w:r>
      <w:r>
        <w:rPr>
          <w:spacing w:val="6"/>
          <w:vertAlign w:val="baseline"/>
        </w:rPr>
        <w:t> </w:t>
      </w:r>
      <w:r>
        <w:rPr>
          <w:vertAlign w:val="baseline"/>
        </w:rPr>
        <w:t>commercial</w:t>
      </w:r>
      <w:r>
        <w:rPr>
          <w:spacing w:val="6"/>
          <w:vertAlign w:val="baseline"/>
        </w:rPr>
        <w:t> </w:t>
      </w:r>
      <w:r>
        <w:rPr>
          <w:vertAlign w:val="baseline"/>
        </w:rPr>
        <w:t>reputation,</w:t>
      </w:r>
      <w:r>
        <w:rPr>
          <w:spacing w:val="6"/>
          <w:vertAlign w:val="baseline"/>
        </w:rPr>
        <w:t> </w:t>
      </w:r>
      <w:r>
        <w:rPr>
          <w:vertAlign w:val="baseline"/>
        </w:rPr>
        <w:t>e.g.</w:t>
      </w:r>
      <w:r>
        <w:rPr>
          <w:spacing w:val="6"/>
          <w:vertAlign w:val="baseline"/>
        </w:rPr>
        <w:t> </w:t>
      </w:r>
      <w:r>
        <w:rPr>
          <w:vertAlign w:val="baseline"/>
        </w:rPr>
        <w:t>by</w:t>
      </w:r>
      <w:r>
        <w:rPr>
          <w:spacing w:val="6"/>
          <w:vertAlign w:val="baseline"/>
        </w:rPr>
        <w:t> </w:t>
      </w:r>
      <w:r>
        <w:rPr>
          <w:vertAlign w:val="baseline"/>
        </w:rPr>
        <w:t>enforcing</w:t>
      </w:r>
      <w:r>
        <w:rPr>
          <w:spacing w:val="6"/>
          <w:vertAlign w:val="baseline"/>
        </w:rPr>
        <w:t> </w:t>
      </w:r>
      <w:r>
        <w:rPr>
          <w:vertAlign w:val="baseline"/>
        </w:rPr>
        <w:t>sub-</w:t>
      </w:r>
      <w:r>
        <w:rPr>
          <w:spacing w:val="-2"/>
          <w:vertAlign w:val="baseline"/>
        </w:rPr>
        <w:t>contracts.</w:t>
      </w:r>
    </w:p>
    <w:p>
      <w:pPr>
        <w:pStyle w:val="BodyText"/>
        <w:spacing w:line="235" w:lineRule="auto"/>
        <w:ind w:left="164" w:right="167"/>
        <w:jc w:val="both"/>
      </w:pPr>
      <w:r>
        <w:rPr>
          <w:color w:val="005DA1"/>
          <w:u w:val="single" w:color="005DA1"/>
          <w:vertAlign w:val="superscript"/>
        </w:rPr>
        <w:t>452</w:t>
      </w:r>
      <w:r>
        <w:rPr>
          <w:color w:val="005DA1"/>
          <w:vertAlign w:val="baseline"/>
        </w:rPr>
        <w:t> </w:t>
      </w:r>
      <w:bookmarkStart w:name="_bookmark849" w:id="851"/>
      <w:bookmarkEnd w:id="851"/>
      <w:r>
        <w:rPr>
          <w:color w:val="005DA1"/>
          <w:spacing w:val="-18"/>
          <w:vertAlign w:val="baseline"/>
        </w:rPr>
      </w:r>
      <w:r>
        <w:rPr>
          <w:vertAlign w:val="baseline"/>
        </w:rPr>
        <w:t>The claimant is under no duty, even under an indemnity from the defendant, to embark on a </w:t>
      </w:r>
      <w:bookmarkStart w:name="_bookmark850" w:id="852"/>
      <w:bookmarkEnd w:id="852"/>
      <w:r>
        <w:rPr>
          <w:vertAlign w:val="baseline"/>
        </w:rPr>
        <w:t>complicated</w:t>
      </w:r>
      <w:r>
        <w:rPr>
          <w:vertAlign w:val="baseline"/>
        </w:rPr>
        <w:t> and difficult piece of litigation against a third party, </w:t>
      </w:r>
      <w:r>
        <w:rPr>
          <w:color w:val="005DA1"/>
          <w:u w:val="single" w:color="005DA1"/>
          <w:vertAlign w:val="superscript"/>
        </w:rPr>
        <w:t>453</w:t>
      </w:r>
      <w:r>
        <w:rPr>
          <w:color w:val="005DA1"/>
          <w:vertAlign w:val="baseline"/>
        </w:rPr>
        <w:t> </w:t>
      </w:r>
      <w:r>
        <w:rPr>
          <w:vertAlign w:val="baseline"/>
        </w:rPr>
        <w:t>nor is the claimant required </w:t>
      </w:r>
      <w:r>
        <w:rPr>
          <w:vertAlign w:val="baseline"/>
        </w:rPr>
        <w:t>to sacrifice</w:t>
      </w:r>
      <w:r>
        <w:rPr>
          <w:spacing w:val="-2"/>
          <w:vertAlign w:val="baseline"/>
        </w:rPr>
        <w:t> </w:t>
      </w:r>
      <w:r>
        <w:rPr>
          <w:vertAlign w:val="baseline"/>
        </w:rPr>
        <w:t>any</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property</w:t>
      </w:r>
      <w:r>
        <w:rPr>
          <w:spacing w:val="-2"/>
          <w:vertAlign w:val="baseline"/>
        </w:rPr>
        <w:t> </w:t>
      </w:r>
      <w:r>
        <w:rPr>
          <w:vertAlign w:val="baseline"/>
        </w:rPr>
        <w:t>or</w:t>
      </w:r>
      <w:r>
        <w:rPr>
          <w:spacing w:val="-2"/>
          <w:vertAlign w:val="baseline"/>
        </w:rPr>
        <w:t> </w:t>
      </w:r>
      <w:r>
        <w:rPr>
          <w:vertAlign w:val="baseline"/>
        </w:rPr>
        <w:t>rights</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mitigate</w:t>
      </w:r>
      <w:r>
        <w:rPr>
          <w:spacing w:val="-2"/>
          <w:vertAlign w:val="baseline"/>
        </w:rPr>
        <w:t> </w:t>
      </w:r>
      <w:r>
        <w:rPr>
          <w:vertAlign w:val="baseline"/>
        </w:rPr>
        <w:t>the</w:t>
      </w:r>
      <w:r>
        <w:rPr>
          <w:spacing w:val="-2"/>
          <w:vertAlign w:val="baseline"/>
        </w:rPr>
        <w:t> </w:t>
      </w:r>
      <w:r>
        <w:rPr>
          <w:vertAlign w:val="baseline"/>
        </w:rPr>
        <w:t>loss.</w:t>
      </w:r>
      <w:r>
        <w:rPr>
          <w:spacing w:val="-3"/>
          <w:vertAlign w:val="baseline"/>
        </w:rPr>
        <w:t> </w:t>
      </w:r>
      <w:r>
        <w:rPr>
          <w:color w:val="005DA1"/>
          <w:u w:val="single" w:color="005DA1"/>
          <w:vertAlign w:val="superscript"/>
        </w:rPr>
        <w:t>454</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suggested</w:t>
      </w:r>
      <w:r>
        <w:rPr>
          <w:spacing w:val="-2"/>
          <w:vertAlign w:val="baseline"/>
        </w:rPr>
        <w:t> </w:t>
      </w:r>
      <w:r>
        <w:rPr>
          <w:color w:val="005DA1"/>
          <w:u w:val="single" w:color="005DA1"/>
          <w:vertAlign w:val="superscript"/>
        </w:rPr>
        <w:t>455</w:t>
      </w:r>
      <w:r>
        <w:rPr>
          <w:color w:val="005DA1"/>
          <w:spacing w:val="-2"/>
          <w:vertAlign w:val="baseline"/>
        </w:rPr>
        <w:t> </w:t>
      </w:r>
      <w:r>
        <w:rPr>
          <w:vertAlign w:val="baseline"/>
        </w:rPr>
        <w:t>that</w:t>
      </w:r>
      <w:r>
        <w:rPr>
          <w:spacing w:val="-2"/>
          <w:vertAlign w:val="baseline"/>
        </w:rPr>
        <w:t> </w:t>
      </w:r>
      <w:r>
        <w:rPr>
          <w:vertAlign w:val="baseline"/>
        </w:rPr>
        <w:t>the claimant’s duty to mitigate does not require him to guard against the effects of inflation per se, i.e. it </w:t>
      </w:r>
      <w:bookmarkStart w:name="_bookmark851" w:id="853"/>
      <w:bookmarkEnd w:id="853"/>
      <w:r>
        <w:rPr>
          <w:vertAlign w:val="baseline"/>
        </w:rPr>
        <w:t>does</w:t>
      </w:r>
      <w:r>
        <w:rPr>
          <w:vertAlign w:val="baseline"/>
        </w:rPr>
        <w:t> not apply to the risk of pure price increases which may lead to “inflationary increases in damages” after the date of the breach of contract. </w:t>
      </w:r>
      <w:r>
        <w:rPr>
          <w:color w:val="005DA1"/>
          <w:u w:val="single" w:color="005DA1"/>
          <w:vertAlign w:val="superscript"/>
        </w:rPr>
        <w:t>456</w:t>
      </w:r>
      <w:r>
        <w:rPr>
          <w:color w:val="005DA1"/>
          <w:vertAlign w:val="baseline"/>
        </w:rPr>
        <w:t> </w:t>
      </w:r>
      <w:r>
        <w:rPr>
          <w:vertAlign w:val="baseline"/>
        </w:rPr>
        <w:t>Nor does a claimant who has been forced to </w:t>
      </w:r>
      <w:bookmarkStart w:name="_bookmark852" w:id="854"/>
      <w:bookmarkEnd w:id="854"/>
      <w:r>
        <w:rPr>
          <w:vertAlign w:val="baseline"/>
        </w:rPr>
        <w:t>mitigate</w:t>
      </w:r>
      <w:r>
        <w:rPr>
          <w:vertAlign w:val="baseline"/>
        </w:rPr>
        <w:t> by making short-term arrangements in a spot market have to keep checking whether a</w:t>
      </w:r>
      <w:r>
        <w:rPr>
          <w:spacing w:val="40"/>
          <w:vertAlign w:val="baseline"/>
        </w:rPr>
        <w:t> </w:t>
      </w:r>
      <w:r>
        <w:rPr>
          <w:vertAlign w:val="baseline"/>
        </w:rPr>
        <w:t>market for longer alternatives has since become available. </w:t>
      </w:r>
      <w:r>
        <w:rPr>
          <w:color w:val="005DA1"/>
          <w:u w:val="single" w:color="005DA1"/>
          <w:vertAlign w:val="superscript"/>
        </w:rPr>
        <w:t>457</w:t>
      </w:r>
    </w:p>
    <w:p>
      <w:pPr>
        <w:pStyle w:val="BodyText"/>
      </w:pPr>
    </w:p>
    <w:p>
      <w:pPr>
        <w:pStyle w:val="BodyText"/>
        <w:spacing w:before="35"/>
      </w:pPr>
      <w:r>
        <w:rPr/>
        <mc:AlternateContent>
          <mc:Choice Requires="wps">
            <w:drawing>
              <wp:anchor distT="0" distB="0" distL="0" distR="0" allowOverlap="1" layoutInCell="1" locked="0" behindDoc="1" simplePos="0" relativeHeight="487636992">
                <wp:simplePos x="0" y="0"/>
                <wp:positionH relativeFrom="page">
                  <wp:posOffset>914400</wp:posOffset>
                </wp:positionH>
                <wp:positionV relativeFrom="paragraph">
                  <wp:posOffset>183557</wp:posOffset>
                </wp:positionV>
                <wp:extent cx="572452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3332pt;width:450.75pt;height:.1pt;mso-position-horizontal-relative:page;mso-position-vertical-relative:paragraph;z-index:-15679488;mso-wrap-distance-left:0;mso-wrap-distance-right:0" id="docshape47"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853" w:id="855"/>
      <w:bookmarkEnd w:id="855"/>
      <w:r>
        <w:rPr/>
      </w:r>
      <w:hyperlink w:history="true" w:anchor="_bookmark835">
        <w:r>
          <w:rPr>
            <w:color w:val="005DA1"/>
            <w:position w:val="5"/>
            <w:sz w:val="14"/>
            <w:u w:val="single" w:color="005DA1"/>
          </w:rPr>
          <w:t>438</w:t>
        </w:r>
      </w:hyperlink>
      <w:r>
        <w:rPr>
          <w:position w:val="5"/>
          <w:sz w:val="14"/>
        </w:rPr>
        <w:t>.</w:t>
      </w:r>
      <w:r>
        <w:rPr>
          <w:spacing w:val="40"/>
          <w:position w:val="5"/>
          <w:sz w:val="14"/>
        </w:rPr>
        <w:t>  </w:t>
      </w:r>
      <w:r>
        <w:rPr>
          <w:sz w:val="20"/>
        </w:rPr>
        <w:t>For a recent judicial summary of the principles of mitigation, see </w:t>
      </w:r>
      <w:r>
        <w:rPr>
          <w:rFonts w:ascii="Arial" w:hAnsi="Arial"/>
          <w:i/>
          <w:sz w:val="20"/>
        </w:rPr>
        <w:t>Thai Airways International</w:t>
      </w:r>
      <w:r>
        <w:rPr>
          <w:rFonts w:ascii="Arial" w:hAnsi="Arial"/>
          <w:i/>
          <w:spacing w:val="40"/>
          <w:sz w:val="20"/>
        </w:rPr>
        <w:t> </w:t>
      </w:r>
      <w:r>
        <w:rPr>
          <w:rFonts w:ascii="Arial" w:hAnsi="Arial"/>
          <w:i/>
          <w:sz w:val="20"/>
        </w:rPr>
        <w:t>Public Co Ltd v KI Holdings Co Ltd [2015] EWHC 1250 (Comm) </w:t>
      </w:r>
      <w:r>
        <w:rPr>
          <w:sz w:val="20"/>
        </w:rPr>
        <w:t>at [31]–[38] during which Leggatt J. remarked that the three rules are all aspects of the principle of causation (see at</w:t>
      </w:r>
      <w:r>
        <w:rPr>
          <w:spacing w:val="40"/>
          <w:sz w:val="20"/>
        </w:rPr>
        <w:t> </w:t>
      </w:r>
      <w:r>
        <w:rPr>
          <w:spacing w:val="-2"/>
          <w:sz w:val="20"/>
        </w:rPr>
        <w:t>[33]).</w:t>
      </w:r>
    </w:p>
    <w:p>
      <w:pPr>
        <w:pStyle w:val="BodyText"/>
        <w:spacing w:before="8"/>
      </w:pPr>
    </w:p>
    <w:p>
      <w:pPr>
        <w:pStyle w:val="BodyText"/>
        <w:spacing w:line="235" w:lineRule="auto"/>
        <w:ind w:left="705" w:right="167" w:hanging="541"/>
        <w:jc w:val="both"/>
      </w:pPr>
      <w:bookmarkStart w:name="_bookmark854" w:id="856"/>
      <w:bookmarkEnd w:id="856"/>
      <w:r>
        <w:rPr/>
      </w:r>
      <w:hyperlink w:history="true" w:anchor="_bookmark836">
        <w:r>
          <w:rPr>
            <w:color w:val="005DA1"/>
            <w:position w:val="5"/>
            <w:sz w:val="14"/>
            <w:u w:val="single" w:color="005DA1"/>
          </w:rPr>
          <w:t>439</w:t>
        </w:r>
      </w:hyperlink>
      <w:r>
        <w:rPr>
          <w:position w:val="5"/>
          <w:sz w:val="14"/>
        </w:rPr>
        <w:t>.</w:t>
      </w:r>
      <w:r>
        <w:rPr>
          <w:spacing w:val="80"/>
          <w:position w:val="5"/>
          <w:sz w:val="14"/>
        </w:rPr>
        <w:t> </w:t>
      </w:r>
      <w:r>
        <w:rPr/>
        <w:t>This leads many writers on law-and-economics to argue that mitigation supports </w:t>
      </w:r>
      <w:r>
        <w:rPr/>
        <w:t>“efficient” breaches of contract (viz breaches which will leave society as a whole better off, while the original promisee is left no worse off). This “efficiency” argument is reviewed and criticised by Harris, Campbell and Halson, </w:t>
      </w:r>
      <w:r>
        <w:rPr>
          <w:rFonts w:ascii="Arial" w:hAnsi="Arial"/>
          <w:i/>
        </w:rPr>
        <w:t>Remedies in Contract and Tort</w:t>
      </w:r>
      <w:r>
        <w:rPr/>
        <w:t>, 2nd edn (2002) at pp.11–21, 263–267, 279–280; see also Goetz and Scott (1983) 69 Virg.L.Rev. 967; and Macneil (1982) </w:t>
      </w:r>
      <w:r>
        <w:rPr>
          <w:spacing w:val="-5"/>
        </w:rPr>
        <w:t>68</w:t>
      </w:r>
    </w:p>
    <w:p>
      <w:pPr>
        <w:pStyle w:val="BodyText"/>
        <w:spacing w:line="224" w:lineRule="exact"/>
        <w:ind w:left="705"/>
        <w:jc w:val="both"/>
      </w:pPr>
      <w:r>
        <w:rPr/>
        <w:t>Virg.L.Rev. </w:t>
      </w:r>
      <w:r>
        <w:rPr>
          <w:spacing w:val="-4"/>
        </w:rPr>
        <w:t>947.</w:t>
      </w:r>
    </w:p>
    <w:p>
      <w:pPr>
        <w:pStyle w:val="BodyText"/>
        <w:spacing w:before="9"/>
      </w:pPr>
    </w:p>
    <w:p>
      <w:pPr>
        <w:spacing w:line="235" w:lineRule="auto" w:before="0"/>
        <w:ind w:left="705" w:right="168" w:hanging="541"/>
        <w:jc w:val="both"/>
        <w:rPr>
          <w:rFonts w:ascii="Arial"/>
          <w:i/>
          <w:sz w:val="20"/>
        </w:rPr>
      </w:pPr>
      <w:bookmarkStart w:name="_bookmark855" w:id="857"/>
      <w:bookmarkEnd w:id="857"/>
      <w:r>
        <w:rPr/>
      </w:r>
      <w:hyperlink w:history="true" w:anchor="_bookmark837">
        <w:r>
          <w:rPr>
            <w:color w:val="005DA1"/>
            <w:position w:val="5"/>
            <w:sz w:val="14"/>
            <w:u w:val="single" w:color="005DA1"/>
          </w:rPr>
          <w:t>440</w:t>
        </w:r>
      </w:hyperlink>
      <w:r>
        <w:rPr>
          <w:position w:val="5"/>
          <w:sz w:val="14"/>
        </w:rPr>
        <w:t>.</w:t>
      </w:r>
      <w:r>
        <w:rPr>
          <w:spacing w:val="80"/>
          <w:position w:val="5"/>
          <w:sz w:val="14"/>
        </w:rPr>
        <w:t>  </w:t>
      </w:r>
      <w:r>
        <w:rPr>
          <w:rFonts w:ascii="Arial"/>
          <w:i/>
          <w:sz w:val="20"/>
        </w:rPr>
        <w:t>British</w:t>
      </w:r>
      <w:r>
        <w:rPr>
          <w:rFonts w:ascii="Arial"/>
          <w:i/>
          <w:spacing w:val="27"/>
          <w:sz w:val="20"/>
        </w:rPr>
        <w:t> </w:t>
      </w:r>
      <w:r>
        <w:rPr>
          <w:rFonts w:ascii="Arial"/>
          <w:i/>
          <w:sz w:val="20"/>
        </w:rPr>
        <w:t>Westinghouse</w:t>
      </w:r>
      <w:r>
        <w:rPr>
          <w:rFonts w:ascii="Arial"/>
          <w:i/>
          <w:spacing w:val="27"/>
          <w:sz w:val="20"/>
        </w:rPr>
        <w:t> </w:t>
      </w:r>
      <w:r>
        <w:rPr>
          <w:rFonts w:ascii="Arial"/>
          <w:i/>
          <w:sz w:val="20"/>
        </w:rPr>
        <w:t>Electric</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Underground</w:t>
      </w:r>
      <w:r>
        <w:rPr>
          <w:rFonts w:ascii="Arial"/>
          <w:i/>
          <w:spacing w:val="27"/>
          <w:sz w:val="20"/>
        </w:rPr>
        <w:t> </w:t>
      </w:r>
      <w:r>
        <w:rPr>
          <w:rFonts w:ascii="Arial"/>
          <w:i/>
          <w:sz w:val="20"/>
        </w:rPr>
        <w:t>Electric</w:t>
      </w:r>
      <w:r>
        <w:rPr>
          <w:rFonts w:ascii="Arial"/>
          <w:i/>
          <w:spacing w:val="27"/>
          <w:sz w:val="20"/>
        </w:rPr>
        <w:t> </w:t>
      </w:r>
      <w:r>
        <w:rPr>
          <w:rFonts w:ascii="Arial"/>
          <w:i/>
          <w:sz w:val="20"/>
        </w:rPr>
        <w:t>Rys</w:t>
      </w:r>
      <w:r>
        <w:rPr>
          <w:rFonts w:ascii="Arial"/>
          <w:i/>
          <w:spacing w:val="27"/>
          <w:sz w:val="20"/>
        </w:rPr>
        <w:t> </w:t>
      </w:r>
      <w:r>
        <w:rPr>
          <w:rFonts w:ascii="Arial"/>
          <w:i/>
          <w:sz w:val="20"/>
        </w:rPr>
        <w:t>[1912]</w:t>
      </w:r>
      <w:r>
        <w:rPr>
          <w:rFonts w:ascii="Arial"/>
          <w:i/>
          <w:spacing w:val="27"/>
          <w:sz w:val="20"/>
        </w:rPr>
        <w:t> </w:t>
      </w:r>
      <w:r>
        <w:rPr>
          <w:rFonts w:ascii="Arial"/>
          <w:i/>
          <w:sz w:val="20"/>
        </w:rPr>
        <w:t>A.C.</w:t>
      </w:r>
      <w:r>
        <w:rPr>
          <w:rFonts w:ascii="Arial"/>
          <w:i/>
          <w:spacing w:val="27"/>
          <w:sz w:val="20"/>
        </w:rPr>
        <w:t> </w:t>
      </w:r>
      <w:r>
        <w:rPr>
          <w:rFonts w:ascii="Arial"/>
          <w:i/>
          <w:sz w:val="20"/>
        </w:rPr>
        <w:t>673,</w:t>
      </w:r>
      <w:r>
        <w:rPr>
          <w:rFonts w:ascii="Arial"/>
          <w:i/>
          <w:spacing w:val="27"/>
          <w:sz w:val="20"/>
        </w:rPr>
        <w:t> </w:t>
      </w:r>
      <w:r>
        <w:rPr>
          <w:rFonts w:ascii="Arial"/>
          <w:i/>
          <w:sz w:val="20"/>
        </w:rPr>
        <w:t>689</w:t>
      </w:r>
      <w:r>
        <w:rPr>
          <w:sz w:val="20"/>
        </w:rPr>
        <w:t>.</w:t>
      </w:r>
      <w:r>
        <w:rPr>
          <w:spacing w:val="27"/>
          <w:sz w:val="20"/>
        </w:rPr>
        <w:t> </w:t>
      </w:r>
      <w:r>
        <w:rPr>
          <w:sz w:val="20"/>
        </w:rPr>
        <w:t>See also</w:t>
      </w:r>
      <w:r>
        <w:rPr>
          <w:spacing w:val="-2"/>
          <w:sz w:val="20"/>
        </w:rPr>
        <w:t> </w:t>
      </w:r>
      <w:r>
        <w:rPr>
          <w:rFonts w:ascii="Arial"/>
          <w:i/>
          <w:sz w:val="20"/>
        </w:rPr>
        <w:t>Le</w:t>
      </w:r>
      <w:r>
        <w:rPr>
          <w:rFonts w:ascii="Arial"/>
          <w:i/>
          <w:spacing w:val="-2"/>
          <w:sz w:val="20"/>
        </w:rPr>
        <w:t> </w:t>
      </w:r>
      <w:r>
        <w:rPr>
          <w:rFonts w:ascii="Arial"/>
          <w:i/>
          <w:sz w:val="20"/>
        </w:rPr>
        <w:t>Blanche</w:t>
      </w:r>
      <w:r>
        <w:rPr>
          <w:rFonts w:ascii="Arial"/>
          <w:i/>
          <w:spacing w:val="-2"/>
          <w:sz w:val="20"/>
        </w:rPr>
        <w:t> </w:t>
      </w:r>
      <w:r>
        <w:rPr>
          <w:rFonts w:ascii="Arial"/>
          <w:i/>
          <w:sz w:val="20"/>
        </w:rPr>
        <w:t>v</w:t>
      </w:r>
      <w:r>
        <w:rPr>
          <w:rFonts w:ascii="Arial"/>
          <w:i/>
          <w:spacing w:val="-2"/>
          <w:sz w:val="20"/>
        </w:rPr>
        <w:t> </w:t>
      </w:r>
      <w:r>
        <w:rPr>
          <w:rFonts w:ascii="Arial"/>
          <w:i/>
          <w:sz w:val="20"/>
        </w:rPr>
        <w:t>L.N.W.</w:t>
      </w:r>
      <w:r>
        <w:rPr>
          <w:rFonts w:ascii="Arial"/>
          <w:i/>
          <w:spacing w:val="-2"/>
          <w:sz w:val="20"/>
        </w:rPr>
        <w:t> </w:t>
      </w:r>
      <w:r>
        <w:rPr>
          <w:rFonts w:ascii="Arial"/>
          <w:i/>
          <w:sz w:val="20"/>
        </w:rPr>
        <w:t>Ry</w:t>
      </w:r>
      <w:r>
        <w:rPr>
          <w:rFonts w:ascii="Arial"/>
          <w:i/>
          <w:spacing w:val="-2"/>
          <w:sz w:val="20"/>
        </w:rPr>
        <w:t> </w:t>
      </w:r>
      <w:r>
        <w:rPr>
          <w:rFonts w:ascii="Arial"/>
          <w:i/>
          <w:sz w:val="20"/>
        </w:rPr>
        <w:t>(1876)</w:t>
      </w:r>
      <w:r>
        <w:rPr>
          <w:rFonts w:ascii="Arial"/>
          <w:i/>
          <w:spacing w:val="-2"/>
          <w:sz w:val="20"/>
        </w:rPr>
        <w:t> </w:t>
      </w:r>
      <w:r>
        <w:rPr>
          <w:rFonts w:ascii="Arial"/>
          <w:i/>
          <w:sz w:val="20"/>
        </w:rPr>
        <w:t>1</w:t>
      </w:r>
      <w:r>
        <w:rPr>
          <w:rFonts w:ascii="Arial"/>
          <w:i/>
          <w:spacing w:val="-2"/>
          <w:sz w:val="20"/>
        </w:rPr>
        <w:t> </w:t>
      </w:r>
      <w:r>
        <w:rPr>
          <w:rFonts w:ascii="Arial"/>
          <w:i/>
          <w:sz w:val="20"/>
        </w:rPr>
        <w:t>C.P.D.</w:t>
      </w:r>
      <w:r>
        <w:rPr>
          <w:rFonts w:ascii="Arial"/>
          <w:i/>
          <w:spacing w:val="-2"/>
          <w:sz w:val="20"/>
        </w:rPr>
        <w:t> </w:t>
      </w:r>
      <w:r>
        <w:rPr>
          <w:rFonts w:ascii="Arial"/>
          <w:i/>
          <w:sz w:val="20"/>
        </w:rPr>
        <w:t>286</w:t>
      </w:r>
      <w:r>
        <w:rPr>
          <w:sz w:val="20"/>
        </w:rPr>
        <w:t>;</w:t>
      </w:r>
      <w:r>
        <w:rPr>
          <w:spacing w:val="-2"/>
          <w:sz w:val="20"/>
        </w:rPr>
        <w:t> </w:t>
      </w:r>
      <w:r>
        <w:rPr>
          <w:rFonts w:ascii="Arial"/>
          <w:i/>
          <w:sz w:val="20"/>
        </w:rPr>
        <w:t>Tucker</w:t>
      </w:r>
      <w:r>
        <w:rPr>
          <w:rFonts w:ascii="Arial"/>
          <w:i/>
          <w:spacing w:val="-2"/>
          <w:sz w:val="20"/>
        </w:rPr>
        <w:t> </w:t>
      </w:r>
      <w:r>
        <w:rPr>
          <w:rFonts w:ascii="Arial"/>
          <w:i/>
          <w:sz w:val="20"/>
        </w:rPr>
        <w:t>v</w:t>
      </w:r>
      <w:r>
        <w:rPr>
          <w:rFonts w:ascii="Arial"/>
          <w:i/>
          <w:spacing w:val="-2"/>
          <w:sz w:val="20"/>
        </w:rPr>
        <w:t> </w:t>
      </w:r>
      <w:r>
        <w:rPr>
          <w:rFonts w:ascii="Arial"/>
          <w:i/>
          <w:sz w:val="20"/>
        </w:rPr>
        <w:t>Linger</w:t>
      </w:r>
      <w:r>
        <w:rPr>
          <w:rFonts w:ascii="Arial"/>
          <w:i/>
          <w:spacing w:val="-2"/>
          <w:sz w:val="20"/>
        </w:rPr>
        <w:t> </w:t>
      </w:r>
      <w:r>
        <w:rPr>
          <w:rFonts w:ascii="Arial"/>
          <w:i/>
          <w:sz w:val="20"/>
        </w:rPr>
        <w:t>(1882)</w:t>
      </w:r>
      <w:r>
        <w:rPr>
          <w:rFonts w:ascii="Arial"/>
          <w:i/>
          <w:spacing w:val="-2"/>
          <w:sz w:val="20"/>
        </w:rPr>
        <w:t> </w:t>
      </w:r>
      <w:r>
        <w:rPr>
          <w:rFonts w:ascii="Arial"/>
          <w:i/>
          <w:sz w:val="20"/>
        </w:rPr>
        <w:t>21</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18</w:t>
      </w:r>
      <w:r>
        <w:rPr>
          <w:sz w:val="20"/>
        </w:rPr>
        <w:t>;</w:t>
      </w:r>
      <w:r>
        <w:rPr>
          <w:spacing w:val="-2"/>
          <w:sz w:val="20"/>
        </w:rPr>
        <w:t> </w:t>
      </w:r>
      <w:r>
        <w:rPr>
          <w:rFonts w:ascii="Arial"/>
          <w:i/>
          <w:sz w:val="20"/>
        </w:rPr>
        <w:t>Macrae v H. G. Swindells (Trading as West View Garage Co) [1954] 1 W.L.R. 597</w:t>
      </w:r>
      <w:r>
        <w:rPr>
          <w:sz w:val="20"/>
        </w:rPr>
        <w:t>. The test </w:t>
      </w:r>
      <w:r>
        <w:rPr>
          <w:sz w:val="20"/>
        </w:rPr>
        <w:t>for mitigation</w:t>
      </w:r>
      <w:r>
        <w:rPr>
          <w:spacing w:val="4"/>
          <w:sz w:val="20"/>
        </w:rPr>
        <w:t> </w:t>
      </w:r>
      <w:r>
        <w:rPr>
          <w:sz w:val="20"/>
        </w:rPr>
        <w:t>in</w:t>
      </w:r>
      <w:r>
        <w:rPr>
          <w:spacing w:val="4"/>
          <w:sz w:val="20"/>
        </w:rPr>
        <w:t> </w:t>
      </w:r>
      <w:r>
        <w:rPr>
          <w:sz w:val="20"/>
        </w:rPr>
        <w:t>a</w:t>
      </w:r>
      <w:r>
        <w:rPr>
          <w:spacing w:val="4"/>
          <w:sz w:val="20"/>
        </w:rPr>
        <w:t> </w:t>
      </w:r>
      <w:r>
        <w:rPr>
          <w:sz w:val="20"/>
        </w:rPr>
        <w:t>fraud</w:t>
      </w:r>
      <w:r>
        <w:rPr>
          <w:spacing w:val="4"/>
          <w:sz w:val="20"/>
        </w:rPr>
        <w:t> </w:t>
      </w:r>
      <w:r>
        <w:rPr>
          <w:sz w:val="20"/>
        </w:rPr>
        <w:t>case</w:t>
      </w:r>
      <w:r>
        <w:rPr>
          <w:spacing w:val="4"/>
          <w:sz w:val="20"/>
        </w:rPr>
        <w:t> </w:t>
      </w:r>
      <w:r>
        <w:rPr>
          <w:sz w:val="20"/>
        </w:rPr>
        <w:t>does</w:t>
      </w:r>
      <w:r>
        <w:rPr>
          <w:spacing w:val="4"/>
          <w:sz w:val="20"/>
        </w:rPr>
        <w:t> </w:t>
      </w:r>
      <w:r>
        <w:rPr>
          <w:sz w:val="20"/>
        </w:rPr>
        <w:t>not</w:t>
      </w:r>
      <w:r>
        <w:rPr>
          <w:spacing w:val="4"/>
          <w:sz w:val="20"/>
        </w:rPr>
        <w:t> </w:t>
      </w:r>
      <w:r>
        <w:rPr>
          <w:sz w:val="20"/>
        </w:rPr>
        <w:t>differ</w:t>
      </w:r>
      <w:r>
        <w:rPr>
          <w:spacing w:val="4"/>
          <w:sz w:val="20"/>
        </w:rPr>
        <w:t> </w:t>
      </w:r>
      <w:r>
        <w:rPr>
          <w:sz w:val="20"/>
        </w:rPr>
        <w:t>from</w:t>
      </w:r>
      <w:r>
        <w:rPr>
          <w:spacing w:val="4"/>
          <w:sz w:val="20"/>
        </w:rPr>
        <w:t> </w:t>
      </w:r>
      <w:r>
        <w:rPr>
          <w:sz w:val="20"/>
        </w:rPr>
        <w:t>that</w:t>
      </w:r>
      <w:r>
        <w:rPr>
          <w:spacing w:val="4"/>
          <w:sz w:val="20"/>
        </w:rPr>
        <w:t> </w:t>
      </w:r>
      <w:r>
        <w:rPr>
          <w:sz w:val="20"/>
        </w:rPr>
        <w:t>in</w:t>
      </w:r>
      <w:r>
        <w:rPr>
          <w:spacing w:val="4"/>
          <w:sz w:val="20"/>
        </w:rPr>
        <w:t> </w:t>
      </w:r>
      <w:r>
        <w:rPr>
          <w:sz w:val="20"/>
        </w:rPr>
        <w:t>any</w:t>
      </w:r>
      <w:r>
        <w:rPr>
          <w:spacing w:val="4"/>
          <w:sz w:val="20"/>
        </w:rPr>
        <w:t> </w:t>
      </w:r>
      <w:r>
        <w:rPr>
          <w:sz w:val="20"/>
        </w:rPr>
        <w:t>tortious</w:t>
      </w:r>
      <w:r>
        <w:rPr>
          <w:spacing w:val="4"/>
          <w:sz w:val="20"/>
        </w:rPr>
        <w:t> </w:t>
      </w:r>
      <w:r>
        <w:rPr>
          <w:sz w:val="20"/>
        </w:rPr>
        <w:t>or</w:t>
      </w:r>
      <w:r>
        <w:rPr>
          <w:spacing w:val="4"/>
          <w:sz w:val="20"/>
        </w:rPr>
        <w:t> </w:t>
      </w:r>
      <w:r>
        <w:rPr>
          <w:sz w:val="20"/>
        </w:rPr>
        <w:t>contractual</w:t>
      </w:r>
      <w:r>
        <w:rPr>
          <w:spacing w:val="4"/>
          <w:sz w:val="20"/>
        </w:rPr>
        <w:t> </w:t>
      </w:r>
      <w:r>
        <w:rPr>
          <w:sz w:val="20"/>
        </w:rPr>
        <w:t>claim:</w:t>
      </w:r>
      <w:r>
        <w:rPr>
          <w:spacing w:val="3"/>
          <w:sz w:val="20"/>
        </w:rPr>
        <w:t> </w:t>
      </w:r>
      <w:r>
        <w:rPr>
          <w:rFonts w:ascii="Arial"/>
          <w:i/>
          <w:spacing w:val="-2"/>
          <w:sz w:val="20"/>
        </w:rPr>
        <w:t>Standard</w:t>
      </w:r>
    </w:p>
    <w:p>
      <w:pPr>
        <w:spacing w:after="0" w:line="235" w:lineRule="auto"/>
        <w:jc w:val="both"/>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Chartered</w:t>
      </w:r>
      <w:r>
        <w:rPr>
          <w:rFonts w:ascii="Arial"/>
          <w:i/>
          <w:spacing w:val="40"/>
          <w:sz w:val="20"/>
        </w:rPr>
        <w:t> </w:t>
      </w:r>
      <w:r>
        <w:rPr>
          <w:rFonts w:ascii="Arial"/>
          <w:i/>
          <w:sz w:val="20"/>
        </w:rPr>
        <w:t>Bank</w:t>
      </w:r>
      <w:r>
        <w:rPr>
          <w:rFonts w:ascii="Arial"/>
          <w:i/>
          <w:spacing w:val="40"/>
          <w:sz w:val="20"/>
        </w:rPr>
        <w:t> </w:t>
      </w:r>
      <w:r>
        <w:rPr>
          <w:rFonts w:ascii="Arial"/>
          <w:i/>
          <w:sz w:val="20"/>
        </w:rPr>
        <w:t>v</w:t>
      </w:r>
      <w:r>
        <w:rPr>
          <w:rFonts w:ascii="Arial"/>
          <w:i/>
          <w:spacing w:val="40"/>
          <w:sz w:val="20"/>
        </w:rPr>
        <w:t> </w:t>
      </w:r>
      <w:r>
        <w:rPr>
          <w:rFonts w:ascii="Arial"/>
          <w:i/>
          <w:sz w:val="20"/>
        </w:rPr>
        <w:t>Pakistan</w:t>
      </w:r>
      <w:r>
        <w:rPr>
          <w:rFonts w:ascii="Arial"/>
          <w:i/>
          <w:spacing w:val="40"/>
          <w:sz w:val="20"/>
        </w:rPr>
        <w:t> </w:t>
      </w:r>
      <w:r>
        <w:rPr>
          <w:rFonts w:ascii="Arial"/>
          <w:i/>
          <w:sz w:val="20"/>
        </w:rPr>
        <w:t>National</w:t>
      </w:r>
      <w:r>
        <w:rPr>
          <w:rFonts w:ascii="Arial"/>
          <w:i/>
          <w:spacing w:val="40"/>
          <w:sz w:val="20"/>
        </w:rPr>
        <w:t> </w:t>
      </w:r>
      <w:r>
        <w:rPr>
          <w:rFonts w:ascii="Arial"/>
          <w:i/>
          <w:sz w:val="20"/>
        </w:rPr>
        <w:t>Shipping</w:t>
      </w:r>
      <w:r>
        <w:rPr>
          <w:rFonts w:ascii="Arial"/>
          <w:i/>
          <w:spacing w:val="40"/>
          <w:sz w:val="20"/>
        </w:rPr>
        <w:t> </w:t>
      </w:r>
      <w:r>
        <w:rPr>
          <w:rFonts w:ascii="Arial"/>
          <w:i/>
          <w:sz w:val="20"/>
        </w:rPr>
        <w:t>Corp</w:t>
      </w:r>
      <w:r>
        <w:rPr>
          <w:rFonts w:ascii="Arial"/>
          <w:i/>
          <w:spacing w:val="40"/>
          <w:sz w:val="20"/>
        </w:rPr>
        <w:t> </w:t>
      </w:r>
      <w:r>
        <w:rPr>
          <w:rFonts w:ascii="Arial"/>
          <w:i/>
          <w:sz w:val="20"/>
        </w:rPr>
        <w:t>[1999]</w:t>
      </w:r>
      <w:r>
        <w:rPr>
          <w:rFonts w:ascii="Arial"/>
          <w:i/>
          <w:spacing w:val="40"/>
          <w:sz w:val="20"/>
        </w:rPr>
        <w:t> </w:t>
      </w:r>
      <w:r>
        <w:rPr>
          <w:rFonts w:ascii="Arial"/>
          <w:i/>
          <w:sz w:val="20"/>
        </w:rPr>
        <w:t>1</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(Comm)</w:t>
      </w:r>
      <w:r>
        <w:rPr>
          <w:rFonts w:ascii="Arial"/>
          <w:i/>
          <w:spacing w:val="40"/>
          <w:sz w:val="20"/>
        </w:rPr>
        <w:t> </w:t>
      </w:r>
      <w:r>
        <w:rPr>
          <w:rFonts w:ascii="Arial"/>
          <w:i/>
          <w:sz w:val="20"/>
        </w:rPr>
        <w:t>417</w:t>
      </w:r>
      <w:r>
        <w:rPr>
          <w:rFonts w:ascii="Arial"/>
          <w:i/>
          <w:spacing w:val="40"/>
          <w:sz w:val="20"/>
        </w:rPr>
        <w:t> </w:t>
      </w:r>
      <w:r>
        <w:rPr>
          <w:rFonts w:ascii="Arial"/>
          <w:i/>
          <w:sz w:val="20"/>
        </w:rPr>
        <w:t>(upheld [2001] 1 All E.R. (Comm) 822 CA</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856" w:id="858"/>
      <w:bookmarkEnd w:id="858"/>
      <w:r>
        <w:rPr/>
      </w:r>
      <w:hyperlink w:history="true" w:anchor="_bookmark838">
        <w:r>
          <w:rPr>
            <w:color w:val="005DA1"/>
            <w:spacing w:val="-4"/>
            <w:sz w:val="14"/>
            <w:u w:val="single" w:color="005DA1"/>
          </w:rPr>
          <w:t>441</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Darbishire v Warran [1963] 1 W.L.R. 1067, 1075</w:t>
      </w:r>
      <w:r>
        <w:rPr>
          <w:sz w:val="20"/>
        </w:rPr>
        <w:t>; </w:t>
      </w:r>
      <w:r>
        <w:rPr>
          <w:rFonts w:ascii="Arial" w:hAnsi="Arial"/>
          <w:i/>
          <w:sz w:val="20"/>
        </w:rPr>
        <w:t>The Solholt [1983] 1 Lloyd’s Rep. 605, 608 CA</w:t>
      </w:r>
      <w:r>
        <w:rPr>
          <w:sz w:val="20"/>
        </w:rPr>
        <w:t>. For a recent example, see </w:t>
      </w:r>
      <w:r>
        <w:rPr>
          <w:rFonts w:ascii="Arial" w:hAnsi="Arial"/>
          <w:i/>
          <w:sz w:val="20"/>
        </w:rPr>
        <w:t>IG Index Ltd v Ehrentreu [2015] EWHC 3390 (QB)</w:t>
      </w:r>
      <w:r>
        <w:rPr>
          <w:sz w:val="20"/>
        </w:rPr>
        <w:t>, quoting this passage</w:t>
      </w:r>
      <w:r>
        <w:rPr>
          <w:spacing w:val="15"/>
          <w:sz w:val="20"/>
        </w:rPr>
        <w:t> </w:t>
      </w:r>
      <w:r>
        <w:rPr>
          <w:sz w:val="20"/>
        </w:rPr>
        <w:t>in</w:t>
      </w:r>
      <w:r>
        <w:rPr>
          <w:spacing w:val="15"/>
          <w:sz w:val="20"/>
        </w:rPr>
        <w:t> </w:t>
      </w:r>
      <w:r>
        <w:rPr>
          <w:sz w:val="20"/>
        </w:rPr>
        <w:t>the</w:t>
      </w:r>
      <w:r>
        <w:rPr>
          <w:spacing w:val="15"/>
          <w:sz w:val="20"/>
        </w:rPr>
        <w:t> </w:t>
      </w:r>
      <w:r>
        <w:rPr>
          <w:sz w:val="20"/>
        </w:rPr>
        <w:t>31st</w:t>
      </w:r>
      <w:r>
        <w:rPr>
          <w:spacing w:val="15"/>
          <w:sz w:val="20"/>
        </w:rPr>
        <w:t> </w:t>
      </w:r>
      <w:r>
        <w:rPr>
          <w:sz w:val="20"/>
        </w:rPr>
        <w:t>edn</w:t>
      </w:r>
      <w:r>
        <w:rPr>
          <w:spacing w:val="15"/>
          <w:sz w:val="20"/>
        </w:rPr>
        <w:t> </w:t>
      </w:r>
      <w:r>
        <w:rPr>
          <w:sz w:val="20"/>
        </w:rPr>
        <w:t>(at</w:t>
      </w:r>
      <w:r>
        <w:rPr>
          <w:spacing w:val="15"/>
          <w:sz w:val="20"/>
        </w:rPr>
        <w:t> </w:t>
      </w:r>
      <w:r>
        <w:rPr>
          <w:sz w:val="20"/>
        </w:rPr>
        <w:t>[120]).</w:t>
      </w:r>
      <w:r>
        <w:rPr>
          <w:spacing w:val="15"/>
          <w:sz w:val="20"/>
        </w:rPr>
        <w:t> </w:t>
      </w:r>
      <w:r>
        <w:rPr>
          <w:sz w:val="20"/>
        </w:rPr>
        <w:t>Permission</w:t>
      </w:r>
      <w:r>
        <w:rPr>
          <w:spacing w:val="15"/>
          <w:sz w:val="20"/>
        </w:rPr>
        <w:t> </w:t>
      </w:r>
      <w:r>
        <w:rPr>
          <w:sz w:val="20"/>
        </w:rPr>
        <w:t>to</w:t>
      </w:r>
      <w:r>
        <w:rPr>
          <w:spacing w:val="15"/>
          <w:sz w:val="20"/>
        </w:rPr>
        <w:t> </w:t>
      </w:r>
      <w:r>
        <w:rPr>
          <w:sz w:val="20"/>
        </w:rPr>
        <w:t>appeal</w:t>
      </w:r>
      <w:r>
        <w:rPr>
          <w:spacing w:val="15"/>
          <w:sz w:val="20"/>
        </w:rPr>
        <w:t> </w:t>
      </w:r>
      <w:r>
        <w:rPr>
          <w:sz w:val="20"/>
        </w:rPr>
        <w:t>has</w:t>
      </w:r>
      <w:r>
        <w:rPr>
          <w:spacing w:val="15"/>
          <w:sz w:val="20"/>
        </w:rPr>
        <w:t> </w:t>
      </w:r>
      <w:r>
        <w:rPr>
          <w:sz w:val="20"/>
        </w:rPr>
        <w:t>been</w:t>
      </w:r>
      <w:r>
        <w:rPr>
          <w:spacing w:val="15"/>
          <w:sz w:val="20"/>
        </w:rPr>
        <w:t> </w:t>
      </w:r>
      <w:r>
        <w:rPr>
          <w:sz w:val="20"/>
        </w:rPr>
        <w:t>granted:</w:t>
      </w:r>
      <w:r>
        <w:rPr>
          <w:spacing w:val="14"/>
          <w:sz w:val="20"/>
        </w:rPr>
        <w:t> </w:t>
      </w:r>
      <w:r>
        <w:rPr>
          <w:rFonts w:ascii="Arial" w:hAnsi="Arial"/>
          <w:i/>
          <w:sz w:val="20"/>
        </w:rPr>
        <w:t>[2017]</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pacing w:val="-5"/>
          <w:sz w:val="20"/>
        </w:rPr>
        <w:t>Civ</w:t>
      </w:r>
    </w:p>
    <w:p>
      <w:pPr>
        <w:spacing w:line="235" w:lineRule="auto" w:before="0"/>
        <w:ind w:left="165" w:right="167" w:firstLine="0"/>
        <w:jc w:val="both"/>
        <w:rPr>
          <w:sz w:val="20"/>
        </w:rPr>
      </w:pPr>
      <w:r>
        <w:rPr>
          <w:sz w:val="20"/>
        </w:rPr>
        <w:drawing>
          <wp:anchor distT="0" distB="0" distL="0" distR="0" allowOverlap="1" layoutInCell="1" locked="0" behindDoc="0" simplePos="0" relativeHeight="15778816">
            <wp:simplePos x="0" y="0"/>
            <wp:positionH relativeFrom="page">
              <wp:posOffset>1257846</wp:posOffset>
            </wp:positionH>
            <wp:positionV relativeFrom="paragraph">
              <wp:posOffset>-403301</wp:posOffset>
            </wp:positionV>
            <wp:extent cx="107988" cy="107988"/>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326</w:t>
      </w:r>
      <w:r>
        <w:rPr>
          <w:sz w:val="20"/>
        </w:rPr>
        <w:t>. Only the claimant’s net gain from his mitigating effort will be deducted—he may set off against his substitute profits or earnings the reasonable expenses incurred in obtaining </w:t>
      </w:r>
      <w:r>
        <w:rPr>
          <w:sz w:val="20"/>
        </w:rPr>
        <w:t>them: </w:t>
      </w:r>
      <w:r>
        <w:rPr>
          <w:rFonts w:ascii="Arial" w:hAnsi="Arial"/>
          <w:i/>
          <w:sz w:val="20"/>
        </w:rPr>
        <w:t>Westwood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Secretary</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State</w:t>
      </w:r>
      <w:r>
        <w:rPr>
          <w:rFonts w:ascii="Arial" w:hAnsi="Arial"/>
          <w:i/>
          <w:spacing w:val="40"/>
          <w:sz w:val="20"/>
        </w:rPr>
        <w:t> </w:t>
      </w:r>
      <w:r>
        <w:rPr>
          <w:rFonts w:ascii="Arial" w:hAnsi="Arial"/>
          <w:i/>
          <w:sz w:val="20"/>
        </w:rPr>
        <w:t>for</w:t>
      </w:r>
      <w:r>
        <w:rPr>
          <w:rFonts w:ascii="Arial" w:hAnsi="Arial"/>
          <w:i/>
          <w:spacing w:val="40"/>
          <w:sz w:val="20"/>
        </w:rPr>
        <w:t> </w:t>
      </w:r>
      <w:r>
        <w:rPr>
          <w:rFonts w:ascii="Arial" w:hAnsi="Arial"/>
          <w:i/>
          <w:sz w:val="20"/>
        </w:rPr>
        <w:t>Employment</w:t>
      </w:r>
      <w:r>
        <w:rPr>
          <w:rFonts w:ascii="Arial" w:hAnsi="Arial"/>
          <w:i/>
          <w:spacing w:val="40"/>
          <w:sz w:val="20"/>
        </w:rPr>
        <w:t> </w:t>
      </w:r>
      <w:r>
        <w:rPr>
          <w:rFonts w:ascii="Arial" w:hAnsi="Arial"/>
          <w:i/>
          <w:sz w:val="20"/>
        </w:rPr>
        <w:t>[1985]</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20,</w:t>
      </w:r>
      <w:r>
        <w:rPr>
          <w:rFonts w:ascii="Arial" w:hAnsi="Arial"/>
          <w:i/>
          <w:spacing w:val="40"/>
          <w:sz w:val="20"/>
        </w:rPr>
        <w:t> </w:t>
      </w:r>
      <w:r>
        <w:rPr>
          <w:rFonts w:ascii="Arial" w:hAnsi="Arial"/>
          <w:i/>
          <w:sz w:val="20"/>
        </w:rPr>
        <w:t>44</w:t>
      </w:r>
      <w:r>
        <w:rPr>
          <w:sz w:val="20"/>
        </w:rPr>
        <w:t>.</w:t>
      </w:r>
      <w:r>
        <w:rPr>
          <w:spacing w:val="40"/>
          <w:sz w:val="20"/>
        </w:rPr>
        <w:t> </w:t>
      </w:r>
      <w:r>
        <w:rPr>
          <w:sz w:val="20"/>
        </w:rPr>
        <w:t>See</w:t>
      </w:r>
      <w:r>
        <w:rPr>
          <w:spacing w:val="40"/>
          <w:sz w:val="20"/>
        </w:rPr>
        <w:t> </w:t>
      </w:r>
      <w:r>
        <w:rPr>
          <w:sz w:val="20"/>
        </w:rPr>
        <w:t>further</w:t>
      </w:r>
      <w:r>
        <w:rPr>
          <w:spacing w:val="40"/>
          <w:sz w:val="20"/>
        </w:rPr>
        <w:t> </w:t>
      </w:r>
      <w:r>
        <w:rPr>
          <w:sz w:val="20"/>
        </w:rPr>
        <w:t>below, </w:t>
      </w:r>
      <w:r>
        <w:rPr>
          <w:spacing w:val="-2"/>
          <w:sz w:val="20"/>
        </w:rPr>
        <w:t>para.26-095.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857" w:id="859"/>
      <w:bookmarkEnd w:id="859"/>
      <w:r>
        <w:rPr/>
      </w:r>
      <w:hyperlink w:history="true" w:anchor="_bookmark839">
        <w:r>
          <w:rPr>
            <w:color w:val="005DA1"/>
            <w:spacing w:val="-4"/>
            <w:position w:val="5"/>
            <w:sz w:val="14"/>
            <w:u w:val="single" w:color="005DA1"/>
          </w:rPr>
          <w:t>442</w:t>
        </w:r>
      </w:hyperlink>
      <w:r>
        <w:rPr>
          <w:spacing w:val="-4"/>
          <w:position w:val="5"/>
          <w:sz w:val="14"/>
        </w:rPr>
        <w:t>.</w:t>
      </w:r>
      <w:r>
        <w:rPr>
          <w:position w:val="5"/>
          <w:sz w:val="14"/>
        </w:rPr>
        <w:tab/>
      </w:r>
      <w:r>
        <w:rPr>
          <w:rFonts w:ascii="Arial"/>
          <w:i/>
          <w:sz w:val="20"/>
        </w:rPr>
        <w:t>Roper</w:t>
      </w:r>
      <w:r>
        <w:rPr>
          <w:rFonts w:ascii="Arial"/>
          <w:i/>
          <w:spacing w:val="1"/>
          <w:sz w:val="20"/>
        </w:rPr>
        <w:t> </w:t>
      </w:r>
      <w:r>
        <w:rPr>
          <w:rFonts w:ascii="Arial"/>
          <w:i/>
          <w:sz w:val="20"/>
        </w:rPr>
        <w:t>v</w:t>
      </w:r>
      <w:r>
        <w:rPr>
          <w:rFonts w:ascii="Arial"/>
          <w:i/>
          <w:spacing w:val="4"/>
          <w:sz w:val="20"/>
        </w:rPr>
        <w:t> </w:t>
      </w:r>
      <w:r>
        <w:rPr>
          <w:rFonts w:ascii="Arial"/>
          <w:i/>
          <w:sz w:val="20"/>
        </w:rPr>
        <w:t>Johnson</w:t>
      </w:r>
      <w:r>
        <w:rPr>
          <w:rFonts w:ascii="Arial"/>
          <w:i/>
          <w:spacing w:val="4"/>
          <w:sz w:val="20"/>
        </w:rPr>
        <w:t> </w:t>
      </w:r>
      <w:r>
        <w:rPr>
          <w:rFonts w:ascii="Arial"/>
          <w:i/>
          <w:sz w:val="20"/>
        </w:rPr>
        <w:t>(1873)</w:t>
      </w:r>
      <w:r>
        <w:rPr>
          <w:rFonts w:ascii="Arial"/>
          <w:i/>
          <w:spacing w:val="4"/>
          <w:sz w:val="20"/>
        </w:rPr>
        <w:t> </w:t>
      </w:r>
      <w:r>
        <w:rPr>
          <w:rFonts w:ascii="Arial"/>
          <w:i/>
          <w:sz w:val="20"/>
        </w:rPr>
        <w:t>L.R.</w:t>
      </w:r>
      <w:r>
        <w:rPr>
          <w:rFonts w:ascii="Arial"/>
          <w:i/>
          <w:spacing w:val="4"/>
          <w:sz w:val="20"/>
        </w:rPr>
        <w:t> </w:t>
      </w:r>
      <w:r>
        <w:rPr>
          <w:rFonts w:ascii="Arial"/>
          <w:i/>
          <w:sz w:val="20"/>
        </w:rPr>
        <w:t>8</w:t>
      </w:r>
      <w:r>
        <w:rPr>
          <w:rFonts w:ascii="Arial"/>
          <w:i/>
          <w:spacing w:val="4"/>
          <w:sz w:val="20"/>
        </w:rPr>
        <w:t> </w:t>
      </w:r>
      <w:r>
        <w:rPr>
          <w:rFonts w:ascii="Arial"/>
          <w:i/>
          <w:sz w:val="20"/>
        </w:rPr>
        <w:t>C.P.</w:t>
      </w:r>
      <w:r>
        <w:rPr>
          <w:rFonts w:ascii="Arial"/>
          <w:i/>
          <w:spacing w:val="4"/>
          <w:sz w:val="20"/>
        </w:rPr>
        <w:t> </w:t>
      </w:r>
      <w:r>
        <w:rPr>
          <w:rFonts w:ascii="Arial"/>
          <w:i/>
          <w:sz w:val="20"/>
        </w:rPr>
        <w:t>167</w:t>
      </w:r>
      <w:r>
        <w:rPr>
          <w:sz w:val="20"/>
        </w:rPr>
        <w:t>;</w:t>
      </w:r>
      <w:r>
        <w:rPr>
          <w:spacing w:val="4"/>
          <w:sz w:val="20"/>
        </w:rPr>
        <w:t> </w:t>
      </w:r>
      <w:r>
        <w:rPr>
          <w:rFonts w:ascii="Arial"/>
          <w:i/>
          <w:sz w:val="20"/>
        </w:rPr>
        <w:t>Pilkington</w:t>
      </w:r>
      <w:r>
        <w:rPr>
          <w:rFonts w:ascii="Arial"/>
          <w:i/>
          <w:spacing w:val="3"/>
          <w:sz w:val="20"/>
        </w:rPr>
        <w:t> </w:t>
      </w:r>
      <w:r>
        <w:rPr>
          <w:rFonts w:ascii="Arial"/>
          <w:i/>
          <w:sz w:val="20"/>
        </w:rPr>
        <w:t>v</w:t>
      </w:r>
      <w:r>
        <w:rPr>
          <w:rFonts w:ascii="Arial"/>
          <w:i/>
          <w:spacing w:val="4"/>
          <w:sz w:val="20"/>
        </w:rPr>
        <w:t> </w:t>
      </w:r>
      <w:r>
        <w:rPr>
          <w:rFonts w:ascii="Arial"/>
          <w:i/>
          <w:sz w:val="20"/>
        </w:rPr>
        <w:t>Wood</w:t>
      </w:r>
      <w:r>
        <w:rPr>
          <w:rFonts w:ascii="Arial"/>
          <w:i/>
          <w:spacing w:val="4"/>
          <w:sz w:val="20"/>
        </w:rPr>
        <w:t> </w:t>
      </w:r>
      <w:r>
        <w:rPr>
          <w:rFonts w:ascii="Arial"/>
          <w:i/>
          <w:sz w:val="20"/>
        </w:rPr>
        <w:t>[1953]</w:t>
      </w:r>
      <w:r>
        <w:rPr>
          <w:rFonts w:ascii="Arial"/>
          <w:i/>
          <w:spacing w:val="4"/>
          <w:sz w:val="20"/>
        </w:rPr>
        <w:t> </w:t>
      </w:r>
      <w:r>
        <w:rPr>
          <w:rFonts w:ascii="Arial"/>
          <w:i/>
          <w:sz w:val="20"/>
        </w:rPr>
        <w:t>Ch.</w:t>
      </w:r>
      <w:r>
        <w:rPr>
          <w:rFonts w:ascii="Arial"/>
          <w:i/>
          <w:spacing w:val="4"/>
          <w:sz w:val="20"/>
        </w:rPr>
        <w:t> </w:t>
      </w:r>
      <w:r>
        <w:rPr>
          <w:rFonts w:ascii="Arial"/>
          <w:i/>
          <w:sz w:val="20"/>
        </w:rPr>
        <w:t>770</w:t>
      </w:r>
      <w:r>
        <w:rPr>
          <w:sz w:val="20"/>
        </w:rPr>
        <w:t>;</w:t>
      </w:r>
      <w:r>
        <w:rPr>
          <w:spacing w:val="4"/>
          <w:sz w:val="20"/>
        </w:rPr>
        <w:t> </w:t>
      </w:r>
      <w:r>
        <w:rPr>
          <w:rFonts w:ascii="Arial"/>
          <w:i/>
          <w:sz w:val="20"/>
        </w:rPr>
        <w:t>Edwards</w:t>
      </w:r>
      <w:r>
        <w:rPr>
          <w:rFonts w:ascii="Arial"/>
          <w:i/>
          <w:spacing w:val="4"/>
          <w:sz w:val="20"/>
        </w:rPr>
        <w:t> </w:t>
      </w:r>
      <w:r>
        <w:rPr>
          <w:rFonts w:ascii="Arial"/>
          <w:i/>
          <w:sz w:val="20"/>
        </w:rPr>
        <w:t>v</w:t>
      </w:r>
      <w:r>
        <w:rPr>
          <w:rFonts w:ascii="Arial"/>
          <w:i/>
          <w:spacing w:val="4"/>
          <w:sz w:val="20"/>
        </w:rPr>
        <w:t> </w:t>
      </w:r>
      <w:r>
        <w:rPr>
          <w:rFonts w:ascii="Arial"/>
          <w:i/>
          <w:spacing w:val="-2"/>
          <w:sz w:val="20"/>
        </w:rPr>
        <w:t>Society</w:t>
      </w:r>
    </w:p>
    <w:p>
      <w:pPr>
        <w:spacing w:line="227" w:lineRule="exact" w:before="0"/>
        <w:ind w:left="705" w:right="0" w:firstLine="0"/>
        <w:jc w:val="left"/>
        <w:rPr>
          <w:sz w:val="20"/>
        </w:rPr>
      </w:pPr>
      <w:r>
        <w:rPr>
          <w:rFonts w:ascii="Arial"/>
          <w:i/>
          <w:sz w:val="20"/>
        </w:rPr>
        <w:t>of</w:t>
      </w:r>
      <w:r>
        <w:rPr>
          <w:rFonts w:ascii="Arial"/>
          <w:i/>
          <w:spacing w:val="-1"/>
          <w:sz w:val="20"/>
        </w:rPr>
        <w:t> </w:t>
      </w:r>
      <w:r>
        <w:rPr>
          <w:rFonts w:ascii="Arial"/>
          <w:i/>
          <w:sz w:val="20"/>
        </w:rPr>
        <w:t>Graphical and Allied Trades [1971] Ch. 354</w:t>
      </w:r>
      <w:r>
        <w:rPr>
          <w:sz w:val="20"/>
        </w:rPr>
        <w:t>; </w:t>
      </w:r>
      <w:r>
        <w:rPr>
          <w:rFonts w:ascii="Arial"/>
          <w:i/>
          <w:sz w:val="20"/>
        </w:rPr>
        <w:t>Strutt v Whitnell [1975] 1 W.L.R. </w:t>
      </w:r>
      <w:r>
        <w:rPr>
          <w:rFonts w:ascii="Arial"/>
          <w:i/>
          <w:spacing w:val="-4"/>
          <w:sz w:val="20"/>
        </w:rPr>
        <w:t>870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58" w:id="860"/>
      <w:bookmarkEnd w:id="860"/>
      <w:r>
        <w:rPr/>
      </w:r>
      <w:hyperlink w:history="true" w:anchor="_bookmark839">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Standard Chartered Bank v Pakistan National Shipping Corp [2001] 1 All E.R. (Comm) 822 </w:t>
      </w:r>
      <w:r>
        <w:rPr>
          <w:rFonts w:ascii="Arial"/>
          <w:i/>
          <w:spacing w:val="-5"/>
          <w:sz w:val="20"/>
        </w:rPr>
        <w:t>CA</w:t>
      </w:r>
      <w:r>
        <w:rPr>
          <w:spacing w:val="-5"/>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859" w:id="861"/>
      <w:bookmarkEnd w:id="861"/>
      <w:r>
        <w:rPr/>
      </w:r>
      <w:hyperlink w:history="true" w:anchor="_bookmark840">
        <w:r>
          <w:rPr>
            <w:color w:val="005DA1"/>
            <w:spacing w:val="-4"/>
            <w:position w:val="5"/>
            <w:sz w:val="14"/>
            <w:u w:val="single" w:color="005DA1"/>
          </w:rPr>
          <w:t>444</w:t>
        </w:r>
      </w:hyperlink>
      <w:r>
        <w:rPr>
          <w:spacing w:val="-4"/>
          <w:position w:val="5"/>
          <w:sz w:val="14"/>
        </w:rPr>
        <w:t>.</w:t>
      </w:r>
      <w:r>
        <w:rPr>
          <w:position w:val="5"/>
          <w:sz w:val="14"/>
        </w:rPr>
        <w:tab/>
      </w:r>
      <w:r>
        <w:rPr>
          <w:rFonts w:ascii="Arial"/>
          <w:i/>
          <w:sz w:val="20"/>
        </w:rPr>
        <w:t>Shindler</w:t>
      </w:r>
      <w:r>
        <w:rPr>
          <w:rFonts w:ascii="Arial"/>
          <w:i/>
          <w:spacing w:val="-1"/>
          <w:sz w:val="20"/>
        </w:rPr>
        <w:t> </w:t>
      </w:r>
      <w:r>
        <w:rPr>
          <w:rFonts w:ascii="Arial"/>
          <w:i/>
          <w:sz w:val="20"/>
        </w:rPr>
        <w:t>v</w:t>
      </w:r>
      <w:r>
        <w:rPr>
          <w:rFonts w:ascii="Arial"/>
          <w:i/>
          <w:spacing w:val="-1"/>
          <w:sz w:val="20"/>
        </w:rPr>
        <w:t> </w:t>
      </w:r>
      <w:r>
        <w:rPr>
          <w:rFonts w:ascii="Arial"/>
          <w:i/>
          <w:sz w:val="20"/>
        </w:rPr>
        <w:t>Northern</w:t>
      </w:r>
      <w:r>
        <w:rPr>
          <w:rFonts w:ascii="Arial"/>
          <w:i/>
          <w:spacing w:val="-1"/>
          <w:sz w:val="20"/>
        </w:rPr>
        <w:t> </w:t>
      </w:r>
      <w:r>
        <w:rPr>
          <w:rFonts w:ascii="Arial"/>
          <w:i/>
          <w:sz w:val="20"/>
        </w:rPr>
        <w:t>Raincoat</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[1960]</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1038</w:t>
      </w:r>
      <w:r>
        <w:rPr>
          <w:sz w:val="20"/>
        </w:rPr>
        <w:t>;</w:t>
      </w:r>
      <w:r>
        <w:rPr>
          <w:spacing w:val="-1"/>
          <w:sz w:val="20"/>
        </w:rPr>
        <w:t> </w:t>
      </w:r>
      <w:r>
        <w:rPr>
          <w:rFonts w:ascii="Arial"/>
          <w:i/>
          <w:sz w:val="20"/>
        </w:rPr>
        <w:t>Yetton</w:t>
      </w:r>
      <w:r>
        <w:rPr>
          <w:rFonts w:ascii="Arial"/>
          <w:i/>
          <w:spacing w:val="-1"/>
          <w:sz w:val="20"/>
        </w:rPr>
        <w:t> </w:t>
      </w:r>
      <w:r>
        <w:rPr>
          <w:rFonts w:ascii="Arial"/>
          <w:i/>
          <w:sz w:val="20"/>
        </w:rPr>
        <w:t>v</w:t>
      </w:r>
      <w:r>
        <w:rPr>
          <w:rFonts w:ascii="Arial"/>
          <w:i/>
          <w:spacing w:val="-1"/>
          <w:sz w:val="20"/>
        </w:rPr>
        <w:t> </w:t>
      </w:r>
      <w:r>
        <w:rPr>
          <w:rFonts w:ascii="Arial"/>
          <w:i/>
          <w:sz w:val="20"/>
        </w:rPr>
        <w:t>Eastwoods</w:t>
      </w:r>
      <w:r>
        <w:rPr>
          <w:rFonts w:ascii="Arial"/>
          <w:i/>
          <w:spacing w:val="-1"/>
          <w:sz w:val="20"/>
        </w:rPr>
        <w:t> </w:t>
      </w:r>
      <w:r>
        <w:rPr>
          <w:rFonts w:ascii="Arial"/>
          <w:i/>
          <w:sz w:val="20"/>
        </w:rPr>
        <w:t>Froy</w:t>
      </w:r>
      <w:r>
        <w:rPr>
          <w:rFonts w:ascii="Arial"/>
          <w:i/>
          <w:spacing w:val="-1"/>
          <w:sz w:val="20"/>
        </w:rPr>
        <w:t> </w:t>
      </w:r>
      <w:r>
        <w:rPr>
          <w:rFonts w:ascii="Arial"/>
          <w:i/>
          <w:sz w:val="20"/>
        </w:rPr>
        <w:t>Ltd</w:t>
      </w:r>
      <w:r>
        <w:rPr>
          <w:rFonts w:ascii="Arial"/>
          <w:i/>
          <w:spacing w:val="-1"/>
          <w:sz w:val="20"/>
        </w:rPr>
        <w:t> </w:t>
      </w:r>
      <w:r>
        <w:rPr>
          <w:rFonts w:ascii="Arial"/>
          <w:i/>
          <w:sz w:val="20"/>
        </w:rPr>
        <w:t>[1967] 1 W.L.R. 104</w:t>
      </w:r>
      <w:r>
        <w:rPr>
          <w:sz w:val="20"/>
        </w:rPr>
        <w:t>. See Vol.II, para.40-200.</w:t>
      </w:r>
    </w:p>
    <w:p>
      <w:pPr>
        <w:pStyle w:val="BodyText"/>
        <w:spacing w:before="9"/>
      </w:pPr>
    </w:p>
    <w:p>
      <w:pPr>
        <w:spacing w:line="235" w:lineRule="auto" w:before="0"/>
        <w:ind w:left="705" w:right="167" w:hanging="541"/>
        <w:jc w:val="both"/>
        <w:rPr>
          <w:sz w:val="20"/>
        </w:rPr>
      </w:pPr>
      <w:bookmarkStart w:name="_bookmark860" w:id="862"/>
      <w:bookmarkEnd w:id="862"/>
      <w:r>
        <w:rPr/>
      </w:r>
      <w:hyperlink w:history="true" w:anchor="_bookmark841">
        <w:r>
          <w:rPr>
            <w:color w:val="005DA1"/>
            <w:position w:val="5"/>
            <w:sz w:val="14"/>
            <w:u w:val="single" w:color="005DA1"/>
          </w:rPr>
          <w:t>445</w:t>
        </w:r>
      </w:hyperlink>
      <w:r>
        <w:rPr>
          <w:position w:val="5"/>
          <w:sz w:val="14"/>
        </w:rPr>
        <w:t>.</w:t>
      </w:r>
      <w:r>
        <w:rPr>
          <w:spacing w:val="80"/>
          <w:position w:val="5"/>
          <w:sz w:val="14"/>
        </w:rPr>
        <w:t>  </w:t>
      </w:r>
      <w:r>
        <w:rPr>
          <w:rFonts w:ascii="Arial" w:hAnsi="Arial"/>
          <w:i/>
          <w:sz w:val="20"/>
        </w:rPr>
        <w:t>Brace v Calder [1895] 2 Q.B. 253</w:t>
      </w:r>
      <w:r>
        <w:rPr>
          <w:sz w:val="20"/>
        </w:rPr>
        <w:t>. See also </w:t>
      </w:r>
      <w:r>
        <w:rPr>
          <w:rFonts w:ascii="Arial" w:hAnsi="Arial"/>
          <w:i/>
          <w:sz w:val="20"/>
        </w:rPr>
        <w:t>Beckham v Drake (1849) 2 H.L.C. 579, 607–608</w:t>
      </w:r>
      <w:r>
        <w:rPr>
          <w:sz w:val="20"/>
        </w:rPr>
        <w:t>;</w:t>
      </w:r>
      <w:r>
        <w:rPr>
          <w:spacing w:val="80"/>
          <w:sz w:val="20"/>
        </w:rPr>
        <w:t> </w:t>
      </w:r>
      <w:r>
        <w:rPr>
          <w:sz w:val="20"/>
        </w:rPr>
        <w:t>cf. </w:t>
      </w:r>
      <w:r>
        <w:rPr>
          <w:rFonts w:ascii="Arial" w:hAnsi="Arial"/>
          <w:i/>
          <w:sz w:val="20"/>
        </w:rPr>
        <w:t>Harries v Edmunds (1845) 1 Car. &amp; Kir. 686</w:t>
      </w:r>
      <w:r>
        <w:rPr>
          <w:sz w:val="20"/>
        </w:rPr>
        <w:t>; </w:t>
      </w:r>
      <w:r>
        <w:rPr>
          <w:rFonts w:ascii="Arial" w:hAnsi="Arial"/>
          <w:i/>
          <w:sz w:val="20"/>
        </w:rPr>
        <w:t>British Ticket &amp; Stamp Automatic Delivery Co </w:t>
      </w:r>
      <w:r>
        <w:rPr>
          <w:rFonts w:ascii="Arial" w:hAnsi="Arial"/>
          <w:i/>
          <w:sz w:val="20"/>
        </w:rPr>
        <w:t>v Haynes [1921] 1 K.B. 377</w:t>
      </w:r>
      <w:r>
        <w:rPr>
          <w:sz w:val="20"/>
        </w:rPr>
        <w:t>; </w:t>
      </w:r>
      <w:r>
        <w:rPr>
          <w:rFonts w:ascii="Arial" w:hAnsi="Arial"/>
          <w:i/>
          <w:sz w:val="20"/>
        </w:rPr>
        <w:t>Houndsditch Warehouse Co v Waltex Ltd [1944] K.B. 579</w:t>
      </w:r>
      <w:r>
        <w:rPr>
          <w:sz w:val="20"/>
        </w:rPr>
        <w:t>. An employee dismissed without the minimum statutory notice must nevertheless seek alternative employment: </w:t>
      </w:r>
      <w:r>
        <w:rPr>
          <w:rFonts w:ascii="Arial" w:hAnsi="Arial"/>
          <w:i/>
          <w:sz w:val="20"/>
        </w:rPr>
        <w:t>Westwood v Secretary of State for Employment [1985] A.C. 20</w:t>
      </w:r>
      <w:r>
        <w:rPr>
          <w:sz w:val="20"/>
        </w:rPr>
        <w:t>.</w:t>
      </w:r>
    </w:p>
    <w:p>
      <w:pPr>
        <w:pStyle w:val="BodyText"/>
        <w:spacing w:before="8"/>
      </w:pPr>
    </w:p>
    <w:p>
      <w:pPr>
        <w:spacing w:line="235" w:lineRule="auto" w:before="0"/>
        <w:ind w:left="705" w:right="167" w:hanging="541"/>
        <w:jc w:val="both"/>
        <w:rPr>
          <w:sz w:val="20"/>
        </w:rPr>
      </w:pPr>
      <w:bookmarkStart w:name="_bookmark861" w:id="863"/>
      <w:bookmarkEnd w:id="863"/>
      <w:r>
        <w:rPr/>
      </w:r>
      <w:hyperlink w:history="true" w:anchor="_bookmark842">
        <w:r>
          <w:rPr>
            <w:color w:val="005DA1"/>
            <w:position w:val="5"/>
            <w:sz w:val="14"/>
            <w:u w:val="single" w:color="005DA1"/>
          </w:rPr>
          <w:t>446</w:t>
        </w:r>
      </w:hyperlink>
      <w:r>
        <w:rPr>
          <w:position w:val="5"/>
          <w:sz w:val="14"/>
        </w:rPr>
        <w:t>.</w:t>
      </w:r>
      <w:r>
        <w:rPr>
          <w:spacing w:val="80"/>
          <w:w w:val="150"/>
          <w:position w:val="5"/>
          <w:sz w:val="14"/>
        </w:rPr>
        <w:t> </w:t>
      </w:r>
      <w:r>
        <w:rPr>
          <w:rFonts w:ascii="Arial" w:hAnsi="Arial"/>
          <w:i/>
          <w:sz w:val="20"/>
        </w:rPr>
        <w:t>Golden Strait Corp v Nippon Yusen Kubishika Kaisha (The Golden Victory) [2007] UKHL </w:t>
      </w:r>
      <w:r>
        <w:rPr>
          <w:rFonts w:ascii="Arial" w:hAnsi="Arial"/>
          <w:i/>
          <w:sz w:val="20"/>
        </w:rPr>
        <w:t>12, [2007] 2 A.C. 353 </w:t>
      </w:r>
      <w:r>
        <w:rPr>
          <w:sz w:val="20"/>
        </w:rPr>
        <w:t>at [79]; </w:t>
      </w:r>
      <w:r>
        <w:rPr>
          <w:rFonts w:ascii="Arial" w:hAnsi="Arial"/>
          <w:i/>
          <w:sz w:val="20"/>
        </w:rPr>
        <w:t>Maple Leaf Macro Volatility Master Fund v Rouvroy [2009] EWHC</w:t>
      </w:r>
      <w:r>
        <w:rPr>
          <w:rFonts w:ascii="Arial" w:hAnsi="Arial"/>
          <w:i/>
          <w:spacing w:val="40"/>
          <w:sz w:val="20"/>
        </w:rPr>
        <w:t> </w:t>
      </w:r>
      <w:r>
        <w:rPr>
          <w:rFonts w:ascii="Arial" w:hAnsi="Arial"/>
          <w:i/>
          <w:sz w:val="20"/>
        </w:rPr>
        <w:t>257 (Comm), [2009] 1 Lloyd’s Rep. 475 </w:t>
      </w:r>
      <w:r>
        <w:rPr>
          <w:sz w:val="20"/>
        </w:rPr>
        <w:t>at [314]. Likewise, the owner of a vessel who has justifiably terminated a charter is expected to re-charter the vessel if there is an available market: </w:t>
      </w:r>
      <w:r>
        <w:rPr>
          <w:rFonts w:ascii="Arial" w:hAnsi="Arial"/>
          <w:i/>
          <w:sz w:val="20"/>
        </w:rPr>
        <w:t>Spar Shipping AS v Grand China Logistics Holding (Group) Co Ltd [2015] EWHC 718 (Comm)</w:t>
      </w:r>
      <w:r>
        <w:rPr>
          <w:sz w:val="20"/>
        </w:rPr>
        <w:t>. In that case it was held that there was no market in charters for the period remaining under the original charter, so the owner was entitled to the difference between the original charter rate and the actual amount it had been able to earn by employing the vessel in other ways, provided it acted reasonably (at [222]–[223]).</w:t>
      </w: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160281</wp:posOffset>
            </wp:positionV>
            <wp:extent cx="107988" cy="107988"/>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62" w:id="864"/>
      <w:bookmarkEnd w:id="864"/>
      <w:r>
        <w:rPr/>
      </w:r>
      <w:hyperlink w:history="true" w:anchor="_bookmark843">
        <w:r>
          <w:rPr>
            <w:color w:val="005DA1"/>
            <w:spacing w:val="-4"/>
            <w:sz w:val="14"/>
            <w:u w:val="single" w:color="005DA1"/>
          </w:rPr>
          <w:t>447</w:t>
        </w:r>
      </w:hyperlink>
      <w:r>
        <w:rPr>
          <w:spacing w:val="-4"/>
          <w:sz w:val="14"/>
        </w:rPr>
        <w:t>.</w:t>
      </w:r>
    </w:p>
    <w:p>
      <w:pPr>
        <w:spacing w:line="235" w:lineRule="auto" w:before="212"/>
        <w:ind w:left="165" w:right="167" w:firstLine="170"/>
        <w:jc w:val="both"/>
        <w:rPr>
          <w:sz w:val="20"/>
        </w:rPr>
      </w:pPr>
      <w:r>
        <w:rPr/>
        <w:br w:type="column"/>
      </w:r>
      <w:r>
        <w:rPr>
          <w:rFonts w:ascii="Arial"/>
          <w:i/>
          <w:sz w:val="20"/>
        </w:rPr>
        <w:t>Payzu Ltd v Saunders [1919] 2 K.B. 581, 588, 589</w:t>
      </w:r>
      <w:r>
        <w:rPr>
          <w:sz w:val="20"/>
        </w:rPr>
        <w:t>; </w:t>
      </w:r>
      <w:r>
        <w:rPr>
          <w:rFonts w:ascii="Arial"/>
          <w:i/>
          <w:sz w:val="20"/>
        </w:rPr>
        <w:t>Gul Bottlers (PVT) Ltd v Nichols </w:t>
      </w:r>
      <w:r>
        <w:rPr>
          <w:rFonts w:ascii="Arial"/>
          <w:i/>
          <w:sz w:val="20"/>
        </w:rPr>
        <w:t>Plc</w:t>
      </w:r>
      <w:r>
        <w:rPr>
          <w:rFonts w:ascii="Arial"/>
          <w:i/>
          <w:spacing w:val="40"/>
          <w:sz w:val="20"/>
        </w:rPr>
        <w:t> </w:t>
      </w:r>
      <w:r>
        <w:rPr>
          <w:rFonts w:ascii="Arial"/>
          <w:i/>
          <w:sz w:val="20"/>
        </w:rPr>
        <w:t>[2014] EWHC 2173 (Comm) </w:t>
      </w:r>
      <w:r>
        <w:rPr>
          <w:sz w:val="20"/>
        </w:rPr>
        <w:t>at [22]. Nonetheless it requires an objective analysis that may involve more than just fact-finding, so an appellate court may interfere if the trier of fact has clearly gone wrong: </w:t>
      </w:r>
      <w:r>
        <w:rPr>
          <w:rFonts w:ascii="Arial"/>
          <w:i/>
          <w:sz w:val="20"/>
        </w:rPr>
        <w:t>LSREF III Wight Ltd v Gateley LLP [2016] EWCA Civ 359, [2016] P.N.L.R. 21 </w:t>
      </w:r>
      <w:r>
        <w:rPr>
          <w:sz w:val="20"/>
        </w:rPr>
        <w:t>at [39].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840">
            <wp:simplePos x="0" y="0"/>
            <wp:positionH relativeFrom="page">
              <wp:posOffset>1257846</wp:posOffset>
            </wp:positionH>
            <wp:positionV relativeFrom="paragraph">
              <wp:posOffset>160349</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63" w:id="865"/>
      <w:bookmarkEnd w:id="865"/>
      <w:r>
        <w:rPr/>
      </w:r>
      <w:hyperlink w:history="true" w:anchor="_bookmark844">
        <w:r>
          <w:rPr>
            <w:color w:val="005DA1"/>
            <w:spacing w:val="-4"/>
            <w:sz w:val="14"/>
            <w:u w:val="single" w:color="005DA1"/>
          </w:rPr>
          <w:t>448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Dunkirk Colliery Co v Lever (1878) 9 Ch. D. 20, 25 </w:t>
      </w:r>
      <w:r>
        <w:rPr>
          <w:sz w:val="20"/>
        </w:rPr>
        <w:t>(approved by Lord Haldane in </w:t>
      </w:r>
      <w:r>
        <w:rPr>
          <w:rFonts w:ascii="Arial" w:hAnsi="Arial"/>
          <w:i/>
          <w:sz w:val="20"/>
        </w:rPr>
        <w:t>British Westinghouse Electric Co Ltd v Underground Electric Rys [1912] A.C. 673, 689</w:t>
      </w:r>
      <w:r>
        <w:rPr>
          <w:sz w:val="20"/>
        </w:rPr>
        <w:t>). For a </w:t>
      </w:r>
      <w:r>
        <w:rPr>
          <w:sz w:val="20"/>
        </w:rPr>
        <w:t>recent application of this principle see </w:t>
      </w:r>
      <w:r>
        <w:rPr>
          <w:rFonts w:ascii="Arial" w:hAnsi="Arial"/>
          <w:i/>
          <w:sz w:val="20"/>
        </w:rPr>
        <w:t>Pacific Interlink Sdn Bhd v Owner of the Asia Star (The Asia Star) [2009] SGHC 91, [2009] 2 Lloyd’s Rep. 387</w:t>
      </w:r>
      <w:r>
        <w:rPr>
          <w:sz w:val="20"/>
        </w:rPr>
        <w:t>. The test of whether the claimant took reasonable steps is whether what they did was objectively reasonable for someone in that position: </w:t>
      </w:r>
      <w:r>
        <w:rPr>
          <w:rFonts w:ascii="Arial" w:hAnsi="Arial"/>
          <w:i/>
          <w:sz w:val="20"/>
        </w:rPr>
        <w:t>Deutsche Bank AG v Total Global Steel Ltd [2012] EWHC 1201 (Comm) </w:t>
      </w:r>
      <w:r>
        <w:rPr>
          <w:sz w:val="20"/>
        </w:rPr>
        <w:t>at [159]. The claimant may have to take an obvious step even if it is not part of its ordinary business: </w:t>
      </w:r>
      <w:r>
        <w:rPr>
          <w:rFonts w:ascii="Arial" w:hAnsi="Arial"/>
          <w:i/>
          <w:sz w:val="20"/>
        </w:rPr>
        <w:t>LSREF III Wight Ltd v Gateley LLP [2016] EWCA Civ 359, [2016] P.N.L.R. 21 </w:t>
      </w:r>
      <w:r>
        <w:rPr>
          <w:sz w:val="20"/>
        </w:rPr>
        <w:t>(lender on security of lease</w:t>
      </w:r>
      <w:r>
        <w:rPr>
          <w:spacing w:val="40"/>
          <w:sz w:val="20"/>
        </w:rPr>
        <w:t> </w:t>
      </w:r>
      <w:r>
        <w:rPr>
          <w:sz w:val="20"/>
        </w:rPr>
        <w:t>should</w:t>
      </w:r>
      <w:r>
        <w:rPr>
          <w:spacing w:val="40"/>
          <w:sz w:val="20"/>
        </w:rPr>
        <w:t> </w:t>
      </w:r>
      <w:r>
        <w:rPr>
          <w:sz w:val="20"/>
        </w:rPr>
        <w:t>have</w:t>
      </w:r>
      <w:r>
        <w:rPr>
          <w:spacing w:val="40"/>
          <w:sz w:val="20"/>
        </w:rPr>
        <w:t> </w:t>
      </w:r>
      <w:r>
        <w:rPr>
          <w:sz w:val="20"/>
        </w:rPr>
        <w:t>pursued</w:t>
      </w:r>
      <w:r>
        <w:rPr>
          <w:spacing w:val="40"/>
          <w:sz w:val="20"/>
        </w:rPr>
        <w:t> </w:t>
      </w:r>
      <w:r>
        <w:rPr>
          <w:sz w:val="20"/>
        </w:rPr>
        <w:t>lessor’s</w:t>
      </w:r>
      <w:r>
        <w:rPr>
          <w:spacing w:val="40"/>
          <w:sz w:val="20"/>
        </w:rPr>
        <w:t> </w:t>
      </w:r>
      <w:r>
        <w:rPr>
          <w:sz w:val="20"/>
        </w:rPr>
        <w:t>offer</w:t>
      </w:r>
      <w:r>
        <w:rPr>
          <w:spacing w:val="40"/>
          <w:sz w:val="20"/>
        </w:rPr>
        <w:t> </w:t>
      </w:r>
      <w:r>
        <w:rPr>
          <w:sz w:val="20"/>
        </w:rPr>
        <w:t>to</w:t>
      </w:r>
      <w:r>
        <w:rPr>
          <w:spacing w:val="40"/>
          <w:sz w:val="20"/>
        </w:rPr>
        <w:t> </w:t>
      </w:r>
      <w:r>
        <w:rPr>
          <w:sz w:val="20"/>
        </w:rPr>
        <w:t>remove</w:t>
      </w:r>
      <w:r>
        <w:rPr>
          <w:spacing w:val="40"/>
          <w:sz w:val="20"/>
        </w:rPr>
        <w:t> </w:t>
      </w:r>
      <w:r>
        <w:rPr>
          <w:sz w:val="20"/>
        </w:rPr>
        <w:t>clause</w:t>
      </w:r>
      <w:r>
        <w:rPr>
          <w:spacing w:val="40"/>
          <w:sz w:val="20"/>
        </w:rPr>
        <w:t> </w:t>
      </w:r>
      <w:r>
        <w:rPr>
          <w:sz w:val="20"/>
        </w:rPr>
        <w:t>providing</w:t>
      </w:r>
      <w:r>
        <w:rPr>
          <w:spacing w:val="40"/>
          <w:sz w:val="20"/>
        </w:rPr>
        <w:t> </w:t>
      </w:r>
      <w:r>
        <w:rPr>
          <w:sz w:val="20"/>
        </w:rPr>
        <w:t>for</w:t>
      </w:r>
      <w:r>
        <w:rPr>
          <w:spacing w:val="40"/>
          <w:sz w:val="20"/>
        </w:rPr>
        <w:t> </w:t>
      </w:r>
      <w:r>
        <w:rPr>
          <w:sz w:val="20"/>
        </w:rPr>
        <w:t>forfeiture</w:t>
      </w:r>
      <w:r>
        <w:rPr>
          <w:spacing w:val="40"/>
          <w:sz w:val="20"/>
        </w:rPr>
        <w:t> </w:t>
      </w:r>
      <w:r>
        <w:rPr>
          <w:sz w:val="20"/>
        </w:rPr>
        <w:t>on lessee-borrower’s insolvency).</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tabs>
          <w:tab w:pos="540" w:val="left" w:leader="none"/>
        </w:tabs>
        <w:spacing w:line="227" w:lineRule="exact" w:before="0"/>
        <w:ind w:left="0" w:right="168" w:firstLine="0"/>
        <w:jc w:val="right"/>
        <w:rPr>
          <w:rFonts w:ascii="Arial"/>
          <w:i/>
          <w:sz w:val="20"/>
        </w:rPr>
      </w:pPr>
      <w:bookmarkStart w:name="_bookmark864" w:id="866"/>
      <w:bookmarkEnd w:id="866"/>
      <w:r>
        <w:rPr/>
      </w:r>
      <w:hyperlink w:history="true" w:anchor="_bookmark845">
        <w:r>
          <w:rPr>
            <w:color w:val="005DA1"/>
            <w:spacing w:val="-4"/>
            <w:position w:val="5"/>
            <w:sz w:val="14"/>
            <w:u w:val="single" w:color="005DA1"/>
          </w:rPr>
          <w:t>449</w:t>
        </w:r>
      </w:hyperlink>
      <w:r>
        <w:rPr>
          <w:spacing w:val="-4"/>
          <w:position w:val="5"/>
          <w:sz w:val="14"/>
        </w:rPr>
        <w:t>.</w:t>
      </w:r>
      <w:r>
        <w:rPr>
          <w:position w:val="5"/>
          <w:sz w:val="14"/>
        </w:rPr>
        <w:tab/>
      </w:r>
      <w:r>
        <w:rPr>
          <w:rFonts w:ascii="Arial"/>
          <w:i/>
          <w:sz w:val="20"/>
        </w:rPr>
        <w:t>Banco</w:t>
      </w:r>
      <w:r>
        <w:rPr>
          <w:rFonts w:ascii="Arial"/>
          <w:i/>
          <w:spacing w:val="38"/>
          <w:sz w:val="20"/>
        </w:rPr>
        <w:t> </w:t>
      </w:r>
      <w:r>
        <w:rPr>
          <w:rFonts w:ascii="Arial"/>
          <w:i/>
          <w:sz w:val="20"/>
        </w:rPr>
        <w:t>de</w:t>
      </w:r>
      <w:r>
        <w:rPr>
          <w:rFonts w:ascii="Arial"/>
          <w:i/>
          <w:spacing w:val="39"/>
          <w:sz w:val="20"/>
        </w:rPr>
        <w:t> </w:t>
      </w:r>
      <w:r>
        <w:rPr>
          <w:rFonts w:ascii="Arial"/>
          <w:i/>
          <w:sz w:val="20"/>
        </w:rPr>
        <w:t>Portugal</w:t>
      </w:r>
      <w:r>
        <w:rPr>
          <w:rFonts w:ascii="Arial"/>
          <w:i/>
          <w:spacing w:val="39"/>
          <w:sz w:val="20"/>
        </w:rPr>
        <w:t> </w:t>
      </w:r>
      <w:r>
        <w:rPr>
          <w:rFonts w:ascii="Arial"/>
          <w:i/>
          <w:sz w:val="20"/>
        </w:rPr>
        <w:t>v</w:t>
      </w:r>
      <w:r>
        <w:rPr>
          <w:rFonts w:ascii="Arial"/>
          <w:i/>
          <w:spacing w:val="39"/>
          <w:sz w:val="20"/>
        </w:rPr>
        <w:t> </w:t>
      </w:r>
      <w:r>
        <w:rPr>
          <w:rFonts w:ascii="Arial"/>
          <w:i/>
          <w:sz w:val="20"/>
        </w:rPr>
        <w:t>Waterlow</w:t>
      </w:r>
      <w:r>
        <w:rPr>
          <w:rFonts w:ascii="Arial"/>
          <w:i/>
          <w:spacing w:val="39"/>
          <w:sz w:val="20"/>
        </w:rPr>
        <w:t> </w:t>
      </w:r>
      <w:r>
        <w:rPr>
          <w:rFonts w:ascii="Arial"/>
          <w:i/>
          <w:sz w:val="20"/>
        </w:rPr>
        <w:t>[1932]</w:t>
      </w:r>
      <w:r>
        <w:rPr>
          <w:rFonts w:ascii="Arial"/>
          <w:i/>
          <w:spacing w:val="39"/>
          <w:sz w:val="20"/>
        </w:rPr>
        <w:t> </w:t>
      </w:r>
      <w:r>
        <w:rPr>
          <w:rFonts w:ascii="Arial"/>
          <w:i/>
          <w:sz w:val="20"/>
        </w:rPr>
        <w:t>A.C.</w:t>
      </w:r>
      <w:r>
        <w:rPr>
          <w:rFonts w:ascii="Arial"/>
          <w:i/>
          <w:spacing w:val="39"/>
          <w:sz w:val="20"/>
        </w:rPr>
        <w:t> </w:t>
      </w:r>
      <w:r>
        <w:rPr>
          <w:rFonts w:ascii="Arial"/>
          <w:i/>
          <w:sz w:val="20"/>
        </w:rPr>
        <w:t>452,</w:t>
      </w:r>
      <w:r>
        <w:rPr>
          <w:rFonts w:ascii="Arial"/>
          <w:i/>
          <w:spacing w:val="39"/>
          <w:sz w:val="20"/>
        </w:rPr>
        <w:t> </w:t>
      </w:r>
      <w:r>
        <w:rPr>
          <w:rFonts w:ascii="Arial"/>
          <w:i/>
          <w:sz w:val="20"/>
        </w:rPr>
        <w:t>506</w:t>
      </w:r>
      <w:r>
        <w:rPr>
          <w:sz w:val="20"/>
        </w:rPr>
        <w:t>.</w:t>
      </w:r>
      <w:r>
        <w:rPr>
          <w:spacing w:val="39"/>
          <w:sz w:val="20"/>
        </w:rPr>
        <w:t> </w:t>
      </w:r>
      <w:r>
        <w:rPr>
          <w:sz w:val="20"/>
        </w:rPr>
        <w:t>See</w:t>
      </w:r>
      <w:r>
        <w:rPr>
          <w:spacing w:val="39"/>
          <w:sz w:val="20"/>
        </w:rPr>
        <w:t> </w:t>
      </w:r>
      <w:r>
        <w:rPr>
          <w:sz w:val="20"/>
        </w:rPr>
        <w:t>also</w:t>
      </w:r>
      <w:r>
        <w:rPr>
          <w:spacing w:val="39"/>
          <w:sz w:val="20"/>
        </w:rPr>
        <w:t> </w:t>
      </w:r>
      <w:r>
        <w:rPr>
          <w:rFonts w:ascii="Arial"/>
          <w:i/>
          <w:sz w:val="20"/>
        </w:rPr>
        <w:t>Moore</w:t>
      </w:r>
      <w:r>
        <w:rPr>
          <w:rFonts w:ascii="Arial"/>
          <w:i/>
          <w:spacing w:val="39"/>
          <w:sz w:val="20"/>
        </w:rPr>
        <w:t> </w:t>
      </w:r>
      <w:r>
        <w:rPr>
          <w:rFonts w:ascii="Arial"/>
          <w:i/>
          <w:sz w:val="20"/>
        </w:rPr>
        <w:t>v</w:t>
      </w:r>
      <w:r>
        <w:rPr>
          <w:rFonts w:ascii="Arial"/>
          <w:i/>
          <w:spacing w:val="39"/>
          <w:sz w:val="20"/>
        </w:rPr>
        <w:t> </w:t>
      </w:r>
      <w:r>
        <w:rPr>
          <w:rFonts w:ascii="Arial"/>
          <w:i/>
          <w:sz w:val="20"/>
        </w:rPr>
        <w:t>DER</w:t>
      </w:r>
      <w:r>
        <w:rPr>
          <w:rFonts w:ascii="Arial"/>
          <w:i/>
          <w:spacing w:val="39"/>
          <w:sz w:val="20"/>
        </w:rPr>
        <w:t> </w:t>
      </w:r>
      <w:r>
        <w:rPr>
          <w:rFonts w:ascii="Arial"/>
          <w:i/>
          <w:sz w:val="20"/>
        </w:rPr>
        <w:t>Ltd</w:t>
      </w:r>
      <w:r>
        <w:rPr>
          <w:rFonts w:ascii="Arial"/>
          <w:i/>
          <w:spacing w:val="39"/>
          <w:sz w:val="20"/>
        </w:rPr>
        <w:t> </w:t>
      </w:r>
      <w:r>
        <w:rPr>
          <w:rFonts w:ascii="Arial"/>
          <w:i/>
          <w:sz w:val="20"/>
        </w:rPr>
        <w:t>[1971]</w:t>
      </w:r>
      <w:r>
        <w:rPr>
          <w:rFonts w:ascii="Arial"/>
          <w:i/>
          <w:spacing w:val="39"/>
          <w:sz w:val="20"/>
        </w:rPr>
        <w:t> </w:t>
      </w:r>
      <w:r>
        <w:rPr>
          <w:rFonts w:ascii="Arial"/>
          <w:i/>
          <w:spacing w:val="-10"/>
          <w:sz w:val="20"/>
        </w:rPr>
        <w:t>1</w:t>
      </w:r>
    </w:p>
    <w:p>
      <w:pPr>
        <w:spacing w:line="225" w:lineRule="exact" w:before="0"/>
        <w:ind w:left="0" w:right="168" w:firstLine="0"/>
        <w:jc w:val="right"/>
        <w:rPr>
          <w:rFonts w:ascii="Arial"/>
          <w:i/>
          <w:sz w:val="20"/>
        </w:rPr>
      </w:pPr>
      <w:r>
        <w:rPr>
          <w:rFonts w:ascii="Arial"/>
          <w:i/>
          <w:sz w:val="20"/>
        </w:rPr>
        <w:t>W.L.R.</w:t>
      </w:r>
      <w:r>
        <w:rPr>
          <w:rFonts w:ascii="Arial"/>
          <w:i/>
          <w:spacing w:val="19"/>
          <w:sz w:val="20"/>
        </w:rPr>
        <w:t> </w:t>
      </w:r>
      <w:r>
        <w:rPr>
          <w:rFonts w:ascii="Arial"/>
          <w:i/>
          <w:sz w:val="20"/>
        </w:rPr>
        <w:t>1476,</w:t>
      </w:r>
      <w:r>
        <w:rPr>
          <w:rFonts w:ascii="Arial"/>
          <w:i/>
          <w:spacing w:val="20"/>
          <w:sz w:val="20"/>
        </w:rPr>
        <w:t> </w:t>
      </w:r>
      <w:r>
        <w:rPr>
          <w:rFonts w:ascii="Arial"/>
          <w:i/>
          <w:sz w:val="20"/>
        </w:rPr>
        <w:t>1479</w:t>
      </w:r>
      <w:r>
        <w:rPr>
          <w:sz w:val="20"/>
        </w:rPr>
        <w:t>;</w:t>
      </w:r>
      <w:r>
        <w:rPr>
          <w:spacing w:val="20"/>
          <w:sz w:val="20"/>
        </w:rPr>
        <w:t> </w:t>
      </w:r>
      <w:r>
        <w:rPr>
          <w:rFonts w:ascii="Arial"/>
          <w:i/>
          <w:sz w:val="20"/>
        </w:rPr>
        <w:t>Borealis</w:t>
      </w:r>
      <w:r>
        <w:rPr>
          <w:rFonts w:ascii="Arial"/>
          <w:i/>
          <w:spacing w:val="20"/>
          <w:sz w:val="20"/>
        </w:rPr>
        <w:t> </w:t>
      </w:r>
      <w:r>
        <w:rPr>
          <w:rFonts w:ascii="Arial"/>
          <w:i/>
          <w:sz w:val="20"/>
        </w:rPr>
        <w:t>AB</w:t>
      </w:r>
      <w:r>
        <w:rPr>
          <w:rFonts w:ascii="Arial"/>
          <w:i/>
          <w:spacing w:val="20"/>
          <w:sz w:val="20"/>
        </w:rPr>
        <w:t> </w:t>
      </w:r>
      <w:r>
        <w:rPr>
          <w:rFonts w:ascii="Arial"/>
          <w:i/>
          <w:sz w:val="20"/>
        </w:rPr>
        <w:t>v</w:t>
      </w:r>
      <w:r>
        <w:rPr>
          <w:rFonts w:ascii="Arial"/>
          <w:i/>
          <w:spacing w:val="20"/>
          <w:sz w:val="20"/>
        </w:rPr>
        <w:t> </w:t>
      </w:r>
      <w:r>
        <w:rPr>
          <w:rFonts w:ascii="Arial"/>
          <w:i/>
          <w:sz w:val="20"/>
        </w:rPr>
        <w:t>Geogas</w:t>
      </w:r>
      <w:r>
        <w:rPr>
          <w:rFonts w:ascii="Arial"/>
          <w:i/>
          <w:spacing w:val="20"/>
          <w:sz w:val="20"/>
        </w:rPr>
        <w:t> </w:t>
      </w:r>
      <w:r>
        <w:rPr>
          <w:rFonts w:ascii="Arial"/>
          <w:i/>
          <w:sz w:val="20"/>
        </w:rPr>
        <w:t>Trading</w:t>
      </w:r>
      <w:r>
        <w:rPr>
          <w:rFonts w:ascii="Arial"/>
          <w:i/>
          <w:spacing w:val="20"/>
          <w:sz w:val="20"/>
        </w:rPr>
        <w:t> </w:t>
      </w:r>
      <w:r>
        <w:rPr>
          <w:rFonts w:ascii="Arial"/>
          <w:i/>
          <w:sz w:val="20"/>
        </w:rPr>
        <w:t>SA</w:t>
      </w:r>
      <w:r>
        <w:rPr>
          <w:rFonts w:ascii="Arial"/>
          <w:i/>
          <w:spacing w:val="20"/>
          <w:sz w:val="20"/>
        </w:rPr>
        <w:t> </w:t>
      </w:r>
      <w:r>
        <w:rPr>
          <w:rFonts w:ascii="Arial"/>
          <w:i/>
          <w:sz w:val="20"/>
        </w:rPr>
        <w:t>[2010]</w:t>
      </w:r>
      <w:r>
        <w:rPr>
          <w:rFonts w:ascii="Arial"/>
          <w:i/>
          <w:spacing w:val="20"/>
          <w:sz w:val="20"/>
        </w:rPr>
        <w:t> </w:t>
      </w:r>
      <w:r>
        <w:rPr>
          <w:rFonts w:ascii="Arial"/>
          <w:i/>
          <w:sz w:val="20"/>
        </w:rPr>
        <w:t>EWHC</w:t>
      </w:r>
      <w:r>
        <w:rPr>
          <w:rFonts w:ascii="Arial"/>
          <w:i/>
          <w:spacing w:val="20"/>
          <w:sz w:val="20"/>
        </w:rPr>
        <w:t> </w:t>
      </w:r>
      <w:r>
        <w:rPr>
          <w:rFonts w:ascii="Arial"/>
          <w:i/>
          <w:sz w:val="20"/>
        </w:rPr>
        <w:t>2789</w:t>
      </w:r>
      <w:r>
        <w:rPr>
          <w:rFonts w:ascii="Arial"/>
          <w:i/>
          <w:spacing w:val="20"/>
          <w:sz w:val="20"/>
        </w:rPr>
        <w:t> </w:t>
      </w:r>
      <w:r>
        <w:rPr>
          <w:rFonts w:ascii="Arial"/>
          <w:i/>
          <w:sz w:val="20"/>
        </w:rPr>
        <w:t>(Comm),</w:t>
      </w:r>
      <w:r>
        <w:rPr>
          <w:rFonts w:ascii="Arial"/>
          <w:i/>
          <w:spacing w:val="20"/>
          <w:sz w:val="20"/>
        </w:rPr>
        <w:t> </w:t>
      </w:r>
      <w:r>
        <w:rPr>
          <w:rFonts w:ascii="Arial"/>
          <w:i/>
          <w:sz w:val="20"/>
        </w:rPr>
        <w:t>[2011]</w:t>
      </w:r>
      <w:r>
        <w:rPr>
          <w:rFonts w:ascii="Arial"/>
          <w:i/>
          <w:spacing w:val="20"/>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Lloyd’s Rep. 482</w:t>
      </w:r>
      <w:r>
        <w:rPr>
          <w:rFonts w:ascii="Arial" w:hAnsi="Arial"/>
          <w:i/>
          <w:spacing w:val="-1"/>
          <w:sz w:val="20"/>
        </w:rPr>
        <w:t> </w:t>
      </w:r>
      <w:r>
        <w:rPr>
          <w:sz w:val="20"/>
        </w:rPr>
        <w:t>at [50] and </w:t>
      </w:r>
      <w:r>
        <w:rPr>
          <w:spacing w:val="-2"/>
          <w:sz w:val="20"/>
        </w:rPr>
        <w:t>[137].</w:t>
      </w:r>
    </w:p>
    <w:p>
      <w:pPr>
        <w:pStyle w:val="BodyText"/>
        <w:spacing w:before="9"/>
      </w:pPr>
    </w:p>
    <w:p>
      <w:pPr>
        <w:spacing w:line="235" w:lineRule="auto" w:before="0"/>
        <w:ind w:left="705" w:right="168" w:hanging="541"/>
        <w:jc w:val="both"/>
        <w:rPr>
          <w:sz w:val="20"/>
        </w:rPr>
      </w:pPr>
      <w:bookmarkStart w:name="_bookmark865" w:id="867"/>
      <w:bookmarkEnd w:id="867"/>
      <w:r>
        <w:rPr/>
      </w:r>
      <w:hyperlink w:history="true" w:anchor="_bookmark846">
        <w:r>
          <w:rPr>
            <w:color w:val="005DA1"/>
            <w:position w:val="5"/>
            <w:sz w:val="14"/>
            <w:u w:val="single" w:color="005DA1"/>
          </w:rPr>
          <w:t>450</w:t>
        </w:r>
      </w:hyperlink>
      <w:r>
        <w:rPr>
          <w:position w:val="5"/>
          <w:sz w:val="14"/>
        </w:rPr>
        <w:t>.</w:t>
      </w:r>
      <w:r>
        <w:rPr>
          <w:spacing w:val="40"/>
          <w:position w:val="5"/>
          <w:sz w:val="14"/>
        </w:rPr>
        <w:t>  </w:t>
      </w:r>
      <w:r>
        <w:rPr>
          <w:sz w:val="20"/>
        </w:rPr>
        <w:t>See above, para.26-036 and the cases cited in n.199 to that paragraph. See also </w:t>
      </w:r>
      <w:r>
        <w:rPr>
          <w:rFonts w:ascii="Arial"/>
          <w:i/>
          <w:sz w:val="20"/>
        </w:rPr>
        <w:t>Farley v Skinner [2001] UKHL 49, [2002] 2 A.C. 732</w:t>
      </w:r>
      <w:r>
        <w:rPr>
          <w:sz w:val="20"/>
        </w:rPr>
        <w:t>: it may be reasonable for a house purchaser not </w:t>
      </w:r>
      <w:r>
        <w:rPr>
          <w:sz w:val="20"/>
        </w:rPr>
        <w:t>to sell and move out when he discovers a breach of contract affecting his use and enjoyment.</w:t>
      </w:r>
    </w:p>
    <w:p>
      <w:pPr>
        <w:spacing w:after="0" w:line="235" w:lineRule="auto"/>
        <w:jc w:val="both"/>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847">
        <w:r>
          <w:rPr>
            <w:color w:val="005DA1"/>
            <w:position w:val="5"/>
            <w:sz w:val="14"/>
            <w:u w:val="single" w:color="005DA1"/>
          </w:rPr>
          <w:t>451</w:t>
        </w:r>
      </w:hyperlink>
      <w:r>
        <w:rPr>
          <w:position w:val="5"/>
          <w:sz w:val="14"/>
        </w:rPr>
        <w:t>.</w:t>
      </w:r>
      <w:r>
        <w:rPr>
          <w:spacing w:val="40"/>
          <w:position w:val="5"/>
          <w:sz w:val="14"/>
        </w:rPr>
        <w:t>  </w:t>
      </w:r>
      <w:r>
        <w:rPr>
          <w:rFonts w:ascii="Arial" w:hAnsi="Arial"/>
          <w:i/>
          <w:sz w:val="20"/>
        </w:rPr>
        <w:t>Jewelowski v Propp [1944] K.B. 510</w:t>
      </w:r>
      <w:r>
        <w:rPr>
          <w:sz w:val="20"/>
        </w:rPr>
        <w:t>; </w:t>
      </w:r>
      <w:r>
        <w:rPr>
          <w:rFonts w:ascii="Arial" w:hAnsi="Arial"/>
          <w:i/>
          <w:sz w:val="20"/>
        </w:rPr>
        <w:t>Lesters Leather &amp; Skin Co v Home and Overseas </w:t>
      </w:r>
      <w:r>
        <w:rPr>
          <w:rFonts w:ascii="Arial" w:hAnsi="Arial"/>
          <w:i/>
          <w:sz w:val="20"/>
        </w:rPr>
        <w:t>Brokers (1948) 64 T.L.R. 569</w:t>
      </w:r>
      <w:r>
        <w:rPr>
          <w:sz w:val="20"/>
        </w:rPr>
        <w:t>. The duty of the buyer to purchase substitute goods if the seller defaults (below, para.26-090, and Vol.II, para.44-388) will, of course, involve the buyer in expenditure, but the buyer will normally have available the money with which he intended to pay for the seller’s goods. The impecuniosity of the claimant is discussed below, paras 26-083—26-086.</w:t>
      </w:r>
    </w:p>
    <w:p>
      <w:pPr>
        <w:pStyle w:val="BodyText"/>
        <w:spacing w:before="8"/>
      </w:pPr>
    </w:p>
    <w:p>
      <w:pPr>
        <w:spacing w:line="235" w:lineRule="auto" w:before="0"/>
        <w:ind w:left="705" w:right="169" w:hanging="541"/>
        <w:jc w:val="both"/>
        <w:rPr>
          <w:rFonts w:ascii="Arial" w:hAnsi="Arial"/>
          <w:i/>
          <w:sz w:val="20"/>
        </w:rPr>
      </w:pPr>
      <w:bookmarkStart w:name="_bookmark866" w:id="868"/>
      <w:bookmarkEnd w:id="868"/>
      <w:r>
        <w:rPr/>
      </w:r>
      <w:hyperlink w:history="true" w:anchor="_bookmark848">
        <w:r>
          <w:rPr>
            <w:color w:val="005DA1"/>
            <w:position w:val="5"/>
            <w:sz w:val="14"/>
            <w:u w:val="single" w:color="005DA1"/>
          </w:rPr>
          <w:t>452</w:t>
        </w:r>
      </w:hyperlink>
      <w:r>
        <w:rPr>
          <w:position w:val="5"/>
          <w:sz w:val="14"/>
        </w:rPr>
        <w:t>.</w:t>
      </w:r>
      <w:r>
        <w:rPr>
          <w:spacing w:val="80"/>
          <w:position w:val="5"/>
          <w:sz w:val="14"/>
        </w:rPr>
        <w:t>  </w:t>
      </w:r>
      <w:r>
        <w:rPr>
          <w:rFonts w:ascii="Arial" w:hAnsi="Arial"/>
          <w:i/>
          <w:sz w:val="20"/>
        </w:rPr>
        <w:t>Finlay</w:t>
      </w:r>
      <w:r>
        <w:rPr>
          <w:rFonts w:ascii="Arial" w:hAnsi="Arial"/>
          <w:i/>
          <w:spacing w:val="30"/>
          <w:sz w:val="20"/>
        </w:rPr>
        <w:t> </w:t>
      </w:r>
      <w:r>
        <w:rPr>
          <w:rFonts w:ascii="Arial" w:hAnsi="Arial"/>
          <w:i/>
          <w:sz w:val="20"/>
        </w:rPr>
        <w:t>&amp;</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N.</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Kwik</w:t>
      </w:r>
      <w:r>
        <w:rPr>
          <w:rFonts w:ascii="Arial" w:hAnsi="Arial"/>
          <w:i/>
          <w:spacing w:val="30"/>
          <w:sz w:val="20"/>
        </w:rPr>
        <w:t> </w:t>
      </w:r>
      <w:r>
        <w:rPr>
          <w:rFonts w:ascii="Arial" w:hAnsi="Arial"/>
          <w:i/>
          <w:sz w:val="20"/>
        </w:rPr>
        <w:t>Hoo</w:t>
      </w:r>
      <w:r>
        <w:rPr>
          <w:rFonts w:ascii="Arial" w:hAnsi="Arial"/>
          <w:i/>
          <w:spacing w:val="30"/>
          <w:sz w:val="20"/>
        </w:rPr>
        <w:t> </w:t>
      </w:r>
      <w:r>
        <w:rPr>
          <w:rFonts w:ascii="Arial" w:hAnsi="Arial"/>
          <w:i/>
          <w:sz w:val="20"/>
        </w:rPr>
        <w:t>Tong</w:t>
      </w:r>
      <w:r>
        <w:rPr>
          <w:rFonts w:ascii="Arial" w:hAnsi="Arial"/>
          <w:i/>
          <w:spacing w:val="30"/>
          <w:sz w:val="20"/>
        </w:rPr>
        <w:t> </w:t>
      </w:r>
      <w:r>
        <w:rPr>
          <w:rFonts w:ascii="Arial" w:hAnsi="Arial"/>
          <w:i/>
          <w:sz w:val="20"/>
        </w:rPr>
        <w:t>H.M.</w:t>
      </w:r>
      <w:r>
        <w:rPr>
          <w:rFonts w:ascii="Arial" w:hAnsi="Arial"/>
          <w:i/>
          <w:spacing w:val="30"/>
          <w:sz w:val="20"/>
        </w:rPr>
        <w:t> </w:t>
      </w:r>
      <w:r>
        <w:rPr>
          <w:rFonts w:ascii="Arial" w:hAnsi="Arial"/>
          <w:i/>
          <w:sz w:val="20"/>
        </w:rPr>
        <w:t>[1929]</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K.B.</w:t>
      </w:r>
      <w:r>
        <w:rPr>
          <w:rFonts w:ascii="Arial" w:hAnsi="Arial"/>
          <w:i/>
          <w:spacing w:val="30"/>
          <w:sz w:val="20"/>
        </w:rPr>
        <w:t> </w:t>
      </w:r>
      <w:r>
        <w:rPr>
          <w:rFonts w:ascii="Arial" w:hAnsi="Arial"/>
          <w:i/>
          <w:sz w:val="20"/>
        </w:rPr>
        <w:t>400</w:t>
      </w:r>
      <w:r>
        <w:rPr>
          <w:sz w:val="20"/>
        </w:rPr>
        <w:t>;</w:t>
      </w:r>
      <w:r>
        <w:rPr>
          <w:spacing w:val="30"/>
          <w:sz w:val="20"/>
        </w:rPr>
        <w:t> </w:t>
      </w:r>
      <w:r>
        <w:rPr>
          <w:rFonts w:ascii="Arial" w:hAnsi="Arial"/>
          <w:i/>
          <w:sz w:val="20"/>
        </w:rPr>
        <w:t>Banco</w:t>
      </w:r>
      <w:r>
        <w:rPr>
          <w:rFonts w:ascii="Arial" w:hAnsi="Arial"/>
          <w:i/>
          <w:spacing w:val="30"/>
          <w:sz w:val="20"/>
        </w:rPr>
        <w:t> </w:t>
      </w:r>
      <w:r>
        <w:rPr>
          <w:rFonts w:ascii="Arial" w:hAnsi="Arial"/>
          <w:i/>
          <w:sz w:val="20"/>
        </w:rPr>
        <w:t>de</w:t>
      </w:r>
      <w:r>
        <w:rPr>
          <w:rFonts w:ascii="Arial" w:hAnsi="Arial"/>
          <w:i/>
          <w:spacing w:val="30"/>
          <w:sz w:val="20"/>
        </w:rPr>
        <w:t> </w:t>
      </w:r>
      <w:r>
        <w:rPr>
          <w:rFonts w:ascii="Arial" w:hAnsi="Arial"/>
          <w:i/>
          <w:sz w:val="20"/>
        </w:rPr>
        <w:t>Portugal</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Waterlow [1932] A.C. 452 </w:t>
      </w:r>
      <w:r>
        <w:rPr>
          <w:sz w:val="20"/>
        </w:rPr>
        <w:t>(which also, at 471, supports the proposition that the claimant need not act so as to injure innocent persons); </w:t>
      </w:r>
      <w:r>
        <w:rPr>
          <w:rFonts w:ascii="Arial" w:hAnsi="Arial"/>
          <w:i/>
          <w:sz w:val="20"/>
        </w:rPr>
        <w:t>Anglo-African Shipping Co of New York Inc v J. Mortner </w:t>
      </w:r>
      <w:r>
        <w:rPr>
          <w:rFonts w:ascii="Arial" w:hAnsi="Arial"/>
          <w:i/>
          <w:sz w:val="20"/>
        </w:rPr>
        <w:t>Ltd [1962]</w:t>
      </w:r>
      <w:r>
        <w:rPr>
          <w:rFonts w:ascii="Arial" w:hAnsi="Arial"/>
          <w:i/>
          <w:spacing w:val="31"/>
          <w:sz w:val="20"/>
        </w:rPr>
        <w:t> </w:t>
      </w:r>
      <w:r>
        <w:rPr>
          <w:rFonts w:ascii="Arial" w:hAnsi="Arial"/>
          <w:i/>
          <w:sz w:val="20"/>
        </w:rPr>
        <w:t>1</w:t>
      </w:r>
      <w:r>
        <w:rPr>
          <w:rFonts w:ascii="Arial" w:hAnsi="Arial"/>
          <w:i/>
          <w:spacing w:val="34"/>
          <w:sz w:val="20"/>
        </w:rPr>
        <w:t> </w:t>
      </w:r>
      <w:r>
        <w:rPr>
          <w:rFonts w:ascii="Arial" w:hAnsi="Arial"/>
          <w:i/>
          <w:sz w:val="20"/>
        </w:rPr>
        <w:t>Lloyd’s</w:t>
      </w:r>
      <w:r>
        <w:rPr>
          <w:rFonts w:ascii="Arial" w:hAnsi="Arial"/>
          <w:i/>
          <w:spacing w:val="34"/>
          <w:sz w:val="20"/>
        </w:rPr>
        <w:t> </w:t>
      </w:r>
      <w:r>
        <w:rPr>
          <w:rFonts w:ascii="Arial" w:hAnsi="Arial"/>
          <w:i/>
          <w:sz w:val="20"/>
        </w:rPr>
        <w:t>Rep.</w:t>
      </w:r>
      <w:r>
        <w:rPr>
          <w:rFonts w:ascii="Arial" w:hAnsi="Arial"/>
          <w:i/>
          <w:spacing w:val="34"/>
          <w:sz w:val="20"/>
        </w:rPr>
        <w:t> </w:t>
      </w:r>
      <w:r>
        <w:rPr>
          <w:rFonts w:ascii="Arial" w:hAnsi="Arial"/>
          <w:i/>
          <w:sz w:val="20"/>
        </w:rPr>
        <w:t>81,</w:t>
      </w:r>
      <w:r>
        <w:rPr>
          <w:rFonts w:ascii="Arial" w:hAnsi="Arial"/>
          <w:i/>
          <w:spacing w:val="34"/>
          <w:sz w:val="20"/>
        </w:rPr>
        <w:t> </w:t>
      </w:r>
      <w:r>
        <w:rPr>
          <w:rFonts w:ascii="Arial" w:hAnsi="Arial"/>
          <w:i/>
          <w:sz w:val="20"/>
        </w:rPr>
        <w:t>94</w:t>
      </w:r>
      <w:r>
        <w:rPr>
          <w:rFonts w:ascii="Arial" w:hAnsi="Arial"/>
          <w:i/>
          <w:spacing w:val="34"/>
          <w:sz w:val="20"/>
        </w:rPr>
        <w:t> </w:t>
      </w:r>
      <w:r>
        <w:rPr>
          <w:rFonts w:ascii="Arial" w:hAnsi="Arial"/>
          <w:i/>
          <w:sz w:val="20"/>
        </w:rPr>
        <w:t>(on</w:t>
      </w:r>
      <w:r>
        <w:rPr>
          <w:rFonts w:ascii="Arial" w:hAnsi="Arial"/>
          <w:i/>
          <w:spacing w:val="34"/>
          <w:sz w:val="20"/>
        </w:rPr>
        <w:t> </w:t>
      </w:r>
      <w:r>
        <w:rPr>
          <w:rFonts w:ascii="Arial" w:hAnsi="Arial"/>
          <w:i/>
          <w:sz w:val="20"/>
        </w:rPr>
        <w:t>appeal,</w:t>
      </w:r>
      <w:r>
        <w:rPr>
          <w:rFonts w:ascii="Arial" w:hAnsi="Arial"/>
          <w:i/>
          <w:spacing w:val="34"/>
          <w:sz w:val="20"/>
        </w:rPr>
        <w:t> </w:t>
      </w:r>
      <w:r>
        <w:rPr>
          <w:rFonts w:ascii="Arial" w:hAnsi="Arial"/>
          <w:i/>
          <w:sz w:val="20"/>
        </w:rPr>
        <w:t>[1962]</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Lloyd’s</w:t>
      </w:r>
      <w:r>
        <w:rPr>
          <w:rFonts w:ascii="Arial" w:hAnsi="Arial"/>
          <w:i/>
          <w:spacing w:val="34"/>
          <w:sz w:val="20"/>
        </w:rPr>
        <w:t> </w:t>
      </w:r>
      <w:r>
        <w:rPr>
          <w:rFonts w:ascii="Arial" w:hAnsi="Arial"/>
          <w:i/>
          <w:sz w:val="20"/>
        </w:rPr>
        <w:t>Rep.</w:t>
      </w:r>
      <w:r>
        <w:rPr>
          <w:rFonts w:ascii="Arial" w:hAnsi="Arial"/>
          <w:i/>
          <w:spacing w:val="34"/>
          <w:sz w:val="20"/>
        </w:rPr>
        <w:t> </w:t>
      </w:r>
      <w:r>
        <w:rPr>
          <w:rFonts w:ascii="Arial" w:hAnsi="Arial"/>
          <w:i/>
          <w:sz w:val="20"/>
        </w:rPr>
        <w:t>610</w:t>
      </w:r>
      <w:r>
        <w:rPr>
          <w:sz w:val="20"/>
        </w:rPr>
        <w:t>);</w:t>
      </w:r>
      <w:r>
        <w:rPr>
          <w:spacing w:val="35"/>
          <w:sz w:val="20"/>
        </w:rPr>
        <w:t> </w:t>
      </w:r>
      <w:r>
        <w:rPr>
          <w:rFonts w:ascii="Arial" w:hAnsi="Arial"/>
          <w:i/>
          <w:sz w:val="20"/>
        </w:rPr>
        <w:t>London</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South</w:t>
      </w:r>
      <w:r>
        <w:rPr>
          <w:rFonts w:ascii="Arial" w:hAnsi="Arial"/>
          <w:i/>
          <w:spacing w:val="34"/>
          <w:sz w:val="20"/>
        </w:rPr>
        <w:t> </w:t>
      </w:r>
      <w:r>
        <w:rPr>
          <w:rFonts w:ascii="Arial" w:hAnsi="Arial"/>
          <w:i/>
          <w:spacing w:val="-5"/>
          <w:sz w:val="20"/>
        </w:rPr>
        <w:t>of</w:t>
      </w:r>
    </w:p>
    <w:p>
      <w:pPr>
        <w:spacing w:line="225" w:lineRule="exact" w:before="0"/>
        <w:ind w:left="705" w:right="0" w:firstLine="0"/>
        <w:jc w:val="both"/>
        <w:rPr>
          <w:sz w:val="20"/>
        </w:rPr>
      </w:pPr>
      <w:r>
        <w:rPr>
          <w:rFonts w:ascii="Arial"/>
          <w:i/>
          <w:sz w:val="20"/>
        </w:rPr>
        <w:t>England Building Society v Stone [1983] 1 W.L.R. </w:t>
      </w:r>
      <w:r>
        <w:rPr>
          <w:rFonts w:ascii="Arial"/>
          <w:i/>
          <w:spacing w:val="-2"/>
          <w:sz w:val="20"/>
        </w:rPr>
        <w:t>1242</w:t>
      </w:r>
      <w:r>
        <w:rPr>
          <w:spacing w:val="-2"/>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867" w:id="869"/>
      <w:bookmarkEnd w:id="869"/>
      <w:r>
        <w:rPr/>
      </w:r>
      <w:hyperlink w:history="true" w:anchor="_bookmark849">
        <w:r>
          <w:rPr>
            <w:color w:val="005DA1"/>
            <w:spacing w:val="-4"/>
            <w:position w:val="5"/>
            <w:sz w:val="14"/>
            <w:u w:val="single" w:color="005DA1"/>
          </w:rPr>
          <w:t>453</w:t>
        </w:r>
      </w:hyperlink>
      <w:r>
        <w:rPr>
          <w:spacing w:val="-4"/>
          <w:position w:val="5"/>
          <w:sz w:val="14"/>
        </w:rPr>
        <w:t>.</w:t>
      </w:r>
      <w:r>
        <w:rPr>
          <w:position w:val="5"/>
          <w:sz w:val="14"/>
        </w:rPr>
        <w:tab/>
      </w:r>
      <w:r>
        <w:rPr>
          <w:rFonts w:ascii="Arial"/>
          <w:i/>
          <w:sz w:val="20"/>
        </w:rPr>
        <w:t>Pilkington v Wood [1953] Ch. 770</w:t>
      </w:r>
      <w:r>
        <w:rPr>
          <w:sz w:val="20"/>
        </w:rPr>
        <w:t>. cf. simple litigation: </w:t>
      </w:r>
      <w:r>
        <w:rPr>
          <w:rFonts w:ascii="Arial"/>
          <w:i/>
          <w:sz w:val="20"/>
        </w:rPr>
        <w:t>Walker v Geo H. Medlicott &amp; Son </w:t>
      </w:r>
      <w:r>
        <w:rPr>
          <w:rFonts w:ascii="Arial"/>
          <w:i/>
          <w:sz w:val="20"/>
        </w:rPr>
        <w:t>[1999] 1 All E.R. 685 </w:t>
      </w:r>
      <w:r>
        <w:rPr>
          <w:sz w:val="20"/>
        </w:rPr>
        <w:t>at 697 (a tort case).</w:t>
      </w:r>
    </w:p>
    <w:p>
      <w:pPr>
        <w:pStyle w:val="BodyText"/>
        <w:spacing w:before="9"/>
      </w:pPr>
    </w:p>
    <w:p>
      <w:pPr>
        <w:tabs>
          <w:tab w:pos="705" w:val="left" w:leader="none"/>
        </w:tabs>
        <w:spacing w:line="235" w:lineRule="auto" w:before="0"/>
        <w:ind w:left="705" w:right="174" w:hanging="541"/>
        <w:jc w:val="left"/>
        <w:rPr>
          <w:sz w:val="20"/>
        </w:rPr>
      </w:pPr>
      <w:bookmarkStart w:name="_bookmark868" w:id="870"/>
      <w:bookmarkEnd w:id="870"/>
      <w:r>
        <w:rPr/>
      </w:r>
      <w:hyperlink w:history="true" w:anchor="_bookmark850">
        <w:r>
          <w:rPr>
            <w:color w:val="005DA1"/>
            <w:spacing w:val="-4"/>
            <w:position w:val="5"/>
            <w:sz w:val="14"/>
            <w:u w:val="single" w:color="005DA1"/>
          </w:rPr>
          <w:t>454</w:t>
        </w:r>
      </w:hyperlink>
      <w:r>
        <w:rPr>
          <w:spacing w:val="-4"/>
          <w:position w:val="5"/>
          <w:sz w:val="14"/>
        </w:rPr>
        <w:t>.</w:t>
      </w:r>
      <w:r>
        <w:rPr>
          <w:position w:val="5"/>
          <w:sz w:val="14"/>
        </w:rPr>
        <w:tab/>
      </w:r>
      <w:r>
        <w:rPr>
          <w:rFonts w:ascii="Arial" w:hAnsi="Arial"/>
          <w:i/>
          <w:sz w:val="20"/>
        </w:rPr>
        <w:t>Elliott Steam Tug Co v Shipping Controller [1922] 1 K.B. 127, 140–141</w:t>
      </w:r>
      <w:r>
        <w:rPr>
          <w:sz w:val="20"/>
        </w:rPr>
        <w:t>. cf. </w:t>
      </w:r>
      <w:r>
        <w:rPr>
          <w:rFonts w:ascii="Arial" w:hAnsi="Arial"/>
          <w:i/>
          <w:sz w:val="20"/>
        </w:rPr>
        <w:t>Weir (Andrew) &amp; </w:t>
      </w:r>
      <w:r>
        <w:rPr>
          <w:rFonts w:ascii="Arial" w:hAnsi="Arial"/>
          <w:i/>
          <w:sz w:val="20"/>
        </w:rPr>
        <w:t>Co v Dobell &amp; Co [1916] 1 K.B. 722</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869" w:id="871"/>
      <w:bookmarkEnd w:id="871"/>
      <w:r>
        <w:rPr/>
      </w:r>
      <w:hyperlink w:history="true" w:anchor="_bookmark850">
        <w:r>
          <w:rPr>
            <w:color w:val="005DA1"/>
            <w:spacing w:val="-4"/>
            <w:position w:val="5"/>
            <w:sz w:val="14"/>
            <w:u w:val="single" w:color="005DA1"/>
          </w:rPr>
          <w:t>455</w:t>
        </w:r>
      </w:hyperlink>
      <w:r>
        <w:rPr>
          <w:spacing w:val="-4"/>
          <w:position w:val="5"/>
          <w:sz w:val="14"/>
        </w:rPr>
        <w:t>.</w:t>
      </w:r>
      <w:r>
        <w:rPr>
          <w:position w:val="5"/>
          <w:sz w:val="14"/>
        </w:rPr>
        <w:tab/>
      </w:r>
      <w:r>
        <w:rPr>
          <w:sz w:val="20"/>
        </w:rPr>
        <w:t>Libling</w:t>
      </w:r>
      <w:r>
        <w:rPr>
          <w:spacing w:val="26"/>
          <w:sz w:val="20"/>
        </w:rPr>
        <w:t> </w:t>
      </w:r>
      <w:r>
        <w:rPr>
          <w:sz w:val="20"/>
        </w:rPr>
        <w:t>and</w:t>
      </w:r>
      <w:r>
        <w:rPr>
          <w:spacing w:val="26"/>
          <w:sz w:val="20"/>
        </w:rPr>
        <w:t> </w:t>
      </w:r>
      <w:r>
        <w:rPr>
          <w:sz w:val="20"/>
        </w:rPr>
        <w:t>Feldman</w:t>
      </w:r>
      <w:r>
        <w:rPr>
          <w:spacing w:val="26"/>
          <w:sz w:val="20"/>
        </w:rPr>
        <w:t> </w:t>
      </w:r>
      <w:r>
        <w:rPr>
          <w:sz w:val="20"/>
        </w:rPr>
        <w:t>(1979)</w:t>
      </w:r>
      <w:r>
        <w:rPr>
          <w:spacing w:val="26"/>
          <w:sz w:val="20"/>
        </w:rPr>
        <w:t> </w:t>
      </w:r>
      <w:r>
        <w:rPr>
          <w:sz w:val="20"/>
        </w:rPr>
        <w:t>95</w:t>
      </w:r>
      <w:r>
        <w:rPr>
          <w:spacing w:val="26"/>
          <w:sz w:val="20"/>
        </w:rPr>
        <w:t> </w:t>
      </w:r>
      <w:r>
        <w:rPr>
          <w:sz w:val="20"/>
        </w:rPr>
        <w:t>L.Q.R.</w:t>
      </w:r>
      <w:r>
        <w:rPr>
          <w:spacing w:val="26"/>
          <w:sz w:val="20"/>
        </w:rPr>
        <w:t> </w:t>
      </w:r>
      <w:r>
        <w:rPr>
          <w:sz w:val="20"/>
        </w:rPr>
        <w:t>270,</w:t>
      </w:r>
      <w:r>
        <w:rPr>
          <w:spacing w:val="26"/>
          <w:sz w:val="20"/>
        </w:rPr>
        <w:t> </w:t>
      </w:r>
      <w:r>
        <w:rPr>
          <w:sz w:val="20"/>
        </w:rPr>
        <w:t>282.</w:t>
      </w:r>
      <w:r>
        <w:rPr>
          <w:spacing w:val="26"/>
          <w:sz w:val="20"/>
        </w:rPr>
        <w:t> </w:t>
      </w:r>
      <w:r>
        <w:rPr>
          <w:sz w:val="20"/>
        </w:rPr>
        <w:t>See</w:t>
      </w:r>
      <w:r>
        <w:rPr>
          <w:spacing w:val="26"/>
          <w:sz w:val="20"/>
        </w:rPr>
        <w:t> </w:t>
      </w:r>
      <w:r>
        <w:rPr>
          <w:sz w:val="20"/>
        </w:rPr>
        <w:t>also</w:t>
      </w:r>
      <w:r>
        <w:rPr>
          <w:spacing w:val="26"/>
          <w:sz w:val="20"/>
        </w:rPr>
        <w:t> </w:t>
      </w:r>
      <w:r>
        <w:rPr>
          <w:rFonts w:ascii="Arial"/>
          <w:i/>
          <w:sz w:val="20"/>
        </w:rPr>
        <w:t>Radford</w:t>
      </w:r>
      <w:r>
        <w:rPr>
          <w:rFonts w:ascii="Arial"/>
          <w:i/>
          <w:spacing w:val="26"/>
          <w:sz w:val="20"/>
        </w:rPr>
        <w:t> </w:t>
      </w:r>
      <w:r>
        <w:rPr>
          <w:rFonts w:ascii="Arial"/>
          <w:i/>
          <w:sz w:val="20"/>
        </w:rPr>
        <w:t>v</w:t>
      </w:r>
      <w:r>
        <w:rPr>
          <w:rFonts w:ascii="Arial"/>
          <w:i/>
          <w:spacing w:val="26"/>
          <w:sz w:val="20"/>
        </w:rPr>
        <w:t> </w:t>
      </w:r>
      <w:r>
        <w:rPr>
          <w:rFonts w:ascii="Arial"/>
          <w:i/>
          <w:sz w:val="20"/>
        </w:rPr>
        <w:t>De</w:t>
      </w:r>
      <w:r>
        <w:rPr>
          <w:rFonts w:ascii="Arial"/>
          <w:i/>
          <w:spacing w:val="26"/>
          <w:sz w:val="20"/>
        </w:rPr>
        <w:t> </w:t>
      </w:r>
      <w:r>
        <w:rPr>
          <w:rFonts w:ascii="Arial"/>
          <w:i/>
          <w:sz w:val="20"/>
        </w:rPr>
        <w:t>Froberville</w:t>
      </w:r>
      <w:r>
        <w:rPr>
          <w:rFonts w:ascii="Arial"/>
          <w:i/>
          <w:spacing w:val="26"/>
          <w:sz w:val="20"/>
        </w:rPr>
        <w:t> </w:t>
      </w:r>
      <w:r>
        <w:rPr>
          <w:rFonts w:ascii="Arial"/>
          <w:i/>
          <w:sz w:val="20"/>
        </w:rPr>
        <w:t>[1977]</w:t>
      </w:r>
      <w:r>
        <w:rPr>
          <w:rFonts w:ascii="Arial"/>
          <w:i/>
          <w:spacing w:val="26"/>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1262, 1287</w:t>
      </w:r>
      <w:r>
        <w:rPr>
          <w:sz w:val="20"/>
        </w:rPr>
        <w:t>; and Wallace (1980) 96 L.Q.R. 101, </w:t>
      </w:r>
      <w:r>
        <w:rPr>
          <w:spacing w:val="-4"/>
          <w:sz w:val="20"/>
        </w:rPr>
        <w:t>341.</w:t>
      </w:r>
    </w:p>
    <w:p>
      <w:pPr>
        <w:pStyle w:val="BodyText"/>
        <w:spacing w:before="5"/>
      </w:pPr>
    </w:p>
    <w:p>
      <w:pPr>
        <w:pStyle w:val="BodyText"/>
        <w:tabs>
          <w:tab w:pos="705" w:val="left" w:leader="none"/>
        </w:tabs>
        <w:ind w:left="165"/>
      </w:pPr>
      <w:bookmarkStart w:name="_bookmark870" w:id="872"/>
      <w:bookmarkEnd w:id="872"/>
      <w:r>
        <w:rPr/>
      </w:r>
      <w:hyperlink w:history="true" w:anchor="_bookmark851">
        <w:r>
          <w:rPr>
            <w:color w:val="005DA1"/>
            <w:spacing w:val="-4"/>
            <w:position w:val="5"/>
            <w:sz w:val="14"/>
            <w:u w:val="single" w:color="005DA1"/>
          </w:rPr>
          <w:t>456</w:t>
        </w:r>
      </w:hyperlink>
      <w:r>
        <w:rPr>
          <w:spacing w:val="-4"/>
          <w:position w:val="5"/>
          <w:sz w:val="14"/>
        </w:rPr>
        <w:t>.</w:t>
      </w:r>
      <w:r>
        <w:rPr>
          <w:position w:val="5"/>
          <w:sz w:val="14"/>
        </w:rPr>
        <w:tab/>
      </w:r>
      <w:r>
        <w:rPr/>
        <w:t>See below, para.26-088 on the relevant date for the assessment of </w:t>
      </w:r>
      <w:r>
        <w:rPr>
          <w:spacing w:val="-2"/>
        </w:rPr>
        <w:t>damages.</w:t>
      </w:r>
    </w:p>
    <w:p>
      <w:pPr>
        <w:pStyle w:val="BodyText"/>
        <w:spacing w:before="9"/>
      </w:pPr>
    </w:p>
    <w:p>
      <w:pPr>
        <w:spacing w:line="235" w:lineRule="auto" w:before="0"/>
        <w:ind w:left="705" w:right="167" w:hanging="541"/>
        <w:jc w:val="both"/>
        <w:rPr>
          <w:sz w:val="20"/>
        </w:rPr>
      </w:pPr>
      <w:bookmarkStart w:name="_bookmark871" w:id="873"/>
      <w:bookmarkEnd w:id="873"/>
      <w:r>
        <w:rPr/>
      </w:r>
      <w:hyperlink w:history="true" w:anchor="_bookmark852">
        <w:r>
          <w:rPr>
            <w:color w:val="005DA1"/>
            <w:position w:val="5"/>
            <w:sz w:val="14"/>
            <w:u w:val="single" w:color="005DA1"/>
          </w:rPr>
          <w:t>457</w:t>
        </w:r>
      </w:hyperlink>
      <w:r>
        <w:rPr>
          <w:position w:val="5"/>
          <w:sz w:val="14"/>
        </w:rPr>
        <w:t>.</w:t>
      </w:r>
      <w:r>
        <w:rPr>
          <w:spacing w:val="80"/>
          <w:position w:val="5"/>
          <w:sz w:val="14"/>
        </w:rPr>
        <w:t>  </w:t>
      </w:r>
      <w:r>
        <w:rPr>
          <w:rFonts w:ascii="Arial" w:hAnsi="Arial"/>
          <w:i/>
          <w:sz w:val="20"/>
        </w:rPr>
        <w:t>Zodiac Maritime Agencies Ltd v Fortescue Metals Group Ltd [2010] EWHC 903 (Comm), [2011] 2 Lloyd’s Rep. 360 </w:t>
      </w:r>
      <w:r>
        <w:rPr>
          <w:sz w:val="20"/>
        </w:rPr>
        <w:t>at [65]; followed in </w:t>
      </w:r>
      <w:r>
        <w:rPr>
          <w:rFonts w:ascii="Arial" w:hAnsi="Arial"/>
          <w:i/>
          <w:sz w:val="20"/>
        </w:rPr>
        <w:t>Glory Wealth Shipping Pte Ltd v Korea Line Corp (The Wren) [2011] EWHC 1819 (Comm), [2011] 2 Lloyd’s Rep. 370 </w:t>
      </w:r>
      <w:r>
        <w:rPr>
          <w:sz w:val="20"/>
        </w:rPr>
        <w:t>(owners not entitled to have damages assessed on market basis at later date from which the market revived; the revived market is relevant to mitigation but does not itself give the measure of damages: at [30]–[32]).</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6"/>
        </w:numPr>
        <w:tabs>
          <w:tab w:pos="2171" w:val="left" w:leader="none"/>
        </w:tabs>
        <w:spacing w:line="240" w:lineRule="auto" w:before="194" w:after="0"/>
        <w:ind w:left="2171" w:right="0" w:hanging="373"/>
        <w:jc w:val="left"/>
        <w:rPr>
          <w:b/>
          <w:sz w:val="24"/>
        </w:rPr>
      </w:pPr>
      <w:r>
        <w:rPr>
          <w:b/>
          <w:sz w:val="24"/>
        </w:rPr>
        <w:t>- Claimant Unable to Mitigate for Lack of </w:t>
      </w:r>
      <w:r>
        <w:rPr>
          <w:b/>
          <w:spacing w:val="-2"/>
          <w:sz w:val="24"/>
        </w:rPr>
        <w:t>Funds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Impecuniosity of the </w:t>
      </w:r>
      <w:r>
        <w:rPr>
          <w:rFonts w:ascii="Arial"/>
          <w:b/>
          <w:spacing w:val="-2"/>
          <w:sz w:val="18"/>
        </w:rPr>
        <w:t>claimant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083</w:t>
      </w:r>
    </w:p>
    <w:p>
      <w:pPr>
        <w:pStyle w:val="BodyText"/>
        <w:spacing w:line="235" w:lineRule="auto" w:before="202"/>
        <w:ind w:left="165" w:right="167"/>
        <w:jc w:val="both"/>
      </w:pPr>
      <w:bookmarkStart w:name="_bookmark872" w:id="874"/>
      <w:bookmarkEnd w:id="874"/>
      <w:r>
        <w:rPr/>
      </w:r>
      <w:r>
        <w:rPr/>
        <w:t>A tort case in the House of Lords leads to the question whether the impecuniosity of the claimant </w:t>
      </w:r>
      <w:bookmarkStart w:name="_bookmark873" w:id="875"/>
      <w:bookmarkEnd w:id="875"/>
      <w:r>
        <w:rPr/>
        <w:t>could</w:t>
      </w:r>
      <w:r>
        <w:rPr/>
        <w:t> be relevant in a contractual claim. In </w:t>
      </w:r>
      <w:r>
        <w:rPr>
          <w:rFonts w:ascii="Arial" w:hAnsi="Arial"/>
          <w:i/>
        </w:rPr>
        <w:t>Lagden v O’Connor </w:t>
      </w:r>
      <w:r>
        <w:rPr>
          <w:color w:val="005DA1"/>
          <w:u w:val="single" w:color="005DA1"/>
          <w:vertAlign w:val="superscript"/>
        </w:rPr>
        <w:t>458</w:t>
      </w:r>
      <w:r>
        <w:rPr>
          <w:color w:val="005DA1"/>
          <w:vertAlign w:val="baseline"/>
        </w:rPr>
        <w:t> </w:t>
      </w:r>
      <w:r>
        <w:rPr>
          <w:vertAlign w:val="baseline"/>
        </w:rPr>
        <w:t>the House of Lords held that it would not follow the dicta in </w:t>
      </w:r>
      <w:r>
        <w:rPr>
          <w:rFonts w:ascii="Arial" w:hAnsi="Arial"/>
          <w:i/>
          <w:vertAlign w:val="baseline"/>
        </w:rPr>
        <w:t>The Liesbosch </w:t>
      </w:r>
      <w:r>
        <w:rPr>
          <w:vertAlign w:val="baseline"/>
        </w:rPr>
        <w:t>case </w:t>
      </w:r>
      <w:r>
        <w:rPr>
          <w:color w:val="005DA1"/>
          <w:u w:val="single" w:color="005DA1"/>
          <w:vertAlign w:val="superscript"/>
        </w:rPr>
        <w:t>459</w:t>
      </w:r>
      <w:r>
        <w:rPr>
          <w:color w:val="005DA1"/>
          <w:vertAlign w:val="baseline"/>
        </w:rPr>
        <w:t> </w:t>
      </w:r>
      <w:r>
        <w:rPr>
          <w:vertAlign w:val="baseline"/>
        </w:rPr>
        <w:t>to the effect that the plaintiff’s impecuniosity was not relevant to the assessment of damages. </w:t>
      </w:r>
      <w:r>
        <w:rPr>
          <w:rFonts w:ascii="Arial" w:hAnsi="Arial"/>
          <w:i/>
          <w:vertAlign w:val="baseline"/>
        </w:rPr>
        <w:t>Lagden v O’Connor </w:t>
      </w:r>
      <w:r>
        <w:rPr>
          <w:vertAlign w:val="baseline"/>
        </w:rPr>
        <w:t>was a claim in tort where the claimant’s car had been damaged by the defendant’s negligence. Since the claimant could not afford simply to hire a replacement car while his was being repaired (the car-hire firm would require him to make an up-front payment) he entered into a more expensive hire arrangement with an “accident</w:t>
      </w:r>
      <w:r>
        <w:rPr>
          <w:spacing w:val="80"/>
          <w:vertAlign w:val="baseline"/>
        </w:rPr>
        <w:t> </w:t>
      </w:r>
      <w:r>
        <w:rPr>
          <w:vertAlign w:val="baseline"/>
        </w:rPr>
        <w:t>hire” insurance company under which he need not pay anything in advance. The majority of </w:t>
      </w:r>
      <w:r>
        <w:rPr>
          <w:vertAlign w:val="baseline"/>
        </w:rPr>
        <w:t>their Lordships held that it was reasonably foreseeable that an impecunious claimant might reasonably incur the higher cost of credit hire because he had no other choice in obtaining a replacement car. Thus the claimant’s foreseeable impecuniosity resulted in his entitlement to higher damages in tort than would have been awarded to others who could afford to pay for ordinary hire. This rule:</w:t>
      </w:r>
    </w:p>
    <w:p>
      <w:pPr>
        <w:pStyle w:val="BodyText"/>
      </w:pPr>
    </w:p>
    <w:p>
      <w:pPr>
        <w:pStyle w:val="BodyText"/>
        <w:spacing w:before="122"/>
      </w:pPr>
    </w:p>
    <w:p>
      <w:pPr>
        <w:pStyle w:val="BodyText"/>
        <w:spacing w:line="235" w:lineRule="auto"/>
        <w:ind w:left="1245" w:right="167"/>
        <w:jc w:val="both"/>
      </w:pPr>
      <w:r>
        <w:rPr/>
        <w:t>“… requires the wrongdoer to bear the consequences if it was reasonably foreseeable </w:t>
      </w:r>
      <w:bookmarkStart w:name="_bookmark874" w:id="876"/>
      <w:bookmarkEnd w:id="876"/>
      <w:r>
        <w:rPr/>
        <w:t>that</w:t>
      </w:r>
      <w:r>
        <w:rPr/>
        <w:t> the injured party would have to borrow money or incur some other kind </w:t>
      </w:r>
      <w:r>
        <w:rPr/>
        <w:t>of</w:t>
      </w:r>
      <w:r>
        <w:rPr>
          <w:spacing w:val="40"/>
        </w:rPr>
        <w:t> </w:t>
      </w:r>
      <w:r>
        <w:rPr/>
        <w:t>expenditure to mitigate his damages.” </w:t>
      </w:r>
      <w:r>
        <w:rPr>
          <w:color w:val="005DA1"/>
          <w:u w:val="single" w:color="005DA1"/>
          <w:vertAlign w:val="superscript"/>
        </w:rPr>
        <w:t>460</w:t>
      </w:r>
    </w:p>
    <w:p>
      <w:pPr>
        <w:pStyle w:val="BodyText"/>
        <w:spacing w:before="116"/>
      </w:pPr>
    </w:p>
    <w:p>
      <w:pPr>
        <w:pStyle w:val="BodyText"/>
        <w:spacing w:line="235" w:lineRule="auto"/>
        <w:ind w:left="164" w:right="167"/>
        <w:jc w:val="both"/>
      </w:pPr>
      <w:r>
        <w:rPr/>
        <w:t>This language (“wrongdoer”, “injured party”) is not appropriate to a claim in contract where the main </w:t>
      </w:r>
      <w:bookmarkStart w:name="_bookmark875" w:id="877"/>
      <w:bookmarkEnd w:id="877"/>
      <w:r>
        <w:rPr/>
        <w:t>remoteness</w:t>
      </w:r>
      <w:r>
        <w:rPr/>
        <w:t> rule (the first rule in </w:t>
      </w:r>
      <w:r>
        <w:rPr>
          <w:rFonts w:ascii="Arial" w:hAnsi="Arial"/>
          <w:i/>
        </w:rPr>
        <w:t>Hadley v Baxendale</w:t>
      </w:r>
      <w:r>
        <w:rPr/>
        <w:t>) is different from that in tort: the kind of loss within the reasonable contemplation of the parties at the time of making the contract. </w:t>
      </w:r>
      <w:r>
        <w:rPr>
          <w:color w:val="005DA1"/>
          <w:u w:val="single" w:color="005DA1"/>
          <w:vertAlign w:val="superscript"/>
        </w:rPr>
        <w:t>461</w:t>
      </w:r>
      <w:r>
        <w:rPr>
          <w:color w:val="005DA1"/>
          <w:vertAlign w:val="baseline"/>
        </w:rPr>
        <w:t> </w:t>
      </w:r>
      <w:r>
        <w:rPr>
          <w:vertAlign w:val="baseline"/>
        </w:rPr>
        <w:t>But even in contract the claimant’s impecuniosity might be relevant if it prevented him from choosing a cheaper form of mitigation. The rules on mitigation and those on remoteness are entwined in some </w:t>
      </w:r>
      <w:r>
        <w:rPr>
          <w:vertAlign w:val="baseline"/>
        </w:rPr>
        <w:t>cases, </w:t>
      </w:r>
      <w:bookmarkStart w:name="_bookmark876" w:id="878"/>
      <w:bookmarkEnd w:id="878"/>
      <w:r>
        <w:rPr>
          <w:vertAlign w:val="baseline"/>
        </w:rPr>
        <w:t>where</w:t>
      </w:r>
      <w:r>
        <w:rPr>
          <w:vertAlign w:val="baseline"/>
        </w:rPr>
        <w:t> what was “within reasonable contemplation” and what was “reasonable” mitigation are treated </w:t>
      </w:r>
      <w:bookmarkStart w:name="_bookmark877" w:id="879"/>
      <w:bookmarkEnd w:id="879"/>
      <w:r>
        <w:rPr>
          <w:vertAlign w:val="baseline"/>
        </w:rPr>
        <w:t>as</w:t>
      </w:r>
      <w:r>
        <w:rPr>
          <w:vertAlign w:val="baseline"/>
        </w:rPr>
        <w:t> inter-changeable concepts. In the </w:t>
      </w:r>
      <w:r>
        <w:rPr>
          <w:rFonts w:ascii="Arial" w:hAnsi="Arial"/>
          <w:i/>
          <w:vertAlign w:val="baseline"/>
        </w:rPr>
        <w:t>Monarch S.S. </w:t>
      </w:r>
      <w:r>
        <w:rPr>
          <w:vertAlign w:val="baseline"/>
        </w:rPr>
        <w:t>case, </w:t>
      </w:r>
      <w:r>
        <w:rPr>
          <w:color w:val="005DA1"/>
          <w:u w:val="single" w:color="005DA1"/>
          <w:vertAlign w:val="superscript"/>
        </w:rPr>
        <w:t>462</w:t>
      </w:r>
      <w:r>
        <w:rPr>
          <w:color w:val="005DA1"/>
          <w:vertAlign w:val="baseline"/>
        </w:rPr>
        <w:t> </w:t>
      </w:r>
      <w:r>
        <w:rPr>
          <w:vertAlign w:val="baseline"/>
        </w:rPr>
        <w:t>Lord Wright said (with reference to the decision of the House of Lords in </w:t>
      </w:r>
      <w:r>
        <w:rPr>
          <w:rFonts w:ascii="Arial" w:hAnsi="Arial"/>
          <w:i/>
          <w:vertAlign w:val="baseline"/>
        </w:rPr>
        <w:t>Muhammad Issa el Sheikh Ahmad v Ali </w:t>
      </w:r>
      <w:r>
        <w:rPr>
          <w:color w:val="005DA1"/>
          <w:u w:val="single" w:color="005DA1"/>
          <w:vertAlign w:val="superscript"/>
        </w:rPr>
        <w:t>463</w:t>
      </w:r>
      <w:r>
        <w:rPr>
          <w:vertAlign w:val="baseline"/>
        </w:rPr>
        <w:t>) that:</w:t>
      </w:r>
    </w:p>
    <w:p>
      <w:pPr>
        <w:pStyle w:val="BodyText"/>
      </w:pPr>
    </w:p>
    <w:p>
      <w:pPr>
        <w:pStyle w:val="BodyText"/>
        <w:spacing w:before="124"/>
      </w:pPr>
    </w:p>
    <w:p>
      <w:pPr>
        <w:pStyle w:val="BodyText"/>
        <w:spacing w:line="235" w:lineRule="auto"/>
        <w:ind w:left="1244" w:right="167"/>
        <w:jc w:val="both"/>
      </w:pPr>
      <w:r>
        <w:rPr/>
        <w:t>“… damages consequent on impecuniosity were held not too remote because … the loss </w:t>
      </w:r>
      <w:bookmarkStart w:name="_bookmark878" w:id="880"/>
      <w:bookmarkEnd w:id="880"/>
      <w:r>
        <w:rPr/>
        <w:t>was</w:t>
      </w:r>
      <w:r>
        <w:rPr/>
        <w:t> such as might reasonably be expected to be in the contemplation of the parties </w:t>
      </w:r>
      <w:r>
        <w:rPr/>
        <w:t>as likely to flow from breach of the obligation undertaken.” </w:t>
      </w:r>
      <w:r>
        <w:rPr>
          <w:color w:val="005DA1"/>
          <w:u w:val="single" w:color="005DA1"/>
          <w:vertAlign w:val="superscript"/>
        </w:rPr>
        <w:t>464</w:t>
      </w:r>
    </w:p>
    <w:p>
      <w:pPr>
        <w:pStyle w:val="BodyText"/>
        <w:spacing w:before="115"/>
      </w:pPr>
    </w:p>
    <w:p>
      <w:pPr>
        <w:pStyle w:val="BodyText"/>
        <w:spacing w:line="235" w:lineRule="auto" w:before="1"/>
        <w:ind w:left="165" w:right="167"/>
        <w:jc w:val="both"/>
      </w:pPr>
      <w:r>
        <w:rPr/>
        <w:t>This means that the claimant’s impecuniosity will be relevant in contract if it falls within the</w:t>
      </w:r>
      <w:r>
        <w:rPr>
          <w:spacing w:val="40"/>
        </w:rPr>
        <w:t> </w:t>
      </w:r>
      <w:r>
        <w:rPr/>
        <w:t>defendant’s reasonable contemplation (as at the time of contracting) as not unlikely to affect the claimant’s</w:t>
      </w:r>
      <w:r>
        <w:rPr>
          <w:spacing w:val="-1"/>
        </w:rPr>
        <w:t> </w:t>
      </w:r>
      <w:r>
        <w:rPr/>
        <w:t>ability</w:t>
      </w:r>
      <w:r>
        <w:rPr>
          <w:spacing w:val="-1"/>
        </w:rPr>
        <w:t> </w:t>
      </w:r>
      <w:r>
        <w:rPr/>
        <w:t>to</w:t>
      </w:r>
      <w:r>
        <w:rPr>
          <w:spacing w:val="-1"/>
        </w:rPr>
        <w:t> </w:t>
      </w:r>
      <w:r>
        <w:rPr/>
        <w:t>mitigate</w:t>
      </w:r>
      <w:r>
        <w:rPr>
          <w:spacing w:val="-1"/>
        </w:rPr>
        <w:t> </w:t>
      </w:r>
      <w:r>
        <w:rPr/>
        <w:t>after</w:t>
      </w:r>
      <w:r>
        <w:rPr>
          <w:spacing w:val="-1"/>
        </w:rPr>
        <w:t> </w:t>
      </w:r>
      <w:r>
        <w:rPr/>
        <w:t>a</w:t>
      </w:r>
      <w:r>
        <w:rPr>
          <w:spacing w:val="-1"/>
        </w:rPr>
        <w:t> </w:t>
      </w:r>
      <w:r>
        <w:rPr/>
        <w:t>breach</w:t>
      </w:r>
      <w:r>
        <w:rPr>
          <w:spacing w:val="-1"/>
        </w:rPr>
        <w:t> </w:t>
      </w:r>
      <w:r>
        <w:rPr/>
        <w:t>of</w:t>
      </w:r>
      <w:r>
        <w:rPr>
          <w:spacing w:val="-1"/>
        </w:rPr>
        <w:t> </w:t>
      </w:r>
      <w:r>
        <w:rPr/>
        <w:t>the</w:t>
      </w:r>
      <w:r>
        <w:rPr>
          <w:spacing w:val="-1"/>
        </w:rPr>
        <w:t> </w:t>
      </w:r>
      <w:r>
        <w:rPr/>
        <w:t>particular</w:t>
      </w:r>
      <w:r>
        <w:rPr>
          <w:spacing w:val="-1"/>
        </w:rPr>
        <w:t> </w:t>
      </w:r>
      <w:r>
        <w:rPr/>
        <w:t>undertaking,</w:t>
      </w:r>
      <w:r>
        <w:rPr>
          <w:spacing w:val="-1"/>
        </w:rPr>
        <w:t> </w:t>
      </w:r>
      <w:r>
        <w:rPr/>
        <w:t>viz</w:t>
      </w:r>
      <w:r>
        <w:rPr>
          <w:spacing w:val="-1"/>
        </w:rPr>
        <w:t> </w:t>
      </w:r>
      <w:r>
        <w:rPr/>
        <w:t>that</w:t>
      </w:r>
      <w:r>
        <w:rPr>
          <w:spacing w:val="-1"/>
        </w:rPr>
        <w:t> </w:t>
      </w:r>
      <w:r>
        <w:rPr/>
        <w:t>the</w:t>
      </w:r>
      <w:r>
        <w:rPr>
          <w:spacing w:val="-1"/>
        </w:rPr>
        <w:t> </w:t>
      </w:r>
      <w:r>
        <w:rPr/>
        <w:t>claimant</w:t>
      </w:r>
      <w:r>
        <w:rPr>
          <w:spacing w:val="-1"/>
        </w:rPr>
        <w:t> </w:t>
      </w:r>
      <w:r>
        <w:rPr/>
        <w:t>would</w:t>
      </w:r>
      <w:r>
        <w:rPr>
          <w:spacing w:val="-1"/>
        </w:rPr>
        <w:t> </w:t>
      </w:r>
      <w:r>
        <w:rPr/>
        <w:t>be likely to incur greater than usual expense (or higher than normal interest charges) in a reasonable attempt to mitigate. This test will not be easy for the claimant to satisfy if he cannot prove that the defendant</w:t>
      </w:r>
      <w:r>
        <w:rPr>
          <w:spacing w:val="7"/>
        </w:rPr>
        <w:t> </w:t>
      </w:r>
      <w:r>
        <w:rPr/>
        <w:t>actually</w:t>
      </w:r>
      <w:r>
        <w:rPr>
          <w:spacing w:val="7"/>
        </w:rPr>
        <w:t> </w:t>
      </w:r>
      <w:r>
        <w:rPr/>
        <w:t>knew</w:t>
      </w:r>
      <w:r>
        <w:rPr>
          <w:spacing w:val="7"/>
        </w:rPr>
        <w:t> </w:t>
      </w:r>
      <w:r>
        <w:rPr/>
        <w:t>of</w:t>
      </w:r>
      <w:r>
        <w:rPr>
          <w:spacing w:val="7"/>
        </w:rPr>
        <w:t> </w:t>
      </w:r>
      <w:r>
        <w:rPr/>
        <w:t>his</w:t>
      </w:r>
      <w:r>
        <w:rPr>
          <w:spacing w:val="7"/>
        </w:rPr>
        <w:t> </w:t>
      </w:r>
      <w:r>
        <w:rPr/>
        <w:t>impecuniosity</w:t>
      </w:r>
      <w:r>
        <w:rPr>
          <w:spacing w:val="7"/>
        </w:rPr>
        <w:t> </w:t>
      </w:r>
      <w:r>
        <w:rPr/>
        <w:t>(which</w:t>
      </w:r>
      <w:r>
        <w:rPr>
          <w:spacing w:val="7"/>
        </w:rPr>
        <w:t> </w:t>
      </w:r>
      <w:r>
        <w:rPr/>
        <w:t>is</w:t>
      </w:r>
      <w:r>
        <w:rPr>
          <w:spacing w:val="7"/>
        </w:rPr>
        <w:t> </w:t>
      </w:r>
      <w:r>
        <w:rPr/>
        <w:t>the</w:t>
      </w:r>
      <w:r>
        <w:rPr>
          <w:spacing w:val="7"/>
        </w:rPr>
        <w:t> </w:t>
      </w:r>
      <w:r>
        <w:rPr/>
        <w:t>situation</w:t>
      </w:r>
      <w:r>
        <w:rPr>
          <w:spacing w:val="7"/>
        </w:rPr>
        <w:t> </w:t>
      </w:r>
      <w:r>
        <w:rPr/>
        <w:t>examined</w:t>
      </w:r>
      <w:r>
        <w:rPr>
          <w:spacing w:val="7"/>
        </w:rPr>
        <w:t> </w:t>
      </w:r>
      <w:r>
        <w:rPr/>
        <w:t>in</w:t>
      </w:r>
      <w:r>
        <w:rPr>
          <w:spacing w:val="7"/>
        </w:rPr>
        <w:t> </w:t>
      </w:r>
      <w:r>
        <w:rPr/>
        <w:t>the</w:t>
      </w:r>
      <w:r>
        <w:rPr>
          <w:spacing w:val="7"/>
        </w:rPr>
        <w:t> </w:t>
      </w:r>
      <w:r>
        <w:rPr/>
        <w:t>next</w:t>
      </w:r>
      <w:r>
        <w:rPr>
          <w:spacing w:val="7"/>
        </w:rPr>
        <w:t> </w:t>
      </w:r>
      <w:r>
        <w:rPr>
          <w:spacing w:val="-2"/>
        </w:rPr>
        <w:t>paragraph.)</w:t>
      </w:r>
    </w:p>
    <w:p>
      <w:pPr>
        <w:pStyle w:val="BodyText"/>
        <w:spacing w:after="0" w:line="235" w:lineRule="auto"/>
        <w:jc w:val="both"/>
        <w:sectPr>
          <w:headerReference w:type="default" r:id="rId27"/>
          <w:pgSz w:w="11900" w:h="16840"/>
          <w:pgMar w:header="971" w:footer="0" w:top="1300" w:bottom="280" w:left="1275" w:right="1275"/>
          <w:pgNumType w:start="1"/>
        </w:sectPr>
      </w:pPr>
    </w:p>
    <w:p>
      <w:pPr>
        <w:pStyle w:val="BodyText"/>
        <w:spacing w:line="235" w:lineRule="auto" w:before="110"/>
        <w:ind w:left="165" w:right="167"/>
        <w:jc w:val="both"/>
      </w:pPr>
      <w:bookmarkStart w:name="_bookmark879" w:id="881"/>
      <w:bookmarkEnd w:id="881"/>
      <w:r>
        <w:rPr/>
      </w:r>
      <w:r>
        <w:rPr/>
        <w:t>Thus, there is no reported case holding his impecuniosity to be relevant in relation to the market price rule in the sale of goods </w:t>
      </w:r>
      <w:r>
        <w:rPr>
          <w:color w:val="005DA1"/>
          <w:u w:val="single" w:color="005DA1"/>
          <w:vertAlign w:val="superscript"/>
        </w:rPr>
        <w:t>465</w:t>
      </w:r>
      <w:r>
        <w:rPr>
          <w:color w:val="005DA1"/>
          <w:vertAlign w:val="baseline"/>
        </w:rPr>
        <w:t> </w:t>
      </w:r>
      <w:r>
        <w:rPr>
          <w:vertAlign w:val="baseline"/>
        </w:rPr>
        <w:t>or to the similar market price rule for breach of a contract of hire. </w:t>
      </w:r>
      <w:r>
        <w:rPr>
          <w:color w:val="005DA1"/>
          <w:u w:val="single" w:color="005DA1"/>
          <w:vertAlign w:val="superscript"/>
        </w:rPr>
        <w:t>466</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Actual knowledge of the claimant’s </w:t>
      </w:r>
      <w:r>
        <w:rPr>
          <w:rFonts w:ascii="Arial" w:hAnsi="Arial"/>
          <w:b/>
          <w:spacing w:val="-2"/>
          <w:sz w:val="18"/>
        </w:rPr>
        <w:t>impecuniosity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084</w:t>
      </w:r>
    </w:p>
    <w:p>
      <w:pPr>
        <w:pStyle w:val="BodyText"/>
        <w:spacing w:line="235" w:lineRule="auto" w:before="203"/>
        <w:ind w:left="165" w:right="167"/>
        <w:jc w:val="both"/>
      </w:pPr>
      <w:r>
        <w:rPr/>
        <w:t>The claimant’s impecuniosity will be relevant in contract if the second rule in </w:t>
      </w:r>
      <w:r>
        <w:rPr>
          <w:rFonts w:ascii="Arial" w:hAnsi="Arial"/>
          <w:i/>
        </w:rPr>
        <w:t>Hadley v Baxendale </w:t>
      </w:r>
      <w:r>
        <w:rPr/>
        <w:t>is satisfied viz if, at the time of contracting, the contract-breaker had actual knowledge of special </w:t>
      </w:r>
      <w:bookmarkStart w:name="_bookmark880" w:id="882"/>
      <w:bookmarkEnd w:id="882"/>
      <w:r>
        <w:rPr/>
        <w:t>circumstances</w:t>
      </w:r>
      <w:r>
        <w:rPr/>
        <w:t> under which a breach was likely to cause the claimant greater or different loss from that</w:t>
      </w:r>
      <w:r>
        <w:rPr>
          <w:spacing w:val="-2"/>
        </w:rPr>
        <w:t> </w:t>
      </w:r>
      <w:r>
        <w:rPr/>
        <w:t>to</w:t>
      </w:r>
      <w:r>
        <w:rPr>
          <w:spacing w:val="-2"/>
        </w:rPr>
        <w:t> </w:t>
      </w:r>
      <w:r>
        <w:rPr/>
        <w:t>be</w:t>
      </w:r>
      <w:r>
        <w:rPr>
          <w:spacing w:val="-2"/>
        </w:rPr>
        <w:t> </w:t>
      </w:r>
      <w:r>
        <w:rPr/>
        <w:t>normally</w:t>
      </w:r>
      <w:r>
        <w:rPr>
          <w:spacing w:val="-2"/>
        </w:rPr>
        <w:t> </w:t>
      </w:r>
      <w:r>
        <w:rPr/>
        <w:t>expected</w:t>
      </w:r>
      <w:r>
        <w:rPr>
          <w:spacing w:val="-2"/>
        </w:rPr>
        <w:t> </w:t>
      </w:r>
      <w:r>
        <w:rPr/>
        <w:t>under</w:t>
      </w:r>
      <w:r>
        <w:rPr>
          <w:spacing w:val="-2"/>
        </w:rPr>
        <w:t> </w:t>
      </w:r>
      <w:r>
        <w:rPr/>
        <w:t>normal</w:t>
      </w:r>
      <w:r>
        <w:rPr>
          <w:spacing w:val="-2"/>
        </w:rPr>
        <w:t> </w:t>
      </w:r>
      <w:r>
        <w:rPr/>
        <w:t>circumstances.</w:t>
      </w:r>
      <w:r>
        <w:rPr>
          <w:spacing w:val="-3"/>
        </w:rPr>
        <w:t> </w:t>
      </w:r>
      <w:r>
        <w:rPr>
          <w:color w:val="005DA1"/>
          <w:u w:val="single" w:color="005DA1"/>
          <w:vertAlign w:val="superscript"/>
        </w:rPr>
        <w:t>467</w:t>
      </w:r>
      <w:r>
        <w:rPr>
          <w:color w:val="005DA1"/>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impecuniosity</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a “special circumstance” under this rule if, with his knowledge of it, the defendant could foresee that the claimant could mitigate his loss caused by the breach only by incurring greater expense than would</w:t>
      </w:r>
      <w:r>
        <w:rPr>
          <w:spacing w:val="40"/>
          <w:vertAlign w:val="baseline"/>
        </w:rPr>
        <w:t> </w:t>
      </w:r>
      <w:r>
        <w:rPr>
          <w:vertAlign w:val="baseline"/>
        </w:rPr>
        <w:t>be incurred by a financially secure person. The claimant must act “reasonably” in his mitigating</w:t>
      </w:r>
      <w:r>
        <w:rPr>
          <w:spacing w:val="40"/>
          <w:vertAlign w:val="baseline"/>
        </w:rPr>
        <w:t> </w:t>
      </w:r>
      <w:bookmarkStart w:name="_bookmark881" w:id="883"/>
      <w:bookmarkEnd w:id="883"/>
      <w:r>
        <w:rPr>
          <w:vertAlign w:val="baseline"/>
        </w:rPr>
        <w:t>actions</w:t>
      </w:r>
      <w:r>
        <w:rPr>
          <w:vertAlign w:val="baseline"/>
        </w:rPr>
        <w:t> but what is reasonable for a claimant known to be impecunious may be different from the</w:t>
      </w:r>
      <w:r>
        <w:rPr>
          <w:spacing w:val="80"/>
          <w:vertAlign w:val="baseline"/>
        </w:rPr>
        <w:t> </w:t>
      </w:r>
      <w:r>
        <w:rPr>
          <w:vertAlign w:val="baseline"/>
        </w:rPr>
        <w:t>case of a person with financial resources. </w:t>
      </w:r>
      <w:r>
        <w:rPr>
          <w:color w:val="005DA1"/>
          <w:u w:val="single" w:color="005DA1"/>
          <w:vertAlign w:val="superscript"/>
        </w:rPr>
        <w:t>468</w:t>
      </w:r>
      <w:r>
        <w:rPr>
          <w:color w:val="005DA1"/>
          <w:vertAlign w:val="baseline"/>
        </w:rPr>
        <w:t> </w:t>
      </w:r>
      <w:r>
        <w:rPr>
          <w:vertAlign w:val="baseline"/>
        </w:rPr>
        <w:t>One of the mitigation rules is that the claimant is entitled </w:t>
      </w:r>
      <w:bookmarkStart w:name="_bookmark882" w:id="884"/>
      <w:bookmarkEnd w:id="884"/>
      <w:r>
        <w:rPr>
          <w:vertAlign w:val="baseline"/>
        </w:rPr>
        <w:t>to</w:t>
      </w:r>
      <w:r>
        <w:rPr>
          <w:vertAlign w:val="baseline"/>
        </w:rPr>
        <w:t> damages for any loss or expense incurred by him in reasonably attempting to mitigate his loss, even where this attempt was unsuccessful or led to greater loss. </w:t>
      </w:r>
      <w:r>
        <w:rPr>
          <w:color w:val="005DA1"/>
          <w:u w:val="single" w:color="005DA1"/>
          <w:vertAlign w:val="superscript"/>
        </w:rPr>
        <w:t>469</w:t>
      </w:r>
    </w:p>
    <w:p>
      <w:pPr>
        <w:pStyle w:val="BodyText"/>
      </w:pPr>
    </w:p>
    <w:p>
      <w:pPr>
        <w:pStyle w:val="BodyText"/>
        <w:spacing w:before="34"/>
      </w:pPr>
    </w:p>
    <w:p>
      <w:pPr>
        <w:spacing w:before="1"/>
        <w:ind w:left="165" w:right="0" w:firstLine="0"/>
        <w:jc w:val="left"/>
        <w:rPr>
          <w:rFonts w:ascii="Arial"/>
          <w:b/>
          <w:sz w:val="18"/>
        </w:rPr>
      </w:pPr>
      <w:r>
        <w:rPr>
          <w:rFonts w:ascii="Arial"/>
          <w:b/>
          <w:spacing w:val="-2"/>
          <w:sz w:val="18"/>
        </w:rPr>
        <w:t>Illustrations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085</w:t>
      </w:r>
    </w:p>
    <w:p>
      <w:pPr>
        <w:pStyle w:val="BodyText"/>
        <w:spacing w:line="235" w:lineRule="auto" w:before="202"/>
        <w:ind w:left="165" w:right="167"/>
        <w:jc w:val="both"/>
      </w:pPr>
      <w:bookmarkStart w:name="_bookmark883" w:id="885"/>
      <w:bookmarkEnd w:id="885"/>
      <w:r>
        <w:rPr/>
      </w:r>
      <w:bookmarkStart w:name="_bookmark884" w:id="886"/>
      <w:bookmarkEnd w:id="886"/>
      <w:r>
        <w:rPr/>
      </w:r>
      <w:r>
        <w:rPr/>
        <w:t>Several cases illustrate the position. </w:t>
      </w:r>
      <w:r>
        <w:rPr>
          <w:color w:val="005DA1"/>
          <w:u w:val="single" w:color="005DA1"/>
          <w:vertAlign w:val="superscript"/>
        </w:rPr>
        <w:t>470</w:t>
      </w:r>
      <w:r>
        <w:rPr>
          <w:color w:val="005DA1"/>
          <w:vertAlign w:val="baseline"/>
        </w:rPr>
        <w:t> </w:t>
      </w:r>
      <w:r>
        <w:rPr>
          <w:vertAlign w:val="baseline"/>
        </w:rPr>
        <w:t>In </w:t>
      </w:r>
      <w:r>
        <w:rPr>
          <w:rFonts w:ascii="Arial" w:hAnsi="Arial"/>
          <w:i/>
          <w:vertAlign w:val="baseline"/>
        </w:rPr>
        <w:t>Wroth v Tyler </w:t>
      </w:r>
      <w:r>
        <w:rPr>
          <w:color w:val="005DA1"/>
          <w:u w:val="single" w:color="005DA1"/>
          <w:vertAlign w:val="superscript"/>
        </w:rPr>
        <w:t>471</w:t>
      </w:r>
      <w:r>
        <w:rPr>
          <w:color w:val="005DA1"/>
          <w:vertAlign w:val="baseline"/>
        </w:rPr>
        <w:t> </w:t>
      </w:r>
      <w:r>
        <w:rPr>
          <w:vertAlign w:val="baseline"/>
        </w:rPr>
        <w:t>the contract-breaker’s knowledge of </w:t>
      </w:r>
      <w:r>
        <w:rPr>
          <w:vertAlign w:val="baseline"/>
        </w:rPr>
        <w:t>the plaintiffs’ lack of resources was treated as relevant to their ability to mitigate. </w:t>
      </w:r>
      <w:r>
        <w:rPr>
          <w:color w:val="005DA1"/>
          <w:u w:val="single" w:color="005DA1"/>
          <w:vertAlign w:val="superscript"/>
        </w:rPr>
        <w:t>472</w:t>
      </w:r>
      <w:r>
        <w:rPr>
          <w:color w:val="005DA1"/>
          <w:vertAlign w:val="baseline"/>
        </w:rPr>
        <w:t> </w:t>
      </w:r>
      <w:r>
        <w:rPr>
          <w:vertAlign w:val="baseline"/>
        </w:rPr>
        <w:t>Both the seller and the</w:t>
      </w:r>
      <w:r>
        <w:rPr>
          <w:spacing w:val="-2"/>
          <w:vertAlign w:val="baseline"/>
        </w:rPr>
        <w:t> </w:t>
      </w:r>
      <w:r>
        <w:rPr>
          <w:vertAlign w:val="baseline"/>
        </w:rPr>
        <w:t>purchasers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house</w:t>
      </w:r>
      <w:r>
        <w:rPr>
          <w:spacing w:val="-2"/>
          <w:vertAlign w:val="baseline"/>
        </w:rPr>
        <w:t> </w:t>
      </w:r>
      <w:r>
        <w:rPr>
          <w:vertAlign w:val="baseline"/>
        </w:rPr>
        <w:t>contemplated</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date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rise</w:t>
      </w:r>
      <w:r>
        <w:rPr>
          <w:spacing w:val="-2"/>
          <w:vertAlign w:val="baseline"/>
        </w:rPr>
        <w:t> </w:t>
      </w:r>
      <w:r>
        <w:rPr>
          <w:vertAlign w:val="baseline"/>
        </w:rPr>
        <w:t>in</w:t>
      </w:r>
      <w:r>
        <w:rPr>
          <w:spacing w:val="-2"/>
          <w:vertAlign w:val="baseline"/>
        </w:rPr>
        <w:t> </w:t>
      </w:r>
      <w:r>
        <w:rPr>
          <w:vertAlign w:val="baseline"/>
        </w:rPr>
        <w:t>house prices after the contract; the seller knew that the purchasers:</w:t>
      </w:r>
    </w:p>
    <w:p>
      <w:pPr>
        <w:pStyle w:val="BodyText"/>
      </w:pPr>
    </w:p>
    <w:p>
      <w:pPr>
        <w:pStyle w:val="BodyText"/>
        <w:spacing w:before="126"/>
      </w:pPr>
    </w:p>
    <w:p>
      <w:pPr>
        <w:pStyle w:val="BodyText"/>
        <w:spacing w:line="235" w:lineRule="auto"/>
        <w:ind w:left="1245" w:right="167"/>
        <w:jc w:val="both"/>
      </w:pPr>
      <w:r>
        <w:rPr/>
        <w:t>“… had no financial resources beyond [the price] that they could have put together for the purchase of [the seller’s house] … [The purchasers] were therefore to the [seller’s] </w:t>
      </w:r>
      <w:bookmarkStart w:name="_bookmark885" w:id="887"/>
      <w:bookmarkEnd w:id="887"/>
      <w:r>
        <w:rPr/>
        <w:t>knowledge</w:t>
      </w:r>
      <w:r>
        <w:rPr/>
        <w:t> unable at the time of breach to raise a further £1500 to purchase an</w:t>
      </w:r>
      <w:r>
        <w:rPr>
          <w:spacing w:val="40"/>
        </w:rPr>
        <w:t> </w:t>
      </w:r>
      <w:r>
        <w:rPr/>
        <w:t>equivalent house forthwith, and so … mitigate their loss.” </w:t>
      </w:r>
      <w:r>
        <w:rPr>
          <w:color w:val="005DA1"/>
          <w:u w:val="single" w:color="005DA1"/>
          <w:vertAlign w:val="superscript"/>
        </w:rPr>
        <w:t>473</w:t>
      </w:r>
    </w:p>
    <w:p>
      <w:pPr>
        <w:pStyle w:val="BodyText"/>
        <w:spacing w:before="115"/>
      </w:pPr>
    </w:p>
    <w:p>
      <w:pPr>
        <w:pStyle w:val="BodyText"/>
        <w:spacing w:line="235" w:lineRule="auto"/>
        <w:ind w:left="164" w:right="167"/>
        <w:jc w:val="both"/>
      </w:pPr>
      <w:bookmarkStart w:name="_bookmark886" w:id="888"/>
      <w:bookmarkEnd w:id="888"/>
      <w:r>
        <w:rPr/>
      </w:r>
      <w:r>
        <w:rPr/>
        <w:t>In </w:t>
      </w:r>
      <w:r>
        <w:rPr>
          <w:rFonts w:ascii="Arial" w:hAnsi="Arial"/>
          <w:i/>
        </w:rPr>
        <w:t>Wadsworth v Lydall</w:t>
      </w:r>
      <w:r>
        <w:rPr/>
        <w:t>, </w:t>
      </w:r>
      <w:r>
        <w:rPr>
          <w:color w:val="005DA1"/>
          <w:u w:val="single" w:color="005DA1"/>
          <w:vertAlign w:val="superscript"/>
        </w:rPr>
        <w:t>474</w:t>
      </w:r>
      <w:r>
        <w:rPr>
          <w:color w:val="005DA1"/>
          <w:vertAlign w:val="baseline"/>
        </w:rPr>
        <w:t> </w:t>
      </w:r>
      <w:r>
        <w:rPr>
          <w:vertAlign w:val="baseline"/>
        </w:rPr>
        <w:t>on the dissolution of a farming partnership between the parties, </w:t>
      </w:r>
      <w:r>
        <w:rPr>
          <w:vertAlign w:val="baseline"/>
        </w:rPr>
        <w:t>the defendant was obliged to pay £10,000 to the plaintiff on a fixed date. The defendant knew that the plaintiff needed another farm and would be dependent on payment of that sum on that date to finance </w:t>
      </w:r>
      <w:bookmarkStart w:name="_bookmark887" w:id="889"/>
      <w:bookmarkEnd w:id="889"/>
      <w:r>
        <w:rPr>
          <w:vertAlign w:val="baseline"/>
        </w:rPr>
        <w:t>any</w:t>
      </w:r>
      <w:r>
        <w:rPr>
          <w:vertAlign w:val="baseline"/>
        </w:rPr>
        <w:t> purchase. When the defendant failed to pay, the Court of Appeal awarded the plaintiff as special </w:t>
      </w:r>
      <w:bookmarkStart w:name="_bookmark888" w:id="890"/>
      <w:bookmarkEnd w:id="890"/>
      <w:r>
        <w:rPr>
          <w:vertAlign w:val="baseline"/>
        </w:rPr>
        <w:t>damages</w:t>
      </w:r>
      <w:r>
        <w:rPr>
          <w:vertAlign w:val="baseline"/>
        </w:rPr>
        <w:t> the extra interest charges and legal costs incurred by him as a result of the breach. </w:t>
      </w:r>
      <w:r>
        <w:rPr>
          <w:color w:val="005DA1"/>
          <w:u w:val="single" w:color="005DA1"/>
          <w:vertAlign w:val="superscript"/>
        </w:rPr>
        <w:t>475</w:t>
      </w:r>
      <w:r>
        <w:rPr>
          <w:color w:val="005DA1"/>
          <w:vertAlign w:val="baseline"/>
        </w:rPr>
        <w:t> </w:t>
      </w:r>
      <w:r>
        <w:rPr>
          <w:vertAlign w:val="baseline"/>
        </w:rPr>
        <w:t>In </w:t>
      </w:r>
      <w:r>
        <w:rPr>
          <w:rFonts w:ascii="Arial" w:hAnsi="Arial"/>
          <w:i/>
          <w:vertAlign w:val="baseline"/>
        </w:rPr>
        <w:t>Bacon v Cooper </w:t>
      </w:r>
      <w:r>
        <w:rPr>
          <w:color w:val="005DA1"/>
          <w:u w:val="single" w:color="005DA1"/>
          <w:vertAlign w:val="superscript"/>
        </w:rPr>
        <w:t>476</w:t>
      </w:r>
      <w:r>
        <w:rPr>
          <w:color w:val="005DA1"/>
          <w:vertAlign w:val="baseline"/>
        </w:rPr>
        <w:t> </w:t>
      </w:r>
      <w:r>
        <w:rPr>
          <w:vertAlign w:val="baseline"/>
        </w:rPr>
        <w:t>the rotor of the plaintiff’s machine was damaged beyond repair as a result of the defendant’s breach of contract. The only available replacement cost £41,500 which the plaintiff, a </w:t>
      </w:r>
      <w:bookmarkStart w:name="_bookmark889" w:id="891"/>
      <w:bookmarkEnd w:id="891"/>
      <w:r>
        <w:rPr>
          <w:vertAlign w:val="baseline"/>
        </w:rPr>
        <w:t>dealer</w:t>
      </w:r>
      <w:r>
        <w:rPr>
          <w:vertAlign w:val="baseline"/>
        </w:rPr>
        <w:t> in scrap metal, could not finance out of his own resources. It was held that the plaintiff had </w:t>
      </w:r>
      <w:bookmarkStart w:name="_bookmark890" w:id="892"/>
      <w:bookmarkEnd w:id="892"/>
      <w:r>
        <w:rPr>
          <w:vertAlign w:val="baseline"/>
        </w:rPr>
        <w:t>acted</w:t>
      </w:r>
      <w:r>
        <w:rPr>
          <w:vertAlign w:val="baseline"/>
        </w:rPr>
        <w:t> reasonably in obtaining it on hire purchase at a high rate of interest. </w:t>
      </w:r>
      <w:r>
        <w:rPr>
          <w:color w:val="005DA1"/>
          <w:u w:val="single" w:color="005DA1"/>
          <w:vertAlign w:val="superscript"/>
        </w:rPr>
        <w:t>477</w:t>
      </w:r>
      <w:r>
        <w:rPr>
          <w:color w:val="005DA1"/>
          <w:vertAlign w:val="baseline"/>
        </w:rPr>
        <w:t> </w:t>
      </w:r>
      <w:r>
        <w:rPr>
          <w:vertAlign w:val="baseline"/>
        </w:rPr>
        <w:t>A further authority is </w:t>
      </w:r>
      <w:r>
        <w:rPr>
          <w:rFonts w:ascii="Arial" w:hAnsi="Arial"/>
          <w:i/>
          <w:vertAlign w:val="baseline"/>
        </w:rPr>
        <w:t>Trans Trust SPRL v Danubian Trading Co Ltd</w:t>
      </w:r>
      <w:r>
        <w:rPr>
          <w:vertAlign w:val="baseline"/>
        </w:rPr>
        <w:t>. </w:t>
      </w:r>
      <w:r>
        <w:rPr>
          <w:color w:val="005DA1"/>
          <w:u w:val="single" w:color="005DA1"/>
          <w:vertAlign w:val="superscript"/>
        </w:rPr>
        <w:t>478</w:t>
      </w:r>
      <w:r>
        <w:rPr>
          <w:color w:val="005DA1"/>
          <w:vertAlign w:val="baseline"/>
        </w:rPr>
        <w:t> </w:t>
      </w:r>
      <w:r>
        <w:rPr>
          <w:vertAlign w:val="baseline"/>
        </w:rPr>
        <w:t>The buyers undertook that a confirmed credit was</w:t>
      </w:r>
      <w:r>
        <w:rPr>
          <w:spacing w:val="40"/>
          <w:vertAlign w:val="baseline"/>
        </w:rPr>
        <w:t> </w:t>
      </w:r>
      <w:r>
        <w:rPr>
          <w:vertAlign w:val="baseline"/>
        </w:rPr>
        <w:t>to be opened forthwith in favour of the firm from which the sellers were obtaining the goods. The buyers knew that the sellers were not in a position themselves to open the necessary credit. The Court of Appeal held that the loss due to this impecuniosity of the sellers was not too remote because it was within the reasonable contemplation of the parties as likely to flow from the buyer’s breach of contract in failing to obtain the credit.</w:t>
      </w:r>
    </w:p>
    <w:p>
      <w:pPr>
        <w:pStyle w:val="BodyText"/>
        <w:spacing w:before="76"/>
      </w:pPr>
    </w:p>
    <w:p>
      <w:pPr>
        <w:spacing w:before="0"/>
        <w:ind w:left="165" w:right="0" w:firstLine="0"/>
        <w:jc w:val="left"/>
        <w:rPr>
          <w:rFonts w:ascii="Arial"/>
          <w:b/>
          <w:sz w:val="24"/>
        </w:rPr>
      </w:pPr>
      <w:r>
        <w:rPr>
          <w:rFonts w:ascii="Arial"/>
          <w:b/>
          <w:sz w:val="24"/>
        </w:rPr>
        <w:t>26-</w:t>
      </w:r>
      <w:r>
        <w:rPr>
          <w:rFonts w:ascii="Arial"/>
          <w:b/>
          <w:spacing w:val="-5"/>
          <w:sz w:val="24"/>
        </w:rPr>
        <w:t>086</w:t>
      </w:r>
    </w:p>
    <w:p>
      <w:pPr>
        <w:pStyle w:val="BodyText"/>
        <w:spacing w:line="235" w:lineRule="auto" w:before="202"/>
        <w:ind w:left="165" w:right="167"/>
        <w:jc w:val="both"/>
      </w:pPr>
      <w:r>
        <w:rPr/>
        <w:t>Another case appears to accept the principle but it was found on the facts that the defendants did not </w:t>
      </w:r>
      <w:bookmarkStart w:name="_bookmark891" w:id="893"/>
      <w:bookmarkEnd w:id="893"/>
      <w:r>
        <w:rPr/>
        <w:t>know</w:t>
      </w:r>
      <w:r>
        <w:rPr/>
        <w:t> of the plaintiff’s special financial arrangements. In </w:t>
      </w:r>
      <w:r>
        <w:rPr>
          <w:rFonts w:ascii="Arial" w:hAnsi="Arial"/>
          <w:i/>
        </w:rPr>
        <w:t>Compania Financiera “Soleada” SA </w:t>
      </w:r>
      <w:r>
        <w:rPr>
          <w:rFonts w:ascii="Arial" w:hAnsi="Arial"/>
          <w:i/>
        </w:rPr>
        <w:t>v</w:t>
      </w:r>
      <w:r>
        <w:rPr>
          <w:rFonts w:ascii="Arial" w:hAnsi="Arial"/>
          <w:i/>
          <w:spacing w:val="80"/>
        </w:rPr>
        <w:t> </w:t>
      </w:r>
      <w:r>
        <w:rPr>
          <w:rFonts w:ascii="Arial" w:hAnsi="Arial"/>
          <w:i/>
        </w:rPr>
        <w:t>Hamoor Tanker Corp Inc </w:t>
      </w:r>
      <w:r>
        <w:rPr>
          <w:color w:val="005DA1"/>
          <w:u w:val="single" w:color="005DA1"/>
          <w:vertAlign w:val="superscript"/>
        </w:rPr>
        <w:t>479</w:t>
      </w:r>
      <w:r>
        <w:rPr>
          <w:color w:val="005DA1"/>
          <w:vertAlign w:val="baseline"/>
        </w:rPr>
        <w:t> </w:t>
      </w:r>
      <w:r>
        <w:rPr>
          <w:vertAlign w:val="baseline"/>
        </w:rPr>
        <w:t>the plaintiff’s vessel was arrested in breach of contract: since it was reasonably foreseeable that the plaintiff would seek to obtain its release and for that purpose would obtain</w:t>
      </w:r>
      <w:r>
        <w:rPr>
          <w:spacing w:val="10"/>
          <w:vertAlign w:val="baseline"/>
        </w:rPr>
        <w:t> </w:t>
      </w:r>
      <w:r>
        <w:rPr>
          <w:vertAlign w:val="baseline"/>
        </w:rPr>
        <w:t>a</w:t>
      </w:r>
      <w:r>
        <w:rPr>
          <w:spacing w:val="10"/>
          <w:vertAlign w:val="baseline"/>
        </w:rPr>
        <w:t> </w:t>
      </w:r>
      <w:r>
        <w:rPr>
          <w:vertAlign w:val="baseline"/>
        </w:rPr>
        <w:t>guarantee</w:t>
      </w:r>
      <w:r>
        <w:rPr>
          <w:spacing w:val="10"/>
          <w:vertAlign w:val="baseline"/>
        </w:rPr>
        <w:t> </w:t>
      </w:r>
      <w:r>
        <w:rPr>
          <w:vertAlign w:val="baseline"/>
        </w:rPr>
        <w:t>for</w:t>
      </w:r>
      <w:r>
        <w:rPr>
          <w:spacing w:val="10"/>
          <w:vertAlign w:val="baseline"/>
        </w:rPr>
        <w:t> </w:t>
      </w:r>
      <w:r>
        <w:rPr>
          <w:vertAlign w:val="baseline"/>
        </w:rPr>
        <w:t>payment</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debt,</w:t>
      </w:r>
      <w:r>
        <w:rPr>
          <w:spacing w:val="10"/>
          <w:vertAlign w:val="baseline"/>
        </w:rPr>
        <w:t> </w:t>
      </w:r>
      <w:r>
        <w:rPr>
          <w:vertAlign w:val="baseline"/>
        </w:rPr>
        <w:t>the</w:t>
      </w:r>
      <w:r>
        <w:rPr>
          <w:spacing w:val="10"/>
          <w:vertAlign w:val="baseline"/>
        </w:rPr>
        <w:t> </w:t>
      </w:r>
      <w:r>
        <w:rPr>
          <w:vertAlign w:val="baseline"/>
        </w:rPr>
        <w:t>Court</w:t>
      </w:r>
      <w:r>
        <w:rPr>
          <w:spacing w:val="10"/>
          <w:vertAlign w:val="baseline"/>
        </w:rPr>
        <w:t> </w:t>
      </w:r>
      <w:r>
        <w:rPr>
          <w:vertAlign w:val="baseline"/>
        </w:rPr>
        <w:t>of</w:t>
      </w:r>
      <w:r>
        <w:rPr>
          <w:spacing w:val="10"/>
          <w:vertAlign w:val="baseline"/>
        </w:rPr>
        <w:t> </w:t>
      </w:r>
      <w:r>
        <w:rPr>
          <w:vertAlign w:val="baseline"/>
        </w:rPr>
        <w:t>Appeal</w:t>
      </w:r>
      <w:r>
        <w:rPr>
          <w:spacing w:val="10"/>
          <w:vertAlign w:val="baseline"/>
        </w:rPr>
        <w:t> </w:t>
      </w:r>
      <w:r>
        <w:rPr>
          <w:vertAlign w:val="baseline"/>
        </w:rPr>
        <w:t>held</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expense</w:t>
      </w:r>
      <w:r>
        <w:rPr>
          <w:spacing w:val="10"/>
          <w:vertAlign w:val="baseline"/>
        </w:rPr>
        <w:t> </w:t>
      </w:r>
      <w:r>
        <w:rPr>
          <w:vertAlign w:val="baseline"/>
        </w:rPr>
        <w:t>in</w:t>
      </w:r>
      <w:r>
        <w:rPr>
          <w:spacing w:val="10"/>
          <w:vertAlign w:val="baseline"/>
        </w:rPr>
        <w:t> </w:t>
      </w:r>
      <w:r>
        <w:rPr>
          <w:vertAlign w:val="baseline"/>
        </w:rPr>
        <w:t>doing</w:t>
      </w:r>
      <w:r>
        <w:rPr>
          <w:spacing w:val="10"/>
          <w:vertAlign w:val="baseline"/>
        </w:rPr>
        <w:t> </w:t>
      </w:r>
      <w:r>
        <w:rPr>
          <w:vertAlign w:val="baseline"/>
        </w:rPr>
        <w:t>so,</w:t>
      </w:r>
      <w:r>
        <w:rPr>
          <w:spacing w:val="10"/>
          <w:vertAlign w:val="baseline"/>
        </w:rPr>
        <w:t> </w:t>
      </w:r>
      <w:r>
        <w:rPr>
          <w:spacing w:val="-5"/>
          <w:vertAlign w:val="baseline"/>
        </w:rPr>
        <w:t>if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92" w:id="894"/>
      <w:bookmarkEnd w:id="894"/>
      <w:r>
        <w:rPr/>
      </w:r>
      <w:r>
        <w:rPr/>
        <w:t>reasonable, would be recoverable either because it was within the remoteness rules, or as </w:t>
      </w:r>
      <w:r>
        <w:rPr/>
        <w:t>the expense of reasonable mitigation. </w:t>
      </w:r>
      <w:r>
        <w:rPr>
          <w:color w:val="005DA1"/>
          <w:u w:val="single" w:color="005DA1"/>
          <w:vertAlign w:val="superscript"/>
        </w:rPr>
        <w:t>480</w:t>
      </w:r>
      <w:r>
        <w:rPr>
          <w:color w:val="005DA1"/>
          <w:vertAlign w:val="baseline"/>
        </w:rPr>
        <w:t> </w:t>
      </w:r>
      <w:r>
        <w:rPr>
          <w:vertAlign w:val="baseline"/>
        </w:rPr>
        <w:t>But because the particular financial arrangements between the plaintiffs and their bank were not known to the defendants, the high interest charges actually incurred by the plaintiffs were held to be “wholly unreasonable” and so not recoverable.</w:t>
      </w:r>
    </w:p>
    <w:p>
      <w:pPr>
        <w:pStyle w:val="BodyText"/>
      </w:pPr>
    </w:p>
    <w:p>
      <w:pPr>
        <w:pStyle w:val="BodyText"/>
        <w:spacing w:before="38"/>
      </w:pPr>
      <w:r>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185971</wp:posOffset>
                </wp:positionV>
                <wp:extent cx="5724525"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676928;mso-wrap-distance-left:0;mso-wrap-distance-right:0" id="docshape4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893" w:id="895"/>
      <w:bookmarkEnd w:id="895"/>
      <w:r>
        <w:rPr/>
      </w:r>
      <w:hyperlink w:history="true" w:anchor="_bookmark872">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[2003] UKHL 64, [2004] 1 A.C. </w:t>
      </w:r>
      <w:r>
        <w:rPr>
          <w:rFonts w:ascii="Arial"/>
          <w:i/>
          <w:spacing w:val="-2"/>
          <w:sz w:val="20"/>
        </w:rPr>
        <w:t>1067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894" w:id="896"/>
      <w:bookmarkEnd w:id="896"/>
      <w:r>
        <w:rPr/>
      </w:r>
      <w:hyperlink w:history="true" w:anchor="_bookmark873">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[1933]</w:t>
      </w:r>
      <w:r>
        <w:rPr>
          <w:rFonts w:ascii="Arial"/>
          <w:i/>
          <w:spacing w:val="-2"/>
          <w:sz w:val="20"/>
        </w:rPr>
        <w:t> </w:t>
      </w:r>
      <w:r>
        <w:rPr>
          <w:rFonts w:ascii="Arial"/>
          <w:i/>
          <w:sz w:val="20"/>
        </w:rPr>
        <w:t>A.C. 449, </w:t>
      </w:r>
      <w:r>
        <w:rPr>
          <w:rFonts w:ascii="Arial"/>
          <w:i/>
          <w:spacing w:val="-4"/>
          <w:sz w:val="20"/>
        </w:rPr>
        <w:t>460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5" w:id="897"/>
      <w:bookmarkEnd w:id="897"/>
      <w:r>
        <w:rPr/>
      </w:r>
      <w:hyperlink w:history="true" w:anchor="_bookmark874">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UKHL 64</w:t>
      </w:r>
      <w:r>
        <w:rPr>
          <w:sz w:val="20"/>
        </w:rPr>
        <w:t>, per Lord Hope at </w:t>
      </w:r>
      <w:r>
        <w:rPr>
          <w:spacing w:val="-2"/>
          <w:sz w:val="20"/>
        </w:rPr>
        <w:t>[61].</w:t>
      </w:r>
    </w:p>
    <w:p>
      <w:pPr>
        <w:pStyle w:val="BodyText"/>
        <w:spacing w:before="5"/>
      </w:pPr>
    </w:p>
    <w:p>
      <w:pPr>
        <w:pStyle w:val="BodyText"/>
        <w:tabs>
          <w:tab w:pos="705" w:val="left" w:leader="none"/>
        </w:tabs>
        <w:ind w:left="165"/>
      </w:pPr>
      <w:bookmarkStart w:name="_bookmark896" w:id="898"/>
      <w:bookmarkEnd w:id="898"/>
      <w:r>
        <w:rPr/>
      </w:r>
      <w:hyperlink w:history="true" w:anchor="_bookmark875">
        <w:r>
          <w:rPr>
            <w:color w:val="005DA1"/>
            <w:spacing w:val="-4"/>
            <w:position w:val="5"/>
            <w:sz w:val="14"/>
            <w:u w:val="single" w:color="005DA1"/>
          </w:rPr>
          <w:t>461</w:t>
        </w:r>
      </w:hyperlink>
      <w:r>
        <w:rPr>
          <w:spacing w:val="-4"/>
          <w:position w:val="5"/>
          <w:sz w:val="14"/>
        </w:rPr>
        <w:t>.</w:t>
      </w:r>
      <w:r>
        <w:rPr>
          <w:position w:val="5"/>
          <w:sz w:val="14"/>
        </w:rPr>
        <w:tab/>
      </w:r>
      <w:r>
        <w:rPr/>
        <w:t>See</w:t>
      </w:r>
      <w:r>
        <w:rPr>
          <w:spacing w:val="-2"/>
        </w:rPr>
        <w:t> </w:t>
      </w:r>
      <w:r>
        <w:rPr/>
        <w:t>paras 26-115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897" w:id="899"/>
      <w:bookmarkEnd w:id="899"/>
      <w:r>
        <w:rPr/>
      </w:r>
      <w:hyperlink w:history="true" w:anchor="_bookmark876">
        <w:r>
          <w:rPr>
            <w:color w:val="005DA1"/>
            <w:spacing w:val="-4"/>
            <w:position w:val="5"/>
            <w:sz w:val="14"/>
            <w:u w:val="single" w:color="005DA1"/>
          </w:rPr>
          <w:t>462</w:t>
        </w:r>
      </w:hyperlink>
      <w:r>
        <w:rPr>
          <w:spacing w:val="-4"/>
          <w:position w:val="5"/>
          <w:sz w:val="14"/>
        </w:rPr>
        <w:t>.</w:t>
      </w:r>
      <w:r>
        <w:rPr>
          <w:position w:val="5"/>
          <w:sz w:val="14"/>
        </w:rPr>
        <w:tab/>
      </w:r>
      <w:r>
        <w:rPr>
          <w:rFonts w:ascii="Arial"/>
          <w:i/>
          <w:sz w:val="20"/>
        </w:rPr>
        <w:t>Monarch S.S. Co Ltd v Karlshamms Oljefabriker (A/B) [1949] A.C. </w:t>
      </w:r>
      <w:r>
        <w:rPr>
          <w:rFonts w:ascii="Arial"/>
          <w:i/>
          <w:spacing w:val="-4"/>
          <w:sz w:val="20"/>
        </w:rPr>
        <w:t>196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8" w:id="900"/>
      <w:bookmarkEnd w:id="900"/>
      <w:r>
        <w:rPr/>
      </w:r>
      <w:hyperlink w:history="true" w:anchor="_bookmark877">
        <w:r>
          <w:rPr>
            <w:color w:val="005DA1"/>
            <w:spacing w:val="-4"/>
            <w:position w:val="5"/>
            <w:sz w:val="14"/>
            <w:u w:val="single" w:color="005DA1"/>
          </w:rPr>
          <w:t>463</w:t>
        </w:r>
      </w:hyperlink>
      <w:r>
        <w:rPr>
          <w:spacing w:val="-4"/>
          <w:position w:val="5"/>
          <w:sz w:val="14"/>
        </w:rPr>
        <w:t>.</w:t>
      </w:r>
      <w:r>
        <w:rPr>
          <w:position w:val="5"/>
          <w:sz w:val="14"/>
        </w:rPr>
        <w:tab/>
      </w:r>
      <w:r>
        <w:rPr>
          <w:rFonts w:ascii="Arial"/>
          <w:i/>
          <w:sz w:val="20"/>
        </w:rPr>
        <w:t>[1947]</w:t>
      </w:r>
      <w:r>
        <w:rPr>
          <w:rFonts w:ascii="Arial"/>
          <w:i/>
          <w:spacing w:val="-2"/>
          <w:sz w:val="20"/>
        </w:rPr>
        <w:t> </w:t>
      </w:r>
      <w:r>
        <w:rPr>
          <w:rFonts w:ascii="Arial"/>
          <w:i/>
          <w:sz w:val="20"/>
        </w:rPr>
        <w:t>A.C. </w:t>
      </w:r>
      <w:r>
        <w:rPr>
          <w:rFonts w:ascii="Arial"/>
          <w:i/>
          <w:spacing w:val="-4"/>
          <w:sz w:val="20"/>
        </w:rPr>
        <w:t>427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9" w:id="901"/>
      <w:bookmarkEnd w:id="901"/>
      <w:r>
        <w:rPr/>
      </w:r>
      <w:hyperlink w:history="true" w:anchor="_bookmark878">
        <w:r>
          <w:rPr>
            <w:color w:val="005DA1"/>
            <w:spacing w:val="-4"/>
            <w:position w:val="5"/>
            <w:sz w:val="14"/>
            <w:u w:val="single" w:color="005DA1"/>
          </w:rPr>
          <w:t>464</w:t>
        </w:r>
      </w:hyperlink>
      <w:r>
        <w:rPr>
          <w:spacing w:val="-4"/>
          <w:position w:val="5"/>
          <w:sz w:val="14"/>
        </w:rPr>
        <w:t>.</w:t>
      </w:r>
      <w:r>
        <w:rPr>
          <w:position w:val="5"/>
          <w:sz w:val="14"/>
        </w:rPr>
        <w:tab/>
      </w:r>
      <w:r>
        <w:rPr>
          <w:rFonts w:ascii="Arial"/>
          <w:i/>
          <w:sz w:val="20"/>
        </w:rPr>
        <w:t>[1949]</w:t>
      </w:r>
      <w:r>
        <w:rPr>
          <w:rFonts w:ascii="Arial"/>
          <w:i/>
          <w:spacing w:val="-2"/>
          <w:sz w:val="20"/>
        </w:rPr>
        <w:t> </w:t>
      </w:r>
      <w:r>
        <w:rPr>
          <w:rFonts w:ascii="Arial"/>
          <w:i/>
          <w:sz w:val="20"/>
        </w:rPr>
        <w:t>A.C. 196, </w:t>
      </w:r>
      <w:r>
        <w:rPr>
          <w:rFonts w:ascii="Arial"/>
          <w:i/>
          <w:spacing w:val="-4"/>
          <w:sz w:val="20"/>
        </w:rPr>
        <w:t>224</w:t>
      </w:r>
      <w:r>
        <w:rPr>
          <w:spacing w:val="-4"/>
          <w:sz w:val="20"/>
        </w:rPr>
        <w:t>.</w:t>
      </w:r>
    </w:p>
    <w:p>
      <w:pPr>
        <w:pStyle w:val="BodyText"/>
        <w:spacing w:before="5"/>
      </w:pPr>
    </w:p>
    <w:p>
      <w:pPr>
        <w:pStyle w:val="BodyText"/>
        <w:tabs>
          <w:tab w:pos="705" w:val="left" w:leader="none"/>
        </w:tabs>
        <w:ind w:left="165"/>
      </w:pPr>
      <w:bookmarkStart w:name="_bookmark900" w:id="902"/>
      <w:bookmarkEnd w:id="902"/>
      <w:r>
        <w:rPr/>
      </w:r>
      <w:hyperlink w:history="true" w:anchor="_bookmark879">
        <w:r>
          <w:rPr>
            <w:color w:val="005DA1"/>
            <w:spacing w:val="-4"/>
            <w:position w:val="5"/>
            <w:sz w:val="14"/>
            <w:u w:val="single" w:color="005DA1"/>
          </w:rPr>
          <w:t>465</w:t>
        </w:r>
      </w:hyperlink>
      <w:r>
        <w:rPr>
          <w:spacing w:val="-4"/>
          <w:position w:val="5"/>
          <w:sz w:val="14"/>
        </w:rPr>
        <w:t>.</w:t>
      </w:r>
      <w:r>
        <w:rPr>
          <w:position w:val="5"/>
          <w:sz w:val="14"/>
        </w:rPr>
        <w:tab/>
      </w:r>
      <w:r>
        <w:rPr/>
        <w:t>See para.26-090 and Vol.II, para.44-</w:t>
      </w:r>
      <w:r>
        <w:rPr>
          <w:spacing w:val="-4"/>
        </w:rPr>
        <w:t>387.</w:t>
      </w:r>
    </w:p>
    <w:p>
      <w:pPr>
        <w:pStyle w:val="BodyText"/>
        <w:spacing w:before="5"/>
      </w:pPr>
    </w:p>
    <w:p>
      <w:pPr>
        <w:pStyle w:val="BodyText"/>
        <w:tabs>
          <w:tab w:pos="705" w:val="left" w:leader="none"/>
        </w:tabs>
        <w:ind w:left="165"/>
      </w:pPr>
      <w:bookmarkStart w:name="_bookmark901" w:id="903"/>
      <w:bookmarkEnd w:id="903"/>
      <w:r>
        <w:rPr/>
      </w:r>
      <w:hyperlink w:history="true" w:anchor="_bookmark879">
        <w:r>
          <w:rPr>
            <w:color w:val="005DA1"/>
            <w:spacing w:val="-4"/>
            <w:position w:val="5"/>
            <w:sz w:val="14"/>
            <w:u w:val="single" w:color="005DA1"/>
          </w:rPr>
          <w:t>466</w:t>
        </w:r>
      </w:hyperlink>
      <w:r>
        <w:rPr>
          <w:spacing w:val="-4"/>
          <w:position w:val="5"/>
          <w:sz w:val="14"/>
        </w:rPr>
        <w:t>.</w:t>
      </w:r>
      <w:r>
        <w:rPr>
          <w:position w:val="5"/>
          <w:sz w:val="14"/>
        </w:rPr>
        <w:tab/>
      </w:r>
      <w:r>
        <w:rPr/>
        <w:t>See para.26-090 </w:t>
      </w:r>
      <w:r>
        <w:rPr>
          <w:spacing w:val="-2"/>
        </w:rPr>
        <w:t>n.467.</w:t>
      </w:r>
    </w:p>
    <w:p>
      <w:pPr>
        <w:pStyle w:val="BodyText"/>
        <w:spacing w:before="5"/>
      </w:pPr>
    </w:p>
    <w:p>
      <w:pPr>
        <w:pStyle w:val="BodyText"/>
        <w:tabs>
          <w:tab w:pos="705" w:val="left" w:leader="none"/>
        </w:tabs>
        <w:ind w:left="165"/>
      </w:pPr>
      <w:bookmarkStart w:name="_bookmark902" w:id="904"/>
      <w:bookmarkEnd w:id="904"/>
      <w:r>
        <w:rPr/>
      </w:r>
      <w:hyperlink w:history="true" w:anchor="_bookmark880">
        <w:r>
          <w:rPr>
            <w:color w:val="005DA1"/>
            <w:spacing w:val="-4"/>
            <w:position w:val="5"/>
            <w:sz w:val="14"/>
            <w:u w:val="single" w:color="005DA1"/>
          </w:rPr>
          <w:t>467</w:t>
        </w:r>
      </w:hyperlink>
      <w:r>
        <w:rPr>
          <w:spacing w:val="-4"/>
          <w:position w:val="5"/>
          <w:sz w:val="14"/>
        </w:rPr>
        <w:t>.</w:t>
      </w:r>
      <w:r>
        <w:rPr>
          <w:position w:val="5"/>
          <w:sz w:val="14"/>
        </w:rPr>
        <w:tab/>
      </w:r>
      <w:r>
        <w:rPr/>
        <w:t>See</w:t>
      </w:r>
      <w:r>
        <w:rPr>
          <w:spacing w:val="-2"/>
        </w:rPr>
        <w:t> </w:t>
      </w:r>
      <w:r>
        <w:rPr/>
        <w:t>paras 26-122—26-</w:t>
      </w:r>
      <w:r>
        <w:rPr>
          <w:spacing w:val="-4"/>
        </w:rPr>
        <w:t>125.</w:t>
      </w:r>
    </w:p>
    <w:p>
      <w:pPr>
        <w:pStyle w:val="BodyText"/>
        <w:spacing w:before="5"/>
      </w:pPr>
    </w:p>
    <w:p>
      <w:pPr>
        <w:pStyle w:val="BodyText"/>
        <w:tabs>
          <w:tab w:pos="705" w:val="left" w:leader="none"/>
        </w:tabs>
        <w:spacing w:before="1"/>
        <w:ind w:left="165"/>
      </w:pPr>
      <w:bookmarkStart w:name="_bookmark903" w:id="905"/>
      <w:bookmarkEnd w:id="905"/>
      <w:r>
        <w:rPr/>
      </w:r>
      <w:hyperlink w:history="true" w:anchor="_bookmark881">
        <w:r>
          <w:rPr>
            <w:color w:val="005DA1"/>
            <w:spacing w:val="-4"/>
            <w:position w:val="5"/>
            <w:sz w:val="14"/>
            <w:u w:val="single" w:color="005DA1"/>
          </w:rPr>
          <w:t>468</w:t>
        </w:r>
      </w:hyperlink>
      <w:r>
        <w:rPr>
          <w:spacing w:val="-4"/>
          <w:position w:val="5"/>
          <w:sz w:val="14"/>
        </w:rPr>
        <w:t>.</w:t>
      </w:r>
      <w:r>
        <w:rPr>
          <w:position w:val="5"/>
          <w:sz w:val="14"/>
        </w:rPr>
        <w:tab/>
      </w:r>
      <w:r>
        <w:rPr/>
        <w:t>On the question of actual knowledge, see para.26-</w:t>
      </w:r>
      <w:r>
        <w:rPr>
          <w:spacing w:val="-4"/>
        </w:rPr>
        <w:t>122.</w:t>
      </w:r>
    </w:p>
    <w:p>
      <w:pPr>
        <w:pStyle w:val="BodyText"/>
        <w:spacing w:before="4"/>
      </w:pPr>
    </w:p>
    <w:p>
      <w:pPr>
        <w:tabs>
          <w:tab w:pos="705" w:val="left" w:leader="none"/>
        </w:tabs>
        <w:spacing w:before="1"/>
        <w:ind w:left="165" w:right="0" w:firstLine="0"/>
        <w:jc w:val="left"/>
        <w:rPr>
          <w:sz w:val="20"/>
        </w:rPr>
      </w:pPr>
      <w:bookmarkStart w:name="_bookmark904" w:id="906"/>
      <w:bookmarkEnd w:id="906"/>
      <w:r>
        <w:rPr/>
      </w:r>
      <w:hyperlink w:history="true" w:anchor="_bookmark882">
        <w:r>
          <w:rPr>
            <w:color w:val="005DA1"/>
            <w:spacing w:val="-4"/>
            <w:position w:val="5"/>
            <w:sz w:val="14"/>
            <w:u w:val="single" w:color="005DA1"/>
          </w:rPr>
          <w:t>469</w:t>
        </w:r>
      </w:hyperlink>
      <w:r>
        <w:rPr>
          <w:spacing w:val="-4"/>
          <w:position w:val="5"/>
          <w:sz w:val="14"/>
        </w:rPr>
        <w:t>.</w:t>
      </w:r>
      <w:r>
        <w:rPr>
          <w:position w:val="5"/>
          <w:sz w:val="14"/>
        </w:rPr>
        <w:tab/>
      </w:r>
      <w:r>
        <w:rPr>
          <w:sz w:val="20"/>
        </w:rPr>
        <w:t>See para.26-</w:t>
      </w:r>
      <w:r>
        <w:rPr>
          <w:spacing w:val="-4"/>
          <w:sz w:val="20"/>
        </w:rPr>
        <w:t>102.</w:t>
      </w:r>
    </w:p>
    <w:p>
      <w:pPr>
        <w:pStyle w:val="BodyText"/>
        <w:spacing w:before="4"/>
      </w:pPr>
    </w:p>
    <w:p>
      <w:pPr>
        <w:pStyle w:val="BodyText"/>
        <w:tabs>
          <w:tab w:pos="705" w:val="left" w:leader="none"/>
        </w:tabs>
        <w:spacing w:before="1"/>
        <w:ind w:left="165"/>
      </w:pPr>
      <w:bookmarkStart w:name="_bookmark905" w:id="907"/>
      <w:bookmarkEnd w:id="907"/>
      <w:r>
        <w:rPr/>
      </w:r>
      <w:hyperlink w:history="true" w:anchor="_bookmark883">
        <w:r>
          <w:rPr>
            <w:color w:val="005DA1"/>
            <w:spacing w:val="-4"/>
            <w:position w:val="5"/>
            <w:sz w:val="14"/>
            <w:u w:val="single" w:color="005DA1"/>
          </w:rPr>
          <w:t>470</w:t>
        </w:r>
      </w:hyperlink>
      <w:r>
        <w:rPr>
          <w:spacing w:val="-4"/>
          <w:position w:val="5"/>
          <w:sz w:val="14"/>
        </w:rPr>
        <w:t>.</w:t>
      </w:r>
      <w:r>
        <w:rPr>
          <w:position w:val="5"/>
          <w:sz w:val="14"/>
        </w:rPr>
        <w:tab/>
      </w:r>
      <w:r>
        <w:rPr/>
        <w:t>See also para.26-090, </w:t>
      </w:r>
      <w:r>
        <w:rPr>
          <w:spacing w:val="-2"/>
        </w:rPr>
        <w:t>below.</w:t>
      </w:r>
    </w:p>
    <w:p>
      <w:pPr>
        <w:pStyle w:val="BodyText"/>
        <w:spacing w:before="4"/>
      </w:pPr>
    </w:p>
    <w:p>
      <w:pPr>
        <w:tabs>
          <w:tab w:pos="705" w:val="left" w:leader="none"/>
        </w:tabs>
        <w:spacing w:before="1"/>
        <w:ind w:left="165" w:right="0" w:firstLine="0"/>
        <w:jc w:val="left"/>
        <w:rPr>
          <w:sz w:val="20"/>
        </w:rPr>
      </w:pPr>
      <w:bookmarkStart w:name="_bookmark906" w:id="908"/>
      <w:bookmarkEnd w:id="908"/>
      <w:r>
        <w:rPr/>
      </w:r>
      <w:hyperlink w:history="true" w:anchor="_bookmark883">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[1974] Ch. </w:t>
      </w:r>
      <w:r>
        <w:rPr>
          <w:rFonts w:ascii="Arial"/>
          <w:i/>
          <w:spacing w:val="-5"/>
          <w:sz w:val="20"/>
        </w:rPr>
        <w:t>30</w:t>
      </w:r>
      <w:r>
        <w:rPr>
          <w:spacing w:val="-5"/>
          <w:sz w:val="20"/>
        </w:rPr>
        <w:t>.</w:t>
      </w:r>
    </w:p>
    <w:p>
      <w:pPr>
        <w:pStyle w:val="BodyText"/>
        <w:spacing w:before="4"/>
      </w:pPr>
    </w:p>
    <w:p>
      <w:pPr>
        <w:pStyle w:val="BodyText"/>
        <w:tabs>
          <w:tab w:pos="705" w:val="left" w:leader="none"/>
        </w:tabs>
        <w:spacing w:before="1"/>
        <w:ind w:left="165"/>
      </w:pPr>
      <w:bookmarkStart w:name="_bookmark907" w:id="909"/>
      <w:bookmarkEnd w:id="909"/>
      <w:r>
        <w:rPr/>
      </w:r>
      <w:hyperlink w:history="true" w:anchor="_bookmark884">
        <w:r>
          <w:rPr>
            <w:color w:val="005DA1"/>
            <w:spacing w:val="-4"/>
            <w:position w:val="5"/>
            <w:sz w:val="14"/>
            <w:u w:val="single" w:color="005DA1"/>
          </w:rPr>
          <w:t>472</w:t>
        </w:r>
      </w:hyperlink>
      <w:r>
        <w:rPr>
          <w:spacing w:val="-4"/>
          <w:position w:val="5"/>
          <w:sz w:val="14"/>
        </w:rPr>
        <w:t>.</w:t>
      </w:r>
      <w:r>
        <w:rPr>
          <w:position w:val="5"/>
          <w:sz w:val="14"/>
        </w:rPr>
        <w:tab/>
      </w:r>
      <w:r>
        <w:rPr/>
        <w:t>On the relevance of this knowledge, see para.26-084,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08" w:id="910"/>
      <w:bookmarkEnd w:id="910"/>
      <w:r>
        <w:rPr/>
      </w:r>
      <w:hyperlink w:history="true" w:anchor="_bookmark885">
        <w:r>
          <w:rPr>
            <w:color w:val="005DA1"/>
            <w:spacing w:val="-4"/>
            <w:position w:val="5"/>
            <w:sz w:val="14"/>
            <w:u w:val="single" w:color="005DA1"/>
          </w:rPr>
          <w:t>473</w:t>
        </w:r>
      </w:hyperlink>
      <w:r>
        <w:rPr>
          <w:spacing w:val="-4"/>
          <w:position w:val="5"/>
          <w:sz w:val="14"/>
        </w:rPr>
        <w:t>.</w:t>
      </w:r>
      <w:r>
        <w:rPr>
          <w:position w:val="5"/>
          <w:sz w:val="14"/>
        </w:rPr>
        <w:tab/>
      </w:r>
      <w:r>
        <w:rPr>
          <w:rFonts w:ascii="Arial"/>
          <w:i/>
          <w:sz w:val="20"/>
        </w:rPr>
        <w:t>[1974] Ch. 30, </w:t>
      </w:r>
      <w:r>
        <w:rPr>
          <w:rFonts w:ascii="Arial"/>
          <w:i/>
          <w:spacing w:val="-5"/>
          <w:sz w:val="20"/>
        </w:rPr>
        <w:t>57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09" w:id="911"/>
      <w:bookmarkEnd w:id="911"/>
      <w:r>
        <w:rPr/>
      </w:r>
      <w:hyperlink w:history="true" w:anchor="_bookmark886">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1 W.L.R. </w:t>
      </w:r>
      <w:r>
        <w:rPr>
          <w:rFonts w:ascii="Arial"/>
          <w:i/>
          <w:spacing w:val="-4"/>
          <w:sz w:val="20"/>
        </w:rPr>
        <w:t>598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10" w:id="912"/>
      <w:bookmarkEnd w:id="912"/>
      <w:r>
        <w:rPr/>
      </w:r>
      <w:hyperlink w:history="true" w:anchor="_bookmark887">
        <w:r>
          <w:rPr>
            <w:color w:val="005DA1"/>
            <w:spacing w:val="-4"/>
            <w:position w:val="5"/>
            <w:sz w:val="14"/>
            <w:u w:val="single" w:color="005DA1"/>
          </w:rPr>
          <w:t>475</w:t>
        </w:r>
      </w:hyperlink>
      <w:r>
        <w:rPr>
          <w:spacing w:val="-4"/>
          <w:position w:val="5"/>
          <w:sz w:val="14"/>
        </w:rPr>
        <w:t>.</w:t>
      </w:r>
      <w:r>
        <w:rPr>
          <w:position w:val="5"/>
          <w:sz w:val="14"/>
        </w:rPr>
        <w:tab/>
      </w:r>
      <w:r>
        <w:rPr>
          <w:sz w:val="20"/>
        </w:rPr>
        <w:t>See para.26-</w:t>
      </w:r>
      <w:r>
        <w:rPr>
          <w:spacing w:val="-4"/>
          <w:sz w:val="20"/>
        </w:rPr>
        <w:t>175.</w:t>
      </w:r>
    </w:p>
    <w:p>
      <w:pPr>
        <w:pStyle w:val="BodyText"/>
        <w:spacing w:before="5"/>
      </w:pPr>
    </w:p>
    <w:p>
      <w:pPr>
        <w:tabs>
          <w:tab w:pos="705" w:val="left" w:leader="none"/>
        </w:tabs>
        <w:spacing w:before="0"/>
        <w:ind w:left="165" w:right="0" w:firstLine="0"/>
        <w:jc w:val="left"/>
        <w:rPr>
          <w:sz w:val="20"/>
        </w:rPr>
      </w:pPr>
      <w:bookmarkStart w:name="_bookmark911" w:id="913"/>
      <w:bookmarkEnd w:id="913"/>
      <w:r>
        <w:rPr/>
      </w:r>
      <w:hyperlink w:history="true" w:anchor="_bookmark888">
        <w:r>
          <w:rPr>
            <w:color w:val="005DA1"/>
            <w:spacing w:val="-4"/>
            <w:position w:val="5"/>
            <w:sz w:val="14"/>
            <w:u w:val="single" w:color="005DA1"/>
          </w:rPr>
          <w:t>476</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1 All E.R. 397</w:t>
      </w:r>
      <w:r>
        <w:rPr>
          <w:sz w:val="20"/>
        </w:rPr>
        <w:t>; see also para.26-</w:t>
      </w:r>
      <w:r>
        <w:rPr>
          <w:spacing w:val="-4"/>
          <w:sz w:val="20"/>
        </w:rPr>
        <w:t>229.</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912" w:id="914"/>
      <w:bookmarkEnd w:id="914"/>
      <w:r>
        <w:rPr/>
      </w:r>
      <w:hyperlink w:history="true" w:anchor="_bookmark889">
        <w:r>
          <w:rPr>
            <w:color w:val="005DA1"/>
            <w:spacing w:val="-4"/>
            <w:position w:val="5"/>
            <w:sz w:val="14"/>
            <w:u w:val="single" w:color="005DA1"/>
          </w:rPr>
          <w:t>477</w:t>
        </w:r>
      </w:hyperlink>
      <w:r>
        <w:rPr>
          <w:spacing w:val="-4"/>
          <w:position w:val="5"/>
          <w:sz w:val="14"/>
        </w:rPr>
        <w:t>.</w:t>
      </w:r>
      <w:r>
        <w:rPr>
          <w:position w:val="5"/>
          <w:sz w:val="14"/>
        </w:rPr>
        <w:tab/>
      </w:r>
      <w:r>
        <w:rPr>
          <w:sz w:val="20"/>
        </w:rPr>
        <w:t>The case was not explicitly put on the ground of the second rule in </w:t>
      </w:r>
      <w:r>
        <w:rPr>
          <w:rFonts w:ascii="Arial"/>
          <w:i/>
          <w:sz w:val="20"/>
        </w:rPr>
        <w:t>Hadley v Baxendale (1854)</w:t>
      </w:r>
      <w:r>
        <w:rPr>
          <w:rFonts w:ascii="Arial"/>
          <w:i/>
          <w:spacing w:val="40"/>
          <w:sz w:val="20"/>
        </w:rPr>
        <w:t> </w:t>
      </w:r>
      <w:r>
        <w:rPr>
          <w:rFonts w:ascii="Arial"/>
          <w:i/>
          <w:sz w:val="20"/>
        </w:rPr>
        <w:t>9 Ex. 341 </w:t>
      </w:r>
      <w:r>
        <w:rPr>
          <w:sz w:val="20"/>
        </w:rPr>
        <w:t>but on the reasonableness of mitigation, as was </w:t>
      </w:r>
      <w:r>
        <w:rPr>
          <w:rFonts w:ascii="Arial"/>
          <w:i/>
          <w:sz w:val="20"/>
        </w:rPr>
        <w:t>Robbins of Putney Ltd v Meek </w:t>
      </w:r>
      <w:r>
        <w:rPr>
          <w:rFonts w:ascii="Arial"/>
          <w:i/>
          <w:spacing w:val="-2"/>
          <w:sz w:val="20"/>
        </w:rPr>
        <w:t>[1971]</w:t>
      </w:r>
    </w:p>
    <w:p>
      <w:pPr>
        <w:spacing w:line="225" w:lineRule="exact" w:before="0"/>
        <w:ind w:left="705" w:right="0" w:firstLine="0"/>
        <w:jc w:val="left"/>
        <w:rPr>
          <w:sz w:val="20"/>
        </w:rPr>
      </w:pPr>
      <w:r>
        <w:rPr>
          <w:rFonts w:ascii="Arial"/>
          <w:i/>
          <w:sz w:val="20"/>
        </w:rPr>
        <w:t>R.T.R. 345 </w:t>
      </w:r>
      <w:r>
        <w:rPr>
          <w:sz w:val="20"/>
        </w:rPr>
        <w:t>(see para.26-090, </w:t>
      </w:r>
      <w:r>
        <w:rPr>
          <w:spacing w:val="-2"/>
          <w:sz w:val="20"/>
        </w:rPr>
        <w:t>below).</w:t>
      </w:r>
    </w:p>
    <w:p>
      <w:pPr>
        <w:pStyle w:val="BodyText"/>
        <w:spacing w:before="4"/>
      </w:pPr>
    </w:p>
    <w:p>
      <w:pPr>
        <w:tabs>
          <w:tab w:pos="705" w:val="left" w:leader="none"/>
        </w:tabs>
        <w:spacing w:before="1"/>
        <w:ind w:left="165" w:right="0" w:firstLine="0"/>
        <w:jc w:val="left"/>
        <w:rPr>
          <w:sz w:val="20"/>
        </w:rPr>
      </w:pPr>
      <w:bookmarkStart w:name="_bookmark913" w:id="915"/>
      <w:bookmarkEnd w:id="915"/>
      <w:r>
        <w:rPr/>
      </w:r>
      <w:hyperlink w:history="true" w:anchor="_bookmark890">
        <w:r>
          <w:rPr>
            <w:color w:val="005DA1"/>
            <w:spacing w:val="-4"/>
            <w:position w:val="5"/>
            <w:sz w:val="14"/>
            <w:u w:val="single" w:color="005DA1"/>
          </w:rPr>
          <w:t>478</w:t>
        </w:r>
      </w:hyperlink>
      <w:r>
        <w:rPr>
          <w:spacing w:val="-4"/>
          <w:position w:val="5"/>
          <w:sz w:val="14"/>
        </w:rPr>
        <w:t>.</w:t>
      </w:r>
      <w:r>
        <w:rPr>
          <w:position w:val="5"/>
          <w:sz w:val="14"/>
        </w:rPr>
        <w:tab/>
      </w:r>
      <w:r>
        <w:rPr>
          <w:rFonts w:ascii="Arial"/>
          <w:i/>
          <w:sz w:val="20"/>
        </w:rPr>
        <w:t>[1952]</w:t>
      </w:r>
      <w:r>
        <w:rPr>
          <w:rFonts w:ascii="Arial"/>
          <w:i/>
          <w:spacing w:val="-2"/>
          <w:sz w:val="20"/>
        </w:rPr>
        <w:t> </w:t>
      </w:r>
      <w:r>
        <w:rPr>
          <w:rFonts w:ascii="Arial"/>
          <w:i/>
          <w:sz w:val="20"/>
        </w:rPr>
        <w:t>2 Q.B. </w:t>
      </w:r>
      <w:r>
        <w:rPr>
          <w:rFonts w:ascii="Arial"/>
          <w:i/>
          <w:spacing w:val="-4"/>
          <w:sz w:val="20"/>
        </w:rPr>
        <w:t>297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14" w:id="916"/>
      <w:bookmarkEnd w:id="916"/>
      <w:r>
        <w:rPr/>
      </w:r>
      <w:hyperlink w:history="true" w:anchor="_bookmark891">
        <w:r>
          <w:rPr>
            <w:color w:val="005DA1"/>
            <w:spacing w:val="-4"/>
            <w:position w:val="5"/>
            <w:sz w:val="14"/>
            <w:u w:val="single" w:color="005DA1"/>
          </w:rPr>
          <w:t>479</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1 W.L.R. </w:t>
      </w:r>
      <w:r>
        <w:rPr>
          <w:rFonts w:ascii="Arial"/>
          <w:i/>
          <w:spacing w:val="-4"/>
          <w:sz w:val="20"/>
        </w:rPr>
        <w:t>274</w:t>
      </w:r>
      <w:r>
        <w:rPr>
          <w:spacing w:val="-4"/>
          <w:sz w:val="20"/>
        </w:rPr>
        <w:t>.</w:t>
      </w:r>
    </w:p>
    <w:p>
      <w:pPr>
        <w:pStyle w:val="BodyText"/>
        <w:spacing w:before="8"/>
      </w:pPr>
    </w:p>
    <w:p>
      <w:pPr>
        <w:pStyle w:val="BodyText"/>
        <w:tabs>
          <w:tab w:pos="705" w:val="left" w:leader="none"/>
        </w:tabs>
        <w:spacing w:line="235" w:lineRule="auto"/>
        <w:ind w:left="705" w:right="174" w:hanging="541"/>
      </w:pPr>
      <w:bookmarkStart w:name="_bookmark915" w:id="917"/>
      <w:bookmarkEnd w:id="917"/>
      <w:r>
        <w:rPr/>
      </w:r>
      <w:hyperlink w:history="true" w:anchor="_bookmark892">
        <w:r>
          <w:rPr>
            <w:color w:val="005DA1"/>
            <w:spacing w:val="-4"/>
            <w:position w:val="5"/>
            <w:sz w:val="14"/>
            <w:u w:val="single" w:color="005DA1"/>
          </w:rPr>
          <w:t>480</w:t>
        </w:r>
      </w:hyperlink>
      <w:r>
        <w:rPr>
          <w:spacing w:val="-4"/>
          <w:position w:val="5"/>
          <w:sz w:val="14"/>
        </w:rPr>
        <w:t>.</w:t>
      </w:r>
      <w:r>
        <w:rPr>
          <w:position w:val="5"/>
          <w:sz w:val="14"/>
        </w:rPr>
        <w:tab/>
      </w:r>
      <w:r>
        <w:rPr/>
        <w:t>Although Lord Denning preferred the former, his colleagues seemed to use the two </w:t>
      </w:r>
      <w:r>
        <w:rPr/>
        <w:t>concepts</w:t>
      </w:r>
      <w:r>
        <w:rPr>
          <w:spacing w:val="80"/>
        </w:rPr>
        <w:t> </w:t>
      </w:r>
      <w:r>
        <w:rPr>
          <w:spacing w:val="-2"/>
        </w:rPr>
        <w:t>interchangeably.</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6"/>
        </w:numPr>
        <w:tabs>
          <w:tab w:pos="1725" w:val="left" w:leader="none"/>
        </w:tabs>
        <w:spacing w:line="240" w:lineRule="auto" w:before="194" w:after="0"/>
        <w:ind w:left="1725" w:right="0" w:hanging="360"/>
        <w:jc w:val="left"/>
        <w:rPr>
          <w:b/>
          <w:sz w:val="24"/>
        </w:rPr>
      </w:pPr>
      <w:r>
        <w:rPr>
          <w:b/>
          <w:sz w:val="24"/>
        </w:rPr>
        <w:t>- Timing of Mitigation and the Assessment of </w:t>
      </w:r>
      <w:r>
        <w:rPr>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time for mitigating </w:t>
      </w:r>
      <w:r>
        <w:rPr>
          <w:rFonts w:ascii="Arial"/>
          <w:b/>
          <w:spacing w:val="-2"/>
          <w:sz w:val="18"/>
        </w:rPr>
        <w:t>action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087</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916" w:id="918"/>
      <w:bookmarkEnd w:id="918"/>
      <w:r>
        <w:rPr>
          <w:rFonts w:ascii="Times New Roman"/>
          <w:spacing w:val="9"/>
        </w:rPr>
      </w:r>
      <w:r>
        <w:rPr/>
        <w:t>There</w:t>
      </w:r>
      <w:r>
        <w:rPr>
          <w:spacing w:val="3"/>
        </w:rPr>
        <w:t> </w:t>
      </w:r>
      <w:r>
        <w:rPr/>
        <w:t>is</w:t>
      </w:r>
      <w:r>
        <w:rPr>
          <w:spacing w:val="3"/>
        </w:rPr>
        <w:t> </w:t>
      </w:r>
      <w:r>
        <w:rPr/>
        <w:t>no</w:t>
      </w:r>
      <w:r>
        <w:rPr>
          <w:spacing w:val="3"/>
        </w:rPr>
        <w:t> </w:t>
      </w:r>
      <w:r>
        <w:rPr/>
        <w:t>duty</w:t>
      </w:r>
      <w:r>
        <w:rPr>
          <w:spacing w:val="3"/>
        </w:rPr>
        <w:t> </w:t>
      </w:r>
      <w:r>
        <w:rPr/>
        <w:t>on</w:t>
      </w:r>
      <w:r>
        <w:rPr>
          <w:spacing w:val="3"/>
        </w:rPr>
        <w:t> </w:t>
      </w:r>
      <w:r>
        <w:rPr/>
        <w:t>a</w:t>
      </w:r>
      <w:r>
        <w:rPr>
          <w:spacing w:val="3"/>
        </w:rPr>
        <w:t> </w:t>
      </w:r>
      <w:r>
        <w:rPr/>
        <w:t>party</w:t>
      </w:r>
      <w:r>
        <w:rPr>
          <w:spacing w:val="3"/>
        </w:rPr>
        <w:t> </w:t>
      </w:r>
      <w:r>
        <w:rPr/>
        <w:t>to</w:t>
      </w:r>
      <w:r>
        <w:rPr>
          <w:spacing w:val="3"/>
        </w:rPr>
        <w:t> </w:t>
      </w:r>
      <w:r>
        <w:rPr/>
        <w:t>mitigate</w:t>
      </w:r>
      <w:r>
        <w:rPr>
          <w:spacing w:val="3"/>
        </w:rPr>
        <w:t> </w:t>
      </w:r>
      <w:r>
        <w:rPr/>
        <w:t>before</w:t>
      </w:r>
      <w:r>
        <w:rPr>
          <w:spacing w:val="3"/>
        </w:rPr>
        <w:t> </w:t>
      </w:r>
      <w:r>
        <w:rPr/>
        <w:t>there</w:t>
      </w:r>
      <w:r>
        <w:rPr>
          <w:spacing w:val="3"/>
        </w:rPr>
        <w:t> </w:t>
      </w:r>
      <w:r>
        <w:rPr/>
        <w:t>has</w:t>
      </w:r>
      <w:r>
        <w:rPr>
          <w:spacing w:val="3"/>
        </w:rPr>
        <w:t> </w:t>
      </w:r>
      <w:r>
        <w:rPr/>
        <w:t>been</w:t>
      </w:r>
      <w:r>
        <w:rPr>
          <w:spacing w:val="3"/>
        </w:rPr>
        <w:t> </w:t>
      </w:r>
      <w:r>
        <w:rPr/>
        <w:t>a</w:t>
      </w:r>
      <w:r>
        <w:rPr>
          <w:spacing w:val="3"/>
        </w:rPr>
        <w:t> </w:t>
      </w:r>
      <w:r>
        <w:rPr/>
        <w:t>breach</w:t>
      </w:r>
      <w:r>
        <w:rPr>
          <w:spacing w:val="3"/>
        </w:rPr>
        <w:t> </w:t>
      </w:r>
      <w:r>
        <w:rPr/>
        <w:t>or,</w:t>
      </w:r>
      <w:r>
        <w:rPr>
          <w:spacing w:val="3"/>
        </w:rPr>
        <w:t> </w:t>
      </w:r>
      <w:r>
        <w:rPr/>
        <w:t>normally,</w:t>
      </w:r>
      <w:r>
        <w:rPr>
          <w:spacing w:val="3"/>
        </w:rPr>
        <w:t> </w:t>
      </w:r>
      <w:r>
        <w:rPr/>
        <w:t>an</w:t>
      </w:r>
      <w:r>
        <w:rPr>
          <w:spacing w:val="3"/>
        </w:rPr>
        <w:t> </w:t>
      </w:r>
      <w:r>
        <w:rPr/>
        <w:t>anticipatory</w:t>
      </w:r>
    </w:p>
    <w:p>
      <w:pPr>
        <w:pStyle w:val="BodyText"/>
        <w:spacing w:line="235" w:lineRule="auto" w:before="118"/>
        <w:ind w:left="165" w:right="167"/>
        <w:jc w:val="both"/>
      </w:pPr>
      <w:r>
        <w:rPr/>
        <w:t>repudiation that the party has accepted. </w:t>
      </w:r>
      <w:r>
        <w:rPr>
          <w:color w:val="005DA1"/>
          <w:u w:val="single" w:color="005DA1"/>
          <w:vertAlign w:val="superscript"/>
        </w:rPr>
        <w:t>481</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11"/>
          <w:vertAlign w:val="baseline"/>
        </w:rPr>
        <w:t> </w:t>
      </w:r>
      <w:r>
        <w:rPr>
          <w:vertAlign w:val="baseline"/>
        </w:rPr>
        <w:t>The time when the claimant should have mitigated </w:t>
      </w:r>
      <w:bookmarkStart w:name="_bookmark917" w:id="919"/>
      <w:bookmarkEnd w:id="919"/>
      <w:r>
        <w:rPr>
          <w:vertAlign w:val="baseline"/>
        </w:rPr>
        <w:t>may</w:t>
      </w:r>
      <w:r>
        <w:rPr>
          <w:spacing w:val="15"/>
          <w:vertAlign w:val="baseline"/>
        </w:rPr>
        <w:t> </w:t>
      </w:r>
      <w:r>
        <w:rPr>
          <w:vertAlign w:val="baseline"/>
        </w:rPr>
        <w:t>depend</w:t>
      </w:r>
      <w:r>
        <w:rPr>
          <w:spacing w:val="15"/>
          <w:vertAlign w:val="baseline"/>
        </w:rPr>
        <w:t> </w:t>
      </w:r>
      <w:r>
        <w:rPr>
          <w:vertAlign w:val="baseline"/>
        </w:rPr>
        <w:t>on</w:t>
      </w:r>
      <w:r>
        <w:rPr>
          <w:spacing w:val="15"/>
          <w:vertAlign w:val="baseline"/>
        </w:rPr>
        <w:t> </w:t>
      </w:r>
      <w:r>
        <w:rPr>
          <w:vertAlign w:val="baseline"/>
        </w:rPr>
        <w:t>when</w:t>
      </w:r>
      <w:r>
        <w:rPr>
          <w:spacing w:val="15"/>
          <w:vertAlign w:val="baseline"/>
        </w:rPr>
        <w:t> </w:t>
      </w:r>
      <w:r>
        <w:rPr>
          <w:vertAlign w:val="baseline"/>
        </w:rPr>
        <w:t>he</w:t>
      </w:r>
      <w:r>
        <w:rPr>
          <w:spacing w:val="15"/>
          <w:vertAlign w:val="baseline"/>
        </w:rPr>
        <w:t> </w:t>
      </w:r>
      <w:r>
        <w:rPr>
          <w:vertAlign w:val="baseline"/>
        </w:rPr>
        <w:t>discovered</w:t>
      </w:r>
      <w:r>
        <w:rPr>
          <w:spacing w:val="15"/>
          <w:vertAlign w:val="baseline"/>
        </w:rPr>
        <w:t> </w:t>
      </w:r>
      <w:r>
        <w:rPr>
          <w:vertAlign w:val="baseline"/>
        </w:rPr>
        <w:t>or</w:t>
      </w:r>
      <w:r>
        <w:rPr>
          <w:spacing w:val="15"/>
          <w:vertAlign w:val="baseline"/>
        </w:rPr>
        <w:t> </w:t>
      </w:r>
      <w:r>
        <w:rPr>
          <w:vertAlign w:val="baseline"/>
        </w:rPr>
        <w:t>ought</w:t>
      </w:r>
      <w:r>
        <w:rPr>
          <w:spacing w:val="15"/>
          <w:vertAlign w:val="baseline"/>
        </w:rPr>
        <w:t> </w:t>
      </w:r>
      <w:r>
        <w:rPr>
          <w:vertAlign w:val="baseline"/>
        </w:rPr>
        <w:t>to</w:t>
      </w:r>
      <w:r>
        <w:rPr>
          <w:spacing w:val="15"/>
          <w:vertAlign w:val="baseline"/>
        </w:rPr>
        <w:t> </w:t>
      </w:r>
      <w:r>
        <w:rPr>
          <w:vertAlign w:val="baseline"/>
        </w:rPr>
        <w:t>have</w:t>
      </w:r>
      <w:r>
        <w:rPr>
          <w:spacing w:val="15"/>
          <w:vertAlign w:val="baseline"/>
        </w:rPr>
        <w:t> </w:t>
      </w:r>
      <w:r>
        <w:rPr>
          <w:vertAlign w:val="baseline"/>
        </w:rPr>
        <w:t>discovered</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defendant</w:t>
      </w:r>
      <w:r>
        <w:rPr>
          <w:spacing w:val="15"/>
          <w:vertAlign w:val="baseline"/>
        </w:rPr>
        <w:t> </w:t>
      </w:r>
      <w:r>
        <w:rPr>
          <w:vertAlign w:val="baseline"/>
        </w:rPr>
        <w:t>had</w:t>
      </w:r>
      <w:r>
        <w:rPr>
          <w:spacing w:val="15"/>
          <w:vertAlign w:val="baseline"/>
        </w:rPr>
        <w:t> </w:t>
      </w:r>
      <w:r>
        <w:rPr>
          <w:vertAlign w:val="baseline"/>
        </w:rPr>
        <w:t>broken</w:t>
      </w:r>
      <w:r>
        <w:rPr>
          <w:spacing w:val="15"/>
          <w:vertAlign w:val="baseline"/>
        </w:rPr>
        <w:t> </w:t>
      </w:r>
      <w:r>
        <w:rPr>
          <w:spacing w:val="-5"/>
          <w:vertAlign w:val="baseline"/>
        </w:rPr>
        <w:t>his</w:t>
      </w:r>
    </w:p>
    <w:p>
      <w:pPr>
        <w:pStyle w:val="BodyText"/>
        <w:spacing w:line="235" w:lineRule="auto" w:before="120"/>
        <w:ind w:left="165" w:right="167"/>
        <w:jc w:val="both"/>
      </w:pPr>
      <w:r>
        <w:rPr/>
        <w:t>contractual obligation. </w:t>
      </w:r>
      <w:r>
        <w:rPr>
          <w:color w:val="005DA1"/>
          <w:u w:val="single" w:color="005DA1"/>
          <w:vertAlign w:val="superscript"/>
        </w:rPr>
        <w:t>482</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26"/>
          <w:vertAlign w:val="baseline"/>
        </w:rPr>
        <w:t> </w:t>
      </w:r>
      <w:r>
        <w:rPr>
          <w:vertAlign w:val="baseline"/>
        </w:rPr>
        <w:t>So, as soon as the claimant discovers that an item supplied to him </w:t>
      </w:r>
      <w:r>
        <w:rPr>
          <w:vertAlign w:val="baseline"/>
        </w:rPr>
        <w:t>by the defendant is unsafe because it is defective (in breach of the contract) he cannot continue to use it </w:t>
      </w:r>
      <w:bookmarkStart w:name="_bookmark918" w:id="920"/>
      <w:bookmarkEnd w:id="920"/>
      <w:r>
        <w:rPr>
          <w:vertAlign w:val="baseline"/>
        </w:rPr>
        <w:t>at</w:t>
      </w:r>
      <w:r>
        <w:rPr>
          <w:spacing w:val="19"/>
          <w:vertAlign w:val="baseline"/>
        </w:rPr>
        <w:t> </w:t>
      </w:r>
      <w:r>
        <w:rPr>
          <w:vertAlign w:val="baseline"/>
        </w:rPr>
        <w:t>the</w:t>
      </w:r>
      <w:r>
        <w:rPr>
          <w:spacing w:val="19"/>
          <w:vertAlign w:val="baseline"/>
        </w:rPr>
        <w:t> </w:t>
      </w:r>
      <w:r>
        <w:rPr>
          <w:vertAlign w:val="baseline"/>
        </w:rPr>
        <w:t>defendant’s</w:t>
      </w:r>
      <w:r>
        <w:rPr>
          <w:spacing w:val="19"/>
          <w:vertAlign w:val="baseline"/>
        </w:rPr>
        <w:t> </w:t>
      </w:r>
      <w:r>
        <w:rPr>
          <w:vertAlign w:val="baseline"/>
        </w:rPr>
        <w:t>risk:</w:t>
      </w:r>
      <w:r>
        <w:rPr>
          <w:spacing w:val="19"/>
          <w:vertAlign w:val="baseline"/>
        </w:rPr>
        <w:t> </w:t>
      </w:r>
      <w:r>
        <w:rPr>
          <w:vertAlign w:val="baseline"/>
        </w:rPr>
        <w:t>he</w:t>
      </w:r>
      <w:r>
        <w:rPr>
          <w:spacing w:val="19"/>
          <w:vertAlign w:val="baseline"/>
        </w:rPr>
        <w:t> </w:t>
      </w:r>
      <w:r>
        <w:rPr>
          <w:vertAlign w:val="baseline"/>
        </w:rPr>
        <w:t>must</w:t>
      </w:r>
      <w:r>
        <w:rPr>
          <w:spacing w:val="19"/>
          <w:vertAlign w:val="baseline"/>
        </w:rPr>
        <w:t> </w:t>
      </w:r>
      <w:r>
        <w:rPr>
          <w:vertAlign w:val="baseline"/>
        </w:rPr>
        <w:t>either</w:t>
      </w:r>
      <w:r>
        <w:rPr>
          <w:spacing w:val="19"/>
          <w:vertAlign w:val="baseline"/>
        </w:rPr>
        <w:t> </w:t>
      </w:r>
      <w:r>
        <w:rPr>
          <w:vertAlign w:val="baseline"/>
        </w:rPr>
        <w:t>make</w:t>
      </w:r>
      <w:r>
        <w:rPr>
          <w:spacing w:val="19"/>
          <w:vertAlign w:val="baseline"/>
        </w:rPr>
        <w:t> </w:t>
      </w:r>
      <w:r>
        <w:rPr>
          <w:vertAlign w:val="baseline"/>
        </w:rPr>
        <w:t>it</w:t>
      </w:r>
      <w:r>
        <w:rPr>
          <w:spacing w:val="19"/>
          <w:vertAlign w:val="baseline"/>
        </w:rPr>
        <w:t> </w:t>
      </w:r>
      <w:r>
        <w:rPr>
          <w:vertAlign w:val="baseline"/>
        </w:rPr>
        <w:t>safe</w:t>
      </w:r>
      <w:r>
        <w:rPr>
          <w:spacing w:val="19"/>
          <w:vertAlign w:val="baseline"/>
        </w:rPr>
        <w:t> </w:t>
      </w:r>
      <w:r>
        <w:rPr>
          <w:vertAlign w:val="baseline"/>
        </w:rPr>
        <w:t>or</w:t>
      </w:r>
      <w:r>
        <w:rPr>
          <w:spacing w:val="19"/>
          <w:vertAlign w:val="baseline"/>
        </w:rPr>
        <w:t> </w:t>
      </w:r>
      <w:r>
        <w:rPr>
          <w:vertAlign w:val="baseline"/>
        </w:rPr>
        <w:t>replace</w:t>
      </w:r>
      <w:r>
        <w:rPr>
          <w:spacing w:val="19"/>
          <w:vertAlign w:val="baseline"/>
        </w:rPr>
        <w:t> </w:t>
      </w:r>
      <w:r>
        <w:rPr>
          <w:vertAlign w:val="baseline"/>
        </w:rPr>
        <w:t>it,</w:t>
      </w:r>
      <w:r>
        <w:rPr>
          <w:spacing w:val="19"/>
          <w:vertAlign w:val="baseline"/>
        </w:rPr>
        <w:t> </w:t>
      </w:r>
      <w:r>
        <w:rPr>
          <w:vertAlign w:val="baseline"/>
        </w:rPr>
        <w:t>since</w:t>
      </w:r>
      <w:r>
        <w:rPr>
          <w:spacing w:val="19"/>
          <w:vertAlign w:val="baseline"/>
        </w:rPr>
        <w:t> </w:t>
      </w:r>
      <w:r>
        <w:rPr>
          <w:vertAlign w:val="baseline"/>
        </w:rPr>
        <w:t>he</w:t>
      </w:r>
      <w:r>
        <w:rPr>
          <w:spacing w:val="19"/>
          <w:vertAlign w:val="baseline"/>
        </w:rPr>
        <w:t> </w:t>
      </w:r>
      <w:r>
        <w:rPr>
          <w:vertAlign w:val="baseline"/>
        </w:rPr>
        <w:t>cannot</w:t>
      </w:r>
      <w:r>
        <w:rPr>
          <w:spacing w:val="19"/>
          <w:vertAlign w:val="baseline"/>
        </w:rPr>
        <w:t> </w:t>
      </w:r>
      <w:r>
        <w:rPr>
          <w:vertAlign w:val="baseline"/>
        </w:rPr>
        <w:t>recover</w:t>
      </w:r>
      <w:r>
        <w:rPr>
          <w:spacing w:val="19"/>
          <w:vertAlign w:val="baseline"/>
        </w:rPr>
        <w:t> </w:t>
      </w:r>
      <w:r>
        <w:rPr>
          <w:spacing w:val="-2"/>
          <w:vertAlign w:val="baseline"/>
        </w:rPr>
        <w:t>damages</w:t>
      </w:r>
    </w:p>
    <w:p>
      <w:pPr>
        <w:pStyle w:val="BodyText"/>
        <w:spacing w:line="235" w:lineRule="auto" w:before="118"/>
        <w:ind w:left="164" w:right="167"/>
        <w:jc w:val="both"/>
      </w:pPr>
      <w:bookmarkStart w:name="_bookmark919" w:id="921"/>
      <w:bookmarkEnd w:id="921"/>
      <w:r>
        <w:rPr/>
      </w:r>
      <w:r>
        <w:rPr/>
        <w:t>from the defendant for any loss which arose after he discovered </w:t>
      </w:r>
      <w:r>
        <w:rPr>
          <w:color w:val="005DA1"/>
          <w:u w:val="single" w:color="005DA1"/>
          <w:vertAlign w:val="superscript"/>
        </w:rPr>
        <w:t>483</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10"/>
          <w:vertAlign w:val="baseline"/>
        </w:rPr>
        <w:t> </w:t>
      </w:r>
      <w:r>
        <w:rPr>
          <w:vertAlign w:val="baseline"/>
        </w:rPr>
        <w:t>the defect but which he could reasonably have avoided by taking remedial steps. </w:t>
      </w:r>
      <w:r>
        <w:rPr>
          <w:color w:val="005DA1"/>
          <w:u w:val="single" w:color="005DA1"/>
          <w:vertAlign w:val="superscript"/>
        </w:rPr>
        <w:t>484</w:t>
      </w:r>
      <w:r>
        <w:rPr>
          <w:color w:val="005DA1"/>
          <w:vertAlign w:val="baseline"/>
        </w:rPr>
        <w:t> </w:t>
      </w:r>
      <w:r>
        <w:rPr>
          <w:vertAlign w:val="baseline"/>
        </w:rPr>
        <w:t>After he knows (or ought to have known) of the </w:t>
      </w:r>
      <w:bookmarkStart w:name="_bookmark920" w:id="922"/>
      <w:bookmarkEnd w:id="922"/>
      <w:r>
        <w:rPr>
          <w:vertAlign w:val="baseline"/>
        </w:rPr>
        <w:t>breach,</w:t>
      </w:r>
      <w:r>
        <w:rPr>
          <w:vertAlign w:val="baseline"/>
        </w:rPr>
        <w:t> the claimant still has a reasonable time, depending on all the circumstances, before he </w:t>
      </w:r>
      <w:r>
        <w:rPr>
          <w:vertAlign w:val="baseline"/>
        </w:rPr>
        <w:t>must decide how to mitigate. </w:t>
      </w:r>
      <w:r>
        <w:rPr>
          <w:color w:val="005DA1"/>
          <w:u w:val="single" w:color="005DA1"/>
          <w:vertAlign w:val="superscript"/>
        </w:rPr>
        <w:t>485</w:t>
      </w:r>
      <w:r>
        <w:rPr>
          <w:color w:val="005DA1"/>
          <w:vertAlign w:val="baseline"/>
        </w:rPr>
        <w:t> </w:t>
      </w:r>
      <w:r>
        <w:rPr>
          <w:vertAlign w:val="baseline"/>
        </w:rPr>
        <w:t>In the case of damages for the cost of repairs or reinstatement, it may be </w:t>
      </w:r>
      <w:bookmarkStart w:name="_bookmark921" w:id="923"/>
      <w:bookmarkEnd w:id="923"/>
      <w:r>
        <w:rPr>
          <w:vertAlign w:val="baseline"/>
        </w:rPr>
        <w:t>reasonable</w:t>
      </w:r>
      <w:r>
        <w:rPr>
          <w:vertAlign w:val="baseline"/>
        </w:rPr>
        <w:t> for the claimant to delay getting the repairs or remedial work done so long as there is a </w:t>
      </w:r>
      <w:bookmarkStart w:name="_bookmark922" w:id="924"/>
      <w:bookmarkEnd w:id="924"/>
      <w:r>
        <w:rPr>
          <w:vertAlign w:val="baseline"/>
        </w:rPr>
        <w:t>reasonable</w:t>
      </w:r>
      <w:r>
        <w:rPr>
          <w:vertAlign w:val="baseline"/>
        </w:rPr>
        <w:t> chance that the defendant will repair or cure the defect, </w:t>
      </w:r>
      <w:r>
        <w:rPr>
          <w:color w:val="005DA1"/>
          <w:u w:val="single" w:color="005DA1"/>
          <w:vertAlign w:val="superscript"/>
        </w:rPr>
        <w:t>486</w:t>
      </w:r>
      <w:r>
        <w:rPr>
          <w:color w:val="005DA1"/>
          <w:vertAlign w:val="baseline"/>
        </w:rPr>
        <w:t> </w:t>
      </w:r>
      <w:r>
        <w:rPr>
          <w:vertAlign w:val="baseline"/>
        </w:rPr>
        <w:t>or until the time when the defendant has accepted liability or been held liable. </w:t>
      </w:r>
      <w:r>
        <w:rPr>
          <w:color w:val="005DA1"/>
          <w:u w:val="single" w:color="005DA1"/>
          <w:vertAlign w:val="superscript"/>
        </w:rPr>
        <w:t>487</w:t>
      </w:r>
    </w:p>
    <w:p>
      <w:pPr>
        <w:pStyle w:val="BodyText"/>
      </w:pPr>
    </w:p>
    <w:p>
      <w:pPr>
        <w:pStyle w:val="BodyText"/>
        <w:spacing w:before="36"/>
      </w:pPr>
    </w:p>
    <w:p>
      <w:pPr>
        <w:spacing w:before="0"/>
        <w:ind w:left="165" w:right="0" w:firstLine="0"/>
        <w:jc w:val="left"/>
        <w:rPr>
          <w:rFonts w:ascii="Arial"/>
          <w:b/>
          <w:sz w:val="18"/>
        </w:rPr>
      </w:pPr>
      <w:bookmarkStart w:name="_bookmark923" w:id="925"/>
      <w:bookmarkEnd w:id="925"/>
      <w:r>
        <w:rPr/>
      </w:r>
      <w:r>
        <w:rPr>
          <w:rFonts w:ascii="Arial"/>
          <w:b/>
          <w:sz w:val="18"/>
        </w:rPr>
        <w:t>The relevant date for the assessment of damages</w:t>
      </w:r>
      <w:r>
        <w:rPr>
          <w:rFonts w:ascii="Arial"/>
          <w:b/>
          <w:spacing w:val="-1"/>
          <w:sz w:val="18"/>
        </w:rPr>
        <w:t> </w:t>
      </w:r>
      <w:r>
        <w:rPr>
          <w:rFonts w:ascii="Arial"/>
          <w:b/>
          <w:color w:val="005DA1"/>
          <w:spacing w:val="-5"/>
          <w:sz w:val="18"/>
          <w:u w:val="single" w:color="005DA1"/>
          <w:vertAlign w:val="superscript"/>
        </w:rPr>
        <w:t>488</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088</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924" w:id="926"/>
      <w:bookmarkEnd w:id="926"/>
      <w:r>
        <w:rPr>
          <w:rFonts w:ascii="Times New Roman"/>
          <w:spacing w:val="21"/>
        </w:rPr>
      </w:r>
      <w:r>
        <w:rPr/>
        <w:t>It</w:t>
      </w:r>
      <w:r>
        <w:rPr>
          <w:spacing w:val="16"/>
        </w:rPr>
        <w:t> </w:t>
      </w:r>
      <w:r>
        <w:rPr/>
        <w:t>is</w:t>
      </w:r>
      <w:r>
        <w:rPr>
          <w:spacing w:val="16"/>
        </w:rPr>
        <w:t> </w:t>
      </w:r>
      <w:r>
        <w:rPr/>
        <w:t>convenient</w:t>
      </w:r>
      <w:r>
        <w:rPr>
          <w:spacing w:val="16"/>
        </w:rPr>
        <w:t> </w:t>
      </w:r>
      <w:r>
        <w:rPr/>
        <w:t>to</w:t>
      </w:r>
      <w:r>
        <w:rPr>
          <w:spacing w:val="16"/>
        </w:rPr>
        <w:t> </w:t>
      </w:r>
      <w:r>
        <w:rPr/>
        <w:t>deal</w:t>
      </w:r>
      <w:r>
        <w:rPr>
          <w:spacing w:val="16"/>
        </w:rPr>
        <w:t> </w:t>
      </w:r>
      <w:r>
        <w:rPr/>
        <w:t>here</w:t>
      </w:r>
      <w:r>
        <w:rPr>
          <w:spacing w:val="16"/>
        </w:rPr>
        <w:t> </w:t>
      </w:r>
      <w:r>
        <w:rPr/>
        <w:t>with</w:t>
      </w:r>
      <w:r>
        <w:rPr>
          <w:spacing w:val="16"/>
        </w:rPr>
        <w:t> </w:t>
      </w:r>
      <w:r>
        <w:rPr/>
        <w:t>the</w:t>
      </w:r>
      <w:r>
        <w:rPr>
          <w:spacing w:val="16"/>
        </w:rPr>
        <w:t> </w:t>
      </w:r>
      <w:r>
        <w:rPr/>
        <w:t>date</w:t>
      </w:r>
      <w:r>
        <w:rPr>
          <w:spacing w:val="16"/>
        </w:rPr>
        <w:t> </w:t>
      </w:r>
      <w:r>
        <w:rPr/>
        <w:t>for</w:t>
      </w:r>
      <w:r>
        <w:rPr>
          <w:spacing w:val="16"/>
        </w:rPr>
        <w:t> </w:t>
      </w:r>
      <w:r>
        <w:rPr/>
        <w:t>the</w:t>
      </w:r>
      <w:r>
        <w:rPr>
          <w:spacing w:val="16"/>
        </w:rPr>
        <w:t> </w:t>
      </w:r>
      <w:r>
        <w:rPr/>
        <w:t>assessment</w:t>
      </w:r>
      <w:r>
        <w:rPr>
          <w:spacing w:val="16"/>
        </w:rPr>
        <w:t> </w:t>
      </w:r>
      <w:r>
        <w:rPr/>
        <w:t>of</w:t>
      </w:r>
      <w:r>
        <w:rPr>
          <w:spacing w:val="16"/>
        </w:rPr>
        <w:t> </w:t>
      </w:r>
      <w:r>
        <w:rPr/>
        <w:t>damages,</w:t>
      </w:r>
      <w:r>
        <w:rPr>
          <w:spacing w:val="16"/>
        </w:rPr>
        <w:t> </w:t>
      </w:r>
      <w:r>
        <w:rPr/>
        <w:t>since</w:t>
      </w:r>
      <w:r>
        <w:rPr>
          <w:spacing w:val="16"/>
        </w:rPr>
        <w:t> </w:t>
      </w:r>
      <w:r>
        <w:rPr/>
        <w:t>it</w:t>
      </w:r>
      <w:r>
        <w:rPr>
          <w:spacing w:val="16"/>
        </w:rPr>
        <w:t> </w:t>
      </w:r>
      <w:r>
        <w:rPr/>
        <w:t>appears</w:t>
      </w:r>
      <w:r>
        <w:rPr>
          <w:spacing w:val="16"/>
        </w:rPr>
        <w:t> </w:t>
      </w:r>
      <w:r>
        <w:rPr/>
        <w:t>to</w:t>
      </w:r>
      <w:r>
        <w:rPr>
          <w:spacing w:val="16"/>
        </w:rPr>
        <w:t> </w:t>
      </w:r>
      <w:r>
        <w:rPr/>
        <w:t>be</w:t>
      </w:r>
    </w:p>
    <w:p>
      <w:pPr>
        <w:pStyle w:val="BodyText"/>
        <w:spacing w:line="235" w:lineRule="auto" w:before="118"/>
        <w:ind w:left="165" w:right="167"/>
        <w:jc w:val="both"/>
      </w:pPr>
      <w:bookmarkStart w:name="_bookmark925" w:id="927"/>
      <w:bookmarkEnd w:id="927"/>
      <w:r>
        <w:rPr/>
      </w:r>
      <w:r>
        <w:rPr/>
        <w:t>closely linked to the doctrine of mitigation. </w:t>
      </w:r>
      <w:r>
        <w:rPr>
          <w:color w:val="005DA1"/>
          <w:u w:val="single" w:color="005DA1"/>
          <w:vertAlign w:val="superscript"/>
        </w:rPr>
        <w:t>489</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40"/>
          <w:vertAlign w:val="baseline"/>
        </w:rPr>
        <w:t> </w:t>
      </w:r>
      <w:r>
        <w:rPr>
          <w:vertAlign w:val="baseline"/>
        </w:rPr>
        <w:t>The general rule is that damages for breach </w:t>
      </w:r>
      <w:r>
        <w:rPr>
          <w:vertAlign w:val="baseline"/>
        </w:rPr>
        <w:t>of </w:t>
      </w:r>
      <w:bookmarkStart w:name="_bookmark926" w:id="928"/>
      <w:bookmarkEnd w:id="928"/>
      <w:r>
        <w:rPr>
          <w:vertAlign w:val="baseline"/>
        </w:rPr>
        <w:t>contract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assessed</w:t>
      </w:r>
      <w:r>
        <w:rPr>
          <w:spacing w:val="1"/>
          <w:vertAlign w:val="baseline"/>
        </w:rPr>
        <w:t> </w:t>
      </w:r>
      <w:r>
        <w:rPr>
          <w:vertAlign w:val="baseline"/>
        </w:rPr>
        <w:t>as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cause</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arose,</w:t>
      </w:r>
      <w:r>
        <w:rPr>
          <w:spacing w:val="1"/>
          <w:vertAlign w:val="baseline"/>
        </w:rPr>
        <w:t> </w:t>
      </w:r>
      <w:r>
        <w:rPr>
          <w:vertAlign w:val="baseline"/>
        </w:rPr>
        <w:t>viz</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spacing w:val="-2"/>
          <w:vertAlign w:val="baseline"/>
        </w:rPr>
        <w:t>breach</w:t>
      </w:r>
    </w:p>
    <w:p>
      <w:pPr>
        <w:pStyle w:val="BodyText"/>
        <w:spacing w:line="225" w:lineRule="exact"/>
        <w:ind w:left="165"/>
        <w:jc w:val="both"/>
      </w:pPr>
      <w:r>
        <w:rPr>
          <w:color w:val="005DA1"/>
          <w:u w:val="single" w:color="005DA1"/>
          <w:vertAlign w:val="superscript"/>
        </w:rPr>
        <w:t>490</w:t>
      </w:r>
      <w:r>
        <w:rPr>
          <w:color w:val="005DA1"/>
          <w:spacing w:val="-3"/>
          <w:vertAlign w:val="baseline"/>
        </w:rPr>
        <w:t> </w:t>
      </w:r>
      <w:r>
        <w:rPr>
          <w:vertAlign w:val="baseline"/>
        </w:rPr>
        <w:t>(which</w:t>
      </w:r>
      <w:r>
        <w:rPr>
          <w:spacing w:val="-1"/>
          <w:vertAlign w:val="baseline"/>
        </w:rPr>
        <w:t> </w:t>
      </w:r>
      <w:r>
        <w:rPr>
          <w:vertAlign w:val="baseline"/>
        </w:rPr>
        <w:t>rule</w:t>
      </w:r>
      <w:r>
        <w:rPr>
          <w:spacing w:val="-1"/>
          <w:vertAlign w:val="baseline"/>
        </w:rPr>
        <w:t> </w:t>
      </w:r>
      <w:r>
        <w:rPr>
          <w:vertAlign w:val="baseline"/>
        </w:rPr>
        <w:t>usually</w:t>
      </w:r>
      <w:r>
        <w:rPr>
          <w:spacing w:val="-1"/>
          <w:vertAlign w:val="baseline"/>
        </w:rPr>
        <w:t> </w:t>
      </w:r>
      <w:r>
        <w:rPr>
          <w:vertAlign w:val="baseline"/>
        </w:rPr>
        <w:t>applies</w:t>
      </w:r>
      <w:r>
        <w:rPr>
          <w:spacing w:val="-2"/>
          <w:vertAlign w:val="baseline"/>
        </w:rPr>
        <w:t> </w:t>
      </w:r>
      <w:r>
        <w:rPr>
          <w:vertAlign w:val="baseline"/>
        </w:rPr>
        <w:t>where</w:t>
      </w:r>
      <w:r>
        <w:rPr>
          <w:spacing w:val="-1"/>
          <w:vertAlign w:val="baseline"/>
        </w:rPr>
        <w:t> </w:t>
      </w:r>
      <w:r>
        <w:rPr>
          <w:vertAlign w:val="baseline"/>
        </w:rPr>
        <w:t>substitute</w:t>
      </w:r>
      <w:r>
        <w:rPr>
          <w:spacing w:val="-1"/>
          <w:vertAlign w:val="baseline"/>
        </w:rPr>
        <w:t> </w:t>
      </w:r>
      <w:r>
        <w:rPr>
          <w:vertAlign w:val="baseline"/>
        </w:rPr>
        <w:t>performance</w:t>
      </w:r>
      <w:r>
        <w:rPr>
          <w:spacing w:val="-1"/>
          <w:vertAlign w:val="baseline"/>
        </w:rPr>
        <w:t> </w:t>
      </w:r>
      <w:r>
        <w:rPr>
          <w:vertAlign w:val="baseline"/>
        </w:rPr>
        <w:t>is</w:t>
      </w:r>
      <w:r>
        <w:rPr>
          <w:spacing w:val="-2"/>
          <w:vertAlign w:val="baseline"/>
        </w:rPr>
        <w:t> </w:t>
      </w:r>
      <w:r>
        <w:rPr>
          <w:vertAlign w:val="baseline"/>
        </w:rPr>
        <w:t>readily</w:t>
      </w:r>
      <w:r>
        <w:rPr>
          <w:spacing w:val="-1"/>
          <w:vertAlign w:val="baseline"/>
        </w:rPr>
        <w:t> </w:t>
      </w:r>
      <w:r>
        <w:rPr>
          <w:vertAlign w:val="baseline"/>
        </w:rPr>
        <w:t>available</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market</w:t>
      </w:r>
      <w:r>
        <w:rPr>
          <w:spacing w:val="-3"/>
          <w:vertAlign w:val="baseline"/>
        </w:rPr>
        <w:t> </w:t>
      </w:r>
      <w:r>
        <w:rPr>
          <w:color w:val="005DA1"/>
          <w:spacing w:val="-2"/>
          <w:u w:val="single" w:color="005DA1"/>
          <w:vertAlign w:val="superscript"/>
        </w:rPr>
        <w:t>491</w:t>
      </w:r>
      <w:r>
        <w:rPr>
          <w:spacing w:val="-2"/>
          <w:vertAlign w:val="baseline"/>
        </w:rPr>
        <w:t>):</w:t>
      </w:r>
    </w:p>
    <w:p>
      <w:pPr>
        <w:pStyle w:val="BodyText"/>
      </w:pPr>
    </w:p>
    <w:p>
      <w:pPr>
        <w:pStyle w:val="BodyText"/>
        <w:spacing w:before="126"/>
      </w:pPr>
    </w:p>
    <w:p>
      <w:pPr>
        <w:pStyle w:val="BodyText"/>
        <w:spacing w:line="235" w:lineRule="auto"/>
        <w:ind w:left="1244"/>
      </w:pPr>
      <w:bookmarkStart w:name="_bookmark927" w:id="929"/>
      <w:bookmarkEnd w:id="929"/>
      <w:r>
        <w:rPr/>
      </w:r>
      <w:r>
        <w:rPr/>
        <w:t>“But</w:t>
      </w:r>
      <w:r>
        <w:rPr>
          <w:spacing w:val="22"/>
        </w:rPr>
        <w:t> </w:t>
      </w:r>
      <w:r>
        <w:rPr/>
        <w:t>this</w:t>
      </w:r>
      <w:r>
        <w:rPr>
          <w:spacing w:val="22"/>
        </w:rPr>
        <w:t> </w:t>
      </w:r>
      <w:r>
        <w:rPr/>
        <w:t>is</w:t>
      </w:r>
      <w:r>
        <w:rPr>
          <w:spacing w:val="22"/>
        </w:rPr>
        <w:t> </w:t>
      </w:r>
      <w:r>
        <w:rPr/>
        <w:t>not</w:t>
      </w:r>
      <w:r>
        <w:rPr>
          <w:spacing w:val="22"/>
        </w:rPr>
        <w:t> </w:t>
      </w:r>
      <w:r>
        <w:rPr/>
        <w:t>an</w:t>
      </w:r>
      <w:r>
        <w:rPr>
          <w:spacing w:val="22"/>
        </w:rPr>
        <w:t> </w:t>
      </w:r>
      <w:r>
        <w:rPr/>
        <w:t>absolute</w:t>
      </w:r>
      <w:r>
        <w:rPr>
          <w:spacing w:val="22"/>
        </w:rPr>
        <w:t> </w:t>
      </w:r>
      <w:r>
        <w:rPr/>
        <w:t>rule:</w:t>
      </w:r>
      <w:r>
        <w:rPr>
          <w:spacing w:val="22"/>
        </w:rPr>
        <w:t> </w:t>
      </w:r>
      <w:r>
        <w:rPr/>
        <w:t>if</w:t>
      </w:r>
      <w:r>
        <w:rPr>
          <w:spacing w:val="22"/>
        </w:rPr>
        <w:t> </w:t>
      </w:r>
      <w:r>
        <w:rPr/>
        <w:t>to</w:t>
      </w:r>
      <w:r>
        <w:rPr>
          <w:spacing w:val="22"/>
        </w:rPr>
        <w:t> </w:t>
      </w:r>
      <w:r>
        <w:rPr/>
        <w:t>follow</w:t>
      </w:r>
      <w:r>
        <w:rPr>
          <w:spacing w:val="22"/>
        </w:rPr>
        <w:t> </w:t>
      </w:r>
      <w:r>
        <w:rPr/>
        <w:t>it</w:t>
      </w:r>
      <w:r>
        <w:rPr>
          <w:spacing w:val="22"/>
        </w:rPr>
        <w:t> </w:t>
      </w:r>
      <w:r>
        <w:rPr/>
        <w:t>would</w:t>
      </w:r>
      <w:r>
        <w:rPr>
          <w:spacing w:val="22"/>
        </w:rPr>
        <w:t> </w:t>
      </w:r>
      <w:r>
        <w:rPr/>
        <w:t>give</w:t>
      </w:r>
      <w:r>
        <w:rPr>
          <w:spacing w:val="22"/>
        </w:rPr>
        <w:t> </w:t>
      </w:r>
      <w:r>
        <w:rPr/>
        <w:t>rise</w:t>
      </w:r>
      <w:r>
        <w:rPr>
          <w:spacing w:val="22"/>
        </w:rPr>
        <w:t> </w:t>
      </w:r>
      <w:r>
        <w:rPr/>
        <w:t>to</w:t>
      </w:r>
      <w:r>
        <w:rPr>
          <w:spacing w:val="22"/>
        </w:rPr>
        <w:t> </w:t>
      </w:r>
      <w:r>
        <w:rPr/>
        <w:t>injustice</w:t>
      </w:r>
      <w:r>
        <w:rPr>
          <w:spacing w:val="22"/>
        </w:rPr>
        <w:t> </w:t>
      </w:r>
      <w:r>
        <w:rPr/>
        <w:t>the</w:t>
      </w:r>
      <w:r>
        <w:rPr>
          <w:spacing w:val="22"/>
        </w:rPr>
        <w:t> </w:t>
      </w:r>
      <w:r>
        <w:rPr/>
        <w:t>court</w:t>
      </w:r>
      <w:r>
        <w:rPr>
          <w:spacing w:val="22"/>
        </w:rPr>
        <w:t> </w:t>
      </w:r>
      <w:r>
        <w:rPr/>
        <w:t>has power to fix such other date as may be appropriate in the circumstances.” </w:t>
      </w:r>
      <w:r>
        <w:rPr>
          <w:color w:val="005DA1"/>
          <w:u w:val="single" w:color="005DA1"/>
          <w:vertAlign w:val="superscript"/>
        </w:rPr>
        <w:t>492</w:t>
      </w:r>
    </w:p>
    <w:p>
      <w:pPr>
        <w:pStyle w:val="BodyText"/>
        <w:spacing w:before="116"/>
      </w:pPr>
    </w:p>
    <w:p>
      <w:pPr>
        <w:pStyle w:val="BodyText"/>
        <w:spacing w:line="235" w:lineRule="auto"/>
        <w:ind w:left="165" w:right="167"/>
        <w:jc w:val="both"/>
      </w:pPr>
      <w:bookmarkStart w:name="_bookmark928" w:id="930"/>
      <w:bookmarkEnd w:id="930"/>
      <w:r>
        <w:rPr/>
      </w:r>
      <w:r>
        <w:rPr/>
        <w:t>Two departures from this principle require special note. First, if one party commits an </w:t>
      </w:r>
      <w:r>
        <w:rPr/>
        <w:t>anticipatory </w:t>
      </w:r>
      <w:bookmarkStart w:name="_bookmark929" w:id="931"/>
      <w:bookmarkEnd w:id="931"/>
      <w:r>
        <w:rPr/>
        <w:t>repudiation</w:t>
      </w:r>
      <w:r>
        <w:rPr/>
        <w:t> of the contract and the other elects to accept the repudiation and terminate the contract, </w:t>
      </w:r>
      <w:r>
        <w:rPr>
          <w:color w:val="005DA1"/>
          <w:u w:val="single" w:color="005DA1"/>
          <w:vertAlign w:val="superscript"/>
        </w:rPr>
        <w:t>493</w:t>
      </w:r>
      <w:r>
        <w:rPr>
          <w:color w:val="005DA1"/>
          <w:spacing w:val="-2"/>
          <w:vertAlign w:val="baseline"/>
        </w:rPr>
        <w:t> </w:t>
      </w:r>
      <w:bookmarkStart w:name="_bookmark930" w:id="932"/>
      <w:bookmarkEnd w:id="932"/>
      <w:r>
        <w:rPr>
          <w:color w:val="005DA1"/>
          <w:spacing w:val="1"/>
          <w:vertAlign w:val="baseline"/>
        </w:rPr>
      </w:r>
      <w:r>
        <w:rPr>
          <w:vertAlign w:val="baseline"/>
        </w:rPr>
        <w:t>the</w:t>
      </w:r>
      <w:r>
        <w:rPr>
          <w:spacing w:val="-2"/>
          <w:vertAlign w:val="baseline"/>
        </w:rPr>
        <w:t> </w:t>
      </w:r>
      <w:r>
        <w:rPr>
          <w:vertAlign w:val="baseline"/>
        </w:rPr>
        <w:t>innocent</w:t>
      </w:r>
      <w:r>
        <w:rPr>
          <w:spacing w:val="-2"/>
          <w:vertAlign w:val="baseline"/>
        </w:rPr>
        <w:t> </w:t>
      </w:r>
      <w:r>
        <w:rPr>
          <w:vertAlign w:val="baseline"/>
        </w:rPr>
        <w:t>party</w:t>
      </w:r>
      <w:r>
        <w:rPr>
          <w:spacing w:val="-2"/>
          <w:vertAlign w:val="baseline"/>
        </w:rPr>
        <w:t> </w:t>
      </w:r>
      <w:r>
        <w:rPr>
          <w:vertAlign w:val="baseline"/>
        </w:rPr>
        <w:t>comes</w:t>
      </w:r>
      <w:r>
        <w:rPr>
          <w:spacing w:val="-2"/>
          <w:vertAlign w:val="baseline"/>
        </w:rPr>
        <w:t> </w:t>
      </w:r>
      <w:r>
        <w:rPr>
          <w:vertAlign w:val="baseline"/>
        </w:rPr>
        <w:t>under</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mitigate</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date</w:t>
      </w:r>
      <w:r>
        <w:rPr>
          <w:spacing w:val="-2"/>
          <w:vertAlign w:val="baseline"/>
        </w:rPr>
        <w:t> </w:t>
      </w:r>
      <w:r>
        <w:rPr>
          <w:vertAlign w:val="baseline"/>
        </w:rPr>
        <w:t>of</w:t>
      </w:r>
      <w:r>
        <w:rPr>
          <w:spacing w:val="-2"/>
          <w:vertAlign w:val="baseline"/>
        </w:rPr>
        <w:t> </w:t>
      </w:r>
      <w:r>
        <w:rPr>
          <w:vertAlign w:val="baseline"/>
        </w:rPr>
        <w:t>termination.</w:t>
      </w:r>
      <w:r>
        <w:rPr>
          <w:spacing w:val="-3"/>
          <w:vertAlign w:val="baseline"/>
        </w:rPr>
        <w:t> </w:t>
      </w:r>
      <w:r>
        <w:rPr>
          <w:color w:val="005DA1"/>
          <w:u w:val="single" w:color="005DA1"/>
          <w:vertAlign w:val="superscript"/>
        </w:rPr>
        <w:t>494</w:t>
      </w:r>
      <w:r>
        <w:rPr>
          <w:color w:val="005DA1"/>
          <w:spacing w:val="-2"/>
          <w:vertAlign w:val="baseline"/>
        </w:rPr>
        <w:t> </w:t>
      </w:r>
      <w:r>
        <w:rPr>
          <w:vertAlign w:val="baseline"/>
        </w:rPr>
        <w:t>Secondly,</w:t>
      </w:r>
      <w:r>
        <w:rPr>
          <w:spacing w:val="-2"/>
          <w:vertAlign w:val="baseline"/>
        </w:rPr>
        <w:t> </w:t>
      </w:r>
      <w:r>
        <w:rPr>
          <w:vertAlign w:val="baseline"/>
        </w:rPr>
        <w:t>if,</w:t>
      </w:r>
      <w:r>
        <w:rPr>
          <w:spacing w:val="-2"/>
          <w:vertAlign w:val="baseline"/>
        </w:rPr>
        <w:t> </w:t>
      </w:r>
      <w:r>
        <w:rPr>
          <w:vertAlign w:val="baseline"/>
        </w:rPr>
        <w:t>after</w:t>
      </w:r>
      <w:r>
        <w:rPr>
          <w:spacing w:val="-2"/>
          <w:vertAlign w:val="baseline"/>
        </w:rPr>
        <w:t> </w:t>
      </w:r>
      <w:r>
        <w:rPr>
          <w:vertAlign w:val="baseline"/>
        </w:rPr>
        <w:t>a </w:t>
      </w:r>
      <w:bookmarkStart w:name="_bookmark931" w:id="933"/>
      <w:bookmarkEnd w:id="933"/>
      <w:r>
        <w:rPr>
          <w:vertAlign w:val="baseline"/>
        </w:rPr>
        <w:t>breach,</w:t>
      </w:r>
      <w:r>
        <w:rPr>
          <w:vertAlign w:val="baseline"/>
        </w:rPr>
        <w:t> the innocent party reasonably </w:t>
      </w:r>
      <w:r>
        <w:rPr>
          <w:color w:val="005DA1"/>
          <w:u w:val="single" w:color="005DA1"/>
          <w:vertAlign w:val="superscript"/>
        </w:rPr>
        <w:t>495</w:t>
      </w:r>
      <w:r>
        <w:rPr>
          <w:color w:val="005DA1"/>
          <w:vertAlign w:val="baseline"/>
        </w:rPr>
        <w:t> </w:t>
      </w:r>
      <w:r>
        <w:rPr>
          <w:vertAlign w:val="baseline"/>
        </w:rPr>
        <w:t>continues to treat the contract as in force, damages may be </w:t>
      </w:r>
      <w:bookmarkStart w:name="_bookmark932" w:id="934"/>
      <w:bookmarkEnd w:id="934"/>
      <w:r>
        <w:rPr>
          <w:vertAlign w:val="baseline"/>
        </w:rPr>
        <w:t>assessed</w:t>
      </w:r>
      <w:r>
        <w:rPr>
          <w:vertAlign w:val="baseline"/>
        </w:rPr>
        <w:t> as at the later date “when (otherwise than by his default) the contract is lost”, </w:t>
      </w:r>
      <w:r>
        <w:rPr>
          <w:color w:val="005DA1"/>
          <w:u w:val="single" w:color="005DA1"/>
          <w:vertAlign w:val="superscript"/>
        </w:rPr>
        <w:t>496</w:t>
      </w:r>
      <w:r>
        <w:rPr>
          <w:color w:val="005DA1"/>
          <w:vertAlign w:val="baseline"/>
        </w:rPr>
        <w:t> </w:t>
      </w:r>
      <w:r>
        <w:rPr>
          <w:vertAlign w:val="baseline"/>
        </w:rPr>
        <w:t>viz when </w:t>
      </w:r>
      <w:bookmarkStart w:name="_bookmark933" w:id="935"/>
      <w:bookmarkEnd w:id="935"/>
      <w:r>
        <w:rPr>
          <w:vertAlign w:val="baseline"/>
        </w:rPr>
        <w:t>performance</w:t>
      </w:r>
      <w:r>
        <w:rPr>
          <w:vertAlign w:val="baseline"/>
        </w:rPr>
        <w:t> becomes impossible, </w:t>
      </w:r>
      <w:r>
        <w:rPr>
          <w:color w:val="005DA1"/>
          <w:u w:val="single" w:color="005DA1"/>
          <w:vertAlign w:val="superscript"/>
        </w:rPr>
        <w:t>497</w:t>
      </w:r>
      <w:r>
        <w:rPr>
          <w:color w:val="005DA1"/>
          <w:vertAlign w:val="baseline"/>
        </w:rPr>
        <w:t> </w:t>
      </w:r>
      <w:r>
        <w:rPr>
          <w:vertAlign w:val="baseline"/>
        </w:rPr>
        <w:t>or when the innocent party terminates the contract. </w:t>
      </w:r>
      <w:r>
        <w:rPr>
          <w:color w:val="005DA1"/>
          <w:u w:val="single" w:color="005DA1"/>
          <w:vertAlign w:val="superscript"/>
        </w:rPr>
        <w:t>498</w:t>
      </w:r>
      <w:r>
        <w:rPr>
          <w:color w:val="005DA1"/>
          <w:vertAlign w:val="baseline"/>
        </w:rPr>
        <w:t> </w:t>
      </w:r>
      <w:r>
        <w:rPr>
          <w:vertAlign w:val="baseline"/>
        </w:rPr>
        <w:t>(Any further</w:t>
      </w:r>
      <w:r>
        <w:rPr>
          <w:spacing w:val="3"/>
          <w:vertAlign w:val="baseline"/>
        </w:rPr>
        <w:t> </w:t>
      </w:r>
      <w:r>
        <w:rPr>
          <w:vertAlign w:val="baseline"/>
        </w:rPr>
        <w:t>delay</w:t>
      </w:r>
      <w:r>
        <w:rPr>
          <w:spacing w:val="4"/>
          <w:vertAlign w:val="baseline"/>
        </w:rPr>
        <w:t> </w:t>
      </w:r>
      <w:r>
        <w:rPr>
          <w:vertAlign w:val="baseline"/>
        </w:rPr>
        <w:t>in</w:t>
      </w:r>
      <w:r>
        <w:rPr>
          <w:spacing w:val="4"/>
          <w:vertAlign w:val="baseline"/>
        </w:rPr>
        <w:t> </w:t>
      </w:r>
      <w:r>
        <w:rPr>
          <w:vertAlign w:val="baseline"/>
        </w:rPr>
        <w:t>his</w:t>
      </w:r>
      <w:r>
        <w:rPr>
          <w:spacing w:val="4"/>
          <w:vertAlign w:val="baseline"/>
        </w:rPr>
        <w:t> </w:t>
      </w:r>
      <w:r>
        <w:rPr>
          <w:vertAlign w:val="baseline"/>
        </w:rPr>
        <w:t>receiving</w:t>
      </w:r>
      <w:r>
        <w:rPr>
          <w:spacing w:val="4"/>
          <w:vertAlign w:val="baseline"/>
        </w:rPr>
        <w:t> </w:t>
      </w:r>
      <w:r>
        <w:rPr>
          <w:vertAlign w:val="baseline"/>
        </w:rPr>
        <w:t>compensation</w:t>
      </w:r>
      <w:r>
        <w:rPr>
          <w:spacing w:val="4"/>
          <w:vertAlign w:val="baseline"/>
        </w:rPr>
        <w:t> </w:t>
      </w:r>
      <w:r>
        <w:rPr>
          <w:vertAlign w:val="baseline"/>
        </w:rPr>
        <w:t>should</w:t>
      </w:r>
      <w:r>
        <w:rPr>
          <w:spacing w:val="4"/>
          <w:vertAlign w:val="baseline"/>
        </w:rPr>
        <w:t> </w:t>
      </w:r>
      <w:r>
        <w:rPr>
          <w:vertAlign w:val="baseline"/>
        </w:rPr>
        <w:t>be</w:t>
      </w:r>
      <w:r>
        <w:rPr>
          <w:spacing w:val="4"/>
          <w:vertAlign w:val="baseline"/>
        </w:rPr>
        <w:t> </w:t>
      </w:r>
      <w:r>
        <w:rPr>
          <w:vertAlign w:val="baseline"/>
        </w:rPr>
        <w:t>met</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award</w:t>
      </w:r>
      <w:r>
        <w:rPr>
          <w:spacing w:val="4"/>
          <w:vertAlign w:val="baseline"/>
        </w:rPr>
        <w:t> </w:t>
      </w:r>
      <w:r>
        <w:rPr>
          <w:vertAlign w:val="baseline"/>
        </w:rPr>
        <w:t>of</w:t>
      </w:r>
      <w:r>
        <w:rPr>
          <w:spacing w:val="3"/>
          <w:vertAlign w:val="baseline"/>
        </w:rPr>
        <w:t> </w:t>
      </w:r>
      <w:r>
        <w:rPr>
          <w:vertAlign w:val="baseline"/>
        </w:rPr>
        <w:t>interest.</w:t>
      </w:r>
      <w:r>
        <w:rPr>
          <w:spacing w:val="3"/>
          <w:vertAlign w:val="baseline"/>
        </w:rPr>
        <w:t> </w:t>
      </w:r>
      <w:r>
        <w:rPr>
          <w:color w:val="005DA1"/>
          <w:u w:val="single" w:color="005DA1"/>
          <w:vertAlign w:val="superscript"/>
        </w:rPr>
        <w:t>499</w:t>
      </w:r>
      <w:r>
        <w:rPr>
          <w:vertAlign w:val="baseline"/>
        </w:rPr>
        <w:t>)</w:t>
      </w:r>
      <w:r>
        <w:rPr>
          <w:spacing w:val="4"/>
          <w:vertAlign w:val="baseline"/>
        </w:rPr>
        <w:t> </w:t>
      </w:r>
      <w:r>
        <w:rPr>
          <w:vertAlign w:val="baseline"/>
        </w:rPr>
        <w:t>If</w:t>
      </w:r>
      <w:r>
        <w:rPr>
          <w:spacing w:val="4"/>
          <w:vertAlign w:val="baseline"/>
        </w:rPr>
        <w:t> </w:t>
      </w:r>
      <w:r>
        <w:rPr>
          <w:vertAlign w:val="baseline"/>
        </w:rPr>
        <w:t>the</w:t>
      </w:r>
      <w:r>
        <w:rPr>
          <w:spacing w:val="4"/>
          <w:vertAlign w:val="baseline"/>
        </w:rPr>
        <w:t> </w:t>
      </w:r>
      <w:r>
        <w:rPr>
          <w:spacing w:val="-2"/>
          <w:vertAlign w:val="baseline"/>
        </w:rPr>
        <w:t>claimant</w:t>
      </w:r>
    </w:p>
    <w:p>
      <w:pPr>
        <w:pStyle w:val="BodyText"/>
        <w:spacing w:after="0" w:line="235" w:lineRule="auto"/>
        <w:jc w:val="both"/>
        <w:sectPr>
          <w:headerReference w:type="default" r:id="rId28"/>
          <w:pgSz w:w="11900" w:h="16840"/>
          <w:pgMar w:header="971" w:footer="0" w:top="1300" w:bottom="280" w:left="1275" w:right="1275"/>
          <w:pgNumType w:start="1"/>
        </w:sectPr>
      </w:pPr>
    </w:p>
    <w:p>
      <w:pPr>
        <w:pStyle w:val="BodyText"/>
        <w:spacing w:line="235" w:lineRule="auto" w:before="110"/>
        <w:ind w:left="164" w:right="167"/>
        <w:jc w:val="both"/>
      </w:pPr>
      <w:r>
        <w:rPr/>
        <w:t>did not know of the breach of contract at the time it occurred, damages will usually be assessed as at </w:t>
      </w:r>
      <w:bookmarkStart w:name="_bookmark934" w:id="936"/>
      <w:bookmarkEnd w:id="936"/>
      <w:r>
        <w:rPr/>
        <w:t>the</w:t>
      </w:r>
      <w:r>
        <w:rPr/>
        <w:t> time when he should reasonably have discovered the breach, and was able to act on </w:t>
      </w:r>
      <w:r>
        <w:rPr/>
        <w:t>his knowledge, </w:t>
      </w:r>
      <w:r>
        <w:rPr>
          <w:color w:val="005DA1"/>
          <w:u w:val="single" w:color="005DA1"/>
          <w:vertAlign w:val="superscript"/>
        </w:rPr>
        <w:t>500</w:t>
      </w:r>
      <w:r>
        <w:rPr>
          <w:color w:val="005DA1"/>
          <w:vertAlign w:val="baseline"/>
        </w:rPr>
        <w:t> </w:t>
      </w:r>
      <w:r>
        <w:rPr>
          <w:vertAlign w:val="baseline"/>
        </w:rPr>
        <w:t>e.g. by attempting to mitigate. </w:t>
      </w:r>
      <w:r>
        <w:rPr>
          <w:color w:val="005DA1"/>
          <w:u w:val="single" w:color="005DA1"/>
          <w:vertAlign w:val="superscript"/>
        </w:rPr>
        <w:t>501</w:t>
      </w:r>
      <w:r>
        <w:rPr>
          <w:color w:val="005DA1"/>
          <w:vertAlign w:val="baseline"/>
        </w:rPr>
        <w:t> </w:t>
      </w:r>
      <w:r>
        <w:rPr>
          <w:vertAlign w:val="baseline"/>
        </w:rPr>
        <w:t>When a property owner claimed an agent had acted </w:t>
      </w:r>
      <w:bookmarkStart w:name="_bookmark935" w:id="937"/>
      <w:bookmarkEnd w:id="937"/>
      <w:r>
        <w:rPr>
          <w:vertAlign w:val="baseline"/>
        </w:rPr>
        <w:t>without</w:t>
      </w:r>
      <w:r>
        <w:rPr>
          <w:vertAlign w:val="baseline"/>
        </w:rPr>
        <w:t> authority but the agent disputed this, it was held to be reasonable to assess the purchaser’s </w:t>
      </w:r>
      <w:bookmarkStart w:name="_bookmark936" w:id="938"/>
      <w:bookmarkEnd w:id="938"/>
      <w:r>
        <w:rPr>
          <w:vertAlign w:val="baseline"/>
        </w:rPr>
        <w:t>damages</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warranty</w:t>
      </w:r>
      <w:r>
        <w:rPr>
          <w:spacing w:val="-3"/>
          <w:vertAlign w:val="baseline"/>
        </w:rPr>
        <w:t> </w:t>
      </w:r>
      <w:r>
        <w:rPr>
          <w:vertAlign w:val="baseline"/>
        </w:rPr>
        <w:t>of</w:t>
      </w:r>
      <w:r>
        <w:rPr>
          <w:spacing w:val="-3"/>
          <w:vertAlign w:val="baseline"/>
        </w:rPr>
        <w:t> </w:t>
      </w:r>
      <w:r>
        <w:rPr>
          <w:vertAlign w:val="baseline"/>
        </w:rPr>
        <w:t>authority</w:t>
      </w:r>
      <w:r>
        <w:rPr>
          <w:spacing w:val="-3"/>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date</w:t>
      </w:r>
      <w:r>
        <w:rPr>
          <w:spacing w:val="-3"/>
          <w:vertAlign w:val="baseline"/>
        </w:rPr>
        <w:t> </w:t>
      </w:r>
      <w:r>
        <w:rPr>
          <w:vertAlign w:val="baseline"/>
        </w:rPr>
        <w:t>of</w:t>
      </w:r>
      <w:r>
        <w:rPr>
          <w:spacing w:val="-3"/>
          <w:vertAlign w:val="baseline"/>
        </w:rPr>
        <w:t> </w:t>
      </w:r>
      <w:r>
        <w:rPr>
          <w:vertAlign w:val="baseline"/>
        </w:rPr>
        <w:t>trial.</w:t>
      </w:r>
      <w:r>
        <w:rPr>
          <w:spacing w:val="-3"/>
          <w:vertAlign w:val="baseline"/>
        </w:rPr>
        <w:t> </w:t>
      </w:r>
      <w:r>
        <w:rPr>
          <w:color w:val="005DA1"/>
          <w:u w:val="single" w:color="005DA1"/>
          <w:vertAlign w:val="superscript"/>
        </w:rPr>
        <w:t>502</w:t>
      </w:r>
      <w:r>
        <w:rPr>
          <w:color w:val="005DA1"/>
          <w:spacing w:val="-3"/>
          <w:vertAlign w:val="baseline"/>
        </w:rPr>
        <w:t> </w:t>
      </w:r>
      <w:r>
        <w:rPr>
          <w:vertAlign w:val="baseline"/>
        </w:rPr>
        <w:t>The</w:t>
      </w:r>
      <w:r>
        <w:rPr>
          <w:spacing w:val="-3"/>
          <w:vertAlign w:val="baseline"/>
        </w:rPr>
        <w:t> </w:t>
      </w:r>
      <w:r>
        <w:rPr>
          <w:vertAlign w:val="baseline"/>
        </w:rPr>
        <w:t>assessment</w:t>
      </w:r>
      <w:r>
        <w:rPr>
          <w:spacing w:val="-3"/>
          <w:vertAlign w:val="baseline"/>
        </w:rPr>
        <w:t> </w:t>
      </w:r>
      <w:r>
        <w:rPr>
          <w:vertAlign w:val="baseline"/>
        </w:rPr>
        <w:t>of</w:t>
      </w:r>
      <w:r>
        <w:rPr>
          <w:spacing w:val="-3"/>
          <w:vertAlign w:val="baseline"/>
        </w:rPr>
        <w:t> </w:t>
      </w:r>
      <w:r>
        <w:rPr>
          <w:vertAlign w:val="baseline"/>
        </w:rPr>
        <w:t>damages</w:t>
      </w:r>
      <w:r>
        <w:rPr>
          <w:spacing w:val="-3"/>
          <w:vertAlign w:val="baseline"/>
        </w:rPr>
        <w:t> </w:t>
      </w:r>
      <w:r>
        <w:rPr>
          <w:vertAlign w:val="baseline"/>
        </w:rPr>
        <w:t>by</w:t>
      </w:r>
      <w:r>
        <w:rPr>
          <w:spacing w:val="-3"/>
          <w:vertAlign w:val="baseline"/>
        </w:rPr>
        <w:t> </w:t>
      </w:r>
      <w:r>
        <w:rPr>
          <w:vertAlign w:val="baseline"/>
        </w:rPr>
        <w:t>the cost of substitute performance </w:t>
      </w:r>
      <w:r>
        <w:rPr>
          <w:color w:val="005DA1"/>
          <w:u w:val="single" w:color="005DA1"/>
          <w:vertAlign w:val="superscript"/>
        </w:rPr>
        <w:t>503</w:t>
      </w:r>
      <w:r>
        <w:rPr>
          <w:color w:val="005DA1"/>
          <w:vertAlign w:val="baseline"/>
        </w:rPr>
        <w:t> </w:t>
      </w:r>
      <w:r>
        <w:rPr>
          <w:vertAlign w:val="baseline"/>
        </w:rPr>
        <w:t>or by the cost of a reasonable attempt to mitigate </w:t>
      </w:r>
      <w:r>
        <w:rPr>
          <w:color w:val="005DA1"/>
          <w:u w:val="single" w:color="005DA1"/>
          <w:vertAlign w:val="superscript"/>
        </w:rPr>
        <w:t>504</w:t>
      </w:r>
      <w:r>
        <w:rPr>
          <w:color w:val="005DA1"/>
          <w:vertAlign w:val="baseline"/>
        </w:rPr>
        <w:t> </w:t>
      </w:r>
      <w:r>
        <w:rPr>
          <w:vertAlign w:val="baseline"/>
        </w:rPr>
        <w:t>are other situations where the time for assessment may be postponed after the date of breach.</w:t>
      </w:r>
    </w:p>
    <w:p>
      <w:pPr>
        <w:pStyle w:val="BodyText"/>
      </w:pPr>
    </w:p>
    <w:p>
      <w:pPr>
        <w:pStyle w:val="BodyText"/>
        <w:spacing w:before="36"/>
      </w:pPr>
    </w:p>
    <w:p>
      <w:pPr>
        <w:spacing w:before="0"/>
        <w:ind w:left="164" w:right="0" w:firstLine="0"/>
        <w:jc w:val="left"/>
        <w:rPr>
          <w:rFonts w:ascii="Arial"/>
          <w:b/>
          <w:sz w:val="18"/>
        </w:rPr>
      </w:pPr>
      <w:r>
        <w:rPr>
          <w:rFonts w:ascii="Arial"/>
          <w:b/>
          <w:sz w:val="18"/>
        </w:rPr>
        <w:t>Inflation and interest </w:t>
      </w:r>
      <w:r>
        <w:rPr>
          <w:rFonts w:ascii="Arial"/>
          <w:b/>
          <w:spacing w:val="-2"/>
          <w:sz w:val="18"/>
        </w:rPr>
        <w:t>rates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26-</w:t>
      </w:r>
      <w:r>
        <w:rPr>
          <w:rFonts w:ascii="Arial"/>
          <w:b/>
          <w:spacing w:val="-5"/>
          <w:sz w:val="24"/>
        </w:rPr>
        <w:t>089</w:t>
      </w:r>
    </w:p>
    <w:p>
      <w:pPr>
        <w:pStyle w:val="BodyText"/>
        <w:spacing w:line="235" w:lineRule="auto" w:before="202"/>
        <w:ind w:left="164" w:right="167"/>
        <w:jc w:val="both"/>
      </w:pPr>
      <w:r>
        <w:rPr/>
        <w:t>If the date for the assessment of damages is postponed so that the claimant is protected </w:t>
      </w:r>
      <w:r>
        <w:rPr/>
        <w:t>against </w:t>
      </w:r>
      <w:bookmarkStart w:name="_bookmark937" w:id="939"/>
      <w:bookmarkEnd w:id="939"/>
      <w:r>
        <w:rPr/>
        <w:t>inflation</w:t>
      </w:r>
      <w:r>
        <w:rPr/>
        <w:t> until that date, the full market rate of interest (which largely reflects current expectations of inflation) should not be awarded for any earlier period. </w:t>
      </w:r>
      <w:r>
        <w:rPr>
          <w:color w:val="005DA1"/>
          <w:u w:val="single" w:color="005DA1"/>
          <w:vertAlign w:val="superscript"/>
        </w:rPr>
        <w:t>505</w:t>
      </w:r>
    </w:p>
    <w:p>
      <w:pPr>
        <w:pStyle w:val="BodyText"/>
      </w:pPr>
    </w:p>
    <w:p>
      <w:pPr>
        <w:pStyle w:val="BodyText"/>
        <w:spacing w:before="38"/>
      </w:pPr>
    </w:p>
    <w:p>
      <w:pPr>
        <w:spacing w:before="0"/>
        <w:ind w:left="164" w:right="0" w:firstLine="0"/>
        <w:jc w:val="left"/>
        <w:rPr>
          <w:rFonts w:ascii="Arial"/>
          <w:b/>
          <w:sz w:val="18"/>
        </w:rPr>
      </w:pPr>
      <w:r>
        <w:rPr>
          <w:rFonts w:ascii="Arial"/>
          <w:b/>
          <w:sz w:val="18"/>
        </w:rPr>
        <w:t>Sale of </w:t>
      </w:r>
      <w:r>
        <w:rPr>
          <w:rFonts w:ascii="Arial"/>
          <w:b/>
          <w:spacing w:val="-2"/>
          <w:sz w:val="18"/>
        </w:rPr>
        <w:t>goods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090</w:t>
      </w:r>
    </w:p>
    <w:p>
      <w:pPr>
        <w:pStyle w:val="BodyText"/>
        <w:spacing w:line="235" w:lineRule="auto" w:before="203"/>
        <w:ind w:left="164" w:right="167"/>
        <w:jc w:val="both"/>
      </w:pPr>
      <w:r>
        <w:rPr/>
        <w:t>In contracts for the sale of goods, the normal rule for the measure of damages assumes that the </w:t>
      </w:r>
      <w:bookmarkStart w:name="_bookmark938" w:id="940"/>
      <w:bookmarkEnd w:id="940"/>
      <w:r>
        <w:rPr/>
        <w:t>innocent</w:t>
      </w:r>
      <w:r>
        <w:rPr/>
        <w:t> party should act immediately upon the breach, and buy or sell in the market, if there was an available</w:t>
      </w:r>
      <w:r>
        <w:rPr>
          <w:spacing w:val="-3"/>
        </w:rPr>
        <w:t> </w:t>
      </w:r>
      <w:r>
        <w:rPr/>
        <w:t>market.</w:t>
      </w:r>
      <w:r>
        <w:rPr>
          <w:spacing w:val="-3"/>
        </w:rPr>
        <w:t> </w:t>
      </w:r>
      <w:r>
        <w:rPr>
          <w:color w:val="005DA1"/>
          <w:u w:val="single" w:color="005DA1"/>
          <w:vertAlign w:val="superscript"/>
        </w:rPr>
        <w:t>506</w:t>
      </w:r>
      <w:r>
        <w:rPr>
          <w:color w:val="005DA1"/>
          <w:spacing w:val="-3"/>
          <w:vertAlign w:val="baseline"/>
        </w:rPr>
        <w:t> </w:t>
      </w:r>
      <w:r>
        <w:rPr>
          <w:vertAlign w:val="baseline"/>
        </w:rPr>
        <w:t>The</w:t>
      </w:r>
      <w:r>
        <w:rPr>
          <w:spacing w:val="-3"/>
          <w:vertAlign w:val="baseline"/>
        </w:rPr>
        <w:t> </w:t>
      </w:r>
      <w:r>
        <w:rPr>
          <w:vertAlign w:val="baseline"/>
        </w:rPr>
        <w:t>relevance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impecuniosity</w:t>
      </w:r>
      <w:r>
        <w:rPr>
          <w:spacing w:val="-3"/>
          <w:vertAlign w:val="baseline"/>
        </w:rPr>
        <w:t> </w:t>
      </w:r>
      <w:r>
        <w:rPr>
          <w:vertAlign w:val="baseline"/>
        </w:rPr>
        <w:t>is</w:t>
      </w:r>
      <w:r>
        <w:rPr>
          <w:spacing w:val="-3"/>
          <w:vertAlign w:val="baseline"/>
        </w:rPr>
        <w:t> </w:t>
      </w:r>
      <w:r>
        <w:rPr>
          <w:vertAlign w:val="baseline"/>
        </w:rPr>
        <w:t>discussed</w:t>
      </w:r>
      <w:r>
        <w:rPr>
          <w:spacing w:val="-3"/>
          <w:vertAlign w:val="baseline"/>
        </w:rPr>
        <w:t> </w:t>
      </w:r>
      <w:r>
        <w:rPr>
          <w:vertAlign w:val="baseline"/>
        </w:rPr>
        <w:t>above.</w:t>
      </w:r>
      <w:r>
        <w:rPr>
          <w:spacing w:val="-4"/>
          <w:vertAlign w:val="baseline"/>
        </w:rPr>
        <w:t> </w:t>
      </w:r>
      <w:r>
        <w:rPr>
          <w:color w:val="005DA1"/>
          <w:u w:val="single" w:color="005DA1"/>
          <w:vertAlign w:val="superscript"/>
        </w:rPr>
        <w:t>507</w:t>
      </w:r>
      <w:r>
        <w:rPr>
          <w:color w:val="005DA1"/>
          <w:spacing w:val="-3"/>
          <w:vertAlign w:val="baseline"/>
        </w:rPr>
        <w:t> </w:t>
      </w:r>
      <w:r>
        <w:rPr>
          <w:vertAlign w:val="baseline"/>
        </w:rPr>
        <w:t>The</w:t>
      </w:r>
      <w:r>
        <w:rPr>
          <w:spacing w:val="-3"/>
          <w:vertAlign w:val="baseline"/>
        </w:rPr>
        <w:t> </w:t>
      </w:r>
      <w:r>
        <w:rPr>
          <w:vertAlign w:val="baseline"/>
        </w:rPr>
        <w:t>market </w:t>
      </w:r>
      <w:bookmarkStart w:name="_bookmark939" w:id="941"/>
      <w:bookmarkEnd w:id="941"/>
      <w:r>
        <w:rPr>
          <w:vertAlign w:val="baseline"/>
        </w:rPr>
        <w:t>price</w:t>
      </w:r>
      <w:r>
        <w:rPr>
          <w:vertAlign w:val="baseline"/>
        </w:rPr>
        <w:t> rule is fundamental to the sale of goods: if the seller fails to deliver, the buyer’s damages are prima facie the difference between the contract price and the market price at the date of breach. </w:t>
      </w:r>
      <w:r>
        <w:rPr>
          <w:color w:val="005DA1"/>
          <w:u w:val="single" w:color="005DA1"/>
          <w:vertAlign w:val="superscript"/>
        </w:rPr>
        <w:t>508</w:t>
      </w:r>
      <w:r>
        <w:rPr>
          <w:color w:val="005DA1"/>
          <w:vertAlign w:val="baseline"/>
        </w:rPr>
        <w:t> </w:t>
      </w:r>
      <w:r>
        <w:rPr>
          <w:vertAlign w:val="baseline"/>
        </w:rPr>
        <w:t>The rule assumes that the buyer should be able to finance the purchase of substitute goods at the time of the breach, even though he may not receive the damages until much later. The rule works reasonably well if he retains the balance of the price and there has not been a substantial rise in the market price. But the buyer’s lack of financial resources could prevent his purchase of a substitute if </w:t>
      </w:r>
      <w:bookmarkStart w:name="_bookmark940" w:id="942"/>
      <w:bookmarkEnd w:id="942"/>
      <w:r>
        <w:rPr>
          <w:vertAlign w:val="baseline"/>
        </w:rPr>
        <w:t>he</w:t>
      </w:r>
      <w:r>
        <w:rPr>
          <w:vertAlign w:val="baseline"/>
        </w:rPr>
        <w:t> had paid the price (or a substantial deposit) in advance, or if the rise in price has been substantial. </w:t>
      </w:r>
      <w:bookmarkStart w:name="_bookmark941" w:id="943"/>
      <w:bookmarkEnd w:id="943"/>
      <w:r>
        <w:rPr>
          <w:vertAlign w:val="baseline"/>
        </w:rPr>
        <w:t>But</w:t>
      </w:r>
      <w:r>
        <w:rPr>
          <w:vertAlign w:val="baseline"/>
        </w:rPr>
        <w:t> to date none of these factors has prevented the application of the prima facie rule. </w:t>
      </w:r>
      <w:r>
        <w:rPr>
          <w:color w:val="005DA1"/>
          <w:u w:val="single" w:color="005DA1"/>
          <w:vertAlign w:val="superscript"/>
        </w:rPr>
        <w:t>509</w:t>
      </w:r>
      <w:r>
        <w:rPr>
          <w:color w:val="005DA1"/>
          <w:vertAlign w:val="baseline"/>
        </w:rPr>
        <w:t> </w:t>
      </w:r>
      <w:r>
        <w:rPr>
          <w:vertAlign w:val="baseline"/>
        </w:rPr>
        <w:t>Actual knowledge of the buyer’s lack of resources has been treated as relevant to the purchase of a house </w:t>
      </w:r>
      <w:r>
        <w:rPr>
          <w:color w:val="005DA1"/>
          <w:u w:val="single" w:color="005DA1"/>
          <w:vertAlign w:val="superscript"/>
        </w:rPr>
        <w:t>510</w:t>
      </w:r>
      <w:bookmarkStart w:name="_bookmark942" w:id="944"/>
      <w:bookmarkEnd w:id="944"/>
      <w:r>
        <w:rPr>
          <w:color w:val="005DA1"/>
          <w:spacing w:val="-1"/>
          <w:vertAlign w:val="baseline"/>
        </w:rPr>
      </w:r>
      <w:r>
        <w:rPr>
          <w:vertAlign w:val="baseline"/>
        </w:rPr>
        <w:t>; and the seller’s decision to re-sell quickly because he was short of liquid resources was held to be reasonable mitigation in </w:t>
      </w:r>
      <w:r>
        <w:rPr>
          <w:rFonts w:ascii="Arial" w:hAnsi="Arial"/>
          <w:i/>
          <w:vertAlign w:val="baseline"/>
        </w:rPr>
        <w:t>Robbins of Putney Ltd v Meek</w:t>
      </w:r>
      <w:r>
        <w:rPr>
          <w:vertAlign w:val="baseline"/>
        </w:rPr>
        <w:t>. </w:t>
      </w:r>
      <w:r>
        <w:rPr>
          <w:color w:val="005DA1"/>
          <w:u w:val="single" w:color="005DA1"/>
          <w:vertAlign w:val="superscript"/>
        </w:rPr>
        <w:t>511</w:t>
      </w:r>
    </w:p>
    <w:p>
      <w:pPr>
        <w:pStyle w:val="BodyText"/>
        <w:spacing w:before="76"/>
      </w:pPr>
    </w:p>
    <w:p>
      <w:pPr>
        <w:spacing w:before="0"/>
        <w:ind w:left="164" w:right="0" w:firstLine="0"/>
        <w:jc w:val="left"/>
        <w:rPr>
          <w:rFonts w:ascii="Arial"/>
          <w:b/>
          <w:sz w:val="24"/>
        </w:rPr>
      </w:pPr>
      <w:r>
        <w:rPr>
          <w:rFonts w:ascii="Arial"/>
          <w:b/>
          <w:sz w:val="24"/>
        </w:rPr>
        <w:t>26-</w:t>
      </w:r>
      <w:r>
        <w:rPr>
          <w:rFonts w:ascii="Arial"/>
          <w:b/>
          <w:spacing w:val="-5"/>
          <w:sz w:val="24"/>
        </w:rPr>
        <w:t>091</w:t>
      </w:r>
    </w:p>
    <w:p>
      <w:pPr>
        <w:pStyle w:val="BodyText"/>
        <w:spacing w:line="235" w:lineRule="auto" w:before="202"/>
        <w:ind w:left="164" w:right="167"/>
        <w:jc w:val="both"/>
      </w:pPr>
      <w:bookmarkStart w:name="_bookmark943" w:id="945"/>
      <w:bookmarkEnd w:id="945"/>
      <w:r>
        <w:rPr/>
      </w:r>
      <w:r>
        <w:rPr/>
        <w:t>Another instance of mitigation arises where the defendant in breach of contract refuses to accept goods which he has agreed to buy, </w:t>
      </w:r>
      <w:r>
        <w:rPr>
          <w:color w:val="005DA1"/>
          <w:u w:val="single" w:color="005DA1"/>
          <w:vertAlign w:val="superscript"/>
        </w:rPr>
        <w:t>512</w:t>
      </w:r>
      <w:r>
        <w:rPr>
          <w:color w:val="005DA1"/>
          <w:vertAlign w:val="baseline"/>
        </w:rPr>
        <w:t> </w:t>
      </w:r>
      <w:r>
        <w:rPr>
          <w:vertAlign w:val="baseline"/>
        </w:rPr>
        <w:t>but the claimant is able to sell the goods at the same price to a third person: if the state of the market is such that demand exceeds supply, so that the claimant could always find a purchaser for every article he could get from the manufacturer, he is entitled only </w:t>
      </w:r>
      <w:r>
        <w:rPr>
          <w:vertAlign w:val="baseline"/>
        </w:rPr>
        <w:t>to nominal damages from the defendant (and not his loss of profit on the repudiated sale) since he sold </w:t>
      </w:r>
      <w:bookmarkStart w:name="_bookmark944" w:id="946"/>
      <w:bookmarkEnd w:id="946"/>
      <w:r>
        <w:rPr>
          <w:vertAlign w:val="baseline"/>
        </w:rPr>
        <w:t>the</w:t>
      </w:r>
      <w:r>
        <w:rPr>
          <w:vertAlign w:val="baseline"/>
        </w:rPr>
        <w:t> same number of articles and made the same number of fixed profits as he would have done if the </w:t>
      </w:r>
      <w:bookmarkStart w:name="_bookmark945" w:id="947"/>
      <w:bookmarkEnd w:id="947"/>
      <w:r>
        <w:rPr>
          <w:vertAlign w:val="baseline"/>
        </w:rPr>
        <w:t>defendant</w:t>
      </w:r>
      <w:r>
        <w:rPr>
          <w:spacing w:val="-2"/>
          <w:vertAlign w:val="baseline"/>
        </w:rPr>
        <w:t> </w:t>
      </w:r>
      <w:r>
        <w:rPr>
          <w:vertAlign w:val="baseline"/>
        </w:rPr>
        <w:t>had</w:t>
      </w:r>
      <w:r>
        <w:rPr>
          <w:spacing w:val="-2"/>
          <w:vertAlign w:val="baseline"/>
        </w:rPr>
        <w:t> </w:t>
      </w:r>
      <w:r>
        <w:rPr>
          <w:vertAlign w:val="baseline"/>
        </w:rPr>
        <w:t>duly</w:t>
      </w:r>
      <w:r>
        <w:rPr>
          <w:spacing w:val="-2"/>
          <w:vertAlign w:val="baseline"/>
        </w:rPr>
        <w:t> </w:t>
      </w:r>
      <w:r>
        <w:rPr>
          <w:vertAlign w:val="baseline"/>
        </w:rPr>
        <w:t>performed</w:t>
      </w:r>
      <w:r>
        <w:rPr>
          <w:spacing w:val="-2"/>
          <w:vertAlign w:val="baseline"/>
        </w:rPr>
        <w:t> </w:t>
      </w:r>
      <w:r>
        <w:rPr>
          <w:vertAlign w:val="baseline"/>
        </w:rPr>
        <w:t>his</w:t>
      </w:r>
      <w:r>
        <w:rPr>
          <w:spacing w:val="-2"/>
          <w:vertAlign w:val="baseline"/>
        </w:rPr>
        <w:t> </w:t>
      </w:r>
      <w:r>
        <w:rPr>
          <w:vertAlign w:val="baseline"/>
        </w:rPr>
        <w:t>contract.</w:t>
      </w:r>
      <w:r>
        <w:rPr>
          <w:spacing w:val="-2"/>
          <w:vertAlign w:val="baseline"/>
        </w:rPr>
        <w:t> </w:t>
      </w:r>
      <w:r>
        <w:rPr>
          <w:color w:val="005DA1"/>
          <w:u w:val="single" w:color="005DA1"/>
          <w:vertAlign w:val="superscript"/>
        </w:rPr>
        <w:t>513</w:t>
      </w:r>
      <w:r>
        <w:rPr>
          <w:color w:val="005DA1"/>
          <w:spacing w:val="-2"/>
          <w:vertAlign w:val="baseline"/>
        </w:rPr>
        <w:t> </w:t>
      </w:r>
      <w:r>
        <w:rPr>
          <w:vertAlign w:val="baseline"/>
        </w:rPr>
        <w:t>If</w:t>
      </w:r>
      <w:r>
        <w:rPr>
          <w:spacing w:val="-2"/>
          <w:vertAlign w:val="baseline"/>
        </w:rPr>
        <w:t> </w:t>
      </w:r>
      <w:r>
        <w:rPr>
          <w:vertAlign w:val="baseline"/>
        </w:rPr>
        <w:t>an</w:t>
      </w:r>
      <w:r>
        <w:rPr>
          <w:spacing w:val="-2"/>
          <w:vertAlign w:val="baseline"/>
        </w:rPr>
        <w:t> </w:t>
      </w:r>
      <w:r>
        <w:rPr>
          <w:vertAlign w:val="baseline"/>
        </w:rPr>
        <w:t>exact</w:t>
      </w:r>
      <w:r>
        <w:rPr>
          <w:spacing w:val="-2"/>
          <w:vertAlign w:val="baseline"/>
        </w:rPr>
        <w:t> </w:t>
      </w:r>
      <w:r>
        <w:rPr>
          <w:vertAlign w:val="baseline"/>
        </w:rPr>
        <w:t>substitute</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available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in</w:t>
      </w:r>
      <w:r>
        <w:rPr>
          <w:spacing w:val="-2"/>
          <w:vertAlign w:val="baseline"/>
        </w:rPr>
        <w:t> </w:t>
      </w:r>
      <w:r>
        <w:rPr>
          <w:vertAlign w:val="baseline"/>
        </w:rPr>
        <w:t>the market, it is not clear whether he should be required to accept a “near equivalent”, </w:t>
      </w:r>
      <w:r>
        <w:rPr>
          <w:color w:val="005DA1"/>
          <w:u w:val="single" w:color="005DA1"/>
          <w:vertAlign w:val="superscript"/>
        </w:rPr>
        <w:t>514</w:t>
      </w:r>
      <w:r>
        <w:rPr>
          <w:color w:val="005DA1"/>
          <w:vertAlign w:val="baseline"/>
        </w:rPr>
        <w:t> </w:t>
      </w:r>
      <w:r>
        <w:rPr>
          <w:vertAlign w:val="baseline"/>
        </w:rPr>
        <w:t>but if he does </w:t>
      </w:r>
      <w:bookmarkStart w:name="_bookmark946" w:id="948"/>
      <w:bookmarkEnd w:id="948"/>
      <w:r>
        <w:rPr>
          <w:vertAlign w:val="baseline"/>
        </w:rPr>
        <w:t>reasonably</w:t>
      </w:r>
      <w:r>
        <w:rPr>
          <w:spacing w:val="-1"/>
          <w:vertAlign w:val="baseline"/>
        </w:rPr>
        <w:t> </w:t>
      </w:r>
      <w:r>
        <w:rPr>
          <w:vertAlign w:val="baseline"/>
        </w:rPr>
        <w:t>choose</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so,</w:t>
      </w:r>
      <w:r>
        <w:rPr>
          <w:spacing w:val="-1"/>
          <w:vertAlign w:val="baseline"/>
        </w:rPr>
        <w:t> </w:t>
      </w:r>
      <w:r>
        <w:rPr>
          <w:vertAlign w:val="baseline"/>
        </w:rPr>
        <w:t>he</w:t>
      </w:r>
      <w:r>
        <w:rPr>
          <w:spacing w:val="-1"/>
          <w:vertAlign w:val="baseline"/>
        </w:rPr>
        <w:t> </w:t>
      </w:r>
      <w:r>
        <w:rPr>
          <w:vertAlign w:val="baseline"/>
        </w:rPr>
        <w:t>can</w:t>
      </w:r>
      <w:r>
        <w:rPr>
          <w:spacing w:val="-1"/>
          <w:vertAlign w:val="baseline"/>
        </w:rPr>
        <w:t> </w:t>
      </w:r>
      <w:r>
        <w:rPr>
          <w:vertAlign w:val="baseline"/>
        </w:rPr>
        <w:t>recover</w:t>
      </w:r>
      <w:r>
        <w:rPr>
          <w:spacing w:val="-1"/>
          <w:vertAlign w:val="baseline"/>
        </w:rPr>
        <w:t> </w:t>
      </w:r>
      <w:r>
        <w:rPr>
          <w:vertAlign w:val="baseline"/>
        </w:rPr>
        <w:t>damages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cost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nearest</w:t>
      </w:r>
      <w:r>
        <w:rPr>
          <w:spacing w:val="-1"/>
          <w:vertAlign w:val="baseline"/>
        </w:rPr>
        <w:t> </w:t>
      </w:r>
      <w:r>
        <w:rPr>
          <w:vertAlign w:val="baseline"/>
        </w:rPr>
        <w:t>available equivalent in quality and price. </w:t>
      </w:r>
      <w:r>
        <w:rPr>
          <w:color w:val="005DA1"/>
          <w:u w:val="single" w:color="005DA1"/>
          <w:vertAlign w:val="superscript"/>
        </w:rPr>
        <w:t>515</w:t>
      </w:r>
    </w:p>
    <w:p>
      <w:pPr>
        <w:pStyle w:val="BodyText"/>
      </w:pPr>
    </w:p>
    <w:p>
      <w:pPr>
        <w:pStyle w:val="BodyText"/>
        <w:spacing w:before="35"/>
      </w:pPr>
    </w:p>
    <w:p>
      <w:pPr>
        <w:spacing w:before="0"/>
        <w:ind w:left="165" w:right="0" w:firstLine="0"/>
        <w:jc w:val="left"/>
        <w:rPr>
          <w:rFonts w:ascii="Arial"/>
          <w:b/>
          <w:sz w:val="18"/>
        </w:rPr>
      </w:pPr>
      <w:r>
        <w:rPr>
          <w:rFonts w:ascii="Arial"/>
          <w:b/>
          <w:sz w:val="18"/>
        </w:rPr>
        <w:t>Mitigation and anticipatory breach in sale of </w:t>
      </w:r>
      <w:r>
        <w:rPr>
          <w:rFonts w:ascii="Arial"/>
          <w:b/>
          <w:spacing w:val="-2"/>
          <w:sz w:val="18"/>
        </w:rPr>
        <w:t>goods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092</w:t>
      </w:r>
    </w:p>
    <w:p>
      <w:pPr>
        <w:pStyle w:val="BodyText"/>
        <w:spacing w:line="235" w:lineRule="auto" w:before="202"/>
        <w:ind w:left="164" w:right="167"/>
        <w:jc w:val="both"/>
      </w:pPr>
      <w:bookmarkStart w:name="_bookmark947" w:id="949"/>
      <w:bookmarkEnd w:id="949"/>
      <w:r>
        <w:rPr/>
      </w:r>
      <w:r>
        <w:rPr/>
        <w:t>Where the claimant does not accept the defendant’s anticipatory breach of contract, </w:t>
      </w:r>
      <w:r>
        <w:rPr>
          <w:color w:val="005DA1"/>
          <w:u w:val="single" w:color="005DA1"/>
          <w:vertAlign w:val="superscript"/>
        </w:rPr>
        <w:t>516</w:t>
      </w:r>
      <w:r>
        <w:rPr>
          <w:color w:val="005DA1"/>
          <w:vertAlign w:val="baseline"/>
        </w:rPr>
        <w:t> </w:t>
      </w:r>
      <w:r>
        <w:rPr>
          <w:vertAlign w:val="baseline"/>
        </w:rPr>
        <w:t>there is </w:t>
      </w:r>
      <w:bookmarkStart w:name="_bookmark948" w:id="950"/>
      <w:bookmarkEnd w:id="950"/>
      <w:r>
        <w:rPr>
          <w:vertAlign w:val="baseline"/>
        </w:rPr>
        <w:t>generally</w:t>
      </w:r>
      <w:r>
        <w:rPr>
          <w:vertAlign w:val="baseline"/>
        </w:rPr>
        <w:t> no duty on the claimant to mitigate his loss before the actual breach on the due date </w:t>
      </w:r>
      <w:r>
        <w:rPr>
          <w:vertAlign w:val="baseline"/>
        </w:rPr>
        <w:t>for </w:t>
      </w:r>
      <w:bookmarkStart w:name="_bookmark949" w:id="951"/>
      <w:bookmarkEnd w:id="951"/>
      <w:r>
        <w:rPr>
          <w:vertAlign w:val="baseline"/>
        </w:rPr>
        <w:t>performance.</w:t>
      </w:r>
      <w:r>
        <w:rPr>
          <w:vertAlign w:val="baseline"/>
        </w:rPr>
        <w:t> </w:t>
      </w:r>
      <w:r>
        <w:rPr>
          <w:color w:val="005DA1"/>
          <w:u w:val="single" w:color="005DA1"/>
          <w:vertAlign w:val="superscript"/>
        </w:rPr>
        <w:t>517</w:t>
      </w:r>
      <w:r>
        <w:rPr>
          <w:color w:val="005DA1"/>
          <w:vertAlign w:val="baseline"/>
        </w:rPr>
        <w:t> </w:t>
      </w:r>
      <w:r>
        <w:rPr>
          <w:vertAlign w:val="baseline"/>
        </w:rPr>
        <w:t>However, where the buyer repudiates the contract before delivery, the position may be different. If the property in the goods has not yet passed to the buyer, </w:t>
      </w:r>
      <w:r>
        <w:rPr>
          <w:color w:val="005DA1"/>
          <w:u w:val="single" w:color="005DA1"/>
          <w:vertAlign w:val="superscript"/>
        </w:rPr>
        <w:t>518</w:t>
      </w:r>
      <w:r>
        <w:rPr>
          <w:color w:val="005DA1"/>
          <w:vertAlign w:val="baseline"/>
        </w:rPr>
        <w:t> </w:t>
      </w:r>
      <w:r>
        <w:rPr>
          <w:vertAlign w:val="baseline"/>
        </w:rPr>
        <w:t>for example because the goods</w:t>
      </w:r>
      <w:r>
        <w:rPr>
          <w:spacing w:val="20"/>
          <w:vertAlign w:val="baseline"/>
        </w:rPr>
        <w:t> </w:t>
      </w:r>
      <w:r>
        <w:rPr>
          <w:vertAlign w:val="baseline"/>
        </w:rPr>
        <w:t>have</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obtained</w:t>
      </w:r>
      <w:r>
        <w:rPr>
          <w:spacing w:val="22"/>
          <w:vertAlign w:val="baseline"/>
        </w:rPr>
        <w:t> </w:t>
      </w:r>
      <w:r>
        <w:rPr>
          <w:vertAlign w:val="baseline"/>
        </w:rPr>
        <w:t>or</w:t>
      </w:r>
      <w:r>
        <w:rPr>
          <w:spacing w:val="22"/>
          <w:vertAlign w:val="baseline"/>
        </w:rPr>
        <w:t> </w:t>
      </w:r>
      <w:r>
        <w:rPr>
          <w:vertAlign w:val="baseline"/>
        </w:rPr>
        <w:t>manufactured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seller,</w:t>
      </w:r>
      <w:r>
        <w:rPr>
          <w:spacing w:val="22"/>
          <w:vertAlign w:val="baseline"/>
        </w:rPr>
        <w:t> </w:t>
      </w:r>
      <w:r>
        <w:rPr>
          <w:vertAlign w:val="baseline"/>
        </w:rPr>
        <w:t>then</w:t>
      </w:r>
      <w:r>
        <w:rPr>
          <w:spacing w:val="22"/>
          <w:vertAlign w:val="baseline"/>
        </w:rPr>
        <w:t> </w:t>
      </w:r>
      <w:r>
        <w:rPr>
          <w:vertAlign w:val="baseline"/>
        </w:rPr>
        <w:t>even</w:t>
      </w:r>
      <w:r>
        <w:rPr>
          <w:spacing w:val="22"/>
          <w:vertAlign w:val="baseline"/>
        </w:rPr>
        <w:t> </w:t>
      </w:r>
      <w:r>
        <w:rPr>
          <w:vertAlign w:val="baseline"/>
        </w:rPr>
        <w:t>if</w:t>
      </w:r>
      <w:r>
        <w:rPr>
          <w:spacing w:val="22"/>
          <w:vertAlign w:val="baseline"/>
        </w:rPr>
        <w:t> </w:t>
      </w:r>
      <w:r>
        <w:rPr>
          <w:vertAlign w:val="baseline"/>
        </w:rPr>
        <w:t>the</w:t>
      </w:r>
      <w:r>
        <w:rPr>
          <w:spacing w:val="22"/>
          <w:vertAlign w:val="baseline"/>
        </w:rPr>
        <w:t> </w:t>
      </w:r>
      <w:r>
        <w:rPr>
          <w:vertAlign w:val="baseline"/>
        </w:rPr>
        <w:t>seller</w:t>
      </w:r>
      <w:r>
        <w:rPr>
          <w:spacing w:val="22"/>
          <w:vertAlign w:val="baseline"/>
        </w:rPr>
        <w:t> </w:t>
      </w:r>
      <w:r>
        <w:rPr>
          <w:vertAlign w:val="baseline"/>
        </w:rPr>
        <w:t>is</w:t>
      </w:r>
      <w:r>
        <w:rPr>
          <w:spacing w:val="22"/>
          <w:vertAlign w:val="baseline"/>
        </w:rPr>
        <w:t> </w:t>
      </w:r>
      <w:r>
        <w:rPr>
          <w:vertAlign w:val="baseline"/>
        </w:rPr>
        <w:t>able</w:t>
      </w:r>
      <w:r>
        <w:rPr>
          <w:spacing w:val="22"/>
          <w:vertAlign w:val="baseline"/>
        </w:rPr>
        <w:t> </w:t>
      </w:r>
      <w:r>
        <w:rPr>
          <w:vertAlign w:val="baseline"/>
        </w:rPr>
        <w:t>to</w:t>
      </w:r>
      <w:r>
        <w:rPr>
          <w:spacing w:val="22"/>
          <w:vertAlign w:val="baseline"/>
        </w:rPr>
        <w:t> </w:t>
      </w:r>
      <w:r>
        <w:rPr>
          <w:spacing w:val="-2"/>
          <w:vertAlign w:val="baseline"/>
        </w:rPr>
        <w:t>perform</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950" w:id="952"/>
      <w:bookmarkEnd w:id="952"/>
      <w:r>
        <w:rPr/>
      </w:r>
      <w:r>
        <w:rPr/>
        <w:t>without the buyer’s co-operation, his right to do so may be qualified. In </w:t>
      </w:r>
      <w:r>
        <w:rPr>
          <w:rFonts w:ascii="Arial" w:hAnsi="Arial"/>
          <w:i/>
        </w:rPr>
        <w:t>White and Carter </w:t>
      </w:r>
      <w:r>
        <w:rPr>
          <w:rFonts w:ascii="Arial" w:hAnsi="Arial"/>
          <w:i/>
        </w:rPr>
        <w:t>(Councils) Ltd v McGregor </w:t>
      </w:r>
      <w:r>
        <w:rPr>
          <w:color w:val="005DA1"/>
          <w:u w:val="single" w:color="005DA1"/>
          <w:vertAlign w:val="superscript"/>
        </w:rPr>
        <w:t>519</w:t>
      </w:r>
      <w:r>
        <w:rPr>
          <w:color w:val="005DA1"/>
          <w:vertAlign w:val="baseline"/>
        </w:rPr>
        <w:t> </w:t>
      </w:r>
      <w:r>
        <w:rPr>
          <w:vertAlign w:val="baseline"/>
        </w:rPr>
        <w:t>the majority held that the innocent party was entitled to ignore an anticipatory breach and, if he could do so, perform his side of the bargain and then claim the price. This obviously applies only if he is able to perform without the co-operation of the party who has repudiated. Frequently the seller will not be able to deliver without the buyer’s co-operation. But even if this would be possible, Lord Reid said that the innocent party might not be entitled to carry on performing if he </w:t>
      </w:r>
      <w:bookmarkStart w:name="_bookmark951" w:id="953"/>
      <w:bookmarkEnd w:id="953"/>
      <w:r>
        <w:rPr>
          <w:vertAlign w:val="baseline"/>
        </w:rPr>
        <w:t>had</w:t>
      </w:r>
      <w:r>
        <w:rPr>
          <w:spacing w:val="-1"/>
          <w:vertAlign w:val="baseline"/>
        </w:rPr>
        <w:t> </w:t>
      </w:r>
      <w:r>
        <w:rPr>
          <w:vertAlign w:val="baseline"/>
        </w:rPr>
        <w:t>no</w:t>
      </w:r>
      <w:r>
        <w:rPr>
          <w:spacing w:val="-1"/>
          <w:vertAlign w:val="baseline"/>
        </w:rPr>
        <w:t> </w:t>
      </w:r>
      <w:r>
        <w:rPr>
          <w:vertAlign w:val="baseline"/>
        </w:rPr>
        <w:t>legitimate</w:t>
      </w:r>
      <w:r>
        <w:rPr>
          <w:spacing w:val="-1"/>
          <w:vertAlign w:val="baseline"/>
        </w:rPr>
        <w:t> </w:t>
      </w:r>
      <w:r>
        <w:rPr>
          <w:vertAlign w:val="baseline"/>
        </w:rPr>
        <w:t>interest</w:t>
      </w:r>
      <w:r>
        <w:rPr>
          <w:spacing w:val="-1"/>
          <w:vertAlign w:val="baseline"/>
        </w:rPr>
        <w:t> </w:t>
      </w:r>
      <w:r>
        <w:rPr>
          <w:vertAlign w:val="baseline"/>
        </w:rPr>
        <w:t>in</w:t>
      </w:r>
      <w:r>
        <w:rPr>
          <w:spacing w:val="-1"/>
          <w:vertAlign w:val="baseline"/>
        </w:rPr>
        <w:t> </w:t>
      </w:r>
      <w:r>
        <w:rPr>
          <w:vertAlign w:val="baseline"/>
        </w:rPr>
        <w:t>doing</w:t>
      </w:r>
      <w:r>
        <w:rPr>
          <w:spacing w:val="-1"/>
          <w:vertAlign w:val="baseline"/>
        </w:rPr>
        <w:t> </w:t>
      </w:r>
      <w:r>
        <w:rPr>
          <w:vertAlign w:val="baseline"/>
        </w:rPr>
        <w:t>so,</w:t>
      </w:r>
      <w:r>
        <w:rPr>
          <w:spacing w:val="-1"/>
          <w:vertAlign w:val="baseline"/>
        </w:rPr>
        <w:t> </w:t>
      </w:r>
      <w:r>
        <w:rPr>
          <w:vertAlign w:val="baseline"/>
        </w:rPr>
        <w:t>and</w:t>
      </w:r>
      <w:r>
        <w:rPr>
          <w:spacing w:val="-1"/>
          <w:vertAlign w:val="baseline"/>
        </w:rPr>
        <w:t> </w:t>
      </w:r>
      <w:r>
        <w:rPr>
          <w:vertAlign w:val="baseline"/>
        </w:rPr>
        <w:t>subsequent</w:t>
      </w:r>
      <w:r>
        <w:rPr>
          <w:spacing w:val="-1"/>
          <w:vertAlign w:val="baseline"/>
        </w:rPr>
        <w:t> </w:t>
      </w:r>
      <w:r>
        <w:rPr>
          <w:vertAlign w:val="baseline"/>
        </w:rPr>
        <w:t>cases</w:t>
      </w:r>
      <w:r>
        <w:rPr>
          <w:spacing w:val="-1"/>
          <w:vertAlign w:val="baseline"/>
        </w:rPr>
        <w:t> </w:t>
      </w:r>
      <w:r>
        <w:rPr>
          <w:vertAlign w:val="baseline"/>
        </w:rPr>
        <w:t>have</w:t>
      </w:r>
      <w:r>
        <w:rPr>
          <w:spacing w:val="-1"/>
          <w:vertAlign w:val="baseline"/>
        </w:rPr>
        <w:t> </w:t>
      </w:r>
      <w:r>
        <w:rPr>
          <w:vertAlign w:val="baseline"/>
        </w:rPr>
        <w:t>treated</w:t>
      </w:r>
      <w:r>
        <w:rPr>
          <w:spacing w:val="-1"/>
          <w:vertAlign w:val="baseline"/>
        </w:rPr>
        <w:t> </w:t>
      </w:r>
      <w:r>
        <w:rPr>
          <w:vertAlign w:val="baseline"/>
        </w:rPr>
        <w:t>this</w:t>
      </w:r>
      <w:r>
        <w:rPr>
          <w:spacing w:val="-1"/>
          <w:vertAlign w:val="baseline"/>
        </w:rPr>
        <w:t> </w:t>
      </w:r>
      <w:r>
        <w:rPr>
          <w:vertAlign w:val="baseline"/>
        </w:rPr>
        <w:t>dictum</w:t>
      </w:r>
      <w:r>
        <w:rPr>
          <w:spacing w:val="-1"/>
          <w:vertAlign w:val="baseline"/>
        </w:rPr>
        <w:t> </w:t>
      </w:r>
      <w:r>
        <w:rPr>
          <w:vertAlign w:val="baseline"/>
        </w:rPr>
        <w:t>as</w:t>
      </w:r>
      <w:r>
        <w:rPr>
          <w:spacing w:val="-1"/>
          <w:vertAlign w:val="baseline"/>
        </w:rPr>
        <w:t> </w:t>
      </w:r>
      <w:r>
        <w:rPr>
          <w:vertAlign w:val="baseline"/>
        </w:rPr>
        <w:t>representing the law. </w:t>
      </w:r>
      <w:r>
        <w:rPr>
          <w:color w:val="005DA1"/>
          <w:u w:val="single" w:color="005DA1"/>
          <w:vertAlign w:val="superscript"/>
        </w:rPr>
        <w:t>520</w:t>
      </w:r>
    </w:p>
    <w:p>
      <w:pPr>
        <w:pStyle w:val="BodyText"/>
      </w:pPr>
    </w:p>
    <w:p>
      <w:pPr>
        <w:pStyle w:val="BodyText"/>
        <w:spacing w:before="37"/>
      </w:pPr>
      <w:r>
        <w:rPr/>
        <mc:AlternateContent>
          <mc:Choice Requires="wps">
            <w:drawing>
              <wp:anchor distT="0" distB="0" distL="0" distR="0" allowOverlap="1" layoutInCell="1" locked="0" behindDoc="1" simplePos="0" relativeHeight="487640064">
                <wp:simplePos x="0" y="0"/>
                <wp:positionH relativeFrom="page">
                  <wp:posOffset>914400</wp:posOffset>
                </wp:positionH>
                <wp:positionV relativeFrom="paragraph">
                  <wp:posOffset>185004</wp:posOffset>
                </wp:positionV>
                <wp:extent cx="5724525"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676416;mso-wrap-distance-left:0;mso-wrap-distance-right:0" id="docshape51" coordorigin="1440,291" coordsize="9015,0" path="m1440,291l10454,291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160286</wp:posOffset>
            </wp:positionV>
            <wp:extent cx="107988" cy="107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2" w:id="954"/>
      <w:bookmarkEnd w:id="954"/>
      <w:r>
        <w:rPr/>
      </w:r>
      <w:hyperlink w:history="true" w:anchor="_bookmark916">
        <w:r>
          <w:rPr>
            <w:color w:val="005DA1"/>
            <w:spacing w:val="-4"/>
            <w:sz w:val="14"/>
            <w:u w:val="single" w:color="005DA1"/>
          </w:rPr>
          <w:t>481</w:t>
        </w:r>
      </w:hyperlink>
      <w:r>
        <w:rPr>
          <w:spacing w:val="-4"/>
          <w:sz w:val="14"/>
        </w:rPr>
        <w:t>.</w:t>
      </w:r>
    </w:p>
    <w:p>
      <w:pPr>
        <w:spacing w:line="235" w:lineRule="auto" w:before="212"/>
        <w:ind w:left="165" w:right="168" w:firstLine="170"/>
        <w:jc w:val="both"/>
        <w:rPr>
          <w:sz w:val="20"/>
        </w:rPr>
      </w:pPr>
      <w:r>
        <w:rPr/>
        <w:br w:type="column"/>
      </w:r>
      <w:r>
        <w:rPr>
          <w:rFonts w:ascii="Arial"/>
          <w:i/>
          <w:sz w:val="20"/>
        </w:rPr>
        <w:t>Shindler v Northern Raincoat Co Ltd [1960] 1 W.L.R. 1038, 1048</w:t>
      </w:r>
      <w:r>
        <w:rPr>
          <w:sz w:val="20"/>
        </w:rPr>
        <w:t>; </w:t>
      </w:r>
      <w:r>
        <w:rPr>
          <w:rFonts w:ascii="Arial"/>
          <w:i/>
          <w:sz w:val="20"/>
        </w:rPr>
        <w:t>Scottish Power UK Plc v</w:t>
      </w:r>
      <w:r>
        <w:rPr>
          <w:rFonts w:ascii="Arial"/>
          <w:i/>
          <w:spacing w:val="80"/>
          <w:sz w:val="20"/>
        </w:rPr>
        <w:t> </w:t>
      </w:r>
      <w:r>
        <w:rPr>
          <w:rFonts w:ascii="Arial"/>
          <w:i/>
          <w:sz w:val="20"/>
        </w:rPr>
        <w:t>BP Exploration Operating Co Ltd [2016] EWCA Civ 1043 </w:t>
      </w:r>
      <w:r>
        <w:rPr>
          <w:sz w:val="20"/>
        </w:rPr>
        <w:t>at [41]. On mitigation after </w:t>
      </w:r>
      <w:r>
        <w:rPr>
          <w:sz w:val="20"/>
        </w:rPr>
        <w:t>an anticipatory breach see further, Main Work, Vol.I, para.26-092.</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160203</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3" w:id="955"/>
      <w:bookmarkEnd w:id="955"/>
      <w:r>
        <w:rPr/>
      </w:r>
      <w:hyperlink w:history="true" w:anchor="_bookmark917">
        <w:r>
          <w:rPr>
            <w:color w:val="005DA1"/>
            <w:spacing w:val="-4"/>
            <w:sz w:val="14"/>
            <w:u w:val="single" w:color="005DA1"/>
          </w:rPr>
          <w:t>482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East Ham Corp v Bernard Sunley &amp; Sons Ltd [1966] A.C. 406</w:t>
      </w:r>
      <w:r>
        <w:rPr>
          <w:sz w:val="20"/>
        </w:rPr>
        <w:t>; </w:t>
      </w:r>
      <w:r>
        <w:rPr>
          <w:rFonts w:ascii="Arial" w:hAnsi="Arial"/>
          <w:i/>
          <w:sz w:val="20"/>
        </w:rPr>
        <w:t>Van den Hurck v R. Martens </w:t>
      </w:r>
      <w:r>
        <w:rPr>
          <w:rFonts w:ascii="Arial" w:hAnsi="Arial"/>
          <w:i/>
          <w:sz w:val="20"/>
        </w:rPr>
        <w:t>&amp; Co Ltd [1920] 1 K.B. 850 </w:t>
      </w:r>
      <w:r>
        <w:rPr>
          <w:sz w:val="20"/>
        </w:rPr>
        <w:t>(see Vol.II, para.44-413). One judge has held that the mitigation rules do not apply until the plaintiff knows of the breach: </w:t>
      </w:r>
      <w:r>
        <w:rPr>
          <w:rFonts w:ascii="Arial" w:hAnsi="Arial"/>
          <w:i/>
          <w:sz w:val="20"/>
        </w:rPr>
        <w:t>Youell v Bland Welch &amp; Co Ltd (The “Superhulls Cover” case) [1990] 2 Lloyd’s Rep. 431, 461–462</w:t>
      </w:r>
      <w:r>
        <w:rPr>
          <w:sz w:val="20"/>
        </w:rPr>
        <w:t>; but another judge has applied</w:t>
      </w:r>
      <w:r>
        <w:rPr>
          <w:spacing w:val="40"/>
          <w:sz w:val="20"/>
        </w:rPr>
        <w:t> </w:t>
      </w:r>
      <w:r>
        <w:rPr>
          <w:sz w:val="20"/>
        </w:rPr>
        <w:t>the rules when the plaintiff should have known of the breach: </w:t>
      </w:r>
      <w:r>
        <w:rPr>
          <w:rFonts w:ascii="Arial" w:hAnsi="Arial"/>
          <w:i/>
          <w:sz w:val="20"/>
        </w:rPr>
        <w:t>Toepfer v Warinco [1978] 2</w:t>
      </w:r>
      <w:r>
        <w:rPr>
          <w:rFonts w:ascii="Arial" w:hAnsi="Arial"/>
          <w:i/>
          <w:spacing w:val="40"/>
          <w:sz w:val="20"/>
        </w:rPr>
        <w:t> </w:t>
      </w:r>
      <w:r>
        <w:rPr>
          <w:rFonts w:ascii="Arial" w:hAnsi="Arial"/>
          <w:i/>
          <w:sz w:val="20"/>
        </w:rPr>
        <w:t>Lloyd’s Rep. 569, 578</w:t>
      </w:r>
      <w:r>
        <w:rPr>
          <w:sz w:val="20"/>
        </w:rPr>
        <w:t>. cf. Peel, </w:t>
      </w:r>
      <w:r>
        <w:rPr>
          <w:rFonts w:ascii="Arial" w:hAnsi="Arial"/>
          <w:i/>
          <w:sz w:val="20"/>
        </w:rPr>
        <w:t>Treitel on The Law of Contract</w:t>
      </w:r>
      <w:r>
        <w:rPr>
          <w:sz w:val="20"/>
        </w:rPr>
        <w:t>, 14th edn (2015), para.20–072.</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160664</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4" w:id="956"/>
      <w:bookmarkEnd w:id="956"/>
      <w:r>
        <w:rPr/>
      </w:r>
      <w:hyperlink w:history="true" w:anchor="_bookmark918">
        <w:r>
          <w:rPr>
            <w:color w:val="005DA1"/>
            <w:spacing w:val="-4"/>
            <w:sz w:val="14"/>
            <w:u w:val="single" w:color="005DA1"/>
          </w:rPr>
          <w:t>483</w:t>
        </w:r>
      </w:hyperlink>
      <w:r>
        <w:rPr>
          <w:spacing w:val="-4"/>
          <w:sz w:val="14"/>
        </w:rPr>
        <w:t>.</w:t>
      </w:r>
    </w:p>
    <w:p>
      <w:pPr>
        <w:pStyle w:val="BodyText"/>
        <w:spacing w:line="235" w:lineRule="auto" w:before="212"/>
        <w:ind w:left="165" w:firstLine="170"/>
      </w:pPr>
      <w:r>
        <w:rPr/>
        <w:br w:type="column"/>
      </w:r>
      <w:r>
        <w:rPr/>
        <w:t>It has been argued that the same result should follow as soon as the claimant </w:t>
      </w:r>
      <w:r>
        <w:rPr>
          <w:rFonts w:ascii="Arial" w:hAnsi="Arial"/>
          <w:i/>
        </w:rPr>
        <w:t>ought </w:t>
      </w:r>
      <w:r>
        <w:rPr/>
        <w:t>to </w:t>
      </w:r>
      <w:r>
        <w:rPr/>
        <w:t>have discovered the defect: Benjamin’s Sale of Goods, 9th edn (2014), paras 17–059—17–060.</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before="0"/>
        <w:ind w:left="165" w:right="0" w:firstLine="0"/>
        <w:jc w:val="left"/>
        <w:rPr>
          <w:sz w:val="20"/>
        </w:rPr>
      </w:pPr>
      <w:bookmarkStart w:name="_bookmark955" w:id="957"/>
      <w:bookmarkEnd w:id="957"/>
      <w:r>
        <w:rPr/>
      </w:r>
      <w:hyperlink w:history="true" w:anchor="_bookmark919">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Lambert v Lewis [1982] A.C. 225</w:t>
      </w:r>
      <w:r>
        <w:rPr>
          <w:rFonts w:ascii="Arial"/>
          <w:i/>
          <w:spacing w:val="-1"/>
          <w:sz w:val="20"/>
        </w:rPr>
        <w:t> </w:t>
      </w:r>
      <w:r>
        <w:rPr>
          <w:sz w:val="20"/>
        </w:rPr>
        <w:t>(defective trailer coupling: see Vol.II, para.44-</w:t>
      </w:r>
      <w:r>
        <w:rPr>
          <w:spacing w:val="-2"/>
          <w:sz w:val="20"/>
        </w:rPr>
        <w:t>431).</w:t>
      </w:r>
    </w:p>
    <w:p>
      <w:pPr>
        <w:pStyle w:val="BodyText"/>
        <w:spacing w:before="9"/>
      </w:pPr>
    </w:p>
    <w:p>
      <w:pPr>
        <w:spacing w:line="235" w:lineRule="auto" w:before="0"/>
        <w:ind w:left="705" w:right="167" w:hanging="541"/>
        <w:jc w:val="both"/>
        <w:rPr>
          <w:sz w:val="20"/>
        </w:rPr>
      </w:pPr>
      <w:bookmarkStart w:name="_bookmark956" w:id="958"/>
      <w:bookmarkEnd w:id="958"/>
      <w:r>
        <w:rPr/>
      </w:r>
      <w:hyperlink w:history="true" w:anchor="_bookmark920">
        <w:r>
          <w:rPr>
            <w:color w:val="005DA1"/>
            <w:position w:val="5"/>
            <w:sz w:val="14"/>
            <w:u w:val="single" w:color="005DA1"/>
          </w:rPr>
          <w:t>485</w:t>
        </w:r>
      </w:hyperlink>
      <w:r>
        <w:rPr>
          <w:position w:val="5"/>
          <w:sz w:val="14"/>
        </w:rPr>
        <w:t>.</w:t>
      </w:r>
      <w:r>
        <w:rPr>
          <w:spacing w:val="80"/>
          <w:position w:val="5"/>
          <w:sz w:val="14"/>
        </w:rPr>
        <w:t>  </w:t>
      </w:r>
      <w:r>
        <w:rPr>
          <w:rFonts w:ascii="Arial"/>
          <w:i/>
          <w:sz w:val="20"/>
        </w:rPr>
        <w:t>C. Sharpe &amp; Co Ltd v Nosawa [1917] 2 K.B. 814, 821</w:t>
      </w:r>
      <w:r>
        <w:rPr>
          <w:sz w:val="20"/>
        </w:rPr>
        <w:t>; </w:t>
      </w:r>
      <w:r>
        <w:rPr>
          <w:rFonts w:ascii="Arial"/>
          <w:i/>
          <w:sz w:val="20"/>
        </w:rPr>
        <w:t>Asamera Oil Corp Ltd v Sea Oil &amp; General Corp (1978) 89 D.L.R. (3d) 1</w:t>
      </w:r>
      <w:r>
        <w:rPr>
          <w:sz w:val="20"/>
        </w:rPr>
        <w:t>, Sup. Ct of Canada. If there is a rising market, the defendant may know that the claimant lacks the financial ability to buy a substitute, which </w:t>
      </w:r>
      <w:r>
        <w:rPr>
          <w:sz w:val="20"/>
        </w:rPr>
        <w:t>may justify</w:t>
      </w:r>
      <w:r>
        <w:rPr>
          <w:spacing w:val="35"/>
          <w:sz w:val="20"/>
        </w:rPr>
        <w:t> </w:t>
      </w:r>
      <w:r>
        <w:rPr>
          <w:sz w:val="20"/>
        </w:rPr>
        <w:t>him</w:t>
      </w:r>
      <w:r>
        <w:rPr>
          <w:spacing w:val="35"/>
          <w:sz w:val="20"/>
        </w:rPr>
        <w:t> </w:t>
      </w:r>
      <w:r>
        <w:rPr>
          <w:sz w:val="20"/>
        </w:rPr>
        <w:t>in</w:t>
      </w:r>
      <w:r>
        <w:rPr>
          <w:spacing w:val="35"/>
          <w:sz w:val="20"/>
        </w:rPr>
        <w:t> </w:t>
      </w:r>
      <w:r>
        <w:rPr>
          <w:sz w:val="20"/>
        </w:rPr>
        <w:t>not</w:t>
      </w:r>
      <w:r>
        <w:rPr>
          <w:spacing w:val="35"/>
          <w:sz w:val="20"/>
        </w:rPr>
        <w:t> </w:t>
      </w:r>
      <w:r>
        <w:rPr>
          <w:sz w:val="20"/>
        </w:rPr>
        <w:t>attempting</w:t>
      </w:r>
      <w:r>
        <w:rPr>
          <w:spacing w:val="35"/>
          <w:sz w:val="20"/>
        </w:rPr>
        <w:t> </w:t>
      </w:r>
      <w:r>
        <w:rPr>
          <w:sz w:val="20"/>
        </w:rPr>
        <w:t>to</w:t>
      </w:r>
      <w:r>
        <w:rPr>
          <w:spacing w:val="35"/>
          <w:sz w:val="20"/>
        </w:rPr>
        <w:t> </w:t>
      </w:r>
      <w:r>
        <w:rPr>
          <w:sz w:val="20"/>
        </w:rPr>
        <w:t>do</w:t>
      </w:r>
      <w:r>
        <w:rPr>
          <w:spacing w:val="35"/>
          <w:sz w:val="20"/>
        </w:rPr>
        <w:t> </w:t>
      </w:r>
      <w:r>
        <w:rPr>
          <w:sz w:val="20"/>
        </w:rPr>
        <w:t>so:</w:t>
      </w:r>
      <w:r>
        <w:rPr>
          <w:spacing w:val="35"/>
          <w:sz w:val="20"/>
        </w:rPr>
        <w:t> </w:t>
      </w:r>
      <w:r>
        <w:rPr>
          <w:rFonts w:ascii="Arial"/>
          <w:i/>
          <w:sz w:val="20"/>
        </w:rPr>
        <w:t>Wroth</w:t>
      </w:r>
      <w:r>
        <w:rPr>
          <w:rFonts w:ascii="Arial"/>
          <w:i/>
          <w:spacing w:val="35"/>
          <w:sz w:val="20"/>
        </w:rPr>
        <w:t> </w:t>
      </w:r>
      <w:r>
        <w:rPr>
          <w:rFonts w:ascii="Arial"/>
          <w:i/>
          <w:sz w:val="20"/>
        </w:rPr>
        <w:t>v</w:t>
      </w:r>
      <w:r>
        <w:rPr>
          <w:rFonts w:ascii="Arial"/>
          <w:i/>
          <w:spacing w:val="35"/>
          <w:sz w:val="20"/>
        </w:rPr>
        <w:t> </w:t>
      </w:r>
      <w:r>
        <w:rPr>
          <w:rFonts w:ascii="Arial"/>
          <w:i/>
          <w:sz w:val="20"/>
        </w:rPr>
        <w:t>Tyler</w:t>
      </w:r>
      <w:r>
        <w:rPr>
          <w:rFonts w:ascii="Arial"/>
          <w:i/>
          <w:spacing w:val="35"/>
          <w:sz w:val="20"/>
        </w:rPr>
        <w:t> </w:t>
      </w:r>
      <w:r>
        <w:rPr>
          <w:rFonts w:ascii="Arial"/>
          <w:i/>
          <w:sz w:val="20"/>
        </w:rPr>
        <w:t>[1974]</w:t>
      </w:r>
      <w:r>
        <w:rPr>
          <w:rFonts w:ascii="Arial"/>
          <w:i/>
          <w:spacing w:val="35"/>
          <w:sz w:val="20"/>
        </w:rPr>
        <w:t> </w:t>
      </w:r>
      <w:r>
        <w:rPr>
          <w:rFonts w:ascii="Arial"/>
          <w:i/>
          <w:sz w:val="20"/>
        </w:rPr>
        <w:t>Ch.</w:t>
      </w:r>
      <w:r>
        <w:rPr>
          <w:rFonts w:ascii="Arial"/>
          <w:i/>
          <w:spacing w:val="35"/>
          <w:sz w:val="20"/>
        </w:rPr>
        <w:t> </w:t>
      </w:r>
      <w:r>
        <w:rPr>
          <w:rFonts w:ascii="Arial"/>
          <w:i/>
          <w:sz w:val="20"/>
        </w:rPr>
        <w:t>30</w:t>
      </w:r>
      <w:r>
        <w:rPr>
          <w:sz w:val="20"/>
        </w:rPr>
        <w:t>.</w:t>
      </w:r>
      <w:r>
        <w:rPr>
          <w:spacing w:val="35"/>
          <w:sz w:val="20"/>
        </w:rPr>
        <w:t> </w:t>
      </w:r>
      <w:r>
        <w:rPr>
          <w:sz w:val="20"/>
        </w:rPr>
        <w:t>See</w:t>
      </w:r>
      <w:r>
        <w:rPr>
          <w:spacing w:val="35"/>
          <w:sz w:val="20"/>
        </w:rPr>
        <w:t> </w:t>
      </w:r>
      <w:r>
        <w:rPr>
          <w:sz w:val="20"/>
        </w:rPr>
        <w:t>also</w:t>
      </w:r>
      <w:r>
        <w:rPr>
          <w:spacing w:val="35"/>
          <w:sz w:val="20"/>
        </w:rPr>
        <w:t> </w:t>
      </w:r>
      <w:r>
        <w:rPr>
          <w:sz w:val="20"/>
        </w:rPr>
        <w:t>below,</w:t>
      </w:r>
      <w:r>
        <w:rPr>
          <w:spacing w:val="35"/>
          <w:sz w:val="20"/>
        </w:rPr>
        <w:t> </w:t>
      </w:r>
      <w:r>
        <w:rPr>
          <w:sz w:val="20"/>
        </w:rPr>
        <w:t>paras 26-088 and 26-166; Vol.II, para.44-390.</w:t>
      </w:r>
    </w:p>
    <w:p>
      <w:pPr>
        <w:pStyle w:val="BodyText"/>
        <w:spacing w:before="4"/>
      </w:pPr>
    </w:p>
    <w:p>
      <w:pPr>
        <w:tabs>
          <w:tab w:pos="705" w:val="left" w:leader="none"/>
        </w:tabs>
        <w:spacing w:before="0"/>
        <w:ind w:left="165" w:right="0" w:firstLine="0"/>
        <w:jc w:val="left"/>
        <w:rPr>
          <w:sz w:val="20"/>
        </w:rPr>
      </w:pPr>
      <w:bookmarkStart w:name="_bookmark957" w:id="959"/>
      <w:bookmarkEnd w:id="959"/>
      <w:r>
        <w:rPr/>
      </w:r>
      <w:hyperlink w:history="true" w:anchor="_bookmark921">
        <w:r>
          <w:rPr>
            <w:color w:val="005DA1"/>
            <w:spacing w:val="-4"/>
            <w:position w:val="5"/>
            <w:sz w:val="14"/>
            <w:u w:val="single" w:color="005DA1"/>
          </w:rPr>
          <w:t>486</w:t>
        </w:r>
      </w:hyperlink>
      <w:r>
        <w:rPr>
          <w:spacing w:val="-4"/>
          <w:position w:val="5"/>
          <w:sz w:val="14"/>
        </w:rPr>
        <w:t>.</w:t>
      </w:r>
      <w:r>
        <w:rPr>
          <w:position w:val="5"/>
          <w:sz w:val="14"/>
        </w:rPr>
        <w:tab/>
      </w:r>
      <w:r>
        <w:rPr>
          <w:rFonts w:ascii="Arial"/>
          <w:i/>
          <w:sz w:val="20"/>
        </w:rPr>
        <w:t>Radford v De Froberville [1977] 1 W.L.R. </w:t>
      </w:r>
      <w:r>
        <w:rPr>
          <w:rFonts w:ascii="Arial"/>
          <w:i/>
          <w:spacing w:val="-2"/>
          <w:sz w:val="20"/>
        </w:rPr>
        <w:t>1262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58" w:id="960"/>
      <w:bookmarkEnd w:id="960"/>
      <w:r>
        <w:rPr/>
      </w:r>
      <w:hyperlink w:history="true" w:anchor="_bookmark922">
        <w:r>
          <w:rPr>
            <w:color w:val="005DA1"/>
            <w:spacing w:val="-4"/>
            <w:position w:val="5"/>
            <w:sz w:val="14"/>
            <w:u w:val="single" w:color="005DA1"/>
          </w:rPr>
          <w:t>487</w:t>
        </w:r>
      </w:hyperlink>
      <w:r>
        <w:rPr>
          <w:spacing w:val="-4"/>
          <w:position w:val="5"/>
          <w:sz w:val="14"/>
        </w:rPr>
        <w:t>.</w:t>
      </w:r>
      <w:r>
        <w:rPr>
          <w:position w:val="5"/>
          <w:sz w:val="14"/>
        </w:rPr>
        <w:tab/>
      </w:r>
      <w:r>
        <w:rPr>
          <w:rFonts w:ascii="Arial"/>
          <w:i/>
          <w:sz w:val="20"/>
        </w:rPr>
        <w:t>Alcoa Minerals of Jamaica Inc v Broderick [2002] 1 A.C. 371, PC</w:t>
      </w:r>
      <w:r>
        <w:rPr>
          <w:rFonts w:ascii="Arial"/>
          <w:i/>
          <w:spacing w:val="-1"/>
          <w:sz w:val="20"/>
        </w:rPr>
        <w:t> </w:t>
      </w:r>
      <w:r>
        <w:rPr>
          <w:sz w:val="20"/>
        </w:rPr>
        <w:t>(a tort </w:t>
      </w:r>
      <w:r>
        <w:rPr>
          <w:spacing w:val="-2"/>
          <w:sz w:val="20"/>
        </w:rPr>
        <w:t>case).</w:t>
      </w:r>
    </w:p>
    <w:p>
      <w:pPr>
        <w:pStyle w:val="BodyText"/>
        <w:spacing w:before="5"/>
      </w:pPr>
    </w:p>
    <w:p>
      <w:pPr>
        <w:pStyle w:val="BodyText"/>
        <w:tabs>
          <w:tab w:pos="705" w:val="left" w:leader="none"/>
        </w:tabs>
        <w:ind w:left="165"/>
      </w:pPr>
      <w:bookmarkStart w:name="_bookmark959" w:id="961"/>
      <w:bookmarkEnd w:id="961"/>
      <w:r>
        <w:rPr/>
      </w:r>
      <w:hyperlink w:history="true" w:anchor="_bookmark923">
        <w:r>
          <w:rPr>
            <w:color w:val="005DA1"/>
            <w:spacing w:val="-4"/>
            <w:position w:val="5"/>
            <w:sz w:val="14"/>
            <w:u w:val="single" w:color="005DA1"/>
          </w:rPr>
          <w:t>488</w:t>
        </w:r>
      </w:hyperlink>
      <w:r>
        <w:rPr>
          <w:spacing w:val="-4"/>
          <w:position w:val="5"/>
          <w:sz w:val="14"/>
        </w:rPr>
        <w:t>.</w:t>
      </w:r>
      <w:r>
        <w:rPr>
          <w:position w:val="5"/>
          <w:sz w:val="14"/>
        </w:rPr>
        <w:tab/>
      </w:r>
      <w:r>
        <w:rPr/>
        <w:t>Waddams (1981) 97 L.Q.R. </w:t>
      </w:r>
      <w:r>
        <w:rPr>
          <w:spacing w:val="-4"/>
        </w:rPr>
        <w:t>445.</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160360</wp:posOffset>
            </wp:positionV>
            <wp:extent cx="107988" cy="107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60" w:id="962"/>
      <w:bookmarkEnd w:id="962"/>
      <w:r>
        <w:rPr/>
      </w:r>
      <w:hyperlink w:history="true" w:anchor="_bookmark924">
        <w:r>
          <w:rPr>
            <w:color w:val="005DA1"/>
            <w:spacing w:val="-4"/>
            <w:sz w:val="14"/>
            <w:u w:val="single" w:color="005DA1"/>
          </w:rPr>
          <w:t>489</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Deutsche Bank AG v Total Global Steel Ltd [2012] EWHC 1201 (Comm) </w:t>
      </w:r>
      <w:r>
        <w:rPr>
          <w:sz w:val="20"/>
        </w:rPr>
        <w:t>at [166]. See also A. Dyson and A. Kramer, “There is No ‘Breach Date Rule’: Mitigation, Difference in Value </w:t>
      </w:r>
      <w:r>
        <w:rPr>
          <w:sz w:val="20"/>
        </w:rPr>
        <w:t>and</w:t>
      </w:r>
      <w:r>
        <w:rPr>
          <w:spacing w:val="40"/>
          <w:sz w:val="20"/>
        </w:rPr>
        <w:t> </w:t>
      </w:r>
      <w:r>
        <w:rPr>
          <w:sz w:val="20"/>
        </w:rPr>
        <w:t>Date of Assessment” (2014) 130 L.Q.R. 259; </w:t>
      </w:r>
      <w:r>
        <w:rPr>
          <w:rFonts w:ascii="Arial" w:hAnsi="Arial"/>
          <w:i/>
          <w:sz w:val="20"/>
        </w:rPr>
        <w:t>Marathon Asset Management LLP v Seddon [2017] EWHC 300 (Comm) </w:t>
      </w:r>
      <w:r>
        <w:rPr>
          <w:sz w:val="20"/>
        </w:rPr>
        <w:t>at [250].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61" w:id="963"/>
      <w:bookmarkEnd w:id="963"/>
      <w:r>
        <w:rPr/>
      </w:r>
      <w:hyperlink w:history="true" w:anchor="_bookmark925">
        <w:r>
          <w:rPr>
            <w:color w:val="005DA1"/>
            <w:spacing w:val="-4"/>
            <w:position w:val="5"/>
            <w:sz w:val="14"/>
            <w:u w:val="single" w:color="005DA1"/>
          </w:rPr>
          <w:t>490</w:t>
        </w:r>
      </w:hyperlink>
      <w:r>
        <w:rPr>
          <w:spacing w:val="-4"/>
          <w:position w:val="5"/>
          <w:sz w:val="14"/>
        </w:rPr>
        <w:t>.</w:t>
      </w:r>
      <w:r>
        <w:rPr>
          <w:position w:val="5"/>
          <w:sz w:val="14"/>
        </w:rPr>
        <w:tab/>
      </w:r>
      <w:r>
        <w:rPr>
          <w:rFonts w:ascii="Arial"/>
          <w:i/>
          <w:sz w:val="20"/>
        </w:rPr>
        <w:t>Miliangos</w:t>
      </w:r>
      <w:r>
        <w:rPr>
          <w:rFonts w:ascii="Arial"/>
          <w:i/>
          <w:spacing w:val="23"/>
          <w:sz w:val="20"/>
        </w:rPr>
        <w:t> </w:t>
      </w:r>
      <w:r>
        <w:rPr>
          <w:rFonts w:ascii="Arial"/>
          <w:i/>
          <w:sz w:val="20"/>
        </w:rPr>
        <w:t>v</w:t>
      </w:r>
      <w:r>
        <w:rPr>
          <w:rFonts w:ascii="Arial"/>
          <w:i/>
          <w:spacing w:val="24"/>
          <w:sz w:val="20"/>
        </w:rPr>
        <w:t> </w:t>
      </w:r>
      <w:r>
        <w:rPr>
          <w:rFonts w:ascii="Arial"/>
          <w:i/>
          <w:sz w:val="20"/>
        </w:rPr>
        <w:t>George</w:t>
      </w:r>
      <w:r>
        <w:rPr>
          <w:rFonts w:ascii="Arial"/>
          <w:i/>
          <w:spacing w:val="24"/>
          <w:sz w:val="20"/>
        </w:rPr>
        <w:t> </w:t>
      </w:r>
      <w:r>
        <w:rPr>
          <w:rFonts w:ascii="Arial"/>
          <w:i/>
          <w:sz w:val="20"/>
        </w:rPr>
        <w:t>Frank</w:t>
      </w:r>
      <w:r>
        <w:rPr>
          <w:rFonts w:ascii="Arial"/>
          <w:i/>
          <w:spacing w:val="24"/>
          <w:sz w:val="20"/>
        </w:rPr>
        <w:t> </w:t>
      </w:r>
      <w:r>
        <w:rPr>
          <w:rFonts w:ascii="Arial"/>
          <w:i/>
          <w:sz w:val="20"/>
        </w:rPr>
        <w:t>(Textiles)</w:t>
      </w:r>
      <w:r>
        <w:rPr>
          <w:rFonts w:ascii="Arial"/>
          <w:i/>
          <w:spacing w:val="24"/>
          <w:sz w:val="20"/>
        </w:rPr>
        <w:t> </w:t>
      </w:r>
      <w:r>
        <w:rPr>
          <w:rFonts w:ascii="Arial"/>
          <w:i/>
          <w:sz w:val="20"/>
        </w:rPr>
        <w:t>Ltd</w:t>
      </w:r>
      <w:r>
        <w:rPr>
          <w:rFonts w:ascii="Arial"/>
          <w:i/>
          <w:spacing w:val="24"/>
          <w:sz w:val="20"/>
        </w:rPr>
        <w:t> </w:t>
      </w:r>
      <w:r>
        <w:rPr>
          <w:rFonts w:ascii="Arial"/>
          <w:i/>
          <w:sz w:val="20"/>
        </w:rPr>
        <w:t>[1976]</w:t>
      </w:r>
      <w:r>
        <w:rPr>
          <w:rFonts w:ascii="Arial"/>
          <w:i/>
          <w:spacing w:val="24"/>
          <w:sz w:val="20"/>
        </w:rPr>
        <w:t> </w:t>
      </w:r>
      <w:r>
        <w:rPr>
          <w:rFonts w:ascii="Arial"/>
          <w:i/>
          <w:sz w:val="20"/>
        </w:rPr>
        <w:t>A.C.</w:t>
      </w:r>
      <w:r>
        <w:rPr>
          <w:rFonts w:ascii="Arial"/>
          <w:i/>
          <w:spacing w:val="24"/>
          <w:sz w:val="20"/>
        </w:rPr>
        <w:t> </w:t>
      </w:r>
      <w:r>
        <w:rPr>
          <w:rFonts w:ascii="Arial"/>
          <w:i/>
          <w:sz w:val="20"/>
        </w:rPr>
        <w:t>443,</w:t>
      </w:r>
      <w:r>
        <w:rPr>
          <w:rFonts w:ascii="Arial"/>
          <w:i/>
          <w:spacing w:val="24"/>
          <w:sz w:val="20"/>
        </w:rPr>
        <w:t> </w:t>
      </w:r>
      <w:r>
        <w:rPr>
          <w:rFonts w:ascii="Arial"/>
          <w:i/>
          <w:sz w:val="20"/>
        </w:rPr>
        <w:t>468</w:t>
      </w:r>
      <w:r>
        <w:rPr>
          <w:sz w:val="20"/>
        </w:rPr>
        <w:t>;</w:t>
      </w:r>
      <w:r>
        <w:rPr>
          <w:spacing w:val="24"/>
          <w:sz w:val="20"/>
        </w:rPr>
        <w:t> </w:t>
      </w:r>
      <w:r>
        <w:rPr>
          <w:rFonts w:ascii="Arial"/>
          <w:i/>
          <w:sz w:val="20"/>
        </w:rPr>
        <w:t>Johnson</w:t>
      </w:r>
      <w:r>
        <w:rPr>
          <w:rFonts w:ascii="Arial"/>
          <w:i/>
          <w:spacing w:val="24"/>
          <w:sz w:val="20"/>
        </w:rPr>
        <w:t> </w:t>
      </w:r>
      <w:r>
        <w:rPr>
          <w:rFonts w:ascii="Arial"/>
          <w:i/>
          <w:sz w:val="20"/>
        </w:rPr>
        <w:t>v</w:t>
      </w:r>
      <w:r>
        <w:rPr>
          <w:rFonts w:ascii="Arial"/>
          <w:i/>
          <w:spacing w:val="24"/>
          <w:sz w:val="20"/>
        </w:rPr>
        <w:t> </w:t>
      </w:r>
      <w:r>
        <w:rPr>
          <w:rFonts w:ascii="Arial"/>
          <w:i/>
          <w:sz w:val="20"/>
        </w:rPr>
        <w:t>Agnew</w:t>
      </w:r>
      <w:r>
        <w:rPr>
          <w:rFonts w:ascii="Arial"/>
          <w:i/>
          <w:spacing w:val="24"/>
          <w:sz w:val="20"/>
        </w:rPr>
        <w:t> </w:t>
      </w:r>
      <w:r>
        <w:rPr>
          <w:rFonts w:ascii="Arial"/>
          <w:i/>
          <w:sz w:val="20"/>
        </w:rPr>
        <w:t>[1980]</w:t>
      </w:r>
      <w:r>
        <w:rPr>
          <w:rFonts w:ascii="Arial"/>
          <w:i/>
          <w:spacing w:val="24"/>
          <w:sz w:val="20"/>
        </w:rPr>
        <w:t> </w:t>
      </w:r>
      <w:r>
        <w:rPr>
          <w:rFonts w:ascii="Arial"/>
          <w:i/>
          <w:spacing w:val="-4"/>
          <w:sz w:val="20"/>
        </w:rPr>
        <w:t>A.C.</w:t>
      </w:r>
    </w:p>
    <w:p>
      <w:pPr>
        <w:pStyle w:val="BodyText"/>
        <w:spacing w:line="227" w:lineRule="exact"/>
        <w:ind w:left="705"/>
      </w:pPr>
      <w:r>
        <w:rPr>
          <w:rFonts w:ascii="Arial"/>
          <w:i/>
        </w:rPr>
        <w:t>367, 400</w:t>
      </w:r>
      <w:r>
        <w:rPr>
          <w:rFonts w:ascii="Arial"/>
          <w:i/>
          <w:spacing w:val="-1"/>
        </w:rPr>
        <w:t> </w:t>
      </w:r>
      <w:r>
        <w:rPr/>
        <w:t>(see below, paras 26-165 and 26-</w:t>
      </w:r>
      <w:r>
        <w:rPr>
          <w:spacing w:val="-2"/>
        </w:rPr>
        <w:t>166).</w:t>
      </w:r>
    </w:p>
    <w:p>
      <w:pPr>
        <w:pStyle w:val="BodyText"/>
        <w:spacing w:before="5"/>
      </w:pPr>
    </w:p>
    <w:p>
      <w:pPr>
        <w:pStyle w:val="BodyText"/>
        <w:tabs>
          <w:tab w:pos="705" w:val="left" w:leader="none"/>
        </w:tabs>
        <w:ind w:left="165"/>
      </w:pPr>
      <w:bookmarkStart w:name="_bookmark962" w:id="964"/>
      <w:bookmarkEnd w:id="964"/>
      <w:r>
        <w:rPr/>
      </w:r>
      <w:hyperlink w:history="true" w:anchor="_bookmark926">
        <w:r>
          <w:rPr>
            <w:color w:val="005DA1"/>
            <w:spacing w:val="-4"/>
            <w:position w:val="5"/>
            <w:sz w:val="14"/>
            <w:u w:val="single" w:color="005DA1"/>
          </w:rPr>
          <w:t>491</w:t>
        </w:r>
      </w:hyperlink>
      <w:r>
        <w:rPr>
          <w:spacing w:val="-4"/>
          <w:position w:val="5"/>
          <w:sz w:val="14"/>
        </w:rPr>
        <w:t>.</w:t>
      </w:r>
      <w:r>
        <w:rPr>
          <w:position w:val="5"/>
          <w:sz w:val="14"/>
        </w:rPr>
        <w:tab/>
      </w:r>
      <w:r>
        <w:rPr/>
        <w:t>See Vol.II, paras 44-368 et seq., paras 44-388 et </w:t>
      </w:r>
      <w:r>
        <w:rPr>
          <w:spacing w:val="-4"/>
        </w:rPr>
        <w:t>seq.</w:t>
      </w:r>
    </w:p>
    <w:p>
      <w:pPr>
        <w:pStyle w:val="BodyText"/>
        <w:spacing w:before="8"/>
      </w:pPr>
    </w:p>
    <w:p>
      <w:pPr>
        <w:tabs>
          <w:tab w:pos="705" w:val="left" w:leader="none"/>
        </w:tabs>
        <w:spacing w:line="235" w:lineRule="auto" w:before="1"/>
        <w:ind w:left="705" w:right="168" w:hanging="541"/>
        <w:jc w:val="left"/>
        <w:rPr>
          <w:sz w:val="20"/>
        </w:rPr>
      </w:pPr>
      <w:bookmarkStart w:name="_bookmark963" w:id="965"/>
      <w:bookmarkEnd w:id="965"/>
      <w:r>
        <w:rPr/>
      </w:r>
      <w:hyperlink w:history="true" w:anchor="_bookmark927">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Johnson v Agnew [1980] A.C. 367, 401</w:t>
      </w:r>
      <w:r>
        <w:rPr>
          <w:sz w:val="20"/>
        </w:rPr>
        <w:t>; </w:t>
      </w:r>
      <w:r>
        <w:rPr>
          <w:rFonts w:ascii="Arial"/>
          <w:i/>
          <w:sz w:val="20"/>
        </w:rPr>
        <w:t>Kennedy v K. B. Van Emden &amp; Co (1997) 74 P. &amp; </w:t>
      </w:r>
      <w:r>
        <w:rPr>
          <w:rFonts w:ascii="Arial"/>
          <w:i/>
          <w:sz w:val="20"/>
        </w:rPr>
        <w:t>C.R. 19</w:t>
      </w:r>
      <w:r>
        <w:rPr>
          <w:sz w:val="20"/>
        </w:rPr>
        <w:t>;</w:t>
      </w:r>
      <w:r>
        <w:rPr>
          <w:spacing w:val="2"/>
          <w:sz w:val="20"/>
        </w:rPr>
        <w:t> </w:t>
      </w:r>
      <w:r>
        <w:rPr>
          <w:rFonts w:ascii="Arial"/>
          <w:i/>
          <w:sz w:val="20"/>
        </w:rPr>
        <w:t>Golden</w:t>
      </w:r>
      <w:r>
        <w:rPr>
          <w:rFonts w:ascii="Arial"/>
          <w:i/>
          <w:spacing w:val="3"/>
          <w:sz w:val="20"/>
        </w:rPr>
        <w:t> </w:t>
      </w:r>
      <w:r>
        <w:rPr>
          <w:rFonts w:ascii="Arial"/>
          <w:i/>
          <w:sz w:val="20"/>
        </w:rPr>
        <w:t>Strait</w:t>
      </w:r>
      <w:r>
        <w:rPr>
          <w:rFonts w:ascii="Arial"/>
          <w:i/>
          <w:spacing w:val="3"/>
          <w:sz w:val="20"/>
        </w:rPr>
        <w:t> </w:t>
      </w:r>
      <w:r>
        <w:rPr>
          <w:rFonts w:ascii="Arial"/>
          <w:i/>
          <w:sz w:val="20"/>
        </w:rPr>
        <w:t>Corp</w:t>
      </w:r>
      <w:r>
        <w:rPr>
          <w:rFonts w:ascii="Arial"/>
          <w:i/>
          <w:spacing w:val="3"/>
          <w:sz w:val="20"/>
        </w:rPr>
        <w:t> </w:t>
      </w:r>
      <w:r>
        <w:rPr>
          <w:rFonts w:ascii="Arial"/>
          <w:i/>
          <w:sz w:val="20"/>
        </w:rPr>
        <w:t>v</w:t>
      </w:r>
      <w:r>
        <w:rPr>
          <w:rFonts w:ascii="Arial"/>
          <w:i/>
          <w:spacing w:val="3"/>
          <w:sz w:val="20"/>
        </w:rPr>
        <w:t> </w:t>
      </w:r>
      <w:r>
        <w:rPr>
          <w:rFonts w:ascii="Arial"/>
          <w:i/>
          <w:sz w:val="20"/>
        </w:rPr>
        <w:t>Nippon</w:t>
      </w:r>
      <w:r>
        <w:rPr>
          <w:rFonts w:ascii="Arial"/>
          <w:i/>
          <w:spacing w:val="3"/>
          <w:sz w:val="20"/>
        </w:rPr>
        <w:t> </w:t>
      </w:r>
      <w:r>
        <w:rPr>
          <w:rFonts w:ascii="Arial"/>
          <w:i/>
          <w:sz w:val="20"/>
        </w:rPr>
        <w:t>Yusen</w:t>
      </w:r>
      <w:r>
        <w:rPr>
          <w:rFonts w:ascii="Arial"/>
          <w:i/>
          <w:spacing w:val="3"/>
          <w:sz w:val="20"/>
        </w:rPr>
        <w:t> </w:t>
      </w:r>
      <w:r>
        <w:rPr>
          <w:rFonts w:ascii="Arial"/>
          <w:i/>
          <w:sz w:val="20"/>
        </w:rPr>
        <w:t>Kubishika</w:t>
      </w:r>
      <w:r>
        <w:rPr>
          <w:rFonts w:ascii="Arial"/>
          <w:i/>
          <w:spacing w:val="3"/>
          <w:sz w:val="20"/>
        </w:rPr>
        <w:t> </w:t>
      </w:r>
      <w:r>
        <w:rPr>
          <w:rFonts w:ascii="Arial"/>
          <w:i/>
          <w:sz w:val="20"/>
        </w:rPr>
        <w:t>Kaisha</w:t>
      </w:r>
      <w:r>
        <w:rPr>
          <w:rFonts w:ascii="Arial"/>
          <w:i/>
          <w:spacing w:val="3"/>
          <w:sz w:val="20"/>
        </w:rPr>
        <w:t> </w:t>
      </w:r>
      <w:r>
        <w:rPr>
          <w:rFonts w:ascii="Arial"/>
          <w:i/>
          <w:sz w:val="20"/>
        </w:rPr>
        <w:t>[2007]</w:t>
      </w:r>
      <w:r>
        <w:rPr>
          <w:rFonts w:ascii="Arial"/>
          <w:i/>
          <w:spacing w:val="3"/>
          <w:sz w:val="20"/>
        </w:rPr>
        <w:t> </w:t>
      </w:r>
      <w:r>
        <w:rPr>
          <w:rFonts w:ascii="Arial"/>
          <w:i/>
          <w:sz w:val="20"/>
        </w:rPr>
        <w:t>UKHL</w:t>
      </w:r>
      <w:r>
        <w:rPr>
          <w:rFonts w:ascii="Arial"/>
          <w:i/>
          <w:spacing w:val="3"/>
          <w:sz w:val="20"/>
        </w:rPr>
        <w:t> </w:t>
      </w:r>
      <w:r>
        <w:rPr>
          <w:rFonts w:ascii="Arial"/>
          <w:i/>
          <w:sz w:val="20"/>
        </w:rPr>
        <w:t>12,</w:t>
      </w:r>
      <w:r>
        <w:rPr>
          <w:rFonts w:ascii="Arial"/>
          <w:i/>
          <w:spacing w:val="3"/>
          <w:sz w:val="20"/>
        </w:rPr>
        <w:t> </w:t>
      </w:r>
      <w:r>
        <w:rPr>
          <w:rFonts w:ascii="Arial"/>
          <w:i/>
          <w:sz w:val="20"/>
        </w:rPr>
        <w:t>[2007]</w:t>
      </w:r>
      <w:r>
        <w:rPr>
          <w:rFonts w:ascii="Arial"/>
          <w:i/>
          <w:spacing w:val="3"/>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353</w:t>
      </w:r>
      <w:r>
        <w:rPr>
          <w:rFonts w:ascii="Arial"/>
          <w:i/>
          <w:spacing w:val="2"/>
          <w:sz w:val="20"/>
        </w:rPr>
        <w:t> </w:t>
      </w:r>
      <w:r>
        <w:rPr>
          <w:spacing w:val="-5"/>
          <w:sz w:val="20"/>
        </w:rPr>
        <w:t>at</w:t>
      </w:r>
    </w:p>
    <w:p>
      <w:pPr>
        <w:pStyle w:val="BodyText"/>
        <w:spacing w:line="235" w:lineRule="auto"/>
        <w:ind w:left="705"/>
      </w:pPr>
      <w:r>
        <w:rPr/>
        <w:t>[79]–[80].</w:t>
      </w:r>
      <w:r>
        <w:rPr>
          <w:spacing w:val="36"/>
        </w:rPr>
        <w:t> </w:t>
      </w:r>
      <w:r>
        <w:rPr/>
        <w:t>For</w:t>
      </w:r>
      <w:r>
        <w:rPr>
          <w:spacing w:val="36"/>
        </w:rPr>
        <w:t> </w:t>
      </w:r>
      <w:r>
        <w:rPr/>
        <w:t>the</w:t>
      </w:r>
      <w:r>
        <w:rPr>
          <w:spacing w:val="36"/>
        </w:rPr>
        <w:t> </w:t>
      </w:r>
      <w:r>
        <w:rPr/>
        <w:t>assessment</w:t>
      </w:r>
      <w:r>
        <w:rPr>
          <w:spacing w:val="36"/>
        </w:rPr>
        <w:t> </w:t>
      </w:r>
      <w:r>
        <w:rPr/>
        <w:t>of</w:t>
      </w:r>
      <w:r>
        <w:rPr>
          <w:spacing w:val="36"/>
        </w:rPr>
        <w:t> </w:t>
      </w:r>
      <w:r>
        <w:rPr/>
        <w:t>damages</w:t>
      </w:r>
      <w:r>
        <w:rPr>
          <w:spacing w:val="36"/>
        </w:rPr>
        <w:t> </w:t>
      </w:r>
      <w:r>
        <w:rPr/>
        <w:t>for</w:t>
      </w:r>
      <w:r>
        <w:rPr>
          <w:spacing w:val="36"/>
        </w:rPr>
        <w:t> </w:t>
      </w:r>
      <w:r>
        <w:rPr/>
        <w:t>anticipatory</w:t>
      </w:r>
      <w:r>
        <w:rPr>
          <w:spacing w:val="36"/>
        </w:rPr>
        <w:t> </w:t>
      </w:r>
      <w:r>
        <w:rPr/>
        <w:t>breach,</w:t>
      </w:r>
      <w:r>
        <w:rPr>
          <w:spacing w:val="36"/>
        </w:rPr>
        <w:t> </w:t>
      </w:r>
      <w:r>
        <w:rPr/>
        <w:t>see</w:t>
      </w:r>
      <w:r>
        <w:rPr>
          <w:spacing w:val="36"/>
        </w:rPr>
        <w:t> </w:t>
      </w:r>
      <w:r>
        <w:rPr/>
        <w:t>below,</w:t>
      </w:r>
      <w:r>
        <w:rPr>
          <w:spacing w:val="36"/>
        </w:rPr>
        <w:t> </w:t>
      </w:r>
      <w:r>
        <w:rPr/>
        <w:t>para.26-</w:t>
      </w:r>
      <w:r>
        <w:rPr/>
        <w:t>103; Vol.II, paras 44-380, 44-393.</w:t>
      </w:r>
    </w:p>
    <w:p>
      <w:pPr>
        <w:pStyle w:val="BodyText"/>
        <w:spacing w:before="4"/>
      </w:pPr>
    </w:p>
    <w:p>
      <w:pPr>
        <w:pStyle w:val="BodyText"/>
        <w:tabs>
          <w:tab w:pos="705" w:val="left" w:leader="none"/>
        </w:tabs>
        <w:ind w:left="165"/>
      </w:pPr>
      <w:bookmarkStart w:name="_bookmark964" w:id="966"/>
      <w:bookmarkEnd w:id="966"/>
      <w:r>
        <w:rPr/>
      </w:r>
      <w:hyperlink w:history="true" w:anchor="_bookmark928">
        <w:r>
          <w:rPr>
            <w:color w:val="005DA1"/>
            <w:spacing w:val="-4"/>
            <w:position w:val="5"/>
            <w:sz w:val="14"/>
            <w:u w:val="single" w:color="005DA1"/>
          </w:rPr>
          <w:t>493</w:t>
        </w:r>
      </w:hyperlink>
      <w:r>
        <w:rPr>
          <w:spacing w:val="-4"/>
          <w:position w:val="5"/>
          <w:sz w:val="14"/>
        </w:rPr>
        <w:t>.</w:t>
      </w:r>
      <w:r>
        <w:rPr>
          <w:position w:val="5"/>
          <w:sz w:val="14"/>
        </w:rPr>
        <w:tab/>
      </w:r>
      <w:r>
        <w:rPr/>
        <w:t>See</w:t>
      </w:r>
      <w:r>
        <w:rPr>
          <w:spacing w:val="-2"/>
        </w:rPr>
        <w:t> </w:t>
      </w:r>
      <w:r>
        <w:rPr/>
        <w:t>above, para.24-</w:t>
      </w:r>
      <w:r>
        <w:rPr>
          <w:spacing w:val="-4"/>
        </w:rPr>
        <w:t>013.</w:t>
      </w:r>
    </w:p>
    <w:p>
      <w:pPr>
        <w:pStyle w:val="BodyText"/>
        <w:spacing w:before="5"/>
      </w:pPr>
    </w:p>
    <w:p>
      <w:pPr>
        <w:tabs>
          <w:tab w:pos="705" w:val="left" w:leader="none"/>
        </w:tabs>
        <w:spacing w:before="0"/>
        <w:ind w:left="165" w:right="0" w:firstLine="0"/>
        <w:jc w:val="left"/>
        <w:rPr>
          <w:sz w:val="20"/>
        </w:rPr>
      </w:pPr>
      <w:bookmarkStart w:name="_bookmark965" w:id="967"/>
      <w:bookmarkEnd w:id="967"/>
      <w:r>
        <w:rPr/>
      </w:r>
      <w:hyperlink w:history="true" w:anchor="_bookmark929">
        <w:r>
          <w:rPr>
            <w:color w:val="005DA1"/>
            <w:spacing w:val="-4"/>
            <w:position w:val="5"/>
            <w:sz w:val="14"/>
            <w:u w:val="single" w:color="005DA1"/>
          </w:rPr>
          <w:t>494</w:t>
        </w:r>
      </w:hyperlink>
      <w:r>
        <w:rPr>
          <w:spacing w:val="-4"/>
          <w:position w:val="5"/>
          <w:sz w:val="14"/>
        </w:rPr>
        <w:t>.</w:t>
      </w:r>
      <w:r>
        <w:rPr>
          <w:position w:val="5"/>
          <w:sz w:val="14"/>
        </w:rPr>
        <w:tab/>
      </w:r>
      <w:r>
        <w:rPr>
          <w:sz w:val="20"/>
        </w:rPr>
        <w:t>See below, para.26-103;</w:t>
      </w:r>
      <w:r>
        <w:rPr>
          <w:spacing w:val="-1"/>
          <w:sz w:val="20"/>
        </w:rPr>
        <w:t> </w:t>
      </w:r>
      <w:r>
        <w:rPr>
          <w:rFonts w:ascii="Arial" w:hAnsi="Arial"/>
          <w:i/>
          <w:sz w:val="20"/>
        </w:rPr>
        <w:t>Bunge SA v Nidera BV [2015] UKSC 43</w:t>
      </w:r>
      <w:r>
        <w:rPr>
          <w:rFonts w:ascii="Arial" w:hAnsi="Arial"/>
          <w:i/>
          <w:spacing w:val="-1"/>
          <w:sz w:val="20"/>
        </w:rPr>
        <w:t> </w:t>
      </w:r>
      <w:r>
        <w:rPr>
          <w:sz w:val="20"/>
        </w:rPr>
        <w:t>at [12] and </w:t>
      </w:r>
      <w:r>
        <w:rPr>
          <w:spacing w:val="-2"/>
          <w:sz w:val="20"/>
        </w:rPr>
        <w:t>[80]–[83].</w:t>
      </w:r>
    </w:p>
    <w:p>
      <w:pPr>
        <w:spacing w:after="0"/>
        <w:jc w:val="left"/>
        <w:rPr>
          <w:sz w:val="20"/>
        </w:rPr>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930">
        <w:r>
          <w:rPr>
            <w:color w:val="005DA1"/>
            <w:position w:val="5"/>
            <w:sz w:val="14"/>
            <w:u w:val="single" w:color="005DA1"/>
          </w:rPr>
          <w:t>495</w:t>
        </w:r>
      </w:hyperlink>
      <w:r>
        <w:rPr>
          <w:position w:val="5"/>
          <w:sz w:val="14"/>
        </w:rPr>
        <w:t>.</w:t>
      </w:r>
      <w:r>
        <w:rPr>
          <w:spacing w:val="80"/>
          <w:position w:val="5"/>
          <w:sz w:val="14"/>
        </w:rPr>
        <w:t>  </w:t>
      </w:r>
      <w:r>
        <w:rPr>
          <w:sz w:val="20"/>
        </w:rPr>
        <w:t>In </w:t>
      </w:r>
      <w:r>
        <w:rPr>
          <w:rFonts w:ascii="Arial"/>
          <w:i/>
          <w:sz w:val="20"/>
        </w:rPr>
        <w:t>Malhotra v Choudhury [1980] A.C. 52, 77, 81</w:t>
      </w:r>
      <w:r>
        <w:rPr>
          <w:sz w:val="20"/>
        </w:rPr>
        <w:t>, delay by the plaintiff led to the date for valuing</w:t>
      </w:r>
      <w:r>
        <w:rPr>
          <w:spacing w:val="40"/>
          <w:sz w:val="20"/>
        </w:rPr>
        <w:t> </w:t>
      </w:r>
      <w:r>
        <w:rPr>
          <w:sz w:val="20"/>
        </w:rPr>
        <w:t>a property being moved back one year from the date of judgment: see below, para.26-165. In </w:t>
      </w:r>
      <w:r>
        <w:rPr>
          <w:rFonts w:ascii="Arial"/>
          <w:i/>
          <w:sz w:val="20"/>
        </w:rPr>
        <w:t>Deutsche Bank AG v Total Global Steel Ltd [2012] EWHC 1201 (Comm) </w:t>
      </w:r>
      <w:r>
        <w:rPr>
          <w:sz w:val="20"/>
        </w:rPr>
        <w:t>it was reasonable to assess the damages at the expiry of the deadline given to D to remedy its breach: at [166].</w:t>
      </w:r>
    </w:p>
    <w:p>
      <w:pPr>
        <w:pStyle w:val="BodyText"/>
        <w:spacing w:before="5"/>
      </w:pPr>
    </w:p>
    <w:p>
      <w:pPr>
        <w:spacing w:line="227" w:lineRule="exact" w:before="0"/>
        <w:ind w:left="165" w:right="0" w:firstLine="0"/>
        <w:jc w:val="both"/>
        <w:rPr>
          <w:rFonts w:ascii="Arial"/>
          <w:i/>
          <w:sz w:val="20"/>
        </w:rPr>
      </w:pPr>
      <w:bookmarkStart w:name="_bookmark966" w:id="968"/>
      <w:bookmarkEnd w:id="968"/>
      <w:r>
        <w:rPr/>
      </w:r>
      <w:hyperlink w:history="true" w:anchor="_bookmark931">
        <w:r>
          <w:rPr>
            <w:color w:val="005DA1"/>
            <w:position w:val="5"/>
            <w:sz w:val="14"/>
            <w:u w:val="single" w:color="005DA1"/>
          </w:rPr>
          <w:t>496</w:t>
        </w:r>
      </w:hyperlink>
      <w:r>
        <w:rPr>
          <w:position w:val="5"/>
          <w:sz w:val="14"/>
        </w:rPr>
        <w:t>.</w:t>
      </w:r>
      <w:r>
        <w:rPr>
          <w:spacing w:val="75"/>
          <w:w w:val="150"/>
          <w:position w:val="5"/>
          <w:sz w:val="14"/>
        </w:rPr>
        <w:t>  </w:t>
      </w:r>
      <w:r>
        <w:rPr>
          <w:rFonts w:ascii="Arial"/>
          <w:i/>
          <w:sz w:val="20"/>
        </w:rPr>
        <w:t>Johnson</w:t>
      </w:r>
      <w:r>
        <w:rPr>
          <w:rFonts w:ascii="Arial"/>
          <w:i/>
          <w:spacing w:val="26"/>
          <w:sz w:val="20"/>
        </w:rPr>
        <w:t> </w:t>
      </w:r>
      <w:r>
        <w:rPr>
          <w:rFonts w:ascii="Arial"/>
          <w:i/>
          <w:sz w:val="20"/>
        </w:rPr>
        <w:t>v</w:t>
      </w:r>
      <w:r>
        <w:rPr>
          <w:rFonts w:ascii="Arial"/>
          <w:i/>
          <w:spacing w:val="26"/>
          <w:sz w:val="20"/>
        </w:rPr>
        <w:t> </w:t>
      </w:r>
      <w:r>
        <w:rPr>
          <w:rFonts w:ascii="Arial"/>
          <w:i/>
          <w:sz w:val="20"/>
        </w:rPr>
        <w:t>Agnew</w:t>
      </w:r>
      <w:r>
        <w:rPr>
          <w:rFonts w:ascii="Arial"/>
          <w:i/>
          <w:spacing w:val="26"/>
          <w:sz w:val="20"/>
        </w:rPr>
        <w:t> </w:t>
      </w:r>
      <w:r>
        <w:rPr>
          <w:rFonts w:ascii="Arial"/>
          <w:i/>
          <w:sz w:val="20"/>
        </w:rPr>
        <w:t>[1980]</w:t>
      </w:r>
      <w:r>
        <w:rPr>
          <w:rFonts w:ascii="Arial"/>
          <w:i/>
          <w:spacing w:val="26"/>
          <w:sz w:val="20"/>
        </w:rPr>
        <w:t> </w:t>
      </w:r>
      <w:r>
        <w:rPr>
          <w:rFonts w:ascii="Arial"/>
          <w:i/>
          <w:sz w:val="20"/>
        </w:rPr>
        <w:t>A.C.</w:t>
      </w:r>
      <w:r>
        <w:rPr>
          <w:rFonts w:ascii="Arial"/>
          <w:i/>
          <w:spacing w:val="26"/>
          <w:sz w:val="20"/>
        </w:rPr>
        <w:t> </w:t>
      </w:r>
      <w:r>
        <w:rPr>
          <w:rFonts w:ascii="Arial"/>
          <w:i/>
          <w:sz w:val="20"/>
        </w:rPr>
        <w:t>367,</w:t>
      </w:r>
      <w:r>
        <w:rPr>
          <w:rFonts w:ascii="Arial"/>
          <w:i/>
          <w:spacing w:val="26"/>
          <w:sz w:val="20"/>
        </w:rPr>
        <w:t> </w:t>
      </w:r>
      <w:r>
        <w:rPr>
          <w:rFonts w:ascii="Arial"/>
          <w:i/>
          <w:sz w:val="20"/>
        </w:rPr>
        <w:t>401</w:t>
      </w:r>
      <w:r>
        <w:rPr>
          <w:sz w:val="20"/>
        </w:rPr>
        <w:t>,</w:t>
      </w:r>
      <w:r>
        <w:rPr>
          <w:spacing w:val="26"/>
          <w:sz w:val="20"/>
        </w:rPr>
        <w:t> </w:t>
      </w:r>
      <w:r>
        <w:rPr>
          <w:sz w:val="20"/>
        </w:rPr>
        <w:t>citing</w:t>
      </w:r>
      <w:r>
        <w:rPr>
          <w:spacing w:val="26"/>
          <w:sz w:val="20"/>
        </w:rPr>
        <w:t> </w:t>
      </w:r>
      <w:r>
        <w:rPr>
          <w:rFonts w:ascii="Arial"/>
          <w:i/>
          <w:sz w:val="20"/>
        </w:rPr>
        <w:t>Ogle</w:t>
      </w:r>
      <w:r>
        <w:rPr>
          <w:rFonts w:ascii="Arial"/>
          <w:i/>
          <w:spacing w:val="26"/>
          <w:sz w:val="20"/>
        </w:rPr>
        <w:t> </w:t>
      </w:r>
      <w:r>
        <w:rPr>
          <w:rFonts w:ascii="Arial"/>
          <w:i/>
          <w:sz w:val="20"/>
        </w:rPr>
        <w:t>v</w:t>
      </w:r>
      <w:r>
        <w:rPr>
          <w:rFonts w:ascii="Arial"/>
          <w:i/>
          <w:spacing w:val="25"/>
          <w:sz w:val="20"/>
        </w:rPr>
        <w:t> </w:t>
      </w:r>
      <w:r>
        <w:rPr>
          <w:rFonts w:ascii="Arial"/>
          <w:i/>
          <w:sz w:val="20"/>
        </w:rPr>
        <w:t>Earl</w:t>
      </w:r>
      <w:r>
        <w:rPr>
          <w:rFonts w:ascii="Arial"/>
          <w:i/>
          <w:spacing w:val="26"/>
          <w:sz w:val="20"/>
        </w:rPr>
        <w:t> </w:t>
      </w:r>
      <w:r>
        <w:rPr>
          <w:rFonts w:ascii="Arial"/>
          <w:i/>
          <w:sz w:val="20"/>
        </w:rPr>
        <w:t>Vane</w:t>
      </w:r>
      <w:r>
        <w:rPr>
          <w:rFonts w:ascii="Arial"/>
          <w:i/>
          <w:spacing w:val="26"/>
          <w:sz w:val="20"/>
        </w:rPr>
        <w:t> </w:t>
      </w:r>
      <w:r>
        <w:rPr>
          <w:rFonts w:ascii="Arial"/>
          <w:i/>
          <w:sz w:val="20"/>
        </w:rPr>
        <w:t>(1867)</w:t>
      </w:r>
      <w:r>
        <w:rPr>
          <w:rFonts w:ascii="Arial"/>
          <w:i/>
          <w:spacing w:val="26"/>
          <w:sz w:val="20"/>
        </w:rPr>
        <w:t> </w:t>
      </w:r>
      <w:r>
        <w:rPr>
          <w:rFonts w:ascii="Arial"/>
          <w:i/>
          <w:sz w:val="20"/>
        </w:rPr>
        <w:t>L.R.</w:t>
      </w:r>
      <w:r>
        <w:rPr>
          <w:rFonts w:ascii="Arial"/>
          <w:i/>
          <w:spacing w:val="26"/>
          <w:sz w:val="20"/>
        </w:rPr>
        <w:t> </w:t>
      </w:r>
      <w:r>
        <w:rPr>
          <w:rFonts w:ascii="Arial"/>
          <w:i/>
          <w:sz w:val="20"/>
        </w:rPr>
        <w:t>2</w:t>
      </w:r>
      <w:r>
        <w:rPr>
          <w:rFonts w:ascii="Arial"/>
          <w:i/>
          <w:spacing w:val="26"/>
          <w:sz w:val="20"/>
        </w:rPr>
        <w:t> </w:t>
      </w:r>
      <w:r>
        <w:rPr>
          <w:rFonts w:ascii="Arial"/>
          <w:i/>
          <w:sz w:val="20"/>
        </w:rPr>
        <w:t>Q.B.</w:t>
      </w:r>
      <w:r>
        <w:rPr>
          <w:rFonts w:ascii="Arial"/>
          <w:i/>
          <w:spacing w:val="26"/>
          <w:sz w:val="20"/>
        </w:rPr>
        <w:t> </w:t>
      </w:r>
      <w:r>
        <w:rPr>
          <w:rFonts w:ascii="Arial"/>
          <w:i/>
          <w:sz w:val="20"/>
        </w:rPr>
        <w:t>275</w:t>
      </w:r>
      <w:r>
        <w:rPr>
          <w:rFonts w:ascii="Arial"/>
          <w:i/>
          <w:spacing w:val="26"/>
          <w:sz w:val="20"/>
        </w:rPr>
        <w:t> </w:t>
      </w:r>
      <w:r>
        <w:rPr>
          <w:rFonts w:ascii="Arial"/>
          <w:i/>
          <w:spacing w:val="-5"/>
          <w:sz w:val="20"/>
        </w:rPr>
        <w:t>(on</w:t>
      </w:r>
    </w:p>
    <w:p>
      <w:pPr>
        <w:spacing w:line="235" w:lineRule="auto" w:before="1"/>
        <w:ind w:left="705" w:right="168" w:firstLine="0"/>
        <w:jc w:val="both"/>
        <w:rPr>
          <w:sz w:val="20"/>
        </w:rPr>
      </w:pPr>
      <w:r>
        <w:rPr>
          <w:rFonts w:ascii="Arial"/>
          <w:i/>
          <w:sz w:val="20"/>
        </w:rPr>
        <w:t>appeal, L.R. 3 Q.B. 272) </w:t>
      </w:r>
      <w:r>
        <w:rPr>
          <w:sz w:val="20"/>
        </w:rPr>
        <w:t>(see Vol.II, para.44-392); </w:t>
      </w:r>
      <w:r>
        <w:rPr>
          <w:rFonts w:ascii="Arial"/>
          <w:i/>
          <w:sz w:val="20"/>
        </w:rPr>
        <w:t>Hickman v Haynes (1875) L.R. 10 C.P. 598 </w:t>
      </w:r>
      <w:r>
        <w:rPr>
          <w:sz w:val="20"/>
        </w:rPr>
        <w:t>(see Vol.II, para.44-376); and </w:t>
      </w:r>
      <w:r>
        <w:rPr>
          <w:rFonts w:ascii="Arial"/>
          <w:i/>
          <w:sz w:val="20"/>
        </w:rPr>
        <w:t>Radford v De Froberville [1977] 1 W.L.R. 1262</w:t>
      </w:r>
      <w:r>
        <w:rPr>
          <w:sz w:val="20"/>
        </w:rPr>
        <w:t>. cf. </w:t>
      </w:r>
      <w:r>
        <w:rPr>
          <w:sz w:val="20"/>
        </w:rPr>
        <w:t>above, </w:t>
      </w:r>
      <w:r>
        <w:rPr>
          <w:spacing w:val="-2"/>
          <w:sz w:val="20"/>
        </w:rPr>
        <w:t>para.26-087.</w:t>
      </w:r>
    </w:p>
    <w:p>
      <w:pPr>
        <w:pStyle w:val="BodyText"/>
        <w:spacing w:before="9"/>
      </w:pPr>
    </w:p>
    <w:p>
      <w:pPr>
        <w:spacing w:line="235" w:lineRule="auto" w:before="0"/>
        <w:ind w:left="705" w:right="168" w:hanging="541"/>
        <w:jc w:val="both"/>
        <w:rPr>
          <w:sz w:val="20"/>
        </w:rPr>
      </w:pPr>
      <w:bookmarkStart w:name="_bookmark967" w:id="969"/>
      <w:bookmarkEnd w:id="969"/>
      <w:r>
        <w:rPr/>
      </w:r>
      <w:hyperlink w:history="true" w:anchor="_bookmark932">
        <w:r>
          <w:rPr>
            <w:color w:val="005DA1"/>
            <w:position w:val="5"/>
            <w:sz w:val="14"/>
            <w:u w:val="single" w:color="005DA1"/>
          </w:rPr>
          <w:t>497</w:t>
        </w:r>
      </w:hyperlink>
      <w:r>
        <w:rPr>
          <w:position w:val="5"/>
          <w:sz w:val="14"/>
        </w:rPr>
        <w:t>.</w:t>
      </w:r>
      <w:r>
        <w:rPr>
          <w:spacing w:val="80"/>
          <w:w w:val="150"/>
          <w:position w:val="5"/>
          <w:sz w:val="14"/>
        </w:rPr>
        <w:t> </w:t>
      </w:r>
      <w:r>
        <w:rPr>
          <w:rFonts w:ascii="Arial"/>
          <w:i/>
          <w:sz w:val="20"/>
        </w:rPr>
        <w:t>Johnson v Agnew [1980] A.C. 367, 401</w:t>
      </w:r>
      <w:r>
        <w:rPr>
          <w:sz w:val="20"/>
        </w:rPr>
        <w:t>. If the seller postponed delivery, but later repudiated, damages will be assessed at the date of the repudiation: </w:t>
      </w:r>
      <w:r>
        <w:rPr>
          <w:rFonts w:ascii="Arial"/>
          <w:i/>
          <w:sz w:val="20"/>
        </w:rPr>
        <w:t>Barnett v Javeri &amp; Co [1916] 2 </w:t>
      </w:r>
      <w:r>
        <w:rPr>
          <w:rFonts w:ascii="Arial"/>
          <w:i/>
          <w:sz w:val="20"/>
        </w:rPr>
        <w:t>K.B. </w:t>
      </w:r>
      <w:r>
        <w:rPr>
          <w:rFonts w:ascii="Arial"/>
          <w:i/>
          <w:spacing w:val="-4"/>
          <w:sz w:val="20"/>
        </w:rPr>
        <w:t>390</w:t>
      </w:r>
      <w:r>
        <w:rPr>
          <w:spacing w:val="-4"/>
          <w:sz w:val="20"/>
        </w:rPr>
        <w:t>.</w:t>
      </w:r>
    </w:p>
    <w:p>
      <w:pPr>
        <w:pStyle w:val="BodyText"/>
        <w:spacing w:before="9"/>
      </w:pPr>
    </w:p>
    <w:p>
      <w:pPr>
        <w:spacing w:line="235" w:lineRule="auto" w:before="0"/>
        <w:ind w:left="705" w:right="167" w:hanging="541"/>
        <w:jc w:val="both"/>
        <w:rPr>
          <w:sz w:val="20"/>
        </w:rPr>
      </w:pPr>
      <w:bookmarkStart w:name="_bookmark968" w:id="970"/>
      <w:bookmarkEnd w:id="970"/>
      <w:r>
        <w:rPr/>
      </w:r>
      <w:hyperlink w:history="true" w:anchor="_bookmark932">
        <w:r>
          <w:rPr>
            <w:color w:val="005DA1"/>
            <w:position w:val="5"/>
            <w:sz w:val="14"/>
            <w:u w:val="single" w:color="005DA1"/>
          </w:rPr>
          <w:t>498</w:t>
        </w:r>
      </w:hyperlink>
      <w:r>
        <w:rPr>
          <w:position w:val="5"/>
          <w:sz w:val="14"/>
        </w:rPr>
        <w:t>.</w:t>
      </w:r>
      <w:r>
        <w:rPr>
          <w:spacing w:val="80"/>
          <w:w w:val="150"/>
          <w:position w:val="5"/>
          <w:sz w:val="14"/>
        </w:rPr>
        <w:t> </w:t>
      </w:r>
      <w:r>
        <w:rPr>
          <w:sz w:val="20"/>
        </w:rPr>
        <w:t>For cases decided before </w:t>
      </w:r>
      <w:r>
        <w:rPr>
          <w:rFonts w:ascii="Arial"/>
          <w:i/>
          <w:sz w:val="20"/>
        </w:rPr>
        <w:t>Johnson v Agnew [1980] A.C. 367</w:t>
      </w:r>
      <w:r>
        <w:rPr>
          <w:sz w:val="20"/>
        </w:rPr>
        <w:t>, where the damages were</w:t>
      </w:r>
      <w:r>
        <w:rPr>
          <w:spacing w:val="80"/>
          <w:sz w:val="20"/>
        </w:rPr>
        <w:t> </w:t>
      </w:r>
      <w:r>
        <w:rPr>
          <w:sz w:val="20"/>
        </w:rPr>
        <w:t>assessed at dates later than the original breach of contract, see below, para.26-165 n.837. In </w:t>
      </w:r>
      <w:r>
        <w:rPr>
          <w:rFonts w:ascii="Arial"/>
          <w:i/>
          <w:sz w:val="20"/>
        </w:rPr>
        <w:t>Hooper v Oates [2013] EWCA Civ 91, [2013] 3 All E.R. 211 </w:t>
      </w:r>
      <w:r>
        <w:rPr>
          <w:sz w:val="20"/>
        </w:rPr>
        <w:t>the claimant vendors were held </w:t>
      </w:r>
      <w:r>
        <w:rPr>
          <w:sz w:val="20"/>
        </w:rPr>
        <w:t>to have acted reasonably in letting property for which there was no ready market; damages were assessed by date at which they took back possession.</w:t>
      </w:r>
    </w:p>
    <w:p>
      <w:pPr>
        <w:pStyle w:val="BodyText"/>
        <w:spacing w:before="4"/>
      </w:pPr>
    </w:p>
    <w:p>
      <w:pPr>
        <w:pStyle w:val="BodyText"/>
        <w:tabs>
          <w:tab w:pos="705" w:val="left" w:leader="none"/>
        </w:tabs>
        <w:ind w:left="165"/>
      </w:pPr>
      <w:bookmarkStart w:name="_bookmark969" w:id="971"/>
      <w:bookmarkEnd w:id="971"/>
      <w:r>
        <w:rPr/>
      </w:r>
      <w:hyperlink w:history="true" w:anchor="_bookmark933">
        <w:r>
          <w:rPr>
            <w:color w:val="005DA1"/>
            <w:spacing w:val="-4"/>
            <w:position w:val="5"/>
            <w:sz w:val="14"/>
            <w:u w:val="single" w:color="005DA1"/>
          </w:rPr>
          <w:t>499</w:t>
        </w:r>
      </w:hyperlink>
      <w:r>
        <w:rPr>
          <w:spacing w:val="-4"/>
          <w:position w:val="5"/>
          <w:sz w:val="14"/>
        </w:rPr>
        <w:t>.</w:t>
      </w:r>
      <w:r>
        <w:rPr>
          <w:position w:val="5"/>
          <w:sz w:val="14"/>
        </w:rPr>
        <w:tab/>
      </w:r>
      <w:r>
        <w:rPr/>
        <w:t>See below, paras 26-227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970" w:id="972"/>
      <w:bookmarkEnd w:id="972"/>
      <w:r>
        <w:rPr/>
      </w:r>
      <w:hyperlink w:history="true" w:anchor="_bookmark934">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East Ham Corp v Bernard Sunley &amp; Sons Ltd [1966] A.C. </w:t>
      </w:r>
      <w:r>
        <w:rPr>
          <w:rFonts w:ascii="Arial"/>
          <w:i/>
          <w:spacing w:val="-4"/>
          <w:sz w:val="20"/>
        </w:rPr>
        <w:t>406</w:t>
      </w:r>
      <w:r>
        <w:rPr>
          <w:spacing w:val="-4"/>
          <w:sz w:val="20"/>
        </w:rPr>
        <w:t>.</w:t>
      </w:r>
    </w:p>
    <w:p>
      <w:pPr>
        <w:pStyle w:val="BodyText"/>
        <w:spacing w:before="9"/>
      </w:pPr>
    </w:p>
    <w:p>
      <w:pPr>
        <w:spacing w:line="235" w:lineRule="auto" w:before="0"/>
        <w:ind w:left="705" w:right="167" w:hanging="541"/>
        <w:jc w:val="both"/>
        <w:rPr>
          <w:sz w:val="20"/>
        </w:rPr>
      </w:pPr>
      <w:bookmarkStart w:name="_bookmark971" w:id="973"/>
      <w:bookmarkEnd w:id="973"/>
      <w:r>
        <w:rPr/>
      </w:r>
      <w:hyperlink w:history="true" w:anchor="_bookmark934">
        <w:r>
          <w:rPr>
            <w:color w:val="005DA1"/>
            <w:position w:val="5"/>
            <w:sz w:val="14"/>
            <w:u w:val="single" w:color="005DA1"/>
          </w:rPr>
          <w:t>501</w:t>
        </w:r>
      </w:hyperlink>
      <w:r>
        <w:rPr>
          <w:position w:val="5"/>
          <w:sz w:val="14"/>
        </w:rPr>
        <w:t>.</w:t>
      </w:r>
      <w:r>
        <w:rPr>
          <w:spacing w:val="80"/>
          <w:position w:val="5"/>
          <w:sz w:val="14"/>
        </w:rPr>
        <w:t>  </w:t>
      </w:r>
      <w:r>
        <w:rPr>
          <w:rFonts w:ascii="Arial"/>
          <w:i/>
          <w:sz w:val="20"/>
        </w:rPr>
        <w:t>Van den Hurck v R. Martens &amp; Co Ltd [1920] 1 K.B. 850 </w:t>
      </w:r>
      <w:r>
        <w:rPr>
          <w:sz w:val="20"/>
        </w:rPr>
        <w:t>(damages assessed as at the time when, after delivery of sealed packages, it was reasonable to expect them to be opened and</w:t>
      </w:r>
      <w:r>
        <w:rPr>
          <w:spacing w:val="40"/>
          <w:sz w:val="20"/>
        </w:rPr>
        <w:t> </w:t>
      </w:r>
      <w:r>
        <w:rPr>
          <w:sz w:val="20"/>
        </w:rPr>
        <w:t>the contents inspected: see Vol.II, para.44-413); </w:t>
      </w:r>
      <w:r>
        <w:rPr>
          <w:rFonts w:ascii="Arial"/>
          <w:i/>
          <w:sz w:val="20"/>
        </w:rPr>
        <w:t>Cehave NV v Bremer Handelsgesellschaft mbH [1976] 1 Q.B. 44 </w:t>
      </w:r>
      <w:r>
        <w:rPr>
          <w:sz w:val="20"/>
        </w:rPr>
        <w:t>(damages assessed as at the date of arrival of the goods).</w:t>
      </w:r>
    </w:p>
    <w:p>
      <w:pPr>
        <w:pStyle w:val="BodyText"/>
        <w:spacing w:before="5"/>
      </w:pPr>
    </w:p>
    <w:p>
      <w:pPr>
        <w:tabs>
          <w:tab w:pos="705" w:val="left" w:leader="none"/>
        </w:tabs>
        <w:spacing w:before="0"/>
        <w:ind w:left="165" w:right="0" w:firstLine="0"/>
        <w:jc w:val="left"/>
        <w:rPr>
          <w:sz w:val="20"/>
        </w:rPr>
      </w:pPr>
      <w:bookmarkStart w:name="_bookmark972" w:id="974"/>
      <w:bookmarkEnd w:id="974"/>
      <w:r>
        <w:rPr/>
      </w:r>
      <w:hyperlink w:history="true" w:anchor="_bookmark935">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Greenglade</w:t>
      </w:r>
      <w:r>
        <w:rPr>
          <w:rFonts w:ascii="Arial"/>
          <w:i/>
          <w:spacing w:val="-2"/>
          <w:sz w:val="20"/>
        </w:rPr>
        <w:t> </w:t>
      </w:r>
      <w:r>
        <w:rPr>
          <w:rFonts w:ascii="Arial"/>
          <w:i/>
          <w:sz w:val="20"/>
        </w:rPr>
        <w:t>Estates Ltd v Chana [2012] EWHC 1913 </w:t>
      </w:r>
      <w:r>
        <w:rPr>
          <w:rFonts w:ascii="Arial"/>
          <w:i/>
          <w:spacing w:val="-2"/>
          <w:sz w:val="20"/>
        </w:rPr>
        <w:t>(Ch)</w:t>
      </w:r>
      <w:r>
        <w:rPr>
          <w:spacing w:val="-2"/>
          <w:sz w:val="20"/>
        </w:rPr>
        <w:t>.</w:t>
      </w:r>
    </w:p>
    <w:p>
      <w:pPr>
        <w:pStyle w:val="BodyText"/>
        <w:spacing w:before="9"/>
      </w:pPr>
    </w:p>
    <w:p>
      <w:pPr>
        <w:spacing w:line="235" w:lineRule="auto" w:before="0"/>
        <w:ind w:left="705" w:right="167" w:hanging="541"/>
        <w:jc w:val="both"/>
        <w:rPr>
          <w:sz w:val="20"/>
        </w:rPr>
      </w:pPr>
      <w:bookmarkStart w:name="_bookmark973" w:id="975"/>
      <w:bookmarkEnd w:id="975"/>
      <w:r>
        <w:rPr/>
      </w:r>
      <w:hyperlink w:history="true" w:anchor="_bookmark936">
        <w:r>
          <w:rPr>
            <w:color w:val="005DA1"/>
            <w:position w:val="5"/>
            <w:sz w:val="14"/>
            <w:u w:val="single" w:color="005DA1"/>
          </w:rPr>
          <w:t>503</w:t>
        </w:r>
      </w:hyperlink>
      <w:r>
        <w:rPr>
          <w:position w:val="5"/>
          <w:sz w:val="14"/>
        </w:rPr>
        <w:t>.</w:t>
      </w:r>
      <w:r>
        <w:rPr>
          <w:spacing w:val="80"/>
          <w:w w:val="150"/>
          <w:position w:val="5"/>
          <w:sz w:val="14"/>
        </w:rPr>
        <w:t> </w:t>
      </w:r>
      <w:r>
        <w:rPr>
          <w:sz w:val="20"/>
        </w:rPr>
        <w:t>See above, para.26-036. cf. the assessment of damages in tort for the cost of repairs to</w:t>
      </w:r>
      <w:r>
        <w:rPr>
          <w:spacing w:val="40"/>
          <w:sz w:val="20"/>
        </w:rPr>
        <w:t> </w:t>
      </w:r>
      <w:r>
        <w:rPr>
          <w:sz w:val="20"/>
        </w:rPr>
        <w:t>damaged property: </w:t>
      </w:r>
      <w:r>
        <w:rPr>
          <w:rFonts w:ascii="Arial" w:hAnsi="Arial"/>
          <w:i/>
          <w:sz w:val="20"/>
        </w:rPr>
        <w:t>Dodd Properties Ltd v Canterbury City Council [1980] 1 W.L.R. 433</w:t>
      </w:r>
      <w:r>
        <w:rPr>
          <w:sz w:val="20"/>
        </w:rPr>
        <w:t>; </w:t>
      </w:r>
      <w:r>
        <w:rPr>
          <w:rFonts w:ascii="Arial" w:hAnsi="Arial"/>
          <w:i/>
          <w:sz w:val="20"/>
        </w:rPr>
        <w:t>Alcoa Minerals of Jamaica Inc v Broderick [2002] 1 A.C. 371, PC</w:t>
      </w:r>
      <w:r>
        <w:rPr>
          <w:sz w:val="20"/>
        </w:rPr>
        <w:t>, and the comments of Waddams (1981) 97 L.Q.R. 445, 457–461 on the incentives to the claimant to maximise his damages which might arise from permitting postponement of the date for assessing damages.</w:t>
      </w:r>
    </w:p>
    <w:p>
      <w:pPr>
        <w:pStyle w:val="BodyText"/>
        <w:spacing w:before="8"/>
      </w:pPr>
    </w:p>
    <w:p>
      <w:pPr>
        <w:tabs>
          <w:tab w:pos="705" w:val="left" w:leader="none"/>
        </w:tabs>
        <w:spacing w:line="235" w:lineRule="auto" w:before="0"/>
        <w:ind w:left="705" w:right="174" w:hanging="541"/>
        <w:jc w:val="left"/>
        <w:rPr>
          <w:sz w:val="20"/>
        </w:rPr>
      </w:pPr>
      <w:bookmarkStart w:name="_bookmark974" w:id="976"/>
      <w:bookmarkEnd w:id="976"/>
      <w:r>
        <w:rPr/>
      </w:r>
      <w:hyperlink w:history="true" w:anchor="_bookmark936">
        <w:r>
          <w:rPr>
            <w:color w:val="005DA1"/>
            <w:spacing w:val="-4"/>
            <w:position w:val="5"/>
            <w:sz w:val="14"/>
            <w:u w:val="single" w:color="005DA1"/>
          </w:rPr>
          <w:t>504</w:t>
        </w:r>
      </w:hyperlink>
      <w:r>
        <w:rPr>
          <w:spacing w:val="-4"/>
          <w:position w:val="5"/>
          <w:sz w:val="14"/>
        </w:rPr>
        <w:t>.</w:t>
      </w:r>
      <w:r>
        <w:rPr>
          <w:position w:val="5"/>
          <w:sz w:val="14"/>
        </w:rPr>
        <w:tab/>
      </w:r>
      <w:r>
        <w:rPr>
          <w:rFonts w:ascii="Arial" w:hAnsi="Arial"/>
          <w:i/>
          <w:sz w:val="20"/>
        </w:rPr>
        <w:t>County</w:t>
      </w:r>
      <w:r>
        <w:rPr>
          <w:rFonts w:ascii="Arial" w:hAnsi="Arial"/>
          <w:i/>
          <w:spacing w:val="40"/>
          <w:sz w:val="20"/>
        </w:rPr>
        <w:t> </w:t>
      </w:r>
      <w:r>
        <w:rPr>
          <w:rFonts w:ascii="Arial" w:hAnsi="Arial"/>
          <w:i/>
          <w:sz w:val="20"/>
        </w:rPr>
        <w:t>Personnel</w:t>
      </w:r>
      <w:r>
        <w:rPr>
          <w:rFonts w:ascii="Arial" w:hAnsi="Arial"/>
          <w:i/>
          <w:spacing w:val="40"/>
          <w:sz w:val="20"/>
        </w:rPr>
        <w:t> </w:t>
      </w:r>
      <w:r>
        <w:rPr>
          <w:rFonts w:ascii="Arial" w:hAnsi="Arial"/>
          <w:i/>
          <w:sz w:val="20"/>
        </w:rPr>
        <w:t>(Employment</w:t>
      </w:r>
      <w:r>
        <w:rPr>
          <w:rFonts w:ascii="Arial" w:hAnsi="Arial"/>
          <w:i/>
          <w:spacing w:val="40"/>
          <w:sz w:val="20"/>
        </w:rPr>
        <w:t> </w:t>
      </w:r>
      <w:r>
        <w:rPr>
          <w:rFonts w:ascii="Arial" w:hAnsi="Arial"/>
          <w:i/>
          <w:sz w:val="20"/>
        </w:rPr>
        <w:t>Agency)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Alan</w:t>
      </w:r>
      <w:r>
        <w:rPr>
          <w:rFonts w:ascii="Arial" w:hAnsi="Arial"/>
          <w:i/>
          <w:spacing w:val="40"/>
          <w:sz w:val="20"/>
        </w:rPr>
        <w:t> </w:t>
      </w:r>
      <w:r>
        <w:rPr>
          <w:rFonts w:ascii="Arial" w:hAnsi="Arial"/>
          <w:i/>
          <w:sz w:val="20"/>
        </w:rPr>
        <w:t>R.</w:t>
      </w:r>
      <w:r>
        <w:rPr>
          <w:rFonts w:ascii="Arial" w:hAnsi="Arial"/>
          <w:i/>
          <w:spacing w:val="40"/>
          <w:sz w:val="20"/>
        </w:rPr>
        <w:t> </w:t>
      </w:r>
      <w:r>
        <w:rPr>
          <w:rFonts w:ascii="Arial" w:hAnsi="Arial"/>
          <w:i/>
          <w:sz w:val="20"/>
        </w:rPr>
        <w:t>Pulver</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[1987]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916, 925–926</w:t>
      </w:r>
      <w:r>
        <w:rPr>
          <w:sz w:val="20"/>
        </w:rPr>
        <w:t>. See above, para.26-031 and below, para.26-102.</w:t>
      </w:r>
    </w:p>
    <w:p>
      <w:pPr>
        <w:pStyle w:val="BodyText"/>
        <w:spacing w:before="5"/>
      </w:pPr>
    </w:p>
    <w:p>
      <w:pPr>
        <w:tabs>
          <w:tab w:pos="705" w:val="left" w:leader="none"/>
        </w:tabs>
        <w:spacing w:line="227" w:lineRule="exact" w:before="0"/>
        <w:ind w:left="165" w:right="0" w:firstLine="0"/>
        <w:jc w:val="left"/>
        <w:rPr>
          <w:sz w:val="20"/>
        </w:rPr>
      </w:pPr>
      <w:bookmarkStart w:name="_bookmark975" w:id="977"/>
      <w:bookmarkEnd w:id="977"/>
      <w:r>
        <w:rPr/>
      </w:r>
      <w:hyperlink w:history="true" w:anchor="_bookmark937">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Dodd</w:t>
      </w:r>
      <w:r>
        <w:rPr>
          <w:rFonts w:ascii="Arial"/>
          <w:i/>
          <w:spacing w:val="13"/>
          <w:sz w:val="20"/>
        </w:rPr>
        <w:t> </w:t>
      </w:r>
      <w:r>
        <w:rPr>
          <w:rFonts w:ascii="Arial"/>
          <w:i/>
          <w:sz w:val="20"/>
        </w:rPr>
        <w:t>Properties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Canterbury</w:t>
      </w:r>
      <w:r>
        <w:rPr>
          <w:rFonts w:ascii="Arial"/>
          <w:i/>
          <w:spacing w:val="14"/>
          <w:sz w:val="20"/>
        </w:rPr>
        <w:t> </w:t>
      </w:r>
      <w:r>
        <w:rPr>
          <w:rFonts w:ascii="Arial"/>
          <w:i/>
          <w:sz w:val="20"/>
        </w:rPr>
        <w:t>City</w:t>
      </w:r>
      <w:r>
        <w:rPr>
          <w:rFonts w:ascii="Arial"/>
          <w:i/>
          <w:spacing w:val="14"/>
          <w:sz w:val="20"/>
        </w:rPr>
        <w:t> </w:t>
      </w:r>
      <w:r>
        <w:rPr>
          <w:rFonts w:ascii="Arial"/>
          <w:i/>
          <w:sz w:val="20"/>
        </w:rPr>
        <w:t>Council</w:t>
      </w:r>
      <w:r>
        <w:rPr>
          <w:rFonts w:ascii="Arial"/>
          <w:i/>
          <w:spacing w:val="14"/>
          <w:sz w:val="20"/>
        </w:rPr>
        <w:t> </w:t>
      </w:r>
      <w:r>
        <w:rPr>
          <w:rFonts w:ascii="Arial"/>
          <w:i/>
          <w:sz w:val="20"/>
        </w:rPr>
        <w:t>[1980]</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433</w:t>
      </w:r>
      <w:r>
        <w:rPr>
          <w:sz w:val="20"/>
        </w:rPr>
        <w:t>.</w:t>
      </w:r>
      <w:r>
        <w:rPr>
          <w:spacing w:val="14"/>
          <w:sz w:val="20"/>
        </w:rPr>
        <w:t> </w:t>
      </w:r>
      <w:r>
        <w:rPr>
          <w:sz w:val="20"/>
        </w:rPr>
        <w:t>See</w:t>
      </w:r>
      <w:r>
        <w:rPr>
          <w:spacing w:val="14"/>
          <w:sz w:val="20"/>
        </w:rPr>
        <w:t> </w:t>
      </w:r>
      <w:r>
        <w:rPr>
          <w:sz w:val="20"/>
        </w:rPr>
        <w:t>Waddams</w:t>
      </w:r>
      <w:r>
        <w:rPr>
          <w:spacing w:val="14"/>
          <w:sz w:val="20"/>
        </w:rPr>
        <w:t> </w:t>
      </w:r>
      <w:r>
        <w:rPr>
          <w:sz w:val="20"/>
        </w:rPr>
        <w:t>(1981)</w:t>
      </w:r>
      <w:r>
        <w:rPr>
          <w:spacing w:val="14"/>
          <w:sz w:val="20"/>
        </w:rPr>
        <w:t> </w:t>
      </w:r>
      <w:r>
        <w:rPr>
          <w:spacing w:val="-5"/>
          <w:sz w:val="20"/>
        </w:rPr>
        <w:t>97</w:t>
      </w:r>
    </w:p>
    <w:p>
      <w:pPr>
        <w:pStyle w:val="BodyText"/>
        <w:spacing w:line="225" w:lineRule="exact"/>
        <w:ind w:left="705"/>
      </w:pPr>
      <w:r>
        <w:rPr/>
        <w:t>L.Q.R.</w:t>
      </w:r>
      <w:r>
        <w:rPr>
          <w:spacing w:val="49"/>
        </w:rPr>
        <w:t> </w:t>
      </w:r>
      <w:r>
        <w:rPr/>
        <w:t>445,</w:t>
      </w:r>
      <w:r>
        <w:rPr>
          <w:spacing w:val="49"/>
        </w:rPr>
        <w:t> </w:t>
      </w:r>
      <w:r>
        <w:rPr/>
        <w:t>454–455;</w:t>
      </w:r>
      <w:r>
        <w:rPr>
          <w:spacing w:val="49"/>
        </w:rPr>
        <w:t> </w:t>
      </w:r>
      <w:r>
        <w:rPr/>
        <w:t>and</w:t>
      </w:r>
      <w:r>
        <w:rPr>
          <w:spacing w:val="49"/>
        </w:rPr>
        <w:t> </w:t>
      </w:r>
      <w:r>
        <w:rPr/>
        <w:t>1</w:t>
      </w:r>
      <w:r>
        <w:rPr>
          <w:spacing w:val="49"/>
        </w:rPr>
        <w:t> </w:t>
      </w:r>
      <w:r>
        <w:rPr/>
        <w:t>O.J.L.S.</w:t>
      </w:r>
      <w:r>
        <w:rPr>
          <w:spacing w:val="49"/>
        </w:rPr>
        <w:t> </w:t>
      </w:r>
      <w:r>
        <w:rPr/>
        <w:t>134</w:t>
      </w:r>
      <w:r>
        <w:rPr>
          <w:spacing w:val="49"/>
        </w:rPr>
        <w:t> </w:t>
      </w:r>
      <w:r>
        <w:rPr/>
        <w:t>(1980);</w:t>
      </w:r>
      <w:r>
        <w:rPr>
          <w:spacing w:val="49"/>
        </w:rPr>
        <w:t> </w:t>
      </w:r>
      <w:r>
        <w:rPr/>
        <w:t>Swan</w:t>
      </w:r>
      <w:r>
        <w:rPr>
          <w:spacing w:val="49"/>
        </w:rPr>
        <w:t> </w:t>
      </w:r>
      <w:r>
        <w:rPr/>
        <w:t>(1980)</w:t>
      </w:r>
      <w:r>
        <w:rPr>
          <w:spacing w:val="49"/>
        </w:rPr>
        <w:t> </w:t>
      </w:r>
      <w:r>
        <w:rPr/>
        <w:t>10</w:t>
      </w:r>
      <w:r>
        <w:rPr>
          <w:spacing w:val="49"/>
        </w:rPr>
        <w:t> </w:t>
      </w:r>
      <w:r>
        <w:rPr/>
        <w:t>Real</w:t>
      </w:r>
      <w:r>
        <w:rPr>
          <w:spacing w:val="49"/>
        </w:rPr>
        <w:t> </w:t>
      </w:r>
      <w:r>
        <w:rPr/>
        <w:t>Property</w:t>
      </w:r>
      <w:r>
        <w:rPr>
          <w:spacing w:val="49"/>
        </w:rPr>
        <w:t> </w:t>
      </w:r>
      <w:r>
        <w:rPr>
          <w:spacing w:val="-2"/>
        </w:rPr>
        <w:t>Reports</w:t>
      </w:r>
    </w:p>
    <w:p>
      <w:pPr>
        <w:pStyle w:val="BodyText"/>
        <w:spacing w:line="227" w:lineRule="exact"/>
        <w:ind w:left="705"/>
      </w:pPr>
      <w:r>
        <w:rPr/>
        <w:t>(Canada) 267; Wallace (1980) 96 L.Q.R. 101, 115, 341 and (1982) 98 L.Q.R. </w:t>
      </w:r>
      <w:r>
        <w:rPr>
          <w:spacing w:val="-4"/>
        </w:rPr>
        <w:t>406.</w:t>
      </w:r>
    </w:p>
    <w:p>
      <w:pPr>
        <w:pStyle w:val="BodyText"/>
        <w:spacing w:before="5"/>
      </w:pPr>
    </w:p>
    <w:p>
      <w:pPr>
        <w:spacing w:line="227" w:lineRule="exact" w:before="0"/>
        <w:ind w:left="165" w:right="0" w:firstLine="0"/>
        <w:jc w:val="both"/>
        <w:rPr>
          <w:rFonts w:ascii="Arial"/>
          <w:i/>
          <w:sz w:val="20"/>
        </w:rPr>
      </w:pPr>
      <w:bookmarkStart w:name="_bookmark976" w:id="978"/>
      <w:bookmarkEnd w:id="978"/>
      <w:r>
        <w:rPr/>
      </w:r>
      <w:hyperlink w:history="true" w:anchor="_bookmark938">
        <w:r>
          <w:rPr>
            <w:color w:val="005DA1"/>
            <w:position w:val="5"/>
            <w:sz w:val="14"/>
            <w:u w:val="single" w:color="005DA1"/>
          </w:rPr>
          <w:t>506</w:t>
        </w:r>
      </w:hyperlink>
      <w:r>
        <w:rPr>
          <w:position w:val="5"/>
          <w:sz w:val="14"/>
        </w:rPr>
        <w:t>.</w:t>
      </w:r>
      <w:r>
        <w:rPr>
          <w:spacing w:val="75"/>
          <w:w w:val="150"/>
          <w:position w:val="5"/>
          <w:sz w:val="14"/>
        </w:rPr>
        <w:t>  </w:t>
      </w:r>
      <w:r>
        <w:rPr>
          <w:sz w:val="20"/>
        </w:rPr>
        <w:t>See ss.50(3) and 51(3) of the Sale of Goods Act 1979;</w:t>
      </w:r>
      <w:r>
        <w:rPr>
          <w:spacing w:val="-1"/>
          <w:sz w:val="20"/>
        </w:rPr>
        <w:t> </w:t>
      </w:r>
      <w:r>
        <w:rPr>
          <w:rFonts w:ascii="Arial"/>
          <w:i/>
          <w:sz w:val="20"/>
        </w:rPr>
        <w:t>Dunkirk Colliery Co v Lever (1878) 9 </w:t>
      </w:r>
      <w:r>
        <w:rPr>
          <w:rFonts w:ascii="Arial"/>
          <w:i/>
          <w:spacing w:val="-5"/>
          <w:sz w:val="20"/>
        </w:rPr>
        <w:t>Ch.</w:t>
      </w:r>
    </w:p>
    <w:p>
      <w:pPr>
        <w:spacing w:line="235" w:lineRule="auto" w:before="2"/>
        <w:ind w:left="705" w:right="167" w:firstLine="0"/>
        <w:jc w:val="both"/>
        <w:rPr>
          <w:sz w:val="20"/>
        </w:rPr>
      </w:pPr>
      <w:r>
        <w:rPr>
          <w:rFonts w:ascii="Arial" w:hAnsi="Arial"/>
          <w:i/>
          <w:sz w:val="20"/>
        </w:rPr>
        <w:t>D. 20, 25</w:t>
      </w:r>
      <w:r>
        <w:rPr>
          <w:sz w:val="20"/>
        </w:rPr>
        <w:t>: see also </w:t>
      </w:r>
      <w:r>
        <w:rPr>
          <w:rFonts w:ascii="Arial" w:hAnsi="Arial"/>
          <w:i/>
          <w:sz w:val="20"/>
        </w:rPr>
        <w:t>Alcoa Minerals of Jamaica Inc v Broderick [2002] 1 A.C. 371</w:t>
      </w:r>
      <w:r>
        <w:rPr>
          <w:sz w:val="20"/>
        </w:rPr>
        <w:t>; </w:t>
      </w:r>
      <w:r>
        <w:rPr>
          <w:rFonts w:ascii="Arial" w:hAnsi="Arial"/>
          <w:i/>
          <w:sz w:val="20"/>
        </w:rPr>
        <w:t>SC </w:t>
      </w:r>
      <w:r>
        <w:rPr>
          <w:rFonts w:ascii="Arial" w:hAnsi="Arial"/>
          <w:i/>
          <w:sz w:val="20"/>
        </w:rPr>
        <w:t>Confectia SA v Miss Mania Wholesale Ltd [2014] EWCA Civ 1484 </w:t>
      </w:r>
      <w:r>
        <w:rPr>
          <w:sz w:val="20"/>
        </w:rPr>
        <w:t>at [20]. A similar rule applies in the</w:t>
      </w:r>
      <w:r>
        <w:rPr>
          <w:spacing w:val="40"/>
          <w:sz w:val="20"/>
        </w:rPr>
        <w:t> </w:t>
      </w:r>
      <w:r>
        <w:rPr>
          <w:sz w:val="20"/>
        </w:rPr>
        <w:t>case of contracts for the hire of goods (e.g. charterparties): where there is an available </w:t>
      </w:r>
      <w:r>
        <w:rPr>
          <w:sz w:val="20"/>
        </w:rPr>
        <w:t>market</w:t>
      </w:r>
      <w:r>
        <w:rPr>
          <w:spacing w:val="40"/>
          <w:sz w:val="20"/>
        </w:rPr>
        <w:t> </w:t>
      </w:r>
      <w:r>
        <w:rPr>
          <w:sz w:val="20"/>
        </w:rPr>
        <w:t>in which to hire a substitute, the hirer’s damages for breach by the owner in terminating the hire will normally be the difference between the contract rate and the market rate of hire for the remaining period of the contract: </w:t>
      </w:r>
      <w:r>
        <w:rPr>
          <w:rFonts w:ascii="Arial" w:hAnsi="Arial"/>
          <w:i/>
          <w:sz w:val="20"/>
        </w:rPr>
        <w:t>Koch Marine Inc v D’Amica Societa di Navigazione A.R.L.</w:t>
      </w:r>
      <w:r>
        <w:rPr>
          <w:rFonts w:ascii="Arial" w:hAnsi="Arial"/>
          <w:i/>
          <w:spacing w:val="40"/>
          <w:sz w:val="20"/>
        </w:rPr>
        <w:t> </w:t>
      </w:r>
      <w:r>
        <w:rPr>
          <w:rFonts w:ascii="Arial" w:hAnsi="Arial"/>
          <w:i/>
          <w:sz w:val="20"/>
        </w:rPr>
        <w:t>(The “Elena D’Amico”) [1980] 1 Lloyd’s Rep. 75, 87–90</w:t>
      </w:r>
      <w:r>
        <w:rPr>
          <w:sz w:val="20"/>
        </w:rPr>
        <w:t>; </w:t>
      </w:r>
      <w:r>
        <w:rPr>
          <w:rFonts w:ascii="Arial" w:hAnsi="Arial"/>
          <w:i/>
          <w:sz w:val="20"/>
        </w:rPr>
        <w:t>Spar Shipping AS v Grand China Logistics Holding (Group) Co Ltd [2015] EWHC 718 (Comm)</w:t>
      </w:r>
      <w:r>
        <w:rPr>
          <w:rFonts w:ascii="Arial" w:hAnsi="Arial"/>
          <w:i/>
          <w:spacing w:val="-1"/>
          <w:sz w:val="20"/>
        </w:rPr>
        <w:t> </w:t>
      </w:r>
      <w:r>
        <w:rPr>
          <w:sz w:val="20"/>
        </w:rPr>
        <w:t>(see above, para.26-081 n.410) at [220]. See also </w:t>
      </w:r>
      <w:r>
        <w:rPr>
          <w:rFonts w:ascii="Arial" w:hAnsi="Arial"/>
          <w:i/>
          <w:sz w:val="20"/>
        </w:rPr>
        <w:t>Bunge SA v Nidera BV [2015] UKSC 43 </w:t>
      </w:r>
      <w:r>
        <w:rPr>
          <w:sz w:val="20"/>
        </w:rPr>
        <w:t>at [17] and [77]. cf. the position of </w:t>
      </w:r>
      <w:r>
        <w:rPr>
          <w:sz w:val="20"/>
        </w:rPr>
        <w:t>the owner who retakes the goods after the hirer has broken his hire-purchase agreement: see</w:t>
      </w:r>
      <w:r>
        <w:rPr>
          <w:spacing w:val="40"/>
          <w:sz w:val="20"/>
        </w:rPr>
        <w:t> </w:t>
      </w:r>
      <w:r>
        <w:rPr>
          <w:sz w:val="20"/>
        </w:rPr>
        <w:t>Vol.II, paras 39-347—39-350.</w:t>
      </w:r>
    </w:p>
    <w:p>
      <w:pPr>
        <w:pStyle w:val="BodyText"/>
        <w:spacing w:before="2"/>
      </w:pPr>
    </w:p>
    <w:p>
      <w:pPr>
        <w:pStyle w:val="BodyText"/>
        <w:tabs>
          <w:tab w:pos="705" w:val="left" w:leader="none"/>
        </w:tabs>
        <w:ind w:left="165"/>
      </w:pPr>
      <w:bookmarkStart w:name="_bookmark977" w:id="979"/>
      <w:bookmarkEnd w:id="979"/>
      <w:r>
        <w:rPr/>
      </w:r>
      <w:hyperlink w:history="true" w:anchor="_bookmark938">
        <w:r>
          <w:rPr>
            <w:color w:val="005DA1"/>
            <w:spacing w:val="-4"/>
            <w:position w:val="5"/>
            <w:sz w:val="14"/>
            <w:u w:val="single" w:color="005DA1"/>
          </w:rPr>
          <w:t>507</w:t>
        </w:r>
      </w:hyperlink>
      <w:r>
        <w:rPr>
          <w:spacing w:val="-4"/>
          <w:position w:val="5"/>
          <w:sz w:val="14"/>
        </w:rPr>
        <w:t>.</w:t>
      </w:r>
      <w:r>
        <w:rPr>
          <w:position w:val="5"/>
          <w:sz w:val="14"/>
        </w:rPr>
        <w:tab/>
      </w:r>
      <w:r>
        <w:rPr/>
        <w:t>See above, paras 26-083—26-</w:t>
      </w:r>
      <w:r>
        <w:rPr>
          <w:spacing w:val="-4"/>
        </w:rPr>
        <w:t>086.</w:t>
      </w:r>
    </w:p>
    <w:p>
      <w:pPr>
        <w:pStyle w:val="BodyText"/>
        <w:spacing w:before="5"/>
      </w:pPr>
    </w:p>
    <w:p>
      <w:pPr>
        <w:pStyle w:val="BodyText"/>
        <w:tabs>
          <w:tab w:pos="705" w:val="left" w:leader="none"/>
        </w:tabs>
        <w:ind w:left="165"/>
      </w:pPr>
      <w:bookmarkStart w:name="_bookmark978" w:id="980"/>
      <w:bookmarkEnd w:id="980"/>
      <w:r>
        <w:rPr/>
      </w:r>
      <w:hyperlink w:history="true" w:anchor="_bookmark939">
        <w:r>
          <w:rPr>
            <w:color w:val="005DA1"/>
            <w:spacing w:val="-4"/>
            <w:position w:val="5"/>
            <w:sz w:val="14"/>
            <w:u w:val="single" w:color="005DA1"/>
          </w:rPr>
          <w:t>508</w:t>
        </w:r>
      </w:hyperlink>
      <w:r>
        <w:rPr>
          <w:spacing w:val="-4"/>
          <w:position w:val="5"/>
          <w:sz w:val="14"/>
        </w:rPr>
        <w:t>.</w:t>
      </w:r>
      <w:r>
        <w:rPr>
          <w:position w:val="5"/>
          <w:sz w:val="14"/>
        </w:rPr>
        <w:tab/>
      </w:r>
      <w:r>
        <w:rPr/>
        <w:t>See</w:t>
      </w:r>
      <w:r>
        <w:rPr>
          <w:spacing w:val="10"/>
        </w:rPr>
        <w:t> </w:t>
      </w:r>
      <w:r>
        <w:rPr/>
        <w:t>Vol.II,</w:t>
      </w:r>
      <w:r>
        <w:rPr>
          <w:spacing w:val="10"/>
        </w:rPr>
        <w:t> </w:t>
      </w:r>
      <w:r>
        <w:rPr/>
        <w:t>para.44-387.</w:t>
      </w:r>
      <w:r>
        <w:rPr>
          <w:spacing w:val="10"/>
        </w:rPr>
        <w:t> </w:t>
      </w:r>
      <w:r>
        <w:rPr/>
        <w:t>The</w:t>
      </w:r>
      <w:r>
        <w:rPr>
          <w:spacing w:val="10"/>
        </w:rPr>
        <w:t> </w:t>
      </w:r>
      <w:r>
        <w:rPr/>
        <w:t>seller</w:t>
      </w:r>
      <w:r>
        <w:rPr>
          <w:spacing w:val="10"/>
        </w:rPr>
        <w:t> </w:t>
      </w:r>
      <w:r>
        <w:rPr/>
        <w:t>may</w:t>
      </w:r>
      <w:r>
        <w:rPr>
          <w:spacing w:val="10"/>
        </w:rPr>
        <w:t> </w:t>
      </w:r>
      <w:r>
        <w:rPr/>
        <w:t>show</w:t>
      </w:r>
      <w:r>
        <w:rPr>
          <w:spacing w:val="10"/>
        </w:rPr>
        <w:t> </w:t>
      </w:r>
      <w:r>
        <w:rPr/>
        <w:t>that</w:t>
      </w:r>
      <w:r>
        <w:rPr>
          <w:spacing w:val="10"/>
        </w:rPr>
        <w:t> </w:t>
      </w:r>
      <w:r>
        <w:rPr/>
        <w:t>contingency</w:t>
      </w:r>
      <w:r>
        <w:rPr>
          <w:spacing w:val="10"/>
        </w:rPr>
        <w:t> </w:t>
      </w:r>
      <w:r>
        <w:rPr/>
        <w:t>that</w:t>
      </w:r>
      <w:r>
        <w:rPr>
          <w:spacing w:val="10"/>
        </w:rPr>
        <w:t> </w:t>
      </w:r>
      <w:r>
        <w:rPr/>
        <w:t>has</w:t>
      </w:r>
      <w:r>
        <w:rPr>
          <w:spacing w:val="10"/>
        </w:rPr>
        <w:t> </w:t>
      </w:r>
      <w:r>
        <w:rPr/>
        <w:t>come</w:t>
      </w:r>
      <w:r>
        <w:rPr>
          <w:spacing w:val="10"/>
        </w:rPr>
        <w:t> </w:t>
      </w:r>
      <w:r>
        <w:rPr/>
        <w:t>to</w:t>
      </w:r>
      <w:r>
        <w:rPr>
          <w:spacing w:val="10"/>
        </w:rPr>
        <w:t> </w:t>
      </w:r>
      <w:r>
        <w:rPr/>
        <w:t>pass</w:t>
      </w:r>
      <w:r>
        <w:rPr>
          <w:spacing w:val="10"/>
        </w:rPr>
        <w:t> </w:t>
      </w:r>
      <w:r>
        <w:rPr/>
        <w:t>would</w:t>
      </w:r>
      <w:r>
        <w:rPr>
          <w:spacing w:val="10"/>
        </w:rPr>
        <w:t> </w:t>
      </w:r>
      <w:r>
        <w:rPr>
          <w:spacing w:val="-5"/>
        </w:rPr>
        <w:t>in</w:t>
      </w:r>
    </w:p>
    <w:p>
      <w:pPr>
        <w:pStyle w:val="BodyText"/>
        <w:spacing w:after="0"/>
        <w:sectPr>
          <w:pgSz w:w="11900" w:h="16840"/>
          <w:pgMar w:header="971" w:footer="0" w:top="1300" w:bottom="280" w:left="1275" w:right="1275"/>
        </w:sectPr>
      </w:pPr>
    </w:p>
    <w:p>
      <w:pPr>
        <w:pStyle w:val="BodyText"/>
        <w:spacing w:line="235" w:lineRule="auto" w:before="170"/>
        <w:ind w:left="705" w:right="167"/>
        <w:jc w:val="both"/>
      </w:pPr>
      <w:r>
        <w:rPr/>
        <w:t>any event have led to cancellation of the contract, so that the buyer’s damages should be nil, whether the contract was one for performance over a period of time or was for a single </w:t>
      </w:r>
      <w:r>
        <w:rPr/>
        <w:t>delivery: </w:t>
      </w:r>
      <w:r>
        <w:rPr>
          <w:rFonts w:ascii="Arial" w:hAnsi="Arial"/>
          <w:i/>
        </w:rPr>
        <w:t>Bunge SA v Nidera BV [2015] UKSC 43</w:t>
      </w:r>
      <w:r>
        <w:rPr/>
        <w:t>, see above, para.26-074.</w:t>
      </w:r>
    </w:p>
    <w:p>
      <w:pPr>
        <w:pStyle w:val="BodyText"/>
        <w:spacing w:before="9"/>
      </w:pPr>
    </w:p>
    <w:p>
      <w:pPr>
        <w:pStyle w:val="BodyText"/>
        <w:tabs>
          <w:tab w:pos="705" w:val="left" w:leader="none"/>
        </w:tabs>
        <w:spacing w:line="235" w:lineRule="auto"/>
        <w:ind w:left="705" w:right="174" w:hanging="541"/>
      </w:pPr>
      <w:bookmarkStart w:name="_bookmark979" w:id="981"/>
      <w:bookmarkEnd w:id="981"/>
      <w:r>
        <w:rPr/>
      </w:r>
      <w:hyperlink w:history="true" w:anchor="_bookmark940">
        <w:r>
          <w:rPr>
            <w:color w:val="005DA1"/>
            <w:spacing w:val="-4"/>
            <w:position w:val="5"/>
            <w:sz w:val="14"/>
            <w:u w:val="single" w:color="005DA1"/>
          </w:rPr>
          <w:t>509</w:t>
        </w:r>
      </w:hyperlink>
      <w:r>
        <w:rPr>
          <w:spacing w:val="-4"/>
          <w:position w:val="5"/>
          <w:sz w:val="14"/>
        </w:rPr>
        <w:t>.</w:t>
      </w:r>
      <w:r>
        <w:rPr>
          <w:position w:val="5"/>
          <w:sz w:val="14"/>
        </w:rPr>
        <w:tab/>
      </w:r>
      <w:r>
        <w:rPr/>
        <w:t>See Benjamin’s Sale of Goods, 9th edn (2014), para.17-008. On the prima facie nature of the</w:t>
      </w:r>
      <w:r>
        <w:rPr>
          <w:spacing w:val="40"/>
        </w:rPr>
        <w:t> </w:t>
      </w:r>
      <w:r>
        <w:rPr/>
        <w:t>rule, see Vol.II, para.44-388.</w:t>
      </w:r>
    </w:p>
    <w:p>
      <w:pPr>
        <w:pStyle w:val="BodyText"/>
        <w:spacing w:before="5"/>
      </w:pPr>
    </w:p>
    <w:p>
      <w:pPr>
        <w:tabs>
          <w:tab w:pos="705" w:val="left" w:leader="none"/>
        </w:tabs>
        <w:spacing w:before="1"/>
        <w:ind w:left="165" w:right="0" w:firstLine="0"/>
        <w:jc w:val="left"/>
        <w:rPr>
          <w:sz w:val="20"/>
        </w:rPr>
      </w:pPr>
      <w:bookmarkStart w:name="_bookmark980" w:id="982"/>
      <w:bookmarkEnd w:id="982"/>
      <w:r>
        <w:rPr/>
      </w:r>
      <w:hyperlink w:history="true" w:anchor="_bookmark941">
        <w:r>
          <w:rPr>
            <w:color w:val="005DA1"/>
            <w:spacing w:val="-4"/>
            <w:position w:val="5"/>
            <w:sz w:val="14"/>
            <w:u w:val="single" w:color="005DA1"/>
          </w:rPr>
          <w:t>510</w:t>
        </w:r>
      </w:hyperlink>
      <w:r>
        <w:rPr>
          <w:spacing w:val="-4"/>
          <w:position w:val="5"/>
          <w:sz w:val="14"/>
        </w:rPr>
        <w:t>.</w:t>
      </w:r>
      <w:r>
        <w:rPr>
          <w:position w:val="5"/>
          <w:sz w:val="14"/>
        </w:rPr>
        <w:tab/>
      </w:r>
      <w:r>
        <w:rPr>
          <w:rFonts w:ascii="Arial"/>
          <w:i/>
          <w:sz w:val="20"/>
        </w:rPr>
        <w:t>Wroth</w:t>
      </w:r>
      <w:r>
        <w:rPr>
          <w:rFonts w:ascii="Arial"/>
          <w:i/>
          <w:spacing w:val="-1"/>
          <w:sz w:val="20"/>
        </w:rPr>
        <w:t> </w:t>
      </w:r>
      <w:r>
        <w:rPr>
          <w:rFonts w:ascii="Arial"/>
          <w:i/>
          <w:sz w:val="20"/>
        </w:rPr>
        <w:t>v Tyler [1974] Ch. 30</w:t>
      </w:r>
      <w:r>
        <w:rPr>
          <w:sz w:val="20"/>
        </w:rPr>
        <w:t>: see above, para.26-</w:t>
      </w:r>
      <w:r>
        <w:rPr>
          <w:spacing w:val="-4"/>
          <w:sz w:val="20"/>
        </w:rPr>
        <w:t>085.</w:t>
      </w:r>
    </w:p>
    <w:p>
      <w:pPr>
        <w:pStyle w:val="BodyText"/>
        <w:spacing w:before="4"/>
      </w:pPr>
    </w:p>
    <w:p>
      <w:pPr>
        <w:tabs>
          <w:tab w:pos="705" w:val="left" w:leader="none"/>
        </w:tabs>
        <w:spacing w:before="1"/>
        <w:ind w:left="165" w:right="0" w:firstLine="0"/>
        <w:jc w:val="left"/>
        <w:rPr>
          <w:sz w:val="20"/>
        </w:rPr>
      </w:pPr>
      <w:bookmarkStart w:name="_bookmark981" w:id="983"/>
      <w:bookmarkEnd w:id="983"/>
      <w:r>
        <w:rPr/>
      </w:r>
      <w:hyperlink w:history="true" w:anchor="_bookmark942">
        <w:r>
          <w:rPr>
            <w:color w:val="005DA1"/>
            <w:spacing w:val="-4"/>
            <w:position w:val="5"/>
            <w:sz w:val="14"/>
            <w:u w:val="single" w:color="005DA1"/>
          </w:rPr>
          <w:t>511</w:t>
        </w:r>
      </w:hyperlink>
      <w:r>
        <w:rPr>
          <w:spacing w:val="-4"/>
          <w:position w:val="5"/>
          <w:sz w:val="14"/>
        </w:rPr>
        <w:t>.</w:t>
      </w:r>
      <w:r>
        <w:rPr>
          <w:position w:val="5"/>
          <w:sz w:val="14"/>
        </w:rPr>
        <w:tab/>
      </w:r>
      <w:r>
        <w:rPr>
          <w:rFonts w:ascii="Arial"/>
          <w:i/>
          <w:sz w:val="20"/>
        </w:rPr>
        <w:t>[1971] R.T.R. 345</w:t>
      </w:r>
      <w:r>
        <w:rPr>
          <w:rFonts w:ascii="Arial"/>
          <w:i/>
          <w:spacing w:val="-1"/>
          <w:sz w:val="20"/>
        </w:rPr>
        <w:t> </w:t>
      </w:r>
      <w:r>
        <w:rPr>
          <w:sz w:val="20"/>
        </w:rPr>
        <w:t>(sale of </w:t>
      </w:r>
      <w:r>
        <w:rPr>
          <w:spacing w:val="-2"/>
          <w:sz w:val="20"/>
        </w:rPr>
        <w:t>goods).</w:t>
      </w:r>
    </w:p>
    <w:p>
      <w:pPr>
        <w:pStyle w:val="BodyText"/>
        <w:spacing w:before="8"/>
      </w:pPr>
    </w:p>
    <w:p>
      <w:pPr>
        <w:pStyle w:val="BodyText"/>
        <w:spacing w:line="235" w:lineRule="auto"/>
        <w:ind w:left="705" w:right="167" w:hanging="541"/>
        <w:jc w:val="both"/>
      </w:pPr>
      <w:bookmarkStart w:name="_bookmark982" w:id="984"/>
      <w:bookmarkEnd w:id="984"/>
      <w:r>
        <w:rPr/>
      </w:r>
      <w:hyperlink w:history="true" w:anchor="_bookmark943">
        <w:r>
          <w:rPr>
            <w:color w:val="005DA1"/>
            <w:position w:val="5"/>
            <w:sz w:val="14"/>
            <w:u w:val="single" w:color="005DA1"/>
          </w:rPr>
          <w:t>512</w:t>
        </w:r>
      </w:hyperlink>
      <w:r>
        <w:rPr>
          <w:position w:val="5"/>
          <w:sz w:val="14"/>
        </w:rPr>
        <w:t>.</w:t>
      </w:r>
      <w:r>
        <w:rPr>
          <w:spacing w:val="80"/>
          <w:w w:val="150"/>
          <w:position w:val="5"/>
          <w:sz w:val="14"/>
        </w:rPr>
        <w:t> </w:t>
      </w:r>
      <w:r>
        <w:rPr/>
        <w:t>If the property in the goods has passed to the buyer, the seller is entitled to the price, and no question of mitigation arises. See Vol.II, paras 44-359 et seq. The buyer cannot insist on </w:t>
      </w:r>
      <w:r>
        <w:rPr/>
        <w:t>the goods being valued as at the date of breach if he was at that date indicating that he would complete the purchase: </w:t>
      </w:r>
      <w:r>
        <w:rPr>
          <w:rFonts w:ascii="Arial"/>
          <w:i/>
        </w:rPr>
        <w:t>Lakatamia Shipping Co Ltd v Nobu SU/Hisin Chi Su [2014] EWHC</w:t>
      </w:r>
      <w:r>
        <w:rPr>
          <w:rFonts w:ascii="Arial"/>
          <w:i/>
          <w:spacing w:val="40"/>
        </w:rPr>
        <w:t> </w:t>
      </w:r>
      <w:r>
        <w:rPr>
          <w:rFonts w:ascii="Arial"/>
          <w:i/>
        </w:rPr>
        <w:t>3611 (Comm) </w:t>
      </w:r>
      <w:r>
        <w:rPr/>
        <w:t>at [111].</w:t>
      </w:r>
    </w:p>
    <w:p>
      <w:pPr>
        <w:pStyle w:val="BodyText"/>
        <w:spacing w:before="8"/>
      </w:pPr>
    </w:p>
    <w:p>
      <w:pPr>
        <w:tabs>
          <w:tab w:pos="705" w:val="left" w:leader="none"/>
        </w:tabs>
        <w:spacing w:line="235" w:lineRule="auto" w:before="1"/>
        <w:ind w:left="705" w:right="174" w:hanging="541"/>
        <w:jc w:val="left"/>
        <w:rPr>
          <w:sz w:val="20"/>
        </w:rPr>
      </w:pPr>
      <w:bookmarkStart w:name="_bookmark983" w:id="985"/>
      <w:bookmarkEnd w:id="985"/>
      <w:r>
        <w:rPr/>
      </w:r>
      <w:hyperlink w:history="true" w:anchor="_bookmark944">
        <w:r>
          <w:rPr>
            <w:color w:val="005DA1"/>
            <w:spacing w:val="-4"/>
            <w:position w:val="5"/>
            <w:sz w:val="14"/>
            <w:u w:val="single" w:color="005DA1"/>
          </w:rPr>
          <w:t>513</w:t>
        </w:r>
      </w:hyperlink>
      <w:r>
        <w:rPr>
          <w:spacing w:val="-4"/>
          <w:position w:val="5"/>
          <w:sz w:val="14"/>
        </w:rPr>
        <w:t>.</w:t>
      </w:r>
      <w:r>
        <w:rPr>
          <w:position w:val="5"/>
          <w:sz w:val="14"/>
        </w:rPr>
        <w:tab/>
      </w:r>
      <w:r>
        <w:rPr>
          <w:rFonts w:ascii="Arial" w:hAnsi="Arial"/>
          <w:i/>
          <w:sz w:val="20"/>
        </w:rPr>
        <w:t>Charter v Sullivan [1957] 2 Q.B. 117 </w:t>
      </w:r>
      <w:r>
        <w:rPr>
          <w:sz w:val="20"/>
        </w:rPr>
        <w:t>(see s.50(3) of the Sale of Goods Act 1979). cf. the cases cited in Vol.II, paras 44-371—44-383. On the burden of proof see below, para.44-379 n.1746.</w:t>
      </w:r>
    </w:p>
    <w:p>
      <w:pPr>
        <w:pStyle w:val="BodyText"/>
        <w:spacing w:before="9"/>
      </w:pPr>
    </w:p>
    <w:p>
      <w:pPr>
        <w:pStyle w:val="BodyText"/>
        <w:tabs>
          <w:tab w:pos="705" w:val="left" w:leader="none"/>
        </w:tabs>
        <w:spacing w:line="235" w:lineRule="auto"/>
        <w:ind w:left="705" w:right="174" w:hanging="541"/>
      </w:pPr>
      <w:bookmarkStart w:name="_bookmark984" w:id="986"/>
      <w:bookmarkEnd w:id="986"/>
      <w:r>
        <w:rPr/>
      </w:r>
      <w:hyperlink w:history="true" w:anchor="_bookmark945">
        <w:r>
          <w:rPr>
            <w:color w:val="005DA1"/>
            <w:spacing w:val="-4"/>
            <w:position w:val="5"/>
            <w:sz w:val="14"/>
            <w:u w:val="single" w:color="005DA1"/>
          </w:rPr>
          <w:t>514</w:t>
        </w:r>
      </w:hyperlink>
      <w:r>
        <w:rPr>
          <w:spacing w:val="-4"/>
          <w:position w:val="5"/>
          <w:sz w:val="14"/>
        </w:rPr>
        <w:t>.</w:t>
      </w:r>
      <w:r>
        <w:rPr>
          <w:position w:val="5"/>
          <w:sz w:val="14"/>
        </w:rPr>
        <w:tab/>
      </w:r>
      <w:r>
        <w:rPr/>
        <w:t>In</w:t>
      </w:r>
      <w:r>
        <w:rPr>
          <w:spacing w:val="19"/>
        </w:rPr>
        <w:t> </w:t>
      </w:r>
      <w:r>
        <w:rPr/>
        <w:t>cases</w:t>
      </w:r>
      <w:r>
        <w:rPr>
          <w:spacing w:val="19"/>
        </w:rPr>
        <w:t> </w:t>
      </w:r>
      <w:r>
        <w:rPr/>
        <w:t>of</w:t>
      </w:r>
      <w:r>
        <w:rPr>
          <w:spacing w:val="19"/>
        </w:rPr>
        <w:t> </w:t>
      </w:r>
      <w:r>
        <w:rPr/>
        <w:t>wrongful</w:t>
      </w:r>
      <w:r>
        <w:rPr>
          <w:spacing w:val="19"/>
        </w:rPr>
        <w:t> </w:t>
      </w:r>
      <w:r>
        <w:rPr/>
        <w:t>dismissal,</w:t>
      </w:r>
      <w:r>
        <w:rPr>
          <w:spacing w:val="19"/>
        </w:rPr>
        <w:t> </w:t>
      </w:r>
      <w:r>
        <w:rPr/>
        <w:t>any</w:t>
      </w:r>
      <w:r>
        <w:rPr>
          <w:spacing w:val="19"/>
        </w:rPr>
        <w:t> </w:t>
      </w:r>
      <w:r>
        <w:rPr/>
        <w:t>alternative</w:t>
      </w:r>
      <w:r>
        <w:rPr>
          <w:spacing w:val="19"/>
        </w:rPr>
        <w:t> </w:t>
      </w:r>
      <w:r>
        <w:rPr/>
        <w:t>employment</w:t>
      </w:r>
      <w:r>
        <w:rPr>
          <w:spacing w:val="19"/>
        </w:rPr>
        <w:t> </w:t>
      </w:r>
      <w:r>
        <w:rPr/>
        <w:t>can</w:t>
      </w:r>
      <w:r>
        <w:rPr>
          <w:spacing w:val="19"/>
        </w:rPr>
        <w:t> </w:t>
      </w:r>
      <w:r>
        <w:rPr/>
        <w:t>obviously</w:t>
      </w:r>
      <w:r>
        <w:rPr>
          <w:spacing w:val="19"/>
        </w:rPr>
        <w:t> </w:t>
      </w:r>
      <w:r>
        <w:rPr/>
        <w:t>be</w:t>
      </w:r>
      <w:r>
        <w:rPr>
          <w:spacing w:val="19"/>
        </w:rPr>
        <w:t> </w:t>
      </w:r>
      <w:r>
        <w:rPr/>
        <w:t>no</w:t>
      </w:r>
      <w:r>
        <w:rPr>
          <w:spacing w:val="19"/>
        </w:rPr>
        <w:t> </w:t>
      </w:r>
      <w:r>
        <w:rPr/>
        <w:t>more</w:t>
      </w:r>
      <w:r>
        <w:rPr>
          <w:spacing w:val="19"/>
        </w:rPr>
        <w:t> </w:t>
      </w:r>
      <w:r>
        <w:rPr/>
        <w:t>than</w:t>
      </w:r>
      <w:r>
        <w:rPr>
          <w:spacing w:val="19"/>
        </w:rPr>
        <w:t> </w:t>
      </w:r>
      <w:r>
        <w:rPr/>
        <w:t>a “near equivalent”: see Vol.II, para.40-200.</w:t>
      </w:r>
    </w:p>
    <w:p>
      <w:pPr>
        <w:pStyle w:val="BodyText"/>
        <w:spacing w:before="9"/>
      </w:pPr>
    </w:p>
    <w:p>
      <w:pPr>
        <w:spacing w:line="235" w:lineRule="auto" w:before="0"/>
        <w:ind w:left="705" w:right="167" w:hanging="541"/>
        <w:jc w:val="both"/>
        <w:rPr>
          <w:sz w:val="20"/>
        </w:rPr>
      </w:pPr>
      <w:bookmarkStart w:name="_bookmark985" w:id="987"/>
      <w:bookmarkEnd w:id="987"/>
      <w:r>
        <w:rPr/>
      </w:r>
      <w:hyperlink w:history="true" w:anchor="_bookmark946">
        <w:r>
          <w:rPr>
            <w:color w:val="005DA1"/>
            <w:position w:val="5"/>
            <w:sz w:val="14"/>
            <w:u w:val="single" w:color="005DA1"/>
          </w:rPr>
          <w:t>515</w:t>
        </w:r>
      </w:hyperlink>
      <w:r>
        <w:rPr>
          <w:position w:val="5"/>
          <w:sz w:val="14"/>
        </w:rPr>
        <w:t>.</w:t>
      </w:r>
      <w:r>
        <w:rPr>
          <w:spacing w:val="40"/>
          <w:position w:val="5"/>
          <w:sz w:val="14"/>
        </w:rPr>
        <w:t>  </w:t>
      </w:r>
      <w:r>
        <w:rPr>
          <w:rFonts w:ascii="Arial" w:hAnsi="Arial"/>
          <w:i/>
          <w:sz w:val="20"/>
        </w:rPr>
        <w:t>Hinde v Liddell (1875) L.R. 10 Q.B. 265</w:t>
      </w:r>
      <w:r>
        <w:rPr>
          <w:sz w:val="20"/>
        </w:rPr>
        <w:t>; </w:t>
      </w:r>
      <w:r>
        <w:rPr>
          <w:rFonts w:ascii="Arial" w:hAnsi="Arial"/>
          <w:i/>
          <w:sz w:val="20"/>
        </w:rPr>
        <w:t>Erie County National Gas and Fuel Co Ltd v Carroll [1911] A.C. 105, 117</w:t>
      </w:r>
      <w:r>
        <w:rPr>
          <w:sz w:val="20"/>
        </w:rPr>
        <w:t>. The nearest equivalent may be of superior quality and so higher in price: </w:t>
      </w:r>
      <w:r>
        <w:rPr>
          <w:rFonts w:ascii="Arial" w:hAnsi="Arial"/>
          <w:i/>
          <w:sz w:val="20"/>
        </w:rPr>
        <w:t>Diamond</w:t>
      </w:r>
      <w:r>
        <w:rPr>
          <w:rFonts w:ascii="Arial" w:hAnsi="Arial"/>
          <w:i/>
          <w:spacing w:val="-3"/>
          <w:sz w:val="20"/>
        </w:rPr>
        <w:t> </w:t>
      </w:r>
      <w:r>
        <w:rPr>
          <w:rFonts w:ascii="Arial" w:hAnsi="Arial"/>
          <w:i/>
          <w:sz w:val="20"/>
        </w:rPr>
        <w:t>Cutting</w:t>
      </w:r>
      <w:r>
        <w:rPr>
          <w:rFonts w:ascii="Arial" w:hAnsi="Arial"/>
          <w:i/>
          <w:spacing w:val="-3"/>
          <w:sz w:val="20"/>
        </w:rPr>
        <w:t> </w:t>
      </w:r>
      <w:r>
        <w:rPr>
          <w:rFonts w:ascii="Arial" w:hAnsi="Arial"/>
          <w:i/>
          <w:sz w:val="20"/>
        </w:rPr>
        <w:t>Works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Treifus</w:t>
      </w:r>
      <w:r>
        <w:rPr>
          <w:rFonts w:ascii="Arial" w:hAnsi="Arial"/>
          <w:i/>
          <w:spacing w:val="-3"/>
          <w:sz w:val="20"/>
        </w:rPr>
        <w:t> </w:t>
      </w:r>
      <w:r>
        <w:rPr>
          <w:rFonts w:ascii="Arial" w:hAnsi="Arial"/>
          <w:i/>
          <w:sz w:val="20"/>
        </w:rPr>
        <w:t>[1956]</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216</w:t>
      </w:r>
      <w:r>
        <w:rPr>
          <w:sz w:val="20"/>
        </w:rPr>
        <w:t>.</w:t>
      </w:r>
      <w:r>
        <w:rPr>
          <w:spacing w:val="-3"/>
          <w:sz w:val="20"/>
        </w:rPr>
        <w:t> </w:t>
      </w:r>
      <w:r>
        <w:rPr>
          <w:sz w:val="20"/>
        </w:rPr>
        <w:t>The</w:t>
      </w:r>
      <w:r>
        <w:rPr>
          <w:spacing w:val="-3"/>
          <w:sz w:val="20"/>
        </w:rPr>
        <w:t> </w:t>
      </w:r>
      <w:r>
        <w:rPr>
          <w:sz w:val="20"/>
        </w:rPr>
        <w:t>claimant</w:t>
      </w:r>
      <w:r>
        <w:rPr>
          <w:spacing w:val="-3"/>
          <w:sz w:val="20"/>
        </w:rPr>
        <w:t> </w:t>
      </w:r>
      <w:r>
        <w:rPr>
          <w:sz w:val="20"/>
        </w:rPr>
        <w:t>may</w:t>
      </w:r>
      <w:r>
        <w:rPr>
          <w:spacing w:val="-3"/>
          <w:sz w:val="20"/>
        </w:rPr>
        <w:t> </w:t>
      </w:r>
      <w:r>
        <w:rPr>
          <w:sz w:val="20"/>
        </w:rPr>
        <w:t>also</w:t>
      </w:r>
      <w:r>
        <w:rPr>
          <w:spacing w:val="-3"/>
          <w:sz w:val="20"/>
        </w:rPr>
        <w:t> </w:t>
      </w:r>
      <w:r>
        <w:rPr>
          <w:sz w:val="20"/>
        </w:rPr>
        <w:t>recover</w:t>
      </w:r>
      <w:r>
        <w:rPr>
          <w:spacing w:val="-3"/>
          <w:sz w:val="20"/>
        </w:rPr>
        <w:t> </w:t>
      </w:r>
      <w:r>
        <w:rPr>
          <w:sz w:val="20"/>
        </w:rPr>
        <w:t>any extra cost arising from his adapting the nearest substitute to suit his requirements, to the extent that goods of the contractual description would suit these requirements: </w:t>
      </w:r>
      <w:r>
        <w:rPr>
          <w:rFonts w:ascii="Arial" w:hAnsi="Arial"/>
          <w:i/>
          <w:sz w:val="20"/>
        </w:rPr>
        <w:t>Blackburn Bobbin Co Ltd v T. W. Allen &amp; Sons Ltd [1918] 1 K.B. 540, 554 </w:t>
      </w:r>
      <w:r>
        <w:rPr>
          <w:sz w:val="20"/>
        </w:rPr>
        <w:t>(appeal decided on another ground: </w:t>
      </w:r>
      <w:r>
        <w:rPr>
          <w:rFonts w:ascii="Arial" w:hAnsi="Arial"/>
          <w:i/>
          <w:sz w:val="20"/>
        </w:rPr>
        <w:t>[1918] 2 K.B. 467</w:t>
      </w:r>
      <w:r>
        <w:rPr>
          <w:sz w:val="20"/>
        </w:rPr>
        <w:t>). Similarly, where a seller manufactured goods to the buyer’s requirements, but he failed to accept them, the seller may recover as part of his damages the expense incurred in adapting the goods to suit another buyer: </w:t>
      </w:r>
      <w:r>
        <w:rPr>
          <w:rFonts w:ascii="Arial" w:hAnsi="Arial"/>
          <w:i/>
          <w:sz w:val="20"/>
        </w:rPr>
        <w:t>Re Vic Mill Ltd [1913] 1 Ch. 465, 473, 474</w:t>
      </w:r>
      <w:r>
        <w:rPr>
          <w:sz w:val="20"/>
        </w:rPr>
        <w:t>.</w:t>
      </w:r>
    </w:p>
    <w:p>
      <w:pPr>
        <w:pStyle w:val="BodyText"/>
        <w:spacing w:before="3"/>
      </w:pPr>
    </w:p>
    <w:p>
      <w:pPr>
        <w:pStyle w:val="BodyText"/>
        <w:tabs>
          <w:tab w:pos="705" w:val="left" w:leader="none"/>
        </w:tabs>
        <w:ind w:left="165"/>
      </w:pPr>
      <w:bookmarkStart w:name="_bookmark986" w:id="988"/>
      <w:bookmarkEnd w:id="988"/>
      <w:r>
        <w:rPr/>
      </w:r>
      <w:hyperlink w:history="true" w:anchor="_bookmark947">
        <w:r>
          <w:rPr>
            <w:color w:val="005DA1"/>
            <w:spacing w:val="-4"/>
            <w:position w:val="5"/>
            <w:sz w:val="14"/>
            <w:u w:val="single" w:color="005DA1"/>
          </w:rPr>
          <w:t>516</w:t>
        </w:r>
      </w:hyperlink>
      <w:r>
        <w:rPr>
          <w:spacing w:val="-4"/>
          <w:position w:val="5"/>
          <w:sz w:val="14"/>
        </w:rPr>
        <w:t>.</w:t>
      </w:r>
      <w:r>
        <w:rPr>
          <w:position w:val="5"/>
          <w:sz w:val="14"/>
        </w:rPr>
        <w:tab/>
      </w:r>
      <w:r>
        <w:rPr/>
        <w:t>See</w:t>
      </w:r>
      <w:r>
        <w:rPr>
          <w:spacing w:val="-2"/>
        </w:rPr>
        <w:t> </w:t>
      </w:r>
      <w:r>
        <w:rPr/>
        <w:t>above, para.24-</w:t>
      </w:r>
      <w:r>
        <w:rPr>
          <w:spacing w:val="-4"/>
        </w:rPr>
        <w:t>025.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87" w:id="989"/>
      <w:bookmarkEnd w:id="989"/>
      <w:r>
        <w:rPr/>
      </w:r>
      <w:hyperlink w:history="true" w:anchor="_bookmark948">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Brown</w:t>
      </w:r>
      <w:r>
        <w:rPr>
          <w:rFonts w:ascii="Arial"/>
          <w:i/>
          <w:spacing w:val="14"/>
          <w:sz w:val="20"/>
        </w:rPr>
        <w:t> </w:t>
      </w:r>
      <w:r>
        <w:rPr>
          <w:rFonts w:ascii="Arial"/>
          <w:i/>
          <w:sz w:val="20"/>
        </w:rPr>
        <w:t>v</w:t>
      </w:r>
      <w:r>
        <w:rPr>
          <w:rFonts w:ascii="Arial"/>
          <w:i/>
          <w:spacing w:val="15"/>
          <w:sz w:val="20"/>
        </w:rPr>
        <w:t> </w:t>
      </w:r>
      <w:r>
        <w:rPr>
          <w:rFonts w:ascii="Arial"/>
          <w:i/>
          <w:sz w:val="20"/>
        </w:rPr>
        <w:t>Muller</w:t>
      </w:r>
      <w:r>
        <w:rPr>
          <w:rFonts w:ascii="Arial"/>
          <w:i/>
          <w:spacing w:val="15"/>
          <w:sz w:val="20"/>
        </w:rPr>
        <w:t> </w:t>
      </w:r>
      <w:r>
        <w:rPr>
          <w:rFonts w:ascii="Arial"/>
          <w:i/>
          <w:sz w:val="20"/>
        </w:rPr>
        <w:t>(1872)</w:t>
      </w:r>
      <w:r>
        <w:rPr>
          <w:rFonts w:ascii="Arial"/>
          <w:i/>
          <w:spacing w:val="15"/>
          <w:sz w:val="20"/>
        </w:rPr>
        <w:t> </w:t>
      </w:r>
      <w:r>
        <w:rPr>
          <w:rFonts w:ascii="Arial"/>
          <w:i/>
          <w:sz w:val="20"/>
        </w:rPr>
        <w:t>L.R.</w:t>
      </w:r>
      <w:r>
        <w:rPr>
          <w:rFonts w:ascii="Arial"/>
          <w:i/>
          <w:spacing w:val="15"/>
          <w:sz w:val="20"/>
        </w:rPr>
        <w:t> </w:t>
      </w:r>
      <w:r>
        <w:rPr>
          <w:rFonts w:ascii="Arial"/>
          <w:i/>
          <w:sz w:val="20"/>
        </w:rPr>
        <w:t>7</w:t>
      </w:r>
      <w:r>
        <w:rPr>
          <w:rFonts w:ascii="Arial"/>
          <w:i/>
          <w:spacing w:val="15"/>
          <w:sz w:val="20"/>
        </w:rPr>
        <w:t> </w:t>
      </w:r>
      <w:r>
        <w:rPr>
          <w:rFonts w:ascii="Arial"/>
          <w:i/>
          <w:sz w:val="20"/>
        </w:rPr>
        <w:t>Ex.</w:t>
      </w:r>
      <w:r>
        <w:rPr>
          <w:rFonts w:ascii="Arial"/>
          <w:i/>
          <w:spacing w:val="15"/>
          <w:sz w:val="20"/>
        </w:rPr>
        <w:t> </w:t>
      </w:r>
      <w:r>
        <w:rPr>
          <w:rFonts w:ascii="Arial"/>
          <w:i/>
          <w:sz w:val="20"/>
        </w:rPr>
        <w:t>319</w:t>
      </w:r>
      <w:r>
        <w:rPr>
          <w:sz w:val="20"/>
        </w:rPr>
        <w:t>;</w:t>
      </w:r>
      <w:r>
        <w:rPr>
          <w:spacing w:val="15"/>
          <w:sz w:val="20"/>
        </w:rPr>
        <w:t> </w:t>
      </w:r>
      <w:r>
        <w:rPr>
          <w:rFonts w:ascii="Arial"/>
          <w:i/>
          <w:sz w:val="20"/>
        </w:rPr>
        <w:t>Roper</w:t>
      </w:r>
      <w:r>
        <w:rPr>
          <w:rFonts w:ascii="Arial"/>
          <w:i/>
          <w:spacing w:val="14"/>
          <w:sz w:val="20"/>
        </w:rPr>
        <w:t> </w:t>
      </w:r>
      <w:r>
        <w:rPr>
          <w:rFonts w:ascii="Arial"/>
          <w:i/>
          <w:sz w:val="20"/>
        </w:rPr>
        <w:t>v</w:t>
      </w:r>
      <w:r>
        <w:rPr>
          <w:rFonts w:ascii="Arial"/>
          <w:i/>
          <w:spacing w:val="15"/>
          <w:sz w:val="20"/>
        </w:rPr>
        <w:t> </w:t>
      </w:r>
      <w:r>
        <w:rPr>
          <w:rFonts w:ascii="Arial"/>
          <w:i/>
          <w:sz w:val="20"/>
        </w:rPr>
        <w:t>Johnson</w:t>
      </w:r>
      <w:r>
        <w:rPr>
          <w:rFonts w:ascii="Arial"/>
          <w:i/>
          <w:spacing w:val="15"/>
          <w:sz w:val="20"/>
        </w:rPr>
        <w:t> </w:t>
      </w:r>
      <w:r>
        <w:rPr>
          <w:rFonts w:ascii="Arial"/>
          <w:i/>
          <w:sz w:val="20"/>
        </w:rPr>
        <w:t>(1873)</w:t>
      </w:r>
      <w:r>
        <w:rPr>
          <w:rFonts w:ascii="Arial"/>
          <w:i/>
          <w:spacing w:val="15"/>
          <w:sz w:val="20"/>
        </w:rPr>
        <w:t> </w:t>
      </w:r>
      <w:r>
        <w:rPr>
          <w:rFonts w:ascii="Arial"/>
          <w:i/>
          <w:sz w:val="20"/>
        </w:rPr>
        <w:t>L.R.</w:t>
      </w:r>
      <w:r>
        <w:rPr>
          <w:rFonts w:ascii="Arial"/>
          <w:i/>
          <w:spacing w:val="15"/>
          <w:sz w:val="20"/>
        </w:rPr>
        <w:t> </w:t>
      </w:r>
      <w:r>
        <w:rPr>
          <w:rFonts w:ascii="Arial"/>
          <w:i/>
          <w:sz w:val="20"/>
        </w:rPr>
        <w:t>8</w:t>
      </w:r>
      <w:r>
        <w:rPr>
          <w:rFonts w:ascii="Arial"/>
          <w:i/>
          <w:spacing w:val="15"/>
          <w:sz w:val="20"/>
        </w:rPr>
        <w:t> </w:t>
      </w:r>
      <w:r>
        <w:rPr>
          <w:rFonts w:ascii="Arial"/>
          <w:i/>
          <w:sz w:val="20"/>
        </w:rPr>
        <w:t>C.P.</w:t>
      </w:r>
      <w:r>
        <w:rPr>
          <w:rFonts w:ascii="Arial"/>
          <w:i/>
          <w:spacing w:val="15"/>
          <w:sz w:val="20"/>
        </w:rPr>
        <w:t> </w:t>
      </w:r>
      <w:r>
        <w:rPr>
          <w:rFonts w:ascii="Arial"/>
          <w:i/>
          <w:sz w:val="20"/>
        </w:rPr>
        <w:t>167</w:t>
      </w:r>
      <w:r>
        <w:rPr>
          <w:sz w:val="20"/>
        </w:rPr>
        <w:t>;</w:t>
      </w:r>
      <w:r>
        <w:rPr>
          <w:spacing w:val="15"/>
          <w:sz w:val="20"/>
        </w:rPr>
        <w:t> </w:t>
      </w:r>
      <w:r>
        <w:rPr>
          <w:rFonts w:ascii="Arial"/>
          <w:i/>
          <w:sz w:val="20"/>
        </w:rPr>
        <w:t>Melachrino</w:t>
      </w:r>
      <w:r>
        <w:rPr>
          <w:rFonts w:ascii="Arial"/>
          <w:i/>
          <w:spacing w:val="15"/>
          <w:sz w:val="20"/>
        </w:rPr>
        <w:t> </w:t>
      </w:r>
      <w:r>
        <w:rPr>
          <w:rFonts w:ascii="Arial"/>
          <w:i/>
          <w:spacing w:val="-10"/>
          <w:sz w:val="20"/>
        </w:rPr>
        <w:t>v</w:t>
      </w:r>
    </w:p>
    <w:p>
      <w:pPr>
        <w:spacing w:line="227" w:lineRule="exact" w:before="0"/>
        <w:ind w:left="705" w:right="0" w:firstLine="0"/>
        <w:jc w:val="left"/>
        <w:rPr>
          <w:sz w:val="20"/>
        </w:rPr>
      </w:pPr>
      <w:r>
        <w:rPr>
          <w:rFonts w:ascii="Arial"/>
          <w:i/>
          <w:sz w:val="20"/>
        </w:rPr>
        <w:t>Nickoll</w:t>
      </w:r>
      <w:r>
        <w:rPr>
          <w:rFonts w:ascii="Arial"/>
          <w:i/>
          <w:spacing w:val="-1"/>
          <w:sz w:val="20"/>
        </w:rPr>
        <w:t> </w:t>
      </w:r>
      <w:r>
        <w:rPr>
          <w:rFonts w:ascii="Arial"/>
          <w:i/>
          <w:sz w:val="20"/>
        </w:rPr>
        <w:t>&amp; Knight [1920] 1 K.B. 693</w:t>
      </w:r>
      <w:r>
        <w:rPr>
          <w:sz w:val="20"/>
        </w:rPr>
        <w:t>. See below, para.26-103; Vol.II, paras 44-380, 44-</w:t>
      </w:r>
      <w:r>
        <w:rPr>
          <w:spacing w:val="-4"/>
          <w:sz w:val="20"/>
        </w:rPr>
        <w:t>393.</w:t>
      </w:r>
    </w:p>
    <w:p>
      <w:pPr>
        <w:pStyle w:val="BodyText"/>
        <w:spacing w:before="9"/>
      </w:pPr>
    </w:p>
    <w:p>
      <w:pPr>
        <w:pStyle w:val="BodyText"/>
        <w:tabs>
          <w:tab w:pos="705" w:val="left" w:leader="none"/>
        </w:tabs>
        <w:spacing w:line="235" w:lineRule="auto"/>
        <w:ind w:left="705" w:right="174" w:hanging="541"/>
      </w:pPr>
      <w:bookmarkStart w:name="_bookmark988" w:id="990"/>
      <w:bookmarkEnd w:id="990"/>
      <w:r>
        <w:rPr/>
      </w:r>
      <w:hyperlink w:history="true" w:anchor="_bookmark949">
        <w:r>
          <w:rPr>
            <w:color w:val="005DA1"/>
            <w:spacing w:val="-4"/>
            <w:position w:val="5"/>
            <w:sz w:val="14"/>
            <w:u w:val="single" w:color="005DA1"/>
          </w:rPr>
          <w:t>518</w:t>
        </w:r>
      </w:hyperlink>
      <w:r>
        <w:rPr>
          <w:spacing w:val="-4"/>
          <w:position w:val="5"/>
          <w:sz w:val="14"/>
        </w:rPr>
        <w:t>.</w:t>
      </w:r>
      <w:r>
        <w:rPr>
          <w:position w:val="5"/>
          <w:sz w:val="14"/>
        </w:rPr>
        <w:tab/>
      </w:r>
      <w:r>
        <w:rPr/>
        <w:t>If</w:t>
      </w:r>
      <w:r>
        <w:rPr>
          <w:spacing w:val="14"/>
        </w:rPr>
        <w:t> </w:t>
      </w:r>
      <w:r>
        <w:rPr/>
        <w:t>the</w:t>
      </w:r>
      <w:r>
        <w:rPr>
          <w:spacing w:val="14"/>
        </w:rPr>
        <w:t> </w:t>
      </w:r>
      <w:r>
        <w:rPr/>
        <w:t>property</w:t>
      </w:r>
      <w:r>
        <w:rPr>
          <w:spacing w:val="14"/>
        </w:rPr>
        <w:t> </w:t>
      </w:r>
      <w:r>
        <w:rPr/>
        <w:t>in</w:t>
      </w:r>
      <w:r>
        <w:rPr>
          <w:spacing w:val="14"/>
        </w:rPr>
        <w:t> </w:t>
      </w:r>
      <w:r>
        <w:rPr/>
        <w:t>the</w:t>
      </w:r>
      <w:r>
        <w:rPr>
          <w:spacing w:val="14"/>
        </w:rPr>
        <w:t> </w:t>
      </w:r>
      <w:r>
        <w:rPr/>
        <w:t>goods</w:t>
      </w:r>
      <w:r>
        <w:rPr>
          <w:spacing w:val="14"/>
        </w:rPr>
        <w:t> </w:t>
      </w:r>
      <w:r>
        <w:rPr/>
        <w:t>has</w:t>
      </w:r>
      <w:r>
        <w:rPr>
          <w:spacing w:val="14"/>
        </w:rPr>
        <w:t> </w:t>
      </w:r>
      <w:r>
        <w:rPr/>
        <w:t>passed</w:t>
      </w:r>
      <w:r>
        <w:rPr>
          <w:spacing w:val="14"/>
        </w:rPr>
        <w:t> </w:t>
      </w:r>
      <w:r>
        <w:rPr/>
        <w:t>to</w:t>
      </w:r>
      <w:r>
        <w:rPr>
          <w:spacing w:val="14"/>
        </w:rPr>
        <w:t> </w:t>
      </w:r>
      <w:r>
        <w:rPr/>
        <w:t>the</w:t>
      </w:r>
      <w:r>
        <w:rPr>
          <w:spacing w:val="14"/>
        </w:rPr>
        <w:t> </w:t>
      </w:r>
      <w:r>
        <w:rPr/>
        <w:t>buyer,</w:t>
      </w:r>
      <w:r>
        <w:rPr>
          <w:spacing w:val="14"/>
        </w:rPr>
        <w:t> </w:t>
      </w:r>
      <w:r>
        <w:rPr/>
        <w:t>the</w:t>
      </w:r>
      <w:r>
        <w:rPr>
          <w:spacing w:val="14"/>
        </w:rPr>
        <w:t> </w:t>
      </w:r>
      <w:r>
        <w:rPr/>
        <w:t>seller</w:t>
      </w:r>
      <w:r>
        <w:rPr>
          <w:spacing w:val="14"/>
        </w:rPr>
        <w:t> </w:t>
      </w:r>
      <w:r>
        <w:rPr/>
        <w:t>is</w:t>
      </w:r>
      <w:r>
        <w:rPr>
          <w:spacing w:val="14"/>
        </w:rPr>
        <w:t> </w:t>
      </w:r>
      <w:r>
        <w:rPr/>
        <w:t>entitled</w:t>
      </w:r>
      <w:r>
        <w:rPr>
          <w:spacing w:val="14"/>
        </w:rPr>
        <w:t> </w:t>
      </w:r>
      <w:r>
        <w:rPr/>
        <w:t>to</w:t>
      </w:r>
      <w:r>
        <w:rPr>
          <w:spacing w:val="14"/>
        </w:rPr>
        <w:t> </w:t>
      </w:r>
      <w:r>
        <w:rPr/>
        <w:t>the</w:t>
      </w:r>
      <w:r>
        <w:rPr>
          <w:spacing w:val="14"/>
        </w:rPr>
        <w:t> </w:t>
      </w:r>
      <w:r>
        <w:rPr/>
        <w:t>price,</w:t>
      </w:r>
      <w:r>
        <w:rPr>
          <w:spacing w:val="14"/>
        </w:rPr>
        <w:t> </w:t>
      </w:r>
      <w:r>
        <w:rPr/>
        <w:t>and</w:t>
      </w:r>
      <w:r>
        <w:rPr>
          <w:spacing w:val="14"/>
        </w:rPr>
        <w:t> </w:t>
      </w:r>
      <w:r>
        <w:rPr/>
        <w:t>no question of mitigation arises. See Vol.II, paras 44-359 et seq.</w:t>
      </w:r>
    </w:p>
    <w:p>
      <w:pPr>
        <w:pStyle w:val="BodyText"/>
        <w:spacing w:before="5"/>
      </w:pPr>
    </w:p>
    <w:p>
      <w:pPr>
        <w:tabs>
          <w:tab w:pos="705" w:val="left" w:leader="none"/>
        </w:tabs>
        <w:spacing w:before="0"/>
        <w:ind w:left="165" w:right="0" w:firstLine="0"/>
        <w:jc w:val="left"/>
        <w:rPr>
          <w:sz w:val="20"/>
        </w:rPr>
      </w:pPr>
      <w:bookmarkStart w:name="_bookmark989" w:id="991"/>
      <w:bookmarkEnd w:id="991"/>
      <w:r>
        <w:rPr/>
      </w:r>
      <w:hyperlink w:history="true" w:anchor="_bookmark950">
        <w:r>
          <w:rPr>
            <w:color w:val="005DA1"/>
            <w:spacing w:val="-4"/>
            <w:position w:val="5"/>
            <w:sz w:val="14"/>
            <w:u w:val="single" w:color="005DA1"/>
          </w:rPr>
          <w:t>519</w:t>
        </w:r>
      </w:hyperlink>
      <w:r>
        <w:rPr>
          <w:spacing w:val="-4"/>
          <w:position w:val="5"/>
          <w:sz w:val="14"/>
        </w:rPr>
        <w:t>.</w:t>
      </w:r>
      <w:r>
        <w:rPr>
          <w:position w:val="5"/>
          <w:sz w:val="14"/>
        </w:rPr>
        <w:tab/>
      </w:r>
      <w:r>
        <w:rPr>
          <w:rFonts w:ascii="Arial"/>
          <w:i/>
          <w:sz w:val="20"/>
        </w:rPr>
        <w:t>[1962] A.C. 413</w:t>
      </w:r>
      <w:r>
        <w:rPr>
          <w:rFonts w:ascii="Arial"/>
          <w:i/>
          <w:spacing w:val="-1"/>
          <w:sz w:val="20"/>
        </w:rPr>
        <w:t> </w:t>
      </w:r>
      <w:r>
        <w:rPr>
          <w:sz w:val="20"/>
        </w:rPr>
        <w:t>(below, para.26-</w:t>
      </w:r>
      <w:r>
        <w:rPr>
          <w:spacing w:val="-2"/>
          <w:sz w:val="20"/>
        </w:rPr>
        <w:t>104).</w:t>
      </w:r>
    </w:p>
    <w:p>
      <w:pPr>
        <w:pStyle w:val="BodyText"/>
        <w:spacing w:before="5"/>
      </w:pPr>
    </w:p>
    <w:p>
      <w:pPr>
        <w:pStyle w:val="BodyText"/>
        <w:tabs>
          <w:tab w:pos="705" w:val="left" w:leader="none"/>
        </w:tabs>
        <w:ind w:left="165"/>
      </w:pPr>
      <w:bookmarkStart w:name="_bookmark990" w:id="992"/>
      <w:bookmarkEnd w:id="992"/>
      <w:r>
        <w:rPr/>
      </w:r>
      <w:hyperlink w:history="true" w:anchor="_bookmark951">
        <w:r>
          <w:rPr>
            <w:color w:val="005DA1"/>
            <w:spacing w:val="-4"/>
            <w:position w:val="5"/>
            <w:sz w:val="14"/>
            <w:u w:val="single" w:color="005DA1"/>
          </w:rPr>
          <w:t>520</w:t>
        </w:r>
      </w:hyperlink>
      <w:r>
        <w:rPr>
          <w:spacing w:val="-4"/>
          <w:position w:val="5"/>
          <w:sz w:val="14"/>
        </w:rPr>
        <w:t>.</w:t>
      </w:r>
      <w:r>
        <w:rPr>
          <w:position w:val="5"/>
          <w:sz w:val="14"/>
        </w:rPr>
        <w:tab/>
      </w:r>
      <w:r>
        <w:rPr/>
        <w:t>See</w:t>
      </w:r>
      <w:r>
        <w:rPr>
          <w:spacing w:val="-2"/>
        </w:rPr>
        <w:t> </w:t>
      </w:r>
      <w:r>
        <w:rPr/>
        <w:t>below, para.26-</w:t>
      </w:r>
      <w:r>
        <w:rPr>
          <w:spacing w:val="-4"/>
        </w:rPr>
        <w:t>106.</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6"/>
        </w:numPr>
        <w:tabs>
          <w:tab w:pos="3425" w:val="left" w:leader="none"/>
        </w:tabs>
        <w:spacing w:line="240" w:lineRule="auto" w:before="194" w:after="0"/>
        <w:ind w:left="3425" w:right="0" w:hanging="373"/>
        <w:jc w:val="left"/>
        <w:rPr>
          <w:b/>
          <w:sz w:val="24"/>
        </w:rPr>
      </w:pPr>
      <w:r>
        <w:rPr>
          <w:b/>
          <w:sz w:val="24"/>
        </w:rPr>
        <w:t>- Offers by the </w:t>
      </w:r>
      <w:r>
        <w:rPr>
          <w:b/>
          <w:spacing w:val="-2"/>
          <w:sz w:val="24"/>
        </w:rPr>
        <w:t>Defendant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Offer by </w:t>
      </w:r>
      <w:r>
        <w:rPr>
          <w:rFonts w:ascii="Arial"/>
          <w:b/>
          <w:spacing w:val="-2"/>
          <w:sz w:val="18"/>
        </w:rPr>
        <w:t>defendant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093</w:t>
      </w:r>
    </w:p>
    <w:p>
      <w:pPr>
        <w:pStyle w:val="BodyText"/>
        <w:spacing w:line="235" w:lineRule="auto" w:before="202"/>
        <w:ind w:left="164" w:right="167"/>
        <w:jc w:val="both"/>
      </w:pPr>
      <w:bookmarkStart w:name="_bookmark991" w:id="993"/>
      <w:bookmarkEnd w:id="993"/>
      <w:r>
        <w:rPr/>
      </w:r>
      <w:r>
        <w:rPr/>
        <w:t>The opportunity to mitigate the loss may arise through an offer made by the party who committed </w:t>
      </w:r>
      <w:r>
        <w:rPr/>
        <w:t>the </w:t>
      </w:r>
      <w:bookmarkStart w:name="_bookmark992" w:id="994"/>
      <w:bookmarkEnd w:id="994"/>
      <w:r>
        <w:rPr/>
        <w:t>breach</w:t>
      </w:r>
      <w:r>
        <w:rPr/>
        <w:t> of contract: if the claimant unreasonably </w:t>
      </w:r>
      <w:r>
        <w:rPr>
          <w:color w:val="005DA1"/>
          <w:u w:val="single" w:color="005DA1"/>
          <w:vertAlign w:val="superscript"/>
        </w:rPr>
        <w:t>521</w:t>
      </w:r>
      <w:r>
        <w:rPr>
          <w:color w:val="005DA1"/>
          <w:vertAlign w:val="baseline"/>
        </w:rPr>
        <w:t> </w:t>
      </w:r>
      <w:r>
        <w:rPr>
          <w:vertAlign w:val="baseline"/>
        </w:rPr>
        <w:t>refuses to accept the offer he is in breach of his duty to mitigate his loss. </w:t>
      </w:r>
      <w:r>
        <w:rPr>
          <w:color w:val="005DA1"/>
          <w:u w:val="single" w:color="005DA1"/>
          <w:vertAlign w:val="superscript"/>
        </w:rPr>
        <w:t>522</w:t>
      </w:r>
      <w:r>
        <w:rPr>
          <w:color w:val="005DA1"/>
          <w:vertAlign w:val="baseline"/>
        </w:rPr>
        <w:t> </w:t>
      </w:r>
      <w:r>
        <w:rPr>
          <w:vertAlign w:val="baseline"/>
        </w:rPr>
        <w:t>Thus in a construction contract, the employer’s refusal to allow the </w:t>
      </w:r>
      <w:bookmarkStart w:name="_bookmark993" w:id="995"/>
      <w:bookmarkEnd w:id="995"/>
      <w:r>
        <w:rPr>
          <w:vertAlign w:val="baseline"/>
        </w:rPr>
        <w:t>contractor</w:t>
      </w:r>
      <w:r>
        <w:rPr>
          <w:vertAlign w:val="baseline"/>
        </w:rPr>
        <w:t> to remedy defective work may amount to a failure to mitigate with the result that the employer can recover no more than it would have cost the contractor to do the work. </w:t>
      </w:r>
      <w:r>
        <w:rPr>
          <w:color w:val="005DA1"/>
          <w:u w:val="single" w:color="005DA1"/>
          <w:vertAlign w:val="superscript"/>
        </w:rPr>
        <w:t>523</w:t>
      </w:r>
      <w:r>
        <w:rPr>
          <w:color w:val="005DA1"/>
          <w:vertAlign w:val="baseline"/>
        </w:rPr>
        <w:t> </w:t>
      </w:r>
      <w:r>
        <w:rPr>
          <w:vertAlign w:val="baseline"/>
        </w:rPr>
        <w:t>Where a seller in breach of his contract declined to deliver goods on the agreed credit terms but offered to do so on terms of “cash on delivery”, and the buyer refused and claimed as damages the difference between the contract price and the higher market price on the date for delivery, the refusal of the </w:t>
      </w:r>
      <w:bookmarkStart w:name="_bookmark994" w:id="996"/>
      <w:bookmarkEnd w:id="996"/>
      <w:r>
        <w:rPr>
          <w:vertAlign w:val="baseline"/>
        </w:rPr>
        <w:t>buyer</w:t>
      </w:r>
      <w:r>
        <w:rPr>
          <w:vertAlign w:val="baseline"/>
        </w:rPr>
        <w:t> to accept the seller’s offer was held to be unreasonable, and resulted in a reduction in the damages. </w:t>
      </w:r>
      <w:r>
        <w:rPr>
          <w:color w:val="005DA1"/>
          <w:u w:val="single" w:color="005DA1"/>
          <w:vertAlign w:val="superscript"/>
        </w:rPr>
        <w:t>524</w:t>
      </w:r>
      <w:r>
        <w:rPr>
          <w:color w:val="005DA1"/>
          <w:vertAlign w:val="baseline"/>
        </w:rPr>
        <w:t> </w:t>
      </w:r>
      <w:r>
        <w:rPr>
          <w:vertAlign w:val="baseline"/>
        </w:rPr>
        <w:t>Similarly, where the plaintiff bought a ship from the defendant, who could not deliver her </w:t>
      </w:r>
      <w:bookmarkStart w:name="_bookmark995" w:id="997"/>
      <w:bookmarkEnd w:id="997"/>
      <w:r>
        <w:rPr>
          <w:vertAlign w:val="baseline"/>
        </w:rPr>
        <w:t>on</w:t>
      </w:r>
      <w:r>
        <w:rPr>
          <w:vertAlign w:val="baseline"/>
        </w:rPr>
        <w:t> the agreed date, it was held that it would have been reasonable for the plaintiff to mitigate his loss by accepting her late delivery at the original price. </w:t>
      </w:r>
      <w:r>
        <w:rPr>
          <w:color w:val="005DA1"/>
          <w:u w:val="single" w:color="005DA1"/>
          <w:vertAlign w:val="superscript"/>
        </w:rPr>
        <w:t>525</w:t>
      </w:r>
      <w:r>
        <w:rPr>
          <w:color w:val="005DA1"/>
          <w:vertAlign w:val="baseline"/>
        </w:rPr>
        <w:t> </w:t>
      </w:r>
      <w:r>
        <w:rPr>
          <w:vertAlign w:val="baseline"/>
        </w:rPr>
        <w:t>(The plaintiff was, of course, entitled to claim damages for any residual loss arising from the delay.) Where the vendor offered to repurchase a house which he sold with vacant possession but which was in fact occupied by a protected tenant, it was held that the buyer was not obliged by the doctrine of mitigation to accept the offer: his choice to </w:t>
      </w:r>
      <w:bookmarkStart w:name="_bookmark996" w:id="998"/>
      <w:bookmarkEnd w:id="998"/>
      <w:r>
        <w:rPr>
          <w:vertAlign w:val="baseline"/>
        </w:rPr>
        <w:t>retain</w:t>
      </w:r>
      <w:r>
        <w:rPr>
          <w:vertAlign w:val="baseline"/>
        </w:rPr>
        <w:t> the house and to sue for damages for the breach of contract was not to be subjected to the test of reasonableness. </w:t>
      </w:r>
      <w:r>
        <w:rPr>
          <w:color w:val="005DA1"/>
          <w:u w:val="single" w:color="005DA1"/>
          <w:vertAlign w:val="superscript"/>
        </w:rPr>
        <w:t>526</w:t>
      </w:r>
    </w:p>
    <w:p>
      <w:pPr>
        <w:pStyle w:val="BodyText"/>
      </w:pPr>
    </w:p>
    <w:p>
      <w:pPr>
        <w:pStyle w:val="BodyText"/>
        <w:spacing w:before="32"/>
      </w:pPr>
    </w:p>
    <w:p>
      <w:pPr>
        <w:spacing w:before="0"/>
        <w:ind w:left="165" w:right="0" w:firstLine="0"/>
        <w:jc w:val="both"/>
        <w:rPr>
          <w:rFonts w:ascii="Arial"/>
          <w:b/>
          <w:sz w:val="18"/>
        </w:rPr>
      </w:pPr>
      <w:r>
        <w:rPr>
          <w:rFonts w:ascii="Arial"/>
          <w:b/>
          <w:sz w:val="18"/>
        </w:rPr>
        <w:t>Amount of damages or cost to the </w:t>
      </w:r>
      <w:r>
        <w:rPr>
          <w:rFonts w:ascii="Arial"/>
          <w:b/>
          <w:spacing w:val="-2"/>
          <w:sz w:val="18"/>
        </w:rPr>
        <w:t>defendant?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094</w:t>
      </w:r>
    </w:p>
    <w:p>
      <w:pPr>
        <w:pStyle w:val="BodyText"/>
        <w:spacing w:line="235" w:lineRule="auto" w:before="202"/>
        <w:ind w:left="164" w:right="167"/>
        <w:jc w:val="both"/>
      </w:pPr>
      <w:bookmarkStart w:name="_bookmark997" w:id="999"/>
      <w:bookmarkEnd w:id="999"/>
      <w:r>
        <w:rPr/>
      </w:r>
      <w:r>
        <w:rPr/>
        <w:t>It is not clear that </w:t>
      </w:r>
      <w:r>
        <w:rPr>
          <w:rFonts w:ascii="Arial" w:hAnsi="Arial"/>
          <w:i/>
        </w:rPr>
        <w:t>Payzu v Saunders </w:t>
      </w:r>
      <w:r>
        <w:rPr>
          <w:color w:val="005DA1"/>
          <w:u w:val="single" w:color="005DA1"/>
          <w:vertAlign w:val="superscript"/>
        </w:rPr>
        <w:t>527</w:t>
      </w:r>
      <w:r>
        <w:rPr>
          <w:color w:val="005DA1"/>
          <w:vertAlign w:val="baseline"/>
        </w:rPr>
        <w:t> </w:t>
      </w:r>
      <w:r>
        <w:rPr>
          <w:vertAlign w:val="baseline"/>
        </w:rPr>
        <w:t>was correctly decided. While the plaintiff’s refusal of </w:t>
      </w:r>
      <w:r>
        <w:rPr>
          <w:vertAlign w:val="baseline"/>
        </w:rPr>
        <w:t>the defendant’s offer to supply for cash at the original contract price increased the amount of damages claimed, it does not seem to have increased the overall cost to the defendant. The defendant would have been left with the original goods and could have sold them at the higher market price. It is submitted that the reasonableness of the claimant’s actions should be judged by whether or not they </w:t>
      </w:r>
      <w:bookmarkStart w:name="_bookmark998" w:id="1000"/>
      <w:bookmarkEnd w:id="1000"/>
      <w:r>
        <w:rPr>
          <w:vertAlign w:val="baseline"/>
        </w:rPr>
        <w:t>increase</w:t>
      </w:r>
      <w:r>
        <w:rPr>
          <w:vertAlign w:val="baseline"/>
        </w:rPr>
        <w:t> the overall cost to the defendant rather than by whether they increase the amount of damages claimed. </w:t>
      </w:r>
      <w:r>
        <w:rPr>
          <w:color w:val="005DA1"/>
          <w:u w:val="single" w:color="005DA1"/>
          <w:vertAlign w:val="superscript"/>
        </w:rPr>
        <w:t>528</w:t>
      </w:r>
    </w:p>
    <w:p>
      <w:pPr>
        <w:pStyle w:val="BodyText"/>
      </w:pPr>
    </w:p>
    <w:p>
      <w:pPr>
        <w:pStyle w:val="BodyText"/>
        <w:spacing w:before="37"/>
      </w:pPr>
      <w:r>
        <w:rPr/>
        <mc:AlternateContent>
          <mc:Choice Requires="wps">
            <w:drawing>
              <wp:anchor distT="0" distB="0" distL="0" distR="0" allowOverlap="1" layoutInCell="1" locked="0" behindDoc="1" simplePos="0" relativeHeight="487642624">
                <wp:simplePos x="0" y="0"/>
                <wp:positionH relativeFrom="page">
                  <wp:posOffset>914400</wp:posOffset>
                </wp:positionH>
                <wp:positionV relativeFrom="paragraph">
                  <wp:posOffset>185349</wp:posOffset>
                </wp:positionV>
                <wp:extent cx="5724525"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4422pt;width:450.75pt;height:.1pt;mso-position-horizontal-relative:page;mso-position-vertical-relative:paragraph;z-index:-15673856;mso-wrap-distance-left:0;mso-wrap-distance-right:0" id="docshape53"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999" w:id="1001"/>
      <w:bookmarkEnd w:id="1001"/>
      <w:r>
        <w:rPr/>
      </w:r>
      <w:hyperlink w:history="true" w:anchor="_bookmark991">
        <w:r>
          <w:rPr>
            <w:color w:val="005DA1"/>
            <w:position w:val="5"/>
            <w:sz w:val="14"/>
            <w:u w:val="single" w:color="005DA1"/>
          </w:rPr>
          <w:t>521</w:t>
        </w:r>
      </w:hyperlink>
      <w:r>
        <w:rPr>
          <w:position w:val="5"/>
          <w:sz w:val="14"/>
        </w:rPr>
        <w:t>.</w:t>
      </w:r>
      <w:r>
        <w:rPr>
          <w:spacing w:val="40"/>
          <w:position w:val="5"/>
          <w:sz w:val="14"/>
        </w:rPr>
        <w:t>  </w:t>
      </w:r>
      <w:r>
        <w:rPr>
          <w:sz w:val="20"/>
        </w:rPr>
        <w:t>It is not reasonable for the offer to be on terms that the claimant should relinquish his </w:t>
      </w:r>
      <w:r>
        <w:rPr>
          <w:sz w:val="20"/>
        </w:rPr>
        <w:t>claim against the defendant for damages: </w:t>
      </w:r>
      <w:r>
        <w:rPr>
          <w:rFonts w:ascii="Arial"/>
          <w:i/>
          <w:sz w:val="20"/>
        </w:rPr>
        <w:t>Shindler v Northern Raincoat Co Ltd [1960] 1 W.L.R. 1038</w:t>
      </w:r>
      <w:r>
        <w:rPr>
          <w:sz w:val="20"/>
        </w:rPr>
        <w:t>. It was reasonable to reject an offer from a defendant whose behaviour has been such as to cause</w:t>
      </w:r>
      <w:r>
        <w:rPr>
          <w:spacing w:val="-2"/>
          <w:sz w:val="20"/>
        </w:rPr>
        <w:t> </w:t>
      </w:r>
      <w:r>
        <w:rPr>
          <w:sz w:val="20"/>
        </w:rPr>
        <w:t>a</w:t>
      </w:r>
      <w:r>
        <w:rPr>
          <w:spacing w:val="-2"/>
          <w:sz w:val="20"/>
        </w:rPr>
        <w:t> </w:t>
      </w:r>
      <w:r>
        <w:rPr>
          <w:sz w:val="20"/>
        </w:rPr>
        <w:t>complete</w:t>
      </w:r>
      <w:r>
        <w:rPr>
          <w:spacing w:val="-2"/>
          <w:sz w:val="20"/>
        </w:rPr>
        <w:t> </w:t>
      </w:r>
      <w:r>
        <w:rPr>
          <w:sz w:val="20"/>
        </w:rPr>
        <w:t>lack</w:t>
      </w:r>
      <w:r>
        <w:rPr>
          <w:spacing w:val="-2"/>
          <w:sz w:val="20"/>
        </w:rPr>
        <w:t> </w:t>
      </w:r>
      <w:r>
        <w:rPr>
          <w:sz w:val="20"/>
        </w:rPr>
        <w:t>of</w:t>
      </w:r>
      <w:r>
        <w:rPr>
          <w:spacing w:val="-2"/>
          <w:sz w:val="20"/>
        </w:rPr>
        <w:t> </w:t>
      </w:r>
      <w:r>
        <w:rPr>
          <w:sz w:val="20"/>
        </w:rPr>
        <w:t>trust:</w:t>
      </w:r>
      <w:r>
        <w:rPr>
          <w:spacing w:val="-2"/>
          <w:sz w:val="20"/>
        </w:rPr>
        <w:t> </w:t>
      </w:r>
      <w:r>
        <w:rPr>
          <w:rFonts w:ascii="Arial"/>
          <w:i/>
          <w:sz w:val="20"/>
        </w:rPr>
        <w:t>Gul</w:t>
      </w:r>
      <w:r>
        <w:rPr>
          <w:rFonts w:ascii="Arial"/>
          <w:i/>
          <w:spacing w:val="-2"/>
          <w:sz w:val="20"/>
        </w:rPr>
        <w:t> </w:t>
      </w:r>
      <w:r>
        <w:rPr>
          <w:rFonts w:ascii="Arial"/>
          <w:i/>
          <w:sz w:val="20"/>
        </w:rPr>
        <w:t>Bottlers</w:t>
      </w:r>
      <w:r>
        <w:rPr>
          <w:rFonts w:ascii="Arial"/>
          <w:i/>
          <w:spacing w:val="-2"/>
          <w:sz w:val="20"/>
        </w:rPr>
        <w:t> </w:t>
      </w:r>
      <w:r>
        <w:rPr>
          <w:rFonts w:ascii="Arial"/>
          <w:i/>
          <w:sz w:val="20"/>
        </w:rPr>
        <w:t>(PVT)</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Nichols</w:t>
      </w:r>
      <w:r>
        <w:rPr>
          <w:rFonts w:ascii="Arial"/>
          <w:i/>
          <w:spacing w:val="-2"/>
          <w:sz w:val="20"/>
        </w:rPr>
        <w:t> </w:t>
      </w:r>
      <w:r>
        <w:rPr>
          <w:rFonts w:ascii="Arial"/>
          <w:i/>
          <w:sz w:val="20"/>
        </w:rPr>
        <w:t>Plc</w:t>
      </w:r>
      <w:r>
        <w:rPr>
          <w:rFonts w:ascii="Arial"/>
          <w:i/>
          <w:spacing w:val="-2"/>
          <w:sz w:val="20"/>
        </w:rPr>
        <w:t> </w:t>
      </w:r>
      <w:r>
        <w:rPr>
          <w:rFonts w:ascii="Arial"/>
          <w:i/>
          <w:sz w:val="20"/>
        </w:rPr>
        <w:t>[2014]</w:t>
      </w:r>
      <w:r>
        <w:rPr>
          <w:rFonts w:ascii="Arial"/>
          <w:i/>
          <w:spacing w:val="-2"/>
          <w:sz w:val="20"/>
        </w:rPr>
        <w:t> </w:t>
      </w:r>
      <w:r>
        <w:rPr>
          <w:rFonts w:ascii="Arial"/>
          <w:i/>
          <w:sz w:val="20"/>
        </w:rPr>
        <w:t>EWHC</w:t>
      </w:r>
      <w:r>
        <w:rPr>
          <w:rFonts w:ascii="Arial"/>
          <w:i/>
          <w:spacing w:val="-2"/>
          <w:sz w:val="20"/>
        </w:rPr>
        <w:t> </w:t>
      </w:r>
      <w:r>
        <w:rPr>
          <w:rFonts w:ascii="Arial"/>
          <w:i/>
          <w:sz w:val="20"/>
        </w:rPr>
        <w:t>2173</w:t>
      </w:r>
      <w:r>
        <w:rPr>
          <w:rFonts w:ascii="Arial"/>
          <w:i/>
          <w:spacing w:val="-2"/>
          <w:sz w:val="20"/>
        </w:rPr>
        <w:t> </w:t>
      </w:r>
      <w:r>
        <w:rPr>
          <w:rFonts w:ascii="Arial"/>
          <w:i/>
          <w:sz w:val="20"/>
        </w:rPr>
        <w:t>(Comm) </w:t>
      </w:r>
      <w:r>
        <w:rPr>
          <w:sz w:val="20"/>
        </w:rPr>
        <w:t>at [24].</w:t>
      </w:r>
    </w:p>
    <w:p>
      <w:pPr>
        <w:spacing w:after="0" w:line="235" w:lineRule="auto"/>
        <w:jc w:val="both"/>
        <w:rPr>
          <w:sz w:val="20"/>
        </w:rPr>
        <w:sectPr>
          <w:headerReference w:type="default" r:id="rId29"/>
          <w:pgSz w:w="11900" w:h="16840"/>
          <w:pgMar w:header="971" w:footer="0" w:top="1300" w:bottom="280" w:left="1275" w:right="1275"/>
          <w:pgNumType w:start="1"/>
        </w:sectPr>
      </w:pPr>
    </w:p>
    <w:p>
      <w:pPr>
        <w:spacing w:line="235" w:lineRule="auto" w:before="170"/>
        <w:ind w:left="705" w:right="168" w:hanging="541"/>
        <w:jc w:val="both"/>
        <w:rPr>
          <w:sz w:val="20"/>
        </w:rPr>
      </w:pPr>
      <w:bookmarkStart w:name="_bookmark1000" w:id="1002"/>
      <w:bookmarkEnd w:id="1002"/>
      <w:r>
        <w:rPr/>
      </w:r>
      <w:hyperlink w:history="true" w:anchor="_bookmark992">
        <w:r>
          <w:rPr>
            <w:color w:val="005DA1"/>
            <w:position w:val="5"/>
            <w:sz w:val="14"/>
            <w:u w:val="single" w:color="005DA1"/>
          </w:rPr>
          <w:t>522</w:t>
        </w:r>
      </w:hyperlink>
      <w:r>
        <w:rPr>
          <w:position w:val="5"/>
          <w:sz w:val="14"/>
        </w:rPr>
        <w:t>.</w:t>
      </w:r>
      <w:r>
        <w:rPr>
          <w:spacing w:val="40"/>
          <w:position w:val="5"/>
          <w:sz w:val="14"/>
        </w:rPr>
        <w:t>  </w:t>
      </w:r>
      <w:r>
        <w:rPr>
          <w:rFonts w:ascii="Arial" w:hAnsi="Arial"/>
          <w:i/>
          <w:sz w:val="20"/>
        </w:rPr>
        <w:t>Payzu v Saunders [1919] 2 K.B. 581</w:t>
      </w:r>
      <w:r>
        <w:rPr>
          <w:sz w:val="20"/>
        </w:rPr>
        <w:t>; </w:t>
      </w:r>
      <w:r>
        <w:rPr>
          <w:rFonts w:ascii="Arial" w:hAnsi="Arial"/>
          <w:i/>
          <w:sz w:val="20"/>
        </w:rPr>
        <w:t>Houndsditch Warehouse Co v Waltex [1944] K.B. </w:t>
      </w:r>
      <w:r>
        <w:rPr>
          <w:rFonts w:ascii="Arial" w:hAnsi="Arial"/>
          <w:i/>
          <w:sz w:val="20"/>
        </w:rPr>
        <w:t>579</w:t>
      </w:r>
      <w:r>
        <w:rPr>
          <w:sz w:val="20"/>
        </w:rPr>
        <w:t>; </w:t>
      </w:r>
      <w:r>
        <w:rPr>
          <w:rFonts w:ascii="Arial" w:hAnsi="Arial"/>
          <w:i/>
          <w:sz w:val="20"/>
        </w:rPr>
        <w:t>Brace v Calder [1895] 2 Q.B. 253 </w:t>
      </w:r>
      <w:r>
        <w:rPr>
          <w:sz w:val="20"/>
        </w:rPr>
        <w:t>(contract of service). cf. </w:t>
      </w:r>
      <w:r>
        <w:rPr>
          <w:rFonts w:ascii="Arial" w:hAnsi="Arial"/>
          <w:i/>
          <w:sz w:val="20"/>
        </w:rPr>
        <w:t>Edwards v Society of Graphical and Allied Trades [1971] Ch. 354</w:t>
      </w:r>
      <w:r>
        <w:rPr>
          <w:sz w:val="20"/>
        </w:rPr>
        <w:t>; </w:t>
      </w:r>
      <w:r>
        <w:rPr>
          <w:rFonts w:ascii="Arial" w:hAnsi="Arial"/>
          <w:i/>
          <w:sz w:val="20"/>
        </w:rPr>
        <w:t>A.B.D. (Metals &amp; Waste) Ltd v Anglo Chemical &amp; Ore Co Ltd [1955] 2 Lloyd’s Rep. 456</w:t>
      </w:r>
      <w:r>
        <w:rPr>
          <w:sz w:val="20"/>
        </w:rPr>
        <w:t>.</w:t>
      </w:r>
    </w:p>
    <w:p>
      <w:pPr>
        <w:pStyle w:val="BodyText"/>
        <w:spacing w:before="9"/>
      </w:pPr>
    </w:p>
    <w:p>
      <w:pPr>
        <w:spacing w:line="235" w:lineRule="auto" w:before="0"/>
        <w:ind w:left="705" w:right="168" w:hanging="541"/>
        <w:jc w:val="both"/>
        <w:rPr>
          <w:sz w:val="20"/>
        </w:rPr>
      </w:pPr>
      <w:bookmarkStart w:name="_bookmark1001" w:id="1003"/>
      <w:bookmarkEnd w:id="1003"/>
      <w:r>
        <w:rPr/>
      </w:r>
      <w:hyperlink w:history="true" w:anchor="_bookmark993">
        <w:r>
          <w:rPr>
            <w:color w:val="005DA1"/>
            <w:position w:val="5"/>
            <w:sz w:val="14"/>
            <w:u w:val="single" w:color="005DA1"/>
          </w:rPr>
          <w:t>523</w:t>
        </w:r>
      </w:hyperlink>
      <w:r>
        <w:rPr>
          <w:position w:val="5"/>
          <w:sz w:val="14"/>
        </w:rPr>
        <w:t>.</w:t>
      </w:r>
      <w:r>
        <w:rPr>
          <w:spacing w:val="80"/>
          <w:position w:val="5"/>
          <w:sz w:val="14"/>
        </w:rPr>
        <w:t>  </w:t>
      </w:r>
      <w:r>
        <w:rPr>
          <w:rFonts w:ascii="Arial" w:hAnsi="Arial"/>
          <w:i/>
          <w:sz w:val="20"/>
        </w:rPr>
        <w:t>Woodlands Oak Ltd v Conwell [2011] EWCA Civ 254, [2011] B.L.R. 365 </w:t>
      </w:r>
      <w:r>
        <w:rPr>
          <w:sz w:val="20"/>
        </w:rPr>
        <w:t>at [24]. The contract may give the contractor to the right to rectify defects, in which case if the employer refuses to allow the contractor to do so, the employer’s recovery will be similarly limited: see </w:t>
      </w:r>
      <w:r>
        <w:rPr>
          <w:rFonts w:ascii="Arial" w:hAnsi="Arial"/>
          <w:i/>
          <w:sz w:val="20"/>
        </w:rPr>
        <w:t>Pearce &amp; High Ltd v Baxter 66 Con. L.R. 110 </w:t>
      </w:r>
      <w:r>
        <w:rPr>
          <w:sz w:val="20"/>
        </w:rPr>
        <w:t>at [19].</w:t>
      </w:r>
    </w:p>
    <w:p>
      <w:pPr>
        <w:pStyle w:val="BodyText"/>
        <w:spacing w:before="8"/>
      </w:pPr>
    </w:p>
    <w:p>
      <w:pPr>
        <w:spacing w:line="235" w:lineRule="auto" w:before="0"/>
        <w:ind w:left="705" w:right="167" w:hanging="541"/>
        <w:jc w:val="both"/>
        <w:rPr>
          <w:sz w:val="20"/>
        </w:rPr>
      </w:pPr>
      <w:bookmarkStart w:name="_bookmark1002" w:id="1004"/>
      <w:bookmarkEnd w:id="1004"/>
      <w:r>
        <w:rPr/>
      </w:r>
      <w:hyperlink w:history="true" w:anchor="_bookmark994">
        <w:r>
          <w:rPr>
            <w:color w:val="005DA1"/>
            <w:position w:val="5"/>
            <w:sz w:val="14"/>
            <w:u w:val="single" w:color="005DA1"/>
          </w:rPr>
          <w:t>524</w:t>
        </w:r>
      </w:hyperlink>
      <w:r>
        <w:rPr>
          <w:position w:val="5"/>
          <w:sz w:val="14"/>
        </w:rPr>
        <w:t>.</w:t>
      </w:r>
      <w:r>
        <w:rPr>
          <w:spacing w:val="40"/>
          <w:position w:val="5"/>
          <w:sz w:val="14"/>
        </w:rPr>
        <w:t>  </w:t>
      </w:r>
      <w:r>
        <w:rPr>
          <w:rFonts w:ascii="Arial" w:hAnsi="Arial"/>
          <w:i/>
          <w:sz w:val="20"/>
        </w:rPr>
        <w:t>Payzu v Saunders [1919] 2 K.B. 581</w:t>
      </w:r>
      <w:r>
        <w:rPr>
          <w:sz w:val="20"/>
        </w:rPr>
        <w:t>. But a buyer who rejects goods on the ground of defective quality is not required to accept them if offered by the seller in mitigation since this would undermine the buyer’s right to reject: </w:t>
      </w:r>
      <w:r>
        <w:rPr>
          <w:rFonts w:ascii="Arial" w:hAnsi="Arial"/>
          <w:i/>
          <w:sz w:val="20"/>
        </w:rPr>
        <w:t>Heaven &amp; Kesterton Ltd v Etablissements François Albiac &amp; Cie [1956] 2 Lloyd’s Rep. 316</w:t>
      </w:r>
      <w:r>
        <w:rPr>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1003" w:id="1005"/>
      <w:bookmarkEnd w:id="1005"/>
      <w:r>
        <w:rPr/>
      </w:r>
      <w:hyperlink w:history="true" w:anchor="_bookmark995">
        <w:r>
          <w:rPr>
            <w:color w:val="005DA1"/>
            <w:spacing w:val="-4"/>
            <w:position w:val="5"/>
            <w:sz w:val="14"/>
            <w:u w:val="single" w:color="005DA1"/>
          </w:rPr>
          <w:t>525</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Solholt</w:t>
      </w:r>
      <w:r>
        <w:rPr>
          <w:rFonts w:ascii="Arial" w:hAnsi="Arial"/>
          <w:i/>
          <w:spacing w:val="-1"/>
          <w:sz w:val="20"/>
        </w:rPr>
        <w:t> </w:t>
      </w:r>
      <w:r>
        <w:rPr>
          <w:rFonts w:ascii="Arial" w:hAnsi="Arial"/>
          <w:i/>
          <w:sz w:val="20"/>
        </w:rPr>
        <w:t>[1983]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605</w:t>
      </w:r>
      <w:r>
        <w:rPr>
          <w:sz w:val="20"/>
        </w:rPr>
        <w:t>.</w:t>
      </w:r>
      <w:r>
        <w:rPr>
          <w:spacing w:val="-1"/>
          <w:sz w:val="20"/>
        </w:rPr>
        <w:t> </w:t>
      </w:r>
      <w:r>
        <w:rPr>
          <w:sz w:val="20"/>
        </w:rPr>
        <w:t>(The</w:t>
      </w:r>
      <w:r>
        <w:rPr>
          <w:spacing w:val="-1"/>
          <w:sz w:val="20"/>
        </w:rPr>
        <w:t> </w:t>
      </w:r>
      <w:r>
        <w:rPr>
          <w:sz w:val="20"/>
        </w:rPr>
        <w:t>Court</w:t>
      </w:r>
      <w:r>
        <w:rPr>
          <w:spacing w:val="-1"/>
          <w:sz w:val="20"/>
        </w:rPr>
        <w:t> </w:t>
      </w:r>
      <w:r>
        <w:rPr>
          <w:sz w:val="20"/>
        </w:rPr>
        <w:t>of</w:t>
      </w:r>
      <w:r>
        <w:rPr>
          <w:spacing w:val="-1"/>
          <w:sz w:val="20"/>
        </w:rPr>
        <w:t> </w:t>
      </w:r>
      <w:r>
        <w:rPr>
          <w:sz w:val="20"/>
        </w:rPr>
        <w:t>Appeal</w:t>
      </w:r>
      <w:r>
        <w:rPr>
          <w:spacing w:val="-1"/>
          <w:sz w:val="20"/>
        </w:rPr>
        <w:t> </w:t>
      </w:r>
      <w:r>
        <w:rPr>
          <w:sz w:val="20"/>
        </w:rPr>
        <w:t>held</w:t>
      </w:r>
      <w:r>
        <w:rPr>
          <w:spacing w:val="-1"/>
          <w:sz w:val="20"/>
        </w:rPr>
        <w:t> </w:t>
      </w:r>
      <w:r>
        <w:rPr>
          <w:sz w:val="20"/>
        </w:rPr>
        <w:t>that</w:t>
      </w:r>
      <w:r>
        <w:rPr>
          <w:spacing w:val="-1"/>
          <w:sz w:val="20"/>
        </w:rPr>
        <w:t> </w:t>
      </w:r>
      <w:r>
        <w:rPr>
          <w:sz w:val="20"/>
        </w:rPr>
        <w:t>on</w:t>
      </w:r>
      <w:r>
        <w:rPr>
          <w:spacing w:val="-1"/>
          <w:sz w:val="20"/>
        </w:rPr>
        <w:t> </w:t>
      </w:r>
      <w:r>
        <w:rPr>
          <w:sz w:val="20"/>
        </w:rPr>
        <w:t>the</w:t>
      </w:r>
      <w:r>
        <w:rPr>
          <w:spacing w:val="-1"/>
          <w:sz w:val="20"/>
        </w:rPr>
        <w:t> </w:t>
      </w:r>
      <w:r>
        <w:rPr>
          <w:sz w:val="20"/>
        </w:rPr>
        <w:t>facts</w:t>
      </w:r>
      <w:r>
        <w:rPr>
          <w:spacing w:val="-1"/>
          <w:sz w:val="20"/>
        </w:rPr>
        <w:t> </w:t>
      </w:r>
      <w:r>
        <w:rPr>
          <w:sz w:val="20"/>
        </w:rPr>
        <w:t>it</w:t>
      </w:r>
      <w:r>
        <w:rPr>
          <w:spacing w:val="-1"/>
          <w:sz w:val="20"/>
        </w:rPr>
        <w:t> </w:t>
      </w:r>
      <w:r>
        <w:rPr>
          <w:sz w:val="20"/>
        </w:rPr>
        <w:t>would</w:t>
      </w:r>
      <w:r>
        <w:rPr>
          <w:spacing w:val="-1"/>
          <w:sz w:val="20"/>
        </w:rPr>
        <w:t> </w:t>
      </w:r>
      <w:r>
        <w:rPr>
          <w:sz w:val="20"/>
        </w:rPr>
        <w:t>have been reasonable for the buyer to have taken the initiative in making the offer.)</w:t>
      </w:r>
    </w:p>
    <w:p>
      <w:pPr>
        <w:pStyle w:val="BodyText"/>
        <w:spacing w:before="9"/>
      </w:pPr>
    </w:p>
    <w:p>
      <w:pPr>
        <w:pStyle w:val="BodyText"/>
        <w:spacing w:line="235" w:lineRule="auto"/>
        <w:ind w:left="705" w:right="167" w:hanging="541"/>
        <w:jc w:val="both"/>
      </w:pPr>
      <w:bookmarkStart w:name="_bookmark1004" w:id="1006"/>
      <w:bookmarkEnd w:id="1006"/>
      <w:r>
        <w:rPr/>
      </w:r>
      <w:hyperlink w:history="true" w:anchor="_bookmark996">
        <w:r>
          <w:rPr>
            <w:color w:val="005DA1"/>
            <w:position w:val="5"/>
            <w:sz w:val="14"/>
            <w:u w:val="single" w:color="005DA1"/>
          </w:rPr>
          <w:t>526</w:t>
        </w:r>
      </w:hyperlink>
      <w:r>
        <w:rPr>
          <w:position w:val="5"/>
          <w:sz w:val="14"/>
        </w:rPr>
        <w:t>.</w:t>
      </w:r>
      <w:r>
        <w:rPr>
          <w:spacing w:val="80"/>
          <w:position w:val="5"/>
          <w:sz w:val="14"/>
        </w:rPr>
        <w:t>  </w:t>
      </w:r>
      <w:r>
        <w:rPr>
          <w:rFonts w:ascii="Arial" w:hAnsi="Arial"/>
          <w:i/>
        </w:rPr>
        <w:t>Strutt v Whitnell [1975] 1 W.L.R. 870</w:t>
      </w:r>
      <w:r>
        <w:rPr/>
        <w:t>; cf. </w:t>
      </w:r>
      <w:r>
        <w:rPr>
          <w:rFonts w:ascii="Arial" w:hAnsi="Arial"/>
          <w:i/>
        </w:rPr>
        <w:t>The Solholt [1983] 1 Lloyd’s Rep. 605</w:t>
      </w:r>
      <w:r>
        <w:rPr/>
        <w:t>; cf. also </w:t>
      </w:r>
      <w:r>
        <w:rPr>
          <w:rFonts w:ascii="Arial" w:hAnsi="Arial"/>
          <w:i/>
        </w:rPr>
        <w:t>Hussey v</w:t>
      </w:r>
      <w:r>
        <w:rPr>
          <w:rFonts w:ascii="Arial" w:hAnsi="Arial"/>
          <w:i/>
          <w:spacing w:val="-3"/>
        </w:rPr>
        <w:t> </w:t>
      </w:r>
      <w:r>
        <w:rPr>
          <w:rFonts w:ascii="Arial" w:hAnsi="Arial"/>
          <w:i/>
        </w:rPr>
        <w:t>Eels</w:t>
      </w:r>
      <w:r>
        <w:rPr>
          <w:rFonts w:ascii="Arial" w:hAnsi="Arial"/>
          <w:i/>
          <w:spacing w:val="-3"/>
        </w:rPr>
        <w:t> </w:t>
      </w:r>
      <w:r>
        <w:rPr>
          <w:rFonts w:ascii="Arial" w:hAnsi="Arial"/>
          <w:i/>
        </w:rPr>
        <w:t>[1990]</w:t>
      </w:r>
      <w:r>
        <w:rPr>
          <w:rFonts w:ascii="Arial" w:hAnsi="Arial"/>
          <w:i/>
          <w:spacing w:val="-3"/>
        </w:rPr>
        <w:t> </w:t>
      </w:r>
      <w:r>
        <w:rPr>
          <w:rFonts w:ascii="Arial" w:hAnsi="Arial"/>
          <w:i/>
        </w:rPr>
        <w:t>2</w:t>
      </w:r>
      <w:r>
        <w:rPr>
          <w:rFonts w:ascii="Arial" w:hAnsi="Arial"/>
          <w:i/>
          <w:spacing w:val="-3"/>
        </w:rPr>
        <w:t> </w:t>
      </w:r>
      <w:r>
        <w:rPr>
          <w:rFonts w:ascii="Arial" w:hAnsi="Arial"/>
          <w:i/>
        </w:rPr>
        <w:t>Q.B.</w:t>
      </w:r>
      <w:r>
        <w:rPr>
          <w:rFonts w:ascii="Arial" w:hAnsi="Arial"/>
          <w:i/>
          <w:spacing w:val="-3"/>
        </w:rPr>
        <w:t> </w:t>
      </w:r>
      <w:r>
        <w:rPr>
          <w:rFonts w:ascii="Arial" w:hAnsi="Arial"/>
          <w:i/>
        </w:rPr>
        <w:t>227</w:t>
      </w:r>
      <w:r>
        <w:rPr>
          <w:rFonts w:ascii="Arial" w:hAnsi="Arial"/>
          <w:i/>
          <w:spacing w:val="-3"/>
        </w:rPr>
        <w:t> </w:t>
      </w:r>
      <w:r>
        <w:rPr/>
        <w:t>(see</w:t>
      </w:r>
      <w:r>
        <w:rPr>
          <w:spacing w:val="-3"/>
        </w:rPr>
        <w:t> </w:t>
      </w:r>
      <w:r>
        <w:rPr/>
        <w:t>below,</w:t>
      </w:r>
      <w:r>
        <w:rPr>
          <w:spacing w:val="-3"/>
        </w:rPr>
        <w:t> </w:t>
      </w:r>
      <w:r>
        <w:rPr/>
        <w:t>para.26-095</w:t>
      </w:r>
      <w:r>
        <w:rPr>
          <w:spacing w:val="-3"/>
        </w:rPr>
        <w:t> </w:t>
      </w:r>
      <w:r>
        <w:rPr/>
        <w:t>n.493).</w:t>
      </w:r>
      <w:r>
        <w:rPr>
          <w:spacing w:val="-3"/>
        </w:rPr>
        <w:t> </w:t>
      </w:r>
      <w:r>
        <w:rPr/>
        <w:t>On</w:t>
      </w:r>
      <w:r>
        <w:rPr>
          <w:spacing w:val="-3"/>
        </w:rPr>
        <w:t> </w:t>
      </w:r>
      <w:r>
        <w:rPr/>
        <w:t>the</w:t>
      </w:r>
      <w:r>
        <w:rPr>
          <w:spacing w:val="-3"/>
        </w:rPr>
        <w:t> </w:t>
      </w:r>
      <w:r>
        <w:rPr/>
        <w:t>choice</w:t>
      </w:r>
      <w:r>
        <w:rPr>
          <w:spacing w:val="-3"/>
        </w:rPr>
        <w:t> </w:t>
      </w:r>
      <w:r>
        <w:rPr/>
        <w:t>between</w:t>
      </w:r>
      <w:r>
        <w:rPr>
          <w:spacing w:val="-3"/>
        </w:rPr>
        <w:t> </w:t>
      </w:r>
      <w:r>
        <w:rPr/>
        <w:t>remedies,</w:t>
      </w:r>
      <w:r>
        <w:rPr>
          <w:spacing w:val="-3"/>
        </w:rPr>
        <w:t> </w:t>
      </w:r>
      <w:r>
        <w:rPr/>
        <w:t>see below,</w:t>
      </w:r>
      <w:r>
        <w:rPr>
          <w:spacing w:val="-2"/>
        </w:rPr>
        <w:t> </w:t>
      </w:r>
      <w:r>
        <w:rPr/>
        <w:t>para.26-103.</w:t>
      </w:r>
      <w:r>
        <w:rPr>
          <w:spacing w:val="-2"/>
        </w:rPr>
        <w:t> </w:t>
      </w:r>
      <w:r>
        <w:rPr/>
        <w:t>In</w:t>
      </w:r>
      <w:r>
        <w:rPr>
          <w:spacing w:val="-3"/>
        </w:rPr>
        <w:t> </w:t>
      </w:r>
      <w:r>
        <w:rPr>
          <w:rFonts w:ascii="Arial" w:hAnsi="Arial"/>
          <w:i/>
        </w:rPr>
        <w:t>Activa</w:t>
      </w:r>
      <w:r>
        <w:rPr>
          <w:rFonts w:ascii="Arial" w:hAnsi="Arial"/>
          <w:i/>
          <w:spacing w:val="-2"/>
        </w:rPr>
        <w:t> </w:t>
      </w:r>
      <w:r>
        <w:rPr>
          <w:rFonts w:ascii="Arial" w:hAnsi="Arial"/>
          <w:i/>
        </w:rPr>
        <w:t>DPS</w:t>
      </w:r>
      <w:r>
        <w:rPr>
          <w:rFonts w:ascii="Arial" w:hAnsi="Arial"/>
          <w:i/>
          <w:spacing w:val="-2"/>
        </w:rPr>
        <w:t> </w:t>
      </w:r>
      <w:r>
        <w:rPr>
          <w:rFonts w:ascii="Arial" w:hAnsi="Arial"/>
          <w:i/>
        </w:rPr>
        <w:t>Europe</w:t>
      </w:r>
      <w:r>
        <w:rPr>
          <w:rFonts w:ascii="Arial" w:hAnsi="Arial"/>
          <w:i/>
          <w:spacing w:val="-2"/>
        </w:rPr>
        <w:t> </w:t>
      </w:r>
      <w:r>
        <w:rPr>
          <w:rFonts w:ascii="Arial" w:hAnsi="Arial"/>
          <w:i/>
        </w:rPr>
        <w:t>Sarl</w:t>
      </w:r>
      <w:r>
        <w:rPr>
          <w:rFonts w:ascii="Arial" w:hAnsi="Arial"/>
          <w:i/>
          <w:spacing w:val="-2"/>
        </w:rPr>
        <w:t> </w:t>
      </w:r>
      <w:r>
        <w:rPr>
          <w:rFonts w:ascii="Arial" w:hAnsi="Arial"/>
          <w:i/>
        </w:rPr>
        <w:t>v</w:t>
      </w:r>
      <w:r>
        <w:rPr>
          <w:rFonts w:ascii="Arial" w:hAnsi="Arial"/>
          <w:i/>
          <w:spacing w:val="-2"/>
        </w:rPr>
        <w:t> </w:t>
      </w:r>
      <w:r>
        <w:rPr>
          <w:rFonts w:ascii="Arial" w:hAnsi="Arial"/>
          <w:i/>
        </w:rPr>
        <w:t>Pressure</w:t>
      </w:r>
      <w:r>
        <w:rPr>
          <w:rFonts w:ascii="Arial" w:hAnsi="Arial"/>
          <w:i/>
          <w:spacing w:val="-2"/>
        </w:rPr>
        <w:t> </w:t>
      </w:r>
      <w:r>
        <w:rPr>
          <w:rFonts w:ascii="Arial" w:hAnsi="Arial"/>
          <w:i/>
        </w:rPr>
        <w:t>Seal</w:t>
      </w:r>
      <w:r>
        <w:rPr>
          <w:rFonts w:ascii="Arial" w:hAnsi="Arial"/>
          <w:i/>
          <w:spacing w:val="-2"/>
        </w:rPr>
        <w:t> </w:t>
      </w:r>
      <w:r>
        <w:rPr>
          <w:rFonts w:ascii="Arial" w:hAnsi="Arial"/>
          <w:i/>
        </w:rPr>
        <w:t>Solutions</w:t>
      </w:r>
      <w:r>
        <w:rPr>
          <w:rFonts w:ascii="Arial" w:hAnsi="Arial"/>
          <w:i/>
          <w:spacing w:val="-2"/>
        </w:rPr>
        <w:t> </w:t>
      </w:r>
      <w:r>
        <w:rPr>
          <w:rFonts w:ascii="Arial" w:hAnsi="Arial"/>
          <w:i/>
        </w:rPr>
        <w:t>Ltd</w:t>
      </w:r>
      <w:r>
        <w:rPr>
          <w:rFonts w:ascii="Arial" w:hAnsi="Arial"/>
          <w:i/>
          <w:spacing w:val="-2"/>
        </w:rPr>
        <w:t> </w:t>
      </w:r>
      <w:r>
        <w:rPr>
          <w:rFonts w:ascii="Arial" w:hAnsi="Arial"/>
          <w:i/>
        </w:rPr>
        <w:t>[2012]</w:t>
      </w:r>
      <w:r>
        <w:rPr>
          <w:rFonts w:ascii="Arial" w:hAnsi="Arial"/>
          <w:i/>
          <w:spacing w:val="-2"/>
        </w:rPr>
        <w:t> </w:t>
      </w:r>
      <w:r>
        <w:rPr>
          <w:rFonts w:ascii="Arial" w:hAnsi="Arial"/>
          <w:i/>
        </w:rPr>
        <w:t>EWCA</w:t>
      </w:r>
      <w:r>
        <w:rPr>
          <w:rFonts w:ascii="Arial" w:hAnsi="Arial"/>
          <w:i/>
          <w:spacing w:val="-2"/>
        </w:rPr>
        <w:t> </w:t>
      </w:r>
      <w:r>
        <w:rPr>
          <w:rFonts w:ascii="Arial" w:hAnsi="Arial"/>
          <w:i/>
        </w:rPr>
        <w:t>Civ 943 </w:t>
      </w:r>
      <w:r>
        <w:rPr/>
        <w:t>a buyer who claimed that the goods were not fit for the purpose had offered them back to the seller, who had refused to take them back. The buyer then argued that the seller had failed to mitigate. The Court of Appeal upheld the Recorder’s findings that, first, the goods were not unfit and secondly, that “the duty to mitigate did not extend to requiring the party who had suffered damage to undo the transaction which had caused it loss” (see at [34]). Patten L.J. remarked</w:t>
      </w:r>
      <w:r>
        <w:rPr>
          <w:spacing w:val="-2"/>
        </w:rPr>
        <w:t> </w:t>
      </w:r>
      <w:r>
        <w:rPr/>
        <w:t>that</w:t>
      </w:r>
      <w:r>
        <w:rPr>
          <w:spacing w:val="-2"/>
        </w:rPr>
        <w:t> </w:t>
      </w:r>
      <w:r>
        <w:rPr/>
        <w:t>“there</w:t>
      </w:r>
      <w:r>
        <w:rPr>
          <w:spacing w:val="-2"/>
        </w:rPr>
        <w:t> </w:t>
      </w:r>
      <w:r>
        <w:rPr/>
        <w:t>is</w:t>
      </w:r>
      <w:r>
        <w:rPr>
          <w:spacing w:val="-2"/>
        </w:rPr>
        <w:t> </w:t>
      </w:r>
      <w:r>
        <w:rPr/>
        <w:t>an</w:t>
      </w:r>
      <w:r>
        <w:rPr>
          <w:spacing w:val="-2"/>
        </w:rPr>
        <w:t> </w:t>
      </w:r>
      <w:r>
        <w:rPr/>
        <w:t>obvious</w:t>
      </w:r>
      <w:r>
        <w:rPr>
          <w:spacing w:val="-2"/>
        </w:rPr>
        <w:t> </w:t>
      </w:r>
      <w:r>
        <w:rPr/>
        <w:t>difference</w:t>
      </w:r>
      <w:r>
        <w:rPr>
          <w:spacing w:val="-2"/>
        </w:rPr>
        <w:t> </w:t>
      </w:r>
      <w:r>
        <w:rPr/>
        <w:t>between</w:t>
      </w:r>
      <w:r>
        <w:rPr>
          <w:spacing w:val="-2"/>
        </w:rPr>
        <w:t> </w:t>
      </w:r>
      <w:r>
        <w:rPr/>
        <w:t>taking</w:t>
      </w:r>
      <w:r>
        <w:rPr>
          <w:spacing w:val="-2"/>
        </w:rPr>
        <w:t> </w:t>
      </w:r>
      <w:r>
        <w:rPr/>
        <w:t>what</w:t>
      </w:r>
      <w:r>
        <w:rPr>
          <w:spacing w:val="-2"/>
        </w:rPr>
        <w:t> </w:t>
      </w:r>
      <w:r>
        <w:rPr/>
        <w:t>steps</w:t>
      </w:r>
      <w:r>
        <w:rPr>
          <w:spacing w:val="-2"/>
        </w:rPr>
        <w:t> </w:t>
      </w:r>
      <w:r>
        <w:rPr/>
        <w:t>are</w:t>
      </w:r>
      <w:r>
        <w:rPr>
          <w:spacing w:val="-2"/>
        </w:rPr>
        <w:t> </w:t>
      </w:r>
      <w:r>
        <w:rPr/>
        <w:t>available</w:t>
      </w:r>
      <w:r>
        <w:rPr>
          <w:spacing w:val="-2"/>
        </w:rPr>
        <w:t> </w:t>
      </w:r>
      <w:r>
        <w:rPr/>
        <w:t>to</w:t>
      </w:r>
      <w:r>
        <w:rPr>
          <w:spacing w:val="-2"/>
        </w:rPr>
        <w:t> </w:t>
      </w:r>
      <w:r>
        <w:rPr/>
        <w:t>reduce the loss under the contract caused by the breach and in effect reversing the transaction at least to the extent that goods remain in the possession of [the buyer]” (at [36]). With respect, there is an even simpler explanation for this case. The seller’s claim was for the price. The buyer’s defence that the goods were not fit for the purpose had failed, and as the property in the goods must have passed to the buyer, the seller was entitled to the full price under the Sale of Goods Act 1979 s.49(1). The doctrine of mitigation does not apply to claims under s.49. See Vol.II, paras 44-359—44-370.</w:t>
      </w:r>
    </w:p>
    <w:p>
      <w:pPr>
        <w:pStyle w:val="BodyText"/>
      </w:pPr>
    </w:p>
    <w:p>
      <w:pPr>
        <w:tabs>
          <w:tab w:pos="705" w:val="left" w:leader="none"/>
        </w:tabs>
        <w:spacing w:before="0"/>
        <w:ind w:left="165" w:right="0" w:firstLine="0"/>
        <w:jc w:val="left"/>
        <w:rPr>
          <w:sz w:val="20"/>
        </w:rPr>
      </w:pPr>
      <w:bookmarkStart w:name="_bookmark1005" w:id="1007"/>
      <w:bookmarkEnd w:id="1007"/>
      <w:r>
        <w:rPr/>
      </w:r>
      <w:hyperlink w:history="true" w:anchor="_bookmark997">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[1919]</w:t>
      </w:r>
      <w:r>
        <w:rPr>
          <w:rFonts w:ascii="Arial"/>
          <w:i/>
          <w:spacing w:val="-2"/>
          <w:sz w:val="20"/>
        </w:rPr>
        <w:t> </w:t>
      </w:r>
      <w:r>
        <w:rPr>
          <w:rFonts w:ascii="Arial"/>
          <w:i/>
          <w:sz w:val="20"/>
        </w:rPr>
        <w:t>2 K.B. </w:t>
      </w:r>
      <w:r>
        <w:rPr>
          <w:rFonts w:ascii="Arial"/>
          <w:i/>
          <w:spacing w:val="-4"/>
          <w:sz w:val="20"/>
        </w:rPr>
        <w:t>581</w:t>
      </w:r>
      <w:r>
        <w:rPr>
          <w:spacing w:val="-4"/>
          <w:sz w:val="20"/>
        </w:rPr>
        <w:t>.</w:t>
      </w:r>
    </w:p>
    <w:p>
      <w:pPr>
        <w:pStyle w:val="BodyText"/>
        <w:spacing w:before="5"/>
      </w:pPr>
    </w:p>
    <w:p>
      <w:pPr>
        <w:pStyle w:val="BodyText"/>
        <w:tabs>
          <w:tab w:pos="705" w:val="left" w:leader="none"/>
        </w:tabs>
        <w:ind w:left="165"/>
      </w:pPr>
      <w:bookmarkStart w:name="_bookmark1006" w:id="1008"/>
      <w:bookmarkEnd w:id="1008"/>
      <w:r>
        <w:rPr/>
      </w:r>
      <w:hyperlink w:history="true" w:anchor="_bookmark998">
        <w:r>
          <w:rPr>
            <w:color w:val="005DA1"/>
            <w:spacing w:val="-4"/>
            <w:position w:val="5"/>
            <w:sz w:val="14"/>
            <w:u w:val="single" w:color="005DA1"/>
          </w:rPr>
          <w:t>528</w:t>
        </w:r>
      </w:hyperlink>
      <w:r>
        <w:rPr>
          <w:spacing w:val="-4"/>
          <w:position w:val="5"/>
          <w:sz w:val="14"/>
        </w:rPr>
        <w:t>.</w:t>
      </w:r>
      <w:r>
        <w:rPr>
          <w:position w:val="5"/>
          <w:sz w:val="14"/>
        </w:rPr>
        <w:tab/>
      </w:r>
      <w:r>
        <w:rPr/>
        <w:t>See the discussion in Bridge (1989) 105 L.Q.R. </w:t>
      </w:r>
      <w:r>
        <w:rPr>
          <w:spacing w:val="-4"/>
        </w:rPr>
        <w:t>398.</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6"/>
        </w:numPr>
        <w:tabs>
          <w:tab w:pos="2851" w:val="left" w:leader="none"/>
        </w:tabs>
        <w:spacing w:line="240" w:lineRule="auto" w:before="194" w:after="0"/>
        <w:ind w:left="2851" w:right="0" w:hanging="360"/>
        <w:jc w:val="left"/>
        <w:rPr>
          <w:b/>
          <w:sz w:val="24"/>
        </w:rPr>
      </w:pPr>
      <w:r>
        <w:rPr>
          <w:b/>
          <w:sz w:val="24"/>
        </w:rPr>
        <w:t>- Savings to be Taken into </w:t>
      </w:r>
      <w:r>
        <w:rPr>
          <w:b/>
          <w:spacing w:val="-2"/>
          <w:sz w:val="24"/>
        </w:rPr>
        <w:t>Account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Loss which is avoided cannot be </w:t>
      </w:r>
      <w:r>
        <w:rPr>
          <w:rFonts w:ascii="Arial"/>
          <w:b/>
          <w:spacing w:val="-2"/>
          <w:sz w:val="18"/>
        </w:rPr>
        <w:t>recovered</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095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second rule of mitigation concerns potential loss which is not actually suffered. If the </w:t>
      </w:r>
      <w:r>
        <w:rPr/>
        <w:t>claimant has in fact avoided the potential loss resulting from the defendant’s breach of contract, whether or not </w:t>
      </w:r>
      <w:bookmarkStart w:name="_bookmark1007" w:id="1009"/>
      <w:bookmarkEnd w:id="1009"/>
      <w:r>
        <w:rPr/>
        <w:t>the</w:t>
      </w:r>
      <w:r>
        <w:rPr>
          <w:spacing w:val="-1"/>
        </w:rPr>
        <w:t> </w:t>
      </w:r>
      <w:r>
        <w:rPr/>
        <w:t>steps</w:t>
      </w:r>
      <w:r>
        <w:rPr>
          <w:spacing w:val="-1"/>
        </w:rPr>
        <w:t> </w:t>
      </w:r>
      <w:r>
        <w:rPr/>
        <w:t>he</w:t>
      </w:r>
      <w:r>
        <w:rPr>
          <w:spacing w:val="-1"/>
        </w:rPr>
        <w:t> </w:t>
      </w:r>
      <w:r>
        <w:rPr/>
        <w:t>took</w:t>
      </w:r>
      <w:r>
        <w:rPr>
          <w:spacing w:val="-1"/>
        </w:rPr>
        <w:t> </w:t>
      </w:r>
      <w:r>
        <w:rPr/>
        <w:t>could</w:t>
      </w:r>
      <w:r>
        <w:rPr>
          <w:spacing w:val="-1"/>
        </w:rPr>
        <w:t> </w:t>
      </w:r>
      <w:r>
        <w:rPr/>
        <w:t>reasonably</w:t>
      </w:r>
      <w:r>
        <w:rPr>
          <w:spacing w:val="-1"/>
        </w:rPr>
        <w:t> </w:t>
      </w:r>
      <w:r>
        <w:rPr/>
        <w:t>have</w:t>
      </w:r>
      <w:r>
        <w:rPr>
          <w:spacing w:val="-1"/>
        </w:rPr>
        <w:t> </w:t>
      </w:r>
      <w:r>
        <w:rPr/>
        <w:t>been</w:t>
      </w:r>
      <w:r>
        <w:rPr>
          <w:spacing w:val="-1"/>
        </w:rPr>
        <w:t> </w:t>
      </w:r>
      <w:r>
        <w:rPr/>
        <w:t>required</w:t>
      </w:r>
      <w:r>
        <w:rPr>
          <w:spacing w:val="-1"/>
        </w:rPr>
        <w:t> </w:t>
      </w:r>
      <w:r>
        <w:rPr/>
        <w:t>of</w:t>
      </w:r>
      <w:r>
        <w:rPr>
          <w:spacing w:val="-1"/>
        </w:rPr>
        <w:t> </w:t>
      </w:r>
      <w:r>
        <w:rPr/>
        <w:t>him,</w:t>
      </w:r>
      <w:r>
        <w:rPr>
          <w:spacing w:val="-1"/>
        </w:rPr>
        <w:t> </w:t>
      </w:r>
      <w:r>
        <w:rPr/>
        <w:t>he</w:t>
      </w:r>
      <w:r>
        <w:rPr>
          <w:spacing w:val="-1"/>
        </w:rPr>
        <w:t> </w:t>
      </w:r>
      <w:r>
        <w:rPr/>
        <w:t>cannot</w:t>
      </w:r>
      <w:r>
        <w:rPr>
          <w:spacing w:val="-1"/>
        </w:rPr>
        <w:t> </w:t>
      </w:r>
      <w:r>
        <w:rPr/>
        <w:t>recover</w:t>
      </w:r>
      <w:r>
        <w:rPr>
          <w:spacing w:val="-1"/>
        </w:rPr>
        <w:t> </w:t>
      </w:r>
      <w:r>
        <w:rPr/>
        <w:t>damages</w:t>
      </w:r>
      <w:r>
        <w:rPr>
          <w:spacing w:val="-1"/>
        </w:rPr>
        <w:t> </w:t>
      </w:r>
      <w:r>
        <w:rPr/>
        <w:t>in</w:t>
      </w:r>
      <w:r>
        <w:rPr>
          <w:spacing w:val="-1"/>
        </w:rPr>
        <w:t> </w:t>
      </w:r>
      <w:r>
        <w:rPr/>
        <w:t>respect of such potential loss </w:t>
      </w:r>
      <w:r>
        <w:rPr>
          <w:color w:val="005DA1"/>
          <w:u w:val="single" w:color="005DA1"/>
          <w:vertAlign w:val="superscript"/>
        </w:rPr>
        <w:t>529</w:t>
      </w:r>
      <w:r>
        <w:rPr>
          <w:vertAlign w:val="baseline"/>
        </w:rPr>
        <w:t>:</w:t>
      </w:r>
    </w:p>
    <w:p>
      <w:pPr>
        <w:pStyle w:val="BodyText"/>
      </w:pPr>
    </w:p>
    <w:p>
      <w:pPr>
        <w:pStyle w:val="BodyText"/>
        <w:spacing w:before="125"/>
      </w:pPr>
    </w:p>
    <w:p>
      <w:pPr>
        <w:pStyle w:val="BodyText"/>
        <w:spacing w:line="235" w:lineRule="auto" w:before="1"/>
        <w:ind w:left="1245" w:right="167"/>
        <w:jc w:val="both"/>
      </w:pPr>
      <w:r>
        <w:rPr/>
        <w:t>“When in the course of his business [the claimant] has taken action arising out of </w:t>
      </w:r>
      <w:r>
        <w:rPr/>
        <w:t>the transaction, which action has diminished his loss, the effect in actual diminution of the</w:t>
      </w:r>
      <w:r>
        <w:rPr>
          <w:spacing w:val="40"/>
        </w:rPr>
        <w:t> </w:t>
      </w:r>
      <w:bookmarkStart w:name="_bookmark1008" w:id="1010"/>
      <w:bookmarkEnd w:id="1010"/>
      <w:r>
        <w:rPr/>
        <w:t>loss</w:t>
      </w:r>
      <w:r>
        <w:rPr/>
        <w:t> he has suffered may be taken into account even though there was no duty on him to act.” </w:t>
      </w:r>
      <w:r>
        <w:rPr>
          <w:color w:val="005DA1"/>
          <w:u w:val="single" w:color="005DA1"/>
          <w:vertAlign w:val="superscript"/>
        </w:rPr>
        <w:t>530</w:t>
      </w:r>
    </w:p>
    <w:p>
      <w:pPr>
        <w:pStyle w:val="BodyText"/>
        <w:spacing w:before="115"/>
      </w:pPr>
    </w:p>
    <w:p>
      <w:pPr>
        <w:pStyle w:val="BodyText"/>
        <w:spacing w:line="235" w:lineRule="auto"/>
        <w:ind w:left="164" w:right="167"/>
        <w:jc w:val="both"/>
      </w:pPr>
      <w:bookmarkStart w:name="_bookmark1009" w:id="1011"/>
      <w:bookmarkEnd w:id="1011"/>
      <w:r>
        <w:rPr/>
      </w:r>
      <w:r>
        <w:rPr/>
        <w:t>The</w:t>
      </w:r>
      <w:r>
        <w:rPr>
          <w:spacing w:val="-1"/>
        </w:rPr>
        <w:t> </w:t>
      </w:r>
      <w:r>
        <w:rPr/>
        <w:t>claimant</w:t>
      </w:r>
      <w:r>
        <w:rPr>
          <w:spacing w:val="-1"/>
        </w:rPr>
        <w:t> </w:t>
      </w:r>
      <w:r>
        <w:rPr/>
        <w:t>is</w:t>
      </w:r>
      <w:r>
        <w:rPr>
          <w:spacing w:val="-1"/>
        </w:rPr>
        <w:t> </w:t>
      </w:r>
      <w:r>
        <w:rPr/>
        <w:t>entitled</w:t>
      </w:r>
      <w:r>
        <w:rPr>
          <w:spacing w:val="-1"/>
        </w:rPr>
        <w:t> </w:t>
      </w:r>
      <w:r>
        <w:rPr/>
        <w:t>to</w:t>
      </w:r>
      <w:r>
        <w:rPr>
          <w:spacing w:val="-1"/>
        </w:rPr>
        <w:t> </w:t>
      </w:r>
      <w:r>
        <w:rPr/>
        <w:t>damages</w:t>
      </w:r>
      <w:r>
        <w:rPr>
          <w:spacing w:val="-1"/>
        </w:rPr>
        <w:t> </w:t>
      </w:r>
      <w:r>
        <w:rPr/>
        <w:t>only</w:t>
      </w:r>
      <w:r>
        <w:rPr>
          <w:spacing w:val="-1"/>
        </w:rPr>
        <w:t> </w:t>
      </w:r>
      <w:r>
        <w:rPr/>
        <w:t>for</w:t>
      </w:r>
      <w:r>
        <w:rPr>
          <w:spacing w:val="-1"/>
        </w:rPr>
        <w:t> </w:t>
      </w:r>
      <w:r>
        <w:rPr/>
        <w:t>his</w:t>
      </w:r>
      <w:r>
        <w:rPr>
          <w:spacing w:val="-1"/>
        </w:rPr>
        <w:t> </w:t>
      </w:r>
      <w:r>
        <w:rPr/>
        <w:t>actual</w:t>
      </w:r>
      <w:r>
        <w:rPr>
          <w:spacing w:val="-1"/>
        </w:rPr>
        <w:t> </w:t>
      </w:r>
      <w:r>
        <w:rPr/>
        <w:t>loss,</w:t>
      </w:r>
      <w:r>
        <w:rPr>
          <w:spacing w:val="-1"/>
        </w:rPr>
        <w:t> </w:t>
      </w:r>
      <w:r>
        <w:rPr/>
        <w:t>which</w:t>
      </w:r>
      <w:r>
        <w:rPr>
          <w:spacing w:val="-1"/>
        </w:rPr>
        <w:t> </w:t>
      </w:r>
      <w:r>
        <w:rPr/>
        <w:t>is</w:t>
      </w:r>
      <w:r>
        <w:rPr>
          <w:spacing w:val="-1"/>
        </w:rPr>
        <w:t> </w:t>
      </w:r>
      <w:r>
        <w:rPr/>
        <w:t>assessed</w:t>
      </w:r>
      <w:r>
        <w:rPr>
          <w:spacing w:val="-1"/>
        </w:rPr>
        <w:t> </w:t>
      </w:r>
      <w:r>
        <w:rPr/>
        <w:t>by</w:t>
      </w:r>
      <w:r>
        <w:rPr>
          <w:spacing w:val="-1"/>
        </w:rPr>
        <w:t> </w:t>
      </w:r>
      <w:r>
        <w:rPr/>
        <w:t>taking</w:t>
      </w:r>
      <w:r>
        <w:rPr>
          <w:spacing w:val="-1"/>
        </w:rPr>
        <w:t> </w:t>
      </w:r>
      <w:r>
        <w:rPr/>
        <w:t>account</w:t>
      </w:r>
      <w:r>
        <w:rPr>
          <w:spacing w:val="-1"/>
        </w:rPr>
        <w:t> </w:t>
      </w:r>
      <w:r>
        <w:rPr/>
        <w:t>of</w:t>
      </w:r>
      <w:r>
        <w:rPr>
          <w:spacing w:val="-1"/>
        </w:rPr>
        <w:t> </w:t>
      </w:r>
      <w:r>
        <w:rPr/>
        <w:t>all the items in his notional “profit and loss” calculation for the whole transaction.</w:t>
      </w:r>
      <w:r>
        <w:rPr>
          <w:spacing w:val="-1"/>
        </w:rPr>
        <w:t> </w:t>
      </w:r>
      <w:r>
        <w:rPr>
          <w:color w:val="005DA1"/>
          <w:u w:val="single" w:color="005DA1"/>
          <w:vertAlign w:val="superscript"/>
        </w:rPr>
        <w:t>531</w:t>
      </w:r>
      <w:r>
        <w:rPr>
          <w:color w:val="005DA1"/>
          <w:vertAlign w:val="baseline"/>
        </w:rPr>
        <w:t> </w:t>
      </w:r>
      <w:r>
        <w:rPr>
          <w:vertAlign w:val="baseline"/>
        </w:rPr>
        <w:t>The court is </w:t>
      </w:r>
      <w:r>
        <w:rPr>
          <w:vertAlign w:val="baseline"/>
        </w:rPr>
        <w:t>required to decide whether the claimant’s actions arose </w:t>
      </w:r>
      <w:r>
        <w:rPr>
          <w:rFonts w:ascii="Arial" w:hAnsi="Arial"/>
          <w:i/>
          <w:vertAlign w:val="baseline"/>
        </w:rPr>
        <w:t>out of </w:t>
      </w:r>
      <w:r>
        <w:rPr>
          <w:vertAlign w:val="baseline"/>
        </w:rPr>
        <w:t>his attempts to mitigate the potential loss </w:t>
      </w:r>
      <w:bookmarkStart w:name="_bookmark1010" w:id="1012"/>
      <w:bookmarkEnd w:id="1012"/>
      <w:r>
        <w:rPr>
          <w:vertAlign w:val="baseline"/>
        </w:rPr>
        <w:t>resulting</w:t>
      </w:r>
      <w:r>
        <w:rPr>
          <w:spacing w:val="18"/>
          <w:vertAlign w:val="baseline"/>
        </w:rPr>
        <w:t> </w:t>
      </w:r>
      <w:r>
        <w:rPr>
          <w:vertAlign w:val="baseline"/>
        </w:rPr>
        <w:t>from</w:t>
      </w:r>
      <w:r>
        <w:rPr>
          <w:spacing w:val="18"/>
          <w:vertAlign w:val="baseline"/>
        </w:rPr>
        <w:t> </w:t>
      </w:r>
      <w:r>
        <w:rPr>
          <w:vertAlign w:val="baseline"/>
        </w:rPr>
        <w:t>the</w:t>
      </w:r>
      <w:r>
        <w:rPr>
          <w:spacing w:val="18"/>
          <w:vertAlign w:val="baseline"/>
        </w:rPr>
        <w:t> </w:t>
      </w:r>
      <w:r>
        <w:rPr>
          <w:vertAlign w:val="baseline"/>
        </w:rPr>
        <w:t>breach,</w:t>
      </w:r>
      <w:r>
        <w:rPr>
          <w:spacing w:val="18"/>
          <w:vertAlign w:val="baseline"/>
        </w:rPr>
        <w:t> </w:t>
      </w:r>
      <w:r>
        <w:rPr>
          <w:vertAlign w:val="baseline"/>
        </w:rPr>
        <w:t>or</w:t>
      </w:r>
      <w:r>
        <w:rPr>
          <w:spacing w:val="18"/>
          <w:vertAlign w:val="baseline"/>
        </w:rPr>
        <w:t> </w:t>
      </w:r>
      <w:r>
        <w:rPr>
          <w:vertAlign w:val="baseline"/>
        </w:rPr>
        <w:t>whether</w:t>
      </w:r>
      <w:r>
        <w:rPr>
          <w:spacing w:val="18"/>
          <w:vertAlign w:val="baseline"/>
        </w:rPr>
        <w:t> </w:t>
      </w:r>
      <w:r>
        <w:rPr>
          <w:vertAlign w:val="baseline"/>
        </w:rPr>
        <w:t>his</w:t>
      </w:r>
      <w:r>
        <w:rPr>
          <w:spacing w:val="18"/>
          <w:vertAlign w:val="baseline"/>
        </w:rPr>
        <w:t> </w:t>
      </w:r>
      <w:r>
        <w:rPr>
          <w:vertAlign w:val="baseline"/>
        </w:rPr>
        <w:t>actions</w:t>
      </w:r>
      <w:r>
        <w:rPr>
          <w:spacing w:val="18"/>
          <w:vertAlign w:val="baseline"/>
        </w:rPr>
        <w:t> </w:t>
      </w:r>
      <w:r>
        <w:rPr>
          <w:vertAlign w:val="baseline"/>
        </w:rPr>
        <w:t>were</w:t>
      </w:r>
      <w:r>
        <w:rPr>
          <w:spacing w:val="18"/>
          <w:vertAlign w:val="baseline"/>
        </w:rPr>
        <w:t> </w:t>
      </w:r>
      <w:r>
        <w:rPr>
          <w:vertAlign w:val="baseline"/>
        </w:rPr>
        <w:t>“independent”</w:t>
      </w:r>
      <w:r>
        <w:rPr>
          <w:spacing w:val="18"/>
          <w:vertAlign w:val="baseline"/>
        </w:rPr>
        <w:t> </w:t>
      </w:r>
      <w:r>
        <w:rPr>
          <w:vertAlign w:val="baseline"/>
        </w:rPr>
        <w:t>of</w:t>
      </w:r>
      <w:r>
        <w:rPr>
          <w:spacing w:val="18"/>
          <w:vertAlign w:val="baseline"/>
        </w:rPr>
        <w:t> </w:t>
      </w:r>
      <w:r>
        <w:rPr>
          <w:vertAlign w:val="baseline"/>
        </w:rPr>
        <w:t>his</w:t>
      </w:r>
      <w:r>
        <w:rPr>
          <w:spacing w:val="18"/>
          <w:vertAlign w:val="baseline"/>
        </w:rPr>
        <w:t> </w:t>
      </w:r>
      <w:r>
        <w:rPr>
          <w:vertAlign w:val="baseline"/>
        </w:rPr>
        <w:t>mitigating</w:t>
      </w:r>
      <w:r>
        <w:rPr>
          <w:spacing w:val="18"/>
          <w:vertAlign w:val="baseline"/>
        </w:rPr>
        <w:t> </w:t>
      </w:r>
      <w:r>
        <w:rPr>
          <w:vertAlign w:val="baseline"/>
        </w:rPr>
        <w:t>steps,</w:t>
      </w:r>
      <w:r>
        <w:rPr>
          <w:spacing w:val="18"/>
          <w:vertAlign w:val="baseline"/>
        </w:rPr>
        <w:t> </w:t>
      </w:r>
      <w:r>
        <w:rPr>
          <w:vertAlign w:val="baseline"/>
        </w:rPr>
        <w:t>so</w:t>
      </w:r>
      <w:r>
        <w:rPr>
          <w:spacing w:val="18"/>
          <w:vertAlign w:val="baseline"/>
        </w:rPr>
        <w:t> </w:t>
      </w:r>
      <w:r>
        <w:rPr>
          <w:spacing w:val="-4"/>
          <w:vertAlign w:val="baseline"/>
        </w:rPr>
        <w:t>that</w:t>
      </w:r>
    </w:p>
    <w:p>
      <w:pPr>
        <w:pStyle w:val="BodyText"/>
        <w:spacing w:line="235" w:lineRule="auto" w:before="118"/>
        <w:ind w:left="165" w:right="167"/>
        <w:jc w:val="both"/>
      </w:pPr>
      <w:r>
        <w:rPr/>
        <w:t>any benefit to him should not be used to reduce the damages payable by the defendant. </w:t>
      </w:r>
      <w:r>
        <w:rPr>
          <w:color w:val="005DA1"/>
          <w:u w:val="single" w:color="005DA1"/>
          <w:vertAlign w:val="superscript"/>
        </w:rPr>
        <w:t>532</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5"/>
          <w:vertAlign w:val="baseline"/>
        </w:rPr>
        <w:t> </w:t>
      </w:r>
      <w:r>
        <w:rPr>
          <w:vertAlign w:val="baseline"/>
        </w:rPr>
        <w:t>So where a seller delivers defective goods, and the buyer acquires a substitute through which he gains </w:t>
      </w:r>
      <w:r>
        <w:rPr>
          <w:vertAlign w:val="baseline"/>
        </w:rPr>
        <w:t>a </w:t>
      </w:r>
      <w:bookmarkStart w:name="_bookmark1011" w:id="1013"/>
      <w:bookmarkEnd w:id="1013"/>
      <w:r>
        <w:rPr>
          <w:vertAlign w:val="baseline"/>
        </w:rPr>
        <w:t>consequential</w:t>
      </w:r>
      <w:r>
        <w:rPr>
          <w:vertAlign w:val="baseline"/>
        </w:rPr>
        <w:t> benefit, e.g. a greater profit, this benefit must be set off against the cost of the substitute when the buyer sues the seller to recover such cost, </w:t>
      </w:r>
      <w:r>
        <w:rPr>
          <w:color w:val="005DA1"/>
          <w:u w:val="single" w:color="005DA1"/>
          <w:vertAlign w:val="superscript"/>
        </w:rPr>
        <w:t>533</w:t>
      </w:r>
      <w:r>
        <w:rPr>
          <w:color w:val="005DA1"/>
          <w:vertAlign w:val="baseline"/>
        </w:rPr>
        <w:t> </w:t>
      </w:r>
      <w:r>
        <w:rPr>
          <w:vertAlign w:val="baseline"/>
        </w:rPr>
        <w:t>since the benefit arises directly</w:t>
      </w:r>
      <w:r>
        <w:rPr>
          <w:spacing w:val="40"/>
          <w:vertAlign w:val="baseline"/>
        </w:rPr>
        <w:t> </w:t>
      </w:r>
      <w:r>
        <w:rPr>
          <w:vertAlign w:val="baseline"/>
        </w:rPr>
        <w:t>from the act of mitigation.</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Seller’s claim for loss of </w:t>
      </w:r>
      <w:r>
        <w:rPr>
          <w:rFonts w:ascii="Arial" w:hAnsi="Arial"/>
          <w:b/>
          <w:spacing w:val="-2"/>
          <w:sz w:val="18"/>
        </w:rPr>
        <w:t>profits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096</w:t>
      </w:r>
    </w:p>
    <w:p>
      <w:pPr>
        <w:pStyle w:val="BodyText"/>
        <w:spacing w:line="235" w:lineRule="auto" w:before="203"/>
        <w:ind w:left="165" w:right="167"/>
        <w:jc w:val="both"/>
      </w:pPr>
      <w:bookmarkStart w:name="_bookmark1012" w:id="1014"/>
      <w:bookmarkEnd w:id="1014"/>
      <w:r>
        <w:rPr/>
      </w:r>
      <w:bookmarkStart w:name="_bookmark1013" w:id="1015"/>
      <w:bookmarkEnd w:id="1015"/>
      <w:r>
        <w:rPr/>
      </w:r>
      <w:r>
        <w:rPr/>
        <w:t>If</w:t>
      </w:r>
      <w:r>
        <w:rPr>
          <w:spacing w:val="-1"/>
        </w:rPr>
        <w:t> </w:t>
      </w:r>
      <w:r>
        <w:rPr/>
        <w:t>the</w:t>
      </w:r>
      <w:r>
        <w:rPr>
          <w:spacing w:val="-1"/>
        </w:rPr>
        <w:t> </w:t>
      </w:r>
      <w:r>
        <w:rPr/>
        <w:t>defendant,</w:t>
      </w:r>
      <w:r>
        <w:rPr>
          <w:spacing w:val="-1"/>
        </w:rPr>
        <w:t> </w:t>
      </w:r>
      <w:r>
        <w:rPr/>
        <w:t>in</w:t>
      </w:r>
      <w:r>
        <w:rPr>
          <w:spacing w:val="-1"/>
        </w:rPr>
        <w:t> </w:t>
      </w:r>
      <w:r>
        <w:rPr/>
        <w:t>breach</w:t>
      </w:r>
      <w:r>
        <w:rPr>
          <w:spacing w:val="-1"/>
        </w:rPr>
        <w:t> </w:t>
      </w:r>
      <w:r>
        <w:rPr/>
        <w:t>of</w:t>
      </w:r>
      <w:r>
        <w:rPr>
          <w:spacing w:val="-1"/>
        </w:rPr>
        <w:t> </w:t>
      </w:r>
      <w:r>
        <w:rPr/>
        <w:t>his</w:t>
      </w:r>
      <w:r>
        <w:rPr>
          <w:spacing w:val="-1"/>
        </w:rPr>
        <w:t> </w:t>
      </w:r>
      <w:r>
        <w:rPr/>
        <w:t>contract,</w:t>
      </w:r>
      <w:r>
        <w:rPr>
          <w:spacing w:val="-1"/>
        </w:rPr>
        <w:t> </w:t>
      </w:r>
      <w:r>
        <w:rPr/>
        <w:t>has</w:t>
      </w:r>
      <w:r>
        <w:rPr>
          <w:spacing w:val="-1"/>
        </w:rPr>
        <w:t> </w:t>
      </w:r>
      <w:r>
        <w:rPr/>
        <w:t>refused</w:t>
      </w:r>
      <w:r>
        <w:rPr>
          <w:spacing w:val="-1"/>
        </w:rPr>
        <w:t> </w:t>
      </w:r>
      <w:r>
        <w:rPr/>
        <w:t>to</w:t>
      </w:r>
      <w:r>
        <w:rPr>
          <w:spacing w:val="-1"/>
        </w:rPr>
        <w:t> </w:t>
      </w:r>
      <w:r>
        <w:rPr/>
        <w:t>accept</w:t>
      </w:r>
      <w:r>
        <w:rPr>
          <w:spacing w:val="-1"/>
        </w:rPr>
        <w:t> </w:t>
      </w:r>
      <w:r>
        <w:rPr/>
        <w:t>goods</w:t>
      </w:r>
      <w:r>
        <w:rPr>
          <w:spacing w:val="-1"/>
        </w:rPr>
        <w:t> </w:t>
      </w:r>
      <w:r>
        <w:rPr/>
        <w:t>sold</w:t>
      </w:r>
      <w:r>
        <w:rPr>
          <w:spacing w:val="-2"/>
        </w:rPr>
        <w:t> </w:t>
      </w:r>
      <w:r>
        <w:rPr>
          <w:color w:val="005DA1"/>
          <w:u w:val="single" w:color="005DA1"/>
          <w:vertAlign w:val="superscript"/>
        </w:rPr>
        <w:t>534</w:t>
      </w:r>
      <w:r>
        <w:rPr>
          <w:color w:val="005DA1"/>
          <w:spacing w:val="-1"/>
          <w:vertAlign w:val="baseline"/>
        </w:rPr>
        <w:t> </w:t>
      </w:r>
      <w:r>
        <w:rPr>
          <w:vertAlign w:val="baseline"/>
        </w:rPr>
        <w:t>or</w:t>
      </w:r>
      <w:r>
        <w:rPr>
          <w:spacing w:val="-1"/>
          <w:vertAlign w:val="baseline"/>
        </w:rPr>
        <w:t> </w:t>
      </w:r>
      <w:r>
        <w:rPr>
          <w:vertAlign w:val="baseline"/>
        </w:rPr>
        <w:t>hired</w:t>
      </w:r>
      <w:r>
        <w:rPr>
          <w:spacing w:val="-2"/>
          <w:vertAlign w:val="baseline"/>
        </w:rPr>
        <w:t> </w:t>
      </w:r>
      <w:r>
        <w:rPr>
          <w:color w:val="005DA1"/>
          <w:u w:val="single" w:color="005DA1"/>
          <w:vertAlign w:val="superscript"/>
        </w:rPr>
        <w:t>535</w:t>
      </w:r>
      <w:r>
        <w:rPr>
          <w:color w:val="005DA1"/>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by</w:t>
      </w:r>
      <w:r>
        <w:rPr>
          <w:spacing w:val="-1"/>
          <w:vertAlign w:val="baseline"/>
        </w:rPr>
        <w:t> </w:t>
      </w:r>
      <w:r>
        <w:rPr>
          <w:vertAlign w:val="baseline"/>
        </w:rPr>
        <w:t>a dealer or goods manufactured for him, </w:t>
      </w:r>
      <w:r>
        <w:rPr>
          <w:color w:val="005DA1"/>
          <w:u w:val="single" w:color="005DA1"/>
          <w:vertAlign w:val="superscript"/>
        </w:rPr>
        <w:t>536</w:t>
      </w:r>
      <w:r>
        <w:rPr>
          <w:color w:val="005DA1"/>
          <w:vertAlign w:val="baseline"/>
        </w:rPr>
        <w:t> </w:t>
      </w:r>
      <w:r>
        <w:rPr>
          <w:vertAlign w:val="baseline"/>
        </w:rPr>
        <w:t>but the claimant has found a third person who will take the goods by a similar contract (under which the claimant makes a similar profit), the claimant is entitled</w:t>
      </w:r>
      <w:r>
        <w:rPr>
          <w:spacing w:val="40"/>
          <w:vertAlign w:val="baseline"/>
        </w:rPr>
        <w:t> </w:t>
      </w:r>
      <w:bookmarkStart w:name="_bookmark1014" w:id="1016"/>
      <w:bookmarkEnd w:id="1016"/>
      <w:r>
        <w:rPr>
          <w:vertAlign w:val="baseline"/>
        </w:rPr>
        <w:t>to</w:t>
      </w:r>
      <w:r>
        <w:rPr>
          <w:vertAlign w:val="baseline"/>
        </w:rPr>
        <w:t> recover his loss of profit on the defendant’s contract where the supply of such goods exceeds the demand; for in such a case the claimant has lost one profit he would otherwise have made. </w:t>
      </w:r>
      <w:r>
        <w:rPr>
          <w:color w:val="005DA1"/>
          <w:u w:val="single" w:color="005DA1"/>
          <w:vertAlign w:val="superscript"/>
        </w:rPr>
        <w:t>537</w:t>
      </w:r>
      <w:r>
        <w:rPr>
          <w:vertAlign w:val="baseline"/>
        </w:rPr>
        <w:t>. If, however, in similar circumstances, the demand for such goods exceeds the supply, the claimant will </w:t>
      </w:r>
      <w:bookmarkStart w:name="_bookmark1015" w:id="1017"/>
      <w:bookmarkEnd w:id="1017"/>
      <w:r>
        <w:rPr>
          <w:vertAlign w:val="baseline"/>
        </w:rPr>
        <w:t>recover</w:t>
      </w:r>
      <w:r>
        <w:rPr>
          <w:spacing w:val="-2"/>
          <w:vertAlign w:val="baseline"/>
        </w:rPr>
        <w:t> </w:t>
      </w:r>
      <w:r>
        <w:rPr>
          <w:vertAlign w:val="baseline"/>
        </w:rPr>
        <w:t>only</w:t>
      </w:r>
      <w:r>
        <w:rPr>
          <w:spacing w:val="-2"/>
          <w:vertAlign w:val="baseline"/>
        </w:rPr>
        <w:t> </w:t>
      </w:r>
      <w:r>
        <w:rPr>
          <w:vertAlign w:val="baseline"/>
        </w:rPr>
        <w:t>nominal</w:t>
      </w:r>
      <w:r>
        <w:rPr>
          <w:spacing w:val="-2"/>
          <w:vertAlign w:val="baseline"/>
        </w:rPr>
        <w:t> </w:t>
      </w:r>
      <w:r>
        <w:rPr>
          <w:vertAlign w:val="baseline"/>
        </w:rPr>
        <w:t>damages,</w:t>
      </w:r>
      <w:r>
        <w:rPr>
          <w:spacing w:val="-2"/>
          <w:vertAlign w:val="baseline"/>
        </w:rPr>
        <w:t> </w:t>
      </w:r>
      <w:r>
        <w:rPr>
          <w:vertAlign w:val="baseline"/>
        </w:rPr>
        <w:t>since</w:t>
      </w:r>
      <w:r>
        <w:rPr>
          <w:spacing w:val="-2"/>
          <w:vertAlign w:val="baseline"/>
        </w:rPr>
        <w:t> </w:t>
      </w:r>
      <w:r>
        <w:rPr>
          <w:vertAlign w:val="baseline"/>
        </w:rPr>
        <w:t>he</w:t>
      </w:r>
      <w:r>
        <w:rPr>
          <w:spacing w:val="-2"/>
          <w:vertAlign w:val="baseline"/>
        </w:rPr>
        <w:t> </w:t>
      </w:r>
      <w:r>
        <w:rPr>
          <w:vertAlign w:val="baseline"/>
        </w:rPr>
        <w:t>has</w:t>
      </w:r>
      <w:r>
        <w:rPr>
          <w:spacing w:val="-2"/>
          <w:vertAlign w:val="baseline"/>
        </w:rPr>
        <w:t> </w:t>
      </w:r>
      <w:r>
        <w:rPr>
          <w:vertAlign w:val="baseline"/>
        </w:rPr>
        <w:t>received</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profit</w:t>
      </w:r>
      <w:r>
        <w:rPr>
          <w:spacing w:val="-2"/>
          <w:vertAlign w:val="baseline"/>
        </w:rPr>
        <w:t> </w:t>
      </w:r>
      <w:r>
        <w:rPr>
          <w:vertAlign w:val="baseline"/>
        </w:rPr>
        <w:t>through</w:t>
      </w:r>
      <w:r>
        <w:rPr>
          <w:spacing w:val="-2"/>
          <w:vertAlign w:val="baseline"/>
        </w:rPr>
        <w:t> </w:t>
      </w:r>
      <w:r>
        <w:rPr>
          <w:vertAlign w:val="baseline"/>
        </w:rPr>
        <w:t>the</w:t>
      </w:r>
      <w:r>
        <w:rPr>
          <w:spacing w:val="-2"/>
          <w:vertAlign w:val="baseline"/>
        </w:rPr>
        <w:t> </w:t>
      </w:r>
      <w:r>
        <w:rPr>
          <w:vertAlign w:val="baseline"/>
        </w:rPr>
        <w:t>substituted</w:t>
      </w:r>
      <w:r>
        <w:rPr>
          <w:spacing w:val="-2"/>
          <w:vertAlign w:val="baseline"/>
        </w:rPr>
        <w:t> </w:t>
      </w:r>
      <w:r>
        <w:rPr>
          <w:vertAlign w:val="baseline"/>
        </w:rPr>
        <w:t>contract as he would have received if the defendant had performed his contract. </w:t>
      </w:r>
      <w:r>
        <w:rPr>
          <w:color w:val="005DA1"/>
          <w:u w:val="single" w:color="005DA1"/>
          <w:vertAlign w:val="superscript"/>
        </w:rPr>
        <w:t>538</w:t>
      </w:r>
    </w:p>
    <w:p>
      <w:pPr>
        <w:pStyle w:val="BodyText"/>
      </w:pPr>
    </w:p>
    <w:p>
      <w:pPr>
        <w:pStyle w:val="BodyText"/>
        <w:spacing w:before="35"/>
      </w:pPr>
    </w:p>
    <w:p>
      <w:pPr>
        <w:spacing w:before="1"/>
        <w:ind w:left="165" w:right="0" w:firstLine="0"/>
        <w:jc w:val="left"/>
        <w:rPr>
          <w:rFonts w:ascii="Arial"/>
          <w:b/>
          <w:sz w:val="18"/>
        </w:rPr>
      </w:pPr>
      <w:r>
        <w:rPr>
          <w:rFonts w:ascii="Arial"/>
          <w:b/>
          <w:sz w:val="18"/>
        </w:rPr>
        <w:t>Betterment as a result of </w:t>
      </w:r>
      <w:r>
        <w:rPr>
          <w:rFonts w:ascii="Arial"/>
          <w:b/>
          <w:spacing w:val="-2"/>
          <w:sz w:val="18"/>
        </w:rPr>
        <w:t>mitigation</w:t>
      </w:r>
    </w:p>
    <w:p>
      <w:pPr>
        <w:spacing w:after="0"/>
        <w:jc w:val="left"/>
        <w:rPr>
          <w:rFonts w:ascii="Arial"/>
          <w:b/>
          <w:sz w:val="18"/>
        </w:rPr>
        <w:sectPr>
          <w:headerReference w:type="default" r:id="rId30"/>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26-</w:t>
      </w:r>
      <w:r>
        <w:rPr>
          <w:rFonts w:ascii="Arial"/>
          <w:b/>
          <w:spacing w:val="-5"/>
          <w:sz w:val="24"/>
        </w:rPr>
        <w:t>097</w:t>
      </w:r>
    </w:p>
    <w:p>
      <w:pPr>
        <w:pStyle w:val="BodyText"/>
        <w:spacing w:line="235" w:lineRule="auto" w:before="202"/>
        <w:ind w:left="164" w:right="167"/>
        <w:jc w:val="both"/>
      </w:pPr>
      <w:r>
        <w:rPr/>
        <w:t>Damages will not be reduced where reasonable steps taken by the claimant by way of mitigation </w:t>
      </w:r>
      <w:bookmarkStart w:name="_bookmark1016" w:id="1018"/>
      <w:bookmarkEnd w:id="1018"/>
      <w:r>
        <w:rPr/>
        <w:t>result</w:t>
      </w:r>
      <w:r>
        <w:rPr/>
        <w:t> in a notional betterment of his position, unless the betterment will result in an immediate saving to the claimant or give him an advantage that is readily realisable. </w:t>
      </w:r>
      <w:r>
        <w:rPr>
          <w:color w:val="005DA1"/>
          <w:u w:val="single" w:color="005DA1"/>
          <w:vertAlign w:val="superscript"/>
        </w:rPr>
        <w:t>539</w:t>
      </w:r>
      <w:r>
        <w:rPr>
          <w:color w:val="005DA1"/>
          <w:vertAlign w:val="baseline"/>
        </w:rPr>
        <w:t> </w:t>
      </w:r>
      <w:r>
        <w:rPr>
          <w:vertAlign w:val="baseline"/>
        </w:rPr>
        <w:t>Thus, where a breach </w:t>
      </w:r>
      <w:r>
        <w:rPr>
          <w:vertAlign w:val="baseline"/>
        </w:rPr>
        <w:t>of</w:t>
      </w:r>
      <w:r>
        <w:rPr>
          <w:spacing w:val="40"/>
          <w:vertAlign w:val="baseline"/>
        </w:rPr>
        <w:t> </w:t>
      </w:r>
      <w:r>
        <w:rPr>
          <w:vertAlign w:val="baseline"/>
        </w:rPr>
        <w:t>contract caused the destruction of a building, and the owners acted reasonably both in deciding to rebuild and in choosing the plan for the new building, it was held that the defendants were not entitled to a reduction in damages (which consisted in the actual cost of rebuilding) on account of the “betterment” enjoyed by the claimants in having a new building in place of the old one—the claimants </w:t>
      </w:r>
      <w:bookmarkStart w:name="_bookmark1017" w:id="1019"/>
      <w:bookmarkEnd w:id="1019"/>
      <w:r>
        <w:rPr>
          <w:vertAlign w:val="baseline"/>
        </w:rPr>
        <w:t>had</w:t>
      </w:r>
      <w:r>
        <w:rPr>
          <w:vertAlign w:val="baseline"/>
        </w:rPr>
        <w:t> no effective choice: but a reduction would be made for any extra accommodation or improvement going beyond replacement. </w:t>
      </w:r>
      <w:r>
        <w:rPr>
          <w:color w:val="005DA1"/>
          <w:u w:val="single" w:color="005DA1"/>
          <w:vertAlign w:val="superscript"/>
        </w:rPr>
        <w:t>540</w:t>
      </w:r>
      <w:r>
        <w:rPr>
          <w:color w:val="005DA1"/>
          <w:vertAlign w:val="baseline"/>
        </w:rPr>
        <w:t> </w:t>
      </w:r>
      <w:r>
        <w:rPr>
          <w:vertAlign w:val="baseline"/>
        </w:rPr>
        <w:t>Similarly, where, as a result of breach of contract, a partly used </w:t>
      </w:r>
      <w:bookmarkStart w:name="_bookmark1018" w:id="1020"/>
      <w:bookmarkEnd w:id="1020"/>
      <w:r>
        <w:rPr>
          <w:vertAlign w:val="baseline"/>
        </w:rPr>
        <w:t>working</w:t>
      </w:r>
      <w:r>
        <w:rPr>
          <w:vertAlign w:val="baseline"/>
        </w:rPr>
        <w:t> part of a machine had to be replaced with a new part which would last longer, the plaintiff</w:t>
      </w:r>
      <w:r>
        <w:rPr>
          <w:spacing w:val="80"/>
          <w:vertAlign w:val="baseline"/>
        </w:rPr>
        <w:t> </w:t>
      </w:r>
      <w:bookmarkStart w:name="_bookmark1019" w:id="1021"/>
      <w:bookmarkEnd w:id="1021"/>
      <w:r>
        <w:rPr>
          <w:vertAlign w:val="baseline"/>
        </w:rPr>
        <w:t>was</w:t>
      </w:r>
      <w:r>
        <w:rPr>
          <w:vertAlign w:val="baseline"/>
        </w:rPr>
        <w:t> nevertheless entitled to the full cost of the replacement. </w:t>
      </w:r>
      <w:r>
        <w:rPr>
          <w:color w:val="005DA1"/>
          <w:u w:val="single" w:color="005DA1"/>
          <w:vertAlign w:val="superscript"/>
        </w:rPr>
        <w:t>541</w:t>
      </w:r>
      <w:r>
        <w:rPr>
          <w:color w:val="005DA1"/>
          <w:vertAlign w:val="baseline"/>
        </w:rPr>
        <w:t> </w:t>
      </w:r>
      <w:r>
        <w:rPr>
          <w:vertAlign w:val="baseline"/>
        </w:rPr>
        <w:t>In contrast, in </w:t>
      </w:r>
      <w:r>
        <w:rPr>
          <w:rFonts w:ascii="Arial" w:hAnsi="Arial"/>
          <w:i/>
          <w:vertAlign w:val="baseline"/>
        </w:rPr>
        <w:t>British Westinghouse Electric Co Ltd v Underground Electric Rys </w:t>
      </w:r>
      <w:r>
        <w:rPr>
          <w:color w:val="005DA1"/>
          <w:u w:val="single" w:color="005DA1"/>
          <w:vertAlign w:val="superscript"/>
        </w:rPr>
        <w:t>542</w:t>
      </w:r>
      <w:r>
        <w:rPr>
          <w:color w:val="005DA1"/>
          <w:vertAlign w:val="baseline"/>
        </w:rPr>
        <w:t> </w:t>
      </w:r>
      <w:r>
        <w:rPr>
          <w:vertAlign w:val="baseline"/>
        </w:rPr>
        <w:t>the buyers replaced the defective turbines supplied</w:t>
      </w:r>
      <w:r>
        <w:rPr>
          <w:spacing w:val="40"/>
          <w:vertAlign w:val="baseline"/>
        </w:rPr>
        <w:t> </w:t>
      </w:r>
      <w:r>
        <w:rPr>
          <w:vertAlign w:val="baseline"/>
        </w:rPr>
        <w:t>with a newer design of much greater efficiency, and the saving to them was taken into account.</w:t>
      </w:r>
    </w:p>
    <w:p>
      <w:pPr>
        <w:pStyle w:val="BodyText"/>
      </w:pPr>
    </w:p>
    <w:p>
      <w:pPr>
        <w:pStyle w:val="BodyText"/>
        <w:spacing w:before="34"/>
      </w:pPr>
    </w:p>
    <w:p>
      <w:pPr>
        <w:spacing w:before="0"/>
        <w:ind w:left="164" w:right="0" w:firstLine="0"/>
        <w:jc w:val="both"/>
        <w:rPr>
          <w:rFonts w:ascii="Arial"/>
          <w:b/>
          <w:sz w:val="18"/>
        </w:rPr>
      </w:pPr>
      <w:r>
        <w:rPr>
          <w:rFonts w:ascii="Arial"/>
          <w:b/>
          <w:sz w:val="18"/>
        </w:rPr>
        <w:t>Benefits independent of </w:t>
      </w:r>
      <w:r>
        <w:rPr>
          <w:rFonts w:ascii="Arial"/>
          <w:b/>
          <w:spacing w:val="-2"/>
          <w:sz w:val="18"/>
        </w:rPr>
        <w:t>mitigation</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098</w:t>
      </w:r>
    </w:p>
    <w:p>
      <w:pPr>
        <w:pStyle w:val="BodyText"/>
        <w:spacing w:line="235" w:lineRule="auto" w:before="203"/>
        <w:ind w:left="164" w:right="166"/>
        <w:jc w:val="both"/>
      </w:pPr>
      <w:bookmarkStart w:name="_bookmark1020" w:id="1022"/>
      <w:bookmarkEnd w:id="1022"/>
      <w:r>
        <w:rPr/>
      </w:r>
      <w:r>
        <w:rPr/>
        <w:t>Where a seller of goods chooses not to resell upon the date of the buyer’s breach (which is </w:t>
      </w:r>
      <w:r>
        <w:rPr/>
        <w:t>the</w:t>
      </w:r>
      <w:r>
        <w:rPr>
          <w:spacing w:val="40"/>
        </w:rPr>
        <w:t> </w:t>
      </w:r>
      <w:r>
        <w:rPr/>
        <w:t>normal date when his duty to mitigate must be tested </w:t>
      </w:r>
      <w:r>
        <w:rPr>
          <w:color w:val="005DA1"/>
          <w:u w:val="single" w:color="005DA1"/>
          <w:vertAlign w:val="superscript"/>
        </w:rPr>
        <w:t>543</w:t>
      </w:r>
      <w:r>
        <w:rPr>
          <w:vertAlign w:val="baseline"/>
        </w:rPr>
        <w:t>) but retains the goods for some time and </w:t>
      </w:r>
      <w:bookmarkStart w:name="_bookmark1021" w:id="1023"/>
      <w:bookmarkEnd w:id="1023"/>
      <w:r>
        <w:rPr>
          <w:vertAlign w:val="baseline"/>
        </w:rPr>
        <w:t>resells</w:t>
      </w:r>
      <w:r>
        <w:rPr>
          <w:vertAlign w:val="baseline"/>
        </w:rPr>
        <w:t> at a gain when the market price later rises, the benefit to the claimant does not arise from any </w:t>
      </w:r>
      <w:bookmarkStart w:name="_bookmark1022" w:id="1024"/>
      <w:bookmarkEnd w:id="1024"/>
      <w:r>
        <w:rPr>
          <w:vertAlign w:val="baseline"/>
        </w:rPr>
        <w:t>act</w:t>
      </w:r>
      <w:r>
        <w:rPr>
          <w:vertAlign w:val="baseline"/>
        </w:rPr>
        <w:t> of mitigation </w:t>
      </w:r>
      <w:r>
        <w:rPr>
          <w:color w:val="005DA1"/>
          <w:u w:val="single" w:color="005DA1"/>
          <w:vertAlign w:val="superscript"/>
        </w:rPr>
        <w:t>544</w:t>
      </w:r>
      <w:r>
        <w:rPr>
          <w:color w:val="005DA1"/>
          <w:vertAlign w:val="baseline"/>
        </w:rPr>
        <w:t> </w:t>
      </w:r>
      <w:r>
        <w:rPr>
          <w:vertAlign w:val="baseline"/>
        </w:rPr>
        <w:t>and is irrelevant in assessing damages. </w:t>
      </w:r>
      <w:r>
        <w:rPr>
          <w:color w:val="005DA1"/>
          <w:u w:val="single" w:color="005DA1"/>
          <w:vertAlign w:val="superscript"/>
        </w:rPr>
        <w:t>545</w:t>
      </w:r>
      <w:r>
        <w:rPr>
          <w:color w:val="005DA1"/>
          <w:vertAlign w:val="baseline"/>
        </w:rPr>
        <w:t> </w:t>
      </w:r>
      <w:r>
        <w:rPr>
          <w:vertAlign w:val="baseline"/>
        </w:rPr>
        <w:t>The seller could not have made the buyer liable for additional loss had the market price fallen after the date of the breach, </w:t>
      </w:r>
      <w:r>
        <w:rPr>
          <w:color w:val="005DA1"/>
          <w:u w:val="single" w:color="005DA1"/>
          <w:vertAlign w:val="superscript"/>
        </w:rPr>
        <w:t>546</w:t>
      </w:r>
      <w:r>
        <w:rPr>
          <w:color w:val="005DA1"/>
          <w:vertAlign w:val="baseline"/>
        </w:rPr>
        <w:t> </w:t>
      </w:r>
      <w:r>
        <w:rPr>
          <w:vertAlign w:val="baseline"/>
        </w:rPr>
        <w:t>so he is entitled to the gain when the market price happens to rise after that date. The decision to retain the goods was an independent speculation by the seller. On a similar principle, advantages gained by the </w:t>
      </w:r>
      <w:bookmarkStart w:name="_bookmark1023" w:id="1025"/>
      <w:bookmarkEnd w:id="1025"/>
      <w:r>
        <w:rPr>
          <w:vertAlign w:val="baseline"/>
        </w:rPr>
        <w:t>claimant</w:t>
      </w:r>
      <w:r>
        <w:rPr>
          <w:vertAlign w:val="baseline"/>
        </w:rPr>
        <w:t> from wholly independent transactions, especially those entered into before the defendant’s </w:t>
      </w:r>
      <w:bookmarkStart w:name="_bookmark1024" w:id="1026"/>
      <w:bookmarkEnd w:id="1026"/>
      <w:r>
        <w:rPr>
          <w:vertAlign w:val="baseline"/>
        </w:rPr>
        <w:t>breach</w:t>
      </w:r>
      <w:r>
        <w:rPr>
          <w:vertAlign w:val="baseline"/>
        </w:rPr>
        <w:t> of contract, as for example, a sum due under an insurance policy, </w:t>
      </w:r>
      <w:r>
        <w:rPr>
          <w:color w:val="005DA1"/>
          <w:u w:val="single" w:color="005DA1"/>
          <w:vertAlign w:val="superscript"/>
        </w:rPr>
        <w:t>547</w:t>
      </w:r>
      <w:r>
        <w:rPr>
          <w:color w:val="005DA1"/>
          <w:vertAlign w:val="baseline"/>
        </w:rPr>
        <w:t> </w:t>
      </w:r>
      <w:r>
        <w:rPr>
          <w:vertAlign w:val="baseline"/>
        </w:rPr>
        <w:t>cannot be relied on in mitigation of loss arising from the defendant’s breach. </w:t>
      </w:r>
      <w:r>
        <w:rPr>
          <w:color w:val="005DA1"/>
          <w:u w:val="single" w:color="005DA1"/>
          <w:vertAlign w:val="superscript"/>
        </w:rPr>
        <w:t>548</w:t>
      </w:r>
      <w:r>
        <w:rPr>
          <w:color w:val="005DA1"/>
          <w:vertAlign w:val="baseline"/>
        </w:rPr>
        <w:t> </w:t>
      </w:r>
      <w:r>
        <w:rPr>
          <w:vertAlign w:val="baseline"/>
        </w:rPr>
        <w:t>So where the claimant, by another contract with a third party entered into before the defendant’s breach of his contract with the claimant, has </w:t>
      </w:r>
      <w:bookmarkStart w:name="_bookmark1025" w:id="1027"/>
      <w:bookmarkEnd w:id="1027"/>
      <w:r>
        <w:rPr>
          <w:vertAlign w:val="baseline"/>
        </w:rPr>
        <w:t>made</w:t>
      </w:r>
      <w:r>
        <w:rPr>
          <w:vertAlign w:val="baseline"/>
        </w:rPr>
        <w:t> an arrangement which should or does in fact prevent loss to the claimant from the defendant’s breach, the defendant cannot rely on that other contract to reduce his damages </w:t>
      </w:r>
      <w:r>
        <w:rPr>
          <w:color w:val="005DA1"/>
          <w:u w:val="single" w:color="005DA1"/>
          <w:vertAlign w:val="superscript"/>
        </w:rPr>
        <w:t>549</w:t>
      </w:r>
      <w:r>
        <w:rPr>
          <w:vertAlign w:val="baseline"/>
        </w:rPr>
        <w:t>; it is res inter alios acta, or an extraneous circumstance. Even where a benefit to the claimant arises in the course of his </w:t>
      </w:r>
      <w:bookmarkStart w:name="_bookmark1026" w:id="1028"/>
      <w:bookmarkEnd w:id="1028"/>
      <w:r>
        <w:rPr>
          <w:vertAlign w:val="baseline"/>
        </w:rPr>
        <w:t>mitigating</w:t>
      </w:r>
      <w:r>
        <w:rPr>
          <w:vertAlign w:val="baseline"/>
        </w:rPr>
        <w:t> action, there may not be a sufficient causal connection between the defendant’s breach</w:t>
      </w:r>
      <w:r>
        <w:rPr>
          <w:spacing w:val="80"/>
          <w:vertAlign w:val="baseline"/>
        </w:rPr>
        <w:t> </w:t>
      </w:r>
      <w:r>
        <w:rPr>
          <w:vertAlign w:val="baseline"/>
        </w:rPr>
        <w:t>and that benefit to justify taking it into account in assessing the claimant’s damages. </w:t>
      </w:r>
      <w:r>
        <w:rPr>
          <w:color w:val="005DA1"/>
          <w:u w:val="single" w:color="005DA1"/>
          <w:vertAlign w:val="superscript"/>
        </w:rPr>
        <w:t>550</w:t>
      </w:r>
    </w:p>
    <w:p>
      <w:pPr>
        <w:pStyle w:val="BodyText"/>
      </w:pPr>
    </w:p>
    <w:p>
      <w:pPr>
        <w:pStyle w:val="BodyText"/>
        <w:spacing w:before="32"/>
      </w:pPr>
    </w:p>
    <w:p>
      <w:pPr>
        <w:spacing w:before="0"/>
        <w:ind w:left="165" w:right="0" w:firstLine="0"/>
        <w:jc w:val="both"/>
        <w:rPr>
          <w:rFonts w:ascii="Arial"/>
          <w:b/>
          <w:sz w:val="18"/>
        </w:rPr>
      </w:pPr>
      <w:r>
        <w:rPr>
          <w:rFonts w:ascii="Arial"/>
          <w:b/>
          <w:sz w:val="18"/>
        </w:rPr>
        <w:t>Benefit arising from decision to sell property required in order to perform </w:t>
      </w:r>
      <w:r>
        <w:rPr>
          <w:rFonts w:ascii="Arial"/>
          <w:b/>
          <w:spacing w:val="-2"/>
          <w:sz w:val="18"/>
        </w:rPr>
        <w:t>contract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099</w:t>
      </w:r>
    </w:p>
    <w:p>
      <w:pPr>
        <w:pStyle w:val="BodyText"/>
        <w:spacing w:before="92"/>
        <w:rPr>
          <w:rFonts w:ascii="Arial"/>
          <w:b/>
        </w:rPr>
      </w:pPr>
    </w:p>
    <w:p>
      <w:pPr>
        <w:spacing w:line="235" w:lineRule="auto" w:before="0"/>
        <w:ind w:left="165" w:right="167" w:firstLine="0"/>
        <w:jc w:val="both"/>
        <w:rPr>
          <w:rFonts w:ascii="Arial"/>
          <w:i/>
          <w:sz w:val="20"/>
        </w:rPr>
      </w:pPr>
      <w:r>
        <w:rPr>
          <w:position w:val="-2"/>
        </w:rPr>
        <w:drawing>
          <wp:inline distT="0" distB="0" distL="0" distR="0">
            <wp:extent cx="107988" cy="10798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r>
        <w:rPr>
          <w:sz w:val="20"/>
        </w:rPr>
        <w:t>A very difficult question of whether there was a sufficient link between the breach and a </w:t>
      </w:r>
      <w:r>
        <w:rPr>
          <w:sz w:val="20"/>
        </w:rPr>
        <w:t>benefit </w:t>
      </w:r>
      <w:bookmarkStart w:name="_bookmark1027" w:id="1029"/>
      <w:bookmarkEnd w:id="1029"/>
      <w:r>
        <w:rPr>
          <w:sz w:val="20"/>
        </w:rPr>
        <w:t>obtained</w:t>
      </w:r>
      <w:r>
        <w:rPr>
          <w:spacing w:val="23"/>
          <w:sz w:val="20"/>
        </w:rPr>
        <w:t> </w:t>
      </w:r>
      <w:r>
        <w:rPr>
          <w:sz w:val="20"/>
        </w:rPr>
        <w:t>by</w:t>
      </w:r>
      <w:r>
        <w:rPr>
          <w:spacing w:val="23"/>
          <w:sz w:val="20"/>
        </w:rPr>
        <w:t> </w:t>
      </w:r>
      <w:r>
        <w:rPr>
          <w:sz w:val="20"/>
        </w:rPr>
        <w:t>the</w:t>
      </w:r>
      <w:r>
        <w:rPr>
          <w:spacing w:val="23"/>
          <w:sz w:val="20"/>
        </w:rPr>
        <w:t> </w:t>
      </w:r>
      <w:r>
        <w:rPr>
          <w:sz w:val="20"/>
        </w:rPr>
        <w:t>innocent</w:t>
      </w:r>
      <w:r>
        <w:rPr>
          <w:spacing w:val="23"/>
          <w:sz w:val="20"/>
        </w:rPr>
        <w:t> </w:t>
      </w:r>
      <w:r>
        <w:rPr>
          <w:sz w:val="20"/>
        </w:rPr>
        <w:t>party</w:t>
      </w:r>
      <w:r>
        <w:rPr>
          <w:spacing w:val="23"/>
          <w:sz w:val="20"/>
        </w:rPr>
        <w:t> </w:t>
      </w:r>
      <w:r>
        <w:rPr>
          <w:sz w:val="20"/>
        </w:rPr>
        <w:t>arose</w:t>
      </w:r>
      <w:r>
        <w:rPr>
          <w:spacing w:val="23"/>
          <w:sz w:val="20"/>
        </w:rPr>
        <w:t> </w:t>
      </w:r>
      <w:r>
        <w:rPr>
          <w:sz w:val="20"/>
        </w:rPr>
        <w:t>in</w:t>
      </w:r>
      <w:r>
        <w:rPr>
          <w:spacing w:val="23"/>
          <w:sz w:val="20"/>
        </w:rPr>
        <w:t> </w:t>
      </w:r>
      <w:r>
        <w:rPr>
          <w:rFonts w:ascii="Arial"/>
          <w:i/>
          <w:sz w:val="20"/>
        </w:rPr>
        <w:t>Fulton</w:t>
      </w:r>
      <w:r>
        <w:rPr>
          <w:rFonts w:ascii="Arial"/>
          <w:i/>
          <w:spacing w:val="23"/>
          <w:sz w:val="20"/>
        </w:rPr>
        <w:t> </w:t>
      </w:r>
      <w:r>
        <w:rPr>
          <w:rFonts w:ascii="Arial"/>
          <w:i/>
          <w:sz w:val="20"/>
        </w:rPr>
        <w:t>Shipping</w:t>
      </w:r>
      <w:r>
        <w:rPr>
          <w:rFonts w:ascii="Arial"/>
          <w:i/>
          <w:spacing w:val="23"/>
          <w:sz w:val="20"/>
        </w:rPr>
        <w:t> </w:t>
      </w:r>
      <w:r>
        <w:rPr>
          <w:rFonts w:ascii="Arial"/>
          <w:i/>
          <w:sz w:val="20"/>
        </w:rPr>
        <w:t>Inc</w:t>
      </w:r>
      <w:r>
        <w:rPr>
          <w:rFonts w:ascii="Arial"/>
          <w:i/>
          <w:spacing w:val="23"/>
          <w:sz w:val="20"/>
        </w:rPr>
        <w:t> </w:t>
      </w:r>
      <w:r>
        <w:rPr>
          <w:rFonts w:ascii="Arial"/>
          <w:i/>
          <w:sz w:val="20"/>
        </w:rPr>
        <w:t>of</w:t>
      </w:r>
      <w:r>
        <w:rPr>
          <w:rFonts w:ascii="Arial"/>
          <w:i/>
          <w:spacing w:val="23"/>
          <w:sz w:val="20"/>
        </w:rPr>
        <w:t> </w:t>
      </w:r>
      <w:r>
        <w:rPr>
          <w:rFonts w:ascii="Arial"/>
          <w:i/>
          <w:sz w:val="20"/>
        </w:rPr>
        <w:t>Panama</w:t>
      </w:r>
      <w:r>
        <w:rPr>
          <w:rFonts w:ascii="Arial"/>
          <w:i/>
          <w:spacing w:val="23"/>
          <w:sz w:val="20"/>
        </w:rPr>
        <w:t> </w:t>
      </w:r>
      <w:r>
        <w:rPr>
          <w:rFonts w:ascii="Arial"/>
          <w:i/>
          <w:sz w:val="20"/>
        </w:rPr>
        <w:t>v</w:t>
      </w:r>
      <w:r>
        <w:rPr>
          <w:rFonts w:ascii="Arial"/>
          <w:i/>
          <w:spacing w:val="23"/>
          <w:sz w:val="20"/>
        </w:rPr>
        <w:t> </w:t>
      </w:r>
      <w:r>
        <w:rPr>
          <w:rFonts w:ascii="Arial"/>
          <w:i/>
          <w:sz w:val="20"/>
        </w:rPr>
        <w:t>Globalia</w:t>
      </w:r>
      <w:r>
        <w:rPr>
          <w:rFonts w:ascii="Arial"/>
          <w:i/>
          <w:spacing w:val="23"/>
          <w:sz w:val="20"/>
        </w:rPr>
        <w:t> </w:t>
      </w:r>
      <w:r>
        <w:rPr>
          <w:rFonts w:ascii="Arial"/>
          <w:i/>
          <w:sz w:val="20"/>
        </w:rPr>
        <w:t>Business</w:t>
      </w:r>
      <w:r>
        <w:rPr>
          <w:rFonts w:ascii="Arial"/>
          <w:i/>
          <w:spacing w:val="23"/>
          <w:sz w:val="20"/>
        </w:rPr>
        <w:t> </w:t>
      </w:r>
      <w:r>
        <w:rPr>
          <w:rFonts w:ascii="Arial"/>
          <w:i/>
          <w:spacing w:val="-2"/>
          <w:sz w:val="20"/>
        </w:rPr>
        <w:t>Travel</w:t>
      </w:r>
    </w:p>
    <w:p>
      <w:pPr>
        <w:pStyle w:val="BodyText"/>
        <w:spacing w:line="235" w:lineRule="auto" w:before="120"/>
        <w:ind w:left="165" w:right="167"/>
        <w:jc w:val="both"/>
      </w:pPr>
      <w:r>
        <w:rPr>
          <w:rFonts w:ascii="Arial" w:hAnsi="Arial"/>
          <w:i/>
        </w:rPr>
        <w:t>SAU</w:t>
      </w:r>
      <w:r>
        <w:rPr/>
        <w:t>. </w:t>
      </w:r>
      <w:r>
        <w:rPr>
          <w:color w:val="005DA1"/>
          <w:u w:val="single" w:color="005DA1"/>
          <w:vertAlign w:val="superscript"/>
        </w:rPr>
        <w:t>551</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The owners of a vessel that the time-charterer had, in breach of contract, redelivered early could find no alternative employment for her and sold her for over US $23 million, whereas by the end of the charter (after the financial crisis of 2007–08) she would have been worth only US </w:t>
      </w:r>
      <w:r>
        <w:rPr>
          <w:vertAlign w:val="baseline"/>
        </w:rPr>
        <w:t>$7 million. The owners claimed for loss of net profit that would have been earned during the remaining two years of the charter. The arbitrator held that the price obtained on the sale should be taken into </w:t>
      </w:r>
      <w:bookmarkStart w:name="_bookmark1028" w:id="1030"/>
      <w:bookmarkEnd w:id="1030"/>
      <w:r>
        <w:rPr>
          <w:vertAlign w:val="baseline"/>
        </w:rPr>
        <w:t>account,</w:t>
      </w:r>
      <w:r>
        <w:rPr>
          <w:spacing w:val="19"/>
          <w:vertAlign w:val="baseline"/>
        </w:rPr>
        <w:t> </w:t>
      </w:r>
      <w:r>
        <w:rPr>
          <w:vertAlign w:val="baseline"/>
        </w:rPr>
        <w:t>which</w:t>
      </w:r>
      <w:r>
        <w:rPr>
          <w:spacing w:val="19"/>
          <w:vertAlign w:val="baseline"/>
        </w:rPr>
        <w:t> </w:t>
      </w:r>
      <w:r>
        <w:rPr>
          <w:vertAlign w:val="baseline"/>
        </w:rPr>
        <w:t>would</w:t>
      </w:r>
      <w:r>
        <w:rPr>
          <w:spacing w:val="19"/>
          <w:vertAlign w:val="baseline"/>
        </w:rPr>
        <w:t> </w:t>
      </w:r>
      <w:r>
        <w:rPr>
          <w:vertAlign w:val="baseline"/>
        </w:rPr>
        <w:t>reduce</w:t>
      </w:r>
      <w:r>
        <w:rPr>
          <w:spacing w:val="19"/>
          <w:vertAlign w:val="baseline"/>
        </w:rPr>
        <w:t> </w:t>
      </w:r>
      <w:r>
        <w:rPr>
          <w:vertAlign w:val="baseline"/>
        </w:rPr>
        <w:t>the</w:t>
      </w:r>
      <w:r>
        <w:rPr>
          <w:spacing w:val="19"/>
          <w:vertAlign w:val="baseline"/>
        </w:rPr>
        <w:t> </w:t>
      </w:r>
      <w:r>
        <w:rPr>
          <w:vertAlign w:val="baseline"/>
        </w:rPr>
        <w:t>claim</w:t>
      </w:r>
      <w:r>
        <w:rPr>
          <w:spacing w:val="19"/>
          <w:vertAlign w:val="baseline"/>
        </w:rPr>
        <w:t> </w:t>
      </w:r>
      <w:r>
        <w:rPr>
          <w:vertAlign w:val="baseline"/>
        </w:rPr>
        <w:t>for</w:t>
      </w:r>
      <w:r>
        <w:rPr>
          <w:spacing w:val="19"/>
          <w:vertAlign w:val="baseline"/>
        </w:rPr>
        <w:t> </w:t>
      </w:r>
      <w:r>
        <w:rPr>
          <w:vertAlign w:val="baseline"/>
        </w:rPr>
        <w:t>loss</w:t>
      </w:r>
      <w:r>
        <w:rPr>
          <w:spacing w:val="19"/>
          <w:vertAlign w:val="baseline"/>
        </w:rPr>
        <w:t> </w:t>
      </w:r>
      <w:r>
        <w:rPr>
          <w:vertAlign w:val="baseline"/>
        </w:rPr>
        <w:t>of</w:t>
      </w:r>
      <w:r>
        <w:rPr>
          <w:spacing w:val="19"/>
          <w:vertAlign w:val="baseline"/>
        </w:rPr>
        <w:t> </w:t>
      </w:r>
      <w:r>
        <w:rPr>
          <w:vertAlign w:val="baseline"/>
        </w:rPr>
        <w:t>profit</w:t>
      </w:r>
      <w:r>
        <w:rPr>
          <w:spacing w:val="19"/>
          <w:vertAlign w:val="baseline"/>
        </w:rPr>
        <w:t> </w:t>
      </w:r>
      <w:r>
        <w:rPr>
          <w:vertAlign w:val="baseline"/>
        </w:rPr>
        <w:t>to</w:t>
      </w:r>
      <w:r>
        <w:rPr>
          <w:spacing w:val="19"/>
          <w:vertAlign w:val="baseline"/>
        </w:rPr>
        <w:t> </w:t>
      </w:r>
      <w:r>
        <w:rPr>
          <w:vertAlign w:val="baseline"/>
        </w:rPr>
        <w:t>nil.</w:t>
      </w:r>
      <w:r>
        <w:rPr>
          <w:spacing w:val="19"/>
          <w:vertAlign w:val="baseline"/>
        </w:rPr>
        <w:t> </w:t>
      </w:r>
      <w:r>
        <w:rPr>
          <w:vertAlign w:val="baseline"/>
        </w:rPr>
        <w:t>Popplewell</w:t>
      </w:r>
      <w:r>
        <w:rPr>
          <w:spacing w:val="19"/>
          <w:vertAlign w:val="baseline"/>
        </w:rPr>
        <w:t> </w:t>
      </w:r>
      <w:r>
        <w:rPr>
          <w:vertAlign w:val="baseline"/>
        </w:rPr>
        <w:t>J.,</w:t>
      </w:r>
      <w:r>
        <w:rPr>
          <w:spacing w:val="19"/>
          <w:vertAlign w:val="baseline"/>
        </w:rPr>
        <w:t> </w:t>
      </w:r>
      <w:r>
        <w:rPr>
          <w:vertAlign w:val="baseline"/>
        </w:rPr>
        <w:t>after</w:t>
      </w:r>
      <w:r>
        <w:rPr>
          <w:spacing w:val="19"/>
          <w:vertAlign w:val="baseline"/>
        </w:rPr>
        <w:t> </w:t>
      </w:r>
      <w:r>
        <w:rPr>
          <w:vertAlign w:val="baseline"/>
        </w:rPr>
        <w:t>a</w:t>
      </w:r>
      <w:r>
        <w:rPr>
          <w:spacing w:val="19"/>
          <w:vertAlign w:val="baseline"/>
        </w:rPr>
        <w:t> </w:t>
      </w:r>
      <w:r>
        <w:rPr>
          <w:vertAlign w:val="baseline"/>
        </w:rPr>
        <w:t>detailed</w:t>
      </w:r>
      <w:r>
        <w:rPr>
          <w:spacing w:val="19"/>
          <w:vertAlign w:val="baseline"/>
        </w:rPr>
        <w:t> </w:t>
      </w:r>
      <w:r>
        <w:rPr>
          <w:spacing w:val="-2"/>
          <w:vertAlign w:val="baseline"/>
        </w:rPr>
        <w:t>review</w:t>
      </w:r>
    </w:p>
    <w:p>
      <w:pPr>
        <w:pStyle w:val="BodyText"/>
        <w:spacing w:line="235" w:lineRule="auto" w:before="117"/>
        <w:ind w:left="164" w:right="167"/>
        <w:jc w:val="both"/>
      </w:pPr>
      <w:r>
        <w:rPr/>
        <w:t>and summary </w:t>
      </w:r>
      <w:r>
        <w:rPr>
          <w:color w:val="005DA1"/>
          <w:u w:val="single" w:color="005DA1"/>
          <w:vertAlign w:val="superscript"/>
        </w:rPr>
        <w:t>552</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of the authorities, held that the owner’s decision to sell the vessel </w:t>
      </w:r>
      <w:r>
        <w:rPr>
          <w:vertAlign w:val="baseline"/>
        </w:rPr>
        <w:t>was </w:t>
      </w:r>
      <w:bookmarkStart w:name="_bookmark1029" w:id="1031"/>
      <w:bookmarkEnd w:id="1031"/>
      <w:r>
        <w:rPr>
          <w:vertAlign w:val="baseline"/>
        </w:rPr>
        <w:t>independent</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breach</w:t>
      </w:r>
      <w:r>
        <w:rPr>
          <w:spacing w:val="43"/>
          <w:vertAlign w:val="baseline"/>
        </w:rPr>
        <w:t> </w:t>
      </w:r>
      <w:r>
        <w:rPr>
          <w:vertAlign w:val="baseline"/>
        </w:rPr>
        <w:t>and</w:t>
      </w:r>
      <w:r>
        <w:rPr>
          <w:spacing w:val="43"/>
          <w:vertAlign w:val="baseline"/>
        </w:rPr>
        <w:t> </w:t>
      </w:r>
      <w:r>
        <w:rPr>
          <w:vertAlign w:val="baseline"/>
        </w:rPr>
        <w:t>the</w:t>
      </w:r>
      <w:r>
        <w:rPr>
          <w:spacing w:val="43"/>
          <w:vertAlign w:val="baseline"/>
        </w:rPr>
        <w:t> </w:t>
      </w:r>
      <w:r>
        <w:rPr>
          <w:vertAlign w:val="baseline"/>
        </w:rPr>
        <w:t>sale</w:t>
      </w:r>
      <w:r>
        <w:rPr>
          <w:spacing w:val="43"/>
          <w:vertAlign w:val="baseline"/>
        </w:rPr>
        <w:t> </w:t>
      </w:r>
      <w:r>
        <w:rPr>
          <w:vertAlign w:val="baseline"/>
        </w:rPr>
        <w:t>should</w:t>
      </w:r>
      <w:r>
        <w:rPr>
          <w:spacing w:val="43"/>
          <w:vertAlign w:val="baseline"/>
        </w:rPr>
        <w:t> </w:t>
      </w:r>
      <w:r>
        <w:rPr>
          <w:vertAlign w:val="baseline"/>
        </w:rPr>
        <w:t>not</w:t>
      </w:r>
      <w:r>
        <w:rPr>
          <w:spacing w:val="43"/>
          <w:vertAlign w:val="baseline"/>
        </w:rPr>
        <w:t> </w:t>
      </w:r>
      <w:r>
        <w:rPr>
          <w:vertAlign w:val="baseline"/>
        </w:rPr>
        <w:t>be</w:t>
      </w:r>
      <w:r>
        <w:rPr>
          <w:spacing w:val="43"/>
          <w:vertAlign w:val="baseline"/>
        </w:rPr>
        <w:t> </w:t>
      </w:r>
      <w:r>
        <w:rPr>
          <w:vertAlign w:val="baseline"/>
        </w:rPr>
        <w:t>taken</w:t>
      </w:r>
      <w:r>
        <w:rPr>
          <w:spacing w:val="43"/>
          <w:vertAlign w:val="baseline"/>
        </w:rPr>
        <w:t> </w:t>
      </w:r>
      <w:r>
        <w:rPr>
          <w:vertAlign w:val="baseline"/>
        </w:rPr>
        <w:t>into</w:t>
      </w:r>
      <w:r>
        <w:rPr>
          <w:spacing w:val="43"/>
          <w:vertAlign w:val="baseline"/>
        </w:rPr>
        <w:t> </w:t>
      </w:r>
      <w:r>
        <w:rPr>
          <w:vertAlign w:val="baseline"/>
        </w:rPr>
        <w:t>account.</w:t>
      </w:r>
      <w:r>
        <w:rPr>
          <w:spacing w:val="43"/>
          <w:vertAlign w:val="baseline"/>
        </w:rPr>
        <w:t> </w:t>
      </w:r>
      <w:r>
        <w:rPr>
          <w:vertAlign w:val="baseline"/>
        </w:rPr>
        <w:t>The</w:t>
      </w:r>
      <w:r>
        <w:rPr>
          <w:spacing w:val="43"/>
          <w:vertAlign w:val="baseline"/>
        </w:rPr>
        <w:t> </w:t>
      </w:r>
      <w:r>
        <w:rPr>
          <w:vertAlign w:val="baseline"/>
        </w:rPr>
        <w:t>Court</w:t>
      </w:r>
      <w:r>
        <w:rPr>
          <w:spacing w:val="43"/>
          <w:vertAlign w:val="baseline"/>
        </w:rPr>
        <w:t> </w:t>
      </w:r>
      <w:r>
        <w:rPr>
          <w:vertAlign w:val="baseline"/>
        </w:rPr>
        <w:t>of</w:t>
      </w:r>
      <w:r>
        <w:rPr>
          <w:spacing w:val="43"/>
          <w:vertAlign w:val="baseline"/>
        </w:rPr>
        <w:t> </w:t>
      </w:r>
      <w:r>
        <w:rPr>
          <w:spacing w:val="-2"/>
          <w:vertAlign w:val="baseline"/>
        </w:rPr>
        <w:t>Appeal</w:t>
      </w:r>
    </w:p>
    <w:p>
      <w:pPr>
        <w:pStyle w:val="BodyText"/>
        <w:spacing w:before="116"/>
        <w:ind w:left="164"/>
        <w:jc w:val="both"/>
      </w:pPr>
      <w:r>
        <w:rPr/>
        <w:t>allowed</w:t>
      </w:r>
      <w:r>
        <w:rPr>
          <w:spacing w:val="-4"/>
        </w:rPr>
        <w:t> </w:t>
      </w:r>
      <w:r>
        <w:rPr/>
        <w:t>the</w:t>
      </w:r>
      <w:r>
        <w:rPr>
          <w:spacing w:val="-2"/>
        </w:rPr>
        <w:t> </w:t>
      </w:r>
      <w:r>
        <w:rPr/>
        <w:t>charterer’s</w:t>
      </w:r>
      <w:r>
        <w:rPr>
          <w:spacing w:val="-2"/>
        </w:rPr>
        <w:t> </w:t>
      </w:r>
      <w:r>
        <w:rPr/>
        <w:t>appeal.</w:t>
      </w:r>
      <w:r>
        <w:rPr>
          <w:spacing w:val="-2"/>
        </w:rPr>
        <w:t> </w:t>
      </w:r>
      <w:r>
        <w:rPr>
          <w:color w:val="005DA1"/>
          <w:u w:val="single" w:color="005DA1"/>
          <w:vertAlign w:val="superscript"/>
        </w:rPr>
        <w:t>553</w:t>
      </w:r>
      <w:r>
        <w:rPr>
          <w:color w:val="005DA1"/>
          <w:spacing w:val="78"/>
          <w:w w:val="150"/>
          <w:vertAlign w:val="baseline"/>
        </w:rPr>
        <w:t> </w:t>
      </w:r>
      <w:r>
        <w:rPr>
          <w:color w:val="005DA1"/>
          <w:position w:val="-2"/>
          <w:vertAlign w:val="baseline"/>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
          <w:vertAlign w:val="baseline"/>
        </w:rPr>
        <w:t> </w:t>
      </w:r>
      <w:r>
        <w:rPr>
          <w:vertAlign w:val="baseline"/>
        </w:rPr>
        <w:t>Longmore</w:t>
      </w:r>
      <w:r>
        <w:rPr>
          <w:spacing w:val="-2"/>
          <w:vertAlign w:val="baseline"/>
        </w:rPr>
        <w:t> </w:t>
      </w:r>
      <w:r>
        <w:rPr>
          <w:vertAlign w:val="baseline"/>
        </w:rPr>
        <w:t>L.J.</w:t>
      </w:r>
      <w:r>
        <w:rPr>
          <w:spacing w:val="-1"/>
          <w:vertAlign w:val="baseline"/>
        </w:rPr>
        <w:t> </w:t>
      </w:r>
      <w:r>
        <w:rPr>
          <w:spacing w:val="-4"/>
          <w:vertAlign w:val="baseline"/>
        </w:rPr>
        <w:t>said:</w:t>
      </w:r>
    </w:p>
    <w:p>
      <w:pPr>
        <w:pStyle w:val="BodyText"/>
      </w:pPr>
    </w:p>
    <w:p>
      <w:pPr>
        <w:pStyle w:val="BodyText"/>
        <w:spacing w:before="121"/>
      </w:pPr>
    </w:p>
    <w:p>
      <w:pPr>
        <w:pStyle w:val="BodyText"/>
        <w:spacing w:before="1"/>
        <w:ind w:left="1244"/>
      </w:pPr>
      <w:r>
        <w:rPr/>
        <w:t>“…</w:t>
      </w:r>
      <w:r>
        <w:rPr>
          <w:spacing w:val="68"/>
        </w:rPr>
        <w:t> </w:t>
      </w:r>
      <w:r>
        <w:rPr/>
        <w:t>if</w:t>
      </w:r>
      <w:r>
        <w:rPr>
          <w:spacing w:val="68"/>
        </w:rPr>
        <w:t> </w:t>
      </w:r>
      <w:r>
        <w:rPr/>
        <w:t>a</w:t>
      </w:r>
      <w:r>
        <w:rPr>
          <w:spacing w:val="68"/>
        </w:rPr>
        <w:t> </w:t>
      </w:r>
      <w:r>
        <w:rPr/>
        <w:t>claimant</w:t>
      </w:r>
      <w:r>
        <w:rPr>
          <w:spacing w:val="68"/>
        </w:rPr>
        <w:t> </w:t>
      </w:r>
      <w:r>
        <w:rPr/>
        <w:t>adopts</w:t>
      </w:r>
      <w:r>
        <w:rPr>
          <w:spacing w:val="68"/>
        </w:rPr>
        <w:t> </w:t>
      </w:r>
      <w:r>
        <w:rPr/>
        <w:t>by</w:t>
      </w:r>
      <w:r>
        <w:rPr>
          <w:spacing w:val="68"/>
        </w:rPr>
        <w:t> </w:t>
      </w:r>
      <w:r>
        <w:rPr/>
        <w:t>way</w:t>
      </w:r>
      <w:r>
        <w:rPr>
          <w:spacing w:val="68"/>
        </w:rPr>
        <w:t> </w:t>
      </w:r>
      <w:r>
        <w:rPr/>
        <w:t>of</w:t>
      </w:r>
      <w:r>
        <w:rPr>
          <w:spacing w:val="68"/>
        </w:rPr>
        <w:t> </w:t>
      </w:r>
      <w:r>
        <w:rPr/>
        <w:t>mitigation</w:t>
      </w:r>
      <w:r>
        <w:rPr>
          <w:spacing w:val="68"/>
        </w:rPr>
        <w:t> </w:t>
      </w:r>
      <w:r>
        <w:rPr/>
        <w:t>a</w:t>
      </w:r>
      <w:r>
        <w:rPr>
          <w:spacing w:val="68"/>
        </w:rPr>
        <w:t> </w:t>
      </w:r>
      <w:r>
        <w:rPr/>
        <w:t>measure</w:t>
      </w:r>
      <w:r>
        <w:rPr>
          <w:spacing w:val="68"/>
        </w:rPr>
        <w:t> </w:t>
      </w:r>
      <w:r>
        <w:rPr/>
        <w:t>which</w:t>
      </w:r>
      <w:r>
        <w:rPr>
          <w:spacing w:val="68"/>
        </w:rPr>
        <w:t> </w:t>
      </w:r>
      <w:r>
        <w:rPr/>
        <w:t>arises</w:t>
      </w:r>
      <w:r>
        <w:rPr>
          <w:spacing w:val="68"/>
        </w:rPr>
        <w:t> </w:t>
      </w:r>
      <w:r>
        <w:rPr/>
        <w:t>out</w:t>
      </w:r>
      <w:r>
        <w:rPr>
          <w:spacing w:val="68"/>
        </w:rPr>
        <w:t> </w:t>
      </w:r>
      <w:r>
        <w:rPr/>
        <w:t>of</w:t>
      </w:r>
      <w:r>
        <w:rPr>
          <w:spacing w:val="68"/>
        </w:rPr>
        <w:t> </w:t>
      </w:r>
      <w:r>
        <w:rPr>
          <w:spacing w:val="-5"/>
        </w:rPr>
        <w:t>the</w:t>
      </w:r>
    </w:p>
    <w:p>
      <w:pPr>
        <w:pStyle w:val="BodyText"/>
        <w:spacing w:after="0"/>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consequences of the breach and is in the ordinary course of business and such </w:t>
      </w:r>
      <w:r>
        <w:rPr/>
        <w:t>measure benefits the claimant, that benefit is normally to be brought into account in assessing the claimant’s loss unless the measure is wholly independent of the relationship of the </w:t>
      </w:r>
      <w:bookmarkStart w:name="_bookmark1030" w:id="1032"/>
      <w:bookmarkEnd w:id="1032"/>
      <w:r>
        <w:rPr/>
        <w:t>claimant</w:t>
      </w:r>
      <w:r>
        <w:rPr>
          <w:spacing w:val="11"/>
        </w:rPr>
        <w:t> </w:t>
      </w:r>
      <w:r>
        <w:rPr/>
        <w:t>and</w:t>
      </w:r>
      <w:r>
        <w:rPr>
          <w:spacing w:val="11"/>
        </w:rPr>
        <w:t> </w:t>
      </w:r>
      <w:r>
        <w:rPr/>
        <w:t>the</w:t>
      </w:r>
      <w:r>
        <w:rPr>
          <w:spacing w:val="11"/>
        </w:rPr>
        <w:t> </w:t>
      </w:r>
      <w:r>
        <w:rPr/>
        <w:t>defendant.</w:t>
      </w:r>
      <w:r>
        <w:rPr>
          <w:spacing w:val="11"/>
        </w:rPr>
        <w:t> </w:t>
      </w:r>
      <w:r>
        <w:rPr/>
        <w:t>That</w:t>
      </w:r>
      <w:r>
        <w:rPr>
          <w:spacing w:val="11"/>
        </w:rPr>
        <w:t> </w:t>
      </w:r>
      <w:r>
        <w:rPr/>
        <w:t>should</w:t>
      </w:r>
      <w:r>
        <w:rPr>
          <w:spacing w:val="11"/>
        </w:rPr>
        <w:t> </w:t>
      </w:r>
      <w:r>
        <w:rPr/>
        <w:t>be</w:t>
      </w:r>
      <w:r>
        <w:rPr>
          <w:spacing w:val="11"/>
        </w:rPr>
        <w:t> </w:t>
      </w:r>
      <w:r>
        <w:rPr/>
        <w:t>a</w:t>
      </w:r>
      <w:r>
        <w:rPr>
          <w:spacing w:val="11"/>
        </w:rPr>
        <w:t> </w:t>
      </w:r>
      <w:r>
        <w:rPr/>
        <w:t>principle</w:t>
      </w:r>
      <w:r>
        <w:rPr>
          <w:spacing w:val="11"/>
        </w:rPr>
        <w:t> </w:t>
      </w:r>
      <w:r>
        <w:rPr/>
        <w:t>sufficient</w:t>
      </w:r>
      <w:r>
        <w:rPr>
          <w:spacing w:val="11"/>
        </w:rPr>
        <w:t> </w:t>
      </w:r>
      <w:r>
        <w:rPr/>
        <w:t>to</w:t>
      </w:r>
      <w:r>
        <w:rPr>
          <w:spacing w:val="11"/>
        </w:rPr>
        <w:t> </w:t>
      </w:r>
      <w:r>
        <w:rPr/>
        <w:t>guide</w:t>
      </w:r>
      <w:r>
        <w:rPr>
          <w:spacing w:val="11"/>
        </w:rPr>
        <w:t> </w:t>
      </w:r>
      <w:r>
        <w:rPr/>
        <w:t>the</w:t>
      </w:r>
      <w:r>
        <w:rPr>
          <w:spacing w:val="11"/>
        </w:rPr>
        <w:t> </w:t>
      </w:r>
      <w:r>
        <w:rPr/>
        <w:t>decision</w:t>
      </w:r>
      <w:r>
        <w:rPr>
          <w:spacing w:val="11"/>
        </w:rPr>
        <w:t> </w:t>
      </w:r>
      <w:r>
        <w:rPr>
          <w:spacing w:val="-5"/>
        </w:rPr>
        <w:t>of</w:t>
      </w:r>
    </w:p>
    <w:p>
      <w:pPr>
        <w:pStyle w:val="BodyText"/>
        <w:spacing w:before="115"/>
        <w:ind w:left="1245"/>
        <w:jc w:val="both"/>
        <w:rPr>
          <w:position w:val="-2"/>
        </w:rPr>
      </w:pPr>
      <w:r>
        <w:rPr/>
        <w:t>the fact-finder in any particular case.” </w:t>
      </w:r>
      <w:r>
        <w:rPr>
          <w:color w:val="005DA1"/>
          <w:u w:val="single" w:color="005DA1"/>
          <w:vertAlign w:val="superscript"/>
        </w:rPr>
        <w:t>554</w:t>
      </w:r>
      <w:r>
        <w:rPr>
          <w:color w:val="005DA1"/>
          <w:spacing w:val="80"/>
          <w:w w:val="150"/>
          <w:vertAlign w:val="baseline"/>
        </w:rPr>
        <w:t> </w:t>
      </w:r>
      <w:r>
        <w:rPr>
          <w:color w:val="005DA1"/>
          <w:position w:val="-2"/>
          <w:vertAlign w:val="baseline"/>
        </w:rPr>
        <w:drawing>
          <wp:inline distT="0" distB="0" distL="0" distR="0">
            <wp:extent cx="107988" cy="1079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1"/>
      </w:pPr>
    </w:p>
    <w:p>
      <w:pPr>
        <w:pStyle w:val="BodyText"/>
        <w:spacing w:before="1"/>
        <w:ind w:left="165"/>
        <w:jc w:val="both"/>
      </w:pPr>
      <w:bookmarkStart w:name="_bookmark1031" w:id="1033"/>
      <w:bookmarkEnd w:id="1033"/>
      <w:r>
        <w:rPr/>
      </w:r>
      <w:r>
        <w:rPr/>
        <w:t>Where</w:t>
      </w:r>
      <w:r>
        <w:rPr>
          <w:spacing w:val="9"/>
        </w:rPr>
        <w:t> </w:t>
      </w:r>
      <w:r>
        <w:rPr/>
        <w:t>there</w:t>
      </w:r>
      <w:r>
        <w:rPr>
          <w:spacing w:val="9"/>
        </w:rPr>
        <w:t> </w:t>
      </w:r>
      <w:r>
        <w:rPr/>
        <w:t>is</w:t>
      </w:r>
      <w:r>
        <w:rPr>
          <w:spacing w:val="9"/>
        </w:rPr>
        <w:t> </w:t>
      </w:r>
      <w:r>
        <w:rPr/>
        <w:t>an</w:t>
      </w:r>
      <w:r>
        <w:rPr>
          <w:spacing w:val="9"/>
        </w:rPr>
        <w:t> </w:t>
      </w:r>
      <w:r>
        <w:rPr/>
        <w:t>available</w:t>
      </w:r>
      <w:r>
        <w:rPr>
          <w:spacing w:val="9"/>
        </w:rPr>
        <w:t> </w:t>
      </w:r>
      <w:r>
        <w:rPr/>
        <w:t>market,</w:t>
      </w:r>
      <w:r>
        <w:rPr>
          <w:spacing w:val="9"/>
        </w:rPr>
        <w:t> </w:t>
      </w:r>
      <w:r>
        <w:rPr/>
        <w:t>the</w:t>
      </w:r>
      <w:r>
        <w:rPr>
          <w:spacing w:val="9"/>
        </w:rPr>
        <w:t> </w:t>
      </w:r>
      <w:r>
        <w:rPr/>
        <w:t>innocent</w:t>
      </w:r>
      <w:r>
        <w:rPr>
          <w:spacing w:val="9"/>
        </w:rPr>
        <w:t> </w:t>
      </w:r>
      <w:r>
        <w:rPr/>
        <w:t>party</w:t>
      </w:r>
      <w:r>
        <w:rPr>
          <w:spacing w:val="9"/>
        </w:rPr>
        <w:t> </w:t>
      </w:r>
      <w:r>
        <w:rPr/>
        <w:t>is</w:t>
      </w:r>
      <w:r>
        <w:rPr>
          <w:spacing w:val="9"/>
        </w:rPr>
        <w:t> </w:t>
      </w:r>
      <w:r>
        <w:rPr/>
        <w:t>expected</w:t>
      </w:r>
      <w:r>
        <w:rPr>
          <w:spacing w:val="9"/>
        </w:rPr>
        <w:t> </w:t>
      </w:r>
      <w:r>
        <w:rPr/>
        <w:t>to</w:t>
      </w:r>
      <w:r>
        <w:rPr>
          <w:spacing w:val="9"/>
        </w:rPr>
        <w:t> </w:t>
      </w:r>
      <w:r>
        <w:rPr/>
        <w:t>make</w:t>
      </w:r>
      <w:r>
        <w:rPr>
          <w:spacing w:val="9"/>
        </w:rPr>
        <w:t> </w:t>
      </w:r>
      <w:r>
        <w:rPr/>
        <w:t>use</w:t>
      </w:r>
      <w:r>
        <w:rPr>
          <w:spacing w:val="9"/>
        </w:rPr>
        <w:t> </w:t>
      </w:r>
      <w:r>
        <w:rPr/>
        <w:t>of</w:t>
      </w:r>
      <w:r>
        <w:rPr>
          <w:spacing w:val="9"/>
        </w:rPr>
        <w:t> </w:t>
      </w:r>
      <w:r>
        <w:rPr/>
        <w:t>it,</w:t>
      </w:r>
      <w:r>
        <w:rPr>
          <w:spacing w:val="9"/>
        </w:rPr>
        <w:t> </w:t>
      </w:r>
      <w:r>
        <w:rPr/>
        <w:t>and</w:t>
      </w:r>
      <w:r>
        <w:rPr>
          <w:spacing w:val="9"/>
        </w:rPr>
        <w:t> </w:t>
      </w:r>
      <w:r>
        <w:rPr/>
        <w:t>any</w:t>
      </w:r>
      <w:r>
        <w:rPr>
          <w:spacing w:val="9"/>
        </w:rPr>
        <w:t> </w:t>
      </w:r>
      <w:r>
        <w:rPr>
          <w:spacing w:val="-2"/>
        </w:rPr>
        <w:t>further</w:t>
      </w:r>
    </w:p>
    <w:p>
      <w:pPr>
        <w:pStyle w:val="BodyText"/>
        <w:spacing w:line="235" w:lineRule="auto" w:before="118"/>
        <w:ind w:left="165" w:right="167"/>
        <w:jc w:val="both"/>
      </w:pPr>
      <w:r>
        <w:rPr/>
        <w:t>profit as well as any further losses will normally irrelevant </w:t>
      </w:r>
      <w:r>
        <w:rPr>
          <w:color w:val="005DA1"/>
          <w:u w:val="single" w:color="005DA1"/>
          <w:vertAlign w:val="superscript"/>
        </w:rPr>
        <w:t>555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vertAlign w:val="baseline"/>
        </w:rPr>
        <w:t>; and where there are no such </w:t>
      </w:r>
      <w:bookmarkStart w:name="_bookmark1032" w:id="1034"/>
      <w:bookmarkEnd w:id="1034"/>
      <w:r>
        <w:rPr>
          <w:vertAlign w:val="baseline"/>
        </w:rPr>
        <w:t>opportunities</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owner</w:t>
      </w:r>
      <w:r>
        <w:rPr>
          <w:spacing w:val="15"/>
          <w:vertAlign w:val="baseline"/>
        </w:rPr>
        <w:t> </w:t>
      </w:r>
      <w:r>
        <w:rPr>
          <w:vertAlign w:val="baseline"/>
        </w:rPr>
        <w:t>decides</w:t>
      </w:r>
      <w:r>
        <w:rPr>
          <w:spacing w:val="15"/>
          <w:vertAlign w:val="baseline"/>
        </w:rPr>
        <w:t> </w:t>
      </w:r>
      <w:r>
        <w:rPr>
          <w:vertAlign w:val="baseline"/>
        </w:rPr>
        <w:t>to</w:t>
      </w:r>
      <w:r>
        <w:rPr>
          <w:spacing w:val="15"/>
          <w:vertAlign w:val="baseline"/>
        </w:rPr>
        <w:t> </w:t>
      </w:r>
      <w:r>
        <w:rPr>
          <w:vertAlign w:val="baseline"/>
        </w:rPr>
        <w:t>sell</w:t>
      </w:r>
      <w:r>
        <w:rPr>
          <w:spacing w:val="15"/>
          <w:vertAlign w:val="baseline"/>
        </w:rPr>
        <w:t> </w:t>
      </w:r>
      <w:r>
        <w:rPr>
          <w:vertAlign w:val="baseline"/>
        </w:rPr>
        <w:t>the</w:t>
      </w:r>
      <w:r>
        <w:rPr>
          <w:spacing w:val="15"/>
          <w:vertAlign w:val="baseline"/>
        </w:rPr>
        <w:t> </w:t>
      </w:r>
      <w:r>
        <w:rPr>
          <w:vertAlign w:val="baseline"/>
        </w:rPr>
        <w:t>vessel,</w:t>
      </w:r>
      <w:r>
        <w:rPr>
          <w:spacing w:val="15"/>
          <w:vertAlign w:val="baseline"/>
        </w:rPr>
        <w:t> </w:t>
      </w:r>
      <w:r>
        <w:rPr>
          <w:vertAlign w:val="baseline"/>
        </w:rPr>
        <w:t>the</w:t>
      </w:r>
      <w:r>
        <w:rPr>
          <w:spacing w:val="15"/>
          <w:vertAlign w:val="baseline"/>
        </w:rPr>
        <w:t> </w:t>
      </w:r>
      <w:r>
        <w:rPr>
          <w:vertAlign w:val="baseline"/>
        </w:rPr>
        <w:t>resale</w:t>
      </w:r>
      <w:r>
        <w:rPr>
          <w:spacing w:val="15"/>
          <w:vertAlign w:val="baseline"/>
        </w:rPr>
        <w:t> </w:t>
      </w:r>
      <w:r>
        <w:rPr>
          <w:vertAlign w:val="baseline"/>
        </w:rPr>
        <w:t>price</w:t>
      </w:r>
      <w:r>
        <w:rPr>
          <w:spacing w:val="15"/>
          <w:vertAlign w:val="baseline"/>
        </w:rPr>
        <w:t> </w:t>
      </w:r>
      <w:r>
        <w:rPr>
          <w:vertAlign w:val="baseline"/>
        </w:rPr>
        <w:t>should</w:t>
      </w:r>
      <w:r>
        <w:rPr>
          <w:spacing w:val="15"/>
          <w:vertAlign w:val="baseline"/>
        </w:rPr>
        <w:t> </w:t>
      </w:r>
      <w:r>
        <w:rPr>
          <w:vertAlign w:val="baseline"/>
        </w:rPr>
        <w:t>equally</w:t>
      </w:r>
      <w:r>
        <w:rPr>
          <w:spacing w:val="15"/>
          <w:vertAlign w:val="baseline"/>
        </w:rPr>
        <w:t> </w:t>
      </w:r>
      <w:r>
        <w:rPr>
          <w:vertAlign w:val="baseline"/>
        </w:rPr>
        <w:t>be</w:t>
      </w:r>
      <w:r>
        <w:rPr>
          <w:spacing w:val="15"/>
          <w:vertAlign w:val="baseline"/>
        </w:rPr>
        <w:t> </w:t>
      </w:r>
      <w:r>
        <w:rPr>
          <w:vertAlign w:val="baseline"/>
        </w:rPr>
        <w:t>taken</w:t>
      </w:r>
      <w:r>
        <w:rPr>
          <w:spacing w:val="15"/>
          <w:vertAlign w:val="baseline"/>
        </w:rPr>
        <w:t> </w:t>
      </w:r>
      <w:r>
        <w:rPr>
          <w:spacing w:val="-4"/>
          <w:vertAlign w:val="baseline"/>
        </w:rPr>
        <w:t>into</w:t>
      </w:r>
    </w:p>
    <w:p>
      <w:pPr>
        <w:pStyle w:val="BodyText"/>
        <w:spacing w:before="9"/>
      </w:pPr>
    </w:p>
    <w:p>
      <w:pPr>
        <w:pStyle w:val="BodyText"/>
        <w:spacing w:line="235" w:lineRule="auto" w:before="1"/>
        <w:ind w:left="165" w:right="167"/>
        <w:jc w:val="both"/>
      </w:pPr>
      <w:bookmarkStart w:name="_bookmark1033" w:id="1035"/>
      <w:bookmarkEnd w:id="1035"/>
      <w:r>
        <w:rPr/>
      </w:r>
      <w:r>
        <w:rPr/>
        <w:t>account. </w:t>
      </w:r>
      <w:r>
        <w:rPr>
          <w:color w:val="005DA1"/>
          <w:u w:val="single" w:color="005DA1"/>
          <w:vertAlign w:val="superscript"/>
        </w:rPr>
        <w:t>556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The Supreme Court, however, restored the order made by Popplewell J. </w:t>
      </w:r>
      <w:r>
        <w:rPr>
          <w:color w:val="005DA1"/>
          <w:u w:val="single" w:color="005DA1"/>
          <w:vertAlign w:val="superscript"/>
        </w:rPr>
        <w:t>557</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Lord Clarke, with whom the other members of the Supreme Court agreed, said that the owners’ interest </w:t>
      </w:r>
      <w:r>
        <w:rPr>
          <w:vertAlign w:val="baseline"/>
        </w:rPr>
        <w:t>in the</w:t>
      </w:r>
      <w:r>
        <w:rPr>
          <w:spacing w:val="-2"/>
          <w:vertAlign w:val="baseline"/>
        </w:rPr>
        <w:t> </w:t>
      </w:r>
      <w:r>
        <w:rPr>
          <w:vertAlign w:val="baseline"/>
        </w:rPr>
        <w:t>capital</w:t>
      </w:r>
      <w:r>
        <w:rPr>
          <w:spacing w:val="-2"/>
          <w:vertAlign w:val="baseline"/>
        </w:rPr>
        <w:t> </w:t>
      </w:r>
      <w:r>
        <w:rPr>
          <w:vertAlign w:val="baseline"/>
        </w:rPr>
        <w:t>value</w:t>
      </w:r>
      <w:r>
        <w:rPr>
          <w:spacing w:val="-2"/>
          <w:vertAlign w:val="baseline"/>
        </w:rPr>
        <w:t> </w:t>
      </w:r>
      <w:r>
        <w:rPr>
          <w:vertAlign w:val="baseline"/>
        </w:rPr>
        <w:t>had</w:t>
      </w:r>
      <w:r>
        <w:rPr>
          <w:spacing w:val="-2"/>
          <w:vertAlign w:val="baseline"/>
        </w:rPr>
        <w:t> </w:t>
      </w:r>
      <w:r>
        <w:rPr>
          <w:vertAlign w:val="baseline"/>
        </w:rPr>
        <w:t>nothing</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interest</w:t>
      </w:r>
      <w:r>
        <w:rPr>
          <w:spacing w:val="-2"/>
          <w:vertAlign w:val="baseline"/>
        </w:rPr>
        <w:t> </w:t>
      </w:r>
      <w:r>
        <w:rPr>
          <w:vertAlign w:val="baseline"/>
        </w:rPr>
        <w:t>injured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charterers’</w:t>
      </w:r>
      <w:r>
        <w:rPr>
          <w:spacing w:val="-2"/>
          <w:vertAlign w:val="baseline"/>
        </w:rPr>
        <w:t> </w:t>
      </w:r>
      <w:r>
        <w:rPr>
          <w:vertAlign w:val="baseline"/>
        </w:rPr>
        <w:t>repudiation,</w:t>
      </w:r>
      <w:r>
        <w:rPr>
          <w:spacing w:val="-2"/>
          <w:vertAlign w:val="baseline"/>
        </w:rPr>
        <w:t> </w:t>
      </w:r>
      <w:r>
        <w:rPr>
          <w:vertAlign w:val="baseline"/>
        </w:rPr>
        <w:t>not</w:t>
      </w:r>
      <w:r>
        <w:rPr>
          <w:spacing w:val="-2"/>
          <w:vertAlign w:val="baseline"/>
        </w:rPr>
        <w:t> </w:t>
      </w:r>
      <w:r>
        <w:rPr>
          <w:vertAlign w:val="baseline"/>
        </w:rPr>
        <w:t>because the benefit must be of the same kind as the loss caused by the wrongdoer, which is “too vague and </w:t>
      </w:r>
      <w:bookmarkStart w:name="_bookmark1034" w:id="1036"/>
      <w:bookmarkEnd w:id="1036"/>
      <w:r>
        <w:rPr>
          <w:vertAlign w:val="baseline"/>
        </w:rPr>
        <w:t>potentially</w:t>
      </w:r>
      <w:r>
        <w:rPr>
          <w:spacing w:val="22"/>
          <w:vertAlign w:val="baseline"/>
        </w:rPr>
        <w:t> </w:t>
      </w:r>
      <w:r>
        <w:rPr>
          <w:vertAlign w:val="baseline"/>
        </w:rPr>
        <w:t>too</w:t>
      </w:r>
      <w:r>
        <w:rPr>
          <w:spacing w:val="22"/>
          <w:vertAlign w:val="baseline"/>
        </w:rPr>
        <w:t> </w:t>
      </w:r>
      <w:r>
        <w:rPr>
          <w:vertAlign w:val="baseline"/>
        </w:rPr>
        <w:t>arbitrary</w:t>
      </w:r>
      <w:r>
        <w:rPr>
          <w:spacing w:val="22"/>
          <w:vertAlign w:val="baseline"/>
        </w:rPr>
        <w:t> </w:t>
      </w:r>
      <w:r>
        <w:rPr>
          <w:vertAlign w:val="baseline"/>
        </w:rPr>
        <w:t>a</w:t>
      </w:r>
      <w:r>
        <w:rPr>
          <w:spacing w:val="22"/>
          <w:vertAlign w:val="baseline"/>
        </w:rPr>
        <w:t> </w:t>
      </w:r>
      <w:r>
        <w:rPr>
          <w:vertAlign w:val="baseline"/>
        </w:rPr>
        <w:t>test”</w:t>
      </w:r>
      <w:r>
        <w:rPr>
          <w:spacing w:val="22"/>
          <w:vertAlign w:val="baseline"/>
        </w:rPr>
        <w:t> </w:t>
      </w:r>
      <w:r>
        <w:rPr>
          <w:vertAlign w:val="baseline"/>
        </w:rPr>
        <w:t>but</w:t>
      </w:r>
      <w:r>
        <w:rPr>
          <w:spacing w:val="22"/>
          <w:vertAlign w:val="baseline"/>
        </w:rPr>
        <w:t> </w:t>
      </w:r>
      <w:r>
        <w:rPr>
          <w:vertAlign w:val="baseline"/>
        </w:rPr>
        <w:t>because</w:t>
      </w:r>
      <w:r>
        <w:rPr>
          <w:spacing w:val="22"/>
          <w:vertAlign w:val="baseline"/>
        </w:rPr>
        <w:t> </w:t>
      </w:r>
      <w:r>
        <w:rPr>
          <w:vertAlign w:val="baseline"/>
        </w:rPr>
        <w:t>it</w:t>
      </w:r>
      <w:r>
        <w:rPr>
          <w:spacing w:val="22"/>
          <w:vertAlign w:val="baseline"/>
        </w:rPr>
        <w:t> </w:t>
      </w:r>
      <w:r>
        <w:rPr>
          <w:vertAlign w:val="baseline"/>
        </w:rPr>
        <w:t>must</w:t>
      </w:r>
      <w:r>
        <w:rPr>
          <w:spacing w:val="22"/>
          <w:vertAlign w:val="baseline"/>
        </w:rPr>
        <w:t> </w:t>
      </w:r>
      <w:r>
        <w:rPr>
          <w:vertAlign w:val="baseline"/>
        </w:rPr>
        <w:t>have</w:t>
      </w:r>
      <w:r>
        <w:rPr>
          <w:spacing w:val="22"/>
          <w:vertAlign w:val="baseline"/>
        </w:rPr>
        <w:t> </w:t>
      </w:r>
      <w:r>
        <w:rPr>
          <w:vertAlign w:val="baseline"/>
        </w:rPr>
        <w:t>been</w:t>
      </w:r>
      <w:r>
        <w:rPr>
          <w:spacing w:val="22"/>
          <w:vertAlign w:val="baseline"/>
        </w:rPr>
        <w:t> </w:t>
      </w:r>
      <w:r>
        <w:rPr>
          <w:vertAlign w:val="baseline"/>
        </w:rPr>
        <w:t>caused</w:t>
      </w:r>
      <w:r>
        <w:rPr>
          <w:spacing w:val="22"/>
          <w:vertAlign w:val="baseline"/>
        </w:rPr>
        <w:t> </w:t>
      </w:r>
      <w:r>
        <w:rPr>
          <w:vertAlign w:val="baseline"/>
        </w:rPr>
        <w:t>either</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breach</w:t>
      </w:r>
      <w:r>
        <w:rPr>
          <w:spacing w:val="22"/>
          <w:vertAlign w:val="baseline"/>
        </w:rPr>
        <w:t> </w:t>
      </w:r>
      <w:r>
        <w:rPr>
          <w:vertAlign w:val="baseline"/>
        </w:rPr>
        <w:t>or</w:t>
      </w:r>
      <w:r>
        <w:rPr>
          <w:spacing w:val="22"/>
          <w:vertAlign w:val="baseline"/>
        </w:rPr>
        <w:t> </w:t>
      </w:r>
      <w:r>
        <w:rPr>
          <w:vertAlign w:val="baseline"/>
        </w:rPr>
        <w:t>by</w:t>
      </w:r>
      <w:r>
        <w:rPr>
          <w:spacing w:val="22"/>
          <w:vertAlign w:val="baseline"/>
        </w:rPr>
        <w:t> </w:t>
      </w:r>
      <w:r>
        <w:rPr>
          <w:spacing w:val="-10"/>
          <w:vertAlign w:val="baseline"/>
        </w:rPr>
        <w:t>a</w:t>
      </w:r>
    </w:p>
    <w:p>
      <w:pPr>
        <w:pStyle w:val="BodyText"/>
        <w:spacing w:line="235" w:lineRule="auto" w:before="118"/>
        <w:ind w:left="165" w:right="167"/>
        <w:jc w:val="both"/>
      </w:pPr>
      <w:r>
        <w:rPr/>
        <w:t>successful act of mitigation. </w:t>
      </w:r>
      <w:r>
        <w:rPr>
          <w:color w:val="005DA1"/>
          <w:u w:val="single" w:color="005DA1"/>
          <w:vertAlign w:val="superscript"/>
        </w:rPr>
        <w:t>558</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There was not a sufficient causal link between the breach and the benefit from the sale because the owners could have sold the vessel during the term of the charter party and they were making a decision at their own risk about the disposal of an interest in the vessel which was no part of the subject matter of the charterparty and had nothing to do with the charterers. If the value of the vessel had risen after it had been sold, the owners could not have claimed the difference</w:t>
      </w:r>
      <w:r>
        <w:rPr>
          <w:spacing w:val="-1"/>
          <w:vertAlign w:val="baseline"/>
        </w:rPr>
        <w:t> </w:t>
      </w:r>
      <w:r>
        <w:rPr>
          <w:vertAlign w:val="baseline"/>
        </w:rPr>
        <w:t>in</w:t>
      </w:r>
      <w:r>
        <w:rPr>
          <w:spacing w:val="-1"/>
          <w:vertAlign w:val="baseline"/>
        </w:rPr>
        <w:t> </w:t>
      </w:r>
      <w:r>
        <w:rPr>
          <w:vertAlign w:val="baseline"/>
        </w:rPr>
        <w:t>value,</w:t>
      </w:r>
      <w:r>
        <w:rPr>
          <w:spacing w:val="-1"/>
          <w:vertAlign w:val="baseline"/>
        </w:rPr>
        <w:t> </w:t>
      </w:r>
      <w:r>
        <w:rPr>
          <w:vertAlign w:val="baseline"/>
        </w:rPr>
        <w:t>and</w:t>
      </w:r>
      <w:r>
        <w:rPr>
          <w:spacing w:val="-1"/>
          <w:vertAlign w:val="baseline"/>
        </w:rPr>
        <w:t> </w:t>
      </w:r>
      <w:r>
        <w:rPr>
          <w:vertAlign w:val="baseline"/>
        </w:rPr>
        <w:t>equally</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required</w:t>
      </w:r>
      <w:r>
        <w:rPr>
          <w:spacing w:val="-1"/>
          <w:vertAlign w:val="baseline"/>
        </w:rPr>
        <w:t> </w:t>
      </w:r>
      <w:r>
        <w:rPr>
          <w:vertAlign w:val="baseline"/>
        </w:rPr>
        <w:t>to</w:t>
      </w:r>
      <w:r>
        <w:rPr>
          <w:spacing w:val="-1"/>
          <w:vertAlign w:val="baseline"/>
        </w:rPr>
        <w:t> </w:t>
      </w:r>
      <w:r>
        <w:rPr>
          <w:vertAlign w:val="baseline"/>
        </w:rPr>
        <w:t>bring</w:t>
      </w:r>
      <w:r>
        <w:rPr>
          <w:spacing w:val="-1"/>
          <w:vertAlign w:val="baseline"/>
        </w:rPr>
        <w:t> </w:t>
      </w:r>
      <w:r>
        <w:rPr>
          <w:vertAlign w:val="baseline"/>
        </w:rPr>
        <w:t>into</w:t>
      </w:r>
      <w:r>
        <w:rPr>
          <w:spacing w:val="-1"/>
          <w:vertAlign w:val="baseline"/>
        </w:rPr>
        <w:t> </w:t>
      </w:r>
      <w:r>
        <w:rPr>
          <w:vertAlign w:val="baseline"/>
        </w:rPr>
        <w:t>account</w:t>
      </w:r>
      <w:r>
        <w:rPr>
          <w:spacing w:val="-1"/>
          <w:vertAlign w:val="baseline"/>
        </w:rPr>
        <w:t> </w:t>
      </w:r>
      <w:r>
        <w:rPr>
          <w:vertAlign w:val="baseline"/>
        </w:rPr>
        <w:t>the</w:t>
      </w:r>
      <w:r>
        <w:rPr>
          <w:spacing w:val="-1"/>
          <w:vertAlign w:val="baseline"/>
        </w:rPr>
        <w:t> </w:t>
      </w:r>
      <w:r>
        <w:rPr>
          <w:vertAlign w:val="baseline"/>
        </w:rPr>
        <w:t>benefit</w:t>
      </w:r>
      <w:r>
        <w:rPr>
          <w:spacing w:val="-1"/>
          <w:vertAlign w:val="baseline"/>
        </w:rPr>
        <w:t> </w:t>
      </w:r>
      <w:r>
        <w:rPr>
          <w:vertAlign w:val="baseline"/>
        </w:rPr>
        <w:t>obtained</w:t>
      </w:r>
      <w:r>
        <w:rPr>
          <w:spacing w:val="-1"/>
          <w:vertAlign w:val="baseline"/>
        </w:rPr>
        <w:t> </w:t>
      </w:r>
      <w:r>
        <w:rPr>
          <w:vertAlign w:val="baseline"/>
        </w:rPr>
        <w:t>by</w:t>
      </w:r>
      <w:r>
        <w:rPr>
          <w:spacing w:val="-1"/>
          <w:vertAlign w:val="baseline"/>
        </w:rPr>
        <w:t> </w:t>
      </w:r>
      <w:r>
        <w:rPr>
          <w:vertAlign w:val="baseline"/>
        </w:rPr>
        <w:t>its sale. Nor was there any reason to pick on the sale price at the end of the charter period as the </w:t>
      </w:r>
      <w:bookmarkStart w:name="_bookmark1035" w:id="1037"/>
      <w:bookmarkEnd w:id="1037"/>
      <w:r>
        <w:rPr>
          <w:vertAlign w:val="baseline"/>
        </w:rPr>
        <w:t>comparator,</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ship</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necessarily</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sold</w:t>
      </w:r>
      <w:r>
        <w:rPr>
          <w:spacing w:val="1"/>
          <w:vertAlign w:val="baseline"/>
        </w:rPr>
        <w:t> </w:t>
      </w:r>
      <w:r>
        <w:rPr>
          <w:vertAlign w:val="baseline"/>
        </w:rPr>
        <w:t>then.</w:t>
      </w:r>
      <w:r>
        <w:rPr>
          <w:spacing w:val="1"/>
          <w:vertAlign w:val="baseline"/>
        </w:rPr>
        <w:t> </w:t>
      </w:r>
      <w:r>
        <w:rPr>
          <w:vertAlign w:val="baseline"/>
        </w:rPr>
        <w:t>“The</w:t>
      </w:r>
      <w:r>
        <w:rPr>
          <w:spacing w:val="1"/>
          <w:vertAlign w:val="baseline"/>
        </w:rPr>
        <w:t> </w:t>
      </w:r>
      <w:r>
        <w:rPr>
          <w:vertAlign w:val="baseline"/>
        </w:rPr>
        <w:t>causal</w:t>
      </w:r>
      <w:r>
        <w:rPr>
          <w:spacing w:val="1"/>
          <w:vertAlign w:val="baseline"/>
        </w:rPr>
        <w:t> </w:t>
      </w:r>
      <w:r>
        <w:rPr>
          <w:vertAlign w:val="baseline"/>
        </w:rPr>
        <w:t>link</w:t>
      </w:r>
      <w:r>
        <w:rPr>
          <w:spacing w:val="1"/>
          <w:vertAlign w:val="baseline"/>
        </w:rPr>
        <w:t> </w:t>
      </w:r>
      <w:r>
        <w:rPr>
          <w:vertAlign w:val="baseline"/>
        </w:rPr>
        <w:t>fails</w:t>
      </w:r>
      <w:r>
        <w:rPr>
          <w:spacing w:val="1"/>
          <w:vertAlign w:val="baseline"/>
        </w:rPr>
        <w:t> </w:t>
      </w:r>
      <w:r>
        <w:rPr>
          <w:vertAlign w:val="baseline"/>
        </w:rPr>
        <w:t>at</w:t>
      </w:r>
      <w:r>
        <w:rPr>
          <w:spacing w:val="1"/>
          <w:vertAlign w:val="baseline"/>
        </w:rPr>
        <w:t> </w:t>
      </w:r>
      <w:r>
        <w:rPr>
          <w:vertAlign w:val="baseline"/>
        </w:rPr>
        <w:t>both</w:t>
      </w:r>
      <w:r>
        <w:rPr>
          <w:spacing w:val="1"/>
          <w:vertAlign w:val="baseline"/>
        </w:rPr>
        <w:t> </w:t>
      </w:r>
      <w:r>
        <w:rPr>
          <w:spacing w:val="-4"/>
          <w:vertAlign w:val="baseline"/>
        </w:rPr>
        <w:t>ends</w:t>
      </w:r>
    </w:p>
    <w:p>
      <w:pPr>
        <w:pStyle w:val="BodyText"/>
        <w:spacing w:line="235" w:lineRule="auto" w:before="117"/>
        <w:ind w:left="165" w:right="167"/>
        <w:jc w:val="both"/>
      </w:pPr>
      <w:r>
        <w:rPr/>
        <w:t>of the transaction”. </w:t>
      </w:r>
      <w:r>
        <w:rPr>
          <w:color w:val="005DA1"/>
          <w:u w:val="single" w:color="005DA1"/>
          <w:vertAlign w:val="superscript"/>
        </w:rPr>
        <w:t>559</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5"/>
          <w:vertAlign w:val="baseline"/>
        </w:rPr>
        <w:t> </w:t>
      </w:r>
      <w:r>
        <w:rPr>
          <w:vertAlign w:val="baseline"/>
        </w:rPr>
        <w:t>Equally, Lord Clarke continued, the sale of the vessel was not a </w:t>
      </w:r>
      <w:r>
        <w:rPr>
          <w:vertAlign w:val="baseline"/>
        </w:rPr>
        <w:t>relevant</w:t>
      </w:r>
      <w:r>
        <w:rPr>
          <w:spacing w:val="40"/>
          <w:vertAlign w:val="baseline"/>
        </w:rPr>
        <w:t> </w:t>
      </w:r>
      <w:r>
        <w:rPr>
          <w:vertAlign w:val="baseline"/>
        </w:rPr>
        <w:t>act of mitigation. The measure of loss was the difference between the contract rate and what might </w:t>
      </w:r>
      <w:bookmarkStart w:name="_bookmark1036" w:id="1038"/>
      <w:bookmarkEnd w:id="1038"/>
      <w:r>
        <w:rPr>
          <w:vertAlign w:val="baseline"/>
        </w:rPr>
        <w:t>have</w:t>
      </w:r>
      <w:r>
        <w:rPr>
          <w:spacing w:val="12"/>
          <w:vertAlign w:val="baseline"/>
        </w:rPr>
        <w:t> </w:t>
      </w:r>
      <w:r>
        <w:rPr>
          <w:vertAlign w:val="baseline"/>
        </w:rPr>
        <w:t>been</w:t>
      </w:r>
      <w:r>
        <w:rPr>
          <w:spacing w:val="12"/>
          <w:vertAlign w:val="baseline"/>
        </w:rPr>
        <w:t> </w:t>
      </w:r>
      <w:r>
        <w:rPr>
          <w:vertAlign w:val="baseline"/>
        </w:rPr>
        <w:t>earned</w:t>
      </w:r>
      <w:r>
        <w:rPr>
          <w:spacing w:val="12"/>
          <w:vertAlign w:val="baseline"/>
        </w:rPr>
        <w:t> </w:t>
      </w:r>
      <w:r>
        <w:rPr>
          <w:vertAlign w:val="baseline"/>
        </w:rPr>
        <w:t>from</w:t>
      </w:r>
      <w:r>
        <w:rPr>
          <w:spacing w:val="12"/>
          <w:vertAlign w:val="baseline"/>
        </w:rPr>
        <w:t> </w:t>
      </w:r>
      <w:r>
        <w:rPr>
          <w:vertAlign w:val="baseline"/>
        </w:rPr>
        <w:t>employing</w:t>
      </w:r>
      <w:r>
        <w:rPr>
          <w:spacing w:val="12"/>
          <w:vertAlign w:val="baseline"/>
        </w:rPr>
        <w:t> </w:t>
      </w:r>
      <w:r>
        <w:rPr>
          <w:vertAlign w:val="baseline"/>
        </w:rPr>
        <w:t>the</w:t>
      </w:r>
      <w:r>
        <w:rPr>
          <w:spacing w:val="12"/>
          <w:vertAlign w:val="baseline"/>
        </w:rPr>
        <w:t> </w:t>
      </w:r>
      <w:r>
        <w:rPr>
          <w:vertAlign w:val="baseline"/>
        </w:rPr>
        <w:t>vessel</w:t>
      </w:r>
      <w:r>
        <w:rPr>
          <w:spacing w:val="12"/>
          <w:vertAlign w:val="baseline"/>
        </w:rPr>
        <w:t> </w:t>
      </w:r>
      <w:r>
        <w:rPr>
          <w:vertAlign w:val="baseline"/>
        </w:rPr>
        <w:t>under</w:t>
      </w:r>
      <w:r>
        <w:rPr>
          <w:spacing w:val="12"/>
          <w:vertAlign w:val="baseline"/>
        </w:rPr>
        <w:t> </w:t>
      </w:r>
      <w:r>
        <w:rPr>
          <w:vertAlign w:val="baseline"/>
        </w:rPr>
        <w:t>similar</w:t>
      </w:r>
      <w:r>
        <w:rPr>
          <w:spacing w:val="12"/>
          <w:vertAlign w:val="baseline"/>
        </w:rPr>
        <w:t> </w:t>
      </w:r>
      <w:r>
        <w:rPr>
          <w:vertAlign w:val="baseline"/>
        </w:rPr>
        <w:t>or</w:t>
      </w:r>
      <w:r>
        <w:rPr>
          <w:spacing w:val="12"/>
          <w:vertAlign w:val="baseline"/>
        </w:rPr>
        <w:t> </w:t>
      </w:r>
      <w:r>
        <w:rPr>
          <w:vertAlign w:val="baseline"/>
        </w:rPr>
        <w:t>shorter</w:t>
      </w:r>
      <w:r>
        <w:rPr>
          <w:spacing w:val="12"/>
          <w:vertAlign w:val="baseline"/>
        </w:rPr>
        <w:t> </w:t>
      </w:r>
      <w:r>
        <w:rPr>
          <w:vertAlign w:val="baseline"/>
        </w:rPr>
        <w:t>charters,</w:t>
      </w:r>
      <w:r>
        <w:rPr>
          <w:spacing w:val="12"/>
          <w:vertAlign w:val="baseline"/>
        </w:rPr>
        <w:t> </w:t>
      </w:r>
      <w:r>
        <w:rPr>
          <w:vertAlign w:val="baseline"/>
        </w:rPr>
        <w:t>whereas</w:t>
      </w:r>
      <w:r>
        <w:rPr>
          <w:spacing w:val="12"/>
          <w:vertAlign w:val="baseline"/>
        </w:rPr>
        <w:t> </w:t>
      </w:r>
      <w:r>
        <w:rPr>
          <w:vertAlign w:val="baseline"/>
        </w:rPr>
        <w:t>the</w:t>
      </w:r>
      <w:r>
        <w:rPr>
          <w:spacing w:val="12"/>
          <w:vertAlign w:val="baseline"/>
        </w:rPr>
        <w:t> </w:t>
      </w:r>
      <w:r>
        <w:rPr>
          <w:vertAlign w:val="baseline"/>
        </w:rPr>
        <w:t>sale</w:t>
      </w:r>
      <w:r>
        <w:rPr>
          <w:spacing w:val="12"/>
          <w:vertAlign w:val="baseline"/>
        </w:rPr>
        <w:t> </w:t>
      </w:r>
      <w:r>
        <w:rPr>
          <w:spacing w:val="-5"/>
          <w:vertAlign w:val="baseline"/>
        </w:rPr>
        <w:t>did</w:t>
      </w:r>
    </w:p>
    <w:p>
      <w:pPr>
        <w:pStyle w:val="BodyText"/>
        <w:spacing w:line="235" w:lineRule="auto" w:before="118"/>
        <w:ind w:left="165" w:right="167"/>
        <w:jc w:val="both"/>
      </w:pPr>
      <w:r>
        <w:rPr/>
        <w:t>not provide a substitute income stream and therefore was incapable of mitigating the loss. </w:t>
      </w:r>
      <w:r>
        <w:rPr>
          <w:color w:val="005DA1"/>
          <w:u w:val="single" w:color="005DA1"/>
          <w:vertAlign w:val="superscript"/>
        </w:rPr>
        <w:t>560</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vertAlign w:val="baseline"/>
        </w:rPr>
        <w:t> </w:t>
      </w:r>
      <w:r>
        <w:rPr>
          <w:vertAlign w:val="baseline"/>
        </w:rPr>
        <w:t>A sale of the vessel, say a year, after the repudiation might have been relevant as it would shorten the period for which there was a lost income stream to mitigate, and if such a sale had been for less than the price that would have been obtainable by selling the vessel with the benefit of the income of the </w:t>
      </w:r>
      <w:bookmarkStart w:name="_bookmark1037" w:id="1039"/>
      <w:bookmarkEnd w:id="1039"/>
      <w:r>
        <w:rPr>
          <w:vertAlign w:val="baseline"/>
        </w:rPr>
        <w:t>remaining</w:t>
      </w:r>
      <w:r>
        <w:rPr>
          <w:spacing w:val="8"/>
          <w:vertAlign w:val="baseline"/>
        </w:rPr>
        <w:t> </w:t>
      </w:r>
      <w:r>
        <w:rPr>
          <w:vertAlign w:val="baseline"/>
        </w:rPr>
        <w:t>charter</w:t>
      </w:r>
      <w:r>
        <w:rPr>
          <w:spacing w:val="8"/>
          <w:vertAlign w:val="baseline"/>
        </w:rPr>
        <w:t> </w:t>
      </w:r>
      <w:r>
        <w:rPr>
          <w:vertAlign w:val="baseline"/>
        </w:rPr>
        <w:t>period,</w:t>
      </w:r>
      <w:r>
        <w:rPr>
          <w:spacing w:val="8"/>
          <w:vertAlign w:val="baseline"/>
        </w:rPr>
        <w:t> </w:t>
      </w:r>
      <w:r>
        <w:rPr>
          <w:vertAlign w:val="baseline"/>
        </w:rPr>
        <w:t>they</w:t>
      </w:r>
      <w:r>
        <w:rPr>
          <w:spacing w:val="8"/>
          <w:vertAlign w:val="baseline"/>
        </w:rPr>
        <w:t> </w:t>
      </w:r>
      <w:r>
        <w:rPr>
          <w:vertAlign w:val="baseline"/>
        </w:rPr>
        <w:t>might</w:t>
      </w:r>
      <w:r>
        <w:rPr>
          <w:spacing w:val="8"/>
          <w:vertAlign w:val="baseline"/>
        </w:rPr>
        <w:t> </w:t>
      </w:r>
      <w:r>
        <w:rPr>
          <w:vertAlign w:val="baseline"/>
        </w:rPr>
        <w:t>have</w:t>
      </w:r>
      <w:r>
        <w:rPr>
          <w:spacing w:val="8"/>
          <w:vertAlign w:val="baseline"/>
        </w:rPr>
        <w:t> </w:t>
      </w:r>
      <w:r>
        <w:rPr>
          <w:vertAlign w:val="baseline"/>
        </w:rPr>
        <w:t>been</w:t>
      </w:r>
      <w:r>
        <w:rPr>
          <w:spacing w:val="8"/>
          <w:vertAlign w:val="baseline"/>
        </w:rPr>
        <w:t> </w:t>
      </w:r>
      <w:r>
        <w:rPr>
          <w:vertAlign w:val="baseline"/>
        </w:rPr>
        <w:t>able</w:t>
      </w:r>
      <w:r>
        <w:rPr>
          <w:spacing w:val="8"/>
          <w:vertAlign w:val="baseline"/>
        </w:rPr>
        <w:t> </w:t>
      </w:r>
      <w:r>
        <w:rPr>
          <w:vertAlign w:val="baseline"/>
        </w:rPr>
        <w:t>to</w:t>
      </w:r>
      <w:r>
        <w:rPr>
          <w:spacing w:val="8"/>
          <w:vertAlign w:val="baseline"/>
        </w:rPr>
        <w:t> </w:t>
      </w:r>
      <w:r>
        <w:rPr>
          <w:vertAlign w:val="baseline"/>
        </w:rPr>
        <w:t>recover</w:t>
      </w:r>
      <w:r>
        <w:rPr>
          <w:spacing w:val="8"/>
          <w:vertAlign w:val="baseline"/>
        </w:rPr>
        <w:t> </w:t>
      </w:r>
      <w:r>
        <w:rPr>
          <w:vertAlign w:val="baseline"/>
        </w:rPr>
        <w:t>that</w:t>
      </w:r>
      <w:r>
        <w:rPr>
          <w:spacing w:val="8"/>
          <w:vertAlign w:val="baseline"/>
        </w:rPr>
        <w:t> </w:t>
      </w:r>
      <w:r>
        <w:rPr>
          <w:vertAlign w:val="baseline"/>
        </w:rPr>
        <w:t>loss,</w:t>
      </w:r>
      <w:r>
        <w:rPr>
          <w:spacing w:val="8"/>
          <w:vertAlign w:val="baseline"/>
        </w:rPr>
        <w:t> </w:t>
      </w:r>
      <w:r>
        <w:rPr>
          <w:vertAlign w:val="baseline"/>
        </w:rPr>
        <w:t>but</w:t>
      </w:r>
      <w:r>
        <w:rPr>
          <w:spacing w:val="8"/>
          <w:vertAlign w:val="baseline"/>
        </w:rPr>
        <w:t> </w:t>
      </w:r>
      <w:r>
        <w:rPr>
          <w:vertAlign w:val="baseline"/>
        </w:rPr>
        <w:t>neither</w:t>
      </w:r>
      <w:r>
        <w:rPr>
          <w:spacing w:val="8"/>
          <w:vertAlign w:val="baseline"/>
        </w:rPr>
        <w:t> </w:t>
      </w:r>
      <w:r>
        <w:rPr>
          <w:vertAlign w:val="baseline"/>
        </w:rPr>
        <w:t>would</w:t>
      </w:r>
      <w:r>
        <w:rPr>
          <w:spacing w:val="8"/>
          <w:vertAlign w:val="baseline"/>
        </w:rPr>
        <w:t> </w:t>
      </w:r>
      <w:r>
        <w:rPr>
          <w:vertAlign w:val="baseline"/>
        </w:rPr>
        <w:t>make</w:t>
      </w:r>
      <w:r>
        <w:rPr>
          <w:spacing w:val="8"/>
          <w:vertAlign w:val="baseline"/>
        </w:rPr>
        <w:t> </w:t>
      </w:r>
      <w:r>
        <w:rPr>
          <w:spacing w:val="-5"/>
          <w:vertAlign w:val="baseline"/>
        </w:rPr>
        <w:t>the</w:t>
      </w:r>
    </w:p>
    <w:p>
      <w:pPr>
        <w:pStyle w:val="BodyText"/>
        <w:spacing w:before="115"/>
        <w:ind w:left="165"/>
        <w:jc w:val="both"/>
        <w:rPr>
          <w:position w:val="-2"/>
        </w:rPr>
      </w:pPr>
      <w:r>
        <w:rPr/>
        <w:t>sale an act of mitigation. </w:t>
      </w:r>
      <w:r>
        <w:rPr>
          <w:color w:val="005DA1"/>
          <w:u w:val="single" w:color="005DA1"/>
          <w:vertAlign w:val="superscript"/>
        </w:rPr>
        <w:t>561</w:t>
      </w:r>
      <w:r>
        <w:rPr>
          <w:color w:val="005DA1"/>
          <w:spacing w:val="80"/>
          <w:w w:val="150"/>
          <w:vertAlign w:val="baseline"/>
        </w:rPr>
        <w:t> </w:t>
      </w:r>
      <w:r>
        <w:rPr>
          <w:color w:val="005DA1"/>
          <w:position w:val="-2"/>
          <w:vertAlign w:val="baseline"/>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spacing w:before="0"/>
        <w:ind w:left="165" w:right="0" w:firstLine="0"/>
        <w:jc w:val="left"/>
        <w:rPr>
          <w:rFonts w:ascii="Arial"/>
          <w:b/>
          <w:sz w:val="24"/>
        </w:rPr>
      </w:pPr>
      <w:r>
        <w:rPr>
          <w:rFonts w:ascii="Arial"/>
          <w:b/>
          <w:sz w:val="24"/>
        </w:rPr>
        <w:t>26-</w:t>
      </w:r>
      <w:r>
        <w:rPr>
          <w:rFonts w:ascii="Arial"/>
          <w:b/>
          <w:spacing w:val="-4"/>
          <w:sz w:val="24"/>
        </w:rPr>
        <w:t>099A</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This decision may prove controversial. As the owners would not have sold the vessel in 2007 </w:t>
      </w:r>
      <w:r>
        <w:rPr/>
        <w:t>but</w:t>
      </w:r>
      <w:r>
        <w:rPr>
          <w:spacing w:val="40"/>
        </w:rPr>
        <w:t> </w:t>
      </w:r>
      <w:r>
        <w:rPr/>
        <w:t>for the breach, and selling then meant that they did not suffer its subsequent loss in the value, it is certainly possible to argue that the Court of Appeal was right: the benefit arose directly from the breach</w:t>
      </w:r>
      <w:r>
        <w:rPr>
          <w:spacing w:val="-1"/>
        </w:rPr>
        <w:t> </w:t>
      </w:r>
      <w:r>
        <w:rPr/>
        <w:t>and</w:t>
      </w:r>
      <w:r>
        <w:rPr>
          <w:spacing w:val="-1"/>
        </w:rPr>
        <w:t> </w:t>
      </w:r>
      <w:r>
        <w:rPr/>
        <w:t>wiped</w:t>
      </w:r>
      <w:r>
        <w:rPr>
          <w:spacing w:val="-1"/>
        </w:rPr>
        <w:t> </w:t>
      </w:r>
      <w:r>
        <w:rPr/>
        <w:t>out</w:t>
      </w:r>
      <w:r>
        <w:rPr>
          <w:spacing w:val="-1"/>
        </w:rPr>
        <w:t> </w:t>
      </w:r>
      <w:r>
        <w:rPr/>
        <w:t>any</w:t>
      </w:r>
      <w:r>
        <w:rPr>
          <w:spacing w:val="-1"/>
        </w:rPr>
        <w:t> </w:t>
      </w:r>
      <w:r>
        <w:rPr/>
        <w:t>loss.</w:t>
      </w:r>
      <w:r>
        <w:rPr>
          <w:spacing w:val="-1"/>
        </w:rPr>
        <w:t> </w:t>
      </w:r>
      <w:r>
        <w:rPr/>
        <w:t>It</w:t>
      </w:r>
      <w:r>
        <w:rPr>
          <w:spacing w:val="-1"/>
        </w:rPr>
        <w:t> </w:t>
      </w:r>
      <w:r>
        <w:rPr/>
        <w:t>can</w:t>
      </w:r>
      <w:r>
        <w:rPr>
          <w:spacing w:val="-1"/>
        </w:rPr>
        <w:t> </w:t>
      </w:r>
      <w:r>
        <w:rPr/>
        <w:t>also</w:t>
      </w:r>
      <w:r>
        <w:rPr>
          <w:spacing w:val="-1"/>
        </w:rPr>
        <w:t> </w:t>
      </w:r>
      <w:r>
        <w:rPr/>
        <w:t>be</w:t>
      </w:r>
      <w:r>
        <w:rPr>
          <w:spacing w:val="-1"/>
        </w:rPr>
        <w:t> </w:t>
      </w:r>
      <w:r>
        <w:rPr/>
        <w:t>argued</w:t>
      </w:r>
      <w:r>
        <w:rPr>
          <w:spacing w:val="-1"/>
        </w:rPr>
        <w:t> </w:t>
      </w:r>
      <w:r>
        <w:rPr/>
        <w:t>that</w:t>
      </w:r>
      <w:r>
        <w:rPr>
          <w:spacing w:val="-1"/>
        </w:rPr>
        <w:t> </w:t>
      </w:r>
      <w:r>
        <w:rPr/>
        <w:t>Lord</w:t>
      </w:r>
      <w:r>
        <w:rPr>
          <w:spacing w:val="-1"/>
        </w:rPr>
        <w:t> </w:t>
      </w:r>
      <w:r>
        <w:rPr/>
        <w:t>Clarke</w:t>
      </w:r>
      <w:r>
        <w:rPr>
          <w:spacing w:val="-1"/>
        </w:rPr>
        <w:t> </w:t>
      </w:r>
      <w:r>
        <w:rPr/>
        <w:t>was</w:t>
      </w:r>
      <w:r>
        <w:rPr>
          <w:spacing w:val="-1"/>
        </w:rPr>
        <w:t> </w:t>
      </w:r>
      <w:r>
        <w:rPr/>
        <w:t>not</w:t>
      </w:r>
      <w:r>
        <w:rPr>
          <w:spacing w:val="-1"/>
        </w:rPr>
        <w:t> </w:t>
      </w:r>
      <w:r>
        <w:rPr/>
        <w:t>correct</w:t>
      </w:r>
      <w:r>
        <w:rPr>
          <w:spacing w:val="-1"/>
        </w:rPr>
        <w:t> </w:t>
      </w:r>
      <w:r>
        <w:rPr/>
        <w:t>to</w:t>
      </w:r>
      <w:r>
        <w:rPr>
          <w:spacing w:val="-1"/>
        </w:rPr>
        <w:t> </w:t>
      </w:r>
      <w:r>
        <w:rPr/>
        <w:t>say</w:t>
      </w:r>
      <w:r>
        <w:rPr>
          <w:spacing w:val="-1"/>
        </w:rPr>
        <w:t> </w:t>
      </w:r>
      <w:r>
        <w:rPr/>
        <w:t>that,</w:t>
      </w:r>
      <w:r>
        <w:rPr>
          <w:spacing w:val="-1"/>
        </w:rPr>
        <w:t> </w:t>
      </w:r>
      <w:r>
        <w:rPr/>
        <w:t>had the market price for vessels risen between 2007 and 2009, the charterers would not have been liable for the owners’ loss, as the claimant may recover damages for loss or expense incurred by him in </w:t>
      </w:r>
      <w:bookmarkStart w:name="_bookmark1038" w:id="1040"/>
      <w:bookmarkEnd w:id="1040"/>
      <w:r>
        <w:rPr/>
        <w:t>reasonably</w:t>
      </w:r>
      <w:r>
        <w:rPr>
          <w:spacing w:val="7"/>
        </w:rPr>
        <w:t> </w:t>
      </w:r>
      <w:r>
        <w:rPr/>
        <w:t>attempting</w:t>
      </w:r>
      <w:r>
        <w:rPr>
          <w:spacing w:val="7"/>
        </w:rPr>
        <w:t> </w:t>
      </w:r>
      <w:r>
        <w:rPr/>
        <w:t>to</w:t>
      </w:r>
      <w:r>
        <w:rPr>
          <w:spacing w:val="7"/>
        </w:rPr>
        <w:t> </w:t>
      </w:r>
      <w:r>
        <w:rPr/>
        <w:t>mitigate</w:t>
      </w:r>
      <w:r>
        <w:rPr>
          <w:spacing w:val="7"/>
        </w:rPr>
        <w:t> </w:t>
      </w:r>
      <w:r>
        <w:rPr/>
        <w:t>his</w:t>
      </w:r>
      <w:r>
        <w:rPr>
          <w:spacing w:val="7"/>
        </w:rPr>
        <w:t> </w:t>
      </w:r>
      <w:r>
        <w:rPr/>
        <w:t>loss</w:t>
      </w:r>
      <w:r>
        <w:rPr>
          <w:spacing w:val="7"/>
        </w:rPr>
        <w:t> </w:t>
      </w:r>
      <w:r>
        <w:rPr/>
        <w:t>following</w:t>
      </w:r>
      <w:r>
        <w:rPr>
          <w:spacing w:val="7"/>
        </w:rPr>
        <w:t> </w:t>
      </w:r>
      <w:r>
        <w:rPr/>
        <w:t>the</w:t>
      </w:r>
      <w:r>
        <w:rPr>
          <w:spacing w:val="7"/>
        </w:rPr>
        <w:t> </w:t>
      </w:r>
      <w:r>
        <w:rPr/>
        <w:t>defendant’s</w:t>
      </w:r>
      <w:r>
        <w:rPr>
          <w:spacing w:val="7"/>
        </w:rPr>
        <w:t> </w:t>
      </w:r>
      <w:r>
        <w:rPr/>
        <w:t>breach,</w:t>
      </w:r>
      <w:r>
        <w:rPr>
          <w:spacing w:val="7"/>
        </w:rPr>
        <w:t> </w:t>
      </w:r>
      <w:r>
        <w:rPr/>
        <w:t>even</w:t>
      </w:r>
      <w:r>
        <w:rPr>
          <w:spacing w:val="7"/>
        </w:rPr>
        <w:t> </w:t>
      </w:r>
      <w:r>
        <w:rPr/>
        <w:t>when</w:t>
      </w:r>
      <w:r>
        <w:rPr>
          <w:spacing w:val="7"/>
        </w:rPr>
        <w:t> </w:t>
      </w:r>
      <w:r>
        <w:rPr/>
        <w:t>the</w:t>
      </w:r>
      <w:r>
        <w:rPr>
          <w:spacing w:val="7"/>
        </w:rPr>
        <w:t> </w:t>
      </w:r>
      <w:r>
        <w:rPr>
          <w:spacing w:val="-2"/>
        </w:rPr>
        <w:t>mitigating</w:t>
      </w:r>
    </w:p>
    <w:p>
      <w:pPr>
        <w:pStyle w:val="BodyText"/>
        <w:spacing w:line="235" w:lineRule="auto" w:before="117"/>
        <w:ind w:left="165" w:right="167"/>
        <w:jc w:val="both"/>
      </w:pPr>
      <w:r>
        <w:rPr/>
        <w:t>steps were unsuccessful or in fact led to greater loss. </w:t>
      </w:r>
      <w:r>
        <w:rPr>
          <w:color w:val="005DA1"/>
          <w:u w:val="single" w:color="005DA1"/>
          <w:vertAlign w:val="superscript"/>
        </w:rPr>
        <w:t>562</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8"/>
          <w:vertAlign w:val="baseline"/>
        </w:rPr>
        <w:t> </w:t>
      </w:r>
      <w:r>
        <w:rPr>
          <w:vertAlign w:val="baseline"/>
        </w:rPr>
        <w:t>However, it is submitted that the Supreme Court’s approach is correct. While the owners would not have sold in 2007 but for </w:t>
      </w:r>
      <w:r>
        <w:rPr>
          <w:vertAlign w:val="baseline"/>
        </w:rPr>
        <w:t>the breach, the fact that they could have sold the vessel (subject to the charter) at any time before 2009, and equally might have retained it after that date, suggests that the sale was a completely independent transaction. Nor is it clear that the owners would have been entitled to recover for the loss in value of the ship had prices gone up not down: again, it was not known whether they would </w:t>
      </w:r>
      <w:bookmarkStart w:name="_bookmark1039" w:id="1041"/>
      <w:bookmarkEnd w:id="1041"/>
      <w:r>
        <w:rPr>
          <w:vertAlign w:val="baseline"/>
        </w:rPr>
        <w:t>have</w:t>
      </w:r>
      <w:r>
        <w:rPr>
          <w:spacing w:val="22"/>
          <w:vertAlign w:val="baseline"/>
        </w:rPr>
        <w:t> </w:t>
      </w:r>
      <w:r>
        <w:rPr>
          <w:vertAlign w:val="baseline"/>
        </w:rPr>
        <w:t>sold</w:t>
      </w:r>
      <w:r>
        <w:rPr>
          <w:spacing w:val="22"/>
          <w:vertAlign w:val="baseline"/>
        </w:rPr>
        <w:t> </w:t>
      </w:r>
      <w:r>
        <w:rPr>
          <w:vertAlign w:val="baseline"/>
        </w:rPr>
        <w:t>in</w:t>
      </w:r>
      <w:r>
        <w:rPr>
          <w:spacing w:val="22"/>
          <w:vertAlign w:val="baseline"/>
        </w:rPr>
        <w:t> </w:t>
      </w:r>
      <w:r>
        <w:rPr>
          <w:vertAlign w:val="baseline"/>
        </w:rPr>
        <w:t>2009,</w:t>
      </w:r>
      <w:r>
        <w:rPr>
          <w:spacing w:val="22"/>
          <w:vertAlign w:val="baseline"/>
        </w:rPr>
        <w:t> </w:t>
      </w:r>
      <w:r>
        <w:rPr>
          <w:vertAlign w:val="baseline"/>
        </w:rPr>
        <w:t>and</w:t>
      </w:r>
      <w:r>
        <w:rPr>
          <w:spacing w:val="22"/>
          <w:vertAlign w:val="baseline"/>
        </w:rPr>
        <w:t> </w:t>
      </w:r>
      <w:r>
        <w:rPr>
          <w:vertAlign w:val="baseline"/>
        </w:rPr>
        <w:t>at</w:t>
      </w:r>
      <w:r>
        <w:rPr>
          <w:spacing w:val="22"/>
          <w:vertAlign w:val="baseline"/>
        </w:rPr>
        <w:t> </w:t>
      </w:r>
      <w:r>
        <w:rPr>
          <w:vertAlign w:val="baseline"/>
        </w:rPr>
        <w:t>least</w:t>
      </w:r>
      <w:r>
        <w:rPr>
          <w:spacing w:val="22"/>
          <w:vertAlign w:val="baseline"/>
        </w:rPr>
        <w:t> </w:t>
      </w:r>
      <w:r>
        <w:rPr>
          <w:vertAlign w:val="baseline"/>
        </w:rPr>
        <w:t>where</w:t>
      </w:r>
      <w:r>
        <w:rPr>
          <w:spacing w:val="22"/>
          <w:vertAlign w:val="baseline"/>
        </w:rPr>
        <w:t> </w:t>
      </w:r>
      <w:r>
        <w:rPr>
          <w:vertAlign w:val="baseline"/>
        </w:rPr>
        <w:t>(as</w:t>
      </w:r>
      <w:r>
        <w:rPr>
          <w:spacing w:val="22"/>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facts</w:t>
      </w:r>
      <w:r>
        <w:rPr>
          <w:spacing w:val="22"/>
          <w:vertAlign w:val="baseline"/>
        </w:rPr>
        <w:t> </w:t>
      </w:r>
      <w:r>
        <w:rPr>
          <w:vertAlign w:val="baseline"/>
        </w:rPr>
        <w:t>of</w:t>
      </w:r>
      <w:r>
        <w:rPr>
          <w:spacing w:val="22"/>
          <w:vertAlign w:val="baseline"/>
        </w:rPr>
        <w:t> </w:t>
      </w:r>
      <w:r>
        <w:rPr>
          <w:vertAlign w:val="baseline"/>
        </w:rPr>
        <w:t>the</w:t>
      </w:r>
      <w:r>
        <w:rPr>
          <w:spacing w:val="21"/>
          <w:vertAlign w:val="baseline"/>
        </w:rPr>
        <w:t> </w:t>
      </w:r>
      <w:r>
        <w:rPr>
          <w:rFonts w:ascii="Arial" w:hAnsi="Arial"/>
          <w:i/>
          <w:vertAlign w:val="baseline"/>
        </w:rPr>
        <w:t>Fulton</w:t>
      </w:r>
      <w:r>
        <w:rPr>
          <w:rFonts w:ascii="Arial" w:hAnsi="Arial"/>
          <w:i/>
          <w:spacing w:val="22"/>
          <w:vertAlign w:val="baseline"/>
        </w:rPr>
        <w:t> </w:t>
      </w:r>
      <w:r>
        <w:rPr>
          <w:vertAlign w:val="baseline"/>
        </w:rPr>
        <w:t>case)</w:t>
      </w:r>
      <w:r>
        <w:rPr>
          <w:spacing w:val="22"/>
          <w:vertAlign w:val="baseline"/>
        </w:rPr>
        <w:t> </w:t>
      </w:r>
      <w:r>
        <w:rPr>
          <w:vertAlign w:val="baseline"/>
        </w:rPr>
        <w:t>selling</w:t>
      </w:r>
      <w:r>
        <w:rPr>
          <w:spacing w:val="22"/>
          <w:vertAlign w:val="baseline"/>
        </w:rPr>
        <w:t> </w:t>
      </w:r>
      <w:r>
        <w:rPr>
          <w:vertAlign w:val="baseline"/>
        </w:rPr>
        <w:t>the</w:t>
      </w:r>
      <w:r>
        <w:rPr>
          <w:spacing w:val="22"/>
          <w:vertAlign w:val="baseline"/>
        </w:rPr>
        <w:t> </w:t>
      </w:r>
      <w:r>
        <w:rPr>
          <w:vertAlign w:val="baseline"/>
        </w:rPr>
        <w:t>ship</w:t>
      </w:r>
      <w:r>
        <w:rPr>
          <w:spacing w:val="22"/>
          <w:vertAlign w:val="baseline"/>
        </w:rPr>
        <w:t> </w:t>
      </w:r>
      <w:r>
        <w:rPr>
          <w:vertAlign w:val="baseline"/>
        </w:rPr>
        <w:t>was</w:t>
      </w:r>
      <w:r>
        <w:rPr>
          <w:spacing w:val="22"/>
          <w:vertAlign w:val="baseline"/>
        </w:rPr>
        <w:t> </w:t>
      </w:r>
      <w:r>
        <w:rPr>
          <w:spacing w:val="-5"/>
          <w:vertAlign w:val="baseline"/>
        </w:rPr>
        <w:t>not</w:t>
      </w:r>
    </w:p>
    <w:p>
      <w:pPr>
        <w:pStyle w:val="BodyText"/>
        <w:spacing w:line="235" w:lineRule="auto" w:before="117"/>
        <w:ind w:left="165" w:right="167"/>
        <w:jc w:val="both"/>
      </w:pPr>
      <w:r>
        <w:rPr/>
        <w:t>something they were required to do by way of mitigation, </w:t>
      </w:r>
      <w:r>
        <w:rPr>
          <w:color w:val="005DA1"/>
          <w:u w:val="single" w:color="005DA1"/>
          <w:vertAlign w:val="superscript"/>
        </w:rPr>
        <w:t>563</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12"/>
          <w:vertAlign w:val="baseline"/>
        </w:rPr>
        <w:t> </w:t>
      </w:r>
      <w:r>
        <w:rPr>
          <w:vertAlign w:val="baseline"/>
        </w:rPr>
        <w:t>the loss again followed from their independent</w:t>
      </w:r>
      <w:r>
        <w:rPr>
          <w:spacing w:val="-1"/>
          <w:vertAlign w:val="baseline"/>
        </w:rPr>
        <w:t> </w:t>
      </w:r>
      <w:r>
        <w:rPr>
          <w:vertAlign w:val="baseline"/>
        </w:rPr>
        <w:t>decision</w:t>
      </w:r>
      <w:r>
        <w:rPr>
          <w:spacing w:val="-2"/>
          <w:vertAlign w:val="baseline"/>
        </w:rPr>
        <w:t> </w:t>
      </w:r>
      <w:r>
        <w:rPr>
          <w:vertAlign w:val="baseline"/>
        </w:rPr>
        <w:t>to</w:t>
      </w:r>
      <w:r>
        <w:rPr>
          <w:spacing w:val="-1"/>
          <w:vertAlign w:val="baseline"/>
        </w:rPr>
        <w:t> </w:t>
      </w:r>
      <w:r>
        <w:rPr>
          <w:vertAlign w:val="baseline"/>
        </w:rPr>
        <w:t>sell</w:t>
      </w:r>
      <w:r>
        <w:rPr>
          <w:spacing w:val="-2"/>
          <w:vertAlign w:val="baseline"/>
        </w:rPr>
        <w:t> </w:t>
      </w:r>
      <w:r>
        <w:rPr>
          <w:vertAlign w:val="baseline"/>
        </w:rPr>
        <w:t>rather</w:t>
      </w:r>
      <w:r>
        <w:rPr>
          <w:spacing w:val="-1"/>
          <w:vertAlign w:val="baseline"/>
        </w:rPr>
        <w:t> </w:t>
      </w:r>
      <w:r>
        <w:rPr>
          <w:vertAlign w:val="baseline"/>
        </w:rPr>
        <w:t>than</w:t>
      </w:r>
      <w:r>
        <w:rPr>
          <w:spacing w:val="-2"/>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breach.</w:t>
      </w:r>
      <w:r>
        <w:rPr>
          <w:spacing w:val="-1"/>
          <w:vertAlign w:val="baseline"/>
        </w:rPr>
        <w:t> </w:t>
      </w:r>
      <w:r>
        <w:rPr>
          <w:vertAlign w:val="baseline"/>
        </w:rPr>
        <w:t>One</w:t>
      </w:r>
      <w:r>
        <w:rPr>
          <w:spacing w:val="-2"/>
          <w:vertAlign w:val="baseline"/>
        </w:rPr>
        <w:t> </w:t>
      </w:r>
      <w:r>
        <w:rPr>
          <w:vertAlign w:val="baseline"/>
        </w:rPr>
        <w:t>statement</w:t>
      </w:r>
      <w:r>
        <w:rPr>
          <w:spacing w:val="-1"/>
          <w:vertAlign w:val="baseline"/>
        </w:rPr>
        <w:t> </w:t>
      </w:r>
      <w:r>
        <w:rPr>
          <w:vertAlign w:val="baseline"/>
        </w:rPr>
        <w:t>made</w:t>
      </w:r>
      <w:r>
        <w:rPr>
          <w:spacing w:val="-2"/>
          <w:vertAlign w:val="baseline"/>
        </w:rPr>
        <w:t> </w:t>
      </w:r>
      <w:r>
        <w:rPr>
          <w:vertAlign w:val="baseline"/>
        </w:rPr>
        <w:t>by</w:t>
      </w:r>
      <w:r>
        <w:rPr>
          <w:spacing w:val="-1"/>
          <w:vertAlign w:val="baseline"/>
        </w:rPr>
        <w:t> </w:t>
      </w:r>
      <w:r>
        <w:rPr>
          <w:vertAlign w:val="baseline"/>
        </w:rPr>
        <w:t>Lord</w:t>
      </w:r>
      <w:r>
        <w:rPr>
          <w:spacing w:val="-2"/>
          <w:vertAlign w:val="baseline"/>
        </w:rPr>
        <w:t> </w:t>
      </w:r>
      <w:r>
        <w:rPr>
          <w:vertAlign w:val="baseline"/>
        </w:rPr>
        <w:t>Clarke</w:t>
      </w:r>
      <w:r>
        <w:rPr>
          <w:spacing w:val="-1"/>
          <w:vertAlign w:val="baseline"/>
        </w:rPr>
        <w:t> </w:t>
      </w:r>
      <w:r>
        <w:rPr>
          <w:vertAlign w:val="baseline"/>
        </w:rPr>
        <w:t>may</w:t>
      </w:r>
      <w:r>
        <w:rPr>
          <w:spacing w:val="-2"/>
          <w:vertAlign w:val="baseline"/>
        </w:rPr>
        <w:t> </w:t>
      </w:r>
      <w:r>
        <w:rPr>
          <w:vertAlign w:val="baseline"/>
        </w:rPr>
        <w:t>be questioned, however. Lord Clarke said that a sale of the vessel a year after the repudiation might</w:t>
      </w:r>
      <w:r>
        <w:rPr>
          <w:spacing w:val="40"/>
          <w:vertAlign w:val="baseline"/>
        </w:rPr>
        <w:t> </w:t>
      </w:r>
      <w:r>
        <w:rPr>
          <w:vertAlign w:val="baseline"/>
        </w:rPr>
        <w:t>have been relevant as it would shorten the period for which there was a lost income stream to mitigate,</w:t>
      </w:r>
      <w:r>
        <w:rPr>
          <w:spacing w:val="32"/>
          <w:vertAlign w:val="baseline"/>
        </w:rPr>
        <w:t> </w:t>
      </w:r>
      <w:r>
        <w:rPr>
          <w:vertAlign w:val="baseline"/>
        </w:rPr>
        <w:t>and</w:t>
      </w:r>
      <w:r>
        <w:rPr>
          <w:spacing w:val="32"/>
          <w:vertAlign w:val="baseline"/>
        </w:rPr>
        <w:t> </w:t>
      </w:r>
      <w:r>
        <w:rPr>
          <w:vertAlign w:val="baseline"/>
        </w:rPr>
        <w:t>if</w:t>
      </w:r>
      <w:r>
        <w:rPr>
          <w:spacing w:val="32"/>
          <w:vertAlign w:val="baseline"/>
        </w:rPr>
        <w:t> </w:t>
      </w:r>
      <w:r>
        <w:rPr>
          <w:vertAlign w:val="baseline"/>
        </w:rPr>
        <w:t>such</w:t>
      </w:r>
      <w:r>
        <w:rPr>
          <w:spacing w:val="32"/>
          <w:vertAlign w:val="baseline"/>
        </w:rPr>
        <w:t> </w:t>
      </w:r>
      <w:r>
        <w:rPr>
          <w:vertAlign w:val="baseline"/>
        </w:rPr>
        <w:t>a</w:t>
      </w:r>
      <w:r>
        <w:rPr>
          <w:spacing w:val="32"/>
          <w:vertAlign w:val="baseline"/>
        </w:rPr>
        <w:t> </w:t>
      </w:r>
      <w:r>
        <w:rPr>
          <w:vertAlign w:val="baseline"/>
        </w:rPr>
        <w:t>sale</w:t>
      </w:r>
      <w:r>
        <w:rPr>
          <w:spacing w:val="32"/>
          <w:vertAlign w:val="baseline"/>
        </w:rPr>
        <w:t> </w:t>
      </w:r>
      <w:r>
        <w:rPr>
          <w:vertAlign w:val="baseline"/>
        </w:rPr>
        <w:t>had</w:t>
      </w:r>
      <w:r>
        <w:rPr>
          <w:spacing w:val="32"/>
          <w:vertAlign w:val="baseline"/>
        </w:rPr>
        <w:t> </w:t>
      </w:r>
      <w:r>
        <w:rPr>
          <w:vertAlign w:val="baseline"/>
        </w:rPr>
        <w:t>been</w:t>
      </w:r>
      <w:r>
        <w:rPr>
          <w:spacing w:val="32"/>
          <w:vertAlign w:val="baseline"/>
        </w:rPr>
        <w:t> </w:t>
      </w:r>
      <w:r>
        <w:rPr>
          <w:vertAlign w:val="baseline"/>
        </w:rPr>
        <w:t>for</w:t>
      </w:r>
      <w:r>
        <w:rPr>
          <w:spacing w:val="32"/>
          <w:vertAlign w:val="baseline"/>
        </w:rPr>
        <w:t> </w:t>
      </w:r>
      <w:r>
        <w:rPr>
          <w:vertAlign w:val="baseline"/>
        </w:rPr>
        <w:t>less</w:t>
      </w:r>
      <w:r>
        <w:rPr>
          <w:spacing w:val="32"/>
          <w:vertAlign w:val="baseline"/>
        </w:rPr>
        <w:t> </w:t>
      </w:r>
      <w:r>
        <w:rPr>
          <w:vertAlign w:val="baseline"/>
        </w:rPr>
        <w:t>than</w:t>
      </w:r>
      <w:r>
        <w:rPr>
          <w:spacing w:val="32"/>
          <w:vertAlign w:val="baseline"/>
        </w:rPr>
        <w:t> </w:t>
      </w:r>
      <w:r>
        <w:rPr>
          <w:vertAlign w:val="baseline"/>
        </w:rPr>
        <w:t>the</w:t>
      </w:r>
      <w:r>
        <w:rPr>
          <w:spacing w:val="32"/>
          <w:vertAlign w:val="baseline"/>
        </w:rPr>
        <w:t> </w:t>
      </w:r>
      <w:r>
        <w:rPr>
          <w:vertAlign w:val="baseline"/>
        </w:rPr>
        <w:t>price</w:t>
      </w:r>
      <w:r>
        <w:rPr>
          <w:spacing w:val="32"/>
          <w:vertAlign w:val="baseline"/>
        </w:rPr>
        <w:t> </w:t>
      </w:r>
      <w:r>
        <w:rPr>
          <w:vertAlign w:val="baseline"/>
        </w:rPr>
        <w:t>that</w:t>
      </w:r>
      <w:r>
        <w:rPr>
          <w:spacing w:val="32"/>
          <w:vertAlign w:val="baseline"/>
        </w:rPr>
        <w:t> </w:t>
      </w:r>
      <w:r>
        <w:rPr>
          <w:vertAlign w:val="baseline"/>
        </w:rPr>
        <w:t>would</w:t>
      </w:r>
      <w:r>
        <w:rPr>
          <w:spacing w:val="32"/>
          <w:vertAlign w:val="baseline"/>
        </w:rPr>
        <w:t> </w:t>
      </w:r>
      <w:r>
        <w:rPr>
          <w:vertAlign w:val="baseline"/>
        </w:rPr>
        <w:t>have</w:t>
      </w:r>
      <w:r>
        <w:rPr>
          <w:spacing w:val="32"/>
          <w:vertAlign w:val="baseline"/>
        </w:rPr>
        <w:t> </w:t>
      </w:r>
      <w:r>
        <w:rPr>
          <w:vertAlign w:val="baseline"/>
        </w:rPr>
        <w:t>been</w:t>
      </w:r>
      <w:r>
        <w:rPr>
          <w:spacing w:val="32"/>
          <w:vertAlign w:val="baseline"/>
        </w:rPr>
        <w:t> </w:t>
      </w:r>
      <w:r>
        <w:rPr>
          <w:vertAlign w:val="baseline"/>
        </w:rPr>
        <w:t>obtainable</w:t>
      </w:r>
      <w:r>
        <w:rPr>
          <w:spacing w:val="32"/>
          <w:vertAlign w:val="baseline"/>
        </w:rPr>
        <w:t> </w:t>
      </w:r>
      <w:r>
        <w:rPr>
          <w:spacing w:val="-5"/>
          <w:vertAlign w:val="baseline"/>
        </w:rPr>
        <w:t>by</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1040" w:id="1042"/>
      <w:bookmarkEnd w:id="1042"/>
      <w:r>
        <w:rPr/>
      </w:r>
      <w:r>
        <w:rPr/>
        <w:t>selling</w:t>
      </w:r>
      <w:r>
        <w:rPr>
          <w:spacing w:val="1"/>
        </w:rPr>
        <w:t> </w:t>
      </w:r>
      <w:r>
        <w:rPr/>
        <w:t>the</w:t>
      </w:r>
      <w:r>
        <w:rPr>
          <w:spacing w:val="1"/>
        </w:rPr>
        <w:t> </w:t>
      </w:r>
      <w:r>
        <w:rPr/>
        <w:t>vessel</w:t>
      </w:r>
      <w:r>
        <w:rPr>
          <w:spacing w:val="1"/>
        </w:rPr>
        <w:t> </w:t>
      </w:r>
      <w:r>
        <w:rPr/>
        <w:t>with</w:t>
      </w:r>
      <w:r>
        <w:rPr>
          <w:spacing w:val="1"/>
        </w:rPr>
        <w:t> </w:t>
      </w:r>
      <w:r>
        <w:rPr/>
        <w:t>the</w:t>
      </w:r>
      <w:r>
        <w:rPr>
          <w:spacing w:val="1"/>
        </w:rPr>
        <w:t> </w:t>
      </w:r>
      <w:r>
        <w:rPr/>
        <w:t>benefit</w:t>
      </w:r>
      <w:r>
        <w:rPr>
          <w:spacing w:val="1"/>
        </w:rPr>
        <w:t> </w:t>
      </w:r>
      <w:r>
        <w:rPr/>
        <w:t>of</w:t>
      </w:r>
      <w:r>
        <w:rPr>
          <w:spacing w:val="1"/>
        </w:rPr>
        <w:t> </w:t>
      </w:r>
      <w:r>
        <w:rPr/>
        <w:t>the</w:t>
      </w:r>
      <w:r>
        <w:rPr>
          <w:spacing w:val="1"/>
        </w:rPr>
        <w:t> </w:t>
      </w:r>
      <w:r>
        <w:rPr/>
        <w:t>income</w:t>
      </w:r>
      <w:r>
        <w:rPr>
          <w:spacing w:val="1"/>
        </w:rPr>
        <w:t> </w:t>
      </w:r>
      <w:r>
        <w:rPr/>
        <w:t>of</w:t>
      </w:r>
      <w:r>
        <w:rPr>
          <w:spacing w:val="1"/>
        </w:rPr>
        <w:t> </w:t>
      </w:r>
      <w:r>
        <w:rPr/>
        <w:t>the</w:t>
      </w:r>
      <w:r>
        <w:rPr>
          <w:spacing w:val="1"/>
        </w:rPr>
        <w:t> </w:t>
      </w:r>
      <w:r>
        <w:rPr/>
        <w:t>remaining</w:t>
      </w:r>
      <w:r>
        <w:rPr>
          <w:spacing w:val="1"/>
        </w:rPr>
        <w:t> </w:t>
      </w:r>
      <w:r>
        <w:rPr/>
        <w:t>charter</w:t>
      </w:r>
      <w:r>
        <w:rPr>
          <w:spacing w:val="1"/>
        </w:rPr>
        <w:t> </w:t>
      </w:r>
      <w:r>
        <w:rPr/>
        <w:t>period,</w:t>
      </w:r>
      <w:r>
        <w:rPr>
          <w:spacing w:val="1"/>
        </w:rPr>
        <w:t> </w:t>
      </w:r>
      <w:r>
        <w:rPr/>
        <w:t>they</w:t>
      </w:r>
      <w:r>
        <w:rPr>
          <w:spacing w:val="1"/>
        </w:rPr>
        <w:t> </w:t>
      </w:r>
      <w:r>
        <w:rPr/>
        <w:t>might</w:t>
      </w:r>
      <w:r>
        <w:rPr>
          <w:spacing w:val="1"/>
        </w:rPr>
        <w:t> </w:t>
      </w:r>
      <w:r>
        <w:rPr/>
        <w:t>have</w:t>
      </w:r>
      <w:r>
        <w:rPr>
          <w:spacing w:val="1"/>
        </w:rPr>
        <w:t> </w:t>
      </w:r>
      <w:r>
        <w:rPr>
          <w:spacing w:val="-4"/>
        </w:rPr>
        <w:t>been</w:t>
      </w:r>
    </w:p>
    <w:p>
      <w:pPr>
        <w:pStyle w:val="BodyText"/>
        <w:spacing w:line="235" w:lineRule="auto" w:before="119"/>
        <w:ind w:left="165" w:right="167"/>
        <w:jc w:val="both"/>
      </w:pPr>
      <w:r>
        <w:rPr/>
        <w:t>able to recover that loss. </w:t>
      </w:r>
      <w:r>
        <w:rPr>
          <w:color w:val="005DA1"/>
          <w:u w:val="single" w:color="005DA1"/>
          <w:vertAlign w:val="superscript"/>
        </w:rPr>
        <w:t>564</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What difference does it make that the sale is a year after the repudiation rather than immediate? It is submitted that selling the vessel after a year would no more affect the owner’s loss of income than did the immediate sale. And if the owners are to be compensated for loss of the charter income, it would be wrong also to compensate them because the sale produced a lower price than a sale with the benefit of the charter would have done, as that </w:t>
      </w:r>
      <w:r>
        <w:rPr>
          <w:vertAlign w:val="baseline"/>
        </w:rPr>
        <w:t>would in effect compensate them twice for the same loss.</w:t>
      </w:r>
    </w:p>
    <w:p>
      <w:pPr>
        <w:pStyle w:val="BodyText"/>
      </w:pPr>
    </w:p>
    <w:p>
      <w:pPr>
        <w:pStyle w:val="BodyText"/>
        <w:spacing w:before="36"/>
      </w:pPr>
    </w:p>
    <w:p>
      <w:pPr>
        <w:spacing w:before="1"/>
        <w:ind w:left="165" w:right="0" w:firstLine="0"/>
        <w:jc w:val="both"/>
        <w:rPr>
          <w:rFonts w:ascii="Arial"/>
          <w:b/>
          <w:sz w:val="18"/>
        </w:rPr>
      </w:pPr>
      <w:r>
        <w:rPr>
          <w:rFonts w:ascii="Arial"/>
          <w:b/>
          <w:sz w:val="18"/>
        </w:rPr>
        <w:t>Act by third </w:t>
      </w:r>
      <w:r>
        <w:rPr>
          <w:rFonts w:ascii="Arial"/>
          <w:b/>
          <w:spacing w:val="-2"/>
          <w:sz w:val="18"/>
        </w:rPr>
        <w:t>party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099B</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When a lender claimed damages from a valuer for negligence in preparing a report on a borrower, and the individual who controlled the lender, but to whom the valuers owed no duty, personally </w:t>
      </w:r>
      <w:r>
        <w:rPr/>
        <w:t>lent further funds to the borrower that enabled the borrower to pay off some of the loans, that was taken </w:t>
      </w:r>
      <w:bookmarkStart w:name="_bookmark1041" w:id="1043"/>
      <w:bookmarkEnd w:id="1043"/>
      <w:r>
        <w:rPr/>
        <w:t>into</w:t>
      </w:r>
      <w:r>
        <w:rPr>
          <w:spacing w:val="22"/>
        </w:rPr>
        <w:t> </w:t>
      </w:r>
      <w:r>
        <w:rPr/>
        <w:t>account,</w:t>
      </w:r>
      <w:r>
        <w:rPr>
          <w:spacing w:val="22"/>
        </w:rPr>
        <w:t> </w:t>
      </w:r>
      <w:r>
        <w:rPr/>
        <w:t>as</w:t>
      </w:r>
      <w:r>
        <w:rPr>
          <w:spacing w:val="22"/>
        </w:rPr>
        <w:t> </w:t>
      </w:r>
      <w:r>
        <w:rPr/>
        <w:t>it</w:t>
      </w:r>
      <w:r>
        <w:rPr>
          <w:spacing w:val="22"/>
        </w:rPr>
        <w:t> </w:t>
      </w:r>
      <w:r>
        <w:rPr/>
        <w:t>discharged</w:t>
      </w:r>
      <w:r>
        <w:rPr>
          <w:spacing w:val="22"/>
        </w:rPr>
        <w:t> </w:t>
      </w:r>
      <w:r>
        <w:rPr/>
        <w:t>the</w:t>
      </w:r>
      <w:r>
        <w:rPr>
          <w:spacing w:val="22"/>
        </w:rPr>
        <w:t> </w:t>
      </w:r>
      <w:r>
        <w:rPr/>
        <w:t>very</w:t>
      </w:r>
      <w:r>
        <w:rPr>
          <w:spacing w:val="22"/>
        </w:rPr>
        <w:t> </w:t>
      </w:r>
      <w:r>
        <w:rPr/>
        <w:t>liability</w:t>
      </w:r>
      <w:r>
        <w:rPr>
          <w:spacing w:val="22"/>
        </w:rPr>
        <w:t> </w:t>
      </w:r>
      <w:r>
        <w:rPr/>
        <w:t>which</w:t>
      </w:r>
      <w:r>
        <w:rPr>
          <w:spacing w:val="22"/>
        </w:rPr>
        <w:t> </w:t>
      </w:r>
      <w:r>
        <w:rPr/>
        <w:t>the</w:t>
      </w:r>
      <w:r>
        <w:rPr>
          <w:spacing w:val="22"/>
        </w:rPr>
        <w:t> </w:t>
      </w:r>
      <w:r>
        <w:rPr/>
        <w:t>lenders</w:t>
      </w:r>
      <w:r>
        <w:rPr>
          <w:spacing w:val="22"/>
        </w:rPr>
        <w:t> </w:t>
      </w:r>
      <w:r>
        <w:rPr/>
        <w:t>claimed</w:t>
      </w:r>
      <w:r>
        <w:rPr>
          <w:spacing w:val="22"/>
        </w:rPr>
        <w:t> </w:t>
      </w:r>
      <w:r>
        <w:rPr/>
        <w:t>as</w:t>
      </w:r>
      <w:r>
        <w:rPr>
          <w:spacing w:val="22"/>
        </w:rPr>
        <w:t> </w:t>
      </w:r>
      <w:r>
        <w:rPr/>
        <w:t>their</w:t>
      </w:r>
      <w:r>
        <w:rPr>
          <w:spacing w:val="22"/>
        </w:rPr>
        <w:t> </w:t>
      </w:r>
      <w:r>
        <w:rPr/>
        <w:t>loss</w:t>
      </w:r>
      <w:r>
        <w:rPr>
          <w:spacing w:val="22"/>
        </w:rPr>
        <w:t> </w:t>
      </w:r>
      <w:r>
        <w:rPr/>
        <w:t>and</w:t>
      </w:r>
      <w:r>
        <w:rPr>
          <w:spacing w:val="22"/>
        </w:rPr>
        <w:t> </w:t>
      </w:r>
      <w:r>
        <w:rPr/>
        <w:t>it</w:t>
      </w:r>
      <w:r>
        <w:rPr>
          <w:spacing w:val="22"/>
        </w:rPr>
        <w:t> </w:t>
      </w:r>
      <w:r>
        <w:rPr/>
        <w:t>was</w:t>
      </w:r>
      <w:r>
        <w:rPr>
          <w:spacing w:val="22"/>
        </w:rPr>
        <w:t> </w:t>
      </w:r>
      <w:r>
        <w:rPr>
          <w:spacing w:val="-10"/>
        </w:rPr>
        <w:t>a</w:t>
      </w:r>
    </w:p>
    <w:p>
      <w:pPr>
        <w:pStyle w:val="BodyText"/>
        <w:spacing w:line="235" w:lineRule="auto" w:before="118"/>
        <w:ind w:left="164" w:right="167"/>
        <w:jc w:val="both"/>
      </w:pPr>
      <w:r>
        <w:rPr/>
        <w:t>distinct transaction between different parties. </w:t>
      </w:r>
      <w:r>
        <w:rPr>
          <w:color w:val="005DA1"/>
          <w:u w:val="single" w:color="005DA1"/>
          <w:vertAlign w:val="superscript"/>
        </w:rPr>
        <w:t>565</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19"/>
          <w:vertAlign w:val="baseline"/>
        </w:rPr>
        <w:t> </w:t>
      </w:r>
      <w:r>
        <w:rPr>
          <w:vertAlign w:val="baseline"/>
        </w:rPr>
        <w:t>Nor was the cost recoverable as a cost of </w:t>
      </w:r>
      <w:bookmarkStart w:name="_bookmark1042" w:id="1044"/>
      <w:bookmarkEnd w:id="1044"/>
      <w:r>
        <w:rPr>
          <w:vertAlign w:val="baseline"/>
        </w:rPr>
        <w:t>mitigation,</w:t>
      </w:r>
      <w:r>
        <w:rPr>
          <w:spacing w:val="19"/>
          <w:vertAlign w:val="baseline"/>
        </w:rPr>
        <w:t> </w:t>
      </w:r>
      <w:r>
        <w:rPr>
          <w:vertAlign w:val="baseline"/>
        </w:rPr>
        <w:t>as</w:t>
      </w:r>
      <w:r>
        <w:rPr>
          <w:spacing w:val="19"/>
          <w:vertAlign w:val="baseline"/>
        </w:rPr>
        <w:t> </w:t>
      </w:r>
      <w:r>
        <w:rPr>
          <w:vertAlign w:val="baseline"/>
        </w:rPr>
        <w:t>it</w:t>
      </w:r>
      <w:r>
        <w:rPr>
          <w:spacing w:val="19"/>
          <w:vertAlign w:val="baseline"/>
        </w:rPr>
        <w:t> </w:t>
      </w:r>
      <w:r>
        <w:rPr>
          <w:vertAlign w:val="baseline"/>
        </w:rPr>
        <w:t>was</w:t>
      </w:r>
      <w:r>
        <w:rPr>
          <w:spacing w:val="19"/>
          <w:vertAlign w:val="baseline"/>
        </w:rPr>
        <w:t> </w:t>
      </w:r>
      <w:r>
        <w:rPr>
          <w:vertAlign w:val="baseline"/>
        </w:rPr>
        <w:t>not</w:t>
      </w:r>
      <w:r>
        <w:rPr>
          <w:spacing w:val="19"/>
          <w:vertAlign w:val="baseline"/>
        </w:rPr>
        <w:t> </w:t>
      </w:r>
      <w:r>
        <w:rPr>
          <w:vertAlign w:val="baseline"/>
        </w:rPr>
        <w:t>an</w:t>
      </w:r>
      <w:r>
        <w:rPr>
          <w:spacing w:val="19"/>
          <w:vertAlign w:val="baseline"/>
        </w:rPr>
        <w:t> </w:t>
      </w:r>
      <w:r>
        <w:rPr>
          <w:vertAlign w:val="baseline"/>
        </w:rPr>
        <w:t>act</w:t>
      </w:r>
      <w:r>
        <w:rPr>
          <w:spacing w:val="19"/>
          <w:vertAlign w:val="baseline"/>
        </w:rPr>
        <w:t> </w:t>
      </w:r>
      <w:r>
        <w:rPr>
          <w:vertAlign w:val="baseline"/>
        </w:rPr>
        <w:t>done</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claimant</w:t>
      </w:r>
      <w:r>
        <w:rPr>
          <w:spacing w:val="19"/>
          <w:vertAlign w:val="baseline"/>
        </w:rPr>
        <w:t> </w:t>
      </w:r>
      <w:r>
        <w:rPr>
          <w:vertAlign w:val="baseline"/>
        </w:rPr>
        <w:t>and</w:t>
      </w:r>
      <w:r>
        <w:rPr>
          <w:spacing w:val="19"/>
          <w:vertAlign w:val="baseline"/>
        </w:rPr>
        <w:t> </w:t>
      </w:r>
      <w:r>
        <w:rPr>
          <w:vertAlign w:val="baseline"/>
        </w:rPr>
        <w:t>was</w:t>
      </w:r>
      <w:r>
        <w:rPr>
          <w:spacing w:val="19"/>
          <w:vertAlign w:val="baseline"/>
        </w:rPr>
        <w:t> </w:t>
      </w:r>
      <w:r>
        <w:rPr>
          <w:vertAlign w:val="baseline"/>
        </w:rPr>
        <w:t>not</w:t>
      </w:r>
      <w:r>
        <w:rPr>
          <w:spacing w:val="19"/>
          <w:vertAlign w:val="baseline"/>
        </w:rPr>
        <w:t> </w:t>
      </w:r>
      <w:r>
        <w:rPr>
          <w:vertAlign w:val="baseline"/>
        </w:rPr>
        <w:t>caused</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valuer’s</w:t>
      </w:r>
      <w:r>
        <w:rPr>
          <w:spacing w:val="19"/>
          <w:vertAlign w:val="baseline"/>
        </w:rPr>
        <w:t> </w:t>
      </w:r>
      <w:r>
        <w:rPr>
          <w:vertAlign w:val="baseline"/>
        </w:rPr>
        <w:t>breach</w:t>
      </w:r>
      <w:r>
        <w:rPr>
          <w:spacing w:val="19"/>
          <w:vertAlign w:val="baseline"/>
        </w:rPr>
        <w:t> </w:t>
      </w:r>
      <w:r>
        <w:rPr>
          <w:spacing w:val="-5"/>
          <w:vertAlign w:val="baseline"/>
        </w:rPr>
        <w:t>of</w:t>
      </w:r>
    </w:p>
    <w:p>
      <w:pPr>
        <w:pStyle w:val="BodyText"/>
        <w:spacing w:before="116"/>
        <w:ind w:left="164"/>
        <w:jc w:val="both"/>
        <w:rPr>
          <w:position w:val="-2"/>
        </w:rPr>
      </w:pPr>
      <w:r>
        <w:rPr/>
        <w:t>duty. </w:t>
      </w:r>
      <w:r>
        <w:rPr>
          <w:color w:val="005DA1"/>
          <w:u w:val="single" w:color="005DA1"/>
          <w:vertAlign w:val="superscript"/>
        </w:rPr>
        <w:t>566</w:t>
      </w:r>
      <w:r>
        <w:rPr>
          <w:color w:val="005DA1"/>
          <w:spacing w:val="80"/>
          <w:vertAlign w:val="baseline"/>
        </w:rPr>
        <w:t> </w:t>
      </w:r>
      <w:r>
        <w:rPr>
          <w:color w:val="005DA1"/>
          <w:position w:val="-2"/>
          <w:vertAlign w:val="baseline"/>
        </w:rPr>
        <w:drawing>
          <wp:inline distT="0" distB="0" distL="0" distR="0">
            <wp:extent cx="107988" cy="10798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bookmarkStart w:name="_bookmark1043" w:id="1045"/>
      <w:bookmarkEnd w:id="1045"/>
      <w:r>
        <w:rPr/>
      </w:r>
      <w:r>
        <w:rPr>
          <w:rFonts w:ascii="Arial"/>
          <w:b/>
          <w:sz w:val="18"/>
        </w:rPr>
        <w:t>Release of resources for other uses</w:t>
      </w:r>
      <w:r>
        <w:rPr>
          <w:rFonts w:ascii="Arial"/>
          <w:b/>
          <w:spacing w:val="-1"/>
          <w:sz w:val="18"/>
        </w:rPr>
        <w:t> </w:t>
      </w:r>
      <w:r>
        <w:rPr>
          <w:rFonts w:ascii="Arial"/>
          <w:b/>
          <w:color w:val="005DA1"/>
          <w:spacing w:val="-5"/>
          <w:sz w:val="18"/>
          <w:u w:val="single" w:color="005DA1"/>
          <w:vertAlign w:val="superscript"/>
        </w:rPr>
        <w:t>567</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100</w:t>
      </w:r>
    </w:p>
    <w:p>
      <w:pPr>
        <w:pStyle w:val="BodyText"/>
        <w:spacing w:line="235" w:lineRule="auto" w:before="203"/>
        <w:ind w:left="164" w:right="167"/>
        <w:jc w:val="both"/>
      </w:pPr>
      <w:r>
        <w:rPr/>
        <w:t>When the claimant terminates his contract with the defendant on the ground of the latter’s breach of contract, the resources which the claimant would otherwise have devoted to his performance</w:t>
      </w:r>
      <w:r>
        <w:rPr>
          <w:spacing w:val="40"/>
        </w:rPr>
        <w:t> </w:t>
      </w:r>
      <w:r>
        <w:rPr/>
        <w:t>(whether capital, skill, labour, etc.) are always released for redeployment elsewhere. Even </w:t>
      </w:r>
      <w:r>
        <w:rPr/>
        <w:t>where there is no substitute or “near equivalent” use to which the claimant can be expected to devote his released resources (under the “avoidable loss” rule) he will always in practice devote them to some other</w:t>
      </w:r>
      <w:r>
        <w:rPr>
          <w:spacing w:val="-1"/>
        </w:rPr>
        <w:t> </w:t>
      </w:r>
      <w:r>
        <w:rPr/>
        <w:t>use,</w:t>
      </w:r>
      <w:r>
        <w:rPr>
          <w:spacing w:val="-1"/>
        </w:rPr>
        <w:t> </w:t>
      </w:r>
      <w:r>
        <w:rPr/>
        <w:t>which</w:t>
      </w:r>
      <w:r>
        <w:rPr>
          <w:spacing w:val="-1"/>
        </w:rPr>
        <w:t> </w:t>
      </w:r>
      <w:r>
        <w:rPr/>
        <w:t>raises</w:t>
      </w:r>
      <w:r>
        <w:rPr>
          <w:spacing w:val="-1"/>
        </w:rPr>
        <w:t> </w:t>
      </w:r>
      <w:r>
        <w:rPr/>
        <w:t>the</w:t>
      </w:r>
      <w:r>
        <w:rPr>
          <w:spacing w:val="-1"/>
        </w:rPr>
        <w:t> </w:t>
      </w:r>
      <w:r>
        <w:rPr/>
        <w:t>application</w:t>
      </w:r>
      <w:r>
        <w:rPr>
          <w:spacing w:val="-1"/>
        </w:rPr>
        <w:t> </w:t>
      </w:r>
      <w:r>
        <w:rPr/>
        <w:t>of</w:t>
      </w:r>
      <w:r>
        <w:rPr>
          <w:spacing w:val="-1"/>
        </w:rPr>
        <w:t> </w:t>
      </w:r>
      <w:r>
        <w:rPr/>
        <w:t>the</w:t>
      </w:r>
      <w:r>
        <w:rPr>
          <w:spacing w:val="-1"/>
        </w:rPr>
        <w:t> </w:t>
      </w:r>
      <w:r>
        <w:rPr/>
        <w:t>“avoided</w:t>
      </w:r>
      <w:r>
        <w:rPr>
          <w:spacing w:val="-1"/>
        </w:rPr>
        <w:t> </w:t>
      </w:r>
      <w:r>
        <w:rPr/>
        <w:t>loss”</w:t>
      </w:r>
      <w:r>
        <w:rPr>
          <w:spacing w:val="-1"/>
        </w:rPr>
        <w:t> </w:t>
      </w:r>
      <w:r>
        <w:rPr/>
        <w:t>rule.</w:t>
      </w:r>
      <w:r>
        <w:rPr>
          <w:spacing w:val="-1"/>
        </w:rPr>
        <w:t> </w:t>
      </w:r>
      <w:r>
        <w:rPr/>
        <w:t>So</w:t>
      </w:r>
      <w:r>
        <w:rPr>
          <w:spacing w:val="-1"/>
        </w:rPr>
        <w:t> </w:t>
      </w:r>
      <w:r>
        <w:rPr/>
        <w:t>an</w:t>
      </w:r>
      <w:r>
        <w:rPr>
          <w:spacing w:val="-1"/>
        </w:rPr>
        <w:t> </w:t>
      </w:r>
      <w:r>
        <w:rPr/>
        <w:t>employee</w:t>
      </w:r>
      <w:r>
        <w:rPr>
          <w:spacing w:val="-1"/>
        </w:rPr>
        <w:t> </w:t>
      </w:r>
      <w:r>
        <w:rPr/>
        <w:t>who</w:t>
      </w:r>
      <w:r>
        <w:rPr>
          <w:spacing w:val="-1"/>
        </w:rPr>
        <w:t> </w:t>
      </w:r>
      <w:r>
        <w:rPr/>
        <w:t>was</w:t>
      </w:r>
      <w:r>
        <w:rPr>
          <w:spacing w:val="-1"/>
        </w:rPr>
        <w:t> </w:t>
      </w:r>
      <w:r>
        <w:rPr/>
        <w:t>wrongfully dismissed will have his damages reduced </w:t>
      </w:r>
      <w:r>
        <w:rPr>
          <w:rFonts w:ascii="Arial" w:hAnsi="Arial"/>
          <w:i/>
        </w:rPr>
        <w:t>either </w:t>
      </w:r>
      <w:r>
        <w:rPr/>
        <w:t>(under the “avoidable loss” rule) by the hypothetical earnings he should reasonably have earned for the relevant period in some similar employment </w:t>
      </w:r>
      <w:r>
        <w:rPr>
          <w:rFonts w:ascii="Arial" w:hAnsi="Arial"/>
          <w:i/>
        </w:rPr>
        <w:t>or </w:t>
      </w:r>
      <w:bookmarkStart w:name="_bookmark1044" w:id="1046"/>
      <w:bookmarkEnd w:id="1046"/>
      <w:r>
        <w:rPr>
          <w:rFonts w:ascii="Arial" w:hAnsi="Arial"/>
          <w:i/>
        </w:rPr>
      </w:r>
      <w:r>
        <w:rPr/>
        <w:t>(whether or not the “avoidable loss” rule applied) by his </w:t>
      </w:r>
      <w:r>
        <w:rPr>
          <w:rFonts w:ascii="Arial" w:hAnsi="Arial"/>
          <w:i/>
        </w:rPr>
        <w:t>actual </w:t>
      </w:r>
      <w:r>
        <w:rPr/>
        <w:t>earnings under another contract which he was able to undertake </w:t>
      </w:r>
      <w:r>
        <w:rPr>
          <w:rFonts w:ascii="Arial" w:hAnsi="Arial"/>
          <w:i/>
        </w:rPr>
        <w:t>only </w:t>
      </w:r>
      <w:r>
        <w:rPr/>
        <w:t>as the result of the defendant’s breach of contract. </w:t>
      </w:r>
      <w:r>
        <w:rPr>
          <w:color w:val="005DA1"/>
          <w:u w:val="single" w:color="005DA1"/>
          <w:vertAlign w:val="superscript"/>
        </w:rPr>
        <w:t>568</w:t>
      </w:r>
      <w:r>
        <w:rPr>
          <w:color w:val="005DA1"/>
          <w:vertAlign w:val="baseline"/>
        </w:rPr>
        <w:t> </w:t>
      </w:r>
      <w:r>
        <w:rPr>
          <w:vertAlign w:val="baseline"/>
        </w:rPr>
        <w:t>If the claimant </w:t>
      </w:r>
      <w:bookmarkStart w:name="_bookmark1045" w:id="1047"/>
      <w:bookmarkEnd w:id="1047"/>
      <w:r>
        <w:rPr>
          <w:vertAlign w:val="baseline"/>
        </w:rPr>
        <w:t>could</w:t>
      </w:r>
      <w:r>
        <w:rPr>
          <w:vertAlign w:val="baseline"/>
        </w:rPr>
        <w:t> not have undertaken the second contract but for the defendant’s breach, and he deployed substantially the same skills, time and effort as he would have done in working for the defendant, </w:t>
      </w:r>
      <w:r>
        <w:rPr>
          <w:color w:val="005DA1"/>
          <w:u w:val="single" w:color="005DA1"/>
          <w:vertAlign w:val="superscript"/>
        </w:rPr>
        <w:t>569</w:t>
      </w:r>
      <w:r>
        <w:rPr>
          <w:color w:val="005DA1"/>
          <w:vertAlign w:val="baseline"/>
        </w:rPr>
        <w:t> </w:t>
      </w:r>
      <w:r>
        <w:rPr>
          <w:vertAlign w:val="baseline"/>
        </w:rPr>
        <w:t>his earnings can legitimately be treated as substitute earnings even when the employment was different. If he is required to employ different skills in his new work, or to put in a greater effort, it is </w:t>
      </w:r>
      <w:bookmarkStart w:name="_bookmark1046" w:id="1048"/>
      <w:bookmarkEnd w:id="1048"/>
      <w:r>
        <w:rPr>
          <w:vertAlign w:val="baseline"/>
        </w:rPr>
        <w:t>submitted</w:t>
      </w:r>
      <w:r>
        <w:rPr>
          <w:vertAlign w:val="baseline"/>
        </w:rPr>
        <w:t> that the courts should make allowance for this greater or different input from the claimant</w:t>
      </w:r>
      <w:r>
        <w:rPr>
          <w:spacing w:val="40"/>
          <w:vertAlign w:val="baseline"/>
        </w:rPr>
        <w:t> </w:t>
      </w:r>
      <w:r>
        <w:rPr>
          <w:vertAlign w:val="baseline"/>
        </w:rPr>
        <w:t>by deducting only a proportion of his substitute earnings. </w:t>
      </w:r>
      <w:r>
        <w:rPr>
          <w:color w:val="005DA1"/>
          <w:u w:val="single" w:color="005DA1"/>
          <w:vertAlign w:val="superscript"/>
        </w:rPr>
        <w:t>570</w:t>
      </w:r>
    </w:p>
    <w:p>
      <w:pPr>
        <w:pStyle w:val="BodyText"/>
        <w:spacing w:before="75"/>
      </w:pPr>
    </w:p>
    <w:p>
      <w:pPr>
        <w:spacing w:before="0"/>
        <w:ind w:left="165" w:right="0" w:firstLine="0"/>
        <w:jc w:val="left"/>
        <w:rPr>
          <w:rFonts w:ascii="Arial"/>
          <w:b/>
          <w:sz w:val="24"/>
        </w:rPr>
      </w:pPr>
      <w:r>
        <w:rPr>
          <w:rFonts w:ascii="Arial"/>
          <w:b/>
          <w:sz w:val="24"/>
        </w:rPr>
        <w:t>26-</w:t>
      </w:r>
      <w:r>
        <w:rPr>
          <w:rFonts w:ascii="Arial"/>
          <w:b/>
          <w:spacing w:val="-5"/>
          <w:sz w:val="24"/>
        </w:rPr>
        <w:t>101</w:t>
      </w:r>
    </w:p>
    <w:p>
      <w:pPr>
        <w:pStyle w:val="BodyText"/>
        <w:spacing w:line="235" w:lineRule="auto" w:before="203"/>
        <w:ind w:left="165" w:right="167"/>
        <w:jc w:val="both"/>
      </w:pPr>
      <w:r>
        <w:rPr/>
        <w:t>Except in the extremely rare situation where a resource cannot be redeployed to any other use at </w:t>
      </w:r>
      <w:r>
        <w:rPr/>
        <w:t>all, the release of resources always confers some benefit on the claimant, because he can find some use for them. But the courts have seldom taken this benefit into account where the alternative use chosen by the claimant was substantially different from his promised performance under the original contract. Where the alternative use has a similar goal (e.g. the earning of profits or wages), the courts have been more likely to take it into account in assessing damages. But, since there is nearly always some </w:t>
      </w:r>
      <w:bookmarkStart w:name="_bookmark1047" w:id="1049"/>
      <w:bookmarkEnd w:id="1049"/>
      <w:r>
        <w:rPr/>
        <w:t>value</w:t>
      </w:r>
      <w:r>
        <w:rPr/>
        <w:t> to the claimant arising from the release of his resources, it is submitted that some assessment of that value should be made no matter where the redeployment is made. </w:t>
      </w:r>
      <w:r>
        <w:rPr>
          <w:color w:val="005DA1"/>
          <w:u w:val="single" w:color="005DA1"/>
          <w:vertAlign w:val="superscript"/>
        </w:rPr>
        <w:t>571</w:t>
      </w:r>
      <w:r>
        <w:rPr>
          <w:color w:val="005DA1"/>
          <w:vertAlign w:val="baseline"/>
        </w:rPr>
        <w:t> </w:t>
      </w:r>
      <w:r>
        <w:rPr>
          <w:vertAlign w:val="baseline"/>
        </w:rPr>
        <w:t>However, it is submitted that the assessment should not deprive someone in the claimant’s position of all incentive to</w:t>
      </w:r>
      <w:r>
        <w:rPr>
          <w:spacing w:val="80"/>
          <w:vertAlign w:val="baseline"/>
        </w:rPr>
        <w:t> </w:t>
      </w:r>
      <w:bookmarkStart w:name="_bookmark1048" w:id="1050"/>
      <w:bookmarkEnd w:id="1050"/>
      <w:r>
        <w:rPr>
          <w:vertAlign w:val="baseline"/>
        </w:rPr>
        <w:t>redeploy:</w:t>
      </w:r>
      <w:r>
        <w:rPr>
          <w:vertAlign w:val="baseline"/>
        </w:rPr>
        <w:t> some incentive would remain if the court did not deduct the whole of the net benefit but left him to enjoy some of it as a reward for his initiative in seeking the alternative use. </w:t>
      </w:r>
      <w:r>
        <w:rPr>
          <w:color w:val="005DA1"/>
          <w:u w:val="single" w:color="005DA1"/>
          <w:vertAlign w:val="superscript"/>
        </w:rPr>
        <w:t>572</w:t>
      </w:r>
    </w:p>
    <w:p>
      <w:pPr>
        <w:pStyle w:val="BodyText"/>
      </w:pPr>
    </w:p>
    <w:p>
      <w:pPr>
        <w:pStyle w:val="BodyText"/>
        <w:spacing w:before="35"/>
      </w:pPr>
      <w:r>
        <w:rPr/>
        <mc:AlternateContent>
          <mc:Choice Requires="wps">
            <w:drawing>
              <wp:anchor distT="0" distB="0" distL="0" distR="0" allowOverlap="1" layoutInCell="1" locked="0" behindDoc="1" simplePos="0" relativeHeight="487643136">
                <wp:simplePos x="0" y="0"/>
                <wp:positionH relativeFrom="page">
                  <wp:posOffset>914400</wp:posOffset>
                </wp:positionH>
                <wp:positionV relativeFrom="paragraph">
                  <wp:posOffset>183502</wp:posOffset>
                </wp:positionV>
                <wp:extent cx="5724525"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9023pt;width:450.75pt;height:.1pt;mso-position-horizontal-relative:page;mso-position-vertical-relative:paragraph;z-index:-15673344;mso-wrap-distance-left:0;mso-wrap-distance-right:0" id="docshape55" coordorigin="1440,289" coordsize="9015,0" path="m1440,289l10454,289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56"/>
      </w:pPr>
    </w:p>
    <w:p>
      <w:pPr>
        <w:tabs>
          <w:tab w:pos="705" w:val="left" w:leader="none"/>
        </w:tabs>
        <w:spacing w:before="0"/>
        <w:ind w:left="165" w:right="0" w:firstLine="0"/>
        <w:jc w:val="left"/>
        <w:rPr>
          <w:sz w:val="20"/>
        </w:rPr>
      </w:pPr>
      <w:hyperlink w:history="true" w:anchor="_bookmark1007">
        <w:r>
          <w:rPr>
            <w:color w:val="005DA1"/>
            <w:spacing w:val="-4"/>
            <w:position w:val="5"/>
            <w:sz w:val="14"/>
            <w:u w:val="single" w:color="005DA1"/>
          </w:rPr>
          <w:t>529</w:t>
        </w:r>
      </w:hyperlink>
      <w:r>
        <w:rPr>
          <w:spacing w:val="-4"/>
          <w:position w:val="5"/>
          <w:sz w:val="14"/>
        </w:rPr>
        <w:t>.</w:t>
      </w:r>
      <w:r>
        <w:rPr>
          <w:position w:val="5"/>
          <w:sz w:val="14"/>
        </w:rPr>
        <w:tab/>
      </w:r>
      <w:r>
        <w:rPr>
          <w:rFonts w:ascii="Arial"/>
          <w:i/>
          <w:sz w:val="20"/>
        </w:rPr>
        <w:t>British Westinghouse Electric Co Ltd v Underground Electric Rys [1912] A.C. 673, 689, </w:t>
      </w:r>
      <w:r>
        <w:rPr>
          <w:rFonts w:ascii="Arial"/>
          <w:i/>
          <w:spacing w:val="-4"/>
          <w:sz w:val="20"/>
        </w:rPr>
        <w:t>690</w:t>
      </w:r>
      <w:r>
        <w:rPr>
          <w:spacing w:val="-4"/>
          <w:sz w:val="20"/>
        </w:rPr>
        <w:t>.</w:t>
      </w:r>
    </w:p>
    <w:p>
      <w:pPr>
        <w:pStyle w:val="BodyText"/>
        <w:spacing w:before="9"/>
      </w:pPr>
    </w:p>
    <w:p>
      <w:pPr>
        <w:spacing w:line="235" w:lineRule="auto" w:before="0"/>
        <w:ind w:left="705" w:right="167" w:hanging="541"/>
        <w:jc w:val="both"/>
        <w:rPr>
          <w:sz w:val="20"/>
        </w:rPr>
      </w:pPr>
      <w:bookmarkStart w:name="_bookmark1049" w:id="1051"/>
      <w:bookmarkEnd w:id="1051"/>
      <w:r>
        <w:rPr/>
      </w:r>
      <w:hyperlink w:history="true" w:anchor="_bookmark1008">
        <w:r>
          <w:rPr>
            <w:color w:val="005DA1"/>
            <w:position w:val="5"/>
            <w:sz w:val="14"/>
            <w:u w:val="single" w:color="005DA1"/>
          </w:rPr>
          <w:t>530</w:t>
        </w:r>
      </w:hyperlink>
      <w:r>
        <w:rPr>
          <w:position w:val="5"/>
          <w:sz w:val="14"/>
        </w:rPr>
        <w:t>.</w:t>
      </w:r>
      <w:r>
        <w:rPr>
          <w:spacing w:val="40"/>
          <w:position w:val="5"/>
          <w:sz w:val="14"/>
        </w:rPr>
        <w:t>  </w:t>
      </w:r>
      <w:r>
        <w:rPr>
          <w:rFonts w:ascii="Arial" w:hAnsi="Arial"/>
          <w:i/>
          <w:sz w:val="20"/>
        </w:rPr>
        <w:t>[1912] A.C. 673, 689</w:t>
      </w:r>
      <w:r>
        <w:rPr>
          <w:sz w:val="20"/>
        </w:rPr>
        <w:t>; </w:t>
      </w:r>
      <w:r>
        <w:rPr>
          <w:rFonts w:ascii="Arial" w:hAnsi="Arial"/>
          <w:i/>
          <w:sz w:val="20"/>
        </w:rPr>
        <w:t>Thai Airways International Public Co Ltd v KI Holdings Co Ltd </w:t>
      </w:r>
      <w:r>
        <w:rPr>
          <w:rFonts w:ascii="Arial" w:hAnsi="Arial"/>
          <w:i/>
          <w:sz w:val="20"/>
        </w:rPr>
        <w:t>[2015] EWHC 1250 (Comm) </w:t>
      </w:r>
      <w:r>
        <w:rPr>
          <w:sz w:val="20"/>
        </w:rPr>
        <w:t>at [39]–[45]. See also </w:t>
      </w:r>
      <w:r>
        <w:rPr>
          <w:rFonts w:ascii="Arial" w:hAnsi="Arial"/>
          <w:i/>
          <w:sz w:val="20"/>
        </w:rPr>
        <w:t>R. Pagnan &amp; Fratelli v Corbisa Industrial Agropacuaria Limitada [1970] 1 W.L.R. 1306 </w:t>
      </w:r>
      <w:r>
        <w:rPr>
          <w:sz w:val="20"/>
        </w:rPr>
        <w:t>(see Vol.II, para.44-396); and cf. </w:t>
      </w:r>
      <w:r>
        <w:rPr>
          <w:rFonts w:ascii="Arial" w:hAnsi="Arial"/>
          <w:i/>
          <w:sz w:val="20"/>
        </w:rPr>
        <w:t>The World Beauty [1969] P. 12</w:t>
      </w:r>
      <w:r>
        <w:rPr>
          <w:sz w:val="20"/>
        </w:rPr>
        <w:t>; affirmed in part [1970] P. 144. In contrast, in tort cases in which a property has been damaged through the defendant’s negligence, the true measure of the claimant’s loss is the diminution in the value of the property; the cost of repairs is no more than evidence of the diminution in value and the fact that the claimant has had the damage repaired at a lower cost</w:t>
      </w:r>
      <w:r>
        <w:rPr>
          <w:spacing w:val="40"/>
          <w:sz w:val="20"/>
        </w:rPr>
        <w:t> </w:t>
      </w:r>
      <w:r>
        <w:rPr>
          <w:sz w:val="20"/>
        </w:rPr>
        <w:t>is</w:t>
      </w:r>
      <w:r>
        <w:rPr>
          <w:spacing w:val="42"/>
          <w:sz w:val="20"/>
        </w:rPr>
        <w:t> </w:t>
      </w:r>
      <w:r>
        <w:rPr>
          <w:sz w:val="20"/>
        </w:rPr>
        <w:t>treated</w:t>
      </w:r>
      <w:r>
        <w:rPr>
          <w:spacing w:val="44"/>
          <w:sz w:val="20"/>
        </w:rPr>
        <w:t> </w:t>
      </w:r>
      <w:r>
        <w:rPr>
          <w:sz w:val="20"/>
        </w:rPr>
        <w:t>as</w:t>
      </w:r>
      <w:r>
        <w:rPr>
          <w:spacing w:val="44"/>
          <w:sz w:val="20"/>
        </w:rPr>
        <w:t> </w:t>
      </w:r>
      <w:r>
        <w:rPr>
          <w:sz w:val="20"/>
        </w:rPr>
        <w:t>irrelevant:</w:t>
      </w:r>
      <w:r>
        <w:rPr>
          <w:spacing w:val="44"/>
          <w:sz w:val="20"/>
        </w:rPr>
        <w:t> </w:t>
      </w:r>
      <w:r>
        <w:rPr>
          <w:rFonts w:ascii="Arial" w:hAnsi="Arial"/>
          <w:i/>
          <w:sz w:val="20"/>
        </w:rPr>
        <w:t>Coles</w:t>
      </w:r>
      <w:r>
        <w:rPr>
          <w:rFonts w:ascii="Arial" w:hAnsi="Arial"/>
          <w:i/>
          <w:spacing w:val="44"/>
          <w:sz w:val="20"/>
        </w:rPr>
        <w:t> </w:t>
      </w:r>
      <w:r>
        <w:rPr>
          <w:rFonts w:ascii="Arial" w:hAnsi="Arial"/>
          <w:i/>
          <w:sz w:val="20"/>
        </w:rPr>
        <w:t>v</w:t>
      </w:r>
      <w:r>
        <w:rPr>
          <w:rFonts w:ascii="Arial" w:hAnsi="Arial"/>
          <w:i/>
          <w:spacing w:val="44"/>
          <w:sz w:val="20"/>
        </w:rPr>
        <w:t> </w:t>
      </w:r>
      <w:r>
        <w:rPr>
          <w:rFonts w:ascii="Arial" w:hAnsi="Arial"/>
          <w:i/>
          <w:sz w:val="20"/>
        </w:rPr>
        <w:t>Hetherton</w:t>
      </w:r>
      <w:r>
        <w:rPr>
          <w:rFonts w:ascii="Arial" w:hAnsi="Arial"/>
          <w:i/>
          <w:spacing w:val="44"/>
          <w:sz w:val="20"/>
        </w:rPr>
        <w:t> </w:t>
      </w:r>
      <w:r>
        <w:rPr>
          <w:rFonts w:ascii="Arial" w:hAnsi="Arial"/>
          <w:i/>
          <w:sz w:val="20"/>
        </w:rPr>
        <w:t>[2013]</w:t>
      </w:r>
      <w:r>
        <w:rPr>
          <w:rFonts w:ascii="Arial" w:hAnsi="Arial"/>
          <w:i/>
          <w:spacing w:val="44"/>
          <w:sz w:val="20"/>
        </w:rPr>
        <w:t> </w:t>
      </w:r>
      <w:r>
        <w:rPr>
          <w:rFonts w:ascii="Arial" w:hAnsi="Arial"/>
          <w:i/>
          <w:sz w:val="20"/>
        </w:rPr>
        <w:t>EWCA</w:t>
      </w:r>
      <w:r>
        <w:rPr>
          <w:rFonts w:ascii="Arial" w:hAnsi="Arial"/>
          <w:i/>
          <w:spacing w:val="44"/>
          <w:sz w:val="20"/>
        </w:rPr>
        <w:t> </w:t>
      </w:r>
      <w:r>
        <w:rPr>
          <w:rFonts w:ascii="Arial" w:hAnsi="Arial"/>
          <w:i/>
          <w:sz w:val="20"/>
        </w:rPr>
        <w:t>Civ</w:t>
      </w:r>
      <w:r>
        <w:rPr>
          <w:rFonts w:ascii="Arial" w:hAnsi="Arial"/>
          <w:i/>
          <w:spacing w:val="44"/>
          <w:sz w:val="20"/>
        </w:rPr>
        <w:t> </w:t>
      </w:r>
      <w:r>
        <w:rPr>
          <w:rFonts w:ascii="Arial" w:hAnsi="Arial"/>
          <w:i/>
          <w:sz w:val="20"/>
        </w:rPr>
        <w:t>1704,</w:t>
      </w:r>
      <w:r>
        <w:rPr>
          <w:rFonts w:ascii="Arial" w:hAnsi="Arial"/>
          <w:i/>
          <w:spacing w:val="44"/>
          <w:sz w:val="20"/>
        </w:rPr>
        <w:t> </w:t>
      </w:r>
      <w:r>
        <w:rPr>
          <w:rFonts w:ascii="Arial" w:hAnsi="Arial"/>
          <w:i/>
          <w:sz w:val="20"/>
        </w:rPr>
        <w:t>[2014]</w:t>
      </w:r>
      <w:r>
        <w:rPr>
          <w:rFonts w:ascii="Arial" w:hAnsi="Arial"/>
          <w:i/>
          <w:spacing w:val="44"/>
          <w:sz w:val="20"/>
        </w:rPr>
        <w:t> </w:t>
      </w:r>
      <w:r>
        <w:rPr>
          <w:rFonts w:ascii="Arial" w:hAnsi="Arial"/>
          <w:i/>
          <w:sz w:val="20"/>
        </w:rPr>
        <w:t>1</w:t>
      </w:r>
      <w:r>
        <w:rPr>
          <w:rFonts w:ascii="Arial" w:hAnsi="Arial"/>
          <w:i/>
          <w:spacing w:val="44"/>
          <w:sz w:val="20"/>
        </w:rPr>
        <w:t> </w:t>
      </w:r>
      <w:r>
        <w:rPr>
          <w:rFonts w:ascii="Arial" w:hAnsi="Arial"/>
          <w:i/>
          <w:sz w:val="20"/>
        </w:rPr>
        <w:t>W.L.R.</w:t>
      </w:r>
      <w:r>
        <w:rPr>
          <w:rFonts w:ascii="Arial" w:hAnsi="Arial"/>
          <w:i/>
          <w:spacing w:val="44"/>
          <w:sz w:val="20"/>
        </w:rPr>
        <w:t> </w:t>
      </w:r>
      <w:r>
        <w:rPr>
          <w:rFonts w:ascii="Arial" w:hAnsi="Arial"/>
          <w:i/>
          <w:sz w:val="20"/>
        </w:rPr>
        <w:t>60</w:t>
      </w:r>
      <w:r>
        <w:rPr>
          <w:rFonts w:ascii="Arial" w:hAnsi="Arial"/>
          <w:i/>
          <w:spacing w:val="44"/>
          <w:sz w:val="20"/>
        </w:rPr>
        <w:t> </w:t>
      </w:r>
      <w:r>
        <w:rPr>
          <w:spacing w:val="-5"/>
          <w:sz w:val="20"/>
        </w:rPr>
        <w:t>at</w:t>
      </w:r>
    </w:p>
    <w:p>
      <w:pPr>
        <w:pStyle w:val="BodyText"/>
        <w:spacing w:line="223" w:lineRule="exact"/>
        <w:ind w:left="705"/>
      </w:pPr>
      <w:r>
        <w:rPr>
          <w:spacing w:val="-2"/>
        </w:rPr>
        <w:t>[28]–[29].</w:t>
      </w:r>
    </w:p>
    <w:p>
      <w:pPr>
        <w:pStyle w:val="BodyText"/>
        <w:spacing w:before="9"/>
      </w:pPr>
    </w:p>
    <w:p>
      <w:pPr>
        <w:spacing w:line="235" w:lineRule="auto" w:before="0"/>
        <w:ind w:left="705" w:right="168" w:hanging="541"/>
        <w:jc w:val="both"/>
        <w:rPr>
          <w:sz w:val="20"/>
        </w:rPr>
      </w:pPr>
      <w:bookmarkStart w:name="_bookmark1050" w:id="1052"/>
      <w:bookmarkEnd w:id="1052"/>
      <w:r>
        <w:rPr/>
      </w:r>
      <w:hyperlink w:history="true" w:anchor="_bookmark1009">
        <w:r>
          <w:rPr>
            <w:color w:val="005DA1"/>
            <w:position w:val="5"/>
            <w:sz w:val="14"/>
            <w:u w:val="single" w:color="005DA1"/>
          </w:rPr>
          <w:t>531</w:t>
        </w:r>
      </w:hyperlink>
      <w:r>
        <w:rPr>
          <w:position w:val="5"/>
          <w:sz w:val="14"/>
        </w:rPr>
        <w:t>.</w:t>
      </w:r>
      <w:r>
        <w:rPr>
          <w:spacing w:val="80"/>
          <w:w w:val="150"/>
          <w:position w:val="5"/>
          <w:sz w:val="14"/>
        </w:rPr>
        <w:t> </w:t>
      </w:r>
      <w:r>
        <w:rPr>
          <w:sz w:val="20"/>
        </w:rPr>
        <w:t>The amount of “avoided loss” to be deducted from his damages will be his </w:t>
      </w:r>
      <w:r>
        <w:rPr>
          <w:rFonts w:ascii="Arial" w:hAnsi="Arial"/>
          <w:i/>
          <w:sz w:val="20"/>
        </w:rPr>
        <w:t>net </w:t>
      </w:r>
      <w:r>
        <w:rPr>
          <w:sz w:val="20"/>
        </w:rPr>
        <w:t>gain </w:t>
      </w:r>
      <w:r>
        <w:rPr>
          <w:sz w:val="20"/>
        </w:rPr>
        <w:t>after deducting his reasonable expenses in earning the gross gain: </w:t>
      </w:r>
      <w:r>
        <w:rPr>
          <w:rFonts w:ascii="Arial" w:hAnsi="Arial"/>
          <w:i/>
          <w:sz w:val="20"/>
        </w:rPr>
        <w:t>Westwood v Secretary of State for Employment [1985] A.C. 20, 44</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4448">
            <wp:simplePos x="0" y="0"/>
            <wp:positionH relativeFrom="page">
              <wp:posOffset>1257846</wp:posOffset>
            </wp:positionH>
            <wp:positionV relativeFrom="paragraph">
              <wp:posOffset>160332</wp:posOffset>
            </wp:positionV>
            <wp:extent cx="107988" cy="107988"/>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51" w:id="1053"/>
      <w:bookmarkEnd w:id="1053"/>
      <w:r>
        <w:rPr/>
      </w:r>
      <w:hyperlink w:history="true" w:anchor="_bookmark1010">
        <w:r>
          <w:rPr>
            <w:color w:val="005DA1"/>
            <w:spacing w:val="-4"/>
            <w:sz w:val="14"/>
            <w:u w:val="single" w:color="005DA1"/>
          </w:rPr>
          <w:t>532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Hussey v Eels [1990] 2 Q.B. 227 CA ((pet. dis.) [1990] 1 W.L.R. 414) </w:t>
      </w:r>
      <w:r>
        <w:rPr>
          <w:sz w:val="20"/>
        </w:rPr>
        <w:t>(induced by defendant’s misrepresentation, plaintiff bought and lived in a defective house for over two years, before reselling it at a profit to a developer: held, the resale profit arose from an independent transaction, and should not be taken into account in assessing the damages payable </w:t>
      </w:r>
      <w:r>
        <w:rPr>
          <w:sz w:val="20"/>
        </w:rPr>
        <w:t>by defendant); </w:t>
      </w:r>
      <w:r>
        <w:rPr>
          <w:rFonts w:ascii="Arial" w:hAnsi="Arial"/>
          <w:i/>
          <w:sz w:val="20"/>
        </w:rPr>
        <w:t>Needler Financial Services Ltd v Taber [2002] 3 All E.R. 501</w:t>
      </w:r>
      <w:r>
        <w:rPr>
          <w:sz w:val="20"/>
        </w:rPr>
        <w:t>. The authorities were analysed and helpfully summarised by Popplewell J. in </w:t>
      </w:r>
      <w:r>
        <w:rPr>
          <w:rFonts w:ascii="Arial" w:hAnsi="Arial"/>
          <w:i/>
          <w:sz w:val="20"/>
        </w:rPr>
        <w:t>Fulton Shipping Inc of Panama v Globalia Business Travel SAU [2014] EWHC 1547 (Comm)</w:t>
      </w:r>
      <w:r>
        <w:rPr>
          <w:sz w:val="20"/>
        </w:rPr>
        <w:t>, see below, para.26-099.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spacing w:line="235" w:lineRule="auto" w:before="0"/>
        <w:ind w:left="705" w:right="167" w:hanging="541"/>
        <w:jc w:val="both"/>
        <w:rPr>
          <w:rFonts w:ascii="Arial" w:hAnsi="Arial"/>
          <w:i/>
          <w:sz w:val="20"/>
        </w:rPr>
      </w:pPr>
      <w:bookmarkStart w:name="_bookmark1052" w:id="1054"/>
      <w:bookmarkEnd w:id="1054"/>
      <w:r>
        <w:rPr/>
      </w:r>
      <w:hyperlink w:history="true" w:anchor="_bookmark1011">
        <w:r>
          <w:rPr>
            <w:color w:val="005DA1"/>
            <w:position w:val="5"/>
            <w:sz w:val="14"/>
            <w:u w:val="single" w:color="005DA1"/>
          </w:rPr>
          <w:t>533</w:t>
        </w:r>
      </w:hyperlink>
      <w:r>
        <w:rPr>
          <w:position w:val="5"/>
          <w:sz w:val="14"/>
        </w:rPr>
        <w:t>.</w:t>
      </w:r>
      <w:r>
        <w:rPr>
          <w:spacing w:val="80"/>
          <w:w w:val="150"/>
          <w:position w:val="5"/>
          <w:sz w:val="14"/>
        </w:rPr>
        <w:t> </w:t>
      </w:r>
      <w:r>
        <w:rPr>
          <w:rFonts w:ascii="Arial" w:hAnsi="Arial"/>
          <w:i/>
          <w:sz w:val="20"/>
        </w:rPr>
        <w:t>British Westinghouse case [1912] A.C. 673 </w:t>
      </w:r>
      <w:r>
        <w:rPr>
          <w:sz w:val="20"/>
        </w:rPr>
        <w:t>(and see Vol.II, para.44-414). See also </w:t>
      </w:r>
      <w:r>
        <w:rPr>
          <w:rFonts w:ascii="Arial" w:hAnsi="Arial"/>
          <w:i/>
          <w:sz w:val="20"/>
        </w:rPr>
        <w:t>Dalwood Marine Co v Nordana Line SA [2009] EWHC 3394 (Comm) </w:t>
      </w:r>
      <w:r>
        <w:rPr>
          <w:sz w:val="20"/>
        </w:rPr>
        <w:t>(substitute charter reduced loss to nil;</w:t>
      </w:r>
      <w:r>
        <w:rPr>
          <w:spacing w:val="-1"/>
          <w:sz w:val="20"/>
        </w:rPr>
        <w:t> </w:t>
      </w:r>
      <w:r>
        <w:rPr>
          <w:sz w:val="20"/>
        </w:rPr>
        <w:t>earnings</w:t>
      </w:r>
      <w:r>
        <w:rPr>
          <w:spacing w:val="-1"/>
          <w:sz w:val="20"/>
        </w:rPr>
        <w:t> </w:t>
      </w:r>
      <w:r>
        <w:rPr>
          <w:sz w:val="20"/>
        </w:rPr>
        <w:t>after</w:t>
      </w:r>
      <w:r>
        <w:rPr>
          <w:spacing w:val="-1"/>
          <w:sz w:val="20"/>
        </w:rPr>
        <w:t> </w:t>
      </w:r>
      <w:r>
        <w:rPr>
          <w:sz w:val="20"/>
        </w:rPr>
        <w:t>date</w:t>
      </w:r>
      <w:r>
        <w:rPr>
          <w:spacing w:val="-1"/>
          <w:sz w:val="20"/>
        </w:rPr>
        <w:t> </w:t>
      </w:r>
      <w:r>
        <w:rPr>
          <w:sz w:val="20"/>
        </w:rPr>
        <w:t>ship</w:t>
      </w:r>
      <w:r>
        <w:rPr>
          <w:spacing w:val="-1"/>
          <w:sz w:val="20"/>
        </w:rPr>
        <w:t> </w:t>
      </w:r>
      <w:r>
        <w:rPr>
          <w:sz w:val="20"/>
        </w:rPr>
        <w:t>should</w:t>
      </w:r>
      <w:r>
        <w:rPr>
          <w:spacing w:val="-1"/>
          <w:sz w:val="20"/>
        </w:rPr>
        <w:t> </w:t>
      </w:r>
      <w:r>
        <w:rPr>
          <w:sz w:val="20"/>
        </w:rPr>
        <w:t>have</w:t>
      </w:r>
      <w:r>
        <w:rPr>
          <w:spacing w:val="-1"/>
          <w:sz w:val="20"/>
        </w:rPr>
        <w:t> </w:t>
      </w:r>
      <w:r>
        <w:rPr>
          <w:sz w:val="20"/>
        </w:rPr>
        <w:t>been</w:t>
      </w:r>
      <w:r>
        <w:rPr>
          <w:spacing w:val="-1"/>
          <w:sz w:val="20"/>
        </w:rPr>
        <w:t> </w:t>
      </w:r>
      <w:r>
        <w:rPr>
          <w:sz w:val="20"/>
        </w:rPr>
        <w:t>redelivered</w:t>
      </w:r>
      <w:r>
        <w:rPr>
          <w:spacing w:val="-1"/>
          <w:sz w:val="20"/>
        </w:rPr>
        <w:t> </w:t>
      </w:r>
      <w:r>
        <w:rPr>
          <w:sz w:val="20"/>
        </w:rPr>
        <w:t>can</w:t>
      </w:r>
      <w:r>
        <w:rPr>
          <w:spacing w:val="-1"/>
          <w:sz w:val="20"/>
        </w:rPr>
        <w:t> </w:t>
      </w:r>
      <w:r>
        <w:rPr>
          <w:sz w:val="20"/>
        </w:rPr>
        <w:t>be</w:t>
      </w:r>
      <w:r>
        <w:rPr>
          <w:spacing w:val="-1"/>
          <w:sz w:val="20"/>
        </w:rPr>
        <w:t> </w:t>
      </w:r>
      <w:r>
        <w:rPr>
          <w:sz w:val="20"/>
        </w:rPr>
        <w:t>taken</w:t>
      </w:r>
      <w:r>
        <w:rPr>
          <w:spacing w:val="-1"/>
          <w:sz w:val="20"/>
        </w:rPr>
        <w:t> </w:t>
      </w:r>
      <w:r>
        <w:rPr>
          <w:sz w:val="20"/>
        </w:rPr>
        <w:t>into</w:t>
      </w:r>
      <w:r>
        <w:rPr>
          <w:spacing w:val="-1"/>
          <w:sz w:val="20"/>
        </w:rPr>
        <w:t> </w:t>
      </w:r>
      <w:r>
        <w:rPr>
          <w:sz w:val="20"/>
        </w:rPr>
        <w:t>account</w:t>
      </w:r>
      <w:r>
        <w:rPr>
          <w:spacing w:val="-1"/>
          <w:sz w:val="20"/>
        </w:rPr>
        <w:t> </w:t>
      </w:r>
      <w:r>
        <w:rPr>
          <w:sz w:val="20"/>
        </w:rPr>
        <w:t>if</w:t>
      </w:r>
      <w:r>
        <w:rPr>
          <w:spacing w:val="-1"/>
          <w:sz w:val="20"/>
        </w:rPr>
        <w:t> </w:t>
      </w:r>
      <w:r>
        <w:rPr>
          <w:sz w:val="20"/>
        </w:rPr>
        <w:t>could</w:t>
      </w:r>
      <w:r>
        <w:rPr>
          <w:spacing w:val="-1"/>
          <w:sz w:val="20"/>
        </w:rPr>
        <w:t> </w:t>
      </w:r>
      <w:r>
        <w:rPr>
          <w:sz w:val="20"/>
        </w:rPr>
        <w:t>not have been earned had contract not been broken). (The principle was applied in the tort case of </w:t>
      </w:r>
      <w:r>
        <w:rPr>
          <w:rFonts w:ascii="Arial" w:hAnsi="Arial"/>
          <w:i/>
          <w:sz w:val="20"/>
        </w:rPr>
        <w:t>Dimond v Lovell [2002] 1 A.C. 384, 402–403</w:t>
      </w:r>
      <w:r>
        <w:rPr>
          <w:sz w:val="20"/>
        </w:rPr>
        <w:t>.) See also </w:t>
      </w:r>
      <w:r>
        <w:rPr>
          <w:rFonts w:ascii="Arial" w:hAnsi="Arial"/>
          <w:i/>
          <w:sz w:val="20"/>
        </w:rPr>
        <w:t>Erie County Natural Gas Co v Carroll [1911]</w:t>
      </w:r>
      <w:r>
        <w:rPr>
          <w:rFonts w:ascii="Arial" w:hAnsi="Arial"/>
          <w:i/>
          <w:spacing w:val="10"/>
          <w:sz w:val="20"/>
        </w:rPr>
        <w:t> </w:t>
      </w:r>
      <w:r>
        <w:rPr>
          <w:rFonts w:ascii="Arial" w:hAnsi="Arial"/>
          <w:i/>
          <w:sz w:val="20"/>
        </w:rPr>
        <w:t>A.C.</w:t>
      </w:r>
      <w:r>
        <w:rPr>
          <w:rFonts w:ascii="Arial" w:hAnsi="Arial"/>
          <w:i/>
          <w:spacing w:val="11"/>
          <w:sz w:val="20"/>
        </w:rPr>
        <w:t> </w:t>
      </w:r>
      <w:r>
        <w:rPr>
          <w:rFonts w:ascii="Arial" w:hAnsi="Arial"/>
          <w:i/>
          <w:sz w:val="20"/>
        </w:rPr>
        <w:t>105</w:t>
      </w:r>
      <w:r>
        <w:rPr>
          <w:sz w:val="20"/>
        </w:rPr>
        <w:t>;</w:t>
      </w:r>
      <w:r>
        <w:rPr>
          <w:spacing w:val="11"/>
          <w:sz w:val="20"/>
        </w:rPr>
        <w:t> </w:t>
      </w:r>
      <w:r>
        <w:rPr>
          <w:rFonts w:ascii="Arial" w:hAnsi="Arial"/>
          <w:i/>
          <w:sz w:val="20"/>
        </w:rPr>
        <w:t>Hill</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Showell</w:t>
      </w:r>
      <w:r>
        <w:rPr>
          <w:rFonts w:ascii="Arial" w:hAnsi="Arial"/>
          <w:i/>
          <w:spacing w:val="11"/>
          <w:sz w:val="20"/>
        </w:rPr>
        <w:t> </w:t>
      </w:r>
      <w:r>
        <w:rPr>
          <w:rFonts w:ascii="Arial" w:hAnsi="Arial"/>
          <w:i/>
          <w:sz w:val="20"/>
        </w:rPr>
        <w:t>(1918)</w:t>
      </w:r>
      <w:r>
        <w:rPr>
          <w:rFonts w:ascii="Arial" w:hAnsi="Arial"/>
          <w:i/>
          <w:spacing w:val="11"/>
          <w:sz w:val="20"/>
        </w:rPr>
        <w:t> </w:t>
      </w:r>
      <w:r>
        <w:rPr>
          <w:rFonts w:ascii="Arial" w:hAnsi="Arial"/>
          <w:i/>
          <w:sz w:val="20"/>
        </w:rPr>
        <w:t>87</w:t>
      </w:r>
      <w:r>
        <w:rPr>
          <w:rFonts w:ascii="Arial" w:hAnsi="Arial"/>
          <w:i/>
          <w:spacing w:val="11"/>
          <w:sz w:val="20"/>
        </w:rPr>
        <w:t> </w:t>
      </w:r>
      <w:r>
        <w:rPr>
          <w:rFonts w:ascii="Arial" w:hAnsi="Arial"/>
          <w:i/>
          <w:sz w:val="20"/>
        </w:rPr>
        <w:t>L.J.K.B.</w:t>
      </w:r>
      <w:r>
        <w:rPr>
          <w:rFonts w:ascii="Arial" w:hAnsi="Arial"/>
          <w:i/>
          <w:spacing w:val="10"/>
          <w:sz w:val="20"/>
        </w:rPr>
        <w:t> </w:t>
      </w:r>
      <w:r>
        <w:rPr>
          <w:rFonts w:ascii="Arial" w:hAnsi="Arial"/>
          <w:i/>
          <w:sz w:val="20"/>
        </w:rPr>
        <w:t>1106</w:t>
      </w:r>
      <w:r>
        <w:rPr>
          <w:sz w:val="20"/>
        </w:rPr>
        <w:t>;</w:t>
      </w:r>
      <w:r>
        <w:rPr>
          <w:spacing w:val="11"/>
          <w:sz w:val="20"/>
        </w:rPr>
        <w:t> </w:t>
      </w:r>
      <w:r>
        <w:rPr>
          <w:rFonts w:ascii="Arial" w:hAnsi="Arial"/>
          <w:i/>
          <w:sz w:val="20"/>
        </w:rPr>
        <w:t>Nadreph</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Willmett</w:t>
      </w:r>
      <w:r>
        <w:rPr>
          <w:rFonts w:ascii="Arial" w:hAnsi="Arial"/>
          <w:i/>
          <w:spacing w:val="11"/>
          <w:sz w:val="20"/>
        </w:rPr>
        <w:t> </w:t>
      </w:r>
      <w:r>
        <w:rPr>
          <w:rFonts w:ascii="Arial" w:hAnsi="Arial"/>
          <w:i/>
          <w:sz w:val="20"/>
        </w:rPr>
        <w:t>&amp;</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[1978]</w:t>
      </w:r>
      <w:r>
        <w:rPr>
          <w:rFonts w:ascii="Arial" w:hAnsi="Arial"/>
          <w:i/>
          <w:spacing w:val="11"/>
          <w:sz w:val="20"/>
        </w:rPr>
        <w:t> </w:t>
      </w:r>
      <w:r>
        <w:rPr>
          <w:rFonts w:ascii="Arial" w:hAnsi="Arial"/>
          <w:i/>
          <w:spacing w:val="-10"/>
          <w:sz w:val="20"/>
        </w:rPr>
        <w:t>1</w:t>
      </w:r>
    </w:p>
    <w:p>
      <w:pPr>
        <w:spacing w:line="235" w:lineRule="auto" w:before="0"/>
        <w:ind w:left="705" w:right="167" w:firstLine="0"/>
        <w:jc w:val="both"/>
        <w:rPr>
          <w:sz w:val="20"/>
        </w:rPr>
      </w:pPr>
      <w:r>
        <w:rPr>
          <w:rFonts w:ascii="Arial"/>
          <w:i/>
          <w:sz w:val="20"/>
        </w:rPr>
        <w:t>W.L.R.</w:t>
      </w:r>
      <w:r>
        <w:rPr>
          <w:rFonts w:ascii="Arial"/>
          <w:i/>
          <w:spacing w:val="-1"/>
          <w:sz w:val="20"/>
        </w:rPr>
        <w:t> </w:t>
      </w:r>
      <w:r>
        <w:rPr>
          <w:rFonts w:ascii="Arial"/>
          <w:i/>
          <w:sz w:val="20"/>
        </w:rPr>
        <w:t>1537</w:t>
      </w:r>
      <w:r>
        <w:rPr>
          <w:sz w:val="20"/>
        </w:rPr>
        <w:t>;</w:t>
      </w:r>
      <w:r>
        <w:rPr>
          <w:spacing w:val="-1"/>
          <w:sz w:val="20"/>
        </w:rPr>
        <w:t> </w:t>
      </w:r>
      <w:r>
        <w:rPr>
          <w:rFonts w:ascii="Arial"/>
          <w:i/>
          <w:sz w:val="20"/>
        </w:rPr>
        <w:t>Levison</w:t>
      </w:r>
      <w:r>
        <w:rPr>
          <w:rFonts w:ascii="Arial"/>
          <w:i/>
          <w:spacing w:val="-1"/>
          <w:sz w:val="20"/>
        </w:rPr>
        <w:t> </w:t>
      </w:r>
      <w:r>
        <w:rPr>
          <w:rFonts w:ascii="Arial"/>
          <w:i/>
          <w:sz w:val="20"/>
        </w:rPr>
        <w:t>v</w:t>
      </w:r>
      <w:r>
        <w:rPr>
          <w:rFonts w:ascii="Arial"/>
          <w:i/>
          <w:spacing w:val="-1"/>
          <w:sz w:val="20"/>
        </w:rPr>
        <w:t> </w:t>
      </w:r>
      <w:r>
        <w:rPr>
          <w:rFonts w:ascii="Arial"/>
          <w:i/>
          <w:sz w:val="20"/>
        </w:rPr>
        <w:t>Farin</w:t>
      </w:r>
      <w:r>
        <w:rPr>
          <w:rFonts w:ascii="Arial"/>
          <w:i/>
          <w:spacing w:val="-1"/>
          <w:sz w:val="20"/>
        </w:rPr>
        <w:t> </w:t>
      </w:r>
      <w:r>
        <w:rPr>
          <w:rFonts w:ascii="Arial"/>
          <w:i/>
          <w:sz w:val="20"/>
        </w:rPr>
        <w:t>[1978]</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1149</w:t>
      </w:r>
      <w:r>
        <w:rPr>
          <w:rFonts w:ascii="Arial"/>
          <w:i/>
          <w:spacing w:val="-1"/>
          <w:sz w:val="20"/>
        </w:rPr>
        <w:t> </w:t>
      </w:r>
      <w:r>
        <w:rPr>
          <w:sz w:val="20"/>
        </w:rPr>
        <w:t>(the</w:t>
      </w:r>
      <w:r>
        <w:rPr>
          <w:spacing w:val="-1"/>
          <w:sz w:val="20"/>
        </w:rPr>
        <w:t> </w:t>
      </w:r>
      <w:r>
        <w:rPr>
          <w:sz w:val="20"/>
        </w:rPr>
        <w:t>breach</w:t>
      </w:r>
      <w:r>
        <w:rPr>
          <w:spacing w:val="-1"/>
          <w:sz w:val="20"/>
        </w:rPr>
        <w:t> </w:t>
      </w:r>
      <w:r>
        <w:rPr>
          <w:sz w:val="20"/>
        </w:rPr>
        <w:t>of</w:t>
      </w:r>
      <w:r>
        <w:rPr>
          <w:spacing w:val="-1"/>
          <w:sz w:val="20"/>
        </w:rPr>
        <w:t> </w:t>
      </w:r>
      <w:r>
        <w:rPr>
          <w:sz w:val="20"/>
        </w:rPr>
        <w:t>contract</w:t>
      </w:r>
      <w:r>
        <w:rPr>
          <w:spacing w:val="-1"/>
          <w:sz w:val="20"/>
        </w:rPr>
        <w:t> </w:t>
      </w:r>
      <w:r>
        <w:rPr>
          <w:sz w:val="20"/>
        </w:rPr>
        <w:t>resulted</w:t>
      </w:r>
      <w:r>
        <w:rPr>
          <w:spacing w:val="-1"/>
          <w:sz w:val="20"/>
        </w:rPr>
        <w:t> </w:t>
      </w:r>
      <w:r>
        <w:rPr>
          <w:sz w:val="20"/>
        </w:rPr>
        <w:t>in</w:t>
      </w:r>
      <w:r>
        <w:rPr>
          <w:spacing w:val="-1"/>
          <w:sz w:val="20"/>
        </w:rPr>
        <w:t> </w:t>
      </w:r>
      <w:r>
        <w:rPr>
          <w:sz w:val="20"/>
        </w:rPr>
        <w:t>a</w:t>
      </w:r>
      <w:r>
        <w:rPr>
          <w:spacing w:val="-1"/>
          <w:sz w:val="20"/>
        </w:rPr>
        <w:t> </w:t>
      </w:r>
      <w:r>
        <w:rPr>
          <w:sz w:val="20"/>
        </w:rPr>
        <w:t>trading loss, which enabled the innocent party to claim a reduction in tax on subsequent profits: the </w:t>
      </w:r>
      <w:r>
        <w:rPr>
          <w:sz w:val="20"/>
        </w:rPr>
        <w:t>tax benefit</w:t>
      </w:r>
      <w:r>
        <w:rPr>
          <w:spacing w:val="-1"/>
          <w:sz w:val="20"/>
        </w:rPr>
        <w:t> </w:t>
      </w:r>
      <w:r>
        <w:rPr>
          <w:sz w:val="20"/>
        </w:rPr>
        <w:t>was</w:t>
      </w:r>
      <w:r>
        <w:rPr>
          <w:spacing w:val="-1"/>
          <w:sz w:val="20"/>
        </w:rPr>
        <w:t> </w:t>
      </w:r>
      <w:r>
        <w:rPr>
          <w:sz w:val="20"/>
        </w:rPr>
        <w:t>deducted</w:t>
      </w:r>
      <w:r>
        <w:rPr>
          <w:spacing w:val="-1"/>
          <w:sz w:val="20"/>
        </w:rPr>
        <w:t> </w:t>
      </w:r>
      <w:r>
        <w:rPr>
          <w:sz w:val="20"/>
        </w:rPr>
        <w:t>from</w:t>
      </w:r>
      <w:r>
        <w:rPr>
          <w:spacing w:val="-1"/>
          <w:sz w:val="20"/>
        </w:rPr>
        <w:t> </w:t>
      </w:r>
      <w:r>
        <w:rPr>
          <w:sz w:val="20"/>
        </w:rPr>
        <w:t>the</w:t>
      </w:r>
      <w:r>
        <w:rPr>
          <w:spacing w:val="-1"/>
          <w:sz w:val="20"/>
        </w:rPr>
        <w:t> </w:t>
      </w:r>
      <w:r>
        <w:rPr>
          <w:sz w:val="20"/>
        </w:rPr>
        <w:t>damages).</w:t>
      </w:r>
      <w:r>
        <w:rPr>
          <w:spacing w:val="-1"/>
          <w:sz w:val="20"/>
        </w:rPr>
        <w:t> </w:t>
      </w:r>
      <w:r>
        <w:rPr>
          <w:sz w:val="20"/>
        </w:rPr>
        <w:t>cf.</w:t>
      </w:r>
      <w:r>
        <w:rPr>
          <w:spacing w:val="-1"/>
          <w:sz w:val="20"/>
        </w:rPr>
        <w:t> </w:t>
      </w:r>
      <w:r>
        <w:rPr>
          <w:rFonts w:ascii="Arial"/>
          <w:i/>
          <w:sz w:val="20"/>
        </w:rPr>
        <w:t>Bellingham</w:t>
      </w:r>
      <w:r>
        <w:rPr>
          <w:rFonts w:ascii="Arial"/>
          <w:i/>
          <w:spacing w:val="-1"/>
          <w:sz w:val="20"/>
        </w:rPr>
        <w:t> </w:t>
      </w:r>
      <w:r>
        <w:rPr>
          <w:rFonts w:ascii="Arial"/>
          <w:i/>
          <w:sz w:val="20"/>
        </w:rPr>
        <w:t>v</w:t>
      </w:r>
      <w:r>
        <w:rPr>
          <w:rFonts w:ascii="Arial"/>
          <w:i/>
          <w:spacing w:val="-1"/>
          <w:sz w:val="20"/>
        </w:rPr>
        <w:t> </w:t>
      </w:r>
      <w:r>
        <w:rPr>
          <w:rFonts w:ascii="Arial"/>
          <w:i/>
          <w:sz w:val="20"/>
        </w:rPr>
        <w:t>Dhillon</w:t>
      </w:r>
      <w:r>
        <w:rPr>
          <w:rFonts w:ascii="Arial"/>
          <w:i/>
          <w:spacing w:val="-1"/>
          <w:sz w:val="20"/>
        </w:rPr>
        <w:t> </w:t>
      </w:r>
      <w:r>
        <w:rPr>
          <w:rFonts w:ascii="Arial"/>
          <w:i/>
          <w:sz w:val="20"/>
        </w:rPr>
        <w:t>[1973]</w:t>
      </w:r>
      <w:r>
        <w:rPr>
          <w:rFonts w:ascii="Arial"/>
          <w:i/>
          <w:spacing w:val="-1"/>
          <w:sz w:val="20"/>
        </w:rPr>
        <w:t> </w:t>
      </w:r>
      <w:r>
        <w:rPr>
          <w:rFonts w:ascii="Arial"/>
          <w:i/>
          <w:sz w:val="20"/>
        </w:rPr>
        <w:t>Q.B.</w:t>
      </w:r>
      <w:r>
        <w:rPr>
          <w:rFonts w:ascii="Arial"/>
          <w:i/>
          <w:spacing w:val="-1"/>
          <w:sz w:val="20"/>
        </w:rPr>
        <w:t> </w:t>
      </w:r>
      <w:r>
        <w:rPr>
          <w:rFonts w:ascii="Arial"/>
          <w:i/>
          <w:sz w:val="20"/>
        </w:rPr>
        <w:t>304</w:t>
      </w:r>
      <w:r>
        <w:rPr>
          <w:rFonts w:ascii="Arial"/>
          <w:i/>
          <w:spacing w:val="-1"/>
          <w:sz w:val="20"/>
        </w:rPr>
        <w:t> </w:t>
      </w:r>
      <w:r>
        <w:rPr>
          <w:sz w:val="20"/>
        </w:rPr>
        <w:t>(approved</w:t>
      </w:r>
      <w:r>
        <w:rPr>
          <w:spacing w:val="-1"/>
          <w:sz w:val="20"/>
        </w:rPr>
        <w:t> </w:t>
      </w:r>
      <w:r>
        <w:rPr>
          <w:sz w:val="20"/>
        </w:rPr>
        <w:t>in </w:t>
      </w:r>
      <w:r>
        <w:rPr>
          <w:rFonts w:ascii="Arial"/>
          <w:i/>
          <w:sz w:val="20"/>
        </w:rPr>
        <w:t>Dimond v Lovell [2002] 1 A.C. 384, 402)</w:t>
      </w:r>
      <w:r>
        <w:rPr>
          <w:sz w:val="20"/>
        </w:rPr>
        <w:t>.</w:t>
      </w:r>
    </w:p>
    <w:p>
      <w:pPr>
        <w:pStyle w:val="BodyText"/>
        <w:spacing w:before="3"/>
      </w:pPr>
    </w:p>
    <w:p>
      <w:pPr>
        <w:tabs>
          <w:tab w:pos="705" w:val="left" w:leader="none"/>
        </w:tabs>
        <w:spacing w:before="0"/>
        <w:ind w:left="165" w:right="0" w:firstLine="0"/>
        <w:jc w:val="left"/>
        <w:rPr>
          <w:sz w:val="20"/>
        </w:rPr>
      </w:pPr>
      <w:bookmarkStart w:name="_bookmark1053" w:id="1055"/>
      <w:bookmarkEnd w:id="1055"/>
      <w:r>
        <w:rPr/>
      </w:r>
      <w:hyperlink w:history="true" w:anchor="_bookmark1012">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W. L. Thompson Ltd v Robinson (Gunmakers) Ltd [1955] Ch. </w:t>
      </w:r>
      <w:r>
        <w:rPr>
          <w:rFonts w:ascii="Arial"/>
          <w:i/>
          <w:spacing w:val="-4"/>
          <w:sz w:val="20"/>
        </w:rPr>
        <w:t>177</w:t>
      </w:r>
      <w:r>
        <w:rPr>
          <w:spacing w:val="-4"/>
          <w:sz w:val="20"/>
        </w:rPr>
        <w:t>.</w:t>
      </w:r>
    </w:p>
    <w:p>
      <w:pPr>
        <w:pStyle w:val="BodyText"/>
        <w:spacing w:before="8"/>
      </w:pPr>
    </w:p>
    <w:p>
      <w:pPr>
        <w:spacing w:line="235" w:lineRule="auto" w:before="1"/>
        <w:ind w:left="705" w:right="168" w:hanging="541"/>
        <w:jc w:val="both"/>
        <w:rPr>
          <w:sz w:val="20"/>
        </w:rPr>
      </w:pPr>
      <w:bookmarkStart w:name="_bookmark1054" w:id="1056"/>
      <w:bookmarkEnd w:id="1056"/>
      <w:r>
        <w:rPr/>
      </w:r>
      <w:hyperlink w:history="true" w:anchor="_bookmark1012">
        <w:r>
          <w:rPr>
            <w:color w:val="005DA1"/>
            <w:position w:val="5"/>
            <w:sz w:val="14"/>
            <w:u w:val="single" w:color="005DA1"/>
          </w:rPr>
          <w:t>535</w:t>
        </w:r>
      </w:hyperlink>
      <w:r>
        <w:rPr>
          <w:position w:val="5"/>
          <w:sz w:val="14"/>
        </w:rPr>
        <w:t>.</w:t>
      </w:r>
      <w:r>
        <w:rPr>
          <w:spacing w:val="80"/>
          <w:position w:val="5"/>
          <w:sz w:val="14"/>
        </w:rPr>
        <w:t>  </w:t>
      </w:r>
      <w:r>
        <w:rPr>
          <w:rFonts w:ascii="Arial" w:hAnsi="Arial"/>
          <w:i/>
          <w:sz w:val="20"/>
        </w:rPr>
        <w:t>Interoffice Telephones Ltd v Robert Freeman Co Ltd [1958] 1 Q.B. 190</w:t>
      </w:r>
      <w:r>
        <w:rPr>
          <w:sz w:val="20"/>
        </w:rPr>
        <w:t>; </w:t>
      </w:r>
      <w:r>
        <w:rPr>
          <w:rFonts w:ascii="Arial" w:hAnsi="Arial"/>
          <w:i/>
          <w:sz w:val="20"/>
        </w:rPr>
        <w:t>Robophone </w:t>
      </w:r>
      <w:r>
        <w:rPr>
          <w:rFonts w:ascii="Arial" w:hAnsi="Arial"/>
          <w:i/>
          <w:sz w:val="20"/>
        </w:rPr>
        <w:t>Facilities Ltd v Blank [1966] 1 W.L.R. 1428 </w:t>
      </w:r>
      <w:r>
        <w:rPr>
          <w:sz w:val="20"/>
        </w:rPr>
        <w:t>(below, Vol.II, para.39-319). On damages for loss of profits under a hire-purchase agreement, see Vol.II, paras 39-347—39-350.</w:t>
      </w:r>
    </w:p>
    <w:p>
      <w:pPr>
        <w:pStyle w:val="BodyText"/>
        <w:spacing w:before="4"/>
      </w:pPr>
    </w:p>
    <w:p>
      <w:pPr>
        <w:tabs>
          <w:tab w:pos="705" w:val="left" w:leader="none"/>
        </w:tabs>
        <w:spacing w:before="1"/>
        <w:ind w:left="165" w:right="0" w:firstLine="0"/>
        <w:jc w:val="left"/>
        <w:rPr>
          <w:sz w:val="20"/>
        </w:rPr>
      </w:pPr>
      <w:bookmarkStart w:name="_bookmark1055" w:id="1057"/>
      <w:bookmarkEnd w:id="1057"/>
      <w:r>
        <w:rPr/>
      </w:r>
      <w:hyperlink w:history="true" w:anchor="_bookmark1013">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Re Vic Mill Ltd [1913] 1 Ch. </w:t>
      </w:r>
      <w:r>
        <w:rPr>
          <w:rFonts w:ascii="Arial"/>
          <w:i/>
          <w:spacing w:val="-4"/>
          <w:sz w:val="20"/>
        </w:rPr>
        <w:t>465</w:t>
      </w:r>
      <w:r>
        <w:rPr>
          <w:spacing w:val="-4"/>
          <w:sz w:val="20"/>
        </w:rPr>
        <w:t>.</w:t>
      </w:r>
    </w:p>
    <w:p>
      <w:pPr>
        <w:pStyle w:val="BodyText"/>
        <w:spacing w:before="8"/>
      </w:pPr>
    </w:p>
    <w:p>
      <w:pPr>
        <w:pStyle w:val="BodyText"/>
        <w:spacing w:line="235" w:lineRule="auto"/>
        <w:ind w:left="705" w:right="167" w:hanging="541"/>
        <w:jc w:val="both"/>
      </w:pPr>
      <w:bookmarkStart w:name="_bookmark1056" w:id="1058"/>
      <w:bookmarkEnd w:id="1058"/>
      <w:r>
        <w:rPr/>
      </w:r>
      <w:hyperlink w:history="true" w:anchor="_bookmark1014">
        <w:r>
          <w:rPr>
            <w:color w:val="005DA1"/>
            <w:position w:val="5"/>
            <w:sz w:val="14"/>
            <w:u w:val="single" w:color="005DA1"/>
          </w:rPr>
          <w:t>537</w:t>
        </w:r>
      </w:hyperlink>
      <w:r>
        <w:rPr>
          <w:position w:val="5"/>
          <w:sz w:val="14"/>
        </w:rPr>
        <w:t>.</w:t>
      </w:r>
      <w:r>
        <w:rPr>
          <w:spacing w:val="80"/>
          <w:position w:val="5"/>
          <w:sz w:val="14"/>
        </w:rPr>
        <w:t>  </w:t>
      </w:r>
      <w:r>
        <w:rPr/>
        <w:t>It</w:t>
      </w:r>
      <w:r>
        <w:rPr>
          <w:spacing w:val="16"/>
        </w:rPr>
        <w:t> </w:t>
      </w:r>
      <w:r>
        <w:rPr/>
        <w:t>is</w:t>
      </w:r>
      <w:r>
        <w:rPr>
          <w:spacing w:val="16"/>
        </w:rPr>
        <w:t> </w:t>
      </w:r>
      <w:r>
        <w:rPr/>
        <w:t>a</w:t>
      </w:r>
      <w:r>
        <w:rPr>
          <w:spacing w:val="16"/>
        </w:rPr>
        <w:t> </w:t>
      </w:r>
      <w:r>
        <w:rPr/>
        <w:t>“lost</w:t>
      </w:r>
      <w:r>
        <w:rPr>
          <w:spacing w:val="16"/>
        </w:rPr>
        <w:t> </w:t>
      </w:r>
      <w:r>
        <w:rPr/>
        <w:t>volume”</w:t>
      </w:r>
      <w:r>
        <w:rPr>
          <w:spacing w:val="16"/>
        </w:rPr>
        <w:t> </w:t>
      </w:r>
      <w:r>
        <w:rPr/>
        <w:t>case.</w:t>
      </w:r>
      <w:r>
        <w:rPr>
          <w:spacing w:val="16"/>
        </w:rPr>
        <w:t> </w:t>
      </w:r>
      <w:r>
        <w:rPr/>
        <w:t>This</w:t>
      </w:r>
      <w:r>
        <w:rPr>
          <w:spacing w:val="16"/>
        </w:rPr>
        <w:t> </w:t>
      </w:r>
      <w:r>
        <w:rPr/>
        <w:t>assumes</w:t>
      </w:r>
      <w:r>
        <w:rPr>
          <w:spacing w:val="16"/>
        </w:rPr>
        <w:t> </w:t>
      </w:r>
      <w:r>
        <w:rPr/>
        <w:t>that</w:t>
      </w:r>
      <w:r>
        <w:rPr>
          <w:spacing w:val="16"/>
        </w:rPr>
        <w:t> </w:t>
      </w:r>
      <w:r>
        <w:rPr/>
        <w:t>the</w:t>
      </w:r>
      <w:r>
        <w:rPr>
          <w:spacing w:val="16"/>
        </w:rPr>
        <w:t> </w:t>
      </w:r>
      <w:r>
        <w:rPr/>
        <w:t>claimant</w:t>
      </w:r>
      <w:r>
        <w:rPr>
          <w:spacing w:val="16"/>
        </w:rPr>
        <w:t> </w:t>
      </w:r>
      <w:r>
        <w:rPr/>
        <w:t>would</w:t>
      </w:r>
      <w:r>
        <w:rPr>
          <w:spacing w:val="16"/>
        </w:rPr>
        <w:t> </w:t>
      </w:r>
      <w:r>
        <w:rPr/>
        <w:t>have</w:t>
      </w:r>
      <w:r>
        <w:rPr>
          <w:spacing w:val="16"/>
        </w:rPr>
        <w:t> </w:t>
      </w:r>
      <w:r>
        <w:rPr/>
        <w:t>made</w:t>
      </w:r>
      <w:r>
        <w:rPr>
          <w:spacing w:val="16"/>
        </w:rPr>
        <w:t> </w:t>
      </w:r>
      <w:r>
        <w:rPr/>
        <w:t>both</w:t>
      </w:r>
      <w:r>
        <w:rPr>
          <w:spacing w:val="16"/>
        </w:rPr>
        <w:t> </w:t>
      </w:r>
      <w:r>
        <w:rPr/>
        <w:t>contracts.</w:t>
      </w:r>
      <w:r>
        <w:rPr>
          <w:spacing w:val="16"/>
        </w:rPr>
        <w:t> </w:t>
      </w:r>
      <w:r>
        <w:rPr/>
        <w:t>If his operation would have been operating at maximum efficiency in order to fulfil the first contract, he might not have taken on the second. See Beale, </w:t>
      </w:r>
      <w:r>
        <w:rPr>
          <w:rFonts w:ascii="Arial" w:hAnsi="Arial"/>
          <w:i/>
        </w:rPr>
        <w:t>Remedies for Breach of Contract </w:t>
      </w:r>
      <w:r>
        <w:rPr/>
        <w:t>(1980), p.200</w:t>
      </w:r>
    </w:p>
    <w:p>
      <w:pPr>
        <w:pStyle w:val="BodyText"/>
        <w:spacing w:before="9"/>
      </w:pPr>
    </w:p>
    <w:p>
      <w:pPr>
        <w:spacing w:line="235" w:lineRule="auto" w:before="0"/>
        <w:ind w:left="705" w:right="167" w:hanging="541"/>
        <w:jc w:val="both"/>
        <w:rPr>
          <w:sz w:val="20"/>
        </w:rPr>
      </w:pPr>
      <w:bookmarkStart w:name="_bookmark1057" w:id="1059"/>
      <w:bookmarkEnd w:id="1059"/>
      <w:r>
        <w:rPr/>
      </w:r>
      <w:hyperlink w:history="true" w:anchor="_bookmark1015">
        <w:r>
          <w:rPr>
            <w:color w:val="005DA1"/>
            <w:position w:val="5"/>
            <w:sz w:val="14"/>
            <w:u w:val="single" w:color="005DA1"/>
          </w:rPr>
          <w:t>538</w:t>
        </w:r>
      </w:hyperlink>
      <w:r>
        <w:rPr>
          <w:position w:val="5"/>
          <w:sz w:val="14"/>
        </w:rPr>
        <w:t>.</w:t>
      </w:r>
      <w:r>
        <w:rPr>
          <w:spacing w:val="40"/>
          <w:position w:val="5"/>
          <w:sz w:val="14"/>
        </w:rPr>
        <w:t>  </w:t>
      </w:r>
      <w:r>
        <w:rPr>
          <w:rFonts w:ascii="Arial" w:hAnsi="Arial"/>
          <w:i/>
          <w:sz w:val="20"/>
        </w:rPr>
        <w:t>Charter v Sullivan [1957] 2 Q.B. 117</w:t>
      </w:r>
      <w:r>
        <w:rPr>
          <w:sz w:val="20"/>
        </w:rPr>
        <w:t>. The claimant should also be entitled to recover any </w:t>
      </w:r>
      <w:r>
        <w:rPr>
          <w:sz w:val="20"/>
        </w:rPr>
        <w:t>extra expenses incurred in making the substituted contract: see below, para.26-032. (To a certain extent, this decision and that in </w:t>
      </w:r>
      <w:r>
        <w:rPr>
          <w:rFonts w:ascii="Arial" w:hAnsi="Arial"/>
          <w:i/>
          <w:sz w:val="20"/>
        </w:rPr>
        <w:t>W. L. Thompson Ltd v Robinson (Gunmakers) Ltd [1955] Ch. 177</w:t>
      </w:r>
      <w:r>
        <w:rPr>
          <w:sz w:val="20"/>
        </w:rPr>
        <w:t>, depend on the absence of an “available market” where the price fluctuates in accordance with supply and demand: see Vol.II, paras 44-368—44-378.)</w:t>
      </w:r>
    </w:p>
    <w:p>
      <w:pPr>
        <w:pStyle w:val="BodyText"/>
        <w:spacing w:before="8"/>
      </w:pPr>
    </w:p>
    <w:p>
      <w:pPr>
        <w:spacing w:line="235" w:lineRule="auto" w:before="0"/>
        <w:ind w:left="705" w:right="167" w:hanging="541"/>
        <w:jc w:val="both"/>
        <w:rPr>
          <w:sz w:val="20"/>
        </w:rPr>
      </w:pPr>
      <w:bookmarkStart w:name="_bookmark1058" w:id="1060"/>
      <w:bookmarkEnd w:id="1060"/>
      <w:r>
        <w:rPr/>
      </w:r>
      <w:hyperlink w:history="true" w:anchor="_bookmark1016">
        <w:r>
          <w:rPr>
            <w:color w:val="005DA1"/>
            <w:position w:val="5"/>
            <w:sz w:val="14"/>
            <w:u w:val="single" w:color="005DA1"/>
          </w:rPr>
          <w:t>539</w:t>
        </w:r>
      </w:hyperlink>
      <w:r>
        <w:rPr>
          <w:position w:val="5"/>
          <w:sz w:val="14"/>
        </w:rPr>
        <w:t>.</w:t>
      </w:r>
      <w:r>
        <w:rPr>
          <w:spacing w:val="80"/>
          <w:w w:val="150"/>
          <w:position w:val="5"/>
          <w:sz w:val="14"/>
        </w:rPr>
        <w:t> </w:t>
      </w:r>
      <w:r>
        <w:rPr>
          <w:sz w:val="20"/>
        </w:rPr>
        <w:t>In </w:t>
      </w:r>
      <w:r>
        <w:rPr>
          <w:rFonts w:ascii="Arial"/>
          <w:i/>
          <w:sz w:val="20"/>
        </w:rPr>
        <w:t>Thai Airways International Public Co Ltd v KI Holdings Co Ltd [2015] EWHC 1250 </w:t>
      </w:r>
      <w:r>
        <w:rPr>
          <w:rFonts w:ascii="Arial"/>
          <w:i/>
          <w:sz w:val="20"/>
        </w:rPr>
        <w:t>(Comm) </w:t>
      </w:r>
      <w:r>
        <w:rPr>
          <w:sz w:val="20"/>
        </w:rPr>
        <w:t>Leggatt J. said that credit must be given for any monetary benefit the claimant has or will receive from actions taken to mitigate its loss (at [81]). The burden of proving that the claimant benefitted is on the defendant (at [92]).</w:t>
      </w:r>
    </w:p>
    <w:p>
      <w:pPr>
        <w:spacing w:after="0" w:line="235" w:lineRule="auto"/>
        <w:jc w:val="both"/>
        <w:rPr>
          <w:sz w:val="20"/>
        </w:rPr>
        <w:sectPr>
          <w:type w:val="continuous"/>
          <w:pgSz w:w="11900" w:h="16840"/>
          <w:pgMar w:header="971" w:footer="0" w:top="1300" w:bottom="280" w:left="1275" w:right="1275"/>
        </w:sectPr>
      </w:pPr>
    </w:p>
    <w:p>
      <w:pPr>
        <w:spacing w:line="235" w:lineRule="auto" w:before="170"/>
        <w:ind w:left="705" w:right="168" w:hanging="541"/>
        <w:jc w:val="both"/>
        <w:rPr>
          <w:sz w:val="20"/>
        </w:rPr>
      </w:pPr>
      <w:hyperlink w:history="true" w:anchor="_bookmark1017">
        <w:r>
          <w:rPr>
            <w:color w:val="005DA1"/>
            <w:position w:val="5"/>
            <w:sz w:val="14"/>
            <w:u w:val="single" w:color="005DA1"/>
          </w:rPr>
          <w:t>540</w:t>
        </w:r>
      </w:hyperlink>
      <w:r>
        <w:rPr>
          <w:position w:val="5"/>
          <w:sz w:val="14"/>
        </w:rPr>
        <w:t>.</w:t>
      </w:r>
      <w:r>
        <w:rPr>
          <w:spacing w:val="80"/>
          <w:position w:val="5"/>
          <w:sz w:val="14"/>
        </w:rPr>
        <w:t>  </w:t>
      </w:r>
      <w:r>
        <w:rPr>
          <w:rFonts w:ascii="Arial" w:hAnsi="Arial"/>
          <w:i/>
          <w:sz w:val="20"/>
        </w:rPr>
        <w:t>Harbutt’s “Plasticine” Ltd v Wayne Tank and Pump Co Ltd [1970] 1 Q.B. 447</w:t>
      </w:r>
      <w:r>
        <w:rPr>
          <w:sz w:val="20"/>
        </w:rPr>
        <w:t>. (This case has been overruled by the House of Lords on another point: </w:t>
      </w:r>
      <w:r>
        <w:rPr>
          <w:rFonts w:ascii="Arial" w:hAnsi="Arial"/>
          <w:i/>
          <w:sz w:val="20"/>
        </w:rPr>
        <w:t>Photo Production Ltd v Securicor Transport Ltd [1980] A.C. 827 </w:t>
      </w:r>
      <w:r>
        <w:rPr>
          <w:sz w:val="20"/>
        </w:rPr>
        <w:t>(above, para.15-005).)</w:t>
      </w:r>
    </w:p>
    <w:p>
      <w:pPr>
        <w:pStyle w:val="BodyText"/>
        <w:spacing w:before="5"/>
      </w:pPr>
    </w:p>
    <w:p>
      <w:pPr>
        <w:tabs>
          <w:tab w:pos="705" w:val="left" w:leader="none"/>
        </w:tabs>
        <w:spacing w:before="0"/>
        <w:ind w:left="165" w:right="0" w:firstLine="0"/>
        <w:jc w:val="left"/>
        <w:rPr>
          <w:sz w:val="20"/>
        </w:rPr>
      </w:pPr>
      <w:bookmarkStart w:name="_bookmark1059" w:id="1061"/>
      <w:bookmarkEnd w:id="1061"/>
      <w:r>
        <w:rPr/>
      </w:r>
      <w:hyperlink w:history="true" w:anchor="_bookmark1018">
        <w:r>
          <w:rPr>
            <w:color w:val="005DA1"/>
            <w:spacing w:val="-4"/>
            <w:position w:val="5"/>
            <w:sz w:val="14"/>
            <w:u w:val="single" w:color="005DA1"/>
          </w:rPr>
          <w:t>541</w:t>
        </w:r>
      </w:hyperlink>
      <w:r>
        <w:rPr>
          <w:spacing w:val="-4"/>
          <w:position w:val="5"/>
          <w:sz w:val="14"/>
        </w:rPr>
        <w:t>.</w:t>
      </w:r>
      <w:r>
        <w:rPr>
          <w:position w:val="5"/>
          <w:sz w:val="14"/>
        </w:rPr>
        <w:tab/>
      </w:r>
      <w:r>
        <w:rPr>
          <w:rFonts w:ascii="Arial"/>
          <w:i/>
          <w:sz w:val="20"/>
        </w:rPr>
        <w:t>Bacon v Cooper (Metals) Ltd [1982] 1 All E.R. </w:t>
      </w:r>
      <w:r>
        <w:rPr>
          <w:rFonts w:ascii="Arial"/>
          <w:i/>
          <w:spacing w:val="-4"/>
          <w:sz w:val="20"/>
        </w:rPr>
        <w:t>397</w:t>
      </w:r>
      <w:r>
        <w:rPr>
          <w:spacing w:val="-4"/>
          <w:sz w:val="20"/>
        </w:rPr>
        <w:t>.</w:t>
      </w:r>
    </w:p>
    <w:p>
      <w:pPr>
        <w:pStyle w:val="BodyText"/>
        <w:spacing w:before="9"/>
      </w:pPr>
    </w:p>
    <w:p>
      <w:pPr>
        <w:spacing w:line="235" w:lineRule="auto" w:before="0"/>
        <w:ind w:left="705" w:right="168" w:hanging="541"/>
        <w:jc w:val="both"/>
        <w:rPr>
          <w:sz w:val="20"/>
        </w:rPr>
      </w:pPr>
      <w:bookmarkStart w:name="_bookmark1060" w:id="1062"/>
      <w:bookmarkEnd w:id="1062"/>
      <w:r>
        <w:rPr/>
      </w:r>
      <w:hyperlink w:history="true" w:anchor="_bookmark1019">
        <w:r>
          <w:rPr>
            <w:color w:val="005DA1"/>
            <w:position w:val="5"/>
            <w:sz w:val="14"/>
            <w:u w:val="single" w:color="005DA1"/>
          </w:rPr>
          <w:t>542</w:t>
        </w:r>
      </w:hyperlink>
      <w:r>
        <w:rPr>
          <w:position w:val="5"/>
          <w:sz w:val="14"/>
        </w:rPr>
        <w:t>.</w:t>
      </w:r>
      <w:r>
        <w:rPr>
          <w:spacing w:val="80"/>
          <w:position w:val="5"/>
          <w:sz w:val="14"/>
        </w:rPr>
        <w:t>  </w:t>
      </w:r>
      <w:r>
        <w:rPr>
          <w:rFonts w:ascii="Arial" w:hAnsi="Arial"/>
          <w:i/>
          <w:sz w:val="20"/>
        </w:rPr>
        <w:t>[1912] A.C. 673</w:t>
      </w:r>
      <w:r>
        <w:rPr>
          <w:sz w:val="20"/>
        </w:rPr>
        <w:t>. cf. </w:t>
      </w:r>
      <w:r>
        <w:rPr>
          <w:rFonts w:ascii="Arial" w:hAnsi="Arial"/>
          <w:i/>
          <w:sz w:val="20"/>
        </w:rPr>
        <w:t>Re-Source America International Ltd v Platt Site Services Ltd [2005] EWCA Civ</w:t>
      </w:r>
      <w:r>
        <w:rPr>
          <w:rFonts w:ascii="Arial" w:hAnsi="Arial"/>
          <w:i/>
          <w:spacing w:val="-2"/>
          <w:sz w:val="20"/>
        </w:rPr>
        <w:t> </w:t>
      </w:r>
      <w:r>
        <w:rPr>
          <w:rFonts w:ascii="Arial" w:hAnsi="Arial"/>
          <w:i/>
          <w:sz w:val="20"/>
        </w:rPr>
        <w:t>97,</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50</w:t>
      </w:r>
      <w:r>
        <w:rPr>
          <w:rFonts w:ascii="Arial" w:hAnsi="Arial"/>
          <w:i/>
          <w:spacing w:val="-2"/>
          <w:sz w:val="20"/>
        </w:rPr>
        <w:t> </w:t>
      </w:r>
      <w:r>
        <w:rPr>
          <w:rFonts w:ascii="Arial" w:hAnsi="Arial"/>
          <w:i/>
          <w:sz w:val="20"/>
        </w:rPr>
        <w:t>CA</w:t>
      </w:r>
      <w:r>
        <w:rPr>
          <w:rFonts w:ascii="Arial" w:hAnsi="Arial"/>
          <w:i/>
          <w:spacing w:val="-3"/>
          <w:sz w:val="20"/>
        </w:rPr>
        <w:t> </w:t>
      </w:r>
      <w:r>
        <w:rPr>
          <w:sz w:val="20"/>
        </w:rPr>
        <w:t>(the</w:t>
      </w:r>
      <w:r>
        <w:rPr>
          <w:spacing w:val="-2"/>
          <w:sz w:val="20"/>
        </w:rPr>
        <w:t> </w:t>
      </w:r>
      <w:r>
        <w:rPr>
          <w:sz w:val="20"/>
        </w:rPr>
        <w:t>saved</w:t>
      </w:r>
      <w:r>
        <w:rPr>
          <w:spacing w:val="-2"/>
          <w:sz w:val="20"/>
        </w:rPr>
        <w:t> </w:t>
      </w:r>
      <w:r>
        <w:rPr>
          <w:sz w:val="20"/>
        </w:rPr>
        <w:t>cost</w:t>
      </w:r>
      <w:r>
        <w:rPr>
          <w:spacing w:val="-2"/>
          <w:sz w:val="20"/>
        </w:rPr>
        <w:t> </w:t>
      </w:r>
      <w:r>
        <w:rPr>
          <w:sz w:val="20"/>
        </w:rPr>
        <w:t>of</w:t>
      </w:r>
      <w:r>
        <w:rPr>
          <w:spacing w:val="-2"/>
          <w:sz w:val="20"/>
        </w:rPr>
        <w:t> </w:t>
      </w:r>
      <w:r>
        <w:rPr>
          <w:sz w:val="20"/>
        </w:rPr>
        <w:t>refurbishment</w:t>
      </w:r>
      <w:r>
        <w:rPr>
          <w:spacing w:val="-2"/>
          <w:sz w:val="20"/>
        </w:rPr>
        <w:t> </w:t>
      </w:r>
      <w:r>
        <w:rPr>
          <w:sz w:val="20"/>
        </w:rPr>
        <w:t>was</w:t>
      </w:r>
      <w:r>
        <w:rPr>
          <w:spacing w:val="-2"/>
          <w:sz w:val="20"/>
        </w:rPr>
        <w:t> </w:t>
      </w:r>
      <w:r>
        <w:rPr>
          <w:sz w:val="20"/>
        </w:rPr>
        <w:t>deducted</w:t>
      </w:r>
      <w:r>
        <w:rPr>
          <w:spacing w:val="-2"/>
          <w:sz w:val="20"/>
        </w:rPr>
        <w:t> </w:t>
      </w:r>
      <w:r>
        <w:rPr>
          <w:sz w:val="20"/>
        </w:rPr>
        <w:t>from</w:t>
      </w:r>
      <w:r>
        <w:rPr>
          <w:spacing w:val="-2"/>
          <w:sz w:val="20"/>
        </w:rPr>
        <w:t> </w:t>
      </w:r>
      <w:r>
        <w:rPr>
          <w:sz w:val="20"/>
        </w:rPr>
        <w:t>the</w:t>
      </w:r>
      <w:r>
        <w:rPr>
          <w:spacing w:val="-2"/>
          <w:sz w:val="20"/>
        </w:rPr>
        <w:t> </w:t>
      </w:r>
      <w:r>
        <w:rPr>
          <w:sz w:val="20"/>
        </w:rPr>
        <w:t>full cost of replacement).</w:t>
      </w:r>
    </w:p>
    <w:p>
      <w:pPr>
        <w:pStyle w:val="BodyText"/>
        <w:spacing w:before="5"/>
      </w:pPr>
    </w:p>
    <w:p>
      <w:pPr>
        <w:pStyle w:val="BodyText"/>
        <w:tabs>
          <w:tab w:pos="705" w:val="left" w:leader="none"/>
        </w:tabs>
        <w:ind w:left="165"/>
      </w:pPr>
      <w:bookmarkStart w:name="_bookmark1061" w:id="1063"/>
      <w:bookmarkEnd w:id="1063"/>
      <w:r>
        <w:rPr/>
      </w:r>
      <w:hyperlink w:history="true" w:anchor="_bookmark1020">
        <w:r>
          <w:rPr>
            <w:color w:val="005DA1"/>
            <w:spacing w:val="-4"/>
            <w:position w:val="5"/>
            <w:sz w:val="14"/>
            <w:u w:val="single" w:color="005DA1"/>
          </w:rPr>
          <w:t>543</w:t>
        </w:r>
      </w:hyperlink>
      <w:r>
        <w:rPr>
          <w:spacing w:val="-4"/>
          <w:position w:val="5"/>
          <w:sz w:val="14"/>
        </w:rPr>
        <w:t>.</w:t>
      </w:r>
      <w:r>
        <w:rPr>
          <w:position w:val="5"/>
          <w:sz w:val="14"/>
        </w:rPr>
        <w:tab/>
      </w:r>
      <w:r>
        <w:rPr/>
        <w:t>Sale of Goods Act 1979 s.50(3). See Vol.II, paras 44-367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062" w:id="1064"/>
      <w:bookmarkEnd w:id="1064"/>
      <w:r>
        <w:rPr/>
      </w:r>
      <w:hyperlink w:history="true" w:anchor="_bookmark1021">
        <w:r>
          <w:rPr>
            <w:color w:val="005DA1"/>
            <w:spacing w:val="-4"/>
            <w:position w:val="5"/>
            <w:sz w:val="14"/>
            <w:u w:val="single" w:color="005DA1"/>
          </w:rPr>
          <w:t>544</w:t>
        </w:r>
      </w:hyperlink>
      <w:r>
        <w:rPr>
          <w:spacing w:val="-4"/>
          <w:position w:val="5"/>
          <w:sz w:val="14"/>
        </w:rPr>
        <w:t>.</w:t>
      </w:r>
      <w:r>
        <w:rPr>
          <w:position w:val="5"/>
          <w:sz w:val="14"/>
        </w:rPr>
        <w:tab/>
      </w:r>
      <w:r>
        <w:rPr>
          <w:rFonts w:ascii="Arial"/>
          <w:i/>
          <w:sz w:val="20"/>
        </w:rPr>
        <w:t>Jebsen v East and West India Dock Co (1875) L.R. 10 C.P. </w:t>
      </w:r>
      <w:r>
        <w:rPr>
          <w:rFonts w:ascii="Arial"/>
          <w:i/>
          <w:spacing w:val="-4"/>
          <w:sz w:val="20"/>
        </w:rPr>
        <w:t>300</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063" w:id="1065"/>
      <w:bookmarkEnd w:id="1065"/>
      <w:r>
        <w:rPr/>
      </w:r>
      <w:hyperlink w:history="true" w:anchor="_bookmark1021">
        <w:r>
          <w:rPr>
            <w:color w:val="005DA1"/>
            <w:position w:val="5"/>
            <w:sz w:val="14"/>
            <w:u w:val="single" w:color="005DA1"/>
          </w:rPr>
          <w:t>545</w:t>
        </w:r>
      </w:hyperlink>
      <w:r>
        <w:rPr>
          <w:position w:val="5"/>
          <w:sz w:val="14"/>
        </w:rPr>
        <w:t>.</w:t>
      </w:r>
      <w:r>
        <w:rPr>
          <w:spacing w:val="80"/>
          <w:w w:val="150"/>
          <w:position w:val="5"/>
          <w:sz w:val="14"/>
        </w:rPr>
        <w:t> </w:t>
      </w:r>
      <w:r>
        <w:rPr>
          <w:rFonts w:ascii="Arial" w:hAnsi="Arial"/>
          <w:i/>
          <w:sz w:val="20"/>
        </w:rPr>
        <w:t>Campbell Mostyn v Barnett [1954] 1 Lloyd’s Rep. 65 </w:t>
      </w:r>
      <w:r>
        <w:rPr>
          <w:sz w:val="20"/>
        </w:rPr>
        <w:t>(distinguished in </w:t>
      </w:r>
      <w:r>
        <w:rPr>
          <w:rFonts w:ascii="Arial" w:hAnsi="Arial"/>
          <w:i/>
          <w:sz w:val="20"/>
        </w:rPr>
        <w:t>R. Pagnan &amp; Fratelli v Corbisa Industrial Agropacuaria Limitada [1970] 1 W.L.R. 1306 </w:t>
      </w:r>
      <w:r>
        <w:rPr>
          <w:sz w:val="20"/>
        </w:rPr>
        <w:t>where the claimant buyer finally accepted the same goods at a reduced price; but the </w:t>
      </w:r>
      <w:r>
        <w:rPr>
          <w:rFonts w:ascii="Arial" w:hAnsi="Arial"/>
          <w:i/>
          <w:sz w:val="20"/>
        </w:rPr>
        <w:t>Pagnan Fratelli </w:t>
      </w:r>
      <w:r>
        <w:rPr>
          <w:sz w:val="20"/>
        </w:rPr>
        <w:t>case was </w:t>
      </w:r>
      <w:r>
        <w:rPr>
          <w:sz w:val="20"/>
        </w:rPr>
        <w:t>itself distinguished</w:t>
      </w:r>
      <w:r>
        <w:rPr>
          <w:spacing w:val="5"/>
          <w:sz w:val="20"/>
        </w:rPr>
        <w:t> </w:t>
      </w:r>
      <w:r>
        <w:rPr>
          <w:sz w:val="20"/>
        </w:rPr>
        <w:t>in</w:t>
      </w:r>
      <w:r>
        <w:rPr>
          <w:spacing w:val="4"/>
          <w:sz w:val="20"/>
        </w:rPr>
        <w:t> </w:t>
      </w:r>
      <w:r>
        <w:rPr>
          <w:rFonts w:ascii="Arial" w:hAnsi="Arial"/>
          <w:i/>
          <w:sz w:val="20"/>
        </w:rPr>
        <w:t>Mobil</w:t>
      </w:r>
      <w:r>
        <w:rPr>
          <w:rFonts w:ascii="Arial" w:hAnsi="Arial"/>
          <w:i/>
          <w:spacing w:val="5"/>
          <w:sz w:val="20"/>
        </w:rPr>
        <w:t> </w:t>
      </w:r>
      <w:r>
        <w:rPr>
          <w:rFonts w:ascii="Arial" w:hAnsi="Arial"/>
          <w:i/>
          <w:sz w:val="20"/>
        </w:rPr>
        <w:t>North</w:t>
      </w:r>
      <w:r>
        <w:rPr>
          <w:rFonts w:ascii="Arial" w:hAnsi="Arial"/>
          <w:i/>
          <w:spacing w:val="5"/>
          <w:sz w:val="20"/>
        </w:rPr>
        <w:t> </w:t>
      </w:r>
      <w:r>
        <w:rPr>
          <w:rFonts w:ascii="Arial" w:hAnsi="Arial"/>
          <w:i/>
          <w:sz w:val="20"/>
        </w:rPr>
        <w:t>Sea</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P.J.</w:t>
      </w:r>
      <w:r>
        <w:rPr>
          <w:rFonts w:ascii="Arial" w:hAnsi="Arial"/>
          <w:i/>
          <w:spacing w:val="5"/>
          <w:sz w:val="20"/>
        </w:rPr>
        <w:t> </w:t>
      </w:r>
      <w:r>
        <w:rPr>
          <w:rFonts w:ascii="Arial" w:hAnsi="Arial"/>
          <w:i/>
          <w:sz w:val="20"/>
        </w:rPr>
        <w:t>Pipe</w:t>
      </w:r>
      <w:r>
        <w:rPr>
          <w:rFonts w:ascii="Arial" w:hAnsi="Arial"/>
          <w:i/>
          <w:spacing w:val="5"/>
          <w:sz w:val="20"/>
        </w:rPr>
        <w:t> </w:t>
      </w:r>
      <w:r>
        <w:rPr>
          <w:rFonts w:ascii="Arial" w:hAnsi="Arial"/>
          <w:i/>
          <w:sz w:val="20"/>
        </w:rPr>
        <w:t>&amp;</w:t>
      </w:r>
      <w:r>
        <w:rPr>
          <w:rFonts w:ascii="Arial" w:hAnsi="Arial"/>
          <w:i/>
          <w:spacing w:val="5"/>
          <w:sz w:val="20"/>
        </w:rPr>
        <w:t> </w:t>
      </w:r>
      <w:r>
        <w:rPr>
          <w:rFonts w:ascii="Arial" w:hAnsi="Arial"/>
          <w:i/>
          <w:sz w:val="20"/>
        </w:rPr>
        <w:t>Valve</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[2001]</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741,</w:t>
      </w:r>
      <w:r>
        <w:rPr>
          <w:rFonts w:ascii="Arial" w:hAnsi="Arial"/>
          <w:i/>
          <w:spacing w:val="5"/>
          <w:sz w:val="20"/>
        </w:rPr>
        <w:t> </w:t>
      </w:r>
      <w:r>
        <w:rPr>
          <w:rFonts w:ascii="Arial" w:hAnsi="Arial"/>
          <w:i/>
          <w:sz w:val="20"/>
        </w:rPr>
        <w:t>[2001]</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pacing w:val="-5"/>
          <w:sz w:val="20"/>
        </w:rPr>
        <w:t>All</w:t>
      </w:r>
    </w:p>
    <w:p>
      <w:pPr>
        <w:spacing w:line="235" w:lineRule="auto" w:before="0"/>
        <w:ind w:left="705" w:right="168" w:firstLine="0"/>
        <w:jc w:val="both"/>
        <w:rPr>
          <w:sz w:val="20"/>
        </w:rPr>
      </w:pPr>
      <w:r>
        <w:rPr>
          <w:rFonts w:ascii="Arial"/>
          <w:i/>
          <w:sz w:val="20"/>
        </w:rPr>
        <w:t>E.R. (Comm) 289) </w:t>
      </w:r>
      <w:r>
        <w:rPr>
          <w:sz w:val="20"/>
        </w:rPr>
        <w:t>(see Vol.II, para.44-396). See also </w:t>
      </w:r>
      <w:r>
        <w:rPr>
          <w:rFonts w:ascii="Arial"/>
          <w:i/>
          <w:sz w:val="20"/>
        </w:rPr>
        <w:t>Jones v Just (1868) L.R. 3 Q.B. 197 </w:t>
      </w:r>
      <w:r>
        <w:rPr>
          <w:sz w:val="20"/>
        </w:rPr>
        <w:t>(breach by seller but loss avoided by buyer when market price later rose); </w:t>
      </w:r>
      <w:r>
        <w:rPr>
          <w:rFonts w:ascii="Arial"/>
          <w:i/>
          <w:sz w:val="20"/>
        </w:rPr>
        <w:t>Jamal v </w:t>
      </w:r>
      <w:r>
        <w:rPr>
          <w:rFonts w:ascii="Arial"/>
          <w:i/>
          <w:sz w:val="20"/>
        </w:rPr>
        <w:t>Moolla Dawood [1916] 1 A.C. 175</w:t>
      </w:r>
      <w:r>
        <w:rPr>
          <w:sz w:val="20"/>
        </w:rPr>
        <w:t>; and </w:t>
      </w:r>
      <w:r>
        <w:rPr>
          <w:rFonts w:ascii="Arial"/>
          <w:i/>
          <w:sz w:val="20"/>
        </w:rPr>
        <w:t>Hussey v Eels [1990] 2 Q.B. 227</w:t>
      </w:r>
      <w:r>
        <w:rPr>
          <w:sz w:val="20"/>
        </w:rPr>
        <w:t>, para.26-095 n.493; </w:t>
      </w:r>
      <w:r>
        <w:rPr>
          <w:rFonts w:ascii="Arial"/>
          <w:i/>
          <w:sz w:val="20"/>
        </w:rPr>
        <w:t>Gardner</w:t>
      </w:r>
      <w:r>
        <w:rPr>
          <w:rFonts w:ascii="Arial"/>
          <w:i/>
          <w:spacing w:val="40"/>
          <w:sz w:val="20"/>
        </w:rPr>
        <w:t> </w:t>
      </w:r>
      <w:r>
        <w:rPr>
          <w:rFonts w:ascii="Arial"/>
          <w:i/>
          <w:sz w:val="20"/>
        </w:rPr>
        <w:t>v Marsh &amp; Parsons [1997] 1 W.L.R. 489 </w:t>
      </w:r>
      <w:r>
        <w:rPr>
          <w:sz w:val="20"/>
        </w:rPr>
        <w:t>(see para.26-167 n.845).</w:t>
      </w:r>
    </w:p>
    <w:p>
      <w:pPr>
        <w:pStyle w:val="BodyText"/>
        <w:spacing w:before="7"/>
      </w:pPr>
    </w:p>
    <w:p>
      <w:pPr>
        <w:tabs>
          <w:tab w:pos="705" w:val="left" w:leader="none"/>
        </w:tabs>
        <w:spacing w:line="235" w:lineRule="auto" w:before="0"/>
        <w:ind w:left="705" w:right="168" w:hanging="541"/>
        <w:jc w:val="left"/>
        <w:rPr>
          <w:sz w:val="20"/>
        </w:rPr>
      </w:pPr>
      <w:bookmarkStart w:name="_bookmark1064" w:id="1066"/>
      <w:bookmarkEnd w:id="1066"/>
      <w:r>
        <w:rPr/>
      </w:r>
      <w:hyperlink w:history="true" w:anchor="_bookmark1022">
        <w:r>
          <w:rPr>
            <w:color w:val="005DA1"/>
            <w:spacing w:val="-4"/>
            <w:position w:val="5"/>
            <w:sz w:val="14"/>
            <w:u w:val="single" w:color="005DA1"/>
          </w:rPr>
          <w:t>546</w:t>
        </w:r>
      </w:hyperlink>
      <w:r>
        <w:rPr>
          <w:spacing w:val="-4"/>
          <w:position w:val="5"/>
          <w:sz w:val="14"/>
        </w:rPr>
        <w:t>.</w:t>
      </w:r>
      <w:r>
        <w:rPr>
          <w:position w:val="5"/>
          <w:sz w:val="14"/>
        </w:rPr>
        <w:tab/>
      </w:r>
      <w:r>
        <w:rPr>
          <w:rFonts w:ascii="Arial" w:hAnsi="Arial"/>
          <w:i/>
          <w:sz w:val="20"/>
        </w:rPr>
        <w:t>Koch Marine Inc v D’Amico Societ&amp;agrave; di Navigazione A.R.L. (The “Elena D’Amico”) </w:t>
      </w:r>
      <w:r>
        <w:rPr>
          <w:rFonts w:ascii="Arial" w:hAnsi="Arial"/>
          <w:i/>
          <w:sz w:val="20"/>
        </w:rPr>
        <w:t>[1980] 1 Lloyd’s Rep. 75, 87–90</w:t>
      </w:r>
      <w:r>
        <w:rPr>
          <w:sz w:val="20"/>
        </w:rPr>
        <w:t>.</w:t>
      </w:r>
    </w:p>
    <w:p>
      <w:pPr>
        <w:pStyle w:val="BodyText"/>
        <w:spacing w:before="9"/>
      </w:pPr>
    </w:p>
    <w:p>
      <w:pPr>
        <w:pStyle w:val="BodyText"/>
        <w:spacing w:line="235" w:lineRule="auto"/>
        <w:ind w:left="705" w:right="167" w:hanging="541"/>
        <w:jc w:val="both"/>
      </w:pPr>
      <w:bookmarkStart w:name="_bookmark1065" w:id="1067"/>
      <w:bookmarkEnd w:id="1067"/>
      <w:r>
        <w:rPr/>
      </w:r>
      <w:hyperlink w:history="true" w:anchor="_bookmark1023">
        <w:r>
          <w:rPr>
            <w:color w:val="005DA1"/>
            <w:position w:val="5"/>
            <w:sz w:val="14"/>
            <w:u w:val="single" w:color="005DA1"/>
          </w:rPr>
          <w:t>547</w:t>
        </w:r>
      </w:hyperlink>
      <w:r>
        <w:rPr>
          <w:position w:val="5"/>
          <w:sz w:val="14"/>
        </w:rPr>
        <w:t>.</w:t>
      </w:r>
      <w:r>
        <w:rPr>
          <w:spacing w:val="80"/>
          <w:w w:val="150"/>
          <w:position w:val="5"/>
          <w:sz w:val="14"/>
        </w:rPr>
        <w:t> </w:t>
      </w:r>
      <w:r>
        <w:rPr>
          <w:rFonts w:ascii="Arial" w:hAnsi="Arial"/>
          <w:i/>
        </w:rPr>
        <w:t>Bradburn v G.W. Ry (1874) L.R. 10 Ex. 1</w:t>
      </w:r>
      <w:r>
        <w:rPr/>
        <w:t>. Similarly, an employee’s damages for wrongful dismissal should not be reduced by reference to a pension payable before his </w:t>
      </w:r>
      <w:r>
        <w:rPr/>
        <w:t>normal</w:t>
      </w:r>
      <w:r>
        <w:rPr>
          <w:spacing w:val="40"/>
        </w:rPr>
        <w:t> </w:t>
      </w:r>
      <w:r>
        <w:rPr/>
        <w:t>retirement age to the employee from his employer’s pension scheme: </w:t>
      </w:r>
      <w:r>
        <w:rPr>
          <w:rFonts w:ascii="Arial" w:hAnsi="Arial"/>
          <w:i/>
        </w:rPr>
        <w:t>Hopkins v Norcross Plc [1993] 1 All E. R. 565</w:t>
      </w:r>
      <w:r>
        <w:rPr/>
        <w:t>. (The pension entitlement was “earned” and thus “paid for” by the employee; and the pension scheme should be treated as a form of insurance.) See also Vol.II, para.40-200. The damages recoverable by a lender from a negligent valuer (see above, para.26-168) should not be reduced by the proceeds of a mortgage indemnity guarantee policy taken out with an insurer for the benefit of the lender: such a policy is for indemnity insurance, under which the insurer’s rights of subrogation will prevent any question of double recovery by the lender: </w:t>
      </w:r>
      <w:r>
        <w:rPr>
          <w:rFonts w:ascii="Arial" w:hAnsi="Arial"/>
          <w:i/>
        </w:rPr>
        <w:t>Arab Bank Plc v John D. Wood Commercial Ltd [2000] 1 W.L.R. 857 CA</w:t>
      </w:r>
      <w:r>
        <w:rPr/>
        <w:t>. See also </w:t>
      </w:r>
      <w:r>
        <w:rPr>
          <w:rFonts w:ascii="Arial" w:hAnsi="Arial"/>
          <w:i/>
        </w:rPr>
        <w:t>Swynson Ltd v Lowick Rose LLP [2015] EWCA Civ 629 </w:t>
      </w:r>
      <w:r>
        <w:rPr/>
        <w:t>(damages payable by valuer not reduced by arrangement by which a third party paid the lender, when the arrangement was not in ordinary course of business).</w:t>
      </w:r>
    </w:p>
    <w:p>
      <w:pPr>
        <w:pStyle w:val="BodyText"/>
        <w:spacing w:before="5"/>
      </w:pPr>
    </w:p>
    <w:p>
      <w:pPr>
        <w:spacing w:line="235" w:lineRule="auto" w:before="0"/>
        <w:ind w:left="705" w:right="168" w:hanging="541"/>
        <w:jc w:val="both"/>
        <w:rPr>
          <w:sz w:val="20"/>
        </w:rPr>
      </w:pPr>
      <w:bookmarkStart w:name="_bookmark1066" w:id="1068"/>
      <w:bookmarkEnd w:id="1068"/>
      <w:r>
        <w:rPr/>
      </w:r>
      <w:hyperlink w:history="true" w:anchor="_bookmark1024">
        <w:r>
          <w:rPr>
            <w:color w:val="005DA1"/>
            <w:position w:val="5"/>
            <w:sz w:val="14"/>
            <w:u w:val="single" w:color="005DA1"/>
          </w:rPr>
          <w:t>548</w:t>
        </w:r>
      </w:hyperlink>
      <w:r>
        <w:rPr>
          <w:position w:val="5"/>
          <w:sz w:val="14"/>
        </w:rPr>
        <w:t>.</w:t>
      </w:r>
      <w:r>
        <w:rPr>
          <w:spacing w:val="80"/>
          <w:position w:val="5"/>
          <w:sz w:val="14"/>
        </w:rPr>
        <w:t>  </w:t>
      </w:r>
      <w:r>
        <w:rPr>
          <w:rFonts w:ascii="Arial" w:hAnsi="Arial"/>
          <w:i/>
          <w:sz w:val="20"/>
        </w:rPr>
        <w:t>Lavarack v Woods of Colchester Ltd [1967] 1 Q.B. 278</w:t>
      </w:r>
      <w:r>
        <w:rPr>
          <w:sz w:val="20"/>
        </w:rPr>
        <w:t>. cf. </w:t>
      </w:r>
      <w:r>
        <w:rPr>
          <w:rFonts w:ascii="Arial" w:hAnsi="Arial"/>
          <w:i/>
          <w:sz w:val="20"/>
        </w:rPr>
        <w:t>Brown v K.M.R. Services Ltd [1995]</w:t>
      </w:r>
      <w:r>
        <w:rPr>
          <w:rFonts w:ascii="Arial" w:hAnsi="Arial"/>
          <w:i/>
          <w:spacing w:val="40"/>
          <w:sz w:val="20"/>
        </w:rPr>
        <w:t> </w:t>
      </w:r>
      <w:r>
        <w:rPr>
          <w:rFonts w:ascii="Arial" w:hAnsi="Arial"/>
          <w:i/>
          <w:sz w:val="20"/>
        </w:rPr>
        <w:t>4 All E.R. 598, 640–641</w:t>
      </w:r>
      <w:r>
        <w:rPr>
          <w:sz w:val="20"/>
        </w:rPr>
        <w:t>; </w:t>
      </w:r>
      <w:r>
        <w:rPr>
          <w:rFonts w:ascii="Arial" w:hAnsi="Arial"/>
          <w:i/>
          <w:sz w:val="20"/>
        </w:rPr>
        <w:t>Mobil North Sea Ltd v P.J. Pipe &amp; Valve Co [2001] EWCA Civ 741, [2001] 2 All E.R. (Comm) 289</w:t>
      </w:r>
      <w:r>
        <w:rPr>
          <w:sz w:val="20"/>
        </w:rPr>
        <w:t>.</w:t>
      </w:r>
    </w:p>
    <w:p>
      <w:pPr>
        <w:pStyle w:val="BodyText"/>
        <w:spacing w:before="9"/>
      </w:pPr>
    </w:p>
    <w:p>
      <w:pPr>
        <w:spacing w:line="235" w:lineRule="auto" w:before="0"/>
        <w:ind w:left="705" w:right="167" w:hanging="541"/>
        <w:jc w:val="both"/>
        <w:rPr>
          <w:sz w:val="20"/>
        </w:rPr>
      </w:pPr>
      <w:bookmarkStart w:name="_bookmark1067" w:id="1069"/>
      <w:bookmarkEnd w:id="1069"/>
      <w:r>
        <w:rPr/>
      </w:r>
      <w:hyperlink w:history="true" w:anchor="_bookmark1025">
        <w:r>
          <w:rPr>
            <w:color w:val="005DA1"/>
            <w:position w:val="5"/>
            <w:sz w:val="14"/>
            <w:u w:val="single" w:color="005DA1"/>
          </w:rPr>
          <w:t>549</w:t>
        </w:r>
      </w:hyperlink>
      <w:r>
        <w:rPr>
          <w:position w:val="5"/>
          <w:sz w:val="14"/>
        </w:rPr>
        <w:t>.</w:t>
      </w:r>
      <w:r>
        <w:rPr>
          <w:spacing w:val="40"/>
          <w:position w:val="5"/>
          <w:sz w:val="14"/>
        </w:rPr>
        <w:t>  </w:t>
      </w:r>
      <w:r>
        <w:rPr>
          <w:rFonts w:ascii="Arial"/>
          <w:i/>
          <w:sz w:val="20"/>
        </w:rPr>
        <w:t>Haviland v Long [1952] 2 Q.B. 80</w:t>
      </w:r>
      <w:r>
        <w:rPr>
          <w:sz w:val="20"/>
        </w:rPr>
        <w:t>, especially at 84. See also </w:t>
      </w:r>
      <w:r>
        <w:rPr>
          <w:rFonts w:ascii="Arial"/>
          <w:i/>
          <w:sz w:val="20"/>
        </w:rPr>
        <w:t>Joyner v Weeks [1891] 2 Q.B. 31</w:t>
      </w:r>
      <w:r>
        <w:rPr>
          <w:sz w:val="20"/>
        </w:rPr>
        <w:t>; </w:t>
      </w:r>
      <w:r>
        <w:rPr>
          <w:rFonts w:ascii="Arial"/>
          <w:i/>
          <w:sz w:val="20"/>
        </w:rPr>
        <w:t>Slater</w:t>
      </w:r>
      <w:r>
        <w:rPr>
          <w:rFonts w:ascii="Arial"/>
          <w:i/>
          <w:spacing w:val="33"/>
          <w:sz w:val="20"/>
        </w:rPr>
        <w:t> </w:t>
      </w:r>
      <w:r>
        <w:rPr>
          <w:rFonts w:ascii="Arial"/>
          <w:i/>
          <w:sz w:val="20"/>
        </w:rPr>
        <w:t>v</w:t>
      </w:r>
      <w:r>
        <w:rPr>
          <w:rFonts w:ascii="Arial"/>
          <w:i/>
          <w:spacing w:val="33"/>
          <w:sz w:val="20"/>
        </w:rPr>
        <w:t> </w:t>
      </w:r>
      <w:r>
        <w:rPr>
          <w:rFonts w:ascii="Arial"/>
          <w:i/>
          <w:sz w:val="20"/>
        </w:rPr>
        <w:t>Hoyle</w:t>
      </w:r>
      <w:r>
        <w:rPr>
          <w:rFonts w:ascii="Arial"/>
          <w:i/>
          <w:spacing w:val="33"/>
          <w:sz w:val="20"/>
        </w:rPr>
        <w:t> </w:t>
      </w:r>
      <w:r>
        <w:rPr>
          <w:rFonts w:ascii="Arial"/>
          <w:i/>
          <w:sz w:val="20"/>
        </w:rPr>
        <w:t>and</w:t>
      </w:r>
      <w:r>
        <w:rPr>
          <w:rFonts w:ascii="Arial"/>
          <w:i/>
          <w:spacing w:val="33"/>
          <w:sz w:val="20"/>
        </w:rPr>
        <w:t> </w:t>
      </w:r>
      <w:r>
        <w:rPr>
          <w:rFonts w:ascii="Arial"/>
          <w:i/>
          <w:sz w:val="20"/>
        </w:rPr>
        <w:t>Smith</w:t>
      </w:r>
      <w:r>
        <w:rPr>
          <w:rFonts w:ascii="Arial"/>
          <w:i/>
          <w:spacing w:val="33"/>
          <w:sz w:val="20"/>
        </w:rPr>
        <w:t> </w:t>
      </w:r>
      <w:r>
        <w:rPr>
          <w:rFonts w:ascii="Arial"/>
          <w:i/>
          <w:sz w:val="20"/>
        </w:rPr>
        <w:t>[1920]</w:t>
      </w:r>
      <w:r>
        <w:rPr>
          <w:rFonts w:ascii="Arial"/>
          <w:i/>
          <w:spacing w:val="33"/>
          <w:sz w:val="20"/>
        </w:rPr>
        <w:t> </w:t>
      </w:r>
      <w:r>
        <w:rPr>
          <w:rFonts w:ascii="Arial"/>
          <w:i/>
          <w:sz w:val="20"/>
        </w:rPr>
        <w:t>2</w:t>
      </w:r>
      <w:r>
        <w:rPr>
          <w:rFonts w:ascii="Arial"/>
          <w:i/>
          <w:spacing w:val="33"/>
          <w:sz w:val="20"/>
        </w:rPr>
        <w:t> </w:t>
      </w:r>
      <w:r>
        <w:rPr>
          <w:rFonts w:ascii="Arial"/>
          <w:i/>
          <w:sz w:val="20"/>
        </w:rPr>
        <w:t>K.B.</w:t>
      </w:r>
      <w:r>
        <w:rPr>
          <w:rFonts w:ascii="Arial"/>
          <w:i/>
          <w:spacing w:val="33"/>
          <w:sz w:val="20"/>
        </w:rPr>
        <w:t> </w:t>
      </w:r>
      <w:r>
        <w:rPr>
          <w:rFonts w:ascii="Arial"/>
          <w:i/>
          <w:sz w:val="20"/>
        </w:rPr>
        <w:t>11</w:t>
      </w:r>
      <w:r>
        <w:rPr>
          <w:rFonts w:ascii="Arial"/>
          <w:i/>
          <w:spacing w:val="33"/>
          <w:sz w:val="20"/>
        </w:rPr>
        <w:t> </w:t>
      </w:r>
      <w:r>
        <w:rPr>
          <w:sz w:val="20"/>
        </w:rPr>
        <w:t>(buyer</w:t>
      </w:r>
      <w:r>
        <w:rPr>
          <w:spacing w:val="33"/>
          <w:sz w:val="20"/>
        </w:rPr>
        <w:t> </w:t>
      </w:r>
      <w:r>
        <w:rPr>
          <w:sz w:val="20"/>
        </w:rPr>
        <w:t>of</w:t>
      </w:r>
      <w:r>
        <w:rPr>
          <w:spacing w:val="33"/>
          <w:sz w:val="20"/>
        </w:rPr>
        <w:t> </w:t>
      </w:r>
      <w:r>
        <w:rPr>
          <w:sz w:val="20"/>
        </w:rPr>
        <w:t>defective</w:t>
      </w:r>
      <w:r>
        <w:rPr>
          <w:spacing w:val="33"/>
          <w:sz w:val="20"/>
        </w:rPr>
        <w:t> </w:t>
      </w:r>
      <w:r>
        <w:rPr>
          <w:sz w:val="20"/>
        </w:rPr>
        <w:t>goods</w:t>
      </w:r>
      <w:r>
        <w:rPr>
          <w:spacing w:val="33"/>
          <w:sz w:val="20"/>
        </w:rPr>
        <w:t> </w:t>
      </w:r>
      <w:r>
        <w:rPr>
          <w:sz w:val="20"/>
        </w:rPr>
        <w:t>able</w:t>
      </w:r>
      <w:r>
        <w:rPr>
          <w:spacing w:val="33"/>
          <w:sz w:val="20"/>
        </w:rPr>
        <w:t> </w:t>
      </w:r>
      <w:r>
        <w:rPr>
          <w:sz w:val="20"/>
        </w:rPr>
        <w:t>to</w:t>
      </w:r>
      <w:r>
        <w:rPr>
          <w:spacing w:val="33"/>
          <w:sz w:val="20"/>
        </w:rPr>
        <w:t> </w:t>
      </w:r>
      <w:r>
        <w:rPr>
          <w:sz w:val="20"/>
        </w:rPr>
        <w:t>avoid</w:t>
      </w:r>
      <w:r>
        <w:rPr>
          <w:spacing w:val="33"/>
          <w:sz w:val="20"/>
        </w:rPr>
        <w:t> </w:t>
      </w:r>
      <w:r>
        <w:rPr>
          <w:sz w:val="20"/>
        </w:rPr>
        <w:t>loss</w:t>
      </w:r>
      <w:r>
        <w:rPr>
          <w:spacing w:val="33"/>
          <w:sz w:val="20"/>
        </w:rPr>
        <w:t> </w:t>
      </w:r>
      <w:r>
        <w:rPr>
          <w:sz w:val="20"/>
        </w:rPr>
        <w:t>on sub-sale; but see </w:t>
      </w:r>
      <w:r>
        <w:rPr>
          <w:rFonts w:ascii="Arial"/>
          <w:i/>
          <w:sz w:val="20"/>
        </w:rPr>
        <w:t>Bence Graphics International Ltd v Fassoun UK Ltd [1998] Q.B. 87 </w:t>
      </w:r>
      <w:r>
        <w:rPr>
          <w:sz w:val="20"/>
        </w:rPr>
        <w:t>and the decision of the Privy Council in</w:t>
      </w:r>
      <w:r>
        <w:rPr>
          <w:spacing w:val="-1"/>
          <w:sz w:val="20"/>
        </w:rPr>
        <w:t> </w:t>
      </w:r>
      <w:r>
        <w:rPr>
          <w:rFonts w:ascii="Arial"/>
          <w:i/>
          <w:sz w:val="20"/>
        </w:rPr>
        <w:t>Wertheim v Chicoutimi Pulp Co [1911] A.C. 301</w:t>
      </w:r>
      <w:r>
        <w:rPr>
          <w:rFonts w:ascii="Arial"/>
          <w:i/>
          <w:spacing w:val="-1"/>
          <w:sz w:val="20"/>
        </w:rPr>
        <w:t> </w:t>
      </w:r>
      <w:r>
        <w:rPr>
          <w:sz w:val="20"/>
        </w:rPr>
        <w:t>in both of </w:t>
      </w:r>
      <w:r>
        <w:rPr>
          <w:sz w:val="20"/>
        </w:rPr>
        <w:t>which a sub-sale was taken into account; arguably both decisions are wrong: see above, para.26-040 and Vol.II, para. 44-407 n.1951).</w:t>
      </w:r>
    </w:p>
    <w:p>
      <w:pPr>
        <w:pStyle w:val="BodyText"/>
        <w:spacing w:before="4"/>
      </w:pPr>
    </w:p>
    <w:p>
      <w:pPr>
        <w:tabs>
          <w:tab w:pos="705" w:val="left" w:leader="none"/>
        </w:tabs>
        <w:spacing w:before="0"/>
        <w:ind w:left="165" w:right="0" w:firstLine="0"/>
        <w:jc w:val="left"/>
        <w:rPr>
          <w:sz w:val="20"/>
        </w:rPr>
      </w:pPr>
      <w:bookmarkStart w:name="_bookmark1068" w:id="1070"/>
      <w:bookmarkEnd w:id="1070"/>
      <w:r>
        <w:rPr/>
      </w:r>
      <w:hyperlink w:history="true" w:anchor="_bookmark1026">
        <w:r>
          <w:rPr>
            <w:color w:val="005DA1"/>
            <w:spacing w:val="-4"/>
            <w:position w:val="5"/>
            <w:sz w:val="14"/>
            <w:u w:val="single" w:color="005DA1"/>
          </w:rPr>
          <w:t>550</w:t>
        </w:r>
      </w:hyperlink>
      <w:r>
        <w:rPr>
          <w:spacing w:val="-4"/>
          <w:position w:val="5"/>
          <w:sz w:val="14"/>
        </w:rPr>
        <w:t>.</w:t>
      </w:r>
      <w:r>
        <w:rPr>
          <w:position w:val="5"/>
          <w:sz w:val="14"/>
        </w:rPr>
        <w:tab/>
      </w:r>
      <w:r>
        <w:rPr>
          <w:rFonts w:ascii="Arial" w:hAnsi="Arial"/>
          <w:i/>
          <w:sz w:val="20"/>
        </w:rPr>
        <w:t>Famosa Shipping Co Ltd v Armada Bulk Carriers Ltd (The “Fanis”) [1994] 1 Lloyd’s Rep. </w:t>
      </w:r>
      <w:r>
        <w:rPr>
          <w:rFonts w:ascii="Arial" w:hAnsi="Arial"/>
          <w:i/>
          <w:spacing w:val="-4"/>
          <w:sz w:val="20"/>
        </w:rPr>
        <w:t>633</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069" w:id="1071"/>
      <w:bookmarkEnd w:id="1071"/>
      <w:r>
        <w:rPr/>
      </w:r>
      <w:hyperlink w:history="true" w:anchor="_bookmark1027">
        <w:r>
          <w:rPr>
            <w:color w:val="005DA1"/>
            <w:spacing w:val="-4"/>
            <w:sz w:val="14"/>
            <w:u w:val="single" w:color="005DA1"/>
          </w:rPr>
          <w:t>551</w:t>
        </w:r>
      </w:hyperlink>
      <w:r>
        <w:rPr>
          <w:spacing w:val="-4"/>
          <w:sz w:val="14"/>
        </w:rPr>
        <w:t>.</w:t>
      </w:r>
    </w:p>
    <w:p>
      <w:pPr>
        <w:spacing w:line="227" w:lineRule="exact" w:before="208"/>
        <w:ind w:left="335" w:right="0" w:firstLine="0"/>
        <w:jc w:val="left"/>
        <w:rPr>
          <w:rFonts w:ascii="Arial"/>
          <w:i/>
          <w:sz w:val="20"/>
        </w:rPr>
      </w:pPr>
      <w:r>
        <w:rPr/>
        <w:br w:type="column"/>
      </w:r>
      <w:r>
        <w:rPr>
          <w:rFonts w:ascii="Arial"/>
          <w:i/>
          <w:sz w:val="20"/>
        </w:rPr>
        <w:t>[2014]</w:t>
      </w:r>
      <w:r>
        <w:rPr>
          <w:rFonts w:ascii="Arial"/>
          <w:i/>
          <w:spacing w:val="1"/>
          <w:sz w:val="20"/>
        </w:rPr>
        <w:t> </w:t>
      </w:r>
      <w:r>
        <w:rPr>
          <w:rFonts w:ascii="Arial"/>
          <w:i/>
          <w:sz w:val="20"/>
        </w:rPr>
        <w:t>EWHC</w:t>
      </w:r>
      <w:r>
        <w:rPr>
          <w:rFonts w:ascii="Arial"/>
          <w:i/>
          <w:spacing w:val="1"/>
          <w:sz w:val="20"/>
        </w:rPr>
        <w:t> </w:t>
      </w:r>
      <w:r>
        <w:rPr>
          <w:rFonts w:ascii="Arial"/>
          <w:i/>
          <w:sz w:val="20"/>
        </w:rPr>
        <w:t>1547</w:t>
      </w:r>
      <w:r>
        <w:rPr>
          <w:rFonts w:ascii="Arial"/>
          <w:i/>
          <w:spacing w:val="1"/>
          <w:sz w:val="20"/>
        </w:rPr>
        <w:t> </w:t>
      </w:r>
      <w:r>
        <w:rPr>
          <w:rFonts w:ascii="Arial"/>
          <w:i/>
          <w:sz w:val="20"/>
        </w:rPr>
        <w:t>(Comm);</w:t>
      </w:r>
      <w:r>
        <w:rPr>
          <w:rFonts w:ascii="Arial"/>
          <w:i/>
          <w:spacing w:val="1"/>
          <w:sz w:val="20"/>
        </w:rPr>
        <w:t> </w:t>
      </w:r>
      <w:r>
        <w:rPr>
          <w:rFonts w:ascii="Arial"/>
          <w:i/>
          <w:sz w:val="20"/>
        </w:rPr>
        <w:t>[2015]</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1299,</w:t>
      </w:r>
      <w:r>
        <w:rPr>
          <w:rFonts w:ascii="Arial"/>
          <w:i/>
          <w:spacing w:val="1"/>
          <w:sz w:val="20"/>
        </w:rPr>
        <w:t> </w:t>
      </w:r>
      <w:r>
        <w:rPr>
          <w:rFonts w:ascii="Arial"/>
          <w:i/>
          <w:sz w:val="20"/>
        </w:rPr>
        <w:t>[2016]</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2450;</w:t>
      </w:r>
      <w:r>
        <w:rPr>
          <w:rFonts w:ascii="Arial"/>
          <w:i/>
          <w:spacing w:val="1"/>
          <w:sz w:val="20"/>
        </w:rPr>
        <w:t> </w:t>
      </w:r>
      <w:r>
        <w:rPr>
          <w:rFonts w:ascii="Arial"/>
          <w:i/>
          <w:sz w:val="20"/>
        </w:rPr>
        <w:t>[2017]</w:t>
      </w:r>
      <w:r>
        <w:rPr>
          <w:rFonts w:ascii="Arial"/>
          <w:i/>
          <w:spacing w:val="1"/>
          <w:sz w:val="20"/>
        </w:rPr>
        <w:t> </w:t>
      </w:r>
      <w:r>
        <w:rPr>
          <w:rFonts w:ascii="Arial"/>
          <w:i/>
          <w:sz w:val="20"/>
        </w:rPr>
        <w:t>UKSC</w:t>
      </w:r>
      <w:r>
        <w:rPr>
          <w:rFonts w:ascii="Arial"/>
          <w:i/>
          <w:spacing w:val="1"/>
          <w:sz w:val="20"/>
        </w:rPr>
        <w:t> </w:t>
      </w:r>
      <w:r>
        <w:rPr>
          <w:rFonts w:ascii="Arial"/>
          <w:i/>
          <w:spacing w:val="-5"/>
          <w:sz w:val="20"/>
        </w:rPr>
        <w:t>43,</w:t>
      </w:r>
    </w:p>
    <w:p>
      <w:pPr>
        <w:spacing w:line="235" w:lineRule="auto" w:before="2"/>
        <w:ind w:left="165" w:right="0" w:firstLine="0"/>
        <w:jc w:val="left"/>
        <w:rPr>
          <w:sz w:val="20"/>
        </w:rPr>
      </w:pPr>
      <w:r>
        <w:rPr>
          <w:sz w:val="20"/>
        </w:rPr>
        <w:drawing>
          <wp:anchor distT="0" distB="0" distL="0" distR="0" allowOverlap="1" layoutInCell="1" locked="0" behindDoc="0" simplePos="0" relativeHeight="15784960">
            <wp:simplePos x="0" y="0"/>
            <wp:positionH relativeFrom="page">
              <wp:posOffset>1257846</wp:posOffset>
            </wp:positionH>
            <wp:positionV relativeFrom="paragraph">
              <wp:posOffset>-116144</wp:posOffset>
            </wp:positionV>
            <wp:extent cx="107988" cy="107988"/>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[2017]</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2581</w:t>
      </w:r>
      <w:r>
        <w:rPr>
          <w:sz w:val="20"/>
        </w:rPr>
        <w:t>.</w:t>
      </w:r>
      <w:r>
        <w:rPr>
          <w:spacing w:val="34"/>
          <w:sz w:val="20"/>
        </w:rPr>
        <w:t> </w:t>
      </w:r>
      <w:r>
        <w:rPr>
          <w:sz w:val="20"/>
        </w:rPr>
        <w:t>The</w:t>
      </w:r>
      <w:r>
        <w:rPr>
          <w:spacing w:val="34"/>
          <w:sz w:val="20"/>
        </w:rPr>
        <w:t> </w:t>
      </w:r>
      <w:r>
        <w:rPr>
          <w:sz w:val="20"/>
        </w:rPr>
        <w:t>first</w:t>
      </w:r>
      <w:r>
        <w:rPr>
          <w:spacing w:val="34"/>
          <w:sz w:val="20"/>
        </w:rPr>
        <w:t> </w:t>
      </w:r>
      <w:r>
        <w:rPr>
          <w:sz w:val="20"/>
        </w:rPr>
        <w:t>instance</w:t>
      </w:r>
      <w:r>
        <w:rPr>
          <w:spacing w:val="34"/>
          <w:sz w:val="20"/>
        </w:rPr>
        <w:t> </w:t>
      </w:r>
      <w:r>
        <w:rPr>
          <w:sz w:val="20"/>
        </w:rPr>
        <w:t>decision</w:t>
      </w:r>
      <w:r>
        <w:rPr>
          <w:spacing w:val="34"/>
          <w:sz w:val="20"/>
        </w:rPr>
        <w:t> </w:t>
      </w:r>
      <w:r>
        <w:rPr>
          <w:sz w:val="20"/>
        </w:rPr>
        <w:t>was</w:t>
      </w:r>
      <w:r>
        <w:rPr>
          <w:spacing w:val="34"/>
          <w:sz w:val="20"/>
        </w:rPr>
        <w:t> </w:t>
      </w:r>
      <w:r>
        <w:rPr>
          <w:sz w:val="20"/>
        </w:rPr>
        <w:t>applied</w:t>
      </w:r>
      <w:r>
        <w:rPr>
          <w:spacing w:val="34"/>
          <w:sz w:val="20"/>
        </w:rPr>
        <w:t> </w:t>
      </w:r>
      <w:r>
        <w:rPr>
          <w:sz w:val="20"/>
        </w:rPr>
        <w:t>in</w:t>
      </w:r>
      <w:r>
        <w:rPr>
          <w:spacing w:val="33"/>
          <w:sz w:val="20"/>
        </w:rPr>
        <w:t> </w:t>
      </w:r>
      <w:r>
        <w:rPr>
          <w:rFonts w:ascii="Arial"/>
          <w:i/>
          <w:sz w:val="20"/>
        </w:rPr>
        <w:t>Thai</w:t>
      </w:r>
      <w:r>
        <w:rPr>
          <w:rFonts w:ascii="Arial"/>
          <w:i/>
          <w:spacing w:val="34"/>
          <w:sz w:val="20"/>
        </w:rPr>
        <w:t> </w:t>
      </w:r>
      <w:r>
        <w:rPr>
          <w:rFonts w:ascii="Arial"/>
          <w:i/>
          <w:sz w:val="20"/>
        </w:rPr>
        <w:t>Airways</w:t>
      </w:r>
      <w:r>
        <w:rPr>
          <w:rFonts w:ascii="Arial"/>
          <w:i/>
          <w:spacing w:val="34"/>
          <w:sz w:val="20"/>
        </w:rPr>
        <w:t> </w:t>
      </w:r>
      <w:r>
        <w:rPr>
          <w:rFonts w:ascii="Arial"/>
          <w:i/>
          <w:sz w:val="20"/>
        </w:rPr>
        <w:t>International Public Co Ltd v KI Holdings Co Ltd [2015] EWHC 1250 (Comm) </w:t>
      </w:r>
      <w:r>
        <w:rPr>
          <w:sz w:val="20"/>
        </w:rPr>
        <w:t>at [51].</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070" w:id="1072"/>
      <w:bookmarkEnd w:id="1072"/>
      <w:r>
        <w:rPr/>
      </w:r>
      <w:hyperlink w:history="true" w:anchor="_bookmark1028">
        <w:r>
          <w:rPr>
            <w:color w:val="005DA1"/>
            <w:spacing w:val="-4"/>
            <w:sz w:val="14"/>
            <w:u w:val="single" w:color="005DA1"/>
          </w:rPr>
          <w:t>552</w:t>
        </w:r>
      </w:hyperlink>
      <w:r>
        <w:rPr>
          <w:spacing w:val="-4"/>
          <w:sz w:val="14"/>
        </w:rPr>
        <w:t>.</w:t>
      </w:r>
    </w:p>
    <w:p>
      <w:pPr>
        <w:spacing w:line="227" w:lineRule="exact" w:before="208"/>
        <w:ind w:left="335" w:right="0" w:firstLine="0"/>
        <w:jc w:val="left"/>
        <w:rPr>
          <w:sz w:val="20"/>
        </w:rPr>
      </w:pPr>
      <w:r>
        <w:rPr/>
        <w:br w:type="column"/>
      </w:r>
      <w:r>
        <w:rPr>
          <w:rFonts w:ascii="Arial" w:hAnsi="Arial"/>
          <w:i/>
          <w:sz w:val="20"/>
        </w:rPr>
        <w:t>[2014]</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1547</w:t>
      </w:r>
      <w:r>
        <w:rPr>
          <w:rFonts w:ascii="Arial" w:hAnsi="Arial"/>
          <w:i/>
          <w:spacing w:val="27"/>
          <w:sz w:val="20"/>
        </w:rPr>
        <w:t> </w:t>
      </w:r>
      <w:r>
        <w:rPr>
          <w:rFonts w:ascii="Arial" w:hAnsi="Arial"/>
          <w:i/>
          <w:sz w:val="20"/>
        </w:rPr>
        <w:t>(Comm)</w:t>
      </w:r>
      <w:r>
        <w:rPr>
          <w:rFonts w:ascii="Arial" w:hAnsi="Arial"/>
          <w:i/>
          <w:spacing w:val="27"/>
          <w:sz w:val="20"/>
        </w:rPr>
        <w:t> </w:t>
      </w:r>
      <w:r>
        <w:rPr>
          <w:sz w:val="20"/>
        </w:rPr>
        <w:t>at</w:t>
      </w:r>
      <w:r>
        <w:rPr>
          <w:spacing w:val="27"/>
          <w:sz w:val="20"/>
        </w:rPr>
        <w:t> </w:t>
      </w:r>
      <w:r>
        <w:rPr>
          <w:sz w:val="20"/>
        </w:rPr>
        <w:t>[63]–[64],</w:t>
      </w:r>
      <w:r>
        <w:rPr>
          <w:spacing w:val="27"/>
          <w:sz w:val="20"/>
        </w:rPr>
        <w:t> </w:t>
      </w:r>
      <w:r>
        <w:rPr>
          <w:sz w:val="20"/>
        </w:rPr>
        <w:t>quoted</w:t>
      </w:r>
      <w:r>
        <w:rPr>
          <w:spacing w:val="27"/>
          <w:sz w:val="20"/>
        </w:rPr>
        <w:t> </w:t>
      </w:r>
      <w:r>
        <w:rPr>
          <w:sz w:val="20"/>
        </w:rPr>
        <w:t>in</w:t>
      </w:r>
      <w:r>
        <w:rPr>
          <w:spacing w:val="27"/>
          <w:sz w:val="20"/>
        </w:rPr>
        <w:t> </w:t>
      </w:r>
      <w:r>
        <w:rPr>
          <w:sz w:val="20"/>
        </w:rPr>
        <w:t>full</w:t>
      </w:r>
      <w:r>
        <w:rPr>
          <w:spacing w:val="27"/>
          <w:sz w:val="20"/>
        </w:rPr>
        <w:t> </w:t>
      </w:r>
      <w:r>
        <w:rPr>
          <w:sz w:val="20"/>
        </w:rPr>
        <w:t>by</w:t>
      </w:r>
      <w:r>
        <w:rPr>
          <w:spacing w:val="27"/>
          <w:sz w:val="20"/>
        </w:rPr>
        <w:t> </w:t>
      </w:r>
      <w:r>
        <w:rPr>
          <w:sz w:val="20"/>
        </w:rPr>
        <w:t>Lord</w:t>
      </w:r>
      <w:r>
        <w:rPr>
          <w:spacing w:val="27"/>
          <w:sz w:val="20"/>
        </w:rPr>
        <w:t> </w:t>
      </w:r>
      <w:r>
        <w:rPr>
          <w:sz w:val="20"/>
        </w:rPr>
        <w:t>Clarke</w:t>
      </w:r>
      <w:r>
        <w:rPr>
          <w:spacing w:val="27"/>
          <w:sz w:val="20"/>
        </w:rPr>
        <w:t> </w:t>
      </w:r>
      <w:r>
        <w:rPr>
          <w:rFonts w:ascii="Arial" w:hAnsi="Arial"/>
          <w:i/>
          <w:sz w:val="20"/>
        </w:rPr>
        <w:t>[2017]</w:t>
      </w:r>
      <w:r>
        <w:rPr>
          <w:rFonts w:ascii="Arial" w:hAnsi="Arial"/>
          <w:i/>
          <w:spacing w:val="27"/>
          <w:sz w:val="20"/>
        </w:rPr>
        <w:t> </w:t>
      </w:r>
      <w:r>
        <w:rPr>
          <w:rFonts w:ascii="Arial" w:hAnsi="Arial"/>
          <w:i/>
          <w:sz w:val="20"/>
        </w:rPr>
        <w:t>UKSC</w:t>
      </w:r>
      <w:r>
        <w:rPr>
          <w:rFonts w:ascii="Arial" w:hAnsi="Arial"/>
          <w:i/>
          <w:spacing w:val="27"/>
          <w:sz w:val="20"/>
        </w:rPr>
        <w:t> </w:t>
      </w:r>
      <w:r>
        <w:rPr>
          <w:rFonts w:ascii="Arial" w:hAnsi="Arial"/>
          <w:i/>
          <w:sz w:val="20"/>
        </w:rPr>
        <w:t>43</w:t>
      </w:r>
      <w:r>
        <w:rPr>
          <w:rFonts w:ascii="Arial" w:hAnsi="Arial"/>
          <w:i/>
          <w:spacing w:val="27"/>
          <w:sz w:val="20"/>
        </w:rPr>
        <w:t> </w:t>
      </w:r>
      <w:r>
        <w:rPr>
          <w:spacing w:val="-5"/>
          <w:sz w:val="20"/>
        </w:rPr>
        <w:t>at</w:t>
      </w:r>
    </w:p>
    <w:p>
      <w:pPr>
        <w:pStyle w:val="BodyText"/>
        <w:spacing w:line="227" w:lineRule="exact"/>
        <w:ind w:left="165"/>
      </w:pPr>
      <w:r>
        <w:rPr/>
        <w:drawing>
          <wp:anchor distT="0" distB="0" distL="0" distR="0" allowOverlap="1" layoutInCell="1" locked="0" behindDoc="0" simplePos="0" relativeHeight="15785472">
            <wp:simplePos x="0" y="0"/>
            <wp:positionH relativeFrom="page">
              <wp:posOffset>1257846</wp:posOffset>
            </wp:positionH>
            <wp:positionV relativeFrom="paragraph">
              <wp:posOffset>-116297</wp:posOffset>
            </wp:positionV>
            <wp:extent cx="107988" cy="107988"/>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anchor>
        </w:drawing>
      </w:r>
      <w:r>
        <w:rPr>
          <w:spacing w:val="-2"/>
        </w:rPr>
        <w:t>[16].</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029">
        <w:r>
          <w:rPr>
            <w:color w:val="005DA1"/>
            <w:spacing w:val="-4"/>
            <w:sz w:val="14"/>
            <w:u w:val="single" w:color="005DA1"/>
          </w:rPr>
          <w:t>553</w:t>
        </w:r>
      </w:hyperlink>
      <w:r>
        <w:rPr>
          <w:spacing w:val="-4"/>
          <w:sz w:val="14"/>
        </w:rPr>
        <w:t>.</w:t>
      </w:r>
    </w:p>
    <w:p>
      <w:pPr>
        <w:spacing w:line="240" w:lineRule="auto" w:before="60"/>
        <w:rPr>
          <w:sz w:val="20"/>
        </w:rPr>
      </w:pPr>
      <w:r>
        <w:rPr/>
        <w:br w:type="column"/>
      </w:r>
      <w:r>
        <w:rPr>
          <w:sz w:val="20"/>
        </w:rPr>
      </w:r>
    </w:p>
    <w:p>
      <w:pPr>
        <w:pStyle w:val="BodyText"/>
        <w:spacing w:line="235" w:lineRule="auto"/>
        <w:ind w:left="165" w:right="168" w:firstLine="170"/>
      </w:pPr>
      <w:r>
        <w:rPr/>
        <w:drawing>
          <wp:anchor distT="0" distB="0" distL="0" distR="0" allowOverlap="1" layoutInCell="1" locked="0" behindDoc="0" simplePos="0" relativeHeight="15785984">
            <wp:simplePos x="0" y="0"/>
            <wp:positionH relativeFrom="page">
              <wp:posOffset>1257846</wp:posOffset>
            </wp:positionH>
            <wp:positionV relativeFrom="paragraph">
              <wp:posOffset>25903</wp:posOffset>
            </wp:positionV>
            <wp:extent cx="107988" cy="107988"/>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rPr>
        <w:t>[2015] EWCA Civ 1299</w:t>
      </w:r>
      <w:r>
        <w:rPr/>
        <w:t>. The CA decision was the subject of a critical note by Hooper (2016) 132 L.Q.R. 547. See also McLauchlan [2016] L.M.C.L.Q. 459.</w:t>
      </w:r>
    </w:p>
    <w:p>
      <w:pPr>
        <w:pStyle w:val="BodyText"/>
        <w:spacing w:after="0" w:line="235" w:lineRule="auto"/>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160681</wp:posOffset>
            </wp:positionV>
            <wp:extent cx="107988" cy="107988"/>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1" w:id="1073"/>
      <w:bookmarkEnd w:id="1073"/>
      <w:r>
        <w:rPr/>
      </w:r>
      <w:hyperlink w:history="true" w:anchor="_bookmark1030">
        <w:r>
          <w:rPr>
            <w:color w:val="005DA1"/>
            <w:spacing w:val="-4"/>
            <w:sz w:val="14"/>
            <w:u w:val="single" w:color="005DA1"/>
          </w:rPr>
          <w:t>554</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[2015] EWCA Civ 1299 </w:t>
      </w:r>
      <w:r>
        <w:rPr>
          <w:sz w:val="20"/>
        </w:rPr>
        <w:t>at [23]. For the application of a similar principle in a case of </w:t>
      </w:r>
      <w:r>
        <w:rPr>
          <w:sz w:val="20"/>
        </w:rPr>
        <w:t>a solicitor’s negligence in failing to discover a restriction on use of property the client was buying, where subsequently the client was able to get the restriction lifted at minimal cost, see </w:t>
      </w:r>
      <w:r>
        <w:rPr>
          <w:rFonts w:ascii="Arial" w:hAnsi="Arial"/>
          <w:i/>
          <w:sz w:val="20"/>
        </w:rPr>
        <w:t>Bacciottini v Gotelee &amp; Goldsmith [2016] EWCA Civ 170, [2016] 4 W.L.R. 98</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072" w:id="1074"/>
      <w:bookmarkEnd w:id="1074"/>
      <w:r>
        <w:rPr/>
      </w:r>
      <w:hyperlink w:history="true" w:anchor="_bookmark1031">
        <w:r>
          <w:rPr>
            <w:color w:val="005DA1"/>
            <w:spacing w:val="-4"/>
            <w:sz w:val="14"/>
            <w:u w:val="single" w:color="005DA1"/>
          </w:rPr>
          <w:t>555</w:t>
        </w:r>
      </w:hyperlink>
      <w:r>
        <w:rPr>
          <w:spacing w:val="-4"/>
          <w:sz w:val="14"/>
        </w:rPr>
        <w:t>.</w:t>
      </w:r>
    </w:p>
    <w:p>
      <w:pPr>
        <w:spacing w:before="208"/>
        <w:ind w:left="335" w:right="0" w:firstLine="0"/>
        <w:jc w:val="left"/>
        <w:rPr>
          <w:sz w:val="20"/>
        </w:rPr>
      </w:pPr>
      <w:r>
        <w:rPr/>
        <w:br w:type="column"/>
      </w:r>
      <w:r>
        <w:rPr>
          <w:rFonts w:ascii="Arial"/>
          <w:i/>
          <w:sz w:val="20"/>
        </w:rPr>
        <w:t>[2015] EWCA Civ 1299</w:t>
      </w:r>
      <w:r>
        <w:rPr>
          <w:rFonts w:ascii="Arial"/>
          <w:i/>
          <w:spacing w:val="-1"/>
          <w:sz w:val="20"/>
        </w:rPr>
        <w:t> </w:t>
      </w:r>
      <w:r>
        <w:rPr>
          <w:sz w:val="20"/>
        </w:rPr>
        <w:t>at [24] and </w:t>
      </w:r>
      <w:r>
        <w:rPr>
          <w:spacing w:val="-2"/>
          <w:sz w:val="20"/>
        </w:rPr>
        <w:t>[49].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-211098</wp:posOffset>
            </wp:positionV>
            <wp:extent cx="107988" cy="107988"/>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3" w:id="1075"/>
      <w:bookmarkEnd w:id="1075"/>
      <w:r>
        <w:rPr/>
      </w:r>
      <w:hyperlink w:history="true" w:anchor="_bookmark1032">
        <w:r>
          <w:rPr>
            <w:color w:val="005DA1"/>
            <w:spacing w:val="-4"/>
            <w:sz w:val="14"/>
            <w:u w:val="single" w:color="005DA1"/>
          </w:rPr>
          <w:t>556</w:t>
        </w:r>
      </w:hyperlink>
      <w:r>
        <w:rPr>
          <w:spacing w:val="-4"/>
          <w:sz w:val="14"/>
        </w:rPr>
        <w:t>.</w:t>
      </w:r>
    </w:p>
    <w:p>
      <w:pPr>
        <w:spacing w:before="208"/>
        <w:ind w:left="335" w:right="0" w:firstLine="0"/>
        <w:jc w:val="left"/>
        <w:rPr>
          <w:sz w:val="20"/>
        </w:rPr>
      </w:pPr>
      <w:r>
        <w:rPr/>
        <w:br w:type="column"/>
      </w:r>
      <w:r>
        <w:rPr>
          <w:rFonts w:ascii="Arial"/>
          <w:i/>
          <w:sz w:val="20"/>
        </w:rPr>
        <w:t>[2015] EWCA Civ 1299</w:t>
      </w:r>
      <w:r>
        <w:rPr>
          <w:rFonts w:ascii="Arial"/>
          <w:i/>
          <w:spacing w:val="-1"/>
          <w:sz w:val="20"/>
        </w:rPr>
        <w:t> </w:t>
      </w:r>
      <w:r>
        <w:rPr>
          <w:sz w:val="20"/>
        </w:rPr>
        <w:t>at [30] and </w:t>
      </w:r>
      <w:r>
        <w:rPr>
          <w:spacing w:val="-2"/>
          <w:sz w:val="20"/>
        </w:rPr>
        <w:t>[50].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-211078</wp:posOffset>
            </wp:positionV>
            <wp:extent cx="107988" cy="107988"/>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4" w:id="1076"/>
      <w:bookmarkEnd w:id="1076"/>
      <w:r>
        <w:rPr/>
      </w:r>
      <w:hyperlink w:history="true" w:anchor="_bookmark1033">
        <w:r>
          <w:rPr>
            <w:color w:val="005DA1"/>
            <w:spacing w:val="-4"/>
            <w:sz w:val="14"/>
            <w:u w:val="single" w:color="005DA1"/>
          </w:rPr>
          <w:t>557</w:t>
        </w:r>
      </w:hyperlink>
      <w:r>
        <w:rPr>
          <w:spacing w:val="-4"/>
          <w:sz w:val="14"/>
        </w:rPr>
        <w:t>.</w:t>
      </w:r>
    </w:p>
    <w:p>
      <w:pPr>
        <w:spacing w:before="208"/>
        <w:ind w:left="335" w:right="0" w:firstLine="0"/>
        <w:jc w:val="left"/>
        <w:rPr>
          <w:sz w:val="20"/>
        </w:rPr>
      </w:pPr>
      <w:r>
        <w:rPr/>
        <w:br w:type="column"/>
      </w:r>
      <w:r>
        <w:rPr>
          <w:rFonts w:ascii="Arial"/>
          <w:i/>
          <w:sz w:val="20"/>
        </w:rPr>
        <w:t>[2017] UKSC 43, [2017] 1 W.L.R. </w:t>
      </w:r>
      <w:r>
        <w:rPr>
          <w:rFonts w:ascii="Arial"/>
          <w:i/>
          <w:spacing w:val="-2"/>
          <w:sz w:val="20"/>
        </w:rPr>
        <w:t>2581</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8032">
            <wp:simplePos x="0" y="0"/>
            <wp:positionH relativeFrom="page">
              <wp:posOffset>1257846</wp:posOffset>
            </wp:positionH>
            <wp:positionV relativeFrom="paragraph">
              <wp:posOffset>-211058</wp:posOffset>
            </wp:positionV>
            <wp:extent cx="107988" cy="107988"/>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5" w:id="1077"/>
      <w:bookmarkEnd w:id="1077"/>
      <w:r>
        <w:rPr/>
      </w:r>
      <w:hyperlink w:history="true" w:anchor="_bookmark1034">
        <w:r>
          <w:rPr>
            <w:color w:val="005DA1"/>
            <w:spacing w:val="-4"/>
            <w:sz w:val="14"/>
            <w:u w:val="single" w:color="005DA1"/>
          </w:rPr>
          <w:t>558</w:t>
        </w:r>
      </w:hyperlink>
      <w:r>
        <w:rPr>
          <w:spacing w:val="-4"/>
          <w:sz w:val="14"/>
        </w:rPr>
        <w:t>.</w:t>
      </w:r>
    </w:p>
    <w:p>
      <w:pPr>
        <w:spacing w:before="208"/>
        <w:ind w:left="335" w:right="0" w:firstLine="0"/>
        <w:jc w:val="left"/>
        <w:rPr>
          <w:sz w:val="20"/>
        </w:rPr>
      </w:pPr>
      <w:r>
        <w:rPr/>
        <w:br w:type="column"/>
      </w:r>
      <w:r>
        <w:rPr>
          <w:rFonts w:ascii="Arial" w:hAnsi="Arial"/>
          <w:i/>
          <w:sz w:val="20"/>
        </w:rPr>
        <w:t>[2017] UKSC 43</w:t>
      </w:r>
      <w:r>
        <w:rPr>
          <w:rFonts w:ascii="Arial" w:hAnsi="Arial"/>
          <w:i/>
          <w:spacing w:val="-1"/>
          <w:sz w:val="20"/>
        </w:rPr>
        <w:t> </w:t>
      </w:r>
      <w:r>
        <w:rPr>
          <w:sz w:val="20"/>
        </w:rPr>
        <w:t>at </w:t>
      </w:r>
      <w:r>
        <w:rPr>
          <w:spacing w:val="-2"/>
          <w:sz w:val="20"/>
        </w:rPr>
        <w:t>[29]–[30].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8544">
            <wp:simplePos x="0" y="0"/>
            <wp:positionH relativeFrom="page">
              <wp:posOffset>1257846</wp:posOffset>
            </wp:positionH>
            <wp:positionV relativeFrom="paragraph">
              <wp:posOffset>-211038</wp:posOffset>
            </wp:positionV>
            <wp:extent cx="107988" cy="107988"/>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6" w:id="1078"/>
      <w:bookmarkEnd w:id="1078"/>
      <w:r>
        <w:rPr/>
      </w:r>
      <w:hyperlink w:history="true" w:anchor="_bookmark1035">
        <w:r>
          <w:rPr>
            <w:color w:val="005DA1"/>
            <w:spacing w:val="-4"/>
            <w:sz w:val="14"/>
            <w:u w:val="single" w:color="005DA1"/>
          </w:rPr>
          <w:t>559</w:t>
        </w:r>
      </w:hyperlink>
      <w:r>
        <w:rPr>
          <w:spacing w:val="-4"/>
          <w:sz w:val="14"/>
        </w:rPr>
        <w:t>.</w:t>
      </w:r>
    </w:p>
    <w:p>
      <w:pPr>
        <w:spacing w:before="208"/>
        <w:ind w:left="335" w:right="0" w:firstLine="0"/>
        <w:jc w:val="left"/>
        <w:rPr>
          <w:sz w:val="20"/>
        </w:rPr>
      </w:pPr>
      <w:r>
        <w:rPr/>
        <w:br w:type="column"/>
      </w:r>
      <w:r>
        <w:rPr>
          <w:rFonts w:ascii="Arial" w:hAnsi="Arial"/>
          <w:i/>
          <w:sz w:val="20"/>
        </w:rPr>
        <w:t>[2017] UKSC 43</w:t>
      </w:r>
      <w:r>
        <w:rPr>
          <w:rFonts w:ascii="Arial" w:hAnsi="Arial"/>
          <w:i/>
          <w:spacing w:val="-1"/>
          <w:sz w:val="20"/>
        </w:rPr>
        <w:t> </w:t>
      </w:r>
      <w:r>
        <w:rPr>
          <w:sz w:val="20"/>
        </w:rPr>
        <w:t>at </w:t>
      </w:r>
      <w:r>
        <w:rPr>
          <w:spacing w:val="-2"/>
          <w:sz w:val="20"/>
        </w:rPr>
        <w:t>[32]–[33].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056">
            <wp:simplePos x="0" y="0"/>
            <wp:positionH relativeFrom="page">
              <wp:posOffset>1257846</wp:posOffset>
            </wp:positionH>
            <wp:positionV relativeFrom="paragraph">
              <wp:posOffset>-211018</wp:posOffset>
            </wp:positionV>
            <wp:extent cx="107988" cy="107988"/>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7" w:id="1079"/>
      <w:bookmarkEnd w:id="1079"/>
      <w:r>
        <w:rPr/>
      </w:r>
      <w:hyperlink w:history="true" w:anchor="_bookmark1036">
        <w:r>
          <w:rPr>
            <w:color w:val="005DA1"/>
            <w:spacing w:val="-4"/>
            <w:sz w:val="14"/>
            <w:u w:val="single" w:color="005DA1"/>
          </w:rPr>
          <w:t>560</w:t>
        </w:r>
      </w:hyperlink>
      <w:r>
        <w:rPr>
          <w:spacing w:val="-4"/>
          <w:sz w:val="14"/>
        </w:rPr>
        <w:t>.</w:t>
      </w:r>
    </w:p>
    <w:p>
      <w:pPr>
        <w:spacing w:before="208"/>
        <w:ind w:left="335" w:right="0" w:firstLine="0"/>
        <w:jc w:val="left"/>
        <w:rPr>
          <w:sz w:val="20"/>
        </w:rPr>
      </w:pPr>
      <w:r>
        <w:rPr/>
        <w:br w:type="column"/>
      </w:r>
      <w:r>
        <w:rPr>
          <w:rFonts w:ascii="Arial"/>
          <w:i/>
          <w:sz w:val="20"/>
        </w:rPr>
        <w:t>[2017] UKSC 43</w:t>
      </w:r>
      <w:r>
        <w:rPr>
          <w:rFonts w:ascii="Arial"/>
          <w:i/>
          <w:spacing w:val="-1"/>
          <w:sz w:val="20"/>
        </w:rPr>
        <w:t> </w:t>
      </w:r>
      <w:r>
        <w:rPr>
          <w:sz w:val="20"/>
        </w:rPr>
        <w:t>at </w:t>
      </w:r>
      <w:r>
        <w:rPr>
          <w:spacing w:val="-2"/>
          <w:sz w:val="20"/>
        </w:rPr>
        <w:t>[34].</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568">
            <wp:simplePos x="0" y="0"/>
            <wp:positionH relativeFrom="page">
              <wp:posOffset>1257846</wp:posOffset>
            </wp:positionH>
            <wp:positionV relativeFrom="paragraph">
              <wp:posOffset>-210998</wp:posOffset>
            </wp:positionV>
            <wp:extent cx="107988" cy="107988"/>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8" w:id="1080"/>
      <w:bookmarkEnd w:id="1080"/>
      <w:r>
        <w:rPr/>
      </w:r>
      <w:hyperlink w:history="true" w:anchor="_bookmark1037">
        <w:r>
          <w:rPr>
            <w:color w:val="005DA1"/>
            <w:spacing w:val="-4"/>
            <w:sz w:val="14"/>
            <w:u w:val="single" w:color="005DA1"/>
          </w:rPr>
          <w:t>561</w:t>
        </w:r>
      </w:hyperlink>
      <w:r>
        <w:rPr>
          <w:spacing w:val="-4"/>
          <w:sz w:val="14"/>
        </w:rPr>
        <w:t>.</w:t>
      </w:r>
    </w:p>
    <w:p>
      <w:pPr>
        <w:spacing w:before="208"/>
        <w:ind w:left="335" w:right="0" w:firstLine="0"/>
        <w:jc w:val="left"/>
        <w:rPr>
          <w:sz w:val="20"/>
        </w:rPr>
      </w:pPr>
      <w:r>
        <w:rPr/>
        <w:br w:type="column"/>
      </w:r>
      <w:r>
        <w:rPr>
          <w:rFonts w:ascii="Arial"/>
          <w:i/>
          <w:sz w:val="20"/>
        </w:rPr>
        <w:t>[2017] UKSC 43</w:t>
      </w:r>
      <w:r>
        <w:rPr>
          <w:rFonts w:ascii="Arial"/>
          <w:i/>
          <w:spacing w:val="-1"/>
          <w:sz w:val="20"/>
        </w:rPr>
        <w:t> </w:t>
      </w:r>
      <w:r>
        <w:rPr>
          <w:sz w:val="20"/>
        </w:rPr>
        <w:t>at </w:t>
      </w:r>
      <w:r>
        <w:rPr>
          <w:spacing w:val="-2"/>
          <w:sz w:val="20"/>
        </w:rPr>
        <w:t>[35].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-210979</wp:posOffset>
            </wp:positionV>
            <wp:extent cx="107988" cy="107988"/>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0592">
            <wp:simplePos x="0" y="0"/>
            <wp:positionH relativeFrom="page">
              <wp:posOffset>1257846</wp:posOffset>
            </wp:positionH>
            <wp:positionV relativeFrom="paragraph">
              <wp:posOffset>160495</wp:posOffset>
            </wp:positionV>
            <wp:extent cx="107988" cy="107988"/>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79" w:id="1081"/>
      <w:bookmarkEnd w:id="1081"/>
      <w:r>
        <w:rPr/>
      </w:r>
      <w:hyperlink w:history="true" w:anchor="_bookmark1038">
        <w:r>
          <w:rPr>
            <w:color w:val="005DA1"/>
            <w:spacing w:val="-4"/>
            <w:sz w:val="14"/>
            <w:u w:val="single" w:color="005DA1"/>
          </w:rPr>
          <w:t>562</w:t>
        </w:r>
      </w:hyperlink>
      <w:r>
        <w:rPr>
          <w:spacing w:val="-4"/>
          <w:sz w:val="14"/>
        </w:rPr>
        <w:t>.</w:t>
      </w:r>
    </w:p>
    <w:p>
      <w:pPr>
        <w:pStyle w:val="BodyText"/>
        <w:spacing w:line="235" w:lineRule="auto" w:before="212"/>
        <w:ind w:left="165" w:right="167" w:firstLine="170"/>
        <w:jc w:val="both"/>
      </w:pPr>
      <w:r>
        <w:rPr/>
        <w:br w:type="column"/>
      </w:r>
      <w:r>
        <w:rPr/>
        <w:t>See Main Work, Vol.I, para.26-102. In the Court of Appeal, counsel for the charterers had accepted that if the sale had been in consequence of the breach and had been undertaken by way of mitigation, and the price had risen between 2007 and 2009, the charterers would </w:t>
      </w:r>
      <w:r>
        <w:rPr/>
        <w:t>have been liable for the owner’s inability to take advantage of the rise: see </w:t>
      </w:r>
      <w:r>
        <w:rPr>
          <w:rFonts w:ascii="Arial" w:hAnsi="Arial"/>
          <w:i/>
        </w:rPr>
        <w:t>[2017] UKSC 43 </w:t>
      </w:r>
      <w:r>
        <w:rPr/>
        <w:t>at [28].</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080" w:id="1082"/>
      <w:bookmarkEnd w:id="1082"/>
      <w:r>
        <w:rPr/>
      </w:r>
      <w:hyperlink w:history="true" w:anchor="_bookmark1039">
        <w:r>
          <w:rPr>
            <w:color w:val="005DA1"/>
            <w:spacing w:val="-4"/>
            <w:sz w:val="14"/>
            <w:u w:val="single" w:color="005DA1"/>
          </w:rPr>
          <w:t>563</w:t>
        </w:r>
      </w:hyperlink>
      <w:r>
        <w:rPr>
          <w:spacing w:val="-4"/>
          <w:sz w:val="14"/>
        </w:rPr>
        <w:t>.</w:t>
      </w:r>
    </w:p>
    <w:p>
      <w:pPr>
        <w:spacing w:before="208"/>
        <w:ind w:left="335" w:right="0" w:firstLine="0"/>
        <w:jc w:val="left"/>
        <w:rPr>
          <w:sz w:val="20"/>
        </w:rPr>
      </w:pPr>
      <w:r>
        <w:rPr/>
        <w:br w:type="column"/>
      </w:r>
      <w:r>
        <w:rPr>
          <w:sz w:val="20"/>
        </w:rPr>
        <w:t>See</w:t>
      </w:r>
      <w:r>
        <w:rPr>
          <w:spacing w:val="-1"/>
          <w:sz w:val="20"/>
        </w:rPr>
        <w:t> </w:t>
      </w:r>
      <w:r>
        <w:rPr>
          <w:rFonts w:ascii="Arial"/>
          <w:i/>
          <w:sz w:val="20"/>
        </w:rPr>
        <w:t>[2017] UKSC 43</w:t>
      </w:r>
      <w:r>
        <w:rPr>
          <w:rFonts w:ascii="Arial"/>
          <w:i/>
          <w:spacing w:val="-1"/>
          <w:sz w:val="20"/>
        </w:rPr>
        <w:t> </w:t>
      </w:r>
      <w:r>
        <w:rPr>
          <w:sz w:val="20"/>
        </w:rPr>
        <w:t>at </w:t>
      </w:r>
      <w:r>
        <w:rPr>
          <w:spacing w:val="-2"/>
          <w:sz w:val="20"/>
        </w:rPr>
        <w:t>[20].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-211284</wp:posOffset>
            </wp:positionV>
            <wp:extent cx="107988" cy="107988"/>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81" w:id="1083"/>
      <w:bookmarkEnd w:id="1083"/>
      <w:r>
        <w:rPr/>
      </w:r>
      <w:hyperlink w:history="true" w:anchor="_bookmark1040">
        <w:r>
          <w:rPr>
            <w:color w:val="005DA1"/>
            <w:spacing w:val="-4"/>
            <w:sz w:val="14"/>
            <w:u w:val="single" w:color="005DA1"/>
          </w:rPr>
          <w:t>564</w:t>
        </w:r>
      </w:hyperlink>
      <w:r>
        <w:rPr>
          <w:spacing w:val="-4"/>
          <w:sz w:val="14"/>
        </w:rPr>
        <w:t>.</w:t>
      </w:r>
    </w:p>
    <w:p>
      <w:pPr>
        <w:spacing w:before="208"/>
        <w:ind w:left="335" w:right="0" w:firstLine="0"/>
        <w:jc w:val="left"/>
        <w:rPr>
          <w:sz w:val="20"/>
        </w:rPr>
      </w:pPr>
      <w:r>
        <w:rPr/>
        <w:br w:type="column"/>
      </w:r>
      <w:r>
        <w:rPr>
          <w:rFonts w:ascii="Arial"/>
          <w:i/>
          <w:sz w:val="20"/>
        </w:rPr>
        <w:t>[2017] UKSC 43</w:t>
      </w:r>
      <w:r>
        <w:rPr>
          <w:rFonts w:ascii="Arial"/>
          <w:i/>
          <w:spacing w:val="-1"/>
          <w:sz w:val="20"/>
        </w:rPr>
        <w:t> </w:t>
      </w:r>
      <w:r>
        <w:rPr>
          <w:sz w:val="20"/>
        </w:rPr>
        <w:t>at </w:t>
      </w:r>
      <w:r>
        <w:rPr>
          <w:spacing w:val="-2"/>
          <w:sz w:val="20"/>
        </w:rPr>
        <w:t>[35].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1616">
            <wp:simplePos x="0" y="0"/>
            <wp:positionH relativeFrom="page">
              <wp:posOffset>1257846</wp:posOffset>
            </wp:positionH>
            <wp:positionV relativeFrom="paragraph">
              <wp:posOffset>-211264</wp:posOffset>
            </wp:positionV>
            <wp:extent cx="107988" cy="107988"/>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2128">
            <wp:simplePos x="0" y="0"/>
            <wp:positionH relativeFrom="page">
              <wp:posOffset>1257846</wp:posOffset>
            </wp:positionH>
            <wp:positionV relativeFrom="paragraph">
              <wp:posOffset>160210</wp:posOffset>
            </wp:positionV>
            <wp:extent cx="107988" cy="107988"/>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82" w:id="1084"/>
      <w:bookmarkEnd w:id="1084"/>
      <w:r>
        <w:rPr/>
      </w:r>
      <w:hyperlink w:history="true" w:anchor="_bookmark1041">
        <w:r>
          <w:rPr>
            <w:color w:val="005DA1"/>
            <w:spacing w:val="-4"/>
            <w:sz w:val="14"/>
            <w:u w:val="single" w:color="005DA1"/>
          </w:rPr>
          <w:t>565</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Swynson</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Lowick</w:t>
      </w:r>
      <w:r>
        <w:rPr>
          <w:rFonts w:ascii="Arial" w:hAnsi="Arial"/>
          <w:i/>
          <w:spacing w:val="34"/>
          <w:sz w:val="20"/>
        </w:rPr>
        <w:t> </w:t>
      </w:r>
      <w:r>
        <w:rPr>
          <w:rFonts w:ascii="Arial" w:hAnsi="Arial"/>
          <w:i/>
          <w:sz w:val="20"/>
        </w:rPr>
        <w:t>Rose</w:t>
      </w:r>
      <w:r>
        <w:rPr>
          <w:rFonts w:ascii="Arial" w:hAnsi="Arial"/>
          <w:i/>
          <w:spacing w:val="34"/>
          <w:sz w:val="20"/>
        </w:rPr>
        <w:t> </w:t>
      </w:r>
      <w:r>
        <w:rPr>
          <w:rFonts w:ascii="Arial" w:hAnsi="Arial"/>
          <w:i/>
          <w:sz w:val="20"/>
        </w:rPr>
        <w:t>LLP</w:t>
      </w:r>
      <w:r>
        <w:rPr>
          <w:rFonts w:ascii="Arial" w:hAnsi="Arial"/>
          <w:i/>
          <w:spacing w:val="34"/>
          <w:sz w:val="20"/>
        </w:rPr>
        <w:t> </w:t>
      </w:r>
      <w:r>
        <w:rPr>
          <w:rFonts w:ascii="Arial" w:hAnsi="Arial"/>
          <w:i/>
          <w:sz w:val="20"/>
        </w:rPr>
        <w:t>(In</w:t>
      </w:r>
      <w:r>
        <w:rPr>
          <w:rFonts w:ascii="Arial" w:hAnsi="Arial"/>
          <w:i/>
          <w:spacing w:val="34"/>
          <w:sz w:val="20"/>
        </w:rPr>
        <w:t> </w:t>
      </w:r>
      <w:r>
        <w:rPr>
          <w:rFonts w:ascii="Arial" w:hAnsi="Arial"/>
          <w:i/>
          <w:sz w:val="20"/>
        </w:rPr>
        <w:t>Liquidation)</w:t>
      </w:r>
      <w:r>
        <w:rPr>
          <w:rFonts w:ascii="Arial" w:hAnsi="Arial"/>
          <w:i/>
          <w:spacing w:val="34"/>
          <w:sz w:val="20"/>
        </w:rPr>
        <w:t> </w:t>
      </w:r>
      <w:r>
        <w:rPr>
          <w:rFonts w:ascii="Arial" w:hAnsi="Arial"/>
          <w:i/>
          <w:sz w:val="20"/>
        </w:rPr>
        <w:t>(formerly</w:t>
      </w:r>
      <w:r>
        <w:rPr>
          <w:rFonts w:ascii="Arial" w:hAnsi="Arial"/>
          <w:i/>
          <w:spacing w:val="34"/>
          <w:sz w:val="20"/>
        </w:rPr>
        <w:t> </w:t>
      </w:r>
      <w:r>
        <w:rPr>
          <w:rFonts w:ascii="Arial" w:hAnsi="Arial"/>
          <w:i/>
          <w:sz w:val="20"/>
        </w:rPr>
        <w:t>Hurst</w:t>
      </w:r>
      <w:r>
        <w:rPr>
          <w:rFonts w:ascii="Arial" w:hAnsi="Arial"/>
          <w:i/>
          <w:spacing w:val="34"/>
          <w:sz w:val="20"/>
        </w:rPr>
        <w:t> </w:t>
      </w:r>
      <w:r>
        <w:rPr>
          <w:rFonts w:ascii="Arial" w:hAnsi="Arial"/>
          <w:i/>
          <w:sz w:val="20"/>
        </w:rPr>
        <w:t>Morrison</w:t>
      </w:r>
      <w:r>
        <w:rPr>
          <w:rFonts w:ascii="Arial" w:hAnsi="Arial"/>
          <w:i/>
          <w:spacing w:val="34"/>
          <w:sz w:val="20"/>
        </w:rPr>
        <w:t> </w:t>
      </w:r>
      <w:r>
        <w:rPr>
          <w:rFonts w:ascii="Arial" w:hAnsi="Arial"/>
          <w:i/>
          <w:sz w:val="20"/>
        </w:rPr>
        <w:t>Thomson</w:t>
      </w:r>
      <w:r>
        <w:rPr>
          <w:rFonts w:ascii="Arial" w:hAnsi="Arial"/>
          <w:i/>
          <w:spacing w:val="34"/>
          <w:sz w:val="20"/>
        </w:rPr>
        <w:t> </w:t>
      </w:r>
      <w:r>
        <w:rPr>
          <w:rFonts w:ascii="Arial" w:hAnsi="Arial"/>
          <w:i/>
          <w:sz w:val="20"/>
        </w:rPr>
        <w:t>LLP) [2017] UKSC 32, [2017] 2 W.L.R. 1161 </w:t>
      </w:r>
      <w:r>
        <w:rPr>
          <w:sz w:val="20"/>
        </w:rPr>
        <w:t>at [13], [47]–[49], [97] and [99].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083" w:id="1085"/>
      <w:bookmarkEnd w:id="1085"/>
      <w:r>
        <w:rPr/>
      </w:r>
      <w:hyperlink w:history="true" w:anchor="_bookmark1042">
        <w:r>
          <w:rPr>
            <w:color w:val="005DA1"/>
            <w:spacing w:val="-4"/>
            <w:sz w:val="14"/>
            <w:u w:val="single" w:color="005DA1"/>
          </w:rPr>
          <w:t>566</w:t>
        </w:r>
      </w:hyperlink>
      <w:r>
        <w:rPr>
          <w:spacing w:val="-4"/>
          <w:sz w:val="14"/>
        </w:rPr>
        <w:t>.</w:t>
      </w:r>
    </w:p>
    <w:p>
      <w:pPr>
        <w:spacing w:before="208"/>
        <w:ind w:left="335" w:right="0" w:firstLine="0"/>
        <w:jc w:val="left"/>
        <w:rPr>
          <w:sz w:val="20"/>
        </w:rPr>
      </w:pPr>
      <w:r>
        <w:rPr/>
        <w:br w:type="column"/>
      </w:r>
      <w:r>
        <w:rPr>
          <w:rFonts w:ascii="Arial"/>
          <w:i/>
          <w:sz w:val="20"/>
        </w:rPr>
        <w:t>[2017] UKSC 32</w:t>
      </w:r>
      <w:r>
        <w:rPr>
          <w:rFonts w:ascii="Arial"/>
          <w:i/>
          <w:spacing w:val="-1"/>
          <w:sz w:val="20"/>
        </w:rPr>
        <w:t> </w:t>
      </w:r>
      <w:r>
        <w:rPr>
          <w:sz w:val="20"/>
        </w:rPr>
        <w:t>at [13], [46] and [97]; see below, para.26-</w:t>
      </w:r>
      <w:r>
        <w:rPr>
          <w:spacing w:val="-4"/>
          <w:sz w:val="20"/>
        </w:rPr>
        <w:t>102.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spacing w:line="227" w:lineRule="exact"/>
        <w:ind w:left="165"/>
      </w:pPr>
      <w:r>
        <w:rPr/>
        <w:drawing>
          <wp:anchor distT="0" distB="0" distL="0" distR="0" allowOverlap="1" layoutInCell="1" locked="0" behindDoc="0" simplePos="0" relativeHeight="15792640">
            <wp:simplePos x="0" y="0"/>
            <wp:positionH relativeFrom="page">
              <wp:posOffset>1257846</wp:posOffset>
            </wp:positionH>
            <wp:positionV relativeFrom="paragraph">
              <wp:posOffset>-266960</wp:posOffset>
            </wp:positionV>
            <wp:extent cx="107988" cy="107988"/>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84" w:id="1086"/>
      <w:bookmarkEnd w:id="1086"/>
      <w:r>
        <w:rPr/>
      </w:r>
      <w:hyperlink w:history="true" w:anchor="_bookmark1043">
        <w:r>
          <w:rPr>
            <w:color w:val="005DA1"/>
            <w:spacing w:val="-4"/>
            <w:position w:val="5"/>
            <w:sz w:val="14"/>
            <w:u w:val="single" w:color="005DA1"/>
          </w:rPr>
          <w:t>567</w:t>
        </w:r>
      </w:hyperlink>
      <w:r>
        <w:rPr>
          <w:spacing w:val="-4"/>
          <w:position w:val="5"/>
          <w:sz w:val="14"/>
        </w:rPr>
        <w:t>.</w:t>
      </w:r>
      <w:r>
        <w:rPr>
          <w:position w:val="5"/>
          <w:sz w:val="14"/>
        </w:rPr>
        <w:tab/>
      </w:r>
      <w:r>
        <w:rPr/>
        <w:t>The</w:t>
      </w:r>
      <w:r>
        <w:rPr>
          <w:spacing w:val="34"/>
        </w:rPr>
        <w:t> </w:t>
      </w:r>
      <w:r>
        <w:rPr/>
        <w:t>arguments</w:t>
      </w:r>
      <w:r>
        <w:rPr>
          <w:spacing w:val="34"/>
        </w:rPr>
        <w:t> </w:t>
      </w:r>
      <w:r>
        <w:rPr/>
        <w:t>in</w:t>
      </w:r>
      <w:r>
        <w:rPr>
          <w:spacing w:val="34"/>
        </w:rPr>
        <w:t> </w:t>
      </w:r>
      <w:r>
        <w:rPr/>
        <w:t>this</w:t>
      </w:r>
      <w:r>
        <w:rPr>
          <w:spacing w:val="34"/>
        </w:rPr>
        <w:t> </w:t>
      </w:r>
      <w:r>
        <w:rPr/>
        <w:t>paragraph</w:t>
      </w:r>
      <w:r>
        <w:rPr>
          <w:spacing w:val="34"/>
        </w:rPr>
        <w:t> </w:t>
      </w:r>
      <w:r>
        <w:rPr/>
        <w:t>are</w:t>
      </w:r>
      <w:r>
        <w:rPr>
          <w:spacing w:val="34"/>
        </w:rPr>
        <w:t> </w:t>
      </w:r>
      <w:r>
        <w:rPr/>
        <w:t>developed</w:t>
      </w:r>
      <w:r>
        <w:rPr>
          <w:spacing w:val="34"/>
        </w:rPr>
        <w:t> </w:t>
      </w:r>
      <w:r>
        <w:rPr/>
        <w:t>more</w:t>
      </w:r>
      <w:r>
        <w:rPr>
          <w:spacing w:val="34"/>
        </w:rPr>
        <w:t> </w:t>
      </w:r>
      <w:r>
        <w:rPr/>
        <w:t>fully</w:t>
      </w:r>
      <w:r>
        <w:rPr>
          <w:spacing w:val="34"/>
        </w:rPr>
        <w:t> </w:t>
      </w:r>
      <w:r>
        <w:rPr/>
        <w:t>in</w:t>
      </w:r>
      <w:r>
        <w:rPr>
          <w:spacing w:val="34"/>
        </w:rPr>
        <w:t> </w:t>
      </w:r>
      <w:r>
        <w:rPr/>
        <w:t>Harris,</w:t>
      </w:r>
      <w:r>
        <w:rPr>
          <w:spacing w:val="34"/>
        </w:rPr>
        <w:t> </w:t>
      </w:r>
      <w:r>
        <w:rPr/>
        <w:t>Campbell</w:t>
      </w:r>
      <w:r>
        <w:rPr>
          <w:spacing w:val="34"/>
        </w:rPr>
        <w:t> </w:t>
      </w:r>
      <w:r>
        <w:rPr/>
        <w:t>and</w:t>
      </w:r>
      <w:r>
        <w:rPr>
          <w:spacing w:val="34"/>
        </w:rPr>
        <w:t> </w:t>
      </w:r>
      <w:r>
        <w:rPr>
          <w:spacing w:val="-2"/>
        </w:rPr>
        <w:t>Halson,</w:t>
      </w:r>
    </w:p>
    <w:p>
      <w:pPr>
        <w:spacing w:line="227" w:lineRule="exact" w:before="0"/>
        <w:ind w:left="705" w:right="0" w:firstLine="0"/>
        <w:jc w:val="left"/>
        <w:rPr>
          <w:sz w:val="20"/>
        </w:rPr>
      </w:pPr>
      <w:r>
        <w:rPr>
          <w:rFonts w:ascii="Arial" w:hAnsi="Arial"/>
          <w:i/>
          <w:sz w:val="20"/>
        </w:rPr>
        <w:t>Remedies</w:t>
      </w:r>
      <w:r>
        <w:rPr>
          <w:rFonts w:ascii="Arial" w:hAnsi="Arial"/>
          <w:i/>
          <w:spacing w:val="-1"/>
          <w:sz w:val="20"/>
        </w:rPr>
        <w:t> </w:t>
      </w:r>
      <w:r>
        <w:rPr>
          <w:rFonts w:ascii="Arial" w:hAnsi="Arial"/>
          <w:i/>
          <w:sz w:val="20"/>
        </w:rPr>
        <w:t>in Contract and Tort</w:t>
      </w:r>
      <w:r>
        <w:rPr>
          <w:sz w:val="20"/>
        </w:rPr>
        <w:t>, 2nd edn (2002), </w:t>
      </w:r>
      <w:r>
        <w:rPr>
          <w:spacing w:val="-2"/>
          <w:sz w:val="20"/>
        </w:rPr>
        <w:t>pp.115–120</w:t>
      </w:r>
    </w:p>
    <w:p>
      <w:pPr>
        <w:pStyle w:val="BodyText"/>
        <w:spacing w:before="9"/>
      </w:pPr>
    </w:p>
    <w:p>
      <w:pPr>
        <w:tabs>
          <w:tab w:pos="705" w:val="left" w:leader="none"/>
        </w:tabs>
        <w:spacing w:line="235" w:lineRule="auto" w:before="0"/>
        <w:ind w:left="705" w:right="174" w:hanging="541"/>
        <w:jc w:val="left"/>
        <w:rPr>
          <w:sz w:val="20"/>
        </w:rPr>
      </w:pPr>
      <w:bookmarkStart w:name="_bookmark1085" w:id="1087"/>
      <w:bookmarkEnd w:id="1087"/>
      <w:r>
        <w:rPr/>
      </w:r>
      <w:hyperlink w:history="true" w:anchor="_bookmark1044">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Jackson v Hayes Candy and Co Ltd [1938] 4 All E.R. 587</w:t>
      </w:r>
      <w:r>
        <w:rPr>
          <w:sz w:val="20"/>
        </w:rPr>
        <w:t>; </w:t>
      </w:r>
      <w:r>
        <w:rPr>
          <w:rFonts w:ascii="Arial"/>
          <w:i/>
          <w:sz w:val="20"/>
        </w:rPr>
        <w:t>Collier v Sunday Referee Publishing Co [1940] 2 K.B. 647, 653</w:t>
      </w:r>
      <w:r>
        <w:rPr>
          <w:sz w:val="20"/>
        </w:rPr>
        <w:t>; </w:t>
      </w:r>
      <w:r>
        <w:rPr>
          <w:rFonts w:ascii="Arial"/>
          <w:i/>
          <w:sz w:val="20"/>
        </w:rPr>
        <w:t>Lavarack v Woods of Colchester Ltd [1967] 1 Q.B. 278</w:t>
      </w:r>
      <w:r>
        <w:rPr>
          <w:sz w:val="20"/>
        </w:rPr>
        <w:t>.</w:t>
      </w:r>
    </w:p>
    <w:p>
      <w:pPr>
        <w:pStyle w:val="BodyText"/>
        <w:spacing w:before="9"/>
      </w:pPr>
    </w:p>
    <w:p>
      <w:pPr>
        <w:pStyle w:val="BodyText"/>
        <w:spacing w:line="235" w:lineRule="auto"/>
        <w:ind w:left="705" w:right="167" w:hanging="541"/>
        <w:jc w:val="both"/>
      </w:pPr>
      <w:bookmarkStart w:name="_bookmark1086" w:id="1088"/>
      <w:bookmarkEnd w:id="1088"/>
      <w:r>
        <w:rPr/>
      </w:r>
      <w:hyperlink w:history="true" w:anchor="_bookmark1045">
        <w:r>
          <w:rPr>
            <w:color w:val="005DA1"/>
            <w:position w:val="5"/>
            <w:sz w:val="14"/>
            <w:u w:val="single" w:color="005DA1"/>
          </w:rPr>
          <w:t>569</w:t>
        </w:r>
      </w:hyperlink>
      <w:r>
        <w:rPr>
          <w:position w:val="5"/>
          <w:sz w:val="14"/>
        </w:rPr>
        <w:t>.</w:t>
      </w:r>
      <w:r>
        <w:rPr>
          <w:spacing w:val="40"/>
          <w:position w:val="5"/>
          <w:sz w:val="14"/>
        </w:rPr>
        <w:t>  </w:t>
      </w:r>
      <w:r>
        <w:rPr/>
        <w:t>The causal test should be: (1) that the claimant used substantially the same resources as he would have done in the contractual activity; and (2) that the opportunity for the claimant to </w:t>
      </w:r>
      <w:r>
        <w:rPr/>
        <w:t>use them in the new activity would not have arisen </w:t>
      </w:r>
      <w:r>
        <w:rPr>
          <w:rFonts w:ascii="Arial" w:hAnsi="Arial"/>
          <w:i/>
        </w:rPr>
        <w:t>but for </w:t>
      </w:r>
      <w:r>
        <w:rPr/>
        <w:t>the defendant’s breach of contract, that</w:t>
      </w:r>
      <w:r>
        <w:rPr>
          <w:spacing w:val="40"/>
        </w:rPr>
        <w:t> </w:t>
      </w:r>
      <w:r>
        <w:rPr/>
        <w:t>is, it was the breach alone which released them for the alternative use. For instance, in </w:t>
      </w:r>
      <w:r>
        <w:rPr>
          <w:rFonts w:ascii="Arial" w:hAnsi="Arial"/>
          <w:i/>
        </w:rPr>
        <w:t>Hill v Showell (1918) 87 L.J.K.B. 1106, 1108</w:t>
      </w:r>
      <w:r>
        <w:rPr/>
        <w:t>, the breach enabled the plaintiff to execute other profitable orders: it led to “the situation in which his machinery was rendered </w:t>
      </w:r>
      <w:r>
        <w:rPr>
          <w:rFonts w:ascii="Arial" w:hAnsi="Arial"/>
          <w:i/>
        </w:rPr>
        <w:t>free by reason of the breach</w:t>
      </w:r>
      <w:r>
        <w:rPr/>
        <w:t>” (italics supplied).</w:t>
      </w:r>
    </w:p>
    <w:p>
      <w:pPr>
        <w:pStyle w:val="BodyText"/>
        <w:spacing w:before="4"/>
      </w:pPr>
    </w:p>
    <w:p>
      <w:pPr>
        <w:tabs>
          <w:tab w:pos="705" w:val="left" w:leader="none"/>
        </w:tabs>
        <w:spacing w:before="0"/>
        <w:ind w:left="165" w:right="0" w:firstLine="0"/>
        <w:jc w:val="left"/>
        <w:rPr>
          <w:sz w:val="20"/>
        </w:rPr>
      </w:pPr>
      <w:bookmarkStart w:name="_bookmark1087" w:id="1089"/>
      <w:bookmarkEnd w:id="1089"/>
      <w:r>
        <w:rPr/>
      </w:r>
      <w:hyperlink w:history="true" w:anchor="_bookmark1046">
        <w:r>
          <w:rPr>
            <w:color w:val="005DA1"/>
            <w:spacing w:val="-4"/>
            <w:position w:val="5"/>
            <w:sz w:val="14"/>
            <w:u w:val="single" w:color="005DA1"/>
          </w:rPr>
          <w:t>570</w:t>
        </w:r>
      </w:hyperlink>
      <w:r>
        <w:rPr>
          <w:spacing w:val="-4"/>
          <w:position w:val="5"/>
          <w:sz w:val="14"/>
        </w:rPr>
        <w:t>.</w:t>
      </w:r>
      <w:r>
        <w:rPr>
          <w:position w:val="5"/>
          <w:sz w:val="14"/>
        </w:rPr>
        <w:tab/>
      </w:r>
      <w:r>
        <w:rPr>
          <w:sz w:val="20"/>
        </w:rPr>
        <w:t>Some support for this is found in</w:t>
      </w:r>
      <w:r>
        <w:rPr>
          <w:spacing w:val="-1"/>
          <w:sz w:val="20"/>
        </w:rPr>
        <w:t> </w:t>
      </w:r>
      <w:r>
        <w:rPr>
          <w:rFonts w:ascii="Arial"/>
          <w:i/>
          <w:sz w:val="20"/>
        </w:rPr>
        <w:t>Lavarack v Woods of Colchester Ltd [1967] 1 Q.B. </w:t>
      </w:r>
      <w:r>
        <w:rPr>
          <w:rFonts w:ascii="Arial"/>
          <w:i/>
          <w:spacing w:val="-4"/>
          <w:sz w:val="20"/>
        </w:rPr>
        <w:t>278</w:t>
      </w:r>
      <w:r>
        <w:rPr>
          <w:spacing w:val="-4"/>
          <w:sz w:val="20"/>
        </w:rPr>
        <w:t>.</w:t>
      </w:r>
    </w:p>
    <w:p>
      <w:pPr>
        <w:pStyle w:val="BodyText"/>
        <w:spacing w:before="5"/>
      </w:pPr>
    </w:p>
    <w:p>
      <w:pPr>
        <w:pStyle w:val="BodyText"/>
        <w:tabs>
          <w:tab w:pos="705" w:val="left" w:leader="none"/>
        </w:tabs>
        <w:ind w:left="165"/>
      </w:pPr>
      <w:bookmarkStart w:name="_bookmark1088" w:id="1090"/>
      <w:bookmarkEnd w:id="1090"/>
      <w:r>
        <w:rPr/>
      </w:r>
      <w:hyperlink w:history="true" w:anchor="_bookmark1047">
        <w:r>
          <w:rPr>
            <w:color w:val="005DA1"/>
            <w:spacing w:val="-4"/>
            <w:position w:val="5"/>
            <w:sz w:val="14"/>
            <w:u w:val="single" w:color="005DA1"/>
          </w:rPr>
          <w:t>571</w:t>
        </w:r>
      </w:hyperlink>
      <w:r>
        <w:rPr>
          <w:spacing w:val="-4"/>
          <w:position w:val="5"/>
          <w:sz w:val="14"/>
        </w:rPr>
        <w:t>.</w:t>
      </w:r>
      <w:r>
        <w:rPr>
          <w:position w:val="5"/>
          <w:sz w:val="14"/>
        </w:rPr>
        <w:tab/>
      </w:r>
      <w:r>
        <w:rPr/>
        <w:t>For the causal test, see above, para.26-100 </w:t>
      </w:r>
      <w:r>
        <w:rPr>
          <w:spacing w:val="-2"/>
        </w:rPr>
        <w:t>n.515.</w:t>
      </w:r>
    </w:p>
    <w:p>
      <w:pPr>
        <w:pStyle w:val="BodyText"/>
        <w:spacing w:after="0"/>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1048">
        <w:r>
          <w:rPr>
            <w:color w:val="005DA1"/>
            <w:position w:val="5"/>
            <w:sz w:val="14"/>
            <w:u w:val="single" w:color="005DA1"/>
          </w:rPr>
          <w:t>572</w:t>
        </w:r>
      </w:hyperlink>
      <w:r>
        <w:rPr>
          <w:position w:val="5"/>
          <w:sz w:val="14"/>
        </w:rPr>
        <w:t>.</w:t>
      </w:r>
      <w:r>
        <w:rPr>
          <w:spacing w:val="80"/>
          <w:position w:val="5"/>
          <w:sz w:val="14"/>
        </w:rPr>
        <w:t>  </w:t>
      </w:r>
      <w:r>
        <w:rPr>
          <w:sz w:val="20"/>
        </w:rPr>
        <w:t>In </w:t>
      </w:r>
      <w:r>
        <w:rPr>
          <w:rFonts w:ascii="Arial" w:hAnsi="Arial"/>
          <w:i/>
          <w:sz w:val="20"/>
        </w:rPr>
        <w:t>Lavarack v Woods of Colchester Ltd [1987] 1 Q.B. 278</w:t>
      </w:r>
      <w:r>
        <w:rPr>
          <w:sz w:val="20"/>
        </w:rPr>
        <w:t>, above (wrongful dismissal), the </w:t>
      </w:r>
      <w:r>
        <w:rPr>
          <w:sz w:val="20"/>
        </w:rPr>
        <w:t>court took into account only </w:t>
      </w:r>
      <w:r>
        <w:rPr>
          <w:rFonts w:ascii="Arial" w:hAnsi="Arial"/>
          <w:i/>
          <w:sz w:val="20"/>
        </w:rPr>
        <w:t>part </w:t>
      </w:r>
      <w:r>
        <w:rPr>
          <w:sz w:val="20"/>
        </w:rPr>
        <w:t>of the profit made by the plaintiff through his personal exertions in enhancing the value of his shares in the company where he took employment after his wrongful dismissal by the defendant. However, in </w:t>
      </w:r>
      <w:r>
        <w:rPr>
          <w:rFonts w:ascii="Arial" w:hAnsi="Arial"/>
          <w:i/>
          <w:sz w:val="20"/>
        </w:rPr>
        <w:t>British Westinghouse Electric Co v Underground Electric Ry Co [1912] A.C. 673 </w:t>
      </w:r>
      <w:r>
        <w:rPr>
          <w:sz w:val="20"/>
        </w:rPr>
        <w:t>(see Vol.II, para.44-414) the House of Lords held that the </w:t>
      </w:r>
      <w:r>
        <w:rPr>
          <w:rFonts w:ascii="Arial" w:hAnsi="Arial"/>
          <w:i/>
          <w:sz w:val="20"/>
        </w:rPr>
        <w:t>whole </w:t>
      </w:r>
      <w:r>
        <w:rPr>
          <w:sz w:val="20"/>
        </w:rPr>
        <w:t>of the benefit of the mitigating action of the plaintiff could be used to reduce the damages payable by the defendant, even though the plaintiff would not have been obliged under the “avoidable loss” rule to take that action: see Harris, Campbell and Halson, </w:t>
      </w:r>
      <w:r>
        <w:rPr>
          <w:rFonts w:ascii="Arial" w:hAnsi="Arial"/>
          <w:i/>
          <w:sz w:val="20"/>
        </w:rPr>
        <w:t>Remedies in</w:t>
      </w:r>
      <w:r>
        <w:rPr>
          <w:rFonts w:ascii="Arial" w:hAnsi="Arial"/>
          <w:i/>
          <w:spacing w:val="40"/>
          <w:sz w:val="20"/>
        </w:rPr>
        <w:t> </w:t>
      </w:r>
      <w:r>
        <w:rPr>
          <w:rFonts w:ascii="Arial" w:hAnsi="Arial"/>
          <w:i/>
          <w:sz w:val="20"/>
        </w:rPr>
        <w:t>Contract and Tort</w:t>
      </w:r>
      <w:r>
        <w:rPr>
          <w:sz w:val="20"/>
        </w:rPr>
        <w:t>, 2nd edn (2002) at pp.119–120.</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7"/>
        </w:numPr>
        <w:tabs>
          <w:tab w:pos="3444" w:val="left" w:leader="none"/>
        </w:tabs>
        <w:spacing w:line="240" w:lineRule="auto" w:before="194" w:after="0"/>
        <w:ind w:left="3444" w:right="0" w:hanging="306"/>
        <w:jc w:val="left"/>
        <w:rPr>
          <w:b/>
          <w:sz w:val="24"/>
        </w:rPr>
      </w:pPr>
      <w:r>
        <w:rPr>
          <w:b/>
          <w:sz w:val="24"/>
        </w:rPr>
        <w:t>- Expenses of </w:t>
      </w:r>
      <w:r>
        <w:rPr>
          <w:b/>
          <w:spacing w:val="-2"/>
          <w:sz w:val="24"/>
        </w:rPr>
        <w:t>Mitigation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Recovery of loss or expense suffered while attempting to </w:t>
      </w:r>
      <w:r>
        <w:rPr>
          <w:rFonts w:ascii="Arial"/>
          <w:b/>
          <w:spacing w:val="-2"/>
          <w:sz w:val="18"/>
        </w:rPr>
        <w:t>mitigate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102</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1089" w:id="1091"/>
      <w:bookmarkEnd w:id="1091"/>
      <w:r>
        <w:rPr>
          <w:rFonts w:ascii="Times New Roman"/>
          <w:spacing w:val="17"/>
        </w:rPr>
      </w:r>
      <w:r>
        <w:rPr/>
        <w:t>The</w:t>
      </w:r>
      <w:r>
        <w:rPr>
          <w:spacing w:val="12"/>
        </w:rPr>
        <w:t> </w:t>
      </w:r>
      <w:r>
        <w:rPr/>
        <w:t>third</w:t>
      </w:r>
      <w:r>
        <w:rPr>
          <w:spacing w:val="12"/>
        </w:rPr>
        <w:t> </w:t>
      </w:r>
      <w:r>
        <w:rPr/>
        <w:t>rule</w:t>
      </w:r>
      <w:r>
        <w:rPr>
          <w:spacing w:val="12"/>
        </w:rPr>
        <w:t> </w:t>
      </w:r>
      <w:r>
        <w:rPr/>
        <w:t>of</w:t>
      </w:r>
      <w:r>
        <w:rPr>
          <w:spacing w:val="12"/>
        </w:rPr>
        <w:t> </w:t>
      </w:r>
      <w:r>
        <w:rPr/>
        <w:t>mitigation</w:t>
      </w:r>
      <w:r>
        <w:rPr>
          <w:spacing w:val="12"/>
        </w:rPr>
        <w:t> </w:t>
      </w:r>
      <w:r>
        <w:rPr/>
        <w:t>is</w:t>
      </w:r>
      <w:r>
        <w:rPr>
          <w:spacing w:val="12"/>
        </w:rPr>
        <w:t> </w:t>
      </w:r>
      <w:r>
        <w:rPr/>
        <w:t>that</w:t>
      </w:r>
      <w:r>
        <w:rPr>
          <w:spacing w:val="12"/>
        </w:rPr>
        <w:t> </w:t>
      </w:r>
      <w:r>
        <w:rPr/>
        <w:t>the</w:t>
      </w:r>
      <w:r>
        <w:rPr>
          <w:spacing w:val="12"/>
        </w:rPr>
        <w:t> </w:t>
      </w:r>
      <w:r>
        <w:rPr/>
        <w:t>claimant</w:t>
      </w:r>
      <w:r>
        <w:rPr>
          <w:spacing w:val="12"/>
        </w:rPr>
        <w:t> </w:t>
      </w:r>
      <w:r>
        <w:rPr/>
        <w:t>may</w:t>
      </w:r>
      <w:r>
        <w:rPr>
          <w:spacing w:val="12"/>
        </w:rPr>
        <w:t> </w:t>
      </w:r>
      <w:r>
        <w:rPr/>
        <w:t>recover</w:t>
      </w:r>
      <w:r>
        <w:rPr>
          <w:spacing w:val="12"/>
        </w:rPr>
        <w:t> </w:t>
      </w:r>
      <w:r>
        <w:rPr/>
        <w:t>damages</w:t>
      </w:r>
      <w:r>
        <w:rPr>
          <w:spacing w:val="12"/>
        </w:rPr>
        <w:t> </w:t>
      </w:r>
      <w:r>
        <w:rPr/>
        <w:t>for</w:t>
      </w:r>
      <w:r>
        <w:rPr>
          <w:spacing w:val="12"/>
        </w:rPr>
        <w:t> </w:t>
      </w:r>
      <w:r>
        <w:rPr/>
        <w:t>loss</w:t>
      </w:r>
      <w:r>
        <w:rPr>
          <w:spacing w:val="12"/>
        </w:rPr>
        <w:t> </w:t>
      </w:r>
      <w:r>
        <w:rPr/>
        <w:t>or</w:t>
      </w:r>
      <w:r>
        <w:rPr>
          <w:spacing w:val="12"/>
        </w:rPr>
        <w:t> </w:t>
      </w:r>
      <w:r>
        <w:rPr/>
        <w:t>expense</w:t>
      </w:r>
      <w:r>
        <w:rPr>
          <w:spacing w:val="12"/>
        </w:rPr>
        <w:t> </w:t>
      </w:r>
      <w:r>
        <w:rPr/>
        <w:t>incurred</w:t>
      </w:r>
    </w:p>
    <w:p>
      <w:pPr>
        <w:pStyle w:val="BodyText"/>
        <w:spacing w:line="235" w:lineRule="auto" w:before="118"/>
        <w:ind w:left="165" w:right="167"/>
        <w:jc w:val="both"/>
      </w:pPr>
      <w:bookmarkStart w:name="_bookmark1090" w:id="1092"/>
      <w:bookmarkEnd w:id="1092"/>
      <w:r>
        <w:rPr/>
      </w:r>
      <w:bookmarkStart w:name="_bookmark1091" w:id="1093"/>
      <w:bookmarkEnd w:id="1093"/>
      <w:r>
        <w:rPr/>
      </w:r>
      <w:r>
        <w:rPr/>
        <w:t>by him </w:t>
      </w:r>
      <w:r>
        <w:rPr>
          <w:color w:val="005DA1"/>
          <w:u w:val="single" w:color="005DA1"/>
          <w:vertAlign w:val="superscript"/>
        </w:rPr>
        <w:t>573</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5"/>
          <w:vertAlign w:val="baseline"/>
        </w:rPr>
        <w:t> </w:t>
      </w:r>
      <w:r>
        <w:rPr>
          <w:vertAlign w:val="baseline"/>
        </w:rPr>
        <w:t>in reasonably </w:t>
      </w:r>
      <w:r>
        <w:rPr>
          <w:color w:val="005DA1"/>
          <w:u w:val="single" w:color="005DA1"/>
          <w:vertAlign w:val="superscript"/>
        </w:rPr>
        <w:t>574</w:t>
      </w:r>
      <w:r>
        <w:rPr>
          <w:color w:val="005DA1"/>
          <w:vertAlign w:val="baseline"/>
        </w:rPr>
        <w:t> </w:t>
      </w:r>
      <w:r>
        <w:rPr>
          <w:vertAlign w:val="baseline"/>
        </w:rPr>
        <w:t>attempting to mitigate his loss following the defendant’s breach, </w:t>
      </w:r>
      <w:r>
        <w:rPr>
          <w:vertAlign w:val="baseline"/>
        </w:rPr>
        <w:t>even when the mitigating steps were unsuccessful or in fact led to greater loss. </w:t>
      </w:r>
      <w:r>
        <w:rPr>
          <w:color w:val="005DA1"/>
          <w:u w:val="single" w:color="005DA1"/>
          <w:vertAlign w:val="superscript"/>
        </w:rPr>
        <w:t>575</w:t>
      </w:r>
      <w:r>
        <w:rPr>
          <w:color w:val="005DA1"/>
          <w:vertAlign w:val="baseline"/>
        </w:rPr>
        <w:t> </w:t>
      </w:r>
      <w:r>
        <w:rPr>
          <w:vertAlign w:val="baseline"/>
        </w:rPr>
        <w:t>As most attempts are successful, it is in the interests of the defendant (as well as of the wider society) that the claimant,</w:t>
      </w:r>
      <w:r>
        <w:rPr>
          <w:spacing w:val="40"/>
          <w:vertAlign w:val="baseline"/>
        </w:rPr>
        <w:t> </w:t>
      </w:r>
      <w:r>
        <w:rPr>
          <w:vertAlign w:val="baseline"/>
        </w:rPr>
        <w:t>who is usually in the better position to minimise his loss, should be encouraged to try to do so: he</w:t>
      </w:r>
      <w:r>
        <w:rPr>
          <w:spacing w:val="80"/>
          <w:vertAlign w:val="baseline"/>
        </w:rPr>
        <w:t> </w:t>
      </w:r>
      <w:bookmarkStart w:name="_bookmark1092" w:id="1094"/>
      <w:bookmarkEnd w:id="1094"/>
      <w:r>
        <w:rPr>
          <w:vertAlign w:val="baseline"/>
        </w:rPr>
        <w:t>may</w:t>
      </w:r>
      <w:r>
        <w:rPr>
          <w:vertAlign w:val="baseline"/>
        </w:rPr>
        <w:t> recover the cost of his reasonable attempt to “extricate” himself from the disadvantageous position in which he was placed by the breach. </w:t>
      </w:r>
      <w:r>
        <w:rPr>
          <w:color w:val="005DA1"/>
          <w:u w:val="single" w:color="005DA1"/>
          <w:vertAlign w:val="superscript"/>
        </w:rPr>
        <w:t>576</w:t>
      </w:r>
    </w:p>
    <w:p>
      <w:pPr>
        <w:pStyle w:val="BodyText"/>
      </w:pPr>
    </w:p>
    <w:p>
      <w:pPr>
        <w:pStyle w:val="BodyText"/>
        <w:spacing w:before="38"/>
      </w:pPr>
      <w:r>
        <w:rPr/>
        <mc:AlternateContent>
          <mc:Choice Requires="wps">
            <w:drawing>
              <wp:anchor distT="0" distB="0" distL="0" distR="0" allowOverlap="1" layoutInCell="1" locked="0" behindDoc="1" simplePos="0" relativeHeight="487652352">
                <wp:simplePos x="0" y="0"/>
                <wp:positionH relativeFrom="page">
                  <wp:posOffset>914400</wp:posOffset>
                </wp:positionH>
                <wp:positionV relativeFrom="paragraph">
                  <wp:posOffset>185537</wp:posOffset>
                </wp:positionV>
                <wp:extent cx="572452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9265pt;width:450.75pt;height:.1pt;mso-position-horizontal-relative:page;mso-position-vertical-relative:paragraph;z-index:-15664128;mso-wrap-distance-left:0;mso-wrap-distance-right:0" id="docshape57" coordorigin="1440,292" coordsize="9015,0" path="m1440,292l10454,292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headerReference w:type="default" r:id="rId31"/>
          <w:pgSz w:w="11900" w:h="16840"/>
          <w:pgMar w:header="971" w:footer="0" w:top="1300" w:bottom="280" w:left="1275" w:right="1275"/>
        </w:sectPr>
      </w:pPr>
    </w:p>
    <w:p>
      <w:pPr>
        <w:spacing w:before="95"/>
        <w:ind w:left="165" w:right="0" w:firstLine="0"/>
        <w:jc w:val="left"/>
        <w:rPr>
          <w:sz w:val="14"/>
        </w:rPr>
      </w:pPr>
      <w:bookmarkStart w:name="_bookmark1093" w:id="1095"/>
      <w:bookmarkEnd w:id="1095"/>
      <w:r>
        <w:rPr/>
      </w:r>
      <w:hyperlink w:history="true" w:anchor="_bookmark1089">
        <w:r>
          <w:rPr>
            <w:color w:val="005DA1"/>
            <w:spacing w:val="-4"/>
            <w:sz w:val="14"/>
            <w:u w:val="single" w:color="005DA1"/>
          </w:rPr>
          <w:t>573</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The rule has no application to the cost of actions carried out by a third party, not at the claimant’s request, even though they may reduce the claimant’s loss: </w:t>
      </w:r>
      <w:r>
        <w:rPr>
          <w:rFonts w:ascii="Arial" w:hAnsi="Arial"/>
          <w:i/>
          <w:sz w:val="20"/>
        </w:rPr>
        <w:t>Swynson Ltd v Lowick Rose</w:t>
      </w:r>
      <w:r>
        <w:rPr>
          <w:rFonts w:ascii="Arial" w:hAnsi="Arial"/>
          <w:i/>
          <w:spacing w:val="23"/>
          <w:sz w:val="20"/>
        </w:rPr>
        <w:t> </w:t>
      </w:r>
      <w:r>
        <w:rPr>
          <w:rFonts w:ascii="Arial" w:hAnsi="Arial"/>
          <w:i/>
          <w:sz w:val="20"/>
        </w:rPr>
        <w:t>LLP</w:t>
      </w:r>
      <w:r>
        <w:rPr>
          <w:rFonts w:ascii="Arial" w:hAnsi="Arial"/>
          <w:i/>
          <w:spacing w:val="23"/>
          <w:sz w:val="20"/>
        </w:rPr>
        <w:t> </w:t>
      </w:r>
      <w:r>
        <w:rPr>
          <w:rFonts w:ascii="Arial" w:hAnsi="Arial"/>
          <w:i/>
          <w:sz w:val="20"/>
        </w:rPr>
        <w:t>(In</w:t>
      </w:r>
      <w:r>
        <w:rPr>
          <w:rFonts w:ascii="Arial" w:hAnsi="Arial"/>
          <w:i/>
          <w:spacing w:val="23"/>
          <w:sz w:val="20"/>
        </w:rPr>
        <w:t> </w:t>
      </w:r>
      <w:r>
        <w:rPr>
          <w:rFonts w:ascii="Arial" w:hAnsi="Arial"/>
          <w:i/>
          <w:sz w:val="20"/>
        </w:rPr>
        <w:t>Liquidation)</w:t>
      </w:r>
      <w:r>
        <w:rPr>
          <w:rFonts w:ascii="Arial" w:hAnsi="Arial"/>
          <w:i/>
          <w:spacing w:val="23"/>
          <w:sz w:val="20"/>
        </w:rPr>
        <w:t> </w:t>
      </w:r>
      <w:r>
        <w:rPr>
          <w:rFonts w:ascii="Arial" w:hAnsi="Arial"/>
          <w:i/>
          <w:sz w:val="20"/>
        </w:rPr>
        <w:t>(formerly</w:t>
      </w:r>
      <w:r>
        <w:rPr>
          <w:rFonts w:ascii="Arial" w:hAnsi="Arial"/>
          <w:i/>
          <w:spacing w:val="23"/>
          <w:sz w:val="20"/>
        </w:rPr>
        <w:t> </w:t>
      </w:r>
      <w:r>
        <w:rPr>
          <w:rFonts w:ascii="Arial" w:hAnsi="Arial"/>
          <w:i/>
          <w:sz w:val="20"/>
        </w:rPr>
        <w:t>Hurst</w:t>
      </w:r>
      <w:r>
        <w:rPr>
          <w:rFonts w:ascii="Arial" w:hAnsi="Arial"/>
          <w:i/>
          <w:spacing w:val="23"/>
          <w:sz w:val="20"/>
        </w:rPr>
        <w:t> </w:t>
      </w:r>
      <w:r>
        <w:rPr>
          <w:rFonts w:ascii="Arial" w:hAnsi="Arial"/>
          <w:i/>
          <w:sz w:val="20"/>
        </w:rPr>
        <w:t>Morrison</w:t>
      </w:r>
      <w:r>
        <w:rPr>
          <w:rFonts w:ascii="Arial" w:hAnsi="Arial"/>
          <w:i/>
          <w:spacing w:val="23"/>
          <w:sz w:val="20"/>
        </w:rPr>
        <w:t> </w:t>
      </w:r>
      <w:r>
        <w:rPr>
          <w:rFonts w:ascii="Arial" w:hAnsi="Arial"/>
          <w:i/>
          <w:sz w:val="20"/>
        </w:rPr>
        <w:t>Thomson</w:t>
      </w:r>
      <w:r>
        <w:rPr>
          <w:rFonts w:ascii="Arial" w:hAnsi="Arial"/>
          <w:i/>
          <w:spacing w:val="23"/>
          <w:sz w:val="20"/>
        </w:rPr>
        <w:t> </w:t>
      </w:r>
      <w:r>
        <w:rPr>
          <w:rFonts w:ascii="Arial" w:hAnsi="Arial"/>
          <w:i/>
          <w:sz w:val="20"/>
        </w:rPr>
        <w:t>LLP)</w:t>
      </w:r>
      <w:r>
        <w:rPr>
          <w:rFonts w:ascii="Arial" w:hAnsi="Arial"/>
          <w:i/>
          <w:spacing w:val="23"/>
          <w:sz w:val="20"/>
        </w:rPr>
        <w:t> </w:t>
      </w:r>
      <w:r>
        <w:rPr>
          <w:rFonts w:ascii="Arial" w:hAnsi="Arial"/>
          <w:i/>
          <w:sz w:val="20"/>
        </w:rPr>
        <w:t>[2017]</w:t>
      </w:r>
      <w:r>
        <w:rPr>
          <w:rFonts w:ascii="Arial" w:hAnsi="Arial"/>
          <w:i/>
          <w:spacing w:val="23"/>
          <w:sz w:val="20"/>
        </w:rPr>
        <w:t> </w:t>
      </w:r>
      <w:r>
        <w:rPr>
          <w:rFonts w:ascii="Arial" w:hAnsi="Arial"/>
          <w:i/>
          <w:sz w:val="20"/>
        </w:rPr>
        <w:t>UKSC</w:t>
      </w:r>
      <w:r>
        <w:rPr>
          <w:rFonts w:ascii="Arial" w:hAnsi="Arial"/>
          <w:i/>
          <w:spacing w:val="23"/>
          <w:sz w:val="20"/>
        </w:rPr>
        <w:t> </w:t>
      </w:r>
      <w:r>
        <w:rPr>
          <w:rFonts w:ascii="Arial" w:hAnsi="Arial"/>
          <w:i/>
          <w:sz w:val="20"/>
        </w:rPr>
        <w:t>32,</w:t>
      </w:r>
      <w:r>
        <w:rPr>
          <w:rFonts w:ascii="Arial" w:hAnsi="Arial"/>
          <w:i/>
          <w:spacing w:val="23"/>
          <w:sz w:val="20"/>
        </w:rPr>
        <w:t> </w:t>
      </w:r>
      <w:r>
        <w:rPr>
          <w:rFonts w:ascii="Arial" w:hAnsi="Arial"/>
          <w:i/>
          <w:sz w:val="20"/>
        </w:rPr>
        <w:t>[2017]</w:t>
      </w:r>
      <w:r>
        <w:rPr>
          <w:rFonts w:ascii="Arial" w:hAnsi="Arial"/>
          <w:i/>
          <w:spacing w:val="23"/>
          <w:sz w:val="20"/>
        </w:rPr>
        <w:t> </w:t>
      </w:r>
      <w:r>
        <w:rPr>
          <w:rFonts w:ascii="Arial" w:hAnsi="Arial"/>
          <w:i/>
          <w:spacing w:val="-10"/>
          <w:sz w:val="20"/>
        </w:rPr>
        <w:t>2</w:t>
      </w:r>
    </w:p>
    <w:p>
      <w:pPr>
        <w:pStyle w:val="BodyText"/>
        <w:spacing w:line="225" w:lineRule="exact"/>
        <w:ind w:left="165"/>
        <w:jc w:val="both"/>
      </w:pPr>
      <w:r>
        <w:rPr/>
        <w:drawing>
          <wp:anchor distT="0" distB="0" distL="0" distR="0" allowOverlap="1" layoutInCell="1" locked="0" behindDoc="0" simplePos="0" relativeHeight="15793664">
            <wp:simplePos x="0" y="0"/>
            <wp:positionH relativeFrom="page">
              <wp:posOffset>1257846</wp:posOffset>
            </wp:positionH>
            <wp:positionV relativeFrom="paragraph">
              <wp:posOffset>-403684</wp:posOffset>
            </wp:positionV>
            <wp:extent cx="107988" cy="107988"/>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rPr>
        <w:t>W.L.R. 1161</w:t>
      </w:r>
      <w:r>
        <w:rPr>
          <w:rFonts w:ascii="Arial"/>
          <w:i/>
          <w:spacing w:val="-1"/>
        </w:rPr>
        <w:t> </w:t>
      </w:r>
      <w:r>
        <w:rPr/>
        <w:t>at [13], [46] and [97]; see above, para.26-</w:t>
      </w:r>
      <w:r>
        <w:rPr>
          <w:spacing w:val="-2"/>
        </w:rPr>
        <w:t>099B.</w:t>
      </w:r>
    </w:p>
    <w:p>
      <w:pPr>
        <w:pStyle w:val="BodyText"/>
        <w:spacing w:after="0" w:line="225" w:lineRule="exact"/>
        <w:jc w:val="both"/>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1"/>
        <w:ind w:left="705" w:right="168" w:hanging="541"/>
        <w:jc w:val="both"/>
        <w:rPr>
          <w:sz w:val="20"/>
        </w:rPr>
      </w:pPr>
      <w:bookmarkStart w:name="_bookmark1094" w:id="1096"/>
      <w:bookmarkEnd w:id="1096"/>
      <w:r>
        <w:rPr/>
      </w:r>
      <w:hyperlink w:history="true" w:anchor="_bookmark1090">
        <w:r>
          <w:rPr>
            <w:color w:val="005DA1"/>
            <w:position w:val="5"/>
            <w:sz w:val="14"/>
            <w:u w:val="single" w:color="005DA1"/>
          </w:rPr>
          <w:t>574</w:t>
        </w:r>
      </w:hyperlink>
      <w:r>
        <w:rPr>
          <w:position w:val="5"/>
          <w:sz w:val="14"/>
        </w:rPr>
        <w:t>.</w:t>
      </w:r>
      <w:r>
        <w:rPr>
          <w:spacing w:val="80"/>
          <w:position w:val="5"/>
          <w:sz w:val="14"/>
        </w:rPr>
        <w:t> </w:t>
      </w:r>
      <w:r>
        <w:rPr>
          <w:sz w:val="20"/>
        </w:rPr>
        <w:t>For</w:t>
      </w:r>
      <w:r>
        <w:rPr>
          <w:spacing w:val="40"/>
          <w:sz w:val="20"/>
        </w:rPr>
        <w:t> </w:t>
      </w:r>
      <w:r>
        <w:rPr>
          <w:sz w:val="20"/>
        </w:rPr>
        <w:t>an</w:t>
      </w:r>
      <w:r>
        <w:rPr>
          <w:spacing w:val="40"/>
          <w:sz w:val="20"/>
        </w:rPr>
        <w:t> </w:t>
      </w:r>
      <w:r>
        <w:rPr>
          <w:sz w:val="20"/>
        </w:rPr>
        <w:t>illustration</w:t>
      </w:r>
      <w:r>
        <w:rPr>
          <w:spacing w:val="40"/>
          <w:sz w:val="20"/>
        </w:rPr>
        <w:t> </w:t>
      </w:r>
      <w:r>
        <w:rPr>
          <w:sz w:val="20"/>
        </w:rPr>
        <w:t>of</w:t>
      </w:r>
      <w:r>
        <w:rPr>
          <w:spacing w:val="40"/>
          <w:sz w:val="20"/>
        </w:rPr>
        <w:t> </w:t>
      </w:r>
      <w:r>
        <w:rPr>
          <w:sz w:val="20"/>
        </w:rPr>
        <w:t>unreasonable</w:t>
      </w:r>
      <w:r>
        <w:rPr>
          <w:spacing w:val="40"/>
          <w:sz w:val="20"/>
        </w:rPr>
        <w:t> </w:t>
      </w:r>
      <w:r>
        <w:rPr>
          <w:sz w:val="20"/>
        </w:rPr>
        <w:t>expenses</w:t>
      </w:r>
      <w:r>
        <w:rPr>
          <w:spacing w:val="40"/>
          <w:sz w:val="20"/>
        </w:rPr>
        <w:t> </w:t>
      </w:r>
      <w:r>
        <w:rPr>
          <w:sz w:val="20"/>
        </w:rPr>
        <w:t>incurred</w:t>
      </w:r>
      <w:r>
        <w:rPr>
          <w:spacing w:val="40"/>
          <w:sz w:val="20"/>
        </w:rPr>
        <w:t> </w:t>
      </w:r>
      <w:r>
        <w:rPr>
          <w:sz w:val="20"/>
        </w:rPr>
        <w:t>by</w:t>
      </w:r>
      <w:r>
        <w:rPr>
          <w:spacing w:val="40"/>
          <w:sz w:val="20"/>
        </w:rPr>
        <w:t> </w:t>
      </w:r>
      <w:r>
        <w:rPr>
          <w:sz w:val="20"/>
        </w:rPr>
        <w:t>the</w:t>
      </w:r>
      <w:r>
        <w:rPr>
          <w:spacing w:val="40"/>
          <w:sz w:val="20"/>
        </w:rPr>
        <w:t> </w:t>
      </w:r>
      <w:r>
        <w:rPr>
          <w:sz w:val="20"/>
        </w:rPr>
        <w:t>claimant,</w:t>
      </w:r>
      <w:r>
        <w:rPr>
          <w:spacing w:val="40"/>
          <w:sz w:val="20"/>
        </w:rPr>
        <w:t> </w:t>
      </w:r>
      <w:r>
        <w:rPr>
          <w:sz w:val="20"/>
        </w:rPr>
        <w:t>see</w:t>
      </w:r>
      <w:r>
        <w:rPr>
          <w:spacing w:val="40"/>
          <w:sz w:val="20"/>
        </w:rPr>
        <w:t> </w:t>
      </w:r>
      <w:r>
        <w:rPr>
          <w:rFonts w:ascii="Arial" w:hAnsi="Arial"/>
          <w:i/>
          <w:sz w:val="20"/>
        </w:rPr>
        <w:t>Compania Financiera “Soleada” SA v Hamoor Tanker Corp Inc (The Borag) [1981] 1 W.L.R. 274</w:t>
      </w:r>
      <w:r>
        <w:rPr>
          <w:sz w:val="20"/>
        </w:rPr>
        <w:t>. cf. the tort case of </w:t>
      </w:r>
      <w:r>
        <w:rPr>
          <w:rFonts w:ascii="Arial" w:hAnsi="Arial"/>
          <w:i/>
          <w:sz w:val="20"/>
        </w:rPr>
        <w:t>Dodd Properties Ltd v Canterbury City Council [1980] 1 W.L.R. 433 </w:t>
      </w:r>
      <w:r>
        <w:rPr>
          <w:sz w:val="20"/>
        </w:rPr>
        <w:t>(above,</w:t>
      </w:r>
      <w:r>
        <w:rPr>
          <w:spacing w:val="40"/>
          <w:sz w:val="20"/>
        </w:rPr>
        <w:t> </w:t>
      </w:r>
      <w:r>
        <w:rPr>
          <w:sz w:val="20"/>
        </w:rPr>
        <w:t>para.26-038 n.210).</w:t>
      </w:r>
    </w:p>
    <w:p>
      <w:pPr>
        <w:pStyle w:val="BodyText"/>
        <w:spacing w:before="8"/>
      </w:pPr>
    </w:p>
    <w:p>
      <w:pPr>
        <w:spacing w:line="235" w:lineRule="auto" w:before="0"/>
        <w:ind w:left="705" w:right="167" w:hanging="541"/>
        <w:jc w:val="both"/>
        <w:rPr>
          <w:rFonts w:ascii="Arial" w:hAnsi="Arial"/>
          <w:i/>
          <w:sz w:val="20"/>
        </w:rPr>
      </w:pPr>
      <w:bookmarkStart w:name="_bookmark1095" w:id="1097"/>
      <w:bookmarkEnd w:id="1097"/>
      <w:r>
        <w:rPr/>
      </w:r>
      <w:hyperlink w:history="true" w:anchor="_bookmark1091">
        <w:r>
          <w:rPr>
            <w:color w:val="005DA1"/>
            <w:position w:val="5"/>
            <w:sz w:val="14"/>
            <w:u w:val="single" w:color="005DA1"/>
          </w:rPr>
          <w:t>575</w:t>
        </w:r>
      </w:hyperlink>
      <w:r>
        <w:rPr>
          <w:position w:val="5"/>
          <w:sz w:val="14"/>
        </w:rPr>
        <w:t>.</w:t>
      </w:r>
      <w:r>
        <w:rPr>
          <w:spacing w:val="80"/>
          <w:position w:val="5"/>
          <w:sz w:val="14"/>
        </w:rPr>
        <w:t>  </w:t>
      </w:r>
      <w:r>
        <w:rPr>
          <w:rFonts w:ascii="Arial" w:hAnsi="Arial"/>
          <w:i/>
          <w:sz w:val="20"/>
        </w:rPr>
        <w:t>Wilson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United</w:t>
      </w:r>
      <w:r>
        <w:rPr>
          <w:rFonts w:ascii="Arial" w:hAnsi="Arial"/>
          <w:i/>
          <w:spacing w:val="-2"/>
          <w:sz w:val="20"/>
        </w:rPr>
        <w:t> </w:t>
      </w:r>
      <w:r>
        <w:rPr>
          <w:rFonts w:ascii="Arial" w:hAnsi="Arial"/>
          <w:i/>
          <w:sz w:val="20"/>
        </w:rPr>
        <w:t>Counties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[1920]</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102,</w:t>
      </w:r>
      <w:r>
        <w:rPr>
          <w:rFonts w:ascii="Arial" w:hAnsi="Arial"/>
          <w:i/>
          <w:spacing w:val="-2"/>
          <w:sz w:val="20"/>
        </w:rPr>
        <w:t> </w:t>
      </w:r>
      <w:r>
        <w:rPr>
          <w:rFonts w:ascii="Arial" w:hAnsi="Arial"/>
          <w:i/>
          <w:sz w:val="20"/>
        </w:rPr>
        <w:t>125</w:t>
      </w:r>
      <w:r>
        <w:rPr>
          <w:sz w:val="20"/>
        </w:rPr>
        <w:t>;</w:t>
      </w:r>
      <w:r>
        <w:rPr>
          <w:spacing w:val="-2"/>
          <w:sz w:val="20"/>
        </w:rPr>
        <w:t> </w:t>
      </w:r>
      <w:r>
        <w:rPr>
          <w:rFonts w:ascii="Arial" w:hAnsi="Arial"/>
          <w:i/>
          <w:sz w:val="20"/>
        </w:rPr>
        <w:t>Lloyds</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Scottish</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Modern Cars and Caravans (Kingston) Ltd [1966] 1 Q.B. 764, 782–783</w:t>
      </w:r>
      <w:r>
        <w:rPr>
          <w:sz w:val="20"/>
        </w:rPr>
        <w:t>; </w:t>
      </w:r>
      <w:r>
        <w:rPr>
          <w:rFonts w:ascii="Arial" w:hAnsi="Arial"/>
          <w:i/>
          <w:sz w:val="20"/>
        </w:rPr>
        <w:t>The World Beauty [1970] P. 144, 156</w:t>
      </w:r>
      <w:r>
        <w:rPr>
          <w:sz w:val="20"/>
        </w:rPr>
        <w:t>; </w:t>
      </w:r>
      <w:r>
        <w:rPr>
          <w:rFonts w:ascii="Arial" w:hAnsi="Arial"/>
          <w:i/>
          <w:sz w:val="20"/>
        </w:rPr>
        <w:t>British Racing Drivers’ Club Ltd v Hextall Erskine &amp; Co [1996] 3 All E.R. 667 </w:t>
      </w:r>
      <w:r>
        <w:rPr>
          <w:sz w:val="20"/>
        </w:rPr>
        <w:t>(legal costs incurred by the plaintiff); </w:t>
      </w:r>
      <w:r>
        <w:rPr>
          <w:rFonts w:ascii="Arial" w:hAnsi="Arial"/>
          <w:i/>
          <w:sz w:val="20"/>
        </w:rPr>
        <w:t>Choil Trading SA v Sahara Energy Resources Ltd [2010] EWHC 374 (Comm) </w:t>
      </w:r>
      <w:r>
        <w:rPr>
          <w:sz w:val="20"/>
        </w:rPr>
        <w:t>(claimant hedged against market falling; in fact it rose). See also </w:t>
      </w:r>
      <w:r>
        <w:rPr>
          <w:rFonts w:ascii="Arial" w:hAnsi="Arial"/>
          <w:i/>
          <w:sz w:val="20"/>
        </w:rPr>
        <w:t>Erie County Natural</w:t>
      </w:r>
      <w:r>
        <w:rPr>
          <w:rFonts w:ascii="Arial" w:hAnsi="Arial"/>
          <w:i/>
          <w:spacing w:val="4"/>
          <w:sz w:val="20"/>
        </w:rPr>
        <w:t> </w:t>
      </w:r>
      <w:r>
        <w:rPr>
          <w:rFonts w:ascii="Arial" w:hAnsi="Arial"/>
          <w:i/>
          <w:sz w:val="20"/>
        </w:rPr>
        <w:t>Gas</w:t>
      </w:r>
      <w:r>
        <w:rPr>
          <w:rFonts w:ascii="Arial" w:hAnsi="Arial"/>
          <w:i/>
          <w:spacing w:val="5"/>
          <w:sz w:val="20"/>
        </w:rPr>
        <w:t> </w:t>
      </w:r>
      <w:r>
        <w:rPr>
          <w:rFonts w:ascii="Arial" w:hAnsi="Arial"/>
          <w:i/>
          <w:sz w:val="20"/>
        </w:rPr>
        <w:t>and</w:t>
      </w:r>
      <w:r>
        <w:rPr>
          <w:rFonts w:ascii="Arial" w:hAnsi="Arial"/>
          <w:i/>
          <w:spacing w:val="5"/>
          <w:sz w:val="20"/>
        </w:rPr>
        <w:t> </w:t>
      </w:r>
      <w:r>
        <w:rPr>
          <w:rFonts w:ascii="Arial" w:hAnsi="Arial"/>
          <w:i/>
          <w:sz w:val="20"/>
        </w:rPr>
        <w:t>Fuel</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Carroll</w:t>
      </w:r>
      <w:r>
        <w:rPr>
          <w:rFonts w:ascii="Arial" w:hAnsi="Arial"/>
          <w:i/>
          <w:spacing w:val="5"/>
          <w:sz w:val="20"/>
        </w:rPr>
        <w:t> </w:t>
      </w:r>
      <w:r>
        <w:rPr>
          <w:rFonts w:ascii="Arial" w:hAnsi="Arial"/>
          <w:i/>
          <w:sz w:val="20"/>
        </w:rPr>
        <w:t>[1911]</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105,</w:t>
      </w:r>
      <w:r>
        <w:rPr>
          <w:rFonts w:ascii="Arial" w:hAnsi="Arial"/>
          <w:i/>
          <w:spacing w:val="5"/>
          <w:sz w:val="20"/>
        </w:rPr>
        <w:t> </w:t>
      </w:r>
      <w:r>
        <w:rPr>
          <w:rFonts w:ascii="Arial" w:hAnsi="Arial"/>
          <w:i/>
          <w:sz w:val="20"/>
        </w:rPr>
        <w:t>119</w:t>
      </w:r>
      <w:r>
        <w:rPr>
          <w:sz w:val="20"/>
        </w:rPr>
        <w:t>;</w:t>
      </w:r>
      <w:r>
        <w:rPr>
          <w:spacing w:val="5"/>
          <w:sz w:val="20"/>
        </w:rPr>
        <w:t> </w:t>
      </w:r>
      <w:r>
        <w:rPr>
          <w:sz w:val="20"/>
        </w:rPr>
        <w:t>cf.</w:t>
      </w:r>
      <w:r>
        <w:rPr>
          <w:spacing w:val="5"/>
          <w:sz w:val="20"/>
        </w:rPr>
        <w:t> </w:t>
      </w:r>
      <w:r>
        <w:rPr>
          <w:rFonts w:ascii="Arial" w:hAnsi="Arial"/>
          <w:i/>
          <w:sz w:val="20"/>
        </w:rPr>
        <w:t>Le</w:t>
      </w:r>
      <w:r>
        <w:rPr>
          <w:rFonts w:ascii="Arial" w:hAnsi="Arial"/>
          <w:i/>
          <w:spacing w:val="5"/>
          <w:sz w:val="20"/>
        </w:rPr>
        <w:t> </w:t>
      </w:r>
      <w:r>
        <w:rPr>
          <w:rFonts w:ascii="Arial" w:hAnsi="Arial"/>
          <w:i/>
          <w:sz w:val="20"/>
        </w:rPr>
        <w:t>Blanche</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L.N.W.</w:t>
      </w:r>
      <w:r>
        <w:rPr>
          <w:rFonts w:ascii="Arial" w:hAnsi="Arial"/>
          <w:i/>
          <w:spacing w:val="5"/>
          <w:sz w:val="20"/>
        </w:rPr>
        <w:t> </w:t>
      </w:r>
      <w:r>
        <w:rPr>
          <w:rFonts w:ascii="Arial" w:hAnsi="Arial"/>
          <w:i/>
          <w:sz w:val="20"/>
        </w:rPr>
        <w:t>Ry</w:t>
      </w:r>
      <w:r>
        <w:rPr>
          <w:rFonts w:ascii="Arial" w:hAnsi="Arial"/>
          <w:i/>
          <w:spacing w:val="5"/>
          <w:sz w:val="20"/>
        </w:rPr>
        <w:t> </w:t>
      </w:r>
      <w:r>
        <w:rPr>
          <w:rFonts w:ascii="Arial" w:hAnsi="Arial"/>
          <w:i/>
          <w:spacing w:val="-2"/>
          <w:sz w:val="20"/>
        </w:rPr>
        <w:t>(1876)</w:t>
      </w:r>
    </w:p>
    <w:p>
      <w:pPr>
        <w:spacing w:line="235" w:lineRule="auto" w:before="0"/>
        <w:ind w:left="705" w:right="168" w:firstLine="0"/>
        <w:jc w:val="both"/>
        <w:rPr>
          <w:sz w:val="20"/>
        </w:rPr>
      </w:pPr>
      <w:r>
        <w:rPr>
          <w:rFonts w:ascii="Arial"/>
          <w:i/>
          <w:sz w:val="20"/>
        </w:rPr>
        <w:t>1 C.P.D. 286</w:t>
      </w:r>
      <w:r>
        <w:rPr>
          <w:sz w:val="20"/>
        </w:rPr>
        <w:t>; </w:t>
      </w:r>
      <w:r>
        <w:rPr>
          <w:rFonts w:ascii="Arial"/>
          <w:i/>
          <w:sz w:val="20"/>
        </w:rPr>
        <w:t>Quinn v Burch Bros (Builders) Ltd [1966] 2 Q.B. 370 </w:t>
      </w:r>
      <w:r>
        <w:rPr>
          <w:sz w:val="20"/>
        </w:rPr>
        <w:t>(above, para.26-063); </w:t>
      </w:r>
      <w:r>
        <w:rPr>
          <w:rFonts w:ascii="Arial"/>
          <w:i/>
          <w:sz w:val="20"/>
        </w:rPr>
        <w:t>Westwood v Secretary of State for Employment [1985] A.C. 20, 44</w:t>
      </w:r>
      <w:r>
        <w:rPr>
          <w:sz w:val="20"/>
        </w:rPr>
        <w:t>. cf. also the cases </w:t>
      </w:r>
      <w:r>
        <w:rPr>
          <w:sz w:val="20"/>
        </w:rPr>
        <w:t>on reinstatement damages, above, para.26-036.</w:t>
      </w:r>
    </w:p>
    <w:p>
      <w:pPr>
        <w:pStyle w:val="BodyText"/>
        <w:spacing w:before="7"/>
      </w:pPr>
    </w:p>
    <w:p>
      <w:pPr>
        <w:spacing w:line="235" w:lineRule="auto" w:before="0"/>
        <w:ind w:left="705" w:right="168" w:hanging="541"/>
        <w:jc w:val="both"/>
        <w:rPr>
          <w:sz w:val="20"/>
        </w:rPr>
      </w:pPr>
      <w:bookmarkStart w:name="_bookmark1096" w:id="1098"/>
      <w:bookmarkEnd w:id="1098"/>
      <w:r>
        <w:rPr/>
      </w:r>
      <w:hyperlink w:history="true" w:anchor="_bookmark1092">
        <w:r>
          <w:rPr>
            <w:color w:val="005DA1"/>
            <w:position w:val="5"/>
            <w:sz w:val="14"/>
            <w:u w:val="single" w:color="005DA1"/>
          </w:rPr>
          <w:t>576</w:t>
        </w:r>
      </w:hyperlink>
      <w:r>
        <w:rPr>
          <w:position w:val="5"/>
          <w:sz w:val="14"/>
        </w:rPr>
        <w:t>.</w:t>
      </w:r>
      <w:r>
        <w:rPr>
          <w:spacing w:val="80"/>
          <w:position w:val="5"/>
          <w:sz w:val="14"/>
        </w:rPr>
        <w:t>  </w:t>
      </w:r>
      <w:r>
        <w:rPr>
          <w:rFonts w:ascii="Arial" w:hAnsi="Arial"/>
          <w:i/>
          <w:sz w:val="20"/>
        </w:rPr>
        <w:t>County Personnel (Employment Agency) Ltd v Alan R. Pulver &amp; Co [1987] 1 W.L.R. 916, 926</w:t>
      </w:r>
      <w:r>
        <w:rPr>
          <w:sz w:val="20"/>
        </w:rPr>
        <w:t>. This “extrication” principle was accepted by the House of Lords in </w:t>
      </w:r>
      <w:r>
        <w:rPr>
          <w:rFonts w:ascii="Arial" w:hAnsi="Arial"/>
          <w:i/>
          <w:sz w:val="20"/>
        </w:rPr>
        <w:t>South Australia </w:t>
      </w:r>
      <w:r>
        <w:rPr>
          <w:rFonts w:ascii="Arial" w:hAnsi="Arial"/>
          <w:i/>
          <w:sz w:val="20"/>
        </w:rPr>
        <w:t>Asset Management Corp v York Montague Ltd [1997] A.C. 191, 218–219 </w:t>
      </w:r>
      <w:r>
        <w:rPr>
          <w:sz w:val="20"/>
        </w:rPr>
        <w:t>(see above, para.26-031).</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6. - Mitigation of </w:t>
      </w:r>
      <w:r>
        <w:rPr>
          <w:rFonts w:ascii="Arial"/>
          <w:b/>
          <w:spacing w:val="-2"/>
          <w:sz w:val="24"/>
        </w:rPr>
        <w:t>Damage</w:t>
      </w:r>
    </w:p>
    <w:p>
      <w:pPr>
        <w:pStyle w:val="ListParagraph"/>
        <w:numPr>
          <w:ilvl w:val="0"/>
          <w:numId w:val="7"/>
        </w:numPr>
        <w:tabs>
          <w:tab w:pos="3118" w:val="left" w:leader="none"/>
        </w:tabs>
        <w:spacing w:line="240" w:lineRule="auto" w:before="194" w:after="0"/>
        <w:ind w:left="3118" w:right="0" w:hanging="373"/>
        <w:jc w:val="left"/>
        <w:rPr>
          <w:b/>
          <w:sz w:val="24"/>
        </w:rPr>
      </w:pPr>
      <w:r>
        <w:rPr>
          <w:b/>
          <w:sz w:val="24"/>
        </w:rPr>
        <w:t>- Choosing between </w:t>
      </w:r>
      <w:r>
        <w:rPr>
          <w:b/>
          <w:spacing w:val="-2"/>
          <w:sz w:val="24"/>
        </w:rPr>
        <w:t>Remedies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Innocent party’s choice between </w:t>
      </w:r>
      <w:r>
        <w:rPr>
          <w:rFonts w:ascii="Arial" w:hAnsi="Arial"/>
          <w:b/>
          <w:spacing w:val="-2"/>
          <w:sz w:val="18"/>
        </w:rPr>
        <w:t>remedies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103</w:t>
      </w:r>
    </w:p>
    <w:p>
      <w:pPr>
        <w:pStyle w:val="BodyText"/>
        <w:spacing w:line="235" w:lineRule="auto" w:before="202"/>
        <w:ind w:left="164" w:right="167"/>
        <w:jc w:val="both"/>
      </w:pPr>
      <w:r>
        <w:rPr/>
        <w:t>There have been suggestions that the rules of mitigation do not apply to the innocent party’s </w:t>
      </w:r>
      <w:r>
        <w:rPr/>
        <w:t>choice </w:t>
      </w:r>
      <w:bookmarkStart w:name="_bookmark1097" w:id="1099"/>
      <w:bookmarkEnd w:id="1099"/>
      <w:r>
        <w:rPr/>
        <w:t>between</w:t>
      </w:r>
      <w:r>
        <w:rPr/>
        <w:t> different remedies open to him following the other party’s breach of contract: he is not bound </w:t>
      </w:r>
      <w:bookmarkStart w:name="_bookmark1098" w:id="1100"/>
      <w:bookmarkEnd w:id="1100"/>
      <w:r>
        <w:rPr/>
        <w:t>to</w:t>
      </w:r>
      <w:r>
        <w:rPr>
          <w:spacing w:val="-2"/>
        </w:rPr>
        <w:t> </w:t>
      </w:r>
      <w:r>
        <w:rPr/>
        <w:t>act</w:t>
      </w:r>
      <w:r>
        <w:rPr>
          <w:spacing w:val="-2"/>
        </w:rPr>
        <w:t> </w:t>
      </w:r>
      <w:r>
        <w:rPr/>
        <w:t>“reasonably”</w:t>
      </w:r>
      <w:r>
        <w:rPr>
          <w:spacing w:val="-2"/>
        </w:rPr>
        <w:t> </w:t>
      </w:r>
      <w:r>
        <w:rPr/>
        <w:t>in</w:t>
      </w:r>
      <w:r>
        <w:rPr>
          <w:spacing w:val="-2"/>
        </w:rPr>
        <w:t> </w:t>
      </w:r>
      <w:r>
        <w:rPr/>
        <w:t>exercising</w:t>
      </w:r>
      <w:r>
        <w:rPr>
          <w:spacing w:val="-2"/>
        </w:rPr>
        <w:t> </w:t>
      </w:r>
      <w:r>
        <w:rPr/>
        <w:t>his</w:t>
      </w:r>
      <w:r>
        <w:rPr>
          <w:spacing w:val="-2"/>
        </w:rPr>
        <w:t> </w:t>
      </w:r>
      <w:r>
        <w:rPr/>
        <w:t>choice</w:t>
      </w:r>
      <w:r>
        <w:rPr>
          <w:spacing w:val="-2"/>
        </w:rPr>
        <w:t> </w:t>
      </w:r>
      <w:r>
        <w:rPr>
          <w:color w:val="005DA1"/>
          <w:u w:val="single" w:color="005DA1"/>
          <w:vertAlign w:val="superscript"/>
        </w:rPr>
        <w:t>577</w:t>
      </w:r>
      <w:r>
        <w:rPr>
          <w:color w:val="005DA1"/>
          <w:spacing w:val="-2"/>
          <w:vertAlign w:val="baseline"/>
        </w:rPr>
        <w:t> </w:t>
      </w:r>
      <w:r>
        <w:rPr>
          <w:vertAlign w:val="baseline"/>
        </w:rPr>
        <w:t>or,</w:t>
      </w:r>
      <w:r>
        <w:rPr>
          <w:spacing w:val="-2"/>
          <w:vertAlign w:val="baseline"/>
        </w:rPr>
        <w:t> </w:t>
      </w:r>
      <w:r>
        <w:rPr>
          <w:vertAlign w:val="baseline"/>
        </w:rPr>
        <w:t>more</w:t>
      </w:r>
      <w:r>
        <w:rPr>
          <w:spacing w:val="-2"/>
          <w:vertAlign w:val="baseline"/>
        </w:rPr>
        <w:t> </w:t>
      </w:r>
      <w:r>
        <w:rPr>
          <w:vertAlign w:val="baseline"/>
        </w:rPr>
        <w:t>broadly,</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offers</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w:t>
      </w:r>
      <w:r>
        <w:rPr>
          <w:spacing w:val="-2"/>
          <w:vertAlign w:val="baseline"/>
        </w:rPr>
        <w:t> </w:t>
      </w:r>
      <w:r>
        <w:rPr>
          <w:vertAlign w:val="baseline"/>
        </w:rPr>
        <w:t>choice, he does not act unreasonably if he chooses one remedy rather than another. </w:t>
      </w:r>
      <w:r>
        <w:rPr>
          <w:color w:val="005DA1"/>
          <w:u w:val="single" w:color="005DA1"/>
          <w:vertAlign w:val="superscript"/>
        </w:rPr>
        <w:t>578</w:t>
      </w:r>
      <w:r>
        <w:rPr>
          <w:color w:val="005DA1"/>
          <w:vertAlign w:val="baseline"/>
        </w:rPr>
        <w:t> </w:t>
      </w:r>
      <w:r>
        <w:rPr>
          <w:vertAlign w:val="baseline"/>
        </w:rPr>
        <w:t>Where the buyer commits an anticipatory breach by repudiating his obligation to take delivery of the goods before the date fixed for delivery, the seller has an option: he may either accept the repudiation and so treat it </w:t>
      </w:r>
      <w:bookmarkStart w:name="_bookmark1099" w:id="1101"/>
      <w:bookmarkEnd w:id="1101"/>
      <w:r>
        <w:rPr>
          <w:vertAlign w:val="baseline"/>
        </w:rPr>
        <w:t>forthwith</w:t>
      </w:r>
      <w:r>
        <w:rPr>
          <w:vertAlign w:val="baseline"/>
        </w:rPr>
        <w:t> as a breach, or (subject to what was said earlier on the possible effect of the decision in </w:t>
      </w:r>
      <w:bookmarkStart w:name="_bookmark1100" w:id="1102"/>
      <w:bookmarkEnd w:id="1102"/>
      <w:r>
        <w:rPr>
          <w:vertAlign w:val="baseline"/>
        </w:rPr>
      </w:r>
      <w:r>
        <w:rPr>
          <w:rFonts w:ascii="Arial" w:hAnsi="Arial"/>
          <w:i/>
          <w:vertAlign w:val="baseline"/>
        </w:rPr>
        <w:t>White and Carter (Councils) Ltd v McGregor </w:t>
      </w:r>
      <w:r>
        <w:rPr>
          <w:color w:val="005DA1"/>
          <w:u w:val="single" w:color="005DA1"/>
          <w:vertAlign w:val="superscript"/>
        </w:rPr>
        <w:t>579</w:t>
      </w:r>
      <w:r>
        <w:rPr>
          <w:vertAlign w:val="baseline"/>
        </w:rPr>
        <w:t>) he may continue to treat the contract as binding and </w:t>
      </w:r>
      <w:bookmarkStart w:name="_bookmark1101" w:id="1103"/>
      <w:bookmarkEnd w:id="1103"/>
      <w:r>
        <w:rPr>
          <w:vertAlign w:val="baseline"/>
        </w:rPr>
        <w:t>thus</w:t>
      </w:r>
      <w:r>
        <w:rPr>
          <w:vertAlign w:val="baseline"/>
        </w:rPr>
        <w:t> not accept the repudiation as a breach. </w:t>
      </w:r>
      <w:r>
        <w:rPr>
          <w:color w:val="005DA1"/>
          <w:u w:val="single" w:color="005DA1"/>
          <w:vertAlign w:val="superscript"/>
        </w:rPr>
        <w:t>580</w:t>
      </w:r>
      <w:r>
        <w:rPr>
          <w:color w:val="005DA1"/>
          <w:vertAlign w:val="baseline"/>
        </w:rPr>
        <w:t> </w:t>
      </w:r>
      <w:r>
        <w:rPr>
          <w:vertAlign w:val="baseline"/>
        </w:rPr>
        <w:t>In exercising this choice between these alternative </w:t>
      </w:r>
      <w:bookmarkStart w:name="_bookmark1102" w:id="1104"/>
      <w:bookmarkEnd w:id="1104"/>
      <w:r>
        <w:rPr>
          <w:vertAlign w:val="baseline"/>
        </w:rPr>
        <w:t>courses</w:t>
      </w:r>
      <w:r>
        <w:rPr>
          <w:vertAlign w:val="baseline"/>
        </w:rPr>
        <w:t> of action, the seller is not obliged to act “reasonably”. </w:t>
      </w:r>
      <w:r>
        <w:rPr>
          <w:color w:val="005DA1"/>
          <w:u w:val="single" w:color="005DA1"/>
          <w:vertAlign w:val="superscript"/>
        </w:rPr>
        <w:t>581</w:t>
      </w:r>
      <w:r>
        <w:rPr>
          <w:color w:val="005DA1"/>
          <w:vertAlign w:val="baseline"/>
        </w:rPr>
        <w:t> </w:t>
      </w:r>
      <w:r>
        <w:rPr>
          <w:vertAlign w:val="baseline"/>
        </w:rPr>
        <w:t>If the seller accepts the buyer’s anticipatory</w:t>
      </w:r>
      <w:r>
        <w:rPr>
          <w:spacing w:val="-2"/>
          <w:vertAlign w:val="baseline"/>
        </w:rPr>
        <w:t> </w:t>
      </w:r>
      <w:r>
        <w:rPr>
          <w:vertAlign w:val="baseline"/>
        </w:rPr>
        <w:t>repudiation,</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thereupon</w:t>
      </w:r>
      <w:r>
        <w:rPr>
          <w:spacing w:val="-2"/>
          <w:vertAlign w:val="baseline"/>
        </w:rPr>
        <w:t> </w:t>
      </w:r>
      <w:r>
        <w:rPr>
          <w:vertAlign w:val="baseline"/>
        </w:rPr>
        <w:t>obliged</w:t>
      </w:r>
      <w:r>
        <w:rPr>
          <w:spacing w:val="-2"/>
          <w:vertAlign w:val="baseline"/>
        </w:rPr>
        <w:t> </w:t>
      </w:r>
      <w:r>
        <w:rPr>
          <w:vertAlign w:val="baseline"/>
        </w:rPr>
        <w:t>to</w:t>
      </w:r>
      <w:r>
        <w:rPr>
          <w:spacing w:val="-2"/>
          <w:vertAlign w:val="baseline"/>
        </w:rPr>
        <w:t> </w:t>
      </w:r>
      <w:r>
        <w:rPr>
          <w:vertAlign w:val="baseline"/>
        </w:rPr>
        <w:t>take</w:t>
      </w:r>
      <w:r>
        <w:rPr>
          <w:spacing w:val="-2"/>
          <w:vertAlign w:val="baseline"/>
        </w:rPr>
        <w:t> </w:t>
      </w:r>
      <w:r>
        <w:rPr>
          <w:vertAlign w:val="baseline"/>
        </w:rPr>
        <w:t>reasonable</w:t>
      </w:r>
      <w:r>
        <w:rPr>
          <w:spacing w:val="-2"/>
          <w:vertAlign w:val="baseline"/>
        </w:rPr>
        <w:t> </w:t>
      </w:r>
      <w:r>
        <w:rPr>
          <w:vertAlign w:val="baseline"/>
        </w:rPr>
        <w:t>steps</w:t>
      </w:r>
      <w:r>
        <w:rPr>
          <w:spacing w:val="-2"/>
          <w:vertAlign w:val="baseline"/>
        </w:rPr>
        <w:t> </w:t>
      </w:r>
      <w:r>
        <w:rPr>
          <w:vertAlign w:val="baseline"/>
        </w:rPr>
        <w:t>to</w:t>
      </w:r>
      <w:r>
        <w:rPr>
          <w:spacing w:val="-2"/>
          <w:vertAlign w:val="baseline"/>
        </w:rPr>
        <w:t> </w:t>
      </w:r>
      <w:r>
        <w:rPr>
          <w:vertAlign w:val="baseline"/>
        </w:rPr>
        <w:t>mitigate</w:t>
      </w:r>
      <w:r>
        <w:rPr>
          <w:spacing w:val="-2"/>
          <w:vertAlign w:val="baseline"/>
        </w:rPr>
        <w:t> </w:t>
      </w:r>
      <w:r>
        <w:rPr>
          <w:vertAlign w:val="baseline"/>
        </w:rPr>
        <w:t>his</w:t>
      </w:r>
      <w:r>
        <w:rPr>
          <w:spacing w:val="-2"/>
          <w:vertAlign w:val="baseline"/>
        </w:rPr>
        <w:t> </w:t>
      </w:r>
      <w:r>
        <w:rPr>
          <w:vertAlign w:val="baseline"/>
        </w:rPr>
        <w:t>loss</w:t>
      </w:r>
      <w:r>
        <w:rPr>
          <w:spacing w:val="-4"/>
          <w:vertAlign w:val="baseline"/>
        </w:rPr>
        <w:t> </w:t>
      </w:r>
      <w:r>
        <w:rPr>
          <w:color w:val="005DA1"/>
          <w:u w:val="single" w:color="005DA1"/>
          <w:vertAlign w:val="superscript"/>
        </w:rPr>
        <w:t>582</w:t>
      </w:r>
      <w:r>
        <w:rPr>
          <w:vertAlign w:val="baseline"/>
        </w:rPr>
        <w:t>;</w:t>
      </w:r>
      <w:r>
        <w:rPr>
          <w:spacing w:val="-2"/>
          <w:vertAlign w:val="baseline"/>
        </w:rPr>
        <w:t> </w:t>
      </w:r>
      <w:r>
        <w:rPr>
          <w:vertAlign w:val="baseline"/>
        </w:rPr>
        <w:t>but</w:t>
      </w:r>
      <w:r>
        <w:rPr>
          <w:spacing w:val="-2"/>
          <w:vertAlign w:val="baseline"/>
        </w:rPr>
        <w:t> </w:t>
      </w:r>
      <w:r>
        <w:rPr>
          <w:vertAlign w:val="baseline"/>
        </w:rPr>
        <w:t>if </w:t>
      </w:r>
      <w:bookmarkStart w:name="_bookmark1103" w:id="1105"/>
      <w:bookmarkEnd w:id="1105"/>
      <w:r>
        <w:rPr>
          <w:vertAlign w:val="baseline"/>
        </w:rPr>
        <w:t>the</w:t>
      </w:r>
      <w:r>
        <w:rPr>
          <w:vertAlign w:val="baseline"/>
        </w:rPr>
        <w:t> seller does not accept the anticipatory repudiation he does not have any duty to mitigate unless and until the buyer actually commits a breach of contract. </w:t>
      </w:r>
      <w:r>
        <w:rPr>
          <w:color w:val="005DA1"/>
          <w:u w:val="single" w:color="005DA1"/>
          <w:vertAlign w:val="superscript"/>
        </w:rPr>
        <w:t>583</w:t>
      </w:r>
      <w:r>
        <w:rPr>
          <w:color w:val="005DA1"/>
          <w:vertAlign w:val="baseline"/>
        </w:rPr>
        <w:t> </w:t>
      </w:r>
      <w:r>
        <w:rPr>
          <w:vertAlign w:val="baseline"/>
        </w:rPr>
        <w:t>After the innocent party has terminated the contract, however, the rules on mitigation will apply to any claim for damages he makes; it may </w:t>
      </w:r>
      <w:bookmarkStart w:name="_bookmark1104" w:id="1106"/>
      <w:bookmarkEnd w:id="1106"/>
      <w:r>
        <w:rPr>
          <w:vertAlign w:val="baseline"/>
        </w:rPr>
        <w:t>then</w:t>
      </w:r>
      <w:r>
        <w:rPr>
          <w:vertAlign w:val="baseline"/>
        </w:rPr>
        <w:t> be reasonable for him to act in a way which has the effect of nullifying the consequences of that decision, e.g. by entering into a new contract with the contract-breaker. </w:t>
      </w:r>
      <w:r>
        <w:rPr>
          <w:color w:val="005DA1"/>
          <w:u w:val="single" w:color="005DA1"/>
          <w:vertAlign w:val="superscript"/>
        </w:rPr>
        <w:t>584</w:t>
      </w:r>
      <w:r>
        <w:rPr>
          <w:color w:val="005DA1"/>
          <w:vertAlign w:val="baseline"/>
        </w:rPr>
        <w:t> </w:t>
      </w:r>
      <w:r>
        <w:rPr>
          <w:vertAlign w:val="baseline"/>
        </w:rPr>
        <w:t>Moreover, once there has been an actual breach the rules on mitigation may in effect require the innocent party to terminate: if </w:t>
      </w:r>
      <w:bookmarkStart w:name="_bookmark1105" w:id="1107"/>
      <w:bookmarkEnd w:id="1107"/>
      <w:r>
        <w:rPr>
          <w:vertAlign w:val="baseline"/>
        </w:rPr>
        <w:t>he</w:t>
      </w:r>
      <w:r>
        <w:rPr>
          <w:vertAlign w:val="baseline"/>
        </w:rPr>
        <w:t> waits an unreasonably long time before going into the market to make a replacement purchase or sale, he may find that the damages will be assessed by the date at which he should have acted. </w:t>
      </w:r>
      <w:r>
        <w:rPr>
          <w:color w:val="005DA1"/>
          <w:u w:val="single" w:color="005DA1"/>
          <w:vertAlign w:val="superscript"/>
        </w:rPr>
        <w:t>585</w:t>
      </w:r>
      <w:r>
        <w:rPr>
          <w:color w:val="005DA1"/>
          <w:vertAlign w:val="baseline"/>
        </w:rPr>
        <w:t> </w:t>
      </w:r>
      <w:r>
        <w:rPr>
          <w:vertAlign w:val="baseline"/>
        </w:rPr>
        <w:t>This may result in him recovering less than his full loss.</w:t>
      </w:r>
    </w:p>
    <w:p>
      <w:pPr>
        <w:pStyle w:val="BodyText"/>
      </w:pPr>
    </w:p>
    <w:p>
      <w:pPr>
        <w:pStyle w:val="BodyText"/>
        <w:spacing w:before="31"/>
      </w:pPr>
    </w:p>
    <w:p>
      <w:pPr>
        <w:spacing w:before="0"/>
        <w:ind w:left="164" w:right="0" w:firstLine="0"/>
        <w:jc w:val="both"/>
        <w:rPr>
          <w:rFonts w:ascii="Arial"/>
          <w:b/>
          <w:sz w:val="18"/>
        </w:rPr>
      </w:pPr>
      <w:r>
        <w:rPr>
          <w:rFonts w:ascii="Arial"/>
          <w:b/>
          <w:sz w:val="18"/>
        </w:rPr>
        <w:t>Recovery of sum due on </w:t>
      </w:r>
      <w:r>
        <w:rPr>
          <w:rFonts w:ascii="Arial"/>
          <w:b/>
          <w:spacing w:val="-2"/>
          <w:sz w:val="18"/>
        </w:rPr>
        <w:t>performance</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26-</w:t>
      </w:r>
      <w:r>
        <w:rPr>
          <w:rFonts w:ascii="Arial"/>
          <w:b/>
          <w:spacing w:val="-5"/>
          <w:sz w:val="24"/>
        </w:rPr>
        <w:t>104</w:t>
      </w:r>
    </w:p>
    <w:p>
      <w:pPr>
        <w:pStyle w:val="BodyText"/>
        <w:spacing w:line="235" w:lineRule="auto" w:before="202"/>
        <w:ind w:left="164" w:right="167"/>
        <w:jc w:val="both"/>
      </w:pPr>
      <w:bookmarkStart w:name="_bookmark1106" w:id="1108"/>
      <w:bookmarkEnd w:id="1108"/>
      <w:r>
        <w:rPr/>
      </w:r>
      <w:r>
        <w:rPr/>
        <w:t>By implication, the House of Lords has decided that the rules on mitigation do not apply to a claim </w:t>
      </w:r>
      <w:r>
        <w:rPr/>
        <w:t>for </w:t>
      </w:r>
      <w:bookmarkStart w:name="_bookmark1107" w:id="1109"/>
      <w:bookmarkEnd w:id="1109"/>
      <w:r>
        <w:rPr/>
        <w:t>a</w:t>
      </w:r>
      <w:r>
        <w:rPr/>
        <w:t> debt due under a contract in return for the claimant’s performance of his obligation </w:t>
      </w:r>
      <w:r>
        <w:rPr>
          <w:color w:val="005DA1"/>
          <w:u w:val="single" w:color="005DA1"/>
          <w:vertAlign w:val="superscript"/>
        </w:rPr>
        <w:t>586</w:t>
      </w:r>
      <w:r>
        <w:rPr>
          <w:vertAlign w:val="baseline"/>
        </w:rPr>
        <w:t>; such a claim </w:t>
      </w:r>
      <w:bookmarkStart w:name="_bookmark1108" w:id="1110"/>
      <w:bookmarkEnd w:id="1110"/>
      <w:r>
        <w:rPr>
          <w:vertAlign w:val="baseline"/>
        </w:rPr>
        <w:t>is</w:t>
      </w:r>
      <w:r>
        <w:rPr>
          <w:vertAlign w:val="baseline"/>
        </w:rPr>
        <w:t> distinct from one for damages for breach of contract. </w:t>
      </w:r>
      <w:r>
        <w:rPr>
          <w:color w:val="005DA1"/>
          <w:u w:val="single" w:color="005DA1"/>
          <w:vertAlign w:val="superscript"/>
        </w:rPr>
        <w:t>587</w:t>
      </w:r>
      <w:r>
        <w:rPr>
          <w:color w:val="005DA1"/>
          <w:vertAlign w:val="baseline"/>
        </w:rPr>
        <w:t> </w:t>
      </w:r>
      <w:r>
        <w:rPr>
          <w:vertAlign w:val="baseline"/>
        </w:rPr>
        <w:t>In </w:t>
      </w:r>
      <w:r>
        <w:rPr>
          <w:rFonts w:ascii="Arial" w:hAnsi="Arial"/>
          <w:i/>
          <w:vertAlign w:val="baseline"/>
        </w:rPr>
        <w:t>White and Carter (Councils) Ltd v McGregor </w:t>
      </w:r>
      <w:r>
        <w:rPr>
          <w:color w:val="005DA1"/>
          <w:u w:val="single" w:color="005DA1"/>
          <w:vertAlign w:val="superscript"/>
        </w:rPr>
        <w:t>588</w:t>
      </w:r>
      <w:r>
        <w:rPr>
          <w:color w:val="005DA1"/>
          <w:vertAlign w:val="baseline"/>
        </w:rPr>
        <w:t> </w:t>
      </w:r>
      <w:r>
        <w:rPr>
          <w:vertAlign w:val="baseline"/>
        </w:rPr>
        <w:t>the plaintiff refused to accept the defendant’s anticipatory repudiation of the contract </w:t>
      </w:r>
      <w:r>
        <w:rPr>
          <w:color w:val="005DA1"/>
          <w:u w:val="single" w:color="005DA1"/>
          <w:vertAlign w:val="superscript"/>
        </w:rPr>
        <w:t>589</w:t>
      </w:r>
      <w:r>
        <w:rPr>
          <w:color w:val="005DA1"/>
          <w:vertAlign w:val="baseline"/>
        </w:rPr>
        <w:t> </w:t>
      </w:r>
      <w:bookmarkStart w:name="_bookmark1109" w:id="1111"/>
      <w:bookmarkEnd w:id="1111"/>
      <w:r>
        <w:rPr>
          <w:color w:val="005DA1"/>
          <w:w w:val="92"/>
          <w:vertAlign w:val="baseline"/>
        </w:rPr>
      </w:r>
      <w:r>
        <w:rPr>
          <w:vertAlign w:val="baseline"/>
        </w:rPr>
        <w:t>and</w:t>
      </w:r>
      <w:r>
        <w:rPr>
          <w:spacing w:val="65"/>
          <w:vertAlign w:val="baseline"/>
        </w:rPr>
        <w:t> </w:t>
      </w:r>
      <w:r>
        <w:rPr>
          <w:vertAlign w:val="baseline"/>
        </w:rPr>
        <w:t>was</w:t>
      </w:r>
      <w:r>
        <w:rPr>
          <w:spacing w:val="65"/>
          <w:vertAlign w:val="baseline"/>
        </w:rPr>
        <w:t> </w:t>
      </w:r>
      <w:r>
        <w:rPr>
          <w:vertAlign w:val="baseline"/>
        </w:rPr>
        <w:t>able</w:t>
      </w:r>
      <w:r>
        <w:rPr>
          <w:spacing w:val="65"/>
          <w:vertAlign w:val="baseline"/>
        </w:rPr>
        <w:t> </w:t>
      </w:r>
      <w:r>
        <w:rPr>
          <w:vertAlign w:val="baseline"/>
        </w:rPr>
        <w:t>thereafter</w:t>
      </w:r>
      <w:r>
        <w:rPr>
          <w:spacing w:val="65"/>
          <w:vertAlign w:val="baseline"/>
        </w:rPr>
        <w:t> </w:t>
      </w:r>
      <w:r>
        <w:rPr>
          <w:vertAlign w:val="baseline"/>
        </w:rPr>
        <w:t>to</w:t>
      </w:r>
      <w:r>
        <w:rPr>
          <w:spacing w:val="65"/>
          <w:vertAlign w:val="baseline"/>
        </w:rPr>
        <w:t> </w:t>
      </w:r>
      <w:r>
        <w:rPr>
          <w:vertAlign w:val="baseline"/>
        </w:rPr>
        <w:t>complete</w:t>
      </w:r>
      <w:r>
        <w:rPr>
          <w:spacing w:val="65"/>
          <w:vertAlign w:val="baseline"/>
        </w:rPr>
        <w:t> </w:t>
      </w:r>
      <w:r>
        <w:rPr>
          <w:vertAlign w:val="baseline"/>
        </w:rPr>
        <w:t>the</w:t>
      </w:r>
      <w:r>
        <w:rPr>
          <w:spacing w:val="65"/>
          <w:vertAlign w:val="baseline"/>
        </w:rPr>
        <w:t> </w:t>
      </w:r>
      <w:r>
        <w:rPr>
          <w:vertAlign w:val="baseline"/>
        </w:rPr>
        <w:t>performance</w:t>
      </w:r>
      <w:r>
        <w:rPr>
          <w:spacing w:val="65"/>
          <w:vertAlign w:val="baseline"/>
        </w:rPr>
        <w:t> </w:t>
      </w:r>
      <w:r>
        <w:rPr>
          <w:vertAlign w:val="baseline"/>
        </w:rPr>
        <w:t>of</w:t>
      </w:r>
      <w:r>
        <w:rPr>
          <w:spacing w:val="65"/>
          <w:vertAlign w:val="baseline"/>
        </w:rPr>
        <w:t> </w:t>
      </w:r>
      <w:r>
        <w:rPr>
          <w:vertAlign w:val="baseline"/>
        </w:rPr>
        <w:t>his</w:t>
      </w:r>
      <w:r>
        <w:rPr>
          <w:spacing w:val="65"/>
          <w:vertAlign w:val="baseline"/>
        </w:rPr>
        <w:t> </w:t>
      </w:r>
      <w:r>
        <w:rPr>
          <w:vertAlign w:val="baseline"/>
        </w:rPr>
        <w:t>side</w:t>
      </w:r>
      <w:r>
        <w:rPr>
          <w:spacing w:val="65"/>
          <w:vertAlign w:val="baseline"/>
        </w:rPr>
        <w:t> </w:t>
      </w:r>
      <w:r>
        <w:rPr>
          <w:vertAlign w:val="baseline"/>
        </w:rPr>
        <w:t>of</w:t>
      </w:r>
      <w:r>
        <w:rPr>
          <w:spacing w:val="65"/>
          <w:vertAlign w:val="baseline"/>
        </w:rPr>
        <w:t> </w:t>
      </w:r>
      <w:r>
        <w:rPr>
          <w:vertAlign w:val="baseline"/>
        </w:rPr>
        <w:t>the</w:t>
      </w:r>
      <w:r>
        <w:rPr>
          <w:spacing w:val="65"/>
          <w:vertAlign w:val="baseline"/>
        </w:rPr>
        <w:t> </w:t>
      </w:r>
      <w:r>
        <w:rPr>
          <w:vertAlign w:val="baseline"/>
        </w:rPr>
        <w:t>contract</w:t>
      </w:r>
      <w:r>
        <w:rPr>
          <w:spacing w:val="65"/>
          <w:vertAlign w:val="baseline"/>
        </w:rPr>
        <w:t> </w:t>
      </w:r>
      <w:r>
        <w:rPr>
          <w:vertAlign w:val="baseline"/>
        </w:rPr>
        <w:t>without</w:t>
      </w:r>
      <w:r>
        <w:rPr>
          <w:spacing w:val="65"/>
          <w:vertAlign w:val="baseline"/>
        </w:rPr>
        <w:t> </w:t>
      </w:r>
      <w:r>
        <w:rPr>
          <w:vertAlign w:val="baseline"/>
        </w:rPr>
        <w:t>the co-operation of the defendant </w:t>
      </w:r>
      <w:r>
        <w:rPr>
          <w:color w:val="005DA1"/>
          <w:u w:val="single" w:color="005DA1"/>
          <w:vertAlign w:val="superscript"/>
        </w:rPr>
        <w:t>590</w:t>
      </w:r>
      <w:r>
        <w:rPr>
          <w:vertAlign w:val="baseline"/>
        </w:rPr>
        <w:t>; the majority of their Lordships held that the plaintiff could recover</w:t>
      </w:r>
      <w:r>
        <w:rPr>
          <w:spacing w:val="40"/>
          <w:vertAlign w:val="baseline"/>
        </w:rPr>
        <w:t> </w:t>
      </w:r>
      <w:r>
        <w:rPr>
          <w:vertAlign w:val="baseline"/>
        </w:rPr>
        <w:t>the full amount due for his performance: he was under no obligation to terminate the contract on the ground of the defendant’s anticipatory breach and sue for damages. The two of their Lordships in the minority thought the plaintiff should have mitigated his loss by discontinuing his performance of the </w:t>
      </w:r>
      <w:bookmarkStart w:name="_bookmark1110" w:id="1112"/>
      <w:bookmarkEnd w:id="1112"/>
      <w:r>
        <w:rPr>
          <w:vertAlign w:val="baseline"/>
        </w:rPr>
        <w:t>contract,</w:t>
      </w:r>
      <w:r>
        <w:rPr>
          <w:vertAlign w:val="baseline"/>
        </w:rPr>
        <w:t> but the majority held (by implication) that in the special circumstances of the case there was no such duty on the plaintiff to act reasonably. </w:t>
      </w:r>
      <w:r>
        <w:rPr>
          <w:color w:val="005DA1"/>
          <w:u w:val="single" w:color="005DA1"/>
          <w:vertAlign w:val="superscript"/>
        </w:rPr>
        <w:t>591</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hAnsi="Arial"/>
          <w:b/>
          <w:sz w:val="18"/>
        </w:rPr>
      </w:pPr>
      <w:r>
        <w:rPr>
          <w:rFonts w:ascii="Arial" w:hAnsi="Arial"/>
          <w:b/>
          <w:sz w:val="18"/>
        </w:rPr>
        <w:t>Price can be earned without defendant’s co-</w:t>
      </w:r>
      <w:r>
        <w:rPr>
          <w:rFonts w:ascii="Arial" w:hAnsi="Arial"/>
          <w:b/>
          <w:spacing w:val="-2"/>
          <w:sz w:val="18"/>
        </w:rPr>
        <w:t>operation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105</w:t>
      </w:r>
    </w:p>
    <w:p>
      <w:pPr>
        <w:pStyle w:val="BodyText"/>
        <w:spacing w:line="235" w:lineRule="auto" w:before="203"/>
        <w:ind w:left="164" w:right="167"/>
        <w:jc w:val="both"/>
      </w:pPr>
      <w:bookmarkStart w:name="_bookmark1111" w:id="1113"/>
      <w:bookmarkEnd w:id="1113"/>
      <w:r>
        <w:rPr/>
      </w:r>
      <w:r>
        <w:rPr/>
        <w:t>The circumstances of the </w:t>
      </w:r>
      <w:r>
        <w:rPr>
          <w:rFonts w:ascii="Arial" w:hAnsi="Arial"/>
          <w:i/>
        </w:rPr>
        <w:t>White &amp; Carter </w:t>
      </w:r>
      <w:r>
        <w:rPr>
          <w:color w:val="005DA1"/>
          <w:u w:val="single" w:color="005DA1"/>
          <w:vertAlign w:val="superscript"/>
        </w:rPr>
        <w:t>592</w:t>
      </w:r>
      <w:r>
        <w:rPr>
          <w:color w:val="005DA1"/>
          <w:vertAlign w:val="baseline"/>
        </w:rPr>
        <w:t> </w:t>
      </w:r>
      <w:r>
        <w:rPr>
          <w:vertAlign w:val="baseline"/>
        </w:rPr>
        <w:t>case were unusual, in that there was nothing which </w:t>
      </w:r>
      <w:r>
        <w:rPr>
          <w:vertAlign w:val="baseline"/>
        </w:rPr>
        <w:t>the defendant had to do or accept in order to enable the plaintiff to complete his performance. The claimant cannot ignore the defendant’s repudiation, perform and claim the contract price if the price is </w:t>
      </w:r>
      <w:bookmarkStart w:name="_bookmark1112" w:id="1114"/>
      <w:bookmarkEnd w:id="1114"/>
      <w:r>
        <w:rPr>
          <w:vertAlign w:val="baseline"/>
        </w:rPr>
        <w:t>not</w:t>
      </w:r>
      <w:r>
        <w:rPr>
          <w:vertAlign w:val="baseline"/>
        </w:rPr>
        <w:t> due at the time of the defendant’s anticipatory repudiation, and the claimant can earn it only by performance which will require the defendant’s co-operation. </w:t>
      </w:r>
      <w:r>
        <w:rPr>
          <w:color w:val="005DA1"/>
          <w:u w:val="single" w:color="005DA1"/>
          <w:vertAlign w:val="superscript"/>
        </w:rPr>
        <w:t>593</w:t>
      </w:r>
      <w:r>
        <w:rPr>
          <w:color w:val="005DA1"/>
          <w:vertAlign w:val="baseline"/>
        </w:rPr>
        <w:t> </w:t>
      </w:r>
      <w:r>
        <w:rPr>
          <w:vertAlign w:val="baseline"/>
        </w:rPr>
        <w:t>Thus in a case in which a demise charterer of a vessel indicated that they had no further use for the vessel it has been held that the </w:t>
      </w:r>
      <w:bookmarkStart w:name="_bookmark1113" w:id="1115"/>
      <w:bookmarkEnd w:id="1115"/>
      <w:r>
        <w:rPr>
          <w:vertAlign w:val="baseline"/>
        </w:rPr>
        <w:t>owners</w:t>
      </w:r>
      <w:r>
        <w:rPr>
          <w:vertAlign w:val="baseline"/>
        </w:rPr>
        <w:t> cannot simply keep the vessel idle and claim the hire; performance requires the charterers’</w:t>
      </w:r>
      <w:r>
        <w:rPr>
          <w:spacing w:val="40"/>
          <w:vertAlign w:val="baseline"/>
        </w:rPr>
        <w:t> </w:t>
      </w:r>
      <w:bookmarkStart w:name="_bookmark1114" w:id="1116"/>
      <w:bookmarkEnd w:id="1116"/>
      <w:r>
        <w:rPr>
          <w:vertAlign w:val="baseline"/>
        </w:rPr>
        <w:t>co</w:t>
      </w:r>
      <w:r>
        <w:rPr>
          <w:vertAlign w:val="baseline"/>
        </w:rPr>
        <w:t>-operation. </w:t>
      </w:r>
      <w:r>
        <w:rPr>
          <w:color w:val="005DA1"/>
          <w:u w:val="single" w:color="005DA1"/>
          <w:vertAlign w:val="superscript"/>
        </w:rPr>
        <w:t>594</w:t>
      </w:r>
      <w:r>
        <w:rPr>
          <w:color w:val="005DA1"/>
          <w:vertAlign w:val="baseline"/>
        </w:rPr>
        <w:t> </w:t>
      </w:r>
      <w:r>
        <w:rPr>
          <w:vertAlign w:val="baseline"/>
        </w:rPr>
        <w:t>Although it had been suggested that the same might apply in the case of a time </w:t>
      </w:r>
      <w:bookmarkStart w:name="_bookmark1115" w:id="1117"/>
      <w:bookmarkEnd w:id="1117"/>
      <w:r>
        <w:rPr>
          <w:vertAlign w:val="baseline"/>
        </w:rPr>
        <w:t>charter,</w:t>
      </w:r>
      <w:r>
        <w:rPr>
          <w:spacing w:val="-1"/>
          <w:vertAlign w:val="baseline"/>
        </w:rPr>
        <w:t> </w:t>
      </w:r>
      <w:r>
        <w:rPr>
          <w:color w:val="005DA1"/>
          <w:u w:val="single" w:color="005DA1"/>
          <w:vertAlign w:val="superscript"/>
        </w:rPr>
        <w:t>595</w:t>
      </w:r>
      <w:r>
        <w:rPr>
          <w:color w:val="005DA1"/>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time</w:t>
      </w:r>
      <w:r>
        <w:rPr>
          <w:spacing w:val="-1"/>
          <w:vertAlign w:val="baseline"/>
        </w:rPr>
        <w:t> </w:t>
      </w:r>
      <w:r>
        <w:rPr>
          <w:vertAlign w:val="baseline"/>
        </w:rPr>
        <w:t>charter</w:t>
      </w:r>
      <w:r>
        <w:rPr>
          <w:spacing w:val="-1"/>
          <w:vertAlign w:val="baseline"/>
        </w:rPr>
        <w:t> </w:t>
      </w:r>
      <w:r>
        <w:rPr>
          <w:vertAlign w:val="baseline"/>
        </w:rPr>
        <w:t>the</w:t>
      </w:r>
      <w:r>
        <w:rPr>
          <w:spacing w:val="-1"/>
          <w:vertAlign w:val="baseline"/>
        </w:rPr>
        <w:t> </w:t>
      </w:r>
      <w:r>
        <w:rPr>
          <w:vertAlign w:val="baseline"/>
        </w:rPr>
        <w:t>owners</w:t>
      </w:r>
      <w:r>
        <w:rPr>
          <w:spacing w:val="-1"/>
          <w:vertAlign w:val="baseline"/>
        </w:rPr>
        <w:t> </w:t>
      </w:r>
      <w:r>
        <w:rPr>
          <w:vertAlign w:val="baseline"/>
        </w:rPr>
        <w:t>can</w:t>
      </w:r>
      <w:r>
        <w:rPr>
          <w:spacing w:val="-1"/>
          <w:vertAlign w:val="baseline"/>
        </w:rPr>
        <w:t> </w:t>
      </w:r>
      <w:r>
        <w:rPr>
          <w:vertAlign w:val="baseline"/>
        </w:rPr>
        <w:t>perform</w:t>
      </w:r>
      <w:r>
        <w:rPr>
          <w:spacing w:val="-1"/>
          <w:vertAlign w:val="baseline"/>
        </w:rPr>
        <w:t> </w:t>
      </w:r>
      <w:r>
        <w:rPr>
          <w:vertAlign w:val="baseline"/>
        </w:rPr>
        <w:t>by</w:t>
      </w:r>
      <w:r>
        <w:rPr>
          <w:spacing w:val="-1"/>
          <w:vertAlign w:val="baseline"/>
        </w:rPr>
        <w:t> </w:t>
      </w:r>
      <w:r>
        <w:rPr>
          <w:vertAlign w:val="baseline"/>
        </w:rPr>
        <w:t>keeping</w:t>
      </w:r>
      <w:r>
        <w:rPr>
          <w:spacing w:val="-1"/>
          <w:vertAlign w:val="baseline"/>
        </w:rPr>
        <w:t> </w:t>
      </w:r>
      <w:r>
        <w:rPr>
          <w:vertAlign w:val="baseline"/>
        </w:rPr>
        <w:t>the</w:t>
      </w:r>
      <w:r>
        <w:rPr>
          <w:spacing w:val="-1"/>
          <w:vertAlign w:val="baseline"/>
        </w:rPr>
        <w:t> </w:t>
      </w:r>
      <w:r>
        <w:rPr>
          <w:vertAlign w:val="baseline"/>
        </w:rPr>
        <w:t>ship</w:t>
      </w:r>
      <w:r>
        <w:rPr>
          <w:spacing w:val="-1"/>
          <w:vertAlign w:val="baseline"/>
        </w:rPr>
        <w:t> </w:t>
      </w:r>
      <w:r>
        <w:rPr>
          <w:vertAlign w:val="baseline"/>
        </w:rPr>
        <w:t>ready and awaiting charterer’s orders. </w:t>
      </w:r>
      <w:r>
        <w:rPr>
          <w:color w:val="005DA1"/>
          <w:u w:val="single" w:color="005DA1"/>
          <w:vertAlign w:val="superscript"/>
        </w:rPr>
        <w:t>596</w:t>
      </w:r>
      <w:r>
        <w:rPr>
          <w:color w:val="005DA1"/>
          <w:vertAlign w:val="baseline"/>
        </w:rPr>
        <w:t> </w:t>
      </w:r>
      <w:r>
        <w:rPr>
          <w:vertAlign w:val="baseline"/>
        </w:rPr>
        <w:t>In other cases also, where according to the terms of the contract </w:t>
      </w:r>
      <w:bookmarkStart w:name="_bookmark1116" w:id="1118"/>
      <w:bookmarkEnd w:id="1118"/>
      <w:r>
        <w:rPr>
          <w:vertAlign w:val="baseline"/>
        </w:rPr>
        <w:t>the</w:t>
      </w:r>
      <w:r>
        <w:rPr>
          <w:vertAlign w:val="baseline"/>
        </w:rPr>
        <w:t> price will become payable irrespective of the performance of the claimant’s outstanding obligations, the claimant may recover it. </w:t>
      </w:r>
      <w:r>
        <w:rPr>
          <w:color w:val="005DA1"/>
          <w:u w:val="single" w:color="005DA1"/>
          <w:vertAlign w:val="superscript"/>
        </w:rPr>
        <w:t>597</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“Legitimate interest” in </w:t>
      </w:r>
      <w:r>
        <w:rPr>
          <w:rFonts w:ascii="Arial" w:hAnsi="Arial"/>
          <w:b/>
          <w:spacing w:val="-2"/>
          <w:sz w:val="18"/>
        </w:rPr>
        <w:t>performing</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difficulty of this situation is that the policy of the mitigation rules (viz to avoid the waste of resources and effort) seems to be contravened if the innocent party, following a repudiation, can elect (despite</w:t>
      </w:r>
      <w:r>
        <w:rPr>
          <w:spacing w:val="-1"/>
        </w:rPr>
        <w:t> </w:t>
      </w:r>
      <w:r>
        <w:rPr/>
        <w:t>his</w:t>
      </w:r>
      <w:r>
        <w:rPr>
          <w:spacing w:val="-1"/>
        </w:rPr>
        <w:t> </w:t>
      </w:r>
      <w:r>
        <w:rPr/>
        <w:t>knowledge</w:t>
      </w:r>
      <w:r>
        <w:rPr>
          <w:spacing w:val="-1"/>
        </w:rPr>
        <w:t> </w:t>
      </w:r>
      <w:r>
        <w:rPr/>
        <w:t>that</w:t>
      </w:r>
      <w:r>
        <w:rPr>
          <w:spacing w:val="-1"/>
        </w:rPr>
        <w:t> </w:t>
      </w:r>
      <w:r>
        <w:rPr/>
        <w:t>the</w:t>
      </w:r>
      <w:r>
        <w:rPr>
          <w:spacing w:val="-1"/>
        </w:rPr>
        <w:t> </w:t>
      </w:r>
      <w:r>
        <w:rPr/>
        <w:t>expense</w:t>
      </w:r>
      <w:r>
        <w:rPr>
          <w:spacing w:val="-1"/>
        </w:rPr>
        <w:t> </w:t>
      </w:r>
      <w:r>
        <w:rPr/>
        <w:t>of</w:t>
      </w:r>
      <w:r>
        <w:rPr>
          <w:spacing w:val="-1"/>
        </w:rPr>
        <w:t> </w:t>
      </w:r>
      <w:r>
        <w:rPr/>
        <w:t>performance</w:t>
      </w:r>
      <w:r>
        <w:rPr>
          <w:spacing w:val="-1"/>
        </w:rPr>
        <w:t> </w:t>
      </w:r>
      <w:r>
        <w:rPr/>
        <w:t>is</w:t>
      </w:r>
      <w:r>
        <w:rPr>
          <w:spacing w:val="-1"/>
        </w:rPr>
        <w:t> </w:t>
      </w:r>
      <w:r>
        <w:rPr/>
        <w:t>now</w:t>
      </w:r>
      <w:r>
        <w:rPr>
          <w:spacing w:val="-1"/>
        </w:rPr>
        <w:t> </w:t>
      </w:r>
      <w:r>
        <w:rPr/>
        <w:t>useless</w:t>
      </w:r>
      <w:r>
        <w:rPr>
          <w:spacing w:val="-1"/>
        </w:rPr>
        <w:t> </w:t>
      </w:r>
      <w:r>
        <w:rPr/>
        <w:t>to</w:t>
      </w:r>
      <w:r>
        <w:rPr>
          <w:spacing w:val="-1"/>
        </w:rPr>
        <w:t> </w:t>
      </w:r>
      <w:r>
        <w:rPr/>
        <w:t>the</w:t>
      </w:r>
      <w:r>
        <w:rPr>
          <w:spacing w:val="-1"/>
        </w:rPr>
        <w:t> </w:t>
      </w:r>
      <w:r>
        <w:rPr/>
        <w:t>other</w:t>
      </w:r>
      <w:r>
        <w:rPr>
          <w:spacing w:val="-1"/>
        </w:rPr>
        <w:t> </w:t>
      </w:r>
      <w:r>
        <w:rPr/>
        <w:t>party)</w:t>
      </w:r>
      <w:r>
        <w:rPr>
          <w:spacing w:val="-1"/>
        </w:rPr>
        <w:t> </w:t>
      </w:r>
      <w:r>
        <w:rPr/>
        <w:t>to</w:t>
      </w:r>
      <w:r>
        <w:rPr>
          <w:spacing w:val="-2"/>
        </w:rPr>
        <w:t> </w:t>
      </w:r>
      <w:r>
        <w:rPr>
          <w:rFonts w:ascii="Arial" w:hAnsi="Arial"/>
          <w:i/>
        </w:rPr>
        <w:t>continue </w:t>
      </w:r>
      <w:bookmarkStart w:name="_bookmark1117" w:id="1119"/>
      <w:bookmarkEnd w:id="1119"/>
      <w:r>
        <w:rPr>
          <w:rFonts w:ascii="Arial" w:hAnsi="Arial"/>
          <w:i/>
        </w:rPr>
      </w:r>
      <w:r>
        <w:rPr/>
        <w:t>his performance of the contract so as to recover an agreed sum of money greater than the damages which the law would allow if the repudiation were treated at the time as a breach of contract. </w:t>
      </w:r>
      <w:r>
        <w:rPr>
          <w:color w:val="005DA1"/>
          <w:u w:val="single" w:color="005DA1"/>
          <w:vertAlign w:val="superscript"/>
        </w:rPr>
        <w:t>598</w:t>
      </w:r>
      <w:r>
        <w:rPr>
          <w:color w:val="005DA1"/>
          <w:vertAlign w:val="baseline"/>
        </w:rPr>
        <w:t> </w:t>
      </w:r>
      <w:r>
        <w:rPr>
          <w:vertAlign w:val="baseline"/>
        </w:rPr>
        <w:t>Lord Reid, one of the majority in the </w:t>
      </w:r>
      <w:r>
        <w:rPr>
          <w:rFonts w:ascii="Arial" w:hAnsi="Arial"/>
          <w:i/>
          <w:vertAlign w:val="baseline"/>
        </w:rPr>
        <w:t>White and Carter </w:t>
      </w:r>
      <w:r>
        <w:rPr>
          <w:vertAlign w:val="baseline"/>
        </w:rPr>
        <w:t>case, introduced a qualification, to the effect that the plaintiff could not insist on completing performance so as to be able to claim the agreed price as a </w:t>
      </w:r>
      <w:bookmarkStart w:name="_bookmark1118" w:id="1120"/>
      <w:bookmarkEnd w:id="1120"/>
      <w:r>
        <w:rPr>
          <w:vertAlign w:val="baseline"/>
        </w:rPr>
        <w:t>debt,</w:t>
      </w:r>
      <w:r>
        <w:rPr>
          <w:spacing w:val="25"/>
          <w:vertAlign w:val="baseline"/>
        </w:rPr>
        <w:t> </w:t>
      </w:r>
      <w:r>
        <w:rPr>
          <w:vertAlign w:val="baseline"/>
        </w:rPr>
        <w:t>if</w:t>
      </w:r>
      <w:r>
        <w:rPr>
          <w:spacing w:val="25"/>
          <w:vertAlign w:val="baseline"/>
        </w:rPr>
        <w:t> </w:t>
      </w:r>
      <w:r>
        <w:rPr>
          <w:vertAlign w:val="baseline"/>
        </w:rPr>
        <w:t>he</w:t>
      </w:r>
      <w:r>
        <w:rPr>
          <w:spacing w:val="25"/>
          <w:vertAlign w:val="baseline"/>
        </w:rPr>
        <w:t> </w:t>
      </w:r>
      <w:r>
        <w:rPr>
          <w:vertAlign w:val="baseline"/>
        </w:rPr>
        <w:t>had</w:t>
      </w:r>
      <w:r>
        <w:rPr>
          <w:spacing w:val="25"/>
          <w:vertAlign w:val="baseline"/>
        </w:rPr>
        <w:t> </w:t>
      </w:r>
      <w:r>
        <w:rPr>
          <w:vertAlign w:val="baseline"/>
        </w:rPr>
        <w:t>“no</w:t>
      </w:r>
      <w:r>
        <w:rPr>
          <w:spacing w:val="25"/>
          <w:vertAlign w:val="baseline"/>
        </w:rPr>
        <w:t> </w:t>
      </w:r>
      <w:r>
        <w:rPr>
          <w:vertAlign w:val="baseline"/>
        </w:rPr>
        <w:t>legitimate</w:t>
      </w:r>
      <w:r>
        <w:rPr>
          <w:spacing w:val="25"/>
          <w:vertAlign w:val="baseline"/>
        </w:rPr>
        <w:t> </w:t>
      </w:r>
      <w:r>
        <w:rPr>
          <w:vertAlign w:val="baseline"/>
        </w:rPr>
        <w:t>interest,</w:t>
      </w:r>
      <w:r>
        <w:rPr>
          <w:spacing w:val="25"/>
          <w:vertAlign w:val="baseline"/>
        </w:rPr>
        <w:t> </w:t>
      </w:r>
      <w:r>
        <w:rPr>
          <w:vertAlign w:val="baseline"/>
        </w:rPr>
        <w:t>financial</w:t>
      </w:r>
      <w:r>
        <w:rPr>
          <w:spacing w:val="25"/>
          <w:vertAlign w:val="baseline"/>
        </w:rPr>
        <w:t> </w:t>
      </w:r>
      <w:r>
        <w:rPr>
          <w:vertAlign w:val="baseline"/>
        </w:rPr>
        <w:t>or</w:t>
      </w:r>
      <w:r>
        <w:rPr>
          <w:spacing w:val="25"/>
          <w:vertAlign w:val="baseline"/>
        </w:rPr>
        <w:t> </w:t>
      </w:r>
      <w:r>
        <w:rPr>
          <w:vertAlign w:val="baseline"/>
        </w:rPr>
        <w:t>otherwise,</w:t>
      </w:r>
      <w:r>
        <w:rPr>
          <w:spacing w:val="25"/>
          <w:vertAlign w:val="baseline"/>
        </w:rPr>
        <w:t> </w:t>
      </w:r>
      <w:r>
        <w:rPr>
          <w:vertAlign w:val="baseline"/>
        </w:rPr>
        <w:t>in</w:t>
      </w:r>
      <w:r>
        <w:rPr>
          <w:spacing w:val="25"/>
          <w:vertAlign w:val="baseline"/>
        </w:rPr>
        <w:t> </w:t>
      </w:r>
      <w:r>
        <w:rPr>
          <w:vertAlign w:val="baseline"/>
        </w:rPr>
        <w:t>performing</w:t>
      </w:r>
      <w:r>
        <w:rPr>
          <w:spacing w:val="25"/>
          <w:vertAlign w:val="baseline"/>
        </w:rPr>
        <w:t> </w:t>
      </w:r>
      <w:r>
        <w:rPr>
          <w:vertAlign w:val="baseline"/>
        </w:rPr>
        <w:t>the</w:t>
      </w:r>
      <w:r>
        <w:rPr>
          <w:spacing w:val="25"/>
          <w:vertAlign w:val="baseline"/>
        </w:rPr>
        <w:t> </w:t>
      </w:r>
      <w:r>
        <w:rPr>
          <w:vertAlign w:val="baseline"/>
        </w:rPr>
        <w:t>contract</w:t>
      </w:r>
      <w:r>
        <w:rPr>
          <w:spacing w:val="25"/>
          <w:vertAlign w:val="baseline"/>
        </w:rPr>
        <w:t> </w:t>
      </w:r>
      <w:r>
        <w:rPr>
          <w:vertAlign w:val="baseline"/>
        </w:rPr>
        <w:t>rather</w:t>
      </w:r>
      <w:r>
        <w:rPr>
          <w:spacing w:val="25"/>
          <w:vertAlign w:val="baseline"/>
        </w:rPr>
        <w:t> </w:t>
      </w:r>
      <w:r>
        <w:rPr>
          <w:spacing w:val="-4"/>
          <w:vertAlign w:val="baseline"/>
        </w:rPr>
        <w:t>than</w:t>
      </w:r>
    </w:p>
    <w:p>
      <w:pPr>
        <w:pStyle w:val="BodyText"/>
        <w:spacing w:before="113"/>
        <w:ind w:left="164"/>
        <w:jc w:val="both"/>
      </w:pPr>
      <w:bookmarkStart w:name="_bookmark1119" w:id="1121"/>
      <w:bookmarkEnd w:id="1121"/>
      <w:r>
        <w:rPr/>
      </w:r>
      <w:r>
        <w:rPr/>
        <w:t>claiming</w:t>
      </w:r>
      <w:r>
        <w:rPr>
          <w:spacing w:val="-1"/>
        </w:rPr>
        <w:t> </w:t>
      </w:r>
      <w:r>
        <w:rPr/>
        <w:t>damages”.</w:t>
      </w:r>
      <w:r>
        <w:rPr>
          <w:spacing w:val="-2"/>
        </w:rPr>
        <w:t> </w:t>
      </w:r>
      <w:r>
        <w:rPr>
          <w:color w:val="005DA1"/>
          <w:u w:val="single" w:color="005DA1"/>
          <w:vertAlign w:val="superscript"/>
        </w:rPr>
        <w:t>599</w:t>
      </w:r>
      <w:r>
        <w:rPr>
          <w:color w:val="005DA1"/>
          <w:spacing w:val="-2"/>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2"/>
          <w:vertAlign w:val="baseline"/>
        </w:rPr>
        <w:t> </w:t>
      </w:r>
      <w:r>
        <w:rPr>
          <w:color w:val="005DA1"/>
          <w:u w:val="single" w:color="005DA1"/>
          <w:vertAlign w:val="superscript"/>
        </w:rPr>
        <w:t>600</w:t>
      </w:r>
      <w:r>
        <w:rPr>
          <w:color w:val="005DA1"/>
          <w:spacing w:val="79"/>
          <w:w w:val="150"/>
          <w:vertAlign w:val="baseline"/>
        </w:rPr>
        <w:t> </w:t>
      </w:r>
      <w:r>
        <w:rPr>
          <w:color w:val="005DA1"/>
          <w:spacing w:val="2"/>
          <w:position w:val="-2"/>
          <w:vertAlign w:val="baseline"/>
        </w:rPr>
        <w:drawing>
          <wp:inline distT="0" distB="0" distL="0" distR="0">
            <wp:extent cx="107988" cy="107988"/>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3"/>
          <w:vertAlign w:val="baseline"/>
        </w:rPr>
        <w:t> </w:t>
      </w:r>
      <w:r>
        <w:rPr>
          <w:vertAlign w:val="baseline"/>
        </w:rPr>
        <w:t>has</w:t>
      </w:r>
      <w:r>
        <w:rPr>
          <w:spacing w:val="-1"/>
          <w:vertAlign w:val="baseline"/>
        </w:rPr>
        <w:t> </w:t>
      </w:r>
      <w:r>
        <w:rPr>
          <w:vertAlign w:val="baseline"/>
        </w:rPr>
        <w:t>accepted</w:t>
      </w:r>
      <w:r>
        <w:rPr>
          <w:spacing w:val="-1"/>
          <w:vertAlign w:val="baseline"/>
        </w:rPr>
        <w:t> </w:t>
      </w:r>
      <w:r>
        <w:rPr>
          <w:vertAlign w:val="baseline"/>
        </w:rPr>
        <w:t>this</w:t>
      </w:r>
      <w:r>
        <w:rPr>
          <w:spacing w:val="-1"/>
          <w:vertAlign w:val="baseline"/>
        </w:rPr>
        <w:t> </w:t>
      </w:r>
      <w:r>
        <w:rPr>
          <w:vertAlign w:val="baseline"/>
        </w:rPr>
        <w:t>qualification,</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spacing w:val="-2"/>
          <w:vertAlign w:val="baseline"/>
        </w:rPr>
        <w:t>referred</w:t>
      </w:r>
    </w:p>
    <w:p>
      <w:pPr>
        <w:pStyle w:val="BodyText"/>
        <w:spacing w:line="235" w:lineRule="auto" w:before="119"/>
        <w:ind w:left="165" w:right="167"/>
        <w:jc w:val="both"/>
      </w:pPr>
      <w:bookmarkStart w:name="_bookmark1120" w:id="1122"/>
      <w:bookmarkEnd w:id="1122"/>
      <w:r>
        <w:rPr/>
      </w:r>
      <w:r>
        <w:rPr/>
        <w:t>to by the Supreme Court with apparent approval, </w:t>
      </w:r>
      <w:r>
        <w:rPr>
          <w:color w:val="005DA1"/>
          <w:u w:val="single" w:color="005DA1"/>
          <w:vertAlign w:val="superscript"/>
        </w:rPr>
        <w:t>601</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and a judge at first instance </w:t>
      </w:r>
      <w:r>
        <w:rPr>
          <w:color w:val="005DA1"/>
          <w:u w:val="single" w:color="005DA1"/>
          <w:vertAlign w:val="superscript"/>
        </w:rPr>
        <w:t>602</w:t>
      </w:r>
      <w:r>
        <w:rPr>
          <w:color w:val="005DA1"/>
          <w:vertAlign w:val="baseline"/>
        </w:rPr>
        <w:t> </w:t>
      </w:r>
      <w:r>
        <w:rPr>
          <w:vertAlign w:val="baseline"/>
        </w:rPr>
        <w:t>has applied it to a shipping dispute, where for seven months the plaintiff shipowner kept a ship at anchor with a </w:t>
      </w:r>
      <w:r>
        <w:rPr>
          <w:vertAlign w:val="baseline"/>
        </w:rPr>
        <w:t>full crew ready to sail, despite the fact that the defendant treated the charterparty as ended. In </w:t>
      </w:r>
      <w:r>
        <w:rPr>
          <w:rFonts w:ascii="Arial"/>
          <w:i/>
          <w:vertAlign w:val="baseline"/>
        </w:rPr>
        <w:t>The Aquafaith</w:t>
      </w:r>
      <w:r>
        <w:rPr>
          <w:vertAlign w:val="baseline"/>
        </w:rPr>
        <w:t>, after a full review of the authorities referred to in the last paragraph, Cooke J., concluded </w:t>
      </w:r>
      <w:r>
        <w:rPr>
          <w:spacing w:val="-2"/>
          <w:vertAlign w:val="baseline"/>
        </w:rPr>
        <w:t>that:</w:t>
      </w:r>
    </w:p>
    <w:p>
      <w:pPr>
        <w:pStyle w:val="BodyText"/>
      </w:pPr>
    </w:p>
    <w:p>
      <w:pPr>
        <w:pStyle w:val="BodyText"/>
        <w:spacing w:before="125"/>
      </w:pPr>
    </w:p>
    <w:p>
      <w:pPr>
        <w:pStyle w:val="BodyText"/>
        <w:spacing w:line="235" w:lineRule="auto"/>
        <w:ind w:left="1245" w:right="167"/>
        <w:jc w:val="both"/>
      </w:pPr>
      <w:r>
        <w:rPr/>
        <w:t>“[t]he effect of the authorities is that an innocent party will have no legitimate interest </w:t>
      </w:r>
      <w:r>
        <w:rPr/>
        <w:t>in maintaining the contract if damages are an adequate remedy and his insistence on </w:t>
      </w:r>
      <w:bookmarkStart w:name="_bookmark1121" w:id="1123"/>
      <w:bookmarkEnd w:id="1123"/>
      <w:r>
        <w:rPr/>
        <w:t>maintaining</w:t>
      </w:r>
      <w:r>
        <w:rPr>
          <w:spacing w:val="26"/>
        </w:rPr>
        <w:t>  </w:t>
      </w:r>
      <w:r>
        <w:rPr/>
        <w:t>the</w:t>
      </w:r>
      <w:r>
        <w:rPr>
          <w:spacing w:val="26"/>
        </w:rPr>
        <w:t>  </w:t>
      </w:r>
      <w:r>
        <w:rPr/>
        <w:t>contract</w:t>
      </w:r>
      <w:r>
        <w:rPr>
          <w:spacing w:val="26"/>
        </w:rPr>
        <w:t>  </w:t>
      </w:r>
      <w:r>
        <w:rPr/>
        <w:t>can</w:t>
      </w:r>
      <w:r>
        <w:rPr>
          <w:spacing w:val="26"/>
        </w:rPr>
        <w:t>  </w:t>
      </w:r>
      <w:r>
        <w:rPr/>
        <w:t>be</w:t>
      </w:r>
      <w:r>
        <w:rPr>
          <w:spacing w:val="27"/>
        </w:rPr>
        <w:t>  </w:t>
      </w:r>
      <w:r>
        <w:rPr/>
        <w:t>described</w:t>
      </w:r>
      <w:r>
        <w:rPr>
          <w:spacing w:val="26"/>
        </w:rPr>
        <w:t>  </w:t>
      </w:r>
      <w:r>
        <w:rPr/>
        <w:t>as</w:t>
      </w:r>
      <w:r>
        <w:rPr>
          <w:spacing w:val="26"/>
        </w:rPr>
        <w:t>  </w:t>
      </w:r>
      <w:r>
        <w:rPr/>
        <w:t>‘wholly</w:t>
      </w:r>
      <w:r>
        <w:rPr>
          <w:spacing w:val="26"/>
        </w:rPr>
        <w:t>  </w:t>
      </w:r>
      <w:r>
        <w:rPr/>
        <w:t>unreasonable’,</w:t>
      </w:r>
      <w:r>
        <w:rPr>
          <w:spacing w:val="26"/>
        </w:rPr>
        <w:t>  </w:t>
      </w:r>
      <w:r>
        <w:rPr>
          <w:spacing w:val="-2"/>
        </w:rPr>
        <w:t>‘extremely</w:t>
      </w:r>
    </w:p>
    <w:p>
      <w:pPr>
        <w:pStyle w:val="BodyText"/>
        <w:spacing w:before="115"/>
        <w:ind w:left="1245"/>
        <w:jc w:val="both"/>
        <w:rPr>
          <w:position w:val="-2"/>
        </w:rPr>
      </w:pPr>
      <w:r>
        <w:rPr/>
        <w:t>unreasonable’ or, perhaps, in my words, ‘perverse’.” </w:t>
      </w:r>
      <w:r>
        <w:rPr>
          <w:color w:val="005DA1"/>
          <w:u w:val="single" w:color="005DA1"/>
          <w:vertAlign w:val="superscript"/>
        </w:rPr>
        <w:t>603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53376">
                <wp:simplePos x="0" y="0"/>
                <wp:positionH relativeFrom="page">
                  <wp:posOffset>914400</wp:posOffset>
                </wp:positionH>
                <wp:positionV relativeFrom="paragraph">
                  <wp:posOffset>260057</wp:posOffset>
                </wp:positionV>
                <wp:extent cx="572452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76965pt;width:450.75pt;height:.1pt;mso-position-horizontal-relative:page;mso-position-vertical-relative:paragraph;z-index:-15663104;mso-wrap-distance-left:0;mso-wrap-distance-right:0" id="docshape59" coordorigin="1440,410" coordsize="9015,0" path="m1440,410l10454,41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4" w:hanging="541"/>
        <w:jc w:val="left"/>
        <w:rPr>
          <w:sz w:val="20"/>
        </w:rPr>
      </w:pPr>
      <w:bookmarkStart w:name="_bookmark1122" w:id="1124"/>
      <w:bookmarkEnd w:id="1124"/>
      <w:r>
        <w:rPr/>
      </w:r>
      <w:hyperlink w:history="true" w:anchor="_bookmark1097">
        <w:r>
          <w:rPr>
            <w:color w:val="005DA1"/>
            <w:spacing w:val="-4"/>
            <w:position w:val="5"/>
            <w:sz w:val="14"/>
            <w:u w:val="single" w:color="005DA1"/>
          </w:rPr>
          <w:t>577</w:t>
        </w:r>
      </w:hyperlink>
      <w:r>
        <w:rPr>
          <w:spacing w:val="-4"/>
          <w:position w:val="5"/>
          <w:sz w:val="14"/>
        </w:rPr>
        <w:t>.</w:t>
      </w:r>
      <w:r>
        <w:rPr>
          <w:position w:val="5"/>
          <w:sz w:val="14"/>
        </w:rPr>
        <w:tab/>
      </w:r>
      <w:r>
        <w:rPr>
          <w:rFonts w:ascii="Arial" w:hAnsi="Arial"/>
          <w:i/>
          <w:sz w:val="20"/>
        </w:rPr>
        <w:t>Strutt</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Whitnell</w:t>
      </w:r>
      <w:r>
        <w:rPr>
          <w:rFonts w:ascii="Arial" w:hAnsi="Arial"/>
          <w:i/>
          <w:spacing w:val="22"/>
          <w:sz w:val="20"/>
        </w:rPr>
        <w:t> </w:t>
      </w:r>
      <w:r>
        <w:rPr>
          <w:rFonts w:ascii="Arial" w:hAnsi="Arial"/>
          <w:i/>
          <w:sz w:val="20"/>
        </w:rPr>
        <w:t>[1975]</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870</w:t>
      </w:r>
      <w:r>
        <w:rPr>
          <w:rFonts w:ascii="Arial" w:hAnsi="Arial"/>
          <w:i/>
          <w:spacing w:val="22"/>
          <w:sz w:val="20"/>
        </w:rPr>
        <w:t> </w:t>
      </w:r>
      <w:r>
        <w:rPr>
          <w:sz w:val="20"/>
        </w:rPr>
        <w:t>(see</w:t>
      </w:r>
      <w:r>
        <w:rPr>
          <w:spacing w:val="22"/>
          <w:sz w:val="20"/>
        </w:rPr>
        <w:t> </w:t>
      </w:r>
      <w:r>
        <w:rPr>
          <w:sz w:val="20"/>
        </w:rPr>
        <w:t>above,</w:t>
      </w:r>
      <w:r>
        <w:rPr>
          <w:spacing w:val="22"/>
          <w:sz w:val="20"/>
        </w:rPr>
        <w:t> </w:t>
      </w:r>
      <w:r>
        <w:rPr>
          <w:sz w:val="20"/>
        </w:rPr>
        <w:t>para.26-093);</w:t>
      </w:r>
      <w:r>
        <w:rPr>
          <w:spacing w:val="22"/>
          <w:sz w:val="20"/>
        </w:rPr>
        <w:t> </w:t>
      </w:r>
      <w:r>
        <w:rPr>
          <w:rFonts w:ascii="Arial" w:hAnsi="Arial"/>
          <w:i/>
          <w:sz w:val="20"/>
        </w:rPr>
        <w:t>The</w:t>
      </w:r>
      <w:r>
        <w:rPr>
          <w:rFonts w:ascii="Arial" w:hAnsi="Arial"/>
          <w:i/>
          <w:spacing w:val="22"/>
          <w:sz w:val="20"/>
        </w:rPr>
        <w:t> </w:t>
      </w:r>
      <w:r>
        <w:rPr>
          <w:rFonts w:ascii="Arial" w:hAnsi="Arial"/>
          <w:i/>
          <w:sz w:val="20"/>
        </w:rPr>
        <w:t>Solholt</w:t>
      </w:r>
      <w:r>
        <w:rPr>
          <w:rFonts w:ascii="Arial" w:hAnsi="Arial"/>
          <w:i/>
          <w:spacing w:val="22"/>
          <w:sz w:val="20"/>
        </w:rPr>
        <w:t> </w:t>
      </w:r>
      <w:r>
        <w:rPr>
          <w:rFonts w:ascii="Arial" w:hAnsi="Arial"/>
          <w:i/>
          <w:sz w:val="20"/>
        </w:rPr>
        <w:t>[1983]</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 Rep. 605, 608–609 CA</w:t>
      </w:r>
      <w:r>
        <w:rPr>
          <w:sz w:val="20"/>
        </w:rPr>
        <w:t>; cf. </w:t>
      </w:r>
      <w:r>
        <w:rPr>
          <w:rFonts w:ascii="Arial" w:hAnsi="Arial"/>
          <w:i/>
          <w:sz w:val="20"/>
        </w:rPr>
        <w:t>Lombard North Central Plc v Butterworth [1987] Q.B. 527</w:t>
      </w:r>
      <w:r>
        <w:rPr>
          <w:sz w:val="20"/>
        </w:rPr>
        <w:t>.</w:t>
      </w:r>
    </w:p>
    <w:p>
      <w:pPr>
        <w:pStyle w:val="BodyText"/>
        <w:spacing w:before="5"/>
      </w:pPr>
    </w:p>
    <w:p>
      <w:pPr>
        <w:tabs>
          <w:tab w:pos="705" w:val="left" w:leader="none"/>
        </w:tabs>
        <w:spacing w:before="0"/>
        <w:ind w:left="165" w:right="0" w:firstLine="0"/>
        <w:jc w:val="left"/>
        <w:rPr>
          <w:sz w:val="20"/>
        </w:rPr>
      </w:pPr>
      <w:bookmarkStart w:name="_bookmark1123" w:id="1125"/>
      <w:bookmarkEnd w:id="1125"/>
      <w:r>
        <w:rPr/>
      </w:r>
      <w:hyperlink w:history="true" w:anchor="_bookmark1098">
        <w:r>
          <w:rPr>
            <w:color w:val="005DA1"/>
            <w:spacing w:val="-4"/>
            <w:position w:val="5"/>
            <w:sz w:val="14"/>
            <w:u w:val="single" w:color="005DA1"/>
          </w:rPr>
          <w:t>578</w:t>
        </w:r>
      </w:hyperlink>
      <w:r>
        <w:rPr>
          <w:spacing w:val="-4"/>
          <w:position w:val="5"/>
          <w:sz w:val="14"/>
        </w:rPr>
        <w:t>.</w:t>
      </w:r>
      <w:r>
        <w:rPr>
          <w:position w:val="5"/>
          <w:sz w:val="14"/>
        </w:rPr>
        <w:tab/>
      </w:r>
      <w:r>
        <w:rPr>
          <w:rFonts w:ascii="Arial"/>
          <w:i/>
          <w:sz w:val="20"/>
        </w:rPr>
        <w:t>Strutt v Whitnell [1975] 1 W.L.R. 870, </w:t>
      </w:r>
      <w:r>
        <w:rPr>
          <w:rFonts w:ascii="Arial"/>
          <w:i/>
          <w:spacing w:val="-4"/>
          <w:sz w:val="20"/>
        </w:rPr>
        <w:t>874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4" w:id="1126"/>
      <w:bookmarkEnd w:id="1126"/>
      <w:r>
        <w:rPr/>
      </w:r>
      <w:hyperlink w:history="true" w:anchor="_bookmark1099">
        <w:r>
          <w:rPr>
            <w:color w:val="005DA1"/>
            <w:spacing w:val="-4"/>
            <w:position w:val="5"/>
            <w:sz w:val="14"/>
            <w:u w:val="single" w:color="005DA1"/>
          </w:rPr>
          <w:t>579</w:t>
        </w:r>
      </w:hyperlink>
      <w:r>
        <w:rPr>
          <w:spacing w:val="-4"/>
          <w:position w:val="5"/>
          <w:sz w:val="14"/>
        </w:rPr>
        <w:t>.</w:t>
      </w:r>
      <w:r>
        <w:rPr>
          <w:position w:val="5"/>
          <w:sz w:val="14"/>
        </w:rPr>
        <w:tab/>
      </w:r>
      <w:r>
        <w:rPr>
          <w:rFonts w:ascii="Arial"/>
          <w:i/>
          <w:sz w:val="20"/>
        </w:rPr>
        <w:t>[1962]</w:t>
      </w:r>
      <w:r>
        <w:rPr>
          <w:rFonts w:ascii="Arial"/>
          <w:i/>
          <w:spacing w:val="-1"/>
          <w:sz w:val="20"/>
        </w:rPr>
        <w:t> </w:t>
      </w:r>
      <w:r>
        <w:rPr>
          <w:rFonts w:ascii="Arial"/>
          <w:i/>
          <w:sz w:val="20"/>
        </w:rPr>
        <w:t>A.C. 413</w:t>
      </w:r>
      <w:r>
        <w:rPr>
          <w:sz w:val="20"/>
        </w:rPr>
        <w:t>; see above, para.26-</w:t>
      </w:r>
      <w:r>
        <w:rPr>
          <w:spacing w:val="-4"/>
          <w:sz w:val="20"/>
        </w:rPr>
        <w:t>092.</w:t>
      </w:r>
    </w:p>
    <w:p>
      <w:pPr>
        <w:pStyle w:val="BodyText"/>
        <w:spacing w:before="5"/>
      </w:pPr>
    </w:p>
    <w:p>
      <w:pPr>
        <w:pStyle w:val="BodyText"/>
        <w:tabs>
          <w:tab w:pos="705" w:val="left" w:leader="none"/>
        </w:tabs>
        <w:ind w:left="165"/>
      </w:pPr>
      <w:bookmarkStart w:name="_bookmark1125" w:id="1127"/>
      <w:bookmarkEnd w:id="1127"/>
      <w:r>
        <w:rPr/>
      </w:r>
      <w:hyperlink w:history="true" w:anchor="_bookmark1100">
        <w:r>
          <w:rPr>
            <w:color w:val="005DA1"/>
            <w:spacing w:val="-4"/>
            <w:position w:val="5"/>
            <w:sz w:val="14"/>
            <w:u w:val="single" w:color="005DA1"/>
          </w:rPr>
          <w:t>580</w:t>
        </w:r>
      </w:hyperlink>
      <w:r>
        <w:rPr>
          <w:spacing w:val="-4"/>
          <w:position w:val="5"/>
          <w:sz w:val="14"/>
        </w:rPr>
        <w:t>.</w:t>
      </w:r>
      <w:r>
        <w:rPr>
          <w:position w:val="5"/>
          <w:sz w:val="14"/>
        </w:rPr>
        <w:tab/>
      </w:r>
      <w:r>
        <w:rPr/>
        <w:t>See above, paras 24-022 et seq.; and Vol.II, para.44-381. cf. Vol.II, paras 44-393—44-</w:t>
      </w:r>
      <w:r>
        <w:rPr>
          <w:spacing w:val="-4"/>
        </w:rPr>
        <w:t>394.</w:t>
      </w:r>
    </w:p>
    <w:p>
      <w:pPr>
        <w:pStyle w:val="BodyText"/>
        <w:spacing w:before="5"/>
      </w:pPr>
    </w:p>
    <w:p>
      <w:pPr>
        <w:tabs>
          <w:tab w:pos="705" w:val="left" w:leader="none"/>
        </w:tabs>
        <w:spacing w:before="0"/>
        <w:ind w:left="165" w:right="0" w:firstLine="0"/>
        <w:jc w:val="left"/>
        <w:rPr>
          <w:rFonts w:ascii="Arial" w:hAnsi="Arial"/>
          <w:i/>
          <w:sz w:val="20"/>
        </w:rPr>
      </w:pPr>
      <w:bookmarkStart w:name="_bookmark1126" w:id="1128"/>
      <w:bookmarkEnd w:id="1128"/>
      <w:r>
        <w:rPr/>
      </w:r>
      <w:hyperlink w:history="true" w:anchor="_bookmark1101">
        <w:r>
          <w:rPr>
            <w:color w:val="005DA1"/>
            <w:spacing w:val="-4"/>
            <w:position w:val="5"/>
            <w:sz w:val="14"/>
            <w:u w:val="single" w:color="005DA1"/>
          </w:rPr>
          <w:t>581</w:t>
        </w:r>
      </w:hyperlink>
      <w:r>
        <w:rPr>
          <w:spacing w:val="-4"/>
          <w:position w:val="5"/>
          <w:sz w:val="14"/>
        </w:rPr>
        <w:t>.</w:t>
      </w:r>
      <w:r>
        <w:rPr>
          <w:position w:val="5"/>
          <w:sz w:val="14"/>
        </w:rPr>
        <w:tab/>
      </w:r>
      <w:r>
        <w:rPr>
          <w:rFonts w:ascii="Arial" w:hAnsi="Arial"/>
          <w:i/>
          <w:sz w:val="20"/>
        </w:rPr>
        <w:t>Tredegar</w:t>
      </w:r>
      <w:r>
        <w:rPr>
          <w:rFonts w:ascii="Arial" w:hAnsi="Arial"/>
          <w:i/>
          <w:spacing w:val="10"/>
          <w:sz w:val="20"/>
        </w:rPr>
        <w:t> </w:t>
      </w:r>
      <w:r>
        <w:rPr>
          <w:rFonts w:ascii="Arial" w:hAnsi="Arial"/>
          <w:i/>
          <w:sz w:val="20"/>
        </w:rPr>
        <w:t>Iron</w:t>
      </w:r>
      <w:r>
        <w:rPr>
          <w:rFonts w:ascii="Arial" w:hAnsi="Arial"/>
          <w:i/>
          <w:spacing w:val="11"/>
          <w:sz w:val="20"/>
        </w:rPr>
        <w:t> </w:t>
      </w:r>
      <w:r>
        <w:rPr>
          <w:rFonts w:ascii="Arial" w:hAnsi="Arial"/>
          <w:i/>
          <w:sz w:val="20"/>
        </w:rPr>
        <w:t>and</w:t>
      </w:r>
      <w:r>
        <w:rPr>
          <w:rFonts w:ascii="Arial" w:hAnsi="Arial"/>
          <w:i/>
          <w:spacing w:val="11"/>
          <w:sz w:val="20"/>
        </w:rPr>
        <w:t> </w:t>
      </w:r>
      <w:r>
        <w:rPr>
          <w:rFonts w:ascii="Arial" w:hAnsi="Arial"/>
          <w:i/>
          <w:sz w:val="20"/>
        </w:rPr>
        <w:t>Coal</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Hawthorn</w:t>
      </w:r>
      <w:r>
        <w:rPr>
          <w:rFonts w:ascii="Arial" w:hAnsi="Arial"/>
          <w:i/>
          <w:spacing w:val="11"/>
          <w:sz w:val="20"/>
        </w:rPr>
        <w:t> </w:t>
      </w:r>
      <w:r>
        <w:rPr>
          <w:rFonts w:ascii="Arial" w:hAnsi="Arial"/>
          <w:i/>
          <w:sz w:val="20"/>
        </w:rPr>
        <w:t>Bros</w:t>
      </w:r>
      <w:r>
        <w:rPr>
          <w:rFonts w:ascii="Arial" w:hAnsi="Arial"/>
          <w:i/>
          <w:spacing w:val="10"/>
          <w:sz w:val="20"/>
        </w:rPr>
        <w:t> </w:t>
      </w:r>
      <w:r>
        <w:rPr>
          <w:rFonts w:ascii="Arial" w:hAnsi="Arial"/>
          <w:i/>
          <w:sz w:val="20"/>
        </w:rPr>
        <w:t>&amp;</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(1902)</w:t>
      </w:r>
      <w:r>
        <w:rPr>
          <w:rFonts w:ascii="Arial" w:hAnsi="Arial"/>
          <w:i/>
          <w:spacing w:val="11"/>
          <w:sz w:val="20"/>
        </w:rPr>
        <w:t> </w:t>
      </w:r>
      <w:r>
        <w:rPr>
          <w:rFonts w:ascii="Arial" w:hAnsi="Arial"/>
          <w:i/>
          <w:sz w:val="20"/>
        </w:rPr>
        <w:t>18</w:t>
      </w:r>
      <w:r>
        <w:rPr>
          <w:rFonts w:ascii="Arial" w:hAnsi="Arial"/>
          <w:i/>
          <w:spacing w:val="11"/>
          <w:sz w:val="20"/>
        </w:rPr>
        <w:t> </w:t>
      </w:r>
      <w:r>
        <w:rPr>
          <w:rFonts w:ascii="Arial" w:hAnsi="Arial"/>
          <w:i/>
          <w:sz w:val="20"/>
        </w:rPr>
        <w:t>T.L.R.</w:t>
      </w:r>
      <w:r>
        <w:rPr>
          <w:rFonts w:ascii="Arial" w:hAnsi="Arial"/>
          <w:i/>
          <w:spacing w:val="11"/>
          <w:sz w:val="20"/>
        </w:rPr>
        <w:t> </w:t>
      </w:r>
      <w:r>
        <w:rPr>
          <w:rFonts w:ascii="Arial" w:hAnsi="Arial"/>
          <w:i/>
          <w:sz w:val="20"/>
        </w:rPr>
        <w:t>716,</w:t>
      </w:r>
      <w:r>
        <w:rPr>
          <w:rFonts w:ascii="Arial" w:hAnsi="Arial"/>
          <w:i/>
          <w:spacing w:val="11"/>
          <w:sz w:val="20"/>
        </w:rPr>
        <w:t> </w:t>
      </w:r>
      <w:r>
        <w:rPr>
          <w:rFonts w:ascii="Arial" w:hAnsi="Arial"/>
          <w:i/>
          <w:sz w:val="20"/>
        </w:rPr>
        <w:t>716–717</w:t>
      </w:r>
      <w:r>
        <w:rPr>
          <w:sz w:val="20"/>
        </w:rPr>
        <w:t>;</w:t>
      </w:r>
      <w:r>
        <w:rPr>
          <w:spacing w:val="11"/>
          <w:sz w:val="20"/>
        </w:rPr>
        <w:t> </w:t>
      </w:r>
      <w:r>
        <w:rPr>
          <w:rFonts w:ascii="Arial" w:hAnsi="Arial"/>
          <w:i/>
          <w:spacing w:val="-2"/>
          <w:sz w:val="20"/>
        </w:rPr>
        <w:t>White</w:t>
      </w:r>
    </w:p>
    <w:p>
      <w:pPr>
        <w:spacing w:after="0"/>
        <w:jc w:val="left"/>
        <w:rPr>
          <w:rFonts w:ascii="Arial" w:hAnsi="Arial"/>
          <w:i/>
          <w:sz w:val="20"/>
        </w:rPr>
        <w:sectPr>
          <w:headerReference w:type="default" r:id="rId32"/>
          <w:pgSz w:w="11900" w:h="16840"/>
          <w:pgMar w:header="971" w:footer="0" w:top="1300" w:bottom="280" w:left="1275" w:right="1275"/>
          <w:pgNumType w:start="2"/>
        </w:sectPr>
      </w:pPr>
    </w:p>
    <w:p>
      <w:pPr>
        <w:spacing w:line="235" w:lineRule="auto" w:before="110"/>
        <w:ind w:left="705" w:right="168" w:firstLine="0"/>
        <w:jc w:val="left"/>
        <w:rPr>
          <w:sz w:val="20"/>
        </w:rPr>
      </w:pPr>
      <w:r>
        <w:rPr>
          <w:rFonts w:ascii="Arial"/>
          <w:i/>
          <w:sz w:val="20"/>
        </w:rPr>
        <w:t>and</w:t>
      </w:r>
      <w:r>
        <w:rPr>
          <w:rFonts w:ascii="Arial"/>
          <w:i/>
          <w:spacing w:val="80"/>
          <w:sz w:val="20"/>
        </w:rPr>
        <w:t> </w:t>
      </w:r>
      <w:r>
        <w:rPr>
          <w:rFonts w:ascii="Arial"/>
          <w:i/>
          <w:sz w:val="20"/>
        </w:rPr>
        <w:t>Carter</w:t>
      </w:r>
      <w:r>
        <w:rPr>
          <w:rFonts w:ascii="Arial"/>
          <w:i/>
          <w:spacing w:val="80"/>
          <w:sz w:val="20"/>
        </w:rPr>
        <w:t> </w:t>
      </w:r>
      <w:r>
        <w:rPr>
          <w:rFonts w:ascii="Arial"/>
          <w:i/>
          <w:sz w:val="20"/>
        </w:rPr>
        <w:t>(Councils)</w:t>
      </w:r>
      <w:r>
        <w:rPr>
          <w:rFonts w:ascii="Arial"/>
          <w:i/>
          <w:spacing w:val="80"/>
          <w:sz w:val="20"/>
        </w:rPr>
        <w:t> </w:t>
      </w:r>
      <w:r>
        <w:rPr>
          <w:rFonts w:ascii="Arial"/>
          <w:i/>
          <w:sz w:val="20"/>
        </w:rPr>
        <w:t>Ltd</w:t>
      </w:r>
      <w:r>
        <w:rPr>
          <w:rFonts w:ascii="Arial"/>
          <w:i/>
          <w:spacing w:val="80"/>
          <w:sz w:val="20"/>
        </w:rPr>
        <w:t> </w:t>
      </w:r>
      <w:r>
        <w:rPr>
          <w:rFonts w:ascii="Arial"/>
          <w:i/>
          <w:sz w:val="20"/>
        </w:rPr>
        <w:t>v</w:t>
      </w:r>
      <w:r>
        <w:rPr>
          <w:rFonts w:ascii="Arial"/>
          <w:i/>
          <w:spacing w:val="80"/>
          <w:sz w:val="20"/>
        </w:rPr>
        <w:t> </w:t>
      </w:r>
      <w:r>
        <w:rPr>
          <w:rFonts w:ascii="Arial"/>
          <w:i/>
          <w:sz w:val="20"/>
        </w:rPr>
        <w:t>McGregor</w:t>
      </w:r>
      <w:r>
        <w:rPr>
          <w:rFonts w:ascii="Arial"/>
          <w:i/>
          <w:spacing w:val="80"/>
          <w:sz w:val="20"/>
        </w:rPr>
        <w:t> </w:t>
      </w:r>
      <w:r>
        <w:rPr>
          <w:rFonts w:ascii="Arial"/>
          <w:i/>
          <w:sz w:val="20"/>
        </w:rPr>
        <w:t>[1962]</w:t>
      </w:r>
      <w:r>
        <w:rPr>
          <w:rFonts w:ascii="Arial"/>
          <w:i/>
          <w:spacing w:val="80"/>
          <w:sz w:val="20"/>
        </w:rPr>
        <w:t> </w:t>
      </w:r>
      <w:r>
        <w:rPr>
          <w:rFonts w:ascii="Arial"/>
          <w:i/>
          <w:sz w:val="20"/>
        </w:rPr>
        <w:t>A.C.</w:t>
      </w:r>
      <w:r>
        <w:rPr>
          <w:rFonts w:ascii="Arial"/>
          <w:i/>
          <w:spacing w:val="80"/>
          <w:sz w:val="20"/>
        </w:rPr>
        <w:t> </w:t>
      </w:r>
      <w:r>
        <w:rPr>
          <w:rFonts w:ascii="Arial"/>
          <w:i/>
          <w:sz w:val="20"/>
        </w:rPr>
        <w:t>413</w:t>
      </w:r>
      <w:r>
        <w:rPr>
          <w:rFonts w:ascii="Arial"/>
          <w:i/>
          <w:spacing w:val="80"/>
          <w:sz w:val="20"/>
        </w:rPr>
        <w:t> </w:t>
      </w:r>
      <w:r>
        <w:rPr>
          <w:sz w:val="20"/>
        </w:rPr>
        <w:t>(above,</w:t>
      </w:r>
      <w:r>
        <w:rPr>
          <w:spacing w:val="80"/>
          <w:sz w:val="20"/>
        </w:rPr>
        <w:t> </w:t>
      </w:r>
      <w:r>
        <w:rPr>
          <w:sz w:val="20"/>
        </w:rPr>
        <w:t>para.24-092;</w:t>
      </w:r>
      <w:r>
        <w:rPr>
          <w:spacing w:val="80"/>
          <w:sz w:val="20"/>
        </w:rPr>
        <w:t> </w:t>
      </w:r>
      <w:r>
        <w:rPr>
          <w:sz w:val="20"/>
        </w:rPr>
        <w:t>below,</w:t>
      </w:r>
      <w:r>
        <w:rPr>
          <w:spacing w:val="40"/>
          <w:sz w:val="20"/>
        </w:rPr>
        <w:t> </w:t>
      </w:r>
      <w:r>
        <w:rPr>
          <w:sz w:val="20"/>
        </w:rPr>
        <w:t>para.26-104); </w:t>
      </w:r>
      <w:r>
        <w:rPr>
          <w:rFonts w:ascii="Arial"/>
          <w:i/>
          <w:sz w:val="20"/>
        </w:rPr>
        <w:t>Fercometal SARL v Mediterranean Shipping Co SA [1989] A.C. 788</w:t>
      </w:r>
      <w:r>
        <w:rPr>
          <w:sz w:val="20"/>
        </w:rPr>
        <w:t>.</w:t>
      </w:r>
    </w:p>
    <w:p>
      <w:pPr>
        <w:pStyle w:val="BodyText"/>
        <w:spacing w:before="9"/>
      </w:pPr>
    </w:p>
    <w:p>
      <w:pPr>
        <w:pStyle w:val="BodyText"/>
        <w:tabs>
          <w:tab w:pos="705" w:val="left" w:leader="none"/>
        </w:tabs>
        <w:spacing w:line="235" w:lineRule="auto"/>
        <w:ind w:left="705" w:right="167" w:hanging="541"/>
      </w:pPr>
      <w:bookmarkStart w:name="_bookmark1127" w:id="1129"/>
      <w:bookmarkEnd w:id="1129"/>
      <w:r>
        <w:rPr/>
      </w:r>
      <w:hyperlink w:history="true" w:anchor="_bookmark1102">
        <w:r>
          <w:rPr>
            <w:color w:val="005DA1"/>
            <w:spacing w:val="-4"/>
            <w:position w:val="5"/>
            <w:sz w:val="14"/>
            <w:u w:val="single" w:color="005DA1"/>
          </w:rPr>
          <w:t>582</w:t>
        </w:r>
      </w:hyperlink>
      <w:r>
        <w:rPr>
          <w:spacing w:val="-4"/>
          <w:position w:val="5"/>
          <w:sz w:val="14"/>
        </w:rPr>
        <w:t>.</w:t>
      </w:r>
      <w:r>
        <w:rPr>
          <w:position w:val="5"/>
          <w:sz w:val="14"/>
        </w:rPr>
        <w:tab/>
      </w:r>
      <w:r>
        <w:rPr/>
        <w:t>See Vol.II, para.44-380. cf. the situation when it is the seller’s anticipatory repudiation: </w:t>
      </w:r>
      <w:r>
        <w:rPr/>
        <w:t>Vol.II,</w:t>
      </w:r>
      <w:r>
        <w:rPr>
          <w:spacing w:val="80"/>
          <w:w w:val="150"/>
        </w:rPr>
        <w:t> </w:t>
      </w:r>
      <w:r>
        <w:rPr>
          <w:spacing w:val="-2"/>
        </w:rPr>
        <w:t>para.44-393.</w:t>
      </w:r>
    </w:p>
    <w:p>
      <w:pPr>
        <w:pStyle w:val="BodyText"/>
        <w:spacing w:before="6"/>
      </w:pPr>
    </w:p>
    <w:p>
      <w:pPr>
        <w:pStyle w:val="BodyText"/>
        <w:tabs>
          <w:tab w:pos="705" w:val="left" w:leader="none"/>
        </w:tabs>
        <w:ind w:left="165"/>
      </w:pPr>
      <w:bookmarkStart w:name="_bookmark1128" w:id="1130"/>
      <w:bookmarkEnd w:id="1130"/>
      <w:r>
        <w:rPr/>
      </w:r>
      <w:hyperlink w:history="true" w:anchor="_bookmark1103">
        <w:r>
          <w:rPr>
            <w:color w:val="005DA1"/>
            <w:spacing w:val="-4"/>
            <w:position w:val="5"/>
            <w:sz w:val="14"/>
            <w:u w:val="single" w:color="005DA1"/>
          </w:rPr>
          <w:t>583</w:t>
        </w:r>
      </w:hyperlink>
      <w:r>
        <w:rPr>
          <w:spacing w:val="-4"/>
          <w:position w:val="5"/>
          <w:sz w:val="14"/>
        </w:rPr>
        <w:t>.</w:t>
      </w:r>
      <w:r>
        <w:rPr>
          <w:position w:val="5"/>
          <w:sz w:val="14"/>
        </w:rPr>
        <w:tab/>
      </w:r>
      <w:r>
        <w:rPr/>
        <w:t>See Vol.II, para.44-381 and 44-</w:t>
      </w:r>
      <w:r>
        <w:rPr>
          <w:spacing w:val="-4"/>
        </w:rPr>
        <w:t>394.</w:t>
      </w:r>
    </w:p>
    <w:p>
      <w:pPr>
        <w:pStyle w:val="BodyText"/>
        <w:spacing w:before="5"/>
      </w:pPr>
    </w:p>
    <w:p>
      <w:pPr>
        <w:tabs>
          <w:tab w:pos="705" w:val="left" w:leader="none"/>
        </w:tabs>
        <w:spacing w:before="0"/>
        <w:ind w:left="165" w:right="0" w:firstLine="0"/>
        <w:jc w:val="left"/>
        <w:rPr>
          <w:sz w:val="20"/>
        </w:rPr>
      </w:pPr>
      <w:bookmarkStart w:name="_bookmark1129" w:id="1131"/>
      <w:bookmarkEnd w:id="1131"/>
      <w:r>
        <w:rPr/>
      </w:r>
      <w:hyperlink w:history="true" w:anchor="_bookmark1104">
        <w:r>
          <w:rPr>
            <w:color w:val="005DA1"/>
            <w:spacing w:val="-4"/>
            <w:position w:val="5"/>
            <w:sz w:val="14"/>
            <w:u w:val="single" w:color="005DA1"/>
          </w:rPr>
          <w:t>584</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Solholt [1983] 1 Lloyd’s Rep. 605, 609</w:t>
      </w:r>
      <w:r>
        <w:rPr>
          <w:sz w:val="20"/>
        </w:rPr>
        <w:t>. (See above, para.26-</w:t>
      </w:r>
      <w:r>
        <w:rPr>
          <w:spacing w:val="-2"/>
          <w:sz w:val="20"/>
        </w:rPr>
        <w:t>093.)</w:t>
      </w:r>
    </w:p>
    <w:p>
      <w:pPr>
        <w:pStyle w:val="BodyText"/>
        <w:spacing w:before="5"/>
      </w:pPr>
    </w:p>
    <w:p>
      <w:pPr>
        <w:pStyle w:val="BodyText"/>
        <w:tabs>
          <w:tab w:pos="705" w:val="left" w:leader="none"/>
        </w:tabs>
        <w:ind w:left="165"/>
      </w:pPr>
      <w:bookmarkStart w:name="_bookmark1130" w:id="1132"/>
      <w:bookmarkEnd w:id="1132"/>
      <w:r>
        <w:rPr/>
      </w:r>
      <w:hyperlink w:history="true" w:anchor="_bookmark1105">
        <w:r>
          <w:rPr>
            <w:color w:val="005DA1"/>
            <w:spacing w:val="-4"/>
            <w:position w:val="5"/>
            <w:sz w:val="14"/>
            <w:u w:val="single" w:color="005DA1"/>
          </w:rPr>
          <w:t>585</w:t>
        </w:r>
      </w:hyperlink>
      <w:r>
        <w:rPr>
          <w:spacing w:val="-4"/>
          <w:position w:val="5"/>
          <w:sz w:val="14"/>
        </w:rPr>
        <w:t>.</w:t>
      </w:r>
      <w:r>
        <w:rPr>
          <w:position w:val="5"/>
          <w:sz w:val="14"/>
        </w:rPr>
        <w:tab/>
      </w:r>
      <w:r>
        <w:rPr/>
        <w:t>See</w:t>
      </w:r>
      <w:r>
        <w:rPr>
          <w:spacing w:val="-2"/>
        </w:rPr>
        <w:t> </w:t>
      </w:r>
      <w:r>
        <w:rPr/>
        <w:t>above, para.26-</w:t>
      </w:r>
      <w:r>
        <w:rPr>
          <w:spacing w:val="-4"/>
        </w:rPr>
        <w:t>090.</w:t>
      </w:r>
    </w:p>
    <w:p>
      <w:pPr>
        <w:pStyle w:val="BodyText"/>
        <w:spacing w:before="9"/>
      </w:pPr>
    </w:p>
    <w:p>
      <w:pPr>
        <w:spacing w:line="235" w:lineRule="auto" w:before="0"/>
        <w:ind w:left="705" w:right="168" w:hanging="541"/>
        <w:jc w:val="both"/>
        <w:rPr>
          <w:sz w:val="20"/>
        </w:rPr>
      </w:pPr>
      <w:bookmarkStart w:name="_bookmark1131" w:id="1133"/>
      <w:bookmarkEnd w:id="1133"/>
      <w:r>
        <w:rPr/>
      </w:r>
      <w:hyperlink w:history="true" w:anchor="_bookmark1106">
        <w:r>
          <w:rPr>
            <w:color w:val="005DA1"/>
            <w:position w:val="5"/>
            <w:sz w:val="14"/>
            <w:u w:val="single" w:color="005DA1"/>
          </w:rPr>
          <w:t>586</w:t>
        </w:r>
      </w:hyperlink>
      <w:r>
        <w:rPr>
          <w:position w:val="5"/>
          <w:sz w:val="14"/>
        </w:rPr>
        <w:t>.</w:t>
      </w:r>
      <w:r>
        <w:rPr>
          <w:spacing w:val="80"/>
          <w:position w:val="5"/>
          <w:sz w:val="14"/>
        </w:rPr>
        <w:t>  </w:t>
      </w:r>
      <w:r>
        <w:rPr>
          <w:rFonts w:ascii="Arial" w:hAnsi="Arial"/>
          <w:i/>
          <w:sz w:val="20"/>
        </w:rPr>
        <w:t>White and Carter (Councils) Ltd v McGregor [1962] A.C. 413 </w:t>
      </w:r>
      <w:r>
        <w:rPr>
          <w:sz w:val="20"/>
        </w:rPr>
        <w:t>(a full statement of facts will </w:t>
      </w:r>
      <w:r>
        <w:rPr>
          <w:sz w:val="20"/>
        </w:rPr>
        <w:t>be found above, para.24-010); followed in </w:t>
      </w:r>
      <w:r>
        <w:rPr>
          <w:rFonts w:ascii="Arial" w:hAnsi="Arial"/>
          <w:i/>
          <w:sz w:val="20"/>
        </w:rPr>
        <w:t>Anglo-African Shipping Co of New York Inc v J. Mortner Ltd [1962] 1 Lloyd’s Rep. 81, 610</w:t>
      </w:r>
      <w:r>
        <w:rPr>
          <w:sz w:val="20"/>
        </w:rPr>
        <w:t>; but distinguished in </w:t>
      </w:r>
      <w:r>
        <w:rPr>
          <w:rFonts w:ascii="Arial" w:hAnsi="Arial"/>
          <w:i/>
          <w:sz w:val="20"/>
        </w:rPr>
        <w:t>Attica Sea Carriers Corp v Ferrostaal Poseidon Bulk Reederei GmbH (The Puerto Buitrago) [1976] 1 Lloyd’s Rep. 250, 254–256 </w:t>
      </w:r>
      <w:r>
        <w:rPr>
          <w:sz w:val="20"/>
        </w:rPr>
        <w:t>and in </w:t>
      </w:r>
      <w:r>
        <w:rPr>
          <w:rFonts w:ascii="Arial" w:hAnsi="Arial"/>
          <w:i/>
          <w:sz w:val="20"/>
        </w:rPr>
        <w:t>Clea Shipping Corp v Bulk Oil International Ltd (The Alaskan Trader) [1984] 1 All E.R. 129</w:t>
      </w:r>
      <w:r>
        <w:rPr>
          <w:sz w:val="20"/>
        </w:rPr>
        <w:t>.</w:t>
      </w:r>
    </w:p>
    <w:p>
      <w:pPr>
        <w:pStyle w:val="BodyText"/>
        <w:spacing w:before="4"/>
      </w:pPr>
    </w:p>
    <w:p>
      <w:pPr>
        <w:pStyle w:val="BodyText"/>
        <w:tabs>
          <w:tab w:pos="705" w:val="left" w:leader="none"/>
        </w:tabs>
        <w:ind w:left="165"/>
      </w:pPr>
      <w:bookmarkStart w:name="_bookmark1132" w:id="1134"/>
      <w:bookmarkEnd w:id="1134"/>
      <w:r>
        <w:rPr/>
      </w:r>
      <w:hyperlink w:history="true" w:anchor="_bookmark1107">
        <w:r>
          <w:rPr>
            <w:color w:val="005DA1"/>
            <w:spacing w:val="-4"/>
            <w:position w:val="5"/>
            <w:sz w:val="14"/>
            <w:u w:val="single" w:color="005DA1"/>
          </w:rPr>
          <w:t>587</w:t>
        </w:r>
      </w:hyperlink>
      <w:r>
        <w:rPr>
          <w:spacing w:val="-4"/>
          <w:position w:val="5"/>
          <w:sz w:val="14"/>
        </w:rPr>
        <w:t>.</w:t>
      </w:r>
      <w:r>
        <w:rPr>
          <w:position w:val="5"/>
          <w:sz w:val="14"/>
        </w:rPr>
        <w:tab/>
      </w:r>
      <w:r>
        <w:rPr/>
        <w:t>See</w:t>
      </w:r>
      <w:r>
        <w:rPr>
          <w:spacing w:val="-2"/>
        </w:rPr>
        <w:t> </w:t>
      </w:r>
      <w:r>
        <w:rPr/>
        <w:t>above, para.26-</w:t>
      </w:r>
      <w:r>
        <w:rPr>
          <w:spacing w:val="-4"/>
        </w:rPr>
        <w:t>008.</w:t>
      </w:r>
    </w:p>
    <w:p>
      <w:pPr>
        <w:pStyle w:val="BodyText"/>
        <w:spacing w:before="5"/>
      </w:pPr>
    </w:p>
    <w:p>
      <w:pPr>
        <w:tabs>
          <w:tab w:pos="705" w:val="left" w:leader="none"/>
        </w:tabs>
        <w:spacing w:before="0"/>
        <w:ind w:left="165" w:right="0" w:firstLine="0"/>
        <w:jc w:val="left"/>
        <w:rPr>
          <w:sz w:val="20"/>
        </w:rPr>
      </w:pPr>
      <w:bookmarkStart w:name="_bookmark1133" w:id="1135"/>
      <w:bookmarkEnd w:id="1135"/>
      <w:r>
        <w:rPr/>
      </w:r>
      <w:hyperlink w:history="true" w:anchor="_bookmark1108">
        <w:r>
          <w:rPr>
            <w:color w:val="005DA1"/>
            <w:spacing w:val="-4"/>
            <w:position w:val="5"/>
            <w:sz w:val="14"/>
            <w:u w:val="single" w:color="005DA1"/>
          </w:rPr>
          <w:t>588</w:t>
        </w:r>
      </w:hyperlink>
      <w:r>
        <w:rPr>
          <w:spacing w:val="-4"/>
          <w:position w:val="5"/>
          <w:sz w:val="14"/>
        </w:rPr>
        <w:t>.</w:t>
      </w:r>
      <w:r>
        <w:rPr>
          <w:position w:val="5"/>
          <w:sz w:val="14"/>
        </w:rPr>
        <w:tab/>
      </w:r>
      <w:r>
        <w:rPr>
          <w:rFonts w:ascii="Arial"/>
          <w:i/>
          <w:sz w:val="20"/>
        </w:rPr>
        <w:t>[1962]</w:t>
      </w:r>
      <w:r>
        <w:rPr>
          <w:rFonts w:ascii="Arial"/>
          <w:i/>
          <w:spacing w:val="-2"/>
          <w:sz w:val="20"/>
        </w:rPr>
        <w:t> </w:t>
      </w:r>
      <w:r>
        <w:rPr>
          <w:rFonts w:ascii="Arial"/>
          <w:i/>
          <w:sz w:val="20"/>
        </w:rPr>
        <w:t>A.C. </w:t>
      </w:r>
      <w:r>
        <w:rPr>
          <w:rFonts w:ascii="Arial"/>
          <w:i/>
          <w:spacing w:val="-4"/>
          <w:sz w:val="20"/>
        </w:rPr>
        <w:t>413</w:t>
      </w:r>
      <w:r>
        <w:rPr>
          <w:spacing w:val="-4"/>
          <w:sz w:val="20"/>
        </w:rPr>
        <w:t>.</w:t>
      </w:r>
    </w:p>
    <w:p>
      <w:pPr>
        <w:pStyle w:val="BodyText"/>
        <w:spacing w:before="5"/>
      </w:pPr>
    </w:p>
    <w:p>
      <w:pPr>
        <w:pStyle w:val="BodyText"/>
        <w:tabs>
          <w:tab w:pos="705" w:val="left" w:leader="none"/>
        </w:tabs>
        <w:ind w:left="165"/>
      </w:pPr>
      <w:bookmarkStart w:name="_bookmark1134" w:id="1136"/>
      <w:bookmarkEnd w:id="1136"/>
      <w:r>
        <w:rPr/>
      </w:r>
      <w:hyperlink w:history="true" w:anchor="_bookmark1108">
        <w:r>
          <w:rPr>
            <w:color w:val="005DA1"/>
            <w:spacing w:val="-4"/>
            <w:position w:val="5"/>
            <w:sz w:val="14"/>
            <w:u w:val="single" w:color="005DA1"/>
          </w:rPr>
          <w:t>589</w:t>
        </w:r>
      </w:hyperlink>
      <w:r>
        <w:rPr>
          <w:spacing w:val="-4"/>
          <w:position w:val="5"/>
          <w:sz w:val="14"/>
        </w:rPr>
        <w:t>.</w:t>
      </w:r>
      <w:r>
        <w:rPr>
          <w:position w:val="5"/>
          <w:sz w:val="14"/>
        </w:rPr>
        <w:tab/>
      </w:r>
      <w:r>
        <w:rPr/>
        <w:t>On anticipatory breach, see above, paras 24-022 et </w:t>
      </w:r>
      <w:r>
        <w:rPr>
          <w:spacing w:val="-4"/>
        </w:rPr>
        <w:t>seq.</w:t>
      </w:r>
    </w:p>
    <w:p>
      <w:pPr>
        <w:pStyle w:val="BodyText"/>
        <w:spacing w:before="9"/>
      </w:pPr>
    </w:p>
    <w:p>
      <w:pPr>
        <w:spacing w:line="235" w:lineRule="auto" w:before="0"/>
        <w:ind w:left="705" w:right="167" w:hanging="541"/>
        <w:jc w:val="both"/>
        <w:rPr>
          <w:sz w:val="20"/>
        </w:rPr>
      </w:pPr>
      <w:bookmarkStart w:name="_bookmark1135" w:id="1137"/>
      <w:bookmarkEnd w:id="1137"/>
      <w:r>
        <w:rPr/>
      </w:r>
      <w:hyperlink w:history="true" w:anchor="_bookmark1109">
        <w:r>
          <w:rPr>
            <w:color w:val="005DA1"/>
            <w:position w:val="5"/>
            <w:sz w:val="14"/>
            <w:u w:val="single" w:color="005DA1"/>
          </w:rPr>
          <w:t>590</w:t>
        </w:r>
      </w:hyperlink>
      <w:r>
        <w:rPr>
          <w:position w:val="5"/>
          <w:sz w:val="14"/>
        </w:rPr>
        <w:t>.</w:t>
      </w:r>
      <w:r>
        <w:rPr>
          <w:spacing w:val="80"/>
          <w:position w:val="5"/>
          <w:sz w:val="14"/>
        </w:rPr>
        <w:t> </w:t>
      </w:r>
      <w:r>
        <w:rPr>
          <w:rFonts w:ascii="Arial" w:hAnsi="Arial"/>
          <w:i/>
          <w:sz w:val="20"/>
        </w:rPr>
        <w:t>Hounslow LBC v Twickenham Gardens Developments Ltd [1971] Ch. 233, 253–254 </w:t>
      </w:r>
      <w:r>
        <w:rPr>
          <w:sz w:val="20"/>
        </w:rPr>
        <w:t>(plaintiff cannot insist on being given access to the defendant’s land to enable him to complete work there).</w:t>
      </w:r>
      <w:r>
        <w:rPr>
          <w:spacing w:val="-3"/>
          <w:sz w:val="20"/>
        </w:rPr>
        <w:t> </w:t>
      </w:r>
      <w:r>
        <w:rPr>
          <w:sz w:val="20"/>
        </w:rPr>
        <w:t>A</w:t>
      </w:r>
      <w:r>
        <w:rPr>
          <w:spacing w:val="-3"/>
          <w:sz w:val="20"/>
        </w:rPr>
        <w:t> </w:t>
      </w:r>
      <w:r>
        <w:rPr>
          <w:sz w:val="20"/>
        </w:rPr>
        <w:t>wrongfully</w:t>
      </w:r>
      <w:r>
        <w:rPr>
          <w:spacing w:val="-3"/>
          <w:sz w:val="20"/>
        </w:rPr>
        <w:t> </w:t>
      </w:r>
      <w:r>
        <w:rPr>
          <w:sz w:val="20"/>
        </w:rPr>
        <w:t>dismissed</w:t>
      </w:r>
      <w:r>
        <w:rPr>
          <w:spacing w:val="-3"/>
          <w:sz w:val="20"/>
        </w:rPr>
        <w:t> </w:t>
      </w:r>
      <w:r>
        <w:rPr>
          <w:sz w:val="20"/>
        </w:rPr>
        <w:t>employee</w:t>
      </w:r>
      <w:r>
        <w:rPr>
          <w:spacing w:val="-3"/>
          <w:sz w:val="20"/>
        </w:rPr>
        <w:t> </w:t>
      </w:r>
      <w:r>
        <w:rPr>
          <w:sz w:val="20"/>
        </w:rPr>
        <w:t>cannot</w:t>
      </w:r>
      <w:r>
        <w:rPr>
          <w:spacing w:val="-3"/>
          <w:sz w:val="20"/>
        </w:rPr>
        <w:t> </w:t>
      </w:r>
      <w:r>
        <w:rPr>
          <w:sz w:val="20"/>
        </w:rPr>
        <w:t>sue</w:t>
      </w:r>
      <w:r>
        <w:rPr>
          <w:spacing w:val="-3"/>
          <w:sz w:val="20"/>
        </w:rPr>
        <w:t> </w:t>
      </w:r>
      <w:r>
        <w:rPr>
          <w:sz w:val="20"/>
        </w:rPr>
        <w:t>for</w:t>
      </w:r>
      <w:r>
        <w:rPr>
          <w:spacing w:val="-3"/>
          <w:sz w:val="20"/>
        </w:rPr>
        <w:t> </w:t>
      </w:r>
      <w:r>
        <w:rPr>
          <w:sz w:val="20"/>
        </w:rPr>
        <w:t>his</w:t>
      </w:r>
      <w:r>
        <w:rPr>
          <w:spacing w:val="-3"/>
          <w:sz w:val="20"/>
        </w:rPr>
        <w:t> </w:t>
      </w:r>
      <w:r>
        <w:rPr>
          <w:sz w:val="20"/>
        </w:rPr>
        <w:t>wages</w:t>
      </w:r>
      <w:r>
        <w:rPr>
          <w:spacing w:val="-3"/>
          <w:sz w:val="20"/>
        </w:rPr>
        <w:t> </w:t>
      </w:r>
      <w:r>
        <w:rPr>
          <w:sz w:val="20"/>
        </w:rPr>
        <w:t>as</w:t>
      </w:r>
      <w:r>
        <w:rPr>
          <w:spacing w:val="-3"/>
          <w:sz w:val="20"/>
        </w:rPr>
        <w:t> </w:t>
      </w:r>
      <w:r>
        <w:rPr>
          <w:sz w:val="20"/>
        </w:rPr>
        <w:t>such,</w:t>
      </w:r>
      <w:r>
        <w:rPr>
          <w:spacing w:val="-3"/>
          <w:sz w:val="20"/>
        </w:rPr>
        <w:t> </w:t>
      </w:r>
      <w:r>
        <w:rPr>
          <w:sz w:val="20"/>
        </w:rPr>
        <w:t>but</w:t>
      </w:r>
      <w:r>
        <w:rPr>
          <w:spacing w:val="-3"/>
          <w:sz w:val="20"/>
        </w:rPr>
        <w:t> </w:t>
      </w:r>
      <w:r>
        <w:rPr>
          <w:sz w:val="20"/>
        </w:rPr>
        <w:t>is</w:t>
      </w:r>
      <w:r>
        <w:rPr>
          <w:spacing w:val="-3"/>
          <w:sz w:val="20"/>
        </w:rPr>
        <w:t> </w:t>
      </w:r>
      <w:r>
        <w:rPr>
          <w:sz w:val="20"/>
        </w:rPr>
        <w:t>relegated</w:t>
      </w:r>
      <w:r>
        <w:rPr>
          <w:spacing w:val="-3"/>
          <w:sz w:val="20"/>
        </w:rPr>
        <w:t> </w:t>
      </w:r>
      <w:r>
        <w:rPr>
          <w:sz w:val="20"/>
        </w:rPr>
        <w:t>to</w:t>
      </w:r>
      <w:r>
        <w:rPr>
          <w:spacing w:val="-3"/>
          <w:sz w:val="20"/>
        </w:rPr>
        <w:t> </w:t>
      </w:r>
      <w:r>
        <w:rPr>
          <w:sz w:val="20"/>
        </w:rPr>
        <w:t>a claim for damages. See further next paragraph.</w:t>
      </w:r>
    </w:p>
    <w:p>
      <w:pPr>
        <w:pStyle w:val="BodyText"/>
        <w:spacing w:before="5"/>
      </w:pPr>
    </w:p>
    <w:p>
      <w:pPr>
        <w:pStyle w:val="BodyText"/>
        <w:tabs>
          <w:tab w:pos="705" w:val="left" w:leader="none"/>
        </w:tabs>
        <w:spacing w:line="227" w:lineRule="exact"/>
        <w:ind w:left="165"/>
      </w:pPr>
      <w:bookmarkStart w:name="_bookmark1136" w:id="1138"/>
      <w:bookmarkEnd w:id="1138"/>
      <w:r>
        <w:rPr/>
      </w:r>
      <w:hyperlink w:history="true" w:anchor="_bookmark1110">
        <w:r>
          <w:rPr>
            <w:color w:val="005DA1"/>
            <w:spacing w:val="-4"/>
            <w:position w:val="5"/>
            <w:sz w:val="14"/>
            <w:u w:val="single" w:color="005DA1"/>
          </w:rPr>
          <w:t>591</w:t>
        </w:r>
      </w:hyperlink>
      <w:r>
        <w:rPr>
          <w:spacing w:val="-4"/>
          <w:position w:val="5"/>
          <w:sz w:val="14"/>
        </w:rPr>
        <w:t>.</w:t>
      </w:r>
      <w:r>
        <w:rPr>
          <w:position w:val="5"/>
          <w:sz w:val="14"/>
        </w:rPr>
        <w:tab/>
      </w:r>
      <w:r>
        <w:rPr/>
        <w:t>As</w:t>
      </w:r>
      <w:r>
        <w:rPr>
          <w:spacing w:val="14"/>
        </w:rPr>
        <w:t> </w:t>
      </w:r>
      <w:r>
        <w:rPr/>
        <w:t>to</w:t>
      </w:r>
      <w:r>
        <w:rPr>
          <w:spacing w:val="14"/>
        </w:rPr>
        <w:t> </w:t>
      </w:r>
      <w:r>
        <w:rPr/>
        <w:t>whether</w:t>
      </w:r>
      <w:r>
        <w:rPr>
          <w:spacing w:val="14"/>
        </w:rPr>
        <w:t> </w:t>
      </w:r>
      <w:r>
        <w:rPr/>
        <w:t>the</w:t>
      </w:r>
      <w:r>
        <w:rPr>
          <w:spacing w:val="14"/>
        </w:rPr>
        <w:t> </w:t>
      </w:r>
      <w:r>
        <w:rPr/>
        <w:t>principle</w:t>
      </w:r>
      <w:r>
        <w:rPr>
          <w:spacing w:val="14"/>
        </w:rPr>
        <w:t> </w:t>
      </w:r>
      <w:r>
        <w:rPr/>
        <w:t>will</w:t>
      </w:r>
      <w:r>
        <w:rPr>
          <w:spacing w:val="14"/>
        </w:rPr>
        <w:t> </w:t>
      </w:r>
      <w:r>
        <w:rPr/>
        <w:t>extend</w:t>
      </w:r>
      <w:r>
        <w:rPr>
          <w:spacing w:val="14"/>
        </w:rPr>
        <w:t> </w:t>
      </w:r>
      <w:r>
        <w:rPr/>
        <w:t>to</w:t>
      </w:r>
      <w:r>
        <w:rPr>
          <w:spacing w:val="14"/>
        </w:rPr>
        <w:t> </w:t>
      </w:r>
      <w:r>
        <w:rPr/>
        <w:t>the</w:t>
      </w:r>
      <w:r>
        <w:rPr>
          <w:spacing w:val="14"/>
        </w:rPr>
        <w:t> </w:t>
      </w:r>
      <w:r>
        <w:rPr/>
        <w:t>sale</w:t>
      </w:r>
      <w:r>
        <w:rPr>
          <w:spacing w:val="14"/>
        </w:rPr>
        <w:t> </w:t>
      </w:r>
      <w:r>
        <w:rPr/>
        <w:t>of</w:t>
      </w:r>
      <w:r>
        <w:rPr>
          <w:spacing w:val="14"/>
        </w:rPr>
        <w:t> </w:t>
      </w:r>
      <w:r>
        <w:rPr/>
        <w:t>goods,</w:t>
      </w:r>
      <w:r>
        <w:rPr>
          <w:spacing w:val="14"/>
        </w:rPr>
        <w:t> </w:t>
      </w:r>
      <w:r>
        <w:rPr/>
        <w:t>see</w:t>
      </w:r>
      <w:r>
        <w:rPr>
          <w:spacing w:val="14"/>
        </w:rPr>
        <w:t> </w:t>
      </w:r>
      <w:r>
        <w:rPr/>
        <w:t>Lord</w:t>
      </w:r>
      <w:r>
        <w:rPr>
          <w:spacing w:val="14"/>
        </w:rPr>
        <w:t> </w:t>
      </w:r>
      <w:r>
        <w:rPr/>
        <w:t>Keith</w:t>
      </w:r>
      <w:r>
        <w:rPr>
          <w:spacing w:val="14"/>
        </w:rPr>
        <w:t> </w:t>
      </w:r>
      <w:r>
        <w:rPr/>
        <w:t>(dissenting)</w:t>
      </w:r>
      <w:r>
        <w:rPr>
          <w:spacing w:val="14"/>
        </w:rPr>
        <w:t> </w:t>
      </w:r>
      <w:r>
        <w:rPr>
          <w:spacing w:val="-2"/>
        </w:rPr>
        <w:t>[1962]</w:t>
      </w:r>
    </w:p>
    <w:p>
      <w:pPr>
        <w:pStyle w:val="BodyText"/>
        <w:spacing w:line="235" w:lineRule="auto" w:before="1"/>
        <w:ind w:left="705" w:right="167"/>
      </w:pPr>
      <w:r>
        <w:rPr/>
        <w:t>A.C.</w:t>
      </w:r>
      <w:r>
        <w:rPr>
          <w:spacing w:val="40"/>
        </w:rPr>
        <w:t> </w:t>
      </w:r>
      <w:r>
        <w:rPr/>
        <w:t>413,</w:t>
      </w:r>
      <w:r>
        <w:rPr>
          <w:spacing w:val="40"/>
        </w:rPr>
        <w:t> </w:t>
      </w:r>
      <w:r>
        <w:rPr/>
        <w:t>437;</w:t>
      </w:r>
      <w:r>
        <w:rPr>
          <w:spacing w:val="40"/>
        </w:rPr>
        <w:t> </w:t>
      </w:r>
      <w:r>
        <w:rPr/>
        <w:t>above,</w:t>
      </w:r>
      <w:r>
        <w:rPr>
          <w:spacing w:val="40"/>
        </w:rPr>
        <w:t> </w:t>
      </w:r>
      <w:r>
        <w:rPr/>
        <w:t>para.26-092;</w:t>
      </w:r>
      <w:r>
        <w:rPr>
          <w:spacing w:val="40"/>
        </w:rPr>
        <w:t> </w:t>
      </w:r>
      <w:r>
        <w:rPr/>
        <w:t>and</w:t>
      </w:r>
      <w:r>
        <w:rPr>
          <w:spacing w:val="40"/>
        </w:rPr>
        <w:t> </w:t>
      </w:r>
      <w:r>
        <w:rPr/>
        <w:t>Benjamin’s</w:t>
      </w:r>
      <w:r>
        <w:rPr>
          <w:spacing w:val="40"/>
        </w:rPr>
        <w:t> </w:t>
      </w:r>
      <w:r>
        <w:rPr/>
        <w:t>Sale</w:t>
      </w:r>
      <w:r>
        <w:rPr>
          <w:spacing w:val="40"/>
        </w:rPr>
        <w:t> </w:t>
      </w:r>
      <w:r>
        <w:rPr/>
        <w:t>of</w:t>
      </w:r>
      <w:r>
        <w:rPr>
          <w:spacing w:val="40"/>
        </w:rPr>
        <w:t> </w:t>
      </w:r>
      <w:r>
        <w:rPr/>
        <w:t>Goods,</w:t>
      </w:r>
      <w:r>
        <w:rPr>
          <w:spacing w:val="40"/>
        </w:rPr>
        <w:t> </w:t>
      </w:r>
      <w:r>
        <w:rPr/>
        <w:t>8th</w:t>
      </w:r>
      <w:r>
        <w:rPr>
          <w:spacing w:val="40"/>
        </w:rPr>
        <w:t> </w:t>
      </w:r>
      <w:r>
        <w:rPr/>
        <w:t>edn</w:t>
      </w:r>
      <w:r>
        <w:rPr>
          <w:spacing w:val="40"/>
        </w:rPr>
        <w:t> </w:t>
      </w:r>
      <w:r>
        <w:rPr/>
        <w:t>(2010),</w:t>
      </w:r>
      <w:r>
        <w:rPr>
          <w:spacing w:val="41"/>
        </w:rPr>
        <w:t> </w:t>
      </w:r>
      <w:r>
        <w:rPr/>
        <w:t>paras 16-022, 16-059.</w:t>
      </w:r>
    </w:p>
    <w:p>
      <w:pPr>
        <w:pStyle w:val="BodyText"/>
        <w:spacing w:before="5"/>
      </w:pPr>
    </w:p>
    <w:p>
      <w:pPr>
        <w:tabs>
          <w:tab w:pos="705" w:val="left" w:leader="none"/>
        </w:tabs>
        <w:spacing w:before="1"/>
        <w:ind w:left="165" w:right="0" w:firstLine="0"/>
        <w:jc w:val="left"/>
        <w:rPr>
          <w:sz w:val="20"/>
        </w:rPr>
      </w:pPr>
      <w:bookmarkStart w:name="_bookmark1137" w:id="1139"/>
      <w:bookmarkEnd w:id="1139"/>
      <w:r>
        <w:rPr/>
      </w:r>
      <w:hyperlink w:history="true" w:anchor="_bookmark1111">
        <w:r>
          <w:rPr>
            <w:color w:val="005DA1"/>
            <w:spacing w:val="-4"/>
            <w:position w:val="5"/>
            <w:sz w:val="14"/>
            <w:u w:val="single" w:color="005DA1"/>
          </w:rPr>
          <w:t>592</w:t>
        </w:r>
      </w:hyperlink>
      <w:r>
        <w:rPr>
          <w:spacing w:val="-4"/>
          <w:position w:val="5"/>
          <w:sz w:val="14"/>
        </w:rPr>
        <w:t>.</w:t>
      </w:r>
      <w:r>
        <w:rPr>
          <w:position w:val="5"/>
          <w:sz w:val="14"/>
        </w:rPr>
        <w:tab/>
      </w:r>
      <w:r>
        <w:rPr>
          <w:rFonts w:ascii="Arial"/>
          <w:i/>
          <w:sz w:val="20"/>
        </w:rPr>
        <w:t>White and Carter (Councils) Ltd v McGregor [1962] A.C. </w:t>
      </w:r>
      <w:r>
        <w:rPr>
          <w:rFonts w:ascii="Arial"/>
          <w:i/>
          <w:spacing w:val="-4"/>
          <w:sz w:val="20"/>
        </w:rPr>
        <w:t>413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38" w:id="1140"/>
      <w:bookmarkEnd w:id="1140"/>
      <w:r>
        <w:rPr/>
      </w:r>
      <w:hyperlink w:history="true" w:anchor="_bookmark1112">
        <w:r>
          <w:rPr>
            <w:color w:val="005DA1"/>
            <w:spacing w:val="-4"/>
            <w:position w:val="5"/>
            <w:sz w:val="14"/>
            <w:u w:val="single" w:color="005DA1"/>
          </w:rPr>
          <w:t>593</w:t>
        </w:r>
      </w:hyperlink>
      <w:r>
        <w:rPr>
          <w:spacing w:val="-4"/>
          <w:position w:val="5"/>
          <w:sz w:val="14"/>
        </w:rPr>
        <w:t>.</w:t>
      </w:r>
      <w:r>
        <w:rPr>
          <w:position w:val="5"/>
          <w:sz w:val="14"/>
        </w:rPr>
        <w:tab/>
      </w:r>
      <w:r>
        <w:rPr>
          <w:rFonts w:ascii="Arial" w:hAnsi="Arial"/>
          <w:i/>
          <w:sz w:val="20"/>
        </w:rPr>
        <w:t>Hounslow</w:t>
      </w:r>
      <w:r>
        <w:rPr>
          <w:rFonts w:ascii="Arial" w:hAnsi="Arial"/>
          <w:i/>
          <w:spacing w:val="-2"/>
          <w:sz w:val="20"/>
        </w:rPr>
        <w:t> </w:t>
      </w:r>
      <w:r>
        <w:rPr>
          <w:rFonts w:ascii="Arial" w:hAnsi="Arial"/>
          <w:i/>
          <w:sz w:val="20"/>
        </w:rPr>
        <w:t>LBC v Twickenham Gardens Developments Ltd [1971] Ch. 233, </w:t>
      </w:r>
      <w:r>
        <w:rPr>
          <w:rFonts w:ascii="Arial" w:hAnsi="Arial"/>
          <w:i/>
          <w:spacing w:val="-2"/>
          <w:sz w:val="20"/>
        </w:rPr>
        <w:t>253–254</w:t>
      </w:r>
      <w:r>
        <w:rPr>
          <w:spacing w:val="-2"/>
          <w:sz w:val="20"/>
        </w:rPr>
        <w:t>.</w:t>
      </w:r>
    </w:p>
    <w:p>
      <w:pPr>
        <w:pStyle w:val="BodyText"/>
        <w:spacing w:before="8"/>
      </w:pPr>
    </w:p>
    <w:p>
      <w:pPr>
        <w:tabs>
          <w:tab w:pos="705" w:val="left" w:leader="none"/>
        </w:tabs>
        <w:spacing w:line="235" w:lineRule="auto" w:before="0"/>
        <w:ind w:left="705" w:right="174" w:hanging="541"/>
        <w:jc w:val="left"/>
        <w:rPr>
          <w:sz w:val="20"/>
        </w:rPr>
      </w:pPr>
      <w:bookmarkStart w:name="_bookmark1139" w:id="1141"/>
      <w:bookmarkEnd w:id="1141"/>
      <w:r>
        <w:rPr/>
      </w:r>
      <w:hyperlink w:history="true" w:anchor="_bookmark1113">
        <w:r>
          <w:rPr>
            <w:color w:val="005DA1"/>
            <w:spacing w:val="-4"/>
            <w:position w:val="5"/>
            <w:sz w:val="14"/>
            <w:u w:val="single" w:color="005DA1"/>
          </w:rPr>
          <w:t>594</w:t>
        </w:r>
      </w:hyperlink>
      <w:r>
        <w:rPr>
          <w:spacing w:val="-4"/>
          <w:position w:val="5"/>
          <w:sz w:val="14"/>
        </w:rPr>
        <w:t>.</w:t>
      </w:r>
      <w:r>
        <w:rPr>
          <w:position w:val="5"/>
          <w:sz w:val="14"/>
        </w:rPr>
        <w:tab/>
      </w:r>
      <w:r>
        <w:rPr>
          <w:rFonts w:ascii="Arial" w:hAnsi="Arial"/>
          <w:i/>
          <w:sz w:val="20"/>
        </w:rPr>
        <w:t>Attica Sea Carriers Corp v Ferrostaal, etc., GmbH (The Puerto Buitrago) [1976] 1 Lloyd’s </w:t>
      </w:r>
      <w:r>
        <w:rPr>
          <w:rFonts w:ascii="Arial" w:hAnsi="Arial"/>
          <w:i/>
          <w:sz w:val="20"/>
        </w:rPr>
        <w:t>Rep. </w:t>
      </w:r>
      <w:r>
        <w:rPr>
          <w:rFonts w:ascii="Arial" w:hAnsi="Arial"/>
          <w:i/>
          <w:spacing w:val="-4"/>
          <w:sz w:val="20"/>
        </w:rPr>
        <w:t>250</w:t>
      </w:r>
      <w:r>
        <w:rPr>
          <w:spacing w:val="-4"/>
          <w:sz w:val="20"/>
        </w:rPr>
        <w:t>.</w:t>
      </w:r>
    </w:p>
    <w:p>
      <w:pPr>
        <w:pStyle w:val="BodyText"/>
        <w:spacing w:before="6"/>
      </w:pPr>
    </w:p>
    <w:p>
      <w:pPr>
        <w:tabs>
          <w:tab w:pos="705" w:val="left" w:leader="none"/>
        </w:tabs>
        <w:spacing w:before="0"/>
        <w:ind w:left="165" w:right="0" w:firstLine="0"/>
        <w:jc w:val="left"/>
        <w:rPr>
          <w:sz w:val="20"/>
        </w:rPr>
      </w:pPr>
      <w:bookmarkStart w:name="_bookmark1140" w:id="1142"/>
      <w:bookmarkEnd w:id="1142"/>
      <w:r>
        <w:rPr/>
      </w:r>
      <w:hyperlink w:history="true" w:anchor="_bookmark1114">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Clea Shipping Corp v Bulk Oil International Ltd (The Alaskan Trader) [1984] 1 All E.R. </w:t>
      </w:r>
      <w:r>
        <w:rPr>
          <w:rFonts w:ascii="Arial"/>
          <w:i/>
          <w:spacing w:val="-4"/>
          <w:sz w:val="20"/>
        </w:rPr>
        <w:t>129</w:t>
      </w:r>
      <w:r>
        <w:rPr>
          <w:spacing w:val="-4"/>
          <w:sz w:val="20"/>
        </w:rPr>
        <w:t>.</w:t>
      </w:r>
    </w:p>
    <w:p>
      <w:pPr>
        <w:pStyle w:val="BodyText"/>
        <w:spacing w:before="9"/>
      </w:pPr>
    </w:p>
    <w:p>
      <w:pPr>
        <w:spacing w:line="235" w:lineRule="auto" w:before="0"/>
        <w:ind w:left="705" w:right="167" w:hanging="541"/>
        <w:jc w:val="both"/>
        <w:rPr>
          <w:sz w:val="20"/>
        </w:rPr>
      </w:pPr>
      <w:bookmarkStart w:name="_bookmark1141" w:id="1143"/>
      <w:bookmarkEnd w:id="1143"/>
      <w:r>
        <w:rPr/>
      </w:r>
      <w:hyperlink w:history="true" w:anchor="_bookmark1115">
        <w:r>
          <w:rPr>
            <w:color w:val="005DA1"/>
            <w:position w:val="5"/>
            <w:sz w:val="14"/>
            <w:u w:val="single" w:color="005DA1"/>
          </w:rPr>
          <w:t>596</w:t>
        </w:r>
      </w:hyperlink>
      <w:r>
        <w:rPr>
          <w:position w:val="5"/>
          <w:sz w:val="14"/>
        </w:rPr>
        <w:t>.</w:t>
      </w:r>
      <w:r>
        <w:rPr>
          <w:spacing w:val="80"/>
          <w:w w:val="150"/>
          <w:position w:val="5"/>
          <w:sz w:val="14"/>
        </w:rPr>
        <w:t> </w:t>
      </w:r>
      <w:r>
        <w:rPr>
          <w:rFonts w:ascii="Arial" w:hAnsi="Arial"/>
          <w:i/>
          <w:sz w:val="20"/>
        </w:rPr>
        <w:t>Isabella</w:t>
      </w:r>
      <w:r>
        <w:rPr>
          <w:rFonts w:ascii="Arial" w:hAnsi="Arial"/>
          <w:i/>
          <w:spacing w:val="40"/>
          <w:sz w:val="20"/>
        </w:rPr>
        <w:t> </w:t>
      </w:r>
      <w:r>
        <w:rPr>
          <w:rFonts w:ascii="Arial" w:hAnsi="Arial"/>
          <w:i/>
          <w:sz w:val="20"/>
        </w:rPr>
        <w:t>Shipowner</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Shagang</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Aquafaith)</w:t>
      </w:r>
      <w:r>
        <w:rPr>
          <w:rFonts w:ascii="Arial" w:hAnsi="Arial"/>
          <w:i/>
          <w:spacing w:val="40"/>
          <w:sz w:val="20"/>
        </w:rPr>
        <w:t> </w:t>
      </w:r>
      <w:r>
        <w:rPr>
          <w:rFonts w:ascii="Arial" w:hAnsi="Arial"/>
          <w:i/>
          <w:sz w:val="20"/>
        </w:rPr>
        <w:t>[2012]</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1077 (Comm), [2012] 2 Lloyd’s Rep. 61 </w:t>
      </w:r>
      <w:r>
        <w:rPr>
          <w:sz w:val="20"/>
        </w:rPr>
        <w:t>at [40], where it is pointed out that in </w:t>
      </w:r>
      <w:r>
        <w:rPr>
          <w:rFonts w:ascii="Arial" w:hAnsi="Arial"/>
          <w:i/>
          <w:sz w:val="20"/>
        </w:rPr>
        <w:t>Gator Shipping Corp </w:t>
      </w:r>
      <w:r>
        <w:rPr>
          <w:rFonts w:ascii="Arial" w:hAnsi="Arial"/>
          <w:i/>
          <w:sz w:val="20"/>
        </w:rPr>
        <w:t>v Trans-Asiatic Oil SA (The Odenfeld) [1978] 2 Lloyd’s Rep. 357 </w:t>
      </w:r>
      <w:r>
        <w:rPr>
          <w:sz w:val="20"/>
        </w:rPr>
        <w:t>Kerr J. seems also to have accepted that in principle a time charter can be performed without the charterer’s co-operation. (See also </w:t>
      </w:r>
      <w:r>
        <w:rPr>
          <w:rFonts w:ascii="Arial" w:hAnsi="Arial"/>
          <w:i/>
          <w:sz w:val="20"/>
        </w:rPr>
        <w:t>Ocean Marine Navigation Ltd v Koch Carbon Inc (The Dynamic) [2003] EWHC 1936 (Comm), [2003] 2 Lloyd’s Rep. 693</w:t>
      </w:r>
      <w:r>
        <w:rPr>
          <w:sz w:val="20"/>
        </w:rPr>
        <w:t>, and also the first instance decision in </w:t>
      </w:r>
      <w:r>
        <w:rPr>
          <w:rFonts w:ascii="Arial" w:hAnsi="Arial"/>
          <w:i/>
          <w:sz w:val="20"/>
        </w:rPr>
        <w:t>Stocznia Gdanska</w:t>
      </w:r>
      <w:r>
        <w:rPr>
          <w:rFonts w:ascii="Arial" w:hAnsi="Arial"/>
          <w:i/>
          <w:spacing w:val="40"/>
          <w:sz w:val="20"/>
        </w:rPr>
        <w:t> </w:t>
      </w:r>
      <w:r>
        <w:rPr>
          <w:rFonts w:ascii="Arial" w:hAnsi="Arial"/>
          <w:i/>
          <w:sz w:val="20"/>
        </w:rPr>
        <w:t>SA v Latvian Shipping Co [1995] 2 Lloyd’s Rep. 592, 600–607 </w:t>
      </w:r>
      <w:r>
        <w:rPr>
          <w:sz w:val="20"/>
        </w:rPr>
        <w:t>(ship-building contract).)</w:t>
      </w:r>
    </w:p>
    <w:p>
      <w:pPr>
        <w:pStyle w:val="BodyText"/>
        <w:spacing w:before="7"/>
      </w:pPr>
    </w:p>
    <w:p>
      <w:pPr>
        <w:spacing w:line="235" w:lineRule="auto" w:before="0"/>
        <w:ind w:left="705" w:right="167" w:hanging="541"/>
        <w:jc w:val="both"/>
        <w:rPr>
          <w:sz w:val="20"/>
        </w:rPr>
      </w:pPr>
      <w:bookmarkStart w:name="_bookmark1142" w:id="1144"/>
      <w:bookmarkEnd w:id="1144"/>
      <w:r>
        <w:rPr/>
      </w:r>
      <w:hyperlink w:history="true" w:anchor="_bookmark1116">
        <w:r>
          <w:rPr>
            <w:color w:val="005DA1"/>
            <w:position w:val="5"/>
            <w:sz w:val="14"/>
            <w:u w:val="single" w:color="005DA1"/>
          </w:rPr>
          <w:t>597</w:t>
        </w:r>
      </w:hyperlink>
      <w:r>
        <w:rPr>
          <w:position w:val="5"/>
          <w:sz w:val="14"/>
        </w:rPr>
        <w:t>.</w:t>
      </w:r>
      <w:r>
        <w:rPr>
          <w:spacing w:val="80"/>
          <w:w w:val="150"/>
          <w:position w:val="5"/>
          <w:sz w:val="14"/>
        </w:rPr>
        <w:t> </w:t>
      </w:r>
      <w:r>
        <w:rPr>
          <w:rFonts w:ascii="Arial"/>
          <w:i/>
          <w:sz w:val="20"/>
        </w:rPr>
        <w:t>Ministry of Sound (Ireland) Ltd v World Online Ltd [2003] EWHC 2178 (Ch), [2003] 2 All E.R. (Comm) 823</w:t>
      </w:r>
      <w:r>
        <w:rPr>
          <w:sz w:val="20"/>
        </w:rPr>
        <w:t>; </w:t>
      </w:r>
      <w:r>
        <w:rPr>
          <w:rFonts w:ascii="Arial"/>
          <w:i/>
          <w:sz w:val="20"/>
        </w:rPr>
        <w:t>Reichman v Beveridge [2006] EWCA Civ 1659 </w:t>
      </w:r>
      <w:r>
        <w:rPr>
          <w:sz w:val="20"/>
        </w:rPr>
        <w:t>(tenancy); </w:t>
      </w:r>
      <w:r>
        <w:rPr>
          <w:rFonts w:ascii="Arial"/>
          <w:i/>
          <w:sz w:val="20"/>
        </w:rPr>
        <w:t>Barclays Bank Plc v Unicredit Bank AG [2012] EWHC 3655 (Comm) </w:t>
      </w:r>
      <w:r>
        <w:rPr>
          <w:sz w:val="20"/>
        </w:rPr>
        <w:t>at [105].</w:t>
      </w:r>
    </w:p>
    <w:p>
      <w:pPr>
        <w:pStyle w:val="BodyText"/>
        <w:spacing w:before="5"/>
      </w:pPr>
    </w:p>
    <w:p>
      <w:pPr>
        <w:pStyle w:val="BodyText"/>
        <w:tabs>
          <w:tab w:pos="705" w:val="left" w:leader="none"/>
        </w:tabs>
        <w:spacing w:line="227" w:lineRule="exact"/>
        <w:ind w:left="165"/>
      </w:pPr>
      <w:bookmarkStart w:name="_bookmark1143" w:id="1145"/>
      <w:bookmarkEnd w:id="1145"/>
      <w:r>
        <w:rPr/>
      </w:r>
      <w:hyperlink w:history="true" w:anchor="_bookmark1117">
        <w:r>
          <w:rPr>
            <w:color w:val="005DA1"/>
            <w:spacing w:val="-4"/>
            <w:position w:val="5"/>
            <w:sz w:val="14"/>
            <w:u w:val="single" w:color="005DA1"/>
          </w:rPr>
          <w:t>598</w:t>
        </w:r>
      </w:hyperlink>
      <w:r>
        <w:rPr>
          <w:spacing w:val="-4"/>
          <w:position w:val="5"/>
          <w:sz w:val="14"/>
        </w:rPr>
        <w:t>.</w:t>
      </w:r>
      <w:r>
        <w:rPr>
          <w:position w:val="5"/>
          <w:sz w:val="14"/>
        </w:rPr>
        <w:tab/>
      </w:r>
      <w:r>
        <w:rPr/>
        <w:t>See</w:t>
      </w:r>
      <w:r>
        <w:rPr>
          <w:spacing w:val="13"/>
        </w:rPr>
        <w:t> </w:t>
      </w:r>
      <w:r>
        <w:rPr/>
        <w:t>[1962]</w:t>
      </w:r>
      <w:r>
        <w:rPr>
          <w:spacing w:val="13"/>
        </w:rPr>
        <w:t> </w:t>
      </w:r>
      <w:r>
        <w:rPr/>
        <w:t>Camb.</w:t>
      </w:r>
      <w:r>
        <w:rPr>
          <w:spacing w:val="13"/>
        </w:rPr>
        <w:t> </w:t>
      </w:r>
      <w:r>
        <w:rPr/>
        <w:t>L.J.</w:t>
      </w:r>
      <w:r>
        <w:rPr>
          <w:spacing w:val="13"/>
        </w:rPr>
        <w:t> </w:t>
      </w:r>
      <w:r>
        <w:rPr/>
        <w:t>12,</w:t>
      </w:r>
      <w:r>
        <w:rPr>
          <w:spacing w:val="13"/>
        </w:rPr>
        <w:t> </w:t>
      </w:r>
      <w:r>
        <w:rPr/>
        <w:t>213;</w:t>
      </w:r>
      <w:r>
        <w:rPr>
          <w:spacing w:val="13"/>
        </w:rPr>
        <w:t> </w:t>
      </w:r>
      <w:r>
        <w:rPr/>
        <w:t>(1962)</w:t>
      </w:r>
      <w:r>
        <w:rPr>
          <w:spacing w:val="13"/>
        </w:rPr>
        <w:t> </w:t>
      </w:r>
      <w:r>
        <w:rPr/>
        <w:t>78</w:t>
      </w:r>
      <w:r>
        <w:rPr>
          <w:spacing w:val="13"/>
        </w:rPr>
        <w:t> </w:t>
      </w:r>
      <w:r>
        <w:rPr/>
        <w:t>L.Q.R.</w:t>
      </w:r>
      <w:r>
        <w:rPr>
          <w:spacing w:val="13"/>
        </w:rPr>
        <w:t> </w:t>
      </w:r>
      <w:r>
        <w:rPr/>
        <w:t>263;</w:t>
      </w:r>
      <w:r>
        <w:rPr>
          <w:spacing w:val="13"/>
        </w:rPr>
        <w:t> </w:t>
      </w:r>
      <w:r>
        <w:rPr/>
        <w:t>(1962)</w:t>
      </w:r>
      <w:r>
        <w:rPr>
          <w:spacing w:val="13"/>
        </w:rPr>
        <w:t> </w:t>
      </w:r>
      <w:r>
        <w:rPr/>
        <w:t>25</w:t>
      </w:r>
      <w:r>
        <w:rPr>
          <w:spacing w:val="13"/>
        </w:rPr>
        <w:t> </w:t>
      </w:r>
      <w:r>
        <w:rPr/>
        <w:t>M.L.R.</w:t>
      </w:r>
      <w:r>
        <w:rPr>
          <w:spacing w:val="13"/>
        </w:rPr>
        <w:t> </w:t>
      </w:r>
      <w:r>
        <w:rPr/>
        <w:t>364.</w:t>
      </w:r>
      <w:r>
        <w:rPr>
          <w:spacing w:val="13"/>
        </w:rPr>
        <w:t> </w:t>
      </w:r>
      <w:r>
        <w:rPr/>
        <w:t>cf.</w:t>
      </w:r>
      <w:r>
        <w:rPr>
          <w:spacing w:val="13"/>
        </w:rPr>
        <w:t> </w:t>
      </w:r>
      <w:r>
        <w:rPr/>
        <w:t>the</w:t>
      </w:r>
      <w:r>
        <w:rPr>
          <w:spacing w:val="13"/>
        </w:rPr>
        <w:t> </w:t>
      </w:r>
      <w:r>
        <w:rPr>
          <w:spacing w:val="-2"/>
        </w:rPr>
        <w:t>American</w:t>
      </w:r>
    </w:p>
    <w:p>
      <w:pPr>
        <w:pStyle w:val="BodyText"/>
        <w:spacing w:line="235" w:lineRule="auto" w:before="1"/>
        <w:ind w:left="705"/>
      </w:pPr>
      <w:r>
        <w:rPr/>
        <w:t>Law</w:t>
      </w:r>
      <w:r>
        <w:rPr>
          <w:spacing w:val="40"/>
        </w:rPr>
        <w:t> </w:t>
      </w:r>
      <w:r>
        <w:rPr/>
        <w:t>Institute’s</w:t>
      </w:r>
      <w:r>
        <w:rPr>
          <w:spacing w:val="40"/>
        </w:rPr>
        <w:t> </w:t>
      </w:r>
      <w:r>
        <w:rPr/>
        <w:t>Restatement</w:t>
      </w:r>
      <w:r>
        <w:rPr>
          <w:spacing w:val="40"/>
        </w:rPr>
        <w:t> </w:t>
      </w:r>
      <w:r>
        <w:rPr/>
        <w:t>of</w:t>
      </w:r>
      <w:r>
        <w:rPr>
          <w:spacing w:val="40"/>
        </w:rPr>
        <w:t> </w:t>
      </w:r>
      <w:r>
        <w:rPr/>
        <w:t>the</w:t>
      </w:r>
      <w:r>
        <w:rPr>
          <w:spacing w:val="40"/>
        </w:rPr>
        <w:t> </w:t>
      </w:r>
      <w:r>
        <w:rPr/>
        <w:t>Law</w:t>
      </w:r>
      <w:r>
        <w:rPr>
          <w:spacing w:val="40"/>
        </w:rPr>
        <w:t> </w:t>
      </w:r>
      <w:r>
        <w:rPr/>
        <w:t>of</w:t>
      </w:r>
      <w:r>
        <w:rPr>
          <w:spacing w:val="40"/>
        </w:rPr>
        <w:t> </w:t>
      </w:r>
      <w:r>
        <w:rPr/>
        <w:t>Contracts,</w:t>
      </w:r>
      <w:r>
        <w:rPr>
          <w:spacing w:val="40"/>
        </w:rPr>
        <w:t> </w:t>
      </w:r>
      <w:r>
        <w:rPr/>
        <w:t>s.338,</w:t>
      </w:r>
      <w:r>
        <w:rPr>
          <w:spacing w:val="40"/>
        </w:rPr>
        <w:t> </w:t>
      </w:r>
      <w:r>
        <w:rPr/>
        <w:t>especially</w:t>
      </w:r>
      <w:r>
        <w:rPr>
          <w:spacing w:val="40"/>
        </w:rPr>
        <w:t> </w:t>
      </w:r>
      <w:r>
        <w:rPr/>
        <w:t>Comment</w:t>
      </w:r>
      <w:r>
        <w:rPr>
          <w:spacing w:val="40"/>
        </w:rPr>
        <w:t> </w:t>
      </w:r>
      <w:r>
        <w:rPr/>
        <w:t>(c).</w:t>
      </w:r>
      <w:r>
        <w:rPr>
          <w:spacing w:val="40"/>
        </w:rPr>
        <w:t> </w:t>
      </w:r>
      <w:r>
        <w:rPr/>
        <w:t>(See (1962) 78 L.Q.R. 263, 267.)</w:t>
      </w:r>
    </w:p>
    <w:p>
      <w:pPr>
        <w:pStyle w:val="BodyText"/>
        <w:spacing w:before="10"/>
      </w:pPr>
    </w:p>
    <w:p>
      <w:pPr>
        <w:pStyle w:val="BodyText"/>
        <w:tabs>
          <w:tab w:pos="705" w:val="left" w:leader="none"/>
        </w:tabs>
        <w:spacing w:line="235" w:lineRule="auto"/>
        <w:ind w:left="705" w:right="168" w:hanging="541"/>
      </w:pPr>
      <w:bookmarkStart w:name="_bookmark1144" w:id="1146"/>
      <w:bookmarkEnd w:id="1146"/>
      <w:r>
        <w:rPr/>
      </w:r>
      <w:hyperlink w:history="true" w:anchor="_bookmark1118">
        <w:r>
          <w:rPr>
            <w:color w:val="005DA1"/>
            <w:spacing w:val="-4"/>
            <w:position w:val="5"/>
            <w:sz w:val="14"/>
            <w:u w:val="single" w:color="005DA1"/>
          </w:rPr>
          <w:t>599</w:t>
        </w:r>
      </w:hyperlink>
      <w:r>
        <w:rPr>
          <w:spacing w:val="-4"/>
          <w:position w:val="5"/>
          <w:sz w:val="14"/>
        </w:rPr>
        <w:t>.</w:t>
      </w:r>
      <w:r>
        <w:rPr>
          <w:position w:val="5"/>
          <w:sz w:val="14"/>
        </w:rPr>
        <w:tab/>
      </w:r>
      <w:r>
        <w:rPr>
          <w:rFonts w:ascii="Arial"/>
          <w:i/>
        </w:rPr>
        <w:t>[1962]</w:t>
      </w:r>
      <w:r>
        <w:rPr>
          <w:rFonts w:ascii="Arial"/>
          <w:i/>
          <w:spacing w:val="60"/>
        </w:rPr>
        <w:t> </w:t>
      </w:r>
      <w:r>
        <w:rPr>
          <w:rFonts w:ascii="Arial"/>
          <w:i/>
        </w:rPr>
        <w:t>A.C.</w:t>
      </w:r>
      <w:r>
        <w:rPr>
          <w:rFonts w:ascii="Arial"/>
          <w:i/>
          <w:spacing w:val="60"/>
        </w:rPr>
        <w:t> </w:t>
      </w:r>
      <w:r>
        <w:rPr>
          <w:rFonts w:ascii="Arial"/>
          <w:i/>
        </w:rPr>
        <w:t>413,</w:t>
      </w:r>
      <w:r>
        <w:rPr>
          <w:rFonts w:ascii="Arial"/>
          <w:i/>
          <w:spacing w:val="60"/>
        </w:rPr>
        <w:t> </w:t>
      </w:r>
      <w:r>
        <w:rPr>
          <w:rFonts w:ascii="Arial"/>
          <w:i/>
        </w:rPr>
        <w:t>431</w:t>
      </w:r>
      <w:r>
        <w:rPr/>
        <w:t>.</w:t>
      </w:r>
      <w:r>
        <w:rPr>
          <w:spacing w:val="60"/>
        </w:rPr>
        <w:t> </w:t>
      </w:r>
      <w:r>
        <w:rPr/>
        <w:t>This</w:t>
      </w:r>
      <w:r>
        <w:rPr>
          <w:spacing w:val="60"/>
        </w:rPr>
        <w:t> </w:t>
      </w:r>
      <w:r>
        <w:rPr/>
        <w:t>standard</w:t>
      </w:r>
      <w:r>
        <w:rPr>
          <w:spacing w:val="60"/>
        </w:rPr>
        <w:t> </w:t>
      </w:r>
      <w:r>
        <w:rPr/>
        <w:t>could</w:t>
      </w:r>
      <w:r>
        <w:rPr>
          <w:spacing w:val="60"/>
        </w:rPr>
        <w:t> </w:t>
      </w:r>
      <w:r>
        <w:rPr/>
        <w:t>be</w:t>
      </w:r>
      <w:r>
        <w:rPr>
          <w:spacing w:val="60"/>
        </w:rPr>
        <w:t> </w:t>
      </w:r>
      <w:r>
        <w:rPr/>
        <w:t>interpreted</w:t>
      </w:r>
      <w:r>
        <w:rPr>
          <w:spacing w:val="60"/>
        </w:rPr>
        <w:t> </w:t>
      </w:r>
      <w:r>
        <w:rPr/>
        <w:t>so</w:t>
      </w:r>
      <w:r>
        <w:rPr>
          <w:spacing w:val="60"/>
        </w:rPr>
        <w:t> </w:t>
      </w:r>
      <w:r>
        <w:rPr/>
        <w:t>as</w:t>
      </w:r>
      <w:r>
        <w:rPr>
          <w:spacing w:val="60"/>
        </w:rPr>
        <w:t> </w:t>
      </w:r>
      <w:r>
        <w:rPr/>
        <w:t>to</w:t>
      </w:r>
      <w:r>
        <w:rPr>
          <w:spacing w:val="60"/>
        </w:rPr>
        <w:t> </w:t>
      </w:r>
      <w:r>
        <w:rPr/>
        <w:t>bring</w:t>
      </w:r>
      <w:r>
        <w:rPr>
          <w:spacing w:val="60"/>
        </w:rPr>
        <w:t> </w:t>
      </w:r>
      <w:r>
        <w:rPr/>
        <w:t>it</w:t>
      </w:r>
      <w:r>
        <w:rPr>
          <w:spacing w:val="60"/>
        </w:rPr>
        <w:t> </w:t>
      </w:r>
      <w:r>
        <w:rPr/>
        <w:t>close</w:t>
      </w:r>
      <w:r>
        <w:rPr>
          <w:spacing w:val="60"/>
        </w:rPr>
        <w:t> </w:t>
      </w:r>
      <w:r>
        <w:rPr/>
        <w:t>to</w:t>
      </w:r>
      <w:r>
        <w:rPr>
          <w:spacing w:val="60"/>
        </w:rPr>
        <w:t> </w:t>
      </w:r>
      <w:r>
        <w:rPr/>
        <w:t>the reasonableness standard in the mitigation rules.</w:t>
      </w:r>
    </w:p>
    <w:p>
      <w:pPr>
        <w:pStyle w:val="BodyText"/>
        <w:spacing w:after="0" w:line="235" w:lineRule="auto"/>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118">
        <w:r>
          <w:rPr>
            <w:color w:val="005DA1"/>
            <w:spacing w:val="-4"/>
            <w:sz w:val="14"/>
            <w:u w:val="single" w:color="005DA1"/>
          </w:rPr>
          <w:t>600</w:t>
        </w:r>
      </w:hyperlink>
      <w:r>
        <w:rPr>
          <w:spacing w:val="-4"/>
          <w:sz w:val="14"/>
        </w:rPr>
        <w:t>.</w:t>
      </w:r>
    </w:p>
    <w:p>
      <w:pPr>
        <w:spacing w:line="240" w:lineRule="auto" w:before="60"/>
        <w:rPr>
          <w:sz w:val="20"/>
        </w:rPr>
      </w:pPr>
      <w:r>
        <w:rPr/>
        <w:br w:type="column"/>
      </w:r>
      <w:r>
        <w:rPr>
          <w:sz w:val="20"/>
        </w:rPr>
      </w:r>
    </w:p>
    <w:p>
      <w:pPr>
        <w:spacing w:line="235" w:lineRule="auto" w:before="0"/>
        <w:ind w:left="165" w:right="167" w:firstLine="170"/>
        <w:jc w:val="both"/>
        <w:rPr>
          <w:sz w:val="20"/>
        </w:rPr>
      </w:pPr>
      <w:r>
        <w:rPr>
          <w:sz w:val="20"/>
        </w:rPr>
        <w:drawing>
          <wp:anchor distT="0" distB="0" distL="0" distR="0" allowOverlap="1" layoutInCell="1" locked="0" behindDoc="0" simplePos="0" relativeHeight="15794688">
            <wp:simplePos x="0" y="0"/>
            <wp:positionH relativeFrom="page">
              <wp:posOffset>1257846</wp:posOffset>
            </wp:positionH>
            <wp:positionV relativeFrom="paragraph">
              <wp:posOffset>25903</wp:posOffset>
            </wp:positionV>
            <wp:extent cx="107988" cy="107988"/>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Attica Sea Carriers Corp v Ferrostaal, etc., GmbH (The Puerto Buitrago) [1976] 1 </w:t>
      </w:r>
      <w:r>
        <w:rPr>
          <w:rFonts w:ascii="Arial" w:hAnsi="Arial"/>
          <w:i/>
          <w:sz w:val="20"/>
        </w:rPr>
        <w:t>Lloyd’s</w:t>
      </w:r>
      <w:r>
        <w:rPr>
          <w:rFonts w:ascii="Arial" w:hAnsi="Arial"/>
          <w:i/>
          <w:spacing w:val="40"/>
          <w:sz w:val="20"/>
        </w:rPr>
        <w:t> </w:t>
      </w:r>
      <w:r>
        <w:rPr>
          <w:rFonts w:ascii="Arial" w:hAnsi="Arial"/>
          <w:i/>
          <w:sz w:val="20"/>
        </w:rPr>
        <w:t>Rep. 250, 254–256</w:t>
      </w:r>
      <w:r>
        <w:rPr>
          <w:sz w:val="20"/>
        </w:rPr>
        <w:t>; </w:t>
      </w:r>
      <w:r>
        <w:rPr>
          <w:rFonts w:ascii="Arial" w:hAnsi="Arial"/>
          <w:i/>
          <w:sz w:val="20"/>
        </w:rPr>
        <w:t>Reichman v Beveridge [2006] EWCA Civ 1659 </w:t>
      </w:r>
      <w:r>
        <w:rPr>
          <w:sz w:val="20"/>
        </w:rPr>
        <w:t>(but held that landlord did have a legitimate interest in claiming rent from tenant who had no further use for property). Strictly speaking the point did not arise in </w:t>
      </w:r>
      <w:r>
        <w:rPr>
          <w:rFonts w:ascii="Arial" w:hAnsi="Arial"/>
          <w:i/>
          <w:sz w:val="20"/>
        </w:rPr>
        <w:t>MSC Mediterranean Shipping Co SA v Cottonex Anstalt [2016] EWCA Civ 789 </w:t>
      </w:r>
      <w:r>
        <w:rPr>
          <w:sz w:val="20"/>
        </w:rPr>
        <w:t>(see below, n.547), but the Court of Appeal clearly accepted the “legitimate interest” qualification as part of the law.</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5200">
            <wp:simplePos x="0" y="0"/>
            <wp:positionH relativeFrom="page">
              <wp:posOffset>1257846</wp:posOffset>
            </wp:positionH>
            <wp:positionV relativeFrom="paragraph">
              <wp:posOffset>160349</wp:posOffset>
            </wp:positionV>
            <wp:extent cx="107988" cy="107988"/>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45" w:id="1147"/>
      <w:bookmarkEnd w:id="1147"/>
      <w:r>
        <w:rPr/>
      </w:r>
      <w:hyperlink w:history="true" w:anchor="_bookmark1119">
        <w:r>
          <w:rPr>
            <w:color w:val="005DA1"/>
            <w:spacing w:val="-4"/>
            <w:sz w:val="14"/>
            <w:u w:val="single" w:color="005DA1"/>
          </w:rPr>
          <w:t>601</w:t>
        </w:r>
      </w:hyperlink>
      <w:r>
        <w:rPr>
          <w:spacing w:val="-4"/>
          <w:sz w:val="14"/>
        </w:rPr>
        <w:t>.</w:t>
      </w:r>
    </w:p>
    <w:p>
      <w:pPr>
        <w:spacing w:line="235" w:lineRule="auto" w:before="212"/>
        <w:ind w:left="165" w:right="0" w:firstLine="170"/>
        <w:jc w:val="left"/>
        <w:rPr>
          <w:sz w:val="20"/>
        </w:rPr>
      </w:pPr>
      <w:r>
        <w:rPr/>
        <w:br w:type="column"/>
      </w:r>
      <w:r>
        <w:rPr>
          <w:rFonts w:ascii="Arial"/>
          <w:i/>
          <w:sz w:val="20"/>
        </w:rPr>
        <w:t>Cavendish</w:t>
      </w:r>
      <w:r>
        <w:rPr>
          <w:rFonts w:ascii="Arial"/>
          <w:i/>
          <w:spacing w:val="26"/>
          <w:sz w:val="20"/>
        </w:rPr>
        <w:t> </w:t>
      </w:r>
      <w:r>
        <w:rPr>
          <w:rFonts w:ascii="Arial"/>
          <w:i/>
          <w:sz w:val="20"/>
        </w:rPr>
        <w:t>Square</w:t>
      </w:r>
      <w:r>
        <w:rPr>
          <w:rFonts w:ascii="Arial"/>
          <w:i/>
          <w:spacing w:val="26"/>
          <w:sz w:val="20"/>
        </w:rPr>
        <w:t> </w:t>
      </w:r>
      <w:r>
        <w:rPr>
          <w:rFonts w:ascii="Arial"/>
          <w:i/>
          <w:sz w:val="20"/>
        </w:rPr>
        <w:t>Holding</w:t>
      </w:r>
      <w:r>
        <w:rPr>
          <w:rFonts w:ascii="Arial"/>
          <w:i/>
          <w:spacing w:val="26"/>
          <w:sz w:val="20"/>
        </w:rPr>
        <w:t> </w:t>
      </w:r>
      <w:r>
        <w:rPr>
          <w:rFonts w:ascii="Arial"/>
          <w:i/>
          <w:sz w:val="20"/>
        </w:rPr>
        <w:t>BV</w:t>
      </w:r>
      <w:r>
        <w:rPr>
          <w:rFonts w:ascii="Arial"/>
          <w:i/>
          <w:spacing w:val="26"/>
          <w:sz w:val="20"/>
        </w:rPr>
        <w:t> </w:t>
      </w:r>
      <w:r>
        <w:rPr>
          <w:rFonts w:ascii="Arial"/>
          <w:i/>
          <w:sz w:val="20"/>
        </w:rPr>
        <w:t>v</w:t>
      </w:r>
      <w:r>
        <w:rPr>
          <w:rFonts w:ascii="Arial"/>
          <w:i/>
          <w:spacing w:val="26"/>
          <w:sz w:val="20"/>
        </w:rPr>
        <w:t> </w:t>
      </w:r>
      <w:r>
        <w:rPr>
          <w:rFonts w:ascii="Arial"/>
          <w:i/>
          <w:sz w:val="20"/>
        </w:rPr>
        <w:t>Makdessi</w:t>
      </w:r>
      <w:r>
        <w:rPr>
          <w:rFonts w:ascii="Arial"/>
          <w:i/>
          <w:spacing w:val="25"/>
          <w:sz w:val="20"/>
        </w:rPr>
        <w:t> </w:t>
      </w:r>
      <w:r>
        <w:rPr>
          <w:sz w:val="20"/>
        </w:rPr>
        <w:t>and</w:t>
      </w:r>
      <w:r>
        <w:rPr>
          <w:spacing w:val="26"/>
          <w:sz w:val="20"/>
        </w:rPr>
        <w:t> </w:t>
      </w:r>
      <w:r>
        <w:rPr>
          <w:rFonts w:ascii="Arial"/>
          <w:i/>
          <w:sz w:val="20"/>
        </w:rPr>
        <w:t>ParkingEye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Beavis</w:t>
      </w:r>
      <w:r>
        <w:rPr>
          <w:rFonts w:ascii="Arial"/>
          <w:i/>
          <w:spacing w:val="26"/>
          <w:sz w:val="20"/>
        </w:rPr>
        <w:t> </w:t>
      </w:r>
      <w:r>
        <w:rPr>
          <w:rFonts w:ascii="Arial"/>
          <w:i/>
          <w:sz w:val="20"/>
        </w:rPr>
        <w:t>[2015]</w:t>
      </w:r>
      <w:r>
        <w:rPr>
          <w:rFonts w:ascii="Arial"/>
          <w:i/>
          <w:spacing w:val="26"/>
          <w:sz w:val="20"/>
        </w:rPr>
        <w:t> </w:t>
      </w:r>
      <w:r>
        <w:rPr>
          <w:rFonts w:ascii="Arial"/>
          <w:i/>
          <w:sz w:val="20"/>
        </w:rPr>
        <w:t>UKSC</w:t>
      </w:r>
      <w:r>
        <w:rPr>
          <w:rFonts w:ascii="Arial"/>
          <w:i/>
          <w:spacing w:val="26"/>
          <w:sz w:val="20"/>
        </w:rPr>
        <w:t> </w:t>
      </w:r>
      <w:r>
        <w:rPr>
          <w:rFonts w:ascii="Arial"/>
          <w:i/>
          <w:sz w:val="20"/>
        </w:rPr>
        <w:t>67, [2016] A.C. 1172 </w:t>
      </w:r>
      <w:r>
        <w:rPr>
          <w:sz w:val="20"/>
        </w:rPr>
        <w:t>at [29].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1146" w:id="1148"/>
      <w:bookmarkEnd w:id="1148"/>
      <w:r>
        <w:rPr/>
      </w:r>
      <w:hyperlink w:history="true" w:anchor="_bookmark1120">
        <w:r>
          <w:rPr>
            <w:color w:val="005DA1"/>
            <w:position w:val="5"/>
            <w:sz w:val="14"/>
            <w:u w:val="single" w:color="005DA1"/>
          </w:rPr>
          <w:t>602</w:t>
        </w:r>
      </w:hyperlink>
      <w:r>
        <w:rPr>
          <w:position w:val="5"/>
          <w:sz w:val="14"/>
        </w:rPr>
        <w:t>.</w:t>
      </w:r>
      <w:r>
        <w:rPr>
          <w:spacing w:val="80"/>
          <w:w w:val="150"/>
          <w:position w:val="5"/>
          <w:sz w:val="14"/>
        </w:rPr>
        <w:t> </w:t>
      </w:r>
      <w:r>
        <w:rPr>
          <w:rFonts w:ascii="Arial"/>
          <w:i/>
          <w:sz w:val="20"/>
        </w:rPr>
        <w:t>Clea Shipping Corp v Bulk Oil International Ltd (The Alaskan Trader) [1984] 1 All E.R. 129</w:t>
      </w:r>
      <w:r>
        <w:rPr>
          <w:sz w:val="20"/>
        </w:rPr>
        <w:t>. In </w:t>
      </w:r>
      <w:r>
        <w:rPr>
          <w:rFonts w:ascii="Arial"/>
          <w:i/>
          <w:sz w:val="20"/>
        </w:rPr>
        <w:t>Ministry of Sound (Ireland) Ltd v World On-line Ltd [2003] EWHC 2178 (Ch), [2003] 2 All E.R. (Comm) 823 </w:t>
      </w:r>
      <w:r>
        <w:rPr>
          <w:sz w:val="20"/>
        </w:rPr>
        <w:t>the point was said not to arise.</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147" w:id="1149"/>
      <w:bookmarkEnd w:id="1149"/>
      <w:r>
        <w:rPr/>
      </w:r>
      <w:hyperlink w:history="true" w:anchor="_bookmark1121">
        <w:r>
          <w:rPr>
            <w:color w:val="005DA1"/>
            <w:spacing w:val="-4"/>
            <w:sz w:val="14"/>
            <w:u w:val="single" w:color="005DA1"/>
          </w:rPr>
          <w:t>603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Isabella Shipowner SA v Shagang Shipping Co Ltd (The Aquafaith) [2012] EWHC </w:t>
      </w:r>
      <w:r>
        <w:rPr>
          <w:rFonts w:ascii="Arial" w:hAnsi="Arial"/>
          <w:i/>
          <w:sz w:val="20"/>
        </w:rPr>
        <w:t>1077 (Comm), [2012] 2 Lloyd’s Rep. 61 </w:t>
      </w:r>
      <w:r>
        <w:rPr>
          <w:sz w:val="20"/>
        </w:rPr>
        <w:t>at [44]. The judge went on to hold that that the exception did not apply on the facts of the case, where the owner would be left “in a difficult market where a substitute time charter was impossible, and trading on the spot market very difficult” (at [56]). In </w:t>
      </w:r>
      <w:r>
        <w:rPr>
          <w:rFonts w:ascii="Arial" w:hAnsi="Arial"/>
          <w:i/>
          <w:sz w:val="20"/>
        </w:rPr>
        <w:t>Barclays Bank Plc v Unicredit Bank AG [2012] EWHC 3655 (Comm)</w:t>
      </w:r>
      <w:r>
        <w:rPr>
          <w:sz w:val="20"/>
        </w:rPr>
        <w:t>, Popplewell J. also accepted the “legitimate interest” limitation but held that the innocent party had a legitimate interest in performing (at [108]). cf. </w:t>
      </w:r>
      <w:r>
        <w:rPr>
          <w:rFonts w:ascii="Arial" w:hAnsi="Arial"/>
          <w:i/>
          <w:sz w:val="20"/>
        </w:rPr>
        <w:t>MSC Mediterranean Shipping Co SA v Cottonex Anstalt [2015] EWHC 283 (Comm) </w:t>
      </w:r>
      <w:r>
        <w:rPr>
          <w:sz w:val="20"/>
        </w:rPr>
        <w:t>at [94]–[105] (carrier had no legitimate interest in keeping contract</w:t>
      </w:r>
      <w:r>
        <w:rPr>
          <w:spacing w:val="40"/>
          <w:sz w:val="20"/>
        </w:rPr>
        <w:t> </w:t>
      </w:r>
      <w:r>
        <w:rPr>
          <w:sz w:val="20"/>
        </w:rPr>
        <w:t>in force in order to claim demurrage on containers). The Court of Appeal in that case (</w:t>
      </w:r>
      <w:r>
        <w:rPr>
          <w:rFonts w:ascii="Arial" w:hAnsi="Arial"/>
          <w:i/>
          <w:sz w:val="20"/>
        </w:rPr>
        <w:t>[2016] EWCA Civ 789, [2016] 2 Lloyd’s Rep. 494</w:t>
      </w:r>
      <w:r>
        <w:rPr>
          <w:sz w:val="20"/>
        </w:rPr>
        <w:t>) held that the issue did not arise because it was impossible</w:t>
      </w:r>
      <w:r>
        <w:rPr>
          <w:spacing w:val="-3"/>
          <w:sz w:val="20"/>
        </w:rPr>
        <w:t> </w:t>
      </w:r>
      <w:r>
        <w:rPr>
          <w:sz w:val="20"/>
        </w:rPr>
        <w:t>to</w:t>
      </w:r>
      <w:r>
        <w:rPr>
          <w:spacing w:val="-3"/>
          <w:sz w:val="20"/>
        </w:rPr>
        <w:t> </w:t>
      </w:r>
      <w:r>
        <w:rPr>
          <w:sz w:val="20"/>
        </w:rPr>
        <w:t>continue</w:t>
      </w:r>
      <w:r>
        <w:rPr>
          <w:spacing w:val="-3"/>
          <w:sz w:val="20"/>
        </w:rPr>
        <w:t> </w:t>
      </w:r>
      <w:r>
        <w:rPr>
          <w:sz w:val="20"/>
        </w:rPr>
        <w:t>to</w:t>
      </w:r>
      <w:r>
        <w:rPr>
          <w:spacing w:val="-3"/>
          <w:sz w:val="20"/>
        </w:rPr>
        <w:t> </w:t>
      </w:r>
      <w:r>
        <w:rPr>
          <w:sz w:val="20"/>
        </w:rPr>
        <w:t>perform</w:t>
      </w:r>
      <w:r>
        <w:rPr>
          <w:spacing w:val="-3"/>
          <w:sz w:val="20"/>
        </w:rPr>
        <w:t> </w:t>
      </w:r>
      <w:r>
        <w:rPr>
          <w:sz w:val="20"/>
        </w:rPr>
        <w:t>the</w:t>
      </w:r>
      <w:r>
        <w:rPr>
          <w:spacing w:val="-3"/>
          <w:sz w:val="20"/>
        </w:rPr>
        <w:t> </w:t>
      </w:r>
      <w:r>
        <w:rPr>
          <w:sz w:val="20"/>
        </w:rPr>
        <w:t>contract,</w:t>
      </w:r>
      <w:r>
        <w:rPr>
          <w:spacing w:val="-3"/>
          <w:sz w:val="20"/>
        </w:rPr>
        <w:t> </w:t>
      </w:r>
      <w:r>
        <w:rPr>
          <w:sz w:val="20"/>
        </w:rPr>
        <w:t>as</w:t>
      </w:r>
      <w:r>
        <w:rPr>
          <w:spacing w:val="-3"/>
          <w:sz w:val="20"/>
        </w:rPr>
        <w:t> </w:t>
      </w:r>
      <w:r>
        <w:rPr>
          <w:sz w:val="20"/>
        </w:rPr>
        <w:t>the</w:t>
      </w:r>
      <w:r>
        <w:rPr>
          <w:spacing w:val="-3"/>
          <w:sz w:val="20"/>
        </w:rPr>
        <w:t> </w:t>
      </w:r>
      <w:r>
        <w:rPr>
          <w:sz w:val="20"/>
        </w:rPr>
        <w:t>contractual</w:t>
      </w:r>
      <w:r>
        <w:rPr>
          <w:spacing w:val="-3"/>
          <w:sz w:val="20"/>
        </w:rPr>
        <w:t> </w:t>
      </w:r>
      <w:r>
        <w:rPr>
          <w:sz w:val="20"/>
        </w:rPr>
        <w:t>adventure</w:t>
      </w:r>
      <w:r>
        <w:rPr>
          <w:spacing w:val="-3"/>
          <w:sz w:val="20"/>
        </w:rPr>
        <w:t> </w:t>
      </w:r>
      <w:r>
        <w:rPr>
          <w:sz w:val="20"/>
        </w:rPr>
        <w:t>had</w:t>
      </w:r>
      <w:r>
        <w:rPr>
          <w:spacing w:val="-3"/>
          <w:sz w:val="20"/>
        </w:rPr>
        <w:t> </w:t>
      </w:r>
      <w:r>
        <w:rPr>
          <w:sz w:val="20"/>
        </w:rPr>
        <w:t>been</w:t>
      </w:r>
      <w:r>
        <w:rPr>
          <w:spacing w:val="-3"/>
          <w:sz w:val="20"/>
        </w:rPr>
        <w:t> </w:t>
      </w:r>
      <w:r>
        <w:rPr>
          <w:sz w:val="20"/>
        </w:rPr>
        <w:t>frustrated (at [41]) but agreed that had it been open to the carrier to affirm the contract, the carrier would have had no legitimate interest in continuing to insist on performance by the shipper (at [43]).</w:t>
      </w:r>
    </w:p>
    <w:p>
      <w:pPr>
        <w:pStyle w:val="BodyText"/>
        <w:spacing w:before="188"/>
      </w:pPr>
    </w:p>
    <w:p>
      <w:pPr>
        <w:spacing w:before="1"/>
        <w:ind w:left="0" w:right="544" w:firstLine="0"/>
        <w:jc w:val="center"/>
        <w:rPr>
          <w:sz w:val="14"/>
        </w:rPr>
      </w:pPr>
      <w:r>
        <w:rPr>
          <w:sz w:val="14"/>
        </w:rPr>
        <w:drawing>
          <wp:anchor distT="0" distB="0" distL="0" distR="0" allowOverlap="1" layoutInCell="1" locked="0" behindDoc="0" simplePos="0" relativeHeight="15795712">
            <wp:simplePos x="0" y="0"/>
            <wp:positionH relativeFrom="page">
              <wp:posOffset>1257846</wp:posOffset>
            </wp:positionH>
            <wp:positionV relativeFrom="paragraph">
              <wp:posOffset>-2100126</wp:posOffset>
            </wp:positionV>
            <wp:extent cx="107988" cy="107988"/>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BodyText"/>
      </w:pPr>
    </w:p>
    <w:p>
      <w:pPr>
        <w:pStyle w:val="BodyText"/>
        <w:spacing w:before="73"/>
      </w:pPr>
    </w:p>
    <w:p>
      <w:pPr>
        <w:pStyle w:val="BodyText"/>
        <w:ind w:left="3572"/>
      </w:pPr>
      <w:r>
        <w:rPr/>
        <w:drawing>
          <wp:inline distT="0" distB="0" distL="0" distR="0">
            <wp:extent cx="1393507" cy="329374"/>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33" cstate="print"/>
                    <a:stretch>
                      <a:fillRect/>
                    </a:stretch>
                  </pic:blipFill>
                  <pic:spPr>
                    <a:xfrm>
                      <a:off x="0" y="0"/>
                      <a:ext cx="1393507" cy="329374"/>
                    </a:xfrm>
                    <a:prstGeom prst="rect">
                      <a:avLst/>
                    </a:prstGeom>
                  </pic:spPr>
                </pic:pic>
              </a:graphicData>
            </a:graphic>
          </wp:inline>
        </w:drawing>
      </w:r>
      <w:r>
        <w:rPr/>
      </w:r>
    </w:p>
    <w:p>
      <w:pPr>
        <w:pStyle w:val="BodyText"/>
        <w:spacing w:after="0"/>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position w:val="11"/>
          <w:sz w:val="12"/>
        </w:rPr>
      </w:pPr>
      <w:r>
        <w:rPr>
          <w:rFonts w:ascii="Arial"/>
          <w:b/>
          <w:sz w:val="24"/>
        </w:rPr>
        <w:t>Section 7. - Remoteness of Damage and Assumption of Responsibility </w:t>
      </w:r>
      <w:r>
        <w:rPr>
          <w:rFonts w:ascii="Arial"/>
          <w:b/>
          <w:color w:val="005DA1"/>
          <w:spacing w:val="-5"/>
          <w:position w:val="11"/>
          <w:sz w:val="12"/>
          <w:u w:val="single" w:color="005DA1"/>
        </w:rPr>
        <w:t>604</w:t>
      </w:r>
    </w:p>
    <w:p>
      <w:pPr>
        <w:pStyle w:val="ListParagraph"/>
        <w:numPr>
          <w:ilvl w:val="0"/>
          <w:numId w:val="8"/>
        </w:numPr>
        <w:tabs>
          <w:tab w:pos="3971" w:val="left" w:leader="none"/>
        </w:tabs>
        <w:spacing w:line="240" w:lineRule="auto" w:before="194" w:after="0"/>
        <w:ind w:left="3971" w:right="0" w:hanging="360"/>
        <w:jc w:val="left"/>
        <w:rPr>
          <w:b/>
          <w:sz w:val="24"/>
        </w:rPr>
      </w:pPr>
      <w:r>
        <w:rPr>
          <w:b/>
          <w:sz w:val="24"/>
        </w:rPr>
        <w:t>- General </w:t>
      </w:r>
      <w:r>
        <w:rPr>
          <w:b/>
          <w:spacing w:val="-2"/>
          <w:sz w:val="24"/>
        </w:rPr>
        <w:t>Rules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107</w:t>
      </w:r>
    </w:p>
    <w:p>
      <w:pPr>
        <w:pStyle w:val="BodyText"/>
        <w:spacing w:line="235" w:lineRule="auto" w:before="202"/>
        <w:ind w:left="164" w:right="167"/>
        <w:jc w:val="both"/>
      </w:pPr>
      <w:bookmarkStart w:name="_bookmark1148" w:id="1150"/>
      <w:bookmarkEnd w:id="1150"/>
      <w:r>
        <w:rPr/>
      </w:r>
      <w:r>
        <w:rPr/>
        <w:t>The term “remoteness of damage” refers to the legal test used to decide which types of loss caused by the breach of contract may be compensated by an award of damages. </w:t>
      </w:r>
      <w:r>
        <w:rPr>
          <w:color w:val="005DA1"/>
          <w:u w:val="single" w:color="005DA1"/>
          <w:vertAlign w:val="superscript"/>
        </w:rPr>
        <w:t>605</w:t>
      </w:r>
      <w:r>
        <w:rPr>
          <w:color w:val="005DA1"/>
          <w:vertAlign w:val="baseline"/>
        </w:rPr>
        <w:t> </w:t>
      </w:r>
      <w:r>
        <w:rPr>
          <w:vertAlign w:val="baseline"/>
        </w:rPr>
        <w:t>The law supplies a standard test which specifies the extent of responsibility implicitly undertaken by the promisor. The parties may agree to depart from the standard. Thus in principle the promisor can agree that if </w:t>
      </w:r>
      <w:r>
        <w:rPr>
          <w:vertAlign w:val="baseline"/>
        </w:rPr>
        <w:t>he breaks the contract he will be responsible for some loss which the promise may suffer and which might otherwise be too remote to be recoverable; or (more commonly) the parties may agree that the </w:t>
      </w:r>
      <w:bookmarkStart w:name="_bookmark1149" w:id="1151"/>
      <w:bookmarkEnd w:id="1151"/>
      <w:r>
        <w:rPr>
          <w:vertAlign w:val="baseline"/>
        </w:rPr>
        <w:t>promisor</w:t>
      </w:r>
      <w:r>
        <w:rPr>
          <w:vertAlign w:val="baseline"/>
        </w:rPr>
        <w:t> will not be liable for a loss which otherwise would be recoverable. In either case, if the </w:t>
      </w:r>
      <w:bookmarkStart w:name="_bookmark1150" w:id="1152"/>
      <w:bookmarkEnd w:id="1152"/>
      <w:r>
        <w:rPr>
          <w:vertAlign w:val="baseline"/>
        </w:rPr>
        <w:t>fairness</w:t>
      </w:r>
      <w:r>
        <w:rPr>
          <w:vertAlign w:val="baseline"/>
        </w:rPr>
        <w:t> or reasonableness of the clause has to be assessed, </w:t>
      </w:r>
      <w:r>
        <w:rPr>
          <w:color w:val="005DA1"/>
          <w:u w:val="single" w:color="005DA1"/>
          <w:vertAlign w:val="superscript"/>
        </w:rPr>
        <w:t>606</w:t>
      </w:r>
      <w:r>
        <w:rPr>
          <w:color w:val="005DA1"/>
          <w:vertAlign w:val="baseline"/>
        </w:rPr>
        <w:t> </w:t>
      </w:r>
      <w:r>
        <w:rPr>
          <w:vertAlign w:val="baseline"/>
        </w:rPr>
        <w:t>an important factor will be the</w:t>
      </w:r>
      <w:r>
        <w:rPr>
          <w:spacing w:val="40"/>
          <w:vertAlign w:val="baseline"/>
        </w:rPr>
        <w:t> </w:t>
      </w:r>
      <w:r>
        <w:rPr>
          <w:vertAlign w:val="baseline"/>
        </w:rPr>
        <w:t>degree to which the agreement departs from the normal rule. </w:t>
      </w:r>
      <w:r>
        <w:rPr>
          <w:color w:val="005DA1"/>
          <w:u w:val="single" w:color="005DA1"/>
          <w:vertAlign w:val="superscript"/>
        </w:rPr>
        <w:t>607</w:t>
      </w:r>
      <w:r>
        <w:rPr>
          <w:color w:val="005DA1"/>
          <w:vertAlign w:val="baseline"/>
        </w:rPr>
        <w:t> </w:t>
      </w:r>
      <w:r>
        <w:rPr>
          <w:vertAlign w:val="baseline"/>
        </w:rPr>
        <w:t>There is a reciprocal allocation of risks; the precise legal test is examined below, but it can be said in general terms that the promisor implicitly accepts responsibility for the usual consequences of a breach of the promise in question, </w:t>
      </w:r>
      <w:bookmarkStart w:name="_bookmark1151" w:id="1153"/>
      <w:bookmarkEnd w:id="1153"/>
      <w:r>
        <w:rPr>
          <w:vertAlign w:val="baseline"/>
        </w:rPr>
        <w:t>while</w:t>
      </w:r>
      <w:r>
        <w:rPr>
          <w:vertAlign w:val="baseline"/>
        </w:rPr>
        <w:t> the promisee implicitly accepts the risk of any other consequences. (In other words, the promisee implicitly agrees not to hold the promisor responsible for unusual consequences.) </w:t>
      </w:r>
      <w:r>
        <w:rPr>
          <w:color w:val="005DA1"/>
          <w:u w:val="single" w:color="005DA1"/>
          <w:vertAlign w:val="superscript"/>
        </w:rPr>
        <w:t>608</w:t>
      </w:r>
      <w:r>
        <w:rPr>
          <w:color w:val="005DA1"/>
          <w:vertAlign w:val="baseline"/>
        </w:rPr>
        <w:t> </w:t>
      </w:r>
      <w:r>
        <w:rPr>
          <w:vertAlign w:val="baseline"/>
        </w:rPr>
        <w:t>The test seems ultimately to depend on the express or implied intention of the parties. However, until the </w:t>
      </w:r>
      <w:bookmarkStart w:name="_bookmark1152" w:id="1154"/>
      <w:bookmarkEnd w:id="1154"/>
      <w:r>
        <w:rPr>
          <w:vertAlign w:val="baseline"/>
        </w:rPr>
        <w:t>recent</w:t>
      </w:r>
      <w:r>
        <w:rPr>
          <w:vertAlign w:val="baseline"/>
        </w:rPr>
        <w:t> decision of the House of Lords in </w:t>
      </w:r>
      <w:r>
        <w:rPr>
          <w:rFonts w:ascii="Arial" w:hAnsi="Arial"/>
          <w:i/>
          <w:vertAlign w:val="baseline"/>
        </w:rPr>
        <w:t>Transfield Shipping Inc v Mercator Shipping Inc (The Achilleas) </w:t>
      </w:r>
      <w:r>
        <w:rPr>
          <w:color w:val="005DA1"/>
          <w:u w:val="single" w:color="005DA1"/>
          <w:vertAlign w:val="superscript"/>
        </w:rPr>
        <w:t>609</w:t>
      </w:r>
      <w:r>
        <w:rPr>
          <w:color w:val="005DA1"/>
          <w:vertAlign w:val="baseline"/>
        </w:rPr>
        <w:t> </w:t>
      </w:r>
      <w:r>
        <w:rPr>
          <w:vertAlign w:val="baseline"/>
        </w:rPr>
        <w:t>it seemed that responsibility for losses which occur “in the ordinary course of things” were treated slightly differently from those which were not likely to occur. In the cases of losses that occur in the ordinary course of things (or, to use another phrase, which “are not unusual”) it seemed that the promisor would be treated as accepting responsibility unless there was an explicit agreement to the contrary in the form of an exclusion or restriction of liability clause in the contract. In relation to </w:t>
      </w:r>
      <w:bookmarkStart w:name="_bookmark1153" w:id="1155"/>
      <w:bookmarkEnd w:id="1155"/>
      <w:r>
        <w:rPr>
          <w:vertAlign w:val="baseline"/>
        </w:rPr>
        <w:t>unusual</w:t>
      </w:r>
      <w:r>
        <w:rPr>
          <w:vertAlign w:val="baseline"/>
        </w:rPr>
        <w:t> kinds of loss, he was liable only if he was informed of the possibility in such a way that, by entering</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he</w:t>
      </w:r>
      <w:r>
        <w:rPr>
          <w:spacing w:val="-3"/>
          <w:vertAlign w:val="baseline"/>
        </w:rPr>
        <w:t> </w:t>
      </w:r>
      <w:r>
        <w:rPr>
          <w:vertAlign w:val="baseline"/>
        </w:rPr>
        <w:t>appeared</w:t>
      </w:r>
      <w:r>
        <w:rPr>
          <w:spacing w:val="-3"/>
          <w:vertAlign w:val="baseline"/>
        </w:rPr>
        <w:t> </w:t>
      </w:r>
      <w:r>
        <w:rPr>
          <w:vertAlign w:val="baseline"/>
        </w:rPr>
        <w:t>to</w:t>
      </w:r>
      <w:r>
        <w:rPr>
          <w:spacing w:val="-3"/>
          <w:vertAlign w:val="baseline"/>
        </w:rPr>
        <w:t> </w:t>
      </w:r>
      <w:r>
        <w:rPr>
          <w:vertAlign w:val="baseline"/>
        </w:rPr>
        <w:t>assume</w:t>
      </w:r>
      <w:r>
        <w:rPr>
          <w:spacing w:val="-3"/>
          <w:vertAlign w:val="baseline"/>
        </w:rPr>
        <w:t> </w:t>
      </w:r>
      <w:r>
        <w:rPr>
          <w:vertAlign w:val="baseline"/>
        </w:rPr>
        <w:t>responsibility</w:t>
      </w:r>
      <w:r>
        <w:rPr>
          <w:spacing w:val="-3"/>
          <w:vertAlign w:val="baseline"/>
        </w:rPr>
        <w:t> </w:t>
      </w:r>
      <w:r>
        <w:rPr>
          <w:vertAlign w:val="baseline"/>
        </w:rPr>
        <w:t>for</w:t>
      </w:r>
      <w:r>
        <w:rPr>
          <w:spacing w:val="-3"/>
          <w:vertAlign w:val="baseline"/>
        </w:rPr>
        <w:t> </w:t>
      </w:r>
      <w:r>
        <w:rPr>
          <w:vertAlign w:val="baseline"/>
        </w:rPr>
        <w:t>it.</w:t>
      </w:r>
      <w:r>
        <w:rPr>
          <w:spacing w:val="-4"/>
          <w:vertAlign w:val="baseline"/>
        </w:rPr>
        <w:t> </w:t>
      </w:r>
      <w:r>
        <w:rPr>
          <w:color w:val="005DA1"/>
          <w:u w:val="single" w:color="005DA1"/>
          <w:vertAlign w:val="superscript"/>
        </w:rPr>
        <w:t>610</w:t>
      </w:r>
      <w:r>
        <w:rPr>
          <w:color w:val="005DA1"/>
          <w:spacing w:val="-3"/>
          <w:vertAlign w:val="baseline"/>
        </w:rPr>
        <w:t> </w:t>
      </w:r>
      <w:r>
        <w:rPr>
          <w:vertAlign w:val="baseline"/>
        </w:rPr>
        <w:t>However,</w:t>
      </w:r>
      <w:r>
        <w:rPr>
          <w:spacing w:val="-3"/>
          <w:vertAlign w:val="baseline"/>
        </w:rPr>
        <w:t> </w:t>
      </w:r>
      <w:r>
        <w:rPr>
          <w:vertAlign w:val="baseline"/>
        </w:rPr>
        <w:t>following</w:t>
      </w:r>
      <w:r>
        <w:rPr>
          <w:spacing w:val="-3"/>
          <w:vertAlign w:val="baseline"/>
        </w:rPr>
        <w:t> </w:t>
      </w:r>
      <w:r>
        <w:rPr>
          <w:rFonts w:ascii="Arial" w:hAnsi="Arial"/>
          <w:i/>
          <w:vertAlign w:val="baseline"/>
        </w:rPr>
        <w:t>The</w:t>
      </w:r>
      <w:r>
        <w:rPr>
          <w:rFonts w:ascii="Arial" w:hAnsi="Arial"/>
          <w:i/>
          <w:spacing w:val="-3"/>
          <w:vertAlign w:val="baseline"/>
        </w:rPr>
        <w:t> </w:t>
      </w:r>
      <w:r>
        <w:rPr>
          <w:rFonts w:ascii="Arial" w:hAnsi="Arial"/>
          <w:i/>
          <w:vertAlign w:val="baseline"/>
        </w:rPr>
        <w:t>Achilleas </w:t>
      </w:r>
      <w:r>
        <w:rPr>
          <w:color w:val="005DA1"/>
          <w:u w:val="single" w:color="005DA1"/>
          <w:vertAlign w:val="superscript"/>
        </w:rPr>
        <w:t>611</w:t>
      </w:r>
      <w:r>
        <w:rPr>
          <w:color w:val="005DA1"/>
          <w:vertAlign w:val="baseline"/>
        </w:rPr>
        <w:t> </w:t>
      </w:r>
      <w:r>
        <w:rPr>
          <w:vertAlign w:val="baseline"/>
        </w:rPr>
        <w:t>it now seems that a defendant is not necessarily liable for losses, whether they were usual or unusual, merely because he knew or should have known that they were not unlikely to occur. A defendant will not be liable for losses in either category if he cannot reasonably be regarded as assuming responsibility for losses of the particular kind suffered. Thus even in cases in which the loss claimed is not of an unusual kind, the test of liability is no longer applied in a standardised fashion, depending on the principally factual questions of the likelihood or knowledge of the loss. However, judgments since </w:t>
      </w:r>
      <w:r>
        <w:rPr>
          <w:rFonts w:ascii="Arial" w:hAnsi="Arial"/>
          <w:i/>
          <w:vertAlign w:val="baseline"/>
        </w:rPr>
        <w:t>The Achilleas </w:t>
      </w:r>
      <w:r>
        <w:rPr>
          <w:vertAlign w:val="baseline"/>
        </w:rPr>
        <w:t>have emphasised that the decision in </w:t>
      </w:r>
      <w:r>
        <w:rPr>
          <w:rFonts w:ascii="Arial" w:hAnsi="Arial"/>
          <w:i/>
          <w:vertAlign w:val="baseline"/>
        </w:rPr>
        <w:t>The Achilleas </w:t>
      </w:r>
      <w:r>
        <w:rPr>
          <w:vertAlign w:val="baseline"/>
        </w:rPr>
        <w:t>has not brought about a major change: in the majority of cases in which a particular kind of loss was “not unusual” the </w:t>
      </w:r>
      <w:bookmarkStart w:name="_bookmark1154" w:id="1156"/>
      <w:bookmarkEnd w:id="1156"/>
      <w:r>
        <w:rPr>
          <w:vertAlign w:val="baseline"/>
        </w:rPr>
        <w:t>defendant</w:t>
      </w:r>
      <w:r>
        <w:rPr>
          <w:vertAlign w:val="baseline"/>
        </w:rPr>
        <w:t> will be treated as having assumed responsibility for it unless the contract contains an effective </w:t>
      </w:r>
      <w:r>
        <w:rPr>
          <w:color w:val="005DA1"/>
          <w:u w:val="single" w:color="005DA1"/>
          <w:vertAlign w:val="superscript"/>
        </w:rPr>
        <w:t>612</w:t>
      </w:r>
      <w:r>
        <w:rPr>
          <w:color w:val="005DA1"/>
          <w:vertAlign w:val="baseline"/>
        </w:rPr>
        <w:t> </w:t>
      </w:r>
      <w:r>
        <w:rPr>
          <w:vertAlign w:val="baseline"/>
        </w:rPr>
        <w:t>express term to the contrary.</w:t>
      </w:r>
    </w:p>
    <w:p>
      <w:pPr>
        <w:pStyle w:val="BodyText"/>
      </w:pPr>
    </w:p>
    <w:p>
      <w:pPr>
        <w:pStyle w:val="BodyText"/>
        <w:spacing w:before="27"/>
      </w:pPr>
    </w:p>
    <w:p>
      <w:pPr>
        <w:spacing w:before="0"/>
        <w:ind w:left="165" w:right="0" w:firstLine="0"/>
        <w:jc w:val="left"/>
        <w:rPr>
          <w:rFonts w:ascii="Arial"/>
          <w:b/>
          <w:sz w:val="18"/>
        </w:rPr>
      </w:pPr>
      <w:r>
        <w:rPr>
          <w:rFonts w:ascii="Arial"/>
          <w:b/>
          <w:sz w:val="18"/>
        </w:rPr>
        <w:t>A separate </w:t>
      </w:r>
      <w:r>
        <w:rPr>
          <w:rFonts w:ascii="Arial"/>
          <w:b/>
          <w:spacing w:val="-2"/>
          <w:sz w:val="18"/>
        </w:rPr>
        <w:t>rule?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108</w:t>
      </w:r>
    </w:p>
    <w:p>
      <w:pPr>
        <w:pStyle w:val="BodyText"/>
        <w:spacing w:before="199"/>
        <w:ind w:left="165"/>
        <w:jc w:val="both"/>
      </w:pPr>
      <w:r>
        <w:rPr/>
        <w:t>What</w:t>
      </w:r>
      <w:r>
        <w:rPr>
          <w:spacing w:val="41"/>
        </w:rPr>
        <w:t> </w:t>
      </w:r>
      <w:r>
        <w:rPr/>
        <w:t>is</w:t>
      </w:r>
      <w:r>
        <w:rPr>
          <w:spacing w:val="41"/>
        </w:rPr>
        <w:t> </w:t>
      </w:r>
      <w:r>
        <w:rPr/>
        <w:t>not</w:t>
      </w:r>
      <w:r>
        <w:rPr>
          <w:spacing w:val="41"/>
        </w:rPr>
        <w:t> </w:t>
      </w:r>
      <w:r>
        <w:rPr/>
        <w:t>clear</w:t>
      </w:r>
      <w:r>
        <w:rPr>
          <w:spacing w:val="41"/>
        </w:rPr>
        <w:t> </w:t>
      </w:r>
      <w:r>
        <w:rPr/>
        <w:t>is</w:t>
      </w:r>
      <w:r>
        <w:rPr>
          <w:spacing w:val="41"/>
        </w:rPr>
        <w:t> </w:t>
      </w:r>
      <w:r>
        <w:rPr/>
        <w:t>whether</w:t>
      </w:r>
      <w:r>
        <w:rPr>
          <w:spacing w:val="41"/>
        </w:rPr>
        <w:t> </w:t>
      </w:r>
      <w:r>
        <w:rPr/>
        <w:t>“assumption</w:t>
      </w:r>
      <w:r>
        <w:rPr>
          <w:spacing w:val="41"/>
        </w:rPr>
        <w:t> </w:t>
      </w:r>
      <w:r>
        <w:rPr/>
        <w:t>of</w:t>
      </w:r>
      <w:r>
        <w:rPr>
          <w:spacing w:val="41"/>
        </w:rPr>
        <w:t> </w:t>
      </w:r>
      <w:r>
        <w:rPr/>
        <w:t>responsibility”</w:t>
      </w:r>
      <w:r>
        <w:rPr>
          <w:spacing w:val="41"/>
        </w:rPr>
        <w:t> </w:t>
      </w:r>
      <w:r>
        <w:rPr/>
        <w:t>is</w:t>
      </w:r>
      <w:r>
        <w:rPr>
          <w:spacing w:val="41"/>
        </w:rPr>
        <w:t> </w:t>
      </w:r>
      <w:r>
        <w:rPr/>
        <w:t>just</w:t>
      </w:r>
      <w:r>
        <w:rPr>
          <w:spacing w:val="41"/>
        </w:rPr>
        <w:t> </w:t>
      </w:r>
      <w:r>
        <w:rPr/>
        <w:t>part</w:t>
      </w:r>
      <w:r>
        <w:rPr>
          <w:spacing w:val="41"/>
        </w:rPr>
        <w:t> </w:t>
      </w:r>
      <w:r>
        <w:rPr/>
        <w:t>of</w:t>
      </w:r>
      <w:r>
        <w:rPr>
          <w:spacing w:val="41"/>
        </w:rPr>
        <w:t> </w:t>
      </w:r>
      <w:r>
        <w:rPr/>
        <w:t>the</w:t>
      </w:r>
      <w:r>
        <w:rPr>
          <w:spacing w:val="41"/>
        </w:rPr>
        <w:t> </w:t>
      </w:r>
      <w:r>
        <w:rPr/>
        <w:t>remoteness</w:t>
      </w:r>
      <w:r>
        <w:rPr>
          <w:spacing w:val="41"/>
        </w:rPr>
        <w:t> </w:t>
      </w:r>
      <w:r>
        <w:rPr/>
        <w:t>test</w:t>
      </w:r>
      <w:r>
        <w:rPr>
          <w:spacing w:val="41"/>
        </w:rPr>
        <w:t> </w:t>
      </w:r>
      <w:r>
        <w:rPr>
          <w:spacing w:val="-5"/>
        </w:rPr>
        <w:t>or</w:t>
      </w:r>
    </w:p>
    <w:p>
      <w:pPr>
        <w:pStyle w:val="BodyText"/>
        <w:spacing w:after="0"/>
        <w:jc w:val="both"/>
        <w:sectPr>
          <w:headerReference w:type="default" r:id="rId34"/>
          <w:pgSz w:w="11900" w:h="16840"/>
          <w:pgMar w:header="971" w:footer="0" w:top="1300" w:bottom="280" w:left="1275" w:right="1275"/>
          <w:pgNumType w:start="1"/>
        </w:sectPr>
      </w:pPr>
    </w:p>
    <w:p>
      <w:pPr>
        <w:pStyle w:val="BodyText"/>
        <w:spacing w:line="235" w:lineRule="auto" w:before="210"/>
        <w:ind w:left="165" w:right="167"/>
        <w:jc w:val="both"/>
      </w:pPr>
      <w:r>
        <w:rPr/>
        <w:t>whether there are now two tests, the remoteness test and, in addition, whether in the </w:t>
      </w:r>
      <w:r>
        <w:rPr/>
        <w:t>particular circumstances it can be said that the defendant was implicitly undertaking responsibility. There are reasons for thinking there are two rules, as the question of whether a kind of loss was too remote has </w:t>
      </w:r>
      <w:bookmarkStart w:name="_bookmark1155" w:id="1157"/>
      <w:bookmarkEnd w:id="1157"/>
      <w:r>
        <w:rPr/>
        <w:t>been</w:t>
      </w:r>
      <w:r>
        <w:rPr/>
        <w:t> treated as a question of fact, whereas the question of whether there was an assumption of responsibility appears to be one of law. </w:t>
      </w:r>
      <w:r>
        <w:rPr>
          <w:color w:val="005DA1"/>
          <w:u w:val="single" w:color="005DA1"/>
          <w:vertAlign w:val="superscript"/>
        </w:rPr>
        <w:t>613</w:t>
      </w:r>
      <w:r>
        <w:rPr>
          <w:color w:val="005DA1"/>
          <w:vertAlign w:val="baseline"/>
        </w:rPr>
        <w:t> </w:t>
      </w:r>
      <w:r>
        <w:rPr>
          <w:vertAlign w:val="baseline"/>
        </w:rPr>
        <w:t>Even if there are two tests, remoteness and assumption of responsibility are so intertwined that it is helpful to discuss them both in this section of the chapter. However, it is easier to explain the current state of the law by beginning with the traditional test of remoteness, and then considering the effect of the requirement of assumption of responsibility.</w:t>
      </w:r>
    </w:p>
    <w:p>
      <w:pPr>
        <w:pStyle w:val="BodyText"/>
      </w:pPr>
    </w:p>
    <w:p>
      <w:pPr>
        <w:pStyle w:val="BodyText"/>
        <w:spacing w:before="37"/>
      </w:pPr>
      <w:r>
        <w:rPr/>
        <mc:AlternateContent>
          <mc:Choice Requires="wps">
            <w:drawing>
              <wp:anchor distT="0" distB="0" distL="0" distR="0" allowOverlap="1" layoutInCell="1" locked="0" behindDoc="1" simplePos="0" relativeHeight="487655424">
                <wp:simplePos x="0" y="0"/>
                <wp:positionH relativeFrom="page">
                  <wp:posOffset>914400</wp:posOffset>
                </wp:positionH>
                <wp:positionV relativeFrom="paragraph">
                  <wp:posOffset>185004</wp:posOffset>
                </wp:positionV>
                <wp:extent cx="5724525" cy="127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661056;mso-wrap-distance-left:0;mso-wrap-distance-right:0" id="docshape61"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hAnsi="Arial"/>
          <w:i/>
          <w:sz w:val="20"/>
        </w:rPr>
      </w:pPr>
      <w:hyperlink w:history="true" w:anchor="_bookmark1456">
        <w:r>
          <w:rPr>
            <w:color w:val="005DA1"/>
            <w:position w:val="5"/>
            <w:sz w:val="14"/>
            <w:u w:val="single" w:color="005DA1"/>
          </w:rPr>
          <w:t>604</w:t>
        </w:r>
      </w:hyperlink>
      <w:r>
        <w:rPr>
          <w:position w:val="5"/>
          <w:sz w:val="14"/>
        </w:rPr>
        <w:t>.</w:t>
      </w:r>
      <w:r>
        <w:rPr>
          <w:spacing w:val="80"/>
          <w:position w:val="5"/>
          <w:sz w:val="14"/>
        </w:rPr>
        <w:t>  </w:t>
      </w:r>
      <w:r>
        <w:rPr>
          <w:sz w:val="20"/>
        </w:rPr>
        <w:t>The</w:t>
      </w:r>
      <w:r>
        <w:rPr>
          <w:spacing w:val="-1"/>
          <w:sz w:val="20"/>
        </w:rPr>
        <w:t> </w:t>
      </w:r>
      <w:r>
        <w:rPr>
          <w:sz w:val="20"/>
        </w:rPr>
        <w:t>term</w:t>
      </w:r>
      <w:r>
        <w:rPr>
          <w:spacing w:val="-1"/>
          <w:sz w:val="20"/>
        </w:rPr>
        <w:t> </w:t>
      </w:r>
      <w:r>
        <w:rPr>
          <w:sz w:val="20"/>
        </w:rPr>
        <w:t>“remoteness</w:t>
      </w:r>
      <w:r>
        <w:rPr>
          <w:spacing w:val="-1"/>
          <w:sz w:val="20"/>
        </w:rPr>
        <w:t> </w:t>
      </w:r>
      <w:r>
        <w:rPr>
          <w:sz w:val="20"/>
        </w:rPr>
        <w:t>of</w:t>
      </w:r>
      <w:r>
        <w:rPr>
          <w:spacing w:val="-1"/>
          <w:sz w:val="20"/>
        </w:rPr>
        <w:t> </w:t>
      </w:r>
      <w:r>
        <w:rPr>
          <w:sz w:val="20"/>
        </w:rPr>
        <w:t>damage”</w:t>
      </w:r>
      <w:r>
        <w:rPr>
          <w:spacing w:val="-1"/>
          <w:sz w:val="20"/>
        </w:rPr>
        <w:t> </w:t>
      </w:r>
      <w:r>
        <w:rPr>
          <w:sz w:val="20"/>
        </w:rPr>
        <w:t>has</w:t>
      </w:r>
      <w:r>
        <w:rPr>
          <w:spacing w:val="-1"/>
          <w:sz w:val="20"/>
        </w:rPr>
        <w:t> </w:t>
      </w:r>
      <w:r>
        <w:rPr>
          <w:sz w:val="20"/>
        </w:rPr>
        <w:t>been</w:t>
      </w:r>
      <w:r>
        <w:rPr>
          <w:spacing w:val="-1"/>
          <w:sz w:val="20"/>
        </w:rPr>
        <w:t> </w:t>
      </w:r>
      <w:r>
        <w:rPr>
          <w:sz w:val="20"/>
        </w:rPr>
        <w:t>distinguished</w:t>
      </w:r>
      <w:r>
        <w:rPr>
          <w:spacing w:val="-1"/>
          <w:sz w:val="20"/>
        </w:rPr>
        <w:t> </w:t>
      </w:r>
      <w:r>
        <w:rPr>
          <w:sz w:val="20"/>
        </w:rPr>
        <w:t>from</w:t>
      </w:r>
      <w:r>
        <w:rPr>
          <w:spacing w:val="-1"/>
          <w:sz w:val="20"/>
        </w:rPr>
        <w:t> </w:t>
      </w:r>
      <w:r>
        <w:rPr>
          <w:sz w:val="20"/>
        </w:rPr>
        <w:t>the</w:t>
      </w:r>
      <w:r>
        <w:rPr>
          <w:spacing w:val="-1"/>
          <w:sz w:val="20"/>
        </w:rPr>
        <w:t> </w:t>
      </w:r>
      <w:r>
        <w:rPr>
          <w:sz w:val="20"/>
        </w:rPr>
        <w:t>term</w:t>
      </w:r>
      <w:r>
        <w:rPr>
          <w:spacing w:val="-1"/>
          <w:sz w:val="20"/>
        </w:rPr>
        <w:t> </w:t>
      </w:r>
      <w:r>
        <w:rPr>
          <w:sz w:val="20"/>
        </w:rPr>
        <w:t>“measure</w:t>
      </w:r>
      <w:r>
        <w:rPr>
          <w:spacing w:val="-1"/>
          <w:sz w:val="20"/>
        </w:rPr>
        <w:t> </w:t>
      </w:r>
      <w:r>
        <w:rPr>
          <w:sz w:val="20"/>
        </w:rPr>
        <w:t>of</w:t>
      </w:r>
      <w:r>
        <w:rPr>
          <w:spacing w:val="-1"/>
          <w:sz w:val="20"/>
        </w:rPr>
        <w:t> </w:t>
      </w:r>
      <w:r>
        <w:rPr>
          <w:sz w:val="20"/>
        </w:rPr>
        <w:t>damages” (or “quantification”), the former referring to the rules as to which types of consequences or losses may be compensated, the latter to the method of assessing in money the compensation for a particular consequence or loss which has been held to be not too remote. In </w:t>
      </w:r>
      <w:r>
        <w:rPr>
          <w:rFonts w:ascii="Arial" w:hAnsi="Arial"/>
          <w:i/>
          <w:sz w:val="20"/>
        </w:rPr>
        <w:t>Wroth v Tyler [1974] Ch. 30, 60–62 </w:t>
      </w:r>
      <w:r>
        <w:rPr>
          <w:sz w:val="20"/>
        </w:rPr>
        <w:t>(below, para.26-116) it was held that the parties need not have contemplated the quantum of damage; see also </w:t>
      </w:r>
      <w:r>
        <w:rPr>
          <w:rFonts w:ascii="Arial" w:hAnsi="Arial"/>
          <w:i/>
          <w:sz w:val="20"/>
        </w:rPr>
        <w:t>Vacwell Engineering Co Ltd v B.D.H. Chemicals</w:t>
      </w:r>
      <w:r>
        <w:rPr>
          <w:rFonts w:ascii="Arial" w:hAnsi="Arial"/>
          <w:i/>
          <w:spacing w:val="-1"/>
          <w:sz w:val="20"/>
        </w:rPr>
        <w:t> </w:t>
      </w:r>
      <w:r>
        <w:rPr>
          <w:rFonts w:ascii="Arial" w:hAnsi="Arial"/>
          <w:i/>
          <w:sz w:val="20"/>
        </w:rPr>
        <w:t>Ltd [1971] Q.B. 88, 110</w:t>
      </w:r>
      <w:r>
        <w:rPr>
          <w:sz w:val="20"/>
        </w:rPr>
        <w:t>; </w:t>
      </w:r>
      <w:r>
        <w:rPr>
          <w:rFonts w:ascii="Arial" w:hAnsi="Arial"/>
          <w:i/>
          <w:sz w:val="20"/>
        </w:rPr>
        <w:t>H. Parsons (Livestock) Ltd v Uttley, Ingham &amp; Co Ltd </w:t>
      </w:r>
      <w:r>
        <w:rPr>
          <w:rFonts w:ascii="Arial" w:hAnsi="Arial"/>
          <w:i/>
          <w:spacing w:val="-2"/>
          <w:sz w:val="20"/>
        </w:rPr>
        <w:t>[1978]</w:t>
      </w:r>
    </w:p>
    <w:p>
      <w:pPr>
        <w:spacing w:line="235" w:lineRule="auto" w:before="0"/>
        <w:ind w:left="705" w:right="167" w:firstLine="0"/>
        <w:jc w:val="both"/>
        <w:rPr>
          <w:rFonts w:ascii="Arial"/>
          <w:i/>
          <w:sz w:val="20"/>
        </w:rPr>
      </w:pPr>
      <w:r>
        <w:rPr>
          <w:rFonts w:ascii="Arial"/>
          <w:i/>
          <w:sz w:val="20"/>
        </w:rPr>
        <w:t>Q.B. 791, 805, 813</w:t>
      </w:r>
      <w:r>
        <w:rPr>
          <w:sz w:val="20"/>
        </w:rPr>
        <w:t>. It seems that in principle the distinction is between the type or kind of </w:t>
      </w:r>
      <w:r>
        <w:rPr>
          <w:sz w:val="20"/>
        </w:rPr>
        <w:t>loss (see</w:t>
      </w:r>
      <w:r>
        <w:rPr>
          <w:spacing w:val="-1"/>
          <w:sz w:val="20"/>
        </w:rPr>
        <w:t> </w:t>
      </w:r>
      <w:r>
        <w:rPr>
          <w:sz w:val="20"/>
        </w:rPr>
        <w:t>below,</w:t>
      </w:r>
      <w:r>
        <w:rPr>
          <w:spacing w:val="-1"/>
          <w:sz w:val="20"/>
        </w:rPr>
        <w:t> </w:t>
      </w:r>
      <w:r>
        <w:rPr>
          <w:sz w:val="20"/>
        </w:rPr>
        <w:t>para.26-116)</w:t>
      </w:r>
      <w:r>
        <w:rPr>
          <w:spacing w:val="-1"/>
          <w:sz w:val="20"/>
        </w:rPr>
        <w:t> </w:t>
      </w:r>
      <w:r>
        <w:rPr>
          <w:sz w:val="20"/>
        </w:rPr>
        <w:t>and</w:t>
      </w:r>
      <w:r>
        <w:rPr>
          <w:spacing w:val="-1"/>
          <w:sz w:val="20"/>
        </w:rPr>
        <w:t> </w:t>
      </w:r>
      <w:r>
        <w:rPr>
          <w:sz w:val="20"/>
        </w:rPr>
        <w:t>its</w:t>
      </w:r>
      <w:r>
        <w:rPr>
          <w:spacing w:val="-1"/>
          <w:sz w:val="20"/>
        </w:rPr>
        <w:t> </w:t>
      </w:r>
      <w:r>
        <w:rPr>
          <w:sz w:val="20"/>
        </w:rPr>
        <w:t>amount</w:t>
      </w:r>
      <w:r>
        <w:rPr>
          <w:spacing w:val="-1"/>
          <w:sz w:val="20"/>
        </w:rPr>
        <w:t> </w:t>
      </w:r>
      <w:r>
        <w:rPr>
          <w:sz w:val="20"/>
        </w:rPr>
        <w:t>or</w:t>
      </w:r>
      <w:r>
        <w:rPr>
          <w:spacing w:val="-1"/>
          <w:sz w:val="20"/>
        </w:rPr>
        <w:t> </w:t>
      </w:r>
      <w:r>
        <w:rPr>
          <w:sz w:val="20"/>
        </w:rPr>
        <w:t>the</w:t>
      </w:r>
      <w:r>
        <w:rPr>
          <w:spacing w:val="-1"/>
          <w:sz w:val="20"/>
        </w:rPr>
        <w:t> </w:t>
      </w:r>
      <w:r>
        <w:rPr>
          <w:sz w:val="20"/>
        </w:rPr>
        <w:t>precise</w:t>
      </w:r>
      <w:r>
        <w:rPr>
          <w:spacing w:val="-1"/>
          <w:sz w:val="20"/>
        </w:rPr>
        <w:t> </w:t>
      </w:r>
      <w:r>
        <w:rPr>
          <w:sz w:val="20"/>
        </w:rPr>
        <w:t>way</w:t>
      </w:r>
      <w:r>
        <w:rPr>
          <w:spacing w:val="-1"/>
          <w:sz w:val="20"/>
        </w:rPr>
        <w:t> </w:t>
      </w:r>
      <w:r>
        <w:rPr>
          <w:sz w:val="20"/>
        </w:rPr>
        <w:t>in</w:t>
      </w:r>
      <w:r>
        <w:rPr>
          <w:spacing w:val="-1"/>
          <w:sz w:val="20"/>
        </w:rPr>
        <w:t> </w:t>
      </w:r>
      <w:r>
        <w:rPr>
          <w:sz w:val="20"/>
        </w:rPr>
        <w:t>which</w:t>
      </w:r>
      <w:r>
        <w:rPr>
          <w:spacing w:val="-1"/>
          <w:sz w:val="20"/>
        </w:rPr>
        <w:t> </w:t>
      </w:r>
      <w:r>
        <w:rPr>
          <w:sz w:val="20"/>
        </w:rPr>
        <w:t>it</w:t>
      </w:r>
      <w:r>
        <w:rPr>
          <w:spacing w:val="-1"/>
          <w:sz w:val="20"/>
        </w:rPr>
        <w:t> </w:t>
      </w:r>
      <w:r>
        <w:rPr>
          <w:sz w:val="20"/>
        </w:rPr>
        <w:t>occurred,</w:t>
      </w:r>
      <w:r>
        <w:rPr>
          <w:spacing w:val="-1"/>
          <w:sz w:val="20"/>
        </w:rPr>
        <w:t> </w:t>
      </w:r>
      <w:r>
        <w:rPr>
          <w:sz w:val="20"/>
        </w:rPr>
        <w:t>but</w:t>
      </w:r>
      <w:r>
        <w:rPr>
          <w:spacing w:val="-1"/>
          <w:sz w:val="20"/>
        </w:rPr>
        <w:t> </w:t>
      </w:r>
      <w:r>
        <w:rPr>
          <w:sz w:val="20"/>
        </w:rPr>
        <w:t>we</w:t>
      </w:r>
      <w:r>
        <w:rPr>
          <w:spacing w:val="-1"/>
          <w:sz w:val="20"/>
        </w:rPr>
        <w:t> </w:t>
      </w:r>
      <w:r>
        <w:rPr>
          <w:sz w:val="20"/>
        </w:rPr>
        <w:t>will</w:t>
      </w:r>
      <w:r>
        <w:rPr>
          <w:spacing w:val="-1"/>
          <w:sz w:val="20"/>
        </w:rPr>
        <w:t> </w:t>
      </w:r>
      <w:r>
        <w:rPr>
          <w:sz w:val="20"/>
        </w:rPr>
        <w:t>see that in contract cases the courts have sometimes drawn narrow distinctions between different types</w:t>
      </w:r>
      <w:r>
        <w:rPr>
          <w:spacing w:val="26"/>
          <w:sz w:val="20"/>
        </w:rPr>
        <w:t> </w:t>
      </w:r>
      <w:r>
        <w:rPr>
          <w:sz w:val="20"/>
        </w:rPr>
        <w:t>of</w:t>
      </w:r>
      <w:r>
        <w:rPr>
          <w:spacing w:val="26"/>
          <w:sz w:val="20"/>
        </w:rPr>
        <w:t> </w:t>
      </w:r>
      <w:r>
        <w:rPr>
          <w:sz w:val="20"/>
        </w:rPr>
        <w:t>loss</w:t>
      </w:r>
      <w:r>
        <w:rPr>
          <w:spacing w:val="26"/>
          <w:sz w:val="20"/>
        </w:rPr>
        <w:t> </w:t>
      </w:r>
      <w:r>
        <w:rPr>
          <w:sz w:val="20"/>
        </w:rPr>
        <w:t>of</w:t>
      </w:r>
      <w:r>
        <w:rPr>
          <w:spacing w:val="26"/>
          <w:sz w:val="20"/>
        </w:rPr>
        <w:t> </w:t>
      </w:r>
      <w:r>
        <w:rPr>
          <w:sz w:val="20"/>
        </w:rPr>
        <w:t>profit</w:t>
      </w:r>
      <w:r>
        <w:rPr>
          <w:spacing w:val="26"/>
          <w:sz w:val="20"/>
        </w:rPr>
        <w:t> </w:t>
      </w:r>
      <w:r>
        <w:rPr>
          <w:sz w:val="20"/>
        </w:rPr>
        <w:t>(e.g.</w:t>
      </w:r>
      <w:r>
        <w:rPr>
          <w:spacing w:val="26"/>
          <w:sz w:val="20"/>
        </w:rPr>
        <w:t> </w:t>
      </w:r>
      <w:r>
        <w:rPr>
          <w:rFonts w:ascii="Arial"/>
          <w:i/>
          <w:sz w:val="20"/>
        </w:rPr>
        <w:t>Victoria</w:t>
      </w:r>
      <w:r>
        <w:rPr>
          <w:rFonts w:ascii="Arial"/>
          <w:i/>
          <w:spacing w:val="26"/>
          <w:sz w:val="20"/>
        </w:rPr>
        <w:t> </w:t>
      </w:r>
      <w:r>
        <w:rPr>
          <w:rFonts w:ascii="Arial"/>
          <w:i/>
          <w:sz w:val="20"/>
        </w:rPr>
        <w:t>Laundry</w:t>
      </w:r>
      <w:r>
        <w:rPr>
          <w:rFonts w:ascii="Arial"/>
          <w:i/>
          <w:spacing w:val="26"/>
          <w:sz w:val="20"/>
        </w:rPr>
        <w:t> </w:t>
      </w:r>
      <w:r>
        <w:rPr>
          <w:rFonts w:ascii="Arial"/>
          <w:i/>
          <w:sz w:val="20"/>
        </w:rPr>
        <w:t>(Windsor)</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Newman</w:t>
      </w:r>
      <w:r>
        <w:rPr>
          <w:rFonts w:ascii="Arial"/>
          <w:i/>
          <w:spacing w:val="26"/>
          <w:sz w:val="20"/>
        </w:rPr>
        <w:t> </w:t>
      </w:r>
      <w:r>
        <w:rPr>
          <w:rFonts w:ascii="Arial"/>
          <w:i/>
          <w:sz w:val="20"/>
        </w:rPr>
        <w:t>Industries</w:t>
      </w:r>
      <w:r>
        <w:rPr>
          <w:rFonts w:ascii="Arial"/>
          <w:i/>
          <w:spacing w:val="26"/>
          <w:sz w:val="20"/>
        </w:rPr>
        <w:t> </w:t>
      </w:r>
      <w:r>
        <w:rPr>
          <w:rFonts w:ascii="Arial"/>
          <w:i/>
          <w:sz w:val="20"/>
        </w:rPr>
        <w:t>Ltd</w:t>
      </w:r>
      <w:r>
        <w:rPr>
          <w:rFonts w:ascii="Arial"/>
          <w:i/>
          <w:spacing w:val="26"/>
          <w:sz w:val="20"/>
        </w:rPr>
        <w:t> </w:t>
      </w:r>
      <w:r>
        <w:rPr>
          <w:rFonts w:ascii="Arial"/>
          <w:i/>
          <w:sz w:val="20"/>
        </w:rPr>
        <w:t>[1949]</w:t>
      </w:r>
      <w:r>
        <w:rPr>
          <w:rFonts w:ascii="Arial"/>
          <w:i/>
          <w:spacing w:val="26"/>
          <w:sz w:val="20"/>
        </w:rPr>
        <w:t> </w:t>
      </w:r>
      <w:r>
        <w:rPr>
          <w:rFonts w:ascii="Arial"/>
          <w:i/>
          <w:spacing w:val="-10"/>
          <w:sz w:val="20"/>
        </w:rPr>
        <w:t>2</w:t>
      </w:r>
    </w:p>
    <w:p>
      <w:pPr>
        <w:spacing w:line="235" w:lineRule="auto" w:before="0"/>
        <w:ind w:left="705" w:right="167" w:firstLine="0"/>
        <w:jc w:val="both"/>
        <w:rPr>
          <w:sz w:val="20"/>
        </w:rPr>
      </w:pPr>
      <w:r>
        <w:rPr>
          <w:rFonts w:ascii="Arial" w:hAnsi="Arial"/>
          <w:i/>
          <w:sz w:val="20"/>
        </w:rPr>
        <w:t>K.B. 528</w:t>
      </w:r>
      <w:r>
        <w:rPr>
          <w:sz w:val="20"/>
        </w:rPr>
        <w:t>, see below, para.26-114) and different ways in which loss of profit might have</w:t>
      </w:r>
      <w:r>
        <w:rPr>
          <w:spacing w:val="40"/>
          <w:sz w:val="20"/>
        </w:rPr>
        <w:t> </w:t>
      </w:r>
      <w:r>
        <w:rPr>
          <w:sz w:val="20"/>
        </w:rPr>
        <w:t>occurred (e.g. the speeches of Lord Rodger, Lord Walker and Baroness Hale in </w:t>
      </w:r>
      <w:r>
        <w:rPr>
          <w:rFonts w:ascii="Arial" w:hAnsi="Arial"/>
          <w:i/>
          <w:sz w:val="20"/>
        </w:rPr>
        <w:t>Transfield Shipping Inc v Mercator Shipping Inc (The Achilleas) [2008] UKHL 48, [2009] 1 A.C. 61</w:t>
      </w:r>
      <w:r>
        <w:rPr>
          <w:sz w:val="20"/>
        </w:rPr>
        <w:t>, see below, para.26-128). The distinction between remoteness and quantum is also drawn for the purposes of conflicts of laws: Cheshire and North, </w:t>
      </w:r>
      <w:r>
        <w:rPr>
          <w:rFonts w:ascii="Arial" w:hAnsi="Arial"/>
          <w:i/>
          <w:sz w:val="20"/>
        </w:rPr>
        <w:t>Private International Law</w:t>
      </w:r>
      <w:r>
        <w:rPr>
          <w:sz w:val="20"/>
        </w:rPr>
        <w:t>, 5th edn, pp.708–712 (approved in </w:t>
      </w:r>
      <w:r>
        <w:rPr>
          <w:rFonts w:ascii="Arial" w:hAnsi="Arial"/>
          <w:i/>
          <w:sz w:val="20"/>
        </w:rPr>
        <w:t>D’Almeida Araujo v Becker [1953] 2 Q.B. 329</w:t>
      </w:r>
      <w:r>
        <w:rPr>
          <w:sz w:val="20"/>
        </w:rPr>
        <w:t>; see now 14th edition</w:t>
      </w:r>
      <w:r>
        <w:rPr>
          <w:spacing w:val="40"/>
          <w:sz w:val="20"/>
        </w:rPr>
        <w:t> </w:t>
      </w:r>
      <w:r>
        <w:rPr>
          <w:sz w:val="20"/>
        </w:rPr>
        <w:t>by Cheshire, North and Fawcett, pp.96–97). This distinction has not always found favour with the courts in a domestic case: see </w:t>
      </w:r>
      <w:r>
        <w:rPr>
          <w:rFonts w:ascii="Arial" w:hAnsi="Arial"/>
          <w:i/>
          <w:sz w:val="20"/>
        </w:rPr>
        <w:t>Handel (NV) My. J. Smits Import-Export v English Exporters Ltd [1955] 2 Lloyd’s Rep. 69, 72</w:t>
      </w:r>
      <w:r>
        <w:rPr>
          <w:sz w:val="20"/>
        </w:rPr>
        <w:t>; affirmed at 317; </w:t>
      </w:r>
      <w:r>
        <w:rPr>
          <w:rFonts w:ascii="Arial" w:hAnsi="Arial"/>
          <w:i/>
          <w:sz w:val="20"/>
        </w:rPr>
        <w:t>Boys v Chaplin [1968] 2 Q.B. 1, 31</w:t>
      </w:r>
      <w:r>
        <w:rPr>
          <w:sz w:val="20"/>
        </w:rPr>
        <w:t>; but the distinction has been accepted in a conflict of laws problem: </w:t>
      </w:r>
      <w:r>
        <w:rPr>
          <w:rFonts w:ascii="Arial" w:hAnsi="Arial"/>
          <w:i/>
          <w:sz w:val="20"/>
        </w:rPr>
        <w:t>Boys v Chaplin [1971] A.C. 356, 378–379,</w:t>
      </w:r>
      <w:r>
        <w:rPr>
          <w:rFonts w:ascii="Arial" w:hAnsi="Arial"/>
          <w:i/>
          <w:spacing w:val="4"/>
          <w:sz w:val="20"/>
        </w:rPr>
        <w:t> </w:t>
      </w:r>
      <w:r>
        <w:rPr>
          <w:rFonts w:ascii="Arial" w:hAnsi="Arial"/>
          <w:i/>
          <w:sz w:val="20"/>
        </w:rPr>
        <w:t>382–383,</w:t>
      </w:r>
      <w:r>
        <w:rPr>
          <w:rFonts w:ascii="Arial" w:hAnsi="Arial"/>
          <w:i/>
          <w:spacing w:val="5"/>
          <w:sz w:val="20"/>
        </w:rPr>
        <w:t> </w:t>
      </w:r>
      <w:r>
        <w:rPr>
          <w:rFonts w:ascii="Arial" w:hAnsi="Arial"/>
          <w:i/>
          <w:sz w:val="20"/>
        </w:rPr>
        <w:t>392–393,</w:t>
      </w:r>
      <w:r>
        <w:rPr>
          <w:rFonts w:ascii="Arial" w:hAnsi="Arial"/>
          <w:i/>
          <w:spacing w:val="5"/>
          <w:sz w:val="20"/>
        </w:rPr>
        <w:t> </w:t>
      </w:r>
      <w:r>
        <w:rPr>
          <w:rFonts w:ascii="Arial" w:hAnsi="Arial"/>
          <w:i/>
          <w:sz w:val="20"/>
        </w:rPr>
        <w:t>394</w:t>
      </w:r>
      <w:r>
        <w:rPr>
          <w:sz w:val="20"/>
        </w:rPr>
        <w:t>.</w:t>
      </w:r>
      <w:r>
        <w:rPr>
          <w:spacing w:val="5"/>
          <w:sz w:val="20"/>
        </w:rPr>
        <w:t> </w:t>
      </w:r>
      <w:r>
        <w:rPr>
          <w:sz w:val="20"/>
        </w:rPr>
        <w:t>In</w:t>
      </w:r>
      <w:r>
        <w:rPr>
          <w:spacing w:val="5"/>
          <w:sz w:val="20"/>
        </w:rPr>
        <w:t> </w:t>
      </w:r>
      <w:r>
        <w:rPr>
          <w:rFonts w:ascii="Arial" w:hAnsi="Arial"/>
          <w:i/>
          <w:sz w:val="20"/>
        </w:rPr>
        <w:t>Harding</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Wealands</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UKHL</w:t>
      </w:r>
      <w:r>
        <w:rPr>
          <w:rFonts w:ascii="Arial" w:hAnsi="Arial"/>
          <w:i/>
          <w:spacing w:val="5"/>
          <w:sz w:val="20"/>
        </w:rPr>
        <w:t> </w:t>
      </w:r>
      <w:r>
        <w:rPr>
          <w:rFonts w:ascii="Arial" w:hAnsi="Arial"/>
          <w:i/>
          <w:sz w:val="20"/>
        </w:rPr>
        <w:t>32,</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1</w:t>
      </w:r>
      <w:r>
        <w:rPr>
          <w:rFonts w:ascii="Arial" w:hAnsi="Arial"/>
          <w:i/>
          <w:spacing w:val="4"/>
          <w:sz w:val="20"/>
        </w:rPr>
        <w:t> </w:t>
      </w:r>
      <w:r>
        <w:rPr>
          <w:spacing w:val="-5"/>
          <w:sz w:val="20"/>
        </w:rPr>
        <w:t>the</w:t>
      </w:r>
    </w:p>
    <w:p>
      <w:pPr>
        <w:pStyle w:val="BodyText"/>
        <w:spacing w:line="235" w:lineRule="auto"/>
        <w:ind w:left="705" w:right="167"/>
        <w:jc w:val="both"/>
      </w:pPr>
      <w:r>
        <w:rPr/>
        <w:t>assessment of damages in a tort case was held to be a matter of procedure governed by the</w:t>
      </w:r>
      <w:r>
        <w:rPr>
          <w:spacing w:val="40"/>
        </w:rPr>
        <w:t> </w:t>
      </w:r>
      <w:r>
        <w:rPr/>
        <w:t>lex fori.</w:t>
      </w:r>
    </w:p>
    <w:p>
      <w:pPr>
        <w:pStyle w:val="BodyText"/>
        <w:spacing w:before="1"/>
      </w:pPr>
    </w:p>
    <w:p>
      <w:pPr>
        <w:pStyle w:val="BodyText"/>
        <w:spacing w:line="235" w:lineRule="auto"/>
        <w:ind w:left="705" w:right="167" w:hanging="541"/>
        <w:jc w:val="both"/>
      </w:pPr>
      <w:bookmarkStart w:name="_bookmark1156" w:id="1158"/>
      <w:bookmarkEnd w:id="1158"/>
      <w:r>
        <w:rPr/>
      </w:r>
      <w:hyperlink w:history="true" w:anchor="_bookmark1148">
        <w:r>
          <w:rPr>
            <w:color w:val="005DA1"/>
            <w:position w:val="5"/>
            <w:sz w:val="14"/>
            <w:u w:val="single" w:color="005DA1"/>
          </w:rPr>
          <w:t>605</w:t>
        </w:r>
      </w:hyperlink>
      <w:r>
        <w:rPr>
          <w:position w:val="5"/>
          <w:sz w:val="14"/>
        </w:rPr>
        <w:t>.</w:t>
      </w:r>
      <w:r>
        <w:rPr>
          <w:spacing w:val="80"/>
          <w:position w:val="5"/>
          <w:sz w:val="14"/>
        </w:rPr>
        <w:t>  </w:t>
      </w:r>
      <w:r>
        <w:rPr/>
        <w:t>For</w:t>
      </w:r>
      <w:r>
        <w:rPr>
          <w:spacing w:val="-2"/>
        </w:rPr>
        <w:t> </w:t>
      </w:r>
      <w:r>
        <w:rPr/>
        <w:t>a</w:t>
      </w:r>
      <w:r>
        <w:rPr>
          <w:spacing w:val="-2"/>
        </w:rPr>
        <w:t> </w:t>
      </w:r>
      <w:r>
        <w:rPr/>
        <w:t>comparison</w:t>
      </w:r>
      <w:r>
        <w:rPr>
          <w:spacing w:val="-2"/>
        </w:rPr>
        <w:t> </w:t>
      </w:r>
      <w:r>
        <w:rPr/>
        <w:t>between</w:t>
      </w:r>
      <w:r>
        <w:rPr>
          <w:spacing w:val="-2"/>
        </w:rPr>
        <w:t> </w:t>
      </w:r>
      <w:r>
        <w:rPr/>
        <w:t>the</w:t>
      </w:r>
      <w:r>
        <w:rPr>
          <w:spacing w:val="-2"/>
        </w:rPr>
        <w:t> </w:t>
      </w:r>
      <w:r>
        <w:rPr/>
        <w:t>rules</w:t>
      </w:r>
      <w:r>
        <w:rPr>
          <w:spacing w:val="-2"/>
        </w:rPr>
        <w:t> </w:t>
      </w:r>
      <w:r>
        <w:rPr/>
        <w:t>on</w:t>
      </w:r>
      <w:r>
        <w:rPr>
          <w:spacing w:val="-2"/>
        </w:rPr>
        <w:t> </w:t>
      </w:r>
      <w:r>
        <w:rPr/>
        <w:t>remoteness</w:t>
      </w:r>
      <w:r>
        <w:rPr>
          <w:spacing w:val="-2"/>
        </w:rPr>
        <w:t> </w:t>
      </w:r>
      <w:r>
        <w:rPr/>
        <w:t>in</w:t>
      </w:r>
      <w:r>
        <w:rPr>
          <w:spacing w:val="-2"/>
        </w:rPr>
        <w:t> </w:t>
      </w:r>
      <w:r>
        <w:rPr/>
        <w:t>tort</w:t>
      </w:r>
      <w:r>
        <w:rPr>
          <w:spacing w:val="-2"/>
        </w:rPr>
        <w:t> </w:t>
      </w:r>
      <w:r>
        <w:rPr/>
        <w:t>and</w:t>
      </w:r>
      <w:r>
        <w:rPr>
          <w:spacing w:val="-2"/>
        </w:rPr>
        <w:t> </w:t>
      </w:r>
      <w:r>
        <w:rPr/>
        <w:t>in</w:t>
      </w:r>
      <w:r>
        <w:rPr>
          <w:spacing w:val="-2"/>
        </w:rPr>
        <w:t> </w:t>
      </w:r>
      <w:r>
        <w:rPr/>
        <w:t>contract,</w:t>
      </w:r>
      <w:r>
        <w:rPr>
          <w:spacing w:val="-2"/>
        </w:rPr>
        <w:t> </w:t>
      </w:r>
      <w:r>
        <w:rPr/>
        <w:t>see</w:t>
      </w:r>
      <w:r>
        <w:rPr>
          <w:spacing w:val="-2"/>
        </w:rPr>
        <w:t> </w:t>
      </w:r>
      <w:r>
        <w:rPr/>
        <w:t>Harris,</w:t>
      </w:r>
      <w:r>
        <w:rPr>
          <w:spacing w:val="-2"/>
        </w:rPr>
        <w:t> </w:t>
      </w:r>
      <w:r>
        <w:rPr/>
        <w:t>Campbell and Halson, </w:t>
      </w:r>
      <w:r>
        <w:rPr>
          <w:rFonts w:ascii="Arial" w:hAnsi="Arial"/>
          <w:i/>
        </w:rPr>
        <w:t>Remedies in Contract and Tort</w:t>
      </w:r>
      <w:r>
        <w:rPr/>
        <w:t>, 2nd edn (2002), pp.331–333; and Cartwright</w:t>
      </w:r>
      <w:r>
        <w:rPr>
          <w:spacing w:val="40"/>
        </w:rPr>
        <w:t> </w:t>
      </w:r>
      <w:r>
        <w:rPr/>
        <w:t>[1996] C.L.J. 488.</w:t>
      </w:r>
    </w:p>
    <w:p>
      <w:pPr>
        <w:pStyle w:val="BodyText"/>
        <w:spacing w:before="8"/>
      </w:pPr>
    </w:p>
    <w:p>
      <w:pPr>
        <w:pStyle w:val="BodyText"/>
        <w:spacing w:line="235" w:lineRule="auto" w:before="1"/>
        <w:ind w:left="705" w:right="167" w:hanging="541"/>
        <w:jc w:val="both"/>
      </w:pPr>
      <w:bookmarkStart w:name="_bookmark1157" w:id="1159"/>
      <w:bookmarkEnd w:id="1159"/>
      <w:r>
        <w:rPr/>
      </w:r>
      <w:hyperlink w:history="true" w:anchor="_bookmark1149">
        <w:r>
          <w:rPr>
            <w:color w:val="005DA1"/>
            <w:position w:val="5"/>
            <w:sz w:val="14"/>
            <w:u w:val="single" w:color="005DA1"/>
          </w:rPr>
          <w:t>606</w:t>
        </w:r>
      </w:hyperlink>
      <w:r>
        <w:rPr>
          <w:position w:val="5"/>
          <w:sz w:val="14"/>
        </w:rPr>
        <w:t>.</w:t>
      </w:r>
      <w:r>
        <w:rPr>
          <w:spacing w:val="80"/>
          <w:position w:val="5"/>
          <w:sz w:val="14"/>
        </w:rPr>
        <w:t>  </w:t>
      </w:r>
      <w:r>
        <w:rPr/>
        <w:t>Clauses of the first type would be subject to a fairness test only if they fall within the Unfair Terms</w:t>
      </w:r>
      <w:r>
        <w:rPr>
          <w:spacing w:val="-1"/>
        </w:rPr>
        <w:t> </w:t>
      </w:r>
      <w:r>
        <w:rPr/>
        <w:t>in</w:t>
      </w:r>
      <w:r>
        <w:rPr>
          <w:spacing w:val="-1"/>
        </w:rPr>
        <w:t> </w:t>
      </w:r>
      <w:r>
        <w:rPr/>
        <w:t>Consumer</w:t>
      </w:r>
      <w:r>
        <w:rPr>
          <w:spacing w:val="-1"/>
        </w:rPr>
        <w:t> </w:t>
      </w:r>
      <w:r>
        <w:rPr/>
        <w:t>Contracts</w:t>
      </w:r>
      <w:r>
        <w:rPr>
          <w:spacing w:val="-1"/>
        </w:rPr>
        <w:t> </w:t>
      </w:r>
      <w:r>
        <w:rPr/>
        <w:t>Regulations</w:t>
      </w:r>
      <w:r>
        <w:rPr>
          <w:spacing w:val="-1"/>
        </w:rPr>
        <w:t> </w:t>
      </w:r>
      <w:r>
        <w:rPr/>
        <w:t>1999</w:t>
      </w:r>
      <w:r>
        <w:rPr>
          <w:spacing w:val="-1"/>
        </w:rPr>
        <w:t> </w:t>
      </w:r>
      <w:r>
        <w:rPr/>
        <w:t>or</w:t>
      </w:r>
      <w:r>
        <w:rPr>
          <w:spacing w:val="-1"/>
        </w:rPr>
        <w:t> </w:t>
      </w:r>
      <w:r>
        <w:rPr/>
        <w:t>Consumer</w:t>
      </w:r>
      <w:r>
        <w:rPr>
          <w:spacing w:val="-1"/>
        </w:rPr>
        <w:t> </w:t>
      </w:r>
      <w:r>
        <w:rPr/>
        <w:t>Rights</w:t>
      </w:r>
      <w:r>
        <w:rPr>
          <w:spacing w:val="-1"/>
        </w:rPr>
        <w:t> </w:t>
      </w:r>
      <w:r>
        <w:rPr/>
        <w:t>Act</w:t>
      </w:r>
      <w:r>
        <w:rPr>
          <w:spacing w:val="-1"/>
        </w:rPr>
        <w:t> </w:t>
      </w:r>
      <w:r>
        <w:rPr/>
        <w:t>2015</w:t>
      </w:r>
      <w:r>
        <w:rPr>
          <w:spacing w:val="-1"/>
        </w:rPr>
        <w:t> </w:t>
      </w:r>
      <w:r>
        <w:rPr/>
        <w:t>Pt</w:t>
      </w:r>
      <w:r>
        <w:rPr>
          <w:spacing w:val="-1"/>
        </w:rPr>
        <w:t> </w:t>
      </w:r>
      <w:r>
        <w:rPr/>
        <w:t>2</w:t>
      </w:r>
      <w:r>
        <w:rPr>
          <w:spacing w:val="-1"/>
        </w:rPr>
        <w:t> </w:t>
      </w:r>
      <w:r>
        <w:rPr/>
        <w:t>(see</w:t>
      </w:r>
      <w:r>
        <w:rPr>
          <w:spacing w:val="-1"/>
        </w:rPr>
        <w:t> </w:t>
      </w:r>
      <w:r>
        <w:rPr/>
        <w:t>below, Vol.II, paras 38-201 et seq. and 38-334 et seq. Limitation of liability clauses will frequently be subject</w:t>
      </w:r>
      <w:r>
        <w:rPr>
          <w:spacing w:val="37"/>
        </w:rPr>
        <w:t> </w:t>
      </w:r>
      <w:r>
        <w:rPr/>
        <w:t>to</w:t>
      </w:r>
      <w:r>
        <w:rPr>
          <w:spacing w:val="37"/>
        </w:rPr>
        <w:t> </w:t>
      </w:r>
      <w:r>
        <w:rPr/>
        <w:t>a</w:t>
      </w:r>
      <w:r>
        <w:rPr>
          <w:spacing w:val="37"/>
        </w:rPr>
        <w:t> </w:t>
      </w:r>
      <w:r>
        <w:rPr/>
        <w:t>reasonableness</w:t>
      </w:r>
      <w:r>
        <w:rPr>
          <w:spacing w:val="37"/>
        </w:rPr>
        <w:t> </w:t>
      </w:r>
      <w:r>
        <w:rPr/>
        <w:t>test</w:t>
      </w:r>
      <w:r>
        <w:rPr>
          <w:spacing w:val="37"/>
        </w:rPr>
        <w:t> </w:t>
      </w:r>
      <w:r>
        <w:rPr/>
        <w:t>under</w:t>
      </w:r>
      <w:r>
        <w:rPr>
          <w:spacing w:val="37"/>
        </w:rPr>
        <w:t> </w:t>
      </w:r>
      <w:r>
        <w:rPr/>
        <w:t>Unfair</w:t>
      </w:r>
      <w:r>
        <w:rPr>
          <w:spacing w:val="37"/>
        </w:rPr>
        <w:t> </w:t>
      </w:r>
      <w:r>
        <w:rPr/>
        <w:t>Contract</w:t>
      </w:r>
      <w:r>
        <w:rPr>
          <w:spacing w:val="37"/>
        </w:rPr>
        <w:t> </w:t>
      </w:r>
      <w:r>
        <w:rPr/>
        <w:t>Terms</w:t>
      </w:r>
      <w:r>
        <w:rPr>
          <w:spacing w:val="37"/>
        </w:rPr>
        <w:t> </w:t>
      </w:r>
      <w:r>
        <w:rPr/>
        <w:t>Act</w:t>
      </w:r>
      <w:r>
        <w:rPr>
          <w:spacing w:val="37"/>
        </w:rPr>
        <w:t> </w:t>
      </w:r>
      <w:r>
        <w:rPr/>
        <w:t>1977,</w:t>
      </w:r>
      <w:r>
        <w:rPr>
          <w:spacing w:val="37"/>
        </w:rPr>
        <w:t> </w:t>
      </w:r>
      <w:r>
        <w:rPr/>
        <w:t>see</w:t>
      </w:r>
      <w:r>
        <w:rPr>
          <w:spacing w:val="37"/>
        </w:rPr>
        <w:t> </w:t>
      </w:r>
      <w:r>
        <w:rPr/>
        <w:t>above,</w:t>
      </w:r>
      <w:r>
        <w:rPr>
          <w:spacing w:val="37"/>
        </w:rPr>
        <w:t> </w:t>
      </w:r>
      <w:r>
        <w:rPr/>
        <w:t>paras 15-104 et seq., or Consumer Rights Act 2015 s.62, see below, Vol.II, para.38-359.</w:t>
      </w:r>
    </w:p>
    <w:p>
      <w:pPr>
        <w:pStyle w:val="BodyText"/>
        <w:spacing w:before="4"/>
      </w:pPr>
    </w:p>
    <w:p>
      <w:pPr>
        <w:pStyle w:val="BodyText"/>
        <w:tabs>
          <w:tab w:pos="705" w:val="left" w:leader="none"/>
        </w:tabs>
        <w:ind w:left="165"/>
      </w:pPr>
      <w:bookmarkStart w:name="_bookmark1158" w:id="1160"/>
      <w:bookmarkEnd w:id="1160"/>
      <w:r>
        <w:rPr/>
      </w:r>
      <w:hyperlink w:history="true" w:anchor="_bookmark1150">
        <w:r>
          <w:rPr>
            <w:color w:val="005DA1"/>
            <w:spacing w:val="-4"/>
            <w:position w:val="5"/>
            <w:sz w:val="14"/>
            <w:u w:val="single" w:color="005DA1"/>
          </w:rPr>
          <w:t>607</w:t>
        </w:r>
      </w:hyperlink>
      <w:r>
        <w:rPr>
          <w:spacing w:val="-4"/>
          <w:position w:val="5"/>
          <w:sz w:val="14"/>
        </w:rPr>
        <w:t>.</w:t>
      </w:r>
      <w:r>
        <w:rPr>
          <w:position w:val="5"/>
          <w:sz w:val="14"/>
        </w:rPr>
        <w:tab/>
      </w:r>
      <w:r>
        <w:rPr/>
        <w:t>See above, paras 15-104 et seq. and Vol.II, paras 38-242 et </w:t>
      </w:r>
      <w:r>
        <w:rPr>
          <w:spacing w:val="-4"/>
        </w:rPr>
        <w:t>seq.</w:t>
      </w:r>
    </w:p>
    <w:p>
      <w:pPr>
        <w:pStyle w:val="BodyText"/>
        <w:spacing w:before="9"/>
      </w:pPr>
    </w:p>
    <w:p>
      <w:pPr>
        <w:pStyle w:val="BodyText"/>
        <w:tabs>
          <w:tab w:pos="705" w:val="left" w:leader="none"/>
        </w:tabs>
        <w:spacing w:line="235" w:lineRule="auto"/>
        <w:ind w:left="705" w:right="174" w:hanging="541"/>
      </w:pPr>
      <w:bookmarkStart w:name="_bookmark1159" w:id="1161"/>
      <w:bookmarkEnd w:id="1161"/>
      <w:r>
        <w:rPr/>
      </w:r>
      <w:hyperlink w:history="true" w:anchor="_bookmark1151">
        <w:r>
          <w:rPr>
            <w:color w:val="005DA1"/>
            <w:spacing w:val="-4"/>
            <w:position w:val="5"/>
            <w:sz w:val="14"/>
            <w:u w:val="single" w:color="005DA1"/>
          </w:rPr>
          <w:t>608</w:t>
        </w:r>
      </w:hyperlink>
      <w:r>
        <w:rPr>
          <w:spacing w:val="-4"/>
          <w:position w:val="5"/>
          <w:sz w:val="14"/>
        </w:rPr>
        <w:t>.</w:t>
      </w:r>
      <w:r>
        <w:rPr>
          <w:position w:val="5"/>
          <w:sz w:val="14"/>
        </w:rPr>
        <w:tab/>
      </w:r>
      <w:r>
        <w:rPr/>
        <w:t>In an exemption clause (see Ch.15, above), the promisee expressly accepts that the promisor</w:t>
      </w:r>
      <w:r>
        <w:rPr>
          <w:spacing w:val="40"/>
        </w:rPr>
        <w:t> </w:t>
      </w:r>
      <w:r>
        <w:rPr/>
        <w:t>is not to be liable for specified consequences.</w:t>
      </w:r>
    </w:p>
    <w:p>
      <w:pPr>
        <w:pStyle w:val="BodyText"/>
        <w:spacing w:before="5"/>
      </w:pPr>
    </w:p>
    <w:p>
      <w:pPr>
        <w:tabs>
          <w:tab w:pos="705" w:val="left" w:leader="none"/>
        </w:tabs>
        <w:spacing w:before="0"/>
        <w:ind w:left="165" w:right="0" w:firstLine="0"/>
        <w:jc w:val="left"/>
        <w:rPr>
          <w:sz w:val="20"/>
        </w:rPr>
      </w:pPr>
      <w:bookmarkStart w:name="_bookmark1160" w:id="1162"/>
      <w:bookmarkEnd w:id="1162"/>
      <w:r>
        <w:rPr/>
      </w:r>
      <w:hyperlink w:history="true" w:anchor="_bookmark1152">
        <w:r>
          <w:rPr>
            <w:color w:val="005DA1"/>
            <w:spacing w:val="-4"/>
            <w:position w:val="5"/>
            <w:sz w:val="14"/>
            <w:u w:val="single" w:color="005DA1"/>
          </w:rPr>
          <w:t>609</w:t>
        </w:r>
      </w:hyperlink>
      <w:r>
        <w:rPr>
          <w:spacing w:val="-4"/>
          <w:position w:val="5"/>
          <w:sz w:val="14"/>
        </w:rPr>
        <w:t>.</w:t>
      </w:r>
      <w:r>
        <w:rPr>
          <w:position w:val="5"/>
          <w:sz w:val="14"/>
        </w:rPr>
        <w:tab/>
      </w:r>
      <w:r>
        <w:rPr>
          <w:rFonts w:ascii="Arial"/>
          <w:i/>
          <w:sz w:val="20"/>
        </w:rPr>
        <w:t>[2008]</w:t>
      </w:r>
      <w:r>
        <w:rPr>
          <w:rFonts w:ascii="Arial"/>
          <w:i/>
          <w:spacing w:val="-1"/>
          <w:sz w:val="20"/>
        </w:rPr>
        <w:t> </w:t>
      </w:r>
      <w:r>
        <w:rPr>
          <w:rFonts w:ascii="Arial"/>
          <w:i/>
          <w:sz w:val="20"/>
        </w:rPr>
        <w:t>UKHL 48, [2009] 1 A.C. 61</w:t>
      </w:r>
      <w:r>
        <w:rPr>
          <w:sz w:val="20"/>
        </w:rPr>
        <w:t>. See below, para.26-</w:t>
      </w:r>
      <w:r>
        <w:rPr>
          <w:spacing w:val="-4"/>
          <w:sz w:val="20"/>
        </w:rPr>
        <w:t>128.</w:t>
      </w:r>
    </w:p>
    <w:p>
      <w:pPr>
        <w:pStyle w:val="BodyText"/>
        <w:spacing w:before="5"/>
      </w:pPr>
    </w:p>
    <w:p>
      <w:pPr>
        <w:tabs>
          <w:tab w:pos="705" w:val="left" w:leader="none"/>
        </w:tabs>
        <w:spacing w:before="0"/>
        <w:ind w:left="165" w:right="0" w:firstLine="0"/>
        <w:jc w:val="left"/>
        <w:rPr>
          <w:sz w:val="20"/>
        </w:rPr>
      </w:pPr>
      <w:bookmarkStart w:name="_bookmark1161" w:id="1163"/>
      <w:bookmarkEnd w:id="1163"/>
      <w:r>
        <w:rPr/>
      </w:r>
      <w:hyperlink w:history="true" w:anchor="_bookmark1153">
        <w:r>
          <w:rPr>
            <w:color w:val="005DA1"/>
            <w:spacing w:val="-4"/>
            <w:position w:val="5"/>
            <w:sz w:val="14"/>
            <w:u w:val="single" w:color="005DA1"/>
          </w:rPr>
          <w:t>610</w:t>
        </w:r>
      </w:hyperlink>
      <w:r>
        <w:rPr>
          <w:spacing w:val="-4"/>
          <w:position w:val="5"/>
          <w:sz w:val="14"/>
        </w:rPr>
        <w:t>.</w:t>
      </w:r>
      <w:r>
        <w:rPr>
          <w:position w:val="5"/>
          <w:sz w:val="14"/>
        </w:rPr>
        <w:tab/>
      </w:r>
      <w:r>
        <w:rPr>
          <w:sz w:val="20"/>
        </w:rPr>
        <w:t>This</w:t>
      </w:r>
      <w:r>
        <w:rPr>
          <w:spacing w:val="-1"/>
          <w:sz w:val="20"/>
        </w:rPr>
        <w:t> </w:t>
      </w:r>
      <w:r>
        <w:rPr>
          <w:sz w:val="20"/>
        </w:rPr>
        <w:t>is the second rule in</w:t>
      </w:r>
      <w:r>
        <w:rPr>
          <w:spacing w:val="-1"/>
          <w:sz w:val="20"/>
        </w:rPr>
        <w:t> </w:t>
      </w:r>
      <w:r>
        <w:rPr>
          <w:rFonts w:ascii="Arial"/>
          <w:i/>
          <w:sz w:val="20"/>
        </w:rPr>
        <w:t>Hadley v Baxendale (1854) 9 Ex. 341</w:t>
      </w:r>
      <w:r>
        <w:rPr>
          <w:sz w:val="20"/>
        </w:rPr>
        <w:t>, below, para.26-</w:t>
      </w:r>
      <w:r>
        <w:rPr>
          <w:spacing w:val="-4"/>
          <w:sz w:val="20"/>
        </w:rPr>
        <w:t>122.</w:t>
      </w:r>
    </w:p>
    <w:p>
      <w:pPr>
        <w:pStyle w:val="BodyText"/>
        <w:spacing w:before="5"/>
      </w:pPr>
    </w:p>
    <w:p>
      <w:pPr>
        <w:tabs>
          <w:tab w:pos="705" w:val="left" w:leader="none"/>
        </w:tabs>
        <w:spacing w:before="0"/>
        <w:ind w:left="165" w:right="0" w:firstLine="0"/>
        <w:jc w:val="left"/>
        <w:rPr>
          <w:sz w:val="20"/>
        </w:rPr>
      </w:pPr>
      <w:bookmarkStart w:name="_bookmark1162" w:id="1164"/>
      <w:bookmarkEnd w:id="1164"/>
      <w:r>
        <w:rPr/>
      </w:r>
      <w:hyperlink w:history="true" w:anchor="_bookmark1153">
        <w:r>
          <w:rPr>
            <w:color w:val="005DA1"/>
            <w:spacing w:val="-4"/>
            <w:position w:val="5"/>
            <w:sz w:val="14"/>
            <w:u w:val="single" w:color="005DA1"/>
          </w:rPr>
          <w:t>611</w:t>
        </w:r>
      </w:hyperlink>
      <w:r>
        <w:rPr>
          <w:spacing w:val="-4"/>
          <w:position w:val="5"/>
          <w:sz w:val="14"/>
        </w:rPr>
        <w:t>.</w:t>
      </w:r>
      <w:r>
        <w:rPr>
          <w:position w:val="5"/>
          <w:sz w:val="14"/>
        </w:rPr>
        <w:tab/>
      </w:r>
      <w:r>
        <w:rPr>
          <w:rFonts w:ascii="Arial"/>
          <w:i/>
          <w:sz w:val="20"/>
        </w:rPr>
        <w:t>[2008] UKHL </w:t>
      </w:r>
      <w:r>
        <w:rPr>
          <w:rFonts w:ascii="Arial"/>
          <w:i/>
          <w:spacing w:val="-5"/>
          <w:sz w:val="20"/>
        </w:rPr>
        <w:t>48</w:t>
      </w:r>
      <w:r>
        <w:rPr>
          <w:spacing w:val="-5"/>
          <w:sz w:val="20"/>
        </w:rPr>
        <w:t>.</w:t>
      </w:r>
    </w:p>
    <w:p>
      <w:pPr>
        <w:pStyle w:val="BodyText"/>
        <w:spacing w:before="9"/>
      </w:pPr>
    </w:p>
    <w:p>
      <w:pPr>
        <w:pStyle w:val="BodyText"/>
        <w:tabs>
          <w:tab w:pos="705" w:val="left" w:leader="none"/>
        </w:tabs>
        <w:spacing w:line="235" w:lineRule="auto"/>
        <w:ind w:left="705" w:right="174" w:hanging="541"/>
      </w:pPr>
      <w:bookmarkStart w:name="_bookmark1163" w:id="1165"/>
      <w:bookmarkEnd w:id="1165"/>
      <w:r>
        <w:rPr/>
      </w:r>
      <w:hyperlink w:history="true" w:anchor="_bookmark1154">
        <w:r>
          <w:rPr>
            <w:color w:val="005DA1"/>
            <w:spacing w:val="-4"/>
            <w:position w:val="5"/>
            <w:sz w:val="14"/>
            <w:u w:val="single" w:color="005DA1"/>
          </w:rPr>
          <w:t>612</w:t>
        </w:r>
      </w:hyperlink>
      <w:r>
        <w:rPr>
          <w:spacing w:val="-4"/>
          <w:position w:val="5"/>
          <w:sz w:val="14"/>
        </w:rPr>
        <w:t>.</w:t>
      </w:r>
      <w:r>
        <w:rPr>
          <w:position w:val="5"/>
          <w:sz w:val="14"/>
        </w:rPr>
        <w:tab/>
      </w:r>
      <w:r>
        <w:rPr/>
        <w:t>i.e.</w:t>
      </w:r>
      <w:r>
        <w:rPr>
          <w:spacing w:val="40"/>
        </w:rPr>
        <w:t> </w:t>
      </w:r>
      <w:r>
        <w:rPr/>
        <w:t>the</w:t>
      </w:r>
      <w:r>
        <w:rPr>
          <w:spacing w:val="40"/>
        </w:rPr>
        <w:t> </w:t>
      </w:r>
      <w:r>
        <w:rPr/>
        <w:t>clause</w:t>
      </w:r>
      <w:r>
        <w:rPr>
          <w:spacing w:val="40"/>
        </w:rPr>
        <w:t> </w:t>
      </w:r>
      <w:r>
        <w:rPr/>
        <w:t>will</w:t>
      </w:r>
      <w:r>
        <w:rPr>
          <w:spacing w:val="40"/>
        </w:rPr>
        <w:t> </w:t>
      </w:r>
      <w:r>
        <w:rPr/>
        <w:t>pass</w:t>
      </w:r>
      <w:r>
        <w:rPr>
          <w:spacing w:val="40"/>
        </w:rPr>
        <w:t> </w:t>
      </w:r>
      <w:r>
        <w:rPr/>
        <w:t>any</w:t>
      </w:r>
      <w:r>
        <w:rPr>
          <w:spacing w:val="40"/>
        </w:rPr>
        <w:t> </w:t>
      </w:r>
      <w:r>
        <w:rPr/>
        <w:t>test</w:t>
      </w:r>
      <w:r>
        <w:rPr>
          <w:spacing w:val="40"/>
        </w:rPr>
        <w:t> </w:t>
      </w:r>
      <w:r>
        <w:rPr/>
        <w:t>of</w:t>
      </w:r>
      <w:r>
        <w:rPr>
          <w:spacing w:val="40"/>
        </w:rPr>
        <w:t> </w:t>
      </w:r>
      <w:r>
        <w:rPr/>
        <w:t>fairness</w:t>
      </w:r>
      <w:r>
        <w:rPr>
          <w:spacing w:val="40"/>
        </w:rPr>
        <w:t> </w:t>
      </w:r>
      <w:r>
        <w:rPr/>
        <w:t>or</w:t>
      </w:r>
      <w:r>
        <w:rPr>
          <w:spacing w:val="40"/>
        </w:rPr>
        <w:t> </w:t>
      </w:r>
      <w:r>
        <w:rPr/>
        <w:t>reasonableness</w:t>
      </w:r>
      <w:r>
        <w:rPr>
          <w:spacing w:val="40"/>
        </w:rPr>
        <w:t> </w:t>
      </w:r>
      <w:r>
        <w:rPr/>
        <w:t>that</w:t>
      </w:r>
      <w:r>
        <w:rPr>
          <w:spacing w:val="40"/>
        </w:rPr>
        <w:t> </w:t>
      </w:r>
      <w:r>
        <w:rPr/>
        <w:t>may</w:t>
      </w:r>
      <w:r>
        <w:rPr>
          <w:spacing w:val="40"/>
        </w:rPr>
        <w:t> </w:t>
      </w:r>
      <w:r>
        <w:rPr/>
        <w:t>be</w:t>
      </w:r>
      <w:r>
        <w:rPr>
          <w:spacing w:val="40"/>
        </w:rPr>
        <w:t> </w:t>
      </w:r>
      <w:r>
        <w:rPr/>
        <w:t>imposed</w:t>
      </w:r>
      <w:r>
        <w:rPr>
          <w:spacing w:val="40"/>
        </w:rPr>
        <w:t> </w:t>
      </w:r>
      <w:r>
        <w:rPr/>
        <w:t>by legislation, see above, n.550.</w:t>
      </w:r>
    </w:p>
    <w:p>
      <w:pPr>
        <w:pStyle w:val="BodyText"/>
        <w:spacing w:after="0" w:line="235" w:lineRule="auto"/>
        <w:sectPr>
          <w:pgSz w:w="11900" w:h="16840"/>
          <w:pgMar w:header="971" w:footer="0" w:top="1300" w:bottom="280" w:left="1275" w:right="1275"/>
        </w:sectPr>
      </w:pPr>
    </w:p>
    <w:p>
      <w:pPr>
        <w:pStyle w:val="BodyText"/>
        <w:tabs>
          <w:tab w:pos="705" w:val="left" w:leader="none"/>
        </w:tabs>
        <w:spacing w:before="166"/>
        <w:ind w:left="165"/>
      </w:pPr>
      <w:bookmarkStart w:name="_bookmark1164" w:id="1166"/>
      <w:bookmarkEnd w:id="1166"/>
      <w:r>
        <w:rPr/>
      </w:r>
      <w:hyperlink w:history="true" w:anchor="_bookmark1155">
        <w:r>
          <w:rPr>
            <w:color w:val="005DA1"/>
            <w:spacing w:val="-4"/>
            <w:position w:val="5"/>
            <w:sz w:val="14"/>
            <w:u w:val="single" w:color="005DA1"/>
          </w:rPr>
          <w:t>613</w:t>
        </w:r>
      </w:hyperlink>
      <w:r>
        <w:rPr>
          <w:spacing w:val="-4"/>
          <w:position w:val="5"/>
          <w:sz w:val="14"/>
        </w:rPr>
        <w:t>.</w:t>
      </w:r>
      <w:r>
        <w:rPr>
          <w:position w:val="5"/>
          <w:sz w:val="14"/>
        </w:rPr>
        <w:tab/>
      </w:r>
      <w:r>
        <w:rPr/>
        <w:t>See</w:t>
      </w:r>
      <w:r>
        <w:rPr>
          <w:spacing w:val="-2"/>
        </w:rPr>
        <w:t> </w:t>
      </w:r>
      <w:r>
        <w:rPr/>
        <w:t>below, para.26-</w:t>
      </w:r>
      <w:r>
        <w:rPr>
          <w:spacing w:val="-4"/>
        </w:rPr>
        <w:t>131.</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position w:val="11"/>
          <w:sz w:val="12"/>
        </w:rPr>
      </w:pPr>
      <w:r>
        <w:rPr>
          <w:rFonts w:ascii="Arial"/>
          <w:b/>
          <w:sz w:val="24"/>
        </w:rPr>
        <w:t>Section 7. - Remoteness of Damage and Assumption of Responsibility </w:t>
      </w:r>
      <w:r>
        <w:rPr>
          <w:rFonts w:ascii="Arial"/>
          <w:b/>
          <w:color w:val="005DA1"/>
          <w:spacing w:val="-5"/>
          <w:position w:val="11"/>
          <w:sz w:val="12"/>
          <w:u w:val="single" w:color="005DA1"/>
        </w:rPr>
        <w:t>604</w:t>
      </w:r>
    </w:p>
    <w:p>
      <w:pPr>
        <w:pStyle w:val="ListParagraph"/>
        <w:numPr>
          <w:ilvl w:val="0"/>
          <w:numId w:val="8"/>
        </w:numPr>
        <w:tabs>
          <w:tab w:pos="4071" w:val="left" w:leader="none"/>
        </w:tabs>
        <w:spacing w:line="240" w:lineRule="auto" w:before="194" w:after="0"/>
        <w:ind w:left="4071" w:right="0" w:hanging="373"/>
        <w:jc w:val="left"/>
        <w:rPr>
          <w:b/>
          <w:sz w:val="24"/>
        </w:rPr>
      </w:pPr>
      <w:r>
        <w:rPr>
          <w:b/>
          <w:sz w:val="24"/>
        </w:rPr>
        <w:t>- </w:t>
      </w:r>
      <w:r>
        <w:rPr>
          <w:b/>
          <w:spacing w:val="-2"/>
          <w:sz w:val="24"/>
        </w:rPr>
        <w:t>Remoteness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Hadley v </w:t>
      </w:r>
      <w:r>
        <w:rPr>
          <w:rFonts w:ascii="Arial"/>
          <w:b/>
          <w:spacing w:val="-2"/>
          <w:sz w:val="18"/>
        </w:rPr>
        <w:t>Baxendale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109</w:t>
      </w:r>
    </w:p>
    <w:p>
      <w:pPr>
        <w:pStyle w:val="BodyText"/>
        <w:spacing w:line="235" w:lineRule="auto" w:before="202"/>
        <w:ind w:left="165" w:right="167"/>
        <w:jc w:val="both"/>
      </w:pPr>
      <w:r>
        <w:rPr/>
        <w:t>The</w:t>
      </w:r>
      <w:r>
        <w:rPr>
          <w:spacing w:val="-2"/>
        </w:rPr>
        <w:t> </w:t>
      </w:r>
      <w:r>
        <w:rPr/>
        <w:t>classic</w:t>
      </w:r>
      <w:r>
        <w:rPr>
          <w:spacing w:val="-2"/>
        </w:rPr>
        <w:t> </w:t>
      </w:r>
      <w:r>
        <w:rPr/>
        <w:t>statement</w:t>
      </w:r>
      <w:r>
        <w:rPr>
          <w:spacing w:val="-2"/>
        </w:rPr>
        <w:t> </w:t>
      </w:r>
      <w:r>
        <w:rPr/>
        <w:t>of</w:t>
      </w:r>
      <w:r>
        <w:rPr>
          <w:spacing w:val="-2"/>
        </w:rPr>
        <w:t> </w:t>
      </w:r>
      <w:r>
        <w:rPr/>
        <w:t>the</w:t>
      </w:r>
      <w:r>
        <w:rPr>
          <w:spacing w:val="-2"/>
        </w:rPr>
        <w:t> </w:t>
      </w:r>
      <w:r>
        <w:rPr/>
        <w:t>rules</w:t>
      </w:r>
      <w:r>
        <w:rPr>
          <w:spacing w:val="-2"/>
        </w:rPr>
        <w:t> </w:t>
      </w:r>
      <w:r>
        <w:rPr/>
        <w:t>regarding</w:t>
      </w:r>
      <w:r>
        <w:rPr>
          <w:spacing w:val="-2"/>
        </w:rPr>
        <w:t> </w:t>
      </w:r>
      <w:r>
        <w:rPr/>
        <w:t>remoteness</w:t>
      </w:r>
      <w:r>
        <w:rPr>
          <w:spacing w:val="-2"/>
        </w:rPr>
        <w:t> </w:t>
      </w:r>
      <w:r>
        <w:rPr/>
        <w:t>of</w:t>
      </w:r>
      <w:r>
        <w:rPr>
          <w:spacing w:val="-2"/>
        </w:rPr>
        <w:t> </w:t>
      </w:r>
      <w:r>
        <w:rPr/>
        <w:t>damage</w:t>
      </w:r>
      <w:r>
        <w:rPr>
          <w:spacing w:val="-2"/>
        </w:rPr>
        <w:t> </w:t>
      </w:r>
      <w:r>
        <w:rPr/>
        <w:t>in</w:t>
      </w:r>
      <w:r>
        <w:rPr>
          <w:spacing w:val="-2"/>
        </w:rPr>
        <w:t> </w:t>
      </w:r>
      <w:r>
        <w:rPr/>
        <w:t>contract</w:t>
      </w:r>
      <w:r>
        <w:rPr>
          <w:spacing w:val="-2"/>
        </w:rPr>
        <w:t> </w:t>
      </w:r>
      <w:r>
        <w:rPr/>
        <w:t>(which</w:t>
      </w:r>
      <w:r>
        <w:rPr>
          <w:spacing w:val="-2"/>
        </w:rPr>
        <w:t> </w:t>
      </w:r>
      <w:r>
        <w:rPr/>
        <w:t>apply</w:t>
      </w:r>
      <w:r>
        <w:rPr>
          <w:spacing w:val="-2"/>
        </w:rPr>
        <w:t> </w:t>
      </w:r>
      <w:r>
        <w:rPr/>
        <w:t>when</w:t>
      </w:r>
      <w:r>
        <w:rPr>
          <w:spacing w:val="-2"/>
        </w:rPr>
        <w:t> </w:t>
      </w:r>
      <w:r>
        <w:rPr/>
        <w:t>the </w:t>
      </w:r>
      <w:bookmarkStart w:name="_bookmark1165" w:id="1167"/>
      <w:bookmarkEnd w:id="1167"/>
      <w:r>
        <w:rPr/>
        <w:t>damages</w:t>
      </w:r>
      <w:r>
        <w:rPr/>
        <w:t> claimed are unliquidated) is to be found in the judgment of the Court of Exchequer in</w:t>
      </w:r>
      <w:r>
        <w:rPr>
          <w:spacing w:val="80"/>
        </w:rPr>
        <w:t> </w:t>
      </w:r>
      <w:r>
        <w:rPr>
          <w:rFonts w:ascii="Arial" w:hAnsi="Arial"/>
          <w:i/>
        </w:rPr>
        <w:t>Hadley</w:t>
      </w:r>
      <w:r>
        <w:rPr>
          <w:rFonts w:ascii="Arial" w:hAnsi="Arial"/>
          <w:i/>
          <w:spacing w:val="-1"/>
        </w:rPr>
        <w:t> </w:t>
      </w:r>
      <w:r>
        <w:rPr>
          <w:rFonts w:ascii="Arial" w:hAnsi="Arial"/>
          <w:i/>
        </w:rPr>
        <w:t>v</w:t>
      </w:r>
      <w:r>
        <w:rPr>
          <w:rFonts w:ascii="Arial" w:hAnsi="Arial"/>
          <w:i/>
          <w:spacing w:val="-1"/>
        </w:rPr>
        <w:t> </w:t>
      </w:r>
      <w:r>
        <w:rPr>
          <w:rFonts w:ascii="Arial" w:hAnsi="Arial"/>
          <w:i/>
        </w:rPr>
        <w:t>Baxendale</w:t>
      </w:r>
      <w:r>
        <w:rPr/>
        <w:t>,</w:t>
      </w:r>
      <w:r>
        <w:rPr>
          <w:spacing w:val="-1"/>
        </w:rPr>
        <w:t> </w:t>
      </w:r>
      <w:r>
        <w:rPr>
          <w:color w:val="005DA1"/>
          <w:u w:val="single" w:color="005DA1"/>
          <w:vertAlign w:val="superscript"/>
        </w:rPr>
        <w:t>614</w:t>
      </w:r>
      <w:r>
        <w:rPr>
          <w:color w:val="005DA1"/>
          <w:spacing w:val="-1"/>
          <w:vertAlign w:val="baseline"/>
        </w:rPr>
        <w:t> </w:t>
      </w:r>
      <w:r>
        <w:rPr>
          <w:vertAlign w:val="baseline"/>
        </w:rPr>
        <w:t>as</w:t>
      </w:r>
      <w:r>
        <w:rPr>
          <w:spacing w:val="-1"/>
          <w:vertAlign w:val="baseline"/>
        </w:rPr>
        <w:t> </w:t>
      </w:r>
      <w:r>
        <w:rPr>
          <w:vertAlign w:val="baseline"/>
        </w:rPr>
        <w:t>interpreted</w:t>
      </w:r>
      <w:r>
        <w:rPr>
          <w:spacing w:val="-1"/>
          <w:vertAlign w:val="baseline"/>
        </w:rPr>
        <w:t> </w:t>
      </w:r>
      <w:r>
        <w:rPr>
          <w:vertAlign w:val="baseline"/>
        </w:rPr>
        <w:t>in</w:t>
      </w:r>
      <w:r>
        <w:rPr>
          <w:spacing w:val="-1"/>
          <w:vertAlign w:val="baseline"/>
        </w:rPr>
        <w:t> </w:t>
      </w:r>
      <w:r>
        <w:rPr>
          <w:vertAlign w:val="baseline"/>
        </w:rPr>
        <w:t>later</w:t>
      </w:r>
      <w:r>
        <w:rPr>
          <w:spacing w:val="-1"/>
          <w:vertAlign w:val="baseline"/>
        </w:rPr>
        <w:t> </w:t>
      </w:r>
      <w:r>
        <w:rPr>
          <w:vertAlign w:val="baseline"/>
        </w:rPr>
        <w:t>cases.</w:t>
      </w:r>
      <w:r>
        <w:rPr>
          <w:spacing w:val="-2"/>
          <w:vertAlign w:val="baseline"/>
        </w:rPr>
        <w:t> </w:t>
      </w:r>
      <w:r>
        <w:rPr>
          <w:color w:val="005DA1"/>
          <w:u w:val="single" w:color="005DA1"/>
          <w:vertAlign w:val="superscript"/>
        </w:rPr>
        <w:t>615</w:t>
      </w:r>
      <w:r>
        <w:rPr>
          <w:color w:val="005DA1"/>
          <w:spacing w:val="-1"/>
          <w:vertAlign w:val="baseline"/>
        </w:rPr>
        <w:t> </w:t>
      </w:r>
      <w:r>
        <w:rPr>
          <w:vertAlign w:val="baseline"/>
        </w:rPr>
        <w:t>In</w:t>
      </w:r>
      <w:r>
        <w:rPr>
          <w:spacing w:val="-1"/>
          <w:vertAlign w:val="baseline"/>
        </w:rPr>
        <w:t> </w:t>
      </w:r>
      <w:r>
        <w:rPr>
          <w:rFonts w:ascii="Arial" w:hAnsi="Arial"/>
          <w:i/>
          <w:vertAlign w:val="baseline"/>
        </w:rPr>
        <w:t>Hadley</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Baxendale</w:t>
      </w:r>
      <w:r>
        <w:rPr>
          <w:vertAlign w:val="baseline"/>
        </w:rPr>
        <w:t>,</w:t>
      </w:r>
      <w:r>
        <w:rPr>
          <w:spacing w:val="-1"/>
          <w:vertAlign w:val="baseline"/>
        </w:rPr>
        <w:t> </w:t>
      </w:r>
      <w:r>
        <w:rPr>
          <w:vertAlign w:val="baseline"/>
        </w:rPr>
        <w:t>the</w:t>
      </w:r>
      <w:r>
        <w:rPr>
          <w:spacing w:val="-1"/>
          <w:vertAlign w:val="baseline"/>
        </w:rPr>
        <w:t> </w:t>
      </w:r>
      <w:r>
        <w:rPr>
          <w:vertAlign w:val="baseline"/>
        </w:rPr>
        <w:t>plaintiffs’</w:t>
      </w:r>
      <w:r>
        <w:rPr>
          <w:spacing w:val="-1"/>
          <w:vertAlign w:val="baseline"/>
        </w:rPr>
        <w:t> </w:t>
      </w:r>
      <w:r>
        <w:rPr>
          <w:vertAlign w:val="baseline"/>
        </w:rPr>
        <w:t>mill</w:t>
      </w:r>
      <w:r>
        <w:rPr>
          <w:spacing w:val="-1"/>
          <w:vertAlign w:val="baseline"/>
        </w:rPr>
        <w:t> </w:t>
      </w:r>
      <w:r>
        <w:rPr>
          <w:vertAlign w:val="baseline"/>
        </w:rPr>
        <w:t>was brought</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standstill</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breakage</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only</w:t>
      </w:r>
      <w:r>
        <w:rPr>
          <w:spacing w:val="-1"/>
          <w:vertAlign w:val="baseline"/>
        </w:rPr>
        <w:t> </w:t>
      </w:r>
      <w:r>
        <w:rPr>
          <w:vertAlign w:val="baseline"/>
        </w:rPr>
        <w:t>crankshaft.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carriers</w:t>
      </w:r>
      <w:r>
        <w:rPr>
          <w:spacing w:val="-1"/>
          <w:vertAlign w:val="baseline"/>
        </w:rPr>
        <w:t> </w:t>
      </w:r>
      <w:r>
        <w:rPr>
          <w:vertAlign w:val="baseline"/>
        </w:rPr>
        <w:t>failed</w:t>
      </w:r>
      <w:r>
        <w:rPr>
          <w:spacing w:val="-1"/>
          <w:vertAlign w:val="baseline"/>
        </w:rPr>
        <w:t> </w:t>
      </w:r>
      <w:r>
        <w:rPr>
          <w:vertAlign w:val="baseline"/>
        </w:rPr>
        <w:t>to</w:t>
      </w:r>
      <w:r>
        <w:rPr>
          <w:spacing w:val="-1"/>
          <w:vertAlign w:val="baseline"/>
        </w:rPr>
        <w:t> </w:t>
      </w:r>
      <w:r>
        <w:rPr>
          <w:vertAlign w:val="baseline"/>
        </w:rPr>
        <w:t>deliver the broken shaft to the manufacturer to be copied at the time they had promised to do, so the replacement shaft arrived later than it should have, and the plaintiffs sued to recover the profits they </w:t>
      </w:r>
      <w:bookmarkStart w:name="_bookmark1166" w:id="1168"/>
      <w:bookmarkEnd w:id="1168"/>
      <w:r>
        <w:rPr>
          <w:vertAlign w:val="baseline"/>
        </w:rPr>
        <w:t>would</w:t>
      </w:r>
      <w:r>
        <w:rPr>
          <w:vertAlign w:val="baseline"/>
        </w:rPr>
        <w:t> have made had the mill been started again without the delay. The court rejected the claim on the ground that the facts known to the defendants were insufficient </w:t>
      </w:r>
      <w:r>
        <w:rPr>
          <w:color w:val="005DA1"/>
          <w:u w:val="single" w:color="005DA1"/>
          <w:vertAlign w:val="superscript"/>
        </w:rPr>
        <w:t>616</w:t>
      </w:r>
      <w:r>
        <w:rPr>
          <w:color w:val="005DA1"/>
          <w:vertAlign w:val="baseline"/>
        </w:rPr>
        <w:t> </w:t>
      </w:r>
      <w:r>
        <w:rPr>
          <w:vertAlign w:val="baseline"/>
        </w:rPr>
        <w:t>to:</w:t>
      </w:r>
    </w:p>
    <w:p>
      <w:pPr>
        <w:pStyle w:val="BodyText"/>
      </w:pPr>
    </w:p>
    <w:p>
      <w:pPr>
        <w:pStyle w:val="BodyText"/>
        <w:spacing w:before="124"/>
      </w:pPr>
    </w:p>
    <w:p>
      <w:pPr>
        <w:pStyle w:val="BodyText"/>
        <w:spacing w:line="235" w:lineRule="auto"/>
        <w:ind w:left="1245" w:right="167"/>
        <w:jc w:val="both"/>
      </w:pPr>
      <w:bookmarkStart w:name="_bookmark1167" w:id="1169"/>
      <w:bookmarkEnd w:id="1169"/>
      <w:r>
        <w:rPr/>
      </w:r>
      <w:r>
        <w:rPr/>
        <w:t>“… show reasonably that the profits of the mill must be stopped by an </w:t>
      </w:r>
      <w:r>
        <w:rPr/>
        <w:t>unreasonable</w:t>
      </w:r>
      <w:r>
        <w:rPr>
          <w:spacing w:val="80"/>
        </w:rPr>
        <w:t> </w:t>
      </w:r>
      <w:r>
        <w:rPr/>
        <w:t>delay in the delivery of the broken shaft by the carriers to the third person.” </w:t>
      </w:r>
      <w:r>
        <w:rPr>
          <w:color w:val="005DA1"/>
          <w:u w:val="single" w:color="005DA1"/>
          <w:vertAlign w:val="superscript"/>
        </w:rPr>
        <w:t>617</w:t>
      </w:r>
    </w:p>
    <w:p>
      <w:pPr>
        <w:pStyle w:val="BodyText"/>
      </w:pPr>
    </w:p>
    <w:p>
      <w:pPr>
        <w:pStyle w:val="BodyText"/>
        <w:spacing w:before="197"/>
      </w:pPr>
    </w:p>
    <w:p>
      <w:pPr>
        <w:spacing w:before="1"/>
        <w:ind w:left="165" w:right="0" w:firstLine="0"/>
        <w:jc w:val="left"/>
        <w:rPr>
          <w:rFonts w:ascii="Arial"/>
          <w:b/>
          <w:sz w:val="24"/>
        </w:rPr>
      </w:pPr>
      <w:r>
        <w:rPr>
          <w:rFonts w:ascii="Arial"/>
          <w:b/>
          <w:sz w:val="24"/>
        </w:rPr>
        <w:t>26-</w:t>
      </w:r>
      <w:r>
        <w:rPr>
          <w:rFonts w:ascii="Arial"/>
          <w:b/>
          <w:spacing w:val="-5"/>
          <w:sz w:val="24"/>
        </w:rPr>
        <w:t>110</w:t>
      </w:r>
    </w:p>
    <w:p>
      <w:pPr>
        <w:pStyle w:val="BodyText"/>
        <w:spacing w:before="198"/>
        <w:ind w:left="165"/>
        <w:jc w:val="both"/>
      </w:pPr>
      <w:bookmarkStart w:name="_bookmark1168" w:id="1170"/>
      <w:bookmarkEnd w:id="1170"/>
      <w:r>
        <w:rPr/>
      </w:r>
      <w:r>
        <w:rPr/>
        <w:t>The judgment of the court was delivered by Alderson B., who said</w:t>
      </w:r>
      <w:r>
        <w:rPr>
          <w:spacing w:val="-1"/>
        </w:rPr>
        <w:t> </w:t>
      </w:r>
      <w:r>
        <w:rPr>
          <w:color w:val="005DA1"/>
          <w:spacing w:val="-4"/>
          <w:u w:val="single" w:color="005DA1"/>
          <w:vertAlign w:val="superscript"/>
        </w:rPr>
        <w:t>618</w:t>
      </w:r>
      <w:r>
        <w:rPr>
          <w:spacing w:val="-4"/>
          <w:vertAlign w:val="baseline"/>
        </w:rPr>
        <w:t>:</w:t>
      </w:r>
    </w:p>
    <w:p>
      <w:pPr>
        <w:pStyle w:val="BodyText"/>
      </w:pPr>
    </w:p>
    <w:p>
      <w:pPr>
        <w:pStyle w:val="BodyText"/>
        <w:spacing w:before="126"/>
      </w:pPr>
    </w:p>
    <w:p>
      <w:pPr>
        <w:pStyle w:val="BodyText"/>
        <w:spacing w:line="235" w:lineRule="auto"/>
        <w:ind w:left="1245" w:right="167"/>
        <w:jc w:val="both"/>
      </w:pPr>
      <w:r>
        <w:rPr/>
        <w:t>“Where two parties have made a contract which one of them has broken, the </w:t>
      </w:r>
      <w:r>
        <w:rPr/>
        <w:t>damages which the other party ought to receive in respect of such breach of contract should be such</w:t>
      </w:r>
      <w:r>
        <w:rPr>
          <w:spacing w:val="-2"/>
        </w:rPr>
        <w:t> </w:t>
      </w:r>
      <w:r>
        <w:rPr/>
        <w:t>as</w:t>
      </w:r>
      <w:r>
        <w:rPr>
          <w:spacing w:val="-2"/>
        </w:rPr>
        <w:t> </w:t>
      </w:r>
      <w:r>
        <w:rPr/>
        <w:t>may</w:t>
      </w:r>
      <w:r>
        <w:rPr>
          <w:spacing w:val="-2"/>
        </w:rPr>
        <w:t> </w:t>
      </w:r>
      <w:r>
        <w:rPr/>
        <w:t>fairly</w:t>
      </w:r>
      <w:r>
        <w:rPr>
          <w:spacing w:val="-2"/>
        </w:rPr>
        <w:t> </w:t>
      </w:r>
      <w:r>
        <w:rPr/>
        <w:t>and</w:t>
      </w:r>
      <w:r>
        <w:rPr>
          <w:spacing w:val="-2"/>
        </w:rPr>
        <w:t> </w:t>
      </w:r>
      <w:r>
        <w:rPr/>
        <w:t>reasonably</w:t>
      </w:r>
      <w:r>
        <w:rPr>
          <w:spacing w:val="-2"/>
        </w:rPr>
        <w:t> </w:t>
      </w:r>
      <w:r>
        <w:rPr/>
        <w:t>be</w:t>
      </w:r>
      <w:r>
        <w:rPr>
          <w:spacing w:val="-2"/>
        </w:rPr>
        <w:t> </w:t>
      </w:r>
      <w:r>
        <w:rPr/>
        <w:t>considered</w:t>
      </w:r>
      <w:r>
        <w:rPr>
          <w:spacing w:val="-2"/>
        </w:rPr>
        <w:t> </w:t>
      </w:r>
      <w:r>
        <w:rPr/>
        <w:t>either</w:t>
      </w:r>
      <w:r>
        <w:rPr>
          <w:spacing w:val="-2"/>
        </w:rPr>
        <w:t> </w:t>
      </w:r>
      <w:r>
        <w:rPr/>
        <w:t>as</w:t>
      </w:r>
      <w:r>
        <w:rPr>
          <w:spacing w:val="-2"/>
        </w:rPr>
        <w:t> </w:t>
      </w:r>
      <w:r>
        <w:rPr/>
        <w:t>arising</w:t>
      </w:r>
      <w:r>
        <w:rPr>
          <w:spacing w:val="-2"/>
        </w:rPr>
        <w:t> </w:t>
      </w:r>
      <w:r>
        <w:rPr/>
        <w:t>naturally,</w:t>
      </w:r>
      <w:r>
        <w:rPr>
          <w:spacing w:val="-2"/>
        </w:rPr>
        <w:t> </w:t>
      </w:r>
      <w:r>
        <w:rPr/>
        <w:t>i.e.</w:t>
      </w:r>
      <w:r>
        <w:rPr>
          <w:spacing w:val="-2"/>
        </w:rPr>
        <w:t> </w:t>
      </w:r>
      <w:r>
        <w:rPr/>
        <w:t>according to the usual course of things, from such breach of contract itself, or such as may reasonably be supposed to have been in the contemplation of both parties, at the time they made the contract, as the probable result of the breach of it. Now, if the special circumstances under which the contract was actually made were communicated by the plaintiffs to the defendants, and thus known to both parties, the damages resulting from the breach of such a contract, which they would reasonably contemplate, would be the amount of injury which would ordinarily follow from a breach of contract under these special circumstances so known and communicated. On the other hand, if these special circumstances were wholly unknown to the party breaking the contract, he, at the most, could only be supposed to have had in his contemplation the amount of injury which would arise generally, and in the great multitude of cases not affected by any special circumstances, from such a breach of contract.”</w:t>
      </w:r>
    </w:p>
    <w:p>
      <w:pPr>
        <w:pStyle w:val="BodyText"/>
        <w:spacing w:before="111"/>
      </w:pPr>
    </w:p>
    <w:p>
      <w:pPr>
        <w:pStyle w:val="BodyText"/>
        <w:spacing w:line="235" w:lineRule="auto"/>
        <w:ind w:left="165" w:right="167"/>
        <w:jc w:val="both"/>
      </w:pPr>
      <w:r>
        <w:rPr/>
        <w:t>It has become common to describe losses that arise “in the usual course of things” as falling </w:t>
      </w:r>
      <w:r>
        <w:rPr/>
        <w:t>under “the</w:t>
      </w:r>
      <w:r>
        <w:rPr>
          <w:spacing w:val="10"/>
        </w:rPr>
        <w:t> </w:t>
      </w:r>
      <w:r>
        <w:rPr/>
        <w:t>first</w:t>
      </w:r>
      <w:r>
        <w:rPr>
          <w:spacing w:val="11"/>
        </w:rPr>
        <w:t> </w:t>
      </w:r>
      <w:r>
        <w:rPr/>
        <w:t>rule”</w:t>
      </w:r>
      <w:r>
        <w:rPr>
          <w:spacing w:val="11"/>
        </w:rPr>
        <w:t> </w:t>
      </w:r>
      <w:r>
        <w:rPr/>
        <w:t>(or</w:t>
      </w:r>
      <w:r>
        <w:rPr>
          <w:spacing w:val="11"/>
        </w:rPr>
        <w:t> </w:t>
      </w:r>
      <w:r>
        <w:rPr/>
        <w:t>“limb”)</w:t>
      </w:r>
      <w:r>
        <w:rPr>
          <w:spacing w:val="11"/>
        </w:rPr>
        <w:t> </w:t>
      </w:r>
      <w:r>
        <w:rPr/>
        <w:t>of</w:t>
      </w:r>
      <w:r>
        <w:rPr>
          <w:spacing w:val="11"/>
        </w:rPr>
        <w:t> </w:t>
      </w:r>
      <w:r>
        <w:rPr>
          <w:rFonts w:ascii="Arial" w:hAnsi="Arial"/>
          <w:i/>
        </w:rPr>
        <w:t>Hadley</w:t>
      </w:r>
      <w:r>
        <w:rPr>
          <w:rFonts w:ascii="Arial" w:hAnsi="Arial"/>
          <w:i/>
          <w:spacing w:val="11"/>
        </w:rPr>
        <w:t> </w:t>
      </w:r>
      <w:r>
        <w:rPr>
          <w:rFonts w:ascii="Arial" w:hAnsi="Arial"/>
          <w:i/>
        </w:rPr>
        <w:t>v</w:t>
      </w:r>
      <w:r>
        <w:rPr>
          <w:rFonts w:ascii="Arial" w:hAnsi="Arial"/>
          <w:i/>
          <w:spacing w:val="11"/>
        </w:rPr>
        <w:t> </w:t>
      </w:r>
      <w:r>
        <w:rPr>
          <w:rFonts w:ascii="Arial" w:hAnsi="Arial"/>
          <w:i/>
        </w:rPr>
        <w:t>Baxendale</w:t>
      </w:r>
      <w:r>
        <w:rPr/>
        <w:t>,</w:t>
      </w:r>
      <w:r>
        <w:rPr>
          <w:spacing w:val="11"/>
        </w:rPr>
        <w:t> </w:t>
      </w:r>
      <w:r>
        <w:rPr/>
        <w:t>and</w:t>
      </w:r>
      <w:r>
        <w:rPr>
          <w:spacing w:val="11"/>
        </w:rPr>
        <w:t> </w:t>
      </w:r>
      <w:r>
        <w:rPr/>
        <w:t>those</w:t>
      </w:r>
      <w:r>
        <w:rPr>
          <w:spacing w:val="11"/>
        </w:rPr>
        <w:t> </w:t>
      </w:r>
      <w:r>
        <w:rPr/>
        <w:t>which</w:t>
      </w:r>
      <w:r>
        <w:rPr>
          <w:spacing w:val="11"/>
        </w:rPr>
        <w:t> </w:t>
      </w:r>
      <w:r>
        <w:rPr/>
        <w:t>are</w:t>
      </w:r>
      <w:r>
        <w:rPr>
          <w:spacing w:val="11"/>
        </w:rPr>
        <w:t> </w:t>
      </w:r>
      <w:r>
        <w:rPr/>
        <w:t>recoverable</w:t>
      </w:r>
      <w:r>
        <w:rPr>
          <w:spacing w:val="11"/>
        </w:rPr>
        <w:t> </w:t>
      </w:r>
      <w:r>
        <w:rPr/>
        <w:t>only</w:t>
      </w:r>
      <w:r>
        <w:rPr>
          <w:spacing w:val="11"/>
        </w:rPr>
        <w:t> </w:t>
      </w:r>
      <w:r>
        <w:rPr/>
        <w:t>because</w:t>
      </w:r>
      <w:r>
        <w:rPr>
          <w:spacing w:val="11"/>
        </w:rPr>
        <w:t> </w:t>
      </w:r>
      <w:r>
        <w:rPr>
          <w:spacing w:val="-4"/>
        </w:rPr>
        <w:t>they</w:t>
      </w:r>
    </w:p>
    <w:p>
      <w:pPr>
        <w:pStyle w:val="BodyText"/>
        <w:spacing w:after="0" w:line="235" w:lineRule="auto"/>
        <w:jc w:val="both"/>
        <w:sectPr>
          <w:headerReference w:type="default" r:id="rId35"/>
          <w:pgSz w:w="11900" w:h="16840"/>
          <w:pgMar w:header="971" w:footer="0" w:top="1300" w:bottom="280" w:left="1275" w:right="1275"/>
          <w:pgNumType w:start="1"/>
        </w:sectPr>
      </w:pPr>
    </w:p>
    <w:p>
      <w:pPr>
        <w:pStyle w:val="BodyText"/>
        <w:spacing w:before="106"/>
        <w:ind w:left="165"/>
        <w:jc w:val="both"/>
      </w:pPr>
      <w:bookmarkStart w:name="_bookmark1169" w:id="1171"/>
      <w:bookmarkEnd w:id="1171"/>
      <w:r>
        <w:rPr/>
      </w:r>
      <w:r>
        <w:rPr/>
        <w:t>were contemplated by the parties as falling under the “second rule”.</w:t>
      </w:r>
      <w:r>
        <w:rPr>
          <w:spacing w:val="-1"/>
        </w:rPr>
        <w:t> </w:t>
      </w:r>
      <w:r>
        <w:rPr>
          <w:color w:val="005DA1"/>
          <w:spacing w:val="-5"/>
          <w:u w:val="single" w:color="005DA1"/>
          <w:vertAlign w:val="superscript"/>
        </w:rPr>
        <w:t>619</w:t>
      </w:r>
    </w:p>
    <w:p>
      <w:pPr>
        <w:pStyle w:val="BodyText"/>
      </w:pPr>
    </w:p>
    <w:p>
      <w:pPr>
        <w:pStyle w:val="BodyText"/>
        <w:spacing w:before="38"/>
      </w:pPr>
    </w:p>
    <w:p>
      <w:pPr>
        <w:spacing w:before="0"/>
        <w:ind w:left="165" w:right="0" w:firstLine="0"/>
        <w:jc w:val="left"/>
        <w:rPr>
          <w:rFonts w:ascii="Arial"/>
          <w:b/>
          <w:sz w:val="18"/>
        </w:rPr>
      </w:pPr>
      <w:r>
        <w:rPr>
          <w:rFonts w:ascii="Arial"/>
          <w:b/>
          <w:sz w:val="18"/>
        </w:rPr>
        <w:t>Modern statement of the </w:t>
      </w:r>
      <w:r>
        <w:rPr>
          <w:rFonts w:ascii="Arial"/>
          <w:b/>
          <w:spacing w:val="-4"/>
          <w:sz w:val="18"/>
        </w:rPr>
        <w:t>rule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111</w:t>
      </w:r>
    </w:p>
    <w:p>
      <w:pPr>
        <w:pStyle w:val="BodyText"/>
        <w:spacing w:line="235" w:lineRule="auto" w:before="203"/>
        <w:ind w:left="165" w:right="167"/>
        <w:jc w:val="both"/>
      </w:pPr>
      <w:bookmarkStart w:name="_bookmark1170" w:id="1172"/>
      <w:bookmarkEnd w:id="1172"/>
      <w:r>
        <w:rPr/>
      </w:r>
      <w:r>
        <w:rPr/>
        <w:t>The principles laid down in </w:t>
      </w:r>
      <w:r>
        <w:rPr>
          <w:rFonts w:ascii="Arial"/>
          <w:i/>
        </w:rPr>
        <w:t>Hadley v Baxendale </w:t>
      </w:r>
      <w:r>
        <w:rPr/>
        <w:t>have been interpreted and restated by the Court </w:t>
      </w:r>
      <w:r>
        <w:rPr/>
        <w:t>of </w:t>
      </w:r>
      <w:bookmarkStart w:name="_bookmark1171" w:id="1173"/>
      <w:bookmarkEnd w:id="1173"/>
      <w:r>
        <w:rPr/>
        <w:t>Appeal</w:t>
      </w:r>
      <w:r>
        <w:rPr/>
        <w:t> in 1949 in </w:t>
      </w:r>
      <w:r>
        <w:rPr>
          <w:rFonts w:ascii="Arial"/>
          <w:i/>
        </w:rPr>
        <w:t>Victoria Laundry (Windsor) Ltd v Newman Industries Ltd </w:t>
      </w:r>
      <w:r>
        <w:rPr>
          <w:color w:val="005DA1"/>
          <w:u w:val="single" w:color="005DA1"/>
          <w:vertAlign w:val="superscript"/>
        </w:rPr>
        <w:t>620</w:t>
      </w:r>
      <w:r>
        <w:rPr>
          <w:color w:val="005DA1"/>
          <w:vertAlign w:val="baseline"/>
        </w:rPr>
        <w:t> </w:t>
      </w:r>
      <w:r>
        <w:rPr>
          <w:vertAlign w:val="baseline"/>
        </w:rPr>
        <w:t>and by the House of Lords in 1967, in </w:t>
      </w:r>
      <w:r>
        <w:rPr>
          <w:rFonts w:ascii="Arial"/>
          <w:i/>
          <w:vertAlign w:val="baseline"/>
        </w:rPr>
        <w:t>Koufos v C. Czarnikow Ltd (The Heron II)</w:t>
      </w:r>
      <w:r>
        <w:rPr>
          <w:vertAlign w:val="baseline"/>
        </w:rPr>
        <w:t>. </w:t>
      </w:r>
      <w:r>
        <w:rPr>
          <w:color w:val="005DA1"/>
          <w:u w:val="single" w:color="005DA1"/>
          <w:vertAlign w:val="superscript"/>
        </w:rPr>
        <w:t>621</w:t>
      </w:r>
      <w:r>
        <w:rPr>
          <w:color w:val="005DA1"/>
          <w:vertAlign w:val="baseline"/>
        </w:rPr>
        <w:t> </w:t>
      </w:r>
      <w:r>
        <w:rPr>
          <w:vertAlign w:val="baseline"/>
        </w:rPr>
        <w:t>The combined effect of these cases may be summarised as follows: A type or kind of loss is not too remote a consequence of a breach of contract if, at the time of contracting (and on the assumption that the parties actually foresaw the </w:t>
      </w:r>
      <w:bookmarkStart w:name="_bookmark1172" w:id="1174"/>
      <w:bookmarkEnd w:id="1174"/>
      <w:r>
        <w:rPr>
          <w:vertAlign w:val="baseline"/>
        </w:rPr>
        <w:t>breach</w:t>
      </w:r>
      <w:r>
        <w:rPr>
          <w:vertAlign w:val="baseline"/>
        </w:rPr>
        <w:t> in question), it was within their reasonable contemplation as a not unlikely result of that</w:t>
      </w:r>
      <w:r>
        <w:rPr>
          <w:spacing w:val="40"/>
          <w:vertAlign w:val="baseline"/>
        </w:rPr>
        <w:t> </w:t>
      </w:r>
      <w:r>
        <w:rPr>
          <w:vertAlign w:val="baseline"/>
        </w:rPr>
        <w:t>breach. </w:t>
      </w:r>
      <w:r>
        <w:rPr>
          <w:color w:val="005DA1"/>
          <w:u w:val="single" w:color="005DA1"/>
          <w:vertAlign w:val="superscript"/>
        </w:rPr>
        <w:t>622</w:t>
      </w:r>
      <w:r>
        <w:rPr>
          <w:color w:val="005DA1"/>
          <w:vertAlign w:val="baseline"/>
        </w:rPr>
        <w:t> </w:t>
      </w:r>
      <w:r>
        <w:rPr>
          <w:vertAlign w:val="baseline"/>
        </w:rPr>
        <w:t>The following paragraphs expound the different aspects of this summary. It must be borne </w:t>
      </w:r>
      <w:bookmarkStart w:name="_bookmark1173" w:id="1175"/>
      <w:bookmarkEnd w:id="1175"/>
      <w:r>
        <w:rPr>
          <w:vertAlign w:val="baseline"/>
        </w:rPr>
        <w:t>in</w:t>
      </w:r>
      <w:r>
        <w:rPr>
          <w:vertAlign w:val="baseline"/>
        </w:rPr>
        <w:t> mind that a loss may not be recoverable merely because it was not too unusual, if in the circumstances</w:t>
      </w:r>
      <w:r>
        <w:rPr>
          <w:spacing w:val="7"/>
          <w:vertAlign w:val="baseline"/>
        </w:rPr>
        <w:t> </w:t>
      </w:r>
      <w:r>
        <w:rPr>
          <w:vertAlign w:val="baseline"/>
        </w:rPr>
        <w:t>it</w:t>
      </w:r>
      <w:r>
        <w:rPr>
          <w:spacing w:val="7"/>
          <w:vertAlign w:val="baseline"/>
        </w:rPr>
        <w:t> </w:t>
      </w:r>
      <w:r>
        <w:rPr>
          <w:vertAlign w:val="baseline"/>
        </w:rPr>
        <w:t>was</w:t>
      </w:r>
      <w:r>
        <w:rPr>
          <w:spacing w:val="7"/>
          <w:vertAlign w:val="baseline"/>
        </w:rPr>
        <w:t> </w:t>
      </w:r>
      <w:r>
        <w:rPr>
          <w:vertAlign w:val="baseline"/>
        </w:rPr>
        <w:t>not</w:t>
      </w:r>
      <w:r>
        <w:rPr>
          <w:spacing w:val="7"/>
          <w:vertAlign w:val="baseline"/>
        </w:rPr>
        <w:t> </w:t>
      </w:r>
      <w:r>
        <w:rPr>
          <w:vertAlign w:val="baseline"/>
        </w:rPr>
        <w:t>reasonable</w:t>
      </w:r>
      <w:r>
        <w:rPr>
          <w:spacing w:val="7"/>
          <w:vertAlign w:val="baseline"/>
        </w:rPr>
        <w:t> </w:t>
      </w:r>
      <w:r>
        <w:rPr>
          <w:vertAlign w:val="baseline"/>
        </w:rPr>
        <w:t>to</w:t>
      </w:r>
      <w:r>
        <w:rPr>
          <w:spacing w:val="7"/>
          <w:vertAlign w:val="baseline"/>
        </w:rPr>
        <w:t> </w:t>
      </w:r>
      <w:r>
        <w:rPr>
          <w:vertAlign w:val="baseline"/>
        </w:rPr>
        <w:t>assume</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defendant</w:t>
      </w:r>
      <w:r>
        <w:rPr>
          <w:spacing w:val="7"/>
          <w:vertAlign w:val="baseline"/>
        </w:rPr>
        <w:t> </w:t>
      </w:r>
      <w:r>
        <w:rPr>
          <w:vertAlign w:val="baseline"/>
        </w:rPr>
        <w:t>was</w:t>
      </w:r>
      <w:r>
        <w:rPr>
          <w:spacing w:val="7"/>
          <w:vertAlign w:val="baseline"/>
        </w:rPr>
        <w:t> </w:t>
      </w:r>
      <w:r>
        <w:rPr>
          <w:vertAlign w:val="baseline"/>
        </w:rPr>
        <w:t>accepting</w:t>
      </w:r>
      <w:r>
        <w:rPr>
          <w:spacing w:val="7"/>
          <w:vertAlign w:val="baseline"/>
        </w:rPr>
        <w:t> </w:t>
      </w:r>
      <w:r>
        <w:rPr>
          <w:vertAlign w:val="baseline"/>
        </w:rPr>
        <w:t>responsibility</w:t>
      </w:r>
      <w:r>
        <w:rPr>
          <w:spacing w:val="7"/>
          <w:vertAlign w:val="baseline"/>
        </w:rPr>
        <w:t> </w:t>
      </w:r>
      <w:r>
        <w:rPr>
          <w:vertAlign w:val="baseline"/>
        </w:rPr>
        <w:t>for</w:t>
      </w:r>
      <w:r>
        <w:rPr>
          <w:spacing w:val="7"/>
          <w:vertAlign w:val="baseline"/>
        </w:rPr>
        <w:t> </w:t>
      </w:r>
      <w:r>
        <w:rPr>
          <w:spacing w:val="-5"/>
          <w:vertAlign w:val="baseline"/>
        </w:rPr>
        <w:t>it.</w:t>
      </w:r>
    </w:p>
    <w:p>
      <w:pPr>
        <w:spacing w:line="110" w:lineRule="exact" w:before="0"/>
        <w:ind w:left="165" w:right="0" w:firstLine="0"/>
        <w:jc w:val="left"/>
        <w:rPr>
          <w:sz w:val="12"/>
        </w:rPr>
      </w:pPr>
      <w:r>
        <w:rPr>
          <w:color w:val="005DA1"/>
          <w:spacing w:val="-5"/>
          <w:sz w:val="12"/>
          <w:u w:val="single" w:color="005DA1"/>
        </w:rPr>
        <w:t>623</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Relevant </w:t>
      </w:r>
      <w:r>
        <w:rPr>
          <w:rFonts w:ascii="Arial"/>
          <w:b/>
          <w:spacing w:val="-4"/>
          <w:sz w:val="18"/>
        </w:rPr>
        <w:t>date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112</w:t>
      </w:r>
    </w:p>
    <w:p>
      <w:pPr>
        <w:pStyle w:val="BodyText"/>
        <w:spacing w:line="235" w:lineRule="auto" w:before="203"/>
        <w:ind w:left="165" w:right="167"/>
        <w:jc w:val="both"/>
      </w:pPr>
      <w:r>
        <w:rPr/>
        <w:t>A preliminary point is that the question is what was contemplated by the parties at the time at which </w:t>
      </w:r>
      <w:bookmarkStart w:name="_bookmark1174" w:id="1176"/>
      <w:bookmarkEnd w:id="1176"/>
      <w:r>
        <w:rPr/>
        <w:t>the</w:t>
      </w:r>
      <w:r>
        <w:rPr/>
        <w:t> contract was made, not what they may have contemplated at some later date such as the date of breach. </w:t>
      </w:r>
      <w:r>
        <w:rPr>
          <w:color w:val="005DA1"/>
          <w:u w:val="single" w:color="005DA1"/>
          <w:vertAlign w:val="superscript"/>
        </w:rPr>
        <w:t>624</w:t>
      </w:r>
    </w:p>
    <w:p>
      <w:pPr>
        <w:pStyle w:val="BodyText"/>
      </w:pPr>
    </w:p>
    <w:p>
      <w:pPr>
        <w:pStyle w:val="BodyText"/>
        <w:spacing w:before="37"/>
      </w:pPr>
    </w:p>
    <w:p>
      <w:pPr>
        <w:spacing w:before="0"/>
        <w:ind w:left="165" w:right="0" w:firstLine="0"/>
        <w:jc w:val="left"/>
        <w:rPr>
          <w:rFonts w:ascii="Arial"/>
          <w:b/>
          <w:sz w:val="18"/>
        </w:rPr>
      </w:pPr>
      <w:r>
        <w:rPr>
          <w:rFonts w:ascii="Arial"/>
          <w:b/>
          <w:sz w:val="18"/>
        </w:rPr>
        <w:t>What must be contemplated and the degree of </w:t>
      </w:r>
      <w:r>
        <w:rPr>
          <w:rFonts w:ascii="Arial"/>
          <w:b/>
          <w:spacing w:val="-2"/>
          <w:sz w:val="18"/>
        </w:rPr>
        <w:t>probability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113</w:t>
      </w:r>
    </w:p>
    <w:p>
      <w:pPr>
        <w:pStyle w:val="BodyText"/>
        <w:spacing w:line="235" w:lineRule="auto" w:before="202"/>
        <w:ind w:left="164" w:right="167"/>
        <w:jc w:val="both"/>
      </w:pPr>
      <w:bookmarkStart w:name="_bookmark1175" w:id="1177"/>
      <w:bookmarkEnd w:id="1177"/>
      <w:r>
        <w:rPr/>
      </w:r>
      <w:r>
        <w:rPr/>
        <w:t>The formulation used by the Court of Appeal in the </w:t>
      </w:r>
      <w:r>
        <w:rPr>
          <w:rFonts w:ascii="Arial" w:hAnsi="Arial"/>
          <w:i/>
        </w:rPr>
        <w:t>Victoria Laundries </w:t>
      </w:r>
      <w:r>
        <w:rPr/>
        <w:t>case </w:t>
      </w:r>
      <w:r>
        <w:rPr>
          <w:color w:val="005DA1"/>
          <w:u w:val="single" w:color="005DA1"/>
          <w:vertAlign w:val="superscript"/>
        </w:rPr>
        <w:t>625</w:t>
      </w:r>
      <w:r>
        <w:rPr>
          <w:color w:val="005DA1"/>
          <w:vertAlign w:val="baseline"/>
        </w:rPr>
        <w:t> </w:t>
      </w:r>
      <w:r>
        <w:rPr>
          <w:vertAlign w:val="baseline"/>
        </w:rPr>
        <w:t>gave rise to the principal issues that arose in </w:t>
      </w:r>
      <w:r>
        <w:rPr>
          <w:rFonts w:ascii="Arial" w:hAnsi="Arial"/>
          <w:i/>
          <w:vertAlign w:val="baseline"/>
        </w:rPr>
        <w:t>The Heron II</w:t>
      </w:r>
      <w:r>
        <w:rPr>
          <w:vertAlign w:val="baseline"/>
        </w:rPr>
        <w:t>. These were whether the parties must have contemplated the extent of the loss or only the kind, and the degree of probability required, in particular for a kind of loss to fall within the first limb of </w:t>
      </w:r>
      <w:r>
        <w:rPr>
          <w:rFonts w:ascii="Arial" w:hAnsi="Arial"/>
          <w:i/>
          <w:vertAlign w:val="baseline"/>
        </w:rPr>
        <w:t>Hadley v Baxendale</w:t>
      </w:r>
      <w:r>
        <w:rPr>
          <w:vertAlign w:val="baseline"/>
        </w:rPr>
        <w:t>, i.e. to be “in the usual course of things”.</w:t>
      </w:r>
    </w:p>
    <w:p>
      <w:pPr>
        <w:pStyle w:val="BodyText"/>
      </w:pPr>
    </w:p>
    <w:p>
      <w:pPr>
        <w:pStyle w:val="BodyText"/>
        <w:spacing w:before="37"/>
      </w:pPr>
    </w:p>
    <w:p>
      <w:pPr>
        <w:spacing w:before="1"/>
        <w:ind w:left="165" w:right="0" w:firstLine="0"/>
        <w:jc w:val="left"/>
        <w:rPr>
          <w:rFonts w:ascii="Arial"/>
          <w:b/>
          <w:sz w:val="18"/>
        </w:rPr>
      </w:pPr>
      <w:r>
        <w:rPr>
          <w:rFonts w:ascii="Arial"/>
          <w:b/>
          <w:sz w:val="18"/>
        </w:rPr>
        <w:t>The Victoria Laundry </w:t>
      </w:r>
      <w:r>
        <w:rPr>
          <w:rFonts w:ascii="Arial"/>
          <w:b/>
          <w:spacing w:val="-4"/>
          <w:sz w:val="18"/>
        </w:rPr>
        <w:t>case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114</w:t>
      </w:r>
    </w:p>
    <w:p>
      <w:pPr>
        <w:spacing w:before="199"/>
        <w:ind w:left="165" w:right="0" w:firstLine="0"/>
        <w:jc w:val="both"/>
        <w:rPr>
          <w:sz w:val="20"/>
        </w:rPr>
      </w:pPr>
      <w:bookmarkStart w:name="_bookmark1176" w:id="1178"/>
      <w:bookmarkEnd w:id="1178"/>
      <w:r>
        <w:rPr/>
      </w:r>
      <w:r>
        <w:rPr>
          <w:sz w:val="20"/>
        </w:rPr>
        <w:t>The three main propositions in the</w:t>
      </w:r>
      <w:r>
        <w:rPr>
          <w:spacing w:val="-1"/>
          <w:sz w:val="20"/>
        </w:rPr>
        <w:t> </w:t>
      </w:r>
      <w:r>
        <w:rPr>
          <w:rFonts w:ascii="Arial"/>
          <w:i/>
          <w:sz w:val="20"/>
        </w:rPr>
        <w:t>Victoria Laundry</w:t>
      </w:r>
      <w:r>
        <w:rPr>
          <w:rFonts w:ascii="Arial"/>
          <w:i/>
          <w:spacing w:val="-1"/>
          <w:sz w:val="20"/>
        </w:rPr>
        <w:t> </w:t>
      </w:r>
      <w:r>
        <w:rPr>
          <w:sz w:val="20"/>
        </w:rPr>
        <w:t>case were</w:t>
      </w:r>
      <w:r>
        <w:rPr>
          <w:spacing w:val="-1"/>
          <w:sz w:val="20"/>
        </w:rPr>
        <w:t> </w:t>
      </w:r>
      <w:r>
        <w:rPr>
          <w:color w:val="005DA1"/>
          <w:spacing w:val="-4"/>
          <w:sz w:val="20"/>
          <w:u w:val="single" w:color="005DA1"/>
          <w:vertAlign w:val="superscript"/>
        </w:rPr>
        <w:t>626</w:t>
      </w:r>
      <w:r>
        <w:rPr>
          <w:spacing w:val="-4"/>
          <w:sz w:val="20"/>
          <w:vertAlign w:val="baseline"/>
        </w:rPr>
        <w:t>:</w:t>
      </w:r>
    </w:p>
    <w:p>
      <w:pPr>
        <w:pStyle w:val="BodyText"/>
      </w:pPr>
    </w:p>
    <w:p>
      <w:pPr>
        <w:pStyle w:val="BodyText"/>
      </w:pPr>
    </w:p>
    <w:p>
      <w:pPr>
        <w:pStyle w:val="BodyText"/>
      </w:pPr>
    </w:p>
    <w:p>
      <w:pPr>
        <w:pStyle w:val="BodyText"/>
        <w:spacing w:before="95"/>
      </w:pPr>
    </w:p>
    <w:p>
      <w:pPr>
        <w:pStyle w:val="BodyText"/>
        <w:ind w:left="1244"/>
      </w:pPr>
      <w:r>
        <w:rPr>
          <w:spacing w:val="-4"/>
        </w:rPr>
        <w:t>“(2)</w:t>
      </w:r>
    </w:p>
    <w:p>
      <w:pPr>
        <w:pStyle w:val="BodyText"/>
        <w:spacing w:line="235" w:lineRule="auto" w:before="114"/>
        <w:ind w:left="1724" w:right="167"/>
        <w:jc w:val="both"/>
      </w:pPr>
      <w:r>
        <w:rPr/>
        <w:t>In cases of breach of contract the aggrieved party is only entitled to recover such part of the loss actually resulting as was at the time of the contract </w:t>
      </w:r>
      <w:r>
        <w:rPr/>
        <w:t>reasonably foreseeable as liable to result from the breach …</w:t>
      </w:r>
    </w:p>
    <w:p>
      <w:pPr>
        <w:pStyle w:val="BodyText"/>
      </w:pPr>
    </w:p>
    <w:p>
      <w:pPr>
        <w:pStyle w:val="BodyText"/>
        <w:spacing w:before="35"/>
      </w:pPr>
    </w:p>
    <w:p>
      <w:pPr>
        <w:pStyle w:val="BodyText"/>
        <w:ind w:left="1244"/>
      </w:pPr>
      <w:r>
        <w:rPr>
          <w:spacing w:val="-5"/>
        </w:rPr>
        <w:t>(3)</w:t>
      </w:r>
    </w:p>
    <w:p>
      <w:pPr>
        <w:pStyle w:val="BodyText"/>
        <w:spacing w:line="235" w:lineRule="auto" w:before="113"/>
        <w:ind w:left="1724"/>
      </w:pPr>
      <w:r>
        <w:rPr/>
        <w:t>What was at that time reasonably so foreseeable depends on the knowledge then</w:t>
      </w:r>
      <w:r>
        <w:rPr>
          <w:spacing w:val="40"/>
        </w:rPr>
        <w:t> </w:t>
      </w:r>
      <w:r>
        <w:rPr/>
        <w:t>possessed by the parties or, at all events, by the party who later commits the </w:t>
      </w:r>
      <w:r>
        <w:rPr>
          <w:spacing w:val="-2"/>
        </w:rPr>
        <w:t>breach</w:t>
      </w:r>
    </w:p>
    <w:p>
      <w:pPr>
        <w:spacing w:line="225" w:lineRule="exact" w:before="0"/>
        <w:ind w:left="1724" w:right="0" w:firstLine="0"/>
        <w:jc w:val="left"/>
        <w:rPr>
          <w:sz w:val="20"/>
        </w:rPr>
      </w:pPr>
      <w:r>
        <w:rPr>
          <w:spacing w:val="-10"/>
          <w:sz w:val="20"/>
        </w:rPr>
        <w:t>…</w:t>
      </w:r>
    </w:p>
    <w:p>
      <w:pPr>
        <w:spacing w:after="0" w:line="225" w:lineRule="exact"/>
        <w:jc w:val="left"/>
        <w:rPr>
          <w:sz w:val="20"/>
        </w:rPr>
        <w:sectPr>
          <w:pgSz w:w="11900" w:h="16840"/>
          <w:pgMar w:header="971" w:footer="0" w:top="1300" w:bottom="280" w:left="1275" w:right="1275"/>
        </w:sectPr>
      </w:pPr>
    </w:p>
    <w:p>
      <w:pPr>
        <w:pStyle w:val="BodyText"/>
      </w:pPr>
    </w:p>
    <w:p>
      <w:pPr>
        <w:pStyle w:val="BodyText"/>
        <w:spacing w:before="166"/>
      </w:pPr>
    </w:p>
    <w:p>
      <w:pPr>
        <w:pStyle w:val="BodyText"/>
        <w:spacing w:before="1"/>
        <w:ind w:left="1245"/>
      </w:pPr>
      <w:r>
        <w:rPr>
          <w:spacing w:val="-5"/>
        </w:rPr>
        <w:t>(4)</w:t>
      </w:r>
    </w:p>
    <w:p>
      <w:pPr>
        <w:pStyle w:val="BodyText"/>
        <w:spacing w:line="235" w:lineRule="auto" w:before="113"/>
        <w:ind w:left="1725" w:right="167"/>
        <w:jc w:val="both"/>
      </w:pPr>
      <w:r>
        <w:rPr/>
        <w:t>For this purpose, knowledge ‘possessed’ is of two kinds; one imputed, the </w:t>
      </w:r>
      <w:r>
        <w:rPr/>
        <w:t>other actual. Everyone, as a reasonable person, is taken to know the ‘ordinary course of things’ and consequently what loss is liable to result from a breach of contract in</w:t>
      </w:r>
      <w:r>
        <w:rPr>
          <w:spacing w:val="40"/>
        </w:rPr>
        <w:t> </w:t>
      </w:r>
      <w:r>
        <w:rPr/>
        <w:t>that ordinary course … But to this knowledge, which a contract-breaker is assumed to</w:t>
      </w:r>
      <w:r>
        <w:rPr>
          <w:spacing w:val="-2"/>
        </w:rPr>
        <w:t> </w:t>
      </w:r>
      <w:r>
        <w:rPr/>
        <w:t>possess</w:t>
      </w:r>
      <w:r>
        <w:rPr>
          <w:spacing w:val="-2"/>
        </w:rPr>
        <w:t> </w:t>
      </w:r>
      <w:r>
        <w:rPr/>
        <w:t>whether</w:t>
      </w:r>
      <w:r>
        <w:rPr>
          <w:spacing w:val="-2"/>
        </w:rPr>
        <w:t> </w:t>
      </w:r>
      <w:r>
        <w:rPr/>
        <w:t>he</w:t>
      </w:r>
      <w:r>
        <w:rPr>
          <w:spacing w:val="-2"/>
        </w:rPr>
        <w:t> </w:t>
      </w:r>
      <w:r>
        <w:rPr/>
        <w:t>actually</w:t>
      </w:r>
      <w:r>
        <w:rPr>
          <w:spacing w:val="-2"/>
        </w:rPr>
        <w:t> </w:t>
      </w:r>
      <w:r>
        <w:rPr/>
        <w:t>possesses</w:t>
      </w:r>
      <w:r>
        <w:rPr>
          <w:spacing w:val="-2"/>
        </w:rPr>
        <w:t> </w:t>
      </w:r>
      <w:r>
        <w:rPr/>
        <w:t>it</w:t>
      </w:r>
      <w:r>
        <w:rPr>
          <w:spacing w:val="-2"/>
        </w:rPr>
        <w:t> </w:t>
      </w:r>
      <w:r>
        <w:rPr/>
        <w:t>or</w:t>
      </w:r>
      <w:r>
        <w:rPr>
          <w:spacing w:val="-2"/>
        </w:rPr>
        <w:t> </w:t>
      </w:r>
      <w:r>
        <w:rPr/>
        <w:t>not,</w:t>
      </w:r>
      <w:r>
        <w:rPr>
          <w:spacing w:val="-2"/>
        </w:rPr>
        <w:t> </w:t>
      </w:r>
      <w:r>
        <w:rPr/>
        <w:t>there</w:t>
      </w:r>
      <w:r>
        <w:rPr>
          <w:spacing w:val="-2"/>
        </w:rPr>
        <w:t> </w:t>
      </w:r>
      <w:r>
        <w:rPr/>
        <w:t>may</w:t>
      </w:r>
      <w:r>
        <w:rPr>
          <w:spacing w:val="-2"/>
        </w:rPr>
        <w:t> </w:t>
      </w:r>
      <w:r>
        <w:rPr/>
        <w:t>have</w:t>
      </w:r>
      <w:r>
        <w:rPr>
          <w:spacing w:val="-2"/>
        </w:rPr>
        <w:t> </w:t>
      </w:r>
      <w:r>
        <w:rPr/>
        <w:t>to</w:t>
      </w:r>
      <w:r>
        <w:rPr>
          <w:spacing w:val="-2"/>
        </w:rPr>
        <w:t> </w:t>
      </w:r>
      <w:r>
        <w:rPr/>
        <w:t>be</w:t>
      </w:r>
      <w:r>
        <w:rPr>
          <w:spacing w:val="-2"/>
        </w:rPr>
        <w:t> </w:t>
      </w:r>
      <w:r>
        <w:rPr/>
        <w:t>added</w:t>
      </w:r>
      <w:r>
        <w:rPr>
          <w:spacing w:val="-2"/>
        </w:rPr>
        <w:t> </w:t>
      </w:r>
      <w:r>
        <w:rPr/>
        <w:t>in</w:t>
      </w:r>
      <w:r>
        <w:rPr>
          <w:spacing w:val="-2"/>
        </w:rPr>
        <w:t> </w:t>
      </w:r>
      <w:r>
        <w:rPr/>
        <w:t>a particular case knowledge which he actually possesses, of special circumstances outside the ‘ordinary course of things,’ of such a kind that breach in those special circumstances would be liable to cause more loss.”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1"/>
        <w:rPr>
          <w:sz w:val="18"/>
        </w:rPr>
      </w:pPr>
    </w:p>
    <w:p>
      <w:pPr>
        <w:spacing w:before="0"/>
        <w:ind w:left="165" w:right="0" w:firstLine="0"/>
        <w:jc w:val="left"/>
        <w:rPr>
          <w:rFonts w:ascii="Arial"/>
          <w:b/>
          <w:sz w:val="18"/>
        </w:rPr>
      </w:pPr>
      <w:r>
        <w:rPr>
          <w:rFonts w:ascii="Arial"/>
          <w:b/>
          <w:sz w:val="18"/>
        </w:rPr>
        <w:t>The Heron </w:t>
      </w:r>
      <w:r>
        <w:rPr>
          <w:rFonts w:ascii="Arial"/>
          <w:b/>
          <w:spacing w:val="-5"/>
          <w:sz w:val="18"/>
        </w:rPr>
        <w:t>II</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115</w:t>
      </w:r>
    </w:p>
    <w:p>
      <w:pPr>
        <w:pStyle w:val="BodyText"/>
        <w:spacing w:line="235" w:lineRule="auto" w:before="203"/>
        <w:ind w:left="165" w:right="167"/>
        <w:jc w:val="both"/>
      </w:pPr>
      <w:bookmarkStart w:name="_bookmark1177" w:id="1179"/>
      <w:bookmarkEnd w:id="1179"/>
      <w:r>
        <w:rPr/>
      </w:r>
      <w:bookmarkStart w:name="_bookmark1178" w:id="1180"/>
      <w:bookmarkEnd w:id="1180"/>
      <w:r>
        <w:rPr/>
      </w:r>
      <w:r>
        <w:rPr/>
        <w:t>In </w:t>
      </w:r>
      <w:r>
        <w:rPr>
          <w:rFonts w:ascii="Arial"/>
          <w:i/>
        </w:rPr>
        <w:t>The Heron II </w:t>
      </w:r>
      <w:r>
        <w:rPr>
          <w:color w:val="005DA1"/>
          <w:u w:val="single" w:color="005DA1"/>
          <w:vertAlign w:val="superscript"/>
        </w:rPr>
        <w:t>627</w:t>
      </w:r>
      <w:r>
        <w:rPr>
          <w:color w:val="005DA1"/>
          <w:vertAlign w:val="baseline"/>
        </w:rPr>
        <w:t> </w:t>
      </w:r>
      <w:r>
        <w:rPr>
          <w:vertAlign w:val="baseline"/>
        </w:rPr>
        <w:t>their Lordships did not agree upon a common formulation, but three of their Lordships </w:t>
      </w:r>
      <w:r>
        <w:rPr>
          <w:color w:val="005DA1"/>
          <w:u w:val="single" w:color="005DA1"/>
          <w:vertAlign w:val="superscript"/>
        </w:rPr>
        <w:t>628</w:t>
      </w:r>
      <w:r>
        <w:rPr>
          <w:color w:val="005DA1"/>
          <w:vertAlign w:val="baseline"/>
        </w:rPr>
        <w:t> </w:t>
      </w:r>
      <w:r>
        <w:rPr>
          <w:vertAlign w:val="baseline"/>
        </w:rPr>
        <w:t>gave general approval to these and other </w:t>
      </w:r>
      <w:r>
        <w:rPr>
          <w:color w:val="005DA1"/>
          <w:u w:val="single" w:color="005DA1"/>
          <w:vertAlign w:val="superscript"/>
        </w:rPr>
        <w:t>629</w:t>
      </w:r>
      <w:r>
        <w:rPr>
          <w:color w:val="005DA1"/>
          <w:vertAlign w:val="baseline"/>
        </w:rPr>
        <w:t> </w:t>
      </w:r>
      <w:r>
        <w:rPr>
          <w:vertAlign w:val="baseline"/>
        </w:rPr>
        <w:t>propositions in the </w:t>
      </w:r>
      <w:r>
        <w:rPr>
          <w:rFonts w:ascii="Arial"/>
          <w:i/>
          <w:vertAlign w:val="baseline"/>
        </w:rPr>
        <w:t>Victoria Laundry </w:t>
      </w:r>
      <w:r>
        <w:rPr>
          <w:vertAlign w:val="baseline"/>
        </w:rPr>
        <w:t>case. </w:t>
      </w:r>
      <w:r>
        <w:rPr>
          <w:color w:val="005DA1"/>
          <w:u w:val="single" w:color="005DA1"/>
          <w:vertAlign w:val="superscript"/>
        </w:rPr>
        <w:t>630</w:t>
      </w:r>
      <w:r>
        <w:rPr>
          <w:color w:val="005DA1"/>
          <w:vertAlign w:val="baseline"/>
        </w:rPr>
        <w:t> </w:t>
      </w:r>
      <w:r>
        <w:rPr>
          <w:vertAlign w:val="baseline"/>
        </w:rPr>
        <w:t>Somewhat different formulations were adopted by Lords Reid and Upjohn: the former said that Alderson B. in </w:t>
      </w:r>
      <w:r>
        <w:rPr>
          <w:rFonts w:ascii="Arial"/>
          <w:i/>
          <w:vertAlign w:val="baseline"/>
        </w:rPr>
        <w:t>Hadley v Baxendale</w:t>
      </w:r>
      <w:r>
        <w:rPr>
          <w:vertAlign w:val="baseline"/>
        </w:rPr>
        <w:t>, above:</w:t>
      </w:r>
    </w:p>
    <w:p>
      <w:pPr>
        <w:pStyle w:val="BodyText"/>
      </w:pPr>
    </w:p>
    <w:p>
      <w:pPr>
        <w:pStyle w:val="BodyText"/>
        <w:spacing w:before="125"/>
      </w:pPr>
    </w:p>
    <w:p>
      <w:pPr>
        <w:pStyle w:val="BodyText"/>
        <w:spacing w:line="235" w:lineRule="auto"/>
        <w:ind w:left="1245" w:right="167"/>
        <w:jc w:val="both"/>
      </w:pPr>
      <w:bookmarkStart w:name="_bookmark1179" w:id="1181"/>
      <w:bookmarkEnd w:id="1181"/>
      <w:r>
        <w:rPr/>
      </w:r>
      <w:r>
        <w:rPr/>
        <w:t>“… clearly meant that a result which will happen in the great majority </w:t>
      </w:r>
      <w:r>
        <w:rPr>
          <w:color w:val="005DA1"/>
          <w:u w:val="single" w:color="005DA1"/>
          <w:vertAlign w:val="superscript"/>
        </w:rPr>
        <w:t>631</w:t>
      </w:r>
      <w:r>
        <w:rPr>
          <w:color w:val="005DA1"/>
          <w:vertAlign w:val="baseline"/>
        </w:rPr>
        <w:t> </w:t>
      </w:r>
      <w:r>
        <w:rPr>
          <w:vertAlign w:val="baseline"/>
        </w:rPr>
        <w:t>of cases should fairly and reasonably be regarded as having been in the contemplation of the parties, but </w:t>
      </w:r>
      <w:bookmarkStart w:name="_bookmark1180" w:id="1182"/>
      <w:bookmarkEnd w:id="1182"/>
      <w:r>
        <w:rPr>
          <w:vertAlign w:val="baseline"/>
        </w:rPr>
        <w:t>that</w:t>
      </w:r>
      <w:r>
        <w:rPr>
          <w:vertAlign w:val="baseline"/>
        </w:rPr>
        <w:t> a result which, though foreseeable as a substantial possibility, would only happen in</w:t>
      </w:r>
      <w:r>
        <w:rPr>
          <w:spacing w:val="40"/>
          <w:vertAlign w:val="baseline"/>
        </w:rPr>
        <w:t> </w:t>
      </w:r>
      <w:r>
        <w:rPr>
          <w:vertAlign w:val="baseline"/>
        </w:rPr>
        <w:t>a</w:t>
      </w:r>
      <w:r>
        <w:rPr>
          <w:spacing w:val="8"/>
          <w:vertAlign w:val="baseline"/>
        </w:rPr>
        <w:t> </w:t>
      </w:r>
      <w:r>
        <w:rPr>
          <w:vertAlign w:val="baseline"/>
        </w:rPr>
        <w:t>small</w:t>
      </w:r>
      <w:r>
        <w:rPr>
          <w:spacing w:val="10"/>
          <w:vertAlign w:val="baseline"/>
        </w:rPr>
        <w:t> </w:t>
      </w:r>
      <w:r>
        <w:rPr>
          <w:vertAlign w:val="baseline"/>
        </w:rPr>
        <w:t>minority</w:t>
      </w:r>
      <w:r>
        <w:rPr>
          <w:spacing w:val="10"/>
          <w:vertAlign w:val="baseline"/>
        </w:rPr>
        <w:t> </w:t>
      </w:r>
      <w:r>
        <w:rPr>
          <w:vertAlign w:val="baseline"/>
        </w:rPr>
        <w:t>of</w:t>
      </w:r>
      <w:r>
        <w:rPr>
          <w:spacing w:val="10"/>
          <w:vertAlign w:val="baseline"/>
        </w:rPr>
        <w:t> </w:t>
      </w:r>
      <w:r>
        <w:rPr>
          <w:vertAlign w:val="baseline"/>
        </w:rPr>
        <w:t>cases</w:t>
      </w:r>
      <w:r>
        <w:rPr>
          <w:spacing w:val="10"/>
          <w:vertAlign w:val="baseline"/>
        </w:rPr>
        <w:t> </w:t>
      </w:r>
      <w:r>
        <w:rPr>
          <w:vertAlign w:val="baseline"/>
        </w:rPr>
        <w:t>should</w:t>
      </w:r>
      <w:r>
        <w:rPr>
          <w:spacing w:val="10"/>
          <w:vertAlign w:val="baseline"/>
        </w:rPr>
        <w:t> </w:t>
      </w:r>
      <w:r>
        <w:rPr>
          <w:vertAlign w:val="baseline"/>
        </w:rPr>
        <w:t>not</w:t>
      </w:r>
      <w:r>
        <w:rPr>
          <w:spacing w:val="10"/>
          <w:vertAlign w:val="baseline"/>
        </w:rPr>
        <w:t> </w:t>
      </w:r>
      <w:r>
        <w:rPr>
          <w:vertAlign w:val="baseline"/>
        </w:rPr>
        <w:t>be</w:t>
      </w:r>
      <w:r>
        <w:rPr>
          <w:spacing w:val="10"/>
          <w:vertAlign w:val="baseline"/>
        </w:rPr>
        <w:t> </w:t>
      </w:r>
      <w:r>
        <w:rPr>
          <w:vertAlign w:val="baseline"/>
        </w:rPr>
        <w:t>regarded</w:t>
      </w:r>
      <w:r>
        <w:rPr>
          <w:spacing w:val="10"/>
          <w:vertAlign w:val="baseline"/>
        </w:rPr>
        <w:t> </w:t>
      </w:r>
      <w:r>
        <w:rPr>
          <w:vertAlign w:val="baseline"/>
        </w:rPr>
        <w:t>as</w:t>
      </w:r>
      <w:r>
        <w:rPr>
          <w:spacing w:val="10"/>
          <w:vertAlign w:val="baseline"/>
        </w:rPr>
        <w:t> </w:t>
      </w:r>
      <w:r>
        <w:rPr>
          <w:vertAlign w:val="baseline"/>
        </w:rPr>
        <w:t>having</w:t>
      </w:r>
      <w:r>
        <w:rPr>
          <w:spacing w:val="10"/>
          <w:vertAlign w:val="baseline"/>
        </w:rPr>
        <w:t> </w:t>
      </w:r>
      <w:r>
        <w:rPr>
          <w:vertAlign w:val="baseline"/>
        </w:rPr>
        <w:t>been</w:t>
      </w:r>
      <w:r>
        <w:rPr>
          <w:spacing w:val="10"/>
          <w:vertAlign w:val="baseline"/>
        </w:rPr>
        <w:t> </w:t>
      </w:r>
      <w:r>
        <w:rPr>
          <w:vertAlign w:val="baseline"/>
        </w:rPr>
        <w:t>in</w:t>
      </w:r>
      <w:r>
        <w:rPr>
          <w:spacing w:val="10"/>
          <w:vertAlign w:val="baseline"/>
        </w:rPr>
        <w:t> </w:t>
      </w:r>
      <w:r>
        <w:rPr>
          <w:vertAlign w:val="baseline"/>
        </w:rPr>
        <w:t>their</w:t>
      </w:r>
      <w:r>
        <w:rPr>
          <w:spacing w:val="10"/>
          <w:vertAlign w:val="baseline"/>
        </w:rPr>
        <w:t> </w:t>
      </w:r>
      <w:r>
        <w:rPr>
          <w:spacing w:val="-2"/>
          <w:vertAlign w:val="baseline"/>
        </w:rPr>
        <w:t>contemplation.”</w:t>
      </w:r>
    </w:p>
    <w:p>
      <w:pPr>
        <w:spacing w:line="112" w:lineRule="exact" w:before="0"/>
        <w:ind w:left="1245" w:right="0" w:firstLine="0"/>
        <w:jc w:val="left"/>
        <w:rPr>
          <w:sz w:val="12"/>
        </w:rPr>
      </w:pPr>
      <w:r>
        <w:rPr>
          <w:color w:val="005DA1"/>
          <w:spacing w:val="-5"/>
          <w:sz w:val="12"/>
          <w:u w:val="single" w:color="005DA1"/>
        </w:rPr>
        <w:t>632</w:t>
      </w:r>
    </w:p>
    <w:p>
      <w:pPr>
        <w:pStyle w:val="BodyText"/>
        <w:rPr>
          <w:sz w:val="12"/>
        </w:rPr>
      </w:pPr>
    </w:p>
    <w:p>
      <w:pPr>
        <w:pStyle w:val="BodyText"/>
        <w:rPr>
          <w:sz w:val="12"/>
        </w:rPr>
      </w:pPr>
    </w:p>
    <w:p>
      <w:pPr>
        <w:pStyle w:val="BodyText"/>
        <w:spacing w:before="40"/>
        <w:rPr>
          <w:sz w:val="12"/>
        </w:rPr>
      </w:pPr>
    </w:p>
    <w:p>
      <w:pPr>
        <w:pStyle w:val="BodyText"/>
        <w:spacing w:before="1"/>
        <w:ind w:left="165"/>
      </w:pPr>
      <w:r>
        <w:rPr/>
        <w:t>Lord Reid </w:t>
      </w:r>
      <w:r>
        <w:rPr>
          <w:spacing w:val="-2"/>
        </w:rPr>
        <w:t>continued:</w:t>
      </w:r>
    </w:p>
    <w:p>
      <w:pPr>
        <w:pStyle w:val="BodyText"/>
      </w:pPr>
    </w:p>
    <w:p>
      <w:pPr>
        <w:pStyle w:val="BodyText"/>
        <w:spacing w:before="125"/>
      </w:pPr>
    </w:p>
    <w:p>
      <w:pPr>
        <w:pStyle w:val="BodyText"/>
        <w:spacing w:line="235" w:lineRule="auto"/>
        <w:ind w:left="1245" w:right="167"/>
        <w:jc w:val="both"/>
      </w:pPr>
      <w:r>
        <w:rPr/>
        <w:t>“The crucial question is whether, on the information available to the defendant when </w:t>
      </w:r>
      <w:r>
        <w:rPr/>
        <w:t>the contract</w:t>
      </w:r>
      <w:r>
        <w:rPr>
          <w:spacing w:val="-2"/>
        </w:rPr>
        <w:t> </w:t>
      </w:r>
      <w:r>
        <w:rPr/>
        <w:t>was</w:t>
      </w:r>
      <w:r>
        <w:rPr>
          <w:spacing w:val="-2"/>
        </w:rPr>
        <w:t> </w:t>
      </w:r>
      <w:r>
        <w:rPr/>
        <w:t>made,</w:t>
      </w:r>
      <w:r>
        <w:rPr>
          <w:spacing w:val="-2"/>
        </w:rPr>
        <w:t> </w:t>
      </w:r>
      <w:r>
        <w:rPr/>
        <w:t>he</w:t>
      </w:r>
      <w:r>
        <w:rPr>
          <w:spacing w:val="-2"/>
        </w:rPr>
        <w:t> </w:t>
      </w:r>
      <w:r>
        <w:rPr/>
        <w:t>should,</w:t>
      </w:r>
      <w:r>
        <w:rPr>
          <w:spacing w:val="-2"/>
        </w:rPr>
        <w:t> </w:t>
      </w:r>
      <w:r>
        <w:rPr/>
        <w:t>or</w:t>
      </w:r>
      <w:r>
        <w:rPr>
          <w:spacing w:val="-2"/>
        </w:rPr>
        <w:t> </w:t>
      </w:r>
      <w:r>
        <w:rPr/>
        <w:t>the</w:t>
      </w:r>
      <w:r>
        <w:rPr>
          <w:spacing w:val="-2"/>
        </w:rPr>
        <w:t> </w:t>
      </w:r>
      <w:r>
        <w:rPr/>
        <w:t>reasonable</w:t>
      </w:r>
      <w:r>
        <w:rPr>
          <w:spacing w:val="-2"/>
        </w:rPr>
        <w:t> </w:t>
      </w:r>
      <w:r>
        <w:rPr/>
        <w:t>man</w:t>
      </w:r>
      <w:r>
        <w:rPr>
          <w:spacing w:val="-2"/>
        </w:rPr>
        <w:t> </w:t>
      </w:r>
      <w:r>
        <w:rPr/>
        <w:t>in</w:t>
      </w:r>
      <w:r>
        <w:rPr>
          <w:spacing w:val="-2"/>
        </w:rPr>
        <w:t> </w:t>
      </w:r>
      <w:r>
        <w:rPr/>
        <w:t>his</w:t>
      </w:r>
      <w:r>
        <w:rPr>
          <w:spacing w:val="-2"/>
        </w:rPr>
        <w:t> </w:t>
      </w:r>
      <w:r>
        <w:rPr/>
        <w:t>position</w:t>
      </w:r>
      <w:r>
        <w:rPr>
          <w:spacing w:val="-2"/>
        </w:rPr>
        <w:t> </w:t>
      </w:r>
      <w:r>
        <w:rPr/>
        <w:t>would,</w:t>
      </w:r>
      <w:r>
        <w:rPr>
          <w:spacing w:val="-2"/>
        </w:rPr>
        <w:t> </w:t>
      </w:r>
      <w:r>
        <w:rPr/>
        <w:t>have</w:t>
      </w:r>
      <w:r>
        <w:rPr>
          <w:spacing w:val="-2"/>
        </w:rPr>
        <w:t> </w:t>
      </w:r>
      <w:r>
        <w:rPr/>
        <w:t>realised that such loss was sufficiently likely to result from the breach of contract to make it proper </w:t>
      </w:r>
      <w:bookmarkStart w:name="_bookmark1181" w:id="1183"/>
      <w:bookmarkEnd w:id="1183"/>
      <w:r>
        <w:rPr/>
        <w:t>to</w:t>
      </w:r>
      <w:r>
        <w:rPr/>
        <w:t> hold that the loss flowed naturally from the breach or that loss of that kind should have been within his contemplation.” </w:t>
      </w:r>
      <w:r>
        <w:rPr>
          <w:color w:val="005DA1"/>
          <w:u w:val="single" w:color="005DA1"/>
          <w:vertAlign w:val="superscript"/>
        </w:rPr>
        <w:t>633</w:t>
      </w:r>
    </w:p>
    <w:p>
      <w:pPr>
        <w:pStyle w:val="BodyText"/>
        <w:spacing w:before="111"/>
      </w:pPr>
    </w:p>
    <w:p>
      <w:pPr>
        <w:pStyle w:val="BodyText"/>
        <w:ind w:left="165"/>
      </w:pPr>
      <w:r>
        <w:rPr/>
        <w:t>Lord Upjohn </w:t>
      </w:r>
      <w:r>
        <w:rPr>
          <w:spacing w:val="-2"/>
        </w:rPr>
        <w:t>stated:</w:t>
      </w:r>
    </w:p>
    <w:p>
      <w:pPr>
        <w:pStyle w:val="BodyText"/>
      </w:pPr>
    </w:p>
    <w:p>
      <w:pPr>
        <w:pStyle w:val="BodyText"/>
        <w:spacing w:before="126"/>
      </w:pPr>
    </w:p>
    <w:p>
      <w:pPr>
        <w:pStyle w:val="BodyText"/>
        <w:spacing w:line="235" w:lineRule="auto"/>
        <w:ind w:left="1245" w:right="167"/>
        <w:jc w:val="both"/>
      </w:pPr>
      <w:r>
        <w:rPr/>
        <w:t>“… the broad rule as follows: ‘What was in the assumed contemplation of both parties </w:t>
      </w:r>
      <w:bookmarkStart w:name="_bookmark1182" w:id="1184"/>
      <w:bookmarkEnd w:id="1184"/>
      <w:r>
        <w:rPr/>
        <w:t>acting</w:t>
      </w:r>
      <w:r>
        <w:rPr/>
        <w:t> as reasonable men in the light of the general or special facts (as the case may </w:t>
      </w:r>
      <w:r>
        <w:rPr/>
        <w:t>be) known to both parties in regard to damages as the result of a breach of contract.’” </w:t>
      </w:r>
      <w:r>
        <w:rPr>
          <w:color w:val="005DA1"/>
          <w:u w:val="single" w:color="005DA1"/>
          <w:vertAlign w:val="superscript"/>
        </w:rPr>
        <w:t>634</w:t>
      </w:r>
    </w:p>
    <w:p>
      <w:pPr>
        <w:pStyle w:val="BodyText"/>
        <w:spacing w:before="112"/>
      </w:pPr>
    </w:p>
    <w:p>
      <w:pPr>
        <w:pStyle w:val="BodyText"/>
        <w:ind w:left="165"/>
      </w:pPr>
      <w:r>
        <w:rPr/>
        <w:t>There is no need for the breach itself to be within the contemplation of the </w:t>
      </w:r>
      <w:r>
        <w:rPr>
          <w:spacing w:val="-2"/>
        </w:rPr>
        <w:t>parties:</w:t>
      </w:r>
    </w:p>
    <w:p>
      <w:pPr>
        <w:pStyle w:val="BodyText"/>
      </w:pPr>
    </w:p>
    <w:p>
      <w:pPr>
        <w:pStyle w:val="BodyText"/>
        <w:spacing w:before="125"/>
      </w:pPr>
    </w:p>
    <w:p>
      <w:pPr>
        <w:pStyle w:val="BodyText"/>
        <w:spacing w:line="235" w:lineRule="auto"/>
        <w:ind w:left="1245" w:right="167"/>
        <w:jc w:val="both"/>
      </w:pPr>
      <w:r>
        <w:rPr/>
        <w:t>“It is clear that one starts from the assumption that the contract-breaker contemplates, </w:t>
      </w:r>
      <w:r>
        <w:rPr/>
        <w:t>at </w:t>
      </w:r>
      <w:bookmarkStart w:name="_bookmark1183" w:id="1185"/>
      <w:bookmarkEnd w:id="1185"/>
      <w:r>
        <w:rPr/>
        <w:t>the</w:t>
      </w:r>
      <w:r>
        <w:rPr/>
        <w:t> date of the making of the contract, the occurrence of the particular breach which he, although at the time he may have no notion of it, is thereafter going to commit.” </w:t>
      </w:r>
      <w:r>
        <w:rPr>
          <w:color w:val="005DA1"/>
          <w:u w:val="single" w:color="005DA1"/>
          <w:vertAlign w:val="superscript"/>
        </w:rPr>
        <w:t>635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bookmarkStart w:name="_bookmark1184" w:id="1186"/>
      <w:bookmarkEnd w:id="1186"/>
      <w:r>
        <w:rPr/>
      </w:r>
      <w:r>
        <w:rPr>
          <w:rFonts w:ascii="Arial"/>
          <w:b/>
          <w:sz w:val="18"/>
        </w:rPr>
        <w:t>The type or kind of loss </w:t>
      </w:r>
      <w:r>
        <w:rPr>
          <w:rFonts w:ascii="Arial"/>
          <w:b/>
          <w:color w:val="005DA1"/>
          <w:spacing w:val="-5"/>
          <w:sz w:val="18"/>
          <w:u w:val="single" w:color="005DA1"/>
          <w:vertAlign w:val="superscript"/>
        </w:rPr>
        <w:t>636</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116</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5"/>
        </w:rPr>
        <w:t> </w:t>
      </w:r>
      <w:bookmarkStart w:name="_bookmark1185" w:id="1187"/>
      <w:bookmarkEnd w:id="1187"/>
      <w:r>
        <w:rPr>
          <w:rFonts w:ascii="Times New Roman" w:hAnsi="Times New Roman"/>
          <w:spacing w:val="-4"/>
        </w:rPr>
      </w:r>
      <w:r>
        <w:rPr/>
        <w:t>The</w:t>
      </w:r>
      <w:r>
        <w:rPr>
          <w:spacing w:val="38"/>
        </w:rPr>
        <w:t> </w:t>
      </w:r>
      <w:r>
        <w:rPr/>
        <w:t>reference</w:t>
      </w:r>
      <w:r>
        <w:rPr>
          <w:spacing w:val="38"/>
        </w:rPr>
        <w:t> </w:t>
      </w:r>
      <w:r>
        <w:rPr/>
        <w:t>to</w:t>
      </w:r>
      <w:r>
        <w:rPr>
          <w:spacing w:val="38"/>
        </w:rPr>
        <w:t> </w:t>
      </w:r>
      <w:r>
        <w:rPr/>
        <w:t>“the</w:t>
      </w:r>
      <w:r>
        <w:rPr>
          <w:spacing w:val="38"/>
        </w:rPr>
        <w:t> </w:t>
      </w:r>
      <w:r>
        <w:rPr/>
        <w:t>loss”</w:t>
      </w:r>
      <w:r>
        <w:rPr>
          <w:spacing w:val="38"/>
        </w:rPr>
        <w:t> </w:t>
      </w:r>
      <w:r>
        <w:rPr/>
        <w:t>in</w:t>
      </w:r>
      <w:r>
        <w:rPr>
          <w:spacing w:val="38"/>
        </w:rPr>
        <w:t> </w:t>
      </w:r>
      <w:r>
        <w:rPr/>
        <w:t>the</w:t>
      </w:r>
      <w:r>
        <w:rPr>
          <w:spacing w:val="38"/>
        </w:rPr>
        <w:t> </w:t>
      </w:r>
      <w:r>
        <w:rPr/>
        <w:t>formulations</w:t>
      </w:r>
      <w:r>
        <w:rPr>
          <w:spacing w:val="38"/>
        </w:rPr>
        <w:t> </w:t>
      </w:r>
      <w:r>
        <w:rPr/>
        <w:t>of</w:t>
      </w:r>
      <w:r>
        <w:rPr>
          <w:spacing w:val="38"/>
        </w:rPr>
        <w:t> </w:t>
      </w:r>
      <w:r>
        <w:rPr/>
        <w:t>the</w:t>
      </w:r>
      <w:r>
        <w:rPr>
          <w:spacing w:val="38"/>
        </w:rPr>
        <w:t> </w:t>
      </w:r>
      <w:r>
        <w:rPr/>
        <w:t>test</w:t>
      </w:r>
      <w:r>
        <w:rPr>
          <w:spacing w:val="38"/>
        </w:rPr>
        <w:t> </w:t>
      </w:r>
      <w:r>
        <w:rPr/>
        <w:t>for</w:t>
      </w:r>
      <w:r>
        <w:rPr>
          <w:spacing w:val="38"/>
        </w:rPr>
        <w:t> </w:t>
      </w:r>
      <w:r>
        <w:rPr/>
        <w:t>remoteness</w:t>
      </w:r>
      <w:r>
        <w:rPr>
          <w:spacing w:val="38"/>
        </w:rPr>
        <w:t> </w:t>
      </w:r>
      <w:r>
        <w:rPr/>
        <w:t>of</w:t>
      </w:r>
      <w:r>
        <w:rPr>
          <w:spacing w:val="38"/>
        </w:rPr>
        <w:t> </w:t>
      </w:r>
      <w:r>
        <w:rPr/>
        <w:t>damage</w:t>
      </w:r>
      <w:r>
        <w:rPr>
          <w:spacing w:val="38"/>
        </w:rPr>
        <w:t> </w:t>
      </w:r>
      <w:r>
        <w:rPr/>
        <w:t>is</w:t>
      </w:r>
      <w:r>
        <w:rPr>
          <w:spacing w:val="38"/>
        </w:rPr>
        <w:t> </w:t>
      </w:r>
      <w:r>
        <w:rPr/>
        <w:t>to</w:t>
      </w:r>
      <w:r>
        <w:rPr>
          <w:spacing w:val="38"/>
        </w:rPr>
        <w:t> </w:t>
      </w:r>
      <w:r>
        <w:rPr/>
        <w:t>be interpreted as the type or kind of loss in question. </w:t>
      </w:r>
      <w:r>
        <w:rPr>
          <w:color w:val="005DA1"/>
          <w:u w:val="single" w:color="005DA1"/>
          <w:vertAlign w:val="superscript"/>
        </w:rPr>
        <w:t>637</w:t>
      </w:r>
      <w:r>
        <w:rPr>
          <w:color w:val="005DA1"/>
          <w:vertAlign w:val="baseline"/>
        </w:rPr>
        <w:t> </w:t>
      </w:r>
      <w:r>
        <w:rPr>
          <w:vertAlign w:val="baseline"/>
        </w:rPr>
        <w:t>The:</w:t>
      </w:r>
    </w:p>
    <w:p>
      <w:pPr>
        <w:pStyle w:val="BodyText"/>
      </w:pPr>
    </w:p>
    <w:p>
      <w:pPr>
        <w:pStyle w:val="BodyText"/>
        <w:spacing w:before="126"/>
      </w:pPr>
    </w:p>
    <w:p>
      <w:pPr>
        <w:pStyle w:val="BodyText"/>
        <w:spacing w:line="235" w:lineRule="auto"/>
        <w:ind w:left="1245" w:right="167"/>
        <w:jc w:val="both"/>
      </w:pPr>
      <w:r>
        <w:rPr/>
        <w:t>“… party who has suffered damage does not have to show that the contract-</w:t>
      </w:r>
      <w:r>
        <w:rPr/>
        <w:t>breaker</w:t>
      </w:r>
      <w:r>
        <w:rPr>
          <w:spacing w:val="40"/>
        </w:rPr>
        <w:t> </w:t>
      </w:r>
      <w:r>
        <w:rPr/>
        <w:t>ought</w:t>
      </w:r>
      <w:r>
        <w:rPr>
          <w:spacing w:val="-2"/>
        </w:rPr>
        <w:t> </w:t>
      </w:r>
      <w:r>
        <w:rPr/>
        <w:t>to</w:t>
      </w:r>
      <w:r>
        <w:rPr>
          <w:spacing w:val="-2"/>
        </w:rPr>
        <w:t> </w:t>
      </w:r>
      <w:r>
        <w:rPr/>
        <w:t>have</w:t>
      </w:r>
      <w:r>
        <w:rPr>
          <w:spacing w:val="-2"/>
        </w:rPr>
        <w:t> </w:t>
      </w:r>
      <w:r>
        <w:rPr/>
        <w:t>contemplated,</w:t>
      </w:r>
      <w:r>
        <w:rPr>
          <w:spacing w:val="-2"/>
        </w:rPr>
        <w:t> </w:t>
      </w:r>
      <w:r>
        <w:rPr/>
        <w:t>as</w:t>
      </w:r>
      <w:r>
        <w:rPr>
          <w:spacing w:val="-2"/>
        </w:rPr>
        <w:t> </w:t>
      </w:r>
      <w:r>
        <w:rPr/>
        <w:t>being</w:t>
      </w:r>
      <w:r>
        <w:rPr>
          <w:spacing w:val="-2"/>
        </w:rPr>
        <w:t> </w:t>
      </w:r>
      <w:r>
        <w:rPr/>
        <w:t>not</w:t>
      </w:r>
      <w:r>
        <w:rPr>
          <w:spacing w:val="-2"/>
        </w:rPr>
        <w:t> </w:t>
      </w:r>
      <w:r>
        <w:rPr/>
        <w:t>unlikely,</w:t>
      </w:r>
      <w:r>
        <w:rPr>
          <w:spacing w:val="-2"/>
        </w:rPr>
        <w:t> </w:t>
      </w:r>
      <w:r>
        <w:rPr/>
        <w:t>the</w:t>
      </w:r>
      <w:r>
        <w:rPr>
          <w:spacing w:val="-2"/>
        </w:rPr>
        <w:t> </w:t>
      </w:r>
      <w:r>
        <w:rPr/>
        <w:t>precise</w:t>
      </w:r>
      <w:r>
        <w:rPr>
          <w:spacing w:val="-2"/>
        </w:rPr>
        <w:t> </w:t>
      </w:r>
      <w:r>
        <w:rPr/>
        <w:t>detail</w:t>
      </w:r>
      <w:r>
        <w:rPr>
          <w:spacing w:val="-2"/>
        </w:rPr>
        <w:t> </w:t>
      </w:r>
      <w:r>
        <w:rPr/>
        <w:t>of</w:t>
      </w:r>
      <w:r>
        <w:rPr>
          <w:spacing w:val="-2"/>
        </w:rPr>
        <w:t> </w:t>
      </w:r>
      <w:r>
        <w:rPr/>
        <w:t>the</w:t>
      </w:r>
      <w:r>
        <w:rPr>
          <w:spacing w:val="-2"/>
        </w:rPr>
        <w:t> </w:t>
      </w:r>
      <w:r>
        <w:rPr/>
        <w:t>damage</w:t>
      </w:r>
      <w:r>
        <w:rPr>
          <w:spacing w:val="-2"/>
        </w:rPr>
        <w:t> </w:t>
      </w:r>
      <w:r>
        <w:rPr/>
        <w:t>or</w:t>
      </w:r>
      <w:r>
        <w:rPr>
          <w:spacing w:val="-2"/>
        </w:rPr>
        <w:t> </w:t>
      </w:r>
      <w:r>
        <w:rPr/>
        <w:t>the </w:t>
      </w:r>
      <w:bookmarkStart w:name="_bookmark1186" w:id="1188"/>
      <w:bookmarkEnd w:id="1188"/>
      <w:r>
        <w:rPr/>
        <w:t>precise</w:t>
      </w:r>
      <w:r>
        <w:rPr>
          <w:spacing w:val="55"/>
        </w:rPr>
        <w:t> </w:t>
      </w:r>
      <w:r>
        <w:rPr/>
        <w:t>manner</w:t>
      </w:r>
      <w:r>
        <w:rPr>
          <w:spacing w:val="56"/>
        </w:rPr>
        <w:t> </w:t>
      </w:r>
      <w:r>
        <w:rPr/>
        <w:t>of</w:t>
      </w:r>
      <w:r>
        <w:rPr>
          <w:spacing w:val="55"/>
        </w:rPr>
        <w:t> </w:t>
      </w:r>
      <w:r>
        <w:rPr/>
        <w:t>its</w:t>
      </w:r>
      <w:r>
        <w:rPr>
          <w:spacing w:val="56"/>
        </w:rPr>
        <w:t> </w:t>
      </w:r>
      <w:r>
        <w:rPr/>
        <w:t>happening.</w:t>
      </w:r>
      <w:r>
        <w:rPr>
          <w:spacing w:val="55"/>
        </w:rPr>
        <w:t> </w:t>
      </w:r>
      <w:r>
        <w:rPr/>
        <w:t>It</w:t>
      </w:r>
      <w:r>
        <w:rPr>
          <w:spacing w:val="56"/>
        </w:rPr>
        <w:t> </w:t>
      </w:r>
      <w:r>
        <w:rPr/>
        <w:t>is</w:t>
      </w:r>
      <w:r>
        <w:rPr>
          <w:spacing w:val="55"/>
        </w:rPr>
        <w:t> </w:t>
      </w:r>
      <w:r>
        <w:rPr/>
        <w:t>enough</w:t>
      </w:r>
      <w:r>
        <w:rPr>
          <w:spacing w:val="56"/>
        </w:rPr>
        <w:t> </w:t>
      </w:r>
      <w:r>
        <w:rPr/>
        <w:t>if</w:t>
      </w:r>
      <w:r>
        <w:rPr>
          <w:spacing w:val="56"/>
        </w:rPr>
        <w:t> </w:t>
      </w:r>
      <w:r>
        <w:rPr/>
        <w:t>he</w:t>
      </w:r>
      <w:r>
        <w:rPr>
          <w:spacing w:val="55"/>
        </w:rPr>
        <w:t> </w:t>
      </w:r>
      <w:r>
        <w:rPr/>
        <w:t>should</w:t>
      </w:r>
      <w:r>
        <w:rPr>
          <w:spacing w:val="56"/>
        </w:rPr>
        <w:t> </w:t>
      </w:r>
      <w:r>
        <w:rPr/>
        <w:t>have</w:t>
      </w:r>
      <w:r>
        <w:rPr>
          <w:spacing w:val="55"/>
        </w:rPr>
        <w:t> </w:t>
      </w:r>
      <w:r>
        <w:rPr/>
        <w:t>contemplated</w:t>
      </w:r>
      <w:r>
        <w:rPr>
          <w:spacing w:val="56"/>
        </w:rPr>
        <w:t> </w:t>
      </w:r>
      <w:r>
        <w:rPr>
          <w:spacing w:val="-4"/>
        </w:rPr>
        <w:t>that</w:t>
      </w:r>
    </w:p>
    <w:p>
      <w:pPr>
        <w:spacing w:before="115"/>
        <w:ind w:left="1245" w:right="0" w:firstLine="0"/>
        <w:jc w:val="both"/>
        <w:rPr>
          <w:position w:val="-2"/>
          <w:sz w:val="20"/>
        </w:rPr>
      </w:pPr>
      <w:r>
        <w:rPr>
          <w:sz w:val="20"/>
        </w:rPr>
        <w:t>damage </w:t>
      </w:r>
      <w:r>
        <w:rPr>
          <w:rFonts w:ascii="Arial" w:hAnsi="Arial"/>
          <w:i/>
          <w:sz w:val="20"/>
        </w:rPr>
        <w:t>of that kind </w:t>
      </w:r>
      <w:r>
        <w:rPr>
          <w:sz w:val="20"/>
        </w:rPr>
        <w:t>is not unlikely.” </w:t>
      </w:r>
      <w:r>
        <w:rPr>
          <w:color w:val="005DA1"/>
          <w:sz w:val="20"/>
          <w:u w:val="single" w:color="005DA1"/>
          <w:vertAlign w:val="superscript"/>
        </w:rPr>
        <w:t>638</w:t>
      </w:r>
      <w:r>
        <w:rPr>
          <w:color w:val="005DA1"/>
          <w:spacing w:val="80"/>
          <w:w w:val="150"/>
          <w:sz w:val="20"/>
          <w:vertAlign w:val="baseline"/>
        </w:rPr>
        <w:t> </w:t>
      </w:r>
      <w:r>
        <w:rPr>
          <w:color w:val="005DA1"/>
          <w:position w:val="-2"/>
          <w:sz w:val="20"/>
          <w:vertAlign w:val="baseline"/>
        </w:rPr>
        <w:drawing>
          <wp:inline distT="0" distB="0" distL="0" distR="0">
            <wp:extent cx="107988" cy="107988"/>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p>
    <w:p>
      <w:pPr>
        <w:pStyle w:val="BodyText"/>
        <w:spacing w:before="112"/>
      </w:pPr>
    </w:p>
    <w:p>
      <w:pPr>
        <w:pStyle w:val="BodyText"/>
        <w:ind w:left="165"/>
        <w:jc w:val="both"/>
      </w:pPr>
      <w:r>
        <w:rPr/>
        <w:t>(There is a similar formulation in the test for remoteness of damage in </w:t>
      </w:r>
      <w:r>
        <w:rPr>
          <w:spacing w:val="-2"/>
        </w:rPr>
        <w:t>tort:</w:t>
      </w:r>
    </w:p>
    <w:p>
      <w:pPr>
        <w:pStyle w:val="BodyText"/>
      </w:pPr>
    </w:p>
    <w:p>
      <w:pPr>
        <w:pStyle w:val="BodyText"/>
        <w:spacing w:before="125"/>
      </w:pPr>
    </w:p>
    <w:p>
      <w:pPr>
        <w:pStyle w:val="BodyText"/>
        <w:spacing w:line="235" w:lineRule="auto"/>
        <w:ind w:left="1245"/>
      </w:pPr>
      <w:bookmarkStart w:name="_bookmark1187" w:id="1189"/>
      <w:bookmarkEnd w:id="1189"/>
      <w:r>
        <w:rPr/>
      </w:r>
      <w:r>
        <w:rPr/>
        <w:t>“the essential factor in determining liability is whether the damage is of such a kind as </w:t>
      </w:r>
      <w:r>
        <w:rPr/>
        <w:t>the reasonable man should have foreseen.” </w:t>
      </w:r>
      <w:r>
        <w:rPr>
          <w:color w:val="005DA1"/>
          <w:u w:val="single" w:color="005DA1"/>
          <w:vertAlign w:val="superscript"/>
        </w:rPr>
        <w:t>639</w:t>
      </w:r>
    </w:p>
    <w:p>
      <w:pPr>
        <w:pStyle w:val="BodyText"/>
        <w:spacing w:before="116"/>
      </w:pPr>
    </w:p>
    <w:p>
      <w:pPr>
        <w:pStyle w:val="BodyText"/>
        <w:spacing w:line="235" w:lineRule="auto"/>
        <w:ind w:left="164" w:right="167"/>
        <w:jc w:val="both"/>
      </w:pPr>
      <w:bookmarkStart w:name="_bookmark1188" w:id="1190"/>
      <w:bookmarkEnd w:id="1190"/>
      <w:r>
        <w:rPr/>
      </w:r>
      <w:r>
        <w:rPr/>
        <w:t>However, we shall see that in cases of breach of contract the test is applied differently from the way it </w:t>
      </w:r>
      <w:bookmarkStart w:name="_bookmark1189" w:id="1191"/>
      <w:bookmarkEnd w:id="1191"/>
      <w:r>
        <w:rPr/>
        <w:t>is</w:t>
      </w:r>
      <w:r>
        <w:rPr/>
        <w:t> applied in tort. </w:t>
      </w:r>
      <w:r>
        <w:rPr>
          <w:color w:val="005DA1"/>
          <w:u w:val="single" w:color="005DA1"/>
          <w:vertAlign w:val="superscript"/>
        </w:rPr>
        <w:t>640</w:t>
      </w:r>
      <w:r>
        <w:rPr>
          <w:vertAlign w:val="baseline"/>
        </w:rPr>
        <w:t>) If the parties ought to have contemplated a particular type of loss (“head </w:t>
      </w:r>
      <w:r>
        <w:rPr>
          <w:vertAlign w:val="baseline"/>
        </w:rPr>
        <w:t>of </w:t>
      </w:r>
      <w:bookmarkStart w:name="_bookmark1190" w:id="1192"/>
      <w:bookmarkEnd w:id="1192"/>
      <w:r>
        <w:rPr>
          <w:vertAlign w:val="baseline"/>
        </w:rPr>
        <w:t>damage”)</w:t>
      </w:r>
      <w:r>
        <w:rPr>
          <w:vertAlign w:val="baseline"/>
        </w:rPr>
        <w:t> they need not have contemplated the extent of that loss. </w:t>
      </w:r>
      <w:r>
        <w:rPr>
          <w:color w:val="005DA1"/>
          <w:u w:val="single" w:color="005DA1"/>
          <w:vertAlign w:val="superscript"/>
        </w:rPr>
        <w:t>641</w:t>
      </w:r>
      <w:r>
        <w:rPr>
          <w:color w:val="005DA1"/>
          <w:vertAlign w:val="baseline"/>
        </w:rPr>
        <w:t> </w:t>
      </w:r>
      <w:r>
        <w:rPr>
          <w:vertAlign w:val="baseline"/>
        </w:rPr>
        <w:t>The application of the test for </w:t>
      </w:r>
      <w:bookmarkStart w:name="_bookmark1191" w:id="1193"/>
      <w:bookmarkEnd w:id="1193"/>
      <w:r>
        <w:rPr>
          <w:vertAlign w:val="baseline"/>
        </w:rPr>
        <w:t>remoteness</w:t>
      </w:r>
      <w:r>
        <w:rPr>
          <w:vertAlign w:val="baseline"/>
        </w:rPr>
        <w:t> to a particular set of facts therefore depends largely on the judicial discretion </w:t>
      </w:r>
      <w:r>
        <w:rPr>
          <w:color w:val="005DA1"/>
          <w:u w:val="single" w:color="005DA1"/>
          <w:vertAlign w:val="superscript"/>
        </w:rPr>
        <w:t>642</w:t>
      </w:r>
      <w:r>
        <w:rPr>
          <w:color w:val="005DA1"/>
          <w:vertAlign w:val="baseline"/>
        </w:rPr>
        <w:t> </w:t>
      </w:r>
      <w:r>
        <w:rPr>
          <w:vertAlign w:val="baseline"/>
        </w:rPr>
        <w:t>to </w:t>
      </w:r>
      <w:bookmarkStart w:name="_bookmark1192" w:id="1194"/>
      <w:bookmarkEnd w:id="1194"/>
      <w:r>
        <w:rPr>
          <w:vertAlign w:val="baseline"/>
        </w:rPr>
        <w:t>categorise</w:t>
      </w:r>
      <w:r>
        <w:rPr>
          <w:spacing w:val="-1"/>
          <w:vertAlign w:val="baseline"/>
        </w:rPr>
        <w:t> </w:t>
      </w:r>
      <w:r>
        <w:rPr>
          <w:vertAlign w:val="baseline"/>
        </w:rPr>
        <w:t>losses</w:t>
      </w:r>
      <w:r>
        <w:rPr>
          <w:spacing w:val="-1"/>
          <w:vertAlign w:val="baseline"/>
        </w:rPr>
        <w:t> </w:t>
      </w:r>
      <w:r>
        <w:rPr>
          <w:vertAlign w:val="baseline"/>
        </w:rPr>
        <w:t>into</w:t>
      </w:r>
      <w:r>
        <w:rPr>
          <w:spacing w:val="-1"/>
          <w:vertAlign w:val="baseline"/>
        </w:rPr>
        <w:t> </w:t>
      </w:r>
      <w:r>
        <w:rPr>
          <w:vertAlign w:val="baseline"/>
        </w:rPr>
        <w:t>broad</w:t>
      </w:r>
      <w:r>
        <w:rPr>
          <w:spacing w:val="-1"/>
          <w:vertAlign w:val="baseline"/>
        </w:rPr>
        <w:t> </w:t>
      </w:r>
      <w:r>
        <w:rPr>
          <w:vertAlign w:val="baseline"/>
        </w:rPr>
        <w:t>categories,</w:t>
      </w:r>
      <w:r>
        <w:rPr>
          <w:spacing w:val="-2"/>
          <w:vertAlign w:val="baseline"/>
        </w:rPr>
        <w:t> </w:t>
      </w:r>
      <w:r>
        <w:rPr>
          <w:color w:val="005DA1"/>
          <w:u w:val="single" w:color="005DA1"/>
          <w:vertAlign w:val="superscript"/>
        </w:rPr>
        <w:t>643</w:t>
      </w:r>
      <w:r>
        <w:rPr>
          <w:color w:val="005DA1"/>
          <w:spacing w:val="-1"/>
          <w:vertAlign w:val="baseline"/>
        </w:rPr>
        <w:t> </w:t>
      </w:r>
      <w:r>
        <w:rPr>
          <w:vertAlign w:val="baseline"/>
        </w:rPr>
        <w:t>without</w:t>
      </w:r>
      <w:r>
        <w:rPr>
          <w:spacing w:val="-1"/>
          <w:vertAlign w:val="baseline"/>
        </w:rPr>
        <w:t> </w:t>
      </w:r>
      <w:r>
        <w:rPr>
          <w:vertAlign w:val="baseline"/>
        </w:rPr>
        <w:t>requiring</w:t>
      </w:r>
      <w:r>
        <w:rPr>
          <w:spacing w:val="-1"/>
          <w:vertAlign w:val="baseline"/>
        </w:rPr>
        <w:t> </w:t>
      </w:r>
      <w:r>
        <w:rPr>
          <w:vertAlign w:val="baseline"/>
        </w:rPr>
        <w:t>any</w:t>
      </w:r>
      <w:r>
        <w:rPr>
          <w:spacing w:val="-1"/>
          <w:vertAlign w:val="baseline"/>
        </w:rPr>
        <w:t> </w:t>
      </w:r>
      <w:r>
        <w:rPr>
          <w:vertAlign w:val="baseline"/>
        </w:rPr>
        <w:t>contemplation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precise</w:t>
      </w:r>
      <w:r>
        <w:rPr>
          <w:spacing w:val="-1"/>
          <w:vertAlign w:val="baseline"/>
        </w:rPr>
        <w:t> </w:t>
      </w:r>
      <w:r>
        <w:rPr>
          <w:vertAlign w:val="baseline"/>
        </w:rPr>
        <w:t>manner in which the loss was caused, or of the precise details of the loss. </w:t>
      </w:r>
      <w:r>
        <w:rPr>
          <w:color w:val="005DA1"/>
          <w:u w:val="single" w:color="005DA1"/>
          <w:vertAlign w:val="superscript"/>
        </w:rPr>
        <w:t>644</w:t>
      </w:r>
      <w:r>
        <w:rPr>
          <w:color w:val="005DA1"/>
          <w:vertAlign w:val="baseline"/>
        </w:rPr>
        <w:t> </w:t>
      </w:r>
      <w:r>
        <w:rPr>
          <w:vertAlign w:val="baseline"/>
        </w:rPr>
        <w:t>However, when a particular loss </w:t>
      </w:r>
      <w:bookmarkStart w:name="_bookmark1193" w:id="1195"/>
      <w:bookmarkEnd w:id="1195"/>
      <w:r>
        <w:rPr>
          <w:vertAlign w:val="baseline"/>
        </w:rPr>
        <w:t>is</w:t>
      </w:r>
      <w:r>
        <w:rPr>
          <w:vertAlign w:val="baseline"/>
        </w:rPr>
        <w:t> likely to be extensive, it seems that the courts may be inclined to pay more attention to the</w:t>
      </w:r>
      <w:r>
        <w:rPr>
          <w:spacing w:val="40"/>
          <w:vertAlign w:val="baseline"/>
        </w:rPr>
        <w:t> </w:t>
      </w:r>
      <w:r>
        <w:rPr>
          <w:vertAlign w:val="baseline"/>
        </w:rPr>
        <w:t>likelihood of the precise combination of circumstances which caused it to occur. </w:t>
      </w:r>
      <w:r>
        <w:rPr>
          <w:color w:val="005DA1"/>
          <w:u w:val="single" w:color="005DA1"/>
          <w:vertAlign w:val="superscript"/>
        </w:rPr>
        <w:t>645</w:t>
      </w:r>
      <w:r>
        <w:rPr>
          <w:color w:val="005DA1"/>
          <w:vertAlign w:val="baseline"/>
        </w:rPr>
        <w:t> </w:t>
      </w:r>
      <w:r>
        <w:rPr>
          <w:vertAlign w:val="baseline"/>
        </w:rPr>
        <w:t>Moreover, when loss is extensive, it seems more likely that the court will find it unreasonable to assume that the </w:t>
      </w:r>
      <w:bookmarkStart w:name="_bookmark1194" w:id="1196"/>
      <w:bookmarkEnd w:id="1196"/>
      <w:r>
        <w:rPr>
          <w:vertAlign w:val="baseline"/>
        </w:rPr>
        <w:t>defendant</w:t>
      </w:r>
      <w:r>
        <w:rPr>
          <w:vertAlign w:val="baseline"/>
        </w:rPr>
        <w:t> was accepting responsibility for it, whether or not it the defendant should have contemplated it as “not unlikely” to occur. </w:t>
      </w:r>
      <w:r>
        <w:rPr>
          <w:color w:val="005DA1"/>
          <w:u w:val="single" w:color="005DA1"/>
          <w:vertAlign w:val="superscript"/>
        </w:rPr>
        <w:t>646</w:t>
      </w:r>
    </w:p>
    <w:p>
      <w:pPr>
        <w:pStyle w:val="BodyText"/>
      </w:pPr>
    </w:p>
    <w:p>
      <w:pPr>
        <w:pStyle w:val="BodyText"/>
        <w:spacing w:before="35"/>
      </w:pPr>
    </w:p>
    <w:p>
      <w:pPr>
        <w:spacing w:before="0"/>
        <w:ind w:left="164" w:right="0" w:firstLine="0"/>
        <w:jc w:val="both"/>
        <w:rPr>
          <w:rFonts w:ascii="Arial"/>
          <w:b/>
          <w:sz w:val="18"/>
        </w:rPr>
      </w:pPr>
      <w:r>
        <w:rPr>
          <w:rFonts w:ascii="Arial"/>
          <w:b/>
          <w:sz w:val="18"/>
        </w:rPr>
        <w:t>Contemplated loss may operate as a cap on </w:t>
      </w:r>
      <w:r>
        <w:rPr>
          <w:rFonts w:ascii="Arial"/>
          <w:b/>
          <w:spacing w:val="-2"/>
          <w:sz w:val="18"/>
        </w:rPr>
        <w:t>recovery</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117</w:t>
      </w:r>
    </w:p>
    <w:p>
      <w:pPr>
        <w:pStyle w:val="BodyText"/>
        <w:spacing w:line="235" w:lineRule="auto" w:before="203"/>
        <w:ind w:left="164" w:right="167"/>
        <w:jc w:val="both"/>
      </w:pPr>
      <w:r>
        <w:rPr/>
        <w:t>In one case, where the defendant contracted to supply a profit-earning chattel, which the plaintiff intended to put to an exceptional use (outside the defendant’s reasonable contemplation), the loss of </w:t>
      </w:r>
      <w:bookmarkStart w:name="_bookmark1195" w:id="1197"/>
      <w:bookmarkEnd w:id="1197"/>
      <w:r>
        <w:rPr/>
        <w:t>profits</w:t>
      </w:r>
      <w:r>
        <w:rPr/>
        <w:t> expected under its normally contemplated use placed a ceiling on the damages recoverable </w:t>
      </w:r>
      <w:r>
        <w:rPr/>
        <w:t>by </w:t>
      </w:r>
      <w:bookmarkStart w:name="_bookmark1196" w:id="1198"/>
      <w:bookmarkEnd w:id="1198"/>
      <w:r>
        <w:rPr/>
        <w:t>the</w:t>
      </w:r>
      <w:r>
        <w:rPr/>
        <w:t> plaintiff for the delay in delivery. </w:t>
      </w:r>
      <w:r>
        <w:rPr>
          <w:color w:val="005DA1"/>
          <w:u w:val="single" w:color="005DA1"/>
          <w:vertAlign w:val="superscript"/>
        </w:rPr>
        <w:t>647</w:t>
      </w:r>
      <w:r>
        <w:rPr>
          <w:color w:val="005DA1"/>
          <w:vertAlign w:val="baseline"/>
        </w:rPr>
        <w:t> </w:t>
      </w:r>
      <w:r>
        <w:rPr>
          <w:vertAlign w:val="baseline"/>
        </w:rPr>
        <w:t>A loss of profits from normal use was contemplated as arising </w:t>
      </w:r>
      <w:bookmarkStart w:name="_bookmark1197" w:id="1199"/>
      <w:bookmarkEnd w:id="1199"/>
      <w:r>
        <w:rPr>
          <w:vertAlign w:val="baseline"/>
        </w:rPr>
        <w:t>from</w:t>
      </w:r>
      <w:r>
        <w:rPr>
          <w:vertAlign w:val="baseline"/>
        </w:rPr>
        <w:t> the breach, and the plaintiff had in fact suffered such a loss to an amount beyond that ceiling.</w:t>
      </w:r>
      <w:r>
        <w:rPr>
          <w:spacing w:val="-1"/>
          <w:vertAlign w:val="baseline"/>
        </w:rPr>
        <w:t> </w:t>
      </w:r>
      <w:r>
        <w:rPr>
          <w:color w:val="005DA1"/>
          <w:u w:val="single" w:color="005DA1"/>
          <w:vertAlign w:val="superscript"/>
        </w:rPr>
        <w:t>648</w:t>
      </w:r>
      <w:r>
        <w:rPr>
          <w:color w:val="005DA1"/>
          <w:vertAlign w:val="baseline"/>
        </w:rPr>
        <w:t> </w:t>
      </w:r>
      <w:r>
        <w:rPr>
          <w:vertAlign w:val="baseline"/>
        </w:rPr>
        <w:t>Similarly, in the </w:t>
      </w:r>
      <w:r>
        <w:rPr>
          <w:rFonts w:ascii="Arial" w:hAnsi="Arial"/>
          <w:i/>
          <w:vertAlign w:val="baseline"/>
        </w:rPr>
        <w:t>Victoria Laundries </w:t>
      </w:r>
      <w:r>
        <w:rPr>
          <w:vertAlign w:val="baseline"/>
        </w:rPr>
        <w:t>case </w:t>
      </w:r>
      <w:r>
        <w:rPr>
          <w:color w:val="005DA1"/>
          <w:u w:val="single" w:color="005DA1"/>
          <w:vertAlign w:val="superscript"/>
        </w:rPr>
        <w:t>649</w:t>
      </w:r>
      <w:r>
        <w:rPr>
          <w:color w:val="005DA1"/>
          <w:vertAlign w:val="baseline"/>
        </w:rPr>
        <w:t> </w:t>
      </w:r>
      <w:r>
        <w:rPr>
          <w:vertAlign w:val="baseline"/>
        </w:rPr>
        <w:t>the buyers recovered the sum they would have earned from “normal” laundering and dyeing, though if the boiler had been delivered on time they would presumably have used it for the more profitable Government dyeing contracts.</w:t>
      </w:r>
    </w:p>
    <w:p>
      <w:pPr>
        <w:pStyle w:val="BodyText"/>
      </w:pPr>
    </w:p>
    <w:p>
      <w:pPr>
        <w:pStyle w:val="BodyText"/>
        <w:spacing w:before="35"/>
      </w:pPr>
    </w:p>
    <w:p>
      <w:pPr>
        <w:spacing w:before="0"/>
        <w:ind w:left="164" w:right="0" w:firstLine="0"/>
        <w:jc w:val="left"/>
        <w:rPr>
          <w:rFonts w:ascii="Arial"/>
          <w:b/>
          <w:sz w:val="18"/>
        </w:rPr>
      </w:pPr>
      <w:r>
        <w:rPr>
          <w:rFonts w:ascii="Arial"/>
          <w:b/>
          <w:sz w:val="18"/>
        </w:rPr>
        <w:t>The degree of </w:t>
      </w:r>
      <w:r>
        <w:rPr>
          <w:rFonts w:ascii="Arial"/>
          <w:b/>
          <w:spacing w:val="-2"/>
          <w:sz w:val="18"/>
        </w:rPr>
        <w:t>probability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118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98" w:id="1200"/>
      <w:bookmarkEnd w:id="1200"/>
      <w:r>
        <w:rPr>
          <w:rFonts w:ascii="Times New Roman"/>
          <w:spacing w:val="-21"/>
        </w:rPr>
      </w:r>
      <w:r>
        <w:rPr/>
        <w:t>What was in the contemplation of reasonable men obviously depends on the relevant degree </w:t>
      </w:r>
      <w:r>
        <w:rPr/>
        <w:t>of </w:t>
      </w:r>
      <w:bookmarkStart w:name="_bookmark1199" w:id="1201"/>
      <w:bookmarkEnd w:id="1201"/>
      <w:r>
        <w:rPr/>
        <w:t>likelihood</w:t>
      </w:r>
      <w:r>
        <w:rPr/>
        <w:t> </w:t>
      </w:r>
      <w:r>
        <w:rPr>
          <w:color w:val="005DA1"/>
          <w:u w:val="single" w:color="005DA1"/>
          <w:vertAlign w:val="superscript"/>
        </w:rPr>
        <w:t>650</w:t>
      </w:r>
      <w:r>
        <w:rPr>
          <w:color w:val="005DA1"/>
          <w:vertAlign w:val="baseline"/>
        </w:rPr>
        <w:t> </w:t>
      </w:r>
      <w:r>
        <w:rPr>
          <w:vertAlign w:val="baseline"/>
        </w:rPr>
        <w:t>that a particular kind of loss may occur, and this issue was extensively discussed in </w:t>
      </w:r>
      <w:r>
        <w:rPr>
          <w:rFonts w:ascii="Arial"/>
          <w:i/>
          <w:vertAlign w:val="baseline"/>
        </w:rPr>
        <w:t>The Heron II</w:t>
      </w:r>
      <w:r>
        <w:rPr>
          <w:vertAlign w:val="baseline"/>
        </w:rPr>
        <w:t>. </w:t>
      </w:r>
      <w:r>
        <w:rPr>
          <w:color w:val="005DA1"/>
          <w:u w:val="single" w:color="005DA1"/>
          <w:vertAlign w:val="superscript"/>
        </w:rPr>
        <w:t>651</w:t>
      </w:r>
      <w:r>
        <w:rPr>
          <w:color w:val="005DA1"/>
          <w:vertAlign w:val="baseline"/>
        </w:rPr>
        <w:t> </w:t>
      </w:r>
      <w:r>
        <w:rPr>
          <w:vertAlign w:val="baseline"/>
        </w:rPr>
        <w:t>Lord Reid used:</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1200" w:id="1202"/>
      <w:bookmarkEnd w:id="1202"/>
      <w:r>
        <w:rPr/>
      </w:r>
      <w:r>
        <w:rPr/>
        <w:t>“… the words ‘not unlikely’ as denoting a degree of probability considerably less than an even chance but nevertheless not very unusual and easily foreseeable.” </w:t>
      </w:r>
      <w:r>
        <w:rPr>
          <w:color w:val="005DA1"/>
          <w:u w:val="single" w:color="005DA1"/>
          <w:vertAlign w:val="superscript"/>
        </w:rPr>
        <w:t>652</w:t>
      </w:r>
    </w:p>
    <w:p>
      <w:pPr>
        <w:pStyle w:val="BodyText"/>
        <w:spacing w:before="116"/>
      </w:pPr>
    </w:p>
    <w:p>
      <w:pPr>
        <w:pStyle w:val="BodyText"/>
        <w:spacing w:line="235" w:lineRule="auto"/>
        <w:ind w:left="164" w:right="167"/>
        <w:jc w:val="both"/>
      </w:pPr>
      <w:bookmarkStart w:name="_bookmark1201" w:id="1203"/>
      <w:bookmarkEnd w:id="1203"/>
      <w:r>
        <w:rPr/>
      </w:r>
      <w:bookmarkStart w:name="_bookmark1202" w:id="1204"/>
      <w:bookmarkEnd w:id="1204"/>
      <w:r>
        <w:rPr/>
      </w:r>
      <w:r>
        <w:rPr/>
        <w:t>Although Lord Morris thought it unnecessary to choose any one phrase </w:t>
      </w:r>
      <w:r>
        <w:rPr>
          <w:color w:val="005DA1"/>
          <w:u w:val="single" w:color="005DA1"/>
          <w:vertAlign w:val="superscript"/>
        </w:rPr>
        <w:t>653</w:t>
      </w:r>
      <w:r>
        <w:rPr>
          <w:color w:val="005DA1"/>
          <w:vertAlign w:val="baseline"/>
        </w:rPr>
        <w:t> </w:t>
      </w:r>
      <w:r>
        <w:rPr>
          <w:vertAlign w:val="baseline"/>
        </w:rPr>
        <w:t>he used “not unlikely to </w:t>
      </w:r>
      <w:bookmarkStart w:name="_bookmark1203" w:id="1205"/>
      <w:bookmarkEnd w:id="1205"/>
      <w:r>
        <w:rPr>
          <w:vertAlign w:val="baseline"/>
        </w:rPr>
        <w:t>occur”,</w:t>
      </w:r>
      <w:r>
        <w:rPr>
          <w:vertAlign w:val="baseline"/>
        </w:rPr>
        <w:t> </w:t>
      </w:r>
      <w:r>
        <w:rPr>
          <w:color w:val="005DA1"/>
          <w:u w:val="single" w:color="005DA1"/>
          <w:vertAlign w:val="superscript"/>
        </w:rPr>
        <w:t>654</w:t>
      </w:r>
      <w:r>
        <w:rPr>
          <w:color w:val="005DA1"/>
          <w:vertAlign w:val="baseline"/>
        </w:rPr>
        <w:t> </w:t>
      </w:r>
      <w:r>
        <w:rPr>
          <w:vertAlign w:val="baseline"/>
        </w:rPr>
        <w:t>with “liable to result” as an alternative </w:t>
      </w:r>
      <w:r>
        <w:rPr>
          <w:color w:val="005DA1"/>
          <w:u w:val="single" w:color="005DA1"/>
          <w:vertAlign w:val="superscript"/>
        </w:rPr>
        <w:t>655</w:t>
      </w:r>
      <w:r>
        <w:rPr>
          <w:vertAlign w:val="baseline"/>
        </w:rPr>
        <w:t>; Lord Hodson accepted the latter phrase. </w:t>
      </w:r>
      <w:r>
        <w:rPr>
          <w:color w:val="005DA1"/>
          <w:u w:val="single" w:color="005DA1"/>
          <w:vertAlign w:val="superscript"/>
        </w:rPr>
        <w:t>656</w:t>
      </w:r>
      <w:r>
        <w:rPr>
          <w:color w:val="005DA1"/>
          <w:vertAlign w:val="baseline"/>
        </w:rPr>
        <w:t> </w:t>
      </w:r>
      <w:r>
        <w:rPr>
          <w:vertAlign w:val="baseline"/>
        </w:rPr>
        <w:t>Both </w:t>
      </w:r>
      <w:bookmarkStart w:name="_bookmark1204" w:id="1206"/>
      <w:bookmarkEnd w:id="1206"/>
      <w:r>
        <w:rPr>
          <w:vertAlign w:val="baseline"/>
        </w:rPr>
        <w:t>Lords</w:t>
      </w:r>
      <w:r>
        <w:rPr>
          <w:vertAlign w:val="baseline"/>
        </w:rPr>
        <w:t> Pearce </w:t>
      </w:r>
      <w:r>
        <w:rPr>
          <w:color w:val="005DA1"/>
          <w:u w:val="single" w:color="005DA1"/>
          <w:vertAlign w:val="superscript"/>
        </w:rPr>
        <w:t>657</w:t>
      </w:r>
      <w:r>
        <w:rPr>
          <w:color w:val="005DA1"/>
          <w:vertAlign w:val="baseline"/>
        </w:rPr>
        <w:t> </w:t>
      </w:r>
      <w:r>
        <w:rPr>
          <w:vertAlign w:val="baseline"/>
        </w:rPr>
        <w:t>and Upjohn </w:t>
      </w:r>
      <w:r>
        <w:rPr>
          <w:color w:val="005DA1"/>
          <w:u w:val="single" w:color="005DA1"/>
          <w:vertAlign w:val="superscript"/>
        </w:rPr>
        <w:t>658</w:t>
      </w:r>
      <w:r>
        <w:rPr>
          <w:color w:val="005DA1"/>
          <w:vertAlign w:val="baseline"/>
        </w:rPr>
        <w:t> </w:t>
      </w:r>
      <w:r>
        <w:rPr>
          <w:vertAlign w:val="baseline"/>
        </w:rPr>
        <w:t>adopted the words “a real danger” or “a serious possibility” </w:t>
      </w:r>
      <w:r>
        <w:rPr>
          <w:color w:val="005DA1"/>
          <w:u w:val="single" w:color="005DA1"/>
          <w:vertAlign w:val="superscript"/>
        </w:rPr>
        <w:t>659</w:t>
      </w:r>
      <w:r>
        <w:rPr>
          <w:color w:val="005DA1"/>
          <w:vertAlign w:val="baseline"/>
        </w:rPr>
        <w:t> </w:t>
      </w:r>
      <w:r>
        <w:rPr>
          <w:vertAlign w:val="baseline"/>
        </w:rPr>
        <w:t>which </w:t>
      </w:r>
      <w:bookmarkStart w:name="_bookmark1205" w:id="1207"/>
      <w:bookmarkEnd w:id="1207"/>
      <w:r>
        <w:rPr>
          <w:vertAlign w:val="baseline"/>
        </w:rPr>
        <w:t>were</w:t>
      </w:r>
      <w:r>
        <w:rPr>
          <w:vertAlign w:val="baseline"/>
        </w:rPr>
        <w:t> the phrases used in the House of Lords in 1991. </w:t>
      </w:r>
      <w:r>
        <w:rPr>
          <w:color w:val="005DA1"/>
          <w:u w:val="single" w:color="005DA1"/>
          <w:vertAlign w:val="superscript"/>
        </w:rPr>
        <w:t>660</w:t>
      </w:r>
      <w:r>
        <w:rPr>
          <w:color w:val="005DA1"/>
          <w:vertAlign w:val="baseline"/>
        </w:rPr>
        <w:t> </w:t>
      </w:r>
      <w:r>
        <w:rPr>
          <w:vertAlign w:val="baseline"/>
        </w:rPr>
        <w:t>(Four of their Lordships in </w:t>
      </w:r>
      <w:r>
        <w:rPr>
          <w:rFonts w:ascii="Arial" w:hAnsi="Arial"/>
          <w:i/>
          <w:vertAlign w:val="baseline"/>
        </w:rPr>
        <w:t>The Heron II </w:t>
      </w:r>
      <w:r>
        <w:rPr>
          <w:vertAlign w:val="baseline"/>
        </w:rPr>
        <w:t>agreed that the colloquialism “on the cards” should not be used. </w:t>
      </w:r>
      <w:r>
        <w:rPr>
          <w:color w:val="005DA1"/>
          <w:u w:val="single" w:color="005DA1"/>
          <w:vertAlign w:val="superscript"/>
        </w:rPr>
        <w:t>661</w:t>
      </w:r>
      <w:r>
        <w:rPr>
          <w:vertAlign w:val="baseline"/>
        </w:rPr>
        <w:t>.) What was made clear is that in </w:t>
      </w:r>
      <w:bookmarkStart w:name="_bookmark1206" w:id="1208"/>
      <w:bookmarkEnd w:id="1208"/>
      <w:r>
        <w:rPr>
          <w:vertAlign w:val="baseline"/>
        </w:rPr>
        <w:t>contract</w:t>
      </w:r>
      <w:r>
        <w:rPr>
          <w:vertAlign w:val="baseline"/>
        </w:rPr>
        <w:t> cases it is not sufficient that the loss was “reasonably foreseeable”, at least if this refers to</w:t>
      </w:r>
      <w:r>
        <w:rPr>
          <w:spacing w:val="40"/>
          <w:vertAlign w:val="baseline"/>
        </w:rPr>
        <w:t> </w:t>
      </w:r>
      <w:bookmarkStart w:name="_bookmark1207" w:id="1209"/>
      <w:bookmarkEnd w:id="1209"/>
      <w:r>
        <w:rPr>
          <w:vertAlign w:val="baseline"/>
        </w:rPr>
        <w:t>the</w:t>
      </w:r>
      <w:r>
        <w:rPr>
          <w:vertAlign w:val="baseline"/>
        </w:rPr>
        <w:t> low probability that will satisfy the remoteness test in tort cases.</w:t>
      </w:r>
      <w:r>
        <w:rPr>
          <w:spacing w:val="-1"/>
          <w:vertAlign w:val="baseline"/>
        </w:rPr>
        <w:t> </w:t>
      </w:r>
      <w:r>
        <w:rPr>
          <w:color w:val="005DA1"/>
          <w:u w:val="single" w:color="005DA1"/>
          <w:vertAlign w:val="superscript"/>
        </w:rPr>
        <w:t>662</w:t>
      </w:r>
      <w:r>
        <w:rPr>
          <w:color w:val="005DA1"/>
          <w:vertAlign w:val="baseline"/>
        </w:rPr>
        <w:t> </w:t>
      </w:r>
      <w:r>
        <w:rPr>
          <w:vertAlign w:val="baseline"/>
        </w:rPr>
        <w:t>The contractual test requires a higher degree of probability than the test for remoteness in tort. </w:t>
      </w:r>
      <w:r>
        <w:rPr>
          <w:color w:val="005DA1"/>
          <w:u w:val="single" w:color="005DA1"/>
          <w:vertAlign w:val="superscript"/>
        </w:rPr>
        <w:t>663</w:t>
      </w:r>
      <w:r>
        <w:rPr>
          <w:color w:val="005DA1"/>
          <w:vertAlign w:val="baseline"/>
        </w:rPr>
        <w:t> </w:t>
      </w:r>
      <w:r>
        <w:rPr>
          <w:vertAlign w:val="baseline"/>
        </w:rPr>
        <w:t>One reason for this may be that</w:t>
      </w:r>
      <w:r>
        <w:rPr>
          <w:spacing w:val="40"/>
          <w:vertAlign w:val="baseline"/>
        </w:rPr>
        <w:t> </w:t>
      </w:r>
      <w:r>
        <w:rPr>
          <w:vertAlign w:val="baseline"/>
        </w:rPr>
        <w:t>the remoteness rule in contract aims to encourage the parties to exchange information about unusual losses that might flow from breach. As Lord Reid said in </w:t>
      </w:r>
      <w:r>
        <w:rPr>
          <w:rFonts w:ascii="Arial" w:hAnsi="Arial"/>
          <w:i/>
          <w:vertAlign w:val="baseline"/>
        </w:rPr>
        <w:t>The Heron II</w:t>
      </w:r>
      <w:r>
        <w:rPr>
          <w:vertAlign w:val="baseline"/>
        </w:rPr>
        <w:t>:</w:t>
      </w:r>
    </w:p>
    <w:p>
      <w:pPr>
        <w:pStyle w:val="BodyText"/>
      </w:pPr>
    </w:p>
    <w:p>
      <w:pPr>
        <w:pStyle w:val="BodyText"/>
        <w:spacing w:before="123"/>
      </w:pPr>
    </w:p>
    <w:p>
      <w:pPr>
        <w:pStyle w:val="BodyText"/>
        <w:spacing w:line="235" w:lineRule="auto"/>
        <w:ind w:left="1245" w:right="167"/>
        <w:jc w:val="both"/>
      </w:pPr>
      <w:r>
        <w:rPr/>
        <w:t>“The modern rule in tort is quite different and it imposes a much wider liability. The defendant will be liable for any type of damage which is reasonably foreseeable as liable to happen even in the most unusual case, unless the risk is so small that a </w:t>
      </w:r>
      <w:r>
        <w:rPr/>
        <w:t>reasonable man would in the whole circumstances feel justified in neglecting it; and there is good reason for the difference. In contract, if one party wishes to protect himself against a risk which to the other party would appear unusual, he can direct the other party’s attention to it before the contract is made, and I need not stop to consider in what circumstances the other</w:t>
      </w:r>
      <w:r>
        <w:rPr>
          <w:spacing w:val="-2"/>
        </w:rPr>
        <w:t> </w:t>
      </w:r>
      <w:r>
        <w:rPr/>
        <w:t>party</w:t>
      </w:r>
      <w:r>
        <w:rPr>
          <w:spacing w:val="-2"/>
        </w:rPr>
        <w:t> </w:t>
      </w:r>
      <w:r>
        <w:rPr/>
        <w:t>will</w:t>
      </w:r>
      <w:r>
        <w:rPr>
          <w:spacing w:val="-2"/>
        </w:rPr>
        <w:t> </w:t>
      </w:r>
      <w:r>
        <w:rPr/>
        <w:t>then</w:t>
      </w:r>
      <w:r>
        <w:rPr>
          <w:spacing w:val="-2"/>
        </w:rPr>
        <w:t> </w:t>
      </w:r>
      <w:r>
        <w:rPr/>
        <w:t>be</w:t>
      </w:r>
      <w:r>
        <w:rPr>
          <w:spacing w:val="-2"/>
        </w:rPr>
        <w:t> </w:t>
      </w:r>
      <w:r>
        <w:rPr/>
        <w:t>held</w:t>
      </w:r>
      <w:r>
        <w:rPr>
          <w:spacing w:val="-2"/>
        </w:rPr>
        <w:t> </w:t>
      </w:r>
      <w:r>
        <w:rPr/>
        <w:t>to</w:t>
      </w:r>
      <w:r>
        <w:rPr>
          <w:spacing w:val="-2"/>
        </w:rPr>
        <w:t> </w:t>
      </w:r>
      <w:r>
        <w:rPr/>
        <w:t>have</w:t>
      </w:r>
      <w:r>
        <w:rPr>
          <w:spacing w:val="-2"/>
        </w:rPr>
        <w:t> </w:t>
      </w:r>
      <w:r>
        <w:rPr/>
        <w:t>accepted</w:t>
      </w:r>
      <w:r>
        <w:rPr>
          <w:spacing w:val="-2"/>
        </w:rPr>
        <w:t> </w:t>
      </w:r>
      <w:r>
        <w:rPr/>
        <w:t>responsibility</w:t>
      </w:r>
      <w:r>
        <w:rPr>
          <w:spacing w:val="-2"/>
        </w:rPr>
        <w:t> </w:t>
      </w:r>
      <w:r>
        <w:rPr/>
        <w:t>in</w:t>
      </w:r>
      <w:r>
        <w:rPr>
          <w:spacing w:val="-2"/>
        </w:rPr>
        <w:t> </w:t>
      </w:r>
      <w:r>
        <w:rPr/>
        <w:t>that</w:t>
      </w:r>
      <w:r>
        <w:rPr>
          <w:spacing w:val="-2"/>
        </w:rPr>
        <w:t> </w:t>
      </w:r>
      <w:r>
        <w:rPr/>
        <w:t>event.</w:t>
      </w:r>
      <w:r>
        <w:rPr>
          <w:spacing w:val="-2"/>
        </w:rPr>
        <w:t> </w:t>
      </w:r>
      <w:r>
        <w:rPr/>
        <w:t>In</w:t>
      </w:r>
      <w:r>
        <w:rPr>
          <w:spacing w:val="-2"/>
        </w:rPr>
        <w:t> </w:t>
      </w:r>
      <w:r>
        <w:rPr/>
        <w:t>tort,</w:t>
      </w:r>
      <w:r>
        <w:rPr>
          <w:spacing w:val="-2"/>
        </w:rPr>
        <w:t> </w:t>
      </w:r>
      <w:r>
        <w:rPr/>
        <w:t>however, there is no opportunity for the injured party to protect himself in that way, and the tortfeasor cannot reasonably complain if he has to pay for some very unusual but nevertheless foreseeable damage which results from his wrongdoing.”</w:t>
      </w:r>
    </w:p>
    <w:p>
      <w:pPr>
        <w:pStyle w:val="BodyText"/>
        <w:spacing w:before="109"/>
      </w:pPr>
    </w:p>
    <w:p>
      <w:pPr>
        <w:pStyle w:val="BodyText"/>
        <w:spacing w:line="360" w:lineRule="auto"/>
        <w:ind w:left="165" w:right="169"/>
        <w:jc w:val="both"/>
        <w:rPr>
          <w:position w:val="-2"/>
        </w:rPr>
      </w:pPr>
      <w:bookmarkStart w:name="_bookmark1208" w:id="1210"/>
      <w:bookmarkEnd w:id="1210"/>
      <w:r>
        <w:rPr/>
      </w:r>
      <w:r>
        <w:rPr/>
        <w:t>In tort cases, in contrast, the rule aims to protect the defendant from liability for events of very low probability. </w:t>
      </w:r>
      <w:r>
        <w:rPr>
          <w:color w:val="005DA1"/>
          <w:u w:val="single" w:color="005DA1"/>
          <w:vertAlign w:val="superscript"/>
        </w:rPr>
        <w:t>664</w:t>
      </w:r>
      <w:r>
        <w:rPr>
          <w:color w:val="005DA1"/>
          <w:spacing w:val="80"/>
          <w:vertAlign w:val="baseline"/>
        </w:rPr>
        <w:t> </w:t>
      </w:r>
      <w:r>
        <w:rPr>
          <w:color w:val="005DA1"/>
          <w:position w:val="-2"/>
          <w:vertAlign w:val="baseline"/>
        </w:rPr>
        <w:drawing>
          <wp:inline distT="0" distB="0" distL="0" distR="0">
            <wp:extent cx="107988" cy="10798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Concurrent </w:t>
      </w:r>
      <w:r>
        <w:rPr>
          <w:rFonts w:ascii="Arial"/>
          <w:b/>
          <w:spacing w:val="-2"/>
          <w:sz w:val="18"/>
        </w:rPr>
        <w:t>liability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118A</w:t>
      </w:r>
    </w:p>
    <w:p>
      <w:pPr>
        <w:pStyle w:val="BodyText"/>
        <w:spacing w:before="92"/>
        <w:rPr>
          <w:rFonts w:ascii="Arial"/>
          <w:b/>
        </w:rPr>
      </w:pPr>
    </w:p>
    <w:p>
      <w:pPr>
        <w:pStyle w:val="BodyText"/>
        <w:spacing w:line="235" w:lineRule="auto"/>
        <w:ind w:left="165" w:right="174"/>
      </w:pPr>
      <w:r>
        <w:rPr>
          <w:position w:val="-2"/>
        </w:rPr>
        <w:drawing>
          <wp:inline distT="0" distB="0" distL="0" distR="0">
            <wp:extent cx="107988" cy="107988"/>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r>
        <w:rPr/>
        <w:t>The difference between the remoteness rule in contract and the remoteness rule in tort has given rise to difficulty in cases of concurrent liability.</w:t>
      </w:r>
    </w:p>
    <w:p>
      <w:pPr>
        <w:pStyle w:val="BodyText"/>
      </w:pPr>
    </w:p>
    <w:p>
      <w:pPr>
        <w:pStyle w:val="BodyText"/>
        <w:spacing w:before="122"/>
      </w:pPr>
    </w:p>
    <w:p>
      <w:pPr>
        <w:pStyle w:val="BodyText"/>
        <w:spacing w:line="360" w:lineRule="auto" w:before="1"/>
        <w:ind w:left="1245"/>
        <w:rPr>
          <w:position w:val="-2"/>
        </w:rPr>
      </w:pPr>
      <w:bookmarkStart w:name="_bookmark1209" w:id="1211"/>
      <w:bookmarkEnd w:id="1211"/>
      <w:r>
        <w:rPr/>
      </w:r>
      <w:r>
        <w:rPr/>
        <w:t>“Damage may be of a kind which is reasonably foreseeable (and therefore recoverable in tort) yet highly unusual or unlikely (and therefore irrecoverable in contract). </w:t>
      </w:r>
      <w:r>
        <w:rPr>
          <w:color w:val="005DA1"/>
          <w:u w:val="single" w:color="005DA1"/>
          <w:vertAlign w:val="superscript"/>
        </w:rPr>
        <w:t>665</w:t>
      </w:r>
      <w:r>
        <w:rPr>
          <w:color w:val="005DA1"/>
          <w:spacing w:val="80"/>
          <w:vertAlign w:val="baseline"/>
        </w:rPr>
        <w:t> </w:t>
      </w:r>
      <w:r>
        <w:rPr>
          <w:color w:val="005DA1"/>
          <w:position w:val="-2"/>
          <w:vertAlign w:val="baseline"/>
        </w:rPr>
        <w:drawing>
          <wp:inline distT="0" distB="0" distL="0" distR="0">
            <wp:extent cx="107988" cy="107988"/>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20"/>
      </w:pPr>
    </w:p>
    <w:p>
      <w:pPr>
        <w:spacing w:line="235" w:lineRule="auto" w:before="0"/>
        <w:ind w:left="165" w:right="167" w:firstLine="0"/>
        <w:jc w:val="both"/>
        <w:rPr>
          <w:sz w:val="20"/>
        </w:rPr>
      </w:pPr>
      <w:bookmarkStart w:name="_bookmark1210" w:id="1212"/>
      <w:bookmarkEnd w:id="1212"/>
      <w:r>
        <w:rPr/>
      </w:r>
      <w:r>
        <w:rPr>
          <w:sz w:val="20"/>
        </w:rPr>
        <w:t>In</w:t>
      </w:r>
      <w:r>
        <w:rPr>
          <w:spacing w:val="-2"/>
          <w:sz w:val="20"/>
        </w:rPr>
        <w:t> </w:t>
      </w:r>
      <w:r>
        <w:rPr>
          <w:rFonts w:ascii="Arial"/>
          <w:i/>
          <w:sz w:val="20"/>
        </w:rPr>
        <w:t>Parsons</w:t>
      </w:r>
      <w:r>
        <w:rPr>
          <w:rFonts w:ascii="Arial"/>
          <w:i/>
          <w:spacing w:val="-2"/>
          <w:sz w:val="20"/>
        </w:rPr>
        <w:t> </w:t>
      </w:r>
      <w:r>
        <w:rPr>
          <w:rFonts w:ascii="Arial"/>
          <w:i/>
          <w:sz w:val="20"/>
        </w:rPr>
        <w:t>(Livestock)</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Uttley,</w:t>
      </w:r>
      <w:r>
        <w:rPr>
          <w:rFonts w:ascii="Arial"/>
          <w:i/>
          <w:spacing w:val="-2"/>
          <w:sz w:val="20"/>
        </w:rPr>
        <w:t> </w:t>
      </w:r>
      <w:r>
        <w:rPr>
          <w:rFonts w:ascii="Arial"/>
          <w:i/>
          <w:sz w:val="20"/>
        </w:rPr>
        <w:t>Ingham</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color w:val="005DA1"/>
          <w:sz w:val="20"/>
          <w:u w:val="single" w:color="005DA1"/>
          <w:vertAlign w:val="superscript"/>
        </w:rPr>
        <w:t>666</w:t>
      </w:r>
      <w:r>
        <w:rPr>
          <w:color w:val="005DA1"/>
          <w:spacing w:val="80"/>
          <w:sz w:val="20"/>
          <w:vertAlign w:val="baseline"/>
        </w:rPr>
        <w:t> </w:t>
      </w:r>
      <w:r>
        <w:rPr>
          <w:color w:val="005DA1"/>
          <w:spacing w:val="2"/>
          <w:position w:val="-2"/>
          <w:sz w:val="20"/>
          <w:vertAlign w:val="baseline"/>
        </w:rPr>
        <w:drawing>
          <wp:inline distT="0" distB="0" distL="0" distR="0">
            <wp:extent cx="107988" cy="107988"/>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
          <w:sz w:val="20"/>
          <w:vertAlign w:val="baseline"/>
        </w:rPr>
        <w:t> </w:t>
      </w:r>
      <w:r>
        <w:rPr>
          <w:sz w:val="20"/>
          <w:vertAlign w:val="baseline"/>
        </w:rPr>
        <w:t>Lord</w:t>
      </w:r>
      <w:r>
        <w:rPr>
          <w:spacing w:val="-2"/>
          <w:sz w:val="20"/>
          <w:vertAlign w:val="baseline"/>
        </w:rPr>
        <w:t> </w:t>
      </w:r>
      <w:r>
        <w:rPr>
          <w:sz w:val="20"/>
          <w:vertAlign w:val="baseline"/>
        </w:rPr>
        <w:t>Denning</w:t>
      </w:r>
      <w:r>
        <w:rPr>
          <w:spacing w:val="-2"/>
          <w:sz w:val="20"/>
          <w:vertAlign w:val="baseline"/>
        </w:rPr>
        <w:t> </w:t>
      </w:r>
      <w:r>
        <w:rPr>
          <w:sz w:val="20"/>
          <w:vertAlign w:val="baseline"/>
        </w:rPr>
        <w:t>M.R.</w:t>
      </w:r>
      <w:r>
        <w:rPr>
          <w:spacing w:val="-2"/>
          <w:sz w:val="20"/>
          <w:vertAlign w:val="baseline"/>
        </w:rPr>
        <w:t> </w:t>
      </w:r>
      <w:r>
        <w:rPr>
          <w:sz w:val="20"/>
          <w:vertAlign w:val="baseline"/>
        </w:rPr>
        <w:t>said</w:t>
      </w:r>
      <w:r>
        <w:rPr>
          <w:spacing w:val="-2"/>
          <w:sz w:val="20"/>
          <w:vertAlign w:val="baseline"/>
        </w:rPr>
        <w:t> </w:t>
      </w:r>
      <w:r>
        <w:rPr>
          <w:sz w:val="20"/>
          <w:vertAlign w:val="baseline"/>
        </w:rPr>
        <w:t>that</w:t>
      </w:r>
      <w:r>
        <w:rPr>
          <w:spacing w:val="-2"/>
          <w:sz w:val="20"/>
          <w:vertAlign w:val="baseline"/>
        </w:rPr>
        <w:t> </w:t>
      </w:r>
      <w:r>
        <w:rPr>
          <w:sz w:val="20"/>
          <w:vertAlign w:val="baseline"/>
        </w:rPr>
        <w:t>in</w:t>
      </w:r>
      <w:r>
        <w:rPr>
          <w:spacing w:val="-2"/>
          <w:sz w:val="20"/>
          <w:vertAlign w:val="baseline"/>
        </w:rPr>
        <w:t> </w:t>
      </w:r>
      <w:r>
        <w:rPr>
          <w:sz w:val="20"/>
          <w:vertAlign w:val="baseline"/>
        </w:rPr>
        <w:t>the</w:t>
      </w:r>
      <w:r>
        <w:rPr>
          <w:spacing w:val="-2"/>
          <w:sz w:val="20"/>
          <w:vertAlign w:val="baseline"/>
        </w:rPr>
        <w:t> </w:t>
      </w:r>
      <w:r>
        <w:rPr>
          <w:sz w:val="20"/>
          <w:vertAlign w:val="baseline"/>
        </w:rPr>
        <w:t>test</w:t>
      </w:r>
      <w:r>
        <w:rPr>
          <w:spacing w:val="-2"/>
          <w:sz w:val="20"/>
          <w:vertAlign w:val="baseline"/>
        </w:rPr>
        <w:t> </w:t>
      </w:r>
      <w:r>
        <w:rPr>
          <w:sz w:val="20"/>
          <w:vertAlign w:val="baseline"/>
        </w:rPr>
        <w:t>for </w:t>
      </w:r>
      <w:bookmarkStart w:name="_bookmark1211" w:id="1213"/>
      <w:bookmarkEnd w:id="1213"/>
      <w:r>
        <w:rPr>
          <w:sz w:val="20"/>
          <w:vertAlign w:val="baseline"/>
        </w:rPr>
        <w:t>remoteness</w:t>
      </w:r>
      <w:r>
        <w:rPr>
          <w:spacing w:val="6"/>
          <w:sz w:val="20"/>
          <w:vertAlign w:val="baseline"/>
        </w:rPr>
        <w:t> </w:t>
      </w:r>
      <w:r>
        <w:rPr>
          <w:sz w:val="20"/>
          <w:vertAlign w:val="baseline"/>
        </w:rPr>
        <w:t>of</w:t>
      </w:r>
      <w:r>
        <w:rPr>
          <w:spacing w:val="6"/>
          <w:sz w:val="20"/>
          <w:vertAlign w:val="baseline"/>
        </w:rPr>
        <w:t> </w:t>
      </w:r>
      <w:r>
        <w:rPr>
          <w:sz w:val="20"/>
          <w:vertAlign w:val="baseline"/>
        </w:rPr>
        <w:t>damage</w:t>
      </w:r>
      <w:r>
        <w:rPr>
          <w:spacing w:val="6"/>
          <w:sz w:val="20"/>
          <w:vertAlign w:val="baseline"/>
        </w:rPr>
        <w:t> </w:t>
      </w:r>
      <w:r>
        <w:rPr>
          <w:sz w:val="20"/>
          <w:vertAlign w:val="baseline"/>
        </w:rPr>
        <w:t>in</w:t>
      </w:r>
      <w:r>
        <w:rPr>
          <w:spacing w:val="6"/>
          <w:sz w:val="20"/>
          <w:vertAlign w:val="baseline"/>
        </w:rPr>
        <w:t> </w:t>
      </w:r>
      <w:r>
        <w:rPr>
          <w:sz w:val="20"/>
          <w:vertAlign w:val="baseline"/>
        </w:rPr>
        <w:t>contract</w:t>
      </w:r>
      <w:r>
        <w:rPr>
          <w:spacing w:val="6"/>
          <w:sz w:val="20"/>
          <w:vertAlign w:val="baseline"/>
        </w:rPr>
        <w:t> </w:t>
      </w:r>
      <w:r>
        <w:rPr>
          <w:sz w:val="20"/>
          <w:vertAlign w:val="baseline"/>
        </w:rPr>
        <w:t>there</w:t>
      </w:r>
      <w:r>
        <w:rPr>
          <w:spacing w:val="6"/>
          <w:sz w:val="20"/>
          <w:vertAlign w:val="baseline"/>
        </w:rPr>
        <w:t> </w:t>
      </w:r>
      <w:r>
        <w:rPr>
          <w:sz w:val="20"/>
          <w:vertAlign w:val="baseline"/>
        </w:rPr>
        <w:t>is</w:t>
      </w:r>
      <w:r>
        <w:rPr>
          <w:spacing w:val="6"/>
          <w:sz w:val="20"/>
          <w:vertAlign w:val="baseline"/>
        </w:rPr>
        <w:t> </w:t>
      </w:r>
      <w:r>
        <w:rPr>
          <w:sz w:val="20"/>
          <w:vertAlign w:val="baseline"/>
        </w:rPr>
        <w:t>a</w:t>
      </w:r>
      <w:r>
        <w:rPr>
          <w:spacing w:val="6"/>
          <w:sz w:val="20"/>
          <w:vertAlign w:val="baseline"/>
        </w:rPr>
        <w:t> </w:t>
      </w:r>
      <w:r>
        <w:rPr>
          <w:sz w:val="20"/>
          <w:vertAlign w:val="baseline"/>
        </w:rPr>
        <w:t>distinction</w:t>
      </w:r>
      <w:r>
        <w:rPr>
          <w:spacing w:val="6"/>
          <w:sz w:val="20"/>
          <w:vertAlign w:val="baseline"/>
        </w:rPr>
        <w:t> </w:t>
      </w:r>
      <w:r>
        <w:rPr>
          <w:sz w:val="20"/>
          <w:vertAlign w:val="baseline"/>
        </w:rPr>
        <w:t>between</w:t>
      </w:r>
      <w:r>
        <w:rPr>
          <w:spacing w:val="6"/>
          <w:sz w:val="20"/>
          <w:vertAlign w:val="baseline"/>
        </w:rPr>
        <w:t> </w:t>
      </w:r>
      <w:r>
        <w:rPr>
          <w:sz w:val="20"/>
          <w:vertAlign w:val="baseline"/>
        </w:rPr>
        <w:t>loss</w:t>
      </w:r>
      <w:r>
        <w:rPr>
          <w:spacing w:val="6"/>
          <w:sz w:val="20"/>
          <w:vertAlign w:val="baseline"/>
        </w:rPr>
        <w:t> </w:t>
      </w:r>
      <w:r>
        <w:rPr>
          <w:sz w:val="20"/>
          <w:vertAlign w:val="baseline"/>
        </w:rPr>
        <w:t>of</w:t>
      </w:r>
      <w:r>
        <w:rPr>
          <w:spacing w:val="6"/>
          <w:sz w:val="20"/>
          <w:vertAlign w:val="baseline"/>
        </w:rPr>
        <w:t> </w:t>
      </w:r>
      <w:r>
        <w:rPr>
          <w:sz w:val="20"/>
          <w:vertAlign w:val="baseline"/>
        </w:rPr>
        <w:t>profit</w:t>
      </w:r>
      <w:r>
        <w:rPr>
          <w:spacing w:val="6"/>
          <w:sz w:val="20"/>
          <w:vertAlign w:val="baseline"/>
        </w:rPr>
        <w:t> </w:t>
      </w:r>
      <w:r>
        <w:rPr>
          <w:sz w:val="20"/>
          <w:vertAlign w:val="baseline"/>
        </w:rPr>
        <w:t>(or</w:t>
      </w:r>
      <w:r>
        <w:rPr>
          <w:spacing w:val="6"/>
          <w:sz w:val="20"/>
          <w:vertAlign w:val="baseline"/>
        </w:rPr>
        <w:t> </w:t>
      </w:r>
      <w:r>
        <w:rPr>
          <w:sz w:val="20"/>
          <w:vertAlign w:val="baseline"/>
        </w:rPr>
        <w:t>only</w:t>
      </w:r>
      <w:r>
        <w:rPr>
          <w:spacing w:val="6"/>
          <w:sz w:val="20"/>
          <w:vertAlign w:val="baseline"/>
        </w:rPr>
        <w:t> </w:t>
      </w:r>
      <w:r>
        <w:rPr>
          <w:sz w:val="20"/>
          <w:vertAlign w:val="baseline"/>
        </w:rPr>
        <w:t>economic</w:t>
      </w:r>
      <w:r>
        <w:rPr>
          <w:spacing w:val="6"/>
          <w:sz w:val="20"/>
          <w:vertAlign w:val="baseline"/>
        </w:rPr>
        <w:t> </w:t>
      </w:r>
      <w:r>
        <w:rPr>
          <w:spacing w:val="-2"/>
          <w:sz w:val="20"/>
          <w:vertAlign w:val="baseline"/>
        </w:rPr>
        <w:t>loss)</w:t>
      </w:r>
    </w:p>
    <w:p>
      <w:pPr>
        <w:pStyle w:val="BodyText"/>
        <w:spacing w:before="116"/>
        <w:ind w:left="165"/>
        <w:jc w:val="both"/>
      </w:pPr>
      <w:bookmarkStart w:name="_bookmark1212" w:id="1214"/>
      <w:bookmarkEnd w:id="1214"/>
      <w:r>
        <w:rPr/>
      </w:r>
      <w:r>
        <w:rPr/>
        <w:t>cases,</w:t>
      </w:r>
      <w:r>
        <w:rPr>
          <w:spacing w:val="11"/>
        </w:rPr>
        <w:t> </w:t>
      </w:r>
      <w:r>
        <w:rPr/>
        <w:t>and</w:t>
      </w:r>
      <w:r>
        <w:rPr>
          <w:spacing w:val="11"/>
        </w:rPr>
        <w:t> </w:t>
      </w:r>
      <w:r>
        <w:rPr/>
        <w:t>physical</w:t>
      </w:r>
      <w:r>
        <w:rPr>
          <w:spacing w:val="11"/>
        </w:rPr>
        <w:t> </w:t>
      </w:r>
      <w:r>
        <w:rPr/>
        <w:t>damage</w:t>
      </w:r>
      <w:r>
        <w:rPr>
          <w:spacing w:val="11"/>
        </w:rPr>
        <w:t> </w:t>
      </w:r>
      <w:r>
        <w:rPr/>
        <w:t>(or</w:t>
      </w:r>
      <w:r>
        <w:rPr>
          <w:spacing w:val="11"/>
        </w:rPr>
        <w:t> </w:t>
      </w:r>
      <w:r>
        <w:rPr/>
        <w:t>expense)</w:t>
      </w:r>
      <w:r>
        <w:rPr>
          <w:spacing w:val="11"/>
        </w:rPr>
        <w:t> </w:t>
      </w:r>
      <w:r>
        <w:rPr/>
        <w:t>cases</w:t>
      </w:r>
      <w:r>
        <w:rPr>
          <w:spacing w:val="11"/>
        </w:rPr>
        <w:t> </w:t>
      </w:r>
      <w:r>
        <w:rPr>
          <w:color w:val="005DA1"/>
          <w:u w:val="single" w:color="005DA1"/>
          <w:vertAlign w:val="superscript"/>
        </w:rPr>
        <w:t>667</w:t>
      </w:r>
      <w:r>
        <w:rPr>
          <w:color w:val="005DA1"/>
          <w:spacing w:val="44"/>
          <w:vertAlign w:val="baseline"/>
        </w:rPr>
        <w:t>  </w:t>
      </w:r>
      <w:r>
        <w:rPr>
          <w:color w:val="005DA1"/>
          <w:spacing w:val="-18"/>
          <w:position w:val="-2"/>
          <w:vertAlign w:val="baseline"/>
        </w:rPr>
        <w:drawing>
          <wp:inline distT="0" distB="0" distL="0" distR="0">
            <wp:extent cx="107988" cy="107988"/>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vertAlign w:val="baseline"/>
        </w:rPr>
        <w:t>;</w:t>
      </w:r>
      <w:r>
        <w:rPr>
          <w:spacing w:val="12"/>
          <w:vertAlign w:val="baseline"/>
        </w:rPr>
        <w:t> </w:t>
      </w:r>
      <w:r>
        <w:rPr>
          <w:vertAlign w:val="baseline"/>
        </w:rPr>
        <w:t>but</w:t>
      </w:r>
      <w:r>
        <w:rPr>
          <w:spacing w:val="11"/>
          <w:vertAlign w:val="baseline"/>
        </w:rPr>
        <w:t> </w:t>
      </w:r>
      <w:r>
        <w:rPr>
          <w:vertAlign w:val="baseline"/>
        </w:rPr>
        <w:t>this</w:t>
      </w:r>
      <w:r>
        <w:rPr>
          <w:spacing w:val="11"/>
          <w:vertAlign w:val="baseline"/>
        </w:rPr>
        <w:t> </w:t>
      </w:r>
      <w:r>
        <w:rPr>
          <w:vertAlign w:val="baseline"/>
        </w:rPr>
        <w:t>distinction</w:t>
      </w:r>
      <w:r>
        <w:rPr>
          <w:spacing w:val="11"/>
          <w:vertAlign w:val="baseline"/>
        </w:rPr>
        <w:t> </w:t>
      </w:r>
      <w:r>
        <w:rPr>
          <w:vertAlign w:val="baseline"/>
        </w:rPr>
        <w:t>was</w:t>
      </w:r>
      <w:r>
        <w:rPr>
          <w:spacing w:val="11"/>
          <w:vertAlign w:val="baseline"/>
        </w:rPr>
        <w:t> </w:t>
      </w:r>
      <w:r>
        <w:rPr>
          <w:vertAlign w:val="baseline"/>
        </w:rPr>
        <w:t>not</w:t>
      </w:r>
      <w:r>
        <w:rPr>
          <w:spacing w:val="12"/>
          <w:vertAlign w:val="baseline"/>
        </w:rPr>
        <w:t> </w:t>
      </w:r>
      <w:r>
        <w:rPr>
          <w:vertAlign w:val="baseline"/>
        </w:rPr>
        <w:t>accepted</w:t>
      </w:r>
      <w:r>
        <w:rPr>
          <w:spacing w:val="11"/>
          <w:vertAlign w:val="baseline"/>
        </w:rPr>
        <w:t> </w:t>
      </w:r>
      <w:r>
        <w:rPr>
          <w:vertAlign w:val="baseline"/>
        </w:rPr>
        <w:t>by</w:t>
      </w:r>
      <w:r>
        <w:rPr>
          <w:spacing w:val="11"/>
          <w:vertAlign w:val="baseline"/>
        </w:rPr>
        <w:t> </w:t>
      </w:r>
      <w:r>
        <w:rPr>
          <w:spacing w:val="-5"/>
          <w:vertAlign w:val="baseline"/>
        </w:rPr>
        <w:t>the</w:t>
      </w:r>
    </w:p>
    <w:p>
      <w:pPr>
        <w:pStyle w:val="BodyText"/>
        <w:spacing w:line="235" w:lineRule="auto" w:before="118"/>
        <w:ind w:left="165" w:right="167"/>
        <w:jc w:val="both"/>
      </w:pPr>
      <w:r>
        <w:rPr/>
        <w:t>other members of the Court of Appeal, </w:t>
      </w:r>
      <w:r>
        <w:rPr>
          <w:color w:val="005DA1"/>
          <w:u w:val="single" w:color="005DA1"/>
          <w:vertAlign w:val="superscript"/>
        </w:rPr>
        <w:t>668</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and seemed to lack supporting authority. However, </w:t>
      </w:r>
      <w:r>
        <w:rPr>
          <w:vertAlign w:val="baseline"/>
        </w:rPr>
        <w:t>no </w:t>
      </w:r>
      <w:bookmarkStart w:name="_bookmark1213" w:id="1215"/>
      <w:bookmarkEnd w:id="1215"/>
      <w:r>
        <w:rPr>
          <w:vertAlign w:val="baseline"/>
        </w:rPr>
        <w:t>clear</w:t>
      </w:r>
      <w:r>
        <w:rPr>
          <w:spacing w:val="14"/>
          <w:vertAlign w:val="baseline"/>
        </w:rPr>
        <w:t> </w:t>
      </w:r>
      <w:r>
        <w:rPr>
          <w:vertAlign w:val="baseline"/>
        </w:rPr>
        <w:t>answer</w:t>
      </w:r>
      <w:r>
        <w:rPr>
          <w:spacing w:val="14"/>
          <w:vertAlign w:val="baseline"/>
        </w:rPr>
        <w:t> </w:t>
      </w:r>
      <w:r>
        <w:rPr>
          <w:vertAlign w:val="baseline"/>
        </w:rPr>
        <w:t>emerged</w:t>
      </w:r>
      <w:r>
        <w:rPr>
          <w:spacing w:val="14"/>
          <w:vertAlign w:val="baseline"/>
        </w:rPr>
        <w:t> </w:t>
      </w:r>
      <w:r>
        <w:rPr>
          <w:vertAlign w:val="baseline"/>
        </w:rPr>
        <w:t>from</w:t>
      </w:r>
      <w:r>
        <w:rPr>
          <w:spacing w:val="14"/>
          <w:vertAlign w:val="baseline"/>
        </w:rPr>
        <w:t> </w:t>
      </w:r>
      <w:r>
        <w:rPr>
          <w:vertAlign w:val="baseline"/>
        </w:rPr>
        <w:t>the</w:t>
      </w:r>
      <w:r>
        <w:rPr>
          <w:spacing w:val="14"/>
          <w:vertAlign w:val="baseline"/>
        </w:rPr>
        <w:t> </w:t>
      </w:r>
      <w:r>
        <w:rPr>
          <w:vertAlign w:val="baseline"/>
        </w:rPr>
        <w:t>other</w:t>
      </w:r>
      <w:r>
        <w:rPr>
          <w:spacing w:val="14"/>
          <w:vertAlign w:val="baseline"/>
        </w:rPr>
        <w:t> </w:t>
      </w:r>
      <w:r>
        <w:rPr>
          <w:vertAlign w:val="baseline"/>
        </w:rPr>
        <w:t>judgments.</w:t>
      </w:r>
      <w:r>
        <w:rPr>
          <w:spacing w:val="14"/>
          <w:vertAlign w:val="baseline"/>
        </w:rPr>
        <w:t> </w:t>
      </w:r>
      <w:r>
        <w:rPr>
          <w:vertAlign w:val="baseline"/>
        </w:rPr>
        <w:t>Academic</w:t>
      </w:r>
      <w:r>
        <w:rPr>
          <w:spacing w:val="14"/>
          <w:vertAlign w:val="baseline"/>
        </w:rPr>
        <w:t> </w:t>
      </w:r>
      <w:r>
        <w:rPr>
          <w:vertAlign w:val="baseline"/>
        </w:rPr>
        <w:t>writers</w:t>
      </w:r>
      <w:r>
        <w:rPr>
          <w:spacing w:val="14"/>
          <w:vertAlign w:val="baseline"/>
        </w:rPr>
        <w:t> </w:t>
      </w:r>
      <w:r>
        <w:rPr>
          <w:vertAlign w:val="baseline"/>
        </w:rPr>
        <w:t>suggested</w:t>
      </w:r>
      <w:r>
        <w:rPr>
          <w:spacing w:val="14"/>
          <w:vertAlign w:val="baseline"/>
        </w:rPr>
        <w:t> </w:t>
      </w:r>
      <w:r>
        <w:rPr>
          <w:vertAlign w:val="baseline"/>
        </w:rPr>
        <w:t>that</w:t>
      </w:r>
      <w:r>
        <w:rPr>
          <w:spacing w:val="14"/>
          <w:vertAlign w:val="baseline"/>
        </w:rPr>
        <w:t> </w:t>
      </w:r>
      <w:r>
        <w:rPr>
          <w:vertAlign w:val="baseline"/>
        </w:rPr>
        <w:t>where</w:t>
      </w:r>
      <w:r>
        <w:rPr>
          <w:spacing w:val="14"/>
          <w:vertAlign w:val="baseline"/>
        </w:rPr>
        <w:t> </w:t>
      </w:r>
      <w:r>
        <w:rPr>
          <w:vertAlign w:val="baseline"/>
        </w:rPr>
        <w:t>a</w:t>
      </w:r>
      <w:r>
        <w:rPr>
          <w:spacing w:val="14"/>
          <w:vertAlign w:val="baseline"/>
        </w:rPr>
        <w:t> </w:t>
      </w:r>
      <w:r>
        <w:rPr>
          <w:spacing w:val="-2"/>
          <w:vertAlign w:val="baseline"/>
        </w:rPr>
        <w:t>claimant</w:t>
      </w:r>
    </w:p>
    <w:p>
      <w:pPr>
        <w:pStyle w:val="BodyText"/>
        <w:spacing w:line="360" w:lineRule="auto" w:before="116"/>
        <w:ind w:left="165" w:right="167"/>
        <w:jc w:val="both"/>
      </w:pPr>
      <w:bookmarkStart w:name="_bookmark1214" w:id="1216"/>
      <w:bookmarkEnd w:id="1216"/>
      <w:r>
        <w:rPr/>
      </w:r>
      <w:r>
        <w:rPr/>
        <w:t>was in previous communication with the defendant, the contract rule should apply. </w:t>
      </w:r>
      <w:r>
        <w:rPr>
          <w:color w:val="005DA1"/>
          <w:u w:val="single" w:color="005DA1"/>
          <w:vertAlign w:val="superscript"/>
        </w:rPr>
        <w:t>669</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40"/>
          <w:vertAlign w:val="baseline"/>
        </w:rPr>
        <w:t> </w:t>
      </w:r>
      <w:r>
        <w:rPr>
          <w:vertAlign w:val="baseline"/>
        </w:rPr>
        <w:t>The </w:t>
      </w:r>
      <w:bookmarkStart w:name="_bookmark1215" w:id="1217"/>
      <w:bookmarkEnd w:id="1217"/>
      <w:r>
        <w:rPr>
          <w:vertAlign w:val="baseline"/>
        </w:rPr>
        <w:t>question</w:t>
      </w:r>
      <w:r>
        <w:rPr>
          <w:vertAlign w:val="baseline"/>
        </w:rPr>
        <w:t> has recently been subject to apparently conflicting decisions of the Court of Appeal.</w:t>
      </w:r>
      <w:r>
        <w:rPr>
          <w:spacing w:val="-2"/>
          <w:vertAlign w:val="baseline"/>
        </w:rPr>
        <w:t> </w:t>
      </w:r>
      <w:r>
        <w:rPr>
          <w:color w:val="005DA1"/>
          <w:u w:val="single" w:color="005DA1"/>
          <w:vertAlign w:val="superscript"/>
        </w:rPr>
        <w:t>670</w:t>
      </w:r>
      <w:r>
        <w:rPr>
          <w:color w:val="005DA1"/>
          <w:spacing w:val="27"/>
          <w:vertAlign w:val="baseline"/>
        </w:rPr>
        <w:t>  </w:t>
      </w:r>
      <w:r>
        <w:rPr>
          <w:color w:val="005DA1"/>
          <w:spacing w:val="2"/>
          <w:position w:val="-2"/>
          <w:vertAlign w:val="baseline"/>
        </w:rPr>
        <w:drawing>
          <wp:inline distT="0" distB="0" distL="0" distR="0">
            <wp:extent cx="107988" cy="10798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4"/>
          <w:vertAlign w:val="baseline"/>
        </w:rPr>
        <w:t> </w:t>
      </w:r>
      <w:r>
        <w:rPr>
          <w:spacing w:val="-5"/>
          <w:vertAlign w:val="baseline"/>
        </w:rPr>
        <w:t>In</w:t>
      </w:r>
    </w:p>
    <w:p>
      <w:pPr>
        <w:pStyle w:val="BodyText"/>
        <w:spacing w:line="235" w:lineRule="auto" w:before="4"/>
        <w:ind w:left="165" w:right="167"/>
        <w:jc w:val="both"/>
      </w:pPr>
      <w:r>
        <w:rPr>
          <w:rFonts w:ascii="Arial" w:hAnsi="Arial"/>
          <w:i/>
        </w:rPr>
        <w:t>Yapp</w:t>
      </w:r>
      <w:r>
        <w:rPr>
          <w:rFonts w:ascii="Arial" w:hAnsi="Arial"/>
          <w:i/>
          <w:spacing w:val="-2"/>
        </w:rPr>
        <w:t> </w:t>
      </w:r>
      <w:r>
        <w:rPr>
          <w:rFonts w:ascii="Arial" w:hAnsi="Arial"/>
          <w:i/>
        </w:rPr>
        <w:t>v</w:t>
      </w:r>
      <w:r>
        <w:rPr>
          <w:rFonts w:ascii="Arial" w:hAnsi="Arial"/>
          <w:i/>
          <w:spacing w:val="-2"/>
        </w:rPr>
        <w:t> </w:t>
      </w:r>
      <w:r>
        <w:rPr>
          <w:rFonts w:ascii="Arial" w:hAnsi="Arial"/>
          <w:i/>
        </w:rPr>
        <w:t>Foreign</w:t>
      </w:r>
      <w:r>
        <w:rPr>
          <w:rFonts w:ascii="Arial" w:hAnsi="Arial"/>
          <w:i/>
          <w:spacing w:val="-2"/>
        </w:rPr>
        <w:t> </w:t>
      </w:r>
      <w:r>
        <w:rPr>
          <w:rFonts w:ascii="Arial" w:hAnsi="Arial"/>
          <w:i/>
        </w:rPr>
        <w:t>and</w:t>
      </w:r>
      <w:r>
        <w:rPr>
          <w:rFonts w:ascii="Arial" w:hAnsi="Arial"/>
          <w:i/>
          <w:spacing w:val="-2"/>
        </w:rPr>
        <w:t> </w:t>
      </w:r>
      <w:r>
        <w:rPr>
          <w:rFonts w:ascii="Arial" w:hAnsi="Arial"/>
          <w:i/>
        </w:rPr>
        <w:t>Commonwealth</w:t>
      </w:r>
      <w:r>
        <w:rPr>
          <w:rFonts w:ascii="Arial" w:hAnsi="Arial"/>
          <w:i/>
          <w:spacing w:val="-2"/>
        </w:rPr>
        <w:t> </w:t>
      </w:r>
      <w:r>
        <w:rPr>
          <w:rFonts w:ascii="Arial" w:hAnsi="Arial"/>
          <w:i/>
        </w:rPr>
        <w:t>Office</w:t>
      </w:r>
      <w:r>
        <w:rPr/>
        <w:t>,</w:t>
      </w:r>
      <w:r>
        <w:rPr>
          <w:spacing w:val="-2"/>
        </w:rPr>
        <w:t> </w:t>
      </w:r>
      <w:r>
        <w:rPr>
          <w:color w:val="005DA1"/>
          <w:u w:val="single" w:color="005DA1"/>
          <w:vertAlign w:val="superscript"/>
        </w:rPr>
        <w:t>671</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1"/>
          <w:vertAlign w:val="baseline"/>
        </w:rPr>
        <w:t> </w:t>
      </w:r>
      <w:r>
        <w:rPr>
          <w:vertAlign w:val="baseline"/>
        </w:rPr>
        <w:t>an</w:t>
      </w:r>
      <w:r>
        <w:rPr>
          <w:spacing w:val="-2"/>
          <w:vertAlign w:val="baseline"/>
        </w:rPr>
        <w:t> </w:t>
      </w:r>
      <w:r>
        <w:rPr>
          <w:vertAlign w:val="baseline"/>
        </w:rPr>
        <w:t>employment</w:t>
      </w:r>
      <w:r>
        <w:rPr>
          <w:spacing w:val="-2"/>
          <w:vertAlign w:val="baseline"/>
        </w:rPr>
        <w:t> </w:t>
      </w:r>
      <w:r>
        <w:rPr>
          <w:vertAlign w:val="baseline"/>
        </w:rPr>
        <w:t>case,</w:t>
      </w:r>
      <w:r>
        <w:rPr>
          <w:spacing w:val="-2"/>
          <w:vertAlign w:val="baseline"/>
        </w:rPr>
        <w:t> </w:t>
      </w:r>
      <w:r>
        <w:rPr>
          <w:vertAlign w:val="baseline"/>
        </w:rPr>
        <w:t>Underhill</w:t>
      </w:r>
      <w:r>
        <w:rPr>
          <w:spacing w:val="-2"/>
          <w:vertAlign w:val="baseline"/>
        </w:rPr>
        <w:t> </w:t>
      </w:r>
      <w:r>
        <w:rPr>
          <w:vertAlign w:val="baseline"/>
        </w:rPr>
        <w:t>L.J.,</w:t>
      </w:r>
      <w:r>
        <w:rPr>
          <w:spacing w:val="-2"/>
          <w:vertAlign w:val="baseline"/>
        </w:rPr>
        <w:t> </w:t>
      </w:r>
      <w:r>
        <w:rPr>
          <w:vertAlign w:val="baseline"/>
        </w:rPr>
        <w:t>with</w:t>
      </w:r>
      <w:r>
        <w:rPr>
          <w:spacing w:val="-2"/>
          <w:vertAlign w:val="baseline"/>
        </w:rPr>
        <w:t> </w:t>
      </w:r>
      <w:r>
        <w:rPr>
          <w:vertAlign w:val="baseline"/>
        </w:rPr>
        <w:t>whom</w:t>
      </w:r>
      <w:r>
        <w:rPr>
          <w:spacing w:val="-2"/>
          <w:vertAlign w:val="baseline"/>
        </w:rPr>
        <w:t> </w:t>
      </w:r>
      <w:r>
        <w:rPr>
          <w:vertAlign w:val="baseline"/>
        </w:rPr>
        <w:t>the other members of the court agreed, held that whether psychiatric injury was too remote </w:t>
      </w:r>
      <w:r>
        <w:rPr>
          <w:vertAlign w:val="baseline"/>
        </w:rPr>
        <w:t>a consequence</w:t>
      </w:r>
      <w:r>
        <w:rPr>
          <w:spacing w:val="9"/>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breach</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employer’s</w:t>
      </w:r>
      <w:r>
        <w:rPr>
          <w:spacing w:val="11"/>
          <w:vertAlign w:val="baseline"/>
        </w:rPr>
        <w:t> </w:t>
      </w:r>
      <w:r>
        <w:rPr>
          <w:vertAlign w:val="baseline"/>
        </w:rPr>
        <w:t>duty</w:t>
      </w:r>
      <w:r>
        <w:rPr>
          <w:spacing w:val="11"/>
          <w:vertAlign w:val="baseline"/>
        </w:rPr>
        <w:t> </w:t>
      </w:r>
      <w:r>
        <w:rPr>
          <w:vertAlign w:val="baseline"/>
        </w:rPr>
        <w:t>of</w:t>
      </w:r>
      <w:r>
        <w:rPr>
          <w:spacing w:val="11"/>
          <w:vertAlign w:val="baseline"/>
        </w:rPr>
        <w:t> </w:t>
      </w:r>
      <w:r>
        <w:rPr>
          <w:vertAlign w:val="baseline"/>
        </w:rPr>
        <w:t>care</w:t>
      </w:r>
      <w:r>
        <w:rPr>
          <w:spacing w:val="11"/>
          <w:vertAlign w:val="baseline"/>
        </w:rPr>
        <w:t> </w:t>
      </w:r>
      <w:r>
        <w:rPr>
          <w:vertAlign w:val="baseline"/>
        </w:rPr>
        <w:t>was</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determined</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test</w:t>
      </w:r>
      <w:r>
        <w:rPr>
          <w:spacing w:val="11"/>
          <w:vertAlign w:val="baseline"/>
        </w:rPr>
        <w:t> </w:t>
      </w:r>
      <w:r>
        <w:rPr>
          <w:spacing w:val="-2"/>
          <w:vertAlign w:val="baseline"/>
        </w:rPr>
        <w:t>applicable</w:t>
      </w:r>
    </w:p>
    <w:p>
      <w:pPr>
        <w:pStyle w:val="BodyText"/>
        <w:spacing w:after="0" w:line="235" w:lineRule="auto"/>
        <w:jc w:val="both"/>
        <w:sectPr>
          <w:pgSz w:w="11900" w:h="16840"/>
          <w:pgMar w:header="971" w:footer="0" w:top="1300" w:bottom="280" w:left="1275" w:right="1275"/>
        </w:sectPr>
      </w:pPr>
    </w:p>
    <w:p>
      <w:pPr>
        <w:pStyle w:val="BodyText"/>
        <w:spacing w:before="120"/>
      </w:pPr>
    </w:p>
    <w:p>
      <w:pPr>
        <w:spacing w:line="235" w:lineRule="auto" w:before="0"/>
        <w:ind w:left="165" w:right="167" w:firstLine="0"/>
        <w:jc w:val="both"/>
        <w:rPr>
          <w:sz w:val="20"/>
        </w:rPr>
      </w:pPr>
      <w:bookmarkStart w:name="_bookmark1216" w:id="1218"/>
      <w:bookmarkEnd w:id="1218"/>
      <w:r>
        <w:rPr/>
      </w:r>
      <w:bookmarkStart w:name="_bookmark1217" w:id="1219"/>
      <w:bookmarkEnd w:id="1219"/>
      <w:r>
        <w:rPr/>
      </w:r>
      <w:r>
        <w:rPr>
          <w:sz w:val="20"/>
        </w:rPr>
        <w:t>in tort. </w:t>
      </w:r>
      <w:r>
        <w:rPr>
          <w:color w:val="005DA1"/>
          <w:sz w:val="20"/>
          <w:u w:val="single" w:color="005DA1"/>
          <w:vertAlign w:val="superscript"/>
        </w:rPr>
        <w:t>672</w:t>
      </w:r>
      <w:r>
        <w:rPr>
          <w:color w:val="005DA1"/>
          <w:spacing w:val="80"/>
          <w:w w:val="150"/>
          <w:sz w:val="20"/>
          <w:vertAlign w:val="baseline"/>
        </w:rPr>
        <w:t> </w:t>
      </w:r>
      <w:r>
        <w:rPr>
          <w:color w:val="005DA1"/>
          <w:spacing w:val="14"/>
          <w:position w:val="-2"/>
          <w:sz w:val="20"/>
          <w:vertAlign w:val="baseline"/>
        </w:rPr>
        <w:drawing>
          <wp:inline distT="0" distB="0" distL="0" distR="0">
            <wp:extent cx="107988" cy="107988"/>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sz w:val="20"/>
          <w:vertAlign w:val="baseline"/>
        </w:rPr>
      </w:r>
      <w:r>
        <w:rPr>
          <w:rFonts w:ascii="Times New Roman" w:hAnsi="Times New Roman"/>
          <w:color w:val="005DA1"/>
          <w:spacing w:val="12"/>
          <w:sz w:val="20"/>
          <w:vertAlign w:val="baseline"/>
        </w:rPr>
        <w:t> </w:t>
      </w:r>
      <w:r>
        <w:rPr>
          <w:sz w:val="20"/>
          <w:vertAlign w:val="baseline"/>
        </w:rPr>
        <w:t>But in </w:t>
      </w:r>
      <w:r>
        <w:rPr>
          <w:rFonts w:ascii="Arial" w:hAnsi="Arial"/>
          <w:i/>
          <w:sz w:val="20"/>
          <w:vertAlign w:val="baseline"/>
        </w:rPr>
        <w:t>Wellesley Partners LLP v Withers LLP </w:t>
      </w:r>
      <w:r>
        <w:rPr>
          <w:color w:val="005DA1"/>
          <w:sz w:val="20"/>
          <w:u w:val="single" w:color="005DA1"/>
          <w:vertAlign w:val="superscript"/>
        </w:rPr>
        <w:t>673</w:t>
      </w:r>
      <w:r>
        <w:rPr>
          <w:color w:val="005DA1"/>
          <w:spacing w:val="80"/>
          <w:w w:val="150"/>
          <w:sz w:val="20"/>
          <w:vertAlign w:val="baseline"/>
        </w:rPr>
        <w:t> </w:t>
      </w:r>
      <w:r>
        <w:rPr>
          <w:color w:val="005DA1"/>
          <w:spacing w:val="14"/>
          <w:position w:val="-2"/>
          <w:sz w:val="20"/>
          <w:vertAlign w:val="baseline"/>
        </w:rPr>
        <w:drawing>
          <wp:inline distT="0" distB="0" distL="0" distR="0">
            <wp:extent cx="107988" cy="107988"/>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sz w:val="20"/>
          <w:vertAlign w:val="baseline"/>
        </w:rPr>
      </w:r>
      <w:r>
        <w:rPr>
          <w:rFonts w:ascii="Times New Roman" w:hAnsi="Times New Roman"/>
          <w:color w:val="005DA1"/>
          <w:spacing w:val="12"/>
          <w:sz w:val="20"/>
          <w:vertAlign w:val="baseline"/>
        </w:rPr>
        <w:t> </w:t>
      </w:r>
      <w:r>
        <w:rPr>
          <w:sz w:val="20"/>
          <w:vertAlign w:val="baseline"/>
        </w:rPr>
        <w:t>(in which </w:t>
      </w:r>
      <w:r>
        <w:rPr>
          <w:rFonts w:ascii="Arial" w:hAnsi="Arial"/>
          <w:i/>
          <w:sz w:val="20"/>
          <w:vertAlign w:val="baseline"/>
        </w:rPr>
        <w:t>Yapp’s </w:t>
      </w:r>
      <w:r>
        <w:rPr>
          <w:sz w:val="20"/>
          <w:vertAlign w:val="baseline"/>
        </w:rPr>
        <w:t>case was not </w:t>
      </w:r>
      <w:bookmarkStart w:name="_bookmark1218" w:id="1220"/>
      <w:bookmarkEnd w:id="1220"/>
      <w:r>
        <w:rPr>
          <w:sz w:val="20"/>
          <w:vertAlign w:val="baseline"/>
        </w:rPr>
        <w:t>cited)</w:t>
      </w:r>
      <w:r>
        <w:rPr>
          <w:spacing w:val="24"/>
          <w:sz w:val="20"/>
          <w:vertAlign w:val="baseline"/>
        </w:rPr>
        <w:t> </w:t>
      </w:r>
      <w:r>
        <w:rPr>
          <w:sz w:val="20"/>
          <w:vertAlign w:val="baseline"/>
        </w:rPr>
        <w:t>the</w:t>
      </w:r>
      <w:r>
        <w:rPr>
          <w:spacing w:val="24"/>
          <w:sz w:val="20"/>
          <w:vertAlign w:val="baseline"/>
        </w:rPr>
        <w:t> </w:t>
      </w:r>
      <w:r>
        <w:rPr>
          <w:sz w:val="20"/>
          <w:vertAlign w:val="baseline"/>
        </w:rPr>
        <w:t>Court</w:t>
      </w:r>
      <w:r>
        <w:rPr>
          <w:spacing w:val="24"/>
          <w:sz w:val="20"/>
          <w:vertAlign w:val="baseline"/>
        </w:rPr>
        <w:t> </w:t>
      </w:r>
      <w:r>
        <w:rPr>
          <w:sz w:val="20"/>
          <w:vertAlign w:val="baseline"/>
        </w:rPr>
        <w:t>accepted</w:t>
      </w:r>
      <w:r>
        <w:rPr>
          <w:spacing w:val="24"/>
          <w:sz w:val="20"/>
          <w:vertAlign w:val="baseline"/>
        </w:rPr>
        <w:t> </w:t>
      </w:r>
      <w:r>
        <w:rPr>
          <w:sz w:val="20"/>
          <w:vertAlign w:val="baseline"/>
        </w:rPr>
        <w:t>the</w:t>
      </w:r>
      <w:r>
        <w:rPr>
          <w:spacing w:val="24"/>
          <w:sz w:val="20"/>
          <w:vertAlign w:val="baseline"/>
        </w:rPr>
        <w:t> </w:t>
      </w:r>
      <w:r>
        <w:rPr>
          <w:sz w:val="20"/>
          <w:vertAlign w:val="baseline"/>
        </w:rPr>
        <w:t>academic</w:t>
      </w:r>
      <w:r>
        <w:rPr>
          <w:spacing w:val="24"/>
          <w:sz w:val="20"/>
          <w:vertAlign w:val="baseline"/>
        </w:rPr>
        <w:t> </w:t>
      </w:r>
      <w:r>
        <w:rPr>
          <w:sz w:val="20"/>
          <w:vertAlign w:val="baseline"/>
        </w:rPr>
        <w:t>arguments</w:t>
      </w:r>
      <w:r>
        <w:rPr>
          <w:spacing w:val="24"/>
          <w:sz w:val="20"/>
          <w:vertAlign w:val="baseline"/>
        </w:rPr>
        <w:t> </w:t>
      </w:r>
      <w:r>
        <w:rPr>
          <w:sz w:val="20"/>
          <w:vertAlign w:val="baseline"/>
        </w:rPr>
        <w:t>and</w:t>
      </w:r>
      <w:r>
        <w:rPr>
          <w:spacing w:val="24"/>
          <w:sz w:val="20"/>
          <w:vertAlign w:val="baseline"/>
        </w:rPr>
        <w:t> </w:t>
      </w:r>
      <w:r>
        <w:rPr>
          <w:sz w:val="20"/>
          <w:vertAlign w:val="baseline"/>
        </w:rPr>
        <w:t>held</w:t>
      </w:r>
      <w:r>
        <w:rPr>
          <w:spacing w:val="24"/>
          <w:sz w:val="20"/>
          <w:vertAlign w:val="baseline"/>
        </w:rPr>
        <w:t> </w:t>
      </w:r>
      <w:r>
        <w:rPr>
          <w:sz w:val="20"/>
          <w:vertAlign w:val="baseline"/>
        </w:rPr>
        <w:t>that</w:t>
      </w:r>
      <w:r>
        <w:rPr>
          <w:spacing w:val="24"/>
          <w:sz w:val="20"/>
          <w:vertAlign w:val="baseline"/>
        </w:rPr>
        <w:t> </w:t>
      </w:r>
      <w:r>
        <w:rPr>
          <w:sz w:val="20"/>
          <w:vertAlign w:val="baseline"/>
        </w:rPr>
        <w:t>in</w:t>
      </w:r>
      <w:r>
        <w:rPr>
          <w:spacing w:val="24"/>
          <w:sz w:val="20"/>
          <w:vertAlign w:val="baseline"/>
        </w:rPr>
        <w:t> </w:t>
      </w:r>
      <w:r>
        <w:rPr>
          <w:sz w:val="20"/>
          <w:vertAlign w:val="baseline"/>
        </w:rPr>
        <w:t>cases</w:t>
      </w:r>
      <w:r>
        <w:rPr>
          <w:spacing w:val="24"/>
          <w:sz w:val="20"/>
          <w:vertAlign w:val="baseline"/>
        </w:rPr>
        <w:t> </w:t>
      </w:r>
      <w:r>
        <w:rPr>
          <w:sz w:val="20"/>
          <w:vertAlign w:val="baseline"/>
        </w:rPr>
        <w:t>of</w:t>
      </w:r>
      <w:r>
        <w:rPr>
          <w:spacing w:val="24"/>
          <w:sz w:val="20"/>
          <w:vertAlign w:val="baseline"/>
        </w:rPr>
        <w:t> </w:t>
      </w:r>
      <w:r>
        <w:rPr>
          <w:sz w:val="20"/>
          <w:vertAlign w:val="baseline"/>
        </w:rPr>
        <w:t>concurrent</w:t>
      </w:r>
      <w:r>
        <w:rPr>
          <w:spacing w:val="24"/>
          <w:sz w:val="20"/>
          <w:vertAlign w:val="baseline"/>
        </w:rPr>
        <w:t> </w:t>
      </w:r>
      <w:r>
        <w:rPr>
          <w:sz w:val="20"/>
          <w:vertAlign w:val="baseline"/>
        </w:rPr>
        <w:t>liability</w:t>
      </w:r>
      <w:r>
        <w:rPr>
          <w:spacing w:val="24"/>
          <w:sz w:val="20"/>
          <w:vertAlign w:val="baseline"/>
        </w:rPr>
        <w:t> </w:t>
      </w:r>
      <w:r>
        <w:rPr>
          <w:spacing w:val="-5"/>
          <w:sz w:val="20"/>
          <w:vertAlign w:val="baseline"/>
        </w:rPr>
        <w:t>for</w:t>
      </w:r>
    </w:p>
    <w:p>
      <w:pPr>
        <w:pStyle w:val="BodyText"/>
        <w:spacing w:line="360" w:lineRule="auto" w:before="116"/>
        <w:ind w:left="165" w:right="167"/>
        <w:jc w:val="both"/>
      </w:pPr>
      <w:bookmarkStart w:name="_bookmark1219" w:id="1221"/>
      <w:bookmarkEnd w:id="1221"/>
      <w:r>
        <w:rPr/>
      </w:r>
      <w:r>
        <w:rPr/>
        <w:t>failure to carry out instructions the contract rule should apply. </w:t>
      </w:r>
      <w:r>
        <w:rPr>
          <w:color w:val="005DA1"/>
          <w:u w:val="single" w:color="005DA1"/>
          <w:vertAlign w:val="superscript"/>
        </w:rPr>
        <w:t>674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The members of the Court </w:t>
      </w:r>
      <w:r>
        <w:rPr>
          <w:vertAlign w:val="baseline"/>
        </w:rPr>
        <w:t>saw </w:t>
      </w:r>
      <w:bookmarkStart w:name="_bookmark1220" w:id="1222"/>
      <w:bookmarkEnd w:id="1222"/>
      <w:r>
        <w:rPr>
          <w:vertAlign w:val="baseline"/>
        </w:rPr>
        <w:t>this</w:t>
      </w:r>
      <w:r>
        <w:rPr>
          <w:vertAlign w:val="baseline"/>
        </w:rPr>
        <w:t> as consistent with the decisions of the House of Lords in the </w:t>
      </w:r>
      <w:r>
        <w:rPr>
          <w:rFonts w:ascii="Arial" w:hAnsi="Arial"/>
          <w:i/>
          <w:vertAlign w:val="baseline"/>
        </w:rPr>
        <w:t>SAAMCo </w:t>
      </w:r>
      <w:r>
        <w:rPr>
          <w:vertAlign w:val="baseline"/>
        </w:rPr>
        <w:t>case </w:t>
      </w:r>
      <w:r>
        <w:rPr>
          <w:color w:val="005DA1"/>
          <w:u w:val="single" w:color="005DA1"/>
          <w:vertAlign w:val="superscript"/>
        </w:rPr>
        <w:t>675</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40"/>
          <w:vertAlign w:val="baseline"/>
        </w:rPr>
        <w:t> </w:t>
      </w:r>
      <w:r>
        <w:rPr>
          <w:vertAlign w:val="baseline"/>
        </w:rPr>
        <w:t>and </w:t>
      </w:r>
      <w:r>
        <w:rPr>
          <w:rFonts w:ascii="Arial" w:hAnsi="Arial"/>
          <w:i/>
          <w:vertAlign w:val="baseline"/>
        </w:rPr>
        <w:t>The </w:t>
      </w:r>
      <w:bookmarkStart w:name="_bookmark1221" w:id="1223"/>
      <w:bookmarkEnd w:id="1223"/>
      <w:r>
        <w:rPr>
          <w:rFonts w:ascii="Arial" w:hAnsi="Arial"/>
          <w:i/>
          <w:vertAlign w:val="baseline"/>
        </w:rPr>
        <w:t>Achilleas</w:t>
      </w:r>
      <w:r>
        <w:rPr>
          <w:rFonts w:ascii="Arial" w:hAnsi="Arial"/>
          <w:i/>
          <w:vertAlign w:val="baseline"/>
        </w:rPr>
        <w:t> </w:t>
      </w:r>
      <w:r>
        <w:rPr>
          <w:color w:val="005DA1"/>
          <w:u w:val="single" w:color="005DA1"/>
          <w:vertAlign w:val="superscript"/>
        </w:rPr>
        <w:t>676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that the extent of liability should be determined by the scope of the defendant’s duty </w:t>
      </w:r>
      <w:bookmarkStart w:name="_bookmark1222" w:id="1224"/>
      <w:bookmarkEnd w:id="1224"/>
      <w:r>
        <w:rPr>
          <w:vertAlign w:val="baseline"/>
        </w:rPr>
        <w:t>and</w:t>
      </w:r>
      <w:r>
        <w:rPr>
          <w:vertAlign w:val="baseline"/>
        </w:rPr>
        <w:t> what responsibility the defendant could reasonably be taken to have assumed. </w:t>
      </w:r>
      <w:r>
        <w:rPr>
          <w:color w:val="005DA1"/>
          <w:u w:val="single" w:color="005DA1"/>
          <w:vertAlign w:val="superscript"/>
        </w:rPr>
        <w:t>677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It may be </w:t>
      </w:r>
      <w:bookmarkStart w:name="_bookmark1223" w:id="1225"/>
      <w:bookmarkEnd w:id="1225"/>
      <w:r>
        <w:rPr>
          <w:vertAlign w:val="baseline"/>
        </w:rPr>
        <w:t>necessary</w:t>
      </w:r>
      <w:r>
        <w:rPr>
          <w:spacing w:val="-1"/>
          <w:vertAlign w:val="baseline"/>
        </w:rPr>
        <w:t> </w:t>
      </w:r>
      <w:r>
        <w:rPr>
          <w:color w:val="005DA1"/>
          <w:u w:val="single" w:color="005DA1"/>
          <w:vertAlign w:val="superscript"/>
        </w:rPr>
        <w:t>678</w:t>
      </w:r>
      <w:r>
        <w:rPr>
          <w:color w:val="005DA1"/>
          <w:spacing w:val="27"/>
          <w:vertAlign w:val="baseline"/>
        </w:rPr>
        <w:t>  </w:t>
      </w:r>
      <w:r>
        <w:rPr>
          <w:color w:val="005DA1"/>
          <w:spacing w:val="2"/>
          <w:position w:val="-2"/>
          <w:vertAlign w:val="baseline"/>
        </w:rPr>
        <w:drawing>
          <wp:inline distT="0" distB="0" distL="0" distR="0">
            <wp:extent cx="107988" cy="107988"/>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3"/>
          <w:vertAlign w:val="baseline"/>
        </w:rPr>
        <w:t> </w:t>
      </w:r>
      <w:r>
        <w:rPr>
          <w:vertAlign w:val="baseline"/>
        </w:rPr>
        <w:t>to</w:t>
      </w:r>
      <w:r>
        <w:rPr>
          <w:spacing w:val="-1"/>
          <w:vertAlign w:val="baseline"/>
        </w:rPr>
        <w:t> </w:t>
      </w:r>
      <w:r>
        <w:rPr>
          <w:vertAlign w:val="baseline"/>
        </w:rPr>
        <w:t>distinguish the</w:t>
      </w:r>
      <w:r>
        <w:rPr>
          <w:spacing w:val="-1"/>
          <w:vertAlign w:val="baseline"/>
        </w:rPr>
        <w:t> </w:t>
      </w:r>
      <w:r>
        <w:rPr>
          <w:rFonts w:ascii="Arial" w:hAnsi="Arial"/>
          <w:i/>
          <w:vertAlign w:val="baseline"/>
        </w:rPr>
        <w:t>Wellesley</w:t>
      </w:r>
      <w:r>
        <w:rPr>
          <w:rFonts w:ascii="Arial" w:hAnsi="Arial"/>
          <w:i/>
          <w:spacing w:val="-1"/>
          <w:vertAlign w:val="baseline"/>
        </w:rPr>
        <w:t> </w:t>
      </w:r>
      <w:r>
        <w:rPr>
          <w:vertAlign w:val="baseline"/>
        </w:rPr>
        <w:t>case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rFonts w:ascii="Arial" w:hAnsi="Arial"/>
          <w:i/>
          <w:vertAlign w:val="baseline"/>
        </w:rPr>
        <w:t>Yapp</w:t>
      </w:r>
      <w:r>
        <w:rPr>
          <w:rFonts w:ascii="Arial" w:hAnsi="Arial"/>
          <w:i/>
          <w:spacing w:val="-1"/>
          <w:vertAlign w:val="baseline"/>
        </w:rPr>
        <w:t> </w:t>
      </w:r>
      <w:r>
        <w:rPr>
          <w:vertAlign w:val="baseline"/>
        </w:rPr>
        <w:t>case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that </w:t>
      </w:r>
      <w:r>
        <w:rPr>
          <w:rFonts w:ascii="Arial" w:hAnsi="Arial"/>
          <w:i/>
          <w:vertAlign w:val="baseline"/>
        </w:rPr>
        <w:t>Yapp’s</w:t>
      </w:r>
      <w:r>
        <w:rPr>
          <w:rFonts w:ascii="Arial" w:hAnsi="Arial"/>
          <w:i/>
          <w:spacing w:val="-1"/>
          <w:vertAlign w:val="baseline"/>
        </w:rPr>
        <w:t> </w:t>
      </w:r>
      <w:r>
        <w:rPr>
          <w:spacing w:val="-4"/>
          <w:vertAlign w:val="baseline"/>
        </w:rPr>
        <w:t>case</w:t>
      </w:r>
    </w:p>
    <w:p>
      <w:pPr>
        <w:pStyle w:val="BodyText"/>
        <w:spacing w:line="235" w:lineRule="auto" w:before="4"/>
        <w:ind w:left="165" w:right="167"/>
        <w:jc w:val="both"/>
      </w:pPr>
      <w:bookmarkStart w:name="_bookmark1224" w:id="1226"/>
      <w:bookmarkEnd w:id="1226"/>
      <w:r>
        <w:rPr/>
      </w:r>
      <w:r>
        <w:rPr/>
        <w:t>was concerned with a breach of the common law duty of care </w:t>
      </w:r>
      <w:r>
        <w:rPr>
          <w:color w:val="005DA1"/>
          <w:u w:val="single" w:color="005DA1"/>
          <w:vertAlign w:val="superscript"/>
        </w:rPr>
        <w:t>679</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9"/>
          <w:vertAlign w:val="baseline"/>
        </w:rPr>
        <w:t> </w:t>
      </w:r>
      <w:r>
        <w:rPr>
          <w:vertAlign w:val="baseline"/>
        </w:rPr>
        <w:t>leading to psychiatric injury, whereas</w:t>
      </w:r>
      <w:r>
        <w:rPr>
          <w:spacing w:val="19"/>
          <w:vertAlign w:val="baseline"/>
        </w:rPr>
        <w:t> </w:t>
      </w:r>
      <w:r>
        <w:rPr>
          <w:vertAlign w:val="baseline"/>
        </w:rPr>
        <w:t>the</w:t>
      </w:r>
      <w:r>
        <w:rPr>
          <w:spacing w:val="19"/>
          <w:vertAlign w:val="baseline"/>
        </w:rPr>
        <w:t> </w:t>
      </w:r>
      <w:r>
        <w:rPr>
          <w:rFonts w:ascii="Arial"/>
          <w:i/>
          <w:vertAlign w:val="baseline"/>
        </w:rPr>
        <w:t>Wellesley</w:t>
      </w:r>
      <w:r>
        <w:rPr>
          <w:rFonts w:ascii="Arial"/>
          <w:i/>
          <w:spacing w:val="19"/>
          <w:vertAlign w:val="baseline"/>
        </w:rPr>
        <w:t> </w:t>
      </w:r>
      <w:r>
        <w:rPr>
          <w:vertAlign w:val="baseline"/>
        </w:rPr>
        <w:t>case</w:t>
      </w:r>
      <w:r>
        <w:rPr>
          <w:spacing w:val="19"/>
          <w:vertAlign w:val="baseline"/>
        </w:rPr>
        <w:t> </w:t>
      </w:r>
      <w:r>
        <w:rPr>
          <w:vertAlign w:val="baseline"/>
        </w:rPr>
        <w:t>involved</w:t>
      </w:r>
      <w:r>
        <w:rPr>
          <w:spacing w:val="19"/>
          <w:vertAlign w:val="baseline"/>
        </w:rPr>
        <w:t> </w:t>
      </w:r>
      <w:r>
        <w:rPr>
          <w:vertAlign w:val="baseline"/>
        </w:rPr>
        <w:t>economic</w:t>
      </w:r>
      <w:r>
        <w:rPr>
          <w:spacing w:val="19"/>
          <w:vertAlign w:val="baseline"/>
        </w:rPr>
        <w:t> </w:t>
      </w:r>
      <w:r>
        <w:rPr>
          <w:vertAlign w:val="baseline"/>
        </w:rPr>
        <w:t>loss,</w:t>
      </w:r>
      <w:r>
        <w:rPr>
          <w:spacing w:val="19"/>
          <w:vertAlign w:val="baseline"/>
        </w:rPr>
        <w:t> </w:t>
      </w:r>
      <w:r>
        <w:rPr>
          <w:vertAlign w:val="baseline"/>
        </w:rPr>
        <w:t>which</w:t>
      </w:r>
      <w:r>
        <w:rPr>
          <w:spacing w:val="19"/>
          <w:vertAlign w:val="baseline"/>
        </w:rPr>
        <w:t> </w:t>
      </w:r>
      <w:r>
        <w:rPr>
          <w:vertAlign w:val="baseline"/>
        </w:rPr>
        <w:t>requires</w:t>
      </w:r>
      <w:r>
        <w:rPr>
          <w:spacing w:val="19"/>
          <w:vertAlign w:val="baseline"/>
        </w:rPr>
        <w:t> </w:t>
      </w:r>
      <w:r>
        <w:rPr>
          <w:vertAlign w:val="baseline"/>
        </w:rPr>
        <w:t>an</w:t>
      </w:r>
      <w:r>
        <w:rPr>
          <w:spacing w:val="19"/>
          <w:vertAlign w:val="baseline"/>
        </w:rPr>
        <w:t> </w:t>
      </w:r>
      <w:r>
        <w:rPr>
          <w:vertAlign w:val="baseline"/>
        </w:rPr>
        <w:t>assumption</w:t>
      </w:r>
      <w:r>
        <w:rPr>
          <w:spacing w:val="19"/>
          <w:vertAlign w:val="baseline"/>
        </w:rPr>
        <w:t> </w:t>
      </w:r>
      <w:r>
        <w:rPr>
          <w:vertAlign w:val="baseline"/>
        </w:rPr>
        <w:t>of</w:t>
      </w:r>
      <w:r>
        <w:rPr>
          <w:spacing w:val="19"/>
          <w:vertAlign w:val="baseline"/>
        </w:rPr>
        <w:t> </w:t>
      </w:r>
      <w:r>
        <w:rPr>
          <w:spacing w:val="-2"/>
          <w:vertAlign w:val="baseline"/>
        </w:rPr>
        <w:t>responsibility</w:t>
      </w:r>
    </w:p>
    <w:p>
      <w:pPr>
        <w:pStyle w:val="BodyText"/>
        <w:spacing w:before="115"/>
        <w:ind w:left="165"/>
        <w:jc w:val="both"/>
      </w:pPr>
      <w:hyperlink w:history="true" w:anchor="_bookmark1316">
        <w:r>
          <w:rPr>
            <w:color w:val="005DA1"/>
            <w:u w:val="single" w:color="005DA1"/>
            <w:vertAlign w:val="superscript"/>
          </w:rPr>
          <w:t>680</w:t>
        </w:r>
        <w:r>
          <w:rPr>
            <w:color w:val="005DA1"/>
            <w:spacing w:val="74"/>
            <w:vertAlign w:val="baseline"/>
          </w:rPr>
          <w:t>  </w:t>
        </w:r>
        <w:r>
          <w:rPr>
            <w:color w:val="005DA1"/>
            <w:spacing w:val="-14"/>
            <w:position w:val="-2"/>
            <w:vertAlign w:val="baseline"/>
          </w:rPr>
          <w:drawing>
            <wp:inline distT="0" distB="0" distL="0" distR="0">
              <wp:extent cx="107988" cy="107988"/>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bookmarkStart w:name="_bookmark1225" w:id="1227"/>
        <w:bookmarkEnd w:id="1227"/>
        <w:r>
          <w:rPr>
            <w:color w:val="005DA1"/>
            <w:spacing w:val="-14"/>
            <w:position w:val="-2"/>
            <w:vertAlign w:val="baseline"/>
          </w:rPr>
        </w:r>
        <w:r>
          <w:rPr>
            <w:vertAlign w:val="baseline"/>
          </w:rPr>
          <w:t>;</w:t>
        </w:r>
        <w:r>
          <w:rPr>
            <w:spacing w:val="31"/>
            <w:vertAlign w:val="baseline"/>
          </w:rPr>
          <w:t> </w:t>
        </w:r>
        <w:r>
          <w:rPr>
            <w:vertAlign w:val="baseline"/>
          </w:rPr>
          <w:t>indeed</w:t>
        </w:r>
        <w:r>
          <w:rPr>
            <w:spacing w:val="30"/>
            <w:vertAlign w:val="baseline"/>
          </w:rPr>
          <w:t> </w:t>
        </w:r>
        <w:r>
          <w:rPr>
            <w:vertAlign w:val="baseline"/>
          </w:rPr>
          <w:t>Floyd</w:t>
        </w:r>
        <w:r>
          <w:rPr>
            <w:spacing w:val="30"/>
            <w:vertAlign w:val="baseline"/>
          </w:rPr>
          <w:t> </w:t>
        </w:r>
        <w:r>
          <w:rPr>
            <w:vertAlign w:val="baseline"/>
          </w:rPr>
          <w:t>L.J’s</w:t>
        </w:r>
        <w:r>
          <w:rPr>
            <w:spacing w:val="30"/>
            <w:vertAlign w:val="baseline"/>
          </w:rPr>
          <w:t> </w:t>
        </w:r>
        <w:r>
          <w:rPr>
            <w:vertAlign w:val="baseline"/>
          </w:rPr>
          <w:t>view</w:t>
        </w:r>
        <w:r>
          <w:rPr>
            <w:spacing w:val="30"/>
            <w:vertAlign w:val="baseline"/>
          </w:rPr>
          <w:t> </w:t>
        </w:r>
        <w:r>
          <w:rPr>
            <w:vertAlign w:val="baseline"/>
          </w:rPr>
          <w:t>was</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test</w:t>
        </w:r>
        <w:r>
          <w:rPr>
            <w:spacing w:val="30"/>
            <w:vertAlign w:val="baseline"/>
          </w:rPr>
          <w:t> </w:t>
        </w:r>
        <w:r>
          <w:rPr>
            <w:vertAlign w:val="baseline"/>
          </w:rPr>
          <w:t>for</w:t>
        </w:r>
        <w:r>
          <w:rPr>
            <w:spacing w:val="30"/>
            <w:vertAlign w:val="baseline"/>
          </w:rPr>
          <w:t> </w:t>
        </w:r>
        <w:r>
          <w:rPr>
            <w:vertAlign w:val="baseline"/>
          </w:rPr>
          <w:t>recoverability</w:t>
        </w:r>
        <w:r>
          <w:rPr>
            <w:spacing w:val="30"/>
            <w:vertAlign w:val="baseline"/>
          </w:rPr>
          <w:t> </w:t>
        </w:r>
        <w:r>
          <w:rPr>
            <w:vertAlign w:val="baseline"/>
          </w:rPr>
          <w:t>of</w:t>
        </w:r>
        <w:r>
          <w:rPr>
            <w:spacing w:val="30"/>
            <w:vertAlign w:val="baseline"/>
          </w:rPr>
          <w:t> </w:t>
        </w:r>
        <w:r>
          <w:rPr>
            <w:vertAlign w:val="baseline"/>
          </w:rPr>
          <w:t>damage</w:t>
        </w:r>
        <w:r>
          <w:rPr>
            <w:spacing w:val="31"/>
            <w:vertAlign w:val="baseline"/>
          </w:rPr>
          <w:t> </w:t>
        </w:r>
        <w:r>
          <w:rPr>
            <w:vertAlign w:val="baseline"/>
          </w:rPr>
          <w:t>for</w:t>
        </w:r>
        <w:r>
          <w:rPr>
            <w:spacing w:val="30"/>
            <w:vertAlign w:val="baseline"/>
          </w:rPr>
          <w:t> </w:t>
        </w:r>
        <w:r>
          <w:rPr>
            <w:vertAlign w:val="baseline"/>
          </w:rPr>
          <w:t>economic</w:t>
        </w:r>
        <w:r>
          <w:rPr>
            <w:spacing w:val="30"/>
            <w:vertAlign w:val="baseline"/>
          </w:rPr>
          <w:t> </w:t>
        </w:r>
        <w:r>
          <w:rPr>
            <w:spacing w:val="-4"/>
            <w:vertAlign w:val="baseline"/>
          </w:rPr>
          <w:t>loss</w:t>
        </w:r>
      </w:hyperlink>
    </w:p>
    <w:p>
      <w:pPr>
        <w:pStyle w:val="BodyText"/>
        <w:spacing w:line="235" w:lineRule="auto" w:before="119"/>
        <w:ind w:left="165" w:right="167"/>
        <w:jc w:val="both"/>
      </w:pPr>
      <w:r>
        <w:rPr/>
        <w:t>should be the same, and should be the contractual one”, </w:t>
      </w:r>
      <w:r>
        <w:rPr>
          <w:color w:val="005DA1"/>
          <w:u w:val="single" w:color="005DA1"/>
          <w:vertAlign w:val="superscript"/>
        </w:rPr>
        <w:t>681</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6"/>
          <w:vertAlign w:val="baseline"/>
        </w:rPr>
        <w:t> </w:t>
      </w:r>
      <w:r>
        <w:rPr>
          <w:vertAlign w:val="baseline"/>
        </w:rPr>
        <w:t>while Roth J. referred to tort cases in which liability was based on a voluntary assumption of responsibility and Longmore L.J. to the </w:t>
      </w:r>
      <w:r>
        <w:rPr>
          <w:vertAlign w:val="baseline"/>
        </w:rPr>
        <w:t>liability </w:t>
      </w:r>
      <w:bookmarkStart w:name="_bookmark1226" w:id="1228"/>
      <w:bookmarkEnd w:id="1228"/>
      <w:r>
        <w:rPr>
          <w:vertAlign w:val="baseline"/>
        </w:rPr>
        <w:t>of</w:t>
      </w:r>
      <w:r>
        <w:rPr>
          <w:spacing w:val="32"/>
          <w:vertAlign w:val="baseline"/>
        </w:rPr>
        <w:t> </w:t>
      </w:r>
      <w:r>
        <w:rPr>
          <w:vertAlign w:val="baseline"/>
        </w:rPr>
        <w:t>solicitors</w:t>
      </w:r>
      <w:r>
        <w:rPr>
          <w:spacing w:val="32"/>
          <w:vertAlign w:val="baseline"/>
        </w:rPr>
        <w:t> </w:t>
      </w:r>
      <w:r>
        <w:rPr>
          <w:vertAlign w:val="baseline"/>
        </w:rPr>
        <w:t>for</w:t>
      </w:r>
      <w:r>
        <w:rPr>
          <w:spacing w:val="32"/>
          <w:vertAlign w:val="baseline"/>
        </w:rPr>
        <w:t> </w:t>
      </w:r>
      <w:r>
        <w:rPr>
          <w:vertAlign w:val="baseline"/>
        </w:rPr>
        <w:t>failing</w:t>
      </w:r>
      <w:r>
        <w:rPr>
          <w:spacing w:val="32"/>
          <w:vertAlign w:val="baseline"/>
        </w:rPr>
        <w:t> </w:t>
      </w:r>
      <w:r>
        <w:rPr>
          <w:vertAlign w:val="baseline"/>
        </w:rPr>
        <w:t>to</w:t>
      </w:r>
      <w:r>
        <w:rPr>
          <w:spacing w:val="32"/>
          <w:vertAlign w:val="baseline"/>
        </w:rPr>
        <w:t> </w:t>
      </w:r>
      <w:r>
        <w:rPr>
          <w:vertAlign w:val="baseline"/>
        </w:rPr>
        <w:t>carry</w:t>
      </w:r>
      <w:r>
        <w:rPr>
          <w:spacing w:val="32"/>
          <w:vertAlign w:val="baseline"/>
        </w:rPr>
        <w:t> </w:t>
      </w:r>
      <w:r>
        <w:rPr>
          <w:vertAlign w:val="baseline"/>
        </w:rPr>
        <w:t>out</w:t>
      </w:r>
      <w:r>
        <w:rPr>
          <w:spacing w:val="32"/>
          <w:vertAlign w:val="baseline"/>
        </w:rPr>
        <w:t> </w:t>
      </w:r>
      <w:r>
        <w:rPr>
          <w:vertAlign w:val="baseline"/>
        </w:rPr>
        <w:t>their</w:t>
      </w:r>
      <w:r>
        <w:rPr>
          <w:spacing w:val="32"/>
          <w:vertAlign w:val="baseline"/>
        </w:rPr>
        <w:t> </w:t>
      </w:r>
      <w:r>
        <w:rPr>
          <w:vertAlign w:val="baseline"/>
        </w:rPr>
        <w:t>instructions—both</w:t>
      </w:r>
      <w:r>
        <w:rPr>
          <w:spacing w:val="32"/>
          <w:vertAlign w:val="baseline"/>
        </w:rPr>
        <w:t> </w:t>
      </w:r>
      <w:r>
        <w:rPr>
          <w:vertAlign w:val="baseline"/>
        </w:rPr>
        <w:t>thus</w:t>
      </w:r>
      <w:r>
        <w:rPr>
          <w:spacing w:val="32"/>
          <w:vertAlign w:val="baseline"/>
        </w:rPr>
        <w:t> </w:t>
      </w:r>
      <w:r>
        <w:rPr>
          <w:vertAlign w:val="baseline"/>
        </w:rPr>
        <w:t>seeming</w:t>
      </w:r>
      <w:r>
        <w:rPr>
          <w:spacing w:val="32"/>
          <w:vertAlign w:val="baseline"/>
        </w:rPr>
        <w:t> </w:t>
      </w:r>
      <w:r>
        <w:rPr>
          <w:vertAlign w:val="baseline"/>
        </w:rPr>
        <w:t>to</w:t>
      </w:r>
      <w:r>
        <w:rPr>
          <w:spacing w:val="32"/>
          <w:vertAlign w:val="baseline"/>
        </w:rPr>
        <w:t> </w:t>
      </w:r>
      <w:r>
        <w:rPr>
          <w:vertAlign w:val="baseline"/>
        </w:rPr>
        <w:t>refer</w:t>
      </w:r>
      <w:r>
        <w:rPr>
          <w:spacing w:val="32"/>
          <w:vertAlign w:val="baseline"/>
        </w:rPr>
        <w:t> </w:t>
      </w:r>
      <w:r>
        <w:rPr>
          <w:vertAlign w:val="baseline"/>
        </w:rPr>
        <w:t>also</w:t>
      </w:r>
      <w:r>
        <w:rPr>
          <w:spacing w:val="32"/>
          <w:vertAlign w:val="baseline"/>
        </w:rPr>
        <w:t> </w:t>
      </w:r>
      <w:r>
        <w:rPr>
          <w:vertAlign w:val="baseline"/>
        </w:rPr>
        <w:t>to</w:t>
      </w:r>
      <w:r>
        <w:rPr>
          <w:spacing w:val="32"/>
          <w:vertAlign w:val="baseline"/>
        </w:rPr>
        <w:t> </w:t>
      </w:r>
      <w:r>
        <w:rPr>
          <w:spacing w:val="-2"/>
          <w:vertAlign w:val="baseline"/>
        </w:rPr>
        <w:t>economic</w:t>
      </w:r>
    </w:p>
    <w:p>
      <w:pPr>
        <w:pStyle w:val="BodyText"/>
        <w:spacing w:line="235" w:lineRule="auto" w:before="119"/>
        <w:ind w:left="165" w:right="168"/>
        <w:jc w:val="both"/>
      </w:pPr>
      <w:r>
        <w:rPr/>
        <w:t>losses for which the defendant had assumed responsibility. In </w:t>
      </w:r>
      <w:r>
        <w:rPr>
          <w:rFonts w:ascii="Arial" w:hAnsi="Arial"/>
          <w:i/>
        </w:rPr>
        <w:t>Wright v Lewis Silkin LLP</w:t>
      </w:r>
      <w:r>
        <w:rPr/>
        <w:t>, </w:t>
      </w:r>
      <w:r>
        <w:rPr>
          <w:color w:val="005DA1"/>
          <w:u w:val="single" w:color="005DA1"/>
          <w:vertAlign w:val="superscript"/>
        </w:rPr>
        <w:t>682</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position w:val="-2"/>
          <w:vertAlign w:val="baseline"/>
        </w:rPr>
        <w:t> </w:t>
      </w:r>
      <w:r>
        <w:rPr>
          <w:vertAlign w:val="baseline"/>
        </w:rPr>
        <w:t>another solicitors’ negligence case, the Court of Appeal held that it was bound to follow the </w:t>
      </w:r>
      <w:r>
        <w:rPr>
          <w:rFonts w:ascii="Arial" w:hAnsi="Arial"/>
          <w:i/>
          <w:vertAlign w:val="baseline"/>
        </w:rPr>
        <w:t>Wellesley </w:t>
      </w:r>
      <w:r>
        <w:rPr>
          <w:spacing w:val="-2"/>
          <w:vertAlign w:val="baseline"/>
        </w:rPr>
        <w:t>case.</w:t>
      </w:r>
    </w:p>
    <w:p>
      <w:pPr>
        <w:pStyle w:val="BodyText"/>
      </w:pPr>
    </w:p>
    <w:p>
      <w:pPr>
        <w:pStyle w:val="BodyText"/>
        <w:spacing w:before="37"/>
      </w:pPr>
    </w:p>
    <w:p>
      <w:pPr>
        <w:spacing w:before="0"/>
        <w:ind w:left="165" w:right="0" w:firstLine="0"/>
        <w:jc w:val="left"/>
        <w:rPr>
          <w:rFonts w:ascii="Arial"/>
          <w:b/>
          <w:sz w:val="18"/>
        </w:rPr>
      </w:pPr>
      <w:r>
        <w:rPr>
          <w:rFonts w:ascii="Arial"/>
          <w:b/>
          <w:sz w:val="18"/>
        </w:rPr>
        <w:t>Actual and imputed </w:t>
      </w:r>
      <w:r>
        <w:rPr>
          <w:rFonts w:ascii="Arial"/>
          <w:b/>
          <w:spacing w:val="-2"/>
          <w:sz w:val="18"/>
        </w:rPr>
        <w:t>knowledge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119</w:t>
      </w:r>
    </w:p>
    <w:p>
      <w:pPr>
        <w:pStyle w:val="BodyText"/>
        <w:spacing w:line="235" w:lineRule="auto" w:before="202"/>
        <w:ind w:left="165" w:right="167"/>
        <w:jc w:val="both"/>
      </w:pPr>
      <w:r>
        <w:rPr/>
        <w:t>In general, it is necessary to consider the actual knowledge of the defendant (the promisor) </w:t>
      </w:r>
      <w:r>
        <w:rPr/>
        <w:t>only where he would not have been liable without that knowledge; normally the imputed knowledge of the </w:t>
      </w:r>
      <w:bookmarkStart w:name="_bookmark1227" w:id="1229"/>
      <w:bookmarkEnd w:id="1229"/>
      <w:r>
        <w:rPr/>
        <w:t>defendant</w:t>
      </w:r>
      <w:r>
        <w:rPr/>
        <w:t> will be at least as great as (if not greater than) his actual knowledge. The test for imputed knowledge has been said by Lord Wright </w:t>
      </w:r>
      <w:r>
        <w:rPr>
          <w:color w:val="005DA1"/>
          <w:u w:val="single" w:color="005DA1"/>
          <w:vertAlign w:val="superscript"/>
        </w:rPr>
        <w:t>683</w:t>
      </w:r>
      <w:r>
        <w:rPr>
          <w:color w:val="005DA1"/>
          <w:vertAlign w:val="baseline"/>
        </w:rPr>
        <w:t> </w:t>
      </w:r>
      <w:r>
        <w:rPr>
          <w:vertAlign w:val="baseline"/>
        </w:rPr>
        <w:t>to be:</w:t>
      </w:r>
    </w:p>
    <w:p>
      <w:pPr>
        <w:pStyle w:val="BodyText"/>
      </w:pPr>
    </w:p>
    <w:p>
      <w:pPr>
        <w:pStyle w:val="BodyText"/>
        <w:spacing w:before="125"/>
      </w:pPr>
    </w:p>
    <w:p>
      <w:pPr>
        <w:pStyle w:val="BodyText"/>
        <w:spacing w:line="235" w:lineRule="auto"/>
        <w:ind w:left="1244" w:right="167"/>
        <w:jc w:val="both"/>
      </w:pPr>
      <w:r>
        <w:rPr/>
        <w:t>“… what reasonable business men must be taken to have contemplated as the natural and probable result if the contract was broken. As reasonable business men, each must </w:t>
      </w:r>
      <w:bookmarkStart w:name="_bookmark1228" w:id="1230"/>
      <w:bookmarkEnd w:id="1230"/>
      <w:r>
        <w:rPr/>
        <w:t>be</w:t>
      </w:r>
      <w:r>
        <w:rPr/>
        <w:t> taken to understand the ordinary practices and exigencies of the other’s trade or business.” </w:t>
      </w:r>
      <w:r>
        <w:rPr>
          <w:color w:val="005DA1"/>
          <w:u w:val="single" w:color="005DA1"/>
          <w:vertAlign w:val="superscript"/>
        </w:rPr>
        <w:t>684</w:t>
      </w:r>
    </w:p>
    <w:p>
      <w:pPr>
        <w:pStyle w:val="BodyText"/>
        <w:spacing w:before="116"/>
      </w:pPr>
    </w:p>
    <w:p>
      <w:pPr>
        <w:pStyle w:val="BodyText"/>
        <w:spacing w:line="235" w:lineRule="auto"/>
        <w:ind w:left="164" w:right="167"/>
        <w:jc w:val="both"/>
      </w:pPr>
      <w:bookmarkStart w:name="_bookmark1229" w:id="1231"/>
      <w:bookmarkEnd w:id="1231"/>
      <w:r>
        <w:rPr/>
      </w:r>
      <w:r>
        <w:rPr/>
        <w:t>The defendant’s knowledge of the type of business conducted by the claimant may be a ground </w:t>
      </w:r>
      <w:r>
        <w:rPr/>
        <w:t>for </w:t>
      </w:r>
      <w:bookmarkStart w:name="_bookmark1230" w:id="1232"/>
      <w:bookmarkEnd w:id="1232"/>
      <w:r>
        <w:rPr/>
        <w:t>imputing</w:t>
      </w:r>
      <w:r>
        <w:rPr/>
        <w:t> knowledge, </w:t>
      </w:r>
      <w:r>
        <w:rPr>
          <w:color w:val="005DA1"/>
          <w:u w:val="single" w:color="005DA1"/>
          <w:vertAlign w:val="superscript"/>
        </w:rPr>
        <w:t>685</w:t>
      </w:r>
      <w:r>
        <w:rPr>
          <w:color w:val="005DA1"/>
          <w:vertAlign w:val="baseline"/>
        </w:rPr>
        <w:t> </w:t>
      </w:r>
      <w:r>
        <w:rPr>
          <w:vertAlign w:val="baseline"/>
        </w:rPr>
        <w:t>but the defendant cannot be expected to know the technical details of the claimant’s activity where it involved complicated techniques. </w:t>
      </w:r>
      <w:r>
        <w:rPr>
          <w:color w:val="005DA1"/>
          <w:u w:val="single" w:color="005DA1"/>
          <w:vertAlign w:val="superscript"/>
        </w:rPr>
        <w:t>686</w:t>
      </w:r>
      <w:r>
        <w:rPr>
          <w:color w:val="005DA1"/>
          <w:vertAlign w:val="baseline"/>
        </w:rPr>
        <w:t> </w:t>
      </w:r>
      <w:r>
        <w:rPr>
          <w:vertAlign w:val="baseline"/>
        </w:rPr>
        <w:t>Again, in contracts for the sale of </w:t>
      </w:r>
      <w:bookmarkStart w:name="_bookmark1231" w:id="1233"/>
      <w:bookmarkEnd w:id="1233"/>
      <w:r>
        <w:rPr>
          <w:vertAlign w:val="baseline"/>
        </w:rPr>
        <w:t>goods,</w:t>
      </w:r>
      <w:r>
        <w:rPr>
          <w:vertAlign w:val="baseline"/>
        </w:rPr>
        <w:t> the defendant is normally taken to have known that the market price and the supply and demand of the market may change. </w:t>
      </w:r>
      <w:r>
        <w:rPr>
          <w:color w:val="005DA1"/>
          <w:u w:val="single" w:color="005DA1"/>
          <w:vertAlign w:val="superscript"/>
        </w:rPr>
        <w:t>687</w:t>
      </w:r>
      <w:r>
        <w:rPr>
          <w:color w:val="005DA1"/>
          <w:vertAlign w:val="baseline"/>
        </w:rPr>
        <w:t> </w:t>
      </w:r>
      <w:r>
        <w:rPr>
          <w:vertAlign w:val="baseline"/>
        </w:rPr>
        <w:t>The kind of consequence which falls within the imputed </w:t>
      </w:r>
      <w:bookmarkStart w:name="_bookmark1232" w:id="1234"/>
      <w:bookmarkEnd w:id="1234"/>
      <w:r>
        <w:rPr>
          <w:vertAlign w:val="baseline"/>
        </w:rPr>
        <w:t>knowledge</w:t>
      </w:r>
      <w:r>
        <w:rPr>
          <w:vertAlign w:val="baseline"/>
        </w:rPr>
        <w:t> of the defendant will be illustrated by cases throughout the rest of this section, and in particular, by cases on damages in contracts for the sale of goods. </w:t>
      </w:r>
      <w:r>
        <w:rPr>
          <w:color w:val="005DA1"/>
          <w:u w:val="single" w:color="005DA1"/>
          <w:vertAlign w:val="superscript"/>
        </w:rPr>
        <w:t>688</w:t>
      </w:r>
    </w:p>
    <w:p>
      <w:pPr>
        <w:pStyle w:val="BodyText"/>
      </w:pPr>
    </w:p>
    <w:p>
      <w:pPr>
        <w:pStyle w:val="BodyText"/>
        <w:spacing w:before="36"/>
      </w:pPr>
    </w:p>
    <w:p>
      <w:pPr>
        <w:spacing w:before="0"/>
        <w:ind w:left="165" w:right="0" w:firstLine="0"/>
        <w:jc w:val="left"/>
        <w:rPr>
          <w:rFonts w:ascii="Arial"/>
          <w:b/>
          <w:sz w:val="18"/>
        </w:rPr>
      </w:pPr>
      <w:r>
        <w:rPr>
          <w:rFonts w:ascii="Arial"/>
          <w:b/>
          <w:sz w:val="18"/>
        </w:rPr>
        <w:t>Unusual events that were </w:t>
      </w:r>
      <w:r>
        <w:rPr>
          <w:rFonts w:ascii="Arial"/>
          <w:b/>
          <w:spacing w:val="-2"/>
          <w:sz w:val="18"/>
        </w:rPr>
        <w:t>contemplated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120</w:t>
      </w:r>
    </w:p>
    <w:p>
      <w:pPr>
        <w:pStyle w:val="BodyText"/>
        <w:spacing w:line="235" w:lineRule="auto" w:before="203"/>
        <w:ind w:left="165" w:right="167"/>
        <w:jc w:val="both"/>
      </w:pPr>
      <w:r>
        <w:rPr/>
        <w:t>The probability of a loss occurring is only a way of deciding whether the parties must </w:t>
      </w:r>
      <w:r>
        <w:rPr/>
        <w:t>have contemplated it. If a loss must have been contemplated—for example, if it was one of the losses that </w:t>
      </w:r>
      <w:bookmarkStart w:name="_bookmark1233" w:id="1235"/>
      <w:bookmarkEnd w:id="1235"/>
      <w:r>
        <w:rPr/>
        <w:t>the</w:t>
      </w:r>
      <w:r>
        <w:rPr/>
        <w:t> contract was supposed to guard against—it is submitted that the defendant will be liable for it</w:t>
      </w:r>
      <w:r>
        <w:rPr>
          <w:spacing w:val="40"/>
        </w:rPr>
        <w:t> </w:t>
      </w:r>
      <w:r>
        <w:rPr/>
        <w:t>even if the likelihood of it occurring was very low. </w:t>
      </w:r>
      <w:r>
        <w:rPr>
          <w:color w:val="005DA1"/>
          <w:u w:val="single" w:color="005DA1"/>
          <w:vertAlign w:val="superscript"/>
        </w:rPr>
        <w:t>689</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Loss of a kind that is “not </w:t>
      </w:r>
      <w:r>
        <w:rPr>
          <w:rFonts w:ascii="Arial" w:hAnsi="Arial"/>
          <w:b/>
          <w:spacing w:val="-2"/>
          <w:sz w:val="18"/>
        </w:rPr>
        <w:t>unusual”</w:t>
      </w:r>
    </w:p>
    <w:p>
      <w:pPr>
        <w:spacing w:after="0"/>
        <w:jc w:val="left"/>
        <w:rPr>
          <w:rFonts w:ascii="Arial" w:hAns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121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34" w:id="1236"/>
      <w:bookmarkEnd w:id="1236"/>
      <w:r>
        <w:rPr>
          <w:rFonts w:ascii="Times New Roman" w:hAnsi="Times New Roman"/>
          <w:spacing w:val="24"/>
        </w:rPr>
      </w:r>
      <w:r>
        <w:rPr/>
        <w:t>It seemed to follow from the decisions cited that a party who was in breach of contract would be liable for losses that the other party suffered as a result </w:t>
      </w:r>
      <w:r>
        <w:rPr>
          <w:color w:val="005DA1"/>
          <w:u w:val="single" w:color="005DA1"/>
          <w:vertAlign w:val="superscript"/>
        </w:rPr>
        <w:t>690</w:t>
      </w:r>
      <w:r>
        <w:rPr>
          <w:color w:val="005DA1"/>
          <w:vertAlign w:val="baseline"/>
        </w:rPr>
        <w:t> </w:t>
      </w:r>
      <w:r>
        <w:rPr>
          <w:vertAlign w:val="baseline"/>
        </w:rPr>
        <w:t>if the loss was of a kind that was “not </w:t>
      </w:r>
      <w:bookmarkStart w:name="_bookmark1235" w:id="1237"/>
      <w:bookmarkEnd w:id="1237"/>
      <w:r>
        <w:rPr>
          <w:vertAlign w:val="baseline"/>
        </w:rPr>
        <w:t>usual”,</w:t>
      </w:r>
      <w:r>
        <w:rPr>
          <w:spacing w:val="45"/>
          <w:vertAlign w:val="baseline"/>
        </w:rPr>
        <w:t> </w:t>
      </w:r>
      <w:r>
        <w:rPr>
          <w:vertAlign w:val="baseline"/>
        </w:rPr>
        <w:t>i.e.</w:t>
      </w:r>
      <w:r>
        <w:rPr>
          <w:spacing w:val="45"/>
          <w:vertAlign w:val="baseline"/>
        </w:rPr>
        <w:t> </w:t>
      </w:r>
      <w:r>
        <w:rPr>
          <w:vertAlign w:val="baseline"/>
        </w:rPr>
        <w:t>arose</w:t>
      </w:r>
      <w:r>
        <w:rPr>
          <w:spacing w:val="45"/>
          <w:vertAlign w:val="baseline"/>
        </w:rPr>
        <w:t> </w:t>
      </w:r>
      <w:r>
        <w:rPr>
          <w:vertAlign w:val="baseline"/>
        </w:rPr>
        <w:t>“in</w:t>
      </w:r>
      <w:r>
        <w:rPr>
          <w:spacing w:val="45"/>
          <w:vertAlign w:val="baseline"/>
        </w:rPr>
        <w:t> </w:t>
      </w:r>
      <w:r>
        <w:rPr>
          <w:vertAlign w:val="baseline"/>
        </w:rPr>
        <w:t>the</w:t>
      </w:r>
      <w:r>
        <w:rPr>
          <w:spacing w:val="45"/>
          <w:vertAlign w:val="baseline"/>
        </w:rPr>
        <w:t> </w:t>
      </w:r>
      <w:r>
        <w:rPr>
          <w:vertAlign w:val="baseline"/>
        </w:rPr>
        <w:t>ordinary</w:t>
      </w:r>
      <w:r>
        <w:rPr>
          <w:spacing w:val="45"/>
          <w:vertAlign w:val="baseline"/>
        </w:rPr>
        <w:t> </w:t>
      </w:r>
      <w:r>
        <w:rPr>
          <w:vertAlign w:val="baseline"/>
        </w:rPr>
        <w:t>course</w:t>
      </w:r>
      <w:r>
        <w:rPr>
          <w:spacing w:val="45"/>
          <w:vertAlign w:val="baseline"/>
        </w:rPr>
        <w:t> </w:t>
      </w:r>
      <w:r>
        <w:rPr>
          <w:vertAlign w:val="baseline"/>
        </w:rPr>
        <w:t>of</w:t>
      </w:r>
      <w:r>
        <w:rPr>
          <w:spacing w:val="45"/>
          <w:vertAlign w:val="baseline"/>
        </w:rPr>
        <w:t> </w:t>
      </w:r>
      <w:r>
        <w:rPr>
          <w:vertAlign w:val="baseline"/>
        </w:rPr>
        <w:t>things”,</w:t>
      </w:r>
      <w:r>
        <w:rPr>
          <w:spacing w:val="45"/>
          <w:vertAlign w:val="baseline"/>
        </w:rPr>
        <w:t> </w:t>
      </w:r>
      <w:r>
        <w:rPr>
          <w:vertAlign w:val="baseline"/>
        </w:rPr>
        <w:t>unless</w:t>
      </w:r>
      <w:r>
        <w:rPr>
          <w:spacing w:val="45"/>
          <w:vertAlign w:val="baseline"/>
        </w:rPr>
        <w:t> </w:t>
      </w:r>
      <w:r>
        <w:rPr>
          <w:vertAlign w:val="baseline"/>
        </w:rPr>
        <w:t>there</w:t>
      </w:r>
      <w:r>
        <w:rPr>
          <w:spacing w:val="45"/>
          <w:vertAlign w:val="baseline"/>
        </w:rPr>
        <w:t> </w:t>
      </w:r>
      <w:r>
        <w:rPr>
          <w:vertAlign w:val="baseline"/>
        </w:rPr>
        <w:t>was</w:t>
      </w:r>
      <w:r>
        <w:rPr>
          <w:spacing w:val="45"/>
          <w:vertAlign w:val="baseline"/>
        </w:rPr>
        <w:t> </w:t>
      </w:r>
      <w:r>
        <w:rPr>
          <w:vertAlign w:val="baseline"/>
        </w:rPr>
        <w:t>an</w:t>
      </w:r>
      <w:r>
        <w:rPr>
          <w:spacing w:val="45"/>
          <w:vertAlign w:val="baseline"/>
        </w:rPr>
        <w:t> </w:t>
      </w:r>
      <w:r>
        <w:rPr>
          <w:vertAlign w:val="baseline"/>
        </w:rPr>
        <w:t>effective</w:t>
      </w:r>
      <w:r>
        <w:rPr>
          <w:spacing w:val="45"/>
          <w:vertAlign w:val="baseline"/>
        </w:rPr>
        <w:t> </w:t>
      </w:r>
      <w:r>
        <w:rPr>
          <w:vertAlign w:val="baseline"/>
        </w:rPr>
        <w:t>clause</w:t>
      </w:r>
      <w:r>
        <w:rPr>
          <w:spacing w:val="45"/>
          <w:vertAlign w:val="baseline"/>
        </w:rPr>
        <w:t> </w:t>
      </w:r>
      <w:r>
        <w:rPr>
          <w:vertAlign w:val="baseline"/>
        </w:rPr>
        <w:t>in</w:t>
      </w:r>
      <w:r>
        <w:rPr>
          <w:spacing w:val="45"/>
          <w:vertAlign w:val="baseline"/>
        </w:rPr>
        <w:t> </w:t>
      </w:r>
      <w:r>
        <w:rPr>
          <w:spacing w:val="-5"/>
          <w:vertAlign w:val="baseline"/>
        </w:rPr>
        <w:t>the</w:t>
      </w:r>
    </w:p>
    <w:p>
      <w:pPr>
        <w:pStyle w:val="BodyText"/>
        <w:spacing w:line="235" w:lineRule="auto" w:before="119"/>
        <w:ind w:left="165" w:right="167"/>
        <w:jc w:val="both"/>
      </w:pPr>
      <w:bookmarkStart w:name="_bookmark1236" w:id="1238"/>
      <w:bookmarkEnd w:id="1238"/>
      <w:r>
        <w:rPr/>
      </w:r>
      <w:r>
        <w:rPr/>
        <w:t>contract</w:t>
      </w:r>
      <w:r>
        <w:rPr>
          <w:spacing w:val="-2"/>
        </w:rPr>
        <w:t> </w:t>
      </w:r>
      <w:r>
        <w:rPr/>
        <w:t>that</w:t>
      </w:r>
      <w:r>
        <w:rPr>
          <w:spacing w:val="-2"/>
        </w:rPr>
        <w:t> </w:t>
      </w:r>
      <w:r>
        <w:rPr/>
        <w:t>excluded</w:t>
      </w:r>
      <w:r>
        <w:rPr>
          <w:spacing w:val="-2"/>
        </w:rPr>
        <w:t> </w:t>
      </w:r>
      <w:r>
        <w:rPr/>
        <w:t>or</w:t>
      </w:r>
      <w:r>
        <w:rPr>
          <w:spacing w:val="-2"/>
        </w:rPr>
        <w:t> </w:t>
      </w:r>
      <w:r>
        <w:rPr/>
        <w:t>restricted</w:t>
      </w:r>
      <w:r>
        <w:rPr>
          <w:spacing w:val="-2"/>
        </w:rPr>
        <w:t> </w:t>
      </w:r>
      <w:r>
        <w:rPr/>
        <w:t>the</w:t>
      </w:r>
      <w:r>
        <w:rPr>
          <w:spacing w:val="-2"/>
        </w:rPr>
        <w:t> </w:t>
      </w:r>
      <w:r>
        <w:rPr/>
        <w:t>defendant’s</w:t>
      </w:r>
      <w:r>
        <w:rPr>
          <w:spacing w:val="-2"/>
        </w:rPr>
        <w:t> </w:t>
      </w:r>
      <w:r>
        <w:rPr/>
        <w:t>liability</w:t>
      </w:r>
      <w:r>
        <w:rPr>
          <w:spacing w:val="-2"/>
        </w:rPr>
        <w:t> </w:t>
      </w:r>
      <w:r>
        <w:rPr/>
        <w:t>for</w:t>
      </w:r>
      <w:r>
        <w:rPr>
          <w:spacing w:val="-2"/>
        </w:rPr>
        <w:t> </w:t>
      </w:r>
      <w:r>
        <w:rPr/>
        <w:t>the</w:t>
      </w:r>
      <w:r>
        <w:rPr>
          <w:spacing w:val="-2"/>
        </w:rPr>
        <w:t> </w:t>
      </w:r>
      <w:r>
        <w:rPr/>
        <w:t>relevant</w:t>
      </w:r>
      <w:r>
        <w:rPr>
          <w:spacing w:val="-2"/>
        </w:rPr>
        <w:t> </w:t>
      </w:r>
      <w:r>
        <w:rPr/>
        <w:t>loss.</w:t>
      </w:r>
      <w:r>
        <w:rPr>
          <w:spacing w:val="-3"/>
        </w:rPr>
        <w:t> </w:t>
      </w:r>
      <w:r>
        <w:rPr>
          <w:color w:val="005DA1"/>
          <w:u w:val="single" w:color="005DA1"/>
          <w:vertAlign w:val="superscript"/>
        </w:rPr>
        <w:t>691</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result</w:t>
      </w:r>
      <w:r>
        <w:rPr>
          <w:spacing w:val="-2"/>
          <w:vertAlign w:val="baseline"/>
        </w:rPr>
        <w:t> </w:t>
      </w:r>
      <w:r>
        <w:rPr>
          <w:vertAlign w:val="baseline"/>
        </w:rPr>
        <w:t>of the decision of the House of Lords in </w:t>
      </w:r>
      <w:r>
        <w:rPr>
          <w:rFonts w:ascii="Arial" w:hAnsi="Arial"/>
          <w:i/>
          <w:vertAlign w:val="baseline"/>
        </w:rPr>
        <w:t>The Achilleas</w:t>
      </w:r>
      <w:r>
        <w:rPr>
          <w:vertAlign w:val="baseline"/>
        </w:rPr>
        <w:t>, </w:t>
      </w:r>
      <w:r>
        <w:rPr>
          <w:color w:val="005DA1"/>
          <w:u w:val="single" w:color="005DA1"/>
          <w:vertAlign w:val="superscript"/>
        </w:rPr>
        <w:t>692</w:t>
      </w:r>
      <w:r>
        <w:rPr>
          <w:color w:val="005DA1"/>
          <w:vertAlign w:val="baseline"/>
        </w:rPr>
        <w:t> </w:t>
      </w:r>
      <w:r>
        <w:rPr>
          <w:vertAlign w:val="baseline"/>
        </w:rPr>
        <w:t>this must be qualified: at least in some circumstances, the defendant may not be liable for loss of a “not unusual kind” because it as not reasonable to think that he was assuming responsibility for it. This is discussed below, after</w:t>
      </w:r>
      <w:r>
        <w:rPr>
          <w:spacing w:val="40"/>
          <w:vertAlign w:val="baseline"/>
        </w:rPr>
        <w:t> </w:t>
      </w:r>
      <w:r>
        <w:rPr>
          <w:vertAlign w:val="baseline"/>
        </w:rPr>
        <w:t>discussion of liability for loss of kinds that were not usual.</w:t>
      </w:r>
    </w:p>
    <w:p>
      <w:pPr>
        <w:pStyle w:val="BodyText"/>
      </w:pPr>
    </w:p>
    <w:p>
      <w:pPr>
        <w:pStyle w:val="BodyText"/>
        <w:spacing w:before="37"/>
      </w:pPr>
    </w:p>
    <w:p>
      <w:pPr>
        <w:spacing w:before="0"/>
        <w:ind w:left="165" w:right="0" w:firstLine="0"/>
        <w:jc w:val="left"/>
        <w:rPr>
          <w:rFonts w:ascii="Arial"/>
          <w:b/>
          <w:sz w:val="18"/>
        </w:rPr>
      </w:pPr>
      <w:r>
        <w:rPr>
          <w:rFonts w:ascii="Arial"/>
          <w:b/>
          <w:sz w:val="18"/>
        </w:rPr>
        <w:t>Actual knowledge of special </w:t>
      </w:r>
      <w:r>
        <w:rPr>
          <w:rFonts w:ascii="Arial"/>
          <w:b/>
          <w:spacing w:val="-2"/>
          <w:sz w:val="18"/>
        </w:rPr>
        <w:t>circumstances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122</w:t>
      </w:r>
    </w:p>
    <w:p>
      <w:pPr>
        <w:pStyle w:val="BodyText"/>
        <w:spacing w:line="235" w:lineRule="auto" w:before="203"/>
        <w:ind w:left="165" w:right="167"/>
        <w:jc w:val="both"/>
      </w:pPr>
      <w:bookmarkStart w:name="_bookmark1237" w:id="1239"/>
      <w:bookmarkEnd w:id="1239"/>
      <w:r>
        <w:rPr/>
      </w:r>
      <w:r>
        <w:rPr/>
        <w:t>The so-called second rule in </w:t>
      </w:r>
      <w:r>
        <w:rPr>
          <w:rFonts w:ascii="Arial" w:hAnsi="Arial"/>
          <w:i/>
        </w:rPr>
        <w:t>Hadley v Baxendale </w:t>
      </w:r>
      <w:r>
        <w:rPr>
          <w:color w:val="005DA1"/>
          <w:u w:val="single" w:color="005DA1"/>
          <w:vertAlign w:val="superscript"/>
        </w:rPr>
        <w:t>693</w:t>
      </w:r>
      <w:r>
        <w:rPr>
          <w:color w:val="005DA1"/>
          <w:vertAlign w:val="baseline"/>
        </w:rPr>
        <w:t> </w:t>
      </w:r>
      <w:r>
        <w:rPr>
          <w:vertAlign w:val="baseline"/>
        </w:rPr>
        <w:t>applies when the loss (the “type or kind of </w:t>
      </w:r>
      <w:r>
        <w:rPr>
          <w:vertAlign w:val="baseline"/>
        </w:rPr>
        <w:t>loss” </w:t>
      </w:r>
      <w:r>
        <w:rPr>
          <w:color w:val="005DA1"/>
          <w:u w:val="single" w:color="005DA1"/>
          <w:vertAlign w:val="superscript"/>
        </w:rPr>
        <w:t>694</w:t>
      </w:r>
      <w:r>
        <w:rPr>
          <w:vertAlign w:val="baseline"/>
        </w:rPr>
        <w:t>)</w:t>
      </w:r>
      <w:r>
        <w:rPr>
          <w:spacing w:val="-2"/>
          <w:vertAlign w:val="baseline"/>
        </w:rPr>
        <w:t> </w:t>
      </w:r>
      <w:r>
        <w:rPr>
          <w:vertAlign w:val="baseline"/>
        </w:rPr>
        <w:t>flowing</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greater</w:t>
      </w:r>
      <w:r>
        <w:rPr>
          <w:spacing w:val="-2"/>
          <w:vertAlign w:val="baseline"/>
        </w:rPr>
        <w:t> </w:t>
      </w:r>
      <w:r>
        <w:rPr>
          <w:vertAlign w:val="baseline"/>
        </w:rPr>
        <w:t>than,</w:t>
      </w:r>
      <w:r>
        <w:rPr>
          <w:spacing w:val="-2"/>
          <w:vertAlign w:val="baseline"/>
        </w:rPr>
        <w:t> </w:t>
      </w:r>
      <w:r>
        <w:rPr>
          <w:vertAlign w:val="baseline"/>
        </w:rPr>
        <w:t>or</w:t>
      </w:r>
      <w:r>
        <w:rPr>
          <w:spacing w:val="-2"/>
          <w:vertAlign w:val="baseline"/>
        </w:rPr>
        <w:t> </w:t>
      </w:r>
      <w:r>
        <w:rPr>
          <w:vertAlign w:val="baseline"/>
        </w:rPr>
        <w:t>different</w:t>
      </w:r>
      <w:r>
        <w:rPr>
          <w:spacing w:val="-2"/>
          <w:vertAlign w:val="baseline"/>
        </w:rPr>
        <w:t> </w:t>
      </w:r>
      <w:r>
        <w:rPr>
          <w:vertAlign w:val="baseline"/>
        </w:rPr>
        <w:t>from</w:t>
      </w:r>
      <w:r>
        <w:rPr>
          <w:spacing w:val="-2"/>
          <w:vertAlign w:val="baseline"/>
        </w:rPr>
        <w:t> </w:t>
      </w:r>
      <w:r>
        <w:rPr>
          <w:vertAlign w:val="baseline"/>
        </w:rPr>
        <w:t>what</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have </w:t>
      </w:r>
      <w:bookmarkStart w:name="_bookmark1238" w:id="1240"/>
      <w:bookmarkEnd w:id="1240"/>
      <w:r>
        <w:rPr>
          <w:vertAlign w:val="baseline"/>
        </w:rPr>
        <w:t>been</w:t>
      </w:r>
      <w:r>
        <w:rPr>
          <w:vertAlign w:val="baseline"/>
        </w:rPr>
        <w:t> in normal circumstances. If actual knowledge of the defendant (the promisor) is relied upon to </w:t>
      </w:r>
      <w:bookmarkStart w:name="_bookmark1239" w:id="1241"/>
      <w:bookmarkEnd w:id="1241"/>
      <w:r>
        <w:rPr>
          <w:vertAlign w:val="baseline"/>
        </w:rPr>
        <w:t>make</w:t>
      </w:r>
      <w:r>
        <w:rPr>
          <w:vertAlign w:val="baseline"/>
        </w:rPr>
        <w:t> him liable for exceptional losses resulting from breach of the contract in the special </w:t>
      </w:r>
      <w:r>
        <w:rPr>
          <w:color w:val="005DA1"/>
          <w:u w:val="single" w:color="005DA1"/>
          <w:vertAlign w:val="superscript"/>
        </w:rPr>
        <w:t>695</w:t>
      </w:r>
      <w:r>
        <w:rPr>
          <w:color w:val="005DA1"/>
          <w:vertAlign w:val="baseline"/>
        </w:rPr>
        <w:t> </w:t>
      </w:r>
      <w:r>
        <w:rPr>
          <w:vertAlign w:val="baseline"/>
        </w:rPr>
        <w:t>circumstances, that knowledge must have existed at or before the making of the contract. </w:t>
      </w:r>
      <w:r>
        <w:rPr>
          <w:color w:val="005DA1"/>
          <w:u w:val="single" w:color="005DA1"/>
          <w:vertAlign w:val="superscript"/>
        </w:rPr>
        <w:t>696</w:t>
      </w:r>
      <w:r>
        <w:rPr>
          <w:color w:val="005DA1"/>
          <w:vertAlign w:val="baseline"/>
        </w:rPr>
        <w:t> </w:t>
      </w:r>
      <w:r>
        <w:rPr>
          <w:vertAlign w:val="baseline"/>
        </w:rPr>
        <w:t>There is now authority in the House of Lords that the two rules in </w:t>
      </w:r>
      <w:r>
        <w:rPr>
          <w:rFonts w:ascii="Arial" w:hAnsi="Arial"/>
          <w:i/>
          <w:vertAlign w:val="baseline"/>
        </w:rPr>
        <w:t>Hadley v Baxendale </w:t>
      </w:r>
      <w:r>
        <w:rPr>
          <w:vertAlign w:val="baseline"/>
        </w:rPr>
        <w:t>are not mutually exclusive; indeed, what kinds of loss are within the first rule and what kinds are only recoverable if </w:t>
      </w:r>
      <w:bookmarkStart w:name="_bookmark1240" w:id="1242"/>
      <w:bookmarkEnd w:id="1242"/>
      <w:r>
        <w:rPr>
          <w:vertAlign w:val="baseline"/>
        </w:rPr>
        <w:t>within</w:t>
      </w:r>
      <w:r>
        <w:rPr>
          <w:vertAlign w:val="baseline"/>
        </w:rPr>
        <w:t> the second rule depends on how the relevant breach of contract is characterised and the degree of knowledge of the circumstances that the parties are assumed to have. </w:t>
      </w:r>
      <w:r>
        <w:rPr>
          <w:color w:val="005DA1"/>
          <w:u w:val="single" w:color="005DA1"/>
          <w:vertAlign w:val="superscript"/>
        </w:rPr>
        <w:t>697</w:t>
      </w:r>
      <w:r>
        <w:rPr>
          <w:color w:val="005DA1"/>
          <w:vertAlign w:val="baseline"/>
        </w:rPr>
        <w:t> </w:t>
      </w:r>
      <w:r>
        <w:rPr>
          <w:vertAlign w:val="baseline"/>
        </w:rPr>
        <w:t>The second rule also covers “heads of damage”, not the quantum or extent of loss; thus, it is unnecessary for the </w:t>
      </w:r>
      <w:bookmarkStart w:name="_bookmark1241" w:id="1243"/>
      <w:bookmarkEnd w:id="1243"/>
      <w:r>
        <w:rPr>
          <w:vertAlign w:val="baseline"/>
        </w:rPr>
        <w:t>parties</w:t>
      </w:r>
      <w:r>
        <w:rPr>
          <w:vertAlign w:val="baseline"/>
        </w:rPr>
        <w:t> to have contemplated the quantum of damages, or the extent of the loss, provided it falls</w:t>
      </w:r>
      <w:r>
        <w:rPr>
          <w:spacing w:val="40"/>
          <w:vertAlign w:val="baseline"/>
        </w:rPr>
        <w:t> </w:t>
      </w:r>
      <w:r>
        <w:rPr>
          <w:vertAlign w:val="baseline"/>
        </w:rPr>
        <w:t>within a contemplated type of loss. </w:t>
      </w:r>
      <w:r>
        <w:rPr>
          <w:color w:val="005DA1"/>
          <w:u w:val="single" w:color="005DA1"/>
          <w:vertAlign w:val="superscript"/>
        </w:rPr>
        <w:t>698</w:t>
      </w:r>
    </w:p>
    <w:p>
      <w:pPr>
        <w:pStyle w:val="BodyText"/>
      </w:pPr>
    </w:p>
    <w:p>
      <w:pPr>
        <w:pStyle w:val="BodyText"/>
        <w:spacing w:before="34"/>
      </w:pPr>
    </w:p>
    <w:p>
      <w:pPr>
        <w:spacing w:before="0"/>
        <w:ind w:left="165" w:right="0" w:firstLine="0"/>
        <w:jc w:val="left"/>
        <w:rPr>
          <w:rFonts w:ascii="Arial"/>
          <w:b/>
          <w:sz w:val="18"/>
        </w:rPr>
      </w:pPr>
      <w:r>
        <w:rPr>
          <w:rFonts w:ascii="Arial"/>
          <w:b/>
          <w:sz w:val="18"/>
        </w:rPr>
        <w:t>Express or implied term as to liability not </w:t>
      </w:r>
      <w:r>
        <w:rPr>
          <w:rFonts w:ascii="Arial"/>
          <w:b/>
          <w:spacing w:val="-2"/>
          <w:sz w:val="18"/>
        </w:rPr>
        <w:t>required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123</w:t>
      </w:r>
    </w:p>
    <w:p>
      <w:pPr>
        <w:pStyle w:val="BodyText"/>
        <w:spacing w:line="235" w:lineRule="auto" w:before="203"/>
        <w:ind w:left="165" w:right="167"/>
        <w:jc w:val="both"/>
      </w:pPr>
      <w:bookmarkStart w:name="_bookmark1242" w:id="1244"/>
      <w:bookmarkEnd w:id="1244"/>
      <w:r>
        <w:rPr/>
      </w:r>
      <w:r>
        <w:rPr/>
        <w:t>For a long time it was an unsettled point as to whether, when the loss is an unusual one, the </w:t>
      </w:r>
      <w:bookmarkStart w:name="_bookmark1243" w:id="1245"/>
      <w:bookmarkEnd w:id="1245"/>
      <w:r>
        <w:rPr/>
        <w:t>remoteness</w:t>
      </w:r>
      <w:r>
        <w:rPr>
          <w:spacing w:val="-3"/>
        </w:rPr>
        <w:t> </w:t>
      </w:r>
      <w:r>
        <w:rPr/>
        <w:t>rule</w:t>
      </w:r>
      <w:r>
        <w:rPr>
          <w:spacing w:val="-3"/>
        </w:rPr>
        <w:t> </w:t>
      </w:r>
      <w:r>
        <w:rPr/>
        <w:t>will</w:t>
      </w:r>
      <w:r>
        <w:rPr>
          <w:spacing w:val="-3"/>
        </w:rPr>
        <w:t> </w:t>
      </w:r>
      <w:r>
        <w:rPr/>
        <w:t>be</w:t>
      </w:r>
      <w:r>
        <w:rPr>
          <w:spacing w:val="-3"/>
        </w:rPr>
        <w:t> </w:t>
      </w:r>
      <w:r>
        <w:rPr/>
        <w:t>satisfied</w:t>
      </w:r>
      <w:r>
        <w:rPr>
          <w:spacing w:val="-3"/>
        </w:rPr>
        <w:t> </w:t>
      </w:r>
      <w:r>
        <w:rPr/>
        <w:t>if</w:t>
      </w:r>
      <w:r>
        <w:rPr>
          <w:spacing w:val="-3"/>
        </w:rPr>
        <w:t> </w:t>
      </w:r>
      <w:r>
        <w:rPr/>
        <w:t>the</w:t>
      </w:r>
      <w:r>
        <w:rPr>
          <w:spacing w:val="-3"/>
        </w:rPr>
        <w:t> </w:t>
      </w:r>
      <w:r>
        <w:rPr/>
        <w:t>defendant</w:t>
      </w:r>
      <w:r>
        <w:rPr>
          <w:spacing w:val="-3"/>
        </w:rPr>
        <w:t> </w:t>
      </w:r>
      <w:r>
        <w:rPr/>
        <w:t>had</w:t>
      </w:r>
      <w:r>
        <w:rPr>
          <w:spacing w:val="-3"/>
        </w:rPr>
        <w:t> </w:t>
      </w:r>
      <w:r>
        <w:rPr/>
        <w:t>bare</w:t>
      </w:r>
      <w:r>
        <w:rPr>
          <w:spacing w:val="-3"/>
        </w:rPr>
        <w:t> </w:t>
      </w:r>
      <w:r>
        <w:rPr/>
        <w:t>knowledge</w:t>
      </w:r>
      <w:r>
        <w:rPr>
          <w:spacing w:val="-3"/>
        </w:rPr>
        <w:t> </w:t>
      </w:r>
      <w:r>
        <w:rPr/>
        <w:t>of</w:t>
      </w:r>
      <w:r>
        <w:rPr>
          <w:spacing w:val="-3"/>
        </w:rPr>
        <w:t> </w:t>
      </w:r>
      <w:r>
        <w:rPr/>
        <w:t>the</w:t>
      </w:r>
      <w:r>
        <w:rPr>
          <w:spacing w:val="-3"/>
        </w:rPr>
        <w:t> </w:t>
      </w:r>
      <w:r>
        <w:rPr/>
        <w:t>special</w:t>
      </w:r>
      <w:r>
        <w:rPr>
          <w:spacing w:val="-3"/>
        </w:rPr>
        <w:t> </w:t>
      </w:r>
      <w:r>
        <w:rPr/>
        <w:t>circumstances.</w:t>
      </w:r>
      <w:r>
        <w:rPr>
          <w:spacing w:val="-4"/>
        </w:rPr>
        <w:t> </w:t>
      </w:r>
      <w:r>
        <w:rPr>
          <w:color w:val="005DA1"/>
          <w:u w:val="single" w:color="005DA1"/>
          <w:vertAlign w:val="superscript"/>
        </w:rPr>
        <w:t>699</w:t>
      </w:r>
      <w:r>
        <w:rPr>
          <w:color w:val="005DA1"/>
          <w:vertAlign w:val="baseline"/>
        </w:rPr>
        <w:t> </w:t>
      </w:r>
      <w:r>
        <w:rPr>
          <w:vertAlign w:val="baseline"/>
        </w:rPr>
        <w:t>In 1868, Willes J. said </w:t>
      </w:r>
      <w:r>
        <w:rPr>
          <w:color w:val="005DA1"/>
          <w:u w:val="single" w:color="005DA1"/>
          <w:vertAlign w:val="superscript"/>
        </w:rPr>
        <w:t>700</w:t>
      </w:r>
      <w:r>
        <w:rPr>
          <w:vertAlign w:val="baseline"/>
        </w:rPr>
        <w:t>:</w:t>
      </w:r>
    </w:p>
    <w:p>
      <w:pPr>
        <w:pStyle w:val="BodyText"/>
      </w:pPr>
    </w:p>
    <w:p>
      <w:pPr>
        <w:pStyle w:val="BodyText"/>
        <w:spacing w:before="125"/>
      </w:pPr>
    </w:p>
    <w:p>
      <w:pPr>
        <w:pStyle w:val="BodyText"/>
        <w:spacing w:line="235" w:lineRule="auto" w:before="1"/>
        <w:ind w:left="1245" w:right="167"/>
        <w:jc w:val="both"/>
      </w:pPr>
      <w:r>
        <w:rPr/>
        <w:t>“The mere fact of knowledge cannot increase the liability. The knowledge must </w:t>
      </w:r>
      <w:r>
        <w:rPr/>
        <w:t>be</w:t>
      </w:r>
      <w:r>
        <w:rPr>
          <w:spacing w:val="40"/>
        </w:rPr>
        <w:t> </w:t>
      </w:r>
      <w:r>
        <w:rPr/>
        <w:t>brought home to the party sought to be charged, under such circumstances that he must know that the person he contracts with reasonably believes that he accepts the contract with the special condition attached to it … knowledge on the part of the carrier is only important if it forms part of the contract. It may be that the knowledge is acquired casually from a stranger, the person to whom the goods belong not knowing or caring whether he had such knowledge or not.”</w:t>
      </w:r>
    </w:p>
    <w:p>
      <w:pPr>
        <w:pStyle w:val="BodyText"/>
        <w:spacing w:before="113"/>
      </w:pPr>
    </w:p>
    <w:p>
      <w:pPr>
        <w:pStyle w:val="BodyText"/>
        <w:spacing w:line="235" w:lineRule="auto" w:before="1"/>
        <w:ind w:left="164" w:right="167"/>
        <w:jc w:val="both"/>
      </w:pPr>
      <w:r>
        <w:rPr/>
        <w:t>It is submitted, however, that it is unnecessary to hold that the defendant’s acceptance of liability </w:t>
      </w:r>
      <w:r>
        <w:rPr/>
        <w:t>for </w:t>
      </w:r>
      <w:bookmarkStart w:name="_bookmark1244" w:id="1246"/>
      <w:bookmarkEnd w:id="1246"/>
      <w:r>
        <w:rPr/>
        <w:t>unusual</w:t>
      </w:r>
      <w:r>
        <w:rPr/>
        <w:t> loss (in the special circumstances made known to him) can be enforced only where there is </w:t>
      </w:r>
      <w:bookmarkStart w:name="_bookmark1245" w:id="1247"/>
      <w:bookmarkEnd w:id="1247"/>
      <w:r>
        <w:rPr/>
        <w:t>an</w:t>
      </w:r>
      <w:r>
        <w:rPr/>
        <w:t> express or implied term of the contract to that effect. </w:t>
      </w:r>
      <w:r>
        <w:rPr>
          <w:color w:val="005DA1"/>
          <w:u w:val="single" w:color="005DA1"/>
          <w:vertAlign w:val="superscript"/>
        </w:rPr>
        <w:t>701</w:t>
      </w:r>
      <w:r>
        <w:rPr>
          <w:color w:val="005DA1"/>
          <w:vertAlign w:val="baseline"/>
        </w:rPr>
        <w:t> </w:t>
      </w:r>
      <w:r>
        <w:rPr>
          <w:vertAlign w:val="baseline"/>
        </w:rPr>
        <w:t>Nor does there have to be an “assumption of responsibility” in the sense required for liability for negligent misstatement. </w:t>
      </w:r>
      <w:r>
        <w:rPr>
          <w:color w:val="005DA1"/>
          <w:u w:val="single" w:color="005DA1"/>
          <w:vertAlign w:val="superscript"/>
        </w:rPr>
        <w:t>702</w:t>
      </w:r>
      <w:r>
        <w:rPr>
          <w:color w:val="005DA1"/>
          <w:vertAlign w:val="baseline"/>
        </w:rPr>
        <w:t> </w:t>
      </w:r>
      <w:r>
        <w:rPr>
          <w:vertAlign w:val="baseline"/>
        </w:rPr>
        <w:t>However, as will be explained in the paragraphs that follow, it seems that the special circumstances must have been brought home to the defendant in such a way that it was reasonable to assume that he was accepting responsibility for loss of the kind that is claimed.</w:t>
      </w:r>
    </w:p>
    <w:p>
      <w:pPr>
        <w:pStyle w:val="BodyText"/>
      </w:pPr>
    </w:p>
    <w:p>
      <w:pPr>
        <w:pStyle w:val="BodyText"/>
        <w:spacing w:before="35"/>
      </w:pPr>
    </w:p>
    <w:p>
      <w:pPr>
        <w:spacing w:before="1"/>
        <w:ind w:left="165" w:right="0" w:firstLine="0"/>
        <w:jc w:val="left"/>
        <w:rPr>
          <w:rFonts w:ascii="Arial"/>
          <w:b/>
          <w:sz w:val="18"/>
        </w:rPr>
      </w:pPr>
      <w:r>
        <w:rPr>
          <w:rFonts w:ascii="Arial"/>
          <w:b/>
          <w:sz w:val="18"/>
        </w:rPr>
        <w:t>Casual knowledge of unusual risk will not </w:t>
      </w:r>
      <w:r>
        <w:rPr>
          <w:rFonts w:ascii="Arial"/>
          <w:b/>
          <w:spacing w:val="-2"/>
          <w:sz w:val="18"/>
        </w:rPr>
        <w:t>suffice</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124</w:t>
      </w:r>
    </w:p>
    <w:p>
      <w:pPr>
        <w:pStyle w:val="BodyText"/>
        <w:spacing w:line="235" w:lineRule="auto" w:before="202"/>
        <w:ind w:left="165" w:right="166"/>
        <w:jc w:val="both"/>
      </w:pPr>
      <w:bookmarkStart w:name="_bookmark1246" w:id="1248"/>
      <w:bookmarkEnd w:id="1248"/>
      <w:r>
        <w:rPr/>
      </w:r>
      <w:r>
        <w:rPr/>
        <w:t>The defendant will probably not be liable merely because he had gained knowledge of the </w:t>
      </w:r>
      <w:r>
        <w:rPr/>
        <w:t>unusual risk in a purely casual way. Although in </w:t>
      </w:r>
      <w:r>
        <w:rPr>
          <w:rFonts w:ascii="Arial" w:hAnsi="Arial"/>
          <w:i/>
        </w:rPr>
        <w:t>Hadley v Baxendale </w:t>
      </w:r>
      <w:r>
        <w:rPr>
          <w:color w:val="005DA1"/>
          <w:u w:val="single" w:color="005DA1"/>
          <w:vertAlign w:val="superscript"/>
        </w:rPr>
        <w:t>703</w:t>
      </w:r>
      <w:r>
        <w:rPr>
          <w:color w:val="005DA1"/>
          <w:vertAlign w:val="baseline"/>
        </w:rPr>
        <w:t> </w:t>
      </w:r>
      <w:r>
        <w:rPr>
          <w:vertAlign w:val="baseline"/>
        </w:rPr>
        <w:t>itself, “communication” was said to be the vital factor, it is submitted that a casual communication from a stranger is insufficient. It is</w:t>
      </w:r>
      <w:r>
        <w:rPr>
          <w:spacing w:val="40"/>
          <w:vertAlign w:val="baseline"/>
        </w:rPr>
        <w:t> </w:t>
      </w:r>
      <w:r>
        <w:rPr>
          <w:vertAlign w:val="baseline"/>
        </w:rPr>
        <w:t>essential that there should be communication of the special circumstances by or on behalf of the claimant to the defendant or his agent so as to show that the claimant thought it important that the defendant should know what other matters depended on his fulfilment of the contract; these facts</w:t>
      </w:r>
      <w:r>
        <w:rPr>
          <w:spacing w:val="40"/>
          <w:vertAlign w:val="baseline"/>
        </w:rPr>
        <w:t> </w:t>
      </w:r>
      <w:bookmarkStart w:name="_bookmark1247" w:id="1249"/>
      <w:bookmarkEnd w:id="1249"/>
      <w:r>
        <w:rPr>
          <w:vertAlign w:val="baseline"/>
        </w:rPr>
        <w:t>may,</w:t>
      </w:r>
      <w:r>
        <w:rPr>
          <w:vertAlign w:val="baseline"/>
        </w:rPr>
        <w:t> in appropriate circumstances, lead to the inference that the defendant, as a reasonable man, was accepting the risk of special loss to the claimant. </w:t>
      </w:r>
      <w:r>
        <w:rPr>
          <w:color w:val="005DA1"/>
          <w:u w:val="single" w:color="005DA1"/>
          <w:vertAlign w:val="superscript"/>
        </w:rPr>
        <w:t>704</w:t>
      </w:r>
    </w:p>
    <w:p>
      <w:pPr>
        <w:pStyle w:val="BodyText"/>
      </w:pPr>
    </w:p>
    <w:p>
      <w:pPr>
        <w:pStyle w:val="BodyText"/>
        <w:spacing w:before="36"/>
      </w:pPr>
    </w:p>
    <w:p>
      <w:pPr>
        <w:spacing w:before="0"/>
        <w:ind w:left="165" w:right="0" w:firstLine="0"/>
        <w:jc w:val="both"/>
        <w:rPr>
          <w:rFonts w:ascii="Arial"/>
          <w:b/>
          <w:sz w:val="18"/>
        </w:rPr>
      </w:pPr>
      <w:r>
        <w:rPr>
          <w:rFonts w:ascii="Arial"/>
          <w:b/>
          <w:sz w:val="18"/>
        </w:rPr>
        <w:t>Assumption of responsibility for unusual </w:t>
      </w:r>
      <w:r>
        <w:rPr>
          <w:rFonts w:ascii="Arial"/>
          <w:b/>
          <w:spacing w:val="-4"/>
          <w:sz w:val="18"/>
        </w:rPr>
        <w:t>loss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125</w:t>
      </w:r>
    </w:p>
    <w:p>
      <w:pPr>
        <w:pStyle w:val="BodyText"/>
        <w:spacing w:line="235" w:lineRule="auto" w:before="203"/>
        <w:ind w:left="165" w:right="167"/>
        <w:jc w:val="both"/>
      </w:pPr>
      <w:r>
        <w:rPr/>
        <w:t>The remoteness rule is without doubt satisfied if, on the basis of his knowledge of the special circumstances, the reasonable man in the defendant’s position at the time of contracting would have understood that, by making the promise in those circumstances, he was accepting responsibility for the risk of the type of loss in question. What was less clear is whether, once the defendant had the necessary knowledge, he might still be able to deny liability on the grounds that it was not reasonable to assume that he was accepting responsibility. Many dicta suggest that adequate </w:t>
      </w:r>
      <w:r>
        <w:rPr/>
        <w:t>knowledge</w:t>
      </w:r>
      <w:r>
        <w:rPr>
          <w:spacing w:val="40"/>
        </w:rPr>
        <w:t> </w:t>
      </w:r>
      <w:r>
        <w:rPr/>
        <w:t>suffices, so that the defendant will be liable unless he validly excludes his liability by a term of the </w:t>
      </w:r>
      <w:r>
        <w:rPr>
          <w:spacing w:val="-2"/>
        </w:rPr>
        <w:t>contract.</w:t>
      </w:r>
    </w:p>
    <w:p>
      <w:pPr>
        <w:pStyle w:val="BodyText"/>
      </w:pPr>
    </w:p>
    <w:p>
      <w:pPr>
        <w:pStyle w:val="BodyText"/>
        <w:spacing w:before="123"/>
      </w:pPr>
    </w:p>
    <w:p>
      <w:pPr>
        <w:pStyle w:val="BodyText"/>
        <w:spacing w:line="235" w:lineRule="auto" w:before="1"/>
        <w:ind w:left="1245" w:right="167"/>
        <w:jc w:val="both"/>
      </w:pPr>
      <w:r>
        <w:rPr/>
        <w:t>“Where knowledge of special circumstances is relied on, the assumption is that </w:t>
      </w:r>
      <w:r>
        <w:rPr/>
        <w:t>the </w:t>
      </w:r>
      <w:bookmarkStart w:name="_bookmark1248" w:id="1250"/>
      <w:bookmarkEnd w:id="1250"/>
      <w:r>
        <w:rPr/>
        <w:t>defendant</w:t>
      </w:r>
      <w:r>
        <w:rPr/>
        <w:t> undertook to bear any special loss which was referable to those special circumstances.” </w:t>
      </w:r>
      <w:r>
        <w:rPr>
          <w:color w:val="005DA1"/>
          <w:u w:val="single" w:color="005DA1"/>
          <w:vertAlign w:val="superscript"/>
        </w:rPr>
        <w:t>705</w:t>
      </w:r>
    </w:p>
    <w:p>
      <w:pPr>
        <w:pStyle w:val="BodyText"/>
        <w:spacing w:before="115"/>
      </w:pPr>
    </w:p>
    <w:p>
      <w:pPr>
        <w:pStyle w:val="BodyText"/>
        <w:spacing w:line="235" w:lineRule="auto"/>
        <w:ind w:left="164" w:right="167"/>
        <w:jc w:val="both"/>
      </w:pPr>
      <w:r>
        <w:rPr/>
        <w:t>However, on occasions liability for losses of an unusual kind has been explained in terms of </w:t>
      </w:r>
      <w:r>
        <w:rPr/>
        <w:t>the defendant assuming responsibility for the loss in question:</w:t>
      </w:r>
    </w:p>
    <w:p>
      <w:pPr>
        <w:pStyle w:val="BodyText"/>
      </w:pPr>
    </w:p>
    <w:p>
      <w:pPr>
        <w:pStyle w:val="BodyText"/>
        <w:spacing w:before="126"/>
      </w:pPr>
    </w:p>
    <w:p>
      <w:pPr>
        <w:pStyle w:val="BodyText"/>
        <w:spacing w:line="235" w:lineRule="auto"/>
        <w:ind w:left="1244" w:right="167"/>
        <w:jc w:val="both"/>
      </w:pPr>
      <w:r>
        <w:rPr/>
        <w:t>“… have the facts in question come to the defendant’s knowledge in such </w:t>
      </w:r>
      <w:r>
        <w:rPr/>
        <w:t>circumstances that a reasonable person in the shoes of the defendant would, if he had considered the matter at the time of making the contract, have contemplated that, in the event of a</w:t>
      </w:r>
      <w:r>
        <w:rPr>
          <w:spacing w:val="40"/>
        </w:rPr>
        <w:t> </w:t>
      </w:r>
      <w:bookmarkStart w:name="_bookmark1249" w:id="1251"/>
      <w:bookmarkEnd w:id="1251"/>
      <w:r>
        <w:rPr/>
        <w:t>breach</w:t>
      </w:r>
      <w:r>
        <w:rPr/>
        <w:t> by him, such facts were to be taken into account when considering his responsibility for loss suffered by the plaintiff as a result of such breach.” </w:t>
      </w:r>
      <w:r>
        <w:rPr>
          <w:color w:val="005DA1"/>
          <w:u w:val="single" w:color="005DA1"/>
          <w:vertAlign w:val="superscript"/>
        </w:rPr>
        <w:t>706</w:t>
      </w:r>
    </w:p>
    <w:p>
      <w:pPr>
        <w:pStyle w:val="BodyText"/>
        <w:spacing w:before="115"/>
      </w:pPr>
    </w:p>
    <w:p>
      <w:pPr>
        <w:pStyle w:val="BodyText"/>
        <w:spacing w:line="235" w:lineRule="auto"/>
        <w:ind w:left="165" w:right="167"/>
        <w:jc w:val="both"/>
      </w:pPr>
      <w:r>
        <w:rPr/>
        <w:t>This might be interpreted as meaning that the defendant would not be liable if, for some reason, </w:t>
      </w:r>
      <w:r>
        <w:rPr/>
        <w:t>it</w:t>
      </w:r>
      <w:r>
        <w:rPr>
          <w:spacing w:val="80"/>
        </w:rPr>
        <w:t> </w:t>
      </w:r>
      <w:r>
        <w:rPr/>
        <w:t>was reasonable for him to think that he was not undertaking responsibility. In previous editions of this work, it was suggested that in relation to liability for special circumstances, mere knowledge that an unusual</w:t>
      </w:r>
      <w:r>
        <w:rPr>
          <w:spacing w:val="-1"/>
        </w:rPr>
        <w:t> </w:t>
      </w:r>
      <w:r>
        <w:rPr/>
        <w:t>loss</w:t>
      </w:r>
      <w:r>
        <w:rPr>
          <w:spacing w:val="-1"/>
        </w:rPr>
        <w:t> </w:t>
      </w:r>
      <w:r>
        <w:rPr/>
        <w:t>might</w:t>
      </w:r>
      <w:r>
        <w:rPr>
          <w:spacing w:val="-1"/>
        </w:rPr>
        <w:t> </w:t>
      </w:r>
      <w:r>
        <w:rPr/>
        <w:t>well</w:t>
      </w:r>
      <w:r>
        <w:rPr>
          <w:spacing w:val="-1"/>
        </w:rPr>
        <w:t> </w:t>
      </w:r>
      <w:r>
        <w:rPr/>
        <w:t>follow</w:t>
      </w:r>
      <w:r>
        <w:rPr>
          <w:spacing w:val="-1"/>
        </w:rPr>
        <w:t> </w:t>
      </w:r>
      <w:r>
        <w:rPr/>
        <w:t>a</w:t>
      </w:r>
      <w:r>
        <w:rPr>
          <w:spacing w:val="-1"/>
        </w:rPr>
        <w:t> </w:t>
      </w:r>
      <w:r>
        <w:rPr/>
        <w:t>breach</w:t>
      </w:r>
      <w:r>
        <w:rPr>
          <w:spacing w:val="-1"/>
        </w:rPr>
        <w:t> </w:t>
      </w:r>
      <w:r>
        <w:rPr/>
        <w:t>would</w:t>
      </w:r>
      <w:r>
        <w:rPr>
          <w:spacing w:val="-1"/>
        </w:rPr>
        <w:t> </w:t>
      </w:r>
      <w:r>
        <w:rPr/>
        <w:t>not</w:t>
      </w:r>
      <w:r>
        <w:rPr>
          <w:spacing w:val="-1"/>
        </w:rPr>
        <w:t> </w:t>
      </w:r>
      <w:r>
        <w:rPr/>
        <w:t>always</w:t>
      </w:r>
      <w:r>
        <w:rPr>
          <w:spacing w:val="-1"/>
        </w:rPr>
        <w:t> </w:t>
      </w:r>
      <w:r>
        <w:rPr/>
        <w:t>suffice.</w:t>
      </w:r>
      <w:r>
        <w:rPr>
          <w:spacing w:val="-1"/>
        </w:rPr>
        <w:t> </w:t>
      </w:r>
      <w:r>
        <w:rPr/>
        <w:t>There</w:t>
      </w:r>
      <w:r>
        <w:rPr>
          <w:spacing w:val="-1"/>
        </w:rPr>
        <w:t> </w:t>
      </w:r>
      <w:r>
        <w:rPr/>
        <w:t>might</w:t>
      </w:r>
      <w:r>
        <w:rPr>
          <w:spacing w:val="-1"/>
        </w:rPr>
        <w:t> </w:t>
      </w:r>
      <w:r>
        <w:rPr/>
        <w:t>not</w:t>
      </w:r>
      <w:r>
        <w:rPr>
          <w:spacing w:val="-1"/>
        </w:rPr>
        <w:t> </w:t>
      </w:r>
      <w:r>
        <w:rPr/>
        <w:t>be</w:t>
      </w:r>
      <w:r>
        <w:rPr>
          <w:spacing w:val="-1"/>
        </w:rPr>
        <w:t> </w:t>
      </w:r>
      <w:r>
        <w:rPr/>
        <w:t>liability</w:t>
      </w:r>
      <w:r>
        <w:rPr>
          <w:spacing w:val="-1"/>
        </w:rPr>
        <w:t> </w:t>
      </w:r>
      <w:r>
        <w:rPr/>
        <w:t>if</w:t>
      </w:r>
      <w:r>
        <w:rPr>
          <w:spacing w:val="-1"/>
        </w:rPr>
        <w:t> </w:t>
      </w:r>
      <w:r>
        <w:rPr/>
        <w:t>either</w:t>
      </w:r>
      <w:r>
        <w:rPr>
          <w:spacing w:val="-1"/>
        </w:rPr>
        <w:t> </w:t>
      </w:r>
      <w:r>
        <w:rPr/>
        <w:t>it was</w:t>
      </w:r>
      <w:r>
        <w:rPr>
          <w:spacing w:val="-1"/>
        </w:rPr>
        <w:t> </w:t>
      </w:r>
      <w:r>
        <w:rPr/>
        <w:t>clear</w:t>
      </w:r>
      <w:r>
        <w:rPr>
          <w:spacing w:val="-1"/>
        </w:rPr>
        <w:t> </w:t>
      </w:r>
      <w:r>
        <w:rPr/>
        <w:t>from</w:t>
      </w:r>
      <w:r>
        <w:rPr>
          <w:spacing w:val="-1"/>
        </w:rPr>
        <w:t> </w:t>
      </w:r>
      <w:r>
        <w:rPr/>
        <w:t>all</w:t>
      </w:r>
      <w:r>
        <w:rPr>
          <w:spacing w:val="-1"/>
        </w:rPr>
        <w:t> </w:t>
      </w:r>
      <w:r>
        <w:rPr/>
        <w:t>the</w:t>
      </w:r>
      <w:r>
        <w:rPr>
          <w:spacing w:val="-1"/>
        </w:rPr>
        <w:t> </w:t>
      </w:r>
      <w:r>
        <w:rPr/>
        <w:t>circumstances</w:t>
      </w:r>
      <w:r>
        <w:rPr>
          <w:spacing w:val="-1"/>
        </w:rPr>
        <w:t> </w:t>
      </w:r>
      <w:r>
        <w:rPr/>
        <w:t>either</w:t>
      </w:r>
      <w:r>
        <w:rPr>
          <w:spacing w:val="-1"/>
        </w:rPr>
        <w:t> </w:t>
      </w:r>
      <w:r>
        <w:rPr/>
        <w:t>that</w:t>
      </w:r>
      <w:r>
        <w:rPr>
          <w:spacing w:val="-1"/>
        </w:rPr>
        <w:t> </w:t>
      </w:r>
      <w:r>
        <w:rPr/>
        <w:t>the</w:t>
      </w:r>
      <w:r>
        <w:rPr>
          <w:spacing w:val="-1"/>
        </w:rPr>
        <w:t> </w:t>
      </w:r>
      <w:r>
        <w:rPr/>
        <w:t>defendant—to</w:t>
      </w:r>
      <w:r>
        <w:rPr>
          <w:spacing w:val="-1"/>
        </w:rPr>
        <w:t> </w:t>
      </w:r>
      <w:r>
        <w:rPr/>
        <w:t>the</w:t>
      </w:r>
      <w:r>
        <w:rPr>
          <w:spacing w:val="-1"/>
        </w:rPr>
        <w:t> </w:t>
      </w:r>
      <w:r>
        <w:rPr/>
        <w:t>knowledge</w:t>
      </w:r>
      <w:r>
        <w:rPr>
          <w:spacing w:val="-1"/>
        </w:rPr>
        <w:t> </w:t>
      </w:r>
      <w:r>
        <w:rPr/>
        <w:t>of</w:t>
      </w:r>
      <w:r>
        <w:rPr>
          <w:spacing w:val="-1"/>
        </w:rPr>
        <w:t> </w:t>
      </w:r>
      <w:r>
        <w:rPr/>
        <w:t>the</w:t>
      </w:r>
      <w:r>
        <w:rPr>
          <w:spacing w:val="-1"/>
        </w:rPr>
        <w:t> </w:t>
      </w:r>
      <w:r>
        <w:rPr/>
        <w:t>claimant—did not wish to accept the risk of the unusual loss, or that a reasonable man in the place of the defendant </w:t>
      </w:r>
      <w:bookmarkStart w:name="_bookmark1250" w:id="1252"/>
      <w:bookmarkEnd w:id="1252"/>
      <w:r>
        <w:rPr/>
        <w:t>would</w:t>
      </w:r>
      <w:r>
        <w:rPr/>
        <w:t> not, despite his knowledge of the special circumstances, have accepted the risk of the unusual </w:t>
      </w:r>
      <w:bookmarkStart w:name="_bookmark1251" w:id="1253"/>
      <w:bookmarkEnd w:id="1253"/>
      <w:r>
        <w:rPr/>
        <w:t>loss.</w:t>
      </w:r>
      <w:r>
        <w:rPr/>
        <w:t> </w:t>
      </w:r>
      <w:r>
        <w:rPr>
          <w:color w:val="005DA1"/>
          <w:u w:val="single" w:color="005DA1"/>
          <w:vertAlign w:val="superscript"/>
        </w:rPr>
        <w:t>707</w:t>
      </w:r>
      <w:r>
        <w:rPr>
          <w:color w:val="005DA1"/>
          <w:vertAlign w:val="baseline"/>
        </w:rPr>
        <w:t> </w:t>
      </w:r>
      <w:r>
        <w:rPr>
          <w:vertAlign w:val="baseline"/>
        </w:rPr>
        <w:t>It now seems clear that these factors are relevant to the question of whether the defendant can reasonably be assumed to have accepted responsibility for the relevant loss. </w:t>
      </w:r>
      <w:r>
        <w:rPr>
          <w:color w:val="005DA1"/>
          <w:u w:val="single" w:color="005DA1"/>
          <w:vertAlign w:val="superscript"/>
        </w:rPr>
        <w:t>708</w:t>
      </w:r>
      <w:r>
        <w:rPr>
          <w:color w:val="005DA1"/>
          <w:vertAlign w:val="baseline"/>
        </w:rPr>
        <w:t> </w:t>
      </w:r>
      <w:r>
        <w:rPr>
          <w:vertAlign w:val="baseline"/>
        </w:rPr>
        <w:t>It is submitted that when the relevant kind of loss is “not unusual”, the defendant will be treated as having assumed responsibility for it, as will be explained below, except in exceptional circumstances; but that the more unusual the circumstances giving rise to the loss, and the greater the extent of the loss, the less likely it will be that the defendant can reasonably be regarded as having assumed responsibility for it.</w:t>
      </w:r>
    </w:p>
    <w:p>
      <w:pPr>
        <w:pStyle w:val="BodyText"/>
      </w:pPr>
    </w:p>
    <w:p>
      <w:pPr>
        <w:pStyle w:val="BodyText"/>
        <w:spacing w:before="35"/>
      </w:pPr>
      <w:r>
        <w:rPr/>
        <mc:AlternateContent>
          <mc:Choice Requires="wps">
            <w:drawing>
              <wp:anchor distT="0" distB="0" distL="0" distR="0" allowOverlap="1" layoutInCell="1" locked="0" behindDoc="1" simplePos="0" relativeHeight="487655936">
                <wp:simplePos x="0" y="0"/>
                <wp:positionH relativeFrom="page">
                  <wp:posOffset>914400</wp:posOffset>
                </wp:positionH>
                <wp:positionV relativeFrom="paragraph">
                  <wp:posOffset>183716</wp:posOffset>
                </wp:positionV>
                <wp:extent cx="5724525"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65856pt;width:450.75pt;height:.1pt;mso-position-horizontal-relative:page;mso-position-vertical-relative:paragraph;z-index:-15660544;mso-wrap-distance-left:0;mso-wrap-distance-right:0" id="docshape63"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hyperlink w:history="true" w:anchor="_bookmark1456">
        <w:r>
          <w:rPr>
            <w:color w:val="005DA1"/>
            <w:spacing w:val="-4"/>
            <w:position w:val="5"/>
            <w:sz w:val="14"/>
            <w:u w:val="single" w:color="005DA1"/>
          </w:rPr>
          <w:t>604</w:t>
        </w:r>
      </w:hyperlink>
      <w:r>
        <w:rPr>
          <w:spacing w:val="-4"/>
          <w:position w:val="5"/>
          <w:sz w:val="14"/>
        </w:rPr>
        <w:t>.</w:t>
      </w:r>
      <w:r>
        <w:rPr>
          <w:position w:val="5"/>
          <w:sz w:val="14"/>
        </w:rPr>
        <w:tab/>
      </w:r>
      <w:r>
        <w:rPr/>
        <w:t>The</w:t>
      </w:r>
      <w:r>
        <w:rPr>
          <w:spacing w:val="2"/>
        </w:rPr>
        <w:t> </w:t>
      </w:r>
      <w:r>
        <w:rPr/>
        <w:t>term</w:t>
      </w:r>
      <w:r>
        <w:rPr>
          <w:spacing w:val="2"/>
        </w:rPr>
        <w:t> </w:t>
      </w:r>
      <w:r>
        <w:rPr/>
        <w:t>“remoteness</w:t>
      </w:r>
      <w:r>
        <w:rPr>
          <w:spacing w:val="2"/>
        </w:rPr>
        <w:t> </w:t>
      </w:r>
      <w:r>
        <w:rPr/>
        <w:t>of</w:t>
      </w:r>
      <w:r>
        <w:rPr>
          <w:spacing w:val="2"/>
        </w:rPr>
        <w:t> </w:t>
      </w:r>
      <w:r>
        <w:rPr/>
        <w:t>damage”</w:t>
      </w:r>
      <w:r>
        <w:rPr>
          <w:spacing w:val="2"/>
        </w:rPr>
        <w:t> </w:t>
      </w:r>
      <w:r>
        <w:rPr/>
        <w:t>has</w:t>
      </w:r>
      <w:r>
        <w:rPr>
          <w:spacing w:val="2"/>
        </w:rPr>
        <w:t> </w:t>
      </w:r>
      <w:r>
        <w:rPr/>
        <w:t>been</w:t>
      </w:r>
      <w:r>
        <w:rPr>
          <w:spacing w:val="2"/>
        </w:rPr>
        <w:t> </w:t>
      </w:r>
      <w:r>
        <w:rPr/>
        <w:t>distinguished</w:t>
      </w:r>
      <w:r>
        <w:rPr>
          <w:spacing w:val="2"/>
        </w:rPr>
        <w:t> </w:t>
      </w:r>
      <w:r>
        <w:rPr/>
        <w:t>from</w:t>
      </w:r>
      <w:r>
        <w:rPr>
          <w:spacing w:val="2"/>
        </w:rPr>
        <w:t> </w:t>
      </w:r>
      <w:r>
        <w:rPr/>
        <w:t>the</w:t>
      </w:r>
      <w:r>
        <w:rPr>
          <w:spacing w:val="2"/>
        </w:rPr>
        <w:t> </w:t>
      </w:r>
      <w:r>
        <w:rPr/>
        <w:t>term</w:t>
      </w:r>
      <w:r>
        <w:rPr>
          <w:spacing w:val="2"/>
        </w:rPr>
        <w:t> </w:t>
      </w:r>
      <w:r>
        <w:rPr/>
        <w:t>“measure</w:t>
      </w:r>
      <w:r>
        <w:rPr>
          <w:spacing w:val="2"/>
        </w:rPr>
        <w:t> </w:t>
      </w:r>
      <w:r>
        <w:rPr/>
        <w:t>of</w:t>
      </w:r>
      <w:r>
        <w:rPr>
          <w:spacing w:val="2"/>
        </w:rPr>
        <w:t> </w:t>
      </w:r>
      <w:r>
        <w:rPr>
          <w:spacing w:val="-2"/>
        </w:rPr>
        <w:t>damages”</w:t>
      </w:r>
    </w:p>
    <w:p>
      <w:pPr>
        <w:pStyle w:val="BodyText"/>
        <w:spacing w:after="0"/>
        <w:sectPr>
          <w:pgSz w:w="11900" w:h="16840"/>
          <w:pgMar w:header="971" w:footer="0" w:top="1300" w:bottom="280" w:left="1275" w:right="1275"/>
        </w:sectPr>
      </w:pPr>
    </w:p>
    <w:p>
      <w:pPr>
        <w:pStyle w:val="BodyText"/>
      </w:pPr>
    </w:p>
    <w:p>
      <w:pPr>
        <w:spacing w:line="235" w:lineRule="auto" w:before="0"/>
        <w:ind w:left="705" w:right="167" w:firstLine="0"/>
        <w:jc w:val="both"/>
        <w:rPr>
          <w:rFonts w:ascii="Arial" w:hAnsi="Arial"/>
          <w:i/>
          <w:sz w:val="20"/>
        </w:rPr>
      </w:pPr>
      <w:r>
        <w:rPr>
          <w:sz w:val="20"/>
        </w:rPr>
        <w:t>(or “quantification”), the former referring to the rules as to which types of consequences or losses may be compensated, the latter to the method of assessing in money the </w:t>
      </w:r>
      <w:r>
        <w:rPr>
          <w:sz w:val="20"/>
        </w:rPr>
        <w:t>compensation for a particular consequence or loss which has been held to be not too remote. In </w:t>
      </w:r>
      <w:r>
        <w:rPr>
          <w:rFonts w:ascii="Arial" w:hAnsi="Arial"/>
          <w:i/>
          <w:sz w:val="20"/>
        </w:rPr>
        <w:t>Wroth v Tyler [1974] Ch. 30, 60–62 </w:t>
      </w:r>
      <w:r>
        <w:rPr>
          <w:sz w:val="20"/>
        </w:rPr>
        <w:t>(below, para.26-116) it was held that the parties need not have contemplated the quantum of damage; see also </w:t>
      </w:r>
      <w:r>
        <w:rPr>
          <w:rFonts w:ascii="Arial" w:hAnsi="Arial"/>
          <w:i/>
          <w:sz w:val="20"/>
        </w:rPr>
        <w:t>Vacwell Engineering Co Ltd v B.D.H. Chemicals</w:t>
      </w:r>
      <w:r>
        <w:rPr>
          <w:rFonts w:ascii="Arial" w:hAnsi="Arial"/>
          <w:i/>
          <w:spacing w:val="-1"/>
          <w:sz w:val="20"/>
        </w:rPr>
        <w:t> </w:t>
      </w:r>
      <w:r>
        <w:rPr>
          <w:rFonts w:ascii="Arial" w:hAnsi="Arial"/>
          <w:i/>
          <w:sz w:val="20"/>
        </w:rPr>
        <w:t>Ltd [1971] Q.B. 88, 110</w:t>
      </w:r>
      <w:r>
        <w:rPr>
          <w:sz w:val="20"/>
        </w:rPr>
        <w:t>; </w:t>
      </w:r>
      <w:r>
        <w:rPr>
          <w:rFonts w:ascii="Arial" w:hAnsi="Arial"/>
          <w:i/>
          <w:sz w:val="20"/>
        </w:rPr>
        <w:t>H. Parsons (Livestock) Ltd v Uttley, Ingham &amp; Co Ltd </w:t>
      </w:r>
      <w:r>
        <w:rPr>
          <w:rFonts w:ascii="Arial" w:hAnsi="Arial"/>
          <w:i/>
          <w:spacing w:val="-2"/>
          <w:sz w:val="20"/>
        </w:rPr>
        <w:t>[1978]</w:t>
      </w:r>
    </w:p>
    <w:p>
      <w:pPr>
        <w:spacing w:line="235" w:lineRule="auto" w:before="0"/>
        <w:ind w:left="705" w:right="167" w:firstLine="0"/>
        <w:jc w:val="both"/>
        <w:rPr>
          <w:rFonts w:ascii="Arial"/>
          <w:i/>
          <w:sz w:val="20"/>
        </w:rPr>
      </w:pPr>
      <w:r>
        <w:rPr>
          <w:rFonts w:ascii="Arial"/>
          <w:i/>
          <w:sz w:val="20"/>
        </w:rPr>
        <w:t>Q.B. 791, 805, 813</w:t>
      </w:r>
      <w:r>
        <w:rPr>
          <w:sz w:val="20"/>
        </w:rPr>
        <w:t>. It seems that in principle the distinction is between the type or kind of </w:t>
      </w:r>
      <w:r>
        <w:rPr>
          <w:sz w:val="20"/>
        </w:rPr>
        <w:t>loss (see</w:t>
      </w:r>
      <w:r>
        <w:rPr>
          <w:spacing w:val="-1"/>
          <w:sz w:val="20"/>
        </w:rPr>
        <w:t> </w:t>
      </w:r>
      <w:r>
        <w:rPr>
          <w:sz w:val="20"/>
        </w:rPr>
        <w:t>below,</w:t>
      </w:r>
      <w:r>
        <w:rPr>
          <w:spacing w:val="-1"/>
          <w:sz w:val="20"/>
        </w:rPr>
        <w:t> </w:t>
      </w:r>
      <w:r>
        <w:rPr>
          <w:sz w:val="20"/>
        </w:rPr>
        <w:t>para.26-116)</w:t>
      </w:r>
      <w:r>
        <w:rPr>
          <w:spacing w:val="-1"/>
          <w:sz w:val="20"/>
        </w:rPr>
        <w:t> </w:t>
      </w:r>
      <w:r>
        <w:rPr>
          <w:sz w:val="20"/>
        </w:rPr>
        <w:t>and</w:t>
      </w:r>
      <w:r>
        <w:rPr>
          <w:spacing w:val="-1"/>
          <w:sz w:val="20"/>
        </w:rPr>
        <w:t> </w:t>
      </w:r>
      <w:r>
        <w:rPr>
          <w:sz w:val="20"/>
        </w:rPr>
        <w:t>its</w:t>
      </w:r>
      <w:r>
        <w:rPr>
          <w:spacing w:val="-1"/>
          <w:sz w:val="20"/>
        </w:rPr>
        <w:t> </w:t>
      </w:r>
      <w:r>
        <w:rPr>
          <w:sz w:val="20"/>
        </w:rPr>
        <w:t>amount</w:t>
      </w:r>
      <w:r>
        <w:rPr>
          <w:spacing w:val="-1"/>
          <w:sz w:val="20"/>
        </w:rPr>
        <w:t> </w:t>
      </w:r>
      <w:r>
        <w:rPr>
          <w:sz w:val="20"/>
        </w:rPr>
        <w:t>or</w:t>
      </w:r>
      <w:r>
        <w:rPr>
          <w:spacing w:val="-1"/>
          <w:sz w:val="20"/>
        </w:rPr>
        <w:t> </w:t>
      </w:r>
      <w:r>
        <w:rPr>
          <w:sz w:val="20"/>
        </w:rPr>
        <w:t>the</w:t>
      </w:r>
      <w:r>
        <w:rPr>
          <w:spacing w:val="-1"/>
          <w:sz w:val="20"/>
        </w:rPr>
        <w:t> </w:t>
      </w:r>
      <w:r>
        <w:rPr>
          <w:sz w:val="20"/>
        </w:rPr>
        <w:t>precise</w:t>
      </w:r>
      <w:r>
        <w:rPr>
          <w:spacing w:val="-1"/>
          <w:sz w:val="20"/>
        </w:rPr>
        <w:t> </w:t>
      </w:r>
      <w:r>
        <w:rPr>
          <w:sz w:val="20"/>
        </w:rPr>
        <w:t>way</w:t>
      </w:r>
      <w:r>
        <w:rPr>
          <w:spacing w:val="-1"/>
          <w:sz w:val="20"/>
        </w:rPr>
        <w:t> </w:t>
      </w:r>
      <w:r>
        <w:rPr>
          <w:sz w:val="20"/>
        </w:rPr>
        <w:t>in</w:t>
      </w:r>
      <w:r>
        <w:rPr>
          <w:spacing w:val="-1"/>
          <w:sz w:val="20"/>
        </w:rPr>
        <w:t> </w:t>
      </w:r>
      <w:r>
        <w:rPr>
          <w:sz w:val="20"/>
        </w:rPr>
        <w:t>which</w:t>
      </w:r>
      <w:r>
        <w:rPr>
          <w:spacing w:val="-1"/>
          <w:sz w:val="20"/>
        </w:rPr>
        <w:t> </w:t>
      </w:r>
      <w:r>
        <w:rPr>
          <w:sz w:val="20"/>
        </w:rPr>
        <w:t>it</w:t>
      </w:r>
      <w:r>
        <w:rPr>
          <w:spacing w:val="-1"/>
          <w:sz w:val="20"/>
        </w:rPr>
        <w:t> </w:t>
      </w:r>
      <w:r>
        <w:rPr>
          <w:sz w:val="20"/>
        </w:rPr>
        <w:t>occurred,</w:t>
      </w:r>
      <w:r>
        <w:rPr>
          <w:spacing w:val="-1"/>
          <w:sz w:val="20"/>
        </w:rPr>
        <w:t> </w:t>
      </w:r>
      <w:r>
        <w:rPr>
          <w:sz w:val="20"/>
        </w:rPr>
        <w:t>but</w:t>
      </w:r>
      <w:r>
        <w:rPr>
          <w:spacing w:val="-1"/>
          <w:sz w:val="20"/>
        </w:rPr>
        <w:t> </w:t>
      </w:r>
      <w:r>
        <w:rPr>
          <w:sz w:val="20"/>
        </w:rPr>
        <w:t>we</w:t>
      </w:r>
      <w:r>
        <w:rPr>
          <w:spacing w:val="-1"/>
          <w:sz w:val="20"/>
        </w:rPr>
        <w:t> </w:t>
      </w:r>
      <w:r>
        <w:rPr>
          <w:sz w:val="20"/>
        </w:rPr>
        <w:t>will</w:t>
      </w:r>
      <w:r>
        <w:rPr>
          <w:spacing w:val="-1"/>
          <w:sz w:val="20"/>
        </w:rPr>
        <w:t> </w:t>
      </w:r>
      <w:r>
        <w:rPr>
          <w:sz w:val="20"/>
        </w:rPr>
        <w:t>see that in contract cases the courts have sometimes drawn narrow distinctions between different types</w:t>
      </w:r>
      <w:r>
        <w:rPr>
          <w:spacing w:val="26"/>
          <w:sz w:val="20"/>
        </w:rPr>
        <w:t> </w:t>
      </w:r>
      <w:r>
        <w:rPr>
          <w:sz w:val="20"/>
        </w:rPr>
        <w:t>of</w:t>
      </w:r>
      <w:r>
        <w:rPr>
          <w:spacing w:val="26"/>
          <w:sz w:val="20"/>
        </w:rPr>
        <w:t> </w:t>
      </w:r>
      <w:r>
        <w:rPr>
          <w:sz w:val="20"/>
        </w:rPr>
        <w:t>loss</w:t>
      </w:r>
      <w:r>
        <w:rPr>
          <w:spacing w:val="26"/>
          <w:sz w:val="20"/>
        </w:rPr>
        <w:t> </w:t>
      </w:r>
      <w:r>
        <w:rPr>
          <w:sz w:val="20"/>
        </w:rPr>
        <w:t>of</w:t>
      </w:r>
      <w:r>
        <w:rPr>
          <w:spacing w:val="26"/>
          <w:sz w:val="20"/>
        </w:rPr>
        <w:t> </w:t>
      </w:r>
      <w:r>
        <w:rPr>
          <w:sz w:val="20"/>
        </w:rPr>
        <w:t>profit</w:t>
      </w:r>
      <w:r>
        <w:rPr>
          <w:spacing w:val="26"/>
          <w:sz w:val="20"/>
        </w:rPr>
        <w:t> </w:t>
      </w:r>
      <w:r>
        <w:rPr>
          <w:sz w:val="20"/>
        </w:rPr>
        <w:t>(e.g.</w:t>
      </w:r>
      <w:r>
        <w:rPr>
          <w:spacing w:val="26"/>
          <w:sz w:val="20"/>
        </w:rPr>
        <w:t> </w:t>
      </w:r>
      <w:r>
        <w:rPr>
          <w:rFonts w:ascii="Arial"/>
          <w:i/>
          <w:sz w:val="20"/>
        </w:rPr>
        <w:t>Victoria</w:t>
      </w:r>
      <w:r>
        <w:rPr>
          <w:rFonts w:ascii="Arial"/>
          <w:i/>
          <w:spacing w:val="26"/>
          <w:sz w:val="20"/>
        </w:rPr>
        <w:t> </w:t>
      </w:r>
      <w:r>
        <w:rPr>
          <w:rFonts w:ascii="Arial"/>
          <w:i/>
          <w:sz w:val="20"/>
        </w:rPr>
        <w:t>Laundry</w:t>
      </w:r>
      <w:r>
        <w:rPr>
          <w:rFonts w:ascii="Arial"/>
          <w:i/>
          <w:spacing w:val="26"/>
          <w:sz w:val="20"/>
        </w:rPr>
        <w:t> </w:t>
      </w:r>
      <w:r>
        <w:rPr>
          <w:rFonts w:ascii="Arial"/>
          <w:i/>
          <w:sz w:val="20"/>
        </w:rPr>
        <w:t>(Windsor)</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Newman</w:t>
      </w:r>
      <w:r>
        <w:rPr>
          <w:rFonts w:ascii="Arial"/>
          <w:i/>
          <w:spacing w:val="26"/>
          <w:sz w:val="20"/>
        </w:rPr>
        <w:t> </w:t>
      </w:r>
      <w:r>
        <w:rPr>
          <w:rFonts w:ascii="Arial"/>
          <w:i/>
          <w:sz w:val="20"/>
        </w:rPr>
        <w:t>Industries</w:t>
      </w:r>
      <w:r>
        <w:rPr>
          <w:rFonts w:ascii="Arial"/>
          <w:i/>
          <w:spacing w:val="26"/>
          <w:sz w:val="20"/>
        </w:rPr>
        <w:t> </w:t>
      </w:r>
      <w:r>
        <w:rPr>
          <w:rFonts w:ascii="Arial"/>
          <w:i/>
          <w:sz w:val="20"/>
        </w:rPr>
        <w:t>Ltd</w:t>
      </w:r>
      <w:r>
        <w:rPr>
          <w:rFonts w:ascii="Arial"/>
          <w:i/>
          <w:spacing w:val="26"/>
          <w:sz w:val="20"/>
        </w:rPr>
        <w:t> </w:t>
      </w:r>
      <w:r>
        <w:rPr>
          <w:rFonts w:ascii="Arial"/>
          <w:i/>
          <w:sz w:val="20"/>
        </w:rPr>
        <w:t>[1949]</w:t>
      </w:r>
      <w:r>
        <w:rPr>
          <w:rFonts w:ascii="Arial"/>
          <w:i/>
          <w:spacing w:val="26"/>
          <w:sz w:val="20"/>
        </w:rPr>
        <w:t> </w:t>
      </w:r>
      <w:r>
        <w:rPr>
          <w:rFonts w:ascii="Arial"/>
          <w:i/>
          <w:spacing w:val="-10"/>
          <w:sz w:val="20"/>
        </w:rPr>
        <w:t>2</w:t>
      </w:r>
    </w:p>
    <w:p>
      <w:pPr>
        <w:spacing w:line="235" w:lineRule="auto" w:before="0"/>
        <w:ind w:left="705" w:right="167" w:firstLine="0"/>
        <w:jc w:val="both"/>
        <w:rPr>
          <w:sz w:val="20"/>
        </w:rPr>
      </w:pPr>
      <w:r>
        <w:rPr>
          <w:rFonts w:ascii="Arial" w:hAnsi="Arial"/>
          <w:i/>
          <w:sz w:val="20"/>
        </w:rPr>
        <w:t>K.B. 528</w:t>
      </w:r>
      <w:r>
        <w:rPr>
          <w:sz w:val="20"/>
        </w:rPr>
        <w:t>, see below, para.26-114) and different ways in which loss of profit might have</w:t>
      </w:r>
      <w:r>
        <w:rPr>
          <w:spacing w:val="40"/>
          <w:sz w:val="20"/>
        </w:rPr>
        <w:t> </w:t>
      </w:r>
      <w:r>
        <w:rPr>
          <w:sz w:val="20"/>
        </w:rPr>
        <w:t>occurred (e.g. the speeches of Lord Rodger, Lord Walker and Baroness Hale in </w:t>
      </w:r>
      <w:r>
        <w:rPr>
          <w:rFonts w:ascii="Arial" w:hAnsi="Arial"/>
          <w:i/>
          <w:sz w:val="20"/>
        </w:rPr>
        <w:t>Transfield Shipping Inc v Mercator Shipping Inc (The Achilleas) [2008] UKHL 48, [2009] 1 A.C. 61</w:t>
      </w:r>
      <w:r>
        <w:rPr>
          <w:sz w:val="20"/>
        </w:rPr>
        <w:t>, see below, para.26-128). The distinction between remoteness and quantum is also drawn for the purposes of conflicts of laws: Cheshire and North, </w:t>
      </w:r>
      <w:r>
        <w:rPr>
          <w:rFonts w:ascii="Arial" w:hAnsi="Arial"/>
          <w:i/>
          <w:sz w:val="20"/>
        </w:rPr>
        <w:t>Private International Law</w:t>
      </w:r>
      <w:r>
        <w:rPr>
          <w:sz w:val="20"/>
        </w:rPr>
        <w:t>, 5th edn, pp.708–712 (approved in </w:t>
      </w:r>
      <w:r>
        <w:rPr>
          <w:rFonts w:ascii="Arial" w:hAnsi="Arial"/>
          <w:i/>
          <w:sz w:val="20"/>
        </w:rPr>
        <w:t>D’Almeida Araujo v Becker [1953] 2 Q.B. 329</w:t>
      </w:r>
      <w:r>
        <w:rPr>
          <w:sz w:val="20"/>
        </w:rPr>
        <w:t>; see now 14th edition</w:t>
      </w:r>
      <w:r>
        <w:rPr>
          <w:spacing w:val="40"/>
          <w:sz w:val="20"/>
        </w:rPr>
        <w:t> </w:t>
      </w:r>
      <w:r>
        <w:rPr>
          <w:sz w:val="20"/>
        </w:rPr>
        <w:t>by Cheshire, North and Fawcett, pp.96–97). This distinction has not always found favour with the courts in a domestic case: see </w:t>
      </w:r>
      <w:r>
        <w:rPr>
          <w:rFonts w:ascii="Arial" w:hAnsi="Arial"/>
          <w:i/>
          <w:sz w:val="20"/>
        </w:rPr>
        <w:t>Handel (NV) My. J. Smits Import-Export v English Exporters Ltd [1955] 2 Lloyd’s Rep. 69, 72</w:t>
      </w:r>
      <w:r>
        <w:rPr>
          <w:sz w:val="20"/>
        </w:rPr>
        <w:t>; affirmed at 317; </w:t>
      </w:r>
      <w:r>
        <w:rPr>
          <w:rFonts w:ascii="Arial" w:hAnsi="Arial"/>
          <w:i/>
          <w:sz w:val="20"/>
        </w:rPr>
        <w:t>Boys v Chaplin [1968] 2 Q.B. 1, 31</w:t>
      </w:r>
      <w:r>
        <w:rPr>
          <w:sz w:val="20"/>
        </w:rPr>
        <w:t>; but the distinction has been accepted in a conflict of laws problem: </w:t>
      </w:r>
      <w:r>
        <w:rPr>
          <w:rFonts w:ascii="Arial" w:hAnsi="Arial"/>
          <w:i/>
          <w:sz w:val="20"/>
        </w:rPr>
        <w:t>Boys v Chaplin [1971] A.C. 356, 378–379,</w:t>
      </w:r>
      <w:r>
        <w:rPr>
          <w:rFonts w:ascii="Arial" w:hAnsi="Arial"/>
          <w:i/>
          <w:spacing w:val="4"/>
          <w:sz w:val="20"/>
        </w:rPr>
        <w:t> </w:t>
      </w:r>
      <w:r>
        <w:rPr>
          <w:rFonts w:ascii="Arial" w:hAnsi="Arial"/>
          <w:i/>
          <w:sz w:val="20"/>
        </w:rPr>
        <w:t>382–383,</w:t>
      </w:r>
      <w:r>
        <w:rPr>
          <w:rFonts w:ascii="Arial" w:hAnsi="Arial"/>
          <w:i/>
          <w:spacing w:val="5"/>
          <w:sz w:val="20"/>
        </w:rPr>
        <w:t> </w:t>
      </w:r>
      <w:r>
        <w:rPr>
          <w:rFonts w:ascii="Arial" w:hAnsi="Arial"/>
          <w:i/>
          <w:sz w:val="20"/>
        </w:rPr>
        <w:t>392–393,</w:t>
      </w:r>
      <w:r>
        <w:rPr>
          <w:rFonts w:ascii="Arial" w:hAnsi="Arial"/>
          <w:i/>
          <w:spacing w:val="5"/>
          <w:sz w:val="20"/>
        </w:rPr>
        <w:t> </w:t>
      </w:r>
      <w:r>
        <w:rPr>
          <w:rFonts w:ascii="Arial" w:hAnsi="Arial"/>
          <w:i/>
          <w:sz w:val="20"/>
        </w:rPr>
        <w:t>394</w:t>
      </w:r>
      <w:r>
        <w:rPr>
          <w:sz w:val="20"/>
        </w:rPr>
        <w:t>.</w:t>
      </w:r>
      <w:r>
        <w:rPr>
          <w:spacing w:val="5"/>
          <w:sz w:val="20"/>
        </w:rPr>
        <w:t> </w:t>
      </w:r>
      <w:r>
        <w:rPr>
          <w:sz w:val="20"/>
        </w:rPr>
        <w:t>In</w:t>
      </w:r>
      <w:r>
        <w:rPr>
          <w:spacing w:val="5"/>
          <w:sz w:val="20"/>
        </w:rPr>
        <w:t> </w:t>
      </w:r>
      <w:r>
        <w:rPr>
          <w:rFonts w:ascii="Arial" w:hAnsi="Arial"/>
          <w:i/>
          <w:sz w:val="20"/>
        </w:rPr>
        <w:t>Harding</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Wealands</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UKHL</w:t>
      </w:r>
      <w:r>
        <w:rPr>
          <w:rFonts w:ascii="Arial" w:hAnsi="Arial"/>
          <w:i/>
          <w:spacing w:val="5"/>
          <w:sz w:val="20"/>
        </w:rPr>
        <w:t> </w:t>
      </w:r>
      <w:r>
        <w:rPr>
          <w:rFonts w:ascii="Arial" w:hAnsi="Arial"/>
          <w:i/>
          <w:sz w:val="20"/>
        </w:rPr>
        <w:t>32,</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1</w:t>
      </w:r>
      <w:r>
        <w:rPr>
          <w:rFonts w:ascii="Arial" w:hAnsi="Arial"/>
          <w:i/>
          <w:spacing w:val="4"/>
          <w:sz w:val="20"/>
        </w:rPr>
        <w:t> </w:t>
      </w:r>
      <w:r>
        <w:rPr>
          <w:spacing w:val="-5"/>
          <w:sz w:val="20"/>
        </w:rPr>
        <w:t>the</w:t>
      </w:r>
    </w:p>
    <w:p>
      <w:pPr>
        <w:pStyle w:val="BodyText"/>
        <w:spacing w:line="235" w:lineRule="auto"/>
        <w:ind w:left="705" w:right="167"/>
        <w:jc w:val="both"/>
      </w:pPr>
      <w:r>
        <w:rPr/>
        <w:t>assessment of damages in a tort case was held to be a matter of procedure governed by the</w:t>
      </w:r>
      <w:r>
        <w:rPr>
          <w:spacing w:val="40"/>
        </w:rPr>
        <w:t> </w:t>
      </w:r>
      <w:r>
        <w:rPr/>
        <w:t>lex fori.</w:t>
      </w:r>
    </w:p>
    <w:p>
      <w:pPr>
        <w:pStyle w:val="BodyText"/>
        <w:spacing w:before="1"/>
      </w:pPr>
    </w:p>
    <w:p>
      <w:pPr>
        <w:pStyle w:val="BodyText"/>
        <w:tabs>
          <w:tab w:pos="705" w:val="left" w:leader="none"/>
        </w:tabs>
        <w:spacing w:line="235" w:lineRule="auto" w:before="1"/>
        <w:ind w:left="705" w:right="174" w:hanging="541"/>
      </w:pPr>
      <w:bookmarkStart w:name="_bookmark1252" w:id="1254"/>
      <w:bookmarkEnd w:id="1254"/>
      <w:r>
        <w:rPr/>
      </w:r>
      <w:hyperlink w:history="true" w:anchor="_bookmark1165">
        <w:r>
          <w:rPr>
            <w:color w:val="005DA1"/>
            <w:spacing w:val="-4"/>
            <w:position w:val="5"/>
            <w:sz w:val="14"/>
            <w:u w:val="single" w:color="005DA1"/>
          </w:rPr>
          <w:t>614</w:t>
        </w:r>
      </w:hyperlink>
      <w:r>
        <w:rPr>
          <w:spacing w:val="-4"/>
          <w:position w:val="5"/>
          <w:sz w:val="14"/>
        </w:rPr>
        <w:t>.</w:t>
      </w:r>
      <w:r>
        <w:rPr>
          <w:position w:val="5"/>
          <w:sz w:val="14"/>
        </w:rPr>
        <w:tab/>
      </w:r>
      <w:r>
        <w:rPr>
          <w:rFonts w:ascii="Arial" w:hAnsi="Arial"/>
          <w:i/>
        </w:rPr>
        <w:t>(1854) 9 Ex. 341</w:t>
      </w:r>
      <w:r>
        <w:rPr/>
        <w:t>. (See comments by Simpson (1975) 91 L.Q.R. 247, 273; Pugsley (1976) 126 New L.J. 420; Danzig (1975) 4 J. Leg. Stud. 249; Harris, Campbell and Halson at pp.92–93.)</w:t>
      </w:r>
    </w:p>
    <w:p>
      <w:pPr>
        <w:pStyle w:val="BodyText"/>
        <w:spacing w:before="5"/>
      </w:pPr>
    </w:p>
    <w:p>
      <w:pPr>
        <w:pStyle w:val="BodyText"/>
        <w:tabs>
          <w:tab w:pos="705" w:val="left" w:leader="none"/>
        </w:tabs>
        <w:ind w:left="165"/>
      </w:pPr>
      <w:bookmarkStart w:name="_bookmark1253" w:id="1255"/>
      <w:bookmarkEnd w:id="1255"/>
      <w:r>
        <w:rPr/>
      </w:r>
      <w:hyperlink w:history="true" w:anchor="_bookmark1165">
        <w:r>
          <w:rPr>
            <w:color w:val="005DA1"/>
            <w:spacing w:val="-4"/>
            <w:position w:val="5"/>
            <w:sz w:val="14"/>
            <w:u w:val="single" w:color="005DA1"/>
          </w:rPr>
          <w:t>615</w:t>
        </w:r>
      </w:hyperlink>
      <w:r>
        <w:rPr>
          <w:spacing w:val="-4"/>
          <w:position w:val="5"/>
          <w:sz w:val="14"/>
        </w:rPr>
        <w:t>.</w:t>
      </w:r>
      <w:r>
        <w:rPr>
          <w:position w:val="5"/>
          <w:sz w:val="14"/>
        </w:rPr>
        <w:tab/>
      </w:r>
      <w:r>
        <w:rPr/>
        <w:t>See below, paras 26-111 et </w:t>
      </w:r>
      <w:r>
        <w:rPr>
          <w:spacing w:val="-4"/>
        </w:rPr>
        <w:t>seq.</w:t>
      </w:r>
    </w:p>
    <w:p>
      <w:pPr>
        <w:pStyle w:val="BodyText"/>
        <w:spacing w:before="9"/>
      </w:pPr>
    </w:p>
    <w:p>
      <w:pPr>
        <w:tabs>
          <w:tab w:pos="705" w:val="left" w:leader="none"/>
        </w:tabs>
        <w:spacing w:line="235" w:lineRule="auto" w:before="0"/>
        <w:ind w:left="705" w:right="174" w:hanging="541"/>
        <w:jc w:val="left"/>
        <w:rPr>
          <w:sz w:val="20"/>
        </w:rPr>
      </w:pPr>
      <w:bookmarkStart w:name="_bookmark1254" w:id="1256"/>
      <w:bookmarkEnd w:id="1256"/>
      <w:r>
        <w:rPr/>
      </w:r>
      <w:hyperlink w:history="true" w:anchor="_bookmark1166">
        <w:r>
          <w:rPr>
            <w:color w:val="005DA1"/>
            <w:spacing w:val="-4"/>
            <w:position w:val="5"/>
            <w:sz w:val="14"/>
            <w:u w:val="single" w:color="005DA1"/>
          </w:rPr>
          <w:t>616</w:t>
        </w:r>
      </w:hyperlink>
      <w:r>
        <w:rPr>
          <w:spacing w:val="-4"/>
          <w:position w:val="5"/>
          <w:sz w:val="14"/>
        </w:rPr>
        <w:t>.</w:t>
      </w:r>
      <w:r>
        <w:rPr>
          <w:position w:val="5"/>
          <w:sz w:val="14"/>
        </w:rPr>
        <w:tab/>
      </w:r>
      <w:r>
        <w:rPr>
          <w:rFonts w:ascii="Arial" w:hAnsi="Arial"/>
          <w:i/>
          <w:sz w:val="20"/>
        </w:rPr>
        <w:t>Victoria</w:t>
      </w:r>
      <w:r>
        <w:rPr>
          <w:rFonts w:ascii="Arial" w:hAnsi="Arial"/>
          <w:i/>
          <w:spacing w:val="35"/>
          <w:sz w:val="20"/>
        </w:rPr>
        <w:t> </w:t>
      </w:r>
      <w:r>
        <w:rPr>
          <w:rFonts w:ascii="Arial" w:hAnsi="Arial"/>
          <w:i/>
          <w:sz w:val="20"/>
        </w:rPr>
        <w:t>Laundry</w:t>
      </w:r>
      <w:r>
        <w:rPr>
          <w:rFonts w:ascii="Arial" w:hAnsi="Arial"/>
          <w:i/>
          <w:spacing w:val="35"/>
          <w:sz w:val="20"/>
        </w:rPr>
        <w:t> </w:t>
      </w:r>
      <w:r>
        <w:rPr>
          <w:rFonts w:ascii="Arial" w:hAnsi="Arial"/>
          <w:i/>
          <w:sz w:val="20"/>
        </w:rPr>
        <w:t>(Windsor)</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Newman</w:t>
      </w:r>
      <w:r>
        <w:rPr>
          <w:rFonts w:ascii="Arial" w:hAnsi="Arial"/>
          <w:i/>
          <w:spacing w:val="35"/>
          <w:sz w:val="20"/>
        </w:rPr>
        <w:t> </w:t>
      </w:r>
      <w:r>
        <w:rPr>
          <w:rFonts w:ascii="Arial" w:hAnsi="Arial"/>
          <w:i/>
          <w:sz w:val="20"/>
        </w:rPr>
        <w:t>Industries</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[1949]</w:t>
      </w:r>
      <w:r>
        <w:rPr>
          <w:rFonts w:ascii="Arial" w:hAnsi="Arial"/>
          <w:i/>
          <w:spacing w:val="35"/>
          <w:sz w:val="20"/>
        </w:rPr>
        <w:t> </w:t>
      </w:r>
      <w:r>
        <w:rPr>
          <w:rFonts w:ascii="Arial" w:hAnsi="Arial"/>
          <w:i/>
          <w:sz w:val="20"/>
        </w:rPr>
        <w:t>2</w:t>
      </w:r>
      <w:r>
        <w:rPr>
          <w:rFonts w:ascii="Arial" w:hAnsi="Arial"/>
          <w:i/>
          <w:spacing w:val="35"/>
          <w:sz w:val="20"/>
        </w:rPr>
        <w:t> </w:t>
      </w:r>
      <w:r>
        <w:rPr>
          <w:rFonts w:ascii="Arial" w:hAnsi="Arial"/>
          <w:i/>
          <w:sz w:val="20"/>
        </w:rPr>
        <w:t>K.B.</w:t>
      </w:r>
      <w:r>
        <w:rPr>
          <w:rFonts w:ascii="Arial" w:hAnsi="Arial"/>
          <w:i/>
          <w:spacing w:val="35"/>
          <w:sz w:val="20"/>
        </w:rPr>
        <w:t> </w:t>
      </w:r>
      <w:r>
        <w:rPr>
          <w:rFonts w:ascii="Arial" w:hAnsi="Arial"/>
          <w:i/>
          <w:sz w:val="20"/>
        </w:rPr>
        <w:t>528,</w:t>
      </w:r>
      <w:r>
        <w:rPr>
          <w:rFonts w:ascii="Arial" w:hAnsi="Arial"/>
          <w:i/>
          <w:spacing w:val="35"/>
          <w:sz w:val="20"/>
        </w:rPr>
        <w:t> </w:t>
      </w:r>
      <w:r>
        <w:rPr>
          <w:rFonts w:ascii="Arial" w:hAnsi="Arial"/>
          <w:i/>
          <w:sz w:val="20"/>
        </w:rPr>
        <w:t>537–538</w:t>
      </w:r>
      <w:r>
        <w:rPr>
          <w:sz w:val="20"/>
        </w:rPr>
        <w:t>.</w:t>
      </w:r>
      <w:r>
        <w:rPr>
          <w:spacing w:val="35"/>
          <w:sz w:val="20"/>
        </w:rPr>
        <w:t> </w:t>
      </w:r>
      <w:r>
        <w:rPr>
          <w:sz w:val="20"/>
        </w:rPr>
        <w:t>(The headnote of </w:t>
      </w:r>
      <w:r>
        <w:rPr>
          <w:rFonts w:ascii="Arial" w:hAnsi="Arial"/>
          <w:i/>
          <w:sz w:val="20"/>
        </w:rPr>
        <w:t>Hadley v Baxendale (1854) 9 Ex. 341 </w:t>
      </w:r>
      <w:r>
        <w:rPr>
          <w:sz w:val="20"/>
        </w:rPr>
        <w:t>is misleading.)</w:t>
      </w:r>
    </w:p>
    <w:p>
      <w:pPr>
        <w:pStyle w:val="BodyText"/>
        <w:spacing w:before="5"/>
      </w:pPr>
    </w:p>
    <w:p>
      <w:pPr>
        <w:tabs>
          <w:tab w:pos="705" w:val="left" w:leader="none"/>
        </w:tabs>
        <w:spacing w:before="0"/>
        <w:ind w:left="165" w:right="0" w:firstLine="0"/>
        <w:jc w:val="left"/>
        <w:rPr>
          <w:sz w:val="20"/>
        </w:rPr>
      </w:pPr>
      <w:bookmarkStart w:name="_bookmark1255" w:id="1257"/>
      <w:bookmarkEnd w:id="1257"/>
      <w:r>
        <w:rPr/>
      </w:r>
      <w:hyperlink w:history="true" w:anchor="_bookmark1167">
        <w:r>
          <w:rPr>
            <w:color w:val="005DA1"/>
            <w:spacing w:val="-4"/>
            <w:position w:val="5"/>
            <w:sz w:val="14"/>
            <w:u w:val="single" w:color="005DA1"/>
          </w:rPr>
          <w:t>617</w:t>
        </w:r>
      </w:hyperlink>
      <w:r>
        <w:rPr>
          <w:spacing w:val="-4"/>
          <w:position w:val="5"/>
          <w:sz w:val="14"/>
        </w:rPr>
        <w:t>.</w:t>
      </w:r>
      <w:r>
        <w:rPr>
          <w:position w:val="5"/>
          <w:sz w:val="14"/>
        </w:rPr>
        <w:tab/>
      </w:r>
      <w:r>
        <w:rPr>
          <w:rFonts w:ascii="Arial"/>
          <w:i/>
          <w:sz w:val="20"/>
        </w:rPr>
        <w:t>Hadley</w:t>
      </w:r>
      <w:r>
        <w:rPr>
          <w:rFonts w:ascii="Arial"/>
          <w:i/>
          <w:spacing w:val="-1"/>
          <w:sz w:val="20"/>
        </w:rPr>
        <w:t> </w:t>
      </w:r>
      <w:r>
        <w:rPr>
          <w:rFonts w:ascii="Arial"/>
          <w:i/>
          <w:sz w:val="20"/>
        </w:rPr>
        <w:t>v Baxendale (1854) 9 Ex. 341, 355</w:t>
      </w:r>
      <w:r>
        <w:rPr>
          <w:sz w:val="20"/>
        </w:rPr>
        <w:t>. See also</w:t>
      </w:r>
      <w:r>
        <w:rPr>
          <w:spacing w:val="-1"/>
          <w:sz w:val="20"/>
        </w:rPr>
        <w:t> </w:t>
      </w:r>
      <w:r>
        <w:rPr>
          <w:rFonts w:ascii="Arial"/>
          <w:i/>
          <w:sz w:val="20"/>
        </w:rPr>
        <w:t>Collins v Howard [1949] 2 All E.R. </w:t>
      </w:r>
      <w:r>
        <w:rPr>
          <w:rFonts w:ascii="Arial"/>
          <w:i/>
          <w:spacing w:val="-4"/>
          <w:sz w:val="20"/>
        </w:rPr>
        <w:t>324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56" w:id="1258"/>
      <w:bookmarkEnd w:id="1258"/>
      <w:r>
        <w:rPr/>
      </w:r>
      <w:hyperlink w:history="true" w:anchor="_bookmark1168">
        <w:r>
          <w:rPr>
            <w:color w:val="005DA1"/>
            <w:spacing w:val="-4"/>
            <w:position w:val="5"/>
            <w:sz w:val="14"/>
            <w:u w:val="single" w:color="005DA1"/>
          </w:rPr>
          <w:t>618</w:t>
        </w:r>
      </w:hyperlink>
      <w:r>
        <w:rPr>
          <w:spacing w:val="-4"/>
          <w:position w:val="5"/>
          <w:sz w:val="14"/>
        </w:rPr>
        <w:t>.</w:t>
      </w:r>
      <w:r>
        <w:rPr>
          <w:position w:val="5"/>
          <w:sz w:val="14"/>
        </w:rPr>
        <w:tab/>
      </w:r>
      <w:r>
        <w:rPr>
          <w:rFonts w:ascii="Arial" w:hAnsi="Arial"/>
          <w:i/>
          <w:sz w:val="20"/>
        </w:rPr>
        <w:t>(1854) 9 Ex. 341, </w:t>
      </w:r>
      <w:r>
        <w:rPr>
          <w:rFonts w:ascii="Arial" w:hAnsi="Arial"/>
          <w:i/>
          <w:spacing w:val="-2"/>
          <w:sz w:val="20"/>
        </w:rPr>
        <w:t>354–355</w:t>
      </w:r>
      <w:r>
        <w:rPr>
          <w:spacing w:val="-2"/>
          <w:sz w:val="20"/>
        </w:rPr>
        <w:t>.</w:t>
      </w:r>
    </w:p>
    <w:p>
      <w:pPr>
        <w:pStyle w:val="BodyText"/>
        <w:spacing w:before="9"/>
      </w:pPr>
    </w:p>
    <w:p>
      <w:pPr>
        <w:spacing w:line="235" w:lineRule="auto" w:before="0"/>
        <w:ind w:left="705" w:right="168" w:hanging="541"/>
        <w:jc w:val="both"/>
        <w:rPr>
          <w:sz w:val="20"/>
        </w:rPr>
      </w:pPr>
      <w:bookmarkStart w:name="_bookmark1257" w:id="1259"/>
      <w:bookmarkEnd w:id="1259"/>
      <w:r>
        <w:rPr/>
      </w:r>
      <w:hyperlink w:history="true" w:anchor="_bookmark1169">
        <w:r>
          <w:rPr>
            <w:color w:val="005DA1"/>
            <w:position w:val="5"/>
            <w:sz w:val="14"/>
            <w:u w:val="single" w:color="005DA1"/>
          </w:rPr>
          <w:t>619</w:t>
        </w:r>
      </w:hyperlink>
      <w:r>
        <w:rPr>
          <w:position w:val="5"/>
          <w:sz w:val="14"/>
        </w:rPr>
        <w:t>.</w:t>
      </w:r>
      <w:r>
        <w:rPr>
          <w:spacing w:val="40"/>
          <w:position w:val="5"/>
          <w:sz w:val="14"/>
        </w:rPr>
        <w:t>  </w:t>
      </w:r>
      <w:r>
        <w:rPr>
          <w:sz w:val="20"/>
        </w:rPr>
        <w:t>It has been said that in the Sale of Goods Act 1979 s.53(2) represents the first limb of </w:t>
      </w:r>
      <w:r>
        <w:rPr>
          <w:rFonts w:ascii="Arial" w:hAnsi="Arial"/>
          <w:i/>
          <w:sz w:val="20"/>
        </w:rPr>
        <w:t>Hadley v Baxendale </w:t>
      </w:r>
      <w:r>
        <w:rPr>
          <w:sz w:val="20"/>
        </w:rPr>
        <w:t>and s.54 the second: </w:t>
      </w:r>
      <w:r>
        <w:rPr>
          <w:rFonts w:ascii="Arial" w:hAnsi="Arial"/>
          <w:i/>
          <w:sz w:val="20"/>
        </w:rPr>
        <w:t>Saipol SA v Inerco Trade SA [2014] EWHC 2211 </w:t>
      </w:r>
      <w:r>
        <w:rPr>
          <w:rFonts w:ascii="Arial" w:hAnsi="Arial"/>
          <w:i/>
          <w:sz w:val="20"/>
        </w:rPr>
        <w:t>(Comm), [2015] 1 Lloyd’s Rep. 26 </w:t>
      </w:r>
      <w:r>
        <w:rPr>
          <w:sz w:val="20"/>
        </w:rPr>
        <w:t>at [14].</w:t>
      </w:r>
    </w:p>
    <w:p>
      <w:pPr>
        <w:pStyle w:val="BodyText"/>
        <w:spacing w:before="9"/>
      </w:pPr>
    </w:p>
    <w:p>
      <w:pPr>
        <w:tabs>
          <w:tab w:pos="705" w:val="left" w:leader="none"/>
        </w:tabs>
        <w:spacing w:line="235" w:lineRule="auto" w:before="0"/>
        <w:ind w:left="705" w:right="174" w:hanging="541"/>
        <w:jc w:val="left"/>
        <w:rPr>
          <w:rFonts w:ascii="Arial" w:hAnsi="Arial"/>
          <w:i/>
          <w:sz w:val="20"/>
        </w:rPr>
      </w:pPr>
      <w:bookmarkStart w:name="_bookmark1258" w:id="1260"/>
      <w:bookmarkEnd w:id="1260"/>
      <w:r>
        <w:rPr/>
      </w:r>
      <w:hyperlink w:history="true" w:anchor="_bookmark1170">
        <w:r>
          <w:rPr>
            <w:color w:val="005DA1"/>
            <w:spacing w:val="-4"/>
            <w:position w:val="5"/>
            <w:sz w:val="14"/>
            <w:u w:val="single" w:color="005DA1"/>
          </w:rPr>
          <w:t>620</w:t>
        </w:r>
      </w:hyperlink>
      <w:r>
        <w:rPr>
          <w:spacing w:val="-4"/>
          <w:position w:val="5"/>
          <w:sz w:val="14"/>
        </w:rPr>
        <w:t>.</w:t>
      </w:r>
      <w:r>
        <w:rPr>
          <w:position w:val="5"/>
          <w:sz w:val="14"/>
        </w:rPr>
        <w:tab/>
      </w:r>
      <w:r>
        <w:rPr>
          <w:rFonts w:ascii="Arial" w:hAnsi="Arial"/>
          <w:i/>
          <w:sz w:val="20"/>
        </w:rPr>
        <w:t>[1949] 2 K.B. 528</w:t>
      </w:r>
      <w:r>
        <w:rPr>
          <w:sz w:val="20"/>
        </w:rPr>
        <w:t>. (Some of the propositions in this case were cited with approval in </w:t>
      </w:r>
      <w:r>
        <w:rPr>
          <w:rFonts w:ascii="Arial" w:hAnsi="Arial"/>
          <w:i/>
          <w:sz w:val="20"/>
        </w:rPr>
        <w:t>East </w:t>
      </w:r>
      <w:r>
        <w:rPr>
          <w:rFonts w:ascii="Arial" w:hAnsi="Arial"/>
          <w:i/>
          <w:sz w:val="20"/>
        </w:rPr>
        <w:t>Ham Corp v Bernard Sunley &amp; Sons Ltd [1966] A.C. 406, 440, 445, 450–451.)</w:t>
      </w:r>
    </w:p>
    <w:p>
      <w:pPr>
        <w:pStyle w:val="BodyText"/>
        <w:spacing w:before="9"/>
        <w:rPr>
          <w:rFonts w:ascii="Arial"/>
          <w:i/>
        </w:rPr>
      </w:pPr>
    </w:p>
    <w:p>
      <w:pPr>
        <w:spacing w:line="235" w:lineRule="auto" w:before="0"/>
        <w:ind w:left="705" w:right="168" w:hanging="541"/>
        <w:jc w:val="both"/>
        <w:rPr>
          <w:sz w:val="20"/>
        </w:rPr>
      </w:pPr>
      <w:bookmarkStart w:name="_bookmark1259" w:id="1261"/>
      <w:bookmarkEnd w:id="1261"/>
      <w:r>
        <w:rPr/>
      </w:r>
      <w:hyperlink w:history="true" w:anchor="_bookmark1171">
        <w:r>
          <w:rPr>
            <w:color w:val="005DA1"/>
            <w:position w:val="5"/>
            <w:sz w:val="14"/>
            <w:u w:val="single" w:color="005DA1"/>
          </w:rPr>
          <w:t>621</w:t>
        </w:r>
      </w:hyperlink>
      <w:r>
        <w:rPr>
          <w:position w:val="5"/>
          <w:sz w:val="14"/>
        </w:rPr>
        <w:t>.</w:t>
      </w:r>
      <w:r>
        <w:rPr>
          <w:spacing w:val="80"/>
          <w:w w:val="150"/>
          <w:position w:val="5"/>
          <w:sz w:val="14"/>
        </w:rPr>
        <w:t> </w:t>
      </w:r>
      <w:r>
        <w:rPr>
          <w:rFonts w:ascii="Arial" w:hAnsi="Arial"/>
          <w:i/>
          <w:sz w:val="20"/>
        </w:rPr>
        <w:t>[1969] 1 A.C. 350</w:t>
      </w:r>
      <w:r>
        <w:rPr>
          <w:sz w:val="20"/>
        </w:rPr>
        <w:t>. The Court of Appeal has further considered these principles in </w:t>
      </w:r>
      <w:r>
        <w:rPr>
          <w:rFonts w:ascii="Arial" w:hAnsi="Arial"/>
          <w:i/>
          <w:sz w:val="20"/>
        </w:rPr>
        <w:t>H. </w:t>
      </w:r>
      <w:r>
        <w:rPr>
          <w:rFonts w:ascii="Arial" w:hAnsi="Arial"/>
          <w:i/>
          <w:sz w:val="20"/>
        </w:rPr>
        <w:t>Parsons (Livestock)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Uttley</w:t>
      </w:r>
      <w:r>
        <w:rPr>
          <w:rFonts w:ascii="Arial" w:hAnsi="Arial"/>
          <w:i/>
          <w:spacing w:val="-2"/>
          <w:sz w:val="20"/>
        </w:rPr>
        <w:t> </w:t>
      </w:r>
      <w:r>
        <w:rPr>
          <w:rFonts w:ascii="Arial" w:hAnsi="Arial"/>
          <w:i/>
          <w:sz w:val="20"/>
        </w:rPr>
        <w:t>Ingham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791</w:t>
      </w:r>
      <w:r>
        <w:rPr>
          <w:sz w:val="20"/>
        </w:rPr>
        <w:t>.</w:t>
      </w:r>
      <w:r>
        <w:rPr>
          <w:spacing w:val="-2"/>
          <w:sz w:val="20"/>
        </w:rPr>
        <w:t> </w:t>
      </w:r>
      <w:r>
        <w:rPr>
          <w:sz w:val="20"/>
        </w:rPr>
        <w:t>(The</w:t>
      </w:r>
      <w:r>
        <w:rPr>
          <w:spacing w:val="-2"/>
          <w:sz w:val="20"/>
        </w:rPr>
        <w:t> </w:t>
      </w:r>
      <w:r>
        <w:rPr>
          <w:sz w:val="20"/>
        </w:rPr>
        <w:t>two</w:t>
      </w:r>
      <w:r>
        <w:rPr>
          <w:spacing w:val="-2"/>
          <w:sz w:val="20"/>
        </w:rPr>
        <w:t> </w:t>
      </w:r>
      <w:r>
        <w:rPr>
          <w:sz w:val="20"/>
        </w:rPr>
        <w:t>cases</w:t>
      </w:r>
      <w:r>
        <w:rPr>
          <w:spacing w:val="-2"/>
          <w:sz w:val="20"/>
        </w:rPr>
        <w:t> </w:t>
      </w:r>
      <w:r>
        <w:rPr>
          <w:sz w:val="20"/>
        </w:rPr>
        <w:t>cited</w:t>
      </w:r>
      <w:r>
        <w:rPr>
          <w:spacing w:val="-2"/>
          <w:sz w:val="20"/>
        </w:rPr>
        <w:t> </w:t>
      </w:r>
      <w:r>
        <w:rPr>
          <w:sz w:val="20"/>
        </w:rPr>
        <w:t>in</w:t>
      </w:r>
      <w:r>
        <w:rPr>
          <w:spacing w:val="-2"/>
          <w:sz w:val="20"/>
        </w:rPr>
        <w:t> </w:t>
      </w:r>
      <w:r>
        <w:rPr>
          <w:sz w:val="20"/>
        </w:rPr>
        <w:t>the</w:t>
      </w:r>
      <w:r>
        <w:rPr>
          <w:spacing w:val="-2"/>
          <w:sz w:val="20"/>
        </w:rPr>
        <w:t> </w:t>
      </w:r>
      <w:r>
        <w:rPr>
          <w:sz w:val="20"/>
        </w:rPr>
        <w:t>text</w:t>
      </w:r>
      <w:r>
        <w:rPr>
          <w:spacing w:val="-2"/>
          <w:sz w:val="20"/>
        </w:rPr>
        <w:t> </w:t>
      </w:r>
      <w:r>
        <w:rPr>
          <w:sz w:val="20"/>
        </w:rPr>
        <w:t>at</w:t>
      </w:r>
      <w:r>
        <w:rPr>
          <w:spacing w:val="-2"/>
          <w:sz w:val="20"/>
        </w:rPr>
        <w:t> </w:t>
      </w:r>
      <w:r>
        <w:rPr>
          <w:sz w:val="20"/>
        </w:rPr>
        <w:t>the beginning of this paragraph are not limited in their application to loss of profits:</w:t>
      </w:r>
      <w:r>
        <w:rPr>
          <w:spacing w:val="-1"/>
          <w:sz w:val="20"/>
        </w:rPr>
        <w:t> </w:t>
      </w:r>
      <w:r>
        <w:rPr>
          <w:rFonts w:ascii="Arial" w:hAnsi="Arial"/>
          <w:i/>
          <w:sz w:val="20"/>
        </w:rPr>
        <w:t>[1978] Q.B. 791, 804–805, 805–806, 813. cf</w:t>
      </w:r>
      <w:r>
        <w:rPr>
          <w:sz w:val="20"/>
        </w:rPr>
        <w:t>. at 802–804.)</w:t>
      </w:r>
    </w:p>
    <w:p>
      <w:pPr>
        <w:pStyle w:val="BodyText"/>
        <w:spacing w:before="9"/>
      </w:pPr>
    </w:p>
    <w:p>
      <w:pPr>
        <w:spacing w:line="235" w:lineRule="auto" w:before="0"/>
        <w:ind w:left="705" w:right="167" w:hanging="541"/>
        <w:jc w:val="both"/>
        <w:rPr>
          <w:sz w:val="20"/>
        </w:rPr>
      </w:pPr>
      <w:bookmarkStart w:name="_bookmark1260" w:id="1262"/>
      <w:bookmarkEnd w:id="1262"/>
      <w:r>
        <w:rPr/>
      </w:r>
      <w:hyperlink w:history="true" w:anchor="_bookmark1172">
        <w:r>
          <w:rPr>
            <w:color w:val="005DA1"/>
            <w:position w:val="5"/>
            <w:sz w:val="14"/>
            <w:u w:val="single" w:color="005DA1"/>
          </w:rPr>
          <w:t>622</w:t>
        </w:r>
      </w:hyperlink>
      <w:r>
        <w:rPr>
          <w:position w:val="5"/>
          <w:sz w:val="14"/>
        </w:rPr>
        <w:t>.</w:t>
      </w:r>
      <w:r>
        <w:rPr>
          <w:spacing w:val="40"/>
          <w:position w:val="5"/>
          <w:sz w:val="14"/>
        </w:rPr>
        <w:t>  </w:t>
      </w:r>
      <w:r>
        <w:rPr>
          <w:sz w:val="20"/>
        </w:rPr>
        <w:t>This sentence was quoted with approval by Stuart-Smith L.J. in </w:t>
      </w:r>
      <w:r>
        <w:rPr>
          <w:rFonts w:ascii="Arial" w:hAnsi="Arial"/>
          <w:i/>
          <w:sz w:val="20"/>
        </w:rPr>
        <w:t>Brown v K.M.R. Services Ltd [1995] 4 All E.R. 598, 621 </w:t>
      </w:r>
      <w:r>
        <w:rPr>
          <w:sz w:val="20"/>
        </w:rPr>
        <w:t>(see also at 642–643). cf. the summary of Scarman L.J. in </w:t>
      </w:r>
      <w:r>
        <w:rPr>
          <w:rFonts w:ascii="Arial" w:hAnsi="Arial"/>
          <w:i/>
          <w:sz w:val="20"/>
        </w:rPr>
        <w:t>H.</w:t>
      </w:r>
      <w:r>
        <w:rPr>
          <w:rFonts w:ascii="Arial" w:hAnsi="Arial"/>
          <w:i/>
          <w:spacing w:val="40"/>
          <w:sz w:val="20"/>
        </w:rPr>
        <w:t> </w:t>
      </w:r>
      <w:r>
        <w:rPr>
          <w:rFonts w:ascii="Arial" w:hAnsi="Arial"/>
          <w:i/>
          <w:sz w:val="20"/>
        </w:rPr>
        <w:t>Parsons (Livestock) Ltd v Uttley Ingham &amp; Co Ltd [1978] Q.B. 791, 807 </w:t>
      </w:r>
      <w:r>
        <w:rPr>
          <w:sz w:val="20"/>
        </w:rPr>
        <w:t>(“The court’s task … is to decide what loss to the plaintiff it is reasonable to suppose would have been in the contemplation of the parties as a serious possibility had they had in mind the breach when </w:t>
      </w:r>
      <w:r>
        <w:rPr>
          <w:sz w:val="20"/>
        </w:rPr>
        <w:t>they made their contract”). The test is not one of “directness”: </w:t>
      </w:r>
      <w:r>
        <w:rPr>
          <w:rFonts w:ascii="Arial" w:hAnsi="Arial"/>
          <w:i/>
          <w:sz w:val="20"/>
        </w:rPr>
        <w:t>Ogilvie Builders Ltd v Glasgow City</w:t>
      </w:r>
      <w:r>
        <w:rPr>
          <w:rFonts w:ascii="Arial" w:hAnsi="Arial"/>
          <w:i/>
          <w:spacing w:val="40"/>
          <w:sz w:val="20"/>
        </w:rPr>
        <w:t> </w:t>
      </w:r>
      <w:r>
        <w:rPr>
          <w:rFonts w:ascii="Arial" w:hAnsi="Arial"/>
          <w:i/>
          <w:sz w:val="20"/>
        </w:rPr>
        <w:t>DC (1995) S.L.T. 15</w:t>
      </w:r>
      <w:r>
        <w:rPr>
          <w:sz w:val="20"/>
        </w:rPr>
        <w:t>. As to the judicial discretion involved in applying the test for remoteness, see Cooke [1978] C.L.J. 288. On the time when the test is applied, see </w:t>
      </w:r>
      <w:r>
        <w:rPr>
          <w:rFonts w:ascii="Arial" w:hAnsi="Arial"/>
          <w:i/>
          <w:sz w:val="20"/>
        </w:rPr>
        <w:t>Jackson v Bank of Scotland [2005] UKHL 3, [2005] 1 W.L.R. 377 </w:t>
      </w:r>
      <w:r>
        <w:rPr>
          <w:sz w:val="20"/>
        </w:rPr>
        <w:t>at [35]–[36].</w:t>
      </w:r>
    </w:p>
    <w:p>
      <w:pPr>
        <w:pStyle w:val="BodyText"/>
        <w:spacing w:before="6"/>
      </w:pPr>
    </w:p>
    <w:p>
      <w:pPr>
        <w:tabs>
          <w:tab w:pos="705" w:val="left" w:leader="none"/>
        </w:tabs>
        <w:spacing w:line="235" w:lineRule="auto" w:before="0"/>
        <w:ind w:left="705" w:right="167" w:hanging="541"/>
        <w:jc w:val="left"/>
        <w:rPr>
          <w:sz w:val="20"/>
        </w:rPr>
      </w:pPr>
      <w:bookmarkStart w:name="_bookmark1261" w:id="1263"/>
      <w:bookmarkEnd w:id="1263"/>
      <w:r>
        <w:rPr/>
      </w:r>
      <w:hyperlink w:history="true" w:anchor="_bookmark1173">
        <w:r>
          <w:rPr>
            <w:color w:val="005DA1"/>
            <w:spacing w:val="-4"/>
            <w:position w:val="5"/>
            <w:sz w:val="14"/>
            <w:u w:val="single" w:color="005DA1"/>
          </w:rPr>
          <w:t>623</w:t>
        </w:r>
      </w:hyperlink>
      <w:r>
        <w:rPr>
          <w:spacing w:val="-4"/>
          <w:position w:val="5"/>
          <w:sz w:val="14"/>
        </w:rPr>
        <w:t>.</w:t>
      </w:r>
      <w:r>
        <w:rPr>
          <w:position w:val="5"/>
          <w:sz w:val="14"/>
        </w:rPr>
        <w:tab/>
      </w:r>
      <w:r>
        <w:rPr>
          <w:sz w:val="20"/>
        </w:rPr>
        <w:t>See</w:t>
      </w:r>
      <w:r>
        <w:rPr>
          <w:spacing w:val="20"/>
          <w:sz w:val="20"/>
        </w:rPr>
        <w:t> </w:t>
      </w:r>
      <w:r>
        <w:rPr>
          <w:sz w:val="20"/>
        </w:rPr>
        <w:t>below,</w:t>
      </w:r>
      <w:r>
        <w:rPr>
          <w:spacing w:val="20"/>
          <w:sz w:val="20"/>
        </w:rPr>
        <w:t> </w:t>
      </w:r>
      <w:r>
        <w:rPr>
          <w:sz w:val="20"/>
        </w:rPr>
        <w:t>paras</w:t>
      </w:r>
      <w:r>
        <w:rPr>
          <w:spacing w:val="20"/>
          <w:sz w:val="20"/>
        </w:rPr>
        <w:t> </w:t>
      </w:r>
      <w:r>
        <w:rPr>
          <w:sz w:val="20"/>
        </w:rPr>
        <w:t>26-126</w:t>
      </w:r>
      <w:r>
        <w:rPr>
          <w:spacing w:val="20"/>
          <w:sz w:val="20"/>
        </w:rPr>
        <w:t> </w:t>
      </w:r>
      <w:r>
        <w:rPr>
          <w:sz w:val="20"/>
        </w:rPr>
        <w:t>et</w:t>
      </w:r>
      <w:r>
        <w:rPr>
          <w:spacing w:val="20"/>
          <w:sz w:val="20"/>
        </w:rPr>
        <w:t> </w:t>
      </w:r>
      <w:r>
        <w:rPr>
          <w:sz w:val="20"/>
        </w:rPr>
        <w:t>seq.</w:t>
      </w:r>
      <w:r>
        <w:rPr>
          <w:spacing w:val="20"/>
          <w:sz w:val="20"/>
        </w:rPr>
        <w:t> </w:t>
      </w:r>
      <w:r>
        <w:rPr>
          <w:sz w:val="20"/>
        </w:rPr>
        <w:t>Thus</w:t>
      </w:r>
      <w:r>
        <w:rPr>
          <w:spacing w:val="20"/>
          <w:sz w:val="20"/>
        </w:rPr>
        <w:t> </w:t>
      </w:r>
      <w:r>
        <w:rPr>
          <w:sz w:val="20"/>
        </w:rPr>
        <w:t>in</w:t>
      </w:r>
      <w:r>
        <w:rPr>
          <w:spacing w:val="19"/>
          <w:sz w:val="20"/>
        </w:rPr>
        <w:t> </w:t>
      </w:r>
      <w:r>
        <w:rPr>
          <w:rFonts w:ascii="Arial"/>
          <w:i/>
          <w:sz w:val="20"/>
        </w:rPr>
        <w:t>Pindell</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AirAsia</w:t>
      </w:r>
      <w:r>
        <w:rPr>
          <w:rFonts w:ascii="Arial"/>
          <w:i/>
          <w:spacing w:val="20"/>
          <w:sz w:val="20"/>
        </w:rPr>
        <w:t> </w:t>
      </w:r>
      <w:r>
        <w:rPr>
          <w:rFonts w:ascii="Arial"/>
          <w:i/>
          <w:sz w:val="20"/>
        </w:rPr>
        <w:t>Berhad</w:t>
      </w:r>
      <w:r>
        <w:rPr>
          <w:rFonts w:ascii="Arial"/>
          <w:i/>
          <w:spacing w:val="20"/>
          <w:sz w:val="20"/>
        </w:rPr>
        <w:t> </w:t>
      </w:r>
      <w:r>
        <w:rPr>
          <w:rFonts w:ascii="Arial"/>
          <w:i/>
          <w:sz w:val="20"/>
        </w:rPr>
        <w:t>(formerly</w:t>
      </w:r>
      <w:r>
        <w:rPr>
          <w:rFonts w:ascii="Arial"/>
          <w:i/>
          <w:spacing w:val="20"/>
          <w:sz w:val="20"/>
        </w:rPr>
        <w:t> </w:t>
      </w:r>
      <w:r>
        <w:rPr>
          <w:rFonts w:ascii="Arial"/>
          <w:i/>
          <w:sz w:val="20"/>
        </w:rPr>
        <w:t>AirAsia</w:t>
      </w:r>
      <w:r>
        <w:rPr>
          <w:rFonts w:ascii="Arial"/>
          <w:i/>
          <w:spacing w:val="20"/>
          <w:sz w:val="20"/>
        </w:rPr>
        <w:t> </w:t>
      </w:r>
      <w:r>
        <w:rPr>
          <w:rFonts w:ascii="Arial"/>
          <w:i/>
          <w:sz w:val="20"/>
        </w:rPr>
        <w:t>SDN BHD)</w:t>
      </w:r>
      <w:r>
        <w:rPr>
          <w:rFonts w:ascii="Arial"/>
          <w:i/>
          <w:spacing w:val="16"/>
          <w:sz w:val="20"/>
        </w:rPr>
        <w:t> </w:t>
      </w:r>
      <w:r>
        <w:rPr>
          <w:rFonts w:ascii="Arial"/>
          <w:i/>
          <w:sz w:val="20"/>
        </w:rPr>
        <w:t>[2010]</w:t>
      </w:r>
      <w:r>
        <w:rPr>
          <w:rFonts w:ascii="Arial"/>
          <w:i/>
          <w:spacing w:val="18"/>
          <w:sz w:val="20"/>
        </w:rPr>
        <w:t> </w:t>
      </w:r>
      <w:r>
        <w:rPr>
          <w:rFonts w:ascii="Arial"/>
          <w:i/>
          <w:sz w:val="20"/>
        </w:rPr>
        <w:t>EWHC</w:t>
      </w:r>
      <w:r>
        <w:rPr>
          <w:rFonts w:ascii="Arial"/>
          <w:i/>
          <w:spacing w:val="18"/>
          <w:sz w:val="20"/>
        </w:rPr>
        <w:t> </w:t>
      </w:r>
      <w:r>
        <w:rPr>
          <w:rFonts w:ascii="Arial"/>
          <w:i/>
          <w:sz w:val="20"/>
        </w:rPr>
        <w:t>2516</w:t>
      </w:r>
      <w:r>
        <w:rPr>
          <w:rFonts w:ascii="Arial"/>
          <w:i/>
          <w:spacing w:val="18"/>
          <w:sz w:val="20"/>
        </w:rPr>
        <w:t> </w:t>
      </w:r>
      <w:r>
        <w:rPr>
          <w:rFonts w:ascii="Arial"/>
          <w:i/>
          <w:sz w:val="20"/>
        </w:rPr>
        <w:t>(Comm)</w:t>
      </w:r>
      <w:r>
        <w:rPr>
          <w:rFonts w:ascii="Arial"/>
          <w:i/>
          <w:spacing w:val="17"/>
          <w:sz w:val="20"/>
        </w:rPr>
        <w:t> </w:t>
      </w:r>
      <w:r>
        <w:rPr>
          <w:sz w:val="20"/>
        </w:rPr>
        <w:t>a</w:t>
      </w:r>
      <w:r>
        <w:rPr>
          <w:spacing w:val="18"/>
          <w:sz w:val="20"/>
        </w:rPr>
        <w:t> </w:t>
      </w:r>
      <w:r>
        <w:rPr>
          <w:sz w:val="20"/>
        </w:rPr>
        <w:t>leased</w:t>
      </w:r>
      <w:r>
        <w:rPr>
          <w:spacing w:val="18"/>
          <w:sz w:val="20"/>
        </w:rPr>
        <w:t> </w:t>
      </w:r>
      <w:r>
        <w:rPr>
          <w:sz w:val="20"/>
        </w:rPr>
        <w:t>aircraft</w:t>
      </w:r>
      <w:r>
        <w:rPr>
          <w:spacing w:val="18"/>
          <w:sz w:val="20"/>
        </w:rPr>
        <w:t> </w:t>
      </w:r>
      <w:r>
        <w:rPr>
          <w:sz w:val="20"/>
        </w:rPr>
        <w:t>was</w:t>
      </w:r>
      <w:r>
        <w:rPr>
          <w:spacing w:val="18"/>
          <w:sz w:val="20"/>
        </w:rPr>
        <w:t> </w:t>
      </w:r>
      <w:r>
        <w:rPr>
          <w:sz w:val="20"/>
        </w:rPr>
        <w:t>redelivered</w:t>
      </w:r>
      <w:r>
        <w:rPr>
          <w:spacing w:val="18"/>
          <w:sz w:val="20"/>
        </w:rPr>
        <w:t> </w:t>
      </w:r>
      <w:r>
        <w:rPr>
          <w:sz w:val="20"/>
        </w:rPr>
        <w:t>late</w:t>
      </w:r>
      <w:r>
        <w:rPr>
          <w:spacing w:val="18"/>
          <w:sz w:val="20"/>
        </w:rPr>
        <w:t> </w:t>
      </w:r>
      <w:r>
        <w:rPr>
          <w:sz w:val="20"/>
        </w:rPr>
        <w:t>and</w:t>
      </w:r>
      <w:r>
        <w:rPr>
          <w:spacing w:val="18"/>
          <w:sz w:val="20"/>
        </w:rPr>
        <w:t> </w:t>
      </w:r>
      <w:r>
        <w:rPr>
          <w:sz w:val="20"/>
        </w:rPr>
        <w:t>the</w:t>
      </w:r>
      <w:r>
        <w:rPr>
          <w:spacing w:val="18"/>
          <w:sz w:val="20"/>
        </w:rPr>
        <w:t> </w:t>
      </w:r>
      <w:r>
        <w:rPr>
          <w:sz w:val="20"/>
        </w:rPr>
        <w:t>lessor</w:t>
      </w:r>
      <w:r>
        <w:rPr>
          <w:spacing w:val="18"/>
          <w:sz w:val="20"/>
        </w:rPr>
        <w:t> </w:t>
      </w:r>
      <w:r>
        <w:rPr>
          <w:sz w:val="20"/>
        </w:rPr>
        <w:t>lost</w:t>
      </w:r>
      <w:r>
        <w:rPr>
          <w:spacing w:val="18"/>
          <w:sz w:val="20"/>
        </w:rPr>
        <w:t> </w:t>
      </w:r>
      <w:r>
        <w:rPr>
          <w:spacing w:val="-10"/>
          <w:sz w:val="20"/>
        </w:rPr>
        <w:t>a</w:t>
      </w:r>
    </w:p>
    <w:p>
      <w:pPr>
        <w:spacing w:after="0" w:line="235" w:lineRule="auto"/>
        <w:jc w:val="left"/>
        <w:rPr>
          <w:sz w:val="20"/>
        </w:rPr>
        <w:sectPr>
          <w:pgSz w:w="11900" w:h="16840"/>
          <w:pgMar w:header="971" w:footer="0" w:top="1300" w:bottom="280" w:left="1275" w:right="1275"/>
        </w:sectPr>
      </w:pPr>
    </w:p>
    <w:p>
      <w:pPr>
        <w:pStyle w:val="BodyText"/>
        <w:spacing w:line="235" w:lineRule="auto" w:before="110"/>
        <w:ind w:left="705" w:right="167"/>
        <w:jc w:val="both"/>
      </w:pPr>
      <w:r>
        <w:rPr/>
        <w:t>contract to sell the aircraft. It was held that it was not sufficiently likely that a 20-year-old aircraft would be sold on terms that gave such a short window for delivery for the lessees to be liable</w:t>
      </w:r>
      <w:r>
        <w:rPr>
          <w:spacing w:val="40"/>
        </w:rPr>
        <w:t> </w:t>
      </w:r>
      <w:r>
        <w:rPr/>
        <w:t>for loss of the sale, but in any event this was not a type of loss for which the lessees assumed responsibility (at [87]).</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262" w:id="1264"/>
      <w:bookmarkEnd w:id="1264"/>
      <w:r>
        <w:rPr/>
      </w:r>
      <w:hyperlink w:history="true" w:anchor="_bookmark1174">
        <w:r>
          <w:rPr>
            <w:color w:val="005DA1"/>
            <w:spacing w:val="-4"/>
            <w:position w:val="5"/>
            <w:sz w:val="14"/>
            <w:u w:val="single" w:color="005DA1"/>
          </w:rPr>
          <w:t>624</w:t>
        </w:r>
      </w:hyperlink>
      <w:r>
        <w:rPr>
          <w:spacing w:val="-4"/>
          <w:position w:val="5"/>
          <w:sz w:val="14"/>
        </w:rPr>
        <w:t>.</w:t>
      </w:r>
      <w:r>
        <w:rPr>
          <w:position w:val="5"/>
          <w:sz w:val="14"/>
        </w:rPr>
        <w:tab/>
      </w:r>
      <w:r>
        <w:rPr>
          <w:rFonts w:ascii="Arial"/>
          <w:i/>
          <w:sz w:val="20"/>
        </w:rPr>
        <w:t>Hadley</w:t>
      </w:r>
      <w:r>
        <w:rPr>
          <w:rFonts w:ascii="Arial"/>
          <w:i/>
          <w:spacing w:val="67"/>
          <w:sz w:val="20"/>
        </w:rPr>
        <w:t> </w:t>
      </w:r>
      <w:r>
        <w:rPr>
          <w:rFonts w:ascii="Arial"/>
          <w:i/>
          <w:sz w:val="20"/>
        </w:rPr>
        <w:t>v</w:t>
      </w:r>
      <w:r>
        <w:rPr>
          <w:rFonts w:ascii="Arial"/>
          <w:i/>
          <w:spacing w:val="68"/>
          <w:sz w:val="20"/>
        </w:rPr>
        <w:t> </w:t>
      </w:r>
      <w:r>
        <w:rPr>
          <w:rFonts w:ascii="Arial"/>
          <w:i/>
          <w:sz w:val="20"/>
        </w:rPr>
        <w:t>Baxendale</w:t>
      </w:r>
      <w:r>
        <w:rPr>
          <w:rFonts w:ascii="Arial"/>
          <w:i/>
          <w:spacing w:val="68"/>
          <w:sz w:val="20"/>
        </w:rPr>
        <w:t> </w:t>
      </w:r>
      <w:r>
        <w:rPr>
          <w:rFonts w:ascii="Arial"/>
          <w:i/>
          <w:sz w:val="20"/>
        </w:rPr>
        <w:t>(1854)</w:t>
      </w:r>
      <w:r>
        <w:rPr>
          <w:rFonts w:ascii="Arial"/>
          <w:i/>
          <w:spacing w:val="68"/>
          <w:sz w:val="20"/>
        </w:rPr>
        <w:t> </w:t>
      </w:r>
      <w:r>
        <w:rPr>
          <w:rFonts w:ascii="Arial"/>
          <w:i/>
          <w:sz w:val="20"/>
        </w:rPr>
        <w:t>9</w:t>
      </w:r>
      <w:r>
        <w:rPr>
          <w:rFonts w:ascii="Arial"/>
          <w:i/>
          <w:spacing w:val="68"/>
          <w:sz w:val="20"/>
        </w:rPr>
        <w:t> </w:t>
      </w:r>
      <w:r>
        <w:rPr>
          <w:rFonts w:ascii="Arial"/>
          <w:i/>
          <w:sz w:val="20"/>
        </w:rPr>
        <w:t>Ex.</w:t>
      </w:r>
      <w:r>
        <w:rPr>
          <w:rFonts w:ascii="Arial"/>
          <w:i/>
          <w:spacing w:val="68"/>
          <w:sz w:val="20"/>
        </w:rPr>
        <w:t> </w:t>
      </w:r>
      <w:r>
        <w:rPr>
          <w:rFonts w:ascii="Arial"/>
          <w:i/>
          <w:sz w:val="20"/>
        </w:rPr>
        <w:t>341,</w:t>
      </w:r>
      <w:r>
        <w:rPr>
          <w:rFonts w:ascii="Arial"/>
          <w:i/>
          <w:spacing w:val="68"/>
          <w:sz w:val="20"/>
        </w:rPr>
        <w:t> </w:t>
      </w:r>
      <w:r>
        <w:rPr>
          <w:rFonts w:ascii="Arial"/>
          <w:i/>
          <w:sz w:val="20"/>
        </w:rPr>
        <w:t>354</w:t>
      </w:r>
      <w:r>
        <w:rPr>
          <w:sz w:val="20"/>
        </w:rPr>
        <w:t>;</w:t>
      </w:r>
      <w:r>
        <w:rPr>
          <w:spacing w:val="69"/>
          <w:sz w:val="20"/>
        </w:rPr>
        <w:t> </w:t>
      </w:r>
      <w:r>
        <w:rPr>
          <w:rFonts w:ascii="Arial"/>
          <w:i/>
          <w:sz w:val="20"/>
        </w:rPr>
        <w:t>Victoria</w:t>
      </w:r>
      <w:r>
        <w:rPr>
          <w:rFonts w:ascii="Arial"/>
          <w:i/>
          <w:spacing w:val="68"/>
          <w:sz w:val="20"/>
        </w:rPr>
        <w:t> </w:t>
      </w:r>
      <w:r>
        <w:rPr>
          <w:rFonts w:ascii="Arial"/>
          <w:i/>
          <w:sz w:val="20"/>
        </w:rPr>
        <w:t>Laundry</w:t>
      </w:r>
      <w:r>
        <w:rPr>
          <w:rFonts w:ascii="Arial"/>
          <w:i/>
          <w:spacing w:val="68"/>
          <w:sz w:val="20"/>
        </w:rPr>
        <w:t> </w:t>
      </w:r>
      <w:r>
        <w:rPr>
          <w:rFonts w:ascii="Arial"/>
          <w:i/>
          <w:sz w:val="20"/>
        </w:rPr>
        <w:t>(Windsor)</w:t>
      </w:r>
      <w:r>
        <w:rPr>
          <w:rFonts w:ascii="Arial"/>
          <w:i/>
          <w:spacing w:val="68"/>
          <w:sz w:val="20"/>
        </w:rPr>
        <w:t> </w:t>
      </w:r>
      <w:r>
        <w:rPr>
          <w:rFonts w:ascii="Arial"/>
          <w:i/>
          <w:sz w:val="20"/>
        </w:rPr>
        <w:t>Ltd</w:t>
      </w:r>
      <w:r>
        <w:rPr>
          <w:rFonts w:ascii="Arial"/>
          <w:i/>
          <w:spacing w:val="68"/>
          <w:sz w:val="20"/>
        </w:rPr>
        <w:t> </w:t>
      </w:r>
      <w:r>
        <w:rPr>
          <w:rFonts w:ascii="Arial"/>
          <w:i/>
          <w:sz w:val="20"/>
        </w:rPr>
        <w:t>v</w:t>
      </w:r>
      <w:r>
        <w:rPr>
          <w:rFonts w:ascii="Arial"/>
          <w:i/>
          <w:spacing w:val="68"/>
          <w:sz w:val="20"/>
        </w:rPr>
        <w:t> </w:t>
      </w:r>
      <w:r>
        <w:rPr>
          <w:rFonts w:ascii="Arial"/>
          <w:i/>
          <w:spacing w:val="-2"/>
          <w:sz w:val="20"/>
        </w:rPr>
        <w:t>Newman</w:t>
      </w:r>
    </w:p>
    <w:p>
      <w:pPr>
        <w:spacing w:line="225" w:lineRule="exact" w:before="0"/>
        <w:ind w:left="0" w:right="168" w:firstLine="0"/>
        <w:jc w:val="right"/>
        <w:rPr>
          <w:rFonts w:ascii="Arial"/>
          <w:i/>
          <w:sz w:val="20"/>
        </w:rPr>
      </w:pPr>
      <w:r>
        <w:rPr>
          <w:rFonts w:ascii="Arial"/>
          <w:i/>
          <w:sz w:val="20"/>
        </w:rPr>
        <w:t>Industries</w:t>
      </w:r>
      <w:r>
        <w:rPr>
          <w:rFonts w:ascii="Arial"/>
          <w:i/>
          <w:spacing w:val="27"/>
          <w:sz w:val="20"/>
        </w:rPr>
        <w:t> </w:t>
      </w:r>
      <w:r>
        <w:rPr>
          <w:rFonts w:ascii="Arial"/>
          <w:i/>
          <w:sz w:val="20"/>
        </w:rPr>
        <w:t>Ltd</w:t>
      </w:r>
      <w:r>
        <w:rPr>
          <w:rFonts w:ascii="Arial"/>
          <w:i/>
          <w:spacing w:val="28"/>
          <w:sz w:val="20"/>
        </w:rPr>
        <w:t> </w:t>
      </w:r>
      <w:r>
        <w:rPr>
          <w:rFonts w:ascii="Arial"/>
          <w:i/>
          <w:sz w:val="20"/>
        </w:rPr>
        <w:t>[1949]</w:t>
      </w:r>
      <w:r>
        <w:rPr>
          <w:rFonts w:ascii="Arial"/>
          <w:i/>
          <w:spacing w:val="28"/>
          <w:sz w:val="20"/>
        </w:rPr>
        <w:t> </w:t>
      </w:r>
      <w:r>
        <w:rPr>
          <w:rFonts w:ascii="Arial"/>
          <w:i/>
          <w:sz w:val="20"/>
        </w:rPr>
        <w:t>2</w:t>
      </w:r>
      <w:r>
        <w:rPr>
          <w:rFonts w:ascii="Arial"/>
          <w:i/>
          <w:spacing w:val="28"/>
          <w:sz w:val="20"/>
        </w:rPr>
        <w:t> </w:t>
      </w:r>
      <w:r>
        <w:rPr>
          <w:rFonts w:ascii="Arial"/>
          <w:i/>
          <w:sz w:val="20"/>
        </w:rPr>
        <w:t>K.B.</w:t>
      </w:r>
      <w:r>
        <w:rPr>
          <w:rFonts w:ascii="Arial"/>
          <w:i/>
          <w:spacing w:val="28"/>
          <w:sz w:val="20"/>
        </w:rPr>
        <w:t> </w:t>
      </w:r>
      <w:r>
        <w:rPr>
          <w:rFonts w:ascii="Arial"/>
          <w:i/>
          <w:sz w:val="20"/>
        </w:rPr>
        <w:t>528,</w:t>
      </w:r>
      <w:r>
        <w:rPr>
          <w:rFonts w:ascii="Arial"/>
          <w:i/>
          <w:spacing w:val="28"/>
          <w:sz w:val="20"/>
        </w:rPr>
        <w:t> </w:t>
      </w:r>
      <w:r>
        <w:rPr>
          <w:rFonts w:ascii="Arial"/>
          <w:i/>
          <w:sz w:val="20"/>
        </w:rPr>
        <w:t>539</w:t>
      </w:r>
      <w:r>
        <w:rPr>
          <w:sz w:val="20"/>
        </w:rPr>
        <w:t>;</w:t>
      </w:r>
      <w:r>
        <w:rPr>
          <w:spacing w:val="28"/>
          <w:sz w:val="20"/>
        </w:rPr>
        <w:t> </w:t>
      </w:r>
      <w:r>
        <w:rPr>
          <w:rFonts w:ascii="Arial"/>
          <w:i/>
          <w:sz w:val="20"/>
        </w:rPr>
        <w:t>Jackson</w:t>
      </w:r>
      <w:r>
        <w:rPr>
          <w:rFonts w:ascii="Arial"/>
          <w:i/>
          <w:spacing w:val="28"/>
          <w:sz w:val="20"/>
        </w:rPr>
        <w:t> </w:t>
      </w:r>
      <w:r>
        <w:rPr>
          <w:rFonts w:ascii="Arial"/>
          <w:i/>
          <w:sz w:val="20"/>
        </w:rPr>
        <w:t>v</w:t>
      </w:r>
      <w:r>
        <w:rPr>
          <w:rFonts w:ascii="Arial"/>
          <w:i/>
          <w:spacing w:val="28"/>
          <w:sz w:val="20"/>
        </w:rPr>
        <w:t> </w:t>
      </w:r>
      <w:r>
        <w:rPr>
          <w:rFonts w:ascii="Arial"/>
          <w:i/>
          <w:sz w:val="20"/>
        </w:rPr>
        <w:t>Bank</w:t>
      </w:r>
      <w:r>
        <w:rPr>
          <w:rFonts w:ascii="Arial"/>
          <w:i/>
          <w:spacing w:val="28"/>
          <w:sz w:val="20"/>
        </w:rPr>
        <w:t> </w:t>
      </w:r>
      <w:r>
        <w:rPr>
          <w:rFonts w:ascii="Arial"/>
          <w:i/>
          <w:sz w:val="20"/>
        </w:rPr>
        <w:t>of</w:t>
      </w:r>
      <w:r>
        <w:rPr>
          <w:rFonts w:ascii="Arial"/>
          <w:i/>
          <w:spacing w:val="28"/>
          <w:sz w:val="20"/>
        </w:rPr>
        <w:t> </w:t>
      </w:r>
      <w:r>
        <w:rPr>
          <w:rFonts w:ascii="Arial"/>
          <w:i/>
          <w:sz w:val="20"/>
        </w:rPr>
        <w:t>Scotland</w:t>
      </w:r>
      <w:r>
        <w:rPr>
          <w:rFonts w:ascii="Arial"/>
          <w:i/>
          <w:spacing w:val="28"/>
          <w:sz w:val="20"/>
        </w:rPr>
        <w:t> </w:t>
      </w:r>
      <w:r>
        <w:rPr>
          <w:rFonts w:ascii="Arial"/>
          <w:i/>
          <w:sz w:val="20"/>
        </w:rPr>
        <w:t>[2005]</w:t>
      </w:r>
      <w:r>
        <w:rPr>
          <w:rFonts w:ascii="Arial"/>
          <w:i/>
          <w:spacing w:val="28"/>
          <w:sz w:val="20"/>
        </w:rPr>
        <w:t> </w:t>
      </w:r>
      <w:r>
        <w:rPr>
          <w:rFonts w:ascii="Arial"/>
          <w:i/>
          <w:sz w:val="20"/>
        </w:rPr>
        <w:t>UKHL</w:t>
      </w:r>
      <w:r>
        <w:rPr>
          <w:rFonts w:ascii="Arial"/>
          <w:i/>
          <w:spacing w:val="28"/>
          <w:sz w:val="20"/>
        </w:rPr>
        <w:t> </w:t>
      </w:r>
      <w:r>
        <w:rPr>
          <w:rFonts w:ascii="Arial"/>
          <w:i/>
          <w:sz w:val="20"/>
        </w:rPr>
        <w:t>3,</w:t>
      </w:r>
      <w:r>
        <w:rPr>
          <w:rFonts w:ascii="Arial"/>
          <w:i/>
          <w:spacing w:val="28"/>
          <w:sz w:val="20"/>
        </w:rPr>
        <w:t> </w:t>
      </w:r>
      <w:r>
        <w:rPr>
          <w:rFonts w:ascii="Arial"/>
          <w:i/>
          <w:sz w:val="20"/>
        </w:rPr>
        <w:t>[2005]</w:t>
      </w:r>
      <w:r>
        <w:rPr>
          <w:rFonts w:ascii="Arial"/>
          <w:i/>
          <w:spacing w:val="28"/>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W.L.R. 377 </w:t>
      </w:r>
      <w:r>
        <w:rPr>
          <w:sz w:val="20"/>
        </w:rPr>
        <w:t>at </w:t>
      </w:r>
      <w:r>
        <w:rPr>
          <w:spacing w:val="-2"/>
          <w:sz w:val="20"/>
        </w:rPr>
        <w:t>[35]–[36].</w:t>
      </w:r>
    </w:p>
    <w:p>
      <w:pPr>
        <w:pStyle w:val="BodyText"/>
        <w:spacing w:before="5"/>
      </w:pPr>
    </w:p>
    <w:p>
      <w:pPr>
        <w:tabs>
          <w:tab w:pos="705" w:val="left" w:leader="none"/>
        </w:tabs>
        <w:spacing w:before="0"/>
        <w:ind w:left="165" w:right="0" w:firstLine="0"/>
        <w:jc w:val="left"/>
        <w:rPr>
          <w:sz w:val="20"/>
        </w:rPr>
      </w:pPr>
      <w:bookmarkStart w:name="_bookmark1263" w:id="1265"/>
      <w:bookmarkEnd w:id="1265"/>
      <w:r>
        <w:rPr/>
      </w:r>
      <w:hyperlink w:history="true" w:anchor="_bookmark1175">
        <w:r>
          <w:rPr>
            <w:color w:val="005DA1"/>
            <w:spacing w:val="-4"/>
            <w:position w:val="5"/>
            <w:sz w:val="14"/>
            <w:u w:val="single" w:color="005DA1"/>
          </w:rPr>
          <w:t>625</w:t>
        </w:r>
      </w:hyperlink>
      <w:r>
        <w:rPr>
          <w:spacing w:val="-4"/>
          <w:position w:val="5"/>
          <w:sz w:val="14"/>
        </w:rPr>
        <w:t>.</w:t>
      </w:r>
      <w:r>
        <w:rPr>
          <w:position w:val="5"/>
          <w:sz w:val="14"/>
        </w:rPr>
        <w:tab/>
      </w:r>
      <w:r>
        <w:rPr>
          <w:rFonts w:ascii="Arial"/>
          <w:i/>
          <w:sz w:val="20"/>
        </w:rPr>
        <w:t>Victoria Laundry (Windsor) Ltd v Newman Industries Ltd [1949] 2 K.B. </w:t>
      </w:r>
      <w:r>
        <w:rPr>
          <w:rFonts w:ascii="Arial"/>
          <w:i/>
          <w:spacing w:val="-4"/>
          <w:sz w:val="20"/>
        </w:rPr>
        <w:t>528</w:t>
      </w:r>
      <w:r>
        <w:rPr>
          <w:spacing w:val="-4"/>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1264" w:id="1266"/>
      <w:bookmarkEnd w:id="1266"/>
      <w:r>
        <w:rPr/>
      </w:r>
      <w:hyperlink w:history="true" w:anchor="_bookmark1176">
        <w:r>
          <w:rPr>
            <w:color w:val="005DA1"/>
            <w:spacing w:val="-4"/>
            <w:position w:val="5"/>
            <w:sz w:val="14"/>
            <w:u w:val="single" w:color="005DA1"/>
          </w:rPr>
          <w:t>626</w:t>
        </w:r>
      </w:hyperlink>
      <w:r>
        <w:rPr>
          <w:spacing w:val="-4"/>
          <w:position w:val="5"/>
          <w:sz w:val="14"/>
        </w:rPr>
        <w:t>.</w:t>
      </w:r>
      <w:r>
        <w:rPr>
          <w:position w:val="5"/>
          <w:sz w:val="14"/>
        </w:rPr>
        <w:tab/>
      </w:r>
      <w:r>
        <w:rPr>
          <w:rFonts w:ascii="Arial" w:hAnsi="Arial"/>
          <w:i/>
          <w:sz w:val="20"/>
        </w:rPr>
        <w:t>[1949] 2 K.B. 528, 539–540 </w:t>
      </w:r>
      <w:r>
        <w:rPr>
          <w:sz w:val="20"/>
        </w:rPr>
        <w:t>(propositions (1), (5) and (6) are omitted for reasons of space). For the facts in the case, see below, para.26-135.</w:t>
      </w:r>
    </w:p>
    <w:p>
      <w:pPr>
        <w:pStyle w:val="BodyText"/>
        <w:spacing w:before="5"/>
      </w:pPr>
    </w:p>
    <w:p>
      <w:pPr>
        <w:tabs>
          <w:tab w:pos="705" w:val="left" w:leader="none"/>
        </w:tabs>
        <w:spacing w:before="0"/>
        <w:ind w:left="165" w:right="0" w:firstLine="0"/>
        <w:jc w:val="left"/>
        <w:rPr>
          <w:sz w:val="20"/>
        </w:rPr>
      </w:pPr>
      <w:bookmarkStart w:name="_bookmark1265" w:id="1267"/>
      <w:bookmarkEnd w:id="1267"/>
      <w:r>
        <w:rPr/>
      </w:r>
      <w:hyperlink w:history="true" w:anchor="_bookmark1177">
        <w:r>
          <w:rPr>
            <w:color w:val="005DA1"/>
            <w:spacing w:val="-4"/>
            <w:position w:val="5"/>
            <w:sz w:val="14"/>
            <w:u w:val="single" w:color="005DA1"/>
          </w:rPr>
          <w:t>627</w:t>
        </w:r>
      </w:hyperlink>
      <w:r>
        <w:rPr>
          <w:spacing w:val="-4"/>
          <w:position w:val="5"/>
          <w:sz w:val="14"/>
        </w:rPr>
        <w:t>.</w:t>
      </w:r>
      <w:r>
        <w:rPr>
          <w:position w:val="5"/>
          <w:sz w:val="14"/>
        </w:rPr>
        <w:tab/>
      </w:r>
      <w:r>
        <w:rPr>
          <w:rFonts w:ascii="Arial"/>
          <w:i/>
          <w:sz w:val="20"/>
        </w:rPr>
        <w:t>[1969]</w:t>
      </w:r>
      <w:r>
        <w:rPr>
          <w:rFonts w:ascii="Arial"/>
          <w:i/>
          <w:spacing w:val="-1"/>
          <w:sz w:val="20"/>
        </w:rPr>
        <w:t> </w:t>
      </w:r>
      <w:r>
        <w:rPr>
          <w:rFonts w:ascii="Arial"/>
          <w:i/>
          <w:sz w:val="20"/>
        </w:rPr>
        <w:t>1 A.C. 350</w:t>
      </w:r>
      <w:r>
        <w:rPr>
          <w:sz w:val="20"/>
        </w:rPr>
        <w:t>. For the facts see below, para.26-</w:t>
      </w:r>
      <w:r>
        <w:rPr>
          <w:spacing w:val="-4"/>
          <w:sz w:val="20"/>
        </w:rPr>
        <w:t>163.</w:t>
      </w:r>
    </w:p>
    <w:p>
      <w:pPr>
        <w:pStyle w:val="BodyText"/>
        <w:spacing w:before="9"/>
      </w:pPr>
    </w:p>
    <w:p>
      <w:pPr>
        <w:tabs>
          <w:tab w:pos="705" w:val="left" w:leader="none"/>
        </w:tabs>
        <w:spacing w:line="235" w:lineRule="auto" w:before="0"/>
        <w:ind w:left="705" w:right="168" w:hanging="541"/>
        <w:jc w:val="left"/>
        <w:rPr>
          <w:sz w:val="20"/>
        </w:rPr>
      </w:pPr>
      <w:bookmarkStart w:name="_bookmark1266" w:id="1268"/>
      <w:bookmarkEnd w:id="1268"/>
      <w:r>
        <w:rPr/>
      </w:r>
      <w:hyperlink w:history="true" w:anchor="_bookmark1178">
        <w:r>
          <w:rPr>
            <w:color w:val="005DA1"/>
            <w:spacing w:val="-4"/>
            <w:position w:val="5"/>
            <w:sz w:val="14"/>
            <w:u w:val="single" w:color="005DA1"/>
          </w:rPr>
          <w:t>628</w:t>
        </w:r>
      </w:hyperlink>
      <w:r>
        <w:rPr>
          <w:spacing w:val="-4"/>
          <w:position w:val="5"/>
          <w:sz w:val="14"/>
        </w:rPr>
        <w:t>.</w:t>
      </w:r>
      <w:r>
        <w:rPr>
          <w:position w:val="5"/>
          <w:sz w:val="14"/>
        </w:rPr>
        <w:tab/>
      </w:r>
      <w:r>
        <w:rPr>
          <w:rFonts w:ascii="Arial" w:hAnsi="Arial"/>
          <w:i/>
          <w:sz w:val="20"/>
        </w:rPr>
        <w:t>[1969]</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A.C.</w:t>
      </w:r>
      <w:r>
        <w:rPr>
          <w:rFonts w:ascii="Arial" w:hAnsi="Arial"/>
          <w:i/>
          <w:spacing w:val="28"/>
          <w:sz w:val="20"/>
        </w:rPr>
        <w:t> </w:t>
      </w:r>
      <w:r>
        <w:rPr>
          <w:rFonts w:ascii="Arial" w:hAnsi="Arial"/>
          <w:i/>
          <w:sz w:val="20"/>
        </w:rPr>
        <w:t>350,</w:t>
      </w:r>
      <w:r>
        <w:rPr>
          <w:rFonts w:ascii="Arial" w:hAnsi="Arial"/>
          <w:i/>
          <w:spacing w:val="28"/>
          <w:sz w:val="20"/>
        </w:rPr>
        <w:t> </w:t>
      </w:r>
      <w:r>
        <w:rPr>
          <w:rFonts w:ascii="Arial" w:hAnsi="Arial"/>
          <w:i/>
          <w:sz w:val="20"/>
        </w:rPr>
        <w:t>399</w:t>
      </w:r>
      <w:r>
        <w:rPr>
          <w:rFonts w:ascii="Arial" w:hAnsi="Arial"/>
          <w:i/>
          <w:spacing w:val="28"/>
          <w:sz w:val="20"/>
        </w:rPr>
        <w:t> </w:t>
      </w:r>
      <w:r>
        <w:rPr>
          <w:sz w:val="20"/>
        </w:rPr>
        <w:t>(Lord</w:t>
      </w:r>
      <w:r>
        <w:rPr>
          <w:spacing w:val="28"/>
          <w:sz w:val="20"/>
        </w:rPr>
        <w:t> </w:t>
      </w:r>
      <w:r>
        <w:rPr>
          <w:sz w:val="20"/>
        </w:rPr>
        <w:t>Morris),</w:t>
      </w:r>
      <w:r>
        <w:rPr>
          <w:spacing w:val="28"/>
          <w:sz w:val="20"/>
        </w:rPr>
        <w:t> </w:t>
      </w:r>
      <w:r>
        <w:rPr>
          <w:sz w:val="20"/>
        </w:rPr>
        <w:t>410–411</w:t>
      </w:r>
      <w:r>
        <w:rPr>
          <w:spacing w:val="28"/>
          <w:sz w:val="20"/>
        </w:rPr>
        <w:t> </w:t>
      </w:r>
      <w:r>
        <w:rPr>
          <w:sz w:val="20"/>
        </w:rPr>
        <w:t>(Lord</w:t>
      </w:r>
      <w:r>
        <w:rPr>
          <w:spacing w:val="28"/>
          <w:sz w:val="20"/>
        </w:rPr>
        <w:t> </w:t>
      </w:r>
      <w:r>
        <w:rPr>
          <w:sz w:val="20"/>
        </w:rPr>
        <w:t>Hodson),</w:t>
      </w:r>
      <w:r>
        <w:rPr>
          <w:spacing w:val="28"/>
          <w:sz w:val="20"/>
        </w:rPr>
        <w:t> </w:t>
      </w:r>
      <w:r>
        <w:rPr>
          <w:sz w:val="20"/>
        </w:rPr>
        <w:t>414–417</w:t>
      </w:r>
      <w:r>
        <w:rPr>
          <w:spacing w:val="28"/>
          <w:sz w:val="20"/>
        </w:rPr>
        <w:t> </w:t>
      </w:r>
      <w:r>
        <w:rPr>
          <w:sz w:val="20"/>
        </w:rPr>
        <w:t>(Lord</w:t>
      </w:r>
      <w:r>
        <w:rPr>
          <w:spacing w:val="28"/>
          <w:sz w:val="20"/>
        </w:rPr>
        <w:t> </w:t>
      </w:r>
      <w:r>
        <w:rPr>
          <w:sz w:val="20"/>
        </w:rPr>
        <w:t>Pearce).</w:t>
      </w:r>
      <w:r>
        <w:rPr>
          <w:spacing w:val="28"/>
          <w:sz w:val="20"/>
        </w:rPr>
        <w:t> </w:t>
      </w:r>
      <w:r>
        <w:rPr>
          <w:sz w:val="20"/>
        </w:rPr>
        <w:t>(But Lord Reid, at 388–391, rejected parts of the </w:t>
      </w:r>
      <w:r>
        <w:rPr>
          <w:rFonts w:ascii="Arial" w:hAnsi="Arial"/>
          <w:i/>
          <w:sz w:val="20"/>
        </w:rPr>
        <w:t>Victoria Laundry [1949] 2 K.B. 528 </w:t>
      </w:r>
      <w:r>
        <w:rPr>
          <w:sz w:val="20"/>
        </w:rPr>
        <w:t>propositions.)</w:t>
      </w:r>
    </w:p>
    <w:p>
      <w:pPr>
        <w:pStyle w:val="BodyText"/>
        <w:spacing w:before="5"/>
      </w:pPr>
    </w:p>
    <w:p>
      <w:pPr>
        <w:pStyle w:val="BodyText"/>
        <w:tabs>
          <w:tab w:pos="705" w:val="left" w:leader="none"/>
        </w:tabs>
        <w:spacing w:before="1"/>
        <w:ind w:left="165"/>
      </w:pPr>
      <w:bookmarkStart w:name="_bookmark1267" w:id="1269"/>
      <w:bookmarkEnd w:id="1269"/>
      <w:r>
        <w:rPr/>
      </w:r>
      <w:hyperlink w:history="true" w:anchor="_bookmark1178">
        <w:r>
          <w:rPr>
            <w:color w:val="005DA1"/>
            <w:spacing w:val="-4"/>
            <w:position w:val="5"/>
            <w:sz w:val="14"/>
            <w:u w:val="single" w:color="005DA1"/>
          </w:rPr>
          <w:t>629</w:t>
        </w:r>
      </w:hyperlink>
      <w:r>
        <w:rPr>
          <w:spacing w:val="-4"/>
          <w:position w:val="5"/>
          <w:sz w:val="14"/>
        </w:rPr>
        <w:t>.</w:t>
      </w:r>
      <w:r>
        <w:rPr>
          <w:position w:val="5"/>
          <w:sz w:val="14"/>
        </w:rPr>
        <w:tab/>
      </w:r>
      <w:r>
        <w:rPr/>
        <w:t>See</w:t>
      </w:r>
      <w:r>
        <w:rPr>
          <w:spacing w:val="-2"/>
        </w:rPr>
        <w:t> </w:t>
      </w:r>
      <w:r>
        <w:rPr/>
        <w:t>below, para.26-</w:t>
      </w:r>
      <w:r>
        <w:rPr>
          <w:spacing w:val="-4"/>
        </w:rPr>
        <w:t>118.</w:t>
      </w:r>
    </w:p>
    <w:p>
      <w:pPr>
        <w:pStyle w:val="BodyText"/>
        <w:spacing w:before="4"/>
      </w:pPr>
    </w:p>
    <w:p>
      <w:pPr>
        <w:tabs>
          <w:tab w:pos="705" w:val="left" w:leader="none"/>
        </w:tabs>
        <w:spacing w:before="1"/>
        <w:ind w:left="165" w:right="0" w:firstLine="0"/>
        <w:jc w:val="left"/>
        <w:rPr>
          <w:sz w:val="20"/>
        </w:rPr>
      </w:pPr>
      <w:bookmarkStart w:name="_bookmark1268" w:id="1270"/>
      <w:bookmarkEnd w:id="1270"/>
      <w:r>
        <w:rPr/>
      </w:r>
      <w:hyperlink w:history="true" w:anchor="_bookmark1178">
        <w:r>
          <w:rPr>
            <w:color w:val="005DA1"/>
            <w:spacing w:val="-4"/>
            <w:position w:val="5"/>
            <w:sz w:val="14"/>
            <w:u w:val="single" w:color="005DA1"/>
          </w:rPr>
          <w:t>630</w:t>
        </w:r>
      </w:hyperlink>
      <w:r>
        <w:rPr>
          <w:spacing w:val="-4"/>
          <w:position w:val="5"/>
          <w:sz w:val="14"/>
        </w:rPr>
        <w:t>.</w:t>
      </w:r>
      <w:r>
        <w:rPr>
          <w:position w:val="5"/>
          <w:sz w:val="14"/>
        </w:rPr>
        <w:tab/>
      </w:r>
      <w:r>
        <w:rPr>
          <w:rFonts w:ascii="Arial"/>
          <w:i/>
          <w:sz w:val="20"/>
        </w:rPr>
        <w:t>Victoria Laundry (Windsor) Ltd v Newman Industries Ltd [1949] 2 K.B. </w:t>
      </w:r>
      <w:r>
        <w:rPr>
          <w:rFonts w:ascii="Arial"/>
          <w:i/>
          <w:spacing w:val="-4"/>
          <w:sz w:val="20"/>
        </w:rPr>
        <w:t>528</w:t>
      </w:r>
      <w:r>
        <w:rPr>
          <w:spacing w:val="-4"/>
          <w:sz w:val="20"/>
        </w:rPr>
        <w:t>.</w:t>
      </w:r>
    </w:p>
    <w:p>
      <w:pPr>
        <w:pStyle w:val="BodyText"/>
        <w:spacing w:before="8"/>
      </w:pPr>
    </w:p>
    <w:p>
      <w:pPr>
        <w:spacing w:line="235" w:lineRule="auto" w:before="0"/>
        <w:ind w:left="705" w:right="168" w:hanging="541"/>
        <w:jc w:val="both"/>
        <w:rPr>
          <w:sz w:val="20"/>
        </w:rPr>
      </w:pPr>
      <w:bookmarkStart w:name="_bookmark1269" w:id="1271"/>
      <w:bookmarkEnd w:id="1271"/>
      <w:r>
        <w:rPr/>
      </w:r>
      <w:hyperlink w:history="true" w:anchor="_bookmark1179">
        <w:r>
          <w:rPr>
            <w:color w:val="005DA1"/>
            <w:position w:val="5"/>
            <w:sz w:val="14"/>
            <w:u w:val="single" w:color="005DA1"/>
          </w:rPr>
          <w:t>631</w:t>
        </w:r>
      </w:hyperlink>
      <w:r>
        <w:rPr>
          <w:position w:val="5"/>
          <w:sz w:val="14"/>
        </w:rPr>
        <w:t>.</w:t>
      </w:r>
      <w:r>
        <w:rPr>
          <w:spacing w:val="40"/>
          <w:position w:val="5"/>
          <w:sz w:val="14"/>
        </w:rPr>
        <w:t>  </w:t>
      </w:r>
      <w:r>
        <w:rPr>
          <w:sz w:val="20"/>
        </w:rPr>
        <w:t>Lord Hodson [1969] 1 A.C. 350, 411, also adopted the expression used in </w:t>
      </w:r>
      <w:r>
        <w:rPr>
          <w:rFonts w:ascii="Arial" w:hAnsi="Arial"/>
          <w:i/>
          <w:sz w:val="20"/>
        </w:rPr>
        <w:t>Hadley v </w:t>
      </w:r>
      <w:r>
        <w:rPr>
          <w:rFonts w:ascii="Arial" w:hAnsi="Arial"/>
          <w:i/>
          <w:sz w:val="20"/>
        </w:rPr>
        <w:t>Baxendale (1854) 9 Ex. 341</w:t>
      </w:r>
      <w:r>
        <w:rPr>
          <w:sz w:val="20"/>
        </w:rPr>
        <w:t>: “in the great multitude of cases”: </w:t>
      </w:r>
      <w:r>
        <w:rPr>
          <w:rFonts w:ascii="Arial" w:hAnsi="Arial"/>
          <w:i/>
          <w:sz w:val="20"/>
        </w:rPr>
        <w:t>(1854) 9 Ex. 341, 355, 356</w:t>
      </w:r>
      <w:r>
        <w:rPr>
          <w:sz w:val="20"/>
        </w:rPr>
        <w:t>. On the degree</w:t>
      </w:r>
      <w:r>
        <w:rPr>
          <w:spacing w:val="40"/>
          <w:sz w:val="20"/>
        </w:rPr>
        <w:t> </w:t>
      </w:r>
      <w:r>
        <w:rPr>
          <w:sz w:val="20"/>
        </w:rPr>
        <w:t>of probability see below, para.26-118.</w:t>
      </w:r>
    </w:p>
    <w:p>
      <w:pPr>
        <w:pStyle w:val="BodyText"/>
        <w:spacing w:before="9"/>
      </w:pPr>
    </w:p>
    <w:p>
      <w:pPr>
        <w:spacing w:line="235" w:lineRule="auto" w:before="0"/>
        <w:ind w:left="705" w:right="167" w:hanging="541"/>
        <w:jc w:val="both"/>
        <w:rPr>
          <w:sz w:val="20"/>
        </w:rPr>
      </w:pPr>
      <w:bookmarkStart w:name="_bookmark1270" w:id="1272"/>
      <w:bookmarkEnd w:id="1272"/>
      <w:r>
        <w:rPr/>
      </w:r>
      <w:hyperlink w:history="true" w:anchor="_bookmark1180">
        <w:r>
          <w:rPr>
            <w:color w:val="005DA1"/>
            <w:position w:val="5"/>
            <w:sz w:val="14"/>
            <w:u w:val="single" w:color="005DA1"/>
          </w:rPr>
          <w:t>632</w:t>
        </w:r>
      </w:hyperlink>
      <w:r>
        <w:rPr>
          <w:position w:val="5"/>
          <w:sz w:val="14"/>
        </w:rPr>
        <w:t>.</w:t>
      </w:r>
      <w:r>
        <w:rPr>
          <w:spacing w:val="80"/>
          <w:position w:val="5"/>
          <w:sz w:val="14"/>
        </w:rPr>
        <w:t> </w:t>
      </w:r>
      <w:r>
        <w:rPr>
          <w:rFonts w:ascii="Arial" w:hAnsi="Arial"/>
          <w:i/>
          <w:sz w:val="20"/>
        </w:rPr>
        <w:t>[1969] 1 A.C. 350, 384 </w:t>
      </w:r>
      <w:r>
        <w:rPr>
          <w:sz w:val="20"/>
        </w:rPr>
        <w:t>(see also at 385). Both Lords Reid and Upjohn criticised the words “foreseeable” or “reasonably foreseeable” in the </w:t>
      </w:r>
      <w:r>
        <w:rPr>
          <w:rFonts w:ascii="Arial" w:hAnsi="Arial"/>
          <w:i/>
          <w:sz w:val="20"/>
        </w:rPr>
        <w:t>Victoria Laundry [1949] 2 K.B. </w:t>
      </w:r>
      <w:r>
        <w:rPr>
          <w:rFonts w:ascii="Arial" w:hAnsi="Arial"/>
          <w:i/>
          <w:sz w:val="20"/>
        </w:rPr>
        <w:t>528 </w:t>
      </w:r>
      <w:r>
        <w:rPr>
          <w:sz w:val="20"/>
        </w:rPr>
        <w:t>formulations: </w:t>
      </w:r>
      <w:r>
        <w:rPr>
          <w:rFonts w:ascii="Arial" w:hAnsi="Arial"/>
          <w:i/>
          <w:sz w:val="20"/>
        </w:rPr>
        <w:t>[1969] 1 A.C. 350, 389, 422–423</w:t>
      </w:r>
      <w:r>
        <w:rPr>
          <w:sz w:val="20"/>
        </w:rPr>
        <w:t>; Lord Upjohn at 422–423, expressly preferred “contemplate” or “in contemplation” for cases in contract, and these are the words used by Lord Reid at 384–385.</w:t>
      </w:r>
    </w:p>
    <w:p>
      <w:pPr>
        <w:pStyle w:val="BodyText"/>
        <w:spacing w:before="4"/>
      </w:pPr>
    </w:p>
    <w:p>
      <w:pPr>
        <w:tabs>
          <w:tab w:pos="705" w:val="left" w:leader="none"/>
        </w:tabs>
        <w:spacing w:before="1"/>
        <w:ind w:left="165" w:right="0" w:firstLine="0"/>
        <w:jc w:val="left"/>
        <w:rPr>
          <w:sz w:val="20"/>
        </w:rPr>
      </w:pPr>
      <w:bookmarkStart w:name="_bookmark1271" w:id="1273"/>
      <w:bookmarkEnd w:id="1273"/>
      <w:r>
        <w:rPr/>
      </w:r>
      <w:hyperlink w:history="true" w:anchor="_bookmark1181">
        <w:r>
          <w:rPr>
            <w:color w:val="005DA1"/>
            <w:spacing w:val="-4"/>
            <w:position w:val="5"/>
            <w:sz w:val="14"/>
            <w:u w:val="single" w:color="005DA1"/>
          </w:rPr>
          <w:t>633</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385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2" w:id="1274"/>
      <w:bookmarkEnd w:id="1274"/>
      <w:r>
        <w:rPr/>
      </w:r>
      <w:hyperlink w:history="true" w:anchor="_bookmark1182">
        <w:r>
          <w:rPr>
            <w:color w:val="005DA1"/>
            <w:spacing w:val="-4"/>
            <w:position w:val="5"/>
            <w:sz w:val="14"/>
            <w:u w:val="single" w:color="005DA1"/>
          </w:rPr>
          <w:t>634</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424</w:t>
      </w:r>
      <w:r>
        <w:rPr>
          <w:spacing w:val="-4"/>
          <w:sz w:val="20"/>
        </w:rPr>
        <w:t>.</w:t>
      </w:r>
    </w:p>
    <w:p>
      <w:pPr>
        <w:pStyle w:val="BodyText"/>
        <w:spacing w:before="8"/>
      </w:pPr>
    </w:p>
    <w:p>
      <w:pPr>
        <w:spacing w:line="235" w:lineRule="auto" w:before="1"/>
        <w:ind w:left="705" w:right="167" w:hanging="541"/>
        <w:jc w:val="both"/>
        <w:rPr>
          <w:rFonts w:ascii="Arial"/>
          <w:i/>
          <w:sz w:val="20"/>
        </w:rPr>
      </w:pPr>
      <w:bookmarkStart w:name="_bookmark1273" w:id="1275"/>
      <w:bookmarkEnd w:id="1275"/>
      <w:r>
        <w:rPr/>
      </w:r>
      <w:hyperlink w:history="true" w:anchor="_bookmark1183">
        <w:r>
          <w:rPr>
            <w:color w:val="005DA1"/>
            <w:position w:val="5"/>
            <w:sz w:val="14"/>
            <w:u w:val="single" w:color="005DA1"/>
          </w:rPr>
          <w:t>635</w:t>
        </w:r>
      </w:hyperlink>
      <w:r>
        <w:rPr>
          <w:position w:val="5"/>
          <w:sz w:val="14"/>
        </w:rPr>
        <w:t>.</w:t>
      </w:r>
      <w:r>
        <w:rPr>
          <w:spacing w:val="80"/>
          <w:position w:val="5"/>
          <w:sz w:val="14"/>
        </w:rPr>
        <w:t>  </w:t>
      </w:r>
      <w:r>
        <w:rPr>
          <w:rFonts w:ascii="Arial"/>
          <w:i/>
          <w:sz w:val="20"/>
        </w:rPr>
        <w:t>Christopher</w:t>
      </w:r>
      <w:r>
        <w:rPr>
          <w:rFonts w:ascii="Arial"/>
          <w:i/>
          <w:spacing w:val="19"/>
          <w:sz w:val="20"/>
        </w:rPr>
        <w:t> </w:t>
      </w:r>
      <w:r>
        <w:rPr>
          <w:rFonts w:ascii="Arial"/>
          <w:i/>
          <w:sz w:val="20"/>
        </w:rPr>
        <w:t>Hill</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Ashington</w:t>
      </w:r>
      <w:r>
        <w:rPr>
          <w:rFonts w:ascii="Arial"/>
          <w:i/>
          <w:spacing w:val="19"/>
          <w:sz w:val="20"/>
        </w:rPr>
        <w:t> </w:t>
      </w:r>
      <w:r>
        <w:rPr>
          <w:rFonts w:ascii="Arial"/>
          <w:i/>
          <w:sz w:val="20"/>
        </w:rPr>
        <w:t>Piggeries</w:t>
      </w:r>
      <w:r>
        <w:rPr>
          <w:rFonts w:ascii="Arial"/>
          <w:i/>
          <w:spacing w:val="19"/>
          <w:sz w:val="20"/>
        </w:rPr>
        <w:t> </w:t>
      </w:r>
      <w:r>
        <w:rPr>
          <w:rFonts w:ascii="Arial"/>
          <w:i/>
          <w:sz w:val="20"/>
        </w:rPr>
        <w:t>Ltd</w:t>
      </w:r>
      <w:r>
        <w:rPr>
          <w:rFonts w:ascii="Arial"/>
          <w:i/>
          <w:spacing w:val="19"/>
          <w:sz w:val="20"/>
        </w:rPr>
        <w:t> </w:t>
      </w:r>
      <w:r>
        <w:rPr>
          <w:rFonts w:ascii="Arial"/>
          <w:i/>
          <w:sz w:val="20"/>
        </w:rPr>
        <w:t>[1969]</w:t>
      </w:r>
      <w:r>
        <w:rPr>
          <w:rFonts w:ascii="Arial"/>
          <w:i/>
          <w:spacing w:val="19"/>
          <w:sz w:val="20"/>
        </w:rPr>
        <w:t> </w:t>
      </w:r>
      <w:r>
        <w:rPr>
          <w:rFonts w:ascii="Arial"/>
          <w:i/>
          <w:sz w:val="20"/>
        </w:rPr>
        <w:t>3</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1496,</w:t>
      </w:r>
      <w:r>
        <w:rPr>
          <w:rFonts w:ascii="Arial"/>
          <w:i/>
          <w:spacing w:val="19"/>
          <w:sz w:val="20"/>
        </w:rPr>
        <w:t> </w:t>
      </w:r>
      <w:r>
        <w:rPr>
          <w:rFonts w:ascii="Arial"/>
          <w:i/>
          <w:sz w:val="20"/>
        </w:rPr>
        <w:t>1523</w:t>
      </w:r>
      <w:r>
        <w:rPr>
          <w:rFonts w:ascii="Arial"/>
          <w:i/>
          <w:spacing w:val="18"/>
          <w:sz w:val="20"/>
        </w:rPr>
        <w:t> </w:t>
      </w:r>
      <w:r>
        <w:rPr>
          <w:sz w:val="20"/>
        </w:rPr>
        <w:t>(Court</w:t>
      </w:r>
      <w:r>
        <w:rPr>
          <w:spacing w:val="19"/>
          <w:sz w:val="20"/>
        </w:rPr>
        <w:t> </w:t>
      </w:r>
      <w:r>
        <w:rPr>
          <w:sz w:val="20"/>
        </w:rPr>
        <w:t>of</w:t>
      </w:r>
      <w:r>
        <w:rPr>
          <w:spacing w:val="19"/>
          <w:sz w:val="20"/>
        </w:rPr>
        <w:t> </w:t>
      </w:r>
      <w:r>
        <w:rPr>
          <w:sz w:val="20"/>
        </w:rPr>
        <w:t>Appeal: the House of Lords [1972] A.C. 441 reversed the decision on other grounds, without discussing </w:t>
      </w:r>
      <w:r>
        <w:rPr>
          <w:rFonts w:ascii="Arial"/>
          <w:i/>
          <w:sz w:val="20"/>
        </w:rPr>
        <w:t>The</w:t>
      </w:r>
      <w:r>
        <w:rPr>
          <w:rFonts w:ascii="Arial"/>
          <w:i/>
          <w:spacing w:val="15"/>
          <w:sz w:val="20"/>
        </w:rPr>
        <w:t> </w:t>
      </w:r>
      <w:r>
        <w:rPr>
          <w:rFonts w:ascii="Arial"/>
          <w:i/>
          <w:sz w:val="20"/>
        </w:rPr>
        <w:t>Heron</w:t>
      </w:r>
      <w:r>
        <w:rPr>
          <w:rFonts w:ascii="Arial"/>
          <w:i/>
          <w:spacing w:val="16"/>
          <w:sz w:val="20"/>
        </w:rPr>
        <w:t> </w:t>
      </w:r>
      <w:r>
        <w:rPr>
          <w:rFonts w:ascii="Arial"/>
          <w:i/>
          <w:sz w:val="20"/>
        </w:rPr>
        <w:t>II</w:t>
      </w:r>
      <w:r>
        <w:rPr>
          <w:rFonts w:ascii="Arial"/>
          <w:i/>
          <w:spacing w:val="16"/>
          <w:sz w:val="20"/>
        </w:rPr>
        <w:t> </w:t>
      </w:r>
      <w:r>
        <w:rPr>
          <w:rFonts w:ascii="Arial"/>
          <w:i/>
          <w:sz w:val="20"/>
        </w:rPr>
        <w:t>[1969]</w:t>
      </w:r>
      <w:r>
        <w:rPr>
          <w:rFonts w:ascii="Arial"/>
          <w:i/>
          <w:spacing w:val="16"/>
          <w:sz w:val="20"/>
        </w:rPr>
        <w:t> </w:t>
      </w:r>
      <w:r>
        <w:rPr>
          <w:rFonts w:ascii="Arial"/>
          <w:i/>
          <w:sz w:val="20"/>
        </w:rPr>
        <w:t>1</w:t>
      </w:r>
      <w:r>
        <w:rPr>
          <w:rFonts w:ascii="Arial"/>
          <w:i/>
          <w:spacing w:val="16"/>
          <w:sz w:val="20"/>
        </w:rPr>
        <w:t> </w:t>
      </w:r>
      <w:r>
        <w:rPr>
          <w:rFonts w:ascii="Arial"/>
          <w:i/>
          <w:sz w:val="20"/>
        </w:rPr>
        <w:t>A.C.</w:t>
      </w:r>
      <w:r>
        <w:rPr>
          <w:rFonts w:ascii="Arial"/>
          <w:i/>
          <w:spacing w:val="16"/>
          <w:sz w:val="20"/>
        </w:rPr>
        <w:t> </w:t>
      </w:r>
      <w:r>
        <w:rPr>
          <w:rFonts w:ascii="Arial"/>
          <w:i/>
          <w:sz w:val="20"/>
        </w:rPr>
        <w:t>350</w:t>
      </w:r>
      <w:r>
        <w:rPr>
          <w:sz w:val="20"/>
        </w:rPr>
        <w:t>);</w:t>
      </w:r>
      <w:r>
        <w:rPr>
          <w:spacing w:val="16"/>
          <w:sz w:val="20"/>
        </w:rPr>
        <w:t> </w:t>
      </w:r>
      <w:r>
        <w:rPr>
          <w:rFonts w:ascii="Arial"/>
          <w:i/>
          <w:sz w:val="20"/>
        </w:rPr>
        <w:t>H.</w:t>
      </w:r>
      <w:r>
        <w:rPr>
          <w:rFonts w:ascii="Arial"/>
          <w:i/>
          <w:spacing w:val="16"/>
          <w:sz w:val="20"/>
        </w:rPr>
        <w:t> </w:t>
      </w:r>
      <w:r>
        <w:rPr>
          <w:rFonts w:ascii="Arial"/>
          <w:i/>
          <w:sz w:val="20"/>
        </w:rPr>
        <w:t>Parsons</w:t>
      </w:r>
      <w:r>
        <w:rPr>
          <w:rFonts w:ascii="Arial"/>
          <w:i/>
          <w:spacing w:val="16"/>
          <w:sz w:val="20"/>
        </w:rPr>
        <w:t> </w:t>
      </w:r>
      <w:r>
        <w:rPr>
          <w:rFonts w:ascii="Arial"/>
          <w:i/>
          <w:sz w:val="20"/>
        </w:rPr>
        <w:t>(Livestock)</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Uttley,</w:t>
      </w:r>
      <w:r>
        <w:rPr>
          <w:rFonts w:ascii="Arial"/>
          <w:i/>
          <w:spacing w:val="16"/>
          <w:sz w:val="20"/>
        </w:rPr>
        <w:t> </w:t>
      </w:r>
      <w:r>
        <w:rPr>
          <w:rFonts w:ascii="Arial"/>
          <w:i/>
          <w:sz w:val="20"/>
        </w:rPr>
        <w:t>Ingham</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pacing w:val="-2"/>
          <w:sz w:val="20"/>
        </w:rPr>
        <w:t>[1978]</w:t>
      </w:r>
    </w:p>
    <w:p>
      <w:pPr>
        <w:spacing w:line="225" w:lineRule="exact" w:before="0"/>
        <w:ind w:left="705" w:right="0" w:firstLine="0"/>
        <w:jc w:val="both"/>
        <w:rPr>
          <w:sz w:val="20"/>
        </w:rPr>
      </w:pPr>
      <w:r>
        <w:rPr>
          <w:rFonts w:ascii="Arial"/>
          <w:i/>
          <w:sz w:val="20"/>
        </w:rPr>
        <w:t>Q.B.</w:t>
      </w:r>
      <w:r>
        <w:rPr>
          <w:rFonts w:ascii="Arial"/>
          <w:i/>
          <w:spacing w:val="-2"/>
          <w:sz w:val="20"/>
        </w:rPr>
        <w:t> </w:t>
      </w:r>
      <w:r>
        <w:rPr>
          <w:rFonts w:ascii="Arial"/>
          <w:i/>
          <w:sz w:val="20"/>
        </w:rPr>
        <w:t>791, 802, </w:t>
      </w:r>
      <w:r>
        <w:rPr>
          <w:rFonts w:ascii="Arial"/>
          <w:i/>
          <w:spacing w:val="-4"/>
          <w:sz w:val="20"/>
        </w:rPr>
        <w:t>807</w:t>
      </w:r>
      <w:r>
        <w:rPr>
          <w:spacing w:val="-4"/>
          <w:sz w:val="20"/>
        </w:rPr>
        <w:t>.</w:t>
      </w:r>
    </w:p>
    <w:p>
      <w:pPr>
        <w:pStyle w:val="BodyText"/>
        <w:spacing w:before="8"/>
      </w:pPr>
    </w:p>
    <w:p>
      <w:pPr>
        <w:tabs>
          <w:tab w:pos="705" w:val="left" w:leader="none"/>
        </w:tabs>
        <w:spacing w:line="235" w:lineRule="auto" w:before="0"/>
        <w:ind w:left="705" w:right="174" w:hanging="541"/>
        <w:jc w:val="left"/>
        <w:rPr>
          <w:sz w:val="20"/>
        </w:rPr>
      </w:pPr>
      <w:bookmarkStart w:name="_bookmark1274" w:id="1276"/>
      <w:bookmarkEnd w:id="1276"/>
      <w:r>
        <w:rPr/>
      </w:r>
      <w:hyperlink w:history="true" w:anchor="_bookmark1184">
        <w:r>
          <w:rPr>
            <w:color w:val="005DA1"/>
            <w:spacing w:val="-4"/>
            <w:position w:val="5"/>
            <w:sz w:val="14"/>
            <w:u w:val="single" w:color="005DA1"/>
          </w:rPr>
          <w:t>636</w:t>
        </w:r>
      </w:hyperlink>
      <w:r>
        <w:rPr>
          <w:spacing w:val="-4"/>
          <w:position w:val="5"/>
          <w:sz w:val="14"/>
        </w:rPr>
        <w:t>.</w:t>
      </w:r>
      <w:r>
        <w:rPr>
          <w:position w:val="5"/>
          <w:sz w:val="14"/>
        </w:rPr>
        <w:tab/>
      </w:r>
      <w:r>
        <w:rPr>
          <w:sz w:val="20"/>
        </w:rPr>
        <w:t>This paragraph was quoted with approval by Stuart-Smith L.J. in </w:t>
      </w:r>
      <w:r>
        <w:rPr>
          <w:rFonts w:ascii="Arial"/>
          <w:i/>
          <w:sz w:val="20"/>
        </w:rPr>
        <w:t>Brown v K.M.R. Services Ltd [1995] 4 All E.R. 598, 621</w:t>
      </w:r>
      <w:r>
        <w:rPr>
          <w:sz w:val="20"/>
        </w:rPr>
        <w:t>.</w:t>
      </w:r>
    </w:p>
    <w:p>
      <w:pPr>
        <w:pStyle w:val="BodyText"/>
        <w:spacing w:before="9"/>
      </w:pPr>
    </w:p>
    <w:p>
      <w:pPr>
        <w:spacing w:line="235" w:lineRule="auto" w:before="1"/>
        <w:ind w:left="705" w:right="167" w:hanging="541"/>
        <w:jc w:val="both"/>
        <w:rPr>
          <w:rFonts w:ascii="Arial" w:hAnsi="Arial"/>
          <w:i/>
          <w:sz w:val="20"/>
        </w:rPr>
      </w:pPr>
      <w:bookmarkStart w:name="_bookmark1275" w:id="1277"/>
      <w:bookmarkEnd w:id="1277"/>
      <w:r>
        <w:rPr/>
      </w:r>
      <w:hyperlink w:history="true" w:anchor="_bookmark1185">
        <w:r>
          <w:rPr>
            <w:color w:val="005DA1"/>
            <w:position w:val="5"/>
            <w:sz w:val="14"/>
            <w:u w:val="single" w:color="005DA1"/>
          </w:rPr>
          <w:t>637</w:t>
        </w:r>
      </w:hyperlink>
      <w:r>
        <w:rPr>
          <w:position w:val="5"/>
          <w:sz w:val="14"/>
        </w:rPr>
        <w:t>.</w:t>
      </w:r>
      <w:r>
        <w:rPr>
          <w:spacing w:val="80"/>
          <w:position w:val="5"/>
          <w:sz w:val="14"/>
        </w:rPr>
        <w:t>  </w:t>
      </w:r>
      <w:r>
        <w:rPr>
          <w:sz w:val="20"/>
        </w:rPr>
        <w:t>In </w:t>
      </w:r>
      <w:r>
        <w:rPr>
          <w:rFonts w:ascii="Arial" w:hAnsi="Arial"/>
          <w:i/>
          <w:sz w:val="20"/>
        </w:rPr>
        <w:t>The Heron II [1969] 1 A.C. 350 </w:t>
      </w:r>
      <w:r>
        <w:rPr>
          <w:sz w:val="20"/>
        </w:rPr>
        <w:t>Lord Reid spoke of “type of damage” (at 385–386), “loss of </w:t>
      </w:r>
      <w:r>
        <w:rPr>
          <w:sz w:val="20"/>
        </w:rPr>
        <w:t>a kind which” (at 382, 383) and “type of loss” (at 385); while Lord Pearce spoke of “type of consequence”</w:t>
      </w:r>
      <w:r>
        <w:rPr>
          <w:spacing w:val="15"/>
          <w:sz w:val="20"/>
        </w:rPr>
        <w:t> </w:t>
      </w:r>
      <w:r>
        <w:rPr>
          <w:sz w:val="20"/>
        </w:rPr>
        <w:t>(at</w:t>
      </w:r>
      <w:r>
        <w:rPr>
          <w:spacing w:val="15"/>
          <w:sz w:val="20"/>
        </w:rPr>
        <w:t> </w:t>
      </w:r>
      <w:r>
        <w:rPr>
          <w:sz w:val="20"/>
        </w:rPr>
        <w:t>417).</w:t>
      </w:r>
      <w:r>
        <w:rPr>
          <w:spacing w:val="15"/>
          <w:sz w:val="20"/>
        </w:rPr>
        <w:t> </w:t>
      </w:r>
      <w:r>
        <w:rPr>
          <w:sz w:val="20"/>
        </w:rPr>
        <w:t>See</w:t>
      </w:r>
      <w:r>
        <w:rPr>
          <w:spacing w:val="15"/>
          <w:sz w:val="20"/>
        </w:rPr>
        <w:t> </w:t>
      </w:r>
      <w:r>
        <w:rPr>
          <w:sz w:val="20"/>
        </w:rPr>
        <w:t>also</w:t>
      </w:r>
      <w:r>
        <w:rPr>
          <w:spacing w:val="15"/>
          <w:sz w:val="20"/>
        </w:rPr>
        <w:t> </w:t>
      </w:r>
      <w:r>
        <w:rPr>
          <w:rFonts w:ascii="Arial" w:hAnsi="Arial"/>
          <w:i/>
          <w:sz w:val="20"/>
        </w:rPr>
        <w:t>H.</w:t>
      </w:r>
      <w:r>
        <w:rPr>
          <w:rFonts w:ascii="Arial" w:hAnsi="Arial"/>
          <w:i/>
          <w:spacing w:val="15"/>
          <w:sz w:val="20"/>
        </w:rPr>
        <w:t> </w:t>
      </w:r>
      <w:r>
        <w:rPr>
          <w:rFonts w:ascii="Arial" w:hAnsi="Arial"/>
          <w:i/>
          <w:sz w:val="20"/>
        </w:rPr>
        <w:t>Parsons</w:t>
      </w:r>
      <w:r>
        <w:rPr>
          <w:rFonts w:ascii="Arial" w:hAnsi="Arial"/>
          <w:i/>
          <w:spacing w:val="15"/>
          <w:sz w:val="20"/>
        </w:rPr>
        <w:t> </w:t>
      </w:r>
      <w:r>
        <w:rPr>
          <w:rFonts w:ascii="Arial" w:hAnsi="Arial"/>
          <w:i/>
          <w:sz w:val="20"/>
        </w:rPr>
        <w:t>(Livestock)</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Uttley,</w:t>
      </w:r>
      <w:r>
        <w:rPr>
          <w:rFonts w:ascii="Arial" w:hAnsi="Arial"/>
          <w:i/>
          <w:spacing w:val="15"/>
          <w:sz w:val="20"/>
        </w:rPr>
        <w:t> </w:t>
      </w:r>
      <w:r>
        <w:rPr>
          <w:rFonts w:ascii="Arial" w:hAnsi="Arial"/>
          <w:i/>
          <w:sz w:val="20"/>
        </w:rPr>
        <w:t>Ingham</w:t>
      </w:r>
      <w:r>
        <w:rPr>
          <w:rFonts w:ascii="Arial" w:hAnsi="Arial"/>
          <w:i/>
          <w:spacing w:val="15"/>
          <w:sz w:val="20"/>
        </w:rPr>
        <w:t> </w:t>
      </w:r>
      <w:r>
        <w:rPr>
          <w:rFonts w:ascii="Arial" w:hAnsi="Arial"/>
          <w:i/>
          <w:sz w:val="20"/>
        </w:rPr>
        <w:t>&amp;</w:t>
      </w:r>
      <w:r>
        <w:rPr>
          <w:rFonts w:ascii="Arial" w:hAnsi="Arial"/>
          <w:i/>
          <w:spacing w:val="15"/>
          <w:sz w:val="20"/>
        </w:rPr>
        <w:t> </w:t>
      </w:r>
      <w:r>
        <w:rPr>
          <w:rFonts w:ascii="Arial" w:hAnsi="Arial"/>
          <w:i/>
          <w:sz w:val="20"/>
        </w:rPr>
        <w:t>Co</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pacing w:val="-2"/>
          <w:sz w:val="20"/>
        </w:rPr>
        <w:t>[1978]</w:t>
      </w:r>
    </w:p>
    <w:p>
      <w:pPr>
        <w:spacing w:line="225" w:lineRule="exact" w:before="0"/>
        <w:ind w:left="705" w:right="0" w:firstLine="0"/>
        <w:jc w:val="left"/>
        <w:rPr>
          <w:sz w:val="20"/>
        </w:rPr>
      </w:pPr>
      <w:r>
        <w:rPr>
          <w:rFonts w:ascii="Arial"/>
          <w:i/>
          <w:sz w:val="20"/>
        </w:rPr>
        <w:t>Q.B. 791, 801, 805, 806, </w:t>
      </w:r>
      <w:r>
        <w:rPr>
          <w:rFonts w:ascii="Arial"/>
          <w:i/>
          <w:spacing w:val="-4"/>
          <w:sz w:val="20"/>
        </w:rPr>
        <w:t>813</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276" w:id="1278"/>
      <w:bookmarkEnd w:id="1278"/>
      <w:r>
        <w:rPr/>
      </w:r>
      <w:hyperlink w:history="true" w:anchor="_bookmark1186">
        <w:r>
          <w:rPr>
            <w:color w:val="005DA1"/>
            <w:spacing w:val="-4"/>
            <w:sz w:val="14"/>
            <w:u w:val="single" w:color="005DA1"/>
          </w:rPr>
          <w:t>638</w:t>
        </w:r>
      </w:hyperlink>
      <w:r>
        <w:rPr>
          <w:spacing w:val="-4"/>
          <w:sz w:val="14"/>
        </w:rPr>
        <w:t>.</w:t>
      </w:r>
    </w:p>
    <w:p>
      <w:pPr>
        <w:spacing w:line="235" w:lineRule="auto" w:before="212"/>
        <w:ind w:left="165" w:right="167" w:firstLine="170"/>
        <w:jc w:val="both"/>
        <w:rPr>
          <w:rFonts w:ascii="Arial"/>
          <w:i/>
          <w:sz w:val="20"/>
        </w:rPr>
      </w:pPr>
      <w:r>
        <w:rPr/>
        <w:br w:type="column"/>
      </w:r>
      <w:r>
        <w:rPr>
          <w:rFonts w:ascii="Arial"/>
          <w:i/>
          <w:sz w:val="20"/>
        </w:rPr>
        <w:t>Christopher Hill Ltd v Ashington Piggeries Ltd [1969] 3 All E.R. 1496, 1524</w:t>
      </w:r>
      <w:r>
        <w:rPr>
          <w:sz w:val="20"/>
        </w:rPr>
        <w:t>; </w:t>
      </w:r>
      <w:r>
        <w:rPr>
          <w:rFonts w:ascii="Arial"/>
          <w:i/>
          <w:sz w:val="20"/>
        </w:rPr>
        <w:t>Brown v K.M.R. Services</w:t>
      </w:r>
      <w:r>
        <w:rPr>
          <w:rFonts w:ascii="Arial"/>
          <w:i/>
          <w:spacing w:val="27"/>
          <w:sz w:val="20"/>
        </w:rPr>
        <w:t> </w:t>
      </w:r>
      <w:r>
        <w:rPr>
          <w:rFonts w:ascii="Arial"/>
          <w:i/>
          <w:sz w:val="20"/>
        </w:rPr>
        <w:t>Ltd</w:t>
      </w:r>
      <w:r>
        <w:rPr>
          <w:rFonts w:ascii="Arial"/>
          <w:i/>
          <w:spacing w:val="28"/>
          <w:sz w:val="20"/>
        </w:rPr>
        <w:t> </w:t>
      </w:r>
      <w:r>
        <w:rPr>
          <w:rFonts w:ascii="Arial"/>
          <w:i/>
          <w:sz w:val="20"/>
        </w:rPr>
        <w:t>[1995]</w:t>
      </w:r>
      <w:r>
        <w:rPr>
          <w:rFonts w:ascii="Arial"/>
          <w:i/>
          <w:spacing w:val="28"/>
          <w:sz w:val="20"/>
        </w:rPr>
        <w:t> </w:t>
      </w:r>
      <w:r>
        <w:rPr>
          <w:rFonts w:ascii="Arial"/>
          <w:i/>
          <w:sz w:val="20"/>
        </w:rPr>
        <w:t>4</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8"/>
          <w:sz w:val="20"/>
        </w:rPr>
        <w:t> </w:t>
      </w:r>
      <w:r>
        <w:rPr>
          <w:rFonts w:ascii="Arial"/>
          <w:i/>
          <w:sz w:val="20"/>
        </w:rPr>
        <w:t>598,</w:t>
      </w:r>
      <w:r>
        <w:rPr>
          <w:rFonts w:ascii="Arial"/>
          <w:i/>
          <w:spacing w:val="28"/>
          <w:sz w:val="20"/>
        </w:rPr>
        <w:t> </w:t>
      </w:r>
      <w:r>
        <w:rPr>
          <w:rFonts w:ascii="Arial"/>
          <w:i/>
          <w:sz w:val="20"/>
        </w:rPr>
        <w:t>621</w:t>
      </w:r>
      <w:r>
        <w:rPr>
          <w:sz w:val="20"/>
        </w:rPr>
        <w:t>;</w:t>
      </w:r>
      <w:r>
        <w:rPr>
          <w:spacing w:val="28"/>
          <w:sz w:val="20"/>
        </w:rPr>
        <w:t> </w:t>
      </w:r>
      <w:r>
        <w:rPr>
          <w:rFonts w:ascii="Arial"/>
          <w:i/>
          <w:sz w:val="20"/>
        </w:rPr>
        <w:t>Kpohraror</w:t>
      </w:r>
      <w:r>
        <w:rPr>
          <w:rFonts w:ascii="Arial"/>
          <w:i/>
          <w:spacing w:val="28"/>
          <w:sz w:val="20"/>
        </w:rPr>
        <w:t> </w:t>
      </w:r>
      <w:r>
        <w:rPr>
          <w:rFonts w:ascii="Arial"/>
          <w:i/>
          <w:sz w:val="20"/>
        </w:rPr>
        <w:t>v</w:t>
      </w:r>
      <w:r>
        <w:rPr>
          <w:rFonts w:ascii="Arial"/>
          <w:i/>
          <w:spacing w:val="28"/>
          <w:sz w:val="20"/>
        </w:rPr>
        <w:t> </w:t>
      </w:r>
      <w:r>
        <w:rPr>
          <w:rFonts w:ascii="Arial"/>
          <w:i/>
          <w:sz w:val="20"/>
        </w:rPr>
        <w:t>Woolwich</w:t>
      </w:r>
      <w:r>
        <w:rPr>
          <w:rFonts w:ascii="Arial"/>
          <w:i/>
          <w:spacing w:val="28"/>
          <w:sz w:val="20"/>
        </w:rPr>
        <w:t> </w:t>
      </w:r>
      <w:r>
        <w:rPr>
          <w:rFonts w:ascii="Arial"/>
          <w:i/>
          <w:sz w:val="20"/>
        </w:rPr>
        <w:t>Building</w:t>
      </w:r>
      <w:r>
        <w:rPr>
          <w:rFonts w:ascii="Arial"/>
          <w:i/>
          <w:spacing w:val="28"/>
          <w:sz w:val="20"/>
        </w:rPr>
        <w:t> </w:t>
      </w:r>
      <w:r>
        <w:rPr>
          <w:rFonts w:ascii="Arial"/>
          <w:i/>
          <w:sz w:val="20"/>
        </w:rPr>
        <w:t>Society</w:t>
      </w:r>
      <w:r>
        <w:rPr>
          <w:rFonts w:ascii="Arial"/>
          <w:i/>
          <w:spacing w:val="28"/>
          <w:sz w:val="20"/>
        </w:rPr>
        <w:t> </w:t>
      </w:r>
      <w:r>
        <w:rPr>
          <w:rFonts w:ascii="Arial"/>
          <w:i/>
          <w:sz w:val="20"/>
        </w:rPr>
        <w:t>[1996]</w:t>
      </w:r>
      <w:r>
        <w:rPr>
          <w:rFonts w:ascii="Arial"/>
          <w:i/>
          <w:spacing w:val="28"/>
          <w:sz w:val="20"/>
        </w:rPr>
        <w:t> </w:t>
      </w:r>
      <w:r>
        <w:rPr>
          <w:rFonts w:ascii="Arial"/>
          <w:i/>
          <w:sz w:val="20"/>
        </w:rPr>
        <w:t>4</w:t>
      </w:r>
      <w:r>
        <w:rPr>
          <w:rFonts w:ascii="Arial"/>
          <w:i/>
          <w:spacing w:val="28"/>
          <w:sz w:val="20"/>
        </w:rPr>
        <w:t> </w:t>
      </w:r>
      <w:r>
        <w:rPr>
          <w:rFonts w:ascii="Arial"/>
          <w:i/>
          <w:spacing w:val="-5"/>
          <w:sz w:val="20"/>
        </w:rPr>
        <w:t>All</w:t>
      </w:r>
    </w:p>
    <w:p>
      <w:pPr>
        <w:spacing w:line="235" w:lineRule="auto" w:before="0"/>
        <w:ind w:left="165" w:right="167" w:firstLine="0"/>
        <w:jc w:val="both"/>
        <w:rPr>
          <w:sz w:val="20"/>
        </w:rPr>
      </w:pPr>
      <w:r>
        <w:rPr>
          <w:sz w:val="20"/>
        </w:rPr>
        <w:drawing>
          <wp:anchor distT="0" distB="0" distL="0" distR="0" allowOverlap="1" layoutInCell="1" locked="0" behindDoc="0" simplePos="0" relativeHeight="15797248">
            <wp:simplePos x="0" y="0"/>
            <wp:positionH relativeFrom="page">
              <wp:posOffset>1257846</wp:posOffset>
            </wp:positionH>
            <wp:positionV relativeFrom="paragraph">
              <wp:posOffset>-260273</wp:posOffset>
            </wp:positionV>
            <wp:extent cx="107988" cy="107988"/>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E.R.</w:t>
      </w:r>
      <w:r>
        <w:rPr>
          <w:rFonts w:ascii="Arial"/>
          <w:i/>
          <w:spacing w:val="-1"/>
          <w:sz w:val="20"/>
        </w:rPr>
        <w:t> </w:t>
      </w:r>
      <w:r>
        <w:rPr>
          <w:rFonts w:ascii="Arial"/>
          <w:i/>
          <w:sz w:val="20"/>
        </w:rPr>
        <w:t>119,</w:t>
      </w:r>
      <w:r>
        <w:rPr>
          <w:rFonts w:ascii="Arial"/>
          <w:i/>
          <w:spacing w:val="-1"/>
          <w:sz w:val="20"/>
        </w:rPr>
        <w:t> </w:t>
      </w:r>
      <w:r>
        <w:rPr>
          <w:rFonts w:ascii="Arial"/>
          <w:i/>
          <w:sz w:val="20"/>
        </w:rPr>
        <w:t>126</w:t>
      </w:r>
      <w:r>
        <w:rPr>
          <w:sz w:val="20"/>
        </w:rPr>
        <w:t>;</w:t>
      </w:r>
      <w:r>
        <w:rPr>
          <w:spacing w:val="-1"/>
          <w:sz w:val="20"/>
        </w:rPr>
        <w:t> </w:t>
      </w:r>
      <w:r>
        <w:rPr>
          <w:rFonts w:ascii="Arial"/>
          <w:i/>
          <w:sz w:val="20"/>
        </w:rPr>
        <w:t>Transfield</w:t>
      </w:r>
      <w:r>
        <w:rPr>
          <w:rFonts w:ascii="Arial"/>
          <w:i/>
          <w:spacing w:val="-1"/>
          <w:sz w:val="20"/>
        </w:rPr>
        <w:t> </w:t>
      </w:r>
      <w:r>
        <w:rPr>
          <w:rFonts w:ascii="Arial"/>
          <w:i/>
          <w:sz w:val="20"/>
        </w:rPr>
        <w:t>Shipping</w:t>
      </w:r>
      <w:r>
        <w:rPr>
          <w:rFonts w:ascii="Arial"/>
          <w:i/>
          <w:spacing w:val="-1"/>
          <w:sz w:val="20"/>
        </w:rPr>
        <w:t> </w:t>
      </w:r>
      <w:r>
        <w:rPr>
          <w:rFonts w:ascii="Arial"/>
          <w:i/>
          <w:sz w:val="20"/>
        </w:rPr>
        <w:t>Inc</w:t>
      </w:r>
      <w:r>
        <w:rPr>
          <w:rFonts w:ascii="Arial"/>
          <w:i/>
          <w:spacing w:val="-1"/>
          <w:sz w:val="20"/>
        </w:rPr>
        <w:t> </w:t>
      </w:r>
      <w:r>
        <w:rPr>
          <w:rFonts w:ascii="Arial"/>
          <w:i/>
          <w:sz w:val="20"/>
        </w:rPr>
        <w:t>v</w:t>
      </w:r>
      <w:r>
        <w:rPr>
          <w:rFonts w:ascii="Arial"/>
          <w:i/>
          <w:spacing w:val="-1"/>
          <w:sz w:val="20"/>
        </w:rPr>
        <w:t> </w:t>
      </w:r>
      <w:r>
        <w:rPr>
          <w:rFonts w:ascii="Arial"/>
          <w:i/>
          <w:sz w:val="20"/>
        </w:rPr>
        <w:t>Mercator</w:t>
      </w:r>
      <w:r>
        <w:rPr>
          <w:rFonts w:ascii="Arial"/>
          <w:i/>
          <w:spacing w:val="-1"/>
          <w:sz w:val="20"/>
        </w:rPr>
        <w:t> </w:t>
      </w:r>
      <w:r>
        <w:rPr>
          <w:rFonts w:ascii="Arial"/>
          <w:i/>
          <w:sz w:val="20"/>
        </w:rPr>
        <w:t>Shipping</w:t>
      </w:r>
      <w:r>
        <w:rPr>
          <w:rFonts w:ascii="Arial"/>
          <w:i/>
          <w:spacing w:val="-1"/>
          <w:sz w:val="20"/>
        </w:rPr>
        <w:t> </w:t>
      </w:r>
      <w:r>
        <w:rPr>
          <w:rFonts w:ascii="Arial"/>
          <w:i/>
          <w:sz w:val="20"/>
        </w:rPr>
        <w:t>Inc</w:t>
      </w:r>
      <w:r>
        <w:rPr>
          <w:rFonts w:ascii="Arial"/>
          <w:i/>
          <w:spacing w:val="-1"/>
          <w:sz w:val="20"/>
        </w:rPr>
        <w:t> </w:t>
      </w:r>
      <w:r>
        <w:rPr>
          <w:rFonts w:ascii="Arial"/>
          <w:i/>
          <w:sz w:val="20"/>
        </w:rPr>
        <w:t>(The</w:t>
      </w:r>
      <w:r>
        <w:rPr>
          <w:rFonts w:ascii="Arial"/>
          <w:i/>
          <w:spacing w:val="-1"/>
          <w:sz w:val="20"/>
        </w:rPr>
        <w:t> </w:t>
      </w:r>
      <w:r>
        <w:rPr>
          <w:rFonts w:ascii="Arial"/>
          <w:i/>
          <w:sz w:val="20"/>
        </w:rPr>
        <w:t>Achilleas)</w:t>
      </w:r>
      <w:r>
        <w:rPr>
          <w:rFonts w:ascii="Arial"/>
          <w:i/>
          <w:spacing w:val="-1"/>
          <w:sz w:val="20"/>
        </w:rPr>
        <w:t> </w:t>
      </w:r>
      <w:r>
        <w:rPr>
          <w:rFonts w:ascii="Arial"/>
          <w:i/>
          <w:sz w:val="20"/>
        </w:rPr>
        <w:t>[2008]</w:t>
      </w:r>
      <w:r>
        <w:rPr>
          <w:rFonts w:ascii="Arial"/>
          <w:i/>
          <w:spacing w:val="-1"/>
          <w:sz w:val="20"/>
        </w:rPr>
        <w:t> </w:t>
      </w:r>
      <w:r>
        <w:rPr>
          <w:rFonts w:ascii="Arial"/>
          <w:i/>
          <w:sz w:val="20"/>
        </w:rPr>
        <w:t>UKHL</w:t>
      </w:r>
      <w:r>
        <w:rPr>
          <w:rFonts w:ascii="Arial"/>
          <w:i/>
          <w:spacing w:val="-1"/>
          <w:sz w:val="20"/>
        </w:rPr>
        <w:t> </w:t>
      </w:r>
      <w:r>
        <w:rPr>
          <w:rFonts w:ascii="Arial"/>
          <w:i/>
          <w:sz w:val="20"/>
        </w:rPr>
        <w:t>48, [2009] 1 A.C. 61 </w:t>
      </w:r>
      <w:r>
        <w:rPr>
          <w:sz w:val="20"/>
        </w:rPr>
        <w:t>at [21]; </w:t>
      </w:r>
      <w:r>
        <w:rPr>
          <w:rFonts w:ascii="Arial"/>
          <w:i/>
          <w:sz w:val="20"/>
        </w:rPr>
        <w:t>Wellesley Partners LLP v Withers LLP [2015] EWCA Civ 1146 </w:t>
      </w:r>
      <w:r>
        <w:rPr>
          <w:sz w:val="20"/>
        </w:rPr>
        <w:t>at [74]. See below, para.26-122 for the corresponding formulation in the second rule in </w:t>
      </w:r>
      <w:r>
        <w:rPr>
          <w:rFonts w:ascii="Arial"/>
          <w:i/>
          <w:sz w:val="20"/>
        </w:rPr>
        <w:t>Hadley v Baxendale (1854) 9 Ex. 341</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277" w:id="1279"/>
      <w:bookmarkEnd w:id="1279"/>
      <w:r>
        <w:rPr/>
      </w:r>
      <w:hyperlink w:history="true" w:anchor="_bookmark1187">
        <w:r>
          <w:rPr>
            <w:color w:val="005DA1"/>
            <w:spacing w:val="-4"/>
            <w:position w:val="5"/>
            <w:sz w:val="14"/>
            <w:u w:val="single" w:color="005DA1"/>
          </w:rPr>
          <w:t>639</w:t>
        </w:r>
      </w:hyperlink>
      <w:r>
        <w:rPr>
          <w:spacing w:val="-4"/>
          <w:position w:val="5"/>
          <w:sz w:val="14"/>
        </w:rPr>
        <w:t>.</w:t>
      </w:r>
      <w:r>
        <w:rPr>
          <w:position w:val="5"/>
          <w:sz w:val="14"/>
        </w:rPr>
        <w:tab/>
      </w:r>
      <w:r>
        <w:rPr>
          <w:rFonts w:ascii="Arial"/>
          <w:i/>
          <w:sz w:val="20"/>
        </w:rPr>
        <w:t>Overseas</w:t>
      </w:r>
      <w:r>
        <w:rPr>
          <w:rFonts w:ascii="Arial"/>
          <w:i/>
          <w:spacing w:val="17"/>
          <w:sz w:val="20"/>
        </w:rPr>
        <w:t> </w:t>
      </w:r>
      <w:r>
        <w:rPr>
          <w:rFonts w:ascii="Arial"/>
          <w:i/>
          <w:sz w:val="20"/>
        </w:rPr>
        <w:t>Tankship</w:t>
      </w:r>
      <w:r>
        <w:rPr>
          <w:rFonts w:ascii="Arial"/>
          <w:i/>
          <w:spacing w:val="19"/>
          <w:sz w:val="20"/>
        </w:rPr>
        <w:t> </w:t>
      </w:r>
      <w:r>
        <w:rPr>
          <w:rFonts w:ascii="Arial"/>
          <w:i/>
          <w:sz w:val="20"/>
        </w:rPr>
        <w:t>(UK)</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Morts</w:t>
      </w:r>
      <w:r>
        <w:rPr>
          <w:rFonts w:ascii="Arial"/>
          <w:i/>
          <w:spacing w:val="19"/>
          <w:sz w:val="20"/>
        </w:rPr>
        <w:t> </w:t>
      </w:r>
      <w:r>
        <w:rPr>
          <w:rFonts w:ascii="Arial"/>
          <w:i/>
          <w:sz w:val="20"/>
        </w:rPr>
        <w:t>Dock</w:t>
      </w:r>
      <w:r>
        <w:rPr>
          <w:rFonts w:ascii="Arial"/>
          <w:i/>
          <w:spacing w:val="19"/>
          <w:sz w:val="20"/>
        </w:rPr>
        <w:t> </w:t>
      </w:r>
      <w:r>
        <w:rPr>
          <w:rFonts w:ascii="Arial"/>
          <w:i/>
          <w:sz w:val="20"/>
        </w:rPr>
        <w:t>&amp;</w:t>
      </w:r>
      <w:r>
        <w:rPr>
          <w:rFonts w:ascii="Arial"/>
          <w:i/>
          <w:spacing w:val="19"/>
          <w:sz w:val="20"/>
        </w:rPr>
        <w:t> </w:t>
      </w:r>
      <w:r>
        <w:rPr>
          <w:rFonts w:ascii="Arial"/>
          <w:i/>
          <w:sz w:val="20"/>
        </w:rPr>
        <w:t>Engineering</w:t>
      </w:r>
      <w:r>
        <w:rPr>
          <w:rFonts w:ascii="Arial"/>
          <w:i/>
          <w:spacing w:val="19"/>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(The</w:t>
      </w:r>
      <w:r>
        <w:rPr>
          <w:rFonts w:ascii="Arial"/>
          <w:i/>
          <w:spacing w:val="19"/>
          <w:sz w:val="20"/>
        </w:rPr>
        <w:t> </w:t>
      </w:r>
      <w:r>
        <w:rPr>
          <w:rFonts w:ascii="Arial"/>
          <w:i/>
          <w:sz w:val="20"/>
        </w:rPr>
        <w:t>Wagon</w:t>
      </w:r>
      <w:r>
        <w:rPr>
          <w:rFonts w:ascii="Arial"/>
          <w:i/>
          <w:spacing w:val="19"/>
          <w:sz w:val="20"/>
        </w:rPr>
        <w:t> </w:t>
      </w:r>
      <w:r>
        <w:rPr>
          <w:rFonts w:ascii="Arial"/>
          <w:i/>
          <w:sz w:val="20"/>
        </w:rPr>
        <w:t>Mound)</w:t>
      </w:r>
      <w:r>
        <w:rPr>
          <w:rFonts w:ascii="Arial"/>
          <w:i/>
          <w:spacing w:val="19"/>
          <w:sz w:val="20"/>
        </w:rPr>
        <w:t> </w:t>
      </w:r>
      <w:r>
        <w:rPr>
          <w:rFonts w:ascii="Arial"/>
          <w:i/>
          <w:spacing w:val="-2"/>
          <w:sz w:val="20"/>
        </w:rPr>
        <w:t>[1961]</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z w:val="20"/>
        </w:rPr>
        <w:t>388, </w:t>
      </w:r>
      <w:r>
        <w:rPr>
          <w:rFonts w:ascii="Arial"/>
          <w:i/>
          <w:spacing w:val="-4"/>
          <w:sz w:val="20"/>
        </w:rPr>
        <w:t>426</w:t>
      </w:r>
      <w:r>
        <w:rPr>
          <w:spacing w:val="-4"/>
          <w:sz w:val="20"/>
        </w:rPr>
        <w:t>.</w:t>
      </w:r>
    </w:p>
    <w:p>
      <w:pPr>
        <w:spacing w:after="0" w:line="227" w:lineRule="exact"/>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188">
        <w:r>
          <w:rPr>
            <w:color w:val="005DA1"/>
            <w:spacing w:val="-4"/>
            <w:position w:val="5"/>
            <w:sz w:val="14"/>
            <w:u w:val="single" w:color="005DA1"/>
          </w:rPr>
          <w:t>640</w:t>
        </w:r>
      </w:hyperlink>
      <w:r>
        <w:rPr>
          <w:spacing w:val="-4"/>
          <w:position w:val="5"/>
          <w:sz w:val="14"/>
        </w:rPr>
        <w:t>.</w:t>
      </w:r>
      <w:r>
        <w:rPr>
          <w:position w:val="5"/>
          <w:sz w:val="14"/>
        </w:rPr>
        <w:tab/>
      </w:r>
      <w:r>
        <w:rPr>
          <w:sz w:val="20"/>
        </w:rPr>
        <w:t>Below, para.26-</w:t>
      </w:r>
      <w:r>
        <w:rPr>
          <w:spacing w:val="-4"/>
          <w:sz w:val="20"/>
        </w:rPr>
        <w:t>118.</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278" w:id="1280"/>
      <w:bookmarkEnd w:id="1280"/>
      <w:r>
        <w:rPr/>
      </w:r>
      <w:hyperlink w:history="true" w:anchor="_bookmark1189">
        <w:r>
          <w:rPr>
            <w:color w:val="005DA1"/>
            <w:spacing w:val="-4"/>
            <w:position w:val="5"/>
            <w:sz w:val="14"/>
            <w:u w:val="single" w:color="005DA1"/>
          </w:rPr>
          <w:t>641</w:t>
        </w:r>
      </w:hyperlink>
      <w:r>
        <w:rPr>
          <w:spacing w:val="-4"/>
          <w:position w:val="5"/>
          <w:sz w:val="14"/>
        </w:rPr>
        <w:t>.</w:t>
      </w:r>
      <w:r>
        <w:rPr>
          <w:position w:val="5"/>
          <w:sz w:val="14"/>
        </w:rPr>
        <w:tab/>
      </w:r>
      <w:r>
        <w:rPr>
          <w:rFonts w:ascii="Arial"/>
          <w:i/>
          <w:sz w:val="20"/>
        </w:rPr>
        <w:t>H.</w:t>
      </w:r>
      <w:r>
        <w:rPr>
          <w:rFonts w:ascii="Arial"/>
          <w:i/>
          <w:spacing w:val="9"/>
          <w:sz w:val="20"/>
        </w:rPr>
        <w:t> </w:t>
      </w:r>
      <w:r>
        <w:rPr>
          <w:rFonts w:ascii="Arial"/>
          <w:i/>
          <w:sz w:val="20"/>
        </w:rPr>
        <w:t>Parsons</w:t>
      </w:r>
      <w:r>
        <w:rPr>
          <w:rFonts w:ascii="Arial"/>
          <w:i/>
          <w:spacing w:val="10"/>
          <w:sz w:val="20"/>
        </w:rPr>
        <w:t> </w:t>
      </w:r>
      <w:r>
        <w:rPr>
          <w:rFonts w:ascii="Arial"/>
          <w:i/>
          <w:sz w:val="20"/>
        </w:rPr>
        <w:t>(Livestock)</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Uttley,</w:t>
      </w:r>
      <w:r>
        <w:rPr>
          <w:rFonts w:ascii="Arial"/>
          <w:i/>
          <w:spacing w:val="10"/>
          <w:sz w:val="20"/>
        </w:rPr>
        <w:t> </w:t>
      </w:r>
      <w:r>
        <w:rPr>
          <w:rFonts w:ascii="Arial"/>
          <w:i/>
          <w:sz w:val="20"/>
        </w:rPr>
        <w:t>Ingham</w:t>
      </w:r>
      <w:r>
        <w:rPr>
          <w:rFonts w:ascii="Arial"/>
          <w:i/>
          <w:spacing w:val="10"/>
          <w:sz w:val="20"/>
        </w:rPr>
        <w:t> </w:t>
      </w:r>
      <w:r>
        <w:rPr>
          <w:rFonts w:ascii="Arial"/>
          <w:i/>
          <w:sz w:val="20"/>
        </w:rPr>
        <w:t>&amp;</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[1978]</w:t>
      </w:r>
      <w:r>
        <w:rPr>
          <w:rFonts w:ascii="Arial"/>
          <w:i/>
          <w:spacing w:val="10"/>
          <w:sz w:val="20"/>
        </w:rPr>
        <w:t> </w:t>
      </w:r>
      <w:r>
        <w:rPr>
          <w:rFonts w:ascii="Arial"/>
          <w:i/>
          <w:sz w:val="20"/>
        </w:rPr>
        <w:t>Q.B.</w:t>
      </w:r>
      <w:r>
        <w:rPr>
          <w:rFonts w:ascii="Arial"/>
          <w:i/>
          <w:spacing w:val="10"/>
          <w:sz w:val="20"/>
        </w:rPr>
        <w:t> </w:t>
      </w:r>
      <w:r>
        <w:rPr>
          <w:rFonts w:ascii="Arial"/>
          <w:i/>
          <w:sz w:val="20"/>
        </w:rPr>
        <w:t>791,</w:t>
      </w:r>
      <w:r>
        <w:rPr>
          <w:rFonts w:ascii="Arial"/>
          <w:i/>
          <w:spacing w:val="10"/>
          <w:sz w:val="20"/>
        </w:rPr>
        <w:t> </w:t>
      </w:r>
      <w:r>
        <w:rPr>
          <w:rFonts w:ascii="Arial"/>
          <w:i/>
          <w:sz w:val="20"/>
        </w:rPr>
        <w:t>804,</w:t>
      </w:r>
      <w:r>
        <w:rPr>
          <w:rFonts w:ascii="Arial"/>
          <w:i/>
          <w:spacing w:val="10"/>
          <w:sz w:val="20"/>
        </w:rPr>
        <w:t> </w:t>
      </w:r>
      <w:r>
        <w:rPr>
          <w:rFonts w:ascii="Arial"/>
          <w:i/>
          <w:sz w:val="20"/>
        </w:rPr>
        <w:t>805,</w:t>
      </w:r>
      <w:r>
        <w:rPr>
          <w:rFonts w:ascii="Arial"/>
          <w:i/>
          <w:spacing w:val="10"/>
          <w:sz w:val="20"/>
        </w:rPr>
        <w:t> </w:t>
      </w:r>
      <w:r>
        <w:rPr>
          <w:rFonts w:ascii="Arial"/>
          <w:i/>
          <w:sz w:val="20"/>
        </w:rPr>
        <w:t>813</w:t>
      </w:r>
      <w:r>
        <w:rPr>
          <w:sz w:val="20"/>
        </w:rPr>
        <w:t>;</w:t>
      </w:r>
      <w:r>
        <w:rPr>
          <w:spacing w:val="10"/>
          <w:sz w:val="20"/>
        </w:rPr>
        <w:t> </w:t>
      </w:r>
      <w:r>
        <w:rPr>
          <w:rFonts w:ascii="Arial"/>
          <w:i/>
          <w:sz w:val="20"/>
        </w:rPr>
        <w:t>Brown</w:t>
      </w:r>
      <w:r>
        <w:rPr>
          <w:rFonts w:ascii="Arial"/>
          <w:i/>
          <w:spacing w:val="10"/>
          <w:sz w:val="20"/>
        </w:rPr>
        <w:t> </w:t>
      </w:r>
      <w:r>
        <w:rPr>
          <w:rFonts w:ascii="Arial"/>
          <w:i/>
          <w:spacing w:val="-10"/>
          <w:sz w:val="20"/>
        </w:rPr>
        <w:t>v</w:t>
      </w:r>
    </w:p>
    <w:p>
      <w:pPr>
        <w:spacing w:line="235" w:lineRule="auto" w:before="1"/>
        <w:ind w:left="705" w:right="167" w:firstLine="0"/>
        <w:jc w:val="both"/>
        <w:rPr>
          <w:sz w:val="20"/>
        </w:rPr>
      </w:pPr>
      <w:r>
        <w:rPr>
          <w:rFonts w:ascii="Arial" w:hAnsi="Arial"/>
          <w:i/>
          <w:sz w:val="20"/>
        </w:rPr>
        <w:t>K.M.R. Services Ltd [1995] 4 All E.R. 598, 621, 642–643</w:t>
      </w:r>
      <w:r>
        <w:rPr>
          <w:sz w:val="20"/>
        </w:rPr>
        <w:t>; cf. </w:t>
      </w:r>
      <w:r>
        <w:rPr>
          <w:rFonts w:ascii="Arial" w:hAnsi="Arial"/>
          <w:i/>
          <w:sz w:val="20"/>
        </w:rPr>
        <w:t>Wroth v Tyler [1974] Ch. </w:t>
      </w:r>
      <w:r>
        <w:rPr>
          <w:rFonts w:ascii="Arial" w:hAnsi="Arial"/>
          <w:i/>
          <w:sz w:val="20"/>
        </w:rPr>
        <w:t>30,</w:t>
      </w:r>
      <w:r>
        <w:rPr>
          <w:rFonts w:ascii="Arial" w:hAnsi="Arial"/>
          <w:i/>
          <w:spacing w:val="40"/>
          <w:sz w:val="20"/>
        </w:rPr>
        <w:t> </w:t>
      </w:r>
      <w:r>
        <w:rPr>
          <w:rFonts w:ascii="Arial" w:hAnsi="Arial"/>
          <w:i/>
          <w:sz w:val="20"/>
        </w:rPr>
        <w:t>60–62 </w:t>
      </w:r>
      <w:r>
        <w:rPr>
          <w:sz w:val="20"/>
        </w:rPr>
        <w:t>(dealing with the corresponding position under the second rule in </w:t>
      </w:r>
      <w:r>
        <w:rPr>
          <w:rFonts w:ascii="Arial" w:hAnsi="Arial"/>
          <w:i/>
          <w:sz w:val="20"/>
        </w:rPr>
        <w:t>Hadley v </w:t>
      </w:r>
      <w:r>
        <w:rPr>
          <w:rFonts w:ascii="Arial" w:hAnsi="Arial"/>
          <w:i/>
          <w:sz w:val="20"/>
        </w:rPr>
        <w:t>Baxendale (1854)</w:t>
      </w:r>
      <w:r>
        <w:rPr>
          <w:rFonts w:ascii="Arial" w:hAnsi="Arial"/>
          <w:i/>
          <w:spacing w:val="40"/>
          <w:sz w:val="20"/>
        </w:rPr>
        <w:t> </w:t>
      </w:r>
      <w:r>
        <w:rPr>
          <w:rFonts w:ascii="Arial" w:hAnsi="Arial"/>
          <w:i/>
          <w:sz w:val="20"/>
        </w:rPr>
        <w:t>9</w:t>
      </w:r>
      <w:r>
        <w:rPr>
          <w:rFonts w:ascii="Arial" w:hAnsi="Arial"/>
          <w:i/>
          <w:spacing w:val="40"/>
          <w:sz w:val="20"/>
        </w:rPr>
        <w:t> </w:t>
      </w:r>
      <w:r>
        <w:rPr>
          <w:rFonts w:ascii="Arial" w:hAnsi="Arial"/>
          <w:i/>
          <w:sz w:val="20"/>
        </w:rPr>
        <w:t>Ex.</w:t>
      </w:r>
      <w:r>
        <w:rPr>
          <w:rFonts w:ascii="Arial" w:hAnsi="Arial"/>
          <w:i/>
          <w:spacing w:val="40"/>
          <w:sz w:val="20"/>
        </w:rPr>
        <w:t> </w:t>
      </w:r>
      <w:r>
        <w:rPr>
          <w:rFonts w:ascii="Arial" w:hAnsi="Arial"/>
          <w:i/>
          <w:sz w:val="20"/>
        </w:rPr>
        <w:t>341)</w:t>
      </w:r>
      <w:r>
        <w:rPr>
          <w:sz w:val="20"/>
        </w:rPr>
        <w:t>.</w:t>
      </w:r>
      <w:r>
        <w:rPr>
          <w:spacing w:val="40"/>
          <w:sz w:val="20"/>
        </w:rPr>
        <w:t> </w:t>
      </w:r>
      <w:r>
        <w:rPr>
          <w:sz w:val="20"/>
        </w:rPr>
        <w:t>But</w:t>
      </w:r>
      <w:r>
        <w:rPr>
          <w:spacing w:val="40"/>
          <w:sz w:val="20"/>
        </w:rPr>
        <w:t> </w:t>
      </w:r>
      <w:r>
        <w:rPr>
          <w:sz w:val="20"/>
        </w:rPr>
        <w:t>cf.</w:t>
      </w:r>
      <w:r>
        <w:rPr>
          <w:spacing w:val="40"/>
          <w:sz w:val="20"/>
        </w:rPr>
        <w:t> </w:t>
      </w:r>
      <w:r>
        <w:rPr>
          <w:sz w:val="20"/>
        </w:rPr>
        <w:t>the</w:t>
      </w:r>
      <w:r>
        <w:rPr>
          <w:spacing w:val="40"/>
          <w:sz w:val="20"/>
        </w:rPr>
        <w:t> </w:t>
      </w:r>
      <w:r>
        <w:rPr>
          <w:sz w:val="20"/>
        </w:rPr>
        <w:t>cases</w:t>
      </w:r>
      <w:r>
        <w:rPr>
          <w:spacing w:val="40"/>
          <w:sz w:val="20"/>
        </w:rPr>
        <w:t> </w:t>
      </w:r>
      <w:r>
        <w:rPr>
          <w:sz w:val="20"/>
        </w:rPr>
        <w:t>on</w:t>
      </w:r>
      <w:r>
        <w:rPr>
          <w:spacing w:val="40"/>
          <w:sz w:val="20"/>
        </w:rPr>
        <w:t> </w:t>
      </w:r>
      <w:r>
        <w:rPr>
          <w:sz w:val="20"/>
        </w:rPr>
        <w:t>loss</w:t>
      </w:r>
      <w:r>
        <w:rPr>
          <w:spacing w:val="40"/>
          <w:sz w:val="20"/>
        </w:rPr>
        <w:t> </w:t>
      </w:r>
      <w:r>
        <w:rPr>
          <w:sz w:val="20"/>
        </w:rPr>
        <w:t>of</w:t>
      </w:r>
      <w:r>
        <w:rPr>
          <w:spacing w:val="40"/>
          <w:sz w:val="20"/>
        </w:rPr>
        <w:t> </w:t>
      </w:r>
      <w:r>
        <w:rPr>
          <w:sz w:val="20"/>
        </w:rPr>
        <w:t>profits,</w:t>
      </w:r>
      <w:r>
        <w:rPr>
          <w:spacing w:val="40"/>
          <w:sz w:val="20"/>
        </w:rPr>
        <w:t> </w:t>
      </w:r>
      <w:r>
        <w:rPr>
          <w:sz w:val="20"/>
        </w:rPr>
        <w:t>below,</w:t>
      </w:r>
      <w:r>
        <w:rPr>
          <w:spacing w:val="40"/>
          <w:sz w:val="20"/>
        </w:rPr>
        <w:t> </w:t>
      </w:r>
      <w:r>
        <w:rPr>
          <w:sz w:val="20"/>
        </w:rPr>
        <w:t>para.26-117;</w:t>
      </w:r>
      <w:r>
        <w:rPr>
          <w:spacing w:val="40"/>
          <w:sz w:val="20"/>
        </w:rPr>
        <w:t> </w:t>
      </w:r>
      <w:r>
        <w:rPr>
          <w:sz w:val="20"/>
        </w:rPr>
        <w:t>Vol.II,</w:t>
      </w:r>
      <w:r>
        <w:rPr>
          <w:spacing w:val="40"/>
          <w:sz w:val="20"/>
        </w:rPr>
        <w:t> </w:t>
      </w:r>
      <w:r>
        <w:rPr>
          <w:sz w:val="20"/>
        </w:rPr>
        <w:t>paras 44-408—44-410, where the type of profits expected from the normal use of a profit-earning machine is used to place a cap on a claim for loss of a different type of profit caused by the breach of contract; </w:t>
      </w:r>
      <w:r>
        <w:rPr>
          <w:rFonts w:ascii="Arial" w:hAnsi="Arial"/>
          <w:i/>
          <w:sz w:val="20"/>
        </w:rPr>
        <w:t>Vacwell Engineering Co Ltd v B.D.H. Chemicals Ltd [1971] Q.B. 88</w:t>
      </w:r>
      <w:r>
        <w:rPr>
          <w:sz w:val="20"/>
        </w:rPr>
        <w:t>; cf. </w:t>
      </w:r>
      <w:r>
        <w:rPr>
          <w:sz w:val="20"/>
        </w:rPr>
        <w:t>also the limitation on the extent of a valuer’s liability to a lender for a negligent over-valuation: </w:t>
      </w:r>
      <w:r>
        <w:rPr>
          <w:rFonts w:ascii="Arial" w:hAnsi="Arial"/>
          <w:i/>
          <w:sz w:val="20"/>
        </w:rPr>
        <w:t>South Australia Asset Management Corp v York Montague Ltd [1997] A.C. 191 </w:t>
      </w:r>
      <w:r>
        <w:rPr>
          <w:sz w:val="20"/>
        </w:rPr>
        <w:t>(below, para.26-168).</w:t>
      </w:r>
    </w:p>
    <w:p>
      <w:pPr>
        <w:pStyle w:val="BodyText"/>
        <w:spacing w:before="7"/>
      </w:pPr>
    </w:p>
    <w:p>
      <w:pPr>
        <w:spacing w:line="235" w:lineRule="auto" w:before="0"/>
        <w:ind w:left="705" w:right="167" w:hanging="541"/>
        <w:jc w:val="both"/>
        <w:rPr>
          <w:sz w:val="20"/>
        </w:rPr>
      </w:pPr>
      <w:bookmarkStart w:name="_bookmark1279" w:id="1281"/>
      <w:bookmarkEnd w:id="1281"/>
      <w:r>
        <w:rPr/>
      </w:r>
      <w:hyperlink w:history="true" w:anchor="_bookmark1190">
        <w:r>
          <w:rPr>
            <w:color w:val="005DA1"/>
            <w:position w:val="5"/>
            <w:sz w:val="14"/>
            <w:u w:val="single" w:color="005DA1"/>
          </w:rPr>
          <w:t>642</w:t>
        </w:r>
      </w:hyperlink>
      <w:r>
        <w:rPr>
          <w:position w:val="5"/>
          <w:sz w:val="14"/>
        </w:rPr>
        <w:t>.</w:t>
      </w:r>
      <w:r>
        <w:rPr>
          <w:spacing w:val="80"/>
          <w:w w:val="150"/>
          <w:position w:val="5"/>
          <w:sz w:val="14"/>
        </w:rPr>
        <w:t> </w:t>
      </w:r>
      <w:r>
        <w:rPr>
          <w:sz w:val="20"/>
        </w:rPr>
        <w:t>For recent illustrations, see </w:t>
      </w:r>
      <w:r>
        <w:rPr>
          <w:rFonts w:ascii="Arial" w:hAnsi="Arial"/>
          <w:i/>
          <w:sz w:val="20"/>
        </w:rPr>
        <w:t>Balfour Beatty Construction (Scotland) Ltd v Scottish Power </w:t>
      </w:r>
      <w:r>
        <w:rPr>
          <w:rFonts w:ascii="Arial" w:hAnsi="Arial"/>
          <w:i/>
          <w:sz w:val="20"/>
        </w:rPr>
        <w:t>Plc (1994) S.L.T. 807 </w:t>
      </w:r>
      <w:r>
        <w:rPr>
          <w:sz w:val="20"/>
        </w:rPr>
        <w:t>(HL: not contemplated that interruption of electricity supply to a concrete batching plant would result in demolition and rebuilding of a partly-constructed aqueduct); </w:t>
      </w:r>
      <w:r>
        <w:rPr>
          <w:rFonts w:ascii="Arial" w:hAnsi="Arial"/>
          <w:i/>
          <w:sz w:val="20"/>
        </w:rPr>
        <w:t>Kpohraror v Woolwich Building Society [1996] 4 All E.R. 119 </w:t>
      </w:r>
      <w:r>
        <w:rPr>
          <w:sz w:val="20"/>
        </w:rPr>
        <w:t>(CA: not contemplated that one day’s delay by a bank in meeting a cheque might cause the plaintiff to lose the transaction in question or incur a trading loss in future).</w:t>
      </w:r>
    </w:p>
    <w:p>
      <w:pPr>
        <w:pStyle w:val="BodyText"/>
        <w:spacing w:before="7"/>
      </w:pPr>
    </w:p>
    <w:p>
      <w:pPr>
        <w:pStyle w:val="BodyText"/>
        <w:spacing w:line="235" w:lineRule="auto"/>
        <w:ind w:left="705" w:right="167" w:hanging="541"/>
        <w:jc w:val="both"/>
      </w:pPr>
      <w:bookmarkStart w:name="_bookmark1280" w:id="1282"/>
      <w:bookmarkEnd w:id="1282"/>
      <w:r>
        <w:rPr/>
      </w:r>
      <w:hyperlink w:history="true" w:anchor="_bookmark1191">
        <w:r>
          <w:rPr>
            <w:color w:val="005DA1"/>
            <w:position w:val="5"/>
            <w:sz w:val="14"/>
            <w:u w:val="single" w:color="005DA1"/>
          </w:rPr>
          <w:t>643</w:t>
        </w:r>
      </w:hyperlink>
      <w:r>
        <w:rPr>
          <w:position w:val="5"/>
          <w:sz w:val="14"/>
        </w:rPr>
        <w:t>.</w:t>
      </w:r>
      <w:r>
        <w:rPr>
          <w:spacing w:val="40"/>
          <w:position w:val="5"/>
          <w:sz w:val="14"/>
        </w:rPr>
        <w:t>  </w:t>
      </w:r>
      <w:r>
        <w:rPr/>
        <w:t>As</w:t>
      </w:r>
      <w:r>
        <w:rPr>
          <w:spacing w:val="40"/>
        </w:rPr>
        <w:t> </w:t>
      </w:r>
      <w:r>
        <w:rPr/>
        <w:t>is</w:t>
      </w:r>
      <w:r>
        <w:rPr>
          <w:spacing w:val="40"/>
        </w:rPr>
        <w:t> </w:t>
      </w:r>
      <w:r>
        <w:rPr/>
        <w:t>illustrated</w:t>
      </w:r>
      <w:r>
        <w:rPr>
          <w:spacing w:val="40"/>
        </w:rPr>
        <w:t> </w:t>
      </w:r>
      <w:r>
        <w:rPr/>
        <w:t>by</w:t>
      </w:r>
      <w:r>
        <w:rPr>
          <w:spacing w:val="40"/>
        </w:rPr>
        <w:t> </w:t>
      </w:r>
      <w:r>
        <w:rPr/>
        <w:t>cases</w:t>
      </w:r>
      <w:r>
        <w:rPr>
          <w:spacing w:val="40"/>
        </w:rPr>
        <w:t> </w:t>
      </w:r>
      <w:r>
        <w:rPr/>
        <w:t>in</w:t>
      </w:r>
      <w:r>
        <w:rPr>
          <w:spacing w:val="40"/>
        </w:rPr>
        <w:t> </w:t>
      </w:r>
      <w:r>
        <w:rPr/>
        <w:t>later</w:t>
      </w:r>
      <w:r>
        <w:rPr>
          <w:spacing w:val="40"/>
        </w:rPr>
        <w:t> </w:t>
      </w:r>
      <w:r>
        <w:rPr/>
        <w:t>paragraphs</w:t>
      </w:r>
      <w:r>
        <w:rPr>
          <w:spacing w:val="40"/>
        </w:rPr>
        <w:t> </w:t>
      </w:r>
      <w:r>
        <w:rPr/>
        <w:t>of</w:t>
      </w:r>
      <w:r>
        <w:rPr>
          <w:spacing w:val="40"/>
        </w:rPr>
        <w:t> </w:t>
      </w:r>
      <w:r>
        <w:rPr/>
        <w:t>this</w:t>
      </w:r>
      <w:r>
        <w:rPr>
          <w:spacing w:val="40"/>
        </w:rPr>
        <w:t> </w:t>
      </w:r>
      <w:r>
        <w:rPr/>
        <w:t>chapter,</w:t>
      </w:r>
      <w:r>
        <w:rPr>
          <w:spacing w:val="40"/>
        </w:rPr>
        <w:t> </w:t>
      </w:r>
      <w:r>
        <w:rPr/>
        <w:t>e.g.</w:t>
      </w:r>
      <w:r>
        <w:rPr>
          <w:spacing w:val="40"/>
        </w:rPr>
        <w:t> </w:t>
      </w:r>
      <w:r>
        <w:rPr/>
        <w:t>loss</w:t>
      </w:r>
      <w:r>
        <w:rPr>
          <w:spacing w:val="40"/>
        </w:rPr>
        <w:t> </w:t>
      </w:r>
      <w:r>
        <w:rPr/>
        <w:t>of</w:t>
      </w:r>
      <w:r>
        <w:rPr>
          <w:spacing w:val="40"/>
        </w:rPr>
        <w:t> </w:t>
      </w:r>
      <w:r>
        <w:rPr/>
        <w:t>profits;</w:t>
      </w:r>
      <w:r>
        <w:rPr>
          <w:spacing w:val="40"/>
        </w:rPr>
        <w:t> </w:t>
      </w:r>
      <w:r>
        <w:rPr/>
        <w:t>physical damage to a chattel or building; illness or death of a person; illness or death of an animal; expenses incurred by the claimant in reliance on the contract; personal, subjective loss </w:t>
      </w:r>
      <w:r>
        <w:rPr/>
        <w:t>of amenity; damages and costs paid by the claimant to a third party as a result of the breach of contract leading to the claimant being held liable to the third party. cf. the similar broad interpretation of the “type” or “kind” of loss in the test for remoteness of damage in tort: </w:t>
      </w:r>
      <w:r>
        <w:rPr>
          <w:rFonts w:ascii="Arial" w:hAnsi="Arial"/>
          <w:i/>
        </w:rPr>
        <w:t>Overseas Tankship (UK) Ltd v Morts Dock &amp; Engineering Co Ltd [1961] A.C. 388</w:t>
      </w:r>
      <w:r>
        <w:rPr/>
        <w:t>; </w:t>
      </w:r>
      <w:r>
        <w:rPr>
          <w:rFonts w:ascii="Arial" w:hAnsi="Arial"/>
          <w:i/>
        </w:rPr>
        <w:t>Hughes v Lord Advocate [1963] A.C. 837</w:t>
      </w:r>
      <w:r>
        <w:rPr/>
        <w:t>.</w:t>
      </w:r>
    </w:p>
    <w:p>
      <w:pPr>
        <w:pStyle w:val="BodyText"/>
        <w:spacing w:before="7"/>
      </w:pPr>
    </w:p>
    <w:p>
      <w:pPr>
        <w:spacing w:line="235" w:lineRule="auto" w:before="0"/>
        <w:ind w:left="705" w:right="167" w:hanging="541"/>
        <w:jc w:val="both"/>
        <w:rPr>
          <w:sz w:val="20"/>
        </w:rPr>
      </w:pPr>
      <w:bookmarkStart w:name="_bookmark1281" w:id="1283"/>
      <w:bookmarkEnd w:id="1283"/>
      <w:r>
        <w:rPr/>
      </w:r>
      <w:hyperlink w:history="true" w:anchor="_bookmark1192">
        <w:r>
          <w:rPr>
            <w:color w:val="005DA1"/>
            <w:position w:val="5"/>
            <w:sz w:val="14"/>
            <w:u w:val="single" w:color="005DA1"/>
          </w:rPr>
          <w:t>644</w:t>
        </w:r>
      </w:hyperlink>
      <w:r>
        <w:rPr>
          <w:position w:val="5"/>
          <w:sz w:val="14"/>
        </w:rPr>
        <w:t>.</w:t>
      </w:r>
      <w:r>
        <w:rPr>
          <w:spacing w:val="80"/>
          <w:position w:val="5"/>
          <w:sz w:val="14"/>
        </w:rPr>
        <w:t>  </w:t>
      </w:r>
      <w:r>
        <w:rPr>
          <w:rFonts w:ascii="Arial" w:hAnsi="Arial"/>
          <w:i/>
          <w:sz w:val="20"/>
        </w:rPr>
        <w:t>H. Parsons (Livestock) Ltd v Uttley, Ingham &amp; Co Ltd [1978] Q.B. 791, 811 </w:t>
      </w:r>
      <w:r>
        <w:rPr>
          <w:sz w:val="20"/>
        </w:rPr>
        <w:t>(“contemplation that a hopper unfit for its purpose of storing food in a condition suitable for feeding pigs, might well lead to illness” of the pigs or their “physical injury” (at 805, 813), but not that it might lead to a specific type of serious illness (at 812, 813)). “Loss of profit” is obviously another “type” of </w:t>
      </w:r>
      <w:r>
        <w:rPr>
          <w:sz w:val="20"/>
        </w:rPr>
        <w:t>loss: at 802–803, 813; see also below, paras 26-135 et seq. It seems that in contract cases involving loss of profit, a somewhat more precise test is applied than in tort cases. Thus in the </w:t>
      </w:r>
      <w:r>
        <w:rPr>
          <w:rFonts w:ascii="Arial" w:hAnsi="Arial"/>
          <w:i/>
          <w:sz w:val="20"/>
        </w:rPr>
        <w:t>Victoria Laundries case [1949] 2 K.B. 528</w:t>
      </w:r>
      <w:r>
        <w:rPr>
          <w:sz w:val="20"/>
        </w:rPr>
        <w:t>, the court distinguished between profit from different</w:t>
      </w:r>
      <w:r>
        <w:rPr>
          <w:spacing w:val="40"/>
          <w:sz w:val="20"/>
        </w:rPr>
        <w:t> </w:t>
      </w:r>
      <w:r>
        <w:rPr>
          <w:sz w:val="20"/>
        </w:rPr>
        <w:t>activities. This may be explained by the same factors which seem to lead the courts to requiring a higher degree of probability than in contract cases: see below, para.26-118. In </w:t>
      </w:r>
      <w:r>
        <w:rPr>
          <w:rFonts w:ascii="Arial" w:hAnsi="Arial"/>
          <w:i/>
          <w:sz w:val="20"/>
        </w:rPr>
        <w:t>Transfield Shipping Inc v Mercator Shipping Inc (The Achilleas) [2008] UKHL 48 </w:t>
      </w:r>
      <w:r>
        <w:rPr>
          <w:sz w:val="20"/>
        </w:rPr>
        <w:t>at [22]–[23], Lord Hoffmann pointed to the distinction drawn in </w:t>
      </w:r>
      <w:r>
        <w:rPr>
          <w:rFonts w:ascii="Arial" w:hAnsi="Arial"/>
          <w:i/>
          <w:sz w:val="20"/>
        </w:rPr>
        <w:t>Victoria Laundry (Windsor) Ltd v Newman Industries Ltd [1949] 2 K.B. 528 </w:t>
      </w:r>
      <w:r>
        <w:rPr>
          <w:sz w:val="20"/>
        </w:rPr>
        <w:t>between loss of laundry profits and loss of profits from especially lucrative dyeing contracts as justifying the approach that the defendant could not be assumed to be taking responsibility for certain kinds of loss. See further below, paras 26-126 et </w:t>
      </w:r>
      <w:r>
        <w:rPr>
          <w:spacing w:val="-4"/>
          <w:sz w:val="20"/>
        </w:rPr>
        <w:t>seq.</w:t>
      </w:r>
    </w:p>
    <w:p>
      <w:pPr>
        <w:pStyle w:val="BodyText"/>
        <w:spacing w:before="5"/>
      </w:pPr>
    </w:p>
    <w:p>
      <w:pPr>
        <w:tabs>
          <w:tab w:pos="705" w:val="left" w:leader="none"/>
        </w:tabs>
        <w:spacing w:line="235" w:lineRule="auto" w:before="0"/>
        <w:ind w:left="705" w:right="174" w:hanging="541"/>
        <w:jc w:val="left"/>
        <w:rPr>
          <w:sz w:val="20"/>
        </w:rPr>
      </w:pPr>
      <w:bookmarkStart w:name="_bookmark1282" w:id="1284"/>
      <w:bookmarkEnd w:id="1284"/>
      <w:r>
        <w:rPr/>
      </w:r>
      <w:hyperlink w:history="true" w:anchor="_bookmark1193">
        <w:r>
          <w:rPr>
            <w:color w:val="005DA1"/>
            <w:spacing w:val="-4"/>
            <w:position w:val="5"/>
            <w:sz w:val="14"/>
            <w:u w:val="single" w:color="005DA1"/>
          </w:rPr>
          <w:t>645</w:t>
        </w:r>
      </w:hyperlink>
      <w:r>
        <w:rPr>
          <w:spacing w:val="-4"/>
          <w:position w:val="5"/>
          <w:sz w:val="14"/>
        </w:rPr>
        <w:t>.</w:t>
      </w:r>
      <w:r>
        <w:rPr>
          <w:position w:val="5"/>
          <w:sz w:val="14"/>
        </w:rPr>
        <w:tab/>
      </w:r>
      <w:r>
        <w:rPr>
          <w:sz w:val="20"/>
        </w:rPr>
        <w:t>See</w:t>
      </w:r>
      <w:r>
        <w:rPr>
          <w:spacing w:val="40"/>
          <w:sz w:val="20"/>
        </w:rPr>
        <w:t> </w:t>
      </w:r>
      <w:r>
        <w:rPr>
          <w:sz w:val="20"/>
        </w:rPr>
        <w:t>the</w:t>
      </w:r>
      <w:r>
        <w:rPr>
          <w:spacing w:val="40"/>
          <w:sz w:val="20"/>
        </w:rPr>
        <w:t> </w:t>
      </w:r>
      <w:r>
        <w:rPr>
          <w:sz w:val="20"/>
        </w:rPr>
        <w:t>speech</w:t>
      </w:r>
      <w:r>
        <w:rPr>
          <w:spacing w:val="40"/>
          <w:sz w:val="20"/>
        </w:rPr>
        <w:t> </w:t>
      </w:r>
      <w:r>
        <w:rPr>
          <w:sz w:val="20"/>
        </w:rPr>
        <w:t>of</w:t>
      </w:r>
      <w:r>
        <w:rPr>
          <w:spacing w:val="40"/>
          <w:sz w:val="20"/>
        </w:rPr>
        <w:t> </w:t>
      </w:r>
      <w:r>
        <w:rPr>
          <w:sz w:val="20"/>
        </w:rPr>
        <w:t>Lord</w:t>
      </w:r>
      <w:r>
        <w:rPr>
          <w:spacing w:val="40"/>
          <w:sz w:val="20"/>
        </w:rPr>
        <w:t> </w:t>
      </w:r>
      <w:r>
        <w:rPr>
          <w:sz w:val="20"/>
        </w:rPr>
        <w:t>Rodger</w:t>
      </w:r>
      <w:r>
        <w:rPr>
          <w:spacing w:val="40"/>
          <w:sz w:val="20"/>
        </w:rPr>
        <w:t> </w:t>
      </w:r>
      <w:r>
        <w:rPr>
          <w:sz w:val="20"/>
        </w:rPr>
        <w:t>in</w:t>
      </w:r>
      <w:r>
        <w:rPr>
          <w:spacing w:val="40"/>
          <w:sz w:val="20"/>
        </w:rPr>
        <w:t> </w:t>
      </w:r>
      <w:r>
        <w:rPr>
          <w:rFonts w:ascii="Arial"/>
          <w:i/>
          <w:sz w:val="20"/>
        </w:rPr>
        <w:t>Transfield</w:t>
      </w:r>
      <w:r>
        <w:rPr>
          <w:rFonts w:ascii="Arial"/>
          <w:i/>
          <w:spacing w:val="40"/>
          <w:sz w:val="20"/>
        </w:rPr>
        <w:t> </w:t>
      </w:r>
      <w:r>
        <w:rPr>
          <w:rFonts w:ascii="Arial"/>
          <w:i/>
          <w:sz w:val="20"/>
        </w:rPr>
        <w:t>Shipping</w:t>
      </w:r>
      <w:r>
        <w:rPr>
          <w:rFonts w:ascii="Arial"/>
          <w:i/>
          <w:spacing w:val="40"/>
          <w:sz w:val="20"/>
        </w:rPr>
        <w:t> </w:t>
      </w:r>
      <w:r>
        <w:rPr>
          <w:rFonts w:ascii="Arial"/>
          <w:i/>
          <w:sz w:val="20"/>
        </w:rPr>
        <w:t>Inc</w:t>
      </w:r>
      <w:r>
        <w:rPr>
          <w:rFonts w:ascii="Arial"/>
          <w:i/>
          <w:spacing w:val="40"/>
          <w:sz w:val="20"/>
        </w:rPr>
        <w:t> </w:t>
      </w:r>
      <w:r>
        <w:rPr>
          <w:rFonts w:ascii="Arial"/>
          <w:i/>
          <w:sz w:val="20"/>
        </w:rPr>
        <w:t>v</w:t>
      </w:r>
      <w:r>
        <w:rPr>
          <w:rFonts w:ascii="Arial"/>
          <w:i/>
          <w:spacing w:val="40"/>
          <w:sz w:val="20"/>
        </w:rPr>
        <w:t> </w:t>
      </w:r>
      <w:r>
        <w:rPr>
          <w:rFonts w:ascii="Arial"/>
          <w:i/>
          <w:sz w:val="20"/>
        </w:rPr>
        <w:t>Mercator</w:t>
      </w:r>
      <w:r>
        <w:rPr>
          <w:rFonts w:ascii="Arial"/>
          <w:i/>
          <w:spacing w:val="40"/>
          <w:sz w:val="20"/>
        </w:rPr>
        <w:t> </w:t>
      </w:r>
      <w:r>
        <w:rPr>
          <w:rFonts w:ascii="Arial"/>
          <w:i/>
          <w:sz w:val="20"/>
        </w:rPr>
        <w:t>Shipping</w:t>
      </w:r>
      <w:r>
        <w:rPr>
          <w:rFonts w:ascii="Arial"/>
          <w:i/>
          <w:spacing w:val="40"/>
          <w:sz w:val="20"/>
        </w:rPr>
        <w:t> </w:t>
      </w:r>
      <w:r>
        <w:rPr>
          <w:rFonts w:ascii="Arial"/>
          <w:i/>
          <w:sz w:val="20"/>
        </w:rPr>
        <w:t>Inc</w:t>
      </w:r>
      <w:r>
        <w:rPr>
          <w:rFonts w:ascii="Arial"/>
          <w:i/>
          <w:spacing w:val="40"/>
          <w:sz w:val="20"/>
        </w:rPr>
        <w:t> </w:t>
      </w:r>
      <w:r>
        <w:rPr>
          <w:rFonts w:ascii="Arial"/>
          <w:i/>
          <w:sz w:val="20"/>
        </w:rPr>
        <w:t>(The Achilleas) [2008] UKHL 48 </w:t>
      </w:r>
      <w:r>
        <w:rPr>
          <w:sz w:val="20"/>
        </w:rPr>
        <w:t>discussed below at para.26-128.</w:t>
      </w:r>
    </w:p>
    <w:p>
      <w:pPr>
        <w:pStyle w:val="BodyText"/>
        <w:spacing w:before="5"/>
      </w:pPr>
    </w:p>
    <w:p>
      <w:pPr>
        <w:pStyle w:val="BodyText"/>
        <w:tabs>
          <w:tab w:pos="705" w:val="left" w:leader="none"/>
        </w:tabs>
        <w:ind w:left="165"/>
      </w:pPr>
      <w:bookmarkStart w:name="_bookmark1283" w:id="1285"/>
      <w:bookmarkEnd w:id="1285"/>
      <w:r>
        <w:rPr/>
      </w:r>
      <w:hyperlink w:history="true" w:anchor="_bookmark1194">
        <w:r>
          <w:rPr>
            <w:color w:val="005DA1"/>
            <w:spacing w:val="-4"/>
            <w:position w:val="5"/>
            <w:sz w:val="14"/>
            <w:u w:val="single" w:color="005DA1"/>
          </w:rPr>
          <w:t>646</w:t>
        </w:r>
      </w:hyperlink>
      <w:r>
        <w:rPr>
          <w:spacing w:val="-4"/>
          <w:position w:val="5"/>
          <w:sz w:val="14"/>
        </w:rPr>
        <w:t>.</w:t>
      </w:r>
      <w:r>
        <w:rPr>
          <w:position w:val="5"/>
          <w:sz w:val="14"/>
        </w:rPr>
        <w:tab/>
      </w:r>
      <w:r>
        <w:rPr/>
        <w:t>See below, paras 26-126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284" w:id="1286"/>
      <w:bookmarkEnd w:id="1286"/>
      <w:r>
        <w:rPr/>
      </w:r>
      <w:hyperlink w:history="true" w:anchor="_bookmark1195">
        <w:r>
          <w:rPr>
            <w:color w:val="005DA1"/>
            <w:spacing w:val="-4"/>
            <w:position w:val="5"/>
            <w:sz w:val="14"/>
            <w:u w:val="single" w:color="005DA1"/>
          </w:rPr>
          <w:t>647</w:t>
        </w:r>
      </w:hyperlink>
      <w:r>
        <w:rPr>
          <w:spacing w:val="-4"/>
          <w:position w:val="5"/>
          <w:sz w:val="14"/>
        </w:rPr>
        <w:t>.</w:t>
      </w:r>
      <w:r>
        <w:rPr>
          <w:position w:val="5"/>
          <w:sz w:val="14"/>
        </w:rPr>
        <w:tab/>
      </w:r>
      <w:r>
        <w:rPr>
          <w:rFonts w:ascii="Arial"/>
          <w:i/>
          <w:sz w:val="20"/>
        </w:rPr>
        <w:t>Cory v Thames Ironworks and Shipbuilding Co Ltd (1868) L.R. 3 Q.B. </w:t>
      </w:r>
      <w:r>
        <w:rPr>
          <w:rFonts w:ascii="Arial"/>
          <w:i/>
          <w:spacing w:val="-4"/>
          <w:sz w:val="20"/>
        </w:rPr>
        <w:t>181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85" w:id="1287"/>
      <w:bookmarkEnd w:id="1287"/>
      <w:r>
        <w:rPr/>
      </w:r>
      <w:hyperlink w:history="true" w:anchor="_bookmark1196">
        <w:r>
          <w:rPr>
            <w:color w:val="005DA1"/>
            <w:spacing w:val="-4"/>
            <w:position w:val="5"/>
            <w:sz w:val="14"/>
            <w:u w:val="single" w:color="005DA1"/>
          </w:rPr>
          <w:t>648</w:t>
        </w:r>
      </w:hyperlink>
      <w:r>
        <w:rPr>
          <w:spacing w:val="-4"/>
          <w:position w:val="5"/>
          <w:sz w:val="14"/>
        </w:rPr>
        <w:t>.</w:t>
      </w:r>
      <w:r>
        <w:rPr>
          <w:position w:val="5"/>
          <w:sz w:val="14"/>
        </w:rPr>
        <w:tab/>
      </w:r>
      <w:r>
        <w:rPr>
          <w:sz w:val="20"/>
        </w:rPr>
        <w:t>This explanation is supported by the</w:t>
      </w:r>
      <w:r>
        <w:rPr>
          <w:spacing w:val="-1"/>
          <w:sz w:val="20"/>
        </w:rPr>
        <w:t> </w:t>
      </w:r>
      <w:r>
        <w:rPr>
          <w:rFonts w:ascii="Arial"/>
          <w:i/>
          <w:sz w:val="20"/>
        </w:rPr>
        <w:t>Victoria Laundry case [1949] 2 K.B. </w:t>
      </w:r>
      <w:r>
        <w:rPr>
          <w:rFonts w:ascii="Arial"/>
          <w:i/>
          <w:spacing w:val="-4"/>
          <w:sz w:val="20"/>
        </w:rPr>
        <w:t>528</w:t>
      </w:r>
      <w:r>
        <w:rPr>
          <w:spacing w:val="-4"/>
          <w:sz w:val="20"/>
        </w:rPr>
        <w:t>.</w:t>
      </w:r>
    </w:p>
    <w:p>
      <w:pPr>
        <w:pStyle w:val="BodyText"/>
        <w:spacing w:before="5"/>
      </w:pPr>
    </w:p>
    <w:p>
      <w:pPr>
        <w:pStyle w:val="BodyText"/>
        <w:tabs>
          <w:tab w:pos="705" w:val="left" w:leader="none"/>
        </w:tabs>
        <w:ind w:left="165"/>
      </w:pPr>
      <w:bookmarkStart w:name="_bookmark1286" w:id="1288"/>
      <w:bookmarkEnd w:id="1288"/>
      <w:r>
        <w:rPr/>
      </w:r>
      <w:hyperlink w:history="true" w:anchor="_bookmark1197">
        <w:r>
          <w:rPr>
            <w:color w:val="005DA1"/>
            <w:spacing w:val="-4"/>
            <w:position w:val="5"/>
            <w:sz w:val="14"/>
            <w:u w:val="single" w:color="005DA1"/>
          </w:rPr>
          <w:t>649</w:t>
        </w:r>
      </w:hyperlink>
      <w:r>
        <w:rPr>
          <w:spacing w:val="-4"/>
          <w:position w:val="5"/>
          <w:sz w:val="14"/>
        </w:rPr>
        <w:t>.</w:t>
      </w:r>
      <w:r>
        <w:rPr>
          <w:position w:val="5"/>
          <w:sz w:val="14"/>
        </w:rPr>
        <w:tab/>
      </w:r>
      <w:r>
        <w:rPr/>
        <w:t>See</w:t>
      </w:r>
      <w:r>
        <w:rPr>
          <w:spacing w:val="-2"/>
        </w:rPr>
        <w:t> </w:t>
      </w:r>
      <w:r>
        <w:rPr/>
        <w:t>above, para.26-</w:t>
      </w:r>
      <w:r>
        <w:rPr>
          <w:spacing w:val="-4"/>
        </w:rPr>
        <w:t>114.</w:t>
      </w:r>
    </w:p>
    <w:p>
      <w:pPr>
        <w:pStyle w:val="BodyText"/>
        <w:spacing w:before="5"/>
      </w:pPr>
    </w:p>
    <w:p>
      <w:pPr>
        <w:tabs>
          <w:tab w:pos="705" w:val="left" w:leader="none"/>
        </w:tabs>
        <w:spacing w:before="0"/>
        <w:ind w:left="165" w:right="0" w:firstLine="0"/>
        <w:jc w:val="left"/>
        <w:rPr>
          <w:sz w:val="20"/>
        </w:rPr>
      </w:pPr>
      <w:bookmarkStart w:name="_bookmark1287" w:id="1289"/>
      <w:bookmarkEnd w:id="1289"/>
      <w:r>
        <w:rPr/>
      </w:r>
      <w:hyperlink w:history="true" w:anchor="_bookmark1198">
        <w:r>
          <w:rPr>
            <w:color w:val="005DA1"/>
            <w:spacing w:val="-4"/>
            <w:position w:val="5"/>
            <w:sz w:val="14"/>
            <w:u w:val="single" w:color="005DA1"/>
          </w:rPr>
          <w:t>650</w:t>
        </w:r>
      </w:hyperlink>
      <w:r>
        <w:rPr>
          <w:spacing w:val="-4"/>
          <w:position w:val="5"/>
          <w:sz w:val="14"/>
        </w:rPr>
        <w:t>.</w:t>
      </w:r>
      <w:r>
        <w:rPr>
          <w:position w:val="5"/>
          <w:sz w:val="14"/>
        </w:rPr>
        <w:tab/>
      </w:r>
      <w:r>
        <w:rPr>
          <w:rFonts w:ascii="Arial"/>
          <w:i/>
          <w:sz w:val="20"/>
        </w:rPr>
        <w:t>Southern Portland Cement Ltd v Cooper [1974] A.C. 623, </w:t>
      </w:r>
      <w:r>
        <w:rPr>
          <w:rFonts w:ascii="Arial"/>
          <w:i/>
          <w:spacing w:val="-4"/>
          <w:sz w:val="20"/>
        </w:rPr>
        <w:t>640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88" w:id="1290"/>
      <w:bookmarkEnd w:id="1290"/>
      <w:r>
        <w:rPr/>
      </w:r>
      <w:hyperlink w:history="true" w:anchor="_bookmark1199">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[1969]</w:t>
      </w:r>
      <w:r>
        <w:rPr>
          <w:rFonts w:ascii="Arial"/>
          <w:i/>
          <w:spacing w:val="-1"/>
          <w:sz w:val="20"/>
        </w:rPr>
        <w:t> </w:t>
      </w:r>
      <w:r>
        <w:rPr>
          <w:rFonts w:ascii="Arial"/>
          <w:i/>
          <w:sz w:val="20"/>
        </w:rPr>
        <w:t>1 A.C. 350</w:t>
      </w:r>
      <w:r>
        <w:rPr>
          <w:sz w:val="20"/>
        </w:rPr>
        <w:t>. For how the rules apply to late delivery by carriers, see below, para.26-</w:t>
      </w:r>
      <w:r>
        <w:rPr>
          <w:spacing w:val="-4"/>
          <w:sz w:val="20"/>
        </w:rPr>
        <w:t>137.</w:t>
      </w:r>
    </w:p>
    <w:p>
      <w:pPr>
        <w:pStyle w:val="BodyText"/>
        <w:spacing w:before="5"/>
      </w:pPr>
    </w:p>
    <w:p>
      <w:pPr>
        <w:tabs>
          <w:tab w:pos="705" w:val="left" w:leader="none"/>
        </w:tabs>
        <w:spacing w:before="1"/>
        <w:ind w:left="165" w:right="0" w:firstLine="0"/>
        <w:jc w:val="left"/>
        <w:rPr>
          <w:sz w:val="20"/>
        </w:rPr>
      </w:pPr>
      <w:bookmarkStart w:name="_bookmark1289" w:id="1291"/>
      <w:bookmarkEnd w:id="1291"/>
      <w:r>
        <w:rPr/>
      </w:r>
      <w:hyperlink w:history="true" w:anchor="_bookmark1200">
        <w:r>
          <w:rPr>
            <w:color w:val="005DA1"/>
            <w:spacing w:val="-4"/>
            <w:position w:val="5"/>
            <w:sz w:val="14"/>
            <w:u w:val="single" w:color="005DA1"/>
          </w:rPr>
          <w:t>652</w:t>
        </w:r>
      </w:hyperlink>
      <w:r>
        <w:rPr>
          <w:spacing w:val="-4"/>
          <w:position w:val="5"/>
          <w:sz w:val="14"/>
        </w:rPr>
        <w:t>.</w:t>
      </w:r>
      <w:r>
        <w:rPr>
          <w:position w:val="5"/>
          <w:sz w:val="14"/>
        </w:rPr>
        <w:tab/>
      </w:r>
      <w:r>
        <w:rPr>
          <w:rFonts w:ascii="Arial" w:hAnsi="Arial"/>
          <w:i/>
          <w:sz w:val="20"/>
        </w:rPr>
        <w:t>[1969]</w:t>
      </w:r>
      <w:r>
        <w:rPr>
          <w:rFonts w:ascii="Arial" w:hAnsi="Arial"/>
          <w:i/>
          <w:spacing w:val="60"/>
          <w:sz w:val="20"/>
        </w:rPr>
        <w:t> </w:t>
      </w:r>
      <w:r>
        <w:rPr>
          <w:rFonts w:ascii="Arial" w:hAnsi="Arial"/>
          <w:i/>
          <w:sz w:val="20"/>
        </w:rPr>
        <w:t>1</w:t>
      </w:r>
      <w:r>
        <w:rPr>
          <w:rFonts w:ascii="Arial" w:hAnsi="Arial"/>
          <w:i/>
          <w:spacing w:val="61"/>
          <w:sz w:val="20"/>
        </w:rPr>
        <w:t> </w:t>
      </w:r>
      <w:r>
        <w:rPr>
          <w:rFonts w:ascii="Arial" w:hAnsi="Arial"/>
          <w:i/>
          <w:sz w:val="20"/>
        </w:rPr>
        <w:t>A.C.</w:t>
      </w:r>
      <w:r>
        <w:rPr>
          <w:rFonts w:ascii="Arial" w:hAnsi="Arial"/>
          <w:i/>
          <w:spacing w:val="61"/>
          <w:sz w:val="20"/>
        </w:rPr>
        <w:t> </w:t>
      </w:r>
      <w:r>
        <w:rPr>
          <w:rFonts w:ascii="Arial" w:hAnsi="Arial"/>
          <w:i/>
          <w:sz w:val="20"/>
        </w:rPr>
        <w:t>350,</w:t>
      </w:r>
      <w:r>
        <w:rPr>
          <w:rFonts w:ascii="Arial" w:hAnsi="Arial"/>
          <w:i/>
          <w:spacing w:val="61"/>
          <w:sz w:val="20"/>
        </w:rPr>
        <w:t> </w:t>
      </w:r>
      <w:r>
        <w:rPr>
          <w:rFonts w:ascii="Arial" w:hAnsi="Arial"/>
          <w:i/>
          <w:sz w:val="20"/>
        </w:rPr>
        <w:t>383</w:t>
      </w:r>
      <w:r>
        <w:rPr>
          <w:sz w:val="20"/>
        </w:rPr>
        <w:t>.</w:t>
      </w:r>
      <w:r>
        <w:rPr>
          <w:spacing w:val="61"/>
          <w:sz w:val="20"/>
        </w:rPr>
        <w:t> </w:t>
      </w:r>
      <w:r>
        <w:rPr>
          <w:sz w:val="20"/>
        </w:rPr>
        <w:t>(See</w:t>
      </w:r>
      <w:r>
        <w:rPr>
          <w:spacing w:val="61"/>
          <w:sz w:val="20"/>
        </w:rPr>
        <w:t> </w:t>
      </w:r>
      <w:r>
        <w:rPr>
          <w:sz w:val="20"/>
        </w:rPr>
        <w:t>also</w:t>
      </w:r>
      <w:r>
        <w:rPr>
          <w:spacing w:val="61"/>
          <w:sz w:val="20"/>
        </w:rPr>
        <w:t> </w:t>
      </w:r>
      <w:r>
        <w:rPr>
          <w:sz w:val="20"/>
        </w:rPr>
        <w:t>his</w:t>
      </w:r>
      <w:r>
        <w:rPr>
          <w:spacing w:val="61"/>
          <w:sz w:val="20"/>
        </w:rPr>
        <w:t> </w:t>
      </w:r>
      <w:r>
        <w:rPr>
          <w:sz w:val="20"/>
        </w:rPr>
        <w:t>statements</w:t>
      </w:r>
      <w:r>
        <w:rPr>
          <w:spacing w:val="61"/>
          <w:sz w:val="20"/>
        </w:rPr>
        <w:t> </w:t>
      </w:r>
      <w:r>
        <w:rPr>
          <w:sz w:val="20"/>
        </w:rPr>
        <w:t>at</w:t>
      </w:r>
      <w:r>
        <w:rPr>
          <w:spacing w:val="61"/>
          <w:sz w:val="20"/>
        </w:rPr>
        <w:t> </w:t>
      </w:r>
      <w:r>
        <w:rPr>
          <w:sz w:val="20"/>
        </w:rPr>
        <w:t>388:</w:t>
      </w:r>
      <w:r>
        <w:rPr>
          <w:spacing w:val="61"/>
          <w:sz w:val="20"/>
        </w:rPr>
        <w:t> </w:t>
      </w:r>
      <w:r>
        <w:rPr>
          <w:sz w:val="20"/>
        </w:rPr>
        <w:t>“a</w:t>
      </w:r>
      <w:r>
        <w:rPr>
          <w:spacing w:val="61"/>
          <w:sz w:val="20"/>
        </w:rPr>
        <w:t> </w:t>
      </w:r>
      <w:r>
        <w:rPr>
          <w:sz w:val="20"/>
        </w:rPr>
        <w:t>very</w:t>
      </w:r>
      <w:r>
        <w:rPr>
          <w:spacing w:val="61"/>
          <w:sz w:val="20"/>
        </w:rPr>
        <w:t> </w:t>
      </w:r>
      <w:r>
        <w:rPr>
          <w:sz w:val="20"/>
        </w:rPr>
        <w:t>substantial</w:t>
      </w:r>
      <w:r>
        <w:rPr>
          <w:spacing w:val="61"/>
          <w:sz w:val="20"/>
        </w:rPr>
        <w:t> </w:t>
      </w:r>
      <w:r>
        <w:rPr>
          <w:sz w:val="20"/>
        </w:rPr>
        <w:t>degree</w:t>
      </w:r>
      <w:r>
        <w:rPr>
          <w:spacing w:val="61"/>
          <w:sz w:val="20"/>
        </w:rPr>
        <w:t> </w:t>
      </w:r>
      <w:r>
        <w:rPr>
          <w:spacing w:val="-5"/>
          <w:sz w:val="20"/>
        </w:rPr>
        <w:t>of</w:t>
      </w:r>
    </w:p>
    <w:p>
      <w:pPr>
        <w:spacing w:after="0"/>
        <w:jc w:val="left"/>
        <w:rPr>
          <w:sz w:val="20"/>
        </w:rPr>
        <w:sectPr>
          <w:pgSz w:w="11900" w:h="16840"/>
          <w:pgMar w:header="971" w:footer="0" w:top="1300" w:bottom="280" w:left="1275" w:right="1275"/>
        </w:sectPr>
      </w:pPr>
    </w:p>
    <w:p>
      <w:pPr>
        <w:pStyle w:val="BodyText"/>
        <w:spacing w:before="106"/>
        <w:ind w:left="705"/>
      </w:pPr>
      <w:r>
        <w:rPr>
          <w:spacing w:val="-2"/>
        </w:rPr>
        <w:t>probability”.)</w:t>
      </w:r>
    </w:p>
    <w:p>
      <w:pPr>
        <w:pStyle w:val="BodyText"/>
        <w:spacing w:before="5"/>
      </w:pPr>
    </w:p>
    <w:p>
      <w:pPr>
        <w:tabs>
          <w:tab w:pos="705" w:val="left" w:leader="none"/>
        </w:tabs>
        <w:spacing w:before="1"/>
        <w:ind w:left="165" w:right="0" w:firstLine="0"/>
        <w:jc w:val="left"/>
        <w:rPr>
          <w:sz w:val="20"/>
        </w:rPr>
      </w:pPr>
      <w:bookmarkStart w:name="_bookmark1290" w:id="1292"/>
      <w:bookmarkEnd w:id="1292"/>
      <w:r>
        <w:rPr/>
      </w:r>
      <w:hyperlink w:history="true" w:anchor="_bookmark1201">
        <w:r>
          <w:rPr>
            <w:color w:val="005DA1"/>
            <w:spacing w:val="-4"/>
            <w:position w:val="5"/>
            <w:sz w:val="14"/>
            <w:u w:val="single" w:color="005DA1"/>
          </w:rPr>
          <w:t>653</w:t>
        </w:r>
      </w:hyperlink>
      <w:r>
        <w:rPr>
          <w:spacing w:val="-4"/>
          <w:position w:val="5"/>
          <w:sz w:val="14"/>
        </w:rPr>
        <w:t>.</w:t>
      </w:r>
      <w:r>
        <w:rPr>
          <w:position w:val="5"/>
          <w:sz w:val="14"/>
        </w:rPr>
        <w:tab/>
      </w:r>
      <w:r>
        <w:rPr>
          <w:rFonts w:ascii="Arial"/>
          <w:i/>
          <w:sz w:val="20"/>
        </w:rPr>
        <w:t>[1969] 1 A.C. 350, 397, </w:t>
      </w:r>
      <w:r>
        <w:rPr>
          <w:rFonts w:ascii="Arial"/>
          <w:i/>
          <w:spacing w:val="-4"/>
          <w:sz w:val="20"/>
        </w:rPr>
        <w:t>399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291" w:id="1293"/>
      <w:bookmarkEnd w:id="1293"/>
      <w:r>
        <w:rPr/>
      </w:r>
      <w:hyperlink w:history="true" w:anchor="_bookmark1202">
        <w:r>
          <w:rPr>
            <w:color w:val="005DA1"/>
            <w:spacing w:val="-4"/>
            <w:position w:val="5"/>
            <w:sz w:val="14"/>
            <w:u w:val="single" w:color="005DA1"/>
          </w:rPr>
          <w:t>654</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406</w:t>
      </w:r>
      <w:r>
        <w:rPr>
          <w:spacing w:val="-4"/>
          <w:sz w:val="20"/>
        </w:rPr>
        <w:t>.</w:t>
      </w:r>
    </w:p>
    <w:p>
      <w:pPr>
        <w:pStyle w:val="BodyText"/>
        <w:spacing w:before="8"/>
      </w:pPr>
    </w:p>
    <w:p>
      <w:pPr>
        <w:tabs>
          <w:tab w:pos="705" w:val="left" w:leader="none"/>
        </w:tabs>
        <w:spacing w:line="235" w:lineRule="auto" w:before="0"/>
        <w:ind w:left="705" w:right="174" w:hanging="541"/>
        <w:jc w:val="left"/>
        <w:rPr>
          <w:sz w:val="20"/>
        </w:rPr>
      </w:pPr>
      <w:bookmarkStart w:name="_bookmark1292" w:id="1294"/>
      <w:bookmarkEnd w:id="1294"/>
      <w:r>
        <w:rPr/>
      </w:r>
      <w:hyperlink w:history="true" w:anchor="_bookmark1202">
        <w:r>
          <w:rPr>
            <w:color w:val="005DA1"/>
            <w:spacing w:val="-4"/>
            <w:position w:val="5"/>
            <w:sz w:val="14"/>
            <w:u w:val="single" w:color="005DA1"/>
          </w:rPr>
          <w:t>655</w:t>
        </w:r>
      </w:hyperlink>
      <w:r>
        <w:rPr>
          <w:spacing w:val="-4"/>
          <w:position w:val="5"/>
          <w:sz w:val="14"/>
        </w:rPr>
        <w:t>.</w:t>
      </w:r>
      <w:r>
        <w:rPr>
          <w:position w:val="5"/>
          <w:sz w:val="14"/>
        </w:rPr>
        <w:tab/>
      </w:r>
      <w:r>
        <w:rPr>
          <w:rFonts w:ascii="Arial" w:hAnsi="Arial"/>
          <w:i/>
          <w:sz w:val="20"/>
        </w:rPr>
        <w:t>[1969] 1 A.C. 350, 406</w:t>
      </w:r>
      <w:r>
        <w:rPr>
          <w:sz w:val="20"/>
        </w:rPr>
        <w:t>. “Liable to result” was also one of the phrases accepted in the </w:t>
      </w:r>
      <w:r>
        <w:rPr>
          <w:rFonts w:ascii="Arial" w:hAnsi="Arial"/>
          <w:i/>
          <w:sz w:val="20"/>
        </w:rPr>
        <w:t>Victoria</w:t>
      </w:r>
      <w:r>
        <w:rPr>
          <w:rFonts w:ascii="Arial" w:hAnsi="Arial"/>
          <w:i/>
          <w:spacing w:val="40"/>
          <w:sz w:val="20"/>
        </w:rPr>
        <w:t> </w:t>
      </w:r>
      <w:r>
        <w:rPr>
          <w:rFonts w:ascii="Arial" w:hAnsi="Arial"/>
          <w:i/>
          <w:sz w:val="20"/>
        </w:rPr>
        <w:t>Laundry Case [1949] 2 K.B. 528, 540</w:t>
      </w:r>
      <w:r>
        <w:rPr>
          <w:sz w:val="20"/>
        </w:rPr>
        <w:t>.</w:t>
      </w:r>
    </w:p>
    <w:p>
      <w:pPr>
        <w:pStyle w:val="BodyText"/>
        <w:spacing w:before="6"/>
      </w:pPr>
    </w:p>
    <w:p>
      <w:pPr>
        <w:tabs>
          <w:tab w:pos="705" w:val="left" w:leader="none"/>
        </w:tabs>
        <w:spacing w:before="0"/>
        <w:ind w:left="165" w:right="0" w:firstLine="0"/>
        <w:jc w:val="left"/>
        <w:rPr>
          <w:sz w:val="20"/>
        </w:rPr>
      </w:pPr>
      <w:bookmarkStart w:name="_bookmark1293" w:id="1295"/>
      <w:bookmarkEnd w:id="1295"/>
      <w:r>
        <w:rPr/>
      </w:r>
      <w:hyperlink w:history="true" w:anchor="_bookmark1202">
        <w:r>
          <w:rPr>
            <w:color w:val="005DA1"/>
            <w:spacing w:val="-4"/>
            <w:position w:val="5"/>
            <w:sz w:val="14"/>
            <w:u w:val="single" w:color="005DA1"/>
          </w:rPr>
          <w:t>656</w:t>
        </w:r>
      </w:hyperlink>
      <w:r>
        <w:rPr>
          <w:spacing w:val="-4"/>
          <w:position w:val="5"/>
          <w:sz w:val="14"/>
        </w:rPr>
        <w:t>.</w:t>
      </w:r>
      <w:r>
        <w:rPr>
          <w:position w:val="5"/>
          <w:sz w:val="14"/>
        </w:rPr>
        <w:tab/>
      </w:r>
      <w:r>
        <w:rPr>
          <w:rFonts w:ascii="Arial" w:hAnsi="Arial"/>
          <w:i/>
          <w:sz w:val="20"/>
        </w:rPr>
        <w:t>[1969]</w:t>
      </w:r>
      <w:r>
        <w:rPr>
          <w:rFonts w:ascii="Arial" w:hAnsi="Arial"/>
          <w:i/>
          <w:spacing w:val="-1"/>
          <w:sz w:val="20"/>
        </w:rPr>
        <w:t> </w:t>
      </w:r>
      <w:r>
        <w:rPr>
          <w:rFonts w:ascii="Arial" w:hAnsi="Arial"/>
          <w:i/>
          <w:sz w:val="20"/>
        </w:rPr>
        <w:t>1 A.C. 350, 410–411</w:t>
      </w:r>
      <w:r>
        <w:rPr>
          <w:sz w:val="20"/>
        </w:rPr>
        <w:t>. (Lord Reid, at 389, rejected this </w:t>
      </w:r>
      <w:r>
        <w:rPr>
          <w:spacing w:val="-2"/>
          <w:sz w:val="20"/>
        </w:rPr>
        <w:t>phrase.)</w:t>
      </w:r>
    </w:p>
    <w:p>
      <w:pPr>
        <w:pStyle w:val="BodyText"/>
        <w:spacing w:before="5"/>
      </w:pPr>
    </w:p>
    <w:p>
      <w:pPr>
        <w:tabs>
          <w:tab w:pos="705" w:val="left" w:leader="none"/>
        </w:tabs>
        <w:spacing w:before="0"/>
        <w:ind w:left="165" w:right="0" w:firstLine="0"/>
        <w:jc w:val="left"/>
        <w:rPr>
          <w:sz w:val="20"/>
        </w:rPr>
      </w:pPr>
      <w:bookmarkStart w:name="_bookmark1294" w:id="1296"/>
      <w:bookmarkEnd w:id="1296"/>
      <w:r>
        <w:rPr/>
      </w:r>
      <w:hyperlink w:history="true" w:anchor="_bookmark1203">
        <w:r>
          <w:rPr>
            <w:color w:val="005DA1"/>
            <w:spacing w:val="-4"/>
            <w:position w:val="5"/>
            <w:sz w:val="14"/>
            <w:u w:val="single" w:color="005DA1"/>
          </w:rPr>
          <w:t>657</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415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95" w:id="1297"/>
      <w:bookmarkEnd w:id="1297"/>
      <w:r>
        <w:rPr/>
      </w:r>
      <w:hyperlink w:history="true" w:anchor="_bookmark1203">
        <w:r>
          <w:rPr>
            <w:color w:val="005DA1"/>
            <w:spacing w:val="-4"/>
            <w:position w:val="5"/>
            <w:sz w:val="14"/>
            <w:u w:val="single" w:color="005DA1"/>
          </w:rPr>
          <w:t>658</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425</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296" w:id="1298"/>
      <w:bookmarkEnd w:id="1298"/>
      <w:r>
        <w:rPr/>
      </w:r>
      <w:hyperlink w:history="true" w:anchor="_bookmark1203">
        <w:r>
          <w:rPr>
            <w:color w:val="005DA1"/>
            <w:position w:val="5"/>
            <w:sz w:val="14"/>
            <w:u w:val="single" w:color="005DA1"/>
          </w:rPr>
          <w:t>659</w:t>
        </w:r>
      </w:hyperlink>
      <w:r>
        <w:rPr>
          <w:position w:val="5"/>
          <w:sz w:val="14"/>
        </w:rPr>
        <w:t>.</w:t>
      </w:r>
      <w:r>
        <w:rPr>
          <w:spacing w:val="80"/>
          <w:position w:val="5"/>
          <w:sz w:val="14"/>
        </w:rPr>
        <w:t> </w:t>
      </w:r>
      <w:r>
        <w:rPr>
          <w:sz w:val="20"/>
        </w:rPr>
        <w:t>These words were rejected by Lord Reid (at 390), who also rejected “foreseeable as a real possibility”</w:t>
      </w:r>
      <w:r>
        <w:rPr>
          <w:spacing w:val="-2"/>
          <w:sz w:val="20"/>
        </w:rPr>
        <w:t> </w:t>
      </w:r>
      <w:r>
        <w:rPr>
          <w:sz w:val="20"/>
        </w:rPr>
        <w:t>(at</w:t>
      </w:r>
      <w:r>
        <w:rPr>
          <w:spacing w:val="-2"/>
          <w:sz w:val="20"/>
        </w:rPr>
        <w:t> </w:t>
      </w:r>
      <w:r>
        <w:rPr>
          <w:sz w:val="20"/>
        </w:rPr>
        <w:t>385).</w:t>
      </w:r>
      <w:r>
        <w:rPr>
          <w:spacing w:val="-2"/>
          <w:sz w:val="20"/>
        </w:rPr>
        <w:t> </w:t>
      </w:r>
      <w:r>
        <w:rPr>
          <w:rFonts w:ascii="Arial" w:hAnsi="Arial"/>
          <w:i/>
          <w:sz w:val="20"/>
        </w:rPr>
        <w:t>Victoria</w:t>
      </w:r>
      <w:r>
        <w:rPr>
          <w:rFonts w:ascii="Arial" w:hAnsi="Arial"/>
          <w:i/>
          <w:spacing w:val="-2"/>
          <w:sz w:val="20"/>
        </w:rPr>
        <w:t> </w:t>
      </w:r>
      <w:r>
        <w:rPr>
          <w:rFonts w:ascii="Arial" w:hAnsi="Arial"/>
          <w:i/>
          <w:sz w:val="20"/>
        </w:rPr>
        <w:t>Laundry</w:t>
      </w:r>
      <w:r>
        <w:rPr>
          <w:rFonts w:ascii="Arial" w:hAnsi="Arial"/>
          <w:i/>
          <w:spacing w:val="-2"/>
          <w:sz w:val="20"/>
        </w:rPr>
        <w:t> </w:t>
      </w:r>
      <w:r>
        <w:rPr>
          <w:rFonts w:ascii="Arial" w:hAnsi="Arial"/>
          <w:i/>
          <w:sz w:val="20"/>
        </w:rPr>
        <w:t>[1949]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528,</w:t>
      </w:r>
      <w:r>
        <w:rPr>
          <w:rFonts w:ascii="Arial" w:hAnsi="Arial"/>
          <w:i/>
          <w:spacing w:val="-2"/>
          <w:sz w:val="20"/>
        </w:rPr>
        <w:t> </w:t>
      </w:r>
      <w:r>
        <w:rPr>
          <w:rFonts w:ascii="Arial" w:hAnsi="Arial"/>
          <w:i/>
          <w:sz w:val="20"/>
        </w:rPr>
        <w:t>540</w:t>
      </w:r>
      <w:r>
        <w:rPr>
          <w:sz w:val="20"/>
        </w:rPr>
        <w:t>,</w:t>
      </w:r>
      <w:r>
        <w:rPr>
          <w:spacing w:val="-2"/>
          <w:sz w:val="20"/>
        </w:rPr>
        <w:t> </w:t>
      </w:r>
      <w:r>
        <w:rPr>
          <w:sz w:val="20"/>
        </w:rPr>
        <w:t>also</w:t>
      </w:r>
      <w:r>
        <w:rPr>
          <w:spacing w:val="-2"/>
          <w:sz w:val="20"/>
        </w:rPr>
        <w:t> </w:t>
      </w:r>
      <w:r>
        <w:rPr>
          <w:sz w:val="20"/>
        </w:rPr>
        <w:t>accepted</w:t>
      </w:r>
      <w:r>
        <w:rPr>
          <w:spacing w:val="-2"/>
          <w:sz w:val="20"/>
        </w:rPr>
        <w:t> </w:t>
      </w:r>
      <w:r>
        <w:rPr>
          <w:sz w:val="20"/>
        </w:rPr>
        <w:t>“a</w:t>
      </w:r>
      <w:r>
        <w:rPr>
          <w:spacing w:val="-2"/>
          <w:sz w:val="20"/>
        </w:rPr>
        <w:t> </w:t>
      </w:r>
      <w:r>
        <w:rPr>
          <w:sz w:val="20"/>
        </w:rPr>
        <w:t>real</w:t>
      </w:r>
      <w:r>
        <w:rPr>
          <w:spacing w:val="-2"/>
          <w:sz w:val="20"/>
        </w:rPr>
        <w:t> </w:t>
      </w:r>
      <w:r>
        <w:rPr>
          <w:sz w:val="20"/>
        </w:rPr>
        <w:t>danger”</w:t>
      </w:r>
      <w:r>
        <w:rPr>
          <w:spacing w:val="-2"/>
          <w:sz w:val="20"/>
        </w:rPr>
        <w:t> </w:t>
      </w:r>
      <w:r>
        <w:rPr>
          <w:sz w:val="20"/>
        </w:rPr>
        <w:t>or</w:t>
      </w:r>
      <w:r>
        <w:rPr>
          <w:spacing w:val="-2"/>
          <w:sz w:val="20"/>
        </w:rPr>
        <w:t> </w:t>
      </w:r>
      <w:r>
        <w:rPr>
          <w:sz w:val="20"/>
        </w:rPr>
        <w:t>“a serious possibility”. (The latter phrase was used by the Court of Appeal in </w:t>
      </w:r>
      <w:r>
        <w:rPr>
          <w:rFonts w:ascii="Arial" w:hAnsi="Arial"/>
          <w:i/>
          <w:sz w:val="20"/>
        </w:rPr>
        <w:t>H. </w:t>
      </w:r>
      <w:r>
        <w:rPr>
          <w:rFonts w:ascii="Arial" w:hAnsi="Arial"/>
          <w:i/>
          <w:sz w:val="20"/>
        </w:rPr>
        <w:t>Parsons (Livestock) Ltd v Uttley, Ingham &amp; Co Ltd [1978] Q.B. 791, 802, 805, 807.)</w:t>
      </w:r>
    </w:p>
    <w:p>
      <w:pPr>
        <w:pStyle w:val="BodyText"/>
        <w:spacing w:before="8"/>
        <w:rPr>
          <w:rFonts w:ascii="Arial"/>
          <w:i/>
        </w:rPr>
      </w:pPr>
    </w:p>
    <w:p>
      <w:pPr>
        <w:tabs>
          <w:tab w:pos="705" w:val="left" w:leader="none"/>
        </w:tabs>
        <w:spacing w:line="235" w:lineRule="auto" w:before="0"/>
        <w:ind w:left="705" w:right="167" w:hanging="541"/>
        <w:jc w:val="left"/>
        <w:rPr>
          <w:sz w:val="20"/>
        </w:rPr>
      </w:pPr>
      <w:bookmarkStart w:name="_bookmark1297" w:id="1299"/>
      <w:bookmarkEnd w:id="1299"/>
      <w:r>
        <w:rPr/>
      </w:r>
      <w:hyperlink w:history="true" w:anchor="_bookmark1204">
        <w:r>
          <w:rPr>
            <w:color w:val="005DA1"/>
            <w:spacing w:val="-4"/>
            <w:position w:val="5"/>
            <w:sz w:val="14"/>
            <w:u w:val="single" w:color="005DA1"/>
          </w:rPr>
          <w:t>660</w:t>
        </w:r>
      </w:hyperlink>
      <w:r>
        <w:rPr>
          <w:spacing w:val="-4"/>
          <w:position w:val="5"/>
          <w:sz w:val="14"/>
        </w:rPr>
        <w:t>.</w:t>
      </w:r>
      <w:r>
        <w:rPr>
          <w:position w:val="5"/>
          <w:sz w:val="14"/>
        </w:rPr>
        <w:tab/>
      </w:r>
      <w:r>
        <w:rPr>
          <w:rFonts w:ascii="Arial"/>
          <w:i/>
          <w:sz w:val="20"/>
        </w:rPr>
        <w:t>Bank of Nova Scotia v Hellenic Mutual War Risks Association (Bermuda) Ltd [1992] 1 A.C. 233, </w:t>
      </w:r>
      <w:r>
        <w:rPr>
          <w:rFonts w:ascii="Arial"/>
          <w:i/>
          <w:spacing w:val="-4"/>
          <w:sz w:val="20"/>
        </w:rPr>
        <w:t>267</w:t>
      </w:r>
      <w:r>
        <w:rPr>
          <w:spacing w:val="-4"/>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298" w:id="1300"/>
      <w:bookmarkEnd w:id="1300"/>
      <w:r>
        <w:rPr/>
      </w:r>
      <w:hyperlink w:history="true" w:anchor="_bookmark1205">
        <w:r>
          <w:rPr>
            <w:color w:val="005DA1"/>
            <w:spacing w:val="-4"/>
            <w:position w:val="5"/>
            <w:sz w:val="14"/>
            <w:u w:val="single" w:color="005DA1"/>
          </w:rPr>
          <w:t>661</w:t>
        </w:r>
      </w:hyperlink>
      <w:r>
        <w:rPr>
          <w:spacing w:val="-4"/>
          <w:position w:val="5"/>
          <w:sz w:val="14"/>
        </w:rPr>
        <w:t>.</w:t>
      </w:r>
      <w:r>
        <w:rPr>
          <w:position w:val="5"/>
          <w:sz w:val="14"/>
        </w:rPr>
        <w:tab/>
      </w:r>
      <w:r>
        <w:rPr>
          <w:rFonts w:ascii="Arial"/>
          <w:i/>
          <w:sz w:val="20"/>
        </w:rPr>
        <w:t>[1969]</w:t>
      </w:r>
      <w:r>
        <w:rPr>
          <w:rFonts w:ascii="Arial"/>
          <w:i/>
          <w:spacing w:val="30"/>
          <w:sz w:val="20"/>
        </w:rPr>
        <w:t> </w:t>
      </w:r>
      <w:r>
        <w:rPr>
          <w:rFonts w:ascii="Arial"/>
          <w:i/>
          <w:sz w:val="20"/>
        </w:rPr>
        <w:t>1</w:t>
      </w:r>
      <w:r>
        <w:rPr>
          <w:rFonts w:ascii="Arial"/>
          <w:i/>
          <w:spacing w:val="31"/>
          <w:sz w:val="20"/>
        </w:rPr>
        <w:t> </w:t>
      </w:r>
      <w:r>
        <w:rPr>
          <w:rFonts w:ascii="Arial"/>
          <w:i/>
          <w:sz w:val="20"/>
        </w:rPr>
        <w:t>A.C.</w:t>
      </w:r>
      <w:r>
        <w:rPr>
          <w:rFonts w:ascii="Arial"/>
          <w:i/>
          <w:spacing w:val="31"/>
          <w:sz w:val="20"/>
        </w:rPr>
        <w:t> </w:t>
      </w:r>
      <w:r>
        <w:rPr>
          <w:rFonts w:ascii="Arial"/>
          <w:i/>
          <w:sz w:val="20"/>
        </w:rPr>
        <w:t>350,</w:t>
      </w:r>
      <w:r>
        <w:rPr>
          <w:rFonts w:ascii="Arial"/>
          <w:i/>
          <w:spacing w:val="31"/>
          <w:sz w:val="20"/>
        </w:rPr>
        <w:t> </w:t>
      </w:r>
      <w:r>
        <w:rPr>
          <w:rFonts w:ascii="Arial"/>
          <w:i/>
          <w:sz w:val="20"/>
        </w:rPr>
        <w:t>390,</w:t>
      </w:r>
      <w:r>
        <w:rPr>
          <w:rFonts w:ascii="Arial"/>
          <w:i/>
          <w:spacing w:val="31"/>
          <w:sz w:val="20"/>
        </w:rPr>
        <w:t> </w:t>
      </w:r>
      <w:r>
        <w:rPr>
          <w:rFonts w:ascii="Arial"/>
          <w:i/>
          <w:sz w:val="20"/>
        </w:rPr>
        <w:t>399,</w:t>
      </w:r>
      <w:r>
        <w:rPr>
          <w:rFonts w:ascii="Arial"/>
          <w:i/>
          <w:spacing w:val="31"/>
          <w:sz w:val="20"/>
        </w:rPr>
        <w:t> </w:t>
      </w:r>
      <w:r>
        <w:rPr>
          <w:rFonts w:ascii="Arial"/>
          <w:i/>
          <w:sz w:val="20"/>
        </w:rPr>
        <w:t>415,</w:t>
      </w:r>
      <w:r>
        <w:rPr>
          <w:rFonts w:ascii="Arial"/>
          <w:i/>
          <w:spacing w:val="31"/>
          <w:sz w:val="20"/>
        </w:rPr>
        <w:t> </w:t>
      </w:r>
      <w:r>
        <w:rPr>
          <w:rFonts w:ascii="Arial"/>
          <w:i/>
          <w:sz w:val="20"/>
        </w:rPr>
        <w:t>425</w:t>
      </w:r>
      <w:r>
        <w:rPr>
          <w:sz w:val="20"/>
        </w:rPr>
        <w:t>.</w:t>
      </w:r>
      <w:r>
        <w:rPr>
          <w:spacing w:val="31"/>
          <w:sz w:val="20"/>
        </w:rPr>
        <w:t> </w:t>
      </w:r>
      <w:r>
        <w:rPr>
          <w:sz w:val="20"/>
        </w:rPr>
        <w:t>(It</w:t>
      </w:r>
      <w:r>
        <w:rPr>
          <w:spacing w:val="31"/>
          <w:sz w:val="20"/>
        </w:rPr>
        <w:t> </w:t>
      </w:r>
      <w:r>
        <w:rPr>
          <w:sz w:val="20"/>
        </w:rPr>
        <w:t>was</w:t>
      </w:r>
      <w:r>
        <w:rPr>
          <w:spacing w:val="31"/>
          <w:sz w:val="20"/>
        </w:rPr>
        <w:t> </w:t>
      </w:r>
      <w:r>
        <w:rPr>
          <w:sz w:val="20"/>
        </w:rPr>
        <w:t>yet</w:t>
      </w:r>
      <w:r>
        <w:rPr>
          <w:spacing w:val="31"/>
          <w:sz w:val="20"/>
        </w:rPr>
        <w:t> </w:t>
      </w:r>
      <w:r>
        <w:rPr>
          <w:sz w:val="20"/>
        </w:rPr>
        <w:t>another</w:t>
      </w:r>
      <w:r>
        <w:rPr>
          <w:spacing w:val="31"/>
          <w:sz w:val="20"/>
        </w:rPr>
        <w:t> </w:t>
      </w:r>
      <w:r>
        <w:rPr>
          <w:sz w:val="20"/>
        </w:rPr>
        <w:t>phrase</w:t>
      </w:r>
      <w:r>
        <w:rPr>
          <w:spacing w:val="31"/>
          <w:sz w:val="20"/>
        </w:rPr>
        <w:t> </w:t>
      </w:r>
      <w:r>
        <w:rPr>
          <w:sz w:val="20"/>
        </w:rPr>
        <w:t>used</w:t>
      </w:r>
      <w:r>
        <w:rPr>
          <w:spacing w:val="31"/>
          <w:sz w:val="20"/>
        </w:rPr>
        <w:t> </w:t>
      </w:r>
      <w:r>
        <w:rPr>
          <w:sz w:val="20"/>
        </w:rPr>
        <w:t>in</w:t>
      </w:r>
      <w:r>
        <w:rPr>
          <w:spacing w:val="31"/>
          <w:sz w:val="20"/>
        </w:rPr>
        <w:t> </w:t>
      </w:r>
      <w:r>
        <w:rPr>
          <w:rFonts w:ascii="Arial"/>
          <w:i/>
          <w:sz w:val="20"/>
        </w:rPr>
        <w:t>Victoria</w:t>
      </w:r>
      <w:r>
        <w:rPr>
          <w:rFonts w:ascii="Arial"/>
          <w:i/>
          <w:spacing w:val="31"/>
          <w:sz w:val="20"/>
        </w:rPr>
        <w:t> </w:t>
      </w:r>
      <w:r>
        <w:rPr>
          <w:rFonts w:ascii="Arial"/>
          <w:i/>
          <w:spacing w:val="-2"/>
          <w:sz w:val="20"/>
        </w:rPr>
        <w:t>Laundry</w:t>
      </w:r>
    </w:p>
    <w:p>
      <w:pPr>
        <w:spacing w:line="227" w:lineRule="exact" w:before="0"/>
        <w:ind w:left="705" w:right="0" w:firstLine="0"/>
        <w:jc w:val="left"/>
        <w:rPr>
          <w:rFonts w:ascii="Arial"/>
          <w:i/>
          <w:sz w:val="20"/>
        </w:rPr>
      </w:pPr>
      <w:r>
        <w:rPr>
          <w:rFonts w:ascii="Arial"/>
          <w:i/>
          <w:sz w:val="20"/>
        </w:rPr>
        <w:t>[1949] 2 K.B. 528, </w:t>
      </w:r>
      <w:r>
        <w:rPr>
          <w:rFonts w:ascii="Arial"/>
          <w:i/>
          <w:spacing w:val="-5"/>
          <w:sz w:val="20"/>
        </w:rPr>
        <w:t>540</w:t>
      </w:r>
    </w:p>
    <w:p>
      <w:pPr>
        <w:pStyle w:val="BodyText"/>
        <w:spacing w:before="5"/>
        <w:rPr>
          <w:rFonts w:ascii="Arial"/>
          <w:i/>
        </w:rPr>
      </w:pPr>
    </w:p>
    <w:p>
      <w:pPr>
        <w:tabs>
          <w:tab w:pos="705" w:val="left" w:leader="none"/>
        </w:tabs>
        <w:spacing w:before="0"/>
        <w:ind w:left="165" w:right="0" w:firstLine="0"/>
        <w:jc w:val="left"/>
        <w:rPr>
          <w:sz w:val="20"/>
        </w:rPr>
      </w:pPr>
      <w:bookmarkStart w:name="_bookmark1299" w:id="1301"/>
      <w:bookmarkEnd w:id="1301"/>
      <w:r>
        <w:rPr/>
      </w:r>
      <w:hyperlink w:history="true" w:anchor="_bookmark1206">
        <w:r>
          <w:rPr>
            <w:color w:val="005DA1"/>
            <w:spacing w:val="-4"/>
            <w:position w:val="5"/>
            <w:sz w:val="14"/>
            <w:u w:val="single" w:color="005DA1"/>
          </w:rPr>
          <w:t>662</w:t>
        </w:r>
      </w:hyperlink>
      <w:r>
        <w:rPr>
          <w:spacing w:val="-4"/>
          <w:position w:val="5"/>
          <w:sz w:val="14"/>
        </w:rPr>
        <w:t>.</w:t>
      </w:r>
      <w:r>
        <w:rPr>
          <w:position w:val="5"/>
          <w:sz w:val="14"/>
        </w:rPr>
        <w:tab/>
      </w:r>
      <w:r>
        <w:rPr>
          <w:rFonts w:ascii="Arial"/>
          <w:i/>
          <w:sz w:val="20"/>
        </w:rPr>
        <w:t>[1969] 1 A.C. 350, 385, 411, </w:t>
      </w:r>
      <w:r>
        <w:rPr>
          <w:rFonts w:ascii="Arial"/>
          <w:i/>
          <w:spacing w:val="-4"/>
          <w:sz w:val="20"/>
        </w:rPr>
        <w:t>425</w:t>
      </w:r>
      <w:r>
        <w:rPr>
          <w:spacing w:val="-4"/>
          <w:sz w:val="20"/>
        </w:rPr>
        <w:t>.</w:t>
      </w:r>
    </w:p>
    <w:p>
      <w:pPr>
        <w:pStyle w:val="BodyText"/>
        <w:spacing w:before="8"/>
      </w:pPr>
    </w:p>
    <w:p>
      <w:pPr>
        <w:tabs>
          <w:tab w:pos="705" w:val="left" w:leader="none"/>
        </w:tabs>
        <w:spacing w:line="235" w:lineRule="auto" w:before="1"/>
        <w:ind w:left="705" w:right="174" w:hanging="541"/>
        <w:jc w:val="left"/>
        <w:rPr>
          <w:sz w:val="20"/>
        </w:rPr>
      </w:pPr>
      <w:bookmarkStart w:name="_bookmark1300" w:id="1302"/>
      <w:bookmarkEnd w:id="1302"/>
      <w:r>
        <w:rPr/>
      </w:r>
      <w:hyperlink w:history="true" w:anchor="_bookmark1207">
        <w:r>
          <w:rPr>
            <w:color w:val="005DA1"/>
            <w:spacing w:val="-4"/>
            <w:position w:val="5"/>
            <w:sz w:val="14"/>
            <w:u w:val="single" w:color="005DA1"/>
          </w:rPr>
          <w:t>663</w:t>
        </w:r>
      </w:hyperlink>
      <w:r>
        <w:rPr>
          <w:spacing w:val="-4"/>
          <w:position w:val="5"/>
          <w:sz w:val="14"/>
        </w:rPr>
        <w:t>.</w:t>
      </w:r>
      <w:r>
        <w:rPr>
          <w:position w:val="5"/>
          <w:sz w:val="14"/>
        </w:rPr>
        <w:tab/>
      </w:r>
      <w:r>
        <w:rPr>
          <w:sz w:val="20"/>
        </w:rPr>
        <w:t>See</w:t>
      </w:r>
      <w:r>
        <w:rPr>
          <w:spacing w:val="72"/>
          <w:sz w:val="20"/>
        </w:rPr>
        <w:t> </w:t>
      </w:r>
      <w:r>
        <w:rPr>
          <w:sz w:val="20"/>
        </w:rPr>
        <w:t>Harris,</w:t>
      </w:r>
      <w:r>
        <w:rPr>
          <w:spacing w:val="72"/>
          <w:sz w:val="20"/>
        </w:rPr>
        <w:t> </w:t>
      </w:r>
      <w:r>
        <w:rPr>
          <w:sz w:val="20"/>
        </w:rPr>
        <w:t>Campbell</w:t>
      </w:r>
      <w:r>
        <w:rPr>
          <w:spacing w:val="72"/>
          <w:sz w:val="20"/>
        </w:rPr>
        <w:t> </w:t>
      </w:r>
      <w:r>
        <w:rPr>
          <w:sz w:val="20"/>
        </w:rPr>
        <w:t>and</w:t>
      </w:r>
      <w:r>
        <w:rPr>
          <w:spacing w:val="72"/>
          <w:sz w:val="20"/>
        </w:rPr>
        <w:t> </w:t>
      </w:r>
      <w:r>
        <w:rPr>
          <w:sz w:val="20"/>
        </w:rPr>
        <w:t>Halson,</w:t>
      </w:r>
      <w:r>
        <w:rPr>
          <w:spacing w:val="72"/>
          <w:sz w:val="20"/>
        </w:rPr>
        <w:t> </w:t>
      </w:r>
      <w:r>
        <w:rPr>
          <w:rFonts w:ascii="Arial" w:hAnsi="Arial"/>
          <w:i/>
          <w:sz w:val="20"/>
        </w:rPr>
        <w:t>Remedies</w:t>
      </w:r>
      <w:r>
        <w:rPr>
          <w:rFonts w:ascii="Arial" w:hAnsi="Arial"/>
          <w:i/>
          <w:spacing w:val="72"/>
          <w:sz w:val="20"/>
        </w:rPr>
        <w:t> </w:t>
      </w:r>
      <w:r>
        <w:rPr>
          <w:rFonts w:ascii="Arial" w:hAnsi="Arial"/>
          <w:i/>
          <w:sz w:val="20"/>
        </w:rPr>
        <w:t>in</w:t>
      </w:r>
      <w:r>
        <w:rPr>
          <w:rFonts w:ascii="Arial" w:hAnsi="Arial"/>
          <w:i/>
          <w:spacing w:val="72"/>
          <w:sz w:val="20"/>
        </w:rPr>
        <w:t> </w:t>
      </w:r>
      <w:r>
        <w:rPr>
          <w:rFonts w:ascii="Arial" w:hAnsi="Arial"/>
          <w:i/>
          <w:sz w:val="20"/>
        </w:rPr>
        <w:t>Contract</w:t>
      </w:r>
      <w:r>
        <w:rPr>
          <w:rFonts w:ascii="Arial" w:hAnsi="Arial"/>
          <w:i/>
          <w:spacing w:val="72"/>
          <w:sz w:val="20"/>
        </w:rPr>
        <w:t> </w:t>
      </w:r>
      <w:r>
        <w:rPr>
          <w:rFonts w:ascii="Arial" w:hAnsi="Arial"/>
          <w:i/>
          <w:sz w:val="20"/>
        </w:rPr>
        <w:t>and</w:t>
      </w:r>
      <w:r>
        <w:rPr>
          <w:rFonts w:ascii="Arial" w:hAnsi="Arial"/>
          <w:i/>
          <w:spacing w:val="72"/>
          <w:sz w:val="20"/>
        </w:rPr>
        <w:t> </w:t>
      </w:r>
      <w:r>
        <w:rPr>
          <w:rFonts w:ascii="Arial" w:hAnsi="Arial"/>
          <w:i/>
          <w:sz w:val="20"/>
        </w:rPr>
        <w:t>Tort</w:t>
      </w:r>
      <w:r>
        <w:rPr>
          <w:sz w:val="20"/>
        </w:rPr>
        <w:t>,</w:t>
      </w:r>
      <w:r>
        <w:rPr>
          <w:spacing w:val="72"/>
          <w:sz w:val="20"/>
        </w:rPr>
        <w:t> </w:t>
      </w:r>
      <w:r>
        <w:rPr>
          <w:sz w:val="20"/>
        </w:rPr>
        <w:t>2nd</w:t>
      </w:r>
      <w:r>
        <w:rPr>
          <w:spacing w:val="72"/>
          <w:sz w:val="20"/>
        </w:rPr>
        <w:t> </w:t>
      </w:r>
      <w:r>
        <w:rPr>
          <w:sz w:val="20"/>
        </w:rPr>
        <w:t>edn</w:t>
      </w:r>
      <w:r>
        <w:rPr>
          <w:spacing w:val="72"/>
          <w:sz w:val="20"/>
        </w:rPr>
        <w:t> </w:t>
      </w:r>
      <w:r>
        <w:rPr>
          <w:sz w:val="20"/>
        </w:rPr>
        <w:t>(2002)</w:t>
      </w:r>
      <w:r>
        <w:rPr>
          <w:spacing w:val="72"/>
          <w:sz w:val="20"/>
        </w:rPr>
        <w:t> </w:t>
      </w:r>
      <w:r>
        <w:rPr>
          <w:sz w:val="20"/>
        </w:rPr>
        <w:t>at </w:t>
      </w:r>
      <w:r>
        <w:rPr>
          <w:spacing w:val="-2"/>
          <w:sz w:val="20"/>
        </w:rPr>
        <w:t>pp.331–333.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301" w:id="1303"/>
      <w:bookmarkEnd w:id="1303"/>
      <w:r>
        <w:rPr/>
      </w:r>
      <w:hyperlink w:history="true" w:anchor="_bookmark1208">
        <w:r>
          <w:rPr>
            <w:color w:val="005DA1"/>
            <w:spacing w:val="-4"/>
            <w:sz w:val="14"/>
            <w:u w:val="single" w:color="005DA1"/>
          </w:rPr>
          <w:t>664</w:t>
        </w:r>
      </w:hyperlink>
      <w:r>
        <w:rPr>
          <w:spacing w:val="-4"/>
          <w:sz w:val="14"/>
        </w:rPr>
        <w:t>.</w:t>
      </w:r>
    </w:p>
    <w:p>
      <w:pPr>
        <w:pStyle w:val="BodyText"/>
        <w:spacing w:before="208"/>
        <w:ind w:left="335"/>
      </w:pPr>
      <w:r>
        <w:rPr/>
        <w:br w:type="column"/>
      </w:r>
      <w:r>
        <w:rPr/>
        <w:t>See Bishop (1983) 12 JLS </w:t>
      </w:r>
      <w:r>
        <w:rPr>
          <w:spacing w:val="-4"/>
        </w:rPr>
        <w:t>241.</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7760">
            <wp:simplePos x="0" y="0"/>
            <wp:positionH relativeFrom="page">
              <wp:posOffset>1257846</wp:posOffset>
            </wp:positionH>
            <wp:positionV relativeFrom="paragraph">
              <wp:posOffset>-211214</wp:posOffset>
            </wp:positionV>
            <wp:extent cx="107988" cy="107988"/>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2" w:id="1304"/>
      <w:bookmarkEnd w:id="1304"/>
      <w:r>
        <w:rPr/>
      </w:r>
      <w:hyperlink w:history="true" w:anchor="_bookmark1209">
        <w:r>
          <w:rPr>
            <w:color w:val="005DA1"/>
            <w:spacing w:val="-4"/>
            <w:sz w:val="14"/>
            <w:u w:val="single" w:color="005DA1"/>
          </w:rPr>
          <w:t>665</w:t>
        </w:r>
      </w:hyperlink>
      <w:r>
        <w:rPr>
          <w:spacing w:val="-4"/>
          <w:sz w:val="14"/>
        </w:rPr>
        <w:t>.</w:t>
      </w:r>
    </w:p>
    <w:p>
      <w:pPr>
        <w:spacing w:before="208"/>
        <w:ind w:left="335" w:right="0" w:firstLine="0"/>
        <w:jc w:val="left"/>
        <w:rPr>
          <w:sz w:val="20"/>
        </w:rPr>
      </w:pPr>
      <w:r>
        <w:rPr/>
        <w:br w:type="column"/>
      </w:r>
      <w:r>
        <w:rPr>
          <w:sz w:val="20"/>
        </w:rPr>
        <w:t>Floyd L.J. in</w:t>
      </w:r>
      <w:r>
        <w:rPr>
          <w:spacing w:val="-1"/>
          <w:sz w:val="20"/>
        </w:rPr>
        <w:t> </w:t>
      </w:r>
      <w:r>
        <w:rPr>
          <w:rFonts w:ascii="Arial"/>
          <w:i/>
          <w:sz w:val="20"/>
        </w:rPr>
        <w:t>Wellesley Partners LLP v Withers LLP [2015] EWCA Civ 1146</w:t>
      </w:r>
      <w:r>
        <w:rPr>
          <w:rFonts w:ascii="Arial"/>
          <w:i/>
          <w:spacing w:val="-1"/>
          <w:sz w:val="20"/>
        </w:rPr>
        <w:t> </w:t>
      </w:r>
      <w:r>
        <w:rPr>
          <w:sz w:val="20"/>
        </w:rPr>
        <w:t>at </w:t>
      </w:r>
      <w:r>
        <w:rPr>
          <w:spacing w:val="-2"/>
          <w:sz w:val="20"/>
        </w:rPr>
        <w:t>[86].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8272">
            <wp:simplePos x="0" y="0"/>
            <wp:positionH relativeFrom="page">
              <wp:posOffset>1257846</wp:posOffset>
            </wp:positionH>
            <wp:positionV relativeFrom="paragraph">
              <wp:posOffset>-211194</wp:posOffset>
            </wp:positionV>
            <wp:extent cx="107988" cy="107988"/>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3" w:id="1305"/>
      <w:bookmarkEnd w:id="1305"/>
      <w:r>
        <w:rPr/>
      </w:r>
      <w:hyperlink w:history="true" w:anchor="_bookmark1210">
        <w:r>
          <w:rPr>
            <w:color w:val="005DA1"/>
            <w:spacing w:val="-4"/>
            <w:sz w:val="14"/>
            <w:u w:val="single" w:color="005DA1"/>
          </w:rPr>
          <w:t>666</w:t>
        </w:r>
      </w:hyperlink>
      <w:r>
        <w:rPr>
          <w:spacing w:val="-4"/>
          <w:sz w:val="14"/>
        </w:rPr>
        <w:t>.</w:t>
      </w:r>
    </w:p>
    <w:p>
      <w:pPr>
        <w:spacing w:before="208"/>
        <w:ind w:left="335" w:right="0" w:firstLine="0"/>
        <w:jc w:val="left"/>
        <w:rPr>
          <w:sz w:val="20"/>
        </w:rPr>
      </w:pPr>
      <w:r>
        <w:rPr/>
        <w:br w:type="column"/>
      </w:r>
      <w:r>
        <w:rPr>
          <w:rFonts w:ascii="Arial"/>
          <w:i/>
          <w:sz w:val="20"/>
        </w:rPr>
        <w:t>[1978] Q.B. </w:t>
      </w:r>
      <w:r>
        <w:rPr>
          <w:rFonts w:ascii="Arial"/>
          <w:i/>
          <w:spacing w:val="-4"/>
          <w:sz w:val="20"/>
        </w:rPr>
        <w:t>791</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8784">
            <wp:simplePos x="0" y="0"/>
            <wp:positionH relativeFrom="page">
              <wp:posOffset>1257846</wp:posOffset>
            </wp:positionH>
            <wp:positionV relativeFrom="paragraph">
              <wp:posOffset>-211175</wp:posOffset>
            </wp:positionV>
            <wp:extent cx="107988" cy="107988"/>
            <wp:effectExtent l="0" t="0" r="0" b="0"/>
            <wp:wrapNone/>
            <wp:docPr id="307" name="Image 307"/>
            <wp:cNvGraphicFramePr>
              <a:graphicFrameLocks/>
            </wp:cNvGraphicFramePr>
            <a:graphic>
              <a:graphicData uri="http://schemas.openxmlformats.org/drawingml/2006/picture">
                <pic:pic>
                  <pic:nvPicPr>
                    <pic:cNvPr id="307" name="Image 30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4" w:id="1306"/>
      <w:bookmarkEnd w:id="1306"/>
      <w:r>
        <w:rPr/>
      </w:r>
      <w:hyperlink w:history="true" w:anchor="_bookmark1211">
        <w:r>
          <w:rPr>
            <w:color w:val="005DA1"/>
            <w:spacing w:val="-4"/>
            <w:sz w:val="14"/>
            <w:u w:val="single" w:color="005DA1"/>
          </w:rPr>
          <w:t>667</w:t>
        </w:r>
      </w:hyperlink>
      <w:r>
        <w:rPr>
          <w:spacing w:val="-4"/>
          <w:sz w:val="14"/>
        </w:rPr>
        <w:t>.</w:t>
      </w:r>
    </w:p>
    <w:p>
      <w:pPr>
        <w:pStyle w:val="BodyText"/>
        <w:spacing w:before="208"/>
        <w:ind w:left="335"/>
      </w:pPr>
      <w:r>
        <w:rPr/>
        <w:br w:type="column"/>
      </w:r>
      <w:r>
        <w:rPr/>
        <w:t>See at 804–805 (Orr L.J.) and at 805–806 (Scarman </w:t>
      </w:r>
      <w:r>
        <w:rPr>
          <w:spacing w:val="-2"/>
        </w:rPr>
        <w:t>L.J.).</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9296">
            <wp:simplePos x="0" y="0"/>
            <wp:positionH relativeFrom="page">
              <wp:posOffset>1257846</wp:posOffset>
            </wp:positionH>
            <wp:positionV relativeFrom="paragraph">
              <wp:posOffset>-211155</wp:posOffset>
            </wp:positionV>
            <wp:extent cx="107988" cy="107988"/>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5" w:id="1307"/>
      <w:bookmarkEnd w:id="1307"/>
      <w:r>
        <w:rPr/>
      </w:r>
      <w:hyperlink w:history="true" w:anchor="_bookmark1212">
        <w:r>
          <w:rPr>
            <w:color w:val="005DA1"/>
            <w:spacing w:val="-4"/>
            <w:sz w:val="14"/>
            <w:u w:val="single" w:color="005DA1"/>
          </w:rPr>
          <w:t>668</w:t>
        </w:r>
      </w:hyperlink>
      <w:r>
        <w:rPr>
          <w:spacing w:val="-4"/>
          <w:sz w:val="14"/>
        </w:rPr>
        <w:t>.</w:t>
      </w:r>
    </w:p>
    <w:p>
      <w:pPr>
        <w:pStyle w:val="BodyText"/>
        <w:spacing w:before="208"/>
        <w:ind w:left="335"/>
      </w:pPr>
      <w:r>
        <w:rPr/>
        <w:br w:type="column"/>
      </w:r>
      <w:r>
        <w:rPr/>
        <w:t>See at 804–805 (Orr L.J.) and at 805–806 (Scarman </w:t>
      </w:r>
      <w:r>
        <w:rPr>
          <w:spacing w:val="-2"/>
        </w:rPr>
        <w:t>L.J.).</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9808">
            <wp:simplePos x="0" y="0"/>
            <wp:positionH relativeFrom="page">
              <wp:posOffset>1257846</wp:posOffset>
            </wp:positionH>
            <wp:positionV relativeFrom="paragraph">
              <wp:posOffset>-211135</wp:posOffset>
            </wp:positionV>
            <wp:extent cx="107988" cy="107988"/>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0320">
            <wp:simplePos x="0" y="0"/>
            <wp:positionH relativeFrom="page">
              <wp:posOffset>1257846</wp:posOffset>
            </wp:positionH>
            <wp:positionV relativeFrom="paragraph">
              <wp:posOffset>160339</wp:posOffset>
            </wp:positionV>
            <wp:extent cx="107988" cy="107988"/>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6" w:id="1308"/>
      <w:bookmarkEnd w:id="1308"/>
      <w:r>
        <w:rPr/>
      </w:r>
      <w:hyperlink w:history="true" w:anchor="_bookmark1213">
        <w:r>
          <w:rPr>
            <w:color w:val="005DA1"/>
            <w:spacing w:val="-4"/>
            <w:sz w:val="14"/>
            <w:u w:val="single" w:color="005DA1"/>
          </w:rPr>
          <w:t>669</w:t>
        </w:r>
      </w:hyperlink>
      <w:r>
        <w:rPr>
          <w:spacing w:val="-4"/>
          <w:sz w:val="14"/>
        </w:rPr>
        <w:t>.</w:t>
      </w:r>
    </w:p>
    <w:p>
      <w:pPr>
        <w:spacing w:line="235" w:lineRule="auto" w:before="212"/>
        <w:ind w:left="165" w:right="0" w:firstLine="170"/>
        <w:jc w:val="left"/>
        <w:rPr>
          <w:sz w:val="20"/>
        </w:rPr>
      </w:pPr>
      <w:r>
        <w:rPr/>
        <w:br w:type="column"/>
      </w:r>
      <w:r>
        <w:rPr>
          <w:sz w:val="20"/>
        </w:rPr>
        <w:t>See A Burrows, </w:t>
      </w:r>
      <w:r>
        <w:rPr>
          <w:rFonts w:ascii="Arial" w:hAnsi="Arial"/>
          <w:i/>
          <w:sz w:val="20"/>
        </w:rPr>
        <w:t>Commercial Remedies </w:t>
      </w:r>
      <w:r>
        <w:rPr>
          <w:sz w:val="20"/>
        </w:rPr>
        <w:t>(2003), pp.27, 35; McGregor on Damages, 19th edn (2014), para.22–009; Peel, </w:t>
      </w:r>
      <w:r>
        <w:rPr>
          <w:rFonts w:ascii="Arial" w:hAnsi="Arial"/>
          <w:i/>
          <w:sz w:val="20"/>
        </w:rPr>
        <w:t>Treitel on The Law of Contract</w:t>
      </w:r>
      <w:r>
        <w:rPr>
          <w:sz w:val="20"/>
        </w:rPr>
        <w:t>, 14th edn (2015), para.20–112.</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07" w:id="1309"/>
      <w:bookmarkEnd w:id="1309"/>
      <w:r>
        <w:rPr/>
      </w:r>
      <w:hyperlink w:history="true" w:anchor="_bookmark1214">
        <w:r>
          <w:rPr>
            <w:color w:val="005DA1"/>
            <w:spacing w:val="-4"/>
            <w:sz w:val="14"/>
            <w:u w:val="single" w:color="005DA1"/>
          </w:rPr>
          <w:t>670</w:t>
        </w:r>
      </w:hyperlink>
      <w:r>
        <w:rPr>
          <w:spacing w:val="-4"/>
          <w:sz w:val="14"/>
        </w:rPr>
        <w:t>.</w:t>
      </w:r>
    </w:p>
    <w:p>
      <w:pPr>
        <w:pStyle w:val="BodyText"/>
        <w:spacing w:before="208"/>
        <w:ind w:left="335"/>
      </w:pPr>
      <w:r>
        <w:rPr/>
        <w:br w:type="column"/>
      </w:r>
      <w:r>
        <w:rPr/>
        <w:t>See also above, para.1-</w:t>
      </w:r>
      <w:r>
        <w:rPr>
          <w:spacing w:val="-2"/>
        </w:rPr>
        <w:t>195A.</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0832">
            <wp:simplePos x="0" y="0"/>
            <wp:positionH relativeFrom="page">
              <wp:posOffset>1257846</wp:posOffset>
            </wp:positionH>
            <wp:positionV relativeFrom="paragraph">
              <wp:posOffset>-210956</wp:posOffset>
            </wp:positionV>
            <wp:extent cx="107988" cy="107988"/>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8" w:id="1310"/>
      <w:bookmarkEnd w:id="1310"/>
      <w:r>
        <w:rPr/>
      </w:r>
      <w:hyperlink w:history="true" w:anchor="_bookmark1215">
        <w:r>
          <w:rPr>
            <w:color w:val="005DA1"/>
            <w:spacing w:val="-4"/>
            <w:sz w:val="14"/>
            <w:u w:val="single" w:color="005DA1"/>
          </w:rPr>
          <w:t>671</w:t>
        </w:r>
      </w:hyperlink>
      <w:r>
        <w:rPr>
          <w:spacing w:val="-4"/>
          <w:sz w:val="14"/>
        </w:rPr>
        <w:t>.</w:t>
      </w:r>
    </w:p>
    <w:p>
      <w:pPr>
        <w:spacing w:before="208"/>
        <w:ind w:left="335" w:right="0" w:firstLine="0"/>
        <w:jc w:val="left"/>
        <w:rPr>
          <w:sz w:val="20"/>
        </w:rPr>
      </w:pPr>
      <w:r>
        <w:rPr/>
        <w:br w:type="column"/>
      </w:r>
      <w:r>
        <w:rPr>
          <w:rFonts w:ascii="Arial"/>
          <w:i/>
          <w:sz w:val="20"/>
        </w:rPr>
        <w:t>[2014] EWCA Civ </w:t>
      </w:r>
      <w:r>
        <w:rPr>
          <w:rFonts w:ascii="Arial"/>
          <w:i/>
          <w:spacing w:val="-4"/>
          <w:sz w:val="20"/>
        </w:rPr>
        <w:t>1512</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344">
            <wp:simplePos x="0" y="0"/>
            <wp:positionH relativeFrom="page">
              <wp:posOffset>1257846</wp:posOffset>
            </wp:positionH>
            <wp:positionV relativeFrom="paragraph">
              <wp:posOffset>-210936</wp:posOffset>
            </wp:positionV>
            <wp:extent cx="107988" cy="107988"/>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1856">
            <wp:simplePos x="0" y="0"/>
            <wp:positionH relativeFrom="page">
              <wp:posOffset>1257846</wp:posOffset>
            </wp:positionH>
            <wp:positionV relativeFrom="paragraph">
              <wp:posOffset>160538</wp:posOffset>
            </wp:positionV>
            <wp:extent cx="107988" cy="107988"/>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9" w:id="1311"/>
      <w:bookmarkEnd w:id="1311"/>
      <w:r>
        <w:rPr/>
      </w:r>
      <w:hyperlink w:history="true" w:anchor="_bookmark1216">
        <w:r>
          <w:rPr>
            <w:color w:val="005DA1"/>
            <w:spacing w:val="-4"/>
            <w:sz w:val="14"/>
            <w:u w:val="single" w:color="005DA1"/>
          </w:rPr>
          <w:t>672</w:t>
        </w:r>
      </w:hyperlink>
      <w:r>
        <w:rPr>
          <w:spacing w:val="-4"/>
          <w:sz w:val="14"/>
        </w:rPr>
        <w:t>.</w:t>
      </w:r>
    </w:p>
    <w:p>
      <w:pPr>
        <w:spacing w:line="235" w:lineRule="auto" w:before="212"/>
        <w:ind w:left="165" w:right="169" w:firstLine="170"/>
        <w:jc w:val="left"/>
        <w:rPr>
          <w:sz w:val="20"/>
        </w:rPr>
      </w:pPr>
      <w:r>
        <w:rPr/>
        <w:br w:type="column"/>
      </w:r>
      <w:r>
        <w:rPr>
          <w:sz w:val="20"/>
        </w:rPr>
        <w:t>See</w:t>
      </w:r>
      <w:r>
        <w:rPr>
          <w:spacing w:val="27"/>
          <w:sz w:val="20"/>
        </w:rPr>
        <w:t> </w:t>
      </w:r>
      <w:r>
        <w:rPr>
          <w:rFonts w:ascii="Arial" w:hAnsi="Arial"/>
          <w:i/>
          <w:sz w:val="20"/>
        </w:rPr>
        <w:t>[2014]</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1512</w:t>
      </w:r>
      <w:r>
        <w:rPr>
          <w:rFonts w:ascii="Arial" w:hAnsi="Arial"/>
          <w:i/>
          <w:spacing w:val="27"/>
          <w:sz w:val="20"/>
        </w:rPr>
        <w:t> </w:t>
      </w:r>
      <w:r>
        <w:rPr>
          <w:sz w:val="20"/>
        </w:rPr>
        <w:t>at</w:t>
      </w:r>
      <w:r>
        <w:rPr>
          <w:spacing w:val="27"/>
          <w:sz w:val="20"/>
        </w:rPr>
        <w:t> </w:t>
      </w:r>
      <w:r>
        <w:rPr>
          <w:sz w:val="20"/>
        </w:rPr>
        <w:t>[119].</w:t>
      </w:r>
      <w:r>
        <w:rPr>
          <w:spacing w:val="27"/>
          <w:sz w:val="20"/>
        </w:rPr>
        <w:t> </w:t>
      </w:r>
      <w:r>
        <w:rPr>
          <w:sz w:val="20"/>
        </w:rPr>
        <w:t>Underhill</w:t>
      </w:r>
      <w:r>
        <w:rPr>
          <w:spacing w:val="27"/>
          <w:sz w:val="20"/>
        </w:rPr>
        <w:t> </w:t>
      </w:r>
      <w:r>
        <w:rPr>
          <w:sz w:val="20"/>
        </w:rPr>
        <w:t>L.J’s</w:t>
      </w:r>
      <w:r>
        <w:rPr>
          <w:spacing w:val="27"/>
          <w:sz w:val="20"/>
        </w:rPr>
        <w:t> </w:t>
      </w:r>
      <w:r>
        <w:rPr>
          <w:sz w:val="20"/>
        </w:rPr>
        <w:t>propositions</w:t>
      </w:r>
      <w:r>
        <w:rPr>
          <w:spacing w:val="27"/>
          <w:sz w:val="20"/>
        </w:rPr>
        <w:t> </w:t>
      </w:r>
      <w:r>
        <w:rPr>
          <w:sz w:val="20"/>
        </w:rPr>
        <w:t>are</w:t>
      </w:r>
      <w:r>
        <w:rPr>
          <w:spacing w:val="27"/>
          <w:sz w:val="20"/>
        </w:rPr>
        <w:t> </w:t>
      </w:r>
      <w:r>
        <w:rPr>
          <w:sz w:val="20"/>
        </w:rPr>
        <w:t>summarised</w:t>
      </w:r>
      <w:r>
        <w:rPr>
          <w:spacing w:val="27"/>
          <w:sz w:val="20"/>
        </w:rPr>
        <w:t> </w:t>
      </w:r>
      <w:r>
        <w:rPr>
          <w:sz w:val="20"/>
        </w:rPr>
        <w:t>in</w:t>
      </w:r>
      <w:r>
        <w:rPr>
          <w:spacing w:val="27"/>
          <w:sz w:val="20"/>
        </w:rPr>
        <w:t> </w:t>
      </w:r>
      <w:r>
        <w:rPr>
          <w:sz w:val="20"/>
        </w:rPr>
        <w:t>Vol.I, </w:t>
      </w:r>
      <w:r>
        <w:rPr>
          <w:spacing w:val="-2"/>
          <w:sz w:val="20"/>
        </w:rPr>
        <w:t>para.26-147.</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10" w:id="1312"/>
      <w:bookmarkEnd w:id="1312"/>
      <w:r>
        <w:rPr/>
      </w:r>
      <w:hyperlink w:history="true" w:anchor="_bookmark1217">
        <w:r>
          <w:rPr>
            <w:color w:val="005DA1"/>
            <w:spacing w:val="-4"/>
            <w:sz w:val="14"/>
            <w:u w:val="single" w:color="005DA1"/>
          </w:rPr>
          <w:t>673</w:t>
        </w:r>
      </w:hyperlink>
      <w:r>
        <w:rPr>
          <w:spacing w:val="-4"/>
          <w:sz w:val="14"/>
        </w:rPr>
        <w:t>.</w:t>
      </w:r>
    </w:p>
    <w:p>
      <w:pPr>
        <w:spacing w:before="209"/>
        <w:ind w:left="335" w:right="0" w:firstLine="0"/>
        <w:jc w:val="left"/>
        <w:rPr>
          <w:sz w:val="20"/>
        </w:rPr>
      </w:pPr>
      <w:r>
        <w:rPr/>
        <w:br w:type="column"/>
      </w:r>
      <w:r>
        <w:rPr>
          <w:rFonts w:ascii="Arial"/>
          <w:i/>
          <w:sz w:val="20"/>
        </w:rPr>
        <w:t>[2015]</w:t>
      </w:r>
      <w:r>
        <w:rPr>
          <w:rFonts w:ascii="Arial"/>
          <w:i/>
          <w:spacing w:val="-1"/>
          <w:sz w:val="20"/>
        </w:rPr>
        <w:t> </w:t>
      </w:r>
      <w:r>
        <w:rPr>
          <w:rFonts w:ascii="Arial"/>
          <w:i/>
          <w:sz w:val="20"/>
        </w:rPr>
        <w:t>EWCA Civ 1146, [2016] 2 W.L.R. 1351</w:t>
      </w:r>
      <w:r>
        <w:rPr>
          <w:sz w:val="20"/>
        </w:rPr>
        <w:t>, noted Balen [2016] L.M.C.L.Q. </w:t>
      </w:r>
      <w:r>
        <w:rPr>
          <w:spacing w:val="-4"/>
          <w:sz w:val="20"/>
        </w:rPr>
        <w:t>186.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2368">
            <wp:simplePos x="0" y="0"/>
            <wp:positionH relativeFrom="page">
              <wp:posOffset>1257846</wp:posOffset>
            </wp:positionH>
            <wp:positionV relativeFrom="paragraph">
              <wp:posOffset>-210758</wp:posOffset>
            </wp:positionV>
            <wp:extent cx="107988" cy="107988"/>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2880">
            <wp:simplePos x="0" y="0"/>
            <wp:positionH relativeFrom="page">
              <wp:posOffset>1257846</wp:posOffset>
            </wp:positionH>
            <wp:positionV relativeFrom="paragraph">
              <wp:posOffset>160716</wp:posOffset>
            </wp:positionV>
            <wp:extent cx="107988" cy="107988"/>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1" w:id="1313"/>
      <w:bookmarkEnd w:id="1313"/>
      <w:r>
        <w:rPr/>
      </w:r>
      <w:hyperlink w:history="true" w:anchor="_bookmark1218">
        <w:r>
          <w:rPr>
            <w:color w:val="005DA1"/>
            <w:spacing w:val="-4"/>
            <w:sz w:val="14"/>
            <w:u w:val="single" w:color="005DA1"/>
          </w:rPr>
          <w:t>674</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rFonts w:ascii="Arial"/>
          <w:i/>
          <w:sz w:val="20"/>
        </w:rPr>
        <w:t>[2015] EWCA Civ 1146, [2016] Ch. 529</w:t>
      </w:r>
      <w:r>
        <w:rPr>
          <w:rFonts w:ascii="Arial"/>
          <w:i/>
          <w:spacing w:val="-1"/>
          <w:sz w:val="20"/>
        </w:rPr>
        <w:t> </w:t>
      </w:r>
      <w:r>
        <w:rPr>
          <w:sz w:val="20"/>
        </w:rPr>
        <w:t>at [80], [157] and </w:t>
      </w:r>
      <w:r>
        <w:rPr>
          <w:spacing w:val="-2"/>
          <w:sz w:val="20"/>
        </w:rPr>
        <w:t>[186].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219">
        <w:r>
          <w:rPr>
            <w:color w:val="005DA1"/>
            <w:spacing w:val="-4"/>
            <w:sz w:val="14"/>
            <w:u w:val="single" w:color="005DA1"/>
          </w:rPr>
          <w:t>675</w:t>
        </w:r>
      </w:hyperlink>
      <w:r>
        <w:rPr>
          <w:spacing w:val="-4"/>
          <w:sz w:val="14"/>
        </w:rPr>
        <w:t>.</w:t>
      </w:r>
    </w:p>
    <w:p>
      <w:pPr>
        <w:spacing w:line="240" w:lineRule="auto" w:before="60"/>
        <w:rPr>
          <w:sz w:val="20"/>
        </w:rPr>
      </w:pPr>
      <w:r>
        <w:rPr/>
        <w:br w:type="column"/>
      </w:r>
      <w:r>
        <w:rPr>
          <w:sz w:val="20"/>
        </w:rPr>
      </w:r>
    </w:p>
    <w:p>
      <w:pPr>
        <w:spacing w:line="235" w:lineRule="auto" w:before="0"/>
        <w:ind w:left="165" w:right="168" w:firstLine="170"/>
        <w:jc w:val="left"/>
        <w:rPr>
          <w:sz w:val="20"/>
        </w:rPr>
      </w:pPr>
      <w:r>
        <w:rPr>
          <w:sz w:val="20"/>
        </w:rPr>
        <w:drawing>
          <wp:anchor distT="0" distB="0" distL="0" distR="0" allowOverlap="1" layoutInCell="1" locked="0" behindDoc="0" simplePos="0" relativeHeight="15803392">
            <wp:simplePos x="0" y="0"/>
            <wp:positionH relativeFrom="page">
              <wp:posOffset>1257846</wp:posOffset>
            </wp:positionH>
            <wp:positionV relativeFrom="paragraph">
              <wp:posOffset>25903</wp:posOffset>
            </wp:positionV>
            <wp:extent cx="107988" cy="107988"/>
            <wp:effectExtent l="0" t="0" r="0" b="0"/>
            <wp:wrapNone/>
            <wp:docPr id="316" name="Image 316"/>
            <wp:cNvGraphicFramePr>
              <a:graphicFrameLocks/>
            </wp:cNvGraphicFramePr>
            <a:graphic>
              <a:graphicData uri="http://schemas.openxmlformats.org/drawingml/2006/picture">
                <pic:pic>
                  <pic:nvPicPr>
                    <pic:cNvPr id="316" name="Image 31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South</w:t>
      </w:r>
      <w:r>
        <w:rPr>
          <w:rFonts w:ascii="Arial"/>
          <w:i/>
          <w:spacing w:val="26"/>
          <w:sz w:val="20"/>
        </w:rPr>
        <w:t> </w:t>
      </w:r>
      <w:r>
        <w:rPr>
          <w:rFonts w:ascii="Arial"/>
          <w:i/>
          <w:sz w:val="20"/>
        </w:rPr>
        <w:t>Australia</w:t>
      </w:r>
      <w:r>
        <w:rPr>
          <w:rFonts w:ascii="Arial"/>
          <w:i/>
          <w:spacing w:val="26"/>
          <w:sz w:val="20"/>
        </w:rPr>
        <w:t> </w:t>
      </w:r>
      <w:r>
        <w:rPr>
          <w:rFonts w:ascii="Arial"/>
          <w:i/>
          <w:sz w:val="20"/>
        </w:rPr>
        <w:t>Asset</w:t>
      </w:r>
      <w:r>
        <w:rPr>
          <w:rFonts w:ascii="Arial"/>
          <w:i/>
          <w:spacing w:val="26"/>
          <w:sz w:val="20"/>
        </w:rPr>
        <w:t> </w:t>
      </w:r>
      <w:r>
        <w:rPr>
          <w:rFonts w:ascii="Arial"/>
          <w:i/>
          <w:sz w:val="20"/>
        </w:rPr>
        <w:t>Management</w:t>
      </w:r>
      <w:r>
        <w:rPr>
          <w:rFonts w:ascii="Arial"/>
          <w:i/>
          <w:spacing w:val="26"/>
          <w:sz w:val="20"/>
        </w:rPr>
        <w:t> </w:t>
      </w:r>
      <w:r>
        <w:rPr>
          <w:rFonts w:ascii="Arial"/>
          <w:i/>
          <w:sz w:val="20"/>
        </w:rPr>
        <w:t>Corp</w:t>
      </w:r>
      <w:r>
        <w:rPr>
          <w:rFonts w:ascii="Arial"/>
          <w:i/>
          <w:spacing w:val="26"/>
          <w:sz w:val="20"/>
        </w:rPr>
        <w:t> </w:t>
      </w:r>
      <w:r>
        <w:rPr>
          <w:rFonts w:ascii="Arial"/>
          <w:i/>
          <w:sz w:val="20"/>
        </w:rPr>
        <w:t>v</w:t>
      </w:r>
      <w:r>
        <w:rPr>
          <w:rFonts w:ascii="Arial"/>
          <w:i/>
          <w:spacing w:val="26"/>
          <w:sz w:val="20"/>
        </w:rPr>
        <w:t> </w:t>
      </w:r>
      <w:r>
        <w:rPr>
          <w:rFonts w:ascii="Arial"/>
          <w:i/>
          <w:sz w:val="20"/>
        </w:rPr>
        <w:t>York</w:t>
      </w:r>
      <w:r>
        <w:rPr>
          <w:rFonts w:ascii="Arial"/>
          <w:i/>
          <w:spacing w:val="26"/>
          <w:sz w:val="20"/>
        </w:rPr>
        <w:t> </w:t>
      </w:r>
      <w:r>
        <w:rPr>
          <w:rFonts w:ascii="Arial"/>
          <w:i/>
          <w:sz w:val="20"/>
        </w:rPr>
        <w:t>Montague</w:t>
      </w:r>
      <w:r>
        <w:rPr>
          <w:rFonts w:ascii="Arial"/>
          <w:i/>
          <w:spacing w:val="26"/>
          <w:sz w:val="20"/>
        </w:rPr>
        <w:t> </w:t>
      </w:r>
      <w:r>
        <w:rPr>
          <w:rFonts w:ascii="Arial"/>
          <w:i/>
          <w:sz w:val="20"/>
        </w:rPr>
        <w:t>Ltd</w:t>
      </w:r>
      <w:r>
        <w:rPr>
          <w:rFonts w:ascii="Arial"/>
          <w:i/>
          <w:spacing w:val="26"/>
          <w:sz w:val="20"/>
        </w:rPr>
        <w:t> </w:t>
      </w:r>
      <w:r>
        <w:rPr>
          <w:rFonts w:ascii="Arial"/>
          <w:i/>
          <w:sz w:val="20"/>
        </w:rPr>
        <w:t>[1997]</w:t>
      </w:r>
      <w:r>
        <w:rPr>
          <w:rFonts w:ascii="Arial"/>
          <w:i/>
          <w:spacing w:val="26"/>
          <w:sz w:val="20"/>
        </w:rPr>
        <w:t> </w:t>
      </w:r>
      <w:r>
        <w:rPr>
          <w:rFonts w:ascii="Arial"/>
          <w:i/>
          <w:sz w:val="20"/>
        </w:rPr>
        <w:t>A.C.</w:t>
      </w:r>
      <w:r>
        <w:rPr>
          <w:rFonts w:ascii="Arial"/>
          <w:i/>
          <w:spacing w:val="26"/>
          <w:sz w:val="20"/>
        </w:rPr>
        <w:t> </w:t>
      </w:r>
      <w:r>
        <w:rPr>
          <w:rFonts w:ascii="Arial"/>
          <w:i/>
          <w:sz w:val="20"/>
        </w:rPr>
        <w:t>191</w:t>
      </w:r>
      <w:r>
        <w:rPr>
          <w:rFonts w:ascii="Arial"/>
          <w:i/>
          <w:spacing w:val="25"/>
          <w:sz w:val="20"/>
        </w:rPr>
        <w:t> </w:t>
      </w:r>
      <w:r>
        <w:rPr>
          <w:sz w:val="20"/>
        </w:rPr>
        <w:t>(see</w:t>
      </w:r>
      <w:r>
        <w:rPr>
          <w:spacing w:val="26"/>
          <w:sz w:val="20"/>
        </w:rPr>
        <w:t> </w:t>
      </w:r>
      <w:r>
        <w:rPr>
          <w:sz w:val="20"/>
        </w:rPr>
        <w:t>Vol.I, </w:t>
      </w:r>
      <w:r>
        <w:rPr>
          <w:spacing w:val="-2"/>
          <w:sz w:val="20"/>
        </w:rPr>
        <w:t>para.26-168).</w:t>
      </w:r>
    </w:p>
    <w:p>
      <w:pPr>
        <w:spacing w:after="0" w:line="235" w:lineRule="auto"/>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12" w:id="1314"/>
      <w:bookmarkEnd w:id="1314"/>
      <w:r>
        <w:rPr/>
      </w:r>
      <w:hyperlink w:history="true" w:anchor="_bookmark1220">
        <w:r>
          <w:rPr>
            <w:color w:val="005DA1"/>
            <w:spacing w:val="-4"/>
            <w:sz w:val="14"/>
            <w:u w:val="single" w:color="005DA1"/>
          </w:rPr>
          <w:t>676</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Transfield</w:t>
      </w:r>
      <w:r>
        <w:rPr>
          <w:rFonts w:ascii="Arial"/>
          <w:i/>
          <w:spacing w:val="31"/>
          <w:sz w:val="20"/>
        </w:rPr>
        <w:t> </w:t>
      </w:r>
      <w:r>
        <w:rPr>
          <w:rFonts w:ascii="Arial"/>
          <w:i/>
          <w:sz w:val="20"/>
        </w:rPr>
        <w:t>Shipping</w:t>
      </w:r>
      <w:r>
        <w:rPr>
          <w:rFonts w:ascii="Arial"/>
          <w:i/>
          <w:spacing w:val="31"/>
          <w:sz w:val="20"/>
        </w:rPr>
        <w:t> </w:t>
      </w:r>
      <w:r>
        <w:rPr>
          <w:rFonts w:ascii="Arial"/>
          <w:i/>
          <w:sz w:val="20"/>
        </w:rPr>
        <w:t>Inc</w:t>
      </w:r>
      <w:r>
        <w:rPr>
          <w:rFonts w:ascii="Arial"/>
          <w:i/>
          <w:spacing w:val="31"/>
          <w:sz w:val="20"/>
        </w:rPr>
        <w:t> </w:t>
      </w:r>
      <w:r>
        <w:rPr>
          <w:rFonts w:ascii="Arial"/>
          <w:i/>
          <w:sz w:val="20"/>
        </w:rPr>
        <w:t>v</w:t>
      </w:r>
      <w:r>
        <w:rPr>
          <w:rFonts w:ascii="Arial"/>
          <w:i/>
          <w:spacing w:val="31"/>
          <w:sz w:val="20"/>
        </w:rPr>
        <w:t> </w:t>
      </w:r>
      <w:r>
        <w:rPr>
          <w:rFonts w:ascii="Arial"/>
          <w:i/>
          <w:sz w:val="20"/>
        </w:rPr>
        <w:t>Mercator</w:t>
      </w:r>
      <w:r>
        <w:rPr>
          <w:rFonts w:ascii="Arial"/>
          <w:i/>
          <w:spacing w:val="31"/>
          <w:sz w:val="20"/>
        </w:rPr>
        <w:t> </w:t>
      </w:r>
      <w:r>
        <w:rPr>
          <w:rFonts w:ascii="Arial"/>
          <w:i/>
          <w:sz w:val="20"/>
        </w:rPr>
        <w:t>Shipping</w:t>
      </w:r>
      <w:r>
        <w:rPr>
          <w:rFonts w:ascii="Arial"/>
          <w:i/>
          <w:spacing w:val="31"/>
          <w:sz w:val="20"/>
        </w:rPr>
        <w:t> </w:t>
      </w:r>
      <w:r>
        <w:rPr>
          <w:rFonts w:ascii="Arial"/>
          <w:i/>
          <w:sz w:val="20"/>
        </w:rPr>
        <w:t>Inc</w:t>
      </w:r>
      <w:r>
        <w:rPr>
          <w:rFonts w:ascii="Arial"/>
          <w:i/>
          <w:spacing w:val="31"/>
          <w:sz w:val="20"/>
        </w:rPr>
        <w:t> </w:t>
      </w:r>
      <w:r>
        <w:rPr>
          <w:rFonts w:ascii="Arial"/>
          <w:i/>
          <w:sz w:val="20"/>
        </w:rPr>
        <w:t>(The</w:t>
      </w:r>
      <w:r>
        <w:rPr>
          <w:rFonts w:ascii="Arial"/>
          <w:i/>
          <w:spacing w:val="31"/>
          <w:sz w:val="20"/>
        </w:rPr>
        <w:t> </w:t>
      </w:r>
      <w:r>
        <w:rPr>
          <w:rFonts w:ascii="Arial"/>
          <w:i/>
          <w:sz w:val="20"/>
        </w:rPr>
        <w:t>Achilleas)</w:t>
      </w:r>
      <w:r>
        <w:rPr>
          <w:rFonts w:ascii="Arial"/>
          <w:i/>
          <w:spacing w:val="31"/>
          <w:sz w:val="20"/>
        </w:rPr>
        <w:t> </w:t>
      </w:r>
      <w:r>
        <w:rPr>
          <w:rFonts w:ascii="Arial"/>
          <w:i/>
          <w:sz w:val="20"/>
        </w:rPr>
        <w:t>[2008]</w:t>
      </w:r>
      <w:r>
        <w:rPr>
          <w:rFonts w:ascii="Arial"/>
          <w:i/>
          <w:spacing w:val="31"/>
          <w:sz w:val="20"/>
        </w:rPr>
        <w:t> </w:t>
      </w:r>
      <w:r>
        <w:rPr>
          <w:rFonts w:ascii="Arial"/>
          <w:i/>
          <w:sz w:val="20"/>
        </w:rPr>
        <w:t>UKHL</w:t>
      </w:r>
      <w:r>
        <w:rPr>
          <w:rFonts w:ascii="Arial"/>
          <w:i/>
          <w:spacing w:val="31"/>
          <w:sz w:val="20"/>
        </w:rPr>
        <w:t> </w:t>
      </w:r>
      <w:r>
        <w:rPr>
          <w:rFonts w:ascii="Arial"/>
          <w:i/>
          <w:sz w:val="20"/>
        </w:rPr>
        <w:t>48,</w:t>
      </w:r>
      <w:r>
        <w:rPr>
          <w:rFonts w:ascii="Arial"/>
          <w:i/>
          <w:spacing w:val="31"/>
          <w:sz w:val="20"/>
        </w:rPr>
        <w:t> </w:t>
      </w:r>
      <w:r>
        <w:rPr>
          <w:rFonts w:ascii="Arial"/>
          <w:i/>
          <w:sz w:val="20"/>
        </w:rPr>
        <w:t>[2009]</w:t>
      </w:r>
      <w:r>
        <w:rPr>
          <w:rFonts w:ascii="Arial"/>
          <w:i/>
          <w:spacing w:val="31"/>
          <w:sz w:val="20"/>
        </w:rPr>
        <w:t> </w:t>
      </w:r>
      <w:r>
        <w:rPr>
          <w:rFonts w:ascii="Arial"/>
          <w:i/>
          <w:spacing w:val="-10"/>
          <w:sz w:val="20"/>
        </w:rPr>
        <w:t>1</w:t>
      </w:r>
    </w:p>
    <w:p>
      <w:pPr>
        <w:pStyle w:val="BodyText"/>
        <w:spacing w:line="227" w:lineRule="exact"/>
        <w:ind w:left="165"/>
      </w:pPr>
      <w:r>
        <w:rPr/>
        <w:drawing>
          <wp:anchor distT="0" distB="0" distL="0" distR="0" allowOverlap="1" layoutInCell="1" locked="0" behindDoc="0" simplePos="0" relativeHeight="15803904">
            <wp:simplePos x="0" y="0"/>
            <wp:positionH relativeFrom="page">
              <wp:posOffset>1257846</wp:posOffset>
            </wp:positionH>
            <wp:positionV relativeFrom="paragraph">
              <wp:posOffset>-116489</wp:posOffset>
            </wp:positionV>
            <wp:extent cx="107988" cy="107988"/>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rPr>
        <w:t>A.C.</w:t>
      </w:r>
      <w:r>
        <w:rPr>
          <w:rFonts w:ascii="Arial"/>
          <w:i/>
          <w:spacing w:val="-1"/>
        </w:rPr>
        <w:t> </w:t>
      </w:r>
      <w:r>
        <w:rPr>
          <w:rFonts w:ascii="Arial"/>
          <w:i/>
        </w:rPr>
        <w:t>61</w:t>
      </w:r>
      <w:r>
        <w:rPr/>
        <w:t>. See Vol.I, paras 26-126 et </w:t>
      </w:r>
      <w:r>
        <w:rPr>
          <w:spacing w:val="-4"/>
        </w:rPr>
        <w:t>seq.</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13" w:id="1315"/>
      <w:bookmarkEnd w:id="1315"/>
      <w:r>
        <w:rPr/>
      </w:r>
      <w:hyperlink w:history="true" w:anchor="_bookmark1221">
        <w:r>
          <w:rPr>
            <w:color w:val="005DA1"/>
            <w:spacing w:val="-4"/>
            <w:sz w:val="14"/>
            <w:u w:val="single" w:color="005DA1"/>
          </w:rPr>
          <w:t>677</w:t>
        </w:r>
      </w:hyperlink>
      <w:r>
        <w:rPr>
          <w:spacing w:val="-4"/>
          <w:sz w:val="14"/>
        </w:rPr>
        <w:t>.</w:t>
      </w:r>
    </w:p>
    <w:p>
      <w:pPr>
        <w:spacing w:before="209"/>
        <w:ind w:left="335" w:right="0" w:firstLine="0"/>
        <w:jc w:val="left"/>
        <w:rPr>
          <w:sz w:val="20"/>
        </w:rPr>
      </w:pPr>
      <w:r>
        <w:rPr/>
        <w:br w:type="column"/>
      </w:r>
      <w:r>
        <w:rPr>
          <w:sz w:val="20"/>
        </w:rPr>
        <w:t>See</w:t>
      </w:r>
      <w:r>
        <w:rPr>
          <w:spacing w:val="-3"/>
          <w:sz w:val="20"/>
        </w:rPr>
        <w:t> </w:t>
      </w:r>
      <w:r>
        <w:rPr>
          <w:rFonts w:ascii="Arial" w:hAnsi="Arial"/>
          <w:i/>
          <w:sz w:val="20"/>
        </w:rPr>
        <w:t>[2015] EWCA Civ 1146</w:t>
      </w:r>
      <w:r>
        <w:rPr>
          <w:rFonts w:ascii="Arial" w:hAnsi="Arial"/>
          <w:i/>
          <w:spacing w:val="-1"/>
          <w:sz w:val="20"/>
        </w:rPr>
        <w:t> </w:t>
      </w:r>
      <w:r>
        <w:rPr>
          <w:sz w:val="20"/>
        </w:rPr>
        <w:t>at [74], [152]–[157] and </w:t>
      </w:r>
      <w:r>
        <w:rPr>
          <w:spacing w:val="-2"/>
          <w:sz w:val="20"/>
        </w:rPr>
        <w:t>[182]–[187]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4416">
            <wp:simplePos x="0" y="0"/>
            <wp:positionH relativeFrom="page">
              <wp:posOffset>1257846</wp:posOffset>
            </wp:positionH>
            <wp:positionV relativeFrom="paragraph">
              <wp:posOffset>-210753</wp:posOffset>
            </wp:positionV>
            <wp:extent cx="107988" cy="107988"/>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4928">
            <wp:simplePos x="0" y="0"/>
            <wp:positionH relativeFrom="page">
              <wp:posOffset>1257846</wp:posOffset>
            </wp:positionH>
            <wp:positionV relativeFrom="paragraph">
              <wp:posOffset>160721</wp:posOffset>
            </wp:positionV>
            <wp:extent cx="107988" cy="107988"/>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4" w:id="1316"/>
      <w:bookmarkEnd w:id="1316"/>
      <w:r>
        <w:rPr/>
      </w:r>
      <w:hyperlink w:history="true" w:anchor="_bookmark1222">
        <w:r>
          <w:rPr>
            <w:color w:val="005DA1"/>
            <w:spacing w:val="-4"/>
            <w:sz w:val="14"/>
            <w:u w:val="single" w:color="005DA1"/>
          </w:rPr>
          <w:t>678</w:t>
        </w:r>
      </w:hyperlink>
      <w:r>
        <w:rPr>
          <w:spacing w:val="-4"/>
          <w:sz w:val="14"/>
        </w:rPr>
        <w:t>.</w:t>
      </w:r>
    </w:p>
    <w:p>
      <w:pPr>
        <w:pStyle w:val="BodyText"/>
        <w:spacing w:line="235" w:lineRule="auto" w:before="213"/>
        <w:ind w:left="165" w:right="167" w:firstLine="170"/>
        <w:jc w:val="both"/>
      </w:pPr>
      <w:r>
        <w:rPr/>
        <w:br w:type="column"/>
      </w:r>
      <w:r>
        <w:rPr/>
        <w:t>While in </w:t>
      </w:r>
      <w:r>
        <w:rPr>
          <w:rFonts w:ascii="Arial" w:hAnsi="Arial"/>
          <w:i/>
        </w:rPr>
        <w:t>Yapp’s </w:t>
      </w:r>
      <w:r>
        <w:rPr/>
        <w:t>case the claim for psychiatric injury failed even on the wider tort test and </w:t>
      </w:r>
      <w:r>
        <w:rPr/>
        <w:t>in </w:t>
      </w:r>
      <w:r>
        <w:rPr>
          <w:rFonts w:ascii="Arial" w:hAnsi="Arial"/>
          <w:i/>
        </w:rPr>
        <w:t>Wellesley </w:t>
      </w:r>
      <w:r>
        <w:rPr/>
        <w:t>the claim for loss of profit succeeded even on the narrower contract test, in each</w:t>
      </w:r>
      <w:r>
        <w:rPr>
          <w:spacing w:val="40"/>
        </w:rPr>
        <w:t> </w:t>
      </w:r>
      <w:r>
        <w:rPr/>
        <w:t>case</w:t>
      </w:r>
      <w:r>
        <w:rPr>
          <w:spacing w:val="-2"/>
        </w:rPr>
        <w:t> </w:t>
      </w:r>
      <w:r>
        <w:rPr/>
        <w:t>the applicable test was discussed at length and the discussion cannot be treated as </w:t>
      </w:r>
      <w:r>
        <w:rPr>
          <w:spacing w:val="-2"/>
        </w:rPr>
        <w:t>obiter.</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5440">
            <wp:simplePos x="0" y="0"/>
            <wp:positionH relativeFrom="page">
              <wp:posOffset>1257846</wp:posOffset>
            </wp:positionH>
            <wp:positionV relativeFrom="paragraph">
              <wp:posOffset>160638</wp:posOffset>
            </wp:positionV>
            <wp:extent cx="107988" cy="107988"/>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5" w:id="1317"/>
      <w:bookmarkEnd w:id="1317"/>
      <w:r>
        <w:rPr/>
      </w:r>
      <w:hyperlink w:history="true" w:anchor="_bookmark1223">
        <w:r>
          <w:rPr>
            <w:color w:val="005DA1"/>
            <w:spacing w:val="-4"/>
            <w:sz w:val="14"/>
            <w:u w:val="single" w:color="005DA1"/>
          </w:rPr>
          <w:t>679</w:t>
        </w:r>
      </w:hyperlink>
      <w:r>
        <w:rPr>
          <w:spacing w:val="-4"/>
          <w:sz w:val="14"/>
        </w:rPr>
        <w:t>.</w:t>
      </w:r>
    </w:p>
    <w:p>
      <w:pPr>
        <w:pStyle w:val="BodyText"/>
        <w:spacing w:line="235" w:lineRule="auto" w:before="212"/>
        <w:ind w:left="165" w:right="167" w:firstLine="170"/>
        <w:jc w:val="both"/>
      </w:pPr>
      <w:r>
        <w:rPr/>
        <w:br w:type="column"/>
      </w:r>
      <w:r>
        <w:rPr/>
        <w:t>Underhill L.J. specifically noted that he was not following the approach taken by </w:t>
      </w:r>
      <w:r>
        <w:rPr/>
        <w:t>the academics, remarking that “as regards the common law duty of care owed to employees the position seems to be the opposite” see note 8 to [119] of the judgment.</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16" w:id="1318"/>
      <w:bookmarkEnd w:id="1318"/>
      <w:r>
        <w:rPr/>
      </w:r>
      <w:hyperlink w:history="true" w:anchor="_bookmark1224">
        <w:r>
          <w:rPr>
            <w:color w:val="005DA1"/>
            <w:spacing w:val="-4"/>
            <w:sz w:val="14"/>
            <w:u w:val="single" w:color="005DA1"/>
          </w:rPr>
          <w:t>680</w:t>
        </w:r>
      </w:hyperlink>
      <w:r>
        <w:rPr>
          <w:spacing w:val="-4"/>
          <w:sz w:val="14"/>
        </w:rPr>
        <w:t>.</w:t>
      </w:r>
    </w:p>
    <w:p>
      <w:pPr>
        <w:pStyle w:val="BodyText"/>
        <w:spacing w:before="209"/>
        <w:ind w:left="335"/>
      </w:pPr>
      <w:r>
        <w:rPr/>
        <w:br w:type="column"/>
      </w:r>
      <w:r>
        <w:rPr/>
        <w:t>See above, para.1-</w:t>
      </w:r>
      <w:r>
        <w:rPr>
          <w:spacing w:val="-2"/>
        </w:rPr>
        <w:t>195A.</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5952">
            <wp:simplePos x="0" y="0"/>
            <wp:positionH relativeFrom="page">
              <wp:posOffset>1257846</wp:posOffset>
            </wp:positionH>
            <wp:positionV relativeFrom="paragraph">
              <wp:posOffset>-210899</wp:posOffset>
            </wp:positionV>
            <wp:extent cx="107988" cy="107988"/>
            <wp:effectExtent l="0" t="0" r="0" b="0"/>
            <wp:wrapNone/>
            <wp:docPr id="321" name="Image 321"/>
            <wp:cNvGraphicFramePr>
              <a:graphicFrameLocks/>
            </wp:cNvGraphicFramePr>
            <a:graphic>
              <a:graphicData uri="http://schemas.openxmlformats.org/drawingml/2006/picture">
                <pic:pic>
                  <pic:nvPicPr>
                    <pic:cNvPr id="321" name="Image 3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7" w:id="1319"/>
      <w:bookmarkEnd w:id="1319"/>
      <w:r>
        <w:rPr/>
      </w:r>
      <w:hyperlink w:history="true" w:anchor="_bookmark1225">
        <w:r>
          <w:rPr>
            <w:color w:val="005DA1"/>
            <w:spacing w:val="-4"/>
            <w:sz w:val="14"/>
            <w:u w:val="single" w:color="005DA1"/>
          </w:rPr>
          <w:t>681</w:t>
        </w:r>
      </w:hyperlink>
      <w:r>
        <w:rPr>
          <w:spacing w:val="-4"/>
          <w:sz w:val="14"/>
        </w:rPr>
        <w:t>.</w:t>
      </w:r>
    </w:p>
    <w:p>
      <w:pPr>
        <w:spacing w:before="209"/>
        <w:ind w:left="335" w:right="0" w:firstLine="0"/>
        <w:jc w:val="left"/>
        <w:rPr>
          <w:sz w:val="20"/>
        </w:rPr>
      </w:pPr>
      <w:r>
        <w:rPr/>
        <w:br w:type="column"/>
      </w:r>
      <w:r>
        <w:rPr>
          <w:rFonts w:ascii="Arial"/>
          <w:i/>
          <w:sz w:val="20"/>
        </w:rPr>
        <w:t>[2015] EWCA Civ 1146</w:t>
      </w:r>
      <w:r>
        <w:rPr>
          <w:rFonts w:ascii="Arial"/>
          <w:i/>
          <w:spacing w:val="-1"/>
          <w:sz w:val="20"/>
        </w:rPr>
        <w:t> </w:t>
      </w:r>
      <w:r>
        <w:rPr>
          <w:sz w:val="20"/>
        </w:rPr>
        <w:t>at </w:t>
      </w:r>
      <w:r>
        <w:rPr>
          <w:spacing w:val="-2"/>
          <w:sz w:val="20"/>
        </w:rPr>
        <w:t>[80].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6464">
            <wp:simplePos x="0" y="0"/>
            <wp:positionH relativeFrom="page">
              <wp:posOffset>1257846</wp:posOffset>
            </wp:positionH>
            <wp:positionV relativeFrom="paragraph">
              <wp:posOffset>-210879</wp:posOffset>
            </wp:positionV>
            <wp:extent cx="107988" cy="107988"/>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8" w:id="1320"/>
      <w:bookmarkEnd w:id="1320"/>
      <w:r>
        <w:rPr/>
      </w:r>
      <w:hyperlink w:history="true" w:anchor="_bookmark1226">
        <w:r>
          <w:rPr>
            <w:color w:val="005DA1"/>
            <w:spacing w:val="-4"/>
            <w:sz w:val="14"/>
            <w:u w:val="single" w:color="005DA1"/>
          </w:rPr>
          <w:t>682</w:t>
        </w:r>
      </w:hyperlink>
      <w:r>
        <w:rPr>
          <w:spacing w:val="-4"/>
          <w:sz w:val="14"/>
        </w:rPr>
        <w:t>.</w:t>
      </w:r>
    </w:p>
    <w:p>
      <w:pPr>
        <w:spacing w:before="209"/>
        <w:ind w:left="335" w:right="0" w:firstLine="0"/>
        <w:jc w:val="left"/>
        <w:rPr>
          <w:sz w:val="20"/>
        </w:rPr>
      </w:pPr>
      <w:r>
        <w:rPr/>
        <w:br w:type="column"/>
      </w:r>
      <w:r>
        <w:rPr>
          <w:rFonts w:ascii="Arial"/>
          <w:i/>
          <w:sz w:val="20"/>
        </w:rPr>
        <w:t>[2016] EWCA Civ 1308</w:t>
      </w:r>
      <w:r>
        <w:rPr>
          <w:rFonts w:ascii="Arial"/>
          <w:i/>
          <w:spacing w:val="-1"/>
          <w:sz w:val="20"/>
        </w:rPr>
        <w:t> </w:t>
      </w:r>
      <w:r>
        <w:rPr>
          <w:sz w:val="20"/>
        </w:rPr>
        <w:t>at [60]-</w:t>
      </w:r>
      <w:r>
        <w:rPr>
          <w:spacing w:val="-2"/>
          <w:sz w:val="20"/>
        </w:rPr>
        <w:t>[61].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540" w:val="left" w:leader="none"/>
        </w:tabs>
        <w:spacing w:line="227" w:lineRule="exact" w:before="1"/>
        <w:ind w:left="0" w:right="168" w:firstLine="0"/>
        <w:jc w:val="right"/>
        <w:rPr>
          <w:sz w:val="20"/>
        </w:rPr>
      </w:pPr>
      <w:r>
        <w:rPr>
          <w:sz w:val="20"/>
        </w:rPr>
        <w:drawing>
          <wp:anchor distT="0" distB="0" distL="0" distR="0" allowOverlap="1" layoutInCell="1" locked="0" behindDoc="0" simplePos="0" relativeHeight="15806976">
            <wp:simplePos x="0" y="0"/>
            <wp:positionH relativeFrom="page">
              <wp:posOffset>1257846</wp:posOffset>
            </wp:positionH>
            <wp:positionV relativeFrom="paragraph">
              <wp:posOffset>-266735</wp:posOffset>
            </wp:positionV>
            <wp:extent cx="107988" cy="107988"/>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19" w:id="1321"/>
      <w:bookmarkEnd w:id="1321"/>
      <w:r>
        <w:rPr/>
      </w:r>
      <w:hyperlink w:history="true" w:anchor="_bookmark1227">
        <w:r>
          <w:rPr>
            <w:color w:val="005DA1"/>
            <w:spacing w:val="-4"/>
            <w:position w:val="5"/>
            <w:sz w:val="14"/>
            <w:u w:val="single" w:color="005DA1"/>
          </w:rPr>
          <w:t>683</w:t>
        </w:r>
      </w:hyperlink>
      <w:r>
        <w:rPr>
          <w:spacing w:val="-4"/>
          <w:position w:val="5"/>
          <w:sz w:val="14"/>
        </w:rPr>
        <w:t>.</w:t>
      </w:r>
      <w:r>
        <w:rPr>
          <w:position w:val="5"/>
          <w:sz w:val="14"/>
        </w:rPr>
        <w:tab/>
      </w:r>
      <w:r>
        <w:rPr>
          <w:rFonts w:ascii="Arial"/>
          <w:i/>
          <w:sz w:val="20"/>
        </w:rPr>
        <w:t>Monarch</w:t>
      </w:r>
      <w:r>
        <w:rPr>
          <w:rFonts w:ascii="Arial"/>
          <w:i/>
          <w:spacing w:val="2"/>
          <w:sz w:val="20"/>
        </w:rPr>
        <w:t> </w:t>
      </w:r>
      <w:r>
        <w:rPr>
          <w:rFonts w:ascii="Arial"/>
          <w:i/>
          <w:sz w:val="20"/>
        </w:rPr>
        <w:t>S.S.</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Karlshamns</w:t>
      </w:r>
      <w:r>
        <w:rPr>
          <w:rFonts w:ascii="Arial"/>
          <w:i/>
          <w:spacing w:val="2"/>
          <w:sz w:val="20"/>
        </w:rPr>
        <w:t> </w:t>
      </w:r>
      <w:r>
        <w:rPr>
          <w:rFonts w:ascii="Arial"/>
          <w:i/>
          <w:sz w:val="20"/>
        </w:rPr>
        <w:t>Oljefabriker</w:t>
      </w:r>
      <w:r>
        <w:rPr>
          <w:rFonts w:ascii="Arial"/>
          <w:i/>
          <w:spacing w:val="2"/>
          <w:sz w:val="20"/>
        </w:rPr>
        <w:t> </w:t>
      </w:r>
      <w:r>
        <w:rPr>
          <w:rFonts w:ascii="Arial"/>
          <w:i/>
          <w:sz w:val="20"/>
        </w:rPr>
        <w:t>(A/B)</w:t>
      </w:r>
      <w:r>
        <w:rPr>
          <w:rFonts w:ascii="Arial"/>
          <w:i/>
          <w:spacing w:val="2"/>
          <w:sz w:val="20"/>
        </w:rPr>
        <w:t> </w:t>
      </w:r>
      <w:r>
        <w:rPr>
          <w:rFonts w:ascii="Arial"/>
          <w:i/>
          <w:sz w:val="20"/>
        </w:rPr>
        <w:t>[1949]</w:t>
      </w:r>
      <w:r>
        <w:rPr>
          <w:rFonts w:ascii="Arial"/>
          <w:i/>
          <w:spacing w:val="2"/>
          <w:sz w:val="20"/>
        </w:rPr>
        <w:t> </w:t>
      </w:r>
      <w:r>
        <w:rPr>
          <w:rFonts w:ascii="Arial"/>
          <w:i/>
          <w:sz w:val="20"/>
        </w:rPr>
        <w:t>A.C.</w:t>
      </w:r>
      <w:r>
        <w:rPr>
          <w:rFonts w:ascii="Arial"/>
          <w:i/>
          <w:spacing w:val="2"/>
          <w:sz w:val="20"/>
        </w:rPr>
        <w:t> </w:t>
      </w:r>
      <w:r>
        <w:rPr>
          <w:rFonts w:ascii="Arial"/>
          <w:i/>
          <w:sz w:val="20"/>
        </w:rPr>
        <w:t>196,</w:t>
      </w:r>
      <w:r>
        <w:rPr>
          <w:rFonts w:ascii="Arial"/>
          <w:i/>
          <w:spacing w:val="2"/>
          <w:sz w:val="20"/>
        </w:rPr>
        <w:t> </w:t>
      </w:r>
      <w:r>
        <w:rPr>
          <w:rFonts w:ascii="Arial"/>
          <w:i/>
          <w:sz w:val="20"/>
        </w:rPr>
        <w:t>224</w:t>
      </w:r>
      <w:r>
        <w:rPr>
          <w:rFonts w:ascii="Arial"/>
          <w:i/>
          <w:spacing w:val="2"/>
          <w:sz w:val="20"/>
        </w:rPr>
        <w:t> </w:t>
      </w:r>
      <w:r>
        <w:rPr>
          <w:sz w:val="20"/>
        </w:rPr>
        <w:t>(examined</w:t>
      </w:r>
      <w:r>
        <w:rPr>
          <w:spacing w:val="2"/>
          <w:sz w:val="20"/>
        </w:rPr>
        <w:t> </w:t>
      </w:r>
      <w:r>
        <w:rPr>
          <w:sz w:val="20"/>
        </w:rPr>
        <w:t>further</w:t>
      </w:r>
      <w:r>
        <w:rPr>
          <w:spacing w:val="2"/>
          <w:sz w:val="20"/>
        </w:rPr>
        <w:t> </w:t>
      </w:r>
      <w:r>
        <w:rPr>
          <w:spacing w:val="-5"/>
          <w:sz w:val="20"/>
        </w:rPr>
        <w:t>in</w:t>
      </w:r>
    </w:p>
    <w:p>
      <w:pPr>
        <w:spacing w:line="225" w:lineRule="exact" w:before="0"/>
        <w:ind w:left="0" w:right="167" w:firstLine="0"/>
        <w:jc w:val="right"/>
        <w:rPr>
          <w:rFonts w:ascii="Arial"/>
          <w:i/>
          <w:sz w:val="20"/>
        </w:rPr>
      </w:pPr>
      <w:r>
        <w:rPr>
          <w:rFonts w:ascii="Arial"/>
          <w:i/>
          <w:sz w:val="20"/>
        </w:rPr>
        <w:t>Balfour</w:t>
      </w:r>
      <w:r>
        <w:rPr>
          <w:rFonts w:ascii="Arial"/>
          <w:i/>
          <w:spacing w:val="21"/>
          <w:sz w:val="20"/>
        </w:rPr>
        <w:t> </w:t>
      </w:r>
      <w:r>
        <w:rPr>
          <w:rFonts w:ascii="Arial"/>
          <w:i/>
          <w:sz w:val="20"/>
        </w:rPr>
        <w:t>Beatty</w:t>
      </w:r>
      <w:r>
        <w:rPr>
          <w:rFonts w:ascii="Arial"/>
          <w:i/>
          <w:spacing w:val="21"/>
          <w:sz w:val="20"/>
        </w:rPr>
        <w:t> </w:t>
      </w:r>
      <w:r>
        <w:rPr>
          <w:rFonts w:ascii="Arial"/>
          <w:i/>
          <w:sz w:val="20"/>
        </w:rPr>
        <w:t>Construction</w:t>
      </w:r>
      <w:r>
        <w:rPr>
          <w:rFonts w:ascii="Arial"/>
          <w:i/>
          <w:spacing w:val="21"/>
          <w:sz w:val="20"/>
        </w:rPr>
        <w:t> </w:t>
      </w:r>
      <w:r>
        <w:rPr>
          <w:rFonts w:ascii="Arial"/>
          <w:i/>
          <w:sz w:val="20"/>
        </w:rPr>
        <w:t>(Scotland)</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Scottish</w:t>
      </w:r>
      <w:r>
        <w:rPr>
          <w:rFonts w:ascii="Arial"/>
          <w:i/>
          <w:spacing w:val="21"/>
          <w:sz w:val="20"/>
        </w:rPr>
        <w:t> </w:t>
      </w:r>
      <w:r>
        <w:rPr>
          <w:rFonts w:ascii="Arial"/>
          <w:i/>
          <w:sz w:val="20"/>
        </w:rPr>
        <w:t>Power</w:t>
      </w:r>
      <w:r>
        <w:rPr>
          <w:rFonts w:ascii="Arial"/>
          <w:i/>
          <w:spacing w:val="21"/>
          <w:sz w:val="20"/>
        </w:rPr>
        <w:t> </w:t>
      </w:r>
      <w:r>
        <w:rPr>
          <w:rFonts w:ascii="Arial"/>
          <w:i/>
          <w:sz w:val="20"/>
        </w:rPr>
        <w:t>Plc</w:t>
      </w:r>
      <w:r>
        <w:rPr>
          <w:rFonts w:ascii="Arial"/>
          <w:i/>
          <w:spacing w:val="21"/>
          <w:sz w:val="20"/>
        </w:rPr>
        <w:t> </w:t>
      </w:r>
      <w:r>
        <w:rPr>
          <w:rFonts w:ascii="Arial"/>
          <w:i/>
          <w:sz w:val="20"/>
        </w:rPr>
        <w:t>(1994)</w:t>
      </w:r>
      <w:r>
        <w:rPr>
          <w:rFonts w:ascii="Arial"/>
          <w:i/>
          <w:spacing w:val="21"/>
          <w:sz w:val="20"/>
        </w:rPr>
        <w:t> </w:t>
      </w:r>
      <w:r>
        <w:rPr>
          <w:rFonts w:ascii="Arial"/>
          <w:i/>
          <w:sz w:val="20"/>
        </w:rPr>
        <w:t>S.L.T.</w:t>
      </w:r>
      <w:r>
        <w:rPr>
          <w:rFonts w:ascii="Arial"/>
          <w:i/>
          <w:spacing w:val="21"/>
          <w:sz w:val="20"/>
        </w:rPr>
        <w:t> </w:t>
      </w:r>
      <w:r>
        <w:rPr>
          <w:rFonts w:ascii="Arial"/>
          <w:i/>
          <w:sz w:val="20"/>
        </w:rPr>
        <w:t>807,</w:t>
      </w:r>
      <w:r>
        <w:rPr>
          <w:rFonts w:ascii="Arial"/>
          <w:i/>
          <w:spacing w:val="21"/>
          <w:sz w:val="20"/>
        </w:rPr>
        <w:t> </w:t>
      </w:r>
      <w:r>
        <w:rPr>
          <w:rFonts w:ascii="Arial"/>
          <w:i/>
          <w:sz w:val="20"/>
        </w:rPr>
        <w:t>(1994)</w:t>
      </w:r>
      <w:r>
        <w:rPr>
          <w:rFonts w:ascii="Arial"/>
          <w:i/>
          <w:spacing w:val="21"/>
          <w:sz w:val="20"/>
        </w:rPr>
        <w:t> </w:t>
      </w:r>
      <w:r>
        <w:rPr>
          <w:rFonts w:ascii="Arial"/>
          <w:i/>
          <w:spacing w:val="-5"/>
          <w:sz w:val="20"/>
        </w:rPr>
        <w:t>71</w:t>
      </w:r>
    </w:p>
    <w:p>
      <w:pPr>
        <w:spacing w:line="227" w:lineRule="exact" w:before="0"/>
        <w:ind w:left="705" w:right="0" w:firstLine="0"/>
        <w:jc w:val="left"/>
        <w:rPr>
          <w:sz w:val="20"/>
        </w:rPr>
      </w:pPr>
      <w:r>
        <w:rPr>
          <w:rFonts w:ascii="Arial"/>
          <w:i/>
          <w:sz w:val="20"/>
        </w:rPr>
        <w:t>B.L.R.</w:t>
      </w:r>
      <w:r>
        <w:rPr>
          <w:rFonts w:ascii="Arial"/>
          <w:i/>
          <w:spacing w:val="-2"/>
          <w:sz w:val="20"/>
        </w:rPr>
        <w:t> </w:t>
      </w:r>
      <w:r>
        <w:rPr>
          <w:rFonts w:ascii="Arial"/>
          <w:i/>
          <w:sz w:val="20"/>
        </w:rPr>
        <w:t>20 </w:t>
      </w:r>
      <w:r>
        <w:rPr>
          <w:rFonts w:ascii="Arial"/>
          <w:i/>
          <w:spacing w:val="-4"/>
          <w:sz w:val="20"/>
        </w:rPr>
        <w:t>HL</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320" w:id="1322"/>
      <w:bookmarkEnd w:id="1322"/>
      <w:r>
        <w:rPr/>
      </w:r>
      <w:hyperlink w:history="true" w:anchor="_bookmark1228">
        <w:r>
          <w:rPr>
            <w:color w:val="005DA1"/>
            <w:spacing w:val="-4"/>
            <w:position w:val="5"/>
            <w:sz w:val="14"/>
            <w:u w:val="single" w:color="005DA1"/>
          </w:rPr>
          <w:t>684</w:t>
        </w:r>
      </w:hyperlink>
      <w:r>
        <w:rPr>
          <w:spacing w:val="-4"/>
          <w:position w:val="5"/>
          <w:sz w:val="14"/>
        </w:rPr>
        <w:t>.</w:t>
      </w:r>
      <w:r>
        <w:rPr>
          <w:position w:val="5"/>
          <w:sz w:val="14"/>
        </w:rPr>
        <w:tab/>
      </w:r>
      <w:r>
        <w:rPr>
          <w:sz w:val="20"/>
        </w:rPr>
        <w:t>See</w:t>
      </w:r>
      <w:r>
        <w:rPr>
          <w:spacing w:val="6"/>
          <w:sz w:val="20"/>
        </w:rPr>
        <w:t> </w:t>
      </w:r>
      <w:r>
        <w:rPr>
          <w:sz w:val="20"/>
        </w:rPr>
        <w:t>also</w:t>
      </w:r>
      <w:r>
        <w:rPr>
          <w:spacing w:val="6"/>
          <w:sz w:val="20"/>
        </w:rPr>
        <w:t> </w:t>
      </w:r>
      <w:r>
        <w:rPr>
          <w:rFonts w:ascii="Arial"/>
          <w:i/>
          <w:sz w:val="20"/>
        </w:rPr>
        <w:t>Bank</w:t>
      </w:r>
      <w:r>
        <w:rPr>
          <w:rFonts w:ascii="Arial"/>
          <w:i/>
          <w:spacing w:val="6"/>
          <w:sz w:val="20"/>
        </w:rPr>
        <w:t> </w:t>
      </w:r>
      <w:r>
        <w:rPr>
          <w:rFonts w:ascii="Arial"/>
          <w:i/>
          <w:sz w:val="20"/>
        </w:rPr>
        <w:t>of</w:t>
      </w:r>
      <w:r>
        <w:rPr>
          <w:rFonts w:ascii="Arial"/>
          <w:i/>
          <w:spacing w:val="6"/>
          <w:sz w:val="20"/>
        </w:rPr>
        <w:t> </w:t>
      </w:r>
      <w:r>
        <w:rPr>
          <w:rFonts w:ascii="Arial"/>
          <w:i/>
          <w:sz w:val="20"/>
        </w:rPr>
        <w:t>Nova</w:t>
      </w:r>
      <w:r>
        <w:rPr>
          <w:rFonts w:ascii="Arial"/>
          <w:i/>
          <w:spacing w:val="6"/>
          <w:sz w:val="20"/>
        </w:rPr>
        <w:t> </w:t>
      </w:r>
      <w:r>
        <w:rPr>
          <w:rFonts w:ascii="Arial"/>
          <w:i/>
          <w:sz w:val="20"/>
        </w:rPr>
        <w:t>Scotia</w:t>
      </w:r>
      <w:r>
        <w:rPr>
          <w:rFonts w:ascii="Arial"/>
          <w:i/>
          <w:spacing w:val="6"/>
          <w:sz w:val="20"/>
        </w:rPr>
        <w:t> </w:t>
      </w:r>
      <w:r>
        <w:rPr>
          <w:rFonts w:ascii="Arial"/>
          <w:i/>
          <w:sz w:val="20"/>
        </w:rPr>
        <w:t>v</w:t>
      </w:r>
      <w:r>
        <w:rPr>
          <w:rFonts w:ascii="Arial"/>
          <w:i/>
          <w:spacing w:val="6"/>
          <w:sz w:val="20"/>
        </w:rPr>
        <w:t> </w:t>
      </w:r>
      <w:r>
        <w:rPr>
          <w:rFonts w:ascii="Arial"/>
          <w:i/>
          <w:sz w:val="20"/>
        </w:rPr>
        <w:t>Hellenic</w:t>
      </w:r>
      <w:r>
        <w:rPr>
          <w:rFonts w:ascii="Arial"/>
          <w:i/>
          <w:spacing w:val="6"/>
          <w:sz w:val="20"/>
        </w:rPr>
        <w:t> </w:t>
      </w:r>
      <w:r>
        <w:rPr>
          <w:rFonts w:ascii="Arial"/>
          <w:i/>
          <w:sz w:val="20"/>
        </w:rPr>
        <w:t>Mutual</w:t>
      </w:r>
      <w:r>
        <w:rPr>
          <w:rFonts w:ascii="Arial"/>
          <w:i/>
          <w:spacing w:val="6"/>
          <w:sz w:val="20"/>
        </w:rPr>
        <w:t> </w:t>
      </w:r>
      <w:r>
        <w:rPr>
          <w:rFonts w:ascii="Arial"/>
          <w:i/>
          <w:sz w:val="20"/>
        </w:rPr>
        <w:t>War</w:t>
      </w:r>
      <w:r>
        <w:rPr>
          <w:rFonts w:ascii="Arial"/>
          <w:i/>
          <w:spacing w:val="6"/>
          <w:sz w:val="20"/>
        </w:rPr>
        <w:t> </w:t>
      </w:r>
      <w:r>
        <w:rPr>
          <w:rFonts w:ascii="Arial"/>
          <w:i/>
          <w:sz w:val="20"/>
        </w:rPr>
        <w:t>Risks</w:t>
      </w:r>
      <w:r>
        <w:rPr>
          <w:rFonts w:ascii="Arial"/>
          <w:i/>
          <w:spacing w:val="6"/>
          <w:sz w:val="20"/>
        </w:rPr>
        <w:t> </w:t>
      </w:r>
      <w:r>
        <w:rPr>
          <w:rFonts w:ascii="Arial"/>
          <w:i/>
          <w:sz w:val="20"/>
        </w:rPr>
        <w:t>Association</w:t>
      </w:r>
      <w:r>
        <w:rPr>
          <w:rFonts w:ascii="Arial"/>
          <w:i/>
          <w:spacing w:val="6"/>
          <w:sz w:val="20"/>
        </w:rPr>
        <w:t> </w:t>
      </w:r>
      <w:r>
        <w:rPr>
          <w:rFonts w:ascii="Arial"/>
          <w:i/>
          <w:sz w:val="20"/>
        </w:rPr>
        <w:t>(Bermuda)</w:t>
      </w:r>
      <w:r>
        <w:rPr>
          <w:rFonts w:ascii="Arial"/>
          <w:i/>
          <w:spacing w:val="6"/>
          <w:sz w:val="20"/>
        </w:rPr>
        <w:t> </w:t>
      </w:r>
      <w:r>
        <w:rPr>
          <w:rFonts w:ascii="Arial"/>
          <w:i/>
          <w:sz w:val="20"/>
        </w:rPr>
        <w:t>Ltd</w:t>
      </w:r>
      <w:r>
        <w:rPr>
          <w:rFonts w:ascii="Arial"/>
          <w:i/>
          <w:spacing w:val="6"/>
          <w:sz w:val="20"/>
        </w:rPr>
        <w:t> </w:t>
      </w:r>
      <w:r>
        <w:rPr>
          <w:rFonts w:ascii="Arial"/>
          <w:i/>
          <w:sz w:val="20"/>
        </w:rPr>
        <w:t>[1992]</w:t>
      </w:r>
      <w:r>
        <w:rPr>
          <w:rFonts w:ascii="Arial"/>
          <w:i/>
          <w:spacing w:val="6"/>
          <w:sz w:val="20"/>
        </w:rPr>
        <w:t> </w:t>
      </w:r>
      <w:r>
        <w:rPr>
          <w:rFonts w:ascii="Arial"/>
          <w:i/>
          <w:spacing w:val="-10"/>
          <w:sz w:val="20"/>
        </w:rPr>
        <w:t>1</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z w:val="20"/>
        </w:rPr>
        <w:t>233, </w:t>
      </w:r>
      <w:r>
        <w:rPr>
          <w:rFonts w:ascii="Arial"/>
          <w:i/>
          <w:spacing w:val="-4"/>
          <w:sz w:val="20"/>
        </w:rPr>
        <w:t>267</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321" w:id="1323"/>
      <w:bookmarkEnd w:id="1323"/>
      <w:r>
        <w:rPr/>
      </w:r>
      <w:hyperlink w:history="true" w:anchor="_bookmark1229">
        <w:r>
          <w:rPr>
            <w:color w:val="005DA1"/>
            <w:spacing w:val="-4"/>
            <w:position w:val="5"/>
            <w:sz w:val="14"/>
            <w:u w:val="single" w:color="005DA1"/>
          </w:rPr>
          <w:t>685</w:t>
        </w:r>
      </w:hyperlink>
      <w:r>
        <w:rPr>
          <w:spacing w:val="-4"/>
          <w:position w:val="5"/>
          <w:sz w:val="14"/>
        </w:rPr>
        <w:t>.</w:t>
      </w:r>
      <w:r>
        <w:rPr>
          <w:position w:val="5"/>
          <w:sz w:val="14"/>
        </w:rPr>
        <w:tab/>
      </w:r>
      <w:r>
        <w:rPr>
          <w:rFonts w:ascii="Arial"/>
          <w:i/>
          <w:sz w:val="20"/>
        </w:rPr>
        <w:t>Victoria</w:t>
      </w:r>
      <w:r>
        <w:rPr>
          <w:rFonts w:ascii="Arial"/>
          <w:i/>
          <w:spacing w:val="38"/>
          <w:sz w:val="20"/>
        </w:rPr>
        <w:t> </w:t>
      </w:r>
      <w:r>
        <w:rPr>
          <w:rFonts w:ascii="Arial"/>
          <w:i/>
          <w:sz w:val="20"/>
        </w:rPr>
        <w:t>Laundry</w:t>
      </w:r>
      <w:r>
        <w:rPr>
          <w:rFonts w:ascii="Arial"/>
          <w:i/>
          <w:spacing w:val="38"/>
          <w:sz w:val="20"/>
        </w:rPr>
        <w:t> </w:t>
      </w:r>
      <w:r>
        <w:rPr>
          <w:rFonts w:ascii="Arial"/>
          <w:i/>
          <w:sz w:val="20"/>
        </w:rPr>
        <w:t>(Windsor)</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Newman</w:t>
      </w:r>
      <w:r>
        <w:rPr>
          <w:rFonts w:ascii="Arial"/>
          <w:i/>
          <w:spacing w:val="38"/>
          <w:sz w:val="20"/>
        </w:rPr>
        <w:t> </w:t>
      </w:r>
      <w:r>
        <w:rPr>
          <w:rFonts w:ascii="Arial"/>
          <w:i/>
          <w:sz w:val="20"/>
        </w:rPr>
        <w:t>Industries</w:t>
      </w:r>
      <w:r>
        <w:rPr>
          <w:rFonts w:ascii="Arial"/>
          <w:i/>
          <w:spacing w:val="38"/>
          <w:sz w:val="20"/>
        </w:rPr>
        <w:t> </w:t>
      </w:r>
      <w:r>
        <w:rPr>
          <w:rFonts w:ascii="Arial"/>
          <w:i/>
          <w:sz w:val="20"/>
        </w:rPr>
        <w:t>Ltd</w:t>
      </w:r>
      <w:r>
        <w:rPr>
          <w:rFonts w:ascii="Arial"/>
          <w:i/>
          <w:spacing w:val="38"/>
          <w:sz w:val="20"/>
        </w:rPr>
        <w:t> </w:t>
      </w:r>
      <w:r>
        <w:rPr>
          <w:rFonts w:ascii="Arial"/>
          <w:i/>
          <w:sz w:val="20"/>
        </w:rPr>
        <w:t>[1949]</w:t>
      </w:r>
      <w:r>
        <w:rPr>
          <w:rFonts w:ascii="Arial"/>
          <w:i/>
          <w:spacing w:val="38"/>
          <w:sz w:val="20"/>
        </w:rPr>
        <w:t> </w:t>
      </w:r>
      <w:r>
        <w:rPr>
          <w:rFonts w:ascii="Arial"/>
          <w:i/>
          <w:sz w:val="20"/>
        </w:rPr>
        <w:t>2</w:t>
      </w:r>
      <w:r>
        <w:rPr>
          <w:rFonts w:ascii="Arial"/>
          <w:i/>
          <w:spacing w:val="38"/>
          <w:sz w:val="20"/>
        </w:rPr>
        <w:t> </w:t>
      </w:r>
      <w:r>
        <w:rPr>
          <w:rFonts w:ascii="Arial"/>
          <w:i/>
          <w:sz w:val="20"/>
        </w:rPr>
        <w:t>K.B.</w:t>
      </w:r>
      <w:r>
        <w:rPr>
          <w:rFonts w:ascii="Arial"/>
          <w:i/>
          <w:spacing w:val="38"/>
          <w:sz w:val="20"/>
        </w:rPr>
        <w:t> </w:t>
      </w:r>
      <w:r>
        <w:rPr>
          <w:rFonts w:ascii="Arial"/>
          <w:i/>
          <w:sz w:val="20"/>
        </w:rPr>
        <w:t>528</w:t>
      </w:r>
      <w:r>
        <w:rPr>
          <w:sz w:val="20"/>
        </w:rPr>
        <w:t>;</w:t>
      </w:r>
      <w:r>
        <w:rPr>
          <w:spacing w:val="38"/>
          <w:sz w:val="20"/>
        </w:rPr>
        <w:t> </w:t>
      </w:r>
      <w:r>
        <w:rPr>
          <w:sz w:val="20"/>
        </w:rPr>
        <w:t>cf.</w:t>
      </w:r>
      <w:r>
        <w:rPr>
          <w:spacing w:val="39"/>
          <w:sz w:val="20"/>
        </w:rPr>
        <w:t> </w:t>
      </w:r>
      <w:r>
        <w:rPr>
          <w:rFonts w:ascii="Arial"/>
          <w:i/>
          <w:sz w:val="20"/>
        </w:rPr>
        <w:t>Diamond</w:t>
      </w:r>
      <w:r>
        <w:rPr>
          <w:rFonts w:ascii="Arial"/>
          <w:i/>
          <w:spacing w:val="38"/>
          <w:sz w:val="20"/>
        </w:rPr>
        <w:t> </w:t>
      </w:r>
      <w:r>
        <w:rPr>
          <w:rFonts w:ascii="Arial"/>
          <w:i/>
          <w:sz w:val="20"/>
        </w:rPr>
        <w:t>v Campbell-Jones [1961] Ch. 22</w:t>
      </w:r>
      <w:r>
        <w:rPr>
          <w:sz w:val="20"/>
        </w:rPr>
        <w:t>.</w:t>
      </w:r>
    </w:p>
    <w:p>
      <w:pPr>
        <w:pStyle w:val="BodyText"/>
        <w:spacing w:before="6"/>
      </w:pPr>
    </w:p>
    <w:p>
      <w:pPr>
        <w:tabs>
          <w:tab w:pos="705" w:val="left" w:leader="none"/>
        </w:tabs>
        <w:spacing w:before="0"/>
        <w:ind w:left="165" w:right="0" w:firstLine="0"/>
        <w:jc w:val="left"/>
        <w:rPr>
          <w:sz w:val="20"/>
        </w:rPr>
      </w:pPr>
      <w:bookmarkStart w:name="_bookmark1322" w:id="1324"/>
      <w:bookmarkEnd w:id="1324"/>
      <w:r>
        <w:rPr/>
      </w:r>
      <w:hyperlink w:history="true" w:anchor="_bookmark1230">
        <w:r>
          <w:rPr>
            <w:color w:val="005DA1"/>
            <w:spacing w:val="-4"/>
            <w:position w:val="5"/>
            <w:sz w:val="14"/>
            <w:u w:val="single" w:color="005DA1"/>
          </w:rPr>
          <w:t>686</w:t>
        </w:r>
      </w:hyperlink>
      <w:r>
        <w:rPr>
          <w:spacing w:val="-4"/>
          <w:position w:val="5"/>
          <w:sz w:val="14"/>
        </w:rPr>
        <w:t>.</w:t>
      </w:r>
      <w:r>
        <w:rPr>
          <w:position w:val="5"/>
          <w:sz w:val="14"/>
        </w:rPr>
        <w:tab/>
      </w:r>
      <w:r>
        <w:rPr>
          <w:rFonts w:ascii="Arial"/>
          <w:i/>
          <w:sz w:val="20"/>
        </w:rPr>
        <w:t>Balfour Beatty Construction (Scotland) Ltd v Scottish Power Plc (1994) S.L.T. </w:t>
      </w:r>
      <w:r>
        <w:rPr>
          <w:rFonts w:ascii="Arial"/>
          <w:i/>
          <w:spacing w:val="-4"/>
          <w:sz w:val="20"/>
        </w:rPr>
        <w:t>807</w:t>
      </w:r>
      <w:r>
        <w:rPr>
          <w:spacing w:val="-4"/>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1323" w:id="1325"/>
      <w:bookmarkEnd w:id="1325"/>
      <w:r>
        <w:rPr/>
      </w:r>
      <w:hyperlink w:history="true" w:anchor="_bookmark1231">
        <w:r>
          <w:rPr>
            <w:color w:val="005DA1"/>
            <w:spacing w:val="-4"/>
            <w:position w:val="5"/>
            <w:sz w:val="14"/>
            <w:u w:val="single" w:color="005DA1"/>
          </w:rPr>
          <w:t>687</w:t>
        </w:r>
      </w:hyperlink>
      <w:r>
        <w:rPr>
          <w:spacing w:val="-4"/>
          <w:position w:val="5"/>
          <w:sz w:val="14"/>
        </w:rPr>
        <w:t>.</w:t>
      </w:r>
      <w:r>
        <w:rPr>
          <w:position w:val="5"/>
          <w:sz w:val="14"/>
        </w:rPr>
        <w:tab/>
      </w:r>
      <w:r>
        <w:rPr>
          <w:rFonts w:ascii="Arial"/>
          <w:i/>
          <w:sz w:val="20"/>
        </w:rPr>
        <w:t>Interoffice Telephones Ltd v Robert Freeman Co Ltd [1958] 1 Q.B. 190, 202</w:t>
      </w:r>
      <w:r>
        <w:rPr>
          <w:sz w:val="20"/>
        </w:rPr>
        <w:t>. The same holds</w:t>
      </w:r>
      <w:r>
        <w:rPr>
          <w:spacing w:val="40"/>
          <w:sz w:val="20"/>
        </w:rPr>
        <w:t> </w:t>
      </w:r>
      <w:r>
        <w:rPr>
          <w:sz w:val="20"/>
        </w:rPr>
        <w:t>for contracts for the carriage of goods: below, para.26-137.</w:t>
      </w:r>
    </w:p>
    <w:p>
      <w:pPr>
        <w:pStyle w:val="BodyText"/>
        <w:spacing w:before="5"/>
      </w:pPr>
    </w:p>
    <w:p>
      <w:pPr>
        <w:pStyle w:val="BodyText"/>
        <w:tabs>
          <w:tab w:pos="705" w:val="left" w:leader="none"/>
        </w:tabs>
        <w:ind w:left="165"/>
      </w:pPr>
      <w:bookmarkStart w:name="_bookmark1324" w:id="1326"/>
      <w:bookmarkEnd w:id="1326"/>
      <w:r>
        <w:rPr/>
      </w:r>
      <w:hyperlink w:history="true" w:anchor="_bookmark1232">
        <w:r>
          <w:rPr>
            <w:color w:val="005DA1"/>
            <w:spacing w:val="-4"/>
            <w:position w:val="5"/>
            <w:sz w:val="14"/>
            <w:u w:val="single" w:color="005DA1"/>
          </w:rPr>
          <w:t>688</w:t>
        </w:r>
      </w:hyperlink>
      <w:r>
        <w:rPr>
          <w:spacing w:val="-4"/>
          <w:position w:val="5"/>
          <w:sz w:val="14"/>
        </w:rPr>
        <w:t>.</w:t>
      </w:r>
      <w:r>
        <w:rPr>
          <w:position w:val="5"/>
          <w:sz w:val="14"/>
        </w:rPr>
        <w:tab/>
      </w:r>
      <w:r>
        <w:rPr/>
        <w:t>Below,</w:t>
      </w:r>
      <w:r>
        <w:rPr>
          <w:spacing w:val="-2"/>
        </w:rPr>
        <w:t> </w:t>
      </w:r>
      <w:r>
        <w:rPr/>
        <w:t>paras 26-135 et </w:t>
      </w:r>
      <w:r>
        <w:rPr>
          <w:spacing w:val="-4"/>
        </w:rPr>
        <w:t>seq.</w:t>
      </w:r>
    </w:p>
    <w:p>
      <w:pPr>
        <w:pStyle w:val="BodyText"/>
        <w:spacing w:before="9"/>
      </w:pPr>
    </w:p>
    <w:p>
      <w:pPr>
        <w:tabs>
          <w:tab w:pos="705" w:val="left" w:leader="none"/>
        </w:tabs>
        <w:spacing w:line="235" w:lineRule="auto" w:before="0"/>
        <w:ind w:left="705" w:right="167" w:hanging="541"/>
        <w:jc w:val="left"/>
        <w:rPr>
          <w:sz w:val="20"/>
        </w:rPr>
      </w:pPr>
      <w:bookmarkStart w:name="_bookmark1325" w:id="1327"/>
      <w:bookmarkEnd w:id="1327"/>
      <w:r>
        <w:rPr/>
      </w:r>
      <w:hyperlink w:history="true" w:anchor="_bookmark1233">
        <w:r>
          <w:rPr>
            <w:color w:val="005DA1"/>
            <w:spacing w:val="-4"/>
            <w:position w:val="5"/>
            <w:sz w:val="14"/>
            <w:u w:val="single" w:color="005DA1"/>
          </w:rPr>
          <w:t>689</w:t>
        </w:r>
      </w:hyperlink>
      <w:r>
        <w:rPr>
          <w:spacing w:val="-4"/>
          <w:position w:val="5"/>
          <w:sz w:val="14"/>
        </w:rPr>
        <w:t>.</w:t>
      </w:r>
      <w:r>
        <w:rPr>
          <w:position w:val="5"/>
          <w:sz w:val="14"/>
        </w:rPr>
        <w:tab/>
      </w:r>
      <w:r>
        <w:rPr>
          <w:sz w:val="20"/>
        </w:rPr>
        <w:t>See</w:t>
      </w:r>
      <w:r>
        <w:rPr>
          <w:spacing w:val="26"/>
          <w:sz w:val="20"/>
        </w:rPr>
        <w:t> </w:t>
      </w:r>
      <w:r>
        <w:rPr>
          <w:rFonts w:ascii="Arial" w:hAnsi="Arial"/>
          <w:i/>
          <w:sz w:val="20"/>
        </w:rPr>
        <w:t>Supershield</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Siemens</w:t>
      </w:r>
      <w:r>
        <w:rPr>
          <w:rFonts w:ascii="Arial" w:hAnsi="Arial"/>
          <w:i/>
          <w:spacing w:val="27"/>
          <w:sz w:val="20"/>
        </w:rPr>
        <w:t> </w:t>
      </w:r>
      <w:r>
        <w:rPr>
          <w:rFonts w:ascii="Arial" w:hAnsi="Arial"/>
          <w:i/>
          <w:sz w:val="20"/>
        </w:rPr>
        <w:t>Building</w:t>
      </w:r>
      <w:r>
        <w:rPr>
          <w:rFonts w:ascii="Arial" w:hAnsi="Arial"/>
          <w:i/>
          <w:spacing w:val="27"/>
          <w:sz w:val="20"/>
        </w:rPr>
        <w:t> </w:t>
      </w:r>
      <w:r>
        <w:rPr>
          <w:rFonts w:ascii="Arial" w:hAnsi="Arial"/>
          <w:i/>
          <w:sz w:val="20"/>
        </w:rPr>
        <w:t>Technologies</w:t>
      </w:r>
      <w:r>
        <w:rPr>
          <w:rFonts w:ascii="Arial" w:hAnsi="Arial"/>
          <w:i/>
          <w:spacing w:val="27"/>
          <w:sz w:val="20"/>
        </w:rPr>
        <w:t> </w:t>
      </w:r>
      <w:r>
        <w:rPr>
          <w:rFonts w:ascii="Arial" w:hAnsi="Arial"/>
          <w:i/>
          <w:sz w:val="20"/>
        </w:rPr>
        <w:t>FE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[2010]</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7,</w:t>
      </w:r>
      <w:r>
        <w:rPr>
          <w:rFonts w:ascii="Arial" w:hAnsi="Arial"/>
          <w:i/>
          <w:spacing w:val="27"/>
          <w:sz w:val="20"/>
        </w:rPr>
        <w:t> </w:t>
      </w:r>
      <w:r>
        <w:rPr>
          <w:rFonts w:ascii="Arial" w:hAnsi="Arial"/>
          <w:i/>
          <w:sz w:val="20"/>
        </w:rPr>
        <w:t>[2010]</w:t>
      </w:r>
      <w:r>
        <w:rPr>
          <w:rFonts w:ascii="Arial" w:hAnsi="Arial"/>
          <w:i/>
          <w:spacing w:val="27"/>
          <w:sz w:val="20"/>
        </w:rPr>
        <w:t> </w:t>
      </w:r>
      <w:r>
        <w:rPr>
          <w:rFonts w:ascii="Arial" w:hAnsi="Arial"/>
          <w:i/>
          <w:sz w:val="20"/>
        </w:rPr>
        <w:t>1 Lloyd’s Rep. 349 </w:t>
      </w:r>
      <w:r>
        <w:rPr>
          <w:sz w:val="20"/>
        </w:rPr>
        <w:t>and para.26-134 below.</w:t>
      </w:r>
    </w:p>
    <w:p>
      <w:pPr>
        <w:pStyle w:val="BodyText"/>
        <w:spacing w:before="9"/>
      </w:pPr>
    </w:p>
    <w:p>
      <w:pPr>
        <w:pStyle w:val="BodyText"/>
        <w:tabs>
          <w:tab w:pos="705" w:val="left" w:leader="none"/>
        </w:tabs>
        <w:spacing w:line="235" w:lineRule="auto"/>
        <w:ind w:left="705" w:right="174" w:hanging="541"/>
      </w:pPr>
      <w:bookmarkStart w:name="_bookmark1326" w:id="1328"/>
      <w:bookmarkEnd w:id="1328"/>
      <w:r>
        <w:rPr/>
      </w:r>
      <w:hyperlink w:history="true" w:anchor="_bookmark1234">
        <w:r>
          <w:rPr>
            <w:color w:val="005DA1"/>
            <w:spacing w:val="-4"/>
            <w:position w:val="5"/>
            <w:sz w:val="14"/>
            <w:u w:val="single" w:color="005DA1"/>
          </w:rPr>
          <w:t>690</w:t>
        </w:r>
      </w:hyperlink>
      <w:r>
        <w:rPr>
          <w:spacing w:val="-4"/>
          <w:position w:val="5"/>
          <w:sz w:val="14"/>
        </w:rPr>
        <w:t>.</w:t>
      </w:r>
      <w:r>
        <w:rPr>
          <w:position w:val="5"/>
          <w:sz w:val="14"/>
        </w:rPr>
        <w:tab/>
      </w:r>
      <w:r>
        <w:rPr/>
        <w:t>And which were not irrecoverable under one of the other limiting rules, such as the doctrine of mitigation: see above, para.26-079.</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7488">
            <wp:simplePos x="0" y="0"/>
            <wp:positionH relativeFrom="page">
              <wp:posOffset>1257846</wp:posOffset>
            </wp:positionH>
            <wp:positionV relativeFrom="paragraph">
              <wp:posOffset>160733</wp:posOffset>
            </wp:positionV>
            <wp:extent cx="107988" cy="107988"/>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7" w:id="1329"/>
      <w:bookmarkEnd w:id="1329"/>
      <w:r>
        <w:rPr/>
      </w:r>
      <w:hyperlink w:history="true" w:anchor="_bookmark1235">
        <w:r>
          <w:rPr>
            <w:color w:val="005DA1"/>
            <w:spacing w:val="-4"/>
            <w:sz w:val="14"/>
            <w:u w:val="single" w:color="005DA1"/>
          </w:rPr>
          <w:t>691</w:t>
        </w:r>
      </w:hyperlink>
      <w:r>
        <w:rPr>
          <w:spacing w:val="-4"/>
          <w:sz w:val="14"/>
        </w:rPr>
        <w:t>.</w:t>
      </w:r>
    </w:p>
    <w:p>
      <w:pPr>
        <w:pStyle w:val="BodyText"/>
        <w:spacing w:line="235" w:lineRule="auto" w:before="213"/>
        <w:ind w:left="165" w:right="167" w:firstLine="170"/>
        <w:jc w:val="both"/>
      </w:pPr>
      <w:r>
        <w:rPr/>
        <w:br w:type="column"/>
      </w:r>
      <w:r>
        <w:rPr/>
        <w:t>cf. Peel, </w:t>
      </w:r>
      <w:r>
        <w:rPr>
          <w:rFonts w:ascii="Arial" w:hAnsi="Arial"/>
          <w:i/>
        </w:rPr>
        <w:t>Treitel on The Law of Contract</w:t>
      </w:r>
      <w:r>
        <w:rPr/>
        <w:t>, 14th edn (2015), para.20–106 (“it appeared </w:t>
      </w:r>
      <w:r>
        <w:rPr/>
        <w:t>that</w:t>
      </w:r>
      <w:r>
        <w:rPr>
          <w:spacing w:val="40"/>
        </w:rPr>
        <w:t> </w:t>
      </w:r>
      <w:r>
        <w:rPr/>
        <w:t>there was no basis, so far as remoteness is concerned, for imposing any further limit as to its </w:t>
      </w:r>
      <w:r>
        <w:rPr>
          <w:spacing w:val="-2"/>
        </w:rPr>
        <w:t>recoverability”).</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28" w:id="1330"/>
      <w:bookmarkEnd w:id="1330"/>
      <w:r>
        <w:rPr/>
      </w:r>
      <w:hyperlink w:history="true" w:anchor="_bookmark1236">
        <w:r>
          <w:rPr>
            <w:color w:val="005DA1"/>
            <w:spacing w:val="-4"/>
            <w:position w:val="5"/>
            <w:sz w:val="14"/>
            <w:u w:val="single" w:color="005DA1"/>
          </w:rPr>
          <w:t>692</w:t>
        </w:r>
      </w:hyperlink>
      <w:r>
        <w:rPr>
          <w:spacing w:val="-4"/>
          <w:position w:val="5"/>
          <w:sz w:val="14"/>
        </w:rPr>
        <w:t>.</w:t>
      </w:r>
      <w:r>
        <w:rPr>
          <w:position w:val="5"/>
          <w:sz w:val="14"/>
        </w:rPr>
        <w:tab/>
      </w:r>
      <w:r>
        <w:rPr>
          <w:rFonts w:ascii="Arial"/>
          <w:i/>
          <w:sz w:val="20"/>
        </w:rPr>
        <w:t>Transfield</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v</w:t>
      </w:r>
      <w:r>
        <w:rPr>
          <w:rFonts w:ascii="Arial"/>
          <w:i/>
          <w:spacing w:val="9"/>
          <w:sz w:val="20"/>
        </w:rPr>
        <w:t> </w:t>
      </w:r>
      <w:r>
        <w:rPr>
          <w:rFonts w:ascii="Arial"/>
          <w:i/>
          <w:sz w:val="20"/>
        </w:rPr>
        <w:t>Mercator</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(The</w:t>
      </w:r>
      <w:r>
        <w:rPr>
          <w:rFonts w:ascii="Arial"/>
          <w:i/>
          <w:spacing w:val="9"/>
          <w:sz w:val="20"/>
        </w:rPr>
        <w:t> </w:t>
      </w:r>
      <w:r>
        <w:rPr>
          <w:rFonts w:ascii="Arial"/>
          <w:i/>
          <w:sz w:val="20"/>
        </w:rPr>
        <w:t>Achilleas)</w:t>
      </w:r>
      <w:r>
        <w:rPr>
          <w:rFonts w:ascii="Arial"/>
          <w:i/>
          <w:spacing w:val="9"/>
          <w:sz w:val="20"/>
        </w:rPr>
        <w:t> </w:t>
      </w:r>
      <w:r>
        <w:rPr>
          <w:rFonts w:ascii="Arial"/>
          <w:i/>
          <w:sz w:val="20"/>
        </w:rPr>
        <w:t>[2008]</w:t>
      </w:r>
      <w:r>
        <w:rPr>
          <w:rFonts w:ascii="Arial"/>
          <w:i/>
          <w:spacing w:val="9"/>
          <w:sz w:val="20"/>
        </w:rPr>
        <w:t> </w:t>
      </w:r>
      <w:r>
        <w:rPr>
          <w:rFonts w:ascii="Arial"/>
          <w:i/>
          <w:sz w:val="20"/>
        </w:rPr>
        <w:t>UKHL</w:t>
      </w:r>
      <w:r>
        <w:rPr>
          <w:rFonts w:ascii="Arial"/>
          <w:i/>
          <w:spacing w:val="9"/>
          <w:sz w:val="20"/>
        </w:rPr>
        <w:t> </w:t>
      </w:r>
      <w:r>
        <w:rPr>
          <w:rFonts w:ascii="Arial"/>
          <w:i/>
          <w:sz w:val="20"/>
        </w:rPr>
        <w:t>48,</w:t>
      </w:r>
      <w:r>
        <w:rPr>
          <w:rFonts w:ascii="Arial"/>
          <w:i/>
          <w:spacing w:val="9"/>
          <w:sz w:val="20"/>
        </w:rPr>
        <w:t> </w:t>
      </w:r>
      <w:r>
        <w:rPr>
          <w:rFonts w:ascii="Arial"/>
          <w:i/>
          <w:sz w:val="20"/>
        </w:rPr>
        <w:t>[2009]</w:t>
      </w:r>
      <w:r>
        <w:rPr>
          <w:rFonts w:ascii="Arial"/>
          <w:i/>
          <w:spacing w:val="9"/>
          <w:sz w:val="20"/>
        </w:rPr>
        <w:t> </w:t>
      </w:r>
      <w:r>
        <w:rPr>
          <w:rFonts w:ascii="Arial"/>
          <w:i/>
          <w:sz w:val="20"/>
        </w:rPr>
        <w:t>1</w:t>
      </w:r>
      <w:r>
        <w:rPr>
          <w:rFonts w:ascii="Arial"/>
          <w:i/>
          <w:spacing w:val="9"/>
          <w:sz w:val="20"/>
        </w:rPr>
        <w:t> </w:t>
      </w:r>
      <w:r>
        <w:rPr>
          <w:rFonts w:ascii="Arial"/>
          <w:i/>
          <w:spacing w:val="-4"/>
          <w:sz w:val="20"/>
        </w:rPr>
        <w:t>A.C.</w:t>
      </w:r>
    </w:p>
    <w:p>
      <w:pPr>
        <w:pStyle w:val="BodyText"/>
        <w:spacing w:line="227" w:lineRule="exact"/>
        <w:ind w:left="705"/>
      </w:pPr>
      <w:r>
        <w:rPr>
          <w:rFonts w:ascii="Arial"/>
          <w:i/>
        </w:rPr>
        <w:t>61</w:t>
      </w:r>
      <w:r>
        <w:rPr/>
        <w:t>;</w:t>
      </w:r>
      <w:r>
        <w:rPr>
          <w:spacing w:val="-1"/>
        </w:rPr>
        <w:t> </w:t>
      </w:r>
      <w:r>
        <w:rPr/>
        <w:t>see above, para.26-107 and below, paras 26-126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329" w:id="1331"/>
      <w:bookmarkEnd w:id="1331"/>
      <w:r>
        <w:rPr/>
      </w:r>
      <w:hyperlink w:history="true" w:anchor="_bookmark1237">
        <w:r>
          <w:rPr>
            <w:color w:val="005DA1"/>
            <w:spacing w:val="-4"/>
            <w:position w:val="5"/>
            <w:sz w:val="14"/>
            <w:u w:val="single" w:color="005DA1"/>
          </w:rPr>
          <w:t>693</w:t>
        </w:r>
      </w:hyperlink>
      <w:r>
        <w:rPr>
          <w:spacing w:val="-4"/>
          <w:position w:val="5"/>
          <w:sz w:val="14"/>
        </w:rPr>
        <w:t>.</w:t>
      </w:r>
      <w:r>
        <w:rPr>
          <w:position w:val="5"/>
          <w:sz w:val="14"/>
        </w:rPr>
        <w:tab/>
      </w:r>
      <w:r>
        <w:rPr>
          <w:rFonts w:ascii="Arial"/>
          <w:i/>
          <w:sz w:val="20"/>
        </w:rPr>
        <w:t>(1854) 9 Ex. 341</w:t>
      </w:r>
      <w:r>
        <w:rPr>
          <w:rFonts w:ascii="Arial"/>
          <w:i/>
          <w:spacing w:val="-1"/>
          <w:sz w:val="20"/>
        </w:rPr>
        <w:t> </w:t>
      </w:r>
      <w:r>
        <w:rPr>
          <w:sz w:val="20"/>
        </w:rPr>
        <w:t>(above, para.26-</w:t>
      </w:r>
      <w:r>
        <w:rPr>
          <w:spacing w:val="-2"/>
          <w:sz w:val="20"/>
        </w:rPr>
        <w:t>110).</w:t>
      </w:r>
    </w:p>
    <w:p>
      <w:pPr>
        <w:pStyle w:val="BodyText"/>
        <w:spacing w:before="5"/>
      </w:pPr>
    </w:p>
    <w:p>
      <w:pPr>
        <w:tabs>
          <w:tab w:pos="705" w:val="left" w:leader="none"/>
        </w:tabs>
        <w:spacing w:before="0"/>
        <w:ind w:left="165" w:right="0" w:firstLine="0"/>
        <w:jc w:val="left"/>
        <w:rPr>
          <w:sz w:val="20"/>
        </w:rPr>
      </w:pPr>
      <w:bookmarkStart w:name="_bookmark1330" w:id="1332"/>
      <w:bookmarkEnd w:id="1332"/>
      <w:r>
        <w:rPr/>
      </w:r>
      <w:hyperlink w:history="true" w:anchor="_bookmark1237">
        <w:r>
          <w:rPr>
            <w:color w:val="005DA1"/>
            <w:spacing w:val="-4"/>
            <w:position w:val="5"/>
            <w:sz w:val="14"/>
            <w:u w:val="single" w:color="005DA1"/>
          </w:rPr>
          <w:t>694</w:t>
        </w:r>
      </w:hyperlink>
      <w:r>
        <w:rPr>
          <w:spacing w:val="-4"/>
          <w:position w:val="5"/>
          <w:sz w:val="14"/>
        </w:rPr>
        <w:t>.</w:t>
      </w:r>
      <w:r>
        <w:rPr>
          <w:position w:val="5"/>
          <w:sz w:val="14"/>
        </w:rPr>
        <w:tab/>
      </w:r>
      <w:r>
        <w:rPr>
          <w:rFonts w:ascii="Arial"/>
          <w:i/>
          <w:sz w:val="20"/>
        </w:rPr>
        <w:t>Wroth v Tyler [1974] Ch. 30, </w:t>
      </w:r>
      <w:r>
        <w:rPr>
          <w:rFonts w:ascii="Arial"/>
          <w:i/>
          <w:spacing w:val="-5"/>
          <w:sz w:val="20"/>
        </w:rPr>
        <w:t>61</w:t>
      </w:r>
      <w:r>
        <w:rPr>
          <w:spacing w:val="-5"/>
          <w:sz w:val="20"/>
        </w:rPr>
        <w:t>.</w:t>
      </w:r>
    </w:p>
    <w:p>
      <w:pPr>
        <w:spacing w:after="0"/>
        <w:jc w:val="left"/>
        <w:rPr>
          <w:sz w:val="20"/>
        </w:rPr>
        <w:sectPr>
          <w:type w:val="continuous"/>
          <w:pgSz w:w="11900" w:h="16840"/>
          <w:pgMar w:header="971" w:footer="0" w:top="1300" w:bottom="280" w:left="1275" w:right="1275"/>
        </w:sectPr>
      </w:pPr>
    </w:p>
    <w:p>
      <w:pPr>
        <w:spacing w:line="235" w:lineRule="auto" w:before="170"/>
        <w:ind w:left="705" w:right="168" w:hanging="541"/>
        <w:jc w:val="both"/>
        <w:rPr>
          <w:sz w:val="20"/>
        </w:rPr>
      </w:pPr>
      <w:hyperlink w:history="true" w:anchor="_bookmark1238">
        <w:r>
          <w:rPr>
            <w:color w:val="005DA1"/>
            <w:position w:val="5"/>
            <w:sz w:val="14"/>
            <w:u w:val="single" w:color="005DA1"/>
          </w:rPr>
          <w:t>695</w:t>
        </w:r>
      </w:hyperlink>
      <w:r>
        <w:rPr>
          <w:position w:val="5"/>
          <w:sz w:val="14"/>
        </w:rPr>
        <w:t>.</w:t>
      </w:r>
      <w:r>
        <w:rPr>
          <w:spacing w:val="80"/>
          <w:position w:val="5"/>
          <w:sz w:val="14"/>
        </w:rPr>
        <w:t> </w:t>
      </w:r>
      <w:r>
        <w:rPr>
          <w:sz w:val="20"/>
        </w:rPr>
        <w:t>The facts or circumstances do not have to be “unusual” before the second rule in </w:t>
      </w:r>
      <w:r>
        <w:rPr>
          <w:rFonts w:ascii="Arial" w:hAnsi="Arial"/>
          <w:i/>
          <w:sz w:val="20"/>
        </w:rPr>
        <w:t>Hadley v Baxendale (1854) 9 Ex. 341 </w:t>
      </w:r>
      <w:r>
        <w:rPr>
          <w:sz w:val="20"/>
        </w:rPr>
        <w:t>may come into play: see </w:t>
      </w:r>
      <w:r>
        <w:rPr>
          <w:rFonts w:ascii="Arial" w:hAnsi="Arial"/>
          <w:i/>
          <w:sz w:val="20"/>
        </w:rPr>
        <w:t>President of India v Lips Maritime Corp [1988] A.C. 395, 411, 412</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331" w:id="1333"/>
      <w:bookmarkEnd w:id="1333"/>
      <w:r>
        <w:rPr/>
      </w:r>
      <w:hyperlink w:history="true" w:anchor="_bookmark1239">
        <w:r>
          <w:rPr>
            <w:color w:val="005DA1"/>
            <w:spacing w:val="-4"/>
            <w:position w:val="5"/>
            <w:sz w:val="14"/>
            <w:u w:val="single" w:color="005DA1"/>
          </w:rPr>
          <w:t>696</w:t>
        </w:r>
      </w:hyperlink>
      <w:r>
        <w:rPr>
          <w:spacing w:val="-4"/>
          <w:position w:val="5"/>
          <w:sz w:val="14"/>
        </w:rPr>
        <w:t>.</w:t>
      </w:r>
      <w:r>
        <w:rPr>
          <w:position w:val="5"/>
          <w:sz w:val="14"/>
        </w:rPr>
        <w:tab/>
      </w:r>
      <w:r>
        <w:rPr>
          <w:rFonts w:ascii="Arial"/>
          <w:i/>
          <w:sz w:val="20"/>
        </w:rPr>
        <w:t>Victoria</w:t>
      </w:r>
      <w:r>
        <w:rPr>
          <w:rFonts w:ascii="Arial"/>
          <w:i/>
          <w:spacing w:val="6"/>
          <w:sz w:val="20"/>
        </w:rPr>
        <w:t> </w:t>
      </w:r>
      <w:r>
        <w:rPr>
          <w:rFonts w:ascii="Arial"/>
          <w:i/>
          <w:sz w:val="20"/>
        </w:rPr>
        <w:t>Laundry</w:t>
      </w:r>
      <w:r>
        <w:rPr>
          <w:rFonts w:ascii="Arial"/>
          <w:i/>
          <w:spacing w:val="8"/>
          <w:sz w:val="20"/>
        </w:rPr>
        <w:t> </w:t>
      </w:r>
      <w:r>
        <w:rPr>
          <w:rFonts w:ascii="Arial"/>
          <w:i/>
          <w:sz w:val="20"/>
        </w:rPr>
        <w:t>(Windsor)</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Newman</w:t>
      </w:r>
      <w:r>
        <w:rPr>
          <w:rFonts w:ascii="Arial"/>
          <w:i/>
          <w:spacing w:val="8"/>
          <w:sz w:val="20"/>
        </w:rPr>
        <w:t> </w:t>
      </w:r>
      <w:r>
        <w:rPr>
          <w:rFonts w:ascii="Arial"/>
          <w:i/>
          <w:sz w:val="20"/>
        </w:rPr>
        <w:t>Industries</w:t>
      </w:r>
      <w:r>
        <w:rPr>
          <w:rFonts w:ascii="Arial"/>
          <w:i/>
          <w:spacing w:val="8"/>
          <w:sz w:val="20"/>
        </w:rPr>
        <w:t> </w:t>
      </w:r>
      <w:r>
        <w:rPr>
          <w:rFonts w:ascii="Arial"/>
          <w:i/>
          <w:sz w:val="20"/>
        </w:rPr>
        <w:t>Ltd</w:t>
      </w:r>
      <w:r>
        <w:rPr>
          <w:rFonts w:ascii="Arial"/>
          <w:i/>
          <w:spacing w:val="8"/>
          <w:sz w:val="20"/>
        </w:rPr>
        <w:t> </w:t>
      </w:r>
      <w:r>
        <w:rPr>
          <w:rFonts w:ascii="Arial"/>
          <w:i/>
          <w:sz w:val="20"/>
        </w:rPr>
        <w:t>[1949]</w:t>
      </w:r>
      <w:r>
        <w:rPr>
          <w:rFonts w:ascii="Arial"/>
          <w:i/>
          <w:spacing w:val="8"/>
          <w:sz w:val="20"/>
        </w:rPr>
        <w:t> </w:t>
      </w:r>
      <w:r>
        <w:rPr>
          <w:rFonts w:ascii="Arial"/>
          <w:i/>
          <w:sz w:val="20"/>
        </w:rPr>
        <w:t>2</w:t>
      </w:r>
      <w:r>
        <w:rPr>
          <w:rFonts w:ascii="Arial"/>
          <w:i/>
          <w:spacing w:val="8"/>
          <w:sz w:val="20"/>
        </w:rPr>
        <w:t> </w:t>
      </w:r>
      <w:r>
        <w:rPr>
          <w:rFonts w:ascii="Arial"/>
          <w:i/>
          <w:sz w:val="20"/>
        </w:rPr>
        <w:t>K.B.</w:t>
      </w:r>
      <w:r>
        <w:rPr>
          <w:rFonts w:ascii="Arial"/>
          <w:i/>
          <w:spacing w:val="8"/>
          <w:sz w:val="20"/>
        </w:rPr>
        <w:t> </w:t>
      </w:r>
      <w:r>
        <w:rPr>
          <w:rFonts w:ascii="Arial"/>
          <w:i/>
          <w:sz w:val="20"/>
        </w:rPr>
        <w:t>528,</w:t>
      </w:r>
      <w:r>
        <w:rPr>
          <w:rFonts w:ascii="Arial"/>
          <w:i/>
          <w:spacing w:val="8"/>
          <w:sz w:val="20"/>
        </w:rPr>
        <w:t> </w:t>
      </w:r>
      <w:r>
        <w:rPr>
          <w:rFonts w:ascii="Arial"/>
          <w:i/>
          <w:sz w:val="20"/>
        </w:rPr>
        <w:t>539</w:t>
      </w:r>
      <w:r>
        <w:rPr>
          <w:rFonts w:ascii="Arial"/>
          <w:i/>
          <w:spacing w:val="8"/>
          <w:sz w:val="20"/>
        </w:rPr>
        <w:t> </w:t>
      </w:r>
      <w:r>
        <w:rPr>
          <w:sz w:val="20"/>
        </w:rPr>
        <w:t>(Proposition</w:t>
      </w:r>
      <w:r>
        <w:rPr>
          <w:spacing w:val="8"/>
          <w:sz w:val="20"/>
        </w:rPr>
        <w:t> </w:t>
      </w:r>
      <w:r>
        <w:rPr>
          <w:spacing w:val="-5"/>
          <w:sz w:val="20"/>
        </w:rPr>
        <w:t>3,</w:t>
      </w:r>
    </w:p>
    <w:p>
      <w:pPr>
        <w:spacing w:line="235" w:lineRule="auto" w:before="2"/>
        <w:ind w:left="705" w:right="167" w:firstLine="0"/>
        <w:jc w:val="both"/>
        <w:rPr>
          <w:sz w:val="20"/>
        </w:rPr>
      </w:pPr>
      <w:r>
        <w:rPr>
          <w:sz w:val="20"/>
        </w:rPr>
        <w:t>cited above, para.26-114); </w:t>
      </w:r>
      <w:r>
        <w:rPr>
          <w:rFonts w:ascii="Arial" w:hAnsi="Arial"/>
          <w:i/>
          <w:sz w:val="20"/>
        </w:rPr>
        <w:t>Jackson v Bank of Scotland [2005] UKHL 3, [2005] 1 W.L.R. 377 </w:t>
      </w:r>
      <w:r>
        <w:rPr>
          <w:sz w:val="20"/>
        </w:rPr>
        <w:t>at [35]-[36]. See also </w:t>
      </w:r>
      <w:r>
        <w:rPr>
          <w:rFonts w:ascii="Arial" w:hAnsi="Arial"/>
          <w:i/>
          <w:sz w:val="20"/>
        </w:rPr>
        <w:t>Hydraulic Engineering Co Ltd v McHaffie Goslett &amp; Co (1878) 4 Q.B.D. 670, 676</w:t>
      </w:r>
      <w:r>
        <w:rPr>
          <w:sz w:val="20"/>
        </w:rPr>
        <w:t>; cf. </w:t>
      </w:r>
      <w:r>
        <w:rPr>
          <w:rFonts w:ascii="Arial" w:hAnsi="Arial"/>
          <w:i/>
          <w:sz w:val="20"/>
        </w:rPr>
        <w:t>Kollman v Watts [1963] V.L.R. 396 </w:t>
      </w:r>
      <w:r>
        <w:rPr>
          <w:sz w:val="20"/>
        </w:rPr>
        <w:t>(knowledge acquired after the contract was </w:t>
      </w:r>
      <w:r>
        <w:rPr>
          <w:sz w:val="20"/>
        </w:rPr>
        <w:t>made). The rules in </w:t>
      </w:r>
      <w:r>
        <w:rPr>
          <w:rFonts w:ascii="Arial" w:hAnsi="Arial"/>
          <w:i/>
          <w:sz w:val="20"/>
        </w:rPr>
        <w:t>Hadley v Baxendale </w:t>
      </w:r>
      <w:r>
        <w:rPr>
          <w:sz w:val="20"/>
        </w:rPr>
        <w:t>encourage the efficient exchange of information. There is no need for the promisee to inform the promisor about the usual consequences of a breach of his promise, but if he intends the promisor to be responsible for an unusual type of risk he must inform the promisor of that risk, so that, by making the promise with that knowledge, the promisor is implicitly assuming responsibility for it. (The promisor can then increase the “price” he requires in exchange, or exclude liability.)</w:t>
      </w:r>
    </w:p>
    <w:p>
      <w:pPr>
        <w:pStyle w:val="BodyText"/>
        <w:spacing w:before="6"/>
      </w:pPr>
    </w:p>
    <w:p>
      <w:pPr>
        <w:spacing w:line="235" w:lineRule="auto" w:before="0"/>
        <w:ind w:left="705" w:right="168" w:hanging="541"/>
        <w:jc w:val="both"/>
        <w:rPr>
          <w:sz w:val="20"/>
        </w:rPr>
      </w:pPr>
      <w:bookmarkStart w:name="_bookmark1332" w:id="1334"/>
      <w:bookmarkEnd w:id="1334"/>
      <w:r>
        <w:rPr/>
      </w:r>
      <w:hyperlink w:history="true" w:anchor="_bookmark1240">
        <w:r>
          <w:rPr>
            <w:color w:val="005DA1"/>
            <w:position w:val="5"/>
            <w:sz w:val="14"/>
            <w:u w:val="single" w:color="005DA1"/>
          </w:rPr>
          <w:t>697</w:t>
        </w:r>
      </w:hyperlink>
      <w:r>
        <w:rPr>
          <w:position w:val="5"/>
          <w:sz w:val="14"/>
        </w:rPr>
        <w:t>.</w:t>
      </w:r>
      <w:r>
        <w:rPr>
          <w:spacing w:val="40"/>
          <w:position w:val="5"/>
          <w:sz w:val="14"/>
        </w:rPr>
        <w:t>  </w:t>
      </w:r>
      <w:r>
        <w:rPr>
          <w:rFonts w:ascii="Arial" w:hAnsi="Arial"/>
          <w:i/>
          <w:sz w:val="20"/>
        </w:rPr>
        <w:t>Jackson v Bank of Scotland [2005] UKHL 3 </w:t>
      </w:r>
      <w:r>
        <w:rPr>
          <w:sz w:val="20"/>
        </w:rPr>
        <w:t>at [46]-[49]. There is no need for a strict </w:t>
      </w:r>
      <w:r>
        <w:rPr>
          <w:sz w:val="20"/>
        </w:rPr>
        <w:t>delineation between the two rules in </w:t>
      </w:r>
      <w:r>
        <w:rPr>
          <w:rFonts w:ascii="Arial" w:hAnsi="Arial"/>
          <w:i/>
          <w:sz w:val="20"/>
        </w:rPr>
        <w:t>Hadley v Baxendale (1854) 9 Ex. 341</w:t>
      </w:r>
      <w:r>
        <w:rPr>
          <w:sz w:val="20"/>
        </w:rPr>
        <w:t>: </w:t>
      </w:r>
      <w:r>
        <w:rPr>
          <w:rFonts w:ascii="Arial" w:hAnsi="Arial"/>
          <w:i/>
          <w:sz w:val="20"/>
        </w:rPr>
        <w:t>Transfield Shipping Inc v Mercator</w:t>
      </w:r>
      <w:r>
        <w:rPr>
          <w:rFonts w:ascii="Arial" w:hAnsi="Arial"/>
          <w:i/>
          <w:spacing w:val="6"/>
          <w:sz w:val="20"/>
        </w:rPr>
        <w:t> </w:t>
      </w:r>
      <w:r>
        <w:rPr>
          <w:rFonts w:ascii="Arial" w:hAnsi="Arial"/>
          <w:i/>
          <w:sz w:val="20"/>
        </w:rPr>
        <w:t>Shipping</w:t>
      </w:r>
      <w:r>
        <w:rPr>
          <w:rFonts w:ascii="Arial" w:hAnsi="Arial"/>
          <w:i/>
          <w:spacing w:val="6"/>
          <w:sz w:val="20"/>
        </w:rPr>
        <w:t> </w:t>
      </w:r>
      <w:r>
        <w:rPr>
          <w:rFonts w:ascii="Arial" w:hAnsi="Arial"/>
          <w:i/>
          <w:sz w:val="20"/>
        </w:rPr>
        <w:t>Inc</w:t>
      </w:r>
      <w:r>
        <w:rPr>
          <w:rFonts w:ascii="Arial" w:hAnsi="Arial"/>
          <w:i/>
          <w:spacing w:val="6"/>
          <w:sz w:val="20"/>
        </w:rPr>
        <w:t> </w:t>
      </w:r>
      <w:r>
        <w:rPr>
          <w:rFonts w:ascii="Arial" w:hAnsi="Arial"/>
          <w:i/>
          <w:sz w:val="20"/>
        </w:rPr>
        <w:t>(The</w:t>
      </w:r>
      <w:r>
        <w:rPr>
          <w:rFonts w:ascii="Arial" w:hAnsi="Arial"/>
          <w:i/>
          <w:spacing w:val="6"/>
          <w:sz w:val="20"/>
        </w:rPr>
        <w:t> </w:t>
      </w:r>
      <w:r>
        <w:rPr>
          <w:rFonts w:ascii="Arial" w:hAnsi="Arial"/>
          <w:i/>
          <w:sz w:val="20"/>
        </w:rPr>
        <w:t>Achilleas)</w:t>
      </w:r>
      <w:r>
        <w:rPr>
          <w:rFonts w:ascii="Arial" w:hAnsi="Arial"/>
          <w:i/>
          <w:spacing w:val="6"/>
          <w:sz w:val="20"/>
        </w:rPr>
        <w:t> </w:t>
      </w:r>
      <w:r>
        <w:rPr>
          <w:rFonts w:ascii="Arial" w:hAnsi="Arial"/>
          <w:i/>
          <w:sz w:val="20"/>
        </w:rPr>
        <w:t>[2006]</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3030</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[2007]</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19</w:t>
      </w:r>
      <w:r>
        <w:rPr>
          <w:rFonts w:ascii="Arial" w:hAnsi="Arial"/>
          <w:i/>
          <w:spacing w:val="5"/>
          <w:sz w:val="20"/>
        </w:rPr>
        <w:t> </w:t>
      </w:r>
      <w:r>
        <w:rPr>
          <w:spacing w:val="-5"/>
          <w:sz w:val="20"/>
        </w:rPr>
        <w:t>at</w:t>
      </w:r>
    </w:p>
    <w:p>
      <w:pPr>
        <w:spacing w:line="235" w:lineRule="auto" w:before="0"/>
        <w:ind w:left="705" w:right="174" w:firstLine="0"/>
        <w:jc w:val="left"/>
        <w:rPr>
          <w:sz w:val="20"/>
        </w:rPr>
      </w:pPr>
      <w:r>
        <w:rPr>
          <w:sz w:val="20"/>
        </w:rPr>
        <w:t>[49]; affirmed </w:t>
      </w:r>
      <w:r>
        <w:rPr>
          <w:rFonts w:ascii="Arial" w:hAnsi="Arial"/>
          <w:i/>
          <w:sz w:val="20"/>
        </w:rPr>
        <w:t>[2007] EWCA Civ 901, [2007] 2 Lloyd’s Rep. 555</w:t>
      </w:r>
      <w:r>
        <w:rPr>
          <w:sz w:val="20"/>
        </w:rPr>
        <w:t>, on the same point see at [88]</w:t>
      </w:r>
      <w:r>
        <w:rPr>
          <w:spacing w:val="40"/>
          <w:sz w:val="20"/>
        </w:rPr>
        <w:t> </w:t>
      </w:r>
      <w:r>
        <w:rPr>
          <w:sz w:val="20"/>
        </w:rPr>
        <w:t>and [95]; reversed </w:t>
      </w:r>
      <w:r>
        <w:rPr>
          <w:rFonts w:ascii="Arial" w:hAnsi="Arial"/>
          <w:i/>
          <w:sz w:val="20"/>
        </w:rPr>
        <w:t>[2008] UKHL 48 </w:t>
      </w:r>
      <w:r>
        <w:rPr>
          <w:sz w:val="20"/>
        </w:rPr>
        <w:t>but on a different ground, see below, para.26-128.</w:t>
      </w:r>
    </w:p>
    <w:p>
      <w:pPr>
        <w:pStyle w:val="BodyText"/>
        <w:spacing w:before="8"/>
      </w:pPr>
    </w:p>
    <w:p>
      <w:pPr>
        <w:spacing w:line="235" w:lineRule="auto" w:before="0"/>
        <w:ind w:left="705" w:right="167" w:hanging="541"/>
        <w:jc w:val="both"/>
        <w:rPr>
          <w:sz w:val="20"/>
        </w:rPr>
      </w:pPr>
      <w:bookmarkStart w:name="_bookmark1333" w:id="1335"/>
      <w:bookmarkEnd w:id="1335"/>
      <w:r>
        <w:rPr/>
      </w:r>
      <w:hyperlink w:history="true" w:anchor="_bookmark1241">
        <w:r>
          <w:rPr>
            <w:color w:val="005DA1"/>
            <w:position w:val="5"/>
            <w:sz w:val="14"/>
            <w:u w:val="single" w:color="005DA1"/>
          </w:rPr>
          <w:t>698</w:t>
        </w:r>
      </w:hyperlink>
      <w:r>
        <w:rPr>
          <w:position w:val="5"/>
          <w:sz w:val="14"/>
        </w:rPr>
        <w:t>.</w:t>
      </w:r>
      <w:r>
        <w:rPr>
          <w:spacing w:val="40"/>
          <w:position w:val="5"/>
          <w:sz w:val="14"/>
        </w:rPr>
        <w:t>  </w:t>
      </w:r>
      <w:r>
        <w:rPr>
          <w:rFonts w:ascii="Arial" w:hAnsi="Arial"/>
          <w:i/>
          <w:sz w:val="20"/>
        </w:rPr>
        <w:t>Wroth v Tyler [1974] Ch. 30, 60–62</w:t>
      </w:r>
      <w:r>
        <w:rPr>
          <w:sz w:val="20"/>
        </w:rPr>
        <w:t>; cf. </w:t>
      </w:r>
      <w:r>
        <w:rPr>
          <w:rFonts w:ascii="Arial" w:hAnsi="Arial"/>
          <w:i/>
          <w:sz w:val="20"/>
        </w:rPr>
        <w:t>Jackson v Bank of Scotland [2005] UKHL 3 </w:t>
      </w:r>
      <w:r>
        <w:rPr>
          <w:sz w:val="20"/>
        </w:rPr>
        <w:t>at [36]. cf. above, para.26-107 n.548. cf. however, the cases on loss of profits, which show that a loss of profits from one use of a chattel may be treated as different from a loss of profits from another use: see below, para.26-135; Vol.II, paras 44-408, 44-410. cf. also </w:t>
      </w:r>
      <w:r>
        <w:rPr>
          <w:rFonts w:ascii="Arial" w:hAnsi="Arial"/>
          <w:i/>
          <w:sz w:val="20"/>
        </w:rPr>
        <w:t>South Australia </w:t>
      </w:r>
      <w:r>
        <w:rPr>
          <w:rFonts w:ascii="Arial" w:hAnsi="Arial"/>
          <w:i/>
          <w:sz w:val="20"/>
        </w:rPr>
        <w:t>Asset Management Corp v York Montague Ltd [1997] A.C. 191 </w:t>
      </w:r>
      <w:r>
        <w:rPr>
          <w:sz w:val="20"/>
        </w:rPr>
        <w:t>(below, para.26-168).</w:t>
      </w:r>
    </w:p>
    <w:p>
      <w:pPr>
        <w:pStyle w:val="BodyText"/>
        <w:spacing w:before="4"/>
      </w:pPr>
    </w:p>
    <w:p>
      <w:pPr>
        <w:tabs>
          <w:tab w:pos="705" w:val="left" w:leader="none"/>
        </w:tabs>
        <w:spacing w:before="1"/>
        <w:ind w:left="165" w:right="0" w:firstLine="0"/>
        <w:jc w:val="left"/>
        <w:rPr>
          <w:sz w:val="20"/>
        </w:rPr>
      </w:pPr>
      <w:bookmarkStart w:name="_bookmark1334" w:id="1336"/>
      <w:bookmarkEnd w:id="1336"/>
      <w:r>
        <w:rPr/>
      </w:r>
      <w:hyperlink w:history="true" w:anchor="_bookmark1242">
        <w:r>
          <w:rPr>
            <w:color w:val="005DA1"/>
            <w:spacing w:val="-4"/>
            <w:position w:val="5"/>
            <w:sz w:val="14"/>
            <w:u w:val="single" w:color="005DA1"/>
          </w:rPr>
          <w:t>699</w:t>
        </w:r>
      </w:hyperlink>
      <w:r>
        <w:rPr>
          <w:spacing w:val="-4"/>
          <w:position w:val="5"/>
          <w:sz w:val="14"/>
        </w:rPr>
        <w:t>.</w:t>
      </w:r>
      <w:r>
        <w:rPr>
          <w:position w:val="5"/>
          <w:sz w:val="14"/>
        </w:rPr>
        <w:tab/>
      </w:r>
      <w:r>
        <w:rPr>
          <w:rFonts w:ascii="Arial"/>
          <w:i/>
          <w:sz w:val="20"/>
        </w:rPr>
        <w:t>Patrick v Russo-British Grain Export Co Ltd [1927] 2 K.B. 535, </w:t>
      </w:r>
      <w:r>
        <w:rPr>
          <w:rFonts w:ascii="Arial"/>
          <w:i/>
          <w:spacing w:val="-4"/>
          <w:sz w:val="20"/>
        </w:rPr>
        <w:t>540</w:t>
      </w:r>
      <w:r>
        <w:rPr>
          <w:spacing w:val="-4"/>
          <w:sz w:val="20"/>
        </w:rPr>
        <w:t>.</w:t>
      </w:r>
    </w:p>
    <w:p>
      <w:pPr>
        <w:pStyle w:val="BodyText"/>
        <w:spacing w:before="5"/>
      </w:pPr>
    </w:p>
    <w:p>
      <w:pPr>
        <w:tabs>
          <w:tab w:pos="540" w:val="left" w:leader="none"/>
        </w:tabs>
        <w:spacing w:line="227" w:lineRule="exact" w:before="0"/>
        <w:ind w:left="0" w:right="168" w:firstLine="0"/>
        <w:jc w:val="right"/>
        <w:rPr>
          <w:sz w:val="20"/>
        </w:rPr>
      </w:pPr>
      <w:bookmarkStart w:name="_bookmark1335" w:id="1337"/>
      <w:bookmarkEnd w:id="1337"/>
      <w:r>
        <w:rPr/>
      </w:r>
      <w:hyperlink w:history="true" w:anchor="_bookmark1243">
        <w:r>
          <w:rPr>
            <w:color w:val="005DA1"/>
            <w:spacing w:val="-4"/>
            <w:position w:val="5"/>
            <w:sz w:val="14"/>
            <w:u w:val="single" w:color="005DA1"/>
          </w:rPr>
          <w:t>700</w:t>
        </w:r>
      </w:hyperlink>
      <w:r>
        <w:rPr>
          <w:spacing w:val="-4"/>
          <w:position w:val="5"/>
          <w:sz w:val="14"/>
        </w:rPr>
        <w:t>.</w:t>
      </w:r>
      <w:r>
        <w:rPr>
          <w:position w:val="5"/>
          <w:sz w:val="14"/>
        </w:rPr>
        <w:tab/>
      </w:r>
      <w:r>
        <w:rPr>
          <w:rFonts w:ascii="Arial"/>
          <w:i/>
          <w:sz w:val="20"/>
        </w:rPr>
        <w:t>British</w:t>
      </w:r>
      <w:r>
        <w:rPr>
          <w:rFonts w:ascii="Arial"/>
          <w:i/>
          <w:spacing w:val="35"/>
          <w:sz w:val="20"/>
        </w:rPr>
        <w:t> </w:t>
      </w:r>
      <w:r>
        <w:rPr>
          <w:rFonts w:ascii="Arial"/>
          <w:i/>
          <w:sz w:val="20"/>
        </w:rPr>
        <w:t>Columbia,</w:t>
      </w:r>
      <w:r>
        <w:rPr>
          <w:rFonts w:ascii="Arial"/>
          <w:i/>
          <w:spacing w:val="36"/>
          <w:sz w:val="20"/>
        </w:rPr>
        <w:t> </w:t>
      </w:r>
      <w:r>
        <w:rPr>
          <w:rFonts w:ascii="Arial"/>
          <w:i/>
          <w:sz w:val="20"/>
        </w:rPr>
        <w:t>etc.,</w:t>
      </w:r>
      <w:r>
        <w:rPr>
          <w:rFonts w:ascii="Arial"/>
          <w:i/>
          <w:spacing w:val="36"/>
          <w:sz w:val="20"/>
        </w:rPr>
        <w:t> </w:t>
      </w:r>
      <w:r>
        <w:rPr>
          <w:rFonts w:ascii="Arial"/>
          <w:i/>
          <w:sz w:val="20"/>
        </w:rPr>
        <w:t>Saw</w:t>
      </w:r>
      <w:r>
        <w:rPr>
          <w:rFonts w:ascii="Arial"/>
          <w:i/>
          <w:spacing w:val="36"/>
          <w:sz w:val="20"/>
        </w:rPr>
        <w:t> </w:t>
      </w:r>
      <w:r>
        <w:rPr>
          <w:rFonts w:ascii="Arial"/>
          <w:i/>
          <w:sz w:val="20"/>
        </w:rPr>
        <w:t>Mill</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Nettleship</w:t>
      </w:r>
      <w:r>
        <w:rPr>
          <w:rFonts w:ascii="Arial"/>
          <w:i/>
          <w:spacing w:val="36"/>
          <w:sz w:val="20"/>
        </w:rPr>
        <w:t> </w:t>
      </w:r>
      <w:r>
        <w:rPr>
          <w:rFonts w:ascii="Arial"/>
          <w:i/>
          <w:sz w:val="20"/>
        </w:rPr>
        <w:t>(1868)</w:t>
      </w:r>
      <w:r>
        <w:rPr>
          <w:rFonts w:ascii="Arial"/>
          <w:i/>
          <w:spacing w:val="36"/>
          <w:sz w:val="20"/>
        </w:rPr>
        <w:t> </w:t>
      </w:r>
      <w:r>
        <w:rPr>
          <w:rFonts w:ascii="Arial"/>
          <w:i/>
          <w:sz w:val="20"/>
        </w:rPr>
        <w:t>L.R.</w:t>
      </w:r>
      <w:r>
        <w:rPr>
          <w:rFonts w:ascii="Arial"/>
          <w:i/>
          <w:spacing w:val="36"/>
          <w:sz w:val="20"/>
        </w:rPr>
        <w:t> </w:t>
      </w:r>
      <w:r>
        <w:rPr>
          <w:rFonts w:ascii="Arial"/>
          <w:i/>
          <w:sz w:val="20"/>
        </w:rPr>
        <w:t>3</w:t>
      </w:r>
      <w:r>
        <w:rPr>
          <w:rFonts w:ascii="Arial"/>
          <w:i/>
          <w:spacing w:val="36"/>
          <w:sz w:val="20"/>
        </w:rPr>
        <w:t> </w:t>
      </w:r>
      <w:r>
        <w:rPr>
          <w:rFonts w:ascii="Arial"/>
          <w:i/>
          <w:sz w:val="20"/>
        </w:rPr>
        <w:t>C.P.</w:t>
      </w:r>
      <w:r>
        <w:rPr>
          <w:rFonts w:ascii="Arial"/>
          <w:i/>
          <w:spacing w:val="36"/>
          <w:sz w:val="20"/>
        </w:rPr>
        <w:t> </w:t>
      </w:r>
      <w:r>
        <w:rPr>
          <w:rFonts w:ascii="Arial"/>
          <w:i/>
          <w:sz w:val="20"/>
        </w:rPr>
        <w:t>499,</w:t>
      </w:r>
      <w:r>
        <w:rPr>
          <w:rFonts w:ascii="Arial"/>
          <w:i/>
          <w:spacing w:val="36"/>
          <w:sz w:val="20"/>
        </w:rPr>
        <w:t> </w:t>
      </w:r>
      <w:r>
        <w:rPr>
          <w:rFonts w:ascii="Arial"/>
          <w:i/>
          <w:sz w:val="20"/>
        </w:rPr>
        <w:t>509</w:t>
      </w:r>
      <w:r>
        <w:rPr>
          <w:sz w:val="20"/>
        </w:rPr>
        <w:t>.</w:t>
      </w:r>
      <w:r>
        <w:rPr>
          <w:spacing w:val="36"/>
          <w:sz w:val="20"/>
        </w:rPr>
        <w:t> </w:t>
      </w:r>
      <w:r>
        <w:rPr>
          <w:sz w:val="20"/>
        </w:rPr>
        <w:t>See</w:t>
      </w:r>
      <w:r>
        <w:rPr>
          <w:spacing w:val="36"/>
          <w:sz w:val="20"/>
        </w:rPr>
        <w:t> </w:t>
      </w:r>
      <w:r>
        <w:rPr>
          <w:spacing w:val="-4"/>
          <w:sz w:val="20"/>
        </w:rPr>
        <w:t>also</w:t>
      </w:r>
    </w:p>
    <w:p>
      <w:pPr>
        <w:spacing w:line="225" w:lineRule="exact" w:before="0"/>
        <w:ind w:left="0" w:right="167" w:firstLine="0"/>
        <w:jc w:val="right"/>
        <w:rPr>
          <w:rFonts w:ascii="Arial" w:hAnsi="Arial"/>
          <w:i/>
          <w:sz w:val="20"/>
        </w:rPr>
      </w:pPr>
      <w:r>
        <w:rPr>
          <w:rFonts w:ascii="Arial" w:hAnsi="Arial"/>
          <w:i/>
          <w:sz w:val="20"/>
        </w:rPr>
        <w:t>Horne</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Midland</w:t>
      </w:r>
      <w:r>
        <w:rPr>
          <w:rFonts w:ascii="Arial" w:hAnsi="Arial"/>
          <w:i/>
          <w:spacing w:val="4"/>
          <w:sz w:val="20"/>
        </w:rPr>
        <w:t> </w:t>
      </w:r>
      <w:r>
        <w:rPr>
          <w:rFonts w:ascii="Arial" w:hAnsi="Arial"/>
          <w:i/>
          <w:sz w:val="20"/>
        </w:rPr>
        <w:t>Ry</w:t>
      </w:r>
      <w:r>
        <w:rPr>
          <w:rFonts w:ascii="Arial" w:hAnsi="Arial"/>
          <w:i/>
          <w:spacing w:val="4"/>
          <w:sz w:val="20"/>
        </w:rPr>
        <w:t> </w:t>
      </w:r>
      <w:r>
        <w:rPr>
          <w:rFonts w:ascii="Arial" w:hAnsi="Arial"/>
          <w:i/>
          <w:sz w:val="20"/>
        </w:rPr>
        <w:t>(1873)</w:t>
      </w:r>
      <w:r>
        <w:rPr>
          <w:rFonts w:ascii="Arial" w:hAnsi="Arial"/>
          <w:i/>
          <w:spacing w:val="4"/>
          <w:sz w:val="20"/>
        </w:rPr>
        <w:t> </w:t>
      </w:r>
      <w:r>
        <w:rPr>
          <w:rFonts w:ascii="Arial" w:hAnsi="Arial"/>
          <w:i/>
          <w:sz w:val="20"/>
        </w:rPr>
        <w:t>L.R.</w:t>
      </w:r>
      <w:r>
        <w:rPr>
          <w:rFonts w:ascii="Arial" w:hAnsi="Arial"/>
          <w:i/>
          <w:spacing w:val="4"/>
          <w:sz w:val="20"/>
        </w:rPr>
        <w:t> </w:t>
      </w:r>
      <w:r>
        <w:rPr>
          <w:rFonts w:ascii="Arial" w:hAnsi="Arial"/>
          <w:i/>
          <w:sz w:val="20"/>
        </w:rPr>
        <w:t>8</w:t>
      </w:r>
      <w:r>
        <w:rPr>
          <w:rFonts w:ascii="Arial" w:hAnsi="Arial"/>
          <w:i/>
          <w:spacing w:val="4"/>
          <w:sz w:val="20"/>
        </w:rPr>
        <w:t> </w:t>
      </w:r>
      <w:r>
        <w:rPr>
          <w:rFonts w:ascii="Arial" w:hAnsi="Arial"/>
          <w:i/>
          <w:sz w:val="20"/>
        </w:rPr>
        <w:t>C.P.</w:t>
      </w:r>
      <w:r>
        <w:rPr>
          <w:rFonts w:ascii="Arial" w:hAnsi="Arial"/>
          <w:i/>
          <w:spacing w:val="4"/>
          <w:sz w:val="20"/>
        </w:rPr>
        <w:t> </w:t>
      </w:r>
      <w:r>
        <w:rPr>
          <w:rFonts w:ascii="Arial" w:hAnsi="Arial"/>
          <w:i/>
          <w:sz w:val="20"/>
        </w:rPr>
        <w:t>136,</w:t>
      </w:r>
      <w:r>
        <w:rPr>
          <w:rFonts w:ascii="Arial" w:hAnsi="Arial"/>
          <w:i/>
          <w:spacing w:val="4"/>
          <w:sz w:val="20"/>
        </w:rPr>
        <w:t> </w:t>
      </w:r>
      <w:r>
        <w:rPr>
          <w:rFonts w:ascii="Arial" w:hAnsi="Arial"/>
          <w:i/>
          <w:sz w:val="20"/>
        </w:rPr>
        <w:t>139,</w:t>
      </w:r>
      <w:r>
        <w:rPr>
          <w:rFonts w:ascii="Arial" w:hAnsi="Arial"/>
          <w:i/>
          <w:spacing w:val="4"/>
          <w:sz w:val="20"/>
        </w:rPr>
        <w:t> </w:t>
      </w:r>
      <w:r>
        <w:rPr>
          <w:rFonts w:ascii="Arial" w:hAnsi="Arial"/>
          <w:i/>
          <w:sz w:val="20"/>
        </w:rPr>
        <w:t>141,</w:t>
      </w:r>
      <w:r>
        <w:rPr>
          <w:rFonts w:ascii="Arial" w:hAnsi="Arial"/>
          <w:i/>
          <w:spacing w:val="4"/>
          <w:sz w:val="20"/>
        </w:rPr>
        <w:t> </w:t>
      </w:r>
      <w:r>
        <w:rPr>
          <w:rFonts w:ascii="Arial" w:hAnsi="Arial"/>
          <w:i/>
          <w:sz w:val="20"/>
        </w:rPr>
        <w:t>145,</w:t>
      </w:r>
      <w:r>
        <w:rPr>
          <w:rFonts w:ascii="Arial" w:hAnsi="Arial"/>
          <w:i/>
          <w:spacing w:val="4"/>
          <w:sz w:val="20"/>
        </w:rPr>
        <w:t> </w:t>
      </w:r>
      <w:r>
        <w:rPr>
          <w:rFonts w:ascii="Arial" w:hAnsi="Arial"/>
          <w:i/>
          <w:sz w:val="20"/>
        </w:rPr>
        <w:t>146–147</w:t>
      </w:r>
      <w:r>
        <w:rPr>
          <w:rFonts w:ascii="Arial" w:hAnsi="Arial"/>
          <w:i/>
          <w:spacing w:val="4"/>
          <w:sz w:val="20"/>
        </w:rPr>
        <w:t> </w:t>
      </w:r>
      <w:r>
        <w:rPr>
          <w:rFonts w:ascii="Arial" w:hAnsi="Arial"/>
          <w:i/>
          <w:sz w:val="20"/>
        </w:rPr>
        <w:t>(cf.</w:t>
      </w:r>
      <w:r>
        <w:rPr>
          <w:rFonts w:ascii="Arial" w:hAnsi="Arial"/>
          <w:i/>
          <w:spacing w:val="4"/>
          <w:sz w:val="20"/>
        </w:rPr>
        <w:t> </w:t>
      </w:r>
      <w:r>
        <w:rPr>
          <w:rFonts w:ascii="Arial" w:hAnsi="Arial"/>
          <w:i/>
          <w:sz w:val="20"/>
        </w:rPr>
        <w:t>at</w:t>
      </w:r>
      <w:r>
        <w:rPr>
          <w:rFonts w:ascii="Arial" w:hAnsi="Arial"/>
          <w:i/>
          <w:spacing w:val="4"/>
          <w:sz w:val="20"/>
        </w:rPr>
        <w:t> </w:t>
      </w:r>
      <w:r>
        <w:rPr>
          <w:rFonts w:ascii="Arial" w:hAnsi="Arial"/>
          <w:i/>
          <w:sz w:val="20"/>
        </w:rPr>
        <w:t>first</w:t>
      </w:r>
      <w:r>
        <w:rPr>
          <w:rFonts w:ascii="Arial" w:hAnsi="Arial"/>
          <w:i/>
          <w:spacing w:val="4"/>
          <w:sz w:val="20"/>
        </w:rPr>
        <w:t> </w:t>
      </w:r>
      <w:r>
        <w:rPr>
          <w:rFonts w:ascii="Arial" w:hAnsi="Arial"/>
          <w:i/>
          <w:sz w:val="20"/>
        </w:rPr>
        <w:t>instance</w:t>
      </w:r>
      <w:r>
        <w:rPr>
          <w:rFonts w:ascii="Arial" w:hAnsi="Arial"/>
          <w:i/>
          <w:spacing w:val="4"/>
          <w:sz w:val="20"/>
        </w:rPr>
        <w:t> </w:t>
      </w:r>
      <w:r>
        <w:rPr>
          <w:rFonts w:ascii="Arial" w:hAnsi="Arial"/>
          <w:i/>
          <w:spacing w:val="-2"/>
          <w:sz w:val="20"/>
        </w:rPr>
        <w:t>(1872)</w:t>
      </w:r>
    </w:p>
    <w:p>
      <w:pPr>
        <w:spacing w:line="225" w:lineRule="exact" w:before="0"/>
        <w:ind w:left="0" w:right="168" w:firstLine="0"/>
        <w:jc w:val="right"/>
        <w:rPr>
          <w:rFonts w:ascii="Arial" w:hAnsi="Arial"/>
          <w:i/>
          <w:sz w:val="20"/>
        </w:rPr>
      </w:pPr>
      <w:r>
        <w:rPr>
          <w:rFonts w:ascii="Arial" w:hAnsi="Arial"/>
          <w:i/>
          <w:sz w:val="20"/>
        </w:rPr>
        <w:t>L.R.</w:t>
      </w:r>
      <w:r>
        <w:rPr>
          <w:rFonts w:ascii="Arial" w:hAnsi="Arial"/>
          <w:i/>
          <w:spacing w:val="27"/>
          <w:sz w:val="20"/>
        </w:rPr>
        <w:t> </w:t>
      </w:r>
      <w:r>
        <w:rPr>
          <w:rFonts w:ascii="Arial" w:hAnsi="Arial"/>
          <w:i/>
          <w:sz w:val="20"/>
        </w:rPr>
        <w:t>7</w:t>
      </w:r>
      <w:r>
        <w:rPr>
          <w:rFonts w:ascii="Arial" w:hAnsi="Arial"/>
          <w:i/>
          <w:spacing w:val="28"/>
          <w:sz w:val="20"/>
        </w:rPr>
        <w:t> </w:t>
      </w:r>
      <w:r>
        <w:rPr>
          <w:rFonts w:ascii="Arial" w:hAnsi="Arial"/>
          <w:i/>
          <w:sz w:val="20"/>
        </w:rPr>
        <w:t>C.P.</w:t>
      </w:r>
      <w:r>
        <w:rPr>
          <w:rFonts w:ascii="Arial" w:hAnsi="Arial"/>
          <w:i/>
          <w:spacing w:val="28"/>
          <w:sz w:val="20"/>
        </w:rPr>
        <w:t> </w:t>
      </w:r>
      <w:r>
        <w:rPr>
          <w:rFonts w:ascii="Arial" w:hAnsi="Arial"/>
          <w:i/>
          <w:sz w:val="20"/>
        </w:rPr>
        <w:t>583,</w:t>
      </w:r>
      <w:r>
        <w:rPr>
          <w:rFonts w:ascii="Arial" w:hAnsi="Arial"/>
          <w:i/>
          <w:spacing w:val="28"/>
          <w:sz w:val="20"/>
        </w:rPr>
        <w:t> </w:t>
      </w:r>
      <w:r>
        <w:rPr>
          <w:rFonts w:ascii="Arial" w:hAnsi="Arial"/>
          <w:i/>
          <w:sz w:val="20"/>
        </w:rPr>
        <w:t>591–592)</w:t>
      </w:r>
      <w:r>
        <w:rPr>
          <w:sz w:val="20"/>
        </w:rPr>
        <w:t>;</w:t>
      </w:r>
      <w:r>
        <w:rPr>
          <w:spacing w:val="28"/>
          <w:sz w:val="20"/>
        </w:rPr>
        <w:t> </w:t>
      </w:r>
      <w:r>
        <w:rPr>
          <w:rFonts w:ascii="Arial" w:hAnsi="Arial"/>
          <w:i/>
          <w:sz w:val="20"/>
        </w:rPr>
        <w:t>Elbinger</w:t>
      </w:r>
      <w:r>
        <w:rPr>
          <w:rFonts w:ascii="Arial" w:hAnsi="Arial"/>
          <w:i/>
          <w:spacing w:val="28"/>
          <w:sz w:val="20"/>
        </w:rPr>
        <w:t> </w:t>
      </w:r>
      <w:r>
        <w:rPr>
          <w:rFonts w:ascii="Arial" w:hAnsi="Arial"/>
          <w:i/>
          <w:sz w:val="20"/>
        </w:rPr>
        <w:t>Aktiengesellschaft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Armstrong</w:t>
      </w:r>
      <w:r>
        <w:rPr>
          <w:rFonts w:ascii="Arial" w:hAnsi="Arial"/>
          <w:i/>
          <w:spacing w:val="28"/>
          <w:sz w:val="20"/>
        </w:rPr>
        <w:t> </w:t>
      </w:r>
      <w:r>
        <w:rPr>
          <w:rFonts w:ascii="Arial" w:hAnsi="Arial"/>
          <w:i/>
          <w:sz w:val="20"/>
        </w:rPr>
        <w:t>(1874)</w:t>
      </w:r>
      <w:r>
        <w:rPr>
          <w:rFonts w:ascii="Arial" w:hAnsi="Arial"/>
          <w:i/>
          <w:spacing w:val="28"/>
          <w:sz w:val="20"/>
        </w:rPr>
        <w:t> </w:t>
      </w:r>
      <w:r>
        <w:rPr>
          <w:rFonts w:ascii="Arial" w:hAnsi="Arial"/>
          <w:i/>
          <w:sz w:val="20"/>
        </w:rPr>
        <w:t>L.R.</w:t>
      </w:r>
      <w:r>
        <w:rPr>
          <w:rFonts w:ascii="Arial" w:hAnsi="Arial"/>
          <w:i/>
          <w:spacing w:val="28"/>
          <w:sz w:val="20"/>
        </w:rPr>
        <w:t> </w:t>
      </w:r>
      <w:r>
        <w:rPr>
          <w:rFonts w:ascii="Arial" w:hAnsi="Arial"/>
          <w:i/>
          <w:sz w:val="20"/>
        </w:rPr>
        <w:t>9</w:t>
      </w:r>
      <w:r>
        <w:rPr>
          <w:rFonts w:ascii="Arial" w:hAnsi="Arial"/>
          <w:i/>
          <w:spacing w:val="28"/>
          <w:sz w:val="20"/>
        </w:rPr>
        <w:t> </w:t>
      </w:r>
      <w:r>
        <w:rPr>
          <w:rFonts w:ascii="Arial" w:hAnsi="Arial"/>
          <w:i/>
          <w:sz w:val="20"/>
        </w:rPr>
        <w:t>Q.B.</w:t>
      </w:r>
      <w:r>
        <w:rPr>
          <w:rFonts w:ascii="Arial" w:hAnsi="Arial"/>
          <w:i/>
          <w:spacing w:val="28"/>
          <w:sz w:val="20"/>
        </w:rPr>
        <w:t> </w:t>
      </w:r>
      <w:r>
        <w:rPr>
          <w:rFonts w:ascii="Arial" w:hAnsi="Arial"/>
          <w:i/>
          <w:spacing w:val="-4"/>
          <w:sz w:val="20"/>
        </w:rPr>
        <w:t>473,</w:t>
      </w:r>
    </w:p>
    <w:p>
      <w:pPr>
        <w:spacing w:line="225" w:lineRule="exact" w:before="0"/>
        <w:ind w:left="705" w:right="0" w:firstLine="0"/>
        <w:jc w:val="left"/>
        <w:rPr>
          <w:sz w:val="20"/>
        </w:rPr>
      </w:pPr>
      <w:r>
        <w:rPr>
          <w:rFonts w:ascii="Arial"/>
          <w:i/>
          <w:sz w:val="20"/>
        </w:rPr>
        <w:t>478</w:t>
      </w:r>
      <w:r>
        <w:rPr>
          <w:sz w:val="20"/>
        </w:rPr>
        <w:t>;</w:t>
      </w:r>
      <w:r>
        <w:rPr>
          <w:spacing w:val="73"/>
          <w:sz w:val="20"/>
        </w:rPr>
        <w:t> </w:t>
      </w:r>
      <w:r>
        <w:rPr>
          <w:rFonts w:ascii="Arial"/>
          <w:i/>
          <w:sz w:val="20"/>
        </w:rPr>
        <w:t>Victoria</w:t>
      </w:r>
      <w:r>
        <w:rPr>
          <w:rFonts w:ascii="Arial"/>
          <w:i/>
          <w:spacing w:val="74"/>
          <w:sz w:val="20"/>
        </w:rPr>
        <w:t> </w:t>
      </w:r>
      <w:r>
        <w:rPr>
          <w:rFonts w:ascii="Arial"/>
          <w:i/>
          <w:sz w:val="20"/>
        </w:rPr>
        <w:t>Laundry</w:t>
      </w:r>
      <w:r>
        <w:rPr>
          <w:rFonts w:ascii="Arial"/>
          <w:i/>
          <w:spacing w:val="74"/>
          <w:sz w:val="20"/>
        </w:rPr>
        <w:t> </w:t>
      </w:r>
      <w:r>
        <w:rPr>
          <w:rFonts w:ascii="Arial"/>
          <w:i/>
          <w:sz w:val="20"/>
        </w:rPr>
        <w:t>(Windsor)</w:t>
      </w:r>
      <w:r>
        <w:rPr>
          <w:rFonts w:ascii="Arial"/>
          <w:i/>
          <w:spacing w:val="74"/>
          <w:sz w:val="20"/>
        </w:rPr>
        <w:t> </w:t>
      </w:r>
      <w:r>
        <w:rPr>
          <w:rFonts w:ascii="Arial"/>
          <w:i/>
          <w:sz w:val="20"/>
        </w:rPr>
        <w:t>Ltd</w:t>
      </w:r>
      <w:r>
        <w:rPr>
          <w:rFonts w:ascii="Arial"/>
          <w:i/>
          <w:spacing w:val="74"/>
          <w:sz w:val="20"/>
        </w:rPr>
        <w:t> </w:t>
      </w:r>
      <w:r>
        <w:rPr>
          <w:rFonts w:ascii="Arial"/>
          <w:i/>
          <w:sz w:val="20"/>
        </w:rPr>
        <w:t>v</w:t>
      </w:r>
      <w:r>
        <w:rPr>
          <w:rFonts w:ascii="Arial"/>
          <w:i/>
          <w:spacing w:val="74"/>
          <w:sz w:val="20"/>
        </w:rPr>
        <w:t> </w:t>
      </w:r>
      <w:r>
        <w:rPr>
          <w:rFonts w:ascii="Arial"/>
          <w:i/>
          <w:sz w:val="20"/>
        </w:rPr>
        <w:t>Newman</w:t>
      </w:r>
      <w:r>
        <w:rPr>
          <w:rFonts w:ascii="Arial"/>
          <w:i/>
          <w:spacing w:val="74"/>
          <w:sz w:val="20"/>
        </w:rPr>
        <w:t> </w:t>
      </w:r>
      <w:r>
        <w:rPr>
          <w:rFonts w:ascii="Arial"/>
          <w:i/>
          <w:sz w:val="20"/>
        </w:rPr>
        <w:t>Industries</w:t>
      </w:r>
      <w:r>
        <w:rPr>
          <w:rFonts w:ascii="Arial"/>
          <w:i/>
          <w:spacing w:val="74"/>
          <w:sz w:val="20"/>
        </w:rPr>
        <w:t> </w:t>
      </w:r>
      <w:r>
        <w:rPr>
          <w:rFonts w:ascii="Arial"/>
          <w:i/>
          <w:sz w:val="20"/>
        </w:rPr>
        <w:t>Ltd</w:t>
      </w:r>
      <w:r>
        <w:rPr>
          <w:rFonts w:ascii="Arial"/>
          <w:i/>
          <w:spacing w:val="74"/>
          <w:sz w:val="20"/>
        </w:rPr>
        <w:t> </w:t>
      </w:r>
      <w:r>
        <w:rPr>
          <w:rFonts w:ascii="Arial"/>
          <w:i/>
          <w:sz w:val="20"/>
        </w:rPr>
        <w:t>[1949]</w:t>
      </w:r>
      <w:r>
        <w:rPr>
          <w:rFonts w:ascii="Arial"/>
          <w:i/>
          <w:spacing w:val="74"/>
          <w:sz w:val="20"/>
        </w:rPr>
        <w:t> </w:t>
      </w:r>
      <w:r>
        <w:rPr>
          <w:rFonts w:ascii="Arial"/>
          <w:i/>
          <w:sz w:val="20"/>
        </w:rPr>
        <w:t>2</w:t>
      </w:r>
      <w:r>
        <w:rPr>
          <w:rFonts w:ascii="Arial"/>
          <w:i/>
          <w:spacing w:val="74"/>
          <w:sz w:val="20"/>
        </w:rPr>
        <w:t> </w:t>
      </w:r>
      <w:r>
        <w:rPr>
          <w:rFonts w:ascii="Arial"/>
          <w:i/>
          <w:sz w:val="20"/>
        </w:rPr>
        <w:t>K.B.</w:t>
      </w:r>
      <w:r>
        <w:rPr>
          <w:rFonts w:ascii="Arial"/>
          <w:i/>
          <w:spacing w:val="74"/>
          <w:sz w:val="20"/>
        </w:rPr>
        <w:t> </w:t>
      </w:r>
      <w:r>
        <w:rPr>
          <w:rFonts w:ascii="Arial"/>
          <w:i/>
          <w:sz w:val="20"/>
        </w:rPr>
        <w:t>528,</w:t>
      </w:r>
      <w:r>
        <w:rPr>
          <w:rFonts w:ascii="Arial"/>
          <w:i/>
          <w:spacing w:val="74"/>
          <w:sz w:val="20"/>
        </w:rPr>
        <w:t> </w:t>
      </w:r>
      <w:r>
        <w:rPr>
          <w:rFonts w:ascii="Arial"/>
          <w:i/>
          <w:spacing w:val="-4"/>
          <w:sz w:val="20"/>
        </w:rPr>
        <w:t>538</w:t>
      </w:r>
      <w:r>
        <w:rPr>
          <w:spacing w:val="-4"/>
          <w:sz w:val="20"/>
        </w:rPr>
        <w:t>;</w:t>
      </w:r>
    </w:p>
    <w:p>
      <w:pPr>
        <w:spacing w:line="227" w:lineRule="exact" w:before="0"/>
        <w:ind w:left="705" w:right="0" w:firstLine="0"/>
        <w:jc w:val="left"/>
        <w:rPr>
          <w:sz w:val="20"/>
        </w:rPr>
      </w:pPr>
      <w:r>
        <w:rPr>
          <w:rFonts w:ascii="Arial"/>
          <w:i/>
          <w:sz w:val="20"/>
        </w:rPr>
        <w:t>Robophone</w:t>
      </w:r>
      <w:r>
        <w:rPr>
          <w:rFonts w:ascii="Arial"/>
          <w:i/>
          <w:spacing w:val="-2"/>
          <w:sz w:val="20"/>
        </w:rPr>
        <w:t> </w:t>
      </w:r>
      <w:r>
        <w:rPr>
          <w:rFonts w:ascii="Arial"/>
          <w:i/>
          <w:sz w:val="20"/>
        </w:rPr>
        <w:t>Facilities Ltd v Blank [1966] 1 W.L.R. 1428, </w:t>
      </w:r>
      <w:r>
        <w:rPr>
          <w:rFonts w:ascii="Arial"/>
          <w:i/>
          <w:spacing w:val="-2"/>
          <w:sz w:val="20"/>
        </w:rPr>
        <w:t>1448</w:t>
      </w:r>
      <w:r>
        <w:rPr>
          <w:spacing w:val="-2"/>
          <w:sz w:val="20"/>
        </w:rPr>
        <w:t>.</w:t>
      </w:r>
    </w:p>
    <w:p>
      <w:pPr>
        <w:pStyle w:val="BodyText"/>
        <w:spacing w:before="8"/>
      </w:pPr>
    </w:p>
    <w:p>
      <w:pPr>
        <w:spacing w:line="235" w:lineRule="auto" w:before="1"/>
        <w:ind w:left="705" w:right="167" w:hanging="541"/>
        <w:jc w:val="both"/>
        <w:rPr>
          <w:sz w:val="20"/>
        </w:rPr>
      </w:pPr>
      <w:bookmarkStart w:name="_bookmark1336" w:id="1338"/>
      <w:bookmarkEnd w:id="1338"/>
      <w:r>
        <w:rPr/>
      </w:r>
      <w:hyperlink w:history="true" w:anchor="_bookmark1244">
        <w:r>
          <w:rPr>
            <w:color w:val="005DA1"/>
            <w:position w:val="5"/>
            <w:sz w:val="14"/>
            <w:u w:val="single" w:color="005DA1"/>
          </w:rPr>
          <w:t>701</w:t>
        </w:r>
      </w:hyperlink>
      <w:r>
        <w:rPr>
          <w:position w:val="5"/>
          <w:sz w:val="14"/>
        </w:rPr>
        <w:t>.</w:t>
      </w:r>
      <w:r>
        <w:rPr>
          <w:spacing w:val="80"/>
          <w:position w:val="5"/>
          <w:sz w:val="14"/>
        </w:rPr>
        <w:t>  </w:t>
      </w:r>
      <w:r>
        <w:rPr>
          <w:sz w:val="20"/>
        </w:rPr>
        <w:t>See</w:t>
      </w:r>
      <w:r>
        <w:rPr>
          <w:spacing w:val="80"/>
          <w:sz w:val="20"/>
        </w:rPr>
        <w:t> </w:t>
      </w:r>
      <w:r>
        <w:rPr>
          <w:rFonts w:ascii="Arial" w:hAnsi="Arial"/>
          <w:i/>
          <w:sz w:val="20"/>
        </w:rPr>
        <w:t>Koufos</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C.</w:t>
      </w:r>
      <w:r>
        <w:rPr>
          <w:rFonts w:ascii="Arial" w:hAnsi="Arial"/>
          <w:i/>
          <w:spacing w:val="80"/>
          <w:sz w:val="20"/>
        </w:rPr>
        <w:t> </w:t>
      </w:r>
      <w:r>
        <w:rPr>
          <w:rFonts w:ascii="Arial" w:hAnsi="Arial"/>
          <w:i/>
          <w:sz w:val="20"/>
        </w:rPr>
        <w:t>Czarnikow</w:t>
      </w:r>
      <w:r>
        <w:rPr>
          <w:rFonts w:ascii="Arial" w:hAnsi="Arial"/>
          <w:i/>
          <w:spacing w:val="80"/>
          <w:sz w:val="20"/>
        </w:rPr>
        <w:t> </w:t>
      </w:r>
      <w:r>
        <w:rPr>
          <w:rFonts w:ascii="Arial" w:hAnsi="Arial"/>
          <w:i/>
          <w:sz w:val="20"/>
        </w:rPr>
        <w:t>Ltd,</w:t>
      </w:r>
      <w:r>
        <w:rPr>
          <w:rFonts w:ascii="Arial" w:hAnsi="Arial"/>
          <w:i/>
          <w:spacing w:val="80"/>
          <w:sz w:val="20"/>
        </w:rPr>
        <w:t> </w:t>
      </w:r>
      <w:r>
        <w:rPr>
          <w:rFonts w:ascii="Arial" w:hAnsi="Arial"/>
          <w:i/>
          <w:sz w:val="20"/>
        </w:rPr>
        <w:t>The</w:t>
      </w:r>
      <w:r>
        <w:rPr>
          <w:rFonts w:ascii="Arial" w:hAnsi="Arial"/>
          <w:i/>
          <w:spacing w:val="80"/>
          <w:sz w:val="20"/>
        </w:rPr>
        <w:t> </w:t>
      </w:r>
      <w:r>
        <w:rPr>
          <w:rFonts w:ascii="Arial" w:hAnsi="Arial"/>
          <w:i/>
          <w:sz w:val="20"/>
        </w:rPr>
        <w:t>Heron</w:t>
      </w:r>
      <w:r>
        <w:rPr>
          <w:rFonts w:ascii="Arial" w:hAnsi="Arial"/>
          <w:i/>
          <w:spacing w:val="80"/>
          <w:sz w:val="20"/>
        </w:rPr>
        <w:t> </w:t>
      </w:r>
      <w:r>
        <w:rPr>
          <w:rFonts w:ascii="Arial" w:hAnsi="Arial"/>
          <w:i/>
          <w:sz w:val="20"/>
        </w:rPr>
        <w:t>II</w:t>
      </w:r>
      <w:r>
        <w:rPr>
          <w:rFonts w:ascii="Arial" w:hAnsi="Arial"/>
          <w:i/>
          <w:spacing w:val="80"/>
          <w:sz w:val="20"/>
        </w:rPr>
        <w:t> </w:t>
      </w:r>
      <w:r>
        <w:rPr>
          <w:rFonts w:ascii="Arial" w:hAnsi="Arial"/>
          <w:i/>
          <w:sz w:val="20"/>
        </w:rPr>
        <w:t>[1969]</w:t>
      </w:r>
      <w:r>
        <w:rPr>
          <w:rFonts w:ascii="Arial" w:hAnsi="Arial"/>
          <w:i/>
          <w:spacing w:val="80"/>
          <w:sz w:val="20"/>
        </w:rPr>
        <w:t> </w:t>
      </w:r>
      <w:r>
        <w:rPr>
          <w:rFonts w:ascii="Arial" w:hAnsi="Arial"/>
          <w:i/>
          <w:sz w:val="20"/>
        </w:rPr>
        <w:t>1</w:t>
      </w:r>
      <w:r>
        <w:rPr>
          <w:rFonts w:ascii="Arial" w:hAnsi="Arial"/>
          <w:i/>
          <w:spacing w:val="80"/>
          <w:sz w:val="20"/>
        </w:rPr>
        <w:t> </w:t>
      </w:r>
      <w:r>
        <w:rPr>
          <w:rFonts w:ascii="Arial" w:hAnsi="Arial"/>
          <w:i/>
          <w:sz w:val="20"/>
        </w:rPr>
        <w:t>A.C.</w:t>
      </w:r>
      <w:r>
        <w:rPr>
          <w:rFonts w:ascii="Arial" w:hAnsi="Arial"/>
          <w:i/>
          <w:spacing w:val="80"/>
          <w:sz w:val="20"/>
        </w:rPr>
        <w:t> </w:t>
      </w:r>
      <w:r>
        <w:rPr>
          <w:rFonts w:ascii="Arial" w:hAnsi="Arial"/>
          <w:i/>
          <w:sz w:val="20"/>
        </w:rPr>
        <w:t>350,</w:t>
      </w:r>
      <w:r>
        <w:rPr>
          <w:rFonts w:ascii="Arial" w:hAnsi="Arial"/>
          <w:i/>
          <w:spacing w:val="80"/>
          <w:sz w:val="20"/>
        </w:rPr>
        <w:t> </w:t>
      </w:r>
      <w:r>
        <w:rPr>
          <w:rFonts w:ascii="Arial" w:hAnsi="Arial"/>
          <w:i/>
          <w:sz w:val="20"/>
        </w:rPr>
        <w:t>421–422</w:t>
      </w:r>
      <w:r>
        <w:rPr>
          <w:rFonts w:ascii="Arial" w:hAnsi="Arial"/>
          <w:i/>
          <w:spacing w:val="80"/>
          <w:sz w:val="20"/>
        </w:rPr>
        <w:t> </w:t>
      </w:r>
      <w:r>
        <w:rPr>
          <w:sz w:val="20"/>
        </w:rPr>
        <w:t>(obiter); </w:t>
      </w:r>
      <w:r>
        <w:rPr>
          <w:rFonts w:ascii="Arial" w:hAnsi="Arial"/>
          <w:i/>
          <w:sz w:val="20"/>
        </w:rPr>
        <w:t>Satef-Huttenes Albertus SpA v Paloma Tercera Shipping Co SA [1981] 1 Lloyd’s Rep. 175,</w:t>
      </w:r>
      <w:r>
        <w:rPr>
          <w:rFonts w:ascii="Arial" w:hAnsi="Arial"/>
          <w:i/>
          <w:spacing w:val="40"/>
          <w:sz w:val="20"/>
        </w:rPr>
        <w:t> </w:t>
      </w:r>
      <w:r>
        <w:rPr>
          <w:rFonts w:ascii="Arial" w:hAnsi="Arial"/>
          <w:i/>
          <w:sz w:val="20"/>
        </w:rPr>
        <w:t>183-184</w:t>
      </w:r>
      <w:r>
        <w:rPr>
          <w:sz w:val="20"/>
        </w:rPr>
        <w:t>. Such a rule might create difficulties where the contract was required to be in writing,</w:t>
      </w:r>
      <w:r>
        <w:rPr>
          <w:spacing w:val="40"/>
          <w:sz w:val="20"/>
        </w:rPr>
        <w:t> </w:t>
      </w:r>
      <w:r>
        <w:rPr>
          <w:sz w:val="20"/>
        </w:rPr>
        <w:t>or evidenced by a memorandum in writing: see </w:t>
      </w:r>
      <w:r>
        <w:rPr>
          <w:rFonts w:ascii="Arial" w:hAnsi="Arial"/>
          <w:i/>
          <w:sz w:val="20"/>
        </w:rPr>
        <w:t>Hydraulic Engineering Co Ltd v McHaffie</w:t>
      </w:r>
      <w:r>
        <w:rPr>
          <w:rFonts w:ascii="Arial" w:hAnsi="Arial"/>
          <w:i/>
          <w:spacing w:val="40"/>
          <w:sz w:val="20"/>
        </w:rPr>
        <w:t> </w:t>
      </w:r>
      <w:r>
        <w:rPr>
          <w:rFonts w:ascii="Arial" w:hAnsi="Arial"/>
          <w:i/>
          <w:sz w:val="20"/>
        </w:rPr>
        <w:t>Goslett Co (1878) 4 Q.B.D. 670</w:t>
      </w:r>
      <w:r>
        <w:rPr>
          <w:sz w:val="20"/>
        </w:rPr>
        <w:t>.</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1337" w:id="1339"/>
      <w:bookmarkEnd w:id="1339"/>
      <w:r>
        <w:rPr/>
      </w:r>
      <w:hyperlink w:history="true" w:anchor="_bookmark1245">
        <w:r>
          <w:rPr>
            <w:color w:val="005DA1"/>
            <w:spacing w:val="-4"/>
            <w:position w:val="5"/>
            <w:sz w:val="14"/>
            <w:u w:val="single" w:color="005DA1"/>
          </w:rPr>
          <w:t>702</w:t>
        </w:r>
      </w:hyperlink>
      <w:r>
        <w:rPr>
          <w:spacing w:val="-4"/>
          <w:position w:val="5"/>
          <w:sz w:val="14"/>
        </w:rPr>
        <w:t>.</w:t>
      </w:r>
      <w:r>
        <w:rPr>
          <w:position w:val="5"/>
          <w:sz w:val="14"/>
        </w:rPr>
        <w:tab/>
      </w:r>
      <w:r>
        <w:rPr>
          <w:rFonts w:ascii="Arial" w:hAnsi="Arial"/>
          <w:i/>
          <w:sz w:val="20"/>
        </w:rPr>
        <w:t>Transfield</w:t>
      </w:r>
      <w:r>
        <w:rPr>
          <w:rFonts w:ascii="Arial" w:hAnsi="Arial"/>
          <w:i/>
          <w:spacing w:val="7"/>
          <w:sz w:val="20"/>
        </w:rPr>
        <w:t> </w:t>
      </w:r>
      <w:r>
        <w:rPr>
          <w:rFonts w:ascii="Arial" w:hAnsi="Arial"/>
          <w:i/>
          <w:sz w:val="20"/>
        </w:rPr>
        <w:t>Shipping</w:t>
      </w:r>
      <w:r>
        <w:rPr>
          <w:rFonts w:ascii="Arial" w:hAnsi="Arial"/>
          <w:i/>
          <w:spacing w:val="7"/>
          <w:sz w:val="20"/>
        </w:rPr>
        <w:t> </w:t>
      </w:r>
      <w:r>
        <w:rPr>
          <w:rFonts w:ascii="Arial" w:hAnsi="Arial"/>
          <w:i/>
          <w:sz w:val="20"/>
        </w:rPr>
        <w:t>Inc</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Mercator</w:t>
      </w:r>
      <w:r>
        <w:rPr>
          <w:rFonts w:ascii="Arial" w:hAnsi="Arial"/>
          <w:i/>
          <w:spacing w:val="7"/>
          <w:sz w:val="20"/>
        </w:rPr>
        <w:t> </w:t>
      </w:r>
      <w:r>
        <w:rPr>
          <w:rFonts w:ascii="Arial" w:hAnsi="Arial"/>
          <w:i/>
          <w:sz w:val="20"/>
        </w:rPr>
        <w:t>Shipping</w:t>
      </w:r>
      <w:r>
        <w:rPr>
          <w:rFonts w:ascii="Arial" w:hAnsi="Arial"/>
          <w:i/>
          <w:spacing w:val="7"/>
          <w:sz w:val="20"/>
        </w:rPr>
        <w:t> </w:t>
      </w:r>
      <w:r>
        <w:rPr>
          <w:rFonts w:ascii="Arial" w:hAnsi="Arial"/>
          <w:i/>
          <w:sz w:val="20"/>
        </w:rPr>
        <w:t>Inc</w:t>
      </w:r>
      <w:r>
        <w:rPr>
          <w:rFonts w:ascii="Arial" w:hAnsi="Arial"/>
          <w:i/>
          <w:spacing w:val="7"/>
          <w:sz w:val="20"/>
        </w:rPr>
        <w:t> </w:t>
      </w:r>
      <w:r>
        <w:rPr>
          <w:rFonts w:ascii="Arial" w:hAnsi="Arial"/>
          <w:i/>
          <w:sz w:val="20"/>
        </w:rPr>
        <w:t>(The</w:t>
      </w:r>
      <w:r>
        <w:rPr>
          <w:rFonts w:ascii="Arial" w:hAnsi="Arial"/>
          <w:i/>
          <w:spacing w:val="7"/>
          <w:sz w:val="20"/>
        </w:rPr>
        <w:t> </w:t>
      </w:r>
      <w:r>
        <w:rPr>
          <w:rFonts w:ascii="Arial" w:hAnsi="Arial"/>
          <w:i/>
          <w:sz w:val="20"/>
        </w:rPr>
        <w:t>“Achilleas”)</w:t>
      </w:r>
      <w:r>
        <w:rPr>
          <w:rFonts w:ascii="Arial" w:hAnsi="Arial"/>
          <w:i/>
          <w:spacing w:val="7"/>
          <w:sz w:val="20"/>
        </w:rPr>
        <w:t> </w:t>
      </w:r>
      <w:r>
        <w:rPr>
          <w:rFonts w:ascii="Arial" w:hAnsi="Arial"/>
          <w:i/>
          <w:sz w:val="20"/>
        </w:rPr>
        <w:t>[2007]</w:t>
      </w:r>
      <w:r>
        <w:rPr>
          <w:rFonts w:ascii="Arial" w:hAnsi="Arial"/>
          <w:i/>
          <w:spacing w:val="7"/>
          <w:sz w:val="20"/>
        </w:rPr>
        <w:t> </w:t>
      </w:r>
      <w:r>
        <w:rPr>
          <w:rFonts w:ascii="Arial" w:hAnsi="Arial"/>
          <w:i/>
          <w:sz w:val="20"/>
        </w:rPr>
        <w:t>EWCA</w:t>
      </w:r>
      <w:r>
        <w:rPr>
          <w:rFonts w:ascii="Arial" w:hAnsi="Arial"/>
          <w:i/>
          <w:spacing w:val="7"/>
          <w:sz w:val="20"/>
        </w:rPr>
        <w:t> </w:t>
      </w:r>
      <w:r>
        <w:rPr>
          <w:rFonts w:ascii="Arial" w:hAnsi="Arial"/>
          <w:i/>
          <w:sz w:val="20"/>
        </w:rPr>
        <w:t>Civ</w:t>
      </w:r>
      <w:r>
        <w:rPr>
          <w:rFonts w:ascii="Arial" w:hAnsi="Arial"/>
          <w:i/>
          <w:spacing w:val="7"/>
          <w:sz w:val="20"/>
        </w:rPr>
        <w:t> </w:t>
      </w:r>
      <w:r>
        <w:rPr>
          <w:rFonts w:ascii="Arial" w:hAnsi="Arial"/>
          <w:i/>
          <w:sz w:val="20"/>
        </w:rPr>
        <w:t>901,</w:t>
      </w:r>
      <w:r>
        <w:rPr>
          <w:rFonts w:ascii="Arial" w:hAnsi="Arial"/>
          <w:i/>
          <w:spacing w:val="7"/>
          <w:sz w:val="20"/>
        </w:rPr>
        <w:t> </w:t>
      </w:r>
      <w:r>
        <w:rPr>
          <w:rFonts w:ascii="Arial" w:hAnsi="Arial"/>
          <w:i/>
          <w:spacing w:val="-2"/>
          <w:sz w:val="20"/>
        </w:rPr>
        <w:t>[2007]</w:t>
      </w:r>
    </w:p>
    <w:p>
      <w:pPr>
        <w:pStyle w:val="BodyText"/>
        <w:spacing w:line="235" w:lineRule="auto" w:before="1"/>
        <w:ind w:left="705" w:right="167"/>
        <w:jc w:val="both"/>
      </w:pPr>
      <w:r>
        <w:rPr>
          <w:rFonts w:ascii="Arial" w:hAnsi="Arial"/>
          <w:i/>
        </w:rPr>
        <w:t>2 Lloyd’s Rep. 555 </w:t>
      </w:r>
      <w:r>
        <w:rPr/>
        <w:t>at [115]. For “assumption of responsibility” in the context of negligent misrepresentation, see above, para.1–148. But see the decision of the House of Lords in </w:t>
      </w:r>
      <w:r>
        <w:rPr>
          <w:rFonts w:ascii="Arial" w:hAnsi="Arial"/>
          <w:i/>
        </w:rPr>
        <w:t>The Achilleas [2008] UKHL 48</w:t>
      </w:r>
      <w:r>
        <w:rPr/>
        <w:t>, discussed below, paras 26-126 et seq.</w:t>
      </w:r>
    </w:p>
    <w:p>
      <w:pPr>
        <w:pStyle w:val="BodyText"/>
        <w:spacing w:before="5"/>
      </w:pPr>
    </w:p>
    <w:p>
      <w:pPr>
        <w:tabs>
          <w:tab w:pos="705" w:val="left" w:leader="none"/>
        </w:tabs>
        <w:spacing w:before="0"/>
        <w:ind w:left="165" w:right="0" w:firstLine="0"/>
        <w:jc w:val="left"/>
        <w:rPr>
          <w:sz w:val="20"/>
        </w:rPr>
      </w:pPr>
      <w:bookmarkStart w:name="_bookmark1338" w:id="1340"/>
      <w:bookmarkEnd w:id="1340"/>
      <w:r>
        <w:rPr/>
      </w:r>
      <w:hyperlink w:history="true" w:anchor="_bookmark1246">
        <w:r>
          <w:rPr>
            <w:color w:val="005DA1"/>
            <w:spacing w:val="-4"/>
            <w:position w:val="5"/>
            <w:sz w:val="14"/>
            <w:u w:val="single" w:color="005DA1"/>
          </w:rPr>
          <w:t>703</w:t>
        </w:r>
      </w:hyperlink>
      <w:r>
        <w:rPr>
          <w:spacing w:val="-4"/>
          <w:position w:val="5"/>
          <w:sz w:val="14"/>
        </w:rPr>
        <w:t>.</w:t>
      </w:r>
      <w:r>
        <w:rPr>
          <w:position w:val="5"/>
          <w:sz w:val="14"/>
        </w:rPr>
        <w:tab/>
      </w:r>
      <w:r>
        <w:rPr>
          <w:rFonts w:ascii="Arial"/>
          <w:i/>
          <w:sz w:val="20"/>
        </w:rPr>
        <w:t>(1854) 9 Exch. 341, 354</w:t>
      </w:r>
      <w:r>
        <w:rPr>
          <w:rFonts w:ascii="Arial"/>
          <w:i/>
          <w:spacing w:val="-1"/>
          <w:sz w:val="20"/>
        </w:rPr>
        <w:t> </w:t>
      </w:r>
      <w:r>
        <w:rPr>
          <w:sz w:val="20"/>
        </w:rPr>
        <w:t>(above, para.26-</w:t>
      </w:r>
      <w:r>
        <w:rPr>
          <w:spacing w:val="-2"/>
          <w:sz w:val="20"/>
        </w:rPr>
        <w:t>109).</w:t>
      </w:r>
    </w:p>
    <w:p>
      <w:pPr>
        <w:pStyle w:val="BodyText"/>
        <w:spacing w:before="9"/>
      </w:pPr>
    </w:p>
    <w:p>
      <w:pPr>
        <w:spacing w:line="235" w:lineRule="auto" w:before="0"/>
        <w:ind w:left="705" w:right="167" w:hanging="541"/>
        <w:jc w:val="both"/>
        <w:rPr>
          <w:rFonts w:ascii="Arial" w:hAnsi="Arial"/>
          <w:i/>
          <w:sz w:val="20"/>
        </w:rPr>
      </w:pPr>
      <w:bookmarkStart w:name="_bookmark1339" w:id="1341"/>
      <w:bookmarkEnd w:id="1341"/>
      <w:r>
        <w:rPr/>
      </w:r>
      <w:hyperlink w:history="true" w:anchor="_bookmark1247">
        <w:r>
          <w:rPr>
            <w:color w:val="005DA1"/>
            <w:position w:val="5"/>
            <w:sz w:val="14"/>
            <w:u w:val="single" w:color="005DA1"/>
          </w:rPr>
          <w:t>704</w:t>
        </w:r>
      </w:hyperlink>
      <w:r>
        <w:rPr>
          <w:position w:val="5"/>
          <w:sz w:val="14"/>
        </w:rPr>
        <w:t>.</w:t>
      </w:r>
      <w:r>
        <w:rPr>
          <w:spacing w:val="40"/>
          <w:position w:val="5"/>
          <w:sz w:val="14"/>
        </w:rPr>
        <w:t>  </w:t>
      </w:r>
      <w:r>
        <w:rPr>
          <w:sz w:val="20"/>
        </w:rPr>
        <w:t>The cases on sub-sales, considered in Vol.II, paras 44-400—44-405, 44-415, 44-424, provide </w:t>
      </w:r>
      <w:r>
        <w:rPr>
          <w:sz w:val="20"/>
        </w:rPr>
        <w:t>a good illustration of this principle. For other illustrations see </w:t>
      </w:r>
      <w:r>
        <w:rPr>
          <w:rFonts w:ascii="Arial" w:hAnsi="Arial"/>
          <w:i/>
          <w:sz w:val="20"/>
        </w:rPr>
        <w:t>Panalpina International Transport</w:t>
      </w:r>
      <w:r>
        <w:rPr>
          <w:rFonts w:ascii="Arial" w:hAnsi="Arial"/>
          <w:i/>
          <w:spacing w:val="40"/>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9"/>
          <w:sz w:val="20"/>
        </w:rPr>
        <w:t> </w:t>
      </w:r>
      <w:r>
        <w:rPr>
          <w:rFonts w:ascii="Arial" w:hAnsi="Arial"/>
          <w:i/>
          <w:sz w:val="20"/>
        </w:rPr>
        <w:t>Densil</w:t>
      </w:r>
      <w:r>
        <w:rPr>
          <w:rFonts w:ascii="Arial" w:hAnsi="Arial"/>
          <w:i/>
          <w:spacing w:val="9"/>
          <w:sz w:val="20"/>
        </w:rPr>
        <w:t> </w:t>
      </w:r>
      <w:r>
        <w:rPr>
          <w:rFonts w:ascii="Arial" w:hAnsi="Arial"/>
          <w:i/>
          <w:sz w:val="20"/>
        </w:rPr>
        <w:t>Underwear</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[1981]</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187,</w:t>
      </w:r>
      <w:r>
        <w:rPr>
          <w:rFonts w:ascii="Arial" w:hAnsi="Arial"/>
          <w:i/>
          <w:spacing w:val="9"/>
          <w:sz w:val="20"/>
        </w:rPr>
        <w:t> </w:t>
      </w:r>
      <w:r>
        <w:rPr>
          <w:rFonts w:ascii="Arial" w:hAnsi="Arial"/>
          <w:i/>
          <w:sz w:val="20"/>
        </w:rPr>
        <w:t>191</w:t>
      </w:r>
      <w:r>
        <w:rPr>
          <w:sz w:val="20"/>
        </w:rPr>
        <w:t>;</w:t>
      </w:r>
      <w:r>
        <w:rPr>
          <w:spacing w:val="9"/>
          <w:sz w:val="20"/>
        </w:rPr>
        <w:t> </w:t>
      </w:r>
      <w:r>
        <w:rPr>
          <w:sz w:val="20"/>
        </w:rPr>
        <w:t>the</w:t>
      </w:r>
      <w:r>
        <w:rPr>
          <w:spacing w:val="9"/>
          <w:sz w:val="20"/>
        </w:rPr>
        <w:t> </w:t>
      </w:r>
      <w:r>
        <w:rPr>
          <w:rFonts w:ascii="Arial" w:hAnsi="Arial"/>
          <w:i/>
          <w:sz w:val="20"/>
        </w:rPr>
        <w:t>Victoria</w:t>
      </w:r>
      <w:r>
        <w:rPr>
          <w:rFonts w:ascii="Arial" w:hAnsi="Arial"/>
          <w:i/>
          <w:spacing w:val="9"/>
          <w:sz w:val="20"/>
        </w:rPr>
        <w:t> </w:t>
      </w:r>
      <w:r>
        <w:rPr>
          <w:rFonts w:ascii="Arial" w:hAnsi="Arial"/>
          <w:i/>
          <w:sz w:val="20"/>
        </w:rPr>
        <w:t>Laundry</w:t>
      </w:r>
      <w:r>
        <w:rPr>
          <w:rFonts w:ascii="Arial" w:hAnsi="Arial"/>
          <w:i/>
          <w:spacing w:val="9"/>
          <w:sz w:val="20"/>
        </w:rPr>
        <w:t> </w:t>
      </w:r>
      <w:r>
        <w:rPr>
          <w:rFonts w:ascii="Arial" w:hAnsi="Arial"/>
          <w:i/>
          <w:sz w:val="20"/>
        </w:rPr>
        <w:t>case</w:t>
      </w:r>
      <w:r>
        <w:rPr>
          <w:rFonts w:ascii="Arial" w:hAnsi="Arial"/>
          <w:i/>
          <w:spacing w:val="9"/>
          <w:sz w:val="20"/>
        </w:rPr>
        <w:t> </w:t>
      </w:r>
      <w:r>
        <w:rPr>
          <w:rFonts w:ascii="Arial" w:hAnsi="Arial"/>
          <w:i/>
          <w:sz w:val="20"/>
        </w:rPr>
        <w:t>[1949]</w:t>
      </w:r>
      <w:r>
        <w:rPr>
          <w:rFonts w:ascii="Arial" w:hAnsi="Arial"/>
          <w:i/>
          <w:spacing w:val="9"/>
          <w:sz w:val="20"/>
        </w:rPr>
        <w:t> </w:t>
      </w:r>
      <w:r>
        <w:rPr>
          <w:rFonts w:ascii="Arial" w:hAnsi="Arial"/>
          <w:i/>
          <w:spacing w:val="-10"/>
          <w:sz w:val="20"/>
        </w:rPr>
        <w:t>2</w:t>
      </w:r>
    </w:p>
    <w:p>
      <w:pPr>
        <w:spacing w:line="235" w:lineRule="auto" w:before="0"/>
        <w:ind w:left="705" w:right="168" w:firstLine="0"/>
        <w:jc w:val="both"/>
        <w:rPr>
          <w:sz w:val="20"/>
        </w:rPr>
      </w:pPr>
      <w:r>
        <w:rPr>
          <w:rFonts w:ascii="Arial" w:hAnsi="Arial"/>
          <w:i/>
          <w:sz w:val="20"/>
        </w:rPr>
        <w:t>K.B. 528</w:t>
      </w:r>
      <w:r>
        <w:rPr>
          <w:sz w:val="20"/>
        </w:rPr>
        <w:t>; </w:t>
      </w:r>
      <w:r>
        <w:rPr>
          <w:rFonts w:ascii="Arial" w:hAnsi="Arial"/>
          <w:i/>
          <w:sz w:val="20"/>
        </w:rPr>
        <w:t>Wadsworth v Lydall [1981] 1 W.L.R. 598 </w:t>
      </w:r>
      <w:r>
        <w:rPr>
          <w:sz w:val="20"/>
        </w:rPr>
        <w:t>(upheld by House of Lords in </w:t>
      </w:r>
      <w:r>
        <w:rPr>
          <w:rFonts w:ascii="Arial" w:hAnsi="Arial"/>
          <w:i/>
          <w:sz w:val="20"/>
        </w:rPr>
        <w:t>President </w:t>
      </w:r>
      <w:r>
        <w:rPr>
          <w:rFonts w:ascii="Arial" w:hAnsi="Arial"/>
          <w:i/>
          <w:sz w:val="20"/>
        </w:rPr>
        <w:t>of India v La Pintada Compania Navegacion SA [1985] A.C. 104, 125–127)</w:t>
      </w:r>
      <w:r>
        <w:rPr>
          <w:sz w:val="20"/>
        </w:rPr>
        <w:t>; </w:t>
      </w:r>
      <w:r>
        <w:rPr>
          <w:rFonts w:ascii="Arial" w:hAnsi="Arial"/>
          <w:i/>
          <w:sz w:val="20"/>
        </w:rPr>
        <w:t>Kemp v </w:t>
      </w:r>
      <w:r>
        <w:rPr>
          <w:rFonts w:ascii="Arial" w:hAnsi="Arial"/>
          <w:i/>
          <w:sz w:val="20"/>
        </w:rPr>
        <w:t>Intasun Holidays Ltd [1987] 2 F.T.L.R. 234</w:t>
      </w:r>
      <w:r>
        <w:rPr>
          <w:sz w:val="20"/>
        </w:rPr>
        <w:t>.</w:t>
      </w:r>
    </w:p>
    <w:p>
      <w:pPr>
        <w:pStyle w:val="BodyText"/>
        <w:spacing w:before="8"/>
      </w:pPr>
    </w:p>
    <w:p>
      <w:pPr>
        <w:spacing w:line="235" w:lineRule="auto" w:before="0"/>
        <w:ind w:left="705" w:right="167" w:hanging="541"/>
        <w:jc w:val="both"/>
        <w:rPr>
          <w:sz w:val="20"/>
        </w:rPr>
      </w:pPr>
      <w:bookmarkStart w:name="_bookmark1340" w:id="1342"/>
      <w:bookmarkEnd w:id="1342"/>
      <w:r>
        <w:rPr/>
      </w:r>
      <w:hyperlink w:history="true" w:anchor="_bookmark1248">
        <w:r>
          <w:rPr>
            <w:color w:val="005DA1"/>
            <w:position w:val="5"/>
            <w:sz w:val="14"/>
            <w:u w:val="single" w:color="005DA1"/>
          </w:rPr>
          <w:t>705</w:t>
        </w:r>
      </w:hyperlink>
      <w:r>
        <w:rPr>
          <w:position w:val="5"/>
          <w:sz w:val="14"/>
        </w:rPr>
        <w:t>.</w:t>
      </w:r>
      <w:r>
        <w:rPr>
          <w:spacing w:val="80"/>
          <w:position w:val="5"/>
          <w:sz w:val="14"/>
        </w:rPr>
        <w:t>  </w:t>
      </w:r>
      <w:r>
        <w:rPr>
          <w:rFonts w:ascii="Arial" w:hAnsi="Arial"/>
          <w:i/>
          <w:sz w:val="20"/>
        </w:rPr>
        <w:t>Jackson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Scotland</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377</w:t>
      </w:r>
      <w:r>
        <w:rPr>
          <w:sz w:val="20"/>
        </w:rPr>
        <w:t>,</w:t>
      </w:r>
      <w:r>
        <w:rPr>
          <w:spacing w:val="-1"/>
          <w:sz w:val="20"/>
        </w:rPr>
        <w:t> </w:t>
      </w:r>
      <w:r>
        <w:rPr>
          <w:sz w:val="20"/>
        </w:rPr>
        <w:t>at</w:t>
      </w:r>
      <w:r>
        <w:rPr>
          <w:spacing w:val="-1"/>
          <w:sz w:val="20"/>
        </w:rPr>
        <w:t> </w:t>
      </w:r>
      <w:r>
        <w:rPr>
          <w:sz w:val="20"/>
        </w:rPr>
        <w:t>[26].</w:t>
      </w:r>
      <w:r>
        <w:rPr>
          <w:spacing w:val="-1"/>
          <w:sz w:val="20"/>
        </w:rPr>
        <w:t> </w:t>
      </w:r>
      <w:r>
        <w:rPr>
          <w:sz w:val="20"/>
        </w:rPr>
        <w:t>cf.</w:t>
      </w:r>
      <w:r>
        <w:rPr>
          <w:spacing w:val="-1"/>
          <w:sz w:val="20"/>
        </w:rPr>
        <w:t> </w:t>
      </w:r>
      <w:r>
        <w:rPr>
          <w:rFonts w:ascii="Arial" w:hAnsi="Arial"/>
          <w:i/>
          <w:sz w:val="20"/>
        </w:rPr>
        <w:t>Muhammad</w:t>
      </w:r>
      <w:r>
        <w:rPr>
          <w:rFonts w:ascii="Arial" w:hAnsi="Arial"/>
          <w:i/>
          <w:spacing w:val="-1"/>
          <w:sz w:val="20"/>
        </w:rPr>
        <w:t> </w:t>
      </w:r>
      <w:r>
        <w:rPr>
          <w:rFonts w:ascii="Arial" w:hAnsi="Arial"/>
          <w:i/>
          <w:sz w:val="20"/>
        </w:rPr>
        <w:t>Issa</w:t>
      </w:r>
      <w:r>
        <w:rPr>
          <w:rFonts w:ascii="Arial" w:hAnsi="Arial"/>
          <w:i/>
          <w:spacing w:val="-1"/>
          <w:sz w:val="20"/>
        </w:rPr>
        <w:t> </w:t>
      </w:r>
      <w:r>
        <w:rPr>
          <w:rFonts w:ascii="Arial" w:hAnsi="Arial"/>
          <w:i/>
          <w:sz w:val="20"/>
        </w:rPr>
        <w:t>el Sheikh</w:t>
      </w:r>
      <w:r>
        <w:rPr>
          <w:rFonts w:ascii="Arial" w:hAnsi="Arial"/>
          <w:i/>
          <w:spacing w:val="-3"/>
          <w:sz w:val="20"/>
        </w:rPr>
        <w:t> </w:t>
      </w:r>
      <w:r>
        <w:rPr>
          <w:rFonts w:ascii="Arial" w:hAnsi="Arial"/>
          <w:i/>
          <w:sz w:val="20"/>
        </w:rPr>
        <w:t>Ahmad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Ali</w:t>
      </w:r>
      <w:r>
        <w:rPr>
          <w:rFonts w:ascii="Arial" w:hAnsi="Arial"/>
          <w:i/>
          <w:spacing w:val="-3"/>
          <w:sz w:val="20"/>
        </w:rPr>
        <w:t> </w:t>
      </w:r>
      <w:r>
        <w:rPr>
          <w:rFonts w:ascii="Arial" w:hAnsi="Arial"/>
          <w:i/>
          <w:sz w:val="20"/>
        </w:rPr>
        <w:t>[1947]</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414,</w:t>
      </w:r>
      <w:r>
        <w:rPr>
          <w:rFonts w:ascii="Arial" w:hAnsi="Arial"/>
          <w:i/>
          <w:spacing w:val="-3"/>
          <w:sz w:val="20"/>
        </w:rPr>
        <w:t> </w:t>
      </w:r>
      <w:r>
        <w:rPr>
          <w:rFonts w:ascii="Arial" w:hAnsi="Arial"/>
          <w:i/>
          <w:sz w:val="20"/>
        </w:rPr>
        <w:t>427</w:t>
      </w:r>
      <w:r>
        <w:rPr>
          <w:rFonts w:ascii="Arial" w:hAnsi="Arial"/>
          <w:i/>
          <w:spacing w:val="-4"/>
          <w:sz w:val="20"/>
        </w:rPr>
        <w:t> </w:t>
      </w:r>
      <w:r>
        <w:rPr>
          <w:sz w:val="20"/>
        </w:rPr>
        <w:t>(impecuniosity</w:t>
      </w:r>
      <w:r>
        <w:rPr>
          <w:spacing w:val="-3"/>
          <w:sz w:val="20"/>
        </w:rPr>
        <w:t> </w:t>
      </w:r>
      <w:r>
        <w:rPr>
          <w:sz w:val="20"/>
        </w:rPr>
        <w:t>of</w:t>
      </w:r>
      <w:r>
        <w:rPr>
          <w:spacing w:val="-3"/>
          <w:sz w:val="20"/>
        </w:rPr>
        <w:t> </w:t>
      </w:r>
      <w:r>
        <w:rPr>
          <w:sz w:val="20"/>
        </w:rPr>
        <w:t>one</w:t>
      </w:r>
      <w:r>
        <w:rPr>
          <w:spacing w:val="-3"/>
          <w:sz w:val="20"/>
        </w:rPr>
        <w:t> </w:t>
      </w:r>
      <w:r>
        <w:rPr>
          <w:sz w:val="20"/>
        </w:rPr>
        <w:t>party</w:t>
      </w:r>
      <w:r>
        <w:rPr>
          <w:spacing w:val="-3"/>
          <w:sz w:val="20"/>
        </w:rPr>
        <w:t> </w:t>
      </w:r>
      <w:r>
        <w:rPr>
          <w:sz w:val="20"/>
        </w:rPr>
        <w:t>in</w:t>
      </w:r>
      <w:r>
        <w:rPr>
          <w:spacing w:val="-3"/>
          <w:sz w:val="20"/>
        </w:rPr>
        <w:t> </w:t>
      </w:r>
      <w:r>
        <w:rPr>
          <w:sz w:val="20"/>
        </w:rPr>
        <w:t>the</w:t>
      </w:r>
      <w:r>
        <w:rPr>
          <w:spacing w:val="-3"/>
          <w:sz w:val="20"/>
        </w:rPr>
        <w:t> </w:t>
      </w:r>
      <w:r>
        <w:rPr>
          <w:sz w:val="20"/>
        </w:rPr>
        <w:t>contemplation</w:t>
      </w:r>
      <w:r>
        <w:rPr>
          <w:spacing w:val="-3"/>
          <w:sz w:val="20"/>
        </w:rPr>
        <w:t> </w:t>
      </w:r>
      <w:r>
        <w:rPr>
          <w:sz w:val="20"/>
        </w:rPr>
        <w:t>of</w:t>
      </w:r>
      <w:r>
        <w:rPr>
          <w:spacing w:val="-3"/>
          <w:sz w:val="20"/>
        </w:rPr>
        <w:t> </w:t>
      </w:r>
      <w:r>
        <w:rPr>
          <w:sz w:val="20"/>
        </w:rPr>
        <w:t>the parties: “damages which, on the facts found by the trial judge, might reasonably be expected to be in the contemplation of the parties”).</w:t>
      </w:r>
    </w:p>
    <w:p>
      <w:pPr>
        <w:spacing w:after="0" w:line="235" w:lineRule="auto"/>
        <w:jc w:val="both"/>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249">
        <w:r>
          <w:rPr>
            <w:color w:val="005DA1"/>
            <w:position w:val="5"/>
            <w:sz w:val="14"/>
            <w:u w:val="single" w:color="005DA1"/>
          </w:rPr>
          <w:t>706</w:t>
        </w:r>
      </w:hyperlink>
      <w:r>
        <w:rPr>
          <w:position w:val="5"/>
          <w:sz w:val="14"/>
        </w:rPr>
        <w:t>.</w:t>
      </w:r>
      <w:r>
        <w:rPr>
          <w:spacing w:val="80"/>
          <w:w w:val="150"/>
          <w:position w:val="5"/>
          <w:sz w:val="14"/>
        </w:rPr>
        <w:t> </w:t>
      </w:r>
      <w:r>
        <w:rPr>
          <w:sz w:val="20"/>
        </w:rPr>
        <w:t>Robert Goff J. in the </w:t>
      </w:r>
      <w:r>
        <w:rPr>
          <w:rFonts w:ascii="Arial" w:hAnsi="Arial"/>
          <w:i/>
          <w:sz w:val="20"/>
        </w:rPr>
        <w:t>Satef-Huttenes </w:t>
      </w:r>
      <w:r>
        <w:rPr>
          <w:sz w:val="20"/>
        </w:rPr>
        <w:t>case, above, at 183. (At 184, the learned judge spoke of “assuming responsibility for the risk of such loss in the event of” breach.) See also </w:t>
      </w:r>
      <w:r>
        <w:rPr>
          <w:rFonts w:ascii="Arial" w:hAnsi="Arial"/>
          <w:i/>
          <w:sz w:val="20"/>
        </w:rPr>
        <w:t>Seven Seas Properties Ltd v Al-Essa (No.2) [1993] 1 W.L.R. 1083, 1088</w:t>
      </w:r>
      <w:r>
        <w:rPr>
          <w:sz w:val="20"/>
        </w:rPr>
        <w:t>.</w:t>
      </w:r>
    </w:p>
    <w:p>
      <w:pPr>
        <w:pStyle w:val="BodyText"/>
        <w:spacing w:before="5"/>
      </w:pPr>
    </w:p>
    <w:p>
      <w:pPr>
        <w:tabs>
          <w:tab w:pos="705" w:val="left" w:leader="none"/>
        </w:tabs>
        <w:spacing w:before="0"/>
        <w:ind w:left="165" w:right="0" w:firstLine="0"/>
        <w:jc w:val="left"/>
        <w:rPr>
          <w:sz w:val="20"/>
        </w:rPr>
      </w:pPr>
      <w:bookmarkStart w:name="_bookmark1341" w:id="1343"/>
      <w:bookmarkEnd w:id="1343"/>
      <w:r>
        <w:rPr/>
      </w:r>
      <w:hyperlink w:history="true" w:anchor="_bookmark1250">
        <w:r>
          <w:rPr>
            <w:color w:val="005DA1"/>
            <w:spacing w:val="-4"/>
            <w:position w:val="5"/>
            <w:sz w:val="14"/>
            <w:u w:val="single" w:color="005DA1"/>
          </w:rPr>
          <w:t>707</w:t>
        </w:r>
      </w:hyperlink>
      <w:r>
        <w:rPr>
          <w:spacing w:val="-4"/>
          <w:position w:val="5"/>
          <w:sz w:val="14"/>
        </w:rPr>
        <w:t>.</w:t>
      </w:r>
      <w:r>
        <w:rPr>
          <w:position w:val="5"/>
          <w:sz w:val="14"/>
        </w:rPr>
        <w:tab/>
      </w:r>
      <w:r>
        <w:rPr>
          <w:sz w:val="20"/>
        </w:rPr>
        <w:t>29th</w:t>
      </w:r>
      <w:r>
        <w:rPr>
          <w:spacing w:val="-2"/>
          <w:sz w:val="20"/>
        </w:rPr>
        <w:t> </w:t>
      </w:r>
      <w:r>
        <w:rPr>
          <w:sz w:val="20"/>
        </w:rPr>
        <w:t>edn, para.26-055. cf.</w:t>
      </w:r>
      <w:r>
        <w:rPr>
          <w:spacing w:val="-1"/>
          <w:sz w:val="20"/>
        </w:rPr>
        <w:t> </w:t>
      </w:r>
      <w:r>
        <w:rPr>
          <w:rFonts w:ascii="Arial"/>
          <w:i/>
          <w:sz w:val="20"/>
        </w:rPr>
        <w:t>Robophone Facilities Ltd v Blank [1966] 1 W.L.R. 1428, </w:t>
      </w:r>
      <w:r>
        <w:rPr>
          <w:rFonts w:ascii="Arial"/>
          <w:i/>
          <w:spacing w:val="-2"/>
          <w:sz w:val="20"/>
        </w:rPr>
        <w:t>1448</w:t>
      </w:r>
      <w:r>
        <w:rPr>
          <w:spacing w:val="-2"/>
          <w:sz w:val="20"/>
        </w:rPr>
        <w:t>.</w:t>
      </w:r>
    </w:p>
    <w:p>
      <w:pPr>
        <w:pStyle w:val="BodyText"/>
        <w:spacing w:before="5"/>
      </w:pPr>
    </w:p>
    <w:p>
      <w:pPr>
        <w:pStyle w:val="BodyText"/>
        <w:tabs>
          <w:tab w:pos="705" w:val="left" w:leader="none"/>
        </w:tabs>
        <w:ind w:left="165"/>
      </w:pPr>
      <w:bookmarkStart w:name="_bookmark1342" w:id="1344"/>
      <w:bookmarkEnd w:id="1344"/>
      <w:r>
        <w:rPr/>
      </w:r>
      <w:hyperlink w:history="true" w:anchor="_bookmark1251">
        <w:r>
          <w:rPr>
            <w:color w:val="005DA1"/>
            <w:spacing w:val="-4"/>
            <w:position w:val="5"/>
            <w:sz w:val="14"/>
            <w:u w:val="single" w:color="005DA1"/>
          </w:rPr>
          <w:t>708</w:t>
        </w:r>
      </w:hyperlink>
      <w:r>
        <w:rPr>
          <w:spacing w:val="-4"/>
          <w:position w:val="5"/>
          <w:sz w:val="14"/>
        </w:rPr>
        <w:t>.</w:t>
      </w:r>
      <w:r>
        <w:rPr>
          <w:position w:val="5"/>
          <w:sz w:val="14"/>
        </w:rPr>
        <w:tab/>
      </w:r>
      <w:r>
        <w:rPr/>
        <w:t>See below, paras 26-126 et </w:t>
      </w:r>
      <w:r>
        <w:rPr>
          <w:spacing w:val="-4"/>
        </w:rPr>
        <w:t>seq.</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position w:val="11"/>
          <w:sz w:val="12"/>
        </w:rPr>
      </w:pPr>
      <w:r>
        <w:rPr>
          <w:rFonts w:ascii="Arial"/>
          <w:b/>
          <w:sz w:val="24"/>
        </w:rPr>
        <w:t>Section 7. - Remoteness of Damage and Assumption of Responsibility </w:t>
      </w:r>
      <w:r>
        <w:rPr>
          <w:rFonts w:ascii="Arial"/>
          <w:b/>
          <w:color w:val="005DA1"/>
          <w:spacing w:val="-5"/>
          <w:position w:val="11"/>
          <w:sz w:val="12"/>
          <w:u w:val="single" w:color="005DA1"/>
        </w:rPr>
        <w:t>604</w:t>
      </w:r>
    </w:p>
    <w:p>
      <w:pPr>
        <w:spacing w:before="194"/>
        <w:ind w:left="2725" w:right="0" w:firstLine="0"/>
        <w:jc w:val="left"/>
        <w:rPr>
          <w:rFonts w:ascii="Arial"/>
          <w:b/>
          <w:sz w:val="24"/>
        </w:rPr>
      </w:pPr>
      <w:r>
        <w:rPr>
          <w:rFonts w:ascii="Arial"/>
          <w:b/>
          <w:sz w:val="24"/>
        </w:rPr>
        <w:t>(c) - Assumption of </w:t>
      </w:r>
      <w:r>
        <w:rPr>
          <w:rFonts w:ascii="Arial"/>
          <w:b/>
          <w:spacing w:val="-2"/>
          <w:sz w:val="24"/>
        </w:rPr>
        <w:t>Responsibility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Assumption of </w:t>
      </w:r>
      <w:r>
        <w:rPr>
          <w:rFonts w:ascii="Arial"/>
          <w:b/>
          <w:spacing w:val="-2"/>
          <w:sz w:val="18"/>
        </w:rPr>
        <w:t>responsibility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126</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2"/>
        </w:rPr>
        <w:t> </w:t>
      </w:r>
      <w:bookmarkStart w:name="_bookmark1343" w:id="1345"/>
      <w:bookmarkEnd w:id="1345"/>
      <w:r>
        <w:rPr>
          <w:rFonts w:ascii="Times New Roman"/>
          <w:spacing w:val="22"/>
        </w:rPr>
      </w:r>
      <w:r>
        <w:rPr/>
        <w:t>In</w:t>
      </w:r>
      <w:r>
        <w:rPr>
          <w:spacing w:val="18"/>
        </w:rPr>
        <w:t> </w:t>
      </w:r>
      <w:r>
        <w:rPr/>
        <w:t>the</w:t>
      </w:r>
      <w:r>
        <w:rPr>
          <w:spacing w:val="18"/>
        </w:rPr>
        <w:t> </w:t>
      </w:r>
      <w:r>
        <w:rPr/>
        <w:t>light</w:t>
      </w:r>
      <w:r>
        <w:rPr>
          <w:spacing w:val="18"/>
        </w:rPr>
        <w:t> </w:t>
      </w:r>
      <w:r>
        <w:rPr/>
        <w:t>of</w:t>
      </w:r>
      <w:r>
        <w:rPr>
          <w:spacing w:val="18"/>
        </w:rPr>
        <w:t> </w:t>
      </w:r>
      <w:r>
        <w:rPr/>
        <w:t>the</w:t>
      </w:r>
      <w:r>
        <w:rPr>
          <w:spacing w:val="18"/>
        </w:rPr>
        <w:t> </w:t>
      </w:r>
      <w:r>
        <w:rPr/>
        <w:t>remoteness</w:t>
      </w:r>
      <w:r>
        <w:rPr>
          <w:spacing w:val="18"/>
        </w:rPr>
        <w:t> </w:t>
      </w:r>
      <w:r>
        <w:rPr/>
        <w:t>rules</w:t>
      </w:r>
      <w:r>
        <w:rPr>
          <w:spacing w:val="18"/>
        </w:rPr>
        <w:t> </w:t>
      </w:r>
      <w:r>
        <w:rPr/>
        <w:t>discussed</w:t>
      </w:r>
      <w:r>
        <w:rPr>
          <w:spacing w:val="18"/>
        </w:rPr>
        <w:t> </w:t>
      </w:r>
      <w:r>
        <w:rPr/>
        <w:t>above,</w:t>
      </w:r>
      <w:r>
        <w:rPr>
          <w:spacing w:val="18"/>
        </w:rPr>
        <w:t> </w:t>
      </w:r>
      <w:r>
        <w:rPr/>
        <w:t>the</w:t>
      </w:r>
      <w:r>
        <w:rPr>
          <w:spacing w:val="18"/>
        </w:rPr>
        <w:t> </w:t>
      </w:r>
      <w:r>
        <w:rPr/>
        <w:t>traditional</w:t>
      </w:r>
      <w:r>
        <w:rPr>
          <w:spacing w:val="18"/>
        </w:rPr>
        <w:t> </w:t>
      </w:r>
      <w:r>
        <w:rPr/>
        <w:t>assumption</w:t>
      </w:r>
      <w:r>
        <w:rPr>
          <w:spacing w:val="18"/>
        </w:rPr>
        <w:t> </w:t>
      </w:r>
      <w:r>
        <w:rPr/>
        <w:t>of</w:t>
      </w:r>
      <w:r>
        <w:rPr>
          <w:spacing w:val="18"/>
        </w:rPr>
        <w:t> </w:t>
      </w:r>
      <w:r>
        <w:rPr/>
        <w:t>many</w:t>
      </w:r>
      <w:r>
        <w:rPr>
          <w:spacing w:val="18"/>
        </w:rPr>
        <w:t> </w:t>
      </w:r>
      <w:r>
        <w:rPr/>
        <w:t>contract</w:t>
      </w:r>
    </w:p>
    <w:p>
      <w:pPr>
        <w:pStyle w:val="BodyText"/>
        <w:spacing w:line="235" w:lineRule="auto" w:before="118"/>
        <w:ind w:left="164" w:right="167"/>
        <w:jc w:val="both"/>
      </w:pPr>
      <w:bookmarkStart w:name="_bookmark1344" w:id="1346"/>
      <w:bookmarkEnd w:id="1346"/>
      <w:r>
        <w:rPr/>
      </w:r>
      <w:r>
        <w:rPr/>
        <w:t>lawyers </w:t>
      </w:r>
      <w:r>
        <w:rPr>
          <w:color w:val="005DA1"/>
          <w:u w:val="single" w:color="005DA1"/>
          <w:vertAlign w:val="superscript"/>
        </w:rPr>
        <w:t>709</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was that the victim of a breach of contract can recover for loss which arose “in the </w:t>
      </w:r>
      <w:bookmarkStart w:name="_bookmark1345" w:id="1347"/>
      <w:bookmarkEnd w:id="1347"/>
      <w:r>
        <w:rPr>
          <w:vertAlign w:val="baseline"/>
        </w:rPr>
        <w:t>usual</w:t>
      </w:r>
      <w:r>
        <w:rPr>
          <w:vertAlign w:val="baseline"/>
        </w:rPr>
        <w:t> course of things”, or were “not unlikely”, </w:t>
      </w:r>
      <w:r>
        <w:rPr>
          <w:color w:val="005DA1"/>
          <w:u w:val="single" w:color="005DA1"/>
          <w:vertAlign w:val="superscript"/>
        </w:rPr>
        <w:t>710</w:t>
      </w:r>
      <w:r>
        <w:rPr>
          <w:color w:val="005DA1"/>
          <w:vertAlign w:val="baseline"/>
        </w:rPr>
        <w:t> </w:t>
      </w:r>
      <w:r>
        <w:rPr>
          <w:vertAlign w:val="baseline"/>
        </w:rPr>
        <w:t>unless the loss was one that he should </w:t>
      </w:r>
      <w:r>
        <w:rPr>
          <w:vertAlign w:val="baseline"/>
        </w:rPr>
        <w:t>have</w:t>
      </w:r>
      <w:r>
        <w:rPr>
          <w:spacing w:val="40"/>
          <w:vertAlign w:val="baseline"/>
        </w:rPr>
        <w:t> </w:t>
      </w:r>
      <w:r>
        <w:rPr>
          <w:vertAlign w:val="baseline"/>
        </w:rPr>
        <w:t>avoided by taking reasonable steps </w:t>
      </w:r>
      <w:r>
        <w:rPr>
          <w:color w:val="005DA1"/>
          <w:u w:val="single" w:color="005DA1"/>
          <w:vertAlign w:val="superscript"/>
        </w:rPr>
        <w:t>711</w:t>
      </w:r>
      <w:r>
        <w:rPr>
          <w:color w:val="005DA1"/>
          <w:vertAlign w:val="baseline"/>
        </w:rPr>
        <w:t> </w:t>
      </w:r>
      <w:r>
        <w:rPr>
          <w:vertAlign w:val="baseline"/>
        </w:rPr>
        <w:t>or one for which liability was excluded by means of a contractual term. In relation to unusual kinds of loss, liability seemed to depend on whether the </w:t>
      </w:r>
      <w:bookmarkStart w:name="_bookmark1346" w:id="1348"/>
      <w:bookmarkEnd w:id="1348"/>
      <w:r>
        <w:rPr>
          <w:vertAlign w:val="baseline"/>
        </w:rPr>
        <w:t>defendant</w:t>
      </w:r>
      <w:r>
        <w:rPr>
          <w:vertAlign w:val="baseline"/>
        </w:rPr>
        <w:t> had been told of the potential loss in sufficient detail and with sufficient force to bring it </w:t>
      </w:r>
      <w:bookmarkStart w:name="_bookmark1347" w:id="1349"/>
      <w:bookmarkEnd w:id="1349"/>
      <w:r>
        <w:rPr>
          <w:vertAlign w:val="baseline"/>
        </w:rPr>
        <w:t>home</w:t>
      </w:r>
      <w:r>
        <w:rPr>
          <w:vertAlign w:val="baseline"/>
        </w:rPr>
        <w:t> to him that he should take it into account. </w:t>
      </w:r>
      <w:r>
        <w:rPr>
          <w:color w:val="005DA1"/>
          <w:u w:val="single" w:color="005DA1"/>
          <w:vertAlign w:val="superscript"/>
        </w:rPr>
        <w:t>712</w:t>
      </w:r>
      <w:r>
        <w:rPr>
          <w:color w:val="005DA1"/>
          <w:vertAlign w:val="baseline"/>
        </w:rPr>
        <w:t> </w:t>
      </w:r>
      <w:r>
        <w:rPr>
          <w:vertAlign w:val="baseline"/>
        </w:rPr>
        <w:t>Following the decision of the House of Lords in </w:t>
      </w:r>
      <w:r>
        <w:rPr>
          <w:rFonts w:ascii="Arial" w:hAnsi="Arial"/>
          <w:i/>
          <w:vertAlign w:val="baseline"/>
        </w:rPr>
        <w:t>Transfield Shipping Inc v Mercator Shipping Inc (The Achilleas) </w:t>
      </w:r>
      <w:r>
        <w:rPr>
          <w:color w:val="005DA1"/>
          <w:u w:val="single" w:color="005DA1"/>
          <w:vertAlign w:val="superscript"/>
        </w:rPr>
        <w:t>713</w:t>
      </w:r>
      <w:r>
        <w:rPr>
          <w:color w:val="005DA1"/>
          <w:vertAlign w:val="baseline"/>
        </w:rPr>
        <w:t> </w:t>
      </w:r>
      <w:r>
        <w:rPr>
          <w:vertAlign w:val="baseline"/>
        </w:rPr>
        <w:t>it now seems that a claimant will not recover, even for losses that were not unlikely to occur in the usual course of things, if the defendant cannot reasonably be regarded as having assumed responsibility for losses of the</w:t>
      </w:r>
      <w:r>
        <w:rPr>
          <w:spacing w:val="40"/>
          <w:vertAlign w:val="baseline"/>
        </w:rPr>
        <w:t> </w:t>
      </w:r>
      <w:r>
        <w:rPr>
          <w:vertAlign w:val="baseline"/>
        </w:rPr>
        <w:t>particular kind suffered. It is not wholly clear whether this is an aspect of the circumstances in which </w:t>
      </w:r>
      <w:bookmarkStart w:name="_bookmark1348" w:id="1350"/>
      <w:bookmarkEnd w:id="1350"/>
      <w:r>
        <w:rPr>
          <w:vertAlign w:val="baseline"/>
        </w:rPr>
        <w:t>the</w:t>
      </w:r>
      <w:r>
        <w:rPr>
          <w:vertAlign w:val="baseline"/>
        </w:rPr>
        <w:t> parties will be held to have “had in contemplation” unusual kinds of loss, and so part of the remoteness rule, or an additional and separate requirement. </w:t>
      </w:r>
      <w:r>
        <w:rPr>
          <w:color w:val="005DA1"/>
          <w:u w:val="single" w:color="005DA1"/>
          <w:vertAlign w:val="superscript"/>
        </w:rPr>
        <w:t>714</w:t>
      </w:r>
    </w:p>
    <w:p>
      <w:pPr>
        <w:pStyle w:val="BodyText"/>
      </w:pPr>
    </w:p>
    <w:p>
      <w:pPr>
        <w:pStyle w:val="BodyText"/>
        <w:spacing w:before="34"/>
      </w:pPr>
    </w:p>
    <w:p>
      <w:pPr>
        <w:spacing w:before="0"/>
        <w:ind w:left="165" w:right="0" w:firstLine="0"/>
        <w:jc w:val="both"/>
        <w:rPr>
          <w:rFonts w:ascii="Arial"/>
          <w:b/>
          <w:sz w:val="18"/>
        </w:rPr>
      </w:pPr>
      <w:r>
        <w:rPr>
          <w:rFonts w:ascii="Arial"/>
          <w:b/>
          <w:sz w:val="18"/>
        </w:rPr>
        <w:t>Previous authority on assumption of </w:t>
      </w:r>
      <w:r>
        <w:rPr>
          <w:rFonts w:ascii="Arial"/>
          <w:b/>
          <w:spacing w:val="-2"/>
          <w:sz w:val="18"/>
        </w:rPr>
        <w:t>responsibility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127</w:t>
      </w:r>
    </w:p>
    <w:p>
      <w:pPr>
        <w:pStyle w:val="BodyText"/>
        <w:spacing w:line="235" w:lineRule="auto" w:before="202"/>
        <w:ind w:left="164" w:right="167"/>
        <w:jc w:val="both"/>
      </w:pPr>
      <w:bookmarkStart w:name="_bookmark1349" w:id="1351"/>
      <w:bookmarkEnd w:id="1351"/>
      <w:r>
        <w:rPr/>
      </w:r>
      <w:r>
        <w:rPr/>
        <w:t>Before the decision in </w:t>
      </w:r>
      <w:r>
        <w:rPr>
          <w:rFonts w:ascii="Arial" w:hAnsi="Arial"/>
          <w:i/>
        </w:rPr>
        <w:t>The Achilleas</w:t>
      </w:r>
      <w:r>
        <w:rPr/>
        <w:t>, </w:t>
      </w:r>
      <w:r>
        <w:rPr>
          <w:color w:val="005DA1"/>
          <w:u w:val="single" w:color="005DA1"/>
          <w:vertAlign w:val="superscript"/>
        </w:rPr>
        <w:t>715</w:t>
      </w:r>
      <w:r>
        <w:rPr>
          <w:color w:val="005DA1"/>
          <w:vertAlign w:val="baseline"/>
        </w:rPr>
        <w:t> </w:t>
      </w:r>
      <w:r>
        <w:rPr>
          <w:vertAlign w:val="baseline"/>
        </w:rPr>
        <w:t>there had been a number of suggestions in the </w:t>
      </w:r>
      <w:r>
        <w:rPr>
          <w:vertAlign w:val="baseline"/>
        </w:rPr>
        <w:t>academic literature that the remoteness rule is best understood not as an external “default” standard to be </w:t>
      </w:r>
      <w:bookmarkStart w:name="_bookmark1350" w:id="1352"/>
      <w:bookmarkEnd w:id="1352"/>
      <w:r>
        <w:rPr>
          <w:vertAlign w:val="baseline"/>
        </w:rPr>
        <w:t>applied</w:t>
      </w:r>
      <w:r>
        <w:rPr>
          <w:vertAlign w:val="baseline"/>
        </w:rPr>
        <w:t> when the parties have not agreed what losses they should nor should not be liable for, but as a reflection of their implied agreement as to the allocation of risks. </w:t>
      </w:r>
      <w:r>
        <w:rPr>
          <w:color w:val="005DA1"/>
          <w:u w:val="single" w:color="005DA1"/>
          <w:vertAlign w:val="superscript"/>
        </w:rPr>
        <w:t>716</w:t>
      </w:r>
      <w:r>
        <w:rPr>
          <w:color w:val="005DA1"/>
          <w:vertAlign w:val="baseline"/>
        </w:rPr>
        <w:t> </w:t>
      </w:r>
      <w:r>
        <w:rPr>
          <w:vertAlign w:val="baseline"/>
        </w:rPr>
        <w:t>Indeed in a previous edition of this work it was said that:</w:t>
      </w:r>
    </w:p>
    <w:p>
      <w:pPr>
        <w:pStyle w:val="BodyText"/>
      </w:pPr>
    </w:p>
    <w:p>
      <w:pPr>
        <w:pStyle w:val="BodyText"/>
        <w:spacing w:before="125"/>
      </w:pPr>
    </w:p>
    <w:p>
      <w:pPr>
        <w:pStyle w:val="BodyText"/>
        <w:spacing w:line="235" w:lineRule="auto"/>
        <w:ind w:left="1244" w:right="167"/>
        <w:jc w:val="both"/>
      </w:pPr>
      <w:r>
        <w:rPr/>
        <w:t>“… it can be said in general terms that the promisor implicitly accepts responsibility for</w:t>
      </w:r>
      <w:r>
        <w:rPr>
          <w:spacing w:val="80"/>
        </w:rPr>
        <w:t> </w:t>
      </w:r>
      <w:bookmarkStart w:name="_bookmark1351" w:id="1353"/>
      <w:bookmarkEnd w:id="1353"/>
      <w:r>
        <w:rPr/>
        <w:t>the</w:t>
      </w:r>
      <w:r>
        <w:rPr/>
        <w:t> usual consequences of a breach of the promise in question, while the </w:t>
      </w:r>
      <w:r>
        <w:rPr/>
        <w:t>promisee implicitly accepts the risk of any other consequences.” </w:t>
      </w:r>
      <w:r>
        <w:rPr>
          <w:color w:val="005DA1"/>
          <w:u w:val="single" w:color="005DA1"/>
          <w:vertAlign w:val="superscript"/>
        </w:rPr>
        <w:t>717</w:t>
      </w:r>
    </w:p>
    <w:p>
      <w:pPr>
        <w:pStyle w:val="BodyText"/>
        <w:spacing w:before="116"/>
      </w:pPr>
    </w:p>
    <w:p>
      <w:pPr>
        <w:pStyle w:val="BodyText"/>
        <w:spacing w:line="235" w:lineRule="auto"/>
        <w:ind w:left="165" w:right="167"/>
        <w:jc w:val="both"/>
      </w:pPr>
      <w:r>
        <w:rPr/>
        <w:t>Such an analysis might imply that the fact that a particular loss was not unlikely as the result of a breach might not suffice to make the contract-breaker liable were the circumstances such that it </w:t>
      </w:r>
      <w:r>
        <w:rPr/>
        <w:t>was not reasonable to suppose that the defendant was accepting responsibility for the kind of loss in question.</w:t>
      </w:r>
      <w:r>
        <w:rPr>
          <w:spacing w:val="-2"/>
        </w:rPr>
        <w:t> </w:t>
      </w:r>
      <w:r>
        <w:rPr/>
        <w:t>This</w:t>
      </w:r>
      <w:r>
        <w:rPr>
          <w:spacing w:val="-2"/>
        </w:rPr>
        <w:t> </w:t>
      </w:r>
      <w:r>
        <w:rPr/>
        <w:t>is</w:t>
      </w:r>
      <w:r>
        <w:rPr>
          <w:spacing w:val="-2"/>
        </w:rPr>
        <w:t> </w:t>
      </w:r>
      <w:r>
        <w:rPr/>
        <w:t>particularly</w:t>
      </w:r>
      <w:r>
        <w:rPr>
          <w:spacing w:val="-2"/>
        </w:rPr>
        <w:t> </w:t>
      </w:r>
      <w:r>
        <w:rPr/>
        <w:t>so</w:t>
      </w:r>
      <w:r>
        <w:rPr>
          <w:spacing w:val="-2"/>
        </w:rPr>
        <w:t> </w:t>
      </w:r>
      <w:r>
        <w:rPr/>
        <w:t>when</w:t>
      </w:r>
      <w:r>
        <w:rPr>
          <w:spacing w:val="-2"/>
        </w:rPr>
        <w:t> </w:t>
      </w:r>
      <w:r>
        <w:rPr/>
        <w:t>the</w:t>
      </w:r>
      <w:r>
        <w:rPr>
          <w:spacing w:val="-2"/>
        </w:rPr>
        <w:t> </w:t>
      </w:r>
      <w:r>
        <w:rPr/>
        <w:t>loss</w:t>
      </w:r>
      <w:r>
        <w:rPr>
          <w:spacing w:val="-2"/>
        </w:rPr>
        <w:t> </w:t>
      </w:r>
      <w:r>
        <w:rPr/>
        <w:t>was</w:t>
      </w:r>
      <w:r>
        <w:rPr>
          <w:spacing w:val="-2"/>
        </w:rPr>
        <w:t> </w:t>
      </w:r>
      <w:r>
        <w:rPr/>
        <w:t>unusual.</w:t>
      </w:r>
      <w:r>
        <w:rPr>
          <w:spacing w:val="-2"/>
        </w:rPr>
        <w:t> </w:t>
      </w:r>
      <w:r>
        <w:rPr/>
        <w:t>It</w:t>
      </w:r>
      <w:r>
        <w:rPr>
          <w:spacing w:val="-2"/>
        </w:rPr>
        <w:t> </w:t>
      </w:r>
      <w:r>
        <w:rPr/>
        <w:t>was</w:t>
      </w:r>
      <w:r>
        <w:rPr>
          <w:spacing w:val="-2"/>
        </w:rPr>
        <w:t> </w:t>
      </w:r>
      <w:r>
        <w:rPr/>
        <w:t>argued</w:t>
      </w:r>
      <w:r>
        <w:rPr>
          <w:spacing w:val="-2"/>
        </w:rPr>
        <w:t> </w:t>
      </w:r>
      <w:r>
        <w:rPr/>
        <w:t>above</w:t>
      </w:r>
      <w:r>
        <w:rPr>
          <w:spacing w:val="-2"/>
        </w:rPr>
        <w:t> </w:t>
      </w:r>
      <w:r>
        <w:rPr/>
        <w:t>that</w:t>
      </w:r>
      <w:r>
        <w:rPr>
          <w:spacing w:val="-2"/>
        </w:rPr>
        <w:t> </w:t>
      </w:r>
      <w:r>
        <w:rPr/>
        <w:t>mere</w:t>
      </w:r>
      <w:r>
        <w:rPr>
          <w:spacing w:val="-2"/>
        </w:rPr>
        <w:t> </w:t>
      </w:r>
      <w:r>
        <w:rPr/>
        <w:t>knowledge </w:t>
      </w:r>
      <w:bookmarkStart w:name="_bookmark1352" w:id="1354"/>
      <w:bookmarkEnd w:id="1354"/>
      <w:r>
        <w:rPr/>
        <w:t>of</w:t>
      </w:r>
      <w:r>
        <w:rPr/>
        <w:t> the special circumstances is not enough for this purpose; but conversely there need not be an express or implied term of the contract to the effect that the defendant accepted responsibility. </w:t>
      </w:r>
      <w:r>
        <w:rPr>
          <w:color w:val="005DA1"/>
          <w:u w:val="single" w:color="005DA1"/>
          <w:vertAlign w:val="superscript"/>
        </w:rPr>
        <w:t>718</w:t>
      </w:r>
      <w:r>
        <w:rPr>
          <w:color w:val="005DA1"/>
          <w:vertAlign w:val="baseline"/>
        </w:rPr>
        <w:t> </w:t>
      </w:r>
      <w:r>
        <w:rPr>
          <w:vertAlign w:val="baseline"/>
        </w:rPr>
        <w:t>It is sufficient</w:t>
      </w:r>
      <w:r>
        <w:rPr>
          <w:spacing w:val="21"/>
          <w:vertAlign w:val="baseline"/>
        </w:rPr>
        <w:t> </w:t>
      </w:r>
      <w:r>
        <w:rPr>
          <w:vertAlign w:val="baseline"/>
        </w:rPr>
        <w:t>if,</w:t>
      </w:r>
      <w:r>
        <w:rPr>
          <w:spacing w:val="21"/>
          <w:vertAlign w:val="baseline"/>
        </w:rPr>
        <w:t> </w:t>
      </w:r>
      <w:r>
        <w:rPr>
          <w:vertAlign w:val="baseline"/>
        </w:rPr>
        <w:t>on</w:t>
      </w:r>
      <w:r>
        <w:rPr>
          <w:spacing w:val="21"/>
          <w:vertAlign w:val="baseline"/>
        </w:rPr>
        <w:t> </w:t>
      </w:r>
      <w:r>
        <w:rPr>
          <w:vertAlign w:val="baseline"/>
        </w:rPr>
        <w:t>the</w:t>
      </w:r>
      <w:r>
        <w:rPr>
          <w:spacing w:val="21"/>
          <w:vertAlign w:val="baseline"/>
        </w:rPr>
        <w:t> </w:t>
      </w:r>
      <w:r>
        <w:rPr>
          <w:vertAlign w:val="baseline"/>
        </w:rPr>
        <w:t>basis</w:t>
      </w:r>
      <w:r>
        <w:rPr>
          <w:spacing w:val="21"/>
          <w:vertAlign w:val="baseline"/>
        </w:rPr>
        <w:t> </w:t>
      </w:r>
      <w:r>
        <w:rPr>
          <w:vertAlign w:val="baseline"/>
        </w:rPr>
        <w:t>of</w:t>
      </w:r>
      <w:r>
        <w:rPr>
          <w:spacing w:val="21"/>
          <w:vertAlign w:val="baseline"/>
        </w:rPr>
        <w:t> </w:t>
      </w:r>
      <w:r>
        <w:rPr>
          <w:vertAlign w:val="baseline"/>
        </w:rPr>
        <w:t>his</w:t>
      </w:r>
      <w:r>
        <w:rPr>
          <w:spacing w:val="21"/>
          <w:vertAlign w:val="baseline"/>
        </w:rPr>
        <w:t> </w:t>
      </w:r>
      <w:r>
        <w:rPr>
          <w:vertAlign w:val="baseline"/>
        </w:rPr>
        <w:t>knowledge</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special</w:t>
      </w:r>
      <w:r>
        <w:rPr>
          <w:spacing w:val="21"/>
          <w:vertAlign w:val="baseline"/>
        </w:rPr>
        <w:t> </w:t>
      </w:r>
      <w:r>
        <w:rPr>
          <w:vertAlign w:val="baseline"/>
        </w:rPr>
        <w:t>circumstances,</w:t>
      </w:r>
      <w:r>
        <w:rPr>
          <w:spacing w:val="21"/>
          <w:vertAlign w:val="baseline"/>
        </w:rPr>
        <w:t> </w:t>
      </w:r>
      <w:r>
        <w:rPr>
          <w:vertAlign w:val="baseline"/>
        </w:rPr>
        <w:t>the</w:t>
      </w:r>
      <w:r>
        <w:rPr>
          <w:spacing w:val="21"/>
          <w:vertAlign w:val="baseline"/>
        </w:rPr>
        <w:t> </w:t>
      </w:r>
      <w:r>
        <w:rPr>
          <w:vertAlign w:val="baseline"/>
        </w:rPr>
        <w:t>reasonable</w:t>
      </w:r>
      <w:r>
        <w:rPr>
          <w:spacing w:val="21"/>
          <w:vertAlign w:val="baseline"/>
        </w:rPr>
        <w:t> </w:t>
      </w:r>
      <w:r>
        <w:rPr>
          <w:vertAlign w:val="baseline"/>
        </w:rPr>
        <w:t>man</w:t>
      </w:r>
      <w:r>
        <w:rPr>
          <w:spacing w:val="21"/>
          <w:vertAlign w:val="baseline"/>
        </w:rPr>
        <w:t> </w:t>
      </w:r>
      <w:r>
        <w:rPr>
          <w:vertAlign w:val="baseline"/>
        </w:rPr>
        <w:t>in</w:t>
      </w:r>
      <w:r>
        <w:rPr>
          <w:spacing w:val="21"/>
          <w:vertAlign w:val="baseline"/>
        </w:rPr>
        <w:t> </w:t>
      </w:r>
      <w:r>
        <w:rPr>
          <w:spacing w:val="-5"/>
          <w:vertAlign w:val="baseline"/>
        </w:rPr>
        <w:t>the</w:t>
      </w:r>
    </w:p>
    <w:p>
      <w:pPr>
        <w:pStyle w:val="BodyText"/>
        <w:spacing w:after="0" w:line="235" w:lineRule="auto"/>
        <w:jc w:val="both"/>
        <w:sectPr>
          <w:headerReference w:type="default" r:id="rId36"/>
          <w:pgSz w:w="11900" w:h="16840"/>
          <w:pgMar w:header="971" w:footer="0" w:top="1300" w:bottom="280" w:left="1275" w:right="1275"/>
          <w:pgNumType w:start="1"/>
        </w:sectPr>
      </w:pPr>
    </w:p>
    <w:p>
      <w:pPr>
        <w:pStyle w:val="BodyText"/>
        <w:spacing w:line="235" w:lineRule="auto" w:before="110"/>
        <w:ind w:left="165" w:right="167"/>
        <w:jc w:val="both"/>
      </w:pPr>
      <w:bookmarkStart w:name="_bookmark1353" w:id="1355"/>
      <w:bookmarkEnd w:id="1355"/>
      <w:r>
        <w:rPr/>
      </w:r>
      <w:r>
        <w:rPr/>
        <w:t>defendant’s position at the time of contracting would have understood that, by making the promise in those</w:t>
      </w:r>
      <w:r>
        <w:rPr>
          <w:spacing w:val="-2"/>
        </w:rPr>
        <w:t> </w:t>
      </w:r>
      <w:r>
        <w:rPr/>
        <w:t>circumstances,</w:t>
      </w:r>
      <w:r>
        <w:rPr>
          <w:spacing w:val="-2"/>
        </w:rPr>
        <w:t> </w:t>
      </w:r>
      <w:r>
        <w:rPr/>
        <w:t>he</w:t>
      </w:r>
      <w:r>
        <w:rPr>
          <w:spacing w:val="-2"/>
        </w:rPr>
        <w:t> </w:t>
      </w:r>
      <w:r>
        <w:rPr/>
        <w:t>was</w:t>
      </w:r>
      <w:r>
        <w:rPr>
          <w:spacing w:val="-2"/>
        </w:rPr>
        <w:t> </w:t>
      </w:r>
      <w:r>
        <w:rPr/>
        <w:t>assuming</w:t>
      </w:r>
      <w:r>
        <w:rPr>
          <w:spacing w:val="-2"/>
        </w:rPr>
        <w:t> </w:t>
      </w:r>
      <w:r>
        <w:rPr/>
        <w:t>responsibility</w:t>
      </w:r>
      <w:r>
        <w:rPr>
          <w:spacing w:val="-2"/>
        </w:rPr>
        <w:t> </w:t>
      </w:r>
      <w:r>
        <w:rPr/>
        <w:t>for</w:t>
      </w:r>
      <w:r>
        <w:rPr>
          <w:spacing w:val="-2"/>
        </w:rPr>
        <w:t> </w:t>
      </w:r>
      <w:r>
        <w:rPr/>
        <w:t>the</w:t>
      </w:r>
      <w:r>
        <w:rPr>
          <w:spacing w:val="-2"/>
        </w:rPr>
        <w:t> </w:t>
      </w:r>
      <w:r>
        <w:rPr/>
        <w:t>risk</w:t>
      </w:r>
      <w:r>
        <w:rPr>
          <w:spacing w:val="-2"/>
        </w:rPr>
        <w:t> </w:t>
      </w:r>
      <w:r>
        <w:rPr/>
        <w:t>of</w:t>
      </w:r>
      <w:r>
        <w:rPr>
          <w:spacing w:val="-2"/>
        </w:rPr>
        <w:t> </w:t>
      </w:r>
      <w:r>
        <w:rPr/>
        <w:t>the</w:t>
      </w:r>
      <w:r>
        <w:rPr>
          <w:spacing w:val="-2"/>
        </w:rPr>
        <w:t> </w:t>
      </w:r>
      <w:r>
        <w:rPr/>
        <w:t>type</w:t>
      </w:r>
      <w:r>
        <w:rPr>
          <w:spacing w:val="-2"/>
        </w:rPr>
        <w:t> </w:t>
      </w:r>
      <w:r>
        <w:rPr/>
        <w:t>of</w:t>
      </w:r>
      <w:r>
        <w:rPr>
          <w:spacing w:val="-2"/>
        </w:rPr>
        <w:t> </w:t>
      </w:r>
      <w:r>
        <w:rPr/>
        <w:t>loss</w:t>
      </w:r>
      <w:r>
        <w:rPr>
          <w:spacing w:val="-2"/>
        </w:rPr>
        <w:t> </w:t>
      </w:r>
      <w:r>
        <w:rPr/>
        <w:t>in</w:t>
      </w:r>
      <w:r>
        <w:rPr>
          <w:spacing w:val="-2"/>
        </w:rPr>
        <w:t> </w:t>
      </w:r>
      <w:r>
        <w:rPr/>
        <w:t>question.</w:t>
      </w:r>
      <w:r>
        <w:rPr>
          <w:spacing w:val="-3"/>
        </w:rPr>
        <w:t> </w:t>
      </w:r>
      <w:r>
        <w:rPr>
          <w:color w:val="005DA1"/>
          <w:u w:val="single" w:color="005DA1"/>
          <w:vertAlign w:val="superscript"/>
        </w:rPr>
        <w:t>719</w:t>
      </w:r>
      <w:r>
        <w:rPr>
          <w:color w:val="005DA1"/>
          <w:spacing w:val="-2"/>
          <w:vertAlign w:val="baseline"/>
        </w:rPr>
        <w:t> </w:t>
      </w:r>
      <w:r>
        <w:rPr>
          <w:vertAlign w:val="baseline"/>
        </w:rPr>
        <w:t>But in</w:t>
      </w:r>
      <w:r>
        <w:rPr>
          <w:spacing w:val="-2"/>
          <w:vertAlign w:val="baseline"/>
        </w:rPr>
        <w:t> </w:t>
      </w:r>
      <w:r>
        <w:rPr>
          <w:vertAlign w:val="baseline"/>
        </w:rPr>
        <w:t>previous</w:t>
      </w:r>
      <w:r>
        <w:rPr>
          <w:spacing w:val="-2"/>
          <w:vertAlign w:val="baseline"/>
        </w:rPr>
        <w:t> </w:t>
      </w:r>
      <w:r>
        <w:rPr>
          <w:vertAlign w:val="baseline"/>
        </w:rPr>
        <w:t>editions</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work,</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suggested</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liability</w:t>
      </w:r>
      <w:r>
        <w:rPr>
          <w:spacing w:val="-2"/>
          <w:vertAlign w:val="baseline"/>
        </w:rPr>
        <w:t> </w:t>
      </w:r>
      <w:r>
        <w:rPr>
          <w:vertAlign w:val="baseline"/>
        </w:rPr>
        <w:t>for</w:t>
      </w:r>
      <w:r>
        <w:rPr>
          <w:spacing w:val="-2"/>
          <w:vertAlign w:val="baseline"/>
        </w:rPr>
        <w:t> </w:t>
      </w:r>
      <w:r>
        <w:rPr>
          <w:vertAlign w:val="baseline"/>
        </w:rPr>
        <w:t>unusual</w:t>
      </w:r>
      <w:r>
        <w:rPr>
          <w:spacing w:val="-2"/>
          <w:vertAlign w:val="baseline"/>
        </w:rPr>
        <w:t> </w:t>
      </w:r>
      <w:r>
        <w:rPr>
          <w:vertAlign w:val="baseline"/>
        </w:rPr>
        <w:t>circumstances, mere</w:t>
      </w:r>
      <w:r>
        <w:rPr>
          <w:spacing w:val="-2"/>
          <w:vertAlign w:val="baseline"/>
        </w:rPr>
        <w:t> </w:t>
      </w:r>
      <w:r>
        <w:rPr>
          <w:vertAlign w:val="baseline"/>
        </w:rPr>
        <w:t>knowledge</w:t>
      </w:r>
      <w:r>
        <w:rPr>
          <w:spacing w:val="-2"/>
          <w:vertAlign w:val="baseline"/>
        </w:rPr>
        <w:t> </w:t>
      </w:r>
      <w:r>
        <w:rPr>
          <w:vertAlign w:val="baseline"/>
        </w:rPr>
        <w:t>that</w:t>
      </w:r>
      <w:r>
        <w:rPr>
          <w:spacing w:val="-2"/>
          <w:vertAlign w:val="baseline"/>
        </w:rPr>
        <w:t> </w:t>
      </w:r>
      <w:r>
        <w:rPr>
          <w:vertAlign w:val="baseline"/>
        </w:rPr>
        <w:t>an</w:t>
      </w:r>
      <w:r>
        <w:rPr>
          <w:spacing w:val="-2"/>
          <w:vertAlign w:val="baseline"/>
        </w:rPr>
        <w:t> </w:t>
      </w:r>
      <w:r>
        <w:rPr>
          <w:vertAlign w:val="baseline"/>
        </w:rPr>
        <w:t>unusual</w:t>
      </w:r>
      <w:r>
        <w:rPr>
          <w:spacing w:val="-2"/>
          <w:vertAlign w:val="baseline"/>
        </w:rPr>
        <w:t> </w:t>
      </w:r>
      <w:r>
        <w:rPr>
          <w:vertAlign w:val="baseline"/>
        </w:rPr>
        <w:t>loss</w:t>
      </w:r>
      <w:r>
        <w:rPr>
          <w:spacing w:val="-2"/>
          <w:vertAlign w:val="baseline"/>
        </w:rPr>
        <w:t> </w:t>
      </w:r>
      <w:r>
        <w:rPr>
          <w:vertAlign w:val="baseline"/>
        </w:rPr>
        <w:t>might</w:t>
      </w:r>
      <w:r>
        <w:rPr>
          <w:spacing w:val="-2"/>
          <w:vertAlign w:val="baseline"/>
        </w:rPr>
        <w:t> </w:t>
      </w:r>
      <w:r>
        <w:rPr>
          <w:vertAlign w:val="baseline"/>
        </w:rPr>
        <w:t>well</w:t>
      </w:r>
      <w:r>
        <w:rPr>
          <w:spacing w:val="-2"/>
          <w:vertAlign w:val="baseline"/>
        </w:rPr>
        <w:t> </w:t>
      </w:r>
      <w:r>
        <w:rPr>
          <w:vertAlign w:val="baseline"/>
        </w:rPr>
        <w:t>follow</w:t>
      </w:r>
      <w:r>
        <w:rPr>
          <w:spacing w:val="-2"/>
          <w:vertAlign w:val="baseline"/>
        </w:rPr>
        <w:t> </w:t>
      </w:r>
      <w:r>
        <w:rPr>
          <w:vertAlign w:val="baseline"/>
        </w:rPr>
        <w:t>a</w:t>
      </w:r>
      <w:r>
        <w:rPr>
          <w:spacing w:val="-2"/>
          <w:vertAlign w:val="baseline"/>
        </w:rPr>
        <w:t> </w:t>
      </w:r>
      <w:r>
        <w:rPr>
          <w:vertAlign w:val="baseline"/>
        </w:rPr>
        <w:t>breach</w:t>
      </w:r>
      <w:r>
        <w:rPr>
          <w:spacing w:val="-2"/>
          <w:vertAlign w:val="baseline"/>
        </w:rPr>
        <w:t> </w:t>
      </w:r>
      <w:r>
        <w:rPr>
          <w:vertAlign w:val="baseline"/>
        </w:rPr>
        <w:t>might</w:t>
      </w:r>
      <w:r>
        <w:rPr>
          <w:spacing w:val="-2"/>
          <w:vertAlign w:val="baseline"/>
        </w:rPr>
        <w:t> </w:t>
      </w:r>
      <w:r>
        <w:rPr>
          <w:vertAlign w:val="baseline"/>
        </w:rPr>
        <w:t>not</w:t>
      </w:r>
      <w:r>
        <w:rPr>
          <w:spacing w:val="-2"/>
          <w:vertAlign w:val="baseline"/>
        </w:rPr>
        <w:t> </w:t>
      </w:r>
      <w:r>
        <w:rPr>
          <w:vertAlign w:val="baseline"/>
        </w:rPr>
        <w:t>always</w:t>
      </w:r>
      <w:r>
        <w:rPr>
          <w:spacing w:val="-2"/>
          <w:vertAlign w:val="baseline"/>
        </w:rPr>
        <w:t> </w:t>
      </w:r>
      <w:r>
        <w:rPr>
          <w:vertAlign w:val="baseline"/>
        </w:rPr>
        <w:t>suffice.</w:t>
      </w:r>
      <w:r>
        <w:rPr>
          <w:spacing w:val="-2"/>
          <w:vertAlign w:val="baseline"/>
        </w:rPr>
        <w:t> </w:t>
      </w:r>
      <w:r>
        <w:rPr>
          <w:vertAlign w:val="baseline"/>
        </w:rPr>
        <w:t>There</w:t>
      </w:r>
      <w:r>
        <w:rPr>
          <w:spacing w:val="-2"/>
          <w:vertAlign w:val="baseline"/>
        </w:rPr>
        <w:t> </w:t>
      </w:r>
      <w:r>
        <w:rPr>
          <w:vertAlign w:val="baseline"/>
        </w:rPr>
        <w:t>might not be liability if either it was clear from all the circumstances either that the defendant—to the knowledge of the plaintiff—did not wish to accept the risk of the unusual loss, or that a reasonable </w:t>
      </w:r>
      <w:bookmarkStart w:name="_bookmark1354" w:id="1356"/>
      <w:bookmarkEnd w:id="1356"/>
      <w:r>
        <w:rPr>
          <w:vertAlign w:val="baseline"/>
        </w:rPr>
        <w:t>man</w:t>
      </w:r>
      <w:r>
        <w:rPr>
          <w:vertAlign w:val="baseline"/>
        </w:rPr>
        <w:t> in the place of the defendant would not, despite his knowledge of the special circumstances, </w:t>
      </w:r>
      <w:bookmarkStart w:name="_bookmark1355" w:id="1357"/>
      <w:bookmarkEnd w:id="1357"/>
      <w:r>
        <w:rPr>
          <w:vertAlign w:val="baseline"/>
        </w:rPr>
        <w:t>have</w:t>
      </w:r>
      <w:r>
        <w:rPr>
          <w:vertAlign w:val="baseline"/>
        </w:rPr>
        <w:t> accepted the risk of the unusual loss. </w:t>
      </w:r>
      <w:r>
        <w:rPr>
          <w:color w:val="005DA1"/>
          <w:u w:val="single" w:color="005DA1"/>
          <w:vertAlign w:val="superscript"/>
        </w:rPr>
        <w:t>720</w:t>
      </w:r>
      <w:r>
        <w:rPr>
          <w:color w:val="005DA1"/>
          <w:vertAlign w:val="baseline"/>
        </w:rPr>
        <w:t> </w:t>
      </w:r>
      <w:r>
        <w:rPr>
          <w:vertAlign w:val="baseline"/>
        </w:rPr>
        <w:t>The courts, however, had seemed to have applied a </w:t>
      </w:r>
      <w:bookmarkStart w:name="_bookmark1356" w:id="1358"/>
      <w:bookmarkEnd w:id="1358"/>
      <w:r>
        <w:rPr>
          <w:vertAlign w:val="baseline"/>
        </w:rPr>
        <w:t>test</w:t>
      </w:r>
      <w:r>
        <w:rPr>
          <w:vertAlign w:val="baseline"/>
        </w:rPr>
        <w:t> based on the defendant’s knowledge. </w:t>
      </w:r>
      <w:r>
        <w:rPr>
          <w:color w:val="005DA1"/>
          <w:u w:val="single" w:color="005DA1"/>
          <w:vertAlign w:val="superscript"/>
        </w:rPr>
        <w:t>721</w:t>
      </w:r>
      <w:r>
        <w:rPr>
          <w:color w:val="005DA1"/>
          <w:vertAlign w:val="baseline"/>
        </w:rPr>
        <w:t> </w:t>
      </w:r>
      <w:r>
        <w:rPr>
          <w:vertAlign w:val="baseline"/>
        </w:rPr>
        <w:t>As a matter of general law, </w:t>
      </w:r>
      <w:r>
        <w:rPr>
          <w:color w:val="005DA1"/>
          <w:u w:val="single" w:color="005DA1"/>
          <w:vertAlign w:val="superscript"/>
        </w:rPr>
        <w:t>722</w:t>
      </w:r>
      <w:r>
        <w:rPr>
          <w:color w:val="005DA1"/>
          <w:vertAlign w:val="baseline"/>
        </w:rPr>
        <w:t> </w:t>
      </w:r>
      <w:r>
        <w:rPr>
          <w:vertAlign w:val="baseline"/>
        </w:rPr>
        <w:t>the only departure from this seems to have been an unreported case in the Court of Appeal, </w:t>
      </w:r>
      <w:r>
        <w:rPr>
          <w:color w:val="005DA1"/>
          <w:u w:val="single" w:color="005DA1"/>
          <w:vertAlign w:val="superscript"/>
        </w:rPr>
        <w:t>723</w:t>
      </w:r>
      <w:r>
        <w:rPr>
          <w:color w:val="005DA1"/>
          <w:vertAlign w:val="baseline"/>
        </w:rPr>
        <w:t> </w:t>
      </w:r>
      <w:r>
        <w:rPr>
          <w:vertAlign w:val="baseline"/>
        </w:rPr>
        <w:t>which had held that mere knowledge that an unusual kind of loss might result from a breach is not enough if it would be unreasonable to impose liability for the loss or when the duty is limited. Waller L.J. held that to</w:t>
      </w:r>
      <w:r>
        <w:rPr>
          <w:spacing w:val="80"/>
          <w:vertAlign w:val="baseline"/>
        </w:rPr>
        <w:t> </w:t>
      </w:r>
      <w:r>
        <w:rPr>
          <w:vertAlign w:val="baseline"/>
        </w:rPr>
        <w:t>recover the unusual losses in issue in that case, the claimant would have to show not only that the </w:t>
      </w:r>
      <w:bookmarkStart w:name="_bookmark1357" w:id="1359"/>
      <w:bookmarkEnd w:id="1359"/>
      <w:r>
        <w:rPr>
          <w:vertAlign w:val="baseline"/>
        </w:rPr>
        <w:t>special</w:t>
      </w:r>
      <w:r>
        <w:rPr>
          <w:vertAlign w:val="baseline"/>
        </w:rPr>
        <w:t> circumstances had been drawn to the defendant’s attention but that the defendant accepted the risk. </w:t>
      </w:r>
      <w:r>
        <w:rPr>
          <w:color w:val="005DA1"/>
          <w:u w:val="single" w:color="005DA1"/>
          <w:vertAlign w:val="superscript"/>
        </w:rPr>
        <w:t>724</w:t>
      </w:r>
      <w:r>
        <w:rPr>
          <w:color w:val="005DA1"/>
          <w:vertAlign w:val="baseline"/>
        </w:rPr>
        <w:t> </w:t>
      </w:r>
      <w:r>
        <w:rPr>
          <w:vertAlign w:val="baseline"/>
        </w:rPr>
        <w:t>Sir Anthony Evans agreed, saying </w:t>
      </w:r>
      <w:r>
        <w:rPr>
          <w:color w:val="005DA1"/>
          <w:u w:val="single" w:color="005DA1"/>
          <w:vertAlign w:val="superscript"/>
        </w:rPr>
        <w:t>725</w:t>
      </w:r>
      <w:r>
        <w:rPr>
          <w:vertAlign w:val="baseline"/>
        </w:rPr>
        <w:t>:</w:t>
      </w:r>
    </w:p>
    <w:p>
      <w:pPr>
        <w:pStyle w:val="BodyText"/>
      </w:pPr>
    </w:p>
    <w:p>
      <w:pPr>
        <w:pStyle w:val="BodyText"/>
        <w:spacing w:before="121"/>
      </w:pPr>
    </w:p>
    <w:p>
      <w:pPr>
        <w:pStyle w:val="BodyText"/>
        <w:spacing w:line="235" w:lineRule="auto"/>
        <w:ind w:left="1244" w:right="167"/>
        <w:jc w:val="both"/>
      </w:pPr>
      <w:r>
        <w:rPr/>
        <w:t>“Even if the loss was reasonably foreseeable as a consequence of the breach of duty </w:t>
      </w:r>
      <w:r>
        <w:rPr/>
        <w:t>in question (or of contract, for the same principles apply), it may nevertheless be regarded as ‘too remote a consequence’ or as not a consequence at all, and the damages claim is disallowed. In effect, the chain of consequences is cut off as a matter of law, either </w:t>
      </w:r>
      <w:bookmarkStart w:name="_bookmark1358" w:id="1360"/>
      <w:bookmarkEnd w:id="1360"/>
      <w:r>
        <w:rPr/>
        <w:t>because</w:t>
      </w:r>
      <w:r>
        <w:rPr/>
        <w:t> it is regarded as unreasonable to impose liability for that consequence of the breach, </w:t>
      </w:r>
      <w:r>
        <w:rPr>
          <w:color w:val="005DA1"/>
          <w:u w:val="single" w:color="005DA1"/>
          <w:vertAlign w:val="superscript"/>
        </w:rPr>
        <w:t>726</w:t>
      </w:r>
      <w:r>
        <w:rPr>
          <w:color w:val="005DA1"/>
          <w:vertAlign w:val="baseline"/>
        </w:rPr>
        <w:t> </w:t>
      </w:r>
      <w:r>
        <w:rPr>
          <w:vertAlign w:val="baseline"/>
        </w:rPr>
        <w:t>or because the scope of the duty is limited so as to exclude it, </w:t>
      </w:r>
      <w:r>
        <w:rPr>
          <w:color w:val="005DA1"/>
          <w:u w:val="single" w:color="005DA1"/>
          <w:vertAlign w:val="superscript"/>
        </w:rPr>
        <w:t>727</w:t>
      </w:r>
      <w:r>
        <w:rPr>
          <w:color w:val="005DA1"/>
          <w:vertAlign w:val="baseline"/>
        </w:rPr>
        <w:t> </w:t>
      </w:r>
      <w:r>
        <w:rPr>
          <w:vertAlign w:val="baseline"/>
        </w:rPr>
        <w:t>or because </w:t>
      </w:r>
      <w:bookmarkStart w:name="_bookmark1359" w:id="1361"/>
      <w:bookmarkEnd w:id="1361"/>
      <w:r>
        <w:rPr>
          <w:vertAlign w:val="baseline"/>
        </w:rPr>
        <w:t>as</w:t>
      </w:r>
      <w:r>
        <w:rPr>
          <w:vertAlign w:val="baseline"/>
        </w:rPr>
        <w:t> a matter of commonsense the breach cannot be said to have caused the loss,</w:t>
      </w:r>
      <w:r>
        <w:rPr>
          <w:spacing w:val="40"/>
          <w:vertAlign w:val="baseline"/>
        </w:rPr>
        <w:t> </w:t>
      </w:r>
      <w:r>
        <w:rPr>
          <w:vertAlign w:val="baseline"/>
        </w:rPr>
        <w:t>although it may have provided the opportunity for it to occur.” </w:t>
      </w:r>
      <w:r>
        <w:rPr>
          <w:color w:val="005DA1"/>
          <w:u w:val="single" w:color="005DA1"/>
          <w:vertAlign w:val="superscript"/>
        </w:rPr>
        <w:t>728</w:t>
      </w:r>
    </w:p>
    <w:p>
      <w:pPr>
        <w:pStyle w:val="BodyText"/>
        <w:spacing w:before="114"/>
      </w:pPr>
    </w:p>
    <w:p>
      <w:pPr>
        <w:pStyle w:val="BodyText"/>
        <w:spacing w:line="235" w:lineRule="auto"/>
        <w:ind w:left="164" w:right="167"/>
        <w:jc w:val="both"/>
      </w:pPr>
      <w:bookmarkStart w:name="_bookmark1360" w:id="1362"/>
      <w:bookmarkEnd w:id="1362"/>
      <w:r>
        <w:rPr/>
      </w:r>
      <w:r>
        <w:rPr/>
        <w:t>There do not appear to have been other English cases applying a general rule limiting liability to what is reasonable, even for unusual losses provided that they were contemplated by the parties. </w:t>
      </w:r>
      <w:r>
        <w:rPr>
          <w:color w:val="005DA1"/>
          <w:u w:val="single" w:color="005DA1"/>
          <w:vertAlign w:val="superscript"/>
        </w:rPr>
        <w:t>729</w:t>
      </w:r>
      <w:r>
        <w:rPr>
          <w:color w:val="005DA1"/>
          <w:vertAlign w:val="baseline"/>
        </w:rPr>
        <w:t> </w:t>
      </w:r>
      <w:r>
        <w:rPr>
          <w:vertAlign w:val="baseline"/>
        </w:rPr>
        <w:t>In relation to losses that might occur “in the usual course of things”, in only two types of cases did there appear to be an additional limitation that the defendant must, as a matter of interpretation, be </w:t>
      </w:r>
      <w:bookmarkStart w:name="_bookmark1361" w:id="1363"/>
      <w:bookmarkEnd w:id="1363"/>
      <w:r>
        <w:rPr>
          <w:vertAlign w:val="baseline"/>
        </w:rPr>
        <w:t>accepting</w:t>
      </w:r>
      <w:r>
        <w:rPr>
          <w:vertAlign w:val="baseline"/>
        </w:rPr>
        <w:t> responsibility for the loss. The first type of case is that of valuations provided to lenders, where in </w:t>
      </w:r>
      <w:r>
        <w:rPr>
          <w:rFonts w:ascii="Arial" w:hAnsi="Arial"/>
          <w:i/>
          <w:vertAlign w:val="baseline"/>
        </w:rPr>
        <w:t>South Australia Asset Management Corp v York Montague Ltd </w:t>
      </w:r>
      <w:r>
        <w:rPr>
          <w:color w:val="005DA1"/>
          <w:u w:val="single" w:color="005DA1"/>
          <w:vertAlign w:val="superscript"/>
        </w:rPr>
        <w:t>730</w:t>
      </w:r>
      <w:r>
        <w:rPr>
          <w:color w:val="005DA1"/>
          <w:vertAlign w:val="baseline"/>
        </w:rPr>
        <w:t> </w:t>
      </w:r>
      <w:r>
        <w:rPr>
          <w:vertAlign w:val="baseline"/>
        </w:rPr>
        <w:t>it was held that a valuer who negligently undervalues the property is not liable for the full amount of the lender’s loss if there is a subsequent general fall in property prices. The second type of case is of damages for </w:t>
      </w:r>
      <w:bookmarkStart w:name="_bookmark1362" w:id="1364"/>
      <w:bookmarkEnd w:id="1364"/>
      <w:r>
        <w:rPr>
          <w:vertAlign w:val="baseline"/>
        </w:rPr>
        <w:t>disappointment</w:t>
      </w:r>
      <w:r>
        <w:rPr>
          <w:vertAlign w:val="baseline"/>
        </w:rPr>
        <w:t> and the like, when the defendant is liable only if an important purpose of the contract was to provide enjoyment or to guard against the type of loss. </w:t>
      </w:r>
      <w:r>
        <w:rPr>
          <w:color w:val="005DA1"/>
          <w:u w:val="single" w:color="005DA1"/>
          <w:vertAlign w:val="superscript"/>
        </w:rPr>
        <w:t>731</w:t>
      </w:r>
    </w:p>
    <w:p>
      <w:pPr>
        <w:pStyle w:val="BodyText"/>
      </w:pPr>
    </w:p>
    <w:p>
      <w:pPr>
        <w:pStyle w:val="BodyText"/>
        <w:spacing w:before="35"/>
      </w:pPr>
    </w:p>
    <w:p>
      <w:pPr>
        <w:spacing w:before="0"/>
        <w:ind w:left="165" w:right="0" w:firstLine="0"/>
        <w:jc w:val="both"/>
        <w:rPr>
          <w:rFonts w:ascii="Arial"/>
          <w:b/>
          <w:sz w:val="18"/>
        </w:rPr>
      </w:pPr>
      <w:r>
        <w:rPr>
          <w:rFonts w:ascii="Arial"/>
          <w:b/>
          <w:sz w:val="18"/>
        </w:rPr>
        <w:t>The </w:t>
      </w:r>
      <w:r>
        <w:rPr>
          <w:rFonts w:ascii="Arial"/>
          <w:b/>
          <w:spacing w:val="-2"/>
          <w:sz w:val="18"/>
        </w:rPr>
        <w:t>Achilleas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363" w:id="1365"/>
      <w:bookmarkEnd w:id="1365"/>
      <w:r>
        <w:rPr>
          <w:rFonts w:ascii="Times New Roman" w:hAnsi="Times New Roman"/>
          <w:spacing w:val="13"/>
        </w:rPr>
      </w:r>
      <w:r>
        <w:rPr/>
        <w:t>In </w:t>
      </w:r>
      <w:r>
        <w:rPr>
          <w:rFonts w:ascii="Arial" w:hAnsi="Arial"/>
          <w:i/>
        </w:rPr>
        <w:t>Transfield Shipping Inc v Mercator Shipping Inc (The Achilleas) </w:t>
      </w:r>
      <w:r>
        <w:rPr>
          <w:color w:val="005DA1"/>
          <w:u w:val="single" w:color="005DA1"/>
          <w:vertAlign w:val="superscript"/>
        </w:rPr>
        <w:t>732</w:t>
      </w:r>
      <w:r>
        <w:rPr>
          <w:color w:val="005DA1"/>
          <w:vertAlign w:val="baseline"/>
        </w:rPr>
        <w:t> </w:t>
      </w:r>
      <w:r>
        <w:rPr>
          <w:vertAlign w:val="baseline"/>
        </w:rPr>
        <w:t>the time-charterer of the ship was due to redeliver her by May 2, 2004 and had given notice that they would redeliver by then. The owners had then fixed the vessel for a new four to six-month hire to another charterer, under which the latest date for delivery to the new charterers was May 8. The first charterers sent the vessel on </w:t>
      </w:r>
      <w:r>
        <w:rPr>
          <w:vertAlign w:val="baseline"/>
        </w:rPr>
        <w:t>a last voyage which was expected to be completed in time but the vessel was delayed and was not redelivered until May 11. The new charterers agreed to accept her but, because freight rates had fallen, only at a reduced rate of hire. The owners claimed damages for the difference between the original rate and the reduced rate for the period of the new charter. The charterers argued that they were liable only for the difference between the market rate and the rate under the first charter for the nine days during which the owners were deprived of the use of their ship. Before the arbitrators it was conceded that it was not unlikely that late delivery would result in the loss of a following fixture. The arbitrators all accepted that the general understanding in the industry was that the charterer would be liable only for the lower amount, the difference between the original charter rate and the market rate </w:t>
      </w:r>
      <w:bookmarkStart w:name="_bookmark1364" w:id="1366"/>
      <w:bookmarkEnd w:id="1366"/>
      <w:r>
        <w:rPr>
          <w:vertAlign w:val="baseline"/>
        </w:rPr>
        <w:t>for</w:t>
      </w:r>
      <w:r>
        <w:rPr>
          <w:spacing w:val="-1"/>
          <w:vertAlign w:val="baseline"/>
        </w:rPr>
        <w:t> </w:t>
      </w:r>
      <w:r>
        <w:rPr>
          <w:vertAlign w:val="baseline"/>
        </w:rPr>
        <w:t>the</w:t>
      </w:r>
      <w:r>
        <w:rPr>
          <w:spacing w:val="-1"/>
          <w:vertAlign w:val="baseline"/>
        </w:rPr>
        <w:t> </w:t>
      </w:r>
      <w:r>
        <w:rPr>
          <w:vertAlign w:val="baseline"/>
        </w:rPr>
        <w:t>period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delay.</w:t>
      </w:r>
      <w:r>
        <w:rPr>
          <w:spacing w:val="-1"/>
          <w:vertAlign w:val="baseline"/>
        </w:rPr>
        <w:t> </w:t>
      </w:r>
      <w:r>
        <w:rPr>
          <w:vertAlign w:val="baseline"/>
        </w:rPr>
        <w:t>There</w:t>
      </w:r>
      <w:r>
        <w:rPr>
          <w:spacing w:val="-1"/>
          <w:vertAlign w:val="baseline"/>
        </w:rPr>
        <w:t> </w:t>
      </w:r>
      <w:r>
        <w:rPr>
          <w:vertAlign w:val="baseline"/>
        </w:rPr>
        <w:t>were</w:t>
      </w:r>
      <w:r>
        <w:rPr>
          <w:spacing w:val="-1"/>
          <w:vertAlign w:val="baseline"/>
        </w:rPr>
        <w:t> </w:t>
      </w:r>
      <w:r>
        <w:rPr>
          <w:vertAlign w:val="baseline"/>
        </w:rPr>
        <w:t>a</w:t>
      </w:r>
      <w:r>
        <w:rPr>
          <w:spacing w:val="-1"/>
          <w:vertAlign w:val="baseline"/>
        </w:rPr>
        <w:t> </w:t>
      </w:r>
      <w:r>
        <w:rPr>
          <w:vertAlign w:val="baseline"/>
        </w:rPr>
        <w:t>number</w:t>
      </w:r>
      <w:r>
        <w:rPr>
          <w:spacing w:val="-1"/>
          <w:vertAlign w:val="baseline"/>
        </w:rPr>
        <w:t> </w:t>
      </w:r>
      <w:r>
        <w:rPr>
          <w:vertAlign w:val="baseline"/>
        </w:rPr>
        <w:t>of</w:t>
      </w:r>
      <w:r>
        <w:rPr>
          <w:spacing w:val="-1"/>
          <w:vertAlign w:val="baseline"/>
        </w:rPr>
        <w:t> </w:t>
      </w:r>
      <w:r>
        <w:rPr>
          <w:vertAlign w:val="baseline"/>
        </w:rPr>
        <w:t>dicta</w:t>
      </w:r>
      <w:r>
        <w:rPr>
          <w:spacing w:val="-1"/>
          <w:vertAlign w:val="baseline"/>
        </w:rPr>
        <w:t> </w:t>
      </w:r>
      <w:r>
        <w:rPr>
          <w:vertAlign w:val="baseline"/>
        </w:rPr>
        <w:t>which</w:t>
      </w:r>
      <w:r>
        <w:rPr>
          <w:spacing w:val="-1"/>
          <w:vertAlign w:val="baseline"/>
        </w:rPr>
        <w:t> </w:t>
      </w:r>
      <w:r>
        <w:rPr>
          <w:vertAlign w:val="baseline"/>
        </w:rPr>
        <w:t>indicated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limit</w:t>
      </w:r>
      <w:r>
        <w:rPr>
          <w:spacing w:val="-1"/>
          <w:vertAlign w:val="baseline"/>
        </w:rPr>
        <w:t> </w:t>
      </w:r>
      <w:r>
        <w:rPr>
          <w:vertAlign w:val="baseline"/>
        </w:rPr>
        <w:t>of liability, and the same thing was stated in various textbooks. </w:t>
      </w:r>
      <w:r>
        <w:rPr>
          <w:color w:val="005DA1"/>
          <w:u w:val="single" w:color="005DA1"/>
          <w:vertAlign w:val="superscript"/>
        </w:rPr>
        <w:t>733</w:t>
      </w:r>
      <w:r>
        <w:rPr>
          <w:color w:val="005DA1"/>
          <w:vertAlign w:val="baseline"/>
        </w:rPr>
        <w:t> </w:t>
      </w:r>
      <w:r>
        <w:rPr>
          <w:vertAlign w:val="baseline"/>
        </w:rPr>
        <w:t>One arbitrator concluded that therefore a reasonable person in the charterer’s position would not understand that he was accepting liability</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loss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following</w:t>
      </w:r>
      <w:r>
        <w:rPr>
          <w:spacing w:val="12"/>
          <w:vertAlign w:val="baseline"/>
        </w:rPr>
        <w:t> </w:t>
      </w:r>
      <w:r>
        <w:rPr>
          <w:vertAlign w:val="baseline"/>
        </w:rPr>
        <w:t>fixture,</w:t>
      </w:r>
      <w:r>
        <w:rPr>
          <w:spacing w:val="12"/>
          <w:vertAlign w:val="baseline"/>
        </w:rPr>
        <w:t> </w:t>
      </w:r>
      <w:r>
        <w:rPr>
          <w:vertAlign w:val="baseline"/>
        </w:rPr>
        <w:t>and</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charterers</w:t>
      </w:r>
      <w:r>
        <w:rPr>
          <w:spacing w:val="12"/>
          <w:vertAlign w:val="baseline"/>
        </w:rPr>
        <w:t> </w:t>
      </w:r>
      <w:r>
        <w:rPr>
          <w:vertAlign w:val="baseline"/>
        </w:rPr>
        <w:t>were</w:t>
      </w:r>
      <w:r>
        <w:rPr>
          <w:spacing w:val="12"/>
          <w:vertAlign w:val="baseline"/>
        </w:rPr>
        <w:t> </w:t>
      </w:r>
      <w:r>
        <w:rPr>
          <w:vertAlign w:val="baseline"/>
        </w:rPr>
        <w:t>therefore</w:t>
      </w:r>
      <w:r>
        <w:rPr>
          <w:spacing w:val="12"/>
          <w:vertAlign w:val="baseline"/>
        </w:rPr>
        <w:t> </w:t>
      </w:r>
      <w:r>
        <w:rPr>
          <w:vertAlign w:val="baseline"/>
        </w:rPr>
        <w:t>not</w:t>
      </w:r>
      <w:r>
        <w:rPr>
          <w:spacing w:val="12"/>
          <w:vertAlign w:val="baseline"/>
        </w:rPr>
        <w:t> </w:t>
      </w:r>
      <w:r>
        <w:rPr>
          <w:vertAlign w:val="baseline"/>
        </w:rPr>
        <w:t>liable</w:t>
      </w:r>
      <w:r>
        <w:rPr>
          <w:spacing w:val="12"/>
          <w:vertAlign w:val="baseline"/>
        </w:rPr>
        <w:t> </w:t>
      </w:r>
      <w:r>
        <w:rPr>
          <w:vertAlign w:val="baseline"/>
        </w:rPr>
        <w:t>for</w:t>
      </w:r>
      <w:r>
        <w:rPr>
          <w:spacing w:val="12"/>
          <w:vertAlign w:val="baseline"/>
        </w:rPr>
        <w:t> </w:t>
      </w:r>
      <w:r>
        <w:rPr>
          <w:vertAlign w:val="baseline"/>
        </w:rPr>
        <w:t>it;</w:t>
      </w:r>
      <w:r>
        <w:rPr>
          <w:spacing w:val="12"/>
          <w:vertAlign w:val="baseline"/>
        </w:rPr>
        <w:t> </w:t>
      </w:r>
      <w:r>
        <w:rPr>
          <w:spacing w:val="-5"/>
          <w:vertAlign w:val="baseline"/>
        </w:rPr>
        <w:t>but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365" w:id="1367"/>
      <w:bookmarkEnd w:id="1367"/>
      <w:r>
        <w:rPr/>
      </w:r>
      <w:r>
        <w:rPr/>
        <w:t>the majority held that as that loss was not unlikely, it was recoverable. On appeal, both </w:t>
      </w:r>
      <w:r>
        <w:rPr/>
        <w:t>Christopher Clarke</w:t>
      </w:r>
      <w:r>
        <w:rPr>
          <w:spacing w:val="-2"/>
        </w:rPr>
        <w:t> </w:t>
      </w:r>
      <w:r>
        <w:rPr/>
        <w:t>J.</w:t>
      </w:r>
      <w:r>
        <w:rPr>
          <w:spacing w:val="-2"/>
        </w:rPr>
        <w:t> </w:t>
      </w:r>
      <w:r>
        <w:rPr>
          <w:color w:val="005DA1"/>
          <w:u w:val="single" w:color="005DA1"/>
          <w:vertAlign w:val="superscript"/>
        </w:rPr>
        <w:t>734</w:t>
      </w:r>
      <w:r>
        <w:rPr>
          <w:color w:val="005DA1"/>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color w:val="005DA1"/>
          <w:u w:val="single" w:color="005DA1"/>
          <w:vertAlign w:val="superscript"/>
        </w:rPr>
        <w:t>735</w:t>
      </w:r>
      <w:r>
        <w:rPr>
          <w:color w:val="005DA1"/>
          <w:spacing w:val="-2"/>
          <w:vertAlign w:val="baseline"/>
        </w:rPr>
        <w:t> </w:t>
      </w:r>
      <w:r>
        <w:rPr>
          <w:vertAlign w:val="baseline"/>
        </w:rPr>
        <w:t>upheld</w:t>
      </w:r>
      <w:r>
        <w:rPr>
          <w:spacing w:val="-2"/>
          <w:vertAlign w:val="baseline"/>
        </w:rPr>
        <w:t> </w:t>
      </w:r>
      <w:r>
        <w:rPr>
          <w:vertAlign w:val="baseline"/>
        </w:rPr>
        <w:t>the</w:t>
      </w:r>
      <w:r>
        <w:rPr>
          <w:spacing w:val="-2"/>
          <w:vertAlign w:val="baseline"/>
        </w:rPr>
        <w:t> </w:t>
      </w:r>
      <w:r>
        <w:rPr>
          <w:vertAlign w:val="baseline"/>
        </w:rPr>
        <w:t>majority</w:t>
      </w:r>
      <w:r>
        <w:rPr>
          <w:spacing w:val="-2"/>
          <w:vertAlign w:val="baseline"/>
        </w:rPr>
        <w:t> </w:t>
      </w:r>
      <w:r>
        <w:rPr>
          <w:vertAlign w:val="baseline"/>
        </w:rPr>
        <w:t>decision;</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reversed the decision, though for differing reasons. Lord Rodger decided the case on the ground of remoteness: the loss in question was caused by a combination of the delay in redelivery and a</w:t>
      </w:r>
      <w:r>
        <w:rPr>
          <w:spacing w:val="40"/>
          <w:vertAlign w:val="baseline"/>
        </w:rPr>
        <w:t> </w:t>
      </w:r>
      <w:bookmarkStart w:name="_bookmark1366" w:id="1368"/>
      <w:bookmarkEnd w:id="1368"/>
      <w:r>
        <w:rPr>
          <w:vertAlign w:val="baseline"/>
        </w:rPr>
        <w:t>sudden</w:t>
      </w:r>
      <w:r>
        <w:rPr>
          <w:vertAlign w:val="baseline"/>
        </w:rPr>
        <w:t> fall in market rates between the time the following fixture was made, and this combination</w:t>
      </w:r>
      <w:r>
        <w:rPr>
          <w:spacing w:val="80"/>
          <w:vertAlign w:val="baseline"/>
        </w:rPr>
        <w:t> </w:t>
      </w:r>
      <w:r>
        <w:rPr>
          <w:vertAlign w:val="baseline"/>
        </w:rPr>
        <w:t>was not sufficiently likely to bring the loss within the rule in </w:t>
      </w:r>
      <w:r>
        <w:rPr>
          <w:rFonts w:ascii="Arial" w:hAnsi="Arial"/>
          <w:i/>
          <w:vertAlign w:val="baseline"/>
        </w:rPr>
        <w:t>Hadley v Baxendale</w:t>
      </w:r>
      <w:r>
        <w:rPr>
          <w:vertAlign w:val="baseline"/>
        </w:rPr>
        <w:t>. </w:t>
      </w:r>
      <w:r>
        <w:rPr>
          <w:color w:val="005DA1"/>
          <w:u w:val="single" w:color="005DA1"/>
          <w:vertAlign w:val="superscript"/>
        </w:rPr>
        <w:t>736</w:t>
      </w:r>
      <w:r>
        <w:rPr>
          <w:color w:val="005DA1"/>
          <w:vertAlign w:val="baseline"/>
        </w:rPr>
        <w:t> </w:t>
      </w:r>
      <w:r>
        <w:rPr>
          <w:vertAlign w:val="baseline"/>
        </w:rPr>
        <w:t>Baroness Hale </w:t>
      </w:r>
      <w:bookmarkStart w:name="_bookmark1367" w:id="1369"/>
      <w:bookmarkEnd w:id="1369"/>
      <w:r>
        <w:rPr>
          <w:vertAlign w:val="baseline"/>
        </w:rPr>
        <w:t>said</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correct</w:t>
      </w:r>
      <w:r>
        <w:rPr>
          <w:spacing w:val="-1"/>
          <w:vertAlign w:val="baseline"/>
        </w:rPr>
        <w:t> </w:t>
      </w:r>
      <w:r>
        <w:rPr>
          <w:vertAlign w:val="baseline"/>
        </w:rPr>
        <w:t>to</w:t>
      </w:r>
      <w:r>
        <w:rPr>
          <w:spacing w:val="-1"/>
          <w:vertAlign w:val="baseline"/>
        </w:rPr>
        <w:t> </w:t>
      </w:r>
      <w:r>
        <w:rPr>
          <w:vertAlign w:val="baseline"/>
        </w:rPr>
        <w:t>allow</w:t>
      </w:r>
      <w:r>
        <w:rPr>
          <w:spacing w:val="-1"/>
          <w:vertAlign w:val="baseline"/>
        </w:rPr>
        <w:t> </w:t>
      </w:r>
      <w:r>
        <w:rPr>
          <w:vertAlign w:val="baseline"/>
        </w:rPr>
        <w:t>the</w:t>
      </w:r>
      <w:r>
        <w:rPr>
          <w:spacing w:val="-1"/>
          <w:vertAlign w:val="baseline"/>
        </w:rPr>
        <w:t> </w:t>
      </w:r>
      <w:r>
        <w:rPr>
          <w:vertAlign w:val="baseline"/>
        </w:rPr>
        <w:t>appeal</w:t>
      </w:r>
      <w:r>
        <w:rPr>
          <w:spacing w:val="-1"/>
          <w:vertAlign w:val="baseline"/>
        </w:rPr>
        <w:t> </w:t>
      </w:r>
      <w:r>
        <w:rPr>
          <w:vertAlign w:val="baseline"/>
        </w:rPr>
        <w:t>at</w:t>
      </w:r>
      <w:r>
        <w:rPr>
          <w:spacing w:val="-1"/>
          <w:vertAlign w:val="baseline"/>
        </w:rPr>
        <w:t> </w:t>
      </w:r>
      <w:r>
        <w:rPr>
          <w:vertAlign w:val="baseline"/>
        </w:rPr>
        <w:t>all,</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she</w:t>
      </w:r>
      <w:r>
        <w:rPr>
          <w:spacing w:val="-1"/>
          <w:vertAlign w:val="baseline"/>
        </w:rPr>
        <w:t> </w:t>
      </w:r>
      <w:r>
        <w:rPr>
          <w:vertAlign w:val="baseline"/>
        </w:rPr>
        <w:t>continued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doubts,</w:t>
      </w:r>
      <w:r>
        <w:rPr>
          <w:spacing w:val="-1"/>
          <w:vertAlign w:val="baseline"/>
        </w:rPr>
        <w:t> </w:t>
      </w:r>
      <w:r>
        <w:rPr>
          <w:vertAlign w:val="baseline"/>
        </w:rPr>
        <w:t>it</w:t>
      </w:r>
      <w:r>
        <w:rPr>
          <w:spacing w:val="-1"/>
          <w:vertAlign w:val="baseline"/>
        </w:rPr>
        <w:t> </w:t>
      </w:r>
      <w:r>
        <w:rPr>
          <w:vertAlign w:val="baseline"/>
        </w:rPr>
        <w:t>should be on this ground. </w:t>
      </w:r>
      <w:r>
        <w:rPr>
          <w:color w:val="005DA1"/>
          <w:u w:val="single" w:color="005DA1"/>
          <w:vertAlign w:val="superscript"/>
        </w:rPr>
        <w:t>737</w:t>
      </w:r>
      <w:r>
        <w:rPr>
          <w:color w:val="005DA1"/>
          <w:vertAlign w:val="baseline"/>
        </w:rPr>
        <w:t> </w:t>
      </w:r>
      <w:r>
        <w:rPr>
          <w:vertAlign w:val="baseline"/>
        </w:rPr>
        <w:t>Lord Walker seems to have allowed the appeal on similar grounds, </w:t>
      </w:r>
      <w:r>
        <w:rPr>
          <w:color w:val="005DA1"/>
          <w:u w:val="single" w:color="005DA1"/>
          <w:vertAlign w:val="superscript"/>
        </w:rPr>
        <w:t>738</w:t>
      </w:r>
      <w:r>
        <w:rPr>
          <w:color w:val="005DA1"/>
          <w:vertAlign w:val="baseline"/>
        </w:rPr>
        <w:t> </w:t>
      </w:r>
      <w:r>
        <w:rPr>
          <w:vertAlign w:val="baseline"/>
        </w:rPr>
        <w:t>but said </w:t>
      </w:r>
      <w:r>
        <w:rPr>
          <w:color w:val="005DA1"/>
          <w:u w:val="single" w:color="005DA1"/>
          <w:vertAlign w:val="superscript"/>
        </w:rPr>
        <w:t>739</w:t>
      </w:r>
      <w:r>
        <w:rPr>
          <w:color w:val="005DA1"/>
          <w:vertAlign w:val="baseline"/>
        </w:rPr>
        <w:t> </w:t>
      </w:r>
      <w:r>
        <w:rPr>
          <w:vertAlign w:val="baseline"/>
        </w:rPr>
        <w:t>that he also agreed with the reasoning of Lords Hoffmann and Hope, which was very different. </w:t>
      </w:r>
      <w:bookmarkStart w:name="_bookmark1368" w:id="1370"/>
      <w:bookmarkEnd w:id="1370"/>
      <w:r>
        <w:rPr>
          <w:vertAlign w:val="baseline"/>
        </w:rPr>
        <w:t>They</w:t>
      </w:r>
      <w:r>
        <w:rPr>
          <w:vertAlign w:val="baseline"/>
        </w:rPr>
        <w:t> held that it was not sufficient that a particular kind of loss was “not unlikely” if it was not reasonable to assume that the defendant had undertaken responsibility for it. </w:t>
      </w:r>
      <w:r>
        <w:rPr>
          <w:color w:val="005DA1"/>
          <w:u w:val="single" w:color="005DA1"/>
          <w:vertAlign w:val="superscript"/>
        </w:rPr>
        <w:t>740</w:t>
      </w:r>
      <w:r>
        <w:rPr>
          <w:color w:val="005DA1"/>
          <w:vertAlign w:val="baseline"/>
        </w:rPr>
        <w:t> </w:t>
      </w:r>
      <w:r>
        <w:rPr>
          <w:vertAlign w:val="baseline"/>
        </w:rPr>
        <w:t>In the circumstances it was not reasonable to assume that the charterers were accepting responsibility for the loss of the </w:t>
      </w:r>
      <w:bookmarkStart w:name="_bookmark1369" w:id="1371"/>
      <w:bookmarkEnd w:id="1371"/>
      <w:r>
        <w:rPr>
          <w:vertAlign w:val="baseline"/>
        </w:rPr>
        <w:t>following</w:t>
      </w:r>
      <w:r>
        <w:rPr>
          <w:spacing w:val="10"/>
          <w:vertAlign w:val="baseline"/>
        </w:rPr>
        <w:t> </w:t>
      </w:r>
      <w:r>
        <w:rPr>
          <w:vertAlign w:val="baseline"/>
        </w:rPr>
        <w:t>fixture,</w:t>
      </w:r>
      <w:r>
        <w:rPr>
          <w:spacing w:val="10"/>
          <w:vertAlign w:val="baseline"/>
        </w:rPr>
        <w:t> </w:t>
      </w:r>
      <w:r>
        <w:rPr>
          <w:vertAlign w:val="baseline"/>
        </w:rPr>
        <w:t>and</w:t>
      </w:r>
      <w:r>
        <w:rPr>
          <w:spacing w:val="10"/>
          <w:vertAlign w:val="baseline"/>
        </w:rPr>
        <w:t> </w:t>
      </w:r>
      <w:r>
        <w:rPr>
          <w:vertAlign w:val="baseline"/>
        </w:rPr>
        <w:t>so</w:t>
      </w:r>
      <w:r>
        <w:rPr>
          <w:spacing w:val="10"/>
          <w:vertAlign w:val="baseline"/>
        </w:rPr>
        <w:t> </w:t>
      </w:r>
      <w:r>
        <w:rPr>
          <w:vertAlign w:val="baseline"/>
        </w:rPr>
        <w:t>the</w:t>
      </w:r>
      <w:r>
        <w:rPr>
          <w:spacing w:val="10"/>
          <w:vertAlign w:val="baseline"/>
        </w:rPr>
        <w:t> </w:t>
      </w:r>
      <w:r>
        <w:rPr>
          <w:vertAlign w:val="baseline"/>
        </w:rPr>
        <w:t>damages</w:t>
      </w:r>
      <w:r>
        <w:rPr>
          <w:spacing w:val="10"/>
          <w:vertAlign w:val="baseline"/>
        </w:rPr>
        <w:t> </w:t>
      </w:r>
      <w:r>
        <w:rPr>
          <w:vertAlign w:val="baseline"/>
        </w:rPr>
        <w:t>were</w:t>
      </w:r>
      <w:r>
        <w:rPr>
          <w:spacing w:val="10"/>
          <w:vertAlign w:val="baseline"/>
        </w:rPr>
        <w:t> </w:t>
      </w:r>
      <w:r>
        <w:rPr>
          <w:vertAlign w:val="baseline"/>
        </w:rPr>
        <w:t>limited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difference</w:t>
      </w:r>
      <w:r>
        <w:rPr>
          <w:spacing w:val="10"/>
          <w:vertAlign w:val="baseline"/>
        </w:rPr>
        <w:t> </w:t>
      </w:r>
      <w:r>
        <w:rPr>
          <w:vertAlign w:val="baseline"/>
        </w:rPr>
        <w:t>between</w:t>
      </w:r>
      <w:r>
        <w:rPr>
          <w:spacing w:val="10"/>
          <w:vertAlign w:val="baseline"/>
        </w:rPr>
        <w:t> </w:t>
      </w:r>
      <w:r>
        <w:rPr>
          <w:vertAlign w:val="baseline"/>
        </w:rPr>
        <w:t>the</w:t>
      </w:r>
      <w:r>
        <w:rPr>
          <w:spacing w:val="10"/>
          <w:vertAlign w:val="baseline"/>
        </w:rPr>
        <w:t> </w:t>
      </w:r>
      <w:r>
        <w:rPr>
          <w:vertAlign w:val="baseline"/>
        </w:rPr>
        <w:t>market</w:t>
      </w:r>
      <w:r>
        <w:rPr>
          <w:spacing w:val="10"/>
          <w:vertAlign w:val="baseline"/>
        </w:rPr>
        <w:t> </w:t>
      </w:r>
      <w:r>
        <w:rPr>
          <w:vertAlign w:val="baseline"/>
        </w:rPr>
        <w:t>rate</w:t>
      </w:r>
      <w:r>
        <w:rPr>
          <w:spacing w:val="10"/>
          <w:vertAlign w:val="baseline"/>
        </w:rPr>
        <w:t> </w:t>
      </w:r>
      <w:r>
        <w:rPr>
          <w:vertAlign w:val="baseline"/>
        </w:rPr>
        <w:t>and</w:t>
      </w:r>
      <w:r>
        <w:rPr>
          <w:spacing w:val="10"/>
          <w:vertAlign w:val="baseline"/>
        </w:rPr>
        <w:t> </w:t>
      </w:r>
      <w:r>
        <w:rPr>
          <w:spacing w:val="-5"/>
          <w:vertAlign w:val="baseline"/>
        </w:rPr>
        <w:t>the</w:t>
      </w:r>
    </w:p>
    <w:p>
      <w:pPr>
        <w:pStyle w:val="BodyText"/>
        <w:spacing w:before="112"/>
        <w:ind w:left="165"/>
        <w:jc w:val="both"/>
        <w:rPr>
          <w:position w:val="-2"/>
        </w:rPr>
      </w:pPr>
      <w:r>
        <w:rPr/>
        <w:t>charter rate for the period of the delay in redelivery. </w:t>
      </w:r>
      <w:r>
        <w:rPr>
          <w:color w:val="005DA1"/>
          <w:u w:val="single" w:color="005DA1"/>
          <w:vertAlign w:val="superscript"/>
        </w:rPr>
        <w:t>741</w:t>
      </w:r>
      <w:r>
        <w:rPr>
          <w:color w:val="005DA1"/>
          <w:spacing w:val="80"/>
          <w:w w:val="150"/>
          <w:vertAlign w:val="baseline"/>
        </w:rPr>
        <w:t> </w:t>
      </w:r>
      <w:r>
        <w:rPr>
          <w:color w:val="005DA1"/>
          <w:position w:val="-2"/>
          <w:vertAlign w:val="baseline"/>
        </w:rPr>
        <w:drawing>
          <wp:inline distT="0" distB="0" distL="0" distR="0">
            <wp:extent cx="107988" cy="107988"/>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A majority </w:t>
      </w:r>
      <w:r>
        <w:rPr>
          <w:rFonts w:ascii="Arial"/>
          <w:b/>
          <w:spacing w:val="-2"/>
          <w:sz w:val="18"/>
        </w:rPr>
        <w:t>decision?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129</w:t>
      </w:r>
    </w:p>
    <w:p>
      <w:pPr>
        <w:pStyle w:val="BodyText"/>
        <w:spacing w:line="235" w:lineRule="auto" w:before="203"/>
        <w:ind w:left="164" w:right="167"/>
        <w:jc w:val="both"/>
      </w:pPr>
      <w:bookmarkStart w:name="_bookmark1370" w:id="1372"/>
      <w:bookmarkEnd w:id="1372"/>
      <w:r>
        <w:rPr/>
      </w:r>
      <w:r>
        <w:rPr/>
        <w:t>It has been argued that because Lord Walker agreed with two completely different approaches—</w:t>
      </w:r>
      <w:r>
        <w:rPr/>
        <w:t>that of Lords Hoffmann and Hope on the one hand and that of Lord Rodger </w:t>
      </w:r>
      <w:r>
        <w:rPr>
          <w:color w:val="005DA1"/>
          <w:u w:val="single" w:color="005DA1"/>
          <w:vertAlign w:val="superscript"/>
        </w:rPr>
        <w:t>742</w:t>
      </w:r>
      <w:r>
        <w:rPr>
          <w:color w:val="005DA1"/>
          <w:vertAlign w:val="baseline"/>
        </w:rPr>
        <w:t> </w:t>
      </w:r>
      <w:r>
        <w:rPr>
          <w:vertAlign w:val="baseline"/>
        </w:rPr>
        <w:t>and Baroness Hale on the </w:t>
      </w:r>
      <w:bookmarkStart w:name="_bookmark1371" w:id="1373"/>
      <w:bookmarkEnd w:id="1373"/>
      <w:r>
        <w:rPr>
          <w:vertAlign w:val="baseline"/>
        </w:rPr>
        <w:t>other</w:t>
      </w:r>
      <w:r>
        <w:rPr>
          <w:vertAlign w:val="baseline"/>
        </w:rPr>
        <w:t>—no clear ratio emerges from the case and there is no majority in favour of the “assumption of responsibility</w:t>
      </w:r>
      <w:r>
        <w:rPr>
          <w:spacing w:val="40"/>
          <w:vertAlign w:val="baseline"/>
        </w:rPr>
        <w:t> </w:t>
      </w:r>
      <w:r>
        <w:rPr>
          <w:vertAlign w:val="baseline"/>
        </w:rPr>
        <w:t>test”.</w:t>
      </w:r>
      <w:r>
        <w:rPr>
          <w:spacing w:val="40"/>
          <w:vertAlign w:val="baseline"/>
        </w:rPr>
        <w:t> </w:t>
      </w:r>
      <w:r>
        <w:rPr>
          <w:color w:val="005DA1"/>
          <w:u w:val="single" w:color="005DA1"/>
          <w:vertAlign w:val="superscript"/>
        </w:rPr>
        <w:t>743</w:t>
      </w:r>
      <w:r>
        <w:rPr>
          <w:color w:val="005DA1"/>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submitted,</w:t>
      </w:r>
      <w:r>
        <w:rPr>
          <w:spacing w:val="40"/>
          <w:vertAlign w:val="baseline"/>
        </w:rPr>
        <w:t> </w:t>
      </w:r>
      <w:r>
        <w:rPr>
          <w:vertAlign w:val="baseline"/>
        </w:rPr>
        <w:t>however,</w:t>
      </w:r>
      <w:r>
        <w:rPr>
          <w:spacing w:val="40"/>
          <w:vertAlign w:val="baseline"/>
        </w:rPr>
        <w:t> </w:t>
      </w:r>
      <w:r>
        <w:rPr>
          <w:vertAlign w:val="baseline"/>
        </w:rPr>
        <w:t>that</w:t>
      </w:r>
      <w:r>
        <w:rPr>
          <w:spacing w:val="40"/>
          <w:vertAlign w:val="baseline"/>
        </w:rPr>
        <w:t> </w:t>
      </w:r>
      <w:r>
        <w:rPr>
          <w:vertAlign w:val="baseline"/>
        </w:rPr>
        <w:t>Lord</w:t>
      </w:r>
      <w:r>
        <w:rPr>
          <w:spacing w:val="40"/>
          <w:vertAlign w:val="baseline"/>
        </w:rPr>
        <w:t> </w:t>
      </w:r>
      <w:r>
        <w:rPr>
          <w:vertAlign w:val="baseline"/>
        </w:rPr>
        <w:t>Walker</w:t>
      </w:r>
      <w:r>
        <w:rPr>
          <w:spacing w:val="40"/>
          <w:vertAlign w:val="baseline"/>
        </w:rPr>
        <w:t> </w:t>
      </w:r>
      <w:r>
        <w:rPr>
          <w:vertAlign w:val="baseline"/>
        </w:rPr>
        <w:t>was</w:t>
      </w:r>
      <w:r>
        <w:rPr>
          <w:spacing w:val="40"/>
          <w:vertAlign w:val="baseline"/>
        </w:rPr>
        <w:t> </w:t>
      </w:r>
      <w:r>
        <w:rPr>
          <w:vertAlign w:val="baseline"/>
        </w:rPr>
        <w:t>agreeing</w:t>
      </w:r>
      <w:r>
        <w:rPr>
          <w:spacing w:val="40"/>
          <w:vertAlign w:val="baseline"/>
        </w:rPr>
        <w:t> </w:t>
      </w:r>
      <w:r>
        <w:rPr>
          <w:vertAlign w:val="baseline"/>
        </w:rPr>
        <w:t>that</w:t>
      </w:r>
      <w:r>
        <w:rPr>
          <w:spacing w:val="40"/>
          <w:vertAlign w:val="baseline"/>
        </w:rPr>
        <w:t> </w:t>
      </w:r>
      <w:r>
        <w:rPr>
          <w:vertAlign w:val="baseline"/>
        </w:rPr>
        <w:t>both </w:t>
      </w:r>
      <w:bookmarkStart w:name="_bookmark1372" w:id="1374"/>
      <w:bookmarkEnd w:id="1374"/>
      <w:r>
        <w:rPr>
          <w:vertAlign w:val="baseline"/>
        </w:rPr>
        <w:t>limitations</w:t>
      </w:r>
      <w:r>
        <w:rPr>
          <w:vertAlign w:val="baseline"/>
        </w:rPr>
        <w:t>—the remoteness test that the loss must not be of an unusual kind and the test of assumption of responsibility—apply, so that there was a majority in favour of the latter. </w:t>
      </w:r>
      <w:r>
        <w:rPr>
          <w:color w:val="005DA1"/>
          <w:u w:val="single" w:color="005DA1"/>
          <w:vertAlign w:val="superscript"/>
        </w:rPr>
        <w:t>744</w:t>
      </w:r>
    </w:p>
    <w:p>
      <w:pPr>
        <w:pStyle w:val="BodyText"/>
      </w:pPr>
    </w:p>
    <w:p>
      <w:pPr>
        <w:pStyle w:val="BodyText"/>
        <w:spacing w:before="36"/>
      </w:pPr>
    </w:p>
    <w:p>
      <w:pPr>
        <w:spacing w:before="0"/>
        <w:ind w:left="165" w:right="0" w:firstLine="0"/>
        <w:jc w:val="both"/>
        <w:rPr>
          <w:rFonts w:ascii="Arial"/>
          <w:b/>
          <w:sz w:val="18"/>
        </w:rPr>
      </w:pPr>
      <w:r>
        <w:rPr>
          <w:rFonts w:ascii="Arial"/>
          <w:b/>
          <w:sz w:val="18"/>
        </w:rPr>
        <w:t>A separate </w:t>
      </w:r>
      <w:r>
        <w:rPr>
          <w:rFonts w:ascii="Arial"/>
          <w:b/>
          <w:spacing w:val="-2"/>
          <w:sz w:val="18"/>
        </w:rPr>
        <w:t>rule?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130</w:t>
      </w:r>
    </w:p>
    <w:p>
      <w:pPr>
        <w:pStyle w:val="BodyText"/>
        <w:spacing w:line="235" w:lineRule="auto" w:before="202"/>
        <w:ind w:left="165" w:right="167"/>
        <w:jc w:val="both"/>
      </w:pPr>
      <w:r>
        <w:rPr/>
        <w:t>It is not wholly clear whether the limitation is an aspect of the remoteness rule or a separate rule. </w:t>
      </w:r>
      <w:bookmarkStart w:name="_bookmark1373" w:id="1375"/>
      <w:bookmarkEnd w:id="1375"/>
      <w:r>
        <w:rPr/>
        <w:t>Baroness</w:t>
      </w:r>
      <w:r>
        <w:rPr/>
        <w:t> Hale refers to it as “adding a novel dimension to the way in which the question of remoteness in damage in contract is to be answered”. </w:t>
      </w:r>
      <w:r>
        <w:rPr>
          <w:color w:val="005DA1"/>
          <w:u w:val="single" w:color="005DA1"/>
          <w:vertAlign w:val="superscript"/>
        </w:rPr>
        <w:t>745</w:t>
      </w:r>
      <w:r>
        <w:rPr>
          <w:color w:val="005DA1"/>
          <w:vertAlign w:val="baseline"/>
        </w:rPr>
        <w:t> </w:t>
      </w:r>
      <w:r>
        <w:rPr>
          <w:vertAlign w:val="baseline"/>
        </w:rPr>
        <w:t>Lord Hope states that:</w:t>
      </w:r>
    </w:p>
    <w:p>
      <w:pPr>
        <w:pStyle w:val="BodyText"/>
      </w:pPr>
    </w:p>
    <w:p>
      <w:pPr>
        <w:pStyle w:val="BodyText"/>
        <w:spacing w:before="126"/>
      </w:pPr>
    </w:p>
    <w:p>
      <w:pPr>
        <w:pStyle w:val="BodyText"/>
        <w:spacing w:line="235" w:lineRule="auto"/>
        <w:ind w:left="1245" w:right="167"/>
        <w:jc w:val="both"/>
      </w:pPr>
      <w:r>
        <w:rPr/>
        <w:t>“Assumption of responsibility, which forms the basis of the law of remoteness of </w:t>
      </w:r>
      <w:r>
        <w:rPr/>
        <w:t>damage in contract, is determined by more than what at the time of the contract was reasonably </w:t>
      </w:r>
      <w:r>
        <w:rPr>
          <w:spacing w:val="-2"/>
        </w:rPr>
        <w:t>foreseeable.”</w:t>
      </w:r>
    </w:p>
    <w:p>
      <w:pPr>
        <w:pStyle w:val="BodyText"/>
        <w:spacing w:before="115"/>
      </w:pPr>
    </w:p>
    <w:p>
      <w:pPr>
        <w:pStyle w:val="BodyText"/>
        <w:spacing w:line="235" w:lineRule="auto"/>
        <w:ind w:left="165" w:right="168"/>
        <w:jc w:val="both"/>
      </w:pPr>
      <w:bookmarkStart w:name="_bookmark1374" w:id="1376"/>
      <w:bookmarkEnd w:id="1376"/>
      <w:r>
        <w:rPr/>
      </w:r>
      <w:r>
        <w:rPr/>
        <w:t>This</w:t>
      </w:r>
      <w:r>
        <w:rPr>
          <w:spacing w:val="-1"/>
        </w:rPr>
        <w:t> </w:t>
      </w:r>
      <w:r>
        <w:rPr/>
        <w:t>too</w:t>
      </w:r>
      <w:r>
        <w:rPr>
          <w:spacing w:val="-1"/>
        </w:rPr>
        <w:t> </w:t>
      </w:r>
      <w:r>
        <w:rPr/>
        <w:t>seems</w:t>
      </w:r>
      <w:r>
        <w:rPr>
          <w:spacing w:val="-1"/>
        </w:rPr>
        <w:t> </w:t>
      </w:r>
      <w:r>
        <w:rPr/>
        <w:t>to</w:t>
      </w:r>
      <w:r>
        <w:rPr>
          <w:spacing w:val="-1"/>
        </w:rPr>
        <w:t> </w:t>
      </w:r>
      <w:r>
        <w:rPr/>
        <w:t>treat</w:t>
      </w:r>
      <w:r>
        <w:rPr>
          <w:spacing w:val="-1"/>
        </w:rPr>
        <w:t> </w:t>
      </w:r>
      <w:r>
        <w:rPr/>
        <w:t>assumption</w:t>
      </w:r>
      <w:r>
        <w:rPr>
          <w:spacing w:val="-1"/>
        </w:rPr>
        <w:t> </w:t>
      </w:r>
      <w:r>
        <w:rPr/>
        <w:t>of</w:t>
      </w:r>
      <w:r>
        <w:rPr>
          <w:spacing w:val="-1"/>
        </w:rPr>
        <w:t> </w:t>
      </w:r>
      <w:r>
        <w:rPr/>
        <w:t>responsibility</w:t>
      </w:r>
      <w:r>
        <w:rPr>
          <w:spacing w:val="-1"/>
        </w:rPr>
        <w:t> </w:t>
      </w:r>
      <w:r>
        <w:rPr/>
        <w:t>as</w:t>
      </w:r>
      <w:r>
        <w:rPr>
          <w:spacing w:val="-1"/>
        </w:rPr>
        <w:t> </w:t>
      </w:r>
      <w:r>
        <w:rPr/>
        <w:t>just</w:t>
      </w:r>
      <w:r>
        <w:rPr>
          <w:spacing w:val="-1"/>
        </w:rPr>
        <w:t> </w:t>
      </w:r>
      <w:r>
        <w:rPr/>
        <w:t>an</w:t>
      </w:r>
      <w:r>
        <w:rPr>
          <w:spacing w:val="-1"/>
        </w:rPr>
        <w:t> </w:t>
      </w:r>
      <w:r>
        <w:rPr/>
        <w:t>aspect</w:t>
      </w:r>
      <w:r>
        <w:rPr>
          <w:spacing w:val="-1"/>
        </w:rPr>
        <w:t> </w:t>
      </w:r>
      <w:r>
        <w:rPr/>
        <w:t>of</w:t>
      </w:r>
      <w:r>
        <w:rPr>
          <w:spacing w:val="-1"/>
        </w:rPr>
        <w:t> </w:t>
      </w:r>
      <w:r>
        <w:rPr/>
        <w:t>remoteness.</w:t>
      </w:r>
      <w:r>
        <w:rPr>
          <w:spacing w:val="-1"/>
        </w:rPr>
        <w:t> </w:t>
      </w:r>
      <w:r>
        <w:rPr/>
        <w:t>In</w:t>
      </w:r>
      <w:r>
        <w:rPr>
          <w:spacing w:val="-1"/>
        </w:rPr>
        <w:t> </w:t>
      </w:r>
      <w:r>
        <w:rPr/>
        <w:t>contrast,</w:t>
      </w:r>
      <w:r>
        <w:rPr>
          <w:spacing w:val="-1"/>
        </w:rPr>
        <w:t> </w:t>
      </w:r>
      <w:r>
        <w:rPr/>
        <w:t>Lord Hoffmann, after referring to the </w:t>
      </w:r>
      <w:r>
        <w:rPr>
          <w:rFonts w:ascii="Arial"/>
          <w:i/>
        </w:rPr>
        <w:t>South Australia </w:t>
      </w:r>
      <w:r>
        <w:rPr/>
        <w:t>case </w:t>
      </w:r>
      <w:r>
        <w:rPr>
          <w:color w:val="005DA1"/>
          <w:u w:val="single" w:color="005DA1"/>
          <w:vertAlign w:val="superscript"/>
        </w:rPr>
        <w:t>746</w:t>
      </w:r>
      <w:r>
        <w:rPr>
          <w:color w:val="005DA1"/>
          <w:vertAlign w:val="baseline"/>
        </w:rPr>
        <w:t> </w:t>
      </w:r>
      <w:r>
        <w:rPr>
          <w:vertAlign w:val="baseline"/>
        </w:rPr>
        <w:t>states that before considering the measure of </w:t>
      </w:r>
      <w:r>
        <w:rPr>
          <w:spacing w:val="-2"/>
          <w:vertAlign w:val="baseline"/>
        </w:rPr>
        <w:t>damages:</w:t>
      </w:r>
    </w:p>
    <w:p>
      <w:pPr>
        <w:pStyle w:val="BodyText"/>
      </w:pPr>
    </w:p>
    <w:p>
      <w:pPr>
        <w:pStyle w:val="BodyText"/>
        <w:spacing w:before="126"/>
      </w:pPr>
    </w:p>
    <w:p>
      <w:pPr>
        <w:pStyle w:val="BodyText"/>
        <w:spacing w:line="235" w:lineRule="auto"/>
        <w:ind w:left="1245" w:right="167"/>
        <w:jc w:val="both"/>
      </w:pPr>
      <w:r>
        <w:rPr/>
        <w:t>“… one must first decide whether the loss for which compensation is sought is of a ‘kind’ </w:t>
      </w:r>
      <w:bookmarkStart w:name="_bookmark1375" w:id="1377"/>
      <w:bookmarkEnd w:id="1377"/>
      <w:r>
        <w:rPr/>
        <w:t>or</w:t>
      </w:r>
      <w:r>
        <w:rPr/>
        <w:t> ‘type’ for which the contract breaker ought fairly to be taken to have accepted responsibility.” </w:t>
      </w:r>
      <w:r>
        <w:rPr>
          <w:color w:val="005DA1"/>
          <w:u w:val="single" w:color="005DA1"/>
          <w:vertAlign w:val="superscript"/>
        </w:rPr>
        <w:t>747</w:t>
      </w:r>
    </w:p>
    <w:p>
      <w:pPr>
        <w:pStyle w:val="BodyText"/>
        <w:spacing w:before="116"/>
      </w:pPr>
    </w:p>
    <w:p>
      <w:pPr>
        <w:pStyle w:val="BodyText"/>
        <w:spacing w:line="235" w:lineRule="auto"/>
        <w:ind w:left="165" w:right="167"/>
        <w:jc w:val="both"/>
      </w:pPr>
      <w:bookmarkStart w:name="_bookmark1376" w:id="1378"/>
      <w:bookmarkEnd w:id="1378"/>
      <w:r>
        <w:rPr/>
      </w:r>
      <w:bookmarkStart w:name="_bookmark1377" w:id="1379"/>
      <w:bookmarkEnd w:id="1379"/>
      <w:r>
        <w:rPr/>
      </w:r>
      <w:r>
        <w:rPr/>
        <w:t>He pointed out that the question in the </w:t>
      </w:r>
      <w:r>
        <w:rPr>
          <w:rFonts w:ascii="Arial" w:hAnsi="Arial"/>
          <w:i/>
        </w:rPr>
        <w:t>South Australia </w:t>
      </w:r>
      <w:r>
        <w:rPr/>
        <w:t>case was the “scope of the duty”. </w:t>
      </w:r>
      <w:r>
        <w:rPr>
          <w:color w:val="005DA1"/>
          <w:u w:val="single" w:color="005DA1"/>
          <w:vertAlign w:val="superscript"/>
        </w:rPr>
        <w:t>748</w:t>
      </w:r>
      <w:r>
        <w:rPr>
          <w:color w:val="005DA1"/>
          <w:vertAlign w:val="baseline"/>
        </w:rPr>
        <w:t> </w:t>
      </w:r>
      <w:r>
        <w:rPr>
          <w:vertAlign w:val="baseline"/>
        </w:rPr>
        <w:t>This seems to suggest a separate rule from remoteness. </w:t>
      </w:r>
      <w:r>
        <w:rPr>
          <w:color w:val="005DA1"/>
          <w:u w:val="single" w:color="005DA1"/>
          <w:vertAlign w:val="superscript"/>
        </w:rPr>
        <w:t>749</w:t>
      </w:r>
      <w:r>
        <w:rPr>
          <w:color w:val="005DA1"/>
          <w:vertAlign w:val="baseline"/>
        </w:rPr>
        <w:t> </w:t>
      </w:r>
      <w:r>
        <w:rPr>
          <w:vertAlign w:val="baseline"/>
        </w:rPr>
        <w:t>In most cases it will make little </w:t>
      </w:r>
      <w:r>
        <w:rPr>
          <w:vertAlign w:val="baseline"/>
        </w:rPr>
        <w:t>difference whether the “assumption of responsibility” is seen as part of the remoteness rule or as separate. Possibly it may make a difference in cases of sales of goods. The Sale of Goods Act 1979 s.51(2) provides that for the buyer’s damages:</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pPr>
      <w:r>
        <w:rPr/>
        <w:t>“The</w:t>
      </w:r>
      <w:r>
        <w:rPr>
          <w:spacing w:val="29"/>
        </w:rPr>
        <w:t> </w:t>
      </w:r>
      <w:r>
        <w:rPr/>
        <w:t>measure</w:t>
      </w:r>
      <w:r>
        <w:rPr>
          <w:spacing w:val="29"/>
        </w:rPr>
        <w:t> </w:t>
      </w:r>
      <w:r>
        <w:rPr/>
        <w:t>of</w:t>
      </w:r>
      <w:r>
        <w:rPr>
          <w:spacing w:val="29"/>
        </w:rPr>
        <w:t> </w:t>
      </w:r>
      <w:r>
        <w:rPr/>
        <w:t>damages</w:t>
      </w:r>
      <w:r>
        <w:rPr>
          <w:spacing w:val="29"/>
        </w:rPr>
        <w:t> </w:t>
      </w:r>
      <w:r>
        <w:rPr/>
        <w:t>is</w:t>
      </w:r>
      <w:r>
        <w:rPr>
          <w:spacing w:val="29"/>
        </w:rPr>
        <w:t> </w:t>
      </w:r>
      <w:r>
        <w:rPr/>
        <w:t>the</w:t>
      </w:r>
      <w:r>
        <w:rPr>
          <w:spacing w:val="29"/>
        </w:rPr>
        <w:t> </w:t>
      </w:r>
      <w:r>
        <w:rPr/>
        <w:t>estimated</w:t>
      </w:r>
      <w:r>
        <w:rPr>
          <w:spacing w:val="29"/>
        </w:rPr>
        <w:t> </w:t>
      </w:r>
      <w:r>
        <w:rPr/>
        <w:t>loss</w:t>
      </w:r>
      <w:r>
        <w:rPr>
          <w:spacing w:val="29"/>
        </w:rPr>
        <w:t> </w:t>
      </w:r>
      <w:r>
        <w:rPr/>
        <w:t>directly</w:t>
      </w:r>
      <w:r>
        <w:rPr>
          <w:spacing w:val="29"/>
        </w:rPr>
        <w:t> </w:t>
      </w:r>
      <w:r>
        <w:rPr/>
        <w:t>and</w:t>
      </w:r>
      <w:r>
        <w:rPr>
          <w:spacing w:val="29"/>
        </w:rPr>
        <w:t> </w:t>
      </w:r>
      <w:r>
        <w:rPr/>
        <w:t>naturally</w:t>
      </w:r>
      <w:r>
        <w:rPr>
          <w:spacing w:val="29"/>
        </w:rPr>
        <w:t> </w:t>
      </w:r>
      <w:r>
        <w:rPr/>
        <w:t>resulting,</w:t>
      </w:r>
      <w:r>
        <w:rPr>
          <w:spacing w:val="29"/>
        </w:rPr>
        <w:t> </w:t>
      </w:r>
      <w:r>
        <w:rPr/>
        <w:t>in</w:t>
      </w:r>
      <w:r>
        <w:rPr>
          <w:spacing w:val="29"/>
        </w:rPr>
        <w:t> </w:t>
      </w:r>
      <w:r>
        <w:rPr/>
        <w:t>the ordinary course of events, from the seller’s breach of contract.”</w:t>
      </w:r>
    </w:p>
    <w:p>
      <w:pPr>
        <w:pStyle w:val="BodyText"/>
        <w:spacing w:before="116"/>
      </w:pPr>
    </w:p>
    <w:p>
      <w:pPr>
        <w:pStyle w:val="BodyText"/>
        <w:spacing w:line="235" w:lineRule="auto"/>
        <w:ind w:left="165" w:right="167"/>
        <w:jc w:val="both"/>
      </w:pPr>
      <w:bookmarkStart w:name="_bookmark1378" w:id="1380"/>
      <w:bookmarkEnd w:id="1380"/>
      <w:r>
        <w:rPr/>
      </w:r>
      <w:r>
        <w:rPr/>
        <w:t>If “assumption of responsibility” is part of the remoteness rule, </w:t>
      </w:r>
      <w:r>
        <w:rPr>
          <w:color w:val="005DA1"/>
          <w:u w:val="single" w:color="005DA1"/>
          <w:vertAlign w:val="superscript"/>
        </w:rPr>
        <w:t>750</w:t>
      </w:r>
      <w:r>
        <w:rPr>
          <w:color w:val="005DA1"/>
          <w:vertAlign w:val="baseline"/>
        </w:rPr>
        <w:t> </w:t>
      </w:r>
      <w:r>
        <w:rPr>
          <w:vertAlign w:val="baseline"/>
        </w:rPr>
        <w:t>it might at first appear that this section would preclude its application in contracts for the sale of goods. However, s.51(2) appears to </w:t>
      </w:r>
      <w:bookmarkStart w:name="_bookmark1379" w:id="1381"/>
      <w:bookmarkEnd w:id="1381"/>
      <w:r>
        <w:rPr>
          <w:vertAlign w:val="baseline"/>
        </w:rPr>
        <w:t>lay</w:t>
      </w:r>
      <w:r>
        <w:rPr>
          <w:vertAlign w:val="baseline"/>
        </w:rPr>
        <w:t> down only a “default rule” which may be excluded by the terms of the contract or the circumstances. </w:t>
      </w:r>
      <w:r>
        <w:rPr>
          <w:color w:val="005DA1"/>
          <w:u w:val="single" w:color="005DA1"/>
          <w:vertAlign w:val="superscript"/>
        </w:rPr>
        <w:t>751</w:t>
      </w:r>
      <w:r>
        <w:rPr>
          <w:color w:val="005DA1"/>
          <w:vertAlign w:val="baseline"/>
        </w:rPr>
        <w:t> </w:t>
      </w:r>
      <w:r>
        <w:rPr>
          <w:vertAlign w:val="baseline"/>
        </w:rPr>
        <w:t>Therefore it is hard to see that it matters whether assumption of responsibility </w:t>
      </w:r>
      <w:r>
        <w:rPr>
          <w:vertAlign w:val="baseline"/>
        </w:rPr>
        <w:t>is part of remoteness or a separate rule.</w:t>
      </w:r>
    </w:p>
    <w:p>
      <w:pPr>
        <w:pStyle w:val="BodyText"/>
      </w:pPr>
    </w:p>
    <w:p>
      <w:pPr>
        <w:pStyle w:val="BodyText"/>
        <w:spacing w:before="37"/>
      </w:pPr>
    </w:p>
    <w:p>
      <w:pPr>
        <w:spacing w:before="0"/>
        <w:ind w:left="165" w:right="0" w:firstLine="0"/>
        <w:jc w:val="both"/>
        <w:rPr>
          <w:rFonts w:ascii="Arial"/>
          <w:b/>
          <w:sz w:val="18"/>
        </w:rPr>
      </w:pPr>
      <w:r>
        <w:rPr>
          <w:rFonts w:ascii="Arial"/>
          <w:b/>
          <w:sz w:val="18"/>
        </w:rPr>
        <w:t>A question of law, not of </w:t>
      </w:r>
      <w:r>
        <w:rPr>
          <w:rFonts w:ascii="Arial"/>
          <w:b/>
          <w:spacing w:val="-4"/>
          <w:sz w:val="18"/>
        </w:rPr>
        <w:t>fact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131</w:t>
      </w:r>
    </w:p>
    <w:p>
      <w:pPr>
        <w:pStyle w:val="BodyText"/>
        <w:spacing w:line="235" w:lineRule="auto" w:before="203"/>
        <w:ind w:left="165" w:right="167"/>
        <w:jc w:val="both"/>
      </w:pPr>
      <w:bookmarkStart w:name="_bookmark1380" w:id="1382"/>
      <w:bookmarkEnd w:id="1382"/>
      <w:r>
        <w:rPr/>
      </w:r>
      <w:r>
        <w:rPr/>
        <w:t>What may cause more difficulty in practice is that application of the remoteness rule in </w:t>
      </w:r>
      <w:r>
        <w:rPr>
          <w:rFonts w:ascii="Arial" w:hAnsi="Arial"/>
          <w:i/>
        </w:rPr>
        <w:t>Hadley v Baxendale </w:t>
      </w:r>
      <w:r>
        <w:rPr>
          <w:color w:val="005DA1"/>
          <w:u w:val="single" w:color="005DA1"/>
          <w:vertAlign w:val="superscript"/>
        </w:rPr>
        <w:t>752</w:t>
      </w:r>
      <w:r>
        <w:rPr>
          <w:color w:val="005DA1"/>
          <w:vertAlign w:val="baseline"/>
        </w:rPr>
        <w:t> </w:t>
      </w:r>
      <w:r>
        <w:rPr>
          <w:vertAlign w:val="baseline"/>
        </w:rPr>
        <w:t>depends primarily on questions of fact: was the kind of loss in question one that was substantially likely or “not unlikely” to occur, or was the risk of an unusual loss brought home to </w:t>
      </w:r>
      <w:r>
        <w:rPr>
          <w:vertAlign w:val="baseline"/>
        </w:rPr>
        <w:t>the defendant at the time the contract was made in such a way that a reasonable person in his position </w:t>
      </w:r>
      <w:bookmarkStart w:name="_bookmark1381" w:id="1383"/>
      <w:bookmarkEnd w:id="1383"/>
      <w:r>
        <w:rPr>
          <w:vertAlign w:val="baseline"/>
        </w:rPr>
        <w:t>would</w:t>
      </w:r>
      <w:r>
        <w:rPr>
          <w:vertAlign w:val="baseline"/>
        </w:rPr>
        <w:t> have taken it into account. In contrast, whether it was reasonable to assume that the defendant </w:t>
      </w:r>
      <w:bookmarkStart w:name="_bookmark1382" w:id="1384"/>
      <w:bookmarkEnd w:id="1384"/>
      <w:r>
        <w:rPr>
          <w:vertAlign w:val="baseline"/>
        </w:rPr>
        <w:t>was</w:t>
      </w:r>
      <w:r>
        <w:rPr>
          <w:vertAlign w:val="baseline"/>
        </w:rPr>
        <w:t> assuming responsibility for the loss is a question of law. </w:t>
      </w:r>
      <w:r>
        <w:rPr>
          <w:color w:val="005DA1"/>
          <w:u w:val="single" w:color="005DA1"/>
          <w:vertAlign w:val="superscript"/>
        </w:rPr>
        <w:t>753</w:t>
      </w:r>
      <w:r>
        <w:rPr>
          <w:color w:val="005DA1"/>
          <w:vertAlign w:val="baseline"/>
        </w:rPr>
        <w:t> </w:t>
      </w:r>
      <w:r>
        <w:rPr>
          <w:vertAlign w:val="baseline"/>
        </w:rPr>
        <w:t>Lord Hoffmann treated the question as closely analogous to the rule in the </w:t>
      </w:r>
      <w:r>
        <w:rPr>
          <w:rFonts w:ascii="Arial" w:hAnsi="Arial"/>
          <w:i/>
          <w:vertAlign w:val="baseline"/>
        </w:rPr>
        <w:t>South Australia </w:t>
      </w:r>
      <w:r>
        <w:rPr>
          <w:vertAlign w:val="baseline"/>
        </w:rPr>
        <w:t>case </w:t>
      </w:r>
      <w:r>
        <w:rPr>
          <w:color w:val="005DA1"/>
          <w:u w:val="single" w:color="005DA1"/>
          <w:vertAlign w:val="superscript"/>
        </w:rPr>
        <w:t>754</w:t>
      </w:r>
      <w:r>
        <w:rPr>
          <w:color w:val="005DA1"/>
          <w:vertAlign w:val="baseline"/>
        </w:rPr>
        <w:t> </w:t>
      </w:r>
      <w:r>
        <w:rPr>
          <w:vertAlign w:val="baseline"/>
        </w:rPr>
        <w:t>on negligent valuers, which is </w:t>
      </w:r>
      <w:bookmarkStart w:name="_bookmark1383" w:id="1385"/>
      <w:bookmarkEnd w:id="1385"/>
      <w:r>
        <w:rPr>
          <w:vertAlign w:val="baseline"/>
        </w:rPr>
        <w:t>undoubtedly</w:t>
      </w:r>
      <w:r>
        <w:rPr>
          <w:vertAlign w:val="baseline"/>
        </w:rPr>
        <w:t> a rule of law. However, this would not be the only situation in which appellate courts</w:t>
      </w:r>
      <w:r>
        <w:rPr>
          <w:spacing w:val="40"/>
          <w:vertAlign w:val="baseline"/>
        </w:rPr>
        <w:t> </w:t>
      </w:r>
      <w:r>
        <w:rPr>
          <w:vertAlign w:val="baseline"/>
        </w:rPr>
        <w:t>have to deal with mixed questions of law and fact. </w:t>
      </w:r>
      <w:r>
        <w:rPr>
          <w:color w:val="005DA1"/>
          <w:u w:val="single" w:color="005DA1"/>
          <w:vertAlign w:val="superscript"/>
        </w:rPr>
        <w:t>755</w:t>
      </w:r>
    </w:p>
    <w:p>
      <w:pPr>
        <w:pStyle w:val="BodyText"/>
      </w:pPr>
    </w:p>
    <w:p>
      <w:pPr>
        <w:pStyle w:val="BodyText"/>
        <w:spacing w:before="35"/>
      </w:pPr>
    </w:p>
    <w:p>
      <w:pPr>
        <w:spacing w:before="0"/>
        <w:ind w:left="165" w:right="0" w:firstLine="0"/>
        <w:jc w:val="left"/>
        <w:rPr>
          <w:rFonts w:ascii="Arial"/>
          <w:b/>
          <w:sz w:val="18"/>
        </w:rPr>
      </w:pPr>
      <w:r>
        <w:rPr>
          <w:rFonts w:ascii="Arial"/>
          <w:b/>
          <w:sz w:val="18"/>
        </w:rPr>
        <w:t>Factors negating an assumption of </w:t>
      </w:r>
      <w:r>
        <w:rPr>
          <w:rFonts w:ascii="Arial"/>
          <w:b/>
          <w:spacing w:val="-2"/>
          <w:sz w:val="18"/>
        </w:rPr>
        <w:t>responsibility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132</w:t>
      </w:r>
    </w:p>
    <w:p>
      <w:pPr>
        <w:pStyle w:val="BodyText"/>
        <w:spacing w:line="235" w:lineRule="auto" w:before="203"/>
        <w:ind w:left="164" w:right="167"/>
        <w:jc w:val="both"/>
      </w:pPr>
      <w:r>
        <w:rPr/>
        <w:t>The question then is, in what circumstances will a defendant be held not to have assumed responsibility for a loss even if it was “not unusual”, or if its likelihood had been drawn to his attention at the time the contract was made. It is clear that when Lords Hoffmann and Hope in </w:t>
      </w:r>
      <w:r>
        <w:rPr>
          <w:rFonts w:ascii="Arial" w:hAnsi="Arial"/>
          <w:i/>
        </w:rPr>
        <w:t>The </w:t>
      </w:r>
      <w:r>
        <w:rPr>
          <w:rFonts w:ascii="Arial" w:hAnsi="Arial"/>
          <w:i/>
        </w:rPr>
        <w:t>Achilleas </w:t>
      </w:r>
      <w:r>
        <w:rPr/>
        <w:t>held that a party will not be liable for losses that are “not unlikely” if it was not reasonable to assume </w:t>
      </w:r>
      <w:bookmarkStart w:name="_bookmark1384" w:id="1386"/>
      <w:bookmarkEnd w:id="1386"/>
      <w:r>
        <w:rPr/>
        <w:t>that</w:t>
      </w:r>
      <w:r>
        <w:rPr/>
        <w:t> he was assuming responsibility for the loss, they considered that they were stating a rule of general application, not a special rule for charter-party contracts. </w:t>
      </w:r>
      <w:r>
        <w:rPr>
          <w:color w:val="005DA1"/>
          <w:u w:val="single" w:color="005DA1"/>
          <w:vertAlign w:val="superscript"/>
        </w:rPr>
        <w:t>756</w:t>
      </w:r>
      <w:r>
        <w:rPr>
          <w:color w:val="005DA1"/>
          <w:vertAlign w:val="baseline"/>
        </w:rPr>
        <w:t> </w:t>
      </w:r>
      <w:r>
        <w:rPr>
          <w:vertAlign w:val="baseline"/>
        </w:rPr>
        <w:t>However, it is not easy to identify what facts will lead to the conclusion that there was no assumption of responsibility. Both their Lordships emphasised two general points. One was that the amount of loss, which would be determined by the terms and length of the following fixture, was something over which the charterers </w:t>
      </w:r>
      <w:bookmarkStart w:name="_bookmark1385" w:id="1387"/>
      <w:bookmarkEnd w:id="1387"/>
      <w:r>
        <w:rPr>
          <w:vertAlign w:val="baseline"/>
        </w:rPr>
        <w:t>had</w:t>
      </w:r>
      <w:r>
        <w:rPr>
          <w:vertAlign w:val="baseline"/>
        </w:rPr>
        <w:t> no control; the other, that at the time the contract was made, the loss was completely unpredictable. </w:t>
      </w:r>
      <w:r>
        <w:rPr>
          <w:color w:val="005DA1"/>
          <w:u w:val="single" w:color="005DA1"/>
          <w:vertAlign w:val="superscript"/>
        </w:rPr>
        <w:t>757</w:t>
      </w:r>
      <w:r>
        <w:rPr>
          <w:color w:val="005DA1"/>
          <w:vertAlign w:val="baseline"/>
        </w:rPr>
        <w:t> </w:t>
      </w:r>
      <w:r>
        <w:rPr>
          <w:vertAlign w:val="baseline"/>
        </w:rPr>
        <w:t>(The following fixture was made only shortly before the end of the charter.) Lord Hoffmann also emphasised more particular facts: that (as the arbitrators had found) the general </w:t>
      </w:r>
      <w:bookmarkStart w:name="_bookmark1386" w:id="1388"/>
      <w:bookmarkEnd w:id="1388"/>
      <w:r>
        <w:rPr>
          <w:vertAlign w:val="baseline"/>
        </w:rPr>
        <w:t>understanding</w:t>
      </w:r>
      <w:r>
        <w:rPr>
          <w:vertAlign w:val="baseline"/>
        </w:rPr>
        <w:t> in the shipping market was that liability was restricted to the difference between the </w:t>
      </w:r>
      <w:bookmarkStart w:name="_bookmark1387" w:id="1389"/>
      <w:bookmarkEnd w:id="1389"/>
      <w:r>
        <w:rPr>
          <w:vertAlign w:val="baseline"/>
        </w:rPr>
        <w:t>market</w:t>
      </w:r>
      <w:r>
        <w:rPr>
          <w:vertAlign w:val="baseline"/>
        </w:rPr>
        <w:t> rate and the charter rate for the overrun period, </w:t>
      </w:r>
      <w:r>
        <w:rPr>
          <w:color w:val="005DA1"/>
          <w:u w:val="single" w:color="005DA1"/>
          <w:vertAlign w:val="superscript"/>
        </w:rPr>
        <w:t>758</w:t>
      </w:r>
      <w:r>
        <w:rPr>
          <w:color w:val="005DA1"/>
          <w:vertAlign w:val="baseline"/>
        </w:rPr>
        <w:t> </w:t>
      </w:r>
      <w:r>
        <w:rPr>
          <w:vertAlign w:val="baseline"/>
        </w:rPr>
        <w:t>and that there had been a “uniform series</w:t>
      </w:r>
      <w:r>
        <w:rPr>
          <w:spacing w:val="40"/>
          <w:vertAlign w:val="baseline"/>
        </w:rPr>
        <w:t> </w:t>
      </w:r>
      <w:r>
        <w:rPr>
          <w:vertAlign w:val="baseline"/>
        </w:rPr>
        <w:t>of dicta” to the same effect. </w:t>
      </w:r>
      <w:r>
        <w:rPr>
          <w:color w:val="005DA1"/>
          <w:u w:val="single" w:color="005DA1"/>
          <w:vertAlign w:val="superscript"/>
        </w:rPr>
        <w:t>759</w:t>
      </w:r>
      <w:r>
        <w:rPr>
          <w:color w:val="005DA1"/>
          <w:vertAlign w:val="baseline"/>
        </w:rPr>
        <w:t> </w:t>
      </w:r>
      <w:r>
        <w:rPr>
          <w:vertAlign w:val="baseline"/>
        </w:rPr>
        <w:t>This might suggest that the effect of </w:t>
      </w:r>
      <w:r>
        <w:rPr>
          <w:rFonts w:ascii="Arial" w:hAnsi="Arial"/>
          <w:i/>
          <w:vertAlign w:val="baseline"/>
        </w:rPr>
        <w:t>The Achilleas </w:t>
      </w:r>
      <w:r>
        <w:rPr>
          <w:vertAlign w:val="baseline"/>
        </w:rPr>
        <w:t>will be limited to cases in which there is a similar kind of understanding. He also pointed out that the owners might have avoided loss of the following fixture by refusing to undertake the last voyage.</w:t>
      </w:r>
    </w:p>
    <w:p>
      <w:pPr>
        <w:pStyle w:val="BodyText"/>
      </w:pPr>
    </w:p>
    <w:p>
      <w:pPr>
        <w:pStyle w:val="BodyText"/>
        <w:spacing w:before="120"/>
      </w:pPr>
    </w:p>
    <w:p>
      <w:pPr>
        <w:pStyle w:val="BodyText"/>
        <w:spacing w:line="235" w:lineRule="auto"/>
        <w:ind w:left="1244"/>
      </w:pPr>
      <w:bookmarkStart w:name="_bookmark1388" w:id="1390"/>
      <w:bookmarkEnd w:id="1390"/>
      <w:r>
        <w:rPr/>
      </w:r>
      <w:r>
        <w:rPr/>
        <w:t>“If</w:t>
      </w:r>
      <w:r>
        <w:rPr>
          <w:spacing w:val="34"/>
        </w:rPr>
        <w:t> </w:t>
      </w:r>
      <w:r>
        <w:rPr/>
        <w:t>it</w:t>
      </w:r>
      <w:r>
        <w:rPr>
          <w:spacing w:val="34"/>
        </w:rPr>
        <w:t> </w:t>
      </w:r>
      <w:r>
        <w:rPr/>
        <w:t>was</w:t>
      </w:r>
      <w:r>
        <w:rPr>
          <w:spacing w:val="34"/>
        </w:rPr>
        <w:t> </w:t>
      </w:r>
      <w:r>
        <w:rPr/>
        <w:t>clear</w:t>
      </w:r>
      <w:r>
        <w:rPr>
          <w:spacing w:val="34"/>
        </w:rPr>
        <w:t> </w:t>
      </w:r>
      <w:r>
        <w:rPr/>
        <w:t>to</w:t>
      </w:r>
      <w:r>
        <w:rPr>
          <w:spacing w:val="34"/>
        </w:rPr>
        <w:t> </w:t>
      </w:r>
      <w:r>
        <w:rPr/>
        <w:t>the</w:t>
      </w:r>
      <w:r>
        <w:rPr>
          <w:spacing w:val="34"/>
        </w:rPr>
        <w:t> </w:t>
      </w:r>
      <w:r>
        <w:rPr/>
        <w:t>owners</w:t>
      </w:r>
      <w:r>
        <w:rPr>
          <w:spacing w:val="34"/>
        </w:rPr>
        <w:t> </w:t>
      </w:r>
      <w:r>
        <w:rPr/>
        <w:t>that</w:t>
      </w:r>
      <w:r>
        <w:rPr>
          <w:spacing w:val="34"/>
        </w:rPr>
        <w:t> </w:t>
      </w:r>
      <w:r>
        <w:rPr/>
        <w:t>the</w:t>
      </w:r>
      <w:r>
        <w:rPr>
          <w:spacing w:val="34"/>
        </w:rPr>
        <w:t> </w:t>
      </w:r>
      <w:r>
        <w:rPr/>
        <w:t>last</w:t>
      </w:r>
      <w:r>
        <w:rPr>
          <w:spacing w:val="34"/>
        </w:rPr>
        <w:t> </w:t>
      </w:r>
      <w:r>
        <w:rPr/>
        <w:t>voyage</w:t>
      </w:r>
      <w:r>
        <w:rPr>
          <w:spacing w:val="34"/>
        </w:rPr>
        <w:t> </w:t>
      </w:r>
      <w:r>
        <w:rPr/>
        <w:t>was</w:t>
      </w:r>
      <w:r>
        <w:rPr>
          <w:spacing w:val="34"/>
        </w:rPr>
        <w:t> </w:t>
      </w:r>
      <w:r>
        <w:rPr/>
        <w:t>bound</w:t>
      </w:r>
      <w:r>
        <w:rPr>
          <w:spacing w:val="34"/>
        </w:rPr>
        <w:t> </w:t>
      </w:r>
      <w:r>
        <w:rPr/>
        <w:t>to</w:t>
      </w:r>
      <w:r>
        <w:rPr>
          <w:spacing w:val="34"/>
        </w:rPr>
        <w:t> </w:t>
      </w:r>
      <w:r>
        <w:rPr/>
        <w:t>overrun</w:t>
      </w:r>
      <w:r>
        <w:rPr>
          <w:spacing w:val="34"/>
        </w:rPr>
        <w:t> </w:t>
      </w:r>
      <w:r>
        <w:rPr/>
        <w:t>and</w:t>
      </w:r>
      <w:r>
        <w:rPr>
          <w:spacing w:val="34"/>
        </w:rPr>
        <w:t> </w:t>
      </w:r>
      <w:r>
        <w:rPr/>
        <w:t>put</w:t>
      </w:r>
      <w:r>
        <w:rPr>
          <w:spacing w:val="34"/>
        </w:rPr>
        <w:t> </w:t>
      </w:r>
      <w:r>
        <w:rPr/>
        <w:t>the following fixture at risk, it was open to them to refuse to undertake it.” </w:t>
      </w:r>
      <w:r>
        <w:rPr>
          <w:color w:val="005DA1"/>
          <w:u w:val="single" w:color="005DA1"/>
          <w:vertAlign w:val="superscript"/>
        </w:rPr>
        <w:t>760</w:t>
      </w:r>
    </w:p>
    <w:p>
      <w:pPr>
        <w:pStyle w:val="BodyText"/>
        <w:spacing w:before="116"/>
      </w:pPr>
    </w:p>
    <w:p>
      <w:pPr>
        <w:pStyle w:val="BodyText"/>
        <w:spacing w:line="235" w:lineRule="auto"/>
        <w:ind w:left="165" w:right="167"/>
        <w:jc w:val="both"/>
      </w:pPr>
      <w:r>
        <w:rPr/>
        <w:t>Although</w:t>
      </w:r>
      <w:r>
        <w:rPr>
          <w:spacing w:val="-1"/>
        </w:rPr>
        <w:t> </w:t>
      </w:r>
      <w:r>
        <w:rPr/>
        <w:t>Lord</w:t>
      </w:r>
      <w:r>
        <w:rPr>
          <w:spacing w:val="-1"/>
        </w:rPr>
        <w:t> </w:t>
      </w:r>
      <w:r>
        <w:rPr/>
        <w:t>Hoffmann</w:t>
      </w:r>
      <w:r>
        <w:rPr>
          <w:spacing w:val="-1"/>
        </w:rPr>
        <w:t> </w:t>
      </w:r>
      <w:r>
        <w:rPr/>
        <w:t>does</w:t>
      </w:r>
      <w:r>
        <w:rPr>
          <w:spacing w:val="-1"/>
        </w:rPr>
        <w:t> </w:t>
      </w:r>
      <w:r>
        <w:rPr/>
        <w:t>not</w:t>
      </w:r>
      <w:r>
        <w:rPr>
          <w:spacing w:val="-1"/>
        </w:rPr>
        <w:t> </w:t>
      </w:r>
      <w:r>
        <w:rPr/>
        <w:t>say</w:t>
      </w:r>
      <w:r>
        <w:rPr>
          <w:spacing w:val="-1"/>
        </w:rPr>
        <w:t> </w:t>
      </w:r>
      <w:r>
        <w:rPr/>
        <w:t>so,</w:t>
      </w:r>
      <w:r>
        <w:rPr>
          <w:spacing w:val="-1"/>
        </w:rPr>
        <w:t> </w:t>
      </w:r>
      <w:r>
        <w:rPr/>
        <w:t>the</w:t>
      </w:r>
      <w:r>
        <w:rPr>
          <w:spacing w:val="-1"/>
        </w:rPr>
        <w:t> </w:t>
      </w:r>
      <w:r>
        <w:rPr/>
        <w:t>owners</w:t>
      </w:r>
      <w:r>
        <w:rPr>
          <w:spacing w:val="-1"/>
        </w:rPr>
        <w:t> </w:t>
      </w:r>
      <w:r>
        <w:rPr/>
        <w:t>might</w:t>
      </w:r>
      <w:r>
        <w:rPr>
          <w:spacing w:val="-1"/>
        </w:rPr>
        <w:t> </w:t>
      </w:r>
      <w:r>
        <w:rPr/>
        <w:t>also</w:t>
      </w:r>
      <w:r>
        <w:rPr>
          <w:spacing w:val="-1"/>
        </w:rPr>
        <w:t> </w:t>
      </w:r>
      <w:r>
        <w:rPr/>
        <w:t>refuse</w:t>
      </w:r>
      <w:r>
        <w:rPr>
          <w:spacing w:val="-1"/>
        </w:rPr>
        <w:t> </w:t>
      </w:r>
      <w:r>
        <w:rPr/>
        <w:t>the</w:t>
      </w:r>
      <w:r>
        <w:rPr>
          <w:spacing w:val="-1"/>
        </w:rPr>
        <w:t> </w:t>
      </w:r>
      <w:r>
        <w:rPr/>
        <w:t>last</w:t>
      </w:r>
      <w:r>
        <w:rPr>
          <w:spacing w:val="-1"/>
        </w:rPr>
        <w:t> </w:t>
      </w:r>
      <w:r>
        <w:rPr/>
        <w:t>voyage</w:t>
      </w:r>
      <w:r>
        <w:rPr>
          <w:spacing w:val="-1"/>
        </w:rPr>
        <w:t> </w:t>
      </w:r>
      <w:r>
        <w:rPr/>
        <w:t>even</w:t>
      </w:r>
      <w:r>
        <w:rPr>
          <w:spacing w:val="-1"/>
        </w:rPr>
        <w:t> </w:t>
      </w:r>
      <w:r>
        <w:rPr/>
        <w:t>if</w:t>
      </w:r>
      <w:r>
        <w:rPr>
          <w:spacing w:val="-1"/>
        </w:rPr>
        <w:t> </w:t>
      </w:r>
      <w:r>
        <w:rPr/>
        <w:t>it</w:t>
      </w:r>
      <w:r>
        <w:rPr>
          <w:spacing w:val="-1"/>
        </w:rPr>
        <w:t> </w:t>
      </w:r>
      <w:r>
        <w:rPr/>
        <w:t>were not illegitimate. This would of course render them liable in damages to the charterer for lost freight, or the cost of arranging another ship, but it would prevent risk to the following fixture. Lord Hope, </w:t>
      </w:r>
      <w:r>
        <w:rPr/>
        <w:t>in contrast,</w:t>
      </w:r>
      <w:r>
        <w:rPr>
          <w:spacing w:val="-1"/>
        </w:rPr>
        <w:t> </w:t>
      </w:r>
      <w:r>
        <w:rPr/>
        <w:t>does</w:t>
      </w:r>
      <w:r>
        <w:rPr>
          <w:spacing w:val="-1"/>
        </w:rPr>
        <w:t> </w:t>
      </w:r>
      <w:r>
        <w:rPr/>
        <w:t>not</w:t>
      </w:r>
      <w:r>
        <w:rPr>
          <w:spacing w:val="-1"/>
        </w:rPr>
        <w:t> </w:t>
      </w:r>
      <w:r>
        <w:rPr/>
        <w:t>refer</w:t>
      </w:r>
      <w:r>
        <w:rPr>
          <w:spacing w:val="-1"/>
        </w:rPr>
        <w:t> </w:t>
      </w:r>
      <w:r>
        <w:rPr/>
        <w:t>to</w:t>
      </w:r>
      <w:r>
        <w:rPr>
          <w:spacing w:val="-1"/>
        </w:rPr>
        <w:t> </w:t>
      </w:r>
      <w:r>
        <w:rPr/>
        <w:t>these</w:t>
      </w:r>
      <w:r>
        <w:rPr>
          <w:spacing w:val="-1"/>
        </w:rPr>
        <w:t> </w:t>
      </w:r>
      <w:r>
        <w:rPr/>
        <w:t>peculiar</w:t>
      </w:r>
      <w:r>
        <w:rPr>
          <w:spacing w:val="-1"/>
        </w:rPr>
        <w:t> </w:t>
      </w:r>
      <w:r>
        <w:rPr/>
        <w:t>features</w:t>
      </w:r>
      <w:r>
        <w:rPr>
          <w:spacing w:val="-1"/>
        </w:rPr>
        <w:t> </w:t>
      </w:r>
      <w:r>
        <w:rPr/>
        <w:t>of</w:t>
      </w:r>
      <w:r>
        <w:rPr>
          <w:spacing w:val="-1"/>
        </w:rPr>
        <w:t> </w:t>
      </w:r>
      <w:r>
        <w:rPr/>
        <w:t>the</w:t>
      </w:r>
      <w:r>
        <w:rPr>
          <w:spacing w:val="-1"/>
        </w:rPr>
        <w:t> </w:t>
      </w:r>
      <w:r>
        <w:rPr/>
        <w:t>case.</w:t>
      </w:r>
      <w:r>
        <w:rPr>
          <w:spacing w:val="-1"/>
        </w:rPr>
        <w:t> </w:t>
      </w:r>
      <w:r>
        <w:rPr/>
        <w:t>Rather</w:t>
      </w:r>
      <w:r>
        <w:rPr>
          <w:spacing w:val="-1"/>
        </w:rPr>
        <w:t> </w:t>
      </w:r>
      <w:r>
        <w:rPr/>
        <w:t>he</w:t>
      </w:r>
      <w:r>
        <w:rPr>
          <w:spacing w:val="-1"/>
        </w:rPr>
        <w:t> </w:t>
      </w:r>
      <w:r>
        <w:rPr/>
        <w:t>seems</w:t>
      </w:r>
      <w:r>
        <w:rPr>
          <w:spacing w:val="-1"/>
        </w:rPr>
        <w:t> </w:t>
      </w:r>
      <w:r>
        <w:rPr/>
        <w:t>to</w:t>
      </w:r>
      <w:r>
        <w:rPr>
          <w:spacing w:val="-1"/>
        </w:rPr>
        <w:t> </w:t>
      </w:r>
      <w:r>
        <w:rPr/>
        <w:t>suggest</w:t>
      </w:r>
      <w:r>
        <w:rPr>
          <w:spacing w:val="-1"/>
        </w:rPr>
        <w:t> </w:t>
      </w:r>
      <w:r>
        <w:rPr/>
        <w:t>that</w:t>
      </w:r>
      <w:r>
        <w:rPr>
          <w:spacing w:val="-1"/>
        </w:rPr>
        <w:t> </w:t>
      </w:r>
      <w:r>
        <w:rPr/>
        <w:t>it</w:t>
      </w:r>
      <w:r>
        <w:rPr>
          <w:spacing w:val="-1"/>
        </w:rPr>
        <w:t> </w:t>
      </w:r>
      <w:r>
        <w:rPr/>
        <w:t>may be</w:t>
      </w:r>
      <w:r>
        <w:rPr>
          <w:spacing w:val="-2"/>
        </w:rPr>
        <w:t> </w:t>
      </w:r>
      <w:r>
        <w:rPr/>
        <w:t>unreasonable</w:t>
      </w:r>
      <w:r>
        <w:rPr>
          <w:spacing w:val="-2"/>
        </w:rPr>
        <w:t> </w:t>
      </w:r>
      <w:r>
        <w:rPr/>
        <w:t>to</w:t>
      </w:r>
      <w:r>
        <w:rPr>
          <w:spacing w:val="-2"/>
        </w:rPr>
        <w:t> </w:t>
      </w:r>
      <w:r>
        <w:rPr/>
        <w:t>assume</w:t>
      </w:r>
      <w:r>
        <w:rPr>
          <w:spacing w:val="-2"/>
        </w:rPr>
        <w:t> </w:t>
      </w:r>
      <w:r>
        <w:rPr/>
        <w:t>that</w:t>
      </w:r>
      <w:r>
        <w:rPr>
          <w:spacing w:val="-2"/>
        </w:rPr>
        <w:t> </w:t>
      </w:r>
      <w:r>
        <w:rPr/>
        <w:t>a</w:t>
      </w:r>
      <w:r>
        <w:rPr>
          <w:spacing w:val="-2"/>
        </w:rPr>
        <w:t> </w:t>
      </w:r>
      <w:r>
        <w:rPr/>
        <w:t>party</w:t>
      </w:r>
      <w:r>
        <w:rPr>
          <w:spacing w:val="-2"/>
        </w:rPr>
        <w:t> </w:t>
      </w:r>
      <w:r>
        <w:rPr/>
        <w:t>accepts</w:t>
      </w:r>
      <w:r>
        <w:rPr>
          <w:spacing w:val="-2"/>
        </w:rPr>
        <w:t> </w:t>
      </w:r>
      <w:r>
        <w:rPr/>
        <w:t>responsibility</w:t>
      </w:r>
      <w:r>
        <w:rPr>
          <w:spacing w:val="-2"/>
        </w:rPr>
        <w:t> </w:t>
      </w:r>
      <w:r>
        <w:rPr/>
        <w:t>for</w:t>
      </w:r>
      <w:r>
        <w:rPr>
          <w:spacing w:val="-2"/>
        </w:rPr>
        <w:t> </w:t>
      </w:r>
      <w:r>
        <w:rPr/>
        <w:t>even</w:t>
      </w:r>
      <w:r>
        <w:rPr>
          <w:spacing w:val="-2"/>
        </w:rPr>
        <w:t> </w:t>
      </w:r>
      <w:r>
        <w:rPr/>
        <w:t>a</w:t>
      </w:r>
      <w:r>
        <w:rPr>
          <w:spacing w:val="-2"/>
        </w:rPr>
        <w:t> </w:t>
      </w:r>
      <w:r>
        <w:rPr/>
        <w:t>loss</w:t>
      </w:r>
      <w:r>
        <w:rPr>
          <w:spacing w:val="-2"/>
        </w:rPr>
        <w:t> </w:t>
      </w:r>
      <w:r>
        <w:rPr/>
        <w:t>which</w:t>
      </w:r>
      <w:r>
        <w:rPr>
          <w:spacing w:val="-2"/>
        </w:rPr>
        <w:t> </w:t>
      </w:r>
      <w:r>
        <w:rPr/>
        <w:t>is</w:t>
      </w:r>
      <w:r>
        <w:rPr>
          <w:spacing w:val="-2"/>
        </w:rPr>
        <w:t> </w:t>
      </w:r>
      <w:r>
        <w:rPr/>
        <w:t>of</w:t>
      </w:r>
      <w:r>
        <w:rPr>
          <w:spacing w:val="-2"/>
        </w:rPr>
        <w:t> </w:t>
      </w:r>
      <w:r>
        <w:rPr/>
        <w:t>a</w:t>
      </w:r>
      <w:r>
        <w:rPr>
          <w:spacing w:val="-2"/>
        </w:rPr>
        <w:t> </w:t>
      </w:r>
      <w:r>
        <w:rPr/>
        <w:t>kind</w:t>
      </w:r>
      <w:r>
        <w:rPr>
          <w:spacing w:val="-2"/>
        </w:rPr>
        <w:t> </w:t>
      </w:r>
      <w:r>
        <w:rPr/>
        <w:t>that</w:t>
      </w:r>
      <w:r>
        <w:rPr>
          <w:spacing w:val="-2"/>
        </w:rPr>
        <w:t> </w:t>
      </w:r>
      <w:r>
        <w:rPr/>
        <w:t>is </w:t>
      </w:r>
      <w:bookmarkStart w:name="_bookmark1389" w:id="1391"/>
      <w:bookmarkEnd w:id="1391"/>
      <w:r>
        <w:rPr/>
        <w:t>“not</w:t>
      </w:r>
      <w:r>
        <w:rPr/>
        <w:t> unlikely”, if the fact that it is not quantifiable will make it hard for the party to price the risk adequately.</w:t>
      </w:r>
      <w:r>
        <w:rPr>
          <w:spacing w:val="3"/>
        </w:rPr>
        <w:t> </w:t>
      </w:r>
      <w:r>
        <w:rPr>
          <w:color w:val="005DA1"/>
          <w:u w:val="single" w:color="005DA1"/>
          <w:vertAlign w:val="superscript"/>
        </w:rPr>
        <w:t>761</w:t>
      </w:r>
      <w:r>
        <w:rPr>
          <w:color w:val="005DA1"/>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is</w:t>
      </w:r>
      <w:r>
        <w:rPr>
          <w:spacing w:val="3"/>
          <w:vertAlign w:val="baseline"/>
        </w:rPr>
        <w:t> </w:t>
      </w:r>
      <w:r>
        <w:rPr>
          <w:vertAlign w:val="baseline"/>
        </w:rPr>
        <w:t>thus</w:t>
      </w:r>
      <w:r>
        <w:rPr>
          <w:spacing w:val="3"/>
          <w:vertAlign w:val="baseline"/>
        </w:rPr>
        <w:t> </w:t>
      </w:r>
      <w:r>
        <w:rPr>
          <w:vertAlign w:val="baseline"/>
        </w:rPr>
        <w:t>open</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interpretation</w:t>
      </w:r>
      <w:r>
        <w:rPr>
          <w:spacing w:val="3"/>
          <w:vertAlign w:val="baseline"/>
        </w:rPr>
        <w:t> </w:t>
      </w:r>
      <w:r>
        <w:rPr>
          <w:vertAlign w:val="baseline"/>
        </w:rPr>
        <w:t>that</w:t>
      </w:r>
      <w:r>
        <w:rPr>
          <w:spacing w:val="3"/>
          <w:vertAlign w:val="baseline"/>
        </w:rPr>
        <w:t> </w:t>
      </w:r>
      <w:r>
        <w:rPr>
          <w:vertAlign w:val="baseline"/>
        </w:rPr>
        <w:t>it</w:t>
      </w:r>
      <w:r>
        <w:rPr>
          <w:spacing w:val="4"/>
          <w:vertAlign w:val="baseline"/>
        </w:rPr>
        <w:t> </w:t>
      </w:r>
      <w:r>
        <w:rPr>
          <w:vertAlign w:val="baseline"/>
        </w:rPr>
        <w:t>lays</w:t>
      </w:r>
      <w:r>
        <w:rPr>
          <w:spacing w:val="3"/>
          <w:vertAlign w:val="baseline"/>
        </w:rPr>
        <w:t> </w:t>
      </w:r>
      <w:r>
        <w:rPr>
          <w:vertAlign w:val="baseline"/>
        </w:rPr>
        <w:t>down</w:t>
      </w:r>
      <w:r>
        <w:rPr>
          <w:spacing w:val="3"/>
          <w:vertAlign w:val="baseline"/>
        </w:rPr>
        <w:t> </w:t>
      </w:r>
      <w:r>
        <w:rPr>
          <w:vertAlign w:val="baseline"/>
        </w:rPr>
        <w:t>a</w:t>
      </w:r>
      <w:r>
        <w:rPr>
          <w:spacing w:val="3"/>
          <w:vertAlign w:val="baseline"/>
        </w:rPr>
        <w:t> </w:t>
      </w:r>
      <w:r>
        <w:rPr>
          <w:vertAlign w:val="baseline"/>
        </w:rPr>
        <w:t>rule</w:t>
      </w:r>
      <w:r>
        <w:rPr>
          <w:spacing w:val="3"/>
          <w:vertAlign w:val="baseline"/>
        </w:rPr>
        <w:t> </w:t>
      </w:r>
      <w:r>
        <w:rPr>
          <w:vertAlign w:val="baseline"/>
        </w:rPr>
        <w:t>that</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spacing w:val="-2"/>
          <w:vertAlign w:val="baseline"/>
        </w:rPr>
        <w:t>applied</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1390" w:id="1392"/>
      <w:bookmarkEnd w:id="1392"/>
      <w:r>
        <w:rPr/>
      </w:r>
      <w:r>
        <w:rPr/>
        <w:t>in any case in which it will be difficult for a party to predict the amount of loss.</w:t>
      </w:r>
      <w:r>
        <w:rPr>
          <w:spacing w:val="-1"/>
        </w:rPr>
        <w:t> </w:t>
      </w:r>
      <w:r>
        <w:rPr>
          <w:color w:val="005DA1"/>
          <w:spacing w:val="-5"/>
          <w:u w:val="single" w:color="005DA1"/>
          <w:vertAlign w:val="superscript"/>
        </w:rPr>
        <w:t>762</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Evaluation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133</w:t>
      </w:r>
    </w:p>
    <w:p>
      <w:pPr>
        <w:pStyle w:val="BodyText"/>
        <w:spacing w:line="235" w:lineRule="auto" w:before="203"/>
        <w:ind w:left="164" w:right="167"/>
        <w:jc w:val="both"/>
      </w:pPr>
      <w:r>
        <w:rPr/>
        <w:t>There may possibly be cases in which a simple application of the remoteness rule, so making </w:t>
      </w:r>
      <w:r>
        <w:rPr/>
        <w:t>the party in breach liable for any loss that was “not unlikely”, will produce inappropriate results, for </w:t>
      </w:r>
      <w:bookmarkStart w:name="_bookmark1391" w:id="1393"/>
      <w:bookmarkEnd w:id="1393"/>
      <w:r>
        <w:rPr/>
        <w:t>example</w:t>
      </w:r>
      <w:r>
        <w:rPr/>
        <w:t> by imposing a liability that is disproportionate to the value of the contract or, as in </w:t>
      </w:r>
      <w:r>
        <w:rPr>
          <w:rFonts w:ascii="Arial" w:hAnsi="Arial"/>
          <w:i/>
        </w:rPr>
        <w:t>The Achilleas</w:t>
      </w:r>
      <w:r>
        <w:rPr/>
        <w:t>, that is simply hard to quantify. </w:t>
      </w:r>
      <w:r>
        <w:rPr>
          <w:color w:val="005DA1"/>
          <w:u w:val="single" w:color="005DA1"/>
          <w:vertAlign w:val="superscript"/>
        </w:rPr>
        <w:t>763</w:t>
      </w:r>
      <w:r>
        <w:rPr>
          <w:color w:val="005DA1"/>
          <w:vertAlign w:val="baseline"/>
        </w:rPr>
        <w:t> </w:t>
      </w:r>
      <w:r>
        <w:rPr>
          <w:vertAlign w:val="baseline"/>
        </w:rPr>
        <w:t>It is submitted, however, that this will rarely be the case.</w:t>
      </w:r>
      <w:r>
        <w:rPr>
          <w:spacing w:val="40"/>
          <w:vertAlign w:val="baseline"/>
        </w:rPr>
        <w:t> </w:t>
      </w:r>
      <w:r>
        <w:rPr>
          <w:vertAlign w:val="baseline"/>
        </w:rPr>
        <w:t>In </w:t>
      </w:r>
      <w:r>
        <w:rPr>
          <w:rFonts w:ascii="Arial" w:hAnsi="Arial"/>
          <w:i/>
          <w:vertAlign w:val="baseline"/>
        </w:rPr>
        <w:t>The Heron II</w:t>
      </w:r>
      <w:r>
        <w:rPr>
          <w:vertAlign w:val="baseline"/>
        </w:rPr>
        <w:t>, Lord Reid explained that the rules of remoteness in tort and in contract are different </w:t>
      </w:r>
      <w:bookmarkStart w:name="_bookmark1392" w:id="1394"/>
      <w:bookmarkEnd w:id="1394"/>
      <w:r>
        <w:rPr>
          <w:vertAlign w:val="baseline"/>
        </w:rPr>
        <w:t>because</w:t>
      </w:r>
      <w:r>
        <w:rPr>
          <w:vertAlign w:val="baseline"/>
        </w:rPr>
        <w:t> in contract cases the parties have the opportunity to direct the other party’s attention to unusual risks. </w:t>
      </w:r>
      <w:r>
        <w:rPr>
          <w:color w:val="005DA1"/>
          <w:u w:val="single" w:color="005DA1"/>
          <w:vertAlign w:val="superscript"/>
        </w:rPr>
        <w:t>764</w:t>
      </w:r>
      <w:r>
        <w:rPr>
          <w:color w:val="005DA1"/>
          <w:vertAlign w:val="baseline"/>
        </w:rPr>
        <w:t> </w:t>
      </w:r>
      <w:r>
        <w:rPr>
          <w:vertAlign w:val="baseline"/>
        </w:rPr>
        <w:t>The implication is that if the party has been told of an unusual loss that might result were he to break the contract, he can safeguard his position. Either he can take extra precautions to avoid breach (and charge an appropriately increased price) or he can insist on a clause excluding or restricting his liability. In most cases, therefore, there is no need for the courts to provide additional protection by holding that it was not reasonable to think that the party was assuming responsibility. Contractual liability is of course based on express or implied agreement, and it is argued that the reason a party who has broken the contract should be held liable for losses that were not unusual, or which</w:t>
      </w:r>
      <w:r>
        <w:rPr>
          <w:spacing w:val="-1"/>
          <w:vertAlign w:val="baseline"/>
        </w:rPr>
        <w:t> </w:t>
      </w:r>
      <w:r>
        <w:rPr>
          <w:vertAlign w:val="baseline"/>
        </w:rPr>
        <w:t>he</w:t>
      </w:r>
      <w:r>
        <w:rPr>
          <w:spacing w:val="-1"/>
          <w:vertAlign w:val="baseline"/>
        </w:rPr>
        <w:t> </w:t>
      </w:r>
      <w:r>
        <w:rPr>
          <w:vertAlign w:val="baseline"/>
        </w:rPr>
        <w:t>had</w:t>
      </w:r>
      <w:r>
        <w:rPr>
          <w:spacing w:val="-1"/>
          <w:vertAlign w:val="baseline"/>
        </w:rPr>
        <w:t> </w:t>
      </w:r>
      <w:r>
        <w:rPr>
          <w:vertAlign w:val="baseline"/>
        </w:rPr>
        <w:t>brought</w:t>
      </w:r>
      <w:r>
        <w:rPr>
          <w:spacing w:val="-1"/>
          <w:vertAlign w:val="baseline"/>
        </w:rPr>
        <w:t> </w:t>
      </w:r>
      <w:r>
        <w:rPr>
          <w:vertAlign w:val="baseline"/>
        </w:rPr>
        <w:t>home</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might</w:t>
      </w:r>
      <w:r>
        <w:rPr>
          <w:spacing w:val="-1"/>
          <w:vertAlign w:val="baseline"/>
        </w:rPr>
        <w:t> </w:t>
      </w:r>
      <w:r>
        <w:rPr>
          <w:vertAlign w:val="baseline"/>
        </w:rPr>
        <w:t>occur,</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(unless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agreed</w:t>
      </w:r>
      <w:r>
        <w:rPr>
          <w:spacing w:val="-1"/>
          <w:vertAlign w:val="baseline"/>
        </w:rPr>
        <w:t> </w:t>
      </w:r>
      <w:r>
        <w:rPr>
          <w:vertAlign w:val="baseline"/>
        </w:rPr>
        <w:t>otherwise)</w:t>
      </w:r>
      <w:r>
        <w:rPr>
          <w:spacing w:val="-1"/>
          <w:vertAlign w:val="baseline"/>
        </w:rPr>
        <w:t> </w:t>
      </w:r>
      <w:r>
        <w:rPr>
          <w:vertAlign w:val="baseline"/>
        </w:rPr>
        <w:t>he</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taken to have agreed to compensate them. But it does not follow that liability for likely losses should be limited by a vague criterion such as “assumption of responsibility”. Rather it is submitted that it is better to have a simple rule that the party in breach is be liable for all losses that are sufficiently likely </w:t>
      </w:r>
      <w:bookmarkStart w:name="_bookmark1393" w:id="1395"/>
      <w:bookmarkEnd w:id="1395"/>
      <w:r>
        <w:rPr>
          <w:vertAlign w:val="baseline"/>
        </w:rPr>
        <w:t>to</w:t>
      </w:r>
      <w:r>
        <w:rPr>
          <w:vertAlign w:val="baseline"/>
        </w:rPr>
        <w:t> occur in the usual case, or whose likelihood has been brought home to him when the contract was made, unless he has validly excluded or restricted his liability. </w:t>
      </w:r>
      <w:r>
        <w:rPr>
          <w:color w:val="005DA1"/>
          <w:u w:val="single" w:color="005DA1"/>
          <w:vertAlign w:val="superscript"/>
        </w:rPr>
        <w:t>765</w:t>
      </w:r>
      <w:r>
        <w:rPr>
          <w:color w:val="005DA1"/>
          <w:vertAlign w:val="baseline"/>
        </w:rPr>
        <w:t> </w:t>
      </w:r>
      <w:r>
        <w:rPr>
          <w:vertAlign w:val="baseline"/>
        </w:rPr>
        <w:t>It has been cogently argued that there are limits to the extent that it is feasible to determine all issues by reference to an assumption of responsibility. In relation to the extent of liability for losses suffered by the innocent party as the result </w:t>
      </w:r>
      <w:bookmarkStart w:name="_bookmark1394" w:id="1396"/>
      <w:bookmarkEnd w:id="1396"/>
      <w:r>
        <w:rPr>
          <w:vertAlign w:val="baseline"/>
        </w:rPr>
        <w:t>of</w:t>
      </w:r>
      <w:r>
        <w:rPr>
          <w:vertAlign w:val="baseline"/>
        </w:rPr>
        <w:t> a breach, there will seldom be any “factual foundation for making a determination as to whether the defendant implicitly assumed responsibility for the risk in question”. </w:t>
      </w:r>
      <w:r>
        <w:rPr>
          <w:color w:val="005DA1"/>
          <w:u w:val="single" w:color="005DA1"/>
          <w:vertAlign w:val="superscript"/>
        </w:rPr>
        <w:t>766</w:t>
      </w:r>
      <w:r>
        <w:rPr>
          <w:color w:val="005DA1"/>
          <w:vertAlign w:val="baseline"/>
        </w:rPr>
        <w:t> </w:t>
      </w:r>
      <w:r>
        <w:rPr>
          <w:vertAlign w:val="baseline"/>
        </w:rPr>
        <w:t>It is thus to be hoped that the approach adopted by the majority in </w:t>
      </w:r>
      <w:r>
        <w:rPr>
          <w:rFonts w:ascii="Arial" w:hAnsi="Arial"/>
          <w:i/>
          <w:vertAlign w:val="baseline"/>
        </w:rPr>
        <w:t>The Achilleas </w:t>
      </w:r>
      <w:r>
        <w:rPr>
          <w:vertAlign w:val="baseline"/>
        </w:rPr>
        <w:t>will be applied by the courts only in exceptional </w:t>
      </w:r>
      <w:bookmarkStart w:name="_bookmark1395" w:id="1397"/>
      <w:bookmarkEnd w:id="1397"/>
      <w:r>
        <w:rPr>
          <w:vertAlign w:val="baseline"/>
        </w:rPr>
        <w:t>circumstances,</w:t>
      </w:r>
      <w:r>
        <w:rPr>
          <w:vertAlign w:val="baseline"/>
        </w:rPr>
        <w:t> such as those emphasised by Lord Hoffmann in that case; and this seems to be the trend of the subsequent authorities. </w:t>
      </w:r>
      <w:r>
        <w:rPr>
          <w:color w:val="005DA1"/>
          <w:u w:val="single" w:color="005DA1"/>
          <w:vertAlign w:val="superscript"/>
        </w:rPr>
        <w:t>767</w:t>
      </w:r>
    </w:p>
    <w:p>
      <w:pPr>
        <w:pStyle w:val="BodyText"/>
      </w:pPr>
    </w:p>
    <w:p>
      <w:pPr>
        <w:pStyle w:val="BodyText"/>
        <w:spacing w:before="28"/>
      </w:pPr>
    </w:p>
    <w:p>
      <w:pPr>
        <w:spacing w:before="1"/>
        <w:ind w:left="165" w:right="0" w:firstLine="0"/>
        <w:jc w:val="left"/>
        <w:rPr>
          <w:rFonts w:ascii="Arial"/>
          <w:b/>
          <w:sz w:val="18"/>
        </w:rPr>
      </w:pPr>
      <w:r>
        <w:rPr>
          <w:rFonts w:ascii="Arial"/>
          <w:b/>
          <w:sz w:val="18"/>
        </w:rPr>
        <w:t>Assumption of responsibility for unlikely </w:t>
      </w:r>
      <w:r>
        <w:rPr>
          <w:rFonts w:ascii="Arial"/>
          <w:b/>
          <w:spacing w:val="-2"/>
          <w:sz w:val="18"/>
        </w:rPr>
        <w:t>losses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134</w:t>
      </w:r>
    </w:p>
    <w:p>
      <w:pPr>
        <w:pStyle w:val="BodyText"/>
        <w:spacing w:line="235" w:lineRule="auto" w:before="203"/>
        <w:ind w:left="164" w:right="167"/>
        <w:jc w:val="both"/>
      </w:pPr>
      <w:bookmarkStart w:name="_bookmark1396" w:id="1398"/>
      <w:bookmarkEnd w:id="1398"/>
      <w:r>
        <w:rPr/>
      </w:r>
      <w:r>
        <w:rPr/>
        <w:t>It was submitted earlier that even before </w:t>
      </w:r>
      <w:r>
        <w:rPr>
          <w:rFonts w:ascii="Arial" w:hAnsi="Arial"/>
          <w:i/>
        </w:rPr>
        <w:t>The Achilleas</w:t>
      </w:r>
      <w:r>
        <w:rPr/>
        <w:t>, it must have been the case that loss which </w:t>
      </w:r>
      <w:bookmarkStart w:name="_bookmark1397" w:id="1399"/>
      <w:bookmarkEnd w:id="1399"/>
      <w:r>
        <w:rPr/>
        <w:t>must</w:t>
      </w:r>
      <w:r>
        <w:rPr/>
        <w:t> have been contemplated will not be too remote even if the chance of it occurring was very low. </w:t>
      </w:r>
      <w:r>
        <w:rPr>
          <w:color w:val="005DA1"/>
          <w:u w:val="single" w:color="005DA1"/>
          <w:vertAlign w:val="superscript"/>
        </w:rPr>
        <w:t>768</w:t>
      </w:r>
      <w:r>
        <w:rPr>
          <w:color w:val="005DA1"/>
          <w:vertAlign w:val="baseline"/>
        </w:rPr>
        <w:t> </w:t>
      </w:r>
      <w:r>
        <w:rPr>
          <w:vertAlign w:val="baseline"/>
        </w:rPr>
        <w:t>In </w:t>
      </w:r>
      <w:r>
        <w:rPr>
          <w:rFonts w:ascii="Arial" w:hAnsi="Arial"/>
          <w:i/>
          <w:vertAlign w:val="baseline"/>
        </w:rPr>
        <w:t>Supershield Ltd v Siemens Building Technologies FE Ltd </w:t>
      </w:r>
      <w:r>
        <w:rPr>
          <w:color w:val="005DA1"/>
          <w:u w:val="single" w:color="005DA1"/>
          <w:vertAlign w:val="superscript"/>
        </w:rPr>
        <w:t>769</w:t>
      </w:r>
      <w:r>
        <w:rPr>
          <w:color w:val="005DA1"/>
          <w:vertAlign w:val="baseline"/>
        </w:rPr>
        <w:t> </w:t>
      </w:r>
      <w:r>
        <w:rPr>
          <w:vertAlign w:val="baseline"/>
        </w:rPr>
        <w:t>this was explained in terms of assumption of responsibility having “an inclusionary effect”:</w:t>
      </w:r>
    </w:p>
    <w:p>
      <w:pPr>
        <w:pStyle w:val="BodyText"/>
      </w:pPr>
    </w:p>
    <w:p>
      <w:pPr>
        <w:pStyle w:val="BodyText"/>
        <w:spacing w:before="125"/>
      </w:pPr>
    </w:p>
    <w:p>
      <w:pPr>
        <w:pStyle w:val="BodyText"/>
        <w:spacing w:line="235" w:lineRule="auto"/>
        <w:ind w:left="1245" w:right="167"/>
        <w:jc w:val="both"/>
      </w:pPr>
      <w:r>
        <w:rPr/>
        <w:t>“If,</w:t>
      </w:r>
      <w:r>
        <w:rPr>
          <w:spacing w:val="-3"/>
        </w:rPr>
        <w:t> </w:t>
      </w:r>
      <w:r>
        <w:rPr/>
        <w:t>on</w:t>
      </w:r>
      <w:r>
        <w:rPr>
          <w:spacing w:val="-3"/>
        </w:rPr>
        <w:t> </w:t>
      </w:r>
      <w:r>
        <w:rPr/>
        <w:t>the</w:t>
      </w:r>
      <w:r>
        <w:rPr>
          <w:spacing w:val="-3"/>
        </w:rPr>
        <w:t> </w:t>
      </w:r>
      <w:r>
        <w:rPr/>
        <w:t>proper</w:t>
      </w:r>
      <w:r>
        <w:rPr>
          <w:spacing w:val="-3"/>
        </w:rPr>
        <w:t> </w:t>
      </w:r>
      <w:r>
        <w:rPr/>
        <w:t>analysis</w:t>
      </w:r>
      <w:r>
        <w:rPr>
          <w:spacing w:val="-3"/>
        </w:rPr>
        <w:t> </w:t>
      </w:r>
      <w:r>
        <w:rPr/>
        <w:t>of</w:t>
      </w:r>
      <w:r>
        <w:rPr>
          <w:spacing w:val="-3"/>
        </w:rPr>
        <w:t> </w:t>
      </w:r>
      <w:r>
        <w:rPr/>
        <w:t>the</w:t>
      </w:r>
      <w:r>
        <w:rPr>
          <w:spacing w:val="-3"/>
        </w:rPr>
        <w:t> </w:t>
      </w:r>
      <w:r>
        <w:rPr/>
        <w:t>contract</w:t>
      </w:r>
      <w:r>
        <w:rPr>
          <w:spacing w:val="-3"/>
        </w:rPr>
        <w:t> </w:t>
      </w:r>
      <w:r>
        <w:rPr/>
        <w:t>against</w:t>
      </w:r>
      <w:r>
        <w:rPr>
          <w:spacing w:val="-3"/>
        </w:rPr>
        <w:t> </w:t>
      </w:r>
      <w:r>
        <w:rPr/>
        <w:t>its</w:t>
      </w:r>
      <w:r>
        <w:rPr>
          <w:spacing w:val="-3"/>
        </w:rPr>
        <w:t> </w:t>
      </w:r>
      <w:r>
        <w:rPr/>
        <w:t>commercial</w:t>
      </w:r>
      <w:r>
        <w:rPr>
          <w:spacing w:val="-3"/>
        </w:rPr>
        <w:t> </w:t>
      </w:r>
      <w:r>
        <w:rPr/>
        <w:t>background,</w:t>
      </w:r>
      <w:r>
        <w:rPr>
          <w:spacing w:val="-3"/>
        </w:rPr>
        <w:t> </w:t>
      </w:r>
      <w:r>
        <w:rPr/>
        <w:t>the</w:t>
      </w:r>
      <w:r>
        <w:rPr>
          <w:spacing w:val="-3"/>
        </w:rPr>
        <w:t> </w:t>
      </w:r>
      <w:r>
        <w:rPr/>
        <w:t>loss</w:t>
      </w:r>
      <w:r>
        <w:rPr>
          <w:spacing w:val="-3"/>
        </w:rPr>
        <w:t> </w:t>
      </w:r>
      <w:r>
        <w:rPr/>
        <w:t>was within the scope of the duty, it cannot be regarded as too remote, even if it would </w:t>
      </w:r>
      <w:r>
        <w:rPr/>
        <w:t>not</w:t>
      </w:r>
      <w:r>
        <w:rPr>
          <w:spacing w:val="40"/>
        </w:rPr>
        <w:t> </w:t>
      </w:r>
      <w:r>
        <w:rPr/>
        <w:t>have occurred in ordinary circumstances.”</w:t>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67200">
                <wp:simplePos x="0" y="0"/>
                <wp:positionH relativeFrom="page">
                  <wp:posOffset>914400</wp:posOffset>
                </wp:positionH>
                <wp:positionV relativeFrom="paragraph">
                  <wp:posOffset>260107</wp:posOffset>
                </wp:positionV>
                <wp:extent cx="5724525"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80871pt;width:450.75pt;height:.1pt;mso-position-horizontal-relative:page;mso-position-vertical-relative:paragraph;z-index:-15649280;mso-wrap-distance-left:0;mso-wrap-distance-right:0" id="docshape65" coordorigin="1440,410" coordsize="9015,0" path="m1440,410l10454,41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hAnsi="Arial"/>
          <w:i/>
          <w:sz w:val="20"/>
        </w:rPr>
      </w:pPr>
      <w:hyperlink w:history="true" w:anchor="_bookmark1456">
        <w:r>
          <w:rPr>
            <w:color w:val="005DA1"/>
            <w:position w:val="5"/>
            <w:sz w:val="14"/>
            <w:u w:val="single" w:color="005DA1"/>
          </w:rPr>
          <w:t>604</w:t>
        </w:r>
      </w:hyperlink>
      <w:r>
        <w:rPr>
          <w:position w:val="5"/>
          <w:sz w:val="14"/>
        </w:rPr>
        <w:t>.</w:t>
      </w:r>
      <w:r>
        <w:rPr>
          <w:spacing w:val="80"/>
          <w:position w:val="5"/>
          <w:sz w:val="14"/>
        </w:rPr>
        <w:t>  </w:t>
      </w:r>
      <w:r>
        <w:rPr>
          <w:sz w:val="20"/>
        </w:rPr>
        <w:t>The</w:t>
      </w:r>
      <w:r>
        <w:rPr>
          <w:spacing w:val="-1"/>
          <w:sz w:val="20"/>
        </w:rPr>
        <w:t> </w:t>
      </w:r>
      <w:r>
        <w:rPr>
          <w:sz w:val="20"/>
        </w:rPr>
        <w:t>term</w:t>
      </w:r>
      <w:r>
        <w:rPr>
          <w:spacing w:val="-1"/>
          <w:sz w:val="20"/>
        </w:rPr>
        <w:t> </w:t>
      </w:r>
      <w:r>
        <w:rPr>
          <w:sz w:val="20"/>
        </w:rPr>
        <w:t>“remoteness</w:t>
      </w:r>
      <w:r>
        <w:rPr>
          <w:spacing w:val="-1"/>
          <w:sz w:val="20"/>
        </w:rPr>
        <w:t> </w:t>
      </w:r>
      <w:r>
        <w:rPr>
          <w:sz w:val="20"/>
        </w:rPr>
        <w:t>of</w:t>
      </w:r>
      <w:r>
        <w:rPr>
          <w:spacing w:val="-1"/>
          <w:sz w:val="20"/>
        </w:rPr>
        <w:t> </w:t>
      </w:r>
      <w:r>
        <w:rPr>
          <w:sz w:val="20"/>
        </w:rPr>
        <w:t>damage”</w:t>
      </w:r>
      <w:r>
        <w:rPr>
          <w:spacing w:val="-1"/>
          <w:sz w:val="20"/>
        </w:rPr>
        <w:t> </w:t>
      </w:r>
      <w:r>
        <w:rPr>
          <w:sz w:val="20"/>
        </w:rPr>
        <w:t>has</w:t>
      </w:r>
      <w:r>
        <w:rPr>
          <w:spacing w:val="-1"/>
          <w:sz w:val="20"/>
        </w:rPr>
        <w:t> </w:t>
      </w:r>
      <w:r>
        <w:rPr>
          <w:sz w:val="20"/>
        </w:rPr>
        <w:t>been</w:t>
      </w:r>
      <w:r>
        <w:rPr>
          <w:spacing w:val="-1"/>
          <w:sz w:val="20"/>
        </w:rPr>
        <w:t> </w:t>
      </w:r>
      <w:r>
        <w:rPr>
          <w:sz w:val="20"/>
        </w:rPr>
        <w:t>distinguished</w:t>
      </w:r>
      <w:r>
        <w:rPr>
          <w:spacing w:val="-1"/>
          <w:sz w:val="20"/>
        </w:rPr>
        <w:t> </w:t>
      </w:r>
      <w:r>
        <w:rPr>
          <w:sz w:val="20"/>
        </w:rPr>
        <w:t>from</w:t>
      </w:r>
      <w:r>
        <w:rPr>
          <w:spacing w:val="-1"/>
          <w:sz w:val="20"/>
        </w:rPr>
        <w:t> </w:t>
      </w:r>
      <w:r>
        <w:rPr>
          <w:sz w:val="20"/>
        </w:rPr>
        <w:t>the</w:t>
      </w:r>
      <w:r>
        <w:rPr>
          <w:spacing w:val="-1"/>
          <w:sz w:val="20"/>
        </w:rPr>
        <w:t> </w:t>
      </w:r>
      <w:r>
        <w:rPr>
          <w:sz w:val="20"/>
        </w:rPr>
        <w:t>term</w:t>
      </w:r>
      <w:r>
        <w:rPr>
          <w:spacing w:val="-1"/>
          <w:sz w:val="20"/>
        </w:rPr>
        <w:t> </w:t>
      </w:r>
      <w:r>
        <w:rPr>
          <w:sz w:val="20"/>
        </w:rPr>
        <w:t>“measure</w:t>
      </w:r>
      <w:r>
        <w:rPr>
          <w:spacing w:val="-1"/>
          <w:sz w:val="20"/>
        </w:rPr>
        <w:t> </w:t>
      </w:r>
      <w:r>
        <w:rPr>
          <w:sz w:val="20"/>
        </w:rPr>
        <w:t>of</w:t>
      </w:r>
      <w:r>
        <w:rPr>
          <w:spacing w:val="-1"/>
          <w:sz w:val="20"/>
        </w:rPr>
        <w:t> </w:t>
      </w:r>
      <w:r>
        <w:rPr>
          <w:sz w:val="20"/>
        </w:rPr>
        <w:t>damages” (or “quantification”), the former referring to the rules as to which types of consequences or losses may be compensated, the latter to the method of assessing in money the compensation for a particular consequence or loss which has been held to be not too remote. In </w:t>
      </w:r>
      <w:r>
        <w:rPr>
          <w:rFonts w:ascii="Arial" w:hAnsi="Arial"/>
          <w:i/>
          <w:sz w:val="20"/>
        </w:rPr>
        <w:t>Wroth v Tyler [1974] Ch. 30, 60–62 </w:t>
      </w:r>
      <w:r>
        <w:rPr>
          <w:sz w:val="20"/>
        </w:rPr>
        <w:t>(below, para.26-116) it was held that the parties need not have contemplated the quantum of damage; see also </w:t>
      </w:r>
      <w:r>
        <w:rPr>
          <w:rFonts w:ascii="Arial" w:hAnsi="Arial"/>
          <w:i/>
          <w:sz w:val="20"/>
        </w:rPr>
        <w:t>Vacwell Engineering Co Ltd v B.D.H. Chemicals</w:t>
      </w:r>
      <w:r>
        <w:rPr>
          <w:rFonts w:ascii="Arial" w:hAnsi="Arial"/>
          <w:i/>
          <w:spacing w:val="-1"/>
          <w:sz w:val="20"/>
        </w:rPr>
        <w:t> </w:t>
      </w:r>
      <w:r>
        <w:rPr>
          <w:rFonts w:ascii="Arial" w:hAnsi="Arial"/>
          <w:i/>
          <w:sz w:val="20"/>
        </w:rPr>
        <w:t>Ltd [1971] Q.B. 88, 110</w:t>
      </w:r>
      <w:r>
        <w:rPr>
          <w:sz w:val="20"/>
        </w:rPr>
        <w:t>; </w:t>
      </w:r>
      <w:r>
        <w:rPr>
          <w:rFonts w:ascii="Arial" w:hAnsi="Arial"/>
          <w:i/>
          <w:sz w:val="20"/>
        </w:rPr>
        <w:t>H. Parsons (Livestock) Ltd v Uttley, Ingham &amp; Co Ltd </w:t>
      </w:r>
      <w:r>
        <w:rPr>
          <w:rFonts w:ascii="Arial" w:hAnsi="Arial"/>
          <w:i/>
          <w:spacing w:val="-2"/>
          <w:sz w:val="20"/>
        </w:rPr>
        <w:t>[1978]</w:t>
      </w:r>
    </w:p>
    <w:p>
      <w:pPr>
        <w:spacing w:after="0" w:line="235" w:lineRule="auto"/>
        <w:jc w:val="both"/>
        <w:rPr>
          <w:rFonts w:ascii="Arial" w:hAnsi="Arial"/>
          <w:i/>
          <w:sz w:val="20"/>
        </w:rPr>
        <w:sectPr>
          <w:pgSz w:w="11900" w:h="16840"/>
          <w:pgMar w:header="971" w:footer="0" w:top="1300" w:bottom="280" w:left="1275" w:right="1275"/>
        </w:sectPr>
      </w:pPr>
    </w:p>
    <w:p>
      <w:pPr>
        <w:spacing w:line="235" w:lineRule="auto" w:before="170"/>
        <w:ind w:left="705" w:right="167" w:firstLine="0"/>
        <w:jc w:val="both"/>
        <w:rPr>
          <w:rFonts w:ascii="Arial"/>
          <w:i/>
          <w:sz w:val="20"/>
        </w:rPr>
      </w:pPr>
      <w:r>
        <w:rPr>
          <w:rFonts w:ascii="Arial"/>
          <w:i/>
          <w:sz w:val="20"/>
        </w:rPr>
        <w:t>Q.B. 791, 805, 813</w:t>
      </w:r>
      <w:r>
        <w:rPr>
          <w:sz w:val="20"/>
        </w:rPr>
        <w:t>. It seems that in principle the distinction is between the type or kind of </w:t>
      </w:r>
      <w:r>
        <w:rPr>
          <w:sz w:val="20"/>
        </w:rPr>
        <w:t>loss (see</w:t>
      </w:r>
      <w:r>
        <w:rPr>
          <w:spacing w:val="-1"/>
          <w:sz w:val="20"/>
        </w:rPr>
        <w:t> </w:t>
      </w:r>
      <w:r>
        <w:rPr>
          <w:sz w:val="20"/>
        </w:rPr>
        <w:t>below,</w:t>
      </w:r>
      <w:r>
        <w:rPr>
          <w:spacing w:val="-1"/>
          <w:sz w:val="20"/>
        </w:rPr>
        <w:t> </w:t>
      </w:r>
      <w:r>
        <w:rPr>
          <w:sz w:val="20"/>
        </w:rPr>
        <w:t>para.26-116)</w:t>
      </w:r>
      <w:r>
        <w:rPr>
          <w:spacing w:val="-1"/>
          <w:sz w:val="20"/>
        </w:rPr>
        <w:t> </w:t>
      </w:r>
      <w:r>
        <w:rPr>
          <w:sz w:val="20"/>
        </w:rPr>
        <w:t>and</w:t>
      </w:r>
      <w:r>
        <w:rPr>
          <w:spacing w:val="-1"/>
          <w:sz w:val="20"/>
        </w:rPr>
        <w:t> </w:t>
      </w:r>
      <w:r>
        <w:rPr>
          <w:sz w:val="20"/>
        </w:rPr>
        <w:t>its</w:t>
      </w:r>
      <w:r>
        <w:rPr>
          <w:spacing w:val="-1"/>
          <w:sz w:val="20"/>
        </w:rPr>
        <w:t> </w:t>
      </w:r>
      <w:r>
        <w:rPr>
          <w:sz w:val="20"/>
        </w:rPr>
        <w:t>amount</w:t>
      </w:r>
      <w:r>
        <w:rPr>
          <w:spacing w:val="-1"/>
          <w:sz w:val="20"/>
        </w:rPr>
        <w:t> </w:t>
      </w:r>
      <w:r>
        <w:rPr>
          <w:sz w:val="20"/>
        </w:rPr>
        <w:t>or</w:t>
      </w:r>
      <w:r>
        <w:rPr>
          <w:spacing w:val="-1"/>
          <w:sz w:val="20"/>
        </w:rPr>
        <w:t> </w:t>
      </w:r>
      <w:r>
        <w:rPr>
          <w:sz w:val="20"/>
        </w:rPr>
        <w:t>the</w:t>
      </w:r>
      <w:r>
        <w:rPr>
          <w:spacing w:val="-1"/>
          <w:sz w:val="20"/>
        </w:rPr>
        <w:t> </w:t>
      </w:r>
      <w:r>
        <w:rPr>
          <w:sz w:val="20"/>
        </w:rPr>
        <w:t>precise</w:t>
      </w:r>
      <w:r>
        <w:rPr>
          <w:spacing w:val="-1"/>
          <w:sz w:val="20"/>
        </w:rPr>
        <w:t> </w:t>
      </w:r>
      <w:r>
        <w:rPr>
          <w:sz w:val="20"/>
        </w:rPr>
        <w:t>way</w:t>
      </w:r>
      <w:r>
        <w:rPr>
          <w:spacing w:val="-1"/>
          <w:sz w:val="20"/>
        </w:rPr>
        <w:t> </w:t>
      </w:r>
      <w:r>
        <w:rPr>
          <w:sz w:val="20"/>
        </w:rPr>
        <w:t>in</w:t>
      </w:r>
      <w:r>
        <w:rPr>
          <w:spacing w:val="-1"/>
          <w:sz w:val="20"/>
        </w:rPr>
        <w:t> </w:t>
      </w:r>
      <w:r>
        <w:rPr>
          <w:sz w:val="20"/>
        </w:rPr>
        <w:t>which</w:t>
      </w:r>
      <w:r>
        <w:rPr>
          <w:spacing w:val="-1"/>
          <w:sz w:val="20"/>
        </w:rPr>
        <w:t> </w:t>
      </w:r>
      <w:r>
        <w:rPr>
          <w:sz w:val="20"/>
        </w:rPr>
        <w:t>it</w:t>
      </w:r>
      <w:r>
        <w:rPr>
          <w:spacing w:val="-1"/>
          <w:sz w:val="20"/>
        </w:rPr>
        <w:t> </w:t>
      </w:r>
      <w:r>
        <w:rPr>
          <w:sz w:val="20"/>
        </w:rPr>
        <w:t>occurred,</w:t>
      </w:r>
      <w:r>
        <w:rPr>
          <w:spacing w:val="-1"/>
          <w:sz w:val="20"/>
        </w:rPr>
        <w:t> </w:t>
      </w:r>
      <w:r>
        <w:rPr>
          <w:sz w:val="20"/>
        </w:rPr>
        <w:t>but</w:t>
      </w:r>
      <w:r>
        <w:rPr>
          <w:spacing w:val="-1"/>
          <w:sz w:val="20"/>
        </w:rPr>
        <w:t> </w:t>
      </w:r>
      <w:r>
        <w:rPr>
          <w:sz w:val="20"/>
        </w:rPr>
        <w:t>we</w:t>
      </w:r>
      <w:r>
        <w:rPr>
          <w:spacing w:val="-1"/>
          <w:sz w:val="20"/>
        </w:rPr>
        <w:t> </w:t>
      </w:r>
      <w:r>
        <w:rPr>
          <w:sz w:val="20"/>
        </w:rPr>
        <w:t>will</w:t>
      </w:r>
      <w:r>
        <w:rPr>
          <w:spacing w:val="-1"/>
          <w:sz w:val="20"/>
        </w:rPr>
        <w:t> </w:t>
      </w:r>
      <w:r>
        <w:rPr>
          <w:sz w:val="20"/>
        </w:rPr>
        <w:t>see that in contract cases the courts have sometimes drawn narrow distinctions between different types</w:t>
      </w:r>
      <w:r>
        <w:rPr>
          <w:spacing w:val="26"/>
          <w:sz w:val="20"/>
        </w:rPr>
        <w:t> </w:t>
      </w:r>
      <w:r>
        <w:rPr>
          <w:sz w:val="20"/>
        </w:rPr>
        <w:t>of</w:t>
      </w:r>
      <w:r>
        <w:rPr>
          <w:spacing w:val="26"/>
          <w:sz w:val="20"/>
        </w:rPr>
        <w:t> </w:t>
      </w:r>
      <w:r>
        <w:rPr>
          <w:sz w:val="20"/>
        </w:rPr>
        <w:t>loss</w:t>
      </w:r>
      <w:r>
        <w:rPr>
          <w:spacing w:val="26"/>
          <w:sz w:val="20"/>
        </w:rPr>
        <w:t> </w:t>
      </w:r>
      <w:r>
        <w:rPr>
          <w:sz w:val="20"/>
        </w:rPr>
        <w:t>of</w:t>
      </w:r>
      <w:r>
        <w:rPr>
          <w:spacing w:val="26"/>
          <w:sz w:val="20"/>
        </w:rPr>
        <w:t> </w:t>
      </w:r>
      <w:r>
        <w:rPr>
          <w:sz w:val="20"/>
        </w:rPr>
        <w:t>profit</w:t>
      </w:r>
      <w:r>
        <w:rPr>
          <w:spacing w:val="26"/>
          <w:sz w:val="20"/>
        </w:rPr>
        <w:t> </w:t>
      </w:r>
      <w:r>
        <w:rPr>
          <w:sz w:val="20"/>
        </w:rPr>
        <w:t>(e.g.</w:t>
      </w:r>
      <w:r>
        <w:rPr>
          <w:spacing w:val="26"/>
          <w:sz w:val="20"/>
        </w:rPr>
        <w:t> </w:t>
      </w:r>
      <w:r>
        <w:rPr>
          <w:rFonts w:ascii="Arial"/>
          <w:i/>
          <w:sz w:val="20"/>
        </w:rPr>
        <w:t>Victoria</w:t>
      </w:r>
      <w:r>
        <w:rPr>
          <w:rFonts w:ascii="Arial"/>
          <w:i/>
          <w:spacing w:val="26"/>
          <w:sz w:val="20"/>
        </w:rPr>
        <w:t> </w:t>
      </w:r>
      <w:r>
        <w:rPr>
          <w:rFonts w:ascii="Arial"/>
          <w:i/>
          <w:sz w:val="20"/>
        </w:rPr>
        <w:t>Laundry</w:t>
      </w:r>
      <w:r>
        <w:rPr>
          <w:rFonts w:ascii="Arial"/>
          <w:i/>
          <w:spacing w:val="26"/>
          <w:sz w:val="20"/>
        </w:rPr>
        <w:t> </w:t>
      </w:r>
      <w:r>
        <w:rPr>
          <w:rFonts w:ascii="Arial"/>
          <w:i/>
          <w:sz w:val="20"/>
        </w:rPr>
        <w:t>(Windsor)</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Newman</w:t>
      </w:r>
      <w:r>
        <w:rPr>
          <w:rFonts w:ascii="Arial"/>
          <w:i/>
          <w:spacing w:val="26"/>
          <w:sz w:val="20"/>
        </w:rPr>
        <w:t> </w:t>
      </w:r>
      <w:r>
        <w:rPr>
          <w:rFonts w:ascii="Arial"/>
          <w:i/>
          <w:sz w:val="20"/>
        </w:rPr>
        <w:t>Industries</w:t>
      </w:r>
      <w:r>
        <w:rPr>
          <w:rFonts w:ascii="Arial"/>
          <w:i/>
          <w:spacing w:val="26"/>
          <w:sz w:val="20"/>
        </w:rPr>
        <w:t> </w:t>
      </w:r>
      <w:r>
        <w:rPr>
          <w:rFonts w:ascii="Arial"/>
          <w:i/>
          <w:sz w:val="20"/>
        </w:rPr>
        <w:t>Ltd</w:t>
      </w:r>
      <w:r>
        <w:rPr>
          <w:rFonts w:ascii="Arial"/>
          <w:i/>
          <w:spacing w:val="26"/>
          <w:sz w:val="20"/>
        </w:rPr>
        <w:t> </w:t>
      </w:r>
      <w:r>
        <w:rPr>
          <w:rFonts w:ascii="Arial"/>
          <w:i/>
          <w:sz w:val="20"/>
        </w:rPr>
        <w:t>[1949]</w:t>
      </w:r>
      <w:r>
        <w:rPr>
          <w:rFonts w:ascii="Arial"/>
          <w:i/>
          <w:spacing w:val="26"/>
          <w:sz w:val="20"/>
        </w:rPr>
        <w:t> </w:t>
      </w:r>
      <w:r>
        <w:rPr>
          <w:rFonts w:ascii="Arial"/>
          <w:i/>
          <w:spacing w:val="-10"/>
          <w:sz w:val="20"/>
        </w:rPr>
        <w:t>2</w:t>
      </w:r>
    </w:p>
    <w:p>
      <w:pPr>
        <w:spacing w:line="235" w:lineRule="auto" w:before="0"/>
        <w:ind w:left="705" w:right="167" w:firstLine="0"/>
        <w:jc w:val="both"/>
        <w:rPr>
          <w:sz w:val="20"/>
        </w:rPr>
      </w:pPr>
      <w:r>
        <w:rPr>
          <w:rFonts w:ascii="Arial" w:hAnsi="Arial"/>
          <w:i/>
          <w:sz w:val="20"/>
        </w:rPr>
        <w:t>K.B. 528</w:t>
      </w:r>
      <w:r>
        <w:rPr>
          <w:sz w:val="20"/>
        </w:rPr>
        <w:t>, see below, para.26-114) and different ways in which loss of profit might have</w:t>
      </w:r>
      <w:r>
        <w:rPr>
          <w:spacing w:val="40"/>
          <w:sz w:val="20"/>
        </w:rPr>
        <w:t> </w:t>
      </w:r>
      <w:r>
        <w:rPr>
          <w:sz w:val="20"/>
        </w:rPr>
        <w:t>occurred (e.g. the speeches of Lord Rodger, Lord Walker and Baroness Hale in </w:t>
      </w:r>
      <w:r>
        <w:rPr>
          <w:rFonts w:ascii="Arial" w:hAnsi="Arial"/>
          <w:i/>
          <w:sz w:val="20"/>
        </w:rPr>
        <w:t>Transfield Shipping Inc v Mercator Shipping Inc (The Achilleas) [2008] UKHL 48, [2009] 1 A.C. 61</w:t>
      </w:r>
      <w:r>
        <w:rPr>
          <w:sz w:val="20"/>
        </w:rPr>
        <w:t>, see below, para.26-128). The distinction between remoteness and quantum is also drawn for the purposes of conflicts of laws: Cheshire and North, </w:t>
      </w:r>
      <w:r>
        <w:rPr>
          <w:rFonts w:ascii="Arial" w:hAnsi="Arial"/>
          <w:i/>
          <w:sz w:val="20"/>
        </w:rPr>
        <w:t>Private International Law</w:t>
      </w:r>
      <w:r>
        <w:rPr>
          <w:sz w:val="20"/>
        </w:rPr>
        <w:t>, 5th edn, pp.708–712 (approved in </w:t>
      </w:r>
      <w:r>
        <w:rPr>
          <w:rFonts w:ascii="Arial" w:hAnsi="Arial"/>
          <w:i/>
          <w:sz w:val="20"/>
        </w:rPr>
        <w:t>D’Almeida Araujo v Becker [1953] 2 Q.B. 329</w:t>
      </w:r>
      <w:r>
        <w:rPr>
          <w:sz w:val="20"/>
        </w:rPr>
        <w:t>; see now 14th edition</w:t>
      </w:r>
      <w:r>
        <w:rPr>
          <w:spacing w:val="40"/>
          <w:sz w:val="20"/>
        </w:rPr>
        <w:t> </w:t>
      </w:r>
      <w:r>
        <w:rPr>
          <w:sz w:val="20"/>
        </w:rPr>
        <w:t>by Cheshire, North and Fawcett, pp.96–97). This distinction has not always found favour with the courts in a domestic case: see </w:t>
      </w:r>
      <w:r>
        <w:rPr>
          <w:rFonts w:ascii="Arial" w:hAnsi="Arial"/>
          <w:i/>
          <w:sz w:val="20"/>
        </w:rPr>
        <w:t>Handel (NV) My. J. Smits Import-Export v English Exporters Ltd [1955] 2 Lloyd’s Rep. 69, 72</w:t>
      </w:r>
      <w:r>
        <w:rPr>
          <w:sz w:val="20"/>
        </w:rPr>
        <w:t>; affirmed at 317; </w:t>
      </w:r>
      <w:r>
        <w:rPr>
          <w:rFonts w:ascii="Arial" w:hAnsi="Arial"/>
          <w:i/>
          <w:sz w:val="20"/>
        </w:rPr>
        <w:t>Boys v Chaplin [1968] 2 Q.B. 1, 31</w:t>
      </w:r>
      <w:r>
        <w:rPr>
          <w:sz w:val="20"/>
        </w:rPr>
        <w:t>; but the distinction has been accepted in a conflict of laws problem: </w:t>
      </w:r>
      <w:r>
        <w:rPr>
          <w:rFonts w:ascii="Arial" w:hAnsi="Arial"/>
          <w:i/>
          <w:sz w:val="20"/>
        </w:rPr>
        <w:t>Boys v Chaplin [1971] A.C. 356, 378–379,</w:t>
      </w:r>
      <w:r>
        <w:rPr>
          <w:rFonts w:ascii="Arial" w:hAnsi="Arial"/>
          <w:i/>
          <w:spacing w:val="4"/>
          <w:sz w:val="20"/>
        </w:rPr>
        <w:t> </w:t>
      </w:r>
      <w:r>
        <w:rPr>
          <w:rFonts w:ascii="Arial" w:hAnsi="Arial"/>
          <w:i/>
          <w:sz w:val="20"/>
        </w:rPr>
        <w:t>382–383,</w:t>
      </w:r>
      <w:r>
        <w:rPr>
          <w:rFonts w:ascii="Arial" w:hAnsi="Arial"/>
          <w:i/>
          <w:spacing w:val="5"/>
          <w:sz w:val="20"/>
        </w:rPr>
        <w:t> </w:t>
      </w:r>
      <w:r>
        <w:rPr>
          <w:rFonts w:ascii="Arial" w:hAnsi="Arial"/>
          <w:i/>
          <w:sz w:val="20"/>
        </w:rPr>
        <w:t>392–393,</w:t>
      </w:r>
      <w:r>
        <w:rPr>
          <w:rFonts w:ascii="Arial" w:hAnsi="Arial"/>
          <w:i/>
          <w:spacing w:val="5"/>
          <w:sz w:val="20"/>
        </w:rPr>
        <w:t> </w:t>
      </w:r>
      <w:r>
        <w:rPr>
          <w:rFonts w:ascii="Arial" w:hAnsi="Arial"/>
          <w:i/>
          <w:sz w:val="20"/>
        </w:rPr>
        <w:t>394</w:t>
      </w:r>
      <w:r>
        <w:rPr>
          <w:sz w:val="20"/>
        </w:rPr>
        <w:t>.</w:t>
      </w:r>
      <w:r>
        <w:rPr>
          <w:spacing w:val="5"/>
          <w:sz w:val="20"/>
        </w:rPr>
        <w:t> </w:t>
      </w:r>
      <w:r>
        <w:rPr>
          <w:sz w:val="20"/>
        </w:rPr>
        <w:t>In</w:t>
      </w:r>
      <w:r>
        <w:rPr>
          <w:spacing w:val="5"/>
          <w:sz w:val="20"/>
        </w:rPr>
        <w:t> </w:t>
      </w:r>
      <w:r>
        <w:rPr>
          <w:rFonts w:ascii="Arial" w:hAnsi="Arial"/>
          <w:i/>
          <w:sz w:val="20"/>
        </w:rPr>
        <w:t>Harding</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Wealands</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UKHL</w:t>
      </w:r>
      <w:r>
        <w:rPr>
          <w:rFonts w:ascii="Arial" w:hAnsi="Arial"/>
          <w:i/>
          <w:spacing w:val="5"/>
          <w:sz w:val="20"/>
        </w:rPr>
        <w:t> </w:t>
      </w:r>
      <w:r>
        <w:rPr>
          <w:rFonts w:ascii="Arial" w:hAnsi="Arial"/>
          <w:i/>
          <w:sz w:val="20"/>
        </w:rPr>
        <w:t>32,</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1</w:t>
      </w:r>
      <w:r>
        <w:rPr>
          <w:rFonts w:ascii="Arial" w:hAnsi="Arial"/>
          <w:i/>
          <w:spacing w:val="4"/>
          <w:sz w:val="20"/>
        </w:rPr>
        <w:t> </w:t>
      </w:r>
      <w:r>
        <w:rPr>
          <w:spacing w:val="-5"/>
          <w:sz w:val="20"/>
        </w:rPr>
        <w:t>the</w:t>
      </w:r>
    </w:p>
    <w:p>
      <w:pPr>
        <w:pStyle w:val="BodyText"/>
        <w:spacing w:line="235" w:lineRule="auto"/>
        <w:ind w:left="705" w:right="167"/>
        <w:jc w:val="both"/>
      </w:pPr>
      <w:r>
        <w:rPr/>
        <w:t>assessment of damages in a tort case was held to be a matter of procedure governed by the</w:t>
      </w:r>
      <w:r>
        <w:rPr>
          <w:spacing w:val="40"/>
        </w:rPr>
        <w:t> </w:t>
      </w:r>
      <w:r>
        <w:rPr/>
        <w:t>lex fori.</w:t>
      </w:r>
    </w:p>
    <w:p>
      <w:pPr>
        <w:pStyle w:val="BodyText"/>
        <w:spacing w:before="4"/>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8512">
            <wp:simplePos x="0" y="0"/>
            <wp:positionH relativeFrom="page">
              <wp:posOffset>1257846</wp:posOffset>
            </wp:positionH>
            <wp:positionV relativeFrom="paragraph">
              <wp:posOffset>160216</wp:posOffset>
            </wp:positionV>
            <wp:extent cx="107988" cy="107988"/>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98" w:id="1400"/>
      <w:bookmarkEnd w:id="1400"/>
      <w:r>
        <w:rPr/>
      </w:r>
      <w:hyperlink w:history="true" w:anchor="_bookmark1343">
        <w:r>
          <w:rPr>
            <w:color w:val="005DA1"/>
            <w:spacing w:val="-4"/>
            <w:sz w:val="14"/>
            <w:u w:val="single" w:color="005DA1"/>
          </w:rPr>
          <w:t>709</w:t>
        </w:r>
      </w:hyperlink>
      <w:r>
        <w:rPr>
          <w:spacing w:val="-4"/>
          <w:sz w:val="14"/>
        </w:rPr>
        <w:t>.</w:t>
      </w:r>
    </w:p>
    <w:p>
      <w:pPr>
        <w:pStyle w:val="BodyText"/>
        <w:spacing w:line="235" w:lineRule="auto" w:before="212"/>
        <w:ind w:left="165" w:right="167" w:firstLine="170"/>
        <w:jc w:val="both"/>
      </w:pPr>
      <w:r>
        <w:rPr/>
        <w:br w:type="column"/>
      </w:r>
      <w:r>
        <w:rPr/>
        <w:t>“Where a loss is identified as occurring in the ordinary course of things, there is no basis, </w:t>
      </w:r>
      <w:r>
        <w:rPr/>
        <w:t>as far as remoteness is concerned, for imposing any further limit to its recovery”: Peel, </w:t>
      </w:r>
      <w:r>
        <w:rPr>
          <w:rFonts w:ascii="Arial" w:hAnsi="Arial"/>
          <w:i/>
        </w:rPr>
        <w:t>Treitel on The Law of Contract</w:t>
      </w:r>
      <w:r>
        <w:rPr/>
        <w:t>, 14th edn (2015), paras 20–098 and 20–106, compare 13th edn (2011), para.20-099. See also Burrows, </w:t>
      </w:r>
      <w:r>
        <w:rPr>
          <w:rFonts w:ascii="Arial" w:hAnsi="Arial"/>
          <w:i/>
        </w:rPr>
        <w:t>Remedies for Torts and Breach of Contract</w:t>
      </w:r>
      <w:r>
        <w:rPr/>
        <w:t>, 3rd edn (2004), </w:t>
      </w:r>
      <w:r>
        <w:rPr>
          <w:spacing w:val="-2"/>
        </w:rPr>
        <w:t>95–96.</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399" w:id="1401"/>
      <w:bookmarkEnd w:id="1401"/>
      <w:r>
        <w:rPr/>
      </w:r>
      <w:hyperlink w:history="true" w:anchor="_bookmark1344">
        <w:r>
          <w:rPr>
            <w:color w:val="005DA1"/>
            <w:spacing w:val="-4"/>
            <w:position w:val="5"/>
            <w:sz w:val="14"/>
            <w:u w:val="single" w:color="005DA1"/>
          </w:rPr>
          <w:t>710</w:t>
        </w:r>
      </w:hyperlink>
      <w:r>
        <w:rPr>
          <w:spacing w:val="-4"/>
          <w:position w:val="5"/>
          <w:sz w:val="14"/>
        </w:rPr>
        <w:t>.</w:t>
      </w:r>
      <w:r>
        <w:rPr>
          <w:position w:val="5"/>
          <w:sz w:val="14"/>
        </w:rPr>
        <w:tab/>
      </w:r>
      <w:r>
        <w:rPr/>
        <w:t>See</w:t>
      </w:r>
      <w:r>
        <w:rPr>
          <w:spacing w:val="-2"/>
        </w:rPr>
        <w:t> </w:t>
      </w:r>
      <w:r>
        <w:rPr/>
        <w:t>above, para.26-</w:t>
      </w:r>
      <w:r>
        <w:rPr>
          <w:spacing w:val="-4"/>
        </w:rPr>
        <w:t>118.</w:t>
      </w:r>
    </w:p>
    <w:p>
      <w:pPr>
        <w:pStyle w:val="BodyText"/>
        <w:spacing w:before="5"/>
      </w:pPr>
    </w:p>
    <w:p>
      <w:pPr>
        <w:pStyle w:val="BodyText"/>
        <w:tabs>
          <w:tab w:pos="705" w:val="left" w:leader="none"/>
        </w:tabs>
        <w:ind w:left="165"/>
      </w:pPr>
      <w:bookmarkStart w:name="_bookmark1400" w:id="1402"/>
      <w:bookmarkEnd w:id="1402"/>
      <w:r>
        <w:rPr/>
      </w:r>
      <w:hyperlink w:history="true" w:anchor="_bookmark1345">
        <w:r>
          <w:rPr>
            <w:color w:val="005DA1"/>
            <w:spacing w:val="-4"/>
            <w:position w:val="5"/>
            <w:sz w:val="14"/>
            <w:u w:val="single" w:color="005DA1"/>
          </w:rPr>
          <w:t>711</w:t>
        </w:r>
      </w:hyperlink>
      <w:r>
        <w:rPr>
          <w:spacing w:val="-4"/>
          <w:position w:val="5"/>
          <w:sz w:val="14"/>
        </w:rPr>
        <w:t>.</w:t>
      </w:r>
      <w:r>
        <w:rPr>
          <w:position w:val="5"/>
          <w:sz w:val="14"/>
        </w:rPr>
        <w:tab/>
      </w:r>
      <w:r>
        <w:rPr/>
        <w:t>The “mitigation” rule: see below, paras 26-079 et </w:t>
      </w:r>
      <w:r>
        <w:rPr>
          <w:spacing w:val="-4"/>
        </w:rPr>
        <w:t>seq.</w:t>
      </w:r>
    </w:p>
    <w:p>
      <w:pPr>
        <w:pStyle w:val="BodyText"/>
        <w:spacing w:before="5"/>
      </w:pPr>
    </w:p>
    <w:p>
      <w:pPr>
        <w:pStyle w:val="BodyText"/>
        <w:tabs>
          <w:tab w:pos="705" w:val="left" w:leader="none"/>
        </w:tabs>
        <w:ind w:left="165"/>
      </w:pPr>
      <w:bookmarkStart w:name="_bookmark1401" w:id="1403"/>
      <w:bookmarkEnd w:id="1403"/>
      <w:r>
        <w:rPr/>
      </w:r>
      <w:hyperlink w:history="true" w:anchor="_bookmark1346">
        <w:r>
          <w:rPr>
            <w:color w:val="005DA1"/>
            <w:spacing w:val="-4"/>
            <w:position w:val="5"/>
            <w:sz w:val="14"/>
            <w:u w:val="single" w:color="005DA1"/>
          </w:rPr>
          <w:t>712</w:t>
        </w:r>
      </w:hyperlink>
      <w:r>
        <w:rPr>
          <w:spacing w:val="-4"/>
          <w:position w:val="5"/>
          <w:sz w:val="14"/>
        </w:rPr>
        <w:t>.</w:t>
      </w:r>
      <w:r>
        <w:rPr>
          <w:position w:val="5"/>
          <w:sz w:val="14"/>
        </w:rPr>
        <w:tab/>
      </w:r>
      <w:r>
        <w:rPr/>
        <w:t>See</w:t>
      </w:r>
      <w:r>
        <w:rPr>
          <w:spacing w:val="-2"/>
        </w:rPr>
        <w:t> </w:t>
      </w:r>
      <w:r>
        <w:rPr/>
        <w:t>above, para.26-</w:t>
      </w:r>
      <w:r>
        <w:rPr>
          <w:spacing w:val="-4"/>
        </w:rPr>
        <w:t>125.</w:t>
      </w:r>
    </w:p>
    <w:p>
      <w:pPr>
        <w:pStyle w:val="BodyText"/>
        <w:spacing w:before="5"/>
      </w:pPr>
    </w:p>
    <w:p>
      <w:pPr>
        <w:tabs>
          <w:tab w:pos="705" w:val="left" w:leader="none"/>
        </w:tabs>
        <w:spacing w:before="0"/>
        <w:ind w:left="165" w:right="0" w:firstLine="0"/>
        <w:jc w:val="left"/>
        <w:rPr>
          <w:sz w:val="20"/>
        </w:rPr>
      </w:pPr>
      <w:bookmarkStart w:name="_bookmark1402" w:id="1404"/>
      <w:bookmarkEnd w:id="1404"/>
      <w:r>
        <w:rPr/>
      </w:r>
      <w:hyperlink w:history="true" w:anchor="_bookmark1347">
        <w:r>
          <w:rPr>
            <w:color w:val="005DA1"/>
            <w:spacing w:val="-4"/>
            <w:position w:val="5"/>
            <w:sz w:val="14"/>
            <w:u w:val="single" w:color="005DA1"/>
          </w:rPr>
          <w:t>713</w:t>
        </w:r>
      </w:hyperlink>
      <w:r>
        <w:rPr>
          <w:spacing w:val="-4"/>
          <w:position w:val="5"/>
          <w:sz w:val="14"/>
        </w:rPr>
        <w:t>.</w:t>
      </w:r>
      <w:r>
        <w:rPr>
          <w:position w:val="5"/>
          <w:sz w:val="14"/>
        </w:rPr>
        <w:tab/>
      </w:r>
      <w:r>
        <w:rPr>
          <w:rFonts w:ascii="Arial"/>
          <w:i/>
          <w:sz w:val="20"/>
        </w:rPr>
        <w:t>[2008] UKHL 48, [2009] 1 A.C. </w:t>
      </w:r>
      <w:r>
        <w:rPr>
          <w:rFonts w:ascii="Arial"/>
          <w:i/>
          <w:spacing w:val="-5"/>
          <w:sz w:val="20"/>
        </w:rPr>
        <w:t>61</w:t>
      </w:r>
      <w:r>
        <w:rPr>
          <w:spacing w:val="-5"/>
          <w:sz w:val="20"/>
        </w:rPr>
        <w:t>.</w:t>
      </w:r>
    </w:p>
    <w:p>
      <w:pPr>
        <w:pStyle w:val="BodyText"/>
        <w:spacing w:before="9"/>
      </w:pPr>
    </w:p>
    <w:p>
      <w:pPr>
        <w:pStyle w:val="BodyText"/>
        <w:spacing w:line="235" w:lineRule="auto"/>
        <w:ind w:left="705" w:right="167" w:hanging="541"/>
        <w:jc w:val="both"/>
      </w:pPr>
      <w:bookmarkStart w:name="_bookmark1403" w:id="1405"/>
      <w:bookmarkEnd w:id="1405"/>
      <w:r>
        <w:rPr/>
      </w:r>
      <w:hyperlink w:history="true" w:anchor="_bookmark1348">
        <w:r>
          <w:rPr>
            <w:color w:val="005DA1"/>
            <w:position w:val="5"/>
            <w:sz w:val="14"/>
            <w:u w:val="single" w:color="005DA1"/>
          </w:rPr>
          <w:t>714</w:t>
        </w:r>
      </w:hyperlink>
      <w:r>
        <w:rPr>
          <w:position w:val="5"/>
          <w:sz w:val="14"/>
        </w:rPr>
        <w:t>.</w:t>
      </w:r>
      <w:r>
        <w:rPr>
          <w:spacing w:val="40"/>
          <w:position w:val="5"/>
          <w:sz w:val="14"/>
        </w:rPr>
        <w:t>  </w:t>
      </w:r>
      <w:r>
        <w:rPr/>
        <w:t>Though Baroness Hale (at [93]) describes the majority decision in </w:t>
      </w:r>
      <w:r>
        <w:rPr>
          <w:rFonts w:ascii="Arial" w:hAnsi="Arial"/>
          <w:i/>
        </w:rPr>
        <w:t>The Achilleas </w:t>
      </w:r>
      <w:r>
        <w:rPr/>
        <w:t>as “adding </w:t>
      </w:r>
      <w:r>
        <w:rPr/>
        <w:t>a novel dimension to the way in which the question of remoteness in damage in contract is to be answered”. See further below, para.26-130.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04" w:id="1406"/>
      <w:bookmarkEnd w:id="1406"/>
      <w:r>
        <w:rPr/>
      </w:r>
      <w:hyperlink w:history="true" w:anchor="_bookmark1349">
        <w:r>
          <w:rPr>
            <w:color w:val="005DA1"/>
            <w:spacing w:val="-4"/>
            <w:position w:val="5"/>
            <w:sz w:val="14"/>
            <w:u w:val="single" w:color="005DA1"/>
          </w:rPr>
          <w:t>715</w:t>
        </w:r>
      </w:hyperlink>
      <w:r>
        <w:rPr>
          <w:spacing w:val="-4"/>
          <w:position w:val="5"/>
          <w:sz w:val="14"/>
        </w:rPr>
        <w:t>.</w:t>
      </w:r>
      <w:r>
        <w:rPr>
          <w:position w:val="5"/>
          <w:sz w:val="14"/>
        </w:rPr>
        <w:tab/>
      </w:r>
      <w:r>
        <w:rPr>
          <w:rFonts w:ascii="Arial"/>
          <w:i/>
          <w:sz w:val="20"/>
        </w:rPr>
        <w:t>Transfield</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v</w:t>
      </w:r>
      <w:r>
        <w:rPr>
          <w:rFonts w:ascii="Arial"/>
          <w:i/>
          <w:spacing w:val="9"/>
          <w:sz w:val="20"/>
        </w:rPr>
        <w:t> </w:t>
      </w:r>
      <w:r>
        <w:rPr>
          <w:rFonts w:ascii="Arial"/>
          <w:i/>
          <w:sz w:val="20"/>
        </w:rPr>
        <w:t>Mercator</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(The</w:t>
      </w:r>
      <w:r>
        <w:rPr>
          <w:rFonts w:ascii="Arial"/>
          <w:i/>
          <w:spacing w:val="9"/>
          <w:sz w:val="20"/>
        </w:rPr>
        <w:t> </w:t>
      </w:r>
      <w:r>
        <w:rPr>
          <w:rFonts w:ascii="Arial"/>
          <w:i/>
          <w:sz w:val="20"/>
        </w:rPr>
        <w:t>Achilleas)</w:t>
      </w:r>
      <w:r>
        <w:rPr>
          <w:rFonts w:ascii="Arial"/>
          <w:i/>
          <w:spacing w:val="9"/>
          <w:sz w:val="20"/>
        </w:rPr>
        <w:t> </w:t>
      </w:r>
      <w:r>
        <w:rPr>
          <w:rFonts w:ascii="Arial"/>
          <w:i/>
          <w:sz w:val="20"/>
        </w:rPr>
        <w:t>[2008]</w:t>
      </w:r>
      <w:r>
        <w:rPr>
          <w:rFonts w:ascii="Arial"/>
          <w:i/>
          <w:spacing w:val="9"/>
          <w:sz w:val="20"/>
        </w:rPr>
        <w:t> </w:t>
      </w:r>
      <w:r>
        <w:rPr>
          <w:rFonts w:ascii="Arial"/>
          <w:i/>
          <w:sz w:val="20"/>
        </w:rPr>
        <w:t>UKHL</w:t>
      </w:r>
      <w:r>
        <w:rPr>
          <w:rFonts w:ascii="Arial"/>
          <w:i/>
          <w:spacing w:val="9"/>
          <w:sz w:val="20"/>
        </w:rPr>
        <w:t> </w:t>
      </w:r>
      <w:r>
        <w:rPr>
          <w:rFonts w:ascii="Arial"/>
          <w:i/>
          <w:sz w:val="20"/>
        </w:rPr>
        <w:t>48,</w:t>
      </w:r>
      <w:r>
        <w:rPr>
          <w:rFonts w:ascii="Arial"/>
          <w:i/>
          <w:spacing w:val="9"/>
          <w:sz w:val="20"/>
        </w:rPr>
        <w:t> </w:t>
      </w:r>
      <w:r>
        <w:rPr>
          <w:rFonts w:ascii="Arial"/>
          <w:i/>
          <w:sz w:val="20"/>
        </w:rPr>
        <w:t>[2009]</w:t>
      </w:r>
      <w:r>
        <w:rPr>
          <w:rFonts w:ascii="Arial"/>
          <w:i/>
          <w:spacing w:val="9"/>
          <w:sz w:val="20"/>
        </w:rPr>
        <w:t> </w:t>
      </w:r>
      <w:r>
        <w:rPr>
          <w:rFonts w:ascii="Arial"/>
          <w:i/>
          <w:sz w:val="20"/>
        </w:rPr>
        <w:t>1</w:t>
      </w:r>
      <w:r>
        <w:rPr>
          <w:rFonts w:ascii="Arial"/>
          <w:i/>
          <w:spacing w:val="9"/>
          <w:sz w:val="20"/>
        </w:rPr>
        <w:t> </w:t>
      </w:r>
      <w:r>
        <w:rPr>
          <w:rFonts w:ascii="Arial"/>
          <w:i/>
          <w:spacing w:val="-4"/>
          <w:sz w:val="20"/>
        </w:rPr>
        <w:t>A.C.</w:t>
      </w:r>
    </w:p>
    <w:p>
      <w:pPr>
        <w:spacing w:line="227" w:lineRule="exact" w:before="0"/>
        <w:ind w:left="705" w:right="0" w:firstLine="0"/>
        <w:jc w:val="left"/>
        <w:rPr>
          <w:sz w:val="20"/>
        </w:rPr>
      </w:pPr>
      <w:r>
        <w:rPr>
          <w:rFonts w:ascii="Arial"/>
          <w:i/>
          <w:spacing w:val="-5"/>
          <w:sz w:val="20"/>
        </w:rPr>
        <w:t>61</w:t>
      </w:r>
      <w:r>
        <w:rPr>
          <w:spacing w:val="-5"/>
          <w:sz w:val="20"/>
        </w:rPr>
        <w:t>.</w:t>
      </w:r>
    </w:p>
    <w:p>
      <w:pPr>
        <w:pStyle w:val="BodyText"/>
        <w:spacing w:before="9"/>
      </w:pPr>
    </w:p>
    <w:p>
      <w:pPr>
        <w:spacing w:line="235" w:lineRule="auto" w:before="0"/>
        <w:ind w:left="705" w:right="167" w:hanging="541"/>
        <w:jc w:val="both"/>
        <w:rPr>
          <w:sz w:val="20"/>
        </w:rPr>
      </w:pPr>
      <w:bookmarkStart w:name="_bookmark1405" w:id="1407"/>
      <w:bookmarkEnd w:id="1407"/>
      <w:r>
        <w:rPr/>
      </w:r>
      <w:hyperlink w:history="true" w:anchor="_bookmark1350">
        <w:r>
          <w:rPr>
            <w:color w:val="005DA1"/>
            <w:position w:val="5"/>
            <w:sz w:val="14"/>
            <w:u w:val="single" w:color="005DA1"/>
          </w:rPr>
          <w:t>716</w:t>
        </w:r>
      </w:hyperlink>
      <w:r>
        <w:rPr>
          <w:position w:val="5"/>
          <w:sz w:val="14"/>
        </w:rPr>
        <w:t>.</w:t>
      </w:r>
      <w:r>
        <w:rPr>
          <w:spacing w:val="80"/>
          <w:w w:val="150"/>
          <w:position w:val="5"/>
          <w:sz w:val="14"/>
        </w:rPr>
        <w:t> </w:t>
      </w:r>
      <w:r>
        <w:rPr>
          <w:sz w:val="20"/>
        </w:rPr>
        <w:t>See e.g. Harris, Campbell and Halson, </w:t>
      </w:r>
      <w:r>
        <w:rPr>
          <w:rFonts w:ascii="Arial" w:hAnsi="Arial"/>
          <w:i/>
          <w:sz w:val="20"/>
        </w:rPr>
        <w:t>Remedies in Contract and Tort</w:t>
      </w:r>
      <w:r>
        <w:rPr>
          <w:sz w:val="20"/>
        </w:rPr>
        <w:t>, 2nd edn (2002), 90; Kramer, “An agreement-centered approach to remoteness and contract damages” </w:t>
      </w:r>
      <w:r>
        <w:rPr>
          <w:sz w:val="20"/>
        </w:rPr>
        <w:t>in McKendrick and Cohen, </w:t>
      </w:r>
      <w:r>
        <w:rPr>
          <w:rFonts w:ascii="Arial" w:hAnsi="Arial"/>
          <w:i/>
          <w:sz w:val="20"/>
        </w:rPr>
        <w:t>Comparative Remedies for Breach of Contract </w:t>
      </w:r>
      <w:r>
        <w:rPr>
          <w:sz w:val="20"/>
        </w:rPr>
        <w:t>(2005). The literature is helpfully surveyed in Robertson (2008) 28 Legal Studies 172.</w:t>
      </w:r>
    </w:p>
    <w:p>
      <w:pPr>
        <w:pStyle w:val="BodyText"/>
        <w:spacing w:before="5"/>
      </w:pPr>
    </w:p>
    <w:p>
      <w:pPr>
        <w:pStyle w:val="BodyText"/>
        <w:tabs>
          <w:tab w:pos="705" w:val="left" w:leader="none"/>
        </w:tabs>
        <w:ind w:left="165"/>
      </w:pPr>
      <w:bookmarkStart w:name="_bookmark1406" w:id="1408"/>
      <w:bookmarkEnd w:id="1408"/>
      <w:r>
        <w:rPr/>
      </w:r>
      <w:hyperlink w:history="true" w:anchor="_bookmark1351">
        <w:r>
          <w:rPr>
            <w:color w:val="005DA1"/>
            <w:spacing w:val="-4"/>
            <w:position w:val="5"/>
            <w:sz w:val="14"/>
            <w:u w:val="single" w:color="005DA1"/>
          </w:rPr>
          <w:t>717</w:t>
        </w:r>
      </w:hyperlink>
      <w:r>
        <w:rPr>
          <w:spacing w:val="-4"/>
          <w:position w:val="5"/>
          <w:sz w:val="14"/>
        </w:rPr>
        <w:t>.</w:t>
      </w:r>
      <w:r>
        <w:rPr>
          <w:position w:val="5"/>
          <w:sz w:val="14"/>
        </w:rPr>
        <w:tab/>
      </w:r>
      <w:r>
        <w:rPr/>
        <w:t>Chitty on Contracts, 29th edn (2004), </w:t>
      </w:r>
      <w:r>
        <w:rPr>
          <w:spacing w:val="-2"/>
        </w:rPr>
        <w:t>para.26–044.</w:t>
      </w:r>
    </w:p>
    <w:p>
      <w:pPr>
        <w:pStyle w:val="BodyText"/>
        <w:spacing w:before="5"/>
      </w:pPr>
    </w:p>
    <w:p>
      <w:pPr>
        <w:pStyle w:val="BodyText"/>
        <w:tabs>
          <w:tab w:pos="705" w:val="left" w:leader="none"/>
        </w:tabs>
        <w:ind w:left="165"/>
      </w:pPr>
      <w:bookmarkStart w:name="_bookmark1407" w:id="1409"/>
      <w:bookmarkEnd w:id="1409"/>
      <w:r>
        <w:rPr/>
      </w:r>
      <w:hyperlink w:history="true" w:anchor="_bookmark1352">
        <w:r>
          <w:rPr>
            <w:color w:val="005DA1"/>
            <w:spacing w:val="-4"/>
            <w:position w:val="5"/>
            <w:sz w:val="14"/>
            <w:u w:val="single" w:color="005DA1"/>
          </w:rPr>
          <w:t>718</w:t>
        </w:r>
      </w:hyperlink>
      <w:r>
        <w:rPr>
          <w:spacing w:val="-4"/>
          <w:position w:val="5"/>
          <w:sz w:val="14"/>
        </w:rPr>
        <w:t>.</w:t>
      </w:r>
      <w:r>
        <w:rPr>
          <w:position w:val="5"/>
          <w:sz w:val="14"/>
        </w:rPr>
        <w:tab/>
      </w:r>
      <w:r>
        <w:rPr/>
        <w:t>See above, paras 26-122—26-</w:t>
      </w:r>
      <w:r>
        <w:rPr>
          <w:spacing w:val="-4"/>
        </w:rPr>
        <w:t>125.</w:t>
      </w:r>
    </w:p>
    <w:p>
      <w:pPr>
        <w:pStyle w:val="BodyText"/>
        <w:spacing w:before="5"/>
      </w:pPr>
    </w:p>
    <w:p>
      <w:pPr>
        <w:pStyle w:val="BodyText"/>
        <w:tabs>
          <w:tab w:pos="705" w:val="left" w:leader="none"/>
        </w:tabs>
        <w:ind w:left="165"/>
      </w:pPr>
      <w:bookmarkStart w:name="_bookmark1408" w:id="1410"/>
      <w:bookmarkEnd w:id="1410"/>
      <w:r>
        <w:rPr/>
      </w:r>
      <w:hyperlink w:history="true" w:anchor="_bookmark1353">
        <w:r>
          <w:rPr>
            <w:color w:val="005DA1"/>
            <w:spacing w:val="-4"/>
            <w:position w:val="5"/>
            <w:sz w:val="14"/>
            <w:u w:val="single" w:color="005DA1"/>
          </w:rPr>
          <w:t>719</w:t>
        </w:r>
      </w:hyperlink>
      <w:r>
        <w:rPr>
          <w:spacing w:val="-4"/>
          <w:position w:val="5"/>
          <w:sz w:val="14"/>
        </w:rPr>
        <w:t>.</w:t>
      </w:r>
      <w:r>
        <w:rPr>
          <w:position w:val="5"/>
          <w:sz w:val="14"/>
        </w:rPr>
        <w:tab/>
      </w:r>
      <w:r>
        <w:rPr/>
        <w:t>See</w:t>
      </w:r>
      <w:r>
        <w:rPr>
          <w:spacing w:val="-2"/>
        </w:rPr>
        <w:t> </w:t>
      </w:r>
      <w:r>
        <w:rPr/>
        <w:t>above, paras 26-</w:t>
      </w:r>
      <w:r>
        <w:rPr>
          <w:spacing w:val="-4"/>
        </w:rPr>
        <w:t>125.</w:t>
      </w:r>
    </w:p>
    <w:p>
      <w:pPr>
        <w:pStyle w:val="BodyText"/>
        <w:spacing w:before="8"/>
      </w:pPr>
    </w:p>
    <w:p>
      <w:pPr>
        <w:tabs>
          <w:tab w:pos="705" w:val="left" w:leader="none"/>
        </w:tabs>
        <w:spacing w:line="235" w:lineRule="auto" w:before="1"/>
        <w:ind w:left="705" w:right="174" w:hanging="541"/>
        <w:jc w:val="left"/>
        <w:rPr>
          <w:sz w:val="20"/>
        </w:rPr>
      </w:pPr>
      <w:bookmarkStart w:name="_bookmark1409" w:id="1411"/>
      <w:bookmarkEnd w:id="1411"/>
      <w:r>
        <w:rPr/>
      </w:r>
      <w:hyperlink w:history="true" w:anchor="_bookmark1354">
        <w:r>
          <w:rPr>
            <w:color w:val="005DA1"/>
            <w:spacing w:val="-4"/>
            <w:position w:val="5"/>
            <w:sz w:val="14"/>
            <w:u w:val="single" w:color="005DA1"/>
          </w:rPr>
          <w:t>720</w:t>
        </w:r>
      </w:hyperlink>
      <w:r>
        <w:rPr>
          <w:spacing w:val="-4"/>
          <w:position w:val="5"/>
          <w:sz w:val="14"/>
        </w:rPr>
        <w:t>.</w:t>
      </w:r>
      <w:r>
        <w:rPr>
          <w:position w:val="5"/>
          <w:sz w:val="14"/>
        </w:rPr>
        <w:tab/>
      </w:r>
      <w:r>
        <w:rPr>
          <w:sz w:val="20"/>
        </w:rPr>
        <w:t>29th</w:t>
      </w:r>
      <w:r>
        <w:rPr>
          <w:spacing w:val="40"/>
          <w:sz w:val="20"/>
        </w:rPr>
        <w:t> </w:t>
      </w:r>
      <w:r>
        <w:rPr>
          <w:sz w:val="20"/>
        </w:rPr>
        <w:t>edn,</w:t>
      </w:r>
      <w:r>
        <w:rPr>
          <w:spacing w:val="40"/>
          <w:sz w:val="20"/>
        </w:rPr>
        <w:t> </w:t>
      </w:r>
      <w:r>
        <w:rPr>
          <w:sz w:val="20"/>
        </w:rPr>
        <w:t>para.26-055;</w:t>
      </w:r>
      <w:r>
        <w:rPr>
          <w:spacing w:val="40"/>
          <w:sz w:val="20"/>
        </w:rPr>
        <w:t> </w:t>
      </w:r>
      <w:r>
        <w:rPr>
          <w:sz w:val="20"/>
        </w:rPr>
        <w:t>see</w:t>
      </w:r>
      <w:r>
        <w:rPr>
          <w:spacing w:val="40"/>
          <w:sz w:val="20"/>
        </w:rPr>
        <w:t> </w:t>
      </w:r>
      <w:r>
        <w:rPr>
          <w:sz w:val="20"/>
        </w:rPr>
        <w:t>now</w:t>
      </w:r>
      <w:r>
        <w:rPr>
          <w:spacing w:val="40"/>
          <w:sz w:val="20"/>
        </w:rPr>
        <w:t> </w:t>
      </w:r>
      <w:r>
        <w:rPr>
          <w:sz w:val="20"/>
        </w:rPr>
        <w:t>above,</w:t>
      </w:r>
      <w:r>
        <w:rPr>
          <w:spacing w:val="40"/>
          <w:sz w:val="20"/>
        </w:rPr>
        <w:t> </w:t>
      </w:r>
      <w:r>
        <w:rPr>
          <w:sz w:val="20"/>
        </w:rPr>
        <w:t>para.26-125.</w:t>
      </w:r>
      <w:r>
        <w:rPr>
          <w:spacing w:val="40"/>
          <w:sz w:val="20"/>
        </w:rPr>
        <w:t> </w:t>
      </w:r>
      <w:r>
        <w:rPr>
          <w:sz w:val="20"/>
        </w:rPr>
        <w:t>cf.</w:t>
      </w:r>
      <w:r>
        <w:rPr>
          <w:spacing w:val="40"/>
          <w:sz w:val="20"/>
        </w:rPr>
        <w:t> </w:t>
      </w:r>
      <w:r>
        <w:rPr>
          <w:rFonts w:ascii="Arial"/>
          <w:i/>
          <w:sz w:val="20"/>
        </w:rPr>
        <w:t>Robophone</w:t>
      </w:r>
      <w:r>
        <w:rPr>
          <w:rFonts w:ascii="Arial"/>
          <w:i/>
          <w:spacing w:val="40"/>
          <w:sz w:val="20"/>
        </w:rPr>
        <w:t> </w:t>
      </w:r>
      <w:r>
        <w:rPr>
          <w:rFonts w:ascii="Arial"/>
          <w:i/>
          <w:sz w:val="20"/>
        </w:rPr>
        <w:t>Facilities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Blank [1966] 1 W.L.R. 1428, 1448</w:t>
      </w:r>
      <w:r>
        <w:rPr>
          <w:sz w:val="20"/>
        </w:rPr>
        <w:t>.</w:t>
      </w:r>
    </w:p>
    <w:p>
      <w:pPr>
        <w:pStyle w:val="BodyText"/>
        <w:spacing w:before="5"/>
      </w:pPr>
    </w:p>
    <w:p>
      <w:pPr>
        <w:pStyle w:val="BodyText"/>
        <w:tabs>
          <w:tab w:pos="705" w:val="left" w:leader="none"/>
        </w:tabs>
        <w:ind w:left="165"/>
      </w:pPr>
      <w:bookmarkStart w:name="_bookmark1410" w:id="1412"/>
      <w:bookmarkEnd w:id="1412"/>
      <w:r>
        <w:rPr/>
      </w:r>
      <w:hyperlink w:history="true" w:anchor="_bookmark1355">
        <w:r>
          <w:rPr>
            <w:color w:val="005DA1"/>
            <w:spacing w:val="-4"/>
            <w:position w:val="5"/>
            <w:sz w:val="14"/>
            <w:u w:val="single" w:color="005DA1"/>
          </w:rPr>
          <w:t>721</w:t>
        </w:r>
      </w:hyperlink>
      <w:r>
        <w:rPr>
          <w:spacing w:val="-4"/>
          <w:position w:val="5"/>
          <w:sz w:val="14"/>
        </w:rPr>
        <w:t>.</w:t>
      </w:r>
      <w:r>
        <w:rPr>
          <w:position w:val="5"/>
          <w:sz w:val="14"/>
        </w:rPr>
        <w:tab/>
      </w:r>
      <w:r>
        <w:rPr/>
        <w:t>See Robertson (2008) 28 Legal Studies 172, 183-</w:t>
      </w:r>
      <w:r>
        <w:rPr>
          <w:spacing w:val="-4"/>
        </w:rPr>
        <w:t>188.</w:t>
      </w:r>
    </w:p>
    <w:p>
      <w:pPr>
        <w:pStyle w:val="BodyText"/>
        <w:spacing w:before="5"/>
      </w:pPr>
    </w:p>
    <w:p>
      <w:pPr>
        <w:pStyle w:val="BodyText"/>
        <w:tabs>
          <w:tab w:pos="705" w:val="left" w:leader="none"/>
        </w:tabs>
        <w:ind w:left="165"/>
      </w:pPr>
      <w:bookmarkStart w:name="_bookmark1411" w:id="1413"/>
      <w:bookmarkEnd w:id="1413"/>
      <w:r>
        <w:rPr/>
      </w:r>
      <w:hyperlink w:history="true" w:anchor="_bookmark1355">
        <w:r>
          <w:rPr>
            <w:color w:val="005DA1"/>
            <w:spacing w:val="-4"/>
            <w:position w:val="5"/>
            <w:sz w:val="14"/>
            <w:u w:val="single" w:color="005DA1"/>
          </w:rPr>
          <w:t>722</w:t>
        </w:r>
      </w:hyperlink>
      <w:r>
        <w:rPr>
          <w:spacing w:val="-4"/>
          <w:position w:val="5"/>
          <w:sz w:val="14"/>
        </w:rPr>
        <w:t>.</w:t>
      </w:r>
      <w:r>
        <w:rPr>
          <w:position w:val="5"/>
          <w:sz w:val="14"/>
        </w:rPr>
        <w:tab/>
      </w:r>
      <w:r>
        <w:rPr/>
        <w:t>Compare the cases on negligent valuations for lenders, below, para.26-</w:t>
      </w:r>
      <w:r>
        <w:rPr>
          <w:spacing w:val="-4"/>
        </w:rPr>
        <w:t>168.</w:t>
      </w:r>
    </w:p>
    <w:p>
      <w:pPr>
        <w:pStyle w:val="BodyText"/>
        <w:spacing w:before="5"/>
      </w:pPr>
    </w:p>
    <w:p>
      <w:pPr>
        <w:tabs>
          <w:tab w:pos="705" w:val="left" w:leader="none"/>
        </w:tabs>
        <w:spacing w:before="0"/>
        <w:ind w:left="165" w:right="0" w:firstLine="0"/>
        <w:jc w:val="left"/>
        <w:rPr>
          <w:sz w:val="20"/>
        </w:rPr>
      </w:pPr>
      <w:bookmarkStart w:name="_bookmark1412" w:id="1414"/>
      <w:bookmarkEnd w:id="1414"/>
      <w:r>
        <w:rPr/>
      </w:r>
      <w:hyperlink w:history="true" w:anchor="_bookmark1356">
        <w:r>
          <w:rPr>
            <w:color w:val="005DA1"/>
            <w:spacing w:val="-4"/>
            <w:position w:val="5"/>
            <w:sz w:val="14"/>
            <w:u w:val="single" w:color="005DA1"/>
          </w:rPr>
          <w:t>723</w:t>
        </w:r>
      </w:hyperlink>
      <w:r>
        <w:rPr>
          <w:spacing w:val="-4"/>
          <w:position w:val="5"/>
          <w:sz w:val="14"/>
        </w:rPr>
        <w:t>.</w:t>
      </w:r>
      <w:r>
        <w:rPr>
          <w:position w:val="5"/>
          <w:sz w:val="14"/>
        </w:rPr>
        <w:tab/>
      </w:r>
      <w:r>
        <w:rPr>
          <w:rFonts w:ascii="Arial"/>
          <w:i/>
          <w:sz w:val="20"/>
        </w:rPr>
        <w:t>Mulvenna</w:t>
      </w:r>
      <w:r>
        <w:rPr>
          <w:rFonts w:ascii="Arial"/>
          <w:i/>
          <w:spacing w:val="-2"/>
          <w:sz w:val="20"/>
        </w:rPr>
        <w:t> </w:t>
      </w:r>
      <w:r>
        <w:rPr>
          <w:rFonts w:ascii="Arial"/>
          <w:i/>
          <w:sz w:val="20"/>
        </w:rPr>
        <w:t>v Royal Bank of Scotland [2003] EWCA Civ </w:t>
      </w:r>
      <w:r>
        <w:rPr>
          <w:rFonts w:ascii="Arial"/>
          <w:i/>
          <w:spacing w:val="-2"/>
          <w:sz w:val="20"/>
        </w:rPr>
        <w:t>1112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13" w:id="1415"/>
      <w:bookmarkEnd w:id="1415"/>
      <w:r>
        <w:rPr/>
      </w:r>
      <w:hyperlink w:history="true" w:anchor="_bookmark1357">
        <w:r>
          <w:rPr>
            <w:color w:val="005DA1"/>
            <w:spacing w:val="-4"/>
            <w:position w:val="5"/>
            <w:sz w:val="14"/>
            <w:u w:val="single" w:color="005DA1"/>
          </w:rPr>
          <w:t>724</w:t>
        </w:r>
      </w:hyperlink>
      <w:r>
        <w:rPr>
          <w:spacing w:val="-4"/>
          <w:position w:val="5"/>
          <w:sz w:val="14"/>
        </w:rPr>
        <w:t>.</w:t>
      </w:r>
      <w:r>
        <w:rPr>
          <w:position w:val="5"/>
          <w:sz w:val="14"/>
        </w:rPr>
        <w:tab/>
      </w:r>
      <w:r>
        <w:rPr>
          <w:sz w:val="20"/>
        </w:rPr>
        <w:t>At </w:t>
      </w:r>
      <w:r>
        <w:rPr>
          <w:spacing w:val="-2"/>
          <w:sz w:val="20"/>
        </w:rPr>
        <w:t>[26].</w:t>
      </w:r>
    </w:p>
    <w:p>
      <w:pPr>
        <w:spacing w:after="0"/>
        <w:jc w:val="left"/>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1357">
        <w:r>
          <w:rPr>
            <w:color w:val="005DA1"/>
            <w:spacing w:val="-4"/>
            <w:position w:val="5"/>
            <w:sz w:val="14"/>
            <w:u w:val="single" w:color="005DA1"/>
          </w:rPr>
          <w:t>725</w:t>
        </w:r>
      </w:hyperlink>
      <w:r>
        <w:rPr>
          <w:spacing w:val="-4"/>
          <w:position w:val="5"/>
          <w:sz w:val="14"/>
        </w:rPr>
        <w:t>.</w:t>
      </w:r>
      <w:r>
        <w:rPr>
          <w:position w:val="5"/>
          <w:sz w:val="14"/>
        </w:rPr>
        <w:tab/>
      </w:r>
      <w:r>
        <w:rPr/>
        <w:t>At [33] (footnotes as in the </w:t>
      </w:r>
      <w:r>
        <w:rPr>
          <w:spacing w:val="-2"/>
        </w:rPr>
        <w:t>original).</w:t>
      </w:r>
    </w:p>
    <w:p>
      <w:pPr>
        <w:pStyle w:val="BodyText"/>
        <w:spacing w:before="5"/>
      </w:pPr>
    </w:p>
    <w:p>
      <w:pPr>
        <w:tabs>
          <w:tab w:pos="705" w:val="left" w:leader="none"/>
        </w:tabs>
        <w:spacing w:before="1"/>
        <w:ind w:left="165" w:right="0" w:firstLine="0"/>
        <w:jc w:val="left"/>
        <w:rPr>
          <w:sz w:val="20"/>
        </w:rPr>
      </w:pPr>
      <w:bookmarkStart w:name="_bookmark1414" w:id="1416"/>
      <w:bookmarkEnd w:id="1416"/>
      <w:r>
        <w:rPr/>
      </w:r>
      <w:hyperlink w:history="true" w:anchor="_bookmark1358">
        <w:r>
          <w:rPr>
            <w:color w:val="005DA1"/>
            <w:spacing w:val="-4"/>
            <w:position w:val="5"/>
            <w:sz w:val="14"/>
            <w:u w:val="single" w:color="005DA1"/>
          </w:rPr>
          <w:t>726</w:t>
        </w:r>
      </w:hyperlink>
      <w:r>
        <w:rPr>
          <w:spacing w:val="-4"/>
          <w:position w:val="5"/>
          <w:sz w:val="14"/>
        </w:rPr>
        <w:t>.</w:t>
      </w:r>
      <w:r>
        <w:rPr>
          <w:position w:val="5"/>
          <w:sz w:val="14"/>
        </w:rPr>
        <w:tab/>
      </w:r>
      <w:r>
        <w:rPr>
          <w:rFonts w:ascii="Arial" w:hAnsi="Arial"/>
          <w:i/>
          <w:sz w:val="20"/>
        </w:rPr>
        <w:t>The Pegase [1981] 1 Lloyd’s Rep. 175</w:t>
      </w:r>
      <w:r>
        <w:rPr>
          <w:rFonts w:ascii="Arial" w:hAnsi="Arial"/>
          <w:i/>
          <w:spacing w:val="-1"/>
          <w:sz w:val="20"/>
        </w:rPr>
        <w:t> </w:t>
      </w:r>
      <w:r>
        <w:rPr>
          <w:sz w:val="20"/>
        </w:rPr>
        <w:t>Robert Goff </w:t>
      </w:r>
      <w:r>
        <w:rPr>
          <w:spacing w:val="-5"/>
          <w:sz w:val="20"/>
        </w:rPr>
        <w:t>J.</w:t>
      </w:r>
    </w:p>
    <w:p>
      <w:pPr>
        <w:pStyle w:val="BodyText"/>
        <w:spacing w:before="4"/>
      </w:pPr>
    </w:p>
    <w:p>
      <w:pPr>
        <w:tabs>
          <w:tab w:pos="705" w:val="left" w:leader="none"/>
        </w:tabs>
        <w:spacing w:before="1"/>
        <w:ind w:left="165" w:right="0" w:firstLine="0"/>
        <w:jc w:val="left"/>
        <w:rPr>
          <w:sz w:val="20"/>
        </w:rPr>
      </w:pPr>
      <w:bookmarkStart w:name="_bookmark1415" w:id="1417"/>
      <w:bookmarkEnd w:id="1417"/>
      <w:r>
        <w:rPr/>
      </w:r>
      <w:hyperlink w:history="true" w:anchor="_bookmark1358">
        <w:r>
          <w:rPr>
            <w:color w:val="005DA1"/>
            <w:spacing w:val="-4"/>
            <w:position w:val="5"/>
            <w:sz w:val="14"/>
            <w:u w:val="single" w:color="005DA1"/>
          </w:rPr>
          <w:t>727</w:t>
        </w:r>
      </w:hyperlink>
      <w:r>
        <w:rPr>
          <w:spacing w:val="-4"/>
          <w:position w:val="5"/>
          <w:sz w:val="14"/>
        </w:rPr>
        <w:t>.</w:t>
      </w:r>
      <w:r>
        <w:rPr>
          <w:position w:val="5"/>
          <w:sz w:val="14"/>
        </w:rPr>
        <w:tab/>
      </w:r>
      <w:r>
        <w:rPr>
          <w:rFonts w:ascii="Arial"/>
          <w:i/>
          <w:sz w:val="20"/>
        </w:rPr>
        <w:t>Banque Bruselles SA v Eagle Star [the South Australia case] [1997] A.C. </w:t>
      </w:r>
      <w:r>
        <w:rPr>
          <w:rFonts w:ascii="Arial"/>
          <w:i/>
          <w:spacing w:val="-4"/>
          <w:sz w:val="20"/>
        </w:rPr>
        <w:t>191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416" w:id="1418"/>
      <w:bookmarkEnd w:id="1418"/>
      <w:r>
        <w:rPr/>
      </w:r>
      <w:hyperlink w:history="true" w:anchor="_bookmark1359">
        <w:r>
          <w:rPr>
            <w:color w:val="005DA1"/>
            <w:spacing w:val="-4"/>
            <w:position w:val="5"/>
            <w:sz w:val="14"/>
            <w:u w:val="single" w:color="005DA1"/>
          </w:rPr>
          <w:t>728</w:t>
        </w:r>
      </w:hyperlink>
      <w:r>
        <w:rPr>
          <w:spacing w:val="-4"/>
          <w:position w:val="5"/>
          <w:sz w:val="14"/>
        </w:rPr>
        <w:t>.</w:t>
      </w:r>
      <w:r>
        <w:rPr>
          <w:position w:val="5"/>
          <w:sz w:val="14"/>
        </w:rPr>
        <w:tab/>
      </w:r>
      <w:r>
        <w:rPr>
          <w:rFonts w:ascii="Arial"/>
          <w:i/>
          <w:sz w:val="20"/>
        </w:rPr>
        <w:t>Galoo</w:t>
      </w:r>
      <w:r>
        <w:rPr>
          <w:rFonts w:ascii="Arial"/>
          <w:i/>
          <w:spacing w:val="-2"/>
          <w:sz w:val="20"/>
        </w:rPr>
        <w:t> </w:t>
      </w:r>
      <w:r>
        <w:rPr>
          <w:rFonts w:ascii="Arial"/>
          <w:i/>
          <w:sz w:val="20"/>
        </w:rPr>
        <w:t>Ltd v Bright Grahame Murray [1994] 1 W.L.R. </w:t>
      </w:r>
      <w:r>
        <w:rPr>
          <w:rFonts w:ascii="Arial"/>
          <w:i/>
          <w:spacing w:val="-2"/>
          <w:sz w:val="20"/>
        </w:rPr>
        <w:t>1360</w:t>
      </w:r>
      <w:r>
        <w:rPr>
          <w:spacing w:val="-2"/>
          <w:sz w:val="20"/>
        </w:rPr>
        <w:t>.</w:t>
      </w:r>
    </w:p>
    <w:p>
      <w:pPr>
        <w:pStyle w:val="BodyText"/>
        <w:spacing w:before="4"/>
      </w:pPr>
    </w:p>
    <w:p>
      <w:pPr>
        <w:pStyle w:val="BodyText"/>
        <w:tabs>
          <w:tab w:pos="705" w:val="left" w:leader="none"/>
        </w:tabs>
        <w:spacing w:before="1"/>
        <w:ind w:left="165"/>
      </w:pPr>
      <w:bookmarkStart w:name="_bookmark1417" w:id="1419"/>
      <w:bookmarkEnd w:id="1419"/>
      <w:r>
        <w:rPr/>
      </w:r>
      <w:hyperlink w:history="true" w:anchor="_bookmark1360">
        <w:r>
          <w:rPr>
            <w:color w:val="005DA1"/>
            <w:spacing w:val="-4"/>
            <w:position w:val="5"/>
            <w:sz w:val="14"/>
            <w:u w:val="single" w:color="005DA1"/>
          </w:rPr>
          <w:t>729</w:t>
        </w:r>
      </w:hyperlink>
      <w:r>
        <w:rPr>
          <w:spacing w:val="-4"/>
          <w:position w:val="5"/>
          <w:sz w:val="14"/>
        </w:rPr>
        <w:t>.</w:t>
      </w:r>
      <w:r>
        <w:rPr>
          <w:position w:val="5"/>
          <w:sz w:val="14"/>
        </w:rPr>
        <w:tab/>
      </w:r>
      <w:r>
        <w:rPr/>
        <w:t>See Robertson (2008) 28 Legal Studies 172, </w:t>
      </w:r>
      <w:r>
        <w:rPr>
          <w:spacing w:val="-2"/>
        </w:rPr>
        <w:t>183–188.</w:t>
      </w:r>
    </w:p>
    <w:p>
      <w:pPr>
        <w:pStyle w:val="BodyText"/>
        <w:spacing w:before="4"/>
      </w:pPr>
    </w:p>
    <w:p>
      <w:pPr>
        <w:tabs>
          <w:tab w:pos="705" w:val="left" w:leader="none"/>
        </w:tabs>
        <w:spacing w:before="1"/>
        <w:ind w:left="165" w:right="0" w:firstLine="0"/>
        <w:jc w:val="left"/>
        <w:rPr>
          <w:sz w:val="20"/>
        </w:rPr>
      </w:pPr>
      <w:bookmarkStart w:name="_bookmark1418" w:id="1420"/>
      <w:bookmarkEnd w:id="1420"/>
      <w:r>
        <w:rPr/>
      </w:r>
      <w:hyperlink w:history="true" w:anchor="_bookmark1361">
        <w:r>
          <w:rPr>
            <w:color w:val="005DA1"/>
            <w:spacing w:val="-4"/>
            <w:position w:val="5"/>
            <w:sz w:val="14"/>
            <w:u w:val="single" w:color="005DA1"/>
          </w:rPr>
          <w:t>730</w:t>
        </w:r>
      </w:hyperlink>
      <w:r>
        <w:rPr>
          <w:spacing w:val="-4"/>
          <w:position w:val="5"/>
          <w:sz w:val="14"/>
        </w:rPr>
        <w:t>.</w:t>
      </w:r>
      <w:r>
        <w:rPr>
          <w:position w:val="5"/>
          <w:sz w:val="14"/>
        </w:rPr>
        <w:tab/>
      </w:r>
      <w:r>
        <w:rPr>
          <w:rFonts w:ascii="Arial"/>
          <w:i/>
          <w:sz w:val="20"/>
        </w:rPr>
        <w:t>[1997]</w:t>
      </w:r>
      <w:r>
        <w:rPr>
          <w:rFonts w:ascii="Arial"/>
          <w:i/>
          <w:spacing w:val="-1"/>
          <w:sz w:val="20"/>
        </w:rPr>
        <w:t> </w:t>
      </w:r>
      <w:r>
        <w:rPr>
          <w:rFonts w:ascii="Arial"/>
          <w:i/>
          <w:sz w:val="20"/>
        </w:rPr>
        <w:t>A.C. 191</w:t>
      </w:r>
      <w:r>
        <w:rPr>
          <w:sz w:val="20"/>
        </w:rPr>
        <w:t>; see below, para.26-</w:t>
      </w:r>
      <w:r>
        <w:rPr>
          <w:spacing w:val="-4"/>
          <w:sz w:val="20"/>
        </w:rPr>
        <w:t>168.</w:t>
      </w:r>
    </w:p>
    <w:p>
      <w:pPr>
        <w:pStyle w:val="BodyText"/>
        <w:spacing w:before="5"/>
      </w:pPr>
    </w:p>
    <w:p>
      <w:pPr>
        <w:pStyle w:val="BodyText"/>
        <w:tabs>
          <w:tab w:pos="705" w:val="left" w:leader="none"/>
        </w:tabs>
        <w:ind w:left="165"/>
      </w:pPr>
      <w:bookmarkStart w:name="_bookmark1419" w:id="1421"/>
      <w:bookmarkEnd w:id="1421"/>
      <w:r>
        <w:rPr/>
      </w:r>
      <w:hyperlink w:history="true" w:anchor="_bookmark1362">
        <w:r>
          <w:rPr>
            <w:color w:val="005DA1"/>
            <w:spacing w:val="-4"/>
            <w:position w:val="5"/>
            <w:sz w:val="14"/>
            <w:u w:val="single" w:color="005DA1"/>
          </w:rPr>
          <w:t>731</w:t>
        </w:r>
      </w:hyperlink>
      <w:r>
        <w:rPr>
          <w:spacing w:val="-4"/>
          <w:position w:val="5"/>
          <w:sz w:val="14"/>
        </w:rPr>
        <w:t>.</w:t>
      </w:r>
      <w:r>
        <w:rPr>
          <w:position w:val="5"/>
          <w:sz w:val="14"/>
        </w:rPr>
        <w:tab/>
      </w:r>
      <w:r>
        <w:rPr/>
        <w:t>See below, paras 26-140 et </w:t>
      </w:r>
      <w:r>
        <w:rPr>
          <w:spacing w:val="-4"/>
        </w:rPr>
        <w:t>seq.</w:t>
      </w:r>
    </w:p>
    <w:p>
      <w:pPr>
        <w:pStyle w:val="BodyText"/>
        <w:spacing w:before="5"/>
      </w:pPr>
    </w:p>
    <w:p>
      <w:pPr>
        <w:tabs>
          <w:tab w:pos="705" w:val="left" w:leader="none"/>
        </w:tabs>
        <w:spacing w:line="227" w:lineRule="exact" w:before="0"/>
        <w:ind w:left="165" w:right="0" w:firstLine="0"/>
        <w:jc w:val="left"/>
        <w:rPr>
          <w:sz w:val="20"/>
        </w:rPr>
      </w:pPr>
      <w:bookmarkStart w:name="_bookmark1420" w:id="1422"/>
      <w:bookmarkEnd w:id="1422"/>
      <w:r>
        <w:rPr/>
      </w:r>
      <w:hyperlink w:history="true" w:anchor="_bookmark1363">
        <w:r>
          <w:rPr>
            <w:color w:val="005DA1"/>
            <w:spacing w:val="-4"/>
            <w:position w:val="5"/>
            <w:sz w:val="14"/>
            <w:u w:val="single" w:color="005DA1"/>
          </w:rPr>
          <w:t>732</w:t>
        </w:r>
      </w:hyperlink>
      <w:r>
        <w:rPr>
          <w:spacing w:val="-4"/>
          <w:position w:val="5"/>
          <w:sz w:val="14"/>
        </w:rPr>
        <w:t>.</w:t>
      </w:r>
      <w:r>
        <w:rPr>
          <w:position w:val="5"/>
          <w:sz w:val="14"/>
        </w:rPr>
        <w:tab/>
      </w:r>
      <w:r>
        <w:rPr>
          <w:rFonts w:ascii="Arial"/>
          <w:i/>
          <w:sz w:val="20"/>
        </w:rPr>
        <w:t>[2008]</w:t>
      </w:r>
      <w:r>
        <w:rPr>
          <w:rFonts w:ascii="Arial"/>
          <w:i/>
          <w:spacing w:val="28"/>
          <w:sz w:val="20"/>
        </w:rPr>
        <w:t> </w:t>
      </w:r>
      <w:r>
        <w:rPr>
          <w:rFonts w:ascii="Arial"/>
          <w:i/>
          <w:sz w:val="20"/>
        </w:rPr>
        <w:t>UKHL</w:t>
      </w:r>
      <w:r>
        <w:rPr>
          <w:rFonts w:ascii="Arial"/>
          <w:i/>
          <w:spacing w:val="30"/>
          <w:sz w:val="20"/>
        </w:rPr>
        <w:t> </w:t>
      </w:r>
      <w:r>
        <w:rPr>
          <w:rFonts w:ascii="Arial"/>
          <w:i/>
          <w:sz w:val="20"/>
        </w:rPr>
        <w:t>48,</w:t>
      </w:r>
      <w:r>
        <w:rPr>
          <w:rFonts w:ascii="Arial"/>
          <w:i/>
          <w:spacing w:val="30"/>
          <w:sz w:val="20"/>
        </w:rPr>
        <w:t> </w:t>
      </w:r>
      <w:r>
        <w:rPr>
          <w:rFonts w:ascii="Arial"/>
          <w:i/>
          <w:sz w:val="20"/>
        </w:rPr>
        <w:t>[2009]</w:t>
      </w:r>
      <w:r>
        <w:rPr>
          <w:rFonts w:ascii="Arial"/>
          <w:i/>
          <w:spacing w:val="30"/>
          <w:sz w:val="20"/>
        </w:rPr>
        <w:t> </w:t>
      </w:r>
      <w:r>
        <w:rPr>
          <w:rFonts w:ascii="Arial"/>
          <w:i/>
          <w:sz w:val="20"/>
        </w:rPr>
        <w:t>1</w:t>
      </w:r>
      <w:r>
        <w:rPr>
          <w:rFonts w:ascii="Arial"/>
          <w:i/>
          <w:spacing w:val="30"/>
          <w:sz w:val="20"/>
        </w:rPr>
        <w:t> </w:t>
      </w:r>
      <w:r>
        <w:rPr>
          <w:rFonts w:ascii="Arial"/>
          <w:i/>
          <w:sz w:val="20"/>
        </w:rPr>
        <w:t>A.C.</w:t>
      </w:r>
      <w:r>
        <w:rPr>
          <w:rFonts w:ascii="Arial"/>
          <w:i/>
          <w:spacing w:val="30"/>
          <w:sz w:val="20"/>
        </w:rPr>
        <w:t> </w:t>
      </w:r>
      <w:r>
        <w:rPr>
          <w:rFonts w:ascii="Arial"/>
          <w:i/>
          <w:sz w:val="20"/>
        </w:rPr>
        <w:t>61</w:t>
      </w:r>
      <w:r>
        <w:rPr>
          <w:rFonts w:ascii="Arial"/>
          <w:i/>
          <w:spacing w:val="30"/>
          <w:sz w:val="20"/>
        </w:rPr>
        <w:t> </w:t>
      </w:r>
      <w:r>
        <w:rPr>
          <w:rFonts w:ascii="Arial"/>
          <w:i/>
          <w:sz w:val="20"/>
        </w:rPr>
        <w:t>(noted</w:t>
      </w:r>
      <w:r>
        <w:rPr>
          <w:rFonts w:ascii="Arial"/>
          <w:i/>
          <w:spacing w:val="30"/>
          <w:sz w:val="20"/>
        </w:rPr>
        <w:t> </w:t>
      </w:r>
      <w:r>
        <w:rPr>
          <w:rFonts w:ascii="Arial"/>
          <w:i/>
          <w:sz w:val="20"/>
        </w:rPr>
        <w:t>at</w:t>
      </w:r>
      <w:r>
        <w:rPr>
          <w:rFonts w:ascii="Arial"/>
          <w:i/>
          <w:spacing w:val="30"/>
          <w:sz w:val="20"/>
        </w:rPr>
        <w:t> </w:t>
      </w:r>
      <w:r>
        <w:rPr>
          <w:rFonts w:ascii="Arial"/>
          <w:i/>
          <w:sz w:val="20"/>
        </w:rPr>
        <w:t>(2009)</w:t>
      </w:r>
      <w:r>
        <w:rPr>
          <w:rFonts w:ascii="Arial"/>
          <w:i/>
          <w:spacing w:val="30"/>
          <w:sz w:val="20"/>
        </w:rPr>
        <w:t> </w:t>
      </w:r>
      <w:r>
        <w:rPr>
          <w:rFonts w:ascii="Arial"/>
          <w:i/>
          <w:sz w:val="20"/>
        </w:rPr>
        <w:t>125</w:t>
      </w:r>
      <w:r>
        <w:rPr>
          <w:rFonts w:ascii="Arial"/>
          <w:i/>
          <w:spacing w:val="30"/>
          <w:sz w:val="20"/>
        </w:rPr>
        <w:t> </w:t>
      </w:r>
      <w:r>
        <w:rPr>
          <w:rFonts w:ascii="Arial"/>
          <w:i/>
          <w:sz w:val="20"/>
        </w:rPr>
        <w:t>L.Q.R.</w:t>
      </w:r>
      <w:r>
        <w:rPr>
          <w:rFonts w:ascii="Arial"/>
          <w:i/>
          <w:spacing w:val="30"/>
          <w:sz w:val="20"/>
        </w:rPr>
        <w:t> </w:t>
      </w:r>
      <w:r>
        <w:rPr>
          <w:rFonts w:ascii="Arial"/>
          <w:i/>
          <w:sz w:val="20"/>
        </w:rPr>
        <w:t>6</w:t>
      </w:r>
      <w:r>
        <w:rPr>
          <w:rFonts w:ascii="Arial"/>
          <w:i/>
          <w:spacing w:val="30"/>
          <w:sz w:val="20"/>
        </w:rPr>
        <w:t> </w:t>
      </w:r>
      <w:r>
        <w:rPr>
          <w:rFonts w:ascii="Arial"/>
          <w:i/>
          <w:sz w:val="20"/>
        </w:rPr>
        <w:t>(Peel)</w:t>
      </w:r>
      <w:r>
        <w:rPr>
          <w:rFonts w:ascii="Arial"/>
          <w:i/>
          <w:spacing w:val="30"/>
          <w:sz w:val="20"/>
        </w:rPr>
        <w:t> </w:t>
      </w:r>
      <w:r>
        <w:rPr>
          <w:rFonts w:ascii="Arial"/>
          <w:i/>
          <w:sz w:val="20"/>
        </w:rPr>
        <w:t>and</w:t>
      </w:r>
      <w:r>
        <w:rPr>
          <w:rFonts w:ascii="Arial"/>
          <w:i/>
          <w:spacing w:val="30"/>
          <w:sz w:val="20"/>
        </w:rPr>
        <w:t> </w:t>
      </w:r>
      <w:r>
        <w:rPr>
          <w:rFonts w:ascii="Arial"/>
          <w:i/>
          <w:sz w:val="20"/>
        </w:rPr>
        <w:t>408</w:t>
      </w:r>
      <w:r>
        <w:rPr>
          <w:rFonts w:ascii="Arial"/>
          <w:i/>
          <w:spacing w:val="30"/>
          <w:sz w:val="20"/>
        </w:rPr>
        <w:t> </w:t>
      </w:r>
      <w:r>
        <w:rPr>
          <w:rFonts w:ascii="Arial"/>
          <w:i/>
          <w:spacing w:val="-2"/>
          <w:sz w:val="20"/>
        </w:rPr>
        <w:t>(Kramer))</w:t>
      </w:r>
      <w:r>
        <w:rPr>
          <w:spacing w:val="-2"/>
          <w:sz w:val="20"/>
        </w:rPr>
        <w:t>.</w:t>
      </w:r>
    </w:p>
    <w:p>
      <w:pPr>
        <w:spacing w:line="235" w:lineRule="auto" w:before="1"/>
        <w:ind w:left="705" w:right="167" w:firstLine="0"/>
        <w:jc w:val="both"/>
        <w:rPr>
          <w:sz w:val="20"/>
        </w:rPr>
      </w:pPr>
      <w:r>
        <w:rPr>
          <w:sz w:val="20"/>
        </w:rPr>
        <w:t>Compare</w:t>
      </w:r>
      <w:r>
        <w:rPr>
          <w:spacing w:val="-3"/>
          <w:sz w:val="20"/>
        </w:rPr>
        <w:t> </w:t>
      </w:r>
      <w:r>
        <w:rPr>
          <w:rFonts w:ascii="Arial"/>
          <w:i/>
          <w:sz w:val="20"/>
        </w:rPr>
        <w:t>Pindell</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AirAsia</w:t>
      </w:r>
      <w:r>
        <w:rPr>
          <w:rFonts w:ascii="Arial"/>
          <w:i/>
          <w:spacing w:val="-3"/>
          <w:sz w:val="20"/>
        </w:rPr>
        <w:t> </w:t>
      </w:r>
      <w:r>
        <w:rPr>
          <w:rFonts w:ascii="Arial"/>
          <w:i/>
          <w:sz w:val="20"/>
        </w:rPr>
        <w:t>Berhad</w:t>
      </w:r>
      <w:r>
        <w:rPr>
          <w:rFonts w:ascii="Arial"/>
          <w:i/>
          <w:spacing w:val="-3"/>
          <w:sz w:val="20"/>
        </w:rPr>
        <w:t> </w:t>
      </w:r>
      <w:r>
        <w:rPr>
          <w:rFonts w:ascii="Arial"/>
          <w:i/>
          <w:sz w:val="20"/>
        </w:rPr>
        <w:t>(formerly</w:t>
      </w:r>
      <w:r>
        <w:rPr>
          <w:rFonts w:ascii="Arial"/>
          <w:i/>
          <w:spacing w:val="-3"/>
          <w:sz w:val="20"/>
        </w:rPr>
        <w:t> </w:t>
      </w:r>
      <w:r>
        <w:rPr>
          <w:rFonts w:ascii="Arial"/>
          <w:i/>
          <w:sz w:val="20"/>
        </w:rPr>
        <w:t>AirAsia</w:t>
      </w:r>
      <w:r>
        <w:rPr>
          <w:rFonts w:ascii="Arial"/>
          <w:i/>
          <w:spacing w:val="-3"/>
          <w:sz w:val="20"/>
        </w:rPr>
        <w:t> </w:t>
      </w:r>
      <w:r>
        <w:rPr>
          <w:rFonts w:ascii="Arial"/>
          <w:i/>
          <w:sz w:val="20"/>
        </w:rPr>
        <w:t>SDN</w:t>
      </w:r>
      <w:r>
        <w:rPr>
          <w:rFonts w:ascii="Arial"/>
          <w:i/>
          <w:spacing w:val="-3"/>
          <w:sz w:val="20"/>
        </w:rPr>
        <w:t> </w:t>
      </w:r>
      <w:r>
        <w:rPr>
          <w:rFonts w:ascii="Arial"/>
          <w:i/>
          <w:sz w:val="20"/>
        </w:rPr>
        <w:t>BHD)</w:t>
      </w:r>
      <w:r>
        <w:rPr>
          <w:rFonts w:ascii="Arial"/>
          <w:i/>
          <w:spacing w:val="-3"/>
          <w:sz w:val="20"/>
        </w:rPr>
        <w:t> </w:t>
      </w:r>
      <w:r>
        <w:rPr>
          <w:rFonts w:ascii="Arial"/>
          <w:i/>
          <w:sz w:val="20"/>
        </w:rPr>
        <w:t>[2010]</w:t>
      </w:r>
      <w:r>
        <w:rPr>
          <w:rFonts w:ascii="Arial"/>
          <w:i/>
          <w:spacing w:val="-3"/>
          <w:sz w:val="20"/>
        </w:rPr>
        <w:t> </w:t>
      </w:r>
      <w:r>
        <w:rPr>
          <w:rFonts w:ascii="Arial"/>
          <w:i/>
          <w:sz w:val="20"/>
        </w:rPr>
        <w:t>EWHC</w:t>
      </w:r>
      <w:r>
        <w:rPr>
          <w:rFonts w:ascii="Arial"/>
          <w:i/>
          <w:spacing w:val="-3"/>
          <w:sz w:val="20"/>
        </w:rPr>
        <w:t> </w:t>
      </w:r>
      <w:r>
        <w:rPr>
          <w:rFonts w:ascii="Arial"/>
          <w:i/>
          <w:sz w:val="20"/>
        </w:rPr>
        <w:t>2516</w:t>
      </w:r>
      <w:r>
        <w:rPr>
          <w:rFonts w:ascii="Arial"/>
          <w:i/>
          <w:spacing w:val="-3"/>
          <w:sz w:val="20"/>
        </w:rPr>
        <w:t> </w:t>
      </w:r>
      <w:r>
        <w:rPr>
          <w:rFonts w:ascii="Arial"/>
          <w:i/>
          <w:sz w:val="20"/>
        </w:rPr>
        <w:t>(Comm) </w:t>
      </w:r>
      <w:r>
        <w:rPr>
          <w:sz w:val="20"/>
        </w:rPr>
        <w:t>(above, para.26-111 n.567): leased aircraft redelivered late and lessor lost contract to sell the aircraft; held, loss not sufficiently likely but in any event not a type of loss for which lessees assumed responsibility (at [87]).</w:t>
      </w:r>
    </w:p>
    <w:p>
      <w:pPr>
        <w:pStyle w:val="BodyText"/>
        <w:spacing w:before="5"/>
      </w:pPr>
    </w:p>
    <w:p>
      <w:pPr>
        <w:pStyle w:val="BodyText"/>
        <w:tabs>
          <w:tab w:pos="705" w:val="left" w:leader="none"/>
        </w:tabs>
        <w:ind w:left="165"/>
      </w:pPr>
      <w:bookmarkStart w:name="_bookmark1421" w:id="1423"/>
      <w:bookmarkEnd w:id="1423"/>
      <w:r>
        <w:rPr/>
      </w:r>
      <w:hyperlink w:history="true" w:anchor="_bookmark1364">
        <w:r>
          <w:rPr>
            <w:color w:val="005DA1"/>
            <w:spacing w:val="-4"/>
            <w:position w:val="5"/>
            <w:sz w:val="14"/>
            <w:u w:val="single" w:color="005DA1"/>
          </w:rPr>
          <w:t>733</w:t>
        </w:r>
      </w:hyperlink>
      <w:r>
        <w:rPr>
          <w:spacing w:val="-4"/>
          <w:position w:val="5"/>
          <w:sz w:val="14"/>
        </w:rPr>
        <w:t>.</w:t>
      </w:r>
      <w:r>
        <w:rPr>
          <w:position w:val="5"/>
          <w:sz w:val="14"/>
        </w:rPr>
        <w:tab/>
      </w:r>
      <w:r>
        <w:rPr/>
        <w:t>Examples of the authorities are listed in the speech of Lord Hoffmann at </w:t>
      </w:r>
      <w:r>
        <w:rPr>
          <w:spacing w:val="-2"/>
        </w:rPr>
        <w:t>[10].</w:t>
      </w:r>
    </w:p>
    <w:p>
      <w:pPr>
        <w:pStyle w:val="BodyText"/>
        <w:spacing w:before="5"/>
      </w:pPr>
    </w:p>
    <w:p>
      <w:pPr>
        <w:tabs>
          <w:tab w:pos="705" w:val="left" w:leader="none"/>
        </w:tabs>
        <w:spacing w:before="0"/>
        <w:ind w:left="165" w:right="0" w:firstLine="0"/>
        <w:jc w:val="left"/>
        <w:rPr>
          <w:sz w:val="20"/>
        </w:rPr>
      </w:pPr>
      <w:bookmarkStart w:name="_bookmark1422" w:id="1424"/>
      <w:bookmarkEnd w:id="1424"/>
      <w:r>
        <w:rPr/>
      </w:r>
      <w:hyperlink w:history="true" w:anchor="_bookmark1365">
        <w:r>
          <w:rPr>
            <w:color w:val="005DA1"/>
            <w:spacing w:val="-4"/>
            <w:position w:val="5"/>
            <w:sz w:val="14"/>
            <w:u w:val="single" w:color="005DA1"/>
          </w:rPr>
          <w:t>734</w:t>
        </w:r>
      </w:hyperlink>
      <w:r>
        <w:rPr>
          <w:spacing w:val="-4"/>
          <w:position w:val="5"/>
          <w:sz w:val="14"/>
        </w:rPr>
        <w:t>.</w:t>
      </w:r>
      <w:r>
        <w:rPr>
          <w:position w:val="5"/>
          <w:sz w:val="14"/>
        </w:rPr>
        <w:tab/>
      </w:r>
      <w:r>
        <w:rPr>
          <w:rFonts w:ascii="Arial" w:hAnsi="Arial"/>
          <w:i/>
          <w:sz w:val="20"/>
        </w:rPr>
        <w:t>[2006] EWHC 3030 (Comm), [2007] 1 Lloyd’s Rep. </w:t>
      </w:r>
      <w:r>
        <w:rPr>
          <w:rFonts w:ascii="Arial" w:hAnsi="Arial"/>
          <w:i/>
          <w:spacing w:val="-5"/>
          <w:sz w:val="20"/>
        </w:rPr>
        <w:t>19</w:t>
      </w:r>
      <w:r>
        <w:rPr>
          <w:spacing w:val="-5"/>
          <w:sz w:val="20"/>
        </w:rPr>
        <w:t>.</w:t>
      </w:r>
    </w:p>
    <w:p>
      <w:pPr>
        <w:pStyle w:val="BodyText"/>
        <w:spacing w:before="5"/>
      </w:pPr>
    </w:p>
    <w:p>
      <w:pPr>
        <w:tabs>
          <w:tab w:pos="705" w:val="left" w:leader="none"/>
        </w:tabs>
        <w:spacing w:before="0"/>
        <w:ind w:left="165" w:right="0" w:firstLine="0"/>
        <w:jc w:val="left"/>
        <w:rPr>
          <w:rFonts w:ascii="Arial" w:hAnsi="Arial"/>
          <w:i/>
          <w:sz w:val="20"/>
        </w:rPr>
      </w:pPr>
      <w:bookmarkStart w:name="_bookmark1423" w:id="1425"/>
      <w:bookmarkEnd w:id="1425"/>
      <w:r>
        <w:rPr/>
      </w:r>
      <w:hyperlink w:history="true" w:anchor="_bookmark1365">
        <w:r>
          <w:rPr>
            <w:color w:val="005DA1"/>
            <w:spacing w:val="-4"/>
            <w:position w:val="5"/>
            <w:sz w:val="14"/>
            <w:u w:val="single" w:color="005DA1"/>
          </w:rPr>
          <w:t>735</w:t>
        </w:r>
      </w:hyperlink>
      <w:r>
        <w:rPr>
          <w:spacing w:val="-4"/>
          <w:position w:val="5"/>
          <w:sz w:val="14"/>
        </w:rPr>
        <w:t>.</w:t>
      </w:r>
      <w:r>
        <w:rPr>
          <w:position w:val="5"/>
          <w:sz w:val="14"/>
        </w:rPr>
        <w:tab/>
      </w:r>
      <w:r>
        <w:rPr>
          <w:rFonts w:ascii="Arial" w:hAnsi="Arial"/>
          <w:i/>
          <w:sz w:val="20"/>
        </w:rPr>
        <w:t>[2007] EWCA Civ 901, [2007] 2 Lloyd’s Rep. </w:t>
      </w:r>
      <w:r>
        <w:rPr>
          <w:rFonts w:ascii="Arial" w:hAnsi="Arial"/>
          <w:i/>
          <w:spacing w:val="-4"/>
          <w:sz w:val="20"/>
        </w:rPr>
        <w:t>555.</w:t>
      </w:r>
    </w:p>
    <w:p>
      <w:pPr>
        <w:pStyle w:val="BodyText"/>
        <w:spacing w:before="5"/>
        <w:rPr>
          <w:rFonts w:ascii="Arial"/>
          <w:i/>
        </w:rPr>
      </w:pPr>
    </w:p>
    <w:p>
      <w:pPr>
        <w:tabs>
          <w:tab w:pos="705" w:val="left" w:leader="none"/>
        </w:tabs>
        <w:spacing w:before="0"/>
        <w:ind w:left="165" w:right="0" w:firstLine="0"/>
        <w:jc w:val="left"/>
        <w:rPr>
          <w:sz w:val="20"/>
        </w:rPr>
      </w:pPr>
      <w:bookmarkStart w:name="_bookmark1424" w:id="1426"/>
      <w:bookmarkEnd w:id="1426"/>
      <w:r>
        <w:rPr/>
      </w:r>
      <w:hyperlink w:history="true" w:anchor="_bookmark1366">
        <w:r>
          <w:rPr>
            <w:color w:val="005DA1"/>
            <w:spacing w:val="-4"/>
            <w:position w:val="5"/>
            <w:sz w:val="14"/>
            <w:u w:val="single" w:color="005DA1"/>
          </w:rPr>
          <w:t>736</w:t>
        </w:r>
      </w:hyperlink>
      <w:r>
        <w:rPr>
          <w:spacing w:val="-4"/>
          <w:position w:val="5"/>
          <w:sz w:val="14"/>
        </w:rPr>
        <w:t>.</w:t>
      </w:r>
      <w:r>
        <w:rPr>
          <w:position w:val="5"/>
          <w:sz w:val="14"/>
        </w:rPr>
        <w:tab/>
      </w:r>
      <w:r>
        <w:rPr>
          <w:rFonts w:ascii="Arial"/>
          <w:i/>
          <w:sz w:val="20"/>
        </w:rPr>
        <w:t>(1854) 9 Exch. 341</w:t>
      </w:r>
      <w:r>
        <w:rPr>
          <w:rFonts w:ascii="Arial"/>
          <w:i/>
          <w:spacing w:val="-1"/>
          <w:sz w:val="20"/>
        </w:rPr>
        <w:t> </w:t>
      </w:r>
      <w:r>
        <w:rPr>
          <w:sz w:val="20"/>
        </w:rPr>
        <w:t>(above, para.26-</w:t>
      </w:r>
      <w:r>
        <w:rPr>
          <w:spacing w:val="-2"/>
          <w:sz w:val="20"/>
        </w:rPr>
        <w:t>109).</w:t>
      </w:r>
    </w:p>
    <w:p>
      <w:pPr>
        <w:pStyle w:val="BodyText"/>
        <w:spacing w:before="5"/>
      </w:pPr>
    </w:p>
    <w:p>
      <w:pPr>
        <w:tabs>
          <w:tab w:pos="705" w:val="left" w:leader="none"/>
        </w:tabs>
        <w:spacing w:before="0"/>
        <w:ind w:left="165" w:right="0" w:firstLine="0"/>
        <w:jc w:val="left"/>
        <w:rPr>
          <w:sz w:val="20"/>
        </w:rPr>
      </w:pPr>
      <w:bookmarkStart w:name="_bookmark1425" w:id="1427"/>
      <w:bookmarkEnd w:id="1427"/>
      <w:r>
        <w:rPr/>
      </w:r>
      <w:hyperlink w:history="true" w:anchor="_bookmark1367">
        <w:r>
          <w:rPr>
            <w:color w:val="005DA1"/>
            <w:spacing w:val="-4"/>
            <w:position w:val="5"/>
            <w:sz w:val="14"/>
            <w:u w:val="single" w:color="005DA1"/>
          </w:rPr>
          <w:t>737</w:t>
        </w:r>
      </w:hyperlink>
      <w:r>
        <w:rPr>
          <w:spacing w:val="-4"/>
          <w:position w:val="5"/>
          <w:sz w:val="14"/>
        </w:rPr>
        <w:t>.</w:t>
      </w:r>
      <w:r>
        <w:rPr>
          <w:position w:val="5"/>
          <w:sz w:val="14"/>
        </w:rPr>
        <w:tab/>
      </w:r>
      <w:r>
        <w:rPr>
          <w:sz w:val="20"/>
        </w:rPr>
        <w:t>At </w:t>
      </w:r>
      <w:r>
        <w:rPr>
          <w:spacing w:val="-2"/>
          <w:sz w:val="20"/>
        </w:rPr>
        <w:t>[93].</w:t>
      </w:r>
    </w:p>
    <w:p>
      <w:pPr>
        <w:pStyle w:val="BodyText"/>
        <w:spacing w:before="5"/>
      </w:pPr>
    </w:p>
    <w:p>
      <w:pPr>
        <w:tabs>
          <w:tab w:pos="705" w:val="left" w:leader="none"/>
        </w:tabs>
        <w:spacing w:before="0"/>
        <w:ind w:left="165" w:right="0" w:firstLine="0"/>
        <w:jc w:val="left"/>
        <w:rPr>
          <w:sz w:val="20"/>
        </w:rPr>
      </w:pPr>
      <w:bookmarkStart w:name="_bookmark1426" w:id="1428"/>
      <w:bookmarkEnd w:id="1428"/>
      <w:r>
        <w:rPr/>
      </w:r>
      <w:hyperlink w:history="true" w:anchor="_bookmark1367">
        <w:r>
          <w:rPr>
            <w:color w:val="005DA1"/>
            <w:spacing w:val="-4"/>
            <w:position w:val="5"/>
            <w:sz w:val="14"/>
            <w:u w:val="single" w:color="005DA1"/>
          </w:rPr>
          <w:t>738</w:t>
        </w:r>
      </w:hyperlink>
      <w:r>
        <w:rPr>
          <w:spacing w:val="-4"/>
          <w:position w:val="5"/>
          <w:sz w:val="14"/>
        </w:rPr>
        <w:t>.</w:t>
      </w:r>
      <w:r>
        <w:rPr>
          <w:position w:val="5"/>
          <w:sz w:val="14"/>
        </w:rPr>
        <w:tab/>
      </w:r>
      <w:r>
        <w:rPr>
          <w:sz w:val="20"/>
        </w:rPr>
        <w:t>At </w:t>
      </w:r>
      <w:r>
        <w:rPr>
          <w:spacing w:val="-2"/>
          <w:sz w:val="20"/>
        </w:rPr>
        <w:t>[83].</w:t>
      </w:r>
    </w:p>
    <w:p>
      <w:pPr>
        <w:pStyle w:val="BodyText"/>
        <w:spacing w:before="5"/>
      </w:pPr>
    </w:p>
    <w:p>
      <w:pPr>
        <w:tabs>
          <w:tab w:pos="705" w:val="left" w:leader="none"/>
        </w:tabs>
        <w:spacing w:before="0"/>
        <w:ind w:left="165" w:right="0" w:firstLine="0"/>
        <w:jc w:val="left"/>
        <w:rPr>
          <w:sz w:val="20"/>
        </w:rPr>
      </w:pPr>
      <w:bookmarkStart w:name="_bookmark1427" w:id="1429"/>
      <w:bookmarkEnd w:id="1429"/>
      <w:r>
        <w:rPr/>
      </w:r>
      <w:hyperlink w:history="true" w:anchor="_bookmark1367">
        <w:r>
          <w:rPr>
            <w:color w:val="005DA1"/>
            <w:spacing w:val="-4"/>
            <w:position w:val="5"/>
            <w:sz w:val="14"/>
            <w:u w:val="single" w:color="005DA1"/>
          </w:rPr>
          <w:t>739</w:t>
        </w:r>
      </w:hyperlink>
      <w:r>
        <w:rPr>
          <w:spacing w:val="-4"/>
          <w:position w:val="5"/>
          <w:sz w:val="14"/>
        </w:rPr>
        <w:t>.</w:t>
      </w:r>
      <w:r>
        <w:rPr>
          <w:position w:val="5"/>
          <w:sz w:val="14"/>
        </w:rPr>
        <w:tab/>
      </w:r>
      <w:r>
        <w:rPr>
          <w:sz w:val="20"/>
        </w:rPr>
        <w:t>At </w:t>
      </w:r>
      <w:r>
        <w:rPr>
          <w:spacing w:val="-2"/>
          <w:sz w:val="20"/>
        </w:rPr>
        <w:t>[87].</w:t>
      </w:r>
    </w:p>
    <w:p>
      <w:pPr>
        <w:pStyle w:val="BodyText"/>
        <w:spacing w:before="5"/>
      </w:pPr>
    </w:p>
    <w:p>
      <w:pPr>
        <w:pStyle w:val="BodyText"/>
        <w:tabs>
          <w:tab w:pos="705" w:val="left" w:leader="none"/>
        </w:tabs>
        <w:ind w:left="165"/>
      </w:pPr>
      <w:bookmarkStart w:name="_bookmark1428" w:id="1430"/>
      <w:bookmarkEnd w:id="1430"/>
      <w:r>
        <w:rPr/>
      </w:r>
      <w:hyperlink w:history="true" w:anchor="_bookmark1368">
        <w:r>
          <w:rPr>
            <w:color w:val="005DA1"/>
            <w:spacing w:val="-4"/>
            <w:position w:val="5"/>
            <w:sz w:val="14"/>
            <w:u w:val="single" w:color="005DA1"/>
          </w:rPr>
          <w:t>740</w:t>
        </w:r>
      </w:hyperlink>
      <w:r>
        <w:rPr>
          <w:spacing w:val="-4"/>
          <w:position w:val="5"/>
          <w:sz w:val="14"/>
        </w:rPr>
        <w:t>.</w:t>
      </w:r>
      <w:r>
        <w:rPr>
          <w:position w:val="5"/>
          <w:sz w:val="14"/>
        </w:rPr>
        <w:tab/>
      </w:r>
      <w:r>
        <w:rPr/>
        <w:t>Lord Hoffmann at [21]; Lord Hope at </w:t>
      </w:r>
      <w:r>
        <w:rPr>
          <w:spacing w:val="-2"/>
        </w:rPr>
        <w:t>[30].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9024">
            <wp:simplePos x="0" y="0"/>
            <wp:positionH relativeFrom="page">
              <wp:posOffset>1257846</wp:posOffset>
            </wp:positionH>
            <wp:positionV relativeFrom="paragraph">
              <wp:posOffset>160246</wp:posOffset>
            </wp:positionV>
            <wp:extent cx="107988" cy="107988"/>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29" w:id="1431"/>
      <w:bookmarkEnd w:id="1431"/>
      <w:r>
        <w:rPr/>
      </w:r>
      <w:hyperlink w:history="true" w:anchor="_bookmark1369">
        <w:r>
          <w:rPr>
            <w:color w:val="005DA1"/>
            <w:spacing w:val="-4"/>
            <w:sz w:val="14"/>
            <w:u w:val="single" w:color="005DA1"/>
          </w:rPr>
          <w:t>741</w:t>
        </w:r>
      </w:hyperlink>
      <w:r>
        <w:rPr>
          <w:spacing w:val="-4"/>
          <w:sz w:val="14"/>
        </w:rPr>
        <w:t>.</w:t>
      </w:r>
    </w:p>
    <w:p>
      <w:pPr>
        <w:spacing w:line="235" w:lineRule="auto" w:before="212"/>
        <w:ind w:left="165" w:right="167" w:firstLine="170"/>
        <w:jc w:val="both"/>
        <w:rPr>
          <w:sz w:val="20"/>
        </w:rPr>
      </w:pPr>
      <w:r>
        <w:rPr/>
        <w:br w:type="column"/>
      </w:r>
      <w:r>
        <w:rPr>
          <w:sz w:val="20"/>
        </w:rPr>
        <w:t>An award of damages for loss beyond the end date of the broken charter was upheld in </w:t>
      </w:r>
      <w:r>
        <w:rPr>
          <w:rFonts w:ascii="Arial"/>
          <w:i/>
          <w:sz w:val="20"/>
        </w:rPr>
        <w:t>Louis Dreyfus</w:t>
      </w:r>
      <w:r>
        <w:rPr>
          <w:rFonts w:ascii="Arial"/>
          <w:i/>
          <w:spacing w:val="-3"/>
          <w:sz w:val="20"/>
        </w:rPr>
        <w:t> </w:t>
      </w:r>
      <w:r>
        <w:rPr>
          <w:rFonts w:ascii="Arial"/>
          <w:i/>
          <w:sz w:val="20"/>
        </w:rPr>
        <w:t>Commodities</w:t>
      </w:r>
      <w:r>
        <w:rPr>
          <w:rFonts w:ascii="Arial"/>
          <w:i/>
          <w:spacing w:val="-3"/>
          <w:sz w:val="20"/>
        </w:rPr>
        <w:t> </w:t>
      </w:r>
      <w:r>
        <w:rPr>
          <w:rFonts w:ascii="Arial"/>
          <w:i/>
          <w:sz w:val="20"/>
        </w:rPr>
        <w:t>Suisse</w:t>
      </w:r>
      <w:r>
        <w:rPr>
          <w:rFonts w:ascii="Arial"/>
          <w:i/>
          <w:spacing w:val="-3"/>
          <w:sz w:val="20"/>
        </w:rPr>
        <w:t> </w:t>
      </w:r>
      <w:r>
        <w:rPr>
          <w:rFonts w:ascii="Arial"/>
          <w:i/>
          <w:sz w:val="20"/>
        </w:rPr>
        <w:t>SA</w:t>
      </w:r>
      <w:r>
        <w:rPr>
          <w:rFonts w:ascii="Arial"/>
          <w:i/>
          <w:spacing w:val="-3"/>
          <w:sz w:val="20"/>
        </w:rPr>
        <w:t> </w:t>
      </w:r>
      <w:r>
        <w:rPr>
          <w:rFonts w:ascii="Arial"/>
          <w:i/>
          <w:sz w:val="20"/>
        </w:rPr>
        <w:t>v</w:t>
      </w:r>
      <w:r>
        <w:rPr>
          <w:rFonts w:ascii="Arial"/>
          <w:i/>
          <w:spacing w:val="-3"/>
          <w:sz w:val="20"/>
        </w:rPr>
        <w:t> </w:t>
      </w:r>
      <w:r>
        <w:rPr>
          <w:rFonts w:ascii="Arial"/>
          <w:i/>
          <w:sz w:val="20"/>
        </w:rPr>
        <w:t>MT</w:t>
      </w:r>
      <w:r>
        <w:rPr>
          <w:rFonts w:ascii="Arial"/>
          <w:i/>
          <w:spacing w:val="-3"/>
          <w:sz w:val="20"/>
        </w:rPr>
        <w:t> </w:t>
      </w:r>
      <w:r>
        <w:rPr>
          <w:rFonts w:ascii="Arial"/>
          <w:i/>
          <w:sz w:val="20"/>
        </w:rPr>
        <w:t>Maritime</w:t>
      </w:r>
      <w:r>
        <w:rPr>
          <w:rFonts w:ascii="Arial"/>
          <w:i/>
          <w:spacing w:val="-3"/>
          <w:sz w:val="20"/>
        </w:rPr>
        <w:t> </w:t>
      </w:r>
      <w:r>
        <w:rPr>
          <w:rFonts w:ascii="Arial"/>
          <w:i/>
          <w:sz w:val="20"/>
        </w:rPr>
        <w:t>Management</w:t>
      </w:r>
      <w:r>
        <w:rPr>
          <w:rFonts w:ascii="Arial"/>
          <w:i/>
          <w:spacing w:val="-3"/>
          <w:sz w:val="20"/>
        </w:rPr>
        <w:t> </w:t>
      </w:r>
      <w:r>
        <w:rPr>
          <w:rFonts w:ascii="Arial"/>
          <w:i/>
          <w:sz w:val="20"/>
        </w:rPr>
        <w:t>BV</w:t>
      </w:r>
      <w:r>
        <w:rPr>
          <w:rFonts w:ascii="Arial"/>
          <w:i/>
          <w:spacing w:val="-3"/>
          <w:sz w:val="20"/>
        </w:rPr>
        <w:t> </w:t>
      </w:r>
      <w:r>
        <w:rPr>
          <w:rFonts w:ascii="Arial"/>
          <w:i/>
          <w:sz w:val="20"/>
        </w:rPr>
        <w:t>(The</w:t>
      </w:r>
      <w:r>
        <w:rPr>
          <w:rFonts w:ascii="Arial"/>
          <w:i/>
          <w:spacing w:val="-3"/>
          <w:sz w:val="20"/>
        </w:rPr>
        <w:t> </w:t>
      </w:r>
      <w:r>
        <w:rPr>
          <w:rFonts w:ascii="Arial"/>
          <w:i/>
          <w:sz w:val="20"/>
        </w:rPr>
        <w:t>MTM</w:t>
      </w:r>
      <w:r>
        <w:rPr>
          <w:rFonts w:ascii="Arial"/>
          <w:i/>
          <w:spacing w:val="-3"/>
          <w:sz w:val="20"/>
        </w:rPr>
        <w:t> </w:t>
      </w:r>
      <w:r>
        <w:rPr>
          <w:rFonts w:ascii="Arial"/>
          <w:i/>
          <w:sz w:val="20"/>
        </w:rPr>
        <w:t>Hong</w:t>
      </w:r>
      <w:r>
        <w:rPr>
          <w:rFonts w:ascii="Arial"/>
          <w:i/>
          <w:spacing w:val="-3"/>
          <w:sz w:val="20"/>
        </w:rPr>
        <w:t> </w:t>
      </w:r>
      <w:r>
        <w:rPr>
          <w:rFonts w:ascii="Arial"/>
          <w:i/>
          <w:sz w:val="20"/>
        </w:rPr>
        <w:t>Kong)</w:t>
      </w:r>
      <w:r>
        <w:rPr>
          <w:rFonts w:ascii="Arial"/>
          <w:i/>
          <w:spacing w:val="-3"/>
          <w:sz w:val="20"/>
        </w:rPr>
        <w:t> </w:t>
      </w:r>
      <w:r>
        <w:rPr>
          <w:rFonts w:ascii="Arial"/>
          <w:i/>
          <w:sz w:val="20"/>
        </w:rPr>
        <w:t>[2015] EWHC</w:t>
      </w:r>
      <w:r>
        <w:rPr>
          <w:rFonts w:ascii="Arial"/>
          <w:i/>
          <w:spacing w:val="-3"/>
          <w:sz w:val="20"/>
        </w:rPr>
        <w:t> </w:t>
      </w:r>
      <w:r>
        <w:rPr>
          <w:rFonts w:ascii="Arial"/>
          <w:i/>
          <w:sz w:val="20"/>
        </w:rPr>
        <w:t>2505</w:t>
      </w:r>
      <w:r>
        <w:rPr>
          <w:rFonts w:ascii="Arial"/>
          <w:i/>
          <w:spacing w:val="-3"/>
          <w:sz w:val="20"/>
        </w:rPr>
        <w:t> </w:t>
      </w:r>
      <w:r>
        <w:rPr>
          <w:rFonts w:ascii="Arial"/>
          <w:i/>
          <w:sz w:val="20"/>
        </w:rPr>
        <w:t>(Comm)</w:t>
      </w:r>
      <w:r>
        <w:rPr>
          <w:sz w:val="20"/>
        </w:rPr>
        <w:t>.</w:t>
      </w:r>
      <w:r>
        <w:rPr>
          <w:spacing w:val="-3"/>
          <w:sz w:val="20"/>
        </w:rPr>
        <w:t> </w:t>
      </w:r>
      <w:r>
        <w:rPr>
          <w:sz w:val="20"/>
        </w:rPr>
        <w:t>It</w:t>
      </w:r>
      <w:r>
        <w:rPr>
          <w:spacing w:val="-3"/>
          <w:sz w:val="20"/>
        </w:rPr>
        <w:t> </w:t>
      </w:r>
      <w:r>
        <w:rPr>
          <w:sz w:val="20"/>
        </w:rPr>
        <w:t>appears</w:t>
      </w:r>
      <w:r>
        <w:rPr>
          <w:spacing w:val="-3"/>
          <w:sz w:val="20"/>
        </w:rPr>
        <w:t> </w:t>
      </w:r>
      <w:r>
        <w:rPr>
          <w:sz w:val="20"/>
        </w:rPr>
        <w:t>that</w:t>
      </w:r>
      <w:r>
        <w:rPr>
          <w:spacing w:val="-3"/>
          <w:sz w:val="20"/>
        </w:rPr>
        <w:t> </w:t>
      </w:r>
      <w:r>
        <w:rPr>
          <w:sz w:val="20"/>
        </w:rPr>
        <w:t>no</w:t>
      </w:r>
      <w:r>
        <w:rPr>
          <w:spacing w:val="-3"/>
          <w:sz w:val="20"/>
        </w:rPr>
        <w:t> </w:t>
      </w:r>
      <w:r>
        <w:rPr>
          <w:sz w:val="20"/>
        </w:rPr>
        <w:t>argument</w:t>
      </w:r>
      <w:r>
        <w:rPr>
          <w:spacing w:val="-3"/>
          <w:sz w:val="20"/>
        </w:rPr>
        <w:t> </w:t>
      </w:r>
      <w:r>
        <w:rPr>
          <w:sz w:val="20"/>
        </w:rPr>
        <w:t>on</w:t>
      </w:r>
      <w:r>
        <w:rPr>
          <w:spacing w:val="-3"/>
          <w:sz w:val="20"/>
        </w:rPr>
        <w:t> </w:t>
      </w:r>
      <w:r>
        <w:rPr>
          <w:sz w:val="20"/>
        </w:rPr>
        <w:t>assumption</w:t>
      </w:r>
      <w:r>
        <w:rPr>
          <w:spacing w:val="-3"/>
          <w:sz w:val="20"/>
        </w:rPr>
        <w:t> </w:t>
      </w:r>
      <w:r>
        <w:rPr>
          <w:sz w:val="20"/>
        </w:rPr>
        <w:t>of</w:t>
      </w:r>
      <w:r>
        <w:rPr>
          <w:spacing w:val="-3"/>
          <w:sz w:val="20"/>
        </w:rPr>
        <w:t> </w:t>
      </w:r>
      <w:r>
        <w:rPr>
          <w:sz w:val="20"/>
        </w:rPr>
        <w:t>responsibility</w:t>
      </w:r>
      <w:r>
        <w:rPr>
          <w:spacing w:val="-3"/>
          <w:sz w:val="20"/>
        </w:rPr>
        <w:t> </w:t>
      </w:r>
      <w:r>
        <w:rPr>
          <w:sz w:val="20"/>
        </w:rPr>
        <w:t>had</w:t>
      </w:r>
      <w:r>
        <w:rPr>
          <w:spacing w:val="-3"/>
          <w:sz w:val="20"/>
        </w:rPr>
        <w:t> </w:t>
      </w:r>
      <w:r>
        <w:rPr>
          <w:sz w:val="20"/>
        </w:rPr>
        <w:t>been</w:t>
      </w:r>
      <w:r>
        <w:rPr>
          <w:spacing w:val="-3"/>
          <w:sz w:val="20"/>
        </w:rPr>
        <w:t> </w:t>
      </w:r>
      <w:r>
        <w:rPr>
          <w:sz w:val="20"/>
        </w:rPr>
        <w:t>put to the arbitrators: at [72].</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tabs>
          <w:tab w:pos="705" w:val="left" w:leader="none"/>
        </w:tabs>
        <w:spacing w:line="235" w:lineRule="auto"/>
        <w:ind w:left="705" w:right="174" w:hanging="541"/>
      </w:pPr>
      <w:bookmarkStart w:name="_bookmark1430" w:id="1432"/>
      <w:bookmarkEnd w:id="1432"/>
      <w:r>
        <w:rPr/>
      </w:r>
      <w:hyperlink w:history="true" w:anchor="_bookmark1370">
        <w:r>
          <w:rPr>
            <w:color w:val="005DA1"/>
            <w:spacing w:val="-4"/>
            <w:position w:val="5"/>
            <w:sz w:val="14"/>
            <w:u w:val="single" w:color="005DA1"/>
          </w:rPr>
          <w:t>742</w:t>
        </w:r>
      </w:hyperlink>
      <w:r>
        <w:rPr>
          <w:spacing w:val="-4"/>
          <w:position w:val="5"/>
          <w:sz w:val="14"/>
        </w:rPr>
        <w:t>.</w:t>
      </w:r>
      <w:r>
        <w:rPr>
          <w:position w:val="5"/>
          <w:sz w:val="14"/>
        </w:rPr>
        <w:tab/>
      </w:r>
      <w:r>
        <w:rPr/>
        <w:t>It should be noted that Lord Rodger did not reject the assumption of responsibility approach; he said merely that he had not found it necessary to explore it (at [63]).</w:t>
      </w:r>
    </w:p>
    <w:p>
      <w:pPr>
        <w:pStyle w:val="BodyText"/>
        <w:spacing w:before="9"/>
      </w:pPr>
    </w:p>
    <w:p>
      <w:pPr>
        <w:pStyle w:val="BodyText"/>
        <w:spacing w:line="235" w:lineRule="auto" w:before="1"/>
        <w:ind w:left="705" w:right="167" w:hanging="541"/>
        <w:jc w:val="both"/>
      </w:pPr>
      <w:bookmarkStart w:name="_bookmark1431" w:id="1433"/>
      <w:bookmarkEnd w:id="1433"/>
      <w:r>
        <w:rPr/>
      </w:r>
      <w:hyperlink w:history="true" w:anchor="_bookmark1371">
        <w:r>
          <w:rPr>
            <w:color w:val="005DA1"/>
            <w:position w:val="5"/>
            <w:sz w:val="14"/>
            <w:u w:val="single" w:color="005DA1"/>
          </w:rPr>
          <w:t>743</w:t>
        </w:r>
      </w:hyperlink>
      <w:r>
        <w:rPr>
          <w:position w:val="5"/>
          <w:sz w:val="14"/>
        </w:rPr>
        <w:t>.</w:t>
      </w:r>
      <w:r>
        <w:rPr>
          <w:spacing w:val="40"/>
          <w:position w:val="5"/>
          <w:sz w:val="14"/>
        </w:rPr>
        <w:t>  </w:t>
      </w:r>
      <w:r>
        <w:rPr/>
        <w:t>McGregor on Damages, 19th edn (2014), paras 8-171—8-172 (recognising that the case has been examined and adhered to in the Court of Appeal as well as several first instance decisions). In </w:t>
      </w:r>
      <w:r>
        <w:rPr>
          <w:rFonts w:ascii="Arial" w:hAnsi="Arial"/>
          <w:i/>
        </w:rPr>
        <w:t>ASM Shipping Ltd of India v TTMI Ltd of England (The Amer Energy) [2009] </w:t>
      </w:r>
      <w:r>
        <w:rPr>
          <w:rFonts w:ascii="Arial" w:hAnsi="Arial"/>
          <w:i/>
        </w:rPr>
        <w:t>1 Lloyd’s Rep. 293 </w:t>
      </w:r>
      <w:r>
        <w:rPr/>
        <w:t>Flaux J. considered that if Lord Hoffmann intended to lay down a new test for the recoverability of damages in contract, he was in a minority (at [17]-[18]). The judge held that even though the arbitrators had not considered </w:t>
      </w:r>
      <w:r>
        <w:rPr>
          <w:rFonts w:ascii="Arial" w:hAnsi="Arial"/>
          <w:i/>
        </w:rPr>
        <w:t>The Achilleas</w:t>
      </w:r>
      <w:r>
        <w:rPr/>
        <w:t>, their decision was not obviously </w:t>
      </w:r>
      <w:r>
        <w:rPr>
          <w:spacing w:val="-2"/>
        </w:rPr>
        <w:t>wrong.</w:t>
      </w:r>
    </w:p>
    <w:p>
      <w:pPr>
        <w:pStyle w:val="BodyText"/>
        <w:spacing w:before="7"/>
      </w:pPr>
    </w:p>
    <w:p>
      <w:pPr>
        <w:spacing w:line="235" w:lineRule="auto" w:before="0"/>
        <w:ind w:left="705" w:right="167" w:hanging="541"/>
        <w:jc w:val="both"/>
        <w:rPr>
          <w:sz w:val="20"/>
        </w:rPr>
      </w:pPr>
      <w:bookmarkStart w:name="_bookmark1432" w:id="1434"/>
      <w:bookmarkEnd w:id="1434"/>
      <w:r>
        <w:rPr/>
      </w:r>
      <w:hyperlink w:history="true" w:anchor="_bookmark1372">
        <w:r>
          <w:rPr>
            <w:color w:val="005DA1"/>
            <w:position w:val="5"/>
            <w:sz w:val="14"/>
            <w:u w:val="single" w:color="005DA1"/>
          </w:rPr>
          <w:t>744</w:t>
        </w:r>
      </w:hyperlink>
      <w:r>
        <w:rPr>
          <w:position w:val="5"/>
          <w:sz w:val="14"/>
        </w:rPr>
        <w:t>.</w:t>
      </w:r>
      <w:r>
        <w:rPr>
          <w:spacing w:val="40"/>
          <w:position w:val="5"/>
          <w:sz w:val="14"/>
        </w:rPr>
        <w:t>  </w:t>
      </w:r>
      <w:r>
        <w:rPr>
          <w:sz w:val="20"/>
        </w:rPr>
        <w:t>In </w:t>
      </w:r>
      <w:r>
        <w:rPr>
          <w:rFonts w:ascii="Arial" w:hAnsi="Arial"/>
          <w:i/>
          <w:sz w:val="20"/>
        </w:rPr>
        <w:t>Sylvia Shipping Co Ltd v Progress Bulk Carriers Ltd [2010] EWHC 542 (Comm), [2010] 2 Lloyd’s Rep. 81 </w:t>
      </w:r>
      <w:r>
        <w:rPr>
          <w:sz w:val="20"/>
        </w:rPr>
        <w:t>Hamblen J. similarly decided that the arbitrators had not erred in law. He accepted that the majority in </w:t>
      </w:r>
      <w:r>
        <w:rPr>
          <w:rFonts w:ascii="Arial" w:hAnsi="Arial"/>
          <w:i/>
          <w:sz w:val="20"/>
        </w:rPr>
        <w:t>The Achilleas </w:t>
      </w:r>
      <w:r>
        <w:rPr>
          <w:sz w:val="20"/>
        </w:rPr>
        <w:t>had supported the rationale of assumption of responsibility (at [39]) but held that assumption of responsibility would be relevant only </w:t>
      </w:r>
      <w:r>
        <w:rPr>
          <w:sz w:val="20"/>
        </w:rPr>
        <w:t>in exceptional cases, see below, para.26-133.</w:t>
      </w:r>
    </w:p>
    <w:p>
      <w:pPr>
        <w:pStyle w:val="BodyText"/>
        <w:spacing w:before="4"/>
      </w:pPr>
    </w:p>
    <w:p>
      <w:pPr>
        <w:tabs>
          <w:tab w:pos="705" w:val="left" w:leader="none"/>
        </w:tabs>
        <w:spacing w:before="0"/>
        <w:ind w:left="165" w:right="0" w:firstLine="0"/>
        <w:jc w:val="left"/>
        <w:rPr>
          <w:sz w:val="20"/>
        </w:rPr>
      </w:pPr>
      <w:bookmarkStart w:name="_bookmark1433" w:id="1435"/>
      <w:bookmarkEnd w:id="1435"/>
      <w:r>
        <w:rPr/>
      </w:r>
      <w:hyperlink w:history="true" w:anchor="_bookmark1373">
        <w:r>
          <w:rPr>
            <w:color w:val="005DA1"/>
            <w:spacing w:val="-4"/>
            <w:position w:val="5"/>
            <w:sz w:val="14"/>
            <w:u w:val="single" w:color="005DA1"/>
          </w:rPr>
          <w:t>745</w:t>
        </w:r>
      </w:hyperlink>
      <w:r>
        <w:rPr>
          <w:spacing w:val="-4"/>
          <w:position w:val="5"/>
          <w:sz w:val="14"/>
        </w:rPr>
        <w:t>.</w:t>
      </w:r>
      <w:r>
        <w:rPr>
          <w:position w:val="5"/>
          <w:sz w:val="14"/>
        </w:rPr>
        <w:tab/>
      </w:r>
      <w:r>
        <w:rPr>
          <w:sz w:val="20"/>
        </w:rPr>
        <w:t>At </w:t>
      </w:r>
      <w:r>
        <w:rPr>
          <w:spacing w:val="-2"/>
          <w:sz w:val="20"/>
        </w:rPr>
        <w:t>[93].</w:t>
      </w:r>
    </w:p>
    <w:p>
      <w:pPr>
        <w:spacing w:after="0"/>
        <w:jc w:val="left"/>
        <w:rPr>
          <w:sz w:val="20"/>
        </w:rPr>
        <w:sectPr>
          <w:type w:val="continuous"/>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1374">
        <w:r>
          <w:rPr>
            <w:color w:val="005DA1"/>
            <w:spacing w:val="-4"/>
            <w:position w:val="5"/>
            <w:sz w:val="14"/>
            <w:u w:val="single" w:color="005DA1"/>
          </w:rPr>
          <w:t>746</w:t>
        </w:r>
      </w:hyperlink>
      <w:r>
        <w:rPr>
          <w:spacing w:val="-4"/>
          <w:position w:val="5"/>
          <w:sz w:val="14"/>
        </w:rPr>
        <w:t>.</w:t>
      </w:r>
      <w:r>
        <w:rPr>
          <w:position w:val="5"/>
          <w:sz w:val="14"/>
        </w:rPr>
        <w:tab/>
      </w:r>
      <w:r>
        <w:rPr>
          <w:rFonts w:ascii="Arial"/>
          <w:i/>
          <w:sz w:val="20"/>
        </w:rPr>
        <w:t>South</w:t>
      </w:r>
      <w:r>
        <w:rPr>
          <w:rFonts w:ascii="Arial"/>
          <w:i/>
          <w:spacing w:val="64"/>
          <w:sz w:val="20"/>
        </w:rPr>
        <w:t> </w:t>
      </w:r>
      <w:r>
        <w:rPr>
          <w:rFonts w:ascii="Arial"/>
          <w:i/>
          <w:sz w:val="20"/>
        </w:rPr>
        <w:t>Australia</w:t>
      </w:r>
      <w:r>
        <w:rPr>
          <w:rFonts w:ascii="Arial"/>
          <w:i/>
          <w:spacing w:val="64"/>
          <w:sz w:val="20"/>
        </w:rPr>
        <w:t> </w:t>
      </w:r>
      <w:r>
        <w:rPr>
          <w:rFonts w:ascii="Arial"/>
          <w:i/>
          <w:sz w:val="20"/>
        </w:rPr>
        <w:t>Asset</w:t>
      </w:r>
      <w:r>
        <w:rPr>
          <w:rFonts w:ascii="Arial"/>
          <w:i/>
          <w:spacing w:val="64"/>
          <w:sz w:val="20"/>
        </w:rPr>
        <w:t> </w:t>
      </w:r>
      <w:r>
        <w:rPr>
          <w:rFonts w:ascii="Arial"/>
          <w:i/>
          <w:sz w:val="20"/>
        </w:rPr>
        <w:t>Management</w:t>
      </w:r>
      <w:r>
        <w:rPr>
          <w:rFonts w:ascii="Arial"/>
          <w:i/>
          <w:spacing w:val="64"/>
          <w:sz w:val="20"/>
        </w:rPr>
        <w:t> </w:t>
      </w:r>
      <w:r>
        <w:rPr>
          <w:rFonts w:ascii="Arial"/>
          <w:i/>
          <w:sz w:val="20"/>
        </w:rPr>
        <w:t>Corp</w:t>
      </w:r>
      <w:r>
        <w:rPr>
          <w:rFonts w:ascii="Arial"/>
          <w:i/>
          <w:spacing w:val="64"/>
          <w:sz w:val="20"/>
        </w:rPr>
        <w:t> </w:t>
      </w:r>
      <w:r>
        <w:rPr>
          <w:rFonts w:ascii="Arial"/>
          <w:i/>
          <w:sz w:val="20"/>
        </w:rPr>
        <w:t>v</w:t>
      </w:r>
      <w:r>
        <w:rPr>
          <w:rFonts w:ascii="Arial"/>
          <w:i/>
          <w:spacing w:val="64"/>
          <w:sz w:val="20"/>
        </w:rPr>
        <w:t> </w:t>
      </w:r>
      <w:r>
        <w:rPr>
          <w:rFonts w:ascii="Arial"/>
          <w:i/>
          <w:sz w:val="20"/>
        </w:rPr>
        <w:t>York</w:t>
      </w:r>
      <w:r>
        <w:rPr>
          <w:rFonts w:ascii="Arial"/>
          <w:i/>
          <w:spacing w:val="64"/>
          <w:sz w:val="20"/>
        </w:rPr>
        <w:t> </w:t>
      </w:r>
      <w:r>
        <w:rPr>
          <w:rFonts w:ascii="Arial"/>
          <w:i/>
          <w:sz w:val="20"/>
        </w:rPr>
        <w:t>Montague</w:t>
      </w:r>
      <w:r>
        <w:rPr>
          <w:rFonts w:ascii="Arial"/>
          <w:i/>
          <w:spacing w:val="64"/>
          <w:sz w:val="20"/>
        </w:rPr>
        <w:t> </w:t>
      </w:r>
      <w:r>
        <w:rPr>
          <w:rFonts w:ascii="Arial"/>
          <w:i/>
          <w:sz w:val="20"/>
        </w:rPr>
        <w:t>Ltd</w:t>
      </w:r>
      <w:r>
        <w:rPr>
          <w:rFonts w:ascii="Arial"/>
          <w:i/>
          <w:spacing w:val="64"/>
          <w:sz w:val="20"/>
        </w:rPr>
        <w:t> </w:t>
      </w:r>
      <w:r>
        <w:rPr>
          <w:rFonts w:ascii="Arial"/>
          <w:i/>
          <w:sz w:val="20"/>
        </w:rPr>
        <w:t>[1997]</w:t>
      </w:r>
      <w:r>
        <w:rPr>
          <w:rFonts w:ascii="Arial"/>
          <w:i/>
          <w:spacing w:val="64"/>
          <w:sz w:val="20"/>
        </w:rPr>
        <w:t> </w:t>
      </w:r>
      <w:r>
        <w:rPr>
          <w:rFonts w:ascii="Arial"/>
          <w:i/>
          <w:sz w:val="20"/>
        </w:rPr>
        <w:t>A.C.</w:t>
      </w:r>
      <w:r>
        <w:rPr>
          <w:rFonts w:ascii="Arial"/>
          <w:i/>
          <w:spacing w:val="64"/>
          <w:sz w:val="20"/>
        </w:rPr>
        <w:t> </w:t>
      </w:r>
      <w:r>
        <w:rPr>
          <w:rFonts w:ascii="Arial"/>
          <w:i/>
          <w:sz w:val="20"/>
        </w:rPr>
        <w:t>191</w:t>
      </w:r>
      <w:r>
        <w:rPr>
          <w:sz w:val="20"/>
        </w:rPr>
        <w:t>,</w:t>
      </w:r>
      <w:r>
        <w:rPr>
          <w:spacing w:val="64"/>
          <w:sz w:val="20"/>
        </w:rPr>
        <w:t> </w:t>
      </w:r>
      <w:r>
        <w:rPr>
          <w:sz w:val="20"/>
        </w:rPr>
        <w:t>below, </w:t>
      </w:r>
      <w:r>
        <w:rPr>
          <w:spacing w:val="-2"/>
          <w:sz w:val="20"/>
        </w:rPr>
        <w:t>para.26-168.</w:t>
      </w:r>
    </w:p>
    <w:p>
      <w:pPr>
        <w:pStyle w:val="BodyText"/>
        <w:spacing w:before="6"/>
      </w:pPr>
    </w:p>
    <w:p>
      <w:pPr>
        <w:tabs>
          <w:tab w:pos="705" w:val="left" w:leader="none"/>
        </w:tabs>
        <w:spacing w:before="0"/>
        <w:ind w:left="165" w:right="0" w:firstLine="0"/>
        <w:jc w:val="left"/>
        <w:rPr>
          <w:sz w:val="20"/>
        </w:rPr>
      </w:pPr>
      <w:bookmarkStart w:name="_bookmark1434" w:id="1436"/>
      <w:bookmarkEnd w:id="1436"/>
      <w:r>
        <w:rPr/>
      </w:r>
      <w:hyperlink w:history="true" w:anchor="_bookmark1375">
        <w:r>
          <w:rPr>
            <w:color w:val="005DA1"/>
            <w:spacing w:val="-4"/>
            <w:position w:val="5"/>
            <w:sz w:val="14"/>
            <w:u w:val="single" w:color="005DA1"/>
          </w:rPr>
          <w:t>747</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UKHL 48</w:t>
      </w:r>
      <w:r>
        <w:rPr>
          <w:rFonts w:asci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435" w:id="1437"/>
      <w:bookmarkEnd w:id="1437"/>
      <w:r>
        <w:rPr/>
      </w:r>
      <w:hyperlink w:history="true" w:anchor="_bookmark1376">
        <w:r>
          <w:rPr>
            <w:color w:val="005DA1"/>
            <w:spacing w:val="-4"/>
            <w:position w:val="5"/>
            <w:sz w:val="14"/>
            <w:u w:val="single" w:color="005DA1"/>
          </w:rPr>
          <w:t>748</w:t>
        </w:r>
      </w:hyperlink>
      <w:r>
        <w:rPr>
          <w:spacing w:val="-4"/>
          <w:position w:val="5"/>
          <w:sz w:val="14"/>
        </w:rPr>
        <w:t>.</w:t>
      </w:r>
      <w:r>
        <w:rPr>
          <w:position w:val="5"/>
          <w:sz w:val="14"/>
        </w:rPr>
        <w:tab/>
      </w:r>
      <w:r>
        <w:rPr>
          <w:rFonts w:ascii="Arial"/>
          <w:i/>
          <w:sz w:val="20"/>
        </w:rPr>
        <w:t>[2008] UKHL 48</w:t>
      </w:r>
      <w:r>
        <w:rPr>
          <w:rFonts w:ascii="Arial"/>
          <w:i/>
          <w:spacing w:val="-1"/>
          <w:sz w:val="20"/>
        </w:rPr>
        <w:t> </w:t>
      </w:r>
      <w:r>
        <w:rPr>
          <w:sz w:val="20"/>
        </w:rPr>
        <w:t>at [15], quoting</w:t>
      </w:r>
      <w:r>
        <w:rPr>
          <w:spacing w:val="-1"/>
          <w:sz w:val="20"/>
        </w:rPr>
        <w:t> </w:t>
      </w:r>
      <w:r>
        <w:rPr>
          <w:rFonts w:ascii="Arial"/>
          <w:i/>
          <w:sz w:val="20"/>
        </w:rPr>
        <w:t>[1997] A.C. 191</w:t>
      </w:r>
      <w:r>
        <w:rPr>
          <w:rFonts w:ascii="Arial"/>
          <w:i/>
          <w:spacing w:val="-1"/>
          <w:sz w:val="20"/>
        </w:rPr>
        <w:t> </w:t>
      </w:r>
      <w:r>
        <w:rPr>
          <w:sz w:val="20"/>
        </w:rPr>
        <w:t>at </w:t>
      </w:r>
      <w:r>
        <w:rPr>
          <w:spacing w:val="-4"/>
          <w:sz w:val="20"/>
        </w:rPr>
        <w:t>212.</w:t>
      </w:r>
    </w:p>
    <w:p>
      <w:pPr>
        <w:pStyle w:val="BodyText"/>
        <w:spacing w:before="8"/>
      </w:pPr>
    </w:p>
    <w:p>
      <w:pPr>
        <w:spacing w:line="235" w:lineRule="auto" w:before="1"/>
        <w:ind w:left="705" w:right="167" w:hanging="541"/>
        <w:jc w:val="both"/>
        <w:rPr>
          <w:sz w:val="20"/>
        </w:rPr>
      </w:pPr>
      <w:bookmarkStart w:name="_bookmark1436" w:id="1438"/>
      <w:bookmarkEnd w:id="1438"/>
      <w:r>
        <w:rPr/>
      </w:r>
      <w:hyperlink w:history="true" w:anchor="_bookmark1377">
        <w:r>
          <w:rPr>
            <w:color w:val="005DA1"/>
            <w:position w:val="5"/>
            <w:sz w:val="14"/>
            <w:u w:val="single" w:color="005DA1"/>
          </w:rPr>
          <w:t>749</w:t>
        </w:r>
      </w:hyperlink>
      <w:r>
        <w:rPr>
          <w:position w:val="5"/>
          <w:sz w:val="14"/>
        </w:rPr>
        <w:t>.</w:t>
      </w:r>
      <w:r>
        <w:rPr>
          <w:spacing w:val="40"/>
          <w:position w:val="5"/>
          <w:sz w:val="14"/>
        </w:rPr>
        <w:t>  </w:t>
      </w:r>
      <w:r>
        <w:rPr>
          <w:sz w:val="20"/>
        </w:rPr>
        <w:t>In </w:t>
      </w:r>
      <w:r>
        <w:rPr>
          <w:rFonts w:ascii="Arial" w:hAnsi="Arial"/>
          <w:i/>
          <w:sz w:val="20"/>
        </w:rPr>
        <w:t>Sylvia Shipping Co Ltd v Progress Bulk Carriers Ltd [2010] EWHC 542 (Comm), [2010] 2 Lloyd’s Rep. 81 </w:t>
      </w:r>
      <w:r>
        <w:rPr>
          <w:sz w:val="20"/>
        </w:rPr>
        <w:t>Hamblen J. said “the decision in The Achilleas results in an amalgam of the orthodox and the broader approach” (at [40]).</w:t>
      </w:r>
    </w:p>
    <w:p>
      <w:pPr>
        <w:pStyle w:val="BodyText"/>
        <w:spacing w:before="8"/>
      </w:pPr>
    </w:p>
    <w:p>
      <w:pPr>
        <w:spacing w:line="235" w:lineRule="auto" w:before="0"/>
        <w:ind w:left="705" w:right="167" w:hanging="541"/>
        <w:jc w:val="both"/>
        <w:rPr>
          <w:sz w:val="20"/>
        </w:rPr>
      </w:pPr>
      <w:bookmarkStart w:name="_bookmark1437" w:id="1439"/>
      <w:bookmarkEnd w:id="1439"/>
      <w:r>
        <w:rPr/>
      </w:r>
      <w:hyperlink w:history="true" w:anchor="_bookmark1378">
        <w:r>
          <w:rPr>
            <w:color w:val="005DA1"/>
            <w:position w:val="5"/>
            <w:sz w:val="14"/>
            <w:u w:val="single" w:color="005DA1"/>
          </w:rPr>
          <w:t>750</w:t>
        </w:r>
      </w:hyperlink>
      <w:r>
        <w:rPr>
          <w:position w:val="5"/>
          <w:sz w:val="14"/>
        </w:rPr>
        <w:t>.</w:t>
      </w:r>
      <w:r>
        <w:rPr>
          <w:spacing w:val="40"/>
          <w:position w:val="5"/>
          <w:sz w:val="14"/>
        </w:rPr>
        <w:t>  </w:t>
      </w:r>
      <w:r>
        <w:rPr>
          <w:sz w:val="20"/>
        </w:rPr>
        <w:t>In</w:t>
      </w:r>
      <w:r>
        <w:rPr>
          <w:spacing w:val="40"/>
          <w:sz w:val="20"/>
        </w:rPr>
        <w:t> </w:t>
      </w:r>
      <w:r>
        <w:rPr>
          <w:rFonts w:ascii="Arial" w:hAnsi="Arial"/>
          <w:i/>
          <w:sz w:val="20"/>
        </w:rPr>
        <w:t>Supershield</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Siemens</w:t>
      </w:r>
      <w:r>
        <w:rPr>
          <w:rFonts w:ascii="Arial" w:hAnsi="Arial"/>
          <w:i/>
          <w:spacing w:val="40"/>
          <w:sz w:val="20"/>
        </w:rPr>
        <w:t> </w:t>
      </w:r>
      <w:r>
        <w:rPr>
          <w:rFonts w:ascii="Arial" w:hAnsi="Arial"/>
          <w:i/>
          <w:sz w:val="20"/>
        </w:rPr>
        <w:t>Building</w:t>
      </w:r>
      <w:r>
        <w:rPr>
          <w:rFonts w:ascii="Arial" w:hAnsi="Arial"/>
          <w:i/>
          <w:spacing w:val="40"/>
          <w:sz w:val="20"/>
        </w:rPr>
        <w:t> </w:t>
      </w:r>
      <w:r>
        <w:rPr>
          <w:rFonts w:ascii="Arial" w:hAnsi="Arial"/>
          <w:i/>
          <w:sz w:val="20"/>
        </w:rPr>
        <w:t>Technologies</w:t>
      </w:r>
      <w:r>
        <w:rPr>
          <w:rFonts w:ascii="Arial" w:hAnsi="Arial"/>
          <w:i/>
          <w:spacing w:val="40"/>
          <w:sz w:val="20"/>
        </w:rPr>
        <w:t> </w:t>
      </w:r>
      <w:r>
        <w:rPr>
          <w:rFonts w:ascii="Arial" w:hAnsi="Arial"/>
          <w:i/>
          <w:sz w:val="20"/>
        </w:rPr>
        <w:t>FE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7,</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1 Lloyd’s Rep. 349</w:t>
      </w:r>
      <w:r>
        <w:rPr>
          <w:sz w:val="20"/>
        </w:rPr>
        <w:t>, at [43], the Court of Appeal described assumption of responsibility as </w:t>
      </w:r>
      <w:r>
        <w:rPr>
          <w:sz w:val="20"/>
        </w:rPr>
        <w:t>a “rationalisation” of the rule in </w:t>
      </w:r>
      <w:r>
        <w:rPr>
          <w:rFonts w:ascii="Arial" w:hAnsi="Arial"/>
          <w:i/>
          <w:sz w:val="20"/>
        </w:rPr>
        <w:t>Hadley v Baxendale</w:t>
      </w:r>
      <w:r>
        <w:rPr>
          <w:sz w:val="20"/>
        </w:rPr>
        <w:t>.</w:t>
      </w:r>
    </w:p>
    <w:p>
      <w:pPr>
        <w:pStyle w:val="BodyText"/>
        <w:spacing w:before="9"/>
      </w:pPr>
    </w:p>
    <w:p>
      <w:pPr>
        <w:pStyle w:val="BodyText"/>
        <w:tabs>
          <w:tab w:pos="705" w:val="left" w:leader="none"/>
        </w:tabs>
        <w:spacing w:line="235" w:lineRule="auto"/>
        <w:ind w:left="705" w:right="174" w:hanging="541"/>
      </w:pPr>
      <w:bookmarkStart w:name="_bookmark1438" w:id="1440"/>
      <w:bookmarkEnd w:id="1440"/>
      <w:r>
        <w:rPr/>
      </w:r>
      <w:hyperlink w:history="true" w:anchor="_bookmark1379">
        <w:r>
          <w:rPr>
            <w:color w:val="005DA1"/>
            <w:spacing w:val="-4"/>
            <w:position w:val="5"/>
            <w:sz w:val="14"/>
            <w:u w:val="single" w:color="005DA1"/>
          </w:rPr>
          <w:t>751</w:t>
        </w:r>
      </w:hyperlink>
      <w:r>
        <w:rPr>
          <w:spacing w:val="-4"/>
          <w:position w:val="5"/>
          <w:sz w:val="14"/>
        </w:rPr>
        <w:t>.</w:t>
      </w:r>
      <w:r>
        <w:rPr>
          <w:position w:val="5"/>
          <w:sz w:val="14"/>
        </w:rPr>
        <w:tab/>
      </w:r>
      <w:r>
        <w:rPr/>
        <w:t>The previous edition of this work (30th edition, para.26-100F) had suggested a different </w:t>
      </w:r>
      <w:r>
        <w:rPr/>
        <w:t>view,</w:t>
      </w:r>
      <w:r>
        <w:rPr>
          <w:spacing w:val="40"/>
        </w:rPr>
        <w:t> </w:t>
      </w:r>
      <w:r>
        <w:rPr/>
        <w:t>which is now thought to be incorrect.</w:t>
      </w:r>
    </w:p>
    <w:p>
      <w:pPr>
        <w:pStyle w:val="BodyText"/>
        <w:spacing w:before="6"/>
      </w:pPr>
    </w:p>
    <w:p>
      <w:pPr>
        <w:tabs>
          <w:tab w:pos="705" w:val="left" w:leader="none"/>
        </w:tabs>
        <w:spacing w:before="0"/>
        <w:ind w:left="165" w:right="0" w:firstLine="0"/>
        <w:jc w:val="left"/>
        <w:rPr>
          <w:sz w:val="20"/>
        </w:rPr>
      </w:pPr>
      <w:bookmarkStart w:name="_bookmark1439" w:id="1441"/>
      <w:bookmarkEnd w:id="1441"/>
      <w:r>
        <w:rPr/>
      </w:r>
      <w:hyperlink w:history="true" w:anchor="_bookmark1380">
        <w:r>
          <w:rPr>
            <w:color w:val="005DA1"/>
            <w:spacing w:val="-4"/>
            <w:position w:val="5"/>
            <w:sz w:val="14"/>
            <w:u w:val="single" w:color="005DA1"/>
          </w:rPr>
          <w:t>752</w:t>
        </w:r>
      </w:hyperlink>
      <w:r>
        <w:rPr>
          <w:spacing w:val="-4"/>
          <w:position w:val="5"/>
          <w:sz w:val="14"/>
        </w:rPr>
        <w:t>.</w:t>
      </w:r>
      <w:r>
        <w:rPr>
          <w:position w:val="5"/>
          <w:sz w:val="14"/>
        </w:rPr>
        <w:tab/>
      </w:r>
      <w:r>
        <w:rPr>
          <w:rFonts w:ascii="Arial"/>
          <w:i/>
          <w:sz w:val="20"/>
        </w:rPr>
        <w:t>(1854) 9 Exch. 341</w:t>
      </w:r>
      <w:r>
        <w:rPr>
          <w:rFonts w:ascii="Arial"/>
          <w:i/>
          <w:spacing w:val="-1"/>
          <w:sz w:val="20"/>
        </w:rPr>
        <w:t> </w:t>
      </w:r>
      <w:r>
        <w:rPr>
          <w:sz w:val="20"/>
        </w:rPr>
        <w:t>(above, para.26-</w:t>
      </w:r>
      <w:r>
        <w:rPr>
          <w:spacing w:val="-2"/>
          <w:sz w:val="20"/>
        </w:rPr>
        <w:t>109).</w:t>
      </w:r>
    </w:p>
    <w:p>
      <w:pPr>
        <w:pStyle w:val="BodyText"/>
        <w:spacing w:before="5"/>
      </w:pPr>
    </w:p>
    <w:p>
      <w:pPr>
        <w:tabs>
          <w:tab w:pos="705" w:val="left" w:leader="none"/>
        </w:tabs>
        <w:spacing w:before="0"/>
        <w:ind w:left="165" w:right="0" w:firstLine="0"/>
        <w:jc w:val="left"/>
        <w:rPr>
          <w:sz w:val="20"/>
        </w:rPr>
      </w:pPr>
      <w:bookmarkStart w:name="_bookmark1440" w:id="1442"/>
      <w:bookmarkEnd w:id="1442"/>
      <w:r>
        <w:rPr/>
      </w:r>
      <w:hyperlink w:history="true" w:anchor="_bookmark1381">
        <w:r>
          <w:rPr>
            <w:color w:val="005DA1"/>
            <w:spacing w:val="-4"/>
            <w:position w:val="5"/>
            <w:sz w:val="14"/>
            <w:u w:val="single" w:color="005DA1"/>
          </w:rPr>
          <w:t>753</w:t>
        </w:r>
      </w:hyperlink>
      <w:r>
        <w:rPr>
          <w:spacing w:val="-4"/>
          <w:position w:val="5"/>
          <w:sz w:val="14"/>
        </w:rPr>
        <w:t>.</w:t>
      </w:r>
      <w:r>
        <w:rPr>
          <w:position w:val="5"/>
          <w:sz w:val="14"/>
        </w:rPr>
        <w:tab/>
      </w:r>
      <w:r>
        <w:rPr>
          <w:sz w:val="20"/>
        </w:rPr>
        <w:t>Lord Hoffmann in</w:t>
      </w:r>
      <w:r>
        <w:rPr>
          <w:spacing w:val="-1"/>
          <w:sz w:val="20"/>
        </w:rPr>
        <w:t> </w:t>
      </w:r>
      <w:r>
        <w:rPr>
          <w:rFonts w:ascii="Arial"/>
          <w:i/>
          <w:sz w:val="20"/>
        </w:rPr>
        <w:t>The Achilleas [2008] UKHL 48</w:t>
      </w:r>
      <w:r>
        <w:rPr>
          <w:rFonts w:ascii="Arial"/>
          <w:i/>
          <w:spacing w:val="-1"/>
          <w:sz w:val="20"/>
        </w:rPr>
        <w:t> </w:t>
      </w:r>
      <w:r>
        <w:rPr>
          <w:sz w:val="20"/>
        </w:rPr>
        <w:t>at [25]; and see Baroness Hale at </w:t>
      </w:r>
      <w:r>
        <w:rPr>
          <w:spacing w:val="-2"/>
          <w:sz w:val="20"/>
        </w:rPr>
        <w:t>[93].</w:t>
      </w:r>
    </w:p>
    <w:p>
      <w:pPr>
        <w:pStyle w:val="BodyText"/>
        <w:spacing w:before="8"/>
      </w:pPr>
    </w:p>
    <w:p>
      <w:pPr>
        <w:tabs>
          <w:tab w:pos="705" w:val="left" w:leader="none"/>
        </w:tabs>
        <w:spacing w:line="235" w:lineRule="auto" w:before="1"/>
        <w:ind w:left="705" w:right="168" w:hanging="541"/>
        <w:jc w:val="left"/>
        <w:rPr>
          <w:sz w:val="20"/>
        </w:rPr>
      </w:pPr>
      <w:bookmarkStart w:name="_bookmark1441" w:id="1443"/>
      <w:bookmarkEnd w:id="1443"/>
      <w:r>
        <w:rPr/>
      </w:r>
      <w:hyperlink w:history="true" w:anchor="_bookmark1382">
        <w:r>
          <w:rPr>
            <w:color w:val="005DA1"/>
            <w:spacing w:val="-4"/>
            <w:position w:val="5"/>
            <w:sz w:val="14"/>
            <w:u w:val="single" w:color="005DA1"/>
          </w:rPr>
          <w:t>754</w:t>
        </w:r>
      </w:hyperlink>
      <w:r>
        <w:rPr>
          <w:spacing w:val="-4"/>
          <w:position w:val="5"/>
          <w:sz w:val="14"/>
        </w:rPr>
        <w:t>.</w:t>
      </w:r>
      <w:r>
        <w:rPr>
          <w:position w:val="5"/>
          <w:sz w:val="14"/>
        </w:rPr>
        <w:tab/>
      </w:r>
      <w:r>
        <w:rPr>
          <w:rFonts w:ascii="Arial"/>
          <w:i/>
          <w:sz w:val="20"/>
        </w:rPr>
        <w:t>South</w:t>
      </w:r>
      <w:r>
        <w:rPr>
          <w:rFonts w:ascii="Arial"/>
          <w:i/>
          <w:spacing w:val="28"/>
          <w:sz w:val="20"/>
        </w:rPr>
        <w:t> </w:t>
      </w:r>
      <w:r>
        <w:rPr>
          <w:rFonts w:ascii="Arial"/>
          <w:i/>
          <w:sz w:val="20"/>
        </w:rPr>
        <w:t>Australia</w:t>
      </w:r>
      <w:r>
        <w:rPr>
          <w:rFonts w:ascii="Arial"/>
          <w:i/>
          <w:spacing w:val="28"/>
          <w:sz w:val="20"/>
        </w:rPr>
        <w:t> </w:t>
      </w:r>
      <w:r>
        <w:rPr>
          <w:rFonts w:ascii="Arial"/>
          <w:i/>
          <w:sz w:val="20"/>
        </w:rPr>
        <w:t>Asset</w:t>
      </w:r>
      <w:r>
        <w:rPr>
          <w:rFonts w:ascii="Arial"/>
          <w:i/>
          <w:spacing w:val="28"/>
          <w:sz w:val="20"/>
        </w:rPr>
        <w:t> </w:t>
      </w:r>
      <w:r>
        <w:rPr>
          <w:rFonts w:ascii="Arial"/>
          <w:i/>
          <w:sz w:val="20"/>
        </w:rPr>
        <w:t>Management</w:t>
      </w:r>
      <w:r>
        <w:rPr>
          <w:rFonts w:ascii="Arial"/>
          <w:i/>
          <w:spacing w:val="28"/>
          <w:sz w:val="20"/>
        </w:rPr>
        <w:t> </w:t>
      </w:r>
      <w:r>
        <w:rPr>
          <w:rFonts w:ascii="Arial"/>
          <w:i/>
          <w:sz w:val="20"/>
        </w:rPr>
        <w:t>Corp</w:t>
      </w:r>
      <w:r>
        <w:rPr>
          <w:rFonts w:ascii="Arial"/>
          <w:i/>
          <w:spacing w:val="28"/>
          <w:sz w:val="20"/>
        </w:rPr>
        <w:t> </w:t>
      </w:r>
      <w:r>
        <w:rPr>
          <w:rFonts w:ascii="Arial"/>
          <w:i/>
          <w:sz w:val="20"/>
        </w:rPr>
        <w:t>v</w:t>
      </w:r>
      <w:r>
        <w:rPr>
          <w:rFonts w:ascii="Arial"/>
          <w:i/>
          <w:spacing w:val="28"/>
          <w:sz w:val="20"/>
        </w:rPr>
        <w:t> </w:t>
      </w:r>
      <w:r>
        <w:rPr>
          <w:rFonts w:ascii="Arial"/>
          <w:i/>
          <w:sz w:val="20"/>
        </w:rPr>
        <w:t>York</w:t>
      </w:r>
      <w:r>
        <w:rPr>
          <w:rFonts w:ascii="Arial"/>
          <w:i/>
          <w:spacing w:val="28"/>
          <w:sz w:val="20"/>
        </w:rPr>
        <w:t> </w:t>
      </w:r>
      <w:r>
        <w:rPr>
          <w:rFonts w:ascii="Arial"/>
          <w:i/>
          <w:sz w:val="20"/>
        </w:rPr>
        <w:t>Montague</w:t>
      </w:r>
      <w:r>
        <w:rPr>
          <w:rFonts w:ascii="Arial"/>
          <w:i/>
          <w:spacing w:val="28"/>
          <w:sz w:val="20"/>
        </w:rPr>
        <w:t> </w:t>
      </w:r>
      <w:r>
        <w:rPr>
          <w:rFonts w:ascii="Arial"/>
          <w:i/>
          <w:sz w:val="20"/>
        </w:rPr>
        <w:t>Ltd</w:t>
      </w:r>
      <w:r>
        <w:rPr>
          <w:rFonts w:ascii="Arial"/>
          <w:i/>
          <w:spacing w:val="28"/>
          <w:sz w:val="20"/>
        </w:rPr>
        <w:t> </w:t>
      </w:r>
      <w:r>
        <w:rPr>
          <w:rFonts w:ascii="Arial"/>
          <w:i/>
          <w:sz w:val="20"/>
        </w:rPr>
        <w:t>[1997]</w:t>
      </w:r>
      <w:r>
        <w:rPr>
          <w:rFonts w:ascii="Arial"/>
          <w:i/>
          <w:spacing w:val="28"/>
          <w:sz w:val="20"/>
        </w:rPr>
        <w:t> </w:t>
      </w:r>
      <w:r>
        <w:rPr>
          <w:rFonts w:ascii="Arial"/>
          <w:i/>
          <w:sz w:val="20"/>
        </w:rPr>
        <w:t>A.C.</w:t>
      </w:r>
      <w:r>
        <w:rPr>
          <w:rFonts w:ascii="Arial"/>
          <w:i/>
          <w:spacing w:val="28"/>
          <w:sz w:val="20"/>
        </w:rPr>
        <w:t> </w:t>
      </w:r>
      <w:r>
        <w:rPr>
          <w:rFonts w:ascii="Arial"/>
          <w:i/>
          <w:sz w:val="20"/>
        </w:rPr>
        <w:t>191</w:t>
      </w:r>
      <w:r>
        <w:rPr>
          <w:sz w:val="20"/>
        </w:rPr>
        <w:t>;</w:t>
      </w:r>
      <w:r>
        <w:rPr>
          <w:spacing w:val="28"/>
          <w:sz w:val="20"/>
        </w:rPr>
        <w:t> </w:t>
      </w:r>
      <w:r>
        <w:rPr>
          <w:sz w:val="20"/>
        </w:rPr>
        <w:t>see</w:t>
      </w:r>
      <w:r>
        <w:rPr>
          <w:spacing w:val="28"/>
          <w:sz w:val="20"/>
        </w:rPr>
        <w:t> </w:t>
      </w:r>
      <w:r>
        <w:rPr>
          <w:sz w:val="20"/>
        </w:rPr>
        <w:t>above, para.26-127 and below, para.26-168.</w:t>
      </w:r>
    </w:p>
    <w:p>
      <w:pPr>
        <w:pStyle w:val="BodyText"/>
        <w:spacing w:before="5"/>
      </w:pPr>
    </w:p>
    <w:p>
      <w:pPr>
        <w:pStyle w:val="BodyText"/>
        <w:tabs>
          <w:tab w:pos="705" w:val="left" w:leader="none"/>
        </w:tabs>
        <w:ind w:left="165"/>
      </w:pPr>
      <w:bookmarkStart w:name="_bookmark1442" w:id="1444"/>
      <w:bookmarkEnd w:id="1444"/>
      <w:r>
        <w:rPr/>
      </w:r>
      <w:hyperlink w:history="true" w:anchor="_bookmark1383">
        <w:r>
          <w:rPr>
            <w:color w:val="005DA1"/>
            <w:spacing w:val="-4"/>
            <w:position w:val="5"/>
            <w:sz w:val="14"/>
            <w:u w:val="single" w:color="005DA1"/>
          </w:rPr>
          <w:t>755</w:t>
        </w:r>
      </w:hyperlink>
      <w:r>
        <w:rPr>
          <w:spacing w:val="-4"/>
          <w:position w:val="5"/>
          <w:sz w:val="14"/>
        </w:rPr>
        <w:t>.</w:t>
      </w:r>
      <w:r>
        <w:rPr>
          <w:position w:val="5"/>
          <w:sz w:val="14"/>
        </w:rPr>
        <w:tab/>
      </w:r>
      <w:r>
        <w:rPr/>
        <w:t>See Halsbury’s Laws of England, 5th edn (2009), Vol.II, </w:t>
      </w:r>
      <w:r>
        <w:rPr>
          <w:spacing w:val="-2"/>
        </w:rPr>
        <w:t>para.1657.</w:t>
      </w:r>
    </w:p>
    <w:p>
      <w:pPr>
        <w:pStyle w:val="BodyText"/>
        <w:spacing w:before="5"/>
      </w:pPr>
    </w:p>
    <w:p>
      <w:pPr>
        <w:tabs>
          <w:tab w:pos="705" w:val="left" w:leader="none"/>
        </w:tabs>
        <w:spacing w:before="0"/>
        <w:ind w:left="165" w:right="0" w:firstLine="0"/>
        <w:jc w:val="left"/>
        <w:rPr>
          <w:sz w:val="20"/>
        </w:rPr>
      </w:pPr>
      <w:bookmarkStart w:name="_bookmark1443" w:id="1445"/>
      <w:bookmarkEnd w:id="1445"/>
      <w:r>
        <w:rPr/>
      </w:r>
      <w:hyperlink w:history="true" w:anchor="_bookmark1384">
        <w:r>
          <w:rPr>
            <w:color w:val="005DA1"/>
            <w:spacing w:val="-4"/>
            <w:position w:val="5"/>
            <w:sz w:val="14"/>
            <w:u w:val="single" w:color="005DA1"/>
          </w:rPr>
          <w:t>756</w:t>
        </w:r>
      </w:hyperlink>
      <w:r>
        <w:rPr>
          <w:spacing w:val="-4"/>
          <w:position w:val="5"/>
          <w:sz w:val="14"/>
        </w:rPr>
        <w:t>.</w:t>
      </w:r>
      <w:r>
        <w:rPr>
          <w:position w:val="5"/>
          <w:sz w:val="14"/>
        </w:rPr>
        <w:tab/>
      </w:r>
      <w:r>
        <w:rPr>
          <w:sz w:val="20"/>
        </w:rPr>
        <w:t>Lord Hope at </w:t>
      </w:r>
      <w:r>
        <w:rPr>
          <w:spacing w:val="-2"/>
          <w:sz w:val="20"/>
        </w:rPr>
        <w:t>[36].</w:t>
      </w:r>
    </w:p>
    <w:p>
      <w:pPr>
        <w:pStyle w:val="BodyText"/>
        <w:spacing w:before="5"/>
      </w:pPr>
    </w:p>
    <w:p>
      <w:pPr>
        <w:pStyle w:val="BodyText"/>
        <w:tabs>
          <w:tab w:pos="705" w:val="left" w:leader="none"/>
        </w:tabs>
        <w:ind w:left="165"/>
      </w:pPr>
      <w:bookmarkStart w:name="_bookmark1444" w:id="1446"/>
      <w:bookmarkEnd w:id="1446"/>
      <w:r>
        <w:rPr/>
      </w:r>
      <w:hyperlink w:history="true" w:anchor="_bookmark1385">
        <w:r>
          <w:rPr>
            <w:color w:val="005DA1"/>
            <w:spacing w:val="-4"/>
            <w:position w:val="5"/>
            <w:sz w:val="14"/>
            <w:u w:val="single" w:color="005DA1"/>
          </w:rPr>
          <w:t>757</w:t>
        </w:r>
      </w:hyperlink>
      <w:r>
        <w:rPr>
          <w:spacing w:val="-4"/>
          <w:position w:val="5"/>
          <w:sz w:val="14"/>
        </w:rPr>
        <w:t>.</w:t>
      </w:r>
      <w:r>
        <w:rPr>
          <w:position w:val="5"/>
          <w:sz w:val="14"/>
        </w:rPr>
        <w:tab/>
      </w:r>
      <w:r>
        <w:rPr/>
        <w:t>Lord Hoffmann at [24]; Lord Hope at </w:t>
      </w:r>
      <w:r>
        <w:rPr>
          <w:spacing w:val="-2"/>
        </w:rPr>
        <w:t>[34].</w:t>
      </w:r>
    </w:p>
    <w:p>
      <w:pPr>
        <w:pStyle w:val="BodyText"/>
        <w:spacing w:before="5"/>
      </w:pPr>
    </w:p>
    <w:p>
      <w:pPr>
        <w:tabs>
          <w:tab w:pos="705" w:val="left" w:leader="none"/>
        </w:tabs>
        <w:spacing w:before="0"/>
        <w:ind w:left="165" w:right="0" w:firstLine="0"/>
        <w:jc w:val="left"/>
        <w:rPr>
          <w:sz w:val="20"/>
        </w:rPr>
      </w:pPr>
      <w:bookmarkStart w:name="_bookmark1445" w:id="1447"/>
      <w:bookmarkEnd w:id="1447"/>
      <w:r>
        <w:rPr/>
      </w:r>
      <w:hyperlink w:history="true" w:anchor="_bookmark1386">
        <w:r>
          <w:rPr>
            <w:color w:val="005DA1"/>
            <w:spacing w:val="-4"/>
            <w:position w:val="5"/>
            <w:sz w:val="14"/>
            <w:u w:val="single" w:color="005DA1"/>
          </w:rPr>
          <w:t>758</w:t>
        </w:r>
      </w:hyperlink>
      <w:r>
        <w:rPr>
          <w:spacing w:val="-4"/>
          <w:position w:val="5"/>
          <w:sz w:val="14"/>
        </w:rPr>
        <w:t>.</w:t>
      </w:r>
      <w:r>
        <w:rPr>
          <w:position w:val="5"/>
          <w:sz w:val="14"/>
        </w:rPr>
        <w:tab/>
      </w:r>
      <w:r>
        <w:rPr>
          <w:sz w:val="20"/>
        </w:rPr>
        <w:t>At </w:t>
      </w:r>
      <w:r>
        <w:rPr>
          <w:spacing w:val="-4"/>
          <w:sz w:val="20"/>
        </w:rPr>
        <w:t>[6].</w:t>
      </w:r>
    </w:p>
    <w:p>
      <w:pPr>
        <w:pStyle w:val="BodyText"/>
        <w:spacing w:before="5"/>
      </w:pPr>
    </w:p>
    <w:p>
      <w:pPr>
        <w:tabs>
          <w:tab w:pos="705" w:val="left" w:leader="none"/>
        </w:tabs>
        <w:spacing w:before="0"/>
        <w:ind w:left="165" w:right="0" w:firstLine="0"/>
        <w:jc w:val="left"/>
        <w:rPr>
          <w:sz w:val="20"/>
        </w:rPr>
      </w:pPr>
      <w:bookmarkStart w:name="_bookmark1446" w:id="1448"/>
      <w:bookmarkEnd w:id="1448"/>
      <w:r>
        <w:rPr/>
      </w:r>
      <w:hyperlink w:history="true" w:anchor="_bookmark1387">
        <w:r>
          <w:rPr>
            <w:color w:val="005DA1"/>
            <w:spacing w:val="-4"/>
            <w:position w:val="5"/>
            <w:sz w:val="14"/>
            <w:u w:val="single" w:color="005DA1"/>
          </w:rPr>
          <w:t>759</w:t>
        </w:r>
      </w:hyperlink>
      <w:r>
        <w:rPr>
          <w:spacing w:val="-4"/>
          <w:position w:val="5"/>
          <w:sz w:val="14"/>
        </w:rPr>
        <w:t>.</w:t>
      </w:r>
      <w:r>
        <w:rPr>
          <w:position w:val="5"/>
          <w:sz w:val="14"/>
        </w:rPr>
        <w:tab/>
      </w:r>
      <w:r>
        <w:rPr>
          <w:sz w:val="20"/>
        </w:rPr>
        <w:t>At </w:t>
      </w:r>
      <w:r>
        <w:rPr>
          <w:spacing w:val="-2"/>
          <w:sz w:val="20"/>
        </w:rPr>
        <w:t>[10].</w:t>
      </w:r>
    </w:p>
    <w:p>
      <w:pPr>
        <w:pStyle w:val="BodyText"/>
        <w:spacing w:before="5"/>
      </w:pPr>
    </w:p>
    <w:p>
      <w:pPr>
        <w:tabs>
          <w:tab w:pos="705" w:val="left" w:leader="none"/>
        </w:tabs>
        <w:spacing w:before="0"/>
        <w:ind w:left="165" w:right="0" w:firstLine="0"/>
        <w:jc w:val="left"/>
        <w:rPr>
          <w:sz w:val="20"/>
        </w:rPr>
      </w:pPr>
      <w:bookmarkStart w:name="_bookmark1447" w:id="1449"/>
      <w:bookmarkEnd w:id="1449"/>
      <w:r>
        <w:rPr/>
      </w:r>
      <w:hyperlink w:history="true" w:anchor="_bookmark1388">
        <w:r>
          <w:rPr>
            <w:color w:val="005DA1"/>
            <w:spacing w:val="-4"/>
            <w:position w:val="5"/>
            <w:sz w:val="14"/>
            <w:u w:val="single" w:color="005DA1"/>
          </w:rPr>
          <w:t>760</w:t>
        </w:r>
      </w:hyperlink>
      <w:r>
        <w:rPr>
          <w:spacing w:val="-4"/>
          <w:position w:val="5"/>
          <w:sz w:val="14"/>
        </w:rPr>
        <w:t>.</w:t>
      </w:r>
      <w:r>
        <w:rPr>
          <w:position w:val="5"/>
          <w:sz w:val="14"/>
        </w:rPr>
        <w:tab/>
      </w:r>
      <w:r>
        <w:rPr>
          <w:sz w:val="20"/>
        </w:rPr>
        <w:t>At </w:t>
      </w:r>
      <w:r>
        <w:rPr>
          <w:spacing w:val="-2"/>
          <w:sz w:val="20"/>
        </w:rPr>
        <w:t>[23].</w:t>
      </w:r>
    </w:p>
    <w:p>
      <w:pPr>
        <w:pStyle w:val="BodyText"/>
        <w:spacing w:before="5"/>
      </w:pPr>
    </w:p>
    <w:p>
      <w:pPr>
        <w:tabs>
          <w:tab w:pos="705" w:val="left" w:leader="none"/>
        </w:tabs>
        <w:spacing w:before="0"/>
        <w:ind w:left="165" w:right="0" w:firstLine="0"/>
        <w:jc w:val="left"/>
        <w:rPr>
          <w:sz w:val="20"/>
        </w:rPr>
      </w:pPr>
      <w:bookmarkStart w:name="_bookmark1448" w:id="1450"/>
      <w:bookmarkEnd w:id="1450"/>
      <w:r>
        <w:rPr/>
      </w:r>
      <w:hyperlink w:history="true" w:anchor="_bookmark1389">
        <w:r>
          <w:rPr>
            <w:color w:val="005DA1"/>
            <w:spacing w:val="-4"/>
            <w:position w:val="5"/>
            <w:sz w:val="14"/>
            <w:u w:val="single" w:color="005DA1"/>
          </w:rPr>
          <w:t>761</w:t>
        </w:r>
      </w:hyperlink>
      <w:r>
        <w:rPr>
          <w:spacing w:val="-4"/>
          <w:position w:val="5"/>
          <w:sz w:val="14"/>
        </w:rPr>
        <w:t>.</w:t>
      </w:r>
      <w:r>
        <w:rPr>
          <w:position w:val="5"/>
          <w:sz w:val="14"/>
        </w:rPr>
        <w:tab/>
      </w:r>
      <w:r>
        <w:rPr>
          <w:sz w:val="20"/>
        </w:rPr>
        <w:t>At </w:t>
      </w:r>
      <w:r>
        <w:rPr>
          <w:spacing w:val="-2"/>
          <w:sz w:val="20"/>
        </w:rPr>
        <w:t>[36].</w:t>
      </w:r>
    </w:p>
    <w:p>
      <w:pPr>
        <w:pStyle w:val="BodyText"/>
        <w:spacing w:before="9"/>
      </w:pPr>
    </w:p>
    <w:p>
      <w:pPr>
        <w:pStyle w:val="BodyText"/>
        <w:spacing w:line="235" w:lineRule="auto"/>
        <w:ind w:left="705" w:right="167" w:hanging="541"/>
        <w:jc w:val="both"/>
      </w:pPr>
      <w:bookmarkStart w:name="_bookmark1449" w:id="1451"/>
      <w:bookmarkEnd w:id="1451"/>
      <w:r>
        <w:rPr/>
      </w:r>
      <w:hyperlink w:history="true" w:anchor="_bookmark1390">
        <w:r>
          <w:rPr>
            <w:color w:val="005DA1"/>
            <w:position w:val="5"/>
            <w:sz w:val="14"/>
            <w:u w:val="single" w:color="005DA1"/>
          </w:rPr>
          <w:t>762</w:t>
        </w:r>
      </w:hyperlink>
      <w:r>
        <w:rPr>
          <w:position w:val="5"/>
          <w:sz w:val="14"/>
        </w:rPr>
        <w:t>.</w:t>
      </w:r>
      <w:r>
        <w:rPr>
          <w:spacing w:val="80"/>
          <w:position w:val="5"/>
          <w:sz w:val="14"/>
        </w:rPr>
        <w:t>  </w:t>
      </w:r>
      <w:r>
        <w:rPr/>
        <w:t>In </w:t>
      </w:r>
      <w:r>
        <w:rPr>
          <w:rFonts w:ascii="Arial" w:hAnsi="Arial"/>
          <w:i/>
        </w:rPr>
        <w:t>John Grimes Partnership Ltd v Gubbins [2013] EWCA Civ 37, [2013] B.L.R. 126 </w:t>
      </w:r>
      <w:r>
        <w:rPr/>
        <w:t>the court</w:t>
      </w:r>
      <w:r>
        <w:rPr>
          <w:spacing w:val="40"/>
        </w:rPr>
        <w:t> </w:t>
      </w:r>
      <w:r>
        <w:rPr/>
        <w:t>held that an engineer whose delay had held back completion of a housing development was liable for loss caused by a fall in property prices, even though the decline was outside the defendant’s control and the amount of loss was high compared to the fee charged. The court made the point that the change in the market took place over a long period, compared to </w:t>
      </w:r>
      <w:r>
        <w:rPr/>
        <w:t>the sudden drop that had occurred in </w:t>
      </w:r>
      <w:r>
        <w:rPr>
          <w:rFonts w:ascii="Arial" w:hAnsi="Arial"/>
          <w:i/>
        </w:rPr>
        <w:t>The Achilleas </w:t>
      </w:r>
      <w:r>
        <w:rPr/>
        <w:t>(at [27] and [33]). However Tomlinson L.J. suggested that it may not be right to treat the consequences of extremely volatile market conditions as axiomatically irrecoverable: at [34].</w:t>
      </w:r>
    </w:p>
    <w:p>
      <w:pPr>
        <w:pStyle w:val="BodyText"/>
        <w:spacing w:before="7"/>
      </w:pPr>
    </w:p>
    <w:p>
      <w:pPr>
        <w:pStyle w:val="BodyText"/>
        <w:tabs>
          <w:tab w:pos="705" w:val="left" w:leader="none"/>
        </w:tabs>
        <w:spacing w:line="235" w:lineRule="auto"/>
        <w:ind w:left="705" w:right="167" w:hanging="541"/>
      </w:pPr>
      <w:bookmarkStart w:name="_bookmark1450" w:id="1452"/>
      <w:bookmarkEnd w:id="1452"/>
      <w:r>
        <w:rPr/>
      </w:r>
      <w:hyperlink w:history="true" w:anchor="_bookmark1391">
        <w:r>
          <w:rPr>
            <w:color w:val="005DA1"/>
            <w:spacing w:val="-4"/>
            <w:position w:val="5"/>
            <w:sz w:val="14"/>
            <w:u w:val="single" w:color="005DA1"/>
          </w:rPr>
          <w:t>763</w:t>
        </w:r>
      </w:hyperlink>
      <w:r>
        <w:rPr>
          <w:spacing w:val="-4"/>
          <w:position w:val="5"/>
          <w:sz w:val="14"/>
        </w:rPr>
        <w:t>.</w:t>
      </w:r>
      <w:r>
        <w:rPr>
          <w:position w:val="5"/>
          <w:sz w:val="14"/>
        </w:rPr>
        <w:tab/>
      </w:r>
      <w:r>
        <w:rPr/>
        <w:t>Possible</w:t>
      </w:r>
      <w:r>
        <w:rPr>
          <w:spacing w:val="40"/>
        </w:rPr>
        <w:t> </w:t>
      </w:r>
      <w:r>
        <w:rPr/>
        <w:t>cases</w:t>
      </w:r>
      <w:r>
        <w:rPr>
          <w:spacing w:val="40"/>
        </w:rPr>
        <w:t> </w:t>
      </w:r>
      <w:r>
        <w:rPr/>
        <w:t>for</w:t>
      </w:r>
      <w:r>
        <w:rPr>
          <w:spacing w:val="40"/>
        </w:rPr>
        <w:t> </w:t>
      </w:r>
      <w:r>
        <w:rPr/>
        <w:t>such</w:t>
      </w:r>
      <w:r>
        <w:rPr>
          <w:spacing w:val="40"/>
        </w:rPr>
        <w:t> </w:t>
      </w:r>
      <w:r>
        <w:rPr/>
        <w:t>limitations</w:t>
      </w:r>
      <w:r>
        <w:rPr>
          <w:spacing w:val="40"/>
        </w:rPr>
        <w:t> </w:t>
      </w:r>
      <w:r>
        <w:rPr/>
        <w:t>are</w:t>
      </w:r>
      <w:r>
        <w:rPr>
          <w:spacing w:val="40"/>
        </w:rPr>
        <w:t> </w:t>
      </w:r>
      <w:r>
        <w:rPr/>
        <w:t>explored</w:t>
      </w:r>
      <w:r>
        <w:rPr>
          <w:spacing w:val="40"/>
        </w:rPr>
        <w:t> </w:t>
      </w:r>
      <w:r>
        <w:rPr/>
        <w:t>in</w:t>
      </w:r>
      <w:r>
        <w:rPr>
          <w:spacing w:val="40"/>
        </w:rPr>
        <w:t> </w:t>
      </w:r>
      <w:r>
        <w:rPr/>
        <w:t>Robertson</w:t>
      </w:r>
      <w:r>
        <w:rPr>
          <w:spacing w:val="40"/>
        </w:rPr>
        <w:t> </w:t>
      </w:r>
      <w:r>
        <w:rPr/>
        <w:t>(2008)</w:t>
      </w:r>
      <w:r>
        <w:rPr>
          <w:spacing w:val="40"/>
        </w:rPr>
        <w:t> </w:t>
      </w:r>
      <w:r>
        <w:rPr/>
        <w:t>Legal</w:t>
      </w:r>
      <w:r>
        <w:rPr>
          <w:spacing w:val="40"/>
        </w:rPr>
        <w:t> </w:t>
      </w:r>
      <w:r>
        <w:rPr/>
        <w:t>Studies</w:t>
      </w:r>
      <w:r>
        <w:rPr>
          <w:spacing w:val="40"/>
        </w:rPr>
        <w:t> </w:t>
      </w:r>
      <w:r>
        <w:rPr/>
        <w:t>172,</w:t>
      </w:r>
      <w:r>
        <w:rPr>
          <w:spacing w:val="40"/>
        </w:rPr>
        <w:t> </w:t>
      </w:r>
      <w:r>
        <w:rPr>
          <w:spacing w:val="-2"/>
        </w:rPr>
        <w:t>191-195.</w:t>
      </w:r>
    </w:p>
    <w:p>
      <w:pPr>
        <w:pStyle w:val="BodyText"/>
        <w:spacing w:before="5"/>
      </w:pPr>
    </w:p>
    <w:p>
      <w:pPr>
        <w:tabs>
          <w:tab w:pos="705" w:val="left" w:leader="none"/>
        </w:tabs>
        <w:spacing w:before="1"/>
        <w:ind w:left="165" w:right="0" w:firstLine="0"/>
        <w:jc w:val="left"/>
        <w:rPr>
          <w:sz w:val="20"/>
        </w:rPr>
      </w:pPr>
      <w:bookmarkStart w:name="_bookmark1451" w:id="1453"/>
      <w:bookmarkEnd w:id="1453"/>
      <w:r>
        <w:rPr/>
      </w:r>
      <w:hyperlink w:history="true" w:anchor="_bookmark1392">
        <w:r>
          <w:rPr>
            <w:color w:val="005DA1"/>
            <w:spacing w:val="-4"/>
            <w:position w:val="5"/>
            <w:sz w:val="14"/>
            <w:u w:val="single" w:color="005DA1"/>
          </w:rPr>
          <w:t>764</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A.C. 350, </w:t>
      </w:r>
      <w:r>
        <w:rPr>
          <w:rFonts w:ascii="Arial"/>
          <w:i/>
          <w:spacing w:val="-4"/>
          <w:sz w:val="20"/>
        </w:rPr>
        <w:t>386</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452" w:id="1454"/>
      <w:bookmarkEnd w:id="1454"/>
      <w:r>
        <w:rPr/>
      </w:r>
      <w:hyperlink w:history="true" w:anchor="_bookmark1393">
        <w:r>
          <w:rPr>
            <w:color w:val="005DA1"/>
            <w:spacing w:val="-4"/>
            <w:position w:val="5"/>
            <w:sz w:val="14"/>
            <w:u w:val="single" w:color="005DA1"/>
          </w:rPr>
          <w:t>765</w:t>
        </w:r>
      </w:hyperlink>
      <w:r>
        <w:rPr>
          <w:spacing w:val="-4"/>
          <w:position w:val="5"/>
          <w:sz w:val="14"/>
        </w:rPr>
        <w:t>.</w:t>
      </w:r>
      <w:r>
        <w:rPr>
          <w:position w:val="5"/>
          <w:sz w:val="14"/>
        </w:rPr>
        <w:tab/>
      </w:r>
      <w:r>
        <w:rPr>
          <w:sz w:val="20"/>
        </w:rPr>
        <w:t>cf.</w:t>
      </w:r>
      <w:r>
        <w:rPr>
          <w:spacing w:val="30"/>
          <w:sz w:val="20"/>
        </w:rPr>
        <w:t> </w:t>
      </w:r>
      <w:r>
        <w:rPr>
          <w:rFonts w:ascii="Arial"/>
          <w:i/>
          <w:sz w:val="20"/>
        </w:rPr>
        <w:t>Rubenstein</w:t>
      </w:r>
      <w:r>
        <w:rPr>
          <w:rFonts w:ascii="Arial"/>
          <w:i/>
          <w:spacing w:val="30"/>
          <w:sz w:val="20"/>
        </w:rPr>
        <w:t> </w:t>
      </w:r>
      <w:r>
        <w:rPr>
          <w:rFonts w:ascii="Arial"/>
          <w:i/>
          <w:sz w:val="20"/>
        </w:rPr>
        <w:t>v</w:t>
      </w:r>
      <w:r>
        <w:rPr>
          <w:rFonts w:ascii="Arial"/>
          <w:i/>
          <w:spacing w:val="30"/>
          <w:sz w:val="20"/>
        </w:rPr>
        <w:t> </w:t>
      </w:r>
      <w:r>
        <w:rPr>
          <w:rFonts w:ascii="Arial"/>
          <w:i/>
          <w:sz w:val="20"/>
        </w:rPr>
        <w:t>HSBC</w:t>
      </w:r>
      <w:r>
        <w:rPr>
          <w:rFonts w:ascii="Arial"/>
          <w:i/>
          <w:spacing w:val="30"/>
          <w:sz w:val="20"/>
        </w:rPr>
        <w:t> </w:t>
      </w:r>
      <w:r>
        <w:rPr>
          <w:rFonts w:ascii="Arial"/>
          <w:i/>
          <w:sz w:val="20"/>
        </w:rPr>
        <w:t>Bank</w:t>
      </w:r>
      <w:r>
        <w:rPr>
          <w:rFonts w:ascii="Arial"/>
          <w:i/>
          <w:spacing w:val="30"/>
          <w:sz w:val="20"/>
        </w:rPr>
        <w:t> </w:t>
      </w:r>
      <w:r>
        <w:rPr>
          <w:rFonts w:ascii="Arial"/>
          <w:i/>
          <w:sz w:val="20"/>
        </w:rPr>
        <w:t>Plc</w:t>
      </w:r>
      <w:r>
        <w:rPr>
          <w:rFonts w:ascii="Arial"/>
          <w:i/>
          <w:spacing w:val="30"/>
          <w:sz w:val="20"/>
        </w:rPr>
        <w:t> </w:t>
      </w:r>
      <w:r>
        <w:rPr>
          <w:rFonts w:ascii="Arial"/>
          <w:i/>
          <w:sz w:val="20"/>
        </w:rPr>
        <w:t>[2012]</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1184,</w:t>
      </w:r>
      <w:r>
        <w:rPr>
          <w:rFonts w:ascii="Arial"/>
          <w:i/>
          <w:spacing w:val="30"/>
          <w:sz w:val="20"/>
        </w:rPr>
        <w:t> </w:t>
      </w:r>
      <w:r>
        <w:rPr>
          <w:rFonts w:ascii="Arial"/>
          <w:i/>
          <w:sz w:val="20"/>
        </w:rPr>
        <w:t>[2012]</w:t>
      </w:r>
      <w:r>
        <w:rPr>
          <w:rFonts w:ascii="Arial"/>
          <w:i/>
          <w:spacing w:val="30"/>
          <w:sz w:val="20"/>
        </w:rPr>
        <w:t> </w:t>
      </w:r>
      <w:r>
        <w:rPr>
          <w:rFonts w:ascii="Arial"/>
          <w:i/>
          <w:sz w:val="20"/>
        </w:rPr>
        <w:t>2</w:t>
      </w:r>
      <w:r>
        <w:rPr>
          <w:rFonts w:ascii="Arial"/>
          <w:i/>
          <w:spacing w:val="30"/>
          <w:sz w:val="20"/>
        </w:rPr>
        <w:t> </w:t>
      </w:r>
      <w:r>
        <w:rPr>
          <w:rFonts w:ascii="Arial"/>
          <w:i/>
          <w:sz w:val="20"/>
        </w:rPr>
        <w:t>C.L.C.</w:t>
      </w:r>
      <w:r>
        <w:rPr>
          <w:rFonts w:ascii="Arial"/>
          <w:i/>
          <w:spacing w:val="30"/>
          <w:sz w:val="20"/>
        </w:rPr>
        <w:t> </w:t>
      </w:r>
      <w:r>
        <w:rPr>
          <w:rFonts w:ascii="Arial"/>
          <w:i/>
          <w:sz w:val="20"/>
        </w:rPr>
        <w:t>747</w:t>
      </w:r>
      <w:r>
        <w:rPr>
          <w:rFonts w:ascii="Arial"/>
          <w:i/>
          <w:spacing w:val="29"/>
          <w:sz w:val="20"/>
        </w:rPr>
        <w:t> </w:t>
      </w:r>
      <w:r>
        <w:rPr>
          <w:sz w:val="20"/>
        </w:rPr>
        <w:t>at</w:t>
      </w:r>
      <w:r>
        <w:rPr>
          <w:spacing w:val="30"/>
          <w:sz w:val="20"/>
        </w:rPr>
        <w:t> </w:t>
      </w:r>
      <w:r>
        <w:rPr>
          <w:sz w:val="20"/>
        </w:rPr>
        <w:t>[123]</w:t>
      </w:r>
      <w:r>
        <w:rPr>
          <w:spacing w:val="30"/>
          <w:sz w:val="20"/>
        </w:rPr>
        <w:t> </w:t>
      </w:r>
      <w:r>
        <w:rPr>
          <w:spacing w:val="-4"/>
          <w:sz w:val="20"/>
        </w:rPr>
        <w:t>(Rix</w:t>
      </w:r>
    </w:p>
    <w:p>
      <w:pPr>
        <w:spacing w:line="235" w:lineRule="auto" w:before="1"/>
        <w:ind w:left="705" w:right="174" w:firstLine="0"/>
        <w:jc w:val="left"/>
        <w:rPr>
          <w:sz w:val="20"/>
        </w:rPr>
      </w:pPr>
      <w:r>
        <w:rPr>
          <w:sz w:val="20"/>
        </w:rPr>
        <w:t>L.J.); </w:t>
      </w:r>
      <w:r>
        <w:rPr>
          <w:rFonts w:ascii="Arial"/>
          <w:i/>
          <w:sz w:val="20"/>
        </w:rPr>
        <w:t>John Grimes Partnership Ltd v Gubbins [2013] EWCA Civ 37, [2013] B.L.R. 126 </w:t>
      </w:r>
      <w:r>
        <w:rPr>
          <w:sz w:val="20"/>
        </w:rPr>
        <w:t>at [24],</w:t>
      </w:r>
      <w:r>
        <w:rPr>
          <w:spacing w:val="40"/>
          <w:sz w:val="20"/>
        </w:rPr>
        <w:t> </w:t>
      </w:r>
      <w:r>
        <w:rPr>
          <w:sz w:val="20"/>
        </w:rPr>
        <w:t>see below, n.692.</w:t>
      </w:r>
    </w:p>
    <w:p>
      <w:pPr>
        <w:pStyle w:val="BodyText"/>
        <w:spacing w:before="9"/>
      </w:pPr>
    </w:p>
    <w:p>
      <w:pPr>
        <w:pStyle w:val="BodyText"/>
        <w:spacing w:line="235" w:lineRule="auto"/>
        <w:ind w:left="705" w:right="167" w:hanging="541"/>
        <w:jc w:val="both"/>
      </w:pPr>
      <w:bookmarkStart w:name="_bookmark1453" w:id="1455"/>
      <w:bookmarkEnd w:id="1455"/>
      <w:r>
        <w:rPr/>
      </w:r>
      <w:hyperlink w:history="true" w:anchor="_bookmark1394">
        <w:r>
          <w:rPr>
            <w:color w:val="005DA1"/>
            <w:position w:val="5"/>
            <w:sz w:val="14"/>
            <w:u w:val="single" w:color="005DA1"/>
          </w:rPr>
          <w:t>766</w:t>
        </w:r>
      </w:hyperlink>
      <w:r>
        <w:rPr>
          <w:position w:val="5"/>
          <w:sz w:val="14"/>
        </w:rPr>
        <w:t>.</w:t>
      </w:r>
      <w:r>
        <w:rPr>
          <w:spacing w:val="80"/>
          <w:w w:val="150"/>
          <w:position w:val="5"/>
          <w:sz w:val="14"/>
        </w:rPr>
        <w:t> </w:t>
      </w:r>
      <w:r>
        <w:rPr/>
        <w:t>Robertson (2008) 28 Legal Studies 172, 196. The author suggests that if limits on liability </w:t>
      </w:r>
      <w:r>
        <w:rPr/>
        <w:t>are needed, other mechanisms might be used: at 191–193. For reasons given above, it is</w:t>
      </w:r>
      <w:r>
        <w:rPr>
          <w:spacing w:val="40"/>
        </w:rPr>
        <w:t> </w:t>
      </w:r>
      <w:r>
        <w:rPr/>
        <w:t>submitted that they will seldom if ever be needed.</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hanging="541"/>
        <w:jc w:val="both"/>
        <w:rPr>
          <w:rFonts w:ascii="Arial" w:hAnsi="Arial"/>
          <w:i/>
          <w:sz w:val="20"/>
        </w:rPr>
      </w:pPr>
      <w:hyperlink w:history="true" w:anchor="_bookmark1395">
        <w:r>
          <w:rPr>
            <w:color w:val="005DA1"/>
            <w:position w:val="5"/>
            <w:sz w:val="14"/>
            <w:u w:val="single" w:color="005DA1"/>
          </w:rPr>
          <w:t>767</w:t>
        </w:r>
      </w:hyperlink>
      <w:r>
        <w:rPr>
          <w:position w:val="5"/>
          <w:sz w:val="14"/>
        </w:rPr>
        <w:t>.</w:t>
      </w:r>
      <w:r>
        <w:rPr>
          <w:spacing w:val="40"/>
          <w:position w:val="5"/>
          <w:sz w:val="14"/>
        </w:rPr>
        <w:t>  </w:t>
      </w:r>
      <w:r>
        <w:rPr>
          <w:sz w:val="20"/>
        </w:rPr>
        <w:t>In </w:t>
      </w:r>
      <w:r>
        <w:rPr>
          <w:rFonts w:ascii="Arial" w:hAnsi="Arial"/>
          <w:i/>
          <w:sz w:val="20"/>
        </w:rPr>
        <w:t>Sylvia Shipping Co Ltd v Progress Bulk Carriers Ltd [2010] EWHC 542 (Comm), [2010] 2 Lloyd’s Rep. 81 </w:t>
      </w:r>
      <w:r>
        <w:rPr>
          <w:sz w:val="20"/>
        </w:rPr>
        <w:t>Hamblen J. held that assumption of responsibility would be relevant only in exceptional cases and quoted the last 19 lines of this paragraph in the previous edition with apparent approval. On the facts (loss of a sub-charter when the owners were late in </w:t>
      </w:r>
      <w:r>
        <w:rPr>
          <w:sz w:val="20"/>
        </w:rPr>
        <w:t>delivering the vessel) the loss was not “unquantifiable, unpredictable, uncontrollable or disproportionate” (at [73]). See also </w:t>
      </w:r>
      <w:r>
        <w:rPr>
          <w:rFonts w:ascii="Arial" w:hAnsi="Arial"/>
          <w:i/>
          <w:sz w:val="20"/>
        </w:rPr>
        <w:t>Supershield Ltd v Siemens Building Technologies FE Ltd [2010] EWCA Civ</w:t>
      </w:r>
      <w:r>
        <w:rPr>
          <w:rFonts w:ascii="Arial" w:hAnsi="Arial"/>
          <w:i/>
          <w:spacing w:val="40"/>
          <w:sz w:val="20"/>
        </w:rPr>
        <w:t> </w:t>
      </w:r>
      <w:r>
        <w:rPr>
          <w:rFonts w:ascii="Arial" w:hAnsi="Arial"/>
          <w:i/>
          <w:sz w:val="20"/>
        </w:rPr>
        <w:t>7, [2010] 1 Lloyd’s Rep. 349 </w:t>
      </w:r>
      <w:r>
        <w:rPr>
          <w:sz w:val="20"/>
        </w:rPr>
        <w:t>(“</w:t>
      </w:r>
      <w:r>
        <w:rPr>
          <w:rFonts w:ascii="Arial" w:hAnsi="Arial"/>
          <w:i/>
          <w:sz w:val="20"/>
        </w:rPr>
        <w:t>Hadley v Baxendale </w:t>
      </w:r>
      <w:r>
        <w:rPr>
          <w:sz w:val="20"/>
        </w:rPr>
        <w:t>remains a standard rule but … there may be cases</w:t>
      </w:r>
      <w:r>
        <w:rPr>
          <w:spacing w:val="-1"/>
          <w:sz w:val="20"/>
        </w:rPr>
        <w:t> </w:t>
      </w:r>
      <w:r>
        <w:rPr>
          <w:sz w:val="20"/>
        </w:rPr>
        <w:t>where</w:t>
      </w:r>
      <w:r>
        <w:rPr>
          <w:spacing w:val="-1"/>
          <w:sz w:val="20"/>
        </w:rPr>
        <w:t> </w:t>
      </w:r>
      <w:r>
        <w:rPr>
          <w:sz w:val="20"/>
        </w:rPr>
        <w:t>the</w:t>
      </w:r>
      <w:r>
        <w:rPr>
          <w:spacing w:val="-1"/>
          <w:sz w:val="20"/>
        </w:rPr>
        <w:t> </w:t>
      </w:r>
      <w:r>
        <w:rPr>
          <w:sz w:val="20"/>
        </w:rPr>
        <w:t>court,</w:t>
      </w:r>
      <w:r>
        <w:rPr>
          <w:spacing w:val="-1"/>
          <w:sz w:val="20"/>
        </w:rPr>
        <w:t> </w:t>
      </w:r>
      <w:r>
        <w:rPr>
          <w:sz w:val="20"/>
        </w:rPr>
        <w:t>on</w:t>
      </w:r>
      <w:r>
        <w:rPr>
          <w:spacing w:val="-1"/>
          <w:sz w:val="20"/>
        </w:rPr>
        <w:t> </w:t>
      </w:r>
      <w:r>
        <w:rPr>
          <w:sz w:val="20"/>
        </w:rPr>
        <w:t>examining</w:t>
      </w:r>
      <w:r>
        <w:rPr>
          <w:spacing w:val="-1"/>
          <w:sz w:val="20"/>
        </w:rPr>
        <w:t> </w:t>
      </w:r>
      <w:r>
        <w:rPr>
          <w:sz w:val="20"/>
        </w:rPr>
        <w:t>the</w:t>
      </w:r>
      <w:r>
        <w:rPr>
          <w:spacing w:val="-1"/>
          <w:sz w:val="20"/>
        </w:rPr>
        <w:t> </w:t>
      </w:r>
      <w:r>
        <w:rPr>
          <w:sz w:val="20"/>
        </w:rPr>
        <w:t>contract</w:t>
      </w:r>
      <w:r>
        <w:rPr>
          <w:spacing w:val="-1"/>
          <w:sz w:val="20"/>
        </w:rPr>
        <w:t> </w:t>
      </w:r>
      <w:r>
        <w:rPr>
          <w:sz w:val="20"/>
        </w:rPr>
        <w:t>and</w:t>
      </w:r>
      <w:r>
        <w:rPr>
          <w:spacing w:val="-1"/>
          <w:sz w:val="20"/>
        </w:rPr>
        <w:t> </w:t>
      </w:r>
      <w:r>
        <w:rPr>
          <w:sz w:val="20"/>
        </w:rPr>
        <w:t>the</w:t>
      </w:r>
      <w:r>
        <w:rPr>
          <w:spacing w:val="-1"/>
          <w:sz w:val="20"/>
        </w:rPr>
        <w:t> </w:t>
      </w:r>
      <w:r>
        <w:rPr>
          <w:sz w:val="20"/>
        </w:rPr>
        <w:t>commercial</w:t>
      </w:r>
      <w:r>
        <w:rPr>
          <w:spacing w:val="-1"/>
          <w:sz w:val="20"/>
        </w:rPr>
        <w:t> </w:t>
      </w:r>
      <w:r>
        <w:rPr>
          <w:sz w:val="20"/>
        </w:rPr>
        <w:t>background,</w:t>
      </w:r>
      <w:r>
        <w:rPr>
          <w:spacing w:val="-1"/>
          <w:sz w:val="20"/>
        </w:rPr>
        <w:t> </w:t>
      </w:r>
      <w:r>
        <w:rPr>
          <w:sz w:val="20"/>
        </w:rPr>
        <w:t>decides</w:t>
      </w:r>
      <w:r>
        <w:rPr>
          <w:spacing w:val="-1"/>
          <w:sz w:val="20"/>
        </w:rPr>
        <w:t> </w:t>
      </w:r>
      <w:r>
        <w:rPr>
          <w:sz w:val="20"/>
        </w:rPr>
        <w:t>that the standard approach would not reflect the expectation or intention reasonably to be imputed</w:t>
      </w:r>
      <w:r>
        <w:rPr>
          <w:spacing w:val="40"/>
          <w:sz w:val="20"/>
        </w:rPr>
        <w:t> </w:t>
      </w:r>
      <w:r>
        <w:rPr>
          <w:sz w:val="20"/>
        </w:rPr>
        <w:t>to the parties” (at [43])). See also </w:t>
      </w:r>
      <w:r>
        <w:rPr>
          <w:rFonts w:ascii="Arial" w:hAnsi="Arial"/>
          <w:i/>
          <w:sz w:val="20"/>
        </w:rPr>
        <w:t>Borealis AB v Geogas Trading SA [2010] EWHC 2789 (Comm), [2011] 1 Lloyd’s Rep. 482 </w:t>
      </w:r>
      <w:r>
        <w:rPr>
          <w:sz w:val="20"/>
        </w:rPr>
        <w:t>at [48]; </w:t>
      </w:r>
      <w:r>
        <w:rPr>
          <w:rFonts w:ascii="Arial" w:hAnsi="Arial"/>
          <w:i/>
          <w:sz w:val="20"/>
        </w:rPr>
        <w:t>Pindell Ltd v AirAsia Berhad (formerly AirAsia SDN BHD)</w:t>
      </w:r>
      <w:r>
        <w:rPr>
          <w:rFonts w:ascii="Arial" w:hAnsi="Arial"/>
          <w:i/>
          <w:spacing w:val="25"/>
          <w:sz w:val="20"/>
        </w:rPr>
        <w:t> </w:t>
      </w:r>
      <w:r>
        <w:rPr>
          <w:rFonts w:ascii="Arial" w:hAnsi="Arial"/>
          <w:i/>
          <w:sz w:val="20"/>
        </w:rPr>
        <w:t>[2010]</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z w:val="20"/>
        </w:rPr>
        <w:t>2516</w:t>
      </w:r>
      <w:r>
        <w:rPr>
          <w:rFonts w:ascii="Arial" w:hAnsi="Arial"/>
          <w:i/>
          <w:spacing w:val="25"/>
          <w:sz w:val="20"/>
        </w:rPr>
        <w:t> </w:t>
      </w:r>
      <w:r>
        <w:rPr>
          <w:rFonts w:ascii="Arial" w:hAnsi="Arial"/>
          <w:i/>
          <w:sz w:val="20"/>
        </w:rPr>
        <w:t>(Comm)</w:t>
      </w:r>
      <w:r>
        <w:rPr>
          <w:rFonts w:ascii="Arial" w:hAnsi="Arial"/>
          <w:i/>
          <w:spacing w:val="25"/>
          <w:sz w:val="20"/>
        </w:rPr>
        <w:t> </w:t>
      </w:r>
      <w:r>
        <w:rPr>
          <w:sz w:val="20"/>
        </w:rPr>
        <w:t>at</w:t>
      </w:r>
      <w:r>
        <w:rPr>
          <w:spacing w:val="25"/>
          <w:sz w:val="20"/>
        </w:rPr>
        <w:t> </w:t>
      </w:r>
      <w:r>
        <w:rPr>
          <w:sz w:val="20"/>
        </w:rPr>
        <w:t>[84];</w:t>
      </w:r>
      <w:r>
        <w:rPr>
          <w:spacing w:val="25"/>
          <w:sz w:val="20"/>
        </w:rPr>
        <w:t> </w:t>
      </w:r>
      <w:r>
        <w:rPr>
          <w:rFonts w:ascii="Arial" w:hAnsi="Arial"/>
          <w:i/>
          <w:sz w:val="20"/>
        </w:rPr>
        <w:t>Saipol</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Inerco</w:t>
      </w:r>
      <w:r>
        <w:rPr>
          <w:rFonts w:ascii="Arial" w:hAnsi="Arial"/>
          <w:i/>
          <w:spacing w:val="25"/>
          <w:sz w:val="20"/>
        </w:rPr>
        <w:t> </w:t>
      </w:r>
      <w:r>
        <w:rPr>
          <w:rFonts w:ascii="Arial" w:hAnsi="Arial"/>
          <w:i/>
          <w:sz w:val="20"/>
        </w:rPr>
        <w:t>Trade</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[2014]</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pacing w:val="-4"/>
          <w:sz w:val="20"/>
        </w:rPr>
        <w:t>2211</w:t>
      </w:r>
    </w:p>
    <w:p>
      <w:pPr>
        <w:pStyle w:val="BodyText"/>
        <w:spacing w:line="235" w:lineRule="auto"/>
        <w:ind w:left="705" w:right="167"/>
        <w:jc w:val="both"/>
      </w:pPr>
      <w:r>
        <w:rPr>
          <w:rFonts w:ascii="Arial" w:hAnsi="Arial"/>
          <w:i/>
        </w:rPr>
        <w:t>(Comm), [2015] 1 Lloyd’s Rep. 26 </w:t>
      </w:r>
      <w:r>
        <w:rPr/>
        <w:t>at [17]. (In the </w:t>
      </w:r>
      <w:r>
        <w:rPr>
          <w:rFonts w:ascii="Arial" w:hAnsi="Arial"/>
          <w:i/>
        </w:rPr>
        <w:t>AirAsia Berhad </w:t>
      </w:r>
      <w:r>
        <w:rPr/>
        <w:t>case Tomlinson J. would </w:t>
      </w:r>
      <w:r>
        <w:rPr/>
        <w:t>have been prepared to find that was not was not a type of loss for which the lessees assumed responsibility </w:t>
      </w:r>
      <w:r>
        <w:rPr>
          <w:rFonts w:ascii="Arial" w:hAnsi="Arial"/>
          <w:i/>
        </w:rPr>
        <w:t>([2010] EWHC 2516 (Comm) </w:t>
      </w:r>
      <w:r>
        <w:rPr/>
        <w:t>at [87]); but the ground for his decision was that it was not sufficiently likely that a 20-year-old aircraft would be sold on terms that gave such a short window for delivery for the lessees to be liable for loss of the sale (at [86])) In </w:t>
      </w:r>
      <w:r>
        <w:rPr>
          <w:rFonts w:ascii="Arial" w:hAnsi="Arial"/>
          <w:i/>
        </w:rPr>
        <w:t>John</w:t>
      </w:r>
      <w:r>
        <w:rPr>
          <w:rFonts w:ascii="Arial" w:hAnsi="Arial"/>
          <w:i/>
          <w:spacing w:val="40"/>
        </w:rPr>
        <w:t> </w:t>
      </w:r>
      <w:r>
        <w:rPr>
          <w:rFonts w:ascii="Arial" w:hAnsi="Arial"/>
          <w:i/>
        </w:rPr>
        <w:t>Grimes Partnership Ltd v Gubbins [2013] EWCA Civ 37, [2013] B.L.R. 126 </w:t>
      </w:r>
      <w:r>
        <w:rPr/>
        <w:t>at [24], Sir David Keene said that he agreed with Toulson L.J’s statement in</w:t>
      </w:r>
      <w:r>
        <w:rPr>
          <w:spacing w:val="-1"/>
        </w:rPr>
        <w:t> </w:t>
      </w:r>
      <w:r>
        <w:rPr>
          <w:rFonts w:ascii="Arial" w:hAnsi="Arial"/>
          <w:i/>
        </w:rPr>
        <w:t>Supershield </w:t>
      </w:r>
      <w:r>
        <w:rPr/>
        <w:t>quoted above but would put it in different words: “If there is no express term dealing with what types of losses a party is accepting potential liability for if he breaks the contract, then the law in effect implies a term to determine the answer. Normally, there is an implied term accepting responsibility for the types</w:t>
      </w:r>
      <w:r>
        <w:rPr>
          <w:spacing w:val="40"/>
        </w:rPr>
        <w:t> </w:t>
      </w:r>
      <w:r>
        <w:rPr/>
        <w:t>of losses which can reasonably be foreseen at the time of contract to be not unlikely to result if the</w:t>
      </w:r>
      <w:r>
        <w:rPr>
          <w:spacing w:val="-1"/>
        </w:rPr>
        <w:t> </w:t>
      </w:r>
      <w:r>
        <w:rPr/>
        <w:t>contract</w:t>
      </w:r>
      <w:r>
        <w:rPr>
          <w:spacing w:val="-1"/>
        </w:rPr>
        <w:t> </w:t>
      </w:r>
      <w:r>
        <w:rPr/>
        <w:t>is</w:t>
      </w:r>
      <w:r>
        <w:rPr>
          <w:spacing w:val="-1"/>
        </w:rPr>
        <w:t> </w:t>
      </w:r>
      <w:r>
        <w:rPr/>
        <w:t>broken.</w:t>
      </w:r>
      <w:r>
        <w:rPr>
          <w:spacing w:val="-1"/>
        </w:rPr>
        <w:t> </w:t>
      </w:r>
      <w:r>
        <w:rPr/>
        <w:t>But</w:t>
      </w:r>
      <w:r>
        <w:rPr>
          <w:spacing w:val="-1"/>
        </w:rPr>
        <w:t> </w:t>
      </w:r>
      <w:r>
        <w:rPr/>
        <w:t>if</w:t>
      </w:r>
      <w:r>
        <w:rPr>
          <w:spacing w:val="-1"/>
        </w:rPr>
        <w:t> </w:t>
      </w:r>
      <w:r>
        <w:rPr/>
        <w:t>there</w:t>
      </w:r>
      <w:r>
        <w:rPr>
          <w:spacing w:val="-1"/>
        </w:rPr>
        <w:t> </w:t>
      </w:r>
      <w:r>
        <w:rPr/>
        <w:t>is</w:t>
      </w:r>
      <w:r>
        <w:rPr>
          <w:spacing w:val="-1"/>
        </w:rPr>
        <w:t> </w:t>
      </w:r>
      <w:r>
        <w:rPr/>
        <w:t>evidence</w:t>
      </w:r>
      <w:r>
        <w:rPr>
          <w:spacing w:val="-1"/>
        </w:rPr>
        <w:t> </w:t>
      </w:r>
      <w:r>
        <w:rPr/>
        <w:t>in</w:t>
      </w:r>
      <w:r>
        <w:rPr>
          <w:spacing w:val="-1"/>
        </w:rPr>
        <w:t> </w:t>
      </w:r>
      <w:r>
        <w:rPr/>
        <w:t>a</w:t>
      </w:r>
      <w:r>
        <w:rPr>
          <w:spacing w:val="-1"/>
        </w:rPr>
        <w:t> </w:t>
      </w:r>
      <w:r>
        <w:rPr/>
        <w:t>particular</w:t>
      </w:r>
      <w:r>
        <w:rPr>
          <w:spacing w:val="-1"/>
        </w:rPr>
        <w:t> </w:t>
      </w:r>
      <w:r>
        <w:rPr/>
        <w:t>case</w:t>
      </w:r>
      <w:r>
        <w:rPr>
          <w:spacing w:val="-1"/>
        </w:rPr>
        <w:t> </w:t>
      </w:r>
      <w:r>
        <w:rPr/>
        <w:t>that</w:t>
      </w:r>
      <w:r>
        <w:rPr>
          <w:spacing w:val="-1"/>
        </w:rPr>
        <w:t> </w:t>
      </w:r>
      <w:r>
        <w:rPr/>
        <w:t>the</w:t>
      </w:r>
      <w:r>
        <w:rPr>
          <w:spacing w:val="-1"/>
        </w:rPr>
        <w:t> </w:t>
      </w:r>
      <w:r>
        <w:rPr/>
        <w:t>nature</w:t>
      </w:r>
      <w:r>
        <w:rPr>
          <w:spacing w:val="-1"/>
        </w:rPr>
        <w:t> </w:t>
      </w:r>
      <w:r>
        <w:rPr/>
        <w:t>of</w:t>
      </w:r>
      <w:r>
        <w:rPr>
          <w:spacing w:val="-1"/>
        </w:rPr>
        <w:t> </w:t>
      </w:r>
      <w:r>
        <w:rPr/>
        <w:t>the</w:t>
      </w:r>
      <w:r>
        <w:rPr>
          <w:spacing w:val="-1"/>
        </w:rPr>
        <w:t> </w:t>
      </w:r>
      <w:r>
        <w:rPr/>
        <w:t>contract and the commercial background, or indeed other relevant special circumstances, render that implied assumption of responsibility inappropriate for a type of loss, then the contract-breaker escapes liability.”</w:t>
      </w:r>
    </w:p>
    <w:p>
      <w:pPr>
        <w:pStyle w:val="BodyText"/>
        <w:tabs>
          <w:tab w:pos="705" w:val="left" w:leader="none"/>
        </w:tabs>
        <w:spacing w:before="226"/>
        <w:ind w:left="165"/>
      </w:pPr>
      <w:bookmarkStart w:name="_bookmark1454" w:id="1456"/>
      <w:bookmarkEnd w:id="1456"/>
      <w:r>
        <w:rPr/>
      </w:r>
      <w:hyperlink w:history="true" w:anchor="_bookmark1396">
        <w:r>
          <w:rPr>
            <w:color w:val="005DA1"/>
            <w:spacing w:val="-4"/>
            <w:position w:val="5"/>
            <w:sz w:val="14"/>
            <w:u w:val="single" w:color="005DA1"/>
          </w:rPr>
          <w:t>768</w:t>
        </w:r>
      </w:hyperlink>
      <w:r>
        <w:rPr>
          <w:spacing w:val="-4"/>
          <w:position w:val="5"/>
          <w:sz w:val="14"/>
        </w:rPr>
        <w:t>.</w:t>
      </w:r>
      <w:r>
        <w:rPr>
          <w:position w:val="5"/>
          <w:sz w:val="14"/>
        </w:rPr>
        <w:tab/>
      </w:r>
      <w:r>
        <w:rPr/>
        <w:t>See</w:t>
      </w:r>
      <w:r>
        <w:rPr>
          <w:spacing w:val="-2"/>
        </w:rPr>
        <w:t> </w:t>
      </w:r>
      <w:r>
        <w:rPr/>
        <w:t>above, para.26-</w:t>
      </w:r>
      <w:r>
        <w:rPr>
          <w:spacing w:val="-4"/>
        </w:rPr>
        <w:t>120.</w:t>
      </w:r>
    </w:p>
    <w:p>
      <w:pPr>
        <w:pStyle w:val="BodyText"/>
        <w:spacing w:before="5"/>
      </w:pPr>
    </w:p>
    <w:p>
      <w:pPr>
        <w:tabs>
          <w:tab w:pos="705" w:val="left" w:leader="none"/>
        </w:tabs>
        <w:spacing w:before="0"/>
        <w:ind w:left="165" w:right="0" w:firstLine="0"/>
        <w:jc w:val="left"/>
        <w:rPr>
          <w:sz w:val="20"/>
        </w:rPr>
      </w:pPr>
      <w:bookmarkStart w:name="_bookmark1455" w:id="1457"/>
      <w:bookmarkEnd w:id="1457"/>
      <w:r>
        <w:rPr/>
      </w:r>
      <w:hyperlink w:history="true" w:anchor="_bookmark1397">
        <w:r>
          <w:rPr>
            <w:color w:val="005DA1"/>
            <w:spacing w:val="-4"/>
            <w:position w:val="5"/>
            <w:sz w:val="14"/>
            <w:u w:val="single" w:color="005DA1"/>
          </w:rPr>
          <w:t>769</w:t>
        </w:r>
      </w:hyperlink>
      <w:r>
        <w:rPr>
          <w:spacing w:val="-4"/>
          <w:position w:val="5"/>
          <w:sz w:val="14"/>
        </w:rPr>
        <w:t>.</w:t>
      </w:r>
      <w:r>
        <w:rPr>
          <w:position w:val="5"/>
          <w:sz w:val="14"/>
        </w:rPr>
        <w:tab/>
      </w:r>
      <w:r>
        <w:rPr>
          <w:rFonts w:ascii="Arial" w:hAnsi="Arial"/>
          <w:i/>
          <w:sz w:val="20"/>
        </w:rPr>
        <w:t>[2010] EWCA Civ 7, [2010] 1 Lloyd’s Rep. 349</w:t>
      </w:r>
      <w:r>
        <w:rPr>
          <w:rFonts w:ascii="Arial" w:hAnsi="Arial"/>
          <w:i/>
          <w:spacing w:val="-1"/>
          <w:sz w:val="20"/>
        </w:rPr>
        <w:t> </w:t>
      </w:r>
      <w:r>
        <w:rPr>
          <w:sz w:val="20"/>
        </w:rPr>
        <w:t>at </w:t>
      </w:r>
      <w:r>
        <w:rPr>
          <w:spacing w:val="-2"/>
          <w:sz w:val="20"/>
        </w:rPr>
        <w:t>[43].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position w:val="11"/>
          <w:sz w:val="12"/>
        </w:rPr>
      </w:pPr>
      <w:bookmarkStart w:name="_bookmark1456" w:id="1458"/>
      <w:bookmarkEnd w:id="1458"/>
      <w:r>
        <w:rPr/>
      </w:r>
      <w:r>
        <w:rPr>
          <w:rFonts w:ascii="Arial"/>
          <w:b/>
          <w:sz w:val="24"/>
        </w:rPr>
        <w:t>Section 7. - Remoteness of Damage and Assumption of Responsibility </w:t>
      </w:r>
      <w:r>
        <w:rPr>
          <w:rFonts w:ascii="Arial"/>
          <w:b/>
          <w:color w:val="005DA1"/>
          <w:spacing w:val="-5"/>
          <w:position w:val="11"/>
          <w:sz w:val="12"/>
          <w:u w:val="single" w:color="005DA1"/>
        </w:rPr>
        <w:t>604</w:t>
      </w:r>
    </w:p>
    <w:p>
      <w:pPr>
        <w:spacing w:before="194"/>
        <w:ind w:left="824" w:right="0" w:firstLine="0"/>
        <w:jc w:val="left"/>
        <w:rPr>
          <w:rFonts w:ascii="Arial"/>
          <w:b/>
          <w:sz w:val="24"/>
        </w:rPr>
      </w:pPr>
      <w:r>
        <w:rPr>
          <w:rFonts w:ascii="Arial"/>
          <w:b/>
          <w:sz w:val="24"/>
        </w:rPr>
        <w:t>(d) - Illustrations of Remoteness and Responsibility: Loss of </w:t>
      </w:r>
      <w:r>
        <w:rPr>
          <w:rFonts w:ascii="Arial"/>
          <w:b/>
          <w:spacing w:val="-2"/>
          <w:sz w:val="24"/>
        </w:rPr>
        <w:t>Profits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Seller’s liability for loss of </w:t>
      </w:r>
      <w:r>
        <w:rPr>
          <w:rFonts w:ascii="Arial" w:hAnsi="Arial"/>
          <w:b/>
          <w:spacing w:val="-2"/>
          <w:sz w:val="18"/>
        </w:rPr>
        <w:t>profits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135</w:t>
      </w:r>
    </w:p>
    <w:p>
      <w:pPr>
        <w:pStyle w:val="BodyText"/>
        <w:spacing w:line="235" w:lineRule="auto" w:before="202"/>
        <w:ind w:left="164" w:right="167"/>
        <w:jc w:val="both"/>
      </w:pPr>
      <w:r>
        <w:rPr/>
        <w:t>The general principles of remoteness of damage in contract, as qualified by the notion of </w:t>
      </w:r>
      <w:r>
        <w:rPr/>
        <w:t>assumption </w:t>
      </w:r>
      <w:bookmarkStart w:name="_bookmark1457" w:id="1459"/>
      <w:bookmarkEnd w:id="1459"/>
      <w:r>
        <w:rPr/>
        <w:t>of</w:t>
      </w:r>
      <w:r>
        <w:rPr>
          <w:spacing w:val="-1"/>
        </w:rPr>
        <w:t> </w:t>
      </w:r>
      <w:r>
        <w:rPr/>
        <w:t>responsibility</w:t>
      </w:r>
      <w:r>
        <w:rPr>
          <w:spacing w:val="-1"/>
        </w:rPr>
        <w:t> </w:t>
      </w:r>
      <w:r>
        <w:rPr/>
        <w:t>described</w:t>
      </w:r>
      <w:r>
        <w:rPr>
          <w:spacing w:val="-1"/>
        </w:rPr>
        <w:t> </w:t>
      </w:r>
      <w:r>
        <w:rPr/>
        <w:t>above,</w:t>
      </w:r>
      <w:r>
        <w:rPr>
          <w:spacing w:val="-1"/>
        </w:rPr>
        <w:t> </w:t>
      </w:r>
      <w:r>
        <w:rPr/>
        <w:t>may</w:t>
      </w:r>
      <w:r>
        <w:rPr>
          <w:spacing w:val="-1"/>
        </w:rPr>
        <w:t> </w:t>
      </w:r>
      <w:r>
        <w:rPr/>
        <w:t>be</w:t>
      </w:r>
      <w:r>
        <w:rPr>
          <w:spacing w:val="-1"/>
        </w:rPr>
        <w:t> </w:t>
      </w:r>
      <w:r>
        <w:rPr/>
        <w:t>illustrated</w:t>
      </w:r>
      <w:r>
        <w:rPr>
          <w:spacing w:val="-1"/>
        </w:rPr>
        <w:t> </w:t>
      </w:r>
      <w:r>
        <w:rPr/>
        <w:t>by</w:t>
      </w:r>
      <w:r>
        <w:rPr>
          <w:spacing w:val="-1"/>
        </w:rPr>
        <w:t> </w:t>
      </w:r>
      <w:r>
        <w:rPr/>
        <w:t>cases</w:t>
      </w:r>
      <w:r>
        <w:rPr>
          <w:spacing w:val="-1"/>
        </w:rPr>
        <w:t> </w:t>
      </w:r>
      <w:r>
        <w:rPr/>
        <w:t>where</w:t>
      </w:r>
      <w:r>
        <w:rPr>
          <w:spacing w:val="-1"/>
        </w:rPr>
        <w:t> </w:t>
      </w:r>
      <w:r>
        <w:rPr/>
        <w:t>the</w:t>
      </w:r>
      <w:r>
        <w:rPr>
          <w:spacing w:val="-1"/>
        </w:rPr>
        <w:t> </w:t>
      </w:r>
      <w:r>
        <w:rPr/>
        <w:t>claimant</w:t>
      </w:r>
      <w:r>
        <w:rPr>
          <w:spacing w:val="-1"/>
        </w:rPr>
        <w:t> </w:t>
      </w:r>
      <w:r>
        <w:rPr/>
        <w:t>has</w:t>
      </w:r>
      <w:r>
        <w:rPr>
          <w:spacing w:val="-1"/>
        </w:rPr>
        <w:t> </w:t>
      </w:r>
      <w:r>
        <w:rPr/>
        <w:t>claimed</w:t>
      </w:r>
      <w:r>
        <w:rPr>
          <w:spacing w:val="-1"/>
        </w:rPr>
        <w:t> </w:t>
      </w:r>
      <w:r>
        <w:rPr/>
        <w:t>for</w:t>
      </w:r>
      <w:r>
        <w:rPr>
          <w:spacing w:val="-1"/>
        </w:rPr>
        <w:t> </w:t>
      </w:r>
      <w:r>
        <w:rPr/>
        <w:t>loss </w:t>
      </w:r>
      <w:bookmarkStart w:name="_bookmark1458" w:id="1460"/>
      <w:bookmarkEnd w:id="1460"/>
      <w:r>
        <w:rPr/>
        <w:t>of</w:t>
      </w:r>
      <w:r>
        <w:rPr/>
        <w:t> profits as a result </w:t>
      </w:r>
      <w:r>
        <w:rPr>
          <w:color w:val="005DA1"/>
          <w:u w:val="single" w:color="005DA1"/>
          <w:vertAlign w:val="superscript"/>
        </w:rPr>
        <w:t>770</w:t>
      </w:r>
      <w:r>
        <w:rPr>
          <w:color w:val="005DA1"/>
          <w:vertAlign w:val="baseline"/>
        </w:rPr>
        <w:t> </w:t>
      </w:r>
      <w:r>
        <w:rPr>
          <w:vertAlign w:val="baseline"/>
        </w:rPr>
        <w:t>of the defendant’s breach of contract. </w:t>
      </w:r>
      <w:r>
        <w:rPr>
          <w:color w:val="005DA1"/>
          <w:u w:val="single" w:color="005DA1"/>
          <w:vertAlign w:val="superscript"/>
        </w:rPr>
        <w:t>771</w:t>
      </w:r>
      <w:r>
        <w:rPr>
          <w:color w:val="005DA1"/>
          <w:vertAlign w:val="baseline"/>
        </w:rPr>
        <w:t> </w:t>
      </w:r>
      <w:r>
        <w:rPr>
          <w:vertAlign w:val="baseline"/>
        </w:rPr>
        <w:t>A frequent instance is the delayed delivery of a profit-earning chattel. </w:t>
      </w:r>
      <w:r>
        <w:rPr>
          <w:color w:val="005DA1"/>
          <w:u w:val="single" w:color="005DA1"/>
          <w:vertAlign w:val="superscript"/>
        </w:rPr>
        <w:t>772</w:t>
      </w:r>
      <w:r>
        <w:rPr>
          <w:color w:val="005DA1"/>
          <w:vertAlign w:val="baseline"/>
        </w:rPr>
        <w:t> </w:t>
      </w:r>
      <w:r>
        <w:rPr>
          <w:vertAlign w:val="baseline"/>
        </w:rPr>
        <w:t>In </w:t>
      </w:r>
      <w:r>
        <w:rPr>
          <w:rFonts w:ascii="Arial" w:hAnsi="Arial"/>
          <w:i/>
          <w:vertAlign w:val="baseline"/>
        </w:rPr>
        <w:t>Victoria Laundry (Windsor) Ltd v Newman Industries Ltd </w:t>
      </w:r>
      <w:r>
        <w:rPr>
          <w:color w:val="005DA1"/>
          <w:u w:val="single" w:color="005DA1"/>
          <w:vertAlign w:val="superscript"/>
        </w:rPr>
        <w:t>773</w:t>
      </w:r>
      <w:r>
        <w:rPr>
          <w:color w:val="005DA1"/>
          <w:vertAlign w:val="baseline"/>
        </w:rPr>
        <w:t> </w:t>
      </w:r>
      <w:r>
        <w:rPr>
          <w:vertAlign w:val="baseline"/>
        </w:rPr>
        <w:t>the plaintiffs agreed to buy a large boiler from the defendants, and a date was fixed for delivery. The plaintiffs sued for damages for delay in delivery, and claimed loss of profits in respect of:</w:t>
      </w:r>
    </w:p>
    <w:p>
      <w:pPr>
        <w:pStyle w:val="BodyText"/>
      </w:pPr>
    </w:p>
    <w:p>
      <w:pPr>
        <w:pStyle w:val="BodyText"/>
        <w:spacing w:before="194"/>
      </w:pPr>
    </w:p>
    <w:p>
      <w:pPr>
        <w:pStyle w:val="BodyText"/>
        <w:ind w:left="165"/>
      </w:pPr>
      <w:r>
        <w:rPr>
          <w:spacing w:val="-5"/>
        </w:rPr>
        <w:t>(1)</w:t>
      </w:r>
    </w:p>
    <w:p>
      <w:pPr>
        <w:pStyle w:val="BodyText"/>
        <w:spacing w:before="110"/>
        <w:ind w:left="645"/>
      </w:pPr>
      <w:r>
        <w:rPr/>
        <w:t>the large number of new customers they could have taken on had the boiler been installed; </w:t>
      </w:r>
      <w:r>
        <w:rPr>
          <w:spacing w:val="-5"/>
        </w:rPr>
        <w:t>and</w:t>
      </w:r>
    </w:p>
    <w:p>
      <w:pPr>
        <w:pStyle w:val="BodyText"/>
      </w:pPr>
    </w:p>
    <w:p>
      <w:pPr>
        <w:pStyle w:val="BodyText"/>
        <w:spacing w:before="35"/>
      </w:pPr>
    </w:p>
    <w:p>
      <w:pPr>
        <w:pStyle w:val="BodyText"/>
        <w:ind w:left="165"/>
      </w:pPr>
      <w:r>
        <w:rPr>
          <w:spacing w:val="-5"/>
        </w:rPr>
        <w:t>(2)</w:t>
      </w:r>
    </w:p>
    <w:p>
      <w:pPr>
        <w:pStyle w:val="BodyText"/>
        <w:spacing w:line="235" w:lineRule="auto" w:before="114"/>
        <w:ind w:left="645"/>
      </w:pPr>
      <w:r>
        <w:rPr/>
        <w:t>the</w:t>
      </w:r>
      <w:r>
        <w:rPr>
          <w:spacing w:val="23"/>
        </w:rPr>
        <w:t> </w:t>
      </w:r>
      <w:r>
        <w:rPr/>
        <w:t>amount</w:t>
      </w:r>
      <w:r>
        <w:rPr>
          <w:spacing w:val="23"/>
        </w:rPr>
        <w:t> </w:t>
      </w:r>
      <w:r>
        <w:rPr/>
        <w:t>which</w:t>
      </w:r>
      <w:r>
        <w:rPr>
          <w:spacing w:val="23"/>
        </w:rPr>
        <w:t> </w:t>
      </w:r>
      <w:r>
        <w:rPr/>
        <w:t>they</w:t>
      </w:r>
      <w:r>
        <w:rPr>
          <w:spacing w:val="23"/>
        </w:rPr>
        <w:t> </w:t>
      </w:r>
      <w:r>
        <w:rPr/>
        <w:t>could</w:t>
      </w:r>
      <w:r>
        <w:rPr>
          <w:spacing w:val="23"/>
        </w:rPr>
        <w:t> </w:t>
      </w:r>
      <w:r>
        <w:rPr/>
        <w:t>have</w:t>
      </w:r>
      <w:r>
        <w:rPr>
          <w:spacing w:val="23"/>
        </w:rPr>
        <w:t> </w:t>
      </w:r>
      <w:r>
        <w:rPr/>
        <w:t>earned</w:t>
      </w:r>
      <w:r>
        <w:rPr>
          <w:spacing w:val="23"/>
        </w:rPr>
        <w:t> </w:t>
      </w:r>
      <w:r>
        <w:rPr/>
        <w:t>under</w:t>
      </w:r>
      <w:r>
        <w:rPr>
          <w:spacing w:val="23"/>
        </w:rPr>
        <w:t> </w:t>
      </w:r>
      <w:r>
        <w:rPr/>
        <w:t>special</w:t>
      </w:r>
      <w:r>
        <w:rPr>
          <w:spacing w:val="23"/>
        </w:rPr>
        <w:t> </w:t>
      </w:r>
      <w:r>
        <w:rPr/>
        <w:t>dyeing</w:t>
      </w:r>
      <w:r>
        <w:rPr>
          <w:spacing w:val="23"/>
        </w:rPr>
        <w:t> </w:t>
      </w:r>
      <w:r>
        <w:rPr/>
        <w:t>contracts</w:t>
      </w:r>
      <w:r>
        <w:rPr>
          <w:spacing w:val="23"/>
        </w:rPr>
        <w:t> </w:t>
      </w:r>
      <w:r>
        <w:rPr/>
        <w:t>with</w:t>
      </w:r>
      <w:r>
        <w:rPr>
          <w:spacing w:val="23"/>
        </w:rPr>
        <w:t> </w:t>
      </w:r>
      <w:r>
        <w:rPr/>
        <w:t>the</w:t>
      </w:r>
      <w:r>
        <w:rPr>
          <w:spacing w:val="23"/>
        </w:rPr>
        <w:t> </w:t>
      </w:r>
      <w:r>
        <w:rPr/>
        <w:t>Ministry</w:t>
      </w:r>
      <w:r>
        <w:rPr>
          <w:spacing w:val="23"/>
        </w:rPr>
        <w:t> </w:t>
      </w:r>
      <w:r>
        <w:rPr/>
        <w:t>of </w:t>
      </w:r>
      <w:r>
        <w:rPr>
          <w:spacing w:val="-2"/>
        </w:rPr>
        <w:t>Supply.</w:t>
      </w:r>
    </w:p>
    <w:p>
      <w:pPr>
        <w:pStyle w:val="BodyText"/>
        <w:spacing w:before="209"/>
      </w:pPr>
    </w:p>
    <w:p>
      <w:pPr>
        <w:pStyle w:val="BodyText"/>
        <w:spacing w:line="235" w:lineRule="auto"/>
        <w:ind w:left="164" w:right="167"/>
        <w:jc w:val="both"/>
      </w:pPr>
      <w:r>
        <w:rPr/>
        <w:t>The defendants knew that the plaintiffs were launderers and that they wanted the boiler for immediate use; the Court of Appeal held that with such knowledge the reasonable man could have foreseen </w:t>
      </w:r>
      <w:r>
        <w:rPr/>
        <w:t>that delay in delivery would lead to some loss of profits, though he would not have foreseen the loss of </w:t>
      </w:r>
      <w:bookmarkStart w:name="_bookmark1459" w:id="1461"/>
      <w:bookmarkEnd w:id="1461"/>
      <w:r>
        <w:rPr/>
        <w:t>profits</w:t>
      </w:r>
      <w:r>
        <w:rPr>
          <w:spacing w:val="-2"/>
        </w:rPr>
        <w:t> </w:t>
      </w:r>
      <w:r>
        <w:rPr/>
        <w:t>under</w:t>
      </w:r>
      <w:r>
        <w:rPr>
          <w:spacing w:val="-2"/>
        </w:rPr>
        <w:t> </w:t>
      </w:r>
      <w:r>
        <w:rPr/>
        <w:t>the</w:t>
      </w:r>
      <w:r>
        <w:rPr>
          <w:spacing w:val="-2"/>
        </w:rPr>
        <w:t> </w:t>
      </w:r>
      <w:r>
        <w:rPr/>
        <w:t>special</w:t>
      </w:r>
      <w:r>
        <w:rPr>
          <w:spacing w:val="-2"/>
        </w:rPr>
        <w:t> </w:t>
      </w:r>
      <w:r>
        <w:rPr/>
        <w:t>contracts</w:t>
      </w:r>
      <w:r>
        <w:rPr>
          <w:spacing w:val="-2"/>
        </w:rPr>
        <w:t> </w:t>
      </w:r>
      <w:r>
        <w:rPr/>
        <w:t>with</w:t>
      </w:r>
      <w:r>
        <w:rPr>
          <w:spacing w:val="-2"/>
        </w:rPr>
        <w:t> </w:t>
      </w:r>
      <w:r>
        <w:rPr/>
        <w:t>the</w:t>
      </w:r>
      <w:r>
        <w:rPr>
          <w:spacing w:val="-2"/>
        </w:rPr>
        <w:t> </w:t>
      </w:r>
      <w:r>
        <w:rPr/>
        <w:t>Ministry,</w:t>
      </w:r>
      <w:r>
        <w:rPr>
          <w:spacing w:val="-2"/>
        </w:rPr>
        <w:t> </w:t>
      </w:r>
      <w:r>
        <w:rPr/>
        <w:t>since</w:t>
      </w:r>
      <w:r>
        <w:rPr>
          <w:spacing w:val="-2"/>
        </w:rPr>
        <w:t> </w:t>
      </w:r>
      <w:r>
        <w:rPr/>
        <w:t>these</w:t>
      </w:r>
      <w:r>
        <w:rPr>
          <w:spacing w:val="-2"/>
        </w:rPr>
        <w:t> </w:t>
      </w:r>
      <w:r>
        <w:rPr/>
        <w:t>were</w:t>
      </w:r>
      <w:r>
        <w:rPr>
          <w:spacing w:val="-2"/>
        </w:rPr>
        <w:t> </w:t>
      </w:r>
      <w:r>
        <w:rPr/>
        <w:t>special</w:t>
      </w:r>
      <w:r>
        <w:rPr>
          <w:spacing w:val="-2"/>
        </w:rPr>
        <w:t> </w:t>
      </w:r>
      <w:r>
        <w:rPr/>
        <w:t>circumstances</w:t>
      </w:r>
      <w:r>
        <w:rPr>
          <w:spacing w:val="-2"/>
        </w:rPr>
        <w:t> </w:t>
      </w:r>
      <w:r>
        <w:rPr/>
        <w:t>not</w:t>
      </w:r>
      <w:r>
        <w:rPr>
          <w:spacing w:val="-2"/>
        </w:rPr>
        <w:t> </w:t>
      </w:r>
      <w:r>
        <w:rPr/>
        <w:t>within the defendant’s actual knowledge. </w:t>
      </w:r>
      <w:r>
        <w:rPr>
          <w:color w:val="005DA1"/>
          <w:u w:val="single" w:color="005DA1"/>
          <w:vertAlign w:val="superscript"/>
        </w:rPr>
        <w:t>774</w:t>
      </w:r>
      <w:r>
        <w:rPr>
          <w:color w:val="005DA1"/>
          <w:vertAlign w:val="baseline"/>
        </w:rPr>
        <w:t> </w:t>
      </w:r>
      <w:r>
        <w:rPr>
          <w:vertAlign w:val="baseline"/>
        </w:rPr>
        <w:t>Hence the plaintiff could not recover all of the actual loss of </w:t>
      </w:r>
      <w:bookmarkStart w:name="_bookmark1460" w:id="1462"/>
      <w:bookmarkEnd w:id="1462"/>
      <w:r>
        <w:rPr>
          <w:vertAlign w:val="baseline"/>
        </w:rPr>
        <w:t>profits</w:t>
      </w:r>
      <w:r>
        <w:rPr>
          <w:vertAlign w:val="baseline"/>
        </w:rPr>
        <w:t> which he had incurred under these contracts, but only the normal loss of business in respect of </w:t>
      </w:r>
      <w:bookmarkStart w:name="_bookmark1461" w:id="1463"/>
      <w:bookmarkEnd w:id="1463"/>
      <w:r>
        <w:rPr>
          <w:vertAlign w:val="baseline"/>
        </w:rPr>
        <w:t>laundering</w:t>
      </w:r>
      <w:r>
        <w:rPr>
          <w:vertAlign w:val="baseline"/>
        </w:rPr>
        <w:t> and dyeing contracts to be reasonably expected. </w:t>
      </w:r>
      <w:r>
        <w:rPr>
          <w:color w:val="005DA1"/>
          <w:u w:val="single" w:color="005DA1"/>
          <w:vertAlign w:val="superscript"/>
        </w:rPr>
        <w:t>775</w:t>
      </w:r>
      <w:r>
        <w:rPr>
          <w:color w:val="005DA1"/>
          <w:vertAlign w:val="baseline"/>
        </w:rPr>
        <w:t> </w:t>
      </w:r>
      <w:r>
        <w:rPr>
          <w:vertAlign w:val="baseline"/>
        </w:rPr>
        <w:t>(It may be noted that the normal level of profit operated as a cap on the amount that could be recovered. </w:t>
      </w:r>
      <w:r>
        <w:rPr>
          <w:color w:val="005DA1"/>
          <w:u w:val="single" w:color="005DA1"/>
          <w:vertAlign w:val="superscript"/>
        </w:rPr>
        <w:t>776</w:t>
      </w:r>
      <w:r>
        <w:rPr>
          <w:vertAlign w:val="baseline"/>
        </w:rPr>
        <w:t>) Other cases support the principle that loss of profits may be awarded where there has been delayed delivery by a seller of a </w:t>
      </w:r>
      <w:bookmarkStart w:name="_bookmark1462" w:id="1464"/>
      <w:bookmarkEnd w:id="1464"/>
      <w:r>
        <w:rPr>
          <w:vertAlign w:val="baseline"/>
        </w:rPr>
        <w:t>profit</w:t>
      </w:r>
      <w:r>
        <w:rPr>
          <w:vertAlign w:val="baseline"/>
        </w:rPr>
        <w:t>-earning chattel where it was within his reasonable contemplation that the buyer would use it to </w:t>
      </w:r>
      <w:bookmarkStart w:name="_bookmark1463" w:id="1465"/>
      <w:bookmarkEnd w:id="1465"/>
      <w:r>
        <w:rPr>
          <w:vertAlign w:val="baseline"/>
        </w:rPr>
        <w:t>make</w:t>
      </w:r>
      <w:r>
        <w:rPr>
          <w:vertAlign w:val="baseline"/>
        </w:rPr>
        <w:t> profits </w:t>
      </w:r>
      <w:r>
        <w:rPr>
          <w:color w:val="005DA1"/>
          <w:u w:val="single" w:color="005DA1"/>
          <w:vertAlign w:val="superscript"/>
        </w:rPr>
        <w:t>777</w:t>
      </w:r>
      <w:r>
        <w:rPr>
          <w:vertAlign w:val="baseline"/>
        </w:rPr>
        <w:t>; or would have resold it at a profit </w:t>
      </w:r>
      <w:r>
        <w:rPr>
          <w:color w:val="005DA1"/>
          <w:u w:val="single" w:color="005DA1"/>
          <w:vertAlign w:val="superscript"/>
        </w:rPr>
        <w:t>778</w:t>
      </w:r>
      <w:r>
        <w:rPr>
          <w:vertAlign w:val="baseline"/>
        </w:rPr>
        <w:t>; or where the profit-earning chattel which was </w:t>
      </w:r>
      <w:bookmarkStart w:name="_bookmark1464" w:id="1466"/>
      <w:bookmarkEnd w:id="1466"/>
      <w:r>
        <w:rPr>
          <w:vertAlign w:val="baseline"/>
        </w:rPr>
        <w:t>delivered</w:t>
      </w:r>
      <w:r>
        <w:rPr>
          <w:spacing w:val="-2"/>
          <w:vertAlign w:val="baseline"/>
        </w:rPr>
        <w:t> </w:t>
      </w:r>
      <w:r>
        <w:rPr>
          <w:vertAlign w:val="baseline"/>
        </w:rPr>
        <w:t>was</w:t>
      </w:r>
      <w:r>
        <w:rPr>
          <w:spacing w:val="-2"/>
          <w:vertAlign w:val="baseline"/>
        </w:rPr>
        <w:t> </w:t>
      </w:r>
      <w:r>
        <w:rPr>
          <w:vertAlign w:val="baseline"/>
        </w:rPr>
        <w:t>defective.</w:t>
      </w:r>
      <w:r>
        <w:rPr>
          <w:spacing w:val="-2"/>
          <w:vertAlign w:val="baseline"/>
        </w:rPr>
        <w:t> </w:t>
      </w:r>
      <w:r>
        <w:rPr>
          <w:color w:val="005DA1"/>
          <w:u w:val="single" w:color="005DA1"/>
          <w:vertAlign w:val="superscript"/>
        </w:rPr>
        <w:t>779</w:t>
      </w:r>
      <w:r>
        <w:rPr>
          <w:color w:val="005DA1"/>
          <w:spacing w:val="-2"/>
          <w:vertAlign w:val="baseline"/>
        </w:rPr>
        <w:t> </w:t>
      </w:r>
      <w:r>
        <w:rPr>
          <w:vertAlign w:val="baseline"/>
        </w:rPr>
        <w:t>However,</w:t>
      </w:r>
      <w:r>
        <w:rPr>
          <w:spacing w:val="-2"/>
          <w:vertAlign w:val="baseline"/>
        </w:rPr>
        <w:t> </w:t>
      </w:r>
      <w:r>
        <w:rPr>
          <w:vertAlign w:val="baseline"/>
        </w:rPr>
        <w:t>these</w:t>
      </w:r>
      <w:r>
        <w:rPr>
          <w:spacing w:val="-2"/>
          <w:vertAlign w:val="baseline"/>
        </w:rPr>
        <w:t> </w:t>
      </w:r>
      <w:r>
        <w:rPr>
          <w:vertAlign w:val="baseline"/>
        </w:rPr>
        <w:t>cases</w:t>
      </w:r>
      <w:r>
        <w:rPr>
          <w:spacing w:val="-2"/>
          <w:vertAlign w:val="baseline"/>
        </w:rPr>
        <w:t> </w:t>
      </w:r>
      <w:r>
        <w:rPr>
          <w:vertAlign w:val="baseline"/>
        </w:rPr>
        <w:t>must</w:t>
      </w:r>
      <w:r>
        <w:rPr>
          <w:spacing w:val="-2"/>
          <w:vertAlign w:val="baseline"/>
        </w:rPr>
        <w:t> </w:t>
      </w:r>
      <w:r>
        <w:rPr>
          <w:vertAlign w:val="baseline"/>
        </w:rPr>
        <w:t>now</w:t>
      </w:r>
      <w:r>
        <w:rPr>
          <w:spacing w:val="-2"/>
          <w:vertAlign w:val="baseline"/>
        </w:rPr>
        <w:t> </w:t>
      </w:r>
      <w:r>
        <w:rPr>
          <w:vertAlign w:val="baseline"/>
        </w:rPr>
        <w:t>be</w:t>
      </w:r>
      <w:r>
        <w:rPr>
          <w:spacing w:val="-2"/>
          <w:vertAlign w:val="baseline"/>
        </w:rPr>
        <w:t> </w:t>
      </w:r>
      <w:r>
        <w:rPr>
          <w:vertAlign w:val="baseline"/>
        </w:rPr>
        <w:t>read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light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recent</w:t>
      </w:r>
      <w:r>
        <w:rPr>
          <w:spacing w:val="-2"/>
          <w:vertAlign w:val="baseline"/>
        </w:rPr>
        <w:t> </w:t>
      </w:r>
      <w:r>
        <w:rPr>
          <w:vertAlign w:val="baseline"/>
        </w:rPr>
        <w:t>decision of the House of Lords in </w:t>
      </w:r>
      <w:r>
        <w:rPr>
          <w:rFonts w:ascii="Arial" w:hAnsi="Arial"/>
          <w:i/>
          <w:vertAlign w:val="baseline"/>
        </w:rPr>
        <w:t>Transfield Shipping Inc v Mercator Shipping Inc (The Achilleas) </w:t>
      </w:r>
      <w:r>
        <w:rPr>
          <w:color w:val="005DA1"/>
          <w:u w:val="single" w:color="005DA1"/>
          <w:vertAlign w:val="superscript"/>
        </w:rPr>
        <w:t>780</w:t>
      </w:r>
      <w:r>
        <w:rPr>
          <w:color w:val="005DA1"/>
          <w:vertAlign w:val="baseline"/>
        </w:rPr>
        <w:t> </w:t>
      </w:r>
      <w:r>
        <w:rPr>
          <w:vertAlign w:val="baseline"/>
        </w:rPr>
        <w:t>that a claimant</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recover</w:t>
      </w:r>
      <w:r>
        <w:rPr>
          <w:spacing w:val="-1"/>
          <w:vertAlign w:val="baseline"/>
        </w:rPr>
        <w:t> </w:t>
      </w:r>
      <w:r>
        <w:rPr>
          <w:vertAlign w:val="baseline"/>
        </w:rPr>
        <w:t>even</w:t>
      </w:r>
      <w:r>
        <w:rPr>
          <w:spacing w:val="-1"/>
          <w:vertAlign w:val="baseline"/>
        </w:rPr>
        <w:t> </w:t>
      </w:r>
      <w:r>
        <w:rPr>
          <w:vertAlign w:val="baseline"/>
        </w:rPr>
        <w:t>losses</w:t>
      </w:r>
      <w:r>
        <w:rPr>
          <w:spacing w:val="-1"/>
          <w:vertAlign w:val="baseline"/>
        </w:rPr>
        <w:t> </w:t>
      </w:r>
      <w:r>
        <w:rPr>
          <w:vertAlign w:val="baseline"/>
        </w:rPr>
        <w:t>that</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unlikely</w:t>
      </w:r>
      <w:r>
        <w:rPr>
          <w:spacing w:val="-1"/>
          <w:vertAlign w:val="baseline"/>
        </w:rPr>
        <w:t> </w:t>
      </w:r>
      <w:r>
        <w:rPr>
          <w:vertAlign w:val="baseline"/>
        </w:rPr>
        <w:t>to</w:t>
      </w:r>
      <w:r>
        <w:rPr>
          <w:spacing w:val="-1"/>
          <w:vertAlign w:val="baseline"/>
        </w:rPr>
        <w:t> </w:t>
      </w:r>
      <w:r>
        <w:rPr>
          <w:vertAlign w:val="baseline"/>
        </w:rPr>
        <w:t>occur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usual</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things</w:t>
      </w:r>
      <w:r>
        <w:rPr>
          <w:spacing w:val="-1"/>
          <w:vertAlign w:val="baseline"/>
        </w:rPr>
        <w:t> </w:t>
      </w:r>
      <w:r>
        <w:rPr>
          <w:vertAlign w:val="baseline"/>
        </w:rPr>
        <w:t>if</w:t>
      </w:r>
      <w:r>
        <w:rPr>
          <w:spacing w:val="-1"/>
          <w:vertAlign w:val="baseline"/>
        </w:rPr>
        <w:t> </w:t>
      </w:r>
      <w:r>
        <w:rPr>
          <w:vertAlign w:val="baseline"/>
        </w:rPr>
        <w:t>the </w:t>
      </w:r>
      <w:bookmarkStart w:name="_bookmark1465" w:id="1467"/>
      <w:bookmarkEnd w:id="1467"/>
      <w:r>
        <w:rPr>
          <w:vertAlign w:val="baseline"/>
        </w:rPr>
        <w:t>defendant</w:t>
      </w:r>
      <w:r>
        <w:rPr>
          <w:vertAlign w:val="baseline"/>
        </w:rPr>
        <w:t> cannot reasonably be regarded as assuming responsibility for losses of the particular kind suffered. </w:t>
      </w:r>
      <w:r>
        <w:rPr>
          <w:color w:val="005DA1"/>
          <w:u w:val="single" w:color="005DA1"/>
          <w:vertAlign w:val="superscript"/>
        </w:rPr>
        <w:t>781</w:t>
      </w:r>
    </w:p>
    <w:p>
      <w:pPr>
        <w:pStyle w:val="BodyText"/>
      </w:pPr>
    </w:p>
    <w:p>
      <w:pPr>
        <w:pStyle w:val="BodyText"/>
        <w:spacing w:before="33"/>
      </w:pPr>
    </w:p>
    <w:p>
      <w:pPr>
        <w:spacing w:before="0"/>
        <w:ind w:left="165" w:right="0" w:firstLine="0"/>
        <w:jc w:val="both"/>
        <w:rPr>
          <w:rFonts w:ascii="Arial" w:hAnsi="Arial"/>
          <w:b/>
          <w:sz w:val="18"/>
        </w:rPr>
      </w:pPr>
      <w:r>
        <w:rPr>
          <w:rFonts w:ascii="Arial" w:hAnsi="Arial"/>
          <w:b/>
          <w:sz w:val="18"/>
        </w:rPr>
        <w:t>Purchaser’s intended use of </w:t>
      </w:r>
      <w:r>
        <w:rPr>
          <w:rFonts w:ascii="Arial" w:hAnsi="Arial"/>
          <w:b/>
          <w:spacing w:val="-4"/>
          <w:sz w:val="18"/>
        </w:rPr>
        <w:t>land</w:t>
      </w:r>
    </w:p>
    <w:p>
      <w:pPr>
        <w:spacing w:after="0"/>
        <w:jc w:val="both"/>
        <w:rPr>
          <w:rFonts w:ascii="Arial" w:hAnsi="Arial"/>
          <w:b/>
          <w:sz w:val="18"/>
        </w:rPr>
        <w:sectPr>
          <w:headerReference w:type="default" r:id="rId37"/>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26-</w:t>
      </w:r>
      <w:r>
        <w:rPr>
          <w:rFonts w:ascii="Arial"/>
          <w:b/>
          <w:spacing w:val="-5"/>
          <w:sz w:val="24"/>
        </w:rPr>
        <w:t>136</w:t>
      </w:r>
    </w:p>
    <w:p>
      <w:pPr>
        <w:pStyle w:val="BodyText"/>
        <w:spacing w:line="235" w:lineRule="auto" w:before="202"/>
        <w:ind w:left="165" w:right="167"/>
        <w:jc w:val="both"/>
      </w:pPr>
      <w:r>
        <w:rPr/>
        <w:t>In a contract to sell land or a leasehold interest in land, “special circumstances are necessary to</w:t>
      </w:r>
      <w:r>
        <w:rPr>
          <w:spacing w:val="80"/>
        </w:rPr>
        <w:t> </w:t>
      </w:r>
      <w:r>
        <w:rPr/>
        <w:t>justify imputing to [the] vendor a knowledge that the purchaser intends to use it in any </w:t>
      </w:r>
      <w:r>
        <w:rPr/>
        <w:t>particular </w:t>
      </w:r>
      <w:bookmarkStart w:name="_bookmark1466" w:id="1468"/>
      <w:bookmarkEnd w:id="1468"/>
      <w:r>
        <w:rPr/>
        <w:t>manner”</w:t>
      </w:r>
      <w:r>
        <w:rPr/>
        <w:t> so as to entitle the purchaser to recover damages for loss of the profit he would have made from that use. </w:t>
      </w:r>
      <w:r>
        <w:rPr>
          <w:color w:val="005DA1"/>
          <w:u w:val="single" w:color="005DA1"/>
          <w:vertAlign w:val="superscript"/>
        </w:rPr>
        <w:t>782</w:t>
      </w:r>
    </w:p>
    <w:p>
      <w:pPr>
        <w:pStyle w:val="BodyText"/>
      </w:pPr>
    </w:p>
    <w:p>
      <w:pPr>
        <w:pStyle w:val="BodyText"/>
        <w:spacing w:before="37"/>
      </w:pPr>
    </w:p>
    <w:p>
      <w:pPr>
        <w:spacing w:before="0"/>
        <w:ind w:left="164" w:right="0" w:firstLine="0"/>
        <w:jc w:val="both"/>
        <w:rPr>
          <w:rFonts w:ascii="Arial" w:hAnsi="Arial"/>
          <w:b/>
          <w:sz w:val="18"/>
        </w:rPr>
      </w:pPr>
      <w:r>
        <w:rPr>
          <w:rFonts w:ascii="Arial" w:hAnsi="Arial"/>
          <w:b/>
          <w:sz w:val="18"/>
        </w:rPr>
        <w:t>Carrier’s liability for loss of </w:t>
      </w:r>
      <w:r>
        <w:rPr>
          <w:rFonts w:ascii="Arial" w:hAnsi="Arial"/>
          <w:b/>
          <w:spacing w:val="-2"/>
          <w:sz w:val="18"/>
        </w:rPr>
        <w:t>profits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137</w:t>
      </w:r>
    </w:p>
    <w:p>
      <w:pPr>
        <w:pStyle w:val="BodyText"/>
        <w:spacing w:line="235" w:lineRule="auto" w:before="202"/>
        <w:ind w:left="164" w:right="167"/>
        <w:jc w:val="both"/>
      </w:pPr>
      <w:bookmarkStart w:name="_bookmark1467" w:id="1469"/>
      <w:bookmarkEnd w:id="1469"/>
      <w:r>
        <w:rPr/>
      </w:r>
      <w:r>
        <w:rPr/>
        <w:t>A carrier who fails to deliver goods within the agreed time may also cause loss of business profits </w:t>
      </w:r>
      <w:r>
        <w:rPr/>
        <w:t>to the consignee. </w:t>
      </w:r>
      <w:r>
        <w:rPr>
          <w:color w:val="005DA1"/>
          <w:u w:val="single" w:color="005DA1"/>
          <w:vertAlign w:val="superscript"/>
        </w:rPr>
        <w:t>783</w:t>
      </w:r>
      <w:r>
        <w:rPr>
          <w:color w:val="005DA1"/>
          <w:vertAlign w:val="baseline"/>
        </w:rPr>
        <w:t> </w:t>
      </w:r>
      <w:r>
        <w:rPr>
          <w:vertAlign w:val="baseline"/>
        </w:rPr>
        <w:t>The normal measure of damages for delayed delivery is the difference between the </w:t>
      </w:r>
      <w:bookmarkStart w:name="_bookmark1468" w:id="1470"/>
      <w:bookmarkEnd w:id="1470"/>
      <w:r>
        <w:rPr>
          <w:vertAlign w:val="baseline"/>
        </w:rPr>
        <w:t>market</w:t>
      </w:r>
      <w:r>
        <w:rPr>
          <w:vertAlign w:val="baseline"/>
        </w:rPr>
        <w:t> value of the goods on the due date of arrival and their market value on the actual date of delivery. </w:t>
      </w:r>
      <w:r>
        <w:rPr>
          <w:color w:val="005DA1"/>
          <w:u w:val="single" w:color="005DA1"/>
          <w:vertAlign w:val="superscript"/>
        </w:rPr>
        <w:t>784</w:t>
      </w:r>
      <w:r>
        <w:rPr>
          <w:color w:val="005DA1"/>
          <w:vertAlign w:val="baseline"/>
        </w:rPr>
        <w:t> </w:t>
      </w:r>
      <w:r>
        <w:rPr>
          <w:vertAlign w:val="baseline"/>
        </w:rPr>
        <w:t>But:</w:t>
      </w:r>
    </w:p>
    <w:p>
      <w:pPr>
        <w:pStyle w:val="BodyText"/>
      </w:pPr>
    </w:p>
    <w:p>
      <w:pPr>
        <w:pStyle w:val="BodyText"/>
        <w:spacing w:before="125"/>
      </w:pPr>
    </w:p>
    <w:p>
      <w:pPr>
        <w:pStyle w:val="BodyText"/>
        <w:spacing w:line="235" w:lineRule="auto" w:before="1"/>
        <w:ind w:left="1245" w:right="167"/>
        <w:jc w:val="both"/>
      </w:pPr>
      <w:r>
        <w:rPr/>
        <w:t>“… a carrier commonly knows less than a seller about the purposes for which the buyer</w:t>
      </w:r>
      <w:r>
        <w:rPr>
          <w:spacing w:val="40"/>
        </w:rPr>
        <w:t> </w:t>
      </w:r>
      <w:bookmarkStart w:name="_bookmark1469" w:id="1471"/>
      <w:bookmarkEnd w:id="1471"/>
      <w:r>
        <w:rPr/>
        <w:t>or</w:t>
      </w:r>
      <w:r>
        <w:rPr/>
        <w:t> consignee needs the goods, or about other ‘special circumstances’ which may </w:t>
      </w:r>
      <w:r>
        <w:rPr/>
        <w:t>cause exceptional loss if due delivery is withheld.” </w:t>
      </w:r>
      <w:r>
        <w:rPr>
          <w:color w:val="005DA1"/>
          <w:u w:val="single" w:color="005DA1"/>
          <w:vertAlign w:val="superscript"/>
        </w:rPr>
        <w:t>785</w:t>
      </w:r>
    </w:p>
    <w:p>
      <w:pPr>
        <w:pStyle w:val="BodyText"/>
        <w:spacing w:before="115"/>
      </w:pPr>
    </w:p>
    <w:p>
      <w:pPr>
        <w:pStyle w:val="BodyText"/>
        <w:spacing w:line="235" w:lineRule="auto"/>
        <w:ind w:left="164" w:right="167"/>
        <w:jc w:val="both"/>
      </w:pPr>
      <w:r>
        <w:rPr/>
        <w:t>The amount of knowledge imputed to a carrier will therefore be limited in the usual case, and the consignee will be obliged to prove the carrier’s actual knowledge of the special circumstances so </w:t>
      </w:r>
      <w:r>
        <w:rPr/>
        <w:t>as</w:t>
      </w:r>
      <w:r>
        <w:rPr>
          <w:spacing w:val="40"/>
        </w:rPr>
        <w:t> </w:t>
      </w:r>
      <w:r>
        <w:rPr/>
        <w:t>to show that the carrier must be taken as a reasonable man to have accepted the risk of unusual loss </w:t>
      </w:r>
      <w:bookmarkStart w:name="_bookmark1470" w:id="1472"/>
      <w:bookmarkEnd w:id="1472"/>
      <w:r>
        <w:rPr/>
        <w:t>resulting</w:t>
      </w:r>
      <w:r>
        <w:rPr/>
        <w:t> from breach. In most reported cases, therefore, the carrier has escaped liability for the plaintiff’s</w:t>
      </w:r>
      <w:r>
        <w:rPr>
          <w:spacing w:val="-3"/>
        </w:rPr>
        <w:t> </w:t>
      </w:r>
      <w:r>
        <w:rPr/>
        <w:t>loss</w:t>
      </w:r>
      <w:r>
        <w:rPr>
          <w:spacing w:val="-3"/>
        </w:rPr>
        <w:t> </w:t>
      </w:r>
      <w:r>
        <w:rPr/>
        <w:t>of</w:t>
      </w:r>
      <w:r>
        <w:rPr>
          <w:spacing w:val="-3"/>
        </w:rPr>
        <w:t> </w:t>
      </w:r>
      <w:r>
        <w:rPr/>
        <w:t>profits</w:t>
      </w:r>
      <w:r>
        <w:rPr>
          <w:spacing w:val="-3"/>
        </w:rPr>
        <w:t> </w:t>
      </w:r>
      <w:r>
        <w:rPr/>
        <w:t>because</w:t>
      </w:r>
      <w:r>
        <w:rPr>
          <w:spacing w:val="-3"/>
        </w:rPr>
        <w:t> </w:t>
      </w:r>
      <w:r>
        <w:rPr/>
        <w:t>he</w:t>
      </w:r>
      <w:r>
        <w:rPr>
          <w:spacing w:val="-3"/>
        </w:rPr>
        <w:t> </w:t>
      </w:r>
      <w:r>
        <w:rPr/>
        <w:t>lacked</w:t>
      </w:r>
      <w:r>
        <w:rPr>
          <w:spacing w:val="-3"/>
        </w:rPr>
        <w:t> </w:t>
      </w:r>
      <w:r>
        <w:rPr/>
        <w:t>sufficient</w:t>
      </w:r>
      <w:r>
        <w:rPr>
          <w:spacing w:val="-3"/>
        </w:rPr>
        <w:t> </w:t>
      </w:r>
      <w:r>
        <w:rPr/>
        <w:t>knowledge.</w:t>
      </w:r>
      <w:r>
        <w:rPr>
          <w:spacing w:val="-3"/>
        </w:rPr>
        <w:t> </w:t>
      </w:r>
      <w:r>
        <w:rPr>
          <w:color w:val="005DA1"/>
          <w:u w:val="single" w:color="005DA1"/>
          <w:vertAlign w:val="superscript"/>
        </w:rPr>
        <w:t>786</w:t>
      </w:r>
      <w:r>
        <w:rPr>
          <w:color w:val="005DA1"/>
          <w:spacing w:val="-3"/>
          <w:vertAlign w:val="baseline"/>
        </w:rPr>
        <w:t> </w:t>
      </w:r>
      <w:r>
        <w:rPr>
          <w:vertAlign w:val="baseline"/>
        </w:rPr>
        <w:t>However,</w:t>
      </w:r>
      <w:r>
        <w:rPr>
          <w:spacing w:val="-3"/>
          <w:vertAlign w:val="baseline"/>
        </w:rPr>
        <w:t> </w:t>
      </w:r>
      <w:r>
        <w:rPr>
          <w:vertAlign w:val="baseline"/>
        </w:rPr>
        <w:t>the</w:t>
      </w:r>
      <w:r>
        <w:rPr>
          <w:spacing w:val="-3"/>
          <w:vertAlign w:val="baseline"/>
        </w:rPr>
        <w:t> </w:t>
      </w:r>
      <w:r>
        <w:rPr>
          <w:vertAlign w:val="baseline"/>
        </w:rPr>
        <w:t>carrier</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liable </w:t>
      </w:r>
      <w:bookmarkStart w:name="_bookmark1471" w:id="1473"/>
      <w:bookmarkEnd w:id="1473"/>
      <w:r>
        <w:rPr>
          <w:vertAlign w:val="baseline"/>
        </w:rPr>
        <w:t>where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shown</w:t>
      </w:r>
      <w:r>
        <w:rPr>
          <w:spacing w:val="-2"/>
          <w:vertAlign w:val="baseline"/>
        </w:rPr>
        <w:t> </w:t>
      </w:r>
      <w:r>
        <w:rPr>
          <w:vertAlign w:val="baseline"/>
        </w:rPr>
        <w:t>that,</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of</w:t>
      </w:r>
      <w:r>
        <w:rPr>
          <w:spacing w:val="-2"/>
          <w:vertAlign w:val="baseline"/>
        </w:rPr>
        <w:t> </w:t>
      </w:r>
      <w:r>
        <w:rPr>
          <w:vertAlign w:val="baseline"/>
        </w:rPr>
        <w:t>contracting,</w:t>
      </w:r>
      <w:r>
        <w:rPr>
          <w:spacing w:val="-2"/>
          <w:vertAlign w:val="baseline"/>
        </w:rPr>
        <w:t> </w:t>
      </w:r>
      <w:r>
        <w:rPr>
          <w:vertAlign w:val="baseline"/>
        </w:rPr>
        <w:t>he</w:t>
      </w:r>
      <w:r>
        <w:rPr>
          <w:spacing w:val="-2"/>
          <w:vertAlign w:val="baseline"/>
        </w:rPr>
        <w:t> </w:t>
      </w:r>
      <w:r>
        <w:rPr>
          <w:vertAlign w:val="baseline"/>
        </w:rPr>
        <w:t>knew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which</w:t>
      </w:r>
      <w:r>
        <w:rPr>
          <w:spacing w:val="-2"/>
          <w:vertAlign w:val="baseline"/>
        </w:rPr>
        <w:t> </w:t>
      </w:r>
      <w:r>
        <w:rPr>
          <w:vertAlign w:val="baseline"/>
        </w:rPr>
        <w:t>would</w:t>
      </w:r>
      <w:r>
        <w:rPr>
          <w:spacing w:val="-2"/>
          <w:vertAlign w:val="baseline"/>
        </w:rPr>
        <w:t> </w:t>
      </w:r>
      <w:r>
        <w:rPr>
          <w:vertAlign w:val="baseline"/>
        </w:rPr>
        <w:t>lead</w:t>
      </w:r>
      <w:r>
        <w:rPr>
          <w:spacing w:val="-2"/>
          <w:vertAlign w:val="baseline"/>
        </w:rPr>
        <w:t> </w:t>
      </w:r>
      <w:r>
        <w:rPr>
          <w:vertAlign w:val="baseline"/>
        </w:rPr>
        <w:t>to</w:t>
      </w:r>
      <w:r>
        <w:rPr>
          <w:spacing w:val="-2"/>
          <w:vertAlign w:val="baseline"/>
        </w:rPr>
        <w:t> </w:t>
      </w:r>
      <w:r>
        <w:rPr>
          <w:vertAlign w:val="baseline"/>
        </w:rPr>
        <w:t>special</w:t>
      </w:r>
      <w:r>
        <w:rPr>
          <w:spacing w:val="-2"/>
          <w:vertAlign w:val="baseline"/>
        </w:rPr>
        <w:t> </w:t>
      </w:r>
      <w:r>
        <w:rPr>
          <w:vertAlign w:val="baseline"/>
        </w:rPr>
        <w:t>loss if he failed to deliver or was late in delivering, </w:t>
      </w:r>
      <w:r>
        <w:rPr>
          <w:color w:val="005DA1"/>
          <w:u w:val="single" w:color="005DA1"/>
          <w:vertAlign w:val="superscript"/>
        </w:rPr>
        <w:t>787</w:t>
      </w:r>
      <w:r>
        <w:rPr>
          <w:color w:val="005DA1"/>
          <w:vertAlign w:val="baseline"/>
        </w:rPr>
        <w:t> </w:t>
      </w:r>
      <w:r>
        <w:rPr>
          <w:vertAlign w:val="baseline"/>
        </w:rPr>
        <w:t>e.g. where the carrier knew that no substitutes would </w:t>
      </w:r>
      <w:bookmarkStart w:name="_bookmark1472" w:id="1474"/>
      <w:bookmarkEnd w:id="1474"/>
      <w:r>
        <w:rPr>
          <w:vertAlign w:val="baseline"/>
        </w:rPr>
        <w:t>be</w:t>
      </w:r>
      <w:r>
        <w:rPr>
          <w:vertAlign w:val="baseline"/>
        </w:rPr>
        <w:t> available in the market at the place fixed for delivery, he may be liable for loss of “reasonable” resale profits suffered by the consignee. </w:t>
      </w:r>
      <w:r>
        <w:rPr>
          <w:color w:val="005DA1"/>
          <w:u w:val="single" w:color="005DA1"/>
          <w:vertAlign w:val="superscript"/>
        </w:rPr>
        <w:t>788</w:t>
      </w:r>
      <w:r>
        <w:rPr>
          <w:color w:val="005DA1"/>
          <w:vertAlign w:val="baseline"/>
        </w:rPr>
        <w:t> </w:t>
      </w:r>
      <w:r>
        <w:rPr>
          <w:vertAlign w:val="baseline"/>
        </w:rPr>
        <w:t>However, liability in such cases may be limited by the </w:t>
      </w:r>
      <w:bookmarkStart w:name="_bookmark1473" w:id="1475"/>
      <w:bookmarkEnd w:id="1475"/>
      <w:r>
        <w:rPr>
          <w:vertAlign w:val="baseline"/>
        </w:rPr>
        <w:t>recent</w:t>
      </w:r>
      <w:r>
        <w:rPr>
          <w:vertAlign w:val="baseline"/>
        </w:rPr>
        <w:t> decision of the House of Lords in </w:t>
      </w:r>
      <w:r>
        <w:rPr>
          <w:rFonts w:ascii="Arial" w:hAnsi="Arial"/>
          <w:i/>
          <w:vertAlign w:val="baseline"/>
        </w:rPr>
        <w:t>Transfield Shipping Inc v Mercator Shipping Inc (The Achilleas) </w:t>
      </w:r>
      <w:r>
        <w:rPr>
          <w:color w:val="005DA1"/>
          <w:u w:val="single" w:color="005DA1"/>
          <w:vertAlign w:val="superscript"/>
        </w:rPr>
        <w:t>789</w:t>
      </w:r>
      <w:r>
        <w:rPr>
          <w:color w:val="005DA1"/>
          <w:vertAlign w:val="baseline"/>
        </w:rPr>
        <w:t> </w:t>
      </w:r>
      <w:r>
        <w:rPr>
          <w:vertAlign w:val="baseline"/>
        </w:rPr>
        <w:t>that a claimant will not recover even losses that were not unlikely to occur in the usual </w:t>
      </w:r>
      <w:bookmarkStart w:name="_bookmark1474" w:id="1476"/>
      <w:bookmarkEnd w:id="1476"/>
      <w:r>
        <w:rPr>
          <w:vertAlign w:val="baseline"/>
        </w:rPr>
        <w:t>course</w:t>
      </w:r>
      <w:r>
        <w:rPr>
          <w:vertAlign w:val="baseline"/>
        </w:rPr>
        <w:t> of things if the defendant cannot reasonably be regarded as assuming responsibility for losses of the particular kind suffered. </w:t>
      </w:r>
      <w:r>
        <w:rPr>
          <w:color w:val="005DA1"/>
          <w:u w:val="single" w:color="005DA1"/>
          <w:vertAlign w:val="superscript"/>
        </w:rPr>
        <w:t>790</w:t>
      </w:r>
    </w:p>
    <w:p>
      <w:pPr>
        <w:pStyle w:val="BodyText"/>
      </w:pPr>
    </w:p>
    <w:p>
      <w:pPr>
        <w:pStyle w:val="BodyText"/>
        <w:spacing w:before="34"/>
      </w:pPr>
    </w:p>
    <w:p>
      <w:pPr>
        <w:spacing w:before="0"/>
        <w:ind w:left="165" w:right="0" w:firstLine="0"/>
        <w:jc w:val="both"/>
        <w:rPr>
          <w:rFonts w:ascii="Arial"/>
          <w:b/>
          <w:sz w:val="18"/>
        </w:rPr>
      </w:pPr>
      <w:r>
        <w:rPr>
          <w:rFonts w:ascii="Arial"/>
          <w:b/>
          <w:sz w:val="18"/>
        </w:rPr>
        <w:t>Loss of future </w:t>
      </w:r>
      <w:r>
        <w:rPr>
          <w:rFonts w:ascii="Arial"/>
          <w:b/>
          <w:spacing w:val="-2"/>
          <w:sz w:val="18"/>
        </w:rPr>
        <w:t>business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138</w:t>
      </w:r>
    </w:p>
    <w:p>
      <w:pPr>
        <w:pStyle w:val="BodyText"/>
        <w:spacing w:line="235" w:lineRule="auto" w:before="203"/>
        <w:ind w:left="165" w:right="167"/>
        <w:jc w:val="both"/>
      </w:pPr>
      <w:r>
        <w:rPr/>
        <w:t>Subject to the rules on causation and remoteness, the contract-breaker may be liable for </w:t>
      </w:r>
      <w:r>
        <w:rPr/>
        <w:t>the </w:t>
      </w:r>
      <w:bookmarkStart w:name="_bookmark1475" w:id="1477"/>
      <w:bookmarkEnd w:id="1477"/>
      <w:r>
        <w:rPr/>
        <w:t>claimant’s</w:t>
      </w:r>
      <w:r>
        <w:rPr/>
        <w:t> loss of future profits from “repeat orders” from his previous customers which loss was caused by the particular breach of contract. </w:t>
      </w:r>
      <w:r>
        <w:rPr>
          <w:color w:val="005DA1"/>
          <w:u w:val="single" w:color="005DA1"/>
          <w:vertAlign w:val="superscript"/>
        </w:rPr>
        <w:t>791</w:t>
      </w:r>
      <w:r>
        <w:rPr>
          <w:color w:val="005DA1"/>
          <w:vertAlign w:val="baseline"/>
        </w:rPr>
        <w:t> </w:t>
      </w:r>
      <w:r>
        <w:rPr>
          <w:vertAlign w:val="baseline"/>
        </w:rPr>
        <w:t>When loss of future profits is not too remote, the</w:t>
      </w:r>
      <w:r>
        <w:rPr>
          <w:spacing w:val="40"/>
          <w:vertAlign w:val="baseline"/>
        </w:rPr>
        <w:t> </w:t>
      </w:r>
      <w:bookmarkStart w:name="_bookmark1476" w:id="1478"/>
      <w:bookmarkEnd w:id="1478"/>
      <w:r>
        <w:rPr>
          <w:vertAlign w:val="baseline"/>
        </w:rPr>
        <w:t>period</w:t>
      </w:r>
      <w:r>
        <w:rPr>
          <w:vertAlign w:val="baseline"/>
        </w:rPr>
        <w:t> of time for which the loss should be assessed is until the question whether any loss has been sustained has become “too speculative to permit the making of any award”. </w:t>
      </w:r>
      <w:r>
        <w:rPr>
          <w:color w:val="005DA1"/>
          <w:u w:val="single" w:color="005DA1"/>
          <w:vertAlign w:val="superscript"/>
        </w:rPr>
        <w:t>792</w:t>
      </w:r>
    </w:p>
    <w:p>
      <w:pPr>
        <w:pStyle w:val="BodyText"/>
      </w:pPr>
    </w:p>
    <w:p>
      <w:pPr>
        <w:pStyle w:val="BodyText"/>
        <w:spacing w:before="38"/>
      </w:pPr>
      <w:r>
        <w:rPr/>
        <mc:AlternateContent>
          <mc:Choice Requires="wps">
            <w:drawing>
              <wp:anchor distT="0" distB="0" distL="0" distR="0" allowOverlap="1" layoutInCell="1" locked="0" behindDoc="1" simplePos="0" relativeHeight="487668736">
                <wp:simplePos x="0" y="0"/>
                <wp:positionH relativeFrom="page">
                  <wp:posOffset>914400</wp:posOffset>
                </wp:positionH>
                <wp:positionV relativeFrom="paragraph">
                  <wp:posOffset>185511</wp:posOffset>
                </wp:positionV>
                <wp:extent cx="5724525" cy="127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7238pt;width:450.75pt;height:.1pt;mso-position-horizontal-relative:page;mso-position-vertical-relative:paragraph;z-index:-15647744;mso-wrap-distance-left:0;mso-wrap-distance-right:0" id="docshape67"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hAnsi="Arial"/>
          <w:i/>
          <w:sz w:val="20"/>
        </w:rPr>
      </w:pPr>
      <w:bookmarkStart w:name="_bookmark1477" w:id="1479"/>
      <w:bookmarkEnd w:id="1479"/>
      <w:r>
        <w:rPr/>
      </w:r>
      <w:hyperlink w:history="true" w:anchor="_bookmark1456">
        <w:r>
          <w:rPr>
            <w:color w:val="005DA1"/>
            <w:position w:val="5"/>
            <w:sz w:val="14"/>
            <w:u w:val="single" w:color="005DA1"/>
          </w:rPr>
          <w:t>604</w:t>
        </w:r>
      </w:hyperlink>
      <w:r>
        <w:rPr>
          <w:position w:val="5"/>
          <w:sz w:val="14"/>
        </w:rPr>
        <w:t>.</w:t>
      </w:r>
      <w:r>
        <w:rPr>
          <w:spacing w:val="80"/>
          <w:position w:val="5"/>
          <w:sz w:val="14"/>
        </w:rPr>
        <w:t>  </w:t>
      </w:r>
      <w:r>
        <w:rPr>
          <w:sz w:val="20"/>
        </w:rPr>
        <w:t>The</w:t>
      </w:r>
      <w:r>
        <w:rPr>
          <w:spacing w:val="-1"/>
          <w:sz w:val="20"/>
        </w:rPr>
        <w:t> </w:t>
      </w:r>
      <w:r>
        <w:rPr>
          <w:sz w:val="20"/>
        </w:rPr>
        <w:t>term</w:t>
      </w:r>
      <w:r>
        <w:rPr>
          <w:spacing w:val="-1"/>
          <w:sz w:val="20"/>
        </w:rPr>
        <w:t> </w:t>
      </w:r>
      <w:r>
        <w:rPr>
          <w:sz w:val="20"/>
        </w:rPr>
        <w:t>“remoteness</w:t>
      </w:r>
      <w:r>
        <w:rPr>
          <w:spacing w:val="-1"/>
          <w:sz w:val="20"/>
        </w:rPr>
        <w:t> </w:t>
      </w:r>
      <w:r>
        <w:rPr>
          <w:sz w:val="20"/>
        </w:rPr>
        <w:t>of</w:t>
      </w:r>
      <w:r>
        <w:rPr>
          <w:spacing w:val="-1"/>
          <w:sz w:val="20"/>
        </w:rPr>
        <w:t> </w:t>
      </w:r>
      <w:r>
        <w:rPr>
          <w:sz w:val="20"/>
        </w:rPr>
        <w:t>damage”</w:t>
      </w:r>
      <w:r>
        <w:rPr>
          <w:spacing w:val="-1"/>
          <w:sz w:val="20"/>
        </w:rPr>
        <w:t> </w:t>
      </w:r>
      <w:r>
        <w:rPr>
          <w:sz w:val="20"/>
        </w:rPr>
        <w:t>has</w:t>
      </w:r>
      <w:r>
        <w:rPr>
          <w:spacing w:val="-1"/>
          <w:sz w:val="20"/>
        </w:rPr>
        <w:t> </w:t>
      </w:r>
      <w:r>
        <w:rPr>
          <w:sz w:val="20"/>
        </w:rPr>
        <w:t>been</w:t>
      </w:r>
      <w:r>
        <w:rPr>
          <w:spacing w:val="-1"/>
          <w:sz w:val="20"/>
        </w:rPr>
        <w:t> </w:t>
      </w:r>
      <w:r>
        <w:rPr>
          <w:sz w:val="20"/>
        </w:rPr>
        <w:t>distinguished</w:t>
      </w:r>
      <w:r>
        <w:rPr>
          <w:spacing w:val="-1"/>
          <w:sz w:val="20"/>
        </w:rPr>
        <w:t> </w:t>
      </w:r>
      <w:r>
        <w:rPr>
          <w:sz w:val="20"/>
        </w:rPr>
        <w:t>from</w:t>
      </w:r>
      <w:r>
        <w:rPr>
          <w:spacing w:val="-1"/>
          <w:sz w:val="20"/>
        </w:rPr>
        <w:t> </w:t>
      </w:r>
      <w:r>
        <w:rPr>
          <w:sz w:val="20"/>
        </w:rPr>
        <w:t>the</w:t>
      </w:r>
      <w:r>
        <w:rPr>
          <w:spacing w:val="-1"/>
          <w:sz w:val="20"/>
        </w:rPr>
        <w:t> </w:t>
      </w:r>
      <w:r>
        <w:rPr>
          <w:sz w:val="20"/>
        </w:rPr>
        <w:t>term</w:t>
      </w:r>
      <w:r>
        <w:rPr>
          <w:spacing w:val="-1"/>
          <w:sz w:val="20"/>
        </w:rPr>
        <w:t> </w:t>
      </w:r>
      <w:r>
        <w:rPr>
          <w:sz w:val="20"/>
        </w:rPr>
        <w:t>“measure</w:t>
      </w:r>
      <w:r>
        <w:rPr>
          <w:spacing w:val="-1"/>
          <w:sz w:val="20"/>
        </w:rPr>
        <w:t> </w:t>
      </w:r>
      <w:r>
        <w:rPr>
          <w:sz w:val="20"/>
        </w:rPr>
        <w:t>of</w:t>
      </w:r>
      <w:r>
        <w:rPr>
          <w:spacing w:val="-1"/>
          <w:sz w:val="20"/>
        </w:rPr>
        <w:t> </w:t>
      </w:r>
      <w:r>
        <w:rPr>
          <w:sz w:val="20"/>
        </w:rPr>
        <w:t>damages” (or “quantification”), the former referring to the rules as to which types of consequences or losses may be compensated, the latter to the method of assessing in money the compensation for a particular consequence or loss which has been held to be not too remote. In </w:t>
      </w:r>
      <w:r>
        <w:rPr>
          <w:rFonts w:ascii="Arial" w:hAnsi="Arial"/>
          <w:i/>
          <w:sz w:val="20"/>
        </w:rPr>
        <w:t>Wroth v Tyler [1974] Ch. 30, 60–62 </w:t>
      </w:r>
      <w:r>
        <w:rPr>
          <w:sz w:val="20"/>
        </w:rPr>
        <w:t>(below, para.26-116) it was held that the parties need not have contemplated the quantum of damage; see also </w:t>
      </w:r>
      <w:r>
        <w:rPr>
          <w:rFonts w:ascii="Arial" w:hAnsi="Arial"/>
          <w:i/>
          <w:sz w:val="20"/>
        </w:rPr>
        <w:t>Vacwell Engineering Co Ltd v B.D.H. Chemicals</w:t>
      </w:r>
      <w:r>
        <w:rPr>
          <w:rFonts w:ascii="Arial" w:hAnsi="Arial"/>
          <w:i/>
          <w:spacing w:val="-1"/>
          <w:sz w:val="20"/>
        </w:rPr>
        <w:t> </w:t>
      </w:r>
      <w:r>
        <w:rPr>
          <w:rFonts w:ascii="Arial" w:hAnsi="Arial"/>
          <w:i/>
          <w:sz w:val="20"/>
        </w:rPr>
        <w:t>Ltd [1971] Q.B. 88, 110</w:t>
      </w:r>
      <w:r>
        <w:rPr>
          <w:sz w:val="20"/>
        </w:rPr>
        <w:t>; </w:t>
      </w:r>
      <w:r>
        <w:rPr>
          <w:rFonts w:ascii="Arial" w:hAnsi="Arial"/>
          <w:i/>
          <w:sz w:val="20"/>
        </w:rPr>
        <w:t>H. Parsons (Livestock) Ltd v Uttley, Ingham &amp; Co Ltd </w:t>
      </w:r>
      <w:r>
        <w:rPr>
          <w:rFonts w:ascii="Arial" w:hAnsi="Arial"/>
          <w:i/>
          <w:spacing w:val="-2"/>
          <w:sz w:val="20"/>
        </w:rPr>
        <w:t>[1978]</w:t>
      </w:r>
    </w:p>
    <w:p>
      <w:pPr>
        <w:pStyle w:val="BodyText"/>
        <w:spacing w:line="235" w:lineRule="auto"/>
        <w:ind w:left="705" w:right="167"/>
        <w:jc w:val="both"/>
      </w:pPr>
      <w:r>
        <w:rPr>
          <w:rFonts w:ascii="Arial"/>
          <w:i/>
        </w:rPr>
        <w:t>Q.B. 791, 805, 813</w:t>
      </w:r>
      <w:r>
        <w:rPr/>
        <w:t>. It seems that in principle the distinction is between the type or kind of </w:t>
      </w:r>
      <w:r>
        <w:rPr/>
        <w:t>loss (see</w:t>
      </w:r>
      <w:r>
        <w:rPr>
          <w:spacing w:val="1"/>
        </w:rPr>
        <w:t> </w:t>
      </w:r>
      <w:r>
        <w:rPr/>
        <w:t>below,</w:t>
      </w:r>
      <w:r>
        <w:rPr>
          <w:spacing w:val="1"/>
        </w:rPr>
        <w:t> </w:t>
      </w:r>
      <w:r>
        <w:rPr/>
        <w:t>para.26-116)</w:t>
      </w:r>
      <w:r>
        <w:rPr>
          <w:spacing w:val="1"/>
        </w:rPr>
        <w:t> </w:t>
      </w:r>
      <w:r>
        <w:rPr/>
        <w:t>and</w:t>
      </w:r>
      <w:r>
        <w:rPr>
          <w:spacing w:val="1"/>
        </w:rPr>
        <w:t> </w:t>
      </w:r>
      <w:r>
        <w:rPr/>
        <w:t>its</w:t>
      </w:r>
      <w:r>
        <w:rPr>
          <w:spacing w:val="1"/>
        </w:rPr>
        <w:t> </w:t>
      </w:r>
      <w:r>
        <w:rPr/>
        <w:t>amount</w:t>
      </w:r>
      <w:r>
        <w:rPr>
          <w:spacing w:val="1"/>
        </w:rPr>
        <w:t> </w:t>
      </w:r>
      <w:r>
        <w:rPr/>
        <w:t>or</w:t>
      </w:r>
      <w:r>
        <w:rPr>
          <w:spacing w:val="1"/>
        </w:rPr>
        <w:t> </w:t>
      </w:r>
      <w:r>
        <w:rPr/>
        <w:t>the</w:t>
      </w:r>
      <w:r>
        <w:rPr>
          <w:spacing w:val="1"/>
        </w:rPr>
        <w:t> </w:t>
      </w:r>
      <w:r>
        <w:rPr/>
        <w:t>precise</w:t>
      </w:r>
      <w:r>
        <w:rPr>
          <w:spacing w:val="1"/>
        </w:rPr>
        <w:t> </w:t>
      </w:r>
      <w:r>
        <w:rPr/>
        <w:t>way</w:t>
      </w:r>
      <w:r>
        <w:rPr>
          <w:spacing w:val="1"/>
        </w:rPr>
        <w:t> </w:t>
      </w:r>
      <w:r>
        <w:rPr/>
        <w:t>in</w:t>
      </w:r>
      <w:r>
        <w:rPr>
          <w:spacing w:val="1"/>
        </w:rPr>
        <w:t> </w:t>
      </w:r>
      <w:r>
        <w:rPr/>
        <w:t>which</w:t>
      </w:r>
      <w:r>
        <w:rPr>
          <w:spacing w:val="1"/>
        </w:rPr>
        <w:t> </w:t>
      </w:r>
      <w:r>
        <w:rPr/>
        <w:t>it</w:t>
      </w:r>
      <w:r>
        <w:rPr>
          <w:spacing w:val="1"/>
        </w:rPr>
        <w:t> </w:t>
      </w:r>
      <w:r>
        <w:rPr/>
        <w:t>occurred,</w:t>
      </w:r>
      <w:r>
        <w:rPr>
          <w:spacing w:val="1"/>
        </w:rPr>
        <w:t> </w:t>
      </w:r>
      <w:r>
        <w:rPr/>
        <w:t>but</w:t>
      </w:r>
      <w:r>
        <w:rPr>
          <w:spacing w:val="1"/>
        </w:rPr>
        <w:t> </w:t>
      </w:r>
      <w:r>
        <w:rPr/>
        <w:t>we</w:t>
      </w:r>
      <w:r>
        <w:rPr>
          <w:spacing w:val="1"/>
        </w:rPr>
        <w:t> </w:t>
      </w:r>
      <w:r>
        <w:rPr/>
        <w:t>will</w:t>
      </w:r>
      <w:r>
        <w:rPr>
          <w:spacing w:val="1"/>
        </w:rPr>
        <w:t> </w:t>
      </w:r>
      <w:r>
        <w:rPr>
          <w:spacing w:val="-5"/>
        </w:rPr>
        <w:t>see</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firstLine="0"/>
        <w:jc w:val="both"/>
        <w:rPr>
          <w:rFonts w:ascii="Arial"/>
          <w:i/>
          <w:sz w:val="20"/>
        </w:rPr>
      </w:pPr>
      <w:r>
        <w:rPr>
          <w:sz w:val="20"/>
        </w:rPr>
        <w:t>that in contract cases the courts have sometimes drawn narrow distinctions between different types</w:t>
      </w:r>
      <w:r>
        <w:rPr>
          <w:spacing w:val="26"/>
          <w:sz w:val="20"/>
        </w:rPr>
        <w:t> </w:t>
      </w:r>
      <w:r>
        <w:rPr>
          <w:sz w:val="20"/>
        </w:rPr>
        <w:t>of</w:t>
      </w:r>
      <w:r>
        <w:rPr>
          <w:spacing w:val="26"/>
          <w:sz w:val="20"/>
        </w:rPr>
        <w:t> </w:t>
      </w:r>
      <w:r>
        <w:rPr>
          <w:sz w:val="20"/>
        </w:rPr>
        <w:t>loss</w:t>
      </w:r>
      <w:r>
        <w:rPr>
          <w:spacing w:val="26"/>
          <w:sz w:val="20"/>
        </w:rPr>
        <w:t> </w:t>
      </w:r>
      <w:r>
        <w:rPr>
          <w:sz w:val="20"/>
        </w:rPr>
        <w:t>of</w:t>
      </w:r>
      <w:r>
        <w:rPr>
          <w:spacing w:val="26"/>
          <w:sz w:val="20"/>
        </w:rPr>
        <w:t> </w:t>
      </w:r>
      <w:r>
        <w:rPr>
          <w:sz w:val="20"/>
        </w:rPr>
        <w:t>profit</w:t>
      </w:r>
      <w:r>
        <w:rPr>
          <w:spacing w:val="26"/>
          <w:sz w:val="20"/>
        </w:rPr>
        <w:t> </w:t>
      </w:r>
      <w:r>
        <w:rPr>
          <w:sz w:val="20"/>
        </w:rPr>
        <w:t>(e.g.</w:t>
      </w:r>
      <w:r>
        <w:rPr>
          <w:spacing w:val="26"/>
          <w:sz w:val="20"/>
        </w:rPr>
        <w:t> </w:t>
      </w:r>
      <w:r>
        <w:rPr>
          <w:rFonts w:ascii="Arial"/>
          <w:i/>
          <w:sz w:val="20"/>
        </w:rPr>
        <w:t>Victoria</w:t>
      </w:r>
      <w:r>
        <w:rPr>
          <w:rFonts w:ascii="Arial"/>
          <w:i/>
          <w:spacing w:val="26"/>
          <w:sz w:val="20"/>
        </w:rPr>
        <w:t> </w:t>
      </w:r>
      <w:r>
        <w:rPr>
          <w:rFonts w:ascii="Arial"/>
          <w:i/>
          <w:sz w:val="20"/>
        </w:rPr>
        <w:t>Laundry</w:t>
      </w:r>
      <w:r>
        <w:rPr>
          <w:rFonts w:ascii="Arial"/>
          <w:i/>
          <w:spacing w:val="26"/>
          <w:sz w:val="20"/>
        </w:rPr>
        <w:t> </w:t>
      </w:r>
      <w:r>
        <w:rPr>
          <w:rFonts w:ascii="Arial"/>
          <w:i/>
          <w:sz w:val="20"/>
        </w:rPr>
        <w:t>(Windsor)</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Newman</w:t>
      </w:r>
      <w:r>
        <w:rPr>
          <w:rFonts w:ascii="Arial"/>
          <w:i/>
          <w:spacing w:val="26"/>
          <w:sz w:val="20"/>
        </w:rPr>
        <w:t> </w:t>
      </w:r>
      <w:r>
        <w:rPr>
          <w:rFonts w:ascii="Arial"/>
          <w:i/>
          <w:sz w:val="20"/>
        </w:rPr>
        <w:t>Industries</w:t>
      </w:r>
      <w:r>
        <w:rPr>
          <w:rFonts w:ascii="Arial"/>
          <w:i/>
          <w:spacing w:val="26"/>
          <w:sz w:val="20"/>
        </w:rPr>
        <w:t> </w:t>
      </w:r>
      <w:r>
        <w:rPr>
          <w:rFonts w:ascii="Arial"/>
          <w:i/>
          <w:sz w:val="20"/>
        </w:rPr>
        <w:t>Ltd</w:t>
      </w:r>
      <w:r>
        <w:rPr>
          <w:rFonts w:ascii="Arial"/>
          <w:i/>
          <w:spacing w:val="26"/>
          <w:sz w:val="20"/>
        </w:rPr>
        <w:t> </w:t>
      </w:r>
      <w:r>
        <w:rPr>
          <w:rFonts w:ascii="Arial"/>
          <w:i/>
          <w:sz w:val="20"/>
        </w:rPr>
        <w:t>[1949]</w:t>
      </w:r>
      <w:r>
        <w:rPr>
          <w:rFonts w:ascii="Arial"/>
          <w:i/>
          <w:spacing w:val="26"/>
          <w:sz w:val="20"/>
        </w:rPr>
        <w:t> </w:t>
      </w:r>
      <w:r>
        <w:rPr>
          <w:rFonts w:ascii="Arial"/>
          <w:i/>
          <w:spacing w:val="-10"/>
          <w:sz w:val="20"/>
        </w:rPr>
        <w:t>2</w:t>
      </w:r>
    </w:p>
    <w:p>
      <w:pPr>
        <w:spacing w:line="235" w:lineRule="auto" w:before="0"/>
        <w:ind w:left="705" w:right="167" w:firstLine="0"/>
        <w:jc w:val="both"/>
        <w:rPr>
          <w:sz w:val="20"/>
        </w:rPr>
      </w:pPr>
      <w:r>
        <w:rPr>
          <w:rFonts w:ascii="Arial" w:hAnsi="Arial"/>
          <w:i/>
          <w:sz w:val="20"/>
        </w:rPr>
        <w:t>K.B. 528</w:t>
      </w:r>
      <w:r>
        <w:rPr>
          <w:sz w:val="20"/>
        </w:rPr>
        <w:t>, see below, para.26-114) and different ways in which loss of profit might have</w:t>
      </w:r>
      <w:r>
        <w:rPr>
          <w:spacing w:val="40"/>
          <w:sz w:val="20"/>
        </w:rPr>
        <w:t> </w:t>
      </w:r>
      <w:r>
        <w:rPr>
          <w:sz w:val="20"/>
        </w:rPr>
        <w:t>occurred (e.g. the speeches of Lord Rodger, Lord Walker and Baroness Hale in </w:t>
      </w:r>
      <w:r>
        <w:rPr>
          <w:rFonts w:ascii="Arial" w:hAnsi="Arial"/>
          <w:i/>
          <w:sz w:val="20"/>
        </w:rPr>
        <w:t>Transfield Shipping Inc v Mercator Shipping Inc (The Achilleas) [2008] UKHL 48, [2009] 1 A.C. 61</w:t>
      </w:r>
      <w:r>
        <w:rPr>
          <w:sz w:val="20"/>
        </w:rPr>
        <w:t>, see below, para.26-128). The distinction between remoteness and quantum is also drawn for the purposes of conflicts of laws: Cheshire and North, </w:t>
      </w:r>
      <w:r>
        <w:rPr>
          <w:rFonts w:ascii="Arial" w:hAnsi="Arial"/>
          <w:i/>
          <w:sz w:val="20"/>
        </w:rPr>
        <w:t>Private International Law</w:t>
      </w:r>
      <w:r>
        <w:rPr>
          <w:sz w:val="20"/>
        </w:rPr>
        <w:t>, 5th edn, pp.708–712 (approved in </w:t>
      </w:r>
      <w:r>
        <w:rPr>
          <w:rFonts w:ascii="Arial" w:hAnsi="Arial"/>
          <w:i/>
          <w:sz w:val="20"/>
        </w:rPr>
        <w:t>D’Almeida Araujo v Becker [1953] 2 Q.B. 329</w:t>
      </w:r>
      <w:r>
        <w:rPr>
          <w:sz w:val="20"/>
        </w:rPr>
        <w:t>; see now 14th edition</w:t>
      </w:r>
      <w:r>
        <w:rPr>
          <w:spacing w:val="40"/>
          <w:sz w:val="20"/>
        </w:rPr>
        <w:t> </w:t>
      </w:r>
      <w:r>
        <w:rPr>
          <w:sz w:val="20"/>
        </w:rPr>
        <w:t>by Cheshire, North and Fawcett, pp.96–97). This distinction has not always found favour with the courts in a domestic case: see </w:t>
      </w:r>
      <w:r>
        <w:rPr>
          <w:rFonts w:ascii="Arial" w:hAnsi="Arial"/>
          <w:i/>
          <w:sz w:val="20"/>
        </w:rPr>
        <w:t>Handel (NV) My. J. Smits Import-Export v English Exporters Ltd [1955] 2 Lloyd’s Rep. 69, 72</w:t>
      </w:r>
      <w:r>
        <w:rPr>
          <w:sz w:val="20"/>
        </w:rPr>
        <w:t>; affirmed at 317; </w:t>
      </w:r>
      <w:r>
        <w:rPr>
          <w:rFonts w:ascii="Arial" w:hAnsi="Arial"/>
          <w:i/>
          <w:sz w:val="20"/>
        </w:rPr>
        <w:t>Boys v Chaplin [1968] 2 Q.B. 1, 31</w:t>
      </w:r>
      <w:r>
        <w:rPr>
          <w:sz w:val="20"/>
        </w:rPr>
        <w:t>; but the distinction has been accepted in a conflict of laws problem: </w:t>
      </w:r>
      <w:r>
        <w:rPr>
          <w:rFonts w:ascii="Arial" w:hAnsi="Arial"/>
          <w:i/>
          <w:sz w:val="20"/>
        </w:rPr>
        <w:t>Boys v Chaplin [1971] A.C. 356, 378–379,</w:t>
      </w:r>
      <w:r>
        <w:rPr>
          <w:rFonts w:ascii="Arial" w:hAnsi="Arial"/>
          <w:i/>
          <w:spacing w:val="4"/>
          <w:sz w:val="20"/>
        </w:rPr>
        <w:t> </w:t>
      </w:r>
      <w:r>
        <w:rPr>
          <w:rFonts w:ascii="Arial" w:hAnsi="Arial"/>
          <w:i/>
          <w:sz w:val="20"/>
        </w:rPr>
        <w:t>382–383,</w:t>
      </w:r>
      <w:r>
        <w:rPr>
          <w:rFonts w:ascii="Arial" w:hAnsi="Arial"/>
          <w:i/>
          <w:spacing w:val="5"/>
          <w:sz w:val="20"/>
        </w:rPr>
        <w:t> </w:t>
      </w:r>
      <w:r>
        <w:rPr>
          <w:rFonts w:ascii="Arial" w:hAnsi="Arial"/>
          <w:i/>
          <w:sz w:val="20"/>
        </w:rPr>
        <w:t>392–393,</w:t>
      </w:r>
      <w:r>
        <w:rPr>
          <w:rFonts w:ascii="Arial" w:hAnsi="Arial"/>
          <w:i/>
          <w:spacing w:val="5"/>
          <w:sz w:val="20"/>
        </w:rPr>
        <w:t> </w:t>
      </w:r>
      <w:r>
        <w:rPr>
          <w:rFonts w:ascii="Arial" w:hAnsi="Arial"/>
          <w:i/>
          <w:sz w:val="20"/>
        </w:rPr>
        <w:t>394</w:t>
      </w:r>
      <w:r>
        <w:rPr>
          <w:sz w:val="20"/>
        </w:rPr>
        <w:t>.</w:t>
      </w:r>
      <w:r>
        <w:rPr>
          <w:spacing w:val="5"/>
          <w:sz w:val="20"/>
        </w:rPr>
        <w:t> </w:t>
      </w:r>
      <w:r>
        <w:rPr>
          <w:sz w:val="20"/>
        </w:rPr>
        <w:t>In</w:t>
      </w:r>
      <w:r>
        <w:rPr>
          <w:spacing w:val="5"/>
          <w:sz w:val="20"/>
        </w:rPr>
        <w:t> </w:t>
      </w:r>
      <w:r>
        <w:rPr>
          <w:rFonts w:ascii="Arial" w:hAnsi="Arial"/>
          <w:i/>
          <w:sz w:val="20"/>
        </w:rPr>
        <w:t>Harding</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Wealands</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UKHL</w:t>
      </w:r>
      <w:r>
        <w:rPr>
          <w:rFonts w:ascii="Arial" w:hAnsi="Arial"/>
          <w:i/>
          <w:spacing w:val="5"/>
          <w:sz w:val="20"/>
        </w:rPr>
        <w:t> </w:t>
      </w:r>
      <w:r>
        <w:rPr>
          <w:rFonts w:ascii="Arial" w:hAnsi="Arial"/>
          <w:i/>
          <w:sz w:val="20"/>
        </w:rPr>
        <w:t>32,</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1</w:t>
      </w:r>
      <w:r>
        <w:rPr>
          <w:rFonts w:ascii="Arial" w:hAnsi="Arial"/>
          <w:i/>
          <w:spacing w:val="4"/>
          <w:sz w:val="20"/>
        </w:rPr>
        <w:t> </w:t>
      </w:r>
      <w:r>
        <w:rPr>
          <w:spacing w:val="-5"/>
          <w:sz w:val="20"/>
        </w:rPr>
        <w:t>the</w:t>
      </w:r>
    </w:p>
    <w:p>
      <w:pPr>
        <w:pStyle w:val="BodyText"/>
        <w:spacing w:line="235" w:lineRule="auto"/>
        <w:ind w:left="705" w:right="167"/>
        <w:jc w:val="both"/>
      </w:pPr>
      <w:r>
        <w:rPr/>
        <w:t>assessment of damages in a tort case was held to be a matter of procedure governed by the</w:t>
      </w:r>
      <w:r>
        <w:rPr>
          <w:spacing w:val="40"/>
        </w:rPr>
        <w:t> </w:t>
      </w:r>
      <w:r>
        <w:rPr/>
        <w:t>lex fori.</w:t>
      </w:r>
    </w:p>
    <w:p>
      <w:pPr>
        <w:pStyle w:val="BodyText"/>
        <w:spacing w:before="4"/>
      </w:pPr>
    </w:p>
    <w:p>
      <w:pPr>
        <w:pStyle w:val="BodyText"/>
        <w:tabs>
          <w:tab w:pos="705" w:val="left" w:leader="none"/>
        </w:tabs>
        <w:spacing w:line="235" w:lineRule="auto" w:before="1"/>
        <w:ind w:left="705" w:right="174" w:hanging="541"/>
      </w:pPr>
      <w:bookmarkStart w:name="_bookmark1478" w:id="1480"/>
      <w:bookmarkEnd w:id="1480"/>
      <w:r>
        <w:rPr/>
      </w:r>
      <w:hyperlink w:history="true" w:anchor="_bookmark1457">
        <w:r>
          <w:rPr>
            <w:color w:val="005DA1"/>
            <w:spacing w:val="-4"/>
            <w:position w:val="5"/>
            <w:sz w:val="14"/>
            <w:u w:val="single" w:color="005DA1"/>
          </w:rPr>
          <w:t>770</w:t>
        </w:r>
      </w:hyperlink>
      <w:r>
        <w:rPr>
          <w:spacing w:val="-4"/>
          <w:position w:val="5"/>
          <w:sz w:val="14"/>
        </w:rPr>
        <w:t>.</w:t>
      </w:r>
      <w:r>
        <w:rPr>
          <w:position w:val="5"/>
          <w:sz w:val="14"/>
        </w:rPr>
        <w:tab/>
      </w:r>
      <w:r>
        <w:rPr/>
        <w:t>On the question of evaluating contingencies affecting the chance of making a profit, see above, paras 26-069—26-073.</w:t>
      </w:r>
    </w:p>
    <w:p>
      <w:pPr>
        <w:pStyle w:val="BodyText"/>
        <w:spacing w:before="5"/>
      </w:pPr>
    </w:p>
    <w:p>
      <w:pPr>
        <w:tabs>
          <w:tab w:pos="705" w:val="left" w:leader="none"/>
        </w:tabs>
        <w:spacing w:line="227" w:lineRule="exact" w:before="0"/>
        <w:ind w:left="165" w:right="0" w:firstLine="0"/>
        <w:jc w:val="left"/>
        <w:rPr>
          <w:sz w:val="20"/>
        </w:rPr>
      </w:pPr>
      <w:bookmarkStart w:name="_bookmark1479" w:id="1481"/>
      <w:bookmarkEnd w:id="1481"/>
      <w:r>
        <w:rPr/>
      </w:r>
      <w:hyperlink w:history="true" w:anchor="_bookmark1457">
        <w:r>
          <w:rPr>
            <w:color w:val="005DA1"/>
            <w:spacing w:val="-4"/>
            <w:position w:val="5"/>
            <w:sz w:val="14"/>
            <w:u w:val="single" w:color="005DA1"/>
          </w:rPr>
          <w:t>771</w:t>
        </w:r>
      </w:hyperlink>
      <w:r>
        <w:rPr>
          <w:spacing w:val="-4"/>
          <w:position w:val="5"/>
          <w:sz w:val="14"/>
        </w:rPr>
        <w:t>.</w:t>
      </w:r>
      <w:r>
        <w:rPr>
          <w:position w:val="5"/>
          <w:sz w:val="14"/>
        </w:rPr>
        <w:tab/>
      </w:r>
      <w:r>
        <w:rPr>
          <w:sz w:val="20"/>
        </w:rPr>
        <w:t>In</w:t>
      </w:r>
      <w:r>
        <w:rPr>
          <w:spacing w:val="23"/>
          <w:sz w:val="20"/>
        </w:rPr>
        <w:t> </w:t>
      </w:r>
      <w:r>
        <w:rPr>
          <w:rFonts w:ascii="Arial" w:hAnsi="Arial"/>
          <w:i/>
          <w:sz w:val="20"/>
        </w:rPr>
        <w:t>H.</w:t>
      </w:r>
      <w:r>
        <w:rPr>
          <w:rFonts w:ascii="Arial" w:hAnsi="Arial"/>
          <w:i/>
          <w:spacing w:val="24"/>
          <w:sz w:val="20"/>
        </w:rPr>
        <w:t> </w:t>
      </w:r>
      <w:r>
        <w:rPr>
          <w:rFonts w:ascii="Arial" w:hAnsi="Arial"/>
          <w:i/>
          <w:sz w:val="20"/>
        </w:rPr>
        <w:t>Parsons</w:t>
      </w:r>
      <w:r>
        <w:rPr>
          <w:rFonts w:ascii="Arial" w:hAnsi="Arial"/>
          <w:i/>
          <w:spacing w:val="24"/>
          <w:sz w:val="20"/>
        </w:rPr>
        <w:t> </w:t>
      </w:r>
      <w:r>
        <w:rPr>
          <w:rFonts w:ascii="Arial" w:hAnsi="Arial"/>
          <w:i/>
          <w:sz w:val="20"/>
        </w:rPr>
        <w:t>(Livestock)</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Uttley,</w:t>
      </w:r>
      <w:r>
        <w:rPr>
          <w:rFonts w:ascii="Arial" w:hAnsi="Arial"/>
          <w:i/>
          <w:spacing w:val="24"/>
          <w:sz w:val="20"/>
        </w:rPr>
        <w:t> </w:t>
      </w:r>
      <w:r>
        <w:rPr>
          <w:rFonts w:ascii="Arial" w:hAnsi="Arial"/>
          <w:i/>
          <w:sz w:val="20"/>
        </w:rPr>
        <w:t>Ingham</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[1978]</w:t>
      </w:r>
      <w:r>
        <w:rPr>
          <w:rFonts w:ascii="Arial" w:hAnsi="Arial"/>
          <w:i/>
          <w:spacing w:val="24"/>
          <w:sz w:val="20"/>
        </w:rPr>
        <w:t> </w:t>
      </w:r>
      <w:r>
        <w:rPr>
          <w:rFonts w:ascii="Arial" w:hAnsi="Arial"/>
          <w:i/>
          <w:sz w:val="20"/>
        </w:rPr>
        <w:t>Q.B.</w:t>
      </w:r>
      <w:r>
        <w:rPr>
          <w:rFonts w:ascii="Arial" w:hAnsi="Arial"/>
          <w:i/>
          <w:spacing w:val="24"/>
          <w:sz w:val="20"/>
        </w:rPr>
        <w:t> </w:t>
      </w:r>
      <w:r>
        <w:rPr>
          <w:rFonts w:ascii="Arial" w:hAnsi="Arial"/>
          <w:i/>
          <w:sz w:val="20"/>
        </w:rPr>
        <w:t>791,</w:t>
      </w:r>
      <w:r>
        <w:rPr>
          <w:rFonts w:ascii="Arial" w:hAnsi="Arial"/>
          <w:i/>
          <w:spacing w:val="24"/>
          <w:sz w:val="20"/>
        </w:rPr>
        <w:t> </w:t>
      </w:r>
      <w:r>
        <w:rPr>
          <w:rFonts w:ascii="Arial" w:hAnsi="Arial"/>
          <w:i/>
          <w:sz w:val="20"/>
        </w:rPr>
        <w:t>802–803</w:t>
      </w:r>
      <w:r>
        <w:rPr>
          <w:sz w:val="20"/>
        </w:rPr>
        <w:t>,</w:t>
      </w:r>
      <w:r>
        <w:rPr>
          <w:spacing w:val="24"/>
          <w:sz w:val="20"/>
        </w:rPr>
        <w:t> </w:t>
      </w:r>
      <w:r>
        <w:rPr>
          <w:spacing w:val="-2"/>
          <w:sz w:val="20"/>
        </w:rPr>
        <w:t>Denning</w:t>
      </w:r>
    </w:p>
    <w:p>
      <w:pPr>
        <w:pStyle w:val="BodyText"/>
        <w:spacing w:line="235" w:lineRule="auto" w:before="1"/>
        <w:ind w:left="705" w:right="167"/>
        <w:jc w:val="both"/>
      </w:pPr>
      <w:r>
        <w:rPr/>
        <w:t>M.R. said that in the test for remoteness of damage in contract there is a distinction between loss of profit (or only economic loss) cases, and physical damage (or expense) cases; but this distinction</w:t>
      </w:r>
      <w:r>
        <w:rPr>
          <w:spacing w:val="-1"/>
        </w:rPr>
        <w:t> </w:t>
      </w:r>
      <w:r>
        <w:rPr/>
        <w:t>was</w:t>
      </w:r>
      <w:r>
        <w:rPr>
          <w:spacing w:val="-1"/>
        </w:rPr>
        <w:t> </w:t>
      </w:r>
      <w:r>
        <w:rPr/>
        <w:t>not</w:t>
      </w:r>
      <w:r>
        <w:rPr>
          <w:spacing w:val="-1"/>
        </w:rPr>
        <w:t> </w:t>
      </w:r>
      <w:r>
        <w:rPr/>
        <w:t>accepted</w:t>
      </w:r>
      <w:r>
        <w:rPr>
          <w:spacing w:val="-1"/>
        </w:rPr>
        <w:t> </w:t>
      </w:r>
      <w:r>
        <w:rPr/>
        <w:t>by</w:t>
      </w:r>
      <w:r>
        <w:rPr>
          <w:spacing w:val="-1"/>
        </w:rPr>
        <w:t> </w:t>
      </w:r>
      <w:r>
        <w:rPr/>
        <w:t>the</w:t>
      </w:r>
      <w:r>
        <w:rPr>
          <w:spacing w:val="-1"/>
        </w:rPr>
        <w:t> </w:t>
      </w:r>
      <w:r>
        <w:rPr/>
        <w:t>other</w:t>
      </w:r>
      <w:r>
        <w:rPr>
          <w:spacing w:val="-1"/>
        </w:rPr>
        <w:t> </w:t>
      </w:r>
      <w:r>
        <w:rPr/>
        <w:t>members</w:t>
      </w:r>
      <w:r>
        <w:rPr>
          <w:spacing w:val="-1"/>
        </w:rPr>
        <w:t> </w:t>
      </w:r>
      <w:r>
        <w:rPr/>
        <w:t>of</w:t>
      </w:r>
      <w:r>
        <w:rPr>
          <w:spacing w:val="-1"/>
        </w:rPr>
        <w:t> </w:t>
      </w:r>
      <w:r>
        <w:rPr/>
        <w:t>the</w:t>
      </w:r>
      <w:r>
        <w:rPr>
          <w:spacing w:val="-1"/>
        </w:rPr>
        <w:t> </w:t>
      </w:r>
      <w:r>
        <w:rPr/>
        <w:t>Court</w:t>
      </w:r>
      <w:r>
        <w:rPr>
          <w:spacing w:val="-1"/>
        </w:rPr>
        <w:t> </w:t>
      </w:r>
      <w:r>
        <w:rPr/>
        <w:t>of</w:t>
      </w:r>
      <w:r>
        <w:rPr>
          <w:spacing w:val="-1"/>
        </w:rPr>
        <w:t> </w:t>
      </w:r>
      <w:r>
        <w:rPr/>
        <w:t>Appeal,</w:t>
      </w:r>
      <w:r>
        <w:rPr>
          <w:spacing w:val="-1"/>
        </w:rPr>
        <w:t> </w:t>
      </w:r>
      <w:r>
        <w:rPr/>
        <w:t>and</w:t>
      </w:r>
      <w:r>
        <w:rPr>
          <w:spacing w:val="-1"/>
        </w:rPr>
        <w:t> </w:t>
      </w:r>
      <w:r>
        <w:rPr/>
        <w:t>lacks</w:t>
      </w:r>
      <w:r>
        <w:rPr>
          <w:spacing w:val="-1"/>
        </w:rPr>
        <w:t> </w:t>
      </w:r>
      <w:r>
        <w:rPr/>
        <w:t>supporting authority: see, per Orr L.J. at 804–805; and, per Scarman L.J. at 805–806.</w:t>
      </w:r>
    </w:p>
    <w:p>
      <w:pPr>
        <w:pStyle w:val="BodyText"/>
        <w:spacing w:before="9"/>
      </w:pPr>
    </w:p>
    <w:p>
      <w:pPr>
        <w:spacing w:line="235" w:lineRule="auto" w:before="0"/>
        <w:ind w:left="705" w:right="168" w:hanging="541"/>
        <w:jc w:val="both"/>
        <w:rPr>
          <w:sz w:val="20"/>
        </w:rPr>
      </w:pPr>
      <w:bookmarkStart w:name="_bookmark1480" w:id="1482"/>
      <w:bookmarkEnd w:id="1482"/>
      <w:r>
        <w:rPr/>
      </w:r>
      <w:hyperlink w:history="true" w:anchor="_bookmark1458">
        <w:r>
          <w:rPr>
            <w:color w:val="005DA1"/>
            <w:position w:val="5"/>
            <w:sz w:val="14"/>
            <w:u w:val="single" w:color="005DA1"/>
          </w:rPr>
          <w:t>772</w:t>
        </w:r>
      </w:hyperlink>
      <w:r>
        <w:rPr>
          <w:position w:val="5"/>
          <w:sz w:val="14"/>
        </w:rPr>
        <w:t>.</w:t>
      </w:r>
      <w:r>
        <w:rPr>
          <w:spacing w:val="80"/>
          <w:position w:val="5"/>
          <w:sz w:val="14"/>
        </w:rPr>
        <w:t>  </w:t>
      </w:r>
      <w:r>
        <w:rPr>
          <w:rFonts w:ascii="Arial"/>
          <w:i/>
          <w:sz w:val="20"/>
        </w:rPr>
        <w:t>Hadley v Baxendale (1854) 9 Ex. 341 </w:t>
      </w:r>
      <w:r>
        <w:rPr>
          <w:sz w:val="20"/>
        </w:rPr>
        <w:t>(above, para.26-109); </w:t>
      </w:r>
      <w:r>
        <w:rPr>
          <w:rFonts w:ascii="Arial"/>
          <w:i/>
          <w:sz w:val="20"/>
        </w:rPr>
        <w:t>Fletcher v Tayleur (1855) 17 </w:t>
      </w:r>
      <w:r>
        <w:rPr>
          <w:rFonts w:ascii="Arial"/>
          <w:i/>
          <w:sz w:val="20"/>
        </w:rPr>
        <w:t>C.B. 21</w:t>
      </w:r>
      <w:r>
        <w:rPr>
          <w:sz w:val="20"/>
        </w:rPr>
        <w:t>; </w:t>
      </w:r>
      <w:r>
        <w:rPr>
          <w:rFonts w:ascii="Arial"/>
          <w:i/>
          <w:sz w:val="20"/>
        </w:rPr>
        <w:t>Wilson v General Iron Screw Colliery Co Ltd (1877) 47 L.J.Q.B. 239</w:t>
      </w:r>
      <w:r>
        <w:rPr>
          <w:sz w:val="20"/>
        </w:rPr>
        <w:t>; </w:t>
      </w:r>
      <w:r>
        <w:rPr>
          <w:rFonts w:ascii="Arial"/>
          <w:i/>
          <w:sz w:val="20"/>
        </w:rPr>
        <w:t>Hydraulic Engineering Co Ltd v McHaffie Goslett &amp; Co (1878) 4 Q.B.D. 670</w:t>
      </w:r>
      <w:r>
        <w:rPr>
          <w:sz w:val="20"/>
        </w:rPr>
        <w:t>; </w:t>
      </w:r>
      <w:r>
        <w:rPr>
          <w:rFonts w:ascii="Arial"/>
          <w:i/>
          <w:sz w:val="20"/>
        </w:rPr>
        <w:t>Saint Lines Ltd v Richardsons Westgarth &amp; Co [1940] 2 K.B. 99</w:t>
      </w:r>
      <w:r>
        <w:rPr>
          <w:sz w:val="20"/>
        </w:rPr>
        <w:t>; </w:t>
      </w:r>
      <w:r>
        <w:rPr>
          <w:rFonts w:ascii="Arial"/>
          <w:i/>
          <w:sz w:val="20"/>
        </w:rPr>
        <w:t>Victoria Laundry (Windsor) Ltd v Newman Industries Ltd [1949] 2 K.B. </w:t>
      </w:r>
      <w:r>
        <w:rPr>
          <w:rFonts w:ascii="Arial"/>
          <w:i/>
          <w:spacing w:val="-4"/>
          <w:sz w:val="20"/>
        </w:rPr>
        <w:t>528</w:t>
      </w:r>
      <w:r>
        <w:rPr>
          <w:spacing w:val="-4"/>
          <w:sz w:val="20"/>
        </w:rPr>
        <w:t>.</w:t>
      </w:r>
    </w:p>
    <w:p>
      <w:pPr>
        <w:pStyle w:val="BodyText"/>
        <w:spacing w:before="4"/>
      </w:pPr>
    </w:p>
    <w:p>
      <w:pPr>
        <w:pStyle w:val="BodyText"/>
        <w:tabs>
          <w:tab w:pos="705" w:val="left" w:leader="none"/>
        </w:tabs>
        <w:ind w:left="165"/>
      </w:pPr>
      <w:bookmarkStart w:name="_bookmark1481" w:id="1483"/>
      <w:bookmarkEnd w:id="1483"/>
      <w:r>
        <w:rPr/>
      </w:r>
      <w:hyperlink w:history="true" w:anchor="_bookmark1458">
        <w:r>
          <w:rPr>
            <w:color w:val="005DA1"/>
            <w:spacing w:val="-4"/>
            <w:position w:val="5"/>
            <w:sz w:val="14"/>
            <w:u w:val="single" w:color="005DA1"/>
          </w:rPr>
          <w:t>773</w:t>
        </w:r>
      </w:hyperlink>
      <w:r>
        <w:rPr>
          <w:spacing w:val="-4"/>
          <w:position w:val="5"/>
          <w:sz w:val="14"/>
        </w:rPr>
        <w:t>.</w:t>
      </w:r>
      <w:r>
        <w:rPr>
          <w:position w:val="5"/>
          <w:sz w:val="14"/>
        </w:rPr>
        <w:tab/>
      </w:r>
      <w:r>
        <w:rPr/>
        <w:t>Above. See Vol.II, para.44-</w:t>
      </w:r>
      <w:r>
        <w:rPr>
          <w:spacing w:val="-4"/>
        </w:rPr>
        <w:t>408.</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1482" w:id="1484"/>
      <w:bookmarkEnd w:id="1484"/>
      <w:r>
        <w:rPr/>
      </w:r>
      <w:hyperlink w:history="true" w:anchor="_bookmark1459">
        <w:r>
          <w:rPr>
            <w:color w:val="005DA1"/>
            <w:spacing w:val="-4"/>
            <w:position w:val="5"/>
            <w:sz w:val="14"/>
            <w:u w:val="single" w:color="005DA1"/>
          </w:rPr>
          <w:t>774</w:t>
        </w:r>
      </w:hyperlink>
      <w:r>
        <w:rPr>
          <w:spacing w:val="-4"/>
          <w:position w:val="5"/>
          <w:sz w:val="14"/>
        </w:rPr>
        <w:t>.</w:t>
      </w:r>
      <w:r>
        <w:rPr>
          <w:position w:val="5"/>
          <w:sz w:val="14"/>
        </w:rPr>
        <w:tab/>
      </w:r>
      <w:r>
        <w:rPr>
          <w:sz w:val="20"/>
        </w:rPr>
        <w:t>See</w:t>
      </w:r>
      <w:r>
        <w:rPr>
          <w:spacing w:val="19"/>
          <w:sz w:val="20"/>
        </w:rPr>
        <w:t> </w:t>
      </w:r>
      <w:r>
        <w:rPr>
          <w:sz w:val="20"/>
        </w:rPr>
        <w:t>above,</w:t>
      </w:r>
      <w:r>
        <w:rPr>
          <w:spacing w:val="19"/>
          <w:sz w:val="20"/>
        </w:rPr>
        <w:t> </w:t>
      </w:r>
      <w:r>
        <w:rPr>
          <w:sz w:val="20"/>
        </w:rPr>
        <w:t>para.26-122.</w:t>
      </w:r>
      <w:r>
        <w:rPr>
          <w:spacing w:val="19"/>
          <w:sz w:val="20"/>
        </w:rPr>
        <w:t> </w:t>
      </w:r>
      <w:r>
        <w:rPr>
          <w:sz w:val="20"/>
        </w:rPr>
        <w:t>See</w:t>
      </w:r>
      <w:r>
        <w:rPr>
          <w:spacing w:val="19"/>
          <w:sz w:val="20"/>
        </w:rPr>
        <w:t> </w:t>
      </w:r>
      <w:r>
        <w:rPr>
          <w:rFonts w:ascii="Arial" w:hAnsi="Arial"/>
          <w:i/>
          <w:sz w:val="20"/>
        </w:rPr>
        <w:t>Brown</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K.M.R.</w:t>
      </w:r>
      <w:r>
        <w:rPr>
          <w:rFonts w:ascii="Arial" w:hAnsi="Arial"/>
          <w:i/>
          <w:spacing w:val="19"/>
          <w:sz w:val="20"/>
        </w:rPr>
        <w:t> </w:t>
      </w:r>
      <w:r>
        <w:rPr>
          <w:rFonts w:ascii="Arial" w:hAnsi="Arial"/>
          <w:i/>
          <w:sz w:val="20"/>
        </w:rPr>
        <w:t>Services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[1995]</w:t>
      </w:r>
      <w:r>
        <w:rPr>
          <w:rFonts w:ascii="Arial" w:hAnsi="Arial"/>
          <w:i/>
          <w:spacing w:val="19"/>
          <w:sz w:val="20"/>
        </w:rPr>
        <w:t> </w:t>
      </w:r>
      <w:r>
        <w:rPr>
          <w:rFonts w:ascii="Arial" w:hAnsi="Arial"/>
          <w:i/>
          <w:sz w:val="20"/>
        </w:rPr>
        <w:t>4</w:t>
      </w:r>
      <w:r>
        <w:rPr>
          <w:rFonts w:ascii="Arial" w:hAnsi="Arial"/>
          <w:i/>
          <w:spacing w:val="19"/>
          <w:sz w:val="20"/>
        </w:rPr>
        <w:t> </w:t>
      </w:r>
      <w:r>
        <w:rPr>
          <w:rFonts w:ascii="Arial" w:hAnsi="Arial"/>
          <w:i/>
          <w:sz w:val="20"/>
        </w:rPr>
        <w:t>All</w:t>
      </w:r>
      <w:r>
        <w:rPr>
          <w:rFonts w:ascii="Arial" w:hAnsi="Arial"/>
          <w:i/>
          <w:spacing w:val="19"/>
          <w:sz w:val="20"/>
        </w:rPr>
        <w:t> </w:t>
      </w:r>
      <w:r>
        <w:rPr>
          <w:rFonts w:ascii="Arial" w:hAnsi="Arial"/>
          <w:i/>
          <w:sz w:val="20"/>
        </w:rPr>
        <w:t>E.R.</w:t>
      </w:r>
      <w:r>
        <w:rPr>
          <w:rFonts w:ascii="Arial" w:hAnsi="Arial"/>
          <w:i/>
          <w:spacing w:val="19"/>
          <w:sz w:val="20"/>
        </w:rPr>
        <w:t> </w:t>
      </w:r>
      <w:r>
        <w:rPr>
          <w:rFonts w:ascii="Arial" w:hAnsi="Arial"/>
          <w:i/>
          <w:sz w:val="20"/>
        </w:rPr>
        <w:t>598,</w:t>
      </w:r>
      <w:r>
        <w:rPr>
          <w:rFonts w:ascii="Arial" w:hAnsi="Arial"/>
          <w:i/>
          <w:spacing w:val="19"/>
          <w:sz w:val="20"/>
        </w:rPr>
        <w:t> </w:t>
      </w:r>
      <w:r>
        <w:rPr>
          <w:rFonts w:ascii="Arial" w:hAnsi="Arial"/>
          <w:i/>
          <w:sz w:val="20"/>
        </w:rPr>
        <w:t>621</w:t>
      </w:r>
      <w:r>
        <w:rPr>
          <w:sz w:val="20"/>
        </w:rPr>
        <w:t>;</w:t>
      </w:r>
      <w:r>
        <w:rPr>
          <w:spacing w:val="19"/>
          <w:sz w:val="20"/>
        </w:rPr>
        <w:t> </w:t>
      </w:r>
      <w:r>
        <w:rPr>
          <w:rFonts w:ascii="Arial" w:hAnsi="Arial"/>
          <w:i/>
          <w:sz w:val="20"/>
        </w:rPr>
        <w:t>North Sea</w:t>
      </w:r>
      <w:r>
        <w:rPr>
          <w:rFonts w:ascii="Arial" w:hAnsi="Arial"/>
          <w:i/>
          <w:spacing w:val="2"/>
          <w:sz w:val="20"/>
        </w:rPr>
        <w:t> </w:t>
      </w:r>
      <w:r>
        <w:rPr>
          <w:rFonts w:ascii="Arial" w:hAnsi="Arial"/>
          <w:i/>
          <w:sz w:val="20"/>
        </w:rPr>
        <w:t>Energy</w:t>
      </w:r>
      <w:r>
        <w:rPr>
          <w:rFonts w:ascii="Arial" w:hAnsi="Arial"/>
          <w:i/>
          <w:spacing w:val="2"/>
          <w:sz w:val="20"/>
        </w:rPr>
        <w:t> </w:t>
      </w:r>
      <w:r>
        <w:rPr>
          <w:rFonts w:ascii="Arial" w:hAnsi="Arial"/>
          <w:i/>
          <w:sz w:val="20"/>
        </w:rPr>
        <w:t>Holdings</w:t>
      </w:r>
      <w:r>
        <w:rPr>
          <w:rFonts w:ascii="Arial" w:hAnsi="Arial"/>
          <w:i/>
          <w:spacing w:val="2"/>
          <w:sz w:val="20"/>
        </w:rPr>
        <w:t> </w:t>
      </w:r>
      <w:r>
        <w:rPr>
          <w:rFonts w:ascii="Arial" w:hAnsi="Arial"/>
          <w:i/>
          <w:sz w:val="20"/>
        </w:rPr>
        <w:t>NV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Petroleum</w:t>
      </w:r>
      <w:r>
        <w:rPr>
          <w:rFonts w:ascii="Arial" w:hAnsi="Arial"/>
          <w:i/>
          <w:spacing w:val="2"/>
          <w:sz w:val="20"/>
        </w:rPr>
        <w:t> </w:t>
      </w:r>
      <w:r>
        <w:rPr>
          <w:rFonts w:ascii="Arial" w:hAnsi="Arial"/>
          <w:i/>
          <w:sz w:val="20"/>
        </w:rPr>
        <w:t>Authority</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Thailand</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418,</w:t>
      </w:r>
      <w:r>
        <w:rPr>
          <w:rFonts w:ascii="Arial" w:hAnsi="Arial"/>
          <w:i/>
          <w:spacing w:val="2"/>
          <w:sz w:val="20"/>
        </w:rPr>
        <w:t> </w:t>
      </w:r>
      <w:r>
        <w:rPr>
          <w:rFonts w:ascii="Arial" w:hAnsi="Arial"/>
          <w:i/>
          <w:spacing w:val="-2"/>
          <w:sz w:val="20"/>
        </w:rPr>
        <w:t>438–439</w:t>
      </w:r>
    </w:p>
    <w:p>
      <w:pPr>
        <w:spacing w:line="225" w:lineRule="exact" w:before="0"/>
        <w:ind w:left="705" w:right="0" w:firstLine="0"/>
        <w:jc w:val="left"/>
        <w:rPr>
          <w:sz w:val="20"/>
        </w:rPr>
      </w:pPr>
      <w:r>
        <w:rPr>
          <w:spacing w:val="-10"/>
          <w:sz w:val="20"/>
        </w:rPr>
        <w:t>.</w:t>
      </w:r>
    </w:p>
    <w:p>
      <w:pPr>
        <w:pStyle w:val="BodyText"/>
        <w:spacing w:before="9"/>
      </w:pPr>
    </w:p>
    <w:p>
      <w:pPr>
        <w:pStyle w:val="BodyText"/>
        <w:spacing w:line="235" w:lineRule="auto"/>
        <w:ind w:left="705" w:right="167" w:hanging="541"/>
        <w:jc w:val="both"/>
      </w:pPr>
      <w:bookmarkStart w:name="_bookmark1483" w:id="1485"/>
      <w:bookmarkEnd w:id="1485"/>
      <w:r>
        <w:rPr/>
      </w:r>
      <w:hyperlink w:history="true" w:anchor="_bookmark1460">
        <w:r>
          <w:rPr>
            <w:color w:val="005DA1"/>
            <w:position w:val="5"/>
            <w:sz w:val="14"/>
            <w:u w:val="single" w:color="005DA1"/>
          </w:rPr>
          <w:t>775</w:t>
        </w:r>
      </w:hyperlink>
      <w:r>
        <w:rPr>
          <w:position w:val="5"/>
          <w:sz w:val="14"/>
        </w:rPr>
        <w:t>.</w:t>
      </w:r>
      <w:r>
        <w:rPr>
          <w:spacing w:val="80"/>
          <w:position w:val="5"/>
          <w:sz w:val="14"/>
        </w:rPr>
        <w:t> </w:t>
      </w:r>
      <w:r>
        <w:rPr/>
        <w:t>700 If the defendant had been told of the special contracts, and should have realised, as a reasonable man, that he was undertaking responsibility for the loss of higher-than-usual </w:t>
      </w:r>
      <w:r>
        <w:rPr/>
        <w:t>profits in the case of breach, he would have been able to demand a higher price, or to cover himself with an exemption.</w:t>
      </w:r>
    </w:p>
    <w:p>
      <w:pPr>
        <w:pStyle w:val="BodyText"/>
        <w:spacing w:before="4"/>
      </w:pPr>
    </w:p>
    <w:p>
      <w:pPr>
        <w:pStyle w:val="BodyText"/>
        <w:tabs>
          <w:tab w:pos="705" w:val="left" w:leader="none"/>
        </w:tabs>
        <w:ind w:left="165"/>
      </w:pPr>
      <w:bookmarkStart w:name="_bookmark1484" w:id="1486"/>
      <w:bookmarkEnd w:id="1486"/>
      <w:r>
        <w:rPr/>
      </w:r>
      <w:hyperlink w:history="true" w:anchor="_bookmark1461">
        <w:r>
          <w:rPr>
            <w:color w:val="005DA1"/>
            <w:spacing w:val="-4"/>
            <w:position w:val="5"/>
            <w:sz w:val="14"/>
            <w:u w:val="single" w:color="005DA1"/>
          </w:rPr>
          <w:t>776</w:t>
        </w:r>
      </w:hyperlink>
      <w:r>
        <w:rPr>
          <w:spacing w:val="-4"/>
          <w:position w:val="5"/>
          <w:sz w:val="14"/>
        </w:rPr>
        <w:t>.</w:t>
      </w:r>
      <w:r>
        <w:rPr>
          <w:position w:val="5"/>
          <w:sz w:val="14"/>
        </w:rPr>
        <w:tab/>
      </w:r>
      <w:r>
        <w:rPr/>
        <w:t>See</w:t>
      </w:r>
      <w:r>
        <w:rPr>
          <w:spacing w:val="-2"/>
        </w:rPr>
        <w:t> </w:t>
      </w:r>
      <w:r>
        <w:rPr/>
        <w:t>above, para.26-</w:t>
      </w:r>
      <w:r>
        <w:rPr>
          <w:spacing w:val="-4"/>
        </w:rPr>
        <w:t>117.</w:t>
      </w:r>
    </w:p>
    <w:p>
      <w:pPr>
        <w:pStyle w:val="BodyText"/>
        <w:spacing w:before="9"/>
      </w:pPr>
    </w:p>
    <w:p>
      <w:pPr>
        <w:spacing w:line="235" w:lineRule="auto" w:before="0"/>
        <w:ind w:left="705" w:right="168" w:hanging="541"/>
        <w:jc w:val="both"/>
        <w:rPr>
          <w:sz w:val="20"/>
        </w:rPr>
      </w:pPr>
      <w:bookmarkStart w:name="_bookmark1485" w:id="1487"/>
      <w:bookmarkEnd w:id="1487"/>
      <w:r>
        <w:rPr/>
      </w:r>
      <w:hyperlink w:history="true" w:anchor="_bookmark1462">
        <w:r>
          <w:rPr>
            <w:color w:val="005DA1"/>
            <w:position w:val="5"/>
            <w:sz w:val="14"/>
            <w:u w:val="single" w:color="005DA1"/>
          </w:rPr>
          <w:t>777</w:t>
        </w:r>
      </w:hyperlink>
      <w:r>
        <w:rPr>
          <w:position w:val="5"/>
          <w:sz w:val="14"/>
        </w:rPr>
        <w:t>.</w:t>
      </w:r>
      <w:r>
        <w:rPr>
          <w:spacing w:val="40"/>
          <w:position w:val="5"/>
          <w:sz w:val="14"/>
        </w:rPr>
        <w:t>  </w:t>
      </w:r>
      <w:r>
        <w:rPr>
          <w:rFonts w:ascii="Arial"/>
          <w:i/>
          <w:sz w:val="20"/>
        </w:rPr>
        <w:t>Cory v Thames Ironworks &amp; Shipbuilding Co Ltd (1868) L.R. 3 Q.B. 181</w:t>
      </w:r>
      <w:r>
        <w:rPr>
          <w:sz w:val="20"/>
        </w:rPr>
        <w:t>. cf. </w:t>
      </w:r>
      <w:r>
        <w:rPr>
          <w:rFonts w:ascii="Arial"/>
          <w:i/>
          <w:sz w:val="20"/>
        </w:rPr>
        <w:t>Re Trent </w:t>
      </w:r>
      <w:r>
        <w:rPr>
          <w:rFonts w:ascii="Arial"/>
          <w:i/>
          <w:sz w:val="20"/>
        </w:rPr>
        <w:t>and Humber Co (1868) L.R. 4 Ch. App. 112 </w:t>
      </w:r>
      <w:r>
        <w:rPr>
          <w:sz w:val="20"/>
        </w:rPr>
        <w:t>(delay by a repairer); </w:t>
      </w:r>
      <w:r>
        <w:rPr>
          <w:rFonts w:ascii="Arial"/>
          <w:i/>
          <w:sz w:val="20"/>
        </w:rPr>
        <w:t>Steam Herring Fleet v Richards (1901) 17 T.L.R. 731</w:t>
      </w:r>
      <w:r>
        <w:rPr>
          <w:sz w:val="20"/>
        </w:rPr>
        <w:t>.</w:t>
      </w:r>
    </w:p>
    <w:p>
      <w:pPr>
        <w:pStyle w:val="BodyText"/>
        <w:spacing w:before="5"/>
      </w:pPr>
    </w:p>
    <w:p>
      <w:pPr>
        <w:pStyle w:val="BodyText"/>
        <w:tabs>
          <w:tab w:pos="705" w:val="left" w:leader="none"/>
        </w:tabs>
        <w:ind w:left="165"/>
      </w:pPr>
      <w:bookmarkStart w:name="_bookmark1486" w:id="1488"/>
      <w:bookmarkEnd w:id="1488"/>
      <w:r>
        <w:rPr/>
      </w:r>
      <w:hyperlink w:history="true" w:anchor="_bookmark1462">
        <w:r>
          <w:rPr>
            <w:color w:val="005DA1"/>
            <w:spacing w:val="-4"/>
            <w:position w:val="5"/>
            <w:sz w:val="14"/>
            <w:u w:val="single" w:color="005DA1"/>
          </w:rPr>
          <w:t>778</w:t>
        </w:r>
      </w:hyperlink>
      <w:r>
        <w:rPr>
          <w:spacing w:val="-4"/>
          <w:position w:val="5"/>
          <w:sz w:val="14"/>
        </w:rPr>
        <w:t>.</w:t>
      </w:r>
      <w:r>
        <w:rPr>
          <w:position w:val="5"/>
          <w:sz w:val="14"/>
        </w:rPr>
        <w:tab/>
      </w:r>
      <w:r>
        <w:rPr/>
        <w:t>See Vol.II, paras 44-400—44-405, 44-415, 44-</w:t>
      </w:r>
      <w:r>
        <w:rPr>
          <w:spacing w:val="-4"/>
        </w:rPr>
        <w:t>424.</w:t>
      </w:r>
    </w:p>
    <w:p>
      <w:pPr>
        <w:pStyle w:val="BodyText"/>
        <w:spacing w:before="9"/>
      </w:pPr>
    </w:p>
    <w:p>
      <w:pPr>
        <w:spacing w:line="235" w:lineRule="auto" w:before="0"/>
        <w:ind w:left="705" w:right="167" w:hanging="541"/>
        <w:jc w:val="both"/>
        <w:rPr>
          <w:sz w:val="20"/>
        </w:rPr>
      </w:pPr>
      <w:bookmarkStart w:name="_bookmark1487" w:id="1489"/>
      <w:bookmarkEnd w:id="1489"/>
      <w:r>
        <w:rPr/>
      </w:r>
      <w:hyperlink w:history="true" w:anchor="_bookmark1463">
        <w:r>
          <w:rPr>
            <w:color w:val="005DA1"/>
            <w:position w:val="5"/>
            <w:sz w:val="14"/>
            <w:u w:val="single" w:color="005DA1"/>
          </w:rPr>
          <w:t>779</w:t>
        </w:r>
      </w:hyperlink>
      <w:r>
        <w:rPr>
          <w:position w:val="5"/>
          <w:sz w:val="14"/>
        </w:rPr>
        <w:t>.</w:t>
      </w:r>
      <w:r>
        <w:rPr>
          <w:spacing w:val="80"/>
          <w:position w:val="5"/>
          <w:sz w:val="14"/>
        </w:rPr>
        <w:t>  </w:t>
      </w:r>
      <w:r>
        <w:rPr>
          <w:rFonts w:ascii="Arial" w:hAnsi="Arial"/>
          <w:i/>
          <w:sz w:val="20"/>
        </w:rPr>
        <w:t>H.</w:t>
      </w:r>
      <w:r>
        <w:rPr>
          <w:rFonts w:ascii="Arial" w:hAnsi="Arial"/>
          <w:i/>
          <w:spacing w:val="40"/>
          <w:sz w:val="20"/>
        </w:rPr>
        <w:t> </w:t>
      </w:r>
      <w:r>
        <w:rPr>
          <w:rFonts w:ascii="Arial" w:hAnsi="Arial"/>
          <w:i/>
          <w:sz w:val="20"/>
        </w:rPr>
        <w:t>Parsons</w:t>
      </w:r>
      <w:r>
        <w:rPr>
          <w:rFonts w:ascii="Arial" w:hAnsi="Arial"/>
          <w:i/>
          <w:spacing w:val="40"/>
          <w:sz w:val="20"/>
        </w:rPr>
        <w:t> </w:t>
      </w:r>
      <w:r>
        <w:rPr>
          <w:rFonts w:ascii="Arial" w:hAnsi="Arial"/>
          <w:i/>
          <w:sz w:val="20"/>
        </w:rPr>
        <w:t>(Livestock)</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Uttley,</w:t>
      </w:r>
      <w:r>
        <w:rPr>
          <w:rFonts w:ascii="Arial" w:hAnsi="Arial"/>
          <w:i/>
          <w:spacing w:val="40"/>
          <w:sz w:val="20"/>
        </w:rPr>
        <w:t> </w:t>
      </w:r>
      <w:r>
        <w:rPr>
          <w:rFonts w:ascii="Arial" w:hAnsi="Arial"/>
          <w:i/>
          <w:sz w:val="20"/>
        </w:rPr>
        <w:t>Ingham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[1978]</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791,</w:t>
      </w:r>
      <w:r>
        <w:rPr>
          <w:rFonts w:ascii="Arial" w:hAnsi="Arial"/>
          <w:i/>
          <w:spacing w:val="40"/>
          <w:sz w:val="20"/>
        </w:rPr>
        <w:t> </w:t>
      </w:r>
      <w:r>
        <w:rPr>
          <w:rFonts w:ascii="Arial" w:hAnsi="Arial"/>
          <w:i/>
          <w:sz w:val="20"/>
        </w:rPr>
        <w:t>810,</w:t>
      </w:r>
      <w:r>
        <w:rPr>
          <w:rFonts w:ascii="Arial" w:hAnsi="Arial"/>
          <w:i/>
          <w:spacing w:val="40"/>
          <w:sz w:val="20"/>
        </w:rPr>
        <w:t> </w:t>
      </w:r>
      <w:r>
        <w:rPr>
          <w:rFonts w:ascii="Arial" w:hAnsi="Arial"/>
          <w:i/>
          <w:sz w:val="20"/>
        </w:rPr>
        <w:t>813</w:t>
      </w:r>
      <w:r>
        <w:rPr>
          <w:sz w:val="20"/>
        </w:rPr>
        <w:t>;</w:t>
      </w:r>
      <w:r>
        <w:rPr>
          <w:spacing w:val="40"/>
          <w:sz w:val="20"/>
        </w:rPr>
        <w:t> </w:t>
      </w:r>
      <w:r>
        <w:rPr>
          <w:sz w:val="20"/>
        </w:rPr>
        <w:t>Vol.II, para.44-429. (Loss of “repeat orders” from the buyer’s disappointed customers may also be recovered: see Vol.II, para.44-425.)</w:t>
      </w:r>
    </w:p>
    <w:p>
      <w:pPr>
        <w:pStyle w:val="BodyText"/>
        <w:spacing w:before="5"/>
      </w:pPr>
    </w:p>
    <w:p>
      <w:pPr>
        <w:tabs>
          <w:tab w:pos="705" w:val="left" w:leader="none"/>
        </w:tabs>
        <w:spacing w:before="0"/>
        <w:ind w:left="165" w:right="0" w:firstLine="0"/>
        <w:jc w:val="left"/>
        <w:rPr>
          <w:sz w:val="20"/>
        </w:rPr>
      </w:pPr>
      <w:bookmarkStart w:name="_bookmark1488" w:id="1490"/>
      <w:bookmarkEnd w:id="1490"/>
      <w:r>
        <w:rPr/>
      </w:r>
      <w:hyperlink w:history="true" w:anchor="_bookmark1464">
        <w:r>
          <w:rPr>
            <w:color w:val="005DA1"/>
            <w:spacing w:val="-4"/>
            <w:position w:val="5"/>
            <w:sz w:val="14"/>
            <w:u w:val="single" w:color="005DA1"/>
          </w:rPr>
          <w:t>780</w:t>
        </w:r>
      </w:hyperlink>
      <w:r>
        <w:rPr>
          <w:spacing w:val="-4"/>
          <w:position w:val="5"/>
          <w:sz w:val="14"/>
        </w:rPr>
        <w:t>.</w:t>
      </w:r>
      <w:r>
        <w:rPr>
          <w:position w:val="5"/>
          <w:sz w:val="14"/>
        </w:rPr>
        <w:tab/>
      </w:r>
      <w:r>
        <w:rPr>
          <w:rFonts w:ascii="Arial"/>
          <w:i/>
          <w:sz w:val="20"/>
        </w:rPr>
        <w:t>[2008] UKHL 48, [2009] 1 A.C. </w:t>
      </w:r>
      <w:r>
        <w:rPr>
          <w:rFonts w:ascii="Arial"/>
          <w:i/>
          <w:spacing w:val="-5"/>
          <w:sz w:val="20"/>
        </w:rPr>
        <w:t>61</w:t>
      </w:r>
      <w:r>
        <w:rPr>
          <w:spacing w:val="-5"/>
          <w:sz w:val="20"/>
        </w:rPr>
        <w:t>.</w:t>
      </w:r>
    </w:p>
    <w:p>
      <w:pPr>
        <w:pStyle w:val="BodyText"/>
        <w:spacing w:before="5"/>
      </w:pPr>
    </w:p>
    <w:p>
      <w:pPr>
        <w:pStyle w:val="BodyText"/>
        <w:tabs>
          <w:tab w:pos="705" w:val="left" w:leader="none"/>
        </w:tabs>
        <w:ind w:left="165"/>
      </w:pPr>
      <w:bookmarkStart w:name="_bookmark1489" w:id="1491"/>
      <w:bookmarkEnd w:id="1491"/>
      <w:r>
        <w:rPr/>
      </w:r>
      <w:hyperlink w:history="true" w:anchor="_bookmark1465">
        <w:r>
          <w:rPr>
            <w:color w:val="005DA1"/>
            <w:spacing w:val="-4"/>
            <w:position w:val="5"/>
            <w:sz w:val="14"/>
            <w:u w:val="single" w:color="005DA1"/>
          </w:rPr>
          <w:t>781</w:t>
        </w:r>
      </w:hyperlink>
      <w:r>
        <w:rPr>
          <w:spacing w:val="-4"/>
          <w:position w:val="5"/>
          <w:sz w:val="14"/>
        </w:rPr>
        <w:t>.</w:t>
      </w:r>
      <w:r>
        <w:rPr>
          <w:position w:val="5"/>
          <w:sz w:val="14"/>
        </w:rPr>
        <w:tab/>
      </w:r>
      <w:r>
        <w:rPr/>
        <w:t>See above, paras 26-126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490" w:id="1492"/>
      <w:bookmarkEnd w:id="1492"/>
      <w:r>
        <w:rPr/>
      </w:r>
      <w:hyperlink w:history="true" w:anchor="_bookmark1466">
        <w:r>
          <w:rPr>
            <w:color w:val="005DA1"/>
            <w:spacing w:val="-4"/>
            <w:position w:val="5"/>
            <w:sz w:val="14"/>
            <w:u w:val="single" w:color="005DA1"/>
          </w:rPr>
          <w:t>782</w:t>
        </w:r>
      </w:hyperlink>
      <w:r>
        <w:rPr>
          <w:spacing w:val="-4"/>
          <w:position w:val="5"/>
          <w:sz w:val="14"/>
        </w:rPr>
        <w:t>.</w:t>
      </w:r>
      <w:r>
        <w:rPr>
          <w:position w:val="5"/>
          <w:sz w:val="14"/>
        </w:rPr>
        <w:tab/>
      </w:r>
      <w:r>
        <w:rPr>
          <w:rFonts w:ascii="Arial"/>
          <w:i/>
          <w:sz w:val="20"/>
        </w:rPr>
        <w:t>Diamond</w:t>
      </w:r>
      <w:r>
        <w:rPr>
          <w:rFonts w:ascii="Arial"/>
          <w:i/>
          <w:spacing w:val="40"/>
          <w:sz w:val="20"/>
        </w:rPr>
        <w:t> </w:t>
      </w:r>
      <w:r>
        <w:rPr>
          <w:rFonts w:ascii="Arial"/>
          <w:i/>
          <w:sz w:val="20"/>
        </w:rPr>
        <w:t>v</w:t>
      </w:r>
      <w:r>
        <w:rPr>
          <w:rFonts w:ascii="Arial"/>
          <w:i/>
          <w:spacing w:val="40"/>
          <w:sz w:val="20"/>
        </w:rPr>
        <w:t> </w:t>
      </w:r>
      <w:r>
        <w:rPr>
          <w:rFonts w:ascii="Arial"/>
          <w:i/>
          <w:sz w:val="20"/>
        </w:rPr>
        <w:t>Campbell-Jones</w:t>
      </w:r>
      <w:r>
        <w:rPr>
          <w:rFonts w:ascii="Arial"/>
          <w:i/>
          <w:spacing w:val="40"/>
          <w:sz w:val="20"/>
        </w:rPr>
        <w:t> </w:t>
      </w:r>
      <w:r>
        <w:rPr>
          <w:rFonts w:ascii="Arial"/>
          <w:i/>
          <w:sz w:val="20"/>
        </w:rPr>
        <w:t>[1961]</w:t>
      </w:r>
      <w:r>
        <w:rPr>
          <w:rFonts w:ascii="Arial"/>
          <w:i/>
          <w:spacing w:val="40"/>
          <w:sz w:val="20"/>
        </w:rPr>
        <w:t> </w:t>
      </w:r>
      <w:r>
        <w:rPr>
          <w:rFonts w:ascii="Arial"/>
          <w:i/>
          <w:sz w:val="20"/>
        </w:rPr>
        <w:t>Ch.</w:t>
      </w:r>
      <w:r>
        <w:rPr>
          <w:rFonts w:ascii="Arial"/>
          <w:i/>
          <w:spacing w:val="40"/>
          <w:sz w:val="20"/>
        </w:rPr>
        <w:t> </w:t>
      </w:r>
      <w:r>
        <w:rPr>
          <w:rFonts w:ascii="Arial"/>
          <w:i/>
          <w:sz w:val="20"/>
        </w:rPr>
        <w:t>22</w:t>
      </w:r>
      <w:r>
        <w:rPr>
          <w:sz w:val="20"/>
        </w:rPr>
        <w:t>;</w:t>
      </w:r>
      <w:r>
        <w:rPr>
          <w:spacing w:val="40"/>
          <w:sz w:val="20"/>
        </w:rPr>
        <w:t> </w:t>
      </w:r>
      <w:r>
        <w:rPr>
          <w:rFonts w:ascii="Arial"/>
          <w:i/>
          <w:sz w:val="20"/>
        </w:rPr>
        <w:t>Cottrill</w:t>
      </w:r>
      <w:r>
        <w:rPr>
          <w:rFonts w:ascii="Arial"/>
          <w:i/>
          <w:spacing w:val="40"/>
          <w:sz w:val="20"/>
        </w:rPr>
        <w:t> </w:t>
      </w:r>
      <w:r>
        <w:rPr>
          <w:rFonts w:ascii="Arial"/>
          <w:i/>
          <w:sz w:val="20"/>
        </w:rPr>
        <w:t>v</w:t>
      </w:r>
      <w:r>
        <w:rPr>
          <w:rFonts w:ascii="Arial"/>
          <w:i/>
          <w:spacing w:val="40"/>
          <w:sz w:val="20"/>
        </w:rPr>
        <w:t> </w:t>
      </w:r>
      <w:r>
        <w:rPr>
          <w:rFonts w:ascii="Arial"/>
          <w:i/>
          <w:sz w:val="20"/>
        </w:rPr>
        <w:t>Steyning</w:t>
      </w:r>
      <w:r>
        <w:rPr>
          <w:rFonts w:ascii="Arial"/>
          <w:i/>
          <w:spacing w:val="40"/>
          <w:sz w:val="20"/>
        </w:rPr>
        <w:t> </w:t>
      </w:r>
      <w:r>
        <w:rPr>
          <w:rFonts w:ascii="Arial"/>
          <w:i/>
          <w:sz w:val="20"/>
        </w:rPr>
        <w:t>and</w:t>
      </w:r>
      <w:r>
        <w:rPr>
          <w:rFonts w:ascii="Arial"/>
          <w:i/>
          <w:spacing w:val="40"/>
          <w:sz w:val="20"/>
        </w:rPr>
        <w:t> </w:t>
      </w:r>
      <w:r>
        <w:rPr>
          <w:rFonts w:ascii="Arial"/>
          <w:i/>
          <w:sz w:val="20"/>
        </w:rPr>
        <w:t>Littlehampton</w:t>
      </w:r>
      <w:r>
        <w:rPr>
          <w:rFonts w:ascii="Arial"/>
          <w:i/>
          <w:spacing w:val="40"/>
          <w:sz w:val="20"/>
        </w:rPr>
        <w:t> </w:t>
      </w:r>
      <w:r>
        <w:rPr>
          <w:rFonts w:ascii="Arial"/>
          <w:i/>
          <w:sz w:val="20"/>
        </w:rPr>
        <w:t>Building</w:t>
      </w:r>
      <w:r>
        <w:rPr>
          <w:rFonts w:ascii="Arial"/>
          <w:i/>
          <w:spacing w:val="40"/>
          <w:sz w:val="20"/>
        </w:rPr>
        <w:t> </w:t>
      </w:r>
      <w:r>
        <w:rPr>
          <w:rFonts w:ascii="Arial"/>
          <w:i/>
          <w:sz w:val="20"/>
        </w:rPr>
        <w:t>Society</w:t>
      </w:r>
      <w:r>
        <w:rPr>
          <w:rFonts w:ascii="Arial"/>
          <w:i/>
          <w:spacing w:val="74"/>
          <w:sz w:val="20"/>
        </w:rPr>
        <w:t> </w:t>
      </w:r>
      <w:r>
        <w:rPr>
          <w:rFonts w:ascii="Arial"/>
          <w:i/>
          <w:sz w:val="20"/>
        </w:rPr>
        <w:t>[1966]</w:t>
      </w:r>
      <w:r>
        <w:rPr>
          <w:rFonts w:ascii="Arial"/>
          <w:i/>
          <w:spacing w:val="75"/>
          <w:sz w:val="20"/>
        </w:rPr>
        <w:t> </w:t>
      </w:r>
      <w:r>
        <w:rPr>
          <w:rFonts w:ascii="Arial"/>
          <w:i/>
          <w:sz w:val="20"/>
        </w:rPr>
        <w:t>1</w:t>
      </w:r>
      <w:r>
        <w:rPr>
          <w:rFonts w:ascii="Arial"/>
          <w:i/>
          <w:spacing w:val="75"/>
          <w:sz w:val="20"/>
        </w:rPr>
        <w:t> </w:t>
      </w:r>
      <w:r>
        <w:rPr>
          <w:rFonts w:ascii="Arial"/>
          <w:i/>
          <w:sz w:val="20"/>
        </w:rPr>
        <w:t>W.L.R.</w:t>
      </w:r>
      <w:r>
        <w:rPr>
          <w:rFonts w:ascii="Arial"/>
          <w:i/>
          <w:spacing w:val="75"/>
          <w:sz w:val="20"/>
        </w:rPr>
        <w:t> </w:t>
      </w:r>
      <w:r>
        <w:rPr>
          <w:rFonts w:ascii="Arial"/>
          <w:i/>
          <w:sz w:val="20"/>
        </w:rPr>
        <w:t>753</w:t>
      </w:r>
      <w:r>
        <w:rPr>
          <w:sz w:val="20"/>
        </w:rPr>
        <w:t>;</w:t>
      </w:r>
      <w:r>
        <w:rPr>
          <w:spacing w:val="75"/>
          <w:sz w:val="20"/>
        </w:rPr>
        <w:t> </w:t>
      </w:r>
      <w:r>
        <w:rPr>
          <w:rFonts w:ascii="Arial"/>
          <w:i/>
          <w:sz w:val="20"/>
        </w:rPr>
        <w:t>Malhotra</w:t>
      </w:r>
      <w:r>
        <w:rPr>
          <w:rFonts w:ascii="Arial"/>
          <w:i/>
          <w:spacing w:val="75"/>
          <w:sz w:val="20"/>
        </w:rPr>
        <w:t> </w:t>
      </w:r>
      <w:r>
        <w:rPr>
          <w:rFonts w:ascii="Arial"/>
          <w:i/>
          <w:sz w:val="20"/>
        </w:rPr>
        <w:t>v</w:t>
      </w:r>
      <w:r>
        <w:rPr>
          <w:rFonts w:ascii="Arial"/>
          <w:i/>
          <w:spacing w:val="74"/>
          <w:sz w:val="20"/>
        </w:rPr>
        <w:t> </w:t>
      </w:r>
      <w:r>
        <w:rPr>
          <w:rFonts w:ascii="Arial"/>
          <w:i/>
          <w:sz w:val="20"/>
        </w:rPr>
        <w:t>Choudhury</w:t>
      </w:r>
      <w:r>
        <w:rPr>
          <w:rFonts w:ascii="Arial"/>
          <w:i/>
          <w:spacing w:val="75"/>
          <w:sz w:val="20"/>
        </w:rPr>
        <w:t> </w:t>
      </w:r>
      <w:r>
        <w:rPr>
          <w:rFonts w:ascii="Arial"/>
          <w:i/>
          <w:sz w:val="20"/>
        </w:rPr>
        <w:t>[1980]</w:t>
      </w:r>
      <w:r>
        <w:rPr>
          <w:rFonts w:ascii="Arial"/>
          <w:i/>
          <w:spacing w:val="75"/>
          <w:sz w:val="20"/>
        </w:rPr>
        <w:t> </w:t>
      </w:r>
      <w:r>
        <w:rPr>
          <w:rFonts w:ascii="Arial"/>
          <w:i/>
          <w:sz w:val="20"/>
        </w:rPr>
        <w:t>Ch.</w:t>
      </w:r>
      <w:r>
        <w:rPr>
          <w:rFonts w:ascii="Arial"/>
          <w:i/>
          <w:spacing w:val="75"/>
          <w:sz w:val="20"/>
        </w:rPr>
        <w:t> </w:t>
      </w:r>
      <w:r>
        <w:rPr>
          <w:rFonts w:ascii="Arial"/>
          <w:i/>
          <w:sz w:val="20"/>
        </w:rPr>
        <w:t>52</w:t>
      </w:r>
      <w:r>
        <w:rPr>
          <w:sz w:val="20"/>
        </w:rPr>
        <w:t>.</w:t>
      </w:r>
      <w:r>
        <w:rPr>
          <w:spacing w:val="75"/>
          <w:sz w:val="20"/>
        </w:rPr>
        <w:t> </w:t>
      </w:r>
      <w:r>
        <w:rPr>
          <w:sz w:val="20"/>
        </w:rPr>
        <w:t>See</w:t>
      </w:r>
      <w:r>
        <w:rPr>
          <w:spacing w:val="75"/>
          <w:sz w:val="20"/>
        </w:rPr>
        <w:t> </w:t>
      </w:r>
      <w:r>
        <w:rPr>
          <w:sz w:val="20"/>
        </w:rPr>
        <w:t>below,</w:t>
      </w:r>
      <w:r>
        <w:rPr>
          <w:spacing w:val="75"/>
          <w:sz w:val="20"/>
        </w:rPr>
        <w:t> </w:t>
      </w:r>
      <w:r>
        <w:rPr>
          <w:spacing w:val="-4"/>
          <w:sz w:val="20"/>
        </w:rPr>
        <w:t>paras</w:t>
      </w:r>
    </w:p>
    <w:p>
      <w:pPr>
        <w:spacing w:after="0" w:line="235" w:lineRule="auto"/>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26-165—26-166. cf. </w:t>
      </w:r>
      <w:r>
        <w:rPr>
          <w:rFonts w:ascii="Arial" w:hAnsi="Arial"/>
          <w:i/>
          <w:sz w:val="20"/>
        </w:rPr>
        <w:t>Wright v Dean [1948] Ch. 687</w:t>
      </w:r>
      <w:r>
        <w:rPr>
          <w:sz w:val="20"/>
        </w:rPr>
        <w:t>; </w:t>
      </w:r>
      <w:r>
        <w:rPr>
          <w:rFonts w:ascii="Arial" w:hAnsi="Arial"/>
          <w:i/>
          <w:sz w:val="20"/>
        </w:rPr>
        <w:t>G. &amp; K. Ladenbau (UK) Ltd v Crawley &amp; De Reya [1978] 1 W.L.R. 266 </w:t>
      </w:r>
      <w:r>
        <w:rPr>
          <w:sz w:val="20"/>
        </w:rPr>
        <w:t>(solicitors who were negligent in checking title, which delayed completion, held liable for interest for delayed receipt of profits on a resale within their reasonable contemplation).</w:t>
      </w:r>
    </w:p>
    <w:p>
      <w:pPr>
        <w:pStyle w:val="BodyText"/>
        <w:spacing w:before="5"/>
      </w:pPr>
    </w:p>
    <w:p>
      <w:pPr>
        <w:pStyle w:val="BodyText"/>
        <w:tabs>
          <w:tab w:pos="705" w:val="left" w:leader="none"/>
        </w:tabs>
        <w:ind w:left="165"/>
      </w:pPr>
      <w:bookmarkStart w:name="_bookmark1491" w:id="1493"/>
      <w:bookmarkEnd w:id="1493"/>
      <w:r>
        <w:rPr/>
      </w:r>
      <w:hyperlink w:history="true" w:anchor="_bookmark1467">
        <w:r>
          <w:rPr>
            <w:color w:val="005DA1"/>
            <w:spacing w:val="-4"/>
            <w:position w:val="5"/>
            <w:sz w:val="14"/>
            <w:u w:val="single" w:color="005DA1"/>
          </w:rPr>
          <w:t>783</w:t>
        </w:r>
      </w:hyperlink>
      <w:r>
        <w:rPr>
          <w:spacing w:val="-4"/>
          <w:position w:val="5"/>
          <w:sz w:val="14"/>
        </w:rPr>
        <w:t>.</w:t>
      </w:r>
      <w:r>
        <w:rPr>
          <w:position w:val="5"/>
          <w:sz w:val="14"/>
        </w:rPr>
        <w:tab/>
      </w:r>
      <w:r>
        <w:rPr/>
        <w:t>On damages for delay in the carriage of passengers, see Vol.II, para.36-</w:t>
      </w:r>
      <w:r>
        <w:rPr>
          <w:spacing w:val="-4"/>
        </w:rPr>
        <w:t>066.</w:t>
      </w:r>
    </w:p>
    <w:p>
      <w:pPr>
        <w:pStyle w:val="BodyText"/>
        <w:spacing w:before="9"/>
      </w:pPr>
    </w:p>
    <w:p>
      <w:pPr>
        <w:tabs>
          <w:tab w:pos="705" w:val="left" w:leader="none"/>
        </w:tabs>
        <w:spacing w:line="235" w:lineRule="auto" w:before="0"/>
        <w:ind w:left="705" w:right="168" w:hanging="541"/>
        <w:jc w:val="left"/>
        <w:rPr>
          <w:sz w:val="20"/>
        </w:rPr>
      </w:pPr>
      <w:bookmarkStart w:name="_bookmark1492" w:id="1494"/>
      <w:bookmarkEnd w:id="1494"/>
      <w:r>
        <w:rPr/>
      </w:r>
      <w:hyperlink w:history="true" w:anchor="_bookmark1468">
        <w:r>
          <w:rPr>
            <w:color w:val="005DA1"/>
            <w:spacing w:val="-4"/>
            <w:position w:val="5"/>
            <w:sz w:val="14"/>
            <w:u w:val="single" w:color="005DA1"/>
          </w:rPr>
          <w:t>784</w:t>
        </w:r>
      </w:hyperlink>
      <w:r>
        <w:rPr>
          <w:spacing w:val="-4"/>
          <w:position w:val="5"/>
          <w:sz w:val="14"/>
        </w:rPr>
        <w:t>.</w:t>
      </w:r>
      <w:r>
        <w:rPr>
          <w:position w:val="5"/>
          <w:sz w:val="14"/>
        </w:rPr>
        <w:tab/>
      </w:r>
      <w:r>
        <w:rPr>
          <w:sz w:val="20"/>
        </w:rPr>
        <w:t>e.g.</w:t>
      </w:r>
      <w:r>
        <w:rPr>
          <w:spacing w:val="17"/>
          <w:sz w:val="20"/>
        </w:rPr>
        <w:t> </w:t>
      </w:r>
      <w:r>
        <w:rPr>
          <w:rFonts w:ascii="Arial"/>
          <w:i/>
          <w:sz w:val="20"/>
        </w:rPr>
        <w:t>Koufos</w:t>
      </w:r>
      <w:r>
        <w:rPr>
          <w:rFonts w:ascii="Arial"/>
          <w:i/>
          <w:spacing w:val="17"/>
          <w:sz w:val="20"/>
        </w:rPr>
        <w:t> </w:t>
      </w:r>
      <w:r>
        <w:rPr>
          <w:rFonts w:ascii="Arial"/>
          <w:i/>
          <w:sz w:val="20"/>
        </w:rPr>
        <w:t>v</w:t>
      </w:r>
      <w:r>
        <w:rPr>
          <w:rFonts w:ascii="Arial"/>
          <w:i/>
          <w:spacing w:val="17"/>
          <w:sz w:val="20"/>
        </w:rPr>
        <w:t> </w:t>
      </w:r>
      <w:r>
        <w:rPr>
          <w:rFonts w:ascii="Arial"/>
          <w:i/>
          <w:sz w:val="20"/>
        </w:rPr>
        <w:t>C.</w:t>
      </w:r>
      <w:r>
        <w:rPr>
          <w:rFonts w:ascii="Arial"/>
          <w:i/>
          <w:spacing w:val="17"/>
          <w:sz w:val="20"/>
        </w:rPr>
        <w:t> </w:t>
      </w:r>
      <w:r>
        <w:rPr>
          <w:rFonts w:ascii="Arial"/>
          <w:i/>
          <w:sz w:val="20"/>
        </w:rPr>
        <w:t>Czarnikow</w:t>
      </w:r>
      <w:r>
        <w:rPr>
          <w:rFonts w:ascii="Arial"/>
          <w:i/>
          <w:spacing w:val="17"/>
          <w:sz w:val="20"/>
        </w:rPr>
        <w:t> </w:t>
      </w:r>
      <w:r>
        <w:rPr>
          <w:rFonts w:ascii="Arial"/>
          <w:i/>
          <w:sz w:val="20"/>
        </w:rPr>
        <w:t>Ltd,</w:t>
      </w:r>
      <w:r>
        <w:rPr>
          <w:rFonts w:ascii="Arial"/>
          <w:i/>
          <w:spacing w:val="17"/>
          <w:sz w:val="20"/>
        </w:rPr>
        <w:t> </w:t>
      </w:r>
      <w:r>
        <w:rPr>
          <w:rFonts w:ascii="Arial"/>
          <w:i/>
          <w:sz w:val="20"/>
        </w:rPr>
        <w:t>The</w:t>
      </w:r>
      <w:r>
        <w:rPr>
          <w:rFonts w:ascii="Arial"/>
          <w:i/>
          <w:spacing w:val="17"/>
          <w:sz w:val="20"/>
        </w:rPr>
        <w:t> </w:t>
      </w:r>
      <w:r>
        <w:rPr>
          <w:rFonts w:ascii="Arial"/>
          <w:i/>
          <w:sz w:val="20"/>
        </w:rPr>
        <w:t>Heron</w:t>
      </w:r>
      <w:r>
        <w:rPr>
          <w:rFonts w:ascii="Arial"/>
          <w:i/>
          <w:spacing w:val="17"/>
          <w:sz w:val="20"/>
        </w:rPr>
        <w:t> </w:t>
      </w:r>
      <w:r>
        <w:rPr>
          <w:rFonts w:ascii="Arial"/>
          <w:i/>
          <w:sz w:val="20"/>
        </w:rPr>
        <w:t>II</w:t>
      </w:r>
      <w:r>
        <w:rPr>
          <w:rFonts w:ascii="Arial"/>
          <w:i/>
          <w:spacing w:val="17"/>
          <w:sz w:val="20"/>
        </w:rPr>
        <w:t> </w:t>
      </w:r>
      <w:r>
        <w:rPr>
          <w:rFonts w:ascii="Arial"/>
          <w:i/>
          <w:sz w:val="20"/>
        </w:rPr>
        <w:t>[1969]</w:t>
      </w:r>
      <w:r>
        <w:rPr>
          <w:rFonts w:ascii="Arial"/>
          <w:i/>
          <w:spacing w:val="17"/>
          <w:sz w:val="20"/>
        </w:rPr>
        <w:t> </w:t>
      </w:r>
      <w:r>
        <w:rPr>
          <w:rFonts w:ascii="Arial"/>
          <w:i/>
          <w:sz w:val="20"/>
        </w:rPr>
        <w:t>1</w:t>
      </w:r>
      <w:r>
        <w:rPr>
          <w:rFonts w:ascii="Arial"/>
          <w:i/>
          <w:spacing w:val="17"/>
          <w:sz w:val="20"/>
        </w:rPr>
        <w:t> </w:t>
      </w:r>
      <w:r>
        <w:rPr>
          <w:rFonts w:ascii="Arial"/>
          <w:i/>
          <w:sz w:val="20"/>
        </w:rPr>
        <w:t>A.C.</w:t>
      </w:r>
      <w:r>
        <w:rPr>
          <w:rFonts w:ascii="Arial"/>
          <w:i/>
          <w:spacing w:val="17"/>
          <w:sz w:val="20"/>
        </w:rPr>
        <w:t> </w:t>
      </w:r>
      <w:r>
        <w:rPr>
          <w:rFonts w:ascii="Arial"/>
          <w:i/>
          <w:sz w:val="20"/>
        </w:rPr>
        <w:t>350</w:t>
      </w:r>
      <w:r>
        <w:rPr>
          <w:sz w:val="20"/>
        </w:rPr>
        <w:t>;</w:t>
      </w:r>
      <w:r>
        <w:rPr>
          <w:spacing w:val="17"/>
          <w:sz w:val="20"/>
        </w:rPr>
        <w:t> </w:t>
      </w:r>
      <w:r>
        <w:rPr>
          <w:sz w:val="20"/>
        </w:rPr>
        <w:t>see</w:t>
      </w:r>
      <w:r>
        <w:rPr>
          <w:spacing w:val="17"/>
          <w:sz w:val="20"/>
        </w:rPr>
        <w:t> </w:t>
      </w:r>
      <w:r>
        <w:rPr>
          <w:sz w:val="20"/>
        </w:rPr>
        <w:t>below,</w:t>
      </w:r>
      <w:r>
        <w:rPr>
          <w:spacing w:val="17"/>
          <w:sz w:val="20"/>
        </w:rPr>
        <w:t> </w:t>
      </w:r>
      <w:r>
        <w:rPr>
          <w:sz w:val="20"/>
        </w:rPr>
        <w:t>para.26-163.</w:t>
      </w:r>
      <w:r>
        <w:rPr>
          <w:spacing w:val="17"/>
          <w:sz w:val="20"/>
        </w:rPr>
        <w:t> </w:t>
      </w:r>
      <w:r>
        <w:rPr>
          <w:sz w:val="20"/>
        </w:rPr>
        <w:t>On special conditions of carriage, see Vol.II, Ch.36.</w:t>
      </w:r>
    </w:p>
    <w:p>
      <w:pPr>
        <w:pStyle w:val="BodyText"/>
        <w:spacing w:before="9"/>
      </w:pPr>
    </w:p>
    <w:p>
      <w:pPr>
        <w:spacing w:line="235" w:lineRule="auto" w:before="0"/>
        <w:ind w:left="705" w:right="167" w:hanging="541"/>
        <w:jc w:val="both"/>
        <w:rPr>
          <w:sz w:val="20"/>
        </w:rPr>
      </w:pPr>
      <w:bookmarkStart w:name="_bookmark1493" w:id="1495"/>
      <w:bookmarkEnd w:id="1495"/>
      <w:r>
        <w:rPr/>
      </w:r>
      <w:hyperlink w:history="true" w:anchor="_bookmark1469">
        <w:r>
          <w:rPr>
            <w:color w:val="005DA1"/>
            <w:position w:val="5"/>
            <w:sz w:val="14"/>
            <w:u w:val="single" w:color="005DA1"/>
          </w:rPr>
          <w:t>785</w:t>
        </w:r>
      </w:hyperlink>
      <w:r>
        <w:rPr>
          <w:position w:val="5"/>
          <w:sz w:val="14"/>
        </w:rPr>
        <w:t>.</w:t>
      </w:r>
      <w:r>
        <w:rPr>
          <w:spacing w:val="40"/>
          <w:position w:val="5"/>
          <w:sz w:val="14"/>
        </w:rPr>
        <w:t>  </w:t>
      </w:r>
      <w:r>
        <w:rPr>
          <w:rFonts w:ascii="Arial" w:hAnsi="Arial"/>
          <w:i/>
          <w:sz w:val="20"/>
        </w:rPr>
        <w:t>Victoria Laundry (Windsor) Ltd v Newman Industries Ltd [1949] 2 K.B. 528, 537</w:t>
      </w:r>
      <w:r>
        <w:rPr>
          <w:sz w:val="20"/>
        </w:rPr>
        <w:t>. See also</w:t>
      </w:r>
      <w:r>
        <w:rPr>
          <w:spacing w:val="40"/>
          <w:sz w:val="20"/>
        </w:rPr>
        <w:t> </w:t>
      </w:r>
      <w:r>
        <w:rPr>
          <w:rFonts w:ascii="Arial" w:hAnsi="Arial"/>
          <w:i/>
          <w:sz w:val="20"/>
        </w:rPr>
        <w:t>Heskell v Continental Express Ltd [1950] 1 All E.R. 1033, 1049</w:t>
      </w:r>
      <w:r>
        <w:rPr>
          <w:sz w:val="20"/>
        </w:rPr>
        <w:t>, where Devlin J. expressed </w:t>
      </w:r>
      <w:r>
        <w:rPr>
          <w:sz w:val="20"/>
        </w:rPr>
        <w:t>the view that knowledge of a sub-contract would be more easily imputed to a seller than to a</w:t>
      </w:r>
      <w:r>
        <w:rPr>
          <w:spacing w:val="40"/>
          <w:sz w:val="20"/>
        </w:rPr>
        <w:t> </w:t>
      </w:r>
      <w:r>
        <w:rPr>
          <w:sz w:val="20"/>
        </w:rPr>
        <w:t>carrier; </w:t>
      </w:r>
      <w:r>
        <w:rPr>
          <w:rFonts w:ascii="Arial" w:hAnsi="Arial"/>
          <w:i/>
          <w:sz w:val="20"/>
        </w:rPr>
        <w:t>André et Cie SA v J. H. Vantol [1952] 2 Lloyd’s Rep. 282</w:t>
      </w:r>
      <w:r>
        <w:rPr>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494" w:id="1496"/>
      <w:bookmarkEnd w:id="1496"/>
      <w:r>
        <w:rPr/>
      </w:r>
      <w:hyperlink w:history="true" w:anchor="_bookmark1470">
        <w:r>
          <w:rPr>
            <w:color w:val="005DA1"/>
            <w:spacing w:val="-4"/>
            <w:position w:val="5"/>
            <w:sz w:val="14"/>
            <w:u w:val="single" w:color="005DA1"/>
          </w:rPr>
          <w:t>786</w:t>
        </w:r>
      </w:hyperlink>
      <w:r>
        <w:rPr>
          <w:spacing w:val="-4"/>
          <w:position w:val="5"/>
          <w:sz w:val="14"/>
        </w:rPr>
        <w:t>.</w:t>
      </w:r>
      <w:r>
        <w:rPr>
          <w:position w:val="5"/>
          <w:sz w:val="14"/>
        </w:rPr>
        <w:tab/>
      </w:r>
      <w:r>
        <w:rPr>
          <w:rFonts w:ascii="Arial"/>
          <w:i/>
          <w:sz w:val="20"/>
        </w:rPr>
        <w:t>Hadley</w:t>
      </w:r>
      <w:r>
        <w:rPr>
          <w:rFonts w:ascii="Arial"/>
          <w:i/>
          <w:spacing w:val="14"/>
          <w:sz w:val="20"/>
        </w:rPr>
        <w:t> </w:t>
      </w:r>
      <w:r>
        <w:rPr>
          <w:rFonts w:ascii="Arial"/>
          <w:i/>
          <w:sz w:val="20"/>
        </w:rPr>
        <w:t>v</w:t>
      </w:r>
      <w:r>
        <w:rPr>
          <w:rFonts w:ascii="Arial"/>
          <w:i/>
          <w:spacing w:val="14"/>
          <w:sz w:val="20"/>
        </w:rPr>
        <w:t> </w:t>
      </w:r>
      <w:r>
        <w:rPr>
          <w:rFonts w:ascii="Arial"/>
          <w:i/>
          <w:sz w:val="20"/>
        </w:rPr>
        <w:t>Baxendale</w:t>
      </w:r>
      <w:r>
        <w:rPr>
          <w:rFonts w:ascii="Arial"/>
          <w:i/>
          <w:spacing w:val="14"/>
          <w:sz w:val="20"/>
        </w:rPr>
        <w:t> </w:t>
      </w:r>
      <w:r>
        <w:rPr>
          <w:rFonts w:ascii="Arial"/>
          <w:i/>
          <w:sz w:val="20"/>
        </w:rPr>
        <w:t>(1854)</w:t>
      </w:r>
      <w:r>
        <w:rPr>
          <w:rFonts w:ascii="Arial"/>
          <w:i/>
          <w:spacing w:val="14"/>
          <w:sz w:val="20"/>
        </w:rPr>
        <w:t> </w:t>
      </w:r>
      <w:r>
        <w:rPr>
          <w:rFonts w:ascii="Arial"/>
          <w:i/>
          <w:sz w:val="20"/>
        </w:rPr>
        <w:t>9</w:t>
      </w:r>
      <w:r>
        <w:rPr>
          <w:rFonts w:ascii="Arial"/>
          <w:i/>
          <w:spacing w:val="14"/>
          <w:sz w:val="20"/>
        </w:rPr>
        <w:t> </w:t>
      </w:r>
      <w:r>
        <w:rPr>
          <w:rFonts w:ascii="Arial"/>
          <w:i/>
          <w:sz w:val="20"/>
        </w:rPr>
        <w:t>Ex.</w:t>
      </w:r>
      <w:r>
        <w:rPr>
          <w:rFonts w:ascii="Arial"/>
          <w:i/>
          <w:spacing w:val="14"/>
          <w:sz w:val="20"/>
        </w:rPr>
        <w:t> </w:t>
      </w:r>
      <w:r>
        <w:rPr>
          <w:rFonts w:ascii="Arial"/>
          <w:i/>
          <w:sz w:val="20"/>
        </w:rPr>
        <w:t>341</w:t>
      </w:r>
      <w:r>
        <w:rPr>
          <w:sz w:val="20"/>
        </w:rPr>
        <w:t>;</w:t>
      </w:r>
      <w:r>
        <w:rPr>
          <w:spacing w:val="14"/>
          <w:sz w:val="20"/>
        </w:rPr>
        <w:t> </w:t>
      </w:r>
      <w:r>
        <w:rPr>
          <w:rFonts w:ascii="Arial"/>
          <w:i/>
          <w:sz w:val="20"/>
        </w:rPr>
        <w:t>Gee</w:t>
      </w:r>
      <w:r>
        <w:rPr>
          <w:rFonts w:ascii="Arial"/>
          <w:i/>
          <w:spacing w:val="14"/>
          <w:sz w:val="20"/>
        </w:rPr>
        <w:t> </w:t>
      </w:r>
      <w:r>
        <w:rPr>
          <w:rFonts w:ascii="Arial"/>
          <w:i/>
          <w:sz w:val="20"/>
        </w:rPr>
        <w:t>v</w:t>
      </w:r>
      <w:r>
        <w:rPr>
          <w:rFonts w:ascii="Arial"/>
          <w:i/>
          <w:spacing w:val="14"/>
          <w:sz w:val="20"/>
        </w:rPr>
        <w:t> </w:t>
      </w:r>
      <w:r>
        <w:rPr>
          <w:rFonts w:ascii="Arial"/>
          <w:i/>
          <w:sz w:val="20"/>
        </w:rPr>
        <w:t>Lancs</w:t>
      </w:r>
      <w:r>
        <w:rPr>
          <w:rFonts w:ascii="Arial"/>
          <w:i/>
          <w:spacing w:val="14"/>
          <w:sz w:val="20"/>
        </w:rPr>
        <w:t> </w:t>
      </w:r>
      <w:r>
        <w:rPr>
          <w:rFonts w:ascii="Arial"/>
          <w:i/>
          <w:sz w:val="20"/>
        </w:rPr>
        <w:t>&amp;</w:t>
      </w:r>
      <w:r>
        <w:rPr>
          <w:rFonts w:ascii="Arial"/>
          <w:i/>
          <w:spacing w:val="14"/>
          <w:sz w:val="20"/>
        </w:rPr>
        <w:t> </w:t>
      </w:r>
      <w:r>
        <w:rPr>
          <w:rFonts w:ascii="Arial"/>
          <w:i/>
          <w:sz w:val="20"/>
        </w:rPr>
        <w:t>Yorks</w:t>
      </w:r>
      <w:r>
        <w:rPr>
          <w:rFonts w:ascii="Arial"/>
          <w:i/>
          <w:spacing w:val="14"/>
          <w:sz w:val="20"/>
        </w:rPr>
        <w:t> </w:t>
      </w:r>
      <w:r>
        <w:rPr>
          <w:rFonts w:ascii="Arial"/>
          <w:i/>
          <w:sz w:val="20"/>
        </w:rPr>
        <w:t>Ry</w:t>
      </w:r>
      <w:r>
        <w:rPr>
          <w:rFonts w:ascii="Arial"/>
          <w:i/>
          <w:spacing w:val="14"/>
          <w:sz w:val="20"/>
        </w:rPr>
        <w:t> </w:t>
      </w:r>
      <w:r>
        <w:rPr>
          <w:rFonts w:ascii="Arial"/>
          <w:i/>
          <w:sz w:val="20"/>
        </w:rPr>
        <w:t>(1860)</w:t>
      </w:r>
      <w:r>
        <w:rPr>
          <w:rFonts w:ascii="Arial"/>
          <w:i/>
          <w:spacing w:val="14"/>
          <w:sz w:val="20"/>
        </w:rPr>
        <w:t> </w:t>
      </w:r>
      <w:r>
        <w:rPr>
          <w:rFonts w:ascii="Arial"/>
          <w:i/>
          <w:sz w:val="20"/>
        </w:rPr>
        <w:t>6</w:t>
      </w:r>
      <w:r>
        <w:rPr>
          <w:rFonts w:ascii="Arial"/>
          <w:i/>
          <w:spacing w:val="14"/>
          <w:sz w:val="20"/>
        </w:rPr>
        <w:t> </w:t>
      </w:r>
      <w:r>
        <w:rPr>
          <w:rFonts w:ascii="Arial"/>
          <w:i/>
          <w:sz w:val="20"/>
        </w:rPr>
        <w:t>H.</w:t>
      </w:r>
      <w:r>
        <w:rPr>
          <w:rFonts w:ascii="Arial"/>
          <w:i/>
          <w:spacing w:val="14"/>
          <w:sz w:val="20"/>
        </w:rPr>
        <w:t> </w:t>
      </w:r>
      <w:r>
        <w:rPr>
          <w:rFonts w:ascii="Arial"/>
          <w:i/>
          <w:sz w:val="20"/>
        </w:rPr>
        <w:t>&amp;</w:t>
      </w:r>
      <w:r>
        <w:rPr>
          <w:rFonts w:ascii="Arial"/>
          <w:i/>
          <w:spacing w:val="14"/>
          <w:sz w:val="20"/>
        </w:rPr>
        <w:t> </w:t>
      </w:r>
      <w:r>
        <w:rPr>
          <w:rFonts w:ascii="Arial"/>
          <w:i/>
          <w:sz w:val="20"/>
        </w:rPr>
        <w:t>N.</w:t>
      </w:r>
      <w:r>
        <w:rPr>
          <w:rFonts w:ascii="Arial"/>
          <w:i/>
          <w:spacing w:val="14"/>
          <w:sz w:val="20"/>
        </w:rPr>
        <w:t> </w:t>
      </w:r>
      <w:r>
        <w:rPr>
          <w:rFonts w:ascii="Arial"/>
          <w:i/>
          <w:sz w:val="20"/>
        </w:rPr>
        <w:t>211</w:t>
      </w:r>
      <w:r>
        <w:rPr>
          <w:sz w:val="20"/>
        </w:rPr>
        <w:t>;</w:t>
      </w:r>
      <w:r>
        <w:rPr>
          <w:spacing w:val="14"/>
          <w:sz w:val="20"/>
        </w:rPr>
        <w:t> </w:t>
      </w:r>
      <w:r>
        <w:rPr>
          <w:rFonts w:ascii="Arial"/>
          <w:i/>
          <w:sz w:val="20"/>
        </w:rPr>
        <w:t>British Columbia,</w:t>
      </w:r>
      <w:r>
        <w:rPr>
          <w:rFonts w:ascii="Arial"/>
          <w:i/>
          <w:spacing w:val="1"/>
          <w:sz w:val="20"/>
        </w:rPr>
        <w:t> </w:t>
      </w:r>
      <w:r>
        <w:rPr>
          <w:rFonts w:ascii="Arial"/>
          <w:i/>
          <w:sz w:val="20"/>
        </w:rPr>
        <w:t>etc.,</w:t>
      </w:r>
      <w:r>
        <w:rPr>
          <w:rFonts w:ascii="Arial"/>
          <w:i/>
          <w:spacing w:val="2"/>
          <w:sz w:val="20"/>
        </w:rPr>
        <w:t> </w:t>
      </w:r>
      <w:r>
        <w:rPr>
          <w:rFonts w:ascii="Arial"/>
          <w:i/>
          <w:sz w:val="20"/>
        </w:rPr>
        <w:t>Saw</w:t>
      </w:r>
      <w:r>
        <w:rPr>
          <w:rFonts w:ascii="Arial"/>
          <w:i/>
          <w:spacing w:val="2"/>
          <w:sz w:val="20"/>
        </w:rPr>
        <w:t> </w:t>
      </w:r>
      <w:r>
        <w:rPr>
          <w:rFonts w:ascii="Arial"/>
          <w:i/>
          <w:sz w:val="20"/>
        </w:rPr>
        <w:t>Mill</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Nettleship</w:t>
      </w:r>
      <w:r>
        <w:rPr>
          <w:rFonts w:ascii="Arial"/>
          <w:i/>
          <w:spacing w:val="2"/>
          <w:sz w:val="20"/>
        </w:rPr>
        <w:t> </w:t>
      </w:r>
      <w:r>
        <w:rPr>
          <w:rFonts w:ascii="Arial"/>
          <w:i/>
          <w:sz w:val="20"/>
        </w:rPr>
        <w:t>(1868)</w:t>
      </w:r>
      <w:r>
        <w:rPr>
          <w:rFonts w:ascii="Arial"/>
          <w:i/>
          <w:spacing w:val="2"/>
          <w:sz w:val="20"/>
        </w:rPr>
        <w:t> </w:t>
      </w:r>
      <w:r>
        <w:rPr>
          <w:rFonts w:ascii="Arial"/>
          <w:i/>
          <w:sz w:val="20"/>
        </w:rPr>
        <w:t>L.R.</w:t>
      </w:r>
      <w:r>
        <w:rPr>
          <w:rFonts w:ascii="Arial"/>
          <w:i/>
          <w:spacing w:val="2"/>
          <w:sz w:val="20"/>
        </w:rPr>
        <w:t> </w:t>
      </w:r>
      <w:r>
        <w:rPr>
          <w:rFonts w:ascii="Arial"/>
          <w:i/>
          <w:sz w:val="20"/>
        </w:rPr>
        <w:t>3</w:t>
      </w:r>
      <w:r>
        <w:rPr>
          <w:rFonts w:ascii="Arial"/>
          <w:i/>
          <w:spacing w:val="2"/>
          <w:sz w:val="20"/>
        </w:rPr>
        <w:t> </w:t>
      </w:r>
      <w:r>
        <w:rPr>
          <w:rFonts w:ascii="Arial"/>
          <w:i/>
          <w:sz w:val="20"/>
        </w:rPr>
        <w:t>C.P.</w:t>
      </w:r>
      <w:r>
        <w:rPr>
          <w:rFonts w:ascii="Arial"/>
          <w:i/>
          <w:spacing w:val="2"/>
          <w:sz w:val="20"/>
        </w:rPr>
        <w:t> </w:t>
      </w:r>
      <w:r>
        <w:rPr>
          <w:rFonts w:ascii="Arial"/>
          <w:i/>
          <w:sz w:val="20"/>
        </w:rPr>
        <w:t>499</w:t>
      </w:r>
      <w:r>
        <w:rPr>
          <w:sz w:val="20"/>
        </w:rPr>
        <w:t>;</w:t>
      </w:r>
      <w:r>
        <w:rPr>
          <w:spacing w:val="2"/>
          <w:sz w:val="20"/>
        </w:rPr>
        <w:t> </w:t>
      </w:r>
      <w:r>
        <w:rPr>
          <w:rFonts w:ascii="Arial"/>
          <w:i/>
          <w:sz w:val="20"/>
        </w:rPr>
        <w:t>Horne</w:t>
      </w:r>
      <w:r>
        <w:rPr>
          <w:rFonts w:ascii="Arial"/>
          <w:i/>
          <w:spacing w:val="2"/>
          <w:sz w:val="20"/>
        </w:rPr>
        <w:t> </w:t>
      </w:r>
      <w:r>
        <w:rPr>
          <w:rFonts w:ascii="Arial"/>
          <w:i/>
          <w:sz w:val="20"/>
        </w:rPr>
        <w:t>v</w:t>
      </w:r>
      <w:r>
        <w:rPr>
          <w:rFonts w:ascii="Arial"/>
          <w:i/>
          <w:spacing w:val="2"/>
          <w:sz w:val="20"/>
        </w:rPr>
        <w:t> </w:t>
      </w:r>
      <w:r>
        <w:rPr>
          <w:rFonts w:ascii="Arial"/>
          <w:i/>
          <w:sz w:val="20"/>
        </w:rPr>
        <w:t>Midland</w:t>
      </w:r>
      <w:r>
        <w:rPr>
          <w:rFonts w:ascii="Arial"/>
          <w:i/>
          <w:spacing w:val="2"/>
          <w:sz w:val="20"/>
        </w:rPr>
        <w:t> </w:t>
      </w:r>
      <w:r>
        <w:rPr>
          <w:rFonts w:ascii="Arial"/>
          <w:i/>
          <w:sz w:val="20"/>
        </w:rPr>
        <w:t>Ry</w:t>
      </w:r>
      <w:r>
        <w:rPr>
          <w:rFonts w:ascii="Arial"/>
          <w:i/>
          <w:spacing w:val="2"/>
          <w:sz w:val="20"/>
        </w:rPr>
        <w:t> </w:t>
      </w:r>
      <w:r>
        <w:rPr>
          <w:rFonts w:ascii="Arial"/>
          <w:i/>
          <w:spacing w:val="-2"/>
          <w:sz w:val="20"/>
        </w:rPr>
        <w:t>(1873)</w:t>
      </w:r>
    </w:p>
    <w:p>
      <w:pPr>
        <w:spacing w:line="235" w:lineRule="auto" w:before="0"/>
        <w:ind w:left="705" w:right="168" w:firstLine="0"/>
        <w:jc w:val="both"/>
        <w:rPr>
          <w:sz w:val="20"/>
        </w:rPr>
      </w:pPr>
      <w:r>
        <w:rPr>
          <w:rFonts w:ascii="Arial"/>
          <w:i/>
          <w:sz w:val="20"/>
        </w:rPr>
        <w:t>L.R. 8 C.P. 131</w:t>
      </w:r>
      <w:r>
        <w:rPr>
          <w:sz w:val="20"/>
        </w:rPr>
        <w:t>. But the fact that loss of profit under a special contract with a third party is </w:t>
      </w:r>
      <w:r>
        <w:rPr>
          <w:sz w:val="20"/>
        </w:rPr>
        <w:t>not recoverable, does not prevent the carrier being liable for some damages for delay: </w:t>
      </w:r>
      <w:r>
        <w:rPr>
          <w:rFonts w:ascii="Arial"/>
          <w:i/>
          <w:sz w:val="20"/>
        </w:rPr>
        <w:t>B. Sunley &amp; Co Ltd v Cunard White Star Ltd [1940] 1 K.B. 740 </w:t>
      </w:r>
      <w:r>
        <w:rPr>
          <w:sz w:val="20"/>
        </w:rPr>
        <w:t>(interest awarded on the value of the goods for the period of the delay).</w:t>
      </w:r>
    </w:p>
    <w:p>
      <w:pPr>
        <w:pStyle w:val="BodyText"/>
        <w:spacing w:before="7"/>
      </w:pPr>
    </w:p>
    <w:p>
      <w:pPr>
        <w:spacing w:line="235" w:lineRule="auto" w:before="0"/>
        <w:ind w:left="705" w:right="168" w:hanging="541"/>
        <w:jc w:val="both"/>
        <w:rPr>
          <w:sz w:val="20"/>
        </w:rPr>
      </w:pPr>
      <w:bookmarkStart w:name="_bookmark1495" w:id="1497"/>
      <w:bookmarkEnd w:id="1497"/>
      <w:r>
        <w:rPr/>
      </w:r>
      <w:hyperlink w:history="true" w:anchor="_bookmark1471">
        <w:r>
          <w:rPr>
            <w:color w:val="005DA1"/>
            <w:position w:val="5"/>
            <w:sz w:val="14"/>
            <w:u w:val="single" w:color="005DA1"/>
          </w:rPr>
          <w:t>787</w:t>
        </w:r>
      </w:hyperlink>
      <w:r>
        <w:rPr>
          <w:position w:val="5"/>
          <w:sz w:val="14"/>
        </w:rPr>
        <w:t>.</w:t>
      </w:r>
      <w:r>
        <w:rPr>
          <w:spacing w:val="40"/>
          <w:position w:val="5"/>
          <w:sz w:val="14"/>
        </w:rPr>
        <w:t>  </w:t>
      </w:r>
      <w:r>
        <w:rPr>
          <w:rFonts w:ascii="Arial" w:hAnsi="Arial"/>
          <w:i/>
          <w:sz w:val="20"/>
        </w:rPr>
        <w:t>Simpson v L.N.W. Ry (1876) 1 Q.B.D. 274</w:t>
      </w:r>
      <w:r>
        <w:rPr>
          <w:sz w:val="20"/>
        </w:rPr>
        <w:t>; </w:t>
      </w:r>
      <w:r>
        <w:rPr>
          <w:rFonts w:ascii="Arial" w:hAnsi="Arial"/>
          <w:i/>
          <w:sz w:val="20"/>
        </w:rPr>
        <w:t>Jameson v Midland Ry (1884) 50 L.T. 426</w:t>
      </w:r>
      <w:r>
        <w:rPr>
          <w:sz w:val="20"/>
        </w:rPr>
        <w:t>; </w:t>
      </w:r>
      <w:r>
        <w:rPr>
          <w:rFonts w:ascii="Arial" w:hAnsi="Arial"/>
          <w:i/>
          <w:sz w:val="20"/>
        </w:rPr>
        <w:t>Monte Video</w:t>
      </w:r>
      <w:r>
        <w:rPr>
          <w:rFonts w:ascii="Arial" w:hAnsi="Arial"/>
          <w:i/>
          <w:spacing w:val="-1"/>
          <w:sz w:val="20"/>
        </w:rPr>
        <w:t> </w:t>
      </w:r>
      <w:r>
        <w:rPr>
          <w:rFonts w:ascii="Arial" w:hAnsi="Arial"/>
          <w:i/>
          <w:sz w:val="20"/>
        </w:rPr>
        <w:t>Gas</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Dry</w:t>
      </w:r>
      <w:r>
        <w:rPr>
          <w:rFonts w:ascii="Arial" w:hAnsi="Arial"/>
          <w:i/>
          <w:spacing w:val="-1"/>
          <w:sz w:val="20"/>
        </w:rPr>
        <w:t> </w:t>
      </w:r>
      <w:r>
        <w:rPr>
          <w:rFonts w:ascii="Arial" w:hAnsi="Arial"/>
          <w:i/>
          <w:sz w:val="20"/>
        </w:rPr>
        <w:t>Dock</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Clan</w:t>
      </w:r>
      <w:r>
        <w:rPr>
          <w:rFonts w:ascii="Arial" w:hAnsi="Arial"/>
          <w:i/>
          <w:spacing w:val="-1"/>
          <w:sz w:val="20"/>
        </w:rPr>
        <w:t> </w:t>
      </w:r>
      <w:r>
        <w:rPr>
          <w:rFonts w:ascii="Arial" w:hAnsi="Arial"/>
          <w:i/>
          <w:sz w:val="20"/>
        </w:rPr>
        <w:t>Line</w:t>
      </w:r>
      <w:r>
        <w:rPr>
          <w:rFonts w:ascii="Arial" w:hAnsi="Arial"/>
          <w:i/>
          <w:spacing w:val="-1"/>
          <w:sz w:val="20"/>
        </w:rPr>
        <w:t> </w:t>
      </w:r>
      <w:r>
        <w:rPr>
          <w:rFonts w:ascii="Arial" w:hAnsi="Arial"/>
          <w:i/>
          <w:sz w:val="20"/>
        </w:rPr>
        <w:t>Steamers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(1921)</w:t>
      </w:r>
      <w:r>
        <w:rPr>
          <w:rFonts w:ascii="Arial" w:hAnsi="Arial"/>
          <w:i/>
          <w:spacing w:val="-1"/>
          <w:sz w:val="20"/>
        </w:rPr>
        <w:t> </w:t>
      </w:r>
      <w:r>
        <w:rPr>
          <w:rFonts w:ascii="Arial" w:hAnsi="Arial"/>
          <w:i/>
          <w:sz w:val="20"/>
        </w:rPr>
        <w:t>37</w:t>
      </w:r>
      <w:r>
        <w:rPr>
          <w:rFonts w:ascii="Arial" w:hAnsi="Arial"/>
          <w:i/>
          <w:spacing w:val="-1"/>
          <w:sz w:val="20"/>
        </w:rPr>
        <w:t> </w:t>
      </w:r>
      <w:r>
        <w:rPr>
          <w:rFonts w:ascii="Arial" w:hAnsi="Arial"/>
          <w:i/>
          <w:sz w:val="20"/>
        </w:rPr>
        <w:t>T.L.R.</w:t>
      </w:r>
      <w:r>
        <w:rPr>
          <w:rFonts w:ascii="Arial" w:hAnsi="Arial"/>
          <w:i/>
          <w:spacing w:val="-1"/>
          <w:sz w:val="20"/>
        </w:rPr>
        <w:t> </w:t>
      </w:r>
      <w:r>
        <w:rPr>
          <w:rFonts w:ascii="Arial" w:hAnsi="Arial"/>
          <w:i/>
          <w:sz w:val="20"/>
        </w:rPr>
        <w:t>866</w:t>
      </w:r>
      <w:r>
        <w:rPr>
          <w:sz w:val="20"/>
        </w:rPr>
        <w:t>;</w:t>
      </w:r>
      <w:r>
        <w:rPr>
          <w:spacing w:val="-1"/>
          <w:sz w:val="20"/>
        </w:rPr>
        <w:t> </w:t>
      </w:r>
      <w:r>
        <w:rPr>
          <w:rFonts w:ascii="Arial" w:hAnsi="Arial"/>
          <w:i/>
          <w:sz w:val="20"/>
        </w:rPr>
        <w:t>S.S.</w:t>
      </w:r>
      <w:r>
        <w:rPr>
          <w:rFonts w:ascii="Arial" w:hAnsi="Arial"/>
          <w:i/>
          <w:spacing w:val="-1"/>
          <w:sz w:val="20"/>
        </w:rPr>
        <w:t> </w:t>
      </w:r>
      <w:r>
        <w:rPr>
          <w:rFonts w:ascii="Arial" w:hAnsi="Arial"/>
          <w:i/>
          <w:sz w:val="20"/>
        </w:rPr>
        <w:t>Ardennes (Cargo Owners) v S.S. Ardennes (Owners) [1951] 1 K.B. 55 </w:t>
      </w:r>
      <w:r>
        <w:rPr>
          <w:sz w:val="20"/>
        </w:rPr>
        <w:t>(loss of market); </w:t>
      </w:r>
      <w:r>
        <w:rPr>
          <w:rFonts w:ascii="Arial" w:hAnsi="Arial"/>
          <w:i/>
          <w:sz w:val="20"/>
        </w:rPr>
        <w:t>Satef-Huttenes Albertus SpA v Paloma Tercera Shipping Co SA (The Pegase) [1981] 1 Lloyd’s Rep. 175</w:t>
      </w:r>
      <w:r>
        <w:rPr>
          <w:sz w:val="20"/>
        </w:rPr>
        <w:t>. See also </w:t>
      </w:r>
      <w:r>
        <w:rPr>
          <w:rFonts w:ascii="Arial" w:hAnsi="Arial"/>
          <w:i/>
          <w:sz w:val="20"/>
        </w:rPr>
        <w:t>Schulze &amp; Co v G.E. Ry (1887) 19 Q.B.D. 30</w:t>
      </w:r>
      <w:r>
        <w:rPr>
          <w:sz w:val="20"/>
        </w:rPr>
        <w:t>; cf. </w:t>
      </w:r>
      <w:r>
        <w:rPr>
          <w:rFonts w:ascii="Arial" w:hAnsi="Arial"/>
          <w:i/>
          <w:sz w:val="20"/>
        </w:rPr>
        <w:t>Ströms Bruks Aktiebolag v John &amp; Peter Hutchison [1905] A.C. 515</w:t>
      </w:r>
      <w:r>
        <w:rPr>
          <w:sz w:val="20"/>
        </w:rPr>
        <w:t>.</w:t>
      </w:r>
    </w:p>
    <w:p>
      <w:pPr>
        <w:pStyle w:val="BodyText"/>
        <w:spacing w:before="4"/>
      </w:pPr>
    </w:p>
    <w:p>
      <w:pPr>
        <w:tabs>
          <w:tab w:pos="705" w:val="left" w:leader="none"/>
        </w:tabs>
        <w:spacing w:before="0"/>
        <w:ind w:left="165" w:right="0" w:firstLine="0"/>
        <w:jc w:val="left"/>
        <w:rPr>
          <w:sz w:val="20"/>
        </w:rPr>
      </w:pPr>
      <w:bookmarkStart w:name="_bookmark1496" w:id="1498"/>
      <w:bookmarkEnd w:id="1498"/>
      <w:r>
        <w:rPr/>
      </w:r>
      <w:hyperlink w:history="true" w:anchor="_bookmark1472">
        <w:r>
          <w:rPr>
            <w:color w:val="005DA1"/>
            <w:spacing w:val="-4"/>
            <w:position w:val="5"/>
            <w:sz w:val="14"/>
            <w:u w:val="single" w:color="005DA1"/>
          </w:rPr>
          <w:t>788</w:t>
        </w:r>
      </w:hyperlink>
      <w:r>
        <w:rPr>
          <w:spacing w:val="-4"/>
          <w:position w:val="5"/>
          <w:sz w:val="14"/>
        </w:rPr>
        <w:t>.</w:t>
      </w:r>
      <w:r>
        <w:rPr>
          <w:position w:val="5"/>
          <w:sz w:val="14"/>
        </w:rPr>
        <w:tab/>
      </w:r>
      <w:r>
        <w:rPr>
          <w:rFonts w:ascii="Arial" w:hAnsi="Arial"/>
          <w:i/>
          <w:sz w:val="20"/>
        </w:rPr>
        <w:t>Satef-Huttenes Albertus SpA v Paloma Tercera Shipping Co SA [1981] 1 Lloyd’s Rep. </w:t>
      </w:r>
      <w:r>
        <w:rPr>
          <w:rFonts w:ascii="Arial" w:hAnsi="Arial"/>
          <w:i/>
          <w:spacing w:val="-4"/>
          <w:sz w:val="20"/>
        </w:rPr>
        <w:t>175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7" w:id="1499"/>
      <w:bookmarkEnd w:id="1499"/>
      <w:r>
        <w:rPr/>
      </w:r>
      <w:hyperlink w:history="true" w:anchor="_bookmark1473">
        <w:r>
          <w:rPr>
            <w:color w:val="005DA1"/>
            <w:spacing w:val="-4"/>
            <w:position w:val="5"/>
            <w:sz w:val="14"/>
            <w:u w:val="single" w:color="005DA1"/>
          </w:rPr>
          <w:t>789</w:t>
        </w:r>
      </w:hyperlink>
      <w:r>
        <w:rPr>
          <w:spacing w:val="-4"/>
          <w:position w:val="5"/>
          <w:sz w:val="14"/>
        </w:rPr>
        <w:t>.</w:t>
      </w:r>
      <w:r>
        <w:rPr>
          <w:position w:val="5"/>
          <w:sz w:val="14"/>
        </w:rPr>
        <w:tab/>
      </w:r>
      <w:r>
        <w:rPr>
          <w:rFonts w:ascii="Arial"/>
          <w:i/>
          <w:sz w:val="20"/>
        </w:rPr>
        <w:t>[2008] UKHL 48, [2009] 1 A.C. </w:t>
      </w:r>
      <w:r>
        <w:rPr>
          <w:rFonts w:ascii="Arial"/>
          <w:i/>
          <w:spacing w:val="-5"/>
          <w:sz w:val="20"/>
        </w:rPr>
        <w:t>61</w:t>
      </w:r>
      <w:r>
        <w:rPr>
          <w:spacing w:val="-5"/>
          <w:sz w:val="20"/>
        </w:rPr>
        <w:t>.</w:t>
      </w:r>
    </w:p>
    <w:p>
      <w:pPr>
        <w:pStyle w:val="BodyText"/>
        <w:spacing w:before="5"/>
      </w:pPr>
    </w:p>
    <w:p>
      <w:pPr>
        <w:pStyle w:val="BodyText"/>
        <w:tabs>
          <w:tab w:pos="705" w:val="left" w:leader="none"/>
        </w:tabs>
        <w:ind w:left="165"/>
      </w:pPr>
      <w:bookmarkStart w:name="_bookmark1498" w:id="1500"/>
      <w:bookmarkEnd w:id="1500"/>
      <w:r>
        <w:rPr/>
      </w:r>
      <w:hyperlink w:history="true" w:anchor="_bookmark1474">
        <w:r>
          <w:rPr>
            <w:color w:val="005DA1"/>
            <w:spacing w:val="-4"/>
            <w:position w:val="5"/>
            <w:sz w:val="14"/>
            <w:u w:val="single" w:color="005DA1"/>
          </w:rPr>
          <w:t>790</w:t>
        </w:r>
      </w:hyperlink>
      <w:r>
        <w:rPr>
          <w:spacing w:val="-4"/>
          <w:position w:val="5"/>
          <w:sz w:val="14"/>
        </w:rPr>
        <w:t>.</w:t>
      </w:r>
      <w:r>
        <w:rPr>
          <w:position w:val="5"/>
          <w:sz w:val="14"/>
        </w:rPr>
        <w:tab/>
      </w:r>
      <w:r>
        <w:rPr/>
        <w:t>See above, paras 26-126 et </w:t>
      </w:r>
      <w:r>
        <w:rPr>
          <w:spacing w:val="-4"/>
        </w:rPr>
        <w:t>seq.</w:t>
      </w:r>
    </w:p>
    <w:p>
      <w:pPr>
        <w:pStyle w:val="BodyText"/>
        <w:spacing w:before="9"/>
      </w:pPr>
    </w:p>
    <w:p>
      <w:pPr>
        <w:tabs>
          <w:tab w:pos="705" w:val="left" w:leader="none"/>
        </w:tabs>
        <w:spacing w:line="235" w:lineRule="auto" w:before="0"/>
        <w:ind w:left="705" w:right="174" w:hanging="541"/>
        <w:jc w:val="left"/>
        <w:rPr>
          <w:sz w:val="20"/>
        </w:rPr>
      </w:pPr>
      <w:bookmarkStart w:name="_bookmark1499" w:id="1501"/>
      <w:bookmarkEnd w:id="1501"/>
      <w:r>
        <w:rPr/>
      </w:r>
      <w:hyperlink w:history="true" w:anchor="_bookmark1475">
        <w:r>
          <w:rPr>
            <w:color w:val="005DA1"/>
            <w:spacing w:val="-4"/>
            <w:position w:val="5"/>
            <w:sz w:val="14"/>
            <w:u w:val="single" w:color="005DA1"/>
          </w:rPr>
          <w:t>791</w:t>
        </w:r>
      </w:hyperlink>
      <w:r>
        <w:rPr>
          <w:spacing w:val="-4"/>
          <w:position w:val="5"/>
          <w:sz w:val="14"/>
        </w:rPr>
        <w:t>.</w:t>
      </w:r>
      <w:r>
        <w:rPr>
          <w:position w:val="5"/>
          <w:sz w:val="14"/>
        </w:rPr>
        <w:tab/>
      </w:r>
      <w:r>
        <w:rPr>
          <w:rFonts w:ascii="Arial"/>
          <w:i/>
          <w:sz w:val="20"/>
        </w:rPr>
        <w:t>Jackson</w:t>
      </w:r>
      <w:r>
        <w:rPr>
          <w:rFonts w:ascii="Arial"/>
          <w:i/>
          <w:spacing w:val="40"/>
          <w:sz w:val="20"/>
        </w:rPr>
        <w:t> </w:t>
      </w:r>
      <w:r>
        <w:rPr>
          <w:rFonts w:ascii="Arial"/>
          <w:i/>
          <w:sz w:val="20"/>
        </w:rPr>
        <w:t>v</w:t>
      </w:r>
      <w:r>
        <w:rPr>
          <w:rFonts w:ascii="Arial"/>
          <w:i/>
          <w:spacing w:val="40"/>
          <w:sz w:val="20"/>
        </w:rPr>
        <w:t> </w:t>
      </w:r>
      <w:r>
        <w:rPr>
          <w:rFonts w:ascii="Arial"/>
          <w:i/>
          <w:sz w:val="20"/>
        </w:rPr>
        <w:t>Bank</w:t>
      </w:r>
      <w:r>
        <w:rPr>
          <w:rFonts w:ascii="Arial"/>
          <w:i/>
          <w:spacing w:val="40"/>
          <w:sz w:val="20"/>
        </w:rPr>
        <w:t> </w:t>
      </w:r>
      <w:r>
        <w:rPr>
          <w:rFonts w:ascii="Arial"/>
          <w:i/>
          <w:sz w:val="20"/>
        </w:rPr>
        <w:t>of</w:t>
      </w:r>
      <w:r>
        <w:rPr>
          <w:rFonts w:ascii="Arial"/>
          <w:i/>
          <w:spacing w:val="40"/>
          <w:sz w:val="20"/>
        </w:rPr>
        <w:t> </w:t>
      </w:r>
      <w:r>
        <w:rPr>
          <w:rFonts w:ascii="Arial"/>
          <w:i/>
          <w:sz w:val="20"/>
        </w:rPr>
        <w:t>Scotland</w:t>
      </w:r>
      <w:r>
        <w:rPr>
          <w:rFonts w:ascii="Arial"/>
          <w:i/>
          <w:spacing w:val="40"/>
          <w:sz w:val="20"/>
        </w:rPr>
        <w:t> </w:t>
      </w:r>
      <w:r>
        <w:rPr>
          <w:rFonts w:ascii="Arial"/>
          <w:i/>
          <w:sz w:val="20"/>
        </w:rPr>
        <w:t>[2005]</w:t>
      </w:r>
      <w:r>
        <w:rPr>
          <w:rFonts w:ascii="Arial"/>
          <w:i/>
          <w:spacing w:val="40"/>
          <w:sz w:val="20"/>
        </w:rPr>
        <w:t> </w:t>
      </w:r>
      <w:r>
        <w:rPr>
          <w:rFonts w:ascii="Arial"/>
          <w:i/>
          <w:sz w:val="20"/>
        </w:rPr>
        <w:t>UKHL</w:t>
      </w:r>
      <w:r>
        <w:rPr>
          <w:rFonts w:ascii="Arial"/>
          <w:i/>
          <w:spacing w:val="40"/>
          <w:sz w:val="20"/>
        </w:rPr>
        <w:t> </w:t>
      </w:r>
      <w:r>
        <w:rPr>
          <w:rFonts w:ascii="Arial"/>
          <w:i/>
          <w:sz w:val="20"/>
        </w:rPr>
        <w:t>3,</w:t>
      </w:r>
      <w:r>
        <w:rPr>
          <w:rFonts w:ascii="Arial"/>
          <w:i/>
          <w:spacing w:val="40"/>
          <w:sz w:val="20"/>
        </w:rPr>
        <w:t> </w:t>
      </w:r>
      <w:r>
        <w:rPr>
          <w:rFonts w:ascii="Arial"/>
          <w:i/>
          <w:sz w:val="20"/>
        </w:rPr>
        <w:t>[2005]</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377</w:t>
      </w:r>
      <w:r>
        <w:rPr>
          <w:rFonts w:ascii="Arial"/>
          <w:i/>
          <w:spacing w:val="40"/>
          <w:sz w:val="20"/>
        </w:rPr>
        <w:t> </w:t>
      </w:r>
      <w:r>
        <w:rPr>
          <w:sz w:val="20"/>
        </w:rPr>
        <w:t>(breach</w:t>
      </w:r>
      <w:r>
        <w:rPr>
          <w:spacing w:val="40"/>
          <w:sz w:val="20"/>
        </w:rPr>
        <w:t> </w:t>
      </w:r>
      <w:r>
        <w:rPr>
          <w:sz w:val="20"/>
        </w:rPr>
        <w:t>of</w:t>
      </w:r>
      <w:r>
        <w:rPr>
          <w:spacing w:val="40"/>
          <w:sz w:val="20"/>
        </w:rPr>
        <w:t> </w:t>
      </w:r>
      <w:r>
        <w:rPr>
          <w:sz w:val="20"/>
        </w:rPr>
        <w:t>obligation</w:t>
      </w:r>
      <w:r>
        <w:rPr>
          <w:spacing w:val="40"/>
          <w:sz w:val="20"/>
        </w:rPr>
        <w:t> </w:t>
      </w:r>
      <w:r>
        <w:rPr>
          <w:sz w:val="20"/>
        </w:rPr>
        <w:t>to maintain confidence). See above, para.26-071; and Vol.II, paras 44-403, 44-425.</w:t>
      </w:r>
    </w:p>
    <w:p>
      <w:pPr>
        <w:pStyle w:val="BodyText"/>
        <w:spacing w:before="5"/>
      </w:pPr>
    </w:p>
    <w:p>
      <w:pPr>
        <w:tabs>
          <w:tab w:pos="705" w:val="left" w:leader="none"/>
        </w:tabs>
        <w:spacing w:before="1"/>
        <w:ind w:left="165" w:right="0" w:firstLine="0"/>
        <w:jc w:val="left"/>
        <w:rPr>
          <w:sz w:val="20"/>
        </w:rPr>
      </w:pPr>
      <w:bookmarkStart w:name="_bookmark1500" w:id="1502"/>
      <w:bookmarkEnd w:id="1502"/>
      <w:r>
        <w:rPr/>
      </w:r>
      <w:hyperlink w:history="true" w:anchor="_bookmark1476">
        <w:r>
          <w:rPr>
            <w:color w:val="005DA1"/>
            <w:spacing w:val="-4"/>
            <w:position w:val="5"/>
            <w:sz w:val="14"/>
            <w:u w:val="single" w:color="005DA1"/>
          </w:rPr>
          <w:t>792</w:t>
        </w:r>
      </w:hyperlink>
      <w:r>
        <w:rPr>
          <w:spacing w:val="-4"/>
          <w:position w:val="5"/>
          <w:sz w:val="14"/>
        </w:rPr>
        <w:t>.</w:t>
      </w:r>
      <w:r>
        <w:rPr>
          <w:position w:val="5"/>
          <w:sz w:val="14"/>
        </w:rPr>
        <w:tab/>
      </w:r>
      <w:r>
        <w:rPr>
          <w:rFonts w:ascii="Arial"/>
          <w:i/>
          <w:sz w:val="20"/>
        </w:rPr>
        <w:t>Jackson v Bank of Scotland [2005] UKHL 3</w:t>
      </w:r>
      <w:r>
        <w:rPr>
          <w:rFonts w:ascii="Arial"/>
          <w:i/>
          <w:spacing w:val="-1"/>
          <w:sz w:val="20"/>
        </w:rPr>
        <w:t> </w:t>
      </w:r>
      <w:r>
        <w:rPr>
          <w:sz w:val="20"/>
        </w:rPr>
        <w:t>at </w:t>
      </w:r>
      <w:r>
        <w:rPr>
          <w:spacing w:val="-2"/>
          <w:sz w:val="20"/>
        </w:rPr>
        <w:t>[37].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8. - Particular Restrictions on Recovery of </w:t>
      </w:r>
      <w:r>
        <w:rPr>
          <w:rFonts w:ascii="Arial"/>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139</w:t>
      </w:r>
    </w:p>
    <w:p>
      <w:pPr>
        <w:pStyle w:val="BodyText"/>
        <w:spacing w:line="235" w:lineRule="auto" w:before="202"/>
        <w:ind w:left="165" w:right="167"/>
        <w:jc w:val="both"/>
      </w:pPr>
      <w:r>
        <w:rPr/>
        <w:t>Earlier it was pointed out that in a number of cases there are particular restrictions on the recovery </w:t>
      </w:r>
      <w:r>
        <w:rPr/>
        <w:t>of </w:t>
      </w:r>
      <w:bookmarkStart w:name="_bookmark1501" w:id="1503"/>
      <w:bookmarkEnd w:id="1503"/>
      <w:r>
        <w:rPr/>
        <w:t>damages.</w:t>
      </w:r>
      <w:r>
        <w:rPr/>
        <w:t> The liability of a valuer for a negligent over-valuation has arisen so far only in connection with</w:t>
      </w:r>
      <w:r>
        <w:rPr>
          <w:spacing w:val="-2"/>
        </w:rPr>
        <w:t> </w:t>
      </w:r>
      <w:r>
        <w:rPr/>
        <w:t>land</w:t>
      </w:r>
      <w:r>
        <w:rPr>
          <w:spacing w:val="-2"/>
        </w:rPr>
        <w:t> </w:t>
      </w:r>
      <w:r>
        <w:rPr/>
        <w:t>and</w:t>
      </w:r>
      <w:r>
        <w:rPr>
          <w:spacing w:val="-2"/>
        </w:rPr>
        <w:t> </w:t>
      </w:r>
      <w:r>
        <w:rPr/>
        <w:t>will</w:t>
      </w:r>
      <w:r>
        <w:rPr>
          <w:spacing w:val="-2"/>
        </w:rPr>
        <w:t> </w:t>
      </w:r>
      <w:r>
        <w:rPr/>
        <w:t>be</w:t>
      </w:r>
      <w:r>
        <w:rPr>
          <w:spacing w:val="-2"/>
        </w:rPr>
        <w:t> </w:t>
      </w:r>
      <w:r>
        <w:rPr/>
        <w:t>dealt</w:t>
      </w:r>
      <w:r>
        <w:rPr>
          <w:spacing w:val="-2"/>
        </w:rPr>
        <w:t> </w:t>
      </w:r>
      <w:r>
        <w:rPr/>
        <w:t>with</w:t>
      </w:r>
      <w:r>
        <w:rPr>
          <w:spacing w:val="-2"/>
        </w:rPr>
        <w:t> </w:t>
      </w:r>
      <w:r>
        <w:rPr/>
        <w:t>in</w:t>
      </w:r>
      <w:r>
        <w:rPr>
          <w:spacing w:val="-2"/>
        </w:rPr>
        <w:t> </w:t>
      </w:r>
      <w:r>
        <w:rPr/>
        <w:t>the</w:t>
      </w:r>
      <w:r>
        <w:rPr>
          <w:spacing w:val="-2"/>
        </w:rPr>
        <w:t> </w:t>
      </w:r>
      <w:r>
        <w:rPr/>
        <w:t>next</w:t>
      </w:r>
      <w:r>
        <w:rPr>
          <w:spacing w:val="-2"/>
        </w:rPr>
        <w:t> </w:t>
      </w:r>
      <w:r>
        <w:rPr/>
        <w:t>section,</w:t>
      </w:r>
      <w:r>
        <w:rPr>
          <w:spacing w:val="-2"/>
        </w:rPr>
        <w:t> </w:t>
      </w:r>
      <w:r>
        <w:rPr>
          <w:color w:val="005DA1"/>
          <w:u w:val="single" w:color="005DA1"/>
          <w:vertAlign w:val="superscript"/>
        </w:rPr>
        <w:t>793</w:t>
      </w:r>
      <w:r>
        <w:rPr>
          <w:color w:val="005DA1"/>
          <w:spacing w:val="-2"/>
          <w:vertAlign w:val="baseline"/>
        </w:rPr>
        <w:t> </w:t>
      </w:r>
      <w:r>
        <w:rPr>
          <w:vertAlign w:val="baseline"/>
        </w:rPr>
        <w:t>while</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interest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treated along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right</w:t>
      </w:r>
      <w:r>
        <w:rPr>
          <w:spacing w:val="40"/>
          <w:vertAlign w:val="baseline"/>
        </w:rPr>
        <w:t> </w:t>
      </w:r>
      <w:r>
        <w:rPr>
          <w:vertAlign w:val="baseline"/>
        </w:rPr>
        <w:t>to</w:t>
      </w:r>
      <w:r>
        <w:rPr>
          <w:spacing w:val="40"/>
          <w:vertAlign w:val="baseline"/>
        </w:rPr>
        <w:t> </w:t>
      </w:r>
      <w:r>
        <w:rPr>
          <w:vertAlign w:val="baseline"/>
        </w:rPr>
        <w:t>interest</w:t>
      </w:r>
      <w:r>
        <w:rPr>
          <w:spacing w:val="40"/>
          <w:vertAlign w:val="baseline"/>
        </w:rPr>
        <w:t> </w:t>
      </w:r>
      <w:r>
        <w:rPr>
          <w:vertAlign w:val="baseline"/>
        </w:rPr>
        <w:t>on</w:t>
      </w:r>
      <w:r>
        <w:rPr>
          <w:spacing w:val="40"/>
          <w:vertAlign w:val="baseline"/>
        </w:rPr>
        <w:t> </w:t>
      </w:r>
      <w:r>
        <w:rPr>
          <w:vertAlign w:val="baseline"/>
        </w:rPr>
        <w:t>late</w:t>
      </w:r>
      <w:r>
        <w:rPr>
          <w:spacing w:val="40"/>
          <w:vertAlign w:val="baseline"/>
        </w:rPr>
        <w:t> </w:t>
      </w:r>
      <w:r>
        <w:rPr>
          <w:vertAlign w:val="baseline"/>
        </w:rPr>
        <w:t>payments</w:t>
      </w:r>
      <w:r>
        <w:rPr>
          <w:spacing w:val="40"/>
          <w:vertAlign w:val="baseline"/>
        </w:rPr>
        <w:t> </w:t>
      </w:r>
      <w:r>
        <w:rPr>
          <w:vertAlign w:val="baseline"/>
        </w:rPr>
        <w:t>in</w:t>
      </w:r>
      <w:r>
        <w:rPr>
          <w:spacing w:val="40"/>
          <w:vertAlign w:val="baseline"/>
        </w:rPr>
        <w:t> </w:t>
      </w:r>
      <w:r>
        <w:rPr>
          <w:vertAlign w:val="baseline"/>
        </w:rPr>
        <w:t>Section</w:t>
      </w:r>
      <w:r>
        <w:rPr>
          <w:spacing w:val="40"/>
          <w:vertAlign w:val="baseline"/>
        </w:rPr>
        <w:t> </w:t>
      </w:r>
      <w:r>
        <w:rPr>
          <w:vertAlign w:val="baseline"/>
        </w:rPr>
        <w:t>12.</w:t>
      </w:r>
      <w:r>
        <w:rPr>
          <w:spacing w:val="40"/>
          <w:vertAlign w:val="baseline"/>
        </w:rPr>
        <w:t> </w:t>
      </w:r>
      <w:r>
        <w:rPr>
          <w:vertAlign w:val="baseline"/>
        </w:rPr>
        <w:t>We</w:t>
      </w:r>
      <w:r>
        <w:rPr>
          <w:spacing w:val="40"/>
          <w:vertAlign w:val="baseline"/>
        </w:rPr>
        <w:t> </w:t>
      </w:r>
      <w:r>
        <w:rPr>
          <w:vertAlign w:val="baseline"/>
        </w:rPr>
        <w:t>deal</w:t>
      </w:r>
      <w:r>
        <w:rPr>
          <w:spacing w:val="40"/>
          <w:vertAlign w:val="baseline"/>
        </w:rPr>
        <w:t> </w:t>
      </w:r>
      <w:r>
        <w:rPr>
          <w:vertAlign w:val="baseline"/>
        </w:rPr>
        <w:t>here</w:t>
      </w:r>
      <w:r>
        <w:rPr>
          <w:spacing w:val="40"/>
          <w:vertAlign w:val="baseline"/>
        </w:rPr>
        <w:t> </w:t>
      </w:r>
      <w:r>
        <w:rPr>
          <w:vertAlign w:val="baseline"/>
        </w:rPr>
        <w:t>with</w:t>
      </w:r>
      <w:r>
        <w:rPr>
          <w:spacing w:val="40"/>
          <w:vertAlign w:val="baseline"/>
        </w:rPr>
        <w:t> </w:t>
      </w:r>
      <w:r>
        <w:rPr>
          <w:vertAlign w:val="baseline"/>
        </w:rPr>
        <w:t>damages</w:t>
      </w:r>
      <w:r>
        <w:rPr>
          <w:spacing w:val="40"/>
          <w:vertAlign w:val="baseline"/>
        </w:rPr>
        <w:t> </w:t>
      </w:r>
      <w:r>
        <w:rPr>
          <w:vertAlign w:val="baseline"/>
        </w:rPr>
        <w:t>for non-pecuniary losses such as distress, disappointment or loss of amenity caused by a breach of contract and with damages for legal costs.</w:t>
      </w:r>
    </w:p>
    <w:p>
      <w:pPr>
        <w:pStyle w:val="BodyText"/>
      </w:pPr>
    </w:p>
    <w:p>
      <w:pPr>
        <w:pStyle w:val="BodyText"/>
        <w:spacing w:before="38"/>
      </w:pPr>
      <w:r>
        <w:rPr/>
        <mc:AlternateContent>
          <mc:Choice Requires="wps">
            <w:drawing>
              <wp:anchor distT="0" distB="0" distL="0" distR="0" allowOverlap="1" layoutInCell="1" locked="0" behindDoc="1" simplePos="0" relativeHeight="487669248">
                <wp:simplePos x="0" y="0"/>
                <wp:positionH relativeFrom="page">
                  <wp:posOffset>914400</wp:posOffset>
                </wp:positionH>
                <wp:positionV relativeFrom="paragraph">
                  <wp:posOffset>185497</wp:posOffset>
                </wp:positionV>
                <wp:extent cx="5724525"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6141pt;width:450.75pt;height:.1pt;mso-position-horizontal-relative:page;mso-position-vertical-relative:paragraph;z-index:-15647232;mso-wrap-distance-left:0;mso-wrap-distance-right:0" id="docshape69"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502" w:id="1504"/>
      <w:bookmarkEnd w:id="1504"/>
      <w:r>
        <w:rPr/>
      </w:r>
      <w:hyperlink w:history="true" w:anchor="_bookmark1501">
        <w:r>
          <w:rPr>
            <w:color w:val="005DA1"/>
            <w:spacing w:val="-4"/>
            <w:position w:val="5"/>
            <w:sz w:val="14"/>
            <w:u w:val="single" w:color="005DA1"/>
          </w:rPr>
          <w:t>793</w:t>
        </w:r>
      </w:hyperlink>
      <w:r>
        <w:rPr>
          <w:spacing w:val="-4"/>
          <w:position w:val="5"/>
          <w:sz w:val="14"/>
        </w:rPr>
        <w:t>.</w:t>
      </w:r>
      <w:r>
        <w:rPr>
          <w:position w:val="5"/>
          <w:sz w:val="14"/>
        </w:rPr>
        <w:tab/>
      </w:r>
      <w:r>
        <w:rPr/>
        <w:t>See</w:t>
      </w:r>
      <w:r>
        <w:rPr>
          <w:spacing w:val="-2"/>
        </w:rPr>
        <w:t> </w:t>
      </w:r>
      <w:r>
        <w:rPr/>
        <w:t>below, para.26-</w:t>
      </w:r>
      <w:r>
        <w:rPr>
          <w:spacing w:val="-4"/>
        </w:rPr>
        <w:t>168.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38"/>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8. - Particular Restrictions on Recovery of </w:t>
      </w:r>
      <w:r>
        <w:rPr>
          <w:rFonts w:ascii="Arial"/>
          <w:b/>
          <w:spacing w:val="-2"/>
          <w:sz w:val="24"/>
        </w:rPr>
        <w:t>Damages</w:t>
      </w:r>
    </w:p>
    <w:p>
      <w:pPr>
        <w:spacing w:before="194"/>
        <w:ind w:left="3131" w:right="0" w:firstLine="0"/>
        <w:jc w:val="left"/>
        <w:rPr>
          <w:rFonts w:ascii="Arial"/>
          <w:b/>
          <w:sz w:val="24"/>
        </w:rPr>
      </w:pPr>
      <w:r>
        <w:rPr>
          <w:rFonts w:ascii="Arial"/>
          <w:b/>
          <w:sz w:val="24"/>
        </w:rPr>
        <w:t>(a) - Non-pecuniary </w:t>
      </w:r>
      <w:r>
        <w:rPr>
          <w:rFonts w:ascii="Arial"/>
          <w:b/>
          <w:spacing w:val="-2"/>
          <w:sz w:val="24"/>
        </w:rPr>
        <w:t>Losses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Non-pecuniary loss in </w:t>
      </w:r>
      <w:r>
        <w:rPr>
          <w:rFonts w:ascii="Arial"/>
          <w:b/>
          <w:spacing w:val="-2"/>
          <w:sz w:val="18"/>
        </w:rPr>
        <w:t>general</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140</w:t>
      </w:r>
    </w:p>
    <w:p>
      <w:pPr>
        <w:pStyle w:val="BodyText"/>
        <w:spacing w:line="235" w:lineRule="auto" w:before="202"/>
        <w:ind w:left="165" w:right="167"/>
        <w:jc w:val="both"/>
      </w:pPr>
      <w:r>
        <w:rPr/>
        <w:t>Normally, damages for breach of contract relate to financial loss (including loss of expected financial </w:t>
      </w:r>
      <w:bookmarkStart w:name="_bookmark1503" w:id="1505"/>
      <w:bookmarkEnd w:id="1505"/>
      <w:r>
        <w:rPr/>
        <w:t>gains),</w:t>
      </w:r>
      <w:r>
        <w:rPr/>
        <w:t> and in contract no damages will be awarded for injury to the claimant’s feelings, or for his </w:t>
      </w:r>
      <w:bookmarkStart w:name="_bookmark1504" w:id="1506"/>
      <w:bookmarkEnd w:id="1506"/>
      <w:r>
        <w:rPr/>
        <w:t>mental</w:t>
      </w:r>
      <w:r>
        <w:rPr/>
        <w:t> distress, anguish, annoyance, loss of reputation </w:t>
      </w:r>
      <w:r>
        <w:rPr>
          <w:color w:val="005DA1"/>
          <w:u w:val="single" w:color="005DA1"/>
          <w:vertAlign w:val="superscript"/>
        </w:rPr>
        <w:t>794</w:t>
      </w:r>
      <w:r>
        <w:rPr>
          <w:color w:val="005DA1"/>
          <w:vertAlign w:val="baseline"/>
        </w:rPr>
        <w:t> </w:t>
      </w:r>
      <w:r>
        <w:rPr>
          <w:vertAlign w:val="baseline"/>
        </w:rPr>
        <w:t>or social discredit caused by the breach of </w:t>
      </w:r>
      <w:bookmarkStart w:name="_bookmark1505" w:id="1507"/>
      <w:bookmarkEnd w:id="1507"/>
      <w:r>
        <w:rPr>
          <w:vertAlign w:val="baseline"/>
        </w:rPr>
        <w:t>contract</w:t>
      </w:r>
      <w:r>
        <w:rPr>
          <w:vertAlign w:val="baseline"/>
        </w:rPr>
        <w:t> </w:t>
      </w:r>
      <w:r>
        <w:rPr>
          <w:color w:val="005DA1"/>
          <w:u w:val="single" w:color="005DA1"/>
          <w:vertAlign w:val="superscript"/>
        </w:rPr>
        <w:t>795</w:t>
      </w:r>
      <w:r>
        <w:rPr>
          <w:vertAlign w:val="baseline"/>
        </w:rPr>
        <w:t>; as where an employee is wrongfully dismissed in a humiliating manner. </w:t>
      </w:r>
      <w:r>
        <w:rPr>
          <w:color w:val="005DA1"/>
          <w:u w:val="single" w:color="005DA1"/>
          <w:vertAlign w:val="superscript"/>
        </w:rPr>
        <w:t>796</w:t>
      </w:r>
      <w:r>
        <w:rPr>
          <w:color w:val="005DA1"/>
          <w:vertAlign w:val="baseline"/>
        </w:rPr>
        <w:t> </w:t>
      </w:r>
      <w:r>
        <w:rPr>
          <w:vertAlign w:val="baseline"/>
        </w:rPr>
        <w:t>This remains the general principle</w:t>
      </w:r>
      <w:r>
        <w:rPr>
          <w:spacing w:val="-1"/>
          <w:vertAlign w:val="baseline"/>
        </w:rPr>
        <w:t> </w:t>
      </w:r>
      <w:r>
        <w:rPr>
          <w:color w:val="005DA1"/>
          <w:u w:val="single" w:color="005DA1"/>
          <w:vertAlign w:val="superscript"/>
        </w:rPr>
        <w:t>797</w:t>
      </w:r>
      <w:r>
        <w:rPr>
          <w:vertAlign w:val="baseline"/>
        </w:rPr>
        <w:t>: even where it is not unlikely that a breach of an ordinary commercial </w:t>
      </w:r>
      <w:r>
        <w:rPr>
          <w:vertAlign w:val="baseline"/>
        </w:rPr>
        <w:t>contract </w:t>
      </w:r>
      <w:bookmarkStart w:name="_bookmark1506" w:id="1508"/>
      <w:bookmarkEnd w:id="1508"/>
      <w:r>
        <w:rPr>
          <w:vertAlign w:val="baseline"/>
        </w:rPr>
        <w:t>may</w:t>
      </w:r>
      <w:r>
        <w:rPr>
          <w:vertAlign w:val="baseline"/>
        </w:rPr>
        <w:t> cause foreseeable anguish and vexation to the claimant, no damages are recoverable for that type of loss. </w:t>
      </w:r>
      <w:r>
        <w:rPr>
          <w:color w:val="005DA1"/>
          <w:u w:val="single" w:color="005DA1"/>
          <w:vertAlign w:val="superscript"/>
        </w:rPr>
        <w:t>798</w:t>
      </w:r>
      <w:r>
        <w:rPr>
          <w:color w:val="005DA1"/>
          <w:vertAlign w:val="baseline"/>
        </w:rPr>
        <w:t> </w:t>
      </w:r>
      <w:r>
        <w:rPr>
          <w:vertAlign w:val="baseline"/>
        </w:rPr>
        <w:t>However, there is no general rule that only pecuniary losses are recoverable and</w:t>
      </w:r>
      <w:r>
        <w:rPr>
          <w:spacing w:val="40"/>
          <w:vertAlign w:val="baseline"/>
        </w:rPr>
        <w:t> </w:t>
      </w:r>
      <w:r>
        <w:rPr>
          <w:vertAlign w:val="baseline"/>
        </w:rPr>
        <w:t>there are now qualifications even to the principle that damages will not be awarded for</w:t>
      </w:r>
      <w:r>
        <w:rPr>
          <w:spacing w:val="80"/>
          <w:vertAlign w:val="baseline"/>
        </w:rPr>
        <w:t> </w:t>
      </w:r>
      <w:r>
        <w:rPr>
          <w:vertAlign w:val="baseline"/>
        </w:rPr>
        <w:t>disappointment or vexation, so that in quite a number of situations non-pecuniary losses of various kinds</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recovered</w:t>
      </w:r>
      <w:r>
        <w:rPr>
          <w:spacing w:val="-1"/>
          <w:vertAlign w:val="baseline"/>
        </w:rPr>
        <w:t> </w:t>
      </w:r>
      <w:r>
        <w:rPr>
          <w:vertAlign w:val="baseline"/>
        </w:rPr>
        <w:t>provided</w:t>
      </w:r>
      <w:r>
        <w:rPr>
          <w:spacing w:val="-1"/>
          <w:vertAlign w:val="baseline"/>
        </w:rPr>
        <w:t> </w:t>
      </w:r>
      <w:r>
        <w:rPr>
          <w:vertAlign w:val="baseline"/>
        </w:rPr>
        <w:t>if</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contemplation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as</w:t>
      </w:r>
      <w:r>
        <w:rPr>
          <w:spacing w:val="-1"/>
          <w:vertAlign w:val="baseline"/>
        </w:rPr>
        <w:t> </w:t>
      </w:r>
      <w:r>
        <w:rPr>
          <w:vertAlign w:val="baseline"/>
        </w:rPr>
        <w:t>not</w:t>
      </w:r>
      <w:r>
        <w:rPr>
          <w:spacing w:val="-1"/>
          <w:vertAlign w:val="baseline"/>
        </w:rPr>
        <w:t> </w:t>
      </w:r>
      <w:r>
        <w:rPr>
          <w:vertAlign w:val="baseline"/>
        </w:rPr>
        <w:t>unlikely</w:t>
      </w:r>
      <w:r>
        <w:rPr>
          <w:spacing w:val="-1"/>
          <w:vertAlign w:val="baseline"/>
        </w:rPr>
        <w:t> </w:t>
      </w:r>
      <w:r>
        <w:rPr>
          <w:vertAlign w:val="baseline"/>
        </w:rPr>
        <w:t>to result from the breach. The qualifications are explained in the paragraphs that follow.</w:t>
      </w:r>
    </w:p>
    <w:p>
      <w:pPr>
        <w:pStyle w:val="BodyText"/>
      </w:pPr>
    </w:p>
    <w:p>
      <w:pPr>
        <w:pStyle w:val="BodyText"/>
        <w:spacing w:before="35"/>
      </w:pPr>
    </w:p>
    <w:p>
      <w:pPr>
        <w:spacing w:before="0"/>
        <w:ind w:left="165" w:right="0" w:firstLine="0"/>
        <w:jc w:val="left"/>
        <w:rPr>
          <w:rFonts w:ascii="Arial"/>
          <w:b/>
          <w:sz w:val="18"/>
        </w:rPr>
      </w:pPr>
      <w:r>
        <w:rPr>
          <w:rFonts w:ascii="Arial"/>
          <w:b/>
          <w:sz w:val="18"/>
        </w:rPr>
        <w:t>Pain and suffering, loss of </w:t>
      </w:r>
      <w:r>
        <w:rPr>
          <w:rFonts w:ascii="Arial"/>
          <w:b/>
          <w:spacing w:val="-2"/>
          <w:sz w:val="18"/>
        </w:rPr>
        <w:t>amenity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141</w:t>
      </w:r>
    </w:p>
    <w:p>
      <w:pPr>
        <w:pStyle w:val="BodyText"/>
        <w:spacing w:line="235" w:lineRule="auto" w:before="203"/>
        <w:ind w:left="164" w:right="167"/>
        <w:jc w:val="both"/>
      </w:pPr>
      <w:bookmarkStart w:name="_bookmark1507" w:id="1509"/>
      <w:bookmarkEnd w:id="1509"/>
      <w:r>
        <w:rPr/>
      </w:r>
      <w:bookmarkStart w:name="_bookmark1508" w:id="1510"/>
      <w:bookmarkEnd w:id="1510"/>
      <w:r>
        <w:rPr/>
      </w:r>
      <w:r>
        <w:rPr/>
        <w:t>If the defendant’s breach of contract caused physical injury to the claimant himself, </w:t>
      </w:r>
      <w:r>
        <w:rPr>
          <w:color w:val="005DA1"/>
          <w:u w:val="single" w:color="005DA1"/>
          <w:vertAlign w:val="superscript"/>
        </w:rPr>
        <w:t>799</w:t>
      </w:r>
      <w:r>
        <w:rPr>
          <w:color w:val="005DA1"/>
          <w:vertAlign w:val="baseline"/>
        </w:rPr>
        <w:t> </w:t>
      </w:r>
      <w:r>
        <w:rPr>
          <w:vertAlign w:val="baseline"/>
        </w:rPr>
        <w:t>or to his property, </w:t>
      </w:r>
      <w:r>
        <w:rPr>
          <w:color w:val="005DA1"/>
          <w:u w:val="single" w:color="005DA1"/>
          <w:vertAlign w:val="superscript"/>
        </w:rPr>
        <w:t>800</w:t>
      </w:r>
      <w:r>
        <w:rPr>
          <w:color w:val="005DA1"/>
          <w:vertAlign w:val="baseline"/>
        </w:rPr>
        <w:t> </w:t>
      </w:r>
      <w:r>
        <w:rPr>
          <w:vertAlign w:val="baseline"/>
        </w:rPr>
        <w:t>the claimant may recover damages for that injury, provided the test for remoteness </w:t>
      </w:r>
      <w:r>
        <w:rPr>
          <w:vertAlign w:val="baseline"/>
        </w:rPr>
        <w:t>is satisfied, in the same way as in an action in tort. Damages for personal injury caused by breach of </w:t>
      </w:r>
      <w:bookmarkStart w:name="_bookmark1509" w:id="1511"/>
      <w:bookmarkEnd w:id="1511"/>
      <w:r>
        <w:rPr>
          <w:vertAlign w:val="baseline"/>
        </w:rPr>
        <w:t>contract</w:t>
      </w:r>
      <w:r>
        <w:rPr>
          <w:vertAlign w:val="baseline"/>
        </w:rPr>
        <w:t> may include compensation for pain and suffering and loss of amenity, as well as loss of earnings, which are normal heads of damages in the assessment of damages in tort for such injuries. </w:t>
      </w:r>
      <w:r>
        <w:rPr>
          <w:color w:val="005DA1"/>
          <w:u w:val="single" w:color="005DA1"/>
          <w:vertAlign w:val="superscript"/>
        </w:rPr>
        <w:t>801</w:t>
      </w:r>
      <w:r>
        <w:rPr>
          <w:color w:val="005DA1"/>
          <w:vertAlign w:val="baseline"/>
        </w:rPr>
        <w:t> </w:t>
      </w:r>
      <w:r>
        <w:rPr>
          <w:vertAlign w:val="baseline"/>
        </w:rPr>
        <w:t>If the remoteness test is satisfied, the claimant’s damages for breach of contract may include compensation for loss incurred through the death of a human being, as, e.g. for loss of his wife’s </w:t>
      </w:r>
      <w:bookmarkStart w:name="_bookmark1510" w:id="1512"/>
      <w:bookmarkEnd w:id="1512"/>
      <w:r>
        <w:rPr>
          <w:vertAlign w:val="baseline"/>
        </w:rPr>
        <w:t>services,</w:t>
      </w:r>
      <w:r>
        <w:rPr>
          <w:vertAlign w:val="baseline"/>
        </w:rPr>
        <w:t> where the cause of action was independent of the death and the death was merely an item of damage. </w:t>
      </w:r>
      <w:r>
        <w:rPr>
          <w:color w:val="005DA1"/>
          <w:u w:val="single" w:color="005DA1"/>
          <w:vertAlign w:val="superscript"/>
        </w:rPr>
        <w:t>802</w:t>
      </w:r>
    </w:p>
    <w:p>
      <w:pPr>
        <w:pStyle w:val="BodyText"/>
      </w:pPr>
    </w:p>
    <w:p>
      <w:pPr>
        <w:pStyle w:val="BodyText"/>
        <w:spacing w:before="35"/>
      </w:pPr>
    </w:p>
    <w:p>
      <w:pPr>
        <w:spacing w:before="0"/>
        <w:ind w:left="165" w:right="0" w:firstLine="0"/>
        <w:jc w:val="left"/>
        <w:rPr>
          <w:rFonts w:ascii="Arial"/>
          <w:b/>
          <w:sz w:val="18"/>
        </w:rPr>
      </w:pPr>
      <w:r>
        <w:rPr>
          <w:rFonts w:ascii="Arial"/>
          <w:b/>
          <w:sz w:val="18"/>
        </w:rPr>
        <w:t>Inconvenience and </w:t>
      </w:r>
      <w:r>
        <w:rPr>
          <w:rFonts w:ascii="Arial"/>
          <w:b/>
          <w:spacing w:val="-2"/>
          <w:sz w:val="18"/>
        </w:rPr>
        <w:t>discomfort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142</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11" w:id="1513"/>
      <w:bookmarkEnd w:id="1513"/>
      <w:r>
        <w:rPr>
          <w:rFonts w:ascii="Times New Roman" w:hAnsi="Times New Roman"/>
          <w:spacing w:val="-24"/>
        </w:rPr>
      </w:r>
      <w:r>
        <w:rPr/>
        <w:t>Where the breach of contract causes the claimant physical inconvenience or discomfort, he </w:t>
      </w:r>
      <w:r>
        <w:rPr/>
        <w:t>may </w:t>
      </w:r>
      <w:bookmarkStart w:name="_bookmark1512" w:id="1514"/>
      <w:bookmarkEnd w:id="1514"/>
      <w:r>
        <w:rPr/>
        <w:t>recover</w:t>
      </w:r>
      <w:r>
        <w:rPr/>
        <w:t> damages, </w:t>
      </w:r>
      <w:r>
        <w:rPr>
          <w:color w:val="005DA1"/>
          <w:u w:val="single" w:color="005DA1"/>
          <w:vertAlign w:val="superscript"/>
        </w:rPr>
        <w:t>803</w:t>
      </w:r>
      <w:r>
        <w:rPr>
          <w:color w:val="005DA1"/>
          <w:vertAlign w:val="baseline"/>
        </w:rPr>
        <w:t> </w:t>
      </w:r>
      <w:r>
        <w:rPr>
          <w:vertAlign w:val="baseline"/>
        </w:rPr>
        <w:t>as where the claimant suffered physical inconvenience and discomfort as the </w:t>
      </w:r>
      <w:bookmarkStart w:name="_bookmark1513" w:id="1515"/>
      <w:bookmarkEnd w:id="1515"/>
      <w:r>
        <w:rPr>
          <w:vertAlign w:val="baseline"/>
        </w:rPr>
        <w:t>result</w:t>
      </w:r>
      <w:r>
        <w:rPr>
          <w:vertAlign w:val="baseline"/>
        </w:rPr>
        <w:t> of living in a defective house, or of vacating rooms while repairs were carried out. </w:t>
      </w:r>
      <w:r>
        <w:rPr>
          <w:color w:val="005DA1"/>
          <w:u w:val="single" w:color="005DA1"/>
          <w:vertAlign w:val="superscript"/>
        </w:rPr>
        <w:t>804</w:t>
      </w:r>
      <w:r>
        <w:rPr>
          <w:color w:val="005DA1"/>
          <w:vertAlign w:val="baseline"/>
        </w:rPr>
        <w:t> </w:t>
      </w:r>
      <w:r>
        <w:rPr>
          <w:vertAlign w:val="baseline"/>
        </w:rPr>
        <w:t>But the quantum</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damages</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“modest”.</w:t>
      </w:r>
      <w:r>
        <w:rPr>
          <w:spacing w:val="-3"/>
          <w:vertAlign w:val="baseline"/>
        </w:rPr>
        <w:t> </w:t>
      </w:r>
      <w:r>
        <w:rPr>
          <w:color w:val="005DA1"/>
          <w:u w:val="single" w:color="005DA1"/>
          <w:vertAlign w:val="superscript"/>
        </w:rPr>
        <w:t>805</w:t>
      </w:r>
      <w:r>
        <w:rPr>
          <w:vertAlign w:val="baseline"/>
        </w:rPr>
        <w: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has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distress</w:t>
      </w:r>
      <w:r>
        <w:rPr>
          <w:spacing w:val="-2"/>
          <w:vertAlign w:val="baseline"/>
        </w:rPr>
        <w:t> </w:t>
      </w:r>
      <w:r>
        <w:rPr>
          <w:vertAlign w:val="baseline"/>
        </w:rPr>
        <w:t>and </w:t>
      </w:r>
      <w:bookmarkStart w:name="_bookmark1514" w:id="1516"/>
      <w:bookmarkEnd w:id="1516"/>
      <w:r>
        <w:rPr>
          <w:vertAlign w:val="baseline"/>
        </w:rPr>
        <w:t>inconvenience</w:t>
      </w:r>
      <w:r>
        <w:rPr>
          <w:spacing w:val="46"/>
          <w:vertAlign w:val="baseline"/>
        </w:rPr>
        <w:t> </w:t>
      </w:r>
      <w:r>
        <w:rPr>
          <w:vertAlign w:val="baseline"/>
        </w:rPr>
        <w:t>caused</w:t>
      </w:r>
      <w:r>
        <w:rPr>
          <w:spacing w:val="48"/>
          <w:vertAlign w:val="baseline"/>
        </w:rPr>
        <w:t> </w:t>
      </w:r>
      <w:r>
        <w:rPr>
          <w:vertAlign w:val="baseline"/>
        </w:rPr>
        <w:t>by</w:t>
      </w:r>
      <w:r>
        <w:rPr>
          <w:spacing w:val="48"/>
          <w:vertAlign w:val="baseline"/>
        </w:rPr>
        <w:t> </w:t>
      </w:r>
      <w:r>
        <w:rPr>
          <w:vertAlign w:val="baseline"/>
        </w:rPr>
        <w:t>disrepair</w:t>
      </w:r>
      <w:r>
        <w:rPr>
          <w:spacing w:val="48"/>
          <w:vertAlign w:val="baseline"/>
        </w:rPr>
        <w:t> </w:t>
      </w:r>
      <w:r>
        <w:rPr>
          <w:vertAlign w:val="baseline"/>
        </w:rPr>
        <w:t>are</w:t>
      </w:r>
      <w:r>
        <w:rPr>
          <w:spacing w:val="48"/>
          <w:vertAlign w:val="baseline"/>
        </w:rPr>
        <w:t> </w:t>
      </w:r>
      <w:r>
        <w:rPr>
          <w:vertAlign w:val="baseline"/>
        </w:rPr>
        <w:t>not</w:t>
      </w:r>
      <w:r>
        <w:rPr>
          <w:spacing w:val="48"/>
          <w:vertAlign w:val="baseline"/>
        </w:rPr>
        <w:t> </w:t>
      </w:r>
      <w:r>
        <w:rPr>
          <w:vertAlign w:val="baseline"/>
        </w:rPr>
        <w:t>freestanding</w:t>
      </w:r>
      <w:r>
        <w:rPr>
          <w:spacing w:val="48"/>
          <w:vertAlign w:val="baseline"/>
        </w:rPr>
        <w:t> </w:t>
      </w:r>
      <w:r>
        <w:rPr>
          <w:vertAlign w:val="baseline"/>
        </w:rPr>
        <w:t>heads</w:t>
      </w:r>
      <w:r>
        <w:rPr>
          <w:spacing w:val="48"/>
          <w:vertAlign w:val="baseline"/>
        </w:rPr>
        <w:t> </w:t>
      </w:r>
      <w:r>
        <w:rPr>
          <w:vertAlign w:val="baseline"/>
        </w:rPr>
        <w:t>of</w:t>
      </w:r>
      <w:r>
        <w:rPr>
          <w:spacing w:val="48"/>
          <w:vertAlign w:val="baseline"/>
        </w:rPr>
        <w:t> </w:t>
      </w:r>
      <w:r>
        <w:rPr>
          <w:vertAlign w:val="baseline"/>
        </w:rPr>
        <w:t>claim,</w:t>
      </w:r>
      <w:r>
        <w:rPr>
          <w:spacing w:val="48"/>
          <w:vertAlign w:val="baseline"/>
        </w:rPr>
        <w:t> </w:t>
      </w:r>
      <w:r>
        <w:rPr>
          <w:vertAlign w:val="baseline"/>
        </w:rPr>
        <w:t>but</w:t>
      </w:r>
      <w:r>
        <w:rPr>
          <w:spacing w:val="48"/>
          <w:vertAlign w:val="baseline"/>
        </w:rPr>
        <w:t> </w:t>
      </w:r>
      <w:r>
        <w:rPr>
          <w:vertAlign w:val="baseline"/>
        </w:rPr>
        <w:t>are</w:t>
      </w:r>
      <w:r>
        <w:rPr>
          <w:spacing w:val="48"/>
          <w:vertAlign w:val="baseline"/>
        </w:rPr>
        <w:t> </w:t>
      </w:r>
      <w:r>
        <w:rPr>
          <w:vertAlign w:val="baseline"/>
        </w:rPr>
        <w:t>symptomatic</w:t>
      </w:r>
      <w:r>
        <w:rPr>
          <w:spacing w:val="48"/>
          <w:vertAlign w:val="baseline"/>
        </w:rPr>
        <w:t> </w:t>
      </w:r>
      <w:r>
        <w:rPr>
          <w:spacing w:val="-7"/>
          <w:vertAlign w:val="baseline"/>
        </w:rPr>
        <w:t>of</w:t>
      </w:r>
    </w:p>
    <w:p>
      <w:pPr>
        <w:pStyle w:val="BodyText"/>
        <w:spacing w:before="114"/>
        <w:ind w:left="164"/>
        <w:jc w:val="both"/>
      </w:pPr>
      <w:r>
        <w:rPr/>
        <w:t>interference with the lessee’s enjoyment of the premises.</w:t>
      </w:r>
      <w:r>
        <w:rPr>
          <w:spacing w:val="-1"/>
        </w:rPr>
        <w:t> </w:t>
      </w:r>
      <w:r>
        <w:rPr>
          <w:color w:val="005DA1"/>
          <w:u w:val="single" w:color="005DA1"/>
          <w:vertAlign w:val="superscript"/>
        </w:rPr>
        <w:t>806</w:t>
      </w:r>
      <w:r>
        <w:rPr>
          <w:color w:val="005DA1"/>
          <w:spacing w:val="28"/>
          <w:vertAlign w:val="baseline"/>
        </w:rPr>
        <w:t>  </w:t>
      </w:r>
      <w:r>
        <w:rPr>
          <w:color w:val="005DA1"/>
          <w:spacing w:val="4"/>
          <w:position w:val="-2"/>
          <w:vertAlign w:val="baseline"/>
        </w:rPr>
        <w:drawing>
          <wp:inline distT="0" distB="0" distL="0" distR="0">
            <wp:extent cx="107988" cy="107988"/>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3"/>
          <w:vertAlign w:val="baseline"/>
        </w:rPr>
        <w:t> </w:t>
      </w:r>
      <w:r>
        <w:rPr>
          <w:vertAlign w:val="baseline"/>
        </w:rPr>
        <w:t>It follows that care should be</w:t>
      </w:r>
      <w:r>
        <w:rPr>
          <w:spacing w:val="1"/>
          <w:vertAlign w:val="baseline"/>
        </w:rPr>
        <w:t> </w:t>
      </w:r>
      <w:r>
        <w:rPr>
          <w:vertAlign w:val="baseline"/>
        </w:rPr>
        <w:t>taken </w:t>
      </w:r>
      <w:r>
        <w:rPr>
          <w:spacing w:val="-5"/>
          <w:vertAlign w:val="baseline"/>
        </w:rPr>
        <w:t>to</w:t>
      </w:r>
    </w:p>
    <w:p>
      <w:pPr>
        <w:pStyle w:val="BodyText"/>
        <w:spacing w:after="0"/>
        <w:jc w:val="both"/>
        <w:sectPr>
          <w:pgSz w:w="11900" w:h="16840"/>
          <w:pgMar w:header="971" w:footer="0" w:top="1300" w:bottom="280" w:left="1275" w:right="1275"/>
        </w:sectPr>
      </w:pPr>
    </w:p>
    <w:p>
      <w:pPr>
        <w:pStyle w:val="BodyText"/>
        <w:spacing w:line="360" w:lineRule="auto" w:before="106"/>
        <w:ind w:left="165"/>
        <w:rPr>
          <w:position w:val="-2"/>
        </w:rPr>
      </w:pPr>
      <w:bookmarkStart w:name="_bookmark1515" w:id="1517"/>
      <w:bookmarkEnd w:id="1517"/>
      <w:r>
        <w:rPr/>
      </w:r>
      <w:r>
        <w:rPr/>
        <w:t>ensure that any award for distress and inconvenience does not overlap with an award of loss of the</w:t>
      </w:r>
      <w:r>
        <w:rPr>
          <w:spacing w:val="40"/>
        </w:rPr>
        <w:t> </w:t>
      </w:r>
      <w:r>
        <w:rPr/>
        <w:t>market rental value of the property. </w:t>
      </w:r>
      <w:r>
        <w:rPr>
          <w:color w:val="005DA1"/>
          <w:u w:val="single" w:color="005DA1"/>
          <w:vertAlign w:val="superscript"/>
        </w:rPr>
        <w:t>807</w:t>
      </w:r>
      <w:r>
        <w:rPr>
          <w:color w:val="005DA1"/>
          <w:spacing w:val="80"/>
          <w:vertAlign w:val="baseline"/>
        </w:rPr>
        <w:t> </w:t>
      </w:r>
      <w:r>
        <w:rPr>
          <w:color w:val="005DA1"/>
          <w:position w:val="-2"/>
          <w:vertAlign w:val="baseline"/>
        </w:rPr>
        <w:drawing>
          <wp:inline distT="0" distB="0" distL="0" distR="0">
            <wp:extent cx="107988" cy="10798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Nervous </w:t>
      </w:r>
      <w:r>
        <w:rPr>
          <w:rFonts w:ascii="Arial"/>
          <w:b/>
          <w:spacing w:val="-2"/>
          <w:sz w:val="18"/>
        </w:rPr>
        <w:t>shock</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143</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3"/>
        </w:rPr>
        <w:t> </w:t>
      </w:r>
      <w:bookmarkStart w:name="_bookmark1516" w:id="1518"/>
      <w:bookmarkEnd w:id="1518"/>
      <w:r>
        <w:rPr>
          <w:rFonts w:ascii="Times New Roman"/>
          <w:spacing w:val="-15"/>
        </w:rPr>
      </w:r>
      <w:r>
        <w:rPr/>
        <w:t>Damages</w:t>
      </w:r>
      <w:r>
        <w:rPr>
          <w:spacing w:val="27"/>
        </w:rPr>
        <w:t> </w:t>
      </w:r>
      <w:r>
        <w:rPr/>
        <w:t>may</w:t>
      </w:r>
      <w:r>
        <w:rPr>
          <w:spacing w:val="27"/>
        </w:rPr>
        <w:t> </w:t>
      </w:r>
      <w:r>
        <w:rPr/>
        <w:t>also</w:t>
      </w:r>
      <w:r>
        <w:rPr>
          <w:spacing w:val="27"/>
        </w:rPr>
        <w:t> </w:t>
      </w:r>
      <w:r>
        <w:rPr/>
        <w:t>be</w:t>
      </w:r>
      <w:r>
        <w:rPr>
          <w:spacing w:val="27"/>
        </w:rPr>
        <w:t> </w:t>
      </w:r>
      <w:r>
        <w:rPr/>
        <w:t>awarded</w:t>
      </w:r>
      <w:r>
        <w:rPr>
          <w:spacing w:val="27"/>
        </w:rPr>
        <w:t> </w:t>
      </w:r>
      <w:r>
        <w:rPr/>
        <w:t>for</w:t>
      </w:r>
      <w:r>
        <w:rPr>
          <w:spacing w:val="27"/>
        </w:rPr>
        <w:t> </w:t>
      </w:r>
      <w:r>
        <w:rPr/>
        <w:t>nervous</w:t>
      </w:r>
      <w:r>
        <w:rPr>
          <w:spacing w:val="27"/>
        </w:rPr>
        <w:t> </w:t>
      </w:r>
      <w:r>
        <w:rPr/>
        <w:t>shock</w:t>
      </w:r>
      <w:r>
        <w:rPr>
          <w:spacing w:val="27"/>
        </w:rPr>
        <w:t> </w:t>
      </w:r>
      <w:r>
        <w:rPr/>
        <w:t>or</w:t>
      </w:r>
      <w:r>
        <w:rPr>
          <w:spacing w:val="27"/>
        </w:rPr>
        <w:t> </w:t>
      </w:r>
      <w:r>
        <w:rPr/>
        <w:t>an</w:t>
      </w:r>
      <w:r>
        <w:rPr>
          <w:spacing w:val="27"/>
        </w:rPr>
        <w:t> </w:t>
      </w:r>
      <w:r>
        <w:rPr/>
        <w:t>anxiety</w:t>
      </w:r>
      <w:r>
        <w:rPr>
          <w:spacing w:val="27"/>
        </w:rPr>
        <w:t> </w:t>
      </w:r>
      <w:r>
        <w:rPr/>
        <w:t>state</w:t>
      </w:r>
      <w:r>
        <w:rPr>
          <w:spacing w:val="27"/>
        </w:rPr>
        <w:t> </w:t>
      </w:r>
      <w:r>
        <w:rPr/>
        <w:t>(an</w:t>
      </w:r>
      <w:r>
        <w:rPr>
          <w:spacing w:val="27"/>
        </w:rPr>
        <w:t> </w:t>
      </w:r>
      <w:r>
        <w:rPr/>
        <w:t>actual</w:t>
      </w:r>
      <w:r>
        <w:rPr>
          <w:spacing w:val="27"/>
        </w:rPr>
        <w:t> </w:t>
      </w:r>
      <w:r>
        <w:rPr/>
        <w:t>breakdown</w:t>
      </w:r>
      <w:r>
        <w:rPr>
          <w:spacing w:val="27"/>
        </w:rPr>
        <w:t> </w:t>
      </w:r>
      <w:r>
        <w:rPr/>
        <w:t>in </w:t>
      </w:r>
      <w:bookmarkStart w:name="_bookmark1517" w:id="1519"/>
      <w:bookmarkEnd w:id="1519"/>
      <w:r>
        <w:rPr/>
        <w:t>health)</w:t>
      </w:r>
      <w:r>
        <w:rPr>
          <w:spacing w:val="49"/>
        </w:rPr>
        <w:t> </w:t>
      </w:r>
      <w:r>
        <w:rPr/>
        <w:t>suffered</w:t>
      </w:r>
      <w:r>
        <w:rPr>
          <w:spacing w:val="50"/>
        </w:rPr>
        <w:t> </w:t>
      </w:r>
      <w:r>
        <w:rPr/>
        <w:t>by</w:t>
      </w:r>
      <w:r>
        <w:rPr>
          <w:spacing w:val="50"/>
        </w:rPr>
        <w:t> </w:t>
      </w:r>
      <w:r>
        <w:rPr/>
        <w:t>the</w:t>
      </w:r>
      <w:r>
        <w:rPr>
          <w:spacing w:val="50"/>
        </w:rPr>
        <w:t> </w:t>
      </w:r>
      <w:r>
        <w:rPr/>
        <w:t>claimant,</w:t>
      </w:r>
      <w:r>
        <w:rPr>
          <w:spacing w:val="50"/>
        </w:rPr>
        <w:t> </w:t>
      </w:r>
      <w:r>
        <w:rPr/>
        <w:t>if</w:t>
      </w:r>
      <w:r>
        <w:rPr>
          <w:spacing w:val="50"/>
        </w:rPr>
        <w:t> </w:t>
      </w:r>
      <w:r>
        <w:rPr/>
        <w:t>that</w:t>
      </w:r>
      <w:r>
        <w:rPr>
          <w:spacing w:val="50"/>
        </w:rPr>
        <w:t> </w:t>
      </w:r>
      <w:r>
        <w:rPr/>
        <w:t>was,</w:t>
      </w:r>
      <w:r>
        <w:rPr>
          <w:spacing w:val="50"/>
        </w:rPr>
        <w:t> </w:t>
      </w:r>
      <w:r>
        <w:rPr/>
        <w:t>at</w:t>
      </w:r>
      <w:r>
        <w:rPr>
          <w:spacing w:val="50"/>
        </w:rPr>
        <w:t> </w:t>
      </w:r>
      <w:r>
        <w:rPr/>
        <w:t>the</w:t>
      </w:r>
      <w:r>
        <w:rPr>
          <w:spacing w:val="50"/>
        </w:rPr>
        <w:t> </w:t>
      </w:r>
      <w:r>
        <w:rPr/>
        <w:t>time</w:t>
      </w:r>
      <w:r>
        <w:rPr>
          <w:spacing w:val="50"/>
        </w:rPr>
        <w:t> </w:t>
      </w:r>
      <w:r>
        <w:rPr/>
        <w:t>the</w:t>
      </w:r>
      <w:r>
        <w:rPr>
          <w:spacing w:val="50"/>
        </w:rPr>
        <w:t> </w:t>
      </w:r>
      <w:r>
        <w:rPr/>
        <w:t>contract</w:t>
      </w:r>
      <w:r>
        <w:rPr>
          <w:spacing w:val="50"/>
        </w:rPr>
        <w:t> </w:t>
      </w:r>
      <w:r>
        <w:rPr/>
        <w:t>was</w:t>
      </w:r>
      <w:r>
        <w:rPr>
          <w:spacing w:val="50"/>
        </w:rPr>
        <w:t> </w:t>
      </w:r>
      <w:r>
        <w:rPr/>
        <w:t>made,</w:t>
      </w:r>
      <w:r>
        <w:rPr>
          <w:spacing w:val="50"/>
        </w:rPr>
        <w:t> </w:t>
      </w:r>
      <w:r>
        <w:rPr>
          <w:color w:val="005DA1"/>
          <w:u w:val="single" w:color="005DA1"/>
          <w:vertAlign w:val="superscript"/>
        </w:rPr>
        <w:t>808</w:t>
      </w:r>
      <w:r>
        <w:rPr>
          <w:color w:val="005DA1"/>
          <w:spacing w:val="50"/>
          <w:vertAlign w:val="baseline"/>
        </w:rPr>
        <w:t> </w:t>
      </w:r>
      <w:r>
        <w:rPr>
          <w:vertAlign w:val="baseline"/>
        </w:rPr>
        <w:t>within</w:t>
      </w:r>
      <w:r>
        <w:rPr>
          <w:spacing w:val="50"/>
          <w:vertAlign w:val="baseline"/>
        </w:rPr>
        <w:t> </w:t>
      </w:r>
      <w:r>
        <w:rPr>
          <w:spacing w:val="-5"/>
          <w:vertAlign w:val="baseline"/>
        </w:rPr>
        <w:t>the</w:t>
      </w:r>
    </w:p>
    <w:p>
      <w:pPr>
        <w:pStyle w:val="BodyText"/>
        <w:spacing w:before="115"/>
        <w:ind w:left="164"/>
        <w:rPr>
          <w:position w:val="-2"/>
        </w:rPr>
      </w:pPr>
      <w:r>
        <w:rPr/>
        <w:t>contemplation of the parties as a not unlikely consequence of the breach of contract. </w:t>
      </w:r>
      <w:r>
        <w:rPr>
          <w:color w:val="005DA1"/>
          <w:u w:val="single" w:color="005DA1"/>
          <w:vertAlign w:val="superscript"/>
        </w:rPr>
        <w:t>809</w:t>
      </w:r>
      <w:r>
        <w:rPr>
          <w:color w:val="005DA1"/>
          <w:spacing w:val="80"/>
          <w:w w:val="150"/>
          <w:vertAlign w:val="baseline"/>
        </w:rPr>
        <w:t> </w:t>
      </w:r>
      <w:r>
        <w:rPr>
          <w:color w:val="005DA1"/>
          <w:position w:val="-2"/>
          <w:vertAlign w:val="baseline"/>
        </w:rPr>
        <w:drawing>
          <wp:inline distT="0" distB="0" distL="0" distR="0">
            <wp:extent cx="107988" cy="107988"/>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bookmarkStart w:name="_bookmark1518" w:id="1520"/>
      <w:bookmarkEnd w:id="1520"/>
      <w:r>
        <w:rPr/>
      </w:r>
      <w:r>
        <w:rPr>
          <w:rFonts w:ascii="Arial"/>
          <w:b/>
          <w:sz w:val="18"/>
        </w:rPr>
        <w:t>Mental distress and disappointment </w:t>
      </w:r>
      <w:r>
        <w:rPr>
          <w:rFonts w:ascii="Arial"/>
          <w:b/>
          <w:color w:val="005DA1"/>
          <w:spacing w:val="-5"/>
          <w:sz w:val="18"/>
          <w:u w:val="single" w:color="005DA1"/>
          <w:vertAlign w:val="superscript"/>
        </w:rPr>
        <w:t>810</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144</w:t>
      </w:r>
    </w:p>
    <w:p>
      <w:pPr>
        <w:pStyle w:val="BodyText"/>
        <w:spacing w:line="235" w:lineRule="auto" w:before="203"/>
        <w:ind w:left="164" w:right="167"/>
        <w:jc w:val="both"/>
      </w:pPr>
      <w:r>
        <w:rPr/>
        <w:t>As stated above, damages are not as a general rule recoverable for distress or </w:t>
      </w:r>
      <w:r>
        <w:rPr/>
        <w:t>disappointment </w:t>
      </w:r>
      <w:bookmarkStart w:name="_bookmark1519" w:id="1521"/>
      <w:bookmarkEnd w:id="1521"/>
      <w:r>
        <w:rPr/>
        <w:t>caused</w:t>
      </w:r>
      <w:r>
        <w:rPr/>
        <w:t> by a breach of contract, even if such consequences were within the contemplation of the parties.</w:t>
      </w:r>
      <w:r>
        <w:rPr>
          <w:spacing w:val="-1"/>
        </w:rPr>
        <w:t> </w:t>
      </w:r>
      <w:r>
        <w:rPr/>
        <w:t>However,</w:t>
      </w:r>
      <w:r>
        <w:rPr>
          <w:spacing w:val="-1"/>
        </w:rPr>
        <w:t> </w:t>
      </w:r>
      <w:r>
        <w:rPr/>
        <w:t>an</w:t>
      </w:r>
      <w:r>
        <w:rPr>
          <w:spacing w:val="-1"/>
        </w:rPr>
        <w:t> </w:t>
      </w:r>
      <w:r>
        <w:rPr/>
        <w:t>exception</w:t>
      </w:r>
      <w:r>
        <w:rPr>
          <w:spacing w:val="-1"/>
        </w:rPr>
        <w:t> </w:t>
      </w:r>
      <w:r>
        <w:rPr/>
        <w:t>applies</w:t>
      </w:r>
      <w:r>
        <w:rPr>
          <w:spacing w:val="-1"/>
        </w:rPr>
        <w:t> </w:t>
      </w:r>
      <w:r>
        <w:rPr/>
        <w:t>in</w:t>
      </w:r>
      <w:r>
        <w:rPr>
          <w:spacing w:val="-1"/>
        </w:rPr>
        <w:t> </w:t>
      </w:r>
      <w:r>
        <w:rPr/>
        <w:t>the</w:t>
      </w:r>
      <w:r>
        <w:rPr>
          <w:spacing w:val="-1"/>
        </w:rPr>
        <w:t> </w:t>
      </w:r>
      <w:r>
        <w:rPr/>
        <w:t>enjoyment</w:t>
      </w:r>
      <w:r>
        <w:rPr>
          <w:spacing w:val="-1"/>
        </w:rPr>
        <w:t> </w:t>
      </w:r>
      <w:r>
        <w:rPr/>
        <w:t>or</w:t>
      </w:r>
      <w:r>
        <w:rPr>
          <w:spacing w:val="-1"/>
        </w:rPr>
        <w:t> </w:t>
      </w:r>
      <w:r>
        <w:rPr/>
        <w:t>“holiday”</w:t>
      </w:r>
      <w:r>
        <w:rPr>
          <w:spacing w:val="-1"/>
        </w:rPr>
        <w:t> </w:t>
      </w:r>
      <w:r>
        <w:rPr/>
        <w:t>cases</w:t>
      </w:r>
      <w:r>
        <w:rPr>
          <w:spacing w:val="-2"/>
        </w:rPr>
        <w:t> </w:t>
      </w:r>
      <w:r>
        <w:rPr>
          <w:color w:val="005DA1"/>
          <w:u w:val="single" w:color="005DA1"/>
          <w:vertAlign w:val="superscript"/>
        </w:rPr>
        <w:t>811</w:t>
      </w:r>
      <w:r>
        <w:rPr>
          <w:vertAlign w:val="baseline"/>
        </w:rPr>
        <w: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failure, in breach of contract, to provide a holiday of the advertised standard or some other form of </w:t>
      </w:r>
      <w:bookmarkStart w:name="_bookmark1520" w:id="1522"/>
      <w:bookmarkEnd w:id="1522"/>
      <w:r>
        <w:rPr>
          <w:vertAlign w:val="baseline"/>
        </w:rPr>
        <w:t>entertainment</w:t>
      </w:r>
      <w:r>
        <w:rPr>
          <w:vertAlign w:val="baseline"/>
        </w:rPr>
        <w:t> or enjoyment, damages may be awarded for the disappointment and mental distress caused by the breach of contract. </w:t>
      </w:r>
      <w:r>
        <w:rPr>
          <w:color w:val="005DA1"/>
          <w:u w:val="single" w:color="005DA1"/>
          <w:vertAlign w:val="superscript"/>
        </w:rPr>
        <w:t>812</w:t>
      </w:r>
      <w:r>
        <w:rPr>
          <w:color w:val="005DA1"/>
          <w:vertAlign w:val="baseline"/>
        </w:rPr>
        <w:t> </w:t>
      </w:r>
      <w:r>
        <w:rPr>
          <w:vertAlign w:val="baseline"/>
        </w:rPr>
        <w:t>The “loss of amenity” recognised by the House of Lords </w:t>
      </w:r>
      <w:r>
        <w:rPr>
          <w:color w:val="005DA1"/>
          <w:u w:val="single" w:color="005DA1"/>
          <w:vertAlign w:val="superscript"/>
        </w:rPr>
        <w:t>813</w:t>
      </w:r>
      <w:r>
        <w:rPr>
          <w:color w:val="005DA1"/>
          <w:vertAlign w:val="baseline"/>
        </w:rPr>
        <w:t> </w:t>
      </w:r>
      <w:r>
        <w:rPr>
          <w:vertAlign w:val="baseline"/>
        </w:rPr>
        <w:t>may also be viewed as an extension of the “loss of enjoyment” category. A further exception arises where the purpose of the contract was to protect the claimant from annoyance or distress, e.g. where a woman employed solicitors to protect her from being molested by a former friend, who was causing her mental distress; the damages for the solicitors’ failure to obtain protection for her included a sum </w:t>
      </w:r>
      <w:bookmarkStart w:name="_bookmark1521" w:id="1523"/>
      <w:bookmarkEnd w:id="1523"/>
      <w:r>
        <w:rPr>
          <w:vertAlign w:val="baseline"/>
        </w:rPr>
        <w:t>for</w:t>
      </w:r>
      <w:r>
        <w:rPr>
          <w:vertAlign w:val="baseline"/>
        </w:rPr>
        <w:t> the foreseeable annoyance and mental distress which she continued to suffer as a result of their </w:t>
      </w:r>
      <w:bookmarkStart w:name="_bookmark1522" w:id="1524"/>
      <w:bookmarkEnd w:id="1524"/>
      <w:r>
        <w:rPr>
          <w:vertAlign w:val="baseline"/>
        </w:rPr>
        <w:t>breach</w:t>
      </w:r>
      <w:r>
        <w:rPr>
          <w:vertAlign w:val="baseline"/>
        </w:rPr>
        <w:t> of contract. </w:t>
      </w:r>
      <w:r>
        <w:rPr>
          <w:color w:val="005DA1"/>
          <w:u w:val="single" w:color="005DA1"/>
          <w:vertAlign w:val="superscript"/>
        </w:rPr>
        <w:t>814</w:t>
      </w:r>
      <w:r>
        <w:rPr>
          <w:color w:val="005DA1"/>
          <w:vertAlign w:val="baseline"/>
        </w:rPr>
        <w:t> </w:t>
      </w:r>
      <w:r>
        <w:rPr>
          <w:vertAlign w:val="baseline"/>
        </w:rPr>
        <w:t>Damages for breach of contract may be awarded to a mother for the mental distress caused by the loss of the company of her child. </w:t>
      </w:r>
      <w:r>
        <w:rPr>
          <w:color w:val="005DA1"/>
          <w:u w:val="single" w:color="005DA1"/>
          <w:vertAlign w:val="superscript"/>
        </w:rPr>
        <w:t>815</w:t>
      </w:r>
    </w:p>
    <w:p>
      <w:pPr>
        <w:pStyle w:val="BodyText"/>
      </w:pPr>
    </w:p>
    <w:p>
      <w:pPr>
        <w:pStyle w:val="BodyText"/>
        <w:spacing w:before="33"/>
      </w:pPr>
    </w:p>
    <w:p>
      <w:pPr>
        <w:spacing w:before="0"/>
        <w:ind w:left="165" w:right="0" w:firstLine="0"/>
        <w:jc w:val="both"/>
        <w:rPr>
          <w:rFonts w:ascii="Arial"/>
          <w:b/>
          <w:sz w:val="18"/>
        </w:rPr>
      </w:pPr>
      <w:r>
        <w:rPr>
          <w:rFonts w:ascii="Arial"/>
          <w:b/>
          <w:sz w:val="18"/>
        </w:rPr>
        <w:t>Loss of </w:t>
      </w:r>
      <w:r>
        <w:rPr>
          <w:rFonts w:ascii="Arial"/>
          <w:b/>
          <w:spacing w:val="-2"/>
          <w:sz w:val="18"/>
        </w:rPr>
        <w:t>amenity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145</w:t>
      </w:r>
    </w:p>
    <w:p>
      <w:pPr>
        <w:pStyle w:val="BodyText"/>
        <w:spacing w:line="235" w:lineRule="auto" w:before="202"/>
        <w:ind w:left="164" w:right="167"/>
        <w:jc w:val="both"/>
      </w:pPr>
      <w:bookmarkStart w:name="_bookmark1523" w:id="1525"/>
      <w:bookmarkEnd w:id="1525"/>
      <w:r>
        <w:rPr/>
      </w:r>
      <w:r>
        <w:rPr/>
        <w:t>In </w:t>
      </w:r>
      <w:r>
        <w:rPr>
          <w:rFonts w:ascii="Arial" w:hAnsi="Arial"/>
          <w:i/>
        </w:rPr>
        <w:t>Ruxley Electronics and Construction Ltd v Forsyth </w:t>
      </w:r>
      <w:r>
        <w:rPr>
          <w:color w:val="005DA1"/>
          <w:u w:val="single" w:color="005DA1"/>
          <w:vertAlign w:val="superscript"/>
        </w:rPr>
        <w:t>816</w:t>
      </w:r>
      <w:r>
        <w:rPr>
          <w:color w:val="005DA1"/>
          <w:vertAlign w:val="baseline"/>
        </w:rPr>
        <w:t> </w:t>
      </w:r>
      <w:r>
        <w:rPr>
          <w:vertAlign w:val="baseline"/>
        </w:rPr>
        <w:t>the House of Lords accepted that damages may be awarded for the “loss of amenity” suffered by the claimant where the purpose of the contract was to give him a subjective, even idiosyncratic pleasure or amenity. The defendant, in breach of contract, built a swimming pool whose depth was only six feet in the diving area, instead of </w:t>
      </w:r>
      <w:r>
        <w:rPr>
          <w:vertAlign w:val="baseline"/>
        </w:rPr>
        <w:t>the specified seven feet six inches. Despite evidence that a depth of six feet was perfectly safe for diving, </w:t>
      </w:r>
      <w:bookmarkStart w:name="_bookmark1524" w:id="1526"/>
      <w:bookmarkEnd w:id="1526"/>
      <w:r>
        <w:rPr>
          <w:vertAlign w:val="baseline"/>
        </w:rPr>
        <w:t>and</w:t>
      </w:r>
      <w:r>
        <w:rPr>
          <w:vertAlign w:val="baseline"/>
        </w:rPr>
        <w:t> that the market value of the property was not adversely affected by the breach, the Court of Appeal </w:t>
      </w:r>
      <w:r>
        <w:rPr>
          <w:color w:val="005DA1"/>
          <w:u w:val="single" w:color="005DA1"/>
          <w:vertAlign w:val="superscript"/>
        </w:rPr>
        <w:t>817</w:t>
      </w:r>
      <w:r>
        <w:rPr>
          <w:color w:val="005DA1"/>
          <w:vertAlign w:val="baseline"/>
        </w:rPr>
        <w:t> </w:t>
      </w:r>
      <w:r>
        <w:rPr>
          <w:vertAlign w:val="baseline"/>
        </w:rPr>
        <w:t>had allowed the full cost of re-building the pool. Their Lordships reversed this decision </w:t>
      </w:r>
      <w:r>
        <w:rPr>
          <w:color w:val="005DA1"/>
          <w:u w:val="single" w:color="005DA1"/>
          <w:vertAlign w:val="superscript"/>
        </w:rPr>
        <w:t>818</w:t>
      </w:r>
      <w:r>
        <w:rPr>
          <w:color w:val="005DA1"/>
          <w:vertAlign w:val="baseline"/>
        </w:rPr>
        <w:t> </w:t>
      </w:r>
      <w:r>
        <w:rPr>
          <w:vertAlign w:val="baseline"/>
        </w:rPr>
        <w:t>and appeared to support the trial judge’s award (not appealed) of £2,500 as substantial damages for “loss of amenity” because the purpose of the contract was “the provision of a pleasurable amenity”. Two Lords agreed with Lord Mustill’s speech: he upheld the award as representing the loss of the </w:t>
      </w:r>
      <w:bookmarkStart w:name="_bookmark1525" w:id="1527"/>
      <w:bookmarkEnd w:id="1527"/>
      <w:r>
        <w:rPr>
          <w:vertAlign w:val="baseline"/>
        </w:rPr>
        <w:t>“consumer</w:t>
      </w:r>
      <w:r>
        <w:rPr>
          <w:vertAlign w:val="baseline"/>
        </w:rPr>
        <w:t> surplus”, the personal, subjective gain which the claimant expected to receive from full performance—an advantage not measured by any increase in the market value of his property. </w:t>
      </w:r>
      <w:r>
        <w:rPr>
          <w:color w:val="005DA1"/>
          <w:u w:val="single" w:color="005DA1"/>
          <w:vertAlign w:val="superscript"/>
        </w:rPr>
        <w:t>819</w:t>
      </w:r>
    </w:p>
    <w:p>
      <w:pPr>
        <w:pStyle w:val="BodyText"/>
        <w:spacing w:before="77"/>
      </w:pPr>
    </w:p>
    <w:p>
      <w:pPr>
        <w:spacing w:before="0"/>
        <w:ind w:left="165" w:right="0" w:firstLine="0"/>
        <w:jc w:val="left"/>
        <w:rPr>
          <w:rFonts w:ascii="Arial"/>
          <w:b/>
          <w:sz w:val="24"/>
        </w:rPr>
      </w:pPr>
      <w:r>
        <w:rPr>
          <w:rFonts w:ascii="Arial"/>
          <w:b/>
          <w:sz w:val="24"/>
        </w:rPr>
        <w:t>26-</w:t>
      </w:r>
      <w:r>
        <w:rPr>
          <w:rFonts w:ascii="Arial"/>
          <w:b/>
          <w:spacing w:val="-5"/>
          <w:sz w:val="24"/>
        </w:rPr>
        <w:t>146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5"/>
        </w:rPr>
        <w:t> </w:t>
      </w:r>
      <w:bookmarkStart w:name="_bookmark1526" w:id="1528"/>
      <w:bookmarkEnd w:id="1528"/>
      <w:r>
        <w:rPr>
          <w:rFonts w:ascii="Times New Roman" w:hAnsi="Times New Roman"/>
          <w:spacing w:val="-3"/>
        </w:rPr>
      </w:r>
      <w:r>
        <w:rPr/>
        <w:t>The House of Lords again used the “loss of amenity” concept to award damages in </w:t>
      </w:r>
      <w:r>
        <w:rPr>
          <w:rFonts w:ascii="Arial" w:hAnsi="Arial"/>
          <w:i/>
        </w:rPr>
        <w:t>Farley </w:t>
      </w:r>
      <w:r>
        <w:rPr>
          <w:rFonts w:ascii="Arial" w:hAnsi="Arial"/>
          <w:i/>
        </w:rPr>
        <w:t>v Skinner </w:t>
      </w:r>
      <w:r>
        <w:rPr>
          <w:color w:val="005DA1"/>
          <w:u w:val="single" w:color="005DA1"/>
          <w:vertAlign w:val="superscript"/>
        </w:rPr>
        <w:t>820</w:t>
      </w:r>
      <w:r>
        <w:rPr>
          <w:color w:val="005DA1"/>
          <w:vertAlign w:val="baseline"/>
        </w:rPr>
        <w:t> </w:t>
      </w:r>
      <w:r>
        <w:rPr>
          <w:vertAlign w:val="baseline"/>
        </w:rPr>
        <w:t>where the potential purchaser specifically asked his surveyor whether the property would be seriously affected by aircraft noise. A paragraph in the survey report said it was unlikely that the property would suffer greatly from such noise. In fact, it was close to a navigation beacon around which aircraft could be “stacked” on a spiral course at busy times at the nearby airport. The House of Lords held that it was sufficient for the award of damages that an important object of the contract was to</w:t>
      </w:r>
      <w:r>
        <w:rPr>
          <w:spacing w:val="31"/>
          <w:vertAlign w:val="baseline"/>
        </w:rPr>
        <w:t> </w:t>
      </w:r>
      <w:r>
        <w:rPr>
          <w:vertAlign w:val="baseline"/>
        </w:rPr>
        <w:t>give</w:t>
      </w:r>
      <w:r>
        <w:rPr>
          <w:spacing w:val="31"/>
          <w:vertAlign w:val="baseline"/>
        </w:rPr>
        <w:t> </w:t>
      </w:r>
      <w:r>
        <w:rPr>
          <w:vertAlign w:val="baseline"/>
        </w:rPr>
        <w:t>pleasure,</w:t>
      </w:r>
      <w:r>
        <w:rPr>
          <w:spacing w:val="31"/>
          <w:vertAlign w:val="baseline"/>
        </w:rPr>
        <w:t> </w:t>
      </w:r>
      <w:r>
        <w:rPr>
          <w:vertAlign w:val="baseline"/>
        </w:rPr>
        <w:t>relaxation</w:t>
      </w:r>
      <w:r>
        <w:rPr>
          <w:spacing w:val="31"/>
          <w:vertAlign w:val="baseline"/>
        </w:rPr>
        <w:t> </w:t>
      </w:r>
      <w:r>
        <w:rPr>
          <w:vertAlign w:val="baseline"/>
        </w:rPr>
        <w:t>or</w:t>
      </w:r>
      <w:r>
        <w:rPr>
          <w:spacing w:val="31"/>
          <w:vertAlign w:val="baseline"/>
        </w:rPr>
        <w:t> </w:t>
      </w:r>
      <w:r>
        <w:rPr>
          <w:vertAlign w:val="baseline"/>
        </w:rPr>
        <w:t>peace</w:t>
      </w:r>
      <w:r>
        <w:rPr>
          <w:spacing w:val="31"/>
          <w:vertAlign w:val="baseline"/>
        </w:rPr>
        <w:t> </w:t>
      </w:r>
      <w:r>
        <w:rPr>
          <w:vertAlign w:val="baseline"/>
        </w:rPr>
        <w:t>of</w:t>
      </w:r>
      <w:r>
        <w:rPr>
          <w:spacing w:val="31"/>
          <w:vertAlign w:val="baseline"/>
        </w:rPr>
        <w:t> </w:t>
      </w:r>
      <w:r>
        <w:rPr>
          <w:vertAlign w:val="baseline"/>
        </w:rPr>
        <w:t>mind—it</w:t>
      </w:r>
      <w:r>
        <w:rPr>
          <w:spacing w:val="31"/>
          <w:vertAlign w:val="baseline"/>
        </w:rPr>
        <w:t> </w:t>
      </w:r>
      <w:r>
        <w:rPr>
          <w:vertAlign w:val="baseline"/>
        </w:rPr>
        <w:t>need</w:t>
      </w:r>
      <w:r>
        <w:rPr>
          <w:spacing w:val="31"/>
          <w:vertAlign w:val="baseline"/>
        </w:rPr>
        <w:t> </w:t>
      </w:r>
      <w:r>
        <w:rPr>
          <w:vertAlign w:val="baseline"/>
        </w:rPr>
        <w:t>not</w:t>
      </w:r>
      <w:r>
        <w:rPr>
          <w:spacing w:val="31"/>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sole</w:t>
      </w:r>
      <w:r>
        <w:rPr>
          <w:spacing w:val="31"/>
          <w:vertAlign w:val="baseline"/>
        </w:rPr>
        <w:t> </w:t>
      </w:r>
      <w:r>
        <w:rPr>
          <w:vertAlign w:val="baseline"/>
        </w:rPr>
        <w:t>or</w:t>
      </w:r>
      <w:r>
        <w:rPr>
          <w:spacing w:val="31"/>
          <w:vertAlign w:val="baseline"/>
        </w:rPr>
        <w:t> </w:t>
      </w:r>
      <w:r>
        <w:rPr>
          <w:vertAlign w:val="baseline"/>
        </w:rPr>
        <w:t>principal</w:t>
      </w:r>
      <w:r>
        <w:rPr>
          <w:spacing w:val="31"/>
          <w:vertAlign w:val="baseline"/>
        </w:rPr>
        <w:t> </w:t>
      </w:r>
      <w:r>
        <w:rPr>
          <w:vertAlign w:val="baseline"/>
        </w:rPr>
        <w:t>purpose</w:t>
      </w:r>
      <w:r>
        <w:rPr>
          <w:spacing w:val="31"/>
          <w:vertAlign w:val="baseline"/>
        </w:rPr>
        <w:t> </w:t>
      </w:r>
      <w:r>
        <w:rPr>
          <w:vertAlign w:val="baseline"/>
        </w:rPr>
        <w:t>of</w:t>
      </w:r>
      <w:r>
        <w:rPr>
          <w:spacing w:val="31"/>
          <w:vertAlign w:val="baseline"/>
        </w:rPr>
        <w:t> </w:t>
      </w:r>
      <w:r>
        <w:rPr>
          <w:spacing w:val="-5"/>
          <w:vertAlign w:val="baseline"/>
        </w:rPr>
        <w:t>the</w:t>
      </w:r>
    </w:p>
    <w:p>
      <w:pPr>
        <w:pStyle w:val="BodyText"/>
        <w:spacing w:after="0" w:line="235" w:lineRule="auto"/>
        <w:jc w:val="both"/>
        <w:sectPr>
          <w:headerReference w:type="default" r:id="rId39"/>
          <w:pgSz w:w="11900" w:h="16840"/>
          <w:pgMar w:header="971" w:footer="0" w:top="1300" w:bottom="280" w:left="1275" w:right="1275"/>
          <w:pgNumType w:start="2"/>
        </w:sectPr>
      </w:pPr>
    </w:p>
    <w:p>
      <w:pPr>
        <w:pStyle w:val="BodyText"/>
        <w:spacing w:line="235" w:lineRule="auto" w:before="110"/>
        <w:ind w:left="165" w:right="167"/>
        <w:jc w:val="both"/>
      </w:pPr>
      <w:r>
        <w:rPr/>
        <w:t>contract</w:t>
      </w:r>
      <w:r>
        <w:rPr>
          <w:spacing w:val="-1"/>
        </w:rPr>
        <w:t> </w:t>
      </w:r>
      <w:r>
        <w:rPr/>
        <w:t>to</w:t>
      </w:r>
      <w:r>
        <w:rPr>
          <w:spacing w:val="-1"/>
        </w:rPr>
        <w:t> </w:t>
      </w:r>
      <w:r>
        <w:rPr/>
        <w:t>justify</w:t>
      </w:r>
      <w:r>
        <w:rPr>
          <w:spacing w:val="-1"/>
        </w:rPr>
        <w:t> </w:t>
      </w:r>
      <w:r>
        <w:rPr/>
        <w:t>the</w:t>
      </w:r>
      <w:r>
        <w:rPr>
          <w:spacing w:val="-1"/>
        </w:rPr>
        <w:t> </w:t>
      </w:r>
      <w:r>
        <w:rPr/>
        <w:t>award</w:t>
      </w:r>
      <w:r>
        <w:rPr>
          <w:spacing w:val="-1"/>
        </w:rPr>
        <w:t> </w:t>
      </w:r>
      <w:r>
        <w:rPr/>
        <w:t>of</w:t>
      </w:r>
      <w:r>
        <w:rPr>
          <w:spacing w:val="-1"/>
        </w:rPr>
        <w:t> </w:t>
      </w:r>
      <w:r>
        <w:rPr/>
        <w:t>damages</w:t>
      </w:r>
      <w:r>
        <w:rPr>
          <w:spacing w:val="-1"/>
        </w:rPr>
        <w:t> </w:t>
      </w:r>
      <w:r>
        <w:rPr/>
        <w:t>for</w:t>
      </w:r>
      <w:r>
        <w:rPr>
          <w:spacing w:val="-1"/>
        </w:rPr>
        <w:t> </w:t>
      </w:r>
      <w:r>
        <w:rPr/>
        <w:t>“loss</w:t>
      </w:r>
      <w:r>
        <w:rPr>
          <w:spacing w:val="-1"/>
        </w:rPr>
        <w:t> </w:t>
      </w:r>
      <w:r>
        <w:rPr/>
        <w:t>of</w:t>
      </w:r>
      <w:r>
        <w:rPr>
          <w:spacing w:val="-1"/>
        </w:rPr>
        <w:t> </w:t>
      </w:r>
      <w:r>
        <w:rPr/>
        <w:t>amenity”</w:t>
      </w:r>
      <w:r>
        <w:rPr>
          <w:spacing w:val="-1"/>
        </w:rPr>
        <w:t> </w:t>
      </w:r>
      <w:r>
        <w:rPr/>
        <w:t>when</w:t>
      </w:r>
      <w:r>
        <w:rPr>
          <w:spacing w:val="-1"/>
        </w:rPr>
        <w:t> </w:t>
      </w:r>
      <w:r>
        <w:rPr/>
        <w:t>the</w:t>
      </w:r>
      <w:r>
        <w:rPr>
          <w:spacing w:val="-1"/>
        </w:rPr>
        <w:t> </w:t>
      </w:r>
      <w:r>
        <w:rPr/>
        <w:t>surveyor</w:t>
      </w:r>
      <w:r>
        <w:rPr>
          <w:spacing w:val="-1"/>
        </w:rPr>
        <w:t> </w:t>
      </w:r>
      <w:r>
        <w:rPr/>
        <w:t>had</w:t>
      </w:r>
      <w:r>
        <w:rPr>
          <w:spacing w:val="-1"/>
        </w:rPr>
        <w:t> </w:t>
      </w:r>
      <w:r>
        <w:rPr/>
        <w:t>failed</w:t>
      </w:r>
      <w:r>
        <w:rPr>
          <w:spacing w:val="-1"/>
        </w:rPr>
        <w:t> </w:t>
      </w:r>
      <w:r>
        <w:rPr/>
        <w:t>to</w:t>
      </w:r>
      <w:r>
        <w:rPr>
          <w:spacing w:val="-1"/>
        </w:rPr>
        <w:t> </w:t>
      </w:r>
      <w:r>
        <w:rPr/>
        <w:t>exercise reasonable care in making the report on noise. An award of £10,000 damages was upheld, even </w:t>
      </w:r>
      <w:bookmarkStart w:name="_bookmark1527" w:id="1529"/>
      <w:bookmarkEnd w:id="1529"/>
      <w:r>
        <w:rPr/>
        <w:t>though</w:t>
      </w:r>
      <w:r>
        <w:rPr>
          <w:spacing w:val="5"/>
        </w:rPr>
        <w:t> </w:t>
      </w:r>
      <w:r>
        <w:rPr/>
        <w:t>the</w:t>
      </w:r>
      <w:r>
        <w:rPr>
          <w:spacing w:val="5"/>
        </w:rPr>
        <w:t> </w:t>
      </w:r>
      <w:r>
        <w:rPr/>
        <w:t>market</w:t>
      </w:r>
      <w:r>
        <w:rPr>
          <w:spacing w:val="5"/>
        </w:rPr>
        <w:t> </w:t>
      </w:r>
      <w:r>
        <w:rPr/>
        <w:t>value</w:t>
      </w:r>
      <w:r>
        <w:rPr>
          <w:spacing w:val="5"/>
        </w:rPr>
        <w:t> </w:t>
      </w:r>
      <w:r>
        <w:rPr/>
        <w:t>of</w:t>
      </w:r>
      <w:r>
        <w:rPr>
          <w:spacing w:val="5"/>
        </w:rPr>
        <w:t> </w:t>
      </w:r>
      <w:r>
        <w:rPr/>
        <w:t>the</w:t>
      </w:r>
      <w:r>
        <w:rPr>
          <w:spacing w:val="5"/>
        </w:rPr>
        <w:t> </w:t>
      </w:r>
      <w:r>
        <w:rPr/>
        <w:t>property,</w:t>
      </w:r>
      <w:r>
        <w:rPr>
          <w:spacing w:val="5"/>
        </w:rPr>
        <w:t> </w:t>
      </w:r>
      <w:r>
        <w:rPr/>
        <w:t>after</w:t>
      </w:r>
      <w:r>
        <w:rPr>
          <w:spacing w:val="5"/>
        </w:rPr>
        <w:t> </w:t>
      </w:r>
      <w:r>
        <w:rPr/>
        <w:t>taking</w:t>
      </w:r>
      <w:r>
        <w:rPr>
          <w:spacing w:val="5"/>
        </w:rPr>
        <w:t> </w:t>
      </w:r>
      <w:r>
        <w:rPr/>
        <w:t>account</w:t>
      </w:r>
      <w:r>
        <w:rPr>
          <w:spacing w:val="5"/>
        </w:rPr>
        <w:t> </w:t>
      </w:r>
      <w:r>
        <w:rPr/>
        <w:t>of</w:t>
      </w:r>
      <w:r>
        <w:rPr>
          <w:spacing w:val="5"/>
        </w:rPr>
        <w:t> </w:t>
      </w:r>
      <w:r>
        <w:rPr/>
        <w:t>the</w:t>
      </w:r>
      <w:r>
        <w:rPr>
          <w:spacing w:val="5"/>
        </w:rPr>
        <w:t> </w:t>
      </w:r>
      <w:r>
        <w:rPr/>
        <w:t>noise,</w:t>
      </w:r>
      <w:r>
        <w:rPr>
          <w:spacing w:val="5"/>
        </w:rPr>
        <w:t> </w:t>
      </w:r>
      <w:r>
        <w:rPr/>
        <w:t>was</w:t>
      </w:r>
      <w:r>
        <w:rPr>
          <w:spacing w:val="5"/>
        </w:rPr>
        <w:t> </w:t>
      </w:r>
      <w:r>
        <w:rPr/>
        <w:t>not</w:t>
      </w:r>
      <w:r>
        <w:rPr>
          <w:spacing w:val="5"/>
        </w:rPr>
        <w:t> </w:t>
      </w:r>
      <w:r>
        <w:rPr/>
        <w:t>less</w:t>
      </w:r>
      <w:r>
        <w:rPr>
          <w:spacing w:val="5"/>
        </w:rPr>
        <w:t> </w:t>
      </w:r>
      <w:r>
        <w:rPr/>
        <w:t>than</w:t>
      </w:r>
      <w:r>
        <w:rPr>
          <w:spacing w:val="5"/>
        </w:rPr>
        <w:t> </w:t>
      </w:r>
      <w:r>
        <w:rPr/>
        <w:t>the</w:t>
      </w:r>
      <w:r>
        <w:rPr>
          <w:spacing w:val="5"/>
        </w:rPr>
        <w:t> </w:t>
      </w:r>
      <w:r>
        <w:rPr>
          <w:spacing w:val="-2"/>
        </w:rPr>
        <w:t>price</w:t>
      </w:r>
    </w:p>
    <w:p>
      <w:pPr>
        <w:pStyle w:val="BodyText"/>
        <w:spacing w:line="235" w:lineRule="auto" w:before="119"/>
        <w:ind w:left="165" w:right="168"/>
        <w:jc w:val="both"/>
      </w:pPr>
      <w:bookmarkStart w:name="_bookmark1528" w:id="1530"/>
      <w:bookmarkEnd w:id="1530"/>
      <w:r>
        <w:rPr/>
      </w:r>
      <w:r>
        <w:rPr/>
        <w:t>paid by the purchaser. </w:t>
      </w:r>
      <w:r>
        <w:rPr>
          <w:color w:val="005DA1"/>
          <w:u w:val="single" w:color="005DA1"/>
          <w:vertAlign w:val="superscript"/>
        </w:rPr>
        <w:t>821</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35"/>
          <w:vertAlign w:val="baseline"/>
        </w:rPr>
        <w:t> </w:t>
      </w:r>
      <w:r>
        <w:rPr>
          <w:vertAlign w:val="baseline"/>
        </w:rPr>
        <w:t>It should be noted that the defendant make a specific statement </w:t>
      </w:r>
      <w:r>
        <w:rPr>
          <w:vertAlign w:val="baseline"/>
        </w:rPr>
        <w:t>about the amenity in response to a specific inquiry by the claimant. </w:t>
      </w:r>
      <w:r>
        <w:rPr>
          <w:color w:val="005DA1"/>
          <w:u w:val="single" w:color="005DA1"/>
          <w:vertAlign w:val="superscript"/>
        </w:rPr>
        <w:t>822</w:t>
      </w:r>
    </w:p>
    <w:p>
      <w:pPr>
        <w:pStyle w:val="BodyText"/>
      </w:pPr>
    </w:p>
    <w:p>
      <w:pPr>
        <w:pStyle w:val="BodyText"/>
        <w:spacing w:before="38"/>
      </w:pPr>
    </w:p>
    <w:p>
      <w:pPr>
        <w:spacing w:before="0"/>
        <w:ind w:left="165" w:right="0" w:firstLine="0"/>
        <w:jc w:val="both"/>
        <w:rPr>
          <w:rFonts w:ascii="Arial"/>
          <w:b/>
          <w:sz w:val="18"/>
        </w:rPr>
      </w:pPr>
      <w:r>
        <w:rPr>
          <w:rFonts w:ascii="Arial"/>
          <w:b/>
          <w:sz w:val="18"/>
        </w:rPr>
        <w:t>Employment </w:t>
      </w:r>
      <w:r>
        <w:rPr>
          <w:rFonts w:ascii="Arial"/>
          <w:b/>
          <w:spacing w:val="-2"/>
          <w:sz w:val="18"/>
        </w:rPr>
        <w:t>cases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147</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cases of employment the employer may be in breach of one or both of two duties, the common law duty of care and the implied duty of trust and confidence. As a result, the employee may suffer a loss of reputation, or distress and injured feelings, or may develop a recognised psychiatric </w:t>
      </w:r>
      <w:r>
        <w:rPr/>
        <w:t>illness. </w:t>
      </w:r>
      <w:bookmarkStart w:name="_bookmark1529" w:id="1531"/>
      <w:bookmarkEnd w:id="1531"/>
      <w:r>
        <w:rPr/>
        <w:t>Damages</w:t>
      </w:r>
      <w:r>
        <w:rPr/>
        <w:t> for loss of reputation are considered in the next paragraph. The employee will not normally </w:t>
      </w:r>
      <w:bookmarkStart w:name="_bookmark1530" w:id="1532"/>
      <w:bookmarkEnd w:id="1532"/>
      <w:r>
        <w:rPr/>
        <w:t>be</w:t>
      </w:r>
      <w:r>
        <w:rPr/>
        <w:t> able to recover damages for distress and injury to feelings. </w:t>
      </w:r>
      <w:r>
        <w:rPr>
          <w:color w:val="005DA1"/>
          <w:u w:val="single" w:color="005DA1"/>
          <w:vertAlign w:val="superscript"/>
        </w:rPr>
        <w:t>823</w:t>
      </w:r>
      <w:r>
        <w:rPr>
          <w:color w:val="005DA1"/>
          <w:vertAlign w:val="baseline"/>
        </w:rPr>
        <w:t> </w:t>
      </w:r>
      <w:r>
        <w:rPr>
          <w:vertAlign w:val="baseline"/>
        </w:rPr>
        <w:t>Damages for a recognisable psychiatric</w:t>
      </w:r>
      <w:r>
        <w:rPr>
          <w:spacing w:val="-4"/>
          <w:vertAlign w:val="baseline"/>
        </w:rPr>
        <w:t> </w:t>
      </w:r>
      <w:r>
        <w:rPr>
          <w:vertAlign w:val="baseline"/>
        </w:rPr>
        <w:t>illness</w:t>
      </w:r>
      <w:r>
        <w:rPr>
          <w:spacing w:val="-4"/>
          <w:vertAlign w:val="baseline"/>
        </w:rPr>
        <w:t> </w:t>
      </w:r>
      <w:r>
        <w:rPr>
          <w:vertAlign w:val="baseline"/>
        </w:rPr>
        <w:t>are</w:t>
      </w:r>
      <w:r>
        <w:rPr>
          <w:spacing w:val="-4"/>
          <w:vertAlign w:val="baseline"/>
        </w:rPr>
        <w:t> </w:t>
      </w:r>
      <w:r>
        <w:rPr>
          <w:vertAlign w:val="baseline"/>
        </w:rPr>
        <w:t>treated</w:t>
      </w:r>
      <w:r>
        <w:rPr>
          <w:spacing w:val="-4"/>
          <w:vertAlign w:val="baseline"/>
        </w:rPr>
        <w:t> </w:t>
      </w:r>
      <w:r>
        <w:rPr>
          <w:vertAlign w:val="baseline"/>
        </w:rPr>
        <w:t>differently.</w:t>
      </w:r>
      <w:r>
        <w:rPr>
          <w:spacing w:val="-4"/>
          <w:vertAlign w:val="baseline"/>
        </w:rPr>
        <w:t> </w:t>
      </w:r>
      <w:r>
        <w:rPr>
          <w:color w:val="005DA1"/>
          <w:u w:val="single" w:color="005DA1"/>
          <w:vertAlign w:val="superscript"/>
        </w:rPr>
        <w:t>824</w:t>
      </w:r>
      <w:r>
        <w:rPr>
          <w:color w:val="005DA1"/>
          <w:spacing w:val="-4"/>
          <w:vertAlign w:val="baseline"/>
        </w:rPr>
        <w:t> </w:t>
      </w:r>
      <w:r>
        <w:rPr>
          <w:vertAlign w:val="baseline"/>
        </w:rPr>
        <w:t>In</w:t>
      </w:r>
      <w:r>
        <w:rPr>
          <w:spacing w:val="-4"/>
          <w:vertAlign w:val="baseline"/>
        </w:rPr>
        <w:t> </w:t>
      </w:r>
      <w:r>
        <w:rPr>
          <w:rFonts w:ascii="Arial"/>
          <w:i/>
          <w:vertAlign w:val="baseline"/>
        </w:rPr>
        <w:t>Yapp</w:t>
      </w:r>
      <w:r>
        <w:rPr>
          <w:rFonts w:ascii="Arial"/>
          <w:i/>
          <w:spacing w:val="-4"/>
          <w:vertAlign w:val="baseline"/>
        </w:rPr>
        <w:t> </w:t>
      </w:r>
      <w:r>
        <w:rPr>
          <w:rFonts w:ascii="Arial"/>
          <w:i/>
          <w:vertAlign w:val="baseline"/>
        </w:rPr>
        <w:t>v</w:t>
      </w:r>
      <w:r>
        <w:rPr>
          <w:rFonts w:ascii="Arial"/>
          <w:i/>
          <w:spacing w:val="-4"/>
          <w:vertAlign w:val="baseline"/>
        </w:rPr>
        <w:t> </w:t>
      </w:r>
      <w:r>
        <w:rPr>
          <w:rFonts w:ascii="Arial"/>
          <w:i/>
          <w:vertAlign w:val="baseline"/>
        </w:rPr>
        <w:t>Foreign</w:t>
      </w:r>
      <w:r>
        <w:rPr>
          <w:rFonts w:ascii="Arial"/>
          <w:i/>
          <w:spacing w:val="-4"/>
          <w:vertAlign w:val="baseline"/>
        </w:rPr>
        <w:t> </w:t>
      </w:r>
      <w:r>
        <w:rPr>
          <w:rFonts w:ascii="Arial"/>
          <w:i/>
          <w:vertAlign w:val="baseline"/>
        </w:rPr>
        <w:t>and</w:t>
      </w:r>
      <w:r>
        <w:rPr>
          <w:rFonts w:ascii="Arial"/>
          <w:i/>
          <w:spacing w:val="-4"/>
          <w:vertAlign w:val="baseline"/>
        </w:rPr>
        <w:t> </w:t>
      </w:r>
      <w:r>
        <w:rPr>
          <w:rFonts w:ascii="Arial"/>
          <w:i/>
          <w:vertAlign w:val="baseline"/>
        </w:rPr>
        <w:t>Commonwealth</w:t>
      </w:r>
      <w:r>
        <w:rPr>
          <w:rFonts w:ascii="Arial"/>
          <w:i/>
          <w:spacing w:val="-4"/>
          <w:vertAlign w:val="baseline"/>
        </w:rPr>
        <w:t> </w:t>
      </w:r>
      <w:r>
        <w:rPr>
          <w:rFonts w:ascii="Arial"/>
          <w:i/>
          <w:vertAlign w:val="baseline"/>
        </w:rPr>
        <w:t>Office</w:t>
      </w:r>
      <w:r>
        <w:rPr>
          <w:rFonts w:ascii="Arial"/>
          <w:i/>
          <w:spacing w:val="-5"/>
          <w:vertAlign w:val="baseline"/>
        </w:rPr>
        <w:t> </w:t>
      </w:r>
      <w:r>
        <w:rPr>
          <w:color w:val="005DA1"/>
          <w:u w:val="single" w:color="005DA1"/>
          <w:vertAlign w:val="superscript"/>
        </w:rPr>
        <w:t>825</w:t>
      </w:r>
      <w:r>
        <w:rPr>
          <w:color w:val="005DA1"/>
          <w:spacing w:val="-4"/>
          <w:vertAlign w:val="baseline"/>
        </w:rPr>
        <w:t> </w:t>
      </w:r>
      <w:r>
        <w:rPr>
          <w:vertAlign w:val="baseline"/>
        </w:rPr>
        <w:t>the</w:t>
      </w:r>
      <w:r>
        <w:rPr>
          <w:spacing w:val="-4"/>
          <w:vertAlign w:val="baseline"/>
        </w:rPr>
        <w:t> </w:t>
      </w:r>
      <w:r>
        <w:rPr>
          <w:vertAlign w:val="baseline"/>
        </w:rPr>
        <w:t>Court of Appeal considered a number of authorities and summarised their effect as follows. In claims for breach of the common law duty of care it is immaterial that the duty arises in contract as well as tort: </w:t>
      </w:r>
      <w:bookmarkStart w:name="_bookmark1531" w:id="1533"/>
      <w:bookmarkEnd w:id="1533"/>
      <w:r>
        <w:rPr>
          <w:vertAlign w:val="baseline"/>
        </w:rPr>
        <w:t>they</w:t>
      </w:r>
      <w:r>
        <w:rPr>
          <w:spacing w:val="16"/>
          <w:vertAlign w:val="baseline"/>
        </w:rPr>
        <w:t> </w:t>
      </w:r>
      <w:r>
        <w:rPr>
          <w:vertAlign w:val="baseline"/>
        </w:rPr>
        <w:t>are</w:t>
      </w:r>
      <w:r>
        <w:rPr>
          <w:spacing w:val="16"/>
          <w:vertAlign w:val="baseline"/>
        </w:rPr>
        <w:t> </w:t>
      </w:r>
      <w:r>
        <w:rPr>
          <w:vertAlign w:val="baseline"/>
        </w:rPr>
        <w:t>in</w:t>
      </w:r>
      <w:r>
        <w:rPr>
          <w:spacing w:val="16"/>
          <w:vertAlign w:val="baseline"/>
        </w:rPr>
        <w:t> </w:t>
      </w:r>
      <w:r>
        <w:rPr>
          <w:vertAlign w:val="baseline"/>
        </w:rPr>
        <w:t>substance</w:t>
      </w:r>
      <w:r>
        <w:rPr>
          <w:spacing w:val="16"/>
          <w:vertAlign w:val="baseline"/>
        </w:rPr>
        <w:t> </w:t>
      </w:r>
      <w:r>
        <w:rPr>
          <w:vertAlign w:val="baseline"/>
        </w:rPr>
        <w:t>treated</w:t>
      </w:r>
      <w:r>
        <w:rPr>
          <w:spacing w:val="16"/>
          <w:vertAlign w:val="baseline"/>
        </w:rPr>
        <w:t> </w:t>
      </w:r>
      <w:r>
        <w:rPr>
          <w:vertAlign w:val="baseline"/>
        </w:rPr>
        <w:t>as</w:t>
      </w:r>
      <w:r>
        <w:rPr>
          <w:spacing w:val="16"/>
          <w:vertAlign w:val="baseline"/>
        </w:rPr>
        <w:t> </w:t>
      </w:r>
      <w:r>
        <w:rPr>
          <w:vertAlign w:val="baseline"/>
        </w:rPr>
        <w:t>covered</w:t>
      </w:r>
      <w:r>
        <w:rPr>
          <w:spacing w:val="16"/>
          <w:vertAlign w:val="baseline"/>
        </w:rPr>
        <w:t> </w:t>
      </w:r>
      <w:r>
        <w:rPr>
          <w:vertAlign w:val="baseline"/>
        </w:rPr>
        <w:t>by</w:t>
      </w:r>
      <w:r>
        <w:rPr>
          <w:spacing w:val="16"/>
          <w:vertAlign w:val="baseline"/>
        </w:rPr>
        <w:t> </w:t>
      </w:r>
      <w:r>
        <w:rPr>
          <w:vertAlign w:val="baseline"/>
        </w:rPr>
        <w:t>tortious</w:t>
      </w:r>
      <w:r>
        <w:rPr>
          <w:spacing w:val="16"/>
          <w:vertAlign w:val="baseline"/>
        </w:rPr>
        <w:t> </w:t>
      </w:r>
      <w:r>
        <w:rPr>
          <w:vertAlign w:val="baseline"/>
        </w:rPr>
        <w:t>rules</w:t>
      </w:r>
      <w:r>
        <w:rPr>
          <w:spacing w:val="16"/>
          <w:vertAlign w:val="baseline"/>
        </w:rPr>
        <w:t> </w:t>
      </w:r>
      <w:r>
        <w:rPr>
          <w:vertAlign w:val="baseline"/>
        </w:rPr>
        <w:t>(i.e.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kind</w:t>
      </w:r>
      <w:r>
        <w:rPr>
          <w:spacing w:val="16"/>
          <w:vertAlign w:val="baseline"/>
        </w:rPr>
        <w:t> </w:t>
      </w:r>
      <w:r>
        <w:rPr>
          <w:vertAlign w:val="baseline"/>
        </w:rPr>
        <w:t>of</w:t>
      </w:r>
      <w:r>
        <w:rPr>
          <w:spacing w:val="16"/>
          <w:vertAlign w:val="baseline"/>
        </w:rPr>
        <w:t> </w:t>
      </w:r>
      <w:r>
        <w:rPr>
          <w:vertAlign w:val="baseline"/>
        </w:rPr>
        <w:t>loss</w:t>
      </w:r>
      <w:r>
        <w:rPr>
          <w:spacing w:val="16"/>
          <w:vertAlign w:val="baseline"/>
        </w:rPr>
        <w:t> </w:t>
      </w:r>
      <w:r>
        <w:rPr>
          <w:vertAlign w:val="baseline"/>
        </w:rPr>
        <w:t>must</w:t>
      </w:r>
      <w:r>
        <w:rPr>
          <w:spacing w:val="16"/>
          <w:vertAlign w:val="baseline"/>
        </w:rPr>
        <w:t> </w:t>
      </w:r>
      <w:r>
        <w:rPr>
          <w:vertAlign w:val="baseline"/>
        </w:rPr>
        <w:t>have</w:t>
      </w:r>
      <w:r>
        <w:rPr>
          <w:spacing w:val="16"/>
          <w:vertAlign w:val="baseline"/>
        </w:rPr>
        <w:t> </w:t>
      </w:r>
      <w:r>
        <w:rPr>
          <w:spacing w:val="-4"/>
          <w:vertAlign w:val="baseline"/>
        </w:rPr>
        <w:t>been</w:t>
      </w:r>
    </w:p>
    <w:p>
      <w:pPr>
        <w:pStyle w:val="BodyText"/>
        <w:spacing w:before="6"/>
      </w:pPr>
    </w:p>
    <w:p>
      <w:pPr>
        <w:pStyle w:val="BodyText"/>
        <w:spacing w:line="235" w:lineRule="auto" w:before="1"/>
        <w:ind w:left="164" w:right="167"/>
        <w:jc w:val="both"/>
      </w:pPr>
      <w:bookmarkStart w:name="_bookmark1532" w:id="1534"/>
      <w:bookmarkEnd w:id="1534"/>
      <w:r>
        <w:rPr/>
      </w:r>
      <w:r>
        <w:rPr/>
        <w:t>foreseeable). </w:t>
      </w:r>
      <w:r>
        <w:rPr>
          <w:color w:val="005DA1"/>
          <w:u w:val="single" w:color="005DA1"/>
          <w:vertAlign w:val="superscript"/>
        </w:rPr>
        <w:t>826</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Each case must turn on its own facts, </w:t>
      </w:r>
      <w:r>
        <w:rPr>
          <w:color w:val="005DA1"/>
          <w:u w:val="single" w:color="005DA1"/>
          <w:vertAlign w:val="superscript"/>
        </w:rPr>
        <w:t>827</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but psychiatric injury will not usually </w:t>
      </w:r>
      <w:bookmarkStart w:name="_bookmark1533" w:id="1535"/>
      <w:bookmarkEnd w:id="1535"/>
      <w:r>
        <w:rPr>
          <w:vertAlign w:val="baseline"/>
        </w:rPr>
        <w:t>be</w:t>
      </w:r>
      <w:r>
        <w:rPr>
          <w:vertAlign w:val="baseline"/>
        </w:rPr>
        <w:t> foreseeable unless there were indications, of which the employer was or should have been </w:t>
      </w:r>
      <w:r>
        <w:rPr>
          <w:vertAlign w:val="baseline"/>
        </w:rPr>
        <w:t>aware, </w:t>
      </w:r>
      <w:bookmarkStart w:name="_bookmark1534" w:id="1536"/>
      <w:bookmarkEnd w:id="1536"/>
      <w:r>
        <w:rPr>
          <w:vertAlign w:val="baseline"/>
        </w:rPr>
        <w:t>of</w:t>
      </w:r>
      <w:r>
        <w:rPr>
          <w:vertAlign w:val="baseline"/>
        </w:rPr>
        <w:t> some problem or psychological vulnerability on the part of the employee. </w:t>
      </w:r>
      <w:r>
        <w:rPr>
          <w:color w:val="005DA1"/>
          <w:u w:val="single" w:color="005DA1"/>
          <w:vertAlign w:val="superscript"/>
        </w:rPr>
        <w:t>828</w:t>
      </w:r>
      <w:r>
        <w:rPr>
          <w:color w:val="005DA1"/>
          <w:vertAlign w:val="baseline"/>
        </w:rPr>
        <w:t> </w:t>
      </w:r>
      <w:r>
        <w:rPr>
          <w:vertAlign w:val="baseline"/>
        </w:rPr>
        <w:t>This applies both to </w:t>
      </w:r>
      <w:bookmarkStart w:name="_bookmark1535" w:id="1537"/>
      <w:bookmarkEnd w:id="1537"/>
      <w:r>
        <w:rPr>
          <w:vertAlign w:val="baseline"/>
        </w:rPr>
        <w:t>cases</w:t>
      </w:r>
      <w:r>
        <w:rPr>
          <w:vertAlign w:val="baseline"/>
        </w:rPr>
        <w:t> on which the illness has been caused by over-work </w:t>
      </w:r>
      <w:r>
        <w:rPr>
          <w:color w:val="005DA1"/>
          <w:u w:val="single" w:color="005DA1"/>
          <w:vertAlign w:val="superscript"/>
        </w:rPr>
        <w:t>829</w:t>
      </w:r>
      <w:r>
        <w:rPr>
          <w:color w:val="005DA1"/>
          <w:vertAlign w:val="baseline"/>
        </w:rPr>
        <w:t> </w:t>
      </w:r>
      <w:r>
        <w:rPr>
          <w:vertAlign w:val="baseline"/>
        </w:rPr>
        <w:t>and cases where the employer has committed a one-off act of unfairness such as the imposition of a disciplinary sanction. </w:t>
      </w:r>
      <w:r>
        <w:rPr>
          <w:color w:val="005DA1"/>
          <w:u w:val="single" w:color="005DA1"/>
          <w:vertAlign w:val="superscript"/>
        </w:rPr>
        <w:t>830</w:t>
      </w:r>
      <w:r>
        <w:rPr>
          <w:color w:val="005DA1"/>
          <w:vertAlign w:val="baseline"/>
        </w:rPr>
        <w:t> </w:t>
      </w:r>
      <w:r>
        <w:rPr>
          <w:vertAlign w:val="baseline"/>
        </w:rPr>
        <w:t>If however psychiatric injury was reasonably foreseeable, no issue as to remoteness can arise when such injury </w:t>
      </w:r>
      <w:bookmarkStart w:name="_bookmark1536" w:id="1538"/>
      <w:bookmarkEnd w:id="1538"/>
      <w:r>
        <w:rPr>
          <w:vertAlign w:val="baseline"/>
        </w:rPr>
        <w:t>eventuates.</w:t>
      </w:r>
      <w:r>
        <w:rPr>
          <w:vertAlign w:val="baseline"/>
        </w:rPr>
        <w:t> With claims for breach of the implied duty of trust and confidence or of any other express </w:t>
      </w:r>
      <w:bookmarkStart w:name="_bookmark1537" w:id="1539"/>
      <w:bookmarkEnd w:id="1539"/>
      <w:r>
        <w:rPr>
          <w:vertAlign w:val="baseline"/>
        </w:rPr>
        <w:t>contractual</w:t>
      </w:r>
      <w:r>
        <w:rPr>
          <w:vertAlign w:val="baseline"/>
        </w:rPr>
        <w:t> term, the contractual test of remoteness (that the loss was “not unlikely” </w:t>
      </w:r>
      <w:r>
        <w:rPr>
          <w:color w:val="005DA1"/>
          <w:u w:val="single" w:color="005DA1"/>
          <w:vertAlign w:val="superscript"/>
        </w:rPr>
        <w:t>831</w:t>
      </w:r>
      <w:r>
        <w:rPr>
          <w:vertAlign w:val="baseline"/>
        </w:rPr>
        <w:t>) will be applicable. </w:t>
      </w:r>
      <w:r>
        <w:rPr>
          <w:color w:val="005DA1"/>
          <w:u w:val="single" w:color="005DA1"/>
          <w:vertAlign w:val="superscript"/>
        </w:rPr>
        <w:t>832</w:t>
      </w:r>
    </w:p>
    <w:p>
      <w:pPr>
        <w:pStyle w:val="BodyText"/>
      </w:pPr>
    </w:p>
    <w:p>
      <w:pPr>
        <w:pStyle w:val="BodyText"/>
        <w:spacing w:before="35"/>
      </w:pPr>
    </w:p>
    <w:p>
      <w:pPr>
        <w:spacing w:before="0"/>
        <w:ind w:left="165" w:right="0" w:firstLine="0"/>
        <w:jc w:val="both"/>
        <w:rPr>
          <w:rFonts w:ascii="Arial"/>
          <w:b/>
          <w:sz w:val="18"/>
        </w:rPr>
      </w:pPr>
      <w:r>
        <w:rPr>
          <w:rFonts w:ascii="Arial"/>
          <w:b/>
          <w:sz w:val="18"/>
        </w:rPr>
        <w:t>Loss of </w:t>
      </w:r>
      <w:r>
        <w:rPr>
          <w:rFonts w:ascii="Arial"/>
          <w:b/>
          <w:spacing w:val="-2"/>
          <w:sz w:val="18"/>
        </w:rPr>
        <w:t>reputation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148</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Damages for loss of reputation as such are not normally awarded for breach of contract, since protection of reputation is the role of the tort of defamation. However, where the breach of contract </w:t>
      </w:r>
      <w:bookmarkStart w:name="_bookmark1538" w:id="1540"/>
      <w:bookmarkEnd w:id="1540"/>
      <w:r>
        <w:rPr/>
        <w:t>causes</w:t>
      </w:r>
      <w:r>
        <w:rPr/>
        <w:t> a loss of reputation which in turn causes foreseeable financial loss to the claimant, he may recover damages for that financial loss: in </w:t>
      </w:r>
      <w:r>
        <w:rPr>
          <w:rFonts w:ascii="Arial" w:hAnsi="Arial"/>
          <w:i/>
        </w:rPr>
        <w:t>Malik ’s </w:t>
      </w:r>
      <w:r>
        <w:rPr/>
        <w:t>case, </w:t>
      </w:r>
      <w:r>
        <w:rPr>
          <w:color w:val="005DA1"/>
          <w:u w:val="single" w:color="005DA1"/>
          <w:vertAlign w:val="superscript"/>
        </w:rPr>
        <w:t>833</w:t>
      </w:r>
      <w:r>
        <w:rPr>
          <w:color w:val="005DA1"/>
          <w:vertAlign w:val="baseline"/>
        </w:rPr>
        <w:t> </w:t>
      </w:r>
      <w:r>
        <w:rPr>
          <w:vertAlign w:val="baseline"/>
        </w:rPr>
        <w:t>the House of Lords held that where, by </w:t>
      </w:r>
      <w:bookmarkStart w:name="_bookmark1539" w:id="1541"/>
      <w:bookmarkEnd w:id="1541"/>
      <w:r>
        <w:rPr>
          <w:vertAlign w:val="baseline"/>
        </w:rPr>
        <w:t>conducting</w:t>
      </w:r>
      <w:r>
        <w:rPr>
          <w:vertAlign w:val="baseline"/>
        </w:rPr>
        <w:t> a dishonest and corrupt business, the employer had broken his obligation to his employee (under the implied “trust and confidence” term </w:t>
      </w:r>
      <w:r>
        <w:rPr>
          <w:color w:val="005DA1"/>
          <w:u w:val="single" w:color="005DA1"/>
          <w:vertAlign w:val="superscript"/>
        </w:rPr>
        <w:t>834</w:t>
      </w:r>
      <w:r>
        <w:rPr>
          <w:vertAlign w:val="baseline"/>
        </w:rPr>
        <w:t>) the employee could recover damages for the </w:t>
      </w:r>
      <w:bookmarkStart w:name="_bookmark1540" w:id="1542"/>
      <w:bookmarkEnd w:id="1542"/>
      <w:r>
        <w:rPr>
          <w:vertAlign w:val="baseline"/>
        </w:rPr>
        <w:t>financial</w:t>
      </w:r>
      <w:r>
        <w:rPr>
          <w:spacing w:val="13"/>
          <w:vertAlign w:val="baseline"/>
        </w:rPr>
        <w:t> </w:t>
      </w:r>
      <w:r>
        <w:rPr>
          <w:vertAlign w:val="baseline"/>
        </w:rPr>
        <w:t>loss</w:t>
      </w:r>
      <w:r>
        <w:rPr>
          <w:spacing w:val="13"/>
          <w:vertAlign w:val="baseline"/>
        </w:rPr>
        <w:t> </w:t>
      </w:r>
      <w:r>
        <w:rPr>
          <w:vertAlign w:val="baseline"/>
        </w:rPr>
        <w:t>suffered</w:t>
      </w:r>
      <w:r>
        <w:rPr>
          <w:spacing w:val="13"/>
          <w:vertAlign w:val="baseline"/>
        </w:rPr>
        <w:t> </w:t>
      </w:r>
      <w:r>
        <w:rPr>
          <w:vertAlign w:val="baseline"/>
        </w:rPr>
        <w:t>by</w:t>
      </w:r>
      <w:r>
        <w:rPr>
          <w:spacing w:val="13"/>
          <w:vertAlign w:val="baseline"/>
        </w:rPr>
        <w:t> </w:t>
      </w:r>
      <w:r>
        <w:rPr>
          <w:vertAlign w:val="baseline"/>
        </w:rPr>
        <w:t>him</w:t>
      </w:r>
      <w:r>
        <w:rPr>
          <w:spacing w:val="13"/>
          <w:vertAlign w:val="baseline"/>
        </w:rPr>
        <w:t> </w:t>
      </w:r>
      <w:r>
        <w:rPr>
          <w:vertAlign w:val="baseline"/>
        </w:rPr>
        <w:t>where</w:t>
      </w:r>
      <w:r>
        <w:rPr>
          <w:spacing w:val="13"/>
          <w:vertAlign w:val="baseline"/>
        </w:rPr>
        <w:t> </w:t>
      </w:r>
      <w:r>
        <w:rPr>
          <w:vertAlign w:val="baseline"/>
        </w:rPr>
        <w:t>his</w:t>
      </w:r>
      <w:r>
        <w:rPr>
          <w:spacing w:val="13"/>
          <w:vertAlign w:val="baseline"/>
        </w:rPr>
        <w:t> </w:t>
      </w:r>
      <w:r>
        <w:rPr>
          <w:vertAlign w:val="baseline"/>
        </w:rPr>
        <w:t>future</w:t>
      </w:r>
      <w:r>
        <w:rPr>
          <w:spacing w:val="13"/>
          <w:vertAlign w:val="baseline"/>
        </w:rPr>
        <w:t> </w:t>
      </w:r>
      <w:r>
        <w:rPr>
          <w:vertAlign w:val="baseline"/>
        </w:rPr>
        <w:t>employment</w:t>
      </w:r>
      <w:r>
        <w:rPr>
          <w:spacing w:val="13"/>
          <w:vertAlign w:val="baseline"/>
        </w:rPr>
        <w:t> </w:t>
      </w:r>
      <w:r>
        <w:rPr>
          <w:vertAlign w:val="baseline"/>
        </w:rPr>
        <w:t>prospects</w:t>
      </w:r>
      <w:r>
        <w:rPr>
          <w:spacing w:val="13"/>
          <w:vertAlign w:val="baseline"/>
        </w:rPr>
        <w:t> </w:t>
      </w:r>
      <w:r>
        <w:rPr>
          <w:vertAlign w:val="baseline"/>
        </w:rPr>
        <w:t>were</w:t>
      </w:r>
      <w:r>
        <w:rPr>
          <w:spacing w:val="13"/>
          <w:vertAlign w:val="baseline"/>
        </w:rPr>
        <w:t> </w:t>
      </w:r>
      <w:r>
        <w:rPr>
          <w:vertAlign w:val="baseline"/>
        </w:rPr>
        <w:t>prejudiced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spacing w:val="-2"/>
          <w:vertAlign w:val="baseline"/>
        </w:rPr>
        <w:t>stigma</w:t>
      </w:r>
    </w:p>
    <w:p>
      <w:pPr>
        <w:pStyle w:val="BodyText"/>
        <w:spacing w:line="235" w:lineRule="auto" w:before="117"/>
        <w:ind w:left="165" w:right="167"/>
        <w:jc w:val="both"/>
      </w:pPr>
      <w:bookmarkStart w:name="_bookmark1541" w:id="1543"/>
      <w:bookmarkEnd w:id="1543"/>
      <w:r>
        <w:rPr/>
      </w:r>
      <w:r>
        <w:rPr/>
        <w:t>of his former employment. </w:t>
      </w:r>
      <w:r>
        <w:rPr>
          <w:color w:val="005DA1"/>
          <w:u w:val="single" w:color="005DA1"/>
          <w:vertAlign w:val="superscript"/>
        </w:rPr>
        <w:t>835</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2"/>
          <w:vertAlign w:val="baseline"/>
        </w:rPr>
        <w:t> </w:t>
      </w:r>
      <w:r>
        <w:rPr>
          <w:vertAlign w:val="baseline"/>
        </w:rPr>
        <w:t>But in </w:t>
      </w:r>
      <w:r>
        <w:rPr>
          <w:rFonts w:ascii="Arial" w:hAnsi="Arial"/>
          <w:i/>
          <w:vertAlign w:val="baseline"/>
        </w:rPr>
        <w:t>Johnson v Unisys Ltd </w:t>
      </w:r>
      <w:r>
        <w:rPr>
          <w:color w:val="005DA1"/>
          <w:u w:val="single" w:color="005DA1"/>
          <w:vertAlign w:val="superscript"/>
        </w:rPr>
        <w:t>836</w:t>
      </w:r>
      <w:r>
        <w:rPr>
          <w:color w:val="005DA1"/>
          <w:vertAlign w:val="baseline"/>
        </w:rPr>
        <w:t> </w:t>
      </w:r>
      <w:r>
        <w:rPr>
          <w:vertAlign w:val="baseline"/>
        </w:rPr>
        <w:t>the House of Lords held that, in the light of the statutory scheme providing compensation for unfair dismissal, the common law should not construct a remedy of damages for the unfair manner of the dismissal. The claimant had recovered the maximum statutory compensation in the industrial tribunal, but later claimed, on the basis of </w:t>
      </w:r>
      <w:r>
        <w:rPr>
          <w:vertAlign w:val="baseline"/>
        </w:rPr>
        <w:t>the “trust and confidence” implied term, that the manner of his dismissal had caused his mental breakdown. This case has later been distinguished by the House of Lords, which held that an </w:t>
      </w:r>
      <w:bookmarkStart w:name="_bookmark1542" w:id="1544"/>
      <w:bookmarkEnd w:id="1544"/>
      <w:r>
        <w:rPr>
          <w:vertAlign w:val="baseline"/>
        </w:rPr>
        <w:t>employee</w:t>
      </w:r>
      <w:r>
        <w:rPr>
          <w:vertAlign w:val="baseline"/>
        </w:rPr>
        <w:t> may have a common law claim for financial loss where his employer has acted unfairly towards him prior to, and independently of, his subsequent unfair dismissal. </w:t>
      </w:r>
      <w:r>
        <w:rPr>
          <w:color w:val="005DA1"/>
          <w:u w:val="single" w:color="005DA1"/>
          <w:vertAlign w:val="superscript"/>
        </w:rPr>
        <w:t>837</w:t>
      </w:r>
      <w:r>
        <w:rPr>
          <w:color w:val="005DA1"/>
          <w:vertAlign w:val="baseline"/>
        </w:rPr>
        <w:t> </w:t>
      </w:r>
      <w:r>
        <w:rPr>
          <w:vertAlign w:val="baseline"/>
        </w:rPr>
        <w:t>However, it should be noted that in another case the House of Lords held that in his unfair dismissal claim an employee </w:t>
      </w:r>
      <w:bookmarkStart w:name="_bookmark1543" w:id="1545"/>
      <w:bookmarkEnd w:id="1545"/>
      <w:r>
        <w:rPr>
          <w:vertAlign w:val="baseline"/>
        </w:rPr>
        <w:t>cannot</w:t>
      </w:r>
      <w:r>
        <w:rPr>
          <w:vertAlign w:val="baseline"/>
        </w:rPr>
        <w:t> recover compensation for non-economic or non-pecuniary loss, such as distress, humiliation</w:t>
      </w:r>
      <w:r>
        <w:rPr>
          <w:spacing w:val="40"/>
          <w:vertAlign w:val="baseline"/>
        </w:rPr>
        <w:t> </w:t>
      </w:r>
      <w:r>
        <w:rPr>
          <w:vertAlign w:val="baseline"/>
        </w:rPr>
        <w:t>or loss of reputation. </w:t>
      </w:r>
      <w:r>
        <w:rPr>
          <w:color w:val="005DA1"/>
          <w:u w:val="single" w:color="005DA1"/>
          <w:vertAlign w:val="superscript"/>
        </w:rPr>
        <w:t>838</w:t>
      </w:r>
    </w:p>
    <w:p>
      <w:pPr>
        <w:pStyle w:val="BodyText"/>
        <w:spacing w:before="77"/>
      </w:pPr>
    </w:p>
    <w:p>
      <w:pPr>
        <w:spacing w:before="0"/>
        <w:ind w:left="165" w:right="0" w:firstLine="0"/>
        <w:jc w:val="left"/>
        <w:rPr>
          <w:rFonts w:ascii="Arial"/>
          <w:b/>
          <w:sz w:val="24"/>
        </w:rPr>
      </w:pPr>
      <w:r>
        <w:rPr>
          <w:rFonts w:ascii="Arial"/>
          <w:b/>
          <w:sz w:val="24"/>
        </w:rPr>
        <w:t>26-</w:t>
      </w:r>
      <w:r>
        <w:rPr>
          <w:rFonts w:ascii="Arial"/>
          <w:b/>
          <w:spacing w:val="-5"/>
          <w:sz w:val="24"/>
        </w:rPr>
        <w:t>149</w:t>
      </w:r>
    </w:p>
    <w:p>
      <w:pPr>
        <w:pStyle w:val="BodyText"/>
        <w:spacing w:before="199"/>
        <w:ind w:left="165"/>
        <w:jc w:val="both"/>
      </w:pPr>
      <w:r>
        <w:rPr/>
        <w:t>Another</w:t>
      </w:r>
      <w:r>
        <w:rPr>
          <w:spacing w:val="38"/>
        </w:rPr>
        <w:t> </w:t>
      </w:r>
      <w:r>
        <w:rPr/>
        <w:t>line</w:t>
      </w:r>
      <w:r>
        <w:rPr>
          <w:spacing w:val="38"/>
        </w:rPr>
        <w:t> </w:t>
      </w:r>
      <w:r>
        <w:rPr/>
        <w:t>of</w:t>
      </w:r>
      <w:r>
        <w:rPr>
          <w:spacing w:val="38"/>
        </w:rPr>
        <w:t> </w:t>
      </w:r>
      <w:r>
        <w:rPr/>
        <w:t>authority</w:t>
      </w:r>
      <w:r>
        <w:rPr>
          <w:spacing w:val="38"/>
        </w:rPr>
        <w:t> </w:t>
      </w:r>
      <w:r>
        <w:rPr/>
        <w:t>covers</w:t>
      </w:r>
      <w:r>
        <w:rPr>
          <w:spacing w:val="38"/>
        </w:rPr>
        <w:t> </w:t>
      </w:r>
      <w:r>
        <w:rPr/>
        <w:t>cases</w:t>
      </w:r>
      <w:r>
        <w:rPr>
          <w:spacing w:val="38"/>
        </w:rPr>
        <w:t> </w:t>
      </w:r>
      <w:r>
        <w:rPr/>
        <w:t>where</w:t>
      </w:r>
      <w:r>
        <w:rPr>
          <w:spacing w:val="38"/>
        </w:rPr>
        <w:t> </w:t>
      </w:r>
      <w:r>
        <w:rPr/>
        <w:t>the</w:t>
      </w:r>
      <w:r>
        <w:rPr>
          <w:spacing w:val="38"/>
        </w:rPr>
        <w:t> </w:t>
      </w:r>
      <w:r>
        <w:rPr/>
        <w:t>contract</w:t>
      </w:r>
      <w:r>
        <w:rPr>
          <w:spacing w:val="38"/>
        </w:rPr>
        <w:t> </w:t>
      </w:r>
      <w:r>
        <w:rPr/>
        <w:t>gave</w:t>
      </w:r>
      <w:r>
        <w:rPr>
          <w:spacing w:val="38"/>
        </w:rPr>
        <w:t> </w:t>
      </w:r>
      <w:r>
        <w:rPr/>
        <w:t>an</w:t>
      </w:r>
      <w:r>
        <w:rPr>
          <w:spacing w:val="38"/>
        </w:rPr>
        <w:t> </w:t>
      </w:r>
      <w:r>
        <w:rPr/>
        <w:t>opportunity</w:t>
      </w:r>
      <w:r>
        <w:rPr>
          <w:spacing w:val="38"/>
        </w:rPr>
        <w:t> </w:t>
      </w:r>
      <w:r>
        <w:rPr/>
        <w:t>to</w:t>
      </w:r>
      <w:r>
        <w:rPr>
          <w:spacing w:val="38"/>
        </w:rPr>
        <w:t> </w:t>
      </w:r>
      <w:r>
        <w:rPr/>
        <w:t>the</w:t>
      </w:r>
      <w:r>
        <w:rPr>
          <w:spacing w:val="38"/>
        </w:rPr>
        <w:t> </w:t>
      </w:r>
      <w:r>
        <w:rPr/>
        <w:t>claimant</w:t>
      </w:r>
      <w:r>
        <w:rPr>
          <w:spacing w:val="38"/>
        </w:rPr>
        <w:t> </w:t>
      </w:r>
      <w:r>
        <w:rPr>
          <w:spacing w:val="-5"/>
        </w:rPr>
        <w:t>to</w:t>
      </w:r>
    </w:p>
    <w:p>
      <w:pPr>
        <w:pStyle w:val="BodyText"/>
        <w:spacing w:after="0"/>
        <w:jc w:val="both"/>
        <w:sectPr>
          <w:pgSz w:w="11900" w:h="16840"/>
          <w:pgMar w:header="971" w:footer="0" w:top="1300" w:bottom="280" w:left="1275" w:right="1275"/>
        </w:sectPr>
      </w:pPr>
    </w:p>
    <w:p>
      <w:pPr>
        <w:pStyle w:val="BodyText"/>
        <w:spacing w:line="235" w:lineRule="auto" w:before="210"/>
        <w:ind w:left="164" w:right="167"/>
        <w:jc w:val="both"/>
      </w:pPr>
      <w:bookmarkStart w:name="_bookmark1544" w:id="1546"/>
      <w:bookmarkEnd w:id="1546"/>
      <w:r>
        <w:rPr/>
      </w:r>
      <w:bookmarkStart w:name="_bookmark1545" w:id="1547"/>
      <w:bookmarkEnd w:id="1547"/>
      <w:r>
        <w:rPr/>
      </w:r>
      <w:r>
        <w:rPr/>
        <w:t>enhance his reputation as an author </w:t>
      </w:r>
      <w:r>
        <w:rPr>
          <w:color w:val="005DA1"/>
          <w:u w:val="single" w:color="005DA1"/>
          <w:vertAlign w:val="superscript"/>
        </w:rPr>
        <w:t>839</w:t>
      </w:r>
      <w:r>
        <w:rPr>
          <w:color w:val="005DA1"/>
          <w:vertAlign w:val="baseline"/>
        </w:rPr>
        <w:t> </w:t>
      </w:r>
      <w:r>
        <w:rPr>
          <w:vertAlign w:val="baseline"/>
        </w:rPr>
        <w:t>or an actor </w:t>
      </w:r>
      <w:r>
        <w:rPr>
          <w:color w:val="005DA1"/>
          <w:u w:val="single" w:color="005DA1"/>
          <w:vertAlign w:val="superscript"/>
        </w:rPr>
        <w:t>840</w:t>
      </w:r>
      <w:r>
        <w:rPr>
          <w:vertAlign w:val="baseline"/>
        </w:rPr>
        <w:t>: damages may be awarded for loss flowing</w:t>
      </w:r>
      <w:r>
        <w:rPr>
          <w:spacing w:val="40"/>
          <w:vertAlign w:val="baseline"/>
        </w:rPr>
        <w:t> </w:t>
      </w:r>
      <w:r>
        <w:rPr>
          <w:vertAlign w:val="baseline"/>
        </w:rPr>
        <w:t>from a failure to provide promised publicity, which loss may include loss to existing reputation. </w:t>
      </w:r>
      <w:r>
        <w:rPr>
          <w:color w:val="005DA1"/>
          <w:u w:val="single" w:color="005DA1"/>
          <w:vertAlign w:val="superscript"/>
        </w:rPr>
        <w:t>841</w:t>
      </w:r>
      <w:r>
        <w:rPr>
          <w:color w:val="005DA1"/>
          <w:vertAlign w:val="baseline"/>
        </w:rPr>
        <w:t> </w:t>
      </w:r>
      <w:bookmarkStart w:name="_bookmark1546" w:id="1548"/>
      <w:bookmarkEnd w:id="1548"/>
      <w:r>
        <w:rPr>
          <w:color w:val="005DA1"/>
          <w:w w:val="92"/>
          <w:vertAlign w:val="baseline"/>
        </w:rPr>
      </w:r>
      <w:r>
        <w:rPr>
          <w:vertAlign w:val="baseline"/>
        </w:rPr>
        <w:t>Subject to remoteness, damages are recoverable where the breach of contract causes loss of commercial reputation involving loss of trade. </w:t>
      </w:r>
      <w:r>
        <w:rPr>
          <w:color w:val="005DA1"/>
          <w:u w:val="single" w:color="005DA1"/>
          <w:vertAlign w:val="superscript"/>
        </w:rPr>
        <w:t>842</w:t>
      </w:r>
    </w:p>
    <w:p>
      <w:pPr>
        <w:pStyle w:val="BodyText"/>
      </w:pPr>
    </w:p>
    <w:p>
      <w:pPr>
        <w:pStyle w:val="BodyText"/>
        <w:spacing w:before="38"/>
      </w:pPr>
      <w:r>
        <w:rPr/>
        <mc:AlternateContent>
          <mc:Choice Requires="wps">
            <w:drawing>
              <wp:anchor distT="0" distB="0" distL="0" distR="0" allowOverlap="1" layoutInCell="1" locked="0" behindDoc="1" simplePos="0" relativeHeight="487669760">
                <wp:simplePos x="0" y="0"/>
                <wp:positionH relativeFrom="page">
                  <wp:posOffset>914400</wp:posOffset>
                </wp:positionH>
                <wp:positionV relativeFrom="paragraph">
                  <wp:posOffset>185971</wp:posOffset>
                </wp:positionV>
                <wp:extent cx="5724525" cy="1270"/>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646720;mso-wrap-distance-left:0;mso-wrap-distance-right:0" id="docshape71"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547" w:id="1549"/>
      <w:bookmarkEnd w:id="1549"/>
      <w:r>
        <w:rPr/>
      </w:r>
      <w:hyperlink w:history="true" w:anchor="_bookmark1503">
        <w:r>
          <w:rPr>
            <w:color w:val="005DA1"/>
            <w:spacing w:val="-4"/>
            <w:position w:val="5"/>
            <w:sz w:val="14"/>
            <w:u w:val="single" w:color="005DA1"/>
          </w:rPr>
          <w:t>794</w:t>
        </w:r>
      </w:hyperlink>
      <w:r>
        <w:rPr>
          <w:spacing w:val="-4"/>
          <w:position w:val="5"/>
          <w:sz w:val="14"/>
        </w:rPr>
        <w:t>.</w:t>
      </w:r>
      <w:r>
        <w:rPr>
          <w:position w:val="5"/>
          <w:sz w:val="14"/>
        </w:rPr>
        <w:tab/>
      </w:r>
      <w:r>
        <w:rPr/>
        <w:t>See</w:t>
      </w:r>
      <w:r>
        <w:rPr>
          <w:spacing w:val="-2"/>
        </w:rPr>
        <w:t> </w:t>
      </w:r>
      <w:r>
        <w:rPr/>
        <w:t>below, para.26-</w:t>
      </w:r>
      <w:r>
        <w:rPr>
          <w:spacing w:val="-4"/>
        </w:rPr>
        <w:t>148.</w:t>
      </w:r>
    </w:p>
    <w:p>
      <w:pPr>
        <w:pStyle w:val="BodyText"/>
        <w:spacing w:before="9"/>
      </w:pPr>
    </w:p>
    <w:p>
      <w:pPr>
        <w:spacing w:line="235" w:lineRule="auto" w:before="0"/>
        <w:ind w:left="705" w:right="168" w:hanging="541"/>
        <w:jc w:val="both"/>
        <w:rPr>
          <w:rFonts w:ascii="Arial" w:hAnsi="Arial"/>
          <w:i/>
          <w:sz w:val="20"/>
        </w:rPr>
      </w:pPr>
      <w:bookmarkStart w:name="_bookmark1548" w:id="1550"/>
      <w:bookmarkEnd w:id="1550"/>
      <w:r>
        <w:rPr/>
      </w:r>
      <w:hyperlink w:history="true" w:anchor="_bookmark1504">
        <w:r>
          <w:rPr>
            <w:color w:val="005DA1"/>
            <w:position w:val="5"/>
            <w:sz w:val="14"/>
            <w:u w:val="single" w:color="005DA1"/>
          </w:rPr>
          <w:t>795</w:t>
        </w:r>
      </w:hyperlink>
      <w:r>
        <w:rPr>
          <w:position w:val="5"/>
          <w:sz w:val="14"/>
        </w:rPr>
        <w:t>.</w:t>
      </w:r>
      <w:r>
        <w:rPr>
          <w:spacing w:val="80"/>
          <w:position w:val="5"/>
          <w:sz w:val="14"/>
        </w:rPr>
        <w:t> </w:t>
      </w:r>
      <w:r>
        <w:rPr>
          <w:rFonts w:ascii="Arial" w:hAnsi="Arial"/>
          <w:i/>
          <w:sz w:val="20"/>
        </w:rPr>
        <w:t>Addis v Gramophone Co Ltd [1909] A.C. 488 </w:t>
      </w:r>
      <w:r>
        <w:rPr>
          <w:sz w:val="20"/>
        </w:rPr>
        <w:t>(as interpreted by </w:t>
      </w:r>
      <w:r>
        <w:rPr>
          <w:rFonts w:ascii="Arial" w:hAnsi="Arial"/>
          <w:i/>
          <w:sz w:val="20"/>
        </w:rPr>
        <w:t>Malik v Bank of Credit and Commerce International SA [1998] A.C. 20</w:t>
      </w:r>
      <w:r>
        <w:rPr>
          <w:sz w:val="20"/>
        </w:rPr>
        <w:t>). See also </w:t>
      </w:r>
      <w:r>
        <w:rPr>
          <w:rFonts w:ascii="Arial" w:hAnsi="Arial"/>
          <w:i/>
          <w:sz w:val="20"/>
        </w:rPr>
        <w:t>Hamlin v G.N. Ry [1856] 1 H. &amp; N. </w:t>
      </w:r>
      <w:r>
        <w:rPr>
          <w:rFonts w:ascii="Arial" w:hAnsi="Arial"/>
          <w:i/>
          <w:sz w:val="20"/>
        </w:rPr>
        <w:t>408</w:t>
      </w:r>
      <w:r>
        <w:rPr>
          <w:sz w:val="20"/>
        </w:rPr>
        <w:t>; </w:t>
      </w:r>
      <w:r>
        <w:rPr>
          <w:rFonts w:ascii="Arial" w:hAnsi="Arial"/>
          <w:i/>
          <w:sz w:val="20"/>
        </w:rPr>
        <w:t>Groom v Crocker [1939] 1 K.B. 194</w:t>
      </w:r>
      <w:r>
        <w:rPr>
          <w:sz w:val="20"/>
        </w:rPr>
        <w:t>; </w:t>
      </w:r>
      <w:r>
        <w:rPr>
          <w:rFonts w:ascii="Arial" w:hAnsi="Arial"/>
          <w:i/>
          <w:sz w:val="20"/>
        </w:rPr>
        <w:t>Foaminol Laboratories Ltd v British Artid Plastics Ltd</w:t>
      </w:r>
      <w:r>
        <w:rPr>
          <w:rFonts w:ascii="Arial" w:hAnsi="Arial"/>
          <w:i/>
          <w:spacing w:val="40"/>
          <w:sz w:val="20"/>
        </w:rPr>
        <w:t> </w:t>
      </w:r>
      <w:r>
        <w:rPr>
          <w:rFonts w:ascii="Arial" w:hAnsi="Arial"/>
          <w:i/>
          <w:sz w:val="20"/>
        </w:rPr>
        <w:t>[1941] 2 All E.R. 393 </w:t>
      </w:r>
      <w:r>
        <w:rPr>
          <w:sz w:val="20"/>
        </w:rPr>
        <w:t>(loss of co-operation of advertisers); </w:t>
      </w:r>
      <w:r>
        <w:rPr>
          <w:rFonts w:ascii="Arial" w:hAnsi="Arial"/>
          <w:i/>
          <w:sz w:val="20"/>
        </w:rPr>
        <w:t>Bailey v Bullock [1950] 2 All E.R. 1167</w:t>
      </w:r>
      <w:r>
        <w:rPr>
          <w:rFonts w:ascii="Arial" w:hAnsi="Arial"/>
          <w:i/>
          <w:spacing w:val="27"/>
          <w:sz w:val="20"/>
        </w:rPr>
        <w:t> </w:t>
      </w:r>
      <w:r>
        <w:rPr>
          <w:sz w:val="20"/>
        </w:rPr>
        <w:t>(no</w:t>
      </w:r>
      <w:r>
        <w:rPr>
          <w:spacing w:val="27"/>
          <w:sz w:val="20"/>
        </w:rPr>
        <w:t> </w:t>
      </w:r>
      <w:r>
        <w:rPr>
          <w:sz w:val="20"/>
        </w:rPr>
        <w:t>damages</w:t>
      </w:r>
      <w:r>
        <w:rPr>
          <w:spacing w:val="27"/>
          <w:sz w:val="20"/>
        </w:rPr>
        <w:t> </w:t>
      </w:r>
      <w:r>
        <w:rPr>
          <w:sz w:val="20"/>
        </w:rPr>
        <w:t>for</w:t>
      </w:r>
      <w:r>
        <w:rPr>
          <w:spacing w:val="27"/>
          <w:sz w:val="20"/>
        </w:rPr>
        <w:t> </w:t>
      </w:r>
      <w:r>
        <w:rPr>
          <w:sz w:val="20"/>
        </w:rPr>
        <w:t>“annoyance</w:t>
      </w:r>
      <w:r>
        <w:rPr>
          <w:spacing w:val="27"/>
          <w:sz w:val="20"/>
        </w:rPr>
        <w:t> </w:t>
      </w:r>
      <w:r>
        <w:rPr>
          <w:sz w:val="20"/>
        </w:rPr>
        <w:t>or</w:t>
      </w:r>
      <w:r>
        <w:rPr>
          <w:spacing w:val="27"/>
          <w:sz w:val="20"/>
        </w:rPr>
        <w:t> </w:t>
      </w:r>
      <w:r>
        <w:rPr>
          <w:sz w:val="20"/>
        </w:rPr>
        <w:t>mental</w:t>
      </w:r>
      <w:r>
        <w:rPr>
          <w:spacing w:val="27"/>
          <w:sz w:val="20"/>
        </w:rPr>
        <w:t> </w:t>
      </w:r>
      <w:r>
        <w:rPr>
          <w:sz w:val="20"/>
        </w:rPr>
        <w:t>distress”);</w:t>
      </w:r>
      <w:r>
        <w:rPr>
          <w:spacing w:val="26"/>
          <w:sz w:val="20"/>
        </w:rPr>
        <w:t> </w:t>
      </w:r>
      <w:r>
        <w:rPr>
          <w:rFonts w:ascii="Arial" w:hAnsi="Arial"/>
          <w:i/>
          <w:sz w:val="20"/>
        </w:rPr>
        <w:t>Last-Harris</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Thompson</w:t>
      </w:r>
      <w:r>
        <w:rPr>
          <w:rFonts w:ascii="Arial" w:hAnsi="Arial"/>
          <w:i/>
          <w:spacing w:val="27"/>
          <w:sz w:val="20"/>
        </w:rPr>
        <w:t> </w:t>
      </w:r>
      <w:r>
        <w:rPr>
          <w:rFonts w:ascii="Arial" w:hAnsi="Arial"/>
          <w:i/>
          <w:sz w:val="20"/>
        </w:rPr>
        <w:t>Bros</w:t>
      </w:r>
      <w:r>
        <w:rPr>
          <w:rFonts w:ascii="Arial" w:hAnsi="Arial"/>
          <w:i/>
          <w:spacing w:val="27"/>
          <w:sz w:val="20"/>
        </w:rPr>
        <w:t> </w:t>
      </w:r>
      <w:r>
        <w:rPr>
          <w:rFonts w:ascii="Arial" w:hAnsi="Arial"/>
          <w:i/>
          <w:spacing w:val="-2"/>
          <w:sz w:val="20"/>
        </w:rPr>
        <w:t>[1956]</w:t>
      </w:r>
    </w:p>
    <w:p>
      <w:pPr>
        <w:spacing w:line="222" w:lineRule="exact" w:before="0"/>
        <w:ind w:left="705" w:right="0" w:firstLine="0"/>
        <w:jc w:val="both"/>
        <w:rPr>
          <w:rFonts w:ascii="Arial"/>
          <w:i/>
          <w:sz w:val="20"/>
        </w:rPr>
      </w:pPr>
      <w:r>
        <w:rPr>
          <w:rFonts w:ascii="Arial"/>
          <w:i/>
          <w:sz w:val="20"/>
        </w:rPr>
        <w:t>N.Z.L.R.</w:t>
      </w:r>
      <w:r>
        <w:rPr>
          <w:rFonts w:ascii="Arial"/>
          <w:i/>
          <w:spacing w:val="16"/>
          <w:sz w:val="20"/>
        </w:rPr>
        <w:t> </w:t>
      </w:r>
      <w:r>
        <w:rPr>
          <w:rFonts w:ascii="Arial"/>
          <w:i/>
          <w:sz w:val="20"/>
        </w:rPr>
        <w:t>995</w:t>
      </w:r>
      <w:r>
        <w:rPr>
          <w:sz w:val="20"/>
        </w:rPr>
        <w:t>;</w:t>
      </w:r>
      <w:r>
        <w:rPr>
          <w:spacing w:val="17"/>
          <w:sz w:val="20"/>
        </w:rPr>
        <w:t> </w:t>
      </w:r>
      <w:r>
        <w:rPr>
          <w:rFonts w:ascii="Arial"/>
          <w:i/>
          <w:sz w:val="20"/>
        </w:rPr>
        <w:t>Hayes</w:t>
      </w:r>
      <w:r>
        <w:rPr>
          <w:rFonts w:ascii="Arial"/>
          <w:i/>
          <w:spacing w:val="17"/>
          <w:sz w:val="20"/>
        </w:rPr>
        <w:t> </w:t>
      </w:r>
      <w:r>
        <w:rPr>
          <w:rFonts w:ascii="Arial"/>
          <w:i/>
          <w:sz w:val="20"/>
        </w:rPr>
        <w:t>v</w:t>
      </w:r>
      <w:r>
        <w:rPr>
          <w:rFonts w:ascii="Arial"/>
          <w:i/>
          <w:spacing w:val="17"/>
          <w:sz w:val="20"/>
        </w:rPr>
        <w:t> </w:t>
      </w:r>
      <w:r>
        <w:rPr>
          <w:rFonts w:ascii="Arial"/>
          <w:i/>
          <w:sz w:val="20"/>
        </w:rPr>
        <w:t>Dodd</w:t>
      </w:r>
      <w:r>
        <w:rPr>
          <w:rFonts w:ascii="Arial"/>
          <w:i/>
          <w:spacing w:val="17"/>
          <w:sz w:val="20"/>
        </w:rPr>
        <w:t> </w:t>
      </w:r>
      <w:r>
        <w:rPr>
          <w:rFonts w:ascii="Arial"/>
          <w:i/>
          <w:sz w:val="20"/>
        </w:rPr>
        <w:t>[1990]</w:t>
      </w:r>
      <w:r>
        <w:rPr>
          <w:rFonts w:ascii="Arial"/>
          <w:i/>
          <w:spacing w:val="17"/>
          <w:sz w:val="20"/>
        </w:rPr>
        <w:t> </w:t>
      </w:r>
      <w:r>
        <w:rPr>
          <w:rFonts w:ascii="Arial"/>
          <w:i/>
          <w:sz w:val="20"/>
        </w:rPr>
        <w:t>2</w:t>
      </w:r>
      <w:r>
        <w:rPr>
          <w:rFonts w:ascii="Arial"/>
          <w:i/>
          <w:spacing w:val="17"/>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815</w:t>
      </w:r>
      <w:r>
        <w:rPr>
          <w:rFonts w:ascii="Arial"/>
          <w:i/>
          <w:spacing w:val="17"/>
          <w:sz w:val="20"/>
        </w:rPr>
        <w:t> </w:t>
      </w:r>
      <w:r>
        <w:rPr>
          <w:sz w:val="20"/>
        </w:rPr>
        <w:t>CA;</w:t>
      </w:r>
      <w:r>
        <w:rPr>
          <w:spacing w:val="17"/>
          <w:sz w:val="20"/>
        </w:rPr>
        <w:t> </w:t>
      </w:r>
      <w:r>
        <w:rPr>
          <w:rFonts w:ascii="Arial"/>
          <w:i/>
          <w:sz w:val="20"/>
        </w:rPr>
        <w:t>Watts</w:t>
      </w:r>
      <w:r>
        <w:rPr>
          <w:rFonts w:ascii="Arial"/>
          <w:i/>
          <w:spacing w:val="17"/>
          <w:sz w:val="20"/>
        </w:rPr>
        <w:t> </w:t>
      </w:r>
      <w:r>
        <w:rPr>
          <w:rFonts w:ascii="Arial"/>
          <w:i/>
          <w:sz w:val="20"/>
        </w:rPr>
        <w:t>v</w:t>
      </w:r>
      <w:r>
        <w:rPr>
          <w:rFonts w:ascii="Arial"/>
          <w:i/>
          <w:spacing w:val="17"/>
          <w:sz w:val="20"/>
        </w:rPr>
        <w:t> </w:t>
      </w:r>
      <w:r>
        <w:rPr>
          <w:rFonts w:ascii="Arial"/>
          <w:i/>
          <w:sz w:val="20"/>
        </w:rPr>
        <w:t>Morrow</w:t>
      </w:r>
      <w:r>
        <w:rPr>
          <w:rFonts w:ascii="Arial"/>
          <w:i/>
          <w:spacing w:val="17"/>
          <w:sz w:val="20"/>
        </w:rPr>
        <w:t> </w:t>
      </w:r>
      <w:r>
        <w:rPr>
          <w:rFonts w:ascii="Arial"/>
          <w:i/>
          <w:sz w:val="20"/>
        </w:rPr>
        <w:t>[1991]</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pacing w:val="-4"/>
          <w:sz w:val="20"/>
        </w:rPr>
        <w:t>1421</w:t>
      </w:r>
    </w:p>
    <w:p>
      <w:pPr>
        <w:spacing w:line="235" w:lineRule="auto" w:before="1"/>
        <w:ind w:left="705" w:right="0" w:firstLine="0"/>
        <w:jc w:val="left"/>
        <w:rPr>
          <w:sz w:val="20"/>
        </w:rPr>
      </w:pPr>
      <w:r>
        <w:rPr>
          <w:rFonts w:ascii="Arial" w:hAnsi="Arial"/>
          <w:i/>
          <w:sz w:val="20"/>
        </w:rPr>
        <w:t>CA</w:t>
      </w:r>
      <w:r>
        <w:rPr>
          <w:sz w:val="20"/>
        </w:rPr>
        <w:t>. Nor are damages recoverable for loss of the society of one’s spouse or child; cf. </w:t>
      </w:r>
      <w:r>
        <w:rPr>
          <w:rFonts w:ascii="Arial" w:hAnsi="Arial"/>
          <w:i/>
          <w:sz w:val="20"/>
        </w:rPr>
        <w:t>Jackson v Watson [1909] 2 K.B. 193</w:t>
      </w:r>
      <w:r>
        <w:rPr>
          <w:sz w:val="20"/>
        </w:rPr>
        <w:t>.</w:t>
      </w:r>
    </w:p>
    <w:p>
      <w:pPr>
        <w:pStyle w:val="BodyText"/>
        <w:spacing w:before="9"/>
      </w:pPr>
    </w:p>
    <w:p>
      <w:pPr>
        <w:spacing w:line="235" w:lineRule="auto" w:before="0"/>
        <w:ind w:left="705" w:right="167" w:hanging="541"/>
        <w:jc w:val="both"/>
        <w:rPr>
          <w:sz w:val="20"/>
        </w:rPr>
      </w:pPr>
      <w:bookmarkStart w:name="_bookmark1549" w:id="1551"/>
      <w:bookmarkEnd w:id="1551"/>
      <w:r>
        <w:rPr/>
      </w:r>
      <w:hyperlink w:history="true" w:anchor="_bookmark1504">
        <w:r>
          <w:rPr>
            <w:color w:val="005DA1"/>
            <w:position w:val="5"/>
            <w:sz w:val="14"/>
            <w:u w:val="single" w:color="005DA1"/>
          </w:rPr>
          <w:t>796</w:t>
        </w:r>
      </w:hyperlink>
      <w:r>
        <w:rPr>
          <w:position w:val="5"/>
          <w:sz w:val="14"/>
        </w:rPr>
        <w:t>.</w:t>
      </w:r>
      <w:r>
        <w:rPr>
          <w:spacing w:val="40"/>
          <w:position w:val="5"/>
          <w:sz w:val="14"/>
        </w:rPr>
        <w:t>  </w:t>
      </w:r>
      <w:r>
        <w:rPr>
          <w:rFonts w:ascii="Arial" w:hAnsi="Arial"/>
          <w:i/>
          <w:sz w:val="20"/>
        </w:rPr>
        <w:t>Addis v Gramophone Co Ltd [1909] A.C. 488</w:t>
      </w:r>
      <w:r>
        <w:rPr>
          <w:sz w:val="20"/>
        </w:rPr>
        <w:t>. The House of Lords later said that “damages </w:t>
      </w:r>
      <w:r>
        <w:rPr>
          <w:sz w:val="20"/>
        </w:rPr>
        <w:t>for breach of contract may only be awarded for breach of contract, and not for loss caused by the manner of the breach”: </w:t>
      </w:r>
      <w:r>
        <w:rPr>
          <w:rFonts w:ascii="Arial" w:hAnsi="Arial"/>
          <w:i/>
          <w:sz w:val="20"/>
        </w:rPr>
        <w:t>Malik v Bank of Credit and Commerce International SA [1998] A.C. 20</w:t>
      </w:r>
      <w:r>
        <w:rPr>
          <w:sz w:val="20"/>
        </w:rPr>
        <w:t>, at 51 (per Lord Steyn, interpreting </w:t>
      </w:r>
      <w:r>
        <w:rPr>
          <w:rFonts w:ascii="Arial" w:hAnsi="Arial"/>
          <w:i/>
          <w:sz w:val="20"/>
        </w:rPr>
        <w:t>Addis v Gramophone Co</w:t>
      </w:r>
      <w:r>
        <w:rPr>
          <w:sz w:val="20"/>
        </w:rPr>
        <w:t>). In </w:t>
      </w:r>
      <w:r>
        <w:rPr>
          <w:rFonts w:ascii="Arial" w:hAnsi="Arial"/>
          <w:i/>
          <w:sz w:val="20"/>
        </w:rPr>
        <w:t>Eastwood v Magnox Electric</w:t>
      </w:r>
      <w:r>
        <w:rPr>
          <w:rFonts w:ascii="Arial" w:hAnsi="Arial"/>
          <w:i/>
          <w:spacing w:val="40"/>
          <w:sz w:val="20"/>
        </w:rPr>
        <w:t> </w:t>
      </w:r>
      <w:r>
        <w:rPr>
          <w:rFonts w:ascii="Arial" w:hAnsi="Arial"/>
          <w:i/>
          <w:sz w:val="20"/>
        </w:rPr>
        <w:t>Plc [2004] UKHL 35, [2005] 1 A.C. 503</w:t>
      </w:r>
      <w:r>
        <w:rPr>
          <w:sz w:val="20"/>
        </w:rPr>
        <w:t>, Lord Nicholls said (at [11]) that if the facts of </w:t>
      </w:r>
      <w:r>
        <w:rPr>
          <w:rFonts w:ascii="Arial" w:hAnsi="Arial"/>
          <w:i/>
          <w:sz w:val="20"/>
        </w:rPr>
        <w:t>Addis </w:t>
      </w:r>
      <w:r>
        <w:rPr>
          <w:sz w:val="20"/>
        </w:rPr>
        <w:t>occurred today, the claimant would have a remedy at common law for breach of contract: see para.26-148, below. See also </w:t>
      </w:r>
      <w:r>
        <w:rPr>
          <w:rFonts w:ascii="Arial" w:hAnsi="Arial"/>
          <w:i/>
          <w:sz w:val="20"/>
        </w:rPr>
        <w:t>Bliss v S.E. Thames Regional Health Authority [1987] I.C.R. 700</w:t>
      </w:r>
      <w:r>
        <w:rPr>
          <w:sz w:val="20"/>
        </w:rPr>
        <w:t>; </w:t>
      </w:r>
      <w:r>
        <w:rPr>
          <w:rFonts w:ascii="Arial" w:hAnsi="Arial"/>
          <w:i/>
          <w:sz w:val="20"/>
        </w:rPr>
        <w:t>French v Barclays Bank Plc [1998] I.R.L.R. 646 CA</w:t>
      </w:r>
      <w:r>
        <w:rPr>
          <w:sz w:val="20"/>
        </w:rPr>
        <w:t>. But cf. the damages when a master wrongfully terminates a contract of apprenticeship: Vol.II, para.40–203. On damages for wrongful, or unfair dismissal, see below, paras 40-200 et seq., paras 40-241 et seq.</w:t>
      </w:r>
    </w:p>
    <w:p>
      <w:pPr>
        <w:pStyle w:val="BodyText"/>
        <w:spacing w:before="6"/>
      </w:pPr>
    </w:p>
    <w:p>
      <w:pPr>
        <w:spacing w:line="235" w:lineRule="auto" w:before="1"/>
        <w:ind w:left="705" w:right="167" w:hanging="541"/>
        <w:jc w:val="both"/>
        <w:rPr>
          <w:rFonts w:ascii="Arial" w:hAnsi="Arial"/>
          <w:i/>
          <w:sz w:val="20"/>
        </w:rPr>
      </w:pPr>
      <w:bookmarkStart w:name="_bookmark1550" w:id="1552"/>
      <w:bookmarkEnd w:id="1552"/>
      <w:r>
        <w:rPr/>
      </w:r>
      <w:hyperlink w:history="true" w:anchor="_bookmark1505">
        <w:r>
          <w:rPr>
            <w:color w:val="005DA1"/>
            <w:position w:val="5"/>
            <w:sz w:val="14"/>
            <w:u w:val="single" w:color="005DA1"/>
          </w:rPr>
          <w:t>797</w:t>
        </w:r>
      </w:hyperlink>
      <w:r>
        <w:rPr>
          <w:position w:val="5"/>
          <w:sz w:val="14"/>
        </w:rPr>
        <w:t>.</w:t>
      </w:r>
      <w:r>
        <w:rPr>
          <w:spacing w:val="40"/>
          <w:position w:val="5"/>
          <w:sz w:val="14"/>
        </w:rPr>
        <w:t>  </w:t>
      </w:r>
      <w:r>
        <w:rPr>
          <w:sz w:val="20"/>
        </w:rPr>
        <w:t>The House of Lords in </w:t>
      </w:r>
      <w:r>
        <w:rPr>
          <w:rFonts w:ascii="Arial" w:hAnsi="Arial"/>
          <w:i/>
          <w:sz w:val="20"/>
        </w:rPr>
        <w:t>Johnson v Gore Wood &amp; Co [2002] 2 A.C. 1 </w:t>
      </w:r>
      <w:r>
        <w:rPr>
          <w:sz w:val="20"/>
        </w:rPr>
        <w:t>maintained the Addis principle, while accepting the exceptions set out here. The House held that the principle </w:t>
      </w:r>
      <w:r>
        <w:rPr>
          <w:sz w:val="20"/>
        </w:rPr>
        <w:t>should not be restricted by further “inroads” (cf. at 50 where Lord Cooke of Thorndon doubts the permanence</w:t>
      </w:r>
      <w:r>
        <w:rPr>
          <w:spacing w:val="25"/>
          <w:sz w:val="20"/>
        </w:rPr>
        <w:t> </w:t>
      </w:r>
      <w:r>
        <w:rPr>
          <w:sz w:val="20"/>
        </w:rPr>
        <w:t>of</w:t>
      </w:r>
      <w:r>
        <w:rPr>
          <w:spacing w:val="27"/>
          <w:sz w:val="20"/>
        </w:rPr>
        <w:t> </w:t>
      </w:r>
      <w:r>
        <w:rPr>
          <w:sz w:val="20"/>
        </w:rPr>
        <w:t>Addis</w:t>
      </w:r>
      <w:r>
        <w:rPr>
          <w:spacing w:val="27"/>
          <w:sz w:val="20"/>
        </w:rPr>
        <w:t> </w:t>
      </w:r>
      <w:r>
        <w:rPr>
          <w:sz w:val="20"/>
        </w:rPr>
        <w:t>in</w:t>
      </w:r>
      <w:r>
        <w:rPr>
          <w:spacing w:val="27"/>
          <w:sz w:val="20"/>
        </w:rPr>
        <w:t> </w:t>
      </w:r>
      <w:r>
        <w:rPr>
          <w:sz w:val="20"/>
        </w:rPr>
        <w:t>English</w:t>
      </w:r>
      <w:r>
        <w:rPr>
          <w:spacing w:val="27"/>
          <w:sz w:val="20"/>
        </w:rPr>
        <w:t> </w:t>
      </w:r>
      <w:r>
        <w:rPr>
          <w:sz w:val="20"/>
        </w:rPr>
        <w:t>law).</w:t>
      </w:r>
      <w:r>
        <w:rPr>
          <w:spacing w:val="27"/>
          <w:sz w:val="20"/>
        </w:rPr>
        <w:t> </w:t>
      </w:r>
      <w:r>
        <w:rPr>
          <w:sz w:val="20"/>
        </w:rPr>
        <w:t>See</w:t>
      </w:r>
      <w:r>
        <w:rPr>
          <w:spacing w:val="27"/>
          <w:sz w:val="20"/>
        </w:rPr>
        <w:t> </w:t>
      </w:r>
      <w:r>
        <w:rPr>
          <w:sz w:val="20"/>
        </w:rPr>
        <w:t>also</w:t>
      </w:r>
      <w:r>
        <w:rPr>
          <w:spacing w:val="26"/>
          <w:sz w:val="20"/>
        </w:rPr>
        <w:t> </w:t>
      </w:r>
      <w:r>
        <w:rPr>
          <w:rFonts w:ascii="Arial" w:hAnsi="Arial"/>
          <w:i/>
          <w:sz w:val="20"/>
        </w:rPr>
        <w:t>Johnson</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Unisys</w:t>
      </w:r>
      <w:r>
        <w:rPr>
          <w:rFonts w:ascii="Arial" w:hAnsi="Arial"/>
          <w:i/>
          <w:spacing w:val="27"/>
          <w:sz w:val="20"/>
        </w:rPr>
        <w:t> </w:t>
      </w:r>
      <w:r>
        <w:rPr>
          <w:rFonts w:ascii="Arial" w:hAnsi="Arial"/>
          <w:i/>
          <w:sz w:val="20"/>
        </w:rPr>
        <w:t>[2001]</w:t>
      </w:r>
      <w:r>
        <w:rPr>
          <w:rFonts w:ascii="Arial" w:hAnsi="Arial"/>
          <w:i/>
          <w:spacing w:val="27"/>
          <w:sz w:val="20"/>
        </w:rPr>
        <w:t> </w:t>
      </w:r>
      <w:r>
        <w:rPr>
          <w:rFonts w:ascii="Arial" w:hAnsi="Arial"/>
          <w:i/>
          <w:sz w:val="20"/>
        </w:rPr>
        <w:t>UKHL</w:t>
      </w:r>
      <w:r>
        <w:rPr>
          <w:rFonts w:ascii="Arial" w:hAnsi="Arial"/>
          <w:i/>
          <w:spacing w:val="27"/>
          <w:sz w:val="20"/>
        </w:rPr>
        <w:t> </w:t>
      </w:r>
      <w:r>
        <w:rPr>
          <w:rFonts w:ascii="Arial" w:hAnsi="Arial"/>
          <w:i/>
          <w:sz w:val="20"/>
        </w:rPr>
        <w:t>13,</w:t>
      </w:r>
      <w:r>
        <w:rPr>
          <w:rFonts w:ascii="Arial" w:hAnsi="Arial"/>
          <w:i/>
          <w:spacing w:val="27"/>
          <w:sz w:val="20"/>
        </w:rPr>
        <w:t> </w:t>
      </w:r>
      <w:r>
        <w:rPr>
          <w:rFonts w:ascii="Arial" w:hAnsi="Arial"/>
          <w:i/>
          <w:sz w:val="20"/>
        </w:rPr>
        <w:t>[2003]</w:t>
      </w:r>
      <w:r>
        <w:rPr>
          <w:rFonts w:ascii="Arial" w:hAnsi="Arial"/>
          <w:i/>
          <w:spacing w:val="27"/>
          <w:sz w:val="20"/>
        </w:rPr>
        <w:t> </w:t>
      </w:r>
      <w:r>
        <w:rPr>
          <w:rFonts w:ascii="Arial" w:hAnsi="Arial"/>
          <w:i/>
          <w:spacing w:val="-12"/>
          <w:sz w:val="20"/>
        </w:rPr>
        <w:t>1</w:t>
      </w:r>
    </w:p>
    <w:p>
      <w:pPr>
        <w:spacing w:line="235" w:lineRule="auto" w:before="0"/>
        <w:ind w:left="705" w:right="168" w:firstLine="0"/>
        <w:jc w:val="both"/>
        <w:rPr>
          <w:sz w:val="20"/>
        </w:rPr>
      </w:pPr>
      <w:r>
        <w:rPr>
          <w:rFonts w:ascii="Arial"/>
          <w:i/>
          <w:sz w:val="20"/>
        </w:rPr>
        <w:t>A.C. 518 </w:t>
      </w:r>
      <w:r>
        <w:rPr>
          <w:sz w:val="20"/>
        </w:rPr>
        <w:t>(in particular, per Lord Steyn, at 1082 et seq.); </w:t>
      </w:r>
      <w:r>
        <w:rPr>
          <w:rFonts w:ascii="Arial"/>
          <w:i/>
          <w:sz w:val="20"/>
        </w:rPr>
        <w:t>Farley v Skinner [2001] UKHL </w:t>
      </w:r>
      <w:r>
        <w:rPr>
          <w:rFonts w:ascii="Arial"/>
          <w:i/>
          <w:sz w:val="20"/>
        </w:rPr>
        <w:t>49, [2002] 2 A.C. 732</w:t>
      </w:r>
      <w:r>
        <w:rPr>
          <w:sz w:val="20"/>
        </w:rPr>
        <w:t>. On </w:t>
      </w:r>
      <w:r>
        <w:rPr>
          <w:rFonts w:ascii="Arial"/>
          <w:i/>
          <w:sz w:val="20"/>
        </w:rPr>
        <w:t>Johnson v Unisys</w:t>
      </w:r>
      <w:r>
        <w:rPr>
          <w:sz w:val="20"/>
        </w:rPr>
        <w:t>, see para.26-148 below.</w:t>
      </w:r>
    </w:p>
    <w:p>
      <w:pPr>
        <w:pStyle w:val="BodyText"/>
        <w:spacing w:before="3"/>
      </w:pPr>
    </w:p>
    <w:p>
      <w:pPr>
        <w:tabs>
          <w:tab w:pos="705" w:val="left" w:leader="none"/>
        </w:tabs>
        <w:spacing w:before="1"/>
        <w:ind w:left="165" w:right="0" w:firstLine="0"/>
        <w:jc w:val="left"/>
        <w:rPr>
          <w:sz w:val="20"/>
        </w:rPr>
      </w:pPr>
      <w:bookmarkStart w:name="_bookmark1551" w:id="1553"/>
      <w:bookmarkEnd w:id="1553"/>
      <w:r>
        <w:rPr/>
      </w:r>
      <w:hyperlink w:history="true" w:anchor="_bookmark1506">
        <w:r>
          <w:rPr>
            <w:color w:val="005DA1"/>
            <w:spacing w:val="-4"/>
            <w:position w:val="5"/>
            <w:sz w:val="14"/>
            <w:u w:val="single" w:color="005DA1"/>
          </w:rPr>
          <w:t>798</w:t>
        </w:r>
      </w:hyperlink>
      <w:r>
        <w:rPr>
          <w:spacing w:val="-4"/>
          <w:position w:val="5"/>
          <w:sz w:val="14"/>
        </w:rPr>
        <w:t>.</w:t>
      </w:r>
      <w:r>
        <w:rPr>
          <w:position w:val="5"/>
          <w:sz w:val="14"/>
        </w:rPr>
        <w:tab/>
      </w:r>
      <w:r>
        <w:rPr>
          <w:rFonts w:ascii="Arial"/>
          <w:i/>
          <w:sz w:val="20"/>
        </w:rPr>
        <w:t>Hayes v Dodd [1990] 2 All E.R. 815 </w:t>
      </w:r>
      <w:r>
        <w:rPr>
          <w:rFonts w:ascii="Arial"/>
          <w:i/>
          <w:spacing w:val="-5"/>
          <w:sz w:val="20"/>
        </w:rPr>
        <w:t>CA</w:t>
      </w:r>
      <w:r>
        <w:rPr>
          <w:spacing w:val="-5"/>
          <w:sz w:val="20"/>
        </w:rPr>
        <w:t>.</w:t>
      </w:r>
    </w:p>
    <w:p>
      <w:pPr>
        <w:pStyle w:val="BodyText"/>
        <w:spacing w:before="8"/>
      </w:pPr>
    </w:p>
    <w:p>
      <w:pPr>
        <w:spacing w:line="235" w:lineRule="auto" w:before="0"/>
        <w:ind w:left="705" w:right="168" w:hanging="541"/>
        <w:jc w:val="both"/>
        <w:rPr>
          <w:sz w:val="20"/>
        </w:rPr>
      </w:pPr>
      <w:bookmarkStart w:name="_bookmark1552" w:id="1554"/>
      <w:bookmarkEnd w:id="1554"/>
      <w:r>
        <w:rPr/>
      </w:r>
      <w:hyperlink w:history="true" w:anchor="_bookmark1507">
        <w:r>
          <w:rPr>
            <w:color w:val="005DA1"/>
            <w:position w:val="5"/>
            <w:sz w:val="14"/>
            <w:u w:val="single" w:color="005DA1"/>
          </w:rPr>
          <w:t>799</w:t>
        </w:r>
      </w:hyperlink>
      <w:r>
        <w:rPr>
          <w:position w:val="5"/>
          <w:sz w:val="14"/>
        </w:rPr>
        <w:t>.</w:t>
      </w:r>
      <w:r>
        <w:rPr>
          <w:spacing w:val="40"/>
          <w:position w:val="5"/>
          <w:sz w:val="14"/>
        </w:rPr>
        <w:t>  </w:t>
      </w:r>
      <w:r>
        <w:rPr>
          <w:rFonts w:ascii="Arial"/>
          <w:i/>
          <w:sz w:val="20"/>
        </w:rPr>
        <w:t>Wren v Holt [1903] 1 K.B. 610 </w:t>
      </w:r>
      <w:r>
        <w:rPr>
          <w:sz w:val="20"/>
        </w:rPr>
        <w:t>(defective food sold for human consumption); </w:t>
      </w:r>
      <w:r>
        <w:rPr>
          <w:rFonts w:ascii="Arial"/>
          <w:i/>
          <w:sz w:val="20"/>
        </w:rPr>
        <w:t>Grant v Australian Knitting Mills Ltd [1936] A.C. 85 </w:t>
      </w:r>
      <w:r>
        <w:rPr>
          <w:sz w:val="20"/>
        </w:rPr>
        <w:t>(buyer of defective clothing contracted dermatitis); </w:t>
      </w:r>
      <w:r>
        <w:rPr>
          <w:rFonts w:ascii="Arial"/>
          <w:i/>
          <w:sz w:val="20"/>
        </w:rPr>
        <w:t>Summers </w:t>
      </w:r>
      <w:r>
        <w:rPr>
          <w:rFonts w:ascii="Arial"/>
          <w:i/>
          <w:sz w:val="20"/>
        </w:rPr>
        <w:t>v Salford Corp [1943] A.C. 283</w:t>
      </w:r>
      <w:r>
        <w:rPr>
          <w:sz w:val="20"/>
        </w:rPr>
        <w:t>; </w:t>
      </w:r>
      <w:r>
        <w:rPr>
          <w:rFonts w:ascii="Arial"/>
          <w:i/>
          <w:sz w:val="20"/>
        </w:rPr>
        <w:t>Godley v Perry [1960] 1 W.L.R. 9</w:t>
      </w:r>
      <w:r>
        <w:rPr>
          <w:sz w:val="20"/>
        </w:rPr>
        <w:t>.</w:t>
      </w:r>
    </w:p>
    <w:p>
      <w:pPr>
        <w:pStyle w:val="BodyText"/>
        <w:spacing w:before="9"/>
      </w:pPr>
    </w:p>
    <w:p>
      <w:pPr>
        <w:spacing w:line="235" w:lineRule="auto" w:before="0"/>
        <w:ind w:left="705" w:right="168" w:hanging="541"/>
        <w:jc w:val="both"/>
        <w:rPr>
          <w:sz w:val="20"/>
        </w:rPr>
      </w:pPr>
      <w:bookmarkStart w:name="_bookmark1553" w:id="1555"/>
      <w:bookmarkEnd w:id="1555"/>
      <w:r>
        <w:rPr/>
      </w:r>
      <w:hyperlink w:history="true" w:anchor="_bookmark1508">
        <w:r>
          <w:rPr>
            <w:color w:val="005DA1"/>
            <w:position w:val="5"/>
            <w:sz w:val="14"/>
            <w:u w:val="single" w:color="005DA1"/>
          </w:rPr>
          <w:t>800</w:t>
        </w:r>
      </w:hyperlink>
      <w:r>
        <w:rPr>
          <w:position w:val="5"/>
          <w:sz w:val="14"/>
        </w:rPr>
        <w:t>.</w:t>
      </w:r>
      <w:r>
        <w:rPr>
          <w:spacing w:val="40"/>
          <w:position w:val="5"/>
          <w:sz w:val="14"/>
        </w:rPr>
        <w:t>  </w:t>
      </w:r>
      <w:r>
        <w:rPr>
          <w:rFonts w:ascii="Arial" w:hAnsi="Arial"/>
          <w:i/>
          <w:sz w:val="20"/>
        </w:rPr>
        <w:t>Henry Kendall &amp; Sons v William Lillico &amp; Sons Ltd [1969] 2 A.C. 31</w:t>
      </w:r>
      <w:r>
        <w:rPr>
          <w:sz w:val="20"/>
        </w:rPr>
        <w:t>; </w:t>
      </w:r>
      <w:r>
        <w:rPr>
          <w:rFonts w:ascii="Arial" w:hAnsi="Arial"/>
          <w:i/>
          <w:sz w:val="20"/>
        </w:rPr>
        <w:t>Harbutt’s “Plasticine” Ltd v Wayne Tank and Pump Co Ltd [1970] 1 Q.B. 447 </w:t>
      </w:r>
      <w:r>
        <w:rPr>
          <w:sz w:val="20"/>
        </w:rPr>
        <w:t>(the decision has been overruled on </w:t>
      </w:r>
      <w:r>
        <w:rPr>
          <w:sz w:val="20"/>
        </w:rPr>
        <w:t>another point:</w:t>
      </w:r>
      <w:r>
        <w:rPr>
          <w:spacing w:val="-1"/>
          <w:sz w:val="20"/>
        </w:rPr>
        <w:t> </w:t>
      </w:r>
      <w:r>
        <w:rPr>
          <w:rFonts w:ascii="Arial" w:hAnsi="Arial"/>
          <w:i/>
          <w:sz w:val="20"/>
        </w:rPr>
        <w:t>Photo</w:t>
      </w:r>
      <w:r>
        <w:rPr>
          <w:rFonts w:ascii="Arial" w:hAnsi="Arial"/>
          <w:i/>
          <w:spacing w:val="-1"/>
          <w:sz w:val="20"/>
        </w:rPr>
        <w:t> </w:t>
      </w:r>
      <w:r>
        <w:rPr>
          <w:rFonts w:ascii="Arial" w:hAnsi="Arial"/>
          <w:i/>
          <w:sz w:val="20"/>
        </w:rPr>
        <w:t>Productions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Securicor</w:t>
      </w:r>
      <w:r>
        <w:rPr>
          <w:rFonts w:ascii="Arial" w:hAnsi="Arial"/>
          <w:i/>
          <w:spacing w:val="-1"/>
          <w:sz w:val="20"/>
        </w:rPr>
        <w:t> </w:t>
      </w:r>
      <w:r>
        <w:rPr>
          <w:rFonts w:ascii="Arial" w:hAnsi="Arial"/>
          <w:i/>
          <w:sz w:val="20"/>
        </w:rPr>
        <w:t>Transport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827</w:t>
      </w:r>
      <w:r>
        <w:rPr>
          <w:sz w:val="20"/>
        </w:rPr>
        <w:t>);</w:t>
      </w:r>
      <w:r>
        <w:rPr>
          <w:spacing w:val="-1"/>
          <w:sz w:val="20"/>
        </w:rPr>
        <w:t> </w:t>
      </w:r>
      <w:r>
        <w:rPr>
          <w:rFonts w:ascii="Arial" w:hAnsi="Arial"/>
          <w:i/>
          <w:sz w:val="20"/>
        </w:rPr>
        <w:t>H.</w:t>
      </w:r>
      <w:r>
        <w:rPr>
          <w:rFonts w:ascii="Arial" w:hAnsi="Arial"/>
          <w:i/>
          <w:spacing w:val="-1"/>
          <w:sz w:val="20"/>
        </w:rPr>
        <w:t> </w:t>
      </w:r>
      <w:r>
        <w:rPr>
          <w:rFonts w:ascii="Arial" w:hAnsi="Arial"/>
          <w:i/>
          <w:sz w:val="20"/>
        </w:rPr>
        <w:t>Parsons</w:t>
      </w:r>
      <w:r>
        <w:rPr>
          <w:rFonts w:ascii="Arial" w:hAnsi="Arial"/>
          <w:i/>
          <w:spacing w:val="-1"/>
          <w:sz w:val="20"/>
        </w:rPr>
        <w:t> </w:t>
      </w:r>
      <w:r>
        <w:rPr>
          <w:rFonts w:ascii="Arial" w:hAnsi="Arial"/>
          <w:i/>
          <w:sz w:val="20"/>
        </w:rPr>
        <w:t>(Livestock) Ltd v Uttley, Ingham &amp; Co Ltd [1978] Q.B. 791</w:t>
      </w:r>
      <w:r>
        <w:rPr>
          <w:sz w:val="20"/>
        </w:rPr>
        <w:t>. See also the cases on repair and reinstatement, above, para.26-036.</w:t>
      </w:r>
    </w:p>
    <w:p>
      <w:pPr>
        <w:pStyle w:val="BodyText"/>
        <w:spacing w:before="8"/>
      </w:pPr>
    </w:p>
    <w:p>
      <w:pPr>
        <w:pStyle w:val="BodyText"/>
        <w:spacing w:line="235" w:lineRule="auto"/>
        <w:ind w:left="705" w:right="167" w:hanging="541"/>
        <w:jc w:val="both"/>
      </w:pPr>
      <w:bookmarkStart w:name="_bookmark1554" w:id="1556"/>
      <w:bookmarkEnd w:id="1556"/>
      <w:r>
        <w:rPr/>
      </w:r>
      <w:hyperlink w:history="true" w:anchor="_bookmark1509">
        <w:r>
          <w:rPr>
            <w:color w:val="005DA1"/>
            <w:position w:val="5"/>
            <w:sz w:val="14"/>
            <w:u w:val="single" w:color="005DA1"/>
          </w:rPr>
          <w:t>801</w:t>
        </w:r>
      </w:hyperlink>
      <w:r>
        <w:rPr>
          <w:position w:val="5"/>
          <w:sz w:val="14"/>
        </w:rPr>
        <w:t>.</w:t>
      </w:r>
      <w:r>
        <w:rPr>
          <w:spacing w:val="40"/>
          <w:position w:val="5"/>
          <w:sz w:val="14"/>
        </w:rPr>
        <w:t>  </w:t>
      </w:r>
      <w:r>
        <w:rPr/>
        <w:t>Often there may be concurrent liability in tort for the personal injury or death, but there may </w:t>
      </w:r>
      <w:r>
        <w:rPr/>
        <w:t>be advantages in suing for breach of contract, e.g. in not having to prove the defendant’s </w:t>
      </w:r>
      <w:r>
        <w:rPr>
          <w:spacing w:val="-2"/>
        </w:rPr>
        <w:t>negligence.</w:t>
      </w:r>
    </w:p>
    <w:p>
      <w:pPr>
        <w:pStyle w:val="BodyText"/>
        <w:spacing w:before="5"/>
      </w:pPr>
    </w:p>
    <w:p>
      <w:pPr>
        <w:tabs>
          <w:tab w:pos="705" w:val="left" w:leader="none"/>
        </w:tabs>
        <w:spacing w:before="1"/>
        <w:ind w:left="165" w:right="0" w:firstLine="0"/>
        <w:jc w:val="left"/>
        <w:rPr>
          <w:sz w:val="20"/>
        </w:rPr>
      </w:pPr>
      <w:bookmarkStart w:name="_bookmark1555" w:id="1557"/>
      <w:bookmarkEnd w:id="1557"/>
      <w:r>
        <w:rPr/>
      </w:r>
      <w:hyperlink w:history="true" w:anchor="_bookmark1510">
        <w:r>
          <w:rPr>
            <w:color w:val="005DA1"/>
            <w:spacing w:val="-4"/>
            <w:position w:val="5"/>
            <w:sz w:val="14"/>
            <w:u w:val="single" w:color="005DA1"/>
          </w:rPr>
          <w:t>802</w:t>
        </w:r>
      </w:hyperlink>
      <w:r>
        <w:rPr>
          <w:spacing w:val="-4"/>
          <w:position w:val="5"/>
          <w:sz w:val="14"/>
        </w:rPr>
        <w:t>.</w:t>
      </w:r>
      <w:r>
        <w:rPr>
          <w:position w:val="5"/>
          <w:sz w:val="14"/>
        </w:rPr>
        <w:tab/>
      </w:r>
      <w:r>
        <w:rPr>
          <w:rFonts w:ascii="Arial"/>
          <w:i/>
          <w:sz w:val="20"/>
        </w:rPr>
        <w:t>Jackson</w:t>
      </w:r>
      <w:r>
        <w:rPr>
          <w:rFonts w:ascii="Arial"/>
          <w:i/>
          <w:spacing w:val="-1"/>
          <w:sz w:val="20"/>
        </w:rPr>
        <w:t> </w:t>
      </w:r>
      <w:r>
        <w:rPr>
          <w:rFonts w:ascii="Arial"/>
          <w:i/>
          <w:sz w:val="20"/>
        </w:rPr>
        <w:t>v Watson [1909] 2 K.B. 193</w:t>
      </w:r>
      <w:r>
        <w:rPr>
          <w:sz w:val="20"/>
        </w:rPr>
        <w:t>. See also</w:t>
      </w:r>
      <w:r>
        <w:rPr>
          <w:spacing w:val="-1"/>
          <w:sz w:val="20"/>
        </w:rPr>
        <w:t> </w:t>
      </w:r>
      <w:r>
        <w:rPr>
          <w:rFonts w:ascii="Arial"/>
          <w:i/>
          <w:sz w:val="20"/>
        </w:rPr>
        <w:t>Priest v Last [1903] 2 K.B. </w:t>
      </w:r>
      <w:r>
        <w:rPr>
          <w:rFonts w:ascii="Arial"/>
          <w:i/>
          <w:spacing w:val="-4"/>
          <w:sz w:val="20"/>
        </w:rPr>
        <w:t>148</w:t>
      </w:r>
      <w:r>
        <w:rPr>
          <w:spacing w:val="-4"/>
          <w:sz w:val="20"/>
        </w:rPr>
        <w:t>.</w:t>
      </w:r>
    </w:p>
    <w:p>
      <w:pPr>
        <w:pStyle w:val="BodyText"/>
        <w:spacing w:before="4"/>
      </w:pPr>
    </w:p>
    <w:p>
      <w:pPr>
        <w:tabs>
          <w:tab w:pos="540" w:val="left" w:leader="none"/>
        </w:tabs>
        <w:spacing w:line="227" w:lineRule="exact" w:before="1"/>
        <w:ind w:left="0" w:right="168" w:firstLine="0"/>
        <w:jc w:val="right"/>
        <w:rPr>
          <w:rFonts w:ascii="Arial" w:hAnsi="Arial"/>
          <w:i/>
          <w:sz w:val="20"/>
        </w:rPr>
      </w:pPr>
      <w:bookmarkStart w:name="_bookmark1556" w:id="1558"/>
      <w:bookmarkEnd w:id="1558"/>
      <w:r>
        <w:rPr/>
      </w:r>
      <w:hyperlink w:history="true" w:anchor="_bookmark1511">
        <w:r>
          <w:rPr>
            <w:color w:val="005DA1"/>
            <w:spacing w:val="-4"/>
            <w:position w:val="5"/>
            <w:sz w:val="14"/>
            <w:u w:val="single" w:color="005DA1"/>
          </w:rPr>
          <w:t>803</w:t>
        </w:r>
      </w:hyperlink>
      <w:r>
        <w:rPr>
          <w:spacing w:val="-4"/>
          <w:position w:val="5"/>
          <w:sz w:val="14"/>
        </w:rPr>
        <w:t>.</w:t>
      </w:r>
      <w:r>
        <w:rPr>
          <w:position w:val="5"/>
          <w:sz w:val="14"/>
        </w:rPr>
        <w:tab/>
      </w:r>
      <w:r>
        <w:rPr>
          <w:rFonts w:ascii="Arial" w:hAnsi="Arial"/>
          <w:i/>
          <w:sz w:val="20"/>
        </w:rPr>
        <w:t>Burton</w:t>
      </w:r>
      <w:r>
        <w:rPr>
          <w:rFonts w:ascii="Arial" w:hAnsi="Arial"/>
          <w:i/>
          <w:spacing w:val="-1"/>
          <w:sz w:val="20"/>
        </w:rPr>
        <w:t> </w:t>
      </w:r>
      <w:r>
        <w:rPr>
          <w:rFonts w:ascii="Arial" w:hAnsi="Arial"/>
          <w:i/>
          <w:sz w:val="20"/>
        </w:rPr>
        <w:t>v Pinkerton (1867) L.R. 2 Ex. 340, 349–351</w:t>
      </w:r>
      <w:r>
        <w:rPr>
          <w:sz w:val="20"/>
        </w:rPr>
        <w:t>; </w:t>
      </w:r>
      <w:r>
        <w:rPr>
          <w:rFonts w:ascii="Arial" w:hAnsi="Arial"/>
          <w:i/>
          <w:sz w:val="20"/>
        </w:rPr>
        <w:t>Hobbs v L.S.W. Ry (1875) L.R. 10 Q.B. </w:t>
      </w:r>
      <w:r>
        <w:rPr>
          <w:rFonts w:ascii="Arial" w:hAnsi="Arial"/>
          <w:i/>
          <w:spacing w:val="-5"/>
          <w:sz w:val="20"/>
        </w:rPr>
        <w:t>111</w:t>
      </w:r>
    </w:p>
    <w:p>
      <w:pPr>
        <w:spacing w:line="225" w:lineRule="exact" w:before="0"/>
        <w:ind w:left="0" w:right="169" w:firstLine="0"/>
        <w:jc w:val="right"/>
        <w:rPr>
          <w:sz w:val="20"/>
        </w:rPr>
      </w:pPr>
      <w:r>
        <w:rPr>
          <w:sz w:val="20"/>
        </w:rPr>
        <w:t>;</w:t>
      </w:r>
      <w:r>
        <w:rPr>
          <w:spacing w:val="31"/>
          <w:sz w:val="20"/>
        </w:rPr>
        <w:t> </w:t>
      </w:r>
      <w:r>
        <w:rPr>
          <w:rFonts w:ascii="Arial" w:hAnsi="Arial"/>
          <w:i/>
          <w:sz w:val="20"/>
        </w:rPr>
        <w:t>Bailey</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Bullock</w:t>
      </w:r>
      <w:r>
        <w:rPr>
          <w:rFonts w:ascii="Arial" w:hAnsi="Arial"/>
          <w:i/>
          <w:spacing w:val="34"/>
          <w:sz w:val="20"/>
        </w:rPr>
        <w:t> </w:t>
      </w:r>
      <w:r>
        <w:rPr>
          <w:rFonts w:ascii="Arial" w:hAnsi="Arial"/>
          <w:i/>
          <w:sz w:val="20"/>
        </w:rPr>
        <w:t>[1950]</w:t>
      </w:r>
      <w:r>
        <w:rPr>
          <w:rFonts w:ascii="Arial" w:hAnsi="Arial"/>
          <w:i/>
          <w:spacing w:val="34"/>
          <w:sz w:val="20"/>
        </w:rPr>
        <w:t> </w:t>
      </w:r>
      <w:r>
        <w:rPr>
          <w:rFonts w:ascii="Arial" w:hAnsi="Arial"/>
          <w:i/>
          <w:sz w:val="20"/>
        </w:rPr>
        <w:t>2</w:t>
      </w:r>
      <w:r>
        <w:rPr>
          <w:rFonts w:ascii="Arial" w:hAnsi="Arial"/>
          <w:i/>
          <w:spacing w:val="34"/>
          <w:sz w:val="20"/>
        </w:rPr>
        <w:t> </w:t>
      </w:r>
      <w:r>
        <w:rPr>
          <w:rFonts w:ascii="Arial" w:hAnsi="Arial"/>
          <w:i/>
          <w:sz w:val="20"/>
        </w:rPr>
        <w:t>All</w:t>
      </w:r>
      <w:r>
        <w:rPr>
          <w:rFonts w:ascii="Arial" w:hAnsi="Arial"/>
          <w:i/>
          <w:spacing w:val="34"/>
          <w:sz w:val="20"/>
        </w:rPr>
        <w:t> </w:t>
      </w:r>
      <w:r>
        <w:rPr>
          <w:rFonts w:ascii="Arial" w:hAnsi="Arial"/>
          <w:i/>
          <w:sz w:val="20"/>
        </w:rPr>
        <w:t>E.R.</w:t>
      </w:r>
      <w:r>
        <w:rPr>
          <w:rFonts w:ascii="Arial" w:hAnsi="Arial"/>
          <w:i/>
          <w:spacing w:val="34"/>
          <w:sz w:val="20"/>
        </w:rPr>
        <w:t> </w:t>
      </w:r>
      <w:r>
        <w:rPr>
          <w:rFonts w:ascii="Arial" w:hAnsi="Arial"/>
          <w:i/>
          <w:sz w:val="20"/>
        </w:rPr>
        <w:t>1167</w:t>
      </w:r>
      <w:r>
        <w:rPr>
          <w:sz w:val="20"/>
        </w:rPr>
        <w:t>;</w:t>
      </w:r>
      <w:r>
        <w:rPr>
          <w:spacing w:val="33"/>
          <w:sz w:val="20"/>
        </w:rPr>
        <w:t> </w:t>
      </w:r>
      <w:r>
        <w:rPr>
          <w:rFonts w:ascii="Arial" w:hAnsi="Arial"/>
          <w:i/>
          <w:sz w:val="20"/>
        </w:rPr>
        <w:t>Stedman</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Swan’s</w:t>
      </w:r>
      <w:r>
        <w:rPr>
          <w:rFonts w:ascii="Arial" w:hAnsi="Arial"/>
          <w:i/>
          <w:spacing w:val="34"/>
          <w:sz w:val="20"/>
        </w:rPr>
        <w:t> </w:t>
      </w:r>
      <w:r>
        <w:rPr>
          <w:rFonts w:ascii="Arial" w:hAnsi="Arial"/>
          <w:i/>
          <w:sz w:val="20"/>
        </w:rPr>
        <w:t>Tours</w:t>
      </w:r>
      <w:r>
        <w:rPr>
          <w:rFonts w:ascii="Arial" w:hAnsi="Arial"/>
          <w:i/>
          <w:spacing w:val="34"/>
          <w:sz w:val="20"/>
        </w:rPr>
        <w:t> </w:t>
      </w:r>
      <w:r>
        <w:rPr>
          <w:rFonts w:ascii="Arial" w:hAnsi="Arial"/>
          <w:i/>
          <w:sz w:val="20"/>
        </w:rPr>
        <w:t>(1951)</w:t>
      </w:r>
      <w:r>
        <w:rPr>
          <w:rFonts w:ascii="Arial" w:hAnsi="Arial"/>
          <w:i/>
          <w:spacing w:val="34"/>
          <w:sz w:val="20"/>
        </w:rPr>
        <w:t> </w:t>
      </w:r>
      <w:r>
        <w:rPr>
          <w:rFonts w:ascii="Arial" w:hAnsi="Arial"/>
          <w:i/>
          <w:sz w:val="20"/>
        </w:rPr>
        <w:t>95</w:t>
      </w:r>
      <w:r>
        <w:rPr>
          <w:rFonts w:ascii="Arial" w:hAnsi="Arial"/>
          <w:i/>
          <w:spacing w:val="34"/>
          <w:sz w:val="20"/>
        </w:rPr>
        <w:t> </w:t>
      </w:r>
      <w:r>
        <w:rPr>
          <w:rFonts w:ascii="Arial" w:hAnsi="Arial"/>
          <w:i/>
          <w:sz w:val="20"/>
        </w:rPr>
        <w:t>S.J.</w:t>
      </w:r>
      <w:r>
        <w:rPr>
          <w:rFonts w:ascii="Arial" w:hAnsi="Arial"/>
          <w:i/>
          <w:spacing w:val="34"/>
          <w:sz w:val="20"/>
        </w:rPr>
        <w:t> </w:t>
      </w:r>
      <w:r>
        <w:rPr>
          <w:rFonts w:ascii="Arial" w:hAnsi="Arial"/>
          <w:i/>
          <w:sz w:val="20"/>
        </w:rPr>
        <w:t>727</w:t>
      </w:r>
      <w:r>
        <w:rPr>
          <w:sz w:val="20"/>
        </w:rPr>
        <w:t>;</w:t>
      </w:r>
      <w:r>
        <w:rPr>
          <w:spacing w:val="34"/>
          <w:sz w:val="20"/>
        </w:rPr>
        <w:t> </w:t>
      </w:r>
      <w:r>
        <w:rPr>
          <w:spacing w:val="-5"/>
          <w:sz w:val="20"/>
        </w:rPr>
        <w:t>cf.</w:t>
      </w:r>
    </w:p>
    <w:p>
      <w:pPr>
        <w:spacing w:line="235" w:lineRule="auto" w:before="1"/>
        <w:ind w:left="705" w:right="167" w:firstLine="0"/>
        <w:jc w:val="both"/>
        <w:rPr>
          <w:sz w:val="20"/>
        </w:rPr>
      </w:pPr>
      <w:r>
        <w:rPr>
          <w:sz w:val="20"/>
        </w:rPr>
        <w:t>below, para.26–144. cf. also </w:t>
      </w:r>
      <w:r>
        <w:rPr>
          <w:rFonts w:ascii="Arial" w:hAnsi="Arial"/>
          <w:i/>
          <w:sz w:val="20"/>
        </w:rPr>
        <w:t>Farley v Skinner [2001] UKHL 49, [2002] 2 A.C. 732 </w:t>
      </w:r>
      <w:r>
        <w:rPr>
          <w:sz w:val="20"/>
        </w:rPr>
        <w:t>(a </w:t>
      </w:r>
      <w:r>
        <w:rPr>
          <w:sz w:val="20"/>
        </w:rPr>
        <w:t>serious level of aircraft noise may cause physical inconvenience and discomfort: at [30]–[36], [57]–[60], [85]–[88], [108]. cf. below, paras 26-145—26-148).</w:t>
      </w:r>
    </w:p>
    <w:p>
      <w:pPr>
        <w:spacing w:after="0" w:line="235" w:lineRule="auto"/>
        <w:jc w:val="both"/>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512">
        <w:r>
          <w:rPr>
            <w:color w:val="005DA1"/>
            <w:position w:val="5"/>
            <w:sz w:val="14"/>
            <w:u w:val="single" w:color="005DA1"/>
          </w:rPr>
          <w:t>804</w:t>
        </w:r>
      </w:hyperlink>
      <w:r>
        <w:rPr>
          <w:position w:val="5"/>
          <w:sz w:val="14"/>
        </w:rPr>
        <w:t>.</w:t>
      </w:r>
      <w:r>
        <w:rPr>
          <w:spacing w:val="80"/>
          <w:position w:val="5"/>
          <w:sz w:val="14"/>
        </w:rPr>
        <w:t>  </w:t>
      </w:r>
      <w:r>
        <w:rPr>
          <w:rFonts w:ascii="Arial" w:hAnsi="Arial"/>
          <w:i/>
          <w:sz w:val="20"/>
        </w:rPr>
        <w:t>Perry</w:t>
      </w:r>
      <w:r>
        <w:rPr>
          <w:rFonts w:ascii="Arial" w:hAnsi="Arial"/>
          <w:i/>
          <w:spacing w:val="38"/>
          <w:sz w:val="20"/>
        </w:rPr>
        <w:t> </w:t>
      </w:r>
      <w:r>
        <w:rPr>
          <w:rFonts w:ascii="Arial" w:hAnsi="Arial"/>
          <w:i/>
          <w:sz w:val="20"/>
        </w:rPr>
        <w:t>v</w:t>
      </w:r>
      <w:r>
        <w:rPr>
          <w:rFonts w:ascii="Arial" w:hAnsi="Arial"/>
          <w:i/>
          <w:spacing w:val="37"/>
          <w:sz w:val="20"/>
        </w:rPr>
        <w:t> </w:t>
      </w:r>
      <w:r>
        <w:rPr>
          <w:rFonts w:ascii="Arial" w:hAnsi="Arial"/>
          <w:i/>
          <w:sz w:val="20"/>
        </w:rPr>
        <w:t>Sidney</w:t>
      </w:r>
      <w:r>
        <w:rPr>
          <w:rFonts w:ascii="Arial" w:hAnsi="Arial"/>
          <w:i/>
          <w:spacing w:val="38"/>
          <w:sz w:val="20"/>
        </w:rPr>
        <w:t> </w:t>
      </w:r>
      <w:r>
        <w:rPr>
          <w:rFonts w:ascii="Arial" w:hAnsi="Arial"/>
          <w:i/>
          <w:sz w:val="20"/>
        </w:rPr>
        <w:t>Phillips</w:t>
      </w:r>
      <w:r>
        <w:rPr>
          <w:rFonts w:ascii="Arial" w:hAnsi="Arial"/>
          <w:i/>
          <w:spacing w:val="37"/>
          <w:sz w:val="20"/>
        </w:rPr>
        <w:t> </w:t>
      </w:r>
      <w:r>
        <w:rPr>
          <w:rFonts w:ascii="Arial" w:hAnsi="Arial"/>
          <w:i/>
          <w:sz w:val="20"/>
        </w:rPr>
        <w:t>&amp;</w:t>
      </w:r>
      <w:r>
        <w:rPr>
          <w:rFonts w:ascii="Arial" w:hAnsi="Arial"/>
          <w:i/>
          <w:spacing w:val="38"/>
          <w:sz w:val="20"/>
        </w:rPr>
        <w:t> </w:t>
      </w:r>
      <w:r>
        <w:rPr>
          <w:rFonts w:ascii="Arial" w:hAnsi="Arial"/>
          <w:i/>
          <w:sz w:val="20"/>
        </w:rPr>
        <w:t>Son</w:t>
      </w:r>
      <w:r>
        <w:rPr>
          <w:rFonts w:ascii="Arial" w:hAnsi="Arial"/>
          <w:i/>
          <w:spacing w:val="37"/>
          <w:sz w:val="20"/>
        </w:rPr>
        <w:t> </w:t>
      </w:r>
      <w:r>
        <w:rPr>
          <w:rFonts w:ascii="Arial" w:hAnsi="Arial"/>
          <w:i/>
          <w:sz w:val="20"/>
        </w:rPr>
        <w:t>[1982]</w:t>
      </w:r>
      <w:r>
        <w:rPr>
          <w:rFonts w:ascii="Arial" w:hAnsi="Arial"/>
          <w:i/>
          <w:spacing w:val="38"/>
          <w:sz w:val="20"/>
        </w:rPr>
        <w:t> </w:t>
      </w:r>
      <w:r>
        <w:rPr>
          <w:rFonts w:ascii="Arial" w:hAnsi="Arial"/>
          <w:i/>
          <w:sz w:val="20"/>
        </w:rPr>
        <w:t>1</w:t>
      </w:r>
      <w:r>
        <w:rPr>
          <w:rFonts w:ascii="Arial" w:hAnsi="Arial"/>
          <w:i/>
          <w:spacing w:val="37"/>
          <w:sz w:val="20"/>
        </w:rPr>
        <w:t> </w:t>
      </w:r>
      <w:r>
        <w:rPr>
          <w:rFonts w:ascii="Arial" w:hAnsi="Arial"/>
          <w:i/>
          <w:sz w:val="20"/>
        </w:rPr>
        <w:t>W.L.R.</w:t>
      </w:r>
      <w:r>
        <w:rPr>
          <w:rFonts w:ascii="Arial" w:hAnsi="Arial"/>
          <w:i/>
          <w:spacing w:val="38"/>
          <w:sz w:val="20"/>
        </w:rPr>
        <w:t> </w:t>
      </w:r>
      <w:r>
        <w:rPr>
          <w:rFonts w:ascii="Arial" w:hAnsi="Arial"/>
          <w:i/>
          <w:sz w:val="20"/>
        </w:rPr>
        <w:t>1297</w:t>
      </w:r>
      <w:r>
        <w:rPr>
          <w:rFonts w:ascii="Arial" w:hAnsi="Arial"/>
          <w:i/>
          <w:spacing w:val="37"/>
          <w:sz w:val="20"/>
        </w:rPr>
        <w:t> </w:t>
      </w:r>
      <w:r>
        <w:rPr>
          <w:rFonts w:ascii="Arial" w:hAnsi="Arial"/>
          <w:i/>
          <w:sz w:val="20"/>
        </w:rPr>
        <w:t>CA</w:t>
      </w:r>
      <w:r>
        <w:rPr>
          <w:sz w:val="20"/>
        </w:rPr>
        <w:t>;</w:t>
      </w:r>
      <w:r>
        <w:rPr>
          <w:spacing w:val="38"/>
          <w:sz w:val="20"/>
        </w:rPr>
        <w:t> </w:t>
      </w:r>
      <w:r>
        <w:rPr>
          <w:rFonts w:ascii="Arial" w:hAnsi="Arial"/>
          <w:i/>
          <w:sz w:val="20"/>
        </w:rPr>
        <w:t>Calabar</w:t>
      </w:r>
      <w:r>
        <w:rPr>
          <w:rFonts w:ascii="Arial" w:hAnsi="Arial"/>
          <w:i/>
          <w:spacing w:val="37"/>
          <w:sz w:val="20"/>
        </w:rPr>
        <w:t> </w:t>
      </w:r>
      <w:r>
        <w:rPr>
          <w:rFonts w:ascii="Arial" w:hAnsi="Arial"/>
          <w:i/>
          <w:sz w:val="20"/>
        </w:rPr>
        <w:t>Properties</w:t>
      </w:r>
      <w:r>
        <w:rPr>
          <w:rFonts w:ascii="Arial" w:hAnsi="Arial"/>
          <w:i/>
          <w:spacing w:val="38"/>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8"/>
          <w:sz w:val="20"/>
        </w:rPr>
        <w:t> </w:t>
      </w:r>
      <w:r>
        <w:rPr>
          <w:rFonts w:ascii="Arial" w:hAnsi="Arial"/>
          <w:i/>
          <w:sz w:val="20"/>
        </w:rPr>
        <w:t>Stitcher [1984]</w:t>
      </w:r>
      <w:r>
        <w:rPr>
          <w:rFonts w:ascii="Arial" w:hAnsi="Arial"/>
          <w:i/>
          <w:spacing w:val="45"/>
          <w:sz w:val="20"/>
        </w:rPr>
        <w:t> </w:t>
      </w:r>
      <w:r>
        <w:rPr>
          <w:rFonts w:ascii="Arial" w:hAnsi="Arial"/>
          <w:i/>
          <w:sz w:val="20"/>
        </w:rPr>
        <w:t>1</w:t>
      </w:r>
      <w:r>
        <w:rPr>
          <w:rFonts w:ascii="Arial" w:hAnsi="Arial"/>
          <w:i/>
          <w:spacing w:val="48"/>
          <w:sz w:val="20"/>
        </w:rPr>
        <w:t> </w:t>
      </w:r>
      <w:r>
        <w:rPr>
          <w:rFonts w:ascii="Arial" w:hAnsi="Arial"/>
          <w:i/>
          <w:sz w:val="20"/>
        </w:rPr>
        <w:t>W.L.R.</w:t>
      </w:r>
      <w:r>
        <w:rPr>
          <w:rFonts w:ascii="Arial" w:hAnsi="Arial"/>
          <w:i/>
          <w:spacing w:val="48"/>
          <w:sz w:val="20"/>
        </w:rPr>
        <w:t> </w:t>
      </w:r>
      <w:r>
        <w:rPr>
          <w:rFonts w:ascii="Arial" w:hAnsi="Arial"/>
          <w:i/>
          <w:sz w:val="20"/>
        </w:rPr>
        <w:t>287</w:t>
      </w:r>
      <w:r>
        <w:rPr>
          <w:sz w:val="20"/>
        </w:rPr>
        <w:t>;</w:t>
      </w:r>
      <w:r>
        <w:rPr>
          <w:spacing w:val="48"/>
          <w:sz w:val="20"/>
        </w:rPr>
        <w:t> </w:t>
      </w:r>
      <w:r>
        <w:rPr>
          <w:rFonts w:ascii="Arial" w:hAnsi="Arial"/>
          <w:i/>
          <w:sz w:val="20"/>
        </w:rPr>
        <w:t>Watts</w:t>
      </w:r>
      <w:r>
        <w:rPr>
          <w:rFonts w:ascii="Arial" w:hAnsi="Arial"/>
          <w:i/>
          <w:spacing w:val="48"/>
          <w:sz w:val="20"/>
        </w:rPr>
        <w:t> </w:t>
      </w:r>
      <w:r>
        <w:rPr>
          <w:rFonts w:ascii="Arial" w:hAnsi="Arial"/>
          <w:i/>
          <w:sz w:val="20"/>
        </w:rPr>
        <w:t>v</w:t>
      </w:r>
      <w:r>
        <w:rPr>
          <w:rFonts w:ascii="Arial" w:hAnsi="Arial"/>
          <w:i/>
          <w:spacing w:val="48"/>
          <w:sz w:val="20"/>
        </w:rPr>
        <w:t> </w:t>
      </w:r>
      <w:r>
        <w:rPr>
          <w:rFonts w:ascii="Arial" w:hAnsi="Arial"/>
          <w:i/>
          <w:sz w:val="20"/>
        </w:rPr>
        <w:t>Morrow</w:t>
      </w:r>
      <w:r>
        <w:rPr>
          <w:rFonts w:ascii="Arial" w:hAnsi="Arial"/>
          <w:i/>
          <w:spacing w:val="48"/>
          <w:sz w:val="20"/>
        </w:rPr>
        <w:t> </w:t>
      </w:r>
      <w:r>
        <w:rPr>
          <w:rFonts w:ascii="Arial" w:hAnsi="Arial"/>
          <w:i/>
          <w:sz w:val="20"/>
        </w:rPr>
        <w:t>[1991]</w:t>
      </w:r>
      <w:r>
        <w:rPr>
          <w:rFonts w:ascii="Arial" w:hAnsi="Arial"/>
          <w:i/>
          <w:spacing w:val="48"/>
          <w:sz w:val="20"/>
        </w:rPr>
        <w:t> </w:t>
      </w:r>
      <w:r>
        <w:rPr>
          <w:rFonts w:ascii="Arial" w:hAnsi="Arial"/>
          <w:i/>
          <w:sz w:val="20"/>
        </w:rPr>
        <w:t>1</w:t>
      </w:r>
      <w:r>
        <w:rPr>
          <w:rFonts w:ascii="Arial" w:hAnsi="Arial"/>
          <w:i/>
          <w:spacing w:val="48"/>
          <w:sz w:val="20"/>
        </w:rPr>
        <w:t> </w:t>
      </w:r>
      <w:r>
        <w:rPr>
          <w:rFonts w:ascii="Arial" w:hAnsi="Arial"/>
          <w:i/>
          <w:sz w:val="20"/>
        </w:rPr>
        <w:t>W.L.R.</w:t>
      </w:r>
      <w:r>
        <w:rPr>
          <w:rFonts w:ascii="Arial" w:hAnsi="Arial"/>
          <w:i/>
          <w:spacing w:val="48"/>
          <w:sz w:val="20"/>
        </w:rPr>
        <w:t> </w:t>
      </w:r>
      <w:r>
        <w:rPr>
          <w:rFonts w:ascii="Arial" w:hAnsi="Arial"/>
          <w:i/>
          <w:sz w:val="20"/>
        </w:rPr>
        <w:t>1421,</w:t>
      </w:r>
      <w:r>
        <w:rPr>
          <w:rFonts w:ascii="Arial" w:hAnsi="Arial"/>
          <w:i/>
          <w:spacing w:val="48"/>
          <w:sz w:val="20"/>
        </w:rPr>
        <w:t> </w:t>
      </w:r>
      <w:r>
        <w:rPr>
          <w:rFonts w:ascii="Arial" w:hAnsi="Arial"/>
          <w:i/>
          <w:sz w:val="20"/>
        </w:rPr>
        <w:t>1439–1443,</w:t>
      </w:r>
      <w:r>
        <w:rPr>
          <w:rFonts w:ascii="Arial" w:hAnsi="Arial"/>
          <w:i/>
          <w:spacing w:val="48"/>
          <w:sz w:val="20"/>
        </w:rPr>
        <w:t> </w:t>
      </w:r>
      <w:r>
        <w:rPr>
          <w:rFonts w:ascii="Arial" w:hAnsi="Arial"/>
          <w:i/>
          <w:sz w:val="20"/>
        </w:rPr>
        <w:t>1445–1446</w:t>
      </w:r>
      <w:r>
        <w:rPr>
          <w:rFonts w:ascii="Arial" w:hAnsi="Arial"/>
          <w:i/>
          <w:spacing w:val="48"/>
          <w:sz w:val="20"/>
        </w:rPr>
        <w:t> </w:t>
      </w:r>
      <w:r>
        <w:rPr>
          <w:rFonts w:ascii="Arial" w:hAnsi="Arial"/>
          <w:i/>
          <w:spacing w:val="-5"/>
          <w:sz w:val="20"/>
        </w:rPr>
        <w:t>CA</w:t>
      </w:r>
      <w:r>
        <w:rPr>
          <w:spacing w:val="-5"/>
          <w:sz w:val="20"/>
        </w:rPr>
        <w:t>;</w:t>
      </w:r>
    </w:p>
    <w:p>
      <w:pPr>
        <w:spacing w:line="235" w:lineRule="auto" w:before="0"/>
        <w:ind w:left="705" w:right="168" w:firstLine="0"/>
        <w:jc w:val="both"/>
        <w:rPr>
          <w:rFonts w:ascii="Arial" w:hAnsi="Arial"/>
          <w:i/>
          <w:sz w:val="20"/>
        </w:rPr>
      </w:pPr>
      <w:r>
        <w:rPr>
          <w:rFonts w:ascii="Arial" w:hAnsi="Arial"/>
          <w:i/>
          <w:sz w:val="20"/>
        </w:rPr>
        <w:t>Haysman v Mrs Rogers Films Ltd [2008] EWHC 2494 (QB) </w:t>
      </w:r>
      <w:r>
        <w:rPr>
          <w:sz w:val="20"/>
        </w:rPr>
        <w:t>at [29]. Damages may also cover the plaintiff’s “mental suffering” directly related to the physical inconvenience: </w:t>
      </w:r>
      <w:r>
        <w:rPr>
          <w:rFonts w:ascii="Arial" w:hAnsi="Arial"/>
          <w:i/>
          <w:sz w:val="20"/>
        </w:rPr>
        <w:t>Watts v Morrow [1991]</w:t>
      </w:r>
      <w:r>
        <w:rPr>
          <w:rFonts w:ascii="Arial" w:hAnsi="Arial"/>
          <w:i/>
          <w:spacing w:val="46"/>
          <w:sz w:val="20"/>
        </w:rPr>
        <w:t> </w:t>
      </w:r>
      <w:r>
        <w:rPr>
          <w:rFonts w:ascii="Arial" w:hAnsi="Arial"/>
          <w:i/>
          <w:sz w:val="20"/>
        </w:rPr>
        <w:t>1</w:t>
      </w:r>
      <w:r>
        <w:rPr>
          <w:rFonts w:ascii="Arial" w:hAnsi="Arial"/>
          <w:i/>
          <w:spacing w:val="47"/>
          <w:sz w:val="20"/>
        </w:rPr>
        <w:t> </w:t>
      </w:r>
      <w:r>
        <w:rPr>
          <w:rFonts w:ascii="Arial" w:hAnsi="Arial"/>
          <w:i/>
          <w:sz w:val="20"/>
        </w:rPr>
        <w:t>W.L.R.</w:t>
      </w:r>
      <w:r>
        <w:rPr>
          <w:rFonts w:ascii="Arial" w:hAnsi="Arial"/>
          <w:i/>
          <w:spacing w:val="47"/>
          <w:sz w:val="20"/>
        </w:rPr>
        <w:t> </w:t>
      </w:r>
      <w:r>
        <w:rPr>
          <w:rFonts w:ascii="Arial" w:hAnsi="Arial"/>
          <w:i/>
          <w:sz w:val="20"/>
        </w:rPr>
        <w:t>1421,</w:t>
      </w:r>
      <w:r>
        <w:rPr>
          <w:rFonts w:ascii="Arial" w:hAnsi="Arial"/>
          <w:i/>
          <w:spacing w:val="47"/>
          <w:sz w:val="20"/>
        </w:rPr>
        <w:t> </w:t>
      </w:r>
      <w:r>
        <w:rPr>
          <w:rFonts w:ascii="Arial" w:hAnsi="Arial"/>
          <w:i/>
          <w:sz w:val="20"/>
        </w:rPr>
        <w:t>1445</w:t>
      </w:r>
      <w:r>
        <w:rPr>
          <w:sz w:val="20"/>
        </w:rPr>
        <w:t>;</w:t>
      </w:r>
      <w:r>
        <w:rPr>
          <w:spacing w:val="47"/>
          <w:sz w:val="20"/>
        </w:rPr>
        <w:t> </w:t>
      </w:r>
      <w:r>
        <w:rPr>
          <w:rFonts w:ascii="Arial" w:hAnsi="Arial"/>
          <w:i/>
          <w:sz w:val="20"/>
        </w:rPr>
        <w:t>Harrison</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Shepherd</w:t>
      </w:r>
      <w:r>
        <w:rPr>
          <w:rFonts w:ascii="Arial" w:hAnsi="Arial"/>
          <w:i/>
          <w:spacing w:val="47"/>
          <w:sz w:val="20"/>
        </w:rPr>
        <w:t> </w:t>
      </w:r>
      <w:r>
        <w:rPr>
          <w:rFonts w:ascii="Arial" w:hAnsi="Arial"/>
          <w:i/>
          <w:sz w:val="20"/>
        </w:rPr>
        <w:t>Homes</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[2011]</w:t>
      </w:r>
      <w:r>
        <w:rPr>
          <w:rFonts w:ascii="Arial" w:hAnsi="Arial"/>
          <w:i/>
          <w:spacing w:val="47"/>
          <w:sz w:val="20"/>
        </w:rPr>
        <w:t> </w:t>
      </w:r>
      <w:r>
        <w:rPr>
          <w:rFonts w:ascii="Arial" w:hAnsi="Arial"/>
          <w:i/>
          <w:sz w:val="20"/>
        </w:rPr>
        <w:t>EWHC</w:t>
      </w:r>
      <w:r>
        <w:rPr>
          <w:rFonts w:ascii="Arial" w:hAnsi="Arial"/>
          <w:i/>
          <w:spacing w:val="47"/>
          <w:sz w:val="20"/>
        </w:rPr>
        <w:t> </w:t>
      </w:r>
      <w:r>
        <w:rPr>
          <w:rFonts w:ascii="Arial" w:hAnsi="Arial"/>
          <w:i/>
          <w:sz w:val="20"/>
        </w:rPr>
        <w:t>1811</w:t>
      </w:r>
      <w:r>
        <w:rPr>
          <w:rFonts w:ascii="Arial" w:hAnsi="Arial"/>
          <w:i/>
          <w:spacing w:val="47"/>
          <w:sz w:val="20"/>
        </w:rPr>
        <w:t> </w:t>
      </w:r>
      <w:r>
        <w:rPr>
          <w:rFonts w:ascii="Arial" w:hAnsi="Arial"/>
          <w:i/>
          <w:spacing w:val="-2"/>
          <w:sz w:val="20"/>
        </w:rPr>
        <w:t>(TCC),</w:t>
      </w:r>
    </w:p>
    <w:p>
      <w:pPr>
        <w:spacing w:line="225" w:lineRule="exact" w:before="0"/>
        <w:ind w:left="705" w:right="0" w:firstLine="0"/>
        <w:jc w:val="both"/>
        <w:rPr>
          <w:sz w:val="20"/>
        </w:rPr>
      </w:pPr>
      <w:r>
        <w:rPr>
          <w:rFonts w:ascii="Arial"/>
          <w:i/>
          <w:sz w:val="20"/>
        </w:rPr>
        <w:t>(2011) 27 Const. L.J. 709</w:t>
      </w:r>
      <w:r>
        <w:rPr>
          <w:rFonts w:ascii="Arial"/>
          <w:i/>
          <w:spacing w:val="-1"/>
          <w:sz w:val="20"/>
        </w:rPr>
        <w:t> </w:t>
      </w:r>
      <w:r>
        <w:rPr>
          <w:sz w:val="20"/>
        </w:rPr>
        <w:t>at [326] (Ramsey J.) (affirmed [2012] EWCA Civ </w:t>
      </w:r>
      <w:r>
        <w:rPr>
          <w:spacing w:val="-2"/>
          <w:sz w:val="20"/>
        </w:rPr>
        <w:t>1811).</w:t>
      </w:r>
    </w:p>
    <w:p>
      <w:pPr>
        <w:pStyle w:val="BodyText"/>
        <w:spacing w:before="8"/>
      </w:pPr>
    </w:p>
    <w:p>
      <w:pPr>
        <w:tabs>
          <w:tab w:pos="705" w:val="left" w:leader="none"/>
        </w:tabs>
        <w:spacing w:line="235" w:lineRule="auto" w:before="0"/>
        <w:ind w:left="705" w:right="174" w:hanging="541"/>
        <w:jc w:val="left"/>
        <w:rPr>
          <w:sz w:val="20"/>
        </w:rPr>
      </w:pPr>
      <w:bookmarkStart w:name="_bookmark1557" w:id="1559"/>
      <w:bookmarkEnd w:id="1559"/>
      <w:r>
        <w:rPr/>
      </w:r>
      <w:hyperlink w:history="true" w:anchor="_bookmark1513">
        <w:r>
          <w:rPr>
            <w:color w:val="005DA1"/>
            <w:spacing w:val="-4"/>
            <w:position w:val="5"/>
            <w:sz w:val="14"/>
            <w:u w:val="single" w:color="005DA1"/>
          </w:rPr>
          <w:t>805</w:t>
        </w:r>
      </w:hyperlink>
      <w:r>
        <w:rPr>
          <w:spacing w:val="-4"/>
          <w:position w:val="5"/>
          <w:sz w:val="14"/>
        </w:rPr>
        <w:t>.</w:t>
      </w:r>
      <w:r>
        <w:rPr>
          <w:position w:val="5"/>
          <w:sz w:val="14"/>
        </w:rPr>
        <w:tab/>
      </w:r>
      <w:r>
        <w:rPr>
          <w:rFonts w:ascii="Arial" w:hAnsi="Arial"/>
          <w:i/>
          <w:sz w:val="20"/>
        </w:rPr>
        <w:t>Watts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Morrow</w:t>
      </w:r>
      <w:r>
        <w:rPr>
          <w:rFonts w:ascii="Arial" w:hAnsi="Arial"/>
          <w:i/>
          <w:spacing w:val="-3"/>
          <w:sz w:val="20"/>
        </w:rPr>
        <w:t> </w:t>
      </w:r>
      <w:r>
        <w:rPr>
          <w:rFonts w:ascii="Arial" w:hAnsi="Arial"/>
          <w:i/>
          <w:sz w:val="20"/>
        </w:rPr>
        <w:t>[1991]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1421</w:t>
      </w:r>
      <w:r>
        <w:rPr>
          <w:rFonts w:ascii="Arial" w:hAnsi="Arial"/>
          <w:i/>
          <w:spacing w:val="-3"/>
          <w:sz w:val="20"/>
        </w:rPr>
        <w:t> </w:t>
      </w:r>
      <w:r>
        <w:rPr>
          <w:sz w:val="20"/>
        </w:rPr>
        <w:t>(the</w:t>
      </w:r>
      <w:r>
        <w:rPr>
          <w:spacing w:val="-3"/>
          <w:sz w:val="20"/>
        </w:rPr>
        <w:t> </w:t>
      </w:r>
      <w:r>
        <w:rPr>
          <w:sz w:val="20"/>
        </w:rPr>
        <w:t>judge’s</w:t>
      </w:r>
      <w:r>
        <w:rPr>
          <w:spacing w:val="-3"/>
          <w:sz w:val="20"/>
        </w:rPr>
        <w:t> </w:t>
      </w:r>
      <w:r>
        <w:rPr>
          <w:sz w:val="20"/>
        </w:rPr>
        <w:t>award</w:t>
      </w:r>
      <w:r>
        <w:rPr>
          <w:spacing w:val="-3"/>
          <w:sz w:val="20"/>
        </w:rPr>
        <w:t> </w:t>
      </w:r>
      <w:r>
        <w:rPr>
          <w:sz w:val="20"/>
        </w:rPr>
        <w:t>of</w:t>
      </w:r>
      <w:r>
        <w:rPr>
          <w:spacing w:val="-3"/>
          <w:sz w:val="20"/>
        </w:rPr>
        <w:t> </w:t>
      </w:r>
      <w:r>
        <w:rPr>
          <w:sz w:val="20"/>
        </w:rPr>
        <w:t>£4,000</w:t>
      </w:r>
      <w:r>
        <w:rPr>
          <w:spacing w:val="-3"/>
          <w:sz w:val="20"/>
        </w:rPr>
        <w:t> </w:t>
      </w:r>
      <w:r>
        <w:rPr>
          <w:sz w:val="20"/>
        </w:rPr>
        <w:t>was</w:t>
      </w:r>
      <w:r>
        <w:rPr>
          <w:spacing w:val="-3"/>
          <w:sz w:val="20"/>
        </w:rPr>
        <w:t> </w:t>
      </w:r>
      <w:r>
        <w:rPr>
          <w:sz w:val="20"/>
        </w:rPr>
        <w:t>reduced</w:t>
      </w:r>
      <w:r>
        <w:rPr>
          <w:spacing w:val="-3"/>
          <w:sz w:val="20"/>
        </w:rPr>
        <w:t> </w:t>
      </w:r>
      <w:r>
        <w:rPr>
          <w:sz w:val="20"/>
        </w:rPr>
        <w:t>by</w:t>
      </w:r>
      <w:r>
        <w:rPr>
          <w:spacing w:val="-3"/>
          <w:sz w:val="20"/>
        </w:rPr>
        <w:t> </w:t>
      </w:r>
      <w:r>
        <w:rPr>
          <w:sz w:val="20"/>
        </w:rPr>
        <w:t>the</w:t>
      </w:r>
      <w:r>
        <w:rPr>
          <w:spacing w:val="-3"/>
          <w:sz w:val="20"/>
        </w:rPr>
        <w:t> </w:t>
      </w:r>
      <w:r>
        <w:rPr>
          <w:sz w:val="20"/>
        </w:rPr>
        <w:t>Court</w:t>
      </w:r>
      <w:r>
        <w:rPr>
          <w:spacing w:val="-3"/>
          <w:sz w:val="20"/>
        </w:rPr>
        <w:t> </w:t>
      </w:r>
      <w:r>
        <w:rPr>
          <w:sz w:val="20"/>
        </w:rPr>
        <w:t>of Appeal to £750: at 1443, 1445). See also Franklin (1988) 4 Const. L.J. 264.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58" w:id="1560"/>
      <w:bookmarkEnd w:id="1560"/>
      <w:r>
        <w:rPr/>
      </w:r>
      <w:hyperlink w:history="true" w:anchor="_bookmark1514">
        <w:r>
          <w:rPr>
            <w:color w:val="005DA1"/>
            <w:spacing w:val="-4"/>
            <w:sz w:val="14"/>
            <w:u w:val="single" w:color="005DA1"/>
          </w:rPr>
          <w:t>806</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Earle</w:t>
      </w:r>
      <w:r>
        <w:rPr>
          <w:rFonts w:ascii="Arial"/>
          <w:i/>
          <w:spacing w:val="13"/>
          <w:sz w:val="20"/>
        </w:rPr>
        <w:t> </w:t>
      </w:r>
      <w:r>
        <w:rPr>
          <w:rFonts w:ascii="Arial"/>
          <w:i/>
          <w:sz w:val="20"/>
        </w:rPr>
        <w:t>v</w:t>
      </w:r>
      <w:r>
        <w:rPr>
          <w:rFonts w:ascii="Arial"/>
          <w:i/>
          <w:spacing w:val="13"/>
          <w:sz w:val="20"/>
        </w:rPr>
        <w:t> </w:t>
      </w:r>
      <w:r>
        <w:rPr>
          <w:rFonts w:ascii="Arial"/>
          <w:i/>
          <w:sz w:val="20"/>
        </w:rPr>
        <w:t>Charalambous</w:t>
      </w:r>
      <w:r>
        <w:rPr>
          <w:rFonts w:ascii="Arial"/>
          <w:i/>
          <w:spacing w:val="13"/>
          <w:sz w:val="20"/>
        </w:rPr>
        <w:t> </w:t>
      </w:r>
      <w:r>
        <w:rPr>
          <w:rFonts w:ascii="Arial"/>
          <w:i/>
          <w:sz w:val="20"/>
        </w:rPr>
        <w:t>[2006]</w:t>
      </w:r>
      <w:r>
        <w:rPr>
          <w:rFonts w:ascii="Arial"/>
          <w:i/>
          <w:spacing w:val="13"/>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1090,</w:t>
      </w:r>
      <w:r>
        <w:rPr>
          <w:rFonts w:ascii="Arial"/>
          <w:i/>
          <w:spacing w:val="13"/>
          <w:sz w:val="20"/>
        </w:rPr>
        <w:t> </w:t>
      </w:r>
      <w:r>
        <w:rPr>
          <w:rFonts w:ascii="Arial"/>
          <w:i/>
          <w:sz w:val="20"/>
        </w:rPr>
        <w:t>[2007]</w:t>
      </w:r>
      <w:r>
        <w:rPr>
          <w:rFonts w:ascii="Arial"/>
          <w:i/>
          <w:spacing w:val="13"/>
          <w:sz w:val="20"/>
        </w:rPr>
        <w:t> </w:t>
      </w:r>
      <w:r>
        <w:rPr>
          <w:rFonts w:ascii="Arial"/>
          <w:i/>
          <w:sz w:val="20"/>
        </w:rPr>
        <w:t>H.L.R.</w:t>
      </w:r>
      <w:r>
        <w:rPr>
          <w:rFonts w:ascii="Arial"/>
          <w:i/>
          <w:spacing w:val="13"/>
          <w:sz w:val="20"/>
        </w:rPr>
        <w:t> </w:t>
      </w:r>
      <w:r>
        <w:rPr>
          <w:rFonts w:ascii="Arial"/>
          <w:i/>
          <w:sz w:val="20"/>
        </w:rPr>
        <w:t>8</w:t>
      </w:r>
      <w:r>
        <w:rPr>
          <w:rFonts w:ascii="Arial"/>
          <w:i/>
          <w:spacing w:val="12"/>
          <w:sz w:val="20"/>
        </w:rPr>
        <w:t> </w:t>
      </w:r>
      <w:r>
        <w:rPr>
          <w:sz w:val="20"/>
        </w:rPr>
        <w:t>at</w:t>
      </w:r>
      <w:r>
        <w:rPr>
          <w:spacing w:val="13"/>
          <w:sz w:val="20"/>
        </w:rPr>
        <w:t> </w:t>
      </w:r>
      <w:r>
        <w:rPr>
          <w:sz w:val="20"/>
        </w:rPr>
        <w:t>[32],</w:t>
      </w:r>
      <w:r>
        <w:rPr>
          <w:spacing w:val="13"/>
          <w:sz w:val="20"/>
        </w:rPr>
        <w:t> </w:t>
      </w:r>
      <w:r>
        <w:rPr>
          <w:sz w:val="20"/>
        </w:rPr>
        <w:t>applied</w:t>
      </w:r>
      <w:r>
        <w:rPr>
          <w:spacing w:val="13"/>
          <w:sz w:val="20"/>
        </w:rPr>
        <w:t> </w:t>
      </w:r>
      <w:r>
        <w:rPr>
          <w:sz w:val="20"/>
        </w:rPr>
        <w:t>in</w:t>
      </w:r>
      <w:r>
        <w:rPr>
          <w:spacing w:val="13"/>
          <w:sz w:val="20"/>
        </w:rPr>
        <w:t> </w:t>
      </w:r>
      <w:r>
        <w:rPr>
          <w:rFonts w:ascii="Arial"/>
          <w:i/>
          <w:sz w:val="20"/>
        </w:rPr>
        <w:t>Moorjani</w:t>
      </w:r>
      <w:r>
        <w:rPr>
          <w:rFonts w:ascii="Arial"/>
          <w:i/>
          <w:spacing w:val="13"/>
          <w:sz w:val="20"/>
        </w:rPr>
        <w:t> </w:t>
      </w:r>
      <w:r>
        <w:rPr>
          <w:rFonts w:ascii="Arial"/>
          <w:i/>
          <w:spacing w:val="-10"/>
          <w:sz w:val="20"/>
        </w:rPr>
        <w:t>v</w:t>
      </w:r>
    </w:p>
    <w:p>
      <w:pPr>
        <w:spacing w:line="227" w:lineRule="exact" w:before="0"/>
        <w:ind w:left="165" w:right="0" w:firstLine="0"/>
        <w:jc w:val="left"/>
        <w:rPr>
          <w:sz w:val="20"/>
        </w:rPr>
      </w:pPr>
      <w:r>
        <w:rPr>
          <w:sz w:val="20"/>
        </w:rPr>
        <w:drawing>
          <wp:anchor distT="0" distB="0" distL="0" distR="0" allowOverlap="1" layoutInCell="1" locked="0" behindDoc="0" simplePos="0" relativeHeight="15811072">
            <wp:simplePos x="0" y="0"/>
            <wp:positionH relativeFrom="page">
              <wp:posOffset>1257846</wp:posOffset>
            </wp:positionH>
            <wp:positionV relativeFrom="paragraph">
              <wp:posOffset>-116483</wp:posOffset>
            </wp:positionV>
            <wp:extent cx="107988" cy="107988"/>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Durban Estates Ltd [2015] EWCA Civ 1252, [2016] H.L.R. 6</w:t>
      </w:r>
      <w:r>
        <w:rPr>
          <w:rFonts w:ascii="Arial"/>
          <w:i/>
          <w:spacing w:val="-1"/>
          <w:sz w:val="20"/>
        </w:rPr>
        <w:t> </w:t>
      </w:r>
      <w:r>
        <w:rPr>
          <w:sz w:val="20"/>
        </w:rPr>
        <w:t>at </w:t>
      </w:r>
      <w:r>
        <w:rPr>
          <w:spacing w:val="-2"/>
          <w:sz w:val="20"/>
        </w:rPr>
        <w:t>[31].</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1584">
            <wp:simplePos x="0" y="0"/>
            <wp:positionH relativeFrom="page">
              <wp:posOffset>1257846</wp:posOffset>
            </wp:positionH>
            <wp:positionV relativeFrom="paragraph">
              <wp:posOffset>160707</wp:posOffset>
            </wp:positionV>
            <wp:extent cx="107988" cy="107988"/>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59" w:id="1561"/>
      <w:bookmarkEnd w:id="1561"/>
      <w:r>
        <w:rPr/>
      </w:r>
      <w:hyperlink w:history="true" w:anchor="_bookmark1515">
        <w:r>
          <w:rPr>
            <w:color w:val="005DA1"/>
            <w:spacing w:val="-4"/>
            <w:sz w:val="14"/>
            <w:u w:val="single" w:color="005DA1"/>
          </w:rPr>
          <w:t>807</w:t>
        </w:r>
      </w:hyperlink>
      <w:r>
        <w:rPr>
          <w:spacing w:val="-4"/>
          <w:sz w:val="14"/>
        </w:rPr>
        <w:t>.</w:t>
      </w:r>
    </w:p>
    <w:p>
      <w:pPr>
        <w:spacing w:line="235" w:lineRule="auto" w:before="213"/>
        <w:ind w:left="165" w:right="0" w:firstLine="170"/>
        <w:jc w:val="left"/>
        <w:rPr>
          <w:sz w:val="20"/>
        </w:rPr>
      </w:pPr>
      <w:r>
        <w:rPr/>
        <w:br w:type="column"/>
      </w:r>
      <w:r>
        <w:rPr>
          <w:sz w:val="20"/>
        </w:rPr>
        <w:t>See</w:t>
      </w:r>
      <w:r>
        <w:rPr>
          <w:spacing w:val="28"/>
          <w:sz w:val="20"/>
        </w:rPr>
        <w:t> </w:t>
      </w:r>
      <w:r>
        <w:rPr>
          <w:rFonts w:ascii="Arial"/>
          <w:i/>
          <w:sz w:val="20"/>
        </w:rPr>
        <w:t>Wallace</w:t>
      </w:r>
      <w:r>
        <w:rPr>
          <w:rFonts w:ascii="Arial"/>
          <w:i/>
          <w:spacing w:val="29"/>
          <w:sz w:val="20"/>
        </w:rPr>
        <w:t> </w:t>
      </w:r>
      <w:r>
        <w:rPr>
          <w:rFonts w:ascii="Arial"/>
          <w:i/>
          <w:sz w:val="20"/>
        </w:rPr>
        <w:t>v</w:t>
      </w:r>
      <w:r>
        <w:rPr>
          <w:rFonts w:ascii="Arial"/>
          <w:i/>
          <w:spacing w:val="29"/>
          <w:sz w:val="20"/>
        </w:rPr>
        <w:t> </w:t>
      </w:r>
      <w:r>
        <w:rPr>
          <w:rFonts w:ascii="Arial"/>
          <w:i/>
          <w:sz w:val="20"/>
        </w:rPr>
        <w:t>Manchester</w:t>
      </w:r>
      <w:r>
        <w:rPr>
          <w:rFonts w:ascii="Arial"/>
          <w:i/>
          <w:spacing w:val="29"/>
          <w:sz w:val="20"/>
        </w:rPr>
        <w:t> </w:t>
      </w:r>
      <w:r>
        <w:rPr>
          <w:rFonts w:ascii="Arial"/>
          <w:i/>
          <w:sz w:val="20"/>
        </w:rPr>
        <w:t>City</w:t>
      </w:r>
      <w:r>
        <w:rPr>
          <w:rFonts w:ascii="Arial"/>
          <w:i/>
          <w:spacing w:val="29"/>
          <w:sz w:val="20"/>
        </w:rPr>
        <w:t> </w:t>
      </w:r>
      <w:r>
        <w:rPr>
          <w:rFonts w:ascii="Arial"/>
          <w:i/>
          <w:sz w:val="20"/>
        </w:rPr>
        <w:t>Council</w:t>
      </w:r>
      <w:r>
        <w:rPr>
          <w:rFonts w:ascii="Arial"/>
          <w:i/>
          <w:spacing w:val="29"/>
          <w:sz w:val="20"/>
        </w:rPr>
        <w:t> </w:t>
      </w:r>
      <w:r>
        <w:rPr>
          <w:rFonts w:ascii="Arial"/>
          <w:i/>
          <w:sz w:val="20"/>
        </w:rPr>
        <w:t>(1998)</w:t>
      </w:r>
      <w:r>
        <w:rPr>
          <w:rFonts w:ascii="Arial"/>
          <w:i/>
          <w:spacing w:val="29"/>
          <w:sz w:val="20"/>
        </w:rPr>
        <w:t> </w:t>
      </w:r>
      <w:r>
        <w:rPr>
          <w:rFonts w:ascii="Arial"/>
          <w:i/>
          <w:sz w:val="20"/>
        </w:rPr>
        <w:t>30</w:t>
      </w:r>
      <w:r>
        <w:rPr>
          <w:rFonts w:ascii="Arial"/>
          <w:i/>
          <w:spacing w:val="29"/>
          <w:sz w:val="20"/>
        </w:rPr>
        <w:t> </w:t>
      </w:r>
      <w:r>
        <w:rPr>
          <w:rFonts w:ascii="Arial"/>
          <w:i/>
          <w:sz w:val="20"/>
        </w:rPr>
        <w:t>H.L.R.</w:t>
      </w:r>
      <w:r>
        <w:rPr>
          <w:rFonts w:ascii="Arial"/>
          <w:i/>
          <w:spacing w:val="29"/>
          <w:sz w:val="20"/>
        </w:rPr>
        <w:t> </w:t>
      </w:r>
      <w:r>
        <w:rPr>
          <w:rFonts w:ascii="Arial"/>
          <w:i/>
          <w:sz w:val="20"/>
        </w:rPr>
        <w:t>1111,</w:t>
      </w:r>
      <w:r>
        <w:rPr>
          <w:rFonts w:ascii="Arial"/>
          <w:i/>
          <w:spacing w:val="29"/>
          <w:sz w:val="20"/>
        </w:rPr>
        <w:t> </w:t>
      </w:r>
      <w:r>
        <w:rPr>
          <w:rFonts w:ascii="Arial"/>
          <w:i/>
          <w:sz w:val="20"/>
        </w:rPr>
        <w:t>1121</w:t>
      </w:r>
      <w:r>
        <w:rPr>
          <w:sz w:val="20"/>
        </w:rPr>
        <w:t>.</w:t>
      </w:r>
      <w:r>
        <w:rPr>
          <w:spacing w:val="29"/>
          <w:sz w:val="20"/>
        </w:rPr>
        <w:t> </w:t>
      </w:r>
      <w:r>
        <w:rPr>
          <w:sz w:val="20"/>
        </w:rPr>
        <w:t>On</w:t>
      </w:r>
      <w:r>
        <w:rPr>
          <w:spacing w:val="29"/>
          <w:sz w:val="20"/>
        </w:rPr>
        <w:t> </w:t>
      </w:r>
      <w:r>
        <w:rPr>
          <w:sz w:val="20"/>
        </w:rPr>
        <w:t>recovery</w:t>
      </w:r>
      <w:r>
        <w:rPr>
          <w:spacing w:val="29"/>
          <w:sz w:val="20"/>
        </w:rPr>
        <w:t> </w:t>
      </w:r>
      <w:r>
        <w:rPr>
          <w:sz w:val="20"/>
        </w:rPr>
        <w:t>of</w:t>
      </w:r>
      <w:r>
        <w:rPr>
          <w:spacing w:val="29"/>
          <w:sz w:val="20"/>
        </w:rPr>
        <w:t> </w:t>
      </w:r>
      <w:r>
        <w:rPr>
          <w:sz w:val="20"/>
        </w:rPr>
        <w:t>the market rental value see above, para.26-041A.</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560" w:id="1562"/>
      <w:bookmarkEnd w:id="1562"/>
      <w:r>
        <w:rPr/>
      </w:r>
      <w:hyperlink w:history="true" w:anchor="_bookmark1516">
        <w:r>
          <w:rPr>
            <w:color w:val="005DA1"/>
            <w:spacing w:val="-4"/>
            <w:position w:val="5"/>
            <w:sz w:val="14"/>
            <w:u w:val="single" w:color="005DA1"/>
          </w:rPr>
          <w:t>808</w:t>
        </w:r>
      </w:hyperlink>
      <w:r>
        <w:rPr>
          <w:spacing w:val="-4"/>
          <w:position w:val="5"/>
          <w:sz w:val="14"/>
        </w:rPr>
        <w:t>.</w:t>
      </w:r>
      <w:r>
        <w:rPr>
          <w:position w:val="5"/>
          <w:sz w:val="14"/>
        </w:rPr>
        <w:tab/>
      </w:r>
      <w:r>
        <w:rPr/>
        <w:t>See</w:t>
      </w:r>
      <w:r>
        <w:rPr>
          <w:spacing w:val="-2"/>
        </w:rPr>
        <w:t> </w:t>
      </w:r>
      <w:r>
        <w:rPr/>
        <w:t>above, para.26-</w:t>
      </w:r>
      <w:r>
        <w:rPr>
          <w:spacing w:val="-4"/>
        </w:rPr>
        <w:t>112.</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2096">
            <wp:simplePos x="0" y="0"/>
            <wp:positionH relativeFrom="page">
              <wp:posOffset>1257846</wp:posOffset>
            </wp:positionH>
            <wp:positionV relativeFrom="paragraph">
              <wp:posOffset>160256</wp:posOffset>
            </wp:positionV>
            <wp:extent cx="107988" cy="107988"/>
            <wp:effectExtent l="0" t="0" r="0" b="0"/>
            <wp:wrapNone/>
            <wp:docPr id="353" name="Image 353"/>
            <wp:cNvGraphicFramePr>
              <a:graphicFrameLocks/>
            </wp:cNvGraphicFramePr>
            <a:graphic>
              <a:graphicData uri="http://schemas.openxmlformats.org/drawingml/2006/picture">
                <pic:pic>
                  <pic:nvPicPr>
                    <pic:cNvPr id="353" name="Image 3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61" w:id="1563"/>
      <w:bookmarkEnd w:id="1563"/>
      <w:r>
        <w:rPr/>
      </w:r>
      <w:hyperlink w:history="true" w:anchor="_bookmark1517">
        <w:r>
          <w:rPr>
            <w:color w:val="005DA1"/>
            <w:spacing w:val="-4"/>
            <w:sz w:val="14"/>
            <w:u w:val="single" w:color="005DA1"/>
          </w:rPr>
          <w:t>809</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Cook v Swinfen [1967] 1 W.L.R. 457</w:t>
      </w:r>
      <w:r>
        <w:rPr>
          <w:sz w:val="20"/>
        </w:rPr>
        <w:t>. See also </w:t>
      </w:r>
      <w:r>
        <w:rPr>
          <w:rFonts w:ascii="Arial" w:hAnsi="Arial"/>
          <w:i/>
          <w:sz w:val="20"/>
        </w:rPr>
        <w:t>Walker v Northumberland CC [1995] 1 I.C.R. 702 </w:t>
      </w:r>
      <w:r>
        <w:rPr>
          <w:sz w:val="20"/>
        </w:rPr>
        <w:t>(employee’s nervous breakdown caused by excessive workload); </w:t>
      </w:r>
      <w:r>
        <w:rPr>
          <w:rFonts w:ascii="Arial" w:hAnsi="Arial"/>
          <w:i/>
          <w:sz w:val="20"/>
        </w:rPr>
        <w:t>Barber v Somerset CC [2004] UKHL 13, [2004] 1 W.L.R. 1089 </w:t>
      </w:r>
      <w:r>
        <w:rPr>
          <w:sz w:val="20"/>
        </w:rPr>
        <w:t>(employee’s psychiatric injury caused by work-related stress); </w:t>
      </w:r>
      <w:r>
        <w:rPr>
          <w:rFonts w:ascii="Arial" w:hAnsi="Arial"/>
          <w:i/>
          <w:sz w:val="20"/>
        </w:rPr>
        <w:t>BAE Systems (Operations) Ltd v Konczak [2017] EWCA Civ 1188, [2017] I.R.L.R. </w:t>
      </w:r>
      <w:r>
        <w:rPr>
          <w:rFonts w:ascii="Arial" w:hAnsi="Arial"/>
          <w:i/>
          <w:sz w:val="20"/>
        </w:rPr>
        <w:t>893 </w:t>
      </w:r>
      <w:r>
        <w:rPr>
          <w:sz w:val="20"/>
        </w:rPr>
        <w:t>(a case involving apportionment between multiple causes).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562" w:id="1564"/>
      <w:bookmarkEnd w:id="1564"/>
      <w:r>
        <w:rPr/>
      </w:r>
      <w:hyperlink w:history="true" w:anchor="_bookmark1518">
        <w:r>
          <w:rPr>
            <w:color w:val="005DA1"/>
            <w:spacing w:val="-4"/>
            <w:position w:val="5"/>
            <w:sz w:val="14"/>
            <w:u w:val="single" w:color="005DA1"/>
          </w:rPr>
          <w:t>810</w:t>
        </w:r>
      </w:hyperlink>
      <w:r>
        <w:rPr>
          <w:spacing w:val="-4"/>
          <w:position w:val="5"/>
          <w:sz w:val="14"/>
        </w:rPr>
        <w:t>.</w:t>
      </w:r>
      <w:r>
        <w:rPr>
          <w:position w:val="5"/>
          <w:sz w:val="14"/>
        </w:rPr>
        <w:tab/>
      </w:r>
      <w:r>
        <w:rPr/>
        <w:t>Exemplary damages are not available for breach of contract: above, para.26-</w:t>
      </w:r>
      <w:r>
        <w:rPr>
          <w:spacing w:val="-4"/>
        </w:rPr>
        <w:t>044.</w:t>
      </w:r>
    </w:p>
    <w:p>
      <w:pPr>
        <w:pStyle w:val="BodyText"/>
        <w:spacing w:before="9"/>
      </w:pPr>
    </w:p>
    <w:p>
      <w:pPr>
        <w:spacing w:line="235" w:lineRule="auto" w:before="0"/>
        <w:ind w:left="705" w:right="167" w:hanging="541"/>
        <w:jc w:val="both"/>
        <w:rPr>
          <w:sz w:val="20"/>
        </w:rPr>
      </w:pPr>
      <w:bookmarkStart w:name="_bookmark1563" w:id="1565"/>
      <w:bookmarkEnd w:id="1565"/>
      <w:r>
        <w:rPr/>
      </w:r>
      <w:hyperlink w:history="true" w:anchor="_bookmark1519">
        <w:r>
          <w:rPr>
            <w:color w:val="005DA1"/>
            <w:position w:val="5"/>
            <w:sz w:val="14"/>
            <w:u w:val="single" w:color="005DA1"/>
          </w:rPr>
          <w:t>811</w:t>
        </w:r>
      </w:hyperlink>
      <w:r>
        <w:rPr>
          <w:position w:val="5"/>
          <w:sz w:val="14"/>
        </w:rPr>
        <w:t>.</w:t>
      </w:r>
      <w:r>
        <w:rPr>
          <w:spacing w:val="80"/>
          <w:position w:val="5"/>
          <w:sz w:val="14"/>
        </w:rPr>
        <w:t>  </w:t>
      </w:r>
      <w:r>
        <w:rPr>
          <w:rFonts w:ascii="Arial" w:hAnsi="Arial"/>
          <w:i/>
          <w:sz w:val="20"/>
        </w:rPr>
        <w:t>Jarvis v Swans Tours Ltd [1973] Q.B. 233</w:t>
      </w:r>
      <w:r>
        <w:rPr>
          <w:sz w:val="20"/>
        </w:rPr>
        <w:t>; </w:t>
      </w:r>
      <w:r>
        <w:rPr>
          <w:rFonts w:ascii="Arial" w:hAnsi="Arial"/>
          <w:i/>
          <w:sz w:val="20"/>
        </w:rPr>
        <w:t>Jackson v Horizon Holidays Ltd [1975] 1 W.L.R. 1468</w:t>
      </w:r>
      <w:r>
        <w:rPr>
          <w:sz w:val="20"/>
        </w:rPr>
        <w:t>; </w:t>
      </w:r>
      <w:r>
        <w:rPr>
          <w:rFonts w:ascii="Arial" w:hAnsi="Arial"/>
          <w:i/>
          <w:sz w:val="20"/>
        </w:rPr>
        <w:t>Jackson v Chrysler Acceptances Ltd [1978] R.T.R. 474</w:t>
      </w:r>
      <w:r>
        <w:rPr>
          <w:sz w:val="20"/>
        </w:rPr>
        <w:t>; </w:t>
      </w:r>
      <w:r>
        <w:rPr>
          <w:rFonts w:ascii="Arial" w:hAnsi="Arial"/>
          <w:i/>
          <w:sz w:val="20"/>
        </w:rPr>
        <w:t>Kemp v Intasun Holidays Ltd [1987] 2 F.T.L.R. 234</w:t>
      </w:r>
      <w:r>
        <w:rPr>
          <w:sz w:val="20"/>
        </w:rPr>
        <w:t>. For the considerations that should be taken into account when fixing the amount</w:t>
      </w:r>
      <w:r>
        <w:rPr>
          <w:spacing w:val="-1"/>
          <w:sz w:val="20"/>
        </w:rPr>
        <w:t> </w:t>
      </w:r>
      <w:r>
        <w:rPr>
          <w:sz w:val="20"/>
        </w:rPr>
        <w:t>of</w:t>
      </w:r>
      <w:r>
        <w:rPr>
          <w:spacing w:val="-1"/>
          <w:sz w:val="20"/>
        </w:rPr>
        <w:t> </w:t>
      </w:r>
      <w:r>
        <w:rPr>
          <w:sz w:val="20"/>
        </w:rPr>
        <w:t>the</w:t>
      </w:r>
      <w:r>
        <w:rPr>
          <w:spacing w:val="-1"/>
          <w:sz w:val="20"/>
        </w:rPr>
        <w:t> </w:t>
      </w:r>
      <w:r>
        <w:rPr>
          <w:sz w:val="20"/>
        </w:rPr>
        <w:t>award</w:t>
      </w:r>
      <w:r>
        <w:rPr>
          <w:spacing w:val="-1"/>
          <w:sz w:val="20"/>
        </w:rPr>
        <w:t> </w:t>
      </w:r>
      <w:r>
        <w:rPr>
          <w:sz w:val="20"/>
        </w:rPr>
        <w:t>in</w:t>
      </w:r>
      <w:r>
        <w:rPr>
          <w:spacing w:val="-1"/>
          <w:sz w:val="20"/>
        </w:rPr>
        <w:t> </w:t>
      </w:r>
      <w:r>
        <w:rPr>
          <w:sz w:val="20"/>
        </w:rPr>
        <w:t>holiday</w:t>
      </w:r>
      <w:r>
        <w:rPr>
          <w:spacing w:val="-1"/>
          <w:sz w:val="20"/>
        </w:rPr>
        <w:t> </w:t>
      </w:r>
      <w:r>
        <w:rPr>
          <w:sz w:val="20"/>
        </w:rPr>
        <w:t>cases,</w:t>
      </w:r>
      <w:r>
        <w:rPr>
          <w:spacing w:val="-1"/>
          <w:sz w:val="20"/>
        </w:rPr>
        <w:t> </w:t>
      </w:r>
      <w:r>
        <w:rPr>
          <w:sz w:val="20"/>
        </w:rPr>
        <w:t>see</w:t>
      </w:r>
      <w:r>
        <w:rPr>
          <w:spacing w:val="-2"/>
          <w:sz w:val="20"/>
        </w:rPr>
        <w:t> </w:t>
      </w:r>
      <w:r>
        <w:rPr>
          <w:rFonts w:ascii="Arial" w:hAnsi="Arial"/>
          <w:i/>
          <w:sz w:val="20"/>
        </w:rPr>
        <w:t>Milner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Carnival</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389,</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1 Lloyd’s Rep. 374 </w:t>
      </w:r>
      <w:r>
        <w:rPr>
          <w:sz w:val="20"/>
        </w:rPr>
        <w:t>at [26]–[41].</w:t>
      </w:r>
    </w:p>
    <w:p>
      <w:pPr>
        <w:pStyle w:val="BodyText"/>
        <w:spacing w:before="8"/>
      </w:pPr>
    </w:p>
    <w:p>
      <w:pPr>
        <w:tabs>
          <w:tab w:pos="705" w:val="left" w:leader="none"/>
        </w:tabs>
        <w:spacing w:line="235" w:lineRule="auto" w:before="0"/>
        <w:ind w:left="705" w:right="174" w:hanging="541"/>
        <w:jc w:val="left"/>
        <w:rPr>
          <w:sz w:val="20"/>
        </w:rPr>
      </w:pPr>
      <w:bookmarkStart w:name="_bookmark1564" w:id="1566"/>
      <w:bookmarkEnd w:id="1566"/>
      <w:r>
        <w:rPr/>
      </w:r>
      <w:hyperlink w:history="true" w:anchor="_bookmark1520">
        <w:r>
          <w:rPr>
            <w:color w:val="005DA1"/>
            <w:spacing w:val="-4"/>
            <w:position w:val="5"/>
            <w:sz w:val="14"/>
            <w:u w:val="single" w:color="005DA1"/>
          </w:rPr>
          <w:t>812</w:t>
        </w:r>
      </w:hyperlink>
      <w:r>
        <w:rPr>
          <w:spacing w:val="-4"/>
          <w:position w:val="5"/>
          <w:sz w:val="14"/>
        </w:rPr>
        <w:t>.</w:t>
      </w:r>
      <w:r>
        <w:rPr>
          <w:position w:val="5"/>
          <w:sz w:val="14"/>
        </w:rPr>
        <w:tab/>
      </w:r>
      <w:r>
        <w:rPr>
          <w:sz w:val="20"/>
        </w:rPr>
        <w:t>cf. </w:t>
      </w:r>
      <w:r>
        <w:rPr>
          <w:rFonts w:ascii="Arial" w:hAnsi="Arial"/>
          <w:i/>
          <w:sz w:val="20"/>
        </w:rPr>
        <w:t>Diesen v Samson (1971) S.L.T. (Sh.Ct.) 49 </w:t>
      </w:r>
      <w:r>
        <w:rPr>
          <w:sz w:val="20"/>
        </w:rPr>
        <w:t>(failure of photographer to attend a wedding). cf. also </w:t>
      </w:r>
      <w:r>
        <w:rPr>
          <w:rFonts w:ascii="Arial" w:hAnsi="Arial"/>
          <w:i/>
          <w:sz w:val="20"/>
        </w:rPr>
        <w:t>Archer v Brown [1985] Q.B. 401, 424–426 </w:t>
      </w:r>
      <w:r>
        <w:rPr>
          <w:sz w:val="20"/>
        </w:rPr>
        <w:t>(deceit).</w:t>
      </w:r>
    </w:p>
    <w:p>
      <w:pPr>
        <w:pStyle w:val="BodyText"/>
        <w:spacing w:before="9"/>
      </w:pPr>
    </w:p>
    <w:p>
      <w:pPr>
        <w:tabs>
          <w:tab w:pos="705" w:val="left" w:leader="none"/>
        </w:tabs>
        <w:spacing w:line="235" w:lineRule="auto" w:before="0"/>
        <w:ind w:left="705" w:right="174" w:hanging="541"/>
        <w:jc w:val="left"/>
        <w:rPr>
          <w:sz w:val="20"/>
        </w:rPr>
      </w:pPr>
      <w:bookmarkStart w:name="_bookmark1565" w:id="1567"/>
      <w:bookmarkEnd w:id="1567"/>
      <w:r>
        <w:rPr/>
      </w:r>
      <w:hyperlink w:history="true" w:anchor="_bookmark1520">
        <w:r>
          <w:rPr>
            <w:color w:val="005DA1"/>
            <w:spacing w:val="-4"/>
            <w:position w:val="5"/>
            <w:sz w:val="14"/>
            <w:u w:val="single" w:color="005DA1"/>
          </w:rPr>
          <w:t>813</w:t>
        </w:r>
      </w:hyperlink>
      <w:r>
        <w:rPr>
          <w:spacing w:val="-4"/>
          <w:position w:val="5"/>
          <w:sz w:val="14"/>
        </w:rPr>
        <w:t>.</w:t>
      </w:r>
      <w:r>
        <w:rPr>
          <w:position w:val="5"/>
          <w:sz w:val="14"/>
        </w:rPr>
        <w:tab/>
      </w:r>
      <w:r>
        <w:rPr>
          <w:rFonts w:ascii="Arial" w:hAnsi="Arial"/>
          <w:i/>
          <w:sz w:val="20"/>
        </w:rPr>
        <w:t>Ruxley</w:t>
      </w:r>
      <w:r>
        <w:rPr>
          <w:rFonts w:ascii="Arial" w:hAnsi="Arial"/>
          <w:i/>
          <w:spacing w:val="30"/>
          <w:sz w:val="20"/>
        </w:rPr>
        <w:t> </w:t>
      </w:r>
      <w:r>
        <w:rPr>
          <w:rFonts w:ascii="Arial" w:hAnsi="Arial"/>
          <w:i/>
          <w:sz w:val="20"/>
        </w:rPr>
        <w:t>Electronics</w:t>
      </w:r>
      <w:r>
        <w:rPr>
          <w:rFonts w:ascii="Arial" w:hAnsi="Arial"/>
          <w:i/>
          <w:spacing w:val="30"/>
          <w:sz w:val="20"/>
        </w:rPr>
        <w:t> </w:t>
      </w:r>
      <w:r>
        <w:rPr>
          <w:rFonts w:ascii="Arial" w:hAnsi="Arial"/>
          <w:i/>
          <w:sz w:val="20"/>
        </w:rPr>
        <w:t>and</w:t>
      </w:r>
      <w:r>
        <w:rPr>
          <w:rFonts w:ascii="Arial" w:hAnsi="Arial"/>
          <w:i/>
          <w:spacing w:val="30"/>
          <w:sz w:val="20"/>
        </w:rPr>
        <w:t> </w:t>
      </w:r>
      <w:r>
        <w:rPr>
          <w:rFonts w:ascii="Arial" w:hAnsi="Arial"/>
          <w:i/>
          <w:sz w:val="20"/>
        </w:rPr>
        <w:t>Construction</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Forsyth</w:t>
      </w:r>
      <w:r>
        <w:rPr>
          <w:rFonts w:ascii="Arial" w:hAnsi="Arial"/>
          <w:i/>
          <w:spacing w:val="30"/>
          <w:sz w:val="20"/>
        </w:rPr>
        <w:t> </w:t>
      </w:r>
      <w:r>
        <w:rPr>
          <w:rFonts w:ascii="Arial" w:hAnsi="Arial"/>
          <w:i/>
          <w:sz w:val="20"/>
        </w:rPr>
        <w:t>[1996]</w:t>
      </w:r>
      <w:r>
        <w:rPr>
          <w:rFonts w:ascii="Arial" w:hAnsi="Arial"/>
          <w:i/>
          <w:spacing w:val="30"/>
          <w:sz w:val="20"/>
        </w:rPr>
        <w:t> </w:t>
      </w:r>
      <w:r>
        <w:rPr>
          <w:rFonts w:ascii="Arial" w:hAnsi="Arial"/>
          <w:i/>
          <w:sz w:val="20"/>
        </w:rPr>
        <w:t>A.C.</w:t>
      </w:r>
      <w:r>
        <w:rPr>
          <w:rFonts w:ascii="Arial" w:hAnsi="Arial"/>
          <w:i/>
          <w:spacing w:val="30"/>
          <w:sz w:val="20"/>
        </w:rPr>
        <w:t> </w:t>
      </w:r>
      <w:r>
        <w:rPr>
          <w:rFonts w:ascii="Arial" w:hAnsi="Arial"/>
          <w:i/>
          <w:sz w:val="20"/>
        </w:rPr>
        <w:t>344</w:t>
      </w:r>
      <w:r>
        <w:rPr>
          <w:sz w:val="20"/>
        </w:rPr>
        <w:t>;</w:t>
      </w:r>
      <w:r>
        <w:rPr>
          <w:spacing w:val="30"/>
          <w:sz w:val="20"/>
        </w:rPr>
        <w:t> </w:t>
      </w:r>
      <w:r>
        <w:rPr>
          <w:rFonts w:ascii="Arial" w:hAnsi="Arial"/>
          <w:i/>
          <w:sz w:val="20"/>
        </w:rPr>
        <w:t>Farley</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Skinner</w:t>
      </w:r>
      <w:r>
        <w:rPr>
          <w:rFonts w:ascii="Arial" w:hAnsi="Arial"/>
          <w:i/>
          <w:spacing w:val="30"/>
          <w:sz w:val="20"/>
        </w:rPr>
        <w:t> </w:t>
      </w:r>
      <w:r>
        <w:rPr>
          <w:rFonts w:ascii="Arial" w:hAnsi="Arial"/>
          <w:i/>
          <w:sz w:val="20"/>
        </w:rPr>
        <w:t>[2001] UKHLR 49, [2002] 2 A.C. 732</w:t>
      </w:r>
      <w:r>
        <w:rPr>
          <w:sz w:val="20"/>
        </w:rPr>
        <w:t>. See below, paras 26-145—26-146.</w:t>
      </w:r>
    </w:p>
    <w:p>
      <w:pPr>
        <w:pStyle w:val="BodyText"/>
        <w:spacing w:before="9"/>
      </w:pPr>
    </w:p>
    <w:p>
      <w:pPr>
        <w:spacing w:line="235" w:lineRule="auto" w:before="1"/>
        <w:ind w:left="705" w:right="168" w:hanging="541"/>
        <w:jc w:val="both"/>
        <w:rPr>
          <w:sz w:val="20"/>
        </w:rPr>
      </w:pPr>
      <w:bookmarkStart w:name="_bookmark1566" w:id="1568"/>
      <w:bookmarkEnd w:id="1568"/>
      <w:r>
        <w:rPr/>
      </w:r>
      <w:hyperlink w:history="true" w:anchor="_bookmark1521">
        <w:r>
          <w:rPr>
            <w:color w:val="005DA1"/>
            <w:position w:val="5"/>
            <w:sz w:val="14"/>
            <w:u w:val="single" w:color="005DA1"/>
          </w:rPr>
          <w:t>814</w:t>
        </w:r>
      </w:hyperlink>
      <w:r>
        <w:rPr>
          <w:position w:val="5"/>
          <w:sz w:val="14"/>
        </w:rPr>
        <w:t>.</w:t>
      </w:r>
      <w:r>
        <w:rPr>
          <w:spacing w:val="40"/>
          <w:position w:val="5"/>
          <w:sz w:val="14"/>
        </w:rPr>
        <w:t>  </w:t>
      </w:r>
      <w:r>
        <w:rPr>
          <w:rFonts w:ascii="Arial" w:hAnsi="Arial"/>
          <w:i/>
          <w:sz w:val="20"/>
        </w:rPr>
        <w:t>Heywood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Wellers</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446</w:t>
      </w:r>
      <w:r>
        <w:rPr>
          <w:sz w:val="20"/>
        </w:rPr>
        <w:t>.</w:t>
      </w:r>
      <w:r>
        <w:rPr>
          <w:spacing w:val="40"/>
          <w:sz w:val="20"/>
        </w:rPr>
        <w:t> </w:t>
      </w:r>
      <w:r>
        <w:rPr>
          <w:sz w:val="20"/>
        </w:rPr>
        <w:t>cf.</w:t>
      </w:r>
      <w:r>
        <w:rPr>
          <w:spacing w:val="40"/>
          <w:sz w:val="20"/>
        </w:rPr>
        <w:t> </w:t>
      </w:r>
      <w:r>
        <w:rPr>
          <w:sz w:val="20"/>
        </w:rPr>
        <w:t>damages</w:t>
      </w:r>
      <w:r>
        <w:rPr>
          <w:spacing w:val="40"/>
          <w:sz w:val="20"/>
        </w:rPr>
        <w:t> </w:t>
      </w:r>
      <w:r>
        <w:rPr>
          <w:sz w:val="20"/>
        </w:rPr>
        <w:t>for</w:t>
      </w:r>
      <w:r>
        <w:rPr>
          <w:spacing w:val="40"/>
          <w:sz w:val="20"/>
        </w:rPr>
        <w:t> </w:t>
      </w:r>
      <w:r>
        <w:rPr>
          <w:sz w:val="20"/>
        </w:rPr>
        <w:t>mental</w:t>
      </w:r>
      <w:r>
        <w:rPr>
          <w:spacing w:val="40"/>
          <w:sz w:val="20"/>
        </w:rPr>
        <w:t> </w:t>
      </w:r>
      <w:r>
        <w:rPr>
          <w:sz w:val="20"/>
        </w:rPr>
        <w:t>distress</w:t>
      </w:r>
      <w:r>
        <w:rPr>
          <w:spacing w:val="40"/>
          <w:sz w:val="20"/>
        </w:rPr>
        <w:t> </w:t>
      </w:r>
      <w:r>
        <w:rPr>
          <w:sz w:val="20"/>
        </w:rPr>
        <w:t>awarded</w:t>
      </w:r>
      <w:r>
        <w:rPr>
          <w:spacing w:val="40"/>
          <w:sz w:val="20"/>
        </w:rPr>
        <w:t> </w:t>
      </w:r>
      <w:r>
        <w:rPr>
          <w:sz w:val="20"/>
        </w:rPr>
        <w:t>against</w:t>
      </w:r>
      <w:r>
        <w:rPr>
          <w:spacing w:val="40"/>
          <w:sz w:val="20"/>
        </w:rPr>
        <w:t> </w:t>
      </w:r>
      <w:r>
        <w:rPr>
          <w:sz w:val="20"/>
        </w:rPr>
        <w:t>a solicitor</w:t>
      </w:r>
      <w:r>
        <w:rPr>
          <w:spacing w:val="40"/>
          <w:sz w:val="20"/>
        </w:rPr>
        <w:t> </w:t>
      </w:r>
      <w:r>
        <w:rPr>
          <w:sz w:val="20"/>
        </w:rPr>
        <w:t>whose</w:t>
      </w:r>
      <w:r>
        <w:rPr>
          <w:spacing w:val="40"/>
          <w:sz w:val="20"/>
        </w:rPr>
        <w:t> </w:t>
      </w:r>
      <w:r>
        <w:rPr>
          <w:sz w:val="20"/>
        </w:rPr>
        <w:t>negligence</w:t>
      </w:r>
      <w:r>
        <w:rPr>
          <w:spacing w:val="40"/>
          <w:sz w:val="20"/>
        </w:rPr>
        <w:t> </w:t>
      </w:r>
      <w:r>
        <w:rPr>
          <w:sz w:val="20"/>
        </w:rPr>
        <w:t>led</w:t>
      </w:r>
      <w:r>
        <w:rPr>
          <w:spacing w:val="40"/>
          <w:sz w:val="20"/>
        </w:rPr>
        <w:t> </w:t>
      </w:r>
      <w:r>
        <w:rPr>
          <w:sz w:val="20"/>
        </w:rPr>
        <w:t>to</w:t>
      </w:r>
      <w:r>
        <w:rPr>
          <w:spacing w:val="40"/>
          <w:sz w:val="20"/>
        </w:rPr>
        <w:t> </w:t>
      </w:r>
      <w:r>
        <w:rPr>
          <w:sz w:val="20"/>
        </w:rPr>
        <w:t>his</w:t>
      </w:r>
      <w:r>
        <w:rPr>
          <w:spacing w:val="40"/>
          <w:sz w:val="20"/>
        </w:rPr>
        <w:t> </w:t>
      </w:r>
      <w:r>
        <w:rPr>
          <w:sz w:val="20"/>
        </w:rPr>
        <w:t>client’s</w:t>
      </w:r>
      <w:r>
        <w:rPr>
          <w:spacing w:val="40"/>
          <w:sz w:val="20"/>
        </w:rPr>
        <w:t> </w:t>
      </w:r>
      <w:r>
        <w:rPr>
          <w:sz w:val="20"/>
        </w:rPr>
        <w:t>wrongful</w:t>
      </w:r>
      <w:r>
        <w:rPr>
          <w:spacing w:val="40"/>
          <w:sz w:val="20"/>
        </w:rPr>
        <w:t> </w:t>
      </w:r>
      <w:r>
        <w:rPr>
          <w:sz w:val="20"/>
        </w:rPr>
        <w:t>conviction</w:t>
      </w:r>
      <w:r>
        <w:rPr>
          <w:spacing w:val="40"/>
          <w:sz w:val="20"/>
        </w:rPr>
        <w:t> </w:t>
      </w:r>
      <w:r>
        <w:rPr>
          <w:sz w:val="20"/>
        </w:rPr>
        <w:t>of</w:t>
      </w:r>
      <w:r>
        <w:rPr>
          <w:spacing w:val="40"/>
          <w:sz w:val="20"/>
        </w:rPr>
        <w:t> </w:t>
      </w:r>
      <w:r>
        <w:rPr>
          <w:sz w:val="20"/>
        </w:rPr>
        <w:t>a</w:t>
      </w:r>
      <w:r>
        <w:rPr>
          <w:spacing w:val="40"/>
          <w:sz w:val="20"/>
        </w:rPr>
        <w:t> </w:t>
      </w:r>
      <w:r>
        <w:rPr>
          <w:sz w:val="20"/>
        </w:rPr>
        <w:t>crime:</w:t>
      </w:r>
      <w:r>
        <w:rPr>
          <w:spacing w:val="40"/>
          <w:sz w:val="20"/>
        </w:rPr>
        <w:t> </w:t>
      </w:r>
      <w:r>
        <w:rPr>
          <w:rFonts w:ascii="Arial" w:hAnsi="Arial"/>
          <w:i/>
          <w:sz w:val="20"/>
        </w:rPr>
        <w:t>McLeish</w:t>
      </w:r>
      <w:r>
        <w:rPr>
          <w:rFonts w:ascii="Arial" w:hAnsi="Arial"/>
          <w:i/>
          <w:spacing w:val="40"/>
          <w:sz w:val="20"/>
        </w:rPr>
        <w:t> </w:t>
      </w:r>
      <w:r>
        <w:rPr>
          <w:rFonts w:ascii="Arial" w:hAnsi="Arial"/>
          <w:i/>
          <w:sz w:val="20"/>
        </w:rPr>
        <w:t>v Amoo-Gottfried &amp; Co (1994) 10 Prof. Negligence 102</w:t>
      </w:r>
      <w:r>
        <w:rPr>
          <w:sz w:val="20"/>
        </w:rPr>
        <w:t>; </w:t>
      </w:r>
      <w:r>
        <w:rPr>
          <w:rFonts w:ascii="Arial" w:hAnsi="Arial"/>
          <w:i/>
          <w:sz w:val="20"/>
        </w:rPr>
        <w:t>McLoughlin v Grovers [2001] EWCA Civ 1743, [2002] P.I.Q.R. 20 222</w:t>
      </w:r>
      <w:r>
        <w:rPr>
          <w:sz w:val="20"/>
        </w:rPr>
        <w: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567" w:id="1569"/>
      <w:bookmarkEnd w:id="1569"/>
      <w:r>
        <w:rPr/>
      </w:r>
      <w:hyperlink w:history="true" w:anchor="_bookmark1522">
        <w:r>
          <w:rPr>
            <w:color w:val="005DA1"/>
            <w:spacing w:val="-4"/>
            <w:position w:val="5"/>
            <w:sz w:val="14"/>
            <w:u w:val="single" w:color="005DA1"/>
          </w:rPr>
          <w:t>815</w:t>
        </w:r>
      </w:hyperlink>
      <w:r>
        <w:rPr>
          <w:spacing w:val="-4"/>
          <w:position w:val="5"/>
          <w:sz w:val="14"/>
        </w:rPr>
        <w:t>.</w:t>
      </w:r>
      <w:r>
        <w:rPr>
          <w:position w:val="5"/>
          <w:sz w:val="14"/>
        </w:rPr>
        <w:tab/>
      </w:r>
      <w:r>
        <w:rPr>
          <w:rFonts w:ascii="Arial"/>
          <w:i/>
          <w:sz w:val="20"/>
        </w:rPr>
        <w:t>Hamilton-Jones</w:t>
      </w:r>
      <w:r>
        <w:rPr>
          <w:rFonts w:ascii="Arial"/>
          <w:i/>
          <w:spacing w:val="45"/>
          <w:sz w:val="20"/>
        </w:rPr>
        <w:t> </w:t>
      </w:r>
      <w:r>
        <w:rPr>
          <w:rFonts w:ascii="Arial"/>
          <w:i/>
          <w:sz w:val="20"/>
        </w:rPr>
        <w:t>v</w:t>
      </w:r>
      <w:r>
        <w:rPr>
          <w:rFonts w:ascii="Arial"/>
          <w:i/>
          <w:spacing w:val="45"/>
          <w:sz w:val="20"/>
        </w:rPr>
        <w:t> </w:t>
      </w:r>
      <w:r>
        <w:rPr>
          <w:rFonts w:ascii="Arial"/>
          <w:i/>
          <w:sz w:val="20"/>
        </w:rPr>
        <w:t>David</w:t>
      </w:r>
      <w:r>
        <w:rPr>
          <w:rFonts w:ascii="Arial"/>
          <w:i/>
          <w:spacing w:val="45"/>
          <w:sz w:val="20"/>
        </w:rPr>
        <w:t> </w:t>
      </w:r>
      <w:r>
        <w:rPr>
          <w:rFonts w:ascii="Arial"/>
          <w:i/>
          <w:sz w:val="20"/>
        </w:rPr>
        <w:t>&amp;</w:t>
      </w:r>
      <w:r>
        <w:rPr>
          <w:rFonts w:ascii="Arial"/>
          <w:i/>
          <w:spacing w:val="45"/>
          <w:sz w:val="20"/>
        </w:rPr>
        <w:t> </w:t>
      </w:r>
      <w:r>
        <w:rPr>
          <w:rFonts w:ascii="Arial"/>
          <w:i/>
          <w:sz w:val="20"/>
        </w:rPr>
        <w:t>Snape</w:t>
      </w:r>
      <w:r>
        <w:rPr>
          <w:rFonts w:ascii="Arial"/>
          <w:i/>
          <w:spacing w:val="45"/>
          <w:sz w:val="20"/>
        </w:rPr>
        <w:t> </w:t>
      </w:r>
      <w:r>
        <w:rPr>
          <w:rFonts w:ascii="Arial"/>
          <w:i/>
          <w:sz w:val="20"/>
        </w:rPr>
        <w:t>(A</w:t>
      </w:r>
      <w:r>
        <w:rPr>
          <w:rFonts w:ascii="Arial"/>
          <w:i/>
          <w:spacing w:val="45"/>
          <w:sz w:val="20"/>
        </w:rPr>
        <w:t> </w:t>
      </w:r>
      <w:r>
        <w:rPr>
          <w:rFonts w:ascii="Arial"/>
          <w:i/>
          <w:sz w:val="20"/>
        </w:rPr>
        <w:t>Firm)</w:t>
      </w:r>
      <w:r>
        <w:rPr>
          <w:rFonts w:ascii="Arial"/>
          <w:i/>
          <w:spacing w:val="45"/>
          <w:sz w:val="20"/>
        </w:rPr>
        <w:t> </w:t>
      </w:r>
      <w:r>
        <w:rPr>
          <w:rFonts w:ascii="Arial"/>
          <w:i/>
          <w:sz w:val="20"/>
        </w:rPr>
        <w:t>[2003]</w:t>
      </w:r>
      <w:r>
        <w:rPr>
          <w:rFonts w:ascii="Arial"/>
          <w:i/>
          <w:spacing w:val="45"/>
          <w:sz w:val="20"/>
        </w:rPr>
        <w:t> </w:t>
      </w:r>
      <w:r>
        <w:rPr>
          <w:rFonts w:ascii="Arial"/>
          <w:i/>
          <w:sz w:val="20"/>
        </w:rPr>
        <w:t>EWHC</w:t>
      </w:r>
      <w:r>
        <w:rPr>
          <w:rFonts w:ascii="Arial"/>
          <w:i/>
          <w:spacing w:val="45"/>
          <w:sz w:val="20"/>
        </w:rPr>
        <w:t> </w:t>
      </w:r>
      <w:r>
        <w:rPr>
          <w:rFonts w:ascii="Arial"/>
          <w:i/>
          <w:sz w:val="20"/>
        </w:rPr>
        <w:t>3147</w:t>
      </w:r>
      <w:r>
        <w:rPr>
          <w:rFonts w:ascii="Arial"/>
          <w:i/>
          <w:spacing w:val="45"/>
          <w:sz w:val="20"/>
        </w:rPr>
        <w:t> </w:t>
      </w:r>
      <w:r>
        <w:rPr>
          <w:rFonts w:ascii="Arial"/>
          <w:i/>
          <w:sz w:val="20"/>
        </w:rPr>
        <w:t>(Ch),</w:t>
      </w:r>
      <w:r>
        <w:rPr>
          <w:rFonts w:ascii="Arial"/>
          <w:i/>
          <w:spacing w:val="45"/>
          <w:sz w:val="20"/>
        </w:rPr>
        <w:t> </w:t>
      </w:r>
      <w:r>
        <w:rPr>
          <w:rFonts w:ascii="Arial"/>
          <w:i/>
          <w:sz w:val="20"/>
        </w:rPr>
        <w:t>[2004]</w:t>
      </w:r>
      <w:r>
        <w:rPr>
          <w:rFonts w:ascii="Arial"/>
          <w:i/>
          <w:spacing w:val="45"/>
          <w:sz w:val="20"/>
        </w:rPr>
        <w:t> </w:t>
      </w:r>
      <w:r>
        <w:rPr>
          <w:rFonts w:ascii="Arial"/>
          <w:i/>
          <w:sz w:val="20"/>
        </w:rPr>
        <w:t>1</w:t>
      </w:r>
      <w:r>
        <w:rPr>
          <w:rFonts w:ascii="Arial"/>
          <w:i/>
          <w:spacing w:val="45"/>
          <w:sz w:val="20"/>
        </w:rPr>
        <w:t> </w:t>
      </w:r>
      <w:r>
        <w:rPr>
          <w:rFonts w:ascii="Arial"/>
          <w:i/>
          <w:sz w:val="20"/>
        </w:rPr>
        <w:t>W.L.R.</w:t>
      </w:r>
      <w:r>
        <w:rPr>
          <w:rFonts w:ascii="Arial"/>
          <w:i/>
          <w:spacing w:val="45"/>
          <w:sz w:val="20"/>
        </w:rPr>
        <w:t> </w:t>
      </w:r>
      <w:r>
        <w:rPr>
          <w:rFonts w:ascii="Arial"/>
          <w:i/>
          <w:spacing w:val="-5"/>
          <w:sz w:val="20"/>
        </w:rPr>
        <w:t>924</w:t>
      </w:r>
    </w:p>
    <w:p>
      <w:pPr>
        <w:pStyle w:val="BodyText"/>
        <w:spacing w:line="227" w:lineRule="exact"/>
        <w:ind w:left="705"/>
      </w:pPr>
      <w:r>
        <w:rPr/>
        <w:t>(solicitor’s failure allowed father to remove children from the </w:t>
      </w:r>
      <w:r>
        <w:rPr>
          <w:spacing w:val="-4"/>
        </w:rPr>
        <w:t>UK).</w:t>
      </w:r>
    </w:p>
    <w:p>
      <w:pPr>
        <w:pStyle w:val="BodyText"/>
        <w:spacing w:before="5"/>
      </w:pPr>
    </w:p>
    <w:p>
      <w:pPr>
        <w:tabs>
          <w:tab w:pos="705" w:val="left" w:leader="none"/>
        </w:tabs>
        <w:spacing w:line="227" w:lineRule="exact" w:before="0"/>
        <w:ind w:left="165" w:right="0" w:firstLine="0"/>
        <w:jc w:val="left"/>
        <w:rPr>
          <w:sz w:val="20"/>
        </w:rPr>
      </w:pPr>
      <w:bookmarkStart w:name="_bookmark1568" w:id="1570"/>
      <w:bookmarkEnd w:id="1570"/>
      <w:r>
        <w:rPr/>
      </w:r>
      <w:hyperlink w:history="true" w:anchor="_bookmark1523">
        <w:r>
          <w:rPr>
            <w:color w:val="005DA1"/>
            <w:spacing w:val="-4"/>
            <w:position w:val="5"/>
            <w:sz w:val="14"/>
            <w:u w:val="single" w:color="005DA1"/>
          </w:rPr>
          <w:t>816</w:t>
        </w:r>
      </w:hyperlink>
      <w:r>
        <w:rPr>
          <w:spacing w:val="-4"/>
          <w:position w:val="5"/>
          <w:sz w:val="14"/>
        </w:rPr>
        <w:t>.</w:t>
      </w:r>
      <w:r>
        <w:rPr>
          <w:position w:val="5"/>
          <w:sz w:val="14"/>
        </w:rPr>
        <w:tab/>
      </w:r>
      <w:r>
        <w:rPr>
          <w:rFonts w:ascii="Arial"/>
          <w:i/>
          <w:sz w:val="20"/>
        </w:rPr>
        <w:t>[1996]</w:t>
      </w:r>
      <w:r>
        <w:rPr>
          <w:rFonts w:ascii="Arial"/>
          <w:i/>
          <w:spacing w:val="21"/>
          <w:sz w:val="20"/>
        </w:rPr>
        <w:t> </w:t>
      </w:r>
      <w:r>
        <w:rPr>
          <w:rFonts w:ascii="Arial"/>
          <w:i/>
          <w:sz w:val="20"/>
        </w:rPr>
        <w:t>A.C.</w:t>
      </w:r>
      <w:r>
        <w:rPr>
          <w:rFonts w:ascii="Arial"/>
          <w:i/>
          <w:spacing w:val="21"/>
          <w:sz w:val="20"/>
        </w:rPr>
        <w:t> </w:t>
      </w:r>
      <w:r>
        <w:rPr>
          <w:rFonts w:ascii="Arial"/>
          <w:i/>
          <w:sz w:val="20"/>
        </w:rPr>
        <w:t>344</w:t>
      </w:r>
      <w:r>
        <w:rPr>
          <w:rFonts w:ascii="Arial"/>
          <w:i/>
          <w:spacing w:val="21"/>
          <w:sz w:val="20"/>
        </w:rPr>
        <w:t> </w:t>
      </w:r>
      <w:r>
        <w:rPr>
          <w:sz w:val="20"/>
        </w:rPr>
        <w:t>(see</w:t>
      </w:r>
      <w:r>
        <w:rPr>
          <w:spacing w:val="21"/>
          <w:sz w:val="20"/>
        </w:rPr>
        <w:t> </w:t>
      </w:r>
      <w:r>
        <w:rPr>
          <w:sz w:val="20"/>
        </w:rPr>
        <w:t>the</w:t>
      </w:r>
      <w:r>
        <w:rPr>
          <w:spacing w:val="21"/>
          <w:sz w:val="20"/>
        </w:rPr>
        <w:t> </w:t>
      </w:r>
      <w:r>
        <w:rPr>
          <w:sz w:val="20"/>
        </w:rPr>
        <w:t>comments</w:t>
      </w:r>
      <w:r>
        <w:rPr>
          <w:spacing w:val="21"/>
          <w:sz w:val="20"/>
        </w:rPr>
        <w:t> </w:t>
      </w:r>
      <w:r>
        <w:rPr>
          <w:sz w:val="20"/>
        </w:rPr>
        <w:t>by</w:t>
      </w:r>
      <w:r>
        <w:rPr>
          <w:spacing w:val="21"/>
          <w:sz w:val="20"/>
        </w:rPr>
        <w:t> </w:t>
      </w:r>
      <w:r>
        <w:rPr>
          <w:sz w:val="20"/>
        </w:rPr>
        <w:t>Poole</w:t>
      </w:r>
      <w:r>
        <w:rPr>
          <w:spacing w:val="21"/>
          <w:sz w:val="20"/>
        </w:rPr>
        <w:t> </w:t>
      </w:r>
      <w:r>
        <w:rPr>
          <w:sz w:val="20"/>
        </w:rPr>
        <w:t>(1996)</w:t>
      </w:r>
      <w:r>
        <w:rPr>
          <w:spacing w:val="21"/>
          <w:sz w:val="20"/>
        </w:rPr>
        <w:t> </w:t>
      </w:r>
      <w:r>
        <w:rPr>
          <w:sz w:val="20"/>
        </w:rPr>
        <w:t>59</w:t>
      </w:r>
      <w:r>
        <w:rPr>
          <w:spacing w:val="21"/>
          <w:sz w:val="20"/>
        </w:rPr>
        <w:t> </w:t>
      </w:r>
      <w:r>
        <w:rPr>
          <w:sz w:val="20"/>
        </w:rPr>
        <w:t>M.L.R.</w:t>
      </w:r>
      <w:r>
        <w:rPr>
          <w:spacing w:val="21"/>
          <w:sz w:val="20"/>
        </w:rPr>
        <w:t> </w:t>
      </w:r>
      <w:r>
        <w:rPr>
          <w:sz w:val="20"/>
        </w:rPr>
        <w:t>272;</w:t>
      </w:r>
      <w:r>
        <w:rPr>
          <w:spacing w:val="21"/>
          <w:sz w:val="20"/>
        </w:rPr>
        <w:t> </w:t>
      </w:r>
      <w:r>
        <w:rPr>
          <w:sz w:val="20"/>
        </w:rPr>
        <w:t>and</w:t>
      </w:r>
      <w:r>
        <w:rPr>
          <w:spacing w:val="21"/>
          <w:sz w:val="20"/>
        </w:rPr>
        <w:t> </w:t>
      </w:r>
      <w:r>
        <w:rPr>
          <w:sz w:val="20"/>
        </w:rPr>
        <w:t>Coote</w:t>
      </w:r>
      <w:r>
        <w:rPr>
          <w:spacing w:val="21"/>
          <w:sz w:val="20"/>
        </w:rPr>
        <w:t> </w:t>
      </w:r>
      <w:r>
        <w:rPr>
          <w:sz w:val="20"/>
        </w:rPr>
        <w:t>[1997]</w:t>
      </w:r>
      <w:r>
        <w:rPr>
          <w:spacing w:val="21"/>
          <w:sz w:val="20"/>
        </w:rPr>
        <w:t> </w:t>
      </w:r>
      <w:r>
        <w:rPr>
          <w:spacing w:val="-2"/>
          <w:sz w:val="20"/>
        </w:rPr>
        <w:t>C.L.J.</w:t>
      </w:r>
    </w:p>
    <w:p>
      <w:pPr>
        <w:pStyle w:val="BodyText"/>
        <w:spacing w:line="227" w:lineRule="exact"/>
        <w:ind w:left="705"/>
      </w:pPr>
      <w:r>
        <w:rPr>
          <w:spacing w:val="-2"/>
        </w:rPr>
        <w:t>537).</w:t>
      </w:r>
    </w:p>
    <w:p>
      <w:pPr>
        <w:pStyle w:val="BodyText"/>
        <w:spacing w:before="5"/>
      </w:pPr>
    </w:p>
    <w:p>
      <w:pPr>
        <w:tabs>
          <w:tab w:pos="705" w:val="left" w:leader="none"/>
        </w:tabs>
        <w:spacing w:before="0"/>
        <w:ind w:left="165" w:right="0" w:firstLine="0"/>
        <w:jc w:val="left"/>
        <w:rPr>
          <w:sz w:val="20"/>
        </w:rPr>
      </w:pPr>
      <w:bookmarkStart w:name="_bookmark1569" w:id="1571"/>
      <w:bookmarkEnd w:id="1571"/>
      <w:r>
        <w:rPr/>
      </w:r>
      <w:hyperlink w:history="true" w:anchor="_bookmark1524">
        <w:r>
          <w:rPr>
            <w:color w:val="005DA1"/>
            <w:spacing w:val="-4"/>
            <w:position w:val="5"/>
            <w:sz w:val="14"/>
            <w:u w:val="single" w:color="005DA1"/>
          </w:rPr>
          <w:t>817</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W.L.R. </w:t>
      </w:r>
      <w:r>
        <w:rPr>
          <w:rFonts w:ascii="Arial"/>
          <w:i/>
          <w:spacing w:val="-4"/>
          <w:sz w:val="20"/>
        </w:rPr>
        <w:t>650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70" w:id="1572"/>
      <w:bookmarkEnd w:id="1572"/>
      <w:r>
        <w:rPr/>
      </w:r>
      <w:hyperlink w:history="true" w:anchor="_bookmark1524">
        <w:r>
          <w:rPr>
            <w:color w:val="005DA1"/>
            <w:spacing w:val="-4"/>
            <w:position w:val="5"/>
            <w:sz w:val="14"/>
            <w:u w:val="single" w:color="005DA1"/>
          </w:rPr>
          <w:t>818</w:t>
        </w:r>
      </w:hyperlink>
      <w:r>
        <w:rPr>
          <w:spacing w:val="-4"/>
          <w:position w:val="5"/>
          <w:sz w:val="14"/>
        </w:rPr>
        <w:t>.</w:t>
      </w:r>
      <w:r>
        <w:rPr>
          <w:position w:val="5"/>
          <w:sz w:val="14"/>
        </w:rPr>
        <w:tab/>
      </w:r>
      <w:r>
        <w:rPr>
          <w:sz w:val="20"/>
        </w:rPr>
        <w:t>Above, para.26-</w:t>
      </w:r>
      <w:r>
        <w:rPr>
          <w:spacing w:val="-4"/>
          <w:sz w:val="20"/>
        </w:rPr>
        <w:t>036.</w:t>
      </w:r>
    </w:p>
    <w:p>
      <w:pPr>
        <w:pStyle w:val="BodyText"/>
        <w:spacing w:before="9"/>
      </w:pPr>
    </w:p>
    <w:p>
      <w:pPr>
        <w:spacing w:line="235" w:lineRule="auto" w:before="0"/>
        <w:ind w:left="705" w:right="167" w:hanging="541"/>
        <w:jc w:val="both"/>
        <w:rPr>
          <w:rFonts w:ascii="Arial"/>
          <w:i/>
          <w:sz w:val="20"/>
        </w:rPr>
      </w:pPr>
      <w:bookmarkStart w:name="_bookmark1571" w:id="1573"/>
      <w:bookmarkEnd w:id="1573"/>
      <w:r>
        <w:rPr/>
      </w:r>
      <w:hyperlink w:history="true" w:anchor="_bookmark1525">
        <w:r>
          <w:rPr>
            <w:color w:val="005DA1"/>
            <w:position w:val="5"/>
            <w:sz w:val="14"/>
            <w:u w:val="single" w:color="005DA1"/>
          </w:rPr>
          <w:t>819</w:t>
        </w:r>
      </w:hyperlink>
      <w:r>
        <w:rPr>
          <w:position w:val="5"/>
          <w:sz w:val="14"/>
        </w:rPr>
        <w:t>.</w:t>
      </w:r>
      <w:r>
        <w:rPr>
          <w:spacing w:val="80"/>
          <w:position w:val="5"/>
          <w:sz w:val="14"/>
        </w:rPr>
        <w:t>  </w:t>
      </w:r>
      <w:r>
        <w:rPr>
          <w:sz w:val="20"/>
        </w:rPr>
        <w:t>Lord Mustill cited the article by Harris, Ogus and Phillips (1979) 95 L.Q.R. 581 (which was also cited</w:t>
      </w:r>
      <w:r>
        <w:rPr>
          <w:spacing w:val="16"/>
          <w:sz w:val="20"/>
        </w:rPr>
        <w:t> </w:t>
      </w:r>
      <w:r>
        <w:rPr>
          <w:sz w:val="20"/>
        </w:rPr>
        <w:t>in</w:t>
      </w:r>
      <w:r>
        <w:rPr>
          <w:spacing w:val="17"/>
          <w:sz w:val="20"/>
        </w:rPr>
        <w:t> </w:t>
      </w:r>
      <w:r>
        <w:rPr>
          <w:rFonts w:ascii="Arial"/>
          <w:i/>
          <w:sz w:val="20"/>
        </w:rPr>
        <w:t>Farley</w:t>
      </w:r>
      <w:r>
        <w:rPr>
          <w:rFonts w:ascii="Arial"/>
          <w:i/>
          <w:spacing w:val="18"/>
          <w:sz w:val="20"/>
        </w:rPr>
        <w:t> </w:t>
      </w:r>
      <w:r>
        <w:rPr>
          <w:rFonts w:ascii="Arial"/>
          <w:i/>
          <w:sz w:val="20"/>
        </w:rPr>
        <w:t>v</w:t>
      </w:r>
      <w:r>
        <w:rPr>
          <w:rFonts w:ascii="Arial"/>
          <w:i/>
          <w:spacing w:val="18"/>
          <w:sz w:val="20"/>
        </w:rPr>
        <w:t> </w:t>
      </w:r>
      <w:r>
        <w:rPr>
          <w:rFonts w:ascii="Arial"/>
          <w:i/>
          <w:sz w:val="20"/>
        </w:rPr>
        <w:t>Skinner</w:t>
      </w:r>
      <w:r>
        <w:rPr>
          <w:rFonts w:ascii="Arial"/>
          <w:i/>
          <w:spacing w:val="18"/>
          <w:sz w:val="20"/>
        </w:rPr>
        <w:t> </w:t>
      </w:r>
      <w:r>
        <w:rPr>
          <w:rFonts w:ascii="Arial"/>
          <w:i/>
          <w:sz w:val="20"/>
        </w:rPr>
        <w:t>[1994]</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650</w:t>
      </w:r>
      <w:r>
        <w:rPr>
          <w:rFonts w:ascii="Arial"/>
          <w:i/>
          <w:spacing w:val="17"/>
          <w:sz w:val="20"/>
        </w:rPr>
        <w:t> </w:t>
      </w:r>
      <w:r>
        <w:rPr>
          <w:sz w:val="20"/>
        </w:rPr>
        <w:t>at</w:t>
      </w:r>
      <w:r>
        <w:rPr>
          <w:spacing w:val="18"/>
          <w:sz w:val="20"/>
        </w:rPr>
        <w:t> </w:t>
      </w:r>
      <w:r>
        <w:rPr>
          <w:sz w:val="20"/>
        </w:rPr>
        <w:t>[21]).</w:t>
      </w:r>
      <w:r>
        <w:rPr>
          <w:spacing w:val="18"/>
          <w:sz w:val="20"/>
        </w:rPr>
        <w:t> </w:t>
      </w:r>
      <w:r>
        <w:rPr>
          <w:sz w:val="20"/>
        </w:rPr>
        <w:t>The</w:t>
      </w:r>
      <w:r>
        <w:rPr>
          <w:spacing w:val="18"/>
          <w:sz w:val="20"/>
        </w:rPr>
        <w:t> </w:t>
      </w:r>
      <w:r>
        <w:rPr>
          <w:rFonts w:ascii="Arial"/>
          <w:i/>
          <w:sz w:val="20"/>
        </w:rPr>
        <w:t>Ruxley</w:t>
      </w:r>
      <w:r>
        <w:rPr>
          <w:rFonts w:ascii="Arial"/>
          <w:i/>
          <w:spacing w:val="18"/>
          <w:sz w:val="20"/>
        </w:rPr>
        <w:t> </w:t>
      </w:r>
      <w:r>
        <w:rPr>
          <w:rFonts w:ascii="Arial"/>
          <w:i/>
          <w:sz w:val="20"/>
        </w:rPr>
        <w:t>Electronics</w:t>
      </w:r>
      <w:r>
        <w:rPr>
          <w:rFonts w:ascii="Arial"/>
          <w:i/>
          <w:spacing w:val="18"/>
          <w:sz w:val="20"/>
        </w:rPr>
        <w:t> </w:t>
      </w:r>
      <w:r>
        <w:rPr>
          <w:rFonts w:ascii="Arial"/>
          <w:i/>
          <w:sz w:val="20"/>
        </w:rPr>
        <w:t>decision</w:t>
      </w:r>
      <w:r>
        <w:rPr>
          <w:rFonts w:ascii="Arial"/>
          <w:i/>
          <w:spacing w:val="18"/>
          <w:sz w:val="20"/>
        </w:rPr>
        <w:t> </w:t>
      </w:r>
      <w:r>
        <w:rPr>
          <w:rFonts w:ascii="Arial"/>
          <w:i/>
          <w:spacing w:val="-2"/>
          <w:sz w:val="20"/>
        </w:rPr>
        <w:t>[1996]</w:t>
      </w:r>
    </w:p>
    <w:p>
      <w:pPr>
        <w:pStyle w:val="BodyText"/>
        <w:spacing w:line="235" w:lineRule="auto"/>
        <w:ind w:left="705" w:right="167"/>
        <w:jc w:val="both"/>
      </w:pPr>
      <w:r>
        <w:rPr>
          <w:rFonts w:ascii="Arial" w:hAnsi="Arial"/>
          <w:i/>
        </w:rPr>
        <w:t>A.C.</w:t>
      </w:r>
      <w:r>
        <w:rPr>
          <w:rFonts w:ascii="Arial" w:hAnsi="Arial"/>
          <w:i/>
          <w:spacing w:val="-1"/>
        </w:rPr>
        <w:t> </w:t>
      </w:r>
      <w:r>
        <w:rPr>
          <w:rFonts w:ascii="Arial" w:hAnsi="Arial"/>
          <w:i/>
        </w:rPr>
        <w:t>344</w:t>
      </w:r>
      <w:r>
        <w:rPr>
          <w:rFonts w:ascii="Arial" w:hAnsi="Arial"/>
          <w:i/>
          <w:spacing w:val="-1"/>
        </w:rPr>
        <w:t> </w:t>
      </w:r>
      <w:r>
        <w:rPr/>
        <w:t>decision</w:t>
      </w:r>
      <w:r>
        <w:rPr>
          <w:spacing w:val="-1"/>
        </w:rPr>
        <w:t> </w:t>
      </w:r>
      <w:r>
        <w:rPr/>
        <w:t>is</w:t>
      </w:r>
      <w:r>
        <w:rPr>
          <w:spacing w:val="-1"/>
        </w:rPr>
        <w:t> </w:t>
      </w:r>
      <w:r>
        <w:rPr/>
        <w:t>discussed</w:t>
      </w:r>
      <w:r>
        <w:rPr>
          <w:spacing w:val="-1"/>
        </w:rPr>
        <w:t> </w:t>
      </w:r>
      <w:r>
        <w:rPr/>
        <w:t>in</w:t>
      </w:r>
      <w:r>
        <w:rPr>
          <w:spacing w:val="-1"/>
        </w:rPr>
        <w:t> </w:t>
      </w:r>
      <w:r>
        <w:rPr>
          <w:rFonts w:ascii="Arial" w:hAnsi="Arial"/>
          <w:i/>
        </w:rPr>
        <w:t>Att-Gen</w:t>
      </w:r>
      <w:r>
        <w:rPr>
          <w:rFonts w:ascii="Arial" w:hAnsi="Arial"/>
          <w:i/>
          <w:spacing w:val="-1"/>
        </w:rPr>
        <w:t> </w:t>
      </w:r>
      <w:r>
        <w:rPr>
          <w:rFonts w:ascii="Arial" w:hAnsi="Arial"/>
          <w:i/>
        </w:rPr>
        <w:t>v</w:t>
      </w:r>
      <w:r>
        <w:rPr>
          <w:rFonts w:ascii="Arial" w:hAnsi="Arial"/>
          <w:i/>
          <w:spacing w:val="-1"/>
        </w:rPr>
        <w:t> </w:t>
      </w:r>
      <w:r>
        <w:rPr>
          <w:rFonts w:ascii="Arial" w:hAnsi="Arial"/>
          <w:i/>
        </w:rPr>
        <w:t>Blake</w:t>
      </w:r>
      <w:r>
        <w:rPr>
          <w:rFonts w:ascii="Arial" w:hAnsi="Arial"/>
          <w:i/>
          <w:spacing w:val="-1"/>
        </w:rPr>
        <w:t> </w:t>
      </w:r>
      <w:r>
        <w:rPr>
          <w:rFonts w:ascii="Arial" w:hAnsi="Arial"/>
          <w:i/>
        </w:rPr>
        <w:t>[2001]</w:t>
      </w:r>
      <w:r>
        <w:rPr>
          <w:rFonts w:ascii="Arial" w:hAnsi="Arial"/>
          <w:i/>
          <w:spacing w:val="-1"/>
        </w:rPr>
        <w:t> </w:t>
      </w:r>
      <w:r>
        <w:rPr>
          <w:rFonts w:ascii="Arial" w:hAnsi="Arial"/>
          <w:i/>
        </w:rPr>
        <w:t>1</w:t>
      </w:r>
      <w:r>
        <w:rPr>
          <w:rFonts w:ascii="Arial" w:hAnsi="Arial"/>
          <w:i/>
          <w:spacing w:val="-1"/>
        </w:rPr>
        <w:t> </w:t>
      </w:r>
      <w:r>
        <w:rPr>
          <w:rFonts w:ascii="Arial" w:hAnsi="Arial"/>
          <w:i/>
        </w:rPr>
        <w:t>A.C.</w:t>
      </w:r>
      <w:r>
        <w:rPr>
          <w:rFonts w:ascii="Arial" w:hAnsi="Arial"/>
          <w:i/>
          <w:spacing w:val="-1"/>
        </w:rPr>
        <w:t> </w:t>
      </w:r>
      <w:r>
        <w:rPr>
          <w:rFonts w:ascii="Arial" w:hAnsi="Arial"/>
          <w:i/>
        </w:rPr>
        <w:t>268,</w:t>
      </w:r>
      <w:r>
        <w:rPr>
          <w:rFonts w:ascii="Arial" w:hAnsi="Arial"/>
          <w:i/>
          <w:spacing w:val="-1"/>
        </w:rPr>
        <w:t> </w:t>
      </w:r>
      <w:r>
        <w:rPr>
          <w:rFonts w:ascii="Arial" w:hAnsi="Arial"/>
          <w:i/>
        </w:rPr>
        <w:t>298</w:t>
      </w:r>
      <w:r>
        <w:rPr>
          <w:rFonts w:ascii="Arial" w:hAnsi="Arial"/>
          <w:i/>
          <w:spacing w:val="-1"/>
        </w:rPr>
        <w:t> </w:t>
      </w:r>
      <w:r>
        <w:rPr/>
        <w:t>(a</w:t>
      </w:r>
      <w:r>
        <w:rPr>
          <w:spacing w:val="-1"/>
        </w:rPr>
        <w:t> </w:t>
      </w:r>
      <w:r>
        <w:rPr/>
        <w:t>dissenting</w:t>
      </w:r>
      <w:r>
        <w:rPr>
          <w:spacing w:val="-1"/>
        </w:rPr>
        <w:t> </w:t>
      </w:r>
      <w:r>
        <w:rPr/>
        <w:t>speech). At 282, in Lord Nicholl’s speech (approved by the majority) he said that: “The law </w:t>
      </w:r>
      <w:r>
        <w:rPr/>
        <w:t>recognises that a party to a contract may have an interest in performance which is not readily measurable</w:t>
      </w:r>
      <w:r>
        <w:rPr>
          <w:spacing w:val="40"/>
        </w:rPr>
        <w:t> </w:t>
      </w:r>
      <w:r>
        <w:rPr/>
        <w:t>in terms of money”.</w:t>
      </w:r>
    </w:p>
    <w:p>
      <w:pPr>
        <w:pStyle w:val="BodyText"/>
        <w:spacing w:after="0" w:line="235" w:lineRule="auto"/>
        <w:jc w:val="both"/>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526">
        <w:r>
          <w:rPr>
            <w:color w:val="005DA1"/>
            <w:spacing w:val="-4"/>
            <w:position w:val="5"/>
            <w:sz w:val="14"/>
            <w:u w:val="single" w:color="005DA1"/>
          </w:rPr>
          <w:t>820</w:t>
        </w:r>
      </w:hyperlink>
      <w:r>
        <w:rPr>
          <w:spacing w:val="-4"/>
          <w:position w:val="5"/>
          <w:sz w:val="14"/>
        </w:rPr>
        <w:t>.</w:t>
      </w:r>
      <w:r>
        <w:rPr>
          <w:position w:val="5"/>
          <w:sz w:val="14"/>
        </w:rPr>
        <w:tab/>
      </w:r>
      <w:r>
        <w:rPr>
          <w:rFonts w:ascii="Arial"/>
          <w:i/>
          <w:sz w:val="20"/>
        </w:rPr>
        <w:t>[2001] UKHL 49, [2002] 2 A.C. </w:t>
      </w:r>
      <w:r>
        <w:rPr>
          <w:rFonts w:ascii="Arial"/>
          <w:i/>
          <w:spacing w:val="-4"/>
          <w:sz w:val="20"/>
        </w:rPr>
        <w:t>732</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2608">
            <wp:simplePos x="0" y="0"/>
            <wp:positionH relativeFrom="page">
              <wp:posOffset>1257846</wp:posOffset>
            </wp:positionH>
            <wp:positionV relativeFrom="paragraph">
              <wp:posOffset>160530</wp:posOffset>
            </wp:positionV>
            <wp:extent cx="107988" cy="107988"/>
            <wp:effectExtent l="0" t="0" r="0" b="0"/>
            <wp:wrapNone/>
            <wp:docPr id="354" name="Image 354"/>
            <wp:cNvGraphicFramePr>
              <a:graphicFrameLocks/>
            </wp:cNvGraphicFramePr>
            <a:graphic>
              <a:graphicData uri="http://schemas.openxmlformats.org/drawingml/2006/picture">
                <pic:pic>
                  <pic:nvPicPr>
                    <pic:cNvPr id="354" name="Image 3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72" w:id="1574"/>
      <w:bookmarkEnd w:id="1574"/>
      <w:r>
        <w:rPr/>
      </w:r>
      <w:hyperlink w:history="true" w:anchor="_bookmark1527">
        <w:r>
          <w:rPr>
            <w:color w:val="005DA1"/>
            <w:spacing w:val="-4"/>
            <w:sz w:val="14"/>
            <w:u w:val="single" w:color="005DA1"/>
          </w:rPr>
          <w:t>821</w:t>
        </w:r>
      </w:hyperlink>
      <w:r>
        <w:rPr>
          <w:spacing w:val="-4"/>
          <w:sz w:val="14"/>
        </w:rPr>
        <w:t>.</w:t>
      </w:r>
    </w:p>
    <w:p>
      <w:pPr>
        <w:spacing w:line="235" w:lineRule="auto" w:before="212"/>
        <w:ind w:left="165" w:right="0" w:firstLine="170"/>
        <w:jc w:val="left"/>
        <w:rPr>
          <w:sz w:val="20"/>
        </w:rPr>
      </w:pPr>
      <w:r>
        <w:rPr/>
        <w:br w:type="column"/>
      </w:r>
      <w:r>
        <w:rPr>
          <w:sz w:val="20"/>
        </w:rPr>
        <w:t>Awards should be “restrained and modest”: </w:t>
      </w:r>
      <w:r>
        <w:rPr>
          <w:rFonts w:ascii="Arial" w:hAnsi="Arial"/>
          <w:i/>
          <w:sz w:val="20"/>
        </w:rPr>
        <w:t>[2001] UKHL 49 </w:t>
      </w:r>
      <w:r>
        <w:rPr>
          <w:sz w:val="20"/>
        </w:rPr>
        <w:t>at [28]. Causation and quantum must be pleaded: </w:t>
      </w:r>
      <w:r>
        <w:rPr>
          <w:rFonts w:ascii="Arial" w:hAnsi="Arial"/>
          <w:i/>
          <w:sz w:val="20"/>
        </w:rPr>
        <w:t>Abbott v RCI Europe [2016] EWHC 2602 (Ch) </w:t>
      </w:r>
      <w:r>
        <w:rPr>
          <w:sz w:val="20"/>
        </w:rPr>
        <w:t>at [116]–[117].</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spacing w:line="235" w:lineRule="auto" w:before="1"/>
        <w:ind w:left="705" w:right="167" w:hanging="541"/>
        <w:jc w:val="both"/>
      </w:pPr>
      <w:bookmarkStart w:name="_bookmark1573" w:id="1575"/>
      <w:bookmarkEnd w:id="1575"/>
      <w:r>
        <w:rPr/>
      </w:r>
      <w:hyperlink w:history="true" w:anchor="_bookmark1528">
        <w:r>
          <w:rPr>
            <w:color w:val="005DA1"/>
            <w:position w:val="5"/>
            <w:sz w:val="14"/>
            <w:u w:val="single" w:color="005DA1"/>
          </w:rPr>
          <w:t>822</w:t>
        </w:r>
      </w:hyperlink>
      <w:r>
        <w:rPr>
          <w:position w:val="5"/>
          <w:sz w:val="14"/>
        </w:rPr>
        <w:t>.</w:t>
      </w:r>
      <w:r>
        <w:rPr>
          <w:spacing w:val="80"/>
          <w:w w:val="150"/>
          <w:position w:val="5"/>
          <w:sz w:val="14"/>
        </w:rPr>
        <w:t> </w:t>
      </w:r>
      <w:r>
        <w:rPr/>
        <w:t>In earlier cases, in the absence of such specificity, damages have been refused for </w:t>
      </w:r>
      <w:r>
        <w:rPr/>
        <w:t>distress caused by reliance on a survey about the condition of a house:</w:t>
      </w:r>
      <w:r>
        <w:rPr>
          <w:spacing w:val="-1"/>
        </w:rPr>
        <w:t> </w:t>
      </w:r>
      <w:r>
        <w:rPr>
          <w:rFonts w:ascii="Arial" w:hAnsi="Arial"/>
          <w:i/>
        </w:rPr>
        <w:t>Watts v Morrow [1991] 1 W.L.R. 1421 CA</w:t>
      </w:r>
      <w:r>
        <w:rPr/>
        <w:t>; or for breach of a covenant for quiet enjoyment in a tenancy agreement: </w:t>
      </w:r>
      <w:r>
        <w:rPr>
          <w:rFonts w:ascii="Arial" w:hAnsi="Arial"/>
          <w:i/>
        </w:rPr>
        <w:t>Branchett v Beaney [1992] 3 All E.R. 910 CA</w:t>
      </w:r>
      <w:r>
        <w:rPr/>
        <w:t>. However, damages may be awarded for “mental suffering” directly related to physical inconvenience and discomfort caused by breach of contract: </w:t>
      </w:r>
      <w:r>
        <w:rPr>
          <w:rFonts w:ascii="Arial" w:hAnsi="Arial"/>
          <w:i/>
        </w:rPr>
        <w:t>Watts v Morrow [1991] 1 W.L.R. 1421, 1440-1445 </w:t>
      </w:r>
      <w:r>
        <w:rPr/>
        <w:t>(see above, para.26-142). In </w:t>
      </w:r>
      <w:r>
        <w:rPr>
          <w:rFonts w:ascii="Arial" w:hAnsi="Arial"/>
          <w:i/>
        </w:rPr>
        <w:t>Farley v Skinner </w:t>
      </w:r>
      <w:r>
        <w:rPr/>
        <w:t>Lord Scott,</w:t>
      </w:r>
      <w:r>
        <w:rPr>
          <w:spacing w:val="-3"/>
        </w:rPr>
        <w:t> </w:t>
      </w:r>
      <w:r>
        <w:rPr/>
        <w:t>with</w:t>
      </w:r>
      <w:r>
        <w:rPr>
          <w:spacing w:val="-3"/>
        </w:rPr>
        <w:t> </w:t>
      </w:r>
      <w:r>
        <w:rPr/>
        <w:t>whom</w:t>
      </w:r>
      <w:r>
        <w:rPr>
          <w:spacing w:val="-3"/>
        </w:rPr>
        <w:t> </w:t>
      </w:r>
      <w:r>
        <w:rPr/>
        <w:t>Lord</w:t>
      </w:r>
      <w:r>
        <w:rPr>
          <w:spacing w:val="-3"/>
        </w:rPr>
        <w:t> </w:t>
      </w:r>
      <w:r>
        <w:rPr/>
        <w:t>Browne-Wilkinson</w:t>
      </w:r>
      <w:r>
        <w:rPr>
          <w:spacing w:val="-3"/>
        </w:rPr>
        <w:t> </w:t>
      </w:r>
      <w:r>
        <w:rPr/>
        <w:t>agreed,</w:t>
      </w:r>
      <w:r>
        <w:rPr>
          <w:spacing w:val="-3"/>
        </w:rPr>
        <w:t> </w:t>
      </w:r>
      <w:r>
        <w:rPr/>
        <w:t>appears</w:t>
      </w:r>
      <w:r>
        <w:rPr>
          <w:spacing w:val="-3"/>
        </w:rPr>
        <w:t> </w:t>
      </w:r>
      <w:r>
        <w:rPr/>
        <w:t>to</w:t>
      </w:r>
      <w:r>
        <w:rPr>
          <w:spacing w:val="-3"/>
        </w:rPr>
        <w:t> </w:t>
      </w:r>
      <w:r>
        <w:rPr/>
        <w:t>suggest</w:t>
      </w:r>
      <w:r>
        <w:rPr>
          <w:spacing w:val="-3"/>
        </w:rPr>
        <w:t> </w:t>
      </w:r>
      <w:r>
        <w:rPr/>
        <w:t>that</w:t>
      </w:r>
      <w:r>
        <w:rPr>
          <w:spacing w:val="-3"/>
        </w:rPr>
        <w:t> </w:t>
      </w:r>
      <w:r>
        <w:rPr/>
        <w:t>whenever</w:t>
      </w:r>
      <w:r>
        <w:rPr>
          <w:spacing w:val="-3"/>
        </w:rPr>
        <w:t> </w:t>
      </w:r>
      <w:r>
        <w:rPr/>
        <w:t>a</w:t>
      </w:r>
      <w:r>
        <w:rPr>
          <w:spacing w:val="-3"/>
        </w:rPr>
        <w:t> </w:t>
      </w:r>
      <w:r>
        <w:rPr/>
        <w:t>party</w:t>
      </w:r>
      <w:r>
        <w:rPr>
          <w:spacing w:val="-3"/>
        </w:rPr>
        <w:t> </w:t>
      </w:r>
      <w:r>
        <w:rPr/>
        <w:t>has not been provided with a contractual benefit to which he was entitled, he is entitled to compensation</w:t>
      </w:r>
      <w:r>
        <w:rPr>
          <w:spacing w:val="-1"/>
        </w:rPr>
        <w:t> </w:t>
      </w:r>
      <w:r>
        <w:rPr/>
        <w:t>even</w:t>
      </w:r>
      <w:r>
        <w:rPr>
          <w:spacing w:val="-1"/>
        </w:rPr>
        <w:t> </w:t>
      </w:r>
      <w:r>
        <w:rPr/>
        <w:t>if</w:t>
      </w:r>
      <w:r>
        <w:rPr>
          <w:spacing w:val="-1"/>
        </w:rPr>
        <w:t> </w:t>
      </w:r>
      <w:r>
        <w:rPr/>
        <w:t>the</w:t>
      </w:r>
      <w:r>
        <w:rPr>
          <w:spacing w:val="-1"/>
        </w:rPr>
        <w:t> </w:t>
      </w:r>
      <w:r>
        <w:rPr/>
        <w:t>breach</w:t>
      </w:r>
      <w:r>
        <w:rPr>
          <w:spacing w:val="-1"/>
        </w:rPr>
        <w:t> </w:t>
      </w:r>
      <w:r>
        <w:rPr/>
        <w:t>has</w:t>
      </w:r>
      <w:r>
        <w:rPr>
          <w:spacing w:val="-1"/>
        </w:rPr>
        <w:t> </w:t>
      </w:r>
      <w:r>
        <w:rPr/>
        <w:t>caused</w:t>
      </w:r>
      <w:r>
        <w:rPr>
          <w:spacing w:val="-1"/>
        </w:rPr>
        <w:t> </w:t>
      </w:r>
      <w:r>
        <w:rPr/>
        <w:t>no</w:t>
      </w:r>
      <w:r>
        <w:rPr>
          <w:spacing w:val="-1"/>
        </w:rPr>
        <w:t> </w:t>
      </w:r>
      <w:r>
        <w:rPr/>
        <w:t>other</w:t>
      </w:r>
      <w:r>
        <w:rPr>
          <w:spacing w:val="-1"/>
        </w:rPr>
        <w:t> </w:t>
      </w:r>
      <w:r>
        <w:rPr/>
        <w:t>loss</w:t>
      </w:r>
      <w:r>
        <w:rPr>
          <w:spacing w:val="-1"/>
        </w:rPr>
        <w:t> </w:t>
      </w:r>
      <w:r>
        <w:rPr/>
        <w:t>(at</w:t>
      </w:r>
      <w:r>
        <w:rPr>
          <w:spacing w:val="-1"/>
        </w:rPr>
        <w:t> </w:t>
      </w:r>
      <w:r>
        <w:rPr/>
        <w:t>[106]).</w:t>
      </w:r>
      <w:r>
        <w:rPr>
          <w:spacing w:val="-1"/>
        </w:rPr>
        <w:t> </w:t>
      </w:r>
      <w:r>
        <w:rPr/>
        <w:t>This</w:t>
      </w:r>
      <w:r>
        <w:rPr>
          <w:spacing w:val="-1"/>
        </w:rPr>
        <w:t> </w:t>
      </w:r>
      <w:r>
        <w:rPr/>
        <w:t>has</w:t>
      </w:r>
      <w:r>
        <w:rPr>
          <w:spacing w:val="-1"/>
        </w:rPr>
        <w:t> </w:t>
      </w:r>
      <w:r>
        <w:rPr/>
        <w:t>been</w:t>
      </w:r>
      <w:r>
        <w:rPr>
          <w:spacing w:val="-1"/>
        </w:rPr>
        <w:t> </w:t>
      </w:r>
      <w:r>
        <w:rPr/>
        <w:t>relied</w:t>
      </w:r>
      <w:r>
        <w:rPr>
          <w:spacing w:val="-1"/>
        </w:rPr>
        <w:t> </w:t>
      </w:r>
      <w:r>
        <w:rPr/>
        <w:t>on</w:t>
      </w:r>
      <w:r>
        <w:rPr>
          <w:spacing w:val="-1"/>
        </w:rPr>
        <w:t> </w:t>
      </w:r>
      <w:r>
        <w:rPr/>
        <w:t>to suggest that if a party a compromise agreement breaches it by making disparaging comments about the other, the other may recover a modest amount even if she suffered no financial loss: </w:t>
      </w:r>
      <w:r>
        <w:rPr>
          <w:rFonts w:ascii="Arial" w:hAnsi="Arial"/>
          <w:i/>
        </w:rPr>
        <w:t>Halcyon House Ltd v Baines [2014] EWHC 2216 (QB) </w:t>
      </w:r>
      <w:r>
        <w:rPr/>
        <w:t>at [256]-[257].</w:t>
      </w:r>
    </w:p>
    <w:p>
      <w:pPr>
        <w:pStyle w:val="BodyText"/>
        <w:spacing w:before="1"/>
      </w:pPr>
    </w:p>
    <w:p>
      <w:pPr>
        <w:tabs>
          <w:tab w:pos="705" w:val="left" w:leader="none"/>
        </w:tabs>
        <w:spacing w:before="0"/>
        <w:ind w:left="165" w:right="0" w:firstLine="0"/>
        <w:jc w:val="left"/>
        <w:rPr>
          <w:sz w:val="20"/>
        </w:rPr>
      </w:pPr>
      <w:bookmarkStart w:name="_bookmark1574" w:id="1576"/>
      <w:bookmarkEnd w:id="1576"/>
      <w:r>
        <w:rPr/>
      </w:r>
      <w:hyperlink w:history="true" w:anchor="_bookmark1529">
        <w:r>
          <w:rPr>
            <w:color w:val="005DA1"/>
            <w:spacing w:val="-4"/>
            <w:position w:val="5"/>
            <w:sz w:val="14"/>
            <w:u w:val="single" w:color="005DA1"/>
          </w:rPr>
          <w:t>823</w:t>
        </w:r>
      </w:hyperlink>
      <w:r>
        <w:rPr>
          <w:spacing w:val="-4"/>
          <w:position w:val="5"/>
          <w:sz w:val="14"/>
        </w:rPr>
        <w:t>.</w:t>
      </w:r>
      <w:r>
        <w:rPr>
          <w:position w:val="5"/>
          <w:sz w:val="14"/>
        </w:rPr>
        <w:tab/>
      </w:r>
      <w:r>
        <w:rPr>
          <w:rFonts w:ascii="Arial"/>
          <w:i/>
          <w:sz w:val="20"/>
        </w:rPr>
        <w:t>Bliss v South East Thames Regional Health Authority [1985] I.R.L.R. </w:t>
      </w:r>
      <w:r>
        <w:rPr>
          <w:rFonts w:ascii="Arial"/>
          <w:i/>
          <w:spacing w:val="-4"/>
          <w:sz w:val="20"/>
        </w:rPr>
        <w:t>308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75" w:id="1577"/>
      <w:bookmarkEnd w:id="1577"/>
      <w:r>
        <w:rPr/>
      </w:r>
      <w:hyperlink w:history="true" w:anchor="_bookmark1530">
        <w:r>
          <w:rPr>
            <w:color w:val="005DA1"/>
            <w:spacing w:val="-4"/>
            <w:position w:val="5"/>
            <w:sz w:val="14"/>
            <w:u w:val="single" w:color="005DA1"/>
          </w:rPr>
          <w:t>824</w:t>
        </w:r>
      </w:hyperlink>
      <w:r>
        <w:rPr>
          <w:spacing w:val="-4"/>
          <w:position w:val="5"/>
          <w:sz w:val="14"/>
        </w:rPr>
        <w:t>.</w:t>
      </w:r>
      <w:r>
        <w:rPr>
          <w:position w:val="5"/>
          <w:sz w:val="14"/>
        </w:rPr>
        <w:tab/>
      </w:r>
      <w:r>
        <w:rPr>
          <w:rFonts w:ascii="Arial" w:hAnsi="Arial"/>
          <w:i/>
          <w:sz w:val="20"/>
        </w:rPr>
        <w:t>Gogay v Hertfordshire CC [2000] I.R.L.R. 703</w:t>
      </w:r>
      <w:r>
        <w:rPr>
          <w:rFonts w:ascii="Arial" w:hAnsi="Arial"/>
          <w:i/>
          <w:spacing w:val="-1"/>
          <w:sz w:val="20"/>
        </w:rPr>
        <w:t> </w:t>
      </w:r>
      <w:r>
        <w:rPr>
          <w:sz w:val="20"/>
        </w:rPr>
        <w:t>at </w:t>
      </w:r>
      <w:r>
        <w:rPr>
          <w:spacing w:val="-2"/>
          <w:sz w:val="20"/>
        </w:rPr>
        <w:t>[62]–[65].</w:t>
      </w:r>
    </w:p>
    <w:p>
      <w:pPr>
        <w:pStyle w:val="BodyText"/>
        <w:spacing w:before="5"/>
      </w:pPr>
    </w:p>
    <w:p>
      <w:pPr>
        <w:tabs>
          <w:tab w:pos="705" w:val="left" w:leader="none"/>
        </w:tabs>
        <w:spacing w:before="0"/>
        <w:ind w:left="165" w:right="0" w:firstLine="0"/>
        <w:jc w:val="left"/>
        <w:rPr>
          <w:sz w:val="20"/>
        </w:rPr>
      </w:pPr>
      <w:bookmarkStart w:name="_bookmark1576" w:id="1578"/>
      <w:bookmarkEnd w:id="1578"/>
      <w:r>
        <w:rPr/>
      </w:r>
      <w:hyperlink w:history="true" w:anchor="_bookmark1530">
        <w:r>
          <w:rPr>
            <w:color w:val="005DA1"/>
            <w:spacing w:val="-4"/>
            <w:position w:val="5"/>
            <w:sz w:val="14"/>
            <w:u w:val="single" w:color="005DA1"/>
          </w:rPr>
          <w:t>825</w:t>
        </w:r>
      </w:hyperlink>
      <w:r>
        <w:rPr>
          <w:spacing w:val="-4"/>
          <w:position w:val="5"/>
          <w:sz w:val="14"/>
        </w:rPr>
        <w:t>.</w:t>
      </w:r>
      <w:r>
        <w:rPr>
          <w:position w:val="5"/>
          <w:sz w:val="14"/>
        </w:rPr>
        <w:tab/>
      </w:r>
      <w:r>
        <w:rPr>
          <w:rFonts w:ascii="Arial"/>
          <w:i/>
          <w:sz w:val="20"/>
        </w:rPr>
        <w:t>[2014] EWCA Civ </w:t>
      </w:r>
      <w:r>
        <w:rPr>
          <w:rFonts w:ascii="Arial"/>
          <w:i/>
          <w:spacing w:val="-2"/>
          <w:sz w:val="20"/>
        </w:rPr>
        <w:t>1512</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77" w:id="1579"/>
      <w:bookmarkEnd w:id="1579"/>
      <w:r>
        <w:rPr/>
      </w:r>
      <w:hyperlink w:history="true" w:anchor="_bookmark1531">
        <w:r>
          <w:rPr>
            <w:color w:val="005DA1"/>
            <w:spacing w:val="-4"/>
            <w:sz w:val="14"/>
            <w:u w:val="single" w:color="005DA1"/>
          </w:rPr>
          <w:t>826</w:t>
        </w:r>
      </w:hyperlink>
      <w:r>
        <w:rPr>
          <w:spacing w:val="-4"/>
          <w:sz w:val="14"/>
        </w:rPr>
        <w:t>.</w:t>
      </w:r>
    </w:p>
    <w:p>
      <w:pPr>
        <w:pStyle w:val="BodyText"/>
        <w:spacing w:before="208"/>
        <w:ind w:left="335"/>
      </w:pPr>
      <w:r>
        <w:rPr/>
        <w:br w:type="column"/>
      </w:r>
      <w:r>
        <w:rPr/>
        <w:t>But contrast above, para.26-</w:t>
      </w:r>
      <w:r>
        <w:rPr>
          <w:spacing w:val="-2"/>
        </w:rPr>
        <w:t>118A.</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3120">
            <wp:simplePos x="0" y="0"/>
            <wp:positionH relativeFrom="page">
              <wp:posOffset>1257846</wp:posOffset>
            </wp:positionH>
            <wp:positionV relativeFrom="paragraph">
              <wp:posOffset>-211041</wp:posOffset>
            </wp:positionV>
            <wp:extent cx="107988" cy="107988"/>
            <wp:effectExtent l="0" t="0" r="0" b="0"/>
            <wp:wrapNone/>
            <wp:docPr id="355" name="Image 355"/>
            <wp:cNvGraphicFramePr>
              <a:graphicFrameLocks/>
            </wp:cNvGraphicFramePr>
            <a:graphic>
              <a:graphicData uri="http://schemas.openxmlformats.org/drawingml/2006/picture">
                <pic:pic>
                  <pic:nvPicPr>
                    <pic:cNvPr id="355" name="Image 355"/>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13632">
            <wp:simplePos x="0" y="0"/>
            <wp:positionH relativeFrom="page">
              <wp:posOffset>1257846</wp:posOffset>
            </wp:positionH>
            <wp:positionV relativeFrom="paragraph">
              <wp:posOffset>160433</wp:posOffset>
            </wp:positionV>
            <wp:extent cx="107988" cy="107988"/>
            <wp:effectExtent l="0" t="0" r="0" b="0"/>
            <wp:wrapNone/>
            <wp:docPr id="356" name="Image 356"/>
            <wp:cNvGraphicFramePr>
              <a:graphicFrameLocks/>
            </wp:cNvGraphicFramePr>
            <a:graphic>
              <a:graphicData uri="http://schemas.openxmlformats.org/drawingml/2006/picture">
                <pic:pic>
                  <pic:nvPicPr>
                    <pic:cNvPr id="356" name="Image 3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78" w:id="1580"/>
      <w:bookmarkEnd w:id="1580"/>
      <w:r>
        <w:rPr/>
      </w:r>
      <w:hyperlink w:history="true" w:anchor="_bookmark1532">
        <w:r>
          <w:rPr>
            <w:color w:val="005DA1"/>
            <w:spacing w:val="-4"/>
            <w:sz w:val="14"/>
            <w:u w:val="single" w:color="005DA1"/>
          </w:rPr>
          <w:t>827</w:t>
        </w:r>
      </w:hyperlink>
      <w:r>
        <w:rPr>
          <w:spacing w:val="-4"/>
          <w:sz w:val="14"/>
        </w:rPr>
        <w:t>.</w:t>
      </w:r>
    </w:p>
    <w:p>
      <w:pPr>
        <w:spacing w:line="235" w:lineRule="auto" w:before="212"/>
        <w:ind w:left="165" w:right="167" w:firstLine="170"/>
        <w:jc w:val="both"/>
        <w:rPr>
          <w:sz w:val="20"/>
        </w:rPr>
      </w:pPr>
      <w:r>
        <w:rPr/>
        <w:br w:type="column"/>
      </w:r>
      <w:r>
        <w:rPr>
          <w:rFonts w:ascii="Arial"/>
          <w:i/>
          <w:sz w:val="20"/>
        </w:rPr>
        <w:t>Hatton v Sutherland [2002] EWCA Civ 76, [2002] I.C.R. 613</w:t>
      </w:r>
      <w:r>
        <w:rPr>
          <w:sz w:val="20"/>
        </w:rPr>
        <w:t>; also </w:t>
      </w:r>
      <w:r>
        <w:rPr>
          <w:rFonts w:ascii="Arial"/>
          <w:i/>
          <w:sz w:val="20"/>
        </w:rPr>
        <w:t>Barber v Somerset CC [2004] UKHL 13, [2004 1 W.L.R. 1089 </w:t>
      </w:r>
      <w:r>
        <w:rPr>
          <w:sz w:val="20"/>
        </w:rPr>
        <w:t>and </w:t>
      </w:r>
      <w:r>
        <w:rPr>
          <w:rFonts w:ascii="Arial"/>
          <w:i/>
          <w:sz w:val="20"/>
        </w:rPr>
        <w:t>Hartman v South Essex Mental Health </w:t>
      </w:r>
      <w:r>
        <w:rPr>
          <w:rFonts w:ascii="Arial"/>
          <w:i/>
          <w:sz w:val="20"/>
        </w:rPr>
        <w:t>and Community Care NHS Trust [2005] EWCA Civ 6, [2005] I.C.R. 782</w:t>
      </w:r>
      <w:r>
        <w:rPr>
          <w:sz w:val="20"/>
        </w:rPr>
        <w:t>; </w:t>
      </w:r>
      <w:r>
        <w:rPr>
          <w:rFonts w:ascii="Arial"/>
          <w:i/>
          <w:sz w:val="20"/>
        </w:rPr>
        <w:t>BAE Systems (Operations) Ltd v Konczak [2017] EWCA Civ 1188 </w:t>
      </w:r>
      <w:r>
        <w:rPr>
          <w:sz w:val="20"/>
        </w:rPr>
        <w:t>(a case involving apportionment between multiple </w:t>
      </w:r>
      <w:r>
        <w:rPr>
          <w:spacing w:val="-2"/>
          <w:sz w:val="20"/>
        </w:rPr>
        <w:t>causes).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1579" w:id="1581"/>
      <w:bookmarkEnd w:id="1581"/>
      <w:r>
        <w:rPr/>
      </w:r>
      <w:hyperlink w:history="true" w:anchor="_bookmark1533">
        <w:r>
          <w:rPr>
            <w:color w:val="005DA1"/>
            <w:spacing w:val="-4"/>
            <w:position w:val="5"/>
            <w:sz w:val="14"/>
            <w:u w:val="single" w:color="005DA1"/>
          </w:rPr>
          <w:t>828</w:t>
        </w:r>
      </w:hyperlink>
      <w:r>
        <w:rPr>
          <w:spacing w:val="-4"/>
          <w:position w:val="5"/>
          <w:sz w:val="14"/>
        </w:rPr>
        <w:t>.</w:t>
      </w:r>
      <w:r>
        <w:rPr>
          <w:position w:val="5"/>
          <w:sz w:val="14"/>
        </w:rPr>
        <w:tab/>
      </w:r>
      <w:r>
        <w:rPr>
          <w:rFonts w:ascii="Arial"/>
          <w:i/>
          <w:sz w:val="20"/>
        </w:rPr>
        <w:t>Hatton v Sutherland [2002] EWCA Civ </w:t>
      </w:r>
      <w:r>
        <w:rPr>
          <w:rFonts w:ascii="Arial"/>
          <w:i/>
          <w:spacing w:val="-5"/>
          <w:sz w:val="20"/>
        </w:rPr>
        <w:t>76</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580" w:id="1582"/>
      <w:bookmarkEnd w:id="1582"/>
      <w:r>
        <w:rPr/>
      </w:r>
      <w:hyperlink w:history="true" w:anchor="_bookmark1534">
        <w:r>
          <w:rPr>
            <w:color w:val="005DA1"/>
            <w:spacing w:val="-4"/>
            <w:position w:val="5"/>
            <w:sz w:val="14"/>
            <w:u w:val="single" w:color="005DA1"/>
          </w:rPr>
          <w:t>829</w:t>
        </w:r>
      </w:hyperlink>
      <w:r>
        <w:rPr>
          <w:spacing w:val="-4"/>
          <w:position w:val="5"/>
          <w:sz w:val="14"/>
        </w:rPr>
        <w:t>.</w:t>
      </w:r>
      <w:r>
        <w:rPr>
          <w:position w:val="5"/>
          <w:sz w:val="14"/>
        </w:rPr>
        <w:tab/>
      </w:r>
      <w:r>
        <w:rPr>
          <w:sz w:val="20"/>
        </w:rPr>
        <w:t>Such as</w:t>
      </w:r>
      <w:r>
        <w:rPr>
          <w:spacing w:val="-1"/>
          <w:sz w:val="20"/>
        </w:rPr>
        <w:t> </w:t>
      </w:r>
      <w:r>
        <w:rPr>
          <w:rFonts w:ascii="Arial"/>
          <w:i/>
          <w:sz w:val="20"/>
        </w:rPr>
        <w:t>Walker v Northumberland CC [1995] I.C.R. </w:t>
      </w:r>
      <w:r>
        <w:rPr>
          <w:rFonts w:ascii="Arial"/>
          <w:i/>
          <w:spacing w:val="-4"/>
          <w:sz w:val="20"/>
        </w:rPr>
        <w:t>702</w:t>
      </w:r>
      <w:r>
        <w:rPr>
          <w:spacing w:val="-4"/>
          <w:sz w:val="20"/>
        </w:rPr>
        <w:t>.</w:t>
      </w:r>
    </w:p>
    <w:p>
      <w:pPr>
        <w:pStyle w:val="BodyText"/>
        <w:spacing w:before="8"/>
      </w:pPr>
    </w:p>
    <w:p>
      <w:pPr>
        <w:spacing w:line="235" w:lineRule="auto" w:before="0"/>
        <w:ind w:left="705" w:right="168" w:hanging="541"/>
        <w:jc w:val="both"/>
        <w:rPr>
          <w:sz w:val="20"/>
        </w:rPr>
      </w:pPr>
      <w:bookmarkStart w:name="_bookmark1581" w:id="1583"/>
      <w:bookmarkEnd w:id="1583"/>
      <w:r>
        <w:rPr/>
      </w:r>
      <w:hyperlink w:history="true" w:anchor="_bookmark1535">
        <w:r>
          <w:rPr>
            <w:color w:val="005DA1"/>
            <w:position w:val="5"/>
            <w:sz w:val="14"/>
            <w:u w:val="single" w:color="005DA1"/>
          </w:rPr>
          <w:t>830</w:t>
        </w:r>
      </w:hyperlink>
      <w:r>
        <w:rPr>
          <w:position w:val="5"/>
          <w:sz w:val="14"/>
        </w:rPr>
        <w:t>.</w:t>
      </w:r>
      <w:r>
        <w:rPr>
          <w:spacing w:val="80"/>
          <w:position w:val="5"/>
          <w:sz w:val="14"/>
        </w:rPr>
        <w:t> </w:t>
      </w:r>
      <w:r>
        <w:rPr>
          <w:rFonts w:ascii="Arial" w:hAnsi="Arial"/>
          <w:i/>
          <w:sz w:val="20"/>
        </w:rPr>
        <w:t>Croft v Broadstairs &amp; St Peter’s Town Council [2003] EWCA Civ 676</w:t>
      </w:r>
      <w:r>
        <w:rPr>
          <w:sz w:val="20"/>
        </w:rPr>
        <w:t>; </w:t>
      </w:r>
      <w:r>
        <w:rPr>
          <w:rFonts w:ascii="Arial" w:hAnsi="Arial"/>
          <w:i/>
          <w:sz w:val="20"/>
        </w:rPr>
        <w:t>Bristol City Council v Deadman [2007] EWCA Civ 822, [2007] I.R.L.R. 888</w:t>
      </w:r>
      <w:r>
        <w:rPr>
          <w:sz w:val="20"/>
        </w:rPr>
        <w:t>, </w:t>
      </w:r>
      <w:r>
        <w:rPr>
          <w:rFonts w:ascii="Arial" w:hAnsi="Arial"/>
          <w:i/>
          <w:sz w:val="20"/>
        </w:rPr>
        <w:t>Grieves v F T Everard &amp; Sons Ltd [2007] UKHL 39, [2008] 1 A.C. 281</w:t>
      </w:r>
      <w:r>
        <w:rPr>
          <w:sz w:val="20"/>
        </w:rPr>
        <w:t>.</w:t>
      </w:r>
    </w:p>
    <w:p>
      <w:pPr>
        <w:pStyle w:val="BodyText"/>
        <w:spacing w:before="5"/>
      </w:pPr>
    </w:p>
    <w:p>
      <w:pPr>
        <w:pStyle w:val="BodyText"/>
        <w:tabs>
          <w:tab w:pos="705" w:val="left" w:leader="none"/>
        </w:tabs>
        <w:ind w:left="165"/>
      </w:pPr>
      <w:bookmarkStart w:name="_bookmark1582" w:id="1584"/>
      <w:bookmarkEnd w:id="1584"/>
      <w:r>
        <w:rPr/>
      </w:r>
      <w:hyperlink w:history="true" w:anchor="_bookmark1536">
        <w:r>
          <w:rPr>
            <w:color w:val="005DA1"/>
            <w:spacing w:val="-4"/>
            <w:position w:val="5"/>
            <w:sz w:val="14"/>
            <w:u w:val="single" w:color="005DA1"/>
          </w:rPr>
          <w:t>831</w:t>
        </w:r>
      </w:hyperlink>
      <w:r>
        <w:rPr>
          <w:spacing w:val="-4"/>
          <w:position w:val="5"/>
          <w:sz w:val="14"/>
        </w:rPr>
        <w:t>.</w:t>
      </w:r>
      <w:r>
        <w:rPr>
          <w:position w:val="5"/>
          <w:sz w:val="14"/>
        </w:rPr>
        <w:tab/>
      </w:r>
      <w:r>
        <w:rPr/>
        <w:t>See</w:t>
      </w:r>
      <w:r>
        <w:rPr>
          <w:spacing w:val="-2"/>
        </w:rPr>
        <w:t> </w:t>
      </w:r>
      <w:r>
        <w:rPr/>
        <w:t>above, para.26-</w:t>
      </w:r>
      <w:r>
        <w:rPr>
          <w:spacing w:val="-4"/>
        </w:rPr>
        <w:t>118.</w:t>
      </w:r>
    </w:p>
    <w:p>
      <w:pPr>
        <w:pStyle w:val="BodyText"/>
        <w:spacing w:before="9"/>
      </w:pPr>
    </w:p>
    <w:p>
      <w:pPr>
        <w:spacing w:line="235" w:lineRule="auto" w:before="0"/>
        <w:ind w:left="705" w:right="167" w:hanging="541"/>
        <w:jc w:val="both"/>
        <w:rPr>
          <w:sz w:val="20"/>
        </w:rPr>
      </w:pPr>
      <w:bookmarkStart w:name="_bookmark1583" w:id="1585"/>
      <w:bookmarkEnd w:id="1585"/>
      <w:r>
        <w:rPr/>
      </w:r>
      <w:hyperlink w:history="true" w:anchor="_bookmark1537">
        <w:r>
          <w:rPr>
            <w:color w:val="005DA1"/>
            <w:position w:val="5"/>
            <w:sz w:val="14"/>
            <w:u w:val="single" w:color="005DA1"/>
          </w:rPr>
          <w:t>832</w:t>
        </w:r>
      </w:hyperlink>
      <w:r>
        <w:rPr>
          <w:position w:val="5"/>
          <w:sz w:val="14"/>
        </w:rPr>
        <w:t>.</w:t>
      </w:r>
      <w:r>
        <w:rPr>
          <w:spacing w:val="80"/>
          <w:position w:val="5"/>
          <w:sz w:val="14"/>
        </w:rPr>
        <w:t>  </w:t>
      </w:r>
      <w:r>
        <w:rPr>
          <w:rFonts w:ascii="Arial"/>
          <w:i/>
          <w:sz w:val="20"/>
        </w:rPr>
        <w:t>Bristol</w:t>
      </w:r>
      <w:r>
        <w:rPr>
          <w:rFonts w:ascii="Arial"/>
          <w:i/>
          <w:spacing w:val="-1"/>
          <w:sz w:val="20"/>
        </w:rPr>
        <w:t> </w:t>
      </w:r>
      <w:r>
        <w:rPr>
          <w:rFonts w:ascii="Arial"/>
          <w:i/>
          <w:sz w:val="20"/>
        </w:rPr>
        <w:t>City</w:t>
      </w:r>
      <w:r>
        <w:rPr>
          <w:rFonts w:ascii="Arial"/>
          <w:i/>
          <w:spacing w:val="-1"/>
          <w:sz w:val="20"/>
        </w:rPr>
        <w:t> </w:t>
      </w:r>
      <w:r>
        <w:rPr>
          <w:rFonts w:ascii="Arial"/>
          <w:i/>
          <w:sz w:val="20"/>
        </w:rPr>
        <w:t>Council</w:t>
      </w:r>
      <w:r>
        <w:rPr>
          <w:rFonts w:ascii="Arial"/>
          <w:i/>
          <w:spacing w:val="-1"/>
          <w:sz w:val="20"/>
        </w:rPr>
        <w:t> </w:t>
      </w:r>
      <w:r>
        <w:rPr>
          <w:rFonts w:ascii="Arial"/>
          <w:i/>
          <w:sz w:val="20"/>
        </w:rPr>
        <w:t>v</w:t>
      </w:r>
      <w:r>
        <w:rPr>
          <w:rFonts w:ascii="Arial"/>
          <w:i/>
          <w:spacing w:val="-1"/>
          <w:sz w:val="20"/>
        </w:rPr>
        <w:t> </w:t>
      </w:r>
      <w:r>
        <w:rPr>
          <w:rFonts w:ascii="Arial"/>
          <w:i/>
          <w:sz w:val="20"/>
        </w:rPr>
        <w:t>Deadman</w:t>
      </w:r>
      <w:r>
        <w:rPr>
          <w:rFonts w:ascii="Arial"/>
          <w:i/>
          <w:spacing w:val="-1"/>
          <w:sz w:val="20"/>
        </w:rPr>
        <w:t> </w:t>
      </w:r>
      <w:r>
        <w:rPr>
          <w:rFonts w:ascii="Arial"/>
          <w:i/>
          <w:sz w:val="20"/>
        </w:rPr>
        <w:t>[2007]</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822,</w:t>
      </w:r>
      <w:r>
        <w:rPr>
          <w:rFonts w:ascii="Arial"/>
          <w:i/>
          <w:spacing w:val="-1"/>
          <w:sz w:val="20"/>
        </w:rPr>
        <w:t> </w:t>
      </w:r>
      <w:r>
        <w:rPr>
          <w:rFonts w:ascii="Arial"/>
          <w:i/>
          <w:sz w:val="20"/>
        </w:rPr>
        <w:t>[2007]</w:t>
      </w:r>
      <w:r>
        <w:rPr>
          <w:rFonts w:ascii="Arial"/>
          <w:i/>
          <w:spacing w:val="-1"/>
          <w:sz w:val="20"/>
        </w:rPr>
        <w:t> </w:t>
      </w:r>
      <w:r>
        <w:rPr>
          <w:rFonts w:ascii="Arial"/>
          <w:i/>
          <w:sz w:val="20"/>
        </w:rPr>
        <w:t>I.R.L.R.</w:t>
      </w:r>
      <w:r>
        <w:rPr>
          <w:rFonts w:ascii="Arial"/>
          <w:i/>
          <w:spacing w:val="-1"/>
          <w:sz w:val="20"/>
        </w:rPr>
        <w:t> </w:t>
      </w:r>
      <w:r>
        <w:rPr>
          <w:rFonts w:ascii="Arial"/>
          <w:i/>
          <w:sz w:val="20"/>
        </w:rPr>
        <w:t>888</w:t>
      </w:r>
      <w:r>
        <w:rPr>
          <w:sz w:val="20"/>
        </w:rPr>
        <w:t>.</w:t>
      </w:r>
      <w:r>
        <w:rPr>
          <w:spacing w:val="-1"/>
          <w:sz w:val="20"/>
        </w:rPr>
        <w:t> </w:t>
      </w:r>
      <w:r>
        <w:rPr>
          <w:sz w:val="20"/>
        </w:rPr>
        <w:t>This</w:t>
      </w:r>
      <w:r>
        <w:rPr>
          <w:spacing w:val="-1"/>
          <w:sz w:val="20"/>
        </w:rPr>
        <w:t> </w:t>
      </w:r>
      <w:r>
        <w:rPr>
          <w:sz w:val="20"/>
        </w:rPr>
        <w:t>seems</w:t>
      </w:r>
      <w:r>
        <w:rPr>
          <w:spacing w:val="-1"/>
          <w:sz w:val="20"/>
        </w:rPr>
        <w:t> </w:t>
      </w:r>
      <w:r>
        <w:rPr>
          <w:sz w:val="20"/>
        </w:rPr>
        <w:t>to</w:t>
      </w:r>
      <w:r>
        <w:rPr>
          <w:spacing w:val="-1"/>
          <w:sz w:val="20"/>
        </w:rPr>
        <w:t> </w:t>
      </w:r>
      <w:r>
        <w:rPr>
          <w:sz w:val="20"/>
        </w:rPr>
        <w:t>make it less likely that the claimant will be able recover on the basis of the implied term of trust and confidence than if the claimant can show a breach of the common law duty of care.</w:t>
      </w:r>
    </w:p>
    <w:p>
      <w:pPr>
        <w:pStyle w:val="BodyText"/>
        <w:spacing w:before="9"/>
      </w:pPr>
    </w:p>
    <w:p>
      <w:pPr>
        <w:tabs>
          <w:tab w:pos="705" w:val="left" w:leader="none"/>
        </w:tabs>
        <w:spacing w:line="235" w:lineRule="auto" w:before="0"/>
        <w:ind w:left="705" w:right="174" w:hanging="541"/>
        <w:jc w:val="left"/>
        <w:rPr>
          <w:rFonts w:ascii="Arial"/>
          <w:i/>
          <w:sz w:val="20"/>
        </w:rPr>
      </w:pPr>
      <w:bookmarkStart w:name="_bookmark1584" w:id="1586"/>
      <w:bookmarkEnd w:id="1586"/>
      <w:r>
        <w:rPr/>
      </w:r>
      <w:hyperlink w:history="true" w:anchor="_bookmark1538">
        <w:r>
          <w:rPr>
            <w:color w:val="005DA1"/>
            <w:spacing w:val="-4"/>
            <w:position w:val="5"/>
            <w:sz w:val="14"/>
            <w:u w:val="single" w:color="005DA1"/>
          </w:rPr>
          <w:t>833</w:t>
        </w:r>
      </w:hyperlink>
      <w:r>
        <w:rPr>
          <w:spacing w:val="-4"/>
          <w:position w:val="5"/>
          <w:sz w:val="14"/>
        </w:rPr>
        <w:t>.</w:t>
      </w:r>
      <w:r>
        <w:rPr>
          <w:position w:val="5"/>
          <w:sz w:val="14"/>
        </w:rPr>
        <w:tab/>
      </w:r>
      <w:r>
        <w:rPr>
          <w:rFonts w:ascii="Arial"/>
          <w:i/>
          <w:sz w:val="20"/>
        </w:rPr>
        <w:t>Malik</w:t>
      </w:r>
      <w:r>
        <w:rPr>
          <w:rFonts w:ascii="Arial"/>
          <w:i/>
          <w:spacing w:val="35"/>
          <w:sz w:val="20"/>
        </w:rPr>
        <w:t> </w:t>
      </w:r>
      <w:r>
        <w:rPr>
          <w:rFonts w:ascii="Arial"/>
          <w:i/>
          <w:sz w:val="20"/>
        </w:rPr>
        <w:t>v</w:t>
      </w:r>
      <w:r>
        <w:rPr>
          <w:rFonts w:ascii="Arial"/>
          <w:i/>
          <w:spacing w:val="35"/>
          <w:sz w:val="20"/>
        </w:rPr>
        <w:t> </w:t>
      </w:r>
      <w:r>
        <w:rPr>
          <w:rFonts w:ascii="Arial"/>
          <w:i/>
          <w:sz w:val="20"/>
        </w:rPr>
        <w:t>Bank</w:t>
      </w:r>
      <w:r>
        <w:rPr>
          <w:rFonts w:ascii="Arial"/>
          <w:i/>
          <w:spacing w:val="35"/>
          <w:sz w:val="20"/>
        </w:rPr>
        <w:t> </w:t>
      </w:r>
      <w:r>
        <w:rPr>
          <w:rFonts w:ascii="Arial"/>
          <w:i/>
          <w:sz w:val="20"/>
        </w:rPr>
        <w:t>of</w:t>
      </w:r>
      <w:r>
        <w:rPr>
          <w:rFonts w:ascii="Arial"/>
          <w:i/>
          <w:spacing w:val="35"/>
          <w:sz w:val="20"/>
        </w:rPr>
        <w:t> </w:t>
      </w:r>
      <w:r>
        <w:rPr>
          <w:rFonts w:ascii="Arial"/>
          <w:i/>
          <w:sz w:val="20"/>
        </w:rPr>
        <w:t>Credit</w:t>
      </w:r>
      <w:r>
        <w:rPr>
          <w:rFonts w:ascii="Arial"/>
          <w:i/>
          <w:spacing w:val="35"/>
          <w:sz w:val="20"/>
        </w:rPr>
        <w:t> </w:t>
      </w:r>
      <w:r>
        <w:rPr>
          <w:rFonts w:ascii="Arial"/>
          <w:i/>
          <w:sz w:val="20"/>
        </w:rPr>
        <w:t>and</w:t>
      </w:r>
      <w:r>
        <w:rPr>
          <w:rFonts w:ascii="Arial"/>
          <w:i/>
          <w:spacing w:val="35"/>
          <w:sz w:val="20"/>
        </w:rPr>
        <w:t> </w:t>
      </w:r>
      <w:r>
        <w:rPr>
          <w:rFonts w:ascii="Arial"/>
          <w:i/>
          <w:sz w:val="20"/>
        </w:rPr>
        <w:t>Commerce</w:t>
      </w:r>
      <w:r>
        <w:rPr>
          <w:rFonts w:ascii="Arial"/>
          <w:i/>
          <w:spacing w:val="35"/>
          <w:sz w:val="20"/>
        </w:rPr>
        <w:t> </w:t>
      </w:r>
      <w:r>
        <w:rPr>
          <w:rFonts w:ascii="Arial"/>
          <w:i/>
          <w:sz w:val="20"/>
        </w:rPr>
        <w:t>International</w:t>
      </w:r>
      <w:r>
        <w:rPr>
          <w:rFonts w:ascii="Arial"/>
          <w:i/>
          <w:spacing w:val="35"/>
          <w:sz w:val="20"/>
        </w:rPr>
        <w:t> </w:t>
      </w:r>
      <w:r>
        <w:rPr>
          <w:rFonts w:ascii="Arial"/>
          <w:i/>
          <w:sz w:val="20"/>
        </w:rPr>
        <w:t>SA</w:t>
      </w:r>
      <w:r>
        <w:rPr>
          <w:rFonts w:ascii="Arial"/>
          <w:i/>
          <w:spacing w:val="35"/>
          <w:sz w:val="20"/>
        </w:rPr>
        <w:t> </w:t>
      </w:r>
      <w:r>
        <w:rPr>
          <w:rFonts w:ascii="Arial"/>
          <w:i/>
          <w:sz w:val="20"/>
        </w:rPr>
        <w:t>[1998]</w:t>
      </w:r>
      <w:r>
        <w:rPr>
          <w:rFonts w:ascii="Arial"/>
          <w:i/>
          <w:spacing w:val="35"/>
          <w:sz w:val="20"/>
        </w:rPr>
        <w:t> </w:t>
      </w:r>
      <w:r>
        <w:rPr>
          <w:rFonts w:ascii="Arial"/>
          <w:i/>
          <w:sz w:val="20"/>
        </w:rPr>
        <w:t>A.C.</w:t>
      </w:r>
      <w:r>
        <w:rPr>
          <w:rFonts w:ascii="Arial"/>
          <w:i/>
          <w:spacing w:val="35"/>
          <w:sz w:val="20"/>
        </w:rPr>
        <w:t> </w:t>
      </w:r>
      <w:r>
        <w:rPr>
          <w:rFonts w:ascii="Arial"/>
          <w:i/>
          <w:sz w:val="20"/>
        </w:rPr>
        <w:t>20.</w:t>
      </w:r>
      <w:r>
        <w:rPr>
          <w:rFonts w:ascii="Arial"/>
          <w:i/>
          <w:spacing w:val="35"/>
          <w:sz w:val="20"/>
        </w:rPr>
        <w:t> </w:t>
      </w:r>
      <w:r>
        <w:rPr>
          <w:rFonts w:ascii="Arial"/>
          <w:i/>
          <w:sz w:val="20"/>
        </w:rPr>
        <w:t>(See</w:t>
      </w:r>
      <w:r>
        <w:rPr>
          <w:rFonts w:ascii="Arial"/>
          <w:i/>
          <w:spacing w:val="35"/>
          <w:sz w:val="20"/>
        </w:rPr>
        <w:t> </w:t>
      </w:r>
      <w:r>
        <w:rPr>
          <w:rFonts w:ascii="Arial"/>
          <w:i/>
          <w:sz w:val="20"/>
        </w:rPr>
        <w:t>the</w:t>
      </w:r>
      <w:r>
        <w:rPr>
          <w:rFonts w:ascii="Arial"/>
          <w:i/>
          <w:spacing w:val="35"/>
          <w:sz w:val="20"/>
        </w:rPr>
        <w:t> </w:t>
      </w:r>
      <w:r>
        <w:rPr>
          <w:rFonts w:ascii="Arial"/>
          <w:i/>
          <w:sz w:val="20"/>
        </w:rPr>
        <w:t>article</w:t>
      </w:r>
      <w:r>
        <w:rPr>
          <w:rFonts w:ascii="Arial"/>
          <w:i/>
          <w:spacing w:val="35"/>
          <w:sz w:val="20"/>
        </w:rPr>
        <w:t> </w:t>
      </w:r>
      <w:r>
        <w:rPr>
          <w:rFonts w:ascii="Arial"/>
          <w:i/>
          <w:sz w:val="20"/>
        </w:rPr>
        <w:t>by Enonchong, which preceded this decision, (1996) 16 O.J.L.S. 617.)</w:t>
      </w:r>
    </w:p>
    <w:p>
      <w:pPr>
        <w:pStyle w:val="BodyText"/>
        <w:spacing w:before="5"/>
        <w:rPr>
          <w:rFonts w:ascii="Arial"/>
          <w:i/>
        </w:rPr>
      </w:pPr>
    </w:p>
    <w:p>
      <w:pPr>
        <w:pStyle w:val="BodyText"/>
        <w:tabs>
          <w:tab w:pos="705" w:val="left" w:leader="none"/>
        </w:tabs>
        <w:spacing w:before="1"/>
        <w:ind w:left="165"/>
      </w:pPr>
      <w:bookmarkStart w:name="_bookmark1585" w:id="1587"/>
      <w:bookmarkEnd w:id="1587"/>
      <w:r>
        <w:rPr/>
      </w:r>
      <w:hyperlink w:history="true" w:anchor="_bookmark1539">
        <w:r>
          <w:rPr>
            <w:color w:val="005DA1"/>
            <w:spacing w:val="-4"/>
            <w:position w:val="5"/>
            <w:sz w:val="14"/>
            <w:u w:val="single" w:color="005DA1"/>
          </w:rPr>
          <w:t>834</w:t>
        </w:r>
      </w:hyperlink>
      <w:r>
        <w:rPr>
          <w:spacing w:val="-4"/>
          <w:position w:val="5"/>
          <w:sz w:val="14"/>
        </w:rPr>
        <w:t>.</w:t>
      </w:r>
      <w:r>
        <w:rPr>
          <w:position w:val="5"/>
          <w:sz w:val="14"/>
        </w:rPr>
        <w:tab/>
      </w:r>
      <w:r>
        <w:rPr/>
        <w:t>See below, paras 40-150—40-</w:t>
      </w:r>
      <w:r>
        <w:rPr>
          <w:spacing w:val="-4"/>
        </w:rPr>
        <w:t>153.</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4144">
            <wp:simplePos x="0" y="0"/>
            <wp:positionH relativeFrom="page">
              <wp:posOffset>1257846</wp:posOffset>
            </wp:positionH>
            <wp:positionV relativeFrom="paragraph">
              <wp:posOffset>160608</wp:posOffset>
            </wp:positionV>
            <wp:extent cx="107988" cy="107988"/>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86" w:id="1588"/>
      <w:bookmarkEnd w:id="1588"/>
      <w:r>
        <w:rPr/>
      </w:r>
      <w:hyperlink w:history="true" w:anchor="_bookmark1540">
        <w:r>
          <w:rPr>
            <w:color w:val="005DA1"/>
            <w:spacing w:val="-4"/>
            <w:sz w:val="14"/>
            <w:u w:val="single" w:color="005DA1"/>
          </w:rPr>
          <w:t>835</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Malik ’s case [1998] A.C. 20 </w:t>
      </w:r>
      <w:r>
        <w:rPr>
          <w:sz w:val="20"/>
        </w:rPr>
        <w:t>was applied in </w:t>
      </w:r>
      <w:r>
        <w:rPr>
          <w:rFonts w:ascii="Arial" w:hAnsi="Arial"/>
          <w:i/>
          <w:sz w:val="20"/>
        </w:rPr>
        <w:t>Bank of Credit and Commerce International SA v Ali (No.3) [2002] EWCA 82, [2002] 3 All E.R. 750 </w:t>
      </w:r>
      <w:r>
        <w:rPr>
          <w:sz w:val="20"/>
        </w:rPr>
        <w:t>(where it was held that the employees had failed</w:t>
      </w:r>
      <w:r>
        <w:rPr>
          <w:spacing w:val="-3"/>
          <w:sz w:val="20"/>
        </w:rPr>
        <w:t> </w:t>
      </w:r>
      <w:r>
        <w:rPr>
          <w:sz w:val="20"/>
        </w:rPr>
        <w:t>to</w:t>
      </w:r>
      <w:r>
        <w:rPr>
          <w:spacing w:val="-3"/>
          <w:sz w:val="20"/>
        </w:rPr>
        <w:t> </w:t>
      </w:r>
      <w:r>
        <w:rPr>
          <w:sz w:val="20"/>
        </w:rPr>
        <w:t>prove</w:t>
      </w:r>
      <w:r>
        <w:rPr>
          <w:spacing w:val="-3"/>
          <w:sz w:val="20"/>
        </w:rPr>
        <w:t> </w:t>
      </w:r>
      <w:r>
        <w:rPr>
          <w:sz w:val="20"/>
        </w:rPr>
        <w:t>that</w:t>
      </w:r>
      <w:r>
        <w:rPr>
          <w:spacing w:val="-3"/>
          <w:sz w:val="20"/>
        </w:rPr>
        <w:t> </w:t>
      </w:r>
      <w:r>
        <w:rPr>
          <w:sz w:val="20"/>
        </w:rPr>
        <w:t>the</w:t>
      </w:r>
      <w:r>
        <w:rPr>
          <w:spacing w:val="-3"/>
          <w:sz w:val="20"/>
        </w:rPr>
        <w:t> </w:t>
      </w:r>
      <w:r>
        <w:rPr>
          <w:sz w:val="20"/>
        </w:rPr>
        <w:t>stigma</w:t>
      </w:r>
      <w:r>
        <w:rPr>
          <w:spacing w:val="-3"/>
          <w:sz w:val="20"/>
        </w:rPr>
        <w:t> </w:t>
      </w:r>
      <w:r>
        <w:rPr>
          <w:sz w:val="20"/>
        </w:rPr>
        <w:t>had</w:t>
      </w:r>
      <w:r>
        <w:rPr>
          <w:spacing w:val="-3"/>
          <w:sz w:val="20"/>
        </w:rPr>
        <w:t> </w:t>
      </w:r>
      <w:r>
        <w:rPr>
          <w:sz w:val="20"/>
        </w:rPr>
        <w:t>caused</w:t>
      </w:r>
      <w:r>
        <w:rPr>
          <w:spacing w:val="-3"/>
          <w:sz w:val="20"/>
        </w:rPr>
        <w:t> </w:t>
      </w:r>
      <w:r>
        <w:rPr>
          <w:sz w:val="20"/>
        </w:rPr>
        <w:t>them</w:t>
      </w:r>
      <w:r>
        <w:rPr>
          <w:spacing w:val="-3"/>
          <w:sz w:val="20"/>
        </w:rPr>
        <w:t> </w:t>
      </w:r>
      <w:r>
        <w:rPr>
          <w:sz w:val="20"/>
        </w:rPr>
        <w:t>actual</w:t>
      </w:r>
      <w:r>
        <w:rPr>
          <w:spacing w:val="-3"/>
          <w:sz w:val="20"/>
        </w:rPr>
        <w:t> </w:t>
      </w:r>
      <w:r>
        <w:rPr>
          <w:sz w:val="20"/>
        </w:rPr>
        <w:t>financial</w:t>
      </w:r>
      <w:r>
        <w:rPr>
          <w:spacing w:val="-3"/>
          <w:sz w:val="20"/>
        </w:rPr>
        <w:t> </w:t>
      </w:r>
      <w:r>
        <w:rPr>
          <w:sz w:val="20"/>
        </w:rPr>
        <w:t>loss).</w:t>
      </w:r>
      <w:r>
        <w:rPr>
          <w:spacing w:val="-3"/>
          <w:sz w:val="20"/>
        </w:rPr>
        <w:t> </w:t>
      </w:r>
      <w:r>
        <w:rPr>
          <w:sz w:val="20"/>
        </w:rPr>
        <w:t>On</w:t>
      </w:r>
      <w:r>
        <w:rPr>
          <w:spacing w:val="-3"/>
          <w:sz w:val="20"/>
        </w:rPr>
        <w:t> </w:t>
      </w:r>
      <w:r>
        <w:rPr>
          <w:sz w:val="20"/>
        </w:rPr>
        <w:t>when</w:t>
      </w:r>
      <w:r>
        <w:rPr>
          <w:spacing w:val="-3"/>
          <w:sz w:val="20"/>
        </w:rPr>
        <w:t> </w:t>
      </w:r>
      <w:r>
        <w:rPr>
          <w:sz w:val="20"/>
        </w:rPr>
        <w:t>a</w:t>
      </w:r>
      <w:r>
        <w:rPr>
          <w:spacing w:val="-3"/>
          <w:sz w:val="20"/>
        </w:rPr>
        <w:t> </w:t>
      </w:r>
      <w:r>
        <w:rPr>
          <w:sz w:val="20"/>
        </w:rPr>
        <w:t>specific</w:t>
      </w:r>
      <w:r>
        <w:rPr>
          <w:spacing w:val="-3"/>
          <w:sz w:val="20"/>
        </w:rPr>
        <w:t> </w:t>
      </w:r>
      <w:r>
        <w:rPr>
          <w:sz w:val="20"/>
        </w:rPr>
        <w:t>award of stigma damages may be necessary, see </w:t>
      </w:r>
      <w:r>
        <w:rPr>
          <w:rFonts w:ascii="Arial" w:hAnsi="Arial"/>
          <w:i/>
          <w:sz w:val="20"/>
        </w:rPr>
        <w:t>Abbey National Plc v Chagger [2009] EWCA Civ 1202, [2010] I.C.R. 397 </w:t>
      </w:r>
      <w:r>
        <w:rPr>
          <w:sz w:val="20"/>
        </w:rPr>
        <w:t>at [97]–[99].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587" w:id="1589"/>
      <w:bookmarkEnd w:id="1589"/>
      <w:r>
        <w:rPr/>
      </w:r>
      <w:hyperlink w:history="true" w:anchor="_bookmark1541">
        <w:r>
          <w:rPr>
            <w:color w:val="005DA1"/>
            <w:spacing w:val="-4"/>
            <w:position w:val="5"/>
            <w:sz w:val="14"/>
            <w:u w:val="single" w:color="005DA1"/>
          </w:rPr>
          <w:t>836</w:t>
        </w:r>
      </w:hyperlink>
      <w:r>
        <w:rPr>
          <w:spacing w:val="-4"/>
          <w:position w:val="5"/>
          <w:sz w:val="14"/>
        </w:rPr>
        <w:t>.</w:t>
      </w:r>
      <w:r>
        <w:rPr>
          <w:position w:val="5"/>
          <w:sz w:val="14"/>
        </w:rPr>
        <w:tab/>
      </w:r>
      <w:r>
        <w:rPr>
          <w:rFonts w:ascii="Arial"/>
          <w:i/>
          <w:sz w:val="20"/>
        </w:rPr>
        <w:t>[2001] UKHL 13, [2003] 1 A.C. </w:t>
      </w:r>
      <w:r>
        <w:rPr>
          <w:rFonts w:ascii="Arial"/>
          <w:i/>
          <w:spacing w:val="-4"/>
          <w:sz w:val="20"/>
        </w:rPr>
        <w:t>518</w:t>
      </w:r>
      <w:r>
        <w:rPr>
          <w:spacing w:val="-4"/>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542">
        <w:r>
          <w:rPr>
            <w:color w:val="005DA1"/>
            <w:spacing w:val="-4"/>
            <w:position w:val="5"/>
            <w:sz w:val="14"/>
            <w:u w:val="single" w:color="005DA1"/>
          </w:rPr>
          <w:t>837</w:t>
        </w:r>
      </w:hyperlink>
      <w:r>
        <w:rPr>
          <w:spacing w:val="-4"/>
          <w:position w:val="5"/>
          <w:sz w:val="14"/>
        </w:rPr>
        <w:t>.</w:t>
      </w:r>
      <w:r>
        <w:rPr>
          <w:position w:val="5"/>
          <w:sz w:val="14"/>
        </w:rPr>
        <w:tab/>
      </w:r>
      <w:r>
        <w:rPr>
          <w:rFonts w:ascii="Arial"/>
          <w:i/>
          <w:sz w:val="20"/>
        </w:rPr>
        <w:t>Eastwood v Magnox Electric Plc [2004] UKHL 35, [2005] 1 A.C. </w:t>
      </w:r>
      <w:r>
        <w:rPr>
          <w:rFonts w:ascii="Arial"/>
          <w:i/>
          <w:spacing w:val="-4"/>
          <w:sz w:val="20"/>
        </w:rPr>
        <w:t>503</w:t>
      </w:r>
      <w:r>
        <w:rPr>
          <w:spacing w:val="-4"/>
          <w:sz w:val="20"/>
        </w:rPr>
        <w:t>.</w:t>
      </w:r>
    </w:p>
    <w:p>
      <w:pPr>
        <w:pStyle w:val="BodyText"/>
        <w:spacing w:before="9"/>
      </w:pPr>
    </w:p>
    <w:p>
      <w:pPr>
        <w:spacing w:line="235" w:lineRule="auto" w:before="0"/>
        <w:ind w:left="705" w:right="167" w:hanging="541"/>
        <w:jc w:val="both"/>
        <w:rPr>
          <w:sz w:val="20"/>
        </w:rPr>
      </w:pPr>
      <w:bookmarkStart w:name="_bookmark1588" w:id="1590"/>
      <w:bookmarkEnd w:id="1590"/>
      <w:r>
        <w:rPr/>
      </w:r>
      <w:hyperlink w:history="true" w:anchor="_bookmark1543">
        <w:r>
          <w:rPr>
            <w:color w:val="005DA1"/>
            <w:position w:val="5"/>
            <w:sz w:val="14"/>
            <w:u w:val="single" w:color="005DA1"/>
          </w:rPr>
          <w:t>838</w:t>
        </w:r>
      </w:hyperlink>
      <w:r>
        <w:rPr>
          <w:position w:val="5"/>
          <w:sz w:val="14"/>
        </w:rPr>
        <w:t>.</w:t>
      </w:r>
      <w:r>
        <w:rPr>
          <w:spacing w:val="40"/>
          <w:position w:val="5"/>
          <w:sz w:val="14"/>
        </w:rPr>
        <w:t>  </w:t>
      </w:r>
      <w:r>
        <w:rPr>
          <w:rFonts w:ascii="Arial"/>
          <w:i/>
          <w:sz w:val="20"/>
        </w:rPr>
        <w:t>Dunnachie v Kingston upon Hull City Council [2004] UKHL 36, [2005] 1 A.C. 226 </w:t>
      </w:r>
      <w:r>
        <w:rPr>
          <w:sz w:val="20"/>
        </w:rPr>
        <w:t>(interpreting s.123 of the Employment Rights Act 1996). This is so even if the procedures were </w:t>
      </w:r>
      <w:r>
        <w:rPr>
          <w:sz w:val="20"/>
        </w:rPr>
        <w:t>incorporated as express terms of the employment contract; </w:t>
      </w:r>
      <w:r>
        <w:rPr>
          <w:rFonts w:ascii="Arial"/>
          <w:i/>
          <w:sz w:val="20"/>
        </w:rPr>
        <w:t>Edwards v Chesterfield Royal Hospital NHS</w:t>
      </w:r>
      <w:r>
        <w:rPr>
          <w:rFonts w:ascii="Arial"/>
          <w:i/>
          <w:spacing w:val="40"/>
          <w:sz w:val="20"/>
        </w:rPr>
        <w:t> </w:t>
      </w:r>
      <w:r>
        <w:rPr>
          <w:rFonts w:ascii="Arial"/>
          <w:i/>
          <w:sz w:val="20"/>
        </w:rPr>
        <w:t>Trust [2011] UKSC 58, [2012] 2 A.C. 22</w:t>
      </w:r>
      <w:r>
        <w:rPr>
          <w:sz w:val="20"/>
        </w:rPr>
        <w:t>, see below, Vol.II, para.40-203.</w:t>
      </w:r>
    </w:p>
    <w:p>
      <w:pPr>
        <w:pStyle w:val="BodyText"/>
        <w:spacing w:before="9"/>
      </w:pPr>
    </w:p>
    <w:p>
      <w:pPr>
        <w:tabs>
          <w:tab w:pos="705" w:val="left" w:leader="none"/>
        </w:tabs>
        <w:spacing w:line="235" w:lineRule="auto" w:before="0"/>
        <w:ind w:left="705" w:right="174" w:hanging="541"/>
        <w:jc w:val="left"/>
        <w:rPr>
          <w:sz w:val="20"/>
        </w:rPr>
      </w:pPr>
      <w:bookmarkStart w:name="_bookmark1589" w:id="1591"/>
      <w:bookmarkEnd w:id="1591"/>
      <w:r>
        <w:rPr/>
      </w:r>
      <w:hyperlink w:history="true" w:anchor="_bookmark1544">
        <w:r>
          <w:rPr>
            <w:color w:val="005DA1"/>
            <w:spacing w:val="-4"/>
            <w:position w:val="5"/>
            <w:sz w:val="14"/>
            <w:u w:val="single" w:color="005DA1"/>
          </w:rPr>
          <w:t>839</w:t>
        </w:r>
      </w:hyperlink>
      <w:r>
        <w:rPr>
          <w:spacing w:val="-4"/>
          <w:position w:val="5"/>
          <w:sz w:val="14"/>
        </w:rPr>
        <w:t>.</w:t>
      </w:r>
      <w:r>
        <w:rPr>
          <w:position w:val="5"/>
          <w:sz w:val="14"/>
        </w:rPr>
        <w:tab/>
      </w:r>
      <w:r>
        <w:rPr>
          <w:rFonts w:ascii="Arial"/>
          <w:i/>
          <w:sz w:val="20"/>
        </w:rPr>
        <w:t>Tolnay v Criterion Film Productions Ltd [1936] 2 All E.R. 1625</w:t>
      </w:r>
      <w:r>
        <w:rPr>
          <w:sz w:val="20"/>
        </w:rPr>
        <w:t>; </w:t>
      </w:r>
      <w:r>
        <w:rPr>
          <w:rFonts w:ascii="Arial"/>
          <w:i/>
          <w:sz w:val="20"/>
        </w:rPr>
        <w:t>Joseph v National Magazine </w:t>
      </w:r>
      <w:r>
        <w:rPr>
          <w:rFonts w:ascii="Arial"/>
          <w:i/>
          <w:sz w:val="20"/>
        </w:rPr>
        <w:t>Co Ltd [1959] Ch. 14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90" w:id="1592"/>
      <w:bookmarkEnd w:id="1592"/>
      <w:r>
        <w:rPr/>
      </w:r>
      <w:hyperlink w:history="true" w:anchor="_bookmark1544">
        <w:r>
          <w:rPr>
            <w:color w:val="005DA1"/>
            <w:spacing w:val="-4"/>
            <w:position w:val="5"/>
            <w:sz w:val="14"/>
            <w:u w:val="single" w:color="005DA1"/>
          </w:rPr>
          <w:t>840</w:t>
        </w:r>
      </w:hyperlink>
      <w:r>
        <w:rPr>
          <w:spacing w:val="-4"/>
          <w:position w:val="5"/>
          <w:sz w:val="14"/>
        </w:rPr>
        <w:t>.</w:t>
      </w:r>
      <w:r>
        <w:rPr>
          <w:position w:val="5"/>
          <w:sz w:val="14"/>
        </w:rPr>
        <w:tab/>
      </w:r>
      <w:r>
        <w:rPr>
          <w:rFonts w:ascii="Arial" w:hAnsi="Arial"/>
          <w:i/>
          <w:sz w:val="20"/>
        </w:rPr>
        <w:t>Clayton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Jack</w:t>
      </w:r>
      <w:r>
        <w:rPr>
          <w:rFonts w:ascii="Arial" w:hAnsi="Arial"/>
          <w:i/>
          <w:spacing w:val="-1"/>
          <w:sz w:val="20"/>
        </w:rPr>
        <w:t> </w:t>
      </w:r>
      <w:r>
        <w:rPr>
          <w:rFonts w:ascii="Arial" w:hAnsi="Arial"/>
          <w:i/>
          <w:sz w:val="20"/>
        </w:rPr>
        <w:t>Waller</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Oliver</w:t>
      </w:r>
      <w:r>
        <w:rPr>
          <w:rFonts w:ascii="Arial" w:hAnsi="Arial"/>
          <w:i/>
          <w:spacing w:val="-1"/>
          <w:sz w:val="20"/>
        </w:rPr>
        <w:t> </w:t>
      </w:r>
      <w:r>
        <w:rPr>
          <w:rFonts w:ascii="Arial" w:hAnsi="Arial"/>
          <w:i/>
          <w:sz w:val="20"/>
        </w:rPr>
        <w:t>[1930]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209</w:t>
      </w:r>
      <w:r>
        <w:rPr>
          <w:sz w:val="20"/>
        </w:rPr>
        <w:t>;</w:t>
      </w:r>
      <w:r>
        <w:rPr>
          <w:spacing w:val="-1"/>
          <w:sz w:val="20"/>
        </w:rPr>
        <w:t> </w:t>
      </w:r>
      <w:r>
        <w:rPr>
          <w:rFonts w:ascii="Arial" w:hAnsi="Arial"/>
          <w:i/>
          <w:sz w:val="20"/>
        </w:rPr>
        <w:t>Marbe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George</w:t>
      </w:r>
      <w:r>
        <w:rPr>
          <w:rFonts w:ascii="Arial" w:hAnsi="Arial"/>
          <w:i/>
          <w:spacing w:val="-1"/>
          <w:sz w:val="20"/>
        </w:rPr>
        <w:t> </w:t>
      </w:r>
      <w:r>
        <w:rPr>
          <w:rFonts w:ascii="Arial" w:hAnsi="Arial"/>
          <w:i/>
          <w:sz w:val="20"/>
        </w:rPr>
        <w:t>Edwardes</w:t>
      </w:r>
      <w:r>
        <w:rPr>
          <w:rFonts w:ascii="Arial" w:hAnsi="Arial"/>
          <w:i/>
          <w:spacing w:val="-1"/>
          <w:sz w:val="20"/>
        </w:rPr>
        <w:t> </w:t>
      </w:r>
      <w:r>
        <w:rPr>
          <w:rFonts w:ascii="Arial" w:hAnsi="Arial"/>
          <w:i/>
          <w:sz w:val="20"/>
        </w:rPr>
        <w:t>(Daly’s</w:t>
      </w:r>
      <w:r>
        <w:rPr>
          <w:rFonts w:ascii="Arial" w:hAnsi="Arial"/>
          <w:i/>
          <w:spacing w:val="-1"/>
          <w:sz w:val="20"/>
        </w:rPr>
        <w:t> </w:t>
      </w:r>
      <w:r>
        <w:rPr>
          <w:rFonts w:ascii="Arial" w:hAnsi="Arial"/>
          <w:i/>
          <w:sz w:val="20"/>
        </w:rPr>
        <w:t>Theatre) Ltd [1928] 1 K.B. 269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91" w:id="1593"/>
      <w:bookmarkEnd w:id="1593"/>
      <w:r>
        <w:rPr/>
      </w:r>
      <w:hyperlink w:history="true" w:anchor="_bookmark1545">
        <w:r>
          <w:rPr>
            <w:color w:val="005DA1"/>
            <w:spacing w:val="-4"/>
            <w:position w:val="5"/>
            <w:sz w:val="14"/>
            <w:u w:val="single" w:color="005DA1"/>
          </w:rPr>
          <w:t>841</w:t>
        </w:r>
      </w:hyperlink>
      <w:r>
        <w:rPr>
          <w:spacing w:val="-4"/>
          <w:position w:val="5"/>
          <w:sz w:val="14"/>
        </w:rPr>
        <w:t>.</w:t>
      </w:r>
      <w:r>
        <w:rPr>
          <w:position w:val="5"/>
          <w:sz w:val="14"/>
        </w:rPr>
        <w:tab/>
      </w:r>
      <w:r>
        <w:rPr>
          <w:rFonts w:ascii="Arial" w:hAnsi="Arial"/>
          <w:i/>
          <w:sz w:val="20"/>
        </w:rPr>
        <w:t>Malik ’s case [1988] A.C. 20 </w:t>
      </w:r>
      <w:r>
        <w:rPr>
          <w:sz w:val="20"/>
        </w:rPr>
        <w:t>above (overruling on this point</w:t>
      </w:r>
      <w:r>
        <w:rPr>
          <w:spacing w:val="-1"/>
          <w:sz w:val="20"/>
        </w:rPr>
        <w:t> </w:t>
      </w:r>
      <w:r>
        <w:rPr>
          <w:rFonts w:ascii="Arial" w:hAnsi="Arial"/>
          <w:i/>
          <w:sz w:val="20"/>
        </w:rPr>
        <w:t>Withers v General Theatre Corp </w:t>
      </w:r>
      <w:r>
        <w:rPr>
          <w:rFonts w:ascii="Arial" w:hAnsi="Arial"/>
          <w:i/>
          <w:sz w:val="20"/>
        </w:rPr>
        <w:t>Ltd [1933] 2 K.B. 536</w:t>
      </w:r>
      <w:r>
        <w:rPr>
          <w:sz w:val="20"/>
        </w:rPr>
        <w:t>).</w:t>
      </w:r>
    </w:p>
    <w:p>
      <w:pPr>
        <w:pStyle w:val="BodyText"/>
        <w:spacing w:before="9"/>
      </w:pPr>
    </w:p>
    <w:p>
      <w:pPr>
        <w:spacing w:line="235" w:lineRule="auto" w:before="1"/>
        <w:ind w:left="705" w:right="168" w:hanging="541"/>
        <w:jc w:val="both"/>
        <w:rPr>
          <w:sz w:val="20"/>
        </w:rPr>
      </w:pPr>
      <w:bookmarkStart w:name="_bookmark1592" w:id="1594"/>
      <w:bookmarkEnd w:id="1594"/>
      <w:r>
        <w:rPr/>
      </w:r>
      <w:hyperlink w:history="true" w:anchor="_bookmark1546">
        <w:r>
          <w:rPr>
            <w:color w:val="005DA1"/>
            <w:position w:val="5"/>
            <w:sz w:val="14"/>
            <w:u w:val="single" w:color="005DA1"/>
          </w:rPr>
          <w:t>842</w:t>
        </w:r>
      </w:hyperlink>
      <w:r>
        <w:rPr>
          <w:position w:val="5"/>
          <w:sz w:val="14"/>
        </w:rPr>
        <w:t>.</w:t>
      </w:r>
      <w:r>
        <w:rPr>
          <w:spacing w:val="80"/>
          <w:position w:val="5"/>
          <w:sz w:val="14"/>
        </w:rPr>
        <w:t>  </w:t>
      </w:r>
      <w:r>
        <w:rPr>
          <w:rFonts w:ascii="Arial" w:hAnsi="Arial"/>
          <w:i/>
          <w:sz w:val="20"/>
        </w:rPr>
        <w:t>Malik</w:t>
      </w:r>
      <w:r>
        <w:rPr>
          <w:rFonts w:ascii="Arial" w:hAnsi="Arial"/>
          <w:i/>
          <w:spacing w:val="40"/>
          <w:sz w:val="20"/>
        </w:rPr>
        <w:t> </w:t>
      </w:r>
      <w:r>
        <w:rPr>
          <w:rFonts w:ascii="Arial" w:hAnsi="Arial"/>
          <w:i/>
          <w:sz w:val="20"/>
        </w:rPr>
        <w:t>’s</w:t>
      </w:r>
      <w:r>
        <w:rPr>
          <w:rFonts w:ascii="Arial" w:hAnsi="Arial"/>
          <w:i/>
          <w:spacing w:val="40"/>
          <w:sz w:val="20"/>
        </w:rPr>
        <w:t> </w:t>
      </w:r>
      <w:r>
        <w:rPr>
          <w:rFonts w:ascii="Arial" w:hAnsi="Arial"/>
          <w:i/>
          <w:sz w:val="20"/>
        </w:rPr>
        <w:t>case</w:t>
      </w:r>
      <w:r>
        <w:rPr>
          <w:rFonts w:ascii="Arial" w:hAnsi="Arial"/>
          <w:i/>
          <w:spacing w:val="40"/>
          <w:sz w:val="20"/>
        </w:rPr>
        <w:t> </w:t>
      </w:r>
      <w:r>
        <w:rPr>
          <w:rFonts w:ascii="Arial" w:hAnsi="Arial"/>
          <w:i/>
          <w:sz w:val="20"/>
        </w:rPr>
        <w:t>[1998]</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20</w:t>
      </w:r>
      <w:r>
        <w:rPr>
          <w:rFonts w:ascii="Arial" w:hAnsi="Arial"/>
          <w:i/>
          <w:spacing w:val="40"/>
          <w:sz w:val="20"/>
        </w:rPr>
        <w:t> </w:t>
      </w:r>
      <w:r>
        <w:rPr>
          <w:sz w:val="20"/>
        </w:rPr>
        <w:t>at</w:t>
      </w:r>
      <w:r>
        <w:rPr>
          <w:spacing w:val="40"/>
          <w:sz w:val="20"/>
        </w:rPr>
        <w:t> </w:t>
      </w:r>
      <w:r>
        <w:rPr>
          <w:sz w:val="20"/>
        </w:rPr>
        <w:t>115;</w:t>
      </w:r>
      <w:r>
        <w:rPr>
          <w:spacing w:val="40"/>
          <w:sz w:val="20"/>
        </w:rPr>
        <w:t> </w:t>
      </w:r>
      <w:r>
        <w:rPr>
          <w:rFonts w:ascii="Arial" w:hAnsi="Arial"/>
          <w:i/>
          <w:sz w:val="20"/>
        </w:rPr>
        <w:t>Cointax</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Myham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Son</w:t>
      </w:r>
      <w:r>
        <w:rPr>
          <w:rFonts w:ascii="Arial" w:hAnsi="Arial"/>
          <w:i/>
          <w:spacing w:val="40"/>
          <w:sz w:val="20"/>
        </w:rPr>
        <w:t> </w:t>
      </w:r>
      <w:r>
        <w:rPr>
          <w:rFonts w:ascii="Arial" w:hAnsi="Arial"/>
          <w:i/>
          <w:sz w:val="20"/>
        </w:rPr>
        <w:t>[1913]</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220</w:t>
      </w:r>
      <w:r>
        <w:rPr>
          <w:rFonts w:ascii="Arial" w:hAnsi="Arial"/>
          <w:i/>
          <w:spacing w:val="40"/>
          <w:sz w:val="20"/>
        </w:rPr>
        <w:t> </w:t>
      </w:r>
      <w:r>
        <w:rPr>
          <w:sz w:val="20"/>
        </w:rPr>
        <w:t>(below, para.44-425); </w:t>
      </w:r>
      <w:r>
        <w:rPr>
          <w:rFonts w:ascii="Arial" w:hAnsi="Arial"/>
          <w:i/>
          <w:sz w:val="20"/>
        </w:rPr>
        <w:t>G.K.N. Centrax Gears Ltd v Matbro Ltd [1976] 2 Lloyd’s Rep. 555 </w:t>
      </w:r>
      <w:r>
        <w:rPr>
          <w:sz w:val="20"/>
        </w:rPr>
        <w:t>(below, para. 44-425);</w:t>
      </w:r>
      <w:r>
        <w:rPr>
          <w:spacing w:val="40"/>
          <w:sz w:val="20"/>
        </w:rPr>
        <w:t> </w:t>
      </w:r>
      <w:r>
        <w:rPr>
          <w:rFonts w:ascii="Arial" w:hAnsi="Arial"/>
          <w:i/>
          <w:sz w:val="20"/>
        </w:rPr>
        <w:t>Jackson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Scotland</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3,</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377</w:t>
      </w:r>
      <w:r>
        <w:rPr>
          <w:rFonts w:ascii="Arial" w:hAnsi="Arial"/>
          <w:i/>
          <w:spacing w:val="40"/>
          <w:sz w:val="20"/>
        </w:rPr>
        <w:t> </w:t>
      </w:r>
      <w:r>
        <w:rPr>
          <w:sz w:val="20"/>
        </w:rPr>
        <w:t>(see</w:t>
      </w:r>
      <w:r>
        <w:rPr>
          <w:spacing w:val="40"/>
          <w:sz w:val="20"/>
        </w:rPr>
        <w:t> </w:t>
      </w:r>
      <w:r>
        <w:rPr>
          <w:sz w:val="20"/>
        </w:rPr>
        <w:t>above, </w:t>
      </w:r>
      <w:r>
        <w:rPr>
          <w:spacing w:val="-2"/>
          <w:sz w:val="20"/>
        </w:rPr>
        <w:t>para.26-138).</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8. - Particular Restrictions on Recovery of </w:t>
      </w:r>
      <w:r>
        <w:rPr>
          <w:rFonts w:ascii="Arial"/>
          <w:b/>
          <w:spacing w:val="-2"/>
          <w:sz w:val="24"/>
        </w:rPr>
        <w:t>Damages</w:t>
      </w:r>
    </w:p>
    <w:p>
      <w:pPr>
        <w:spacing w:before="194"/>
        <w:ind w:left="4078" w:right="0" w:firstLine="0"/>
        <w:jc w:val="left"/>
        <w:rPr>
          <w:rFonts w:ascii="Arial"/>
          <w:b/>
          <w:sz w:val="24"/>
        </w:rPr>
      </w:pPr>
      <w:r>
        <w:rPr>
          <w:rFonts w:ascii="Arial"/>
          <w:b/>
          <w:sz w:val="24"/>
        </w:rPr>
        <w:t>(b) - </w:t>
      </w:r>
      <w:r>
        <w:rPr>
          <w:rFonts w:ascii="Arial"/>
          <w:b/>
          <w:spacing w:val="-2"/>
          <w:sz w:val="24"/>
        </w:rPr>
        <w:t>Costs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593" w:id="1595"/>
      <w:bookmarkEnd w:id="1595"/>
      <w:r>
        <w:rPr/>
      </w:r>
      <w:r>
        <w:rPr>
          <w:rFonts w:ascii="Arial"/>
          <w:b/>
          <w:sz w:val="18"/>
        </w:rPr>
        <w:t>Costs</w:t>
      </w:r>
      <w:r>
        <w:rPr>
          <w:rFonts w:ascii="Arial"/>
          <w:b/>
          <w:spacing w:val="-1"/>
          <w:sz w:val="18"/>
        </w:rPr>
        <w:t> </w:t>
      </w:r>
      <w:r>
        <w:rPr>
          <w:rFonts w:ascii="Arial"/>
          <w:b/>
          <w:color w:val="005DA1"/>
          <w:spacing w:val="-5"/>
          <w:sz w:val="18"/>
          <w:u w:val="single" w:color="005DA1"/>
          <w:vertAlign w:val="superscript"/>
        </w:rPr>
        <w:t>843</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150</w:t>
      </w:r>
    </w:p>
    <w:p>
      <w:pPr>
        <w:pStyle w:val="BodyText"/>
        <w:spacing w:line="235" w:lineRule="auto" w:before="202"/>
        <w:ind w:left="165" w:right="167"/>
        <w:jc w:val="both"/>
      </w:pPr>
      <w:bookmarkStart w:name="_bookmark1594" w:id="1596"/>
      <w:bookmarkEnd w:id="1596"/>
      <w:r>
        <w:rPr/>
      </w:r>
      <w:r>
        <w:rPr/>
        <w:t>A party who in an action against the defendant has incurred legal costs for which it has not </w:t>
      </w:r>
      <w:r>
        <w:rPr/>
        <w:t>been </w:t>
      </w:r>
      <w:bookmarkStart w:name="_bookmark1595" w:id="1597"/>
      <w:bookmarkEnd w:id="1597"/>
      <w:r>
        <w:rPr/>
        <w:t>awarded</w:t>
      </w:r>
      <w:r>
        <w:rPr/>
        <w:t> costs when those could have been awarded may not be able to recover them. </w:t>
      </w:r>
      <w:r>
        <w:rPr>
          <w:color w:val="005DA1"/>
          <w:u w:val="single" w:color="005DA1"/>
          <w:vertAlign w:val="superscript"/>
        </w:rPr>
        <w:t>844</w:t>
      </w:r>
      <w:r>
        <w:rPr>
          <w:color w:val="005DA1"/>
          <w:vertAlign w:val="baseline"/>
        </w:rPr>
        <w:t> </w:t>
      </w:r>
      <w:r>
        <w:rPr>
          <w:vertAlign w:val="baseline"/>
        </w:rPr>
        <w:t>The</w:t>
      </w:r>
      <w:r>
        <w:rPr>
          <w:spacing w:val="40"/>
          <w:vertAlign w:val="baseline"/>
        </w:rPr>
        <w:t> </w:t>
      </w:r>
      <w:bookmarkStart w:name="_bookmark1596" w:id="1598"/>
      <w:bookmarkEnd w:id="1598"/>
      <w:r>
        <w:rPr>
          <w:vertAlign w:val="baseline"/>
        </w:rPr>
        <w:t>reason</w:t>
      </w:r>
      <w:r>
        <w:rPr>
          <w:vertAlign w:val="baseline"/>
        </w:rPr>
        <w:t> is that the court will not investigate the matter a second time. </w:t>
      </w:r>
      <w:r>
        <w:rPr>
          <w:color w:val="005DA1"/>
          <w:u w:val="single" w:color="005DA1"/>
          <w:vertAlign w:val="superscript"/>
        </w:rPr>
        <w:t>845</w:t>
      </w:r>
      <w:r>
        <w:rPr>
          <w:color w:val="005DA1"/>
          <w:vertAlign w:val="baseline"/>
        </w:rPr>
        <w:t> </w:t>
      </w:r>
      <w:r>
        <w:rPr>
          <w:vertAlign w:val="baseline"/>
        </w:rPr>
        <w:t>If the judge refused to award </w:t>
      </w:r>
      <w:bookmarkStart w:name="_bookmark1597" w:id="1599"/>
      <w:bookmarkEnd w:id="1599"/>
      <w:r>
        <w:rPr>
          <w:vertAlign w:val="baseline"/>
        </w:rPr>
        <w:t>costs,</w:t>
      </w:r>
      <w:r>
        <w:rPr>
          <w:vertAlign w:val="baseline"/>
        </w:rPr>
        <w:t> that is because the claimant did not deserve them. </w:t>
      </w:r>
      <w:r>
        <w:rPr>
          <w:color w:val="005DA1"/>
          <w:u w:val="single" w:color="005DA1"/>
          <w:vertAlign w:val="superscript"/>
        </w:rPr>
        <w:t>846</w:t>
      </w:r>
      <w:r>
        <w:rPr>
          <w:color w:val="005DA1"/>
          <w:vertAlign w:val="baseline"/>
        </w:rPr>
        <w:t> </w:t>
      </w:r>
      <w:r>
        <w:rPr>
          <w:vertAlign w:val="baseline"/>
        </w:rPr>
        <w:t>If the costs were incurred in an action in</w:t>
      </w:r>
      <w:r>
        <w:rPr>
          <w:spacing w:val="40"/>
          <w:vertAlign w:val="baseline"/>
        </w:rPr>
        <w:t> </w:t>
      </w:r>
      <w:r>
        <w:rPr>
          <w:vertAlign w:val="baseline"/>
        </w:rPr>
        <w:t>a</w:t>
      </w:r>
      <w:r>
        <w:rPr>
          <w:spacing w:val="12"/>
          <w:vertAlign w:val="baseline"/>
        </w:rPr>
        <w:t> </w:t>
      </w:r>
      <w:r>
        <w:rPr>
          <w:vertAlign w:val="baseline"/>
        </w:rPr>
        <w:t>foreign</w:t>
      </w:r>
      <w:r>
        <w:rPr>
          <w:spacing w:val="14"/>
          <w:vertAlign w:val="baseline"/>
        </w:rPr>
        <w:t> </w:t>
      </w:r>
      <w:r>
        <w:rPr>
          <w:vertAlign w:val="baseline"/>
        </w:rPr>
        <w:t>jurisdiction</w:t>
      </w:r>
      <w:r>
        <w:rPr>
          <w:spacing w:val="14"/>
          <w:vertAlign w:val="baseline"/>
        </w:rPr>
        <w:t> </w:t>
      </w:r>
      <w:r>
        <w:rPr>
          <w:vertAlign w:val="baseline"/>
        </w:rPr>
        <w:t>where</w:t>
      </w:r>
      <w:r>
        <w:rPr>
          <w:spacing w:val="14"/>
          <w:vertAlign w:val="baseline"/>
        </w:rPr>
        <w:t> </w:t>
      </w:r>
      <w:r>
        <w:rPr>
          <w:vertAlign w:val="baseline"/>
        </w:rPr>
        <w:t>costs</w:t>
      </w:r>
      <w:r>
        <w:rPr>
          <w:spacing w:val="14"/>
          <w:vertAlign w:val="baseline"/>
        </w:rPr>
        <w:t> </w:t>
      </w:r>
      <w:r>
        <w:rPr>
          <w:vertAlign w:val="baseline"/>
        </w:rPr>
        <w:t>are</w:t>
      </w:r>
      <w:r>
        <w:rPr>
          <w:spacing w:val="14"/>
          <w:vertAlign w:val="baseline"/>
        </w:rPr>
        <w:t> </w:t>
      </w:r>
      <w:r>
        <w:rPr>
          <w:vertAlign w:val="baseline"/>
        </w:rPr>
        <w:t>not</w:t>
      </w:r>
      <w:r>
        <w:rPr>
          <w:spacing w:val="14"/>
          <w:vertAlign w:val="baseline"/>
        </w:rPr>
        <w:t> </w:t>
      </w:r>
      <w:r>
        <w:rPr>
          <w:vertAlign w:val="baseline"/>
        </w:rPr>
        <w:t>awarded</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successful</w:t>
      </w:r>
      <w:r>
        <w:rPr>
          <w:spacing w:val="14"/>
          <w:vertAlign w:val="baseline"/>
        </w:rPr>
        <w:t> </w:t>
      </w:r>
      <w:r>
        <w:rPr>
          <w:vertAlign w:val="baseline"/>
        </w:rPr>
        <w:t>party,</w:t>
      </w:r>
      <w:r>
        <w:rPr>
          <w:spacing w:val="14"/>
          <w:vertAlign w:val="baseline"/>
        </w:rPr>
        <w:t> </w:t>
      </w:r>
      <w:r>
        <w:rPr>
          <w:vertAlign w:val="baseline"/>
        </w:rPr>
        <w:t>they</w:t>
      </w:r>
      <w:r>
        <w:rPr>
          <w:spacing w:val="14"/>
          <w:vertAlign w:val="baseline"/>
        </w:rPr>
        <w:t> </w:t>
      </w:r>
      <w:r>
        <w:rPr>
          <w:vertAlign w:val="baseline"/>
        </w:rPr>
        <w:t>may</w:t>
      </w:r>
      <w:r>
        <w:rPr>
          <w:spacing w:val="14"/>
          <w:vertAlign w:val="baseline"/>
        </w:rPr>
        <w:t> </w:t>
      </w:r>
      <w:r>
        <w:rPr>
          <w:vertAlign w:val="baseline"/>
        </w:rPr>
        <w:t>be</w:t>
      </w:r>
      <w:r>
        <w:rPr>
          <w:spacing w:val="14"/>
          <w:vertAlign w:val="baseline"/>
        </w:rPr>
        <w:t> </w:t>
      </w:r>
      <w:r>
        <w:rPr>
          <w:spacing w:val="-2"/>
          <w:vertAlign w:val="baseline"/>
        </w:rPr>
        <w:t>recoverable.</w:t>
      </w:r>
    </w:p>
    <w:p>
      <w:pPr>
        <w:spacing w:line="112" w:lineRule="exact" w:before="0"/>
        <w:ind w:left="165" w:right="0" w:firstLine="0"/>
        <w:jc w:val="left"/>
        <w:rPr>
          <w:sz w:val="12"/>
        </w:rPr>
      </w:pPr>
      <w:r>
        <w:rPr>
          <w:color w:val="005DA1"/>
          <w:spacing w:val="-5"/>
          <w:sz w:val="12"/>
          <w:u w:val="single" w:color="005DA1"/>
        </w:rPr>
        <w:t>847</w:t>
      </w:r>
    </w:p>
    <w:p>
      <w:pPr>
        <w:pStyle w:val="BodyText"/>
      </w:pPr>
    </w:p>
    <w:p>
      <w:pPr>
        <w:pStyle w:val="BodyText"/>
        <w:spacing w:before="151"/>
      </w:pPr>
      <w:r>
        <w:rPr/>
        <mc:AlternateContent>
          <mc:Choice Requires="wps">
            <w:drawing>
              <wp:anchor distT="0" distB="0" distL="0" distR="0" allowOverlap="1" layoutInCell="1" locked="0" behindDoc="1" simplePos="0" relativeHeight="487673856">
                <wp:simplePos x="0" y="0"/>
                <wp:positionH relativeFrom="page">
                  <wp:posOffset>914400</wp:posOffset>
                </wp:positionH>
                <wp:positionV relativeFrom="paragraph">
                  <wp:posOffset>257743</wp:posOffset>
                </wp:positionV>
                <wp:extent cx="5724525"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94788pt;width:450.75pt;height:.1pt;mso-position-horizontal-relative:page;mso-position-vertical-relative:paragraph;z-index:-15642624;mso-wrap-distance-left:0;mso-wrap-distance-right:0" id="docshape73" coordorigin="1440,406" coordsize="9015,0" path="m1440,406l10454,406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598" w:id="1600"/>
      <w:bookmarkEnd w:id="1600"/>
      <w:r>
        <w:rPr/>
      </w:r>
      <w:hyperlink w:history="true" w:anchor="_bookmark1593">
        <w:r>
          <w:rPr>
            <w:color w:val="005DA1"/>
            <w:spacing w:val="-4"/>
            <w:position w:val="5"/>
            <w:sz w:val="14"/>
            <w:u w:val="single" w:color="005DA1"/>
          </w:rPr>
          <w:t>843</w:t>
        </w:r>
      </w:hyperlink>
      <w:r>
        <w:rPr>
          <w:spacing w:val="-4"/>
          <w:position w:val="5"/>
          <w:sz w:val="14"/>
        </w:rPr>
        <w:t>.</w:t>
      </w:r>
      <w:r>
        <w:rPr>
          <w:position w:val="5"/>
          <w:sz w:val="14"/>
        </w:rPr>
        <w:tab/>
      </w:r>
      <w:r>
        <w:rPr/>
        <w:t>See Merrett (2009) 125 L.Q.R. </w:t>
      </w:r>
      <w:r>
        <w:rPr>
          <w:spacing w:val="-4"/>
        </w:rPr>
        <w:t>468.</w:t>
      </w:r>
    </w:p>
    <w:p>
      <w:pPr>
        <w:pStyle w:val="BodyText"/>
        <w:spacing w:before="5"/>
      </w:pPr>
    </w:p>
    <w:p>
      <w:pPr>
        <w:tabs>
          <w:tab w:pos="705" w:val="left" w:leader="none"/>
        </w:tabs>
        <w:spacing w:before="0"/>
        <w:ind w:left="165" w:right="0" w:firstLine="0"/>
        <w:jc w:val="left"/>
        <w:rPr>
          <w:sz w:val="20"/>
        </w:rPr>
      </w:pPr>
      <w:bookmarkStart w:name="_bookmark1599" w:id="1601"/>
      <w:bookmarkEnd w:id="1601"/>
      <w:r>
        <w:rPr/>
      </w:r>
      <w:hyperlink w:history="true" w:anchor="_bookmark1594">
        <w:r>
          <w:rPr>
            <w:color w:val="005DA1"/>
            <w:spacing w:val="-4"/>
            <w:position w:val="5"/>
            <w:sz w:val="14"/>
            <w:u w:val="single" w:color="005DA1"/>
          </w:rPr>
          <w:t>844</w:t>
        </w:r>
      </w:hyperlink>
      <w:r>
        <w:rPr>
          <w:spacing w:val="-4"/>
          <w:position w:val="5"/>
          <w:sz w:val="14"/>
        </w:rPr>
        <w:t>.</w:t>
      </w:r>
      <w:r>
        <w:rPr>
          <w:position w:val="5"/>
          <w:sz w:val="14"/>
        </w:rPr>
        <w:tab/>
      </w:r>
      <w:r>
        <w:rPr>
          <w:rFonts w:ascii="Arial"/>
          <w:i/>
          <w:sz w:val="20"/>
        </w:rPr>
        <w:t>Carroll v Kynaston [2010] EWCA Civ </w:t>
      </w:r>
      <w:r>
        <w:rPr>
          <w:rFonts w:ascii="Arial"/>
          <w:i/>
          <w:spacing w:val="-2"/>
          <w:sz w:val="20"/>
        </w:rPr>
        <w:t>1404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600" w:id="1602"/>
      <w:bookmarkEnd w:id="1602"/>
      <w:r>
        <w:rPr/>
      </w:r>
      <w:hyperlink w:history="true" w:anchor="_bookmark1595">
        <w:r>
          <w:rPr>
            <w:color w:val="005DA1"/>
            <w:spacing w:val="-4"/>
            <w:position w:val="5"/>
            <w:sz w:val="14"/>
            <w:u w:val="single" w:color="005DA1"/>
          </w:rPr>
          <w:t>845</w:t>
        </w:r>
      </w:hyperlink>
      <w:r>
        <w:rPr>
          <w:spacing w:val="-4"/>
          <w:position w:val="5"/>
          <w:sz w:val="14"/>
        </w:rPr>
        <w:t>.</w:t>
      </w:r>
      <w:r>
        <w:rPr>
          <w:position w:val="5"/>
          <w:sz w:val="14"/>
        </w:rPr>
        <w:tab/>
      </w:r>
      <w:r>
        <w:rPr>
          <w:rFonts w:ascii="Arial"/>
          <w:i/>
          <w:sz w:val="20"/>
        </w:rPr>
        <w:t>[2010] EWCA Civ 1404</w:t>
      </w:r>
      <w:r>
        <w:rPr>
          <w:rFonts w:ascii="Arial"/>
          <w:i/>
          <w:spacing w:val="-1"/>
          <w:sz w:val="20"/>
        </w:rPr>
        <w:t> </w:t>
      </w:r>
      <w:r>
        <w:rPr>
          <w:sz w:val="20"/>
        </w:rPr>
        <w:t>at </w:t>
      </w:r>
      <w:r>
        <w:rPr>
          <w:spacing w:val="-2"/>
          <w:sz w:val="20"/>
        </w:rPr>
        <w:t>[30].</w:t>
      </w:r>
    </w:p>
    <w:p>
      <w:pPr>
        <w:pStyle w:val="BodyText"/>
        <w:spacing w:before="5"/>
      </w:pPr>
    </w:p>
    <w:p>
      <w:pPr>
        <w:tabs>
          <w:tab w:pos="705" w:val="left" w:leader="none"/>
        </w:tabs>
        <w:spacing w:before="0"/>
        <w:ind w:left="165" w:right="0" w:firstLine="0"/>
        <w:jc w:val="left"/>
        <w:rPr>
          <w:sz w:val="20"/>
        </w:rPr>
      </w:pPr>
      <w:bookmarkStart w:name="_bookmark1601" w:id="1603"/>
      <w:bookmarkEnd w:id="1603"/>
      <w:r>
        <w:rPr/>
      </w:r>
      <w:hyperlink w:history="true" w:anchor="_bookmark1596">
        <w:r>
          <w:rPr>
            <w:color w:val="005DA1"/>
            <w:spacing w:val="-4"/>
            <w:position w:val="5"/>
            <w:sz w:val="14"/>
            <w:u w:val="single" w:color="005DA1"/>
          </w:rPr>
          <w:t>846</w:t>
        </w:r>
      </w:hyperlink>
      <w:r>
        <w:rPr>
          <w:spacing w:val="-4"/>
          <w:position w:val="5"/>
          <w:sz w:val="14"/>
        </w:rPr>
        <w:t>.</w:t>
      </w:r>
      <w:r>
        <w:rPr>
          <w:position w:val="5"/>
          <w:sz w:val="14"/>
        </w:rPr>
        <w:tab/>
      </w:r>
      <w:r>
        <w:rPr>
          <w:rFonts w:ascii="Arial"/>
          <w:i/>
          <w:sz w:val="20"/>
        </w:rPr>
        <w:t>Berry v British Transport Commission [1962] 1 Q.B. 306</w:t>
      </w:r>
      <w:r>
        <w:rPr>
          <w:rFonts w:ascii="Arial"/>
          <w:i/>
          <w:spacing w:val="-1"/>
          <w:sz w:val="20"/>
        </w:rPr>
        <w:t> </w:t>
      </w:r>
      <w:r>
        <w:rPr>
          <w:sz w:val="20"/>
        </w:rPr>
        <w:t>at 320, Devlin </w:t>
      </w:r>
      <w:r>
        <w:rPr>
          <w:spacing w:val="-4"/>
          <w:sz w:val="20"/>
        </w:rPr>
        <w:t>L.J.</w:t>
      </w:r>
    </w:p>
    <w:p>
      <w:pPr>
        <w:pStyle w:val="BodyText"/>
        <w:spacing w:before="5"/>
      </w:pPr>
    </w:p>
    <w:p>
      <w:pPr>
        <w:spacing w:line="227" w:lineRule="exact" w:before="0"/>
        <w:ind w:left="165" w:right="0" w:firstLine="0"/>
        <w:jc w:val="both"/>
        <w:rPr>
          <w:rFonts w:ascii="Arial"/>
          <w:i/>
          <w:sz w:val="20"/>
        </w:rPr>
      </w:pPr>
      <w:bookmarkStart w:name="_bookmark1602" w:id="1604"/>
      <w:bookmarkEnd w:id="1604"/>
      <w:r>
        <w:rPr/>
      </w:r>
      <w:hyperlink w:history="true" w:anchor="_bookmark1597">
        <w:r>
          <w:rPr>
            <w:color w:val="005DA1"/>
            <w:position w:val="5"/>
            <w:sz w:val="14"/>
            <w:u w:val="single" w:color="005DA1"/>
          </w:rPr>
          <w:t>847</w:t>
        </w:r>
      </w:hyperlink>
      <w:r>
        <w:rPr>
          <w:position w:val="5"/>
          <w:sz w:val="14"/>
        </w:rPr>
        <w:t>.</w:t>
      </w:r>
      <w:r>
        <w:rPr>
          <w:spacing w:val="75"/>
          <w:w w:val="150"/>
          <w:position w:val="5"/>
          <w:sz w:val="14"/>
        </w:rPr>
        <w:t>  </w:t>
      </w:r>
      <w:r>
        <w:rPr>
          <w:rFonts w:ascii="Arial"/>
          <w:i/>
          <w:sz w:val="20"/>
        </w:rPr>
        <w:t>Union</w:t>
      </w:r>
      <w:r>
        <w:rPr>
          <w:rFonts w:ascii="Arial"/>
          <w:i/>
          <w:spacing w:val="56"/>
          <w:sz w:val="20"/>
        </w:rPr>
        <w:t> </w:t>
      </w:r>
      <w:r>
        <w:rPr>
          <w:rFonts w:ascii="Arial"/>
          <w:i/>
          <w:sz w:val="20"/>
        </w:rPr>
        <w:t>Discount</w:t>
      </w:r>
      <w:r>
        <w:rPr>
          <w:rFonts w:ascii="Arial"/>
          <w:i/>
          <w:spacing w:val="56"/>
          <w:sz w:val="20"/>
        </w:rPr>
        <w:t> </w:t>
      </w:r>
      <w:r>
        <w:rPr>
          <w:rFonts w:ascii="Arial"/>
          <w:i/>
          <w:sz w:val="20"/>
        </w:rPr>
        <w:t>Co</w:t>
      </w:r>
      <w:r>
        <w:rPr>
          <w:rFonts w:ascii="Arial"/>
          <w:i/>
          <w:spacing w:val="56"/>
          <w:sz w:val="20"/>
        </w:rPr>
        <w:t> </w:t>
      </w:r>
      <w:r>
        <w:rPr>
          <w:rFonts w:ascii="Arial"/>
          <w:i/>
          <w:sz w:val="20"/>
        </w:rPr>
        <w:t>Ltd</w:t>
      </w:r>
      <w:r>
        <w:rPr>
          <w:rFonts w:ascii="Arial"/>
          <w:i/>
          <w:spacing w:val="56"/>
          <w:sz w:val="20"/>
        </w:rPr>
        <w:t> </w:t>
      </w:r>
      <w:r>
        <w:rPr>
          <w:rFonts w:ascii="Arial"/>
          <w:i/>
          <w:sz w:val="20"/>
        </w:rPr>
        <w:t>v</w:t>
      </w:r>
      <w:r>
        <w:rPr>
          <w:rFonts w:ascii="Arial"/>
          <w:i/>
          <w:spacing w:val="56"/>
          <w:sz w:val="20"/>
        </w:rPr>
        <w:t> </w:t>
      </w:r>
      <w:r>
        <w:rPr>
          <w:rFonts w:ascii="Arial"/>
          <w:i/>
          <w:sz w:val="20"/>
        </w:rPr>
        <w:t>Zoller</w:t>
      </w:r>
      <w:r>
        <w:rPr>
          <w:rFonts w:ascii="Arial"/>
          <w:i/>
          <w:spacing w:val="56"/>
          <w:sz w:val="20"/>
        </w:rPr>
        <w:t> </w:t>
      </w:r>
      <w:r>
        <w:rPr>
          <w:rFonts w:ascii="Arial"/>
          <w:i/>
          <w:sz w:val="20"/>
        </w:rPr>
        <w:t>[2001]</w:t>
      </w:r>
      <w:r>
        <w:rPr>
          <w:rFonts w:ascii="Arial"/>
          <w:i/>
          <w:spacing w:val="56"/>
          <w:sz w:val="20"/>
        </w:rPr>
        <w:t> </w:t>
      </w:r>
      <w:r>
        <w:rPr>
          <w:rFonts w:ascii="Arial"/>
          <w:i/>
          <w:sz w:val="20"/>
        </w:rPr>
        <w:t>EWCA</w:t>
      </w:r>
      <w:r>
        <w:rPr>
          <w:rFonts w:ascii="Arial"/>
          <w:i/>
          <w:spacing w:val="55"/>
          <w:sz w:val="20"/>
        </w:rPr>
        <w:t> </w:t>
      </w:r>
      <w:r>
        <w:rPr>
          <w:rFonts w:ascii="Arial"/>
          <w:i/>
          <w:sz w:val="20"/>
        </w:rPr>
        <w:t>Civ</w:t>
      </w:r>
      <w:r>
        <w:rPr>
          <w:rFonts w:ascii="Arial"/>
          <w:i/>
          <w:spacing w:val="56"/>
          <w:sz w:val="20"/>
        </w:rPr>
        <w:t> </w:t>
      </w:r>
      <w:r>
        <w:rPr>
          <w:rFonts w:ascii="Arial"/>
          <w:i/>
          <w:sz w:val="20"/>
        </w:rPr>
        <w:t>1755,</w:t>
      </w:r>
      <w:r>
        <w:rPr>
          <w:rFonts w:ascii="Arial"/>
          <w:i/>
          <w:spacing w:val="56"/>
          <w:sz w:val="20"/>
        </w:rPr>
        <w:t> </w:t>
      </w:r>
      <w:r>
        <w:rPr>
          <w:rFonts w:ascii="Arial"/>
          <w:i/>
          <w:sz w:val="20"/>
        </w:rPr>
        <w:t>[2002]</w:t>
      </w:r>
      <w:r>
        <w:rPr>
          <w:rFonts w:ascii="Arial"/>
          <w:i/>
          <w:spacing w:val="56"/>
          <w:sz w:val="20"/>
        </w:rPr>
        <w:t> </w:t>
      </w:r>
      <w:r>
        <w:rPr>
          <w:rFonts w:ascii="Arial"/>
          <w:i/>
          <w:sz w:val="20"/>
        </w:rPr>
        <w:t>1</w:t>
      </w:r>
      <w:r>
        <w:rPr>
          <w:rFonts w:ascii="Arial"/>
          <w:i/>
          <w:spacing w:val="56"/>
          <w:sz w:val="20"/>
        </w:rPr>
        <w:t> </w:t>
      </w:r>
      <w:r>
        <w:rPr>
          <w:rFonts w:ascii="Arial"/>
          <w:i/>
          <w:sz w:val="20"/>
        </w:rPr>
        <w:t>W.L.R.</w:t>
      </w:r>
      <w:r>
        <w:rPr>
          <w:rFonts w:ascii="Arial"/>
          <w:i/>
          <w:spacing w:val="56"/>
          <w:sz w:val="20"/>
        </w:rPr>
        <w:t> </w:t>
      </w:r>
      <w:r>
        <w:rPr>
          <w:rFonts w:ascii="Arial"/>
          <w:i/>
          <w:sz w:val="20"/>
        </w:rPr>
        <w:t>1517</w:t>
      </w:r>
      <w:r>
        <w:rPr>
          <w:sz w:val="20"/>
        </w:rPr>
        <w:t>;</w:t>
      </w:r>
      <w:r>
        <w:rPr>
          <w:spacing w:val="56"/>
          <w:sz w:val="20"/>
        </w:rPr>
        <w:t> </w:t>
      </w:r>
      <w:r>
        <w:rPr>
          <w:rFonts w:ascii="Arial"/>
          <w:i/>
          <w:spacing w:val="-2"/>
          <w:sz w:val="20"/>
        </w:rPr>
        <w:t>National</w:t>
      </w:r>
    </w:p>
    <w:p>
      <w:pPr>
        <w:spacing w:line="235" w:lineRule="auto" w:before="2"/>
        <w:ind w:left="705" w:right="167" w:firstLine="0"/>
        <w:jc w:val="both"/>
        <w:rPr>
          <w:sz w:val="20"/>
        </w:rPr>
      </w:pPr>
      <w:r>
        <w:rPr>
          <w:rFonts w:ascii="Arial" w:hAnsi="Arial"/>
          <w:i/>
          <w:sz w:val="20"/>
        </w:rPr>
        <w:t>Westminster Bank Plc v Rabobank Nederland [2007] EWHC 3163 (Comm), [2008] 1 </w:t>
      </w:r>
      <w:r>
        <w:rPr>
          <w:rFonts w:ascii="Arial" w:hAnsi="Arial"/>
          <w:i/>
          <w:sz w:val="20"/>
        </w:rPr>
        <w:t>Lloyd’s Rep. 16 </w:t>
      </w:r>
      <w:r>
        <w:rPr>
          <w:sz w:val="20"/>
        </w:rPr>
        <w:t>at [25]. It seems that the rule also does not apply when the costs were incurred in defending a criminal action and are later claimed in a civil one: </w:t>
      </w:r>
      <w:r>
        <w:rPr>
          <w:rFonts w:ascii="Arial" w:hAnsi="Arial"/>
          <w:i/>
          <w:sz w:val="20"/>
        </w:rPr>
        <w:t>Berry v British Transport Commission</w:t>
      </w:r>
      <w:r>
        <w:rPr>
          <w:rFonts w:ascii="Arial" w:hAnsi="Arial"/>
          <w:i/>
          <w:spacing w:val="17"/>
          <w:sz w:val="20"/>
        </w:rPr>
        <w:t> </w:t>
      </w:r>
      <w:r>
        <w:rPr>
          <w:rFonts w:ascii="Arial" w:hAnsi="Arial"/>
          <w:i/>
          <w:sz w:val="20"/>
        </w:rPr>
        <w:t>[1962]</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Q.B.</w:t>
      </w:r>
      <w:r>
        <w:rPr>
          <w:rFonts w:ascii="Arial" w:hAnsi="Arial"/>
          <w:i/>
          <w:spacing w:val="18"/>
          <w:sz w:val="20"/>
        </w:rPr>
        <w:t> </w:t>
      </w:r>
      <w:r>
        <w:rPr>
          <w:rFonts w:ascii="Arial" w:hAnsi="Arial"/>
          <w:i/>
          <w:sz w:val="20"/>
        </w:rPr>
        <w:t>306</w:t>
      </w:r>
      <w:r>
        <w:rPr>
          <w:sz w:val="20"/>
        </w:rPr>
        <w:t>,</w:t>
      </w:r>
      <w:r>
        <w:rPr>
          <w:spacing w:val="18"/>
          <w:sz w:val="20"/>
        </w:rPr>
        <w:t> </w:t>
      </w:r>
      <w:r>
        <w:rPr>
          <w:sz w:val="20"/>
        </w:rPr>
        <w:t>as</w:t>
      </w:r>
      <w:r>
        <w:rPr>
          <w:spacing w:val="18"/>
          <w:sz w:val="20"/>
        </w:rPr>
        <w:t> </w:t>
      </w:r>
      <w:r>
        <w:rPr>
          <w:sz w:val="20"/>
        </w:rPr>
        <w:t>explained</w:t>
      </w:r>
      <w:r>
        <w:rPr>
          <w:spacing w:val="18"/>
          <w:sz w:val="20"/>
        </w:rPr>
        <w:t> </w:t>
      </w:r>
      <w:r>
        <w:rPr>
          <w:sz w:val="20"/>
        </w:rPr>
        <w:t>in</w:t>
      </w:r>
      <w:r>
        <w:rPr>
          <w:spacing w:val="18"/>
          <w:sz w:val="20"/>
        </w:rPr>
        <w:t> </w:t>
      </w:r>
      <w:r>
        <w:rPr>
          <w:rFonts w:ascii="Arial" w:hAnsi="Arial"/>
          <w:i/>
          <w:sz w:val="20"/>
        </w:rPr>
        <w:t>Carroll</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Kynaston</w:t>
      </w:r>
      <w:r>
        <w:rPr>
          <w:rFonts w:ascii="Arial" w:hAnsi="Arial"/>
          <w:i/>
          <w:spacing w:val="18"/>
          <w:sz w:val="20"/>
        </w:rPr>
        <w:t> </w:t>
      </w:r>
      <w:r>
        <w:rPr>
          <w:rFonts w:ascii="Arial" w:hAnsi="Arial"/>
          <w:i/>
          <w:sz w:val="20"/>
        </w:rPr>
        <w:t>[2010]</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1404</w:t>
      </w:r>
      <w:r>
        <w:rPr>
          <w:rFonts w:ascii="Arial" w:hAnsi="Arial"/>
          <w:i/>
          <w:spacing w:val="18"/>
          <w:sz w:val="20"/>
        </w:rPr>
        <w:t> </w:t>
      </w:r>
      <w:r>
        <w:rPr>
          <w:spacing w:val="-5"/>
          <w:sz w:val="20"/>
        </w:rPr>
        <w:t>at</w:t>
      </w:r>
    </w:p>
    <w:p>
      <w:pPr>
        <w:pStyle w:val="BodyText"/>
        <w:spacing w:line="225" w:lineRule="exact"/>
        <w:ind w:left="705"/>
      </w:pPr>
      <w:r>
        <w:rPr>
          <w:spacing w:val="-2"/>
        </w:rPr>
        <w:t>[30].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40"/>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pStyle w:val="ListParagraph"/>
        <w:numPr>
          <w:ilvl w:val="0"/>
          <w:numId w:val="9"/>
        </w:numPr>
        <w:tabs>
          <w:tab w:pos="4078" w:val="left" w:leader="none"/>
        </w:tabs>
        <w:spacing w:line="240" w:lineRule="auto" w:before="194" w:after="0"/>
        <w:ind w:left="4078" w:right="0" w:hanging="360"/>
        <w:jc w:val="left"/>
        <w:rPr>
          <w:b/>
          <w:sz w:val="24"/>
        </w:rPr>
      </w:pPr>
      <w:r>
        <w:rPr>
          <w:b/>
          <w:sz w:val="24"/>
        </w:rPr>
        <w:t>- </w:t>
      </w:r>
      <w:r>
        <w:rPr>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Causation, mitigation and </w:t>
      </w:r>
      <w:r>
        <w:rPr>
          <w:rFonts w:ascii="Arial"/>
          <w:b/>
          <w:spacing w:val="-2"/>
          <w:sz w:val="18"/>
        </w:rPr>
        <w:t>remoteness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151</w:t>
      </w:r>
    </w:p>
    <w:p>
      <w:pPr>
        <w:pStyle w:val="BodyText"/>
        <w:spacing w:line="235" w:lineRule="auto" w:before="202"/>
        <w:ind w:left="165" w:right="167"/>
        <w:jc w:val="both"/>
      </w:pPr>
      <w:bookmarkStart w:name="_bookmark1603" w:id="1605"/>
      <w:bookmarkEnd w:id="1605"/>
      <w:r>
        <w:rPr/>
      </w:r>
      <w:r>
        <w:rPr/>
        <w:t>The combined effect of the rules described in earlier sections of this chapter, in particular the rules </w:t>
      </w:r>
      <w:r>
        <w:rPr/>
        <w:t>of causation, </w:t>
      </w:r>
      <w:r>
        <w:rPr>
          <w:color w:val="005DA1"/>
          <w:u w:val="single" w:color="005DA1"/>
          <w:vertAlign w:val="superscript"/>
        </w:rPr>
        <w:t>849</w:t>
      </w:r>
      <w:r>
        <w:rPr>
          <w:color w:val="005DA1"/>
          <w:vertAlign w:val="baseline"/>
        </w:rPr>
        <w:t> </w:t>
      </w:r>
      <w:r>
        <w:rPr>
          <w:vertAlign w:val="baseline"/>
        </w:rPr>
        <w:t>mitigation </w:t>
      </w:r>
      <w:r>
        <w:rPr>
          <w:color w:val="005DA1"/>
          <w:u w:val="single" w:color="005DA1"/>
          <w:vertAlign w:val="superscript"/>
        </w:rPr>
        <w:t>850</w:t>
      </w:r>
      <w:r>
        <w:rPr>
          <w:color w:val="005DA1"/>
          <w:vertAlign w:val="baseline"/>
        </w:rPr>
        <w:t> </w:t>
      </w:r>
      <w:r>
        <w:rPr>
          <w:vertAlign w:val="baseline"/>
        </w:rPr>
        <w:t>and remoteness </w:t>
      </w:r>
      <w:r>
        <w:rPr>
          <w:color w:val="005DA1"/>
          <w:u w:val="single" w:color="005DA1"/>
          <w:vertAlign w:val="superscript"/>
        </w:rPr>
        <w:t>851</w:t>
      </w:r>
      <w:r>
        <w:rPr>
          <w:color w:val="005DA1"/>
          <w:vertAlign w:val="baseline"/>
        </w:rPr>
        <w:t> </w:t>
      </w:r>
      <w:r>
        <w:rPr>
          <w:vertAlign w:val="baseline"/>
        </w:rPr>
        <w:t>(including the new restriction that even when a loss is </w:t>
      </w:r>
      <w:bookmarkStart w:name="_bookmark1604" w:id="1606"/>
      <w:bookmarkEnd w:id="1606"/>
      <w:r>
        <w:rPr>
          <w:vertAlign w:val="baseline"/>
        </w:rPr>
        <w:t>not</w:t>
      </w:r>
      <w:r>
        <w:rPr>
          <w:vertAlign w:val="baseline"/>
        </w:rPr>
        <w:t> unusual, it will be too remote if it was not reasonable to assume the defendant was assuming responsibility for it </w:t>
      </w:r>
      <w:r>
        <w:rPr>
          <w:color w:val="005DA1"/>
          <w:u w:val="single" w:color="005DA1"/>
          <w:vertAlign w:val="superscript"/>
        </w:rPr>
        <w:t>852</w:t>
      </w:r>
      <w:r>
        <w:rPr>
          <w:vertAlign w:val="baseline"/>
        </w:rPr>
        <w:t>) can be illustrated by cases involving a variety of types of contract. However, caution needs to be exercised in seeking to apply cases on one type of contract, such as sale of goods, to other kinds of contract, simply because the factual circumstances may well differ. This may affect</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innocent</w:t>
      </w:r>
      <w:r>
        <w:rPr>
          <w:spacing w:val="-1"/>
          <w:vertAlign w:val="baseline"/>
        </w:rPr>
        <w:t> </w:t>
      </w:r>
      <w:r>
        <w:rPr>
          <w:vertAlign w:val="baseline"/>
        </w:rPr>
        <w:t>party</w:t>
      </w:r>
      <w:r>
        <w:rPr>
          <w:spacing w:val="-1"/>
          <w:vertAlign w:val="baseline"/>
        </w:rPr>
        <w:t> </w:t>
      </w:r>
      <w:r>
        <w:rPr>
          <w:vertAlign w:val="baseline"/>
        </w:rPr>
        <w:t>can</w:t>
      </w:r>
      <w:r>
        <w:rPr>
          <w:spacing w:val="-1"/>
          <w:vertAlign w:val="baseline"/>
        </w:rPr>
        <w:t> </w:t>
      </w:r>
      <w:r>
        <w:rPr>
          <w:vertAlign w:val="baseline"/>
        </w:rPr>
        <w:t>mitigate</w:t>
      </w:r>
      <w:r>
        <w:rPr>
          <w:spacing w:val="-1"/>
          <w:vertAlign w:val="baseline"/>
        </w:rPr>
        <w:t> </w:t>
      </w:r>
      <w:r>
        <w:rPr>
          <w:vertAlign w:val="baseline"/>
        </w:rPr>
        <w:t>his</w:t>
      </w:r>
      <w:r>
        <w:rPr>
          <w:spacing w:val="-1"/>
          <w:vertAlign w:val="baseline"/>
        </w:rPr>
        <w:t> </w:t>
      </w:r>
      <w:r>
        <w:rPr>
          <w:vertAlign w:val="baseline"/>
        </w:rPr>
        <w:t>loss</w:t>
      </w:r>
      <w:r>
        <w:rPr>
          <w:spacing w:val="-1"/>
          <w:vertAlign w:val="baseline"/>
        </w:rPr>
        <w:t> </w:t>
      </w:r>
      <w:r>
        <w:rPr>
          <w:vertAlign w:val="baseline"/>
        </w:rPr>
        <w:t>and</w:t>
      </w:r>
      <w:r>
        <w:rPr>
          <w:spacing w:val="-1"/>
          <w:vertAlign w:val="baseline"/>
        </w:rPr>
        <w:t> </w:t>
      </w:r>
      <w:r>
        <w:rPr>
          <w:vertAlign w:val="baseline"/>
        </w:rPr>
        <w:t>also</w:t>
      </w:r>
      <w:r>
        <w:rPr>
          <w:spacing w:val="-1"/>
          <w:vertAlign w:val="baseline"/>
        </w:rPr>
        <w:t> </w:t>
      </w:r>
      <w:r>
        <w:rPr>
          <w:vertAlign w:val="baseline"/>
        </w:rPr>
        <w:t>what</w:t>
      </w:r>
      <w:r>
        <w:rPr>
          <w:spacing w:val="-1"/>
          <w:vertAlign w:val="baseline"/>
        </w:rPr>
        <w:t> </w:t>
      </w:r>
      <w:r>
        <w:rPr>
          <w:vertAlign w:val="baseline"/>
        </w:rPr>
        <w:t>will</w:t>
      </w:r>
      <w:r>
        <w:rPr>
          <w:spacing w:val="-1"/>
          <w:vertAlign w:val="baseline"/>
        </w:rPr>
        <w:t> </w:t>
      </w:r>
      <w:r>
        <w:rPr>
          <w:vertAlign w:val="baseline"/>
        </w:rPr>
        <w:t>normally</w:t>
      </w:r>
      <w:r>
        <w:rPr>
          <w:spacing w:val="-1"/>
          <w:vertAlign w:val="baseline"/>
        </w:rPr>
        <w:t> </w:t>
      </w:r>
      <w:r>
        <w:rPr>
          <w:vertAlign w:val="baseline"/>
        </w:rPr>
        <w:t>be</w:t>
      </w:r>
      <w:r>
        <w:rPr>
          <w:spacing w:val="-1"/>
          <w:vertAlign w:val="baseline"/>
        </w:rPr>
        <w:t> </w:t>
      </w:r>
      <w:r>
        <w:rPr>
          <w:vertAlign w:val="baseline"/>
        </w:rPr>
        <w:t>contemplated</w:t>
      </w:r>
      <w:r>
        <w:rPr>
          <w:spacing w:val="-1"/>
          <w:vertAlign w:val="baseline"/>
        </w:rPr>
        <w:t> </w:t>
      </w:r>
      <w:r>
        <w:rPr>
          <w:vertAlign w:val="baseline"/>
        </w:rPr>
        <w:t>by the parties.</w:t>
      </w:r>
    </w:p>
    <w:p>
      <w:pPr>
        <w:pStyle w:val="BodyText"/>
      </w:pPr>
    </w:p>
    <w:p>
      <w:pPr>
        <w:pStyle w:val="BodyText"/>
        <w:spacing w:before="37"/>
      </w:pPr>
      <w:r>
        <w:rPr/>
        <mc:AlternateContent>
          <mc:Choice Requires="wps">
            <w:drawing>
              <wp:anchor distT="0" distB="0" distL="0" distR="0" allowOverlap="1" layoutInCell="1" locked="0" behindDoc="1" simplePos="0" relativeHeight="487674368">
                <wp:simplePos x="0" y="0"/>
                <wp:positionH relativeFrom="page">
                  <wp:posOffset>914400</wp:posOffset>
                </wp:positionH>
                <wp:positionV relativeFrom="paragraph">
                  <wp:posOffset>185029</wp:posOffset>
                </wp:positionV>
                <wp:extent cx="5724525" cy="1270"/>
                <wp:effectExtent l="0" t="0" r="0" b="0"/>
                <wp:wrapTopAndBottom/>
                <wp:docPr id="360" name="Graphic 360"/>
                <wp:cNvGraphicFramePr>
                  <a:graphicFrameLocks/>
                </wp:cNvGraphicFramePr>
                <a:graphic>
                  <a:graphicData uri="http://schemas.microsoft.com/office/word/2010/wordprocessingShape">
                    <wps:wsp>
                      <wps:cNvPr id="360" name="Graphic 36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9226pt;width:450.75pt;height:.1pt;mso-position-horizontal-relative:page;mso-position-vertical-relative:paragraph;z-index:-15642112;mso-wrap-distance-left:0;mso-wrap-distance-right:0" id="docshape74"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hyperlink w:history="true" w:anchor="_bookmark1817">
        <w:r>
          <w:rPr>
            <w:color w:val="005DA1"/>
            <w:spacing w:val="-4"/>
            <w:position w:val="5"/>
            <w:sz w:val="14"/>
            <w:u w:val="single" w:color="005DA1"/>
          </w:rPr>
          <w:t>848</w:t>
        </w:r>
      </w:hyperlink>
      <w:r>
        <w:rPr>
          <w:spacing w:val="-4"/>
          <w:position w:val="5"/>
          <w:sz w:val="14"/>
        </w:rPr>
        <w:t>.</w:t>
      </w:r>
      <w:r>
        <w:rPr>
          <w:position w:val="5"/>
          <w:sz w:val="14"/>
        </w:rPr>
        <w:tab/>
      </w:r>
      <w:r>
        <w:rPr/>
        <w:t>Further illustrations will be found in the various chapters of Vol.II of this </w:t>
      </w:r>
      <w:r>
        <w:rPr>
          <w:spacing w:val="-2"/>
        </w:rPr>
        <w:t>work.</w:t>
      </w:r>
    </w:p>
    <w:p>
      <w:pPr>
        <w:pStyle w:val="BodyText"/>
        <w:spacing w:before="9"/>
      </w:pPr>
    </w:p>
    <w:p>
      <w:pPr>
        <w:pStyle w:val="BodyText"/>
        <w:tabs>
          <w:tab w:pos="705" w:val="left" w:leader="none"/>
        </w:tabs>
        <w:spacing w:line="235" w:lineRule="auto"/>
        <w:ind w:left="705" w:right="174" w:hanging="541"/>
      </w:pPr>
      <w:bookmarkStart w:name="_bookmark1605" w:id="1607"/>
      <w:bookmarkEnd w:id="1607"/>
      <w:r>
        <w:rPr/>
      </w:r>
      <w:hyperlink w:history="true" w:anchor="_bookmark1603">
        <w:r>
          <w:rPr>
            <w:color w:val="005DA1"/>
            <w:spacing w:val="-4"/>
            <w:position w:val="5"/>
            <w:sz w:val="14"/>
            <w:u w:val="single" w:color="005DA1"/>
          </w:rPr>
          <w:t>849</w:t>
        </w:r>
      </w:hyperlink>
      <w:r>
        <w:rPr>
          <w:spacing w:val="-4"/>
          <w:position w:val="5"/>
          <w:sz w:val="14"/>
        </w:rPr>
        <w:t>.</w:t>
      </w:r>
      <w:r>
        <w:rPr>
          <w:position w:val="5"/>
          <w:sz w:val="14"/>
        </w:rPr>
        <w:tab/>
      </w:r>
      <w:r>
        <w:rPr/>
        <w:t>See above, paras 26-058 et seq. Contributory negligence, also treated in that section, may be relevant in some cases.</w:t>
      </w:r>
    </w:p>
    <w:p>
      <w:pPr>
        <w:pStyle w:val="BodyText"/>
        <w:spacing w:before="5"/>
      </w:pPr>
    </w:p>
    <w:p>
      <w:pPr>
        <w:pStyle w:val="BodyText"/>
        <w:tabs>
          <w:tab w:pos="705" w:val="left" w:leader="none"/>
        </w:tabs>
        <w:ind w:left="165"/>
      </w:pPr>
      <w:bookmarkStart w:name="_bookmark1606" w:id="1608"/>
      <w:bookmarkEnd w:id="1608"/>
      <w:r>
        <w:rPr/>
      </w:r>
      <w:hyperlink w:history="true" w:anchor="_bookmark1603">
        <w:r>
          <w:rPr>
            <w:color w:val="005DA1"/>
            <w:spacing w:val="-4"/>
            <w:position w:val="5"/>
            <w:sz w:val="14"/>
            <w:u w:val="single" w:color="005DA1"/>
          </w:rPr>
          <w:t>850</w:t>
        </w:r>
      </w:hyperlink>
      <w:r>
        <w:rPr>
          <w:spacing w:val="-4"/>
          <w:position w:val="5"/>
          <w:sz w:val="14"/>
        </w:rPr>
        <w:t>.</w:t>
      </w:r>
      <w:r>
        <w:rPr>
          <w:position w:val="5"/>
          <w:sz w:val="14"/>
        </w:rPr>
        <w:tab/>
      </w:r>
      <w:r>
        <w:rPr/>
        <w:t>See above, paras 26-079 et </w:t>
      </w:r>
      <w:r>
        <w:rPr>
          <w:spacing w:val="-4"/>
        </w:rPr>
        <w:t>seq.</w:t>
      </w:r>
    </w:p>
    <w:p>
      <w:pPr>
        <w:pStyle w:val="BodyText"/>
        <w:spacing w:before="5"/>
      </w:pPr>
    </w:p>
    <w:p>
      <w:pPr>
        <w:pStyle w:val="BodyText"/>
        <w:tabs>
          <w:tab w:pos="705" w:val="left" w:leader="none"/>
        </w:tabs>
        <w:ind w:left="165"/>
      </w:pPr>
      <w:bookmarkStart w:name="_bookmark1607" w:id="1609"/>
      <w:bookmarkEnd w:id="1609"/>
      <w:r>
        <w:rPr/>
      </w:r>
      <w:hyperlink w:history="true" w:anchor="_bookmark1603">
        <w:r>
          <w:rPr>
            <w:color w:val="005DA1"/>
            <w:spacing w:val="-4"/>
            <w:position w:val="5"/>
            <w:sz w:val="14"/>
            <w:u w:val="single" w:color="005DA1"/>
          </w:rPr>
          <w:t>851</w:t>
        </w:r>
      </w:hyperlink>
      <w:r>
        <w:rPr>
          <w:spacing w:val="-4"/>
          <w:position w:val="5"/>
          <w:sz w:val="14"/>
        </w:rPr>
        <w:t>.</w:t>
      </w:r>
      <w:r>
        <w:rPr>
          <w:position w:val="5"/>
          <w:sz w:val="14"/>
        </w:rPr>
        <w:tab/>
      </w:r>
      <w:r>
        <w:rPr/>
        <w:t>See above, paras 26-107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1608" w:id="1610"/>
      <w:bookmarkEnd w:id="1610"/>
      <w:r>
        <w:rPr/>
      </w:r>
      <w:hyperlink w:history="true" w:anchor="_bookmark1604">
        <w:r>
          <w:rPr>
            <w:color w:val="005DA1"/>
            <w:spacing w:val="-4"/>
            <w:position w:val="5"/>
            <w:sz w:val="14"/>
            <w:u w:val="single" w:color="005DA1"/>
          </w:rPr>
          <w:t>852</w:t>
        </w:r>
      </w:hyperlink>
      <w:r>
        <w:rPr>
          <w:spacing w:val="-4"/>
          <w:position w:val="5"/>
          <w:sz w:val="14"/>
        </w:rPr>
        <w:t>.</w:t>
      </w:r>
      <w:r>
        <w:rPr>
          <w:position w:val="5"/>
          <w:sz w:val="14"/>
        </w:rPr>
        <w:tab/>
      </w:r>
      <w:r>
        <w:rPr/>
        <w:t>Above,</w:t>
      </w:r>
      <w:r>
        <w:rPr>
          <w:spacing w:val="22"/>
        </w:rPr>
        <w:t> </w:t>
      </w:r>
      <w:r>
        <w:rPr/>
        <w:t>paras</w:t>
      </w:r>
      <w:r>
        <w:rPr>
          <w:spacing w:val="22"/>
        </w:rPr>
        <w:t> </w:t>
      </w:r>
      <w:r>
        <w:rPr/>
        <w:t>26-126</w:t>
      </w:r>
      <w:r>
        <w:rPr>
          <w:spacing w:val="22"/>
        </w:rPr>
        <w:t> </w:t>
      </w:r>
      <w:r>
        <w:rPr/>
        <w:t>et</w:t>
      </w:r>
      <w:r>
        <w:rPr>
          <w:spacing w:val="22"/>
        </w:rPr>
        <w:t> </w:t>
      </w:r>
      <w:r>
        <w:rPr/>
        <w:t>seq.</w:t>
      </w:r>
      <w:r>
        <w:rPr>
          <w:spacing w:val="22"/>
        </w:rPr>
        <w:t> </w:t>
      </w:r>
      <w:r>
        <w:rPr/>
        <w:t>As</w:t>
      </w:r>
      <w:r>
        <w:rPr>
          <w:spacing w:val="22"/>
        </w:rPr>
        <w:t> </w:t>
      </w:r>
      <w:r>
        <w:rPr/>
        <w:t>yet</w:t>
      </w:r>
      <w:r>
        <w:rPr>
          <w:spacing w:val="22"/>
        </w:rPr>
        <w:t> </w:t>
      </w:r>
      <w:r>
        <w:rPr/>
        <w:t>it</w:t>
      </w:r>
      <w:r>
        <w:rPr>
          <w:spacing w:val="22"/>
        </w:rPr>
        <w:t> </w:t>
      </w:r>
      <w:r>
        <w:rPr/>
        <w:t>is</w:t>
      </w:r>
      <w:r>
        <w:rPr>
          <w:spacing w:val="22"/>
        </w:rPr>
        <w:t> </w:t>
      </w:r>
      <w:r>
        <w:rPr/>
        <w:t>hard</w:t>
      </w:r>
      <w:r>
        <w:rPr>
          <w:spacing w:val="22"/>
        </w:rPr>
        <w:t> </w:t>
      </w:r>
      <w:r>
        <w:rPr/>
        <w:t>to</w:t>
      </w:r>
      <w:r>
        <w:rPr>
          <w:spacing w:val="22"/>
        </w:rPr>
        <w:t> </w:t>
      </w:r>
      <w:r>
        <w:rPr/>
        <w:t>predict</w:t>
      </w:r>
      <w:r>
        <w:rPr>
          <w:spacing w:val="22"/>
        </w:rPr>
        <w:t> </w:t>
      </w:r>
      <w:r>
        <w:rPr/>
        <w:t>when</w:t>
      </w:r>
      <w:r>
        <w:rPr>
          <w:spacing w:val="22"/>
        </w:rPr>
        <w:t> </w:t>
      </w:r>
      <w:r>
        <w:rPr/>
        <w:t>the</w:t>
      </w:r>
      <w:r>
        <w:rPr>
          <w:spacing w:val="22"/>
        </w:rPr>
        <w:t> </w:t>
      </w:r>
      <w:r>
        <w:rPr/>
        <w:t>new</w:t>
      </w:r>
      <w:r>
        <w:rPr>
          <w:spacing w:val="22"/>
        </w:rPr>
        <w:t> </w:t>
      </w:r>
      <w:r>
        <w:rPr/>
        <w:t>approach</w:t>
      </w:r>
      <w:r>
        <w:rPr>
          <w:spacing w:val="22"/>
        </w:rPr>
        <w:t> </w:t>
      </w:r>
      <w:r>
        <w:rPr/>
        <w:t>will</w:t>
      </w:r>
      <w:r>
        <w:rPr>
          <w:spacing w:val="22"/>
        </w:rPr>
        <w:t> </w:t>
      </w:r>
      <w:r>
        <w:rPr/>
        <w:t>make</w:t>
      </w:r>
      <w:r>
        <w:rPr>
          <w:spacing w:val="22"/>
        </w:rPr>
        <w:t> </w:t>
      </w:r>
      <w:r>
        <w:rPr/>
        <w:t>a difference to the outcome of cases.</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pStyle w:val="ListParagraph"/>
        <w:numPr>
          <w:ilvl w:val="0"/>
          <w:numId w:val="9"/>
        </w:numPr>
        <w:tabs>
          <w:tab w:pos="3978" w:val="left" w:leader="none"/>
        </w:tabs>
        <w:spacing w:line="240" w:lineRule="auto" w:before="194" w:after="0"/>
        <w:ind w:left="3978" w:right="0" w:hanging="373"/>
        <w:jc w:val="left"/>
        <w:rPr>
          <w:b/>
          <w:sz w:val="24"/>
        </w:rPr>
      </w:pPr>
      <w:r>
        <w:rPr>
          <w:b/>
          <w:sz w:val="24"/>
        </w:rPr>
        <w:t>- Sale of </w:t>
      </w:r>
      <w:r>
        <w:rPr>
          <w:b/>
          <w:spacing w:val="-2"/>
          <w:sz w:val="24"/>
        </w:rPr>
        <w:t>Goods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Sale of </w:t>
      </w:r>
      <w:r>
        <w:rPr>
          <w:rFonts w:ascii="Arial"/>
          <w:b/>
          <w:spacing w:val="-2"/>
          <w:sz w:val="18"/>
        </w:rPr>
        <w:t>goods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152</w:t>
      </w:r>
    </w:p>
    <w:p>
      <w:pPr>
        <w:pStyle w:val="BodyText"/>
        <w:spacing w:line="235" w:lineRule="auto" w:before="202"/>
        <w:ind w:left="165" w:right="167"/>
        <w:jc w:val="both"/>
      </w:pPr>
      <w:r>
        <w:rPr/>
        <w:t>Many of the best illustrations of the rules for the remoteness of damage and for the assessment of damages will be found in cases on the sale of goods, which are considered in some detail in </w:t>
      </w:r>
      <w:r>
        <w:rPr/>
        <w:t>Vol.II, Ch.44. Although these cases are often based on the provisions of the Sale of Goods Act 1893 (now </w:t>
      </w:r>
      <w:bookmarkStart w:name="_bookmark1609" w:id="1611"/>
      <w:bookmarkEnd w:id="1611"/>
      <w:r>
        <w:rPr/>
        <w:t>consolidated</w:t>
      </w:r>
      <w:r>
        <w:rPr/>
        <w:t> in the 1979 Act), the relevant ss.50, 51, 53 and 54 incorporate former common law decisions on the sale of goods </w:t>
      </w:r>
      <w:r>
        <w:rPr>
          <w:color w:val="005DA1"/>
          <w:u w:val="single" w:color="005DA1"/>
          <w:vertAlign w:val="superscript"/>
        </w:rPr>
        <w:t>853</w:t>
      </w:r>
      <w:r>
        <w:rPr>
          <w:color w:val="005DA1"/>
          <w:vertAlign w:val="baseline"/>
        </w:rPr>
        <w:t> </w:t>
      </w:r>
      <w:r>
        <w:rPr>
          <w:vertAlign w:val="baseline"/>
        </w:rPr>
        <w:t>so that cases decided on the Act may be useful analogies for determining the measure of damages for breaches of other types of contract which are still governed </w:t>
      </w:r>
      <w:bookmarkStart w:name="_bookmark1610" w:id="1612"/>
      <w:bookmarkEnd w:id="1612"/>
      <w:r>
        <w:rPr>
          <w:vertAlign w:val="baseline"/>
        </w:rPr>
        <w:t>by</w:t>
      </w:r>
      <w:r>
        <w:rPr>
          <w:vertAlign w:val="baseline"/>
        </w:rPr>
        <w:t> common law rules. The cases illustrate, for example, the types of loss which have been found to</w:t>
      </w:r>
      <w:r>
        <w:rPr>
          <w:spacing w:val="40"/>
          <w:vertAlign w:val="baseline"/>
        </w:rPr>
        <w:t> </w:t>
      </w:r>
      <w:bookmarkStart w:name="_bookmark1611" w:id="1613"/>
      <w:bookmarkEnd w:id="1613"/>
      <w:r>
        <w:rPr>
          <w:vertAlign w:val="baseline"/>
        </w:rPr>
        <w:t>be</w:t>
      </w:r>
      <w:r>
        <w:rPr>
          <w:vertAlign w:val="baseline"/>
        </w:rPr>
        <w:t> within the contemplation of the parties </w:t>
      </w:r>
      <w:r>
        <w:rPr>
          <w:color w:val="005DA1"/>
          <w:u w:val="single" w:color="005DA1"/>
          <w:vertAlign w:val="superscript"/>
        </w:rPr>
        <w:t>854</w:t>
      </w:r>
      <w:r>
        <w:rPr>
          <w:vertAlign w:val="baseline"/>
        </w:rPr>
        <w:t>; the duty to mitigate </w:t>
      </w:r>
      <w:r>
        <w:rPr>
          <w:color w:val="005DA1"/>
          <w:u w:val="single" w:color="005DA1"/>
          <w:vertAlign w:val="superscript"/>
        </w:rPr>
        <w:t>855</w:t>
      </w:r>
      <w:r>
        <w:rPr>
          <w:color w:val="005DA1"/>
          <w:vertAlign w:val="baseline"/>
        </w:rPr>
        <w:t> </w:t>
      </w:r>
      <w:r>
        <w:rPr>
          <w:vertAlign w:val="baseline"/>
        </w:rPr>
        <w:t>(especially in cases of </w:t>
      </w:r>
      <w:bookmarkStart w:name="_bookmark1612" w:id="1614"/>
      <w:bookmarkEnd w:id="1614"/>
      <w:r>
        <w:rPr>
          <w:vertAlign w:val="baseline"/>
        </w:rPr>
        <w:t>anticipatory</w:t>
      </w:r>
      <w:r>
        <w:rPr>
          <w:vertAlign w:val="baseline"/>
        </w:rPr>
        <w:t> breach </w:t>
      </w:r>
      <w:r>
        <w:rPr>
          <w:color w:val="005DA1"/>
          <w:u w:val="single" w:color="005DA1"/>
          <w:vertAlign w:val="superscript"/>
        </w:rPr>
        <w:t>856</w:t>
      </w:r>
      <w:r>
        <w:rPr>
          <w:vertAlign w:val="baseline"/>
        </w:rPr>
        <w:t>); and the assessment of damages for delay in performance </w:t>
      </w:r>
      <w:r>
        <w:rPr>
          <w:color w:val="005DA1"/>
          <w:u w:val="single" w:color="005DA1"/>
          <w:vertAlign w:val="superscript"/>
        </w:rPr>
        <w:t>857</w:t>
      </w:r>
      <w:r>
        <w:rPr>
          <w:color w:val="005DA1"/>
          <w:vertAlign w:val="baseline"/>
        </w:rPr>
        <w:t> </w:t>
      </w:r>
      <w:r>
        <w:rPr>
          <w:vertAlign w:val="baseline"/>
        </w:rPr>
        <w:t>and for breaches of terms relating to the quality of the performance. </w:t>
      </w:r>
      <w:r>
        <w:rPr>
          <w:color w:val="005DA1"/>
          <w:u w:val="single" w:color="005DA1"/>
          <w:vertAlign w:val="superscript"/>
        </w:rPr>
        <w:t>858</w:t>
      </w:r>
      <w:r>
        <w:rPr>
          <w:color w:val="005DA1"/>
          <w:vertAlign w:val="baseline"/>
        </w:rPr>
        <w:t> </w:t>
      </w:r>
      <w:r>
        <w:rPr>
          <w:vertAlign w:val="baseline"/>
        </w:rPr>
        <w:t>For this reason some of the principal features of the cases on sale of goods are described here.</w:t>
      </w:r>
    </w:p>
    <w:p>
      <w:pPr>
        <w:pStyle w:val="BodyText"/>
      </w:pPr>
    </w:p>
    <w:p>
      <w:pPr>
        <w:pStyle w:val="BodyText"/>
        <w:spacing w:before="35"/>
      </w:pPr>
    </w:p>
    <w:p>
      <w:pPr>
        <w:spacing w:before="0"/>
        <w:ind w:left="165" w:right="0" w:firstLine="0"/>
        <w:jc w:val="left"/>
        <w:rPr>
          <w:rFonts w:ascii="Arial"/>
          <w:b/>
          <w:sz w:val="18"/>
        </w:rPr>
      </w:pPr>
      <w:bookmarkStart w:name="_bookmark1613" w:id="1615"/>
      <w:bookmarkEnd w:id="1615"/>
      <w:r>
        <w:rPr/>
      </w:r>
      <w:r>
        <w:rPr>
          <w:rFonts w:ascii="Arial"/>
          <w:b/>
          <w:sz w:val="18"/>
        </w:rPr>
        <w:t>Availability of a market</w:t>
      </w:r>
      <w:r>
        <w:rPr>
          <w:rFonts w:ascii="Arial"/>
          <w:b/>
          <w:spacing w:val="-1"/>
          <w:sz w:val="18"/>
        </w:rPr>
        <w:t> </w:t>
      </w:r>
      <w:r>
        <w:rPr>
          <w:rFonts w:ascii="Arial"/>
          <w:b/>
          <w:color w:val="005DA1"/>
          <w:spacing w:val="-5"/>
          <w:sz w:val="18"/>
          <w:u w:val="single" w:color="005DA1"/>
          <w:vertAlign w:val="superscript"/>
        </w:rPr>
        <w:t>859</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153</w:t>
      </w:r>
    </w:p>
    <w:p>
      <w:pPr>
        <w:pStyle w:val="BodyText"/>
        <w:spacing w:line="235" w:lineRule="auto" w:before="203"/>
        <w:ind w:left="164" w:right="167"/>
        <w:jc w:val="both"/>
      </w:pPr>
      <w:r>
        <w:rPr/>
        <w:t>In practice, it may make a significant difference whether there is a ready market in which the innocent party can make a substitute transaction—the buyer to purchase other goods to fill his needs, or </w:t>
      </w:r>
      <w:r>
        <w:rPr/>
        <w:t>the seller to resell goods that the buyer has wrongfully not accepted. If there is a market, the innocent party will normally be expected to use it to mitigate his loss. If for some reason the innocent party is unable to make use of the market (for example, the buyer has re-sold the self-same goods and</w:t>
      </w:r>
      <w:r>
        <w:rPr>
          <w:spacing w:val="40"/>
        </w:rPr>
        <w:t> </w:t>
      </w:r>
      <w:r>
        <w:rPr/>
        <w:t>cannot use other goods to fill the subsale) any additional loss will usually be too remote to be recovered. In addition, where there is a market any subsequent advantageous sale at above market price or purchase at below market price can often be ignored on the ground that the innocent party could have made the subsequent transaction even if there had not been a breach of contract.</w:t>
      </w:r>
    </w:p>
    <w:p>
      <w:pPr>
        <w:pStyle w:val="BodyText"/>
      </w:pPr>
    </w:p>
    <w:p>
      <w:pPr>
        <w:pStyle w:val="BodyText"/>
        <w:spacing w:before="35"/>
      </w:pPr>
    </w:p>
    <w:p>
      <w:pPr>
        <w:spacing w:before="0"/>
        <w:ind w:left="164" w:right="0" w:firstLine="0"/>
        <w:jc w:val="both"/>
        <w:rPr>
          <w:rFonts w:ascii="Arial" w:hAnsi="Arial"/>
          <w:b/>
          <w:sz w:val="18"/>
        </w:rPr>
      </w:pPr>
      <w:r>
        <w:rPr>
          <w:rFonts w:ascii="Arial" w:hAnsi="Arial"/>
          <w:b/>
          <w:sz w:val="18"/>
        </w:rPr>
        <w:t>Buyer’s damages for non-</w:t>
      </w:r>
      <w:r>
        <w:rPr>
          <w:rFonts w:ascii="Arial" w:hAnsi="Arial"/>
          <w:b/>
          <w:spacing w:val="-2"/>
          <w:sz w:val="18"/>
        </w:rPr>
        <w:t>delivery</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154</w:t>
      </w:r>
    </w:p>
    <w:p>
      <w:pPr>
        <w:pStyle w:val="BodyText"/>
        <w:spacing w:line="235" w:lineRule="auto" w:before="203"/>
        <w:ind w:left="164" w:right="167"/>
        <w:jc w:val="both"/>
      </w:pPr>
      <w:r>
        <w:rPr/>
        <w:t>So when a seller fails to deliver goods, the buyer’s damages are usually assessed by the difference between the contract price and the market price at the date of delivery. Section 51 of the Sale </w:t>
      </w:r>
      <w:r>
        <w:rPr/>
        <w:t>of Goods Act 1979 provides that:</w:t>
      </w:r>
    </w:p>
    <w:p>
      <w:pPr>
        <w:pStyle w:val="BodyText"/>
        <w:spacing w:after="0" w:line="235" w:lineRule="auto"/>
        <w:jc w:val="both"/>
        <w:sectPr>
          <w:pgSz w:w="11900" w:h="16840"/>
          <w:pgMar w:header="971" w:footer="0" w:top="1300" w:bottom="280" w:left="1275" w:right="1275"/>
        </w:sectPr>
      </w:pPr>
    </w:p>
    <w:p>
      <w:pPr>
        <w:pStyle w:val="BodyText"/>
        <w:spacing w:before="56"/>
      </w:pPr>
    </w:p>
    <w:p>
      <w:pPr>
        <w:pStyle w:val="BodyText"/>
        <w:ind w:left="1245"/>
      </w:pPr>
      <w:r>
        <w:rPr>
          <w:spacing w:val="-4"/>
        </w:rPr>
        <w:t>“(3)</w:t>
      </w:r>
    </w:p>
    <w:p>
      <w:pPr>
        <w:pStyle w:val="BodyText"/>
        <w:spacing w:line="235" w:lineRule="auto" w:before="114"/>
        <w:ind w:left="1725" w:right="167"/>
        <w:jc w:val="both"/>
      </w:pPr>
      <w:r>
        <w:rPr/>
        <w:t>Where there is an available market for the goods in question the measure </w:t>
      </w:r>
      <w:r>
        <w:rPr/>
        <w:t>of damages is prima facie to be ascertained by the difference between the contract price and the market or current price of the goods at the time or times when they ought to have been delivered or (if no time was fixed) at the time of the refusal to </w:t>
      </w:r>
      <w:r>
        <w:rPr>
          <w:spacing w:val="-2"/>
        </w:rPr>
        <w:t>deliver.”</w:t>
      </w:r>
    </w:p>
    <w:p>
      <w:pPr>
        <w:pStyle w:val="BodyText"/>
      </w:pPr>
    </w:p>
    <w:p>
      <w:pPr>
        <w:pStyle w:val="BodyText"/>
        <w:spacing w:before="98"/>
      </w:pPr>
    </w:p>
    <w:p>
      <w:pPr>
        <w:pStyle w:val="BodyText"/>
        <w:spacing w:line="235" w:lineRule="auto"/>
        <w:ind w:left="164" w:right="167"/>
        <w:jc w:val="both"/>
      </w:pPr>
      <w:bookmarkStart w:name="_bookmark1614" w:id="1616"/>
      <w:bookmarkEnd w:id="1616"/>
      <w:r>
        <w:rPr/>
      </w:r>
      <w:r>
        <w:rPr/>
        <w:t>The fact that the buyer has resold them at a higher price will normally be disregarded on the grounds that the buyer can buy replacement goods in the market to satisfy the sub-buyer. </w:t>
      </w:r>
      <w:r>
        <w:rPr>
          <w:color w:val="005DA1"/>
          <w:u w:val="single" w:color="005DA1"/>
          <w:vertAlign w:val="superscript"/>
        </w:rPr>
        <w:t>860</w:t>
      </w:r>
      <w:r>
        <w:rPr>
          <w:color w:val="005DA1"/>
          <w:vertAlign w:val="baseline"/>
        </w:rPr>
        <w:t> </w:t>
      </w:r>
      <w:r>
        <w:rPr>
          <w:vertAlign w:val="baseline"/>
        </w:rPr>
        <w:t>It is only </w:t>
      </w:r>
      <w:r>
        <w:rPr>
          <w:vertAlign w:val="baseline"/>
        </w:rPr>
        <w:t>when</w:t>
      </w:r>
      <w:r>
        <w:rPr>
          <w:spacing w:val="40"/>
          <w:vertAlign w:val="baseline"/>
        </w:rPr>
        <w:t> </w:t>
      </w:r>
      <w:bookmarkStart w:name="_bookmark1615" w:id="1617"/>
      <w:bookmarkEnd w:id="1617"/>
      <w:r>
        <w:rPr>
          <w:vertAlign w:val="baseline"/>
        </w:rPr>
        <w:t>the</w:t>
      </w:r>
      <w:r>
        <w:rPr>
          <w:vertAlign w:val="baseline"/>
        </w:rPr>
        <w:t> parties contemplated that the buyer might re-sell the self-same goods, and thus would not be able to</w:t>
      </w:r>
      <w:r>
        <w:rPr>
          <w:spacing w:val="-2"/>
          <w:vertAlign w:val="baseline"/>
        </w:rPr>
        <w:t> </w:t>
      </w:r>
      <w:r>
        <w:rPr>
          <w:vertAlign w:val="baseline"/>
        </w:rPr>
        <w:t>substitute</w:t>
      </w:r>
      <w:r>
        <w:rPr>
          <w:spacing w:val="-2"/>
          <w:vertAlign w:val="baseline"/>
        </w:rPr>
        <w:t> </w:t>
      </w:r>
      <w:r>
        <w:rPr>
          <w:vertAlign w:val="baseline"/>
        </w:rPr>
        <w:t>other</w:t>
      </w:r>
      <w:r>
        <w:rPr>
          <w:spacing w:val="-2"/>
          <w:vertAlign w:val="baseline"/>
        </w:rPr>
        <w:t> </w:t>
      </w:r>
      <w:r>
        <w:rPr>
          <w:vertAlign w:val="baseline"/>
        </w:rPr>
        <w:t>identical</w:t>
      </w:r>
      <w:r>
        <w:rPr>
          <w:spacing w:val="-2"/>
          <w:vertAlign w:val="baseline"/>
        </w:rPr>
        <w:t> </w:t>
      </w:r>
      <w:r>
        <w:rPr>
          <w:vertAlign w:val="baseline"/>
        </w:rPr>
        <w:t>goods,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may</w:t>
      </w:r>
      <w:r>
        <w:rPr>
          <w:spacing w:val="-2"/>
          <w:vertAlign w:val="baseline"/>
        </w:rPr>
        <w:t> </w:t>
      </w:r>
      <w:r>
        <w:rPr>
          <w:vertAlign w:val="baseline"/>
        </w:rPr>
        <w:t>recover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profit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resale.</w:t>
      </w:r>
      <w:r>
        <w:rPr>
          <w:spacing w:val="-3"/>
          <w:vertAlign w:val="baseline"/>
        </w:rPr>
        <w:t> </w:t>
      </w:r>
      <w:r>
        <w:rPr>
          <w:color w:val="005DA1"/>
          <w:u w:val="single" w:color="005DA1"/>
          <w:vertAlign w:val="superscript"/>
        </w:rPr>
        <w:t>861</w:t>
      </w:r>
      <w:r>
        <w:rPr>
          <w:color w:val="005DA1"/>
          <w:spacing w:val="-2"/>
          <w:vertAlign w:val="baseline"/>
        </w:rPr>
        <w:t> </w:t>
      </w:r>
      <w:r>
        <w:rPr>
          <w:vertAlign w:val="baseline"/>
        </w:rPr>
        <w:t>Similarly, if the buyer intended to use the goods for a profit-making activity, he will normally be expected to purchase substitute goods in the market. If, however, the parties contemplated that the buyer would </w:t>
      </w:r>
      <w:bookmarkStart w:name="_bookmark1616" w:id="1618"/>
      <w:bookmarkEnd w:id="1618"/>
      <w:r>
        <w:rPr>
          <w:vertAlign w:val="baseline"/>
        </w:rPr>
        <w:t>put</w:t>
      </w:r>
      <w:r>
        <w:rPr>
          <w:vertAlign w:val="baseline"/>
        </w:rPr>
        <w:t> the goods to immediate use and would not be able to buy substitutes in time, the buyer may </w:t>
      </w:r>
      <w:bookmarkStart w:name="_bookmark1617" w:id="1619"/>
      <w:bookmarkEnd w:id="1619"/>
      <w:r>
        <w:rPr>
          <w:vertAlign w:val="baseline"/>
        </w:rPr>
        <w:t>recover</w:t>
      </w:r>
      <w:r>
        <w:rPr>
          <w:vertAlign w:val="baseline"/>
        </w:rPr>
        <w:t> for loss of profit. </w:t>
      </w:r>
      <w:r>
        <w:rPr>
          <w:color w:val="005DA1"/>
          <w:u w:val="single" w:color="005DA1"/>
          <w:vertAlign w:val="superscript"/>
        </w:rPr>
        <w:t>862</w:t>
      </w:r>
      <w:r>
        <w:rPr>
          <w:color w:val="005DA1"/>
          <w:vertAlign w:val="baseline"/>
        </w:rPr>
        <w:t> </w:t>
      </w:r>
      <w:r>
        <w:rPr>
          <w:vertAlign w:val="baseline"/>
        </w:rPr>
        <w:t>If there is no market for the relevant goods, or at least no market that it is reasonable to expect the buyer to use, </w:t>
      </w:r>
      <w:r>
        <w:rPr>
          <w:color w:val="005DA1"/>
          <w:u w:val="single" w:color="005DA1"/>
          <w:vertAlign w:val="superscript"/>
        </w:rPr>
        <w:t>863</w:t>
      </w:r>
      <w:r>
        <w:rPr>
          <w:color w:val="005DA1"/>
          <w:vertAlign w:val="baseline"/>
        </w:rPr>
        <w:t> </w:t>
      </w:r>
      <w:r>
        <w:rPr>
          <w:vertAlign w:val="baseline"/>
        </w:rPr>
        <w:t>the buyer may be unable to mitigate and the loss suffered</w:t>
      </w:r>
      <w:r>
        <w:rPr>
          <w:spacing w:val="40"/>
          <w:vertAlign w:val="baseline"/>
        </w:rPr>
        <w:t> </w:t>
      </w:r>
      <w:r>
        <w:rPr>
          <w:vertAlign w:val="baseline"/>
        </w:rPr>
        <w:t>in consequence may not be too remote for the buyer to recover.</w:t>
      </w:r>
    </w:p>
    <w:p>
      <w:pPr>
        <w:pStyle w:val="BodyText"/>
      </w:pPr>
    </w:p>
    <w:p>
      <w:pPr>
        <w:pStyle w:val="BodyText"/>
        <w:spacing w:before="35"/>
      </w:pPr>
    </w:p>
    <w:p>
      <w:pPr>
        <w:spacing w:before="0"/>
        <w:ind w:left="165" w:right="0" w:firstLine="0"/>
        <w:jc w:val="both"/>
        <w:rPr>
          <w:rFonts w:ascii="Arial"/>
          <w:b/>
          <w:sz w:val="18"/>
        </w:rPr>
      </w:pPr>
      <w:r>
        <w:rPr>
          <w:rFonts w:ascii="Arial"/>
          <w:b/>
          <w:sz w:val="18"/>
        </w:rPr>
        <w:t>Resale at below market </w:t>
      </w:r>
      <w:r>
        <w:rPr>
          <w:rFonts w:ascii="Arial"/>
          <w:b/>
          <w:spacing w:val="-2"/>
          <w:sz w:val="18"/>
        </w:rPr>
        <w:t>price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155</w:t>
      </w:r>
    </w:p>
    <w:p>
      <w:pPr>
        <w:pStyle w:val="BodyText"/>
        <w:spacing w:line="235" w:lineRule="auto" w:before="202"/>
        <w:ind w:left="165" w:right="167"/>
        <w:jc w:val="both"/>
      </w:pPr>
      <w:r>
        <w:rPr/>
        <w:t>Where there is an available market for the goods, the fact that before the breach the buyer had resold the goods at less than the market price will normally be disregarded. If the resale was not of the specific goods it is irrelevant because the buyer might have intended to fill it not from the </w:t>
      </w:r>
      <w:r>
        <w:rPr/>
        <w:t>contract </w:t>
      </w:r>
      <w:bookmarkStart w:name="_bookmark1618" w:id="1620"/>
      <w:bookmarkEnd w:id="1620"/>
      <w:r>
        <w:rPr/>
        <w:t>goods</w:t>
      </w:r>
      <w:r>
        <w:rPr/>
        <w:t> but from stock or other purchases; even if he did intend to use the contract goods he will have to purchase a substitute in the market. </w:t>
      </w:r>
      <w:r>
        <w:rPr>
          <w:color w:val="005DA1"/>
          <w:u w:val="single" w:color="005DA1"/>
          <w:vertAlign w:val="superscript"/>
        </w:rPr>
        <w:t>864</w:t>
      </w:r>
      <w:r>
        <w:rPr>
          <w:color w:val="005DA1"/>
          <w:vertAlign w:val="baseline"/>
        </w:rPr>
        <w:t> </w:t>
      </w:r>
      <w:r>
        <w:rPr>
          <w:vertAlign w:val="baseline"/>
        </w:rPr>
        <w:t>If the sale was of the specific goods, the buyer will not be able to purchase and buy a substitute. He will then lose the sub-sale. Should the buyer’s damages be limited to the difference between the price he had agreed to pay for the goods and the price at which he had agreed to re-sell them? One possibility is that the buyer will be liable to the sub-buyer for the difference between the sub-sale price and the market price. In that case the buyer’s damages should </w:t>
      </w:r>
      <w:bookmarkStart w:name="_bookmark1619" w:id="1621"/>
      <w:bookmarkEnd w:id="1621"/>
      <w:r>
        <w:rPr>
          <w:vertAlign w:val="baseline"/>
        </w:rPr>
        <w:t>again</w:t>
      </w:r>
      <w:r>
        <w:rPr>
          <w:vertAlign w:val="baseline"/>
        </w:rPr>
        <w:t> be the difference between the contract price and the market price. But what if the sub-buyer </w:t>
      </w:r>
      <w:bookmarkStart w:name="_bookmark1620" w:id="1622"/>
      <w:bookmarkEnd w:id="1622"/>
      <w:r>
        <w:rPr>
          <w:vertAlign w:val="baseline"/>
        </w:rPr>
        <w:t>simply</w:t>
      </w:r>
      <w:r>
        <w:rPr>
          <w:vertAlign w:val="baseline"/>
        </w:rPr>
        <w:t> releases the buyer from liability? One view is that this should be ignored. </w:t>
      </w:r>
      <w:r>
        <w:rPr>
          <w:color w:val="005DA1"/>
          <w:u w:val="single" w:color="005DA1"/>
          <w:vertAlign w:val="superscript"/>
        </w:rPr>
        <w:t>865</w:t>
      </w:r>
      <w:r>
        <w:rPr>
          <w:color w:val="005DA1"/>
          <w:vertAlign w:val="baseline"/>
        </w:rPr>
        <w:t> </w:t>
      </w:r>
      <w:r>
        <w:rPr>
          <w:vertAlign w:val="baseline"/>
        </w:rPr>
        <w:t>However, as mentioned earlier, </w:t>
      </w:r>
      <w:r>
        <w:rPr>
          <w:color w:val="005DA1"/>
          <w:u w:val="single" w:color="005DA1"/>
          <w:vertAlign w:val="superscript"/>
        </w:rPr>
        <w:t>866</w:t>
      </w:r>
      <w:r>
        <w:rPr>
          <w:color w:val="005DA1"/>
          <w:vertAlign w:val="baseline"/>
        </w:rPr>
        <w:t> </w:t>
      </w:r>
      <w:r>
        <w:rPr>
          <w:vertAlign w:val="baseline"/>
        </w:rPr>
        <w:t>the courts have sometimes taken into account the innocent party’s purpose and have refused damages when it appears that he has overall not suffered any loss. Thus Devlin J. has </w:t>
      </w:r>
      <w:r>
        <w:rPr>
          <w:spacing w:val="-2"/>
          <w:vertAlign w:val="baseline"/>
        </w:rPr>
        <w:t>said:</w:t>
      </w:r>
    </w:p>
    <w:p>
      <w:pPr>
        <w:pStyle w:val="BodyText"/>
      </w:pPr>
    </w:p>
    <w:p>
      <w:pPr>
        <w:pStyle w:val="BodyText"/>
        <w:spacing w:before="121"/>
      </w:pPr>
    </w:p>
    <w:p>
      <w:pPr>
        <w:pStyle w:val="BodyText"/>
        <w:spacing w:line="235" w:lineRule="auto" w:before="1"/>
        <w:ind w:left="1245" w:right="167"/>
        <w:jc w:val="both"/>
      </w:pPr>
      <w:r>
        <w:rPr/>
        <w:t>“If, however, a sub-sale is within the contemplation of the parties, I think that the</w:t>
      </w:r>
      <w:r>
        <w:rPr>
          <w:spacing w:val="80"/>
        </w:rPr>
        <w:t> </w:t>
      </w:r>
      <w:r>
        <w:rPr/>
        <w:t>damages must be assessed by reference to it, whether the plaintiff likes it or not…. If it is the</w:t>
      </w:r>
      <w:r>
        <w:rPr>
          <w:spacing w:val="-1"/>
        </w:rPr>
        <w:t> </w:t>
      </w:r>
      <w:r>
        <w:rPr/>
        <w:t>plaintiff’s</w:t>
      </w:r>
      <w:r>
        <w:rPr>
          <w:spacing w:val="-1"/>
        </w:rPr>
        <w:t> </w:t>
      </w:r>
      <w:r>
        <w:rPr/>
        <w:t>liability</w:t>
      </w:r>
      <w:r>
        <w:rPr>
          <w:spacing w:val="-1"/>
        </w:rPr>
        <w:t> </w:t>
      </w:r>
      <w:r>
        <w:rPr/>
        <w:t>to</w:t>
      </w:r>
      <w:r>
        <w:rPr>
          <w:spacing w:val="-1"/>
        </w:rPr>
        <w:t> </w:t>
      </w:r>
      <w:r>
        <w:rPr/>
        <w:t>the</w:t>
      </w:r>
      <w:r>
        <w:rPr>
          <w:spacing w:val="-1"/>
        </w:rPr>
        <w:t> </w:t>
      </w:r>
      <w:r>
        <w:rPr/>
        <w:t>ultimate</w:t>
      </w:r>
      <w:r>
        <w:rPr>
          <w:spacing w:val="-1"/>
        </w:rPr>
        <w:t> </w:t>
      </w:r>
      <w:r>
        <w:rPr/>
        <w:t>user</w:t>
      </w:r>
      <w:r>
        <w:rPr>
          <w:spacing w:val="-1"/>
        </w:rPr>
        <w:t> </w:t>
      </w:r>
      <w:r>
        <w:rPr/>
        <w:t>that</w:t>
      </w:r>
      <w:r>
        <w:rPr>
          <w:spacing w:val="-1"/>
        </w:rPr>
        <w:t> </w:t>
      </w:r>
      <w:r>
        <w:rPr/>
        <w:t>is</w:t>
      </w:r>
      <w:r>
        <w:rPr>
          <w:spacing w:val="-1"/>
        </w:rPr>
        <w:t> </w:t>
      </w:r>
      <w:r>
        <w:rPr/>
        <w:t>contemplated</w:t>
      </w:r>
      <w:r>
        <w:rPr>
          <w:spacing w:val="-1"/>
        </w:rPr>
        <w:t> </w:t>
      </w:r>
      <w:r>
        <w:rPr/>
        <w:t>as</w:t>
      </w:r>
      <w:r>
        <w:rPr>
          <w:spacing w:val="-1"/>
        </w:rPr>
        <w:t> </w:t>
      </w:r>
      <w:r>
        <w:rPr/>
        <w:t>the</w:t>
      </w:r>
      <w:r>
        <w:rPr>
          <w:spacing w:val="-1"/>
        </w:rPr>
        <w:t> </w:t>
      </w:r>
      <w:r>
        <w:rPr/>
        <w:t>measure</w:t>
      </w:r>
      <w:r>
        <w:rPr>
          <w:spacing w:val="-1"/>
        </w:rPr>
        <w:t> </w:t>
      </w:r>
      <w:r>
        <w:rPr/>
        <w:t>of</w:t>
      </w:r>
      <w:r>
        <w:rPr>
          <w:spacing w:val="-1"/>
        </w:rPr>
        <w:t> </w:t>
      </w:r>
      <w:r>
        <w:rPr/>
        <w:t>damages and it is in fact used without injurious results so that no such liability arises, the plaintiff </w:t>
      </w:r>
      <w:bookmarkStart w:name="_bookmark1621" w:id="1623"/>
      <w:bookmarkEnd w:id="1623"/>
      <w:r>
        <w:rPr/>
        <w:t>could</w:t>
      </w:r>
      <w:r>
        <w:rPr/>
        <w:t> not claim the difference in market value, and say that the sub-sale must be disregarded.” </w:t>
      </w:r>
      <w:r>
        <w:rPr>
          <w:color w:val="005DA1"/>
          <w:u w:val="single" w:color="005DA1"/>
          <w:vertAlign w:val="superscript"/>
        </w:rPr>
        <w:t>867</w:t>
      </w:r>
    </w:p>
    <w:p>
      <w:pPr>
        <w:pStyle w:val="BodyText"/>
        <w:spacing w:before="114"/>
      </w:pPr>
    </w:p>
    <w:p>
      <w:pPr>
        <w:pStyle w:val="BodyText"/>
        <w:spacing w:line="235" w:lineRule="auto"/>
        <w:ind w:left="165" w:right="167"/>
        <w:jc w:val="both"/>
      </w:pPr>
      <w:r>
        <w:rPr/>
        <w:t>This is perhaps more controversial. It may be argued that it is a matter of causation: if the goods had been supplied, the buyer would have used them to supply the sub-sale at the agreed price </w:t>
      </w:r>
      <w:r>
        <w:rPr/>
        <w:t>and therefore all that he has lost is any profit he would have made on the sub-sale. However, it is also arguable that the buyer has suffered a loss simply because he has not received the goods that were </w:t>
      </w:r>
      <w:bookmarkStart w:name="_bookmark1622" w:id="1624"/>
      <w:bookmarkEnd w:id="1624"/>
      <w:r>
        <w:rPr/>
        <w:t>promised.</w:t>
      </w:r>
      <w:r>
        <w:rPr/>
        <w:t> This should be measured by the market value; the fact that the buyer has escaped without </w:t>
      </w:r>
      <w:bookmarkStart w:name="_bookmark1623" w:id="1625"/>
      <w:bookmarkEnd w:id="1625"/>
      <w:r>
        <w:rPr/>
        <w:t>being</w:t>
      </w:r>
      <w:r>
        <w:rPr/>
        <w:t> made liable to the sub-buyer is his own good fortune. We will see that in cases of late delivery </w:t>
      </w:r>
      <w:r>
        <w:rPr>
          <w:color w:val="005DA1"/>
          <w:u w:val="single" w:color="005DA1"/>
          <w:vertAlign w:val="superscript"/>
        </w:rPr>
        <w:t>868</w:t>
      </w:r>
      <w:r>
        <w:rPr>
          <w:color w:val="005DA1"/>
          <w:vertAlign w:val="baseline"/>
        </w:rPr>
        <w:t> </w:t>
      </w:r>
      <w:r>
        <w:rPr>
          <w:vertAlign w:val="baseline"/>
        </w:rPr>
        <w:t>and of delivery of defective goods </w:t>
      </w:r>
      <w:r>
        <w:rPr>
          <w:color w:val="005DA1"/>
          <w:u w:val="single" w:color="005DA1"/>
          <w:vertAlign w:val="superscript"/>
        </w:rPr>
        <w:t>869</w:t>
      </w:r>
      <w:r>
        <w:rPr>
          <w:color w:val="005DA1"/>
          <w:vertAlign w:val="baseline"/>
        </w:rPr>
        <w:t> </w:t>
      </w:r>
      <w:r>
        <w:rPr>
          <w:vertAlign w:val="baseline"/>
        </w:rPr>
        <w:t>the courts have occasionally taken similar facts into account; but the decisions have been criticised. In cases of non-delivery the point remains open.</w:t>
      </w:r>
    </w:p>
    <w:p>
      <w:pPr>
        <w:pStyle w:val="BodyText"/>
      </w:pPr>
    </w:p>
    <w:p>
      <w:pPr>
        <w:pStyle w:val="BodyText"/>
        <w:spacing w:before="36"/>
      </w:pPr>
    </w:p>
    <w:p>
      <w:pPr>
        <w:spacing w:before="0"/>
        <w:ind w:left="165" w:right="0" w:firstLine="0"/>
        <w:jc w:val="left"/>
        <w:rPr>
          <w:rFonts w:ascii="Arial"/>
          <w:b/>
          <w:sz w:val="18"/>
        </w:rPr>
      </w:pPr>
      <w:r>
        <w:rPr>
          <w:rFonts w:ascii="Arial"/>
          <w:b/>
          <w:sz w:val="18"/>
        </w:rPr>
        <w:t>Re-purchase at below market </w:t>
      </w:r>
      <w:r>
        <w:rPr>
          <w:rFonts w:ascii="Arial"/>
          <w:b/>
          <w:spacing w:val="-2"/>
          <w:sz w:val="18"/>
        </w:rPr>
        <w:t>price</w:t>
      </w:r>
    </w:p>
    <w:p>
      <w:pPr>
        <w:spacing w:after="0"/>
        <w:jc w:val="left"/>
        <w:rPr>
          <w:rFonts w:ascii="Arial"/>
          <w:b/>
          <w:sz w:val="18"/>
        </w:rPr>
        <w:sectPr>
          <w:headerReference w:type="default" r:id="rId41"/>
          <w:pgSz w:w="11900" w:h="16840"/>
          <w:pgMar w:header="971" w:footer="0" w:top="1300" w:bottom="280" w:left="1275" w:right="1275"/>
          <w:pgNumType w:start="2"/>
        </w:sectPr>
      </w:pPr>
    </w:p>
    <w:p>
      <w:pPr>
        <w:spacing w:before="262"/>
        <w:ind w:left="165" w:right="0" w:firstLine="0"/>
        <w:jc w:val="left"/>
        <w:rPr>
          <w:rFonts w:ascii="Arial"/>
          <w:b/>
          <w:sz w:val="24"/>
        </w:rPr>
      </w:pPr>
      <w:r>
        <w:rPr>
          <w:rFonts w:ascii="Arial"/>
          <w:b/>
          <w:sz w:val="24"/>
        </w:rPr>
        <w:t>26-</w:t>
      </w:r>
      <w:r>
        <w:rPr>
          <w:rFonts w:ascii="Arial"/>
          <w:b/>
          <w:spacing w:val="-5"/>
          <w:sz w:val="24"/>
        </w:rPr>
        <w:t>156</w:t>
      </w:r>
    </w:p>
    <w:p>
      <w:pPr>
        <w:pStyle w:val="BodyText"/>
        <w:spacing w:line="235" w:lineRule="auto" w:before="202"/>
        <w:ind w:left="165" w:right="167"/>
        <w:jc w:val="both"/>
      </w:pPr>
      <w:bookmarkStart w:name="_bookmark1624" w:id="1626"/>
      <w:bookmarkEnd w:id="1626"/>
      <w:r>
        <w:rPr/>
      </w:r>
      <w:r>
        <w:rPr/>
        <w:t>The disappointed buyer may have been able to purchase substitute goods at below the market </w:t>
      </w:r>
      <w:r>
        <w:rPr/>
        <w:t>price. This will normally also be disregarded, on the basis that it is the buyer’s good fortune. </w:t>
      </w:r>
      <w:r>
        <w:rPr>
          <w:color w:val="005DA1"/>
          <w:u w:val="single" w:color="005DA1"/>
          <w:vertAlign w:val="superscript"/>
        </w:rPr>
        <w:t>870</w:t>
      </w:r>
      <w:r>
        <w:rPr>
          <w:color w:val="005DA1"/>
          <w:vertAlign w:val="baseline"/>
        </w:rPr>
        <w:t> </w:t>
      </w:r>
      <w:r>
        <w:rPr>
          <w:vertAlign w:val="baseline"/>
        </w:rPr>
        <w:t>The buyer could have made the same profit by buying and reselling even if the contract had been performed. The</w:t>
      </w:r>
      <w:r>
        <w:rPr>
          <w:spacing w:val="25"/>
          <w:vertAlign w:val="baseline"/>
        </w:rPr>
        <w:t> </w:t>
      </w:r>
      <w:r>
        <w:rPr>
          <w:vertAlign w:val="baseline"/>
        </w:rPr>
        <w:t>position</w:t>
      </w:r>
      <w:r>
        <w:rPr>
          <w:spacing w:val="25"/>
          <w:vertAlign w:val="baseline"/>
        </w:rPr>
        <w:t> </w:t>
      </w:r>
      <w:r>
        <w:rPr>
          <w:vertAlign w:val="baseline"/>
        </w:rPr>
        <w:t>will</w:t>
      </w:r>
      <w:r>
        <w:rPr>
          <w:spacing w:val="25"/>
          <w:vertAlign w:val="baseline"/>
        </w:rPr>
        <w:t> </w:t>
      </w:r>
      <w:r>
        <w:rPr>
          <w:vertAlign w:val="baseline"/>
        </w:rPr>
        <w:t>be</w:t>
      </w:r>
      <w:r>
        <w:rPr>
          <w:spacing w:val="25"/>
          <w:vertAlign w:val="baseline"/>
        </w:rPr>
        <w:t> </w:t>
      </w:r>
      <w:r>
        <w:rPr>
          <w:vertAlign w:val="baseline"/>
        </w:rPr>
        <w:t>different</w:t>
      </w:r>
      <w:r>
        <w:rPr>
          <w:spacing w:val="25"/>
          <w:vertAlign w:val="baseline"/>
        </w:rPr>
        <w:t> </w:t>
      </w:r>
      <w:r>
        <w:rPr>
          <w:vertAlign w:val="baseline"/>
        </w:rPr>
        <w:t>if</w:t>
      </w:r>
      <w:r>
        <w:rPr>
          <w:spacing w:val="25"/>
          <w:vertAlign w:val="baseline"/>
        </w:rPr>
        <w:t> </w:t>
      </w:r>
      <w:r>
        <w:rPr>
          <w:vertAlign w:val="baseline"/>
        </w:rPr>
        <w:t>the</w:t>
      </w:r>
      <w:r>
        <w:rPr>
          <w:spacing w:val="25"/>
          <w:vertAlign w:val="baseline"/>
        </w:rPr>
        <w:t> </w:t>
      </w:r>
      <w:r>
        <w:rPr>
          <w:vertAlign w:val="baseline"/>
        </w:rPr>
        <w:t>buyer</w:t>
      </w:r>
      <w:r>
        <w:rPr>
          <w:spacing w:val="25"/>
          <w:vertAlign w:val="baseline"/>
        </w:rPr>
        <w:t> </w:t>
      </w:r>
      <w:r>
        <w:rPr>
          <w:vertAlign w:val="baseline"/>
        </w:rPr>
        <w:t>has</w:t>
      </w:r>
      <w:r>
        <w:rPr>
          <w:spacing w:val="25"/>
          <w:vertAlign w:val="baseline"/>
        </w:rPr>
        <w:t> </w:t>
      </w:r>
      <w:r>
        <w:rPr>
          <w:vertAlign w:val="baseline"/>
        </w:rPr>
        <w:t>rejected</w:t>
      </w:r>
      <w:r>
        <w:rPr>
          <w:spacing w:val="25"/>
          <w:vertAlign w:val="baseline"/>
        </w:rPr>
        <w:t> </w:t>
      </w:r>
      <w:r>
        <w:rPr>
          <w:vertAlign w:val="baseline"/>
        </w:rPr>
        <w:t>goods</w:t>
      </w:r>
      <w:r>
        <w:rPr>
          <w:spacing w:val="25"/>
          <w:vertAlign w:val="baseline"/>
        </w:rPr>
        <w:t> </w:t>
      </w:r>
      <w:r>
        <w:rPr>
          <w:vertAlign w:val="baseline"/>
        </w:rPr>
        <w:t>as</w:t>
      </w:r>
      <w:r>
        <w:rPr>
          <w:spacing w:val="25"/>
          <w:vertAlign w:val="baseline"/>
        </w:rPr>
        <w:t> </w:t>
      </w:r>
      <w:r>
        <w:rPr>
          <w:vertAlign w:val="baseline"/>
        </w:rPr>
        <w:t>defective</w:t>
      </w:r>
      <w:r>
        <w:rPr>
          <w:spacing w:val="25"/>
          <w:vertAlign w:val="baseline"/>
        </w:rPr>
        <w:t> </w:t>
      </w:r>
      <w:r>
        <w:rPr>
          <w:vertAlign w:val="baseline"/>
        </w:rPr>
        <w:t>but</w:t>
      </w:r>
      <w:r>
        <w:rPr>
          <w:spacing w:val="25"/>
          <w:vertAlign w:val="baseline"/>
        </w:rPr>
        <w:t> </w:t>
      </w:r>
      <w:r>
        <w:rPr>
          <w:vertAlign w:val="baseline"/>
        </w:rPr>
        <w:t>manages</w:t>
      </w:r>
      <w:r>
        <w:rPr>
          <w:spacing w:val="25"/>
          <w:vertAlign w:val="baseline"/>
        </w:rPr>
        <w:t> </w:t>
      </w:r>
      <w:r>
        <w:rPr>
          <w:vertAlign w:val="baseline"/>
        </w:rPr>
        <w:t>to</w:t>
      </w:r>
      <w:r>
        <w:rPr>
          <w:spacing w:val="25"/>
          <w:vertAlign w:val="baseline"/>
        </w:rPr>
        <w:t> </w:t>
      </w:r>
      <w:r>
        <w:rPr>
          <w:vertAlign w:val="baseline"/>
        </w:rPr>
        <w:t>buy</w:t>
      </w:r>
      <w:r>
        <w:rPr>
          <w:spacing w:val="25"/>
          <w:vertAlign w:val="baseline"/>
        </w:rPr>
        <w:t> </w:t>
      </w:r>
      <w:r>
        <w:rPr>
          <w:vertAlign w:val="baseline"/>
        </w:rPr>
        <w:t>the </w:t>
      </w:r>
      <w:bookmarkStart w:name="_bookmark1625" w:id="1627"/>
      <w:bookmarkEnd w:id="1627"/>
      <w:r>
        <w:rPr>
          <w:vertAlign w:val="baseline"/>
        </w:rPr>
        <w:t>self</w:t>
      </w:r>
      <w:r>
        <w:rPr>
          <w:vertAlign w:val="baseline"/>
        </w:rPr>
        <w:t>-same goods at below the market value: they would not have been available had the contract</w:t>
      </w:r>
      <w:r>
        <w:rPr>
          <w:spacing w:val="40"/>
          <w:vertAlign w:val="baseline"/>
        </w:rPr>
        <w:t> </w:t>
      </w:r>
      <w:r>
        <w:rPr>
          <w:vertAlign w:val="baseline"/>
        </w:rPr>
        <w:t>been performed. </w:t>
      </w:r>
      <w:r>
        <w:rPr>
          <w:color w:val="005DA1"/>
          <w:u w:val="single" w:color="005DA1"/>
          <w:vertAlign w:val="superscript"/>
        </w:rPr>
        <w:t>871</w:t>
      </w:r>
    </w:p>
    <w:p>
      <w:pPr>
        <w:pStyle w:val="BodyText"/>
      </w:pPr>
    </w:p>
    <w:p>
      <w:pPr>
        <w:pStyle w:val="BodyText"/>
        <w:spacing w:before="36"/>
      </w:pPr>
    </w:p>
    <w:p>
      <w:pPr>
        <w:spacing w:before="1"/>
        <w:ind w:left="165" w:right="0" w:firstLine="0"/>
        <w:jc w:val="both"/>
        <w:rPr>
          <w:rFonts w:ascii="Arial"/>
          <w:b/>
          <w:sz w:val="18"/>
        </w:rPr>
      </w:pPr>
      <w:r>
        <w:rPr>
          <w:rFonts w:ascii="Arial"/>
          <w:b/>
          <w:sz w:val="18"/>
        </w:rPr>
        <w:t>No available </w:t>
      </w:r>
      <w:r>
        <w:rPr>
          <w:rFonts w:ascii="Arial"/>
          <w:b/>
          <w:spacing w:val="-2"/>
          <w:sz w:val="18"/>
        </w:rPr>
        <w:t>market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157</w:t>
      </w:r>
    </w:p>
    <w:p>
      <w:pPr>
        <w:pStyle w:val="BodyText"/>
        <w:spacing w:line="235" w:lineRule="auto" w:before="203"/>
        <w:ind w:left="164" w:right="167"/>
        <w:jc w:val="both"/>
      </w:pPr>
      <w:bookmarkStart w:name="_bookmark1626" w:id="1628"/>
      <w:bookmarkEnd w:id="1628"/>
      <w:r>
        <w:rPr/>
      </w:r>
      <w:r>
        <w:rPr/>
        <w:t>If there is no available market for the goods, the buyer’s damages may well take sub-sales into account. Firstly, the sub-sale price may be used as best evidence of the value of the goods. </w:t>
      </w:r>
      <w:r>
        <w:rPr>
          <w:color w:val="005DA1"/>
          <w:u w:val="single" w:color="005DA1"/>
          <w:vertAlign w:val="superscript"/>
        </w:rPr>
        <w:t>872</w:t>
      </w:r>
      <w:r>
        <w:rPr>
          <w:color w:val="005DA1"/>
          <w:vertAlign w:val="baseline"/>
        </w:rPr>
        <w:t> </w:t>
      </w:r>
      <w:r>
        <w:rPr>
          <w:vertAlign w:val="baseline"/>
        </w:rPr>
        <w:t>Secondly, the buyer is less likely to be able to avoid losing profits he would have made from the subsale. Equally, a claim for loss of profits from the intended use of the goods is more likely to </w:t>
      </w:r>
      <w:r>
        <w:rPr>
          <w:spacing w:val="-2"/>
          <w:vertAlign w:val="baseline"/>
        </w:rPr>
        <w:t>succeed.</w:t>
      </w:r>
    </w:p>
    <w:p>
      <w:pPr>
        <w:pStyle w:val="BodyText"/>
      </w:pPr>
    </w:p>
    <w:p>
      <w:pPr>
        <w:pStyle w:val="BodyText"/>
        <w:spacing w:before="36"/>
      </w:pPr>
    </w:p>
    <w:p>
      <w:pPr>
        <w:spacing w:before="0"/>
        <w:ind w:left="164" w:right="0" w:firstLine="0"/>
        <w:jc w:val="both"/>
        <w:rPr>
          <w:rFonts w:ascii="Arial"/>
          <w:b/>
          <w:sz w:val="18"/>
        </w:rPr>
      </w:pPr>
      <w:r>
        <w:rPr>
          <w:rFonts w:ascii="Arial"/>
          <w:b/>
          <w:sz w:val="18"/>
        </w:rPr>
        <w:t>Delay in </w:t>
      </w:r>
      <w:r>
        <w:rPr>
          <w:rFonts w:ascii="Arial"/>
          <w:b/>
          <w:spacing w:val="-2"/>
          <w:sz w:val="18"/>
        </w:rPr>
        <w:t>delivery</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26-</w:t>
      </w:r>
      <w:r>
        <w:rPr>
          <w:rFonts w:ascii="Arial"/>
          <w:b/>
          <w:spacing w:val="-5"/>
          <w:sz w:val="24"/>
        </w:rPr>
        <w:t>158</w:t>
      </w:r>
    </w:p>
    <w:p>
      <w:pPr>
        <w:pStyle w:val="BodyText"/>
        <w:spacing w:before="92"/>
        <w:rPr>
          <w:rFonts w:ascii="Arial"/>
          <w:b/>
        </w:rPr>
      </w:pPr>
    </w:p>
    <w:p>
      <w:pPr>
        <w:pStyle w:val="BodyText"/>
        <w:spacing w:line="235" w:lineRule="auto"/>
        <w:ind w:left="164" w:right="166"/>
        <w:jc w:val="both"/>
      </w:pPr>
      <w:r>
        <w:rPr>
          <w:position w:val="-2"/>
        </w:rPr>
        <w:drawing>
          <wp:inline distT="0" distB="0" distL="0" distR="0">
            <wp:extent cx="107988" cy="107988"/>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If the goods are being purchased for use, late delivery may cause the buyer loss of profit. This may </w:t>
      </w:r>
      <w:bookmarkStart w:name="_bookmark1627" w:id="1629"/>
      <w:bookmarkEnd w:id="1629"/>
      <w:r>
        <w:rPr/>
        <w:t>be</w:t>
      </w:r>
      <w:r>
        <w:rPr/>
        <w:t> recoverable if the buyer was not able to avoid it by purchasing a substitute and the resulting loss </w:t>
      </w:r>
      <w:bookmarkStart w:name="_bookmark1628" w:id="1630"/>
      <w:bookmarkEnd w:id="1630"/>
      <w:r>
        <w:rPr/>
        <w:t>was</w:t>
      </w:r>
      <w:r>
        <w:rPr/>
        <w:t> not too remote. </w:t>
      </w:r>
      <w:r>
        <w:rPr>
          <w:color w:val="005DA1"/>
          <w:u w:val="single" w:color="005DA1"/>
          <w:vertAlign w:val="superscript"/>
        </w:rPr>
        <w:t>873</w:t>
      </w:r>
      <w:r>
        <w:rPr>
          <w:color w:val="005DA1"/>
          <w:vertAlign w:val="baseline"/>
        </w:rPr>
        <w:t> </w:t>
      </w:r>
      <w:r>
        <w:rPr>
          <w:vertAlign w:val="baseline"/>
        </w:rPr>
        <w:t>Where the goods are being bought for resale, and the seller makes a late delivery of goods and the buyer accepts the delivery although the market price has fallen, </w:t>
      </w:r>
      <w:r>
        <w:rPr>
          <w:color w:val="005DA1"/>
          <w:u w:val="single" w:color="005DA1"/>
          <w:vertAlign w:val="superscript"/>
        </w:rPr>
        <w:t>874</w:t>
      </w:r>
      <w:r>
        <w:rPr>
          <w:color w:val="005DA1"/>
          <w:vertAlign w:val="baseline"/>
        </w:rPr>
        <w:t> </w:t>
      </w:r>
      <w:r>
        <w:rPr>
          <w:vertAlign w:val="baseline"/>
        </w:rPr>
        <w:t>the</w:t>
      </w:r>
      <w:r>
        <w:rPr>
          <w:spacing w:val="40"/>
          <w:vertAlign w:val="baseline"/>
        </w:rPr>
        <w:t> </w:t>
      </w:r>
      <w:bookmarkStart w:name="_bookmark1629" w:id="1631"/>
      <w:bookmarkEnd w:id="1631"/>
      <w:r>
        <w:rPr>
          <w:vertAlign w:val="baseline"/>
        </w:rPr>
        <w:t>buyer</w:t>
      </w:r>
      <w:r>
        <w:rPr>
          <w:vertAlign w:val="baseline"/>
        </w:rPr>
        <w:t> will normally be entitled to the difference in value between the goods on the date on which delivery was due and the date of actual delivery. </w:t>
      </w:r>
      <w:r>
        <w:rPr>
          <w:color w:val="005DA1"/>
          <w:u w:val="single" w:color="005DA1"/>
          <w:vertAlign w:val="superscript"/>
        </w:rPr>
        <w:t>875</w:t>
      </w:r>
      <w:r>
        <w:rPr>
          <w:color w:val="005DA1"/>
          <w:vertAlign w:val="baseline"/>
        </w:rPr>
        <w:t> </w:t>
      </w:r>
      <w:r>
        <w:rPr>
          <w:vertAlign w:val="baseline"/>
        </w:rPr>
        <w:t>It is thought that any price at which the </w:t>
      </w:r>
      <w:r>
        <w:rPr>
          <w:vertAlign w:val="baseline"/>
        </w:rPr>
        <w:t>goods have been resold by the buyer should be treated as irrelevant, even if the buyer has managed to</w:t>
      </w:r>
      <w:r>
        <w:rPr>
          <w:spacing w:val="40"/>
          <w:vertAlign w:val="baseline"/>
        </w:rPr>
        <w:t> </w:t>
      </w:r>
      <w:bookmarkStart w:name="_bookmark1630" w:id="1632"/>
      <w:bookmarkEnd w:id="1632"/>
      <w:r>
        <w:rPr>
          <w:vertAlign w:val="baseline"/>
        </w:rPr>
        <w:t>resell</w:t>
      </w:r>
      <w:r>
        <w:rPr>
          <w:vertAlign w:val="baseline"/>
        </w:rPr>
        <w:t> the goods at more than the market price at the date of delivery. This occurred in the Privy Council case of </w:t>
      </w:r>
      <w:r>
        <w:rPr>
          <w:rFonts w:ascii="Arial"/>
          <w:i/>
          <w:vertAlign w:val="baseline"/>
        </w:rPr>
        <w:t>Wertheim v Chicoutini Pulp Co</w:t>
      </w:r>
      <w:r>
        <w:rPr>
          <w:vertAlign w:val="baseline"/>
        </w:rPr>
        <w:t>. </w:t>
      </w:r>
      <w:r>
        <w:rPr>
          <w:color w:val="005DA1"/>
          <w:u w:val="single" w:color="005DA1"/>
          <w:vertAlign w:val="superscript"/>
        </w:rPr>
        <w:t>876</w:t>
      </w:r>
      <w:r>
        <w:rPr>
          <w:color w:val="005DA1"/>
          <w:vertAlign w:val="baseline"/>
        </w:rPr>
        <w:t> </w:t>
      </w:r>
      <w:r>
        <w:rPr>
          <w:vertAlign w:val="baseline"/>
        </w:rPr>
        <w:t>At the date on which the goods should have been delivered, the market price was 70s a ton; by the date of actual delivery it had fallen to 42s 6d a ton. </w:t>
      </w:r>
      <w:bookmarkStart w:name="_bookmark1631" w:id="1633"/>
      <w:bookmarkEnd w:id="1633"/>
      <w:r>
        <w:rPr>
          <w:vertAlign w:val="baseline"/>
        </w:rPr>
        <w:t>However,</w:t>
      </w:r>
      <w:r>
        <w:rPr>
          <w:vertAlign w:val="baseline"/>
        </w:rPr>
        <w:t> the buyers had resold the goods at 65s a ton. The Privy Council awarded damages of only 5s a ton, but the decision has been strongly criticised. </w:t>
      </w:r>
      <w:r>
        <w:rPr>
          <w:color w:val="005DA1"/>
          <w:u w:val="single" w:color="005DA1"/>
          <w:vertAlign w:val="superscript"/>
        </w:rPr>
        <w:t>877</w:t>
      </w:r>
      <w:r>
        <w:rPr>
          <w:color w:val="005DA1"/>
          <w:vertAlign w:val="baseline"/>
        </w:rPr>
        <w:t> </w:t>
      </w:r>
      <w:r>
        <w:rPr>
          <w:vertAlign w:val="baseline"/>
        </w:rPr>
        <w:t>On the facts it seems that the buyer had not re-sold the self-same goods, merely an equivalent amount. Had the goods been delivered on time,</w:t>
      </w:r>
      <w:r>
        <w:rPr>
          <w:spacing w:val="40"/>
          <w:vertAlign w:val="baseline"/>
        </w:rPr>
        <w:t> </w:t>
      </w:r>
      <w:r>
        <w:rPr>
          <w:vertAlign w:val="baseline"/>
        </w:rPr>
        <w:t>the buyer might have been able to make the same amount of profit irrespective of the breach, by buying when the price had fallen to 42s 6d and re-selling at 65s, and in addition they would have</w:t>
      </w:r>
      <w:r>
        <w:rPr>
          <w:spacing w:val="80"/>
          <w:vertAlign w:val="baseline"/>
        </w:rPr>
        <w:t> </w:t>
      </w:r>
      <w:r>
        <w:rPr>
          <w:vertAlign w:val="baseline"/>
        </w:rPr>
        <w:t>been able to re-sell the contract goods at 70s a ton. The decision might be more defensible if the buyers had re-sold the self-same goods. Then, if the goods had been delivered on time, they would </w:t>
      </w:r>
      <w:bookmarkStart w:name="_bookmark1632" w:id="1634"/>
      <w:bookmarkEnd w:id="1634"/>
      <w:r>
        <w:rPr>
          <w:vertAlign w:val="baseline"/>
        </w:rPr>
        <w:t>probably</w:t>
      </w:r>
      <w:r>
        <w:rPr>
          <w:spacing w:val="6"/>
          <w:vertAlign w:val="baseline"/>
        </w:rPr>
        <w:t> </w:t>
      </w:r>
      <w:r>
        <w:rPr>
          <w:vertAlign w:val="baseline"/>
        </w:rPr>
        <w:t>have</w:t>
      </w:r>
      <w:r>
        <w:rPr>
          <w:spacing w:val="6"/>
          <w:vertAlign w:val="baseline"/>
        </w:rPr>
        <w:t> </w:t>
      </w:r>
      <w:r>
        <w:rPr>
          <w:vertAlign w:val="baseline"/>
        </w:rPr>
        <w:t>passed</w:t>
      </w:r>
      <w:r>
        <w:rPr>
          <w:spacing w:val="6"/>
          <w:vertAlign w:val="baseline"/>
        </w:rPr>
        <w:t> </w:t>
      </w:r>
      <w:r>
        <w:rPr>
          <w:vertAlign w:val="baseline"/>
        </w:rPr>
        <w:t>them</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sub-buyers</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price</w:t>
      </w:r>
      <w:r>
        <w:rPr>
          <w:spacing w:val="6"/>
          <w:vertAlign w:val="baseline"/>
        </w:rPr>
        <w:t> </w:t>
      </w:r>
      <w:r>
        <w:rPr>
          <w:vertAlign w:val="baseline"/>
        </w:rPr>
        <w:t>which</w:t>
      </w:r>
      <w:r>
        <w:rPr>
          <w:spacing w:val="6"/>
          <w:vertAlign w:val="baseline"/>
        </w:rPr>
        <w:t> </w:t>
      </w:r>
      <w:r>
        <w:rPr>
          <w:vertAlign w:val="baseline"/>
        </w:rPr>
        <w:t>they</w:t>
      </w:r>
      <w:r>
        <w:rPr>
          <w:spacing w:val="6"/>
          <w:vertAlign w:val="baseline"/>
        </w:rPr>
        <w:t> </w:t>
      </w:r>
      <w:r>
        <w:rPr>
          <w:vertAlign w:val="baseline"/>
        </w:rPr>
        <w:t>in</w:t>
      </w:r>
      <w:r>
        <w:rPr>
          <w:spacing w:val="6"/>
          <w:vertAlign w:val="baseline"/>
        </w:rPr>
        <w:t> </w:t>
      </w:r>
      <w:r>
        <w:rPr>
          <w:vertAlign w:val="baseline"/>
        </w:rPr>
        <w:t>fact</w:t>
      </w:r>
      <w:r>
        <w:rPr>
          <w:spacing w:val="6"/>
          <w:vertAlign w:val="baseline"/>
        </w:rPr>
        <w:t> </w:t>
      </w:r>
      <w:r>
        <w:rPr>
          <w:vertAlign w:val="baseline"/>
        </w:rPr>
        <w:t>obtained</w:t>
      </w:r>
      <w:r>
        <w:rPr>
          <w:spacing w:val="6"/>
          <w:vertAlign w:val="baseline"/>
        </w:rPr>
        <w:t> </w:t>
      </w:r>
      <w:r>
        <w:rPr>
          <w:vertAlign w:val="baseline"/>
        </w:rPr>
        <w:t>for</w:t>
      </w:r>
      <w:r>
        <w:rPr>
          <w:spacing w:val="6"/>
          <w:vertAlign w:val="baseline"/>
        </w:rPr>
        <w:t> </w:t>
      </w:r>
      <w:r>
        <w:rPr>
          <w:spacing w:val="-2"/>
          <w:vertAlign w:val="baseline"/>
        </w:rPr>
        <w:t>them,</w:t>
      </w:r>
    </w:p>
    <w:p>
      <w:pPr>
        <w:pStyle w:val="BodyText"/>
        <w:spacing w:before="110"/>
        <w:ind w:left="165"/>
        <w:jc w:val="both"/>
        <w:rPr>
          <w:position w:val="-2"/>
        </w:rPr>
      </w:pPr>
      <w:r>
        <w:rPr/>
        <w:t>i.e. 65s a ton. Then it would be arguable that the delay caused them no loss at all. </w:t>
      </w:r>
      <w:r>
        <w:rPr>
          <w:color w:val="005DA1"/>
          <w:u w:val="single" w:color="005DA1"/>
          <w:vertAlign w:val="superscript"/>
        </w:rPr>
        <w:t>878</w:t>
      </w:r>
      <w:r>
        <w:rPr>
          <w:color w:val="005DA1"/>
          <w:spacing w:val="80"/>
          <w:w w:val="150"/>
          <w:vertAlign w:val="baseline"/>
        </w:rPr>
        <w:t> </w:t>
      </w:r>
      <w:r>
        <w:rPr>
          <w:color w:val="005DA1"/>
          <w:position w:val="-2"/>
          <w:vertAlign w:val="baseline"/>
        </w:rPr>
        <w:drawing>
          <wp:inline distT="0" distB="0" distL="0" distR="0">
            <wp:extent cx="107988" cy="107988"/>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Delivery of defective </w:t>
      </w:r>
      <w:r>
        <w:rPr>
          <w:rFonts w:ascii="Arial"/>
          <w:b/>
          <w:spacing w:val="-2"/>
          <w:sz w:val="18"/>
        </w:rPr>
        <w:t>goods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159</w:t>
      </w:r>
    </w:p>
    <w:p>
      <w:pPr>
        <w:pStyle w:val="BodyText"/>
        <w:spacing w:before="93"/>
        <w:rPr>
          <w:rFonts w:ascii="Arial"/>
          <w:b/>
        </w:rPr>
      </w:pPr>
    </w:p>
    <w:p>
      <w:pPr>
        <w:pStyle w:val="BodyText"/>
        <w:spacing w:line="235" w:lineRule="auto"/>
        <w:ind w:left="164" w:right="167"/>
        <w:jc w:val="both"/>
        <w:rPr>
          <w:rFonts w:ascii="Arial" w:hAnsi="Arial"/>
          <w:i/>
        </w:rPr>
      </w:pPr>
      <w:r>
        <w:rPr>
          <w:position w:val="-2"/>
        </w:rPr>
        <w:drawing>
          <wp:inline distT="0" distB="0" distL="0" distR="0">
            <wp:extent cx="107988" cy="107988"/>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633" w:id="1635"/>
      <w:bookmarkEnd w:id="1635"/>
      <w:r>
        <w:rPr>
          <w:rFonts w:ascii="Times New Roman" w:hAnsi="Times New Roman"/>
          <w:spacing w:val="22"/>
        </w:rPr>
      </w:r>
      <w:r>
        <w:rPr/>
        <w:t>If the goods delivered are defective but buyer accepts them, the damages will prima facie be the </w:t>
      </w:r>
      <w:bookmarkStart w:name="_bookmark1634" w:id="1636"/>
      <w:bookmarkEnd w:id="1636"/>
      <w:r>
        <w:rPr/>
        <w:t>difference</w:t>
      </w:r>
      <w:r>
        <w:rPr/>
        <w:t> between the value the goods should have had and their actual value. </w:t>
      </w:r>
      <w:r>
        <w:rPr>
          <w:color w:val="005DA1"/>
          <w:u w:val="single" w:color="005DA1"/>
          <w:vertAlign w:val="superscript"/>
        </w:rPr>
        <w:t>879</w:t>
      </w:r>
      <w:r>
        <w:rPr>
          <w:color w:val="005DA1"/>
          <w:vertAlign w:val="baseline"/>
        </w:rPr>
        <w:t> </w:t>
      </w:r>
      <w:r>
        <w:rPr>
          <w:vertAlign w:val="baseline"/>
        </w:rPr>
        <w:t>If there is no </w:t>
      </w:r>
      <w:bookmarkStart w:name="_bookmark1635" w:id="1637"/>
      <w:bookmarkEnd w:id="1637"/>
      <w:r>
        <w:rPr>
          <w:vertAlign w:val="baseline"/>
        </w:rPr>
        <w:t>available</w:t>
      </w:r>
      <w:r>
        <w:rPr>
          <w:vertAlign w:val="baseline"/>
        </w:rPr>
        <w:t> market in which the buyer can obtain a substitute, </w:t>
      </w:r>
      <w:r>
        <w:rPr>
          <w:color w:val="005DA1"/>
          <w:u w:val="single" w:color="005DA1"/>
          <w:vertAlign w:val="superscript"/>
        </w:rPr>
        <w:t>880</w:t>
      </w:r>
      <w:r>
        <w:rPr>
          <w:color w:val="005DA1"/>
          <w:vertAlign w:val="baseline"/>
        </w:rPr>
        <w:t> </w:t>
      </w:r>
      <w:r>
        <w:rPr>
          <w:vertAlign w:val="baseline"/>
        </w:rPr>
        <w:t>it may be reasonable for the buyer to have the goods repaired and the cost of doing so will be recoverable. </w:t>
      </w:r>
      <w:r>
        <w:rPr>
          <w:color w:val="005DA1"/>
          <w:u w:val="single" w:color="005DA1"/>
          <w:vertAlign w:val="superscript"/>
        </w:rPr>
        <w:t>881</w:t>
      </w:r>
      <w:r>
        <w:rPr>
          <w:color w:val="005DA1"/>
          <w:vertAlign w:val="baseline"/>
        </w:rPr>
        <w:t> </w:t>
      </w:r>
      <w:r>
        <w:rPr>
          <w:vertAlign w:val="baseline"/>
        </w:rPr>
        <w:t>Where the goods </w:t>
      </w:r>
      <w:r>
        <w:rPr>
          <w:vertAlign w:val="baseline"/>
        </w:rPr>
        <w:t>were </w:t>
      </w:r>
      <w:bookmarkStart w:name="_bookmark1636" w:id="1638"/>
      <w:bookmarkEnd w:id="1638"/>
      <w:r>
        <w:rPr>
          <w:vertAlign w:val="baseline"/>
        </w:rPr>
        <w:t>bought</w:t>
      </w:r>
      <w:r>
        <w:rPr>
          <w:vertAlign w:val="baseline"/>
        </w:rPr>
        <w:t> for resale, the fact that the buyer loses a profitable resale will be relevant only if the buyer was not able to mitigate his loss and the further loss was not too remote. </w:t>
      </w:r>
      <w:r>
        <w:rPr>
          <w:color w:val="005DA1"/>
          <w:u w:val="single" w:color="005DA1"/>
          <w:vertAlign w:val="superscript"/>
        </w:rPr>
        <w:t>882</w:t>
      </w:r>
      <w:r>
        <w:rPr>
          <w:color w:val="005DA1"/>
          <w:vertAlign w:val="baseline"/>
        </w:rPr>
        <w:t> </w:t>
      </w:r>
      <w:r>
        <w:rPr>
          <w:vertAlign w:val="baseline"/>
        </w:rPr>
        <w:t>Conversely, it has been held </w:t>
      </w:r>
      <w:bookmarkStart w:name="_bookmark1637" w:id="1639"/>
      <w:bookmarkEnd w:id="1639"/>
      <w:r>
        <w:rPr>
          <w:vertAlign w:val="baseline"/>
        </w:rPr>
        <w:t>that</w:t>
      </w:r>
      <w:r>
        <w:rPr>
          <w:vertAlign w:val="baseline"/>
        </w:rPr>
        <w:t> the buyer’s damages should not be reduced because he has succeeded in reselling the defective goods</w:t>
      </w:r>
      <w:r>
        <w:rPr>
          <w:spacing w:val="32"/>
          <w:vertAlign w:val="baseline"/>
        </w:rPr>
        <w:t> </w:t>
      </w:r>
      <w:r>
        <w:rPr>
          <w:vertAlign w:val="baseline"/>
        </w:rPr>
        <w:t>at</w:t>
      </w:r>
      <w:r>
        <w:rPr>
          <w:spacing w:val="33"/>
          <w:vertAlign w:val="baseline"/>
        </w:rPr>
        <w:t> </w:t>
      </w:r>
      <w:r>
        <w:rPr>
          <w:vertAlign w:val="baseline"/>
        </w:rPr>
        <w:t>more</w:t>
      </w:r>
      <w:r>
        <w:rPr>
          <w:spacing w:val="33"/>
          <w:vertAlign w:val="baseline"/>
        </w:rPr>
        <w:t> </w:t>
      </w:r>
      <w:r>
        <w:rPr>
          <w:vertAlign w:val="baseline"/>
        </w:rPr>
        <w:t>than</w:t>
      </w:r>
      <w:r>
        <w:rPr>
          <w:spacing w:val="33"/>
          <w:vertAlign w:val="baseline"/>
        </w:rPr>
        <w:t> </w:t>
      </w:r>
      <w:r>
        <w:rPr>
          <w:vertAlign w:val="baseline"/>
        </w:rPr>
        <w:t>the</w:t>
      </w:r>
      <w:r>
        <w:rPr>
          <w:spacing w:val="33"/>
          <w:vertAlign w:val="baseline"/>
        </w:rPr>
        <w:t> </w:t>
      </w:r>
      <w:r>
        <w:rPr>
          <w:vertAlign w:val="baseline"/>
        </w:rPr>
        <w:t>market</w:t>
      </w:r>
      <w:r>
        <w:rPr>
          <w:spacing w:val="33"/>
          <w:vertAlign w:val="baseline"/>
        </w:rPr>
        <w:t> </w:t>
      </w:r>
      <w:r>
        <w:rPr>
          <w:vertAlign w:val="baseline"/>
        </w:rPr>
        <w:t>price</w:t>
      </w:r>
      <w:r>
        <w:rPr>
          <w:spacing w:val="33"/>
          <w:vertAlign w:val="baseline"/>
        </w:rPr>
        <w:t> </w:t>
      </w:r>
      <w:r>
        <w:rPr>
          <w:vertAlign w:val="baseline"/>
        </w:rPr>
        <w:t>for</w:t>
      </w:r>
      <w:r>
        <w:rPr>
          <w:spacing w:val="33"/>
          <w:vertAlign w:val="baseline"/>
        </w:rPr>
        <w:t> </w:t>
      </w:r>
      <w:r>
        <w:rPr>
          <w:vertAlign w:val="baseline"/>
        </w:rPr>
        <w:t>goods</w:t>
      </w:r>
      <w:r>
        <w:rPr>
          <w:spacing w:val="33"/>
          <w:vertAlign w:val="baseline"/>
        </w:rPr>
        <w:t> </w:t>
      </w:r>
      <w:r>
        <w:rPr>
          <w:vertAlign w:val="baseline"/>
        </w:rPr>
        <w:t>in</w:t>
      </w:r>
      <w:r>
        <w:rPr>
          <w:spacing w:val="33"/>
          <w:vertAlign w:val="baseline"/>
        </w:rPr>
        <w:t> </w:t>
      </w:r>
      <w:r>
        <w:rPr>
          <w:vertAlign w:val="baseline"/>
        </w:rPr>
        <w:t>that</w:t>
      </w:r>
      <w:r>
        <w:rPr>
          <w:spacing w:val="33"/>
          <w:vertAlign w:val="baseline"/>
        </w:rPr>
        <w:t> </w:t>
      </w:r>
      <w:r>
        <w:rPr>
          <w:vertAlign w:val="baseline"/>
        </w:rPr>
        <w:t>condition.</w:t>
      </w:r>
      <w:r>
        <w:rPr>
          <w:spacing w:val="31"/>
          <w:vertAlign w:val="baseline"/>
        </w:rPr>
        <w:t> </w:t>
      </w:r>
      <w:r>
        <w:rPr>
          <w:color w:val="005DA1"/>
          <w:u w:val="single" w:color="005DA1"/>
          <w:vertAlign w:val="superscript"/>
        </w:rPr>
        <w:t>883</w:t>
      </w:r>
      <w:r>
        <w:rPr>
          <w:color w:val="005DA1"/>
          <w:spacing w:val="33"/>
          <w:vertAlign w:val="baseline"/>
        </w:rPr>
        <w:t> </w:t>
      </w:r>
      <w:r>
        <w:rPr>
          <w:vertAlign w:val="baseline"/>
        </w:rPr>
        <w:t>However,</w:t>
      </w:r>
      <w:r>
        <w:rPr>
          <w:spacing w:val="33"/>
          <w:vertAlign w:val="baseline"/>
        </w:rPr>
        <w:t> </w:t>
      </w:r>
      <w:r>
        <w:rPr>
          <w:vertAlign w:val="baseline"/>
        </w:rPr>
        <w:t>in</w:t>
      </w:r>
      <w:r>
        <w:rPr>
          <w:spacing w:val="32"/>
          <w:vertAlign w:val="baseline"/>
        </w:rPr>
        <w:t> </w:t>
      </w:r>
      <w:r>
        <w:rPr>
          <w:rFonts w:ascii="Arial" w:hAnsi="Arial"/>
          <w:i/>
          <w:vertAlign w:val="baseline"/>
        </w:rPr>
        <w:t>Bence</w:t>
      </w:r>
      <w:r>
        <w:rPr>
          <w:rFonts w:ascii="Arial" w:hAnsi="Arial"/>
          <w:i/>
          <w:spacing w:val="33"/>
          <w:vertAlign w:val="baseline"/>
        </w:rPr>
        <w:t> </w:t>
      </w:r>
      <w:r>
        <w:rPr>
          <w:rFonts w:ascii="Arial" w:hAnsi="Arial"/>
          <w:i/>
          <w:spacing w:val="-2"/>
          <w:vertAlign w:val="baseline"/>
        </w:rPr>
        <w:t>Graphics</w:t>
      </w:r>
    </w:p>
    <w:p>
      <w:pPr>
        <w:pStyle w:val="BodyText"/>
        <w:spacing w:after="0" w:line="235" w:lineRule="auto"/>
        <w:jc w:val="both"/>
        <w:rPr>
          <w:rFonts w:ascii="Arial" w:hAnsi="Arial"/>
          <w:i/>
        </w:rPr>
        <w:sectPr>
          <w:pgSz w:w="11900" w:h="16840"/>
          <w:pgMar w:header="971" w:footer="0" w:top="1300" w:bottom="280" w:left="1275" w:right="1275"/>
        </w:sectPr>
      </w:pPr>
    </w:p>
    <w:p>
      <w:pPr>
        <w:pStyle w:val="BodyText"/>
        <w:spacing w:line="235" w:lineRule="auto" w:before="110"/>
        <w:ind w:left="164" w:right="167"/>
        <w:jc w:val="both"/>
      </w:pPr>
      <w:bookmarkStart w:name="_bookmark1638" w:id="1640"/>
      <w:bookmarkEnd w:id="1640"/>
      <w:r>
        <w:rPr/>
      </w:r>
      <w:r>
        <w:rPr>
          <w:rFonts w:ascii="Arial" w:hAnsi="Arial"/>
          <w:i/>
        </w:rPr>
        <w:t>International</w:t>
      </w:r>
      <w:r>
        <w:rPr>
          <w:rFonts w:ascii="Arial" w:hAnsi="Arial"/>
          <w:i/>
          <w:spacing w:val="36"/>
        </w:rPr>
        <w:t> </w:t>
      </w:r>
      <w:r>
        <w:rPr>
          <w:rFonts w:ascii="Arial" w:hAnsi="Arial"/>
          <w:i/>
        </w:rPr>
        <w:t>Ltd</w:t>
      </w:r>
      <w:r>
        <w:rPr>
          <w:rFonts w:ascii="Arial" w:hAnsi="Arial"/>
          <w:i/>
          <w:spacing w:val="36"/>
        </w:rPr>
        <w:t> </w:t>
      </w:r>
      <w:r>
        <w:rPr>
          <w:rFonts w:ascii="Arial" w:hAnsi="Arial"/>
          <w:i/>
        </w:rPr>
        <w:t>v</w:t>
      </w:r>
      <w:r>
        <w:rPr>
          <w:rFonts w:ascii="Arial" w:hAnsi="Arial"/>
          <w:i/>
          <w:spacing w:val="36"/>
        </w:rPr>
        <w:t> </w:t>
      </w:r>
      <w:r>
        <w:rPr>
          <w:rFonts w:ascii="Arial" w:hAnsi="Arial"/>
          <w:i/>
        </w:rPr>
        <w:t>Fasson</w:t>
      </w:r>
      <w:r>
        <w:rPr>
          <w:rFonts w:ascii="Arial" w:hAnsi="Arial"/>
          <w:i/>
          <w:spacing w:val="36"/>
        </w:rPr>
        <w:t> </w:t>
      </w:r>
      <w:r>
        <w:rPr>
          <w:rFonts w:ascii="Arial" w:hAnsi="Arial"/>
          <w:i/>
        </w:rPr>
        <w:t>UK</w:t>
      </w:r>
      <w:r>
        <w:rPr>
          <w:rFonts w:ascii="Arial" w:hAnsi="Arial"/>
          <w:i/>
          <w:spacing w:val="36"/>
        </w:rPr>
        <w:t> </w:t>
      </w:r>
      <w:r>
        <w:rPr>
          <w:rFonts w:ascii="Arial" w:hAnsi="Arial"/>
          <w:i/>
        </w:rPr>
        <w:t>Ltd</w:t>
      </w:r>
      <w:r>
        <w:rPr>
          <w:rFonts w:ascii="Arial" w:hAnsi="Arial"/>
          <w:i/>
          <w:spacing w:val="35"/>
        </w:rPr>
        <w:t> </w:t>
      </w:r>
      <w:r>
        <w:rPr>
          <w:color w:val="005DA1"/>
          <w:u w:val="single" w:color="005DA1"/>
          <w:vertAlign w:val="superscript"/>
        </w:rPr>
        <w:t>884</w:t>
      </w:r>
      <w:r>
        <w:rPr>
          <w:color w:val="005DA1"/>
          <w:spacing w:val="36"/>
          <w:vertAlign w:val="baseline"/>
        </w:rPr>
        <w:t> </w:t>
      </w:r>
      <w:r>
        <w:rPr>
          <w:vertAlign w:val="baseline"/>
        </w:rPr>
        <w:t>the</w:t>
      </w:r>
      <w:r>
        <w:rPr>
          <w:spacing w:val="36"/>
          <w:vertAlign w:val="baseline"/>
        </w:rPr>
        <w:t> </w:t>
      </w:r>
      <w:r>
        <w:rPr>
          <w:vertAlign w:val="baseline"/>
        </w:rPr>
        <w:t>Court</w:t>
      </w:r>
      <w:r>
        <w:rPr>
          <w:spacing w:val="36"/>
          <w:vertAlign w:val="baseline"/>
        </w:rPr>
        <w:t> </w:t>
      </w:r>
      <w:r>
        <w:rPr>
          <w:vertAlign w:val="baseline"/>
        </w:rPr>
        <w:t>of</w:t>
      </w:r>
      <w:r>
        <w:rPr>
          <w:spacing w:val="36"/>
          <w:vertAlign w:val="baseline"/>
        </w:rPr>
        <w:t> </w:t>
      </w:r>
      <w:r>
        <w:rPr>
          <w:vertAlign w:val="baseline"/>
        </w:rPr>
        <w:t>Appeal</w:t>
      </w:r>
      <w:r>
        <w:rPr>
          <w:spacing w:val="36"/>
          <w:vertAlign w:val="baseline"/>
        </w:rPr>
        <w:t> </w:t>
      </w:r>
      <w:r>
        <w:rPr>
          <w:vertAlign w:val="baseline"/>
        </w:rPr>
        <w:t>held</w:t>
      </w:r>
      <w:r>
        <w:rPr>
          <w:spacing w:val="36"/>
          <w:vertAlign w:val="baseline"/>
        </w:rPr>
        <w:t> </w:t>
      </w:r>
      <w:r>
        <w:rPr>
          <w:vertAlign w:val="baseline"/>
        </w:rPr>
        <w:t>that</w:t>
      </w:r>
      <w:r>
        <w:rPr>
          <w:spacing w:val="36"/>
          <w:vertAlign w:val="baseline"/>
        </w:rPr>
        <w:t> </w:t>
      </w:r>
      <w:r>
        <w:rPr>
          <w:vertAlign w:val="baseline"/>
        </w:rPr>
        <w:t>the</w:t>
      </w:r>
      <w:r>
        <w:rPr>
          <w:spacing w:val="36"/>
          <w:vertAlign w:val="baseline"/>
        </w:rPr>
        <w:t> </w:t>
      </w:r>
      <w:r>
        <w:rPr>
          <w:vertAlign w:val="baseline"/>
        </w:rPr>
        <w:t>buyer’s</w:t>
      </w:r>
      <w:r>
        <w:rPr>
          <w:spacing w:val="36"/>
          <w:vertAlign w:val="baseline"/>
        </w:rPr>
        <w:t> </w:t>
      </w:r>
      <w:r>
        <w:rPr>
          <w:vertAlign w:val="baseline"/>
        </w:rPr>
        <w:t>position</w:t>
      </w:r>
      <w:r>
        <w:rPr>
          <w:spacing w:val="36"/>
          <w:vertAlign w:val="baseline"/>
        </w:rPr>
        <w:t> </w:t>
      </w:r>
      <w:r>
        <w:rPr>
          <w:vertAlign w:val="baseline"/>
        </w:rPr>
        <w:t>under</w:t>
      </w:r>
      <w:r>
        <w:rPr>
          <w:spacing w:val="36"/>
          <w:vertAlign w:val="baseline"/>
        </w:rPr>
        <w:t> </w:t>
      </w:r>
      <w:r>
        <w:rPr>
          <w:vertAlign w:val="baseline"/>
        </w:rPr>
        <w:t>a sub-sale should be taken into account. The seller knew that the buyer would sell on to others (after manufacturing the goods into another product); the Court held that the parties contemplated that the measure of damages for defects in the goods should be the extent of the buyer’s liability (if any) to those others resulting from the defect; other loss was too remote. The decision in </w:t>
      </w:r>
      <w:r>
        <w:rPr>
          <w:rFonts w:ascii="Arial" w:hAnsi="Arial"/>
          <w:i/>
          <w:vertAlign w:val="baseline"/>
        </w:rPr>
        <w:t>Slater ’s </w:t>
      </w:r>
      <w:r>
        <w:rPr>
          <w:vertAlign w:val="baseline"/>
        </w:rPr>
        <w:t>case was </w:t>
      </w:r>
      <w:bookmarkStart w:name="_bookmark1639" w:id="1641"/>
      <w:bookmarkEnd w:id="1641"/>
      <w:r>
        <w:rPr>
          <w:vertAlign w:val="baseline"/>
        </w:rPr>
        <w:t>doubted,</w:t>
      </w:r>
      <w:r>
        <w:rPr>
          <w:vertAlign w:val="baseline"/>
        </w:rPr>
        <w:t> on the ground that s.53(3) laid down only a prima facie rule, which should not be applied if it </w:t>
      </w:r>
      <w:bookmarkStart w:name="_bookmark1640" w:id="1642"/>
      <w:bookmarkEnd w:id="1642"/>
      <w:r>
        <w:rPr>
          <w:vertAlign w:val="baseline"/>
        </w:rPr>
        <w:t>would</w:t>
      </w:r>
      <w:r>
        <w:rPr>
          <w:vertAlign w:val="baseline"/>
        </w:rPr>
        <w:t> give the buyer “more than his true loss”. </w:t>
      </w:r>
      <w:r>
        <w:rPr>
          <w:color w:val="005DA1"/>
          <w:u w:val="single" w:color="005DA1"/>
          <w:vertAlign w:val="superscript"/>
        </w:rPr>
        <w:t>885</w:t>
      </w:r>
      <w:r>
        <w:rPr>
          <w:color w:val="005DA1"/>
          <w:vertAlign w:val="baseline"/>
        </w:rPr>
        <w:t> </w:t>
      </w:r>
      <w:r>
        <w:rPr>
          <w:vertAlign w:val="baseline"/>
        </w:rPr>
        <w:t>This seems to be a further example of the court concentrating on the end-result rather than the buyer’s performance interest. </w:t>
      </w:r>
      <w:r>
        <w:rPr>
          <w:color w:val="005DA1"/>
          <w:u w:val="single" w:color="005DA1"/>
          <w:vertAlign w:val="superscript"/>
        </w:rPr>
        <w:t>886</w:t>
      </w:r>
      <w:r>
        <w:rPr>
          <w:color w:val="005DA1"/>
          <w:vertAlign w:val="baseline"/>
        </w:rPr>
        <w:t> </w:t>
      </w:r>
      <w:r>
        <w:rPr>
          <w:vertAlign w:val="baseline"/>
        </w:rPr>
        <w:t>It is submitted that</w:t>
      </w:r>
      <w:r>
        <w:rPr>
          <w:spacing w:val="40"/>
          <w:vertAlign w:val="baseline"/>
        </w:rPr>
        <w:t> </w:t>
      </w:r>
      <w:r>
        <w:rPr>
          <w:vertAlign w:val="baseline"/>
        </w:rPr>
        <w:t>the buyers should have recovered the difference in value. First, remoteness is not relevant when the claim is simply for the difference in value between what was contracted for and what was delivered. </w:t>
      </w:r>
      <w:bookmarkStart w:name="_bookmark1641" w:id="1643"/>
      <w:bookmarkEnd w:id="1643"/>
      <w:r>
        <w:rPr>
          <w:vertAlign w:val="baseline"/>
        </w:rPr>
        <w:t>Secondly,</w:t>
      </w:r>
      <w:r>
        <w:rPr>
          <w:spacing w:val="12"/>
          <w:vertAlign w:val="baseline"/>
        </w:rPr>
        <w:t> </w:t>
      </w:r>
      <w:r>
        <w:rPr>
          <w:vertAlign w:val="baseline"/>
        </w:rPr>
        <w:t>the</w:t>
      </w:r>
      <w:r>
        <w:rPr>
          <w:spacing w:val="12"/>
          <w:vertAlign w:val="baseline"/>
        </w:rPr>
        <w:t> </w:t>
      </w:r>
      <w:r>
        <w:rPr>
          <w:vertAlign w:val="baseline"/>
        </w:rPr>
        <w:t>fact</w:t>
      </w:r>
      <w:r>
        <w:rPr>
          <w:spacing w:val="12"/>
          <w:vertAlign w:val="baseline"/>
        </w:rPr>
        <w:t> </w:t>
      </w:r>
      <w:r>
        <w:rPr>
          <w:vertAlign w:val="baseline"/>
        </w:rPr>
        <w:t>that</w:t>
      </w:r>
      <w:r>
        <w:rPr>
          <w:spacing w:val="12"/>
          <w:vertAlign w:val="baseline"/>
        </w:rPr>
        <w:t> </w:t>
      </w:r>
      <w:r>
        <w:rPr>
          <w:vertAlign w:val="baseline"/>
        </w:rPr>
        <w:t>they</w:t>
      </w:r>
      <w:r>
        <w:rPr>
          <w:spacing w:val="12"/>
          <w:vertAlign w:val="baseline"/>
        </w:rPr>
        <w:t> </w:t>
      </w:r>
      <w:r>
        <w:rPr>
          <w:vertAlign w:val="baseline"/>
        </w:rPr>
        <w:t>were</w:t>
      </w:r>
      <w:r>
        <w:rPr>
          <w:spacing w:val="12"/>
          <w:vertAlign w:val="baseline"/>
        </w:rPr>
        <w:t> </w:t>
      </w:r>
      <w:r>
        <w:rPr>
          <w:vertAlign w:val="baseline"/>
        </w:rPr>
        <w:t>able</w:t>
      </w:r>
      <w:r>
        <w:rPr>
          <w:spacing w:val="12"/>
          <w:vertAlign w:val="baseline"/>
        </w:rPr>
        <w:t> </w:t>
      </w:r>
      <w:r>
        <w:rPr>
          <w:vertAlign w:val="baseline"/>
        </w:rPr>
        <w:t>to</w:t>
      </w:r>
      <w:r>
        <w:rPr>
          <w:spacing w:val="12"/>
          <w:vertAlign w:val="baseline"/>
        </w:rPr>
        <w:t> </w:t>
      </w:r>
      <w:r>
        <w:rPr>
          <w:vertAlign w:val="baseline"/>
        </w:rPr>
        <w:t>pass</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defective</w:t>
      </w:r>
      <w:r>
        <w:rPr>
          <w:spacing w:val="12"/>
          <w:vertAlign w:val="baseline"/>
        </w:rPr>
        <w:t> </w:t>
      </w:r>
      <w:r>
        <w:rPr>
          <w:vertAlign w:val="baseline"/>
        </w:rPr>
        <w:t>goods</w:t>
      </w:r>
      <w:r>
        <w:rPr>
          <w:spacing w:val="12"/>
          <w:vertAlign w:val="baseline"/>
        </w:rPr>
        <w:t> </w:t>
      </w:r>
      <w:r>
        <w:rPr>
          <w:vertAlign w:val="baseline"/>
        </w:rPr>
        <w:t>without</w:t>
      </w:r>
      <w:r>
        <w:rPr>
          <w:spacing w:val="12"/>
          <w:vertAlign w:val="baseline"/>
        </w:rPr>
        <w:t> </w:t>
      </w:r>
      <w:r>
        <w:rPr>
          <w:vertAlign w:val="baseline"/>
        </w:rPr>
        <w:t>incurring</w:t>
      </w:r>
      <w:r>
        <w:rPr>
          <w:spacing w:val="12"/>
          <w:vertAlign w:val="baseline"/>
        </w:rPr>
        <w:t> </w:t>
      </w:r>
      <w:r>
        <w:rPr>
          <w:vertAlign w:val="baseline"/>
        </w:rPr>
        <w:t>liability</w:t>
      </w:r>
      <w:r>
        <w:rPr>
          <w:spacing w:val="12"/>
          <w:vertAlign w:val="baseline"/>
        </w:rPr>
        <w:t> </w:t>
      </w:r>
      <w:r>
        <w:rPr>
          <w:spacing w:val="-2"/>
          <w:vertAlign w:val="baseline"/>
        </w:rPr>
        <w:t>again</w:t>
      </w:r>
    </w:p>
    <w:p>
      <w:pPr>
        <w:pStyle w:val="BodyText"/>
        <w:spacing w:before="112"/>
        <w:ind w:left="165"/>
        <w:jc w:val="both"/>
        <w:rPr>
          <w:position w:val="-2"/>
        </w:rPr>
      </w:pPr>
      <w:r>
        <w:rPr/>
        <w:t>seems to be their own good fortune. </w:t>
      </w:r>
      <w:r>
        <w:rPr>
          <w:color w:val="005DA1"/>
          <w:u w:val="single" w:color="005DA1"/>
          <w:vertAlign w:val="superscript"/>
        </w:rPr>
        <w:t>887</w:t>
      </w:r>
      <w:r>
        <w:rPr>
          <w:color w:val="005DA1"/>
          <w:spacing w:val="80"/>
          <w:w w:val="150"/>
          <w:vertAlign w:val="baseline"/>
        </w:rPr>
        <w:t> </w:t>
      </w:r>
      <w:r>
        <w:rPr>
          <w:color w:val="005DA1"/>
          <w:position w:val="-2"/>
          <w:vertAlign w:val="baseline"/>
        </w:rPr>
        <w:drawing>
          <wp:inline distT="0" distB="0" distL="0" distR="0">
            <wp:extent cx="107988" cy="107988"/>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Seller’s damages for non-</w:t>
      </w:r>
      <w:r>
        <w:rPr>
          <w:rFonts w:ascii="Arial" w:hAnsi="Arial"/>
          <w:b/>
          <w:spacing w:val="-2"/>
          <w:sz w:val="18"/>
        </w:rPr>
        <w:t>acceptance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160</w:t>
      </w:r>
    </w:p>
    <w:p>
      <w:pPr>
        <w:pStyle w:val="BodyText"/>
        <w:spacing w:line="235" w:lineRule="auto" w:before="203"/>
        <w:ind w:left="165" w:right="167"/>
        <w:jc w:val="both"/>
      </w:pPr>
      <w:bookmarkStart w:name="_bookmark1642" w:id="1644"/>
      <w:bookmarkEnd w:id="1644"/>
      <w:r>
        <w:rPr/>
      </w:r>
      <w:r>
        <w:rPr/>
        <w:t>Where the buyer wrongly refuses to accept goods for which there is an available market, </w:t>
      </w:r>
      <w:r>
        <w:rPr>
          <w:color w:val="005DA1"/>
          <w:u w:val="single" w:color="005DA1"/>
          <w:vertAlign w:val="superscript"/>
        </w:rPr>
        <w:t>888</w:t>
      </w:r>
      <w:r>
        <w:rPr>
          <w:color w:val="005DA1"/>
          <w:vertAlign w:val="baseline"/>
        </w:rPr>
        <w:t> </w:t>
      </w:r>
      <w:r>
        <w:rPr>
          <w:vertAlign w:val="baseline"/>
        </w:rPr>
        <w:t>the </w:t>
      </w:r>
      <w:bookmarkStart w:name="_bookmark1643" w:id="1645"/>
      <w:bookmarkEnd w:id="1645"/>
      <w:r>
        <w:rPr>
          <w:vertAlign w:val="baseline"/>
        </w:rPr>
        <w:t>seller’s</w:t>
      </w:r>
      <w:r>
        <w:rPr>
          <w:vertAlign w:val="baseline"/>
        </w:rPr>
        <w:t> loss will normally be measured by the difference between the contract price and the </w:t>
      </w:r>
      <w:r>
        <w:rPr>
          <w:vertAlign w:val="baseline"/>
        </w:rPr>
        <w:t>market </w:t>
      </w:r>
      <w:bookmarkStart w:name="_bookmark1644" w:id="1646"/>
      <w:bookmarkEnd w:id="1646"/>
      <w:r>
        <w:rPr>
          <w:vertAlign w:val="baseline"/>
        </w:rPr>
        <w:t>price,</w:t>
      </w:r>
      <w:r>
        <w:rPr>
          <w:spacing w:val="-1"/>
          <w:vertAlign w:val="baseline"/>
        </w:rPr>
        <w:t> </w:t>
      </w:r>
      <w:r>
        <w:rPr>
          <w:color w:val="005DA1"/>
          <w:u w:val="single" w:color="005DA1"/>
          <w:vertAlign w:val="superscript"/>
        </w:rPr>
        <w:t>889</w:t>
      </w:r>
      <w:r>
        <w:rPr>
          <w:color w:val="005DA1"/>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assumption</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will</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substitute</w:t>
      </w:r>
      <w:r>
        <w:rPr>
          <w:spacing w:val="-1"/>
          <w:vertAlign w:val="baseline"/>
        </w:rPr>
        <w:t> </w:t>
      </w:r>
      <w:r>
        <w:rPr>
          <w:vertAlign w:val="baseline"/>
        </w:rPr>
        <w:t>sale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market.</w:t>
      </w:r>
      <w:r>
        <w:rPr>
          <w:spacing w:val="-1"/>
          <w:vertAlign w:val="baseline"/>
        </w:rPr>
        <w:t> </w:t>
      </w:r>
      <w:r>
        <w:rPr>
          <w:color w:val="005DA1"/>
          <w:u w:val="single" w:color="005DA1"/>
          <w:vertAlign w:val="superscript"/>
        </w:rPr>
        <w:t>890</w:t>
      </w:r>
      <w:r>
        <w:rPr>
          <w:color w:val="005DA1"/>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may also recover costs reasonably incurred in storing and reselling the goods, </w:t>
      </w:r>
      <w:r>
        <w:rPr>
          <w:color w:val="005DA1"/>
          <w:u w:val="single" w:color="005DA1"/>
          <w:vertAlign w:val="superscript"/>
        </w:rPr>
        <w:t>891</w:t>
      </w:r>
      <w:r>
        <w:rPr>
          <w:color w:val="005DA1"/>
          <w:vertAlign w:val="baseline"/>
        </w:rPr>
        <w:t> </w:t>
      </w:r>
      <w:r>
        <w:rPr>
          <w:vertAlign w:val="baseline"/>
        </w:rPr>
        <w:t>unless on the facts this </w:t>
      </w:r>
      <w:bookmarkStart w:name="_bookmark1645" w:id="1647"/>
      <w:bookmarkEnd w:id="1647"/>
      <w:r>
        <w:rPr>
          <w:vertAlign w:val="baseline"/>
        </w:rPr>
        <w:t>loss</w:t>
      </w:r>
      <w:r>
        <w:rPr>
          <w:spacing w:val="-1"/>
          <w:vertAlign w:val="baseline"/>
        </w:rPr>
        <w:t> </w:t>
      </w:r>
      <w:r>
        <w:rPr>
          <w:vertAlign w:val="baseline"/>
        </w:rPr>
        <w:t>was</w:t>
      </w:r>
      <w:r>
        <w:rPr>
          <w:spacing w:val="-1"/>
          <w:vertAlign w:val="baseline"/>
        </w:rPr>
        <w:t> </w:t>
      </w:r>
      <w:r>
        <w:rPr>
          <w:vertAlign w:val="baseline"/>
        </w:rPr>
        <w:t>too</w:t>
      </w:r>
      <w:r>
        <w:rPr>
          <w:spacing w:val="-1"/>
          <w:vertAlign w:val="baseline"/>
        </w:rPr>
        <w:t> </w:t>
      </w:r>
      <w:r>
        <w:rPr>
          <w:vertAlign w:val="baseline"/>
        </w:rPr>
        <w:t>remote;</w:t>
      </w:r>
      <w:r>
        <w:rPr>
          <w:spacing w:val="-1"/>
          <w:vertAlign w:val="baseline"/>
        </w:rPr>
        <w:t> </w:t>
      </w:r>
      <w:r>
        <w:rPr>
          <w:vertAlign w:val="baseline"/>
        </w:rPr>
        <w:t>and</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recover</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loss</w:t>
      </w:r>
      <w:r>
        <w:rPr>
          <w:spacing w:val="-1"/>
          <w:vertAlign w:val="baseline"/>
        </w:rPr>
        <w:t> </w:t>
      </w:r>
      <w:r>
        <w:rPr>
          <w:vertAlign w:val="baseline"/>
        </w:rPr>
        <w:t>of</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it</w:t>
      </w:r>
      <w:r>
        <w:rPr>
          <w:spacing w:val="-1"/>
          <w:vertAlign w:val="baseline"/>
        </w:rPr>
        <w:t> </w:t>
      </w:r>
      <w:r>
        <w:rPr>
          <w:vertAlign w:val="baseline"/>
        </w:rPr>
        <w:t>should</w:t>
      </w:r>
      <w:r>
        <w:rPr>
          <w:spacing w:val="-1"/>
          <w:vertAlign w:val="baseline"/>
        </w:rPr>
        <w:t> </w:t>
      </w:r>
      <w:r>
        <w:rPr>
          <w:vertAlign w:val="baseline"/>
        </w:rPr>
        <w:t>have</w:t>
      </w:r>
      <w:r>
        <w:rPr>
          <w:spacing w:val="-1"/>
          <w:vertAlign w:val="baseline"/>
        </w:rPr>
        <w:t> </w:t>
      </w:r>
      <w:r>
        <w:rPr>
          <w:vertAlign w:val="baseline"/>
        </w:rPr>
        <w:t>been paid. </w:t>
      </w:r>
      <w:r>
        <w:rPr>
          <w:color w:val="005DA1"/>
          <w:u w:val="single" w:color="005DA1"/>
          <w:vertAlign w:val="superscript"/>
        </w:rPr>
        <w:t>892</w:t>
      </w:r>
      <w:r>
        <w:rPr>
          <w:color w:val="005DA1"/>
          <w:vertAlign w:val="baseline"/>
        </w:rPr>
        <w:t> </w:t>
      </w:r>
      <w:r>
        <w:rPr>
          <w:vertAlign w:val="baseline"/>
        </w:rPr>
        <w:t>A seller is not likely to suffer other forms of consequential loss. </w:t>
      </w:r>
      <w:r>
        <w:rPr>
          <w:color w:val="005DA1"/>
          <w:u w:val="single" w:color="005DA1"/>
          <w:vertAlign w:val="superscript"/>
        </w:rPr>
        <w:t>893</w:t>
      </w:r>
    </w:p>
    <w:p>
      <w:pPr>
        <w:pStyle w:val="BodyText"/>
      </w:pPr>
    </w:p>
    <w:p>
      <w:pPr>
        <w:pStyle w:val="BodyText"/>
        <w:spacing w:before="36"/>
      </w:pPr>
    </w:p>
    <w:p>
      <w:pPr>
        <w:spacing w:before="0"/>
        <w:ind w:left="165" w:right="0" w:firstLine="0"/>
        <w:jc w:val="left"/>
        <w:rPr>
          <w:rFonts w:ascii="Arial"/>
          <w:b/>
          <w:sz w:val="18"/>
        </w:rPr>
      </w:pPr>
      <w:r>
        <w:rPr>
          <w:rFonts w:ascii="Arial"/>
          <w:b/>
          <w:sz w:val="18"/>
        </w:rPr>
        <w:t>Lost </w:t>
      </w:r>
      <w:r>
        <w:rPr>
          <w:rFonts w:ascii="Arial"/>
          <w:b/>
          <w:spacing w:val="-2"/>
          <w:sz w:val="18"/>
        </w:rPr>
        <w:t>volume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161</w:t>
      </w:r>
    </w:p>
    <w:p>
      <w:pPr>
        <w:pStyle w:val="BodyText"/>
        <w:spacing w:line="235" w:lineRule="auto" w:before="203"/>
        <w:ind w:left="165" w:right="167"/>
        <w:jc w:val="both"/>
      </w:pPr>
      <w:r>
        <w:rPr/>
        <w:t>Reselling</w:t>
      </w:r>
      <w:r>
        <w:rPr>
          <w:spacing w:val="-2"/>
        </w:rPr>
        <w:t> </w:t>
      </w:r>
      <w:r>
        <w:rPr/>
        <w:t>the</w:t>
      </w:r>
      <w:r>
        <w:rPr>
          <w:spacing w:val="-2"/>
        </w:rPr>
        <w:t> </w:t>
      </w:r>
      <w:r>
        <w:rPr/>
        <w:t>goods</w:t>
      </w:r>
      <w:r>
        <w:rPr>
          <w:spacing w:val="-2"/>
        </w:rPr>
        <w:t> </w:t>
      </w:r>
      <w:r>
        <w:rPr/>
        <w:t>even</w:t>
      </w:r>
      <w:r>
        <w:rPr>
          <w:spacing w:val="-2"/>
        </w:rPr>
        <w:t> </w:t>
      </w:r>
      <w:r>
        <w:rPr/>
        <w:t>at</w:t>
      </w:r>
      <w:r>
        <w:rPr>
          <w:spacing w:val="-2"/>
        </w:rPr>
        <w:t> </w:t>
      </w:r>
      <w:r>
        <w:rPr/>
        <w:t>the</w:t>
      </w:r>
      <w:r>
        <w:rPr>
          <w:spacing w:val="-2"/>
        </w:rPr>
        <w:t> </w:t>
      </w:r>
      <w:r>
        <w:rPr/>
        <w:t>same</w:t>
      </w:r>
      <w:r>
        <w:rPr>
          <w:spacing w:val="-2"/>
        </w:rPr>
        <w:t> </w:t>
      </w:r>
      <w:r>
        <w:rPr/>
        <w:t>price</w:t>
      </w:r>
      <w:r>
        <w:rPr>
          <w:spacing w:val="-2"/>
        </w:rPr>
        <w:t> </w:t>
      </w:r>
      <w:r>
        <w:rPr/>
        <w:t>will</w:t>
      </w:r>
      <w:r>
        <w:rPr>
          <w:spacing w:val="-2"/>
        </w:rPr>
        <w:t> </w:t>
      </w:r>
      <w:r>
        <w:rPr/>
        <w:t>not</w:t>
      </w:r>
      <w:r>
        <w:rPr>
          <w:spacing w:val="-2"/>
        </w:rPr>
        <w:t> </w:t>
      </w:r>
      <w:r>
        <w:rPr/>
        <w:t>always</w:t>
      </w:r>
      <w:r>
        <w:rPr>
          <w:spacing w:val="-2"/>
        </w:rPr>
        <w:t> </w:t>
      </w:r>
      <w:r>
        <w:rPr/>
        <w:t>compensate</w:t>
      </w:r>
      <w:r>
        <w:rPr>
          <w:spacing w:val="-2"/>
        </w:rPr>
        <w:t> </w:t>
      </w:r>
      <w:r>
        <w:rPr/>
        <w:t>the</w:t>
      </w:r>
      <w:r>
        <w:rPr>
          <w:spacing w:val="-2"/>
        </w:rPr>
        <w:t> </w:t>
      </w:r>
      <w:r>
        <w:rPr/>
        <w:t>seller</w:t>
      </w:r>
      <w:r>
        <w:rPr>
          <w:spacing w:val="-2"/>
        </w:rPr>
        <w:t> </w:t>
      </w:r>
      <w:r>
        <w:rPr/>
        <w:t>fully.</w:t>
      </w:r>
      <w:r>
        <w:rPr>
          <w:spacing w:val="-2"/>
        </w:rPr>
        <w:t> </w:t>
      </w:r>
      <w:r>
        <w:rPr/>
        <w:t>If</w:t>
      </w:r>
      <w:r>
        <w:rPr>
          <w:spacing w:val="-2"/>
        </w:rPr>
        <w:t> </w:t>
      </w:r>
      <w:r>
        <w:rPr/>
        <w:t>the</w:t>
      </w:r>
      <w:r>
        <w:rPr>
          <w:spacing w:val="-2"/>
        </w:rPr>
        <w:t> </w:t>
      </w:r>
      <w:r>
        <w:rPr/>
        <w:t>supply</w:t>
      </w:r>
      <w:r>
        <w:rPr>
          <w:spacing w:val="-2"/>
        </w:rPr>
        <w:t> </w:t>
      </w:r>
      <w:r>
        <w:rPr/>
        <w:t>of goods exceeds the demand, the seller will have lost a sale: had the buyer accepted the goods, the </w:t>
      </w:r>
      <w:bookmarkStart w:name="_bookmark1646" w:id="1648"/>
      <w:bookmarkEnd w:id="1648"/>
      <w:r>
        <w:rPr/>
        <w:t>seller</w:t>
      </w:r>
      <w:r>
        <w:rPr/>
        <w:t> would still have been able to supply the second buyer and thus would have earned two lots </w:t>
      </w:r>
      <w:r>
        <w:rPr/>
        <w:t>of profit. The seller is then entitled to the profit it would have made on the first sale. </w:t>
      </w:r>
      <w:r>
        <w:rPr>
          <w:color w:val="005DA1"/>
          <w:u w:val="single" w:color="005DA1"/>
          <w:vertAlign w:val="superscript"/>
        </w:rPr>
        <w:t>894</w:t>
      </w:r>
    </w:p>
    <w:p>
      <w:pPr>
        <w:pStyle w:val="BodyText"/>
      </w:pPr>
    </w:p>
    <w:p>
      <w:pPr>
        <w:pStyle w:val="BodyText"/>
        <w:spacing w:before="37"/>
      </w:pPr>
    </w:p>
    <w:p>
      <w:pPr>
        <w:spacing w:before="0"/>
        <w:ind w:left="165" w:right="0" w:firstLine="0"/>
        <w:jc w:val="left"/>
        <w:rPr>
          <w:rFonts w:ascii="Arial"/>
          <w:b/>
          <w:sz w:val="18"/>
        </w:rPr>
      </w:pPr>
      <w:r>
        <w:rPr>
          <w:rFonts w:ascii="Arial"/>
          <w:b/>
          <w:sz w:val="18"/>
        </w:rPr>
        <w:t>Anticipatory </w:t>
      </w:r>
      <w:r>
        <w:rPr>
          <w:rFonts w:ascii="Arial"/>
          <w:b/>
          <w:spacing w:val="-2"/>
          <w:sz w:val="18"/>
        </w:rPr>
        <w:t>breach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162</w:t>
      </w:r>
    </w:p>
    <w:p>
      <w:pPr>
        <w:pStyle w:val="BodyText"/>
        <w:spacing w:line="235" w:lineRule="auto" w:before="203"/>
        <w:ind w:left="165" w:right="167"/>
        <w:jc w:val="both"/>
      </w:pPr>
      <w:bookmarkStart w:name="_bookmark1647" w:id="1649"/>
      <w:bookmarkEnd w:id="1649"/>
      <w:r>
        <w:rPr/>
      </w:r>
      <w:r>
        <w:rPr/>
        <w:t>The measure of damages available when there has been an anticipatory breach by either the </w:t>
      </w:r>
      <w:r>
        <w:rPr/>
        <w:t>buyer</w:t>
      </w:r>
      <w:r>
        <w:rPr>
          <w:spacing w:val="80"/>
        </w:rPr>
        <w:t> </w:t>
      </w:r>
      <w:r>
        <w:rPr/>
        <w:t>or</w:t>
      </w:r>
      <w:r>
        <w:rPr>
          <w:spacing w:val="-3"/>
        </w:rPr>
        <w:t> </w:t>
      </w:r>
      <w:r>
        <w:rPr/>
        <w:t>the</w:t>
      </w:r>
      <w:r>
        <w:rPr>
          <w:spacing w:val="-3"/>
        </w:rPr>
        <w:t> </w:t>
      </w:r>
      <w:r>
        <w:rPr/>
        <w:t>seller</w:t>
      </w:r>
      <w:r>
        <w:rPr>
          <w:spacing w:val="-3"/>
        </w:rPr>
        <w:t> </w:t>
      </w:r>
      <w:r>
        <w:rPr/>
        <w:t>was</w:t>
      </w:r>
      <w:r>
        <w:rPr>
          <w:spacing w:val="-3"/>
        </w:rPr>
        <w:t> </w:t>
      </w:r>
      <w:r>
        <w:rPr/>
        <w:t>considered</w:t>
      </w:r>
      <w:r>
        <w:rPr>
          <w:spacing w:val="-3"/>
        </w:rPr>
        <w:t> </w:t>
      </w:r>
      <w:r>
        <w:rPr/>
        <w:t>above.</w:t>
      </w:r>
      <w:r>
        <w:rPr>
          <w:spacing w:val="-3"/>
        </w:rPr>
        <w:t> </w:t>
      </w:r>
      <w:r>
        <w:rPr>
          <w:color w:val="005DA1"/>
          <w:u w:val="single" w:color="005DA1"/>
          <w:vertAlign w:val="superscript"/>
        </w:rPr>
        <w:t>895</w:t>
      </w:r>
      <w:r>
        <w:rPr>
          <w:color w:val="005DA1"/>
          <w:spacing w:val="-3"/>
          <w:vertAlign w:val="baseline"/>
        </w:rPr>
        <w:t> </w:t>
      </w:r>
      <w:r>
        <w:rPr>
          <w:vertAlign w:val="baseline"/>
        </w:rPr>
        <w:t>The</w:t>
      </w:r>
      <w:r>
        <w:rPr>
          <w:spacing w:val="-3"/>
          <w:vertAlign w:val="baseline"/>
        </w:rPr>
        <w:t> </w:t>
      </w:r>
      <w:r>
        <w:rPr>
          <w:vertAlign w:val="baseline"/>
        </w:rPr>
        <w:t>innocent</w:t>
      </w:r>
      <w:r>
        <w:rPr>
          <w:spacing w:val="-3"/>
          <w:vertAlign w:val="baseline"/>
        </w:rPr>
        <w:t> </w:t>
      </w:r>
      <w:r>
        <w:rPr>
          <w:vertAlign w:val="baseline"/>
        </w:rPr>
        <w:t>party</w:t>
      </w:r>
      <w:r>
        <w:rPr>
          <w:spacing w:val="-3"/>
          <w:vertAlign w:val="baseline"/>
        </w:rPr>
        <w:t> </w:t>
      </w:r>
      <w:r>
        <w:rPr>
          <w:vertAlign w:val="baseline"/>
        </w:rPr>
        <w:t>may</w:t>
      </w:r>
      <w:r>
        <w:rPr>
          <w:spacing w:val="-3"/>
          <w:vertAlign w:val="baseline"/>
        </w:rPr>
        <w:t> </w:t>
      </w:r>
      <w:r>
        <w:rPr>
          <w:vertAlign w:val="baseline"/>
        </w:rPr>
        <w:t>refuse</w:t>
      </w:r>
      <w:r>
        <w:rPr>
          <w:spacing w:val="-3"/>
          <w:vertAlign w:val="baseline"/>
        </w:rPr>
        <w:t> </w:t>
      </w:r>
      <w:r>
        <w:rPr>
          <w:vertAlign w:val="baseline"/>
        </w:rPr>
        <w:t>to</w:t>
      </w:r>
      <w:r>
        <w:rPr>
          <w:spacing w:val="-3"/>
          <w:vertAlign w:val="baseline"/>
        </w:rPr>
        <w:t> </w:t>
      </w:r>
      <w:r>
        <w:rPr>
          <w:vertAlign w:val="baseline"/>
        </w:rPr>
        <w:t>accept</w:t>
      </w:r>
      <w:r>
        <w:rPr>
          <w:spacing w:val="-3"/>
          <w:vertAlign w:val="baseline"/>
        </w:rPr>
        <w:t> </w:t>
      </w:r>
      <w:r>
        <w:rPr>
          <w:vertAlign w:val="baseline"/>
        </w:rPr>
        <w:t>the</w:t>
      </w:r>
      <w:r>
        <w:rPr>
          <w:spacing w:val="-3"/>
          <w:vertAlign w:val="baseline"/>
        </w:rPr>
        <w:t> </w:t>
      </w:r>
      <w:r>
        <w:rPr>
          <w:vertAlign w:val="baseline"/>
        </w:rPr>
        <w:t>repudiation</w:t>
      </w:r>
      <w:r>
        <w:rPr>
          <w:spacing w:val="-3"/>
          <w:vertAlign w:val="baseline"/>
        </w:rPr>
        <w:t> </w:t>
      </w:r>
      <w:r>
        <w:rPr>
          <w:vertAlign w:val="baseline"/>
        </w:rPr>
        <w:t>and</w:t>
      </w:r>
      <w:r>
        <w:rPr>
          <w:spacing w:val="-3"/>
          <w:vertAlign w:val="baseline"/>
        </w:rPr>
        <w:t> </w:t>
      </w:r>
      <w:r>
        <w:rPr>
          <w:vertAlign w:val="baseline"/>
        </w:rPr>
        <w:t>in </w:t>
      </w:r>
      <w:bookmarkStart w:name="_bookmark1648" w:id="1650"/>
      <w:bookmarkEnd w:id="1650"/>
      <w:r>
        <w:rPr>
          <w:vertAlign w:val="baseline"/>
        </w:rPr>
        <w:t>that</w:t>
      </w:r>
      <w:r>
        <w:rPr>
          <w:vertAlign w:val="baseline"/>
        </w:rPr>
        <w:t> case the damages will normally be measured by the difference between the contract price and</w:t>
      </w:r>
      <w:r>
        <w:rPr>
          <w:spacing w:val="40"/>
          <w:vertAlign w:val="baseline"/>
        </w:rPr>
        <w:t> </w:t>
      </w:r>
      <w:r>
        <w:rPr>
          <w:vertAlign w:val="baseline"/>
        </w:rPr>
        <w:t>the market price at the date the goods should have been delivered or accepted. </w:t>
      </w:r>
      <w:r>
        <w:rPr>
          <w:color w:val="005DA1"/>
          <w:u w:val="single" w:color="005DA1"/>
          <w:vertAlign w:val="superscript"/>
        </w:rPr>
        <w:t>896</w:t>
      </w:r>
      <w:r>
        <w:rPr>
          <w:color w:val="005DA1"/>
          <w:vertAlign w:val="baseline"/>
        </w:rPr>
        <w:t> </w:t>
      </w:r>
      <w:r>
        <w:rPr>
          <w:vertAlign w:val="baseline"/>
        </w:rPr>
        <w:t>That is also the prima facie measure if the innocent party accepts the repudiation; however, he comes under a duty to </w:t>
      </w:r>
      <w:bookmarkStart w:name="_bookmark1649" w:id="1651"/>
      <w:bookmarkEnd w:id="1651"/>
      <w:r>
        <w:rPr>
          <w:vertAlign w:val="baseline"/>
        </w:rPr>
        <w:t>mitigate</w:t>
      </w:r>
      <w:r>
        <w:rPr>
          <w:vertAlign w:val="baseline"/>
        </w:rPr>
        <w:t> his loss and if he should have mitigated by making a substitute transaction, his damages will be measured by the market price at the date on which he should have made that transaction. </w:t>
      </w:r>
      <w:r>
        <w:rPr>
          <w:color w:val="005DA1"/>
          <w:u w:val="single" w:color="005DA1"/>
          <w:vertAlign w:val="superscript"/>
        </w:rPr>
        <w:t>897</w:t>
      </w:r>
    </w:p>
    <w:p>
      <w:pPr>
        <w:pStyle w:val="BodyText"/>
      </w:pPr>
    </w:p>
    <w:p>
      <w:pPr>
        <w:pStyle w:val="BodyText"/>
        <w:spacing w:before="37"/>
      </w:pPr>
      <w:r>
        <w:rPr/>
        <mc:AlternateContent>
          <mc:Choice Requires="wps">
            <w:drawing>
              <wp:anchor distT="0" distB="0" distL="0" distR="0" allowOverlap="1" layoutInCell="1" locked="0" behindDoc="1" simplePos="0" relativeHeight="487674880">
                <wp:simplePos x="0" y="0"/>
                <wp:positionH relativeFrom="page">
                  <wp:posOffset>914400</wp:posOffset>
                </wp:positionH>
                <wp:positionV relativeFrom="paragraph">
                  <wp:posOffset>185125</wp:posOffset>
                </wp:positionV>
                <wp:extent cx="5724525" cy="1270"/>
                <wp:effectExtent l="0" t="0" r="0" b="0"/>
                <wp:wrapTopAndBottom/>
                <wp:docPr id="366" name="Graphic 366"/>
                <wp:cNvGraphicFramePr>
                  <a:graphicFrameLocks/>
                </wp:cNvGraphicFramePr>
                <a:graphic>
                  <a:graphicData uri="http://schemas.microsoft.com/office/word/2010/wordprocessingShape">
                    <wps:wsp>
                      <wps:cNvPr id="366" name="Graphic 3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6844pt;width:450.75pt;height:.1pt;mso-position-horizontal-relative:page;mso-position-vertical-relative:paragraph;z-index:-15641600;mso-wrap-distance-left:0;mso-wrap-distance-right:0" id="docshape76" coordorigin="1440,292" coordsize="9015,0" path="m1440,292l10454,292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6977"/>
      </w:tblGrid>
      <w:tr>
        <w:trPr>
          <w:trHeight w:val="344" w:hRule="atLeast"/>
        </w:trPr>
        <w:tc>
          <w:tcPr>
            <w:tcW w:w="457" w:type="dxa"/>
          </w:tcPr>
          <w:p>
            <w:pPr>
              <w:pStyle w:val="TableParagraph"/>
              <w:spacing w:before="0"/>
              <w:ind w:right="82"/>
              <w:jc w:val="center"/>
              <w:rPr>
                <w:sz w:val="14"/>
              </w:rPr>
            </w:pPr>
            <w:hyperlink w:history="true" w:anchor="_bookmark1817">
              <w:r>
                <w:rPr>
                  <w:color w:val="005DA1"/>
                  <w:spacing w:val="-4"/>
                  <w:sz w:val="14"/>
                  <w:u w:val="single" w:color="005DA1"/>
                </w:rPr>
                <w:t>848</w:t>
              </w:r>
            </w:hyperlink>
            <w:r>
              <w:rPr>
                <w:spacing w:val="-4"/>
                <w:sz w:val="14"/>
              </w:rPr>
              <w:t>.</w:t>
            </w:r>
          </w:p>
        </w:tc>
        <w:tc>
          <w:tcPr>
            <w:tcW w:w="6977" w:type="dxa"/>
          </w:tcPr>
          <w:p>
            <w:pPr>
              <w:pStyle w:val="TableParagraph"/>
              <w:spacing w:line="223" w:lineRule="exact" w:before="0"/>
              <w:ind w:left="133"/>
              <w:rPr>
                <w:sz w:val="20"/>
              </w:rPr>
            </w:pPr>
            <w:r>
              <w:rPr>
                <w:sz w:val="20"/>
              </w:rPr>
              <w:t>Further illustrations will be found in the various chapters of Vol.II of this </w:t>
            </w:r>
            <w:r>
              <w:rPr>
                <w:spacing w:val="-2"/>
                <w:sz w:val="20"/>
              </w:rPr>
              <w:t>work.</w:t>
            </w:r>
          </w:p>
        </w:tc>
      </w:tr>
      <w:tr>
        <w:trPr>
          <w:trHeight w:val="465" w:hRule="atLeast"/>
        </w:trPr>
        <w:tc>
          <w:tcPr>
            <w:tcW w:w="457" w:type="dxa"/>
          </w:tcPr>
          <w:p>
            <w:pPr>
              <w:pStyle w:val="TableParagraph"/>
              <w:ind w:right="82"/>
              <w:jc w:val="center"/>
              <w:rPr>
                <w:sz w:val="14"/>
              </w:rPr>
            </w:pPr>
            <w:bookmarkStart w:name="_bookmark1650" w:id="1652"/>
            <w:bookmarkEnd w:id="1652"/>
            <w:r>
              <w:rPr/>
            </w:r>
            <w:hyperlink w:history="true" w:anchor="_bookmark1609">
              <w:r>
                <w:rPr>
                  <w:color w:val="005DA1"/>
                  <w:spacing w:val="-4"/>
                  <w:sz w:val="14"/>
                  <w:u w:val="single" w:color="005DA1"/>
                </w:rPr>
                <w:t>853</w:t>
              </w:r>
            </w:hyperlink>
            <w:r>
              <w:rPr>
                <w:spacing w:val="-4"/>
                <w:sz w:val="14"/>
              </w:rPr>
              <w:t>.</w:t>
            </w:r>
          </w:p>
        </w:tc>
        <w:tc>
          <w:tcPr>
            <w:tcW w:w="6977" w:type="dxa"/>
          </w:tcPr>
          <w:p>
            <w:pPr>
              <w:pStyle w:val="TableParagraph"/>
              <w:spacing w:before="114"/>
              <w:ind w:left="133"/>
              <w:rPr>
                <w:sz w:val="20"/>
              </w:rPr>
            </w:pPr>
            <w:r>
              <w:rPr>
                <w:rFonts w:ascii="Arial" w:hAnsi="Arial"/>
                <w:i/>
                <w:sz w:val="20"/>
              </w:rPr>
              <w:t>Barrow v Arnaud (1846) 8 Q.B. 595, </w:t>
            </w:r>
            <w:r>
              <w:rPr>
                <w:rFonts w:ascii="Arial" w:hAnsi="Arial"/>
                <w:i/>
                <w:spacing w:val="-2"/>
                <w:sz w:val="20"/>
              </w:rPr>
              <w:t>609–610</w:t>
            </w:r>
            <w:r>
              <w:rPr>
                <w:spacing w:val="-2"/>
                <w:sz w:val="20"/>
              </w:rPr>
              <w:t>.</w:t>
            </w:r>
          </w:p>
        </w:tc>
      </w:tr>
      <w:tr>
        <w:trPr>
          <w:trHeight w:val="465" w:hRule="atLeast"/>
        </w:trPr>
        <w:tc>
          <w:tcPr>
            <w:tcW w:w="457" w:type="dxa"/>
          </w:tcPr>
          <w:p>
            <w:pPr>
              <w:pStyle w:val="TableParagraph"/>
              <w:ind w:right="82"/>
              <w:jc w:val="center"/>
              <w:rPr>
                <w:sz w:val="14"/>
              </w:rPr>
            </w:pPr>
            <w:bookmarkStart w:name="_bookmark1651" w:id="1653"/>
            <w:bookmarkEnd w:id="1653"/>
            <w:r>
              <w:rPr/>
            </w:r>
            <w:hyperlink w:history="true" w:anchor="_bookmark1610">
              <w:r>
                <w:rPr>
                  <w:color w:val="005DA1"/>
                  <w:spacing w:val="-4"/>
                  <w:sz w:val="14"/>
                  <w:u w:val="single" w:color="005DA1"/>
                </w:rPr>
                <w:t>854</w:t>
              </w:r>
            </w:hyperlink>
            <w:r>
              <w:rPr>
                <w:spacing w:val="-4"/>
                <w:sz w:val="14"/>
              </w:rPr>
              <w:t>.</w:t>
            </w:r>
          </w:p>
        </w:tc>
        <w:tc>
          <w:tcPr>
            <w:tcW w:w="6977" w:type="dxa"/>
          </w:tcPr>
          <w:p>
            <w:pPr>
              <w:pStyle w:val="TableParagraph"/>
              <w:spacing w:before="114"/>
              <w:ind w:left="133"/>
              <w:rPr>
                <w:sz w:val="20"/>
              </w:rPr>
            </w:pPr>
            <w:r>
              <w:rPr>
                <w:sz w:val="20"/>
              </w:rPr>
              <w:t>e.g. loss of profits on sub-contracts: Vol.II, para.44-</w:t>
            </w:r>
            <w:r>
              <w:rPr>
                <w:spacing w:val="-4"/>
                <w:sz w:val="20"/>
              </w:rPr>
              <w:t>424.</w:t>
            </w:r>
          </w:p>
        </w:tc>
      </w:tr>
      <w:tr>
        <w:trPr>
          <w:trHeight w:val="465" w:hRule="atLeast"/>
        </w:trPr>
        <w:tc>
          <w:tcPr>
            <w:tcW w:w="457" w:type="dxa"/>
          </w:tcPr>
          <w:p>
            <w:pPr>
              <w:pStyle w:val="TableParagraph"/>
              <w:ind w:right="82"/>
              <w:jc w:val="center"/>
              <w:rPr>
                <w:sz w:val="14"/>
              </w:rPr>
            </w:pPr>
            <w:bookmarkStart w:name="_bookmark1652" w:id="1654"/>
            <w:bookmarkEnd w:id="1654"/>
            <w:r>
              <w:rPr/>
            </w:r>
            <w:hyperlink w:history="true" w:anchor="_bookmark1610">
              <w:r>
                <w:rPr>
                  <w:color w:val="005DA1"/>
                  <w:spacing w:val="-4"/>
                  <w:sz w:val="14"/>
                  <w:u w:val="single" w:color="005DA1"/>
                </w:rPr>
                <w:t>855</w:t>
              </w:r>
            </w:hyperlink>
            <w:r>
              <w:rPr>
                <w:spacing w:val="-4"/>
                <w:sz w:val="14"/>
              </w:rPr>
              <w:t>.</w:t>
            </w:r>
          </w:p>
        </w:tc>
        <w:tc>
          <w:tcPr>
            <w:tcW w:w="6977" w:type="dxa"/>
          </w:tcPr>
          <w:p>
            <w:pPr>
              <w:pStyle w:val="TableParagraph"/>
              <w:spacing w:before="114"/>
              <w:ind w:left="133"/>
              <w:rPr>
                <w:sz w:val="20"/>
              </w:rPr>
            </w:pPr>
            <w:r>
              <w:rPr>
                <w:sz w:val="20"/>
              </w:rPr>
              <w:t>Vol.II, para.44-</w:t>
            </w:r>
            <w:r>
              <w:rPr>
                <w:spacing w:val="-4"/>
                <w:sz w:val="20"/>
              </w:rPr>
              <w:t>368.</w:t>
            </w:r>
          </w:p>
        </w:tc>
      </w:tr>
      <w:tr>
        <w:trPr>
          <w:trHeight w:val="344" w:hRule="atLeast"/>
        </w:trPr>
        <w:tc>
          <w:tcPr>
            <w:tcW w:w="457" w:type="dxa"/>
          </w:tcPr>
          <w:p>
            <w:pPr>
              <w:pStyle w:val="TableParagraph"/>
              <w:ind w:right="82"/>
              <w:jc w:val="center"/>
              <w:rPr>
                <w:sz w:val="14"/>
              </w:rPr>
            </w:pPr>
            <w:bookmarkStart w:name="_bookmark1653" w:id="1655"/>
            <w:bookmarkEnd w:id="1655"/>
            <w:r>
              <w:rPr/>
            </w:r>
            <w:hyperlink w:history="true" w:anchor="_bookmark1611">
              <w:r>
                <w:rPr>
                  <w:color w:val="005DA1"/>
                  <w:spacing w:val="-4"/>
                  <w:sz w:val="14"/>
                  <w:u w:val="single" w:color="005DA1"/>
                </w:rPr>
                <w:t>856</w:t>
              </w:r>
            </w:hyperlink>
            <w:r>
              <w:rPr>
                <w:spacing w:val="-4"/>
                <w:sz w:val="14"/>
              </w:rPr>
              <w:t>.</w:t>
            </w:r>
          </w:p>
        </w:tc>
        <w:tc>
          <w:tcPr>
            <w:tcW w:w="6977" w:type="dxa"/>
          </w:tcPr>
          <w:p>
            <w:pPr>
              <w:pStyle w:val="TableParagraph"/>
              <w:spacing w:line="210" w:lineRule="exact" w:before="114"/>
              <w:ind w:left="133"/>
              <w:rPr>
                <w:sz w:val="20"/>
              </w:rPr>
            </w:pPr>
            <w:r>
              <w:rPr>
                <w:sz w:val="20"/>
              </w:rPr>
              <w:t>Vol.II, paras 44-380, 44-</w:t>
            </w:r>
            <w:r>
              <w:rPr>
                <w:spacing w:val="-4"/>
                <w:sz w:val="20"/>
              </w:rPr>
              <w:t>393.</w:t>
            </w:r>
          </w:p>
        </w:tc>
      </w:tr>
    </w:tbl>
    <w:p>
      <w:pPr>
        <w:pStyle w:val="TableParagraph"/>
        <w:spacing w:after="0" w:line="210" w:lineRule="exac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611">
        <w:r>
          <w:rPr>
            <w:color w:val="005DA1"/>
            <w:spacing w:val="-4"/>
            <w:position w:val="5"/>
            <w:sz w:val="14"/>
            <w:u w:val="single" w:color="005DA1"/>
          </w:rPr>
          <w:t>857</w:t>
        </w:r>
      </w:hyperlink>
      <w:r>
        <w:rPr>
          <w:spacing w:val="-4"/>
          <w:position w:val="5"/>
          <w:sz w:val="14"/>
        </w:rPr>
        <w:t>.</w:t>
      </w:r>
      <w:r>
        <w:rPr>
          <w:position w:val="5"/>
          <w:sz w:val="14"/>
        </w:rPr>
        <w:tab/>
      </w:r>
      <w:r>
        <w:rPr/>
        <w:t>Vol.II,</w:t>
      </w:r>
      <w:r>
        <w:rPr>
          <w:spacing w:val="-2"/>
        </w:rPr>
        <w:t> </w:t>
      </w:r>
      <w:r>
        <w:rPr/>
        <w:t>paras 44-406 et </w:t>
      </w:r>
      <w:r>
        <w:rPr>
          <w:spacing w:val="-4"/>
        </w:rPr>
        <w:t>seq.</w:t>
      </w:r>
    </w:p>
    <w:p>
      <w:pPr>
        <w:pStyle w:val="BodyText"/>
        <w:spacing w:before="5"/>
      </w:pPr>
    </w:p>
    <w:p>
      <w:pPr>
        <w:pStyle w:val="BodyText"/>
        <w:tabs>
          <w:tab w:pos="705" w:val="left" w:leader="none"/>
        </w:tabs>
        <w:spacing w:before="1"/>
        <w:ind w:left="165"/>
      </w:pPr>
      <w:bookmarkStart w:name="_bookmark1654" w:id="1656"/>
      <w:bookmarkEnd w:id="1656"/>
      <w:r>
        <w:rPr/>
      </w:r>
      <w:hyperlink w:history="true" w:anchor="_bookmark1612">
        <w:r>
          <w:rPr>
            <w:color w:val="005DA1"/>
            <w:spacing w:val="-4"/>
            <w:position w:val="5"/>
            <w:sz w:val="14"/>
            <w:u w:val="single" w:color="005DA1"/>
          </w:rPr>
          <w:t>858</w:t>
        </w:r>
      </w:hyperlink>
      <w:r>
        <w:rPr>
          <w:spacing w:val="-4"/>
          <w:position w:val="5"/>
          <w:sz w:val="14"/>
        </w:rPr>
        <w:t>.</w:t>
      </w:r>
      <w:r>
        <w:rPr>
          <w:position w:val="5"/>
          <w:sz w:val="14"/>
        </w:rPr>
        <w:tab/>
      </w:r>
      <w:r>
        <w:rPr/>
        <w:t>Vol.II,</w:t>
      </w:r>
      <w:r>
        <w:rPr>
          <w:spacing w:val="-2"/>
        </w:rPr>
        <w:t> </w:t>
      </w:r>
      <w:r>
        <w:rPr/>
        <w:t>paras 44-411 et </w:t>
      </w:r>
      <w:r>
        <w:rPr>
          <w:spacing w:val="-4"/>
        </w:rPr>
        <w:t>seq.</w:t>
      </w:r>
    </w:p>
    <w:p>
      <w:pPr>
        <w:pStyle w:val="BodyText"/>
        <w:spacing w:before="4"/>
      </w:pPr>
    </w:p>
    <w:p>
      <w:pPr>
        <w:pStyle w:val="BodyText"/>
        <w:tabs>
          <w:tab w:pos="705" w:val="left" w:leader="none"/>
        </w:tabs>
        <w:spacing w:before="1"/>
        <w:ind w:left="165"/>
      </w:pPr>
      <w:bookmarkStart w:name="_bookmark1655" w:id="1657"/>
      <w:bookmarkEnd w:id="1657"/>
      <w:r>
        <w:rPr/>
      </w:r>
      <w:hyperlink w:history="true" w:anchor="_bookmark1613">
        <w:r>
          <w:rPr>
            <w:color w:val="005DA1"/>
            <w:spacing w:val="-4"/>
            <w:position w:val="5"/>
            <w:sz w:val="14"/>
            <w:u w:val="single" w:color="005DA1"/>
          </w:rPr>
          <w:t>859</w:t>
        </w:r>
      </w:hyperlink>
      <w:r>
        <w:rPr>
          <w:spacing w:val="-4"/>
          <w:position w:val="5"/>
          <w:sz w:val="14"/>
        </w:rPr>
        <w:t>.</w:t>
      </w:r>
      <w:r>
        <w:rPr>
          <w:position w:val="5"/>
          <w:sz w:val="14"/>
        </w:rPr>
        <w:tab/>
      </w:r>
      <w:r>
        <w:rPr/>
        <w:t>For detailed discussion see Vol.II, paras 44-368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1656" w:id="1658"/>
      <w:bookmarkEnd w:id="1658"/>
      <w:r>
        <w:rPr/>
      </w:r>
      <w:hyperlink w:history="true" w:anchor="_bookmark1614">
        <w:r>
          <w:rPr>
            <w:color w:val="005DA1"/>
            <w:spacing w:val="-4"/>
            <w:position w:val="5"/>
            <w:sz w:val="14"/>
            <w:u w:val="single" w:color="005DA1"/>
          </w:rPr>
          <w:t>860</w:t>
        </w:r>
      </w:hyperlink>
      <w:r>
        <w:rPr>
          <w:spacing w:val="-4"/>
          <w:position w:val="5"/>
          <w:sz w:val="14"/>
        </w:rPr>
        <w:t>.</w:t>
      </w:r>
      <w:r>
        <w:rPr>
          <w:position w:val="5"/>
          <w:sz w:val="14"/>
        </w:rPr>
        <w:tab/>
      </w:r>
      <w:r>
        <w:rPr>
          <w:rFonts w:ascii="Arial"/>
          <w:i/>
          <w:sz w:val="20"/>
        </w:rPr>
        <w:t>Williams v Reynolds (1865) 6 B. &amp; S. </w:t>
      </w:r>
      <w:r>
        <w:rPr>
          <w:rFonts w:ascii="Arial"/>
          <w:i/>
          <w:spacing w:val="-4"/>
          <w:sz w:val="20"/>
        </w:rPr>
        <w:t>495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657" w:id="1659"/>
      <w:bookmarkEnd w:id="1659"/>
      <w:r>
        <w:rPr/>
      </w:r>
      <w:hyperlink w:history="true" w:anchor="_bookmark1615">
        <w:r>
          <w:rPr>
            <w:color w:val="005DA1"/>
            <w:spacing w:val="-4"/>
            <w:position w:val="5"/>
            <w:sz w:val="14"/>
            <w:u w:val="single" w:color="005DA1"/>
          </w:rPr>
          <w:t>861</w:t>
        </w:r>
      </w:hyperlink>
      <w:r>
        <w:rPr>
          <w:spacing w:val="-4"/>
          <w:position w:val="5"/>
          <w:sz w:val="14"/>
        </w:rPr>
        <w:t>.</w:t>
      </w:r>
      <w:r>
        <w:rPr>
          <w:position w:val="5"/>
          <w:sz w:val="14"/>
        </w:rPr>
        <w:tab/>
      </w:r>
      <w:r>
        <w:rPr>
          <w:rFonts w:ascii="Arial"/>
          <w:i/>
          <w:sz w:val="20"/>
        </w:rPr>
        <w:t>Re</w:t>
      </w:r>
      <w:r>
        <w:rPr>
          <w:rFonts w:ascii="Arial"/>
          <w:i/>
          <w:spacing w:val="28"/>
          <w:sz w:val="20"/>
        </w:rPr>
        <w:t> </w:t>
      </w:r>
      <w:r>
        <w:rPr>
          <w:rFonts w:ascii="Arial"/>
          <w:i/>
          <w:sz w:val="20"/>
        </w:rPr>
        <w:t>R</w:t>
      </w:r>
      <w:r>
        <w:rPr>
          <w:rFonts w:ascii="Arial"/>
          <w:i/>
          <w:spacing w:val="28"/>
          <w:sz w:val="20"/>
        </w:rPr>
        <w:t> </w:t>
      </w:r>
      <w:r>
        <w:rPr>
          <w:rFonts w:ascii="Arial"/>
          <w:i/>
          <w:sz w:val="20"/>
        </w:rPr>
        <w:t>and</w:t>
      </w:r>
      <w:r>
        <w:rPr>
          <w:rFonts w:ascii="Arial"/>
          <w:i/>
          <w:spacing w:val="28"/>
          <w:sz w:val="20"/>
        </w:rPr>
        <w:t> </w:t>
      </w:r>
      <w:r>
        <w:rPr>
          <w:rFonts w:ascii="Arial"/>
          <w:i/>
          <w:sz w:val="20"/>
        </w:rPr>
        <w:t>H</w:t>
      </w:r>
      <w:r>
        <w:rPr>
          <w:rFonts w:ascii="Arial"/>
          <w:i/>
          <w:spacing w:val="28"/>
          <w:sz w:val="20"/>
        </w:rPr>
        <w:t> </w:t>
      </w:r>
      <w:r>
        <w:rPr>
          <w:rFonts w:ascii="Arial"/>
          <w:i/>
          <w:sz w:val="20"/>
        </w:rPr>
        <w:t>Hall</w:t>
      </w:r>
      <w:r>
        <w:rPr>
          <w:rFonts w:ascii="Arial"/>
          <w:i/>
          <w:spacing w:val="28"/>
          <w:sz w:val="20"/>
        </w:rPr>
        <w:t> </w:t>
      </w:r>
      <w:r>
        <w:rPr>
          <w:rFonts w:ascii="Arial"/>
          <w:i/>
          <w:sz w:val="20"/>
        </w:rPr>
        <w:t>Ltd</w:t>
      </w:r>
      <w:r>
        <w:rPr>
          <w:rFonts w:ascii="Arial"/>
          <w:i/>
          <w:spacing w:val="28"/>
          <w:sz w:val="20"/>
        </w:rPr>
        <w:t> </w:t>
      </w:r>
      <w:r>
        <w:rPr>
          <w:rFonts w:ascii="Arial"/>
          <w:i/>
          <w:sz w:val="20"/>
        </w:rPr>
        <w:t>and</w:t>
      </w:r>
      <w:r>
        <w:rPr>
          <w:rFonts w:ascii="Arial"/>
          <w:i/>
          <w:spacing w:val="28"/>
          <w:sz w:val="20"/>
        </w:rPr>
        <w:t> </w:t>
      </w:r>
      <w:r>
        <w:rPr>
          <w:rFonts w:ascii="Arial"/>
          <w:i/>
          <w:sz w:val="20"/>
        </w:rPr>
        <w:t>WH</w:t>
      </w:r>
      <w:r>
        <w:rPr>
          <w:rFonts w:ascii="Arial"/>
          <w:i/>
          <w:spacing w:val="28"/>
          <w:sz w:val="20"/>
        </w:rPr>
        <w:t> </w:t>
      </w:r>
      <w:r>
        <w:rPr>
          <w:rFonts w:ascii="Arial"/>
          <w:i/>
          <w:sz w:val="20"/>
        </w:rPr>
        <w:t>Pim</w:t>
      </w:r>
      <w:r>
        <w:rPr>
          <w:rFonts w:ascii="Arial"/>
          <w:i/>
          <w:spacing w:val="28"/>
          <w:sz w:val="20"/>
        </w:rPr>
        <w:t> </w:t>
      </w:r>
      <w:r>
        <w:rPr>
          <w:rFonts w:ascii="Arial"/>
          <w:i/>
          <w:sz w:val="20"/>
        </w:rPr>
        <w:t>(Junior)</w:t>
      </w:r>
      <w:r>
        <w:rPr>
          <w:rFonts w:ascii="Arial"/>
          <w:i/>
          <w:spacing w:val="28"/>
          <w:sz w:val="20"/>
        </w:rPr>
        <w:t> </w:t>
      </w:r>
      <w:r>
        <w:rPr>
          <w:rFonts w:ascii="Arial"/>
          <w:i/>
          <w:sz w:val="20"/>
        </w:rPr>
        <w:t>Arbitration</w:t>
      </w:r>
      <w:r>
        <w:rPr>
          <w:rFonts w:ascii="Arial"/>
          <w:i/>
          <w:spacing w:val="28"/>
          <w:sz w:val="20"/>
        </w:rPr>
        <w:t> </w:t>
      </w:r>
      <w:r>
        <w:rPr>
          <w:rFonts w:ascii="Arial"/>
          <w:i/>
          <w:sz w:val="20"/>
        </w:rPr>
        <w:t>[1928]</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8"/>
          <w:sz w:val="20"/>
        </w:rPr>
        <w:t> </w:t>
      </w:r>
      <w:r>
        <w:rPr>
          <w:rFonts w:ascii="Arial"/>
          <w:i/>
          <w:sz w:val="20"/>
        </w:rPr>
        <w:t>Rep.</w:t>
      </w:r>
      <w:r>
        <w:rPr>
          <w:rFonts w:ascii="Arial"/>
          <w:i/>
          <w:spacing w:val="28"/>
          <w:sz w:val="20"/>
        </w:rPr>
        <w:t> </w:t>
      </w:r>
      <w:r>
        <w:rPr>
          <w:rFonts w:ascii="Arial"/>
          <w:i/>
          <w:sz w:val="20"/>
        </w:rPr>
        <w:t>763</w:t>
      </w:r>
      <w:r>
        <w:rPr>
          <w:sz w:val="20"/>
        </w:rPr>
        <w:t>.</w:t>
      </w:r>
      <w:r>
        <w:rPr>
          <w:spacing w:val="28"/>
          <w:sz w:val="20"/>
        </w:rPr>
        <w:t> </w:t>
      </w:r>
      <w:r>
        <w:rPr>
          <w:sz w:val="20"/>
        </w:rPr>
        <w:t>See</w:t>
      </w:r>
      <w:r>
        <w:rPr>
          <w:spacing w:val="28"/>
          <w:sz w:val="20"/>
        </w:rPr>
        <w:t> </w:t>
      </w:r>
      <w:r>
        <w:rPr>
          <w:sz w:val="20"/>
        </w:rPr>
        <w:t>below, </w:t>
      </w:r>
      <w:r>
        <w:rPr>
          <w:spacing w:val="-2"/>
          <w:sz w:val="20"/>
        </w:rPr>
        <w:t>para.44-400.</w:t>
      </w:r>
    </w:p>
    <w:p>
      <w:pPr>
        <w:pStyle w:val="BodyText"/>
        <w:spacing w:before="9"/>
      </w:pPr>
    </w:p>
    <w:p>
      <w:pPr>
        <w:tabs>
          <w:tab w:pos="705" w:val="left" w:leader="none"/>
        </w:tabs>
        <w:spacing w:line="235" w:lineRule="auto" w:before="1"/>
        <w:ind w:left="705" w:right="168" w:hanging="541"/>
        <w:jc w:val="left"/>
        <w:rPr>
          <w:sz w:val="20"/>
        </w:rPr>
      </w:pPr>
      <w:bookmarkStart w:name="_bookmark1658" w:id="1660"/>
      <w:bookmarkEnd w:id="1660"/>
      <w:r>
        <w:rPr/>
      </w:r>
      <w:hyperlink w:history="true" w:anchor="_bookmark1616">
        <w:r>
          <w:rPr>
            <w:color w:val="005DA1"/>
            <w:spacing w:val="-4"/>
            <w:position w:val="5"/>
            <w:sz w:val="14"/>
            <w:u w:val="single" w:color="005DA1"/>
          </w:rPr>
          <w:t>862</w:t>
        </w:r>
      </w:hyperlink>
      <w:r>
        <w:rPr>
          <w:spacing w:val="-4"/>
          <w:position w:val="5"/>
          <w:sz w:val="14"/>
        </w:rPr>
        <w:t>.</w:t>
      </w:r>
      <w:r>
        <w:rPr>
          <w:position w:val="5"/>
          <w:sz w:val="14"/>
        </w:rPr>
        <w:tab/>
      </w:r>
      <w:r>
        <w:rPr>
          <w:sz w:val="20"/>
        </w:rPr>
        <w:t>As</w:t>
      </w:r>
      <w:r>
        <w:rPr>
          <w:spacing w:val="40"/>
          <w:sz w:val="20"/>
        </w:rPr>
        <w:t> </w:t>
      </w:r>
      <w:r>
        <w:rPr>
          <w:sz w:val="20"/>
        </w:rPr>
        <w:t>in</w:t>
      </w:r>
      <w:r>
        <w:rPr>
          <w:spacing w:val="40"/>
          <w:sz w:val="20"/>
        </w:rPr>
        <w:t> </w:t>
      </w:r>
      <w:r>
        <w:rPr>
          <w:rFonts w:ascii="Arial"/>
          <w:i/>
          <w:sz w:val="20"/>
        </w:rPr>
        <w:t>Victoria</w:t>
      </w:r>
      <w:r>
        <w:rPr>
          <w:rFonts w:ascii="Arial"/>
          <w:i/>
          <w:spacing w:val="40"/>
          <w:sz w:val="20"/>
        </w:rPr>
        <w:t> </w:t>
      </w:r>
      <w:r>
        <w:rPr>
          <w:rFonts w:ascii="Arial"/>
          <w:i/>
          <w:sz w:val="20"/>
        </w:rPr>
        <w:t>Laundry</w:t>
      </w:r>
      <w:r>
        <w:rPr>
          <w:rFonts w:ascii="Arial"/>
          <w:i/>
          <w:spacing w:val="40"/>
          <w:sz w:val="20"/>
        </w:rPr>
        <w:t> </w:t>
      </w:r>
      <w:r>
        <w:rPr>
          <w:rFonts w:ascii="Arial"/>
          <w:i/>
          <w:sz w:val="20"/>
        </w:rPr>
        <w:t>(Windsor)</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Newman</w:t>
      </w:r>
      <w:r>
        <w:rPr>
          <w:rFonts w:ascii="Arial"/>
          <w:i/>
          <w:spacing w:val="40"/>
          <w:sz w:val="20"/>
        </w:rPr>
        <w:t> </w:t>
      </w:r>
      <w:r>
        <w:rPr>
          <w:rFonts w:ascii="Arial"/>
          <w:i/>
          <w:sz w:val="20"/>
        </w:rPr>
        <w:t>Industries</w:t>
      </w:r>
      <w:r>
        <w:rPr>
          <w:rFonts w:ascii="Arial"/>
          <w:i/>
          <w:spacing w:val="40"/>
          <w:sz w:val="20"/>
        </w:rPr>
        <w:t> </w:t>
      </w:r>
      <w:r>
        <w:rPr>
          <w:rFonts w:ascii="Arial"/>
          <w:i/>
          <w:sz w:val="20"/>
        </w:rPr>
        <w:t>Ltd</w:t>
      </w:r>
      <w:r>
        <w:rPr>
          <w:rFonts w:ascii="Arial"/>
          <w:i/>
          <w:spacing w:val="40"/>
          <w:sz w:val="20"/>
        </w:rPr>
        <w:t> </w:t>
      </w:r>
      <w:r>
        <w:rPr>
          <w:rFonts w:ascii="Arial"/>
          <w:i/>
          <w:sz w:val="20"/>
        </w:rPr>
        <w:t>[1949]</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528</w:t>
      </w:r>
      <w:r>
        <w:rPr>
          <w:sz w:val="20"/>
        </w:rPr>
        <w:t>,</w:t>
      </w:r>
      <w:r>
        <w:rPr>
          <w:spacing w:val="40"/>
          <w:sz w:val="20"/>
        </w:rPr>
        <w:t> </w:t>
      </w:r>
      <w:r>
        <w:rPr>
          <w:sz w:val="20"/>
        </w:rPr>
        <w:t>above, </w:t>
      </w:r>
      <w:r>
        <w:rPr>
          <w:spacing w:val="-2"/>
          <w:sz w:val="20"/>
        </w:rPr>
        <w:t>para.26-135.</w:t>
      </w:r>
    </w:p>
    <w:p>
      <w:pPr>
        <w:pStyle w:val="BodyText"/>
        <w:spacing w:before="9"/>
      </w:pPr>
    </w:p>
    <w:p>
      <w:pPr>
        <w:tabs>
          <w:tab w:pos="705" w:val="left" w:leader="none"/>
        </w:tabs>
        <w:spacing w:line="235" w:lineRule="auto" w:before="0"/>
        <w:ind w:left="705" w:right="168" w:hanging="541"/>
        <w:jc w:val="left"/>
        <w:rPr>
          <w:sz w:val="20"/>
        </w:rPr>
      </w:pPr>
      <w:bookmarkStart w:name="_bookmark1659" w:id="1661"/>
      <w:bookmarkEnd w:id="1661"/>
      <w:r>
        <w:rPr/>
      </w:r>
      <w:hyperlink w:history="true" w:anchor="_bookmark1617">
        <w:r>
          <w:rPr>
            <w:color w:val="005DA1"/>
            <w:spacing w:val="-4"/>
            <w:position w:val="5"/>
            <w:sz w:val="14"/>
            <w:u w:val="single" w:color="005DA1"/>
          </w:rPr>
          <w:t>863</w:t>
        </w:r>
      </w:hyperlink>
      <w:r>
        <w:rPr>
          <w:spacing w:val="-4"/>
          <w:position w:val="5"/>
          <w:sz w:val="14"/>
        </w:rPr>
        <w:t>.</w:t>
      </w:r>
      <w:r>
        <w:rPr>
          <w:position w:val="5"/>
          <w:sz w:val="14"/>
        </w:rPr>
        <w:tab/>
      </w:r>
      <w:r>
        <w:rPr>
          <w:rFonts w:ascii="Arial"/>
          <w:i/>
          <w:sz w:val="20"/>
        </w:rPr>
        <w:t>Lesters</w:t>
      </w:r>
      <w:r>
        <w:rPr>
          <w:rFonts w:ascii="Arial"/>
          <w:i/>
          <w:spacing w:val="29"/>
          <w:sz w:val="20"/>
        </w:rPr>
        <w:t> </w:t>
      </w:r>
      <w:r>
        <w:rPr>
          <w:rFonts w:ascii="Arial"/>
          <w:i/>
          <w:sz w:val="20"/>
        </w:rPr>
        <w:t>Leather</w:t>
      </w:r>
      <w:r>
        <w:rPr>
          <w:rFonts w:ascii="Arial"/>
          <w:i/>
          <w:spacing w:val="29"/>
          <w:sz w:val="20"/>
        </w:rPr>
        <w:t> </w:t>
      </w:r>
      <w:r>
        <w:rPr>
          <w:rFonts w:ascii="Arial"/>
          <w:i/>
          <w:sz w:val="20"/>
        </w:rPr>
        <w:t>and</w:t>
      </w:r>
      <w:r>
        <w:rPr>
          <w:rFonts w:ascii="Arial"/>
          <w:i/>
          <w:spacing w:val="29"/>
          <w:sz w:val="20"/>
        </w:rPr>
        <w:t> </w:t>
      </w:r>
      <w:r>
        <w:rPr>
          <w:rFonts w:ascii="Arial"/>
          <w:i/>
          <w:sz w:val="20"/>
        </w:rPr>
        <w:t>Skin</w:t>
      </w:r>
      <w:r>
        <w:rPr>
          <w:rFonts w:ascii="Arial"/>
          <w:i/>
          <w:spacing w:val="29"/>
          <w:sz w:val="20"/>
        </w:rPr>
        <w:t> </w:t>
      </w:r>
      <w:r>
        <w:rPr>
          <w:rFonts w:ascii="Arial"/>
          <w:i/>
          <w:sz w:val="20"/>
        </w:rPr>
        <w:t>Co</w:t>
      </w:r>
      <w:r>
        <w:rPr>
          <w:rFonts w:ascii="Arial"/>
          <w:i/>
          <w:spacing w:val="29"/>
          <w:sz w:val="20"/>
        </w:rPr>
        <w:t> </w:t>
      </w:r>
      <w:r>
        <w:rPr>
          <w:rFonts w:ascii="Arial"/>
          <w:i/>
          <w:sz w:val="20"/>
        </w:rPr>
        <w:t>v</w:t>
      </w:r>
      <w:r>
        <w:rPr>
          <w:rFonts w:ascii="Arial"/>
          <w:i/>
          <w:spacing w:val="29"/>
          <w:sz w:val="20"/>
        </w:rPr>
        <w:t> </w:t>
      </w:r>
      <w:r>
        <w:rPr>
          <w:rFonts w:ascii="Arial"/>
          <w:i/>
          <w:sz w:val="20"/>
        </w:rPr>
        <w:t>Home</w:t>
      </w:r>
      <w:r>
        <w:rPr>
          <w:rFonts w:ascii="Arial"/>
          <w:i/>
          <w:spacing w:val="29"/>
          <w:sz w:val="20"/>
        </w:rPr>
        <w:t> </w:t>
      </w:r>
      <w:r>
        <w:rPr>
          <w:rFonts w:ascii="Arial"/>
          <w:i/>
          <w:sz w:val="20"/>
        </w:rPr>
        <w:t>and</w:t>
      </w:r>
      <w:r>
        <w:rPr>
          <w:rFonts w:ascii="Arial"/>
          <w:i/>
          <w:spacing w:val="29"/>
          <w:sz w:val="20"/>
        </w:rPr>
        <w:t> </w:t>
      </w:r>
      <w:r>
        <w:rPr>
          <w:rFonts w:ascii="Arial"/>
          <w:i/>
          <w:sz w:val="20"/>
        </w:rPr>
        <w:t>Overseas</w:t>
      </w:r>
      <w:r>
        <w:rPr>
          <w:rFonts w:ascii="Arial"/>
          <w:i/>
          <w:spacing w:val="29"/>
          <w:sz w:val="20"/>
        </w:rPr>
        <w:t> </w:t>
      </w:r>
      <w:r>
        <w:rPr>
          <w:rFonts w:ascii="Arial"/>
          <w:i/>
          <w:sz w:val="20"/>
        </w:rPr>
        <w:t>Brokers</w:t>
      </w:r>
      <w:r>
        <w:rPr>
          <w:rFonts w:ascii="Arial"/>
          <w:i/>
          <w:spacing w:val="29"/>
          <w:sz w:val="20"/>
        </w:rPr>
        <w:t> </w:t>
      </w:r>
      <w:r>
        <w:rPr>
          <w:rFonts w:ascii="Arial"/>
          <w:i/>
          <w:sz w:val="20"/>
        </w:rPr>
        <w:t>Ltd</w:t>
      </w:r>
      <w:r>
        <w:rPr>
          <w:rFonts w:ascii="Arial"/>
          <w:i/>
          <w:spacing w:val="29"/>
          <w:sz w:val="20"/>
        </w:rPr>
        <w:t> </w:t>
      </w:r>
      <w:r>
        <w:rPr>
          <w:rFonts w:ascii="Arial"/>
          <w:i/>
          <w:sz w:val="20"/>
        </w:rPr>
        <w:t>(1948)</w:t>
      </w:r>
      <w:r>
        <w:rPr>
          <w:rFonts w:ascii="Arial"/>
          <w:i/>
          <w:spacing w:val="29"/>
          <w:sz w:val="20"/>
        </w:rPr>
        <w:t> </w:t>
      </w:r>
      <w:r>
        <w:rPr>
          <w:rFonts w:ascii="Arial"/>
          <w:i/>
          <w:sz w:val="20"/>
        </w:rPr>
        <w:t>64</w:t>
      </w:r>
      <w:r>
        <w:rPr>
          <w:rFonts w:ascii="Arial"/>
          <w:i/>
          <w:spacing w:val="29"/>
          <w:sz w:val="20"/>
        </w:rPr>
        <w:t> </w:t>
      </w:r>
      <w:r>
        <w:rPr>
          <w:rFonts w:ascii="Arial"/>
          <w:i/>
          <w:sz w:val="20"/>
        </w:rPr>
        <w:t>T.L.R.</w:t>
      </w:r>
      <w:r>
        <w:rPr>
          <w:rFonts w:ascii="Arial"/>
          <w:i/>
          <w:spacing w:val="29"/>
          <w:sz w:val="20"/>
        </w:rPr>
        <w:t> </w:t>
      </w:r>
      <w:r>
        <w:rPr>
          <w:rFonts w:ascii="Arial"/>
          <w:i/>
          <w:sz w:val="20"/>
        </w:rPr>
        <w:t>569</w:t>
      </w:r>
      <w:r>
        <w:rPr>
          <w:sz w:val="20"/>
        </w:rPr>
        <w:t>,</w:t>
      </w:r>
      <w:r>
        <w:rPr>
          <w:spacing w:val="29"/>
          <w:sz w:val="20"/>
        </w:rPr>
        <w:t> </w:t>
      </w:r>
      <w:r>
        <w:rPr>
          <w:sz w:val="20"/>
        </w:rPr>
        <w:t>see para.26-082 and Vol.II, para.44-389.</w:t>
      </w:r>
    </w:p>
    <w:p>
      <w:pPr>
        <w:pStyle w:val="BodyText"/>
        <w:spacing w:before="5"/>
      </w:pPr>
    </w:p>
    <w:p>
      <w:pPr>
        <w:tabs>
          <w:tab w:pos="705" w:val="left" w:leader="none"/>
        </w:tabs>
        <w:spacing w:before="0"/>
        <w:ind w:left="165" w:right="0" w:firstLine="0"/>
        <w:jc w:val="left"/>
        <w:rPr>
          <w:sz w:val="20"/>
        </w:rPr>
      </w:pPr>
      <w:bookmarkStart w:name="_bookmark1660" w:id="1662"/>
      <w:bookmarkEnd w:id="1662"/>
      <w:r>
        <w:rPr/>
      </w:r>
      <w:hyperlink w:history="true" w:anchor="_bookmark1618">
        <w:r>
          <w:rPr>
            <w:color w:val="005DA1"/>
            <w:spacing w:val="-4"/>
            <w:position w:val="5"/>
            <w:sz w:val="14"/>
            <w:u w:val="single" w:color="005DA1"/>
          </w:rPr>
          <w:t>864</w:t>
        </w:r>
      </w:hyperlink>
      <w:r>
        <w:rPr>
          <w:spacing w:val="-4"/>
          <w:position w:val="5"/>
          <w:sz w:val="14"/>
        </w:rPr>
        <w:t>.</w:t>
      </w:r>
      <w:r>
        <w:rPr>
          <w:position w:val="5"/>
          <w:sz w:val="14"/>
        </w:rPr>
        <w:tab/>
      </w:r>
      <w:r>
        <w:rPr>
          <w:rFonts w:ascii="Arial"/>
          <w:i/>
          <w:sz w:val="20"/>
        </w:rPr>
        <w:t>Williams Bros Ltd v E.T. Agius Ltd [1914] A.C. </w:t>
      </w:r>
      <w:r>
        <w:rPr>
          <w:rFonts w:ascii="Arial"/>
          <w:i/>
          <w:spacing w:val="-4"/>
          <w:sz w:val="20"/>
        </w:rPr>
        <w:t>510</w:t>
      </w:r>
      <w:r>
        <w:rPr>
          <w:spacing w:val="-4"/>
          <w:sz w:val="20"/>
        </w:rPr>
        <w:t>.</w:t>
      </w:r>
    </w:p>
    <w:p>
      <w:pPr>
        <w:pStyle w:val="BodyText"/>
        <w:spacing w:before="9"/>
      </w:pPr>
    </w:p>
    <w:p>
      <w:pPr>
        <w:pStyle w:val="BodyText"/>
        <w:spacing w:line="235" w:lineRule="auto"/>
        <w:ind w:left="705" w:right="167" w:hanging="541"/>
        <w:jc w:val="both"/>
      </w:pPr>
      <w:bookmarkStart w:name="_bookmark1661" w:id="1663"/>
      <w:bookmarkEnd w:id="1663"/>
      <w:r>
        <w:rPr/>
      </w:r>
      <w:hyperlink w:history="true" w:anchor="_bookmark1619">
        <w:r>
          <w:rPr>
            <w:color w:val="005DA1"/>
            <w:position w:val="5"/>
            <w:sz w:val="14"/>
            <w:u w:val="single" w:color="005DA1"/>
          </w:rPr>
          <w:t>865</w:t>
        </w:r>
      </w:hyperlink>
      <w:r>
        <w:rPr>
          <w:position w:val="5"/>
          <w:sz w:val="14"/>
        </w:rPr>
        <w:t>.</w:t>
      </w:r>
      <w:r>
        <w:rPr>
          <w:spacing w:val="80"/>
          <w:w w:val="150"/>
          <w:position w:val="5"/>
          <w:sz w:val="14"/>
        </w:rPr>
        <w:t> </w:t>
      </w:r>
      <w:r>
        <w:rPr>
          <w:rFonts w:ascii="Arial" w:hAnsi="Arial"/>
          <w:i/>
        </w:rPr>
        <w:t>[1914] A.C. 510, 523 </w:t>
      </w:r>
      <w:r>
        <w:rPr/>
        <w:t>(“The only safe plan is, therefore, in the original contract, to take the difference of market price as the measure of damages and to leave the sub-contract and the breach thereof to be worked out by those whom it directly concerns”).</w:t>
      </w:r>
    </w:p>
    <w:p>
      <w:pPr>
        <w:pStyle w:val="BodyText"/>
        <w:spacing w:before="5"/>
      </w:pPr>
    </w:p>
    <w:p>
      <w:pPr>
        <w:pStyle w:val="BodyText"/>
        <w:tabs>
          <w:tab w:pos="705" w:val="left" w:leader="none"/>
        </w:tabs>
        <w:ind w:left="165"/>
      </w:pPr>
      <w:bookmarkStart w:name="_bookmark1662" w:id="1664"/>
      <w:bookmarkEnd w:id="1664"/>
      <w:r>
        <w:rPr/>
      </w:r>
      <w:hyperlink w:history="true" w:anchor="_bookmark1620">
        <w:r>
          <w:rPr>
            <w:color w:val="005DA1"/>
            <w:spacing w:val="-4"/>
            <w:position w:val="5"/>
            <w:sz w:val="14"/>
            <w:u w:val="single" w:color="005DA1"/>
          </w:rPr>
          <w:t>866</w:t>
        </w:r>
      </w:hyperlink>
      <w:r>
        <w:rPr>
          <w:spacing w:val="-4"/>
          <w:position w:val="5"/>
          <w:sz w:val="14"/>
        </w:rPr>
        <w:t>.</w:t>
      </w:r>
      <w:r>
        <w:rPr>
          <w:position w:val="5"/>
          <w:sz w:val="14"/>
        </w:rPr>
        <w:tab/>
      </w:r>
      <w:r>
        <w:rPr/>
        <w:t>See</w:t>
      </w:r>
      <w:r>
        <w:rPr>
          <w:spacing w:val="-2"/>
        </w:rPr>
        <w:t> </w:t>
      </w:r>
      <w:r>
        <w:rPr/>
        <w:t>above, para.26-</w:t>
      </w:r>
      <w:r>
        <w:rPr>
          <w:spacing w:val="-4"/>
        </w:rPr>
        <w:t>040.</w:t>
      </w:r>
    </w:p>
    <w:p>
      <w:pPr>
        <w:pStyle w:val="BodyText"/>
        <w:spacing w:before="9"/>
      </w:pPr>
    </w:p>
    <w:p>
      <w:pPr>
        <w:spacing w:line="235" w:lineRule="auto" w:before="0"/>
        <w:ind w:left="705" w:right="167" w:hanging="541"/>
        <w:jc w:val="both"/>
        <w:rPr>
          <w:sz w:val="20"/>
        </w:rPr>
      </w:pPr>
      <w:bookmarkStart w:name="_bookmark1663" w:id="1665"/>
      <w:bookmarkEnd w:id="1665"/>
      <w:r>
        <w:rPr/>
      </w:r>
      <w:hyperlink w:history="true" w:anchor="_bookmark1621">
        <w:r>
          <w:rPr>
            <w:color w:val="005DA1"/>
            <w:position w:val="5"/>
            <w:sz w:val="14"/>
            <w:u w:val="single" w:color="005DA1"/>
          </w:rPr>
          <w:t>867</w:t>
        </w:r>
      </w:hyperlink>
      <w:r>
        <w:rPr>
          <w:position w:val="5"/>
          <w:sz w:val="14"/>
        </w:rPr>
        <w:t>.</w:t>
      </w:r>
      <w:r>
        <w:rPr>
          <w:spacing w:val="40"/>
          <w:position w:val="5"/>
          <w:sz w:val="14"/>
        </w:rPr>
        <w:t>  </w:t>
      </w:r>
      <w:r>
        <w:rPr>
          <w:rFonts w:ascii="Arial" w:hAnsi="Arial"/>
          <w:i/>
          <w:sz w:val="20"/>
        </w:rPr>
        <w:t>Biggin &amp; Co Ltd v Permanite Ltd [1951] 1 K.B. 422, 436. (The actual decision in this case was reversed on another ground: [1951] 2 K.B. 314 </w:t>
      </w:r>
      <w:r>
        <w:rPr>
          <w:sz w:val="20"/>
        </w:rPr>
        <w:t>(see Vol.II, para.44-433).) See also </w:t>
      </w:r>
      <w:r>
        <w:rPr>
          <w:rFonts w:ascii="Arial" w:hAnsi="Arial"/>
          <w:i/>
          <w:sz w:val="20"/>
        </w:rPr>
        <w:t>Bence Graphics International Ltd v Fasson UK Ltd [1998] Q.B. 87 </w:t>
      </w:r>
      <w:r>
        <w:rPr>
          <w:sz w:val="20"/>
        </w:rPr>
        <w:t>(below, paras 44-413, 44-415,</w:t>
      </w:r>
      <w:r>
        <w:rPr>
          <w:spacing w:val="40"/>
          <w:sz w:val="20"/>
        </w:rPr>
        <w:t> </w:t>
      </w:r>
      <w:r>
        <w:rPr>
          <w:sz w:val="20"/>
        </w:rPr>
        <w:t>where criticism by Treitel is noted); </w:t>
      </w:r>
      <w:r>
        <w:rPr>
          <w:rFonts w:ascii="Arial" w:hAnsi="Arial"/>
          <w:i/>
          <w:sz w:val="20"/>
        </w:rPr>
        <w:t>The Heron II [1969] 1 A.C. 350, 416</w:t>
      </w:r>
      <w:r>
        <w:rPr>
          <w:sz w:val="20"/>
        </w:rPr>
        <w:t>; </w:t>
      </w:r>
      <w:r>
        <w:rPr>
          <w:rFonts w:ascii="Arial" w:hAnsi="Arial"/>
          <w:i/>
          <w:sz w:val="20"/>
        </w:rPr>
        <w:t>Louis Dreyfus Trading Ltd v Reliance Trading Ltd [2004] EWHC 525 (Comm), [2004] 2 Lloyd’s Rep. 243 </w:t>
      </w:r>
      <w:r>
        <w:rPr>
          <w:sz w:val="20"/>
        </w:rPr>
        <w:t>(see Vol.II, para.44-415 n.2001). cf. </w:t>
      </w:r>
      <w:r>
        <w:rPr>
          <w:rFonts w:ascii="Arial" w:hAnsi="Arial"/>
          <w:i/>
          <w:sz w:val="20"/>
        </w:rPr>
        <w:t>Trans Trust S.P.R.L. v Danubian Trading Co Ltd [1952] 2 K.B. 297, </w:t>
      </w:r>
      <w:r>
        <w:rPr>
          <w:rFonts w:ascii="Arial" w:hAnsi="Arial"/>
          <w:i/>
          <w:spacing w:val="-4"/>
          <w:sz w:val="20"/>
        </w:rPr>
        <w:t>306</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1664" w:id="1666"/>
      <w:bookmarkEnd w:id="1666"/>
      <w:r>
        <w:rPr/>
      </w:r>
      <w:hyperlink w:history="true" w:anchor="_bookmark1622">
        <w:r>
          <w:rPr>
            <w:color w:val="005DA1"/>
            <w:spacing w:val="-4"/>
            <w:position w:val="5"/>
            <w:sz w:val="14"/>
            <w:u w:val="single" w:color="005DA1"/>
          </w:rPr>
          <w:t>868</w:t>
        </w:r>
      </w:hyperlink>
      <w:r>
        <w:rPr>
          <w:spacing w:val="-4"/>
          <w:position w:val="5"/>
          <w:sz w:val="14"/>
        </w:rPr>
        <w:t>.</w:t>
      </w:r>
      <w:r>
        <w:rPr>
          <w:position w:val="5"/>
          <w:sz w:val="14"/>
        </w:rPr>
        <w:tab/>
      </w:r>
      <w:r>
        <w:rPr>
          <w:rFonts w:ascii="Arial"/>
          <w:i/>
          <w:sz w:val="20"/>
        </w:rPr>
        <w:t>Wertheim</w:t>
      </w:r>
      <w:r>
        <w:rPr>
          <w:rFonts w:ascii="Arial"/>
          <w:i/>
          <w:spacing w:val="-1"/>
          <w:sz w:val="20"/>
        </w:rPr>
        <w:t> </w:t>
      </w:r>
      <w:r>
        <w:rPr>
          <w:rFonts w:ascii="Arial"/>
          <w:i/>
          <w:sz w:val="20"/>
        </w:rPr>
        <w:t>v Chicoutini Pulp Co [1911] A.C. 301</w:t>
      </w:r>
      <w:r>
        <w:rPr>
          <w:sz w:val="20"/>
        </w:rPr>
        <w:t>, below, para.26-</w:t>
      </w:r>
      <w:r>
        <w:rPr>
          <w:spacing w:val="-4"/>
          <w:sz w:val="20"/>
        </w:rPr>
        <w:t>158.</w:t>
      </w:r>
    </w:p>
    <w:p>
      <w:pPr>
        <w:pStyle w:val="BodyText"/>
        <w:spacing w:before="5"/>
      </w:pPr>
    </w:p>
    <w:p>
      <w:pPr>
        <w:tabs>
          <w:tab w:pos="705" w:val="left" w:leader="none"/>
        </w:tabs>
        <w:spacing w:before="0"/>
        <w:ind w:left="165" w:right="0" w:firstLine="0"/>
        <w:jc w:val="left"/>
        <w:rPr>
          <w:sz w:val="20"/>
        </w:rPr>
      </w:pPr>
      <w:bookmarkStart w:name="_bookmark1665" w:id="1667"/>
      <w:bookmarkEnd w:id="1667"/>
      <w:r>
        <w:rPr/>
      </w:r>
      <w:hyperlink w:history="true" w:anchor="_bookmark1623">
        <w:r>
          <w:rPr>
            <w:color w:val="005DA1"/>
            <w:spacing w:val="-4"/>
            <w:position w:val="5"/>
            <w:sz w:val="14"/>
            <w:u w:val="single" w:color="005DA1"/>
          </w:rPr>
          <w:t>869</w:t>
        </w:r>
      </w:hyperlink>
      <w:r>
        <w:rPr>
          <w:spacing w:val="-4"/>
          <w:position w:val="5"/>
          <w:sz w:val="14"/>
        </w:rPr>
        <w:t>.</w:t>
      </w:r>
      <w:r>
        <w:rPr>
          <w:position w:val="5"/>
          <w:sz w:val="14"/>
        </w:rPr>
        <w:tab/>
      </w:r>
      <w:r>
        <w:rPr>
          <w:rFonts w:ascii="Arial"/>
          <w:i/>
          <w:sz w:val="20"/>
        </w:rPr>
        <w:t>Bence</w:t>
      </w:r>
      <w:r>
        <w:rPr>
          <w:rFonts w:ascii="Arial"/>
          <w:i/>
          <w:spacing w:val="-1"/>
          <w:sz w:val="20"/>
        </w:rPr>
        <w:t> </w:t>
      </w:r>
      <w:r>
        <w:rPr>
          <w:rFonts w:ascii="Arial"/>
          <w:i/>
          <w:sz w:val="20"/>
        </w:rPr>
        <w:t>Graphics International Ltd v Fasson UK Ltd [1998] Q.B. 87</w:t>
      </w:r>
      <w:r>
        <w:rPr>
          <w:sz w:val="20"/>
        </w:rPr>
        <w:t>, below, para.26-</w:t>
      </w:r>
      <w:r>
        <w:rPr>
          <w:spacing w:val="-4"/>
          <w:sz w:val="20"/>
        </w:rPr>
        <w:t>159.</w:t>
      </w:r>
    </w:p>
    <w:p>
      <w:pPr>
        <w:pStyle w:val="BodyText"/>
        <w:spacing w:before="5"/>
      </w:pPr>
    </w:p>
    <w:p>
      <w:pPr>
        <w:tabs>
          <w:tab w:pos="705" w:val="left" w:leader="none"/>
        </w:tabs>
        <w:spacing w:before="0"/>
        <w:ind w:left="165" w:right="0" w:firstLine="0"/>
        <w:jc w:val="left"/>
        <w:rPr>
          <w:sz w:val="20"/>
        </w:rPr>
      </w:pPr>
      <w:bookmarkStart w:name="_bookmark1666" w:id="1668"/>
      <w:bookmarkEnd w:id="1668"/>
      <w:r>
        <w:rPr/>
      </w:r>
      <w:hyperlink w:history="true" w:anchor="_bookmark1624">
        <w:r>
          <w:rPr>
            <w:color w:val="005DA1"/>
            <w:spacing w:val="-4"/>
            <w:position w:val="5"/>
            <w:sz w:val="14"/>
            <w:u w:val="single" w:color="005DA1"/>
          </w:rPr>
          <w:t>870</w:t>
        </w:r>
      </w:hyperlink>
      <w:r>
        <w:rPr>
          <w:spacing w:val="-4"/>
          <w:position w:val="5"/>
          <w:sz w:val="14"/>
        </w:rPr>
        <w:t>.</w:t>
      </w:r>
      <w:r>
        <w:rPr>
          <w:position w:val="5"/>
          <w:sz w:val="14"/>
        </w:rPr>
        <w:tab/>
      </w:r>
      <w:r>
        <w:rPr>
          <w:sz w:val="20"/>
        </w:rPr>
        <w:t>cf.</w:t>
      </w:r>
      <w:r>
        <w:rPr>
          <w:spacing w:val="-1"/>
          <w:sz w:val="20"/>
        </w:rPr>
        <w:t> </w:t>
      </w:r>
      <w:r>
        <w:rPr>
          <w:rFonts w:ascii="Arial"/>
          <w:i/>
          <w:sz w:val="20"/>
        </w:rPr>
        <w:t>Joyner v Weeks [1891] 2 Q.B. 31, 34</w:t>
      </w:r>
      <w:r>
        <w:rPr>
          <w:sz w:val="20"/>
        </w:rPr>
        <w:t>; below, Vol.II, para.44-</w:t>
      </w:r>
      <w:r>
        <w:rPr>
          <w:spacing w:val="-4"/>
          <w:sz w:val="20"/>
        </w:rPr>
        <w:t>396.</w:t>
      </w:r>
    </w:p>
    <w:p>
      <w:pPr>
        <w:pStyle w:val="BodyText"/>
        <w:spacing w:before="8"/>
      </w:pPr>
    </w:p>
    <w:p>
      <w:pPr>
        <w:tabs>
          <w:tab w:pos="705" w:val="left" w:leader="none"/>
        </w:tabs>
        <w:spacing w:line="235" w:lineRule="auto" w:before="1"/>
        <w:ind w:left="705" w:right="168" w:hanging="541"/>
        <w:jc w:val="left"/>
        <w:rPr>
          <w:sz w:val="20"/>
        </w:rPr>
      </w:pPr>
      <w:bookmarkStart w:name="_bookmark1667" w:id="1669"/>
      <w:bookmarkEnd w:id="1669"/>
      <w:r>
        <w:rPr/>
      </w:r>
      <w:hyperlink w:history="true" w:anchor="_bookmark1625">
        <w:r>
          <w:rPr>
            <w:color w:val="005DA1"/>
            <w:spacing w:val="-4"/>
            <w:position w:val="5"/>
            <w:sz w:val="14"/>
            <w:u w:val="single" w:color="005DA1"/>
          </w:rPr>
          <w:t>871</w:t>
        </w:r>
      </w:hyperlink>
      <w:r>
        <w:rPr>
          <w:spacing w:val="-4"/>
          <w:position w:val="5"/>
          <w:sz w:val="14"/>
        </w:rPr>
        <w:t>.</w:t>
      </w:r>
      <w:r>
        <w:rPr>
          <w:position w:val="5"/>
          <w:sz w:val="14"/>
        </w:rPr>
        <w:tab/>
      </w:r>
      <w:r>
        <w:rPr>
          <w:rFonts w:ascii="Arial"/>
          <w:i/>
          <w:sz w:val="20"/>
        </w:rPr>
        <w:t>R</w:t>
      </w:r>
      <w:r>
        <w:rPr>
          <w:rFonts w:ascii="Arial"/>
          <w:i/>
          <w:spacing w:val="23"/>
          <w:sz w:val="20"/>
        </w:rPr>
        <w:t> </w:t>
      </w:r>
      <w:r>
        <w:rPr>
          <w:rFonts w:ascii="Arial"/>
          <w:i/>
          <w:sz w:val="20"/>
        </w:rPr>
        <w:t>Pagnan</w:t>
      </w:r>
      <w:r>
        <w:rPr>
          <w:rFonts w:ascii="Arial"/>
          <w:i/>
          <w:spacing w:val="23"/>
          <w:sz w:val="20"/>
        </w:rPr>
        <w:t> </w:t>
      </w:r>
      <w:r>
        <w:rPr>
          <w:rFonts w:ascii="Arial"/>
          <w:i/>
          <w:sz w:val="20"/>
        </w:rPr>
        <w:t>Fratelli</w:t>
      </w:r>
      <w:r>
        <w:rPr>
          <w:rFonts w:ascii="Arial"/>
          <w:i/>
          <w:spacing w:val="23"/>
          <w:sz w:val="20"/>
        </w:rPr>
        <w:t> </w:t>
      </w:r>
      <w:r>
        <w:rPr>
          <w:rFonts w:ascii="Arial"/>
          <w:i/>
          <w:sz w:val="20"/>
        </w:rPr>
        <w:t>v</w:t>
      </w:r>
      <w:r>
        <w:rPr>
          <w:rFonts w:ascii="Arial"/>
          <w:i/>
          <w:spacing w:val="23"/>
          <w:sz w:val="20"/>
        </w:rPr>
        <w:t> </w:t>
      </w:r>
      <w:r>
        <w:rPr>
          <w:rFonts w:ascii="Arial"/>
          <w:i/>
          <w:sz w:val="20"/>
        </w:rPr>
        <w:t>Corbisa</w:t>
      </w:r>
      <w:r>
        <w:rPr>
          <w:rFonts w:ascii="Arial"/>
          <w:i/>
          <w:spacing w:val="23"/>
          <w:sz w:val="20"/>
        </w:rPr>
        <w:t> </w:t>
      </w:r>
      <w:r>
        <w:rPr>
          <w:rFonts w:ascii="Arial"/>
          <w:i/>
          <w:sz w:val="20"/>
        </w:rPr>
        <w:t>Industrial</w:t>
      </w:r>
      <w:r>
        <w:rPr>
          <w:rFonts w:ascii="Arial"/>
          <w:i/>
          <w:spacing w:val="23"/>
          <w:sz w:val="20"/>
        </w:rPr>
        <w:t> </w:t>
      </w:r>
      <w:r>
        <w:rPr>
          <w:rFonts w:ascii="Arial"/>
          <w:i/>
          <w:sz w:val="20"/>
        </w:rPr>
        <w:t>Agropacuaria</w:t>
      </w:r>
      <w:r>
        <w:rPr>
          <w:rFonts w:ascii="Arial"/>
          <w:i/>
          <w:spacing w:val="23"/>
          <w:sz w:val="20"/>
        </w:rPr>
        <w:t> </w:t>
      </w:r>
      <w:r>
        <w:rPr>
          <w:rFonts w:ascii="Arial"/>
          <w:i/>
          <w:sz w:val="20"/>
        </w:rPr>
        <w:t>[1970]</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1306</w:t>
      </w:r>
      <w:r>
        <w:rPr>
          <w:sz w:val="20"/>
        </w:rPr>
        <w:t>;</w:t>
      </w:r>
      <w:r>
        <w:rPr>
          <w:spacing w:val="23"/>
          <w:sz w:val="20"/>
        </w:rPr>
        <w:t> </w:t>
      </w:r>
      <w:r>
        <w:rPr>
          <w:sz w:val="20"/>
        </w:rPr>
        <w:t>see</w:t>
      </w:r>
      <w:r>
        <w:rPr>
          <w:spacing w:val="23"/>
          <w:sz w:val="20"/>
        </w:rPr>
        <w:t> </w:t>
      </w:r>
      <w:r>
        <w:rPr>
          <w:sz w:val="20"/>
        </w:rPr>
        <w:t>below,</w:t>
      </w:r>
      <w:r>
        <w:rPr>
          <w:spacing w:val="23"/>
          <w:sz w:val="20"/>
        </w:rPr>
        <w:t> </w:t>
      </w:r>
      <w:r>
        <w:rPr>
          <w:sz w:val="20"/>
        </w:rPr>
        <w:t>Vol.II, </w:t>
      </w:r>
      <w:r>
        <w:rPr>
          <w:spacing w:val="-2"/>
          <w:sz w:val="20"/>
        </w:rPr>
        <w:t>para.44-396.</w:t>
      </w:r>
    </w:p>
    <w:p>
      <w:pPr>
        <w:pStyle w:val="BodyText"/>
        <w:spacing w:before="5"/>
      </w:pPr>
    </w:p>
    <w:p>
      <w:pPr>
        <w:pStyle w:val="BodyText"/>
        <w:tabs>
          <w:tab w:pos="705" w:val="left" w:leader="none"/>
        </w:tabs>
        <w:ind w:left="165"/>
      </w:pPr>
      <w:bookmarkStart w:name="_bookmark1668" w:id="1670"/>
      <w:bookmarkEnd w:id="1670"/>
      <w:r>
        <w:rPr/>
      </w:r>
      <w:hyperlink w:history="true" w:anchor="_bookmark1626">
        <w:r>
          <w:rPr>
            <w:color w:val="005DA1"/>
            <w:spacing w:val="-4"/>
            <w:position w:val="5"/>
            <w:sz w:val="14"/>
            <w:u w:val="single" w:color="005DA1"/>
          </w:rPr>
          <w:t>872</w:t>
        </w:r>
      </w:hyperlink>
      <w:r>
        <w:rPr>
          <w:spacing w:val="-4"/>
          <w:position w:val="5"/>
          <w:sz w:val="14"/>
        </w:rPr>
        <w:t>.</w:t>
      </w:r>
      <w:r>
        <w:rPr>
          <w:position w:val="5"/>
          <w:sz w:val="14"/>
        </w:rPr>
        <w:tab/>
      </w:r>
      <w:r>
        <w:rPr/>
        <w:t>See</w:t>
      </w:r>
      <w:r>
        <w:rPr>
          <w:spacing w:val="-2"/>
        </w:rPr>
        <w:t> </w:t>
      </w:r>
      <w:r>
        <w:rPr/>
        <w:t>Vol.II, para.44-</w:t>
      </w:r>
      <w:r>
        <w:rPr>
          <w:spacing w:val="-4"/>
        </w:rPr>
        <w:t>397.</w:t>
      </w:r>
    </w:p>
    <w:p>
      <w:pPr>
        <w:pStyle w:val="BodyText"/>
        <w:spacing w:before="5"/>
      </w:pPr>
    </w:p>
    <w:p>
      <w:pPr>
        <w:pStyle w:val="BodyText"/>
        <w:tabs>
          <w:tab w:pos="705" w:val="left" w:leader="none"/>
        </w:tabs>
        <w:ind w:left="165"/>
      </w:pPr>
      <w:bookmarkStart w:name="_bookmark1669" w:id="1671"/>
      <w:bookmarkEnd w:id="1671"/>
      <w:r>
        <w:rPr/>
      </w:r>
      <w:hyperlink w:history="true" w:anchor="_bookmark1627">
        <w:r>
          <w:rPr>
            <w:color w:val="005DA1"/>
            <w:spacing w:val="-4"/>
            <w:position w:val="5"/>
            <w:sz w:val="14"/>
            <w:u w:val="single" w:color="005DA1"/>
          </w:rPr>
          <w:t>873</w:t>
        </w:r>
      </w:hyperlink>
      <w:r>
        <w:rPr>
          <w:spacing w:val="-4"/>
          <w:position w:val="5"/>
          <w:sz w:val="14"/>
        </w:rPr>
        <w:t>.</w:t>
      </w:r>
      <w:r>
        <w:rPr>
          <w:position w:val="5"/>
          <w:sz w:val="14"/>
        </w:rPr>
        <w:tab/>
      </w:r>
      <w:r>
        <w:rPr/>
        <w:t>cf. above, para.26-154 </w:t>
      </w:r>
      <w:r>
        <w:rPr>
          <w:spacing w:val="-2"/>
        </w:rPr>
        <w:t>n.784.</w:t>
      </w:r>
    </w:p>
    <w:p>
      <w:pPr>
        <w:pStyle w:val="BodyText"/>
        <w:spacing w:before="9"/>
      </w:pPr>
    </w:p>
    <w:p>
      <w:pPr>
        <w:pStyle w:val="BodyText"/>
        <w:spacing w:line="235" w:lineRule="auto"/>
        <w:ind w:left="705" w:right="167" w:hanging="541"/>
        <w:jc w:val="both"/>
        <w:rPr>
          <w:rFonts w:ascii="Arial" w:hAnsi="Arial"/>
          <w:i/>
        </w:rPr>
      </w:pPr>
      <w:bookmarkStart w:name="_bookmark1670" w:id="1672"/>
      <w:bookmarkEnd w:id="1672"/>
      <w:r>
        <w:rPr/>
      </w:r>
      <w:hyperlink w:history="true" w:anchor="_bookmark1628">
        <w:r>
          <w:rPr>
            <w:color w:val="005DA1"/>
            <w:position w:val="5"/>
            <w:sz w:val="14"/>
            <w:u w:val="single" w:color="005DA1"/>
          </w:rPr>
          <w:t>874</w:t>
        </w:r>
      </w:hyperlink>
      <w:r>
        <w:rPr>
          <w:position w:val="5"/>
          <w:sz w:val="14"/>
        </w:rPr>
        <w:t>.</w:t>
      </w:r>
      <w:r>
        <w:rPr>
          <w:spacing w:val="80"/>
          <w:position w:val="5"/>
          <w:sz w:val="14"/>
        </w:rPr>
        <w:t>  </w:t>
      </w:r>
      <w:r>
        <w:rPr/>
        <w:t>If the market price has risen, the buyer will normally be expected to avoid losing a profitable</w:t>
      </w:r>
      <w:r>
        <w:rPr>
          <w:spacing w:val="40"/>
        </w:rPr>
        <w:t> </w:t>
      </w:r>
      <w:r>
        <w:rPr/>
        <w:t>sub-sale</w:t>
      </w:r>
      <w:r>
        <w:rPr>
          <w:spacing w:val="40"/>
        </w:rPr>
        <w:t> </w:t>
      </w:r>
      <w:r>
        <w:rPr/>
        <w:t>by</w:t>
      </w:r>
      <w:r>
        <w:rPr>
          <w:spacing w:val="40"/>
        </w:rPr>
        <w:t> </w:t>
      </w:r>
      <w:r>
        <w:rPr/>
        <w:t>purchasing</w:t>
      </w:r>
      <w:r>
        <w:rPr>
          <w:spacing w:val="40"/>
        </w:rPr>
        <w:t> </w:t>
      </w:r>
      <w:r>
        <w:rPr/>
        <w:t>in</w:t>
      </w:r>
      <w:r>
        <w:rPr>
          <w:spacing w:val="40"/>
        </w:rPr>
        <w:t> </w:t>
      </w:r>
      <w:r>
        <w:rPr/>
        <w:t>the</w:t>
      </w:r>
      <w:r>
        <w:rPr>
          <w:spacing w:val="40"/>
        </w:rPr>
        <w:t> </w:t>
      </w:r>
      <w:r>
        <w:rPr/>
        <w:t>market.</w:t>
      </w:r>
      <w:r>
        <w:rPr>
          <w:spacing w:val="40"/>
        </w:rPr>
        <w:t> </w:t>
      </w:r>
      <w:r>
        <w:rPr/>
        <w:t>This</w:t>
      </w:r>
      <w:r>
        <w:rPr>
          <w:spacing w:val="40"/>
        </w:rPr>
        <w:t> </w:t>
      </w:r>
      <w:r>
        <w:rPr/>
        <w:t>will</w:t>
      </w:r>
      <w:r>
        <w:rPr>
          <w:spacing w:val="40"/>
        </w:rPr>
        <w:t> </w:t>
      </w:r>
      <w:r>
        <w:rPr/>
        <w:t>not</w:t>
      </w:r>
      <w:r>
        <w:rPr>
          <w:spacing w:val="40"/>
        </w:rPr>
        <w:t> </w:t>
      </w:r>
      <w:r>
        <w:rPr/>
        <w:t>be</w:t>
      </w:r>
      <w:r>
        <w:rPr>
          <w:spacing w:val="40"/>
        </w:rPr>
        <w:t> </w:t>
      </w:r>
      <w:r>
        <w:rPr/>
        <w:t>possible</w:t>
      </w:r>
      <w:r>
        <w:rPr>
          <w:spacing w:val="40"/>
        </w:rPr>
        <w:t> </w:t>
      </w:r>
      <w:r>
        <w:rPr/>
        <w:t>if</w:t>
      </w:r>
      <w:r>
        <w:rPr>
          <w:spacing w:val="40"/>
        </w:rPr>
        <w:t> </w:t>
      </w:r>
      <w:r>
        <w:rPr/>
        <w:t>the</w:t>
      </w:r>
      <w:r>
        <w:rPr>
          <w:spacing w:val="40"/>
        </w:rPr>
        <w:t> </w:t>
      </w:r>
      <w:r>
        <w:rPr/>
        <w:t>re-sale</w:t>
      </w:r>
      <w:r>
        <w:rPr>
          <w:spacing w:val="40"/>
        </w:rPr>
        <w:t> </w:t>
      </w:r>
      <w:r>
        <w:rPr/>
        <w:t>was</w:t>
      </w:r>
      <w:r>
        <w:rPr>
          <w:spacing w:val="40"/>
        </w:rPr>
        <w:t> </w:t>
      </w:r>
      <w:r>
        <w:rPr/>
        <w:t>of</w:t>
      </w:r>
      <w:r>
        <w:rPr>
          <w:spacing w:val="40"/>
        </w:rPr>
        <w:t> </w:t>
      </w:r>
      <w:r>
        <w:rPr/>
        <w:t>the self-same goods: if that was contemplated by the parties, the seller might be liable for the buyer’s</w:t>
      </w:r>
      <w:r>
        <w:rPr>
          <w:spacing w:val="17"/>
        </w:rPr>
        <w:t> </w:t>
      </w:r>
      <w:r>
        <w:rPr/>
        <w:t>loss</w:t>
      </w:r>
      <w:r>
        <w:rPr>
          <w:spacing w:val="17"/>
        </w:rPr>
        <w:t> </w:t>
      </w:r>
      <w:r>
        <w:rPr/>
        <w:t>of</w:t>
      </w:r>
      <w:r>
        <w:rPr>
          <w:spacing w:val="17"/>
        </w:rPr>
        <w:t> </w:t>
      </w:r>
      <w:r>
        <w:rPr/>
        <w:t>profit,</w:t>
      </w:r>
      <w:r>
        <w:rPr>
          <w:spacing w:val="17"/>
        </w:rPr>
        <w:t> </w:t>
      </w:r>
      <w:r>
        <w:rPr/>
        <w:t>cf.</w:t>
      </w:r>
      <w:r>
        <w:rPr>
          <w:spacing w:val="17"/>
        </w:rPr>
        <w:t> </w:t>
      </w:r>
      <w:r>
        <w:rPr>
          <w:rFonts w:ascii="Arial" w:hAnsi="Arial"/>
          <w:i/>
        </w:rPr>
        <w:t>Re</w:t>
      </w:r>
      <w:r>
        <w:rPr>
          <w:rFonts w:ascii="Arial" w:hAnsi="Arial"/>
          <w:i/>
          <w:spacing w:val="17"/>
        </w:rPr>
        <w:t> </w:t>
      </w:r>
      <w:r>
        <w:rPr>
          <w:rFonts w:ascii="Arial" w:hAnsi="Arial"/>
          <w:i/>
        </w:rPr>
        <w:t>R</w:t>
      </w:r>
      <w:r>
        <w:rPr>
          <w:rFonts w:ascii="Arial" w:hAnsi="Arial"/>
          <w:i/>
          <w:spacing w:val="17"/>
        </w:rPr>
        <w:t> </w:t>
      </w:r>
      <w:r>
        <w:rPr>
          <w:rFonts w:ascii="Arial" w:hAnsi="Arial"/>
          <w:i/>
        </w:rPr>
        <w:t>and</w:t>
      </w:r>
      <w:r>
        <w:rPr>
          <w:rFonts w:ascii="Arial" w:hAnsi="Arial"/>
          <w:i/>
          <w:spacing w:val="17"/>
        </w:rPr>
        <w:t> </w:t>
      </w:r>
      <w:r>
        <w:rPr>
          <w:rFonts w:ascii="Arial" w:hAnsi="Arial"/>
          <w:i/>
        </w:rPr>
        <w:t>H</w:t>
      </w:r>
      <w:r>
        <w:rPr>
          <w:rFonts w:ascii="Arial" w:hAnsi="Arial"/>
          <w:i/>
          <w:spacing w:val="17"/>
        </w:rPr>
        <w:t> </w:t>
      </w:r>
      <w:r>
        <w:rPr>
          <w:rFonts w:ascii="Arial" w:hAnsi="Arial"/>
          <w:i/>
        </w:rPr>
        <w:t>Hall</w:t>
      </w:r>
      <w:r>
        <w:rPr>
          <w:rFonts w:ascii="Arial" w:hAnsi="Arial"/>
          <w:i/>
          <w:spacing w:val="17"/>
        </w:rPr>
        <w:t> </w:t>
      </w:r>
      <w:r>
        <w:rPr>
          <w:rFonts w:ascii="Arial" w:hAnsi="Arial"/>
          <w:i/>
        </w:rPr>
        <w:t>Ltd</w:t>
      </w:r>
      <w:r>
        <w:rPr>
          <w:rFonts w:ascii="Arial" w:hAnsi="Arial"/>
          <w:i/>
          <w:spacing w:val="17"/>
        </w:rPr>
        <w:t> </w:t>
      </w:r>
      <w:r>
        <w:rPr>
          <w:rFonts w:ascii="Arial" w:hAnsi="Arial"/>
          <w:i/>
        </w:rPr>
        <w:t>and</w:t>
      </w:r>
      <w:r>
        <w:rPr>
          <w:rFonts w:ascii="Arial" w:hAnsi="Arial"/>
          <w:i/>
          <w:spacing w:val="17"/>
        </w:rPr>
        <w:t> </w:t>
      </w:r>
      <w:r>
        <w:rPr>
          <w:rFonts w:ascii="Arial" w:hAnsi="Arial"/>
          <w:i/>
        </w:rPr>
        <w:t>WH</w:t>
      </w:r>
      <w:r>
        <w:rPr>
          <w:rFonts w:ascii="Arial" w:hAnsi="Arial"/>
          <w:i/>
          <w:spacing w:val="17"/>
        </w:rPr>
        <w:t> </w:t>
      </w:r>
      <w:r>
        <w:rPr>
          <w:rFonts w:ascii="Arial" w:hAnsi="Arial"/>
          <w:i/>
        </w:rPr>
        <w:t>Pim</w:t>
      </w:r>
      <w:r>
        <w:rPr>
          <w:rFonts w:ascii="Arial" w:hAnsi="Arial"/>
          <w:i/>
          <w:spacing w:val="17"/>
        </w:rPr>
        <w:t> </w:t>
      </w:r>
      <w:r>
        <w:rPr>
          <w:rFonts w:ascii="Arial" w:hAnsi="Arial"/>
          <w:i/>
        </w:rPr>
        <w:t>(Junior)</w:t>
      </w:r>
      <w:r>
        <w:rPr>
          <w:rFonts w:ascii="Arial" w:hAnsi="Arial"/>
          <w:i/>
          <w:spacing w:val="17"/>
        </w:rPr>
        <w:t> </w:t>
      </w:r>
      <w:r>
        <w:rPr>
          <w:rFonts w:ascii="Arial" w:hAnsi="Arial"/>
          <w:i/>
        </w:rPr>
        <w:t>Co’s</w:t>
      </w:r>
      <w:r>
        <w:rPr>
          <w:rFonts w:ascii="Arial" w:hAnsi="Arial"/>
          <w:i/>
          <w:spacing w:val="17"/>
        </w:rPr>
        <w:t> </w:t>
      </w:r>
      <w:r>
        <w:rPr>
          <w:rFonts w:ascii="Arial" w:hAnsi="Arial"/>
          <w:i/>
        </w:rPr>
        <w:t>Arbitration</w:t>
      </w:r>
      <w:r>
        <w:rPr>
          <w:rFonts w:ascii="Arial" w:hAnsi="Arial"/>
          <w:i/>
          <w:spacing w:val="17"/>
        </w:rPr>
        <w:t> </w:t>
      </w:r>
      <w:r>
        <w:rPr>
          <w:rFonts w:ascii="Arial" w:hAnsi="Arial"/>
          <w:i/>
        </w:rPr>
        <w:t>[1928]</w:t>
      </w:r>
      <w:r>
        <w:rPr>
          <w:rFonts w:ascii="Arial" w:hAnsi="Arial"/>
          <w:i/>
          <w:spacing w:val="17"/>
        </w:rPr>
        <w:t> </w:t>
      </w:r>
      <w:r>
        <w:rPr>
          <w:rFonts w:ascii="Arial" w:hAnsi="Arial"/>
          <w:i/>
          <w:spacing w:val="-5"/>
        </w:rPr>
        <w:t>All</w:t>
      </w:r>
    </w:p>
    <w:p>
      <w:pPr>
        <w:spacing w:line="225" w:lineRule="exact" w:before="0"/>
        <w:ind w:left="705" w:right="0" w:firstLine="0"/>
        <w:jc w:val="both"/>
        <w:rPr>
          <w:sz w:val="20"/>
        </w:rPr>
      </w:pPr>
      <w:r>
        <w:rPr>
          <w:rFonts w:ascii="Arial"/>
          <w:i/>
          <w:sz w:val="20"/>
        </w:rPr>
        <w:t>E.R.</w:t>
      </w:r>
      <w:r>
        <w:rPr>
          <w:rFonts w:ascii="Arial"/>
          <w:i/>
          <w:spacing w:val="-1"/>
          <w:sz w:val="20"/>
        </w:rPr>
        <w:t> </w:t>
      </w:r>
      <w:r>
        <w:rPr>
          <w:rFonts w:ascii="Arial"/>
          <w:i/>
          <w:sz w:val="20"/>
        </w:rPr>
        <w:t>Rep. 763</w:t>
      </w:r>
      <w:r>
        <w:rPr>
          <w:sz w:val="20"/>
        </w:rPr>
        <w:t>, above, para.26-</w:t>
      </w:r>
      <w:r>
        <w:rPr>
          <w:spacing w:val="-4"/>
          <w:sz w:val="20"/>
        </w:rPr>
        <w:t>154.</w:t>
      </w:r>
    </w:p>
    <w:p>
      <w:pPr>
        <w:pStyle w:val="BodyText"/>
        <w:spacing w:before="9"/>
      </w:pPr>
    </w:p>
    <w:p>
      <w:pPr>
        <w:tabs>
          <w:tab w:pos="705" w:val="left" w:leader="none"/>
        </w:tabs>
        <w:spacing w:line="235" w:lineRule="auto" w:before="0"/>
        <w:ind w:left="705" w:right="168" w:hanging="541"/>
        <w:jc w:val="left"/>
        <w:rPr>
          <w:sz w:val="20"/>
        </w:rPr>
      </w:pPr>
      <w:bookmarkStart w:name="_bookmark1671" w:id="1673"/>
      <w:bookmarkEnd w:id="1673"/>
      <w:r>
        <w:rPr/>
      </w:r>
      <w:hyperlink w:history="true" w:anchor="_bookmark1629">
        <w:r>
          <w:rPr>
            <w:color w:val="005DA1"/>
            <w:spacing w:val="-4"/>
            <w:position w:val="5"/>
            <w:sz w:val="14"/>
            <w:u w:val="single" w:color="005DA1"/>
          </w:rPr>
          <w:t>875</w:t>
        </w:r>
      </w:hyperlink>
      <w:r>
        <w:rPr>
          <w:spacing w:val="-4"/>
          <w:position w:val="5"/>
          <w:sz w:val="14"/>
        </w:rPr>
        <w:t>.</w:t>
      </w:r>
      <w:r>
        <w:rPr>
          <w:position w:val="5"/>
          <w:sz w:val="14"/>
        </w:rPr>
        <w:tab/>
      </w:r>
      <w:r>
        <w:rPr>
          <w:sz w:val="20"/>
        </w:rPr>
        <w:t>e.g.</w:t>
      </w:r>
      <w:r>
        <w:rPr>
          <w:spacing w:val="68"/>
          <w:sz w:val="20"/>
        </w:rPr>
        <w:t> </w:t>
      </w:r>
      <w:r>
        <w:rPr>
          <w:rFonts w:ascii="Arial" w:hAnsi="Arial"/>
          <w:i/>
          <w:sz w:val="20"/>
        </w:rPr>
        <w:t>Addax</w:t>
      </w:r>
      <w:r>
        <w:rPr>
          <w:rFonts w:ascii="Arial" w:hAnsi="Arial"/>
          <w:i/>
          <w:spacing w:val="68"/>
          <w:sz w:val="20"/>
        </w:rPr>
        <w:t> </w:t>
      </w:r>
      <w:r>
        <w:rPr>
          <w:rFonts w:ascii="Arial" w:hAnsi="Arial"/>
          <w:i/>
          <w:sz w:val="20"/>
        </w:rPr>
        <w:t>Ltd</w:t>
      </w:r>
      <w:r>
        <w:rPr>
          <w:rFonts w:ascii="Arial" w:hAnsi="Arial"/>
          <w:i/>
          <w:spacing w:val="68"/>
          <w:sz w:val="20"/>
        </w:rPr>
        <w:t> </w:t>
      </w:r>
      <w:r>
        <w:rPr>
          <w:rFonts w:ascii="Arial" w:hAnsi="Arial"/>
          <w:i/>
          <w:sz w:val="20"/>
        </w:rPr>
        <w:t>v</w:t>
      </w:r>
      <w:r>
        <w:rPr>
          <w:rFonts w:ascii="Arial" w:hAnsi="Arial"/>
          <w:i/>
          <w:spacing w:val="68"/>
          <w:sz w:val="20"/>
        </w:rPr>
        <w:t> </w:t>
      </w:r>
      <w:r>
        <w:rPr>
          <w:rFonts w:ascii="Arial" w:hAnsi="Arial"/>
          <w:i/>
          <w:sz w:val="20"/>
        </w:rPr>
        <w:t>Arcadia</w:t>
      </w:r>
      <w:r>
        <w:rPr>
          <w:rFonts w:ascii="Arial" w:hAnsi="Arial"/>
          <w:i/>
          <w:spacing w:val="68"/>
          <w:sz w:val="20"/>
        </w:rPr>
        <w:t> </w:t>
      </w:r>
      <w:r>
        <w:rPr>
          <w:rFonts w:ascii="Arial" w:hAnsi="Arial"/>
          <w:i/>
          <w:sz w:val="20"/>
        </w:rPr>
        <w:t>Petroleum</w:t>
      </w:r>
      <w:r>
        <w:rPr>
          <w:rFonts w:ascii="Arial" w:hAnsi="Arial"/>
          <w:i/>
          <w:spacing w:val="68"/>
          <w:sz w:val="20"/>
        </w:rPr>
        <w:t> </w:t>
      </w:r>
      <w:r>
        <w:rPr>
          <w:rFonts w:ascii="Arial" w:hAnsi="Arial"/>
          <w:i/>
          <w:sz w:val="20"/>
        </w:rPr>
        <w:t>Ltd</w:t>
      </w:r>
      <w:r>
        <w:rPr>
          <w:rFonts w:ascii="Arial" w:hAnsi="Arial"/>
          <w:i/>
          <w:spacing w:val="68"/>
          <w:sz w:val="20"/>
        </w:rPr>
        <w:t> </w:t>
      </w:r>
      <w:r>
        <w:rPr>
          <w:rFonts w:ascii="Arial" w:hAnsi="Arial"/>
          <w:i/>
          <w:sz w:val="20"/>
        </w:rPr>
        <w:t>[2000]</w:t>
      </w:r>
      <w:r>
        <w:rPr>
          <w:rFonts w:ascii="Arial" w:hAnsi="Arial"/>
          <w:i/>
          <w:spacing w:val="68"/>
          <w:sz w:val="20"/>
        </w:rPr>
        <w:t> </w:t>
      </w:r>
      <w:r>
        <w:rPr>
          <w:rFonts w:ascii="Arial" w:hAnsi="Arial"/>
          <w:i/>
          <w:sz w:val="20"/>
        </w:rPr>
        <w:t>1</w:t>
      </w:r>
      <w:r>
        <w:rPr>
          <w:rFonts w:ascii="Arial" w:hAnsi="Arial"/>
          <w:i/>
          <w:spacing w:val="68"/>
          <w:sz w:val="20"/>
        </w:rPr>
        <w:t> </w:t>
      </w:r>
      <w:r>
        <w:rPr>
          <w:rFonts w:ascii="Arial" w:hAnsi="Arial"/>
          <w:i/>
          <w:sz w:val="20"/>
        </w:rPr>
        <w:t>Lloyd’s</w:t>
      </w:r>
      <w:r>
        <w:rPr>
          <w:rFonts w:ascii="Arial" w:hAnsi="Arial"/>
          <w:i/>
          <w:spacing w:val="68"/>
          <w:sz w:val="20"/>
        </w:rPr>
        <w:t> </w:t>
      </w:r>
      <w:r>
        <w:rPr>
          <w:rFonts w:ascii="Arial" w:hAnsi="Arial"/>
          <w:i/>
          <w:sz w:val="20"/>
        </w:rPr>
        <w:t>Rep.</w:t>
      </w:r>
      <w:r>
        <w:rPr>
          <w:rFonts w:ascii="Arial" w:hAnsi="Arial"/>
          <w:i/>
          <w:spacing w:val="68"/>
          <w:sz w:val="20"/>
        </w:rPr>
        <w:t> </w:t>
      </w:r>
      <w:r>
        <w:rPr>
          <w:rFonts w:ascii="Arial" w:hAnsi="Arial"/>
          <w:i/>
          <w:sz w:val="20"/>
        </w:rPr>
        <w:t>493</w:t>
      </w:r>
      <w:r>
        <w:rPr>
          <w:sz w:val="20"/>
        </w:rPr>
        <w:t>.</w:t>
      </w:r>
      <w:r>
        <w:rPr>
          <w:spacing w:val="68"/>
          <w:sz w:val="20"/>
        </w:rPr>
        <w:t> </w:t>
      </w:r>
      <w:r>
        <w:rPr>
          <w:sz w:val="20"/>
        </w:rPr>
        <w:t>See</w:t>
      </w:r>
      <w:r>
        <w:rPr>
          <w:spacing w:val="68"/>
          <w:sz w:val="20"/>
        </w:rPr>
        <w:t> </w:t>
      </w:r>
      <w:r>
        <w:rPr>
          <w:sz w:val="20"/>
        </w:rPr>
        <w:t>below,</w:t>
      </w:r>
      <w:r>
        <w:rPr>
          <w:spacing w:val="68"/>
          <w:sz w:val="20"/>
        </w:rPr>
        <w:t> </w:t>
      </w:r>
      <w:r>
        <w:rPr>
          <w:sz w:val="20"/>
        </w:rPr>
        <w:t>Vol.II, </w:t>
      </w:r>
      <w:r>
        <w:rPr>
          <w:spacing w:val="-2"/>
          <w:sz w:val="20"/>
        </w:rPr>
        <w:t>para.44-406.</w:t>
      </w:r>
    </w:p>
    <w:p>
      <w:pPr>
        <w:pStyle w:val="BodyText"/>
        <w:spacing w:before="5"/>
      </w:pPr>
    </w:p>
    <w:p>
      <w:pPr>
        <w:tabs>
          <w:tab w:pos="705" w:val="left" w:leader="none"/>
        </w:tabs>
        <w:spacing w:before="0"/>
        <w:ind w:left="165" w:right="0" w:firstLine="0"/>
        <w:jc w:val="left"/>
        <w:rPr>
          <w:sz w:val="20"/>
        </w:rPr>
      </w:pPr>
      <w:bookmarkStart w:name="_bookmark1672" w:id="1674"/>
      <w:bookmarkEnd w:id="1674"/>
      <w:r>
        <w:rPr/>
      </w:r>
      <w:hyperlink w:history="true" w:anchor="_bookmark1630">
        <w:r>
          <w:rPr>
            <w:color w:val="005DA1"/>
            <w:spacing w:val="-4"/>
            <w:position w:val="5"/>
            <w:sz w:val="14"/>
            <w:u w:val="single" w:color="005DA1"/>
          </w:rPr>
          <w:t>876</w:t>
        </w:r>
      </w:hyperlink>
      <w:r>
        <w:rPr>
          <w:spacing w:val="-4"/>
          <w:position w:val="5"/>
          <w:sz w:val="14"/>
        </w:rPr>
        <w:t>.</w:t>
      </w:r>
      <w:r>
        <w:rPr>
          <w:position w:val="5"/>
          <w:sz w:val="14"/>
        </w:rPr>
        <w:tab/>
      </w:r>
      <w:r>
        <w:rPr>
          <w:rFonts w:ascii="Arial"/>
          <w:i/>
          <w:sz w:val="20"/>
        </w:rPr>
        <w:t>[1911]</w:t>
      </w:r>
      <w:r>
        <w:rPr>
          <w:rFonts w:ascii="Arial"/>
          <w:i/>
          <w:spacing w:val="-2"/>
          <w:sz w:val="20"/>
        </w:rPr>
        <w:t> </w:t>
      </w:r>
      <w:r>
        <w:rPr>
          <w:rFonts w:ascii="Arial"/>
          <w:i/>
          <w:sz w:val="20"/>
        </w:rPr>
        <w:t>A.C. </w:t>
      </w:r>
      <w:r>
        <w:rPr>
          <w:rFonts w:ascii="Arial"/>
          <w:i/>
          <w:spacing w:val="-4"/>
          <w:sz w:val="20"/>
        </w:rPr>
        <w:t>301</w:t>
      </w:r>
      <w:r>
        <w:rPr>
          <w:spacing w:val="-4"/>
          <w:sz w:val="20"/>
        </w:rPr>
        <w:t>.</w:t>
      </w:r>
    </w:p>
    <w:p>
      <w:pPr>
        <w:pStyle w:val="BodyText"/>
        <w:spacing w:before="9"/>
      </w:pPr>
    </w:p>
    <w:p>
      <w:pPr>
        <w:tabs>
          <w:tab w:pos="705" w:val="left" w:leader="none"/>
        </w:tabs>
        <w:spacing w:line="235" w:lineRule="auto" w:before="0"/>
        <w:ind w:left="705" w:right="174" w:hanging="541"/>
        <w:jc w:val="left"/>
        <w:rPr>
          <w:sz w:val="20"/>
        </w:rPr>
      </w:pPr>
      <w:bookmarkStart w:name="_bookmark1673" w:id="1675"/>
      <w:bookmarkEnd w:id="1675"/>
      <w:r>
        <w:rPr/>
      </w:r>
      <w:hyperlink w:history="true" w:anchor="_bookmark1631">
        <w:r>
          <w:rPr>
            <w:color w:val="005DA1"/>
            <w:spacing w:val="-4"/>
            <w:position w:val="5"/>
            <w:sz w:val="14"/>
            <w:u w:val="single" w:color="005DA1"/>
          </w:rPr>
          <w:t>877</w:t>
        </w:r>
      </w:hyperlink>
      <w:r>
        <w:rPr>
          <w:spacing w:val="-4"/>
          <w:position w:val="5"/>
          <w:sz w:val="14"/>
        </w:rPr>
        <w:t>.</w:t>
      </w:r>
      <w:r>
        <w:rPr>
          <w:position w:val="5"/>
          <w:sz w:val="14"/>
        </w:rPr>
        <w:tab/>
      </w:r>
      <w:r>
        <w:rPr>
          <w:sz w:val="20"/>
        </w:rPr>
        <w:t>Especially</w:t>
      </w:r>
      <w:r>
        <w:rPr>
          <w:spacing w:val="26"/>
          <w:sz w:val="20"/>
        </w:rPr>
        <w:t> </w:t>
      </w:r>
      <w:r>
        <w:rPr>
          <w:sz w:val="20"/>
        </w:rPr>
        <w:t>by</w:t>
      </w:r>
      <w:r>
        <w:rPr>
          <w:spacing w:val="26"/>
          <w:sz w:val="20"/>
        </w:rPr>
        <w:t> </w:t>
      </w:r>
      <w:r>
        <w:rPr>
          <w:sz w:val="20"/>
        </w:rPr>
        <w:t>Scrutton</w:t>
      </w:r>
      <w:r>
        <w:rPr>
          <w:spacing w:val="26"/>
          <w:sz w:val="20"/>
        </w:rPr>
        <w:t> </w:t>
      </w:r>
      <w:r>
        <w:rPr>
          <w:sz w:val="20"/>
        </w:rPr>
        <w:t>L.J.</w:t>
      </w:r>
      <w:r>
        <w:rPr>
          <w:spacing w:val="26"/>
          <w:sz w:val="20"/>
        </w:rPr>
        <w:t> </w:t>
      </w:r>
      <w:r>
        <w:rPr>
          <w:sz w:val="20"/>
        </w:rPr>
        <w:t>in</w:t>
      </w:r>
      <w:r>
        <w:rPr>
          <w:spacing w:val="25"/>
          <w:sz w:val="20"/>
        </w:rPr>
        <w:t> </w:t>
      </w:r>
      <w:r>
        <w:rPr>
          <w:rFonts w:ascii="Arial" w:hAnsi="Arial"/>
          <w:i/>
          <w:sz w:val="20"/>
        </w:rPr>
        <w:t>Slater</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Hoyle</w:t>
      </w:r>
      <w:r>
        <w:rPr>
          <w:rFonts w:ascii="Arial" w:hAnsi="Arial"/>
          <w:i/>
          <w:spacing w:val="26"/>
          <w:sz w:val="20"/>
        </w:rPr>
        <w:t> </w:t>
      </w:r>
      <w:r>
        <w:rPr>
          <w:rFonts w:ascii="Arial" w:hAnsi="Arial"/>
          <w:i/>
          <w:sz w:val="20"/>
        </w:rPr>
        <w:t>Smith</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[1920]</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K.B.</w:t>
      </w:r>
      <w:r>
        <w:rPr>
          <w:rFonts w:ascii="Arial" w:hAnsi="Arial"/>
          <w:i/>
          <w:spacing w:val="26"/>
          <w:sz w:val="20"/>
        </w:rPr>
        <w:t> </w:t>
      </w:r>
      <w:r>
        <w:rPr>
          <w:rFonts w:ascii="Arial" w:hAnsi="Arial"/>
          <w:i/>
          <w:sz w:val="20"/>
        </w:rPr>
        <w:t>11,</w:t>
      </w:r>
      <w:r>
        <w:rPr>
          <w:rFonts w:ascii="Arial" w:hAnsi="Arial"/>
          <w:i/>
          <w:spacing w:val="26"/>
          <w:sz w:val="20"/>
        </w:rPr>
        <w:t> </w:t>
      </w:r>
      <w:r>
        <w:rPr>
          <w:rFonts w:ascii="Arial" w:hAnsi="Arial"/>
          <w:i/>
          <w:sz w:val="20"/>
        </w:rPr>
        <w:t>23–24</w:t>
      </w:r>
      <w:r>
        <w:rPr>
          <w:sz w:val="20"/>
        </w:rPr>
        <w:t>.</w:t>
      </w:r>
      <w:r>
        <w:rPr>
          <w:spacing w:val="26"/>
          <w:sz w:val="20"/>
        </w:rPr>
        <w:t> </w:t>
      </w:r>
      <w:r>
        <w:rPr>
          <w:sz w:val="20"/>
        </w:rPr>
        <w:t>See</w:t>
      </w:r>
      <w:r>
        <w:rPr>
          <w:spacing w:val="26"/>
          <w:sz w:val="20"/>
        </w:rPr>
        <w:t> </w:t>
      </w:r>
      <w:r>
        <w:rPr>
          <w:sz w:val="20"/>
        </w:rPr>
        <w:t>below, Vol.II, para.44-407.</w:t>
      </w:r>
    </w:p>
    <w:p>
      <w:pPr>
        <w:spacing w:after="0" w:line="235" w:lineRule="auto"/>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632">
        <w:r>
          <w:rPr>
            <w:color w:val="005DA1"/>
            <w:spacing w:val="-4"/>
            <w:sz w:val="14"/>
            <w:u w:val="single" w:color="005DA1"/>
          </w:rPr>
          <w:t>878</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816192">
            <wp:simplePos x="0" y="0"/>
            <wp:positionH relativeFrom="page">
              <wp:posOffset>1257846</wp:posOffset>
            </wp:positionH>
            <wp:positionV relativeFrom="paragraph">
              <wp:posOffset>28443</wp:posOffset>
            </wp:positionV>
            <wp:extent cx="107988" cy="107988"/>
            <wp:effectExtent l="0" t="0" r="0" b="0"/>
            <wp:wrapNone/>
            <wp:docPr id="367" name="Image 367"/>
            <wp:cNvGraphicFramePr>
              <a:graphicFrameLocks/>
            </wp:cNvGraphicFramePr>
            <a:graphic>
              <a:graphicData uri="http://schemas.openxmlformats.org/drawingml/2006/picture">
                <pic:pic>
                  <pic:nvPicPr>
                    <pic:cNvPr id="367" name="Image 36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1"/>
          <w:sz w:val="20"/>
        </w:rPr>
        <w:t> </w:t>
      </w:r>
      <w:r>
        <w:rPr>
          <w:sz w:val="20"/>
        </w:rPr>
        <w:t>Peel,</w:t>
      </w:r>
      <w:r>
        <w:rPr>
          <w:spacing w:val="-1"/>
          <w:sz w:val="20"/>
        </w:rPr>
        <w:t> </w:t>
      </w:r>
      <w:r>
        <w:rPr>
          <w:rFonts w:ascii="Arial" w:hAnsi="Arial"/>
          <w:i/>
          <w:sz w:val="20"/>
        </w:rPr>
        <w:t>Treitel on The Law of Contract</w:t>
      </w:r>
      <w:r>
        <w:rPr>
          <w:sz w:val="20"/>
        </w:rPr>
        <w:t>, 14th edn (2015), </w:t>
      </w:r>
      <w:r>
        <w:rPr>
          <w:spacing w:val="-2"/>
          <w:sz w:val="20"/>
        </w:rPr>
        <w:t>para.20–049.</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spacing w:before="1"/>
        <w:ind w:left="165"/>
      </w:pPr>
      <w:bookmarkStart w:name="_bookmark1674" w:id="1676"/>
      <w:bookmarkEnd w:id="1676"/>
      <w:r>
        <w:rPr/>
      </w:r>
      <w:hyperlink w:history="true" w:anchor="_bookmark1633">
        <w:r>
          <w:rPr>
            <w:color w:val="005DA1"/>
            <w:spacing w:val="-4"/>
            <w:position w:val="5"/>
            <w:sz w:val="14"/>
            <w:u w:val="single" w:color="005DA1"/>
          </w:rPr>
          <w:t>879</w:t>
        </w:r>
      </w:hyperlink>
      <w:r>
        <w:rPr>
          <w:spacing w:val="-4"/>
          <w:position w:val="5"/>
          <w:sz w:val="14"/>
        </w:rPr>
        <w:t>.</w:t>
      </w:r>
      <w:r>
        <w:rPr>
          <w:position w:val="5"/>
          <w:sz w:val="14"/>
        </w:rPr>
        <w:tab/>
      </w:r>
      <w:r>
        <w:rPr/>
        <w:t>Sale of Goods Act 1979 s.53: see below, Vol.II, para.44-</w:t>
      </w:r>
      <w:r>
        <w:rPr>
          <w:spacing w:val="-4"/>
        </w:rPr>
        <w:t>411.</w:t>
      </w:r>
    </w:p>
    <w:p>
      <w:pPr>
        <w:pStyle w:val="BodyText"/>
        <w:spacing w:before="8"/>
      </w:pPr>
    </w:p>
    <w:p>
      <w:pPr>
        <w:pStyle w:val="BodyText"/>
        <w:tabs>
          <w:tab w:pos="705" w:val="left" w:leader="none"/>
        </w:tabs>
        <w:spacing w:line="235" w:lineRule="auto"/>
        <w:ind w:left="705" w:right="167" w:hanging="541"/>
      </w:pPr>
      <w:bookmarkStart w:name="_bookmark1675" w:id="1677"/>
      <w:bookmarkEnd w:id="1677"/>
      <w:r>
        <w:rPr/>
      </w:r>
      <w:hyperlink w:history="true" w:anchor="_bookmark1634">
        <w:r>
          <w:rPr>
            <w:color w:val="005DA1"/>
            <w:spacing w:val="-4"/>
            <w:position w:val="5"/>
            <w:sz w:val="14"/>
            <w:u w:val="single" w:color="005DA1"/>
          </w:rPr>
          <w:t>880</w:t>
        </w:r>
      </w:hyperlink>
      <w:r>
        <w:rPr>
          <w:spacing w:val="-4"/>
          <w:position w:val="5"/>
          <w:sz w:val="14"/>
        </w:rPr>
        <w:t>.</w:t>
      </w:r>
      <w:r>
        <w:rPr>
          <w:position w:val="5"/>
          <w:sz w:val="14"/>
        </w:rPr>
        <w:tab/>
      </w:r>
      <w:r>
        <w:rPr/>
        <w:t>If the buyer cannot obtain an exact substitute, an issue of “betterment” may arise: see </w:t>
      </w:r>
      <w:r>
        <w:rPr/>
        <w:t>above,</w:t>
      </w:r>
      <w:r>
        <w:rPr>
          <w:spacing w:val="40"/>
        </w:rPr>
        <w:t> </w:t>
      </w:r>
      <w:r>
        <w:rPr>
          <w:spacing w:val="-2"/>
        </w:rPr>
        <w:t>para.26-097.</w:t>
      </w:r>
    </w:p>
    <w:p>
      <w:pPr>
        <w:pStyle w:val="BodyText"/>
        <w:spacing w:before="6"/>
      </w:pPr>
    </w:p>
    <w:p>
      <w:pPr>
        <w:pStyle w:val="BodyText"/>
        <w:tabs>
          <w:tab w:pos="705" w:val="left" w:leader="none"/>
        </w:tabs>
        <w:ind w:left="165"/>
      </w:pPr>
      <w:bookmarkStart w:name="_bookmark1676" w:id="1678"/>
      <w:bookmarkEnd w:id="1678"/>
      <w:r>
        <w:rPr/>
      </w:r>
      <w:hyperlink w:history="true" w:anchor="_bookmark1635">
        <w:r>
          <w:rPr>
            <w:color w:val="005DA1"/>
            <w:spacing w:val="-4"/>
            <w:position w:val="5"/>
            <w:sz w:val="14"/>
            <w:u w:val="single" w:color="005DA1"/>
          </w:rPr>
          <w:t>881</w:t>
        </w:r>
      </w:hyperlink>
      <w:r>
        <w:rPr>
          <w:spacing w:val="-4"/>
          <w:position w:val="5"/>
          <w:sz w:val="14"/>
        </w:rPr>
        <w:t>.</w:t>
      </w:r>
      <w:r>
        <w:rPr>
          <w:position w:val="5"/>
          <w:sz w:val="14"/>
        </w:rPr>
        <w:tab/>
      </w:r>
      <w:r>
        <w:rPr/>
        <w:t>See</w:t>
      </w:r>
      <w:r>
        <w:rPr>
          <w:spacing w:val="-2"/>
        </w:rPr>
        <w:t> </w:t>
      </w:r>
      <w:r>
        <w:rPr/>
        <w:t>above, para.26-</w:t>
      </w:r>
      <w:r>
        <w:rPr>
          <w:spacing w:val="-4"/>
        </w:rPr>
        <w:t>036.</w:t>
      </w:r>
    </w:p>
    <w:p>
      <w:pPr>
        <w:pStyle w:val="BodyText"/>
        <w:spacing w:before="8"/>
      </w:pPr>
    </w:p>
    <w:p>
      <w:pPr>
        <w:tabs>
          <w:tab w:pos="705" w:val="left" w:leader="none"/>
        </w:tabs>
        <w:spacing w:line="235" w:lineRule="auto" w:before="1"/>
        <w:ind w:left="705" w:right="174" w:hanging="541"/>
        <w:jc w:val="left"/>
        <w:rPr>
          <w:sz w:val="20"/>
        </w:rPr>
      </w:pPr>
      <w:bookmarkStart w:name="_bookmark1677" w:id="1679"/>
      <w:bookmarkEnd w:id="1679"/>
      <w:r>
        <w:rPr/>
      </w:r>
      <w:hyperlink w:history="true" w:anchor="_bookmark1636">
        <w:r>
          <w:rPr>
            <w:color w:val="005DA1"/>
            <w:spacing w:val="-4"/>
            <w:position w:val="5"/>
            <w:sz w:val="14"/>
            <w:u w:val="single" w:color="005DA1"/>
          </w:rPr>
          <w:t>882</w:t>
        </w:r>
      </w:hyperlink>
      <w:r>
        <w:rPr>
          <w:spacing w:val="-4"/>
          <w:position w:val="5"/>
          <w:sz w:val="14"/>
        </w:rPr>
        <w:t>.</w:t>
      </w:r>
      <w:r>
        <w:rPr>
          <w:position w:val="5"/>
          <w:sz w:val="14"/>
        </w:rPr>
        <w:tab/>
      </w:r>
      <w:r>
        <w:rPr>
          <w:sz w:val="20"/>
        </w:rPr>
        <w:t>For</w:t>
      </w:r>
      <w:r>
        <w:rPr>
          <w:spacing w:val="-1"/>
          <w:sz w:val="20"/>
        </w:rPr>
        <w:t> </w:t>
      </w:r>
      <w:r>
        <w:rPr>
          <w:sz w:val="20"/>
        </w:rPr>
        <w:t>example,</w:t>
      </w:r>
      <w:r>
        <w:rPr>
          <w:spacing w:val="-1"/>
          <w:sz w:val="20"/>
        </w:rPr>
        <w:t> </w:t>
      </w:r>
      <w:r>
        <w:rPr>
          <w:sz w:val="20"/>
        </w:rPr>
        <w:t>if</w:t>
      </w:r>
      <w:r>
        <w:rPr>
          <w:spacing w:val="-1"/>
          <w:sz w:val="20"/>
        </w:rPr>
        <w:t> </w:t>
      </w:r>
      <w:r>
        <w:rPr>
          <w:sz w:val="20"/>
        </w:rPr>
        <w:t>the</w:t>
      </w:r>
      <w:r>
        <w:rPr>
          <w:spacing w:val="-1"/>
          <w:sz w:val="20"/>
        </w:rPr>
        <w:t> </w:t>
      </w:r>
      <w:r>
        <w:rPr>
          <w:sz w:val="20"/>
        </w:rPr>
        <w:t>seller</w:t>
      </w:r>
      <w:r>
        <w:rPr>
          <w:spacing w:val="-1"/>
          <w:sz w:val="20"/>
        </w:rPr>
        <w:t> </w:t>
      </w:r>
      <w:r>
        <w:rPr>
          <w:sz w:val="20"/>
        </w:rPr>
        <w:t>knew</w:t>
      </w:r>
      <w:r>
        <w:rPr>
          <w:spacing w:val="-1"/>
          <w:sz w:val="20"/>
        </w:rPr>
        <w:t> </w:t>
      </w:r>
      <w:r>
        <w:rPr>
          <w:sz w:val="20"/>
        </w:rPr>
        <w:t>that</w:t>
      </w:r>
      <w:r>
        <w:rPr>
          <w:spacing w:val="-1"/>
          <w:sz w:val="20"/>
        </w:rPr>
        <w:t> </w:t>
      </w:r>
      <w:r>
        <w:rPr>
          <w:sz w:val="20"/>
        </w:rPr>
        <w:t>the</w:t>
      </w:r>
      <w:r>
        <w:rPr>
          <w:spacing w:val="-1"/>
          <w:sz w:val="20"/>
        </w:rPr>
        <w:t> </w:t>
      </w:r>
      <w:r>
        <w:rPr>
          <w:sz w:val="20"/>
        </w:rPr>
        <w:t>buyer</w:t>
      </w:r>
      <w:r>
        <w:rPr>
          <w:spacing w:val="-1"/>
          <w:sz w:val="20"/>
        </w:rPr>
        <w:t> </w:t>
      </w:r>
      <w:r>
        <w:rPr>
          <w:sz w:val="20"/>
        </w:rPr>
        <w:t>would</w:t>
      </w:r>
      <w:r>
        <w:rPr>
          <w:spacing w:val="-1"/>
          <w:sz w:val="20"/>
        </w:rPr>
        <w:t> </w:t>
      </w:r>
      <w:r>
        <w:rPr>
          <w:sz w:val="20"/>
        </w:rPr>
        <w:t>re-sell</w:t>
      </w:r>
      <w:r>
        <w:rPr>
          <w:spacing w:val="-1"/>
          <w:sz w:val="20"/>
        </w:rPr>
        <w:t> </w:t>
      </w:r>
      <w:r>
        <w:rPr>
          <w:sz w:val="20"/>
        </w:rPr>
        <w:t>the</w:t>
      </w:r>
      <w:r>
        <w:rPr>
          <w:spacing w:val="-1"/>
          <w:sz w:val="20"/>
        </w:rPr>
        <w:t> </w:t>
      </w:r>
      <w:r>
        <w:rPr>
          <w:sz w:val="20"/>
        </w:rPr>
        <w:t>self-same</w:t>
      </w:r>
      <w:r>
        <w:rPr>
          <w:spacing w:val="-1"/>
          <w:sz w:val="20"/>
        </w:rPr>
        <w:t> </w:t>
      </w:r>
      <w:r>
        <w:rPr>
          <w:sz w:val="20"/>
        </w:rPr>
        <w:t>goods:</w:t>
      </w:r>
      <w:r>
        <w:rPr>
          <w:spacing w:val="-1"/>
          <w:sz w:val="20"/>
        </w:rPr>
        <w:t> </w:t>
      </w:r>
      <w:r>
        <w:rPr>
          <w:sz w:val="20"/>
        </w:rPr>
        <w:t>cf.</w:t>
      </w:r>
      <w:r>
        <w:rPr>
          <w:spacing w:val="-2"/>
          <w:sz w:val="20"/>
        </w:rPr>
        <w:t> </w:t>
      </w:r>
      <w:r>
        <w:rPr>
          <w:rFonts w:ascii="Arial" w:hAnsi="Arial"/>
          <w:i/>
          <w:sz w:val="20"/>
        </w:rPr>
        <w:t>Re</w:t>
      </w:r>
      <w:r>
        <w:rPr>
          <w:rFonts w:ascii="Arial" w:hAnsi="Arial"/>
          <w:i/>
          <w:spacing w:val="-1"/>
          <w:sz w:val="20"/>
        </w:rPr>
        <w:t> </w:t>
      </w:r>
      <w:r>
        <w:rPr>
          <w:rFonts w:ascii="Arial" w:hAnsi="Arial"/>
          <w:i/>
          <w:sz w:val="20"/>
        </w:rPr>
        <w:t>R</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H Hall Ltd and WH Pim (Junior) Co’s Arbitration [1928] All E.R. Rep. 763</w:t>
      </w:r>
      <w:r>
        <w:rPr>
          <w:sz w:val="20"/>
        </w:rPr>
        <w:t>, above, para.26-154.</w:t>
      </w:r>
    </w:p>
    <w:p>
      <w:pPr>
        <w:pStyle w:val="BodyText"/>
        <w:spacing w:before="5"/>
      </w:pPr>
    </w:p>
    <w:p>
      <w:pPr>
        <w:tabs>
          <w:tab w:pos="705" w:val="left" w:leader="none"/>
        </w:tabs>
        <w:spacing w:before="0"/>
        <w:ind w:left="165" w:right="0" w:firstLine="0"/>
        <w:jc w:val="left"/>
        <w:rPr>
          <w:sz w:val="20"/>
        </w:rPr>
      </w:pPr>
      <w:bookmarkStart w:name="_bookmark1678" w:id="1680"/>
      <w:bookmarkEnd w:id="1680"/>
      <w:r>
        <w:rPr/>
      </w:r>
      <w:hyperlink w:history="true" w:anchor="_bookmark1637">
        <w:r>
          <w:rPr>
            <w:color w:val="005DA1"/>
            <w:spacing w:val="-4"/>
            <w:position w:val="5"/>
            <w:sz w:val="14"/>
            <w:u w:val="single" w:color="005DA1"/>
          </w:rPr>
          <w:t>883</w:t>
        </w:r>
      </w:hyperlink>
      <w:r>
        <w:rPr>
          <w:spacing w:val="-4"/>
          <w:position w:val="5"/>
          <w:sz w:val="14"/>
        </w:rPr>
        <w:t>.</w:t>
      </w:r>
      <w:r>
        <w:rPr>
          <w:position w:val="5"/>
          <w:sz w:val="14"/>
        </w:rPr>
        <w:tab/>
      </w:r>
      <w:r>
        <w:rPr>
          <w:rFonts w:ascii="Arial"/>
          <w:i/>
          <w:sz w:val="20"/>
        </w:rPr>
        <w:t>Slater v Hoyle Smith Ltd [1920] 2 K.B. </w:t>
      </w:r>
      <w:r>
        <w:rPr>
          <w:rFonts w:ascii="Arial"/>
          <w:i/>
          <w:spacing w:val="-5"/>
          <w:sz w:val="20"/>
        </w:rPr>
        <w:t>11</w:t>
      </w:r>
      <w:r>
        <w:rPr>
          <w:spacing w:val="-5"/>
          <w:sz w:val="20"/>
        </w:rPr>
        <w:t>.</w:t>
      </w:r>
    </w:p>
    <w:p>
      <w:pPr>
        <w:pStyle w:val="BodyText"/>
        <w:spacing w:before="9"/>
      </w:pPr>
    </w:p>
    <w:p>
      <w:pPr>
        <w:spacing w:line="235" w:lineRule="auto" w:before="0"/>
        <w:ind w:left="705" w:right="167" w:hanging="541"/>
        <w:jc w:val="both"/>
        <w:rPr>
          <w:sz w:val="20"/>
        </w:rPr>
      </w:pPr>
      <w:bookmarkStart w:name="_bookmark1679" w:id="1681"/>
      <w:bookmarkEnd w:id="1681"/>
      <w:r>
        <w:rPr/>
      </w:r>
      <w:hyperlink w:history="true" w:anchor="_bookmark1638">
        <w:r>
          <w:rPr>
            <w:color w:val="005DA1"/>
            <w:position w:val="5"/>
            <w:sz w:val="14"/>
            <w:u w:val="single" w:color="005DA1"/>
          </w:rPr>
          <w:t>884</w:t>
        </w:r>
      </w:hyperlink>
      <w:r>
        <w:rPr>
          <w:position w:val="5"/>
          <w:sz w:val="14"/>
        </w:rPr>
        <w:t>.</w:t>
      </w:r>
      <w:r>
        <w:rPr>
          <w:spacing w:val="80"/>
          <w:w w:val="150"/>
          <w:position w:val="5"/>
          <w:sz w:val="14"/>
        </w:rPr>
        <w:t> </w:t>
      </w:r>
      <w:r>
        <w:rPr>
          <w:rFonts w:ascii="Arial" w:hAnsi="Arial"/>
          <w:i/>
          <w:sz w:val="20"/>
        </w:rPr>
        <w:t>[1998] Q.B. 87</w:t>
      </w:r>
      <w:r>
        <w:rPr>
          <w:sz w:val="20"/>
        </w:rPr>
        <w:t>. See </w:t>
      </w:r>
      <w:r>
        <w:rPr>
          <w:rFonts w:ascii="Arial" w:hAnsi="Arial"/>
          <w:i/>
          <w:sz w:val="20"/>
        </w:rPr>
        <w:t>Louis Dreyfus Trading Ltd v Reliance Trading Ltd [2004] EWHC 525 (Comm),</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243</w:t>
      </w:r>
      <w:r>
        <w:rPr>
          <w:rFonts w:ascii="Arial" w:hAnsi="Arial"/>
          <w:i/>
          <w:spacing w:val="40"/>
          <w:sz w:val="20"/>
        </w:rPr>
        <w:t> </w:t>
      </w:r>
      <w:r>
        <w:rPr>
          <w:sz w:val="20"/>
        </w:rPr>
        <w:t>(parties</w:t>
      </w:r>
      <w:r>
        <w:rPr>
          <w:spacing w:val="40"/>
          <w:sz w:val="20"/>
        </w:rPr>
        <w:t> </w:t>
      </w:r>
      <w:r>
        <w:rPr>
          <w:sz w:val="20"/>
        </w:rPr>
        <w:t>contemplated</w:t>
      </w:r>
      <w:r>
        <w:rPr>
          <w:spacing w:val="40"/>
          <w:sz w:val="20"/>
        </w:rPr>
        <w:t> </w:t>
      </w:r>
      <w:r>
        <w:rPr>
          <w:sz w:val="20"/>
        </w:rPr>
        <w:t>sale</w:t>
      </w:r>
      <w:r>
        <w:rPr>
          <w:spacing w:val="40"/>
          <w:sz w:val="20"/>
        </w:rPr>
        <w:t> </w:t>
      </w:r>
      <w:r>
        <w:rPr>
          <w:sz w:val="20"/>
        </w:rPr>
        <w:t>of</w:t>
      </w:r>
      <w:r>
        <w:rPr>
          <w:spacing w:val="40"/>
          <w:sz w:val="20"/>
        </w:rPr>
        <w:t> </w:t>
      </w:r>
      <w:r>
        <w:rPr>
          <w:sz w:val="20"/>
        </w:rPr>
        <w:t>the</w:t>
      </w:r>
      <w:r>
        <w:rPr>
          <w:spacing w:val="40"/>
          <w:sz w:val="20"/>
        </w:rPr>
        <w:t> </w:t>
      </w:r>
      <w:r>
        <w:rPr>
          <w:sz w:val="20"/>
        </w:rPr>
        <w:t>same</w:t>
      </w:r>
      <w:r>
        <w:rPr>
          <w:spacing w:val="40"/>
          <w:sz w:val="20"/>
        </w:rPr>
        <w:t> </w:t>
      </w:r>
      <w:r>
        <w:rPr>
          <w:sz w:val="20"/>
        </w:rPr>
        <w:t>goods</w:t>
      </w:r>
      <w:r>
        <w:rPr>
          <w:spacing w:val="40"/>
          <w:sz w:val="20"/>
        </w:rPr>
        <w:t> </w:t>
      </w:r>
      <w:r>
        <w:rPr>
          <w:sz w:val="20"/>
        </w:rPr>
        <w:t>to</w:t>
      </w:r>
      <w:r>
        <w:rPr>
          <w:spacing w:val="40"/>
          <w:sz w:val="20"/>
        </w:rPr>
        <w:t> </w:t>
      </w:r>
      <w:r>
        <w:rPr>
          <w:sz w:val="20"/>
        </w:rPr>
        <w:t>the sub-buyer under a specific contract); </w:t>
      </w:r>
      <w:r>
        <w:rPr>
          <w:rFonts w:ascii="Arial" w:hAnsi="Arial"/>
          <w:i/>
          <w:sz w:val="20"/>
        </w:rPr>
        <w:t>Choil Trading SA v Sahara Energy Resources Ltd </w:t>
      </w:r>
      <w:r>
        <w:rPr>
          <w:rFonts w:ascii="Arial" w:hAnsi="Arial"/>
          <w:i/>
          <w:sz w:val="20"/>
        </w:rPr>
        <w:t>[2010] EWHC 374 (Comm) </w:t>
      </w:r>
      <w:r>
        <w:rPr>
          <w:sz w:val="20"/>
        </w:rPr>
        <w:t>at [124]–[139].</w:t>
      </w:r>
    </w:p>
    <w:p>
      <w:pPr>
        <w:pStyle w:val="BodyText"/>
        <w:spacing w:before="4"/>
      </w:pPr>
    </w:p>
    <w:p>
      <w:pPr>
        <w:tabs>
          <w:tab w:pos="705" w:val="left" w:leader="none"/>
        </w:tabs>
        <w:spacing w:before="1"/>
        <w:ind w:left="165" w:right="0" w:firstLine="0"/>
        <w:jc w:val="left"/>
        <w:rPr>
          <w:sz w:val="20"/>
        </w:rPr>
      </w:pPr>
      <w:bookmarkStart w:name="_bookmark1680" w:id="1682"/>
      <w:bookmarkEnd w:id="1682"/>
      <w:r>
        <w:rPr/>
      </w:r>
      <w:hyperlink w:history="true" w:anchor="_bookmark1639">
        <w:r>
          <w:rPr>
            <w:color w:val="005DA1"/>
            <w:spacing w:val="-4"/>
            <w:position w:val="5"/>
            <w:sz w:val="14"/>
            <w:u w:val="single" w:color="005DA1"/>
          </w:rPr>
          <w:t>885</w:t>
        </w:r>
      </w:hyperlink>
      <w:r>
        <w:rPr>
          <w:spacing w:val="-4"/>
          <w:position w:val="5"/>
          <w:sz w:val="14"/>
        </w:rPr>
        <w:t>.</w:t>
      </w:r>
      <w:r>
        <w:rPr>
          <w:position w:val="5"/>
          <w:sz w:val="14"/>
        </w:rPr>
        <w:tab/>
      </w:r>
      <w:r>
        <w:rPr>
          <w:rFonts w:ascii="Arial" w:hAnsi="Arial"/>
          <w:i/>
          <w:sz w:val="20"/>
        </w:rPr>
        <w:t>[1998] Q.B. 87 </w:t>
      </w:r>
      <w:r>
        <w:rPr>
          <w:sz w:val="20"/>
        </w:rPr>
        <w:t>at 102 (see below, Vol.II, paras 44-413—44-</w:t>
      </w:r>
      <w:r>
        <w:rPr>
          <w:spacing w:val="-2"/>
          <w:sz w:val="20"/>
        </w:rPr>
        <w:t>415).</w:t>
      </w:r>
    </w:p>
    <w:p>
      <w:pPr>
        <w:pStyle w:val="BodyText"/>
        <w:spacing w:before="5"/>
      </w:pPr>
    </w:p>
    <w:p>
      <w:pPr>
        <w:pStyle w:val="BodyText"/>
        <w:tabs>
          <w:tab w:pos="705" w:val="left" w:leader="none"/>
        </w:tabs>
        <w:ind w:left="165"/>
      </w:pPr>
      <w:bookmarkStart w:name="_bookmark1681" w:id="1683"/>
      <w:bookmarkEnd w:id="1683"/>
      <w:r>
        <w:rPr/>
      </w:r>
      <w:hyperlink w:history="true" w:anchor="_bookmark1640">
        <w:r>
          <w:rPr>
            <w:color w:val="005DA1"/>
            <w:spacing w:val="-4"/>
            <w:position w:val="5"/>
            <w:sz w:val="14"/>
            <w:u w:val="single" w:color="005DA1"/>
          </w:rPr>
          <w:t>886</w:t>
        </w:r>
      </w:hyperlink>
      <w:r>
        <w:rPr>
          <w:spacing w:val="-4"/>
          <w:position w:val="5"/>
          <w:sz w:val="14"/>
        </w:rPr>
        <w:t>.</w:t>
      </w:r>
      <w:r>
        <w:rPr>
          <w:position w:val="5"/>
          <w:sz w:val="14"/>
        </w:rPr>
        <w:tab/>
      </w:r>
      <w:r>
        <w:rPr/>
        <w:t>See above, paras 26-039—26-</w:t>
      </w:r>
      <w:r>
        <w:rPr>
          <w:spacing w:val="-4"/>
        </w:rPr>
        <w:t>041.</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6704">
            <wp:simplePos x="0" y="0"/>
            <wp:positionH relativeFrom="page">
              <wp:posOffset>1257846</wp:posOffset>
            </wp:positionH>
            <wp:positionV relativeFrom="paragraph">
              <wp:posOffset>160674</wp:posOffset>
            </wp:positionV>
            <wp:extent cx="107988" cy="107988"/>
            <wp:effectExtent l="0" t="0" r="0" b="0"/>
            <wp:wrapNone/>
            <wp:docPr id="368" name="Image 368"/>
            <wp:cNvGraphicFramePr>
              <a:graphicFrameLocks/>
            </wp:cNvGraphicFramePr>
            <a:graphic>
              <a:graphicData uri="http://schemas.openxmlformats.org/drawingml/2006/picture">
                <pic:pic>
                  <pic:nvPicPr>
                    <pic:cNvPr id="368" name="Image 3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82" w:id="1684"/>
      <w:bookmarkEnd w:id="1684"/>
      <w:r>
        <w:rPr/>
      </w:r>
      <w:hyperlink w:history="true" w:anchor="_bookmark1641">
        <w:r>
          <w:rPr>
            <w:color w:val="005DA1"/>
            <w:spacing w:val="-4"/>
            <w:sz w:val="14"/>
            <w:u w:val="single" w:color="005DA1"/>
          </w:rPr>
          <w:t>887</w:t>
        </w:r>
      </w:hyperlink>
      <w:r>
        <w:rPr>
          <w:spacing w:val="-4"/>
          <w:sz w:val="14"/>
        </w:rPr>
        <w:t>.</w:t>
      </w:r>
    </w:p>
    <w:p>
      <w:pPr>
        <w:spacing w:line="235" w:lineRule="auto" w:before="212"/>
        <w:ind w:left="165" w:right="168" w:firstLine="170"/>
        <w:jc w:val="both"/>
        <w:rPr>
          <w:sz w:val="20"/>
        </w:rPr>
      </w:pPr>
      <w:r>
        <w:rPr/>
        <w:br w:type="column"/>
      </w:r>
      <w:r>
        <w:rPr>
          <w:sz w:val="20"/>
        </w:rPr>
        <w:t>See the powerful criticism of Treitel (1997) 113 L.Q.R. 188, and Peel, </w:t>
      </w:r>
      <w:r>
        <w:rPr>
          <w:rFonts w:ascii="Arial" w:hAnsi="Arial"/>
          <w:i/>
          <w:sz w:val="20"/>
        </w:rPr>
        <w:t>Treitel on The Law </w:t>
      </w:r>
      <w:r>
        <w:rPr>
          <w:rFonts w:ascii="Arial" w:hAnsi="Arial"/>
          <w:i/>
          <w:sz w:val="20"/>
        </w:rPr>
        <w:t>of Contract</w:t>
      </w:r>
      <w:r>
        <w:rPr>
          <w:sz w:val="20"/>
        </w:rPr>
        <w:t>,</w:t>
      </w:r>
      <w:r>
        <w:rPr>
          <w:spacing w:val="-2"/>
          <w:sz w:val="20"/>
        </w:rPr>
        <w:t> </w:t>
      </w:r>
      <w:r>
        <w:rPr>
          <w:sz w:val="20"/>
        </w:rPr>
        <w:t>14th</w:t>
      </w:r>
      <w:r>
        <w:rPr>
          <w:spacing w:val="-2"/>
          <w:sz w:val="20"/>
        </w:rPr>
        <w:t> </w:t>
      </w:r>
      <w:r>
        <w:rPr>
          <w:sz w:val="20"/>
        </w:rPr>
        <w:t>edn</w:t>
      </w:r>
      <w:r>
        <w:rPr>
          <w:spacing w:val="-2"/>
          <w:sz w:val="20"/>
        </w:rPr>
        <w:t> </w:t>
      </w:r>
      <w:r>
        <w:rPr>
          <w:sz w:val="20"/>
        </w:rPr>
        <w:t>(2015),</w:t>
      </w:r>
      <w:r>
        <w:rPr>
          <w:spacing w:val="-2"/>
          <w:sz w:val="20"/>
        </w:rPr>
        <w:t> </w:t>
      </w:r>
      <w:r>
        <w:rPr>
          <w:sz w:val="20"/>
        </w:rPr>
        <w:t>para.20–051.</w:t>
      </w:r>
      <w:r>
        <w:rPr>
          <w:spacing w:val="-2"/>
          <w:sz w:val="20"/>
        </w:rPr>
        <w:t> </w:t>
      </w:r>
      <w:r>
        <w:rPr>
          <w:sz w:val="20"/>
        </w:rPr>
        <w:t>In</w:t>
      </w:r>
      <w:r>
        <w:rPr>
          <w:spacing w:val="-3"/>
          <w:sz w:val="20"/>
        </w:rPr>
        <w:t> </w:t>
      </w:r>
      <w:r>
        <w:rPr>
          <w:rFonts w:ascii="Arial" w:hAnsi="Arial"/>
          <w:i/>
          <w:sz w:val="20"/>
        </w:rPr>
        <w:t>OMV</w:t>
      </w:r>
      <w:r>
        <w:rPr>
          <w:rFonts w:ascii="Arial" w:hAnsi="Arial"/>
          <w:i/>
          <w:spacing w:val="-2"/>
          <w:sz w:val="20"/>
        </w:rPr>
        <w:t> </w:t>
      </w:r>
      <w:r>
        <w:rPr>
          <w:rFonts w:ascii="Arial" w:hAnsi="Arial"/>
          <w:i/>
          <w:sz w:val="20"/>
        </w:rPr>
        <w:t>Petrom</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Glencore</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[2016] EWCA Civ 778, [2016] 2 Lloyd’s Rep. 432 </w:t>
      </w:r>
      <w:r>
        <w:rPr>
          <w:sz w:val="20"/>
        </w:rPr>
        <w:t>Christopher Clarke L.J. seemed to think that the Bence Graphics case could not stand with </w:t>
      </w:r>
      <w:r>
        <w:rPr>
          <w:rFonts w:ascii="Arial" w:hAnsi="Arial"/>
          <w:i/>
          <w:sz w:val="20"/>
        </w:rPr>
        <w:t>Slater v Hoyle Smith Ltd</w:t>
      </w:r>
      <w:r>
        <w:rPr>
          <w:sz w:val="20"/>
        </w:rPr>
        <w:t>, but left the matter open (at </w:t>
      </w:r>
      <w:r>
        <w:rPr>
          <w:spacing w:val="-2"/>
          <w:sz w:val="20"/>
        </w:rPr>
        <w:t>[45]–[46]).</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683" w:id="1685"/>
      <w:bookmarkEnd w:id="1685"/>
      <w:r>
        <w:rPr/>
      </w:r>
      <w:hyperlink w:history="true" w:anchor="_bookmark1642">
        <w:r>
          <w:rPr>
            <w:color w:val="005DA1"/>
            <w:spacing w:val="-4"/>
            <w:position w:val="5"/>
            <w:sz w:val="14"/>
            <w:u w:val="single" w:color="005DA1"/>
          </w:rPr>
          <w:t>888</w:t>
        </w:r>
      </w:hyperlink>
      <w:r>
        <w:rPr>
          <w:spacing w:val="-4"/>
          <w:position w:val="5"/>
          <w:sz w:val="14"/>
        </w:rPr>
        <w:t>.</w:t>
      </w:r>
      <w:r>
        <w:rPr>
          <w:position w:val="5"/>
          <w:sz w:val="14"/>
        </w:rPr>
        <w:tab/>
      </w:r>
      <w:r>
        <w:rPr/>
        <w:t>On the question of an available market see Vol.II, paras 44-368—44-</w:t>
      </w:r>
      <w:r>
        <w:rPr>
          <w:spacing w:val="-4"/>
        </w:rPr>
        <w:t>370.</w:t>
      </w:r>
    </w:p>
    <w:p>
      <w:pPr>
        <w:pStyle w:val="BodyText"/>
        <w:spacing w:before="5"/>
      </w:pPr>
    </w:p>
    <w:p>
      <w:pPr>
        <w:pStyle w:val="BodyText"/>
        <w:tabs>
          <w:tab w:pos="705" w:val="left" w:leader="none"/>
        </w:tabs>
        <w:ind w:left="165"/>
      </w:pPr>
      <w:bookmarkStart w:name="_bookmark1684" w:id="1686"/>
      <w:bookmarkEnd w:id="1686"/>
      <w:r>
        <w:rPr/>
      </w:r>
      <w:hyperlink w:history="true" w:anchor="_bookmark1643">
        <w:r>
          <w:rPr>
            <w:color w:val="005DA1"/>
            <w:spacing w:val="-4"/>
            <w:position w:val="5"/>
            <w:sz w:val="14"/>
            <w:u w:val="single" w:color="005DA1"/>
          </w:rPr>
          <w:t>889</w:t>
        </w:r>
      </w:hyperlink>
      <w:r>
        <w:rPr>
          <w:spacing w:val="-4"/>
          <w:position w:val="5"/>
          <w:sz w:val="14"/>
        </w:rPr>
        <w:t>.</w:t>
      </w:r>
      <w:r>
        <w:rPr>
          <w:position w:val="5"/>
          <w:sz w:val="14"/>
        </w:rPr>
        <w:tab/>
      </w:r>
      <w:r>
        <w:rPr/>
        <w:t>Sale of Goods Act 1979 </w:t>
      </w:r>
      <w:r>
        <w:rPr>
          <w:spacing w:val="-2"/>
        </w:rPr>
        <w:t>s.50(3).</w:t>
      </w:r>
    </w:p>
    <w:p>
      <w:pPr>
        <w:pStyle w:val="BodyText"/>
        <w:spacing w:before="8"/>
      </w:pPr>
    </w:p>
    <w:p>
      <w:pPr>
        <w:pStyle w:val="BodyText"/>
        <w:tabs>
          <w:tab w:pos="705" w:val="left" w:leader="none"/>
        </w:tabs>
        <w:spacing w:line="235" w:lineRule="auto" w:before="1"/>
        <w:ind w:left="705" w:right="174" w:hanging="541"/>
      </w:pPr>
      <w:bookmarkStart w:name="_bookmark1685" w:id="1687"/>
      <w:bookmarkEnd w:id="1687"/>
      <w:r>
        <w:rPr/>
      </w:r>
      <w:hyperlink w:history="true" w:anchor="_bookmark1643">
        <w:r>
          <w:rPr>
            <w:color w:val="005DA1"/>
            <w:spacing w:val="-4"/>
            <w:position w:val="5"/>
            <w:sz w:val="14"/>
            <w:u w:val="single" w:color="005DA1"/>
          </w:rPr>
          <w:t>890</w:t>
        </w:r>
      </w:hyperlink>
      <w:r>
        <w:rPr>
          <w:spacing w:val="-4"/>
          <w:position w:val="5"/>
          <w:sz w:val="14"/>
        </w:rPr>
        <w:t>.</w:t>
      </w:r>
      <w:r>
        <w:rPr>
          <w:position w:val="5"/>
          <w:sz w:val="14"/>
        </w:rPr>
        <w:tab/>
      </w:r>
      <w:r>
        <w:rPr/>
        <w:t>See</w:t>
      </w:r>
      <w:r>
        <w:rPr>
          <w:spacing w:val="21"/>
        </w:rPr>
        <w:t> </w:t>
      </w:r>
      <w:r>
        <w:rPr/>
        <w:t>Vol.II,</w:t>
      </w:r>
      <w:r>
        <w:rPr>
          <w:spacing w:val="21"/>
        </w:rPr>
        <w:t> </w:t>
      </w:r>
      <w:r>
        <w:rPr/>
        <w:t>para.44-368.</w:t>
      </w:r>
      <w:r>
        <w:rPr>
          <w:spacing w:val="21"/>
        </w:rPr>
        <w:t> </w:t>
      </w:r>
      <w:r>
        <w:rPr/>
        <w:t>If</w:t>
      </w:r>
      <w:r>
        <w:rPr>
          <w:spacing w:val="21"/>
        </w:rPr>
        <w:t> </w:t>
      </w:r>
      <w:r>
        <w:rPr/>
        <w:t>the</w:t>
      </w:r>
      <w:r>
        <w:rPr>
          <w:spacing w:val="21"/>
        </w:rPr>
        <w:t> </w:t>
      </w:r>
      <w:r>
        <w:rPr/>
        <w:t>property</w:t>
      </w:r>
      <w:r>
        <w:rPr>
          <w:spacing w:val="21"/>
        </w:rPr>
        <w:t> </w:t>
      </w:r>
      <w:r>
        <w:rPr/>
        <w:t>in</w:t>
      </w:r>
      <w:r>
        <w:rPr>
          <w:spacing w:val="21"/>
        </w:rPr>
        <w:t> </w:t>
      </w:r>
      <w:r>
        <w:rPr/>
        <w:t>the</w:t>
      </w:r>
      <w:r>
        <w:rPr>
          <w:spacing w:val="21"/>
        </w:rPr>
        <w:t> </w:t>
      </w:r>
      <w:r>
        <w:rPr/>
        <w:t>goods</w:t>
      </w:r>
      <w:r>
        <w:rPr>
          <w:spacing w:val="21"/>
        </w:rPr>
        <w:t> </w:t>
      </w:r>
      <w:r>
        <w:rPr/>
        <w:t>has</w:t>
      </w:r>
      <w:r>
        <w:rPr>
          <w:spacing w:val="21"/>
        </w:rPr>
        <w:t> </w:t>
      </w:r>
      <w:r>
        <w:rPr/>
        <w:t>passed</w:t>
      </w:r>
      <w:r>
        <w:rPr>
          <w:spacing w:val="21"/>
        </w:rPr>
        <w:t> </w:t>
      </w:r>
      <w:r>
        <w:rPr/>
        <w:t>to</w:t>
      </w:r>
      <w:r>
        <w:rPr>
          <w:spacing w:val="21"/>
        </w:rPr>
        <w:t> </w:t>
      </w:r>
      <w:r>
        <w:rPr/>
        <w:t>the</w:t>
      </w:r>
      <w:r>
        <w:rPr>
          <w:spacing w:val="21"/>
        </w:rPr>
        <w:t> </w:t>
      </w:r>
      <w:r>
        <w:rPr/>
        <w:t>buyer,</w:t>
      </w:r>
      <w:r>
        <w:rPr>
          <w:spacing w:val="21"/>
        </w:rPr>
        <w:t> </w:t>
      </w:r>
      <w:r>
        <w:rPr/>
        <w:t>the</w:t>
      </w:r>
      <w:r>
        <w:rPr>
          <w:spacing w:val="21"/>
        </w:rPr>
        <w:t> </w:t>
      </w:r>
      <w:r>
        <w:rPr/>
        <w:t>seller</w:t>
      </w:r>
      <w:r>
        <w:rPr>
          <w:spacing w:val="21"/>
        </w:rPr>
        <w:t> </w:t>
      </w:r>
      <w:r>
        <w:rPr/>
        <w:t>may alternatively bring an action for the price: s.49(1): see Vol.II, paras 44-359—44-366.</w:t>
      </w:r>
    </w:p>
    <w:p>
      <w:pPr>
        <w:pStyle w:val="BodyText"/>
        <w:spacing w:before="5"/>
      </w:pPr>
    </w:p>
    <w:p>
      <w:pPr>
        <w:pStyle w:val="BodyText"/>
        <w:tabs>
          <w:tab w:pos="705" w:val="left" w:leader="none"/>
        </w:tabs>
        <w:ind w:left="165"/>
      </w:pPr>
      <w:bookmarkStart w:name="_bookmark1686" w:id="1688"/>
      <w:bookmarkEnd w:id="1688"/>
      <w:r>
        <w:rPr/>
      </w:r>
      <w:hyperlink w:history="true" w:anchor="_bookmark1644">
        <w:r>
          <w:rPr>
            <w:color w:val="005DA1"/>
            <w:spacing w:val="-4"/>
            <w:position w:val="5"/>
            <w:sz w:val="14"/>
            <w:u w:val="single" w:color="005DA1"/>
          </w:rPr>
          <w:t>891</w:t>
        </w:r>
      </w:hyperlink>
      <w:r>
        <w:rPr>
          <w:spacing w:val="-4"/>
          <w:position w:val="5"/>
          <w:sz w:val="14"/>
        </w:rPr>
        <w:t>.</w:t>
      </w:r>
      <w:r>
        <w:rPr>
          <w:position w:val="5"/>
          <w:sz w:val="14"/>
        </w:rPr>
        <w:tab/>
      </w:r>
      <w:r>
        <w:rPr/>
        <w:t>A form of “incidental” damages: see above, para.26-</w:t>
      </w:r>
      <w:r>
        <w:rPr>
          <w:spacing w:val="-4"/>
        </w:rPr>
        <w:t>032.</w:t>
      </w:r>
    </w:p>
    <w:p>
      <w:pPr>
        <w:pStyle w:val="BodyText"/>
        <w:spacing w:before="5"/>
      </w:pPr>
    </w:p>
    <w:p>
      <w:pPr>
        <w:pStyle w:val="BodyText"/>
        <w:tabs>
          <w:tab w:pos="705" w:val="left" w:leader="none"/>
        </w:tabs>
        <w:ind w:left="165"/>
      </w:pPr>
      <w:bookmarkStart w:name="_bookmark1687" w:id="1689"/>
      <w:bookmarkEnd w:id="1689"/>
      <w:r>
        <w:rPr/>
      </w:r>
      <w:hyperlink w:history="true" w:anchor="_bookmark1645">
        <w:r>
          <w:rPr>
            <w:color w:val="005DA1"/>
            <w:spacing w:val="-4"/>
            <w:position w:val="5"/>
            <w:sz w:val="14"/>
            <w:u w:val="single" w:color="005DA1"/>
          </w:rPr>
          <w:t>892</w:t>
        </w:r>
      </w:hyperlink>
      <w:r>
        <w:rPr>
          <w:spacing w:val="-4"/>
          <w:position w:val="5"/>
          <w:sz w:val="14"/>
        </w:rPr>
        <w:t>.</w:t>
      </w:r>
      <w:r>
        <w:rPr>
          <w:position w:val="5"/>
          <w:sz w:val="14"/>
        </w:rPr>
        <w:tab/>
      </w:r>
      <w:r>
        <w:rPr/>
        <w:t>See below, para.26-227 and Vol.II, para.44-</w:t>
      </w:r>
      <w:r>
        <w:rPr>
          <w:spacing w:val="-4"/>
        </w:rPr>
        <w:t>383.</w:t>
      </w:r>
    </w:p>
    <w:p>
      <w:pPr>
        <w:pStyle w:val="BodyText"/>
        <w:spacing w:before="5"/>
      </w:pPr>
    </w:p>
    <w:p>
      <w:pPr>
        <w:pStyle w:val="BodyText"/>
        <w:tabs>
          <w:tab w:pos="705" w:val="left" w:leader="none"/>
        </w:tabs>
        <w:ind w:left="165"/>
      </w:pPr>
      <w:bookmarkStart w:name="_bookmark1688" w:id="1690"/>
      <w:bookmarkEnd w:id="1690"/>
      <w:r>
        <w:rPr/>
      </w:r>
      <w:hyperlink w:history="true" w:anchor="_bookmark1645">
        <w:r>
          <w:rPr>
            <w:color w:val="005DA1"/>
            <w:spacing w:val="-4"/>
            <w:position w:val="5"/>
            <w:sz w:val="14"/>
            <w:u w:val="single" w:color="005DA1"/>
          </w:rPr>
          <w:t>893</w:t>
        </w:r>
      </w:hyperlink>
      <w:r>
        <w:rPr>
          <w:spacing w:val="-4"/>
          <w:position w:val="5"/>
          <w:sz w:val="14"/>
        </w:rPr>
        <w:t>.</w:t>
      </w:r>
      <w:r>
        <w:rPr>
          <w:position w:val="5"/>
          <w:sz w:val="14"/>
        </w:rPr>
        <w:tab/>
      </w:r>
      <w:r>
        <w:rPr/>
        <w:t>Vol.II, para.44-</w:t>
      </w:r>
      <w:r>
        <w:rPr>
          <w:spacing w:val="-4"/>
        </w:rPr>
        <w:t>383.</w:t>
      </w:r>
    </w:p>
    <w:p>
      <w:pPr>
        <w:pStyle w:val="BodyText"/>
        <w:spacing w:before="9"/>
      </w:pPr>
    </w:p>
    <w:p>
      <w:pPr>
        <w:tabs>
          <w:tab w:pos="705" w:val="left" w:leader="none"/>
        </w:tabs>
        <w:spacing w:line="235" w:lineRule="auto" w:before="0"/>
        <w:ind w:left="705" w:right="168" w:hanging="541"/>
        <w:jc w:val="left"/>
        <w:rPr>
          <w:sz w:val="20"/>
        </w:rPr>
      </w:pPr>
      <w:bookmarkStart w:name="_bookmark1689" w:id="1691"/>
      <w:bookmarkEnd w:id="1691"/>
      <w:r>
        <w:rPr/>
      </w:r>
      <w:hyperlink w:history="true" w:anchor="_bookmark1646">
        <w:r>
          <w:rPr>
            <w:color w:val="005DA1"/>
            <w:spacing w:val="-4"/>
            <w:position w:val="5"/>
            <w:sz w:val="14"/>
            <w:u w:val="single" w:color="005DA1"/>
          </w:rPr>
          <w:t>894</w:t>
        </w:r>
      </w:hyperlink>
      <w:r>
        <w:rPr>
          <w:spacing w:val="-4"/>
          <w:position w:val="5"/>
          <w:sz w:val="14"/>
        </w:rPr>
        <w:t>.</w:t>
      </w:r>
      <w:r>
        <w:rPr>
          <w:position w:val="5"/>
          <w:sz w:val="14"/>
        </w:rPr>
        <w:tab/>
      </w:r>
      <w:r>
        <w:rPr>
          <w:sz w:val="20"/>
        </w:rPr>
        <w:t>e.g.</w:t>
      </w:r>
      <w:r>
        <w:rPr>
          <w:spacing w:val="80"/>
          <w:sz w:val="20"/>
        </w:rPr>
        <w:t> </w:t>
      </w:r>
      <w:r>
        <w:rPr>
          <w:rFonts w:ascii="Arial"/>
          <w:i/>
          <w:sz w:val="20"/>
        </w:rPr>
        <w:t>W.</w:t>
      </w:r>
      <w:r>
        <w:rPr>
          <w:rFonts w:ascii="Arial"/>
          <w:i/>
          <w:spacing w:val="80"/>
          <w:sz w:val="20"/>
        </w:rPr>
        <w:t> </w:t>
      </w:r>
      <w:r>
        <w:rPr>
          <w:rFonts w:ascii="Arial"/>
          <w:i/>
          <w:sz w:val="20"/>
        </w:rPr>
        <w:t>L.</w:t>
      </w:r>
      <w:r>
        <w:rPr>
          <w:rFonts w:ascii="Arial"/>
          <w:i/>
          <w:spacing w:val="80"/>
          <w:sz w:val="20"/>
        </w:rPr>
        <w:t> </w:t>
      </w:r>
      <w:r>
        <w:rPr>
          <w:rFonts w:ascii="Arial"/>
          <w:i/>
          <w:sz w:val="20"/>
        </w:rPr>
        <w:t>Thompson</w:t>
      </w:r>
      <w:r>
        <w:rPr>
          <w:rFonts w:ascii="Arial"/>
          <w:i/>
          <w:spacing w:val="80"/>
          <w:sz w:val="20"/>
        </w:rPr>
        <w:t> </w:t>
      </w:r>
      <w:r>
        <w:rPr>
          <w:rFonts w:ascii="Arial"/>
          <w:i/>
          <w:sz w:val="20"/>
        </w:rPr>
        <w:t>Ltd</w:t>
      </w:r>
      <w:r>
        <w:rPr>
          <w:rFonts w:ascii="Arial"/>
          <w:i/>
          <w:spacing w:val="80"/>
          <w:sz w:val="20"/>
        </w:rPr>
        <w:t> </w:t>
      </w:r>
      <w:r>
        <w:rPr>
          <w:rFonts w:ascii="Arial"/>
          <w:i/>
          <w:sz w:val="20"/>
        </w:rPr>
        <w:t>v</w:t>
      </w:r>
      <w:r>
        <w:rPr>
          <w:rFonts w:ascii="Arial"/>
          <w:i/>
          <w:spacing w:val="80"/>
          <w:sz w:val="20"/>
        </w:rPr>
        <w:t> </w:t>
      </w:r>
      <w:r>
        <w:rPr>
          <w:rFonts w:ascii="Arial"/>
          <w:i/>
          <w:sz w:val="20"/>
        </w:rPr>
        <w:t>Robinson</w:t>
      </w:r>
      <w:r>
        <w:rPr>
          <w:rFonts w:ascii="Arial"/>
          <w:i/>
          <w:spacing w:val="80"/>
          <w:sz w:val="20"/>
        </w:rPr>
        <w:t> </w:t>
      </w:r>
      <w:r>
        <w:rPr>
          <w:rFonts w:ascii="Arial"/>
          <w:i/>
          <w:sz w:val="20"/>
        </w:rPr>
        <w:t>(Gunmakers)</w:t>
      </w:r>
      <w:r>
        <w:rPr>
          <w:rFonts w:ascii="Arial"/>
          <w:i/>
          <w:spacing w:val="80"/>
          <w:sz w:val="20"/>
        </w:rPr>
        <w:t> </w:t>
      </w:r>
      <w:r>
        <w:rPr>
          <w:rFonts w:ascii="Arial"/>
          <w:i/>
          <w:sz w:val="20"/>
        </w:rPr>
        <w:t>Ltd</w:t>
      </w:r>
      <w:r>
        <w:rPr>
          <w:rFonts w:ascii="Arial"/>
          <w:i/>
          <w:spacing w:val="80"/>
          <w:sz w:val="20"/>
        </w:rPr>
        <w:t> </w:t>
      </w:r>
      <w:r>
        <w:rPr>
          <w:rFonts w:ascii="Arial"/>
          <w:i/>
          <w:sz w:val="20"/>
        </w:rPr>
        <w:t>[1955]</w:t>
      </w:r>
      <w:r>
        <w:rPr>
          <w:rFonts w:ascii="Arial"/>
          <w:i/>
          <w:spacing w:val="80"/>
          <w:sz w:val="20"/>
        </w:rPr>
        <w:t> </w:t>
      </w:r>
      <w:r>
        <w:rPr>
          <w:rFonts w:ascii="Arial"/>
          <w:i/>
          <w:sz w:val="20"/>
        </w:rPr>
        <w:t>Ch.</w:t>
      </w:r>
      <w:r>
        <w:rPr>
          <w:rFonts w:ascii="Arial"/>
          <w:i/>
          <w:spacing w:val="80"/>
          <w:sz w:val="20"/>
        </w:rPr>
        <w:t> </w:t>
      </w:r>
      <w:r>
        <w:rPr>
          <w:rFonts w:ascii="Arial"/>
          <w:i/>
          <w:sz w:val="20"/>
        </w:rPr>
        <w:t>177</w:t>
      </w:r>
      <w:r>
        <w:rPr>
          <w:sz w:val="20"/>
        </w:rPr>
        <w:t>.</w:t>
      </w:r>
      <w:r>
        <w:rPr>
          <w:spacing w:val="80"/>
          <w:sz w:val="20"/>
        </w:rPr>
        <w:t> </w:t>
      </w:r>
      <w:r>
        <w:rPr>
          <w:sz w:val="20"/>
        </w:rPr>
        <w:t>See</w:t>
      </w:r>
      <w:r>
        <w:rPr>
          <w:spacing w:val="80"/>
          <w:sz w:val="20"/>
        </w:rPr>
        <w:t> </w:t>
      </w:r>
      <w:r>
        <w:rPr>
          <w:sz w:val="20"/>
        </w:rPr>
        <w:t>above, </w:t>
      </w:r>
      <w:r>
        <w:rPr>
          <w:spacing w:val="-2"/>
          <w:sz w:val="20"/>
        </w:rPr>
        <w:t>para.26-096.</w:t>
      </w:r>
    </w:p>
    <w:p>
      <w:pPr>
        <w:pStyle w:val="BodyText"/>
        <w:spacing w:before="5"/>
      </w:pPr>
    </w:p>
    <w:p>
      <w:pPr>
        <w:pStyle w:val="BodyText"/>
        <w:tabs>
          <w:tab w:pos="705" w:val="left" w:leader="none"/>
        </w:tabs>
        <w:spacing w:before="1"/>
        <w:ind w:left="165"/>
      </w:pPr>
      <w:bookmarkStart w:name="_bookmark1690" w:id="1692"/>
      <w:bookmarkEnd w:id="1692"/>
      <w:r>
        <w:rPr/>
      </w:r>
      <w:hyperlink w:history="true" w:anchor="_bookmark1647">
        <w:r>
          <w:rPr>
            <w:color w:val="005DA1"/>
            <w:spacing w:val="-4"/>
            <w:position w:val="5"/>
            <w:sz w:val="14"/>
            <w:u w:val="single" w:color="005DA1"/>
          </w:rPr>
          <w:t>895</w:t>
        </w:r>
      </w:hyperlink>
      <w:r>
        <w:rPr>
          <w:spacing w:val="-4"/>
          <w:position w:val="5"/>
          <w:sz w:val="14"/>
        </w:rPr>
        <w:t>.</w:t>
      </w:r>
      <w:r>
        <w:rPr>
          <w:position w:val="5"/>
          <w:sz w:val="14"/>
        </w:rPr>
        <w:tab/>
      </w:r>
      <w:r>
        <w:rPr/>
        <w:t>See paras 26-092 and 26-</w:t>
      </w:r>
      <w:r>
        <w:rPr>
          <w:spacing w:val="-4"/>
        </w:rPr>
        <w:t>103.</w:t>
      </w:r>
    </w:p>
    <w:p>
      <w:pPr>
        <w:pStyle w:val="BodyText"/>
        <w:spacing w:before="4"/>
      </w:pPr>
    </w:p>
    <w:p>
      <w:pPr>
        <w:pStyle w:val="BodyText"/>
        <w:tabs>
          <w:tab w:pos="705" w:val="left" w:leader="none"/>
        </w:tabs>
        <w:spacing w:before="1"/>
        <w:ind w:left="165"/>
      </w:pPr>
      <w:bookmarkStart w:name="_bookmark1691" w:id="1693"/>
      <w:bookmarkEnd w:id="1693"/>
      <w:r>
        <w:rPr/>
      </w:r>
      <w:hyperlink w:history="true" w:anchor="_bookmark1648">
        <w:r>
          <w:rPr>
            <w:color w:val="005DA1"/>
            <w:spacing w:val="-4"/>
            <w:position w:val="5"/>
            <w:sz w:val="14"/>
            <w:u w:val="single" w:color="005DA1"/>
          </w:rPr>
          <w:t>896</w:t>
        </w:r>
      </w:hyperlink>
      <w:r>
        <w:rPr>
          <w:spacing w:val="-4"/>
          <w:position w:val="5"/>
          <w:sz w:val="14"/>
        </w:rPr>
        <w:t>.</w:t>
      </w:r>
      <w:r>
        <w:rPr>
          <w:position w:val="5"/>
          <w:sz w:val="14"/>
        </w:rPr>
        <w:tab/>
      </w:r>
      <w:r>
        <w:rPr/>
        <w:t>See Vol.II, paras 44-381 and 44-</w:t>
      </w:r>
      <w:r>
        <w:rPr>
          <w:spacing w:val="-4"/>
        </w:rPr>
        <w:t>394.</w:t>
      </w:r>
    </w:p>
    <w:p>
      <w:pPr>
        <w:pStyle w:val="BodyText"/>
        <w:spacing w:before="4"/>
      </w:pPr>
    </w:p>
    <w:p>
      <w:pPr>
        <w:pStyle w:val="BodyText"/>
        <w:tabs>
          <w:tab w:pos="705" w:val="left" w:leader="none"/>
        </w:tabs>
        <w:spacing w:before="1"/>
        <w:ind w:left="165"/>
      </w:pPr>
      <w:bookmarkStart w:name="_bookmark1692" w:id="1694"/>
      <w:bookmarkEnd w:id="1694"/>
      <w:r>
        <w:rPr/>
      </w:r>
      <w:hyperlink w:history="true" w:anchor="_bookmark1649">
        <w:r>
          <w:rPr>
            <w:color w:val="005DA1"/>
            <w:spacing w:val="-4"/>
            <w:position w:val="5"/>
            <w:sz w:val="14"/>
            <w:u w:val="single" w:color="005DA1"/>
          </w:rPr>
          <w:t>897</w:t>
        </w:r>
      </w:hyperlink>
      <w:r>
        <w:rPr>
          <w:spacing w:val="-4"/>
          <w:position w:val="5"/>
          <w:sz w:val="14"/>
        </w:rPr>
        <w:t>.</w:t>
      </w:r>
      <w:r>
        <w:rPr>
          <w:position w:val="5"/>
          <w:sz w:val="14"/>
        </w:rPr>
        <w:tab/>
      </w:r>
      <w:r>
        <w:rPr/>
        <w:t>See Vol.II, paras 44-380 and 44-</w:t>
      </w:r>
      <w:r>
        <w:rPr>
          <w:spacing w:val="-4"/>
        </w:rPr>
        <w:t>393.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spacing w:before="194"/>
        <w:ind w:left="3372" w:right="0" w:firstLine="0"/>
        <w:jc w:val="left"/>
        <w:rPr>
          <w:rFonts w:ascii="Arial"/>
          <w:b/>
          <w:sz w:val="24"/>
        </w:rPr>
      </w:pPr>
      <w:r>
        <w:rPr>
          <w:rFonts w:ascii="Arial"/>
          <w:b/>
          <w:sz w:val="24"/>
        </w:rPr>
        <w:t>(c) - Carriage of </w:t>
      </w:r>
      <w:r>
        <w:rPr>
          <w:rFonts w:ascii="Arial"/>
          <w:b/>
          <w:spacing w:val="-2"/>
          <w:sz w:val="24"/>
        </w:rPr>
        <w:t>Goods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Carriage of </w:t>
      </w:r>
      <w:r>
        <w:rPr>
          <w:rFonts w:ascii="Arial"/>
          <w:b/>
          <w:spacing w:val="-2"/>
          <w:sz w:val="18"/>
        </w:rPr>
        <w:t>goods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163</w:t>
      </w:r>
    </w:p>
    <w:p>
      <w:pPr>
        <w:pStyle w:val="BodyText"/>
        <w:spacing w:line="235" w:lineRule="auto" w:before="202"/>
        <w:ind w:left="165" w:right="168"/>
        <w:jc w:val="both"/>
      </w:pPr>
      <w:r>
        <w:rPr/>
        <w:t>If by default of the carrier the goods which he has contracted to deliver are lost or destroyed in </w:t>
      </w:r>
      <w:r>
        <w:rPr/>
        <w:t>transit the normal measure of damages is the market value of the original goods at the time when and place </w:t>
      </w:r>
      <w:bookmarkStart w:name="_bookmark1693" w:id="1695"/>
      <w:bookmarkEnd w:id="1695"/>
      <w:r>
        <w:rPr/>
        <w:t>where</w:t>
      </w:r>
      <w:r>
        <w:rPr/>
        <w:t> they ought to have been delivered, less the freight payable under the contract upon safe </w:t>
      </w:r>
      <w:bookmarkStart w:name="_bookmark1694" w:id="1696"/>
      <w:bookmarkEnd w:id="1696"/>
      <w:r>
        <w:rPr/>
        <w:t>delivery</w:t>
      </w:r>
      <w:r>
        <w:rPr/>
        <w:t> of the goods. </w:t>
      </w:r>
      <w:r>
        <w:rPr>
          <w:color w:val="005DA1"/>
          <w:u w:val="single" w:color="005DA1"/>
          <w:vertAlign w:val="superscript"/>
        </w:rPr>
        <w:t>898</w:t>
      </w:r>
      <w:r>
        <w:rPr>
          <w:color w:val="005DA1"/>
          <w:vertAlign w:val="baseline"/>
        </w:rPr>
        <w:t> </w:t>
      </w:r>
      <w:r>
        <w:rPr>
          <w:vertAlign w:val="baseline"/>
        </w:rPr>
        <w:t>The price in a forward sale made by the consignee is usually irrelevant, </w:t>
      </w:r>
      <w:r>
        <w:rPr>
          <w:color w:val="005DA1"/>
          <w:u w:val="single" w:color="005DA1"/>
          <w:vertAlign w:val="superscript"/>
        </w:rPr>
        <w:t>899</w:t>
      </w:r>
      <w:r>
        <w:rPr>
          <w:color w:val="005DA1"/>
          <w:vertAlign w:val="baseline"/>
        </w:rPr>
        <w:t> </w:t>
      </w:r>
      <w:bookmarkStart w:name="_bookmark1695" w:id="1697"/>
      <w:bookmarkEnd w:id="1697"/>
      <w:r>
        <w:rPr>
          <w:color w:val="005DA1"/>
          <w:w w:val="92"/>
          <w:vertAlign w:val="baseline"/>
        </w:rPr>
      </w:r>
      <w:r>
        <w:rPr>
          <w:vertAlign w:val="baseline"/>
        </w:rPr>
        <w:t>but it may be relevant if there is no market for such goods at the place of delivery. </w:t>
      </w:r>
      <w:r>
        <w:rPr>
          <w:color w:val="005DA1"/>
          <w:u w:val="single" w:color="005DA1"/>
          <w:vertAlign w:val="superscript"/>
        </w:rPr>
        <w:t>900</w:t>
      </w:r>
      <w:r>
        <w:rPr>
          <w:color w:val="005DA1"/>
          <w:vertAlign w:val="baseline"/>
        </w:rPr>
        <w:t> </w:t>
      </w:r>
      <w:r>
        <w:rPr>
          <w:vertAlign w:val="baseline"/>
        </w:rPr>
        <w:t>Where the carrier delays in delivering the goods, the normal </w:t>
      </w:r>
      <w:r>
        <w:rPr>
          <w:color w:val="005DA1"/>
          <w:u w:val="single" w:color="005DA1"/>
          <w:vertAlign w:val="superscript"/>
        </w:rPr>
        <w:t>901</w:t>
      </w:r>
      <w:r>
        <w:rPr>
          <w:color w:val="005DA1"/>
          <w:vertAlign w:val="baseline"/>
        </w:rPr>
        <w:t> </w:t>
      </w:r>
      <w:r>
        <w:rPr>
          <w:vertAlign w:val="baseline"/>
        </w:rPr>
        <w:t>measure of damages is the difference between </w:t>
      </w:r>
      <w:bookmarkStart w:name="_bookmark1696" w:id="1698"/>
      <w:bookmarkEnd w:id="1698"/>
      <w:r>
        <w:rPr>
          <w:vertAlign w:val="baseline"/>
        </w:rPr>
        <w:t>the</w:t>
      </w:r>
      <w:r>
        <w:rPr>
          <w:vertAlign w:val="baseline"/>
        </w:rPr>
        <w:t> market value of the goods at their destination on the date they ought to have been delivered, and </w:t>
      </w:r>
      <w:bookmarkStart w:name="_bookmark1697" w:id="1699"/>
      <w:bookmarkEnd w:id="1699"/>
      <w:r>
        <w:rPr>
          <w:vertAlign w:val="baseline"/>
        </w:rPr>
        <w:t>the</w:t>
      </w:r>
      <w:r>
        <w:rPr>
          <w:vertAlign w:val="baseline"/>
        </w:rPr>
        <w:t> market value at the actual date of delivery </w:t>
      </w:r>
      <w:r>
        <w:rPr>
          <w:color w:val="005DA1"/>
          <w:u w:val="single" w:color="005DA1"/>
          <w:vertAlign w:val="superscript"/>
        </w:rPr>
        <w:t>902</w:t>
      </w:r>
      <w:r>
        <w:rPr>
          <w:vertAlign w:val="baseline"/>
        </w:rPr>
        <w:t>; the same rule now applies to carriage of goods by sea.</w:t>
      </w:r>
      <w:r>
        <w:rPr>
          <w:spacing w:val="-2"/>
          <w:vertAlign w:val="baseline"/>
        </w:rPr>
        <w:t> </w:t>
      </w:r>
      <w:r>
        <w:rPr>
          <w:color w:val="005DA1"/>
          <w:u w:val="single" w:color="005DA1"/>
          <w:vertAlign w:val="superscript"/>
        </w:rPr>
        <w:t>903</w:t>
      </w:r>
      <w:r>
        <w:rPr>
          <w:color w:val="005DA1"/>
          <w:spacing w:val="-2"/>
          <w:vertAlign w:val="baseline"/>
        </w:rPr>
        <w:t> </w:t>
      </w:r>
      <w:r>
        <w:rPr>
          <w:vertAlign w:val="baseline"/>
        </w:rPr>
        <w:t>The</w:t>
      </w:r>
      <w:r>
        <w:rPr>
          <w:spacing w:val="-2"/>
          <w:vertAlign w:val="baseline"/>
        </w:rPr>
        <w:t> </w:t>
      </w:r>
      <w:r>
        <w:rPr>
          <w:vertAlign w:val="baseline"/>
        </w:rPr>
        <w:t>carrier’s</w:t>
      </w:r>
      <w:r>
        <w:rPr>
          <w:spacing w:val="-2"/>
          <w:vertAlign w:val="baseline"/>
        </w:rPr>
        <w:t> </w:t>
      </w:r>
      <w:r>
        <w:rPr>
          <w:vertAlign w:val="baseline"/>
        </w:rPr>
        <w:t>liability</w:t>
      </w:r>
      <w:r>
        <w:rPr>
          <w:spacing w:val="-2"/>
          <w:vertAlign w:val="baseline"/>
        </w:rPr>
        <w:t> </w:t>
      </w:r>
      <w:r>
        <w:rPr>
          <w:vertAlign w:val="baseline"/>
        </w:rPr>
        <w:t>for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profits</w:t>
      </w:r>
      <w:r>
        <w:rPr>
          <w:spacing w:val="-2"/>
          <w:vertAlign w:val="baseline"/>
        </w:rPr>
        <w:t> </w:t>
      </w:r>
      <w:r>
        <w:rPr>
          <w:vertAlign w:val="baseline"/>
        </w:rPr>
        <w:t>has</w:t>
      </w:r>
      <w:r>
        <w:rPr>
          <w:spacing w:val="-2"/>
          <w:vertAlign w:val="baseline"/>
        </w:rPr>
        <w:t> </w:t>
      </w:r>
      <w:r>
        <w:rPr>
          <w:vertAlign w:val="baseline"/>
        </w:rPr>
        <w:t>already</w:t>
      </w:r>
      <w:r>
        <w:rPr>
          <w:spacing w:val="-2"/>
          <w:vertAlign w:val="baseline"/>
        </w:rPr>
        <w:t> </w:t>
      </w:r>
      <w:r>
        <w:rPr>
          <w:vertAlign w:val="baseline"/>
        </w:rPr>
        <w:t>been</w:t>
      </w:r>
      <w:r>
        <w:rPr>
          <w:spacing w:val="-2"/>
          <w:vertAlign w:val="baseline"/>
        </w:rPr>
        <w:t> </w:t>
      </w:r>
      <w:r>
        <w:rPr>
          <w:vertAlign w:val="baseline"/>
        </w:rPr>
        <w:t>discussed.</w:t>
      </w:r>
      <w:r>
        <w:rPr>
          <w:spacing w:val="-3"/>
          <w:vertAlign w:val="baseline"/>
        </w:rPr>
        <w:t> </w:t>
      </w:r>
      <w:r>
        <w:rPr>
          <w:color w:val="005DA1"/>
          <w:u w:val="single" w:color="005DA1"/>
          <w:vertAlign w:val="superscript"/>
        </w:rPr>
        <w:t>904</w:t>
      </w:r>
      <w:r>
        <w:rPr>
          <w:color w:val="005DA1"/>
          <w:spacing w:val="-2"/>
          <w:vertAlign w:val="baseline"/>
        </w:rPr>
        <w:t> </w:t>
      </w:r>
      <w:r>
        <w:rPr>
          <w:vertAlign w:val="baseline"/>
        </w:rPr>
        <w:t>Occasionally</w:t>
      </w:r>
      <w:r>
        <w:rPr>
          <w:spacing w:val="-2"/>
          <w:vertAlign w:val="baseline"/>
        </w:rPr>
        <w:t> </w:t>
      </w:r>
      <w:r>
        <w:rPr>
          <w:vertAlign w:val="baseline"/>
        </w:rPr>
        <w:t>the</w:t>
      </w:r>
      <w:r>
        <w:rPr>
          <w:spacing w:val="-2"/>
          <w:vertAlign w:val="baseline"/>
        </w:rPr>
        <w:t> </w:t>
      </w:r>
      <w:r>
        <w:rPr>
          <w:vertAlign w:val="baseline"/>
        </w:rPr>
        <w:t>carrier may be liable for expenses incurred by the claimant in acquiring the nearest substitute when </w:t>
      </w:r>
      <w:bookmarkStart w:name="_bookmark1698" w:id="1700"/>
      <w:bookmarkEnd w:id="1700"/>
      <w:r>
        <w:rPr>
          <w:vertAlign w:val="baseline"/>
        </w:rPr>
        <w:t>equivalent</w:t>
      </w:r>
      <w:r>
        <w:rPr>
          <w:vertAlign w:val="baseline"/>
        </w:rPr>
        <w:t> goods were not available in the market, and the claimant acted reasonably in incurring the expenses. </w:t>
      </w:r>
      <w:r>
        <w:rPr>
          <w:color w:val="005DA1"/>
          <w:u w:val="single" w:color="005DA1"/>
          <w:vertAlign w:val="superscript"/>
        </w:rPr>
        <w:t>905</w:t>
      </w:r>
    </w:p>
    <w:p>
      <w:pPr>
        <w:pStyle w:val="BodyText"/>
        <w:spacing w:before="77"/>
      </w:pPr>
    </w:p>
    <w:p>
      <w:pPr>
        <w:spacing w:before="0"/>
        <w:ind w:left="165" w:right="0" w:firstLine="0"/>
        <w:jc w:val="left"/>
        <w:rPr>
          <w:rFonts w:ascii="Arial"/>
          <w:b/>
          <w:sz w:val="24"/>
        </w:rPr>
      </w:pPr>
      <w:r>
        <w:rPr>
          <w:rFonts w:ascii="Arial"/>
          <w:b/>
          <w:sz w:val="24"/>
        </w:rPr>
        <w:t>26-</w:t>
      </w:r>
      <w:r>
        <w:rPr>
          <w:rFonts w:ascii="Arial"/>
          <w:b/>
          <w:spacing w:val="-5"/>
          <w:sz w:val="24"/>
        </w:rPr>
        <w:t>164</w:t>
      </w:r>
    </w:p>
    <w:p>
      <w:pPr>
        <w:pStyle w:val="BodyText"/>
        <w:spacing w:line="235" w:lineRule="auto" w:before="203"/>
        <w:ind w:left="165" w:right="167"/>
        <w:jc w:val="both"/>
      </w:pPr>
      <w:r>
        <w:rPr/>
        <w:t>If the defendant carries the goods to the wrong place, or completely fails to carry them at all, the claimant may either:</w:t>
      </w:r>
    </w:p>
    <w:p>
      <w:pPr>
        <w:pStyle w:val="BodyText"/>
      </w:pPr>
    </w:p>
    <w:p>
      <w:pPr>
        <w:pStyle w:val="BodyText"/>
        <w:spacing w:before="195"/>
      </w:pPr>
    </w:p>
    <w:p>
      <w:pPr>
        <w:pStyle w:val="BodyText"/>
        <w:ind w:left="165"/>
      </w:pPr>
      <w:r>
        <w:rPr>
          <w:spacing w:val="-5"/>
        </w:rPr>
        <w:t>(a)</w:t>
      </w:r>
    </w:p>
    <w:p>
      <w:pPr>
        <w:pStyle w:val="BodyText"/>
        <w:spacing w:line="235" w:lineRule="auto" w:before="114"/>
        <w:ind w:left="645" w:right="167"/>
        <w:jc w:val="both"/>
      </w:pPr>
      <w:r>
        <w:rPr/>
        <w:t>engage substitute transport at the market rate and recover from the carrier the </w:t>
      </w:r>
      <w:r>
        <w:rPr/>
        <w:t>difference </w:t>
      </w:r>
      <w:bookmarkStart w:name="_bookmark1699" w:id="1701"/>
      <w:bookmarkEnd w:id="1701"/>
      <w:r>
        <w:rPr/>
        <w:t>between</w:t>
      </w:r>
      <w:r>
        <w:rPr/>
        <w:t> that and the contractual rate, together with any difference between the market price of the goods at the actual time of delivery and the agreed time of delivery </w:t>
      </w:r>
      <w:r>
        <w:rPr>
          <w:color w:val="005DA1"/>
          <w:u w:val="single" w:color="005DA1"/>
          <w:vertAlign w:val="superscript"/>
        </w:rPr>
        <w:t>906</w:t>
      </w:r>
      <w:r>
        <w:rPr>
          <w:vertAlign w:val="baseline"/>
        </w:rPr>
        <w:t>; or</w:t>
      </w:r>
    </w:p>
    <w:p>
      <w:pPr>
        <w:pStyle w:val="BodyText"/>
      </w:pPr>
    </w:p>
    <w:p>
      <w:pPr>
        <w:pStyle w:val="BodyText"/>
        <w:spacing w:before="35"/>
      </w:pPr>
    </w:p>
    <w:p>
      <w:pPr>
        <w:pStyle w:val="BodyText"/>
        <w:ind w:left="165"/>
      </w:pPr>
      <w:r>
        <w:rPr>
          <w:spacing w:val="-5"/>
        </w:rPr>
        <w:t>(b)</w:t>
      </w:r>
    </w:p>
    <w:p>
      <w:pPr>
        <w:pStyle w:val="BodyText"/>
        <w:spacing w:line="235" w:lineRule="auto" w:before="114"/>
        <w:ind w:left="645" w:right="167"/>
        <w:jc w:val="both"/>
      </w:pPr>
      <w:r>
        <w:rPr/>
        <w:t>purchase substitute goods at the agreed place of delivery, and recover from the carrier the difference between the cost of the substituted goods, and the total of the value of the </w:t>
      </w:r>
      <w:r>
        <w:rPr/>
        <w:t>original </w:t>
      </w:r>
      <w:bookmarkStart w:name="_bookmark1700" w:id="1702"/>
      <w:bookmarkEnd w:id="1702"/>
      <w:r>
        <w:rPr/>
        <w:t>goods</w:t>
      </w:r>
      <w:r>
        <w:rPr/>
        <w:t> at the place of loading, freight and insurance (or at the wrong place of delivery, as the case may be). </w:t>
      </w:r>
      <w:r>
        <w:rPr>
          <w:color w:val="005DA1"/>
          <w:u w:val="single" w:color="005DA1"/>
          <w:vertAlign w:val="superscript"/>
        </w:rPr>
        <w:t>907</w:t>
      </w:r>
    </w:p>
    <w:p>
      <w:pPr>
        <w:pStyle w:val="BodyText"/>
        <w:spacing w:before="208"/>
      </w:pPr>
    </w:p>
    <w:p>
      <w:pPr>
        <w:pStyle w:val="BodyText"/>
        <w:spacing w:line="235" w:lineRule="auto"/>
        <w:ind w:left="165" w:right="167"/>
        <w:jc w:val="both"/>
      </w:pPr>
      <w:r>
        <w:rPr/>
        <w:t>Where the owner of the goods fails to supply the goods for the agreed carriage, but the carrier ought reasonably to have obtained substitute cargo, the normal measure of damages is the difference </w:t>
      </w:r>
      <w:bookmarkStart w:name="_bookmark1701" w:id="1703"/>
      <w:bookmarkEnd w:id="1703"/>
      <w:r>
        <w:rPr/>
        <w:t>between</w:t>
      </w:r>
      <w:r>
        <w:rPr/>
        <w:t> the agreed rate of freight, and the market rate (deducting in each case the cost of earning</w:t>
      </w:r>
      <w:r>
        <w:rPr>
          <w:spacing w:val="40"/>
        </w:rPr>
        <w:t> </w:t>
      </w:r>
      <w:r>
        <w:rPr/>
        <w:t>the freight). </w:t>
      </w:r>
      <w:r>
        <w:rPr>
          <w:color w:val="005DA1"/>
          <w:u w:val="single" w:color="005DA1"/>
          <w:vertAlign w:val="superscript"/>
        </w:rPr>
        <w:t>908</w:t>
      </w:r>
    </w:p>
    <w:p>
      <w:pPr>
        <w:pStyle w:val="BodyText"/>
        <w:spacing w:after="0" w:line="235" w:lineRule="auto"/>
        <w:jc w:val="both"/>
        <w:sectPr>
          <w:headerReference w:type="default" r:id="rId42"/>
          <w:pgSz w:w="11900" w:h="16840"/>
          <w:pgMar w:header="971" w:footer="0" w:top="1300" w:bottom="280" w:left="1275" w:right="1275"/>
          <w:pgNumType w:start="1"/>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70" name="Group 370"/>
                <wp:cNvGraphicFramePr>
                  <a:graphicFrameLocks/>
                </wp:cNvGraphicFramePr>
                <a:graphic>
                  <a:graphicData uri="http://schemas.microsoft.com/office/word/2010/wordprocessingGroup">
                    <wpg:wgp>
                      <wpg:cNvPr id="370" name="Group 370"/>
                      <wpg:cNvGrpSpPr/>
                      <wpg:grpSpPr>
                        <a:xfrm>
                          <a:off x="0" y="0"/>
                          <a:ext cx="5724525" cy="12700"/>
                          <a:chExt cx="5724525" cy="12700"/>
                        </a:xfrm>
                      </wpg:grpSpPr>
                      <wps:wsp>
                        <wps:cNvPr id="371" name="Graphic 371"/>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78"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pStyle w:val="BodyText"/>
        <w:tabs>
          <w:tab w:pos="705" w:val="left" w:leader="none"/>
        </w:tabs>
        <w:ind w:left="165"/>
      </w:pPr>
      <w:hyperlink w:history="true" w:anchor="_bookmark1817">
        <w:r>
          <w:rPr>
            <w:color w:val="005DA1"/>
            <w:spacing w:val="-4"/>
            <w:position w:val="5"/>
            <w:sz w:val="14"/>
            <w:u w:val="single" w:color="005DA1"/>
          </w:rPr>
          <w:t>848</w:t>
        </w:r>
      </w:hyperlink>
      <w:r>
        <w:rPr>
          <w:spacing w:val="-4"/>
          <w:position w:val="5"/>
          <w:sz w:val="14"/>
        </w:rPr>
        <w:t>.</w:t>
      </w:r>
      <w:r>
        <w:rPr>
          <w:position w:val="5"/>
          <w:sz w:val="14"/>
        </w:rPr>
        <w:tab/>
      </w:r>
      <w:r>
        <w:rPr/>
        <w:t>Further illustrations will be found in the various chapters of Vol.II of this </w:t>
      </w:r>
      <w:r>
        <w:rPr>
          <w:spacing w:val="-2"/>
        </w:rPr>
        <w:t>work.</w:t>
      </w:r>
    </w:p>
    <w:p>
      <w:pPr>
        <w:pStyle w:val="BodyText"/>
        <w:spacing w:before="9"/>
      </w:pPr>
    </w:p>
    <w:p>
      <w:pPr>
        <w:spacing w:line="235" w:lineRule="auto" w:before="0"/>
        <w:ind w:left="705" w:right="168" w:hanging="541"/>
        <w:jc w:val="both"/>
        <w:rPr>
          <w:sz w:val="20"/>
        </w:rPr>
      </w:pPr>
      <w:bookmarkStart w:name="_bookmark1702" w:id="1704"/>
      <w:bookmarkEnd w:id="1704"/>
      <w:r>
        <w:rPr/>
      </w:r>
      <w:hyperlink w:history="true" w:anchor="_bookmark1693">
        <w:r>
          <w:rPr>
            <w:color w:val="005DA1"/>
            <w:position w:val="5"/>
            <w:sz w:val="14"/>
            <w:u w:val="single" w:color="005DA1"/>
          </w:rPr>
          <w:t>898</w:t>
        </w:r>
      </w:hyperlink>
      <w:r>
        <w:rPr>
          <w:position w:val="5"/>
          <w:sz w:val="14"/>
        </w:rPr>
        <w:t>.</w:t>
      </w:r>
      <w:r>
        <w:rPr>
          <w:spacing w:val="80"/>
          <w:w w:val="150"/>
          <w:position w:val="5"/>
          <w:sz w:val="14"/>
        </w:rPr>
        <w:t> </w:t>
      </w:r>
      <w:r>
        <w:rPr>
          <w:rFonts w:ascii="Arial"/>
          <w:i/>
          <w:sz w:val="20"/>
        </w:rPr>
        <w:t>Rodocanachi v Milburn (1886) 18 Q.B.D. 67, 76</w:t>
      </w:r>
      <w:r>
        <w:rPr>
          <w:sz w:val="20"/>
        </w:rPr>
        <w:t>. Even where the claimant has only a limited interest in the goods, he may recover their full value: </w:t>
      </w:r>
      <w:r>
        <w:rPr>
          <w:rFonts w:ascii="Arial"/>
          <w:i/>
          <w:sz w:val="20"/>
        </w:rPr>
        <w:t>Crouch v L.N.W. Ry (1849) 2 C. &amp; K. 789</w:t>
      </w:r>
      <w:r>
        <w:rPr>
          <w:sz w:val="20"/>
        </w:rPr>
        <w:t>. (See Vol.II, para.33-133.)</w:t>
      </w:r>
    </w:p>
    <w:p>
      <w:pPr>
        <w:pStyle w:val="BodyText"/>
        <w:spacing w:before="9"/>
      </w:pPr>
    </w:p>
    <w:p>
      <w:pPr>
        <w:spacing w:line="235" w:lineRule="auto" w:before="0"/>
        <w:ind w:left="705" w:right="168" w:hanging="541"/>
        <w:jc w:val="both"/>
        <w:rPr>
          <w:sz w:val="20"/>
        </w:rPr>
      </w:pPr>
      <w:bookmarkStart w:name="_bookmark1703" w:id="1705"/>
      <w:bookmarkEnd w:id="1705"/>
      <w:r>
        <w:rPr/>
      </w:r>
      <w:hyperlink w:history="true" w:anchor="_bookmark1693">
        <w:r>
          <w:rPr>
            <w:color w:val="005DA1"/>
            <w:position w:val="5"/>
            <w:sz w:val="14"/>
            <w:u w:val="single" w:color="005DA1"/>
          </w:rPr>
          <w:t>899</w:t>
        </w:r>
      </w:hyperlink>
      <w:r>
        <w:rPr>
          <w:position w:val="5"/>
          <w:sz w:val="14"/>
        </w:rPr>
        <w:t>.</w:t>
      </w:r>
      <w:r>
        <w:rPr>
          <w:spacing w:val="80"/>
          <w:position w:val="5"/>
          <w:sz w:val="14"/>
        </w:rPr>
        <w:t>  </w:t>
      </w:r>
      <w:r>
        <w:rPr>
          <w:rFonts w:ascii="Arial"/>
          <w:i/>
          <w:sz w:val="20"/>
        </w:rPr>
        <w:t>Rodocanachi v Milburn (1886) 18 Q.B.D. 67</w:t>
      </w:r>
      <w:r>
        <w:rPr>
          <w:sz w:val="20"/>
        </w:rPr>
        <w:t>. See also </w:t>
      </w:r>
      <w:r>
        <w:rPr>
          <w:rFonts w:ascii="Arial"/>
          <w:i/>
          <w:sz w:val="20"/>
        </w:rPr>
        <w:t>Slater v Hoyle and Smith [1920] 2 K.B.</w:t>
      </w:r>
      <w:r>
        <w:rPr>
          <w:rFonts w:ascii="Arial"/>
          <w:i/>
          <w:spacing w:val="40"/>
          <w:sz w:val="20"/>
        </w:rPr>
        <w:t> </w:t>
      </w:r>
      <w:r>
        <w:rPr>
          <w:rFonts w:ascii="Arial"/>
          <w:i/>
          <w:sz w:val="20"/>
        </w:rPr>
        <w:t>11</w:t>
      </w:r>
      <w:r>
        <w:rPr>
          <w:rFonts w:ascii="Arial"/>
          <w:i/>
          <w:spacing w:val="-1"/>
          <w:sz w:val="20"/>
        </w:rPr>
        <w:t> </w:t>
      </w:r>
      <w:r>
        <w:rPr>
          <w:sz w:val="20"/>
        </w:rPr>
        <w:t>(but</w:t>
      </w:r>
      <w:r>
        <w:rPr>
          <w:spacing w:val="-1"/>
          <w:sz w:val="20"/>
        </w:rPr>
        <w:t> </w:t>
      </w:r>
      <w:r>
        <w:rPr>
          <w:sz w:val="20"/>
        </w:rPr>
        <w:t>on</w:t>
      </w:r>
      <w:r>
        <w:rPr>
          <w:spacing w:val="-1"/>
          <w:sz w:val="20"/>
        </w:rPr>
        <w:t> </w:t>
      </w:r>
      <w:r>
        <w:rPr>
          <w:sz w:val="20"/>
        </w:rPr>
        <w:t>this</w:t>
      </w:r>
      <w:r>
        <w:rPr>
          <w:spacing w:val="-1"/>
          <w:sz w:val="20"/>
        </w:rPr>
        <w:t> </w:t>
      </w:r>
      <w:r>
        <w:rPr>
          <w:sz w:val="20"/>
        </w:rPr>
        <w:t>case</w:t>
      </w:r>
      <w:r>
        <w:rPr>
          <w:spacing w:val="-1"/>
          <w:sz w:val="20"/>
        </w:rPr>
        <w:t> </w:t>
      </w:r>
      <w:r>
        <w:rPr>
          <w:sz w:val="20"/>
        </w:rPr>
        <w:t>see</w:t>
      </w:r>
      <w:r>
        <w:rPr>
          <w:spacing w:val="-1"/>
          <w:sz w:val="20"/>
        </w:rPr>
        <w:t> </w:t>
      </w:r>
      <w:r>
        <w:rPr>
          <w:sz w:val="20"/>
        </w:rPr>
        <w:t>now</w:t>
      </w:r>
      <w:r>
        <w:rPr>
          <w:spacing w:val="-1"/>
          <w:sz w:val="20"/>
        </w:rPr>
        <w:t> </w:t>
      </w:r>
      <w:r>
        <w:rPr>
          <w:rFonts w:ascii="Arial"/>
          <w:i/>
          <w:sz w:val="20"/>
        </w:rPr>
        <w:t>Bence</w:t>
      </w:r>
      <w:r>
        <w:rPr>
          <w:rFonts w:ascii="Arial"/>
          <w:i/>
          <w:spacing w:val="-1"/>
          <w:sz w:val="20"/>
        </w:rPr>
        <w:t> </w:t>
      </w:r>
      <w:r>
        <w:rPr>
          <w:rFonts w:ascii="Arial"/>
          <w:i/>
          <w:sz w:val="20"/>
        </w:rPr>
        <w:t>Graphics</w:t>
      </w:r>
      <w:r>
        <w:rPr>
          <w:rFonts w:ascii="Arial"/>
          <w:i/>
          <w:spacing w:val="-1"/>
          <w:sz w:val="20"/>
        </w:rPr>
        <w:t> </w:t>
      </w:r>
      <w:r>
        <w:rPr>
          <w:rFonts w:ascii="Arial"/>
          <w:i/>
          <w:sz w:val="20"/>
        </w:rPr>
        <w:t>International</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Fasson</w:t>
      </w:r>
      <w:r>
        <w:rPr>
          <w:rFonts w:ascii="Arial"/>
          <w:i/>
          <w:spacing w:val="-1"/>
          <w:sz w:val="20"/>
        </w:rPr>
        <w:t> </w:t>
      </w:r>
      <w:r>
        <w:rPr>
          <w:rFonts w:ascii="Arial"/>
          <w:i/>
          <w:sz w:val="20"/>
        </w:rPr>
        <w:t>UK</w:t>
      </w:r>
      <w:r>
        <w:rPr>
          <w:rFonts w:ascii="Arial"/>
          <w:i/>
          <w:spacing w:val="-1"/>
          <w:sz w:val="20"/>
        </w:rPr>
        <w:t> </w:t>
      </w:r>
      <w:r>
        <w:rPr>
          <w:rFonts w:ascii="Arial"/>
          <w:i/>
          <w:sz w:val="20"/>
        </w:rPr>
        <w:t>Ltd</w:t>
      </w:r>
      <w:r>
        <w:rPr>
          <w:rFonts w:ascii="Arial"/>
          <w:i/>
          <w:spacing w:val="-1"/>
          <w:sz w:val="20"/>
        </w:rPr>
        <w:t> </w:t>
      </w:r>
      <w:r>
        <w:rPr>
          <w:rFonts w:ascii="Arial"/>
          <w:i/>
          <w:sz w:val="20"/>
        </w:rPr>
        <w:t>[1998]</w:t>
      </w:r>
      <w:r>
        <w:rPr>
          <w:rFonts w:ascii="Arial"/>
          <w:i/>
          <w:spacing w:val="-1"/>
          <w:sz w:val="20"/>
        </w:rPr>
        <w:t> </w:t>
      </w:r>
      <w:r>
        <w:rPr>
          <w:rFonts w:ascii="Arial"/>
          <w:i/>
          <w:sz w:val="20"/>
        </w:rPr>
        <w:t>Q.B.</w:t>
      </w:r>
      <w:r>
        <w:rPr>
          <w:rFonts w:ascii="Arial"/>
          <w:i/>
          <w:spacing w:val="-1"/>
          <w:sz w:val="20"/>
        </w:rPr>
        <w:t> </w:t>
      </w:r>
      <w:r>
        <w:rPr>
          <w:rFonts w:ascii="Arial"/>
          <w:i/>
          <w:sz w:val="20"/>
        </w:rPr>
        <w:t>87</w:t>
      </w:r>
      <w:r>
        <w:rPr>
          <w:sz w:val="20"/>
        </w:rPr>
        <w:t>, which is discussed above, para.26-159); </w:t>
      </w:r>
      <w:r>
        <w:rPr>
          <w:rFonts w:ascii="Arial"/>
          <w:i/>
          <w:sz w:val="20"/>
        </w:rPr>
        <w:t>The Arpad [1934] P. 189</w:t>
      </w:r>
      <w:r>
        <w:rPr>
          <w:sz w:val="20"/>
        </w:rPr>
        <w:t>.</w:t>
      </w:r>
    </w:p>
    <w:p>
      <w:pPr>
        <w:pStyle w:val="BodyText"/>
        <w:spacing w:before="5"/>
      </w:pPr>
    </w:p>
    <w:p>
      <w:pPr>
        <w:tabs>
          <w:tab w:pos="705" w:val="left" w:leader="none"/>
        </w:tabs>
        <w:spacing w:before="0"/>
        <w:ind w:left="165" w:right="0" w:firstLine="0"/>
        <w:jc w:val="left"/>
        <w:rPr>
          <w:sz w:val="20"/>
        </w:rPr>
      </w:pPr>
      <w:bookmarkStart w:name="_bookmark1704" w:id="1706"/>
      <w:bookmarkEnd w:id="1706"/>
      <w:r>
        <w:rPr/>
      </w:r>
      <w:hyperlink w:history="true" w:anchor="_bookmark1694">
        <w:r>
          <w:rPr>
            <w:color w:val="005DA1"/>
            <w:spacing w:val="-4"/>
            <w:position w:val="5"/>
            <w:sz w:val="14"/>
            <w:u w:val="single" w:color="005DA1"/>
          </w:rPr>
          <w:t>900</w:t>
        </w:r>
      </w:hyperlink>
      <w:r>
        <w:rPr>
          <w:spacing w:val="-4"/>
          <w:position w:val="5"/>
          <w:sz w:val="14"/>
        </w:rPr>
        <w:t>.</w:t>
      </w:r>
      <w:r>
        <w:rPr>
          <w:position w:val="5"/>
          <w:sz w:val="14"/>
        </w:rPr>
        <w:tab/>
      </w:r>
      <w:r>
        <w:rPr>
          <w:rFonts w:ascii="Arial" w:hAnsi="Arial"/>
          <w:i/>
          <w:sz w:val="20"/>
        </w:rPr>
        <w:t>O’Hanlan</w:t>
      </w:r>
      <w:r>
        <w:rPr>
          <w:rFonts w:ascii="Arial" w:hAnsi="Arial"/>
          <w:i/>
          <w:spacing w:val="-1"/>
          <w:sz w:val="20"/>
        </w:rPr>
        <w:t> </w:t>
      </w:r>
      <w:r>
        <w:rPr>
          <w:rFonts w:ascii="Arial" w:hAnsi="Arial"/>
          <w:i/>
          <w:sz w:val="20"/>
        </w:rPr>
        <w:t>v G.W. Ry (1865) 6 B. &amp; S. 484</w:t>
      </w:r>
      <w:r>
        <w:rPr>
          <w:sz w:val="20"/>
        </w:rPr>
        <w:t>; </w:t>
      </w:r>
      <w:r>
        <w:rPr>
          <w:rFonts w:ascii="Arial" w:hAnsi="Arial"/>
          <w:i/>
          <w:sz w:val="20"/>
        </w:rPr>
        <w:t>The Arpad [1934] P. </w:t>
      </w:r>
      <w:r>
        <w:rPr>
          <w:rFonts w:ascii="Arial" w:hAnsi="Arial"/>
          <w:i/>
          <w:spacing w:val="-4"/>
          <w:sz w:val="20"/>
        </w:rPr>
        <w:t>189</w:t>
      </w:r>
      <w:r>
        <w:rPr>
          <w:spacing w:val="-4"/>
          <w:sz w:val="20"/>
        </w:rPr>
        <w:t>.</w:t>
      </w:r>
    </w:p>
    <w:p>
      <w:pPr>
        <w:pStyle w:val="BodyText"/>
        <w:spacing w:before="9"/>
      </w:pPr>
    </w:p>
    <w:p>
      <w:pPr>
        <w:spacing w:line="235" w:lineRule="auto" w:before="0"/>
        <w:ind w:left="705" w:right="167" w:hanging="541"/>
        <w:jc w:val="both"/>
        <w:rPr>
          <w:sz w:val="20"/>
        </w:rPr>
      </w:pPr>
      <w:bookmarkStart w:name="_bookmark1705" w:id="1707"/>
      <w:bookmarkEnd w:id="1707"/>
      <w:r>
        <w:rPr/>
      </w:r>
      <w:hyperlink w:history="true" w:anchor="_bookmark1695">
        <w:r>
          <w:rPr>
            <w:color w:val="005DA1"/>
            <w:position w:val="5"/>
            <w:sz w:val="14"/>
            <w:u w:val="single" w:color="005DA1"/>
          </w:rPr>
          <w:t>901</w:t>
        </w:r>
      </w:hyperlink>
      <w:r>
        <w:rPr>
          <w:position w:val="5"/>
          <w:sz w:val="14"/>
        </w:rPr>
        <w:t>.</w:t>
      </w:r>
      <w:r>
        <w:rPr>
          <w:spacing w:val="80"/>
          <w:position w:val="5"/>
          <w:sz w:val="14"/>
        </w:rPr>
        <w:t>  </w:t>
      </w:r>
      <w:r>
        <w:rPr>
          <w:sz w:val="20"/>
        </w:rPr>
        <w:t>“Where there is a market it must be assumed to be in the contemplation of the parties as a</w:t>
      </w:r>
      <w:r>
        <w:rPr>
          <w:spacing w:val="40"/>
          <w:sz w:val="20"/>
        </w:rPr>
        <w:t> </w:t>
      </w:r>
      <w:r>
        <w:rPr>
          <w:sz w:val="20"/>
        </w:rPr>
        <w:t>grave danger that the goods may be sold on arrival so that if there is a delay one of </w:t>
      </w:r>
      <w:r>
        <w:rPr>
          <w:sz w:val="20"/>
        </w:rPr>
        <w:t>the consequences may be loss of market”: </w:t>
      </w:r>
      <w:r>
        <w:rPr>
          <w:rFonts w:ascii="Arial" w:hAnsi="Arial"/>
          <w:i/>
          <w:sz w:val="20"/>
        </w:rPr>
        <w:t>Koufos v C. Czarnikow Ltd, The Heron II [1969] 1 A.C. 350, 427</w:t>
      </w:r>
      <w:r>
        <w:rPr>
          <w:sz w:val="20"/>
        </w:rPr>
        <w:t>.</w:t>
      </w:r>
    </w:p>
    <w:p>
      <w:pPr>
        <w:pStyle w:val="BodyText"/>
        <w:spacing w:before="8"/>
      </w:pPr>
    </w:p>
    <w:p>
      <w:pPr>
        <w:spacing w:line="235" w:lineRule="auto" w:before="0"/>
        <w:ind w:left="705" w:right="168" w:hanging="541"/>
        <w:jc w:val="both"/>
        <w:rPr>
          <w:sz w:val="20"/>
        </w:rPr>
      </w:pPr>
      <w:bookmarkStart w:name="_bookmark1706" w:id="1708"/>
      <w:bookmarkEnd w:id="1708"/>
      <w:r>
        <w:rPr/>
      </w:r>
      <w:hyperlink w:history="true" w:anchor="_bookmark1696">
        <w:r>
          <w:rPr>
            <w:color w:val="005DA1"/>
            <w:position w:val="5"/>
            <w:sz w:val="14"/>
            <w:u w:val="single" w:color="005DA1"/>
          </w:rPr>
          <w:t>902</w:t>
        </w:r>
      </w:hyperlink>
      <w:r>
        <w:rPr>
          <w:position w:val="5"/>
          <w:sz w:val="14"/>
        </w:rPr>
        <w:t>.</w:t>
      </w:r>
      <w:r>
        <w:rPr>
          <w:spacing w:val="40"/>
          <w:position w:val="5"/>
          <w:sz w:val="14"/>
        </w:rPr>
        <w:t>  </w:t>
      </w:r>
      <w:r>
        <w:rPr>
          <w:rFonts w:ascii="Arial"/>
          <w:i/>
          <w:sz w:val="20"/>
        </w:rPr>
        <w:t>Wilson v Lancs &amp; Yorks Ry (1861) 9 C.B.(N.S.) 632</w:t>
      </w:r>
      <w:r>
        <w:rPr>
          <w:sz w:val="20"/>
        </w:rPr>
        <w:t>; </w:t>
      </w:r>
      <w:r>
        <w:rPr>
          <w:rFonts w:ascii="Arial"/>
          <w:i/>
          <w:sz w:val="20"/>
        </w:rPr>
        <w:t>Collard v S.E. Ry (1861) 7 H. &amp; N. 79</w:t>
      </w:r>
      <w:r>
        <w:rPr>
          <w:sz w:val="20"/>
        </w:rPr>
        <w:t>; </w:t>
      </w:r>
      <w:r>
        <w:rPr>
          <w:rFonts w:ascii="Arial"/>
          <w:i/>
          <w:sz w:val="20"/>
        </w:rPr>
        <w:t>Schulze v G.E. Ry (1887) 19 Q.B.D. 30</w:t>
      </w:r>
      <w:r>
        <w:rPr>
          <w:sz w:val="20"/>
        </w:rPr>
        <w:t>; </w:t>
      </w:r>
      <w:r>
        <w:rPr>
          <w:rFonts w:ascii="Arial"/>
          <w:i/>
          <w:sz w:val="20"/>
        </w:rPr>
        <w:t>Heskell v Continental Express Ltd [1950] 1 All </w:t>
      </w:r>
      <w:r>
        <w:rPr>
          <w:rFonts w:ascii="Arial"/>
          <w:i/>
          <w:sz w:val="20"/>
        </w:rPr>
        <w:t>E.R. 1033, 1046</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07" w:id="1709"/>
      <w:bookmarkEnd w:id="1709"/>
      <w:r>
        <w:rPr/>
      </w:r>
      <w:hyperlink w:history="true" w:anchor="_bookmark1697">
        <w:r>
          <w:rPr>
            <w:color w:val="005DA1"/>
            <w:spacing w:val="-4"/>
            <w:position w:val="5"/>
            <w:sz w:val="14"/>
            <w:u w:val="single" w:color="005DA1"/>
          </w:rPr>
          <w:t>903</w:t>
        </w:r>
      </w:hyperlink>
      <w:r>
        <w:rPr>
          <w:spacing w:val="-4"/>
          <w:position w:val="5"/>
          <w:sz w:val="14"/>
        </w:rPr>
        <w:t>.</w:t>
      </w:r>
      <w:r>
        <w:rPr>
          <w:position w:val="5"/>
          <w:sz w:val="14"/>
        </w:rPr>
        <w:tab/>
      </w:r>
      <w:r>
        <w:rPr>
          <w:rFonts w:ascii="Arial"/>
          <w:i/>
          <w:sz w:val="20"/>
        </w:rPr>
        <w:t>Koufos</w:t>
      </w:r>
      <w:r>
        <w:rPr>
          <w:rFonts w:ascii="Arial"/>
          <w:i/>
          <w:spacing w:val="10"/>
          <w:sz w:val="20"/>
        </w:rPr>
        <w:t> </w:t>
      </w:r>
      <w:r>
        <w:rPr>
          <w:rFonts w:ascii="Arial"/>
          <w:i/>
          <w:sz w:val="20"/>
        </w:rPr>
        <w:t>v</w:t>
      </w:r>
      <w:r>
        <w:rPr>
          <w:rFonts w:ascii="Arial"/>
          <w:i/>
          <w:spacing w:val="11"/>
          <w:sz w:val="20"/>
        </w:rPr>
        <w:t> </w:t>
      </w:r>
      <w:r>
        <w:rPr>
          <w:rFonts w:ascii="Arial"/>
          <w:i/>
          <w:sz w:val="20"/>
        </w:rPr>
        <w:t>C.</w:t>
      </w:r>
      <w:r>
        <w:rPr>
          <w:rFonts w:ascii="Arial"/>
          <w:i/>
          <w:spacing w:val="11"/>
          <w:sz w:val="20"/>
        </w:rPr>
        <w:t> </w:t>
      </w:r>
      <w:r>
        <w:rPr>
          <w:rFonts w:ascii="Arial"/>
          <w:i/>
          <w:sz w:val="20"/>
        </w:rPr>
        <w:t>Czarnikow</w:t>
      </w:r>
      <w:r>
        <w:rPr>
          <w:rFonts w:ascii="Arial"/>
          <w:i/>
          <w:spacing w:val="11"/>
          <w:sz w:val="20"/>
        </w:rPr>
        <w:t> </w:t>
      </w:r>
      <w:r>
        <w:rPr>
          <w:rFonts w:ascii="Arial"/>
          <w:i/>
          <w:sz w:val="20"/>
        </w:rPr>
        <w:t>Ltd</w:t>
      </w:r>
      <w:r>
        <w:rPr>
          <w:rFonts w:ascii="Arial"/>
          <w:i/>
          <w:spacing w:val="11"/>
          <w:sz w:val="20"/>
        </w:rPr>
        <w:t> </w:t>
      </w:r>
      <w:r>
        <w:rPr>
          <w:rFonts w:ascii="Arial"/>
          <w:i/>
          <w:sz w:val="20"/>
        </w:rPr>
        <w:t>[1969]</w:t>
      </w:r>
      <w:r>
        <w:rPr>
          <w:rFonts w:ascii="Arial"/>
          <w:i/>
          <w:spacing w:val="11"/>
          <w:sz w:val="20"/>
        </w:rPr>
        <w:t> </w:t>
      </w:r>
      <w:r>
        <w:rPr>
          <w:rFonts w:ascii="Arial"/>
          <w:i/>
          <w:sz w:val="20"/>
        </w:rPr>
        <w:t>1</w:t>
      </w:r>
      <w:r>
        <w:rPr>
          <w:rFonts w:ascii="Arial"/>
          <w:i/>
          <w:spacing w:val="11"/>
          <w:sz w:val="20"/>
        </w:rPr>
        <w:t> </w:t>
      </w:r>
      <w:r>
        <w:rPr>
          <w:rFonts w:ascii="Arial"/>
          <w:i/>
          <w:sz w:val="20"/>
        </w:rPr>
        <w:t>A.C.</w:t>
      </w:r>
      <w:r>
        <w:rPr>
          <w:rFonts w:ascii="Arial"/>
          <w:i/>
          <w:spacing w:val="11"/>
          <w:sz w:val="20"/>
        </w:rPr>
        <w:t> </w:t>
      </w:r>
      <w:r>
        <w:rPr>
          <w:rFonts w:ascii="Arial"/>
          <w:i/>
          <w:sz w:val="20"/>
        </w:rPr>
        <w:t>350</w:t>
      </w:r>
      <w:r>
        <w:rPr>
          <w:rFonts w:ascii="Arial"/>
          <w:i/>
          <w:spacing w:val="11"/>
          <w:sz w:val="20"/>
        </w:rPr>
        <w:t> </w:t>
      </w:r>
      <w:r>
        <w:rPr>
          <w:rFonts w:ascii="Arial"/>
          <w:i/>
          <w:sz w:val="20"/>
        </w:rPr>
        <w:t>HL</w:t>
      </w:r>
      <w:r>
        <w:rPr>
          <w:sz w:val="20"/>
        </w:rPr>
        <w:t>,</w:t>
      </w:r>
      <w:r>
        <w:rPr>
          <w:spacing w:val="11"/>
          <w:sz w:val="20"/>
        </w:rPr>
        <w:t> </w:t>
      </w:r>
      <w:r>
        <w:rPr>
          <w:sz w:val="20"/>
        </w:rPr>
        <w:t>holding</w:t>
      </w:r>
      <w:r>
        <w:rPr>
          <w:spacing w:val="11"/>
          <w:sz w:val="20"/>
        </w:rPr>
        <w:t> </w:t>
      </w:r>
      <w:r>
        <w:rPr>
          <w:sz w:val="20"/>
        </w:rPr>
        <w:t>that</w:t>
      </w:r>
      <w:r>
        <w:rPr>
          <w:spacing w:val="11"/>
          <w:sz w:val="20"/>
        </w:rPr>
        <w:t> </w:t>
      </w:r>
      <w:r>
        <w:rPr>
          <w:sz w:val="20"/>
        </w:rPr>
        <w:t>the</w:t>
      </w:r>
      <w:r>
        <w:rPr>
          <w:spacing w:val="11"/>
          <w:sz w:val="20"/>
        </w:rPr>
        <w:t> </w:t>
      </w:r>
      <w:r>
        <w:rPr>
          <w:sz w:val="20"/>
        </w:rPr>
        <w:t>rule</w:t>
      </w:r>
      <w:r>
        <w:rPr>
          <w:spacing w:val="11"/>
          <w:sz w:val="20"/>
        </w:rPr>
        <w:t> </w:t>
      </w:r>
      <w:r>
        <w:rPr>
          <w:sz w:val="20"/>
        </w:rPr>
        <w:t>in</w:t>
      </w:r>
      <w:r>
        <w:rPr>
          <w:spacing w:val="11"/>
          <w:sz w:val="20"/>
        </w:rPr>
        <w:t> </w:t>
      </w:r>
      <w:r>
        <w:rPr>
          <w:rFonts w:ascii="Arial"/>
          <w:i/>
          <w:sz w:val="20"/>
        </w:rPr>
        <w:t>The</w:t>
      </w:r>
      <w:r>
        <w:rPr>
          <w:rFonts w:ascii="Arial"/>
          <w:i/>
          <w:spacing w:val="11"/>
          <w:sz w:val="20"/>
        </w:rPr>
        <w:t> </w:t>
      </w:r>
      <w:r>
        <w:rPr>
          <w:rFonts w:ascii="Arial"/>
          <w:i/>
          <w:sz w:val="20"/>
        </w:rPr>
        <w:t>Parana</w:t>
      </w:r>
      <w:r>
        <w:rPr>
          <w:rFonts w:ascii="Arial"/>
          <w:i/>
          <w:spacing w:val="11"/>
          <w:sz w:val="20"/>
        </w:rPr>
        <w:t> </w:t>
      </w:r>
      <w:r>
        <w:rPr>
          <w:rFonts w:ascii="Arial"/>
          <w:i/>
          <w:sz w:val="20"/>
        </w:rPr>
        <w:t>(1877)</w:t>
      </w:r>
      <w:r>
        <w:rPr>
          <w:rFonts w:ascii="Arial"/>
          <w:i/>
          <w:spacing w:val="11"/>
          <w:sz w:val="20"/>
        </w:rPr>
        <w:t> </w:t>
      </w:r>
      <w:r>
        <w:rPr>
          <w:rFonts w:ascii="Arial"/>
          <w:i/>
          <w:spacing w:val="-10"/>
          <w:sz w:val="20"/>
        </w:rPr>
        <w:t>2</w:t>
      </w:r>
    </w:p>
    <w:p>
      <w:pPr>
        <w:spacing w:line="227" w:lineRule="exact" w:before="0"/>
        <w:ind w:left="705" w:right="0" w:firstLine="0"/>
        <w:jc w:val="left"/>
        <w:rPr>
          <w:sz w:val="20"/>
        </w:rPr>
      </w:pPr>
      <w:r>
        <w:rPr>
          <w:rFonts w:ascii="Arial"/>
          <w:i/>
          <w:sz w:val="20"/>
        </w:rPr>
        <w:t>P.D. 118</w:t>
      </w:r>
      <w:r>
        <w:rPr>
          <w:rFonts w:ascii="Arial"/>
          <w:i/>
          <w:spacing w:val="-1"/>
          <w:sz w:val="20"/>
        </w:rPr>
        <w:t> </w:t>
      </w:r>
      <w:r>
        <w:rPr>
          <w:sz w:val="20"/>
        </w:rPr>
        <w:t>was </w:t>
      </w:r>
      <w:r>
        <w:rPr>
          <w:spacing w:val="-2"/>
          <w:sz w:val="20"/>
        </w:rPr>
        <w:t>obsolete.</w:t>
      </w:r>
    </w:p>
    <w:p>
      <w:pPr>
        <w:pStyle w:val="BodyText"/>
        <w:spacing w:before="5"/>
      </w:pPr>
    </w:p>
    <w:p>
      <w:pPr>
        <w:pStyle w:val="BodyText"/>
        <w:tabs>
          <w:tab w:pos="705" w:val="left" w:leader="none"/>
        </w:tabs>
        <w:ind w:left="165"/>
      </w:pPr>
      <w:bookmarkStart w:name="_bookmark1708" w:id="1710"/>
      <w:bookmarkEnd w:id="1710"/>
      <w:r>
        <w:rPr/>
      </w:r>
      <w:hyperlink w:history="true" w:anchor="_bookmark1697">
        <w:r>
          <w:rPr>
            <w:color w:val="005DA1"/>
            <w:spacing w:val="-4"/>
            <w:position w:val="5"/>
            <w:sz w:val="14"/>
            <w:u w:val="single" w:color="005DA1"/>
          </w:rPr>
          <w:t>904</w:t>
        </w:r>
      </w:hyperlink>
      <w:r>
        <w:rPr>
          <w:spacing w:val="-4"/>
          <w:position w:val="5"/>
          <w:sz w:val="14"/>
        </w:rPr>
        <w:t>.</w:t>
      </w:r>
      <w:r>
        <w:rPr>
          <w:position w:val="5"/>
          <w:sz w:val="14"/>
        </w:rPr>
        <w:tab/>
      </w:r>
      <w:r>
        <w:rPr/>
        <w:t>See</w:t>
      </w:r>
      <w:r>
        <w:rPr>
          <w:spacing w:val="-2"/>
        </w:rPr>
        <w:t> </w:t>
      </w:r>
      <w:r>
        <w:rPr/>
        <w:t>above, para.26-</w:t>
      </w:r>
      <w:r>
        <w:rPr>
          <w:spacing w:val="-4"/>
        </w:rPr>
        <w:t>137.</w:t>
      </w:r>
    </w:p>
    <w:p>
      <w:pPr>
        <w:pStyle w:val="BodyText"/>
        <w:spacing w:before="9"/>
      </w:pPr>
    </w:p>
    <w:p>
      <w:pPr>
        <w:spacing w:line="235" w:lineRule="auto" w:before="0"/>
        <w:ind w:left="705" w:right="167" w:hanging="541"/>
        <w:jc w:val="both"/>
        <w:rPr>
          <w:sz w:val="20"/>
        </w:rPr>
      </w:pPr>
      <w:bookmarkStart w:name="_bookmark1709" w:id="1711"/>
      <w:bookmarkEnd w:id="1711"/>
      <w:r>
        <w:rPr/>
      </w:r>
      <w:hyperlink w:history="true" w:anchor="_bookmark1698">
        <w:r>
          <w:rPr>
            <w:color w:val="005DA1"/>
            <w:position w:val="5"/>
            <w:sz w:val="14"/>
            <w:u w:val="single" w:color="005DA1"/>
          </w:rPr>
          <w:t>905</w:t>
        </w:r>
      </w:hyperlink>
      <w:r>
        <w:rPr>
          <w:position w:val="5"/>
          <w:sz w:val="14"/>
        </w:rPr>
        <w:t>.</w:t>
      </w:r>
      <w:r>
        <w:rPr>
          <w:spacing w:val="80"/>
          <w:position w:val="5"/>
          <w:sz w:val="14"/>
        </w:rPr>
        <w:t>  </w:t>
      </w:r>
      <w:r>
        <w:rPr>
          <w:rFonts w:ascii="Arial" w:hAnsi="Arial"/>
          <w:i/>
          <w:sz w:val="20"/>
        </w:rPr>
        <w:t>Millen v Brash (1882) 10 Q.B.D. 142</w:t>
      </w:r>
      <w:r>
        <w:rPr>
          <w:sz w:val="20"/>
        </w:rPr>
        <w:t>; cf. </w:t>
      </w:r>
      <w:r>
        <w:rPr>
          <w:rFonts w:ascii="Arial" w:hAnsi="Arial"/>
          <w:i/>
          <w:sz w:val="20"/>
        </w:rPr>
        <w:t>Romulus Films v William Dempster [1952] 2 Lloyd’s Rep. 535</w:t>
      </w:r>
      <w:r>
        <w:rPr>
          <w:sz w:val="20"/>
        </w:rPr>
        <w:t>. Other expenses recoverable include the cost of searching for the missing </w:t>
      </w:r>
      <w:r>
        <w:rPr>
          <w:sz w:val="20"/>
        </w:rPr>
        <w:t>goods: </w:t>
      </w:r>
      <w:r>
        <w:rPr>
          <w:rFonts w:ascii="Arial" w:hAnsi="Arial"/>
          <w:i/>
          <w:sz w:val="20"/>
        </w:rPr>
        <w:t>Hales v L.N.W. Ry (1863) 4 B. &amp; S. 66</w:t>
      </w:r>
      <w:r>
        <w:rPr>
          <w:sz w:val="20"/>
        </w:rPr>
        <w:t>; </w:t>
      </w:r>
      <w:r>
        <w:rPr>
          <w:rFonts w:ascii="Arial" w:hAnsi="Arial"/>
          <w:i/>
          <w:sz w:val="20"/>
        </w:rPr>
        <w:t>Heskell v Continental Express Ltd [1950] 1 All E.R. 1033, 1046</w:t>
      </w:r>
      <w:r>
        <w:rPr>
          <w:sz w:val="20"/>
        </w:rPr>
        <w:t>.</w:t>
      </w:r>
    </w:p>
    <w:p>
      <w:pPr>
        <w:pStyle w:val="BodyText"/>
        <w:spacing w:before="8"/>
      </w:pPr>
    </w:p>
    <w:p>
      <w:pPr>
        <w:spacing w:line="235" w:lineRule="auto" w:before="1"/>
        <w:ind w:left="705" w:right="167" w:hanging="541"/>
        <w:jc w:val="both"/>
        <w:rPr>
          <w:sz w:val="20"/>
        </w:rPr>
      </w:pPr>
      <w:bookmarkStart w:name="_bookmark1710" w:id="1712"/>
      <w:bookmarkEnd w:id="1712"/>
      <w:r>
        <w:rPr/>
      </w:r>
      <w:hyperlink w:history="true" w:anchor="_bookmark1699">
        <w:r>
          <w:rPr>
            <w:color w:val="005DA1"/>
            <w:position w:val="5"/>
            <w:sz w:val="14"/>
            <w:u w:val="single" w:color="005DA1"/>
          </w:rPr>
          <w:t>906</w:t>
        </w:r>
      </w:hyperlink>
      <w:r>
        <w:rPr>
          <w:position w:val="5"/>
          <w:sz w:val="14"/>
        </w:rPr>
        <w:t>.</w:t>
      </w:r>
      <w:r>
        <w:rPr>
          <w:spacing w:val="80"/>
          <w:position w:val="5"/>
          <w:sz w:val="14"/>
        </w:rPr>
        <w:t> </w:t>
      </w:r>
      <w:r>
        <w:rPr>
          <w:rFonts w:ascii="Arial" w:hAnsi="Arial"/>
          <w:i/>
          <w:sz w:val="20"/>
        </w:rPr>
        <w:t>Monarch S.S. Co v Karlshamns Oljefabriker (A/B) [1949] A.C. 196</w:t>
      </w:r>
      <w:r>
        <w:rPr>
          <w:sz w:val="20"/>
        </w:rPr>
        <w:t>. The claimant must </w:t>
      </w:r>
      <w:r>
        <w:rPr>
          <w:sz w:val="20"/>
        </w:rPr>
        <w:t>act reasonably in his choice of one of the alternatives (a) or (b): at 217–218, 220; where neither alternative is possible, see </w:t>
      </w:r>
      <w:r>
        <w:rPr>
          <w:rFonts w:ascii="Arial" w:hAnsi="Arial"/>
          <w:i/>
          <w:sz w:val="20"/>
        </w:rPr>
        <w:t>Watts, Watts &amp; Co Ltd v Mitsui &amp; Co Ltd [1917] A.C. 227</w:t>
      </w:r>
      <w:r>
        <w:rPr>
          <w:sz w:val="20"/>
        </w:rPr>
        <w:t>.</w:t>
      </w:r>
    </w:p>
    <w:p>
      <w:pPr>
        <w:pStyle w:val="BodyText"/>
        <w:spacing w:before="8"/>
      </w:pPr>
    </w:p>
    <w:p>
      <w:pPr>
        <w:spacing w:line="235" w:lineRule="auto" w:before="1"/>
        <w:ind w:left="705" w:right="167" w:hanging="541"/>
        <w:jc w:val="both"/>
        <w:rPr>
          <w:sz w:val="20"/>
        </w:rPr>
      </w:pPr>
      <w:bookmarkStart w:name="_bookmark1711" w:id="1713"/>
      <w:bookmarkEnd w:id="1713"/>
      <w:r>
        <w:rPr/>
      </w:r>
      <w:hyperlink w:history="true" w:anchor="_bookmark1700">
        <w:r>
          <w:rPr>
            <w:color w:val="005DA1"/>
            <w:position w:val="5"/>
            <w:sz w:val="14"/>
            <w:u w:val="single" w:color="005DA1"/>
          </w:rPr>
          <w:t>907</w:t>
        </w:r>
      </w:hyperlink>
      <w:r>
        <w:rPr>
          <w:position w:val="5"/>
          <w:sz w:val="14"/>
        </w:rPr>
        <w:t>.</w:t>
      </w:r>
      <w:r>
        <w:rPr>
          <w:spacing w:val="80"/>
          <w:w w:val="150"/>
          <w:position w:val="5"/>
          <w:sz w:val="14"/>
        </w:rPr>
        <w:t> </w:t>
      </w:r>
      <w:r>
        <w:rPr>
          <w:rFonts w:ascii="Arial" w:hAnsi="Arial"/>
          <w:i/>
          <w:sz w:val="20"/>
        </w:rPr>
        <w:t>Stroms Bruk Aktiebolag v Hutchison [1905] A.C. 515 </w:t>
      </w:r>
      <w:r>
        <w:rPr>
          <w:sz w:val="20"/>
        </w:rPr>
        <w:t>(no substitute transport was available); </w:t>
      </w:r>
      <w:r>
        <w:rPr>
          <w:rFonts w:ascii="Arial" w:hAnsi="Arial"/>
          <w:i/>
          <w:sz w:val="20"/>
        </w:rPr>
        <w:t>Nissho Co v Livanos (1941) 57 T.L.R. 400</w:t>
      </w:r>
      <w:r>
        <w:rPr>
          <w:sz w:val="20"/>
        </w:rPr>
        <w:t>. Consequential loss is also recoverable: </w:t>
      </w:r>
      <w:r>
        <w:rPr>
          <w:rFonts w:ascii="Arial" w:hAnsi="Arial"/>
          <w:i/>
          <w:sz w:val="20"/>
        </w:rPr>
        <w:t>Heindal </w:t>
      </w:r>
      <w:r>
        <w:rPr>
          <w:rFonts w:ascii="Arial" w:hAnsi="Arial"/>
          <w:i/>
          <w:sz w:val="20"/>
        </w:rPr>
        <w:t>A/S v Questier (1949) 82 Ll.L. Rep. 452 </w:t>
      </w:r>
      <w:r>
        <w:rPr>
          <w:sz w:val="20"/>
        </w:rPr>
        <w:t>(perishable goods). For a recent application of the</w:t>
      </w:r>
      <w:r>
        <w:rPr>
          <w:spacing w:val="40"/>
          <w:sz w:val="20"/>
        </w:rPr>
        <w:t> </w:t>
      </w:r>
      <w:r>
        <w:rPr>
          <w:sz w:val="20"/>
        </w:rPr>
        <w:t>principles stated in this paragraph see </w:t>
      </w:r>
      <w:r>
        <w:rPr>
          <w:rFonts w:ascii="Arial" w:hAnsi="Arial"/>
          <w:i/>
          <w:sz w:val="20"/>
        </w:rPr>
        <w:t>Pacific Interlink Sdn Bhd v Owner of the Asia Star (The Asia Star) [2009] SGHC 91, [2009] 2 Lloyd’s Rep. 387</w:t>
      </w:r>
      <w:r>
        <w:rPr>
          <w:sz w:val="20"/>
        </w:rPr>
        <w:t>.</w:t>
      </w:r>
    </w:p>
    <w:p>
      <w:pPr>
        <w:pStyle w:val="BodyText"/>
        <w:spacing w:before="4"/>
      </w:pPr>
    </w:p>
    <w:p>
      <w:pPr>
        <w:tabs>
          <w:tab w:pos="540" w:val="left" w:leader="none"/>
        </w:tabs>
        <w:spacing w:line="227" w:lineRule="exact" w:before="0"/>
        <w:ind w:left="0" w:right="3" w:firstLine="0"/>
        <w:jc w:val="center"/>
        <w:rPr>
          <w:rFonts w:ascii="Arial" w:hAnsi="Arial"/>
          <w:i/>
          <w:sz w:val="20"/>
        </w:rPr>
      </w:pPr>
      <w:bookmarkStart w:name="_bookmark1712" w:id="1714"/>
      <w:bookmarkEnd w:id="1714"/>
      <w:r>
        <w:rPr/>
      </w:r>
      <w:hyperlink w:history="true" w:anchor="_bookmark1701">
        <w:r>
          <w:rPr>
            <w:color w:val="005DA1"/>
            <w:spacing w:val="-4"/>
            <w:position w:val="5"/>
            <w:sz w:val="14"/>
            <w:u w:val="single" w:color="005DA1"/>
          </w:rPr>
          <w:t>908</w:t>
        </w:r>
      </w:hyperlink>
      <w:r>
        <w:rPr>
          <w:spacing w:val="-4"/>
          <w:position w:val="5"/>
          <w:sz w:val="14"/>
        </w:rPr>
        <w:t>.</w:t>
      </w:r>
      <w:r>
        <w:rPr>
          <w:position w:val="5"/>
          <w:sz w:val="14"/>
        </w:rPr>
        <w:tab/>
      </w:r>
      <w:r>
        <w:rPr>
          <w:rFonts w:ascii="Arial" w:hAnsi="Arial"/>
          <w:i/>
          <w:sz w:val="20"/>
        </w:rPr>
        <w:t>Smith</w:t>
      </w:r>
      <w:r>
        <w:rPr>
          <w:rFonts w:ascii="Arial" w:hAnsi="Arial"/>
          <w:i/>
          <w:spacing w:val="-1"/>
          <w:sz w:val="20"/>
        </w:rPr>
        <w:t> </w:t>
      </w:r>
      <w:r>
        <w:rPr>
          <w:rFonts w:ascii="Arial" w:hAnsi="Arial"/>
          <w:i/>
          <w:sz w:val="20"/>
        </w:rPr>
        <w:t>v M’Guire (1858) 3 H. &amp; N. 554</w:t>
      </w:r>
      <w:r>
        <w:rPr>
          <w:sz w:val="20"/>
        </w:rPr>
        <w:t>;</w:t>
      </w:r>
      <w:r>
        <w:rPr>
          <w:spacing w:val="-1"/>
          <w:sz w:val="20"/>
        </w:rPr>
        <w:t> </w:t>
      </w:r>
      <w:r>
        <w:rPr>
          <w:rFonts w:ascii="Arial" w:hAnsi="Arial"/>
          <w:i/>
          <w:sz w:val="20"/>
        </w:rPr>
        <w:t>Aitken Lilburn v Ernsthausen [1894] 1 Q.B. 773</w:t>
      </w:r>
      <w:r>
        <w:rPr>
          <w:sz w:val="20"/>
        </w:rPr>
        <w:t>; </w:t>
      </w:r>
      <w:r>
        <w:rPr>
          <w:rFonts w:ascii="Arial" w:hAnsi="Arial"/>
          <w:i/>
          <w:spacing w:val="-2"/>
          <w:sz w:val="20"/>
        </w:rPr>
        <w:t>Wallems</w:t>
      </w:r>
    </w:p>
    <w:p>
      <w:pPr>
        <w:spacing w:line="227" w:lineRule="exact" w:before="0"/>
        <w:ind w:left="705" w:right="0" w:firstLine="0"/>
        <w:jc w:val="left"/>
        <w:rPr>
          <w:sz w:val="20"/>
        </w:rPr>
      </w:pPr>
      <w:r>
        <w:rPr>
          <w:rFonts w:ascii="Arial"/>
          <w:i/>
          <w:sz w:val="20"/>
        </w:rPr>
        <w:t>Rederij A/S v Muller [1927] 2 K.B. 99, </w:t>
      </w:r>
      <w:r>
        <w:rPr>
          <w:rFonts w:ascii="Arial"/>
          <w:i/>
          <w:spacing w:val="-4"/>
          <w:sz w:val="20"/>
        </w:rPr>
        <w:t>105</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pStyle w:val="ListParagraph"/>
        <w:numPr>
          <w:ilvl w:val="0"/>
          <w:numId w:val="10"/>
        </w:numPr>
        <w:tabs>
          <w:tab w:pos="3071" w:val="left" w:leader="none"/>
        </w:tabs>
        <w:spacing w:line="240" w:lineRule="auto" w:before="194" w:after="0"/>
        <w:ind w:left="3071" w:right="0" w:hanging="373"/>
        <w:jc w:val="left"/>
        <w:rPr>
          <w:b/>
          <w:position w:val="11"/>
          <w:sz w:val="12"/>
        </w:rPr>
      </w:pPr>
      <w:bookmarkStart w:name="_bookmark1713" w:id="1715"/>
      <w:bookmarkEnd w:id="1715"/>
      <w:r>
        <w:rPr/>
      </w:r>
      <w:r>
        <w:rPr>
          <w:b/>
          <w:sz w:val="24"/>
        </w:rPr>
        <w:t>- Contracts Concerning Land </w:t>
      </w:r>
      <w:r>
        <w:rPr>
          <w:b/>
          <w:color w:val="005DA1"/>
          <w:spacing w:val="-5"/>
          <w:position w:val="11"/>
          <w:sz w:val="12"/>
          <w:u w:val="single" w:color="005DA1"/>
        </w:rPr>
        <w:t>909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714" w:id="1716"/>
      <w:bookmarkEnd w:id="1716"/>
      <w:r>
        <w:rPr/>
      </w:r>
      <w:r>
        <w:rPr>
          <w:rFonts w:ascii="Arial"/>
          <w:b/>
          <w:sz w:val="18"/>
        </w:rPr>
        <w:t>Contracts for the sale or lease of land</w:t>
      </w:r>
      <w:r>
        <w:rPr>
          <w:rFonts w:ascii="Arial"/>
          <w:b/>
          <w:spacing w:val="-1"/>
          <w:sz w:val="18"/>
        </w:rPr>
        <w:t> </w:t>
      </w:r>
      <w:r>
        <w:rPr>
          <w:rFonts w:ascii="Arial"/>
          <w:b/>
          <w:color w:val="005DA1"/>
          <w:spacing w:val="-5"/>
          <w:sz w:val="18"/>
          <w:u w:val="single" w:color="005DA1"/>
          <w:vertAlign w:val="superscript"/>
        </w:rPr>
        <w:t>910</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165</w:t>
      </w:r>
    </w:p>
    <w:p>
      <w:pPr>
        <w:pStyle w:val="BodyText"/>
        <w:spacing w:line="235" w:lineRule="auto" w:before="202"/>
        <w:ind w:left="164" w:right="167"/>
        <w:jc w:val="both"/>
      </w:pPr>
      <w:bookmarkStart w:name="_bookmark1715" w:id="1717"/>
      <w:bookmarkEnd w:id="1717"/>
      <w:r>
        <w:rPr/>
      </w:r>
      <w:r>
        <w:rPr/>
        <w:t>Full details of the damages recoverable for breaches of contracts relating to the sale or lease of </w:t>
      </w:r>
      <w:r>
        <w:rPr/>
        <w:t>land </w:t>
      </w:r>
      <w:bookmarkStart w:name="_bookmark1716" w:id="1718"/>
      <w:bookmarkEnd w:id="1718"/>
      <w:r>
        <w:rPr/>
        <w:t>(including</w:t>
      </w:r>
      <w:r>
        <w:rPr/>
        <w:t> breaches of the covenants in a conveyance or lease) should be sought elsewhere. </w:t>
      </w:r>
      <w:r>
        <w:rPr>
          <w:color w:val="005DA1"/>
          <w:u w:val="single" w:color="005DA1"/>
          <w:vertAlign w:val="superscript"/>
        </w:rPr>
        <w:t>911</w:t>
      </w:r>
      <w:r>
        <w:rPr>
          <w:color w:val="005DA1"/>
          <w:vertAlign w:val="baseline"/>
        </w:rPr>
        <w:t> </w:t>
      </w:r>
      <w:r>
        <w:rPr>
          <w:vertAlign w:val="baseline"/>
        </w:rPr>
        <w:t>In </w:t>
      </w:r>
      <w:bookmarkStart w:name="_bookmark1717" w:id="1719"/>
      <w:bookmarkEnd w:id="1719"/>
      <w:r>
        <w:rPr>
          <w:vertAlign w:val="baseline"/>
        </w:rPr>
        <w:t>respect</w:t>
      </w:r>
      <w:r>
        <w:rPr>
          <w:vertAlign w:val="baseline"/>
        </w:rPr>
        <w:t> of contracts made after September 27, 1989 the restrictive rule in </w:t>
      </w:r>
      <w:r>
        <w:rPr>
          <w:rFonts w:ascii="Arial" w:hAnsi="Arial"/>
          <w:i/>
          <w:vertAlign w:val="baseline"/>
        </w:rPr>
        <w:t>Bain v Fothergill </w:t>
      </w:r>
      <w:r>
        <w:rPr>
          <w:color w:val="005DA1"/>
          <w:u w:val="single" w:color="005DA1"/>
          <w:vertAlign w:val="superscript"/>
        </w:rPr>
        <w:t>912</w:t>
      </w:r>
      <w:r>
        <w:rPr>
          <w:color w:val="005DA1"/>
          <w:vertAlign w:val="baseline"/>
        </w:rPr>
        <w:t> </w:t>
      </w:r>
      <w:r>
        <w:rPr>
          <w:vertAlign w:val="baseline"/>
        </w:rPr>
        <w:t>(which limited the vendor’s liability) no longer applies. </w:t>
      </w:r>
      <w:r>
        <w:rPr>
          <w:color w:val="005DA1"/>
          <w:u w:val="single" w:color="005DA1"/>
          <w:vertAlign w:val="superscript"/>
        </w:rPr>
        <w:t>913</w:t>
      </w:r>
      <w:r>
        <w:rPr>
          <w:color w:val="005DA1"/>
          <w:vertAlign w:val="baseline"/>
        </w:rPr>
        <w:t> </w:t>
      </w:r>
      <w:r>
        <w:rPr>
          <w:vertAlign w:val="baseline"/>
        </w:rPr>
        <w:t>Thus, a vendor who breaks his contract by failing to convey the land to the purchaser is liable to damages for the purchaser’s loss of bargain and must</w:t>
      </w:r>
      <w:r>
        <w:rPr>
          <w:spacing w:val="40"/>
          <w:vertAlign w:val="baseline"/>
        </w:rPr>
        <w:t> </w:t>
      </w:r>
      <w:bookmarkStart w:name="_bookmark1718" w:id="1720"/>
      <w:bookmarkEnd w:id="1720"/>
      <w:r>
        <w:rPr>
          <w:vertAlign w:val="baseline"/>
        </w:rPr>
        <w:t>pay</w:t>
      </w:r>
      <w:r>
        <w:rPr>
          <w:vertAlign w:val="baseline"/>
        </w:rPr>
        <w:t> damages calculated in accordance with the ordinary rules, viz the market value of the property at </w:t>
      </w:r>
      <w:bookmarkStart w:name="_bookmark1719" w:id="1721"/>
      <w:bookmarkEnd w:id="1721"/>
      <w:r>
        <w:rPr>
          <w:vertAlign w:val="baseline"/>
        </w:rPr>
        <w:t>the</w:t>
      </w:r>
      <w:r>
        <w:rPr>
          <w:vertAlign w:val="baseline"/>
        </w:rPr>
        <w:t> fixed time for completion (or at a later time so long as it was reasonable </w:t>
      </w:r>
      <w:r>
        <w:rPr>
          <w:color w:val="005DA1"/>
          <w:u w:val="single" w:color="005DA1"/>
          <w:vertAlign w:val="superscript"/>
        </w:rPr>
        <w:t>914</w:t>
      </w:r>
      <w:r>
        <w:rPr>
          <w:color w:val="005DA1"/>
          <w:vertAlign w:val="baseline"/>
        </w:rPr>
        <w:t> </w:t>
      </w:r>
      <w:r>
        <w:rPr>
          <w:vertAlign w:val="baseline"/>
        </w:rPr>
        <w:t>for the purchaser to continue to seek performance </w:t>
      </w:r>
      <w:r>
        <w:rPr>
          <w:color w:val="005DA1"/>
          <w:u w:val="single" w:color="005DA1"/>
          <w:vertAlign w:val="superscript"/>
        </w:rPr>
        <w:t>915</w:t>
      </w:r>
      <w:r>
        <w:rPr>
          <w:vertAlign w:val="baseline"/>
        </w:rPr>
        <w:t>), less the contract price. </w:t>
      </w:r>
      <w:r>
        <w:rPr>
          <w:color w:val="005DA1"/>
          <w:u w:val="single" w:color="005DA1"/>
          <w:vertAlign w:val="superscript"/>
        </w:rPr>
        <w:t>916</w:t>
      </w:r>
      <w:r>
        <w:rPr>
          <w:color w:val="005DA1"/>
          <w:vertAlign w:val="baseline"/>
        </w:rPr>
        <w:t> </w:t>
      </w:r>
      <w:r>
        <w:rPr>
          <w:vertAlign w:val="baseline"/>
        </w:rPr>
        <w:t>The purchaser may claim the loss of profit</w:t>
      </w:r>
      <w:r>
        <w:rPr>
          <w:spacing w:val="-1"/>
          <w:vertAlign w:val="baseline"/>
        </w:rPr>
        <w:t> </w:t>
      </w:r>
      <w:r>
        <w:rPr>
          <w:vertAlign w:val="baseline"/>
        </w:rPr>
        <w:t>he</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land</w:t>
      </w:r>
      <w:r>
        <w:rPr>
          <w:spacing w:val="-1"/>
          <w:vertAlign w:val="baseline"/>
        </w:rPr>
        <w:t> </w:t>
      </w:r>
      <w:r>
        <w:rPr>
          <w:vertAlign w:val="baseline"/>
        </w:rPr>
        <w:t>(e.g.</w:t>
      </w:r>
      <w:r>
        <w:rPr>
          <w:spacing w:val="-1"/>
          <w:vertAlign w:val="baseline"/>
        </w:rPr>
        <w:t> </w:t>
      </w:r>
      <w:r>
        <w:rPr>
          <w:vertAlign w:val="baseline"/>
        </w:rPr>
        <w:t>by</w:t>
      </w:r>
      <w:r>
        <w:rPr>
          <w:spacing w:val="-1"/>
          <w:vertAlign w:val="baseline"/>
        </w:rPr>
        <w:t> </w:t>
      </w:r>
      <w:r>
        <w:rPr>
          <w:vertAlign w:val="baseline"/>
        </w:rPr>
        <w:t>converting</w:t>
      </w:r>
      <w:r>
        <w:rPr>
          <w:spacing w:val="-1"/>
          <w:vertAlign w:val="baseline"/>
        </w:rPr>
        <w:t> </w:t>
      </w:r>
      <w:r>
        <w:rPr>
          <w:vertAlign w:val="baseline"/>
        </w:rPr>
        <w:t>a</w:t>
      </w:r>
      <w:r>
        <w:rPr>
          <w:spacing w:val="-1"/>
          <w:vertAlign w:val="baseline"/>
        </w:rPr>
        <w:t> </w:t>
      </w:r>
      <w:r>
        <w:rPr>
          <w:vertAlign w:val="baseline"/>
        </w:rPr>
        <w:t>building</w:t>
      </w:r>
      <w:r>
        <w:rPr>
          <w:spacing w:val="-1"/>
          <w:vertAlign w:val="baseline"/>
        </w:rPr>
        <w:t> </w:t>
      </w:r>
      <w:r>
        <w:rPr>
          <w:vertAlign w:val="baseline"/>
        </w:rPr>
        <w:t>into</w:t>
      </w:r>
      <w:r>
        <w:rPr>
          <w:spacing w:val="-1"/>
          <w:vertAlign w:val="baseline"/>
        </w:rPr>
        <w:t> </w:t>
      </w:r>
      <w:r>
        <w:rPr>
          <w:vertAlign w:val="baseline"/>
        </w:rPr>
        <w:t>flats</w:t>
      </w:r>
      <w:r>
        <w:rPr>
          <w:spacing w:val="-1"/>
          <w:vertAlign w:val="baseline"/>
        </w:rPr>
        <w:t> </w:t>
      </w:r>
      <w:r>
        <w:rPr>
          <w:vertAlign w:val="baseline"/>
        </w:rPr>
        <w:t>and </w:t>
      </w:r>
      <w:bookmarkStart w:name="_bookmark1720" w:id="1722"/>
      <w:bookmarkEnd w:id="1722"/>
      <w:r>
        <w:rPr>
          <w:vertAlign w:val="baseline"/>
        </w:rPr>
        <w:t>offices)</w:t>
      </w:r>
      <w:r>
        <w:rPr>
          <w:vertAlign w:val="baseline"/>
        </w:rPr>
        <w:t> only if the vendor had actual or imputed knowledge of special circumstances showing that the purchaser intended to use the land in that way. </w:t>
      </w:r>
      <w:r>
        <w:rPr>
          <w:color w:val="005DA1"/>
          <w:u w:val="single" w:color="005DA1"/>
          <w:vertAlign w:val="superscript"/>
        </w:rPr>
        <w:t>917</w:t>
      </w:r>
    </w:p>
    <w:p>
      <w:pPr>
        <w:pStyle w:val="BodyText"/>
        <w:spacing w:before="77"/>
      </w:pPr>
    </w:p>
    <w:p>
      <w:pPr>
        <w:spacing w:before="1"/>
        <w:ind w:left="165" w:right="0" w:firstLine="0"/>
        <w:jc w:val="left"/>
        <w:rPr>
          <w:rFonts w:ascii="Arial"/>
          <w:b/>
          <w:sz w:val="24"/>
        </w:rPr>
      </w:pPr>
      <w:r>
        <w:rPr>
          <w:rFonts w:ascii="Arial"/>
          <w:b/>
          <w:sz w:val="24"/>
        </w:rPr>
        <w:t>26-</w:t>
      </w:r>
      <w:r>
        <w:rPr>
          <w:rFonts w:ascii="Arial"/>
          <w:b/>
          <w:spacing w:val="-5"/>
          <w:sz w:val="24"/>
        </w:rPr>
        <w:t>166</w:t>
      </w:r>
    </w:p>
    <w:p>
      <w:pPr>
        <w:pStyle w:val="BodyText"/>
        <w:spacing w:line="235" w:lineRule="auto" w:before="202"/>
        <w:ind w:left="165" w:right="167"/>
        <w:jc w:val="both"/>
      </w:pPr>
      <w:bookmarkStart w:name="_bookmark1721" w:id="1723"/>
      <w:bookmarkEnd w:id="1723"/>
      <w:r>
        <w:rPr/>
      </w:r>
      <w:r>
        <w:rPr/>
        <w:t>If the vendor or lessor delays in completion, the normal measure of damages is the value of the </w:t>
      </w:r>
      <w:r>
        <w:rPr/>
        <w:t>use</w:t>
      </w:r>
      <w:r>
        <w:rPr>
          <w:spacing w:val="80"/>
        </w:rPr>
        <w:t> </w:t>
      </w:r>
      <w:r>
        <w:rPr/>
        <w:t>of the land for the period of delay, viz usually its rental value. </w:t>
      </w:r>
      <w:r>
        <w:rPr>
          <w:color w:val="005DA1"/>
          <w:u w:val="single" w:color="005DA1"/>
          <w:vertAlign w:val="superscript"/>
        </w:rPr>
        <w:t>918</w:t>
      </w:r>
      <w:r>
        <w:rPr>
          <w:color w:val="005DA1"/>
          <w:vertAlign w:val="baseline"/>
        </w:rPr>
        <w:t> </w:t>
      </w:r>
      <w:r>
        <w:rPr>
          <w:vertAlign w:val="baseline"/>
        </w:rPr>
        <w:t>Where the purchaser of land fails to </w:t>
      </w:r>
      <w:bookmarkStart w:name="_bookmark1722" w:id="1724"/>
      <w:bookmarkEnd w:id="1724"/>
      <w:r>
        <w:rPr>
          <w:vertAlign w:val="baseline"/>
        </w:rPr>
        <w:t>complete,</w:t>
      </w:r>
      <w:r>
        <w:rPr>
          <w:vertAlign w:val="baseline"/>
        </w:rPr>
        <w:t> the normal measure of damages is the contract price less the market price at the time fixed for completion, </w:t>
      </w:r>
      <w:r>
        <w:rPr>
          <w:color w:val="005DA1"/>
          <w:u w:val="single" w:color="005DA1"/>
          <w:vertAlign w:val="superscript"/>
        </w:rPr>
        <w:t>919</w:t>
      </w:r>
      <w:r>
        <w:rPr>
          <w:color w:val="005DA1"/>
          <w:vertAlign w:val="baseline"/>
        </w:rPr>
        <w:t> </w:t>
      </w:r>
      <w:r>
        <w:rPr>
          <w:vertAlign w:val="baseline"/>
        </w:rPr>
        <w:t>plus any consequential expenses or loss. </w:t>
      </w:r>
      <w:r>
        <w:rPr>
          <w:color w:val="005DA1"/>
          <w:u w:val="single" w:color="005DA1"/>
          <w:vertAlign w:val="superscript"/>
        </w:rPr>
        <w:t>920</w:t>
      </w:r>
      <w:r>
        <w:rPr>
          <w:color w:val="005DA1"/>
          <w:vertAlign w:val="baseline"/>
        </w:rPr>
        <w:t> </w:t>
      </w:r>
      <w:r>
        <w:rPr>
          <w:vertAlign w:val="baseline"/>
        </w:rPr>
        <w:t>Where the vendor reasonably tried to </w:t>
      </w:r>
      <w:bookmarkStart w:name="_bookmark1723" w:id="1725"/>
      <w:bookmarkEnd w:id="1725"/>
      <w:r>
        <w:rPr>
          <w:vertAlign w:val="baseline"/>
        </w:rPr>
        <w:t>obtain</w:t>
      </w:r>
      <w:r>
        <w:rPr>
          <w:vertAlign w:val="baseline"/>
        </w:rPr>
        <w:t> performance by the purchaser, damages were assessed as at the later time when it was reasonable for him to give up seeking performance. </w:t>
      </w:r>
      <w:r>
        <w:rPr>
          <w:color w:val="005DA1"/>
          <w:u w:val="single" w:color="005DA1"/>
          <w:vertAlign w:val="superscript"/>
        </w:rPr>
        <w:t>921</w:t>
      </w:r>
    </w:p>
    <w:p>
      <w:pPr>
        <w:pStyle w:val="BodyText"/>
      </w:pPr>
    </w:p>
    <w:p>
      <w:pPr>
        <w:pStyle w:val="BodyText"/>
        <w:spacing w:before="36"/>
      </w:pPr>
    </w:p>
    <w:p>
      <w:pPr>
        <w:spacing w:before="1"/>
        <w:ind w:left="165" w:right="0" w:firstLine="0"/>
        <w:jc w:val="both"/>
        <w:rPr>
          <w:rFonts w:ascii="Arial" w:hAnsi="Arial"/>
          <w:b/>
          <w:sz w:val="18"/>
        </w:rPr>
      </w:pPr>
      <w:r>
        <w:rPr>
          <w:rFonts w:ascii="Arial" w:hAnsi="Arial"/>
          <w:b/>
          <w:sz w:val="18"/>
        </w:rPr>
        <w:t>Valuer-surveyor’s report to a </w:t>
      </w:r>
      <w:r>
        <w:rPr>
          <w:rFonts w:ascii="Arial" w:hAnsi="Arial"/>
          <w:b/>
          <w:spacing w:val="-2"/>
          <w:sz w:val="18"/>
        </w:rPr>
        <w:t>purchaser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167</w:t>
      </w:r>
    </w:p>
    <w:p>
      <w:pPr>
        <w:pStyle w:val="BodyText"/>
        <w:spacing w:line="235" w:lineRule="auto" w:before="202"/>
        <w:ind w:left="164" w:right="167"/>
        <w:jc w:val="both"/>
      </w:pPr>
      <w:bookmarkStart w:name="_bookmark1724" w:id="1726"/>
      <w:bookmarkEnd w:id="1726"/>
      <w:r>
        <w:rPr/>
      </w:r>
      <w:r>
        <w:rPr/>
        <w:t>Where, in breach of contract, the defendant surveyor negligently failed to report defects in </w:t>
      </w:r>
      <w:r>
        <w:rPr/>
        <w:t>the</w:t>
      </w:r>
      <w:r>
        <w:rPr>
          <w:spacing w:val="40"/>
        </w:rPr>
        <w:t> </w:t>
      </w:r>
      <w:r>
        <w:rPr/>
        <w:t>property purchased by the claimant in reliance on the report, the claimant’s damages </w:t>
      </w:r>
      <w:r>
        <w:rPr>
          <w:color w:val="005DA1"/>
          <w:u w:val="single" w:color="005DA1"/>
          <w:vertAlign w:val="superscript"/>
        </w:rPr>
        <w:t>922</w:t>
      </w:r>
      <w:r>
        <w:rPr>
          <w:color w:val="005DA1"/>
          <w:vertAlign w:val="baseline"/>
        </w:rPr>
        <w:t> </w:t>
      </w:r>
      <w:r>
        <w:rPr>
          <w:vertAlign w:val="baseline"/>
        </w:rPr>
        <w:t>should be </w:t>
      </w:r>
      <w:bookmarkStart w:name="_bookmark1725" w:id="1727"/>
      <w:bookmarkEnd w:id="1727"/>
      <w:r>
        <w:rPr>
          <w:vertAlign w:val="baseline"/>
        </w:rPr>
        <w:t>assessed</w:t>
      </w:r>
      <w:r>
        <w:rPr>
          <w:vertAlign w:val="baseline"/>
        </w:rPr>
        <w:t> at the difference between the price paid by him and the market value of the property in its actual (defective) condition at the time of the purchase. </w:t>
      </w:r>
      <w:r>
        <w:rPr>
          <w:color w:val="005DA1"/>
          <w:u w:val="single" w:color="005DA1"/>
          <w:vertAlign w:val="superscript"/>
        </w:rPr>
        <w:t>923</w:t>
      </w:r>
      <w:r>
        <w:rPr>
          <w:color w:val="005DA1"/>
          <w:vertAlign w:val="baseline"/>
        </w:rPr>
        <w:t> </w:t>
      </w:r>
      <w:r>
        <w:rPr>
          <w:vertAlign w:val="baseline"/>
        </w:rPr>
        <w:t>Since the surveyor did not contractually </w:t>
      </w:r>
      <w:bookmarkStart w:name="_bookmark1726" w:id="1728"/>
      <w:bookmarkEnd w:id="1728"/>
      <w:r>
        <w:rPr>
          <w:vertAlign w:val="baseline"/>
        </w:rPr>
        <w:t>warrant</w:t>
      </w:r>
      <w:r>
        <w:rPr>
          <w:vertAlign w:val="baseline"/>
        </w:rPr>
        <w:t> that the property was in the condition which he reported, he is not liable to pay the difference between its hypothetical value in the reported condition and its market value in its actual condition. </w:t>
      </w:r>
      <w:r>
        <w:rPr>
          <w:color w:val="005DA1"/>
          <w:u w:val="single" w:color="005DA1"/>
          <w:vertAlign w:val="superscript"/>
        </w:rPr>
        <w:t>924</w:t>
      </w:r>
      <w:r>
        <w:rPr>
          <w:color w:val="005DA1"/>
          <w:vertAlign w:val="baseline"/>
        </w:rPr>
        <w:t> </w:t>
      </w:r>
      <w:bookmarkStart w:name="_bookmark1727" w:id="1729"/>
      <w:bookmarkEnd w:id="1729"/>
      <w:r>
        <w:rPr>
          <w:color w:val="005DA1"/>
          <w:w w:val="92"/>
          <w:vertAlign w:val="baseline"/>
        </w:rPr>
      </w:r>
      <w:r>
        <w:rPr>
          <w:vertAlign w:val="baseline"/>
        </w:rPr>
        <w:t>The diminution in value measure does not depend on whether or not the claimant would have bought the property had the surveyor’s report been carefully made. </w:t>
      </w:r>
      <w:r>
        <w:rPr>
          <w:color w:val="005DA1"/>
          <w:u w:val="single" w:color="005DA1"/>
          <w:vertAlign w:val="superscript"/>
        </w:rPr>
        <w:t>925</w:t>
      </w:r>
      <w:r>
        <w:rPr>
          <w:color w:val="005DA1"/>
          <w:vertAlign w:val="baseline"/>
        </w:rPr>
        <w:t> </w:t>
      </w:r>
      <w:r>
        <w:rPr>
          <w:vertAlign w:val="baseline"/>
        </w:rPr>
        <w:t>But if, on learning of the defects which </w:t>
      </w:r>
      <w:bookmarkStart w:name="_bookmark1728" w:id="1730"/>
      <w:bookmarkEnd w:id="1730"/>
      <w:r>
        <w:rPr>
          <w:vertAlign w:val="baseline"/>
        </w:rPr>
        <w:t>should</w:t>
      </w:r>
      <w:r>
        <w:rPr>
          <w:vertAlign w:val="baseline"/>
        </w:rPr>
        <w:t> have been reported, the claimant had immediately moved out and sold, he might have been able to recover (in addition to the diminution in value measure) his wasted costs. </w:t>
      </w:r>
      <w:r>
        <w:rPr>
          <w:color w:val="005DA1"/>
          <w:u w:val="single" w:color="005DA1"/>
          <w:vertAlign w:val="superscript"/>
        </w:rPr>
        <w:t>926</w:t>
      </w:r>
      <w:r>
        <w:rPr>
          <w:color w:val="005DA1"/>
          <w:vertAlign w:val="baseline"/>
        </w:rPr>
        <w:t> </w:t>
      </w:r>
      <w:r>
        <w:rPr>
          <w:vertAlign w:val="baseline"/>
        </w:rPr>
        <w:t>However, the purchaser may be able to claim damages for “loss of amenity” from his surveyor if an important object </w:t>
      </w:r>
      <w:bookmarkStart w:name="_bookmark1729" w:id="1731"/>
      <w:bookmarkEnd w:id="1731"/>
      <w:r>
        <w:rPr>
          <w:vertAlign w:val="baseline"/>
        </w:rPr>
        <w:t>of</w:t>
      </w:r>
      <w:r>
        <w:rPr>
          <w:vertAlign w:val="baseline"/>
        </w:rPr>
        <w:t> the contract was the enjoyment of that particular amenity, but which, as a result of the surveyor’s breach of contract, was not obtained by the purchaser. </w:t>
      </w:r>
      <w:r>
        <w:rPr>
          <w:color w:val="005DA1"/>
          <w:u w:val="single" w:color="005DA1"/>
          <w:vertAlign w:val="superscript"/>
        </w:rPr>
        <w:t>927</w:t>
      </w:r>
    </w:p>
    <w:p>
      <w:pPr>
        <w:pStyle w:val="BodyText"/>
        <w:spacing w:after="0" w:line="235" w:lineRule="auto"/>
        <w:jc w:val="both"/>
        <w:sectPr>
          <w:headerReference w:type="default" r:id="rId43"/>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Valuer-surveyor’s report to a </w:t>
      </w:r>
      <w:r>
        <w:rPr>
          <w:rFonts w:ascii="Arial" w:hAnsi="Arial"/>
          <w:b/>
          <w:spacing w:val="-2"/>
          <w:sz w:val="18"/>
        </w:rPr>
        <w:t>lender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168</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30" w:id="1732"/>
      <w:bookmarkEnd w:id="1732"/>
      <w:r>
        <w:rPr>
          <w:rFonts w:ascii="Times New Roman" w:hAnsi="Times New Roman"/>
          <w:spacing w:val="10"/>
        </w:rPr>
      </w:r>
      <w:r>
        <w:rPr/>
        <w:t>In the </w:t>
      </w:r>
      <w:r>
        <w:rPr>
          <w:rFonts w:ascii="Arial" w:hAnsi="Arial"/>
          <w:i/>
        </w:rPr>
        <w:t>South Australia </w:t>
      </w:r>
      <w:r>
        <w:rPr/>
        <w:t>case </w:t>
      </w:r>
      <w:r>
        <w:rPr>
          <w:color w:val="005DA1"/>
          <w:u w:val="single" w:color="005DA1"/>
          <w:vertAlign w:val="superscript"/>
        </w:rPr>
        <w:t>928</w:t>
      </w:r>
      <w:r>
        <w:rPr>
          <w:color w:val="005DA1"/>
          <w:vertAlign w:val="baseline"/>
        </w:rPr>
        <w:t> </w:t>
      </w:r>
      <w:r>
        <w:rPr>
          <w:vertAlign w:val="baseline"/>
        </w:rPr>
        <w:t>the House of Lords imposed a limit </w:t>
      </w:r>
      <w:r>
        <w:rPr>
          <w:color w:val="005DA1"/>
          <w:u w:val="single" w:color="005DA1"/>
          <w:vertAlign w:val="superscript"/>
        </w:rPr>
        <w:t>929</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on the extent of damages payable by a valuer who negligently over-values the intended security and the security turns out to </w:t>
      </w:r>
      <w:r>
        <w:rPr>
          <w:vertAlign w:val="baseline"/>
        </w:rPr>
        <w:t>be inadequate through a combination of this and a fall in the value of the property. The lender’s “ultimate loss”</w:t>
      </w:r>
      <w:r>
        <w:rPr>
          <w:spacing w:val="-1"/>
          <w:vertAlign w:val="baseline"/>
        </w:rPr>
        <w:t> </w:t>
      </w:r>
      <w:r>
        <w:rPr>
          <w:vertAlign w:val="baseline"/>
        </w:rPr>
        <w:t>(viz</w:t>
      </w:r>
      <w:r>
        <w:rPr>
          <w:spacing w:val="-1"/>
          <w:vertAlign w:val="baseline"/>
        </w:rPr>
        <w:t> </w:t>
      </w:r>
      <w:r>
        <w:rPr>
          <w:vertAlign w:val="baseline"/>
        </w:rPr>
        <w:t>the</w:t>
      </w:r>
      <w:r>
        <w:rPr>
          <w:spacing w:val="-1"/>
          <w:vertAlign w:val="baseline"/>
        </w:rPr>
        <w:t> </w:t>
      </w:r>
      <w:r>
        <w:rPr>
          <w:vertAlign w:val="baseline"/>
        </w:rPr>
        <w:t>difference</w:t>
      </w:r>
      <w:r>
        <w:rPr>
          <w:spacing w:val="-1"/>
          <w:vertAlign w:val="baseline"/>
        </w:rPr>
        <w:t> </w:t>
      </w:r>
      <w:r>
        <w:rPr>
          <w:vertAlign w:val="baseline"/>
        </w:rPr>
        <w:t>between:</w:t>
      </w:r>
      <w:r>
        <w:rPr>
          <w:spacing w:val="-1"/>
          <w:vertAlign w:val="baseline"/>
        </w:rPr>
        <w:t> </w:t>
      </w:r>
      <w:r>
        <w:rPr>
          <w:vertAlign w:val="baseline"/>
        </w:rPr>
        <w:t>(i)</w:t>
      </w:r>
      <w:r>
        <w:rPr>
          <w:spacing w:val="-1"/>
          <w:vertAlign w:val="baseline"/>
        </w:rPr>
        <w:t> </w:t>
      </w:r>
      <w:r>
        <w:rPr>
          <w:vertAlign w:val="baseline"/>
        </w:rPr>
        <w:t>the</w:t>
      </w:r>
      <w:r>
        <w:rPr>
          <w:spacing w:val="-1"/>
          <w:vertAlign w:val="baseline"/>
        </w:rPr>
        <w:t> </w:t>
      </w:r>
      <w:r>
        <w:rPr>
          <w:vertAlign w:val="baseline"/>
        </w:rPr>
        <w:t>capital</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actual</w:t>
      </w:r>
      <w:r>
        <w:rPr>
          <w:spacing w:val="-1"/>
          <w:vertAlign w:val="baseline"/>
        </w:rPr>
        <w:t> </w:t>
      </w:r>
      <w:r>
        <w:rPr>
          <w:vertAlign w:val="baseline"/>
        </w:rPr>
        <w:t>loan;</w:t>
      </w:r>
      <w:r>
        <w:rPr>
          <w:spacing w:val="-1"/>
          <w:vertAlign w:val="baseline"/>
        </w:rPr>
        <w:t> </w:t>
      </w:r>
      <w:r>
        <w:rPr>
          <w:vertAlign w:val="baseline"/>
        </w:rPr>
        <w:t>and</w:t>
      </w:r>
      <w:r>
        <w:rPr>
          <w:spacing w:val="-1"/>
          <w:vertAlign w:val="baseline"/>
        </w:rPr>
        <w:t> </w:t>
      </w:r>
      <w:r>
        <w:rPr>
          <w:vertAlign w:val="baseline"/>
        </w:rPr>
        <w:t>(ii)</w:t>
      </w:r>
      <w:r>
        <w:rPr>
          <w:spacing w:val="-1"/>
          <w:vertAlign w:val="baseline"/>
        </w:rPr>
        <w:t> </w:t>
      </w:r>
      <w:r>
        <w:rPr>
          <w:vertAlign w:val="baseline"/>
        </w:rPr>
        <w:t>the</w:t>
      </w:r>
      <w:r>
        <w:rPr>
          <w:spacing w:val="-1"/>
          <w:vertAlign w:val="baseline"/>
        </w:rPr>
        <w:t> </w:t>
      </w:r>
      <w:r>
        <w:rPr>
          <w:vertAlign w:val="baseline"/>
        </w:rPr>
        <w:t>net</w:t>
      </w:r>
      <w:r>
        <w:rPr>
          <w:spacing w:val="-1"/>
          <w:vertAlign w:val="baseline"/>
        </w:rPr>
        <w:t> </w:t>
      </w:r>
      <w:r>
        <w:rPr>
          <w:vertAlign w:val="baseline"/>
        </w:rPr>
        <w:t>proceeds</w:t>
      </w:r>
      <w:r>
        <w:rPr>
          <w:spacing w:val="-1"/>
          <w:vertAlign w:val="baseline"/>
        </w:rPr>
        <w:t> </w:t>
      </w:r>
      <w:r>
        <w:rPr>
          <w:vertAlign w:val="baseline"/>
        </w:rPr>
        <w:t>of</w:t>
      </w:r>
      <w:r>
        <w:rPr>
          <w:spacing w:val="-1"/>
          <w:vertAlign w:val="baseline"/>
        </w:rPr>
        <w:t> </w:t>
      </w:r>
      <w:r>
        <w:rPr>
          <w:vertAlign w:val="baseline"/>
        </w:rPr>
        <w:t>realising </w:t>
      </w:r>
      <w:bookmarkStart w:name="_bookmark1731" w:id="1733"/>
      <w:bookmarkEnd w:id="1733"/>
      <w:r>
        <w:rPr>
          <w:vertAlign w:val="baseline"/>
        </w:rPr>
        <w:t>the</w:t>
      </w:r>
      <w:r>
        <w:rPr>
          <w:spacing w:val="74"/>
          <w:vertAlign w:val="baseline"/>
        </w:rPr>
        <w:t> </w:t>
      </w:r>
      <w:r>
        <w:rPr>
          <w:vertAlign w:val="baseline"/>
        </w:rPr>
        <w:t>security,</w:t>
      </w:r>
      <w:r>
        <w:rPr>
          <w:spacing w:val="74"/>
          <w:vertAlign w:val="baseline"/>
        </w:rPr>
        <w:t> </w:t>
      </w:r>
      <w:r>
        <w:rPr>
          <w:vertAlign w:val="baseline"/>
        </w:rPr>
        <w:t>plus</w:t>
      </w:r>
      <w:r>
        <w:rPr>
          <w:spacing w:val="74"/>
          <w:vertAlign w:val="baseline"/>
        </w:rPr>
        <w:t> </w:t>
      </w:r>
      <w:r>
        <w:rPr>
          <w:vertAlign w:val="baseline"/>
        </w:rPr>
        <w:t>any</w:t>
      </w:r>
      <w:r>
        <w:rPr>
          <w:spacing w:val="74"/>
          <w:vertAlign w:val="baseline"/>
        </w:rPr>
        <w:t> </w:t>
      </w:r>
      <w:r>
        <w:rPr>
          <w:vertAlign w:val="baseline"/>
        </w:rPr>
        <w:t>repayments</w:t>
      </w:r>
      <w:r>
        <w:rPr>
          <w:spacing w:val="74"/>
          <w:vertAlign w:val="baseline"/>
        </w:rPr>
        <w:t> </w:t>
      </w:r>
      <w:r>
        <w:rPr>
          <w:vertAlign w:val="baseline"/>
        </w:rPr>
        <w:t>by</w:t>
      </w:r>
      <w:r>
        <w:rPr>
          <w:spacing w:val="74"/>
          <w:vertAlign w:val="baseline"/>
        </w:rPr>
        <w:t> </w:t>
      </w:r>
      <w:r>
        <w:rPr>
          <w:vertAlign w:val="baseline"/>
        </w:rPr>
        <w:t>the</w:t>
      </w:r>
      <w:r>
        <w:rPr>
          <w:spacing w:val="74"/>
          <w:vertAlign w:val="baseline"/>
        </w:rPr>
        <w:t> </w:t>
      </w:r>
      <w:r>
        <w:rPr>
          <w:vertAlign w:val="baseline"/>
        </w:rPr>
        <w:t>borrower)</w:t>
      </w:r>
      <w:r>
        <w:rPr>
          <w:spacing w:val="74"/>
          <w:vertAlign w:val="baseline"/>
        </w:rPr>
        <w:t> </w:t>
      </w:r>
      <w:r>
        <w:rPr>
          <w:vertAlign w:val="baseline"/>
        </w:rPr>
        <w:t>is</w:t>
      </w:r>
      <w:r>
        <w:rPr>
          <w:spacing w:val="74"/>
          <w:vertAlign w:val="baseline"/>
        </w:rPr>
        <w:t> </w:t>
      </w:r>
      <w:r>
        <w:rPr>
          <w:vertAlign w:val="baseline"/>
        </w:rPr>
        <w:t>caused</w:t>
      </w:r>
      <w:r>
        <w:rPr>
          <w:spacing w:val="74"/>
          <w:vertAlign w:val="baseline"/>
        </w:rPr>
        <w:t> </w:t>
      </w:r>
      <w:r>
        <w:rPr>
          <w:vertAlign w:val="baseline"/>
        </w:rPr>
        <w:t>by,</w:t>
      </w:r>
      <w:r>
        <w:rPr>
          <w:spacing w:val="74"/>
          <w:vertAlign w:val="baseline"/>
        </w:rPr>
        <w:t> </w:t>
      </w:r>
      <w:r>
        <w:rPr>
          <w:vertAlign w:val="baseline"/>
        </w:rPr>
        <w:t>and</w:t>
      </w:r>
      <w:r>
        <w:rPr>
          <w:spacing w:val="74"/>
          <w:vertAlign w:val="baseline"/>
        </w:rPr>
        <w:t> </w:t>
      </w:r>
      <w:r>
        <w:rPr>
          <w:vertAlign w:val="baseline"/>
        </w:rPr>
        <w:t>is</w:t>
      </w:r>
      <w:r>
        <w:rPr>
          <w:spacing w:val="74"/>
          <w:vertAlign w:val="baseline"/>
        </w:rPr>
        <w:t> </w:t>
      </w:r>
      <w:r>
        <w:rPr>
          <w:vertAlign w:val="baseline"/>
        </w:rPr>
        <w:t>not</w:t>
      </w:r>
      <w:r>
        <w:rPr>
          <w:spacing w:val="74"/>
          <w:vertAlign w:val="baseline"/>
        </w:rPr>
        <w:t> </w:t>
      </w:r>
      <w:r>
        <w:rPr>
          <w:vertAlign w:val="baseline"/>
        </w:rPr>
        <w:t>too</w:t>
      </w:r>
      <w:r>
        <w:rPr>
          <w:spacing w:val="74"/>
          <w:vertAlign w:val="baseline"/>
        </w:rPr>
        <w:t> </w:t>
      </w:r>
      <w:r>
        <w:rPr>
          <w:vertAlign w:val="baseline"/>
        </w:rPr>
        <w:t>remote</w:t>
      </w:r>
      <w:r>
        <w:rPr>
          <w:spacing w:val="74"/>
          <w:vertAlign w:val="baseline"/>
        </w:rPr>
        <w:t> </w:t>
      </w:r>
      <w:r>
        <w:rPr>
          <w:spacing w:val="-10"/>
          <w:vertAlign w:val="baseline"/>
        </w:rPr>
        <w:t>a</w:t>
      </w:r>
    </w:p>
    <w:p>
      <w:pPr>
        <w:pStyle w:val="BodyText"/>
        <w:spacing w:line="235" w:lineRule="auto" w:before="118"/>
        <w:ind w:left="165" w:right="167"/>
        <w:jc w:val="both"/>
      </w:pPr>
      <w:r>
        <w:rPr/>
        <w:t>consequence of, the negligence </w:t>
      </w:r>
      <w:r>
        <w:rPr>
          <w:color w:val="005DA1"/>
          <w:u w:val="single" w:color="005DA1"/>
          <w:vertAlign w:val="superscript"/>
        </w:rPr>
        <w:t>930</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but the lender’s damages for his capital loss may not </w:t>
      </w:r>
      <w:r>
        <w:rPr>
          <w:vertAlign w:val="baseline"/>
        </w:rPr>
        <w:t>exceed </w:t>
      </w:r>
      <w:bookmarkStart w:name="_bookmark1732" w:id="1734"/>
      <w:bookmarkEnd w:id="1734"/>
      <w:r>
        <w:rPr>
          <w:vertAlign w:val="baseline"/>
        </w:rPr>
        <w:t>the</w:t>
      </w:r>
      <w:r>
        <w:rPr>
          <w:vertAlign w:val="baseline"/>
        </w:rPr>
        <w:t> extent of the initial deficiency in the supposed value of the security, viz the difference between the </w:t>
      </w:r>
      <w:bookmarkStart w:name="_bookmark1733" w:id="1735"/>
      <w:bookmarkEnd w:id="1735"/>
      <w:r>
        <w:rPr>
          <w:vertAlign w:val="baseline"/>
        </w:rPr>
        <w:t>amount</w:t>
      </w:r>
      <w:r>
        <w:rPr>
          <w:vertAlign w:val="baseline"/>
        </w:rPr>
        <w:t> of the defendant’s negligent over-valuation and what would have been a proper </w:t>
      </w:r>
      <w:r>
        <w:rPr>
          <w:color w:val="005DA1"/>
          <w:u w:val="single" w:color="005DA1"/>
          <w:vertAlign w:val="superscript"/>
        </w:rPr>
        <w:t>931</w:t>
      </w:r>
      <w:r>
        <w:rPr>
          <w:color w:val="005DA1"/>
          <w:vertAlign w:val="baseline"/>
        </w:rPr>
        <w:t> </w:t>
      </w:r>
      <w:r>
        <w:rPr>
          <w:vertAlign w:val="baseline"/>
        </w:rPr>
        <w:t>valuation </w:t>
      </w:r>
      <w:bookmarkStart w:name="_bookmark1734" w:id="1736"/>
      <w:bookmarkEnd w:id="1736"/>
      <w:r>
        <w:rPr>
          <w:vertAlign w:val="baseline"/>
        </w:rPr>
        <w:t>at</w:t>
      </w:r>
      <w:r>
        <w:rPr>
          <w:vertAlign w:val="baseline"/>
        </w:rPr>
        <w:t> the time of the loan. </w:t>
      </w:r>
      <w:r>
        <w:rPr>
          <w:color w:val="005DA1"/>
          <w:u w:val="single" w:color="005DA1"/>
          <w:vertAlign w:val="superscript"/>
        </w:rPr>
        <w:t>932</w:t>
      </w:r>
      <w:r>
        <w:rPr>
          <w:color w:val="005DA1"/>
          <w:vertAlign w:val="baseline"/>
        </w:rPr>
        <w:t> </w:t>
      </w:r>
      <w:r>
        <w:rPr>
          <w:vertAlign w:val="baseline"/>
        </w:rPr>
        <w:t>Within this limit, however, the</w:t>
      </w:r>
      <w:r>
        <w:rPr>
          <w:spacing w:val="1"/>
          <w:vertAlign w:val="baseline"/>
        </w:rPr>
        <w:t> </w:t>
      </w:r>
      <w:r>
        <w:rPr>
          <w:vertAlign w:val="baseline"/>
        </w:rPr>
        <w:t>lender may recover his ultimate loss of </w:t>
      </w:r>
      <w:r>
        <w:rPr>
          <w:spacing w:val="-2"/>
          <w:vertAlign w:val="baseline"/>
        </w:rPr>
        <w:t>capital</w:t>
      </w:r>
    </w:p>
    <w:p>
      <w:pPr>
        <w:pStyle w:val="BodyText"/>
        <w:spacing w:line="235" w:lineRule="auto" w:before="118"/>
        <w:ind w:left="165" w:right="167"/>
        <w:jc w:val="both"/>
      </w:pPr>
      <w:r>
        <w:rPr/>
        <w:t>even though it is due to a fall in the market value of the security since the loan was made. </w:t>
      </w:r>
      <w:r>
        <w:rPr>
          <w:color w:val="005DA1"/>
          <w:u w:val="single" w:color="005DA1"/>
          <w:vertAlign w:val="superscript"/>
        </w:rPr>
        <w:t>933</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32"/>
          <w:vertAlign w:val="baseline"/>
        </w:rPr>
        <w:t> </w:t>
      </w:r>
      <w:r>
        <w:rPr>
          <w:vertAlign w:val="baseline"/>
        </w:rPr>
        <w:t>In addition to his claim for loss of capital, the lender may claim: (1) his reasonable expenses of realising the security; and (2) interest (see next paragraph).</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The lender’s claim for </w:t>
      </w:r>
      <w:r>
        <w:rPr>
          <w:rFonts w:ascii="Arial" w:hAns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169</w:t>
      </w:r>
    </w:p>
    <w:p>
      <w:pPr>
        <w:pStyle w:val="BodyText"/>
        <w:spacing w:line="235" w:lineRule="auto" w:before="203"/>
        <w:ind w:left="165" w:right="167"/>
        <w:jc w:val="both"/>
      </w:pPr>
      <w:r>
        <w:rPr/>
        <w:t>In order to decide when interest on the damages should begin, the court must fix the date when </w:t>
      </w:r>
      <w:r>
        <w:rPr/>
        <w:t>the lender first suffers “loss”. In a case in which a security has been overvalued, the lender’s cause of action may not arise until the security is realised and the difference emerges between its value and the outstanding debt. However, it may be clear long before that date that the security has been </w:t>
      </w:r>
      <w:bookmarkStart w:name="_bookmark1735" w:id="1737"/>
      <w:bookmarkEnd w:id="1737"/>
      <w:r>
        <w:rPr/>
        <w:t>overvalued</w:t>
      </w:r>
      <w:r>
        <w:rPr/>
        <w:t> and is inadequate; and if the borrower ceases to pay interest on the loan, the lender is not obliged to wait to bring an action until the security has been realised. According to the </w:t>
      </w:r>
      <w:r>
        <w:rPr>
          <w:rFonts w:ascii="Arial" w:hAnsi="Arial"/>
          <w:i/>
        </w:rPr>
        <w:t>Nykredit </w:t>
      </w:r>
      <w:r>
        <w:rPr/>
        <w:t>case, </w:t>
      </w:r>
      <w:r>
        <w:rPr>
          <w:color w:val="005DA1"/>
          <w:u w:val="single" w:color="005DA1"/>
          <w:vertAlign w:val="superscript"/>
        </w:rPr>
        <w:t>934</w:t>
      </w:r>
      <w:r>
        <w:rPr>
          <w:color w:val="005DA1"/>
          <w:vertAlign w:val="baseline"/>
        </w:rPr>
        <w:t> </w:t>
      </w:r>
      <w:bookmarkStart w:name="_bookmark1736" w:id="1738"/>
      <w:bookmarkEnd w:id="1738"/>
      <w:r>
        <w:rPr>
          <w:color w:val="005DA1"/>
          <w:spacing w:val="8"/>
          <w:vertAlign w:val="baseline"/>
        </w:rPr>
      </w:r>
      <w:r>
        <w:rPr>
          <w:vertAlign w:val="baseline"/>
        </w:rPr>
        <w:t>the lender first suffers “loss” when the amount of the loan (plus interest) exceeds “the value of the rights acquired, namely the borrower’s covenant and the true value of the over-valued property”. </w:t>
      </w:r>
      <w:r>
        <w:rPr>
          <w:color w:val="005DA1"/>
          <w:u w:val="single" w:color="005DA1"/>
          <w:vertAlign w:val="superscript"/>
        </w:rPr>
        <w:t>935</w:t>
      </w:r>
      <w:r>
        <w:rPr>
          <w:color w:val="005DA1"/>
          <w:vertAlign w:val="baseline"/>
        </w:rPr>
        <w:t> </w:t>
      </w:r>
      <w:bookmarkStart w:name="_bookmark1737" w:id="1739"/>
      <w:bookmarkEnd w:id="1739"/>
      <w:r>
        <w:rPr>
          <w:color w:val="005DA1"/>
          <w:w w:val="92"/>
          <w:vertAlign w:val="baseline"/>
        </w:rPr>
      </w:r>
      <w:r>
        <w:rPr>
          <w:vertAlign w:val="baseline"/>
        </w:rPr>
        <w:t>(This case creates the strange possibility of a fluctuating “loss” because it could be wiped out if the </w:t>
      </w:r>
      <w:bookmarkStart w:name="_bookmark1738" w:id="1740"/>
      <w:bookmarkEnd w:id="1740"/>
      <w:r>
        <w:rPr>
          <w:vertAlign w:val="baseline"/>
        </w:rPr>
        <w:t>security</w:t>
      </w:r>
      <w:r>
        <w:rPr>
          <w:vertAlign w:val="baseline"/>
        </w:rPr>
        <w:t> later increased in value and reinstated if its value fell thereafter. </w:t>
      </w:r>
      <w:r>
        <w:rPr>
          <w:color w:val="005DA1"/>
          <w:u w:val="single" w:color="005DA1"/>
          <w:vertAlign w:val="superscript"/>
        </w:rPr>
        <w:t>936</w:t>
      </w:r>
      <w:r>
        <w:rPr>
          <w:vertAlign w:val="baseline"/>
        </w:rPr>
        <w:t>) The rate of interest </w:t>
      </w:r>
      <w:bookmarkStart w:name="_bookmark1739" w:id="1741"/>
      <w:bookmarkEnd w:id="1741"/>
      <w:r>
        <w:rPr>
          <w:vertAlign w:val="baseline"/>
        </w:rPr>
        <w:t>should</w:t>
      </w:r>
      <w:r>
        <w:rPr>
          <w:vertAlign w:val="baseline"/>
        </w:rPr>
        <w:t> be fixed by the court </w:t>
      </w:r>
      <w:r>
        <w:rPr>
          <w:color w:val="005DA1"/>
          <w:u w:val="single" w:color="005DA1"/>
          <w:vertAlign w:val="superscript"/>
        </w:rPr>
        <w:t>937</w:t>
      </w:r>
      <w:r>
        <w:rPr>
          <w:color w:val="005DA1"/>
          <w:vertAlign w:val="baseline"/>
        </w:rPr>
        <w:t> </w:t>
      </w:r>
      <w:r>
        <w:rPr>
          <w:vertAlign w:val="baseline"/>
        </w:rPr>
        <w:t>as compensation for the loss of the use of the capital lent to the borrower. </w:t>
      </w:r>
      <w:r>
        <w:rPr>
          <w:color w:val="005DA1"/>
          <w:u w:val="single" w:color="005DA1"/>
          <w:vertAlign w:val="superscript"/>
        </w:rPr>
        <w:t>938</w:t>
      </w:r>
    </w:p>
    <w:p>
      <w:pPr>
        <w:pStyle w:val="BodyText"/>
      </w:pPr>
    </w:p>
    <w:p>
      <w:pPr>
        <w:pStyle w:val="BodyText"/>
        <w:spacing w:before="34"/>
      </w:pPr>
    </w:p>
    <w:p>
      <w:pPr>
        <w:spacing w:before="0"/>
        <w:ind w:left="165" w:right="0" w:firstLine="0"/>
        <w:jc w:val="left"/>
        <w:rPr>
          <w:rFonts w:ascii="Arial"/>
          <w:b/>
          <w:sz w:val="18"/>
        </w:rPr>
      </w:pPr>
      <w:r>
        <w:rPr>
          <w:rFonts w:ascii="Arial"/>
          <w:b/>
          <w:sz w:val="18"/>
        </w:rPr>
        <w:t>Analogous application of the South Australia </w:t>
      </w:r>
      <w:r>
        <w:rPr>
          <w:rFonts w:ascii="Arial"/>
          <w:b/>
          <w:spacing w:val="-4"/>
          <w:sz w:val="18"/>
        </w:rPr>
        <w:t>case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170</w:t>
      </w:r>
    </w:p>
    <w:p>
      <w:pPr>
        <w:pStyle w:val="BodyText"/>
        <w:spacing w:line="235" w:lineRule="auto" w:before="203"/>
        <w:ind w:left="165" w:right="166"/>
        <w:jc w:val="both"/>
      </w:pPr>
      <w:r>
        <w:rPr/>
        <w:t>The formula placing a limit on the damages used in the </w:t>
      </w:r>
      <w:r>
        <w:rPr>
          <w:rFonts w:ascii="Arial"/>
          <w:i/>
        </w:rPr>
        <w:t>South Australia </w:t>
      </w:r>
      <w:r>
        <w:rPr/>
        <w:t>case, above, has been</w:t>
      </w:r>
      <w:r>
        <w:rPr>
          <w:spacing w:val="40"/>
        </w:rPr>
        <w:t> </w:t>
      </w:r>
      <w:r>
        <w:rPr/>
        <w:t>applied by analogy where the negligence of a solicitor resulted in the lender believing it had more adequate security than it in fact had. The solicitor failed to tell the lender of facts which would have</w:t>
      </w:r>
      <w:r>
        <w:rPr>
          <w:spacing w:val="80"/>
        </w:rPr>
        <w:t> </w:t>
      </w:r>
      <w:r>
        <w:rPr/>
        <w:t>led it to doubt the valuation on which it was relying and so to obtain a second valuation: if this </w:t>
      </w:r>
      <w:r>
        <w:rPr/>
        <w:t>showed </w:t>
      </w:r>
      <w:bookmarkStart w:name="_bookmark1740" w:id="1742"/>
      <w:bookmarkEnd w:id="1742"/>
      <w:r>
        <w:rPr/>
        <w:t>that</w:t>
      </w:r>
      <w:r>
        <w:rPr/>
        <w:t> the first was an overvaluation the solicitor would be liable only to the extent of the difference between the proper valuation and the overvaluation. </w:t>
      </w:r>
      <w:r>
        <w:rPr>
          <w:color w:val="005DA1"/>
          <w:u w:val="single" w:color="005DA1"/>
          <w:vertAlign w:val="superscript"/>
        </w:rPr>
        <w:t>939</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Assessing the “proper” valuation of </w:t>
      </w:r>
      <w:r>
        <w:rPr>
          <w:rFonts w:ascii="Arial" w:hAnsi="Arial"/>
          <w:b/>
          <w:spacing w:val="-2"/>
          <w:sz w:val="18"/>
        </w:rPr>
        <w:t>property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171</w:t>
      </w:r>
    </w:p>
    <w:p>
      <w:pPr>
        <w:pStyle w:val="BodyText"/>
        <w:spacing w:line="235" w:lineRule="auto" w:before="202"/>
        <w:ind w:left="165" w:right="167"/>
        <w:jc w:val="both"/>
      </w:pPr>
      <w:r>
        <w:rPr/>
        <w:t>Where the court must fix the “proper” valuation of a property there is normally a range of </w:t>
      </w:r>
      <w:r>
        <w:rPr/>
        <w:t>valuations which might have been made by reasonably careful valuers; the court must choose the figure which it considers to be the most likely outcome of careful assessment: the defendant is not given the benefit </w:t>
      </w:r>
      <w:bookmarkStart w:name="_bookmark1741" w:id="1743"/>
      <w:bookmarkEnd w:id="1743"/>
      <w:r>
        <w:rPr/>
        <w:t>of</w:t>
      </w:r>
      <w:r>
        <w:rPr/>
        <w:t> damages being assessed by reference to the highest figure which might have been given without negligence. </w:t>
      </w:r>
      <w:r>
        <w:rPr>
          <w:color w:val="005DA1"/>
          <w:u w:val="single" w:color="005DA1"/>
          <w:vertAlign w:val="superscript"/>
        </w:rPr>
        <w:t>940</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77" name="Group 377"/>
                <wp:cNvGraphicFramePr>
                  <a:graphicFrameLocks/>
                </wp:cNvGraphicFramePr>
                <a:graphic>
                  <a:graphicData uri="http://schemas.microsoft.com/office/word/2010/wordprocessingGroup">
                    <wpg:wgp>
                      <wpg:cNvPr id="377" name="Group 377"/>
                      <wpg:cNvGrpSpPr/>
                      <wpg:grpSpPr>
                        <a:xfrm>
                          <a:off x="0" y="0"/>
                          <a:ext cx="5724525" cy="12700"/>
                          <a:chExt cx="5724525" cy="12700"/>
                        </a:xfrm>
                      </wpg:grpSpPr>
                      <wps:wsp>
                        <wps:cNvPr id="378" name="Graphic 378"/>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80"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pStyle w:val="BodyText"/>
        <w:tabs>
          <w:tab w:pos="705" w:val="left" w:leader="none"/>
        </w:tabs>
        <w:ind w:left="165"/>
      </w:pPr>
      <w:hyperlink w:history="true" w:anchor="_bookmark1817">
        <w:r>
          <w:rPr>
            <w:color w:val="005DA1"/>
            <w:spacing w:val="-4"/>
            <w:position w:val="5"/>
            <w:sz w:val="14"/>
            <w:u w:val="single" w:color="005DA1"/>
          </w:rPr>
          <w:t>848</w:t>
        </w:r>
      </w:hyperlink>
      <w:r>
        <w:rPr>
          <w:spacing w:val="-4"/>
          <w:position w:val="5"/>
          <w:sz w:val="14"/>
        </w:rPr>
        <w:t>.</w:t>
      </w:r>
      <w:r>
        <w:rPr>
          <w:position w:val="5"/>
          <w:sz w:val="14"/>
        </w:rPr>
        <w:tab/>
      </w:r>
      <w:r>
        <w:rPr/>
        <w:t>Further illustrations will be found in the various chapters of Vol.II of this </w:t>
      </w:r>
      <w:r>
        <w:rPr>
          <w:spacing w:val="-2"/>
        </w:rPr>
        <w:t>work.</w:t>
      </w:r>
    </w:p>
    <w:p>
      <w:pPr>
        <w:pStyle w:val="BodyText"/>
        <w:spacing w:before="5"/>
      </w:pPr>
    </w:p>
    <w:p>
      <w:pPr>
        <w:pStyle w:val="BodyText"/>
        <w:tabs>
          <w:tab w:pos="705" w:val="left" w:leader="none"/>
        </w:tabs>
        <w:ind w:left="165"/>
      </w:pPr>
      <w:bookmarkStart w:name="_bookmark1742" w:id="1744"/>
      <w:bookmarkEnd w:id="1744"/>
      <w:r>
        <w:rPr/>
      </w:r>
      <w:hyperlink w:history="true" w:anchor="_bookmark1713">
        <w:r>
          <w:rPr>
            <w:color w:val="005DA1"/>
            <w:spacing w:val="-4"/>
            <w:position w:val="5"/>
            <w:sz w:val="14"/>
            <w:u w:val="single" w:color="005DA1"/>
          </w:rPr>
          <w:t>909</w:t>
        </w:r>
      </w:hyperlink>
      <w:r>
        <w:rPr>
          <w:spacing w:val="-4"/>
          <w:position w:val="5"/>
          <w:sz w:val="14"/>
        </w:rPr>
        <w:t>.</w:t>
      </w:r>
      <w:r>
        <w:rPr>
          <w:position w:val="5"/>
          <w:sz w:val="14"/>
        </w:rPr>
        <w:tab/>
      </w:r>
      <w:r>
        <w:rPr/>
        <w:t>On damages for defective building work, see above, para.26-</w:t>
      </w:r>
      <w:r>
        <w:rPr>
          <w:spacing w:val="-4"/>
        </w:rPr>
        <w:t>036.</w:t>
      </w:r>
    </w:p>
    <w:p>
      <w:pPr>
        <w:pStyle w:val="BodyText"/>
        <w:spacing w:before="9"/>
      </w:pPr>
    </w:p>
    <w:p>
      <w:pPr>
        <w:pStyle w:val="BodyText"/>
        <w:tabs>
          <w:tab w:pos="705" w:val="left" w:leader="none"/>
        </w:tabs>
        <w:spacing w:line="235" w:lineRule="auto"/>
        <w:ind w:left="705" w:right="167" w:hanging="541"/>
      </w:pPr>
      <w:bookmarkStart w:name="_bookmark1743" w:id="1745"/>
      <w:bookmarkEnd w:id="1745"/>
      <w:r>
        <w:rPr/>
      </w:r>
      <w:hyperlink w:history="true" w:anchor="_bookmark1714">
        <w:r>
          <w:rPr>
            <w:color w:val="005DA1"/>
            <w:spacing w:val="-4"/>
            <w:position w:val="5"/>
            <w:sz w:val="14"/>
            <w:u w:val="single" w:color="005DA1"/>
          </w:rPr>
          <w:t>910</w:t>
        </w:r>
      </w:hyperlink>
      <w:r>
        <w:rPr>
          <w:spacing w:val="-4"/>
          <w:position w:val="5"/>
          <w:sz w:val="14"/>
        </w:rPr>
        <w:t>.</w:t>
      </w:r>
      <w:r>
        <w:rPr>
          <w:position w:val="5"/>
          <w:sz w:val="14"/>
        </w:rPr>
        <w:tab/>
      </w:r>
      <w:r>
        <w:rPr/>
        <w:t>The</w:t>
      </w:r>
      <w:r>
        <w:rPr>
          <w:spacing w:val="25"/>
        </w:rPr>
        <w:t> </w:t>
      </w:r>
      <w:r>
        <w:rPr/>
        <w:t>usual</w:t>
      </w:r>
      <w:r>
        <w:rPr>
          <w:spacing w:val="25"/>
        </w:rPr>
        <w:t> </w:t>
      </w:r>
      <w:r>
        <w:rPr/>
        <w:t>remedy</w:t>
      </w:r>
      <w:r>
        <w:rPr>
          <w:spacing w:val="25"/>
        </w:rPr>
        <w:t> </w:t>
      </w:r>
      <w:r>
        <w:rPr/>
        <w:t>of</w:t>
      </w:r>
      <w:r>
        <w:rPr>
          <w:spacing w:val="25"/>
        </w:rPr>
        <w:t> </w:t>
      </w:r>
      <w:r>
        <w:rPr/>
        <w:t>a</w:t>
      </w:r>
      <w:r>
        <w:rPr>
          <w:spacing w:val="25"/>
        </w:rPr>
        <w:t> </w:t>
      </w:r>
      <w:r>
        <w:rPr/>
        <w:t>purchaser</w:t>
      </w:r>
      <w:r>
        <w:rPr>
          <w:spacing w:val="25"/>
        </w:rPr>
        <w:t> </w:t>
      </w:r>
      <w:r>
        <w:rPr/>
        <w:t>under</w:t>
      </w:r>
      <w:r>
        <w:rPr>
          <w:spacing w:val="25"/>
        </w:rPr>
        <w:t> </w:t>
      </w:r>
      <w:r>
        <w:rPr/>
        <w:t>such</w:t>
      </w:r>
      <w:r>
        <w:rPr>
          <w:spacing w:val="25"/>
        </w:rPr>
        <w:t> </w:t>
      </w:r>
      <w:r>
        <w:rPr/>
        <w:t>a</w:t>
      </w:r>
      <w:r>
        <w:rPr>
          <w:spacing w:val="25"/>
        </w:rPr>
        <w:t> </w:t>
      </w:r>
      <w:r>
        <w:rPr/>
        <w:t>contract</w:t>
      </w:r>
      <w:r>
        <w:rPr>
          <w:spacing w:val="25"/>
        </w:rPr>
        <w:t> </w:t>
      </w:r>
      <w:r>
        <w:rPr/>
        <w:t>is</w:t>
      </w:r>
      <w:r>
        <w:rPr>
          <w:spacing w:val="25"/>
        </w:rPr>
        <w:t> </w:t>
      </w:r>
      <w:r>
        <w:rPr/>
        <w:t>specific</w:t>
      </w:r>
      <w:r>
        <w:rPr>
          <w:spacing w:val="25"/>
        </w:rPr>
        <w:t> </w:t>
      </w:r>
      <w:r>
        <w:rPr/>
        <w:t>performance:</w:t>
      </w:r>
      <w:r>
        <w:rPr>
          <w:spacing w:val="25"/>
        </w:rPr>
        <w:t> </w:t>
      </w:r>
      <w:r>
        <w:rPr/>
        <w:t>see</w:t>
      </w:r>
      <w:r>
        <w:rPr>
          <w:spacing w:val="25"/>
        </w:rPr>
        <w:t> </w:t>
      </w:r>
      <w:r>
        <w:rPr/>
        <w:t>below, </w:t>
      </w:r>
      <w:r>
        <w:rPr>
          <w:spacing w:val="-2"/>
        </w:rPr>
        <w:t>para.27-007.</w:t>
      </w:r>
    </w:p>
    <w:p>
      <w:pPr>
        <w:pStyle w:val="BodyText"/>
        <w:spacing w:before="9"/>
      </w:pPr>
    </w:p>
    <w:p>
      <w:pPr>
        <w:pStyle w:val="BodyText"/>
        <w:tabs>
          <w:tab w:pos="705" w:val="left" w:leader="none"/>
        </w:tabs>
        <w:spacing w:line="235" w:lineRule="auto"/>
        <w:ind w:left="705" w:right="174" w:hanging="541"/>
      </w:pPr>
      <w:bookmarkStart w:name="_bookmark1744" w:id="1746"/>
      <w:bookmarkEnd w:id="1746"/>
      <w:r>
        <w:rPr/>
      </w:r>
      <w:hyperlink w:history="true" w:anchor="_bookmark1715">
        <w:r>
          <w:rPr>
            <w:color w:val="005DA1"/>
            <w:spacing w:val="-4"/>
            <w:position w:val="5"/>
            <w:sz w:val="14"/>
            <w:u w:val="single" w:color="005DA1"/>
          </w:rPr>
          <w:t>911</w:t>
        </w:r>
      </w:hyperlink>
      <w:r>
        <w:rPr>
          <w:spacing w:val="-4"/>
          <w:position w:val="5"/>
          <w:sz w:val="14"/>
        </w:rPr>
        <w:t>.</w:t>
      </w:r>
      <w:r>
        <w:rPr>
          <w:position w:val="5"/>
          <w:sz w:val="14"/>
        </w:rPr>
        <w:tab/>
      </w:r>
      <w:r>
        <w:rPr/>
        <w:t>See McGregor on Damages, 19th edn (2014), Chs 25 and 26, and the standard textbooks on</w:t>
      </w:r>
      <w:r>
        <w:rPr>
          <w:spacing w:val="40"/>
        </w:rPr>
        <w:t> </w:t>
      </w:r>
      <w:r>
        <w:rPr/>
        <w:t>real property.</w:t>
      </w:r>
    </w:p>
    <w:p>
      <w:pPr>
        <w:pStyle w:val="BodyText"/>
        <w:spacing w:before="9"/>
      </w:pPr>
    </w:p>
    <w:p>
      <w:pPr>
        <w:pStyle w:val="BodyText"/>
        <w:spacing w:line="235" w:lineRule="auto"/>
        <w:ind w:left="705" w:right="167" w:hanging="541"/>
        <w:jc w:val="both"/>
      </w:pPr>
      <w:bookmarkStart w:name="_bookmark1745" w:id="1747"/>
      <w:bookmarkEnd w:id="1747"/>
      <w:r>
        <w:rPr/>
      </w:r>
      <w:hyperlink w:history="true" w:anchor="_bookmark1716">
        <w:r>
          <w:rPr>
            <w:color w:val="005DA1"/>
            <w:position w:val="5"/>
            <w:sz w:val="14"/>
            <w:u w:val="single" w:color="005DA1"/>
          </w:rPr>
          <w:t>912</w:t>
        </w:r>
      </w:hyperlink>
      <w:r>
        <w:rPr>
          <w:position w:val="5"/>
          <w:sz w:val="14"/>
        </w:rPr>
        <w:t>.</w:t>
      </w:r>
      <w:r>
        <w:rPr>
          <w:spacing w:val="80"/>
          <w:position w:val="5"/>
          <w:sz w:val="14"/>
        </w:rPr>
        <w:t>  </w:t>
      </w:r>
      <w:r>
        <w:rPr>
          <w:rFonts w:ascii="Arial" w:hAnsi="Arial"/>
          <w:i/>
        </w:rPr>
        <w:t>(1874) L.R. 7 H.L. 158</w:t>
      </w:r>
      <w:r>
        <w:rPr/>
        <w:t>. The rule provided that where a vendor of land was unable to complete the contract through a defect in his title, no damages could be recovered (in the absence of fraud, misrepresentation, bad faith or default on the part of the vendor) for the loss of the purchaser’s bargain. The exceptions to the rule were developed in a line of authorities, </w:t>
      </w:r>
      <w:r>
        <w:rPr/>
        <w:t>which are no longer cited in this work.</w:t>
      </w:r>
    </w:p>
    <w:p>
      <w:pPr>
        <w:pStyle w:val="BodyText"/>
        <w:spacing w:before="8"/>
      </w:pPr>
    </w:p>
    <w:p>
      <w:pPr>
        <w:pStyle w:val="BodyText"/>
        <w:tabs>
          <w:tab w:pos="705" w:val="left" w:leader="none"/>
        </w:tabs>
        <w:spacing w:line="235" w:lineRule="auto" w:before="1"/>
        <w:ind w:left="705" w:right="174" w:hanging="541"/>
      </w:pPr>
      <w:bookmarkStart w:name="_bookmark1746" w:id="1748"/>
      <w:bookmarkEnd w:id="1748"/>
      <w:r>
        <w:rPr/>
      </w:r>
      <w:hyperlink w:history="true" w:anchor="_bookmark1717">
        <w:r>
          <w:rPr>
            <w:color w:val="005DA1"/>
            <w:spacing w:val="-4"/>
            <w:position w:val="5"/>
            <w:sz w:val="14"/>
            <w:u w:val="single" w:color="005DA1"/>
          </w:rPr>
          <w:t>913</w:t>
        </w:r>
      </w:hyperlink>
      <w:r>
        <w:rPr>
          <w:spacing w:val="-4"/>
          <w:position w:val="5"/>
          <w:sz w:val="14"/>
        </w:rPr>
        <w:t>.</w:t>
      </w:r>
      <w:r>
        <w:rPr>
          <w:position w:val="5"/>
          <w:sz w:val="14"/>
        </w:rPr>
        <w:tab/>
      </w:r>
      <w:r>
        <w:rPr/>
        <w:t>Law of Property (Miscellaneous Provisions) Act 1989 s.3. (The Law Commission had proposed the abolition of the rule: Report No.166.)</w:t>
      </w:r>
    </w:p>
    <w:p>
      <w:pPr>
        <w:pStyle w:val="BodyText"/>
        <w:spacing w:before="9"/>
      </w:pPr>
    </w:p>
    <w:p>
      <w:pPr>
        <w:tabs>
          <w:tab w:pos="705" w:val="left" w:leader="none"/>
        </w:tabs>
        <w:spacing w:line="235" w:lineRule="auto" w:before="0"/>
        <w:ind w:left="705" w:right="174" w:hanging="541"/>
        <w:jc w:val="left"/>
        <w:rPr>
          <w:sz w:val="20"/>
        </w:rPr>
      </w:pPr>
      <w:bookmarkStart w:name="_bookmark1747" w:id="1749"/>
      <w:bookmarkEnd w:id="1749"/>
      <w:r>
        <w:rPr/>
      </w:r>
      <w:hyperlink w:history="true" w:anchor="_bookmark1718">
        <w:r>
          <w:rPr>
            <w:color w:val="005DA1"/>
            <w:spacing w:val="-4"/>
            <w:position w:val="5"/>
            <w:sz w:val="14"/>
            <w:u w:val="single" w:color="005DA1"/>
          </w:rPr>
          <w:t>914</w:t>
        </w:r>
      </w:hyperlink>
      <w:r>
        <w:rPr>
          <w:spacing w:val="-4"/>
          <w:position w:val="5"/>
          <w:sz w:val="14"/>
        </w:rPr>
        <w:t>.</w:t>
      </w:r>
      <w:r>
        <w:rPr>
          <w:position w:val="5"/>
          <w:sz w:val="14"/>
        </w:rPr>
        <w:tab/>
      </w:r>
      <w:r>
        <w:rPr>
          <w:rFonts w:ascii="Arial"/>
          <w:i/>
          <w:sz w:val="20"/>
        </w:rPr>
        <w:t>Malhotra v Choudhury [1980] Ch. 52, 77, 81 </w:t>
      </w:r>
      <w:r>
        <w:rPr>
          <w:sz w:val="20"/>
        </w:rPr>
        <w:t>(some unnecessary delay by the plaintiff led to </w:t>
      </w:r>
      <w:r>
        <w:rPr>
          <w:sz w:val="20"/>
        </w:rPr>
        <w:t>the date for assessment being fixed one year before the hearing).</w:t>
      </w:r>
    </w:p>
    <w:p>
      <w:pPr>
        <w:pStyle w:val="BodyText"/>
        <w:spacing w:before="9"/>
      </w:pPr>
    </w:p>
    <w:p>
      <w:pPr>
        <w:spacing w:line="235" w:lineRule="auto" w:before="0"/>
        <w:ind w:left="705" w:right="167" w:hanging="541"/>
        <w:jc w:val="both"/>
        <w:rPr>
          <w:rFonts w:ascii="Arial" w:hAnsi="Arial"/>
          <w:i/>
          <w:sz w:val="20"/>
        </w:rPr>
      </w:pPr>
      <w:bookmarkStart w:name="_bookmark1748" w:id="1750"/>
      <w:bookmarkEnd w:id="1750"/>
      <w:r>
        <w:rPr/>
      </w:r>
      <w:hyperlink w:history="true" w:anchor="_bookmark1719">
        <w:r>
          <w:rPr>
            <w:color w:val="005DA1"/>
            <w:position w:val="5"/>
            <w:sz w:val="14"/>
            <w:u w:val="single" w:color="005DA1"/>
          </w:rPr>
          <w:t>915</w:t>
        </w:r>
      </w:hyperlink>
      <w:r>
        <w:rPr>
          <w:position w:val="5"/>
          <w:sz w:val="14"/>
        </w:rPr>
        <w:t>.</w:t>
      </w:r>
      <w:r>
        <w:rPr>
          <w:spacing w:val="80"/>
          <w:position w:val="5"/>
          <w:sz w:val="14"/>
        </w:rPr>
        <w:t> </w:t>
      </w:r>
      <w:r>
        <w:rPr>
          <w:sz w:val="20"/>
        </w:rPr>
        <w:t>cf. </w:t>
      </w:r>
      <w:r>
        <w:rPr>
          <w:rFonts w:ascii="Arial" w:hAnsi="Arial"/>
          <w:i/>
          <w:sz w:val="20"/>
        </w:rPr>
        <w:t>Johnson v Agnew [1980] A.C. 367, 401 </w:t>
      </w:r>
      <w:r>
        <w:rPr>
          <w:sz w:val="20"/>
        </w:rPr>
        <w:t>(see below, paras 27-083—27-090: breach by purchaser). cf. </w:t>
      </w:r>
      <w:r>
        <w:rPr>
          <w:rFonts w:ascii="Arial" w:hAnsi="Arial"/>
          <w:i/>
          <w:sz w:val="20"/>
        </w:rPr>
        <w:t>Suleman v Shahsavari [1988] 1 W.L.R. 1181</w:t>
      </w:r>
      <w:r>
        <w:rPr>
          <w:sz w:val="20"/>
        </w:rPr>
        <w:t>. In some cases decided </w:t>
      </w:r>
      <w:r>
        <w:rPr>
          <w:sz w:val="20"/>
        </w:rPr>
        <w:t>before </w:t>
      </w:r>
      <w:r>
        <w:rPr>
          <w:rFonts w:ascii="Arial" w:hAnsi="Arial"/>
          <w:i/>
          <w:sz w:val="20"/>
        </w:rPr>
        <w:t>Johnson v Agnew</w:t>
      </w:r>
      <w:r>
        <w:rPr>
          <w:sz w:val="20"/>
        </w:rPr>
        <w:t>, damages were assessed as at dates later than those originally fixed for completion</w:t>
      </w:r>
      <w:r>
        <w:rPr>
          <w:spacing w:val="12"/>
          <w:sz w:val="20"/>
        </w:rPr>
        <w:t> </w:t>
      </w:r>
      <w:r>
        <w:rPr>
          <w:sz w:val="20"/>
        </w:rPr>
        <w:t>(</w:t>
      </w:r>
      <w:r>
        <w:rPr>
          <w:rFonts w:ascii="Arial" w:hAnsi="Arial"/>
          <w:i/>
          <w:sz w:val="20"/>
        </w:rPr>
        <w:t>Wroth</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Tyler</w:t>
      </w:r>
      <w:r>
        <w:rPr>
          <w:rFonts w:ascii="Arial" w:hAnsi="Arial"/>
          <w:i/>
          <w:spacing w:val="13"/>
          <w:sz w:val="20"/>
        </w:rPr>
        <w:t> </w:t>
      </w:r>
      <w:r>
        <w:rPr>
          <w:rFonts w:ascii="Arial" w:hAnsi="Arial"/>
          <w:i/>
          <w:sz w:val="20"/>
        </w:rPr>
        <w:t>[1974]</w:t>
      </w:r>
      <w:r>
        <w:rPr>
          <w:rFonts w:ascii="Arial" w:hAnsi="Arial"/>
          <w:i/>
          <w:spacing w:val="13"/>
          <w:sz w:val="20"/>
        </w:rPr>
        <w:t> </w:t>
      </w:r>
      <w:r>
        <w:rPr>
          <w:rFonts w:ascii="Arial" w:hAnsi="Arial"/>
          <w:i/>
          <w:sz w:val="20"/>
        </w:rPr>
        <w:t>Ch.</w:t>
      </w:r>
      <w:r>
        <w:rPr>
          <w:rFonts w:ascii="Arial" w:hAnsi="Arial"/>
          <w:i/>
          <w:spacing w:val="13"/>
          <w:sz w:val="20"/>
        </w:rPr>
        <w:t> </w:t>
      </w:r>
      <w:r>
        <w:rPr>
          <w:rFonts w:ascii="Arial" w:hAnsi="Arial"/>
          <w:i/>
          <w:sz w:val="20"/>
        </w:rPr>
        <w:t>30</w:t>
      </w:r>
      <w:r>
        <w:rPr>
          <w:rFonts w:ascii="Arial" w:hAnsi="Arial"/>
          <w:i/>
          <w:spacing w:val="13"/>
          <w:sz w:val="20"/>
        </w:rPr>
        <w:t> </w:t>
      </w:r>
      <w:r>
        <w:rPr>
          <w:sz w:val="20"/>
        </w:rPr>
        <w:t>(as</w:t>
      </w:r>
      <w:r>
        <w:rPr>
          <w:spacing w:val="13"/>
          <w:sz w:val="20"/>
        </w:rPr>
        <w:t> </w:t>
      </w:r>
      <w:r>
        <w:rPr>
          <w:sz w:val="20"/>
        </w:rPr>
        <w:t>at</w:t>
      </w:r>
      <w:r>
        <w:rPr>
          <w:spacing w:val="13"/>
          <w:sz w:val="20"/>
        </w:rPr>
        <w:t> </w:t>
      </w:r>
      <w:r>
        <w:rPr>
          <w:sz w:val="20"/>
        </w:rPr>
        <w:t>the</w:t>
      </w:r>
      <w:r>
        <w:rPr>
          <w:spacing w:val="13"/>
          <w:sz w:val="20"/>
        </w:rPr>
        <w:t> </w:t>
      </w:r>
      <w:r>
        <w:rPr>
          <w:sz w:val="20"/>
        </w:rPr>
        <w:t>date</w:t>
      </w:r>
      <w:r>
        <w:rPr>
          <w:spacing w:val="13"/>
          <w:sz w:val="20"/>
        </w:rPr>
        <w:t> </w:t>
      </w:r>
      <w:r>
        <w:rPr>
          <w:sz w:val="20"/>
        </w:rPr>
        <w:t>of</w:t>
      </w:r>
      <w:r>
        <w:rPr>
          <w:spacing w:val="13"/>
          <w:sz w:val="20"/>
        </w:rPr>
        <w:t> </w:t>
      </w:r>
      <w:r>
        <w:rPr>
          <w:sz w:val="20"/>
        </w:rPr>
        <w:t>hearing);</w:t>
      </w:r>
      <w:r>
        <w:rPr>
          <w:spacing w:val="13"/>
          <w:sz w:val="20"/>
        </w:rPr>
        <w:t> </w:t>
      </w:r>
      <w:r>
        <w:rPr>
          <w:rFonts w:ascii="Arial" w:hAnsi="Arial"/>
          <w:i/>
          <w:sz w:val="20"/>
        </w:rPr>
        <w:t>Grant</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Dawkins</w:t>
      </w:r>
      <w:r>
        <w:rPr>
          <w:rFonts w:ascii="Arial" w:hAnsi="Arial"/>
          <w:i/>
          <w:spacing w:val="13"/>
          <w:sz w:val="20"/>
        </w:rPr>
        <w:t> </w:t>
      </w:r>
      <w:r>
        <w:rPr>
          <w:rFonts w:ascii="Arial" w:hAnsi="Arial"/>
          <w:i/>
          <w:sz w:val="20"/>
        </w:rPr>
        <w:t>[1973]</w:t>
      </w:r>
      <w:r>
        <w:rPr>
          <w:rFonts w:ascii="Arial" w:hAnsi="Arial"/>
          <w:i/>
          <w:spacing w:val="13"/>
          <w:sz w:val="20"/>
        </w:rPr>
        <w:t> </w:t>
      </w:r>
      <w:r>
        <w:rPr>
          <w:rFonts w:ascii="Arial" w:hAnsi="Arial"/>
          <w:i/>
          <w:spacing w:val="-10"/>
          <w:sz w:val="20"/>
        </w:rPr>
        <w:t>1</w:t>
      </w:r>
    </w:p>
    <w:p>
      <w:pPr>
        <w:spacing w:line="235" w:lineRule="auto" w:before="0"/>
        <w:ind w:left="705" w:right="168" w:firstLine="0"/>
        <w:jc w:val="both"/>
        <w:rPr>
          <w:sz w:val="20"/>
        </w:rPr>
      </w:pPr>
      <w:r>
        <w:rPr>
          <w:rFonts w:ascii="Arial"/>
          <w:i/>
          <w:sz w:val="20"/>
        </w:rPr>
        <w:t>W.L.R. 1406</w:t>
      </w:r>
      <w:r>
        <w:rPr>
          <w:sz w:val="20"/>
        </w:rPr>
        <w:t>; </w:t>
      </w:r>
      <w:r>
        <w:rPr>
          <w:rFonts w:ascii="Arial"/>
          <w:i/>
          <w:sz w:val="20"/>
        </w:rPr>
        <w:t>Malhotra v Choudhury [1980] Ch. 52</w:t>
      </w:r>
      <w:r>
        <w:rPr>
          <w:sz w:val="20"/>
        </w:rPr>
        <w:t>), but the reasoning in these cases cannot now be supported, except to the extent that it is consistent with that in </w:t>
      </w:r>
      <w:r>
        <w:rPr>
          <w:rFonts w:ascii="Arial"/>
          <w:i/>
          <w:sz w:val="20"/>
        </w:rPr>
        <w:t>Johnson v Agnew</w:t>
      </w:r>
      <w:r>
        <w:rPr>
          <w:sz w:val="20"/>
        </w:rPr>
        <w:t>.</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1749" w:id="1751"/>
      <w:bookmarkEnd w:id="1751"/>
      <w:r>
        <w:rPr/>
      </w:r>
      <w:hyperlink w:history="true" w:anchor="_bookmark1719">
        <w:r>
          <w:rPr>
            <w:color w:val="005DA1"/>
            <w:spacing w:val="-4"/>
            <w:position w:val="5"/>
            <w:sz w:val="14"/>
            <w:u w:val="single" w:color="005DA1"/>
          </w:rPr>
          <w:t>916</w:t>
        </w:r>
      </w:hyperlink>
      <w:r>
        <w:rPr>
          <w:spacing w:val="-4"/>
          <w:position w:val="5"/>
          <w:sz w:val="14"/>
        </w:rPr>
        <w:t>.</w:t>
      </w:r>
      <w:r>
        <w:rPr>
          <w:position w:val="5"/>
          <w:sz w:val="14"/>
        </w:rPr>
        <w:tab/>
      </w:r>
      <w:r>
        <w:rPr>
          <w:rFonts w:ascii="Arial"/>
          <w:i/>
          <w:sz w:val="20"/>
        </w:rPr>
        <w:t>Godwin</w:t>
      </w:r>
      <w:r>
        <w:rPr>
          <w:rFonts w:ascii="Arial"/>
          <w:i/>
          <w:spacing w:val="30"/>
          <w:sz w:val="20"/>
        </w:rPr>
        <w:t> </w:t>
      </w:r>
      <w:r>
        <w:rPr>
          <w:rFonts w:ascii="Arial"/>
          <w:i/>
          <w:sz w:val="20"/>
        </w:rPr>
        <w:t>v</w:t>
      </w:r>
      <w:r>
        <w:rPr>
          <w:rFonts w:ascii="Arial"/>
          <w:i/>
          <w:spacing w:val="31"/>
          <w:sz w:val="20"/>
        </w:rPr>
        <w:t> </w:t>
      </w:r>
      <w:r>
        <w:rPr>
          <w:rFonts w:ascii="Arial"/>
          <w:i/>
          <w:sz w:val="20"/>
        </w:rPr>
        <w:t>Francis</w:t>
      </w:r>
      <w:r>
        <w:rPr>
          <w:rFonts w:ascii="Arial"/>
          <w:i/>
          <w:spacing w:val="31"/>
          <w:sz w:val="20"/>
        </w:rPr>
        <w:t> </w:t>
      </w:r>
      <w:r>
        <w:rPr>
          <w:rFonts w:ascii="Arial"/>
          <w:i/>
          <w:sz w:val="20"/>
        </w:rPr>
        <w:t>(1870)</w:t>
      </w:r>
      <w:r>
        <w:rPr>
          <w:rFonts w:ascii="Arial"/>
          <w:i/>
          <w:spacing w:val="31"/>
          <w:sz w:val="20"/>
        </w:rPr>
        <w:t> </w:t>
      </w:r>
      <w:r>
        <w:rPr>
          <w:rFonts w:ascii="Arial"/>
          <w:i/>
          <w:sz w:val="20"/>
        </w:rPr>
        <w:t>L.R.</w:t>
      </w:r>
      <w:r>
        <w:rPr>
          <w:rFonts w:ascii="Arial"/>
          <w:i/>
          <w:spacing w:val="31"/>
          <w:sz w:val="20"/>
        </w:rPr>
        <w:t> </w:t>
      </w:r>
      <w:r>
        <w:rPr>
          <w:rFonts w:ascii="Arial"/>
          <w:i/>
          <w:sz w:val="20"/>
        </w:rPr>
        <w:t>2</w:t>
      </w:r>
      <w:r>
        <w:rPr>
          <w:rFonts w:ascii="Arial"/>
          <w:i/>
          <w:spacing w:val="31"/>
          <w:sz w:val="20"/>
        </w:rPr>
        <w:t> </w:t>
      </w:r>
      <w:r>
        <w:rPr>
          <w:rFonts w:ascii="Arial"/>
          <w:i/>
          <w:sz w:val="20"/>
        </w:rPr>
        <w:t>C.P.</w:t>
      </w:r>
      <w:r>
        <w:rPr>
          <w:rFonts w:ascii="Arial"/>
          <w:i/>
          <w:spacing w:val="31"/>
          <w:sz w:val="20"/>
        </w:rPr>
        <w:t> </w:t>
      </w:r>
      <w:r>
        <w:rPr>
          <w:rFonts w:ascii="Arial"/>
          <w:i/>
          <w:sz w:val="20"/>
        </w:rPr>
        <w:t>295</w:t>
      </w:r>
      <w:r>
        <w:rPr>
          <w:sz w:val="20"/>
        </w:rPr>
        <w:t>;</w:t>
      </w:r>
      <w:r>
        <w:rPr>
          <w:spacing w:val="31"/>
          <w:sz w:val="20"/>
        </w:rPr>
        <w:t> </w:t>
      </w:r>
      <w:r>
        <w:rPr>
          <w:rFonts w:ascii="Arial"/>
          <w:i/>
          <w:sz w:val="20"/>
        </w:rPr>
        <w:t>Engel</w:t>
      </w:r>
      <w:r>
        <w:rPr>
          <w:rFonts w:ascii="Arial"/>
          <w:i/>
          <w:spacing w:val="30"/>
          <w:sz w:val="20"/>
        </w:rPr>
        <w:t> </w:t>
      </w:r>
      <w:r>
        <w:rPr>
          <w:rFonts w:ascii="Arial"/>
          <w:i/>
          <w:sz w:val="20"/>
        </w:rPr>
        <w:t>v</w:t>
      </w:r>
      <w:r>
        <w:rPr>
          <w:rFonts w:ascii="Arial"/>
          <w:i/>
          <w:spacing w:val="31"/>
          <w:sz w:val="20"/>
        </w:rPr>
        <w:t> </w:t>
      </w:r>
      <w:r>
        <w:rPr>
          <w:rFonts w:ascii="Arial"/>
          <w:i/>
          <w:sz w:val="20"/>
        </w:rPr>
        <w:t>Fitch</w:t>
      </w:r>
      <w:r>
        <w:rPr>
          <w:rFonts w:ascii="Arial"/>
          <w:i/>
          <w:spacing w:val="31"/>
          <w:sz w:val="20"/>
        </w:rPr>
        <w:t> </w:t>
      </w:r>
      <w:r>
        <w:rPr>
          <w:rFonts w:ascii="Arial"/>
          <w:i/>
          <w:sz w:val="20"/>
        </w:rPr>
        <w:t>(1869)</w:t>
      </w:r>
      <w:r>
        <w:rPr>
          <w:rFonts w:ascii="Arial"/>
          <w:i/>
          <w:spacing w:val="31"/>
          <w:sz w:val="20"/>
        </w:rPr>
        <w:t> </w:t>
      </w:r>
      <w:r>
        <w:rPr>
          <w:rFonts w:ascii="Arial"/>
          <w:i/>
          <w:sz w:val="20"/>
        </w:rPr>
        <w:t>L.R.</w:t>
      </w:r>
      <w:r>
        <w:rPr>
          <w:rFonts w:ascii="Arial"/>
          <w:i/>
          <w:spacing w:val="31"/>
          <w:sz w:val="20"/>
        </w:rPr>
        <w:t> </w:t>
      </w:r>
      <w:r>
        <w:rPr>
          <w:rFonts w:ascii="Arial"/>
          <w:i/>
          <w:sz w:val="20"/>
        </w:rPr>
        <w:t>4</w:t>
      </w:r>
      <w:r>
        <w:rPr>
          <w:rFonts w:ascii="Arial"/>
          <w:i/>
          <w:spacing w:val="31"/>
          <w:sz w:val="20"/>
        </w:rPr>
        <w:t> </w:t>
      </w:r>
      <w:r>
        <w:rPr>
          <w:rFonts w:ascii="Arial"/>
          <w:i/>
          <w:sz w:val="20"/>
        </w:rPr>
        <w:t>Q.B.</w:t>
      </w:r>
      <w:r>
        <w:rPr>
          <w:rFonts w:ascii="Arial"/>
          <w:i/>
          <w:spacing w:val="31"/>
          <w:sz w:val="20"/>
        </w:rPr>
        <w:t> </w:t>
      </w:r>
      <w:r>
        <w:rPr>
          <w:rFonts w:ascii="Arial"/>
          <w:i/>
          <w:sz w:val="20"/>
        </w:rPr>
        <w:t>659</w:t>
      </w:r>
      <w:r>
        <w:rPr>
          <w:sz w:val="20"/>
        </w:rPr>
        <w:t>;</w:t>
      </w:r>
      <w:r>
        <w:rPr>
          <w:spacing w:val="31"/>
          <w:sz w:val="20"/>
        </w:rPr>
        <w:t> </w:t>
      </w:r>
      <w:r>
        <w:rPr>
          <w:rFonts w:ascii="Arial"/>
          <w:i/>
          <w:sz w:val="20"/>
        </w:rPr>
        <w:t>Re</w:t>
      </w:r>
      <w:r>
        <w:rPr>
          <w:rFonts w:ascii="Arial"/>
          <w:i/>
          <w:spacing w:val="31"/>
          <w:sz w:val="20"/>
        </w:rPr>
        <w:t> </w:t>
      </w:r>
      <w:r>
        <w:rPr>
          <w:rFonts w:ascii="Arial"/>
          <w:i/>
          <w:spacing w:val="-2"/>
          <w:sz w:val="20"/>
        </w:rPr>
        <w:t>Daniel</w:t>
      </w:r>
    </w:p>
    <w:p>
      <w:pPr>
        <w:spacing w:line="225" w:lineRule="exact" w:before="0"/>
        <w:ind w:left="0" w:right="168" w:firstLine="0"/>
        <w:jc w:val="right"/>
        <w:rPr>
          <w:rFonts w:ascii="Arial"/>
          <w:i/>
          <w:sz w:val="20"/>
        </w:rPr>
      </w:pPr>
      <w:r>
        <w:rPr>
          <w:rFonts w:ascii="Arial"/>
          <w:i/>
          <w:sz w:val="20"/>
        </w:rPr>
        <w:t>[1917]</w:t>
      </w:r>
      <w:r>
        <w:rPr>
          <w:rFonts w:ascii="Arial"/>
          <w:i/>
          <w:spacing w:val="4"/>
          <w:sz w:val="20"/>
        </w:rPr>
        <w:t> </w:t>
      </w:r>
      <w:r>
        <w:rPr>
          <w:rFonts w:ascii="Arial"/>
          <w:i/>
          <w:sz w:val="20"/>
        </w:rPr>
        <w:t>2</w:t>
      </w:r>
      <w:r>
        <w:rPr>
          <w:rFonts w:ascii="Arial"/>
          <w:i/>
          <w:spacing w:val="5"/>
          <w:sz w:val="20"/>
        </w:rPr>
        <w:t> </w:t>
      </w:r>
      <w:r>
        <w:rPr>
          <w:rFonts w:ascii="Arial"/>
          <w:i/>
          <w:sz w:val="20"/>
        </w:rPr>
        <w:t>Ch.</w:t>
      </w:r>
      <w:r>
        <w:rPr>
          <w:rFonts w:ascii="Arial"/>
          <w:i/>
          <w:spacing w:val="5"/>
          <w:sz w:val="20"/>
        </w:rPr>
        <w:t> </w:t>
      </w:r>
      <w:r>
        <w:rPr>
          <w:rFonts w:ascii="Arial"/>
          <w:i/>
          <w:sz w:val="20"/>
        </w:rPr>
        <w:t>405</w:t>
      </w:r>
      <w:r>
        <w:rPr>
          <w:sz w:val="20"/>
        </w:rPr>
        <w:t>;</w:t>
      </w:r>
      <w:r>
        <w:rPr>
          <w:spacing w:val="5"/>
          <w:sz w:val="20"/>
        </w:rPr>
        <w:t> </w:t>
      </w:r>
      <w:r>
        <w:rPr>
          <w:rFonts w:ascii="Arial"/>
          <w:i/>
          <w:sz w:val="20"/>
        </w:rPr>
        <w:t>Diamond</w:t>
      </w:r>
      <w:r>
        <w:rPr>
          <w:rFonts w:ascii="Arial"/>
          <w:i/>
          <w:spacing w:val="5"/>
          <w:sz w:val="20"/>
        </w:rPr>
        <w:t> </w:t>
      </w:r>
      <w:r>
        <w:rPr>
          <w:rFonts w:ascii="Arial"/>
          <w:i/>
          <w:sz w:val="20"/>
        </w:rPr>
        <w:t>v</w:t>
      </w:r>
      <w:r>
        <w:rPr>
          <w:rFonts w:ascii="Arial"/>
          <w:i/>
          <w:spacing w:val="5"/>
          <w:sz w:val="20"/>
        </w:rPr>
        <w:t> </w:t>
      </w:r>
      <w:r>
        <w:rPr>
          <w:rFonts w:ascii="Arial"/>
          <w:i/>
          <w:sz w:val="20"/>
        </w:rPr>
        <w:t>Campbell-Jones</w:t>
      </w:r>
      <w:r>
        <w:rPr>
          <w:rFonts w:ascii="Arial"/>
          <w:i/>
          <w:spacing w:val="5"/>
          <w:sz w:val="20"/>
        </w:rPr>
        <w:t> </w:t>
      </w:r>
      <w:r>
        <w:rPr>
          <w:rFonts w:ascii="Arial"/>
          <w:i/>
          <w:sz w:val="20"/>
        </w:rPr>
        <w:t>[1961]</w:t>
      </w:r>
      <w:r>
        <w:rPr>
          <w:rFonts w:ascii="Arial"/>
          <w:i/>
          <w:spacing w:val="5"/>
          <w:sz w:val="20"/>
        </w:rPr>
        <w:t> </w:t>
      </w:r>
      <w:r>
        <w:rPr>
          <w:rFonts w:ascii="Arial"/>
          <w:i/>
          <w:sz w:val="20"/>
        </w:rPr>
        <w:t>Ch.</w:t>
      </w:r>
      <w:r>
        <w:rPr>
          <w:rFonts w:ascii="Arial"/>
          <w:i/>
          <w:spacing w:val="4"/>
          <w:sz w:val="20"/>
        </w:rPr>
        <w:t> </w:t>
      </w:r>
      <w:r>
        <w:rPr>
          <w:rFonts w:ascii="Arial"/>
          <w:i/>
          <w:sz w:val="20"/>
        </w:rPr>
        <w:t>22</w:t>
      </w:r>
      <w:r>
        <w:rPr>
          <w:sz w:val="20"/>
        </w:rPr>
        <w:t>;</w:t>
      </w:r>
      <w:r>
        <w:rPr>
          <w:spacing w:val="5"/>
          <w:sz w:val="20"/>
        </w:rPr>
        <w:t> </w:t>
      </w:r>
      <w:r>
        <w:rPr>
          <w:rFonts w:ascii="Arial"/>
          <w:i/>
          <w:sz w:val="20"/>
        </w:rPr>
        <w:t>Chitholie</w:t>
      </w:r>
      <w:r>
        <w:rPr>
          <w:rFonts w:ascii="Arial"/>
          <w:i/>
          <w:spacing w:val="5"/>
          <w:sz w:val="20"/>
        </w:rPr>
        <w:t> </w:t>
      </w:r>
      <w:r>
        <w:rPr>
          <w:rFonts w:ascii="Arial"/>
          <w:i/>
          <w:sz w:val="20"/>
        </w:rPr>
        <w:t>v</w:t>
      </w:r>
      <w:r>
        <w:rPr>
          <w:rFonts w:ascii="Arial"/>
          <w:i/>
          <w:spacing w:val="5"/>
          <w:sz w:val="20"/>
        </w:rPr>
        <w:t> </w:t>
      </w:r>
      <w:r>
        <w:rPr>
          <w:rFonts w:ascii="Arial"/>
          <w:i/>
          <w:sz w:val="20"/>
        </w:rPr>
        <w:t>Nash</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(1973)</w:t>
      </w:r>
      <w:r>
        <w:rPr>
          <w:rFonts w:ascii="Arial"/>
          <w:i/>
          <w:spacing w:val="5"/>
          <w:sz w:val="20"/>
        </w:rPr>
        <w:t> </w:t>
      </w:r>
      <w:r>
        <w:rPr>
          <w:rFonts w:ascii="Arial"/>
          <w:i/>
          <w:spacing w:val="-5"/>
          <w:sz w:val="20"/>
        </w:rPr>
        <w:t>229</w:t>
      </w:r>
    </w:p>
    <w:p>
      <w:pPr>
        <w:pStyle w:val="BodyText"/>
        <w:spacing w:line="235" w:lineRule="auto" w:before="1"/>
        <w:ind w:left="705" w:right="167"/>
        <w:jc w:val="both"/>
      </w:pPr>
      <w:r>
        <w:rPr>
          <w:rFonts w:ascii="Arial" w:hAnsi="Arial"/>
          <w:i/>
        </w:rPr>
        <w:t>E.G. 786 </w:t>
      </w:r>
      <w:r>
        <w:rPr/>
        <w:t>(damages for breach of warranty of authority by vendor’s agents). An express term in the contract of sale may regulate the rights of the parties in the event of the vendor’s </w:t>
      </w:r>
      <w:r>
        <w:rPr/>
        <w:t>title proving</w:t>
      </w:r>
      <w:r>
        <w:rPr>
          <w:spacing w:val="-2"/>
        </w:rPr>
        <w:t> </w:t>
      </w:r>
      <w:r>
        <w:rPr/>
        <w:t>to</w:t>
      </w:r>
      <w:r>
        <w:rPr>
          <w:spacing w:val="-2"/>
        </w:rPr>
        <w:t> </w:t>
      </w:r>
      <w:r>
        <w:rPr/>
        <w:t>be</w:t>
      </w:r>
      <w:r>
        <w:rPr>
          <w:spacing w:val="-2"/>
        </w:rPr>
        <w:t> </w:t>
      </w:r>
      <w:r>
        <w:rPr/>
        <w:t>defective:</w:t>
      </w:r>
      <w:r>
        <w:rPr>
          <w:spacing w:val="-2"/>
        </w:rPr>
        <w:t> </w:t>
      </w:r>
      <w:r>
        <w:rPr/>
        <w:t>see</w:t>
      </w:r>
      <w:r>
        <w:rPr>
          <w:spacing w:val="-2"/>
        </w:rPr>
        <w:t> </w:t>
      </w:r>
      <w:r>
        <w:rPr/>
        <w:t>the</w:t>
      </w:r>
      <w:r>
        <w:rPr>
          <w:spacing w:val="-2"/>
        </w:rPr>
        <w:t> </w:t>
      </w:r>
      <w:r>
        <w:rPr/>
        <w:t>Law</w:t>
      </w:r>
      <w:r>
        <w:rPr>
          <w:spacing w:val="-2"/>
        </w:rPr>
        <w:t> </w:t>
      </w:r>
      <w:r>
        <w:rPr/>
        <w:t>Society’s</w:t>
      </w:r>
      <w:r>
        <w:rPr>
          <w:spacing w:val="-2"/>
        </w:rPr>
        <w:t> </w:t>
      </w:r>
      <w:r>
        <w:rPr/>
        <w:t>General</w:t>
      </w:r>
      <w:r>
        <w:rPr>
          <w:spacing w:val="-2"/>
        </w:rPr>
        <w:t> </w:t>
      </w:r>
      <w:r>
        <w:rPr/>
        <w:t>Conditions</w:t>
      </w:r>
      <w:r>
        <w:rPr>
          <w:spacing w:val="-2"/>
        </w:rPr>
        <w:t> </w:t>
      </w:r>
      <w:r>
        <w:rPr/>
        <w:t>of</w:t>
      </w:r>
      <w:r>
        <w:rPr>
          <w:spacing w:val="-2"/>
        </w:rPr>
        <w:t> </w:t>
      </w:r>
      <w:r>
        <w:rPr/>
        <w:t>Sale</w:t>
      </w:r>
      <w:r>
        <w:rPr>
          <w:spacing w:val="-2"/>
        </w:rPr>
        <w:t> </w:t>
      </w:r>
      <w:r>
        <w:rPr/>
        <w:t>(condition</w:t>
      </w:r>
      <w:r>
        <w:rPr>
          <w:spacing w:val="-2"/>
        </w:rPr>
        <w:t> </w:t>
      </w:r>
      <w:r>
        <w:rPr/>
        <w:t>16(1));</w:t>
      </w:r>
      <w:r>
        <w:rPr>
          <w:spacing w:val="-2"/>
        </w:rPr>
        <w:t> </w:t>
      </w:r>
      <w:r>
        <w:rPr/>
        <w:t>and the National Conditions of Sale (condition 10(1)).</w:t>
      </w:r>
    </w:p>
    <w:p>
      <w:pPr>
        <w:pStyle w:val="BodyText"/>
        <w:spacing w:before="9"/>
      </w:pPr>
    </w:p>
    <w:p>
      <w:pPr>
        <w:spacing w:line="235" w:lineRule="auto" w:before="0"/>
        <w:ind w:left="705" w:right="168" w:hanging="541"/>
        <w:jc w:val="both"/>
        <w:rPr>
          <w:rFonts w:ascii="Arial"/>
          <w:i/>
          <w:sz w:val="20"/>
        </w:rPr>
      </w:pPr>
      <w:bookmarkStart w:name="_bookmark1750" w:id="1752"/>
      <w:bookmarkEnd w:id="1752"/>
      <w:r>
        <w:rPr/>
      </w:r>
      <w:hyperlink w:history="true" w:anchor="_bookmark1720">
        <w:r>
          <w:rPr>
            <w:color w:val="005DA1"/>
            <w:position w:val="5"/>
            <w:sz w:val="14"/>
            <w:u w:val="single" w:color="005DA1"/>
          </w:rPr>
          <w:t>917</w:t>
        </w:r>
      </w:hyperlink>
      <w:r>
        <w:rPr>
          <w:position w:val="5"/>
          <w:sz w:val="14"/>
        </w:rPr>
        <w:t>.</w:t>
      </w:r>
      <w:r>
        <w:rPr>
          <w:spacing w:val="40"/>
          <w:position w:val="5"/>
          <w:sz w:val="14"/>
        </w:rPr>
        <w:t>  </w:t>
      </w:r>
      <w:r>
        <w:rPr>
          <w:rFonts w:ascii="Arial"/>
          <w:i/>
          <w:sz w:val="20"/>
        </w:rPr>
        <w:t>Diamond v Campbell-Jones [1961] Ch. 22</w:t>
      </w:r>
      <w:r>
        <w:rPr>
          <w:sz w:val="20"/>
        </w:rPr>
        <w:t>; a similar rule applies to claims by a purchaser </w:t>
      </w:r>
      <w:r>
        <w:rPr>
          <w:sz w:val="20"/>
        </w:rPr>
        <w:t>for losses</w:t>
      </w:r>
      <w:r>
        <w:rPr>
          <w:spacing w:val="45"/>
          <w:sz w:val="20"/>
        </w:rPr>
        <w:t> </w:t>
      </w:r>
      <w:r>
        <w:rPr>
          <w:sz w:val="20"/>
        </w:rPr>
        <w:t>arising</w:t>
      </w:r>
      <w:r>
        <w:rPr>
          <w:spacing w:val="45"/>
          <w:sz w:val="20"/>
        </w:rPr>
        <w:t> </w:t>
      </w:r>
      <w:r>
        <w:rPr>
          <w:sz w:val="20"/>
        </w:rPr>
        <w:t>under</w:t>
      </w:r>
      <w:r>
        <w:rPr>
          <w:spacing w:val="45"/>
          <w:sz w:val="20"/>
        </w:rPr>
        <w:t> </w:t>
      </w:r>
      <w:r>
        <w:rPr>
          <w:sz w:val="20"/>
        </w:rPr>
        <w:t>a</w:t>
      </w:r>
      <w:r>
        <w:rPr>
          <w:spacing w:val="45"/>
          <w:sz w:val="20"/>
        </w:rPr>
        <w:t> </w:t>
      </w:r>
      <w:r>
        <w:rPr>
          <w:sz w:val="20"/>
        </w:rPr>
        <w:t>sub-contract:</w:t>
      </w:r>
      <w:r>
        <w:rPr>
          <w:spacing w:val="44"/>
          <w:sz w:val="20"/>
        </w:rPr>
        <w:t> </w:t>
      </w:r>
      <w:r>
        <w:rPr>
          <w:rFonts w:ascii="Arial"/>
          <w:i/>
          <w:sz w:val="20"/>
        </w:rPr>
        <w:t>Seven</w:t>
      </w:r>
      <w:r>
        <w:rPr>
          <w:rFonts w:ascii="Arial"/>
          <w:i/>
          <w:spacing w:val="45"/>
          <w:sz w:val="20"/>
        </w:rPr>
        <w:t> </w:t>
      </w:r>
      <w:r>
        <w:rPr>
          <w:rFonts w:ascii="Arial"/>
          <w:i/>
          <w:sz w:val="20"/>
        </w:rPr>
        <w:t>Seas</w:t>
      </w:r>
      <w:r>
        <w:rPr>
          <w:rFonts w:ascii="Arial"/>
          <w:i/>
          <w:spacing w:val="45"/>
          <w:sz w:val="20"/>
        </w:rPr>
        <w:t> </w:t>
      </w:r>
      <w:r>
        <w:rPr>
          <w:rFonts w:ascii="Arial"/>
          <w:i/>
          <w:sz w:val="20"/>
        </w:rPr>
        <w:t>Properties</w:t>
      </w:r>
      <w:r>
        <w:rPr>
          <w:rFonts w:ascii="Arial"/>
          <w:i/>
          <w:spacing w:val="45"/>
          <w:sz w:val="20"/>
        </w:rPr>
        <w:t> </w:t>
      </w:r>
      <w:r>
        <w:rPr>
          <w:rFonts w:ascii="Arial"/>
          <w:i/>
          <w:sz w:val="20"/>
        </w:rPr>
        <w:t>Ltd</w:t>
      </w:r>
      <w:r>
        <w:rPr>
          <w:rFonts w:ascii="Arial"/>
          <w:i/>
          <w:spacing w:val="45"/>
          <w:sz w:val="20"/>
        </w:rPr>
        <w:t> </w:t>
      </w:r>
      <w:r>
        <w:rPr>
          <w:rFonts w:ascii="Arial"/>
          <w:i/>
          <w:sz w:val="20"/>
        </w:rPr>
        <w:t>v</w:t>
      </w:r>
      <w:r>
        <w:rPr>
          <w:rFonts w:ascii="Arial"/>
          <w:i/>
          <w:spacing w:val="45"/>
          <w:sz w:val="20"/>
        </w:rPr>
        <w:t> </w:t>
      </w:r>
      <w:r>
        <w:rPr>
          <w:rFonts w:ascii="Arial"/>
          <w:i/>
          <w:sz w:val="20"/>
        </w:rPr>
        <w:t>Al-Essa</w:t>
      </w:r>
      <w:r>
        <w:rPr>
          <w:rFonts w:ascii="Arial"/>
          <w:i/>
          <w:spacing w:val="45"/>
          <w:sz w:val="20"/>
        </w:rPr>
        <w:t> </w:t>
      </w:r>
      <w:r>
        <w:rPr>
          <w:rFonts w:ascii="Arial"/>
          <w:i/>
          <w:sz w:val="20"/>
        </w:rPr>
        <w:t>(No.2)</w:t>
      </w:r>
      <w:r>
        <w:rPr>
          <w:rFonts w:ascii="Arial"/>
          <w:i/>
          <w:spacing w:val="45"/>
          <w:sz w:val="20"/>
        </w:rPr>
        <w:t> </w:t>
      </w:r>
      <w:r>
        <w:rPr>
          <w:rFonts w:ascii="Arial"/>
          <w:i/>
          <w:sz w:val="20"/>
        </w:rPr>
        <w:t>[1993]</w:t>
      </w:r>
      <w:r>
        <w:rPr>
          <w:rFonts w:ascii="Arial"/>
          <w:i/>
          <w:spacing w:val="45"/>
          <w:sz w:val="20"/>
        </w:rPr>
        <w:t> </w:t>
      </w:r>
      <w:r>
        <w:rPr>
          <w:rFonts w:ascii="Arial"/>
          <w:i/>
          <w:spacing w:val="-10"/>
          <w:sz w:val="20"/>
        </w:rPr>
        <w:t>1</w:t>
      </w:r>
    </w:p>
    <w:p>
      <w:pPr>
        <w:spacing w:line="235" w:lineRule="auto" w:before="0"/>
        <w:ind w:left="705" w:right="167" w:firstLine="0"/>
        <w:jc w:val="both"/>
        <w:rPr>
          <w:sz w:val="20"/>
        </w:rPr>
      </w:pPr>
      <w:r>
        <w:rPr>
          <w:rFonts w:ascii="Arial" w:hAnsi="Arial"/>
          <w:i/>
          <w:sz w:val="20"/>
        </w:rPr>
        <w:t>W.L.R. 1083</w:t>
      </w:r>
      <w:r>
        <w:rPr>
          <w:sz w:val="20"/>
        </w:rPr>
        <w:t>; and to expenses incurred by the purchaser: </w:t>
      </w:r>
      <w:r>
        <w:rPr>
          <w:rFonts w:ascii="Arial" w:hAnsi="Arial"/>
          <w:i/>
          <w:sz w:val="20"/>
        </w:rPr>
        <w:t>Lloyd v Stanbury [1971] 1 </w:t>
      </w:r>
      <w:r>
        <w:rPr>
          <w:rFonts w:ascii="Arial" w:hAnsi="Arial"/>
          <w:i/>
          <w:sz w:val="20"/>
        </w:rPr>
        <w:t>W.L.R.</w:t>
      </w:r>
      <w:r>
        <w:rPr>
          <w:rFonts w:ascii="Arial" w:hAnsi="Arial"/>
          <w:i/>
          <w:spacing w:val="40"/>
          <w:sz w:val="20"/>
        </w:rPr>
        <w:t> </w:t>
      </w:r>
      <w:r>
        <w:rPr>
          <w:rFonts w:ascii="Arial" w:hAnsi="Arial"/>
          <w:i/>
          <w:sz w:val="20"/>
        </w:rPr>
        <w:t>535, 546–547 </w:t>
      </w:r>
      <w:r>
        <w:rPr>
          <w:sz w:val="20"/>
        </w:rPr>
        <w:t>(above, para.26-030). The purchaser’s claim has sometimes been permitted </w:t>
      </w:r>
      <w:r>
        <w:rPr>
          <w:sz w:val="20"/>
        </w:rPr>
        <w:t>on the basis that the defendant did have adequate knowledge of the claimant’s purposes: </w:t>
      </w:r>
      <w:r>
        <w:rPr>
          <w:rFonts w:ascii="Arial" w:hAnsi="Arial"/>
          <w:i/>
          <w:sz w:val="20"/>
        </w:rPr>
        <w:t>Cottrill v Steyning and Littlehampton Building Society [1966] 1 W.L.R. 753</w:t>
      </w:r>
      <w:r>
        <w:rPr>
          <w:sz w:val="20"/>
        </w:rPr>
        <w:t>; </w:t>
      </w:r>
      <w:r>
        <w:rPr>
          <w:rFonts w:ascii="Arial" w:hAnsi="Arial"/>
          <w:i/>
          <w:sz w:val="20"/>
        </w:rPr>
        <w:t>Malhotra v Choudhury [1980] Ch. 52, 80–81</w:t>
      </w:r>
      <w:r>
        <w:rPr>
          <w:sz w:val="20"/>
        </w:rPr>
        <w:t>. In each case the defendant’s knowledge seems to have been precise and so</w:t>
      </w:r>
      <w:r>
        <w:rPr>
          <w:spacing w:val="40"/>
          <w:sz w:val="20"/>
        </w:rPr>
        <w:t> </w:t>
      </w:r>
      <w:r>
        <w:rPr>
          <w:sz w:val="20"/>
        </w:rPr>
        <w:t>the “assumption of responsibility” test (see above, para.26-128) would probably be satisfied.</w:t>
      </w:r>
    </w:p>
    <w:p>
      <w:pPr>
        <w:pStyle w:val="BodyText"/>
        <w:spacing w:before="7"/>
      </w:pPr>
    </w:p>
    <w:p>
      <w:pPr>
        <w:spacing w:line="235" w:lineRule="auto" w:before="0"/>
        <w:ind w:left="705" w:right="167" w:hanging="541"/>
        <w:jc w:val="both"/>
        <w:rPr>
          <w:sz w:val="20"/>
        </w:rPr>
      </w:pPr>
      <w:bookmarkStart w:name="_bookmark1751" w:id="1753"/>
      <w:bookmarkEnd w:id="1753"/>
      <w:r>
        <w:rPr/>
      </w:r>
      <w:hyperlink w:history="true" w:anchor="_bookmark1721">
        <w:r>
          <w:rPr>
            <w:color w:val="005DA1"/>
            <w:position w:val="5"/>
            <w:sz w:val="14"/>
            <w:u w:val="single" w:color="005DA1"/>
          </w:rPr>
          <w:t>918</w:t>
        </w:r>
      </w:hyperlink>
      <w:r>
        <w:rPr>
          <w:position w:val="5"/>
          <w:sz w:val="14"/>
        </w:rPr>
        <w:t>.</w:t>
      </w:r>
      <w:r>
        <w:rPr>
          <w:spacing w:val="80"/>
          <w:w w:val="150"/>
          <w:position w:val="5"/>
          <w:sz w:val="14"/>
        </w:rPr>
        <w:t> </w:t>
      </w:r>
      <w:r>
        <w:rPr>
          <w:rFonts w:ascii="Arial" w:hAnsi="Arial"/>
          <w:i/>
          <w:sz w:val="20"/>
        </w:rPr>
        <w:t>Royal Bristol Permanent Building Society v Bomash (1887) 35 Ch. D. 390</w:t>
      </w:r>
      <w:r>
        <w:rPr>
          <w:sz w:val="20"/>
        </w:rPr>
        <w:t>. See also </w:t>
      </w:r>
      <w:r>
        <w:rPr>
          <w:rFonts w:ascii="Arial" w:hAnsi="Arial"/>
          <w:i/>
          <w:sz w:val="20"/>
        </w:rPr>
        <w:t>Jones v Gardiner [1902] 1 Ch. 191</w:t>
      </w:r>
      <w:r>
        <w:rPr>
          <w:sz w:val="20"/>
        </w:rPr>
        <w:t>; </w:t>
      </w:r>
      <w:r>
        <w:rPr>
          <w:rFonts w:ascii="Arial" w:hAnsi="Arial"/>
          <w:i/>
          <w:sz w:val="20"/>
        </w:rPr>
        <w:t>Phillips v Lamdin [1949] 2 K.B. 33</w:t>
      </w:r>
      <w:r>
        <w:rPr>
          <w:sz w:val="20"/>
        </w:rPr>
        <w:t>. As to a lessor’s delay, </w:t>
      </w:r>
      <w:r>
        <w:rPr>
          <w:sz w:val="20"/>
        </w:rPr>
        <w:t>see </w:t>
      </w:r>
      <w:r>
        <w:rPr>
          <w:rFonts w:ascii="Arial" w:hAnsi="Arial"/>
          <w:i/>
          <w:sz w:val="20"/>
        </w:rPr>
        <w:t>Jaques v Millar (1877) 6 Ch. D. 153 </w:t>
      </w:r>
      <w:r>
        <w:rPr>
          <w:sz w:val="20"/>
        </w:rPr>
        <w:t>(loss of profits allowed to lessee where lessor knew of his intended trade on the premises).</w:t>
      </w:r>
    </w:p>
    <w:p>
      <w:pPr>
        <w:pStyle w:val="BodyText"/>
        <w:spacing w:before="8"/>
      </w:pPr>
    </w:p>
    <w:p>
      <w:pPr>
        <w:spacing w:line="235" w:lineRule="auto" w:before="0"/>
        <w:ind w:left="705" w:right="168" w:hanging="541"/>
        <w:jc w:val="both"/>
        <w:rPr>
          <w:sz w:val="20"/>
        </w:rPr>
      </w:pPr>
      <w:bookmarkStart w:name="_bookmark1752" w:id="1754"/>
      <w:bookmarkEnd w:id="1754"/>
      <w:r>
        <w:rPr/>
      </w:r>
      <w:hyperlink w:history="true" w:anchor="_bookmark1722">
        <w:r>
          <w:rPr>
            <w:color w:val="005DA1"/>
            <w:position w:val="5"/>
            <w:sz w:val="14"/>
            <w:u w:val="single" w:color="005DA1"/>
          </w:rPr>
          <w:t>919</w:t>
        </w:r>
      </w:hyperlink>
      <w:r>
        <w:rPr>
          <w:position w:val="5"/>
          <w:sz w:val="14"/>
        </w:rPr>
        <w:t>.</w:t>
      </w:r>
      <w:r>
        <w:rPr>
          <w:spacing w:val="40"/>
          <w:position w:val="5"/>
          <w:sz w:val="14"/>
        </w:rPr>
        <w:t>  </w:t>
      </w:r>
      <w:r>
        <w:rPr>
          <w:rFonts w:ascii="Arial"/>
          <w:i/>
          <w:sz w:val="20"/>
        </w:rPr>
        <w:t>Laird v Pim (1841) 7 M. &amp; W. 474</w:t>
      </w:r>
      <w:r>
        <w:rPr>
          <w:sz w:val="20"/>
        </w:rPr>
        <w:t>. A resale price may be evidence of the market price: </w:t>
      </w:r>
      <w:r>
        <w:rPr>
          <w:rFonts w:ascii="Arial"/>
          <w:i/>
          <w:sz w:val="20"/>
        </w:rPr>
        <w:t>Noble v Edwards (1877) 5 Ch. D. 378 (reversed on another point: 5 Ch. D. 392)</w:t>
      </w:r>
      <w:r>
        <w:rPr>
          <w:sz w:val="20"/>
        </w:rPr>
        <w:t>; </w:t>
      </w:r>
      <w:r>
        <w:rPr>
          <w:rFonts w:ascii="Arial"/>
          <w:i/>
          <w:sz w:val="20"/>
        </w:rPr>
        <w:t>York Glass Co v Jubb (1926) 134 L.T. 36</w:t>
      </w:r>
      <w:r>
        <w:rPr>
          <w:sz w:val="20"/>
        </w:rPr>
        <w:t>.</w:t>
      </w:r>
    </w:p>
    <w:p>
      <w:pPr>
        <w:pStyle w:val="BodyText"/>
        <w:spacing w:before="9"/>
      </w:pPr>
    </w:p>
    <w:p>
      <w:pPr>
        <w:spacing w:line="235" w:lineRule="auto" w:before="0"/>
        <w:ind w:left="705" w:right="168" w:hanging="541"/>
        <w:jc w:val="both"/>
        <w:rPr>
          <w:sz w:val="20"/>
        </w:rPr>
      </w:pPr>
      <w:bookmarkStart w:name="_bookmark1753" w:id="1755"/>
      <w:bookmarkEnd w:id="1755"/>
      <w:r>
        <w:rPr/>
      </w:r>
      <w:hyperlink w:history="true" w:anchor="_bookmark1722">
        <w:r>
          <w:rPr>
            <w:color w:val="005DA1"/>
            <w:position w:val="5"/>
            <w:sz w:val="14"/>
            <w:u w:val="single" w:color="005DA1"/>
          </w:rPr>
          <w:t>920</w:t>
        </w:r>
      </w:hyperlink>
      <w:r>
        <w:rPr>
          <w:position w:val="5"/>
          <w:sz w:val="14"/>
        </w:rPr>
        <w:t>.</w:t>
      </w:r>
      <w:r>
        <w:rPr>
          <w:spacing w:val="80"/>
          <w:position w:val="5"/>
          <w:sz w:val="14"/>
        </w:rPr>
        <w:t>  </w:t>
      </w:r>
      <w:r>
        <w:rPr>
          <w:rFonts w:ascii="Arial"/>
          <w:i/>
          <w:sz w:val="20"/>
        </w:rPr>
        <w:t>York Glass Co v Jubb (1926) 134 L.T. 36, 40</w:t>
      </w:r>
      <w:r>
        <w:rPr>
          <w:sz w:val="20"/>
        </w:rPr>
        <w:t>. (The measure is similar where a lessee </w:t>
      </w:r>
      <w:r>
        <w:rPr>
          <w:sz w:val="20"/>
        </w:rPr>
        <w:t>refuses</w:t>
      </w:r>
      <w:r>
        <w:rPr>
          <w:spacing w:val="80"/>
          <w:sz w:val="20"/>
        </w:rPr>
        <w:t> </w:t>
      </w:r>
      <w:r>
        <w:rPr>
          <w:sz w:val="20"/>
        </w:rPr>
        <w:t>to proceed with a contract to take a lease: </w:t>
      </w:r>
      <w:r>
        <w:rPr>
          <w:rFonts w:ascii="Arial"/>
          <w:i/>
          <w:sz w:val="20"/>
        </w:rPr>
        <w:t>Marshall v Macintosh (1898) 78 L.T. 750</w:t>
      </w:r>
      <w:r>
        <w:rPr>
          <w:sz w:val="20"/>
        </w:rPr>
        <w:t>; cf. </w:t>
      </w:r>
      <w:r>
        <w:rPr>
          <w:rFonts w:ascii="Arial"/>
          <w:i/>
          <w:sz w:val="20"/>
        </w:rPr>
        <w:t>Oldershaw v Holt (1840) 12 A. &amp; E. 590</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hAnsi="Arial"/>
          <w:i/>
          <w:sz w:val="20"/>
        </w:rPr>
      </w:pPr>
      <w:hyperlink w:history="true" w:anchor="_bookmark1723">
        <w:r>
          <w:rPr>
            <w:color w:val="005DA1"/>
            <w:spacing w:val="-4"/>
            <w:position w:val="5"/>
            <w:sz w:val="14"/>
            <w:u w:val="single" w:color="005DA1"/>
          </w:rPr>
          <w:t>921</w:t>
        </w:r>
      </w:hyperlink>
      <w:r>
        <w:rPr>
          <w:spacing w:val="-4"/>
          <w:position w:val="5"/>
          <w:sz w:val="14"/>
        </w:rPr>
        <w:t>.</w:t>
      </w:r>
      <w:r>
        <w:rPr>
          <w:position w:val="5"/>
          <w:sz w:val="14"/>
        </w:rPr>
        <w:tab/>
      </w:r>
      <w:r>
        <w:rPr>
          <w:rFonts w:ascii="Arial" w:hAnsi="Arial"/>
          <w:i/>
          <w:sz w:val="20"/>
        </w:rPr>
        <w:t>Johnson</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Agnew</w:t>
      </w:r>
      <w:r>
        <w:rPr>
          <w:rFonts w:ascii="Arial" w:hAnsi="Arial"/>
          <w:i/>
          <w:spacing w:val="22"/>
          <w:sz w:val="20"/>
        </w:rPr>
        <w:t> </w:t>
      </w:r>
      <w:r>
        <w:rPr>
          <w:rFonts w:ascii="Arial" w:hAnsi="Arial"/>
          <w:i/>
          <w:sz w:val="20"/>
        </w:rPr>
        <w:t>[1980]</w:t>
      </w:r>
      <w:r>
        <w:rPr>
          <w:rFonts w:ascii="Arial" w:hAnsi="Arial"/>
          <w:i/>
          <w:spacing w:val="22"/>
          <w:sz w:val="20"/>
        </w:rPr>
        <w:t> </w:t>
      </w:r>
      <w:r>
        <w:rPr>
          <w:rFonts w:ascii="Arial" w:hAnsi="Arial"/>
          <w:i/>
          <w:sz w:val="20"/>
        </w:rPr>
        <w:t>A.C.</w:t>
      </w:r>
      <w:r>
        <w:rPr>
          <w:rFonts w:ascii="Arial" w:hAnsi="Arial"/>
          <w:i/>
          <w:spacing w:val="22"/>
          <w:sz w:val="20"/>
        </w:rPr>
        <w:t> </w:t>
      </w:r>
      <w:r>
        <w:rPr>
          <w:rFonts w:ascii="Arial" w:hAnsi="Arial"/>
          <w:i/>
          <w:sz w:val="20"/>
        </w:rPr>
        <w:t>367,</w:t>
      </w:r>
      <w:r>
        <w:rPr>
          <w:rFonts w:ascii="Arial" w:hAnsi="Arial"/>
          <w:i/>
          <w:spacing w:val="22"/>
          <w:sz w:val="20"/>
        </w:rPr>
        <w:t> </w:t>
      </w:r>
      <w:r>
        <w:rPr>
          <w:rFonts w:ascii="Arial" w:hAnsi="Arial"/>
          <w:i/>
          <w:sz w:val="20"/>
        </w:rPr>
        <w:t>401</w:t>
      </w:r>
      <w:r>
        <w:rPr>
          <w:rFonts w:ascii="Arial" w:hAnsi="Arial"/>
          <w:i/>
          <w:spacing w:val="22"/>
          <w:sz w:val="20"/>
        </w:rPr>
        <w:t> </w:t>
      </w:r>
      <w:r>
        <w:rPr>
          <w:sz w:val="20"/>
        </w:rPr>
        <w:t>(below,</w:t>
      </w:r>
      <w:r>
        <w:rPr>
          <w:spacing w:val="22"/>
          <w:sz w:val="20"/>
        </w:rPr>
        <w:t> </w:t>
      </w:r>
      <w:r>
        <w:rPr>
          <w:sz w:val="20"/>
        </w:rPr>
        <w:t>paras</w:t>
      </w:r>
      <w:r>
        <w:rPr>
          <w:spacing w:val="22"/>
          <w:sz w:val="20"/>
        </w:rPr>
        <w:t> </w:t>
      </w:r>
      <w:r>
        <w:rPr>
          <w:sz w:val="20"/>
        </w:rPr>
        <w:t>27-088—27-089).</w:t>
      </w:r>
      <w:r>
        <w:rPr>
          <w:spacing w:val="22"/>
          <w:sz w:val="20"/>
        </w:rPr>
        <w:t> </w:t>
      </w:r>
      <w:r>
        <w:rPr>
          <w:sz w:val="20"/>
        </w:rPr>
        <w:t>See</w:t>
      </w:r>
      <w:r>
        <w:rPr>
          <w:spacing w:val="22"/>
          <w:sz w:val="20"/>
        </w:rPr>
        <w:t> </w:t>
      </w:r>
      <w:r>
        <w:rPr>
          <w:sz w:val="20"/>
        </w:rPr>
        <w:t>also</w:t>
      </w:r>
      <w:r>
        <w:rPr>
          <w:spacing w:val="21"/>
          <w:sz w:val="20"/>
        </w:rPr>
        <w:t> </w:t>
      </w:r>
      <w:r>
        <w:rPr>
          <w:rFonts w:ascii="Arial" w:hAnsi="Arial"/>
          <w:i/>
          <w:sz w:val="20"/>
        </w:rPr>
        <w:t>Suleman</w:t>
      </w:r>
      <w:r>
        <w:rPr>
          <w:rFonts w:ascii="Arial" w:hAnsi="Arial"/>
          <w:i/>
          <w:spacing w:val="22"/>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Shahsavari [1988] 1 W.L.R. </w:t>
      </w:r>
      <w:r>
        <w:rPr>
          <w:rFonts w:ascii="Arial"/>
          <w:i/>
          <w:spacing w:val="-2"/>
          <w:sz w:val="20"/>
        </w:rPr>
        <w:t>1181</w:t>
      </w:r>
      <w:r>
        <w:rPr>
          <w:spacing w:val="-2"/>
          <w:sz w:val="20"/>
        </w:rPr>
        <w:t>.</w:t>
      </w:r>
    </w:p>
    <w:p>
      <w:pPr>
        <w:pStyle w:val="BodyText"/>
        <w:spacing w:before="9"/>
      </w:pPr>
    </w:p>
    <w:p>
      <w:pPr>
        <w:pStyle w:val="BodyText"/>
        <w:tabs>
          <w:tab w:pos="705" w:val="left" w:leader="none"/>
        </w:tabs>
        <w:spacing w:line="235" w:lineRule="auto"/>
        <w:ind w:left="705" w:right="168" w:hanging="541"/>
      </w:pPr>
      <w:bookmarkStart w:name="_bookmark1754" w:id="1756"/>
      <w:bookmarkEnd w:id="1756"/>
      <w:r>
        <w:rPr/>
      </w:r>
      <w:hyperlink w:history="true" w:anchor="_bookmark1724">
        <w:r>
          <w:rPr>
            <w:color w:val="005DA1"/>
            <w:spacing w:val="-4"/>
            <w:position w:val="5"/>
            <w:sz w:val="14"/>
            <w:u w:val="single" w:color="005DA1"/>
          </w:rPr>
          <w:t>922</w:t>
        </w:r>
      </w:hyperlink>
      <w:r>
        <w:rPr>
          <w:spacing w:val="-4"/>
          <w:position w:val="5"/>
          <w:sz w:val="14"/>
        </w:rPr>
        <w:t>.</w:t>
      </w:r>
      <w:r>
        <w:rPr>
          <w:position w:val="5"/>
          <w:sz w:val="14"/>
        </w:rPr>
        <w:tab/>
      </w:r>
      <w:r>
        <w:rPr/>
        <w:t>In</w:t>
      </w:r>
      <w:r>
        <w:rPr>
          <w:spacing w:val="40"/>
        </w:rPr>
        <w:t> </w:t>
      </w:r>
      <w:r>
        <w:rPr/>
        <w:t>addition,</w:t>
      </w:r>
      <w:r>
        <w:rPr>
          <w:spacing w:val="40"/>
        </w:rPr>
        <w:t> </w:t>
      </w:r>
      <w:r>
        <w:rPr/>
        <w:t>the</w:t>
      </w:r>
      <w:r>
        <w:rPr>
          <w:spacing w:val="40"/>
        </w:rPr>
        <w:t> </w:t>
      </w:r>
      <w:r>
        <w:rPr/>
        <w:t>claimant</w:t>
      </w:r>
      <w:r>
        <w:rPr>
          <w:spacing w:val="40"/>
        </w:rPr>
        <w:t> </w:t>
      </w:r>
      <w:r>
        <w:rPr/>
        <w:t>may</w:t>
      </w:r>
      <w:r>
        <w:rPr>
          <w:spacing w:val="40"/>
        </w:rPr>
        <w:t> </w:t>
      </w:r>
      <w:r>
        <w:rPr/>
        <w:t>be</w:t>
      </w:r>
      <w:r>
        <w:rPr>
          <w:spacing w:val="40"/>
        </w:rPr>
        <w:t> </w:t>
      </w:r>
      <w:r>
        <w:rPr/>
        <w:t>able</w:t>
      </w:r>
      <w:r>
        <w:rPr>
          <w:spacing w:val="40"/>
        </w:rPr>
        <w:t> </w:t>
      </w:r>
      <w:r>
        <w:rPr/>
        <w:t>to</w:t>
      </w:r>
      <w:r>
        <w:rPr>
          <w:spacing w:val="40"/>
        </w:rPr>
        <w:t> </w:t>
      </w:r>
      <w:r>
        <w:rPr/>
        <w:t>recover</w:t>
      </w:r>
      <w:r>
        <w:rPr>
          <w:spacing w:val="40"/>
        </w:rPr>
        <w:t> </w:t>
      </w:r>
      <w:r>
        <w:rPr/>
        <w:t>damages</w:t>
      </w:r>
      <w:r>
        <w:rPr>
          <w:spacing w:val="40"/>
        </w:rPr>
        <w:t> </w:t>
      </w:r>
      <w:r>
        <w:rPr/>
        <w:t>for</w:t>
      </w:r>
      <w:r>
        <w:rPr>
          <w:spacing w:val="40"/>
        </w:rPr>
        <w:t> </w:t>
      </w:r>
      <w:r>
        <w:rPr/>
        <w:t>physical</w:t>
      </w:r>
      <w:r>
        <w:rPr>
          <w:spacing w:val="40"/>
        </w:rPr>
        <w:t> </w:t>
      </w:r>
      <w:r>
        <w:rPr/>
        <w:t>inconvenience:</w:t>
      </w:r>
      <w:r>
        <w:rPr>
          <w:spacing w:val="40"/>
        </w:rPr>
        <w:t> </w:t>
      </w:r>
      <w:r>
        <w:rPr/>
        <w:t>see above, para.26-142; or for “loss of amenity”: see above, paras 26-145—26-146.</w:t>
      </w:r>
    </w:p>
    <w:p>
      <w:pPr>
        <w:pStyle w:val="BodyText"/>
        <w:spacing w:before="9"/>
      </w:pPr>
    </w:p>
    <w:p>
      <w:pPr>
        <w:spacing w:line="235" w:lineRule="auto" w:before="1"/>
        <w:ind w:left="705" w:right="167" w:hanging="541"/>
        <w:jc w:val="both"/>
        <w:rPr>
          <w:rFonts w:ascii="Arial" w:hAnsi="Arial"/>
          <w:i/>
          <w:sz w:val="20"/>
        </w:rPr>
      </w:pPr>
      <w:bookmarkStart w:name="_bookmark1755" w:id="1757"/>
      <w:bookmarkEnd w:id="1757"/>
      <w:r>
        <w:rPr/>
      </w:r>
      <w:hyperlink w:history="true" w:anchor="_bookmark1725">
        <w:r>
          <w:rPr>
            <w:color w:val="005DA1"/>
            <w:position w:val="5"/>
            <w:sz w:val="14"/>
            <w:u w:val="single" w:color="005DA1"/>
          </w:rPr>
          <w:t>923</w:t>
        </w:r>
      </w:hyperlink>
      <w:r>
        <w:rPr>
          <w:position w:val="5"/>
          <w:sz w:val="14"/>
        </w:rPr>
        <w:t>.</w:t>
      </w:r>
      <w:r>
        <w:rPr>
          <w:spacing w:val="80"/>
          <w:position w:val="5"/>
          <w:sz w:val="14"/>
        </w:rPr>
        <w:t>  </w:t>
      </w:r>
      <w:r>
        <w:rPr>
          <w:rFonts w:ascii="Arial" w:hAnsi="Arial"/>
          <w:i/>
          <w:sz w:val="20"/>
        </w:rPr>
        <w:t>Watts v Morrow [1991] 1 W.L.R. 1421 CA</w:t>
      </w:r>
      <w:r>
        <w:rPr>
          <w:sz w:val="20"/>
        </w:rPr>
        <w:t>, following </w:t>
      </w:r>
      <w:r>
        <w:rPr>
          <w:rFonts w:ascii="Arial" w:hAnsi="Arial"/>
          <w:i/>
          <w:sz w:val="20"/>
        </w:rPr>
        <w:t>Phillips v Ward [1956] 1 W.L.R. 471</w:t>
      </w:r>
      <w:r>
        <w:rPr>
          <w:sz w:val="20"/>
        </w:rPr>
        <w:t>, and </w:t>
      </w:r>
      <w:r>
        <w:rPr>
          <w:rFonts w:ascii="Arial" w:hAnsi="Arial"/>
          <w:i/>
          <w:sz w:val="20"/>
        </w:rPr>
        <w:t>Perry v Sidney Phillips &amp; Son [1982] 1 W.L.R. 1297</w:t>
      </w:r>
      <w:r>
        <w:rPr>
          <w:sz w:val="20"/>
        </w:rPr>
        <w:t>. See also </w:t>
      </w:r>
      <w:r>
        <w:rPr>
          <w:rFonts w:ascii="Arial" w:hAnsi="Arial"/>
          <w:i/>
          <w:sz w:val="20"/>
        </w:rPr>
        <w:t>Gardner v Marsh &amp; Parsons [1997] 1 W.L.R. 489 </w:t>
      </w:r>
      <w:r>
        <w:rPr>
          <w:sz w:val="20"/>
        </w:rPr>
        <w:t>(the fact that five years after the purchase the landlord, a third party, remedied the defect at his expense was held to be too remote to be taken into account in assessing the purchaser’s damages against a surveyor). (In these cases the courts refused to assess</w:t>
      </w:r>
      <w:r>
        <w:rPr>
          <w:spacing w:val="-2"/>
          <w:sz w:val="20"/>
        </w:rPr>
        <w:t> </w:t>
      </w:r>
      <w:r>
        <w:rPr>
          <w:sz w:val="20"/>
        </w:rPr>
        <w:t>damages</w:t>
      </w:r>
      <w:r>
        <w:rPr>
          <w:spacing w:val="-2"/>
          <w:sz w:val="20"/>
        </w:rPr>
        <w:t> </w:t>
      </w:r>
      <w:r>
        <w:rPr>
          <w:sz w:val="20"/>
        </w:rPr>
        <w:t>at</w:t>
      </w:r>
      <w:r>
        <w:rPr>
          <w:spacing w:val="-2"/>
          <w:sz w:val="20"/>
        </w:rPr>
        <w:t> </w:t>
      </w:r>
      <w:r>
        <w:rPr>
          <w:sz w:val="20"/>
        </w:rPr>
        <w:t>the</w:t>
      </w:r>
      <w:r>
        <w:rPr>
          <w:spacing w:val="-2"/>
          <w:sz w:val="20"/>
        </w:rPr>
        <w:t> </w:t>
      </w:r>
      <w:r>
        <w:rPr>
          <w:sz w:val="20"/>
        </w:rPr>
        <w:t>cost</w:t>
      </w:r>
      <w:r>
        <w:rPr>
          <w:spacing w:val="-2"/>
          <w:sz w:val="20"/>
        </w:rPr>
        <w:t> </w:t>
      </w:r>
      <w:r>
        <w:rPr>
          <w:sz w:val="20"/>
        </w:rPr>
        <w:t>of</w:t>
      </w:r>
      <w:r>
        <w:rPr>
          <w:spacing w:val="-2"/>
          <w:sz w:val="20"/>
        </w:rPr>
        <w:t> </w:t>
      </w:r>
      <w:r>
        <w:rPr>
          <w:sz w:val="20"/>
        </w:rPr>
        <w:t>repairs;</w:t>
      </w:r>
      <w:r>
        <w:rPr>
          <w:spacing w:val="-2"/>
          <w:sz w:val="20"/>
        </w:rPr>
        <w:t> </w:t>
      </w:r>
      <w:r>
        <w:rPr>
          <w:sz w:val="20"/>
        </w:rPr>
        <w:t>see</w:t>
      </w:r>
      <w:r>
        <w:rPr>
          <w:spacing w:val="-2"/>
          <w:sz w:val="20"/>
        </w:rPr>
        <w:t> </w:t>
      </w:r>
      <w:r>
        <w:rPr>
          <w:sz w:val="20"/>
        </w:rPr>
        <w:t>above,</w:t>
      </w:r>
      <w:r>
        <w:rPr>
          <w:spacing w:val="-2"/>
          <w:sz w:val="20"/>
        </w:rPr>
        <w:t> </w:t>
      </w:r>
      <w:r>
        <w:rPr>
          <w:sz w:val="20"/>
        </w:rPr>
        <w:t>paras</w:t>
      </w:r>
      <w:r>
        <w:rPr>
          <w:spacing w:val="-2"/>
          <w:sz w:val="20"/>
        </w:rPr>
        <w:t> </w:t>
      </w:r>
      <w:r>
        <w:rPr>
          <w:sz w:val="20"/>
        </w:rPr>
        <w:t>26-036</w:t>
      </w:r>
      <w:r>
        <w:rPr>
          <w:spacing w:val="-2"/>
          <w:sz w:val="20"/>
        </w:rPr>
        <w:t> </w:t>
      </w:r>
      <w:r>
        <w:rPr>
          <w:sz w:val="20"/>
        </w:rPr>
        <w:t>et</w:t>
      </w:r>
      <w:r>
        <w:rPr>
          <w:spacing w:val="-2"/>
          <w:sz w:val="20"/>
        </w:rPr>
        <w:t> </w:t>
      </w:r>
      <w:r>
        <w:rPr>
          <w:sz w:val="20"/>
        </w:rPr>
        <w:t>seq.)</w:t>
      </w:r>
      <w:r>
        <w:rPr>
          <w:spacing w:val="-2"/>
          <w:sz w:val="20"/>
        </w:rPr>
        <w:t> </w:t>
      </w:r>
      <w:r>
        <w:rPr>
          <w:sz w:val="20"/>
        </w:rPr>
        <w:t>In</w:t>
      </w:r>
      <w:r>
        <w:rPr>
          <w:spacing w:val="-3"/>
          <w:sz w:val="20"/>
        </w:rPr>
        <w:t> </w:t>
      </w:r>
      <w:r>
        <w:rPr>
          <w:rFonts w:ascii="Arial" w:hAnsi="Arial"/>
          <w:i/>
          <w:sz w:val="20"/>
        </w:rPr>
        <w:t>Watts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Morrow</w:t>
      </w:r>
      <w:r>
        <w:rPr>
          <w:sz w:val="20"/>
        </w:rPr>
        <w:t>,</w:t>
      </w:r>
      <w:r>
        <w:rPr>
          <w:spacing w:val="-2"/>
          <w:sz w:val="20"/>
        </w:rPr>
        <w:t> </w:t>
      </w:r>
      <w:r>
        <w:rPr>
          <w:sz w:val="20"/>
        </w:rPr>
        <w:t>the court</w:t>
      </w:r>
      <w:r>
        <w:rPr>
          <w:spacing w:val="41"/>
          <w:sz w:val="20"/>
        </w:rPr>
        <w:t> </w:t>
      </w:r>
      <w:r>
        <w:rPr>
          <w:sz w:val="20"/>
        </w:rPr>
        <w:t>left</w:t>
      </w:r>
      <w:r>
        <w:rPr>
          <w:spacing w:val="43"/>
          <w:sz w:val="20"/>
        </w:rPr>
        <w:t> </w:t>
      </w:r>
      <w:r>
        <w:rPr>
          <w:sz w:val="20"/>
        </w:rPr>
        <w:t>open</w:t>
      </w:r>
      <w:r>
        <w:rPr>
          <w:spacing w:val="43"/>
          <w:sz w:val="20"/>
        </w:rPr>
        <w:t> </w:t>
      </w:r>
      <w:r>
        <w:rPr>
          <w:sz w:val="20"/>
        </w:rPr>
        <w:t>the</w:t>
      </w:r>
      <w:r>
        <w:rPr>
          <w:spacing w:val="43"/>
          <w:sz w:val="20"/>
        </w:rPr>
        <w:t> </w:t>
      </w:r>
      <w:r>
        <w:rPr>
          <w:sz w:val="20"/>
        </w:rPr>
        <w:t>question</w:t>
      </w:r>
      <w:r>
        <w:rPr>
          <w:spacing w:val="43"/>
          <w:sz w:val="20"/>
        </w:rPr>
        <w:t> </w:t>
      </w:r>
      <w:r>
        <w:rPr>
          <w:sz w:val="20"/>
        </w:rPr>
        <w:t>as</w:t>
      </w:r>
      <w:r>
        <w:rPr>
          <w:spacing w:val="43"/>
          <w:sz w:val="20"/>
        </w:rPr>
        <w:t> </w:t>
      </w:r>
      <w:r>
        <w:rPr>
          <w:sz w:val="20"/>
        </w:rPr>
        <w:t>to</w:t>
      </w:r>
      <w:r>
        <w:rPr>
          <w:spacing w:val="42"/>
          <w:sz w:val="20"/>
        </w:rPr>
        <w:t> </w:t>
      </w:r>
      <w:r>
        <w:rPr>
          <w:rFonts w:ascii="Arial" w:hAnsi="Arial"/>
          <w:i/>
          <w:sz w:val="20"/>
        </w:rPr>
        <w:t>when</w:t>
      </w:r>
      <w:r>
        <w:rPr>
          <w:rFonts w:ascii="Arial" w:hAnsi="Arial"/>
          <w:i/>
          <w:spacing w:val="43"/>
          <w:sz w:val="20"/>
        </w:rPr>
        <w:t> </w:t>
      </w:r>
      <w:r>
        <w:rPr>
          <w:sz w:val="20"/>
        </w:rPr>
        <w:t>the</w:t>
      </w:r>
      <w:r>
        <w:rPr>
          <w:spacing w:val="43"/>
          <w:sz w:val="20"/>
        </w:rPr>
        <w:t> </w:t>
      </w:r>
      <w:r>
        <w:rPr>
          <w:sz w:val="20"/>
        </w:rPr>
        <w:t>market</w:t>
      </w:r>
      <w:r>
        <w:rPr>
          <w:spacing w:val="43"/>
          <w:sz w:val="20"/>
        </w:rPr>
        <w:t> </w:t>
      </w:r>
      <w:r>
        <w:rPr>
          <w:sz w:val="20"/>
        </w:rPr>
        <w:t>value</w:t>
      </w:r>
      <w:r>
        <w:rPr>
          <w:spacing w:val="43"/>
          <w:sz w:val="20"/>
        </w:rPr>
        <w:t> </w:t>
      </w:r>
      <w:r>
        <w:rPr>
          <w:sz w:val="20"/>
        </w:rPr>
        <w:t>should</w:t>
      </w:r>
      <w:r>
        <w:rPr>
          <w:spacing w:val="43"/>
          <w:sz w:val="20"/>
        </w:rPr>
        <w:t> </w:t>
      </w:r>
      <w:r>
        <w:rPr>
          <w:sz w:val="20"/>
        </w:rPr>
        <w:t>be</w:t>
      </w:r>
      <w:r>
        <w:rPr>
          <w:spacing w:val="43"/>
          <w:sz w:val="20"/>
        </w:rPr>
        <w:t> </w:t>
      </w:r>
      <w:r>
        <w:rPr>
          <w:sz w:val="20"/>
        </w:rPr>
        <w:t>ascertained:</w:t>
      </w:r>
      <w:r>
        <w:rPr>
          <w:spacing w:val="42"/>
          <w:sz w:val="20"/>
        </w:rPr>
        <w:t> </w:t>
      </w:r>
      <w:r>
        <w:rPr>
          <w:rFonts w:ascii="Arial" w:hAnsi="Arial"/>
          <w:i/>
          <w:sz w:val="20"/>
        </w:rPr>
        <w:t>[1991]</w:t>
      </w:r>
      <w:r>
        <w:rPr>
          <w:rFonts w:ascii="Arial" w:hAnsi="Arial"/>
          <w:i/>
          <w:spacing w:val="43"/>
          <w:sz w:val="20"/>
        </w:rPr>
        <w:t> </w:t>
      </w:r>
      <w:r>
        <w:rPr>
          <w:rFonts w:ascii="Arial" w:hAnsi="Arial"/>
          <w:i/>
          <w:spacing w:val="-10"/>
          <w:sz w:val="20"/>
        </w:rPr>
        <w:t>1</w:t>
      </w:r>
    </w:p>
    <w:p>
      <w:pPr>
        <w:spacing w:line="235" w:lineRule="auto" w:before="0"/>
        <w:ind w:left="705" w:right="167" w:firstLine="0"/>
        <w:jc w:val="both"/>
        <w:rPr>
          <w:sz w:val="20"/>
        </w:rPr>
      </w:pPr>
      <w:r>
        <w:rPr>
          <w:rFonts w:ascii="Arial" w:hAnsi="Arial"/>
          <w:i/>
          <w:sz w:val="20"/>
        </w:rPr>
        <w:t>W.L.R. 1421, 1437–1438</w:t>
      </w:r>
      <w:r>
        <w:rPr>
          <w:sz w:val="20"/>
        </w:rPr>
        <w:t>. In </w:t>
      </w:r>
      <w:r>
        <w:rPr>
          <w:rFonts w:ascii="Arial" w:hAnsi="Arial"/>
          <w:i/>
          <w:sz w:val="20"/>
        </w:rPr>
        <w:t>Dent v Davis Blank Furniss [2001] Lloyd’s Rep. P.N. 534 </w:t>
      </w:r>
      <w:r>
        <w:rPr>
          <w:sz w:val="20"/>
        </w:rPr>
        <w:t>where a solicitor failed to advise the purchaser that part of the property was registered as common land, the judge applied the diminution in value test, not at the time of purchase but at the later date when the purchaser succeeded in partially mitigating his loss.</w:t>
      </w:r>
    </w:p>
    <w:p>
      <w:pPr>
        <w:pStyle w:val="BodyText"/>
        <w:spacing w:before="1"/>
      </w:pPr>
    </w:p>
    <w:p>
      <w:pPr>
        <w:tabs>
          <w:tab w:pos="705" w:val="left" w:leader="none"/>
        </w:tabs>
        <w:spacing w:line="227" w:lineRule="exact" w:before="1"/>
        <w:ind w:left="165" w:right="0" w:firstLine="0"/>
        <w:jc w:val="left"/>
        <w:rPr>
          <w:sz w:val="20"/>
        </w:rPr>
      </w:pPr>
      <w:bookmarkStart w:name="_bookmark1756" w:id="1758"/>
      <w:bookmarkEnd w:id="1758"/>
      <w:r>
        <w:rPr/>
      </w:r>
      <w:hyperlink w:history="true" w:anchor="_bookmark1726">
        <w:r>
          <w:rPr>
            <w:color w:val="005DA1"/>
            <w:spacing w:val="-4"/>
            <w:position w:val="5"/>
            <w:sz w:val="14"/>
            <w:u w:val="single" w:color="005DA1"/>
          </w:rPr>
          <w:t>924</w:t>
        </w:r>
      </w:hyperlink>
      <w:r>
        <w:rPr>
          <w:spacing w:val="-4"/>
          <w:position w:val="5"/>
          <w:sz w:val="14"/>
        </w:rPr>
        <w:t>.</w:t>
      </w:r>
      <w:r>
        <w:rPr>
          <w:position w:val="5"/>
          <w:sz w:val="14"/>
        </w:rPr>
        <w:tab/>
      </w:r>
      <w:r>
        <w:rPr>
          <w:rFonts w:ascii="Arial"/>
          <w:i/>
          <w:sz w:val="20"/>
        </w:rPr>
        <w:t>Watts</w:t>
      </w:r>
      <w:r>
        <w:rPr>
          <w:rFonts w:ascii="Arial"/>
          <w:i/>
          <w:spacing w:val="14"/>
          <w:sz w:val="20"/>
        </w:rPr>
        <w:t> </w:t>
      </w:r>
      <w:r>
        <w:rPr>
          <w:rFonts w:ascii="Arial"/>
          <w:i/>
          <w:sz w:val="20"/>
        </w:rPr>
        <w:t>v</w:t>
      </w:r>
      <w:r>
        <w:rPr>
          <w:rFonts w:ascii="Arial"/>
          <w:i/>
          <w:spacing w:val="15"/>
          <w:sz w:val="20"/>
        </w:rPr>
        <w:t> </w:t>
      </w:r>
      <w:r>
        <w:rPr>
          <w:rFonts w:ascii="Arial"/>
          <w:i/>
          <w:sz w:val="20"/>
        </w:rPr>
        <w:t>Morrow</w:t>
      </w:r>
      <w:r>
        <w:rPr>
          <w:rFonts w:ascii="Arial"/>
          <w:i/>
          <w:spacing w:val="15"/>
          <w:sz w:val="20"/>
        </w:rPr>
        <w:t> </w:t>
      </w:r>
      <w:r>
        <w:rPr>
          <w:rFonts w:ascii="Arial"/>
          <w:i/>
          <w:sz w:val="20"/>
        </w:rPr>
        <w:t>[1991]</w:t>
      </w:r>
      <w:r>
        <w:rPr>
          <w:rFonts w:ascii="Arial"/>
          <w:i/>
          <w:spacing w:val="15"/>
          <w:sz w:val="20"/>
        </w:rPr>
        <w:t> </w:t>
      </w:r>
      <w:r>
        <w:rPr>
          <w:rFonts w:ascii="Arial"/>
          <w:i/>
          <w:sz w:val="20"/>
        </w:rPr>
        <w:t>1</w:t>
      </w:r>
      <w:r>
        <w:rPr>
          <w:rFonts w:ascii="Arial"/>
          <w:i/>
          <w:spacing w:val="15"/>
          <w:sz w:val="20"/>
        </w:rPr>
        <w:t> </w:t>
      </w:r>
      <w:r>
        <w:rPr>
          <w:rFonts w:ascii="Arial"/>
          <w:i/>
          <w:sz w:val="20"/>
        </w:rPr>
        <w:t>W.L.R.</w:t>
      </w:r>
      <w:r>
        <w:rPr>
          <w:rFonts w:ascii="Arial"/>
          <w:i/>
          <w:spacing w:val="15"/>
          <w:sz w:val="20"/>
        </w:rPr>
        <w:t> </w:t>
      </w:r>
      <w:r>
        <w:rPr>
          <w:rFonts w:ascii="Arial"/>
          <w:i/>
          <w:sz w:val="20"/>
        </w:rPr>
        <w:t>1421,</w:t>
      </w:r>
      <w:r>
        <w:rPr>
          <w:rFonts w:ascii="Arial"/>
          <w:i/>
          <w:spacing w:val="15"/>
          <w:sz w:val="20"/>
        </w:rPr>
        <w:t> </w:t>
      </w:r>
      <w:r>
        <w:rPr>
          <w:rFonts w:ascii="Arial"/>
          <w:i/>
          <w:sz w:val="20"/>
        </w:rPr>
        <w:t>1430,</w:t>
      </w:r>
      <w:r>
        <w:rPr>
          <w:rFonts w:ascii="Arial"/>
          <w:i/>
          <w:spacing w:val="15"/>
          <w:sz w:val="20"/>
        </w:rPr>
        <w:t> </w:t>
      </w:r>
      <w:r>
        <w:rPr>
          <w:rFonts w:ascii="Arial"/>
          <w:i/>
          <w:sz w:val="20"/>
        </w:rPr>
        <w:t>1435</w:t>
      </w:r>
      <w:r>
        <w:rPr>
          <w:sz w:val="20"/>
        </w:rPr>
        <w:t>.</w:t>
      </w:r>
      <w:r>
        <w:rPr>
          <w:spacing w:val="15"/>
          <w:sz w:val="20"/>
        </w:rPr>
        <w:t> </w:t>
      </w:r>
      <w:r>
        <w:rPr>
          <w:sz w:val="20"/>
        </w:rPr>
        <w:t>The</w:t>
      </w:r>
      <w:r>
        <w:rPr>
          <w:spacing w:val="15"/>
          <w:sz w:val="20"/>
        </w:rPr>
        <w:t> </w:t>
      </w:r>
      <w:r>
        <w:rPr>
          <w:sz w:val="20"/>
        </w:rPr>
        <w:t>relevant</w:t>
      </w:r>
      <w:r>
        <w:rPr>
          <w:spacing w:val="15"/>
          <w:sz w:val="20"/>
        </w:rPr>
        <w:t> </w:t>
      </w:r>
      <w:r>
        <w:rPr>
          <w:sz w:val="20"/>
        </w:rPr>
        <w:t>statement</w:t>
      </w:r>
      <w:r>
        <w:rPr>
          <w:spacing w:val="15"/>
          <w:sz w:val="20"/>
        </w:rPr>
        <w:t> </w:t>
      </w:r>
      <w:r>
        <w:rPr>
          <w:sz w:val="20"/>
        </w:rPr>
        <w:t>in</w:t>
      </w:r>
      <w:r>
        <w:rPr>
          <w:spacing w:val="15"/>
          <w:sz w:val="20"/>
        </w:rPr>
        <w:t> </w:t>
      </w:r>
      <w:r>
        <w:rPr>
          <w:sz w:val="20"/>
        </w:rPr>
        <w:t>the</w:t>
      </w:r>
      <w:r>
        <w:rPr>
          <w:spacing w:val="15"/>
          <w:sz w:val="20"/>
        </w:rPr>
        <w:t> </w:t>
      </w:r>
      <w:r>
        <w:rPr>
          <w:sz w:val="20"/>
        </w:rPr>
        <w:t>headnote</w:t>
      </w:r>
      <w:r>
        <w:rPr>
          <w:spacing w:val="15"/>
          <w:sz w:val="20"/>
        </w:rPr>
        <w:t> </w:t>
      </w:r>
      <w:r>
        <w:rPr>
          <w:spacing w:val="-5"/>
          <w:sz w:val="20"/>
        </w:rPr>
        <w:t>is</w:t>
      </w:r>
    </w:p>
    <w:p>
      <w:pPr>
        <w:spacing w:line="227" w:lineRule="exact" w:before="0"/>
        <w:ind w:left="705" w:right="0" w:firstLine="0"/>
        <w:jc w:val="left"/>
        <w:rPr>
          <w:sz w:val="20"/>
        </w:rPr>
      </w:pPr>
      <w:r>
        <w:rPr>
          <w:sz w:val="20"/>
        </w:rPr>
        <w:t>inaccurate;</w:t>
      </w:r>
      <w:r>
        <w:rPr>
          <w:spacing w:val="-2"/>
          <w:sz w:val="20"/>
        </w:rPr>
        <w:t> </w:t>
      </w:r>
      <w:r>
        <w:rPr>
          <w:sz w:val="20"/>
        </w:rPr>
        <w:t>see also</w:t>
      </w:r>
      <w:r>
        <w:rPr>
          <w:spacing w:val="-1"/>
          <w:sz w:val="20"/>
        </w:rPr>
        <w:t> </w:t>
      </w:r>
      <w:r>
        <w:rPr>
          <w:rFonts w:ascii="Arial" w:hAnsi="Arial"/>
          <w:i/>
          <w:sz w:val="20"/>
        </w:rPr>
        <w:t>Perry v Sidney Phillips &amp; Son [1982] 1 W.L.R. 1297, 1301–1302, </w:t>
      </w:r>
      <w:r>
        <w:rPr>
          <w:rFonts w:ascii="Arial" w:hAnsi="Arial"/>
          <w:i/>
          <w:spacing w:val="-2"/>
          <w:sz w:val="20"/>
        </w:rPr>
        <w:t>1304</w:t>
      </w:r>
      <w:r>
        <w:rPr>
          <w:spacing w:val="-2"/>
          <w:sz w:val="20"/>
        </w:rPr>
        <w:t>.</w:t>
      </w:r>
    </w:p>
    <w:p>
      <w:pPr>
        <w:pStyle w:val="BodyText"/>
        <w:spacing w:before="8"/>
      </w:pPr>
    </w:p>
    <w:p>
      <w:pPr>
        <w:pStyle w:val="BodyText"/>
        <w:spacing w:line="235" w:lineRule="auto"/>
        <w:ind w:left="705" w:right="167" w:hanging="541"/>
        <w:jc w:val="both"/>
      </w:pPr>
      <w:bookmarkStart w:name="_bookmark1757" w:id="1759"/>
      <w:bookmarkEnd w:id="1759"/>
      <w:r>
        <w:rPr/>
      </w:r>
      <w:hyperlink w:history="true" w:anchor="_bookmark1727">
        <w:r>
          <w:rPr>
            <w:color w:val="005DA1"/>
            <w:position w:val="5"/>
            <w:sz w:val="14"/>
            <w:u w:val="single" w:color="005DA1"/>
          </w:rPr>
          <w:t>925</w:t>
        </w:r>
      </w:hyperlink>
      <w:r>
        <w:rPr>
          <w:position w:val="5"/>
          <w:sz w:val="14"/>
        </w:rPr>
        <w:t>.</w:t>
      </w:r>
      <w:r>
        <w:rPr>
          <w:spacing w:val="80"/>
          <w:w w:val="150"/>
          <w:position w:val="5"/>
          <w:sz w:val="14"/>
        </w:rPr>
        <w:t> </w:t>
      </w:r>
      <w:r>
        <w:rPr>
          <w:rFonts w:ascii="Arial" w:hAnsi="Arial"/>
          <w:i/>
        </w:rPr>
        <w:t>Watts v Morrow [1991] 1 W.L.R. 1421, 1437–1438</w:t>
      </w:r>
      <w:r>
        <w:rPr/>
        <w:t>. The “excessive price” measure used in a purchaser’s claim is not affected by the decision of the House of Lords in the </w:t>
      </w:r>
      <w:r>
        <w:rPr>
          <w:rFonts w:ascii="Arial" w:hAnsi="Arial"/>
          <w:i/>
        </w:rPr>
        <w:t>South Australia case [1997] A.C. 191 </w:t>
      </w:r>
      <w:r>
        <w:rPr/>
        <w:t>(see below, para.26-168) where a lender’s claim is based on a </w:t>
      </w:r>
      <w:r>
        <w:rPr/>
        <w:t>negligent overvaluation of the proposed security; </w:t>
      </w:r>
      <w:r>
        <w:rPr>
          <w:rFonts w:ascii="Arial" w:hAnsi="Arial"/>
          <w:i/>
        </w:rPr>
        <w:t>Patel v Hooper &amp; Jackson [1999] 1 W.L.R. 1792, 1801</w:t>
      </w:r>
      <w:r>
        <w:rPr/>
        <w:t>. The excessive price provides the measure of the purchaser’s damages, whereas the initial deficiency in the value of the security provides only a limitation on the lender’s damages. (The issue of a cap might arise were the purchaser to seek to recover damages caused by a subsequent fall in the market value of the property, on the basis that had he been given an accurate survey he would never have purchased the property.) The excessive price measure has not been used when it would give the purchaser more than his actual loss because he was able to make a favourable arrangement with his financier:</w:t>
      </w:r>
      <w:r>
        <w:rPr>
          <w:spacing w:val="-1"/>
        </w:rPr>
        <w:t> </w:t>
      </w:r>
      <w:r>
        <w:rPr>
          <w:rFonts w:ascii="Arial" w:hAnsi="Arial"/>
          <w:i/>
        </w:rPr>
        <w:t>Devine v Jefferys [2001] P.N.L.R. 16</w:t>
      </w:r>
      <w:r>
        <w:rPr/>
        <w:t>.</w:t>
      </w:r>
    </w:p>
    <w:p>
      <w:pPr>
        <w:pStyle w:val="BodyText"/>
        <w:spacing w:before="6"/>
      </w:pPr>
    </w:p>
    <w:p>
      <w:pPr>
        <w:tabs>
          <w:tab w:pos="705" w:val="left" w:leader="none"/>
        </w:tabs>
        <w:spacing w:line="235" w:lineRule="auto" w:before="0"/>
        <w:ind w:left="705" w:right="174" w:hanging="541"/>
        <w:jc w:val="left"/>
        <w:rPr>
          <w:sz w:val="20"/>
        </w:rPr>
      </w:pPr>
      <w:bookmarkStart w:name="_bookmark1758" w:id="1760"/>
      <w:bookmarkEnd w:id="1760"/>
      <w:r>
        <w:rPr/>
      </w:r>
      <w:hyperlink w:history="true" w:anchor="_bookmark1728">
        <w:r>
          <w:rPr>
            <w:color w:val="005DA1"/>
            <w:spacing w:val="-4"/>
            <w:position w:val="5"/>
            <w:sz w:val="14"/>
            <w:u w:val="single" w:color="005DA1"/>
          </w:rPr>
          <w:t>926</w:t>
        </w:r>
      </w:hyperlink>
      <w:r>
        <w:rPr>
          <w:spacing w:val="-4"/>
          <w:position w:val="5"/>
          <w:sz w:val="14"/>
        </w:rPr>
        <w:t>.</w:t>
      </w:r>
      <w:r>
        <w:rPr>
          <w:position w:val="5"/>
          <w:sz w:val="14"/>
        </w:rPr>
        <w:tab/>
      </w:r>
      <w:r>
        <w:rPr>
          <w:rFonts w:ascii="Arial" w:hAnsi="Arial"/>
          <w:i/>
          <w:sz w:val="20"/>
        </w:rPr>
        <w:t>Watts [1991] 1 W.L.R. 1421, 1445</w:t>
      </w:r>
      <w:r>
        <w:rPr>
          <w:sz w:val="20"/>
        </w:rPr>
        <w:t>. cf. the “no transaction” measure of damages used in </w:t>
      </w:r>
      <w:r>
        <w:rPr>
          <w:rFonts w:ascii="Arial" w:hAnsi="Arial"/>
          <w:i/>
          <w:sz w:val="20"/>
        </w:rPr>
        <w:t>Hayes v Dodd [1990] 2 All E.R. 815 CA </w:t>
      </w:r>
      <w:r>
        <w:rPr>
          <w:sz w:val="20"/>
        </w:rPr>
        <w:t>(above, para.26-031).</w:t>
      </w:r>
    </w:p>
    <w:p>
      <w:pPr>
        <w:pStyle w:val="BodyText"/>
        <w:spacing w:before="6"/>
      </w:pPr>
    </w:p>
    <w:p>
      <w:pPr>
        <w:tabs>
          <w:tab w:pos="705" w:val="left" w:leader="none"/>
        </w:tabs>
        <w:spacing w:before="0"/>
        <w:ind w:left="165" w:right="0" w:firstLine="0"/>
        <w:jc w:val="left"/>
        <w:rPr>
          <w:sz w:val="20"/>
        </w:rPr>
      </w:pPr>
      <w:bookmarkStart w:name="_bookmark1759" w:id="1761"/>
      <w:bookmarkEnd w:id="1761"/>
      <w:r>
        <w:rPr/>
      </w:r>
      <w:hyperlink w:history="true" w:anchor="_bookmark1729">
        <w:r>
          <w:rPr>
            <w:color w:val="005DA1"/>
            <w:spacing w:val="-4"/>
            <w:position w:val="5"/>
            <w:sz w:val="14"/>
            <w:u w:val="single" w:color="005DA1"/>
          </w:rPr>
          <w:t>927</w:t>
        </w:r>
      </w:hyperlink>
      <w:r>
        <w:rPr>
          <w:spacing w:val="-4"/>
          <w:position w:val="5"/>
          <w:sz w:val="14"/>
        </w:rPr>
        <w:t>.</w:t>
      </w:r>
      <w:r>
        <w:rPr>
          <w:position w:val="5"/>
          <w:sz w:val="14"/>
        </w:rPr>
        <w:tab/>
      </w:r>
      <w:r>
        <w:rPr>
          <w:rFonts w:ascii="Arial"/>
          <w:i/>
          <w:sz w:val="20"/>
        </w:rPr>
        <w:t>Farley v Skinner [2001] UKHL 49, [2002] 2 A.C. 732</w:t>
      </w:r>
      <w:r>
        <w:rPr>
          <w:rFonts w:ascii="Arial"/>
          <w:i/>
          <w:spacing w:val="-1"/>
          <w:sz w:val="20"/>
        </w:rPr>
        <w:t> </w:t>
      </w:r>
      <w:r>
        <w:rPr>
          <w:sz w:val="20"/>
        </w:rPr>
        <w:t>(see above, para.26-</w:t>
      </w:r>
      <w:r>
        <w:rPr>
          <w:spacing w:val="-2"/>
          <w:sz w:val="20"/>
        </w:rPr>
        <w:t>146).</w:t>
      </w:r>
    </w:p>
    <w:p>
      <w:pPr>
        <w:pStyle w:val="BodyText"/>
        <w:spacing w:before="8"/>
      </w:pPr>
    </w:p>
    <w:p>
      <w:pPr>
        <w:spacing w:line="235" w:lineRule="auto" w:before="1"/>
        <w:ind w:left="705" w:right="167" w:hanging="541"/>
        <w:jc w:val="both"/>
        <w:rPr>
          <w:sz w:val="20"/>
        </w:rPr>
      </w:pPr>
      <w:bookmarkStart w:name="_bookmark1760" w:id="1762"/>
      <w:bookmarkEnd w:id="1762"/>
      <w:r>
        <w:rPr/>
      </w:r>
      <w:hyperlink w:history="true" w:anchor="_bookmark1730">
        <w:r>
          <w:rPr>
            <w:color w:val="005DA1"/>
            <w:position w:val="5"/>
            <w:sz w:val="14"/>
            <w:u w:val="single" w:color="005DA1"/>
          </w:rPr>
          <w:t>928</w:t>
        </w:r>
      </w:hyperlink>
      <w:r>
        <w:rPr>
          <w:position w:val="5"/>
          <w:sz w:val="14"/>
        </w:rPr>
        <w:t>.</w:t>
      </w:r>
      <w:r>
        <w:rPr>
          <w:spacing w:val="80"/>
          <w:position w:val="5"/>
          <w:sz w:val="14"/>
        </w:rPr>
        <w:t>  </w:t>
      </w:r>
      <w:r>
        <w:rPr>
          <w:rFonts w:ascii="Arial" w:hAnsi="Arial"/>
          <w:i/>
          <w:sz w:val="20"/>
        </w:rPr>
        <w:t>South Australia Asset Management Corp v York Montague Ltd [1997] A.C. 191 </w:t>
      </w:r>
      <w:r>
        <w:rPr>
          <w:sz w:val="20"/>
        </w:rPr>
        <w:t>(also known </w:t>
      </w:r>
      <w:r>
        <w:rPr>
          <w:sz w:val="20"/>
        </w:rPr>
        <w:t>as the </w:t>
      </w:r>
      <w:r>
        <w:rPr>
          <w:rFonts w:ascii="Arial" w:hAnsi="Arial"/>
          <w:i/>
          <w:sz w:val="20"/>
        </w:rPr>
        <w:t>B.B.L. </w:t>
      </w:r>
      <w:r>
        <w:rPr>
          <w:sz w:val="20"/>
        </w:rPr>
        <w:t>or </w:t>
      </w:r>
      <w:r>
        <w:rPr>
          <w:rFonts w:ascii="Arial" w:hAnsi="Arial"/>
          <w:i/>
          <w:sz w:val="20"/>
        </w:rPr>
        <w:t>Banque Bruxelles </w:t>
      </w:r>
      <w:r>
        <w:rPr>
          <w:sz w:val="20"/>
        </w:rPr>
        <w:t>case). Lord Hoffmann, who gave the only speech, dealt almost exclusively with the scope of the valuer’s limited duty of care under the tort of negligence, but</w:t>
      </w:r>
      <w:r>
        <w:rPr>
          <w:spacing w:val="40"/>
          <w:sz w:val="20"/>
        </w:rPr>
        <w:t> </w:t>
      </w:r>
      <w:r>
        <w:rPr>
          <w:sz w:val="20"/>
        </w:rPr>
        <w:t>he also said that the same result would follow from an implied term in the contract: at 211, 212. The High Court of Australia has not followed the </w:t>
      </w:r>
      <w:r>
        <w:rPr>
          <w:rFonts w:ascii="Arial" w:hAnsi="Arial"/>
          <w:i/>
          <w:sz w:val="20"/>
        </w:rPr>
        <w:t>South Australia </w:t>
      </w:r>
      <w:r>
        <w:rPr>
          <w:sz w:val="20"/>
        </w:rPr>
        <w:t>case: </w:t>
      </w:r>
      <w:r>
        <w:rPr>
          <w:rFonts w:ascii="Arial" w:hAnsi="Arial"/>
          <w:i/>
          <w:sz w:val="20"/>
        </w:rPr>
        <w:t>Kenny Good Pty Ltd v MGICA (1992) Ltd [2000] Lloyd’s Rep. P.N. 25</w:t>
      </w:r>
      <w:r>
        <w:rPr>
          <w:sz w:val="20"/>
        </w:rPr>
        <w: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8240">
            <wp:simplePos x="0" y="0"/>
            <wp:positionH relativeFrom="page">
              <wp:posOffset>1257846</wp:posOffset>
            </wp:positionH>
            <wp:positionV relativeFrom="paragraph">
              <wp:posOffset>160523</wp:posOffset>
            </wp:positionV>
            <wp:extent cx="107988" cy="107988"/>
            <wp:effectExtent l="0" t="0" r="0" b="0"/>
            <wp:wrapNone/>
            <wp:docPr id="379" name="Image 379"/>
            <wp:cNvGraphicFramePr>
              <a:graphicFrameLocks/>
            </wp:cNvGraphicFramePr>
            <a:graphic>
              <a:graphicData uri="http://schemas.openxmlformats.org/drawingml/2006/picture">
                <pic:pic>
                  <pic:nvPicPr>
                    <pic:cNvPr id="379" name="Image 3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61" w:id="1763"/>
      <w:bookmarkEnd w:id="1763"/>
      <w:r>
        <w:rPr/>
      </w:r>
      <w:hyperlink w:history="true" w:anchor="_bookmark1730">
        <w:r>
          <w:rPr>
            <w:color w:val="005DA1"/>
            <w:spacing w:val="-4"/>
            <w:sz w:val="14"/>
            <w:u w:val="single" w:color="005DA1"/>
          </w:rPr>
          <w:t>929</w:t>
        </w:r>
      </w:hyperlink>
      <w:r>
        <w:rPr>
          <w:spacing w:val="-4"/>
          <w:sz w:val="14"/>
        </w:rPr>
        <w:t>.</w:t>
      </w:r>
    </w:p>
    <w:p>
      <w:pPr>
        <w:spacing w:line="235" w:lineRule="auto" w:before="212"/>
        <w:ind w:left="165" w:right="168" w:firstLine="170"/>
        <w:jc w:val="both"/>
        <w:rPr>
          <w:sz w:val="20"/>
        </w:rPr>
      </w:pPr>
      <w:r>
        <w:rPr/>
        <w:br w:type="column"/>
      </w:r>
      <w:r>
        <w:rPr>
          <w:sz w:val="20"/>
        </w:rPr>
        <w:t>See however the “advice cases” recognised by the House of Lords in the </w:t>
      </w:r>
      <w:r>
        <w:rPr>
          <w:rFonts w:ascii="Arial" w:hAnsi="Arial"/>
          <w:i/>
          <w:sz w:val="20"/>
        </w:rPr>
        <w:t>South Australia</w:t>
      </w:r>
      <w:r>
        <w:rPr>
          <w:rFonts w:ascii="Arial" w:hAnsi="Arial"/>
          <w:i/>
          <w:spacing w:val="40"/>
          <w:sz w:val="20"/>
        </w:rPr>
        <w:t> </w:t>
      </w:r>
      <w:r>
        <w:rPr>
          <w:rFonts w:ascii="Arial" w:hAnsi="Arial"/>
          <w:i/>
          <w:sz w:val="20"/>
        </w:rPr>
        <w:t>case [1997] A.C. 191 </w:t>
      </w:r>
      <w:r>
        <w:rPr>
          <w:sz w:val="20"/>
        </w:rPr>
        <w:t>and discussed by the Supreme Court in </w:t>
      </w:r>
      <w:r>
        <w:rPr>
          <w:rFonts w:ascii="Arial" w:hAnsi="Arial"/>
          <w:i/>
          <w:sz w:val="20"/>
        </w:rPr>
        <w:t>Hughes-Holland v BPE Solicitors [2017] UKSC 21, [2017] 2 W.L.R. 1029</w:t>
      </w:r>
      <w:r>
        <w:rPr>
          <w:sz w:val="20"/>
        </w:rPr>
        <w:t>, above, para.26-031</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762" w:id="1764"/>
      <w:bookmarkEnd w:id="1764"/>
      <w:r>
        <w:rPr/>
      </w:r>
      <w:hyperlink w:history="true" w:anchor="_bookmark1731">
        <w:r>
          <w:rPr>
            <w:color w:val="005DA1"/>
            <w:spacing w:val="-4"/>
            <w:sz w:val="14"/>
            <w:u w:val="single" w:color="005DA1"/>
          </w:rPr>
          <w:t>930</w:t>
        </w:r>
      </w:hyperlink>
      <w:r>
        <w:rPr>
          <w:spacing w:val="-4"/>
          <w:sz w:val="14"/>
        </w:rPr>
        <w:t>.</w:t>
      </w:r>
    </w:p>
    <w:p>
      <w:pPr>
        <w:spacing w:line="235" w:lineRule="auto" w:before="212"/>
        <w:ind w:left="165" w:right="165" w:firstLine="170"/>
        <w:jc w:val="left"/>
        <w:rPr>
          <w:rFonts w:ascii="Arial"/>
          <w:i/>
          <w:sz w:val="20"/>
        </w:rPr>
      </w:pPr>
      <w:r>
        <w:rPr/>
        <w:br w:type="column"/>
      </w:r>
      <w:r>
        <w:rPr>
          <w:rFonts w:ascii="Arial"/>
          <w:i/>
          <w:sz w:val="20"/>
        </w:rPr>
        <w:t>Nykredit Mortgage Bank Plc v Edward Erdman Group Ltd (No.2) [1997] 1 W.L.R. 1627 </w:t>
      </w:r>
      <w:r>
        <w:rPr>
          <w:rFonts w:ascii="Arial"/>
          <w:i/>
          <w:sz w:val="20"/>
        </w:rPr>
        <w:t>HL,</w:t>
      </w:r>
      <w:r>
        <w:rPr>
          <w:rFonts w:ascii="Arial"/>
          <w:i/>
          <w:spacing w:val="80"/>
          <w:sz w:val="20"/>
        </w:rPr>
        <w:t> </w:t>
      </w:r>
      <w:r>
        <w:rPr>
          <w:rFonts w:ascii="Arial"/>
          <w:i/>
          <w:sz w:val="20"/>
        </w:rPr>
        <w:t>1631,</w:t>
      </w:r>
      <w:r>
        <w:rPr>
          <w:rFonts w:ascii="Arial"/>
          <w:i/>
          <w:spacing w:val="10"/>
          <w:sz w:val="20"/>
        </w:rPr>
        <w:t> </w:t>
      </w:r>
      <w:r>
        <w:rPr>
          <w:rFonts w:ascii="Arial"/>
          <w:i/>
          <w:sz w:val="20"/>
        </w:rPr>
        <w:t>1638</w:t>
      </w:r>
      <w:r>
        <w:rPr>
          <w:sz w:val="20"/>
        </w:rPr>
        <w:t>.</w:t>
      </w:r>
      <w:r>
        <w:rPr>
          <w:spacing w:val="11"/>
          <w:sz w:val="20"/>
        </w:rPr>
        <w:t> </w:t>
      </w:r>
      <w:r>
        <w:rPr>
          <w:sz w:val="20"/>
        </w:rPr>
        <w:t>The</w:t>
      </w:r>
      <w:r>
        <w:rPr>
          <w:spacing w:val="11"/>
          <w:sz w:val="20"/>
        </w:rPr>
        <w:t> </w:t>
      </w:r>
      <w:r>
        <w:rPr>
          <w:rFonts w:ascii="Arial"/>
          <w:i/>
          <w:sz w:val="20"/>
        </w:rPr>
        <w:t>Nykredit</w:t>
      </w:r>
      <w:r>
        <w:rPr>
          <w:rFonts w:ascii="Arial"/>
          <w:i/>
          <w:spacing w:val="11"/>
          <w:sz w:val="20"/>
        </w:rPr>
        <w:t> </w:t>
      </w:r>
      <w:r>
        <w:rPr>
          <w:sz w:val="20"/>
        </w:rPr>
        <w:t>case</w:t>
      </w:r>
      <w:r>
        <w:rPr>
          <w:spacing w:val="11"/>
          <w:sz w:val="20"/>
        </w:rPr>
        <w:t> </w:t>
      </w:r>
      <w:r>
        <w:rPr>
          <w:sz w:val="20"/>
        </w:rPr>
        <w:t>and</w:t>
      </w:r>
      <w:r>
        <w:rPr>
          <w:spacing w:val="11"/>
          <w:sz w:val="20"/>
        </w:rPr>
        <w:t> </w:t>
      </w:r>
      <w:r>
        <w:rPr>
          <w:rFonts w:ascii="Arial"/>
          <w:i/>
          <w:sz w:val="20"/>
        </w:rPr>
        <w:t>Platform</w:t>
      </w:r>
      <w:r>
        <w:rPr>
          <w:rFonts w:ascii="Arial"/>
          <w:i/>
          <w:spacing w:val="11"/>
          <w:sz w:val="20"/>
        </w:rPr>
        <w:t> </w:t>
      </w:r>
      <w:r>
        <w:rPr>
          <w:rFonts w:ascii="Arial"/>
          <w:i/>
          <w:sz w:val="20"/>
        </w:rPr>
        <w:t>Home</w:t>
      </w:r>
      <w:r>
        <w:rPr>
          <w:rFonts w:ascii="Arial"/>
          <w:i/>
          <w:spacing w:val="11"/>
          <w:sz w:val="20"/>
        </w:rPr>
        <w:t> </w:t>
      </w:r>
      <w:r>
        <w:rPr>
          <w:rFonts w:ascii="Arial"/>
          <w:i/>
          <w:sz w:val="20"/>
        </w:rPr>
        <w:t>Loans</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Oyston</w:t>
      </w:r>
      <w:r>
        <w:rPr>
          <w:rFonts w:ascii="Arial"/>
          <w:i/>
          <w:spacing w:val="11"/>
          <w:sz w:val="20"/>
        </w:rPr>
        <w:t> </w:t>
      </w:r>
      <w:r>
        <w:rPr>
          <w:rFonts w:ascii="Arial"/>
          <w:i/>
          <w:sz w:val="20"/>
        </w:rPr>
        <w:t>Shipways</w:t>
      </w:r>
      <w:r>
        <w:rPr>
          <w:rFonts w:ascii="Arial"/>
          <w:i/>
          <w:spacing w:val="11"/>
          <w:sz w:val="20"/>
        </w:rPr>
        <w:t> </w:t>
      </w:r>
      <w:r>
        <w:rPr>
          <w:rFonts w:ascii="Arial"/>
          <w:i/>
          <w:sz w:val="20"/>
        </w:rPr>
        <w:t>Ltd</w:t>
      </w:r>
      <w:r>
        <w:rPr>
          <w:rFonts w:ascii="Arial"/>
          <w:i/>
          <w:spacing w:val="11"/>
          <w:sz w:val="20"/>
        </w:rPr>
        <w:t> </w:t>
      </w:r>
      <w:r>
        <w:rPr>
          <w:rFonts w:ascii="Arial"/>
          <w:i/>
          <w:sz w:val="20"/>
        </w:rPr>
        <w:t>[2000]</w:t>
      </w:r>
      <w:r>
        <w:rPr>
          <w:rFonts w:ascii="Arial"/>
          <w:i/>
          <w:spacing w:val="11"/>
          <w:sz w:val="20"/>
        </w:rPr>
        <w:t> </w:t>
      </w:r>
      <w:r>
        <w:rPr>
          <w:rFonts w:ascii="Arial"/>
          <w:i/>
          <w:spacing w:val="-10"/>
          <w:sz w:val="20"/>
        </w:rPr>
        <w:t>2</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818752">
            <wp:simplePos x="0" y="0"/>
            <wp:positionH relativeFrom="page">
              <wp:posOffset>1257846</wp:posOffset>
            </wp:positionH>
            <wp:positionV relativeFrom="paragraph">
              <wp:posOffset>-260413</wp:posOffset>
            </wp:positionV>
            <wp:extent cx="107988" cy="107988"/>
            <wp:effectExtent l="0" t="0" r="0" b="0"/>
            <wp:wrapNone/>
            <wp:docPr id="380" name="Image 380"/>
            <wp:cNvGraphicFramePr>
              <a:graphicFrameLocks/>
            </wp:cNvGraphicFramePr>
            <a:graphic>
              <a:graphicData uri="http://schemas.openxmlformats.org/drawingml/2006/picture">
                <pic:pic>
                  <pic:nvPicPr>
                    <pic:cNvPr id="380" name="Image 38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 190</w:t>
      </w:r>
      <w:r>
        <w:rPr>
          <w:sz w:val="20"/>
        </w:rPr>
        <w:t>, explain the decision in the </w:t>
      </w:r>
      <w:r>
        <w:rPr>
          <w:rFonts w:ascii="Arial" w:hAnsi="Arial"/>
          <w:i/>
          <w:sz w:val="20"/>
        </w:rPr>
        <w:t>South Australia case [1997] A.C. 191</w:t>
      </w:r>
      <w:r>
        <w:rPr>
          <w:sz w:val="20"/>
        </w:rPr>
        <w:t>. Although the lender may suffer a form of loss when it makes the loan, it will normally be appropriate to calculate the lender’s loss at the date of trial when the amount of loss may have crystallised: </w:t>
      </w:r>
      <w:r>
        <w:rPr>
          <w:rFonts w:ascii="Arial" w:hAnsi="Arial"/>
          <w:i/>
          <w:sz w:val="20"/>
        </w:rPr>
        <w:t>Nykredit case [1997]</w:t>
      </w:r>
      <w:r>
        <w:rPr>
          <w:rFonts w:ascii="Arial" w:hAnsi="Arial"/>
          <w:i/>
          <w:spacing w:val="9"/>
          <w:sz w:val="20"/>
        </w:rPr>
        <w:t> </w:t>
      </w:r>
      <w:r>
        <w:rPr>
          <w:rFonts w:ascii="Arial" w:hAnsi="Arial"/>
          <w:i/>
          <w:sz w:val="20"/>
        </w:rPr>
        <w:t>1</w:t>
      </w:r>
      <w:r>
        <w:rPr>
          <w:rFonts w:ascii="Arial" w:hAnsi="Arial"/>
          <w:i/>
          <w:spacing w:val="10"/>
          <w:sz w:val="20"/>
        </w:rPr>
        <w:t> </w:t>
      </w:r>
      <w:r>
        <w:rPr>
          <w:rFonts w:ascii="Arial" w:hAnsi="Arial"/>
          <w:i/>
          <w:sz w:val="20"/>
        </w:rPr>
        <w:t>W.L.R.</w:t>
      </w:r>
      <w:r>
        <w:rPr>
          <w:rFonts w:ascii="Arial" w:hAnsi="Arial"/>
          <w:i/>
          <w:spacing w:val="10"/>
          <w:sz w:val="20"/>
        </w:rPr>
        <w:t> </w:t>
      </w:r>
      <w:r>
        <w:rPr>
          <w:rFonts w:ascii="Arial" w:hAnsi="Arial"/>
          <w:i/>
          <w:sz w:val="20"/>
        </w:rPr>
        <w:t>1627,</w:t>
      </w:r>
      <w:r>
        <w:rPr>
          <w:rFonts w:ascii="Arial" w:hAnsi="Arial"/>
          <w:i/>
          <w:spacing w:val="10"/>
          <w:sz w:val="20"/>
        </w:rPr>
        <w:t> </w:t>
      </w:r>
      <w:r>
        <w:rPr>
          <w:rFonts w:ascii="Arial" w:hAnsi="Arial"/>
          <w:i/>
          <w:sz w:val="20"/>
        </w:rPr>
        <w:t>1633</w:t>
      </w:r>
      <w:r>
        <w:rPr>
          <w:sz w:val="20"/>
        </w:rPr>
        <w:t>;</w:t>
      </w:r>
      <w:r>
        <w:rPr>
          <w:spacing w:val="10"/>
          <w:sz w:val="20"/>
        </w:rPr>
        <w:t> </w:t>
      </w:r>
      <w:r>
        <w:rPr>
          <w:rFonts w:ascii="Arial" w:hAnsi="Arial"/>
          <w:i/>
          <w:sz w:val="20"/>
        </w:rPr>
        <w:t>LSREF</w:t>
      </w:r>
      <w:r>
        <w:rPr>
          <w:rFonts w:ascii="Arial" w:hAnsi="Arial"/>
          <w:i/>
          <w:spacing w:val="10"/>
          <w:sz w:val="20"/>
        </w:rPr>
        <w:t> </w:t>
      </w:r>
      <w:r>
        <w:rPr>
          <w:rFonts w:ascii="Arial" w:hAnsi="Arial"/>
          <w:i/>
          <w:sz w:val="20"/>
        </w:rPr>
        <w:t>III</w:t>
      </w:r>
      <w:r>
        <w:rPr>
          <w:rFonts w:ascii="Arial" w:hAnsi="Arial"/>
          <w:i/>
          <w:spacing w:val="10"/>
          <w:sz w:val="20"/>
        </w:rPr>
        <w:t> </w:t>
      </w:r>
      <w:r>
        <w:rPr>
          <w:rFonts w:ascii="Arial" w:hAnsi="Arial"/>
          <w:i/>
          <w:sz w:val="20"/>
        </w:rPr>
        <w:t>Wight</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Gateley</w:t>
      </w:r>
      <w:r>
        <w:rPr>
          <w:rFonts w:ascii="Arial" w:hAnsi="Arial"/>
          <w:i/>
          <w:spacing w:val="10"/>
          <w:sz w:val="20"/>
        </w:rPr>
        <w:t> </w:t>
      </w:r>
      <w:r>
        <w:rPr>
          <w:rFonts w:ascii="Arial" w:hAnsi="Arial"/>
          <w:i/>
          <w:sz w:val="20"/>
        </w:rPr>
        <w:t>LLP</w:t>
      </w:r>
      <w:r>
        <w:rPr>
          <w:rFonts w:ascii="Arial" w:hAnsi="Arial"/>
          <w:i/>
          <w:spacing w:val="10"/>
          <w:sz w:val="20"/>
        </w:rPr>
        <w:t> </w:t>
      </w:r>
      <w:r>
        <w:rPr>
          <w:rFonts w:ascii="Arial" w:hAnsi="Arial"/>
          <w:i/>
          <w:sz w:val="20"/>
        </w:rPr>
        <w:t>[2016]</w:t>
      </w:r>
      <w:r>
        <w:rPr>
          <w:rFonts w:ascii="Arial" w:hAnsi="Arial"/>
          <w:i/>
          <w:spacing w:val="10"/>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359,</w:t>
      </w:r>
      <w:r>
        <w:rPr>
          <w:rFonts w:ascii="Arial" w:hAnsi="Arial"/>
          <w:i/>
          <w:spacing w:val="10"/>
          <w:sz w:val="20"/>
        </w:rPr>
        <w:t> </w:t>
      </w:r>
      <w:r>
        <w:rPr>
          <w:rFonts w:ascii="Arial" w:hAnsi="Arial"/>
          <w:i/>
          <w:spacing w:val="-2"/>
          <w:sz w:val="20"/>
        </w:rPr>
        <w:t>[2016]</w:t>
      </w:r>
    </w:p>
    <w:p>
      <w:pPr>
        <w:spacing w:line="225" w:lineRule="exact" w:before="0"/>
        <w:ind w:left="165" w:right="0" w:firstLine="0"/>
        <w:jc w:val="both"/>
        <w:rPr>
          <w:sz w:val="20"/>
        </w:rPr>
      </w:pPr>
      <w:r>
        <w:rPr>
          <w:rFonts w:ascii="Arial"/>
          <w:i/>
          <w:sz w:val="20"/>
        </w:rPr>
        <w:t>P.N.L.R. 21 </w:t>
      </w:r>
      <w:r>
        <w:rPr>
          <w:sz w:val="20"/>
        </w:rPr>
        <w:t>at </w:t>
      </w:r>
      <w:r>
        <w:rPr>
          <w:spacing w:val="-2"/>
          <w:sz w:val="20"/>
        </w:rPr>
        <w:t>[33].</w:t>
      </w:r>
    </w:p>
    <w:p>
      <w:pPr>
        <w:spacing w:after="0" w:line="225" w:lineRule="exact"/>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763" w:id="1765"/>
      <w:bookmarkEnd w:id="1765"/>
      <w:r>
        <w:rPr/>
      </w:r>
      <w:hyperlink w:history="true" w:anchor="_bookmark1732">
        <w:r>
          <w:rPr>
            <w:color w:val="005DA1"/>
            <w:spacing w:val="-4"/>
            <w:position w:val="5"/>
            <w:sz w:val="14"/>
            <w:u w:val="single" w:color="005DA1"/>
          </w:rPr>
          <w:t>931</w:t>
        </w:r>
      </w:hyperlink>
      <w:r>
        <w:rPr>
          <w:spacing w:val="-4"/>
          <w:position w:val="5"/>
          <w:sz w:val="14"/>
        </w:rPr>
        <w:t>.</w:t>
      </w:r>
      <w:r>
        <w:rPr>
          <w:position w:val="5"/>
          <w:sz w:val="14"/>
        </w:rPr>
        <w:tab/>
      </w:r>
      <w:r>
        <w:rPr/>
        <w:t>See</w:t>
      </w:r>
      <w:r>
        <w:rPr>
          <w:spacing w:val="-2"/>
        </w:rPr>
        <w:t> </w:t>
      </w:r>
      <w:r>
        <w:rPr/>
        <w:t>below, para.26-</w:t>
      </w:r>
      <w:r>
        <w:rPr>
          <w:spacing w:val="-4"/>
        </w:rPr>
        <w:t>171.</w:t>
      </w:r>
    </w:p>
    <w:p>
      <w:pPr>
        <w:pStyle w:val="BodyText"/>
        <w:spacing w:after="0"/>
        <w:sectPr>
          <w:type w:val="continuous"/>
          <w:pgSz w:w="11900" w:h="16840"/>
          <w:pgMar w:header="971" w:footer="0" w:top="1300" w:bottom="280" w:left="1275" w:right="1275"/>
        </w:sectPr>
      </w:pPr>
    </w:p>
    <w:p>
      <w:pPr>
        <w:spacing w:line="235" w:lineRule="auto" w:before="170"/>
        <w:ind w:left="705" w:right="168" w:hanging="541"/>
        <w:jc w:val="both"/>
        <w:rPr>
          <w:rFonts w:ascii="Arial" w:hAnsi="Arial"/>
          <w:i/>
          <w:sz w:val="20"/>
        </w:rPr>
      </w:pPr>
      <w:hyperlink w:history="true" w:anchor="_bookmark1733">
        <w:r>
          <w:rPr>
            <w:color w:val="005DA1"/>
            <w:position w:val="5"/>
            <w:sz w:val="14"/>
            <w:u w:val="single" w:color="005DA1"/>
          </w:rPr>
          <w:t>932</w:t>
        </w:r>
      </w:hyperlink>
      <w:r>
        <w:rPr>
          <w:position w:val="5"/>
          <w:sz w:val="14"/>
        </w:rPr>
        <w:t>.</w:t>
      </w:r>
      <w:r>
        <w:rPr>
          <w:spacing w:val="80"/>
          <w:position w:val="5"/>
          <w:sz w:val="14"/>
        </w:rPr>
        <w:t>  </w:t>
      </w:r>
      <w:r>
        <w:rPr>
          <w:sz w:val="20"/>
        </w:rPr>
        <w:t>The “amount of the loss …[is] limited to the extent of the overvaluation”: the </w:t>
      </w:r>
      <w:r>
        <w:rPr>
          <w:rFonts w:ascii="Arial" w:hAnsi="Arial"/>
          <w:i/>
          <w:sz w:val="20"/>
        </w:rPr>
        <w:t>Nykredit case</w:t>
      </w:r>
      <w:r>
        <w:rPr>
          <w:rFonts w:ascii="Arial" w:hAnsi="Arial"/>
          <w:i/>
          <w:spacing w:val="40"/>
          <w:sz w:val="20"/>
        </w:rPr>
        <w:t> </w:t>
      </w:r>
      <w:r>
        <w:rPr>
          <w:rFonts w:ascii="Arial" w:hAnsi="Arial"/>
          <w:i/>
          <w:sz w:val="20"/>
        </w:rPr>
        <w:t>[1997] 1 W.L.R. 1627, 1632</w:t>
      </w:r>
      <w:r>
        <w:rPr>
          <w:sz w:val="20"/>
        </w:rPr>
        <w:t>. The limitation on damages laid down in the </w:t>
      </w:r>
      <w:r>
        <w:rPr>
          <w:rFonts w:ascii="Arial" w:hAnsi="Arial"/>
          <w:i/>
          <w:sz w:val="20"/>
        </w:rPr>
        <w:t>South Australia </w:t>
      </w:r>
      <w:r>
        <w:rPr>
          <w:sz w:val="20"/>
        </w:rPr>
        <w:t>case covers</w:t>
      </w:r>
      <w:r>
        <w:rPr>
          <w:spacing w:val="31"/>
          <w:sz w:val="20"/>
        </w:rPr>
        <w:t> </w:t>
      </w:r>
      <w:r>
        <w:rPr>
          <w:sz w:val="20"/>
        </w:rPr>
        <w:t>both</w:t>
      </w:r>
      <w:r>
        <w:rPr>
          <w:spacing w:val="33"/>
          <w:sz w:val="20"/>
        </w:rPr>
        <w:t> </w:t>
      </w:r>
      <w:r>
        <w:rPr>
          <w:sz w:val="20"/>
        </w:rPr>
        <w:t>categories</w:t>
      </w:r>
      <w:r>
        <w:rPr>
          <w:spacing w:val="33"/>
          <w:sz w:val="20"/>
        </w:rPr>
        <w:t> </w:t>
      </w:r>
      <w:r>
        <w:rPr>
          <w:sz w:val="20"/>
        </w:rPr>
        <w:t>previously</w:t>
      </w:r>
      <w:r>
        <w:rPr>
          <w:spacing w:val="33"/>
          <w:sz w:val="20"/>
        </w:rPr>
        <w:t> </w:t>
      </w:r>
      <w:r>
        <w:rPr>
          <w:sz w:val="20"/>
        </w:rPr>
        <w:t>recognised</w:t>
      </w:r>
      <w:r>
        <w:rPr>
          <w:spacing w:val="33"/>
          <w:sz w:val="20"/>
        </w:rPr>
        <w:t> </w:t>
      </w:r>
      <w:r>
        <w:rPr>
          <w:sz w:val="20"/>
        </w:rPr>
        <w:t>by</w:t>
      </w:r>
      <w:r>
        <w:rPr>
          <w:spacing w:val="32"/>
          <w:sz w:val="20"/>
        </w:rPr>
        <w:t> </w:t>
      </w:r>
      <w:r>
        <w:rPr>
          <w:rFonts w:ascii="Arial" w:hAnsi="Arial"/>
          <w:i/>
          <w:sz w:val="20"/>
        </w:rPr>
        <w:t>Swingcastle</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Alastair</w:t>
      </w:r>
      <w:r>
        <w:rPr>
          <w:rFonts w:ascii="Arial" w:hAnsi="Arial"/>
          <w:i/>
          <w:spacing w:val="33"/>
          <w:sz w:val="20"/>
        </w:rPr>
        <w:t> </w:t>
      </w:r>
      <w:r>
        <w:rPr>
          <w:rFonts w:ascii="Arial" w:hAnsi="Arial"/>
          <w:i/>
          <w:sz w:val="20"/>
        </w:rPr>
        <w:t>Gibson</w:t>
      </w:r>
      <w:r>
        <w:rPr>
          <w:rFonts w:ascii="Arial" w:hAnsi="Arial"/>
          <w:i/>
          <w:spacing w:val="33"/>
          <w:sz w:val="20"/>
        </w:rPr>
        <w:t> </w:t>
      </w:r>
      <w:r>
        <w:rPr>
          <w:rFonts w:ascii="Arial" w:hAnsi="Arial"/>
          <w:i/>
          <w:sz w:val="20"/>
        </w:rPr>
        <w:t>[1991]</w:t>
      </w:r>
      <w:r>
        <w:rPr>
          <w:rFonts w:ascii="Arial" w:hAnsi="Arial"/>
          <w:i/>
          <w:spacing w:val="33"/>
          <w:sz w:val="20"/>
        </w:rPr>
        <w:t> </w:t>
      </w:r>
      <w:r>
        <w:rPr>
          <w:rFonts w:ascii="Arial" w:hAnsi="Arial"/>
          <w:i/>
          <w:spacing w:val="-10"/>
          <w:sz w:val="20"/>
        </w:rPr>
        <w:t>2</w:t>
      </w:r>
    </w:p>
    <w:p>
      <w:pPr>
        <w:spacing w:line="235" w:lineRule="auto" w:before="0"/>
        <w:ind w:left="705" w:right="167" w:firstLine="0"/>
        <w:jc w:val="both"/>
        <w:rPr>
          <w:sz w:val="20"/>
        </w:rPr>
      </w:pPr>
      <w:r>
        <w:rPr>
          <w:rFonts w:ascii="Arial"/>
          <w:i/>
          <w:sz w:val="20"/>
        </w:rPr>
        <w:t>A.C. 223</w:t>
      </w:r>
      <w:r>
        <w:rPr>
          <w:sz w:val="20"/>
        </w:rPr>
        <w:t>, viz where, given a proper report, the lender: (1) would have lent nothing at all on the proposed security; and (2) would have lent a smaller sum. On the relevance of a mortgage indemnity guarantee policy for the benefit of the lender, see </w:t>
      </w:r>
      <w:r>
        <w:rPr>
          <w:rFonts w:ascii="Arial"/>
          <w:i/>
          <w:sz w:val="20"/>
        </w:rPr>
        <w:t>Arab Bank Plc v John D. Wood Commercial Ltd [2000] 1 W.L.R. 857 CA</w:t>
      </w:r>
      <w:r>
        <w:rPr>
          <w:sz w:val="20"/>
        </w:rPr>
        <w: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9264">
            <wp:simplePos x="0" y="0"/>
            <wp:positionH relativeFrom="page">
              <wp:posOffset>1257846</wp:posOffset>
            </wp:positionH>
            <wp:positionV relativeFrom="paragraph">
              <wp:posOffset>160730</wp:posOffset>
            </wp:positionV>
            <wp:extent cx="107988" cy="107988"/>
            <wp:effectExtent l="0" t="0" r="0" b="0"/>
            <wp:wrapNone/>
            <wp:docPr id="381" name="Image 381"/>
            <wp:cNvGraphicFramePr>
              <a:graphicFrameLocks/>
            </wp:cNvGraphicFramePr>
            <a:graphic>
              <a:graphicData uri="http://schemas.openxmlformats.org/drawingml/2006/picture">
                <pic:pic>
                  <pic:nvPicPr>
                    <pic:cNvPr id="381" name="Image 3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64" w:id="1766"/>
      <w:bookmarkEnd w:id="1766"/>
      <w:r>
        <w:rPr/>
      </w:r>
      <w:hyperlink w:history="true" w:anchor="_bookmark1734">
        <w:r>
          <w:rPr>
            <w:color w:val="005DA1"/>
            <w:spacing w:val="-4"/>
            <w:sz w:val="14"/>
            <w:u w:val="single" w:color="005DA1"/>
          </w:rPr>
          <w:t>933</w:t>
        </w:r>
      </w:hyperlink>
      <w:r>
        <w:rPr>
          <w:spacing w:val="-4"/>
          <w:sz w:val="14"/>
        </w:rPr>
        <w:t>.</w:t>
      </w:r>
    </w:p>
    <w:p>
      <w:pPr>
        <w:spacing w:line="235" w:lineRule="auto" w:before="213"/>
        <w:ind w:left="165" w:right="167" w:firstLine="170"/>
        <w:jc w:val="both"/>
        <w:rPr>
          <w:sz w:val="20"/>
        </w:rPr>
      </w:pPr>
      <w:r>
        <w:rPr/>
        <w:br w:type="column"/>
      </w:r>
      <w:r>
        <w:rPr>
          <w:sz w:val="20"/>
        </w:rPr>
        <w:t>As in </w:t>
      </w:r>
      <w:r>
        <w:rPr>
          <w:rFonts w:ascii="Arial" w:hAnsi="Arial"/>
          <w:i/>
          <w:sz w:val="20"/>
        </w:rPr>
        <w:t>South Australia Asset Management Corp v York Montague Ltd [1997] A.C. 191 </w:t>
      </w:r>
      <w:r>
        <w:rPr>
          <w:sz w:val="20"/>
        </w:rPr>
        <w:t>itself: see </w:t>
      </w:r>
      <w:r>
        <w:rPr>
          <w:rFonts w:ascii="Arial" w:hAnsi="Arial"/>
          <w:i/>
          <w:sz w:val="20"/>
        </w:rPr>
        <w:t>Hughes-Holland v BPE Solicitors [2017] UKSC 21 </w:t>
      </w:r>
      <w:r>
        <w:rPr>
          <w:sz w:val="20"/>
        </w:rPr>
        <w:t>at [45]–[46], where Lord Sumption defends the SAAMCo limit as “a tool for giving effect to the distinction between (i) loss flowing from the fact that as a result of the defendant’s negligence the information was wrong and (ii) loss flowing from the decision to enter into the transaction at all”, even if it may be “mathematically imprecise”.</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1"/>
        <w:ind w:left="165" w:right="0" w:firstLine="0"/>
        <w:jc w:val="left"/>
        <w:rPr>
          <w:sz w:val="20"/>
        </w:rPr>
      </w:pPr>
      <w:bookmarkStart w:name="_bookmark1765" w:id="1767"/>
      <w:bookmarkEnd w:id="1767"/>
      <w:r>
        <w:rPr/>
      </w:r>
      <w:hyperlink w:history="true" w:anchor="_bookmark1735">
        <w:r>
          <w:rPr>
            <w:color w:val="005DA1"/>
            <w:spacing w:val="-4"/>
            <w:position w:val="5"/>
            <w:sz w:val="14"/>
            <w:u w:val="single" w:color="005DA1"/>
          </w:rPr>
          <w:t>934</w:t>
        </w:r>
      </w:hyperlink>
      <w:r>
        <w:rPr>
          <w:spacing w:val="-4"/>
          <w:position w:val="5"/>
          <w:sz w:val="14"/>
        </w:rPr>
        <w:t>.</w:t>
      </w:r>
      <w:r>
        <w:rPr>
          <w:position w:val="5"/>
          <w:sz w:val="14"/>
        </w:rPr>
        <w:tab/>
      </w:r>
      <w:r>
        <w:rPr>
          <w:rFonts w:ascii="Arial"/>
          <w:i/>
          <w:sz w:val="20"/>
        </w:rPr>
        <w:t>[1997] 1 W.L.R. </w:t>
      </w:r>
      <w:r>
        <w:rPr>
          <w:rFonts w:ascii="Arial"/>
          <w:i/>
          <w:spacing w:val="-4"/>
          <w:sz w:val="20"/>
        </w:rPr>
        <w:t>1627</w:t>
      </w:r>
      <w:r>
        <w:rPr>
          <w:spacing w:val="-4"/>
          <w:sz w:val="20"/>
        </w:rPr>
        <w:t>.</w:t>
      </w:r>
    </w:p>
    <w:p>
      <w:pPr>
        <w:pStyle w:val="BodyText"/>
        <w:spacing w:before="8"/>
      </w:pPr>
    </w:p>
    <w:p>
      <w:pPr>
        <w:pStyle w:val="BodyText"/>
        <w:spacing w:line="235" w:lineRule="auto"/>
        <w:ind w:left="705" w:right="167" w:hanging="541"/>
        <w:jc w:val="both"/>
      </w:pPr>
      <w:bookmarkStart w:name="_bookmark1766" w:id="1768"/>
      <w:bookmarkEnd w:id="1768"/>
      <w:r>
        <w:rPr/>
      </w:r>
      <w:hyperlink w:history="true" w:anchor="_bookmark1736">
        <w:r>
          <w:rPr>
            <w:color w:val="005DA1"/>
            <w:position w:val="5"/>
            <w:sz w:val="14"/>
            <w:u w:val="single" w:color="005DA1"/>
          </w:rPr>
          <w:t>935</w:t>
        </w:r>
      </w:hyperlink>
      <w:r>
        <w:rPr>
          <w:position w:val="5"/>
          <w:sz w:val="14"/>
        </w:rPr>
        <w:t>.</w:t>
      </w:r>
      <w:r>
        <w:rPr>
          <w:spacing w:val="80"/>
          <w:position w:val="5"/>
          <w:sz w:val="14"/>
        </w:rPr>
        <w:t>  </w:t>
      </w:r>
      <w:r>
        <w:rPr>
          <w:rFonts w:ascii="Arial" w:hAnsi="Arial"/>
          <w:i/>
        </w:rPr>
        <w:t>[1997] 1 W.L.R. 1627, 1631</w:t>
      </w:r>
      <w:r>
        <w:rPr/>
        <w:t>. This “loss” could be suffered by the lender “from the inception </w:t>
      </w:r>
      <w:r>
        <w:rPr/>
        <w:t>of the loan transaction” (at 1632), or before the security is realised: “Realisation of the security does not create the lender’s loss, nor does it convert a potential loss into an actual loss. Rather it crystallises the amount of a present loss …” (at 1633).</w:t>
      </w:r>
    </w:p>
    <w:p>
      <w:pPr>
        <w:pStyle w:val="BodyText"/>
        <w:spacing w:before="9"/>
      </w:pPr>
    </w:p>
    <w:p>
      <w:pPr>
        <w:tabs>
          <w:tab w:pos="705" w:val="left" w:leader="none"/>
        </w:tabs>
        <w:spacing w:line="235" w:lineRule="auto" w:before="0"/>
        <w:ind w:left="705" w:right="174" w:hanging="541"/>
        <w:jc w:val="left"/>
        <w:rPr>
          <w:sz w:val="20"/>
        </w:rPr>
      </w:pPr>
      <w:bookmarkStart w:name="_bookmark1767" w:id="1769"/>
      <w:bookmarkEnd w:id="1769"/>
      <w:r>
        <w:rPr/>
      </w:r>
      <w:hyperlink w:history="true" w:anchor="_bookmark1737">
        <w:r>
          <w:rPr>
            <w:color w:val="005DA1"/>
            <w:spacing w:val="-4"/>
            <w:position w:val="5"/>
            <w:sz w:val="14"/>
            <w:u w:val="single" w:color="005DA1"/>
          </w:rPr>
          <w:t>936</w:t>
        </w:r>
      </w:hyperlink>
      <w:r>
        <w:rPr>
          <w:spacing w:val="-4"/>
          <w:position w:val="5"/>
          <w:sz w:val="14"/>
        </w:rPr>
        <w:t>.</w:t>
      </w:r>
      <w:r>
        <w:rPr>
          <w:position w:val="5"/>
          <w:sz w:val="14"/>
        </w:rPr>
        <w:tab/>
      </w:r>
      <w:r>
        <w:rPr>
          <w:sz w:val="20"/>
        </w:rPr>
        <w:t>In the </w:t>
      </w:r>
      <w:r>
        <w:rPr>
          <w:rFonts w:ascii="Arial" w:hAnsi="Arial"/>
          <w:i/>
          <w:sz w:val="20"/>
        </w:rPr>
        <w:t>Nykredit case [1997] 1 W.L.R. 1627, 1631</w:t>
      </w:r>
      <w:r>
        <w:rPr>
          <w:sz w:val="20"/>
        </w:rPr>
        <w:t>, Lord Nicholls spoke of the lender </w:t>
      </w:r>
      <w:r>
        <w:rPr>
          <w:sz w:val="20"/>
        </w:rPr>
        <w:t>“currently” having no cause of action.</w:t>
      </w:r>
    </w:p>
    <w:p>
      <w:pPr>
        <w:pStyle w:val="BodyText"/>
        <w:spacing w:before="9"/>
      </w:pPr>
    </w:p>
    <w:p>
      <w:pPr>
        <w:spacing w:line="235" w:lineRule="auto" w:before="0"/>
        <w:ind w:left="705" w:right="167" w:hanging="541"/>
        <w:jc w:val="both"/>
        <w:rPr>
          <w:sz w:val="20"/>
        </w:rPr>
      </w:pPr>
      <w:bookmarkStart w:name="_bookmark1768" w:id="1770"/>
      <w:bookmarkEnd w:id="1770"/>
      <w:r>
        <w:rPr/>
      </w:r>
      <w:hyperlink w:history="true" w:anchor="_bookmark1738">
        <w:r>
          <w:rPr>
            <w:color w:val="005DA1"/>
            <w:position w:val="5"/>
            <w:sz w:val="14"/>
            <w:u w:val="single" w:color="005DA1"/>
          </w:rPr>
          <w:t>937</w:t>
        </w:r>
      </w:hyperlink>
      <w:r>
        <w:rPr>
          <w:position w:val="5"/>
          <w:sz w:val="14"/>
        </w:rPr>
        <w:t>.</w:t>
      </w:r>
      <w:r>
        <w:rPr>
          <w:spacing w:val="80"/>
          <w:position w:val="5"/>
          <w:sz w:val="14"/>
        </w:rPr>
        <w:t>  </w:t>
      </w:r>
      <w:r>
        <w:rPr>
          <w:rFonts w:ascii="Arial"/>
          <w:i/>
          <w:sz w:val="20"/>
        </w:rPr>
        <w:t>Swingcastle Ltd v Alastair Gibson [1991] 2 A.C. 223</w:t>
      </w:r>
      <w:r>
        <w:rPr>
          <w:sz w:val="20"/>
        </w:rPr>
        <w:t>. (The House of Lords, however, </w:t>
      </w:r>
      <w:r>
        <w:rPr>
          <w:sz w:val="20"/>
        </w:rPr>
        <w:t>envisaged the possibility that the lender could produce evidence as to how he would otherwise have used the money; at 239.)</w:t>
      </w:r>
    </w:p>
    <w:p>
      <w:pPr>
        <w:pStyle w:val="BodyText"/>
        <w:spacing w:before="9"/>
      </w:pPr>
    </w:p>
    <w:p>
      <w:pPr>
        <w:pStyle w:val="BodyText"/>
        <w:spacing w:line="235" w:lineRule="auto"/>
        <w:ind w:left="705" w:right="167" w:hanging="541"/>
        <w:jc w:val="both"/>
      </w:pPr>
      <w:bookmarkStart w:name="_bookmark1769" w:id="1771"/>
      <w:bookmarkEnd w:id="1771"/>
      <w:r>
        <w:rPr/>
      </w:r>
      <w:hyperlink w:history="true" w:anchor="_bookmark1739">
        <w:r>
          <w:rPr>
            <w:color w:val="005DA1"/>
            <w:position w:val="5"/>
            <w:sz w:val="14"/>
            <w:u w:val="single" w:color="005DA1"/>
          </w:rPr>
          <w:t>938</w:t>
        </w:r>
      </w:hyperlink>
      <w:r>
        <w:rPr>
          <w:position w:val="5"/>
          <w:sz w:val="14"/>
        </w:rPr>
        <w:t>.</w:t>
      </w:r>
      <w:r>
        <w:rPr>
          <w:spacing w:val="80"/>
          <w:w w:val="150"/>
          <w:position w:val="5"/>
          <w:sz w:val="14"/>
        </w:rPr>
        <w:t> </w:t>
      </w:r>
      <w:r>
        <w:rPr/>
        <w:t>The lender cannot recover the contractual (often penal) rate of interest undertaken by the borrower in the loan agreement, because to allow this would be to make the valuer a guarantor of the agreement between the lender and borrower: </w:t>
      </w:r>
      <w:r>
        <w:rPr>
          <w:rFonts w:ascii="Arial"/>
          <w:i/>
        </w:rPr>
        <w:t>[1991] 2 A.C. 223</w:t>
      </w:r>
      <w:r>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70" w:id="1772"/>
      <w:bookmarkEnd w:id="1772"/>
      <w:r>
        <w:rPr/>
      </w:r>
      <w:hyperlink w:history="true" w:anchor="_bookmark1740">
        <w:r>
          <w:rPr>
            <w:color w:val="005DA1"/>
            <w:spacing w:val="-4"/>
            <w:position w:val="5"/>
            <w:sz w:val="14"/>
            <w:u w:val="single" w:color="005DA1"/>
          </w:rPr>
          <w:t>939</w:t>
        </w:r>
      </w:hyperlink>
      <w:r>
        <w:rPr>
          <w:spacing w:val="-4"/>
          <w:position w:val="5"/>
          <w:sz w:val="14"/>
        </w:rPr>
        <w:t>.</w:t>
      </w:r>
      <w:r>
        <w:rPr>
          <w:position w:val="5"/>
          <w:sz w:val="14"/>
        </w:rPr>
        <w:tab/>
      </w:r>
      <w:r>
        <w:rPr>
          <w:rFonts w:ascii="Arial"/>
          <w:i/>
          <w:sz w:val="20"/>
        </w:rPr>
        <w:t>Colin</w:t>
      </w:r>
      <w:r>
        <w:rPr>
          <w:rFonts w:ascii="Arial"/>
          <w:i/>
          <w:spacing w:val="15"/>
          <w:sz w:val="20"/>
        </w:rPr>
        <w:t> </w:t>
      </w:r>
      <w:r>
        <w:rPr>
          <w:rFonts w:ascii="Arial"/>
          <w:i/>
          <w:sz w:val="20"/>
        </w:rPr>
        <w:t>Bishop</w:t>
      </w:r>
      <w:r>
        <w:rPr>
          <w:sz w:val="20"/>
        </w:rPr>
        <w:t>,</w:t>
      </w:r>
      <w:r>
        <w:rPr>
          <w:spacing w:val="16"/>
          <w:sz w:val="20"/>
        </w:rPr>
        <w:t> </w:t>
      </w:r>
      <w:r>
        <w:rPr>
          <w:sz w:val="20"/>
        </w:rPr>
        <w:t>one</w:t>
      </w:r>
      <w:r>
        <w:rPr>
          <w:spacing w:val="16"/>
          <w:sz w:val="20"/>
        </w:rPr>
        <w:t> </w:t>
      </w:r>
      <w:r>
        <w:rPr>
          <w:sz w:val="20"/>
        </w:rPr>
        <w:t>of</w:t>
      </w:r>
      <w:r>
        <w:rPr>
          <w:spacing w:val="16"/>
          <w:sz w:val="20"/>
        </w:rPr>
        <w:t> </w:t>
      </w:r>
      <w:r>
        <w:rPr>
          <w:sz w:val="20"/>
        </w:rPr>
        <w:t>the</w:t>
      </w:r>
      <w:r>
        <w:rPr>
          <w:spacing w:val="16"/>
          <w:sz w:val="20"/>
        </w:rPr>
        <w:t> </w:t>
      </w:r>
      <w:r>
        <w:rPr>
          <w:rFonts w:ascii="Arial"/>
          <w:i/>
          <w:sz w:val="20"/>
        </w:rPr>
        <w:t>Bristol</w:t>
      </w:r>
      <w:r>
        <w:rPr>
          <w:rFonts w:ascii="Arial"/>
          <w:i/>
          <w:spacing w:val="16"/>
          <w:sz w:val="20"/>
        </w:rPr>
        <w:t> </w:t>
      </w:r>
      <w:r>
        <w:rPr>
          <w:rFonts w:ascii="Arial"/>
          <w:i/>
          <w:sz w:val="20"/>
        </w:rPr>
        <w:t>and</w:t>
      </w:r>
      <w:r>
        <w:rPr>
          <w:rFonts w:ascii="Arial"/>
          <w:i/>
          <w:spacing w:val="16"/>
          <w:sz w:val="20"/>
        </w:rPr>
        <w:t> </w:t>
      </w:r>
      <w:r>
        <w:rPr>
          <w:rFonts w:ascii="Arial"/>
          <w:i/>
          <w:sz w:val="20"/>
        </w:rPr>
        <w:t>West</w:t>
      </w:r>
      <w:r>
        <w:rPr>
          <w:rFonts w:ascii="Arial"/>
          <w:i/>
          <w:spacing w:val="16"/>
          <w:sz w:val="20"/>
        </w:rPr>
        <w:t> </w:t>
      </w:r>
      <w:r>
        <w:rPr>
          <w:rFonts w:ascii="Arial"/>
          <w:i/>
          <w:sz w:val="20"/>
        </w:rPr>
        <w:t>Building</w:t>
      </w:r>
      <w:r>
        <w:rPr>
          <w:rFonts w:ascii="Arial"/>
          <w:i/>
          <w:spacing w:val="16"/>
          <w:sz w:val="20"/>
        </w:rPr>
        <w:t> </w:t>
      </w:r>
      <w:r>
        <w:rPr>
          <w:rFonts w:ascii="Arial"/>
          <w:i/>
          <w:sz w:val="20"/>
        </w:rPr>
        <w:t>Society</w:t>
      </w:r>
      <w:r>
        <w:rPr>
          <w:rFonts w:ascii="Arial"/>
          <w:i/>
          <w:spacing w:val="16"/>
          <w:sz w:val="20"/>
        </w:rPr>
        <w:t> </w:t>
      </w:r>
      <w:r>
        <w:rPr>
          <w:sz w:val="20"/>
        </w:rPr>
        <w:t>cases</w:t>
      </w:r>
      <w:r>
        <w:rPr>
          <w:spacing w:val="16"/>
          <w:sz w:val="20"/>
        </w:rPr>
        <w:t> </w:t>
      </w:r>
      <w:r>
        <w:rPr>
          <w:sz w:val="20"/>
        </w:rPr>
        <w:t>reported</w:t>
      </w:r>
      <w:r>
        <w:rPr>
          <w:spacing w:val="16"/>
          <w:sz w:val="20"/>
        </w:rPr>
        <w:t> </w:t>
      </w:r>
      <w:r>
        <w:rPr>
          <w:sz w:val="20"/>
        </w:rPr>
        <w:t>in</w:t>
      </w:r>
      <w:r>
        <w:rPr>
          <w:spacing w:val="16"/>
          <w:sz w:val="20"/>
        </w:rPr>
        <w:t> </w:t>
      </w:r>
      <w:r>
        <w:rPr>
          <w:rFonts w:ascii="Arial"/>
          <w:i/>
          <w:sz w:val="20"/>
        </w:rPr>
        <w:t>[1997]</w:t>
      </w:r>
      <w:r>
        <w:rPr>
          <w:rFonts w:ascii="Arial"/>
          <w:i/>
          <w:spacing w:val="16"/>
          <w:sz w:val="20"/>
        </w:rPr>
        <w:t> </w:t>
      </w:r>
      <w:r>
        <w:rPr>
          <w:rFonts w:ascii="Arial"/>
          <w:i/>
          <w:sz w:val="20"/>
        </w:rPr>
        <w:t>4</w:t>
      </w:r>
      <w:r>
        <w:rPr>
          <w:rFonts w:ascii="Arial"/>
          <w:i/>
          <w:spacing w:val="16"/>
          <w:sz w:val="20"/>
        </w:rPr>
        <w:t> </w:t>
      </w:r>
      <w:r>
        <w:rPr>
          <w:rFonts w:ascii="Arial"/>
          <w:i/>
          <w:sz w:val="20"/>
        </w:rPr>
        <w:t>All</w:t>
      </w:r>
      <w:r>
        <w:rPr>
          <w:rFonts w:ascii="Arial"/>
          <w:i/>
          <w:spacing w:val="16"/>
          <w:sz w:val="20"/>
        </w:rPr>
        <w:t> </w:t>
      </w:r>
      <w:r>
        <w:rPr>
          <w:rFonts w:ascii="Arial"/>
          <w:i/>
          <w:spacing w:val="-4"/>
          <w:sz w:val="20"/>
        </w:rPr>
        <w:t>E.R.</w:t>
      </w:r>
    </w:p>
    <w:p>
      <w:pPr>
        <w:pStyle w:val="BodyText"/>
        <w:spacing w:line="235" w:lineRule="auto" w:before="1"/>
        <w:ind w:left="705" w:right="167"/>
        <w:jc w:val="both"/>
      </w:pPr>
      <w:r>
        <w:rPr>
          <w:rFonts w:ascii="Arial"/>
          <w:i/>
        </w:rPr>
        <w:t>582</w:t>
      </w:r>
      <w:r>
        <w:rPr/>
        <w:t>. Similarly, if the lender obtains a valid title to only half the intended security, the </w:t>
      </w:r>
      <w:r>
        <w:rPr/>
        <w:t>damages should be limited to half of the initial value of the security: </w:t>
      </w:r>
      <w:r>
        <w:rPr>
          <w:rFonts w:ascii="Arial"/>
          <w:i/>
        </w:rPr>
        <w:t>Cooke and Borsay</w:t>
      </w:r>
      <w:r>
        <w:rPr/>
        <w:t>, another of these cases. For another application of the SAAMCo principle, see </w:t>
      </w:r>
      <w:r>
        <w:rPr>
          <w:rFonts w:ascii="Arial"/>
          <w:i/>
        </w:rPr>
        <w:t>Gabriel v Little [2013] EWCA Civ </w:t>
      </w:r>
      <w:r>
        <w:rPr>
          <w:rFonts w:ascii="Arial"/>
          <w:i/>
          <w:spacing w:val="-2"/>
        </w:rPr>
        <w:t>1513</w:t>
      </w:r>
      <w:r>
        <w:rPr>
          <w:spacing w:val="-2"/>
        </w:rPr>
        <w:t>.</w:t>
      </w:r>
    </w:p>
    <w:p>
      <w:pPr>
        <w:pStyle w:val="BodyText"/>
        <w:spacing w:before="9"/>
      </w:pPr>
    </w:p>
    <w:p>
      <w:pPr>
        <w:spacing w:line="235" w:lineRule="auto" w:before="0"/>
        <w:ind w:left="705" w:right="168" w:hanging="541"/>
        <w:jc w:val="both"/>
        <w:rPr>
          <w:sz w:val="20"/>
        </w:rPr>
      </w:pPr>
      <w:bookmarkStart w:name="_bookmark1771" w:id="1773"/>
      <w:bookmarkEnd w:id="1773"/>
      <w:r>
        <w:rPr/>
      </w:r>
      <w:hyperlink w:history="true" w:anchor="_bookmark1741">
        <w:r>
          <w:rPr>
            <w:color w:val="005DA1"/>
            <w:position w:val="5"/>
            <w:sz w:val="14"/>
            <w:u w:val="single" w:color="005DA1"/>
          </w:rPr>
          <w:t>940</w:t>
        </w:r>
      </w:hyperlink>
      <w:r>
        <w:rPr>
          <w:position w:val="5"/>
          <w:sz w:val="14"/>
        </w:rPr>
        <w:t>.</w:t>
      </w:r>
      <w:r>
        <w:rPr>
          <w:spacing w:val="40"/>
          <w:position w:val="5"/>
          <w:sz w:val="14"/>
        </w:rPr>
        <w:t>  </w:t>
      </w:r>
      <w:r>
        <w:rPr>
          <w:sz w:val="20"/>
        </w:rPr>
        <w:t>The </w:t>
      </w:r>
      <w:r>
        <w:rPr>
          <w:rFonts w:ascii="Arial"/>
          <w:i/>
          <w:sz w:val="20"/>
        </w:rPr>
        <w:t>South Australia case [1997] A.C. 191 </w:t>
      </w:r>
      <w:r>
        <w:rPr>
          <w:sz w:val="20"/>
        </w:rPr>
        <w:t>(following the Privy Council in </w:t>
      </w:r>
      <w:r>
        <w:rPr>
          <w:rFonts w:ascii="Arial"/>
          <w:i/>
          <w:sz w:val="20"/>
        </w:rPr>
        <w:t>Lion Nathan Ltd v C-C Bottlers Ltd [1996] 1 W.L.R. 1438 </w:t>
      </w:r>
      <w:r>
        <w:rPr>
          <w:sz w:val="20"/>
        </w:rPr>
        <w:t>(a contractual duty to take reasonable care in making a forecast of likely profits)).</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pStyle w:val="ListParagraph"/>
        <w:numPr>
          <w:ilvl w:val="0"/>
          <w:numId w:val="10"/>
        </w:numPr>
        <w:tabs>
          <w:tab w:pos="2432" w:val="left" w:leader="none"/>
        </w:tabs>
        <w:spacing w:line="240" w:lineRule="auto" w:before="194" w:after="0"/>
        <w:ind w:left="2432" w:right="0" w:hanging="360"/>
        <w:jc w:val="left"/>
        <w:rPr>
          <w:b/>
          <w:sz w:val="24"/>
        </w:rPr>
      </w:pPr>
      <w:r>
        <w:rPr>
          <w:b/>
          <w:sz w:val="24"/>
        </w:rPr>
        <w:t>- Contracts Affecting Running of </w:t>
      </w:r>
      <w:r>
        <w:rPr>
          <w:b/>
          <w:spacing w:val="-2"/>
          <w:sz w:val="24"/>
        </w:rPr>
        <w:t>Business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Effect on value of business or on </w:t>
      </w:r>
      <w:r>
        <w:rPr>
          <w:rFonts w:ascii="Arial"/>
          <w:b/>
          <w:spacing w:val="-2"/>
          <w:sz w:val="18"/>
        </w:rPr>
        <w:t>profits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172</w:t>
      </w:r>
    </w:p>
    <w:p>
      <w:pPr>
        <w:pStyle w:val="BodyText"/>
        <w:spacing w:line="235" w:lineRule="auto" w:before="202"/>
        <w:ind w:left="164" w:right="167"/>
        <w:jc w:val="both"/>
      </w:pPr>
      <w:r>
        <w:rPr/>
        <w:t>Where the defendant’s breach has affected the claimant’s business, the court may have to select </w:t>
      </w:r>
      <w:r>
        <w:rPr/>
        <w:t>the most appropriate way to measure the loss: by the effect on the value of the business or by the effect on its profits. In cases in which as a consequence of the breach the claimant has subsequently abandoned the business, the court should use the difference between the actual value of the</w:t>
      </w:r>
      <w:r>
        <w:rPr>
          <w:spacing w:val="40"/>
        </w:rPr>
        <w:t> </w:t>
      </w:r>
      <w:r>
        <w:rPr/>
        <w:t>business and the value it would have had if the defendant had not committed the wrong. To calculate </w:t>
      </w:r>
      <w:bookmarkStart w:name="_bookmark1772" w:id="1774"/>
      <w:bookmarkEnd w:id="1774"/>
      <w:r>
        <w:rPr/>
        <w:t>the</w:t>
      </w:r>
      <w:r>
        <w:rPr/>
        <w:t> profit would involve not only the hypothesis that no wrong had been committed but also other hypotheses about what would have happened. </w:t>
      </w:r>
      <w:r>
        <w:rPr>
          <w:color w:val="005DA1"/>
          <w:u w:val="single" w:color="005DA1"/>
          <w:vertAlign w:val="superscript"/>
        </w:rPr>
        <w:t>941</w:t>
      </w:r>
      <w:r>
        <w:rPr>
          <w:color w:val="005DA1"/>
          <w:vertAlign w:val="baseline"/>
        </w:rPr>
        <w:t> </w:t>
      </w:r>
      <w:r>
        <w:rPr>
          <w:vertAlign w:val="baseline"/>
        </w:rPr>
        <w:t>It is submitted that the same approach is appropriate when the claimant has abandoned the business for other reasons or has sold it; in the</w:t>
      </w:r>
      <w:r>
        <w:rPr>
          <w:spacing w:val="40"/>
          <w:vertAlign w:val="baseline"/>
        </w:rPr>
        <w:t> </w:t>
      </w:r>
      <w:r>
        <w:rPr>
          <w:vertAlign w:val="baseline"/>
        </w:rPr>
        <w:t>first situation loss of operating profits will be equally hypothetical, and in the second the difference in value represents the claimant’s real loss. In contrast, where the claimant continued to operate its business despite the defendant’s wrongful termination of a franchise to use the defendant’s business </w:t>
      </w:r>
      <w:bookmarkStart w:name="_bookmark1773" w:id="1775"/>
      <w:bookmarkEnd w:id="1775"/>
      <w:r>
        <w:rPr>
          <w:vertAlign w:val="baseline"/>
        </w:rPr>
        <w:t>system,</w:t>
      </w:r>
      <w:r>
        <w:rPr>
          <w:vertAlign w:val="baseline"/>
        </w:rPr>
        <w:t> name and format, it was held to be more appropriate to measure the loss by the reduction in operating profit. </w:t>
      </w:r>
      <w:r>
        <w:rPr>
          <w:color w:val="005DA1"/>
          <w:u w:val="single" w:color="005DA1"/>
          <w:vertAlign w:val="superscript"/>
        </w:rPr>
        <w:t>942</w:t>
      </w:r>
    </w:p>
    <w:p>
      <w:pPr>
        <w:pStyle w:val="BodyText"/>
      </w:pPr>
    </w:p>
    <w:p>
      <w:pPr>
        <w:pStyle w:val="BodyText"/>
        <w:spacing w:before="34"/>
      </w:pPr>
    </w:p>
    <w:p>
      <w:pPr>
        <w:spacing w:before="0"/>
        <w:ind w:left="164" w:right="0" w:firstLine="0"/>
        <w:jc w:val="both"/>
        <w:rPr>
          <w:rFonts w:ascii="Arial"/>
          <w:b/>
          <w:sz w:val="18"/>
        </w:rPr>
      </w:pPr>
      <w:r>
        <w:rPr>
          <w:rFonts w:ascii="Arial"/>
          <w:b/>
          <w:sz w:val="18"/>
        </w:rPr>
        <w:t>Management </w:t>
      </w:r>
      <w:r>
        <w:rPr>
          <w:rFonts w:ascii="Arial"/>
          <w:b/>
          <w:spacing w:val="-2"/>
          <w:sz w:val="18"/>
        </w:rPr>
        <w:t>costs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173</w:t>
      </w:r>
    </w:p>
    <w:p>
      <w:pPr>
        <w:pStyle w:val="BodyText"/>
        <w:spacing w:line="235" w:lineRule="auto" w:before="203"/>
        <w:ind w:left="164" w:right="167"/>
        <w:jc w:val="both"/>
      </w:pPr>
      <w:r>
        <w:rPr/>
        <w:t>Where defective performance of a contract causes disruption to a business, for example because its </w:t>
      </w:r>
      <w:bookmarkStart w:name="_bookmark1774" w:id="1776"/>
      <w:bookmarkEnd w:id="1776"/>
      <w:r>
        <w:rPr/>
        <w:t>staff</w:t>
      </w:r>
      <w:r>
        <w:rPr/>
        <w:t> have to spend time dealing with the ensuing problems, the reasonable costs can be </w:t>
      </w:r>
      <w:r>
        <w:rPr/>
        <w:t>recovered.</w:t>
      </w:r>
      <w:r>
        <w:rPr>
          <w:spacing w:val="40"/>
        </w:rPr>
        <w:t> </w:t>
      </w:r>
      <w:r>
        <w:rPr/>
        <w:t>In </w:t>
      </w:r>
      <w:r>
        <w:rPr>
          <w:rFonts w:ascii="Arial"/>
          <w:i/>
        </w:rPr>
        <w:t>Aerospace Publishing Ltd v Thames Water Utilities Ltd </w:t>
      </w:r>
      <w:r>
        <w:rPr>
          <w:color w:val="005DA1"/>
          <w:u w:val="single" w:color="005DA1"/>
          <w:vertAlign w:val="superscript"/>
        </w:rPr>
        <w:t>943</w:t>
      </w:r>
      <w:r>
        <w:rPr>
          <w:color w:val="005DA1"/>
          <w:vertAlign w:val="baseline"/>
        </w:rPr>
        <w:t> </w:t>
      </w:r>
      <w:r>
        <w:rPr>
          <w:vertAlign w:val="baseline"/>
        </w:rPr>
        <w:t>Wilson L.J. reviewed a number of authorities and said:</w:t>
      </w:r>
    </w:p>
    <w:p>
      <w:pPr>
        <w:pStyle w:val="BodyText"/>
      </w:pPr>
    </w:p>
    <w:p>
      <w:pPr>
        <w:pStyle w:val="BodyText"/>
        <w:spacing w:before="125"/>
      </w:pPr>
    </w:p>
    <w:p>
      <w:pPr>
        <w:pStyle w:val="BodyText"/>
        <w:spacing w:line="235" w:lineRule="auto"/>
        <w:ind w:left="1244" w:right="167"/>
        <w:jc w:val="both"/>
      </w:pPr>
      <w:r>
        <w:rPr/>
        <w:t>“I consider that the authorities establish the following propositions. (a) The fact and, if so, the extent of the diversion of staff time have to be properly established and, if in that regard evidence which it would have been reasonable for the claimant to adduce is not adduced, he is at risk of a finding that they have not been established. (b) The </w:t>
      </w:r>
      <w:r>
        <w:rPr/>
        <w:t>claimant also has to establish that the diversion caused significant disruption to its business. (c) Even though it may well be that strictly the claim should be cast in terms of a loss of revenue attributable to the diversion of staff time, nevertheless in the ordinary case, and unless the defendant can establish the contrary, it is reasonable for the court to infer from the disruption that, had their time not been thus diverted, staff would have applied to </w:t>
      </w:r>
      <w:bookmarkStart w:name="_bookmark1775" w:id="1777"/>
      <w:bookmarkEnd w:id="1777"/>
      <w:r>
        <w:rPr/>
        <w:t>activities</w:t>
      </w:r>
      <w:r>
        <w:rPr>
          <w:spacing w:val="-3"/>
        </w:rPr>
        <w:t> </w:t>
      </w:r>
      <w:r>
        <w:rPr/>
        <w:t>which</w:t>
      </w:r>
      <w:r>
        <w:rPr>
          <w:spacing w:val="-3"/>
        </w:rPr>
        <w:t> </w:t>
      </w:r>
      <w:r>
        <w:rPr/>
        <w:t>would,</w:t>
      </w:r>
      <w:r>
        <w:rPr>
          <w:spacing w:val="-3"/>
        </w:rPr>
        <w:t> </w:t>
      </w:r>
      <w:r>
        <w:rPr/>
        <w:t>directly</w:t>
      </w:r>
      <w:r>
        <w:rPr>
          <w:spacing w:val="-3"/>
        </w:rPr>
        <w:t> </w:t>
      </w:r>
      <w:r>
        <w:rPr/>
        <w:t>or</w:t>
      </w:r>
      <w:r>
        <w:rPr>
          <w:spacing w:val="-3"/>
        </w:rPr>
        <w:t> </w:t>
      </w:r>
      <w:r>
        <w:rPr/>
        <w:t>indirectly,</w:t>
      </w:r>
      <w:r>
        <w:rPr>
          <w:spacing w:val="-3"/>
        </w:rPr>
        <w:t> </w:t>
      </w:r>
      <w:r>
        <w:rPr/>
        <w:t>have</w:t>
      </w:r>
      <w:r>
        <w:rPr>
          <w:spacing w:val="-3"/>
        </w:rPr>
        <w:t> </w:t>
      </w:r>
      <w:r>
        <w:rPr/>
        <w:t>generated</w:t>
      </w:r>
      <w:r>
        <w:rPr>
          <w:spacing w:val="-3"/>
        </w:rPr>
        <w:t> </w:t>
      </w:r>
      <w:r>
        <w:rPr/>
        <w:t>revenue</w:t>
      </w:r>
      <w:r>
        <w:rPr>
          <w:spacing w:val="-3"/>
        </w:rPr>
        <w:t> </w:t>
      </w:r>
      <w:r>
        <w:rPr/>
        <w:t>for</w:t>
      </w:r>
      <w:r>
        <w:rPr>
          <w:spacing w:val="-3"/>
        </w:rPr>
        <w:t> </w:t>
      </w:r>
      <w:r>
        <w:rPr/>
        <w:t>the</w:t>
      </w:r>
      <w:r>
        <w:rPr>
          <w:spacing w:val="-3"/>
        </w:rPr>
        <w:t> </w:t>
      </w:r>
      <w:r>
        <w:rPr/>
        <w:t>claimant</w:t>
      </w:r>
      <w:r>
        <w:rPr>
          <w:spacing w:val="-3"/>
        </w:rPr>
        <w:t> </w:t>
      </w:r>
      <w:r>
        <w:rPr/>
        <w:t>in</w:t>
      </w:r>
      <w:r>
        <w:rPr>
          <w:spacing w:val="-3"/>
        </w:rPr>
        <w:t> </w:t>
      </w:r>
      <w:r>
        <w:rPr/>
        <w:t>an amount at least equal to the costs of employing them during that time.” </w:t>
      </w:r>
      <w:r>
        <w:rPr>
          <w:color w:val="005DA1"/>
          <w:u w:val="single" w:color="005DA1"/>
          <w:vertAlign w:val="superscript"/>
        </w:rPr>
        <w:t>944</w:t>
      </w:r>
    </w:p>
    <w:p>
      <w:pPr>
        <w:pStyle w:val="BodyText"/>
        <w:spacing w:after="0" w:line="235" w:lineRule="auto"/>
        <w:jc w:val="both"/>
        <w:sectPr>
          <w:headerReference w:type="default" r:id="rId44"/>
          <w:pgSz w:w="11900" w:h="16840"/>
          <w:pgMar w:header="971" w:footer="0" w:top="1300" w:bottom="280" w:left="1275" w:right="1275"/>
          <w:pgNumType w:start="1"/>
        </w:sectPr>
      </w:pPr>
    </w:p>
    <w:p>
      <w:pPr>
        <w:pStyle w:val="BodyText"/>
        <w:spacing w:before="182"/>
        <w:rPr>
          <w:sz w:val="18"/>
        </w:rPr>
      </w:pPr>
    </w:p>
    <w:p>
      <w:pPr>
        <w:spacing w:before="0"/>
        <w:ind w:left="165" w:right="0" w:firstLine="0"/>
        <w:jc w:val="left"/>
        <w:rPr>
          <w:rFonts w:ascii="Arial"/>
          <w:b/>
          <w:sz w:val="18"/>
        </w:rPr>
      </w:pPr>
      <w:r>
        <w:rPr>
          <w:rFonts w:ascii="Arial"/>
          <w:b/>
          <w:sz w:val="18"/>
        </w:rPr>
        <w:t>Loss of good </w:t>
      </w:r>
      <w:r>
        <w:rPr>
          <w:rFonts w:ascii="Arial"/>
          <w:b/>
          <w:spacing w:val="-4"/>
          <w:sz w:val="18"/>
        </w:rPr>
        <w:t>will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174</w:t>
      </w:r>
    </w:p>
    <w:p>
      <w:pPr>
        <w:pStyle w:val="BodyText"/>
        <w:spacing w:line="235" w:lineRule="auto" w:before="203"/>
        <w:ind w:left="165" w:right="167"/>
        <w:jc w:val="both"/>
      </w:pPr>
      <w:r>
        <w:rPr/>
        <w:t>Where breach of a contract has caused the victim’s business loss of good will, a Scottish court has measured the loss using a method of taking “portfolio” of customers and comparing the actual profits </w:t>
      </w:r>
      <w:bookmarkStart w:name="_bookmark1776" w:id="1778"/>
      <w:bookmarkEnd w:id="1778"/>
      <w:r>
        <w:rPr/>
        <w:t>achieved</w:t>
      </w:r>
      <w:r>
        <w:rPr/>
        <w:t> from the those customers to those which were likely to have been achieved in the absence of a breach. </w:t>
      </w:r>
      <w:r>
        <w:rPr>
          <w:color w:val="005DA1"/>
          <w:u w:val="single" w:color="005DA1"/>
          <w:vertAlign w:val="superscript"/>
        </w:rPr>
        <w:t>945</w:t>
      </w:r>
    </w:p>
    <w:p>
      <w:pPr>
        <w:pStyle w:val="BodyText"/>
      </w:pPr>
    </w:p>
    <w:p>
      <w:pPr>
        <w:pStyle w:val="BodyText"/>
        <w:spacing w:before="38"/>
      </w:pPr>
      <w:r>
        <w:rPr/>
        <mc:AlternateContent>
          <mc:Choice Requires="wps">
            <w:drawing>
              <wp:anchor distT="0" distB="0" distL="0" distR="0" allowOverlap="1" layoutInCell="1" locked="0" behindDoc="1" simplePos="0" relativeHeight="487678976">
                <wp:simplePos x="0" y="0"/>
                <wp:positionH relativeFrom="page">
                  <wp:posOffset>914400</wp:posOffset>
                </wp:positionH>
                <wp:positionV relativeFrom="paragraph">
                  <wp:posOffset>185702</wp:posOffset>
                </wp:positionV>
                <wp:extent cx="5724525" cy="1270"/>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2254pt;width:450.75pt;height:.1pt;mso-position-horizontal-relative:page;mso-position-vertical-relative:paragraph;z-index:-15637504;mso-wrap-distance-left:0;mso-wrap-distance-right:0" id="docshape8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hyperlink w:history="true" w:anchor="_bookmark1817">
        <w:r>
          <w:rPr>
            <w:color w:val="005DA1"/>
            <w:spacing w:val="-4"/>
            <w:position w:val="5"/>
            <w:sz w:val="14"/>
            <w:u w:val="single" w:color="005DA1"/>
          </w:rPr>
          <w:t>848</w:t>
        </w:r>
      </w:hyperlink>
      <w:r>
        <w:rPr>
          <w:spacing w:val="-4"/>
          <w:position w:val="5"/>
          <w:sz w:val="14"/>
        </w:rPr>
        <w:t>.</w:t>
      </w:r>
      <w:r>
        <w:rPr>
          <w:position w:val="5"/>
          <w:sz w:val="14"/>
        </w:rPr>
        <w:tab/>
      </w:r>
      <w:r>
        <w:rPr/>
        <w:t>Further illustrations will be found in the various chapters of Vol.II of this </w:t>
      </w:r>
      <w:r>
        <w:rPr>
          <w:spacing w:val="-2"/>
        </w:rPr>
        <w:t>work.</w:t>
      </w:r>
    </w:p>
    <w:p>
      <w:pPr>
        <w:pStyle w:val="BodyText"/>
        <w:spacing w:before="9"/>
      </w:pPr>
    </w:p>
    <w:p>
      <w:pPr>
        <w:spacing w:line="235" w:lineRule="auto" w:before="0"/>
        <w:ind w:left="705" w:right="167" w:hanging="541"/>
        <w:jc w:val="both"/>
        <w:rPr>
          <w:sz w:val="20"/>
        </w:rPr>
      </w:pPr>
      <w:bookmarkStart w:name="_bookmark1777" w:id="1779"/>
      <w:bookmarkEnd w:id="1779"/>
      <w:r>
        <w:rPr/>
      </w:r>
      <w:hyperlink w:history="true" w:anchor="_bookmark1772">
        <w:r>
          <w:rPr>
            <w:color w:val="005DA1"/>
            <w:position w:val="5"/>
            <w:sz w:val="14"/>
            <w:u w:val="single" w:color="005DA1"/>
          </w:rPr>
          <w:t>941</w:t>
        </w:r>
      </w:hyperlink>
      <w:r>
        <w:rPr>
          <w:position w:val="5"/>
          <w:sz w:val="14"/>
        </w:rPr>
        <w:t>.</w:t>
      </w:r>
      <w:r>
        <w:rPr>
          <w:spacing w:val="40"/>
          <w:position w:val="5"/>
          <w:sz w:val="14"/>
        </w:rPr>
        <w:t>  </w:t>
      </w:r>
      <w:r>
        <w:rPr>
          <w:rFonts w:ascii="Arial" w:hAnsi="Arial"/>
          <w:i/>
          <w:sz w:val="20"/>
        </w:rPr>
        <w:t>Crehan v Inntrepreneur Pub Co (CPC) [2004] EWCA Civ 637 </w:t>
      </w:r>
      <w:r>
        <w:rPr>
          <w:sz w:val="20"/>
        </w:rPr>
        <w:t>at [179]–[180]. (The claimant had leased but then surrendered two “tied pubs”: the ties were held to be invalid under European competition law and the claimant was awarded damages. The case was reversed on </w:t>
      </w:r>
      <w:r>
        <w:rPr>
          <w:sz w:val="20"/>
        </w:rPr>
        <w:t>other grounds, </w:t>
      </w:r>
      <w:r>
        <w:rPr>
          <w:rFonts w:ascii="Arial" w:hAnsi="Arial"/>
          <w:i/>
          <w:sz w:val="20"/>
        </w:rPr>
        <w:t>[2006] UKHL 38, [2007] 1 A.C. 333</w:t>
      </w:r>
      <w:r>
        <w:rPr>
          <w:sz w:val="20"/>
        </w:rPr>
        <w:t>.) The Court of Appeal approved the earlier case of </w:t>
      </w:r>
      <w:r>
        <w:rPr>
          <w:rFonts w:ascii="Arial" w:hAnsi="Arial"/>
          <w:i/>
          <w:sz w:val="20"/>
        </w:rPr>
        <w:t>UYB v British Railways Board Unreported 1999)</w:t>
      </w:r>
      <w:r>
        <w:rPr>
          <w:sz w:val="20"/>
        </w:rPr>
        <w:t>.</w:t>
      </w:r>
    </w:p>
    <w:p>
      <w:pPr>
        <w:pStyle w:val="BodyText"/>
        <w:spacing w:before="8"/>
      </w:pPr>
    </w:p>
    <w:p>
      <w:pPr>
        <w:spacing w:line="235" w:lineRule="auto" w:before="0"/>
        <w:ind w:left="705" w:right="167" w:hanging="541"/>
        <w:jc w:val="both"/>
        <w:rPr>
          <w:sz w:val="20"/>
        </w:rPr>
      </w:pPr>
      <w:bookmarkStart w:name="_bookmark1778" w:id="1780"/>
      <w:bookmarkEnd w:id="1780"/>
      <w:r>
        <w:rPr/>
      </w:r>
      <w:hyperlink w:history="true" w:anchor="_bookmark1773">
        <w:r>
          <w:rPr>
            <w:color w:val="005DA1"/>
            <w:position w:val="5"/>
            <w:sz w:val="14"/>
            <w:u w:val="single" w:color="005DA1"/>
          </w:rPr>
          <w:t>942</w:t>
        </w:r>
      </w:hyperlink>
      <w:r>
        <w:rPr>
          <w:position w:val="5"/>
          <w:sz w:val="14"/>
        </w:rPr>
        <w:t>.</w:t>
      </w:r>
      <w:r>
        <w:rPr>
          <w:spacing w:val="80"/>
          <w:w w:val="150"/>
          <w:position w:val="5"/>
          <w:sz w:val="14"/>
        </w:rPr>
        <w:t> </w:t>
      </w:r>
      <w:r>
        <w:rPr>
          <w:rFonts w:ascii="Arial" w:hAnsi="Arial"/>
          <w:i/>
          <w:sz w:val="20"/>
        </w:rPr>
        <w:t>MMP GmbH (formerly Antal International Network GmbH) v Antal International Network </w:t>
      </w:r>
      <w:r>
        <w:rPr>
          <w:rFonts w:ascii="Arial" w:hAnsi="Arial"/>
          <w:i/>
          <w:sz w:val="20"/>
        </w:rPr>
        <w:t>Ltd [2011] EWHC 1120 (Comm) </w:t>
      </w:r>
      <w:r>
        <w:rPr>
          <w:sz w:val="20"/>
        </w:rPr>
        <w:t>at [81]–[89]. As the claimants has failed to provide evidence of reduced profits, they were awarded only nominal damages.</w:t>
      </w:r>
    </w:p>
    <w:p>
      <w:pPr>
        <w:pStyle w:val="BodyText"/>
        <w:spacing w:before="5"/>
      </w:pPr>
    </w:p>
    <w:p>
      <w:pPr>
        <w:spacing w:line="227" w:lineRule="exact" w:before="0"/>
        <w:ind w:left="165" w:right="0" w:firstLine="0"/>
        <w:jc w:val="both"/>
        <w:rPr>
          <w:rFonts w:ascii="Arial"/>
          <w:i/>
          <w:sz w:val="20"/>
        </w:rPr>
      </w:pPr>
      <w:bookmarkStart w:name="_bookmark1779" w:id="1781"/>
      <w:bookmarkEnd w:id="1781"/>
      <w:r>
        <w:rPr/>
      </w:r>
      <w:hyperlink w:history="true" w:anchor="_bookmark1774">
        <w:r>
          <w:rPr>
            <w:color w:val="005DA1"/>
            <w:position w:val="5"/>
            <w:sz w:val="14"/>
            <w:u w:val="single" w:color="005DA1"/>
          </w:rPr>
          <w:t>943</w:t>
        </w:r>
      </w:hyperlink>
      <w:r>
        <w:rPr>
          <w:position w:val="5"/>
          <w:sz w:val="14"/>
        </w:rPr>
        <w:t>.</w:t>
      </w:r>
      <w:r>
        <w:rPr>
          <w:spacing w:val="75"/>
          <w:w w:val="150"/>
          <w:position w:val="5"/>
          <w:sz w:val="14"/>
        </w:rPr>
        <w:t>  </w:t>
      </w:r>
      <w:r>
        <w:rPr>
          <w:rFonts w:ascii="Arial"/>
          <w:i/>
          <w:sz w:val="20"/>
        </w:rPr>
        <w:t>[2007]</w:t>
      </w:r>
      <w:r>
        <w:rPr>
          <w:rFonts w:ascii="Arial"/>
          <w:i/>
          <w:spacing w:val="24"/>
          <w:sz w:val="20"/>
        </w:rPr>
        <w:t> </w:t>
      </w:r>
      <w:r>
        <w:rPr>
          <w:rFonts w:ascii="Arial"/>
          <w:i/>
          <w:sz w:val="20"/>
        </w:rPr>
        <w:t>EWCA</w:t>
      </w:r>
      <w:r>
        <w:rPr>
          <w:rFonts w:ascii="Arial"/>
          <w:i/>
          <w:spacing w:val="22"/>
          <w:sz w:val="20"/>
        </w:rPr>
        <w:t> </w:t>
      </w:r>
      <w:r>
        <w:rPr>
          <w:rFonts w:ascii="Arial"/>
          <w:i/>
          <w:sz w:val="20"/>
        </w:rPr>
        <w:t>Civ</w:t>
      </w:r>
      <w:r>
        <w:rPr>
          <w:rFonts w:ascii="Arial"/>
          <w:i/>
          <w:spacing w:val="23"/>
          <w:sz w:val="20"/>
        </w:rPr>
        <w:t> </w:t>
      </w:r>
      <w:r>
        <w:rPr>
          <w:rFonts w:ascii="Arial"/>
          <w:i/>
          <w:sz w:val="20"/>
        </w:rPr>
        <w:t>3,</w:t>
      </w:r>
      <w:r>
        <w:rPr>
          <w:rFonts w:ascii="Arial"/>
          <w:i/>
          <w:spacing w:val="23"/>
          <w:sz w:val="20"/>
        </w:rPr>
        <w:t> </w:t>
      </w:r>
      <w:r>
        <w:rPr>
          <w:rFonts w:ascii="Arial"/>
          <w:i/>
          <w:sz w:val="20"/>
        </w:rPr>
        <w:t>[2007]</w:t>
      </w:r>
      <w:r>
        <w:rPr>
          <w:rFonts w:ascii="Arial"/>
          <w:i/>
          <w:spacing w:val="23"/>
          <w:sz w:val="20"/>
        </w:rPr>
        <w:t> </w:t>
      </w:r>
      <w:r>
        <w:rPr>
          <w:rFonts w:ascii="Arial"/>
          <w:i/>
          <w:sz w:val="20"/>
        </w:rPr>
        <w:t>Bus.</w:t>
      </w:r>
      <w:r>
        <w:rPr>
          <w:rFonts w:ascii="Arial"/>
          <w:i/>
          <w:spacing w:val="23"/>
          <w:sz w:val="20"/>
        </w:rPr>
        <w:t> </w:t>
      </w:r>
      <w:r>
        <w:rPr>
          <w:rFonts w:ascii="Arial"/>
          <w:i/>
          <w:sz w:val="20"/>
        </w:rPr>
        <w:t>L.R.</w:t>
      </w:r>
      <w:r>
        <w:rPr>
          <w:rFonts w:ascii="Arial"/>
          <w:i/>
          <w:spacing w:val="23"/>
          <w:sz w:val="20"/>
        </w:rPr>
        <w:t> </w:t>
      </w:r>
      <w:r>
        <w:rPr>
          <w:rFonts w:ascii="Arial"/>
          <w:i/>
          <w:sz w:val="20"/>
        </w:rPr>
        <w:t>726</w:t>
      </w:r>
      <w:r>
        <w:rPr>
          <w:rFonts w:ascii="Arial"/>
          <w:i/>
          <w:spacing w:val="23"/>
          <w:sz w:val="20"/>
        </w:rPr>
        <w:t> </w:t>
      </w:r>
      <w:r>
        <w:rPr>
          <w:sz w:val="20"/>
        </w:rPr>
        <w:t>at</w:t>
      </w:r>
      <w:r>
        <w:rPr>
          <w:spacing w:val="23"/>
          <w:sz w:val="20"/>
        </w:rPr>
        <w:t> </w:t>
      </w:r>
      <w:r>
        <w:rPr>
          <w:sz w:val="20"/>
        </w:rPr>
        <w:t>[86].</w:t>
      </w:r>
      <w:r>
        <w:rPr>
          <w:spacing w:val="23"/>
          <w:sz w:val="20"/>
        </w:rPr>
        <w:t> </w:t>
      </w:r>
      <w:r>
        <w:rPr>
          <w:sz w:val="20"/>
        </w:rPr>
        <w:t>See</w:t>
      </w:r>
      <w:r>
        <w:rPr>
          <w:spacing w:val="23"/>
          <w:sz w:val="20"/>
        </w:rPr>
        <w:t> </w:t>
      </w:r>
      <w:r>
        <w:rPr>
          <w:sz w:val="20"/>
        </w:rPr>
        <w:t>also</w:t>
      </w:r>
      <w:r>
        <w:rPr>
          <w:spacing w:val="23"/>
          <w:sz w:val="20"/>
        </w:rPr>
        <w:t> </w:t>
      </w:r>
      <w:r>
        <w:rPr>
          <w:rFonts w:ascii="Arial"/>
          <w:i/>
          <w:sz w:val="20"/>
        </w:rPr>
        <w:t>Al</w:t>
      </w:r>
      <w:r>
        <w:rPr>
          <w:rFonts w:ascii="Arial"/>
          <w:i/>
          <w:spacing w:val="23"/>
          <w:sz w:val="20"/>
        </w:rPr>
        <w:t> </w:t>
      </w:r>
      <w:r>
        <w:rPr>
          <w:rFonts w:ascii="Arial"/>
          <w:i/>
          <w:sz w:val="20"/>
        </w:rPr>
        <w:t>Rawas</w:t>
      </w:r>
      <w:r>
        <w:rPr>
          <w:rFonts w:ascii="Arial"/>
          <w:i/>
          <w:spacing w:val="23"/>
          <w:sz w:val="20"/>
        </w:rPr>
        <w:t> </w:t>
      </w:r>
      <w:r>
        <w:rPr>
          <w:rFonts w:ascii="Arial"/>
          <w:i/>
          <w:sz w:val="20"/>
        </w:rPr>
        <w:t>v</w:t>
      </w:r>
      <w:r>
        <w:rPr>
          <w:rFonts w:ascii="Arial"/>
          <w:i/>
          <w:spacing w:val="23"/>
          <w:sz w:val="20"/>
        </w:rPr>
        <w:t> </w:t>
      </w:r>
      <w:r>
        <w:rPr>
          <w:rFonts w:ascii="Arial"/>
          <w:i/>
          <w:sz w:val="20"/>
        </w:rPr>
        <w:t>Pegasus</w:t>
      </w:r>
      <w:r>
        <w:rPr>
          <w:rFonts w:ascii="Arial"/>
          <w:i/>
          <w:spacing w:val="23"/>
          <w:sz w:val="20"/>
        </w:rPr>
        <w:t> </w:t>
      </w:r>
      <w:r>
        <w:rPr>
          <w:rFonts w:ascii="Arial"/>
          <w:i/>
          <w:sz w:val="20"/>
        </w:rPr>
        <w:t>Energy</w:t>
      </w:r>
      <w:r>
        <w:rPr>
          <w:rFonts w:ascii="Arial"/>
          <w:i/>
          <w:spacing w:val="23"/>
          <w:sz w:val="20"/>
        </w:rPr>
        <w:t> </w:t>
      </w:r>
      <w:r>
        <w:rPr>
          <w:rFonts w:ascii="Arial"/>
          <w:i/>
          <w:spacing w:val="-5"/>
          <w:sz w:val="20"/>
        </w:rPr>
        <w:t>Ltd</w:t>
      </w:r>
    </w:p>
    <w:p>
      <w:pPr>
        <w:spacing w:line="235" w:lineRule="auto" w:before="1"/>
        <w:ind w:left="705" w:right="168" w:firstLine="0"/>
        <w:jc w:val="both"/>
        <w:rPr>
          <w:rFonts w:ascii="Arial" w:hAnsi="Arial"/>
          <w:i/>
          <w:sz w:val="20"/>
        </w:rPr>
      </w:pPr>
      <w:r>
        <w:rPr>
          <w:rFonts w:ascii="Arial" w:hAnsi="Arial"/>
          <w:i/>
          <w:sz w:val="20"/>
        </w:rPr>
        <w:t>[2008] EWHC 617 (QB), [2009] 1 All E.R, 346</w:t>
      </w:r>
      <w:r>
        <w:rPr>
          <w:sz w:val="20"/>
        </w:rPr>
        <w:t>, especially at [22]–[23]; </w:t>
      </w:r>
      <w:r>
        <w:rPr>
          <w:rFonts w:ascii="Arial" w:hAnsi="Arial"/>
          <w:i/>
          <w:sz w:val="20"/>
        </w:rPr>
        <w:t>4Eng Ltd v Harper [2008] EWHC 915 (Ch), [2009] Ch. 91 </w:t>
      </w:r>
      <w:r>
        <w:rPr>
          <w:sz w:val="20"/>
        </w:rPr>
        <w:t>at [40]; and </w:t>
      </w:r>
      <w:r>
        <w:rPr>
          <w:rFonts w:ascii="Arial" w:hAnsi="Arial"/>
          <w:i/>
          <w:sz w:val="20"/>
        </w:rPr>
        <w:t>Borealis AB v Geogas Trading SA [2010] EWHC 2789</w:t>
      </w:r>
      <w:r>
        <w:rPr>
          <w:rFonts w:ascii="Arial" w:hAnsi="Arial"/>
          <w:i/>
          <w:spacing w:val="17"/>
          <w:sz w:val="20"/>
        </w:rPr>
        <w:t> </w:t>
      </w:r>
      <w:r>
        <w:rPr>
          <w:rFonts w:ascii="Arial" w:hAnsi="Arial"/>
          <w:i/>
          <w:sz w:val="20"/>
        </w:rPr>
        <w:t>(Comm),</w:t>
      </w:r>
      <w:r>
        <w:rPr>
          <w:rFonts w:ascii="Arial" w:hAnsi="Arial"/>
          <w:i/>
          <w:spacing w:val="17"/>
          <w:sz w:val="20"/>
        </w:rPr>
        <w:t> </w:t>
      </w:r>
      <w:r>
        <w:rPr>
          <w:rFonts w:ascii="Arial" w:hAnsi="Arial"/>
          <w:i/>
          <w:sz w:val="20"/>
        </w:rPr>
        <w:t>[2011]</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482</w:t>
      </w:r>
      <w:r>
        <w:rPr>
          <w:rFonts w:ascii="Arial" w:hAnsi="Arial"/>
          <w:i/>
          <w:spacing w:val="16"/>
          <w:sz w:val="20"/>
        </w:rPr>
        <w:t> </w:t>
      </w:r>
      <w:r>
        <w:rPr>
          <w:sz w:val="20"/>
        </w:rPr>
        <w:t>at</w:t>
      </w:r>
      <w:r>
        <w:rPr>
          <w:spacing w:val="17"/>
          <w:sz w:val="20"/>
        </w:rPr>
        <w:t> </w:t>
      </w:r>
      <w:r>
        <w:rPr>
          <w:sz w:val="20"/>
        </w:rPr>
        <w:t>[147];</w:t>
      </w:r>
      <w:r>
        <w:rPr>
          <w:spacing w:val="17"/>
          <w:sz w:val="20"/>
        </w:rPr>
        <w:t> </w:t>
      </w:r>
      <w:r>
        <w:rPr>
          <w:rFonts w:ascii="Arial" w:hAnsi="Arial"/>
          <w:i/>
          <w:sz w:val="20"/>
        </w:rPr>
        <w:t>Azzurri</w:t>
      </w:r>
      <w:r>
        <w:rPr>
          <w:rFonts w:ascii="Arial" w:hAnsi="Arial"/>
          <w:i/>
          <w:spacing w:val="17"/>
          <w:sz w:val="20"/>
        </w:rPr>
        <w:t> </w:t>
      </w:r>
      <w:r>
        <w:rPr>
          <w:rFonts w:ascii="Arial" w:hAnsi="Arial"/>
          <w:i/>
          <w:sz w:val="20"/>
        </w:rPr>
        <w:t>Communications</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pacing w:val="-2"/>
          <w:sz w:val="20"/>
        </w:rPr>
        <w:t>International</w:t>
      </w:r>
    </w:p>
    <w:p>
      <w:pPr>
        <w:spacing w:line="225" w:lineRule="exact" w:before="0"/>
        <w:ind w:left="705" w:right="0" w:firstLine="0"/>
        <w:jc w:val="both"/>
        <w:rPr>
          <w:sz w:val="20"/>
        </w:rPr>
      </w:pPr>
      <w:r>
        <w:rPr>
          <w:rFonts w:ascii="Arial" w:hAnsi="Arial"/>
          <w:i/>
          <w:sz w:val="20"/>
        </w:rPr>
        <w:t>Telecommunications Equipment Ltd [2013] EWPCC 17</w:t>
      </w:r>
      <w:r>
        <w:rPr>
          <w:rFonts w:ascii="Arial" w:hAnsi="Arial"/>
          <w:i/>
          <w:spacing w:val="-1"/>
          <w:sz w:val="20"/>
        </w:rPr>
        <w:t> </w:t>
      </w:r>
      <w:r>
        <w:rPr>
          <w:sz w:val="20"/>
        </w:rPr>
        <w:t>at </w:t>
      </w:r>
      <w:r>
        <w:rPr>
          <w:spacing w:val="-2"/>
          <w:sz w:val="20"/>
        </w:rPr>
        <w:t>[86]–[88].</w:t>
      </w:r>
    </w:p>
    <w:p>
      <w:pPr>
        <w:pStyle w:val="BodyText"/>
        <w:spacing w:before="9"/>
      </w:pPr>
    </w:p>
    <w:p>
      <w:pPr>
        <w:pStyle w:val="BodyText"/>
        <w:tabs>
          <w:tab w:pos="705" w:val="left" w:leader="none"/>
        </w:tabs>
        <w:spacing w:line="235" w:lineRule="auto"/>
        <w:ind w:left="705" w:right="174" w:hanging="541"/>
      </w:pPr>
      <w:bookmarkStart w:name="_bookmark1780" w:id="1782"/>
      <w:bookmarkEnd w:id="1782"/>
      <w:r>
        <w:rPr/>
      </w:r>
      <w:hyperlink w:history="true" w:anchor="_bookmark1775">
        <w:r>
          <w:rPr>
            <w:color w:val="005DA1"/>
            <w:spacing w:val="-4"/>
            <w:position w:val="5"/>
            <w:sz w:val="14"/>
            <w:u w:val="single" w:color="005DA1"/>
          </w:rPr>
          <w:t>944</w:t>
        </w:r>
      </w:hyperlink>
      <w:r>
        <w:rPr>
          <w:spacing w:val="-4"/>
          <w:position w:val="5"/>
          <w:sz w:val="14"/>
        </w:rPr>
        <w:t>.</w:t>
      </w:r>
      <w:r>
        <w:rPr>
          <w:position w:val="5"/>
          <w:sz w:val="14"/>
        </w:rPr>
        <w:tab/>
      </w:r>
      <w:r>
        <w:rPr/>
        <w:t>This is a further example of using a proxy measure when the actual loss is hard to determine:</w:t>
      </w:r>
      <w:r>
        <w:rPr>
          <w:spacing w:val="40"/>
        </w:rPr>
        <w:t> </w:t>
      </w:r>
      <w:r>
        <w:rPr/>
        <w:t>see above, para.26-015.</w:t>
      </w:r>
    </w:p>
    <w:p>
      <w:pPr>
        <w:pStyle w:val="BodyText"/>
        <w:spacing w:before="6"/>
      </w:pPr>
    </w:p>
    <w:p>
      <w:pPr>
        <w:tabs>
          <w:tab w:pos="540" w:val="left" w:leader="none"/>
        </w:tabs>
        <w:spacing w:before="0"/>
        <w:ind w:left="0" w:right="95" w:firstLine="0"/>
        <w:jc w:val="center"/>
        <w:rPr>
          <w:sz w:val="20"/>
        </w:rPr>
      </w:pPr>
      <w:bookmarkStart w:name="_bookmark1781" w:id="1783"/>
      <w:bookmarkEnd w:id="1783"/>
      <w:r>
        <w:rPr/>
      </w:r>
      <w:hyperlink w:history="true" w:anchor="_bookmark1776">
        <w:r>
          <w:rPr>
            <w:color w:val="005DA1"/>
            <w:spacing w:val="-4"/>
            <w:position w:val="5"/>
            <w:sz w:val="14"/>
            <w:u w:val="single" w:color="005DA1"/>
          </w:rPr>
          <w:t>945</w:t>
        </w:r>
      </w:hyperlink>
      <w:r>
        <w:rPr>
          <w:spacing w:val="-4"/>
          <w:position w:val="5"/>
          <w:sz w:val="14"/>
        </w:rPr>
        <w:t>.</w:t>
      </w:r>
      <w:r>
        <w:rPr>
          <w:position w:val="5"/>
          <w:sz w:val="14"/>
        </w:rPr>
        <w:tab/>
      </w:r>
      <w:r>
        <w:rPr>
          <w:rFonts w:ascii="Arial"/>
          <w:i/>
          <w:sz w:val="20"/>
        </w:rPr>
        <w:t>Tullis Russell Papermakers Ltd v Inveresk Ltd [2010] CSOH 148, noted [2011] L.M.C.L.Q. </w:t>
      </w:r>
      <w:r>
        <w:rPr>
          <w:rFonts w:ascii="Arial"/>
          <w:i/>
          <w:spacing w:val="-4"/>
          <w:sz w:val="20"/>
        </w:rPr>
        <w:t>166</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spacing w:before="194"/>
        <w:ind w:left="2605" w:right="0" w:firstLine="0"/>
        <w:jc w:val="left"/>
        <w:rPr>
          <w:rFonts w:ascii="Arial"/>
          <w:b/>
          <w:sz w:val="24"/>
        </w:rPr>
      </w:pPr>
      <w:r>
        <w:rPr>
          <w:rFonts w:ascii="Arial"/>
          <w:b/>
          <w:sz w:val="24"/>
        </w:rPr>
        <w:t>(f) - Contracts to Pay or Lend </w:t>
      </w:r>
      <w:r>
        <w:rPr>
          <w:rFonts w:ascii="Arial"/>
          <w:b/>
          <w:spacing w:val="-2"/>
          <w:sz w:val="24"/>
        </w:rPr>
        <w:t>Money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Contracts to pay </w:t>
      </w:r>
      <w:r>
        <w:rPr>
          <w:rFonts w:ascii="Arial"/>
          <w:b/>
          <w:spacing w:val="-2"/>
          <w:sz w:val="18"/>
        </w:rPr>
        <w:t>money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175</w:t>
      </w:r>
    </w:p>
    <w:p>
      <w:pPr>
        <w:pStyle w:val="BodyText"/>
        <w:spacing w:line="235" w:lineRule="auto" w:before="202"/>
        <w:ind w:left="164" w:right="167"/>
        <w:jc w:val="both"/>
      </w:pPr>
      <w:bookmarkStart w:name="_bookmark1782" w:id="1784"/>
      <w:bookmarkEnd w:id="1784"/>
      <w:r>
        <w:rPr/>
      </w:r>
      <w:r>
        <w:rPr/>
        <w:t>Most contracts contain a promise to pay money as part of the bargain between the parties. </w:t>
      </w:r>
      <w:r>
        <w:rPr/>
        <w:t>Although the agreed sum itself may be recoverable as a debt, </w:t>
      </w:r>
      <w:r>
        <w:rPr>
          <w:color w:val="005DA1"/>
          <w:u w:val="single" w:color="005DA1"/>
          <w:vertAlign w:val="superscript"/>
        </w:rPr>
        <w:t>946</w:t>
      </w:r>
      <w:r>
        <w:rPr>
          <w:color w:val="005DA1"/>
          <w:vertAlign w:val="baseline"/>
        </w:rPr>
        <w:t> </w:t>
      </w:r>
      <w:r>
        <w:rPr>
          <w:vertAlign w:val="baseline"/>
        </w:rPr>
        <w:t>it was for many years uncertain whether at </w:t>
      </w:r>
      <w:bookmarkStart w:name="_bookmark1783" w:id="1785"/>
      <w:bookmarkEnd w:id="1785"/>
      <w:r>
        <w:rPr>
          <w:vertAlign w:val="baseline"/>
        </w:rPr>
        <w:t>common</w:t>
      </w:r>
      <w:r>
        <w:rPr>
          <w:vertAlign w:val="baseline"/>
        </w:rPr>
        <w:t> law the creditor could claim for any other loss resulting from the debtor’s failure to pay the </w:t>
      </w:r>
      <w:bookmarkStart w:name="_bookmark1784" w:id="1786"/>
      <w:bookmarkEnd w:id="1786"/>
      <w:r>
        <w:rPr>
          <w:vertAlign w:val="baseline"/>
        </w:rPr>
        <w:t>agreed</w:t>
      </w:r>
      <w:r>
        <w:rPr>
          <w:vertAlign w:val="baseline"/>
        </w:rPr>
        <w:t> sum at the fixed time. </w:t>
      </w:r>
      <w:r>
        <w:rPr>
          <w:color w:val="005DA1"/>
          <w:u w:val="single" w:color="005DA1"/>
          <w:vertAlign w:val="superscript"/>
        </w:rPr>
        <w:t>947</w:t>
      </w:r>
      <w:r>
        <w:rPr>
          <w:color w:val="005DA1"/>
          <w:vertAlign w:val="baseline"/>
        </w:rPr>
        <w:t> </w:t>
      </w:r>
      <w:r>
        <w:rPr>
          <w:vertAlign w:val="baseline"/>
        </w:rPr>
        <w:t>Except in the few cases where interest was recoverable at common </w:t>
      </w:r>
      <w:bookmarkStart w:name="_bookmark1785" w:id="1787"/>
      <w:bookmarkEnd w:id="1787"/>
      <w:r>
        <w:rPr>
          <w:vertAlign w:val="baseline"/>
        </w:rPr>
        <w:t>law,</w:t>
      </w:r>
      <w:r>
        <w:rPr>
          <w:vertAlign w:val="baseline"/>
        </w:rPr>
        <w:t> </w:t>
      </w:r>
      <w:r>
        <w:rPr>
          <w:color w:val="005DA1"/>
          <w:u w:val="single" w:color="005DA1"/>
          <w:vertAlign w:val="superscript"/>
        </w:rPr>
        <w:t>948</w:t>
      </w:r>
      <w:r>
        <w:rPr>
          <w:color w:val="005DA1"/>
          <w:vertAlign w:val="baseline"/>
        </w:rPr>
        <w:t> </w:t>
      </w:r>
      <w:r>
        <w:rPr>
          <w:vertAlign w:val="baseline"/>
        </w:rPr>
        <w:t>the rule was believed to be that only nominal damages were recoverable for failure to pay </w:t>
      </w:r>
      <w:bookmarkStart w:name="_bookmark1786" w:id="1788"/>
      <w:bookmarkEnd w:id="1788"/>
      <w:r>
        <w:rPr>
          <w:vertAlign w:val="baseline"/>
        </w:rPr>
        <w:t>money.</w:t>
      </w:r>
      <w:r>
        <w:rPr>
          <w:spacing w:val="-2"/>
          <w:vertAlign w:val="baseline"/>
        </w:rPr>
        <w:t> </w:t>
      </w:r>
      <w:r>
        <w:rPr>
          <w:color w:val="005DA1"/>
          <w:u w:val="single" w:color="005DA1"/>
          <w:vertAlign w:val="superscript"/>
        </w:rPr>
        <w:t>949</w:t>
      </w:r>
      <w:r>
        <w:rPr>
          <w:color w:val="005DA1"/>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had</w:t>
      </w:r>
      <w:r>
        <w:rPr>
          <w:spacing w:val="-2"/>
          <w:vertAlign w:val="baseline"/>
        </w:rPr>
        <w:t> </w:t>
      </w:r>
      <w:r>
        <w:rPr>
          <w:vertAlign w:val="baseline"/>
        </w:rPr>
        <w:t>confirmed</w:t>
      </w:r>
      <w:r>
        <w:rPr>
          <w:spacing w:val="-2"/>
          <w:vertAlign w:val="baseline"/>
        </w:rPr>
        <w:t> </w:t>
      </w:r>
      <w:r>
        <w:rPr>
          <w:vertAlign w:val="baseline"/>
        </w:rPr>
        <w:t>that</w:t>
      </w:r>
      <w:r>
        <w:rPr>
          <w:spacing w:val="-2"/>
          <w:vertAlign w:val="baseline"/>
        </w:rPr>
        <w:t> </w:t>
      </w:r>
      <w:r>
        <w:rPr>
          <w:vertAlign w:val="baseline"/>
        </w:rPr>
        <w:t>at</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interest</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awarded</w:t>
      </w:r>
      <w:r>
        <w:rPr>
          <w:spacing w:val="-2"/>
          <w:vertAlign w:val="baseline"/>
        </w:rPr>
        <w:t> </w:t>
      </w:r>
      <w:r>
        <w:rPr>
          <w:vertAlign w:val="baseline"/>
        </w:rPr>
        <w:t>by</w:t>
      </w:r>
      <w:r>
        <w:rPr>
          <w:spacing w:val="-2"/>
          <w:vertAlign w:val="baseline"/>
        </w:rPr>
        <w:t> </w:t>
      </w:r>
      <w:r>
        <w:rPr>
          <w:vertAlign w:val="baseline"/>
        </w:rPr>
        <w:t>way </w:t>
      </w:r>
      <w:bookmarkStart w:name="_bookmark1787" w:id="1789"/>
      <w:bookmarkEnd w:id="1789"/>
      <w:r>
        <w:rPr>
          <w:vertAlign w:val="baseline"/>
        </w:rPr>
        <w:t>of</w:t>
      </w:r>
      <w:r>
        <w:rPr>
          <w:vertAlign w:val="baseline"/>
        </w:rPr>
        <w:t> </w:t>
      </w:r>
      <w:r>
        <w:rPr>
          <w:rFonts w:ascii="Arial" w:hAnsi="Arial"/>
          <w:i/>
          <w:vertAlign w:val="baseline"/>
        </w:rPr>
        <w:t>general </w:t>
      </w:r>
      <w:r>
        <w:rPr>
          <w:vertAlign w:val="baseline"/>
        </w:rPr>
        <w:t>damages simply because payment of a debt had been delayed, </w:t>
      </w:r>
      <w:r>
        <w:rPr>
          <w:color w:val="005DA1"/>
          <w:u w:val="single" w:color="005DA1"/>
          <w:vertAlign w:val="superscript"/>
        </w:rPr>
        <w:t>950</w:t>
      </w:r>
      <w:r>
        <w:rPr>
          <w:color w:val="005DA1"/>
          <w:vertAlign w:val="baseline"/>
        </w:rPr>
        <w:t> </w:t>
      </w:r>
      <w:r>
        <w:rPr>
          <w:vertAlign w:val="baseline"/>
        </w:rPr>
        <w:t>though it approved the </w:t>
      </w:r>
      <w:bookmarkStart w:name="_bookmark1788" w:id="1790"/>
      <w:bookmarkEnd w:id="1790"/>
      <w:r>
        <w:rPr>
          <w:vertAlign w:val="baseline"/>
        </w:rPr>
        <w:t>decision</w:t>
      </w:r>
      <w:r>
        <w:rPr>
          <w:vertAlign w:val="baseline"/>
        </w:rPr>
        <w:t> of the Court of Appeal </w:t>
      </w:r>
      <w:r>
        <w:rPr>
          <w:color w:val="005DA1"/>
          <w:u w:val="single" w:color="005DA1"/>
          <w:vertAlign w:val="superscript"/>
        </w:rPr>
        <w:t>951</w:t>
      </w:r>
      <w:r>
        <w:rPr>
          <w:color w:val="005DA1"/>
          <w:vertAlign w:val="baseline"/>
        </w:rPr>
        <w:t> </w:t>
      </w:r>
      <w:r>
        <w:rPr>
          <w:vertAlign w:val="baseline"/>
        </w:rPr>
        <w:t>that, if the test for remoteness based on knowledge of special </w:t>
      </w:r>
      <w:bookmarkStart w:name="_bookmark1789" w:id="1791"/>
      <w:bookmarkEnd w:id="1791"/>
      <w:r>
        <w:rPr>
          <w:vertAlign w:val="baseline"/>
        </w:rPr>
        <w:t>circumstances</w:t>
      </w:r>
      <w:r>
        <w:rPr>
          <w:vertAlign w:val="baseline"/>
        </w:rPr>
        <w:t> is satisfied (the second rule in </w:t>
      </w:r>
      <w:r>
        <w:rPr>
          <w:rFonts w:ascii="Arial" w:hAnsi="Arial"/>
          <w:i/>
          <w:vertAlign w:val="baseline"/>
        </w:rPr>
        <w:t>Hadley v Baxendale</w:t>
      </w:r>
      <w:r>
        <w:rPr>
          <w:vertAlign w:val="baseline"/>
        </w:rPr>
        <w:t>), </w:t>
      </w:r>
      <w:r>
        <w:rPr>
          <w:color w:val="005DA1"/>
          <w:u w:val="single" w:color="005DA1"/>
          <w:vertAlign w:val="superscript"/>
        </w:rPr>
        <w:t>952</w:t>
      </w:r>
      <w:r>
        <w:rPr>
          <w:color w:val="005DA1"/>
          <w:vertAlign w:val="baseline"/>
        </w:rPr>
        <w:t> </w:t>
      </w:r>
      <w:r>
        <w:rPr>
          <w:vertAlign w:val="baseline"/>
        </w:rPr>
        <w:t>special damages could be awarded for interest paid and other expenses incurred by the claimant </w:t>
      </w:r>
      <w:r>
        <w:rPr>
          <w:color w:val="005DA1"/>
          <w:u w:val="single" w:color="005DA1"/>
          <w:vertAlign w:val="superscript"/>
        </w:rPr>
        <w:t>953</w:t>
      </w:r>
      <w:r>
        <w:rPr>
          <w:color w:val="005DA1"/>
          <w:vertAlign w:val="baseline"/>
        </w:rPr>
        <w:t> </w:t>
      </w:r>
      <w:r>
        <w:rPr>
          <w:vertAlign w:val="baseline"/>
        </w:rPr>
        <w:t>in arranging alternative </w:t>
      </w:r>
      <w:bookmarkStart w:name="_bookmark1790" w:id="1792"/>
      <w:bookmarkEnd w:id="1792"/>
      <w:r>
        <w:rPr>
          <w:vertAlign w:val="baseline"/>
        </w:rPr>
        <w:t>finance</w:t>
      </w:r>
      <w:r>
        <w:rPr>
          <w:vertAlign w:val="baseline"/>
        </w:rPr>
        <w:t> as the result of the defendant’s breach of his obligation to pay a sum of money on a given </w:t>
      </w:r>
      <w:bookmarkStart w:name="_bookmark1791" w:id="1793"/>
      <w:bookmarkEnd w:id="1793"/>
      <w:r>
        <w:rPr>
          <w:vertAlign w:val="baseline"/>
        </w:rPr>
        <w:t>date.</w:t>
      </w:r>
      <w:r>
        <w:rPr>
          <w:vertAlign w:val="baseline"/>
        </w:rPr>
        <w:t> </w:t>
      </w:r>
      <w:r>
        <w:rPr>
          <w:color w:val="005DA1"/>
          <w:u w:val="single" w:color="005DA1"/>
          <w:vertAlign w:val="superscript"/>
        </w:rPr>
        <w:t>954</w:t>
      </w:r>
      <w:r>
        <w:rPr>
          <w:color w:val="005DA1"/>
          <w:vertAlign w:val="baseline"/>
        </w:rPr>
        <w:t> </w:t>
      </w:r>
      <w:r>
        <w:rPr>
          <w:vertAlign w:val="baseline"/>
        </w:rPr>
        <w:t>In earlier cases the defendant had been held liable for substantial damages where he undertook to maintain the claimant’s financial credit. </w:t>
      </w:r>
      <w:r>
        <w:rPr>
          <w:color w:val="005DA1"/>
          <w:u w:val="single" w:color="005DA1"/>
          <w:vertAlign w:val="superscript"/>
        </w:rPr>
        <w:t>955</w:t>
      </w:r>
      <w:r>
        <w:rPr>
          <w:color w:val="005DA1"/>
          <w:vertAlign w:val="baseline"/>
        </w:rPr>
        <w:t> </w:t>
      </w:r>
      <w:r>
        <w:rPr>
          <w:vertAlign w:val="baseline"/>
        </w:rPr>
        <w:t>In 2007, however, in </w:t>
      </w:r>
      <w:r>
        <w:rPr>
          <w:rFonts w:ascii="Arial" w:hAnsi="Arial"/>
          <w:i/>
          <w:vertAlign w:val="baseline"/>
        </w:rPr>
        <w:t>Sempra Metals Ltd v </w:t>
      </w:r>
      <w:bookmarkStart w:name="_bookmark1792" w:id="1794"/>
      <w:bookmarkEnd w:id="1794"/>
      <w:r>
        <w:rPr>
          <w:rFonts w:ascii="Arial" w:hAnsi="Arial"/>
          <w:i/>
          <w:vertAlign w:val="baseline"/>
        </w:rPr>
        <w:t>Commissioners</w:t>
      </w:r>
      <w:r>
        <w:rPr>
          <w:rFonts w:ascii="Arial" w:hAnsi="Arial"/>
          <w:i/>
          <w:vertAlign w:val="baseline"/>
        </w:rPr>
        <w:t> of Inland Revenue</w:t>
      </w:r>
      <w:r>
        <w:rPr>
          <w:vertAlign w:val="baseline"/>
        </w:rPr>
        <w:t>, the House of Lords severely restricted the rule that interest</w:t>
      </w:r>
      <w:r>
        <w:rPr>
          <w:spacing w:val="80"/>
          <w:vertAlign w:val="baseline"/>
        </w:rPr>
        <w:t> </w:t>
      </w:r>
      <w:bookmarkStart w:name="_bookmark1793" w:id="1795"/>
      <w:bookmarkEnd w:id="1795"/>
      <w:r>
        <w:rPr>
          <w:vertAlign w:val="baseline"/>
        </w:rPr>
        <w:t>cannot</w:t>
      </w:r>
      <w:r>
        <w:rPr>
          <w:vertAlign w:val="baseline"/>
        </w:rPr>
        <w:t> be claimed by way of general damages. </w:t>
      </w:r>
      <w:r>
        <w:rPr>
          <w:color w:val="005DA1"/>
          <w:u w:val="single" w:color="005DA1"/>
          <w:vertAlign w:val="superscript"/>
        </w:rPr>
        <w:t>956</w:t>
      </w:r>
      <w:r>
        <w:rPr>
          <w:color w:val="005DA1"/>
          <w:vertAlign w:val="baseline"/>
        </w:rPr>
        <w:t> </w:t>
      </w:r>
      <w:r>
        <w:rPr>
          <w:vertAlign w:val="baseline"/>
        </w:rPr>
        <w:t>It now applies only where the claimant has not </w:t>
      </w:r>
      <w:bookmarkStart w:name="_bookmark1794" w:id="1796"/>
      <w:bookmarkEnd w:id="1796"/>
      <w:r>
        <w:rPr>
          <w:vertAlign w:val="baseline"/>
        </w:rPr>
        <w:t>pleaded</w:t>
      </w:r>
      <w:r>
        <w:rPr>
          <w:vertAlign w:val="baseline"/>
        </w:rPr>
        <w:t> or proved a loss resulting from the non-payment. </w:t>
      </w:r>
      <w:r>
        <w:rPr>
          <w:color w:val="005DA1"/>
          <w:u w:val="single" w:color="005DA1"/>
          <w:vertAlign w:val="superscript"/>
        </w:rPr>
        <w:t>957</w:t>
      </w:r>
      <w:r>
        <w:rPr>
          <w:color w:val="005DA1"/>
          <w:vertAlign w:val="baseline"/>
        </w:rPr>
        <w:t> </w:t>
      </w:r>
      <w:r>
        <w:rPr>
          <w:vertAlign w:val="baseline"/>
        </w:rPr>
        <w:t>Further, there is now a statutory right to interest on commercial debts, </w:t>
      </w:r>
      <w:r>
        <w:rPr>
          <w:color w:val="005DA1"/>
          <w:u w:val="single" w:color="005DA1"/>
          <w:vertAlign w:val="superscript"/>
        </w:rPr>
        <w:t>958</w:t>
      </w:r>
      <w:r>
        <w:rPr>
          <w:color w:val="005DA1"/>
          <w:vertAlign w:val="baseline"/>
        </w:rPr>
        <w:t> </w:t>
      </w:r>
      <w:r>
        <w:rPr>
          <w:vertAlign w:val="baseline"/>
        </w:rPr>
        <w:t>and the court is empowered by statute </w:t>
      </w:r>
      <w:r>
        <w:rPr>
          <w:color w:val="005DA1"/>
          <w:u w:val="single" w:color="005DA1"/>
          <w:vertAlign w:val="superscript"/>
        </w:rPr>
        <w:t>959</w:t>
      </w:r>
      <w:r>
        <w:rPr>
          <w:color w:val="005DA1"/>
          <w:vertAlign w:val="baseline"/>
        </w:rPr>
        <w:t> </w:t>
      </w:r>
      <w:r>
        <w:rPr>
          <w:vertAlign w:val="baseline"/>
        </w:rPr>
        <w:t>in its discretion to award interest in an action, whether for debt or for damages.</w:t>
      </w:r>
    </w:p>
    <w:p>
      <w:pPr>
        <w:pStyle w:val="BodyText"/>
        <w:spacing w:before="83"/>
      </w:pPr>
    </w:p>
    <w:p>
      <w:pPr>
        <w:pStyle w:val="BodyText"/>
        <w:spacing w:line="235" w:lineRule="auto"/>
        <w:ind w:left="165" w:right="167"/>
        <w:jc w:val="both"/>
      </w:pPr>
      <w:bookmarkStart w:name="_bookmark1795" w:id="1797"/>
      <w:bookmarkEnd w:id="1797"/>
      <w:r>
        <w:rPr/>
      </w:r>
      <w:r>
        <w:rPr/>
        <w:t>In actions for the dishonour of bills of exchange and promissory notes, the measure of damages depends on statutory provisions. </w:t>
      </w:r>
      <w:r>
        <w:rPr>
          <w:color w:val="005DA1"/>
          <w:u w:val="single" w:color="005DA1"/>
          <w:vertAlign w:val="superscript"/>
        </w:rPr>
        <w:t>960</w:t>
      </w:r>
    </w:p>
    <w:p>
      <w:pPr>
        <w:pStyle w:val="BodyText"/>
      </w:pPr>
    </w:p>
    <w:p>
      <w:pPr>
        <w:pStyle w:val="BodyText"/>
        <w:spacing w:before="38"/>
      </w:pPr>
    </w:p>
    <w:p>
      <w:pPr>
        <w:spacing w:before="0"/>
        <w:ind w:left="165" w:right="0" w:firstLine="0"/>
        <w:jc w:val="both"/>
        <w:rPr>
          <w:rFonts w:ascii="Arial"/>
          <w:b/>
          <w:sz w:val="18"/>
        </w:rPr>
      </w:pPr>
      <w:r>
        <w:rPr>
          <w:rFonts w:ascii="Arial"/>
          <w:b/>
          <w:sz w:val="18"/>
        </w:rPr>
        <w:t>Contracts to lend </w:t>
      </w:r>
      <w:r>
        <w:rPr>
          <w:rFonts w:ascii="Arial"/>
          <w:b/>
          <w:spacing w:val="-2"/>
          <w:sz w:val="18"/>
        </w:rPr>
        <w:t>money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176</w:t>
      </w:r>
    </w:p>
    <w:p>
      <w:pPr>
        <w:pStyle w:val="BodyText"/>
        <w:spacing w:line="235" w:lineRule="auto" w:before="202"/>
        <w:ind w:left="164" w:right="167"/>
        <w:jc w:val="both"/>
      </w:pPr>
      <w:r>
        <w:rPr/>
        <w:t>In an action based on a lender’s failure to provide the money promised, the normal measure </w:t>
      </w:r>
      <w:r>
        <w:rPr/>
        <w:t>of </w:t>
      </w:r>
      <w:bookmarkStart w:name="_bookmark1796" w:id="1798"/>
      <w:bookmarkEnd w:id="1798"/>
      <w:r>
        <w:rPr/>
        <w:t>damages</w:t>
      </w:r>
      <w:r>
        <w:rPr/>
        <w:t> is the difference between the cost of a substitute loan in the market, and the cost of the contracted loan </w:t>
      </w:r>
      <w:r>
        <w:rPr>
          <w:color w:val="005DA1"/>
          <w:u w:val="single" w:color="005DA1"/>
          <w:vertAlign w:val="superscript"/>
        </w:rPr>
        <w:t>961</w:t>
      </w:r>
      <w:r>
        <w:rPr>
          <w:vertAlign w:val="baseline"/>
        </w:rPr>
        <w:t>: hence nominal damages will be usual, except where the claimant can obtain a </w:t>
      </w:r>
      <w:bookmarkStart w:name="_bookmark1797" w:id="1799"/>
      <w:bookmarkEnd w:id="1799"/>
      <w:r>
        <w:rPr>
          <w:vertAlign w:val="baseline"/>
        </w:rPr>
        <w:t>loan</w:t>
      </w:r>
      <w:r>
        <w:rPr>
          <w:vertAlign w:val="baseline"/>
        </w:rPr>
        <w:t> elsewhere only “at a higher rate of interest, or for a shorter term of years, or upon other more </w:t>
      </w:r>
      <w:bookmarkStart w:name="_bookmark1798" w:id="1800"/>
      <w:bookmarkEnd w:id="1800"/>
      <w:r>
        <w:rPr>
          <w:vertAlign w:val="baseline"/>
        </w:rPr>
        <w:t>onerous</w:t>
      </w:r>
      <w:r>
        <w:rPr>
          <w:vertAlign w:val="baseline"/>
        </w:rPr>
        <w:t> terms”, </w:t>
      </w:r>
      <w:r>
        <w:rPr>
          <w:color w:val="005DA1"/>
          <w:u w:val="single" w:color="005DA1"/>
          <w:vertAlign w:val="superscript"/>
        </w:rPr>
        <w:t>962</w:t>
      </w:r>
      <w:r>
        <w:rPr>
          <w:color w:val="005DA1"/>
          <w:vertAlign w:val="baseline"/>
        </w:rPr>
        <w:t> </w:t>
      </w:r>
      <w:r>
        <w:rPr>
          <w:vertAlign w:val="baseline"/>
        </w:rPr>
        <w:t>or where the claimant cannot raise another loan, and so fails to complete his purchase. </w:t>
      </w:r>
      <w:r>
        <w:rPr>
          <w:color w:val="005DA1"/>
          <w:u w:val="single" w:color="005DA1"/>
          <w:vertAlign w:val="superscript"/>
        </w:rPr>
        <w:t>963</w:t>
      </w:r>
    </w:p>
    <w:p>
      <w:pPr>
        <w:pStyle w:val="BodyText"/>
      </w:pPr>
    </w:p>
    <w:p>
      <w:pPr>
        <w:pStyle w:val="BodyText"/>
        <w:spacing w:before="38"/>
      </w:pPr>
      <w:r>
        <w:rPr/>
        <mc:AlternateContent>
          <mc:Choice Requires="wps">
            <w:drawing>
              <wp:anchor distT="0" distB="0" distL="0" distR="0" allowOverlap="1" layoutInCell="1" locked="0" behindDoc="1" simplePos="0" relativeHeight="487679488">
                <wp:simplePos x="0" y="0"/>
                <wp:positionH relativeFrom="page">
                  <wp:posOffset>914400</wp:posOffset>
                </wp:positionH>
                <wp:positionV relativeFrom="paragraph">
                  <wp:posOffset>185512</wp:posOffset>
                </wp:positionV>
                <wp:extent cx="5724525" cy="127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7312pt;width:450.75pt;height:.1pt;mso-position-horizontal-relative:page;mso-position-vertical-relative:paragraph;z-index:-15636992;mso-wrap-distance-left:0;mso-wrap-distance-right:0" id="docshape8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hyperlink w:history="true" w:anchor="_bookmark1817">
        <w:r>
          <w:rPr>
            <w:color w:val="005DA1"/>
            <w:spacing w:val="-4"/>
            <w:position w:val="5"/>
            <w:sz w:val="14"/>
            <w:u w:val="single" w:color="005DA1"/>
          </w:rPr>
          <w:t>848</w:t>
        </w:r>
      </w:hyperlink>
      <w:r>
        <w:rPr>
          <w:spacing w:val="-4"/>
          <w:position w:val="5"/>
          <w:sz w:val="14"/>
        </w:rPr>
        <w:t>.</w:t>
      </w:r>
      <w:r>
        <w:rPr>
          <w:position w:val="5"/>
          <w:sz w:val="14"/>
        </w:rPr>
        <w:tab/>
      </w:r>
      <w:r>
        <w:rPr/>
        <w:t>Further illustrations will be found in the various chapters of Vol.II of this </w:t>
      </w:r>
      <w:r>
        <w:rPr>
          <w:spacing w:val="-2"/>
        </w:rPr>
        <w:t>work.</w:t>
      </w:r>
    </w:p>
    <w:p>
      <w:pPr>
        <w:pStyle w:val="BodyText"/>
        <w:spacing w:after="0"/>
        <w:sectPr>
          <w:headerReference w:type="default" r:id="rId45"/>
          <w:pgSz w:w="11900" w:h="16840"/>
          <w:pgMar w:header="971" w:footer="0" w:top="1300" w:bottom="280" w:left="1275" w:right="1275"/>
          <w:pgNumType w:start="1"/>
        </w:sectPr>
      </w:pPr>
    </w:p>
    <w:p>
      <w:pPr>
        <w:pStyle w:val="BodyText"/>
        <w:tabs>
          <w:tab w:pos="705" w:val="left" w:leader="none"/>
        </w:tabs>
        <w:spacing w:before="166"/>
        <w:ind w:left="165"/>
      </w:pPr>
      <w:bookmarkStart w:name="_bookmark1799" w:id="1801"/>
      <w:bookmarkEnd w:id="1801"/>
      <w:r>
        <w:rPr/>
      </w:r>
      <w:hyperlink w:history="true" w:anchor="_bookmark1782">
        <w:r>
          <w:rPr>
            <w:color w:val="005DA1"/>
            <w:spacing w:val="-4"/>
            <w:position w:val="5"/>
            <w:sz w:val="14"/>
            <w:u w:val="single" w:color="005DA1"/>
          </w:rPr>
          <w:t>946</w:t>
        </w:r>
      </w:hyperlink>
      <w:r>
        <w:rPr>
          <w:spacing w:val="-4"/>
          <w:position w:val="5"/>
          <w:sz w:val="14"/>
        </w:rPr>
        <w:t>.</w:t>
      </w:r>
      <w:r>
        <w:rPr>
          <w:position w:val="5"/>
          <w:sz w:val="14"/>
        </w:rPr>
        <w:tab/>
      </w:r>
      <w:r>
        <w:rPr/>
        <w:t>See</w:t>
      </w:r>
      <w:r>
        <w:rPr>
          <w:spacing w:val="-2"/>
        </w:rPr>
        <w:t> </w:t>
      </w:r>
      <w:r>
        <w:rPr/>
        <w:t>above, para.26-</w:t>
      </w:r>
      <w:r>
        <w:rPr>
          <w:spacing w:val="-4"/>
        </w:rPr>
        <w:t>008.</w:t>
      </w:r>
    </w:p>
    <w:p>
      <w:pPr>
        <w:pStyle w:val="BodyText"/>
        <w:spacing w:before="9"/>
      </w:pPr>
    </w:p>
    <w:p>
      <w:pPr>
        <w:spacing w:line="235" w:lineRule="auto" w:before="0"/>
        <w:ind w:left="705" w:right="168" w:hanging="541"/>
        <w:jc w:val="both"/>
        <w:rPr>
          <w:sz w:val="20"/>
        </w:rPr>
      </w:pPr>
      <w:bookmarkStart w:name="_bookmark1800" w:id="1802"/>
      <w:bookmarkEnd w:id="1802"/>
      <w:r>
        <w:rPr/>
      </w:r>
      <w:hyperlink w:history="true" w:anchor="_bookmark1783">
        <w:r>
          <w:rPr>
            <w:color w:val="005DA1"/>
            <w:position w:val="5"/>
            <w:sz w:val="14"/>
            <w:u w:val="single" w:color="005DA1"/>
          </w:rPr>
          <w:t>947</w:t>
        </w:r>
      </w:hyperlink>
      <w:r>
        <w:rPr>
          <w:position w:val="5"/>
          <w:sz w:val="14"/>
        </w:rPr>
        <w:t>.</w:t>
      </w:r>
      <w:r>
        <w:rPr>
          <w:spacing w:val="80"/>
          <w:position w:val="5"/>
          <w:sz w:val="14"/>
        </w:rPr>
        <w:t>  </w:t>
      </w:r>
      <w:r>
        <w:rPr>
          <w:rFonts w:ascii="Arial"/>
          <w:i/>
          <w:sz w:val="20"/>
        </w:rPr>
        <w:t>London,</w:t>
      </w:r>
      <w:r>
        <w:rPr>
          <w:rFonts w:ascii="Arial"/>
          <w:i/>
          <w:spacing w:val="-2"/>
          <w:sz w:val="20"/>
        </w:rPr>
        <w:t> </w:t>
      </w:r>
      <w:r>
        <w:rPr>
          <w:rFonts w:ascii="Arial"/>
          <w:i/>
          <w:sz w:val="20"/>
        </w:rPr>
        <w:t>Chatham</w:t>
      </w:r>
      <w:r>
        <w:rPr>
          <w:rFonts w:ascii="Arial"/>
          <w:i/>
          <w:spacing w:val="-2"/>
          <w:sz w:val="20"/>
        </w:rPr>
        <w:t> </w:t>
      </w:r>
      <w:r>
        <w:rPr>
          <w:rFonts w:ascii="Arial"/>
          <w:i/>
          <w:sz w:val="20"/>
        </w:rPr>
        <w:t>and</w:t>
      </w:r>
      <w:r>
        <w:rPr>
          <w:rFonts w:ascii="Arial"/>
          <w:i/>
          <w:spacing w:val="-2"/>
          <w:sz w:val="20"/>
        </w:rPr>
        <w:t> </w:t>
      </w:r>
      <w:r>
        <w:rPr>
          <w:rFonts w:ascii="Arial"/>
          <w:i/>
          <w:sz w:val="20"/>
        </w:rPr>
        <w:t>Dover</w:t>
      </w:r>
      <w:r>
        <w:rPr>
          <w:rFonts w:ascii="Arial"/>
          <w:i/>
          <w:spacing w:val="-2"/>
          <w:sz w:val="20"/>
        </w:rPr>
        <w:t> </w:t>
      </w:r>
      <w:r>
        <w:rPr>
          <w:rFonts w:ascii="Arial"/>
          <w:i/>
          <w:sz w:val="20"/>
        </w:rPr>
        <w:t>Ry</w:t>
      </w:r>
      <w:r>
        <w:rPr>
          <w:rFonts w:ascii="Arial"/>
          <w:i/>
          <w:spacing w:val="-2"/>
          <w:sz w:val="20"/>
        </w:rPr>
        <w:t> </w:t>
      </w:r>
      <w:r>
        <w:rPr>
          <w:rFonts w:ascii="Arial"/>
          <w:i/>
          <w:sz w:val="20"/>
        </w:rPr>
        <w:t>Co</w:t>
      </w:r>
      <w:r>
        <w:rPr>
          <w:rFonts w:ascii="Arial"/>
          <w:i/>
          <w:spacing w:val="-2"/>
          <w:sz w:val="20"/>
        </w:rPr>
        <w:t> </w:t>
      </w:r>
      <w:r>
        <w:rPr>
          <w:rFonts w:ascii="Arial"/>
          <w:i/>
          <w:sz w:val="20"/>
        </w:rPr>
        <w:t>v</w:t>
      </w:r>
      <w:r>
        <w:rPr>
          <w:rFonts w:ascii="Arial"/>
          <w:i/>
          <w:spacing w:val="-2"/>
          <w:sz w:val="20"/>
        </w:rPr>
        <w:t> </w:t>
      </w:r>
      <w:r>
        <w:rPr>
          <w:rFonts w:ascii="Arial"/>
          <w:i/>
          <w:sz w:val="20"/>
        </w:rPr>
        <w:t>South</w:t>
      </w:r>
      <w:r>
        <w:rPr>
          <w:rFonts w:ascii="Arial"/>
          <w:i/>
          <w:spacing w:val="-2"/>
          <w:sz w:val="20"/>
        </w:rPr>
        <w:t> </w:t>
      </w:r>
      <w:r>
        <w:rPr>
          <w:rFonts w:ascii="Arial"/>
          <w:i/>
          <w:sz w:val="20"/>
        </w:rPr>
        <w:t>Eastern</w:t>
      </w:r>
      <w:r>
        <w:rPr>
          <w:rFonts w:ascii="Arial"/>
          <w:i/>
          <w:spacing w:val="-2"/>
          <w:sz w:val="20"/>
        </w:rPr>
        <w:t> </w:t>
      </w:r>
      <w:r>
        <w:rPr>
          <w:rFonts w:ascii="Arial"/>
          <w:i/>
          <w:sz w:val="20"/>
        </w:rPr>
        <w:t>Ry</w:t>
      </w:r>
      <w:r>
        <w:rPr>
          <w:rFonts w:ascii="Arial"/>
          <w:i/>
          <w:spacing w:val="-2"/>
          <w:sz w:val="20"/>
        </w:rPr>
        <w:t> </w:t>
      </w:r>
      <w:r>
        <w:rPr>
          <w:rFonts w:ascii="Arial"/>
          <w:i/>
          <w:sz w:val="20"/>
        </w:rPr>
        <w:t>Co</w:t>
      </w:r>
      <w:r>
        <w:rPr>
          <w:rFonts w:ascii="Arial"/>
          <w:i/>
          <w:spacing w:val="-2"/>
          <w:sz w:val="20"/>
        </w:rPr>
        <w:t> </w:t>
      </w:r>
      <w:r>
        <w:rPr>
          <w:rFonts w:ascii="Arial"/>
          <w:i/>
          <w:sz w:val="20"/>
        </w:rPr>
        <w:t>[1893]</w:t>
      </w:r>
      <w:r>
        <w:rPr>
          <w:rFonts w:ascii="Arial"/>
          <w:i/>
          <w:spacing w:val="-2"/>
          <w:sz w:val="20"/>
        </w:rPr>
        <w:t> </w:t>
      </w:r>
      <w:r>
        <w:rPr>
          <w:rFonts w:ascii="Arial"/>
          <w:i/>
          <w:sz w:val="20"/>
        </w:rPr>
        <w:t>A.C.</w:t>
      </w:r>
      <w:r>
        <w:rPr>
          <w:rFonts w:ascii="Arial"/>
          <w:i/>
          <w:spacing w:val="-2"/>
          <w:sz w:val="20"/>
        </w:rPr>
        <w:t> </w:t>
      </w:r>
      <w:r>
        <w:rPr>
          <w:rFonts w:ascii="Arial"/>
          <w:i/>
          <w:sz w:val="20"/>
        </w:rPr>
        <w:t>429</w:t>
      </w:r>
      <w:r>
        <w:rPr>
          <w:rFonts w:ascii="Arial"/>
          <w:i/>
          <w:spacing w:val="-3"/>
          <w:sz w:val="20"/>
        </w:rPr>
        <w:t> </w:t>
      </w:r>
      <w:r>
        <w:rPr>
          <w:sz w:val="20"/>
        </w:rPr>
        <w:t>(a</w:t>
      </w:r>
      <w:r>
        <w:rPr>
          <w:spacing w:val="-2"/>
          <w:sz w:val="20"/>
        </w:rPr>
        <w:t> </w:t>
      </w:r>
      <w:r>
        <w:rPr>
          <w:sz w:val="20"/>
        </w:rPr>
        <w:t>claim</w:t>
      </w:r>
      <w:r>
        <w:rPr>
          <w:spacing w:val="-2"/>
          <w:sz w:val="20"/>
        </w:rPr>
        <w:t> </w:t>
      </w:r>
      <w:r>
        <w:rPr>
          <w:sz w:val="20"/>
        </w:rPr>
        <w:t>for</w:t>
      </w:r>
      <w:r>
        <w:rPr>
          <w:spacing w:val="-2"/>
          <w:sz w:val="20"/>
        </w:rPr>
        <w:t> </w:t>
      </w:r>
      <w:r>
        <w:rPr>
          <w:sz w:val="20"/>
        </w:rPr>
        <w:t>interest at common law). cf. </w:t>
      </w:r>
      <w:r>
        <w:rPr>
          <w:rFonts w:ascii="Arial"/>
          <w:i/>
          <w:sz w:val="20"/>
        </w:rPr>
        <w:t>Trans Trust SPRL v Danubian Trading Co Ltd [1952] 2 Q.B. 297</w:t>
      </w:r>
      <w:r>
        <w:rPr>
          <w:sz w:val="20"/>
        </w:rPr>
        <w:t>; and see the criticism of the rule by Jessel M.R. in </w:t>
      </w:r>
      <w:r>
        <w:rPr>
          <w:rFonts w:ascii="Arial"/>
          <w:i/>
          <w:sz w:val="20"/>
        </w:rPr>
        <w:t>Wallis v Smith (1882) 21 Ch. D. 243, 257</w:t>
      </w:r>
      <w:r>
        <w:rPr>
          <w:sz w:val="20"/>
        </w:rPr>
        <w:t>. On a contract to pay interest, see Vol.II, paras 39-285 et seq.</w:t>
      </w:r>
    </w:p>
    <w:p>
      <w:pPr>
        <w:pStyle w:val="BodyText"/>
        <w:spacing w:before="5"/>
      </w:pPr>
    </w:p>
    <w:p>
      <w:pPr>
        <w:pStyle w:val="BodyText"/>
        <w:tabs>
          <w:tab w:pos="705" w:val="left" w:leader="none"/>
        </w:tabs>
        <w:ind w:left="165"/>
      </w:pPr>
      <w:bookmarkStart w:name="_bookmark1801" w:id="1803"/>
      <w:bookmarkEnd w:id="1803"/>
      <w:r>
        <w:rPr/>
      </w:r>
      <w:hyperlink w:history="true" w:anchor="_bookmark1784">
        <w:r>
          <w:rPr>
            <w:color w:val="005DA1"/>
            <w:spacing w:val="-4"/>
            <w:position w:val="5"/>
            <w:sz w:val="14"/>
            <w:u w:val="single" w:color="005DA1"/>
          </w:rPr>
          <w:t>948</w:t>
        </w:r>
      </w:hyperlink>
      <w:r>
        <w:rPr>
          <w:spacing w:val="-4"/>
          <w:position w:val="5"/>
          <w:sz w:val="14"/>
        </w:rPr>
        <w:t>.</w:t>
      </w:r>
      <w:r>
        <w:rPr>
          <w:position w:val="5"/>
          <w:sz w:val="14"/>
        </w:rPr>
        <w:tab/>
      </w:r>
      <w:r>
        <w:rPr/>
        <w:t>e.g. dishonour of bills of exchange and promissory notes. See below, Vol.II, para.34-</w:t>
      </w:r>
      <w:r>
        <w:rPr>
          <w:spacing w:val="-4"/>
        </w:rPr>
        <w:t>117.</w:t>
      </w:r>
    </w:p>
    <w:p>
      <w:pPr>
        <w:pStyle w:val="BodyText"/>
        <w:spacing w:before="5"/>
      </w:pPr>
    </w:p>
    <w:p>
      <w:pPr>
        <w:tabs>
          <w:tab w:pos="705" w:val="left" w:leader="none"/>
        </w:tabs>
        <w:spacing w:before="0"/>
        <w:ind w:left="165" w:right="0" w:firstLine="0"/>
        <w:jc w:val="left"/>
        <w:rPr>
          <w:sz w:val="20"/>
        </w:rPr>
      </w:pPr>
      <w:bookmarkStart w:name="_bookmark1802" w:id="1804"/>
      <w:bookmarkEnd w:id="1804"/>
      <w:r>
        <w:rPr/>
      </w:r>
      <w:hyperlink w:history="true" w:anchor="_bookmark1785">
        <w:r>
          <w:rPr>
            <w:color w:val="005DA1"/>
            <w:spacing w:val="-4"/>
            <w:position w:val="5"/>
            <w:sz w:val="14"/>
            <w:u w:val="single" w:color="005DA1"/>
          </w:rPr>
          <w:t>949</w:t>
        </w:r>
      </w:hyperlink>
      <w:r>
        <w:rPr>
          <w:spacing w:val="-4"/>
          <w:position w:val="5"/>
          <w:sz w:val="14"/>
        </w:rPr>
        <w:t>.</w:t>
      </w:r>
      <w:r>
        <w:rPr>
          <w:position w:val="5"/>
          <w:sz w:val="14"/>
        </w:rPr>
        <w:tab/>
      </w:r>
      <w:r>
        <w:rPr>
          <w:rFonts w:ascii="Arial"/>
          <w:i/>
          <w:sz w:val="20"/>
        </w:rPr>
        <w:t>London, Chatham and Dover Ry Co v South Eastern Ry Co [1893] A.C. </w:t>
      </w:r>
      <w:r>
        <w:rPr>
          <w:rFonts w:ascii="Arial"/>
          <w:i/>
          <w:spacing w:val="-4"/>
          <w:sz w:val="20"/>
        </w:rPr>
        <w:t>429</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803" w:id="1805"/>
      <w:bookmarkEnd w:id="1805"/>
      <w:r>
        <w:rPr/>
      </w:r>
      <w:hyperlink w:history="true" w:anchor="_bookmark1786">
        <w:r>
          <w:rPr>
            <w:color w:val="005DA1"/>
            <w:spacing w:val="-4"/>
            <w:position w:val="5"/>
            <w:sz w:val="14"/>
            <w:u w:val="single" w:color="005DA1"/>
          </w:rPr>
          <w:t>950</w:t>
        </w:r>
      </w:hyperlink>
      <w:r>
        <w:rPr>
          <w:spacing w:val="-4"/>
          <w:position w:val="5"/>
          <w:sz w:val="14"/>
        </w:rPr>
        <w:t>.</w:t>
      </w:r>
      <w:r>
        <w:rPr>
          <w:position w:val="5"/>
          <w:sz w:val="14"/>
        </w:rPr>
        <w:tab/>
      </w:r>
      <w:r>
        <w:rPr>
          <w:rFonts w:ascii="Arial"/>
          <w:i/>
          <w:sz w:val="20"/>
        </w:rPr>
        <w:t>President</w:t>
      </w:r>
      <w:r>
        <w:rPr>
          <w:rFonts w:ascii="Arial"/>
          <w:i/>
          <w:spacing w:val="40"/>
          <w:sz w:val="20"/>
        </w:rPr>
        <w:t> </w:t>
      </w:r>
      <w:r>
        <w:rPr>
          <w:rFonts w:ascii="Arial"/>
          <w:i/>
          <w:sz w:val="20"/>
        </w:rPr>
        <w:t>of</w:t>
      </w:r>
      <w:r>
        <w:rPr>
          <w:rFonts w:ascii="Arial"/>
          <w:i/>
          <w:spacing w:val="40"/>
          <w:sz w:val="20"/>
        </w:rPr>
        <w:t> </w:t>
      </w:r>
      <w:r>
        <w:rPr>
          <w:rFonts w:ascii="Arial"/>
          <w:i/>
          <w:sz w:val="20"/>
        </w:rPr>
        <w:t>India</w:t>
      </w:r>
      <w:r>
        <w:rPr>
          <w:rFonts w:ascii="Arial"/>
          <w:i/>
          <w:spacing w:val="40"/>
          <w:sz w:val="20"/>
        </w:rPr>
        <w:t> </w:t>
      </w:r>
      <w:r>
        <w:rPr>
          <w:rFonts w:ascii="Arial"/>
          <w:i/>
          <w:sz w:val="20"/>
        </w:rPr>
        <w:t>v</w:t>
      </w:r>
      <w:r>
        <w:rPr>
          <w:rFonts w:ascii="Arial"/>
          <w:i/>
          <w:spacing w:val="40"/>
          <w:sz w:val="20"/>
        </w:rPr>
        <w:t> </w:t>
      </w:r>
      <w:r>
        <w:rPr>
          <w:rFonts w:ascii="Arial"/>
          <w:i/>
          <w:sz w:val="20"/>
        </w:rPr>
        <w:t>La</w:t>
      </w:r>
      <w:r>
        <w:rPr>
          <w:rFonts w:ascii="Arial"/>
          <w:i/>
          <w:spacing w:val="40"/>
          <w:sz w:val="20"/>
        </w:rPr>
        <w:t> </w:t>
      </w:r>
      <w:r>
        <w:rPr>
          <w:rFonts w:ascii="Arial"/>
          <w:i/>
          <w:sz w:val="20"/>
        </w:rPr>
        <w:t>Pintada</w:t>
      </w:r>
      <w:r>
        <w:rPr>
          <w:rFonts w:ascii="Arial"/>
          <w:i/>
          <w:spacing w:val="40"/>
          <w:sz w:val="20"/>
        </w:rPr>
        <w:t> </w:t>
      </w:r>
      <w:r>
        <w:rPr>
          <w:rFonts w:ascii="Arial"/>
          <w:i/>
          <w:sz w:val="20"/>
        </w:rPr>
        <w:t>Compania</w:t>
      </w:r>
      <w:r>
        <w:rPr>
          <w:rFonts w:ascii="Arial"/>
          <w:i/>
          <w:spacing w:val="40"/>
          <w:sz w:val="20"/>
        </w:rPr>
        <w:t> </w:t>
      </w:r>
      <w:r>
        <w:rPr>
          <w:rFonts w:ascii="Arial"/>
          <w:i/>
          <w:sz w:val="20"/>
        </w:rPr>
        <w:t>Navegacion</w:t>
      </w:r>
      <w:r>
        <w:rPr>
          <w:rFonts w:ascii="Arial"/>
          <w:i/>
          <w:spacing w:val="40"/>
          <w:sz w:val="20"/>
        </w:rPr>
        <w:t> </w:t>
      </w:r>
      <w:r>
        <w:rPr>
          <w:rFonts w:ascii="Arial"/>
          <w:i/>
          <w:sz w:val="20"/>
        </w:rPr>
        <w:t>SA</w:t>
      </w:r>
      <w:r>
        <w:rPr>
          <w:rFonts w:ascii="Arial"/>
          <w:i/>
          <w:spacing w:val="40"/>
          <w:sz w:val="20"/>
        </w:rPr>
        <w:t> </w:t>
      </w:r>
      <w:r>
        <w:rPr>
          <w:rFonts w:ascii="Arial"/>
          <w:i/>
          <w:sz w:val="20"/>
        </w:rPr>
        <w:t>[1985]</w:t>
      </w:r>
      <w:r>
        <w:rPr>
          <w:rFonts w:ascii="Arial"/>
          <w:i/>
          <w:spacing w:val="40"/>
          <w:sz w:val="20"/>
        </w:rPr>
        <w:t> </w:t>
      </w:r>
      <w:r>
        <w:rPr>
          <w:rFonts w:ascii="Arial"/>
          <w:i/>
          <w:sz w:val="20"/>
        </w:rPr>
        <w:t>A.C.</w:t>
      </w:r>
      <w:r>
        <w:rPr>
          <w:rFonts w:ascii="Arial"/>
          <w:i/>
          <w:spacing w:val="40"/>
          <w:sz w:val="20"/>
        </w:rPr>
        <w:t> </w:t>
      </w:r>
      <w:r>
        <w:rPr>
          <w:rFonts w:ascii="Arial"/>
          <w:i/>
          <w:sz w:val="20"/>
        </w:rPr>
        <w:t>104</w:t>
      </w:r>
      <w:r>
        <w:rPr>
          <w:rFonts w:ascii="Arial"/>
          <w:i/>
          <w:spacing w:val="40"/>
          <w:sz w:val="20"/>
        </w:rPr>
        <w:t> </w:t>
      </w:r>
      <w:r>
        <w:rPr>
          <w:sz w:val="20"/>
        </w:rPr>
        <w:t>(below,</w:t>
      </w:r>
      <w:r>
        <w:rPr>
          <w:spacing w:val="40"/>
          <w:sz w:val="20"/>
        </w:rPr>
        <w:t> </w:t>
      </w:r>
      <w:r>
        <w:rPr>
          <w:sz w:val="20"/>
        </w:rPr>
        <w:t>para. 26-227).</w:t>
      </w:r>
      <w:r>
        <w:rPr>
          <w:spacing w:val="14"/>
          <w:sz w:val="20"/>
        </w:rPr>
        <w:t> </w:t>
      </w:r>
      <w:r>
        <w:rPr>
          <w:sz w:val="20"/>
        </w:rPr>
        <w:t>The</w:t>
      </w:r>
      <w:r>
        <w:rPr>
          <w:spacing w:val="14"/>
          <w:sz w:val="20"/>
        </w:rPr>
        <w:t> </w:t>
      </w:r>
      <w:r>
        <w:rPr>
          <w:sz w:val="20"/>
        </w:rPr>
        <w:t>High</w:t>
      </w:r>
      <w:r>
        <w:rPr>
          <w:spacing w:val="14"/>
          <w:sz w:val="20"/>
        </w:rPr>
        <w:t> </w:t>
      </w:r>
      <w:r>
        <w:rPr>
          <w:sz w:val="20"/>
        </w:rPr>
        <w:t>Court</w:t>
      </w:r>
      <w:r>
        <w:rPr>
          <w:spacing w:val="14"/>
          <w:sz w:val="20"/>
        </w:rPr>
        <w:t> </w:t>
      </w:r>
      <w:r>
        <w:rPr>
          <w:sz w:val="20"/>
        </w:rPr>
        <w:t>of</w:t>
      </w:r>
      <w:r>
        <w:rPr>
          <w:spacing w:val="14"/>
          <w:sz w:val="20"/>
        </w:rPr>
        <w:t> </w:t>
      </w:r>
      <w:r>
        <w:rPr>
          <w:sz w:val="20"/>
        </w:rPr>
        <w:t>Australia</w:t>
      </w:r>
      <w:r>
        <w:rPr>
          <w:spacing w:val="14"/>
          <w:sz w:val="20"/>
        </w:rPr>
        <w:t> </w:t>
      </w:r>
      <w:r>
        <w:rPr>
          <w:sz w:val="20"/>
        </w:rPr>
        <w:t>did</w:t>
      </w:r>
      <w:r>
        <w:rPr>
          <w:spacing w:val="14"/>
          <w:sz w:val="20"/>
        </w:rPr>
        <w:t> </w:t>
      </w:r>
      <w:r>
        <w:rPr>
          <w:sz w:val="20"/>
        </w:rPr>
        <w:t>not</w:t>
      </w:r>
      <w:r>
        <w:rPr>
          <w:spacing w:val="14"/>
          <w:sz w:val="20"/>
        </w:rPr>
        <w:t> </w:t>
      </w:r>
      <w:r>
        <w:rPr>
          <w:sz w:val="20"/>
        </w:rPr>
        <w:t>follow</w:t>
      </w:r>
      <w:r>
        <w:rPr>
          <w:spacing w:val="14"/>
          <w:sz w:val="20"/>
        </w:rPr>
        <w:t> </w:t>
      </w:r>
      <w:r>
        <w:rPr>
          <w:sz w:val="20"/>
        </w:rPr>
        <w:t>this</w:t>
      </w:r>
      <w:r>
        <w:rPr>
          <w:spacing w:val="14"/>
          <w:sz w:val="20"/>
        </w:rPr>
        <w:t> </w:t>
      </w:r>
      <w:r>
        <w:rPr>
          <w:sz w:val="20"/>
        </w:rPr>
        <w:t>rule:</w:t>
      </w:r>
      <w:r>
        <w:rPr>
          <w:spacing w:val="13"/>
          <w:sz w:val="20"/>
        </w:rPr>
        <w:t> </w:t>
      </w:r>
      <w:r>
        <w:rPr>
          <w:rFonts w:ascii="Arial"/>
          <w:i/>
          <w:sz w:val="20"/>
        </w:rPr>
        <w:t>Hungerfords</w:t>
      </w:r>
      <w:r>
        <w:rPr>
          <w:rFonts w:ascii="Arial"/>
          <w:i/>
          <w:spacing w:val="14"/>
          <w:sz w:val="20"/>
        </w:rPr>
        <w:t> </w:t>
      </w:r>
      <w:r>
        <w:rPr>
          <w:rFonts w:ascii="Arial"/>
          <w:i/>
          <w:sz w:val="20"/>
        </w:rPr>
        <w:t>v</w:t>
      </w:r>
      <w:r>
        <w:rPr>
          <w:rFonts w:ascii="Arial"/>
          <w:i/>
          <w:spacing w:val="14"/>
          <w:sz w:val="20"/>
        </w:rPr>
        <w:t> </w:t>
      </w:r>
      <w:r>
        <w:rPr>
          <w:rFonts w:ascii="Arial"/>
          <w:i/>
          <w:sz w:val="20"/>
        </w:rPr>
        <w:t>Walker</w:t>
      </w:r>
      <w:r>
        <w:rPr>
          <w:rFonts w:ascii="Arial"/>
          <w:i/>
          <w:spacing w:val="14"/>
          <w:sz w:val="20"/>
        </w:rPr>
        <w:t> </w:t>
      </w:r>
      <w:r>
        <w:rPr>
          <w:rFonts w:ascii="Arial"/>
          <w:i/>
          <w:sz w:val="20"/>
        </w:rPr>
        <w:t>(1989)</w:t>
      </w:r>
      <w:r>
        <w:rPr>
          <w:rFonts w:ascii="Arial"/>
          <w:i/>
          <w:spacing w:val="14"/>
          <w:sz w:val="20"/>
        </w:rPr>
        <w:t> </w:t>
      </w:r>
      <w:r>
        <w:rPr>
          <w:rFonts w:ascii="Arial"/>
          <w:i/>
          <w:spacing w:val="-5"/>
          <w:sz w:val="20"/>
        </w:rPr>
        <w:t>171</w:t>
      </w:r>
    </w:p>
    <w:p>
      <w:pPr>
        <w:spacing w:line="225" w:lineRule="exact" w:before="0"/>
        <w:ind w:left="705" w:right="0" w:firstLine="0"/>
        <w:jc w:val="left"/>
        <w:rPr>
          <w:sz w:val="20"/>
        </w:rPr>
      </w:pPr>
      <w:r>
        <w:rPr>
          <w:rFonts w:ascii="Arial"/>
          <w:i/>
          <w:sz w:val="20"/>
        </w:rPr>
        <w:t>C.L.R.</w:t>
      </w:r>
      <w:r>
        <w:rPr>
          <w:rFonts w:ascii="Arial"/>
          <w:i/>
          <w:spacing w:val="-2"/>
          <w:sz w:val="20"/>
        </w:rPr>
        <w:t> </w:t>
      </w:r>
      <w:r>
        <w:rPr>
          <w:rFonts w:ascii="Arial"/>
          <w:i/>
          <w:spacing w:val="-4"/>
          <w:sz w:val="20"/>
        </w:rPr>
        <w:t>125</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804" w:id="1806"/>
      <w:bookmarkEnd w:id="1806"/>
      <w:r>
        <w:rPr/>
      </w:r>
      <w:hyperlink w:history="true" w:anchor="_bookmark1787">
        <w:r>
          <w:rPr>
            <w:color w:val="005DA1"/>
            <w:spacing w:val="-4"/>
            <w:position w:val="5"/>
            <w:sz w:val="14"/>
            <w:u w:val="single" w:color="005DA1"/>
          </w:rPr>
          <w:t>951</w:t>
        </w:r>
      </w:hyperlink>
      <w:r>
        <w:rPr>
          <w:spacing w:val="-4"/>
          <w:position w:val="5"/>
          <w:sz w:val="14"/>
        </w:rPr>
        <w:t>.</w:t>
      </w:r>
      <w:r>
        <w:rPr>
          <w:position w:val="5"/>
          <w:sz w:val="14"/>
        </w:rPr>
        <w:tab/>
      </w:r>
      <w:r>
        <w:rPr>
          <w:rFonts w:ascii="Arial"/>
          <w:i/>
          <w:sz w:val="20"/>
        </w:rPr>
        <w:t>Wadsworth</w:t>
      </w:r>
      <w:r>
        <w:rPr>
          <w:rFonts w:ascii="Arial"/>
          <w:i/>
          <w:spacing w:val="59"/>
          <w:sz w:val="20"/>
        </w:rPr>
        <w:t> </w:t>
      </w:r>
      <w:r>
        <w:rPr>
          <w:rFonts w:ascii="Arial"/>
          <w:i/>
          <w:sz w:val="20"/>
        </w:rPr>
        <w:t>v</w:t>
      </w:r>
      <w:r>
        <w:rPr>
          <w:rFonts w:ascii="Arial"/>
          <w:i/>
          <w:spacing w:val="59"/>
          <w:sz w:val="20"/>
        </w:rPr>
        <w:t> </w:t>
      </w:r>
      <w:r>
        <w:rPr>
          <w:rFonts w:ascii="Arial"/>
          <w:i/>
          <w:sz w:val="20"/>
        </w:rPr>
        <w:t>Lydall</w:t>
      </w:r>
      <w:r>
        <w:rPr>
          <w:rFonts w:ascii="Arial"/>
          <w:i/>
          <w:spacing w:val="59"/>
          <w:sz w:val="20"/>
        </w:rPr>
        <w:t> </w:t>
      </w:r>
      <w:r>
        <w:rPr>
          <w:rFonts w:ascii="Arial"/>
          <w:i/>
          <w:sz w:val="20"/>
        </w:rPr>
        <w:t>[1981]</w:t>
      </w:r>
      <w:r>
        <w:rPr>
          <w:rFonts w:ascii="Arial"/>
          <w:i/>
          <w:spacing w:val="59"/>
          <w:sz w:val="20"/>
        </w:rPr>
        <w:t> </w:t>
      </w:r>
      <w:r>
        <w:rPr>
          <w:rFonts w:ascii="Arial"/>
          <w:i/>
          <w:sz w:val="20"/>
        </w:rPr>
        <w:t>1</w:t>
      </w:r>
      <w:r>
        <w:rPr>
          <w:rFonts w:ascii="Arial"/>
          <w:i/>
          <w:spacing w:val="59"/>
          <w:sz w:val="20"/>
        </w:rPr>
        <w:t> </w:t>
      </w:r>
      <w:r>
        <w:rPr>
          <w:rFonts w:ascii="Arial"/>
          <w:i/>
          <w:sz w:val="20"/>
        </w:rPr>
        <w:t>W.L.R.</w:t>
      </w:r>
      <w:r>
        <w:rPr>
          <w:rFonts w:ascii="Arial"/>
          <w:i/>
          <w:spacing w:val="59"/>
          <w:sz w:val="20"/>
        </w:rPr>
        <w:t> </w:t>
      </w:r>
      <w:r>
        <w:rPr>
          <w:rFonts w:ascii="Arial"/>
          <w:i/>
          <w:sz w:val="20"/>
        </w:rPr>
        <w:t>598</w:t>
      </w:r>
      <w:r>
        <w:rPr>
          <w:sz w:val="20"/>
        </w:rPr>
        <w:t>.</w:t>
      </w:r>
      <w:r>
        <w:rPr>
          <w:spacing w:val="59"/>
          <w:sz w:val="20"/>
        </w:rPr>
        <w:t> </w:t>
      </w:r>
      <w:r>
        <w:rPr>
          <w:sz w:val="20"/>
        </w:rPr>
        <w:t>See</w:t>
      </w:r>
      <w:r>
        <w:rPr>
          <w:spacing w:val="59"/>
          <w:sz w:val="20"/>
        </w:rPr>
        <w:t> </w:t>
      </w:r>
      <w:r>
        <w:rPr>
          <w:sz w:val="20"/>
        </w:rPr>
        <w:t>the</w:t>
      </w:r>
      <w:r>
        <w:rPr>
          <w:spacing w:val="59"/>
          <w:sz w:val="20"/>
        </w:rPr>
        <w:t> </w:t>
      </w:r>
      <w:r>
        <w:rPr>
          <w:sz w:val="20"/>
        </w:rPr>
        <w:t>fuller</w:t>
      </w:r>
      <w:r>
        <w:rPr>
          <w:spacing w:val="59"/>
          <w:sz w:val="20"/>
        </w:rPr>
        <w:t> </w:t>
      </w:r>
      <w:r>
        <w:rPr>
          <w:sz w:val="20"/>
        </w:rPr>
        <w:t>discussion</w:t>
      </w:r>
      <w:r>
        <w:rPr>
          <w:spacing w:val="59"/>
          <w:sz w:val="20"/>
        </w:rPr>
        <w:t> </w:t>
      </w:r>
      <w:r>
        <w:rPr>
          <w:sz w:val="20"/>
        </w:rPr>
        <w:t>of</w:t>
      </w:r>
      <w:r>
        <w:rPr>
          <w:spacing w:val="59"/>
          <w:sz w:val="20"/>
        </w:rPr>
        <w:t> </w:t>
      </w:r>
      <w:r>
        <w:rPr>
          <w:sz w:val="20"/>
        </w:rPr>
        <w:t>this</w:t>
      </w:r>
      <w:r>
        <w:rPr>
          <w:spacing w:val="59"/>
          <w:sz w:val="20"/>
        </w:rPr>
        <w:t> </w:t>
      </w:r>
      <w:r>
        <w:rPr>
          <w:sz w:val="20"/>
        </w:rPr>
        <w:t>case,</w:t>
      </w:r>
      <w:r>
        <w:rPr>
          <w:spacing w:val="59"/>
          <w:sz w:val="20"/>
        </w:rPr>
        <w:t> </w:t>
      </w:r>
      <w:r>
        <w:rPr>
          <w:sz w:val="20"/>
        </w:rPr>
        <w:t>below, </w:t>
      </w:r>
      <w:r>
        <w:rPr>
          <w:spacing w:val="-2"/>
          <w:sz w:val="20"/>
        </w:rPr>
        <w:t>para.26-229.</w:t>
      </w:r>
    </w:p>
    <w:p>
      <w:pPr>
        <w:pStyle w:val="BodyText"/>
        <w:spacing w:before="5"/>
      </w:pPr>
    </w:p>
    <w:p>
      <w:pPr>
        <w:tabs>
          <w:tab w:pos="705" w:val="left" w:leader="none"/>
        </w:tabs>
        <w:spacing w:before="0"/>
        <w:ind w:left="165" w:right="0" w:firstLine="0"/>
        <w:jc w:val="left"/>
        <w:rPr>
          <w:sz w:val="20"/>
        </w:rPr>
      </w:pPr>
      <w:bookmarkStart w:name="_bookmark1805" w:id="1807"/>
      <w:bookmarkEnd w:id="1807"/>
      <w:r>
        <w:rPr/>
      </w:r>
      <w:hyperlink w:history="true" w:anchor="_bookmark1788">
        <w:r>
          <w:rPr>
            <w:color w:val="005DA1"/>
            <w:spacing w:val="-4"/>
            <w:position w:val="5"/>
            <w:sz w:val="14"/>
            <w:u w:val="single" w:color="005DA1"/>
          </w:rPr>
          <w:t>952</w:t>
        </w:r>
      </w:hyperlink>
      <w:r>
        <w:rPr>
          <w:spacing w:val="-4"/>
          <w:position w:val="5"/>
          <w:sz w:val="14"/>
        </w:rPr>
        <w:t>.</w:t>
      </w:r>
      <w:r>
        <w:rPr>
          <w:position w:val="5"/>
          <w:sz w:val="14"/>
        </w:rPr>
        <w:tab/>
      </w:r>
      <w:r>
        <w:rPr>
          <w:rFonts w:ascii="Arial" w:hAnsi="Arial"/>
          <w:i/>
          <w:sz w:val="20"/>
        </w:rPr>
        <w:t>(1854)</w:t>
      </w:r>
      <w:r>
        <w:rPr>
          <w:rFonts w:ascii="Arial" w:hAnsi="Arial"/>
          <w:i/>
          <w:spacing w:val="-3"/>
          <w:sz w:val="20"/>
        </w:rPr>
        <w:t> </w:t>
      </w:r>
      <w:r>
        <w:rPr>
          <w:rFonts w:ascii="Arial" w:hAnsi="Arial"/>
          <w:i/>
          <w:sz w:val="20"/>
        </w:rPr>
        <w:t>9 Ex. 341</w:t>
      </w:r>
      <w:r>
        <w:rPr>
          <w:sz w:val="20"/>
        </w:rPr>
        <w:t>; The </w:t>
      </w:r>
      <w:r>
        <w:rPr>
          <w:rFonts w:ascii="Arial" w:hAnsi="Arial"/>
          <w:i/>
          <w:sz w:val="20"/>
        </w:rPr>
        <w:t>President of India case [1985] A.C. 104, </w:t>
      </w:r>
      <w:r>
        <w:rPr>
          <w:rFonts w:ascii="Arial" w:hAnsi="Arial"/>
          <w:i/>
          <w:spacing w:val="-2"/>
          <w:sz w:val="20"/>
        </w:rPr>
        <w:t>125–127</w:t>
      </w:r>
      <w:r>
        <w:rPr>
          <w:spacing w:val="-2"/>
          <w:sz w:val="20"/>
        </w:rPr>
        <w:t>.</w:t>
      </w:r>
    </w:p>
    <w:p>
      <w:pPr>
        <w:pStyle w:val="BodyText"/>
        <w:spacing w:before="9"/>
      </w:pPr>
    </w:p>
    <w:p>
      <w:pPr>
        <w:spacing w:line="235" w:lineRule="auto" w:before="0"/>
        <w:ind w:left="705" w:right="168" w:hanging="541"/>
        <w:jc w:val="both"/>
        <w:rPr>
          <w:sz w:val="20"/>
        </w:rPr>
      </w:pPr>
      <w:bookmarkStart w:name="_bookmark1806" w:id="1808"/>
      <w:bookmarkEnd w:id="1808"/>
      <w:r>
        <w:rPr/>
      </w:r>
      <w:hyperlink w:history="true" w:anchor="_bookmark1789">
        <w:r>
          <w:rPr>
            <w:color w:val="005DA1"/>
            <w:position w:val="5"/>
            <w:sz w:val="14"/>
            <w:u w:val="single" w:color="005DA1"/>
          </w:rPr>
          <w:t>953</w:t>
        </w:r>
      </w:hyperlink>
      <w:r>
        <w:rPr>
          <w:position w:val="5"/>
          <w:sz w:val="14"/>
        </w:rPr>
        <w:t>.</w:t>
      </w:r>
      <w:r>
        <w:rPr>
          <w:spacing w:val="40"/>
          <w:position w:val="5"/>
          <w:sz w:val="14"/>
        </w:rPr>
        <w:t>  </w:t>
      </w:r>
      <w:r>
        <w:rPr>
          <w:sz w:val="20"/>
        </w:rPr>
        <w:t>A currency loss arising from late payment has been held to fall within this principle:</w:t>
      </w:r>
      <w:r>
        <w:rPr>
          <w:spacing w:val="-1"/>
          <w:sz w:val="20"/>
        </w:rPr>
        <w:t> </w:t>
      </w:r>
      <w:r>
        <w:rPr>
          <w:rFonts w:ascii="Arial" w:hAnsi="Arial"/>
          <w:i/>
          <w:sz w:val="20"/>
        </w:rPr>
        <w:t>President </w:t>
      </w:r>
      <w:r>
        <w:rPr>
          <w:rFonts w:ascii="Arial" w:hAnsi="Arial"/>
          <w:i/>
          <w:sz w:val="20"/>
        </w:rPr>
        <w:t>of India v Lips Maritime Corp [1988] A.C. 395, 410–412</w:t>
      </w:r>
      <w:r>
        <w:rPr>
          <w:sz w:val="20"/>
        </w:rPr>
        <w:t>, following </w:t>
      </w:r>
      <w:r>
        <w:rPr>
          <w:rFonts w:ascii="Arial" w:hAnsi="Arial"/>
          <w:i/>
          <w:sz w:val="20"/>
        </w:rPr>
        <w:t>International Minerals and Chemical Corp v Karl O. Helm A.G. [1986] 1 Lloyd’s Rep. 81</w:t>
      </w:r>
      <w:r>
        <w:rPr>
          <w:sz w:val="20"/>
        </w:rPr>
        <w:t>. See also below, paras 30-371 et </w:t>
      </w:r>
      <w:r>
        <w:rPr>
          <w:spacing w:val="-4"/>
          <w:sz w:val="20"/>
        </w:rPr>
        <w:t>seq.</w:t>
      </w:r>
    </w:p>
    <w:p>
      <w:pPr>
        <w:pStyle w:val="BodyText"/>
        <w:spacing w:before="8"/>
      </w:pPr>
    </w:p>
    <w:p>
      <w:pPr>
        <w:spacing w:line="235" w:lineRule="auto" w:before="0"/>
        <w:ind w:left="705" w:right="167" w:hanging="541"/>
        <w:jc w:val="both"/>
        <w:rPr>
          <w:sz w:val="20"/>
        </w:rPr>
      </w:pPr>
      <w:bookmarkStart w:name="_bookmark1807" w:id="1809"/>
      <w:bookmarkEnd w:id="1809"/>
      <w:r>
        <w:rPr/>
      </w:r>
      <w:hyperlink w:history="true" w:anchor="_bookmark1790">
        <w:r>
          <w:rPr>
            <w:color w:val="005DA1"/>
            <w:position w:val="5"/>
            <w:sz w:val="14"/>
            <w:u w:val="single" w:color="005DA1"/>
          </w:rPr>
          <w:t>954</w:t>
        </w:r>
      </w:hyperlink>
      <w:r>
        <w:rPr>
          <w:position w:val="5"/>
          <w:sz w:val="14"/>
        </w:rPr>
        <w:t>.</w:t>
      </w:r>
      <w:r>
        <w:rPr>
          <w:spacing w:val="80"/>
          <w:position w:val="5"/>
          <w:sz w:val="14"/>
        </w:rPr>
        <w:t>  </w:t>
      </w:r>
      <w:r>
        <w:rPr>
          <w:sz w:val="20"/>
        </w:rPr>
        <w:t>For other cases on recovery of interest, or interest charges paid, see below, paras 26-227 et seq. If the defendant’s failure to pay on time entitles the claimant to terminate the contract, </w:t>
      </w:r>
      <w:r>
        <w:rPr>
          <w:sz w:val="20"/>
        </w:rPr>
        <w:t>he may be entitled to recover general damages for the loss he suffers: </w:t>
      </w:r>
      <w:r>
        <w:rPr>
          <w:rFonts w:ascii="Arial" w:hAnsi="Arial"/>
          <w:i/>
          <w:sz w:val="20"/>
        </w:rPr>
        <w:t>Yeoman Credit Ltd v Waragowski [1961] 1 W.L.R. 1124</w:t>
      </w:r>
      <w:r>
        <w:rPr>
          <w:sz w:val="20"/>
        </w:rPr>
        <w:t>; </w:t>
      </w:r>
      <w:r>
        <w:rPr>
          <w:rFonts w:ascii="Arial" w:hAnsi="Arial"/>
          <w:i/>
          <w:sz w:val="20"/>
        </w:rPr>
        <w:t>Lombard North Central Plc v Butterworth [1987] Q.B. 527</w:t>
      </w:r>
      <w:r>
        <w:rPr>
          <w:sz w:val="20"/>
        </w:rPr>
        <w:t>.</w:t>
      </w:r>
    </w:p>
    <w:p>
      <w:pPr>
        <w:pStyle w:val="BodyText"/>
        <w:spacing w:before="9"/>
      </w:pPr>
    </w:p>
    <w:p>
      <w:pPr>
        <w:spacing w:line="235" w:lineRule="auto" w:before="0"/>
        <w:ind w:left="705" w:right="168" w:hanging="541"/>
        <w:jc w:val="both"/>
        <w:rPr>
          <w:sz w:val="20"/>
        </w:rPr>
      </w:pPr>
      <w:bookmarkStart w:name="_bookmark1808" w:id="1810"/>
      <w:bookmarkEnd w:id="1810"/>
      <w:r>
        <w:rPr/>
      </w:r>
      <w:hyperlink w:history="true" w:anchor="_bookmark1791">
        <w:r>
          <w:rPr>
            <w:color w:val="005DA1"/>
            <w:position w:val="5"/>
            <w:sz w:val="14"/>
            <w:u w:val="single" w:color="005DA1"/>
          </w:rPr>
          <w:t>955</w:t>
        </w:r>
      </w:hyperlink>
      <w:r>
        <w:rPr>
          <w:position w:val="5"/>
          <w:sz w:val="14"/>
        </w:rPr>
        <w:t>.</w:t>
      </w:r>
      <w:r>
        <w:rPr>
          <w:spacing w:val="80"/>
          <w:position w:val="5"/>
          <w:sz w:val="14"/>
        </w:rPr>
        <w:t>  </w:t>
      </w:r>
      <w:r>
        <w:rPr>
          <w:rFonts w:ascii="Arial"/>
          <w:i/>
          <w:sz w:val="20"/>
        </w:rPr>
        <w:t>Rolin v Steward (1854) 14 C.B. 595</w:t>
      </w:r>
      <w:r>
        <w:rPr>
          <w:sz w:val="20"/>
        </w:rPr>
        <w:t>; </w:t>
      </w:r>
      <w:r>
        <w:rPr>
          <w:rFonts w:ascii="Arial"/>
          <w:i/>
          <w:sz w:val="20"/>
        </w:rPr>
        <w:t>Wilson v United Counties Bank [1920] A.C. 102</w:t>
      </w:r>
      <w:r>
        <w:rPr>
          <w:sz w:val="20"/>
        </w:rPr>
        <w:t>; cf. </w:t>
      </w:r>
      <w:r>
        <w:rPr>
          <w:rFonts w:ascii="Arial"/>
          <w:i/>
          <w:sz w:val="20"/>
        </w:rPr>
        <w:t>Larios</w:t>
      </w:r>
      <w:r>
        <w:rPr>
          <w:rFonts w:ascii="Arial"/>
          <w:i/>
          <w:spacing w:val="40"/>
          <w:sz w:val="20"/>
        </w:rPr>
        <w:t> </w:t>
      </w:r>
      <w:r>
        <w:rPr>
          <w:rFonts w:ascii="Arial"/>
          <w:i/>
          <w:sz w:val="20"/>
        </w:rPr>
        <w:t>v Bonany y Gurety (1873) L.R. 5 P.C. 346</w:t>
      </w:r>
      <w:r>
        <w:rPr>
          <w:sz w:val="20"/>
        </w:rPr>
        <w:t>; </w:t>
      </w:r>
      <w:r>
        <w:rPr>
          <w:rFonts w:ascii="Arial"/>
          <w:i/>
          <w:sz w:val="20"/>
        </w:rPr>
        <w:t>Prehn v Royal Bank of Liverpool (1870) L.R. 5 </w:t>
      </w:r>
      <w:r>
        <w:rPr>
          <w:rFonts w:ascii="Arial"/>
          <w:i/>
          <w:sz w:val="20"/>
        </w:rPr>
        <w:t>Ex. </w:t>
      </w:r>
      <w:r>
        <w:rPr>
          <w:rFonts w:ascii="Arial"/>
          <w:i/>
          <w:spacing w:val="-4"/>
          <w:sz w:val="20"/>
        </w:rPr>
        <w:t>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09" w:id="1811"/>
      <w:bookmarkEnd w:id="1811"/>
      <w:r>
        <w:rPr/>
      </w:r>
      <w:hyperlink w:history="true" w:anchor="_bookmark1792">
        <w:r>
          <w:rPr>
            <w:color w:val="005DA1"/>
            <w:spacing w:val="-4"/>
            <w:position w:val="5"/>
            <w:sz w:val="14"/>
            <w:u w:val="single" w:color="005DA1"/>
          </w:rPr>
          <w:t>956</w:t>
        </w:r>
      </w:hyperlink>
      <w:r>
        <w:rPr>
          <w:spacing w:val="-4"/>
          <w:position w:val="5"/>
          <w:sz w:val="14"/>
        </w:rPr>
        <w:t>.</w:t>
      </w:r>
      <w:r>
        <w:rPr>
          <w:position w:val="5"/>
          <w:sz w:val="14"/>
        </w:rPr>
        <w:tab/>
      </w:r>
      <w:r>
        <w:rPr>
          <w:rFonts w:ascii="Arial"/>
          <w:i/>
          <w:sz w:val="20"/>
        </w:rPr>
        <w:t>[2007] UKHL 34, [2008] 1 A.C. </w:t>
      </w:r>
      <w:r>
        <w:rPr>
          <w:rFonts w:ascii="Arial"/>
          <w:i/>
          <w:spacing w:val="-4"/>
          <w:sz w:val="20"/>
        </w:rPr>
        <w:t>561</w:t>
      </w:r>
      <w:r>
        <w:rPr>
          <w:spacing w:val="-4"/>
          <w:sz w:val="20"/>
        </w:rPr>
        <w:t>.</w:t>
      </w:r>
    </w:p>
    <w:p>
      <w:pPr>
        <w:pStyle w:val="BodyText"/>
        <w:spacing w:before="5"/>
      </w:pPr>
    </w:p>
    <w:p>
      <w:pPr>
        <w:pStyle w:val="BodyText"/>
        <w:tabs>
          <w:tab w:pos="705" w:val="left" w:leader="none"/>
        </w:tabs>
        <w:ind w:left="165"/>
      </w:pPr>
      <w:bookmarkStart w:name="_bookmark1810" w:id="1812"/>
      <w:bookmarkEnd w:id="1812"/>
      <w:r>
        <w:rPr/>
      </w:r>
      <w:hyperlink w:history="true" w:anchor="_bookmark1793">
        <w:r>
          <w:rPr>
            <w:color w:val="005DA1"/>
            <w:spacing w:val="-4"/>
            <w:position w:val="5"/>
            <w:sz w:val="14"/>
            <w:u w:val="single" w:color="005DA1"/>
          </w:rPr>
          <w:t>957</w:t>
        </w:r>
      </w:hyperlink>
      <w:r>
        <w:rPr>
          <w:spacing w:val="-4"/>
          <w:position w:val="5"/>
          <w:sz w:val="14"/>
        </w:rPr>
        <w:t>.</w:t>
      </w:r>
      <w:r>
        <w:rPr>
          <w:position w:val="5"/>
          <w:sz w:val="14"/>
        </w:rPr>
        <w:tab/>
      </w:r>
      <w:r>
        <w:rPr/>
        <w:t>See</w:t>
      </w:r>
      <w:r>
        <w:rPr>
          <w:spacing w:val="-2"/>
        </w:rPr>
        <w:t> </w:t>
      </w:r>
      <w:r>
        <w:rPr/>
        <w:t>below, para.26-</w:t>
      </w:r>
      <w:r>
        <w:rPr>
          <w:spacing w:val="-4"/>
        </w:rPr>
        <w:t>230.</w:t>
      </w:r>
    </w:p>
    <w:p>
      <w:pPr>
        <w:pStyle w:val="BodyText"/>
        <w:spacing w:before="5"/>
      </w:pPr>
    </w:p>
    <w:p>
      <w:pPr>
        <w:pStyle w:val="BodyText"/>
        <w:tabs>
          <w:tab w:pos="705" w:val="left" w:leader="none"/>
        </w:tabs>
        <w:ind w:left="165"/>
      </w:pPr>
      <w:bookmarkStart w:name="_bookmark1811" w:id="1813"/>
      <w:bookmarkEnd w:id="1813"/>
      <w:r>
        <w:rPr/>
      </w:r>
      <w:hyperlink w:history="true" w:anchor="_bookmark1794">
        <w:r>
          <w:rPr>
            <w:color w:val="005DA1"/>
            <w:spacing w:val="-4"/>
            <w:position w:val="5"/>
            <w:sz w:val="14"/>
            <w:u w:val="single" w:color="005DA1"/>
          </w:rPr>
          <w:t>958</w:t>
        </w:r>
      </w:hyperlink>
      <w:r>
        <w:rPr>
          <w:spacing w:val="-4"/>
          <w:position w:val="5"/>
          <w:sz w:val="14"/>
        </w:rPr>
        <w:t>.</w:t>
      </w:r>
      <w:r>
        <w:rPr>
          <w:position w:val="5"/>
          <w:sz w:val="14"/>
        </w:rPr>
        <w:tab/>
      </w:r>
      <w:r>
        <w:rPr/>
        <w:t>See below, paras 26-232—26-</w:t>
      </w:r>
      <w:r>
        <w:rPr>
          <w:spacing w:val="-4"/>
        </w:rPr>
        <w:t>235.</w:t>
      </w:r>
    </w:p>
    <w:p>
      <w:pPr>
        <w:pStyle w:val="BodyText"/>
        <w:spacing w:before="5"/>
      </w:pPr>
    </w:p>
    <w:p>
      <w:pPr>
        <w:pStyle w:val="BodyText"/>
        <w:tabs>
          <w:tab w:pos="705" w:val="left" w:leader="none"/>
        </w:tabs>
        <w:ind w:left="165"/>
      </w:pPr>
      <w:bookmarkStart w:name="_bookmark1812" w:id="1814"/>
      <w:bookmarkEnd w:id="1814"/>
      <w:r>
        <w:rPr/>
      </w:r>
      <w:hyperlink w:history="true" w:anchor="_bookmark1794">
        <w:r>
          <w:rPr>
            <w:color w:val="005DA1"/>
            <w:spacing w:val="-4"/>
            <w:position w:val="5"/>
            <w:sz w:val="14"/>
            <w:u w:val="single" w:color="005DA1"/>
          </w:rPr>
          <w:t>959</w:t>
        </w:r>
      </w:hyperlink>
      <w:r>
        <w:rPr>
          <w:spacing w:val="-4"/>
          <w:position w:val="5"/>
          <w:sz w:val="14"/>
        </w:rPr>
        <w:t>.</w:t>
      </w:r>
      <w:r>
        <w:rPr>
          <w:position w:val="5"/>
          <w:sz w:val="14"/>
        </w:rPr>
        <w:tab/>
      </w:r>
      <w:r>
        <w:rPr/>
        <w:t>See below, paras 26-236—26-244 and Vol.II, para.39-</w:t>
      </w:r>
      <w:r>
        <w:rPr>
          <w:spacing w:val="-4"/>
        </w:rPr>
        <w:t>295.</w:t>
      </w:r>
    </w:p>
    <w:p>
      <w:pPr>
        <w:pStyle w:val="BodyText"/>
        <w:spacing w:before="5"/>
      </w:pPr>
    </w:p>
    <w:p>
      <w:pPr>
        <w:pStyle w:val="BodyText"/>
        <w:tabs>
          <w:tab w:pos="705" w:val="left" w:leader="none"/>
        </w:tabs>
        <w:ind w:left="165"/>
      </w:pPr>
      <w:bookmarkStart w:name="_bookmark1813" w:id="1815"/>
      <w:bookmarkEnd w:id="1815"/>
      <w:r>
        <w:rPr/>
      </w:r>
      <w:hyperlink w:history="true" w:anchor="_bookmark1795">
        <w:r>
          <w:rPr>
            <w:color w:val="005DA1"/>
            <w:spacing w:val="-4"/>
            <w:position w:val="5"/>
            <w:sz w:val="14"/>
            <w:u w:val="single" w:color="005DA1"/>
          </w:rPr>
          <w:t>960</w:t>
        </w:r>
      </w:hyperlink>
      <w:r>
        <w:rPr>
          <w:spacing w:val="-4"/>
          <w:position w:val="5"/>
          <w:sz w:val="14"/>
        </w:rPr>
        <w:t>.</w:t>
      </w:r>
      <w:r>
        <w:rPr>
          <w:position w:val="5"/>
          <w:sz w:val="14"/>
        </w:rPr>
        <w:tab/>
      </w:r>
      <w:r>
        <w:rPr/>
        <w:t>Bills of Exchange Act 1882 s.57 considered in Vol.II, para.34-</w:t>
      </w:r>
      <w:r>
        <w:rPr>
          <w:spacing w:val="-4"/>
        </w:rPr>
        <w:t>117.</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814" w:id="1816"/>
      <w:bookmarkEnd w:id="1816"/>
      <w:r>
        <w:rPr/>
      </w:r>
      <w:hyperlink w:history="true" w:anchor="_bookmark1796">
        <w:r>
          <w:rPr>
            <w:color w:val="005DA1"/>
            <w:spacing w:val="-4"/>
            <w:position w:val="5"/>
            <w:sz w:val="14"/>
            <w:u w:val="single" w:color="005DA1"/>
          </w:rPr>
          <w:t>961</w:t>
        </w:r>
      </w:hyperlink>
      <w:r>
        <w:rPr>
          <w:spacing w:val="-4"/>
          <w:position w:val="5"/>
          <w:sz w:val="14"/>
        </w:rPr>
        <w:t>.</w:t>
      </w:r>
      <w:r>
        <w:rPr>
          <w:position w:val="5"/>
          <w:sz w:val="14"/>
        </w:rPr>
        <w:tab/>
      </w:r>
      <w:r>
        <w:rPr>
          <w:rFonts w:ascii="Arial"/>
          <w:i/>
          <w:sz w:val="20"/>
        </w:rPr>
        <w:t>South African Territories v Wallington [1898] A.C. 309</w:t>
      </w:r>
      <w:r>
        <w:rPr>
          <w:sz w:val="20"/>
        </w:rPr>
        <w:t>; </w:t>
      </w:r>
      <w:r>
        <w:rPr>
          <w:rFonts w:ascii="Arial"/>
          <w:i/>
          <w:sz w:val="20"/>
        </w:rPr>
        <w:t>Astor Properties Ltd v Tunbridge Wells Equitable</w:t>
      </w:r>
      <w:r>
        <w:rPr>
          <w:rFonts w:ascii="Arial"/>
          <w:i/>
          <w:spacing w:val="15"/>
          <w:sz w:val="20"/>
        </w:rPr>
        <w:t> </w:t>
      </w:r>
      <w:r>
        <w:rPr>
          <w:rFonts w:ascii="Arial"/>
          <w:i/>
          <w:sz w:val="20"/>
        </w:rPr>
        <w:t>Friendly</w:t>
      </w:r>
      <w:r>
        <w:rPr>
          <w:rFonts w:ascii="Arial"/>
          <w:i/>
          <w:spacing w:val="16"/>
          <w:sz w:val="20"/>
        </w:rPr>
        <w:t> </w:t>
      </w:r>
      <w:r>
        <w:rPr>
          <w:rFonts w:ascii="Arial"/>
          <w:i/>
          <w:sz w:val="20"/>
        </w:rPr>
        <w:t>Society</w:t>
      </w:r>
      <w:r>
        <w:rPr>
          <w:rFonts w:ascii="Arial"/>
          <w:i/>
          <w:spacing w:val="16"/>
          <w:sz w:val="20"/>
        </w:rPr>
        <w:t> </w:t>
      </w:r>
      <w:r>
        <w:rPr>
          <w:rFonts w:ascii="Arial"/>
          <w:i/>
          <w:sz w:val="20"/>
        </w:rPr>
        <w:t>[1936]</w:t>
      </w:r>
      <w:r>
        <w:rPr>
          <w:rFonts w:ascii="Arial"/>
          <w:i/>
          <w:spacing w:val="16"/>
          <w:sz w:val="20"/>
        </w:rPr>
        <w:t> </w:t>
      </w:r>
      <w:r>
        <w:rPr>
          <w:rFonts w:ascii="Arial"/>
          <w:i/>
          <w:sz w:val="20"/>
        </w:rPr>
        <w:t>1</w:t>
      </w:r>
      <w:r>
        <w:rPr>
          <w:rFonts w:ascii="Arial"/>
          <w:i/>
          <w:spacing w:val="16"/>
          <w:sz w:val="20"/>
        </w:rPr>
        <w:t> </w:t>
      </w:r>
      <w:r>
        <w:rPr>
          <w:rFonts w:ascii="Arial"/>
          <w:i/>
          <w:sz w:val="20"/>
        </w:rPr>
        <w:t>All</w:t>
      </w:r>
      <w:r>
        <w:rPr>
          <w:rFonts w:ascii="Arial"/>
          <w:i/>
          <w:spacing w:val="16"/>
          <w:sz w:val="20"/>
        </w:rPr>
        <w:t> </w:t>
      </w:r>
      <w:r>
        <w:rPr>
          <w:rFonts w:ascii="Arial"/>
          <w:i/>
          <w:sz w:val="20"/>
        </w:rPr>
        <w:t>E.R.</w:t>
      </w:r>
      <w:r>
        <w:rPr>
          <w:rFonts w:ascii="Arial"/>
          <w:i/>
          <w:spacing w:val="16"/>
          <w:sz w:val="20"/>
        </w:rPr>
        <w:t> </w:t>
      </w:r>
      <w:r>
        <w:rPr>
          <w:rFonts w:ascii="Arial"/>
          <w:i/>
          <w:sz w:val="20"/>
        </w:rPr>
        <w:t>531</w:t>
      </w:r>
      <w:r>
        <w:rPr>
          <w:sz w:val="20"/>
        </w:rPr>
        <w:t>;</w:t>
      </w:r>
      <w:r>
        <w:rPr>
          <w:spacing w:val="16"/>
          <w:sz w:val="20"/>
        </w:rPr>
        <w:t> </w:t>
      </w:r>
      <w:r>
        <w:rPr>
          <w:rFonts w:ascii="Arial"/>
          <w:i/>
          <w:sz w:val="20"/>
        </w:rPr>
        <w:t>Bahamas</w:t>
      </w:r>
      <w:r>
        <w:rPr>
          <w:rFonts w:ascii="Arial"/>
          <w:i/>
          <w:spacing w:val="16"/>
          <w:sz w:val="20"/>
        </w:rPr>
        <w:t> </w:t>
      </w:r>
      <w:r>
        <w:rPr>
          <w:rFonts w:ascii="Arial"/>
          <w:i/>
          <w:sz w:val="20"/>
        </w:rPr>
        <w:t>Sisal</w:t>
      </w:r>
      <w:r>
        <w:rPr>
          <w:rFonts w:ascii="Arial"/>
          <w:i/>
          <w:spacing w:val="16"/>
          <w:sz w:val="20"/>
        </w:rPr>
        <w:t> </w:t>
      </w:r>
      <w:r>
        <w:rPr>
          <w:rFonts w:ascii="Arial"/>
          <w:i/>
          <w:sz w:val="20"/>
        </w:rPr>
        <w:t>Plantation</w:t>
      </w:r>
      <w:r>
        <w:rPr>
          <w:rFonts w:ascii="Arial"/>
          <w:i/>
          <w:spacing w:val="16"/>
          <w:sz w:val="20"/>
        </w:rPr>
        <w:t> </w:t>
      </w:r>
      <w:r>
        <w:rPr>
          <w:rFonts w:ascii="Arial"/>
          <w:i/>
          <w:sz w:val="20"/>
        </w:rPr>
        <w:t>v</w:t>
      </w:r>
      <w:r>
        <w:rPr>
          <w:rFonts w:ascii="Arial"/>
          <w:i/>
          <w:spacing w:val="16"/>
          <w:sz w:val="20"/>
        </w:rPr>
        <w:t> </w:t>
      </w:r>
      <w:r>
        <w:rPr>
          <w:rFonts w:ascii="Arial"/>
          <w:i/>
          <w:sz w:val="20"/>
        </w:rPr>
        <w:t>Griffin</w:t>
      </w:r>
      <w:r>
        <w:rPr>
          <w:rFonts w:ascii="Arial"/>
          <w:i/>
          <w:spacing w:val="16"/>
          <w:sz w:val="20"/>
        </w:rPr>
        <w:t> </w:t>
      </w:r>
      <w:r>
        <w:rPr>
          <w:rFonts w:ascii="Arial"/>
          <w:i/>
          <w:sz w:val="20"/>
        </w:rPr>
        <w:t>(1897)</w:t>
      </w:r>
      <w:r>
        <w:rPr>
          <w:rFonts w:ascii="Arial"/>
          <w:i/>
          <w:spacing w:val="16"/>
          <w:sz w:val="20"/>
        </w:rPr>
        <w:t> </w:t>
      </w:r>
      <w:r>
        <w:rPr>
          <w:rFonts w:ascii="Arial"/>
          <w:i/>
          <w:spacing w:val="-5"/>
          <w:sz w:val="20"/>
        </w:rPr>
        <w:t>14</w:t>
      </w:r>
    </w:p>
    <w:p>
      <w:pPr>
        <w:spacing w:line="225" w:lineRule="exact" w:before="0"/>
        <w:ind w:left="705" w:right="0" w:firstLine="0"/>
        <w:jc w:val="left"/>
        <w:rPr>
          <w:sz w:val="20"/>
        </w:rPr>
      </w:pPr>
      <w:r>
        <w:rPr>
          <w:rFonts w:ascii="Arial"/>
          <w:i/>
          <w:sz w:val="20"/>
        </w:rPr>
        <w:t>T.L.R.</w:t>
      </w:r>
      <w:r>
        <w:rPr>
          <w:rFonts w:ascii="Arial"/>
          <w:i/>
          <w:spacing w:val="-1"/>
          <w:sz w:val="20"/>
        </w:rPr>
        <w:t> </w:t>
      </w:r>
      <w:r>
        <w:rPr>
          <w:rFonts w:ascii="Arial"/>
          <w:i/>
          <w:sz w:val="20"/>
        </w:rPr>
        <w:t>139</w:t>
      </w:r>
      <w:r>
        <w:rPr>
          <w:sz w:val="20"/>
        </w:rPr>
        <w:t>. See Vol.II, para.39-</w:t>
      </w:r>
      <w:r>
        <w:rPr>
          <w:spacing w:val="-4"/>
          <w:sz w:val="20"/>
        </w:rPr>
        <w:t>265.</w:t>
      </w:r>
    </w:p>
    <w:p>
      <w:pPr>
        <w:pStyle w:val="BodyText"/>
        <w:spacing w:before="5"/>
      </w:pPr>
    </w:p>
    <w:p>
      <w:pPr>
        <w:tabs>
          <w:tab w:pos="705" w:val="left" w:leader="none"/>
        </w:tabs>
        <w:spacing w:before="0"/>
        <w:ind w:left="165" w:right="0" w:firstLine="0"/>
        <w:jc w:val="left"/>
        <w:rPr>
          <w:sz w:val="20"/>
        </w:rPr>
      </w:pPr>
      <w:bookmarkStart w:name="_bookmark1815" w:id="1817"/>
      <w:bookmarkEnd w:id="1817"/>
      <w:r>
        <w:rPr/>
      </w:r>
      <w:hyperlink w:history="true" w:anchor="_bookmark1797">
        <w:r>
          <w:rPr>
            <w:color w:val="005DA1"/>
            <w:spacing w:val="-4"/>
            <w:position w:val="5"/>
            <w:sz w:val="14"/>
            <w:u w:val="single" w:color="005DA1"/>
          </w:rPr>
          <w:t>962</w:t>
        </w:r>
      </w:hyperlink>
      <w:r>
        <w:rPr>
          <w:spacing w:val="-4"/>
          <w:position w:val="5"/>
          <w:sz w:val="14"/>
        </w:rPr>
        <w:t>.</w:t>
      </w:r>
      <w:r>
        <w:rPr>
          <w:position w:val="5"/>
          <w:sz w:val="14"/>
        </w:rPr>
        <w:tab/>
      </w:r>
      <w:r>
        <w:rPr>
          <w:rFonts w:ascii="Arial" w:hAnsi="Arial"/>
          <w:i/>
          <w:sz w:val="20"/>
        </w:rPr>
        <w:t>South African Territories v Wallington [1897] 1 Q.B. 692, 696–697; affirmed [1898] A.C. </w:t>
      </w:r>
      <w:r>
        <w:rPr>
          <w:rFonts w:ascii="Arial" w:hAnsi="Arial"/>
          <w:i/>
          <w:spacing w:val="-4"/>
          <w:sz w:val="20"/>
        </w:rPr>
        <w:t>309</w:t>
      </w:r>
      <w:r>
        <w:rPr>
          <w:spacing w:val="-4"/>
          <w:sz w:val="20"/>
        </w:rPr>
        <w:t>.</w:t>
      </w:r>
    </w:p>
    <w:p>
      <w:pPr>
        <w:pStyle w:val="BodyText"/>
        <w:spacing w:before="9"/>
      </w:pPr>
    </w:p>
    <w:p>
      <w:pPr>
        <w:spacing w:line="235" w:lineRule="auto" w:before="0"/>
        <w:ind w:left="705" w:right="168" w:hanging="541"/>
        <w:jc w:val="both"/>
        <w:rPr>
          <w:sz w:val="20"/>
        </w:rPr>
      </w:pPr>
      <w:bookmarkStart w:name="_bookmark1816" w:id="1818"/>
      <w:bookmarkEnd w:id="1818"/>
      <w:r>
        <w:rPr/>
      </w:r>
      <w:hyperlink w:history="true" w:anchor="_bookmark1798">
        <w:r>
          <w:rPr>
            <w:color w:val="005DA1"/>
            <w:position w:val="5"/>
            <w:sz w:val="14"/>
            <w:u w:val="single" w:color="005DA1"/>
          </w:rPr>
          <w:t>963</w:t>
        </w:r>
      </w:hyperlink>
      <w:r>
        <w:rPr>
          <w:position w:val="5"/>
          <w:sz w:val="14"/>
        </w:rPr>
        <w:t>.</w:t>
      </w:r>
      <w:r>
        <w:rPr>
          <w:spacing w:val="80"/>
          <w:position w:val="5"/>
          <w:sz w:val="14"/>
        </w:rPr>
        <w:t>  </w:t>
      </w:r>
      <w:r>
        <w:rPr>
          <w:rFonts w:ascii="Arial"/>
          <w:i/>
          <w:sz w:val="20"/>
        </w:rPr>
        <w:t>Manchester</w:t>
      </w:r>
      <w:r>
        <w:rPr>
          <w:rFonts w:ascii="Arial"/>
          <w:i/>
          <w:spacing w:val="-2"/>
          <w:sz w:val="20"/>
        </w:rPr>
        <w:t> </w:t>
      </w:r>
      <w:r>
        <w:rPr>
          <w:rFonts w:ascii="Arial"/>
          <w:i/>
          <w:sz w:val="20"/>
        </w:rPr>
        <w:t>and</w:t>
      </w:r>
      <w:r>
        <w:rPr>
          <w:rFonts w:ascii="Arial"/>
          <w:i/>
          <w:spacing w:val="-2"/>
          <w:sz w:val="20"/>
        </w:rPr>
        <w:t> </w:t>
      </w:r>
      <w:r>
        <w:rPr>
          <w:rFonts w:ascii="Arial"/>
          <w:i/>
          <w:sz w:val="20"/>
        </w:rPr>
        <w:t>Oldham</w:t>
      </w:r>
      <w:r>
        <w:rPr>
          <w:rFonts w:ascii="Arial"/>
          <w:i/>
          <w:spacing w:val="-2"/>
          <w:sz w:val="20"/>
        </w:rPr>
        <w:t> </w:t>
      </w:r>
      <w:r>
        <w:rPr>
          <w:rFonts w:ascii="Arial"/>
          <w:i/>
          <w:sz w:val="20"/>
        </w:rPr>
        <w:t>Bank</w:t>
      </w:r>
      <w:r>
        <w:rPr>
          <w:rFonts w:ascii="Arial"/>
          <w:i/>
          <w:spacing w:val="-2"/>
          <w:sz w:val="20"/>
        </w:rPr>
        <w:t> </w:t>
      </w:r>
      <w:r>
        <w:rPr>
          <w:rFonts w:ascii="Arial"/>
          <w:i/>
          <w:sz w:val="20"/>
        </w:rPr>
        <w:t>v</w:t>
      </w:r>
      <w:r>
        <w:rPr>
          <w:rFonts w:ascii="Arial"/>
          <w:i/>
          <w:spacing w:val="-2"/>
          <w:sz w:val="20"/>
        </w:rPr>
        <w:t> </w:t>
      </w:r>
      <w:r>
        <w:rPr>
          <w:rFonts w:ascii="Arial"/>
          <w:i/>
          <w:sz w:val="20"/>
        </w:rPr>
        <w:t>Cook</w:t>
      </w:r>
      <w:r>
        <w:rPr>
          <w:rFonts w:ascii="Arial"/>
          <w:i/>
          <w:spacing w:val="-2"/>
          <w:sz w:val="20"/>
        </w:rPr>
        <w:t> </w:t>
      </w:r>
      <w:r>
        <w:rPr>
          <w:rFonts w:ascii="Arial"/>
          <w:i/>
          <w:sz w:val="20"/>
        </w:rPr>
        <w:t>(1884)</w:t>
      </w:r>
      <w:r>
        <w:rPr>
          <w:rFonts w:ascii="Arial"/>
          <w:i/>
          <w:spacing w:val="-2"/>
          <w:sz w:val="20"/>
        </w:rPr>
        <w:t> </w:t>
      </w:r>
      <w:r>
        <w:rPr>
          <w:rFonts w:ascii="Arial"/>
          <w:i/>
          <w:sz w:val="20"/>
        </w:rPr>
        <w:t>49</w:t>
      </w:r>
      <w:r>
        <w:rPr>
          <w:rFonts w:ascii="Arial"/>
          <w:i/>
          <w:spacing w:val="-2"/>
          <w:sz w:val="20"/>
        </w:rPr>
        <w:t> </w:t>
      </w:r>
      <w:r>
        <w:rPr>
          <w:rFonts w:ascii="Arial"/>
          <w:i/>
          <w:sz w:val="20"/>
        </w:rPr>
        <w:t>L.T.</w:t>
      </w:r>
      <w:r>
        <w:rPr>
          <w:rFonts w:ascii="Arial"/>
          <w:i/>
          <w:spacing w:val="-2"/>
          <w:sz w:val="20"/>
        </w:rPr>
        <w:t> </w:t>
      </w:r>
      <w:r>
        <w:rPr>
          <w:rFonts w:ascii="Arial"/>
          <w:i/>
          <w:sz w:val="20"/>
        </w:rPr>
        <w:t>674,</w:t>
      </w:r>
      <w:r>
        <w:rPr>
          <w:rFonts w:ascii="Arial"/>
          <w:i/>
          <w:spacing w:val="-2"/>
          <w:sz w:val="20"/>
        </w:rPr>
        <w:t> </w:t>
      </w:r>
      <w:r>
        <w:rPr>
          <w:rFonts w:ascii="Arial"/>
          <w:i/>
          <w:sz w:val="20"/>
        </w:rPr>
        <w:t>678</w:t>
      </w:r>
      <w:r>
        <w:rPr>
          <w:rFonts w:ascii="Arial"/>
          <w:i/>
          <w:spacing w:val="-2"/>
          <w:sz w:val="20"/>
        </w:rPr>
        <w:t> </w:t>
      </w:r>
      <w:r>
        <w:rPr>
          <w:sz w:val="20"/>
        </w:rPr>
        <w:t>(the</w:t>
      </w:r>
      <w:r>
        <w:rPr>
          <w:spacing w:val="-2"/>
          <w:sz w:val="20"/>
        </w:rPr>
        <w:t> </w:t>
      </w:r>
      <w:r>
        <w:rPr>
          <w:sz w:val="20"/>
        </w:rPr>
        <w:t>lender</w:t>
      </w:r>
      <w:r>
        <w:rPr>
          <w:spacing w:val="-2"/>
          <w:sz w:val="20"/>
        </w:rPr>
        <w:t> </w:t>
      </w:r>
      <w:r>
        <w:rPr>
          <w:sz w:val="20"/>
        </w:rPr>
        <w:t>knew</w:t>
      </w:r>
      <w:r>
        <w:rPr>
          <w:spacing w:val="-2"/>
          <w:sz w:val="20"/>
        </w:rPr>
        <w:t> </w:t>
      </w:r>
      <w:r>
        <w:rPr>
          <w:sz w:val="20"/>
        </w:rPr>
        <w:t>the</w:t>
      </w:r>
      <w:r>
        <w:rPr>
          <w:spacing w:val="-2"/>
          <w:sz w:val="20"/>
        </w:rPr>
        <w:t> </w:t>
      </w:r>
      <w:r>
        <w:rPr>
          <w:sz w:val="20"/>
        </w:rPr>
        <w:t>purpose</w:t>
      </w:r>
      <w:r>
        <w:rPr>
          <w:spacing w:val="-2"/>
          <w:sz w:val="20"/>
        </w:rPr>
        <w:t> </w:t>
      </w:r>
      <w:r>
        <w:rPr>
          <w:sz w:val="20"/>
        </w:rPr>
        <w:t>for which the loan was required). See also </w:t>
      </w:r>
      <w:r>
        <w:rPr>
          <w:rFonts w:ascii="Arial"/>
          <w:i/>
          <w:sz w:val="20"/>
        </w:rPr>
        <w:t>Astor Properties Ltd v Tunbridge Wells </w:t>
      </w:r>
      <w:r>
        <w:rPr>
          <w:rFonts w:ascii="Arial"/>
          <w:i/>
          <w:sz w:val="20"/>
        </w:rPr>
        <w:t>Equitable Friendly Society [1936] 1 All E.R. 531</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bookmarkStart w:name="_bookmark1817" w:id="1819"/>
      <w:bookmarkEnd w:id="1819"/>
      <w:r>
        <w:rPr/>
      </w:r>
      <w:r>
        <w:rPr>
          <w:rFonts w:ascii="Arial"/>
          <w:b/>
          <w:sz w:val="24"/>
        </w:rPr>
        <w:t>Section 9. - Illustrations Of The Assessment Of Damages</w:t>
      </w:r>
      <w:r>
        <w:rPr>
          <w:rFonts w:ascii="Arial"/>
          <w:b/>
          <w:spacing w:val="-1"/>
          <w:sz w:val="24"/>
        </w:rPr>
        <w:t> </w:t>
      </w:r>
      <w:r>
        <w:rPr>
          <w:rFonts w:ascii="Arial"/>
          <w:b/>
          <w:color w:val="005DA1"/>
          <w:spacing w:val="-5"/>
          <w:position w:val="11"/>
          <w:sz w:val="12"/>
          <w:u w:val="single" w:color="005DA1"/>
        </w:rPr>
        <w:t>848</w:t>
      </w:r>
    </w:p>
    <w:p>
      <w:pPr>
        <w:spacing w:before="194"/>
        <w:ind w:left="3585" w:right="0" w:firstLine="0"/>
        <w:jc w:val="left"/>
        <w:rPr>
          <w:rFonts w:ascii="Arial"/>
          <w:b/>
          <w:sz w:val="24"/>
        </w:rPr>
      </w:pPr>
      <w:r>
        <w:rPr>
          <w:rFonts w:ascii="Arial"/>
          <w:b/>
          <w:sz w:val="24"/>
        </w:rPr>
        <w:t>(g) - Sale of </w:t>
      </w:r>
      <w:r>
        <w:rPr>
          <w:rFonts w:ascii="Arial"/>
          <w:b/>
          <w:spacing w:val="-2"/>
          <w:sz w:val="24"/>
        </w:rPr>
        <w:t>Shares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Shares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177</w:t>
      </w:r>
    </w:p>
    <w:p>
      <w:pPr>
        <w:pStyle w:val="BodyText"/>
        <w:spacing w:line="235" w:lineRule="auto" w:before="202"/>
        <w:ind w:left="165" w:right="167"/>
        <w:jc w:val="both"/>
      </w:pPr>
      <w:r>
        <w:rPr/>
        <w:t>In an action for a seller’s failure to transfer shares, the buyer may recover the market price of </w:t>
      </w:r>
      <w:r>
        <w:rPr/>
        <w:t>the </w:t>
      </w:r>
      <w:bookmarkStart w:name="_bookmark1818" w:id="1820"/>
      <w:bookmarkEnd w:id="1820"/>
      <w:r>
        <w:rPr/>
        <w:t>shares</w:t>
      </w:r>
      <w:r>
        <w:rPr/>
        <w:t> on the day fixed for completion, less the contract price, since the principles of law governing damages in the sale of goods </w:t>
      </w:r>
      <w:r>
        <w:rPr>
          <w:color w:val="005DA1"/>
          <w:u w:val="single" w:color="005DA1"/>
          <w:vertAlign w:val="superscript"/>
        </w:rPr>
        <w:t>964</w:t>
      </w:r>
      <w:r>
        <w:rPr>
          <w:color w:val="005DA1"/>
          <w:vertAlign w:val="baseline"/>
        </w:rPr>
        <w:t> </w:t>
      </w:r>
      <w:r>
        <w:rPr>
          <w:vertAlign w:val="baseline"/>
        </w:rPr>
        <w:t>are applied by analogy. </w:t>
      </w:r>
      <w:r>
        <w:rPr>
          <w:color w:val="005DA1"/>
          <w:u w:val="single" w:color="005DA1"/>
          <w:vertAlign w:val="superscript"/>
        </w:rPr>
        <w:t>965</w:t>
      </w:r>
      <w:r>
        <w:rPr>
          <w:color w:val="005DA1"/>
          <w:vertAlign w:val="baseline"/>
        </w:rPr>
        <w:t> </w:t>
      </w:r>
      <w:r>
        <w:rPr>
          <w:vertAlign w:val="baseline"/>
        </w:rPr>
        <w:t>A buyer who obtains a decree of specific </w:t>
      </w:r>
      <w:bookmarkStart w:name="_bookmark1819" w:id="1821"/>
      <w:bookmarkEnd w:id="1821"/>
      <w:r>
        <w:rPr>
          <w:vertAlign w:val="baseline"/>
        </w:rPr>
        <w:t>performance</w:t>
      </w:r>
      <w:r>
        <w:rPr>
          <w:vertAlign w:val="baseline"/>
        </w:rPr>
        <w:t> for the delivery of shares may also recover damages equal to the dividends declared by the company between the agreed date of delivery and the actual date (and interest thereon). </w:t>
      </w:r>
      <w:r>
        <w:rPr>
          <w:color w:val="005DA1"/>
          <w:u w:val="single" w:color="005DA1"/>
          <w:vertAlign w:val="superscript"/>
        </w:rPr>
        <w:t>966</w:t>
      </w:r>
      <w:r>
        <w:rPr>
          <w:color w:val="005DA1"/>
          <w:vertAlign w:val="baseline"/>
        </w:rPr>
        <w:t> </w:t>
      </w:r>
      <w:bookmarkStart w:name="_bookmark1820" w:id="1822"/>
      <w:bookmarkEnd w:id="1822"/>
      <w:r>
        <w:rPr>
          <w:color w:val="005DA1"/>
          <w:w w:val="92"/>
          <w:vertAlign w:val="baseline"/>
        </w:rPr>
      </w:r>
      <w:r>
        <w:rPr>
          <w:vertAlign w:val="baseline"/>
        </w:rPr>
        <w:t>Where the buyer refuses to accept the shares, the seller may recover the difference between the contract price and the market price on the day fixed for completion. </w:t>
      </w:r>
      <w:r>
        <w:rPr>
          <w:color w:val="005DA1"/>
          <w:u w:val="single" w:color="005DA1"/>
          <w:vertAlign w:val="superscript"/>
        </w:rPr>
        <w:t>967</w:t>
      </w:r>
    </w:p>
    <w:p>
      <w:pPr>
        <w:pStyle w:val="BodyText"/>
      </w:pPr>
    </w:p>
    <w:p>
      <w:pPr>
        <w:pStyle w:val="BodyText"/>
        <w:spacing w:before="124"/>
      </w:pPr>
    </w:p>
    <w:p>
      <w:pPr>
        <w:pStyle w:val="BodyText"/>
        <w:spacing w:line="235" w:lineRule="auto"/>
        <w:ind w:left="1245" w:right="167"/>
        <w:jc w:val="both"/>
      </w:pPr>
      <w:r>
        <w:rPr/>
        <w:t>“If the seller retains the shares after the breach, the speculation as to the way the </w:t>
      </w:r>
      <w:r>
        <w:rPr/>
        <w:t>market will subsequently go is the speculation of the seller, not of the buyer; the seller cannot </w:t>
      </w:r>
      <w:bookmarkStart w:name="_bookmark1821" w:id="1823"/>
      <w:bookmarkEnd w:id="1823"/>
      <w:r>
        <w:rPr/>
        <w:t>recover</w:t>
      </w:r>
      <w:r>
        <w:rPr/>
        <w:t> from the buyer the loss below the market price at the date of the breach if the market falls, nor is he liable to the purchaser for the profit if the market rises.” </w:t>
      </w:r>
      <w:r>
        <w:rPr>
          <w:color w:val="005DA1"/>
          <w:u w:val="single" w:color="005DA1"/>
          <w:vertAlign w:val="superscript"/>
        </w:rPr>
        <w:t>968</w:t>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80000">
                <wp:simplePos x="0" y="0"/>
                <wp:positionH relativeFrom="page">
                  <wp:posOffset>914400</wp:posOffset>
                </wp:positionH>
                <wp:positionV relativeFrom="paragraph">
                  <wp:posOffset>260236</wp:posOffset>
                </wp:positionV>
                <wp:extent cx="5724525" cy="127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91028pt;width:450.75pt;height:.1pt;mso-position-horizontal-relative:page;mso-position-vertical-relative:paragraph;z-index:-15636480;mso-wrap-distance-left:0;mso-wrap-distance-right:0" id="docshape86" coordorigin="1440,410" coordsize="9015,0" path="m1440,410l10454,41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344" w:hRule="atLeast"/>
        </w:trPr>
        <w:tc>
          <w:tcPr>
            <w:tcW w:w="457" w:type="dxa"/>
          </w:tcPr>
          <w:p>
            <w:pPr>
              <w:pStyle w:val="TableParagraph"/>
              <w:spacing w:before="0"/>
              <w:ind w:right="82"/>
              <w:jc w:val="center"/>
              <w:rPr>
                <w:sz w:val="14"/>
              </w:rPr>
            </w:pPr>
            <w:bookmarkStart w:name="_bookmark1822" w:id="1824"/>
            <w:bookmarkEnd w:id="1824"/>
            <w:r>
              <w:rPr/>
            </w:r>
            <w:hyperlink w:history="true" w:anchor="_bookmark1817">
              <w:r>
                <w:rPr>
                  <w:color w:val="005DA1"/>
                  <w:spacing w:val="-4"/>
                  <w:sz w:val="14"/>
                  <w:u w:val="single" w:color="005DA1"/>
                </w:rPr>
                <w:t>848</w:t>
              </w:r>
            </w:hyperlink>
            <w:r>
              <w:rPr>
                <w:spacing w:val="-4"/>
                <w:sz w:val="14"/>
              </w:rPr>
              <w:t>.</w:t>
            </w:r>
          </w:p>
        </w:tc>
        <w:tc>
          <w:tcPr>
            <w:tcW w:w="8658" w:type="dxa"/>
          </w:tcPr>
          <w:p>
            <w:pPr>
              <w:pStyle w:val="TableParagraph"/>
              <w:spacing w:line="223" w:lineRule="exact" w:before="0"/>
              <w:ind w:left="133"/>
              <w:rPr>
                <w:sz w:val="20"/>
              </w:rPr>
            </w:pPr>
            <w:r>
              <w:rPr>
                <w:sz w:val="20"/>
              </w:rPr>
              <w:t>Further illustrations will be found in the various chapters of Vol.II of this </w:t>
            </w:r>
            <w:r>
              <w:rPr>
                <w:spacing w:val="-2"/>
                <w:sz w:val="20"/>
              </w:rPr>
              <w:t>work.</w:t>
            </w:r>
          </w:p>
        </w:tc>
      </w:tr>
      <w:tr>
        <w:trPr>
          <w:trHeight w:val="465" w:hRule="atLeast"/>
        </w:trPr>
        <w:tc>
          <w:tcPr>
            <w:tcW w:w="457" w:type="dxa"/>
          </w:tcPr>
          <w:p>
            <w:pPr>
              <w:pStyle w:val="TableParagraph"/>
              <w:ind w:right="82"/>
              <w:jc w:val="center"/>
              <w:rPr>
                <w:sz w:val="14"/>
              </w:rPr>
            </w:pPr>
            <w:bookmarkStart w:name="_bookmark1823" w:id="1825"/>
            <w:bookmarkEnd w:id="1825"/>
            <w:r>
              <w:rPr/>
            </w:r>
            <w:hyperlink w:history="true" w:anchor="_bookmark1818">
              <w:r>
                <w:rPr>
                  <w:color w:val="005DA1"/>
                  <w:spacing w:val="-4"/>
                  <w:sz w:val="14"/>
                  <w:u w:val="single" w:color="005DA1"/>
                </w:rPr>
                <w:t>964</w:t>
              </w:r>
            </w:hyperlink>
            <w:r>
              <w:rPr>
                <w:spacing w:val="-4"/>
                <w:sz w:val="14"/>
              </w:rPr>
              <w:t>.</w:t>
            </w:r>
          </w:p>
        </w:tc>
        <w:tc>
          <w:tcPr>
            <w:tcW w:w="8658" w:type="dxa"/>
          </w:tcPr>
          <w:p>
            <w:pPr>
              <w:pStyle w:val="TableParagraph"/>
              <w:spacing w:before="114"/>
              <w:ind w:left="133"/>
              <w:rPr>
                <w:sz w:val="20"/>
              </w:rPr>
            </w:pPr>
            <w:r>
              <w:rPr>
                <w:sz w:val="20"/>
              </w:rPr>
              <w:t>See above, paras 26-152—26-162 and Vol.II, paras 44-367 et seq., paras 44-406 et </w:t>
            </w:r>
            <w:r>
              <w:rPr>
                <w:spacing w:val="-4"/>
                <w:sz w:val="20"/>
              </w:rPr>
              <w:t>seq.</w:t>
            </w:r>
          </w:p>
        </w:tc>
      </w:tr>
      <w:tr>
        <w:trPr>
          <w:trHeight w:val="690" w:hRule="atLeast"/>
        </w:trPr>
        <w:tc>
          <w:tcPr>
            <w:tcW w:w="457" w:type="dxa"/>
          </w:tcPr>
          <w:p>
            <w:pPr>
              <w:pStyle w:val="TableParagraph"/>
              <w:ind w:right="82"/>
              <w:jc w:val="center"/>
              <w:rPr>
                <w:sz w:val="14"/>
              </w:rPr>
            </w:pPr>
            <w:bookmarkStart w:name="_bookmark1824" w:id="1826"/>
            <w:bookmarkEnd w:id="1826"/>
            <w:r>
              <w:rPr/>
            </w:r>
            <w:hyperlink w:history="true" w:anchor="_bookmark1818">
              <w:r>
                <w:rPr>
                  <w:color w:val="005DA1"/>
                  <w:spacing w:val="-4"/>
                  <w:sz w:val="14"/>
                  <w:u w:val="single" w:color="005DA1"/>
                </w:rPr>
                <w:t>965</w:t>
              </w:r>
            </w:hyperlink>
            <w:r>
              <w:rPr>
                <w:spacing w:val="-4"/>
                <w:sz w:val="14"/>
              </w:rPr>
              <w:t>.</w:t>
            </w:r>
          </w:p>
        </w:tc>
        <w:tc>
          <w:tcPr>
            <w:tcW w:w="8658" w:type="dxa"/>
          </w:tcPr>
          <w:p>
            <w:pPr>
              <w:pStyle w:val="TableParagraph"/>
              <w:spacing w:line="227" w:lineRule="exact" w:before="114"/>
              <w:ind w:left="133"/>
              <w:rPr>
                <w:sz w:val="20"/>
              </w:rPr>
            </w:pPr>
            <w:r>
              <w:rPr>
                <w:rFonts w:ascii="Arial"/>
                <w:i/>
                <w:sz w:val="20"/>
              </w:rPr>
              <w:t>Shaw</w:t>
            </w:r>
            <w:r>
              <w:rPr>
                <w:rFonts w:ascii="Arial"/>
                <w:i/>
                <w:spacing w:val="30"/>
                <w:sz w:val="20"/>
              </w:rPr>
              <w:t> </w:t>
            </w:r>
            <w:r>
              <w:rPr>
                <w:rFonts w:ascii="Arial"/>
                <w:i/>
                <w:sz w:val="20"/>
              </w:rPr>
              <w:t>v</w:t>
            </w:r>
            <w:r>
              <w:rPr>
                <w:rFonts w:ascii="Arial"/>
                <w:i/>
                <w:spacing w:val="33"/>
                <w:sz w:val="20"/>
              </w:rPr>
              <w:t> </w:t>
            </w:r>
            <w:r>
              <w:rPr>
                <w:rFonts w:ascii="Arial"/>
                <w:i/>
                <w:sz w:val="20"/>
              </w:rPr>
              <w:t>Holland</w:t>
            </w:r>
            <w:r>
              <w:rPr>
                <w:rFonts w:ascii="Arial"/>
                <w:i/>
                <w:spacing w:val="33"/>
                <w:sz w:val="20"/>
              </w:rPr>
              <w:t> </w:t>
            </w:r>
            <w:r>
              <w:rPr>
                <w:rFonts w:ascii="Arial"/>
                <w:i/>
                <w:sz w:val="20"/>
              </w:rPr>
              <w:t>(1846)</w:t>
            </w:r>
            <w:r>
              <w:rPr>
                <w:rFonts w:ascii="Arial"/>
                <w:i/>
                <w:spacing w:val="33"/>
                <w:sz w:val="20"/>
              </w:rPr>
              <w:t> </w:t>
            </w:r>
            <w:r>
              <w:rPr>
                <w:rFonts w:ascii="Arial"/>
                <w:i/>
                <w:sz w:val="20"/>
              </w:rPr>
              <w:t>15</w:t>
            </w:r>
            <w:r>
              <w:rPr>
                <w:rFonts w:ascii="Arial"/>
                <w:i/>
                <w:spacing w:val="33"/>
                <w:sz w:val="20"/>
              </w:rPr>
              <w:t> </w:t>
            </w:r>
            <w:r>
              <w:rPr>
                <w:rFonts w:ascii="Arial"/>
                <w:i/>
                <w:sz w:val="20"/>
              </w:rPr>
              <w:t>M.</w:t>
            </w:r>
            <w:r>
              <w:rPr>
                <w:rFonts w:ascii="Arial"/>
                <w:i/>
                <w:spacing w:val="33"/>
                <w:sz w:val="20"/>
              </w:rPr>
              <w:t> </w:t>
            </w:r>
            <w:r>
              <w:rPr>
                <w:rFonts w:ascii="Arial"/>
                <w:i/>
                <w:sz w:val="20"/>
              </w:rPr>
              <w:t>&amp;</w:t>
            </w:r>
            <w:r>
              <w:rPr>
                <w:rFonts w:ascii="Arial"/>
                <w:i/>
                <w:spacing w:val="33"/>
                <w:sz w:val="20"/>
              </w:rPr>
              <w:t> </w:t>
            </w:r>
            <w:r>
              <w:rPr>
                <w:rFonts w:ascii="Arial"/>
                <w:i/>
                <w:sz w:val="20"/>
              </w:rPr>
              <w:t>W.</w:t>
            </w:r>
            <w:r>
              <w:rPr>
                <w:rFonts w:ascii="Arial"/>
                <w:i/>
                <w:spacing w:val="33"/>
                <w:sz w:val="20"/>
              </w:rPr>
              <w:t> </w:t>
            </w:r>
            <w:r>
              <w:rPr>
                <w:rFonts w:ascii="Arial"/>
                <w:i/>
                <w:sz w:val="20"/>
              </w:rPr>
              <w:t>136</w:t>
            </w:r>
            <w:r>
              <w:rPr>
                <w:sz w:val="20"/>
              </w:rPr>
              <w:t>.</w:t>
            </w:r>
            <w:r>
              <w:rPr>
                <w:spacing w:val="33"/>
                <w:sz w:val="20"/>
              </w:rPr>
              <w:t> </w:t>
            </w:r>
            <w:r>
              <w:rPr>
                <w:sz w:val="20"/>
              </w:rPr>
              <w:t>See</w:t>
            </w:r>
            <w:r>
              <w:rPr>
                <w:spacing w:val="32"/>
                <w:sz w:val="20"/>
              </w:rPr>
              <w:t> </w:t>
            </w:r>
            <w:r>
              <w:rPr>
                <w:sz w:val="20"/>
              </w:rPr>
              <w:t>also</w:t>
            </w:r>
            <w:r>
              <w:rPr>
                <w:spacing w:val="33"/>
                <w:sz w:val="20"/>
              </w:rPr>
              <w:t> </w:t>
            </w:r>
            <w:r>
              <w:rPr>
                <w:rFonts w:ascii="Arial"/>
                <w:i/>
                <w:sz w:val="20"/>
              </w:rPr>
              <w:t>Tempest</w:t>
            </w:r>
            <w:r>
              <w:rPr>
                <w:rFonts w:ascii="Arial"/>
                <w:i/>
                <w:spacing w:val="33"/>
                <w:sz w:val="20"/>
              </w:rPr>
              <w:t> </w:t>
            </w:r>
            <w:r>
              <w:rPr>
                <w:rFonts w:ascii="Arial"/>
                <w:i/>
                <w:sz w:val="20"/>
              </w:rPr>
              <w:t>v</w:t>
            </w:r>
            <w:r>
              <w:rPr>
                <w:rFonts w:ascii="Arial"/>
                <w:i/>
                <w:spacing w:val="33"/>
                <w:sz w:val="20"/>
              </w:rPr>
              <w:t> </w:t>
            </w:r>
            <w:r>
              <w:rPr>
                <w:rFonts w:ascii="Arial"/>
                <w:i/>
                <w:sz w:val="20"/>
              </w:rPr>
              <w:t>Kilner</w:t>
            </w:r>
            <w:r>
              <w:rPr>
                <w:rFonts w:ascii="Arial"/>
                <w:i/>
                <w:spacing w:val="33"/>
                <w:sz w:val="20"/>
              </w:rPr>
              <w:t> </w:t>
            </w:r>
            <w:r>
              <w:rPr>
                <w:rFonts w:ascii="Arial"/>
                <w:i/>
                <w:sz w:val="20"/>
              </w:rPr>
              <w:t>(1845)</w:t>
            </w:r>
            <w:r>
              <w:rPr>
                <w:rFonts w:ascii="Arial"/>
                <w:i/>
                <w:spacing w:val="33"/>
                <w:sz w:val="20"/>
              </w:rPr>
              <w:t> </w:t>
            </w:r>
            <w:r>
              <w:rPr>
                <w:rFonts w:ascii="Arial"/>
                <w:i/>
                <w:sz w:val="20"/>
              </w:rPr>
              <w:t>3</w:t>
            </w:r>
            <w:r>
              <w:rPr>
                <w:rFonts w:ascii="Arial"/>
                <w:i/>
                <w:spacing w:val="33"/>
                <w:sz w:val="20"/>
              </w:rPr>
              <w:t> </w:t>
            </w:r>
            <w:r>
              <w:rPr>
                <w:rFonts w:ascii="Arial"/>
                <w:i/>
                <w:sz w:val="20"/>
              </w:rPr>
              <w:t>C.B.</w:t>
            </w:r>
            <w:r>
              <w:rPr>
                <w:rFonts w:ascii="Arial"/>
                <w:i/>
                <w:spacing w:val="33"/>
                <w:sz w:val="20"/>
              </w:rPr>
              <w:t> </w:t>
            </w:r>
            <w:r>
              <w:rPr>
                <w:rFonts w:ascii="Arial"/>
                <w:i/>
                <w:sz w:val="20"/>
              </w:rPr>
              <w:t>249</w:t>
            </w:r>
            <w:r>
              <w:rPr>
                <w:sz w:val="20"/>
              </w:rPr>
              <w:t>.</w:t>
            </w:r>
            <w:r>
              <w:rPr>
                <w:spacing w:val="33"/>
                <w:sz w:val="20"/>
              </w:rPr>
              <w:t> </w:t>
            </w:r>
            <w:r>
              <w:rPr>
                <w:spacing w:val="-5"/>
                <w:sz w:val="20"/>
              </w:rPr>
              <w:t>cf.</w:t>
            </w:r>
          </w:p>
          <w:p>
            <w:pPr>
              <w:pStyle w:val="TableParagraph"/>
              <w:spacing w:line="227" w:lineRule="exact" w:before="0"/>
              <w:ind w:left="133"/>
              <w:rPr>
                <w:sz w:val="20"/>
              </w:rPr>
            </w:pPr>
            <w:r>
              <w:rPr>
                <w:rFonts w:ascii="Arial"/>
                <w:i/>
                <w:sz w:val="20"/>
              </w:rPr>
              <w:t>Michael v Hart &amp; Co [1902] 1 K.B. </w:t>
            </w:r>
            <w:r>
              <w:rPr>
                <w:rFonts w:ascii="Arial"/>
                <w:i/>
                <w:spacing w:val="-4"/>
                <w:sz w:val="20"/>
              </w:rPr>
              <w:t>482</w:t>
            </w:r>
            <w:r>
              <w:rPr>
                <w:spacing w:val="-4"/>
                <w:sz w:val="20"/>
              </w:rPr>
              <w:t>.</w:t>
            </w:r>
          </w:p>
        </w:tc>
      </w:tr>
      <w:tr>
        <w:trPr>
          <w:trHeight w:val="465" w:hRule="atLeast"/>
        </w:trPr>
        <w:tc>
          <w:tcPr>
            <w:tcW w:w="457" w:type="dxa"/>
          </w:tcPr>
          <w:p>
            <w:pPr>
              <w:pStyle w:val="TableParagraph"/>
              <w:ind w:right="82"/>
              <w:jc w:val="center"/>
              <w:rPr>
                <w:sz w:val="14"/>
              </w:rPr>
            </w:pPr>
            <w:bookmarkStart w:name="_bookmark1825" w:id="1827"/>
            <w:bookmarkEnd w:id="1827"/>
            <w:r>
              <w:rPr/>
            </w:r>
            <w:hyperlink w:history="true" w:anchor="_bookmark1819">
              <w:r>
                <w:rPr>
                  <w:color w:val="005DA1"/>
                  <w:spacing w:val="-4"/>
                  <w:sz w:val="14"/>
                  <w:u w:val="single" w:color="005DA1"/>
                </w:rPr>
                <w:t>966</w:t>
              </w:r>
            </w:hyperlink>
            <w:r>
              <w:rPr>
                <w:spacing w:val="-4"/>
                <w:sz w:val="14"/>
              </w:rPr>
              <w:t>.</w:t>
            </w:r>
          </w:p>
        </w:tc>
        <w:tc>
          <w:tcPr>
            <w:tcW w:w="8658" w:type="dxa"/>
          </w:tcPr>
          <w:p>
            <w:pPr>
              <w:pStyle w:val="TableParagraph"/>
              <w:spacing w:before="114"/>
              <w:ind w:left="133"/>
              <w:rPr>
                <w:sz w:val="20"/>
              </w:rPr>
            </w:pPr>
            <w:r>
              <w:rPr>
                <w:rFonts w:ascii="Arial"/>
                <w:i/>
                <w:sz w:val="20"/>
              </w:rPr>
              <w:t>Sri Lanka Omnibus Co v Perera [1952] A.C. </w:t>
            </w:r>
            <w:r>
              <w:rPr>
                <w:rFonts w:ascii="Arial"/>
                <w:i/>
                <w:spacing w:val="-5"/>
                <w:sz w:val="20"/>
              </w:rPr>
              <w:t>76</w:t>
            </w:r>
            <w:r>
              <w:rPr>
                <w:spacing w:val="-5"/>
                <w:sz w:val="20"/>
              </w:rPr>
              <w:t>.</w:t>
            </w:r>
          </w:p>
        </w:tc>
      </w:tr>
      <w:tr>
        <w:trPr>
          <w:trHeight w:val="465" w:hRule="atLeast"/>
        </w:trPr>
        <w:tc>
          <w:tcPr>
            <w:tcW w:w="457" w:type="dxa"/>
          </w:tcPr>
          <w:p>
            <w:pPr>
              <w:pStyle w:val="TableParagraph"/>
              <w:ind w:right="82"/>
              <w:jc w:val="center"/>
              <w:rPr>
                <w:sz w:val="14"/>
              </w:rPr>
            </w:pPr>
            <w:bookmarkStart w:name="_bookmark1826" w:id="1828"/>
            <w:bookmarkEnd w:id="1828"/>
            <w:r>
              <w:rPr/>
            </w:r>
            <w:hyperlink w:history="true" w:anchor="_bookmark1820">
              <w:r>
                <w:rPr>
                  <w:color w:val="005DA1"/>
                  <w:spacing w:val="-4"/>
                  <w:sz w:val="14"/>
                  <w:u w:val="single" w:color="005DA1"/>
                </w:rPr>
                <w:t>967</w:t>
              </w:r>
            </w:hyperlink>
            <w:r>
              <w:rPr>
                <w:spacing w:val="-4"/>
                <w:sz w:val="14"/>
              </w:rPr>
              <w:t>.</w:t>
            </w:r>
          </w:p>
        </w:tc>
        <w:tc>
          <w:tcPr>
            <w:tcW w:w="8658" w:type="dxa"/>
          </w:tcPr>
          <w:p>
            <w:pPr>
              <w:pStyle w:val="TableParagraph"/>
              <w:spacing w:before="114"/>
              <w:ind w:left="133"/>
              <w:rPr>
                <w:sz w:val="20"/>
              </w:rPr>
            </w:pPr>
            <w:r>
              <w:rPr>
                <w:rFonts w:ascii="Arial"/>
                <w:i/>
                <w:sz w:val="20"/>
              </w:rPr>
              <w:t>Jamal v Moolla Dawood &amp; Co [1916] 1 A.C. </w:t>
            </w:r>
            <w:r>
              <w:rPr>
                <w:rFonts w:ascii="Arial"/>
                <w:i/>
                <w:spacing w:val="-4"/>
                <w:sz w:val="20"/>
              </w:rPr>
              <w:t>175</w:t>
            </w:r>
            <w:r>
              <w:rPr>
                <w:spacing w:val="-4"/>
                <w:sz w:val="20"/>
              </w:rPr>
              <w:t>.</w:t>
            </w:r>
          </w:p>
        </w:tc>
      </w:tr>
      <w:tr>
        <w:trPr>
          <w:trHeight w:val="344" w:hRule="atLeast"/>
        </w:trPr>
        <w:tc>
          <w:tcPr>
            <w:tcW w:w="457" w:type="dxa"/>
          </w:tcPr>
          <w:p>
            <w:pPr>
              <w:pStyle w:val="TableParagraph"/>
              <w:ind w:right="82"/>
              <w:jc w:val="center"/>
              <w:rPr>
                <w:sz w:val="14"/>
              </w:rPr>
            </w:pPr>
            <w:bookmarkStart w:name="_bookmark1827" w:id="1829"/>
            <w:bookmarkEnd w:id="1829"/>
            <w:r>
              <w:rPr/>
            </w:r>
            <w:hyperlink w:history="true" w:anchor="_bookmark1821">
              <w:r>
                <w:rPr>
                  <w:color w:val="005DA1"/>
                  <w:spacing w:val="-4"/>
                  <w:sz w:val="14"/>
                  <w:u w:val="single" w:color="005DA1"/>
                </w:rPr>
                <w:t>968</w:t>
              </w:r>
            </w:hyperlink>
            <w:r>
              <w:rPr>
                <w:spacing w:val="-4"/>
                <w:sz w:val="14"/>
              </w:rPr>
              <w:t>.</w:t>
            </w:r>
          </w:p>
        </w:tc>
        <w:tc>
          <w:tcPr>
            <w:tcW w:w="8658" w:type="dxa"/>
          </w:tcPr>
          <w:p>
            <w:pPr>
              <w:pStyle w:val="TableParagraph"/>
              <w:spacing w:line="210" w:lineRule="exact" w:before="114"/>
              <w:ind w:left="133"/>
              <w:rPr>
                <w:sz w:val="20"/>
              </w:rPr>
            </w:pPr>
            <w:r>
              <w:rPr>
                <w:rFonts w:ascii="Arial"/>
                <w:i/>
                <w:sz w:val="20"/>
              </w:rPr>
              <w:t>[1916]</w:t>
            </w:r>
            <w:r>
              <w:rPr>
                <w:rFonts w:ascii="Arial"/>
                <w:i/>
                <w:spacing w:val="-2"/>
                <w:sz w:val="20"/>
              </w:rPr>
              <w:t> </w:t>
            </w:r>
            <w:r>
              <w:rPr>
                <w:rFonts w:ascii="Arial"/>
                <w:i/>
                <w:sz w:val="20"/>
              </w:rPr>
              <w:t>1 A.C. 175, </w:t>
            </w:r>
            <w:r>
              <w:rPr>
                <w:rFonts w:ascii="Arial"/>
                <w:i/>
                <w:spacing w:val="-4"/>
                <w:sz w:val="20"/>
              </w:rPr>
              <w:t>179</w:t>
            </w:r>
            <w:r>
              <w:rPr>
                <w:spacing w:val="-4"/>
                <w:sz w:val="20"/>
              </w:rPr>
              <w:t>.</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46"/>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631" w:right="0" w:firstLine="0"/>
        <w:jc w:val="left"/>
        <w:rPr>
          <w:rFonts w:ascii="Arial"/>
          <w:b/>
          <w:sz w:val="24"/>
        </w:rPr>
      </w:pPr>
      <w:r>
        <w:rPr>
          <w:rFonts w:ascii="Arial"/>
          <w:b/>
          <w:sz w:val="24"/>
        </w:rPr>
        <w:t>(a) - Liquidated Damages or </w:t>
      </w:r>
      <w:r>
        <w:rPr>
          <w:rFonts w:ascii="Arial"/>
          <w:b/>
          <w:spacing w:val="-2"/>
          <w:sz w:val="24"/>
        </w:rPr>
        <w:t>Penalty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parties to a contract agree that, in the event of a breach, the contract-breaker shall pay </w:t>
      </w:r>
      <w:bookmarkStart w:name="_bookmark1828" w:id="1830"/>
      <w:bookmarkEnd w:id="1830"/>
      <w:r>
        <w:rPr/>
        <w:t>to</w:t>
      </w:r>
      <w:r>
        <w:rPr>
          <w:spacing w:val="31"/>
        </w:rPr>
        <w:t> </w:t>
      </w:r>
      <w:r>
        <w:rPr/>
        <w:t>the</w:t>
      </w:r>
      <w:r>
        <w:rPr>
          <w:spacing w:val="31"/>
        </w:rPr>
        <w:t> </w:t>
      </w:r>
      <w:r>
        <w:rPr/>
        <w:t>other</w:t>
      </w:r>
      <w:r>
        <w:rPr>
          <w:spacing w:val="31"/>
        </w:rPr>
        <w:t> </w:t>
      </w:r>
      <w:r>
        <w:rPr/>
        <w:t>a</w:t>
      </w:r>
      <w:r>
        <w:rPr>
          <w:spacing w:val="31"/>
        </w:rPr>
        <w:t> </w:t>
      </w:r>
      <w:r>
        <w:rPr/>
        <w:t>specified</w:t>
      </w:r>
      <w:r>
        <w:rPr>
          <w:spacing w:val="31"/>
        </w:rPr>
        <w:t> </w:t>
      </w:r>
      <w:r>
        <w:rPr/>
        <w:t>sum</w:t>
      </w:r>
      <w:r>
        <w:rPr>
          <w:spacing w:val="31"/>
        </w:rPr>
        <w:t> </w:t>
      </w:r>
      <w:r>
        <w:rPr/>
        <w:t>of</w:t>
      </w:r>
      <w:r>
        <w:rPr>
          <w:spacing w:val="31"/>
        </w:rPr>
        <w:t> </w:t>
      </w:r>
      <w:r>
        <w:rPr/>
        <w:t>money,</w:t>
      </w:r>
      <w:r>
        <w:rPr>
          <w:spacing w:val="31"/>
        </w:rPr>
        <w:t> </w:t>
      </w:r>
      <w:r>
        <w:rPr/>
        <w:t>the</w:t>
      </w:r>
      <w:r>
        <w:rPr>
          <w:spacing w:val="31"/>
        </w:rPr>
        <w:t> </w:t>
      </w:r>
      <w:r>
        <w:rPr/>
        <w:t>sum</w:t>
      </w:r>
      <w:r>
        <w:rPr>
          <w:spacing w:val="31"/>
        </w:rPr>
        <w:t> </w:t>
      </w:r>
      <w:r>
        <w:rPr/>
        <w:t>fixed</w:t>
      </w:r>
      <w:r>
        <w:rPr>
          <w:spacing w:val="31"/>
        </w:rPr>
        <w:t> </w:t>
      </w:r>
      <w:r>
        <w:rPr/>
        <w:t>may</w:t>
      </w:r>
      <w:r>
        <w:rPr>
          <w:spacing w:val="31"/>
        </w:rPr>
        <w:t> </w:t>
      </w:r>
      <w:r>
        <w:rPr/>
        <w:t>be</w:t>
      </w:r>
      <w:r>
        <w:rPr>
          <w:spacing w:val="31"/>
        </w:rPr>
        <w:t> </w:t>
      </w:r>
      <w:r>
        <w:rPr/>
        <w:t>classified</w:t>
      </w:r>
      <w:r>
        <w:rPr>
          <w:spacing w:val="31"/>
        </w:rPr>
        <w:t> </w:t>
      </w:r>
      <w:r>
        <w:rPr/>
        <w:t>by</w:t>
      </w:r>
      <w:r>
        <w:rPr>
          <w:spacing w:val="31"/>
        </w:rPr>
        <w:t> </w:t>
      </w:r>
      <w:r>
        <w:rPr/>
        <w:t>the</w:t>
      </w:r>
      <w:r>
        <w:rPr>
          <w:spacing w:val="31"/>
        </w:rPr>
        <w:t> </w:t>
      </w:r>
      <w:r>
        <w:rPr/>
        <w:t>courts</w:t>
      </w:r>
      <w:r>
        <w:rPr>
          <w:spacing w:val="31"/>
        </w:rPr>
        <w:t> </w:t>
      </w:r>
      <w:r>
        <w:rPr/>
        <w:t>either</w:t>
      </w:r>
      <w:r>
        <w:rPr>
          <w:spacing w:val="31"/>
        </w:rPr>
        <w:t> </w:t>
      </w:r>
      <w:r>
        <w:rPr/>
        <w:t>as</w:t>
      </w:r>
      <w:r>
        <w:rPr>
          <w:spacing w:val="31"/>
        </w:rPr>
        <w:t> </w:t>
      </w:r>
      <w:r>
        <w:rPr>
          <w:spacing w:val="-10"/>
        </w:rPr>
        <w:t>a</w:t>
      </w:r>
    </w:p>
    <w:p>
      <w:pPr>
        <w:pStyle w:val="BodyText"/>
        <w:spacing w:line="235" w:lineRule="auto" w:before="120"/>
        <w:ind w:left="165" w:right="167"/>
        <w:jc w:val="both"/>
      </w:pPr>
      <w:r>
        <w:rPr/>
        <w:t>penalty (which is irrecoverable) or as liquidated damages (which are recoverable). </w:t>
      </w:r>
      <w:r>
        <w:rPr>
          <w:color w:val="005DA1"/>
          <w:u w:val="single" w:color="005DA1"/>
          <w:vertAlign w:val="superscript"/>
        </w:rPr>
        <w:t>969</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The law on </w:t>
      </w:r>
      <w:bookmarkStart w:name="_bookmark1829" w:id="1831"/>
      <w:bookmarkEnd w:id="1831"/>
      <w:r>
        <w:rPr>
          <w:vertAlign w:val="baseline"/>
        </w:rPr>
        <w:t>this</w:t>
      </w:r>
      <w:r>
        <w:rPr>
          <w:spacing w:val="2"/>
          <w:vertAlign w:val="baseline"/>
        </w:rPr>
        <w:t> </w:t>
      </w:r>
      <w:r>
        <w:rPr>
          <w:vertAlign w:val="baseline"/>
        </w:rPr>
        <w:t>topic</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fundamentally</w:t>
      </w:r>
      <w:r>
        <w:rPr>
          <w:spacing w:val="2"/>
          <w:vertAlign w:val="baseline"/>
        </w:rPr>
        <w:t> </w:t>
      </w:r>
      <w:r>
        <w:rPr>
          <w:vertAlign w:val="baseline"/>
        </w:rPr>
        <w:t>re-written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Supreme</w:t>
      </w:r>
      <w:r>
        <w:rPr>
          <w:spacing w:val="2"/>
          <w:vertAlign w:val="baseline"/>
        </w:rPr>
        <w:t> </w:t>
      </w:r>
      <w:r>
        <w:rPr>
          <w:vertAlign w:val="baseline"/>
        </w:rPr>
        <w:t>Court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cases</w:t>
      </w:r>
      <w:r>
        <w:rPr>
          <w:spacing w:val="2"/>
          <w:vertAlign w:val="baseline"/>
        </w:rPr>
        <w:t> </w:t>
      </w:r>
      <w:r>
        <w:rPr>
          <w:spacing w:val="-2"/>
          <w:vertAlign w:val="baseline"/>
        </w:rPr>
        <w:t>(heard</w:t>
      </w:r>
    </w:p>
    <w:p>
      <w:pPr>
        <w:spacing w:line="235" w:lineRule="auto" w:before="119"/>
        <w:ind w:left="165" w:right="167" w:firstLine="0"/>
        <w:jc w:val="both"/>
        <w:rPr>
          <w:sz w:val="20"/>
        </w:rPr>
      </w:pPr>
      <w:r>
        <w:rPr>
          <w:sz w:val="20"/>
        </w:rPr>
        <w:t>together) of </w:t>
      </w:r>
      <w:r>
        <w:rPr>
          <w:rFonts w:ascii="Arial"/>
          <w:i/>
          <w:sz w:val="20"/>
        </w:rPr>
        <w:t>Cavendish Square Holding BV v Makdessi </w:t>
      </w:r>
      <w:r>
        <w:rPr>
          <w:sz w:val="20"/>
        </w:rPr>
        <w:t>and </w:t>
      </w:r>
      <w:r>
        <w:rPr>
          <w:rFonts w:ascii="Arial"/>
          <w:i/>
          <w:sz w:val="20"/>
        </w:rPr>
        <w:t>ParkingEye Ltd v Beavis</w:t>
      </w:r>
      <w:r>
        <w:rPr>
          <w:sz w:val="20"/>
        </w:rPr>
        <w:t>. </w:t>
      </w:r>
      <w:r>
        <w:rPr>
          <w:color w:val="005DA1"/>
          <w:sz w:val="20"/>
          <w:u w:val="single" w:color="005DA1"/>
          <w:vertAlign w:val="superscript"/>
        </w:rPr>
        <w:t>970</w:t>
      </w:r>
      <w:r>
        <w:rPr>
          <w:color w:val="005DA1"/>
          <w:spacing w:val="80"/>
          <w:w w:val="150"/>
          <w:sz w:val="20"/>
          <w:vertAlign w:val="baseline"/>
        </w:rPr>
        <w:t> </w:t>
      </w:r>
      <w:r>
        <w:rPr>
          <w:color w:val="005DA1"/>
          <w:spacing w:val="16"/>
          <w:position w:val="-2"/>
          <w:sz w:val="20"/>
          <w:vertAlign w:val="baseline"/>
        </w:rPr>
        <w:drawing>
          <wp:inline distT="0" distB="0" distL="0" distR="0">
            <wp:extent cx="107988" cy="107988"/>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sz w:val="20"/>
          <w:vertAlign w:val="baseline"/>
        </w:rPr>
      </w:r>
      <w:r>
        <w:rPr>
          <w:rFonts w:ascii="Times New Roman"/>
          <w:color w:val="005DA1"/>
          <w:spacing w:val="-8"/>
          <w:sz w:val="20"/>
          <w:vertAlign w:val="baseline"/>
        </w:rPr>
        <w:t> </w:t>
      </w:r>
      <w:r>
        <w:rPr>
          <w:sz w:val="20"/>
          <w:vertAlign w:val="baseline"/>
        </w:rPr>
        <w:t>A clause is</w:t>
      </w:r>
      <w:r>
        <w:rPr>
          <w:spacing w:val="-1"/>
          <w:sz w:val="20"/>
          <w:vertAlign w:val="baseline"/>
        </w:rPr>
        <w:t> </w:t>
      </w:r>
      <w:r>
        <w:rPr>
          <w:sz w:val="20"/>
          <w:vertAlign w:val="baseline"/>
        </w:rPr>
        <w:t>enforceable</w:t>
      </w:r>
      <w:r>
        <w:rPr>
          <w:spacing w:val="-1"/>
          <w:sz w:val="20"/>
          <w:vertAlign w:val="baseline"/>
        </w:rPr>
        <w:t> </w:t>
      </w:r>
      <w:r>
        <w:rPr>
          <w:sz w:val="20"/>
          <w:vertAlign w:val="baseline"/>
        </w:rPr>
        <w:t>if</w:t>
      </w:r>
      <w:r>
        <w:rPr>
          <w:spacing w:val="-1"/>
          <w:sz w:val="20"/>
          <w:vertAlign w:val="baseline"/>
        </w:rPr>
        <w:t> </w:t>
      </w:r>
      <w:r>
        <w:rPr>
          <w:sz w:val="20"/>
          <w:vertAlign w:val="baseline"/>
        </w:rPr>
        <w:t>it</w:t>
      </w:r>
      <w:r>
        <w:rPr>
          <w:spacing w:val="-1"/>
          <w:sz w:val="20"/>
          <w:vertAlign w:val="baseline"/>
        </w:rPr>
        <w:t> </w:t>
      </w:r>
      <w:r>
        <w:rPr>
          <w:sz w:val="20"/>
          <w:vertAlign w:val="baseline"/>
        </w:rPr>
        <w:t>meets</w:t>
      </w:r>
      <w:r>
        <w:rPr>
          <w:spacing w:val="-1"/>
          <w:sz w:val="20"/>
          <w:vertAlign w:val="baseline"/>
        </w:rPr>
        <w:t> </w:t>
      </w:r>
      <w:r>
        <w:rPr>
          <w:sz w:val="20"/>
          <w:vertAlign w:val="baseline"/>
        </w:rPr>
        <w:t>the</w:t>
      </w:r>
      <w:r>
        <w:rPr>
          <w:spacing w:val="-1"/>
          <w:sz w:val="20"/>
          <w:vertAlign w:val="baseline"/>
        </w:rPr>
        <w:t> </w:t>
      </w:r>
      <w:r>
        <w:rPr>
          <w:sz w:val="20"/>
          <w:vertAlign w:val="baseline"/>
        </w:rPr>
        <w:t>traditional</w:t>
      </w:r>
      <w:r>
        <w:rPr>
          <w:spacing w:val="-1"/>
          <w:sz w:val="20"/>
          <w:vertAlign w:val="baseline"/>
        </w:rPr>
        <w:t> </w:t>
      </w:r>
      <w:r>
        <w:rPr>
          <w:sz w:val="20"/>
          <w:vertAlign w:val="baseline"/>
        </w:rPr>
        <w:t>test</w:t>
      </w:r>
      <w:r>
        <w:rPr>
          <w:spacing w:val="-1"/>
          <w:sz w:val="20"/>
          <w:vertAlign w:val="baseline"/>
        </w:rPr>
        <w:t> </w:t>
      </w:r>
      <w:r>
        <w:rPr>
          <w:sz w:val="20"/>
          <w:vertAlign w:val="baseline"/>
        </w:rPr>
        <w:t>that</w:t>
      </w:r>
      <w:r>
        <w:rPr>
          <w:spacing w:val="-1"/>
          <w:sz w:val="20"/>
          <w:vertAlign w:val="baseline"/>
        </w:rPr>
        <w:t> </w:t>
      </w:r>
      <w:r>
        <w:rPr>
          <w:sz w:val="20"/>
          <w:vertAlign w:val="baseline"/>
        </w:rPr>
        <w:t>it</w:t>
      </w:r>
      <w:r>
        <w:rPr>
          <w:spacing w:val="-1"/>
          <w:sz w:val="20"/>
          <w:vertAlign w:val="baseline"/>
        </w:rPr>
        <w:t> </w:t>
      </w:r>
      <w:r>
        <w:rPr>
          <w:sz w:val="20"/>
          <w:vertAlign w:val="baseline"/>
        </w:rPr>
        <w:t>does</w:t>
      </w:r>
      <w:r>
        <w:rPr>
          <w:spacing w:val="-1"/>
          <w:sz w:val="20"/>
          <w:vertAlign w:val="baseline"/>
        </w:rPr>
        <w:t> </w:t>
      </w:r>
      <w:r>
        <w:rPr>
          <w:sz w:val="20"/>
          <w:vertAlign w:val="baseline"/>
        </w:rPr>
        <w:t>not</w:t>
      </w:r>
      <w:r>
        <w:rPr>
          <w:spacing w:val="-1"/>
          <w:sz w:val="20"/>
          <w:vertAlign w:val="baseline"/>
        </w:rPr>
        <w:t> </w:t>
      </w:r>
      <w:r>
        <w:rPr>
          <w:sz w:val="20"/>
          <w:vertAlign w:val="baseline"/>
        </w:rPr>
        <w:t>extravagantly</w:t>
      </w:r>
      <w:r>
        <w:rPr>
          <w:spacing w:val="-1"/>
          <w:sz w:val="20"/>
          <w:vertAlign w:val="baseline"/>
        </w:rPr>
        <w:t> </w:t>
      </w:r>
      <w:r>
        <w:rPr>
          <w:sz w:val="20"/>
          <w:vertAlign w:val="baseline"/>
        </w:rPr>
        <w:t>exceed</w:t>
      </w:r>
      <w:r>
        <w:rPr>
          <w:spacing w:val="-1"/>
          <w:sz w:val="20"/>
          <w:vertAlign w:val="baseline"/>
        </w:rPr>
        <w:t> </w:t>
      </w:r>
      <w:r>
        <w:rPr>
          <w:sz w:val="20"/>
          <w:vertAlign w:val="baseline"/>
        </w:rPr>
        <w:t>a</w:t>
      </w:r>
      <w:r>
        <w:rPr>
          <w:spacing w:val="-1"/>
          <w:sz w:val="20"/>
          <w:vertAlign w:val="baseline"/>
        </w:rPr>
        <w:t> </w:t>
      </w:r>
      <w:r>
        <w:rPr>
          <w:sz w:val="20"/>
          <w:vertAlign w:val="baseline"/>
        </w:rPr>
        <w:t>genuine</w:t>
      </w:r>
      <w:r>
        <w:rPr>
          <w:spacing w:val="-1"/>
          <w:sz w:val="20"/>
          <w:vertAlign w:val="baseline"/>
        </w:rPr>
        <w:t> </w:t>
      </w:r>
      <w:r>
        <w:rPr>
          <w:sz w:val="20"/>
          <w:vertAlign w:val="baseline"/>
        </w:rPr>
        <w:t>attempt</w:t>
      </w:r>
      <w:r>
        <w:rPr>
          <w:spacing w:val="-1"/>
          <w:sz w:val="20"/>
          <w:vertAlign w:val="baseline"/>
        </w:rPr>
        <w:t> </w:t>
      </w:r>
      <w:r>
        <w:rPr>
          <w:sz w:val="20"/>
          <w:vertAlign w:val="baseline"/>
        </w:rPr>
        <w:t>to </w:t>
      </w:r>
      <w:bookmarkStart w:name="_bookmark1830" w:id="1832"/>
      <w:bookmarkEnd w:id="1832"/>
      <w:r>
        <w:rPr>
          <w:sz w:val="20"/>
          <w:vertAlign w:val="baseline"/>
        </w:rPr>
        <w:t>estimate</w:t>
      </w:r>
      <w:r>
        <w:rPr>
          <w:spacing w:val="47"/>
          <w:sz w:val="20"/>
          <w:vertAlign w:val="baseline"/>
        </w:rPr>
        <w:t> </w:t>
      </w:r>
      <w:r>
        <w:rPr>
          <w:sz w:val="20"/>
          <w:vertAlign w:val="baseline"/>
        </w:rPr>
        <w:t>in</w:t>
      </w:r>
      <w:r>
        <w:rPr>
          <w:spacing w:val="47"/>
          <w:sz w:val="20"/>
          <w:vertAlign w:val="baseline"/>
        </w:rPr>
        <w:t> </w:t>
      </w:r>
      <w:r>
        <w:rPr>
          <w:sz w:val="20"/>
          <w:vertAlign w:val="baseline"/>
        </w:rPr>
        <w:t>advance</w:t>
      </w:r>
      <w:r>
        <w:rPr>
          <w:spacing w:val="47"/>
          <w:sz w:val="20"/>
          <w:vertAlign w:val="baseline"/>
        </w:rPr>
        <w:t> </w:t>
      </w:r>
      <w:r>
        <w:rPr>
          <w:sz w:val="20"/>
          <w:vertAlign w:val="baseline"/>
        </w:rPr>
        <w:t>the</w:t>
      </w:r>
      <w:r>
        <w:rPr>
          <w:spacing w:val="47"/>
          <w:sz w:val="20"/>
          <w:vertAlign w:val="baseline"/>
        </w:rPr>
        <w:t> </w:t>
      </w:r>
      <w:r>
        <w:rPr>
          <w:sz w:val="20"/>
          <w:vertAlign w:val="baseline"/>
        </w:rPr>
        <w:t>loss</w:t>
      </w:r>
      <w:r>
        <w:rPr>
          <w:spacing w:val="47"/>
          <w:sz w:val="20"/>
          <w:vertAlign w:val="baseline"/>
        </w:rPr>
        <w:t> </w:t>
      </w:r>
      <w:r>
        <w:rPr>
          <w:sz w:val="20"/>
          <w:vertAlign w:val="baseline"/>
        </w:rPr>
        <w:t>which</w:t>
      </w:r>
      <w:r>
        <w:rPr>
          <w:spacing w:val="47"/>
          <w:sz w:val="20"/>
          <w:vertAlign w:val="baseline"/>
        </w:rPr>
        <w:t> </w:t>
      </w:r>
      <w:r>
        <w:rPr>
          <w:sz w:val="20"/>
          <w:vertAlign w:val="baseline"/>
        </w:rPr>
        <w:t>the</w:t>
      </w:r>
      <w:r>
        <w:rPr>
          <w:spacing w:val="47"/>
          <w:sz w:val="20"/>
          <w:vertAlign w:val="baseline"/>
        </w:rPr>
        <w:t> </w:t>
      </w:r>
      <w:r>
        <w:rPr>
          <w:sz w:val="20"/>
          <w:vertAlign w:val="baseline"/>
        </w:rPr>
        <w:t>claimant</w:t>
      </w:r>
      <w:r>
        <w:rPr>
          <w:spacing w:val="47"/>
          <w:sz w:val="20"/>
          <w:vertAlign w:val="baseline"/>
        </w:rPr>
        <w:t> </w:t>
      </w:r>
      <w:r>
        <w:rPr>
          <w:sz w:val="20"/>
          <w:vertAlign w:val="baseline"/>
        </w:rPr>
        <w:t>would</w:t>
      </w:r>
      <w:r>
        <w:rPr>
          <w:spacing w:val="47"/>
          <w:sz w:val="20"/>
          <w:vertAlign w:val="baseline"/>
        </w:rPr>
        <w:t> </w:t>
      </w:r>
      <w:r>
        <w:rPr>
          <w:sz w:val="20"/>
          <w:vertAlign w:val="baseline"/>
        </w:rPr>
        <w:t>be</w:t>
      </w:r>
      <w:r>
        <w:rPr>
          <w:spacing w:val="47"/>
          <w:sz w:val="20"/>
          <w:vertAlign w:val="baseline"/>
        </w:rPr>
        <w:t> </w:t>
      </w:r>
      <w:r>
        <w:rPr>
          <w:sz w:val="20"/>
          <w:vertAlign w:val="baseline"/>
        </w:rPr>
        <w:t>likely</w:t>
      </w:r>
      <w:r>
        <w:rPr>
          <w:spacing w:val="47"/>
          <w:sz w:val="20"/>
          <w:vertAlign w:val="baseline"/>
        </w:rPr>
        <w:t> </w:t>
      </w:r>
      <w:r>
        <w:rPr>
          <w:sz w:val="20"/>
          <w:vertAlign w:val="baseline"/>
        </w:rPr>
        <w:t>to</w:t>
      </w:r>
      <w:r>
        <w:rPr>
          <w:spacing w:val="47"/>
          <w:sz w:val="20"/>
          <w:vertAlign w:val="baseline"/>
        </w:rPr>
        <w:t> </w:t>
      </w:r>
      <w:r>
        <w:rPr>
          <w:sz w:val="20"/>
          <w:vertAlign w:val="baseline"/>
        </w:rPr>
        <w:t>suffer</w:t>
      </w:r>
      <w:r>
        <w:rPr>
          <w:spacing w:val="47"/>
          <w:sz w:val="20"/>
          <w:vertAlign w:val="baseline"/>
        </w:rPr>
        <w:t> </w:t>
      </w:r>
      <w:r>
        <w:rPr>
          <w:sz w:val="20"/>
          <w:vertAlign w:val="baseline"/>
        </w:rPr>
        <w:t>from</w:t>
      </w:r>
      <w:r>
        <w:rPr>
          <w:spacing w:val="47"/>
          <w:sz w:val="20"/>
          <w:vertAlign w:val="baseline"/>
        </w:rPr>
        <w:t> </w:t>
      </w:r>
      <w:r>
        <w:rPr>
          <w:sz w:val="20"/>
          <w:vertAlign w:val="baseline"/>
        </w:rPr>
        <w:t>a</w:t>
      </w:r>
      <w:r>
        <w:rPr>
          <w:spacing w:val="47"/>
          <w:sz w:val="20"/>
          <w:vertAlign w:val="baseline"/>
        </w:rPr>
        <w:t> </w:t>
      </w:r>
      <w:r>
        <w:rPr>
          <w:sz w:val="20"/>
          <w:vertAlign w:val="baseline"/>
        </w:rPr>
        <w:t>breach</w:t>
      </w:r>
      <w:r>
        <w:rPr>
          <w:spacing w:val="47"/>
          <w:sz w:val="20"/>
          <w:vertAlign w:val="baseline"/>
        </w:rPr>
        <w:t> </w:t>
      </w:r>
      <w:r>
        <w:rPr>
          <w:sz w:val="20"/>
          <w:vertAlign w:val="baseline"/>
        </w:rPr>
        <w:t>of</w:t>
      </w:r>
      <w:r>
        <w:rPr>
          <w:spacing w:val="47"/>
          <w:sz w:val="20"/>
          <w:vertAlign w:val="baseline"/>
        </w:rPr>
        <w:t> </w:t>
      </w:r>
      <w:r>
        <w:rPr>
          <w:spacing w:val="-5"/>
          <w:sz w:val="20"/>
          <w:vertAlign w:val="baseline"/>
        </w:rPr>
        <w:t>the</w:t>
      </w:r>
    </w:p>
    <w:p>
      <w:pPr>
        <w:pStyle w:val="BodyText"/>
        <w:spacing w:line="235" w:lineRule="auto" w:before="119"/>
        <w:ind w:left="165" w:right="167"/>
        <w:jc w:val="both"/>
      </w:pPr>
      <w:r>
        <w:rPr/>
        <w:t>obligation in question, </w:t>
      </w:r>
      <w:r>
        <w:rPr>
          <w:color w:val="005DA1"/>
          <w:u w:val="single" w:color="005DA1"/>
          <w:vertAlign w:val="superscript"/>
        </w:rPr>
        <w:t>971</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but the true test is whether the party to whom the sum is payable had a legitimate interest in ensuring performance by the other party and the sum payable in the event of breach is not extravagant or unconscionable in comparison to that interest. This supersedes a</w:t>
      </w:r>
      <w:r>
        <w:rPr>
          <w:spacing w:val="40"/>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decisions</w:t>
      </w:r>
      <w:r>
        <w:rPr>
          <w:spacing w:val="-2"/>
          <w:vertAlign w:val="baseline"/>
        </w:rPr>
        <w:t> </w:t>
      </w:r>
      <w:r>
        <w:rPr>
          <w:vertAlign w:val="baseline"/>
        </w:rPr>
        <w:t>suggesting</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which</w:t>
      </w:r>
      <w:r>
        <w:rPr>
          <w:spacing w:val="-2"/>
          <w:vertAlign w:val="baseline"/>
        </w:rPr>
        <w:t> </w:t>
      </w:r>
      <w:r>
        <w:rPr>
          <w:vertAlign w:val="baseline"/>
        </w:rPr>
        <w:t>provides</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additional</w:t>
      </w:r>
      <w:r>
        <w:rPr>
          <w:spacing w:val="-2"/>
          <w:vertAlign w:val="baseline"/>
        </w:rPr>
        <w:t> </w:t>
      </w:r>
      <w:r>
        <w:rPr>
          <w:vertAlign w:val="baseline"/>
        </w:rPr>
        <w:t>payment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by a party who is in breach of the contract may also be enforceable, even if it was not strictly speaking </w:t>
      </w:r>
      <w:r>
        <w:rPr>
          <w:vertAlign w:val="baseline"/>
        </w:rPr>
        <w:t>a </w:t>
      </w:r>
      <w:bookmarkStart w:name="_bookmark1831" w:id="1833"/>
      <w:bookmarkEnd w:id="1833"/>
      <w:r>
        <w:rPr>
          <w:vertAlign w:val="baseline"/>
        </w:rPr>
        <w:t>pre</w:t>
      </w:r>
      <w:r>
        <w:rPr>
          <w:vertAlign w:val="baseline"/>
        </w:rPr>
        <w:t>-estimate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likely</w:t>
      </w:r>
      <w:r>
        <w:rPr>
          <w:spacing w:val="28"/>
          <w:vertAlign w:val="baseline"/>
        </w:rPr>
        <w:t> </w:t>
      </w:r>
      <w:r>
        <w:rPr>
          <w:vertAlign w:val="baseline"/>
        </w:rPr>
        <w:t>loss,</w:t>
      </w:r>
      <w:r>
        <w:rPr>
          <w:spacing w:val="28"/>
          <w:vertAlign w:val="baseline"/>
        </w:rPr>
        <w:t> </w:t>
      </w:r>
      <w:r>
        <w:rPr>
          <w:vertAlign w:val="baseline"/>
        </w:rPr>
        <w:t>if</w:t>
      </w:r>
      <w:r>
        <w:rPr>
          <w:spacing w:val="28"/>
          <w:vertAlign w:val="baseline"/>
        </w:rPr>
        <w:t> </w:t>
      </w:r>
      <w:r>
        <w:rPr>
          <w:vertAlign w:val="baseline"/>
        </w:rPr>
        <w:t>it</w:t>
      </w:r>
      <w:r>
        <w:rPr>
          <w:spacing w:val="28"/>
          <w:vertAlign w:val="baseline"/>
        </w:rPr>
        <w:t> </w:t>
      </w:r>
      <w:r>
        <w:rPr>
          <w:vertAlign w:val="baseline"/>
        </w:rPr>
        <w:t>was</w:t>
      </w:r>
      <w:r>
        <w:rPr>
          <w:spacing w:val="28"/>
          <w:vertAlign w:val="baseline"/>
        </w:rPr>
        <w:t> </w:t>
      </w:r>
      <w:r>
        <w:rPr>
          <w:vertAlign w:val="baseline"/>
        </w:rPr>
        <w:t>“commercially</w:t>
      </w:r>
      <w:r>
        <w:rPr>
          <w:spacing w:val="28"/>
          <w:vertAlign w:val="baseline"/>
        </w:rPr>
        <w:t> </w:t>
      </w:r>
      <w:r>
        <w:rPr>
          <w:vertAlign w:val="baseline"/>
        </w:rPr>
        <w:t>justifiable,</w:t>
      </w:r>
      <w:r>
        <w:rPr>
          <w:spacing w:val="28"/>
          <w:vertAlign w:val="baseline"/>
        </w:rPr>
        <w:t> </w:t>
      </w:r>
      <w:r>
        <w:rPr>
          <w:vertAlign w:val="baseline"/>
        </w:rPr>
        <w:t>provided</w:t>
      </w:r>
      <w:r>
        <w:rPr>
          <w:spacing w:val="28"/>
          <w:vertAlign w:val="baseline"/>
        </w:rPr>
        <w:t> </w:t>
      </w:r>
      <w:r>
        <w:rPr>
          <w:vertAlign w:val="baseline"/>
        </w:rPr>
        <w:t>always</w:t>
      </w:r>
      <w:r>
        <w:rPr>
          <w:spacing w:val="28"/>
          <w:vertAlign w:val="baseline"/>
        </w:rPr>
        <w:t> </w:t>
      </w:r>
      <w:r>
        <w:rPr>
          <w:vertAlign w:val="baseline"/>
        </w:rPr>
        <w:t>that</w:t>
      </w:r>
      <w:r>
        <w:rPr>
          <w:spacing w:val="28"/>
          <w:vertAlign w:val="baseline"/>
        </w:rPr>
        <w:t> </w:t>
      </w:r>
      <w:r>
        <w:rPr>
          <w:vertAlign w:val="baseline"/>
        </w:rPr>
        <w:t>its</w:t>
      </w:r>
      <w:r>
        <w:rPr>
          <w:spacing w:val="28"/>
          <w:vertAlign w:val="baseline"/>
        </w:rPr>
        <w:t> </w:t>
      </w:r>
      <w:r>
        <w:rPr>
          <w:spacing w:val="-2"/>
          <w:vertAlign w:val="baseline"/>
        </w:rPr>
        <w:t>dominant</w:t>
      </w:r>
    </w:p>
    <w:p>
      <w:pPr>
        <w:pStyle w:val="BodyText"/>
        <w:spacing w:before="114"/>
        <w:ind w:left="165"/>
        <w:jc w:val="both"/>
        <w:rPr>
          <w:position w:val="-2"/>
        </w:rPr>
      </w:pPr>
      <w:r>
        <w:rPr/>
        <w:t>purpose was not to deter the other party from breach”. </w:t>
      </w:r>
      <w:r>
        <w:rPr>
          <w:color w:val="005DA1"/>
          <w:u w:val="single" w:color="005DA1"/>
          <w:vertAlign w:val="superscript"/>
        </w:rPr>
        <w:t>972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Effect of </w:t>
      </w:r>
      <w:r>
        <w:rPr>
          <w:rFonts w:ascii="Arial"/>
          <w:b/>
          <w:spacing w:val="-2"/>
          <w:sz w:val="18"/>
        </w:rPr>
        <w:t>distinction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178A</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3"/>
        </w:rPr>
        <w:t> </w:t>
      </w:r>
      <w:bookmarkStart w:name="_bookmark1832" w:id="1834"/>
      <w:bookmarkEnd w:id="1834"/>
      <w:r>
        <w:rPr>
          <w:rFonts w:ascii="Times New Roman"/>
          <w:spacing w:val="-17"/>
        </w:rPr>
      </w:r>
      <w:r>
        <w:rPr/>
        <w:t>If</w:t>
      </w:r>
      <w:r>
        <w:rPr>
          <w:spacing w:val="29"/>
        </w:rPr>
        <w:t> </w:t>
      </w:r>
      <w:r>
        <w:rPr/>
        <w:t>the</w:t>
      </w:r>
      <w:r>
        <w:rPr>
          <w:spacing w:val="29"/>
        </w:rPr>
        <w:t> </w:t>
      </w:r>
      <w:r>
        <w:rPr/>
        <w:t>clause</w:t>
      </w:r>
      <w:r>
        <w:rPr>
          <w:spacing w:val="29"/>
        </w:rPr>
        <w:t> </w:t>
      </w:r>
      <w:r>
        <w:rPr/>
        <w:t>is</w:t>
      </w:r>
      <w:r>
        <w:rPr>
          <w:spacing w:val="29"/>
        </w:rPr>
        <w:t> </w:t>
      </w:r>
      <w:r>
        <w:rPr/>
        <w:t>not</w:t>
      </w:r>
      <w:r>
        <w:rPr>
          <w:spacing w:val="29"/>
        </w:rPr>
        <w:t> </w:t>
      </w:r>
      <w:r>
        <w:rPr/>
        <w:t>void</w:t>
      </w:r>
      <w:r>
        <w:rPr>
          <w:spacing w:val="29"/>
        </w:rPr>
        <w:t> </w:t>
      </w:r>
      <w:r>
        <w:rPr/>
        <w:t>as</w:t>
      </w:r>
      <w:r>
        <w:rPr>
          <w:spacing w:val="29"/>
        </w:rPr>
        <w:t> </w:t>
      </w:r>
      <w:r>
        <w:rPr/>
        <w:t>a</w:t>
      </w:r>
      <w:r>
        <w:rPr>
          <w:spacing w:val="29"/>
        </w:rPr>
        <w:t> </w:t>
      </w:r>
      <w:r>
        <w:rPr/>
        <w:t>penalty,</w:t>
      </w:r>
      <w:r>
        <w:rPr>
          <w:spacing w:val="29"/>
        </w:rPr>
        <w:t> </w:t>
      </w:r>
      <w:r>
        <w:rPr/>
        <w:t>it</w:t>
      </w:r>
      <w:r>
        <w:rPr>
          <w:spacing w:val="29"/>
        </w:rPr>
        <w:t> </w:t>
      </w:r>
      <w:r>
        <w:rPr/>
        <w:t>is</w:t>
      </w:r>
      <w:r>
        <w:rPr>
          <w:spacing w:val="29"/>
        </w:rPr>
        <w:t> </w:t>
      </w:r>
      <w:r>
        <w:rPr/>
        <w:t>enforceable</w:t>
      </w:r>
      <w:r>
        <w:rPr>
          <w:spacing w:val="29"/>
        </w:rPr>
        <w:t> </w:t>
      </w:r>
      <w:r>
        <w:rPr/>
        <w:t>irrespective</w:t>
      </w:r>
      <w:r>
        <w:rPr>
          <w:spacing w:val="29"/>
        </w:rPr>
        <w:t> </w:t>
      </w:r>
      <w:r>
        <w:rPr/>
        <w:t>of</w:t>
      </w:r>
      <w:r>
        <w:rPr>
          <w:spacing w:val="29"/>
        </w:rPr>
        <w:t> </w:t>
      </w:r>
      <w:r>
        <w:rPr/>
        <w:t>the</w:t>
      </w:r>
      <w:r>
        <w:rPr>
          <w:spacing w:val="29"/>
        </w:rPr>
        <w:t> </w:t>
      </w:r>
      <w:r>
        <w:rPr/>
        <w:t>loss</w:t>
      </w:r>
      <w:r>
        <w:rPr>
          <w:spacing w:val="29"/>
        </w:rPr>
        <w:t> </w:t>
      </w:r>
      <w:r>
        <w:rPr/>
        <w:t>actually</w:t>
      </w:r>
      <w:r>
        <w:rPr>
          <w:spacing w:val="29"/>
        </w:rPr>
        <w:t> </w:t>
      </w:r>
      <w:r>
        <w:rPr/>
        <w:t>suffered,</w:t>
      </w:r>
    </w:p>
    <w:p>
      <w:pPr>
        <w:pStyle w:val="BodyText"/>
        <w:spacing w:line="235" w:lineRule="auto" w:before="119"/>
        <w:ind w:left="165" w:right="167"/>
        <w:jc w:val="both"/>
      </w:pPr>
      <w:r>
        <w:rPr/>
        <w:t>whether the actual loss is less or greater. </w:t>
      </w:r>
      <w:r>
        <w:rPr>
          <w:color w:val="005DA1"/>
          <w:u w:val="single" w:color="005DA1"/>
          <w:vertAlign w:val="superscript"/>
        </w:rPr>
        <w:t>973</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Courts of equity held that if the sum fixed </w:t>
      </w:r>
      <w:r>
        <w:rPr>
          <w:vertAlign w:val="baseline"/>
        </w:rPr>
        <w:t>was </w:t>
      </w:r>
      <w:bookmarkStart w:name="_bookmark1833" w:id="1835"/>
      <w:bookmarkEnd w:id="1835"/>
      <w:r>
        <w:rPr>
          <w:vertAlign w:val="baseline"/>
        </w:rPr>
        <w:t>unenforceable</w:t>
      </w:r>
      <w:r>
        <w:rPr>
          <w:vertAlign w:val="baseline"/>
        </w:rPr>
        <w:t> as a penalty to ensure that the promise was not broken, the promisee should nevertheless</w:t>
      </w:r>
      <w:r>
        <w:rPr>
          <w:spacing w:val="3"/>
          <w:vertAlign w:val="baseline"/>
        </w:rPr>
        <w:t> </w:t>
      </w:r>
      <w:r>
        <w:rPr>
          <w:vertAlign w:val="baseline"/>
        </w:rPr>
        <w:t>receive</w:t>
      </w:r>
      <w:r>
        <w:rPr>
          <w:spacing w:val="3"/>
          <w:vertAlign w:val="baseline"/>
        </w:rPr>
        <w:t> </w:t>
      </w:r>
      <w:r>
        <w:rPr>
          <w:vertAlign w:val="baseline"/>
        </w:rPr>
        <w:t>by</w:t>
      </w:r>
      <w:r>
        <w:rPr>
          <w:spacing w:val="3"/>
          <w:vertAlign w:val="baseline"/>
        </w:rPr>
        <w:t> </w:t>
      </w:r>
      <w:r>
        <w:rPr>
          <w:vertAlign w:val="baseline"/>
        </w:rPr>
        <w:t>way</w:t>
      </w:r>
      <w:r>
        <w:rPr>
          <w:spacing w:val="3"/>
          <w:vertAlign w:val="baseline"/>
        </w:rPr>
        <w:t> </w:t>
      </w:r>
      <w:r>
        <w:rPr>
          <w:vertAlign w:val="baseline"/>
        </w:rPr>
        <w:t>of</w:t>
      </w:r>
      <w:r>
        <w:rPr>
          <w:spacing w:val="3"/>
          <w:vertAlign w:val="baseline"/>
        </w:rPr>
        <w:t> </w:t>
      </w:r>
      <w:r>
        <w:rPr>
          <w:vertAlign w:val="baseline"/>
        </w:rPr>
        <w:t>damages</w:t>
      </w:r>
      <w:r>
        <w:rPr>
          <w:spacing w:val="3"/>
          <w:vertAlign w:val="baseline"/>
        </w:rPr>
        <w:t> </w:t>
      </w:r>
      <w:r>
        <w:rPr>
          <w:vertAlign w:val="baseline"/>
        </w:rPr>
        <w:t>the</w:t>
      </w:r>
      <w:r>
        <w:rPr>
          <w:spacing w:val="3"/>
          <w:vertAlign w:val="baseline"/>
        </w:rPr>
        <w:t> </w:t>
      </w:r>
      <w:r>
        <w:rPr>
          <w:vertAlign w:val="baseline"/>
        </w:rPr>
        <w:t>sum</w:t>
      </w:r>
      <w:r>
        <w:rPr>
          <w:spacing w:val="3"/>
          <w:vertAlign w:val="baseline"/>
        </w:rPr>
        <w:t> </w:t>
      </w:r>
      <w:r>
        <w:rPr>
          <w:vertAlign w:val="baseline"/>
        </w:rPr>
        <w:t>which</w:t>
      </w:r>
      <w:r>
        <w:rPr>
          <w:spacing w:val="3"/>
          <w:vertAlign w:val="baseline"/>
        </w:rPr>
        <w:t> </w:t>
      </w:r>
      <w:r>
        <w:rPr>
          <w:vertAlign w:val="baseline"/>
        </w:rPr>
        <w:t>would</w:t>
      </w:r>
      <w:r>
        <w:rPr>
          <w:spacing w:val="3"/>
          <w:vertAlign w:val="baseline"/>
        </w:rPr>
        <w:t> </w:t>
      </w:r>
      <w:r>
        <w:rPr>
          <w:vertAlign w:val="baseline"/>
        </w:rPr>
        <w:t>compensate</w:t>
      </w:r>
      <w:r>
        <w:rPr>
          <w:spacing w:val="3"/>
          <w:vertAlign w:val="baseline"/>
        </w:rPr>
        <w:t> </w:t>
      </w:r>
      <w:r>
        <w:rPr>
          <w:vertAlign w:val="baseline"/>
        </w:rPr>
        <w:t>him</w:t>
      </w:r>
      <w:r>
        <w:rPr>
          <w:spacing w:val="3"/>
          <w:vertAlign w:val="baseline"/>
        </w:rPr>
        <w:t> </w:t>
      </w:r>
      <w:r>
        <w:rPr>
          <w:vertAlign w:val="baseline"/>
        </w:rPr>
        <w:t>for</w:t>
      </w:r>
      <w:r>
        <w:rPr>
          <w:spacing w:val="3"/>
          <w:vertAlign w:val="baseline"/>
        </w:rPr>
        <w:t> </w:t>
      </w:r>
      <w:r>
        <w:rPr>
          <w:vertAlign w:val="baseline"/>
        </w:rPr>
        <w:t>his</w:t>
      </w:r>
      <w:r>
        <w:rPr>
          <w:spacing w:val="3"/>
          <w:vertAlign w:val="baseline"/>
        </w:rPr>
        <w:t> </w:t>
      </w:r>
      <w:r>
        <w:rPr>
          <w:vertAlign w:val="baseline"/>
        </w:rPr>
        <w:t>actual</w:t>
      </w:r>
      <w:r>
        <w:rPr>
          <w:spacing w:val="3"/>
          <w:vertAlign w:val="baseline"/>
        </w:rPr>
        <w:t> </w:t>
      </w:r>
      <w:r>
        <w:rPr>
          <w:vertAlign w:val="baseline"/>
        </w:rPr>
        <w:t>loss.</w:t>
      </w:r>
      <w:r>
        <w:rPr>
          <w:spacing w:val="2"/>
          <w:vertAlign w:val="baseline"/>
        </w:rPr>
        <w:t> </w:t>
      </w:r>
      <w:r>
        <w:rPr>
          <w:color w:val="005DA1"/>
          <w:spacing w:val="-7"/>
          <w:u w:val="single" w:color="005DA1"/>
          <w:vertAlign w:val="superscript"/>
        </w:rPr>
        <w:t>974</w:t>
      </w:r>
    </w:p>
    <w:p>
      <w:pPr>
        <w:pStyle w:val="BodyText"/>
        <w:spacing w:line="340" w:lineRule="atLeast" w:before="5"/>
        <w:ind w:left="165" w:right="167" w:firstLine="115"/>
        <w:jc w:val="both"/>
        <w:rPr>
          <w:position w:val="-2"/>
        </w:rPr>
      </w:pPr>
      <w:r>
        <w:rPr>
          <w:position w:val="-2"/>
        </w:rPr>
        <w:drawing>
          <wp:inline distT="0" distB="0" distL="0" distR="0">
            <wp:extent cx="107988" cy="107988"/>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34" w:id="1836"/>
      <w:bookmarkEnd w:id="1836"/>
      <w:r>
        <w:rPr>
          <w:rFonts w:ascii="Times New Roman" w:hAnsi="Times New Roman"/>
          <w:spacing w:val="7"/>
        </w:rPr>
      </w:r>
      <w:r>
        <w:rPr/>
        <w:t>The Court of Appeal has held that the strict legal position is that the innocent party can sue on the penal</w:t>
      </w:r>
      <w:r>
        <w:rPr>
          <w:spacing w:val="1"/>
        </w:rPr>
        <w:t> </w:t>
      </w:r>
      <w:r>
        <w:rPr/>
        <w:t>clause,</w:t>
      </w:r>
      <w:r>
        <w:rPr>
          <w:spacing w:val="1"/>
        </w:rPr>
        <w:t> </w:t>
      </w:r>
      <w:r>
        <w:rPr/>
        <w:t>but</w:t>
      </w:r>
      <w:r>
        <w:rPr>
          <w:spacing w:val="1"/>
        </w:rPr>
        <w:t> </w:t>
      </w:r>
      <w:r>
        <w:rPr/>
        <w:t>“it</w:t>
      </w:r>
      <w:r>
        <w:rPr>
          <w:spacing w:val="1"/>
        </w:rPr>
        <w:t> </w:t>
      </w:r>
      <w:r>
        <w:rPr/>
        <w:t>will</w:t>
      </w:r>
      <w:r>
        <w:rPr>
          <w:spacing w:val="1"/>
        </w:rPr>
        <w:t> </w:t>
      </w:r>
      <w:r>
        <w:rPr/>
        <w:t>not</w:t>
      </w:r>
      <w:r>
        <w:rPr>
          <w:spacing w:val="1"/>
        </w:rPr>
        <w:t> </w:t>
      </w:r>
      <w:r>
        <w:rPr/>
        <w:t>be</w:t>
      </w:r>
      <w:r>
        <w:rPr>
          <w:spacing w:val="1"/>
        </w:rPr>
        <w:t> </w:t>
      </w:r>
      <w:r>
        <w:rPr/>
        <w:t>enforced</w:t>
      </w:r>
      <w:r>
        <w:rPr>
          <w:spacing w:val="1"/>
        </w:rPr>
        <w:t> </w:t>
      </w:r>
      <w:r>
        <w:rPr/>
        <w:t>…</w:t>
      </w:r>
      <w:r>
        <w:rPr>
          <w:spacing w:val="1"/>
        </w:rPr>
        <w:t> </w:t>
      </w:r>
      <w:r>
        <w:rPr/>
        <w:t>beyond</w:t>
      </w:r>
      <w:r>
        <w:rPr>
          <w:spacing w:val="1"/>
        </w:rPr>
        <w:t> </w:t>
      </w:r>
      <w:r>
        <w:rPr/>
        <w:t>the</w:t>
      </w:r>
      <w:r>
        <w:rPr>
          <w:spacing w:val="1"/>
        </w:rPr>
        <w:t> </w:t>
      </w:r>
      <w:r>
        <w:rPr/>
        <w:t>sum</w:t>
      </w:r>
      <w:r>
        <w:rPr>
          <w:spacing w:val="1"/>
        </w:rPr>
        <w:t> </w:t>
      </w:r>
      <w:r>
        <w:rPr/>
        <w:t>which</w:t>
      </w:r>
      <w:r>
        <w:rPr>
          <w:spacing w:val="1"/>
        </w:rPr>
        <w:t> </w:t>
      </w:r>
      <w:r>
        <w:rPr/>
        <w:t>represents</w:t>
      </w:r>
      <w:r>
        <w:rPr>
          <w:spacing w:val="1"/>
        </w:rPr>
        <w:t> </w:t>
      </w:r>
      <w:r>
        <w:rPr/>
        <w:t>[his]</w:t>
      </w:r>
      <w:r>
        <w:rPr>
          <w:spacing w:val="1"/>
        </w:rPr>
        <w:t> </w:t>
      </w:r>
      <w:r>
        <w:rPr/>
        <w:t>actual</w:t>
      </w:r>
      <w:r>
        <w:rPr>
          <w:spacing w:val="1"/>
        </w:rPr>
        <w:t> </w:t>
      </w:r>
      <w:r>
        <w:rPr/>
        <w:t>loss”.</w:t>
      </w:r>
      <w:r>
        <w:rPr>
          <w:spacing w:val="-1"/>
        </w:rPr>
        <w:t> </w:t>
      </w:r>
      <w:r>
        <w:rPr>
          <w:color w:val="005DA1"/>
          <w:u w:val="single" w:color="005DA1"/>
          <w:vertAlign w:val="superscript"/>
        </w:rPr>
        <w:t>975</w:t>
      </w:r>
      <w:r>
        <w:rPr>
          <w:color w:val="005DA1"/>
          <w:spacing w:val="74"/>
          <w:w w:val="150"/>
          <w:vertAlign w:val="baseline"/>
        </w:rPr>
        <w:t> </w:t>
      </w:r>
      <w:r>
        <w:rPr>
          <w:color w:val="005DA1"/>
          <w:spacing w:val="9"/>
          <w:position w:val="-2"/>
          <w:vertAlign w:val="baseline"/>
        </w:rPr>
        <w:drawing>
          <wp:inline distT="0" distB="0" distL="0" distR="0">
            <wp:extent cx="107988" cy="107988"/>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p>
    <w:p>
      <w:pPr>
        <w:pStyle w:val="BodyText"/>
        <w:spacing w:line="360" w:lineRule="auto"/>
        <w:ind w:left="165" w:right="167"/>
        <w:jc w:val="both"/>
        <w:rPr>
          <w:position w:val="-2"/>
        </w:rPr>
      </w:pPr>
      <w:bookmarkStart w:name="_bookmark1835" w:id="1837"/>
      <w:bookmarkEnd w:id="1837"/>
      <w:r>
        <w:rPr/>
      </w:r>
      <w:r>
        <w:rPr/>
        <w:t>Where there is provision for liquidated damages, the claimant may nevertheless, in </w:t>
      </w:r>
      <w:r>
        <w:rPr/>
        <w:t>appropriate</w:t>
      </w:r>
      <w:r>
        <w:rPr>
          <w:spacing w:val="80"/>
        </w:rPr>
        <w:t> </w:t>
      </w:r>
      <w:r>
        <w:rPr/>
        <w:t>cases, elect to ask for an injunction instead of enforcing the liquidated damages. </w:t>
      </w:r>
      <w:r>
        <w:rPr>
          <w:color w:val="005DA1"/>
          <w:u w:val="single" w:color="005DA1"/>
          <w:vertAlign w:val="superscript"/>
        </w:rPr>
        <w:t>976</w:t>
      </w:r>
      <w:r>
        <w:rPr>
          <w:color w:val="005DA1"/>
          <w:spacing w:val="80"/>
          <w:vertAlign w:val="baseline"/>
        </w:rPr>
        <w:t> </w:t>
      </w:r>
      <w:r>
        <w:rPr>
          <w:color w:val="005DA1"/>
          <w:position w:val="-2"/>
          <w:vertAlign w:val="baseline"/>
        </w:rPr>
        <w:drawing>
          <wp:inline distT="0" distB="0" distL="0" distR="0">
            <wp:extent cx="107988" cy="107988"/>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165" w:right="0" w:firstLine="0"/>
        <w:jc w:val="left"/>
        <w:rPr>
          <w:rFonts w:ascii="Arial"/>
          <w:b/>
          <w:sz w:val="18"/>
        </w:rPr>
      </w:pPr>
      <w:r>
        <w:rPr>
          <w:rFonts w:ascii="Arial"/>
          <w:b/>
          <w:sz w:val="18"/>
        </w:rPr>
        <w:t>Purpose of liquidated damage </w:t>
      </w:r>
      <w:r>
        <w:rPr>
          <w:rFonts w:ascii="Arial"/>
          <w:b/>
          <w:spacing w:val="-2"/>
          <w:sz w:val="18"/>
        </w:rPr>
        <w:t>clauses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179</w:t>
      </w:r>
    </w:p>
    <w:p>
      <w:pPr>
        <w:spacing w:after="0"/>
        <w:jc w:val="left"/>
        <w:rPr>
          <w:rFonts w:ascii="Arial"/>
          <w:b/>
          <w:sz w:val="24"/>
        </w:rPr>
        <w:sectPr>
          <w:pgSz w:w="11900" w:h="16840"/>
          <w:pgMar w:header="971" w:footer="0" w:top="1300" w:bottom="280" w:left="1275" w:right="1275"/>
        </w:sectPr>
      </w:pPr>
    </w:p>
    <w:p>
      <w:pPr>
        <w:pStyle w:val="BodyText"/>
        <w:spacing w:before="216"/>
        <w:rPr>
          <w:rFonts w:ascii="Arial"/>
          <w:b/>
        </w:rPr>
      </w:pPr>
    </w:p>
    <w:p>
      <w:pPr>
        <w:pStyle w:val="BodyText"/>
        <w:tabs>
          <w:tab w:pos="2041" w:val="left" w:leader="none"/>
        </w:tabs>
        <w:ind w:left="165"/>
      </w:pPr>
      <w:r>
        <w:rPr>
          <w:position w:val="-2"/>
        </w:rPr>
        <w:drawing>
          <wp:inline distT="0" distB="0" distL="0" distR="0">
            <wp:extent cx="107988" cy="107988"/>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1836" w:id="1838"/>
      <w:bookmarkEnd w:id="1838"/>
      <w:r>
        <w:rPr>
          <w:rFonts w:ascii="Times New Roman"/>
          <w:spacing w:val="23"/>
        </w:rPr>
      </w:r>
      <w:bookmarkStart w:name="_bookmark1837" w:id="1839"/>
      <w:bookmarkEnd w:id="1839"/>
      <w:r>
        <w:rPr>
          <w:rFonts w:ascii="Times New Roman"/>
          <w:spacing w:val="23"/>
        </w:rPr>
      </w:r>
      <w:r>
        <w:rPr/>
        <w:t>The</w:t>
      </w:r>
      <w:r>
        <w:rPr>
          <w:spacing w:val="27"/>
        </w:rPr>
        <w:t> </w:t>
      </w:r>
      <w:r>
        <w:rPr/>
        <w:t>purpose</w:t>
      </w:r>
      <w:r>
        <w:rPr>
          <w:spacing w:val="27"/>
        </w:rPr>
        <w:t> </w:t>
      </w:r>
      <w:r>
        <w:rPr>
          <w:color w:val="005DA1"/>
          <w:u w:val="single" w:color="005DA1"/>
          <w:vertAlign w:val="superscript"/>
        </w:rPr>
        <w:t>977</w:t>
      </w:r>
      <w:r>
        <w:rPr>
          <w:color w:val="005DA1"/>
          <w:vertAlign w:val="baseline"/>
        </w:rPr>
        <w:tab/>
      </w:r>
      <w:r>
        <w:rPr>
          <w:color w:val="005DA1"/>
          <w:position w:val="-2"/>
          <w:vertAlign w:val="baseline"/>
        </w:rPr>
        <w:drawing>
          <wp:inline distT="0" distB="0" distL="0" distR="0">
            <wp:extent cx="107988" cy="107988"/>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5"/>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parties</w:t>
      </w:r>
      <w:r>
        <w:rPr>
          <w:spacing w:val="19"/>
          <w:vertAlign w:val="baseline"/>
        </w:rPr>
        <w:t> </w:t>
      </w:r>
      <w:r>
        <w:rPr>
          <w:vertAlign w:val="baseline"/>
        </w:rPr>
        <w:t>in</w:t>
      </w:r>
      <w:r>
        <w:rPr>
          <w:spacing w:val="19"/>
          <w:vertAlign w:val="baseline"/>
        </w:rPr>
        <w:t> </w:t>
      </w:r>
      <w:r>
        <w:rPr>
          <w:vertAlign w:val="baseline"/>
        </w:rPr>
        <w:t>fixing</w:t>
      </w:r>
      <w:r>
        <w:rPr>
          <w:spacing w:val="19"/>
          <w:vertAlign w:val="baseline"/>
        </w:rPr>
        <w:t> </w:t>
      </w:r>
      <w:r>
        <w:rPr>
          <w:vertAlign w:val="baseline"/>
        </w:rPr>
        <w:t>a</w:t>
      </w:r>
      <w:r>
        <w:rPr>
          <w:spacing w:val="19"/>
          <w:vertAlign w:val="baseline"/>
        </w:rPr>
        <w:t> </w:t>
      </w:r>
      <w:r>
        <w:rPr>
          <w:vertAlign w:val="baseline"/>
        </w:rPr>
        <w:t>sum</w:t>
      </w:r>
      <w:r>
        <w:rPr>
          <w:spacing w:val="19"/>
          <w:vertAlign w:val="baseline"/>
        </w:rPr>
        <w:t> </w:t>
      </w:r>
      <w:r>
        <w:rPr>
          <w:vertAlign w:val="baseline"/>
        </w:rPr>
        <w:t>is</w:t>
      </w:r>
      <w:r>
        <w:rPr>
          <w:spacing w:val="19"/>
          <w:vertAlign w:val="baseline"/>
        </w:rPr>
        <w:t> </w:t>
      </w:r>
      <w:r>
        <w:rPr>
          <w:vertAlign w:val="baseline"/>
        </w:rPr>
        <w:t>to</w:t>
      </w:r>
      <w:r>
        <w:rPr>
          <w:spacing w:val="19"/>
          <w:vertAlign w:val="baseline"/>
        </w:rPr>
        <w:t> </w:t>
      </w:r>
      <w:r>
        <w:rPr>
          <w:vertAlign w:val="baseline"/>
        </w:rPr>
        <w:t>facilitate</w:t>
      </w:r>
      <w:r>
        <w:rPr>
          <w:spacing w:val="19"/>
          <w:vertAlign w:val="baseline"/>
        </w:rPr>
        <w:t> </w:t>
      </w:r>
      <w:r>
        <w:rPr>
          <w:vertAlign w:val="baseline"/>
        </w:rPr>
        <w:t>recovery</w:t>
      </w:r>
      <w:r>
        <w:rPr>
          <w:spacing w:val="19"/>
          <w:vertAlign w:val="baseline"/>
        </w:rPr>
        <w:t> </w:t>
      </w:r>
      <w:r>
        <w:rPr>
          <w:vertAlign w:val="baseline"/>
        </w:rPr>
        <w:t>of</w:t>
      </w:r>
      <w:r>
        <w:rPr>
          <w:spacing w:val="19"/>
          <w:vertAlign w:val="baseline"/>
        </w:rPr>
        <w:t> </w:t>
      </w:r>
      <w:r>
        <w:rPr>
          <w:vertAlign w:val="baseline"/>
        </w:rPr>
        <w:t>damages</w:t>
      </w:r>
      <w:r>
        <w:rPr>
          <w:spacing w:val="19"/>
          <w:vertAlign w:val="baseline"/>
        </w:rPr>
        <w:t> </w:t>
      </w:r>
      <w:r>
        <w:rPr>
          <w:vertAlign w:val="baseline"/>
        </w:rPr>
        <w:t>without</w:t>
      </w:r>
      <w:r>
        <w:rPr>
          <w:spacing w:val="19"/>
          <w:vertAlign w:val="baseline"/>
        </w:rPr>
        <w:t> </w:t>
      </w:r>
      <w:r>
        <w:rPr>
          <w:vertAlign w:val="baseline"/>
        </w:rPr>
        <w:t>the</w:t>
      </w:r>
    </w:p>
    <w:p>
      <w:pPr>
        <w:pStyle w:val="BodyText"/>
        <w:tabs>
          <w:tab w:pos="4985" w:val="left" w:leader="none"/>
        </w:tabs>
        <w:spacing w:line="235" w:lineRule="auto" w:before="119"/>
        <w:ind w:left="165" w:right="167"/>
      </w:pPr>
      <w:r>
        <w:rPr/>
        <w:t>difficulty and expense of proving actual damage </w:t>
      </w:r>
      <w:r>
        <w:rPr>
          <w:color w:val="005DA1"/>
          <w:u w:val="single" w:color="005DA1"/>
          <w:vertAlign w:val="superscript"/>
        </w:rPr>
        <w:t>978</w:t>
      </w:r>
      <w:r>
        <w:rPr>
          <w:color w:val="005DA1"/>
          <w:vertAlign w:val="baseline"/>
        </w:rPr>
        <w:tab/>
      </w:r>
      <w:r>
        <w:rPr>
          <w:color w:val="005DA1"/>
          <w:position w:val="-2"/>
          <w:vertAlign w:val="baseline"/>
        </w:rPr>
        <w:drawing>
          <wp:inline distT="0" distB="0" distL="0" distR="0">
            <wp:extent cx="107988" cy="107988"/>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or to avoid the risk of under-</w:t>
      </w:r>
      <w:r>
        <w:rPr>
          <w:vertAlign w:val="baseline"/>
        </w:rPr>
        <w:t>compensation, </w:t>
      </w:r>
      <w:bookmarkStart w:name="_bookmark1838" w:id="1840"/>
      <w:bookmarkEnd w:id="1840"/>
      <w:r>
        <w:rPr>
          <w:vertAlign w:val="baseline"/>
        </w:rPr>
        <w:t>where</w:t>
      </w:r>
      <w:r>
        <w:rPr>
          <w:spacing w:val="31"/>
          <w:vertAlign w:val="baseline"/>
        </w:rPr>
        <w:t> </w:t>
      </w:r>
      <w:r>
        <w:rPr>
          <w:vertAlign w:val="baseline"/>
        </w:rPr>
        <w:t>the</w:t>
      </w:r>
      <w:r>
        <w:rPr>
          <w:spacing w:val="31"/>
          <w:vertAlign w:val="baseline"/>
        </w:rPr>
        <w:t> </w:t>
      </w:r>
      <w:r>
        <w:rPr>
          <w:vertAlign w:val="baseline"/>
        </w:rPr>
        <w:t>rules</w:t>
      </w:r>
      <w:r>
        <w:rPr>
          <w:spacing w:val="31"/>
          <w:vertAlign w:val="baseline"/>
        </w:rPr>
        <w:t> </w:t>
      </w:r>
      <w:r>
        <w:rPr>
          <w:vertAlign w:val="baseline"/>
        </w:rPr>
        <w:t>on</w:t>
      </w:r>
      <w:r>
        <w:rPr>
          <w:spacing w:val="31"/>
          <w:vertAlign w:val="baseline"/>
        </w:rPr>
        <w:t> </w:t>
      </w:r>
      <w:r>
        <w:rPr>
          <w:vertAlign w:val="baseline"/>
        </w:rPr>
        <w:t>remoteness</w:t>
      </w:r>
      <w:r>
        <w:rPr>
          <w:spacing w:val="31"/>
          <w:vertAlign w:val="baseline"/>
        </w:rPr>
        <w:t> </w:t>
      </w:r>
      <w:r>
        <w:rPr>
          <w:vertAlign w:val="baseline"/>
        </w:rPr>
        <w:t>of</w:t>
      </w:r>
      <w:r>
        <w:rPr>
          <w:spacing w:val="31"/>
          <w:vertAlign w:val="baseline"/>
        </w:rPr>
        <w:t> </w:t>
      </w:r>
      <w:r>
        <w:rPr>
          <w:vertAlign w:val="baseline"/>
        </w:rPr>
        <w:t>damage</w:t>
      </w:r>
      <w:r>
        <w:rPr>
          <w:spacing w:val="31"/>
          <w:vertAlign w:val="baseline"/>
        </w:rPr>
        <w:t> </w:t>
      </w:r>
      <w:r>
        <w:rPr>
          <w:vertAlign w:val="baseline"/>
        </w:rPr>
        <w:t>might</w:t>
      </w:r>
      <w:r>
        <w:rPr>
          <w:spacing w:val="31"/>
          <w:vertAlign w:val="baseline"/>
        </w:rPr>
        <w:t> </w:t>
      </w:r>
      <w:r>
        <w:rPr>
          <w:vertAlign w:val="baseline"/>
        </w:rPr>
        <w:t>not</w:t>
      </w:r>
      <w:r>
        <w:rPr>
          <w:spacing w:val="31"/>
          <w:vertAlign w:val="baseline"/>
        </w:rPr>
        <w:t> </w:t>
      </w:r>
      <w:r>
        <w:rPr>
          <w:vertAlign w:val="baseline"/>
        </w:rPr>
        <w:t>cover</w:t>
      </w:r>
      <w:r>
        <w:rPr>
          <w:spacing w:val="31"/>
          <w:vertAlign w:val="baseline"/>
        </w:rPr>
        <w:t> </w:t>
      </w:r>
      <w:r>
        <w:rPr>
          <w:vertAlign w:val="baseline"/>
        </w:rPr>
        <w:t>consequential,</w:t>
      </w:r>
      <w:r>
        <w:rPr>
          <w:spacing w:val="31"/>
          <w:vertAlign w:val="baseline"/>
        </w:rPr>
        <w:t> </w:t>
      </w:r>
      <w:r>
        <w:rPr>
          <w:vertAlign w:val="baseline"/>
        </w:rPr>
        <w:t>indirect</w:t>
      </w:r>
      <w:r>
        <w:rPr>
          <w:spacing w:val="31"/>
          <w:vertAlign w:val="baseline"/>
        </w:rPr>
        <w:t> </w:t>
      </w:r>
      <w:r>
        <w:rPr>
          <w:vertAlign w:val="baseline"/>
        </w:rPr>
        <w:t>or</w:t>
      </w:r>
      <w:r>
        <w:rPr>
          <w:spacing w:val="31"/>
          <w:vertAlign w:val="baseline"/>
        </w:rPr>
        <w:t> </w:t>
      </w:r>
      <w:r>
        <w:rPr>
          <w:spacing w:val="-2"/>
          <w:vertAlign w:val="baseline"/>
        </w:rPr>
        <w:t>idiosyncratic</w:t>
      </w:r>
    </w:p>
    <w:p>
      <w:pPr>
        <w:pStyle w:val="BodyText"/>
        <w:tabs>
          <w:tab w:pos="1054" w:val="left" w:leader="none"/>
        </w:tabs>
        <w:spacing w:before="116"/>
        <w:ind w:left="165"/>
      </w:pPr>
      <w:bookmarkStart w:name="_bookmark1839" w:id="1841"/>
      <w:bookmarkEnd w:id="1841"/>
      <w:r>
        <w:rPr/>
      </w:r>
      <w:r>
        <w:rPr/>
        <w:t>loss</w:t>
      </w:r>
      <w:r>
        <w:rPr>
          <w:spacing w:val="27"/>
        </w:rPr>
        <w:t> </w:t>
      </w:r>
      <w:r>
        <w:rPr>
          <w:color w:val="005DA1"/>
          <w:spacing w:val="-5"/>
          <w:u w:val="single" w:color="005DA1"/>
          <w:vertAlign w:val="superscript"/>
        </w:rPr>
        <w:t>979</w:t>
      </w:r>
      <w:r>
        <w:rPr>
          <w:color w:val="005DA1"/>
          <w:vertAlign w:val="baseline"/>
        </w:rPr>
        <w:tab/>
      </w:r>
      <w:r>
        <w:rPr>
          <w:color w:val="005DA1"/>
          <w:position w:val="-2"/>
          <w:vertAlign w:val="baseline"/>
        </w:rPr>
        <w:drawing>
          <wp:inline distT="0" distB="0" distL="0" distR="0">
            <wp:extent cx="107988" cy="107988"/>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7"/>
          <w:vertAlign w:val="baseline"/>
        </w:rPr>
        <w:t> </w:t>
      </w:r>
      <w:r>
        <w:rPr>
          <w:vertAlign w:val="baseline"/>
        </w:rPr>
        <w:t>or</w:t>
      </w:r>
      <w:r>
        <w:rPr>
          <w:spacing w:val="27"/>
          <w:vertAlign w:val="baseline"/>
        </w:rPr>
        <w:t> </w:t>
      </w:r>
      <w:r>
        <w:rPr>
          <w:vertAlign w:val="baseline"/>
        </w:rPr>
        <w:t>to</w:t>
      </w:r>
      <w:r>
        <w:rPr>
          <w:spacing w:val="27"/>
          <w:vertAlign w:val="baseline"/>
        </w:rPr>
        <w:t> </w:t>
      </w:r>
      <w:r>
        <w:rPr>
          <w:vertAlign w:val="baseline"/>
        </w:rPr>
        <w:t>give</w:t>
      </w:r>
      <w:r>
        <w:rPr>
          <w:spacing w:val="27"/>
          <w:vertAlign w:val="baseline"/>
        </w:rPr>
        <w:t> </w:t>
      </w:r>
      <w:r>
        <w:rPr>
          <w:vertAlign w:val="baseline"/>
        </w:rPr>
        <w:t>the</w:t>
      </w:r>
      <w:r>
        <w:rPr>
          <w:spacing w:val="27"/>
          <w:vertAlign w:val="baseline"/>
        </w:rPr>
        <w:t> </w:t>
      </w:r>
      <w:r>
        <w:rPr>
          <w:vertAlign w:val="baseline"/>
        </w:rPr>
        <w:t>promisee</w:t>
      </w:r>
      <w:r>
        <w:rPr>
          <w:spacing w:val="27"/>
          <w:vertAlign w:val="baseline"/>
        </w:rPr>
        <w:t> </w:t>
      </w:r>
      <w:r>
        <w:rPr>
          <w:vertAlign w:val="baseline"/>
        </w:rPr>
        <w:t>an</w:t>
      </w:r>
      <w:r>
        <w:rPr>
          <w:spacing w:val="27"/>
          <w:vertAlign w:val="baseline"/>
        </w:rPr>
        <w:t> </w:t>
      </w:r>
      <w:r>
        <w:rPr>
          <w:vertAlign w:val="baseline"/>
        </w:rPr>
        <w:t>assurance</w:t>
      </w:r>
      <w:r>
        <w:rPr>
          <w:spacing w:val="27"/>
          <w:vertAlign w:val="baseline"/>
        </w:rPr>
        <w:t> </w:t>
      </w:r>
      <w:r>
        <w:rPr>
          <w:vertAlign w:val="baseline"/>
        </w:rPr>
        <w:t>that</w:t>
      </w:r>
      <w:r>
        <w:rPr>
          <w:spacing w:val="27"/>
          <w:vertAlign w:val="baseline"/>
        </w:rPr>
        <w:t> </w:t>
      </w:r>
      <w:r>
        <w:rPr>
          <w:vertAlign w:val="baseline"/>
        </w:rPr>
        <w:t>he</w:t>
      </w:r>
      <w:r>
        <w:rPr>
          <w:spacing w:val="27"/>
          <w:vertAlign w:val="baseline"/>
        </w:rPr>
        <w:t> </w:t>
      </w:r>
      <w:r>
        <w:rPr>
          <w:vertAlign w:val="baseline"/>
        </w:rPr>
        <w:t>may</w:t>
      </w:r>
      <w:r>
        <w:rPr>
          <w:spacing w:val="27"/>
          <w:vertAlign w:val="baseline"/>
        </w:rPr>
        <w:t> </w:t>
      </w:r>
      <w:r>
        <w:rPr>
          <w:vertAlign w:val="baseline"/>
        </w:rPr>
        <w:t>safely</w:t>
      </w:r>
      <w:r>
        <w:rPr>
          <w:spacing w:val="27"/>
          <w:vertAlign w:val="baseline"/>
        </w:rPr>
        <w:t> </w:t>
      </w:r>
      <w:r>
        <w:rPr>
          <w:vertAlign w:val="baseline"/>
        </w:rPr>
        <w:t>rely</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fulfilment</w:t>
      </w:r>
      <w:r>
        <w:rPr>
          <w:spacing w:val="27"/>
          <w:vertAlign w:val="baseline"/>
        </w:rPr>
        <w:t> </w:t>
      </w:r>
      <w:r>
        <w:rPr>
          <w:vertAlign w:val="baseline"/>
        </w:rPr>
        <w:t>of</w:t>
      </w:r>
      <w:r>
        <w:rPr>
          <w:spacing w:val="27"/>
          <w:vertAlign w:val="baseline"/>
        </w:rPr>
        <w:t> </w:t>
      </w:r>
      <w:r>
        <w:rPr>
          <w:spacing w:val="-5"/>
          <w:vertAlign w:val="baseline"/>
        </w:rPr>
        <w:t>the</w:t>
      </w:r>
    </w:p>
    <w:p>
      <w:pPr>
        <w:pStyle w:val="BodyText"/>
        <w:spacing w:before="8"/>
      </w:pPr>
    </w:p>
    <w:p>
      <w:pPr>
        <w:pStyle w:val="BodyText"/>
        <w:spacing w:line="235" w:lineRule="auto" w:before="1"/>
        <w:ind w:left="165" w:right="167"/>
      </w:pPr>
      <w:bookmarkStart w:name="_bookmark1840" w:id="1842"/>
      <w:bookmarkEnd w:id="1842"/>
      <w:r>
        <w:rPr/>
      </w:r>
      <w:r>
        <w:rPr/>
        <w:t>promise </w:t>
      </w:r>
      <w:r>
        <w:rPr>
          <w:color w:val="005DA1"/>
          <w:u w:val="single" w:color="005DA1"/>
          <w:vertAlign w:val="superscript"/>
        </w:rPr>
        <w:t>980</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or to deter a party from breaching the contract. </w:t>
      </w:r>
      <w:r>
        <w:rPr>
          <w:color w:val="005DA1"/>
          <w:u w:val="single" w:color="005DA1"/>
          <w:vertAlign w:val="superscript"/>
        </w:rPr>
        <w:t>981</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13"/>
          <w:vertAlign w:val="baseline"/>
        </w:rPr>
        <w:t> </w:t>
      </w:r>
      <w:r>
        <w:rPr>
          <w:vertAlign w:val="baseline"/>
        </w:rPr>
        <w:t>Often the parties to a contract </w:t>
      </w:r>
      <w:bookmarkStart w:name="_bookmark1841" w:id="1843"/>
      <w:bookmarkEnd w:id="1843"/>
      <w:r>
        <w:rPr>
          <w:vertAlign w:val="baseline"/>
        </w:rPr>
        <w:t>fix</w:t>
      </w:r>
      <w:r>
        <w:rPr>
          <w:spacing w:val="3"/>
          <w:vertAlign w:val="baseline"/>
        </w:rPr>
        <w:t> </w:t>
      </w:r>
      <w:r>
        <w:rPr>
          <w:vertAlign w:val="baseline"/>
        </w:rPr>
        <w:t>a</w:t>
      </w:r>
      <w:r>
        <w:rPr>
          <w:spacing w:val="3"/>
          <w:vertAlign w:val="baseline"/>
        </w:rPr>
        <w:t> </w:t>
      </w:r>
      <w:r>
        <w:rPr>
          <w:vertAlign w:val="baseline"/>
        </w:rPr>
        <w:t>sum</w:t>
      </w:r>
      <w:r>
        <w:rPr>
          <w:spacing w:val="3"/>
          <w:vertAlign w:val="baseline"/>
        </w:rPr>
        <w:t> </w:t>
      </w:r>
      <w:r>
        <w:rPr>
          <w:vertAlign w:val="baseline"/>
        </w:rPr>
        <w:t>as</w:t>
      </w:r>
      <w:r>
        <w:rPr>
          <w:spacing w:val="3"/>
          <w:vertAlign w:val="baseline"/>
        </w:rPr>
        <w:t> </w:t>
      </w:r>
      <w:r>
        <w:rPr>
          <w:vertAlign w:val="baseline"/>
        </w:rPr>
        <w:t>liquidated</w:t>
      </w:r>
      <w:r>
        <w:rPr>
          <w:spacing w:val="3"/>
          <w:vertAlign w:val="baseline"/>
        </w:rPr>
        <w:t> </w:t>
      </w:r>
      <w:r>
        <w:rPr>
          <w:vertAlign w:val="baseline"/>
        </w:rPr>
        <w:t>damages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event</w:t>
      </w:r>
      <w:r>
        <w:rPr>
          <w:spacing w:val="3"/>
          <w:vertAlign w:val="baseline"/>
        </w:rPr>
        <w:t> </w:t>
      </w:r>
      <w:r>
        <w:rPr>
          <w:vertAlign w:val="baseline"/>
        </w:rPr>
        <w:t>of</w:t>
      </w:r>
      <w:r>
        <w:rPr>
          <w:spacing w:val="3"/>
          <w:vertAlign w:val="baseline"/>
        </w:rPr>
        <w:t> </w:t>
      </w:r>
      <w:r>
        <w:rPr>
          <w:vertAlign w:val="baseline"/>
        </w:rPr>
        <w:t>one</w:t>
      </w:r>
      <w:r>
        <w:rPr>
          <w:spacing w:val="3"/>
          <w:vertAlign w:val="baseline"/>
        </w:rPr>
        <w:t> </w:t>
      </w:r>
      <w:r>
        <w:rPr>
          <w:vertAlign w:val="baseline"/>
        </w:rPr>
        <w:t>specific</w:t>
      </w:r>
      <w:r>
        <w:rPr>
          <w:spacing w:val="3"/>
          <w:vertAlign w:val="baseline"/>
        </w:rPr>
        <w:t> </w:t>
      </w:r>
      <w:r>
        <w:rPr>
          <w:vertAlign w:val="baseline"/>
        </w:rPr>
        <w:t>breach,</w:t>
      </w:r>
      <w:r>
        <w:rPr>
          <w:spacing w:val="3"/>
          <w:vertAlign w:val="baseline"/>
        </w:rPr>
        <w:t> </w:t>
      </w:r>
      <w:r>
        <w:rPr>
          <w:vertAlign w:val="baseline"/>
        </w:rPr>
        <w:t>and</w:t>
      </w:r>
      <w:r>
        <w:rPr>
          <w:spacing w:val="3"/>
          <w:vertAlign w:val="baseline"/>
        </w:rPr>
        <w:t> </w:t>
      </w:r>
      <w:r>
        <w:rPr>
          <w:vertAlign w:val="baseline"/>
        </w:rPr>
        <w:t>leave</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to</w:t>
      </w:r>
      <w:r>
        <w:rPr>
          <w:spacing w:val="3"/>
          <w:vertAlign w:val="baseline"/>
        </w:rPr>
        <w:t> </w:t>
      </w:r>
      <w:r>
        <w:rPr>
          <w:vertAlign w:val="baseline"/>
        </w:rPr>
        <w:t>sue</w:t>
      </w:r>
      <w:r>
        <w:rPr>
          <w:spacing w:val="3"/>
          <w:vertAlign w:val="baseline"/>
        </w:rPr>
        <w:t> </w:t>
      </w:r>
      <w:r>
        <w:rPr>
          <w:spacing w:val="-5"/>
          <w:vertAlign w:val="baseline"/>
        </w:rPr>
        <w:t>for</w:t>
      </w:r>
    </w:p>
    <w:p>
      <w:pPr>
        <w:pStyle w:val="BodyText"/>
        <w:spacing w:before="115"/>
        <w:ind w:left="165"/>
        <w:rPr>
          <w:position w:val="-2"/>
        </w:rPr>
      </w:pPr>
      <w:r>
        <w:rPr/>
        <w:t>unliquidated damages in the ordinary way if other types of breach occur. </w:t>
      </w:r>
      <w:r>
        <w:rPr>
          <w:color w:val="005DA1"/>
          <w:u w:val="single" w:color="005DA1"/>
          <w:vertAlign w:val="superscript"/>
        </w:rPr>
        <w:t>982</w:t>
      </w:r>
      <w:r>
        <w:rPr>
          <w:color w:val="005DA1"/>
          <w:spacing w:val="80"/>
          <w:w w:val="150"/>
          <w:vertAlign w:val="baseline"/>
        </w:rPr>
        <w:t> </w:t>
      </w:r>
      <w:r>
        <w:rPr>
          <w:color w:val="005DA1"/>
          <w:position w:val="-2"/>
          <w:vertAlign w:val="baseline"/>
        </w:rPr>
        <w:drawing>
          <wp:inline distT="0" distB="0" distL="0" distR="0">
            <wp:extent cx="107988" cy="107988"/>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“Underliquidated </w:t>
      </w:r>
      <w:r>
        <w:rPr>
          <w:rFonts w:ascii="Arial" w:hAns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practice, liquidated damages clauses frequently serve to limit one party’s liability. In other </w:t>
      </w:r>
      <w:r>
        <w:rPr/>
        <w:t>words, the parties may agree that in the event of breach, the party in breach will pay a sum which is </w:t>
      </w:r>
      <w:bookmarkStart w:name="_bookmark1842" w:id="1844"/>
      <w:bookmarkEnd w:id="1844"/>
      <w:r>
        <w:rPr/>
        <w:t>demonstrably</w:t>
      </w:r>
      <w:r>
        <w:rPr/>
        <w:t> less than a pre-estimate of the likely loss. A clause of this type is sometimes called an “underliquidated</w:t>
      </w:r>
      <w:r>
        <w:rPr>
          <w:spacing w:val="3"/>
        </w:rPr>
        <w:t> </w:t>
      </w:r>
      <w:r>
        <w:rPr/>
        <w:t>damages</w:t>
      </w:r>
      <w:r>
        <w:rPr>
          <w:spacing w:val="3"/>
        </w:rPr>
        <w:t> </w:t>
      </w:r>
      <w:r>
        <w:rPr/>
        <w:t>clause”.</w:t>
      </w:r>
      <w:r>
        <w:rPr>
          <w:spacing w:val="3"/>
        </w:rPr>
        <w:t> </w:t>
      </w:r>
      <w:r>
        <w:rPr/>
        <w:t>This</w:t>
      </w:r>
      <w:r>
        <w:rPr>
          <w:spacing w:val="3"/>
        </w:rPr>
        <w:t> </w:t>
      </w:r>
      <w:r>
        <w:rPr/>
        <w:t>will</w:t>
      </w:r>
      <w:r>
        <w:rPr>
          <w:spacing w:val="3"/>
        </w:rPr>
        <w:t> </w:t>
      </w:r>
      <w:r>
        <w:rPr/>
        <w:t>not</w:t>
      </w:r>
      <w:r>
        <w:rPr>
          <w:spacing w:val="3"/>
        </w:rPr>
        <w:t> </w:t>
      </w:r>
      <w:r>
        <w:rPr/>
        <w:t>prevent</w:t>
      </w:r>
      <w:r>
        <w:rPr>
          <w:spacing w:val="3"/>
        </w:rPr>
        <w:t> </w:t>
      </w:r>
      <w:r>
        <w:rPr/>
        <w:t>it</w:t>
      </w:r>
      <w:r>
        <w:rPr>
          <w:spacing w:val="3"/>
        </w:rPr>
        <w:t> </w:t>
      </w:r>
      <w:r>
        <w:rPr/>
        <w:t>being</w:t>
      </w:r>
      <w:r>
        <w:rPr>
          <w:spacing w:val="3"/>
        </w:rPr>
        <w:t> </w:t>
      </w:r>
      <w:r>
        <w:rPr/>
        <w:t>a</w:t>
      </w:r>
      <w:r>
        <w:rPr>
          <w:spacing w:val="3"/>
        </w:rPr>
        <w:t> </w:t>
      </w:r>
      <w:r>
        <w:rPr/>
        <w:t>valid</w:t>
      </w:r>
      <w:r>
        <w:rPr>
          <w:spacing w:val="3"/>
        </w:rPr>
        <w:t> </w:t>
      </w:r>
      <w:r>
        <w:rPr/>
        <w:t>liquidated</w:t>
      </w:r>
      <w:r>
        <w:rPr>
          <w:spacing w:val="3"/>
        </w:rPr>
        <w:t> </w:t>
      </w:r>
      <w:r>
        <w:rPr/>
        <w:t>damages</w:t>
      </w:r>
      <w:r>
        <w:rPr>
          <w:spacing w:val="3"/>
        </w:rPr>
        <w:t> </w:t>
      </w:r>
      <w:r>
        <w:rPr/>
        <w:t>clause.</w:t>
      </w:r>
      <w:r>
        <w:rPr>
          <w:spacing w:val="2"/>
        </w:rPr>
        <w:t> </w:t>
      </w:r>
      <w:r>
        <w:rPr>
          <w:color w:val="005DA1"/>
          <w:spacing w:val="-5"/>
          <w:u w:val="single" w:color="005DA1"/>
          <w:vertAlign w:val="superscript"/>
        </w:rPr>
        <w:t>983</w:t>
      </w:r>
    </w:p>
    <w:p>
      <w:pPr>
        <w:pStyle w:val="BodyText"/>
        <w:spacing w:line="235" w:lineRule="auto" w:before="119"/>
        <w:ind w:left="165" w:right="167" w:firstLine="149"/>
        <w:jc w:val="right"/>
      </w:pPr>
      <w:r>
        <w:rPr>
          <w:position w:val="-2"/>
        </w:rPr>
        <w:drawing>
          <wp:inline distT="0" distB="0" distL="0" distR="0">
            <wp:extent cx="107988" cy="107988"/>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r>
        <w:rPr/>
        <w:t>These</w:t>
      </w:r>
      <w:r>
        <w:rPr>
          <w:spacing w:val="16"/>
        </w:rPr>
        <w:t> </w:t>
      </w:r>
      <w:r>
        <w:rPr/>
        <w:t>clauses</w:t>
      </w:r>
      <w:r>
        <w:rPr>
          <w:spacing w:val="16"/>
        </w:rPr>
        <w:t> </w:t>
      </w:r>
      <w:r>
        <w:rPr/>
        <w:t>are</w:t>
      </w:r>
      <w:r>
        <w:rPr>
          <w:spacing w:val="16"/>
        </w:rPr>
        <w:t> </w:t>
      </w:r>
      <w:r>
        <w:rPr/>
        <w:t>often</w:t>
      </w:r>
      <w:r>
        <w:rPr>
          <w:spacing w:val="16"/>
        </w:rPr>
        <w:t> </w:t>
      </w:r>
      <w:r>
        <w:rPr/>
        <w:t>the</w:t>
      </w:r>
      <w:r>
        <w:rPr>
          <w:spacing w:val="16"/>
        </w:rPr>
        <w:t> </w:t>
      </w:r>
      <w:r>
        <w:rPr/>
        <w:t>basis</w:t>
      </w:r>
      <w:r>
        <w:rPr>
          <w:spacing w:val="16"/>
        </w:rPr>
        <w:t> </w:t>
      </w:r>
      <w:r>
        <w:rPr/>
        <w:t>of</w:t>
      </w:r>
      <w:r>
        <w:rPr>
          <w:spacing w:val="16"/>
        </w:rPr>
        <w:t> </w:t>
      </w:r>
      <w:r>
        <w:rPr/>
        <w:t>the</w:t>
      </w:r>
      <w:r>
        <w:rPr>
          <w:spacing w:val="16"/>
        </w:rPr>
        <w:t> </w:t>
      </w:r>
      <w:r>
        <w:rPr/>
        <w:t>insurance</w:t>
      </w:r>
      <w:r>
        <w:rPr>
          <w:spacing w:val="16"/>
        </w:rPr>
        <w:t> </w:t>
      </w:r>
      <w:r>
        <w:rPr/>
        <w:t>arrangements</w:t>
      </w:r>
      <w:r>
        <w:rPr>
          <w:spacing w:val="16"/>
        </w:rPr>
        <w:t> </w:t>
      </w:r>
      <w:r>
        <w:rPr/>
        <w:t>to</w:t>
      </w:r>
      <w:r>
        <w:rPr>
          <w:spacing w:val="16"/>
        </w:rPr>
        <w:t> </w:t>
      </w:r>
      <w:r>
        <w:rPr/>
        <w:t>be</w:t>
      </w:r>
      <w:r>
        <w:rPr>
          <w:spacing w:val="16"/>
        </w:rPr>
        <w:t> </w:t>
      </w:r>
      <w:r>
        <w:rPr/>
        <w:t>made</w:t>
      </w:r>
      <w:r>
        <w:rPr>
          <w:spacing w:val="16"/>
        </w:rPr>
        <w:t> </w:t>
      </w:r>
      <w:r>
        <w:rPr/>
        <w:t>by</w:t>
      </w:r>
      <w:r>
        <w:rPr>
          <w:spacing w:val="16"/>
        </w:rPr>
        <w:t> </w:t>
      </w:r>
      <w:r>
        <w:rPr/>
        <w:t>the</w:t>
      </w:r>
      <w:r>
        <w:rPr>
          <w:spacing w:val="16"/>
        </w:rPr>
        <w:t> </w:t>
      </w:r>
      <w:r>
        <w:rPr/>
        <w:t>parties.</w:t>
      </w:r>
      <w:r>
        <w:rPr>
          <w:spacing w:val="16"/>
        </w:rPr>
        <w:t> </w:t>
      </w:r>
      <w:r>
        <w:rPr/>
        <w:t>A </w:t>
      </w:r>
      <w:bookmarkStart w:name="_bookmark1843" w:id="1845"/>
      <w:bookmarkEnd w:id="1845"/>
      <w:r>
        <w:rPr/>
        <w:t>clause</w:t>
      </w:r>
      <w:r>
        <w:rPr>
          <w:spacing w:val="14"/>
        </w:rPr>
        <w:t> </w:t>
      </w:r>
      <w:r>
        <w:rPr/>
        <w:t>of</w:t>
      </w:r>
      <w:r>
        <w:rPr>
          <w:spacing w:val="14"/>
        </w:rPr>
        <w:t> </w:t>
      </w:r>
      <w:r>
        <w:rPr/>
        <w:t>this</w:t>
      </w:r>
      <w:r>
        <w:rPr>
          <w:spacing w:val="14"/>
        </w:rPr>
        <w:t> </w:t>
      </w:r>
      <w:r>
        <w:rPr/>
        <w:t>type</w:t>
      </w:r>
      <w:r>
        <w:rPr>
          <w:spacing w:val="14"/>
        </w:rPr>
        <w:t> </w:t>
      </w:r>
      <w:r>
        <w:rPr/>
        <w:t>may</w:t>
      </w:r>
      <w:r>
        <w:rPr>
          <w:spacing w:val="14"/>
        </w:rPr>
        <w:t> </w:t>
      </w:r>
      <w:r>
        <w:rPr/>
        <w:t>operate</w:t>
      </w:r>
      <w:r>
        <w:rPr>
          <w:spacing w:val="14"/>
        </w:rPr>
        <w:t> </w:t>
      </w:r>
      <w:r>
        <w:rPr/>
        <w:t>as</w:t>
      </w:r>
      <w:r>
        <w:rPr>
          <w:spacing w:val="14"/>
        </w:rPr>
        <w:t> </w:t>
      </w:r>
      <w:r>
        <w:rPr/>
        <w:t>a</w:t>
      </w:r>
      <w:r>
        <w:rPr>
          <w:spacing w:val="14"/>
        </w:rPr>
        <w:t> </w:t>
      </w:r>
      <w:r>
        <w:rPr/>
        <w:t>limitation</w:t>
      </w:r>
      <w:r>
        <w:rPr>
          <w:spacing w:val="14"/>
        </w:rPr>
        <w:t> </w:t>
      </w:r>
      <w:r>
        <w:rPr/>
        <w:t>of</w:t>
      </w:r>
      <w:r>
        <w:rPr>
          <w:spacing w:val="14"/>
        </w:rPr>
        <w:t> </w:t>
      </w:r>
      <w:r>
        <w:rPr/>
        <w:t>the</w:t>
      </w:r>
      <w:r>
        <w:rPr>
          <w:spacing w:val="14"/>
        </w:rPr>
        <w:t> </w:t>
      </w:r>
      <w:r>
        <w:rPr/>
        <w:t>party’s</w:t>
      </w:r>
      <w:r>
        <w:rPr>
          <w:spacing w:val="14"/>
        </w:rPr>
        <w:t> </w:t>
      </w:r>
      <w:r>
        <w:rPr/>
        <w:t>liability.</w:t>
      </w:r>
      <w:r>
        <w:rPr>
          <w:spacing w:val="14"/>
        </w:rPr>
        <w:t> </w:t>
      </w:r>
      <w:r>
        <w:rPr/>
        <w:t>For</w:t>
      </w:r>
      <w:r>
        <w:rPr>
          <w:spacing w:val="14"/>
        </w:rPr>
        <w:t> </w:t>
      </w:r>
      <w:r>
        <w:rPr/>
        <w:t>that</w:t>
      </w:r>
      <w:r>
        <w:rPr>
          <w:spacing w:val="14"/>
        </w:rPr>
        <w:t> </w:t>
      </w:r>
      <w:r>
        <w:rPr/>
        <w:t>reason</w:t>
      </w:r>
      <w:r>
        <w:rPr>
          <w:spacing w:val="14"/>
        </w:rPr>
        <w:t> </w:t>
      </w:r>
      <w:r>
        <w:rPr/>
        <w:t>it</w:t>
      </w:r>
      <w:r>
        <w:rPr>
          <w:spacing w:val="14"/>
        </w:rPr>
        <w:t> </w:t>
      </w:r>
      <w:r>
        <w:rPr/>
        <w:t>is</w:t>
      </w:r>
      <w:r>
        <w:rPr>
          <w:spacing w:val="14"/>
        </w:rPr>
        <w:t> </w:t>
      </w:r>
      <w:r>
        <w:rPr/>
        <w:t>likely</w:t>
      </w:r>
      <w:r>
        <w:rPr>
          <w:spacing w:val="14"/>
        </w:rPr>
        <w:t> </w:t>
      </w:r>
      <w:r>
        <w:rPr/>
        <w:t>to</w:t>
      </w:r>
      <w:r>
        <w:rPr>
          <w:spacing w:val="14"/>
        </w:rPr>
        <w:t> </w:t>
      </w:r>
      <w:r>
        <w:rPr>
          <w:spacing w:val="-5"/>
        </w:rPr>
        <w:t>be</w:t>
      </w:r>
    </w:p>
    <w:p>
      <w:pPr>
        <w:pStyle w:val="BodyText"/>
        <w:spacing w:before="115"/>
        <w:ind w:left="165"/>
        <w:jc w:val="both"/>
      </w:pPr>
      <w:bookmarkStart w:name="_bookmark1844" w:id="1846"/>
      <w:bookmarkEnd w:id="1846"/>
      <w:r>
        <w:rPr/>
      </w:r>
      <w:r>
        <w:rPr/>
        <w:t>construed</w:t>
      </w:r>
      <w:r>
        <w:rPr>
          <w:spacing w:val="71"/>
        </w:rPr>
        <w:t> </w:t>
      </w:r>
      <w:r>
        <w:rPr/>
        <w:t>in</w:t>
      </w:r>
      <w:r>
        <w:rPr>
          <w:spacing w:val="71"/>
        </w:rPr>
        <w:t> </w:t>
      </w:r>
      <w:r>
        <w:rPr/>
        <w:t>the</w:t>
      </w:r>
      <w:r>
        <w:rPr>
          <w:spacing w:val="71"/>
        </w:rPr>
        <w:t> </w:t>
      </w:r>
      <w:r>
        <w:rPr/>
        <w:t>same</w:t>
      </w:r>
      <w:r>
        <w:rPr>
          <w:spacing w:val="71"/>
        </w:rPr>
        <w:t> </w:t>
      </w:r>
      <w:r>
        <w:rPr/>
        <w:t>way</w:t>
      </w:r>
      <w:r>
        <w:rPr>
          <w:spacing w:val="71"/>
        </w:rPr>
        <w:t> </w:t>
      </w:r>
      <w:r>
        <w:rPr/>
        <w:t>as</w:t>
      </w:r>
      <w:r>
        <w:rPr>
          <w:spacing w:val="71"/>
        </w:rPr>
        <w:t> </w:t>
      </w:r>
      <w:r>
        <w:rPr/>
        <w:t>other</w:t>
      </w:r>
      <w:r>
        <w:rPr>
          <w:spacing w:val="71"/>
        </w:rPr>
        <w:t> </w:t>
      </w:r>
      <w:r>
        <w:rPr/>
        <w:t>clauses</w:t>
      </w:r>
      <w:r>
        <w:rPr>
          <w:spacing w:val="71"/>
        </w:rPr>
        <w:t> </w:t>
      </w:r>
      <w:r>
        <w:rPr/>
        <w:t>limiting</w:t>
      </w:r>
      <w:r>
        <w:rPr>
          <w:spacing w:val="71"/>
        </w:rPr>
        <w:t> </w:t>
      </w:r>
      <w:r>
        <w:rPr/>
        <w:t>liability.</w:t>
      </w:r>
      <w:r>
        <w:rPr>
          <w:spacing w:val="70"/>
        </w:rPr>
        <w:t> </w:t>
      </w:r>
      <w:r>
        <w:rPr>
          <w:color w:val="005DA1"/>
          <w:u w:val="single" w:color="005DA1"/>
          <w:vertAlign w:val="superscript"/>
        </w:rPr>
        <w:t>984</w:t>
      </w:r>
      <w:r>
        <w:rPr>
          <w:color w:val="005DA1"/>
          <w:spacing w:val="72"/>
          <w:vertAlign w:val="baseline"/>
        </w:rPr>
        <w:t>   </w:t>
      </w:r>
      <w:r>
        <w:rPr>
          <w:color w:val="005DA1"/>
          <w:spacing w:val="-3"/>
          <w:position w:val="-2"/>
          <w:vertAlign w:val="baseline"/>
        </w:rPr>
        <w:drawing>
          <wp:inline distT="0" distB="0" distL="0" distR="0">
            <wp:extent cx="107988" cy="107988"/>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55"/>
          <w:w w:val="150"/>
          <w:vertAlign w:val="baseline"/>
        </w:rPr>
        <w:t> </w:t>
      </w:r>
      <w:r>
        <w:rPr>
          <w:vertAlign w:val="baseline"/>
        </w:rPr>
        <w:t>It</w:t>
      </w:r>
      <w:r>
        <w:rPr>
          <w:spacing w:val="71"/>
          <w:vertAlign w:val="baseline"/>
        </w:rPr>
        <w:t> </w:t>
      </w:r>
      <w:r>
        <w:rPr>
          <w:vertAlign w:val="baseline"/>
        </w:rPr>
        <w:t>is</w:t>
      </w:r>
      <w:r>
        <w:rPr>
          <w:spacing w:val="71"/>
          <w:vertAlign w:val="baseline"/>
        </w:rPr>
        <w:t> </w:t>
      </w:r>
      <w:r>
        <w:rPr>
          <w:vertAlign w:val="baseline"/>
        </w:rPr>
        <w:t>possible</w:t>
      </w:r>
      <w:r>
        <w:rPr>
          <w:spacing w:val="71"/>
          <w:vertAlign w:val="baseline"/>
        </w:rPr>
        <w:t> </w:t>
      </w:r>
      <w:r>
        <w:rPr>
          <w:vertAlign w:val="baseline"/>
        </w:rPr>
        <w:t>that</w:t>
      </w:r>
      <w:r>
        <w:rPr>
          <w:spacing w:val="71"/>
          <w:vertAlign w:val="baseline"/>
        </w:rPr>
        <w:t> </w:t>
      </w:r>
      <w:r>
        <w:rPr>
          <w:spacing w:val="-5"/>
          <w:vertAlign w:val="baseline"/>
        </w:rPr>
        <w:t>an</w:t>
      </w:r>
    </w:p>
    <w:p>
      <w:pPr>
        <w:pStyle w:val="BodyText"/>
        <w:spacing w:line="235" w:lineRule="auto" w:before="119"/>
        <w:ind w:left="165" w:right="167"/>
        <w:jc w:val="right"/>
      </w:pPr>
      <w:r>
        <w:rPr/>
        <w:t>underliquidated damages clause is not caught by the Unfair Contract Terms Act 1977 </w:t>
      </w:r>
      <w:r>
        <w:rPr>
          <w:color w:val="005DA1"/>
          <w:u w:val="single" w:color="005DA1"/>
          <w:vertAlign w:val="superscript"/>
        </w:rPr>
        <w:t>985</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because </w:t>
      </w:r>
      <w:bookmarkStart w:name="_bookmark1845" w:id="1847"/>
      <w:bookmarkEnd w:id="1847"/>
      <w:r>
        <w:rPr>
          <w:vertAlign w:val="baseline"/>
        </w:rPr>
        <w:t>it</w:t>
      </w:r>
      <w:r>
        <w:rPr>
          <w:spacing w:val="25"/>
          <w:vertAlign w:val="baseline"/>
        </w:rPr>
        <w:t> </w:t>
      </w:r>
      <w:r>
        <w:rPr>
          <w:vertAlign w:val="baseline"/>
        </w:rPr>
        <w:t>does</w:t>
      </w:r>
      <w:r>
        <w:rPr>
          <w:spacing w:val="25"/>
          <w:vertAlign w:val="baseline"/>
        </w:rPr>
        <w:t> </w:t>
      </w:r>
      <w:r>
        <w:rPr>
          <w:vertAlign w:val="baseline"/>
        </w:rPr>
        <w:t>not</w:t>
      </w:r>
      <w:r>
        <w:rPr>
          <w:spacing w:val="25"/>
          <w:vertAlign w:val="baseline"/>
        </w:rPr>
        <w:t> </w:t>
      </w:r>
      <w:r>
        <w:rPr>
          <w:vertAlign w:val="baseline"/>
        </w:rPr>
        <w:t>merely</w:t>
      </w:r>
      <w:r>
        <w:rPr>
          <w:spacing w:val="25"/>
          <w:vertAlign w:val="baseline"/>
        </w:rPr>
        <w:t> </w:t>
      </w:r>
      <w:r>
        <w:rPr>
          <w:vertAlign w:val="baseline"/>
        </w:rPr>
        <w:t>exclude</w:t>
      </w:r>
      <w:r>
        <w:rPr>
          <w:spacing w:val="25"/>
          <w:vertAlign w:val="baseline"/>
        </w:rPr>
        <w:t> </w:t>
      </w:r>
      <w:r>
        <w:rPr>
          <w:vertAlign w:val="baseline"/>
        </w:rPr>
        <w:t>or</w:t>
      </w:r>
      <w:r>
        <w:rPr>
          <w:spacing w:val="25"/>
          <w:vertAlign w:val="baseline"/>
        </w:rPr>
        <w:t> </w:t>
      </w:r>
      <w:r>
        <w:rPr>
          <w:vertAlign w:val="baseline"/>
        </w:rPr>
        <w:t>restrict</w:t>
      </w:r>
      <w:r>
        <w:rPr>
          <w:spacing w:val="25"/>
          <w:vertAlign w:val="baseline"/>
        </w:rPr>
        <w:t> </w:t>
      </w:r>
      <w:r>
        <w:rPr>
          <w:vertAlign w:val="baseline"/>
        </w:rPr>
        <w:t>one</w:t>
      </w:r>
      <w:r>
        <w:rPr>
          <w:spacing w:val="25"/>
          <w:vertAlign w:val="baseline"/>
        </w:rPr>
        <w:t> </w:t>
      </w:r>
      <w:r>
        <w:rPr>
          <w:vertAlign w:val="baseline"/>
        </w:rPr>
        <w:t>party’s</w:t>
      </w:r>
      <w:r>
        <w:rPr>
          <w:spacing w:val="25"/>
          <w:vertAlign w:val="baseline"/>
        </w:rPr>
        <w:t> </w:t>
      </w:r>
      <w:r>
        <w:rPr>
          <w:vertAlign w:val="baseline"/>
        </w:rPr>
        <w:t>liability:</w:t>
      </w:r>
      <w:r>
        <w:rPr>
          <w:spacing w:val="25"/>
          <w:vertAlign w:val="baseline"/>
        </w:rPr>
        <w:t> </w:t>
      </w:r>
      <w:r>
        <w:rPr>
          <w:vertAlign w:val="baseline"/>
        </w:rPr>
        <w:t>the</w:t>
      </w:r>
      <w:r>
        <w:rPr>
          <w:spacing w:val="25"/>
          <w:vertAlign w:val="baseline"/>
        </w:rPr>
        <w:t> </w:t>
      </w:r>
      <w:r>
        <w:rPr>
          <w:vertAlign w:val="baseline"/>
        </w:rPr>
        <w:t>same</w:t>
      </w:r>
      <w:r>
        <w:rPr>
          <w:spacing w:val="25"/>
          <w:vertAlign w:val="baseline"/>
        </w:rPr>
        <w:t> </w:t>
      </w:r>
      <w:r>
        <w:rPr>
          <w:vertAlign w:val="baseline"/>
        </w:rPr>
        <w:t>amount</w:t>
      </w:r>
      <w:r>
        <w:rPr>
          <w:spacing w:val="25"/>
          <w:vertAlign w:val="baseline"/>
        </w:rPr>
        <w:t> </w:t>
      </w:r>
      <w:r>
        <w:rPr>
          <w:vertAlign w:val="baseline"/>
        </w:rPr>
        <w:t>is</w:t>
      </w:r>
      <w:r>
        <w:rPr>
          <w:spacing w:val="25"/>
          <w:vertAlign w:val="baseline"/>
        </w:rPr>
        <w:t> </w:t>
      </w:r>
      <w:r>
        <w:rPr>
          <w:vertAlign w:val="baseline"/>
        </w:rPr>
        <w:t>payable</w:t>
      </w:r>
      <w:r>
        <w:rPr>
          <w:spacing w:val="25"/>
          <w:vertAlign w:val="baseline"/>
        </w:rPr>
        <w:t> </w:t>
      </w:r>
      <w:r>
        <w:rPr>
          <w:vertAlign w:val="baseline"/>
        </w:rPr>
        <w:t>whether</w:t>
      </w:r>
      <w:r>
        <w:rPr>
          <w:spacing w:val="25"/>
          <w:vertAlign w:val="baseline"/>
        </w:rPr>
        <w:t> </w:t>
      </w:r>
      <w:r>
        <w:rPr>
          <w:spacing w:val="-5"/>
          <w:vertAlign w:val="baseline"/>
        </w:rPr>
        <w:t>the</w:t>
      </w:r>
    </w:p>
    <w:p>
      <w:pPr>
        <w:pStyle w:val="BodyText"/>
        <w:spacing w:line="235" w:lineRule="auto" w:before="119"/>
        <w:ind w:left="165" w:right="167"/>
        <w:jc w:val="both"/>
      </w:pPr>
      <w:r>
        <w:rPr/>
        <w:t>actual loss is greater or less. </w:t>
      </w:r>
      <w:r>
        <w:rPr>
          <w:color w:val="005DA1"/>
          <w:u w:val="single" w:color="005DA1"/>
          <w:vertAlign w:val="superscript"/>
        </w:rPr>
        <w:t>986</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However, were such a clause to occur in a consumer contract, it </w:t>
      </w:r>
      <w:bookmarkStart w:name="_bookmark1846" w:id="1848"/>
      <w:bookmarkEnd w:id="1848"/>
      <w:r>
        <w:rPr>
          <w:vertAlign w:val="baseline"/>
        </w:rPr>
        <w:t>would</w:t>
      </w:r>
      <w:r>
        <w:rPr>
          <w:spacing w:val="24"/>
          <w:vertAlign w:val="baseline"/>
        </w:rPr>
        <w:t> </w:t>
      </w:r>
      <w:r>
        <w:rPr>
          <w:vertAlign w:val="baseline"/>
        </w:rPr>
        <w:t>seem</w:t>
      </w:r>
      <w:r>
        <w:rPr>
          <w:spacing w:val="24"/>
          <w:vertAlign w:val="baseline"/>
        </w:rPr>
        <w:t> </w:t>
      </w:r>
      <w:r>
        <w:rPr>
          <w:vertAlign w:val="baseline"/>
        </w:rPr>
        <w:t>to</w:t>
      </w:r>
      <w:r>
        <w:rPr>
          <w:spacing w:val="24"/>
          <w:vertAlign w:val="baseline"/>
        </w:rPr>
        <w:t> </w:t>
      </w:r>
      <w:r>
        <w:rPr>
          <w:vertAlign w:val="baseline"/>
        </w:rPr>
        <w:t>fall</w:t>
      </w:r>
      <w:r>
        <w:rPr>
          <w:spacing w:val="24"/>
          <w:vertAlign w:val="baseline"/>
        </w:rPr>
        <w:t> </w:t>
      </w:r>
      <w:r>
        <w:rPr>
          <w:vertAlign w:val="baseline"/>
        </w:rPr>
        <w:t>within</w:t>
      </w:r>
      <w:r>
        <w:rPr>
          <w:spacing w:val="24"/>
          <w:vertAlign w:val="baseline"/>
        </w:rPr>
        <w:t> </w:t>
      </w:r>
      <w:r>
        <w:rPr>
          <w:vertAlign w:val="baseline"/>
        </w:rPr>
        <w:t>the</w:t>
      </w:r>
      <w:r>
        <w:rPr>
          <w:spacing w:val="24"/>
          <w:vertAlign w:val="baseline"/>
        </w:rPr>
        <w:t> </w:t>
      </w:r>
      <w:r>
        <w:rPr>
          <w:vertAlign w:val="baseline"/>
        </w:rPr>
        <w:t>Unfair</w:t>
      </w:r>
      <w:r>
        <w:rPr>
          <w:spacing w:val="24"/>
          <w:vertAlign w:val="baseline"/>
        </w:rPr>
        <w:t> </w:t>
      </w:r>
      <w:r>
        <w:rPr>
          <w:vertAlign w:val="baseline"/>
        </w:rPr>
        <w:t>Terms</w:t>
      </w:r>
      <w:r>
        <w:rPr>
          <w:spacing w:val="24"/>
          <w:vertAlign w:val="baseline"/>
        </w:rPr>
        <w:t> </w:t>
      </w:r>
      <w:r>
        <w:rPr>
          <w:vertAlign w:val="baseline"/>
        </w:rPr>
        <w:t>in</w:t>
      </w:r>
      <w:r>
        <w:rPr>
          <w:spacing w:val="24"/>
          <w:vertAlign w:val="baseline"/>
        </w:rPr>
        <w:t> </w:t>
      </w:r>
      <w:r>
        <w:rPr>
          <w:vertAlign w:val="baseline"/>
        </w:rPr>
        <w:t>Consumer</w:t>
      </w:r>
      <w:r>
        <w:rPr>
          <w:spacing w:val="24"/>
          <w:vertAlign w:val="baseline"/>
        </w:rPr>
        <w:t> </w:t>
      </w:r>
      <w:r>
        <w:rPr>
          <w:vertAlign w:val="baseline"/>
        </w:rPr>
        <w:t>Contract</w:t>
      </w:r>
      <w:r>
        <w:rPr>
          <w:spacing w:val="24"/>
          <w:vertAlign w:val="baseline"/>
        </w:rPr>
        <w:t> </w:t>
      </w:r>
      <w:r>
        <w:rPr>
          <w:vertAlign w:val="baseline"/>
        </w:rPr>
        <w:t>Regulations</w:t>
      </w:r>
      <w:r>
        <w:rPr>
          <w:spacing w:val="24"/>
          <w:vertAlign w:val="baseline"/>
        </w:rPr>
        <w:t> </w:t>
      </w:r>
      <w:r>
        <w:rPr>
          <w:vertAlign w:val="baseline"/>
        </w:rPr>
        <w:t>1999</w:t>
      </w:r>
      <w:r>
        <w:rPr>
          <w:spacing w:val="24"/>
          <w:vertAlign w:val="baseline"/>
        </w:rPr>
        <w:t> </w:t>
      </w:r>
      <w:r>
        <w:rPr>
          <w:vertAlign w:val="baseline"/>
        </w:rPr>
        <w:t>(if</w:t>
      </w:r>
      <w:r>
        <w:rPr>
          <w:spacing w:val="24"/>
          <w:vertAlign w:val="baseline"/>
        </w:rPr>
        <w:t> </w:t>
      </w:r>
      <w:r>
        <w:rPr>
          <w:vertAlign w:val="baseline"/>
        </w:rPr>
        <w:t>the</w:t>
      </w:r>
      <w:r>
        <w:rPr>
          <w:spacing w:val="24"/>
          <w:vertAlign w:val="baseline"/>
        </w:rPr>
        <w:t> </w:t>
      </w:r>
      <w:r>
        <w:rPr>
          <w:spacing w:val="-2"/>
          <w:vertAlign w:val="baseline"/>
        </w:rPr>
        <w:t>contract</w:t>
      </w:r>
    </w:p>
    <w:p>
      <w:pPr>
        <w:pStyle w:val="BodyText"/>
        <w:spacing w:line="360" w:lineRule="auto" w:before="116"/>
        <w:ind w:left="165" w:right="168"/>
        <w:jc w:val="both"/>
        <w:rPr>
          <w:position w:val="-2"/>
        </w:rPr>
      </w:pPr>
      <w:bookmarkStart w:name="_bookmark1847" w:id="1849"/>
      <w:bookmarkEnd w:id="1849"/>
      <w:r>
        <w:rPr/>
      </w:r>
      <w:r>
        <w:rPr/>
        <w:t>was made before September 30, 2015 and if the term had not been individually negotiated </w:t>
      </w:r>
      <w:r>
        <w:rPr>
          <w:color w:val="005DA1"/>
          <w:u w:val="single" w:color="005DA1"/>
          <w:vertAlign w:val="superscript"/>
        </w:rPr>
        <w:t>987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w:t>
      </w:r>
      <w:r>
        <w:rPr>
          <w:vertAlign w:val="baseline"/>
        </w:rPr>
        <w:t>or (if the contract was made after October 1, 2015) Pt 2 of the Consumer Rights Act 2015. </w:t>
      </w:r>
      <w:r>
        <w:rPr>
          <w:color w:val="005DA1"/>
          <w:u w:val="single" w:color="005DA1"/>
          <w:vertAlign w:val="superscript"/>
        </w:rPr>
        <w:t>988</w:t>
      </w:r>
      <w:r>
        <w:rPr>
          <w:color w:val="005DA1"/>
          <w:spacing w:val="80"/>
          <w:vertAlign w:val="baseline"/>
        </w:rPr>
        <w:t> </w:t>
      </w:r>
      <w:r>
        <w:rPr>
          <w:color w:val="005DA1"/>
          <w:position w:val="-2"/>
          <w:vertAlign w:val="baseline"/>
        </w:rPr>
        <w:drawing>
          <wp:inline distT="0" distB="0" distL="0" distR="0">
            <wp:extent cx="107988" cy="107988"/>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Similar types of </w:t>
      </w:r>
      <w:r>
        <w:rPr>
          <w:rFonts w:ascii="Arial"/>
          <w:b/>
          <w:spacing w:val="-2"/>
          <w:sz w:val="18"/>
        </w:rPr>
        <w:t>clause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181</w:t>
      </w:r>
    </w:p>
    <w:p>
      <w:pPr>
        <w:pStyle w:val="BodyText"/>
        <w:spacing w:before="212"/>
        <w:rPr>
          <w:rFonts w:ascii="Arial"/>
          <w:b/>
        </w:rPr>
      </w:pPr>
    </w:p>
    <w:p>
      <w:pPr>
        <w:spacing w:line="235" w:lineRule="auto" w:before="0"/>
        <w:ind w:left="165" w:right="0" w:firstLine="0"/>
        <w:jc w:val="left"/>
        <w:rPr>
          <w:sz w:val="20"/>
        </w:rPr>
      </w:pPr>
      <w:r>
        <w:rPr>
          <w:position w:val="-2"/>
        </w:rPr>
        <w:drawing>
          <wp:inline distT="0" distB="0" distL="0" distR="0">
            <wp:extent cx="107988" cy="107988"/>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848" w:id="1850"/>
      <w:bookmarkEnd w:id="1850"/>
      <w:r>
        <w:rPr>
          <w:rFonts w:ascii="Times New Roman"/>
          <w:spacing w:val="14"/>
          <w:sz w:val="20"/>
        </w:rPr>
      </w:r>
      <w:r>
        <w:rPr>
          <w:sz w:val="20"/>
        </w:rPr>
        <w:t>In </w:t>
      </w:r>
      <w:r>
        <w:rPr>
          <w:rFonts w:ascii="Arial"/>
          <w:i/>
          <w:sz w:val="20"/>
        </w:rPr>
        <w:t>Cavendish Square Holding BV v Makdessi </w:t>
      </w:r>
      <w:r>
        <w:rPr>
          <w:color w:val="005DA1"/>
          <w:sz w:val="20"/>
          <w:u w:val="single" w:color="005DA1"/>
          <w:vertAlign w:val="superscript"/>
        </w:rPr>
        <w:t>989</w:t>
      </w:r>
      <w:r>
        <w:rPr>
          <w:color w:val="005DA1"/>
          <w:spacing w:val="80"/>
          <w:w w:val="150"/>
          <w:sz w:val="20"/>
          <w:vertAlign w:val="baseline"/>
        </w:rPr>
        <w:t> </w:t>
      </w:r>
      <w:r>
        <w:rPr>
          <w:color w:val="005DA1"/>
          <w:spacing w:val="25"/>
          <w:position w:val="-2"/>
          <w:sz w:val="20"/>
          <w:vertAlign w:val="baseline"/>
        </w:rPr>
        <w:drawing>
          <wp:inline distT="0" distB="0" distL="0" distR="0">
            <wp:extent cx="107988" cy="107988"/>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color w:val="005DA1"/>
          <w:spacing w:val="-12"/>
          <w:sz w:val="20"/>
          <w:vertAlign w:val="baseline"/>
        </w:rPr>
        <w:t> </w:t>
      </w:r>
      <w:r>
        <w:rPr>
          <w:sz w:val="20"/>
          <w:vertAlign w:val="baseline"/>
        </w:rPr>
        <w:t>a majority of the Supreme Court held that the </w:t>
      </w:r>
      <w:bookmarkStart w:name="_bookmark1849" w:id="1851"/>
      <w:bookmarkEnd w:id="1851"/>
      <w:r>
        <w:rPr>
          <w:sz w:val="20"/>
          <w:vertAlign w:val="baseline"/>
        </w:rPr>
        <w:t>penalty</w:t>
      </w:r>
      <w:r>
        <w:rPr>
          <w:spacing w:val="35"/>
          <w:sz w:val="20"/>
          <w:vertAlign w:val="baseline"/>
        </w:rPr>
        <w:t> </w:t>
      </w:r>
      <w:r>
        <w:rPr>
          <w:sz w:val="20"/>
          <w:vertAlign w:val="baseline"/>
        </w:rPr>
        <w:t>clause</w:t>
      </w:r>
      <w:r>
        <w:rPr>
          <w:spacing w:val="35"/>
          <w:sz w:val="20"/>
          <w:vertAlign w:val="baseline"/>
        </w:rPr>
        <w:t> </w:t>
      </w:r>
      <w:r>
        <w:rPr>
          <w:sz w:val="20"/>
          <w:vertAlign w:val="baseline"/>
        </w:rPr>
        <w:t>rules</w:t>
      </w:r>
      <w:r>
        <w:rPr>
          <w:spacing w:val="35"/>
          <w:sz w:val="20"/>
          <w:vertAlign w:val="baseline"/>
        </w:rPr>
        <w:t> </w:t>
      </w:r>
      <w:r>
        <w:rPr>
          <w:sz w:val="20"/>
          <w:vertAlign w:val="baseline"/>
        </w:rPr>
        <w:t>apply</w:t>
      </w:r>
      <w:r>
        <w:rPr>
          <w:spacing w:val="35"/>
          <w:sz w:val="20"/>
          <w:vertAlign w:val="baseline"/>
        </w:rPr>
        <w:t> </w:t>
      </w:r>
      <w:r>
        <w:rPr>
          <w:sz w:val="20"/>
          <w:vertAlign w:val="baseline"/>
        </w:rPr>
        <w:t>to</w:t>
      </w:r>
      <w:r>
        <w:rPr>
          <w:spacing w:val="35"/>
          <w:sz w:val="20"/>
          <w:vertAlign w:val="baseline"/>
        </w:rPr>
        <w:t> </w:t>
      </w:r>
      <w:r>
        <w:rPr>
          <w:sz w:val="20"/>
          <w:vertAlign w:val="baseline"/>
        </w:rPr>
        <w:t>provisions</w:t>
      </w:r>
      <w:r>
        <w:rPr>
          <w:spacing w:val="35"/>
          <w:sz w:val="20"/>
          <w:vertAlign w:val="baseline"/>
        </w:rPr>
        <w:t> </w:t>
      </w:r>
      <w:r>
        <w:rPr>
          <w:sz w:val="20"/>
          <w:vertAlign w:val="baseline"/>
        </w:rPr>
        <w:t>that</w:t>
      </w:r>
      <w:r>
        <w:rPr>
          <w:spacing w:val="35"/>
          <w:sz w:val="20"/>
          <w:vertAlign w:val="baseline"/>
        </w:rPr>
        <w:t> </w:t>
      </w:r>
      <w:r>
        <w:rPr>
          <w:sz w:val="20"/>
          <w:vertAlign w:val="baseline"/>
        </w:rPr>
        <w:t>would</w:t>
      </w:r>
      <w:r>
        <w:rPr>
          <w:spacing w:val="35"/>
          <w:sz w:val="20"/>
          <w:vertAlign w:val="baseline"/>
        </w:rPr>
        <w:t> </w:t>
      </w:r>
      <w:r>
        <w:rPr>
          <w:sz w:val="20"/>
          <w:vertAlign w:val="baseline"/>
        </w:rPr>
        <w:t>prevent</w:t>
      </w:r>
      <w:r>
        <w:rPr>
          <w:spacing w:val="35"/>
          <w:sz w:val="20"/>
          <w:vertAlign w:val="baseline"/>
        </w:rPr>
        <w:t> </w:t>
      </w:r>
      <w:r>
        <w:rPr>
          <w:sz w:val="20"/>
          <w:vertAlign w:val="baseline"/>
        </w:rPr>
        <w:t>a</w:t>
      </w:r>
      <w:r>
        <w:rPr>
          <w:spacing w:val="35"/>
          <w:sz w:val="20"/>
          <w:vertAlign w:val="baseline"/>
        </w:rPr>
        <w:t> </w:t>
      </w:r>
      <w:r>
        <w:rPr>
          <w:sz w:val="20"/>
          <w:vertAlign w:val="baseline"/>
        </w:rPr>
        <w:t>party</w:t>
      </w:r>
      <w:r>
        <w:rPr>
          <w:spacing w:val="35"/>
          <w:sz w:val="20"/>
          <w:vertAlign w:val="baseline"/>
        </w:rPr>
        <w:t> </w:t>
      </w:r>
      <w:r>
        <w:rPr>
          <w:sz w:val="20"/>
          <w:vertAlign w:val="baseline"/>
        </w:rPr>
        <w:t>who</w:t>
      </w:r>
      <w:r>
        <w:rPr>
          <w:spacing w:val="35"/>
          <w:sz w:val="20"/>
          <w:vertAlign w:val="baseline"/>
        </w:rPr>
        <w:t> </w:t>
      </w:r>
      <w:r>
        <w:rPr>
          <w:sz w:val="20"/>
          <w:vertAlign w:val="baseline"/>
        </w:rPr>
        <w:t>breaks</w:t>
      </w:r>
      <w:r>
        <w:rPr>
          <w:spacing w:val="35"/>
          <w:sz w:val="20"/>
          <w:vertAlign w:val="baseline"/>
        </w:rPr>
        <w:t> </w:t>
      </w:r>
      <w:r>
        <w:rPr>
          <w:sz w:val="20"/>
          <w:vertAlign w:val="baseline"/>
        </w:rPr>
        <w:t>the</w:t>
      </w:r>
      <w:r>
        <w:rPr>
          <w:spacing w:val="35"/>
          <w:sz w:val="20"/>
          <w:vertAlign w:val="baseline"/>
        </w:rPr>
        <w:t> </w:t>
      </w:r>
      <w:r>
        <w:rPr>
          <w:sz w:val="20"/>
          <w:vertAlign w:val="baseline"/>
        </w:rPr>
        <w:t>contract</w:t>
      </w:r>
      <w:r>
        <w:rPr>
          <w:spacing w:val="35"/>
          <w:sz w:val="20"/>
          <w:vertAlign w:val="baseline"/>
        </w:rPr>
        <w:t> </w:t>
      </w:r>
      <w:r>
        <w:rPr>
          <w:spacing w:val="-4"/>
          <w:sz w:val="20"/>
          <w:vertAlign w:val="baseline"/>
        </w:rPr>
        <w:t>from</w:t>
      </w:r>
    </w:p>
    <w:p>
      <w:pPr>
        <w:pStyle w:val="BodyText"/>
        <w:tabs>
          <w:tab w:pos="5670" w:val="left" w:leader="none"/>
          <w:tab w:pos="7714" w:val="left" w:leader="none"/>
        </w:tabs>
        <w:spacing w:line="360" w:lineRule="auto" w:before="116"/>
        <w:ind w:left="165" w:right="168"/>
      </w:pPr>
      <w:bookmarkStart w:name="_bookmark1850" w:id="1852"/>
      <w:bookmarkEnd w:id="1852"/>
      <w:r>
        <w:rPr/>
      </w:r>
      <w:r>
        <w:rPr/>
        <w:t>receiving a sum to which it would otherwise be entitled, </w:t>
      </w:r>
      <w:r>
        <w:rPr>
          <w:color w:val="005DA1"/>
          <w:u w:val="single" w:color="005DA1"/>
          <w:vertAlign w:val="superscript"/>
        </w:rPr>
        <w:t>990</w:t>
      </w:r>
      <w:r>
        <w:rPr>
          <w:color w:val="005DA1"/>
          <w:vertAlign w:val="baseline"/>
        </w:rPr>
        <w:tab/>
      </w:r>
      <w:r>
        <w:rPr>
          <w:color w:val="005DA1"/>
          <w:position w:val="-2"/>
          <w:vertAlign w:val="baseline"/>
        </w:rPr>
        <w:drawing>
          <wp:inline distT="0" distB="0" distL="0" distR="0">
            <wp:extent cx="107988" cy="107988"/>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also to provisions that require </w:t>
      </w:r>
      <w:r>
        <w:rPr>
          <w:vertAlign w:val="baseline"/>
        </w:rPr>
        <w:t>a </w:t>
      </w:r>
      <w:bookmarkStart w:name="_bookmark1851" w:id="1853"/>
      <w:bookmarkEnd w:id="1853"/>
      <w:r>
        <w:rPr>
          <w:vertAlign w:val="baseline"/>
        </w:rPr>
        <w:t>party</w:t>
      </w:r>
      <w:r>
        <w:rPr>
          <w:spacing w:val="13"/>
          <w:vertAlign w:val="baseline"/>
        </w:rPr>
        <w:t> </w:t>
      </w:r>
      <w:r>
        <w:rPr>
          <w:vertAlign w:val="baseline"/>
        </w:rPr>
        <w:t>in</w:t>
      </w:r>
      <w:r>
        <w:rPr>
          <w:spacing w:val="13"/>
          <w:vertAlign w:val="baseline"/>
        </w:rPr>
        <w:t> </w:t>
      </w:r>
      <w:r>
        <w:rPr>
          <w:vertAlign w:val="baseline"/>
        </w:rPr>
        <w:t>breach</w:t>
      </w:r>
      <w:r>
        <w:rPr>
          <w:spacing w:val="13"/>
          <w:vertAlign w:val="baseline"/>
        </w:rPr>
        <w:t> </w:t>
      </w:r>
      <w:r>
        <w:rPr>
          <w:vertAlign w:val="baseline"/>
        </w:rPr>
        <w:t>to</w:t>
      </w:r>
      <w:r>
        <w:rPr>
          <w:spacing w:val="13"/>
          <w:vertAlign w:val="baseline"/>
        </w:rPr>
        <w:t> </w:t>
      </w:r>
      <w:r>
        <w:rPr>
          <w:vertAlign w:val="baseline"/>
        </w:rPr>
        <w:t>transfer</w:t>
      </w:r>
      <w:r>
        <w:rPr>
          <w:spacing w:val="13"/>
          <w:vertAlign w:val="baseline"/>
        </w:rPr>
        <w:t> </w:t>
      </w:r>
      <w:r>
        <w:rPr>
          <w:vertAlign w:val="baseline"/>
        </w:rPr>
        <w:t>property</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other</w:t>
      </w:r>
      <w:r>
        <w:rPr>
          <w:spacing w:val="13"/>
          <w:vertAlign w:val="baseline"/>
        </w:rPr>
        <w:t> </w:t>
      </w:r>
      <w:r>
        <w:rPr>
          <w:vertAlign w:val="baseline"/>
        </w:rPr>
        <w:t>party</w:t>
      </w:r>
      <w:r>
        <w:rPr>
          <w:spacing w:val="13"/>
          <w:vertAlign w:val="baseline"/>
        </w:rPr>
        <w:t> </w:t>
      </w:r>
      <w:r>
        <w:rPr>
          <w:vertAlign w:val="baseline"/>
        </w:rPr>
        <w:t>at</w:t>
      </w:r>
      <w:r>
        <w:rPr>
          <w:spacing w:val="13"/>
          <w:vertAlign w:val="baseline"/>
        </w:rPr>
        <w:t> </w:t>
      </w:r>
      <w:r>
        <w:rPr>
          <w:vertAlign w:val="baseline"/>
        </w:rPr>
        <w:t>less</w:t>
      </w:r>
      <w:r>
        <w:rPr>
          <w:spacing w:val="13"/>
          <w:vertAlign w:val="baseline"/>
        </w:rPr>
        <w:t> </w:t>
      </w:r>
      <w:r>
        <w:rPr>
          <w:vertAlign w:val="baseline"/>
        </w:rPr>
        <w:t>than</w:t>
      </w:r>
      <w:r>
        <w:rPr>
          <w:spacing w:val="13"/>
          <w:vertAlign w:val="baseline"/>
        </w:rPr>
        <w:t> </w:t>
      </w:r>
      <w:r>
        <w:rPr>
          <w:vertAlign w:val="baseline"/>
        </w:rPr>
        <w:t>its</w:t>
      </w:r>
      <w:r>
        <w:rPr>
          <w:spacing w:val="13"/>
          <w:vertAlign w:val="baseline"/>
        </w:rPr>
        <w:t> </w:t>
      </w:r>
      <w:r>
        <w:rPr>
          <w:vertAlign w:val="baseline"/>
        </w:rPr>
        <w:t>full</w:t>
      </w:r>
      <w:r>
        <w:rPr>
          <w:spacing w:val="13"/>
          <w:vertAlign w:val="baseline"/>
        </w:rPr>
        <w:t> </w:t>
      </w:r>
      <w:r>
        <w:rPr>
          <w:vertAlign w:val="baseline"/>
        </w:rPr>
        <w:t>value.</w:t>
      </w:r>
      <w:r>
        <w:rPr>
          <w:spacing w:val="12"/>
          <w:vertAlign w:val="baseline"/>
        </w:rPr>
        <w:t> </w:t>
      </w:r>
      <w:r>
        <w:rPr>
          <w:color w:val="005DA1"/>
          <w:spacing w:val="-5"/>
          <w:u w:val="single" w:color="005DA1"/>
          <w:vertAlign w:val="superscript"/>
        </w:rPr>
        <w:t>991</w:t>
      </w:r>
      <w:r>
        <w:rPr>
          <w:color w:val="005DA1"/>
          <w:vertAlign w:val="baseline"/>
        </w:rPr>
        <w:tab/>
      </w:r>
      <w:r>
        <w:rPr>
          <w:color w:val="005DA1"/>
          <w:position w:val="-2"/>
          <w:vertAlign w:val="baseline"/>
        </w:rPr>
        <w:drawing>
          <wp:inline distT="0" distB="0" distL="0" distR="0">
            <wp:extent cx="107988" cy="107988"/>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The</w:t>
      </w:r>
      <w:r>
        <w:rPr>
          <w:spacing w:val="1"/>
          <w:vertAlign w:val="baseline"/>
        </w:rPr>
        <w:t> </w:t>
      </w:r>
      <w:r>
        <w:rPr>
          <w:vertAlign w:val="baseline"/>
        </w:rPr>
        <w:t>Supreme</w:t>
      </w:r>
    </w:p>
    <w:p>
      <w:pPr>
        <w:pStyle w:val="BodyText"/>
        <w:tabs>
          <w:tab w:pos="6004" w:val="left" w:leader="none"/>
          <w:tab w:pos="8661" w:val="left" w:leader="none"/>
        </w:tabs>
        <w:spacing w:line="235" w:lineRule="auto" w:before="124"/>
        <w:ind w:left="165" w:right="168"/>
      </w:pPr>
      <w:bookmarkStart w:name="_bookmark1852" w:id="1854"/>
      <w:bookmarkEnd w:id="1854"/>
      <w:r>
        <w:rPr/>
      </w:r>
      <w:r>
        <w:rPr/>
        <w:t>Court indicated that the penalty rules also apply to deposits </w:t>
      </w:r>
      <w:r>
        <w:rPr>
          <w:color w:val="005DA1"/>
          <w:u w:val="single" w:color="005DA1"/>
          <w:vertAlign w:val="superscript"/>
        </w:rPr>
        <w:t>992</w:t>
      </w:r>
      <w:r>
        <w:rPr>
          <w:color w:val="005DA1"/>
          <w:vertAlign w:val="baseline"/>
        </w:rPr>
        <w:tab/>
      </w:r>
      <w:r>
        <w:rPr>
          <w:color w:val="005DA1"/>
          <w:position w:val="-2"/>
          <w:vertAlign w:val="baseline"/>
        </w:rPr>
        <w:drawing>
          <wp:inline distT="0" distB="0" distL="0" distR="0">
            <wp:extent cx="107988" cy="107988"/>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forfeiture clauses </w:t>
      </w:r>
      <w:r>
        <w:rPr>
          <w:color w:val="005DA1"/>
          <w:u w:val="single" w:color="005DA1"/>
          <w:vertAlign w:val="superscript"/>
        </w:rPr>
        <w:t>993</w:t>
      </w:r>
      <w:r>
        <w:rPr>
          <w:color w:val="005DA1"/>
          <w:vertAlign w:val="baseline"/>
        </w:rPr>
        <w:tab/>
      </w:r>
      <w:r>
        <w:rPr>
          <w:color w:val="005DA1"/>
          <w:position w:val="-2"/>
          <w:vertAlign w:val="baseline"/>
        </w:rPr>
        <w:drawing>
          <wp:inline distT="0" distB="0" distL="0" distR="0">
            <wp:extent cx="107988" cy="107988"/>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but </w:t>
      </w:r>
      <w:bookmarkStart w:name="_bookmark1853" w:id="1855"/>
      <w:bookmarkEnd w:id="1855"/>
      <w:r>
        <w:rPr>
          <w:vertAlign w:val="baseline"/>
        </w:rPr>
        <w:t>not</w:t>
      </w:r>
      <w:r>
        <w:rPr>
          <w:spacing w:val="8"/>
          <w:vertAlign w:val="baseline"/>
        </w:rPr>
        <w:t> </w:t>
      </w:r>
      <w:r>
        <w:rPr>
          <w:vertAlign w:val="baseline"/>
        </w:rPr>
        <w:t>to</w:t>
      </w:r>
      <w:r>
        <w:rPr>
          <w:spacing w:val="8"/>
          <w:vertAlign w:val="baseline"/>
        </w:rPr>
        <w:t> </w:t>
      </w:r>
      <w:r>
        <w:rPr>
          <w:vertAlign w:val="baseline"/>
        </w:rPr>
        <w:t>sums</w:t>
      </w:r>
      <w:r>
        <w:rPr>
          <w:spacing w:val="8"/>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payable</w:t>
      </w:r>
      <w:r>
        <w:rPr>
          <w:spacing w:val="8"/>
          <w:vertAlign w:val="baseline"/>
        </w:rPr>
        <w:t> </w:t>
      </w:r>
      <w:r>
        <w:rPr>
          <w:vertAlign w:val="baseline"/>
        </w:rPr>
        <w:t>on</w:t>
      </w:r>
      <w:r>
        <w:rPr>
          <w:spacing w:val="8"/>
          <w:vertAlign w:val="baseline"/>
        </w:rPr>
        <w:t> </w:t>
      </w:r>
      <w:r>
        <w:rPr>
          <w:vertAlign w:val="baseline"/>
        </w:rPr>
        <w:t>events</w:t>
      </w:r>
      <w:r>
        <w:rPr>
          <w:spacing w:val="8"/>
          <w:vertAlign w:val="baseline"/>
        </w:rPr>
        <w:t> </w:t>
      </w:r>
      <w:r>
        <w:rPr>
          <w:vertAlign w:val="baseline"/>
        </w:rPr>
        <w:t>other</w:t>
      </w:r>
      <w:r>
        <w:rPr>
          <w:spacing w:val="8"/>
          <w:vertAlign w:val="baseline"/>
        </w:rPr>
        <w:t> </w:t>
      </w:r>
      <w:r>
        <w:rPr>
          <w:vertAlign w:val="baseline"/>
        </w:rPr>
        <w:t>than</w:t>
      </w:r>
      <w:r>
        <w:rPr>
          <w:spacing w:val="8"/>
          <w:vertAlign w:val="baseline"/>
        </w:rPr>
        <w:t> </w:t>
      </w:r>
      <w:r>
        <w:rPr>
          <w:vertAlign w:val="baseline"/>
        </w:rPr>
        <w:t>a</w:t>
      </w:r>
      <w:r>
        <w:rPr>
          <w:spacing w:val="8"/>
          <w:vertAlign w:val="baseline"/>
        </w:rPr>
        <w:t> </w:t>
      </w:r>
      <w:r>
        <w:rPr>
          <w:vertAlign w:val="baseline"/>
        </w:rPr>
        <w:t>breach</w:t>
      </w:r>
      <w:r>
        <w:rPr>
          <w:spacing w:val="8"/>
          <w:vertAlign w:val="baseline"/>
        </w:rPr>
        <w:t> </w:t>
      </w:r>
      <w:r>
        <w:rPr>
          <w:vertAlign w:val="baseline"/>
        </w:rPr>
        <w:t>of</w:t>
      </w:r>
      <w:r>
        <w:rPr>
          <w:spacing w:val="8"/>
          <w:vertAlign w:val="baseline"/>
        </w:rPr>
        <w:t> </w:t>
      </w:r>
      <w:r>
        <w:rPr>
          <w:vertAlign w:val="baseline"/>
        </w:rPr>
        <w:t>contract,</w:t>
      </w:r>
      <w:r>
        <w:rPr>
          <w:spacing w:val="8"/>
          <w:vertAlign w:val="baseline"/>
        </w:rPr>
        <w:t> </w:t>
      </w:r>
      <w:r>
        <w:rPr>
          <w:vertAlign w:val="baseline"/>
        </w:rPr>
        <w:t>for</w:t>
      </w:r>
      <w:r>
        <w:rPr>
          <w:spacing w:val="8"/>
          <w:vertAlign w:val="baseline"/>
        </w:rPr>
        <w:t> </w:t>
      </w:r>
      <w:r>
        <w:rPr>
          <w:vertAlign w:val="baseline"/>
        </w:rPr>
        <w:t>example</w:t>
      </w:r>
      <w:r>
        <w:rPr>
          <w:spacing w:val="8"/>
          <w:vertAlign w:val="baseline"/>
        </w:rPr>
        <w:t> </w:t>
      </w:r>
      <w:r>
        <w:rPr>
          <w:vertAlign w:val="baseline"/>
        </w:rPr>
        <w:t>a</w:t>
      </w:r>
      <w:r>
        <w:rPr>
          <w:spacing w:val="8"/>
          <w:vertAlign w:val="baseline"/>
        </w:rPr>
        <w:t> </w:t>
      </w:r>
      <w:r>
        <w:rPr>
          <w:vertAlign w:val="baseline"/>
        </w:rPr>
        <w:t>sum</w:t>
      </w:r>
      <w:r>
        <w:rPr>
          <w:spacing w:val="8"/>
          <w:vertAlign w:val="baseline"/>
        </w:rPr>
        <w:t> </w:t>
      </w:r>
      <w:r>
        <w:rPr>
          <w:vertAlign w:val="baseline"/>
        </w:rPr>
        <w:t>that</w:t>
      </w:r>
      <w:r>
        <w:rPr>
          <w:spacing w:val="8"/>
          <w:vertAlign w:val="baseline"/>
        </w:rPr>
        <w:t> </w:t>
      </w:r>
      <w:r>
        <w:rPr>
          <w:spacing w:val="-4"/>
          <w:vertAlign w:val="baseline"/>
        </w:rPr>
        <w:t>must</w:t>
      </w:r>
    </w:p>
    <w:p>
      <w:pPr>
        <w:pStyle w:val="BodyText"/>
        <w:spacing w:before="115"/>
        <w:ind w:left="165"/>
        <w:rPr>
          <w:position w:val="-2"/>
        </w:rPr>
      </w:pPr>
      <w:r>
        <w:rPr/>
        <w:t>be paid if a party exercises a right under the contract. </w:t>
      </w:r>
      <w:r>
        <w:rPr>
          <w:color w:val="005DA1"/>
          <w:u w:val="single" w:color="005DA1"/>
          <w:vertAlign w:val="superscript"/>
        </w:rPr>
        <w:t>994</w:t>
      </w:r>
      <w:r>
        <w:rPr>
          <w:color w:val="005DA1"/>
          <w:spacing w:val="80"/>
          <w:w w:val="150"/>
          <w:vertAlign w:val="baseline"/>
        </w:rPr>
        <w:t> </w:t>
      </w:r>
      <w:r>
        <w:rPr>
          <w:color w:val="005DA1"/>
          <w:position w:val="-2"/>
          <w:vertAlign w:val="baseline"/>
        </w:rPr>
        <w:drawing>
          <wp:inline distT="0" distB="0" distL="0" distR="0">
            <wp:extent cx="107988" cy="107988"/>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Reluctance to find clause </w:t>
      </w:r>
      <w:r>
        <w:rPr>
          <w:rFonts w:ascii="Arial"/>
          <w:b/>
          <w:spacing w:val="-2"/>
          <w:sz w:val="18"/>
        </w:rPr>
        <w:t>penal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181A</w:t>
      </w:r>
    </w:p>
    <w:p>
      <w:pPr>
        <w:pStyle w:val="BodyText"/>
        <w:spacing w:before="89"/>
        <w:rPr>
          <w:rFonts w:ascii="Arial"/>
          <w:b/>
        </w:rPr>
      </w:pPr>
    </w:p>
    <w:p>
      <w:pPr>
        <w:pStyle w:val="BodyText"/>
        <w:tabs>
          <w:tab w:pos="7738" w:val="left" w:leader="none"/>
        </w:tabs>
        <w:spacing w:line="360" w:lineRule="auto"/>
        <w:ind w:left="165" w:right="167"/>
        <w:rPr>
          <w:rFonts w:ascii="Arial"/>
          <w:i/>
        </w:rPr>
      </w:pPr>
      <w:r>
        <w:rPr>
          <w:position w:val="-2"/>
        </w:rPr>
        <w:drawing>
          <wp:inline distT="0" distB="0" distL="0" distR="0">
            <wp:extent cx="107988" cy="107988"/>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854" w:id="1856"/>
      <w:bookmarkEnd w:id="1856"/>
      <w:r>
        <w:rPr>
          <w:rFonts w:ascii="Times New Roman"/>
          <w:spacing w:val="19"/>
        </w:rPr>
      </w:r>
      <w:r>
        <w:rPr/>
        <w:t>The rule against penalties has often been seen as anomalous because it applies even to </w:t>
      </w:r>
      <w:r>
        <w:rPr/>
        <w:t>clauses</w:t>
      </w:r>
      <w:r>
        <w:rPr>
          <w:spacing w:val="40"/>
        </w:rPr>
        <w:t> </w:t>
      </w:r>
      <w:bookmarkStart w:name="_bookmark1855" w:id="1857"/>
      <w:bookmarkEnd w:id="1857"/>
      <w:r>
        <w:rPr/>
        <w:t>that</w:t>
      </w:r>
      <w:r>
        <w:rPr>
          <w:spacing w:val="24"/>
        </w:rPr>
        <w:t> </w:t>
      </w:r>
      <w:r>
        <w:rPr/>
        <w:t>were</w:t>
      </w:r>
      <w:r>
        <w:rPr>
          <w:spacing w:val="24"/>
        </w:rPr>
        <w:t> </w:t>
      </w:r>
      <w:r>
        <w:rPr/>
        <w:t>negotiated</w:t>
      </w:r>
      <w:r>
        <w:rPr>
          <w:spacing w:val="24"/>
        </w:rPr>
        <w:t> </w:t>
      </w:r>
      <w:r>
        <w:rPr/>
        <w:t>between</w:t>
      </w:r>
      <w:r>
        <w:rPr>
          <w:spacing w:val="24"/>
        </w:rPr>
        <w:t> </w:t>
      </w:r>
      <w:r>
        <w:rPr/>
        <w:t>experienced</w:t>
      </w:r>
      <w:r>
        <w:rPr>
          <w:spacing w:val="24"/>
        </w:rPr>
        <w:t> </w:t>
      </w:r>
      <w:r>
        <w:rPr/>
        <w:t>parties</w:t>
      </w:r>
      <w:r>
        <w:rPr>
          <w:spacing w:val="24"/>
        </w:rPr>
        <w:t> </w:t>
      </w:r>
      <w:r>
        <w:rPr/>
        <w:t>of</w:t>
      </w:r>
      <w:r>
        <w:rPr>
          <w:spacing w:val="24"/>
        </w:rPr>
        <w:t> </w:t>
      </w:r>
      <w:r>
        <w:rPr/>
        <w:t>equal</w:t>
      </w:r>
      <w:r>
        <w:rPr>
          <w:spacing w:val="24"/>
        </w:rPr>
        <w:t> </w:t>
      </w:r>
      <w:r>
        <w:rPr/>
        <w:t>bargaining</w:t>
      </w:r>
      <w:r>
        <w:rPr>
          <w:spacing w:val="24"/>
        </w:rPr>
        <w:t> </w:t>
      </w:r>
      <w:r>
        <w:rPr/>
        <w:t>power.</w:t>
      </w:r>
      <w:r>
        <w:rPr>
          <w:spacing w:val="22"/>
        </w:rPr>
        <w:t> </w:t>
      </w:r>
      <w:r>
        <w:rPr>
          <w:color w:val="005DA1"/>
          <w:spacing w:val="-5"/>
          <w:u w:val="single" w:color="005DA1"/>
          <w:vertAlign w:val="superscript"/>
        </w:rPr>
        <w:t>995</w:t>
      </w:r>
      <w:r>
        <w:rPr>
          <w:color w:val="005DA1"/>
          <w:vertAlign w:val="baseline"/>
        </w:rPr>
        <w:tab/>
      </w:r>
      <w:r>
        <w:rPr>
          <w:color w:val="005DA1"/>
          <w:position w:val="-2"/>
          <w:vertAlign w:val="baseline"/>
        </w:rPr>
        <w:drawing>
          <wp:inline distT="0" distB="0" distL="0" distR="0">
            <wp:extent cx="107988" cy="107988"/>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5"/>
          <w:vertAlign w:val="baseline"/>
        </w:rPr>
        <w:t> </w:t>
      </w:r>
      <w:r>
        <w:rPr>
          <w:vertAlign w:val="baseline"/>
        </w:rPr>
        <w:t>In</w:t>
      </w:r>
      <w:r>
        <w:rPr>
          <w:spacing w:val="10"/>
          <w:vertAlign w:val="baseline"/>
        </w:rPr>
        <w:t> </w:t>
      </w:r>
      <w:r>
        <w:rPr>
          <w:rFonts w:ascii="Arial"/>
          <w:i/>
          <w:vertAlign w:val="baseline"/>
        </w:rPr>
        <w:t>Cavendish</w:t>
      </w:r>
    </w:p>
    <w:p>
      <w:pPr>
        <w:pStyle w:val="BodyText"/>
        <w:spacing w:after="0" w:line="360" w:lineRule="auto"/>
        <w:rPr>
          <w:rFonts w:ascii="Arial"/>
          <w:i/>
        </w:rPr>
        <w:sectPr>
          <w:headerReference w:type="default" r:id="rId47"/>
          <w:pgSz w:w="11900" w:h="16840"/>
          <w:pgMar w:header="971" w:footer="0" w:top="1300" w:bottom="280" w:left="1275" w:right="1275"/>
          <w:pgNumType w:start="2"/>
        </w:sectPr>
      </w:pPr>
    </w:p>
    <w:p>
      <w:pPr>
        <w:pStyle w:val="BodyText"/>
        <w:spacing w:before="116"/>
        <w:rPr>
          <w:rFonts w:ascii="Arial"/>
          <w:i/>
        </w:rPr>
      </w:pPr>
    </w:p>
    <w:p>
      <w:pPr>
        <w:pStyle w:val="BodyText"/>
        <w:tabs>
          <w:tab w:pos="9009" w:val="left" w:leader="none"/>
        </w:tabs>
        <w:ind w:left="165"/>
        <w:rPr>
          <w:position w:val="-2"/>
        </w:rPr>
      </w:pPr>
      <w:r>
        <w:rPr>
          <w:position w:val="-2"/>
        </w:rPr>
        <w:drawing>
          <wp:inline distT="0" distB="0" distL="0" distR="0">
            <wp:extent cx="107988" cy="107988"/>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bookmarkStart w:name="_bookmark1856" w:id="1858"/>
      <w:bookmarkEnd w:id="1858"/>
      <w:r>
        <w:rPr>
          <w:rFonts w:ascii="Times New Roman" w:hAnsi="Times New Roman"/>
          <w:spacing w:val="21"/>
        </w:rPr>
      </w:r>
      <w:bookmarkStart w:name="_bookmark1857" w:id="1859"/>
      <w:bookmarkEnd w:id="1859"/>
      <w:r>
        <w:rPr>
          <w:rFonts w:ascii="Times New Roman" w:hAnsi="Times New Roman"/>
          <w:spacing w:val="21"/>
        </w:rPr>
      </w:r>
      <w:r>
        <w:rPr/>
        <w:t>Lords</w:t>
      </w:r>
      <w:r>
        <w:rPr>
          <w:spacing w:val="18"/>
        </w:rPr>
        <w:t> </w:t>
      </w:r>
      <w:r>
        <w:rPr/>
        <w:t>Neuberger</w:t>
      </w:r>
      <w:r>
        <w:rPr>
          <w:spacing w:val="18"/>
        </w:rPr>
        <w:t> </w:t>
      </w:r>
      <w:r>
        <w:rPr/>
        <w:t>and</w:t>
      </w:r>
      <w:r>
        <w:rPr>
          <w:spacing w:val="18"/>
        </w:rPr>
        <w:t> </w:t>
      </w:r>
      <w:r>
        <w:rPr/>
        <w:t>Sumption</w:t>
      </w:r>
      <w:r>
        <w:rPr>
          <w:spacing w:val="18"/>
        </w:rPr>
        <w:t> </w:t>
      </w:r>
      <w:r>
        <w:rPr/>
        <w:t>described</w:t>
      </w:r>
      <w:r>
        <w:rPr>
          <w:spacing w:val="18"/>
        </w:rPr>
        <w:t> </w:t>
      </w:r>
      <w:r>
        <w:rPr/>
        <w:t>it</w:t>
      </w:r>
      <w:r>
        <w:rPr>
          <w:spacing w:val="18"/>
        </w:rPr>
        <w:t> </w:t>
      </w:r>
      <w:r>
        <w:rPr/>
        <w:t>as</w:t>
      </w:r>
      <w:r>
        <w:rPr>
          <w:spacing w:val="18"/>
        </w:rPr>
        <w:t> </w:t>
      </w:r>
      <w:r>
        <w:rPr/>
        <w:t>“an</w:t>
      </w:r>
      <w:r>
        <w:rPr>
          <w:spacing w:val="18"/>
        </w:rPr>
        <w:t> </w:t>
      </w:r>
      <w:r>
        <w:rPr/>
        <w:t>edifice</w:t>
      </w:r>
      <w:r>
        <w:rPr>
          <w:spacing w:val="18"/>
        </w:rPr>
        <w:t> </w:t>
      </w:r>
      <w:r>
        <w:rPr/>
        <w:t>which</w:t>
      </w:r>
      <w:r>
        <w:rPr>
          <w:spacing w:val="18"/>
        </w:rPr>
        <w:t> </w:t>
      </w:r>
      <w:r>
        <w:rPr/>
        <w:t>has</w:t>
      </w:r>
      <w:r>
        <w:rPr>
          <w:spacing w:val="18"/>
        </w:rPr>
        <w:t> </w:t>
      </w:r>
      <w:r>
        <w:rPr/>
        <w:t>not</w:t>
      </w:r>
      <w:r>
        <w:rPr>
          <w:spacing w:val="18"/>
        </w:rPr>
        <w:t> </w:t>
      </w:r>
      <w:r>
        <w:rPr/>
        <w:t>weathered</w:t>
      </w:r>
      <w:r>
        <w:rPr>
          <w:spacing w:val="18"/>
        </w:rPr>
        <w:t> </w:t>
      </w:r>
      <w:r>
        <w:rPr/>
        <w:t>well”.</w:t>
      </w:r>
      <w:r>
        <w:rPr>
          <w:spacing w:val="16"/>
        </w:rPr>
        <w:t> </w:t>
      </w:r>
      <w:r>
        <w:rPr>
          <w:color w:val="005DA1"/>
          <w:u w:val="single" w:color="005DA1"/>
          <w:vertAlign w:val="superscript"/>
        </w:rPr>
        <w:t>997</w:t>
      </w:r>
      <w:r>
        <w:rPr>
          <w:color w:val="005DA1"/>
          <w:vertAlign w:val="baseline"/>
        </w:rPr>
        <w:tab/>
      </w:r>
      <w:r>
        <w:rPr>
          <w:color w:val="005DA1"/>
          <w:position w:val="-2"/>
          <w:vertAlign w:val="baseline"/>
        </w:rPr>
        <w:drawing>
          <wp:inline distT="0" distB="0" distL="0" distR="0">
            <wp:extent cx="107988" cy="107988"/>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9"/>
      </w:pPr>
    </w:p>
    <w:p>
      <w:pPr>
        <w:pStyle w:val="BodyText"/>
        <w:spacing w:line="235" w:lineRule="auto"/>
        <w:ind w:left="165"/>
      </w:pPr>
      <w:bookmarkStart w:name="_bookmark1858" w:id="1860"/>
      <w:bookmarkEnd w:id="1860"/>
      <w:r>
        <w:rPr/>
      </w:r>
      <w:r>
        <w:rPr/>
        <w:t>The</w:t>
      </w:r>
      <w:r>
        <w:rPr>
          <w:spacing w:val="-3"/>
        </w:rPr>
        <w:t> </w:t>
      </w:r>
      <w:r>
        <w:rPr/>
        <w:t>Privy</w:t>
      </w:r>
      <w:r>
        <w:rPr>
          <w:spacing w:val="-3"/>
        </w:rPr>
        <w:t> </w:t>
      </w:r>
      <w:r>
        <w:rPr/>
        <w:t>Council</w:t>
      </w:r>
      <w:r>
        <w:rPr>
          <w:spacing w:val="-4"/>
        </w:rPr>
        <w:t> </w:t>
      </w:r>
      <w:r>
        <w:rPr>
          <w:color w:val="005DA1"/>
          <w:u w:val="single" w:color="005DA1"/>
          <w:vertAlign w:val="superscript"/>
        </w:rPr>
        <w:t>998</w:t>
      </w:r>
      <w:r>
        <w:rPr>
          <w:color w:val="005DA1"/>
          <w:spacing w:val="80"/>
          <w:vertAlign w:val="baseline"/>
        </w:rPr>
        <w:t> </w:t>
      </w:r>
      <w:r>
        <w:rPr>
          <w:color w:val="005DA1"/>
          <w:position w:val="-2"/>
          <w:vertAlign w:val="baseline"/>
        </w:rPr>
        <w:drawing>
          <wp:inline distT="0" distB="0" distL="0" distR="0">
            <wp:extent cx="107988" cy="10798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has</w:t>
      </w:r>
      <w:r>
        <w:rPr>
          <w:spacing w:val="-3"/>
          <w:vertAlign w:val="baseline"/>
        </w:rPr>
        <w:t> </w:t>
      </w:r>
      <w:r>
        <w:rPr>
          <w:vertAlign w:val="baseline"/>
        </w:rPr>
        <w:t>cited</w:t>
      </w:r>
      <w:r>
        <w:rPr>
          <w:spacing w:val="-3"/>
          <w:vertAlign w:val="baseline"/>
        </w:rPr>
        <w:t> </w:t>
      </w:r>
      <w:r>
        <w:rPr>
          <w:vertAlign w:val="baseline"/>
        </w:rPr>
        <w:t>with</w:t>
      </w:r>
      <w:r>
        <w:rPr>
          <w:spacing w:val="-3"/>
          <w:vertAlign w:val="baseline"/>
        </w:rPr>
        <w:t> </w:t>
      </w:r>
      <w:r>
        <w:rPr>
          <w:vertAlign w:val="baseline"/>
        </w:rPr>
        <w:t>approval</w:t>
      </w:r>
      <w:r>
        <w:rPr>
          <w:spacing w:val="-4"/>
          <w:vertAlign w:val="baseline"/>
        </w:rPr>
        <w:t> </w:t>
      </w:r>
      <w:r>
        <w:rPr>
          <w:color w:val="005DA1"/>
          <w:u w:val="single" w:color="005DA1"/>
          <w:vertAlign w:val="superscript"/>
        </w:rPr>
        <w:t>999</w:t>
      </w:r>
      <w:r>
        <w:rPr>
          <w:color w:val="005DA1"/>
          <w:spacing w:val="80"/>
          <w:vertAlign w:val="baseline"/>
        </w:rPr>
        <w:t> </w:t>
      </w:r>
      <w:r>
        <w:rPr>
          <w:color w:val="005DA1"/>
          <w:position w:val="-2"/>
          <w:vertAlign w:val="baseline"/>
        </w:rPr>
        <w:drawing>
          <wp:inline distT="0" distB="0" distL="0" distR="0">
            <wp:extent cx="107988" cy="10798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the</w:t>
      </w:r>
      <w:r>
        <w:rPr>
          <w:spacing w:val="-3"/>
          <w:vertAlign w:val="baseline"/>
        </w:rPr>
        <w:t> </w:t>
      </w:r>
      <w:r>
        <w:rPr>
          <w:vertAlign w:val="baseline"/>
        </w:rPr>
        <w:t>view</w:t>
      </w:r>
      <w:r>
        <w:rPr>
          <w:spacing w:val="-3"/>
          <w:vertAlign w:val="baseline"/>
        </w:rPr>
        <w:t> </w:t>
      </w:r>
      <w:r>
        <w:rPr>
          <w:vertAlign w:val="baseline"/>
        </w:rPr>
        <w:t>of</w:t>
      </w:r>
      <w:r>
        <w:rPr>
          <w:spacing w:val="-3"/>
          <w:vertAlign w:val="baseline"/>
        </w:rPr>
        <w:t> </w:t>
      </w:r>
      <w:r>
        <w:rPr>
          <w:vertAlign w:val="baseline"/>
        </w:rPr>
        <w:t>Dickson</w:t>
      </w:r>
      <w:r>
        <w:rPr>
          <w:spacing w:val="-3"/>
          <w:vertAlign w:val="baseline"/>
        </w:rPr>
        <w:t> </w:t>
      </w:r>
      <w:r>
        <w:rPr>
          <w:vertAlign w:val="baseline"/>
        </w:rPr>
        <w:t>J.</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Supreme</w:t>
      </w:r>
      <w:r>
        <w:rPr>
          <w:spacing w:val="-3"/>
          <w:vertAlign w:val="baseline"/>
        </w:rPr>
        <w:t> </w:t>
      </w:r>
      <w:r>
        <w:rPr>
          <w:vertAlign w:val="baseline"/>
        </w:rPr>
        <w:t>Court</w:t>
      </w:r>
      <w:r>
        <w:rPr>
          <w:spacing w:val="-3"/>
          <w:vertAlign w:val="baseline"/>
        </w:rPr>
        <w:t> </w:t>
      </w:r>
      <w:r>
        <w:rPr>
          <w:vertAlign w:val="baseline"/>
        </w:rPr>
        <w:t>of Canada that:</w:t>
      </w:r>
    </w:p>
    <w:p>
      <w:pPr>
        <w:pStyle w:val="BodyText"/>
      </w:pPr>
    </w:p>
    <w:p>
      <w:pPr>
        <w:pStyle w:val="BodyText"/>
        <w:spacing w:before="126"/>
      </w:pPr>
    </w:p>
    <w:p>
      <w:pPr>
        <w:pStyle w:val="BodyText"/>
        <w:spacing w:line="235" w:lineRule="auto"/>
        <w:ind w:left="1245" w:right="167"/>
        <w:jc w:val="both"/>
      </w:pPr>
      <w:r>
        <w:rPr/>
        <w:t>“… the power to strike down a penalty clause is a blatant interference with freedom of </w:t>
      </w:r>
      <w:bookmarkStart w:name="_bookmark1859" w:id="1861"/>
      <w:bookmarkEnd w:id="1861"/>
      <w:r>
        <w:rPr/>
        <w:t>contract</w:t>
      </w:r>
      <w:r>
        <w:rPr>
          <w:spacing w:val="-3"/>
        </w:rPr>
        <w:t> </w:t>
      </w:r>
      <w:r>
        <w:rPr/>
        <w:t>and</w:t>
      </w:r>
      <w:r>
        <w:rPr>
          <w:spacing w:val="-3"/>
        </w:rPr>
        <w:t> </w:t>
      </w:r>
      <w:r>
        <w:rPr/>
        <w:t>is</w:t>
      </w:r>
      <w:r>
        <w:rPr>
          <w:spacing w:val="-3"/>
        </w:rPr>
        <w:t> </w:t>
      </w:r>
      <w:r>
        <w:rPr/>
        <w:t>designed</w:t>
      </w:r>
      <w:r>
        <w:rPr>
          <w:spacing w:val="-3"/>
        </w:rPr>
        <w:t> </w:t>
      </w:r>
      <w:r>
        <w:rPr/>
        <w:t>for</w:t>
      </w:r>
      <w:r>
        <w:rPr>
          <w:spacing w:val="-3"/>
        </w:rPr>
        <w:t> </w:t>
      </w:r>
      <w:r>
        <w:rPr/>
        <w:t>the</w:t>
      </w:r>
      <w:r>
        <w:rPr>
          <w:spacing w:val="-3"/>
        </w:rPr>
        <w:t> </w:t>
      </w:r>
      <w:r>
        <w:rPr/>
        <w:t>sole</w:t>
      </w:r>
      <w:r>
        <w:rPr>
          <w:spacing w:val="-3"/>
        </w:rPr>
        <w:t> </w:t>
      </w:r>
      <w:r>
        <w:rPr/>
        <w:t>purpose</w:t>
      </w:r>
      <w:r>
        <w:rPr>
          <w:spacing w:val="-3"/>
        </w:rPr>
        <w:t> </w:t>
      </w:r>
      <w:r>
        <w:rPr/>
        <w:t>of</w:t>
      </w:r>
      <w:r>
        <w:rPr>
          <w:spacing w:val="-3"/>
        </w:rPr>
        <w:t> </w:t>
      </w:r>
      <w:r>
        <w:rPr/>
        <w:t>providing</w:t>
      </w:r>
      <w:r>
        <w:rPr>
          <w:spacing w:val="-3"/>
        </w:rPr>
        <w:t> </w:t>
      </w:r>
      <w:r>
        <w:rPr/>
        <w:t>relief</w:t>
      </w:r>
      <w:r>
        <w:rPr>
          <w:spacing w:val="-3"/>
        </w:rPr>
        <w:t> </w:t>
      </w:r>
      <w:r>
        <w:rPr/>
        <w:t>against</w:t>
      </w:r>
      <w:r>
        <w:rPr>
          <w:spacing w:val="-3"/>
        </w:rPr>
        <w:t> </w:t>
      </w:r>
      <w:r>
        <w:rPr/>
        <w:t>oppression</w:t>
      </w:r>
      <w:r>
        <w:rPr>
          <w:spacing w:val="-3"/>
        </w:rPr>
        <w:t> </w:t>
      </w:r>
      <w:r>
        <w:rPr/>
        <w:t>for</w:t>
      </w:r>
      <w:r>
        <w:rPr>
          <w:spacing w:val="-3"/>
        </w:rPr>
        <w:t> </w:t>
      </w:r>
      <w:r>
        <w:rPr/>
        <w:t>the party</w:t>
      </w:r>
      <w:r>
        <w:rPr>
          <w:spacing w:val="3"/>
        </w:rPr>
        <w:t> </w:t>
      </w:r>
      <w:r>
        <w:rPr/>
        <w:t>having</w:t>
      </w:r>
      <w:r>
        <w:rPr>
          <w:spacing w:val="5"/>
        </w:rPr>
        <w:t> </w:t>
      </w:r>
      <w:r>
        <w:rPr/>
        <w:t>to</w:t>
      </w:r>
      <w:r>
        <w:rPr>
          <w:spacing w:val="5"/>
        </w:rPr>
        <w:t> </w:t>
      </w:r>
      <w:r>
        <w:rPr/>
        <w:t>pay</w:t>
      </w:r>
      <w:r>
        <w:rPr>
          <w:spacing w:val="5"/>
        </w:rPr>
        <w:t> </w:t>
      </w:r>
      <w:r>
        <w:rPr/>
        <w:t>the</w:t>
      </w:r>
      <w:r>
        <w:rPr>
          <w:spacing w:val="5"/>
        </w:rPr>
        <w:t> </w:t>
      </w:r>
      <w:r>
        <w:rPr/>
        <w:t>stipulated</w:t>
      </w:r>
      <w:r>
        <w:rPr>
          <w:spacing w:val="5"/>
        </w:rPr>
        <w:t> </w:t>
      </w:r>
      <w:r>
        <w:rPr/>
        <w:t>sum.</w:t>
      </w:r>
      <w:r>
        <w:rPr>
          <w:spacing w:val="5"/>
        </w:rPr>
        <w:t> </w:t>
      </w:r>
      <w:r>
        <w:rPr/>
        <w:t>It</w:t>
      </w:r>
      <w:r>
        <w:rPr>
          <w:spacing w:val="5"/>
        </w:rPr>
        <w:t> </w:t>
      </w:r>
      <w:r>
        <w:rPr/>
        <w:t>has</w:t>
      </w:r>
      <w:r>
        <w:rPr>
          <w:spacing w:val="5"/>
        </w:rPr>
        <w:t> </w:t>
      </w:r>
      <w:r>
        <w:rPr/>
        <w:t>no</w:t>
      </w:r>
      <w:r>
        <w:rPr>
          <w:spacing w:val="5"/>
        </w:rPr>
        <w:t> </w:t>
      </w:r>
      <w:r>
        <w:rPr/>
        <w:t>place</w:t>
      </w:r>
      <w:r>
        <w:rPr>
          <w:spacing w:val="5"/>
        </w:rPr>
        <w:t> </w:t>
      </w:r>
      <w:r>
        <w:rPr/>
        <w:t>where</w:t>
      </w:r>
      <w:r>
        <w:rPr>
          <w:spacing w:val="5"/>
        </w:rPr>
        <w:t> </w:t>
      </w:r>
      <w:r>
        <w:rPr/>
        <w:t>there</w:t>
      </w:r>
      <w:r>
        <w:rPr>
          <w:spacing w:val="5"/>
        </w:rPr>
        <w:t> </w:t>
      </w:r>
      <w:r>
        <w:rPr/>
        <w:t>is</w:t>
      </w:r>
      <w:r>
        <w:rPr>
          <w:spacing w:val="5"/>
        </w:rPr>
        <w:t> </w:t>
      </w:r>
      <w:r>
        <w:rPr/>
        <w:t>no</w:t>
      </w:r>
      <w:r>
        <w:rPr>
          <w:spacing w:val="5"/>
        </w:rPr>
        <w:t> </w:t>
      </w:r>
      <w:r>
        <w:rPr/>
        <w:t>oppression.”</w:t>
      </w:r>
      <w:r>
        <w:rPr>
          <w:spacing w:val="4"/>
        </w:rPr>
        <w:t> </w:t>
      </w:r>
      <w:r>
        <w:rPr>
          <w:color w:val="005DA1"/>
          <w:spacing w:val="-7"/>
          <w:u w:val="single" w:color="005DA1"/>
          <w:vertAlign w:val="superscript"/>
        </w:rPr>
        <w:t>1000</w:t>
      </w:r>
    </w:p>
    <w:p>
      <w:pPr>
        <w:pStyle w:val="BodyText"/>
        <w:spacing w:before="9"/>
        <w:rPr>
          <w:sz w:val="11"/>
        </w:rPr>
      </w:pPr>
      <w:r>
        <w:rPr>
          <w:sz w:val="11"/>
        </w:rPr>
        <w:drawing>
          <wp:anchor distT="0" distB="0" distL="0" distR="0" allowOverlap="1" layoutInCell="1" locked="0" behindDoc="1" simplePos="0" relativeHeight="487680512">
            <wp:simplePos x="0" y="0"/>
            <wp:positionH relativeFrom="page">
              <wp:posOffset>1670811</wp:posOffset>
            </wp:positionH>
            <wp:positionV relativeFrom="paragraph">
              <wp:posOffset>101426</wp:posOffset>
            </wp:positionV>
            <wp:extent cx="107727" cy="107727"/>
            <wp:effectExtent l="0" t="0" r="0" b="0"/>
            <wp:wrapTopAndBottom/>
            <wp:docPr id="426" name="Image 426"/>
            <wp:cNvGraphicFramePr>
              <a:graphicFrameLocks/>
            </wp:cNvGraphicFramePr>
            <a:graphic>
              <a:graphicData uri="http://schemas.openxmlformats.org/drawingml/2006/picture">
                <pic:pic>
                  <pic:nvPicPr>
                    <pic:cNvPr id="426" name="Image 426"/>
                    <pic:cNvPicPr/>
                  </pic:nvPicPr>
                  <pic:blipFill>
                    <a:blip r:embed="rId6" cstate="print"/>
                    <a:stretch>
                      <a:fillRect/>
                    </a:stretch>
                  </pic:blipFill>
                  <pic:spPr>
                    <a:xfrm>
                      <a:off x="0" y="0"/>
                      <a:ext cx="107727" cy="107727"/>
                    </a:xfrm>
                    <a:prstGeom prst="rect">
                      <a:avLst/>
                    </a:prstGeom>
                  </pic:spPr>
                </pic:pic>
              </a:graphicData>
            </a:graphic>
          </wp:anchor>
        </w:drawing>
      </w:r>
    </w:p>
    <w:p>
      <w:pPr>
        <w:pStyle w:val="BodyText"/>
        <w:spacing w:before="128"/>
      </w:pPr>
    </w:p>
    <w:p>
      <w:pPr>
        <w:pStyle w:val="BodyText"/>
        <w:spacing w:line="360" w:lineRule="auto"/>
        <w:ind w:left="165"/>
      </w:pPr>
      <w:bookmarkStart w:name="_bookmark1860" w:id="1862"/>
      <w:bookmarkEnd w:id="1862"/>
      <w:r>
        <w:rPr/>
      </w:r>
      <w:r>
        <w:rPr/>
        <w:t>Therefore,</w:t>
      </w:r>
      <w:r>
        <w:rPr>
          <w:spacing w:val="27"/>
        </w:rPr>
        <w:t> </w:t>
      </w:r>
      <w:r>
        <w:rPr/>
        <w:t>where</w:t>
      </w:r>
      <w:r>
        <w:rPr>
          <w:spacing w:val="27"/>
        </w:rPr>
        <w:t> </w:t>
      </w:r>
      <w:r>
        <w:rPr/>
        <w:t>there</w:t>
      </w:r>
      <w:r>
        <w:rPr>
          <w:spacing w:val="27"/>
        </w:rPr>
        <w:t> </w:t>
      </w:r>
      <w:r>
        <w:rPr/>
        <w:t>is</w:t>
      </w:r>
      <w:r>
        <w:rPr>
          <w:spacing w:val="27"/>
        </w:rPr>
        <w:t> </w:t>
      </w:r>
      <w:r>
        <w:rPr/>
        <w:t>no</w:t>
      </w:r>
      <w:r>
        <w:rPr>
          <w:spacing w:val="27"/>
        </w:rPr>
        <w:t> </w:t>
      </w:r>
      <w:r>
        <w:rPr/>
        <w:t>suggestion</w:t>
      </w:r>
      <w:r>
        <w:rPr>
          <w:spacing w:val="27"/>
        </w:rPr>
        <w:t> </w:t>
      </w:r>
      <w:r>
        <w:rPr/>
        <w:t>of</w:t>
      </w:r>
      <w:r>
        <w:rPr>
          <w:spacing w:val="27"/>
        </w:rPr>
        <w:t> </w:t>
      </w:r>
      <w:r>
        <w:rPr/>
        <w:t>oppression,</w:t>
      </w:r>
      <w:r>
        <w:rPr>
          <w:spacing w:val="27"/>
        </w:rPr>
        <w:t> </w:t>
      </w:r>
      <w:r>
        <w:rPr/>
        <w:t>“the</w:t>
      </w:r>
      <w:r>
        <w:rPr>
          <w:spacing w:val="27"/>
        </w:rPr>
        <w:t> </w:t>
      </w:r>
      <w:r>
        <w:rPr/>
        <w:t>court</w:t>
      </w:r>
      <w:r>
        <w:rPr>
          <w:spacing w:val="27"/>
        </w:rPr>
        <w:t> </w:t>
      </w:r>
      <w:r>
        <w:rPr/>
        <w:t>should</w:t>
      </w:r>
      <w:r>
        <w:rPr>
          <w:spacing w:val="27"/>
        </w:rPr>
        <w:t> </w:t>
      </w:r>
      <w:r>
        <w:rPr/>
        <w:t>not</w:t>
      </w:r>
      <w:r>
        <w:rPr>
          <w:spacing w:val="27"/>
        </w:rPr>
        <w:t> </w:t>
      </w:r>
      <w:r>
        <w:rPr/>
        <w:t>be</w:t>
      </w:r>
      <w:r>
        <w:rPr>
          <w:spacing w:val="27"/>
        </w:rPr>
        <w:t> </w:t>
      </w:r>
      <w:r>
        <w:rPr/>
        <w:t>astute</w:t>
      </w:r>
      <w:r>
        <w:rPr>
          <w:spacing w:val="27"/>
        </w:rPr>
        <w:t> </w:t>
      </w:r>
      <w:r>
        <w:rPr/>
        <w:t>to</w:t>
      </w:r>
      <w:r>
        <w:rPr>
          <w:spacing w:val="27"/>
        </w:rPr>
        <w:t> </w:t>
      </w:r>
      <w:r>
        <w:rPr/>
        <w:t>decry</w:t>
      </w:r>
      <w:r>
        <w:rPr>
          <w:spacing w:val="27"/>
        </w:rPr>
        <w:t> </w:t>
      </w:r>
      <w:r>
        <w:rPr/>
        <w:t>a ‘penalty clause”’. </w:t>
      </w:r>
      <w:hyperlink w:history="true" w:anchor="_bookmark1900">
        <w:r>
          <w:rPr>
            <w:color w:val="005DA1"/>
            <w:u w:val="single" w:color="005DA1"/>
            <w:vertAlign w:val="superscript"/>
          </w:rPr>
          <w:t>1001</w:t>
        </w:r>
        <w:r>
          <w:rPr>
            <w:color w:val="005DA1"/>
            <w:spacing w:val="80"/>
            <w:vertAlign w:val="baseline"/>
          </w:rPr>
          <w:t> </w:t>
        </w:r>
        <w:r>
          <w:rPr>
            <w:color w:val="005DA1"/>
            <w:position w:val="-2"/>
            <w:vertAlign w:val="baseline"/>
          </w:rPr>
          <w:drawing>
            <wp:inline distT="0" distB="0" distL="0" distR="0">
              <wp:extent cx="107988" cy="107988"/>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w:t>
        </w:r>
      </w:hyperlink>
    </w:p>
    <w:p>
      <w:pPr>
        <w:pStyle w:val="BodyText"/>
      </w:pPr>
    </w:p>
    <w:p>
      <w:pPr>
        <w:pStyle w:val="BodyText"/>
        <w:spacing w:before="10"/>
      </w:pPr>
    </w:p>
    <w:p>
      <w:pPr>
        <w:pStyle w:val="BodyText"/>
        <w:spacing w:line="235" w:lineRule="auto"/>
        <w:ind w:left="1245" w:right="167"/>
        <w:jc w:val="both"/>
      </w:pPr>
      <w:r>
        <w:rPr/>
        <w:t>“…</w:t>
      </w:r>
      <w:r>
        <w:rPr>
          <w:spacing w:val="-1"/>
        </w:rPr>
        <w:t> </w:t>
      </w:r>
      <w:r>
        <w:rPr/>
        <w:t>courts</w:t>
      </w:r>
      <w:r>
        <w:rPr>
          <w:spacing w:val="-1"/>
        </w:rPr>
        <w:t> </w:t>
      </w:r>
      <w:r>
        <w:rPr/>
        <w:t>are</w:t>
      </w:r>
      <w:r>
        <w:rPr>
          <w:spacing w:val="-1"/>
        </w:rPr>
        <w:t> </w:t>
      </w:r>
      <w:r>
        <w:rPr/>
        <w:t>predisposed</w:t>
      </w:r>
      <w:r>
        <w:rPr>
          <w:spacing w:val="-1"/>
        </w:rPr>
        <w:t> </w:t>
      </w:r>
      <w:r>
        <w:rPr/>
        <w:t>…</w:t>
      </w:r>
      <w:r>
        <w:rPr>
          <w:spacing w:val="-1"/>
        </w:rPr>
        <w:t> </w:t>
      </w:r>
      <w:r>
        <w:rPr/>
        <w:t>to</w:t>
      </w:r>
      <w:r>
        <w:rPr>
          <w:spacing w:val="-1"/>
        </w:rPr>
        <w:t> </w:t>
      </w:r>
      <w:r>
        <w:rPr/>
        <w:t>uphold</w:t>
      </w:r>
      <w:r>
        <w:rPr>
          <w:spacing w:val="-1"/>
        </w:rPr>
        <w:t> </w:t>
      </w:r>
      <w:r>
        <w:rPr/>
        <w:t>[liquidated</w:t>
      </w:r>
      <w:r>
        <w:rPr>
          <w:spacing w:val="-1"/>
        </w:rPr>
        <w:t> </w:t>
      </w:r>
      <w:r>
        <w:rPr/>
        <w:t>damages</w:t>
      </w:r>
      <w:r>
        <w:rPr>
          <w:spacing w:val="-1"/>
        </w:rPr>
        <w:t> </w:t>
      </w:r>
      <w:r>
        <w:rPr/>
        <w:t>clauses].</w:t>
      </w:r>
      <w:r>
        <w:rPr>
          <w:spacing w:val="-1"/>
        </w:rPr>
        <w:t> </w:t>
      </w:r>
      <w:r>
        <w:rPr/>
        <w:t>This</w:t>
      </w:r>
      <w:r>
        <w:rPr>
          <w:spacing w:val="-1"/>
        </w:rPr>
        <w:t> </w:t>
      </w:r>
      <w:r>
        <w:rPr/>
        <w:t>predisposition </w:t>
      </w:r>
      <w:bookmarkStart w:name="_bookmark1861" w:id="1863"/>
      <w:bookmarkEnd w:id="1863"/>
      <w:r>
        <w:rPr/>
        <w:t>is</w:t>
      </w:r>
      <w:r>
        <w:rPr>
          <w:spacing w:val="13"/>
        </w:rPr>
        <w:t> </w:t>
      </w:r>
      <w:r>
        <w:rPr/>
        <w:t>even</w:t>
      </w:r>
      <w:r>
        <w:rPr>
          <w:spacing w:val="15"/>
        </w:rPr>
        <w:t> </w:t>
      </w:r>
      <w:r>
        <w:rPr/>
        <w:t>stronger</w:t>
      </w:r>
      <w:r>
        <w:rPr>
          <w:spacing w:val="15"/>
        </w:rPr>
        <w:t> </w:t>
      </w:r>
      <w:r>
        <w:rPr/>
        <w:t>in</w:t>
      </w:r>
      <w:r>
        <w:rPr>
          <w:spacing w:val="15"/>
        </w:rPr>
        <w:t> </w:t>
      </w:r>
      <w:r>
        <w:rPr/>
        <w:t>the</w:t>
      </w:r>
      <w:r>
        <w:rPr>
          <w:spacing w:val="15"/>
        </w:rPr>
        <w:t> </w:t>
      </w:r>
      <w:r>
        <w:rPr/>
        <w:t>case</w:t>
      </w:r>
      <w:r>
        <w:rPr>
          <w:spacing w:val="15"/>
        </w:rPr>
        <w:t> </w:t>
      </w:r>
      <w:r>
        <w:rPr/>
        <w:t>of</w:t>
      </w:r>
      <w:r>
        <w:rPr>
          <w:spacing w:val="15"/>
        </w:rPr>
        <w:t> </w:t>
      </w:r>
      <w:r>
        <w:rPr/>
        <w:t>commercial</w:t>
      </w:r>
      <w:r>
        <w:rPr>
          <w:spacing w:val="15"/>
        </w:rPr>
        <w:t> </w:t>
      </w:r>
      <w:r>
        <w:rPr/>
        <w:t>contracts</w:t>
      </w:r>
      <w:r>
        <w:rPr>
          <w:spacing w:val="15"/>
        </w:rPr>
        <w:t> </w:t>
      </w:r>
      <w:r>
        <w:rPr/>
        <w:t>freely</w:t>
      </w:r>
      <w:r>
        <w:rPr>
          <w:spacing w:val="15"/>
        </w:rPr>
        <w:t> </w:t>
      </w:r>
      <w:r>
        <w:rPr/>
        <w:t>entered</w:t>
      </w:r>
      <w:r>
        <w:rPr>
          <w:spacing w:val="15"/>
        </w:rPr>
        <w:t> </w:t>
      </w:r>
      <w:r>
        <w:rPr/>
        <w:t>into</w:t>
      </w:r>
      <w:r>
        <w:rPr>
          <w:spacing w:val="15"/>
        </w:rPr>
        <w:t> </w:t>
      </w:r>
      <w:r>
        <w:rPr/>
        <w:t>between</w:t>
      </w:r>
      <w:r>
        <w:rPr>
          <w:spacing w:val="15"/>
        </w:rPr>
        <w:t> </w:t>
      </w:r>
      <w:r>
        <w:rPr>
          <w:spacing w:val="-2"/>
        </w:rPr>
        <w:t>parties</w:t>
      </w:r>
    </w:p>
    <w:p>
      <w:pPr>
        <w:pStyle w:val="BodyText"/>
        <w:spacing w:before="116"/>
        <w:ind w:left="1245"/>
        <w:jc w:val="both"/>
        <w:rPr>
          <w:position w:val="-2"/>
        </w:rPr>
      </w:pPr>
      <w:r>
        <w:rPr/>
        <w:t>of comparable bargaining power.” </w:t>
      </w:r>
      <w:hyperlink w:history="true" w:anchor="_bookmark1901">
        <w:r>
          <w:rPr>
            <w:color w:val="005DA1"/>
            <w:u w:val="single" w:color="005DA1"/>
            <w:vertAlign w:val="superscript"/>
          </w:rPr>
          <w:t>1002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165" w:right="167"/>
        <w:jc w:val="both"/>
      </w:pPr>
      <w:r>
        <w:rPr/>
        <w:t>However, as it was put before the doctrine was modified by the </w:t>
      </w:r>
      <w:r>
        <w:rPr>
          <w:rFonts w:ascii="Arial"/>
          <w:i/>
        </w:rPr>
        <w:t>Cavendish Square </w:t>
      </w:r>
      <w:r>
        <w:rPr/>
        <w:t>case, the correct question is not whether one party secured the clause by the use of unequal bargaining power </w:t>
      </w:r>
      <w:r>
        <w:rPr/>
        <w:t>or oppression, but whether or not the clause is a genuine pre-estimate of the likely loss:</w:t>
      </w:r>
    </w:p>
    <w:p>
      <w:pPr>
        <w:pStyle w:val="BodyText"/>
      </w:pPr>
    </w:p>
    <w:p>
      <w:pPr>
        <w:pStyle w:val="BodyText"/>
        <w:spacing w:before="126"/>
      </w:pPr>
    </w:p>
    <w:p>
      <w:pPr>
        <w:pStyle w:val="BodyText"/>
        <w:spacing w:line="235" w:lineRule="auto"/>
        <w:ind w:left="1245" w:right="167"/>
        <w:jc w:val="both"/>
      </w:pPr>
      <w:r>
        <w:rPr/>
        <w:t>“… whether a provision is to be treated as a penalty is a matter of construction to </w:t>
      </w:r>
      <w:r>
        <w:rPr/>
        <w:t>be resolved by asking whether at the time the contract was entered into the predominant contractual function of the provision was to deter a party from breaking the contract or to compensate the innocent party for breach …. The question that has always had to be </w:t>
      </w:r>
      <w:bookmarkStart w:name="_bookmark1862" w:id="1864"/>
      <w:bookmarkEnd w:id="1864"/>
      <w:r>
        <w:rPr/>
        <w:t>addressed</w:t>
      </w:r>
      <w:r>
        <w:rPr>
          <w:spacing w:val="6"/>
        </w:rPr>
        <w:t> </w:t>
      </w:r>
      <w:r>
        <w:rPr/>
        <w:t>is</w:t>
      </w:r>
      <w:r>
        <w:rPr>
          <w:spacing w:val="6"/>
        </w:rPr>
        <w:t> </w:t>
      </w:r>
      <w:r>
        <w:rPr/>
        <w:t>therefore</w:t>
      </w:r>
      <w:r>
        <w:rPr>
          <w:spacing w:val="6"/>
        </w:rPr>
        <w:t> </w:t>
      </w:r>
      <w:r>
        <w:rPr/>
        <w:t>whether</w:t>
      </w:r>
      <w:r>
        <w:rPr>
          <w:spacing w:val="6"/>
        </w:rPr>
        <w:t> </w:t>
      </w:r>
      <w:r>
        <w:rPr/>
        <w:t>the</w:t>
      </w:r>
      <w:r>
        <w:rPr>
          <w:spacing w:val="6"/>
        </w:rPr>
        <w:t> </w:t>
      </w:r>
      <w:r>
        <w:rPr/>
        <w:t>alleged</w:t>
      </w:r>
      <w:r>
        <w:rPr>
          <w:spacing w:val="6"/>
        </w:rPr>
        <w:t> </w:t>
      </w:r>
      <w:r>
        <w:rPr/>
        <w:t>penalty</w:t>
      </w:r>
      <w:r>
        <w:rPr>
          <w:spacing w:val="6"/>
        </w:rPr>
        <w:t> </w:t>
      </w:r>
      <w:r>
        <w:rPr/>
        <w:t>clause</w:t>
      </w:r>
      <w:r>
        <w:rPr>
          <w:spacing w:val="6"/>
        </w:rPr>
        <w:t> </w:t>
      </w:r>
      <w:r>
        <w:rPr/>
        <w:t>can</w:t>
      </w:r>
      <w:r>
        <w:rPr>
          <w:spacing w:val="6"/>
        </w:rPr>
        <w:t> </w:t>
      </w:r>
      <w:r>
        <w:rPr/>
        <w:t>pass</w:t>
      </w:r>
      <w:r>
        <w:rPr>
          <w:spacing w:val="6"/>
        </w:rPr>
        <w:t> </w:t>
      </w:r>
      <w:r>
        <w:rPr/>
        <w:t>muster</w:t>
      </w:r>
      <w:r>
        <w:rPr>
          <w:spacing w:val="6"/>
        </w:rPr>
        <w:t> </w:t>
      </w:r>
      <w:r>
        <w:rPr/>
        <w:t>as</w:t>
      </w:r>
      <w:r>
        <w:rPr>
          <w:spacing w:val="6"/>
        </w:rPr>
        <w:t> </w:t>
      </w:r>
      <w:r>
        <w:rPr/>
        <w:t>a</w:t>
      </w:r>
      <w:r>
        <w:rPr>
          <w:spacing w:val="6"/>
        </w:rPr>
        <w:t> </w:t>
      </w:r>
      <w:r>
        <w:rPr>
          <w:spacing w:val="-2"/>
        </w:rPr>
        <w:t>genuine</w:t>
      </w:r>
    </w:p>
    <w:p>
      <w:pPr>
        <w:pStyle w:val="BodyText"/>
        <w:spacing w:before="114"/>
        <w:ind w:left="1245"/>
        <w:jc w:val="both"/>
        <w:rPr>
          <w:position w:val="-2"/>
        </w:rPr>
      </w:pPr>
      <w:r>
        <w:rPr/>
        <w:t>pre-estimate of loss.” </w:t>
      </w:r>
      <w:hyperlink w:history="true" w:anchor="_bookmark1902">
        <w:r>
          <w:rPr>
            <w:color w:val="005DA1"/>
            <w:u w:val="single" w:color="005DA1"/>
            <w:vertAlign w:val="superscript"/>
          </w:rPr>
          <w:t>1003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spacing w:line="235" w:lineRule="auto" w:before="0"/>
        <w:ind w:left="165" w:right="167" w:firstLine="0"/>
        <w:jc w:val="both"/>
        <w:rPr>
          <w:sz w:val="20"/>
        </w:rPr>
      </w:pPr>
      <w:r>
        <w:rPr>
          <w:sz w:val="20"/>
        </w:rPr>
        <w:t>Similarly, in </w:t>
      </w:r>
      <w:r>
        <w:rPr>
          <w:rFonts w:ascii="Arial"/>
          <w:i/>
          <w:sz w:val="20"/>
        </w:rPr>
        <w:t>Cavendish Square Holding BV v Makdessi </w:t>
      </w:r>
      <w:r>
        <w:rPr>
          <w:sz w:val="20"/>
        </w:rPr>
        <w:t>and </w:t>
      </w:r>
      <w:r>
        <w:rPr>
          <w:rFonts w:ascii="Arial"/>
          <w:i/>
          <w:sz w:val="20"/>
        </w:rPr>
        <w:t>ParkingEye Ltd v Beavis </w:t>
      </w:r>
      <w:r>
        <w:rPr>
          <w:sz w:val="20"/>
        </w:rPr>
        <w:t>the </w:t>
      </w:r>
      <w:r>
        <w:rPr>
          <w:sz w:val="20"/>
        </w:rPr>
        <w:t>Supreme Court emphasised that where a party has a legitimate interest in securing performance rather than </w:t>
      </w:r>
      <w:bookmarkStart w:name="_bookmark1863" w:id="1865"/>
      <w:bookmarkEnd w:id="1865"/>
      <w:r>
        <w:rPr>
          <w:sz w:val="20"/>
        </w:rPr>
        <w:t>damages,</w:t>
      </w:r>
      <w:r>
        <w:rPr>
          <w:spacing w:val="20"/>
          <w:sz w:val="20"/>
        </w:rPr>
        <w:t> </w:t>
      </w:r>
      <w:r>
        <w:rPr>
          <w:sz w:val="20"/>
        </w:rPr>
        <w:t>the</w:t>
      </w:r>
      <w:r>
        <w:rPr>
          <w:spacing w:val="20"/>
          <w:sz w:val="20"/>
        </w:rPr>
        <w:t> </w:t>
      </w:r>
      <w:r>
        <w:rPr>
          <w:sz w:val="20"/>
        </w:rPr>
        <w:t>test</w:t>
      </w:r>
      <w:r>
        <w:rPr>
          <w:spacing w:val="20"/>
          <w:sz w:val="20"/>
        </w:rPr>
        <w:t> </w:t>
      </w:r>
      <w:r>
        <w:rPr>
          <w:sz w:val="20"/>
        </w:rPr>
        <w:t>of</w:t>
      </w:r>
      <w:r>
        <w:rPr>
          <w:spacing w:val="20"/>
          <w:sz w:val="20"/>
        </w:rPr>
        <w:t> </w:t>
      </w:r>
      <w:r>
        <w:rPr>
          <w:sz w:val="20"/>
        </w:rPr>
        <w:t>validity</w:t>
      </w:r>
      <w:r>
        <w:rPr>
          <w:spacing w:val="20"/>
          <w:sz w:val="20"/>
        </w:rPr>
        <w:t> </w:t>
      </w:r>
      <w:r>
        <w:rPr>
          <w:sz w:val="20"/>
        </w:rPr>
        <w:t>is</w:t>
      </w:r>
      <w:r>
        <w:rPr>
          <w:spacing w:val="20"/>
          <w:sz w:val="20"/>
        </w:rPr>
        <w:t> </w:t>
      </w:r>
      <w:r>
        <w:rPr>
          <w:sz w:val="20"/>
        </w:rPr>
        <w:t>whether</w:t>
      </w:r>
      <w:r>
        <w:rPr>
          <w:spacing w:val="20"/>
          <w:sz w:val="20"/>
        </w:rPr>
        <w:t> </w:t>
      </w:r>
      <w:r>
        <w:rPr>
          <w:sz w:val="20"/>
        </w:rPr>
        <w:t>the</w:t>
      </w:r>
      <w:r>
        <w:rPr>
          <w:spacing w:val="20"/>
          <w:sz w:val="20"/>
        </w:rPr>
        <w:t> </w:t>
      </w:r>
      <w:r>
        <w:rPr>
          <w:sz w:val="20"/>
        </w:rPr>
        <w:t>amount</w:t>
      </w:r>
      <w:r>
        <w:rPr>
          <w:spacing w:val="20"/>
          <w:sz w:val="20"/>
        </w:rPr>
        <w:t> </w:t>
      </w:r>
      <w:r>
        <w:rPr>
          <w:sz w:val="20"/>
        </w:rPr>
        <w:t>payable</w:t>
      </w:r>
      <w:r>
        <w:rPr>
          <w:spacing w:val="20"/>
          <w:sz w:val="20"/>
        </w:rPr>
        <w:t> </w:t>
      </w:r>
      <w:r>
        <w:rPr>
          <w:sz w:val="20"/>
        </w:rPr>
        <w:t>if</w:t>
      </w:r>
      <w:r>
        <w:rPr>
          <w:spacing w:val="20"/>
          <w:sz w:val="20"/>
        </w:rPr>
        <w:t> </w:t>
      </w:r>
      <w:r>
        <w:rPr>
          <w:sz w:val="20"/>
        </w:rPr>
        <w:t>the</w:t>
      </w:r>
      <w:r>
        <w:rPr>
          <w:spacing w:val="20"/>
          <w:sz w:val="20"/>
        </w:rPr>
        <w:t> </w:t>
      </w:r>
      <w:r>
        <w:rPr>
          <w:sz w:val="20"/>
        </w:rPr>
        <w:t>contract</w:t>
      </w:r>
      <w:r>
        <w:rPr>
          <w:spacing w:val="20"/>
          <w:sz w:val="20"/>
        </w:rPr>
        <w:t> </w:t>
      </w:r>
      <w:r>
        <w:rPr>
          <w:sz w:val="20"/>
        </w:rPr>
        <w:t>is</w:t>
      </w:r>
      <w:r>
        <w:rPr>
          <w:spacing w:val="20"/>
          <w:sz w:val="20"/>
        </w:rPr>
        <w:t> </w:t>
      </w:r>
      <w:r>
        <w:rPr>
          <w:sz w:val="20"/>
        </w:rPr>
        <w:t>broken</w:t>
      </w:r>
      <w:r>
        <w:rPr>
          <w:spacing w:val="20"/>
          <w:sz w:val="20"/>
        </w:rPr>
        <w:t> </w:t>
      </w:r>
      <w:r>
        <w:rPr>
          <w:sz w:val="20"/>
        </w:rPr>
        <w:t>is</w:t>
      </w:r>
      <w:r>
        <w:rPr>
          <w:spacing w:val="20"/>
          <w:sz w:val="20"/>
        </w:rPr>
        <w:t> </w:t>
      </w:r>
      <w:r>
        <w:rPr>
          <w:spacing w:val="-2"/>
          <w:sz w:val="20"/>
        </w:rPr>
        <w:t>extravagant</w:t>
      </w:r>
    </w:p>
    <w:p>
      <w:pPr>
        <w:pStyle w:val="BodyText"/>
        <w:spacing w:line="360" w:lineRule="auto" w:before="115"/>
        <w:ind w:left="165" w:right="168"/>
        <w:jc w:val="both"/>
        <w:rPr>
          <w:position w:val="-2"/>
        </w:rPr>
      </w:pPr>
      <w:bookmarkStart w:name="_bookmark1864" w:id="1866"/>
      <w:bookmarkEnd w:id="1866"/>
      <w:r>
        <w:rPr/>
      </w:r>
      <w:r>
        <w:rPr/>
        <w:t>and unconscionable in comparison to that interest. </w:t>
      </w:r>
      <w:hyperlink w:history="true" w:anchor="_bookmark1903">
        <w:r>
          <w:rPr>
            <w:color w:val="005DA1"/>
            <w:u w:val="single" w:color="005DA1"/>
            <w:vertAlign w:val="superscript"/>
          </w:rPr>
          <w:t>1004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6"/>
            <w:vertAlign w:val="baseline"/>
          </w:rPr>
          <w:t> </w:t>
        </w:r>
        <w:r>
          <w:rPr>
            <w:vertAlign w:val="baseline"/>
          </w:rPr>
          <w:t>A clause may be a penalty even though </w:t>
        </w:r>
        <w:r>
          <w:rPr>
            <w:vertAlign w:val="baseline"/>
          </w:rPr>
          <w:t>it was freely negotiated between parties of equal bargaining power. </w:t>
        </w:r>
        <w:hyperlink w:history="true" w:anchor="_bookmark1904">
          <w:r>
            <w:rPr>
              <w:color w:val="005DA1"/>
              <w:u w:val="single" w:color="005DA1"/>
              <w:vertAlign w:val="superscript"/>
            </w:rPr>
            <w:t>1005</w:t>
          </w:r>
          <w:r>
            <w:rPr>
              <w:color w:val="005DA1"/>
              <w:spacing w:val="80"/>
              <w:vertAlign w:val="baseline"/>
            </w:rPr>
            <w:t> </w:t>
          </w:r>
          <w:r>
            <w:rPr>
              <w:color w:val="005DA1"/>
              <w:position w:val="-2"/>
              <w:vertAlign w:val="baseline"/>
            </w:rPr>
            <w:drawing>
              <wp:inline distT="0" distB="0" distL="0" distR="0">
                <wp:extent cx="107988" cy="107988"/>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1"/>
        <w:ind w:left="165" w:right="0" w:firstLine="0"/>
        <w:jc w:val="left"/>
        <w:rPr>
          <w:rFonts w:ascii="Arial"/>
          <w:b/>
          <w:sz w:val="18"/>
        </w:rPr>
      </w:pPr>
      <w:r>
        <w:rPr>
          <w:rFonts w:ascii="Arial"/>
          <w:b/>
          <w:sz w:val="18"/>
        </w:rPr>
        <w:t>A question of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181B</w:t>
      </w:r>
    </w:p>
    <w:p>
      <w:pPr>
        <w:pStyle w:val="BodyText"/>
        <w:spacing w:before="89"/>
        <w:rPr>
          <w:rFonts w:ascii="Arial"/>
          <w:b/>
        </w:rPr>
      </w:pPr>
    </w:p>
    <w:p>
      <w:pPr>
        <w:pStyle w:val="BodyText"/>
        <w:spacing w:line="360" w:lineRule="auto"/>
        <w:ind w:left="165"/>
        <w:rPr>
          <w:position w:val="-2"/>
        </w:rPr>
      </w:pPr>
      <w:r>
        <w:rPr>
          <w:position w:val="-2"/>
        </w:rPr>
        <w:drawing>
          <wp:inline distT="0" distB="0" distL="0" distR="0">
            <wp:extent cx="107988" cy="107988"/>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bookmarkStart w:name="_bookmark1865" w:id="1867"/>
      <w:bookmarkEnd w:id="1867"/>
      <w:r>
        <w:rPr>
          <w:rFonts w:ascii="Times New Roman"/>
          <w:spacing w:val="-19"/>
        </w:rPr>
      </w:r>
      <w:r>
        <w:rPr/>
        <w:t>The</w:t>
      </w:r>
      <w:r>
        <w:rPr>
          <w:spacing w:val="23"/>
        </w:rPr>
        <w:t> </w:t>
      </w:r>
      <w:r>
        <w:rPr/>
        <w:t>question</w:t>
      </w:r>
      <w:r>
        <w:rPr>
          <w:spacing w:val="23"/>
        </w:rPr>
        <w:t> </w:t>
      </w:r>
      <w:r>
        <w:rPr/>
        <w:t>whether</w:t>
      </w:r>
      <w:r>
        <w:rPr>
          <w:spacing w:val="23"/>
        </w:rPr>
        <w:t> </w:t>
      </w:r>
      <w:r>
        <w:rPr/>
        <w:t>a</w:t>
      </w:r>
      <w:r>
        <w:rPr>
          <w:spacing w:val="23"/>
        </w:rPr>
        <w:t> </w:t>
      </w:r>
      <w:r>
        <w:rPr/>
        <w:t>sum</w:t>
      </w:r>
      <w:r>
        <w:rPr>
          <w:spacing w:val="23"/>
        </w:rPr>
        <w:t> </w:t>
      </w:r>
      <w:r>
        <w:rPr/>
        <w:t>stipulated</w:t>
      </w:r>
      <w:r>
        <w:rPr>
          <w:spacing w:val="23"/>
        </w:rPr>
        <w:t> </w:t>
      </w:r>
      <w:r>
        <w:rPr/>
        <w:t>for</w:t>
      </w:r>
      <w:r>
        <w:rPr>
          <w:spacing w:val="23"/>
        </w:rPr>
        <w:t> </w:t>
      </w:r>
      <w:r>
        <w:rPr/>
        <w:t>in</w:t>
      </w:r>
      <w:r>
        <w:rPr>
          <w:spacing w:val="23"/>
        </w:rPr>
        <w:t> </w:t>
      </w:r>
      <w:r>
        <w:rPr/>
        <w:t>a</w:t>
      </w:r>
      <w:r>
        <w:rPr>
          <w:spacing w:val="23"/>
        </w:rPr>
        <w:t> </w:t>
      </w:r>
      <w:r>
        <w:rPr/>
        <w:t>contract</w:t>
      </w:r>
      <w:r>
        <w:rPr>
          <w:spacing w:val="23"/>
        </w:rPr>
        <w:t> </w:t>
      </w:r>
      <w:r>
        <w:rPr/>
        <w:t>is</w:t>
      </w:r>
      <w:r>
        <w:rPr>
          <w:spacing w:val="23"/>
        </w:rPr>
        <w:t> </w:t>
      </w:r>
      <w:r>
        <w:rPr/>
        <w:t>a</w:t>
      </w:r>
      <w:r>
        <w:rPr>
          <w:spacing w:val="23"/>
        </w:rPr>
        <w:t> </w:t>
      </w:r>
      <w:r>
        <w:rPr/>
        <w:t>penalty</w:t>
      </w:r>
      <w:r>
        <w:rPr>
          <w:spacing w:val="23"/>
        </w:rPr>
        <w:t> </w:t>
      </w:r>
      <w:r>
        <w:rPr/>
        <w:t>or</w:t>
      </w:r>
      <w:r>
        <w:rPr>
          <w:spacing w:val="23"/>
        </w:rPr>
        <w:t> </w:t>
      </w:r>
      <w:r>
        <w:rPr/>
        <w:t>liquidated</w:t>
      </w:r>
      <w:r>
        <w:rPr>
          <w:spacing w:val="23"/>
        </w:rPr>
        <w:t> </w:t>
      </w:r>
      <w:r>
        <w:rPr/>
        <w:t>damages</w:t>
      </w:r>
      <w:r>
        <w:rPr>
          <w:spacing w:val="23"/>
        </w:rPr>
        <w:t> </w:t>
      </w:r>
      <w:r>
        <w:rPr/>
        <w:t>is</w:t>
      </w:r>
      <w:r>
        <w:rPr>
          <w:spacing w:val="23"/>
        </w:rPr>
        <w:t> </w:t>
      </w:r>
      <w:r>
        <w:rPr/>
        <w:t>a question of law. </w:t>
      </w:r>
      <w:hyperlink w:history="true" w:anchor="_bookmark1905">
        <w:r>
          <w:rPr>
            <w:color w:val="005DA1"/>
            <w:u w:val="single" w:color="005DA1"/>
            <w:vertAlign w:val="superscript"/>
          </w:rPr>
          <w:t>1006</w:t>
        </w:r>
        <w:r>
          <w:rPr>
            <w:color w:val="005DA1"/>
            <w:spacing w:val="80"/>
            <w:vertAlign w:val="baseline"/>
          </w:rPr>
          <w:t> </w:t>
        </w:r>
        <w:r>
          <w:rPr>
            <w:color w:val="005DA1"/>
            <w:position w:val="-2"/>
            <w:vertAlign w:val="baseline"/>
          </w:rPr>
          <w:drawing>
            <wp:inline distT="0" distB="0" distL="0" distR="0">
              <wp:extent cx="107988" cy="107988"/>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165" w:right="0" w:firstLine="0"/>
        <w:jc w:val="left"/>
        <w:rPr>
          <w:rFonts w:ascii="Arial"/>
          <w:b/>
          <w:sz w:val="18"/>
        </w:rPr>
      </w:pPr>
      <w:r>
        <w:rPr>
          <w:rFonts w:ascii="Arial"/>
          <w:b/>
          <w:sz w:val="18"/>
        </w:rPr>
        <w:t>A question of </w:t>
      </w:r>
      <w:r>
        <w:rPr>
          <w:rFonts w:ascii="Arial"/>
          <w:b/>
          <w:spacing w:val="-2"/>
          <w:sz w:val="18"/>
        </w:rPr>
        <w:t>construction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181C</w:t>
      </w:r>
    </w:p>
    <w:p>
      <w:pPr>
        <w:pStyle w:val="BodyText"/>
        <w:spacing w:before="208"/>
        <w:rPr>
          <w:rFonts w:ascii="Arial"/>
          <w:b/>
        </w:rPr>
      </w:pPr>
    </w:p>
    <w:p>
      <w:pPr>
        <w:spacing w:before="0"/>
        <w:ind w:left="165" w:right="0" w:firstLine="0"/>
        <w:jc w:val="left"/>
        <w:rPr>
          <w:sz w:val="20"/>
        </w:rPr>
      </w:pPr>
      <w:r>
        <w:rPr>
          <w:position w:val="-2"/>
        </w:rPr>
        <w:drawing>
          <wp:inline distT="0" distB="0" distL="0" distR="0">
            <wp:extent cx="107988" cy="107988"/>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
          <w:sz w:val="20"/>
        </w:rPr>
        <w:t> </w:t>
      </w:r>
      <w:bookmarkStart w:name="_bookmark1866" w:id="1868"/>
      <w:bookmarkEnd w:id="1868"/>
      <w:r>
        <w:rPr>
          <w:rFonts w:ascii="Times New Roman"/>
          <w:spacing w:val="6"/>
          <w:sz w:val="20"/>
        </w:rPr>
      </w:r>
      <w:r>
        <w:rPr>
          <w:sz w:val="20"/>
        </w:rPr>
        <w:t>In</w:t>
      </w:r>
      <w:r>
        <w:rPr>
          <w:spacing w:val="-1"/>
          <w:sz w:val="20"/>
        </w:rPr>
        <w:t> </w:t>
      </w:r>
      <w:r>
        <w:rPr>
          <w:rFonts w:ascii="Arial"/>
          <w:i/>
          <w:sz w:val="20"/>
        </w:rPr>
        <w:t>Cavendish</w:t>
      </w:r>
      <w:r>
        <w:rPr>
          <w:rFonts w:ascii="Arial"/>
          <w:i/>
          <w:spacing w:val="-1"/>
          <w:sz w:val="20"/>
        </w:rPr>
        <w:t> </w:t>
      </w:r>
      <w:r>
        <w:rPr>
          <w:rFonts w:ascii="Arial"/>
          <w:i/>
          <w:sz w:val="20"/>
        </w:rPr>
        <w:t>Square</w:t>
      </w:r>
      <w:r>
        <w:rPr>
          <w:rFonts w:ascii="Arial"/>
          <w:i/>
          <w:spacing w:val="-1"/>
          <w:sz w:val="20"/>
        </w:rPr>
        <w:t> </w:t>
      </w:r>
      <w:r>
        <w:rPr>
          <w:rFonts w:ascii="Arial"/>
          <w:i/>
          <w:sz w:val="20"/>
        </w:rPr>
        <w:t>Holding</w:t>
      </w:r>
      <w:r>
        <w:rPr>
          <w:rFonts w:ascii="Arial"/>
          <w:i/>
          <w:spacing w:val="-1"/>
          <w:sz w:val="20"/>
        </w:rPr>
        <w:t> </w:t>
      </w:r>
      <w:r>
        <w:rPr>
          <w:rFonts w:ascii="Arial"/>
          <w:i/>
          <w:sz w:val="20"/>
        </w:rPr>
        <w:t>BV</w:t>
      </w:r>
      <w:r>
        <w:rPr>
          <w:rFonts w:ascii="Arial"/>
          <w:i/>
          <w:spacing w:val="-1"/>
          <w:sz w:val="20"/>
        </w:rPr>
        <w:t> </w:t>
      </w:r>
      <w:r>
        <w:rPr>
          <w:rFonts w:ascii="Arial"/>
          <w:i/>
          <w:sz w:val="20"/>
        </w:rPr>
        <w:t>v</w:t>
      </w:r>
      <w:r>
        <w:rPr>
          <w:rFonts w:ascii="Arial"/>
          <w:i/>
          <w:spacing w:val="-1"/>
          <w:sz w:val="20"/>
        </w:rPr>
        <w:t> </w:t>
      </w:r>
      <w:r>
        <w:rPr>
          <w:rFonts w:ascii="Arial"/>
          <w:i/>
          <w:sz w:val="20"/>
        </w:rPr>
        <w:t>Makdessi</w:t>
      </w:r>
      <w:r>
        <w:rPr>
          <w:rFonts w:ascii="Arial"/>
          <w:i/>
          <w:spacing w:val="-1"/>
          <w:sz w:val="20"/>
        </w:rPr>
        <w:t> </w:t>
      </w:r>
      <w:r>
        <w:rPr>
          <w:sz w:val="20"/>
        </w:rPr>
        <w:t>and</w:t>
      </w:r>
      <w:r>
        <w:rPr>
          <w:spacing w:val="-1"/>
          <w:sz w:val="20"/>
        </w:rPr>
        <w:t> </w:t>
      </w:r>
      <w:r>
        <w:rPr>
          <w:rFonts w:ascii="Arial"/>
          <w:i/>
          <w:sz w:val="20"/>
        </w:rPr>
        <w:t>ParkingEye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Beavis</w:t>
      </w:r>
      <w:r>
        <w:rPr>
          <w:rFonts w:ascii="Arial"/>
          <w:i/>
          <w:spacing w:val="-1"/>
          <w:sz w:val="20"/>
        </w:rPr>
        <w:t> </w:t>
      </w:r>
      <w:hyperlink w:history="true" w:anchor="_bookmark1906">
        <w:r>
          <w:rPr>
            <w:color w:val="005DA1"/>
            <w:sz w:val="20"/>
            <w:u w:val="single" w:color="005DA1"/>
            <w:vertAlign w:val="superscript"/>
          </w:rPr>
          <w:t>1007</w:t>
        </w:r>
        <w:r>
          <w:rPr>
            <w:color w:val="005DA1"/>
            <w:spacing w:val="80"/>
            <w:w w:val="150"/>
            <w:sz w:val="20"/>
            <w:vertAlign w:val="baseline"/>
          </w:rPr>
          <w:t> </w:t>
        </w:r>
        <w:r>
          <w:rPr>
            <w:color w:val="005DA1"/>
            <w:spacing w:val="2"/>
            <w:position w:val="-2"/>
            <w:sz w:val="20"/>
            <w:vertAlign w:val="baseline"/>
          </w:rPr>
          <w:drawing>
            <wp:inline distT="0" distB="0" distL="0" distR="0">
              <wp:extent cx="107988" cy="107988"/>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
            <w:sz w:val="20"/>
            <w:vertAlign w:val="baseline"/>
          </w:rPr>
          <w:t> </w:t>
        </w:r>
        <w:r>
          <w:rPr>
            <w:sz w:val="20"/>
            <w:vertAlign w:val="baseline"/>
          </w:rPr>
          <w:t>a</w:t>
        </w:r>
        <w:r>
          <w:rPr>
            <w:spacing w:val="-1"/>
            <w:sz w:val="20"/>
            <w:vertAlign w:val="baseline"/>
          </w:rPr>
          <w:t> </w:t>
        </w:r>
        <w:r>
          <w:rPr>
            <w:sz w:val="20"/>
            <w:vertAlign w:val="baseline"/>
          </w:rPr>
          <w:t>majority</w:t>
        </w:r>
        <w:r>
          <w:rPr>
            <w:spacing w:val="-1"/>
            <w:sz w:val="20"/>
            <w:vertAlign w:val="baseline"/>
          </w:rPr>
          <w:t> </w:t>
        </w:r>
        <w:r>
          <w:rPr>
            <w:sz w:val="20"/>
            <w:vertAlign w:val="baseline"/>
          </w:rPr>
          <w:t>stated</w:t>
        </w:r>
      </w:hyperlink>
    </w:p>
    <w:p>
      <w:pPr>
        <w:sectPr>
          <w:pgSz w:w="11900" w:h="16840"/>
          <w:pgMar w:header="971" w:footer="0" w:top="1300" w:bottom="280" w:left="1275" w:right="1275"/>
        </w:sectPr>
      </w:pPr>
    </w:p>
    <w:p>
      <w:pPr>
        <w:pStyle w:val="BodyText"/>
        <w:spacing w:line="235" w:lineRule="auto" w:before="110"/>
        <w:ind w:left="165" w:right="167"/>
        <w:jc w:val="both"/>
      </w:pPr>
      <w:r>
        <w:rPr/>
        <w:t>that whether a clause is a penalty is a question of construction. From this it follows, Lords Neuberger and Sumption said, that the test must be applied as of the date of the agreement, not when it falls to be enforced; a penalty clause is a species of agreement that is by its nature contrary to public </w:t>
      </w:r>
      <w:r>
        <w:rPr/>
        <w:t>policy.</w:t>
      </w:r>
      <w:r>
        <w:rPr>
          <w:spacing w:val="40"/>
        </w:rPr>
        <w:t> </w:t>
      </w:r>
      <w:r>
        <w:rPr/>
        <w:t>It also follows that the application of the test does not involve a discretion, and if the clause is penal it </w:t>
      </w:r>
      <w:bookmarkStart w:name="_bookmark1867" w:id="1869"/>
      <w:bookmarkEnd w:id="1869"/>
      <w:r>
        <w:rPr/>
        <w:t>is</w:t>
      </w:r>
      <w:r>
        <w:rPr>
          <w:spacing w:val="57"/>
        </w:rPr>
        <w:t> </w:t>
      </w:r>
      <w:r>
        <w:rPr/>
        <w:t>wholly</w:t>
      </w:r>
      <w:r>
        <w:rPr>
          <w:spacing w:val="57"/>
        </w:rPr>
        <w:t> </w:t>
      </w:r>
      <w:r>
        <w:rPr/>
        <w:t>unenforceable.</w:t>
      </w:r>
      <w:r>
        <w:rPr>
          <w:spacing w:val="57"/>
        </w:rPr>
        <w:t> </w:t>
      </w:r>
      <w:r>
        <w:rPr/>
        <w:t>These</w:t>
      </w:r>
      <w:r>
        <w:rPr>
          <w:spacing w:val="57"/>
        </w:rPr>
        <w:t> </w:t>
      </w:r>
      <w:r>
        <w:rPr/>
        <w:t>points</w:t>
      </w:r>
      <w:r>
        <w:rPr>
          <w:spacing w:val="57"/>
        </w:rPr>
        <w:t> </w:t>
      </w:r>
      <w:r>
        <w:rPr/>
        <w:t>suggest</w:t>
      </w:r>
      <w:r>
        <w:rPr>
          <w:spacing w:val="57"/>
        </w:rPr>
        <w:t> </w:t>
      </w:r>
      <w:r>
        <w:rPr/>
        <w:t>that</w:t>
      </w:r>
      <w:r>
        <w:rPr>
          <w:spacing w:val="57"/>
        </w:rPr>
        <w:t> </w:t>
      </w:r>
      <w:r>
        <w:rPr/>
        <w:t>the</w:t>
      </w:r>
      <w:r>
        <w:rPr>
          <w:spacing w:val="57"/>
        </w:rPr>
        <w:t> </w:t>
      </w:r>
      <w:r>
        <w:rPr/>
        <w:t>question</w:t>
      </w:r>
      <w:r>
        <w:rPr>
          <w:spacing w:val="57"/>
        </w:rPr>
        <w:t> </w:t>
      </w:r>
      <w:r>
        <w:rPr/>
        <w:t>is</w:t>
      </w:r>
      <w:r>
        <w:rPr>
          <w:spacing w:val="57"/>
        </w:rPr>
        <w:t> </w:t>
      </w:r>
      <w:r>
        <w:rPr/>
        <w:t>one</w:t>
      </w:r>
      <w:r>
        <w:rPr>
          <w:spacing w:val="57"/>
        </w:rPr>
        <w:t> </w:t>
      </w:r>
      <w:r>
        <w:rPr/>
        <w:t>that</w:t>
      </w:r>
      <w:r>
        <w:rPr>
          <w:spacing w:val="57"/>
        </w:rPr>
        <w:t> </w:t>
      </w:r>
      <w:r>
        <w:rPr/>
        <w:t>other</w:t>
      </w:r>
      <w:r>
        <w:rPr>
          <w:spacing w:val="57"/>
        </w:rPr>
        <w:t> </w:t>
      </w:r>
      <w:r>
        <w:rPr/>
        <w:t>courts</w:t>
      </w:r>
      <w:r>
        <w:rPr>
          <w:spacing w:val="57"/>
        </w:rPr>
        <w:t> </w:t>
      </w:r>
      <w:r>
        <w:rPr>
          <w:spacing w:val="-4"/>
        </w:rPr>
        <w:t>have</w:t>
      </w:r>
    </w:p>
    <w:p>
      <w:pPr>
        <w:pStyle w:val="BodyText"/>
        <w:spacing w:line="235" w:lineRule="auto" w:before="118"/>
        <w:ind w:left="165" w:right="167"/>
        <w:jc w:val="both"/>
      </w:pPr>
      <w:r>
        <w:rPr/>
        <w:t>preferred to call one of characterisation rather than of interpretation or construction. </w:t>
      </w:r>
      <w:hyperlink w:history="true" w:anchor="_bookmark1907">
        <w:r>
          <w:rPr>
            <w:color w:val="005DA1"/>
            <w:u w:val="single" w:color="005DA1"/>
            <w:vertAlign w:val="superscript"/>
          </w:rPr>
          <w:t>1008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8"/>
            <w:vertAlign w:val="baseline"/>
          </w:rPr>
          <w:t> </w:t>
        </w:r>
        <w:r>
          <w:rPr>
            <w:vertAlign w:val="baseline"/>
          </w:rPr>
          <w:t>However, </w:t>
        </w:r>
        <w:bookmarkStart w:name="_bookmark1868" w:id="1870"/>
        <w:bookmarkEnd w:id="1870"/>
        <w:r>
          <w:rPr>
            <w:vertAlign w:val="baseline"/>
          </w:rPr>
          <w:t>construction</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normal</w:t>
        </w:r>
        <w:r>
          <w:rPr>
            <w:spacing w:val="14"/>
            <w:vertAlign w:val="baseline"/>
          </w:rPr>
          <w:t> </w:t>
        </w:r>
        <w:r>
          <w:rPr>
            <w:vertAlign w:val="baseline"/>
          </w:rPr>
          <w:t>sense</w:t>
        </w:r>
        <w:r>
          <w:rPr>
            <w:spacing w:val="14"/>
            <w:vertAlign w:val="baseline"/>
          </w:rPr>
          <w:t> </w:t>
        </w:r>
        <w:r>
          <w:rPr>
            <w:vertAlign w:val="baseline"/>
          </w:rPr>
          <w:t>may</w:t>
        </w:r>
        <w:r>
          <w:rPr>
            <w:spacing w:val="14"/>
            <w:vertAlign w:val="baseline"/>
          </w:rPr>
          <w:t> </w:t>
        </w:r>
        <w:r>
          <w:rPr>
            <w:vertAlign w:val="baseline"/>
          </w:rPr>
          <w:t>also</w:t>
        </w:r>
        <w:r>
          <w:rPr>
            <w:spacing w:val="14"/>
            <w:vertAlign w:val="baseline"/>
          </w:rPr>
          <w:t> </w:t>
        </w:r>
        <w:r>
          <w:rPr>
            <w:vertAlign w:val="baseline"/>
          </w:rPr>
          <w:t>be</w:t>
        </w:r>
        <w:r>
          <w:rPr>
            <w:spacing w:val="14"/>
            <w:vertAlign w:val="baseline"/>
          </w:rPr>
          <w:t> </w:t>
        </w:r>
        <w:r>
          <w:rPr>
            <w:vertAlign w:val="baseline"/>
          </w:rPr>
          <w:t>relevant.</w:t>
        </w:r>
        <w:r>
          <w:rPr>
            <w:spacing w:val="14"/>
            <w:vertAlign w:val="baseline"/>
          </w:rPr>
          <w:t> </w:t>
        </w:r>
        <w:r>
          <w:rPr>
            <w:vertAlign w:val="baseline"/>
          </w:rPr>
          <w:t>Though</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usually</w:t>
        </w:r>
        <w:r>
          <w:rPr>
            <w:spacing w:val="14"/>
            <w:vertAlign w:val="baseline"/>
          </w:rPr>
          <w:t> </w:t>
        </w:r>
        <w:r>
          <w:rPr>
            <w:vertAlign w:val="baseline"/>
          </w:rPr>
          <w:t>accepted</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spacing w:val="-2"/>
            <w:vertAlign w:val="baseline"/>
          </w:rPr>
          <w:t>words</w:t>
        </w:r>
      </w:hyperlink>
    </w:p>
    <w:p>
      <w:pPr>
        <w:pStyle w:val="BodyText"/>
        <w:spacing w:line="235" w:lineRule="auto" w:before="120"/>
        <w:ind w:left="164" w:right="167"/>
        <w:jc w:val="both"/>
      </w:pPr>
      <w:r>
        <w:rPr/>
        <w:t>used by the parties are not determinative, </w:t>
      </w:r>
      <w:hyperlink w:history="true" w:anchor="_bookmark1908">
        <w:r>
          <w:rPr>
            <w:color w:val="005DA1"/>
            <w:u w:val="single" w:color="005DA1"/>
            <w:vertAlign w:val="superscript"/>
          </w:rPr>
          <w:t>1009</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if the parties’ intention was to compensate rather than to deter, it seems that the validity of the clause should be judged by whether it is extravagant by comparison to a “genuine pre-estimate” test, disregarding any interest that might have justified a </w:t>
        </w:r>
        <w:r>
          <w:rPr>
            <w:spacing w:val="-2"/>
            <w:vertAlign w:val="baseline"/>
          </w:rPr>
          <w:t>deterrent.</w:t>
        </w:r>
      </w:hyperlink>
    </w:p>
    <w:p>
      <w:pPr>
        <w:pStyle w:val="BodyText"/>
      </w:pPr>
    </w:p>
    <w:p>
      <w:pPr>
        <w:pStyle w:val="BodyText"/>
        <w:spacing w:before="38"/>
      </w:pPr>
      <w:r>
        <w:rPr/>
        <mc:AlternateContent>
          <mc:Choice Requires="wps">
            <w:drawing>
              <wp:anchor distT="0" distB="0" distL="0" distR="0" allowOverlap="1" layoutInCell="1" locked="0" behindDoc="1" simplePos="0" relativeHeight="487681024">
                <wp:simplePos x="0" y="0"/>
                <wp:positionH relativeFrom="page">
                  <wp:posOffset>914400</wp:posOffset>
                </wp:positionH>
                <wp:positionV relativeFrom="paragraph">
                  <wp:posOffset>185548</wp:posOffset>
                </wp:positionV>
                <wp:extent cx="5724525" cy="1270"/>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0145pt;width:450.75pt;height:.1pt;mso-position-horizontal-relative:page;mso-position-vertical-relative:paragraph;z-index:-15635456;mso-wrap-distance-left:0;mso-wrap-distance-right:0" id="docshape88" coordorigin="1440,292" coordsize="9015,0" path="m1440,292l10454,292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2336">
            <wp:simplePos x="0" y="0"/>
            <wp:positionH relativeFrom="page">
              <wp:posOffset>1257846</wp:posOffset>
            </wp:positionH>
            <wp:positionV relativeFrom="paragraph">
              <wp:posOffset>160286</wp:posOffset>
            </wp:positionV>
            <wp:extent cx="107988" cy="107988"/>
            <wp:effectExtent l="0" t="0" r="0" b="0"/>
            <wp:wrapNone/>
            <wp:docPr id="439" name="Image 439"/>
            <wp:cNvGraphicFramePr>
              <a:graphicFrameLocks/>
            </wp:cNvGraphicFramePr>
            <a:graphic>
              <a:graphicData uri="http://schemas.openxmlformats.org/drawingml/2006/picture">
                <pic:pic>
                  <pic:nvPicPr>
                    <pic:cNvPr id="439" name="Image 4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69" w:id="1871"/>
      <w:bookmarkEnd w:id="1871"/>
      <w:r>
        <w:rPr/>
      </w:r>
      <w:hyperlink w:history="true" w:anchor="_bookmark1828">
        <w:r>
          <w:rPr>
            <w:color w:val="005DA1"/>
            <w:spacing w:val="-4"/>
            <w:sz w:val="14"/>
            <w:u w:val="single" w:color="005DA1"/>
          </w:rPr>
          <w:t>969</w:t>
        </w:r>
      </w:hyperlink>
      <w:r>
        <w:rPr>
          <w:spacing w:val="-4"/>
          <w:sz w:val="14"/>
        </w:rPr>
        <w:t>.</w:t>
      </w:r>
    </w:p>
    <w:p>
      <w:pPr>
        <w:pStyle w:val="BodyText"/>
        <w:spacing w:line="235" w:lineRule="auto" w:before="212"/>
        <w:ind w:left="165" w:right="167" w:firstLine="170"/>
        <w:jc w:val="both"/>
      </w:pPr>
      <w:r>
        <w:rPr/>
        <w:br w:type="column"/>
      </w:r>
      <w:r>
        <w:rPr/>
        <w:t>A valid agreed damages clause is probably not subject to the Unfair Contract Terms Act 1977 (see Vol.I, paras 15-062 et seq.), even if it is set at a figure below the likely loss, see </w:t>
      </w:r>
      <w:r>
        <w:rPr/>
        <w:t>below, para.26-180. cf. however, the Unfair Terms in Consumer Contracts Regulations 1999 and Consumer Rights Act 2015 (below, para.26-180).</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70" w:id="1872"/>
      <w:bookmarkEnd w:id="1872"/>
      <w:r>
        <w:rPr/>
      </w:r>
      <w:hyperlink w:history="true" w:anchor="_bookmark1829">
        <w:r>
          <w:rPr>
            <w:color w:val="005DA1"/>
            <w:spacing w:val="-4"/>
            <w:sz w:val="14"/>
            <w:u w:val="single" w:color="005DA1"/>
          </w:rPr>
          <w:t>970</w:t>
        </w:r>
      </w:hyperlink>
      <w:r>
        <w:rPr>
          <w:spacing w:val="-4"/>
          <w:sz w:val="14"/>
        </w:rPr>
        <w:t>.</w:t>
      </w:r>
    </w:p>
    <w:p>
      <w:pPr>
        <w:spacing w:line="227" w:lineRule="exact" w:before="209"/>
        <w:ind w:left="335" w:right="0" w:firstLine="0"/>
        <w:jc w:val="left"/>
        <w:rPr>
          <w:sz w:val="20"/>
        </w:rPr>
      </w:pPr>
      <w:r>
        <w:rPr/>
        <w:br w:type="column"/>
      </w:r>
      <w:r>
        <w:rPr>
          <w:rFonts w:ascii="Arial"/>
          <w:i/>
          <w:sz w:val="20"/>
        </w:rPr>
        <w:t>[2015]</w:t>
      </w:r>
      <w:r>
        <w:rPr>
          <w:rFonts w:ascii="Arial"/>
          <w:i/>
          <w:spacing w:val="42"/>
          <w:sz w:val="20"/>
        </w:rPr>
        <w:t> </w:t>
      </w:r>
      <w:r>
        <w:rPr>
          <w:rFonts w:ascii="Arial"/>
          <w:i/>
          <w:sz w:val="20"/>
        </w:rPr>
        <w:t>UKSC</w:t>
      </w:r>
      <w:r>
        <w:rPr>
          <w:rFonts w:ascii="Arial"/>
          <w:i/>
          <w:spacing w:val="43"/>
          <w:sz w:val="20"/>
        </w:rPr>
        <w:t> </w:t>
      </w:r>
      <w:r>
        <w:rPr>
          <w:rFonts w:ascii="Arial"/>
          <w:i/>
          <w:sz w:val="20"/>
        </w:rPr>
        <w:t>67,</w:t>
      </w:r>
      <w:r>
        <w:rPr>
          <w:rFonts w:ascii="Arial"/>
          <w:i/>
          <w:spacing w:val="43"/>
          <w:sz w:val="20"/>
        </w:rPr>
        <w:t> </w:t>
      </w:r>
      <w:r>
        <w:rPr>
          <w:rFonts w:ascii="Arial"/>
          <w:i/>
          <w:sz w:val="20"/>
        </w:rPr>
        <w:t>[2016]</w:t>
      </w:r>
      <w:r>
        <w:rPr>
          <w:rFonts w:ascii="Arial"/>
          <w:i/>
          <w:spacing w:val="43"/>
          <w:sz w:val="20"/>
        </w:rPr>
        <w:t> </w:t>
      </w:r>
      <w:r>
        <w:rPr>
          <w:rFonts w:ascii="Arial"/>
          <w:i/>
          <w:sz w:val="20"/>
        </w:rPr>
        <w:t>A.C.</w:t>
      </w:r>
      <w:r>
        <w:rPr>
          <w:rFonts w:ascii="Arial"/>
          <w:i/>
          <w:spacing w:val="43"/>
          <w:sz w:val="20"/>
        </w:rPr>
        <w:t> </w:t>
      </w:r>
      <w:r>
        <w:rPr>
          <w:rFonts w:ascii="Arial"/>
          <w:i/>
          <w:sz w:val="20"/>
        </w:rPr>
        <w:t>1172</w:t>
      </w:r>
      <w:r>
        <w:rPr>
          <w:sz w:val="20"/>
        </w:rPr>
        <w:t>,</w:t>
      </w:r>
      <w:r>
        <w:rPr>
          <w:spacing w:val="43"/>
          <w:sz w:val="20"/>
        </w:rPr>
        <w:t> </w:t>
      </w:r>
      <w:r>
        <w:rPr>
          <w:sz w:val="20"/>
        </w:rPr>
        <w:t>noted</w:t>
      </w:r>
      <w:r>
        <w:rPr>
          <w:spacing w:val="43"/>
          <w:sz w:val="20"/>
        </w:rPr>
        <w:t> </w:t>
      </w:r>
      <w:r>
        <w:rPr>
          <w:sz w:val="20"/>
        </w:rPr>
        <w:t>by</w:t>
      </w:r>
      <w:r>
        <w:rPr>
          <w:spacing w:val="43"/>
          <w:sz w:val="20"/>
        </w:rPr>
        <w:t> </w:t>
      </w:r>
      <w:r>
        <w:rPr>
          <w:sz w:val="20"/>
        </w:rPr>
        <w:t>Conte</w:t>
      </w:r>
      <w:r>
        <w:rPr>
          <w:spacing w:val="43"/>
          <w:sz w:val="20"/>
        </w:rPr>
        <w:t> </w:t>
      </w:r>
      <w:r>
        <w:rPr>
          <w:sz w:val="20"/>
        </w:rPr>
        <w:t>(2016)</w:t>
      </w:r>
      <w:r>
        <w:rPr>
          <w:spacing w:val="43"/>
          <w:sz w:val="20"/>
        </w:rPr>
        <w:t> </w:t>
      </w:r>
      <w:r>
        <w:rPr>
          <w:sz w:val="20"/>
        </w:rPr>
        <w:t>132</w:t>
      </w:r>
      <w:r>
        <w:rPr>
          <w:spacing w:val="43"/>
          <w:sz w:val="20"/>
        </w:rPr>
        <w:t> </w:t>
      </w:r>
      <w:r>
        <w:rPr>
          <w:sz w:val="20"/>
        </w:rPr>
        <w:t>L.Q.R.</w:t>
      </w:r>
      <w:r>
        <w:rPr>
          <w:spacing w:val="43"/>
          <w:sz w:val="20"/>
        </w:rPr>
        <w:t> </w:t>
      </w:r>
      <w:r>
        <w:rPr>
          <w:sz w:val="20"/>
        </w:rPr>
        <w:t>382</w:t>
      </w:r>
      <w:r>
        <w:rPr>
          <w:spacing w:val="43"/>
          <w:sz w:val="20"/>
        </w:rPr>
        <w:t> </w:t>
      </w:r>
      <w:r>
        <w:rPr>
          <w:sz w:val="20"/>
        </w:rPr>
        <w:t>and</w:t>
      </w:r>
      <w:r>
        <w:rPr>
          <w:spacing w:val="43"/>
          <w:sz w:val="20"/>
        </w:rPr>
        <w:t> </w:t>
      </w:r>
      <w:r>
        <w:rPr>
          <w:spacing w:val="-2"/>
          <w:sz w:val="20"/>
        </w:rPr>
        <w:t>Morgan</w:t>
      </w:r>
    </w:p>
    <w:p>
      <w:pPr>
        <w:spacing w:line="235" w:lineRule="auto" w:before="1"/>
        <w:ind w:left="165" w:right="0" w:firstLine="0"/>
        <w:jc w:val="left"/>
        <w:rPr>
          <w:sz w:val="20"/>
        </w:rPr>
      </w:pPr>
      <w:r>
        <w:rPr>
          <w:sz w:val="20"/>
        </w:rPr>
        <w:drawing>
          <wp:anchor distT="0" distB="0" distL="0" distR="0" allowOverlap="1" layoutInCell="1" locked="0" behindDoc="0" simplePos="0" relativeHeight="15822848">
            <wp:simplePos x="0" y="0"/>
            <wp:positionH relativeFrom="page">
              <wp:posOffset>1257846</wp:posOffset>
            </wp:positionH>
            <wp:positionV relativeFrom="paragraph">
              <wp:posOffset>-116574</wp:posOffset>
            </wp:positionV>
            <wp:extent cx="107988" cy="107988"/>
            <wp:effectExtent l="0" t="0" r="0" b="0"/>
            <wp:wrapNone/>
            <wp:docPr id="440" name="Image 440"/>
            <wp:cNvGraphicFramePr>
              <a:graphicFrameLocks/>
            </wp:cNvGraphicFramePr>
            <a:graphic>
              <a:graphicData uri="http://schemas.openxmlformats.org/drawingml/2006/picture">
                <pic:pic>
                  <pic:nvPicPr>
                    <pic:cNvPr id="440" name="Image 44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[2016]</w:t>
      </w:r>
      <w:r>
        <w:rPr>
          <w:spacing w:val="34"/>
          <w:sz w:val="20"/>
        </w:rPr>
        <w:t> </w:t>
      </w:r>
      <w:r>
        <w:rPr>
          <w:sz w:val="20"/>
        </w:rPr>
        <w:t>C.L.J.</w:t>
      </w:r>
      <w:r>
        <w:rPr>
          <w:spacing w:val="34"/>
          <w:sz w:val="20"/>
        </w:rPr>
        <w:t> </w:t>
      </w:r>
      <w:r>
        <w:rPr>
          <w:sz w:val="20"/>
        </w:rPr>
        <w:t>11.</w:t>
      </w:r>
      <w:r>
        <w:rPr>
          <w:spacing w:val="34"/>
          <w:sz w:val="20"/>
        </w:rPr>
        <w:t> </w:t>
      </w:r>
      <w:r>
        <w:rPr>
          <w:sz w:val="20"/>
        </w:rPr>
        <w:t>In</w:t>
      </w:r>
      <w:r>
        <w:rPr>
          <w:spacing w:val="34"/>
          <w:sz w:val="20"/>
        </w:rPr>
        <w:t> </w:t>
      </w:r>
      <w:r>
        <w:rPr>
          <w:sz w:val="20"/>
        </w:rPr>
        <w:t>what</w:t>
      </w:r>
      <w:r>
        <w:rPr>
          <w:spacing w:val="34"/>
          <w:sz w:val="20"/>
        </w:rPr>
        <w:t> </w:t>
      </w:r>
      <w:r>
        <w:rPr>
          <w:sz w:val="20"/>
        </w:rPr>
        <w:t>follows</w:t>
      </w:r>
      <w:r>
        <w:rPr>
          <w:spacing w:val="34"/>
          <w:sz w:val="20"/>
        </w:rPr>
        <w:t> </w:t>
      </w:r>
      <w:r>
        <w:rPr>
          <w:sz w:val="20"/>
        </w:rPr>
        <w:t>the</w:t>
      </w:r>
      <w:r>
        <w:rPr>
          <w:spacing w:val="34"/>
          <w:sz w:val="20"/>
        </w:rPr>
        <w:t> </w:t>
      </w:r>
      <w:r>
        <w:rPr>
          <w:sz w:val="20"/>
        </w:rPr>
        <w:t>decisions</w:t>
      </w:r>
      <w:r>
        <w:rPr>
          <w:spacing w:val="34"/>
          <w:sz w:val="20"/>
        </w:rPr>
        <w:t> </w:t>
      </w:r>
      <w:r>
        <w:rPr>
          <w:sz w:val="20"/>
        </w:rPr>
        <w:t>will</w:t>
      </w:r>
      <w:r>
        <w:rPr>
          <w:spacing w:val="34"/>
          <w:sz w:val="20"/>
        </w:rPr>
        <w:t> </w:t>
      </w:r>
      <w:r>
        <w:rPr>
          <w:sz w:val="20"/>
        </w:rPr>
        <w:t>frequently</w:t>
      </w:r>
      <w:r>
        <w:rPr>
          <w:spacing w:val="34"/>
          <w:sz w:val="20"/>
        </w:rPr>
        <w:t> </w:t>
      </w:r>
      <w:r>
        <w:rPr>
          <w:sz w:val="20"/>
        </w:rPr>
        <w:t>be</w:t>
      </w:r>
      <w:r>
        <w:rPr>
          <w:spacing w:val="34"/>
          <w:sz w:val="20"/>
        </w:rPr>
        <w:t> </w:t>
      </w:r>
      <w:r>
        <w:rPr>
          <w:sz w:val="20"/>
        </w:rPr>
        <w:t>referred</w:t>
      </w:r>
      <w:r>
        <w:rPr>
          <w:spacing w:val="34"/>
          <w:sz w:val="20"/>
        </w:rPr>
        <w:t> </w:t>
      </w:r>
      <w:r>
        <w:rPr>
          <w:sz w:val="20"/>
        </w:rPr>
        <w:t>to</w:t>
      </w:r>
      <w:r>
        <w:rPr>
          <w:spacing w:val="34"/>
          <w:sz w:val="20"/>
        </w:rPr>
        <w:t> </w:t>
      </w:r>
      <w:r>
        <w:rPr>
          <w:sz w:val="20"/>
        </w:rPr>
        <w:t>as</w:t>
      </w:r>
      <w:r>
        <w:rPr>
          <w:spacing w:val="34"/>
          <w:sz w:val="20"/>
        </w:rPr>
        <w:t> </w:t>
      </w:r>
      <w:r>
        <w:rPr>
          <w:sz w:val="20"/>
        </w:rPr>
        <w:t>“</w:t>
      </w:r>
      <w:r>
        <w:rPr>
          <w:spacing w:val="-20"/>
          <w:sz w:val="20"/>
        </w:rPr>
        <w:t> </w:t>
      </w:r>
      <w:r>
        <w:rPr>
          <w:rFonts w:ascii="Arial" w:hAnsi="Arial"/>
          <w:i/>
          <w:sz w:val="20"/>
        </w:rPr>
        <w:t>Cavendish Square</w:t>
      </w:r>
      <w:r>
        <w:rPr>
          <w:sz w:val="20"/>
        </w:rPr>
        <w:t>” and “</w:t>
      </w:r>
      <w:r>
        <w:rPr>
          <w:rFonts w:ascii="Arial" w:hAnsi="Arial"/>
          <w:i/>
          <w:sz w:val="20"/>
        </w:rPr>
        <w:t>ParkingEye</w:t>
      </w:r>
      <w:r>
        <w:rPr>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71" w:id="1873"/>
      <w:bookmarkEnd w:id="1873"/>
      <w:r>
        <w:rPr/>
      </w:r>
      <w:hyperlink w:history="true" w:anchor="_bookmark1830">
        <w:r>
          <w:rPr>
            <w:color w:val="005DA1"/>
            <w:spacing w:val="-4"/>
            <w:sz w:val="14"/>
            <w:u w:val="single" w:color="005DA1"/>
          </w:rPr>
          <w:t>971</w:t>
        </w:r>
      </w:hyperlink>
      <w:r>
        <w:rPr>
          <w:spacing w:val="-4"/>
          <w:sz w:val="14"/>
        </w:rPr>
        <w:t>.</w:t>
      </w:r>
    </w:p>
    <w:p>
      <w:pPr>
        <w:spacing w:line="235" w:lineRule="auto" w:before="212"/>
        <w:ind w:left="165" w:right="167" w:firstLine="170"/>
        <w:jc w:val="both"/>
        <w:rPr>
          <w:rFonts w:ascii="Arial"/>
          <w:i/>
          <w:sz w:val="20"/>
        </w:rPr>
      </w:pPr>
      <w:r>
        <w:rPr/>
        <w:br w:type="column"/>
      </w:r>
      <w:r>
        <w:rPr>
          <w:sz w:val="20"/>
        </w:rPr>
        <w:t>See the test laid down by Lord Dunedin in </w:t>
      </w:r>
      <w:r>
        <w:rPr>
          <w:rFonts w:ascii="Arial"/>
          <w:i/>
          <w:sz w:val="20"/>
        </w:rPr>
        <w:t>Dunlop Pneumatic Tyre Co Ltd v New Garage </w:t>
      </w:r>
      <w:r>
        <w:rPr>
          <w:rFonts w:ascii="Arial"/>
          <w:i/>
          <w:sz w:val="20"/>
        </w:rPr>
        <w:t>&amp; Motor Co Ltd [1915] A.C. 79</w:t>
      </w:r>
      <w:r>
        <w:rPr>
          <w:sz w:val="20"/>
        </w:rPr>
        <w:t>, below, para.26-182. It is presumed that a party has a legitimate interest in recovering its likely loss: </w:t>
      </w:r>
      <w:r>
        <w:rPr>
          <w:rFonts w:ascii="Arial"/>
          <w:i/>
          <w:sz w:val="20"/>
        </w:rPr>
        <w:t>Cavendish Square [2015] UKSC 67 </w:t>
      </w:r>
      <w:r>
        <w:rPr>
          <w:sz w:val="20"/>
        </w:rPr>
        <w:t>at [32]. cf. a performance bond, which is </w:t>
      </w:r>
      <w:r>
        <w:rPr>
          <w:rFonts w:ascii="Arial"/>
          <w:i/>
          <w:sz w:val="20"/>
        </w:rPr>
        <w:t>not </w:t>
      </w:r>
      <w:r>
        <w:rPr>
          <w:sz w:val="20"/>
        </w:rPr>
        <w:t>an estimate of the damage which might be caused by a breach of</w:t>
      </w:r>
      <w:r>
        <w:rPr>
          <w:spacing w:val="25"/>
          <w:sz w:val="20"/>
        </w:rPr>
        <w:t> </w:t>
      </w:r>
      <w:r>
        <w:rPr>
          <w:sz w:val="20"/>
        </w:rPr>
        <w:t>contract:</w:t>
      </w:r>
      <w:r>
        <w:rPr>
          <w:spacing w:val="25"/>
          <w:sz w:val="20"/>
        </w:rPr>
        <w:t> </w:t>
      </w:r>
      <w:r>
        <w:rPr>
          <w:rFonts w:ascii="Arial"/>
          <w:i/>
          <w:sz w:val="20"/>
        </w:rPr>
        <w:t>Cargill</w:t>
      </w:r>
      <w:r>
        <w:rPr>
          <w:rFonts w:ascii="Arial"/>
          <w:i/>
          <w:spacing w:val="25"/>
          <w:sz w:val="20"/>
        </w:rPr>
        <w:t> </w:t>
      </w:r>
      <w:r>
        <w:rPr>
          <w:rFonts w:ascii="Arial"/>
          <w:i/>
          <w:sz w:val="20"/>
        </w:rPr>
        <w:t>International</w:t>
      </w:r>
      <w:r>
        <w:rPr>
          <w:rFonts w:ascii="Arial"/>
          <w:i/>
          <w:spacing w:val="25"/>
          <w:sz w:val="20"/>
        </w:rPr>
        <w:t> </w:t>
      </w:r>
      <w:r>
        <w:rPr>
          <w:rFonts w:ascii="Arial"/>
          <w:i/>
          <w:sz w:val="20"/>
        </w:rPr>
        <w:t>SA</w:t>
      </w:r>
      <w:r>
        <w:rPr>
          <w:rFonts w:ascii="Arial"/>
          <w:i/>
          <w:spacing w:val="25"/>
          <w:sz w:val="20"/>
        </w:rPr>
        <w:t> </w:t>
      </w:r>
      <w:r>
        <w:rPr>
          <w:rFonts w:ascii="Arial"/>
          <w:i/>
          <w:sz w:val="20"/>
        </w:rPr>
        <w:t>v</w:t>
      </w:r>
      <w:r>
        <w:rPr>
          <w:rFonts w:ascii="Arial"/>
          <w:i/>
          <w:spacing w:val="25"/>
          <w:sz w:val="20"/>
        </w:rPr>
        <w:t> </w:t>
      </w:r>
      <w:r>
        <w:rPr>
          <w:rFonts w:ascii="Arial"/>
          <w:i/>
          <w:sz w:val="20"/>
        </w:rPr>
        <w:t>Bangladesh</w:t>
      </w:r>
      <w:r>
        <w:rPr>
          <w:rFonts w:ascii="Arial"/>
          <w:i/>
          <w:spacing w:val="25"/>
          <w:sz w:val="20"/>
        </w:rPr>
        <w:t> </w:t>
      </w:r>
      <w:r>
        <w:rPr>
          <w:rFonts w:ascii="Arial"/>
          <w:i/>
          <w:sz w:val="20"/>
        </w:rPr>
        <w:t>Sugar</w:t>
      </w:r>
      <w:r>
        <w:rPr>
          <w:rFonts w:ascii="Arial"/>
          <w:i/>
          <w:spacing w:val="25"/>
          <w:sz w:val="20"/>
        </w:rPr>
        <w:t> </w:t>
      </w:r>
      <w:r>
        <w:rPr>
          <w:rFonts w:ascii="Arial"/>
          <w:i/>
          <w:sz w:val="20"/>
        </w:rPr>
        <w:t>&amp;</w:t>
      </w:r>
      <w:r>
        <w:rPr>
          <w:rFonts w:ascii="Arial"/>
          <w:i/>
          <w:spacing w:val="25"/>
          <w:sz w:val="20"/>
        </w:rPr>
        <w:t> </w:t>
      </w:r>
      <w:r>
        <w:rPr>
          <w:rFonts w:ascii="Arial"/>
          <w:i/>
          <w:sz w:val="20"/>
        </w:rPr>
        <w:t>Food</w:t>
      </w:r>
      <w:r>
        <w:rPr>
          <w:rFonts w:ascii="Arial"/>
          <w:i/>
          <w:spacing w:val="25"/>
          <w:sz w:val="20"/>
        </w:rPr>
        <w:t> </w:t>
      </w:r>
      <w:r>
        <w:rPr>
          <w:rFonts w:ascii="Arial"/>
          <w:i/>
          <w:sz w:val="20"/>
        </w:rPr>
        <w:t>Industries</w:t>
      </w:r>
      <w:r>
        <w:rPr>
          <w:rFonts w:ascii="Arial"/>
          <w:i/>
          <w:spacing w:val="25"/>
          <w:sz w:val="20"/>
        </w:rPr>
        <w:t> </w:t>
      </w:r>
      <w:r>
        <w:rPr>
          <w:rFonts w:ascii="Arial"/>
          <w:i/>
          <w:sz w:val="20"/>
        </w:rPr>
        <w:t>Corp</w:t>
      </w:r>
      <w:r>
        <w:rPr>
          <w:rFonts w:ascii="Arial"/>
          <w:i/>
          <w:spacing w:val="25"/>
          <w:sz w:val="20"/>
        </w:rPr>
        <w:t> </w:t>
      </w:r>
      <w:r>
        <w:rPr>
          <w:rFonts w:ascii="Arial"/>
          <w:i/>
          <w:sz w:val="20"/>
        </w:rPr>
        <w:t>[1996]</w:t>
      </w:r>
      <w:r>
        <w:rPr>
          <w:rFonts w:ascii="Arial"/>
          <w:i/>
          <w:spacing w:val="25"/>
          <w:sz w:val="20"/>
        </w:rPr>
        <w:t> </w:t>
      </w:r>
      <w:r>
        <w:rPr>
          <w:rFonts w:ascii="Arial"/>
          <w:i/>
          <w:sz w:val="20"/>
        </w:rPr>
        <w:t>4</w:t>
      </w:r>
      <w:r>
        <w:rPr>
          <w:rFonts w:ascii="Arial"/>
          <w:i/>
          <w:spacing w:val="25"/>
          <w:sz w:val="20"/>
        </w:rPr>
        <w:t> </w:t>
      </w:r>
      <w:r>
        <w:rPr>
          <w:rFonts w:ascii="Arial"/>
          <w:i/>
          <w:spacing w:val="-5"/>
          <w:sz w:val="20"/>
        </w:rPr>
        <w:t>All</w:t>
      </w:r>
    </w:p>
    <w:p>
      <w:pPr>
        <w:spacing w:line="224" w:lineRule="exact" w:before="0"/>
        <w:ind w:left="165" w:right="0" w:firstLine="0"/>
        <w:jc w:val="left"/>
        <w:rPr>
          <w:sz w:val="20"/>
        </w:rPr>
      </w:pPr>
      <w:r>
        <w:rPr>
          <w:sz w:val="20"/>
        </w:rPr>
        <w:drawing>
          <wp:anchor distT="0" distB="0" distL="0" distR="0" allowOverlap="1" layoutInCell="1" locked="0" behindDoc="0" simplePos="0" relativeHeight="15823360">
            <wp:simplePos x="0" y="0"/>
            <wp:positionH relativeFrom="page">
              <wp:posOffset>1257846</wp:posOffset>
            </wp:positionH>
            <wp:positionV relativeFrom="paragraph">
              <wp:posOffset>-689760</wp:posOffset>
            </wp:positionV>
            <wp:extent cx="107988" cy="107988"/>
            <wp:effectExtent l="0" t="0" r="0" b="0"/>
            <wp:wrapNone/>
            <wp:docPr id="441" name="Image 441"/>
            <wp:cNvGraphicFramePr>
              <a:graphicFrameLocks/>
            </wp:cNvGraphicFramePr>
            <a:graphic>
              <a:graphicData uri="http://schemas.openxmlformats.org/drawingml/2006/picture">
                <pic:pic>
                  <pic:nvPicPr>
                    <pic:cNvPr id="441" name="Image 44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E.R.</w:t>
      </w:r>
      <w:r>
        <w:rPr>
          <w:rFonts w:ascii="Arial" w:hAnsi="Arial"/>
          <w:i/>
          <w:spacing w:val="-1"/>
          <w:sz w:val="20"/>
        </w:rPr>
        <w:t> </w:t>
      </w:r>
      <w:r>
        <w:rPr>
          <w:rFonts w:ascii="Arial" w:hAnsi="Arial"/>
          <w:i/>
          <w:sz w:val="20"/>
        </w:rPr>
        <w:t>563</w:t>
      </w:r>
      <w:r>
        <w:rPr>
          <w:sz w:val="20"/>
        </w:rPr>
        <w:t>; </w:t>
      </w:r>
      <w:r>
        <w:rPr>
          <w:rFonts w:ascii="Arial" w:hAnsi="Arial"/>
          <w:i/>
          <w:sz w:val="20"/>
        </w:rPr>
        <w:t>Comdel Commodities Ltd v Siporex Trade SA [1997] 1 Lloyd’s Rep. 424 </w:t>
      </w:r>
      <w:r>
        <w:rPr>
          <w:rFonts w:ascii="Arial" w:hAnsi="Arial"/>
          <w:i/>
          <w:spacing w:val="-5"/>
          <w:sz w:val="20"/>
        </w:rPr>
        <w:t>CA</w:t>
      </w:r>
      <w:r>
        <w:rPr>
          <w:spacing w:val="-5"/>
          <w:sz w:val="20"/>
        </w:rPr>
        <w:t>.</w:t>
      </w:r>
    </w:p>
    <w:p>
      <w:pPr>
        <w:spacing w:after="0" w:line="224"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872" w:id="1874"/>
      <w:bookmarkEnd w:id="1874"/>
      <w:r>
        <w:rPr/>
      </w:r>
      <w:hyperlink w:history="true" w:anchor="_bookmark1831">
        <w:r>
          <w:rPr>
            <w:color w:val="005DA1"/>
            <w:spacing w:val="-4"/>
            <w:sz w:val="14"/>
            <w:u w:val="single" w:color="005DA1"/>
          </w:rPr>
          <w:t>972</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Lordsvale Finance Plc v Bank of Zambia [1996] Q.B. 752, 762–764</w:t>
      </w:r>
      <w:r>
        <w:rPr>
          <w:sz w:val="20"/>
        </w:rPr>
        <w:t>; </w:t>
      </w:r>
      <w:r>
        <w:rPr>
          <w:rFonts w:ascii="Arial" w:hAnsi="Arial"/>
          <w:i/>
          <w:sz w:val="20"/>
        </w:rPr>
        <w:t>United International Pictures v Cine Bes Filmcilik ve Yapimcilik AS [2003] EWCA Civ 1669 </w:t>
      </w:r>
      <w:r>
        <w:rPr>
          <w:sz w:val="20"/>
        </w:rPr>
        <w:t>at [15]; </w:t>
      </w:r>
      <w:r>
        <w:rPr>
          <w:rFonts w:ascii="Arial" w:hAnsi="Arial"/>
          <w:i/>
          <w:sz w:val="20"/>
        </w:rPr>
        <w:t>Euro London Appointments</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Claessens</w:t>
      </w:r>
      <w:r>
        <w:rPr>
          <w:rFonts w:ascii="Arial" w:hAnsi="Arial"/>
          <w:i/>
          <w:spacing w:val="22"/>
          <w:sz w:val="20"/>
        </w:rPr>
        <w:t> </w:t>
      </w:r>
      <w:r>
        <w:rPr>
          <w:rFonts w:ascii="Arial" w:hAnsi="Arial"/>
          <w:i/>
          <w:sz w:val="20"/>
        </w:rPr>
        <w:t>International</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385,</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pacing w:val="-4"/>
          <w:sz w:val="20"/>
        </w:rPr>
        <w:t>Rep.</w:t>
      </w:r>
    </w:p>
    <w:p>
      <w:pPr>
        <w:spacing w:line="235" w:lineRule="auto" w:before="0"/>
        <w:ind w:left="165" w:right="167" w:firstLine="0"/>
        <w:jc w:val="both"/>
        <w:rPr>
          <w:sz w:val="20"/>
        </w:rPr>
      </w:pPr>
      <w:r>
        <w:rPr>
          <w:sz w:val="20"/>
        </w:rPr>
        <w:drawing>
          <wp:anchor distT="0" distB="0" distL="0" distR="0" allowOverlap="1" layoutInCell="1" locked="0" behindDoc="0" simplePos="0" relativeHeight="15823872">
            <wp:simplePos x="0" y="0"/>
            <wp:positionH relativeFrom="page">
              <wp:posOffset>1257846</wp:posOffset>
            </wp:positionH>
            <wp:positionV relativeFrom="paragraph">
              <wp:posOffset>-403664</wp:posOffset>
            </wp:positionV>
            <wp:extent cx="107988" cy="107988"/>
            <wp:effectExtent l="0" t="0" r="0" b="0"/>
            <wp:wrapNone/>
            <wp:docPr id="442" name="Image 442"/>
            <wp:cNvGraphicFramePr>
              <a:graphicFrameLocks/>
            </wp:cNvGraphicFramePr>
            <a:graphic>
              <a:graphicData uri="http://schemas.openxmlformats.org/drawingml/2006/picture">
                <pic:pic>
                  <pic:nvPicPr>
                    <pic:cNvPr id="442" name="Image 44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436 </w:t>
      </w:r>
      <w:r>
        <w:rPr>
          <w:sz w:val="20"/>
        </w:rPr>
        <w:t>at [30]; </w:t>
      </w:r>
      <w:r>
        <w:rPr>
          <w:rFonts w:ascii="Arial" w:hAnsi="Arial"/>
          <w:i/>
          <w:sz w:val="20"/>
        </w:rPr>
        <w:t>General Trading Co (Holdings) Ltd v Richmond Corp Ltd [2008] EWHC 1479 (Comm), [2008] 2 Lloyd’s Rep. 475</w:t>
      </w:r>
      <w:r>
        <w:rPr>
          <w:sz w:val="20"/>
        </w:rPr>
        <w:t>; </w:t>
      </w:r>
      <w:r>
        <w:rPr>
          <w:rFonts w:ascii="Arial" w:hAnsi="Arial"/>
          <w:i/>
          <w:sz w:val="20"/>
        </w:rPr>
        <w:t>Makdessi v Cavendish Square Holdings BV [2013] EWCA Civ 1539</w:t>
      </w:r>
      <w:r>
        <w:rPr>
          <w:sz w:val="20"/>
        </w:rPr>
        <w:t>. See further below, paras 26-193—26-194.</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4384">
            <wp:simplePos x="0" y="0"/>
            <wp:positionH relativeFrom="page">
              <wp:posOffset>1257846</wp:posOffset>
            </wp:positionH>
            <wp:positionV relativeFrom="paragraph">
              <wp:posOffset>160767</wp:posOffset>
            </wp:positionV>
            <wp:extent cx="107988" cy="107988"/>
            <wp:effectExtent l="0" t="0" r="0" b="0"/>
            <wp:wrapNone/>
            <wp:docPr id="443" name="Image 443"/>
            <wp:cNvGraphicFramePr>
              <a:graphicFrameLocks/>
            </wp:cNvGraphicFramePr>
            <a:graphic>
              <a:graphicData uri="http://schemas.openxmlformats.org/drawingml/2006/picture">
                <pic:pic>
                  <pic:nvPicPr>
                    <pic:cNvPr id="443" name="Image 4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3" w:id="1875"/>
      <w:bookmarkEnd w:id="1875"/>
      <w:r>
        <w:rPr/>
      </w:r>
      <w:hyperlink w:history="true" w:anchor="_bookmark1832">
        <w:r>
          <w:rPr>
            <w:color w:val="005DA1"/>
            <w:spacing w:val="-4"/>
            <w:sz w:val="14"/>
            <w:u w:val="single" w:color="005DA1"/>
          </w:rPr>
          <w:t>973</w:t>
        </w:r>
      </w:hyperlink>
      <w:r>
        <w:rPr>
          <w:spacing w:val="-4"/>
          <w:sz w:val="14"/>
        </w:rPr>
        <w:t>.</w:t>
      </w:r>
    </w:p>
    <w:p>
      <w:pPr>
        <w:spacing w:line="235" w:lineRule="auto" w:before="213"/>
        <w:ind w:left="165" w:right="167" w:firstLine="170"/>
        <w:jc w:val="both"/>
        <w:rPr>
          <w:sz w:val="20"/>
        </w:rPr>
      </w:pPr>
      <w:r>
        <w:rPr/>
        <w:br w:type="column"/>
      </w:r>
      <w:r>
        <w:rPr>
          <w:rFonts w:ascii="Arial"/>
          <w:i/>
          <w:sz w:val="20"/>
        </w:rPr>
        <w:t>Clydebank Engineering &amp; Shipbuilding Co Ltd v Don Jose Ramos Yzquierdo y Castaneda [1905]</w:t>
      </w:r>
      <w:r>
        <w:rPr>
          <w:rFonts w:ascii="Arial"/>
          <w:i/>
          <w:spacing w:val="-2"/>
          <w:sz w:val="20"/>
        </w:rPr>
        <w:t> </w:t>
      </w:r>
      <w:r>
        <w:rPr>
          <w:rFonts w:ascii="Arial"/>
          <w:i/>
          <w:sz w:val="20"/>
        </w:rPr>
        <w:t>A.C.</w:t>
      </w:r>
      <w:r>
        <w:rPr>
          <w:rFonts w:ascii="Arial"/>
          <w:i/>
          <w:spacing w:val="-2"/>
          <w:sz w:val="20"/>
        </w:rPr>
        <w:t> </w:t>
      </w:r>
      <w:r>
        <w:rPr>
          <w:rFonts w:ascii="Arial"/>
          <w:i/>
          <w:sz w:val="20"/>
        </w:rPr>
        <w:t>6</w:t>
      </w:r>
      <w:r>
        <w:rPr>
          <w:sz w:val="20"/>
        </w:rPr>
        <w:t>.</w:t>
      </w:r>
      <w:r>
        <w:rPr>
          <w:spacing w:val="-2"/>
          <w:sz w:val="20"/>
        </w:rPr>
        <w:t> </w:t>
      </w:r>
      <w:r>
        <w:rPr>
          <w:sz w:val="20"/>
        </w:rPr>
        <w:t>This</w:t>
      </w:r>
      <w:r>
        <w:rPr>
          <w:spacing w:val="-2"/>
          <w:sz w:val="20"/>
        </w:rPr>
        <w:t> </w:t>
      </w:r>
      <w:r>
        <w:rPr>
          <w:sz w:val="20"/>
        </w:rPr>
        <w:t>rule</w:t>
      </w:r>
      <w:r>
        <w:rPr>
          <w:spacing w:val="-2"/>
          <w:sz w:val="20"/>
        </w:rPr>
        <w:t> </w:t>
      </w:r>
      <w:r>
        <w:rPr>
          <w:sz w:val="20"/>
        </w:rPr>
        <w:t>does</w:t>
      </w:r>
      <w:r>
        <w:rPr>
          <w:spacing w:val="-2"/>
          <w:sz w:val="20"/>
        </w:rPr>
        <w:t> </w:t>
      </w:r>
      <w:r>
        <w:rPr>
          <w:sz w:val="20"/>
        </w:rPr>
        <w:t>not</w:t>
      </w:r>
      <w:r>
        <w:rPr>
          <w:spacing w:val="-2"/>
          <w:sz w:val="20"/>
        </w:rPr>
        <w:t> </w:t>
      </w:r>
      <w:r>
        <w:rPr>
          <w:sz w:val="20"/>
        </w:rPr>
        <w:t>apply</w:t>
      </w:r>
      <w:r>
        <w:rPr>
          <w:spacing w:val="-2"/>
          <w:sz w:val="20"/>
        </w:rPr>
        <w:t> </w:t>
      </w:r>
      <w:r>
        <w:rPr>
          <w:sz w:val="20"/>
        </w:rPr>
        <w:t>to</w:t>
      </w:r>
      <w:r>
        <w:rPr>
          <w:spacing w:val="-2"/>
          <w:sz w:val="20"/>
        </w:rPr>
        <w:t> </w:t>
      </w:r>
      <w:r>
        <w:rPr>
          <w:sz w:val="20"/>
        </w:rPr>
        <w:t>deposits,</w:t>
      </w:r>
      <w:r>
        <w:rPr>
          <w:spacing w:val="-2"/>
          <w:sz w:val="20"/>
        </w:rPr>
        <w:t> </w:t>
      </w:r>
      <w:r>
        <w:rPr>
          <w:sz w:val="20"/>
        </w:rPr>
        <w:t>though</w:t>
      </w:r>
      <w:r>
        <w:rPr>
          <w:spacing w:val="-2"/>
          <w:sz w:val="20"/>
        </w:rPr>
        <w:t> </w:t>
      </w:r>
      <w:r>
        <w:rPr>
          <w:sz w:val="20"/>
        </w:rPr>
        <w:t>at</w:t>
      </w:r>
      <w:r>
        <w:rPr>
          <w:spacing w:val="-2"/>
          <w:sz w:val="20"/>
        </w:rPr>
        <w:t> </w:t>
      </w:r>
      <w:r>
        <w:rPr>
          <w:sz w:val="20"/>
        </w:rPr>
        <w:t>least</w:t>
      </w:r>
      <w:r>
        <w:rPr>
          <w:spacing w:val="-2"/>
          <w:sz w:val="20"/>
        </w:rPr>
        <w:t> </w:t>
      </w:r>
      <w:r>
        <w:rPr>
          <w:sz w:val="20"/>
        </w:rPr>
        <w:t>a</w:t>
      </w:r>
      <w:r>
        <w:rPr>
          <w:spacing w:val="-2"/>
          <w:sz w:val="20"/>
        </w:rPr>
        <w:t> </w:t>
      </w:r>
      <w:r>
        <w:rPr>
          <w:sz w:val="20"/>
        </w:rPr>
        <w:t>deposit</w:t>
      </w:r>
      <w:r>
        <w:rPr>
          <w:spacing w:val="-2"/>
          <w:sz w:val="20"/>
        </w:rPr>
        <w:t> </w:t>
      </w:r>
      <w:r>
        <w:rPr>
          <w:sz w:val="20"/>
        </w:rPr>
        <w:t>that</w:t>
      </w:r>
      <w:r>
        <w:rPr>
          <w:spacing w:val="-2"/>
          <w:sz w:val="20"/>
        </w:rPr>
        <w:t> </w:t>
      </w:r>
      <w:r>
        <w:rPr>
          <w:sz w:val="20"/>
        </w:rPr>
        <w:t>it</w:t>
      </w:r>
      <w:r>
        <w:rPr>
          <w:spacing w:val="-2"/>
          <w:sz w:val="20"/>
        </w:rPr>
        <w:t> </w:t>
      </w:r>
      <w:r>
        <w:rPr>
          <w:sz w:val="20"/>
        </w:rPr>
        <w:t>is</w:t>
      </w:r>
      <w:r>
        <w:rPr>
          <w:spacing w:val="-2"/>
          <w:sz w:val="20"/>
        </w:rPr>
        <w:t> </w:t>
      </w:r>
      <w:r>
        <w:rPr>
          <w:sz w:val="20"/>
        </w:rPr>
        <w:t>larger</w:t>
      </w:r>
      <w:r>
        <w:rPr>
          <w:spacing w:val="-2"/>
          <w:sz w:val="20"/>
        </w:rPr>
        <w:t> </w:t>
      </w:r>
      <w:r>
        <w:rPr>
          <w:sz w:val="20"/>
        </w:rPr>
        <w:t>than the customary amount may be a penalty: see below, paras 26-216Q and 26-216R.</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4896">
            <wp:simplePos x="0" y="0"/>
            <wp:positionH relativeFrom="page">
              <wp:posOffset>1257846</wp:posOffset>
            </wp:positionH>
            <wp:positionV relativeFrom="paragraph">
              <wp:posOffset>160684</wp:posOffset>
            </wp:positionV>
            <wp:extent cx="107988" cy="107988"/>
            <wp:effectExtent l="0" t="0" r="0" b="0"/>
            <wp:wrapNone/>
            <wp:docPr id="444" name="Image 444"/>
            <wp:cNvGraphicFramePr>
              <a:graphicFrameLocks/>
            </wp:cNvGraphicFramePr>
            <a:graphic>
              <a:graphicData uri="http://schemas.openxmlformats.org/drawingml/2006/picture">
                <pic:pic>
                  <pic:nvPicPr>
                    <pic:cNvPr id="444" name="Image 44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4" w:id="1876"/>
      <w:bookmarkEnd w:id="1876"/>
      <w:r>
        <w:rPr/>
      </w:r>
      <w:hyperlink w:history="true" w:anchor="_bookmark1833">
        <w:r>
          <w:rPr>
            <w:color w:val="005DA1"/>
            <w:spacing w:val="-4"/>
            <w:sz w:val="14"/>
            <w:u w:val="single" w:color="005DA1"/>
          </w:rPr>
          <w:t>974</w:t>
        </w:r>
      </w:hyperlink>
      <w:r>
        <w:rPr>
          <w:spacing w:val="-4"/>
          <w:sz w:val="14"/>
        </w:rPr>
        <w:t>.</w:t>
      </w:r>
    </w:p>
    <w:p>
      <w:pPr>
        <w:spacing w:line="235" w:lineRule="auto" w:before="213"/>
        <w:ind w:left="165" w:right="167" w:firstLine="170"/>
        <w:jc w:val="both"/>
        <w:rPr>
          <w:sz w:val="20"/>
        </w:rPr>
      </w:pPr>
      <w:r>
        <w:rPr/>
        <w:br w:type="column"/>
      </w:r>
      <w:r>
        <w:rPr>
          <w:sz w:val="20"/>
        </w:rPr>
        <w:t>Story, </w:t>
      </w:r>
      <w:r>
        <w:rPr>
          <w:rFonts w:ascii="Arial"/>
          <w:i/>
          <w:sz w:val="20"/>
        </w:rPr>
        <w:t>Equitable Jurisprudence</w:t>
      </w:r>
      <w:r>
        <w:rPr>
          <w:sz w:val="20"/>
        </w:rPr>
        <w:t>, para.1316. The assessment of damages is according to common law; there is no equitable rule on damages where a clause has been held to be penal: </w:t>
      </w:r>
      <w:r>
        <w:rPr>
          <w:rFonts w:ascii="Arial"/>
          <w:i/>
          <w:sz w:val="20"/>
        </w:rPr>
        <w:t>AMEV-UDC Finance Ltd v Austin (1986) 60 A.L.J.R. 741</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5408">
            <wp:simplePos x="0" y="0"/>
            <wp:positionH relativeFrom="page">
              <wp:posOffset>1257846</wp:posOffset>
            </wp:positionH>
            <wp:positionV relativeFrom="paragraph">
              <wp:posOffset>160601</wp:posOffset>
            </wp:positionV>
            <wp:extent cx="107988" cy="107988"/>
            <wp:effectExtent l="0" t="0" r="0" b="0"/>
            <wp:wrapNone/>
            <wp:docPr id="445" name="Image 445"/>
            <wp:cNvGraphicFramePr>
              <a:graphicFrameLocks/>
            </wp:cNvGraphicFramePr>
            <a:graphic>
              <a:graphicData uri="http://schemas.openxmlformats.org/drawingml/2006/picture">
                <pic:pic>
                  <pic:nvPicPr>
                    <pic:cNvPr id="445" name="Image 4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5" w:id="1877"/>
      <w:bookmarkEnd w:id="1877"/>
      <w:r>
        <w:rPr/>
      </w:r>
      <w:hyperlink w:history="true" w:anchor="_bookmark1834">
        <w:r>
          <w:rPr>
            <w:color w:val="005DA1"/>
            <w:spacing w:val="-4"/>
            <w:sz w:val="14"/>
            <w:u w:val="single" w:color="005DA1"/>
          </w:rPr>
          <w:t>975</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Jobson v Johnson [1989] 1 W.L.R. 1026, 1040 </w:t>
      </w:r>
      <w:r>
        <w:rPr>
          <w:sz w:val="20"/>
        </w:rPr>
        <w:t>(see also at 1038, 1039–1042, 1049). (cf. however, the dictum in </w:t>
      </w:r>
      <w:r>
        <w:rPr>
          <w:rFonts w:ascii="Arial" w:hAnsi="Arial"/>
          <w:i/>
          <w:sz w:val="20"/>
        </w:rPr>
        <w:t>Scandinavian Trading Tanker Co AB v Flota Petrolera Ecuatoriana </w:t>
      </w:r>
      <w:r>
        <w:rPr>
          <w:rFonts w:ascii="Arial" w:hAnsi="Arial"/>
          <w:i/>
          <w:sz w:val="20"/>
        </w:rPr>
        <w:t>(The Scaptrade) [1983] 2 A.C. 694, 702</w:t>
      </w:r>
      <w:r>
        <w:rPr>
          <w:sz w:val="20"/>
        </w:rPr>
        <w:t>). (“The classic form of relief against such a penalty clause has been to refuse to give effect to it, but to award the common law measure of damages for</w:t>
      </w:r>
      <w:r>
        <w:rPr>
          <w:spacing w:val="40"/>
          <w:sz w:val="20"/>
        </w:rPr>
        <w:t> </w:t>
      </w:r>
      <w:r>
        <w:rPr>
          <w:sz w:val="20"/>
        </w:rPr>
        <w:t>the</w:t>
      </w:r>
      <w:r>
        <w:rPr>
          <w:spacing w:val="-1"/>
          <w:sz w:val="20"/>
        </w:rPr>
        <w:t> </w:t>
      </w:r>
      <w:r>
        <w:rPr>
          <w:sz w:val="20"/>
        </w:rPr>
        <w:t>breach</w:t>
      </w:r>
      <w:r>
        <w:rPr>
          <w:spacing w:val="-1"/>
          <w:sz w:val="20"/>
        </w:rPr>
        <w:t> </w:t>
      </w:r>
      <w:r>
        <w:rPr>
          <w:sz w:val="20"/>
        </w:rPr>
        <w:t>of</w:t>
      </w:r>
      <w:r>
        <w:rPr>
          <w:spacing w:val="-1"/>
          <w:sz w:val="20"/>
        </w:rPr>
        <w:t> </w:t>
      </w:r>
      <w:r>
        <w:rPr>
          <w:sz w:val="20"/>
        </w:rPr>
        <w:t>the</w:t>
      </w:r>
      <w:r>
        <w:rPr>
          <w:spacing w:val="-1"/>
          <w:sz w:val="20"/>
        </w:rPr>
        <w:t> </w:t>
      </w:r>
      <w:r>
        <w:rPr>
          <w:sz w:val="20"/>
        </w:rPr>
        <w:t>primary</w:t>
      </w:r>
      <w:r>
        <w:rPr>
          <w:spacing w:val="-1"/>
          <w:sz w:val="20"/>
        </w:rPr>
        <w:t> </w:t>
      </w:r>
      <w:r>
        <w:rPr>
          <w:sz w:val="20"/>
        </w:rPr>
        <w:t>obligation</w:t>
      </w:r>
      <w:r>
        <w:rPr>
          <w:spacing w:val="-1"/>
          <w:sz w:val="20"/>
        </w:rPr>
        <w:t> </w:t>
      </w:r>
      <w:r>
        <w:rPr>
          <w:sz w:val="20"/>
        </w:rPr>
        <w:t>instead.”)</w:t>
      </w:r>
      <w:r>
        <w:rPr>
          <w:spacing w:val="-1"/>
          <w:sz w:val="20"/>
        </w:rPr>
        <w:t> </w:t>
      </w:r>
      <w:r>
        <w:rPr>
          <w:sz w:val="20"/>
        </w:rPr>
        <w:t>In</w:t>
      </w:r>
      <w:r>
        <w:rPr>
          <w:spacing w:val="-1"/>
          <w:sz w:val="20"/>
        </w:rPr>
        <w:t> </w:t>
      </w:r>
      <w:r>
        <w:rPr>
          <w:rFonts w:ascii="Arial" w:hAnsi="Arial"/>
          <w:i/>
          <w:sz w:val="20"/>
        </w:rPr>
        <w:t>Cavendish</w:t>
      </w:r>
      <w:r>
        <w:rPr>
          <w:rFonts w:ascii="Arial" w:hAnsi="Arial"/>
          <w:i/>
          <w:spacing w:val="-1"/>
          <w:sz w:val="20"/>
        </w:rPr>
        <w:t> </w:t>
      </w:r>
      <w:r>
        <w:rPr>
          <w:rFonts w:ascii="Arial" w:hAnsi="Arial"/>
          <w:i/>
          <w:sz w:val="20"/>
        </w:rPr>
        <w:t>Square</w:t>
      </w:r>
      <w:r>
        <w:rPr>
          <w:rFonts w:ascii="Arial" w:hAnsi="Arial"/>
          <w:i/>
          <w:spacing w:val="-1"/>
          <w:sz w:val="20"/>
        </w:rPr>
        <w:t> </w:t>
      </w:r>
      <w:r>
        <w:rPr>
          <w:rFonts w:ascii="Arial" w:hAnsi="Arial"/>
          <w:i/>
          <w:sz w:val="20"/>
        </w:rPr>
        <w:t>Holding</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Makdessi</w:t>
      </w:r>
      <w:r>
        <w:rPr>
          <w:rFonts w:ascii="Arial" w:hAnsi="Arial"/>
          <w:i/>
          <w:spacing w:val="-1"/>
          <w:sz w:val="20"/>
        </w:rPr>
        <w:t> </w:t>
      </w:r>
      <w:r>
        <w:rPr>
          <w:sz w:val="20"/>
        </w:rPr>
        <w:t>and </w:t>
      </w:r>
      <w:r>
        <w:rPr>
          <w:rFonts w:ascii="Arial" w:hAnsi="Arial"/>
          <w:i/>
          <w:sz w:val="20"/>
        </w:rPr>
        <w:t>ParkingEye Ltd v Beavis [2015] UKSC 67, [2016] A.C. 1172 Jobson v Johnson </w:t>
      </w:r>
      <w:r>
        <w:rPr>
          <w:sz w:val="20"/>
        </w:rPr>
        <w:t>was</w:t>
      </w:r>
      <w:r>
        <w:rPr>
          <w:spacing w:val="40"/>
          <w:sz w:val="20"/>
        </w:rPr>
        <w:t> </w:t>
      </w:r>
      <w:r>
        <w:rPr>
          <w:sz w:val="20"/>
        </w:rPr>
        <w:t>disapproved on other grounds, see below, para.26-216K. On whether the claimant may recover more than was provided for by the invalid penalty clause, see below, para.26-216L.</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5920">
            <wp:simplePos x="0" y="0"/>
            <wp:positionH relativeFrom="page">
              <wp:posOffset>1257846</wp:posOffset>
            </wp:positionH>
            <wp:positionV relativeFrom="paragraph">
              <wp:posOffset>160579</wp:posOffset>
            </wp:positionV>
            <wp:extent cx="107988" cy="107988"/>
            <wp:effectExtent l="0" t="0" r="0" b="0"/>
            <wp:wrapNone/>
            <wp:docPr id="446" name="Image 446"/>
            <wp:cNvGraphicFramePr>
              <a:graphicFrameLocks/>
            </wp:cNvGraphicFramePr>
            <a:graphic>
              <a:graphicData uri="http://schemas.openxmlformats.org/drawingml/2006/picture">
                <pic:pic>
                  <pic:nvPicPr>
                    <pic:cNvPr id="446" name="Image 4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6" w:id="1878"/>
      <w:bookmarkEnd w:id="1878"/>
      <w:r>
        <w:rPr/>
      </w:r>
      <w:hyperlink w:history="true" w:anchor="_bookmark1835">
        <w:r>
          <w:rPr>
            <w:color w:val="005DA1"/>
            <w:spacing w:val="-4"/>
            <w:sz w:val="14"/>
            <w:u w:val="single" w:color="005DA1"/>
          </w:rPr>
          <w:t>976</w:t>
        </w:r>
      </w:hyperlink>
      <w:r>
        <w:rPr>
          <w:spacing w:val="-4"/>
          <w:sz w:val="14"/>
        </w:rPr>
        <w:t>.</w:t>
      </w:r>
    </w:p>
    <w:p>
      <w:pPr>
        <w:pStyle w:val="BodyText"/>
        <w:spacing w:before="209"/>
        <w:ind w:left="335"/>
      </w:pPr>
      <w:r>
        <w:rPr/>
        <w:br w:type="column"/>
      </w:r>
      <w:r>
        <w:rPr/>
        <w:t>See</w:t>
      </w:r>
      <w:r>
        <w:rPr>
          <w:spacing w:val="42"/>
        </w:rPr>
        <w:t> </w:t>
      </w:r>
      <w:r>
        <w:rPr/>
        <w:t>the</w:t>
      </w:r>
      <w:r>
        <w:rPr>
          <w:spacing w:val="42"/>
        </w:rPr>
        <w:t> </w:t>
      </w:r>
      <w:r>
        <w:rPr/>
        <w:t>cases</w:t>
      </w:r>
      <w:r>
        <w:rPr>
          <w:spacing w:val="42"/>
        </w:rPr>
        <w:t> </w:t>
      </w:r>
      <w:r>
        <w:rPr/>
        <w:t>cited</w:t>
      </w:r>
      <w:r>
        <w:rPr>
          <w:spacing w:val="42"/>
        </w:rPr>
        <w:t> </w:t>
      </w:r>
      <w:r>
        <w:rPr/>
        <w:t>in</w:t>
      </w:r>
      <w:r>
        <w:rPr>
          <w:spacing w:val="42"/>
        </w:rPr>
        <w:t> </w:t>
      </w:r>
      <w:r>
        <w:rPr/>
        <w:t>Vol.I,</w:t>
      </w:r>
      <w:r>
        <w:rPr>
          <w:spacing w:val="42"/>
        </w:rPr>
        <w:t> </w:t>
      </w:r>
      <w:r>
        <w:rPr/>
        <w:t>para.26-007</w:t>
      </w:r>
      <w:r>
        <w:rPr>
          <w:spacing w:val="42"/>
        </w:rPr>
        <w:t> </w:t>
      </w:r>
      <w:r>
        <w:rPr/>
        <w:t>n.48.</w:t>
      </w:r>
      <w:r>
        <w:rPr>
          <w:spacing w:val="42"/>
        </w:rPr>
        <w:t> </w:t>
      </w:r>
      <w:r>
        <w:rPr/>
        <w:t>Agreed</w:t>
      </w:r>
      <w:r>
        <w:rPr>
          <w:spacing w:val="42"/>
        </w:rPr>
        <w:t> </w:t>
      </w:r>
      <w:r>
        <w:rPr/>
        <w:t>damages</w:t>
      </w:r>
      <w:r>
        <w:rPr>
          <w:spacing w:val="42"/>
        </w:rPr>
        <w:t> </w:t>
      </w:r>
      <w:r>
        <w:rPr/>
        <w:t>clauses</w:t>
      </w:r>
      <w:r>
        <w:rPr>
          <w:spacing w:val="42"/>
        </w:rPr>
        <w:t> </w:t>
      </w:r>
      <w:r>
        <w:rPr/>
        <w:t>do</w:t>
      </w:r>
      <w:r>
        <w:rPr>
          <w:spacing w:val="42"/>
        </w:rPr>
        <w:t> </w:t>
      </w:r>
      <w:r>
        <w:rPr/>
        <w:t>not</w:t>
      </w:r>
      <w:r>
        <w:rPr>
          <w:spacing w:val="42"/>
        </w:rPr>
        <w:t> </w:t>
      </w:r>
      <w:r>
        <w:rPr/>
        <w:t>bar</w:t>
      </w:r>
      <w:r>
        <w:rPr>
          <w:spacing w:val="42"/>
        </w:rPr>
        <w:t> </w:t>
      </w:r>
      <w:r>
        <w:rPr>
          <w:spacing w:val="-5"/>
        </w:rPr>
        <w:t>the</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106"/>
        <w:ind w:left="705"/>
      </w:pPr>
      <w:r>
        <w:rPr/>
        <w:t>remedy of rejection of the goods: Benjamin’s Sale of Goods, 9th edn (2014), </w:t>
      </w:r>
      <w:r>
        <w:rPr>
          <w:spacing w:val="-2"/>
        </w:rPr>
        <w:t>para.13–037.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877" w:id="1879"/>
      <w:bookmarkEnd w:id="1879"/>
      <w:r>
        <w:rPr/>
      </w:r>
      <w:hyperlink w:history="true" w:anchor="_bookmark1836">
        <w:r>
          <w:rPr>
            <w:color w:val="005DA1"/>
            <w:spacing w:val="-4"/>
            <w:sz w:val="14"/>
            <w:u w:val="single" w:color="005DA1"/>
          </w:rPr>
          <w:t>977</w:t>
        </w:r>
      </w:hyperlink>
      <w:r>
        <w:rPr>
          <w:spacing w:val="-4"/>
          <w:sz w:val="14"/>
        </w:rPr>
        <w:t>.</w:t>
      </w:r>
    </w:p>
    <w:p>
      <w:pPr>
        <w:pStyle w:val="BodyText"/>
        <w:spacing w:line="227" w:lineRule="exact" w:before="209"/>
        <w:ind w:left="335"/>
      </w:pPr>
      <w:r>
        <w:rPr/>
        <w:br w:type="column"/>
      </w:r>
      <w:r>
        <w:rPr/>
        <w:t>For</w:t>
      </w:r>
      <w:r>
        <w:rPr>
          <w:spacing w:val="19"/>
        </w:rPr>
        <w:t> </w:t>
      </w:r>
      <w:r>
        <w:rPr/>
        <w:t>an</w:t>
      </w:r>
      <w:r>
        <w:rPr>
          <w:spacing w:val="19"/>
        </w:rPr>
        <w:t> </w:t>
      </w:r>
      <w:r>
        <w:rPr/>
        <w:t>economic</w:t>
      </w:r>
      <w:r>
        <w:rPr>
          <w:spacing w:val="19"/>
        </w:rPr>
        <w:t> </w:t>
      </w:r>
      <w:r>
        <w:rPr/>
        <w:t>analysis</w:t>
      </w:r>
      <w:r>
        <w:rPr>
          <w:spacing w:val="19"/>
        </w:rPr>
        <w:t> </w:t>
      </w:r>
      <w:r>
        <w:rPr/>
        <w:t>of</w:t>
      </w:r>
      <w:r>
        <w:rPr>
          <w:spacing w:val="19"/>
        </w:rPr>
        <w:t> </w:t>
      </w:r>
      <w:r>
        <w:rPr/>
        <w:t>agreed</w:t>
      </w:r>
      <w:r>
        <w:rPr>
          <w:spacing w:val="19"/>
        </w:rPr>
        <w:t> </w:t>
      </w:r>
      <w:r>
        <w:rPr/>
        <w:t>damages</w:t>
      </w:r>
      <w:r>
        <w:rPr>
          <w:spacing w:val="19"/>
        </w:rPr>
        <w:t> </w:t>
      </w:r>
      <w:r>
        <w:rPr/>
        <w:t>clauses,</w:t>
      </w:r>
      <w:r>
        <w:rPr>
          <w:spacing w:val="19"/>
        </w:rPr>
        <w:t> </w:t>
      </w:r>
      <w:r>
        <w:rPr/>
        <w:t>see</w:t>
      </w:r>
      <w:r>
        <w:rPr>
          <w:spacing w:val="19"/>
        </w:rPr>
        <w:t> </w:t>
      </w:r>
      <w:r>
        <w:rPr/>
        <w:t>Goetz</w:t>
      </w:r>
      <w:r>
        <w:rPr>
          <w:spacing w:val="19"/>
        </w:rPr>
        <w:t> </w:t>
      </w:r>
      <w:r>
        <w:rPr/>
        <w:t>and</w:t>
      </w:r>
      <w:r>
        <w:rPr>
          <w:spacing w:val="19"/>
        </w:rPr>
        <w:t> </w:t>
      </w:r>
      <w:r>
        <w:rPr/>
        <w:t>Scott</w:t>
      </w:r>
      <w:r>
        <w:rPr>
          <w:spacing w:val="19"/>
        </w:rPr>
        <w:t> </w:t>
      </w:r>
      <w:r>
        <w:rPr/>
        <w:t>(1977)</w:t>
      </w:r>
      <w:r>
        <w:rPr>
          <w:spacing w:val="19"/>
        </w:rPr>
        <w:t> </w:t>
      </w:r>
      <w:r>
        <w:rPr/>
        <w:t>77</w:t>
      </w:r>
      <w:r>
        <w:rPr>
          <w:spacing w:val="19"/>
        </w:rPr>
        <w:t> </w:t>
      </w:r>
      <w:r>
        <w:rPr>
          <w:spacing w:val="-4"/>
        </w:rPr>
        <w:t>Col.</w:t>
      </w:r>
    </w:p>
    <w:p>
      <w:pPr>
        <w:spacing w:line="235" w:lineRule="auto" w:before="1"/>
        <w:ind w:left="165" w:right="0" w:firstLine="0"/>
        <w:jc w:val="left"/>
        <w:rPr>
          <w:sz w:val="20"/>
        </w:rPr>
      </w:pPr>
      <w:r>
        <w:rPr>
          <w:sz w:val="20"/>
        </w:rPr>
        <w:drawing>
          <wp:anchor distT="0" distB="0" distL="0" distR="0" allowOverlap="1" layoutInCell="1" locked="0" behindDoc="0" simplePos="0" relativeHeight="15826432">
            <wp:simplePos x="0" y="0"/>
            <wp:positionH relativeFrom="page">
              <wp:posOffset>1257846</wp:posOffset>
            </wp:positionH>
            <wp:positionV relativeFrom="paragraph">
              <wp:posOffset>-116640</wp:posOffset>
            </wp:positionV>
            <wp:extent cx="107988" cy="107988"/>
            <wp:effectExtent l="0" t="0" r="0" b="0"/>
            <wp:wrapNone/>
            <wp:docPr id="447" name="Image 447"/>
            <wp:cNvGraphicFramePr>
              <a:graphicFrameLocks/>
            </wp:cNvGraphicFramePr>
            <a:graphic>
              <a:graphicData uri="http://schemas.openxmlformats.org/drawingml/2006/picture">
                <pic:pic>
                  <pic:nvPicPr>
                    <pic:cNvPr id="447" name="Image 44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L.R. 554; Rea (1984) 13 J.Leg.Stud. 147. See also Harris, Campbell and Halson, </w:t>
      </w:r>
      <w:r>
        <w:rPr>
          <w:rFonts w:ascii="Arial"/>
          <w:i/>
          <w:sz w:val="20"/>
        </w:rPr>
        <w:t>Remedies in Contract and Tort</w:t>
      </w:r>
      <w:r>
        <w:rPr>
          <w:sz w:val="20"/>
        </w:rPr>
        <w:t>, 2nd edn (2002) at Ch.9.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6944">
            <wp:simplePos x="0" y="0"/>
            <wp:positionH relativeFrom="page">
              <wp:posOffset>1257846</wp:posOffset>
            </wp:positionH>
            <wp:positionV relativeFrom="paragraph">
              <wp:posOffset>160378</wp:posOffset>
            </wp:positionV>
            <wp:extent cx="107988" cy="107988"/>
            <wp:effectExtent l="0" t="0" r="0" b="0"/>
            <wp:wrapNone/>
            <wp:docPr id="448" name="Image 448"/>
            <wp:cNvGraphicFramePr>
              <a:graphicFrameLocks/>
            </wp:cNvGraphicFramePr>
            <a:graphic>
              <a:graphicData uri="http://schemas.openxmlformats.org/drawingml/2006/picture">
                <pic:pic>
                  <pic:nvPicPr>
                    <pic:cNvPr id="448" name="Image 4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8" w:id="1880"/>
      <w:bookmarkEnd w:id="1880"/>
      <w:r>
        <w:rPr/>
      </w:r>
      <w:hyperlink w:history="true" w:anchor="_bookmark1837">
        <w:r>
          <w:rPr>
            <w:color w:val="005DA1"/>
            <w:spacing w:val="-4"/>
            <w:sz w:val="14"/>
            <w:u w:val="single" w:color="005DA1"/>
          </w:rPr>
          <w:t>978</w:t>
        </w:r>
      </w:hyperlink>
      <w:r>
        <w:rPr>
          <w:spacing w:val="-4"/>
          <w:sz w:val="14"/>
        </w:rPr>
        <w:t>.</w:t>
      </w:r>
    </w:p>
    <w:p>
      <w:pPr>
        <w:spacing w:line="235" w:lineRule="auto" w:before="212"/>
        <w:ind w:left="165" w:right="167" w:firstLine="170"/>
        <w:jc w:val="both"/>
        <w:rPr>
          <w:sz w:val="20"/>
        </w:rPr>
      </w:pPr>
      <w:r>
        <w:rPr/>
        <w:br w:type="column"/>
      </w:r>
      <w:r>
        <w:rPr>
          <w:rFonts w:ascii="Arial"/>
          <w:i/>
          <w:sz w:val="20"/>
        </w:rPr>
        <w:t>Clydebank Engineering &amp; Shipbuilding Co Ltd v Don Jose Ramos Yzquierdo y Castaneda [1905] A.C. 6, 11</w:t>
      </w:r>
      <w:r>
        <w:rPr>
          <w:sz w:val="20"/>
        </w:rPr>
        <w:t>. Even where the consequences of a breach are precisely ascertainable after the event, a sum reserved by the contract may be intended by the parties as an </w:t>
      </w:r>
      <w:r>
        <w:rPr>
          <w:sz w:val="20"/>
        </w:rPr>
        <w:t>agreed</w:t>
      </w:r>
      <w:r>
        <w:rPr>
          <w:spacing w:val="40"/>
          <w:sz w:val="20"/>
        </w:rPr>
        <w:t> </w:t>
      </w:r>
      <w:r>
        <w:rPr>
          <w:sz w:val="20"/>
        </w:rPr>
        <w:t>estimate of damage in order to avoid the expense and difficulty of assessment: </w:t>
      </w:r>
      <w:r>
        <w:rPr>
          <w:rFonts w:ascii="Arial"/>
          <w:i/>
          <w:sz w:val="20"/>
        </w:rPr>
        <w:t>Diestal v Stevenson [1906] 2 K.B. 345</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7456">
            <wp:simplePos x="0" y="0"/>
            <wp:positionH relativeFrom="page">
              <wp:posOffset>1257846</wp:posOffset>
            </wp:positionH>
            <wp:positionV relativeFrom="paragraph">
              <wp:posOffset>160446</wp:posOffset>
            </wp:positionV>
            <wp:extent cx="107988" cy="107988"/>
            <wp:effectExtent l="0" t="0" r="0" b="0"/>
            <wp:wrapNone/>
            <wp:docPr id="449" name="Image 449"/>
            <wp:cNvGraphicFramePr>
              <a:graphicFrameLocks/>
            </wp:cNvGraphicFramePr>
            <a:graphic>
              <a:graphicData uri="http://schemas.openxmlformats.org/drawingml/2006/picture">
                <pic:pic>
                  <pic:nvPicPr>
                    <pic:cNvPr id="449" name="Image 4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79" w:id="1881"/>
      <w:bookmarkEnd w:id="1881"/>
      <w:r>
        <w:rPr/>
      </w:r>
      <w:hyperlink w:history="true" w:anchor="_bookmark1838">
        <w:r>
          <w:rPr>
            <w:color w:val="005DA1"/>
            <w:spacing w:val="-4"/>
            <w:sz w:val="14"/>
            <w:u w:val="single" w:color="005DA1"/>
          </w:rPr>
          <w:t>979</w:t>
        </w:r>
      </w:hyperlink>
      <w:r>
        <w:rPr>
          <w:spacing w:val="-4"/>
          <w:sz w:val="14"/>
        </w:rPr>
        <w:t>.</w:t>
      </w:r>
    </w:p>
    <w:p>
      <w:pPr>
        <w:spacing w:line="235" w:lineRule="auto" w:before="212"/>
        <w:ind w:left="165" w:right="168" w:firstLine="170"/>
        <w:jc w:val="left"/>
        <w:rPr>
          <w:sz w:val="20"/>
        </w:rPr>
      </w:pPr>
      <w:r>
        <w:rPr/>
        <w:br w:type="column"/>
      </w:r>
      <w:r>
        <w:rPr>
          <w:rFonts w:ascii="Arial" w:hAnsi="Arial"/>
          <w:i/>
          <w:sz w:val="20"/>
        </w:rPr>
        <w:t>Robophone</w:t>
      </w:r>
      <w:r>
        <w:rPr>
          <w:rFonts w:ascii="Arial" w:hAnsi="Arial"/>
          <w:i/>
          <w:spacing w:val="40"/>
          <w:sz w:val="20"/>
        </w:rPr>
        <w:t> </w:t>
      </w:r>
      <w:r>
        <w:rPr>
          <w:rFonts w:ascii="Arial" w:hAnsi="Arial"/>
          <w:i/>
          <w:sz w:val="20"/>
        </w:rPr>
        <w:t>Facilities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Blank</w:t>
      </w:r>
      <w:r>
        <w:rPr>
          <w:rFonts w:ascii="Arial" w:hAnsi="Arial"/>
          <w:i/>
          <w:spacing w:val="40"/>
          <w:sz w:val="20"/>
        </w:rPr>
        <w:t> </w:t>
      </w:r>
      <w:r>
        <w:rPr>
          <w:rFonts w:ascii="Arial" w:hAnsi="Arial"/>
          <w:i/>
          <w:sz w:val="20"/>
        </w:rPr>
        <w:t>[1966]</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1428,</w:t>
      </w:r>
      <w:r>
        <w:rPr>
          <w:rFonts w:ascii="Arial" w:hAnsi="Arial"/>
          <w:i/>
          <w:spacing w:val="40"/>
          <w:sz w:val="20"/>
        </w:rPr>
        <w:t> </w:t>
      </w:r>
      <w:r>
        <w:rPr>
          <w:rFonts w:ascii="Arial" w:hAnsi="Arial"/>
          <w:i/>
          <w:sz w:val="20"/>
        </w:rPr>
        <w:t>1447–1448</w:t>
      </w:r>
      <w:r>
        <w:rPr>
          <w:sz w:val="20"/>
        </w:rPr>
        <w:t>.</w:t>
      </w:r>
      <w:r>
        <w:rPr>
          <w:spacing w:val="40"/>
          <w:sz w:val="20"/>
        </w:rPr>
        <w:t> </w:t>
      </w:r>
      <w:r>
        <w:rPr>
          <w:sz w:val="20"/>
        </w:rPr>
        <w:t>See</w:t>
      </w:r>
      <w:r>
        <w:rPr>
          <w:spacing w:val="40"/>
          <w:sz w:val="20"/>
        </w:rPr>
        <w:t> </w:t>
      </w:r>
      <w:r>
        <w:rPr>
          <w:sz w:val="20"/>
        </w:rPr>
        <w:t>further</w:t>
      </w:r>
      <w:r>
        <w:rPr>
          <w:spacing w:val="40"/>
          <w:sz w:val="20"/>
        </w:rPr>
        <w:t> </w:t>
      </w:r>
      <w:r>
        <w:rPr>
          <w:sz w:val="20"/>
        </w:rPr>
        <w:t>below, </w:t>
      </w:r>
      <w:r>
        <w:rPr>
          <w:spacing w:val="-2"/>
          <w:sz w:val="20"/>
        </w:rPr>
        <w:t>para.26-186.</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7968">
            <wp:simplePos x="0" y="0"/>
            <wp:positionH relativeFrom="page">
              <wp:posOffset>1257846</wp:posOffset>
            </wp:positionH>
            <wp:positionV relativeFrom="paragraph">
              <wp:posOffset>160604</wp:posOffset>
            </wp:positionV>
            <wp:extent cx="107988" cy="107988"/>
            <wp:effectExtent l="0" t="0" r="0" b="0"/>
            <wp:wrapNone/>
            <wp:docPr id="450" name="Image 450"/>
            <wp:cNvGraphicFramePr>
              <a:graphicFrameLocks/>
            </wp:cNvGraphicFramePr>
            <a:graphic>
              <a:graphicData uri="http://schemas.openxmlformats.org/drawingml/2006/picture">
                <pic:pic>
                  <pic:nvPicPr>
                    <pic:cNvPr id="450" name="Image 4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0" w:id="1882"/>
      <w:bookmarkEnd w:id="1882"/>
      <w:r>
        <w:rPr/>
      </w:r>
      <w:hyperlink w:history="true" w:anchor="_bookmark1839">
        <w:r>
          <w:rPr>
            <w:color w:val="005DA1"/>
            <w:spacing w:val="-4"/>
            <w:sz w:val="14"/>
            <w:u w:val="single" w:color="005DA1"/>
          </w:rPr>
          <w:t>980</w:t>
        </w:r>
      </w:hyperlink>
      <w:r>
        <w:rPr>
          <w:spacing w:val="-4"/>
          <w:sz w:val="14"/>
        </w:rPr>
        <w:t>.</w:t>
      </w:r>
    </w:p>
    <w:p>
      <w:pPr>
        <w:pStyle w:val="BodyText"/>
        <w:spacing w:line="235" w:lineRule="auto" w:before="212"/>
        <w:ind w:left="165" w:right="167" w:firstLine="170"/>
        <w:jc w:val="both"/>
      </w:pPr>
      <w:r>
        <w:rPr/>
        <w:br w:type="column"/>
      </w:r>
      <w:r>
        <w:rPr/>
        <w:t>The clause may also operate as a limitation on liability: below, para.26-180. The traditional legal test, which was restricted to expected </w:t>
      </w:r>
      <w:r>
        <w:rPr>
          <w:rFonts w:ascii="Arial" w:hAnsi="Arial"/>
          <w:i/>
        </w:rPr>
        <w:t>loss</w:t>
      </w:r>
      <w:r>
        <w:rPr/>
        <w:t>, did not permit the promisee to justify the sum fixed as a reasonable incentive to the promisor to perform his promise, nor as a disincentive to the promisor not to commit a </w:t>
      </w:r>
      <w:r>
        <w:rPr>
          <w:rFonts w:ascii="Arial" w:hAnsi="Arial"/>
          <w:i/>
        </w:rPr>
        <w:t>deliberate </w:t>
      </w:r>
      <w:r>
        <w:rPr/>
        <w:t>breach (see Harris, Campbell and Halson at pp.136–139); but giving an incentive to perform or deterring breach is now accepted </w:t>
      </w:r>
      <w:r>
        <w:rPr/>
        <w:t>as legitimate if the party to whom the sum must be paid has a legitimate interest is securing performance rather than relying on damages. See below, para.26-197.</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8480">
            <wp:simplePos x="0" y="0"/>
            <wp:positionH relativeFrom="page">
              <wp:posOffset>1257846</wp:posOffset>
            </wp:positionH>
            <wp:positionV relativeFrom="paragraph">
              <wp:posOffset>160189</wp:posOffset>
            </wp:positionV>
            <wp:extent cx="107988" cy="107988"/>
            <wp:effectExtent l="0" t="0" r="0" b="0"/>
            <wp:wrapNone/>
            <wp:docPr id="451" name="Image 451"/>
            <wp:cNvGraphicFramePr>
              <a:graphicFrameLocks/>
            </wp:cNvGraphicFramePr>
            <a:graphic>
              <a:graphicData uri="http://schemas.openxmlformats.org/drawingml/2006/picture">
                <pic:pic>
                  <pic:nvPicPr>
                    <pic:cNvPr id="451" name="Image 4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1" w:id="1883"/>
      <w:bookmarkEnd w:id="1883"/>
      <w:r>
        <w:rPr/>
      </w:r>
      <w:hyperlink w:history="true" w:anchor="_bookmark1840">
        <w:r>
          <w:rPr>
            <w:color w:val="005DA1"/>
            <w:spacing w:val="-4"/>
            <w:sz w:val="14"/>
            <w:u w:val="single" w:color="005DA1"/>
          </w:rPr>
          <w:t>981</w:t>
        </w:r>
      </w:hyperlink>
      <w:r>
        <w:rPr>
          <w:spacing w:val="-4"/>
          <w:sz w:val="14"/>
        </w:rPr>
        <w:t>.</w:t>
      </w:r>
    </w:p>
    <w:p>
      <w:pPr>
        <w:spacing w:line="235" w:lineRule="auto" w:before="212"/>
        <w:ind w:left="165" w:right="0" w:firstLine="170"/>
        <w:jc w:val="left"/>
        <w:rPr>
          <w:sz w:val="20"/>
        </w:rPr>
      </w:pPr>
      <w:r>
        <w:rPr/>
        <w:br w:type="column"/>
      </w:r>
      <w:r>
        <w:rPr>
          <w:rFonts w:ascii="Arial"/>
          <w:i/>
          <w:sz w:val="20"/>
        </w:rPr>
        <w:t>Cavendish</w:t>
      </w:r>
      <w:r>
        <w:rPr>
          <w:rFonts w:ascii="Arial"/>
          <w:i/>
          <w:spacing w:val="26"/>
          <w:sz w:val="20"/>
        </w:rPr>
        <w:t> </w:t>
      </w:r>
      <w:r>
        <w:rPr>
          <w:rFonts w:ascii="Arial"/>
          <w:i/>
          <w:sz w:val="20"/>
        </w:rPr>
        <w:t>Square</w:t>
      </w:r>
      <w:r>
        <w:rPr>
          <w:rFonts w:ascii="Arial"/>
          <w:i/>
          <w:spacing w:val="26"/>
          <w:sz w:val="20"/>
        </w:rPr>
        <w:t> </w:t>
      </w:r>
      <w:r>
        <w:rPr>
          <w:rFonts w:ascii="Arial"/>
          <w:i/>
          <w:sz w:val="20"/>
        </w:rPr>
        <w:t>Holding</w:t>
      </w:r>
      <w:r>
        <w:rPr>
          <w:rFonts w:ascii="Arial"/>
          <w:i/>
          <w:spacing w:val="26"/>
          <w:sz w:val="20"/>
        </w:rPr>
        <w:t> </w:t>
      </w:r>
      <w:r>
        <w:rPr>
          <w:rFonts w:ascii="Arial"/>
          <w:i/>
          <w:sz w:val="20"/>
        </w:rPr>
        <w:t>BV</w:t>
      </w:r>
      <w:r>
        <w:rPr>
          <w:rFonts w:ascii="Arial"/>
          <w:i/>
          <w:spacing w:val="26"/>
          <w:sz w:val="20"/>
        </w:rPr>
        <w:t> </w:t>
      </w:r>
      <w:r>
        <w:rPr>
          <w:rFonts w:ascii="Arial"/>
          <w:i/>
          <w:sz w:val="20"/>
        </w:rPr>
        <w:t>v</w:t>
      </w:r>
      <w:r>
        <w:rPr>
          <w:rFonts w:ascii="Arial"/>
          <w:i/>
          <w:spacing w:val="26"/>
          <w:sz w:val="20"/>
        </w:rPr>
        <w:t> </w:t>
      </w:r>
      <w:r>
        <w:rPr>
          <w:rFonts w:ascii="Arial"/>
          <w:i/>
          <w:sz w:val="20"/>
        </w:rPr>
        <w:t>Makdessi</w:t>
      </w:r>
      <w:r>
        <w:rPr>
          <w:rFonts w:ascii="Arial"/>
          <w:i/>
          <w:spacing w:val="25"/>
          <w:sz w:val="20"/>
        </w:rPr>
        <w:t> </w:t>
      </w:r>
      <w:r>
        <w:rPr>
          <w:sz w:val="20"/>
        </w:rPr>
        <w:t>and</w:t>
      </w:r>
      <w:r>
        <w:rPr>
          <w:spacing w:val="26"/>
          <w:sz w:val="20"/>
        </w:rPr>
        <w:t> </w:t>
      </w:r>
      <w:r>
        <w:rPr>
          <w:rFonts w:ascii="Arial"/>
          <w:i/>
          <w:sz w:val="20"/>
        </w:rPr>
        <w:t>ParkingEye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Beavis</w:t>
      </w:r>
      <w:r>
        <w:rPr>
          <w:rFonts w:ascii="Arial"/>
          <w:i/>
          <w:spacing w:val="26"/>
          <w:sz w:val="20"/>
        </w:rPr>
        <w:t> </w:t>
      </w:r>
      <w:r>
        <w:rPr>
          <w:rFonts w:ascii="Arial"/>
          <w:i/>
          <w:sz w:val="20"/>
        </w:rPr>
        <w:t>[2015]</w:t>
      </w:r>
      <w:r>
        <w:rPr>
          <w:rFonts w:ascii="Arial"/>
          <w:i/>
          <w:spacing w:val="26"/>
          <w:sz w:val="20"/>
        </w:rPr>
        <w:t> </w:t>
      </w:r>
      <w:r>
        <w:rPr>
          <w:rFonts w:ascii="Arial"/>
          <w:i/>
          <w:sz w:val="20"/>
        </w:rPr>
        <w:t>UKSC</w:t>
      </w:r>
      <w:r>
        <w:rPr>
          <w:rFonts w:ascii="Arial"/>
          <w:i/>
          <w:spacing w:val="26"/>
          <w:sz w:val="20"/>
        </w:rPr>
        <w:t> </w:t>
      </w:r>
      <w:r>
        <w:rPr>
          <w:rFonts w:ascii="Arial"/>
          <w:i/>
          <w:sz w:val="20"/>
        </w:rPr>
        <w:t>67, [2016] A.C. 1172</w:t>
      </w:r>
      <w:r>
        <w:rPr>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882" w:id="1884"/>
      <w:bookmarkEnd w:id="1884"/>
      <w:r>
        <w:rPr/>
      </w:r>
      <w:hyperlink w:history="true" w:anchor="_bookmark1841">
        <w:r>
          <w:rPr>
            <w:color w:val="005DA1"/>
            <w:spacing w:val="-4"/>
            <w:sz w:val="14"/>
            <w:u w:val="single" w:color="005DA1"/>
          </w:rPr>
          <w:t>982</w:t>
        </w:r>
      </w:hyperlink>
      <w:r>
        <w:rPr>
          <w:spacing w:val="-4"/>
          <w:sz w:val="14"/>
        </w:rPr>
        <w:t>.</w:t>
      </w:r>
    </w:p>
    <w:p>
      <w:pPr>
        <w:spacing w:before="208"/>
        <w:ind w:left="335" w:right="0" w:firstLine="0"/>
        <w:jc w:val="left"/>
        <w:rPr>
          <w:sz w:val="20"/>
        </w:rPr>
      </w:pPr>
      <w:r>
        <w:rPr/>
        <w:br w:type="column"/>
      </w:r>
      <w:r>
        <w:rPr>
          <w:sz w:val="20"/>
        </w:rPr>
        <w:t>e.g. </w:t>
      </w:r>
      <w:r>
        <w:rPr>
          <w:rFonts w:ascii="Arial"/>
          <w:i/>
          <w:sz w:val="20"/>
        </w:rPr>
        <w:t>Aktieselskabet Reidar v Arcos Ltd [1927] 1 K.B. </w:t>
      </w:r>
      <w:r>
        <w:rPr>
          <w:rFonts w:ascii="Arial"/>
          <w:i/>
          <w:spacing w:val="-4"/>
          <w:sz w:val="20"/>
        </w:rPr>
        <w:t>352</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8992">
            <wp:simplePos x="0" y="0"/>
            <wp:positionH relativeFrom="page">
              <wp:posOffset>1257846</wp:posOffset>
            </wp:positionH>
            <wp:positionV relativeFrom="paragraph">
              <wp:posOffset>-211106</wp:posOffset>
            </wp:positionV>
            <wp:extent cx="107988" cy="107988"/>
            <wp:effectExtent l="0" t="0" r="0" b="0"/>
            <wp:wrapNone/>
            <wp:docPr id="452" name="Image 452"/>
            <wp:cNvGraphicFramePr>
              <a:graphicFrameLocks/>
            </wp:cNvGraphicFramePr>
            <a:graphic>
              <a:graphicData uri="http://schemas.openxmlformats.org/drawingml/2006/picture">
                <pic:pic>
                  <pic:nvPicPr>
                    <pic:cNvPr id="452" name="Image 452"/>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29504">
            <wp:simplePos x="0" y="0"/>
            <wp:positionH relativeFrom="page">
              <wp:posOffset>1257846</wp:posOffset>
            </wp:positionH>
            <wp:positionV relativeFrom="paragraph">
              <wp:posOffset>160368</wp:posOffset>
            </wp:positionV>
            <wp:extent cx="107988" cy="107988"/>
            <wp:effectExtent l="0" t="0" r="0" b="0"/>
            <wp:wrapNone/>
            <wp:docPr id="453" name="Image 453"/>
            <wp:cNvGraphicFramePr>
              <a:graphicFrameLocks/>
            </wp:cNvGraphicFramePr>
            <a:graphic>
              <a:graphicData uri="http://schemas.openxmlformats.org/drawingml/2006/picture">
                <pic:pic>
                  <pic:nvPicPr>
                    <pic:cNvPr id="453" name="Image 4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3" w:id="1885"/>
      <w:bookmarkEnd w:id="1885"/>
      <w:r>
        <w:rPr/>
      </w:r>
      <w:hyperlink w:history="true" w:anchor="_bookmark1842">
        <w:r>
          <w:rPr>
            <w:color w:val="005DA1"/>
            <w:spacing w:val="-4"/>
            <w:sz w:val="14"/>
            <w:u w:val="single" w:color="005DA1"/>
          </w:rPr>
          <w:t>983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Cellulose Acetate Silk Co Ltd v Widnes Foundry (1925) Ltd [1933] A.C. 20</w:t>
      </w:r>
      <w:r>
        <w:rPr>
          <w:sz w:val="20"/>
        </w:rPr>
        <w:t>; </w:t>
      </w:r>
      <w:r>
        <w:rPr>
          <w:rFonts w:ascii="Arial" w:hAnsi="Arial"/>
          <w:i/>
          <w:sz w:val="20"/>
        </w:rPr>
        <w:t>Tullett </w:t>
      </w:r>
      <w:r>
        <w:rPr>
          <w:rFonts w:ascii="Arial" w:hAnsi="Arial"/>
          <w:i/>
          <w:sz w:val="20"/>
        </w:rPr>
        <w:t>Prebon Group Ltd v El-Hajjali [2008] EWHC 1924 (QB), [2008] I.R.L.R. 760 </w:t>
      </w:r>
      <w:r>
        <w:rPr>
          <w:sz w:val="20"/>
        </w:rPr>
        <w:t>at [83] (“a significantly smaller stipulated sum than the probable damages would be most unlikely to render a clause a penalty clause, though each case has to be decided on its own individual facts”).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84" w:id="1886"/>
      <w:bookmarkEnd w:id="1886"/>
      <w:r>
        <w:rPr/>
      </w:r>
      <w:hyperlink w:history="true" w:anchor="_bookmark1843">
        <w:r>
          <w:rPr>
            <w:color w:val="005DA1"/>
            <w:spacing w:val="-4"/>
            <w:sz w:val="14"/>
            <w:u w:val="single" w:color="005DA1"/>
          </w:rPr>
          <w:t>984</w:t>
        </w:r>
      </w:hyperlink>
      <w:r>
        <w:rPr>
          <w:spacing w:val="-4"/>
          <w:sz w:val="14"/>
        </w:rPr>
        <w:t>.</w:t>
      </w:r>
    </w:p>
    <w:p>
      <w:pPr>
        <w:pStyle w:val="BodyText"/>
        <w:spacing w:line="227" w:lineRule="exact" w:before="209"/>
        <w:ind w:left="335"/>
      </w:pPr>
      <w:r>
        <w:rPr/>
        <w:br w:type="column"/>
      </w:r>
      <w:r>
        <w:rPr/>
        <w:t>cf.</w:t>
      </w:r>
      <w:r>
        <w:rPr>
          <w:spacing w:val="2"/>
        </w:rPr>
        <w:t> </w:t>
      </w:r>
      <w:r>
        <w:rPr/>
        <w:t>the</w:t>
      </w:r>
      <w:r>
        <w:rPr>
          <w:spacing w:val="2"/>
        </w:rPr>
        <w:t> </w:t>
      </w:r>
      <w:r>
        <w:rPr/>
        <w:t>rule</w:t>
      </w:r>
      <w:r>
        <w:rPr>
          <w:spacing w:val="2"/>
        </w:rPr>
        <w:t> </w:t>
      </w:r>
      <w:r>
        <w:rPr/>
        <w:t>that</w:t>
      </w:r>
      <w:r>
        <w:rPr>
          <w:spacing w:val="2"/>
        </w:rPr>
        <w:t> </w:t>
      </w:r>
      <w:r>
        <w:rPr/>
        <w:t>the</w:t>
      </w:r>
      <w:r>
        <w:rPr>
          <w:spacing w:val="2"/>
        </w:rPr>
        <w:t> </w:t>
      </w:r>
      <w:r>
        <w:rPr/>
        <w:t>effect</w:t>
      </w:r>
      <w:r>
        <w:rPr>
          <w:spacing w:val="2"/>
        </w:rPr>
        <w:t> </w:t>
      </w:r>
      <w:r>
        <w:rPr/>
        <w:t>of</w:t>
      </w:r>
      <w:r>
        <w:rPr>
          <w:spacing w:val="2"/>
        </w:rPr>
        <w:t> </w:t>
      </w:r>
      <w:r>
        <w:rPr/>
        <w:t>an</w:t>
      </w:r>
      <w:r>
        <w:rPr>
          <w:spacing w:val="2"/>
        </w:rPr>
        <w:t> </w:t>
      </w:r>
      <w:r>
        <w:rPr/>
        <w:t>exemption</w:t>
      </w:r>
      <w:r>
        <w:rPr>
          <w:spacing w:val="2"/>
        </w:rPr>
        <w:t> </w:t>
      </w:r>
      <w:r>
        <w:rPr/>
        <w:t>clause</w:t>
      </w:r>
      <w:r>
        <w:rPr>
          <w:spacing w:val="2"/>
        </w:rPr>
        <w:t> </w:t>
      </w:r>
      <w:r>
        <w:rPr/>
        <w:t>depends</w:t>
      </w:r>
      <w:r>
        <w:rPr>
          <w:spacing w:val="2"/>
        </w:rPr>
        <w:t> </w:t>
      </w:r>
      <w:r>
        <w:rPr/>
        <w:t>on</w:t>
      </w:r>
      <w:r>
        <w:rPr>
          <w:spacing w:val="2"/>
        </w:rPr>
        <w:t> </w:t>
      </w:r>
      <w:r>
        <w:rPr/>
        <w:t>the</w:t>
      </w:r>
      <w:r>
        <w:rPr>
          <w:spacing w:val="2"/>
        </w:rPr>
        <w:t> </w:t>
      </w:r>
      <w:r>
        <w:rPr/>
        <w:t>construction</w:t>
      </w:r>
      <w:r>
        <w:rPr>
          <w:spacing w:val="2"/>
        </w:rPr>
        <w:t> </w:t>
      </w:r>
      <w:r>
        <w:rPr/>
        <w:t>of</w:t>
      </w:r>
      <w:r>
        <w:rPr>
          <w:spacing w:val="2"/>
        </w:rPr>
        <w:t> </w:t>
      </w:r>
      <w:r>
        <w:rPr/>
        <w:t>the</w:t>
      </w:r>
      <w:r>
        <w:rPr>
          <w:spacing w:val="2"/>
        </w:rPr>
        <w:t> </w:t>
      </w:r>
      <w:r>
        <w:rPr>
          <w:spacing w:val="-2"/>
        </w:rPr>
        <w:t>contract:</w:t>
      </w:r>
    </w:p>
    <w:p>
      <w:pPr>
        <w:spacing w:line="225" w:lineRule="exact" w:before="0"/>
        <w:ind w:left="165" w:right="0" w:firstLine="0"/>
        <w:jc w:val="left"/>
        <w:rPr>
          <w:rFonts w:ascii="Arial" w:hAnsi="Arial"/>
          <w:i/>
          <w:sz w:val="20"/>
        </w:rPr>
      </w:pPr>
      <w:r>
        <w:rPr>
          <w:rFonts w:ascii="Arial" w:hAnsi="Arial"/>
          <w:i/>
          <w:sz w:val="20"/>
        </w:rPr>
        <w:drawing>
          <wp:anchor distT="0" distB="0" distL="0" distR="0" allowOverlap="1" layoutInCell="1" locked="0" behindDoc="0" simplePos="0" relativeHeight="15830016">
            <wp:simplePos x="0" y="0"/>
            <wp:positionH relativeFrom="page">
              <wp:posOffset>1257846</wp:posOffset>
            </wp:positionH>
            <wp:positionV relativeFrom="paragraph">
              <wp:posOffset>-116493</wp:posOffset>
            </wp:positionV>
            <wp:extent cx="107988" cy="107988"/>
            <wp:effectExtent l="0" t="0" r="0" b="0"/>
            <wp:wrapNone/>
            <wp:docPr id="454" name="Image 454"/>
            <wp:cNvGraphicFramePr>
              <a:graphicFrameLocks/>
            </wp:cNvGraphicFramePr>
            <a:graphic>
              <a:graphicData uri="http://schemas.openxmlformats.org/drawingml/2006/picture">
                <pic:pic>
                  <pic:nvPicPr>
                    <pic:cNvPr id="454" name="Image 45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Suisse</w:t>
      </w:r>
      <w:r>
        <w:rPr>
          <w:rFonts w:ascii="Arial" w:hAnsi="Arial"/>
          <w:i/>
          <w:spacing w:val="17"/>
          <w:sz w:val="20"/>
        </w:rPr>
        <w:t> </w:t>
      </w:r>
      <w:r>
        <w:rPr>
          <w:rFonts w:ascii="Arial" w:hAnsi="Arial"/>
          <w:i/>
          <w:sz w:val="20"/>
        </w:rPr>
        <w:t>Atlantique</w:t>
      </w:r>
      <w:r>
        <w:rPr>
          <w:rFonts w:ascii="Arial" w:hAnsi="Arial"/>
          <w:i/>
          <w:spacing w:val="17"/>
          <w:sz w:val="20"/>
        </w:rPr>
        <w:t> </w:t>
      </w:r>
      <w:r>
        <w:rPr>
          <w:rFonts w:ascii="Arial" w:hAnsi="Arial"/>
          <w:i/>
          <w:sz w:val="20"/>
        </w:rPr>
        <w:t>Société</w:t>
      </w:r>
      <w:r>
        <w:rPr>
          <w:rFonts w:ascii="Arial" w:hAnsi="Arial"/>
          <w:i/>
          <w:spacing w:val="17"/>
          <w:sz w:val="20"/>
        </w:rPr>
        <w:t> </w:t>
      </w:r>
      <w:r>
        <w:rPr>
          <w:rFonts w:ascii="Arial" w:hAnsi="Arial"/>
          <w:i/>
          <w:sz w:val="20"/>
        </w:rPr>
        <w:t>d’Armement</w:t>
      </w:r>
      <w:r>
        <w:rPr>
          <w:rFonts w:ascii="Arial" w:hAnsi="Arial"/>
          <w:i/>
          <w:spacing w:val="17"/>
          <w:sz w:val="20"/>
        </w:rPr>
        <w:t> </w:t>
      </w:r>
      <w:r>
        <w:rPr>
          <w:rFonts w:ascii="Arial" w:hAnsi="Arial"/>
          <w:i/>
          <w:sz w:val="20"/>
        </w:rPr>
        <w:t>Maritime</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NV</w:t>
      </w:r>
      <w:r>
        <w:rPr>
          <w:rFonts w:ascii="Arial" w:hAnsi="Arial"/>
          <w:i/>
          <w:spacing w:val="17"/>
          <w:sz w:val="20"/>
        </w:rPr>
        <w:t> </w:t>
      </w:r>
      <w:r>
        <w:rPr>
          <w:rFonts w:ascii="Arial" w:hAnsi="Arial"/>
          <w:i/>
          <w:sz w:val="20"/>
        </w:rPr>
        <w:t>Rotterdamsche</w:t>
      </w:r>
      <w:r>
        <w:rPr>
          <w:rFonts w:ascii="Arial" w:hAnsi="Arial"/>
          <w:i/>
          <w:spacing w:val="17"/>
          <w:sz w:val="20"/>
        </w:rPr>
        <w:t> </w:t>
      </w:r>
      <w:r>
        <w:rPr>
          <w:rFonts w:ascii="Arial" w:hAnsi="Arial"/>
          <w:i/>
          <w:sz w:val="20"/>
        </w:rPr>
        <w:t>Kolen</w:t>
      </w:r>
      <w:r>
        <w:rPr>
          <w:rFonts w:ascii="Arial" w:hAnsi="Arial"/>
          <w:i/>
          <w:spacing w:val="17"/>
          <w:sz w:val="20"/>
        </w:rPr>
        <w:t> </w:t>
      </w:r>
      <w:r>
        <w:rPr>
          <w:rFonts w:ascii="Arial" w:hAnsi="Arial"/>
          <w:i/>
          <w:sz w:val="20"/>
        </w:rPr>
        <w:t>Centrale</w:t>
      </w:r>
      <w:r>
        <w:rPr>
          <w:rFonts w:ascii="Arial" w:hAnsi="Arial"/>
          <w:i/>
          <w:spacing w:val="17"/>
          <w:sz w:val="20"/>
        </w:rPr>
        <w:t> </w:t>
      </w:r>
      <w:r>
        <w:rPr>
          <w:rFonts w:ascii="Arial" w:hAnsi="Arial"/>
          <w:i/>
          <w:sz w:val="20"/>
        </w:rPr>
        <w:t>[1967]</w:t>
      </w:r>
      <w:r>
        <w:rPr>
          <w:rFonts w:ascii="Arial" w:hAnsi="Arial"/>
          <w:i/>
          <w:spacing w:val="17"/>
          <w:sz w:val="20"/>
        </w:rPr>
        <w:t> </w:t>
      </w:r>
      <w:r>
        <w:rPr>
          <w:rFonts w:ascii="Arial" w:hAnsi="Arial"/>
          <w:i/>
          <w:spacing w:val="-10"/>
          <w:sz w:val="20"/>
        </w:rPr>
        <w:t>1</w:t>
      </w:r>
    </w:p>
    <w:p>
      <w:pPr>
        <w:spacing w:line="235" w:lineRule="auto" w:before="1"/>
        <w:ind w:left="165" w:right="168" w:firstLine="0"/>
        <w:jc w:val="left"/>
        <w:rPr>
          <w:sz w:val="20"/>
        </w:rPr>
      </w:pPr>
      <w:r>
        <w:rPr>
          <w:rFonts w:ascii="Arial"/>
          <w:i/>
          <w:sz w:val="20"/>
        </w:rPr>
        <w:t>A.C.</w:t>
      </w:r>
      <w:r>
        <w:rPr>
          <w:rFonts w:ascii="Arial"/>
          <w:i/>
          <w:spacing w:val="30"/>
          <w:sz w:val="20"/>
        </w:rPr>
        <w:t> </w:t>
      </w:r>
      <w:r>
        <w:rPr>
          <w:rFonts w:ascii="Arial"/>
          <w:i/>
          <w:sz w:val="20"/>
        </w:rPr>
        <w:t>361</w:t>
      </w:r>
      <w:r>
        <w:rPr>
          <w:sz w:val="20"/>
        </w:rPr>
        <w:t>;</w:t>
      </w:r>
      <w:r>
        <w:rPr>
          <w:spacing w:val="30"/>
          <w:sz w:val="20"/>
        </w:rPr>
        <w:t> </w:t>
      </w:r>
      <w:r>
        <w:rPr>
          <w:rFonts w:ascii="Arial"/>
          <w:i/>
          <w:sz w:val="20"/>
        </w:rPr>
        <w:t>Photo</w:t>
      </w:r>
      <w:r>
        <w:rPr>
          <w:rFonts w:ascii="Arial"/>
          <w:i/>
          <w:spacing w:val="30"/>
          <w:sz w:val="20"/>
        </w:rPr>
        <w:t> </w:t>
      </w:r>
      <w:r>
        <w:rPr>
          <w:rFonts w:ascii="Arial"/>
          <w:i/>
          <w:sz w:val="20"/>
        </w:rPr>
        <w:t>Production</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Securicor</w:t>
      </w:r>
      <w:r>
        <w:rPr>
          <w:rFonts w:ascii="Arial"/>
          <w:i/>
          <w:spacing w:val="30"/>
          <w:sz w:val="20"/>
        </w:rPr>
        <w:t> </w:t>
      </w:r>
      <w:r>
        <w:rPr>
          <w:rFonts w:ascii="Arial"/>
          <w:i/>
          <w:sz w:val="20"/>
        </w:rPr>
        <w:t>Transport</w:t>
      </w:r>
      <w:r>
        <w:rPr>
          <w:rFonts w:ascii="Arial"/>
          <w:i/>
          <w:spacing w:val="30"/>
          <w:sz w:val="20"/>
        </w:rPr>
        <w:t> </w:t>
      </w:r>
      <w:r>
        <w:rPr>
          <w:rFonts w:ascii="Arial"/>
          <w:i/>
          <w:sz w:val="20"/>
        </w:rPr>
        <w:t>Ltd</w:t>
      </w:r>
      <w:r>
        <w:rPr>
          <w:rFonts w:ascii="Arial"/>
          <w:i/>
          <w:spacing w:val="30"/>
          <w:sz w:val="20"/>
        </w:rPr>
        <w:t> </w:t>
      </w:r>
      <w:r>
        <w:rPr>
          <w:rFonts w:ascii="Arial"/>
          <w:i/>
          <w:sz w:val="20"/>
        </w:rPr>
        <w:t>[1980]</w:t>
      </w:r>
      <w:r>
        <w:rPr>
          <w:rFonts w:ascii="Arial"/>
          <w:i/>
          <w:spacing w:val="30"/>
          <w:sz w:val="20"/>
        </w:rPr>
        <w:t> </w:t>
      </w:r>
      <w:r>
        <w:rPr>
          <w:rFonts w:ascii="Arial"/>
          <w:i/>
          <w:sz w:val="20"/>
        </w:rPr>
        <w:t>A.C.</w:t>
      </w:r>
      <w:r>
        <w:rPr>
          <w:rFonts w:ascii="Arial"/>
          <w:i/>
          <w:spacing w:val="30"/>
          <w:sz w:val="20"/>
        </w:rPr>
        <w:t> </w:t>
      </w:r>
      <w:r>
        <w:rPr>
          <w:rFonts w:ascii="Arial"/>
          <w:i/>
          <w:sz w:val="20"/>
        </w:rPr>
        <w:t>827</w:t>
      </w:r>
      <w:r>
        <w:rPr>
          <w:rFonts w:ascii="Arial"/>
          <w:i/>
          <w:spacing w:val="29"/>
          <w:sz w:val="20"/>
        </w:rPr>
        <w:t> </w:t>
      </w:r>
      <w:r>
        <w:rPr>
          <w:sz w:val="20"/>
        </w:rPr>
        <w:t>(see</w:t>
      </w:r>
      <w:r>
        <w:rPr>
          <w:spacing w:val="30"/>
          <w:sz w:val="20"/>
        </w:rPr>
        <w:t> </w:t>
      </w:r>
      <w:r>
        <w:rPr>
          <w:sz w:val="20"/>
        </w:rPr>
        <w:t>Vol.I,</w:t>
      </w:r>
      <w:r>
        <w:rPr>
          <w:spacing w:val="30"/>
          <w:sz w:val="20"/>
        </w:rPr>
        <w:t> </w:t>
      </w:r>
      <w:r>
        <w:rPr>
          <w:sz w:val="20"/>
        </w:rPr>
        <w:t>paras 15-025 et seq.).</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85" w:id="1887"/>
      <w:bookmarkEnd w:id="1887"/>
      <w:r>
        <w:rPr/>
      </w:r>
      <w:hyperlink w:history="true" w:anchor="_bookmark1844">
        <w:r>
          <w:rPr>
            <w:color w:val="005DA1"/>
            <w:spacing w:val="-4"/>
            <w:sz w:val="14"/>
            <w:u w:val="single" w:color="005DA1"/>
          </w:rPr>
          <w:t>985</w:t>
        </w:r>
      </w:hyperlink>
      <w:r>
        <w:rPr>
          <w:spacing w:val="-4"/>
          <w:sz w:val="14"/>
        </w:rPr>
        <w:t>.</w:t>
      </w:r>
    </w:p>
    <w:p>
      <w:pPr>
        <w:pStyle w:val="BodyText"/>
        <w:spacing w:before="208"/>
        <w:ind w:left="335"/>
      </w:pPr>
      <w:r>
        <w:rPr/>
        <w:br w:type="column"/>
      </w:r>
      <w:r>
        <w:rPr/>
        <w:t>See Vol.I, paras 15-066 et seq., and in particular para.15-</w:t>
      </w:r>
      <w:r>
        <w:rPr>
          <w:spacing w:val="-4"/>
        </w:rPr>
        <w:t>069.</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0528">
            <wp:simplePos x="0" y="0"/>
            <wp:positionH relativeFrom="page">
              <wp:posOffset>1257846</wp:posOffset>
            </wp:positionH>
            <wp:positionV relativeFrom="paragraph">
              <wp:posOffset>-210929</wp:posOffset>
            </wp:positionV>
            <wp:extent cx="107988" cy="107988"/>
            <wp:effectExtent l="0" t="0" r="0" b="0"/>
            <wp:wrapNone/>
            <wp:docPr id="455" name="Image 455"/>
            <wp:cNvGraphicFramePr>
              <a:graphicFrameLocks/>
            </wp:cNvGraphicFramePr>
            <a:graphic>
              <a:graphicData uri="http://schemas.openxmlformats.org/drawingml/2006/picture">
                <pic:pic>
                  <pic:nvPicPr>
                    <pic:cNvPr id="455" name="Image 4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6" w:id="1888"/>
      <w:bookmarkEnd w:id="1888"/>
      <w:r>
        <w:rPr/>
      </w:r>
      <w:hyperlink w:history="true" w:anchor="_bookmark1845">
        <w:r>
          <w:rPr>
            <w:color w:val="005DA1"/>
            <w:spacing w:val="-4"/>
            <w:sz w:val="14"/>
            <w:u w:val="single" w:color="005DA1"/>
          </w:rPr>
          <w:t>986</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sz w:val="20"/>
        </w:rPr>
        <w:t>Peel,</w:t>
      </w:r>
      <w:r>
        <w:rPr>
          <w:spacing w:val="-1"/>
          <w:sz w:val="20"/>
        </w:rPr>
        <w:t> </w:t>
      </w:r>
      <w:r>
        <w:rPr>
          <w:rFonts w:ascii="Arial" w:hAnsi="Arial"/>
          <w:i/>
          <w:sz w:val="20"/>
        </w:rPr>
        <w:t>Treitel on The Law of Contract</w:t>
      </w:r>
      <w:r>
        <w:rPr>
          <w:sz w:val="20"/>
        </w:rPr>
        <w:t>, 14th edn (2015), paras 7–055 and </w:t>
      </w:r>
      <w:r>
        <w:rPr>
          <w:spacing w:val="-2"/>
          <w:sz w:val="20"/>
        </w:rPr>
        <w:t>20–140.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1040">
            <wp:simplePos x="0" y="0"/>
            <wp:positionH relativeFrom="page">
              <wp:posOffset>1257846</wp:posOffset>
            </wp:positionH>
            <wp:positionV relativeFrom="paragraph">
              <wp:posOffset>-210909</wp:posOffset>
            </wp:positionV>
            <wp:extent cx="107988" cy="107988"/>
            <wp:effectExtent l="0" t="0" r="0" b="0"/>
            <wp:wrapNone/>
            <wp:docPr id="456" name="Image 456"/>
            <wp:cNvGraphicFramePr>
              <a:graphicFrameLocks/>
            </wp:cNvGraphicFramePr>
            <a:graphic>
              <a:graphicData uri="http://schemas.openxmlformats.org/drawingml/2006/picture">
                <pic:pic>
                  <pic:nvPicPr>
                    <pic:cNvPr id="456" name="Image 4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7" w:id="1889"/>
      <w:bookmarkEnd w:id="1889"/>
      <w:r>
        <w:rPr/>
      </w:r>
      <w:hyperlink w:history="true" w:anchor="_bookmark1846">
        <w:r>
          <w:rPr>
            <w:color w:val="005DA1"/>
            <w:spacing w:val="-4"/>
            <w:sz w:val="14"/>
            <w:u w:val="single" w:color="005DA1"/>
          </w:rPr>
          <w:t>987</w:t>
        </w:r>
      </w:hyperlink>
      <w:r>
        <w:rPr>
          <w:spacing w:val="-4"/>
          <w:sz w:val="14"/>
        </w:rPr>
        <w:t>.</w:t>
      </w:r>
    </w:p>
    <w:p>
      <w:pPr>
        <w:pStyle w:val="BodyText"/>
        <w:spacing w:before="209"/>
        <w:ind w:left="335"/>
      </w:pPr>
      <w:r>
        <w:rPr/>
        <w:br w:type="column"/>
      </w:r>
      <w:r>
        <w:rPr/>
        <w:t>See Vol.II, paras 38-201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1552">
            <wp:simplePos x="0" y="0"/>
            <wp:positionH relativeFrom="page">
              <wp:posOffset>1257846</wp:posOffset>
            </wp:positionH>
            <wp:positionV relativeFrom="paragraph">
              <wp:posOffset>-210889</wp:posOffset>
            </wp:positionV>
            <wp:extent cx="107988" cy="107988"/>
            <wp:effectExtent l="0" t="0" r="0" b="0"/>
            <wp:wrapNone/>
            <wp:docPr id="457" name="Image 457"/>
            <wp:cNvGraphicFramePr>
              <a:graphicFrameLocks/>
            </wp:cNvGraphicFramePr>
            <a:graphic>
              <a:graphicData uri="http://schemas.openxmlformats.org/drawingml/2006/picture">
                <pic:pic>
                  <pic:nvPicPr>
                    <pic:cNvPr id="457" name="Image 4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8" w:id="1890"/>
      <w:bookmarkEnd w:id="1890"/>
      <w:r>
        <w:rPr/>
      </w:r>
      <w:hyperlink w:history="true" w:anchor="_bookmark1847">
        <w:r>
          <w:rPr>
            <w:color w:val="005DA1"/>
            <w:spacing w:val="-4"/>
            <w:sz w:val="14"/>
            <w:u w:val="single" w:color="005DA1"/>
          </w:rPr>
          <w:t>988</w:t>
        </w:r>
      </w:hyperlink>
      <w:r>
        <w:rPr>
          <w:spacing w:val="-4"/>
          <w:sz w:val="14"/>
        </w:rPr>
        <w:t>.</w:t>
      </w:r>
    </w:p>
    <w:p>
      <w:pPr>
        <w:pStyle w:val="BodyText"/>
        <w:spacing w:before="209"/>
        <w:ind w:left="335"/>
      </w:pPr>
      <w:r>
        <w:rPr/>
        <w:br w:type="column"/>
      </w:r>
      <w:r>
        <w:rPr/>
        <w:t>See Vol.II, paras 38-334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2064">
            <wp:simplePos x="0" y="0"/>
            <wp:positionH relativeFrom="page">
              <wp:posOffset>1257846</wp:posOffset>
            </wp:positionH>
            <wp:positionV relativeFrom="paragraph">
              <wp:posOffset>-210870</wp:posOffset>
            </wp:positionV>
            <wp:extent cx="107988" cy="107988"/>
            <wp:effectExtent l="0" t="0" r="0" b="0"/>
            <wp:wrapNone/>
            <wp:docPr id="458" name="Image 458"/>
            <wp:cNvGraphicFramePr>
              <a:graphicFrameLocks/>
            </wp:cNvGraphicFramePr>
            <a:graphic>
              <a:graphicData uri="http://schemas.openxmlformats.org/drawingml/2006/picture">
                <pic:pic>
                  <pic:nvPicPr>
                    <pic:cNvPr id="458" name="Image 4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89" w:id="1891"/>
      <w:bookmarkEnd w:id="1891"/>
      <w:r>
        <w:rPr/>
      </w:r>
      <w:hyperlink w:history="true" w:anchor="_bookmark1848">
        <w:r>
          <w:rPr>
            <w:color w:val="005DA1"/>
            <w:spacing w:val="-4"/>
            <w:sz w:val="14"/>
            <w:u w:val="single" w:color="005DA1"/>
          </w:rPr>
          <w:t>989</w:t>
        </w:r>
      </w:hyperlink>
      <w:r>
        <w:rPr>
          <w:spacing w:val="-4"/>
          <w:sz w:val="14"/>
        </w:rPr>
        <w:t>.</w:t>
      </w:r>
    </w:p>
    <w:p>
      <w:pPr>
        <w:spacing w:before="209"/>
        <w:ind w:left="335"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2576">
            <wp:simplePos x="0" y="0"/>
            <wp:positionH relativeFrom="page">
              <wp:posOffset>1257846</wp:posOffset>
            </wp:positionH>
            <wp:positionV relativeFrom="paragraph">
              <wp:posOffset>-210850</wp:posOffset>
            </wp:positionV>
            <wp:extent cx="107988" cy="107988"/>
            <wp:effectExtent l="0" t="0" r="0" b="0"/>
            <wp:wrapNone/>
            <wp:docPr id="459" name="Image 459"/>
            <wp:cNvGraphicFramePr>
              <a:graphicFrameLocks/>
            </wp:cNvGraphicFramePr>
            <a:graphic>
              <a:graphicData uri="http://schemas.openxmlformats.org/drawingml/2006/picture">
                <pic:pic>
                  <pic:nvPicPr>
                    <pic:cNvPr id="459" name="Image 4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0" w:id="1892"/>
      <w:bookmarkEnd w:id="1892"/>
      <w:r>
        <w:rPr/>
      </w:r>
      <w:hyperlink w:history="true" w:anchor="_bookmark1849">
        <w:r>
          <w:rPr>
            <w:color w:val="005DA1"/>
            <w:spacing w:val="-4"/>
            <w:sz w:val="14"/>
            <w:u w:val="single" w:color="005DA1"/>
          </w:rPr>
          <w:t>990</w:t>
        </w:r>
      </w:hyperlink>
      <w:r>
        <w:rPr>
          <w:spacing w:val="-4"/>
          <w:sz w:val="14"/>
        </w:rPr>
        <w:t>.</w:t>
      </w:r>
    </w:p>
    <w:p>
      <w:pPr>
        <w:pStyle w:val="BodyText"/>
        <w:spacing w:before="209"/>
        <w:ind w:left="335"/>
      </w:pPr>
      <w:r>
        <w:rPr/>
        <w:br w:type="column"/>
      </w:r>
      <w:r>
        <w:rPr/>
        <w:t>See below, para.26-</w:t>
      </w:r>
      <w:r>
        <w:rPr>
          <w:spacing w:val="-4"/>
        </w:rPr>
        <w:t>216.</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3088">
            <wp:simplePos x="0" y="0"/>
            <wp:positionH relativeFrom="page">
              <wp:posOffset>1257846</wp:posOffset>
            </wp:positionH>
            <wp:positionV relativeFrom="paragraph">
              <wp:posOffset>-210830</wp:posOffset>
            </wp:positionV>
            <wp:extent cx="107988" cy="107988"/>
            <wp:effectExtent l="0" t="0" r="0" b="0"/>
            <wp:wrapNone/>
            <wp:docPr id="460" name="Image 460"/>
            <wp:cNvGraphicFramePr>
              <a:graphicFrameLocks/>
            </wp:cNvGraphicFramePr>
            <a:graphic>
              <a:graphicData uri="http://schemas.openxmlformats.org/drawingml/2006/picture">
                <pic:pic>
                  <pic:nvPicPr>
                    <pic:cNvPr id="460" name="Image 46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33600">
            <wp:simplePos x="0" y="0"/>
            <wp:positionH relativeFrom="page">
              <wp:posOffset>1257846</wp:posOffset>
            </wp:positionH>
            <wp:positionV relativeFrom="paragraph">
              <wp:posOffset>160644</wp:posOffset>
            </wp:positionV>
            <wp:extent cx="107988" cy="107988"/>
            <wp:effectExtent l="0" t="0" r="0" b="0"/>
            <wp:wrapNone/>
            <wp:docPr id="461" name="Image 461"/>
            <wp:cNvGraphicFramePr>
              <a:graphicFrameLocks/>
            </wp:cNvGraphicFramePr>
            <a:graphic>
              <a:graphicData uri="http://schemas.openxmlformats.org/drawingml/2006/picture">
                <pic:pic>
                  <pic:nvPicPr>
                    <pic:cNvPr id="461" name="Image 46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1" w:id="1893"/>
      <w:bookmarkEnd w:id="1893"/>
      <w:r>
        <w:rPr/>
      </w:r>
      <w:hyperlink w:history="true" w:anchor="_bookmark1850">
        <w:r>
          <w:rPr>
            <w:color w:val="005DA1"/>
            <w:spacing w:val="-4"/>
            <w:sz w:val="14"/>
            <w:u w:val="single" w:color="005DA1"/>
          </w:rPr>
          <w:t>991</w:t>
        </w:r>
      </w:hyperlink>
      <w:r>
        <w:rPr>
          <w:spacing w:val="-4"/>
          <w:sz w:val="14"/>
        </w:rPr>
        <w:t>.</w:t>
      </w:r>
    </w:p>
    <w:p>
      <w:pPr>
        <w:pStyle w:val="BodyText"/>
        <w:spacing w:before="209"/>
        <w:ind w:left="335"/>
      </w:pPr>
      <w:r>
        <w:rPr/>
        <w:br w:type="column"/>
      </w:r>
      <w:r>
        <w:rPr/>
        <w:t>See below, para.26-</w:t>
      </w:r>
      <w:r>
        <w:rPr>
          <w:spacing w:val="-4"/>
        </w:rPr>
        <w:t>216.</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851">
        <w:r>
          <w:rPr>
            <w:color w:val="005DA1"/>
            <w:spacing w:val="-4"/>
            <w:sz w:val="14"/>
            <w:u w:val="single" w:color="005DA1"/>
          </w:rPr>
          <w:t>992</w:t>
        </w:r>
      </w:hyperlink>
      <w:r>
        <w:rPr>
          <w:spacing w:val="-4"/>
          <w:sz w:val="14"/>
        </w:rPr>
        <w:t>.</w:t>
      </w:r>
    </w:p>
    <w:p>
      <w:pPr>
        <w:spacing w:line="240" w:lineRule="auto" w:before="56"/>
        <w:rPr>
          <w:sz w:val="20"/>
        </w:rPr>
      </w:pPr>
      <w:r>
        <w:rPr/>
        <w:br w:type="column"/>
      </w:r>
      <w:r>
        <w:rPr>
          <w:sz w:val="20"/>
        </w:rPr>
      </w:r>
    </w:p>
    <w:p>
      <w:pPr>
        <w:pStyle w:val="BodyText"/>
        <w:ind w:left="335"/>
      </w:pPr>
      <w:r>
        <w:rPr/>
        <w:drawing>
          <wp:anchor distT="0" distB="0" distL="0" distR="0" allowOverlap="1" layoutInCell="1" locked="0" behindDoc="0" simplePos="0" relativeHeight="15834112">
            <wp:simplePos x="0" y="0"/>
            <wp:positionH relativeFrom="page">
              <wp:posOffset>1257846</wp:posOffset>
            </wp:positionH>
            <wp:positionV relativeFrom="paragraph">
              <wp:posOffset>28443</wp:posOffset>
            </wp:positionV>
            <wp:extent cx="107988" cy="107988"/>
            <wp:effectExtent l="0" t="0" r="0" b="0"/>
            <wp:wrapNone/>
            <wp:docPr id="462" name="Image 462"/>
            <wp:cNvGraphicFramePr>
              <a:graphicFrameLocks/>
            </wp:cNvGraphicFramePr>
            <a:graphic>
              <a:graphicData uri="http://schemas.openxmlformats.org/drawingml/2006/picture">
                <pic:pic>
                  <pic:nvPicPr>
                    <pic:cNvPr id="462" name="Image 462"/>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2"/>
        </w:rPr>
        <w:t>216Q.</w:t>
      </w:r>
    </w:p>
    <w:p>
      <w:pPr>
        <w:pStyle w:val="BodyText"/>
        <w:spacing w:after="0"/>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92" w:id="1894"/>
      <w:bookmarkEnd w:id="1894"/>
      <w:r>
        <w:rPr/>
      </w:r>
      <w:hyperlink w:history="true" w:anchor="_bookmark1852">
        <w:r>
          <w:rPr>
            <w:color w:val="005DA1"/>
            <w:spacing w:val="-4"/>
            <w:sz w:val="14"/>
            <w:u w:val="single" w:color="005DA1"/>
          </w:rPr>
          <w:t>993</w:t>
        </w:r>
      </w:hyperlink>
      <w:r>
        <w:rPr>
          <w:spacing w:val="-4"/>
          <w:sz w:val="14"/>
        </w:rPr>
        <w:t>.</w:t>
      </w:r>
    </w:p>
    <w:p>
      <w:pPr>
        <w:pStyle w:val="BodyText"/>
        <w:spacing w:before="209"/>
        <w:ind w:left="335"/>
      </w:pPr>
      <w:r>
        <w:rPr/>
        <w:br w:type="column"/>
      </w:r>
      <w:r>
        <w:rPr/>
        <w:t>See below, paras 26-216S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4624">
            <wp:simplePos x="0" y="0"/>
            <wp:positionH relativeFrom="page">
              <wp:posOffset>1257846</wp:posOffset>
            </wp:positionH>
            <wp:positionV relativeFrom="paragraph">
              <wp:posOffset>-210912</wp:posOffset>
            </wp:positionV>
            <wp:extent cx="107988" cy="107988"/>
            <wp:effectExtent l="0" t="0" r="0" b="0"/>
            <wp:wrapNone/>
            <wp:docPr id="463" name="Image 463"/>
            <wp:cNvGraphicFramePr>
              <a:graphicFrameLocks/>
            </wp:cNvGraphicFramePr>
            <a:graphic>
              <a:graphicData uri="http://schemas.openxmlformats.org/drawingml/2006/picture">
                <pic:pic>
                  <pic:nvPicPr>
                    <pic:cNvPr id="463" name="Image 4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3" w:id="1895"/>
      <w:bookmarkEnd w:id="1895"/>
      <w:r>
        <w:rPr/>
      </w:r>
      <w:hyperlink w:history="true" w:anchor="_bookmark1853">
        <w:r>
          <w:rPr>
            <w:color w:val="005DA1"/>
            <w:spacing w:val="-4"/>
            <w:sz w:val="14"/>
            <w:u w:val="single" w:color="005DA1"/>
          </w:rPr>
          <w:t>994</w:t>
        </w:r>
      </w:hyperlink>
      <w:r>
        <w:rPr>
          <w:spacing w:val="-4"/>
          <w:sz w:val="14"/>
        </w:rPr>
        <w:t>.</w:t>
      </w:r>
    </w:p>
    <w:p>
      <w:pPr>
        <w:pStyle w:val="BodyText"/>
        <w:spacing w:before="209"/>
        <w:ind w:left="335"/>
      </w:pPr>
      <w:r>
        <w:rPr/>
        <w:br w:type="column"/>
      </w:r>
      <w:r>
        <w:rPr/>
        <w:t>See below, paras 26-216C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5136">
            <wp:simplePos x="0" y="0"/>
            <wp:positionH relativeFrom="page">
              <wp:posOffset>1257846</wp:posOffset>
            </wp:positionH>
            <wp:positionV relativeFrom="paragraph">
              <wp:posOffset>-210892</wp:posOffset>
            </wp:positionV>
            <wp:extent cx="107988" cy="107988"/>
            <wp:effectExtent l="0" t="0" r="0" b="0"/>
            <wp:wrapNone/>
            <wp:docPr id="464" name="Image 464"/>
            <wp:cNvGraphicFramePr>
              <a:graphicFrameLocks/>
            </wp:cNvGraphicFramePr>
            <a:graphic>
              <a:graphicData uri="http://schemas.openxmlformats.org/drawingml/2006/picture">
                <pic:pic>
                  <pic:nvPicPr>
                    <pic:cNvPr id="464" name="Image 46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35648">
            <wp:simplePos x="0" y="0"/>
            <wp:positionH relativeFrom="page">
              <wp:posOffset>1257846</wp:posOffset>
            </wp:positionH>
            <wp:positionV relativeFrom="paragraph">
              <wp:posOffset>160582</wp:posOffset>
            </wp:positionV>
            <wp:extent cx="107988" cy="107988"/>
            <wp:effectExtent l="0" t="0" r="0" b="0"/>
            <wp:wrapNone/>
            <wp:docPr id="465" name="Image 465"/>
            <wp:cNvGraphicFramePr>
              <a:graphicFrameLocks/>
            </wp:cNvGraphicFramePr>
            <a:graphic>
              <a:graphicData uri="http://schemas.openxmlformats.org/drawingml/2006/picture">
                <pic:pic>
                  <pic:nvPicPr>
                    <pic:cNvPr id="465" name="Image 46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4" w:id="1896"/>
      <w:bookmarkEnd w:id="1896"/>
      <w:r>
        <w:rPr/>
      </w:r>
      <w:hyperlink w:history="true" w:anchor="_bookmark1854">
        <w:r>
          <w:rPr>
            <w:color w:val="005DA1"/>
            <w:spacing w:val="-4"/>
            <w:sz w:val="14"/>
            <w:u w:val="single" w:color="005DA1"/>
          </w:rPr>
          <w:t>995</w:t>
        </w:r>
      </w:hyperlink>
      <w:r>
        <w:rPr>
          <w:spacing w:val="-4"/>
          <w:sz w:val="14"/>
        </w:rPr>
        <w:t>.</w:t>
      </w:r>
    </w:p>
    <w:p>
      <w:pPr>
        <w:spacing w:line="235" w:lineRule="auto" w:before="212"/>
        <w:ind w:left="165" w:right="168" w:firstLine="170"/>
        <w:jc w:val="both"/>
        <w:rPr>
          <w:sz w:val="20"/>
        </w:rPr>
      </w:pPr>
      <w:r>
        <w:rPr/>
        <w:br w:type="column"/>
      </w:r>
      <w:r>
        <w:rPr>
          <w:sz w:val="20"/>
        </w:rPr>
        <w:t>For an early example see </w:t>
      </w:r>
      <w:r>
        <w:rPr>
          <w:rFonts w:ascii="Arial"/>
          <w:i/>
          <w:sz w:val="20"/>
        </w:rPr>
        <w:t>Betts v Burch (1859) 4 H &amp; N 506, 509</w:t>
      </w:r>
      <w:r>
        <w:rPr>
          <w:sz w:val="20"/>
        </w:rPr>
        <w:t>, cited by Lords Neuberger and Sumption in </w:t>
      </w:r>
      <w:r>
        <w:rPr>
          <w:rFonts w:ascii="Arial"/>
          <w:i/>
          <w:sz w:val="20"/>
        </w:rPr>
        <w:t>Cavendish Square Holding BV v Makdessi </w:t>
      </w:r>
      <w:r>
        <w:rPr>
          <w:sz w:val="20"/>
        </w:rPr>
        <w:t>and </w:t>
      </w:r>
      <w:r>
        <w:rPr>
          <w:rFonts w:ascii="Arial"/>
          <w:i/>
          <w:sz w:val="20"/>
        </w:rPr>
        <w:t>ParkingEye Ltd v Beavis</w:t>
      </w:r>
      <w:r>
        <w:rPr>
          <w:rFonts w:ascii="Arial"/>
          <w:i/>
          <w:spacing w:val="40"/>
          <w:sz w:val="20"/>
        </w:rPr>
        <w:t> </w:t>
      </w:r>
      <w:r>
        <w:rPr>
          <w:rFonts w:ascii="Arial"/>
          <w:i/>
          <w:sz w:val="20"/>
        </w:rPr>
        <w:t>[2015] UKSC 67, [2016] A.C. 1172 </w:t>
      </w:r>
      <w:r>
        <w:rPr>
          <w:sz w:val="20"/>
        </w:rPr>
        <w:t>at [8]. See also their judgment at [33].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95" w:id="1897"/>
      <w:bookmarkEnd w:id="1897"/>
      <w:r>
        <w:rPr/>
      </w:r>
      <w:hyperlink w:history="true" w:anchor="_bookmark1855">
        <w:r>
          <w:rPr>
            <w:color w:val="005DA1"/>
            <w:spacing w:val="-4"/>
            <w:sz w:val="14"/>
            <w:u w:val="single" w:color="005DA1"/>
          </w:rPr>
          <w:t>996</w:t>
        </w:r>
      </w:hyperlink>
      <w:r>
        <w:rPr>
          <w:spacing w:val="-4"/>
          <w:sz w:val="14"/>
        </w:rPr>
        <w:t>.</w:t>
      </w:r>
    </w:p>
    <w:p>
      <w:pPr>
        <w:spacing w:before="208"/>
        <w:ind w:left="335"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6160">
            <wp:simplePos x="0" y="0"/>
            <wp:positionH relativeFrom="page">
              <wp:posOffset>1257846</wp:posOffset>
            </wp:positionH>
            <wp:positionV relativeFrom="paragraph">
              <wp:posOffset>-210955</wp:posOffset>
            </wp:positionV>
            <wp:extent cx="107988" cy="107988"/>
            <wp:effectExtent l="0" t="0" r="0" b="0"/>
            <wp:wrapNone/>
            <wp:docPr id="466" name="Image 466"/>
            <wp:cNvGraphicFramePr>
              <a:graphicFrameLocks/>
            </wp:cNvGraphicFramePr>
            <a:graphic>
              <a:graphicData uri="http://schemas.openxmlformats.org/drawingml/2006/picture">
                <pic:pic>
                  <pic:nvPicPr>
                    <pic:cNvPr id="466" name="Image 4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6" w:id="1898"/>
      <w:bookmarkEnd w:id="1898"/>
      <w:r>
        <w:rPr/>
      </w:r>
      <w:hyperlink w:history="true" w:anchor="_bookmark1856">
        <w:r>
          <w:rPr>
            <w:color w:val="005DA1"/>
            <w:spacing w:val="-4"/>
            <w:sz w:val="14"/>
            <w:u w:val="single" w:color="005DA1"/>
          </w:rPr>
          <w:t>997</w:t>
        </w:r>
      </w:hyperlink>
      <w:r>
        <w:rPr>
          <w:spacing w:val="-4"/>
          <w:sz w:val="14"/>
        </w:rPr>
        <w:t>.</w:t>
      </w:r>
    </w:p>
    <w:p>
      <w:pPr>
        <w:spacing w:line="235" w:lineRule="auto" w:before="212"/>
        <w:ind w:left="165" w:right="165" w:firstLine="170"/>
        <w:jc w:val="left"/>
        <w:rPr>
          <w:sz w:val="20"/>
        </w:rPr>
      </w:pPr>
      <w:r>
        <w:rPr/>
        <w:br w:type="column"/>
      </w:r>
      <w:r>
        <w:rPr>
          <w:sz w:val="20"/>
        </w:rPr>
        <w:t>The history of the rule in English law is summarised in the judgments of Lords Neuberger and Sumption</w:t>
      </w:r>
      <w:r>
        <w:rPr>
          <w:spacing w:val="17"/>
          <w:sz w:val="20"/>
        </w:rPr>
        <w:t> </w:t>
      </w:r>
      <w:r>
        <w:rPr>
          <w:sz w:val="20"/>
        </w:rPr>
        <w:t>in</w:t>
      </w:r>
      <w:r>
        <w:rPr>
          <w:spacing w:val="17"/>
          <w:sz w:val="20"/>
        </w:rPr>
        <w:t> </w:t>
      </w:r>
      <w:r>
        <w:rPr>
          <w:sz w:val="20"/>
        </w:rPr>
        <w:t>the</w:t>
      </w:r>
      <w:r>
        <w:rPr>
          <w:spacing w:val="17"/>
          <w:sz w:val="20"/>
        </w:rPr>
        <w:t> </w:t>
      </w:r>
      <w:r>
        <w:rPr>
          <w:rFonts w:ascii="Arial" w:hAnsi="Arial"/>
          <w:i/>
          <w:sz w:val="20"/>
        </w:rPr>
        <w:t>Cavendish</w:t>
      </w:r>
      <w:r>
        <w:rPr>
          <w:rFonts w:ascii="Arial" w:hAnsi="Arial"/>
          <w:i/>
          <w:spacing w:val="17"/>
          <w:sz w:val="20"/>
        </w:rPr>
        <w:t> </w:t>
      </w:r>
      <w:r>
        <w:rPr>
          <w:rFonts w:ascii="Arial" w:hAnsi="Arial"/>
          <w:i/>
          <w:sz w:val="20"/>
        </w:rPr>
        <w:t>Square</w:t>
      </w:r>
      <w:r>
        <w:rPr>
          <w:rFonts w:ascii="Arial" w:hAnsi="Arial"/>
          <w:i/>
          <w:spacing w:val="17"/>
          <w:sz w:val="20"/>
        </w:rPr>
        <w:t> </w:t>
      </w:r>
      <w:r>
        <w:rPr>
          <w:rFonts w:ascii="Arial" w:hAnsi="Arial"/>
          <w:i/>
          <w:sz w:val="20"/>
        </w:rPr>
        <w:t>case</w:t>
      </w:r>
      <w:r>
        <w:rPr>
          <w:rFonts w:ascii="Arial" w:hAnsi="Arial"/>
          <w:i/>
          <w:spacing w:val="17"/>
          <w:sz w:val="20"/>
        </w:rPr>
        <w:t> </w:t>
      </w:r>
      <w:r>
        <w:rPr>
          <w:rFonts w:ascii="Arial" w:hAnsi="Arial"/>
          <w:i/>
          <w:sz w:val="20"/>
        </w:rPr>
        <w:t>[2015]</w:t>
      </w:r>
      <w:r>
        <w:rPr>
          <w:rFonts w:ascii="Arial" w:hAnsi="Arial"/>
          <w:i/>
          <w:spacing w:val="17"/>
          <w:sz w:val="20"/>
        </w:rPr>
        <w:t> </w:t>
      </w:r>
      <w:r>
        <w:rPr>
          <w:rFonts w:ascii="Arial" w:hAnsi="Arial"/>
          <w:i/>
          <w:sz w:val="20"/>
        </w:rPr>
        <w:t>UKSC</w:t>
      </w:r>
      <w:r>
        <w:rPr>
          <w:rFonts w:ascii="Arial" w:hAnsi="Arial"/>
          <w:i/>
          <w:spacing w:val="17"/>
          <w:sz w:val="20"/>
        </w:rPr>
        <w:t> </w:t>
      </w:r>
      <w:r>
        <w:rPr>
          <w:rFonts w:ascii="Arial" w:hAnsi="Arial"/>
          <w:i/>
          <w:sz w:val="20"/>
        </w:rPr>
        <w:t>67</w:t>
      </w:r>
      <w:r>
        <w:rPr>
          <w:rFonts w:ascii="Arial" w:hAnsi="Arial"/>
          <w:i/>
          <w:spacing w:val="16"/>
          <w:sz w:val="20"/>
        </w:rPr>
        <w:t> </w:t>
      </w:r>
      <w:r>
        <w:rPr>
          <w:sz w:val="20"/>
        </w:rPr>
        <w:t>at</w:t>
      </w:r>
      <w:r>
        <w:rPr>
          <w:spacing w:val="17"/>
          <w:sz w:val="20"/>
        </w:rPr>
        <w:t> </w:t>
      </w:r>
      <w:r>
        <w:rPr>
          <w:sz w:val="20"/>
        </w:rPr>
        <w:t>[4]–[8]</w:t>
      </w:r>
      <w:r>
        <w:rPr>
          <w:spacing w:val="17"/>
          <w:sz w:val="20"/>
        </w:rPr>
        <w:t> </w:t>
      </w:r>
      <w:r>
        <w:rPr>
          <w:sz w:val="20"/>
        </w:rPr>
        <w:t>and</w:t>
      </w:r>
      <w:r>
        <w:rPr>
          <w:spacing w:val="17"/>
          <w:sz w:val="20"/>
        </w:rPr>
        <w:t> </w:t>
      </w:r>
      <w:r>
        <w:rPr>
          <w:sz w:val="20"/>
        </w:rPr>
        <w:t>of</w:t>
      </w:r>
      <w:r>
        <w:rPr>
          <w:spacing w:val="17"/>
          <w:sz w:val="20"/>
        </w:rPr>
        <w:t> </w:t>
      </w:r>
      <w:r>
        <w:rPr>
          <w:sz w:val="20"/>
        </w:rPr>
        <w:t>Mason</w:t>
      </w:r>
      <w:r>
        <w:rPr>
          <w:spacing w:val="17"/>
          <w:sz w:val="20"/>
        </w:rPr>
        <w:t> </w:t>
      </w:r>
      <w:r>
        <w:rPr>
          <w:sz w:val="20"/>
        </w:rPr>
        <w:t>and</w:t>
      </w:r>
      <w:r>
        <w:rPr>
          <w:spacing w:val="17"/>
          <w:sz w:val="20"/>
        </w:rPr>
        <w:t> </w:t>
      </w:r>
      <w:r>
        <w:rPr>
          <w:spacing w:val="-2"/>
          <w:sz w:val="20"/>
        </w:rPr>
        <w:t>Wilson</w:t>
      </w:r>
    </w:p>
    <w:p>
      <w:pPr>
        <w:spacing w:line="223" w:lineRule="exact" w:before="0"/>
        <w:ind w:left="165" w:right="0" w:firstLine="0"/>
        <w:jc w:val="both"/>
        <w:rPr>
          <w:sz w:val="20"/>
        </w:rPr>
      </w:pPr>
      <w:r>
        <w:rPr>
          <w:sz w:val="20"/>
        </w:rPr>
        <w:drawing>
          <wp:anchor distT="0" distB="0" distL="0" distR="0" allowOverlap="1" layoutInCell="1" locked="0" behindDoc="0" simplePos="0" relativeHeight="15836672">
            <wp:simplePos x="0" y="0"/>
            <wp:positionH relativeFrom="page">
              <wp:posOffset>1257846</wp:posOffset>
            </wp:positionH>
            <wp:positionV relativeFrom="paragraph">
              <wp:posOffset>-260334</wp:posOffset>
            </wp:positionV>
            <wp:extent cx="107988" cy="107988"/>
            <wp:effectExtent l="0" t="0" r="0" b="0"/>
            <wp:wrapNone/>
            <wp:docPr id="467" name="Image 467"/>
            <wp:cNvGraphicFramePr>
              <a:graphicFrameLocks/>
            </wp:cNvGraphicFramePr>
            <a:graphic>
              <a:graphicData uri="http://schemas.openxmlformats.org/drawingml/2006/picture">
                <pic:pic>
                  <pic:nvPicPr>
                    <pic:cNvPr id="467" name="Image 46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JJ.</w:t>
      </w:r>
      <w:r>
        <w:rPr>
          <w:spacing w:val="51"/>
          <w:sz w:val="20"/>
        </w:rPr>
        <w:t> </w:t>
      </w:r>
      <w:r>
        <w:rPr>
          <w:sz w:val="20"/>
        </w:rPr>
        <w:t>in</w:t>
      </w:r>
      <w:r>
        <w:rPr>
          <w:spacing w:val="51"/>
          <w:sz w:val="20"/>
        </w:rPr>
        <w:t> </w:t>
      </w:r>
      <w:r>
        <w:rPr>
          <w:sz w:val="20"/>
        </w:rPr>
        <w:t>the</w:t>
      </w:r>
      <w:r>
        <w:rPr>
          <w:spacing w:val="51"/>
          <w:sz w:val="20"/>
        </w:rPr>
        <w:t> </w:t>
      </w:r>
      <w:r>
        <w:rPr>
          <w:sz w:val="20"/>
        </w:rPr>
        <w:t>Australian</w:t>
      </w:r>
      <w:r>
        <w:rPr>
          <w:spacing w:val="51"/>
          <w:sz w:val="20"/>
        </w:rPr>
        <w:t> </w:t>
      </w:r>
      <w:r>
        <w:rPr>
          <w:sz w:val="20"/>
        </w:rPr>
        <w:t>case</w:t>
      </w:r>
      <w:r>
        <w:rPr>
          <w:spacing w:val="51"/>
          <w:sz w:val="20"/>
        </w:rPr>
        <w:t> </w:t>
      </w:r>
      <w:r>
        <w:rPr>
          <w:sz w:val="20"/>
        </w:rPr>
        <w:t>of</w:t>
      </w:r>
      <w:r>
        <w:rPr>
          <w:spacing w:val="51"/>
          <w:sz w:val="20"/>
        </w:rPr>
        <w:t> </w:t>
      </w:r>
      <w:r>
        <w:rPr>
          <w:rFonts w:ascii="Arial"/>
          <w:i/>
          <w:sz w:val="20"/>
        </w:rPr>
        <w:t>AMEV-UDC</w:t>
      </w:r>
      <w:r>
        <w:rPr>
          <w:rFonts w:ascii="Arial"/>
          <w:i/>
          <w:spacing w:val="51"/>
          <w:sz w:val="20"/>
        </w:rPr>
        <w:t> </w:t>
      </w:r>
      <w:r>
        <w:rPr>
          <w:rFonts w:ascii="Arial"/>
          <w:i/>
          <w:sz w:val="20"/>
        </w:rPr>
        <w:t>Finance</w:t>
      </w:r>
      <w:r>
        <w:rPr>
          <w:rFonts w:ascii="Arial"/>
          <w:i/>
          <w:spacing w:val="51"/>
          <w:sz w:val="20"/>
        </w:rPr>
        <w:t> </w:t>
      </w:r>
      <w:r>
        <w:rPr>
          <w:rFonts w:ascii="Arial"/>
          <w:i/>
          <w:sz w:val="20"/>
        </w:rPr>
        <w:t>Ltd</w:t>
      </w:r>
      <w:r>
        <w:rPr>
          <w:rFonts w:ascii="Arial"/>
          <w:i/>
          <w:spacing w:val="51"/>
          <w:sz w:val="20"/>
        </w:rPr>
        <w:t> </w:t>
      </w:r>
      <w:r>
        <w:rPr>
          <w:rFonts w:ascii="Arial"/>
          <w:i/>
          <w:sz w:val="20"/>
        </w:rPr>
        <w:t>v</w:t>
      </w:r>
      <w:r>
        <w:rPr>
          <w:rFonts w:ascii="Arial"/>
          <w:i/>
          <w:spacing w:val="51"/>
          <w:sz w:val="20"/>
        </w:rPr>
        <w:t> </w:t>
      </w:r>
      <w:r>
        <w:rPr>
          <w:rFonts w:ascii="Arial"/>
          <w:i/>
          <w:sz w:val="20"/>
        </w:rPr>
        <w:t>Austin</w:t>
      </w:r>
      <w:r>
        <w:rPr>
          <w:rFonts w:ascii="Arial"/>
          <w:i/>
          <w:spacing w:val="51"/>
          <w:sz w:val="20"/>
        </w:rPr>
        <w:t> </w:t>
      </w:r>
      <w:r>
        <w:rPr>
          <w:rFonts w:ascii="Arial"/>
          <w:i/>
          <w:sz w:val="20"/>
        </w:rPr>
        <w:t>(1986)</w:t>
      </w:r>
      <w:r>
        <w:rPr>
          <w:rFonts w:ascii="Arial"/>
          <w:i/>
          <w:spacing w:val="51"/>
          <w:sz w:val="20"/>
        </w:rPr>
        <w:t> </w:t>
      </w:r>
      <w:r>
        <w:rPr>
          <w:rFonts w:ascii="Arial"/>
          <w:i/>
          <w:sz w:val="20"/>
        </w:rPr>
        <w:t>162</w:t>
      </w:r>
      <w:r>
        <w:rPr>
          <w:rFonts w:ascii="Arial"/>
          <w:i/>
          <w:spacing w:val="51"/>
          <w:sz w:val="20"/>
        </w:rPr>
        <w:t> </w:t>
      </w:r>
      <w:r>
        <w:rPr>
          <w:rFonts w:ascii="Arial"/>
          <w:i/>
          <w:sz w:val="20"/>
        </w:rPr>
        <w:t>C.L.R.</w:t>
      </w:r>
      <w:r>
        <w:rPr>
          <w:rFonts w:ascii="Arial"/>
          <w:i/>
          <w:spacing w:val="51"/>
          <w:sz w:val="20"/>
        </w:rPr>
        <w:t> </w:t>
      </w:r>
      <w:r>
        <w:rPr>
          <w:rFonts w:ascii="Arial"/>
          <w:i/>
          <w:sz w:val="20"/>
        </w:rPr>
        <w:t>170</w:t>
      </w:r>
      <w:r>
        <w:rPr>
          <w:rFonts w:ascii="Arial"/>
          <w:i/>
          <w:spacing w:val="50"/>
          <w:sz w:val="20"/>
        </w:rPr>
        <w:t> </w:t>
      </w:r>
      <w:r>
        <w:rPr>
          <w:spacing w:val="-5"/>
          <w:sz w:val="20"/>
        </w:rPr>
        <w:t>at</w:t>
      </w:r>
    </w:p>
    <w:p>
      <w:pPr>
        <w:pStyle w:val="BodyText"/>
        <w:spacing w:line="225" w:lineRule="exact"/>
        <w:ind w:left="165"/>
        <w:jc w:val="both"/>
      </w:pPr>
      <w:r>
        <w:rPr/>
        <w:t>[27]–[34].</w:t>
      </w:r>
      <w:r>
        <w:rPr>
          <w:spacing w:val="45"/>
        </w:rPr>
        <w:t> </w:t>
      </w:r>
      <w:r>
        <w:rPr/>
        <w:t>See</w:t>
      </w:r>
      <w:r>
        <w:rPr>
          <w:spacing w:val="45"/>
        </w:rPr>
        <w:t> </w:t>
      </w:r>
      <w:r>
        <w:rPr/>
        <w:t>also</w:t>
      </w:r>
      <w:r>
        <w:rPr>
          <w:spacing w:val="45"/>
        </w:rPr>
        <w:t> </w:t>
      </w:r>
      <w:r>
        <w:rPr/>
        <w:t>A.</w:t>
      </w:r>
      <w:r>
        <w:rPr>
          <w:spacing w:val="45"/>
        </w:rPr>
        <w:t> </w:t>
      </w:r>
      <w:r>
        <w:rPr/>
        <w:t>Simpson,</w:t>
      </w:r>
      <w:r>
        <w:rPr>
          <w:spacing w:val="45"/>
        </w:rPr>
        <w:t> </w:t>
      </w:r>
      <w:r>
        <w:rPr/>
        <w:t>“The</w:t>
      </w:r>
      <w:r>
        <w:rPr>
          <w:spacing w:val="45"/>
        </w:rPr>
        <w:t> </w:t>
      </w:r>
      <w:r>
        <w:rPr/>
        <w:t>Penal</w:t>
      </w:r>
      <w:r>
        <w:rPr>
          <w:spacing w:val="45"/>
        </w:rPr>
        <w:t> </w:t>
      </w:r>
      <w:r>
        <w:rPr/>
        <w:t>Bond</w:t>
      </w:r>
      <w:r>
        <w:rPr>
          <w:spacing w:val="45"/>
        </w:rPr>
        <w:t> </w:t>
      </w:r>
      <w:r>
        <w:rPr/>
        <w:t>with</w:t>
      </w:r>
      <w:r>
        <w:rPr>
          <w:spacing w:val="45"/>
        </w:rPr>
        <w:t> </w:t>
      </w:r>
      <w:r>
        <w:rPr/>
        <w:t>Conditional</w:t>
      </w:r>
      <w:r>
        <w:rPr>
          <w:spacing w:val="45"/>
        </w:rPr>
        <w:t> </w:t>
      </w:r>
      <w:r>
        <w:rPr/>
        <w:t>Defeasance”</w:t>
      </w:r>
      <w:r>
        <w:rPr>
          <w:spacing w:val="45"/>
        </w:rPr>
        <w:t> </w:t>
      </w:r>
      <w:r>
        <w:rPr/>
        <w:t>(1996)</w:t>
      </w:r>
      <w:r>
        <w:rPr>
          <w:spacing w:val="45"/>
        </w:rPr>
        <w:t> </w:t>
      </w:r>
      <w:r>
        <w:rPr>
          <w:spacing w:val="-5"/>
        </w:rPr>
        <w:t>82</w:t>
      </w:r>
    </w:p>
    <w:p>
      <w:pPr>
        <w:spacing w:line="235" w:lineRule="auto" w:before="2"/>
        <w:ind w:left="165" w:right="167" w:firstLine="0"/>
        <w:jc w:val="both"/>
        <w:rPr>
          <w:sz w:val="20"/>
        </w:rPr>
      </w:pPr>
      <w:r>
        <w:rPr>
          <w:sz w:val="20"/>
        </w:rPr>
        <w:t>L.Q.R. 392; D. Ibbetson, </w:t>
      </w:r>
      <w:r>
        <w:rPr>
          <w:rFonts w:ascii="Arial" w:hAnsi="Arial"/>
          <w:i/>
          <w:sz w:val="20"/>
        </w:rPr>
        <w:t>A Historical Introduction to the Law of Obligations</w:t>
      </w:r>
      <w:r>
        <w:rPr>
          <w:rFonts w:ascii="Arial" w:hAnsi="Arial"/>
          <w:i/>
          <w:spacing w:val="-1"/>
          <w:sz w:val="20"/>
        </w:rPr>
        <w:t> </w:t>
      </w:r>
      <w:r>
        <w:rPr>
          <w:sz w:val="20"/>
        </w:rPr>
        <w:t>(1999), especially </w:t>
      </w:r>
      <w:r>
        <w:rPr>
          <w:sz w:val="20"/>
        </w:rPr>
        <w:t>at pp.213 et seq. and 255 et seq. Lord Hodge gives an account of the history in Scots law at</w:t>
      </w:r>
      <w:r>
        <w:rPr>
          <w:spacing w:val="40"/>
          <w:sz w:val="20"/>
        </w:rPr>
        <w:t> </w:t>
      </w:r>
      <w:r>
        <w:rPr>
          <w:rFonts w:ascii="Arial" w:hAnsi="Arial"/>
          <w:i/>
          <w:sz w:val="20"/>
        </w:rPr>
        <w:t>[2015] UKSC 67 </w:t>
      </w:r>
      <w:r>
        <w:rPr>
          <w:sz w:val="20"/>
        </w:rPr>
        <w:t>at [251]–[253].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897" w:id="1899"/>
      <w:bookmarkEnd w:id="1899"/>
      <w:r>
        <w:rPr/>
      </w:r>
      <w:hyperlink w:history="true" w:anchor="_bookmark1857">
        <w:r>
          <w:rPr>
            <w:color w:val="005DA1"/>
            <w:spacing w:val="-4"/>
            <w:sz w:val="14"/>
            <w:u w:val="single" w:color="005DA1"/>
          </w:rPr>
          <w:t>998</w:t>
        </w:r>
      </w:hyperlink>
      <w:r>
        <w:rPr>
          <w:spacing w:val="-4"/>
          <w:sz w:val="14"/>
        </w:rPr>
        <w:t>.</w:t>
      </w:r>
    </w:p>
    <w:p>
      <w:pPr>
        <w:spacing w:before="209"/>
        <w:ind w:left="335" w:right="0" w:firstLine="0"/>
        <w:jc w:val="left"/>
        <w:rPr>
          <w:sz w:val="20"/>
        </w:rPr>
      </w:pPr>
      <w:r>
        <w:rPr/>
        <w:br w:type="column"/>
      </w:r>
      <w:r>
        <w:rPr>
          <w:rFonts w:ascii="Arial"/>
          <w:i/>
          <w:sz w:val="20"/>
        </w:rPr>
        <w:t>Philips Hong Kong Ltd v Att-Gen of Hong Kong (1993) 61 Build. L.R. 49, </w:t>
      </w:r>
      <w:r>
        <w:rPr>
          <w:rFonts w:ascii="Arial"/>
          <w:i/>
          <w:spacing w:val="-5"/>
          <w:sz w:val="20"/>
        </w:rPr>
        <w:t>58</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37184">
            <wp:simplePos x="0" y="0"/>
            <wp:positionH relativeFrom="page">
              <wp:posOffset>1257846</wp:posOffset>
            </wp:positionH>
            <wp:positionV relativeFrom="paragraph">
              <wp:posOffset>-210852</wp:posOffset>
            </wp:positionV>
            <wp:extent cx="107988" cy="107988"/>
            <wp:effectExtent l="0" t="0" r="0" b="0"/>
            <wp:wrapNone/>
            <wp:docPr id="468" name="Image 468"/>
            <wp:cNvGraphicFramePr>
              <a:graphicFrameLocks/>
            </wp:cNvGraphicFramePr>
            <a:graphic>
              <a:graphicData uri="http://schemas.openxmlformats.org/drawingml/2006/picture">
                <pic:pic>
                  <pic:nvPicPr>
                    <pic:cNvPr id="468" name="Image 46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37696">
            <wp:simplePos x="0" y="0"/>
            <wp:positionH relativeFrom="page">
              <wp:posOffset>1257846</wp:posOffset>
            </wp:positionH>
            <wp:positionV relativeFrom="paragraph">
              <wp:posOffset>160622</wp:posOffset>
            </wp:positionV>
            <wp:extent cx="107988" cy="107988"/>
            <wp:effectExtent l="0" t="0" r="0" b="0"/>
            <wp:wrapNone/>
            <wp:docPr id="469" name="Image 469"/>
            <wp:cNvGraphicFramePr>
              <a:graphicFrameLocks/>
            </wp:cNvGraphicFramePr>
            <a:graphic>
              <a:graphicData uri="http://schemas.openxmlformats.org/drawingml/2006/picture">
                <pic:pic>
                  <pic:nvPicPr>
                    <pic:cNvPr id="469" name="Image 4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98" w:id="1900"/>
      <w:bookmarkEnd w:id="1900"/>
      <w:r>
        <w:rPr/>
      </w:r>
      <w:hyperlink w:history="true" w:anchor="_bookmark1858">
        <w:r>
          <w:rPr>
            <w:color w:val="005DA1"/>
            <w:spacing w:val="-4"/>
            <w:sz w:val="14"/>
            <w:u w:val="single" w:color="005DA1"/>
          </w:rPr>
          <w:t>999</w:t>
        </w:r>
      </w:hyperlink>
      <w:r>
        <w:rPr>
          <w:spacing w:val="-4"/>
          <w:sz w:val="14"/>
        </w:rPr>
        <w:t>.</w:t>
      </w:r>
    </w:p>
    <w:p>
      <w:pPr>
        <w:spacing w:line="235" w:lineRule="auto" w:before="212"/>
        <w:ind w:left="165" w:right="167" w:firstLine="170"/>
        <w:jc w:val="both"/>
        <w:rPr>
          <w:sz w:val="20"/>
        </w:rPr>
      </w:pPr>
      <w:r>
        <w:rPr/>
        <w:br w:type="column"/>
      </w:r>
      <w:r>
        <w:rPr>
          <w:sz w:val="20"/>
        </w:rPr>
        <w:t>The view was also cited with approval in the High Court of Australia: </w:t>
      </w:r>
      <w:r>
        <w:rPr>
          <w:rFonts w:ascii="Arial" w:hAnsi="Arial"/>
          <w:i/>
          <w:sz w:val="20"/>
        </w:rPr>
        <w:t>Esanda Finance </w:t>
      </w:r>
      <w:r>
        <w:rPr>
          <w:rFonts w:ascii="Arial" w:hAnsi="Arial"/>
          <w:i/>
          <w:sz w:val="20"/>
        </w:rPr>
        <w:t>Corp</w:t>
      </w:r>
      <w:r>
        <w:rPr>
          <w:rFonts w:ascii="Arial" w:hAnsi="Arial"/>
          <w:i/>
          <w:spacing w:val="40"/>
          <w:sz w:val="20"/>
        </w:rPr>
        <w:t> </w:t>
      </w:r>
      <w:r>
        <w:rPr>
          <w:rFonts w:ascii="Arial" w:hAnsi="Arial"/>
          <w:i/>
          <w:sz w:val="20"/>
        </w:rPr>
        <w:t>Ltd v Plessing (1989) 166 C.L.R. 131, 140</w:t>
      </w:r>
      <w:r>
        <w:rPr>
          <w:sz w:val="20"/>
        </w:rPr>
        <w:t>. See also Lord Neuberger and Lord Sumption’s descriptions of the doubts as to the basis of the doctrine, </w:t>
      </w:r>
      <w:r>
        <w:rPr>
          <w:rFonts w:ascii="Arial" w:hAnsi="Arial"/>
          <w:i/>
          <w:sz w:val="20"/>
        </w:rPr>
        <w:t>Cavendish Square Holding BV v Makdessi [2015] UKSC 67 </w:t>
      </w:r>
      <w:r>
        <w:rPr>
          <w:sz w:val="20"/>
        </w:rPr>
        <w:t>at [3].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25"/>
      </w:pPr>
    </w:p>
    <w:p>
      <w:pPr>
        <w:spacing w:before="0"/>
        <w:ind w:left="165" w:right="0" w:firstLine="0"/>
        <w:jc w:val="left"/>
        <w:rPr>
          <w:sz w:val="20"/>
        </w:rPr>
      </w:pPr>
      <w:bookmarkStart w:name="_bookmark1899" w:id="1901"/>
      <w:bookmarkEnd w:id="1901"/>
      <w:r>
        <w:rPr/>
      </w:r>
      <w:hyperlink w:history="true" w:anchor="_bookmark1859">
        <w:r>
          <w:rPr>
            <w:color w:val="005DA1"/>
            <w:sz w:val="20"/>
            <w:u w:val="single" w:color="005DA1"/>
            <w:vertAlign w:val="superscript"/>
          </w:rPr>
          <w:t>1000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Elsey</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J.G.</w:t>
      </w:r>
      <w:r>
        <w:rPr>
          <w:rFonts w:ascii="Arial"/>
          <w:i/>
          <w:spacing w:val="1"/>
          <w:sz w:val="20"/>
          <w:vertAlign w:val="baseline"/>
        </w:rPr>
        <w:t> </w:t>
      </w:r>
      <w:r>
        <w:rPr>
          <w:rFonts w:ascii="Arial"/>
          <w:i/>
          <w:sz w:val="20"/>
          <w:vertAlign w:val="baseline"/>
        </w:rPr>
        <w:t>Collins</w:t>
      </w:r>
      <w:r>
        <w:rPr>
          <w:rFonts w:ascii="Arial"/>
          <w:i/>
          <w:spacing w:val="1"/>
          <w:sz w:val="20"/>
          <w:vertAlign w:val="baseline"/>
        </w:rPr>
        <w:t> </w:t>
      </w:r>
      <w:r>
        <w:rPr>
          <w:rFonts w:ascii="Arial"/>
          <w:i/>
          <w:sz w:val="20"/>
          <w:vertAlign w:val="baseline"/>
        </w:rPr>
        <w:t>Insurance</w:t>
      </w:r>
      <w:r>
        <w:rPr>
          <w:rFonts w:ascii="Arial"/>
          <w:i/>
          <w:spacing w:val="2"/>
          <w:sz w:val="20"/>
          <w:vertAlign w:val="baseline"/>
        </w:rPr>
        <w:t> </w:t>
      </w:r>
      <w:r>
        <w:rPr>
          <w:rFonts w:ascii="Arial"/>
          <w:i/>
          <w:sz w:val="20"/>
          <w:vertAlign w:val="baseline"/>
        </w:rPr>
        <w:t>Agencies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(1978)</w:t>
      </w:r>
      <w:r>
        <w:rPr>
          <w:rFonts w:ascii="Arial"/>
          <w:i/>
          <w:spacing w:val="1"/>
          <w:sz w:val="20"/>
          <w:vertAlign w:val="baseline"/>
        </w:rPr>
        <w:t> </w:t>
      </w:r>
      <w:r>
        <w:rPr>
          <w:rFonts w:ascii="Arial"/>
          <w:i/>
          <w:sz w:val="20"/>
          <w:vertAlign w:val="baseline"/>
        </w:rPr>
        <w:t>83</w:t>
      </w:r>
      <w:r>
        <w:rPr>
          <w:rFonts w:ascii="Arial"/>
          <w:i/>
          <w:spacing w:val="1"/>
          <w:sz w:val="20"/>
          <w:vertAlign w:val="baseline"/>
        </w:rPr>
        <w:t> </w:t>
      </w:r>
      <w:r>
        <w:rPr>
          <w:rFonts w:ascii="Arial"/>
          <w:i/>
          <w:sz w:val="20"/>
          <w:vertAlign w:val="baseline"/>
        </w:rPr>
        <w:t>D.L.R.</w:t>
      </w:r>
      <w:r>
        <w:rPr>
          <w:rFonts w:ascii="Arial"/>
          <w:i/>
          <w:spacing w:val="2"/>
          <w:sz w:val="20"/>
          <w:vertAlign w:val="baseline"/>
        </w:rPr>
        <w:t> </w:t>
      </w:r>
      <w:r>
        <w:rPr>
          <w:rFonts w:ascii="Arial"/>
          <w:i/>
          <w:sz w:val="20"/>
          <w:vertAlign w:val="baseline"/>
        </w:rPr>
        <w:t>(3d.)</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pacing w:val="-5"/>
          <w:sz w:val="20"/>
          <w:vertAlign w:val="baseline"/>
        </w:rPr>
        <w:t>15</w:t>
      </w:r>
      <w:r>
        <w:rPr>
          <w:spacing w:val="-5"/>
          <w:sz w:val="20"/>
          <w:vertAlign w:val="baseline"/>
        </w:rPr>
        <w:t>.</w:t>
      </w:r>
    </w:p>
    <w:p>
      <w:pPr>
        <w:pStyle w:val="BodyText"/>
        <w:spacing w:before="125"/>
      </w:pPr>
    </w:p>
    <w:p>
      <w:pPr>
        <w:spacing w:before="0"/>
        <w:ind w:left="165" w:right="0" w:firstLine="0"/>
        <w:jc w:val="left"/>
        <w:rPr>
          <w:sz w:val="20"/>
        </w:rPr>
      </w:pPr>
      <w:bookmarkStart w:name="_bookmark1900" w:id="1902"/>
      <w:bookmarkEnd w:id="1902"/>
      <w:r>
        <w:rPr/>
      </w:r>
      <w:hyperlink w:history="true" w:anchor="_bookmark1860">
        <w:r>
          <w:rPr>
            <w:color w:val="005DA1"/>
            <w:sz w:val="20"/>
            <w:u w:val="single" w:color="005DA1"/>
            <w:vertAlign w:val="superscript"/>
          </w:rPr>
          <w:t>1001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Robophone</w:t>
      </w:r>
      <w:r>
        <w:rPr>
          <w:rFonts w:ascii="Arial"/>
          <w:i/>
          <w:spacing w:val="2"/>
          <w:sz w:val="20"/>
          <w:vertAlign w:val="baseline"/>
        </w:rPr>
        <w:t> </w:t>
      </w:r>
      <w:r>
        <w:rPr>
          <w:rFonts w:ascii="Arial"/>
          <w:i/>
          <w:sz w:val="20"/>
          <w:vertAlign w:val="baseline"/>
        </w:rPr>
        <w:t>Facilities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Blank</w:t>
      </w:r>
      <w:r>
        <w:rPr>
          <w:rFonts w:ascii="Arial"/>
          <w:i/>
          <w:spacing w:val="2"/>
          <w:sz w:val="20"/>
          <w:vertAlign w:val="baseline"/>
        </w:rPr>
        <w:t> </w:t>
      </w:r>
      <w:r>
        <w:rPr>
          <w:rFonts w:ascii="Arial"/>
          <w:i/>
          <w:sz w:val="20"/>
          <w:vertAlign w:val="baseline"/>
        </w:rPr>
        <w:t>[1966]</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2"/>
          <w:sz w:val="20"/>
          <w:vertAlign w:val="baseline"/>
        </w:rPr>
        <w:t> </w:t>
      </w:r>
      <w:r>
        <w:rPr>
          <w:rFonts w:ascii="Arial"/>
          <w:i/>
          <w:sz w:val="20"/>
          <w:vertAlign w:val="baseline"/>
        </w:rPr>
        <w:t>1428,</w:t>
      </w:r>
      <w:r>
        <w:rPr>
          <w:rFonts w:ascii="Arial"/>
          <w:i/>
          <w:spacing w:val="2"/>
          <w:sz w:val="20"/>
          <w:vertAlign w:val="baseline"/>
        </w:rPr>
        <w:t> </w:t>
      </w:r>
      <w:r>
        <w:rPr>
          <w:rFonts w:ascii="Arial"/>
          <w:i/>
          <w:spacing w:val="-2"/>
          <w:sz w:val="20"/>
          <w:vertAlign w:val="baseline"/>
        </w:rPr>
        <w:t>1447</w:t>
      </w:r>
      <w:r>
        <w:rPr>
          <w:spacing w:val="-2"/>
          <w:sz w:val="20"/>
          <w:vertAlign w:val="baseline"/>
        </w:rPr>
        <w:t>.</w:t>
      </w:r>
    </w:p>
    <w:p>
      <w:pPr>
        <w:pStyle w:val="BodyText"/>
        <w:spacing w:before="129"/>
      </w:pPr>
    </w:p>
    <w:p>
      <w:pPr>
        <w:spacing w:line="235" w:lineRule="auto" w:before="0"/>
        <w:ind w:left="705" w:right="168" w:hanging="541"/>
        <w:jc w:val="both"/>
        <w:rPr>
          <w:sz w:val="20"/>
        </w:rPr>
      </w:pPr>
      <w:bookmarkStart w:name="_bookmark1901" w:id="1903"/>
      <w:bookmarkEnd w:id="1903"/>
      <w:r>
        <w:rPr/>
      </w:r>
      <w:hyperlink w:history="true" w:anchor="_bookmark1861">
        <w:r>
          <w:rPr>
            <w:color w:val="005DA1"/>
            <w:sz w:val="20"/>
            <w:u w:val="single" w:color="005DA1"/>
            <w:vertAlign w:val="superscript"/>
          </w:rPr>
          <w:t>1002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Alfred McAlpine Capital Projects Ltd v Tilebox Ltd [2005] Build. L.R. 271 (TCC) </w:t>
      </w:r>
      <w:r>
        <w:rPr>
          <w:sz w:val="20"/>
          <w:vertAlign w:val="baseline"/>
        </w:rPr>
        <w:t>at [48]. See also the </w:t>
      </w:r>
      <w:r>
        <w:rPr>
          <w:rFonts w:ascii="Arial"/>
          <w:i/>
          <w:sz w:val="20"/>
          <w:vertAlign w:val="baseline"/>
        </w:rPr>
        <w:t>Cavendish Square case [2015] UKSC 67 </w:t>
      </w:r>
      <w:r>
        <w:rPr>
          <w:sz w:val="20"/>
          <w:vertAlign w:val="baseline"/>
        </w:rPr>
        <w:t>at [33].</w:t>
      </w:r>
    </w:p>
    <w:p>
      <w:pPr>
        <w:pStyle w:val="BodyText"/>
        <w:spacing w:before="129"/>
      </w:pPr>
    </w:p>
    <w:p>
      <w:pPr>
        <w:spacing w:line="235" w:lineRule="auto" w:before="0"/>
        <w:ind w:left="705" w:right="167" w:hanging="541"/>
        <w:jc w:val="both"/>
        <w:rPr>
          <w:sz w:val="20"/>
        </w:rPr>
      </w:pPr>
      <w:bookmarkStart w:name="_bookmark1902" w:id="1904"/>
      <w:bookmarkEnd w:id="1904"/>
      <w:r>
        <w:rPr/>
      </w:r>
      <w:hyperlink w:history="true" w:anchor="_bookmark1862">
        <w:r>
          <w:rPr>
            <w:color w:val="005DA1"/>
            <w:sz w:val="20"/>
            <w:u w:val="single" w:color="005DA1"/>
            <w:vertAlign w:val="superscript"/>
          </w:rPr>
          <w:t>1003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Lordsvale Finance Plc v Bank of Zambia [1996] Q.B. 752, 762–764</w:t>
      </w:r>
      <w:r>
        <w:rPr>
          <w:sz w:val="20"/>
          <w:vertAlign w:val="baseline"/>
        </w:rPr>
        <w:t>, cited with approval in</w:t>
      </w:r>
      <w:r>
        <w:rPr>
          <w:spacing w:val="80"/>
          <w:sz w:val="20"/>
          <w:vertAlign w:val="baseline"/>
        </w:rPr>
        <w:t> </w:t>
      </w:r>
      <w:r>
        <w:rPr>
          <w:rFonts w:ascii="Arial" w:hAnsi="Arial"/>
          <w:i/>
          <w:sz w:val="20"/>
          <w:vertAlign w:val="baseline"/>
        </w:rPr>
        <w:t>Euro London Appointments Ltd v Claessens International Ltd [2006] EWCA Civ 385, [2006] </w:t>
      </w:r>
      <w:r>
        <w:rPr>
          <w:rFonts w:ascii="Arial" w:hAnsi="Arial"/>
          <w:i/>
          <w:sz w:val="20"/>
          <w:vertAlign w:val="baseline"/>
        </w:rPr>
        <w:t>2 Lloyd’s Rep. 436 </w:t>
      </w:r>
      <w:r>
        <w:rPr>
          <w:sz w:val="20"/>
          <w:vertAlign w:val="baseline"/>
        </w:rPr>
        <w:t>at [30].</w:t>
      </w:r>
    </w:p>
    <w:p>
      <w:pPr>
        <w:pStyle w:val="BodyText"/>
        <w:spacing w:before="129"/>
      </w:pPr>
    </w:p>
    <w:p>
      <w:pPr>
        <w:pStyle w:val="BodyText"/>
        <w:spacing w:line="235" w:lineRule="auto"/>
        <w:ind w:left="705" w:right="167" w:hanging="541"/>
      </w:pPr>
      <w:bookmarkStart w:name="_bookmark1903" w:id="1905"/>
      <w:bookmarkEnd w:id="1905"/>
      <w:r>
        <w:rPr/>
      </w:r>
      <w:hyperlink w:history="true" w:anchor="_bookmark1863">
        <w:r>
          <w:rPr>
            <w:color w:val="005DA1"/>
            <w:u w:val="single" w:color="005DA1"/>
            <w:vertAlign w:val="superscript"/>
          </w:rPr>
          <w:t>1004</w:t>
        </w:r>
      </w:hyperlink>
      <w:r>
        <w:rPr>
          <w:vertAlign w:val="superscript"/>
        </w:rPr>
        <w:t>.</w:t>
      </w:r>
      <w:r>
        <w:rPr>
          <w:spacing w:val="39"/>
          <w:vertAlign w:val="baseline"/>
        </w:rPr>
        <w:t>  </w:t>
      </w:r>
      <w:r>
        <w:rPr>
          <w:spacing w:val="23"/>
          <w:position w:val="-2"/>
          <w:vertAlign w:val="baseline"/>
        </w:rPr>
        <w:drawing>
          <wp:inline distT="0" distB="0" distL="0" distR="0">
            <wp:extent cx="107988" cy="107988"/>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70"/>
          <w:vertAlign w:val="baseline"/>
        </w:rPr>
        <w:t> </w:t>
      </w:r>
      <w:r>
        <w:rPr>
          <w:rFonts w:ascii="Arial"/>
          <w:i/>
          <w:vertAlign w:val="baseline"/>
        </w:rPr>
        <w:t>UKSC</w:t>
      </w:r>
      <w:r>
        <w:rPr>
          <w:rFonts w:ascii="Arial"/>
          <w:i/>
          <w:spacing w:val="70"/>
          <w:vertAlign w:val="baseline"/>
        </w:rPr>
        <w:t> </w:t>
      </w:r>
      <w:r>
        <w:rPr>
          <w:rFonts w:ascii="Arial"/>
          <w:i/>
          <w:vertAlign w:val="baseline"/>
        </w:rPr>
        <w:t>67</w:t>
      </w:r>
      <w:r>
        <w:rPr>
          <w:rFonts w:ascii="Arial"/>
          <w:i/>
          <w:spacing w:val="70"/>
          <w:vertAlign w:val="baseline"/>
        </w:rPr>
        <w:t> </w:t>
      </w:r>
      <w:r>
        <w:rPr>
          <w:vertAlign w:val="baseline"/>
        </w:rPr>
        <w:t>at</w:t>
      </w:r>
      <w:r>
        <w:rPr>
          <w:spacing w:val="70"/>
          <w:vertAlign w:val="baseline"/>
        </w:rPr>
        <w:t> </w:t>
      </w:r>
      <w:r>
        <w:rPr>
          <w:vertAlign w:val="baseline"/>
        </w:rPr>
        <w:t>[32].</w:t>
      </w:r>
      <w:r>
        <w:rPr>
          <w:spacing w:val="70"/>
          <w:vertAlign w:val="baseline"/>
        </w:rPr>
        <w:t> </w:t>
      </w:r>
      <w:r>
        <w:rPr>
          <w:vertAlign w:val="baseline"/>
        </w:rPr>
        <w:t>On</w:t>
      </w:r>
      <w:r>
        <w:rPr>
          <w:spacing w:val="70"/>
          <w:vertAlign w:val="baseline"/>
        </w:rPr>
        <w:t> </w:t>
      </w:r>
      <w:r>
        <w:rPr>
          <w:vertAlign w:val="baseline"/>
        </w:rPr>
        <w:t>the</w:t>
      </w:r>
      <w:r>
        <w:rPr>
          <w:spacing w:val="70"/>
          <w:vertAlign w:val="baseline"/>
        </w:rPr>
        <w:t> </w:t>
      </w:r>
      <w:r>
        <w:rPr>
          <w:vertAlign w:val="baseline"/>
        </w:rPr>
        <w:t>role</w:t>
      </w:r>
      <w:r>
        <w:rPr>
          <w:spacing w:val="70"/>
          <w:vertAlign w:val="baseline"/>
        </w:rPr>
        <w:t> </w:t>
      </w:r>
      <w:r>
        <w:rPr>
          <w:vertAlign w:val="baseline"/>
        </w:rPr>
        <w:t>of</w:t>
      </w:r>
      <w:r>
        <w:rPr>
          <w:spacing w:val="70"/>
          <w:vertAlign w:val="baseline"/>
        </w:rPr>
        <w:t> </w:t>
      </w:r>
      <w:r>
        <w:rPr>
          <w:vertAlign w:val="baseline"/>
        </w:rPr>
        <w:t>unconscionability</w:t>
      </w:r>
      <w:r>
        <w:rPr>
          <w:spacing w:val="70"/>
          <w:vertAlign w:val="baseline"/>
        </w:rPr>
        <w:t> </w:t>
      </w:r>
      <w:r>
        <w:rPr>
          <w:vertAlign w:val="baseline"/>
        </w:rPr>
        <w:t>in</w:t>
      </w:r>
      <w:r>
        <w:rPr>
          <w:spacing w:val="70"/>
          <w:vertAlign w:val="baseline"/>
        </w:rPr>
        <w:t> </w:t>
      </w:r>
      <w:r>
        <w:rPr>
          <w:vertAlign w:val="baseline"/>
        </w:rPr>
        <w:t>this</w:t>
      </w:r>
      <w:r>
        <w:rPr>
          <w:spacing w:val="70"/>
          <w:vertAlign w:val="baseline"/>
        </w:rPr>
        <w:t> </w:t>
      </w:r>
      <w:r>
        <w:rPr>
          <w:vertAlign w:val="baseline"/>
        </w:rPr>
        <w:t>context,</w:t>
      </w:r>
      <w:r>
        <w:rPr>
          <w:spacing w:val="70"/>
          <w:vertAlign w:val="baseline"/>
        </w:rPr>
        <w:t> </w:t>
      </w:r>
      <w:r>
        <w:rPr>
          <w:vertAlign w:val="baseline"/>
        </w:rPr>
        <w:t>see</w:t>
      </w:r>
      <w:r>
        <w:rPr>
          <w:spacing w:val="70"/>
          <w:vertAlign w:val="baseline"/>
        </w:rPr>
        <w:t> </w:t>
      </w:r>
      <w:r>
        <w:rPr>
          <w:vertAlign w:val="baseline"/>
        </w:rPr>
        <w:t>below, </w:t>
      </w:r>
      <w:r>
        <w:rPr>
          <w:spacing w:val="-2"/>
          <w:vertAlign w:val="baseline"/>
        </w:rPr>
        <w:t>para.26-214.</w:t>
      </w:r>
    </w:p>
    <w:p>
      <w:pPr>
        <w:pStyle w:val="BodyText"/>
        <w:spacing w:before="125"/>
      </w:pPr>
    </w:p>
    <w:p>
      <w:pPr>
        <w:spacing w:line="227" w:lineRule="exact" w:before="1"/>
        <w:ind w:left="165" w:right="0" w:firstLine="0"/>
        <w:jc w:val="left"/>
        <w:rPr>
          <w:sz w:val="20"/>
        </w:rPr>
      </w:pPr>
      <w:bookmarkStart w:name="_bookmark1904" w:id="1906"/>
      <w:bookmarkEnd w:id="1906"/>
      <w:r>
        <w:rPr/>
      </w:r>
      <w:hyperlink w:history="true" w:anchor="_bookmark1864">
        <w:r>
          <w:rPr>
            <w:color w:val="005DA1"/>
            <w:sz w:val="20"/>
            <w:u w:val="single" w:color="005DA1"/>
            <w:vertAlign w:val="superscript"/>
          </w:rPr>
          <w:t>1005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Makdessi</w:t>
      </w:r>
      <w:r>
        <w:rPr>
          <w:rFonts w:ascii="Arial"/>
          <w:i/>
          <w:spacing w:val="7"/>
          <w:sz w:val="20"/>
          <w:vertAlign w:val="baseline"/>
        </w:rPr>
        <w:t> </w:t>
      </w:r>
      <w:r>
        <w:rPr>
          <w:rFonts w:ascii="Arial"/>
          <w:i/>
          <w:sz w:val="20"/>
          <w:vertAlign w:val="baseline"/>
        </w:rPr>
        <w:t>v</w:t>
      </w:r>
      <w:r>
        <w:rPr>
          <w:rFonts w:ascii="Arial"/>
          <w:i/>
          <w:spacing w:val="7"/>
          <w:sz w:val="20"/>
          <w:vertAlign w:val="baseline"/>
        </w:rPr>
        <w:t> </w:t>
      </w:r>
      <w:r>
        <w:rPr>
          <w:rFonts w:ascii="Arial"/>
          <w:i/>
          <w:sz w:val="20"/>
          <w:vertAlign w:val="baseline"/>
        </w:rPr>
        <w:t>Cavendish</w:t>
      </w:r>
      <w:r>
        <w:rPr>
          <w:rFonts w:ascii="Arial"/>
          <w:i/>
          <w:spacing w:val="7"/>
          <w:sz w:val="20"/>
          <w:vertAlign w:val="baseline"/>
        </w:rPr>
        <w:t> </w:t>
      </w:r>
      <w:r>
        <w:rPr>
          <w:rFonts w:ascii="Arial"/>
          <w:i/>
          <w:sz w:val="20"/>
          <w:vertAlign w:val="baseline"/>
        </w:rPr>
        <w:t>Square</w:t>
      </w:r>
      <w:r>
        <w:rPr>
          <w:rFonts w:ascii="Arial"/>
          <w:i/>
          <w:spacing w:val="7"/>
          <w:sz w:val="20"/>
          <w:vertAlign w:val="baseline"/>
        </w:rPr>
        <w:t> </w:t>
      </w:r>
      <w:r>
        <w:rPr>
          <w:rFonts w:ascii="Arial"/>
          <w:i/>
          <w:sz w:val="20"/>
          <w:vertAlign w:val="baseline"/>
        </w:rPr>
        <w:t>Holdings</w:t>
      </w:r>
      <w:r>
        <w:rPr>
          <w:rFonts w:ascii="Arial"/>
          <w:i/>
          <w:spacing w:val="7"/>
          <w:sz w:val="20"/>
          <w:vertAlign w:val="baseline"/>
        </w:rPr>
        <w:t> </w:t>
      </w:r>
      <w:r>
        <w:rPr>
          <w:rFonts w:ascii="Arial"/>
          <w:i/>
          <w:sz w:val="20"/>
          <w:vertAlign w:val="baseline"/>
        </w:rPr>
        <w:t>BV</w:t>
      </w:r>
      <w:r>
        <w:rPr>
          <w:rFonts w:ascii="Arial"/>
          <w:i/>
          <w:spacing w:val="7"/>
          <w:sz w:val="20"/>
          <w:vertAlign w:val="baseline"/>
        </w:rPr>
        <w:t> </w:t>
      </w:r>
      <w:r>
        <w:rPr>
          <w:rFonts w:ascii="Arial"/>
          <w:i/>
          <w:sz w:val="20"/>
          <w:vertAlign w:val="baseline"/>
        </w:rPr>
        <w:t>[2013]</w:t>
      </w:r>
      <w:r>
        <w:rPr>
          <w:rFonts w:ascii="Arial"/>
          <w:i/>
          <w:spacing w:val="8"/>
          <w:sz w:val="20"/>
          <w:vertAlign w:val="baseline"/>
        </w:rPr>
        <w:t> </w:t>
      </w:r>
      <w:r>
        <w:rPr>
          <w:rFonts w:ascii="Arial"/>
          <w:i/>
          <w:sz w:val="20"/>
          <w:vertAlign w:val="baseline"/>
        </w:rPr>
        <w:t>EWCA</w:t>
      </w:r>
      <w:r>
        <w:rPr>
          <w:rFonts w:ascii="Arial"/>
          <w:i/>
          <w:spacing w:val="7"/>
          <w:sz w:val="20"/>
          <w:vertAlign w:val="baseline"/>
        </w:rPr>
        <w:t> </w:t>
      </w:r>
      <w:r>
        <w:rPr>
          <w:rFonts w:ascii="Arial"/>
          <w:i/>
          <w:sz w:val="20"/>
          <w:vertAlign w:val="baseline"/>
        </w:rPr>
        <w:t>Civ</w:t>
      </w:r>
      <w:r>
        <w:rPr>
          <w:rFonts w:ascii="Arial"/>
          <w:i/>
          <w:spacing w:val="7"/>
          <w:sz w:val="20"/>
          <w:vertAlign w:val="baseline"/>
        </w:rPr>
        <w:t> </w:t>
      </w:r>
      <w:r>
        <w:rPr>
          <w:rFonts w:ascii="Arial"/>
          <w:i/>
          <w:sz w:val="20"/>
          <w:vertAlign w:val="baseline"/>
        </w:rPr>
        <w:t>1539;</w:t>
      </w:r>
      <w:r>
        <w:rPr>
          <w:rFonts w:ascii="Arial"/>
          <w:i/>
          <w:spacing w:val="7"/>
          <w:sz w:val="20"/>
          <w:vertAlign w:val="baseline"/>
        </w:rPr>
        <w:t> </w:t>
      </w:r>
      <w:r>
        <w:rPr>
          <w:rFonts w:ascii="Arial"/>
          <w:i/>
          <w:sz w:val="20"/>
          <w:vertAlign w:val="baseline"/>
        </w:rPr>
        <w:t>[2015]</w:t>
      </w:r>
      <w:r>
        <w:rPr>
          <w:rFonts w:ascii="Arial"/>
          <w:i/>
          <w:spacing w:val="7"/>
          <w:sz w:val="20"/>
          <w:vertAlign w:val="baseline"/>
        </w:rPr>
        <w:t> </w:t>
      </w:r>
      <w:r>
        <w:rPr>
          <w:rFonts w:ascii="Arial"/>
          <w:i/>
          <w:sz w:val="20"/>
          <w:vertAlign w:val="baseline"/>
        </w:rPr>
        <w:t>UKHL</w:t>
      </w:r>
      <w:r>
        <w:rPr>
          <w:rFonts w:ascii="Arial"/>
          <w:i/>
          <w:spacing w:val="7"/>
          <w:sz w:val="20"/>
          <w:vertAlign w:val="baseline"/>
        </w:rPr>
        <w:t> </w:t>
      </w:r>
      <w:r>
        <w:rPr>
          <w:rFonts w:ascii="Arial"/>
          <w:i/>
          <w:sz w:val="20"/>
          <w:vertAlign w:val="baseline"/>
        </w:rPr>
        <w:t>67</w:t>
      </w:r>
      <w:r>
        <w:rPr>
          <w:sz w:val="20"/>
          <w:vertAlign w:val="baseline"/>
        </w:rPr>
        <w:t>,</w:t>
      </w:r>
      <w:r>
        <w:rPr>
          <w:spacing w:val="8"/>
          <w:sz w:val="20"/>
          <w:vertAlign w:val="baseline"/>
        </w:rPr>
        <w:t> </w:t>
      </w:r>
      <w:r>
        <w:rPr>
          <w:sz w:val="20"/>
          <w:vertAlign w:val="baseline"/>
        </w:rPr>
        <w:t>esp.</w:t>
      </w:r>
      <w:r>
        <w:rPr>
          <w:spacing w:val="7"/>
          <w:sz w:val="20"/>
          <w:vertAlign w:val="baseline"/>
        </w:rPr>
        <w:t> </w:t>
      </w:r>
      <w:r>
        <w:rPr>
          <w:spacing w:val="-5"/>
          <w:sz w:val="20"/>
          <w:vertAlign w:val="baseline"/>
        </w:rPr>
        <w:t>at</w:t>
      </w:r>
    </w:p>
    <w:p>
      <w:pPr>
        <w:pStyle w:val="BodyText"/>
        <w:spacing w:line="227" w:lineRule="exact"/>
        <w:ind w:left="705"/>
      </w:pPr>
      <w:r>
        <w:rPr/>
        <w:t>[257] (Lord </w:t>
      </w:r>
      <w:r>
        <w:rPr>
          <w:spacing w:val="-2"/>
        </w:rPr>
        <w:t>Hodge).</w:t>
      </w:r>
    </w:p>
    <w:p>
      <w:pPr>
        <w:pStyle w:val="BodyText"/>
        <w:spacing w:before="124"/>
      </w:pPr>
    </w:p>
    <w:p>
      <w:pPr>
        <w:spacing w:before="1"/>
        <w:ind w:left="165" w:right="0" w:firstLine="0"/>
        <w:jc w:val="left"/>
        <w:rPr>
          <w:sz w:val="20"/>
        </w:rPr>
      </w:pPr>
      <w:bookmarkStart w:name="_bookmark1905" w:id="1907"/>
      <w:bookmarkEnd w:id="1907"/>
      <w:r>
        <w:rPr/>
      </w:r>
      <w:hyperlink w:history="true" w:anchor="_bookmark1865">
        <w:r>
          <w:rPr>
            <w:color w:val="005DA1"/>
            <w:sz w:val="20"/>
            <w:u w:val="single" w:color="005DA1"/>
            <w:vertAlign w:val="superscript"/>
          </w:rPr>
          <w:t>1006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Sainter</w:t>
      </w:r>
      <w:r>
        <w:rPr>
          <w:rFonts w:ascii="Arial"/>
          <w:i/>
          <w:spacing w:val="3"/>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Ferguson</w:t>
      </w:r>
      <w:r>
        <w:rPr>
          <w:rFonts w:ascii="Arial"/>
          <w:i/>
          <w:spacing w:val="2"/>
          <w:sz w:val="20"/>
          <w:vertAlign w:val="baseline"/>
        </w:rPr>
        <w:t> </w:t>
      </w:r>
      <w:r>
        <w:rPr>
          <w:rFonts w:ascii="Arial"/>
          <w:i/>
          <w:sz w:val="20"/>
          <w:vertAlign w:val="baseline"/>
        </w:rPr>
        <w:t>(1849)</w:t>
      </w:r>
      <w:r>
        <w:rPr>
          <w:rFonts w:ascii="Arial"/>
          <w:i/>
          <w:spacing w:val="2"/>
          <w:sz w:val="20"/>
          <w:vertAlign w:val="baseline"/>
        </w:rPr>
        <w:t> </w:t>
      </w:r>
      <w:r>
        <w:rPr>
          <w:rFonts w:ascii="Arial"/>
          <w:i/>
          <w:sz w:val="20"/>
          <w:vertAlign w:val="baseline"/>
        </w:rPr>
        <w:t>7</w:t>
      </w:r>
      <w:r>
        <w:rPr>
          <w:rFonts w:ascii="Arial"/>
          <w:i/>
          <w:spacing w:val="3"/>
          <w:sz w:val="20"/>
          <w:vertAlign w:val="baseline"/>
        </w:rPr>
        <w:t> </w:t>
      </w:r>
      <w:r>
        <w:rPr>
          <w:rFonts w:ascii="Arial"/>
          <w:i/>
          <w:sz w:val="20"/>
          <w:vertAlign w:val="baseline"/>
        </w:rPr>
        <w:t>C.B.</w:t>
      </w:r>
      <w:r>
        <w:rPr>
          <w:rFonts w:ascii="Arial"/>
          <w:i/>
          <w:spacing w:val="2"/>
          <w:sz w:val="20"/>
          <w:vertAlign w:val="baseline"/>
        </w:rPr>
        <w:t> </w:t>
      </w:r>
      <w:r>
        <w:rPr>
          <w:rFonts w:ascii="Arial"/>
          <w:i/>
          <w:sz w:val="20"/>
          <w:vertAlign w:val="baseline"/>
        </w:rPr>
        <w:t>716,</w:t>
      </w:r>
      <w:r>
        <w:rPr>
          <w:rFonts w:ascii="Arial"/>
          <w:i/>
          <w:spacing w:val="2"/>
          <w:sz w:val="20"/>
          <w:vertAlign w:val="baseline"/>
        </w:rPr>
        <w:t> </w:t>
      </w:r>
      <w:r>
        <w:rPr>
          <w:rFonts w:ascii="Arial"/>
          <w:i/>
          <w:spacing w:val="-4"/>
          <w:sz w:val="20"/>
          <w:vertAlign w:val="baseline"/>
        </w:rPr>
        <w:t>727</w:t>
      </w:r>
      <w:r>
        <w:rPr>
          <w:spacing w:val="-4"/>
          <w:sz w:val="20"/>
          <w:vertAlign w:val="baseline"/>
        </w:rPr>
        <w:t>.</w:t>
      </w:r>
    </w:p>
    <w:p>
      <w:pPr>
        <w:pStyle w:val="BodyText"/>
        <w:spacing w:before="128"/>
      </w:pPr>
    </w:p>
    <w:p>
      <w:pPr>
        <w:pStyle w:val="BodyText"/>
        <w:spacing w:line="235" w:lineRule="auto"/>
        <w:ind w:left="705" w:hanging="541"/>
      </w:pPr>
      <w:bookmarkStart w:name="_bookmark1906" w:id="1908"/>
      <w:bookmarkEnd w:id="1908"/>
      <w:r>
        <w:rPr/>
      </w:r>
      <w:hyperlink w:history="true" w:anchor="_bookmark1866">
        <w:r>
          <w:rPr>
            <w:color w:val="005DA1"/>
            <w:u w:val="single" w:color="005DA1"/>
            <w:vertAlign w:val="superscript"/>
          </w:rPr>
          <w:t>1007</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24"/>
          <w:vertAlign w:val="baseline"/>
        </w:rPr>
        <w:t> </w:t>
      </w:r>
      <w:r>
        <w:rPr>
          <w:rFonts w:ascii="Arial"/>
          <w:i/>
          <w:vertAlign w:val="baseline"/>
        </w:rPr>
        <w:t>UKSC</w:t>
      </w:r>
      <w:r>
        <w:rPr>
          <w:rFonts w:ascii="Arial"/>
          <w:i/>
          <w:spacing w:val="24"/>
          <w:vertAlign w:val="baseline"/>
        </w:rPr>
        <w:t> </w:t>
      </w:r>
      <w:r>
        <w:rPr>
          <w:rFonts w:ascii="Arial"/>
          <w:i/>
          <w:vertAlign w:val="baseline"/>
        </w:rPr>
        <w:t>67,</w:t>
      </w:r>
      <w:r>
        <w:rPr>
          <w:rFonts w:ascii="Arial"/>
          <w:i/>
          <w:spacing w:val="24"/>
          <w:vertAlign w:val="baseline"/>
        </w:rPr>
        <w:t> </w:t>
      </w:r>
      <w:r>
        <w:rPr>
          <w:rFonts w:ascii="Arial"/>
          <w:i/>
          <w:vertAlign w:val="baseline"/>
        </w:rPr>
        <w:t>[2016]</w:t>
      </w:r>
      <w:r>
        <w:rPr>
          <w:rFonts w:ascii="Arial"/>
          <w:i/>
          <w:spacing w:val="24"/>
          <w:vertAlign w:val="baseline"/>
        </w:rPr>
        <w:t> </w:t>
      </w:r>
      <w:r>
        <w:rPr>
          <w:rFonts w:ascii="Arial"/>
          <w:i/>
          <w:vertAlign w:val="baseline"/>
        </w:rPr>
        <w:t>A.C.</w:t>
      </w:r>
      <w:r>
        <w:rPr>
          <w:rFonts w:ascii="Arial"/>
          <w:i/>
          <w:spacing w:val="24"/>
          <w:vertAlign w:val="baseline"/>
        </w:rPr>
        <w:t> </w:t>
      </w:r>
      <w:r>
        <w:rPr>
          <w:rFonts w:ascii="Arial"/>
          <w:i/>
          <w:vertAlign w:val="baseline"/>
        </w:rPr>
        <w:t>1172</w:t>
      </w:r>
      <w:r>
        <w:rPr>
          <w:rFonts w:ascii="Arial"/>
          <w:i/>
          <w:spacing w:val="24"/>
          <w:vertAlign w:val="baseline"/>
        </w:rPr>
        <w:t> </w:t>
      </w:r>
      <w:r>
        <w:rPr>
          <w:vertAlign w:val="baseline"/>
        </w:rPr>
        <w:t>at</w:t>
      </w:r>
      <w:r>
        <w:rPr>
          <w:spacing w:val="24"/>
          <w:vertAlign w:val="baseline"/>
        </w:rPr>
        <w:t> </w:t>
      </w:r>
      <w:r>
        <w:rPr>
          <w:vertAlign w:val="baseline"/>
        </w:rPr>
        <w:t>[9]</w:t>
      </w:r>
      <w:r>
        <w:rPr>
          <w:spacing w:val="24"/>
          <w:vertAlign w:val="baseline"/>
        </w:rPr>
        <w:t> </w:t>
      </w:r>
      <w:r>
        <w:rPr>
          <w:vertAlign w:val="baseline"/>
        </w:rPr>
        <w:t>(Lords</w:t>
      </w:r>
      <w:r>
        <w:rPr>
          <w:spacing w:val="24"/>
          <w:vertAlign w:val="baseline"/>
        </w:rPr>
        <w:t> </w:t>
      </w:r>
      <w:r>
        <w:rPr>
          <w:vertAlign w:val="baseline"/>
        </w:rPr>
        <w:t>Neuberger</w:t>
      </w:r>
      <w:r>
        <w:rPr>
          <w:spacing w:val="24"/>
          <w:vertAlign w:val="baseline"/>
        </w:rPr>
        <w:t> </w:t>
      </w:r>
      <w:r>
        <w:rPr>
          <w:vertAlign w:val="baseline"/>
        </w:rPr>
        <w:t>and</w:t>
      </w:r>
      <w:r>
        <w:rPr>
          <w:spacing w:val="24"/>
          <w:vertAlign w:val="baseline"/>
        </w:rPr>
        <w:t> </w:t>
      </w:r>
      <w:r>
        <w:rPr>
          <w:vertAlign w:val="baseline"/>
        </w:rPr>
        <w:t>Sumption)</w:t>
      </w:r>
      <w:r>
        <w:rPr>
          <w:spacing w:val="24"/>
          <w:vertAlign w:val="baseline"/>
        </w:rPr>
        <w:t> </w:t>
      </w:r>
      <w:r>
        <w:rPr>
          <w:vertAlign w:val="baseline"/>
        </w:rPr>
        <w:t>and</w:t>
      </w:r>
      <w:r>
        <w:rPr>
          <w:spacing w:val="24"/>
          <w:vertAlign w:val="baseline"/>
        </w:rPr>
        <w:t> </w:t>
      </w:r>
      <w:r>
        <w:rPr>
          <w:vertAlign w:val="baseline"/>
        </w:rPr>
        <w:t>[243]</w:t>
      </w:r>
      <w:r>
        <w:rPr>
          <w:spacing w:val="24"/>
          <w:vertAlign w:val="baseline"/>
        </w:rPr>
        <w:t> </w:t>
      </w:r>
      <w:r>
        <w:rPr>
          <w:vertAlign w:val="baseline"/>
        </w:rPr>
        <w:t>(Lord Hodge). See particularly on the construction point Dawson [2016] L.M.C.L.Q. 207.</w:t>
      </w:r>
    </w:p>
    <w:p>
      <w:pPr>
        <w:pStyle w:val="BodyText"/>
        <w:spacing w:before="130"/>
      </w:pPr>
    </w:p>
    <w:p>
      <w:pPr>
        <w:pStyle w:val="BodyText"/>
        <w:spacing w:line="235" w:lineRule="auto"/>
        <w:ind w:left="705" w:hanging="541"/>
      </w:pPr>
      <w:bookmarkStart w:name="_bookmark1907" w:id="1909"/>
      <w:bookmarkEnd w:id="1909"/>
      <w:r>
        <w:rPr/>
      </w:r>
      <w:hyperlink w:history="true" w:anchor="_bookmark1867">
        <w:r>
          <w:rPr>
            <w:color w:val="005DA1"/>
            <w:u w:val="single" w:color="005DA1"/>
            <w:vertAlign w:val="superscript"/>
          </w:rPr>
          <w:t>1008</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the two-stage process (interpretation of the agreement to ascertain the parties’ rights and obligations,</w:t>
      </w:r>
      <w:r>
        <w:rPr>
          <w:spacing w:val="35"/>
          <w:vertAlign w:val="baseline"/>
        </w:rPr>
        <w:t> </w:t>
      </w:r>
      <w:r>
        <w:rPr>
          <w:vertAlign w:val="baseline"/>
        </w:rPr>
        <w:t>followed</w:t>
      </w:r>
      <w:r>
        <w:rPr>
          <w:spacing w:val="35"/>
          <w:vertAlign w:val="baseline"/>
        </w:rPr>
        <w:t> </w:t>
      </w:r>
      <w:r>
        <w:rPr>
          <w:vertAlign w:val="baseline"/>
        </w:rPr>
        <w:t>by</w:t>
      </w:r>
      <w:r>
        <w:rPr>
          <w:spacing w:val="35"/>
          <w:vertAlign w:val="baseline"/>
        </w:rPr>
        <w:t> </w:t>
      </w:r>
      <w:r>
        <w:rPr>
          <w:vertAlign w:val="baseline"/>
        </w:rPr>
        <w:t>correct</w:t>
      </w:r>
      <w:r>
        <w:rPr>
          <w:spacing w:val="35"/>
          <w:vertAlign w:val="baseline"/>
        </w:rPr>
        <w:t> </w:t>
      </w:r>
      <w:r>
        <w:rPr>
          <w:vertAlign w:val="baseline"/>
        </w:rPr>
        <w:t>characterisation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agreement)</w:t>
      </w:r>
      <w:r>
        <w:rPr>
          <w:spacing w:val="35"/>
          <w:vertAlign w:val="baseline"/>
        </w:rPr>
        <w:t> </w:t>
      </w:r>
      <w:r>
        <w:rPr>
          <w:vertAlign w:val="baseline"/>
        </w:rPr>
        <w:t>set</w:t>
      </w:r>
      <w:r>
        <w:rPr>
          <w:spacing w:val="35"/>
          <w:vertAlign w:val="baseline"/>
        </w:rPr>
        <w:t> </w:t>
      </w:r>
      <w:r>
        <w:rPr>
          <w:vertAlign w:val="baseline"/>
        </w:rPr>
        <w:t>out</w:t>
      </w:r>
      <w:r>
        <w:rPr>
          <w:spacing w:val="35"/>
          <w:vertAlign w:val="baseline"/>
        </w:rPr>
        <w:t> </w:t>
      </w:r>
      <w:r>
        <w:rPr>
          <w:vertAlign w:val="baseline"/>
        </w:rPr>
        <w:t>by</w:t>
      </w:r>
      <w:r>
        <w:rPr>
          <w:spacing w:val="35"/>
          <w:vertAlign w:val="baseline"/>
        </w:rPr>
        <w:t> </w:t>
      </w:r>
      <w:r>
        <w:rPr>
          <w:vertAlign w:val="baseline"/>
        </w:rPr>
        <w:t>Lord</w:t>
      </w:r>
      <w:r>
        <w:rPr>
          <w:spacing w:val="35"/>
          <w:vertAlign w:val="baseline"/>
        </w:rPr>
        <w:t> </w:t>
      </w:r>
      <w:r>
        <w:rPr>
          <w:vertAlign w:val="baseline"/>
        </w:rPr>
        <w:t>Millett</w:t>
      </w:r>
      <w:r>
        <w:rPr>
          <w:spacing w:val="35"/>
          <w:vertAlign w:val="baseline"/>
        </w:rPr>
        <w:t> </w:t>
      </w:r>
      <w:r>
        <w:rPr>
          <w:spacing w:val="-5"/>
          <w:vertAlign w:val="baseline"/>
        </w:rPr>
        <w:t>in</w:t>
      </w:r>
    </w:p>
    <w:p>
      <w:pPr>
        <w:pStyle w:val="BodyText"/>
        <w:spacing w:after="0" w:line="235" w:lineRule="auto"/>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Agnew v Inland Revenue Commissioners [2001] UKPC 28, [2008] 2 A.C. 710</w:t>
      </w:r>
      <w:r>
        <w:rPr>
          <w:rFonts w:ascii="Arial"/>
          <w:i/>
          <w:spacing w:val="-1"/>
          <w:sz w:val="20"/>
        </w:rPr>
        <w:t> </w:t>
      </w:r>
      <w:r>
        <w:rPr>
          <w:sz w:val="20"/>
        </w:rPr>
        <w:t>at </w:t>
      </w:r>
      <w:r>
        <w:rPr>
          <w:spacing w:val="-2"/>
          <w:sz w:val="20"/>
        </w:rPr>
        <w:t>[32].</w:t>
      </w:r>
    </w:p>
    <w:p>
      <w:pPr>
        <w:pStyle w:val="BodyText"/>
        <w:spacing w:before="13"/>
      </w:pPr>
    </w:p>
    <w:p>
      <w:pPr>
        <w:spacing w:line="137" w:lineRule="exact" w:before="0"/>
        <w:ind w:left="165" w:right="0" w:firstLine="0"/>
        <w:jc w:val="left"/>
        <w:rPr>
          <w:sz w:val="14"/>
        </w:rPr>
      </w:pPr>
      <w:bookmarkStart w:name="_bookmark1908" w:id="1910"/>
      <w:bookmarkEnd w:id="1910"/>
      <w:r>
        <w:rPr/>
      </w:r>
      <w:hyperlink w:history="true" w:anchor="_bookmark1868">
        <w:r>
          <w:rPr>
            <w:color w:val="005DA1"/>
            <w:spacing w:val="-2"/>
            <w:sz w:val="14"/>
            <w:u w:val="single" w:color="005DA1"/>
          </w:rPr>
          <w:t>1009</w:t>
        </w:r>
      </w:hyperlink>
      <w:r>
        <w:rPr>
          <w:spacing w:val="-2"/>
          <w:sz w:val="14"/>
        </w:rPr>
        <w:t>.</w:t>
      </w:r>
    </w:p>
    <w:p>
      <w:pPr>
        <w:spacing w:line="203" w:lineRule="exact" w:before="0"/>
        <w:ind w:left="875" w:right="0" w:firstLine="0"/>
        <w:jc w:val="left"/>
        <w:rPr>
          <w:rFonts w:ascii="Arial" w:hAnsi="Arial"/>
          <w:i/>
          <w:sz w:val="20"/>
        </w:rPr>
      </w:pPr>
      <w:r>
        <w:rPr>
          <w:rFonts w:ascii="Arial" w:hAnsi="Arial"/>
          <w:i/>
          <w:sz w:val="20"/>
        </w:rPr>
        <w:drawing>
          <wp:anchor distT="0" distB="0" distL="0" distR="0" allowOverlap="1" layoutInCell="1" locked="0" behindDoc="0" simplePos="0" relativeHeight="15838208">
            <wp:simplePos x="0" y="0"/>
            <wp:positionH relativeFrom="page">
              <wp:posOffset>1257846</wp:posOffset>
            </wp:positionH>
            <wp:positionV relativeFrom="paragraph">
              <wp:posOffset>12648</wp:posOffset>
            </wp:positionV>
            <wp:extent cx="107988" cy="107988"/>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3"/>
          <w:sz w:val="20"/>
        </w:rPr>
        <w:t> </w:t>
      </w:r>
      <w:r>
        <w:rPr>
          <w:sz w:val="20"/>
        </w:rPr>
        <w:t>Lord</w:t>
      </w:r>
      <w:r>
        <w:rPr>
          <w:spacing w:val="3"/>
          <w:sz w:val="20"/>
        </w:rPr>
        <w:t> </w:t>
      </w:r>
      <w:r>
        <w:rPr>
          <w:sz w:val="20"/>
        </w:rPr>
        <w:t>Dunedin’s</w:t>
      </w:r>
      <w:r>
        <w:rPr>
          <w:spacing w:val="3"/>
          <w:sz w:val="20"/>
        </w:rPr>
        <w:t> </w:t>
      </w:r>
      <w:r>
        <w:rPr>
          <w:sz w:val="20"/>
        </w:rPr>
        <w:t>first</w:t>
      </w:r>
      <w:r>
        <w:rPr>
          <w:spacing w:val="3"/>
          <w:sz w:val="20"/>
        </w:rPr>
        <w:t> </w:t>
      </w:r>
      <w:r>
        <w:rPr>
          <w:sz w:val="20"/>
        </w:rPr>
        <w:t>proposition</w:t>
      </w:r>
      <w:r>
        <w:rPr>
          <w:spacing w:val="3"/>
          <w:sz w:val="20"/>
        </w:rPr>
        <w:t> </w:t>
      </w:r>
      <w:r>
        <w:rPr>
          <w:sz w:val="20"/>
        </w:rPr>
        <w:t>in</w:t>
      </w:r>
      <w:r>
        <w:rPr>
          <w:spacing w:val="2"/>
          <w:sz w:val="20"/>
        </w:rPr>
        <w:t> </w:t>
      </w:r>
      <w:r>
        <w:rPr>
          <w:rFonts w:ascii="Arial" w:hAnsi="Arial"/>
          <w:i/>
          <w:sz w:val="20"/>
        </w:rPr>
        <w:t>Dunlop</w:t>
      </w:r>
      <w:r>
        <w:rPr>
          <w:rFonts w:ascii="Arial" w:hAnsi="Arial"/>
          <w:i/>
          <w:spacing w:val="3"/>
          <w:sz w:val="20"/>
        </w:rPr>
        <w:t> </w:t>
      </w:r>
      <w:r>
        <w:rPr>
          <w:rFonts w:ascii="Arial" w:hAnsi="Arial"/>
          <w:i/>
          <w:sz w:val="20"/>
        </w:rPr>
        <w:t>Pneumatic</w:t>
      </w:r>
      <w:r>
        <w:rPr>
          <w:rFonts w:ascii="Arial" w:hAnsi="Arial"/>
          <w:i/>
          <w:spacing w:val="3"/>
          <w:sz w:val="20"/>
        </w:rPr>
        <w:t> </w:t>
      </w:r>
      <w:r>
        <w:rPr>
          <w:rFonts w:ascii="Arial" w:hAnsi="Arial"/>
          <w:i/>
          <w:sz w:val="20"/>
        </w:rPr>
        <w:t>Tyre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New</w:t>
      </w:r>
      <w:r>
        <w:rPr>
          <w:rFonts w:ascii="Arial" w:hAnsi="Arial"/>
          <w:i/>
          <w:spacing w:val="3"/>
          <w:sz w:val="20"/>
        </w:rPr>
        <w:t> </w:t>
      </w:r>
      <w:r>
        <w:rPr>
          <w:rFonts w:ascii="Arial" w:hAnsi="Arial"/>
          <w:i/>
          <w:sz w:val="20"/>
        </w:rPr>
        <w:t>Garage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pacing w:val="-2"/>
          <w:sz w:val="20"/>
        </w:rPr>
        <w:t>Motor</w:t>
      </w:r>
    </w:p>
    <w:p>
      <w:pPr>
        <w:spacing w:line="227" w:lineRule="exact" w:before="0"/>
        <w:ind w:left="705" w:right="0" w:firstLine="0"/>
        <w:jc w:val="left"/>
        <w:rPr>
          <w:sz w:val="20"/>
        </w:rPr>
      </w:pPr>
      <w:r>
        <w:rPr>
          <w:rFonts w:ascii="Arial"/>
          <w:i/>
          <w:sz w:val="20"/>
        </w:rPr>
        <w:t>Co</w:t>
      </w:r>
      <w:r>
        <w:rPr>
          <w:rFonts w:ascii="Arial"/>
          <w:i/>
          <w:spacing w:val="-1"/>
          <w:sz w:val="20"/>
        </w:rPr>
        <w:t> </w:t>
      </w:r>
      <w:r>
        <w:rPr>
          <w:rFonts w:ascii="Arial"/>
          <w:i/>
          <w:sz w:val="20"/>
        </w:rPr>
        <w:t>Ltd [1915] A.C. 79, 86</w:t>
      </w:r>
      <w:r>
        <w:rPr>
          <w:sz w:val="20"/>
        </w:rPr>
        <w:t>, quoted below, para.26-182 and </w:t>
      </w:r>
      <w:r>
        <w:rPr>
          <w:spacing w:val="-2"/>
          <w:sz w:val="20"/>
        </w:rPr>
        <w:t>n.934.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131" w:right="0" w:firstLine="0"/>
        <w:jc w:val="left"/>
        <w:rPr>
          <w:rFonts w:ascii="Arial"/>
          <w:b/>
          <w:sz w:val="24"/>
        </w:rPr>
      </w:pPr>
      <w:r>
        <w:rPr>
          <w:rFonts w:ascii="Arial"/>
          <w:b/>
          <w:sz w:val="24"/>
        </w:rPr>
        <w:t>(b) - Genuine Pre-estimate of the Likely </w:t>
      </w:r>
      <w:r>
        <w:rPr>
          <w:rFonts w:ascii="Arial"/>
          <w:b/>
          <w:spacing w:val="-4"/>
          <w:sz w:val="24"/>
        </w:rPr>
        <w:t>Loss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Genuine pre-estimate </w:t>
      </w:r>
      <w:r>
        <w:rPr>
          <w:rFonts w:ascii="Arial"/>
          <w:b/>
          <w:spacing w:val="-4"/>
          <w:sz w:val="18"/>
        </w:rPr>
        <w:t>test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182</w:t>
      </w:r>
    </w:p>
    <w:p>
      <w:pPr>
        <w:pStyle w:val="BodyText"/>
        <w:spacing w:before="88"/>
        <w:rPr>
          <w:rFonts w:ascii="Arial"/>
          <w:b/>
        </w:rPr>
      </w:pPr>
    </w:p>
    <w:p>
      <w:pPr>
        <w:pStyle w:val="BodyText"/>
        <w:spacing w:line="360" w:lineRule="auto" w:before="1"/>
        <w:ind w:left="165" w:right="167"/>
        <w:jc w:val="both"/>
      </w:pPr>
      <w:r>
        <w:rPr>
          <w:position w:val="-2"/>
        </w:rPr>
        <w:drawing>
          <wp:inline distT="0" distB="0" distL="0" distR="0">
            <wp:extent cx="107988" cy="107988"/>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09" w:id="1911"/>
      <w:bookmarkEnd w:id="1911"/>
      <w:r>
        <w:rPr>
          <w:rFonts w:ascii="Times New Roman" w:hAnsi="Times New Roman"/>
          <w:spacing w:val="15"/>
        </w:rPr>
      </w:r>
      <w:r>
        <w:rPr/>
        <w:t>What has been referred to above as the “traditional” test, which for many years was considered to </w:t>
      </w:r>
      <w:bookmarkStart w:name="_bookmark1910" w:id="1912"/>
      <w:bookmarkEnd w:id="1912"/>
      <w:r>
        <w:rPr/>
        <w:t>have</w:t>
      </w:r>
      <w:r>
        <w:rPr/>
        <w:t> been the only test applicable, </w:t>
      </w:r>
      <w:hyperlink w:history="true" w:anchor="_bookmark1976">
        <w:r>
          <w:rPr>
            <w:color w:val="005DA1"/>
            <w:u w:val="single" w:color="005DA1"/>
            <w:vertAlign w:val="superscript"/>
          </w:rPr>
          <w:t>1010</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was summed up by Lord Dunedin in delivering his opinion in </w:t>
        </w:r>
        <w:r>
          <w:rPr>
            <w:rFonts w:ascii="Arial" w:hAnsi="Arial"/>
            <w:i/>
            <w:vertAlign w:val="baseline"/>
          </w:rPr>
          <w:t>Dunlop Pneumatic Tyre Co Ltd v New Garage &amp; Motor Co Ltd </w:t>
        </w:r>
        <w:hyperlink w:history="true" w:anchor="_bookmark1977">
          <w:r>
            <w:rPr>
              <w:color w:val="005DA1"/>
              <w:u w:val="single" w:color="005DA1"/>
              <w:vertAlign w:val="superscript"/>
            </w:rPr>
            <w:t>1011</w:t>
          </w:r>
          <w:r>
            <w:rPr>
              <w:color w:val="005DA1"/>
              <w:spacing w:val="80"/>
              <w:vertAlign w:val="baseline"/>
            </w:rPr>
            <w:t> </w:t>
          </w:r>
          <w:r>
            <w:rPr>
              <w:color w:val="005DA1"/>
              <w:position w:val="-2"/>
              <w:vertAlign w:val="baseline"/>
            </w:rPr>
            <w:drawing>
              <wp:inline distT="0" distB="0" distL="0" distR="0">
                <wp:extent cx="107988" cy="107988"/>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in the following propositions:</w:t>
          </w:r>
        </w:hyperlink>
      </w:hyperlink>
    </w:p>
    <w:p>
      <w:pPr>
        <w:pStyle w:val="BodyText"/>
      </w:pPr>
    </w:p>
    <w:p>
      <w:pPr>
        <w:pStyle w:val="BodyText"/>
      </w:pPr>
    </w:p>
    <w:p>
      <w:pPr>
        <w:pStyle w:val="BodyText"/>
        <w:spacing w:before="116"/>
      </w:pPr>
    </w:p>
    <w:p>
      <w:pPr>
        <w:pStyle w:val="BodyText"/>
        <w:spacing w:after="0"/>
        <w:sectPr>
          <w:headerReference w:type="default" r:id="rId48"/>
          <w:pgSz w:w="11900" w:h="16840"/>
          <w:pgMar w:header="971" w:footer="0" w:top="1300" w:bottom="280" w:left="1275" w:right="1275"/>
          <w:pgNumType w:start="1"/>
        </w:sectPr>
      </w:pPr>
    </w:p>
    <w:p>
      <w:pPr>
        <w:pStyle w:val="BodyText"/>
        <w:spacing w:before="94"/>
        <w:jc w:val="right"/>
      </w:pPr>
      <w:r>
        <w:rPr>
          <w:spacing w:val="-4"/>
        </w:rPr>
        <w:t>“(1)</w:t>
      </w:r>
    </w:p>
    <w:p>
      <w:pPr>
        <w:spacing w:line="240" w:lineRule="auto" w:before="207"/>
        <w:rPr>
          <w:sz w:val="20"/>
        </w:rPr>
      </w:pPr>
      <w:r>
        <w:rPr/>
        <w:br w:type="column"/>
      </w:r>
      <w:r>
        <w:rPr>
          <w:sz w:val="20"/>
        </w:rPr>
      </w:r>
    </w:p>
    <w:p>
      <w:pPr>
        <w:pStyle w:val="BodyText"/>
        <w:spacing w:line="235" w:lineRule="auto"/>
        <w:ind w:left="128" w:right="167"/>
        <w:jc w:val="both"/>
      </w:pPr>
      <w:r>
        <w:rPr/>
        <w:t>Though</w:t>
      </w:r>
      <w:r>
        <w:rPr>
          <w:spacing w:val="-3"/>
        </w:rPr>
        <w:t> </w:t>
      </w:r>
      <w:r>
        <w:rPr/>
        <w:t>the</w:t>
      </w:r>
      <w:r>
        <w:rPr>
          <w:spacing w:val="-3"/>
        </w:rPr>
        <w:t> </w:t>
      </w:r>
      <w:r>
        <w:rPr/>
        <w:t>parties</w:t>
      </w:r>
      <w:r>
        <w:rPr>
          <w:spacing w:val="-3"/>
        </w:rPr>
        <w:t> </w:t>
      </w:r>
      <w:r>
        <w:rPr/>
        <w:t>to</w:t>
      </w:r>
      <w:r>
        <w:rPr>
          <w:spacing w:val="-3"/>
        </w:rPr>
        <w:t> </w:t>
      </w:r>
      <w:r>
        <w:rPr/>
        <w:t>a</w:t>
      </w:r>
      <w:r>
        <w:rPr>
          <w:spacing w:val="-3"/>
        </w:rPr>
        <w:t> </w:t>
      </w:r>
      <w:r>
        <w:rPr/>
        <w:t>contract</w:t>
      </w:r>
      <w:r>
        <w:rPr>
          <w:spacing w:val="-3"/>
        </w:rPr>
        <w:t> </w:t>
      </w:r>
      <w:r>
        <w:rPr/>
        <w:t>who</w:t>
      </w:r>
      <w:r>
        <w:rPr>
          <w:spacing w:val="-3"/>
        </w:rPr>
        <w:t> </w:t>
      </w:r>
      <w:r>
        <w:rPr/>
        <w:t>use</w:t>
      </w:r>
      <w:r>
        <w:rPr>
          <w:spacing w:val="-3"/>
        </w:rPr>
        <w:t> </w:t>
      </w:r>
      <w:r>
        <w:rPr/>
        <w:t>the</w:t>
      </w:r>
      <w:r>
        <w:rPr>
          <w:spacing w:val="-3"/>
        </w:rPr>
        <w:t> </w:t>
      </w:r>
      <w:r>
        <w:rPr/>
        <w:t>words</w:t>
      </w:r>
      <w:r>
        <w:rPr>
          <w:spacing w:val="-3"/>
        </w:rPr>
        <w:t> </w:t>
      </w:r>
      <w:r>
        <w:rPr/>
        <w:t>‘penalty’</w:t>
      </w:r>
      <w:r>
        <w:rPr>
          <w:spacing w:val="-3"/>
        </w:rPr>
        <w:t> </w:t>
      </w:r>
      <w:r>
        <w:rPr/>
        <w:t>or</w:t>
      </w:r>
      <w:r>
        <w:rPr>
          <w:spacing w:val="-3"/>
        </w:rPr>
        <w:t> </w:t>
      </w:r>
      <w:r>
        <w:rPr/>
        <w:t>‘liquidated</w:t>
      </w:r>
      <w:r>
        <w:rPr>
          <w:spacing w:val="-3"/>
        </w:rPr>
        <w:t> </w:t>
      </w:r>
      <w:r>
        <w:rPr/>
        <w:t>damages’ may</w:t>
      </w:r>
      <w:r>
        <w:rPr>
          <w:spacing w:val="-1"/>
        </w:rPr>
        <w:t> </w:t>
      </w:r>
      <w:r>
        <w:rPr/>
        <w:t>prima</w:t>
      </w:r>
      <w:r>
        <w:rPr>
          <w:spacing w:val="-1"/>
        </w:rPr>
        <w:t> </w:t>
      </w:r>
      <w:r>
        <w:rPr/>
        <w:t>facie</w:t>
      </w:r>
      <w:r>
        <w:rPr>
          <w:spacing w:val="-1"/>
        </w:rPr>
        <w:t> </w:t>
      </w:r>
      <w:r>
        <w:rPr/>
        <w:t>be</w:t>
      </w:r>
      <w:r>
        <w:rPr>
          <w:spacing w:val="-1"/>
        </w:rPr>
        <w:t> </w:t>
      </w:r>
      <w:r>
        <w:rPr/>
        <w:t>supposed</w:t>
      </w:r>
      <w:r>
        <w:rPr>
          <w:spacing w:val="-1"/>
        </w:rPr>
        <w:t> </w:t>
      </w:r>
      <w:r>
        <w:rPr/>
        <w:t>to</w:t>
      </w:r>
      <w:r>
        <w:rPr>
          <w:spacing w:val="-1"/>
        </w:rPr>
        <w:t> </w:t>
      </w:r>
      <w:r>
        <w:rPr/>
        <w:t>mean</w:t>
      </w:r>
      <w:r>
        <w:rPr>
          <w:spacing w:val="-1"/>
        </w:rPr>
        <w:t> </w:t>
      </w:r>
      <w:r>
        <w:rPr/>
        <w:t>what</w:t>
      </w:r>
      <w:r>
        <w:rPr>
          <w:spacing w:val="-1"/>
        </w:rPr>
        <w:t> </w:t>
      </w:r>
      <w:r>
        <w:rPr/>
        <w:t>they</w:t>
      </w:r>
      <w:r>
        <w:rPr>
          <w:spacing w:val="-1"/>
        </w:rPr>
        <w:t> </w:t>
      </w:r>
      <w:r>
        <w:rPr/>
        <w:t>say,</w:t>
      </w:r>
      <w:r>
        <w:rPr>
          <w:spacing w:val="-1"/>
        </w:rPr>
        <w:t> </w:t>
      </w:r>
      <w:r>
        <w:rPr/>
        <w:t>yet</w:t>
      </w:r>
      <w:r>
        <w:rPr>
          <w:spacing w:val="-1"/>
        </w:rPr>
        <w:t> </w:t>
      </w:r>
      <w:r>
        <w:rPr/>
        <w:t>the</w:t>
      </w:r>
      <w:r>
        <w:rPr>
          <w:spacing w:val="-1"/>
        </w:rPr>
        <w:t> </w:t>
      </w:r>
      <w:r>
        <w:rPr/>
        <w:t>expression</w:t>
      </w:r>
      <w:r>
        <w:rPr>
          <w:spacing w:val="-1"/>
        </w:rPr>
        <w:t> </w:t>
      </w:r>
      <w:r>
        <w:rPr/>
        <w:t>used</w:t>
      </w:r>
      <w:r>
        <w:rPr>
          <w:spacing w:val="-1"/>
        </w:rPr>
        <w:t> </w:t>
      </w:r>
      <w:r>
        <w:rPr/>
        <w:t>is</w:t>
      </w:r>
      <w:r>
        <w:rPr>
          <w:spacing w:val="-1"/>
        </w:rPr>
        <w:t> </w:t>
      </w:r>
      <w:r>
        <w:rPr/>
        <w:t>not </w:t>
      </w:r>
      <w:bookmarkStart w:name="_bookmark1911" w:id="1913"/>
      <w:bookmarkEnd w:id="1913"/>
      <w:r>
        <w:rPr/>
        <w:t>conclusive.</w:t>
      </w:r>
      <w:r>
        <w:rPr>
          <w:spacing w:val="37"/>
        </w:rPr>
        <w:t> </w:t>
      </w:r>
      <w:r>
        <w:rPr/>
        <w:t>The</w:t>
      </w:r>
      <w:r>
        <w:rPr>
          <w:spacing w:val="37"/>
        </w:rPr>
        <w:t> </w:t>
      </w:r>
      <w:r>
        <w:rPr/>
        <w:t>court</w:t>
      </w:r>
      <w:r>
        <w:rPr>
          <w:spacing w:val="37"/>
        </w:rPr>
        <w:t> </w:t>
      </w:r>
      <w:r>
        <w:rPr/>
        <w:t>must</w:t>
      </w:r>
      <w:r>
        <w:rPr>
          <w:spacing w:val="37"/>
        </w:rPr>
        <w:t> </w:t>
      </w:r>
      <w:r>
        <w:rPr/>
        <w:t>find</w:t>
      </w:r>
      <w:r>
        <w:rPr>
          <w:spacing w:val="37"/>
        </w:rPr>
        <w:t> </w:t>
      </w:r>
      <w:r>
        <w:rPr/>
        <w:t>out</w:t>
      </w:r>
      <w:r>
        <w:rPr>
          <w:spacing w:val="37"/>
        </w:rPr>
        <w:t> </w:t>
      </w:r>
      <w:r>
        <w:rPr/>
        <w:t>whether</w:t>
      </w:r>
      <w:r>
        <w:rPr>
          <w:spacing w:val="37"/>
        </w:rPr>
        <w:t> </w:t>
      </w:r>
      <w:r>
        <w:rPr/>
        <w:t>the</w:t>
      </w:r>
      <w:r>
        <w:rPr>
          <w:spacing w:val="37"/>
        </w:rPr>
        <w:t> </w:t>
      </w:r>
      <w:r>
        <w:rPr/>
        <w:t>payment</w:t>
      </w:r>
      <w:r>
        <w:rPr>
          <w:spacing w:val="37"/>
        </w:rPr>
        <w:t> </w:t>
      </w:r>
      <w:r>
        <w:rPr/>
        <w:t>stipulated</w:t>
      </w:r>
      <w:r>
        <w:rPr>
          <w:spacing w:val="37"/>
        </w:rPr>
        <w:t> </w:t>
      </w:r>
      <w:r>
        <w:rPr/>
        <w:t>is</w:t>
      </w:r>
      <w:r>
        <w:rPr>
          <w:spacing w:val="37"/>
        </w:rPr>
        <w:t> </w:t>
      </w:r>
      <w:r>
        <w:rPr/>
        <w:t>in</w:t>
      </w:r>
      <w:r>
        <w:rPr>
          <w:spacing w:val="37"/>
        </w:rPr>
        <w:t> </w:t>
      </w:r>
      <w:r>
        <w:rPr/>
        <w:t>truth</w:t>
      </w:r>
      <w:r>
        <w:rPr>
          <w:spacing w:val="37"/>
        </w:rPr>
        <w:t> </w:t>
      </w:r>
      <w:r>
        <w:rPr>
          <w:spacing w:val="-10"/>
        </w:rPr>
        <w:t>a</w:t>
      </w:r>
    </w:p>
    <w:p>
      <w:pPr>
        <w:pStyle w:val="BodyText"/>
        <w:spacing w:before="116"/>
        <w:ind w:left="128"/>
        <w:jc w:val="both"/>
        <w:rPr>
          <w:position w:val="-2"/>
        </w:rPr>
      </w:pPr>
      <w:r>
        <w:rPr/>
        <w:t>penalty or liquidated damages …. </w:t>
      </w:r>
      <w:hyperlink w:history="true" w:anchor="_bookmark1978">
        <w:r>
          <w:rPr>
            <w:color w:val="005DA1"/>
            <w:u w:val="single" w:color="005DA1"/>
            <w:vertAlign w:val="superscript"/>
          </w:rPr>
          <w:t>1012</w:t>
        </w:r>
        <w:r>
          <w:rPr>
            <w:color w:val="005DA1"/>
            <w:spacing w:val="80"/>
            <w:w w:val="150"/>
            <w:vertAlign w:val="baseline"/>
          </w:rPr>
          <w:t> </w:t>
        </w:r>
        <w:r>
          <w:rPr>
            <w:color w:val="005DA1"/>
            <w:position w:val="-2"/>
            <w:vertAlign w:val="baseline"/>
          </w:rPr>
          <w:drawing>
            <wp:inline distT="0" distB="0" distL="0" distR="0">
              <wp:extent cx="107988" cy="107988"/>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sectPr>
          <w:type w:val="continuous"/>
          <w:pgSz w:w="11900" w:h="16840"/>
          <w:pgMar w:header="971" w:footer="0" w:top="1300" w:bottom="280" w:left="1275" w:right="1275"/>
          <w:cols w:num="2" w:equalWidth="0">
            <w:col w:w="1557" w:space="40"/>
            <w:col w:w="7753"/>
          </w:cols>
        </w:sectPr>
      </w:pPr>
    </w:p>
    <w:p>
      <w:pPr>
        <w:pStyle w:val="BodyText"/>
      </w:pPr>
    </w:p>
    <w:p>
      <w:pPr>
        <w:pStyle w:val="BodyText"/>
        <w:spacing w:before="34"/>
      </w:pPr>
    </w:p>
    <w:p>
      <w:pPr>
        <w:pStyle w:val="BodyText"/>
        <w:spacing w:before="1"/>
        <w:ind w:left="1245"/>
      </w:pPr>
      <w:r>
        <w:rPr>
          <w:spacing w:val="-5"/>
        </w:rPr>
        <w:t>(2)</w:t>
      </w:r>
    </w:p>
    <w:p>
      <w:pPr>
        <w:pStyle w:val="BodyText"/>
        <w:spacing w:line="235" w:lineRule="auto" w:before="113"/>
        <w:ind w:left="1725"/>
      </w:pPr>
      <w:r>
        <w:rPr/>
        <w:t>The</w:t>
      </w:r>
      <w:r>
        <w:rPr>
          <w:spacing w:val="23"/>
        </w:rPr>
        <w:t> </w:t>
      </w:r>
      <w:r>
        <w:rPr/>
        <w:t>essence</w:t>
      </w:r>
      <w:r>
        <w:rPr>
          <w:spacing w:val="23"/>
        </w:rPr>
        <w:t> </w:t>
      </w:r>
      <w:r>
        <w:rPr/>
        <w:t>of</w:t>
      </w:r>
      <w:r>
        <w:rPr>
          <w:spacing w:val="23"/>
        </w:rPr>
        <w:t> </w:t>
      </w:r>
      <w:r>
        <w:rPr/>
        <w:t>a</w:t>
      </w:r>
      <w:r>
        <w:rPr>
          <w:spacing w:val="23"/>
        </w:rPr>
        <w:t> </w:t>
      </w:r>
      <w:r>
        <w:rPr/>
        <w:t>penalty</w:t>
      </w:r>
      <w:r>
        <w:rPr>
          <w:spacing w:val="23"/>
        </w:rPr>
        <w:t> </w:t>
      </w:r>
      <w:r>
        <w:rPr/>
        <w:t>is</w:t>
      </w:r>
      <w:r>
        <w:rPr>
          <w:spacing w:val="23"/>
        </w:rPr>
        <w:t> </w:t>
      </w:r>
      <w:r>
        <w:rPr/>
        <w:t>a</w:t>
      </w:r>
      <w:r>
        <w:rPr>
          <w:spacing w:val="23"/>
        </w:rPr>
        <w:t> </w:t>
      </w:r>
      <w:r>
        <w:rPr/>
        <w:t>payment</w:t>
      </w:r>
      <w:r>
        <w:rPr>
          <w:spacing w:val="23"/>
        </w:rPr>
        <w:t> </w:t>
      </w:r>
      <w:r>
        <w:rPr/>
        <w:t>of</w:t>
      </w:r>
      <w:r>
        <w:rPr>
          <w:spacing w:val="23"/>
        </w:rPr>
        <w:t> </w:t>
      </w:r>
      <w:r>
        <w:rPr/>
        <w:t>money</w:t>
      </w:r>
      <w:r>
        <w:rPr>
          <w:spacing w:val="23"/>
        </w:rPr>
        <w:t> </w:t>
      </w:r>
      <w:r>
        <w:rPr/>
        <w:t>stipulated</w:t>
      </w:r>
      <w:r>
        <w:rPr>
          <w:spacing w:val="23"/>
        </w:rPr>
        <w:t> </w:t>
      </w:r>
      <w:r>
        <w:rPr/>
        <w:t>as</w:t>
      </w:r>
      <w:r>
        <w:rPr>
          <w:spacing w:val="23"/>
        </w:rPr>
        <w:t> </w:t>
      </w:r>
      <w:r>
        <w:rPr/>
        <w:t>in</w:t>
      </w:r>
      <w:r>
        <w:rPr>
          <w:spacing w:val="23"/>
        </w:rPr>
        <w:t> </w:t>
      </w:r>
      <w:r>
        <w:rPr/>
        <w:t>terrorem</w:t>
      </w:r>
      <w:r>
        <w:rPr>
          <w:spacing w:val="23"/>
        </w:rPr>
        <w:t> </w:t>
      </w:r>
      <w:r>
        <w:rPr/>
        <w:t>of</w:t>
      </w:r>
      <w:r>
        <w:rPr>
          <w:spacing w:val="23"/>
        </w:rPr>
        <w:t> </w:t>
      </w:r>
      <w:r>
        <w:rPr/>
        <w:t>the </w:t>
      </w:r>
      <w:bookmarkStart w:name="_bookmark1912" w:id="1914"/>
      <w:bookmarkEnd w:id="1914"/>
      <w:r>
        <w:rPr/>
        <w:t>offending</w:t>
      </w:r>
      <w:r>
        <w:rPr>
          <w:spacing w:val="36"/>
        </w:rPr>
        <w:t> </w:t>
      </w:r>
      <w:r>
        <w:rPr/>
        <w:t>party;</w:t>
      </w:r>
      <w:r>
        <w:rPr>
          <w:spacing w:val="36"/>
        </w:rPr>
        <w:t> </w:t>
      </w:r>
      <w:r>
        <w:rPr/>
        <w:t>the</w:t>
      </w:r>
      <w:r>
        <w:rPr>
          <w:spacing w:val="36"/>
        </w:rPr>
        <w:t> </w:t>
      </w:r>
      <w:r>
        <w:rPr/>
        <w:t>essence</w:t>
      </w:r>
      <w:r>
        <w:rPr>
          <w:spacing w:val="36"/>
        </w:rPr>
        <w:t> </w:t>
      </w:r>
      <w:r>
        <w:rPr/>
        <w:t>of</w:t>
      </w:r>
      <w:r>
        <w:rPr>
          <w:spacing w:val="36"/>
        </w:rPr>
        <w:t> </w:t>
      </w:r>
      <w:r>
        <w:rPr/>
        <w:t>liquidated</w:t>
      </w:r>
      <w:r>
        <w:rPr>
          <w:spacing w:val="36"/>
        </w:rPr>
        <w:t> </w:t>
      </w:r>
      <w:r>
        <w:rPr/>
        <w:t>damages</w:t>
      </w:r>
      <w:r>
        <w:rPr>
          <w:spacing w:val="36"/>
        </w:rPr>
        <w:t> </w:t>
      </w:r>
      <w:r>
        <w:rPr/>
        <w:t>is</w:t>
      </w:r>
      <w:r>
        <w:rPr>
          <w:spacing w:val="36"/>
        </w:rPr>
        <w:t> </w:t>
      </w:r>
      <w:r>
        <w:rPr/>
        <w:t>a</w:t>
      </w:r>
      <w:r>
        <w:rPr>
          <w:spacing w:val="36"/>
        </w:rPr>
        <w:t> </w:t>
      </w:r>
      <w:r>
        <w:rPr/>
        <w:t>genuine</w:t>
      </w:r>
      <w:r>
        <w:rPr>
          <w:spacing w:val="36"/>
        </w:rPr>
        <w:t> </w:t>
      </w:r>
      <w:r>
        <w:rPr/>
        <w:t>pre-estimate</w:t>
      </w:r>
      <w:r>
        <w:rPr>
          <w:spacing w:val="36"/>
        </w:rPr>
        <w:t> </w:t>
      </w:r>
      <w:r>
        <w:rPr>
          <w:spacing w:val="-5"/>
        </w:rPr>
        <w:t>of</w:t>
      </w:r>
    </w:p>
    <w:p>
      <w:pPr>
        <w:pStyle w:val="BodyText"/>
        <w:spacing w:before="116"/>
        <w:ind w:left="1725"/>
        <w:rPr>
          <w:position w:val="-2"/>
        </w:rPr>
      </w:pPr>
      <w:r>
        <w:rPr/>
        <w:t>damage. </w:t>
      </w:r>
      <w:hyperlink w:history="true" w:anchor="_bookmark1979">
        <w:r>
          <w:rPr>
            <w:color w:val="005DA1"/>
            <w:u w:val="single" w:color="005DA1"/>
            <w:vertAlign w:val="superscript"/>
          </w:rPr>
          <w:t>1013</w:t>
        </w:r>
        <w:r>
          <w:rPr>
            <w:color w:val="005DA1"/>
            <w:spacing w:val="80"/>
            <w:vertAlign w:val="baseline"/>
          </w:rPr>
          <w:t> </w:t>
        </w:r>
        <w:r>
          <w:rPr>
            <w:color w:val="005DA1"/>
            <w:position w:val="-2"/>
            <w:vertAlign w:val="baseline"/>
          </w:rPr>
          <w:drawing>
            <wp:inline distT="0" distB="0" distL="0" distR="0">
              <wp:extent cx="107988" cy="107988"/>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245"/>
      </w:pPr>
      <w:r>
        <w:rPr>
          <w:spacing w:val="-5"/>
        </w:rPr>
        <w:t>(3)</w:t>
      </w:r>
    </w:p>
    <w:p>
      <w:pPr>
        <w:pStyle w:val="BodyText"/>
        <w:spacing w:line="235" w:lineRule="auto" w:before="114"/>
        <w:ind w:left="1725" w:right="167"/>
        <w:jc w:val="both"/>
      </w:pPr>
      <w:r>
        <w:rPr/>
        <w:t>The question whether a sum stipulated is a penalty or liquidated damages is a question of construction to be decided upon the terms and inherent circumstances</w:t>
      </w:r>
      <w:r>
        <w:rPr>
          <w:spacing w:val="40"/>
        </w:rPr>
        <w:t> </w:t>
      </w:r>
      <w:bookmarkStart w:name="_bookmark1913" w:id="1915"/>
      <w:bookmarkEnd w:id="1915"/>
      <w:r>
        <w:rPr/>
        <w:t>of</w:t>
      </w:r>
      <w:r>
        <w:rPr>
          <w:spacing w:val="17"/>
        </w:rPr>
        <w:t> </w:t>
      </w:r>
      <w:r>
        <w:rPr/>
        <w:t>each</w:t>
      </w:r>
      <w:r>
        <w:rPr>
          <w:spacing w:val="17"/>
        </w:rPr>
        <w:t> </w:t>
      </w:r>
      <w:r>
        <w:rPr/>
        <w:t>particular</w:t>
      </w:r>
      <w:r>
        <w:rPr>
          <w:spacing w:val="17"/>
        </w:rPr>
        <w:t> </w:t>
      </w:r>
      <w:r>
        <w:rPr/>
        <w:t>contract,</w:t>
      </w:r>
      <w:r>
        <w:rPr>
          <w:spacing w:val="17"/>
        </w:rPr>
        <w:t> </w:t>
      </w:r>
      <w:r>
        <w:rPr/>
        <w:t>judged</w:t>
      </w:r>
      <w:r>
        <w:rPr>
          <w:spacing w:val="17"/>
        </w:rPr>
        <w:t> </w:t>
      </w:r>
      <w:r>
        <w:rPr/>
        <w:t>of</w:t>
      </w:r>
      <w:r>
        <w:rPr>
          <w:spacing w:val="17"/>
        </w:rPr>
        <w:t> </w:t>
      </w:r>
      <w:r>
        <w:rPr/>
        <w:t>at</w:t>
      </w:r>
      <w:r>
        <w:rPr>
          <w:spacing w:val="17"/>
        </w:rPr>
        <w:t> </w:t>
      </w:r>
      <w:r>
        <w:rPr/>
        <w:t>the</w:t>
      </w:r>
      <w:r>
        <w:rPr>
          <w:spacing w:val="17"/>
        </w:rPr>
        <w:t> </w:t>
      </w:r>
      <w:r>
        <w:rPr/>
        <w:t>time</w:t>
      </w:r>
      <w:r>
        <w:rPr>
          <w:spacing w:val="17"/>
        </w:rPr>
        <w:t> </w:t>
      </w:r>
      <w:r>
        <w:rPr/>
        <w:t>of</w:t>
      </w:r>
      <w:r>
        <w:rPr>
          <w:spacing w:val="17"/>
        </w:rPr>
        <w:t> </w:t>
      </w:r>
      <w:r>
        <w:rPr/>
        <w:t>the</w:t>
      </w:r>
      <w:r>
        <w:rPr>
          <w:spacing w:val="17"/>
        </w:rPr>
        <w:t> </w:t>
      </w:r>
      <w:r>
        <w:rPr/>
        <w:t>making</w:t>
      </w:r>
      <w:r>
        <w:rPr>
          <w:spacing w:val="17"/>
        </w:rPr>
        <w:t> </w:t>
      </w:r>
      <w:r>
        <w:rPr/>
        <w:t>of</w:t>
      </w:r>
      <w:r>
        <w:rPr>
          <w:spacing w:val="17"/>
        </w:rPr>
        <w:t> </w:t>
      </w:r>
      <w:r>
        <w:rPr/>
        <w:t>the</w:t>
      </w:r>
      <w:r>
        <w:rPr>
          <w:spacing w:val="17"/>
        </w:rPr>
        <w:t> </w:t>
      </w:r>
      <w:r>
        <w:rPr/>
        <w:t>contract,</w:t>
      </w:r>
      <w:r>
        <w:rPr>
          <w:spacing w:val="17"/>
        </w:rPr>
        <w:t> </w:t>
      </w:r>
      <w:r>
        <w:rPr>
          <w:spacing w:val="-5"/>
        </w:rPr>
        <w:t>not</w:t>
      </w:r>
    </w:p>
    <w:p>
      <w:pPr>
        <w:pStyle w:val="BodyText"/>
        <w:spacing w:before="115"/>
        <w:ind w:left="1725"/>
        <w:jc w:val="both"/>
        <w:rPr>
          <w:position w:val="-2"/>
        </w:rPr>
      </w:pPr>
      <w:r>
        <w:rPr/>
        <w:t>as at the time of the breach. </w:t>
      </w:r>
      <w:hyperlink w:history="true" w:anchor="_bookmark1980">
        <w:r>
          <w:rPr>
            <w:color w:val="005DA1"/>
            <w:u w:val="single" w:color="005DA1"/>
            <w:vertAlign w:val="superscript"/>
          </w:rPr>
          <w:t>1014</w:t>
        </w:r>
        <w:r>
          <w:rPr>
            <w:color w:val="005DA1"/>
            <w:spacing w:val="80"/>
            <w:w w:val="150"/>
            <w:vertAlign w:val="baseline"/>
          </w:rPr>
          <w:t> </w:t>
        </w:r>
        <w:r>
          <w:rPr>
            <w:color w:val="005DA1"/>
            <w:position w:val="-2"/>
            <w:vertAlign w:val="baseline"/>
          </w:rPr>
          <w:drawing>
            <wp:inline distT="0" distB="0" distL="0" distR="0">
              <wp:extent cx="107988" cy="107988"/>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245"/>
      </w:pPr>
      <w:r>
        <w:rPr>
          <w:spacing w:val="-5"/>
        </w:rPr>
        <w:t>(4)</w:t>
      </w:r>
    </w:p>
    <w:p>
      <w:pPr>
        <w:pStyle w:val="BodyText"/>
        <w:spacing w:line="235" w:lineRule="auto" w:before="114"/>
        <w:ind w:left="1725"/>
      </w:pPr>
      <w:bookmarkStart w:name="_bookmark1914" w:id="1916"/>
      <w:bookmarkEnd w:id="1916"/>
      <w:r>
        <w:rPr/>
      </w:r>
      <w:r>
        <w:rPr/>
        <w:t>To</w:t>
      </w:r>
      <w:r>
        <w:rPr>
          <w:spacing w:val="40"/>
        </w:rPr>
        <w:t> </w:t>
      </w:r>
      <w:r>
        <w:rPr/>
        <w:t>assist</w:t>
      </w:r>
      <w:r>
        <w:rPr>
          <w:spacing w:val="40"/>
        </w:rPr>
        <w:t> </w:t>
      </w:r>
      <w:r>
        <w:rPr/>
        <w:t>this</w:t>
      </w:r>
      <w:r>
        <w:rPr>
          <w:spacing w:val="40"/>
        </w:rPr>
        <w:t> </w:t>
      </w:r>
      <w:r>
        <w:rPr/>
        <w:t>task</w:t>
      </w:r>
      <w:r>
        <w:rPr>
          <w:spacing w:val="40"/>
        </w:rPr>
        <w:t> </w:t>
      </w:r>
      <w:r>
        <w:rPr/>
        <w:t>of</w:t>
      </w:r>
      <w:r>
        <w:rPr>
          <w:spacing w:val="40"/>
        </w:rPr>
        <w:t> </w:t>
      </w:r>
      <w:r>
        <w:rPr/>
        <w:t>construction</w:t>
      </w:r>
      <w:r>
        <w:rPr>
          <w:spacing w:val="40"/>
        </w:rPr>
        <w:t> </w:t>
      </w:r>
      <w:r>
        <w:rPr/>
        <w:t>various</w:t>
      </w:r>
      <w:r>
        <w:rPr>
          <w:spacing w:val="40"/>
        </w:rPr>
        <w:t> </w:t>
      </w:r>
      <w:r>
        <w:rPr/>
        <w:t>tests</w:t>
      </w:r>
      <w:r>
        <w:rPr>
          <w:spacing w:val="40"/>
        </w:rPr>
        <w:t> </w:t>
      </w:r>
      <w:r>
        <w:rPr/>
        <w:t>have</w:t>
      </w:r>
      <w:r>
        <w:rPr>
          <w:spacing w:val="40"/>
        </w:rPr>
        <w:t> </w:t>
      </w:r>
      <w:r>
        <w:rPr/>
        <w:t>been</w:t>
      </w:r>
      <w:r>
        <w:rPr>
          <w:spacing w:val="40"/>
        </w:rPr>
        <w:t> </w:t>
      </w:r>
      <w:r>
        <w:rPr/>
        <w:t>suggested</w:t>
      </w:r>
      <w:r>
        <w:rPr>
          <w:spacing w:val="40"/>
        </w:rPr>
        <w:t> </w:t>
      </w:r>
      <w:r>
        <w:rPr/>
        <w:t>which,</w:t>
      </w:r>
      <w:r>
        <w:rPr>
          <w:spacing w:val="40"/>
        </w:rPr>
        <w:t> </w:t>
      </w:r>
      <w:r>
        <w:rPr/>
        <w:t>if applicable</w:t>
      </w:r>
      <w:r>
        <w:rPr>
          <w:spacing w:val="22"/>
        </w:rPr>
        <w:t> </w:t>
      </w:r>
      <w:r>
        <w:rPr/>
        <w:t>to</w:t>
      </w:r>
      <w:r>
        <w:rPr>
          <w:spacing w:val="22"/>
        </w:rPr>
        <w:t> </w:t>
      </w:r>
      <w:r>
        <w:rPr/>
        <w:t>the</w:t>
      </w:r>
      <w:r>
        <w:rPr>
          <w:spacing w:val="22"/>
        </w:rPr>
        <w:t> </w:t>
      </w:r>
      <w:r>
        <w:rPr/>
        <w:t>case</w:t>
      </w:r>
      <w:r>
        <w:rPr>
          <w:spacing w:val="22"/>
        </w:rPr>
        <w:t> </w:t>
      </w:r>
      <w:r>
        <w:rPr/>
        <w:t>under</w:t>
      </w:r>
      <w:r>
        <w:rPr>
          <w:spacing w:val="22"/>
        </w:rPr>
        <w:t> </w:t>
      </w:r>
      <w:r>
        <w:rPr/>
        <w:t>consideration,</w:t>
      </w:r>
      <w:r>
        <w:rPr>
          <w:spacing w:val="22"/>
        </w:rPr>
        <w:t> </w:t>
      </w:r>
      <w:r>
        <w:rPr/>
        <w:t>may</w:t>
      </w:r>
      <w:r>
        <w:rPr>
          <w:spacing w:val="22"/>
        </w:rPr>
        <w:t> </w:t>
      </w:r>
      <w:r>
        <w:rPr/>
        <w:t>prove</w:t>
      </w:r>
      <w:r>
        <w:rPr>
          <w:spacing w:val="22"/>
        </w:rPr>
        <w:t> </w:t>
      </w:r>
      <w:r>
        <w:rPr/>
        <w:t>helpful</w:t>
      </w:r>
      <w:r>
        <w:rPr>
          <w:spacing w:val="22"/>
        </w:rPr>
        <w:t> </w:t>
      </w:r>
      <w:r>
        <w:rPr/>
        <w:t>or</w:t>
      </w:r>
      <w:r>
        <w:rPr>
          <w:spacing w:val="22"/>
        </w:rPr>
        <w:t> </w:t>
      </w:r>
      <w:r>
        <w:rPr/>
        <w:t>even</w:t>
      </w:r>
      <w:r>
        <w:rPr>
          <w:spacing w:val="22"/>
        </w:rPr>
        <w:t> </w:t>
      </w:r>
      <w:r>
        <w:rPr>
          <w:spacing w:val="-2"/>
        </w:rPr>
        <w:t>conclusive.</w:t>
      </w:r>
    </w:p>
    <w:p>
      <w:pPr>
        <w:pStyle w:val="BodyText"/>
        <w:spacing w:before="115"/>
        <w:ind w:left="1725"/>
      </w:pPr>
      <w:hyperlink w:history="true" w:anchor="_bookmark1981">
        <w:r>
          <w:rPr>
            <w:color w:val="005DA1"/>
            <w:u w:val="single" w:color="005DA1"/>
            <w:vertAlign w:val="superscript"/>
          </w:rPr>
          <w:t>1015</w:t>
        </w:r>
        <w:r>
          <w:rPr>
            <w:color w:val="005DA1"/>
            <w:spacing w:val="69"/>
            <w:w w:val="150"/>
            <w:vertAlign w:val="baseline"/>
          </w:rPr>
          <w:t> </w:t>
        </w:r>
        <w:r>
          <w:rPr>
            <w:color w:val="005DA1"/>
            <w:position w:val="-2"/>
            <w:vertAlign w:val="baseline"/>
          </w:rPr>
          <w:drawing>
            <wp:inline distT="0" distB="0" distL="0" distR="0">
              <wp:extent cx="107988" cy="107988"/>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Such</w:t>
        </w:r>
        <w:r>
          <w:rPr>
            <w:spacing w:val="-4"/>
            <w:vertAlign w:val="baseline"/>
          </w:rPr>
          <w:t> are:</w:t>
        </w:r>
      </w:hyperlink>
    </w:p>
    <w:p>
      <w:pPr>
        <w:sectPr>
          <w:type w:val="continuous"/>
          <w:pgSz w:w="11900" w:h="16840"/>
          <w:pgMar w:header="971" w:footer="0" w:top="1300" w:bottom="280" w:left="1275" w:right="1275"/>
        </w:sectPr>
      </w:pPr>
    </w:p>
    <w:p>
      <w:pPr>
        <w:pStyle w:val="BodyText"/>
      </w:pPr>
    </w:p>
    <w:p>
      <w:pPr>
        <w:pStyle w:val="BodyText"/>
        <w:spacing w:before="6"/>
      </w:pPr>
    </w:p>
    <w:p>
      <w:pPr>
        <w:pStyle w:val="BodyText"/>
        <w:spacing w:before="1"/>
        <w:ind w:left="1725"/>
      </w:pPr>
      <w:r>
        <w:rPr>
          <w:spacing w:val="-5"/>
        </w:rPr>
        <w:t>(a)</w:t>
      </w:r>
    </w:p>
    <w:p>
      <w:pPr>
        <w:pStyle w:val="BodyText"/>
        <w:spacing w:line="235" w:lineRule="auto" w:before="113"/>
        <w:ind w:left="2205" w:right="165"/>
      </w:pPr>
      <w:r>
        <w:rPr/>
        <w:t>It</w:t>
      </w:r>
      <w:r>
        <w:rPr>
          <w:spacing w:val="40"/>
        </w:rPr>
        <w:t> </w:t>
      </w:r>
      <w:r>
        <w:rPr/>
        <w:t>will</w:t>
      </w:r>
      <w:r>
        <w:rPr>
          <w:spacing w:val="40"/>
        </w:rPr>
        <w:t> </w:t>
      </w:r>
      <w:r>
        <w:rPr/>
        <w:t>be</w:t>
      </w:r>
      <w:r>
        <w:rPr>
          <w:spacing w:val="40"/>
        </w:rPr>
        <w:t> </w:t>
      </w:r>
      <w:r>
        <w:rPr/>
        <w:t>held</w:t>
      </w:r>
      <w:r>
        <w:rPr>
          <w:spacing w:val="40"/>
        </w:rPr>
        <w:t> </w:t>
      </w:r>
      <w:r>
        <w:rPr/>
        <w:t>to</w:t>
      </w:r>
      <w:r>
        <w:rPr>
          <w:spacing w:val="40"/>
        </w:rPr>
        <w:t> </w:t>
      </w:r>
      <w:r>
        <w:rPr/>
        <w:t>be</w:t>
      </w:r>
      <w:r>
        <w:rPr>
          <w:spacing w:val="40"/>
        </w:rPr>
        <w:t> </w:t>
      </w:r>
      <w:r>
        <w:rPr/>
        <w:t>a</w:t>
      </w:r>
      <w:r>
        <w:rPr>
          <w:spacing w:val="40"/>
        </w:rPr>
        <w:t> </w:t>
      </w:r>
      <w:r>
        <w:rPr/>
        <w:t>penalty</w:t>
      </w:r>
      <w:r>
        <w:rPr>
          <w:spacing w:val="40"/>
        </w:rPr>
        <w:t> </w:t>
      </w:r>
      <w:r>
        <w:rPr/>
        <w:t>if</w:t>
      </w:r>
      <w:r>
        <w:rPr>
          <w:spacing w:val="40"/>
        </w:rPr>
        <w:t> </w:t>
      </w:r>
      <w:r>
        <w:rPr/>
        <w:t>the</w:t>
      </w:r>
      <w:r>
        <w:rPr>
          <w:spacing w:val="40"/>
        </w:rPr>
        <w:t> </w:t>
      </w:r>
      <w:r>
        <w:rPr/>
        <w:t>sum</w:t>
      </w:r>
      <w:r>
        <w:rPr>
          <w:spacing w:val="40"/>
        </w:rPr>
        <w:t> </w:t>
      </w:r>
      <w:r>
        <w:rPr/>
        <w:t>stipulated</w:t>
      </w:r>
      <w:r>
        <w:rPr>
          <w:spacing w:val="40"/>
        </w:rPr>
        <w:t> </w:t>
      </w:r>
      <w:r>
        <w:rPr/>
        <w:t>for</w:t>
      </w:r>
      <w:r>
        <w:rPr>
          <w:spacing w:val="40"/>
        </w:rPr>
        <w:t> </w:t>
      </w:r>
      <w:r>
        <w:rPr/>
        <w:t>is</w:t>
      </w:r>
      <w:r>
        <w:rPr>
          <w:spacing w:val="40"/>
        </w:rPr>
        <w:t> </w:t>
      </w:r>
      <w:r>
        <w:rPr/>
        <w:t>extravagant</w:t>
      </w:r>
      <w:r>
        <w:rPr>
          <w:spacing w:val="40"/>
        </w:rPr>
        <w:t> </w:t>
      </w:r>
      <w:r>
        <w:rPr/>
        <w:t>and </w:t>
      </w:r>
      <w:bookmarkStart w:name="_bookmark1915" w:id="1917"/>
      <w:bookmarkEnd w:id="1917"/>
      <w:r>
        <w:rPr/>
        <w:t>unconscionable</w:t>
      </w:r>
      <w:r>
        <w:rPr>
          <w:spacing w:val="31"/>
        </w:rPr>
        <w:t> </w:t>
      </w:r>
      <w:r>
        <w:rPr/>
        <w:t>in</w:t>
      </w:r>
      <w:r>
        <w:rPr>
          <w:spacing w:val="31"/>
        </w:rPr>
        <w:t> </w:t>
      </w:r>
      <w:r>
        <w:rPr/>
        <w:t>amount</w:t>
      </w:r>
      <w:r>
        <w:rPr>
          <w:spacing w:val="31"/>
        </w:rPr>
        <w:t> </w:t>
      </w:r>
      <w:r>
        <w:rPr/>
        <w:t>in</w:t>
      </w:r>
      <w:r>
        <w:rPr>
          <w:spacing w:val="31"/>
        </w:rPr>
        <w:t> </w:t>
      </w:r>
      <w:r>
        <w:rPr/>
        <w:t>comparison</w:t>
      </w:r>
      <w:r>
        <w:rPr>
          <w:spacing w:val="31"/>
        </w:rPr>
        <w:t> </w:t>
      </w:r>
      <w:r>
        <w:rPr/>
        <w:t>with</w:t>
      </w:r>
      <w:r>
        <w:rPr>
          <w:spacing w:val="31"/>
        </w:rPr>
        <w:t> </w:t>
      </w:r>
      <w:r>
        <w:rPr/>
        <w:t>the</w:t>
      </w:r>
      <w:r>
        <w:rPr>
          <w:spacing w:val="31"/>
        </w:rPr>
        <w:t> </w:t>
      </w:r>
      <w:r>
        <w:rPr/>
        <w:t>greatest</w:t>
      </w:r>
      <w:r>
        <w:rPr>
          <w:spacing w:val="31"/>
        </w:rPr>
        <w:t> </w:t>
      </w:r>
      <w:r>
        <w:rPr/>
        <w:t>loss</w:t>
      </w:r>
      <w:r>
        <w:rPr>
          <w:spacing w:val="31"/>
        </w:rPr>
        <w:t> </w:t>
      </w:r>
      <w:r>
        <w:rPr/>
        <w:t>which</w:t>
      </w:r>
      <w:r>
        <w:rPr>
          <w:spacing w:val="31"/>
        </w:rPr>
        <w:t> </w:t>
      </w:r>
      <w:r>
        <w:rPr>
          <w:spacing w:val="-2"/>
        </w:rPr>
        <w:t>could</w:t>
      </w:r>
    </w:p>
    <w:p>
      <w:pPr>
        <w:pStyle w:val="BodyText"/>
        <w:spacing w:before="116"/>
        <w:ind w:left="2205"/>
        <w:rPr>
          <w:position w:val="-2"/>
        </w:rPr>
      </w:pPr>
      <w:r>
        <w:rPr/>
        <w:t>conceivably be proved to have followed from the breach. </w:t>
      </w:r>
      <w:hyperlink w:history="true" w:anchor="_bookmark1982">
        <w:r>
          <w:rPr>
            <w:color w:val="005DA1"/>
            <w:u w:val="single" w:color="005DA1"/>
            <w:vertAlign w:val="superscript"/>
          </w:rPr>
          <w:t>1016</w:t>
        </w:r>
        <w:r>
          <w:rPr>
            <w:color w:val="005DA1"/>
            <w:spacing w:val="80"/>
            <w:w w:val="150"/>
            <w:vertAlign w:val="baseline"/>
          </w:rPr>
          <w:t> </w:t>
        </w:r>
        <w:r>
          <w:rPr>
            <w:color w:val="005DA1"/>
            <w:position w:val="-2"/>
            <w:vertAlign w:val="baseline"/>
          </w:rPr>
          <w:drawing>
            <wp:inline distT="0" distB="0" distL="0" distR="0">
              <wp:extent cx="107988" cy="107988"/>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725"/>
      </w:pPr>
      <w:r>
        <w:rPr>
          <w:spacing w:val="-5"/>
        </w:rPr>
        <w:t>(b)</w:t>
      </w:r>
    </w:p>
    <w:p>
      <w:pPr>
        <w:pStyle w:val="BodyText"/>
        <w:spacing w:line="235" w:lineRule="auto" w:before="114"/>
        <w:ind w:left="2205"/>
      </w:pPr>
      <w:r>
        <w:rPr/>
        <w:t>It will be held to be a penalty if the breach consists only in not paying a sum of </w:t>
      </w:r>
      <w:bookmarkStart w:name="_bookmark1916" w:id="1918"/>
      <w:bookmarkEnd w:id="1918"/>
      <w:r>
        <w:rPr/>
        <w:t>money,</w:t>
      </w:r>
      <w:r>
        <w:rPr>
          <w:spacing w:val="14"/>
        </w:rPr>
        <w:t> </w:t>
      </w:r>
      <w:r>
        <w:rPr/>
        <w:t>and</w:t>
      </w:r>
      <w:r>
        <w:rPr>
          <w:spacing w:val="14"/>
        </w:rPr>
        <w:t> </w:t>
      </w:r>
      <w:r>
        <w:rPr/>
        <w:t>the</w:t>
      </w:r>
      <w:r>
        <w:rPr>
          <w:spacing w:val="14"/>
        </w:rPr>
        <w:t> </w:t>
      </w:r>
      <w:r>
        <w:rPr/>
        <w:t>sum</w:t>
      </w:r>
      <w:r>
        <w:rPr>
          <w:spacing w:val="14"/>
        </w:rPr>
        <w:t> </w:t>
      </w:r>
      <w:r>
        <w:rPr/>
        <w:t>stipulated</w:t>
      </w:r>
      <w:r>
        <w:rPr>
          <w:spacing w:val="14"/>
        </w:rPr>
        <w:t> </w:t>
      </w:r>
      <w:r>
        <w:rPr/>
        <w:t>is</w:t>
      </w:r>
      <w:r>
        <w:rPr>
          <w:spacing w:val="14"/>
        </w:rPr>
        <w:t> </w:t>
      </w:r>
      <w:r>
        <w:rPr/>
        <w:t>a</w:t>
      </w:r>
      <w:r>
        <w:rPr>
          <w:spacing w:val="14"/>
        </w:rPr>
        <w:t> </w:t>
      </w:r>
      <w:r>
        <w:rPr/>
        <w:t>sum</w:t>
      </w:r>
      <w:r>
        <w:rPr>
          <w:spacing w:val="14"/>
        </w:rPr>
        <w:t> </w:t>
      </w:r>
      <w:r>
        <w:rPr/>
        <w:t>greater</w:t>
      </w:r>
      <w:r>
        <w:rPr>
          <w:spacing w:val="14"/>
        </w:rPr>
        <w:t> </w:t>
      </w:r>
      <w:r>
        <w:rPr/>
        <w:t>than</w:t>
      </w:r>
      <w:r>
        <w:rPr>
          <w:spacing w:val="14"/>
        </w:rPr>
        <w:t> </w:t>
      </w:r>
      <w:r>
        <w:rPr/>
        <w:t>the</w:t>
      </w:r>
      <w:r>
        <w:rPr>
          <w:spacing w:val="14"/>
        </w:rPr>
        <w:t> </w:t>
      </w:r>
      <w:r>
        <w:rPr/>
        <w:t>sum</w:t>
      </w:r>
      <w:r>
        <w:rPr>
          <w:spacing w:val="14"/>
        </w:rPr>
        <w:t> </w:t>
      </w:r>
      <w:r>
        <w:rPr/>
        <w:t>which</w:t>
      </w:r>
      <w:r>
        <w:rPr>
          <w:spacing w:val="14"/>
        </w:rPr>
        <w:t> </w:t>
      </w:r>
      <w:r>
        <w:rPr/>
        <w:t>ought</w:t>
      </w:r>
      <w:r>
        <w:rPr>
          <w:spacing w:val="14"/>
        </w:rPr>
        <w:t> </w:t>
      </w:r>
      <w:r>
        <w:rPr>
          <w:spacing w:val="-5"/>
        </w:rPr>
        <w:t>to</w:t>
      </w:r>
    </w:p>
    <w:p>
      <w:pPr>
        <w:pStyle w:val="BodyText"/>
        <w:spacing w:before="115"/>
        <w:ind w:left="2205"/>
        <w:rPr>
          <w:position w:val="-2"/>
        </w:rPr>
      </w:pPr>
      <w:r>
        <w:rPr/>
        <w:t>have been paid …. </w:t>
      </w:r>
      <w:hyperlink w:history="true" w:anchor="_bookmark1983">
        <w:r>
          <w:rPr>
            <w:color w:val="005DA1"/>
            <w:u w:val="single" w:color="005DA1"/>
            <w:vertAlign w:val="superscript"/>
          </w:rPr>
          <w:t>1017</w:t>
        </w:r>
        <w:r>
          <w:rPr>
            <w:color w:val="005DA1"/>
            <w:spacing w:val="80"/>
            <w:w w:val="150"/>
            <w:vertAlign w:val="baseline"/>
          </w:rPr>
          <w:t> </w:t>
        </w:r>
        <w:r>
          <w:rPr>
            <w:color w:val="005DA1"/>
            <w:position w:val="-2"/>
            <w:vertAlign w:val="baseline"/>
          </w:rPr>
          <w:drawing>
            <wp:inline distT="0" distB="0" distL="0" distR="0">
              <wp:extent cx="107988" cy="107988"/>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725"/>
      </w:pPr>
      <w:r>
        <w:rPr>
          <w:spacing w:val="-5"/>
        </w:rPr>
        <w:t>(c)</w:t>
      </w:r>
    </w:p>
    <w:p>
      <w:pPr>
        <w:pStyle w:val="BodyText"/>
        <w:spacing w:line="235" w:lineRule="auto" w:before="114"/>
        <w:ind w:left="2205" w:right="167"/>
        <w:jc w:val="both"/>
      </w:pPr>
      <w:r>
        <w:rPr/>
        <w:t>There is a presumption (but no more) that it is a penalty when ‘a single lump sum is made payable by way of compensation, on the occurrence of one </w:t>
      </w:r>
      <w:r>
        <w:rPr/>
        <w:t>or </w:t>
      </w:r>
      <w:bookmarkStart w:name="_bookmark1917" w:id="1919"/>
      <w:bookmarkEnd w:id="1919"/>
      <w:r>
        <w:rPr/>
        <w:t>more</w:t>
      </w:r>
      <w:r>
        <w:rPr>
          <w:spacing w:val="7"/>
        </w:rPr>
        <w:t> </w:t>
      </w:r>
      <w:r>
        <w:rPr/>
        <w:t>or</w:t>
      </w:r>
      <w:r>
        <w:rPr>
          <w:spacing w:val="7"/>
        </w:rPr>
        <w:t> </w:t>
      </w:r>
      <w:r>
        <w:rPr/>
        <w:t>all</w:t>
      </w:r>
      <w:r>
        <w:rPr>
          <w:spacing w:val="7"/>
        </w:rPr>
        <w:t> </w:t>
      </w:r>
      <w:r>
        <w:rPr/>
        <w:t>of</w:t>
      </w:r>
      <w:r>
        <w:rPr>
          <w:spacing w:val="7"/>
        </w:rPr>
        <w:t> </w:t>
      </w:r>
      <w:r>
        <w:rPr/>
        <w:t>several</w:t>
      </w:r>
      <w:r>
        <w:rPr>
          <w:spacing w:val="7"/>
        </w:rPr>
        <w:t> </w:t>
      </w:r>
      <w:r>
        <w:rPr/>
        <w:t>events,</w:t>
      </w:r>
      <w:r>
        <w:rPr>
          <w:spacing w:val="7"/>
        </w:rPr>
        <w:t> </w:t>
      </w:r>
      <w:r>
        <w:rPr/>
        <w:t>some</w:t>
      </w:r>
      <w:r>
        <w:rPr>
          <w:spacing w:val="7"/>
        </w:rPr>
        <w:t> </w:t>
      </w:r>
      <w:r>
        <w:rPr/>
        <w:t>of</w:t>
      </w:r>
      <w:r>
        <w:rPr>
          <w:spacing w:val="7"/>
        </w:rPr>
        <w:t> </w:t>
      </w:r>
      <w:r>
        <w:rPr/>
        <w:t>which</w:t>
      </w:r>
      <w:r>
        <w:rPr>
          <w:spacing w:val="7"/>
        </w:rPr>
        <w:t> </w:t>
      </w:r>
      <w:r>
        <w:rPr/>
        <w:t>may</w:t>
      </w:r>
      <w:r>
        <w:rPr>
          <w:spacing w:val="7"/>
        </w:rPr>
        <w:t> </w:t>
      </w:r>
      <w:r>
        <w:rPr/>
        <w:t>occasion</w:t>
      </w:r>
      <w:r>
        <w:rPr>
          <w:spacing w:val="7"/>
        </w:rPr>
        <w:t> </w:t>
      </w:r>
      <w:r>
        <w:rPr/>
        <w:t>serious</w:t>
      </w:r>
      <w:r>
        <w:rPr>
          <w:spacing w:val="7"/>
        </w:rPr>
        <w:t> </w:t>
      </w:r>
      <w:r>
        <w:rPr/>
        <w:t>and</w:t>
      </w:r>
      <w:r>
        <w:rPr>
          <w:spacing w:val="7"/>
        </w:rPr>
        <w:t> </w:t>
      </w:r>
      <w:r>
        <w:rPr>
          <w:spacing w:val="-2"/>
        </w:rPr>
        <w:t>others</w:t>
      </w:r>
    </w:p>
    <w:p>
      <w:pPr>
        <w:pStyle w:val="BodyText"/>
        <w:spacing w:before="115"/>
        <w:ind w:left="2205"/>
        <w:jc w:val="both"/>
        <w:rPr>
          <w:position w:val="-2"/>
        </w:rPr>
      </w:pPr>
      <w:r>
        <w:rPr/>
        <w:t>but trifling damage.’ </w:t>
      </w:r>
      <w:r>
        <w:rPr>
          <w:color w:val="005DA1"/>
          <w:u w:val="single" w:color="005DA1"/>
          <w:vertAlign w:val="superscript"/>
        </w:rPr>
        <w:t>1018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45"/>
      </w:pPr>
    </w:p>
    <w:p>
      <w:pPr>
        <w:pStyle w:val="BodyText"/>
        <w:ind w:left="1725"/>
      </w:pPr>
      <w:r>
        <w:rPr/>
        <w:t>On the other </w:t>
      </w:r>
      <w:r>
        <w:rPr>
          <w:spacing w:val="-2"/>
        </w:rPr>
        <w:t>hand:</w:t>
      </w:r>
    </w:p>
    <w:p>
      <w:pPr>
        <w:pStyle w:val="BodyText"/>
        <w:spacing w:before="205"/>
      </w:pPr>
    </w:p>
    <w:p>
      <w:pPr>
        <w:pStyle w:val="BodyText"/>
        <w:ind w:left="1725"/>
      </w:pPr>
      <w:r>
        <w:rPr>
          <w:spacing w:val="-5"/>
        </w:rPr>
        <w:t>(d)</w:t>
      </w:r>
    </w:p>
    <w:p>
      <w:pPr>
        <w:pStyle w:val="BodyText"/>
        <w:spacing w:line="235" w:lineRule="auto" w:before="114"/>
        <w:ind w:left="2205" w:right="167"/>
        <w:jc w:val="both"/>
      </w:pPr>
      <w:r>
        <w:rPr/>
        <w:t>It is no obstacle to the sum stipulated being a genuine pre-estimate </w:t>
      </w:r>
      <w:r>
        <w:rPr/>
        <w:t>of</w:t>
      </w:r>
      <w:r>
        <w:rPr>
          <w:spacing w:val="40"/>
        </w:rPr>
        <w:t> </w:t>
      </w:r>
      <w:r>
        <w:rPr/>
        <w:t>damage, that the consequences of the breach are such as to make precise preestimation almost an impossibility. On the contrary, that is just the situation </w:t>
      </w:r>
      <w:bookmarkStart w:name="_bookmark1918" w:id="1920"/>
      <w:bookmarkEnd w:id="1920"/>
      <w:r>
        <w:rPr/>
        <w:t>when</w:t>
      </w:r>
      <w:r>
        <w:rPr>
          <w:spacing w:val="14"/>
        </w:rPr>
        <w:t> </w:t>
      </w:r>
      <w:r>
        <w:rPr/>
        <w:t>it</w:t>
      </w:r>
      <w:r>
        <w:rPr>
          <w:spacing w:val="16"/>
        </w:rPr>
        <w:t> </w:t>
      </w:r>
      <w:r>
        <w:rPr/>
        <w:t>is</w:t>
      </w:r>
      <w:r>
        <w:rPr>
          <w:spacing w:val="16"/>
        </w:rPr>
        <w:t> </w:t>
      </w:r>
      <w:r>
        <w:rPr/>
        <w:t>probable</w:t>
      </w:r>
      <w:r>
        <w:rPr>
          <w:spacing w:val="16"/>
        </w:rPr>
        <w:t> </w:t>
      </w:r>
      <w:r>
        <w:rPr/>
        <w:t>that</w:t>
      </w:r>
      <w:r>
        <w:rPr>
          <w:spacing w:val="16"/>
        </w:rPr>
        <w:t> </w:t>
      </w:r>
      <w:r>
        <w:rPr/>
        <w:t>pre-estimated</w:t>
      </w:r>
      <w:r>
        <w:rPr>
          <w:spacing w:val="16"/>
        </w:rPr>
        <w:t> </w:t>
      </w:r>
      <w:r>
        <w:rPr/>
        <w:t>damage</w:t>
      </w:r>
      <w:r>
        <w:rPr>
          <w:spacing w:val="16"/>
        </w:rPr>
        <w:t> </w:t>
      </w:r>
      <w:r>
        <w:rPr/>
        <w:t>was</w:t>
      </w:r>
      <w:r>
        <w:rPr>
          <w:spacing w:val="16"/>
        </w:rPr>
        <w:t> </w:t>
      </w:r>
      <w:r>
        <w:rPr/>
        <w:t>the</w:t>
      </w:r>
      <w:r>
        <w:rPr>
          <w:spacing w:val="16"/>
        </w:rPr>
        <w:t> </w:t>
      </w:r>
      <w:r>
        <w:rPr/>
        <w:t>true</w:t>
      </w:r>
      <w:r>
        <w:rPr>
          <w:spacing w:val="16"/>
        </w:rPr>
        <w:t> </w:t>
      </w:r>
      <w:r>
        <w:rPr/>
        <w:t>bargain</w:t>
      </w:r>
      <w:r>
        <w:rPr>
          <w:spacing w:val="16"/>
        </w:rPr>
        <w:t> </w:t>
      </w:r>
      <w:r>
        <w:rPr>
          <w:spacing w:val="-2"/>
        </w:rPr>
        <w:t>between</w:t>
      </w:r>
    </w:p>
    <w:p>
      <w:pPr>
        <w:pStyle w:val="BodyText"/>
        <w:spacing w:before="115"/>
        <w:ind w:left="2205"/>
        <w:jc w:val="both"/>
        <w:rPr>
          <w:position w:val="-2"/>
        </w:rPr>
      </w:pPr>
      <w:r>
        <w:rPr/>
        <w:t>the parties.” </w:t>
      </w:r>
      <w:hyperlink w:history="true" w:anchor="_bookmark1984">
        <w:r>
          <w:rPr>
            <w:color w:val="005DA1"/>
            <w:u w:val="single" w:color="005DA1"/>
            <w:vertAlign w:val="superscript"/>
          </w:rPr>
          <w:t>1019</w:t>
        </w:r>
        <w:r>
          <w:rPr>
            <w:color w:val="005DA1"/>
            <w:spacing w:val="80"/>
            <w:vertAlign w:val="baseline"/>
          </w:rPr>
          <w:t> </w:t>
        </w:r>
        <w:r>
          <w:rPr>
            <w:color w:val="005DA1"/>
            <w:position w:val="-2"/>
            <w:vertAlign w:val="baseline"/>
          </w:rPr>
          <w:drawing>
            <wp:inline distT="0" distB="0" distL="0" distR="0">
              <wp:extent cx="107988" cy="107988"/>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pPr>
    </w:p>
    <w:p>
      <w:pPr>
        <w:pStyle w:val="BodyText"/>
      </w:pPr>
    </w:p>
    <w:p>
      <w:pPr>
        <w:pStyle w:val="BodyText"/>
        <w:spacing w:before="18"/>
      </w:pPr>
    </w:p>
    <w:p>
      <w:pPr>
        <w:pStyle w:val="BodyText"/>
        <w:spacing w:line="235" w:lineRule="auto"/>
        <w:ind w:left="165" w:right="167"/>
        <w:jc w:val="both"/>
      </w:pPr>
      <w:r>
        <w:rPr/>
        <w:t>In this case, dealers in tyres had agreed not to resell any tyres bought from the manufacturers to any private customers at less than the manufacturers’ current list prices, not to supply them to persons whose supplies the manufacturers had decided to suspend, not to exhibit or export them without the manufacturers’ consent, and to pay £5 by way of liquidated damages for every tyre sold or offered </w:t>
      </w:r>
      <w:r>
        <w:rPr/>
        <w:t>in breach of the agreement. It was held that the £5 was not a penalty and thus was recoverable as liquidated damages.</w:t>
      </w:r>
    </w:p>
    <w:p>
      <w:pPr>
        <w:pStyle w:val="BodyText"/>
      </w:pPr>
    </w:p>
    <w:p>
      <w:pPr>
        <w:pStyle w:val="BodyText"/>
        <w:spacing w:before="37"/>
      </w:pPr>
    </w:p>
    <w:p>
      <w:pPr>
        <w:spacing w:before="0"/>
        <w:ind w:left="165" w:right="0" w:firstLine="0"/>
        <w:jc w:val="both"/>
        <w:rPr>
          <w:rFonts w:ascii="Arial"/>
          <w:b/>
          <w:sz w:val="18"/>
        </w:rPr>
      </w:pPr>
      <w:r>
        <w:rPr>
          <w:rFonts w:ascii="Arial"/>
          <w:b/>
          <w:sz w:val="18"/>
        </w:rPr>
        <w:t>The basis of the decision in the Dunlop </w:t>
      </w:r>
      <w:r>
        <w:rPr>
          <w:rFonts w:ascii="Arial"/>
          <w:b/>
          <w:spacing w:val="-4"/>
          <w:sz w:val="18"/>
        </w:rPr>
        <w:t>case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183</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5"/>
        </w:rPr>
        <w:t> </w:t>
      </w:r>
      <w:bookmarkStart w:name="_bookmark1919" w:id="1921"/>
      <w:bookmarkEnd w:id="1921"/>
      <w:r>
        <w:rPr>
          <w:rFonts w:ascii="Times New Roman" w:hAnsi="Times New Roman"/>
          <w:spacing w:val="-25"/>
        </w:rPr>
      </w:r>
      <w:r>
        <w:rPr/>
        <w:t>The</w:t>
      </w:r>
      <w:r>
        <w:rPr>
          <w:spacing w:val="22"/>
        </w:rPr>
        <w:t> </w:t>
      </w:r>
      <w:r>
        <w:rPr/>
        <w:t>traditional</w:t>
      </w:r>
      <w:r>
        <w:rPr>
          <w:spacing w:val="22"/>
        </w:rPr>
        <w:t> </w:t>
      </w:r>
      <w:r>
        <w:rPr/>
        <w:t>approach</w:t>
      </w:r>
      <w:r>
        <w:rPr>
          <w:spacing w:val="22"/>
        </w:rPr>
        <w:t> </w:t>
      </w:r>
      <w:r>
        <w:rPr/>
        <w:t>treated</w:t>
      </w:r>
      <w:r>
        <w:rPr>
          <w:spacing w:val="22"/>
        </w:rPr>
        <w:t> </w:t>
      </w:r>
      <w:r>
        <w:rPr/>
        <w:t>Lord</w:t>
      </w:r>
      <w:r>
        <w:rPr>
          <w:spacing w:val="22"/>
        </w:rPr>
        <w:t> </w:t>
      </w:r>
      <w:r>
        <w:rPr/>
        <w:t>Dunedin’s</w:t>
      </w:r>
      <w:r>
        <w:rPr>
          <w:spacing w:val="22"/>
        </w:rPr>
        <w:t> </w:t>
      </w:r>
      <w:r>
        <w:rPr/>
        <w:t>second</w:t>
      </w:r>
      <w:r>
        <w:rPr>
          <w:spacing w:val="22"/>
        </w:rPr>
        <w:t> </w:t>
      </w:r>
      <w:r>
        <w:rPr/>
        <w:t>proposition</w:t>
      </w:r>
      <w:r>
        <w:rPr>
          <w:spacing w:val="22"/>
        </w:rPr>
        <w:t> </w:t>
      </w:r>
      <w:r>
        <w:rPr/>
        <w:t>as</w:t>
      </w:r>
      <w:r>
        <w:rPr>
          <w:spacing w:val="22"/>
        </w:rPr>
        <w:t> </w:t>
      </w:r>
      <w:r>
        <w:rPr/>
        <w:t>an</w:t>
      </w:r>
      <w:r>
        <w:rPr>
          <w:spacing w:val="22"/>
        </w:rPr>
        <w:t> </w:t>
      </w:r>
      <w:r>
        <w:rPr/>
        <w:t>exhaustive</w:t>
      </w:r>
      <w:r>
        <w:rPr>
          <w:spacing w:val="22"/>
        </w:rPr>
        <w:t> </w:t>
      </w:r>
      <w:r>
        <w:rPr/>
        <w:t>dichotomy,</w:t>
      </w:r>
    </w:p>
    <w:p>
      <w:pPr>
        <w:pStyle w:val="BodyText"/>
        <w:spacing w:line="235" w:lineRule="auto" w:before="119"/>
        <w:ind w:left="165" w:right="167"/>
        <w:jc w:val="both"/>
      </w:pPr>
      <w:hyperlink w:history="true" w:anchor="_bookmark1985">
        <w:r>
          <w:rPr>
            <w:color w:val="005DA1"/>
            <w:u w:val="single" w:color="005DA1"/>
            <w:vertAlign w:val="superscript"/>
          </w:rPr>
          <w:t>1020</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and had thus concentrated on whether the clause was a genuine pre-estimate of the loss that </w:t>
        </w:r>
        <w:bookmarkStart w:name="_bookmark1920" w:id="1922"/>
        <w:bookmarkEnd w:id="1922"/>
        <w:r>
          <w:rPr>
            <w:vertAlign w:val="baseline"/>
          </w:rPr>
          <w:t>the</w:t>
        </w:r>
        <w:r>
          <w:rPr>
            <w:spacing w:val="13"/>
            <w:vertAlign w:val="baseline"/>
          </w:rPr>
          <w:t> </w:t>
        </w:r>
        <w:r>
          <w:rPr>
            <w:vertAlign w:val="baseline"/>
          </w:rPr>
          <w:t>payee</w:t>
        </w:r>
        <w:r>
          <w:rPr>
            <w:spacing w:val="15"/>
            <w:vertAlign w:val="baseline"/>
          </w:rPr>
          <w:t> </w:t>
        </w:r>
        <w:r>
          <w:rPr>
            <w:vertAlign w:val="baseline"/>
          </w:rPr>
          <w:t>was</w:t>
        </w:r>
        <w:r>
          <w:rPr>
            <w:spacing w:val="15"/>
            <w:vertAlign w:val="baseline"/>
          </w:rPr>
          <w:t> </w:t>
        </w:r>
        <w:r>
          <w:rPr>
            <w:vertAlign w:val="baseline"/>
          </w:rPr>
          <w:t>likely</w:t>
        </w:r>
        <w:r>
          <w:rPr>
            <w:spacing w:val="15"/>
            <w:vertAlign w:val="baseline"/>
          </w:rPr>
          <w:t> </w:t>
        </w:r>
        <w:r>
          <w:rPr>
            <w:vertAlign w:val="baseline"/>
          </w:rPr>
          <w:t>to</w:t>
        </w:r>
        <w:r>
          <w:rPr>
            <w:spacing w:val="15"/>
            <w:vertAlign w:val="baseline"/>
          </w:rPr>
          <w:t> </w:t>
        </w:r>
        <w:r>
          <w:rPr>
            <w:vertAlign w:val="baseline"/>
          </w:rPr>
          <w:t>suffer.</w:t>
        </w:r>
        <w:r>
          <w:rPr>
            <w:spacing w:val="15"/>
            <w:vertAlign w:val="baseline"/>
          </w:rPr>
          <w:t> </w:t>
        </w:r>
        <w:r>
          <w:rPr>
            <w:vertAlign w:val="baseline"/>
          </w:rPr>
          <w:t>A</w:t>
        </w:r>
        <w:r>
          <w:rPr>
            <w:spacing w:val="15"/>
            <w:vertAlign w:val="baseline"/>
          </w:rPr>
          <w:t> </w:t>
        </w:r>
        <w:r>
          <w:rPr>
            <w:vertAlign w:val="baseline"/>
          </w:rPr>
          <w:t>clause</w:t>
        </w:r>
        <w:r>
          <w:rPr>
            <w:spacing w:val="15"/>
            <w:vertAlign w:val="baseline"/>
          </w:rPr>
          <w:t> </w:t>
        </w:r>
        <w:r>
          <w:rPr>
            <w:vertAlign w:val="baseline"/>
          </w:rPr>
          <w:t>would</w:t>
        </w:r>
        <w:r>
          <w:rPr>
            <w:spacing w:val="15"/>
            <w:vertAlign w:val="baseline"/>
          </w:rPr>
          <w:t> </w:t>
        </w:r>
        <w:r>
          <w:rPr>
            <w:vertAlign w:val="baseline"/>
          </w:rPr>
          <w:t>be</w:t>
        </w:r>
        <w:r>
          <w:rPr>
            <w:spacing w:val="15"/>
            <w:vertAlign w:val="baseline"/>
          </w:rPr>
          <w:t> </w:t>
        </w:r>
        <w:r>
          <w:rPr>
            <w:vertAlign w:val="baseline"/>
          </w:rPr>
          <w:t>regarded</w:t>
        </w:r>
        <w:r>
          <w:rPr>
            <w:spacing w:val="15"/>
            <w:vertAlign w:val="baseline"/>
          </w:rPr>
          <w:t> </w:t>
        </w:r>
        <w:r>
          <w:rPr>
            <w:vertAlign w:val="baseline"/>
          </w:rPr>
          <w:t>as</w:t>
        </w:r>
        <w:r>
          <w:rPr>
            <w:spacing w:val="15"/>
            <w:vertAlign w:val="baseline"/>
          </w:rPr>
          <w:t> </w:t>
        </w:r>
        <w:r>
          <w:rPr>
            <w:vertAlign w:val="baseline"/>
          </w:rPr>
          <w:t>in</w:t>
        </w:r>
        <w:r>
          <w:rPr>
            <w:spacing w:val="15"/>
            <w:vertAlign w:val="baseline"/>
          </w:rPr>
          <w:t> </w:t>
        </w:r>
        <w:r>
          <w:rPr>
            <w:vertAlign w:val="baseline"/>
          </w:rPr>
          <w:t>terrorem</w:t>
        </w:r>
        <w:r>
          <w:rPr>
            <w:spacing w:val="15"/>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provided</w:t>
        </w:r>
        <w:r>
          <w:rPr>
            <w:spacing w:val="15"/>
            <w:vertAlign w:val="baseline"/>
          </w:rPr>
          <w:t> </w:t>
        </w:r>
        <w:r>
          <w:rPr>
            <w:vertAlign w:val="baseline"/>
          </w:rPr>
          <w:t>for</w:t>
        </w:r>
        <w:r>
          <w:rPr>
            <w:spacing w:val="15"/>
            <w:vertAlign w:val="baseline"/>
          </w:rPr>
          <w:t> </w:t>
        </w:r>
        <w:r>
          <w:rPr>
            <w:vertAlign w:val="baseline"/>
          </w:rPr>
          <w:t>a</w:t>
        </w:r>
        <w:r>
          <w:rPr>
            <w:spacing w:val="15"/>
            <w:vertAlign w:val="baseline"/>
          </w:rPr>
          <w:t> </w:t>
        </w:r>
        <w:r>
          <w:rPr>
            <w:spacing w:val="-2"/>
            <w:vertAlign w:val="baseline"/>
          </w:rPr>
          <w:t>greater</w:t>
        </w:r>
      </w:hyperlink>
    </w:p>
    <w:p>
      <w:pPr>
        <w:pStyle w:val="BodyText"/>
        <w:spacing w:before="115"/>
        <w:ind w:left="165"/>
        <w:jc w:val="both"/>
      </w:pPr>
      <w:bookmarkStart w:name="_bookmark1921" w:id="1923"/>
      <w:bookmarkEnd w:id="1923"/>
      <w:r>
        <w:rPr/>
      </w:r>
      <w:r>
        <w:rPr/>
        <w:t>sum,</w:t>
      </w:r>
      <w:r>
        <w:rPr>
          <w:spacing w:val="7"/>
        </w:rPr>
        <w:t> </w:t>
      </w:r>
      <w:r>
        <w:rPr/>
        <w:t>or</w:t>
      </w:r>
      <w:r>
        <w:rPr>
          <w:spacing w:val="8"/>
        </w:rPr>
        <w:t> </w:t>
      </w:r>
      <w:r>
        <w:rPr/>
        <w:t>at</w:t>
      </w:r>
      <w:r>
        <w:rPr>
          <w:spacing w:val="8"/>
        </w:rPr>
        <w:t> </w:t>
      </w:r>
      <w:r>
        <w:rPr/>
        <w:t>least</w:t>
      </w:r>
      <w:r>
        <w:rPr>
          <w:spacing w:val="8"/>
        </w:rPr>
        <w:t> </w:t>
      </w:r>
      <w:r>
        <w:rPr/>
        <w:t>an</w:t>
      </w:r>
      <w:r>
        <w:rPr>
          <w:spacing w:val="8"/>
        </w:rPr>
        <w:t> </w:t>
      </w:r>
      <w:r>
        <w:rPr/>
        <w:t>extravagantly</w:t>
      </w:r>
      <w:r>
        <w:rPr>
          <w:spacing w:val="8"/>
        </w:rPr>
        <w:t> </w:t>
      </w:r>
      <w:r>
        <w:rPr/>
        <w:t>greater</w:t>
      </w:r>
      <w:r>
        <w:rPr>
          <w:spacing w:val="8"/>
        </w:rPr>
        <w:t> </w:t>
      </w:r>
      <w:r>
        <w:rPr/>
        <w:t>sum,</w:t>
      </w:r>
      <w:r>
        <w:rPr>
          <w:spacing w:val="8"/>
        </w:rPr>
        <w:t> </w:t>
      </w:r>
      <w:r>
        <w:rPr/>
        <w:t>than</w:t>
      </w:r>
      <w:r>
        <w:rPr>
          <w:spacing w:val="8"/>
        </w:rPr>
        <w:t> </w:t>
      </w:r>
      <w:r>
        <w:rPr/>
        <w:t>the</w:t>
      </w:r>
      <w:r>
        <w:rPr>
          <w:spacing w:val="8"/>
        </w:rPr>
        <w:t> </w:t>
      </w:r>
      <w:r>
        <w:rPr/>
        <w:t>loss</w:t>
      </w:r>
      <w:r>
        <w:rPr>
          <w:spacing w:val="8"/>
        </w:rPr>
        <w:t> </w:t>
      </w:r>
      <w:r>
        <w:rPr/>
        <w:t>the</w:t>
      </w:r>
      <w:r>
        <w:rPr>
          <w:spacing w:val="8"/>
        </w:rPr>
        <w:t> </w:t>
      </w:r>
      <w:r>
        <w:rPr/>
        <w:t>payee</w:t>
      </w:r>
      <w:r>
        <w:rPr>
          <w:spacing w:val="7"/>
        </w:rPr>
        <w:t> </w:t>
      </w:r>
      <w:r>
        <w:rPr/>
        <w:t>was</w:t>
      </w:r>
      <w:r>
        <w:rPr>
          <w:spacing w:val="8"/>
        </w:rPr>
        <w:t> </w:t>
      </w:r>
      <w:r>
        <w:rPr/>
        <w:t>likely</w:t>
      </w:r>
      <w:r>
        <w:rPr>
          <w:spacing w:val="8"/>
        </w:rPr>
        <w:t> </w:t>
      </w:r>
      <w:r>
        <w:rPr/>
        <w:t>to</w:t>
      </w:r>
      <w:r>
        <w:rPr>
          <w:spacing w:val="8"/>
        </w:rPr>
        <w:t> </w:t>
      </w:r>
      <w:r>
        <w:rPr/>
        <w:t>suffer.</w:t>
      </w:r>
      <w:r>
        <w:rPr>
          <w:spacing w:val="7"/>
        </w:rPr>
        <w:t> </w:t>
      </w:r>
      <w:hyperlink w:history="true" w:anchor="_bookmark1986">
        <w:r>
          <w:rPr>
            <w:color w:val="005DA1"/>
            <w:u w:val="single" w:color="005DA1"/>
            <w:vertAlign w:val="superscript"/>
          </w:rPr>
          <w:t>1021</w:t>
        </w:r>
        <w:r>
          <w:rPr>
            <w:color w:val="005DA1"/>
            <w:spacing w:val="39"/>
            <w:vertAlign w:val="baseline"/>
          </w:rPr>
          <w:t>  </w:t>
        </w:r>
        <w:r>
          <w:rPr>
            <w:color w:val="005DA1"/>
            <w:spacing w:val="-28"/>
            <w:position w:val="-2"/>
            <w:vertAlign w:val="baseline"/>
          </w:rPr>
          <w:drawing>
            <wp:inline distT="0" distB="0" distL="0" distR="0">
              <wp:extent cx="107988" cy="107988"/>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42"/>
            <w:vertAlign w:val="baseline"/>
          </w:rPr>
          <w:t> </w:t>
        </w:r>
        <w:r>
          <w:rPr>
            <w:spacing w:val="-5"/>
            <w:vertAlign w:val="baseline"/>
          </w:rPr>
          <w:t>In</w:t>
        </w:r>
      </w:hyperlink>
    </w:p>
    <w:p>
      <w:pPr>
        <w:spacing w:before="115"/>
        <w:ind w:left="165" w:right="0" w:firstLine="0"/>
        <w:jc w:val="both"/>
        <w:rPr>
          <w:sz w:val="20"/>
        </w:rPr>
      </w:pPr>
      <w:bookmarkStart w:name="_bookmark1922" w:id="1924"/>
      <w:bookmarkEnd w:id="1924"/>
      <w:r>
        <w:rPr/>
      </w:r>
      <w:r>
        <w:rPr>
          <w:rFonts w:ascii="Arial"/>
          <w:i/>
          <w:sz w:val="20"/>
        </w:rPr>
        <w:t>Cavendish</w:t>
      </w:r>
      <w:r>
        <w:rPr>
          <w:rFonts w:ascii="Arial"/>
          <w:i/>
          <w:spacing w:val="12"/>
          <w:sz w:val="20"/>
        </w:rPr>
        <w:t> </w:t>
      </w:r>
      <w:r>
        <w:rPr>
          <w:rFonts w:ascii="Arial"/>
          <w:i/>
          <w:sz w:val="20"/>
        </w:rPr>
        <w:t>Square</w:t>
      </w:r>
      <w:r>
        <w:rPr>
          <w:rFonts w:ascii="Arial"/>
          <w:i/>
          <w:spacing w:val="13"/>
          <w:sz w:val="20"/>
        </w:rPr>
        <w:t> </w:t>
      </w:r>
      <w:r>
        <w:rPr>
          <w:rFonts w:ascii="Arial"/>
          <w:i/>
          <w:sz w:val="20"/>
        </w:rPr>
        <w:t>Holding</w:t>
      </w:r>
      <w:r>
        <w:rPr>
          <w:rFonts w:ascii="Arial"/>
          <w:i/>
          <w:spacing w:val="12"/>
          <w:sz w:val="20"/>
        </w:rPr>
        <w:t> </w:t>
      </w:r>
      <w:r>
        <w:rPr>
          <w:rFonts w:ascii="Arial"/>
          <w:i/>
          <w:sz w:val="20"/>
        </w:rPr>
        <w:t>BV</w:t>
      </w:r>
      <w:r>
        <w:rPr>
          <w:rFonts w:ascii="Arial"/>
          <w:i/>
          <w:spacing w:val="13"/>
          <w:sz w:val="20"/>
        </w:rPr>
        <w:t> </w:t>
      </w:r>
      <w:r>
        <w:rPr>
          <w:rFonts w:ascii="Arial"/>
          <w:i/>
          <w:sz w:val="20"/>
        </w:rPr>
        <w:t>v</w:t>
      </w:r>
      <w:r>
        <w:rPr>
          <w:rFonts w:ascii="Arial"/>
          <w:i/>
          <w:spacing w:val="13"/>
          <w:sz w:val="20"/>
        </w:rPr>
        <w:t> </w:t>
      </w:r>
      <w:r>
        <w:rPr>
          <w:rFonts w:ascii="Arial"/>
          <w:i/>
          <w:sz w:val="20"/>
        </w:rPr>
        <w:t>Makdessi</w:t>
      </w:r>
      <w:r>
        <w:rPr>
          <w:rFonts w:ascii="Arial"/>
          <w:i/>
          <w:spacing w:val="11"/>
          <w:sz w:val="20"/>
        </w:rPr>
        <w:t> </w:t>
      </w:r>
      <w:r>
        <w:rPr>
          <w:sz w:val="20"/>
        </w:rPr>
        <w:t>and</w:t>
      </w:r>
      <w:r>
        <w:rPr>
          <w:spacing w:val="13"/>
          <w:sz w:val="20"/>
        </w:rPr>
        <w:t> </w:t>
      </w:r>
      <w:r>
        <w:rPr>
          <w:rFonts w:ascii="Arial"/>
          <w:i/>
          <w:sz w:val="20"/>
        </w:rPr>
        <w:t>ParkingEye</w:t>
      </w:r>
      <w:r>
        <w:rPr>
          <w:rFonts w:ascii="Arial"/>
          <w:i/>
          <w:spacing w:val="13"/>
          <w:sz w:val="20"/>
        </w:rPr>
        <w:t> </w:t>
      </w:r>
      <w:r>
        <w:rPr>
          <w:rFonts w:ascii="Arial"/>
          <w:i/>
          <w:sz w:val="20"/>
        </w:rPr>
        <w:t>Ltd</w:t>
      </w:r>
      <w:r>
        <w:rPr>
          <w:rFonts w:ascii="Arial"/>
          <w:i/>
          <w:spacing w:val="12"/>
          <w:sz w:val="20"/>
        </w:rPr>
        <w:t> </w:t>
      </w:r>
      <w:r>
        <w:rPr>
          <w:rFonts w:ascii="Arial"/>
          <w:i/>
          <w:sz w:val="20"/>
        </w:rPr>
        <w:t>v</w:t>
      </w:r>
      <w:r>
        <w:rPr>
          <w:rFonts w:ascii="Arial"/>
          <w:i/>
          <w:spacing w:val="13"/>
          <w:sz w:val="20"/>
        </w:rPr>
        <w:t> </w:t>
      </w:r>
      <w:r>
        <w:rPr>
          <w:rFonts w:ascii="Arial"/>
          <w:i/>
          <w:sz w:val="20"/>
        </w:rPr>
        <w:t>Beavis</w:t>
      </w:r>
      <w:r>
        <w:rPr>
          <w:rFonts w:ascii="Arial"/>
          <w:i/>
          <w:spacing w:val="12"/>
          <w:sz w:val="20"/>
        </w:rPr>
        <w:t> </w:t>
      </w:r>
      <w:hyperlink w:history="true" w:anchor="_bookmark1987">
        <w:r>
          <w:rPr>
            <w:color w:val="005DA1"/>
            <w:sz w:val="20"/>
            <w:u w:val="single" w:color="005DA1"/>
            <w:vertAlign w:val="superscript"/>
          </w:rPr>
          <w:t>1022</w:t>
        </w:r>
        <w:r>
          <w:rPr>
            <w:color w:val="005DA1"/>
            <w:spacing w:val="46"/>
            <w:sz w:val="20"/>
            <w:vertAlign w:val="baseline"/>
          </w:rPr>
          <w:t>  </w:t>
        </w:r>
        <w:r>
          <w:rPr>
            <w:color w:val="005DA1"/>
            <w:spacing w:val="-14"/>
            <w:position w:val="-2"/>
            <w:sz w:val="20"/>
            <w:vertAlign w:val="baseline"/>
          </w:rPr>
          <w:drawing>
            <wp:inline distT="0" distB="0" distL="0" distR="0">
              <wp:extent cx="107988" cy="107988"/>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sz w:val="20"/>
            <w:vertAlign w:val="baseline"/>
          </w:rPr>
        </w:r>
        <w:r>
          <w:rPr>
            <w:rFonts w:ascii="Times New Roman"/>
            <w:color w:val="005DA1"/>
            <w:spacing w:val="32"/>
            <w:sz w:val="20"/>
            <w:vertAlign w:val="baseline"/>
          </w:rPr>
          <w:t> </w:t>
        </w:r>
        <w:r>
          <w:rPr>
            <w:sz w:val="20"/>
            <w:vertAlign w:val="baseline"/>
          </w:rPr>
          <w:t>the</w:t>
        </w:r>
        <w:r>
          <w:rPr>
            <w:spacing w:val="12"/>
            <w:sz w:val="20"/>
            <w:vertAlign w:val="baseline"/>
          </w:rPr>
          <w:t> </w:t>
        </w:r>
        <w:r>
          <w:rPr>
            <w:sz w:val="20"/>
            <w:vertAlign w:val="baseline"/>
          </w:rPr>
          <w:t>Supreme</w:t>
        </w:r>
        <w:r>
          <w:rPr>
            <w:spacing w:val="13"/>
            <w:sz w:val="20"/>
            <w:vertAlign w:val="baseline"/>
          </w:rPr>
          <w:t> </w:t>
        </w:r>
        <w:r>
          <w:rPr>
            <w:spacing w:val="-2"/>
            <w:sz w:val="20"/>
            <w:vertAlign w:val="baseline"/>
          </w:rPr>
          <w:t>Court</w:t>
        </w:r>
      </w:hyperlink>
    </w:p>
    <w:p>
      <w:pPr>
        <w:pStyle w:val="BodyText"/>
        <w:spacing w:line="235" w:lineRule="auto" w:before="119"/>
        <w:ind w:left="165" w:right="167"/>
        <w:jc w:val="both"/>
      </w:pPr>
      <w:r>
        <w:rPr/>
        <w:t>pointed out that other judges in the Dunlop case had decided the case on a wider basis </w:t>
      </w:r>
      <w:hyperlink w:history="true" w:anchor="_bookmark1988">
        <w:r>
          <w:rPr>
            <w:color w:val="005DA1"/>
            <w:u w:val="single" w:color="005DA1"/>
            <w:vertAlign w:val="superscript"/>
          </w:rPr>
          <w:t>1023</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and as the result of the Supreme Court’s decision in those cases, a clause may also be justified on the basis</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party</w:t>
        </w:r>
        <w:r>
          <w:rPr>
            <w:spacing w:val="6"/>
            <w:vertAlign w:val="baseline"/>
          </w:rPr>
          <w:t> </w:t>
        </w:r>
        <w:r>
          <w:rPr>
            <w:vertAlign w:val="baseline"/>
          </w:rPr>
          <w:t>who</w:t>
        </w:r>
        <w:r>
          <w:rPr>
            <w:spacing w:val="6"/>
            <w:vertAlign w:val="baseline"/>
          </w:rPr>
          <w:t> </w:t>
        </w:r>
        <w:r>
          <w:rPr>
            <w:vertAlign w:val="baseline"/>
          </w:rPr>
          <w:t>would</w:t>
        </w:r>
        <w:r>
          <w:rPr>
            <w:spacing w:val="6"/>
            <w:vertAlign w:val="baseline"/>
          </w:rPr>
          <w:t> </w:t>
        </w:r>
        <w:r>
          <w:rPr>
            <w:vertAlign w:val="baseline"/>
          </w:rPr>
          <w:t>benefit</w:t>
        </w:r>
        <w:r>
          <w:rPr>
            <w:spacing w:val="6"/>
            <w:vertAlign w:val="baseline"/>
          </w:rPr>
          <w:t> </w:t>
        </w:r>
        <w:r>
          <w:rPr>
            <w:vertAlign w:val="baseline"/>
          </w:rPr>
          <w:t>from</w:t>
        </w:r>
        <w:r>
          <w:rPr>
            <w:spacing w:val="6"/>
            <w:vertAlign w:val="baseline"/>
          </w:rPr>
          <w:t> </w:t>
        </w:r>
        <w:r>
          <w:rPr>
            <w:vertAlign w:val="baseline"/>
          </w:rPr>
          <w:t>it</w:t>
        </w:r>
        <w:r>
          <w:rPr>
            <w:spacing w:val="6"/>
            <w:vertAlign w:val="baseline"/>
          </w:rPr>
          <w:t> </w:t>
        </w:r>
        <w:r>
          <w:rPr>
            <w:vertAlign w:val="baseline"/>
          </w:rPr>
          <w:t>has</w:t>
        </w:r>
        <w:r>
          <w:rPr>
            <w:spacing w:val="6"/>
            <w:vertAlign w:val="baseline"/>
          </w:rPr>
          <w:t> </w:t>
        </w:r>
        <w:r>
          <w:rPr>
            <w:vertAlign w:val="baseline"/>
          </w:rPr>
          <w:t>a</w:t>
        </w:r>
        <w:r>
          <w:rPr>
            <w:spacing w:val="6"/>
            <w:vertAlign w:val="baseline"/>
          </w:rPr>
          <w:t> </w:t>
        </w:r>
        <w:r>
          <w:rPr>
            <w:vertAlign w:val="baseline"/>
          </w:rPr>
          <w:t>legitimate</w:t>
        </w:r>
        <w:r>
          <w:rPr>
            <w:spacing w:val="6"/>
            <w:vertAlign w:val="baseline"/>
          </w:rPr>
          <w:t> </w:t>
        </w:r>
        <w:r>
          <w:rPr>
            <w:vertAlign w:val="baseline"/>
          </w:rPr>
          <w:t>interest</w:t>
        </w:r>
        <w:r>
          <w:rPr>
            <w:spacing w:val="6"/>
            <w:vertAlign w:val="baseline"/>
          </w:rPr>
          <w:t> </w:t>
        </w:r>
        <w:r>
          <w:rPr>
            <w:vertAlign w:val="baseline"/>
          </w:rPr>
          <w:t>in</w:t>
        </w:r>
        <w:r>
          <w:rPr>
            <w:spacing w:val="6"/>
            <w:vertAlign w:val="baseline"/>
          </w:rPr>
          <w:t> </w:t>
        </w:r>
        <w:r>
          <w:rPr>
            <w:vertAlign w:val="baseline"/>
          </w:rPr>
          <w:t>securing</w:t>
        </w:r>
        <w:r>
          <w:rPr>
            <w:spacing w:val="6"/>
            <w:vertAlign w:val="baseline"/>
          </w:rPr>
          <w:t> </w:t>
        </w:r>
        <w:r>
          <w:rPr>
            <w:vertAlign w:val="baseline"/>
          </w:rPr>
          <w:t>performance</w:t>
        </w:r>
        <w:r>
          <w:rPr>
            <w:spacing w:val="6"/>
            <w:vertAlign w:val="baseline"/>
          </w:rPr>
          <w:t> </w:t>
        </w:r>
        <w:r>
          <w:rPr>
            <w:spacing w:val="-2"/>
            <w:vertAlign w:val="baseline"/>
          </w:rPr>
          <w:t>rather</w:t>
        </w:r>
      </w:hyperlink>
    </w:p>
    <w:p>
      <w:pPr>
        <w:sectPr>
          <w:pgSz w:w="11900" w:h="16840"/>
          <w:pgMar w:header="971" w:footer="0" w:top="1300" w:bottom="280" w:left="1275" w:right="1275"/>
        </w:sectPr>
      </w:pPr>
    </w:p>
    <w:p>
      <w:pPr>
        <w:pStyle w:val="BodyText"/>
        <w:spacing w:before="106"/>
        <w:ind w:left="165"/>
      </w:pPr>
      <w:bookmarkStart w:name="_bookmark1923" w:id="1925"/>
      <w:bookmarkEnd w:id="1925"/>
      <w:r>
        <w:rPr/>
      </w:r>
      <w:r>
        <w:rPr/>
        <w:t>than</w:t>
      </w:r>
      <w:r>
        <w:rPr>
          <w:spacing w:val="55"/>
        </w:rPr>
        <w:t> </w:t>
      </w:r>
      <w:r>
        <w:rPr/>
        <w:t>damages,</w:t>
      </w:r>
      <w:r>
        <w:rPr>
          <w:spacing w:val="56"/>
        </w:rPr>
        <w:t> </w:t>
      </w:r>
      <w:r>
        <w:rPr/>
        <w:t>and</w:t>
      </w:r>
      <w:r>
        <w:rPr>
          <w:spacing w:val="55"/>
        </w:rPr>
        <w:t> </w:t>
      </w:r>
      <w:r>
        <w:rPr/>
        <w:t>the</w:t>
      </w:r>
      <w:r>
        <w:rPr>
          <w:spacing w:val="56"/>
        </w:rPr>
        <w:t> </w:t>
      </w:r>
      <w:r>
        <w:rPr/>
        <w:t>amount</w:t>
      </w:r>
      <w:r>
        <w:rPr>
          <w:spacing w:val="55"/>
        </w:rPr>
        <w:t> </w:t>
      </w:r>
      <w:r>
        <w:rPr/>
        <w:t>payable</w:t>
      </w:r>
      <w:r>
        <w:rPr>
          <w:spacing w:val="56"/>
        </w:rPr>
        <w:t> </w:t>
      </w:r>
      <w:r>
        <w:rPr/>
        <w:t>or</w:t>
      </w:r>
      <w:r>
        <w:rPr>
          <w:spacing w:val="55"/>
        </w:rPr>
        <w:t> </w:t>
      </w:r>
      <w:r>
        <w:rPr/>
        <w:t>other</w:t>
      </w:r>
      <w:r>
        <w:rPr>
          <w:spacing w:val="56"/>
        </w:rPr>
        <w:t> </w:t>
      </w:r>
      <w:r>
        <w:rPr/>
        <w:t>consequence</w:t>
      </w:r>
      <w:r>
        <w:rPr>
          <w:spacing w:val="56"/>
        </w:rPr>
        <w:t> </w:t>
      </w:r>
      <w:r>
        <w:rPr/>
        <w:t>if</w:t>
      </w:r>
      <w:r>
        <w:rPr>
          <w:spacing w:val="55"/>
        </w:rPr>
        <w:t> </w:t>
      </w:r>
      <w:r>
        <w:rPr/>
        <w:t>the</w:t>
      </w:r>
      <w:r>
        <w:rPr>
          <w:spacing w:val="56"/>
        </w:rPr>
        <w:t> </w:t>
      </w:r>
      <w:r>
        <w:rPr/>
        <w:t>contract</w:t>
      </w:r>
      <w:r>
        <w:rPr>
          <w:spacing w:val="55"/>
        </w:rPr>
        <w:t> </w:t>
      </w:r>
      <w:r>
        <w:rPr/>
        <w:t>is</w:t>
      </w:r>
      <w:r>
        <w:rPr>
          <w:spacing w:val="56"/>
        </w:rPr>
        <w:t> </w:t>
      </w:r>
      <w:r>
        <w:rPr/>
        <w:t>broken</w:t>
      </w:r>
      <w:r>
        <w:rPr>
          <w:spacing w:val="55"/>
        </w:rPr>
        <w:t> </w:t>
      </w:r>
      <w:r>
        <w:rPr/>
        <w:t>is</w:t>
      </w:r>
      <w:r>
        <w:rPr>
          <w:spacing w:val="56"/>
        </w:rPr>
        <w:t> </w:t>
      </w:r>
      <w:r>
        <w:rPr>
          <w:spacing w:val="-5"/>
        </w:rPr>
        <w:t>not</w:t>
      </w:r>
    </w:p>
    <w:p>
      <w:pPr>
        <w:pStyle w:val="BodyText"/>
        <w:spacing w:line="235" w:lineRule="auto" w:before="119"/>
        <w:ind w:left="165"/>
      </w:pPr>
      <w:r>
        <w:rPr/>
        <w:t>extravagant and unconscionable in comparison to that interest. </w:t>
      </w:r>
      <w:hyperlink w:history="true" w:anchor="_bookmark1989">
        <w:r>
          <w:rPr>
            <w:color w:val="005DA1"/>
            <w:u w:val="single" w:color="005DA1"/>
            <w:vertAlign w:val="superscript"/>
          </w:rPr>
          <w:t>1024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However, as Lords Neuberger and Sumption said:</w:t>
        </w:r>
      </w:hyperlink>
    </w:p>
    <w:p>
      <w:pPr>
        <w:pStyle w:val="BodyText"/>
      </w:pPr>
    </w:p>
    <w:p>
      <w:pPr>
        <w:pStyle w:val="BodyText"/>
        <w:spacing w:before="126"/>
      </w:pPr>
    </w:p>
    <w:p>
      <w:pPr>
        <w:pStyle w:val="BodyText"/>
        <w:spacing w:line="235" w:lineRule="auto"/>
        <w:ind w:left="1245"/>
      </w:pPr>
      <w:r>
        <w:rPr/>
        <w:t>“In the case of a straightforward damages clause, that interest will rarely extend </w:t>
      </w:r>
      <w:r>
        <w:rPr/>
        <w:t>beyond </w:t>
      </w:r>
      <w:bookmarkStart w:name="_bookmark1924" w:id="1926"/>
      <w:bookmarkEnd w:id="1926"/>
      <w:r>
        <w:rPr/>
        <w:t>compensation</w:t>
      </w:r>
      <w:r>
        <w:rPr>
          <w:spacing w:val="39"/>
        </w:rPr>
        <w:t> </w:t>
      </w:r>
      <w:r>
        <w:rPr/>
        <w:t>for</w:t>
      </w:r>
      <w:r>
        <w:rPr>
          <w:spacing w:val="39"/>
        </w:rPr>
        <w:t> </w:t>
      </w:r>
      <w:r>
        <w:rPr/>
        <w:t>the</w:t>
      </w:r>
      <w:r>
        <w:rPr>
          <w:spacing w:val="39"/>
        </w:rPr>
        <w:t> </w:t>
      </w:r>
      <w:r>
        <w:rPr/>
        <w:t>breach,</w:t>
      </w:r>
      <w:r>
        <w:rPr>
          <w:spacing w:val="39"/>
        </w:rPr>
        <w:t> </w:t>
      </w:r>
      <w:r>
        <w:rPr/>
        <w:t>and</w:t>
      </w:r>
      <w:r>
        <w:rPr>
          <w:spacing w:val="39"/>
        </w:rPr>
        <w:t> </w:t>
      </w:r>
      <w:r>
        <w:rPr/>
        <w:t>we</w:t>
      </w:r>
      <w:r>
        <w:rPr>
          <w:spacing w:val="39"/>
        </w:rPr>
        <w:t> </w:t>
      </w:r>
      <w:r>
        <w:rPr/>
        <w:t>therefore</w:t>
      </w:r>
      <w:r>
        <w:rPr>
          <w:spacing w:val="39"/>
        </w:rPr>
        <w:t> </w:t>
      </w:r>
      <w:r>
        <w:rPr/>
        <w:t>expect</w:t>
      </w:r>
      <w:r>
        <w:rPr>
          <w:spacing w:val="39"/>
        </w:rPr>
        <w:t> </w:t>
      </w:r>
      <w:r>
        <w:rPr/>
        <w:t>that</w:t>
      </w:r>
      <w:r>
        <w:rPr>
          <w:spacing w:val="39"/>
        </w:rPr>
        <w:t> </w:t>
      </w:r>
      <w:r>
        <w:rPr/>
        <w:t>Lord</w:t>
      </w:r>
      <w:r>
        <w:rPr>
          <w:spacing w:val="39"/>
        </w:rPr>
        <w:t> </w:t>
      </w:r>
      <w:r>
        <w:rPr/>
        <w:t>Dunedin’s</w:t>
      </w:r>
      <w:r>
        <w:rPr>
          <w:spacing w:val="39"/>
        </w:rPr>
        <w:t> </w:t>
      </w:r>
      <w:r>
        <w:rPr/>
        <w:t>four</w:t>
      </w:r>
      <w:r>
        <w:rPr>
          <w:spacing w:val="39"/>
        </w:rPr>
        <w:t> </w:t>
      </w:r>
      <w:r>
        <w:rPr>
          <w:spacing w:val="-2"/>
        </w:rPr>
        <w:t>tests</w:t>
      </w:r>
    </w:p>
    <w:p>
      <w:pPr>
        <w:pStyle w:val="BodyText"/>
        <w:spacing w:before="116"/>
        <w:ind w:left="1245"/>
        <w:rPr>
          <w:position w:val="-2"/>
        </w:rPr>
      </w:pPr>
      <w:r>
        <w:rPr/>
        <w:t>would usually be perfectly adequate to determine its validity.” </w:t>
      </w:r>
      <w:hyperlink w:history="true" w:anchor="_bookmark1990">
        <w:r>
          <w:rPr>
            <w:color w:val="005DA1"/>
            <w:u w:val="single" w:color="005DA1"/>
            <w:vertAlign w:val="superscript"/>
          </w:rPr>
          <w:t>1025</w:t>
        </w:r>
        <w:r>
          <w:rPr>
            <w:color w:val="005DA1"/>
            <w:spacing w:val="80"/>
            <w:w w:val="150"/>
            <w:vertAlign w:val="baseline"/>
          </w:rPr>
          <w:t> </w:t>
        </w:r>
        <w:r>
          <w:rPr>
            <w:color w:val="005DA1"/>
            <w:position w:val="-2"/>
            <w:vertAlign w:val="baseline"/>
          </w:rPr>
          <w:drawing>
            <wp:inline distT="0" distB="0" distL="0" distR="0">
              <wp:extent cx="107988" cy="107988"/>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165" w:right="167"/>
        <w:jc w:val="both"/>
      </w:pPr>
      <w:r>
        <w:rPr/>
        <w:t>Thus if the party cannot demonstrate a legitimate interest in securing performance rather than damages, or does not seek to do so, the clause may still be valid under the “genuine pre-estimate” test, and therefore that test is explored in more detail in this section.</w:t>
      </w:r>
    </w:p>
    <w:p>
      <w:pPr>
        <w:pStyle w:val="BodyText"/>
      </w:pPr>
    </w:p>
    <w:p>
      <w:pPr>
        <w:pStyle w:val="BodyText"/>
        <w:spacing w:before="38"/>
      </w:pPr>
    </w:p>
    <w:p>
      <w:pPr>
        <w:spacing w:before="0"/>
        <w:ind w:left="165" w:right="0" w:firstLine="0"/>
        <w:jc w:val="both"/>
        <w:rPr>
          <w:rFonts w:ascii="Arial"/>
          <w:b/>
          <w:sz w:val="18"/>
        </w:rPr>
      </w:pPr>
      <w:r>
        <w:rPr>
          <w:rFonts w:ascii="Arial"/>
          <w:b/>
          <w:sz w:val="18"/>
        </w:rPr>
        <w:t>An objective </w:t>
      </w:r>
      <w:r>
        <w:rPr>
          <w:rFonts w:ascii="Arial"/>
          <w:b/>
          <w:spacing w:val="-2"/>
          <w:sz w:val="18"/>
        </w:rPr>
        <w:t>approach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Asking whether a clause was a genuine pre-estimate of the loss might suggest a </w:t>
      </w:r>
      <w:r>
        <w:rPr/>
        <w:t>subjective approach, so that whether the clause is liquidated damages or a penalty depends on an assessment of what the parties thought they were agreeing on. However, there are clearly objective elements to a </w:t>
      </w:r>
      <w:bookmarkStart w:name="_bookmark1925" w:id="1927"/>
      <w:bookmarkEnd w:id="1927"/>
      <w:r>
        <w:rPr/>
        <w:t>test</w:t>
      </w:r>
      <w:r>
        <w:rPr>
          <w:spacing w:val="22"/>
        </w:rPr>
        <w:t> </w:t>
      </w:r>
      <w:r>
        <w:rPr/>
        <w:t>which</w:t>
      </w:r>
      <w:r>
        <w:rPr>
          <w:spacing w:val="22"/>
        </w:rPr>
        <w:t> </w:t>
      </w:r>
      <w:r>
        <w:rPr/>
        <w:t>depends</w:t>
      </w:r>
      <w:r>
        <w:rPr>
          <w:spacing w:val="22"/>
        </w:rPr>
        <w:t> </w:t>
      </w:r>
      <w:r>
        <w:rPr/>
        <w:t>on</w:t>
      </w:r>
      <w:r>
        <w:rPr>
          <w:spacing w:val="22"/>
        </w:rPr>
        <w:t> </w:t>
      </w:r>
      <w:r>
        <w:rPr/>
        <w:t>whether</w:t>
      </w:r>
      <w:r>
        <w:rPr>
          <w:spacing w:val="22"/>
        </w:rPr>
        <w:t> </w:t>
      </w:r>
      <w:r>
        <w:rPr/>
        <w:t>the</w:t>
      </w:r>
      <w:r>
        <w:rPr>
          <w:spacing w:val="22"/>
        </w:rPr>
        <w:t> </w:t>
      </w:r>
      <w:r>
        <w:rPr/>
        <w:t>amount</w:t>
      </w:r>
      <w:r>
        <w:rPr>
          <w:spacing w:val="22"/>
        </w:rPr>
        <w:t> </w:t>
      </w:r>
      <w:r>
        <w:rPr/>
        <w:t>is</w:t>
      </w:r>
      <w:r>
        <w:rPr>
          <w:spacing w:val="22"/>
        </w:rPr>
        <w:t> </w:t>
      </w:r>
      <w:r>
        <w:rPr/>
        <w:t>“extravagant</w:t>
      </w:r>
      <w:r>
        <w:rPr>
          <w:spacing w:val="22"/>
        </w:rPr>
        <w:t> </w:t>
      </w:r>
      <w:r>
        <w:rPr/>
        <w:t>and</w:t>
      </w:r>
      <w:r>
        <w:rPr>
          <w:spacing w:val="22"/>
        </w:rPr>
        <w:t> </w:t>
      </w:r>
      <w:r>
        <w:rPr/>
        <w:t>unconscionable</w:t>
      </w:r>
      <w:r>
        <w:rPr>
          <w:spacing w:val="22"/>
        </w:rPr>
        <w:t> </w:t>
      </w:r>
      <w:r>
        <w:rPr/>
        <w:t>in</w:t>
      </w:r>
      <w:r>
        <w:rPr>
          <w:spacing w:val="22"/>
        </w:rPr>
        <w:t> </w:t>
      </w:r>
      <w:r>
        <w:rPr/>
        <w:t>comparison</w:t>
      </w:r>
      <w:r>
        <w:rPr>
          <w:spacing w:val="22"/>
        </w:rPr>
        <w:t> </w:t>
      </w:r>
      <w:r>
        <w:rPr>
          <w:spacing w:val="-4"/>
        </w:rPr>
        <w:t>with</w:t>
      </w:r>
    </w:p>
    <w:p>
      <w:pPr>
        <w:pStyle w:val="BodyText"/>
        <w:spacing w:before="115"/>
        <w:ind w:left="165"/>
        <w:jc w:val="both"/>
      </w:pPr>
      <w:r>
        <w:rPr/>
        <w:t>the</w:t>
      </w:r>
      <w:r>
        <w:rPr>
          <w:spacing w:val="-2"/>
        </w:rPr>
        <w:t> </w:t>
      </w:r>
      <w:r>
        <w:rPr/>
        <w:t>greatest</w:t>
      </w:r>
      <w:r>
        <w:rPr>
          <w:spacing w:val="-2"/>
        </w:rPr>
        <w:t> </w:t>
      </w:r>
      <w:r>
        <w:rPr/>
        <w:t>loss”</w:t>
      </w:r>
      <w:r>
        <w:rPr>
          <w:spacing w:val="-3"/>
        </w:rPr>
        <w:t> </w:t>
      </w:r>
      <w:hyperlink w:history="true" w:anchor="_bookmark1991">
        <w:r>
          <w:rPr>
            <w:color w:val="005DA1"/>
            <w:u w:val="single" w:color="005DA1"/>
            <w:vertAlign w:val="superscript"/>
          </w:rPr>
          <w:t>1026</w:t>
        </w:r>
        <w:r>
          <w:rPr>
            <w:color w:val="005DA1"/>
            <w:spacing w:val="77"/>
            <w:w w:val="150"/>
            <w:vertAlign w:val="baseline"/>
          </w:rPr>
          <w:t> </w:t>
        </w:r>
        <w:r>
          <w:rPr>
            <w:color w:val="005DA1"/>
            <w:position w:val="-2"/>
            <w:vertAlign w:val="baseline"/>
          </w:rPr>
          <w:drawing>
            <wp:inline distT="0" distB="0" distL="0" distR="0">
              <wp:extent cx="107988" cy="107988"/>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
            <w:vertAlign w:val="baseline"/>
          </w:rPr>
          <w:t> </w:t>
        </w:r>
        <w:r>
          <w:rPr>
            <w:vertAlign w:val="baseline"/>
          </w:rPr>
          <w:t>and</w:t>
        </w:r>
        <w:r>
          <w:rPr>
            <w:spacing w:val="-2"/>
            <w:vertAlign w:val="baseline"/>
          </w:rPr>
          <w:t> </w:t>
        </w:r>
        <w:r>
          <w:rPr>
            <w:vertAlign w:val="baseline"/>
          </w:rPr>
          <w:t>it</w:t>
        </w:r>
        <w:r>
          <w:rPr>
            <w:spacing w:val="-1"/>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that:</w:t>
        </w:r>
      </w:hyperlink>
    </w:p>
    <w:p>
      <w:pPr>
        <w:pStyle w:val="BodyText"/>
      </w:pPr>
    </w:p>
    <w:p>
      <w:pPr>
        <w:pStyle w:val="BodyText"/>
        <w:spacing w:before="121"/>
      </w:pPr>
    </w:p>
    <w:p>
      <w:pPr>
        <w:pStyle w:val="BodyText"/>
        <w:spacing w:line="360" w:lineRule="auto"/>
        <w:ind w:left="1245"/>
        <w:rPr>
          <w:position w:val="-2"/>
        </w:rPr>
      </w:pPr>
      <w:bookmarkStart w:name="_bookmark1926" w:id="1928"/>
      <w:bookmarkEnd w:id="1928"/>
      <w:r>
        <w:rPr/>
      </w:r>
      <w:r>
        <w:rPr/>
        <w:t>“…</w:t>
      </w:r>
      <w:r>
        <w:rPr>
          <w:spacing w:val="19"/>
        </w:rPr>
        <w:t> </w:t>
      </w:r>
      <w:r>
        <w:rPr/>
        <w:t>the</w:t>
      </w:r>
      <w:r>
        <w:rPr>
          <w:spacing w:val="19"/>
        </w:rPr>
        <w:t> </w:t>
      </w:r>
      <w:r>
        <w:rPr/>
        <w:t>test</w:t>
      </w:r>
      <w:r>
        <w:rPr>
          <w:spacing w:val="19"/>
        </w:rPr>
        <w:t> </w:t>
      </w:r>
      <w:r>
        <w:rPr/>
        <w:t>does</w:t>
      </w:r>
      <w:r>
        <w:rPr>
          <w:spacing w:val="19"/>
        </w:rPr>
        <w:t> </w:t>
      </w:r>
      <w:r>
        <w:rPr/>
        <w:t>not</w:t>
      </w:r>
      <w:r>
        <w:rPr>
          <w:spacing w:val="19"/>
        </w:rPr>
        <w:t> </w:t>
      </w:r>
      <w:r>
        <w:rPr/>
        <w:t>turn</w:t>
      </w:r>
      <w:r>
        <w:rPr>
          <w:spacing w:val="19"/>
        </w:rPr>
        <w:t> </w:t>
      </w:r>
      <w:r>
        <w:rPr/>
        <w:t>upon</w:t>
      </w:r>
      <w:r>
        <w:rPr>
          <w:spacing w:val="19"/>
        </w:rPr>
        <w:t> </w:t>
      </w:r>
      <w:r>
        <w:rPr/>
        <w:t>the</w:t>
      </w:r>
      <w:r>
        <w:rPr>
          <w:spacing w:val="19"/>
        </w:rPr>
        <w:t> </w:t>
      </w:r>
      <w:r>
        <w:rPr/>
        <w:t>genuineness</w:t>
      </w:r>
      <w:r>
        <w:rPr>
          <w:spacing w:val="19"/>
        </w:rPr>
        <w:t> </w:t>
      </w:r>
      <w:r>
        <w:rPr/>
        <w:t>or</w:t>
      </w:r>
      <w:r>
        <w:rPr>
          <w:spacing w:val="19"/>
        </w:rPr>
        <w:t> </w:t>
      </w:r>
      <w:r>
        <w:rPr/>
        <w:t>honesty</w:t>
      </w:r>
      <w:r>
        <w:rPr>
          <w:spacing w:val="19"/>
        </w:rPr>
        <w:t> </w:t>
      </w:r>
      <w:r>
        <w:rPr/>
        <w:t>of</w:t>
      </w:r>
      <w:r>
        <w:rPr>
          <w:spacing w:val="19"/>
        </w:rPr>
        <w:t> </w:t>
      </w:r>
      <w:r>
        <w:rPr/>
        <w:t>the</w:t>
      </w:r>
      <w:r>
        <w:rPr>
          <w:spacing w:val="19"/>
        </w:rPr>
        <w:t> </w:t>
      </w:r>
      <w:r>
        <w:rPr/>
        <w:t>party</w:t>
      </w:r>
      <w:r>
        <w:rPr>
          <w:spacing w:val="19"/>
        </w:rPr>
        <w:t> </w:t>
      </w:r>
      <w:r>
        <w:rPr/>
        <w:t>or</w:t>
      </w:r>
      <w:r>
        <w:rPr>
          <w:spacing w:val="19"/>
        </w:rPr>
        <w:t> </w:t>
      </w:r>
      <w:r>
        <w:rPr/>
        <w:t>parties</w:t>
      </w:r>
      <w:r>
        <w:rPr>
          <w:spacing w:val="19"/>
        </w:rPr>
        <w:t> </w:t>
      </w:r>
      <w:r>
        <w:rPr/>
        <w:t>who made the pre-estimate. The test is primarily an objective one.” </w:t>
      </w:r>
      <w:hyperlink w:history="true" w:anchor="_bookmark1992">
        <w:r>
          <w:rPr>
            <w:color w:val="005DA1"/>
            <w:u w:val="single" w:color="005DA1"/>
            <w:vertAlign w:val="superscript"/>
          </w:rPr>
          <w:t>1027</w:t>
        </w:r>
        <w:r>
          <w:rPr>
            <w:color w:val="005DA1"/>
            <w:spacing w:val="80"/>
            <w:vertAlign w:val="baseline"/>
          </w:rPr>
          <w:t> </w:t>
        </w:r>
        <w:r>
          <w:rPr>
            <w:color w:val="005DA1"/>
            <w:position w:val="-2"/>
            <w:vertAlign w:val="baseline"/>
          </w:rPr>
          <w:drawing>
            <wp:inline distT="0" distB="0" distL="0" distR="0">
              <wp:extent cx="107988" cy="107988"/>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rPr>
          <w:sz w:val="18"/>
        </w:rPr>
      </w:pPr>
    </w:p>
    <w:p>
      <w:pPr>
        <w:pStyle w:val="BodyText"/>
        <w:spacing w:before="108"/>
        <w:rPr>
          <w:sz w:val="18"/>
        </w:rPr>
      </w:pPr>
    </w:p>
    <w:p>
      <w:pPr>
        <w:spacing w:before="1"/>
        <w:ind w:left="165" w:right="0" w:firstLine="0"/>
        <w:jc w:val="left"/>
        <w:rPr>
          <w:rFonts w:ascii="Arial"/>
          <w:b/>
          <w:sz w:val="18"/>
        </w:rPr>
      </w:pPr>
      <w:r>
        <w:rPr>
          <w:rFonts w:ascii="Arial"/>
          <w:b/>
          <w:sz w:val="18"/>
        </w:rPr>
        <w:t>A substantial </w:t>
      </w:r>
      <w:r>
        <w:rPr>
          <w:rFonts w:ascii="Arial"/>
          <w:b/>
          <w:spacing w:val="-2"/>
          <w:sz w:val="18"/>
        </w:rPr>
        <w:t>discrepancy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185</w:t>
      </w:r>
    </w:p>
    <w:p>
      <w:pPr>
        <w:pStyle w:val="BodyText"/>
        <w:spacing w:before="209"/>
        <w:rPr>
          <w:rFonts w:ascii="Arial"/>
          <w:b/>
        </w:rPr>
      </w:pPr>
    </w:p>
    <w:p>
      <w:pPr>
        <w:tabs>
          <w:tab w:pos="3507" w:val="left" w:leader="none"/>
        </w:tabs>
        <w:spacing w:before="0"/>
        <w:ind w:left="165" w:right="0" w:firstLine="0"/>
        <w:jc w:val="left"/>
        <w:rPr>
          <w:sz w:val="20"/>
        </w:rPr>
      </w:pPr>
      <w:r>
        <w:rPr>
          <w:position w:val="-2"/>
        </w:rPr>
        <w:drawing>
          <wp:inline distT="0" distB="0" distL="0" distR="0">
            <wp:extent cx="107988" cy="107988"/>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sz w:val="20"/>
        </w:rPr>
        <w:t> </w:t>
      </w:r>
      <w:bookmarkStart w:name="_bookmark1927" w:id="1929"/>
      <w:bookmarkEnd w:id="1929"/>
      <w:r>
        <w:rPr>
          <w:rFonts w:ascii="Times New Roman"/>
          <w:spacing w:val="-21"/>
          <w:sz w:val="20"/>
        </w:rPr>
      </w:r>
      <w:bookmarkStart w:name="_bookmark1928" w:id="1930"/>
      <w:bookmarkEnd w:id="1930"/>
      <w:r>
        <w:rPr>
          <w:rFonts w:ascii="Times New Roman"/>
          <w:spacing w:val="-21"/>
          <w:sz w:val="20"/>
        </w:rPr>
      </w:r>
      <w:r>
        <w:rPr>
          <w:sz w:val="20"/>
        </w:rPr>
        <w:t>In</w:t>
      </w:r>
      <w:r>
        <w:rPr>
          <w:spacing w:val="30"/>
          <w:sz w:val="20"/>
        </w:rPr>
        <w:t> </w:t>
      </w:r>
      <w:r>
        <w:rPr>
          <w:rFonts w:ascii="Arial"/>
          <w:i/>
          <w:sz w:val="20"/>
        </w:rPr>
        <w:t>Murray</w:t>
      </w:r>
      <w:r>
        <w:rPr>
          <w:rFonts w:ascii="Arial"/>
          <w:i/>
          <w:spacing w:val="30"/>
          <w:sz w:val="20"/>
        </w:rPr>
        <w:t> </w:t>
      </w:r>
      <w:r>
        <w:rPr>
          <w:rFonts w:ascii="Arial"/>
          <w:i/>
          <w:sz w:val="20"/>
        </w:rPr>
        <w:t>v</w:t>
      </w:r>
      <w:r>
        <w:rPr>
          <w:rFonts w:ascii="Arial"/>
          <w:i/>
          <w:spacing w:val="30"/>
          <w:sz w:val="20"/>
        </w:rPr>
        <w:t> </w:t>
      </w:r>
      <w:r>
        <w:rPr>
          <w:rFonts w:ascii="Arial"/>
          <w:i/>
          <w:sz w:val="20"/>
        </w:rPr>
        <w:t>Leisureplay</w:t>
      </w:r>
      <w:r>
        <w:rPr>
          <w:rFonts w:ascii="Arial"/>
          <w:i/>
          <w:spacing w:val="30"/>
          <w:sz w:val="20"/>
        </w:rPr>
        <w:t> </w:t>
      </w:r>
      <w:r>
        <w:rPr>
          <w:rFonts w:ascii="Arial"/>
          <w:i/>
          <w:sz w:val="20"/>
        </w:rPr>
        <w:t>Plc</w:t>
      </w:r>
      <w:r>
        <w:rPr>
          <w:rFonts w:ascii="Arial"/>
          <w:i/>
          <w:spacing w:val="29"/>
          <w:sz w:val="20"/>
        </w:rPr>
        <w:t> </w:t>
      </w:r>
      <w:hyperlink w:history="true" w:anchor="_bookmark1993">
        <w:r>
          <w:rPr>
            <w:color w:val="005DA1"/>
            <w:sz w:val="20"/>
            <w:u w:val="single" w:color="005DA1"/>
            <w:vertAlign w:val="superscript"/>
          </w:rPr>
          <w:t>1028</w:t>
        </w:r>
        <w:r>
          <w:rPr>
            <w:color w:val="005DA1"/>
            <w:sz w:val="20"/>
            <w:vertAlign w:val="baseline"/>
          </w:rPr>
          <w:tab/>
        </w:r>
        <w:r>
          <w:rPr>
            <w:color w:val="005DA1"/>
            <w:position w:val="-2"/>
            <w:sz w:val="20"/>
            <w:vertAlign w:val="baseline"/>
          </w:rPr>
          <w:drawing>
            <wp:inline distT="0" distB="0" distL="0" distR="0">
              <wp:extent cx="107988" cy="107988"/>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32"/>
            <w:sz w:val="20"/>
            <w:vertAlign w:val="baseline"/>
          </w:rPr>
          <w:t> </w:t>
        </w:r>
        <w:r>
          <w:rPr>
            <w:sz w:val="20"/>
            <w:vertAlign w:val="baseline"/>
          </w:rPr>
          <w:t>the</w:t>
        </w:r>
        <w:r>
          <w:rPr>
            <w:spacing w:val="27"/>
            <w:sz w:val="20"/>
            <w:vertAlign w:val="baseline"/>
          </w:rPr>
          <w:t> </w:t>
        </w:r>
        <w:r>
          <w:rPr>
            <w:sz w:val="20"/>
            <w:vertAlign w:val="baseline"/>
          </w:rPr>
          <w:t>Court</w:t>
        </w:r>
        <w:r>
          <w:rPr>
            <w:spacing w:val="27"/>
            <w:sz w:val="20"/>
            <w:vertAlign w:val="baseline"/>
          </w:rPr>
          <w:t> </w:t>
        </w:r>
        <w:r>
          <w:rPr>
            <w:sz w:val="20"/>
            <w:vertAlign w:val="baseline"/>
          </w:rPr>
          <w:t>of</w:t>
        </w:r>
        <w:r>
          <w:rPr>
            <w:spacing w:val="27"/>
            <w:sz w:val="20"/>
            <w:vertAlign w:val="baseline"/>
          </w:rPr>
          <w:t> </w:t>
        </w:r>
        <w:r>
          <w:rPr>
            <w:sz w:val="20"/>
            <w:vertAlign w:val="baseline"/>
          </w:rPr>
          <w:t>Appeal</w:t>
        </w:r>
        <w:r>
          <w:rPr>
            <w:spacing w:val="27"/>
            <w:sz w:val="20"/>
            <w:vertAlign w:val="baseline"/>
          </w:rPr>
          <w:t> </w:t>
        </w:r>
        <w:r>
          <w:rPr>
            <w:sz w:val="20"/>
            <w:vertAlign w:val="baseline"/>
          </w:rPr>
          <w:t>emphasised</w:t>
        </w:r>
        <w:r>
          <w:rPr>
            <w:spacing w:val="27"/>
            <w:sz w:val="20"/>
            <w:vertAlign w:val="baseline"/>
          </w:rPr>
          <w:t> </w:t>
        </w:r>
        <w:r>
          <w:rPr>
            <w:sz w:val="20"/>
            <w:vertAlign w:val="baseline"/>
          </w:rPr>
          <w:t>that</w:t>
        </w:r>
        <w:r>
          <w:rPr>
            <w:spacing w:val="27"/>
            <w:sz w:val="20"/>
            <w:vertAlign w:val="baseline"/>
          </w:rPr>
          <w:t> </w:t>
        </w:r>
        <w:r>
          <w:rPr>
            <w:sz w:val="20"/>
            <w:vertAlign w:val="baseline"/>
          </w:rPr>
          <w:t>a</w:t>
        </w:r>
        <w:r>
          <w:rPr>
            <w:spacing w:val="27"/>
            <w:sz w:val="20"/>
            <w:vertAlign w:val="baseline"/>
          </w:rPr>
          <w:t> </w:t>
        </w:r>
        <w:r>
          <w:rPr>
            <w:sz w:val="20"/>
            <w:vertAlign w:val="baseline"/>
          </w:rPr>
          <w:t>clause</w:t>
        </w:r>
        <w:r>
          <w:rPr>
            <w:spacing w:val="27"/>
            <w:sz w:val="20"/>
            <w:vertAlign w:val="baseline"/>
          </w:rPr>
          <w:t> </w:t>
        </w:r>
        <w:r>
          <w:rPr>
            <w:sz w:val="20"/>
            <w:vertAlign w:val="baseline"/>
          </w:rPr>
          <w:t>will</w:t>
        </w:r>
        <w:r>
          <w:rPr>
            <w:spacing w:val="27"/>
            <w:sz w:val="20"/>
            <w:vertAlign w:val="baseline"/>
          </w:rPr>
          <w:t> </w:t>
        </w:r>
        <w:r>
          <w:rPr>
            <w:sz w:val="20"/>
            <w:vertAlign w:val="baseline"/>
          </w:rPr>
          <w:t>not</w:t>
        </w:r>
        <w:r>
          <w:rPr>
            <w:spacing w:val="27"/>
            <w:sz w:val="20"/>
            <w:vertAlign w:val="baseline"/>
          </w:rPr>
          <w:t> </w:t>
        </w:r>
        <w:r>
          <w:rPr>
            <w:sz w:val="20"/>
            <w:vertAlign w:val="baseline"/>
          </w:rPr>
          <w:t>be</w:t>
        </w:r>
        <w:r>
          <w:rPr>
            <w:spacing w:val="27"/>
            <w:sz w:val="20"/>
            <w:vertAlign w:val="baseline"/>
          </w:rPr>
          <w:t> </w:t>
        </w:r>
        <w:r>
          <w:rPr>
            <w:sz w:val="20"/>
            <w:vertAlign w:val="baseline"/>
          </w:rPr>
          <w:t>a</w:t>
        </w:r>
      </w:hyperlink>
    </w:p>
    <w:p>
      <w:pPr>
        <w:pStyle w:val="BodyText"/>
        <w:tabs>
          <w:tab w:pos="6925" w:val="left" w:leader="none"/>
        </w:tabs>
        <w:spacing w:line="235" w:lineRule="auto" w:before="119"/>
        <w:ind w:left="165" w:right="167"/>
      </w:pPr>
      <w:r>
        <w:rPr/>
        <w:t>penalty merely because it is not a precise pre-estimate of the loss. </w:t>
      </w:r>
      <w:hyperlink w:history="true" w:anchor="_bookmark1994">
        <w:r>
          <w:rPr>
            <w:color w:val="005DA1"/>
            <w:u w:val="single" w:color="005DA1"/>
            <w:vertAlign w:val="superscript"/>
          </w:rPr>
          <w:t>1029</w:t>
        </w:r>
        <w:r>
          <w:rPr>
            <w:color w:val="005DA1"/>
            <w:vertAlign w:val="baseline"/>
          </w:rPr>
          <w:tab/>
        </w:r>
        <w:r>
          <w:rPr>
            <w:color w:val="005DA1"/>
            <w:position w:val="-2"/>
            <w:vertAlign w:val="baseline"/>
          </w:rPr>
          <w:drawing>
            <wp:inline distT="0" distB="0" distL="0" distR="0">
              <wp:extent cx="107988" cy="107988"/>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6"/>
            <w:vertAlign w:val="baseline"/>
          </w:rPr>
          <w:t> </w:t>
        </w:r>
        <w:r>
          <w:rPr>
            <w:vertAlign w:val="baseline"/>
          </w:rPr>
          <w:t>Arden L.J. said that </w:t>
        </w:r>
        <w:r>
          <w:rPr>
            <w:vertAlign w:val="baseline"/>
          </w:rPr>
          <w:t>a </w:t>
        </w:r>
        <w:bookmarkStart w:name="_bookmark1929" w:id="1931"/>
        <w:bookmarkEnd w:id="1931"/>
        <w:r>
          <w:rPr>
            <w:vertAlign w:val="baseline"/>
          </w:rPr>
          <w:t>contractual</w:t>
        </w:r>
        <w:r>
          <w:rPr>
            <w:spacing w:val="65"/>
            <w:vertAlign w:val="baseline"/>
          </w:rPr>
          <w:t> </w:t>
        </w:r>
        <w:r>
          <w:rPr>
            <w:vertAlign w:val="baseline"/>
          </w:rPr>
          <w:t>provision</w:t>
        </w:r>
        <w:r>
          <w:rPr>
            <w:spacing w:val="65"/>
            <w:vertAlign w:val="baseline"/>
          </w:rPr>
          <w:t> </w:t>
        </w:r>
        <w:r>
          <w:rPr>
            <w:vertAlign w:val="baseline"/>
          </w:rPr>
          <w:t>does</w:t>
        </w:r>
        <w:r>
          <w:rPr>
            <w:spacing w:val="65"/>
            <w:vertAlign w:val="baseline"/>
          </w:rPr>
          <w:t> </w:t>
        </w:r>
        <w:r>
          <w:rPr>
            <w:vertAlign w:val="baseline"/>
          </w:rPr>
          <w:t>not</w:t>
        </w:r>
        <w:r>
          <w:rPr>
            <w:spacing w:val="65"/>
            <w:vertAlign w:val="baseline"/>
          </w:rPr>
          <w:t> </w:t>
        </w:r>
        <w:r>
          <w:rPr>
            <w:vertAlign w:val="baseline"/>
          </w:rPr>
          <w:t>become</w:t>
        </w:r>
        <w:r>
          <w:rPr>
            <w:spacing w:val="65"/>
            <w:vertAlign w:val="baseline"/>
          </w:rPr>
          <w:t> </w:t>
        </w:r>
        <w:r>
          <w:rPr>
            <w:vertAlign w:val="baseline"/>
          </w:rPr>
          <w:t>a</w:t>
        </w:r>
        <w:r>
          <w:rPr>
            <w:spacing w:val="65"/>
            <w:vertAlign w:val="baseline"/>
          </w:rPr>
          <w:t> </w:t>
        </w:r>
        <w:r>
          <w:rPr>
            <w:vertAlign w:val="baseline"/>
          </w:rPr>
          <w:t>penalty</w:t>
        </w:r>
        <w:r>
          <w:rPr>
            <w:spacing w:val="65"/>
            <w:vertAlign w:val="baseline"/>
          </w:rPr>
          <w:t> </w:t>
        </w:r>
        <w:r>
          <w:rPr>
            <w:vertAlign w:val="baseline"/>
          </w:rPr>
          <w:t>simply</w:t>
        </w:r>
        <w:r>
          <w:rPr>
            <w:spacing w:val="65"/>
            <w:vertAlign w:val="baseline"/>
          </w:rPr>
          <w:t> </w:t>
        </w:r>
        <w:r>
          <w:rPr>
            <w:vertAlign w:val="baseline"/>
          </w:rPr>
          <w:t>because</w:t>
        </w:r>
        <w:r>
          <w:rPr>
            <w:spacing w:val="65"/>
            <w:vertAlign w:val="baseline"/>
          </w:rPr>
          <w:t> </w:t>
        </w:r>
        <w:r>
          <w:rPr>
            <w:vertAlign w:val="baseline"/>
          </w:rPr>
          <w:t>it</w:t>
        </w:r>
        <w:r>
          <w:rPr>
            <w:spacing w:val="65"/>
            <w:vertAlign w:val="baseline"/>
          </w:rPr>
          <w:t> </w:t>
        </w:r>
        <w:r>
          <w:rPr>
            <w:vertAlign w:val="baseline"/>
          </w:rPr>
          <w:t>results</w:t>
        </w:r>
        <w:r>
          <w:rPr>
            <w:spacing w:val="65"/>
            <w:vertAlign w:val="baseline"/>
          </w:rPr>
          <w:t> </w:t>
        </w:r>
        <w:r>
          <w:rPr>
            <w:vertAlign w:val="baseline"/>
          </w:rPr>
          <w:t>in</w:t>
        </w:r>
        <w:r>
          <w:rPr>
            <w:spacing w:val="65"/>
            <w:vertAlign w:val="baseline"/>
          </w:rPr>
          <w:t> </w:t>
        </w:r>
        <w:r>
          <w:rPr>
            <w:vertAlign w:val="baseline"/>
          </w:rPr>
          <w:t>overpayment</w:t>
        </w:r>
        <w:r>
          <w:rPr>
            <w:spacing w:val="65"/>
            <w:vertAlign w:val="baseline"/>
          </w:rPr>
          <w:t> </w:t>
        </w:r>
        <w:r>
          <w:rPr>
            <w:spacing w:val="-5"/>
            <w:vertAlign w:val="baseline"/>
          </w:rPr>
          <w:t>in</w:t>
        </w:r>
      </w:hyperlink>
    </w:p>
    <w:p>
      <w:pPr>
        <w:pStyle w:val="BodyText"/>
        <w:spacing w:before="115"/>
        <w:ind w:left="165"/>
        <w:rPr>
          <w:position w:val="-2"/>
        </w:rPr>
      </w:pPr>
      <w:r>
        <w:rPr/>
        <w:t>particular circumstances: “The parties are allowed a generous margin”. </w:t>
      </w:r>
      <w:hyperlink w:history="true" w:anchor="_bookmark1995">
        <w:r>
          <w:rPr>
            <w:color w:val="005DA1"/>
            <w:u w:val="single" w:color="005DA1"/>
            <w:vertAlign w:val="superscript"/>
          </w:rPr>
          <w:t>1030</w:t>
        </w:r>
        <w:r>
          <w:rPr>
            <w:color w:val="005DA1"/>
            <w:spacing w:val="80"/>
            <w:w w:val="150"/>
            <w:vertAlign w:val="baseline"/>
          </w:rPr>
          <w:t> </w:t>
        </w:r>
        <w:r>
          <w:rPr>
            <w:color w:val="005DA1"/>
            <w:position w:val="-2"/>
            <w:vertAlign w:val="baseline"/>
          </w:rPr>
          <w:drawing>
            <wp:inline distT="0" distB="0" distL="0" distR="0">
              <wp:extent cx="107988" cy="107988"/>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Pre-estimate of </w:t>
      </w:r>
      <w:r>
        <w:rPr>
          <w:rFonts w:ascii="Arial"/>
          <w:b/>
          <w:spacing w:val="-2"/>
          <w:sz w:val="18"/>
        </w:rPr>
        <w:t>damage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186</w:t>
      </w:r>
    </w:p>
    <w:p>
      <w:pPr>
        <w:pStyle w:val="BodyText"/>
        <w:spacing w:before="92"/>
        <w:rPr>
          <w:rFonts w:ascii="Arial"/>
          <w:b/>
        </w:rPr>
      </w:pPr>
    </w:p>
    <w:p>
      <w:pPr>
        <w:pStyle w:val="BodyText"/>
        <w:spacing w:line="235" w:lineRule="auto"/>
        <w:ind w:left="165"/>
      </w:pPr>
      <w:r>
        <w:rPr>
          <w:position w:val="-2"/>
        </w:rPr>
        <w:drawing>
          <wp:inline distT="0" distB="0" distL="0" distR="0">
            <wp:extent cx="107988" cy="10798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word “damage” must mean “net loss” after taking account of the claimant’s expected ability </w:t>
      </w:r>
      <w:r>
        <w:rPr/>
        <w:t>to </w:t>
      </w:r>
      <w:bookmarkStart w:name="_bookmark1930" w:id="1932"/>
      <w:bookmarkEnd w:id="1932"/>
      <w:r>
        <w:rPr/>
        <w:t>mitigate</w:t>
      </w:r>
      <w:r>
        <w:rPr/>
        <w:t> his loss. The comparison is to be made to the loss that the innocent party would be entitled </w:t>
      </w:r>
      <w:r>
        <w:rPr>
          <w:spacing w:val="-5"/>
        </w:rPr>
        <w:t>to</w:t>
      </w:r>
    </w:p>
    <w:p>
      <w:pPr>
        <w:pStyle w:val="BodyText"/>
        <w:spacing w:before="116"/>
        <w:ind w:left="165"/>
      </w:pPr>
      <w:bookmarkStart w:name="_bookmark1931" w:id="1933"/>
      <w:bookmarkEnd w:id="1933"/>
      <w:r>
        <w:rPr/>
      </w:r>
      <w:r>
        <w:rPr/>
        <w:t>recover</w:t>
      </w:r>
      <w:r>
        <w:rPr>
          <w:spacing w:val="6"/>
        </w:rPr>
        <w:t> </w:t>
      </w:r>
      <w:r>
        <w:rPr/>
        <w:t>by</w:t>
      </w:r>
      <w:r>
        <w:rPr>
          <w:spacing w:val="7"/>
        </w:rPr>
        <w:t> </w:t>
      </w:r>
      <w:r>
        <w:rPr/>
        <w:t>way</w:t>
      </w:r>
      <w:r>
        <w:rPr>
          <w:spacing w:val="7"/>
        </w:rPr>
        <w:t> </w:t>
      </w:r>
      <w:r>
        <w:rPr/>
        <w:t>of</w:t>
      </w:r>
      <w:r>
        <w:rPr>
          <w:spacing w:val="7"/>
        </w:rPr>
        <w:t> </w:t>
      </w:r>
      <w:r>
        <w:rPr/>
        <w:t>damages,</w:t>
      </w:r>
      <w:r>
        <w:rPr>
          <w:spacing w:val="7"/>
        </w:rPr>
        <w:t> </w:t>
      </w:r>
      <w:r>
        <w:rPr/>
        <w:t>not</w:t>
      </w:r>
      <w:r>
        <w:rPr>
          <w:spacing w:val="7"/>
        </w:rPr>
        <w:t> </w:t>
      </w:r>
      <w:r>
        <w:rPr/>
        <w:t>to</w:t>
      </w:r>
      <w:r>
        <w:rPr>
          <w:spacing w:val="7"/>
        </w:rPr>
        <w:t> </w:t>
      </w:r>
      <w:r>
        <w:rPr/>
        <w:t>the</w:t>
      </w:r>
      <w:r>
        <w:rPr>
          <w:spacing w:val="7"/>
        </w:rPr>
        <w:t> </w:t>
      </w:r>
      <w:r>
        <w:rPr/>
        <w:t>possibly</w:t>
      </w:r>
      <w:r>
        <w:rPr>
          <w:spacing w:val="6"/>
        </w:rPr>
        <w:t> </w:t>
      </w:r>
      <w:r>
        <w:rPr/>
        <w:t>greater</w:t>
      </w:r>
      <w:r>
        <w:rPr>
          <w:spacing w:val="7"/>
        </w:rPr>
        <w:t> </w:t>
      </w:r>
      <w:r>
        <w:rPr/>
        <w:t>actual</w:t>
      </w:r>
      <w:r>
        <w:rPr>
          <w:spacing w:val="7"/>
        </w:rPr>
        <w:t> </w:t>
      </w:r>
      <w:r>
        <w:rPr/>
        <w:t>loss.</w:t>
      </w:r>
      <w:r>
        <w:rPr>
          <w:spacing w:val="6"/>
        </w:rPr>
        <w:t> </w:t>
      </w:r>
      <w:hyperlink w:history="true" w:anchor="_bookmark1996">
        <w:r>
          <w:rPr>
            <w:color w:val="005DA1"/>
            <w:u w:val="single" w:color="005DA1"/>
            <w:vertAlign w:val="superscript"/>
          </w:rPr>
          <w:t>1031</w:t>
        </w:r>
        <w:r>
          <w:rPr>
            <w:color w:val="005DA1"/>
            <w:spacing w:val="38"/>
            <w:vertAlign w:val="baseline"/>
          </w:rPr>
          <w:t>  </w:t>
        </w:r>
        <w:r>
          <w:rPr>
            <w:color w:val="005DA1"/>
            <w:spacing w:val="24"/>
            <w:position w:val="-2"/>
            <w:vertAlign w:val="baseline"/>
          </w:rPr>
          <w:drawing>
            <wp:inline distT="0" distB="0" distL="0" distR="0">
              <wp:extent cx="107988" cy="107988"/>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If</w:t>
        </w:r>
        <w:r>
          <w:rPr>
            <w:spacing w:val="7"/>
            <w:vertAlign w:val="baseline"/>
          </w:rPr>
          <w:t> </w:t>
        </w:r>
        <w:r>
          <w:rPr>
            <w:vertAlign w:val="baseline"/>
          </w:rPr>
          <w:t>the</w:t>
        </w:r>
        <w:r>
          <w:rPr>
            <w:spacing w:val="7"/>
            <w:vertAlign w:val="baseline"/>
          </w:rPr>
          <w:t> </w:t>
        </w:r>
        <w:r>
          <w:rPr>
            <w:vertAlign w:val="baseline"/>
          </w:rPr>
          <w:t>clause</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spacing w:val="-2"/>
            <w:vertAlign w:val="baseline"/>
          </w:rPr>
          <w:t>genuine</w:t>
        </w:r>
      </w:hyperlink>
    </w:p>
    <w:p>
      <w:pPr>
        <w:pStyle w:val="BodyText"/>
        <w:tabs>
          <w:tab w:pos="2961" w:val="left" w:leader="none"/>
        </w:tabs>
        <w:spacing w:line="235" w:lineRule="auto" w:before="119"/>
        <w:ind w:left="165" w:right="167"/>
      </w:pPr>
      <w:r>
        <w:rPr/>
        <w:t>pre-estimate of the loss, </w:t>
      </w:r>
      <w:hyperlink w:history="true" w:anchor="_bookmark1997">
        <w:r>
          <w:rPr>
            <w:color w:val="005DA1"/>
            <w:u w:val="single" w:color="005DA1"/>
            <w:vertAlign w:val="superscript"/>
          </w:rPr>
          <w:t>1032</w:t>
        </w:r>
        <w:r>
          <w:rPr>
            <w:color w:val="005DA1"/>
            <w:vertAlign w:val="baseline"/>
          </w:rPr>
          <w:tab/>
        </w:r>
        <w:r>
          <w:rPr>
            <w:color w:val="005DA1"/>
            <w:position w:val="-2"/>
            <w:vertAlign w:val="baseline"/>
          </w:rPr>
          <w:drawing>
            <wp:inline distT="0" distB="0" distL="0" distR="0">
              <wp:extent cx="107988" cy="107988"/>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7"/>
            <w:vertAlign w:val="baseline"/>
          </w:rPr>
          <w:t> </w:t>
        </w:r>
        <w:r>
          <w:rPr>
            <w:vertAlign w:val="baseline"/>
          </w:rPr>
          <w:t>there</w:t>
        </w:r>
        <w:r>
          <w:rPr>
            <w:spacing w:val="21"/>
            <w:vertAlign w:val="baseline"/>
          </w:rPr>
          <w:t> </w:t>
        </w:r>
        <w:r>
          <w:rPr>
            <w:vertAlign w:val="baseline"/>
          </w:rPr>
          <w:t>is</w:t>
        </w:r>
        <w:r>
          <w:rPr>
            <w:spacing w:val="21"/>
            <w:vertAlign w:val="baseline"/>
          </w:rPr>
          <w:t> </w:t>
        </w:r>
        <w:r>
          <w:rPr>
            <w:vertAlign w:val="baseline"/>
          </w:rPr>
          <w:t>no</w:t>
        </w:r>
        <w:r>
          <w:rPr>
            <w:spacing w:val="21"/>
            <w:vertAlign w:val="baseline"/>
          </w:rPr>
          <w:t> </w:t>
        </w:r>
        <w:r>
          <w:rPr>
            <w:vertAlign w:val="baseline"/>
          </w:rPr>
          <w:t>scope</w:t>
        </w:r>
        <w:r>
          <w:rPr>
            <w:spacing w:val="21"/>
            <w:vertAlign w:val="baseline"/>
          </w:rPr>
          <w:t> </w:t>
        </w:r>
        <w:r>
          <w:rPr>
            <w:vertAlign w:val="baseline"/>
          </w:rPr>
          <w:t>for</w:t>
        </w:r>
        <w:r>
          <w:rPr>
            <w:spacing w:val="21"/>
            <w:vertAlign w:val="baseline"/>
          </w:rPr>
          <w:t> </w:t>
        </w:r>
        <w:r>
          <w:rPr>
            <w:vertAlign w:val="baseline"/>
          </w:rPr>
          <w:t>arguing</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claimant</w:t>
        </w:r>
        <w:r>
          <w:rPr>
            <w:spacing w:val="21"/>
            <w:vertAlign w:val="baseline"/>
          </w:rPr>
          <w:t> </w:t>
        </w:r>
        <w:r>
          <w:rPr>
            <w:vertAlign w:val="baseline"/>
          </w:rPr>
          <w:t>could</w:t>
        </w:r>
        <w:r>
          <w:rPr>
            <w:spacing w:val="21"/>
            <w:vertAlign w:val="baseline"/>
          </w:rPr>
          <w:t> </w:t>
        </w:r>
        <w:r>
          <w:rPr>
            <w:vertAlign w:val="baseline"/>
          </w:rPr>
          <w:t>in</w:t>
        </w:r>
        <w:r>
          <w:rPr>
            <w:spacing w:val="21"/>
            <w:vertAlign w:val="baseline"/>
          </w:rPr>
          <w:t> </w:t>
        </w:r>
        <w:r>
          <w:rPr>
            <w:vertAlign w:val="baseline"/>
          </w:rPr>
          <w:t>fact</w:t>
        </w:r>
        <w:r>
          <w:rPr>
            <w:spacing w:val="21"/>
            <w:vertAlign w:val="baseline"/>
          </w:rPr>
          <w:t> </w:t>
        </w:r>
        <w:r>
          <w:rPr>
            <w:vertAlign w:val="baseline"/>
          </w:rPr>
          <w:t>have </w:t>
        </w:r>
        <w:bookmarkStart w:name="_bookmark1932" w:id="1934"/>
        <w:bookmarkEnd w:id="1934"/>
        <w:r>
          <w:rPr>
            <w:vertAlign w:val="baseline"/>
          </w:rPr>
          <w:t>mitigated</w:t>
        </w:r>
        <w:r>
          <w:rPr>
            <w:spacing w:val="28"/>
            <w:vertAlign w:val="baseline"/>
          </w:rPr>
          <w:t> </w:t>
        </w:r>
        <w:r>
          <w:rPr>
            <w:vertAlign w:val="baseline"/>
          </w:rPr>
          <w:t>the</w:t>
        </w:r>
        <w:r>
          <w:rPr>
            <w:spacing w:val="28"/>
            <w:vertAlign w:val="baseline"/>
          </w:rPr>
          <w:t> </w:t>
        </w:r>
        <w:r>
          <w:rPr>
            <w:vertAlign w:val="baseline"/>
          </w:rPr>
          <w:t>loss:</w:t>
        </w:r>
        <w:r>
          <w:rPr>
            <w:spacing w:val="28"/>
            <w:vertAlign w:val="baseline"/>
          </w:rPr>
          <w:t> </w:t>
        </w:r>
        <w:r>
          <w:rPr>
            <w:vertAlign w:val="baseline"/>
          </w:rPr>
          <w:t>the</w:t>
        </w:r>
        <w:r>
          <w:rPr>
            <w:spacing w:val="28"/>
            <w:vertAlign w:val="baseline"/>
          </w:rPr>
          <w:t> </w:t>
        </w:r>
        <w:r>
          <w:rPr>
            <w:vertAlign w:val="baseline"/>
          </w:rPr>
          <w:t>purpose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clause</w:t>
        </w:r>
        <w:r>
          <w:rPr>
            <w:spacing w:val="28"/>
            <w:vertAlign w:val="baseline"/>
          </w:rPr>
          <w:t> </w:t>
        </w:r>
        <w:r>
          <w:rPr>
            <w:vertAlign w:val="baseline"/>
          </w:rPr>
          <w:t>is</w:t>
        </w:r>
        <w:r>
          <w:rPr>
            <w:spacing w:val="28"/>
            <w:vertAlign w:val="baseline"/>
          </w:rPr>
          <w:t> </w:t>
        </w:r>
        <w:r>
          <w:rPr>
            <w:vertAlign w:val="baseline"/>
          </w:rPr>
          <w:t>to</w:t>
        </w:r>
        <w:r>
          <w:rPr>
            <w:spacing w:val="28"/>
            <w:vertAlign w:val="baseline"/>
          </w:rPr>
          <w:t> </w:t>
        </w:r>
        <w:r>
          <w:rPr>
            <w:vertAlign w:val="baseline"/>
          </w:rPr>
          <w:t>make</w:t>
        </w:r>
        <w:r>
          <w:rPr>
            <w:spacing w:val="28"/>
            <w:vertAlign w:val="baseline"/>
          </w:rPr>
          <w:t> </w:t>
        </w:r>
        <w:r>
          <w:rPr>
            <w:vertAlign w:val="baseline"/>
          </w:rPr>
          <w:t>proof</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actual</w:t>
        </w:r>
        <w:r>
          <w:rPr>
            <w:spacing w:val="28"/>
            <w:vertAlign w:val="baseline"/>
          </w:rPr>
          <w:t> </w:t>
        </w:r>
        <w:r>
          <w:rPr>
            <w:vertAlign w:val="baseline"/>
          </w:rPr>
          <w:t>loss</w:t>
        </w:r>
        <w:r>
          <w:rPr>
            <w:spacing w:val="28"/>
            <w:vertAlign w:val="baseline"/>
          </w:rPr>
          <w:t> </w:t>
        </w:r>
        <w:r>
          <w:rPr>
            <w:vertAlign w:val="baseline"/>
          </w:rPr>
          <w:t>unnecessary</w:t>
        </w:r>
        <w:r>
          <w:rPr>
            <w:spacing w:val="28"/>
            <w:vertAlign w:val="baseline"/>
          </w:rPr>
          <w:t> </w:t>
        </w:r>
        <w:r>
          <w:rPr>
            <w:spacing w:val="-5"/>
            <w:vertAlign w:val="baseline"/>
          </w:rPr>
          <w:t>and</w:t>
        </w:r>
      </w:hyperlink>
    </w:p>
    <w:p>
      <w:pPr>
        <w:pStyle w:val="BodyText"/>
        <w:tabs>
          <w:tab w:pos="1544" w:val="left" w:leader="none"/>
        </w:tabs>
        <w:spacing w:line="360" w:lineRule="auto" w:before="115"/>
        <w:ind w:left="165" w:right="167"/>
      </w:pPr>
      <w:bookmarkStart w:name="_bookmark1933" w:id="1935"/>
      <w:bookmarkEnd w:id="1935"/>
      <w:r>
        <w:rPr/>
      </w:r>
      <w:r>
        <w:rPr/>
        <w:t>irrelevant </w:t>
      </w:r>
      <w:hyperlink w:history="true" w:anchor="_bookmark1998">
        <w:r>
          <w:rPr>
            <w:color w:val="005DA1"/>
            <w:u w:val="single" w:color="005DA1"/>
            <w:vertAlign w:val="superscript"/>
          </w:rPr>
          <w:t>1033</w:t>
        </w:r>
        <w:r>
          <w:rPr>
            <w:color w:val="005DA1"/>
            <w:vertAlign w:val="baseline"/>
          </w:rPr>
          <w:tab/>
        </w:r>
        <w:r>
          <w:rPr>
            <w:color w:val="005DA1"/>
            <w:position w:val="-2"/>
            <w:vertAlign w:val="baseline"/>
          </w:rPr>
          <w:drawing>
            <wp:inline distT="0" distB="0" distL="0" distR="0">
              <wp:extent cx="107988" cy="107988"/>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but the mitigation principle must be taken into account in deciding whether or </w:t>
        </w:r>
        <w:r>
          <w:rPr>
            <w:vertAlign w:val="baseline"/>
          </w:rPr>
          <w:t>not</w:t>
        </w:r>
        <w:r>
          <w:rPr>
            <w:spacing w:val="40"/>
            <w:vertAlign w:val="baseline"/>
          </w:rPr>
          <w:t> </w:t>
        </w:r>
        <w:r>
          <w:rPr>
            <w:vertAlign w:val="baseline"/>
          </w:rPr>
          <w:t>the</w:t>
        </w:r>
        <w:r>
          <w:rPr>
            <w:spacing w:val="7"/>
            <w:vertAlign w:val="baseline"/>
          </w:rPr>
          <w:t> </w:t>
        </w:r>
        <w:r>
          <w:rPr>
            <w:vertAlign w:val="baseline"/>
          </w:rPr>
          <w:t>clause</w:t>
        </w:r>
        <w:r>
          <w:rPr>
            <w:spacing w:val="8"/>
            <w:vertAlign w:val="baseline"/>
          </w:rPr>
          <w:t> </w:t>
        </w:r>
        <w:r>
          <w:rPr>
            <w:vertAlign w:val="baseline"/>
          </w:rPr>
          <w:t>was</w:t>
        </w:r>
        <w:r>
          <w:rPr>
            <w:spacing w:val="8"/>
            <w:vertAlign w:val="baseline"/>
          </w:rPr>
          <w:t> </w:t>
        </w:r>
        <w:r>
          <w:rPr>
            <w:vertAlign w:val="baseline"/>
          </w:rPr>
          <w:t>a</w:t>
        </w:r>
        <w:r>
          <w:rPr>
            <w:spacing w:val="7"/>
            <w:vertAlign w:val="baseline"/>
          </w:rPr>
          <w:t> </w:t>
        </w:r>
        <w:r>
          <w:rPr>
            <w:vertAlign w:val="baseline"/>
          </w:rPr>
          <w:t>genuine</w:t>
        </w:r>
        <w:r>
          <w:rPr>
            <w:spacing w:val="8"/>
            <w:vertAlign w:val="baseline"/>
          </w:rPr>
          <w:t> </w:t>
        </w:r>
        <w:r>
          <w:rPr>
            <w:vertAlign w:val="baseline"/>
          </w:rPr>
          <w:t>pre-estimate</w:t>
        </w:r>
        <w:r>
          <w:rPr>
            <w:spacing w:val="8"/>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first</w:t>
        </w:r>
        <w:r>
          <w:rPr>
            <w:spacing w:val="8"/>
            <w:vertAlign w:val="baseline"/>
          </w:rPr>
          <w:t> </w:t>
        </w:r>
        <w:r>
          <w:rPr>
            <w:vertAlign w:val="baseline"/>
          </w:rPr>
          <w:t>place.</w:t>
        </w:r>
        <w:r>
          <w:rPr>
            <w:spacing w:val="7"/>
            <w:vertAlign w:val="baseline"/>
          </w:rPr>
          <w:t> </w:t>
        </w:r>
        <w:hyperlink w:history="true" w:anchor="_bookmark1999">
          <w:r>
            <w:rPr>
              <w:color w:val="005DA1"/>
              <w:u w:val="single" w:color="005DA1"/>
              <w:vertAlign w:val="superscript"/>
            </w:rPr>
            <w:t>1034</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A</w:t>
          </w:r>
          <w:r>
            <w:rPr>
              <w:spacing w:val="8"/>
              <w:vertAlign w:val="baseline"/>
            </w:rPr>
            <w:t> </w:t>
          </w:r>
          <w:r>
            <w:rPr>
              <w:vertAlign w:val="baseline"/>
            </w:rPr>
            <w:t>genuine</w:t>
          </w:r>
          <w:r>
            <w:rPr>
              <w:spacing w:val="7"/>
              <w:vertAlign w:val="baseline"/>
            </w:rPr>
            <w:t> </w:t>
          </w:r>
          <w:r>
            <w:rPr>
              <w:vertAlign w:val="baseline"/>
            </w:rPr>
            <w:t>pre-estimate</w:t>
          </w:r>
          <w:r>
            <w:rPr>
              <w:spacing w:val="8"/>
              <w:vertAlign w:val="baseline"/>
            </w:rPr>
            <w:t> </w:t>
          </w:r>
          <w:r>
            <w:rPr>
              <w:vertAlign w:val="baseline"/>
            </w:rPr>
            <w:t>may</w:t>
          </w:r>
          <w:r>
            <w:rPr>
              <w:spacing w:val="8"/>
              <w:vertAlign w:val="baseline"/>
            </w:rPr>
            <w:t> </w:t>
          </w:r>
          <w:r>
            <w:rPr>
              <w:spacing w:val="-5"/>
              <w:vertAlign w:val="baseline"/>
            </w:rPr>
            <w:t>include</w:t>
          </w:r>
        </w:hyperlink>
      </w:hyperlink>
    </w:p>
    <w:p>
      <w:pPr>
        <w:sectPr>
          <w:pgSz w:w="11900" w:h="16840"/>
          <w:pgMar w:header="971" w:footer="0" w:top="1300" w:bottom="280" w:left="1275" w:right="1275"/>
        </w:sectPr>
      </w:pPr>
    </w:p>
    <w:p>
      <w:pPr>
        <w:pStyle w:val="BodyText"/>
        <w:spacing w:before="226"/>
        <w:ind w:left="165"/>
        <w:jc w:val="both"/>
      </w:pPr>
      <w:bookmarkStart w:name="_bookmark1934" w:id="1936"/>
      <w:bookmarkEnd w:id="1936"/>
      <w:r>
        <w:rPr/>
      </w:r>
      <w:bookmarkStart w:name="_bookmark1935" w:id="1937"/>
      <w:bookmarkEnd w:id="1937"/>
      <w:r>
        <w:rPr/>
      </w:r>
      <w:r>
        <w:rPr/>
        <w:t>loss</w:t>
      </w:r>
      <w:r>
        <w:rPr>
          <w:spacing w:val="18"/>
        </w:rPr>
        <w:t> </w:t>
      </w:r>
      <w:r>
        <w:rPr/>
        <w:t>that</w:t>
      </w:r>
      <w:r>
        <w:rPr>
          <w:spacing w:val="19"/>
        </w:rPr>
        <w:t> </w:t>
      </w:r>
      <w:r>
        <w:rPr/>
        <w:t>would</w:t>
      </w:r>
      <w:r>
        <w:rPr>
          <w:spacing w:val="19"/>
        </w:rPr>
        <w:t> </w:t>
      </w:r>
      <w:r>
        <w:rPr/>
        <w:t>be</w:t>
      </w:r>
      <w:r>
        <w:rPr>
          <w:spacing w:val="19"/>
        </w:rPr>
        <w:t> </w:t>
      </w:r>
      <w:r>
        <w:rPr/>
        <w:t>too</w:t>
      </w:r>
      <w:r>
        <w:rPr>
          <w:spacing w:val="19"/>
        </w:rPr>
        <w:t> </w:t>
      </w:r>
      <w:r>
        <w:rPr/>
        <w:t>remote</w:t>
      </w:r>
      <w:r>
        <w:rPr>
          <w:spacing w:val="19"/>
        </w:rPr>
        <w:t> </w:t>
      </w:r>
      <w:hyperlink w:history="true" w:anchor="_bookmark2000">
        <w:r>
          <w:rPr>
            <w:color w:val="005DA1"/>
            <w:u w:val="single" w:color="005DA1"/>
            <w:vertAlign w:val="superscript"/>
          </w:rPr>
          <w:t>1035</w:t>
        </w:r>
        <w:r>
          <w:rPr>
            <w:color w:val="005DA1"/>
            <w:spacing w:val="56"/>
            <w:vertAlign w:val="baseline"/>
          </w:rPr>
          <w:t>  </w:t>
        </w:r>
        <w:r>
          <w:rPr>
            <w:color w:val="005DA1"/>
            <w:spacing w:val="5"/>
            <w:position w:val="-2"/>
            <w:vertAlign w:val="baseline"/>
          </w:rPr>
          <w:drawing>
            <wp:inline distT="0" distB="0" distL="0" distR="0">
              <wp:extent cx="107988" cy="107988"/>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20"/>
            <w:vertAlign w:val="baseline"/>
          </w:rPr>
          <w:t> </w:t>
        </w:r>
        <w:r>
          <w:rPr>
            <w:vertAlign w:val="baseline"/>
          </w:rPr>
          <w:t>unless</w:t>
        </w:r>
        <w:r>
          <w:rPr>
            <w:spacing w:val="19"/>
            <w:vertAlign w:val="baseline"/>
          </w:rPr>
          <w:t> </w:t>
        </w:r>
        <w:r>
          <w:rPr>
            <w:vertAlign w:val="baseline"/>
          </w:rPr>
          <w:t>notice</w:t>
        </w:r>
        <w:r>
          <w:rPr>
            <w:spacing w:val="19"/>
            <w:vertAlign w:val="baseline"/>
          </w:rPr>
          <w:t> </w:t>
        </w:r>
        <w:r>
          <w:rPr>
            <w:vertAlign w:val="baseline"/>
          </w:rPr>
          <w:t>of</w:t>
        </w:r>
        <w:r>
          <w:rPr>
            <w:spacing w:val="19"/>
            <w:vertAlign w:val="baseline"/>
          </w:rPr>
          <w:t> </w:t>
        </w:r>
        <w:r>
          <w:rPr>
            <w:vertAlign w:val="baseline"/>
          </w:rPr>
          <w:t>its</w:t>
        </w:r>
        <w:r>
          <w:rPr>
            <w:spacing w:val="19"/>
            <w:vertAlign w:val="baseline"/>
          </w:rPr>
          <w:t> </w:t>
        </w:r>
        <w:r>
          <w:rPr>
            <w:vertAlign w:val="baseline"/>
          </w:rPr>
          <w:t>possibility</w:t>
        </w:r>
        <w:r>
          <w:rPr>
            <w:spacing w:val="18"/>
            <w:vertAlign w:val="baseline"/>
          </w:rPr>
          <w:t> </w:t>
        </w:r>
        <w:r>
          <w:rPr>
            <w:vertAlign w:val="baseline"/>
          </w:rPr>
          <w:t>had</w:t>
        </w:r>
        <w:r>
          <w:rPr>
            <w:spacing w:val="19"/>
            <w:vertAlign w:val="baseline"/>
          </w:rPr>
          <w:t> </w:t>
        </w:r>
        <w:r>
          <w:rPr>
            <w:vertAlign w:val="baseline"/>
          </w:rPr>
          <w:t>been</w:t>
        </w:r>
        <w:r>
          <w:rPr>
            <w:spacing w:val="19"/>
            <w:vertAlign w:val="baseline"/>
          </w:rPr>
          <w:t> </w:t>
        </w:r>
        <w:r>
          <w:rPr>
            <w:vertAlign w:val="baseline"/>
          </w:rPr>
          <w:t>given</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party</w:t>
        </w:r>
        <w:r>
          <w:rPr>
            <w:spacing w:val="19"/>
            <w:vertAlign w:val="baseline"/>
          </w:rPr>
          <w:t> </w:t>
        </w:r>
        <w:r>
          <w:rPr>
            <w:spacing w:val="-5"/>
            <w:vertAlign w:val="baseline"/>
          </w:rPr>
          <w:t>in</w:t>
        </w:r>
      </w:hyperlink>
    </w:p>
    <w:p>
      <w:pPr>
        <w:pStyle w:val="BodyText"/>
        <w:spacing w:line="235" w:lineRule="auto" w:before="119"/>
        <w:ind w:left="164" w:right="167"/>
        <w:jc w:val="both"/>
      </w:pPr>
      <w:r>
        <w:rPr/>
        <w:t>breach</w:t>
      </w:r>
      <w:r>
        <w:rPr>
          <w:spacing w:val="-2"/>
        </w:rPr>
        <w:t> </w:t>
      </w:r>
      <w:r>
        <w:rPr/>
        <w:t>at</w:t>
      </w:r>
      <w:r>
        <w:rPr>
          <w:spacing w:val="-2"/>
        </w:rPr>
        <w:t> </w:t>
      </w:r>
      <w:r>
        <w:rPr/>
        <w:t>the</w:t>
      </w:r>
      <w:r>
        <w:rPr>
          <w:spacing w:val="-2"/>
        </w:rPr>
        <w:t> </w:t>
      </w:r>
      <w:r>
        <w:rPr/>
        <w:t>time</w:t>
      </w:r>
      <w:r>
        <w:rPr>
          <w:spacing w:val="-2"/>
        </w:rPr>
        <w:t> </w:t>
      </w:r>
      <w:r>
        <w:rPr/>
        <w:t>the</w:t>
      </w:r>
      <w:r>
        <w:rPr>
          <w:spacing w:val="-2"/>
        </w:rPr>
        <w:t> </w:t>
      </w:r>
      <w:r>
        <w:rPr/>
        <w:t>contract</w:t>
      </w:r>
      <w:r>
        <w:rPr>
          <w:spacing w:val="-2"/>
        </w:rPr>
        <w:t> </w:t>
      </w:r>
      <w:r>
        <w:rPr/>
        <w:t>was</w:t>
      </w:r>
      <w:r>
        <w:rPr>
          <w:spacing w:val="-2"/>
        </w:rPr>
        <w:t> </w:t>
      </w:r>
      <w:r>
        <w:rPr/>
        <w:t>made.</w:t>
      </w:r>
      <w:r>
        <w:rPr>
          <w:spacing w:val="-2"/>
        </w:rPr>
        <w:t> </w:t>
      </w:r>
      <w:hyperlink w:history="true" w:anchor="_bookmark2001">
        <w:r>
          <w:rPr>
            <w:color w:val="005DA1"/>
            <w:u w:val="single" w:color="005DA1"/>
            <w:vertAlign w:val="superscript"/>
          </w:rPr>
          <w:t>1036</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1"/>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suggested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may</w:t>
        </w:r>
        <w:r>
          <w:rPr>
            <w:spacing w:val="-2"/>
            <w:vertAlign w:val="baseline"/>
          </w:rPr>
          <w:t> </w:t>
        </w:r>
        <w:r>
          <w:rPr>
            <w:vertAlign w:val="baseline"/>
          </w:rPr>
          <w:t>stipulate</w:t>
        </w:r>
        <w:r>
          <w:rPr>
            <w:spacing w:val="-2"/>
            <w:vertAlign w:val="baseline"/>
          </w:rPr>
          <w:t> </w:t>
        </w:r>
        <w:r>
          <w:rPr>
            <w:vertAlign w:val="baseline"/>
          </w:rPr>
          <w:t>for </w:t>
        </w:r>
        <w:bookmarkStart w:name="_bookmark1936" w:id="1938"/>
        <w:bookmarkEnd w:id="1938"/>
        <w:r>
          <w:rPr>
            <w:vertAlign w:val="baseline"/>
          </w:rPr>
          <w:t>liquidated</w:t>
        </w:r>
        <w:r>
          <w:rPr>
            <w:spacing w:val="25"/>
            <w:vertAlign w:val="baseline"/>
          </w:rPr>
          <w:t> </w:t>
        </w:r>
        <w:r>
          <w:rPr>
            <w:vertAlign w:val="baseline"/>
          </w:rPr>
          <w:t>damages</w:t>
        </w:r>
        <w:r>
          <w:rPr>
            <w:spacing w:val="25"/>
            <w:vertAlign w:val="baseline"/>
          </w:rPr>
          <w:t> </w:t>
        </w:r>
        <w:r>
          <w:rPr>
            <w:vertAlign w:val="baseline"/>
          </w:rPr>
          <w:t>in</w:t>
        </w:r>
        <w:r>
          <w:rPr>
            <w:spacing w:val="25"/>
            <w:vertAlign w:val="baseline"/>
          </w:rPr>
          <w:t> </w:t>
        </w:r>
        <w:r>
          <w:rPr>
            <w:vertAlign w:val="baseline"/>
          </w:rPr>
          <w:t>order</w:t>
        </w:r>
        <w:r>
          <w:rPr>
            <w:spacing w:val="25"/>
            <w:vertAlign w:val="baseline"/>
          </w:rPr>
          <w:t> </w:t>
        </w:r>
        <w:r>
          <w:rPr>
            <w:vertAlign w:val="baseline"/>
          </w:rPr>
          <w:t>to</w:t>
        </w:r>
        <w:r>
          <w:rPr>
            <w:spacing w:val="25"/>
            <w:vertAlign w:val="baseline"/>
          </w:rPr>
          <w:t> </w:t>
        </w:r>
        <w:r>
          <w:rPr>
            <w:vertAlign w:val="baseline"/>
          </w:rPr>
          <w:t>ensure</w:t>
        </w:r>
        <w:r>
          <w:rPr>
            <w:spacing w:val="25"/>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compensated</w:t>
        </w:r>
        <w:r>
          <w:rPr>
            <w:spacing w:val="25"/>
            <w:vertAlign w:val="baseline"/>
          </w:rPr>
          <w:t> </w:t>
        </w:r>
        <w:r>
          <w:rPr>
            <w:vertAlign w:val="baseline"/>
          </w:rPr>
          <w:t>for</w:t>
        </w:r>
        <w:r>
          <w:rPr>
            <w:spacing w:val="25"/>
            <w:vertAlign w:val="baseline"/>
          </w:rPr>
          <w:t> </w:t>
        </w:r>
        <w:r>
          <w:rPr>
            <w:vertAlign w:val="baseline"/>
          </w:rPr>
          <w:t>some</w:t>
        </w:r>
        <w:r>
          <w:rPr>
            <w:spacing w:val="25"/>
            <w:vertAlign w:val="baseline"/>
          </w:rPr>
          <w:t> </w:t>
        </w:r>
        <w:r>
          <w:rPr>
            <w:vertAlign w:val="baseline"/>
          </w:rPr>
          <w:t>idiosyncratic</w:t>
        </w:r>
        <w:r>
          <w:rPr>
            <w:spacing w:val="25"/>
            <w:vertAlign w:val="baseline"/>
          </w:rPr>
          <w:t> </w:t>
        </w:r>
        <w:r>
          <w:rPr>
            <w:vertAlign w:val="baseline"/>
          </w:rPr>
          <w:t>loss</w:t>
        </w:r>
        <w:r>
          <w:rPr>
            <w:spacing w:val="25"/>
            <w:vertAlign w:val="baseline"/>
          </w:rPr>
          <w:t> </w:t>
        </w:r>
        <w:r>
          <w:rPr>
            <w:vertAlign w:val="baseline"/>
          </w:rPr>
          <w:t>that</w:t>
        </w:r>
        <w:r>
          <w:rPr>
            <w:spacing w:val="25"/>
            <w:vertAlign w:val="baseline"/>
          </w:rPr>
          <w:t> </w:t>
        </w:r>
        <w:r>
          <w:rPr>
            <w:vertAlign w:val="baseline"/>
          </w:rPr>
          <w:t>might</w:t>
        </w:r>
        <w:r>
          <w:rPr>
            <w:spacing w:val="25"/>
            <w:vertAlign w:val="baseline"/>
          </w:rPr>
          <w:t> </w:t>
        </w:r>
        <w:r>
          <w:rPr>
            <w:spacing w:val="-5"/>
            <w:vertAlign w:val="baseline"/>
          </w:rPr>
          <w:t>not</w:t>
        </w:r>
      </w:hyperlink>
    </w:p>
    <w:p>
      <w:pPr>
        <w:pStyle w:val="BodyText"/>
        <w:spacing w:line="235" w:lineRule="auto" w:before="119"/>
        <w:ind w:left="165" w:right="167"/>
        <w:jc w:val="both"/>
      </w:pPr>
      <w:r>
        <w:rPr/>
        <w:t>otherwise be recoverable, such as sentimental value attached to property. </w:t>
      </w:r>
      <w:hyperlink w:history="true" w:anchor="_bookmark2002">
        <w:r>
          <w:rPr>
            <w:color w:val="005DA1"/>
            <w:u w:val="single" w:color="005DA1"/>
            <w:vertAlign w:val="superscript"/>
          </w:rPr>
          <w:t>1037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5"/>
            <w:vertAlign w:val="baseline"/>
          </w:rPr>
          <w:t> </w:t>
        </w:r>
        <w:r>
          <w:rPr>
            <w:vertAlign w:val="baseline"/>
          </w:rPr>
          <w:t>It must be the case </w:t>
        </w:r>
        <w:bookmarkStart w:name="_bookmark1937" w:id="1939"/>
        <w:bookmarkEnd w:id="1939"/>
        <w:r>
          <w:rPr>
            <w:vertAlign w:val="baseline"/>
          </w:rPr>
          <w:t>that</w:t>
        </w:r>
        <w:r>
          <w:rPr>
            <w:spacing w:val="6"/>
            <w:vertAlign w:val="baseline"/>
          </w:rPr>
          <w:t> </w:t>
        </w:r>
        <w:r>
          <w:rPr>
            <w:vertAlign w:val="baseline"/>
          </w:rPr>
          <w:t>a</w:t>
        </w:r>
        <w:r>
          <w:rPr>
            <w:spacing w:val="6"/>
            <w:vertAlign w:val="baseline"/>
          </w:rPr>
          <w:t> </w:t>
        </w:r>
        <w:r>
          <w:rPr>
            <w:vertAlign w:val="baseline"/>
          </w:rPr>
          <w:t>genuine</w:t>
        </w:r>
        <w:r>
          <w:rPr>
            <w:spacing w:val="6"/>
            <w:vertAlign w:val="baseline"/>
          </w:rPr>
          <w:t> </w:t>
        </w:r>
        <w:r>
          <w:rPr>
            <w:vertAlign w:val="baseline"/>
          </w:rPr>
          <w:t>pre-estimate</w:t>
        </w:r>
        <w:r>
          <w:rPr>
            <w:spacing w:val="6"/>
            <w:vertAlign w:val="baseline"/>
          </w:rPr>
          <w:t> </w:t>
        </w:r>
        <w:r>
          <w:rPr>
            <w:vertAlign w:val="baseline"/>
          </w:rPr>
          <w:t>can</w:t>
        </w:r>
        <w:r>
          <w:rPr>
            <w:spacing w:val="6"/>
            <w:vertAlign w:val="baseline"/>
          </w:rPr>
          <w:t> </w:t>
        </w:r>
        <w:r>
          <w:rPr>
            <w:vertAlign w:val="baseline"/>
          </w:rPr>
          <w:t>include</w:t>
        </w:r>
        <w:r>
          <w:rPr>
            <w:spacing w:val="6"/>
            <w:vertAlign w:val="baseline"/>
          </w:rPr>
          <w:t> </w:t>
        </w:r>
        <w:r>
          <w:rPr>
            <w:vertAlign w:val="baseline"/>
          </w:rPr>
          <w:t>damages</w:t>
        </w:r>
        <w:r>
          <w:rPr>
            <w:spacing w:val="6"/>
            <w:vertAlign w:val="baseline"/>
          </w:rPr>
          <w:t> </w:t>
        </w:r>
        <w:r>
          <w:rPr>
            <w:vertAlign w:val="baseline"/>
          </w:rPr>
          <w:t>for</w:t>
        </w:r>
        <w:r>
          <w:rPr>
            <w:spacing w:val="6"/>
            <w:vertAlign w:val="baseline"/>
          </w:rPr>
          <w:t> </w:t>
        </w:r>
        <w:r>
          <w:rPr>
            <w:vertAlign w:val="baseline"/>
          </w:rPr>
          <w:t>loss</w:t>
        </w:r>
        <w:r>
          <w:rPr>
            <w:spacing w:val="6"/>
            <w:vertAlign w:val="baseline"/>
          </w:rPr>
          <w:t> </w:t>
        </w:r>
        <w:r>
          <w:rPr>
            <w:vertAlign w:val="baseline"/>
          </w:rPr>
          <w:t>of</w:t>
        </w:r>
        <w:r>
          <w:rPr>
            <w:spacing w:val="6"/>
            <w:vertAlign w:val="baseline"/>
          </w:rPr>
          <w:t> </w:t>
        </w:r>
        <w:r>
          <w:rPr>
            <w:vertAlign w:val="baseline"/>
          </w:rPr>
          <w:t>amenity</w:t>
        </w:r>
        <w:r>
          <w:rPr>
            <w:spacing w:val="6"/>
            <w:vertAlign w:val="baseline"/>
          </w:rPr>
          <w:t> </w:t>
        </w:r>
        <w:r>
          <w:rPr>
            <w:vertAlign w:val="baseline"/>
          </w:rPr>
          <w:t>or</w:t>
        </w:r>
        <w:r>
          <w:rPr>
            <w:spacing w:val="6"/>
            <w:vertAlign w:val="baseline"/>
          </w:rPr>
          <w:t> </w:t>
        </w:r>
        <w:r>
          <w:rPr>
            <w:vertAlign w:val="baseline"/>
          </w:rPr>
          <w:t>distress</w:t>
        </w:r>
        <w:r>
          <w:rPr>
            <w:spacing w:val="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purpose</w:t>
        </w:r>
        <w:r>
          <w:rPr>
            <w:spacing w:val="6"/>
            <w:vertAlign w:val="baseline"/>
          </w:rPr>
          <w:t> </w:t>
        </w:r>
        <w:r>
          <w:rPr>
            <w:spacing w:val="-5"/>
            <w:vertAlign w:val="baseline"/>
          </w:rPr>
          <w:t>of</w:t>
        </w:r>
      </w:hyperlink>
    </w:p>
    <w:p>
      <w:pPr>
        <w:pStyle w:val="BodyText"/>
        <w:spacing w:line="235" w:lineRule="auto" w:before="120"/>
        <w:ind w:left="165" w:right="167"/>
        <w:jc w:val="both"/>
      </w:pPr>
      <w:r>
        <w:rPr/>
        <w:t>the contract is to provide that amenity or freedom from distress </w:t>
      </w:r>
      <w:hyperlink w:history="true" w:anchor="_bookmark2003">
        <w:r>
          <w:rPr>
            <w:color w:val="005DA1"/>
            <w:u w:val="single" w:color="005DA1"/>
            <w:vertAlign w:val="superscript"/>
          </w:rPr>
          <w:t>1038</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vertAlign w:val="baseline"/>
          </w:rPr>
          <w:t>; it seems unlikely that </w:t>
        </w:r>
        <w:r>
          <w:rPr>
            <w:vertAlign w:val="baseline"/>
          </w:rPr>
          <w:t>such </w:t>
        </w:r>
        <w:bookmarkStart w:name="_bookmark1938" w:id="1940"/>
        <w:bookmarkEnd w:id="1940"/>
        <w:r>
          <w:rPr>
            <w:vertAlign w:val="baseline"/>
          </w:rPr>
          <w:t>loss</w:t>
        </w:r>
        <w:r>
          <w:rPr>
            <w:spacing w:val="51"/>
            <w:vertAlign w:val="baseline"/>
          </w:rPr>
          <w:t> </w:t>
        </w:r>
        <w:r>
          <w:rPr>
            <w:vertAlign w:val="baseline"/>
          </w:rPr>
          <w:t>be</w:t>
        </w:r>
        <w:r>
          <w:rPr>
            <w:spacing w:val="51"/>
            <w:vertAlign w:val="baseline"/>
          </w:rPr>
          <w:t> </w:t>
        </w:r>
        <w:r>
          <w:rPr>
            <w:vertAlign w:val="baseline"/>
          </w:rPr>
          <w:t>a</w:t>
        </w:r>
        <w:r>
          <w:rPr>
            <w:spacing w:val="51"/>
            <w:vertAlign w:val="baseline"/>
          </w:rPr>
          <w:t> </w:t>
        </w:r>
        <w:r>
          <w:rPr>
            <w:vertAlign w:val="baseline"/>
          </w:rPr>
          <w:t>legitimate</w:t>
        </w:r>
        <w:r>
          <w:rPr>
            <w:spacing w:val="51"/>
            <w:vertAlign w:val="baseline"/>
          </w:rPr>
          <w:t> </w:t>
        </w:r>
        <w:r>
          <w:rPr>
            <w:vertAlign w:val="baseline"/>
          </w:rPr>
          <w:t>part</w:t>
        </w:r>
        <w:r>
          <w:rPr>
            <w:spacing w:val="51"/>
            <w:vertAlign w:val="baseline"/>
          </w:rPr>
          <w:t> </w:t>
        </w:r>
        <w:r>
          <w:rPr>
            <w:vertAlign w:val="baseline"/>
          </w:rPr>
          <w:t>of</w:t>
        </w:r>
        <w:r>
          <w:rPr>
            <w:spacing w:val="51"/>
            <w:vertAlign w:val="baseline"/>
          </w:rPr>
          <w:t> </w:t>
        </w:r>
        <w:r>
          <w:rPr>
            <w:vertAlign w:val="baseline"/>
          </w:rPr>
          <w:t>a</w:t>
        </w:r>
        <w:r>
          <w:rPr>
            <w:spacing w:val="51"/>
            <w:vertAlign w:val="baseline"/>
          </w:rPr>
          <w:t> </w:t>
        </w:r>
        <w:r>
          <w:rPr>
            <w:vertAlign w:val="baseline"/>
          </w:rPr>
          <w:t>pre-estimate</w:t>
        </w:r>
        <w:r>
          <w:rPr>
            <w:spacing w:val="51"/>
            <w:vertAlign w:val="baseline"/>
          </w:rPr>
          <w:t> </w:t>
        </w:r>
        <w:r>
          <w:rPr>
            <w:vertAlign w:val="baseline"/>
          </w:rPr>
          <w:t>when</w:t>
        </w:r>
        <w:r>
          <w:rPr>
            <w:spacing w:val="51"/>
            <w:vertAlign w:val="baseline"/>
          </w:rPr>
          <w:t> </w:t>
        </w:r>
        <w:r>
          <w:rPr>
            <w:vertAlign w:val="baseline"/>
          </w:rPr>
          <w:t>the</w:t>
        </w:r>
        <w:r>
          <w:rPr>
            <w:spacing w:val="51"/>
            <w:vertAlign w:val="baseline"/>
          </w:rPr>
          <w:t> </w:t>
        </w:r>
        <w:r>
          <w:rPr>
            <w:vertAlign w:val="baseline"/>
          </w:rPr>
          <w:t>loss</w:t>
        </w:r>
        <w:r>
          <w:rPr>
            <w:spacing w:val="51"/>
            <w:vertAlign w:val="baseline"/>
          </w:rPr>
          <w:t> </w:t>
        </w:r>
        <w:r>
          <w:rPr>
            <w:vertAlign w:val="baseline"/>
          </w:rPr>
          <w:t>would</w:t>
        </w:r>
        <w:r>
          <w:rPr>
            <w:spacing w:val="51"/>
            <w:vertAlign w:val="baseline"/>
          </w:rPr>
          <w:t> </w:t>
        </w:r>
        <w:r>
          <w:rPr>
            <w:vertAlign w:val="baseline"/>
          </w:rPr>
          <w:t>not</w:t>
        </w:r>
        <w:r>
          <w:rPr>
            <w:spacing w:val="51"/>
            <w:vertAlign w:val="baseline"/>
          </w:rPr>
          <w:t> </w:t>
        </w:r>
        <w:r>
          <w:rPr>
            <w:vertAlign w:val="baseline"/>
          </w:rPr>
          <w:t>be</w:t>
        </w:r>
        <w:r>
          <w:rPr>
            <w:spacing w:val="51"/>
            <w:vertAlign w:val="baseline"/>
          </w:rPr>
          <w:t> </w:t>
        </w:r>
        <w:r>
          <w:rPr>
            <w:vertAlign w:val="baseline"/>
          </w:rPr>
          <w:t>recoverable</w:t>
        </w:r>
        <w:r>
          <w:rPr>
            <w:spacing w:val="51"/>
            <w:vertAlign w:val="baseline"/>
          </w:rPr>
          <w:t> </w:t>
        </w:r>
        <w:r>
          <w:rPr>
            <w:vertAlign w:val="baseline"/>
          </w:rPr>
          <w:t>by</w:t>
        </w:r>
        <w:r>
          <w:rPr>
            <w:spacing w:val="51"/>
            <w:vertAlign w:val="baseline"/>
          </w:rPr>
          <w:t> </w:t>
        </w:r>
        <w:r>
          <w:rPr>
            <w:vertAlign w:val="baseline"/>
          </w:rPr>
          <w:t>way</w:t>
        </w:r>
        <w:r>
          <w:rPr>
            <w:spacing w:val="51"/>
            <w:vertAlign w:val="baseline"/>
          </w:rPr>
          <w:t> </w:t>
        </w:r>
        <w:r>
          <w:rPr>
            <w:spacing w:val="-5"/>
            <w:vertAlign w:val="baseline"/>
          </w:rPr>
          <w:t>of</w:t>
        </w:r>
      </w:hyperlink>
    </w:p>
    <w:p>
      <w:pPr>
        <w:pStyle w:val="BodyText"/>
        <w:spacing w:line="235" w:lineRule="auto" w:before="119"/>
        <w:ind w:left="165" w:right="167"/>
        <w:jc w:val="both"/>
        <w:rPr>
          <w:rFonts w:ascii="Arial"/>
          <w:i/>
        </w:rPr>
      </w:pPr>
      <w:r>
        <w:rPr/>
        <w:t>unliquidated</w:t>
      </w:r>
      <w:r>
        <w:rPr>
          <w:spacing w:val="-3"/>
        </w:rPr>
        <w:t> </w:t>
      </w:r>
      <w:r>
        <w:rPr/>
        <w:t>damages,</w:t>
      </w:r>
      <w:r>
        <w:rPr>
          <w:spacing w:val="-4"/>
        </w:rPr>
        <w:t> </w:t>
      </w:r>
      <w:hyperlink w:history="true" w:anchor="_bookmark2004">
        <w:r>
          <w:rPr>
            <w:color w:val="005DA1"/>
            <w:u w:val="single" w:color="005DA1"/>
            <w:vertAlign w:val="superscript"/>
          </w:rPr>
          <w:t>1039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but</w:t>
        </w:r>
        <w:r>
          <w:rPr>
            <w:spacing w:val="-3"/>
            <w:vertAlign w:val="baseline"/>
          </w:rPr>
          <w:t> </w:t>
        </w:r>
        <w:r>
          <w:rPr>
            <w:vertAlign w:val="baseline"/>
          </w:rPr>
          <w:t>a</w:t>
        </w:r>
        <w:r>
          <w:rPr>
            <w:spacing w:val="-3"/>
            <w:vertAlign w:val="baseline"/>
          </w:rPr>
          <w:t> </w:t>
        </w:r>
        <w:r>
          <w:rPr>
            <w:vertAlign w:val="baseline"/>
          </w:rPr>
          <w:t>genuine</w:t>
        </w:r>
        <w:r>
          <w:rPr>
            <w:spacing w:val="-3"/>
            <w:vertAlign w:val="baseline"/>
          </w:rPr>
          <w:t> </w:t>
        </w:r>
        <w:r>
          <w:rPr>
            <w:vertAlign w:val="baseline"/>
          </w:rPr>
          <w:t>concern</w:t>
        </w:r>
        <w:r>
          <w:rPr>
            <w:spacing w:val="-3"/>
            <w:vertAlign w:val="baseline"/>
          </w:rPr>
          <w:t> </w:t>
        </w:r>
        <w:r>
          <w:rPr>
            <w:vertAlign w:val="baseline"/>
          </w:rPr>
          <w:t>about</w:t>
        </w:r>
        <w:r>
          <w:rPr>
            <w:spacing w:val="-3"/>
            <w:vertAlign w:val="baseline"/>
          </w:rPr>
          <w:t> </w:t>
        </w:r>
        <w:r>
          <w:rPr>
            <w:vertAlign w:val="baseline"/>
          </w:rPr>
          <w:t>such</w:t>
        </w:r>
        <w:r>
          <w:rPr>
            <w:spacing w:val="-3"/>
            <w:vertAlign w:val="baseline"/>
          </w:rPr>
          <w:t> </w:t>
        </w:r>
        <w:r>
          <w:rPr>
            <w:vertAlign w:val="baseline"/>
          </w:rPr>
          <w:t>loss</w:t>
        </w:r>
        <w:r>
          <w:rPr>
            <w:spacing w:val="-3"/>
            <w:vertAlign w:val="baseline"/>
          </w:rPr>
          <w:t> </w:t>
        </w:r>
        <w:r>
          <w:rPr>
            <w:vertAlign w:val="baseline"/>
          </w:rPr>
          <w:t>would</w:t>
        </w:r>
        <w:r>
          <w:rPr>
            <w:spacing w:val="-3"/>
            <w:vertAlign w:val="baseline"/>
          </w:rPr>
          <w:t> </w:t>
        </w:r>
        <w:r>
          <w:rPr>
            <w:vertAlign w:val="baseline"/>
          </w:rPr>
          <w:t>presumably</w:t>
        </w:r>
        <w:r>
          <w:rPr>
            <w:spacing w:val="-3"/>
            <w:vertAlign w:val="baseline"/>
          </w:rPr>
          <w:t> </w:t>
        </w:r>
        <w:r>
          <w:rPr>
            <w:vertAlign w:val="baseline"/>
          </w:rPr>
          <w:t>give</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a </w:t>
        </w:r>
        <w:bookmarkStart w:name="_bookmark1939" w:id="1941"/>
        <w:bookmarkEnd w:id="1941"/>
        <w:r>
          <w:rPr>
            <w:vertAlign w:val="baseline"/>
          </w:rPr>
          <w:t>legitimate</w:t>
        </w:r>
        <w:r>
          <w:rPr>
            <w:spacing w:val="27"/>
            <w:vertAlign w:val="baseline"/>
          </w:rPr>
          <w:t> </w:t>
        </w:r>
        <w:r>
          <w:rPr>
            <w:vertAlign w:val="baseline"/>
          </w:rPr>
          <w:t>interest</w:t>
        </w:r>
        <w:r>
          <w:rPr>
            <w:spacing w:val="27"/>
            <w:vertAlign w:val="baseline"/>
          </w:rPr>
          <w:t> </w:t>
        </w:r>
        <w:r>
          <w:rPr>
            <w:vertAlign w:val="baseline"/>
          </w:rPr>
          <w:t>that</w:t>
        </w:r>
        <w:r>
          <w:rPr>
            <w:spacing w:val="27"/>
            <w:vertAlign w:val="baseline"/>
          </w:rPr>
          <w:t> </w:t>
        </w:r>
        <w:r>
          <w:rPr>
            <w:vertAlign w:val="baseline"/>
          </w:rPr>
          <w:t>could</w:t>
        </w:r>
        <w:r>
          <w:rPr>
            <w:spacing w:val="27"/>
            <w:vertAlign w:val="baseline"/>
          </w:rPr>
          <w:t> </w:t>
        </w:r>
        <w:r>
          <w:rPr>
            <w:vertAlign w:val="baseline"/>
          </w:rPr>
          <w:t>be</w:t>
        </w:r>
        <w:r>
          <w:rPr>
            <w:spacing w:val="27"/>
            <w:vertAlign w:val="baseline"/>
          </w:rPr>
          <w:t> </w:t>
        </w:r>
        <w:r>
          <w:rPr>
            <w:vertAlign w:val="baseline"/>
          </w:rPr>
          <w:t>protected</w:t>
        </w:r>
        <w:r>
          <w:rPr>
            <w:spacing w:val="27"/>
            <w:vertAlign w:val="baseline"/>
          </w:rPr>
          <w:t> </w:t>
        </w:r>
        <w:r>
          <w:rPr>
            <w:vertAlign w:val="baseline"/>
          </w:rPr>
          <w:t>under</w:t>
        </w:r>
        <w:r>
          <w:rPr>
            <w:spacing w:val="27"/>
            <w:vertAlign w:val="baseline"/>
          </w:rPr>
          <w:t> </w:t>
        </w:r>
        <w:r>
          <w:rPr>
            <w:vertAlign w:val="baseline"/>
          </w:rPr>
          <w:t>the</w:t>
        </w:r>
        <w:r>
          <w:rPr>
            <w:spacing w:val="27"/>
            <w:vertAlign w:val="baseline"/>
          </w:rPr>
          <w:t> </w:t>
        </w:r>
        <w:r>
          <w:rPr>
            <w:vertAlign w:val="baseline"/>
          </w:rPr>
          <w:t>alternative</w:t>
        </w:r>
        <w:r>
          <w:rPr>
            <w:spacing w:val="27"/>
            <w:vertAlign w:val="baseline"/>
          </w:rPr>
          <w:t> </w:t>
        </w:r>
        <w:r>
          <w:rPr>
            <w:vertAlign w:val="baseline"/>
          </w:rPr>
          <w:t>basis</w:t>
        </w:r>
        <w:r>
          <w:rPr>
            <w:spacing w:val="27"/>
            <w:vertAlign w:val="baseline"/>
          </w:rPr>
          <w:t> </w:t>
        </w:r>
        <w:r>
          <w:rPr>
            <w:vertAlign w:val="baseline"/>
          </w:rPr>
          <w:t>set</w:t>
        </w:r>
        <w:r>
          <w:rPr>
            <w:spacing w:val="27"/>
            <w:vertAlign w:val="baseline"/>
          </w:rPr>
          <w:t> </w:t>
        </w:r>
        <w:r>
          <w:rPr>
            <w:vertAlign w:val="baseline"/>
          </w:rPr>
          <w:t>out</w:t>
        </w:r>
        <w:r>
          <w:rPr>
            <w:spacing w:val="27"/>
            <w:vertAlign w:val="baseline"/>
          </w:rPr>
          <w:t> </w:t>
        </w:r>
        <w:r>
          <w:rPr>
            <w:vertAlign w:val="baseline"/>
          </w:rPr>
          <w:t>in</w:t>
        </w:r>
        <w:r>
          <w:rPr>
            <w:spacing w:val="26"/>
            <w:vertAlign w:val="baseline"/>
          </w:rPr>
          <w:t> </w:t>
        </w:r>
        <w:r>
          <w:rPr>
            <w:rFonts w:ascii="Arial"/>
            <w:i/>
            <w:vertAlign w:val="baseline"/>
          </w:rPr>
          <w:t>Cavendish</w:t>
        </w:r>
        <w:r>
          <w:rPr>
            <w:rFonts w:ascii="Arial"/>
            <w:i/>
            <w:spacing w:val="27"/>
            <w:vertAlign w:val="baseline"/>
          </w:rPr>
          <w:t> </w:t>
        </w:r>
        <w:r>
          <w:rPr>
            <w:rFonts w:ascii="Arial"/>
            <w:i/>
            <w:spacing w:val="-2"/>
            <w:vertAlign w:val="baseline"/>
          </w:rPr>
          <w:t>Square</w:t>
        </w:r>
      </w:hyperlink>
    </w:p>
    <w:p>
      <w:pPr>
        <w:spacing w:line="235" w:lineRule="auto" w:before="119"/>
        <w:ind w:left="165" w:right="167" w:firstLine="0"/>
        <w:jc w:val="both"/>
        <w:rPr>
          <w:sz w:val="20"/>
        </w:rPr>
      </w:pPr>
      <w:r>
        <w:rPr>
          <w:rFonts w:ascii="Arial" w:hAnsi="Arial"/>
          <w:i/>
          <w:sz w:val="20"/>
        </w:rPr>
        <w:t>Holding BV v Makdessi </w:t>
      </w:r>
      <w:r>
        <w:rPr>
          <w:sz w:val="20"/>
        </w:rPr>
        <w:t>and </w:t>
      </w:r>
      <w:r>
        <w:rPr>
          <w:rFonts w:ascii="Arial" w:hAnsi="Arial"/>
          <w:i/>
          <w:sz w:val="20"/>
        </w:rPr>
        <w:t>ParkingEye Ltd v Beavis</w:t>
      </w:r>
      <w:r>
        <w:rPr>
          <w:sz w:val="20"/>
        </w:rPr>
        <w:t>. </w:t>
      </w:r>
      <w:hyperlink w:history="true" w:anchor="_bookmark2005">
        <w:r>
          <w:rPr>
            <w:color w:val="005DA1"/>
            <w:sz w:val="20"/>
            <w:u w:val="single" w:color="005DA1"/>
            <w:vertAlign w:val="superscript"/>
          </w:rPr>
          <w:t>1040</w:t>
        </w:r>
        <w:r>
          <w:rPr>
            <w:color w:val="005DA1"/>
            <w:spacing w:val="80"/>
            <w:sz w:val="20"/>
            <w:vertAlign w:val="baseline"/>
          </w:rPr>
          <w:t> </w:t>
        </w:r>
        <w:r>
          <w:rPr>
            <w:color w:val="005DA1"/>
            <w:spacing w:val="6"/>
            <w:position w:val="-2"/>
            <w:sz w:val="20"/>
            <w:vertAlign w:val="baseline"/>
          </w:rPr>
          <w:drawing>
            <wp:inline distT="0" distB="0" distL="0" distR="0">
              <wp:extent cx="107988" cy="107988"/>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sz w:val="20"/>
            <w:vertAlign w:val="baseline"/>
          </w:rPr>
        </w:r>
        <w:r>
          <w:rPr>
            <w:rFonts w:ascii="Times New Roman" w:hAnsi="Times New Roman"/>
            <w:color w:val="005DA1"/>
            <w:spacing w:val="6"/>
            <w:sz w:val="20"/>
            <w:vertAlign w:val="baseline"/>
          </w:rPr>
          <w:t> </w:t>
        </w:r>
        <w:r>
          <w:rPr>
            <w:sz w:val="20"/>
            <w:vertAlign w:val="baseline"/>
          </w:rPr>
          <w:t>If, as it seems, “hypothetical bargain </w:t>
        </w:r>
        <w:bookmarkStart w:name="_bookmark1940" w:id="1942"/>
        <w:bookmarkEnd w:id="1942"/>
        <w:r>
          <w:rPr>
            <w:sz w:val="20"/>
            <w:vertAlign w:val="baseline"/>
          </w:rPr>
          <w:t>damages”</w:t>
        </w:r>
        <w:r>
          <w:rPr>
            <w:spacing w:val="4"/>
            <w:sz w:val="20"/>
            <w:vertAlign w:val="baseline"/>
          </w:rPr>
          <w:t> </w:t>
        </w:r>
        <w:r>
          <w:rPr>
            <w:sz w:val="20"/>
            <w:vertAlign w:val="baseline"/>
          </w:rPr>
          <w:t>allowing</w:t>
        </w:r>
        <w:r>
          <w:rPr>
            <w:spacing w:val="4"/>
            <w:sz w:val="20"/>
            <w:vertAlign w:val="baseline"/>
          </w:rPr>
          <w:t> </w:t>
        </w:r>
        <w:r>
          <w:rPr>
            <w:sz w:val="20"/>
            <w:vertAlign w:val="baseline"/>
          </w:rPr>
          <w:t>the</w:t>
        </w:r>
        <w:r>
          <w:rPr>
            <w:spacing w:val="4"/>
            <w:sz w:val="20"/>
            <w:vertAlign w:val="baseline"/>
          </w:rPr>
          <w:t> </w:t>
        </w:r>
        <w:r>
          <w:rPr>
            <w:sz w:val="20"/>
            <w:vertAlign w:val="baseline"/>
          </w:rPr>
          <w:t>innocent</w:t>
        </w:r>
        <w:r>
          <w:rPr>
            <w:spacing w:val="4"/>
            <w:sz w:val="20"/>
            <w:vertAlign w:val="baseline"/>
          </w:rPr>
          <w:t> </w:t>
        </w:r>
        <w:r>
          <w:rPr>
            <w:sz w:val="20"/>
            <w:vertAlign w:val="baseline"/>
          </w:rPr>
          <w:t>party</w:t>
        </w:r>
        <w:r>
          <w:rPr>
            <w:spacing w:val="4"/>
            <w:sz w:val="20"/>
            <w:vertAlign w:val="baseline"/>
          </w:rPr>
          <w:t> </w:t>
        </w:r>
        <w:r>
          <w:rPr>
            <w:sz w:val="20"/>
            <w:vertAlign w:val="baseline"/>
          </w:rPr>
          <w:t>to</w:t>
        </w:r>
        <w:r>
          <w:rPr>
            <w:spacing w:val="4"/>
            <w:sz w:val="20"/>
            <w:vertAlign w:val="baseline"/>
          </w:rPr>
          <w:t> </w:t>
        </w:r>
        <w:r>
          <w:rPr>
            <w:sz w:val="20"/>
            <w:vertAlign w:val="baseline"/>
          </w:rPr>
          <w:t>recover</w:t>
        </w:r>
        <w:r>
          <w:rPr>
            <w:spacing w:val="4"/>
            <w:sz w:val="20"/>
            <w:vertAlign w:val="baseline"/>
          </w:rPr>
          <w:t> </w:t>
        </w:r>
        <w:r>
          <w:rPr>
            <w:sz w:val="20"/>
            <w:vertAlign w:val="baseline"/>
          </w:rPr>
          <w:t>a</w:t>
        </w:r>
        <w:r>
          <w:rPr>
            <w:spacing w:val="4"/>
            <w:sz w:val="20"/>
            <w:vertAlign w:val="baseline"/>
          </w:rPr>
          <w:t> </w:t>
        </w:r>
        <w:r>
          <w:rPr>
            <w:sz w:val="20"/>
            <w:vertAlign w:val="baseline"/>
          </w:rPr>
          <w:t>share</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4"/>
            <w:sz w:val="20"/>
            <w:vertAlign w:val="baseline"/>
          </w:rPr>
          <w:t> </w:t>
        </w:r>
        <w:r>
          <w:rPr>
            <w:sz w:val="20"/>
            <w:vertAlign w:val="baseline"/>
          </w:rPr>
          <w:t>profit</w:t>
        </w:r>
        <w:r>
          <w:rPr>
            <w:spacing w:val="4"/>
            <w:sz w:val="20"/>
            <w:vertAlign w:val="baseline"/>
          </w:rPr>
          <w:t> </w:t>
        </w:r>
        <w:r>
          <w:rPr>
            <w:sz w:val="20"/>
            <w:vertAlign w:val="baseline"/>
          </w:rPr>
          <w:t>made</w:t>
        </w:r>
        <w:r>
          <w:rPr>
            <w:spacing w:val="4"/>
            <w:sz w:val="20"/>
            <w:vertAlign w:val="baseline"/>
          </w:rPr>
          <w:t> </w:t>
        </w:r>
        <w:r>
          <w:rPr>
            <w:sz w:val="20"/>
            <w:vertAlign w:val="baseline"/>
          </w:rPr>
          <w:t>by</w:t>
        </w:r>
        <w:r>
          <w:rPr>
            <w:spacing w:val="4"/>
            <w:sz w:val="20"/>
            <w:vertAlign w:val="baseline"/>
          </w:rPr>
          <w:t> </w:t>
        </w:r>
        <w:r>
          <w:rPr>
            <w:sz w:val="20"/>
            <w:vertAlign w:val="baseline"/>
          </w:rPr>
          <w:t>the</w:t>
        </w:r>
        <w:r>
          <w:rPr>
            <w:spacing w:val="4"/>
            <w:sz w:val="20"/>
            <w:vertAlign w:val="baseline"/>
          </w:rPr>
          <w:t> </w:t>
        </w:r>
        <w:r>
          <w:rPr>
            <w:sz w:val="20"/>
            <w:vertAlign w:val="baseline"/>
          </w:rPr>
          <w:t>other</w:t>
        </w:r>
        <w:r>
          <w:rPr>
            <w:spacing w:val="4"/>
            <w:sz w:val="20"/>
            <w:vertAlign w:val="baseline"/>
          </w:rPr>
          <w:t> </w:t>
        </w:r>
        <w:r>
          <w:rPr>
            <w:sz w:val="20"/>
            <w:vertAlign w:val="baseline"/>
          </w:rPr>
          <w:t>party</w:t>
        </w:r>
        <w:r>
          <w:rPr>
            <w:spacing w:val="4"/>
            <w:sz w:val="20"/>
            <w:vertAlign w:val="baseline"/>
          </w:rPr>
          <w:t> </w:t>
        </w:r>
        <w:r>
          <w:rPr>
            <w:spacing w:val="-2"/>
            <w:sz w:val="20"/>
            <w:vertAlign w:val="baseline"/>
          </w:rPr>
          <w:t>through</w:t>
        </w:r>
      </w:hyperlink>
    </w:p>
    <w:p>
      <w:pPr>
        <w:pStyle w:val="BodyText"/>
        <w:spacing w:before="9"/>
      </w:pPr>
    </w:p>
    <w:p>
      <w:pPr>
        <w:pStyle w:val="BodyText"/>
        <w:spacing w:line="235" w:lineRule="auto"/>
        <w:ind w:left="165" w:right="167"/>
        <w:jc w:val="both"/>
      </w:pPr>
      <w:bookmarkStart w:name="_bookmark1941" w:id="1943"/>
      <w:bookmarkEnd w:id="1943"/>
      <w:r>
        <w:rPr/>
      </w:r>
      <w:r>
        <w:rPr/>
        <w:t>his breach of contract </w:t>
      </w:r>
      <w:r>
        <w:rPr>
          <w:color w:val="005DA1"/>
          <w:u w:val="single" w:color="005DA1"/>
          <w:vertAlign w:val="superscript"/>
        </w:rPr>
        <w:t>1041</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may be recoverable in addition to other damages, </w:t>
      </w:r>
      <w:hyperlink w:history="true" w:anchor="_bookmark2007">
        <w:r>
          <w:rPr>
            <w:color w:val="005DA1"/>
            <w:u w:val="single" w:color="005DA1"/>
            <w:vertAlign w:val="superscript"/>
          </w:rPr>
          <w:t>1042</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presumably a genuine pre-estimate of the loss may include such a figure if, at the time the contract was made, it is likely that the type of breach to which the agreed damages clause applies will lead to the party </w:t>
        </w:r>
        <w:r>
          <w:rPr>
            <w:vertAlign w:val="baseline"/>
          </w:rPr>
          <w:t>in </w:t>
        </w:r>
        <w:bookmarkStart w:name="_bookmark1942" w:id="1944"/>
        <w:bookmarkEnd w:id="1944"/>
        <w:r>
          <w:rPr>
            <w:vertAlign w:val="baseline"/>
          </w:rPr>
          <w:t>breach</w:t>
        </w:r>
        <w:r>
          <w:rPr>
            <w:spacing w:val="4"/>
            <w:vertAlign w:val="baseline"/>
          </w:rPr>
          <w:t> </w:t>
        </w:r>
        <w:r>
          <w:rPr>
            <w:vertAlign w:val="baseline"/>
          </w:rPr>
          <w:t>making</w:t>
        </w:r>
        <w:r>
          <w:rPr>
            <w:spacing w:val="4"/>
            <w:vertAlign w:val="baseline"/>
          </w:rPr>
          <w:t> </w:t>
        </w:r>
        <w:r>
          <w:rPr>
            <w:vertAlign w:val="baseline"/>
          </w:rPr>
          <w:t>a</w:t>
        </w:r>
        <w:r>
          <w:rPr>
            <w:spacing w:val="4"/>
            <w:vertAlign w:val="baseline"/>
          </w:rPr>
          <w:t> </w:t>
        </w:r>
        <w:r>
          <w:rPr>
            <w:vertAlign w:val="baseline"/>
          </w:rPr>
          <w:t>profit</w:t>
        </w:r>
        <w:r>
          <w:rPr>
            <w:spacing w:val="4"/>
            <w:vertAlign w:val="baseline"/>
          </w:rPr>
          <w:t> </w:t>
        </w:r>
        <w:r>
          <w:rPr>
            <w:vertAlign w:val="baseline"/>
          </w:rPr>
          <w:t>from</w:t>
        </w:r>
        <w:r>
          <w:rPr>
            <w:spacing w:val="4"/>
            <w:vertAlign w:val="baseline"/>
          </w:rPr>
          <w:t> </w:t>
        </w:r>
        <w:r>
          <w:rPr>
            <w:vertAlign w:val="baseline"/>
          </w:rPr>
          <w:t>it.</w:t>
        </w:r>
        <w:r>
          <w:rPr>
            <w:spacing w:val="4"/>
            <w:vertAlign w:val="baseline"/>
          </w:rPr>
          <w:t> </w:t>
        </w:r>
        <w:r>
          <w:rPr>
            <w:vertAlign w:val="baseline"/>
          </w:rPr>
          <w:t>The</w:t>
        </w:r>
        <w:r>
          <w:rPr>
            <w:spacing w:val="4"/>
            <w:vertAlign w:val="baseline"/>
          </w:rPr>
          <w:t> </w:t>
        </w:r>
        <w:r>
          <w:rPr>
            <w:vertAlign w:val="baseline"/>
          </w:rPr>
          <w:t>claimant’s</w:t>
        </w:r>
        <w:r>
          <w:rPr>
            <w:spacing w:val="4"/>
            <w:vertAlign w:val="baseline"/>
          </w:rPr>
          <w:t> </w:t>
        </w:r>
        <w:r>
          <w:rPr>
            <w:vertAlign w:val="baseline"/>
          </w:rPr>
          <w:t>chance</w:t>
        </w:r>
        <w:r>
          <w:rPr>
            <w:spacing w:val="4"/>
            <w:vertAlign w:val="baseline"/>
          </w:rPr>
          <w:t> </w:t>
        </w:r>
        <w:r>
          <w:rPr>
            <w:vertAlign w:val="baseline"/>
          </w:rPr>
          <w:t>to</w:t>
        </w:r>
        <w:r>
          <w:rPr>
            <w:spacing w:val="4"/>
            <w:vertAlign w:val="baseline"/>
          </w:rPr>
          <w:t> </w:t>
        </w:r>
        <w:r>
          <w:rPr>
            <w:vertAlign w:val="baseline"/>
          </w:rPr>
          <w:t>bargain</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defendant</w:t>
        </w:r>
        <w:r>
          <w:rPr>
            <w:spacing w:val="4"/>
            <w:vertAlign w:val="baseline"/>
          </w:rPr>
          <w:t> </w:t>
        </w:r>
        <w:r>
          <w:rPr>
            <w:vertAlign w:val="baseline"/>
          </w:rPr>
          <w:t>might</w:t>
        </w:r>
        <w:r>
          <w:rPr>
            <w:spacing w:val="4"/>
            <w:vertAlign w:val="baseline"/>
          </w:rPr>
          <w:t> </w:t>
        </w:r>
        <w:r>
          <w:rPr>
            <w:vertAlign w:val="baseline"/>
          </w:rPr>
          <w:t>constitute</w:t>
        </w:r>
        <w:r>
          <w:rPr>
            <w:spacing w:val="4"/>
            <w:vertAlign w:val="baseline"/>
          </w:rPr>
          <w:t> </w:t>
        </w:r>
        <w:r>
          <w:rPr>
            <w:spacing w:val="-10"/>
            <w:vertAlign w:val="baseline"/>
          </w:rPr>
          <w:t>a</w:t>
        </w:r>
      </w:hyperlink>
    </w:p>
    <w:p>
      <w:pPr>
        <w:pStyle w:val="BodyText"/>
        <w:spacing w:line="235" w:lineRule="auto" w:before="119"/>
        <w:ind w:left="165" w:right="167"/>
        <w:jc w:val="both"/>
      </w:pPr>
      <w:r>
        <w:rPr/>
        <w:t>legitimate interest </w:t>
      </w:r>
      <w:hyperlink w:history="true" w:anchor="_bookmark2008">
        <w:r>
          <w:rPr>
            <w:color w:val="005DA1"/>
            <w:u w:val="single" w:color="005DA1"/>
            <w:vertAlign w:val="superscript"/>
          </w:rPr>
          <w:t>1043</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but it is probably unnecessary for the claimant to show this if the amount agreed falls within a genuine preestimate. On the traditional account of liquidated damages, the </w:t>
        </w:r>
        <w:r>
          <w:rPr>
            <w:vertAlign w:val="baseline"/>
          </w:rPr>
          <w:t>fact that the damage is difficult to assess with precision strengthened the presumption that a sum agreed </w:t>
        </w:r>
        <w:bookmarkStart w:name="_bookmark1943" w:id="1945"/>
        <w:bookmarkEnd w:id="1945"/>
        <w:r>
          <w:rPr>
            <w:vertAlign w:val="baseline"/>
          </w:rPr>
          <w:t>between</w:t>
        </w:r>
        <w:r>
          <w:rPr>
            <w:spacing w:val="25"/>
            <w:vertAlign w:val="baseline"/>
          </w:rPr>
          <w:t> </w:t>
        </w:r>
        <w:r>
          <w:rPr>
            <w:vertAlign w:val="baseline"/>
          </w:rPr>
          <w:t>the</w:t>
        </w:r>
        <w:r>
          <w:rPr>
            <w:spacing w:val="25"/>
            <w:vertAlign w:val="baseline"/>
          </w:rPr>
          <w:t> </w:t>
        </w:r>
        <w:r>
          <w:rPr>
            <w:vertAlign w:val="baseline"/>
          </w:rPr>
          <w:t>parties</w:t>
        </w:r>
        <w:r>
          <w:rPr>
            <w:spacing w:val="25"/>
            <w:vertAlign w:val="baseline"/>
          </w:rPr>
          <w:t> </w:t>
        </w:r>
        <w:r>
          <w:rPr>
            <w:vertAlign w:val="baseline"/>
          </w:rPr>
          <w:t>represents</w:t>
        </w:r>
        <w:r>
          <w:rPr>
            <w:spacing w:val="25"/>
            <w:vertAlign w:val="baseline"/>
          </w:rPr>
          <w:t> </w:t>
        </w:r>
        <w:r>
          <w:rPr>
            <w:vertAlign w:val="baseline"/>
          </w:rPr>
          <w:t>a</w:t>
        </w:r>
        <w:r>
          <w:rPr>
            <w:spacing w:val="25"/>
            <w:vertAlign w:val="baseline"/>
          </w:rPr>
          <w:t> </w:t>
        </w:r>
        <w:r>
          <w:rPr>
            <w:vertAlign w:val="baseline"/>
          </w:rPr>
          <w:t>genuine</w:t>
        </w:r>
        <w:r>
          <w:rPr>
            <w:spacing w:val="25"/>
            <w:vertAlign w:val="baseline"/>
          </w:rPr>
          <w:t> </w:t>
        </w:r>
        <w:r>
          <w:rPr>
            <w:vertAlign w:val="baseline"/>
          </w:rPr>
          <w:t>attempt</w:t>
        </w:r>
        <w:r>
          <w:rPr>
            <w:spacing w:val="25"/>
            <w:vertAlign w:val="baseline"/>
          </w:rPr>
          <w:t> </w:t>
        </w:r>
        <w:r>
          <w:rPr>
            <w:vertAlign w:val="baseline"/>
          </w:rPr>
          <w:t>to</w:t>
        </w:r>
        <w:r>
          <w:rPr>
            <w:spacing w:val="25"/>
            <w:vertAlign w:val="baseline"/>
          </w:rPr>
          <w:t> </w:t>
        </w:r>
        <w:r>
          <w:rPr>
            <w:vertAlign w:val="baseline"/>
          </w:rPr>
          <w:t>estimate</w:t>
        </w:r>
        <w:r>
          <w:rPr>
            <w:spacing w:val="25"/>
            <w:vertAlign w:val="baseline"/>
          </w:rPr>
          <w:t> </w:t>
        </w:r>
        <w:r>
          <w:rPr>
            <w:vertAlign w:val="baseline"/>
          </w:rPr>
          <w:t>it</w:t>
        </w:r>
        <w:r>
          <w:rPr>
            <w:spacing w:val="25"/>
            <w:vertAlign w:val="baseline"/>
          </w:rPr>
          <w:t> </w:t>
        </w:r>
        <w:r>
          <w:rPr>
            <w:vertAlign w:val="baseline"/>
          </w:rPr>
          <w:t>and</w:t>
        </w:r>
        <w:r>
          <w:rPr>
            <w:spacing w:val="25"/>
            <w:vertAlign w:val="baseline"/>
          </w:rPr>
          <w:t> </w:t>
        </w:r>
        <w:r>
          <w:rPr>
            <w:vertAlign w:val="baseline"/>
          </w:rPr>
          <w:t>to</w:t>
        </w:r>
        <w:r>
          <w:rPr>
            <w:spacing w:val="25"/>
            <w:vertAlign w:val="baseline"/>
          </w:rPr>
          <w:t> </w:t>
        </w:r>
        <w:r>
          <w:rPr>
            <w:vertAlign w:val="baseline"/>
          </w:rPr>
          <w:t>overcome</w:t>
        </w:r>
        <w:r>
          <w:rPr>
            <w:spacing w:val="25"/>
            <w:vertAlign w:val="baseline"/>
          </w:rPr>
          <w:t> </w:t>
        </w:r>
        <w:r>
          <w:rPr>
            <w:vertAlign w:val="baseline"/>
          </w:rPr>
          <w:t>the</w:t>
        </w:r>
        <w:r>
          <w:rPr>
            <w:spacing w:val="25"/>
            <w:vertAlign w:val="baseline"/>
          </w:rPr>
          <w:t> </w:t>
        </w:r>
        <w:r>
          <w:rPr>
            <w:vertAlign w:val="baseline"/>
          </w:rPr>
          <w:t>difficulties</w:t>
        </w:r>
        <w:r>
          <w:rPr>
            <w:spacing w:val="25"/>
            <w:vertAlign w:val="baseline"/>
          </w:rPr>
          <w:t> </w:t>
        </w:r>
        <w:r>
          <w:rPr>
            <w:spacing w:val="-5"/>
            <w:vertAlign w:val="baseline"/>
          </w:rPr>
          <w:t>of</w:t>
        </w:r>
      </w:hyperlink>
    </w:p>
    <w:p>
      <w:pPr>
        <w:pStyle w:val="BodyText"/>
        <w:spacing w:line="360" w:lineRule="auto" w:before="115"/>
        <w:ind w:left="164" w:right="168"/>
        <w:jc w:val="both"/>
        <w:rPr>
          <w:position w:val="-2"/>
        </w:rPr>
      </w:pPr>
      <w:bookmarkStart w:name="_bookmark1944" w:id="1946"/>
      <w:bookmarkEnd w:id="1946"/>
      <w:r>
        <w:rPr/>
      </w:r>
      <w:r>
        <w:rPr/>
        <w:t>proof at the trial. </w:t>
      </w:r>
      <w:hyperlink w:history="true" w:anchor="_bookmark2009">
        <w:r>
          <w:rPr>
            <w:color w:val="005DA1"/>
            <w:u w:val="single" w:color="005DA1"/>
            <w:vertAlign w:val="superscript"/>
          </w:rPr>
          <w:t>1044</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5"/>
            <w:vertAlign w:val="baseline"/>
          </w:rPr>
          <w:t> </w:t>
        </w:r>
        <w:r>
          <w:rPr>
            <w:vertAlign w:val="baseline"/>
          </w:rPr>
          <w:t>It seems that the risk of this kind of difficulty will now be treated as giving the claimant a legitimate interest in deterring breach. </w:t>
        </w:r>
        <w:r>
          <w:rPr>
            <w:color w:val="005DA1"/>
            <w:u w:val="single" w:color="005DA1"/>
            <w:vertAlign w:val="superscript"/>
          </w:rPr>
          <w:t>1045</w:t>
        </w:r>
        <w:r>
          <w:rPr>
            <w:color w:val="005DA1"/>
            <w:spacing w:val="80"/>
            <w:vertAlign w:val="baseline"/>
          </w:rPr>
          <w:t> </w:t>
        </w:r>
        <w:r>
          <w:rPr>
            <w:color w:val="005DA1"/>
            <w:position w:val="-2"/>
            <w:vertAlign w:val="baseline"/>
          </w:rPr>
          <w:drawing>
            <wp:inline distT="0" distB="0" distL="0" distR="0">
              <wp:extent cx="107988" cy="107988"/>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165" w:right="0" w:firstLine="0"/>
        <w:jc w:val="left"/>
        <w:rPr>
          <w:rFonts w:ascii="Arial"/>
          <w:b/>
          <w:sz w:val="18"/>
        </w:rPr>
      </w:pPr>
      <w:r>
        <w:rPr>
          <w:rFonts w:ascii="Arial"/>
          <w:b/>
          <w:sz w:val="18"/>
        </w:rPr>
        <w:t>Fluctuating </w:t>
      </w:r>
      <w:r>
        <w:rPr>
          <w:rFonts w:ascii="Arial"/>
          <w:b/>
          <w:spacing w:val="-4"/>
          <w:sz w:val="18"/>
        </w:rPr>
        <w:t>sums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187</w:t>
      </w:r>
    </w:p>
    <w:p>
      <w:pPr>
        <w:pStyle w:val="BodyText"/>
        <w:spacing w:before="89"/>
        <w:rPr>
          <w:rFonts w:ascii="Arial"/>
          <w:b/>
        </w:rPr>
      </w:pPr>
    </w:p>
    <w:p>
      <w:pPr>
        <w:pStyle w:val="BodyText"/>
        <w:spacing w:line="360" w:lineRule="auto"/>
        <w:ind w:left="165" w:right="167"/>
        <w:jc w:val="both"/>
      </w:pPr>
      <w:r>
        <w:rPr>
          <w:position w:val="-2"/>
        </w:rPr>
        <w:drawing>
          <wp:inline distT="0" distB="0" distL="0" distR="0">
            <wp:extent cx="107988" cy="107988"/>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8"/>
        </w:rPr>
        <w:t> </w:t>
      </w:r>
      <w:bookmarkStart w:name="_bookmark1945" w:id="1947"/>
      <w:bookmarkEnd w:id="1947"/>
      <w:r>
        <w:rPr>
          <w:rFonts w:ascii="Times New Roman"/>
          <w:spacing w:val="20"/>
        </w:rPr>
      </w:r>
      <w:r>
        <w:rPr/>
        <w:t>Although a valid agreed damages clause may specify a graduated scale of sums </w:t>
      </w:r>
      <w:r>
        <w:rPr/>
        <w:t>payable </w:t>
      </w:r>
      <w:bookmarkStart w:name="_bookmark1946" w:id="1948"/>
      <w:bookmarkEnd w:id="1948"/>
      <w:r>
        <w:rPr/>
        <w:t>according</w:t>
      </w:r>
      <w:r>
        <w:rPr>
          <w:spacing w:val="40"/>
        </w:rPr>
        <w:t> </w:t>
      </w:r>
      <w:r>
        <w:rPr/>
        <w:t>to</w:t>
      </w:r>
      <w:r>
        <w:rPr>
          <w:spacing w:val="41"/>
        </w:rPr>
        <w:t> </w:t>
      </w:r>
      <w:r>
        <w:rPr/>
        <w:t>the</w:t>
      </w:r>
      <w:r>
        <w:rPr>
          <w:spacing w:val="41"/>
        </w:rPr>
        <w:t> </w:t>
      </w:r>
      <w:r>
        <w:rPr/>
        <w:t>varying</w:t>
      </w:r>
      <w:r>
        <w:rPr>
          <w:spacing w:val="41"/>
        </w:rPr>
        <w:t> </w:t>
      </w:r>
      <w:r>
        <w:rPr/>
        <w:t>extent</w:t>
      </w:r>
      <w:r>
        <w:rPr>
          <w:spacing w:val="40"/>
        </w:rPr>
        <w:t> </w:t>
      </w:r>
      <w:r>
        <w:rPr/>
        <w:t>of</w:t>
      </w:r>
      <w:r>
        <w:rPr>
          <w:spacing w:val="41"/>
        </w:rPr>
        <w:t> </w:t>
      </w:r>
      <w:r>
        <w:rPr/>
        <w:t>the</w:t>
      </w:r>
      <w:r>
        <w:rPr>
          <w:spacing w:val="41"/>
        </w:rPr>
        <w:t> </w:t>
      </w:r>
      <w:r>
        <w:rPr/>
        <w:t>expected</w:t>
      </w:r>
      <w:r>
        <w:rPr>
          <w:spacing w:val="41"/>
        </w:rPr>
        <w:t> </w:t>
      </w:r>
      <w:r>
        <w:rPr/>
        <w:t>loss,</w:t>
      </w:r>
      <w:r>
        <w:rPr>
          <w:spacing w:val="39"/>
        </w:rPr>
        <w:t> </w:t>
      </w:r>
      <w:hyperlink w:history="true" w:anchor="_bookmark2010">
        <w:r>
          <w:rPr>
            <w:color w:val="005DA1"/>
            <w:u w:val="single" w:color="005DA1"/>
            <w:vertAlign w:val="superscript"/>
          </w:rPr>
          <w:t>1046</w:t>
        </w:r>
        <w:r>
          <w:rPr>
            <w:color w:val="005DA1"/>
            <w:spacing w:val="63"/>
            <w:w w:val="150"/>
            <w:vertAlign w:val="baseline"/>
          </w:rPr>
          <w:t>  </w:t>
        </w:r>
        <w:r>
          <w:rPr>
            <w:color w:val="005DA1"/>
            <w:spacing w:val="18"/>
            <w:position w:val="-2"/>
            <w:vertAlign w:val="baseline"/>
          </w:rPr>
          <w:drawing>
            <wp:inline distT="0" distB="0" distL="0" distR="0">
              <wp:extent cx="107988" cy="107988"/>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29"/>
            <w:vertAlign w:val="baseline"/>
          </w:rPr>
          <w:t> </w:t>
        </w:r>
        <w:r>
          <w:rPr>
            <w:vertAlign w:val="baseline"/>
          </w:rPr>
          <w:t>a</w:t>
        </w:r>
        <w:r>
          <w:rPr>
            <w:spacing w:val="40"/>
            <w:vertAlign w:val="baseline"/>
          </w:rPr>
          <w:t> </w:t>
        </w:r>
        <w:r>
          <w:rPr>
            <w:vertAlign w:val="baseline"/>
          </w:rPr>
          <w:t>sum</w:t>
        </w:r>
        <w:r>
          <w:rPr>
            <w:spacing w:val="41"/>
            <w:vertAlign w:val="baseline"/>
          </w:rPr>
          <w:t> </w:t>
        </w:r>
        <w:r>
          <w:rPr>
            <w:vertAlign w:val="baseline"/>
          </w:rPr>
          <w:t>which</w:t>
        </w:r>
        <w:r>
          <w:rPr>
            <w:spacing w:val="41"/>
            <w:vertAlign w:val="baseline"/>
          </w:rPr>
          <w:t> </w:t>
        </w:r>
        <w:r>
          <w:rPr>
            <w:vertAlign w:val="baseline"/>
          </w:rPr>
          <w:t>is</w:t>
        </w:r>
        <w:r>
          <w:rPr>
            <w:spacing w:val="41"/>
            <w:vertAlign w:val="baseline"/>
          </w:rPr>
          <w:t> </w:t>
        </w:r>
        <w:r>
          <w:rPr>
            <w:vertAlign w:val="baseline"/>
          </w:rPr>
          <w:t>liable</w:t>
        </w:r>
        <w:r>
          <w:rPr>
            <w:spacing w:val="40"/>
            <w:vertAlign w:val="baseline"/>
          </w:rPr>
          <w:t> </w:t>
        </w:r>
        <w:r>
          <w:rPr>
            <w:vertAlign w:val="baseline"/>
          </w:rPr>
          <w:t>to</w:t>
        </w:r>
        <w:r>
          <w:rPr>
            <w:spacing w:val="41"/>
            <w:vertAlign w:val="baseline"/>
          </w:rPr>
          <w:t> </w:t>
        </w:r>
        <w:r>
          <w:rPr>
            <w:spacing w:val="-2"/>
            <w:vertAlign w:val="baseline"/>
          </w:rPr>
          <w:t>fluctuate</w:t>
        </w:r>
      </w:hyperlink>
    </w:p>
    <w:p>
      <w:pPr>
        <w:pStyle w:val="BodyText"/>
        <w:spacing w:line="235" w:lineRule="auto" w:before="4"/>
        <w:ind w:left="165" w:right="167"/>
        <w:jc w:val="both"/>
      </w:pPr>
      <w:r>
        <w:rPr/>
        <w:t>according to extraneous circumstances will not be classified as liquidated damages. </w:t>
      </w:r>
      <w:hyperlink w:history="true" w:anchor="_bookmark2011">
        <w:r>
          <w:rPr>
            <w:color w:val="005DA1"/>
            <w:u w:val="single" w:color="005DA1"/>
            <w:vertAlign w:val="superscript"/>
          </w:rPr>
          <w:t>1047</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vertAlign w:val="baseline"/>
          </w:rPr>
          <w:t> </w:t>
        </w:r>
        <w:r>
          <w:rPr>
            <w:vertAlign w:val="baseline"/>
          </w:rPr>
          <w:t>In </w:t>
        </w:r>
        <w:r>
          <w:rPr>
            <w:vertAlign w:val="baseline"/>
          </w:rPr>
          <w:t>a railway construction contract it was provided that in the event of a breach by the contractor he should forfeit “as and for liquidated damages” certain percentages retained by the government of money </w:t>
        </w:r>
        <w:bookmarkStart w:name="_bookmark1947" w:id="1949"/>
        <w:bookmarkEnd w:id="1949"/>
        <w:r>
          <w:rPr>
            <w:vertAlign w:val="baseline"/>
          </w:rPr>
          <w:t>payable</w:t>
        </w:r>
        <w:r>
          <w:rPr>
            <w:spacing w:val="24"/>
            <w:vertAlign w:val="baseline"/>
          </w:rPr>
          <w:t> </w:t>
        </w:r>
        <w:r>
          <w:rPr>
            <w:vertAlign w:val="baseline"/>
          </w:rPr>
          <w:t>for</w:t>
        </w:r>
        <w:r>
          <w:rPr>
            <w:spacing w:val="24"/>
            <w:vertAlign w:val="baseline"/>
          </w:rPr>
          <w:t> </w:t>
        </w:r>
        <w:r>
          <w:rPr>
            <w:vertAlign w:val="baseline"/>
          </w:rPr>
          <w:t>work</w:t>
        </w:r>
        <w:r>
          <w:rPr>
            <w:spacing w:val="24"/>
            <w:vertAlign w:val="baseline"/>
          </w:rPr>
          <w:t> </w:t>
        </w:r>
        <w:r>
          <w:rPr>
            <w:vertAlign w:val="baseline"/>
          </w:rPr>
          <w:t>done</w:t>
        </w:r>
        <w:r>
          <w:rPr>
            <w:spacing w:val="24"/>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guarantee</w:t>
        </w:r>
        <w:r>
          <w:rPr>
            <w:spacing w:val="24"/>
            <w:vertAlign w:val="baseline"/>
          </w:rPr>
          <w:t> </w:t>
        </w:r>
        <w:r>
          <w:rPr>
            <w:vertAlign w:val="baseline"/>
          </w:rPr>
          <w:t>fund</w:t>
        </w:r>
        <w:r>
          <w:rPr>
            <w:spacing w:val="24"/>
            <w:vertAlign w:val="baseline"/>
          </w:rPr>
          <w:t> </w:t>
        </w:r>
        <w:r>
          <w:rPr>
            <w:vertAlign w:val="baseline"/>
          </w:rPr>
          <w:t>to</w:t>
        </w:r>
        <w:r>
          <w:rPr>
            <w:spacing w:val="24"/>
            <w:vertAlign w:val="baseline"/>
          </w:rPr>
          <w:t> </w:t>
        </w:r>
        <w:r>
          <w:rPr>
            <w:vertAlign w:val="baseline"/>
          </w:rPr>
          <w:t>answer</w:t>
        </w:r>
        <w:r>
          <w:rPr>
            <w:spacing w:val="24"/>
            <w:vertAlign w:val="baseline"/>
          </w:rPr>
          <w:t> </w:t>
        </w:r>
        <w:r>
          <w:rPr>
            <w:vertAlign w:val="baseline"/>
          </w:rPr>
          <w:t>for</w:t>
        </w:r>
        <w:r>
          <w:rPr>
            <w:spacing w:val="24"/>
            <w:vertAlign w:val="baseline"/>
          </w:rPr>
          <w:t> </w:t>
        </w:r>
        <w:r>
          <w:rPr>
            <w:vertAlign w:val="baseline"/>
          </w:rPr>
          <w:t>defective</w:t>
        </w:r>
        <w:r>
          <w:rPr>
            <w:spacing w:val="24"/>
            <w:vertAlign w:val="baseline"/>
          </w:rPr>
          <w:t> </w:t>
        </w:r>
        <w:r>
          <w:rPr>
            <w:vertAlign w:val="baseline"/>
          </w:rPr>
          <w:t>work,</w:t>
        </w:r>
        <w:r>
          <w:rPr>
            <w:spacing w:val="24"/>
            <w:vertAlign w:val="baseline"/>
          </w:rPr>
          <w:t> </w:t>
        </w:r>
        <w:r>
          <w:rPr>
            <w:vertAlign w:val="baseline"/>
          </w:rPr>
          <w:t>and</w:t>
        </w:r>
        <w:r>
          <w:rPr>
            <w:spacing w:val="24"/>
            <w:vertAlign w:val="baseline"/>
          </w:rPr>
          <w:t> </w:t>
        </w:r>
        <w:r>
          <w:rPr>
            <w:vertAlign w:val="baseline"/>
          </w:rPr>
          <w:t>also</w:t>
        </w:r>
        <w:r>
          <w:rPr>
            <w:spacing w:val="24"/>
            <w:vertAlign w:val="baseline"/>
          </w:rPr>
          <w:t> </w:t>
        </w:r>
        <w:r>
          <w:rPr>
            <w:vertAlign w:val="baseline"/>
          </w:rPr>
          <w:t>certain</w:t>
        </w:r>
        <w:r>
          <w:rPr>
            <w:spacing w:val="24"/>
            <w:vertAlign w:val="baseline"/>
          </w:rPr>
          <w:t> </w:t>
        </w:r>
        <w:r>
          <w:rPr>
            <w:spacing w:val="-2"/>
            <w:vertAlign w:val="baseline"/>
          </w:rPr>
          <w:t>security</w:t>
        </w:r>
      </w:hyperlink>
    </w:p>
    <w:p>
      <w:pPr>
        <w:pStyle w:val="BodyText"/>
        <w:spacing w:line="235" w:lineRule="auto" w:before="119"/>
        <w:ind w:left="165" w:right="168"/>
        <w:jc w:val="both"/>
      </w:pPr>
      <w:r>
        <w:rPr/>
        <w:t>money lodged with the government. </w:t>
      </w:r>
      <w:hyperlink w:history="true" w:anchor="_bookmark2012">
        <w:r>
          <w:rPr>
            <w:color w:val="005DA1"/>
            <w:u w:val="single" w:color="005DA1"/>
            <w:vertAlign w:val="superscript"/>
          </w:rPr>
          <w:t>1048</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The Judicial Committee held that this was a </w:t>
        </w:r>
        <w:r>
          <w:rPr>
            <w:vertAlign w:val="baseline"/>
          </w:rPr>
          <w:t>penalty, since it was not a definite sum, but was:</w:t>
        </w:r>
      </w:hyperlink>
    </w:p>
    <w:p>
      <w:pPr>
        <w:pStyle w:val="BodyText"/>
      </w:pPr>
    </w:p>
    <w:p>
      <w:pPr>
        <w:pStyle w:val="BodyText"/>
        <w:spacing w:before="125"/>
      </w:pPr>
    </w:p>
    <w:p>
      <w:pPr>
        <w:pStyle w:val="BodyText"/>
        <w:spacing w:line="235" w:lineRule="auto" w:before="1"/>
        <w:ind w:left="1245" w:right="167"/>
        <w:jc w:val="both"/>
      </w:pPr>
      <w:r>
        <w:rPr/>
        <w:t>“… liable to great fluctuation in amount dependent on events not connected with </w:t>
      </w:r>
      <w:r>
        <w:rPr/>
        <w:t>the fulfilment of this contract. It is obvious that the amount of retained money … depended entirely on the progress of those contracts, and that further, as those moneys are</w:t>
      </w:r>
      <w:r>
        <w:rPr>
          <w:spacing w:val="40"/>
        </w:rPr>
        <w:t> </w:t>
      </w:r>
      <w:bookmarkStart w:name="_bookmark1948" w:id="1950"/>
      <w:bookmarkEnd w:id="1950"/>
      <w:r>
        <w:rPr/>
        <w:t>primarily</w:t>
      </w:r>
      <w:r>
        <w:rPr>
          <w:spacing w:val="45"/>
        </w:rPr>
        <w:t> </w:t>
      </w:r>
      <w:r>
        <w:rPr/>
        <w:t>liable</w:t>
      </w:r>
      <w:r>
        <w:rPr>
          <w:spacing w:val="45"/>
        </w:rPr>
        <w:t> </w:t>
      </w:r>
      <w:r>
        <w:rPr/>
        <w:t>to</w:t>
      </w:r>
      <w:r>
        <w:rPr>
          <w:spacing w:val="45"/>
        </w:rPr>
        <w:t> </w:t>
      </w:r>
      <w:r>
        <w:rPr/>
        <w:t>make</w:t>
      </w:r>
      <w:r>
        <w:rPr>
          <w:spacing w:val="45"/>
        </w:rPr>
        <w:t> </w:t>
      </w:r>
      <w:r>
        <w:rPr/>
        <w:t>good</w:t>
      </w:r>
      <w:r>
        <w:rPr>
          <w:spacing w:val="45"/>
        </w:rPr>
        <w:t> </w:t>
      </w:r>
      <w:r>
        <w:rPr/>
        <w:t>deficiencies</w:t>
      </w:r>
      <w:r>
        <w:rPr>
          <w:spacing w:val="45"/>
        </w:rPr>
        <w:t> </w:t>
      </w:r>
      <w:r>
        <w:rPr/>
        <w:t>in</w:t>
      </w:r>
      <w:r>
        <w:rPr>
          <w:spacing w:val="45"/>
        </w:rPr>
        <w:t> </w:t>
      </w:r>
      <w:r>
        <w:rPr/>
        <w:t>these</w:t>
      </w:r>
      <w:r>
        <w:rPr>
          <w:spacing w:val="45"/>
        </w:rPr>
        <w:t> </w:t>
      </w:r>
      <w:r>
        <w:rPr/>
        <w:t>contract</w:t>
      </w:r>
      <w:r>
        <w:rPr>
          <w:spacing w:val="45"/>
        </w:rPr>
        <w:t> </w:t>
      </w:r>
      <w:r>
        <w:rPr/>
        <w:t>works,</w:t>
      </w:r>
      <w:r>
        <w:rPr>
          <w:spacing w:val="45"/>
        </w:rPr>
        <w:t> </w:t>
      </w:r>
      <w:r>
        <w:rPr/>
        <w:t>the</w:t>
      </w:r>
      <w:r>
        <w:rPr>
          <w:spacing w:val="45"/>
        </w:rPr>
        <w:t> </w:t>
      </w:r>
      <w:r>
        <w:rPr/>
        <w:t>eventual</w:t>
      </w:r>
      <w:r>
        <w:rPr>
          <w:spacing w:val="45"/>
        </w:rPr>
        <w:t> </w:t>
      </w:r>
      <w:r>
        <w:rPr>
          <w:spacing w:val="-5"/>
        </w:rPr>
        <w:t>sum</w:t>
      </w:r>
    </w:p>
    <w:p>
      <w:pPr>
        <w:pStyle w:val="BodyText"/>
        <w:spacing w:before="114"/>
        <w:ind w:left="1245"/>
        <w:jc w:val="both"/>
        <w:rPr>
          <w:position w:val="-2"/>
        </w:rPr>
      </w:pPr>
      <w:r>
        <w:rPr/>
        <w:t>available … could not in any way be estimated as a fixed sum.” </w:t>
      </w:r>
      <w:hyperlink w:history="true" w:anchor="_bookmark2013">
        <w:r>
          <w:rPr>
            <w:color w:val="005DA1"/>
            <w:u w:val="single" w:color="005DA1"/>
            <w:vertAlign w:val="superscript"/>
          </w:rPr>
          <w:t>1049</w:t>
        </w:r>
        <w:r>
          <w:rPr>
            <w:color w:val="005DA1"/>
            <w:spacing w:val="80"/>
            <w:w w:val="150"/>
            <w:vertAlign w:val="baseline"/>
          </w:rPr>
          <w:t> </w:t>
        </w:r>
        <w:r>
          <w:rPr>
            <w:color w:val="005DA1"/>
            <w:position w:val="-2"/>
            <w:vertAlign w:val="baseline"/>
          </w:rPr>
          <w:drawing>
            <wp:inline distT="0" distB="0" distL="0" distR="0">
              <wp:extent cx="107988" cy="107988"/>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rPr>
          <w:sz w:val="18"/>
        </w:rPr>
      </w:pPr>
    </w:p>
    <w:p>
      <w:pPr>
        <w:pStyle w:val="BodyText"/>
        <w:rPr>
          <w:sz w:val="18"/>
        </w:rPr>
      </w:pPr>
    </w:p>
    <w:p>
      <w:pPr>
        <w:pStyle w:val="BodyText"/>
        <w:spacing w:before="16"/>
        <w:rPr>
          <w:sz w:val="18"/>
        </w:rPr>
      </w:pPr>
    </w:p>
    <w:p>
      <w:pPr>
        <w:spacing w:before="1"/>
        <w:ind w:left="165" w:right="0" w:firstLine="0"/>
        <w:jc w:val="left"/>
        <w:rPr>
          <w:rFonts w:ascii="Arial"/>
          <w:b/>
          <w:sz w:val="18"/>
        </w:rPr>
      </w:pPr>
      <w:r>
        <w:rPr>
          <w:rFonts w:ascii="Arial"/>
          <w:b/>
          <w:sz w:val="18"/>
        </w:rPr>
        <w:t>Minimum payment </w:t>
      </w:r>
      <w:r>
        <w:rPr>
          <w:rFonts w:ascii="Arial"/>
          <w:b/>
          <w:spacing w:val="-2"/>
          <w:sz w:val="18"/>
        </w:rPr>
        <w:t>clause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188</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bookmarkStart w:name="_bookmark1949" w:id="1951"/>
      <w:bookmarkEnd w:id="1951"/>
      <w:r>
        <w:rPr>
          <w:rFonts w:ascii="Times New Roman" w:hAnsi="Times New Roman"/>
          <w:spacing w:val="15"/>
        </w:rPr>
      </w:r>
      <w:r>
        <w:rPr/>
        <w:t>A</w:t>
      </w:r>
      <w:r>
        <w:rPr>
          <w:spacing w:val="10"/>
        </w:rPr>
        <w:t> </w:t>
      </w:r>
      <w:r>
        <w:rPr/>
        <w:t>“minimum</w:t>
      </w:r>
      <w:r>
        <w:rPr>
          <w:spacing w:val="10"/>
        </w:rPr>
        <w:t> </w:t>
      </w:r>
      <w:r>
        <w:rPr/>
        <w:t>payment”</w:t>
      </w:r>
      <w:r>
        <w:rPr>
          <w:spacing w:val="10"/>
        </w:rPr>
        <w:t> </w:t>
      </w:r>
      <w:r>
        <w:rPr/>
        <w:t>clause</w:t>
      </w:r>
      <w:r>
        <w:rPr>
          <w:spacing w:val="10"/>
        </w:rPr>
        <w:t> </w:t>
      </w:r>
      <w:r>
        <w:rPr/>
        <w:t>in</w:t>
      </w:r>
      <w:r>
        <w:rPr>
          <w:spacing w:val="10"/>
        </w:rPr>
        <w:t> </w:t>
      </w:r>
      <w:r>
        <w:rPr/>
        <w:t>a</w:t>
      </w:r>
      <w:r>
        <w:rPr>
          <w:spacing w:val="10"/>
        </w:rPr>
        <w:t> </w:t>
      </w:r>
      <w:r>
        <w:rPr/>
        <w:t>hire-purchase</w:t>
      </w:r>
      <w:r>
        <w:rPr>
          <w:spacing w:val="10"/>
        </w:rPr>
        <w:t> </w:t>
      </w:r>
      <w:r>
        <w:rPr/>
        <w:t>or</w:t>
      </w:r>
      <w:r>
        <w:rPr>
          <w:spacing w:val="10"/>
        </w:rPr>
        <w:t> </w:t>
      </w:r>
      <w:r>
        <w:rPr/>
        <w:t>hiring</w:t>
      </w:r>
      <w:r>
        <w:rPr>
          <w:spacing w:val="10"/>
        </w:rPr>
        <w:t> </w:t>
      </w:r>
      <w:r>
        <w:rPr/>
        <w:t>agreement</w:t>
      </w:r>
      <w:r>
        <w:rPr>
          <w:spacing w:val="10"/>
        </w:rPr>
        <w:t> </w:t>
      </w:r>
      <w:r>
        <w:rPr/>
        <w:t>that</w:t>
      </w:r>
      <w:r>
        <w:rPr>
          <w:spacing w:val="10"/>
        </w:rPr>
        <w:t> </w:t>
      </w:r>
      <w:r>
        <w:rPr/>
        <w:t>applies</w:t>
      </w:r>
      <w:r>
        <w:rPr>
          <w:spacing w:val="10"/>
        </w:rPr>
        <w:t> </w:t>
      </w:r>
      <w:r>
        <w:rPr/>
        <w:t>when</w:t>
      </w:r>
      <w:r>
        <w:rPr>
          <w:spacing w:val="10"/>
        </w:rPr>
        <w:t> </w:t>
      </w:r>
      <w:r>
        <w:rPr/>
        <w:t>the</w:t>
      </w:r>
      <w:r>
        <w:rPr>
          <w:spacing w:val="10"/>
        </w:rPr>
        <w:t> </w:t>
      </w:r>
      <w:r>
        <w:rPr/>
        <w:t>hirer</w:t>
      </w:r>
      <w:r>
        <w:rPr>
          <w:spacing w:val="10"/>
        </w:rPr>
        <w:t> </w:t>
      </w:r>
      <w:r>
        <w:rPr/>
        <w:t>is</w:t>
      </w:r>
    </w:p>
    <w:p>
      <w:pPr>
        <w:pStyle w:val="BodyText"/>
        <w:spacing w:after="0"/>
        <w:sectPr>
          <w:pgSz w:w="11900" w:h="16840"/>
          <w:pgMar w:header="971" w:footer="0" w:top="1300" w:bottom="280" w:left="1275" w:right="1275"/>
        </w:sectPr>
      </w:pPr>
    </w:p>
    <w:p>
      <w:pPr>
        <w:pStyle w:val="BodyText"/>
        <w:spacing w:line="360" w:lineRule="auto" w:before="226"/>
        <w:ind w:left="165"/>
        <w:rPr>
          <w:position w:val="-2"/>
        </w:rPr>
      </w:pPr>
      <w:r>
        <w:rPr>
          <w:position w:val="-2"/>
        </w:rPr>
        <w:drawing>
          <wp:inline distT="0" distB="0" distL="0" distR="0">
            <wp:extent cx="107988" cy="107988"/>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1950" w:id="1952"/>
      <w:bookmarkEnd w:id="1952"/>
      <w:r>
        <w:rPr>
          <w:rFonts w:ascii="Times New Roman"/>
          <w:spacing w:val="23"/>
        </w:rPr>
      </w:r>
      <w:r>
        <w:rPr/>
        <w:t>will</w:t>
      </w:r>
      <w:r>
        <w:rPr>
          <w:spacing w:val="15"/>
        </w:rPr>
        <w:t> </w:t>
      </w:r>
      <w:r>
        <w:rPr/>
        <w:t>usually</w:t>
      </w:r>
      <w:r>
        <w:rPr>
          <w:spacing w:val="15"/>
        </w:rPr>
        <w:t> </w:t>
      </w:r>
      <w:r>
        <w:rPr/>
        <w:t>be</w:t>
      </w:r>
      <w:r>
        <w:rPr>
          <w:spacing w:val="15"/>
        </w:rPr>
        <w:t> </w:t>
      </w:r>
      <w:r>
        <w:rPr/>
        <w:t>held</w:t>
      </w:r>
      <w:r>
        <w:rPr>
          <w:spacing w:val="15"/>
        </w:rPr>
        <w:t> </w:t>
      </w:r>
      <w:r>
        <w:rPr/>
        <w:t>to</w:t>
      </w:r>
      <w:r>
        <w:rPr>
          <w:spacing w:val="15"/>
        </w:rPr>
        <w:t> </w:t>
      </w:r>
      <w:r>
        <w:rPr/>
        <w:t>fail</w:t>
      </w:r>
      <w:r>
        <w:rPr>
          <w:spacing w:val="15"/>
        </w:rPr>
        <w:t> </w:t>
      </w:r>
      <w:r>
        <w:rPr/>
        <w:t>the</w:t>
      </w:r>
      <w:r>
        <w:rPr>
          <w:spacing w:val="15"/>
        </w:rPr>
        <w:t> </w:t>
      </w:r>
      <w:r>
        <w:rPr/>
        <w:t>genuine</w:t>
      </w:r>
      <w:r>
        <w:rPr>
          <w:spacing w:val="15"/>
        </w:rPr>
        <w:t> </w:t>
      </w:r>
      <w:r>
        <w:rPr/>
        <w:t>preestimate</w:t>
      </w:r>
      <w:r>
        <w:rPr>
          <w:spacing w:val="15"/>
        </w:rPr>
        <w:t> </w:t>
      </w:r>
      <w:r>
        <w:rPr/>
        <w:t>test</w:t>
      </w:r>
      <w:r>
        <w:rPr>
          <w:spacing w:val="15"/>
        </w:rPr>
        <w:t> </w:t>
      </w:r>
      <w:r>
        <w:rPr/>
        <w:t>if</w:t>
      </w:r>
      <w:r>
        <w:rPr>
          <w:spacing w:val="15"/>
        </w:rPr>
        <w:t> </w:t>
      </w:r>
      <w:r>
        <w:rPr/>
        <w:t>it</w:t>
      </w:r>
      <w:r>
        <w:rPr>
          <w:spacing w:val="15"/>
        </w:rPr>
        <w:t> </w:t>
      </w:r>
      <w:r>
        <w:rPr/>
        <w:t>provides</w:t>
      </w:r>
      <w:r>
        <w:rPr>
          <w:spacing w:val="15"/>
        </w:rPr>
        <w:t> </w:t>
      </w:r>
      <w:r>
        <w:rPr/>
        <w:t>for</w:t>
      </w:r>
      <w:r>
        <w:rPr>
          <w:spacing w:val="15"/>
        </w:rPr>
        <w:t> </w:t>
      </w:r>
      <w:r>
        <w:rPr/>
        <w:t>the</w:t>
      </w:r>
      <w:r>
        <w:rPr>
          <w:spacing w:val="15"/>
        </w:rPr>
        <w:t> </w:t>
      </w:r>
      <w:r>
        <w:rPr/>
        <w:t>same</w:t>
      </w:r>
      <w:r>
        <w:rPr>
          <w:spacing w:val="15"/>
        </w:rPr>
        <w:t> </w:t>
      </w:r>
      <w:r>
        <w:rPr/>
        <w:t>total</w:t>
      </w:r>
      <w:r>
        <w:rPr>
          <w:spacing w:val="15"/>
        </w:rPr>
        <w:t> </w:t>
      </w:r>
      <w:r>
        <w:rPr/>
        <w:t>sum</w:t>
      </w:r>
      <w:r>
        <w:rPr>
          <w:spacing w:val="15"/>
        </w:rPr>
        <w:t> </w:t>
      </w:r>
      <w:r>
        <w:rPr/>
        <w:t>to</w:t>
      </w:r>
      <w:r>
        <w:rPr>
          <w:spacing w:val="15"/>
        </w:rPr>
        <w:t> </w:t>
      </w:r>
      <w:r>
        <w:rPr/>
        <w:t>be payable by the hirer irrespective of how long the agreement has been in force. </w:t>
      </w:r>
      <w:hyperlink w:history="true" w:anchor="_bookmark2015">
        <w:r>
          <w:rPr>
            <w:color w:val="005DA1"/>
            <w:u w:val="single" w:color="005DA1"/>
            <w:vertAlign w:val="superscript"/>
          </w:rPr>
          <w:t>1051</w:t>
        </w:r>
        <w:r>
          <w:rPr>
            <w:color w:val="005DA1"/>
            <w:spacing w:val="80"/>
            <w:vertAlign w:val="baseline"/>
          </w:rPr>
          <w:t> </w:t>
        </w:r>
        <w:r>
          <w:rPr>
            <w:color w:val="005DA1"/>
            <w:position w:val="-2"/>
            <w:vertAlign w:val="baseline"/>
          </w:rPr>
          <w:drawing>
            <wp:inline distT="0" distB="0" distL="0" distR="0">
              <wp:extent cx="107988" cy="107988"/>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6"/>
        <w:rPr>
          <w:sz w:val="18"/>
        </w:rPr>
      </w:pPr>
    </w:p>
    <w:p>
      <w:pPr>
        <w:spacing w:before="0"/>
        <w:ind w:left="165" w:right="0" w:firstLine="0"/>
        <w:jc w:val="left"/>
        <w:rPr>
          <w:rFonts w:ascii="Arial"/>
          <w:b/>
          <w:sz w:val="18"/>
        </w:rPr>
      </w:pPr>
      <w:r>
        <w:rPr>
          <w:rFonts w:ascii="Arial"/>
          <w:b/>
          <w:sz w:val="18"/>
        </w:rPr>
        <w:t>Single sum payable upon different </w:t>
      </w:r>
      <w:r>
        <w:rPr>
          <w:rFonts w:ascii="Arial"/>
          <w:b/>
          <w:spacing w:val="-2"/>
          <w:sz w:val="18"/>
        </w:rPr>
        <w:t>breaches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189</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1951" w:id="1953"/>
      <w:bookmarkEnd w:id="1953"/>
      <w:r>
        <w:rPr>
          <w:rFonts w:ascii="Times New Roman"/>
          <w:spacing w:val="17"/>
        </w:rPr>
      </w:r>
      <w:r>
        <w:rPr/>
        <w:t>The</w:t>
      </w:r>
      <w:r>
        <w:rPr>
          <w:spacing w:val="13"/>
        </w:rPr>
        <w:t> </w:t>
      </w:r>
      <w:r>
        <w:rPr/>
        <w:t>mere</w:t>
      </w:r>
      <w:r>
        <w:rPr>
          <w:spacing w:val="13"/>
        </w:rPr>
        <w:t> </w:t>
      </w:r>
      <w:r>
        <w:rPr/>
        <w:t>fact</w:t>
      </w:r>
      <w:r>
        <w:rPr>
          <w:spacing w:val="13"/>
        </w:rPr>
        <w:t> </w:t>
      </w:r>
      <w:r>
        <w:rPr/>
        <w:t>that</w:t>
      </w:r>
      <w:r>
        <w:rPr>
          <w:spacing w:val="13"/>
        </w:rPr>
        <w:t> </w:t>
      </w:r>
      <w:r>
        <w:rPr/>
        <w:t>the</w:t>
      </w:r>
      <w:r>
        <w:rPr>
          <w:spacing w:val="13"/>
        </w:rPr>
        <w:t> </w:t>
      </w:r>
      <w:r>
        <w:rPr/>
        <w:t>same</w:t>
      </w:r>
      <w:r>
        <w:rPr>
          <w:spacing w:val="13"/>
        </w:rPr>
        <w:t> </w:t>
      </w:r>
      <w:r>
        <w:rPr/>
        <w:t>amount</w:t>
      </w:r>
      <w:r>
        <w:rPr>
          <w:spacing w:val="13"/>
        </w:rPr>
        <w:t> </w:t>
      </w:r>
      <w:r>
        <w:rPr/>
        <w:t>is</w:t>
      </w:r>
      <w:r>
        <w:rPr>
          <w:spacing w:val="13"/>
        </w:rPr>
        <w:t> </w:t>
      </w:r>
      <w:r>
        <w:rPr/>
        <w:t>made</w:t>
      </w:r>
      <w:r>
        <w:rPr>
          <w:spacing w:val="13"/>
        </w:rPr>
        <w:t> </w:t>
      </w:r>
      <w:r>
        <w:rPr/>
        <w:t>payable</w:t>
      </w:r>
      <w:r>
        <w:rPr>
          <w:spacing w:val="13"/>
        </w:rPr>
        <w:t> </w:t>
      </w:r>
      <w:r>
        <w:rPr/>
        <w:t>upon</w:t>
      </w:r>
      <w:r>
        <w:rPr>
          <w:spacing w:val="13"/>
        </w:rPr>
        <w:t> </w:t>
      </w:r>
      <w:r>
        <w:rPr/>
        <w:t>the</w:t>
      </w:r>
      <w:r>
        <w:rPr>
          <w:spacing w:val="13"/>
        </w:rPr>
        <w:t> </w:t>
      </w:r>
      <w:r>
        <w:rPr/>
        <w:t>breach</w:t>
      </w:r>
      <w:r>
        <w:rPr>
          <w:spacing w:val="13"/>
        </w:rPr>
        <w:t> </w:t>
      </w:r>
      <w:r>
        <w:rPr/>
        <w:t>of</w:t>
      </w:r>
      <w:r>
        <w:rPr>
          <w:spacing w:val="13"/>
        </w:rPr>
        <w:t> </w:t>
      </w:r>
      <w:r>
        <w:rPr/>
        <w:t>several</w:t>
      </w:r>
      <w:r>
        <w:rPr>
          <w:spacing w:val="13"/>
        </w:rPr>
        <w:t> </w:t>
      </w:r>
      <w:r>
        <w:rPr/>
        <w:t>undertakings</w:t>
      </w:r>
      <w:r>
        <w:rPr>
          <w:spacing w:val="13"/>
        </w:rPr>
        <w:t> </w:t>
      </w:r>
      <w:r>
        <w:rPr/>
        <w:t>of</w:t>
      </w:r>
    </w:p>
    <w:p>
      <w:pPr>
        <w:pStyle w:val="BodyText"/>
        <w:spacing w:line="235" w:lineRule="auto" w:before="119"/>
        <w:ind w:left="165" w:right="167"/>
        <w:jc w:val="both"/>
      </w:pPr>
      <w:r>
        <w:rPr/>
        <w:t>varying importance is by no means conclusive. </w:t>
      </w:r>
      <w:hyperlink w:history="true" w:anchor="_bookmark2016">
        <w:r>
          <w:rPr>
            <w:color w:val="005DA1"/>
            <w:u w:val="single" w:color="005DA1"/>
            <w:vertAlign w:val="superscript"/>
          </w:rPr>
          <w:t>1052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
            <w:vertAlign w:val="baseline"/>
          </w:rPr>
          <w:t> </w:t>
        </w:r>
        <w:r>
          <w:rPr>
            <w:vertAlign w:val="baseline"/>
          </w:rPr>
          <w:t>It may be that the amount is not </w:t>
        </w:r>
        <w:bookmarkStart w:name="_bookmark1952" w:id="1954"/>
        <w:bookmarkEnd w:id="1954"/>
        <w:r>
          <w:rPr>
            <w:vertAlign w:val="baseline"/>
          </w:rPr>
          <w:t>disproportionate</w:t>
        </w:r>
        <w:r>
          <w:rPr>
            <w:spacing w:val="35"/>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least</w:t>
        </w:r>
        <w:r>
          <w:rPr>
            <w:spacing w:val="37"/>
            <w:vertAlign w:val="baseline"/>
          </w:rPr>
          <w:t> </w:t>
        </w:r>
        <w:r>
          <w:rPr>
            <w:vertAlign w:val="baseline"/>
          </w:rPr>
          <w:t>important</w:t>
        </w:r>
        <w:r>
          <w:rPr>
            <w:spacing w:val="37"/>
            <w:vertAlign w:val="baseline"/>
          </w:rPr>
          <w:t> </w:t>
        </w:r>
        <w:r>
          <w:rPr>
            <w:vertAlign w:val="baseline"/>
          </w:rPr>
          <w:t>of</w:t>
        </w:r>
        <w:r>
          <w:rPr>
            <w:spacing w:val="37"/>
            <w:vertAlign w:val="baseline"/>
          </w:rPr>
          <w:t> </w:t>
        </w:r>
        <w:r>
          <w:rPr>
            <w:vertAlign w:val="baseline"/>
          </w:rPr>
          <w:t>these</w:t>
        </w:r>
        <w:r>
          <w:rPr>
            <w:spacing w:val="37"/>
            <w:vertAlign w:val="baseline"/>
          </w:rPr>
          <w:t> </w:t>
        </w:r>
        <w:r>
          <w:rPr>
            <w:vertAlign w:val="baseline"/>
          </w:rPr>
          <w:t>undertakings,</w:t>
        </w:r>
        <w:r>
          <w:rPr>
            <w:spacing w:val="37"/>
            <w:vertAlign w:val="baseline"/>
          </w:rPr>
          <w:t> </w:t>
        </w:r>
        <w:r>
          <w:rPr>
            <w:vertAlign w:val="baseline"/>
          </w:rPr>
          <w:t>and</w:t>
        </w:r>
        <w:r>
          <w:rPr>
            <w:spacing w:val="37"/>
            <w:vertAlign w:val="baseline"/>
          </w:rPr>
          <w:t> </w:t>
        </w:r>
        <w:r>
          <w:rPr>
            <w:vertAlign w:val="baseline"/>
          </w:rPr>
          <w:t>therefore</w:t>
        </w:r>
        <w:r>
          <w:rPr>
            <w:spacing w:val="37"/>
            <w:vertAlign w:val="baseline"/>
          </w:rPr>
          <w:t> </w:t>
        </w:r>
        <w:r>
          <w:rPr>
            <w:vertAlign w:val="baseline"/>
          </w:rPr>
          <w:t>represents</w:t>
        </w:r>
        <w:r>
          <w:rPr>
            <w:spacing w:val="37"/>
            <w:vertAlign w:val="baseline"/>
          </w:rPr>
          <w:t> </w:t>
        </w:r>
        <w:r>
          <w:rPr>
            <w:vertAlign w:val="baseline"/>
          </w:rPr>
          <w:t>a</w:t>
        </w:r>
        <w:r>
          <w:rPr>
            <w:spacing w:val="37"/>
            <w:vertAlign w:val="baseline"/>
          </w:rPr>
          <w:t> </w:t>
        </w:r>
        <w:r>
          <w:rPr>
            <w:spacing w:val="-2"/>
            <w:vertAlign w:val="baseline"/>
          </w:rPr>
          <w:t>genuine</w:t>
        </w:r>
      </w:hyperlink>
    </w:p>
    <w:p>
      <w:pPr>
        <w:pStyle w:val="BodyText"/>
        <w:spacing w:line="235" w:lineRule="auto" w:before="119"/>
        <w:ind w:left="164" w:right="167"/>
        <w:jc w:val="both"/>
      </w:pPr>
      <w:r>
        <w:rPr/>
        <w:t>attempt at an agreed estimate of real damage </w:t>
      </w:r>
      <w:hyperlink w:history="true" w:anchor="_bookmark2017">
        <w:r>
          <w:rPr>
            <w:color w:val="005DA1"/>
            <w:u w:val="single" w:color="005DA1"/>
            <w:vertAlign w:val="superscript"/>
          </w:rPr>
          <w:t>1053</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vertAlign w:val="baseline"/>
          </w:rPr>
          <w:t>; or, if the loss is hard to assess, the test </w:t>
        </w:r>
        <w:bookmarkStart w:name="_bookmark1953" w:id="1955"/>
        <w:bookmarkEnd w:id="1955"/>
        <w:r>
          <w:rPr>
            <w:vertAlign w:val="baseline"/>
          </w:rPr>
          <w:t>seemed</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satisfied</w:t>
        </w:r>
        <w:r>
          <w:rPr>
            <w:spacing w:val="7"/>
            <w:vertAlign w:val="baseline"/>
          </w:rPr>
          <w:t> </w:t>
        </w:r>
        <w:r>
          <w:rPr>
            <w:vertAlign w:val="baseline"/>
          </w:rPr>
          <w:t>if</w:t>
        </w:r>
        <w:r>
          <w:rPr>
            <w:spacing w:val="7"/>
            <w:vertAlign w:val="baseline"/>
          </w:rPr>
          <w:t> </w:t>
        </w:r>
        <w:r>
          <w:rPr>
            <w:vertAlign w:val="baseline"/>
          </w:rPr>
          <w:t>a</w:t>
        </w:r>
        <w:r>
          <w:rPr>
            <w:spacing w:val="7"/>
            <w:vertAlign w:val="baseline"/>
          </w:rPr>
          <w:t> </w:t>
        </w:r>
        <w:r>
          <w:rPr>
            <w:vertAlign w:val="baseline"/>
          </w:rPr>
          <w:t>modest</w:t>
        </w:r>
        <w:r>
          <w:rPr>
            <w:spacing w:val="7"/>
            <w:vertAlign w:val="baseline"/>
          </w:rPr>
          <w:t> </w:t>
        </w:r>
        <w:r>
          <w:rPr>
            <w:vertAlign w:val="baseline"/>
          </w:rPr>
          <w:t>sum</w:t>
        </w:r>
        <w:r>
          <w:rPr>
            <w:spacing w:val="7"/>
            <w:vertAlign w:val="baseline"/>
          </w:rPr>
          <w:t> </w:t>
        </w:r>
        <w:r>
          <w:rPr>
            <w:vertAlign w:val="baseline"/>
          </w:rPr>
          <w:t>was</w:t>
        </w:r>
        <w:r>
          <w:rPr>
            <w:spacing w:val="7"/>
            <w:vertAlign w:val="baseline"/>
          </w:rPr>
          <w:t> </w:t>
        </w:r>
        <w:r>
          <w:rPr>
            <w:vertAlign w:val="baseline"/>
          </w:rPr>
          <w:t>used;</w:t>
        </w:r>
        <w:r>
          <w:rPr>
            <w:spacing w:val="7"/>
            <w:vertAlign w:val="baseline"/>
          </w:rPr>
          <w:t> </w:t>
        </w:r>
        <w:r>
          <w:rPr>
            <w:vertAlign w:val="baseline"/>
          </w:rPr>
          <w:t>but</w:t>
        </w:r>
        <w:r>
          <w:rPr>
            <w:spacing w:val="7"/>
            <w:vertAlign w:val="baseline"/>
          </w:rPr>
          <w:t> </w:t>
        </w:r>
        <w:r>
          <w:rPr>
            <w:vertAlign w:val="baseline"/>
          </w:rPr>
          <w:t>a</w:t>
        </w:r>
        <w:r>
          <w:rPr>
            <w:spacing w:val="7"/>
            <w:vertAlign w:val="baseline"/>
          </w:rPr>
          <w:t> </w:t>
        </w:r>
        <w:r>
          <w:rPr>
            <w:vertAlign w:val="baseline"/>
          </w:rPr>
          <w:t>clause</w:t>
        </w:r>
        <w:r>
          <w:rPr>
            <w:spacing w:val="7"/>
            <w:vertAlign w:val="baseline"/>
          </w:rPr>
          <w:t> </w:t>
        </w:r>
        <w:r>
          <w:rPr>
            <w:vertAlign w:val="baseline"/>
          </w:rPr>
          <w:t>setting</w:t>
        </w:r>
        <w:r>
          <w:rPr>
            <w:spacing w:val="7"/>
            <w:vertAlign w:val="baseline"/>
          </w:rPr>
          <w:t> </w:t>
        </w:r>
        <w:r>
          <w:rPr>
            <w:vertAlign w:val="baseline"/>
          </w:rPr>
          <w:t>a</w:t>
        </w:r>
        <w:r>
          <w:rPr>
            <w:spacing w:val="7"/>
            <w:vertAlign w:val="baseline"/>
          </w:rPr>
          <w:t> </w:t>
        </w:r>
        <w:r>
          <w:rPr>
            <w:vertAlign w:val="baseline"/>
          </w:rPr>
          <w:t>very</w:t>
        </w:r>
        <w:r>
          <w:rPr>
            <w:spacing w:val="7"/>
            <w:vertAlign w:val="baseline"/>
          </w:rPr>
          <w:t> </w:t>
        </w:r>
        <w:r>
          <w:rPr>
            <w:vertAlign w:val="baseline"/>
          </w:rPr>
          <w:t>high</w:t>
        </w:r>
        <w:r>
          <w:rPr>
            <w:spacing w:val="7"/>
            <w:vertAlign w:val="baseline"/>
          </w:rPr>
          <w:t> </w:t>
        </w:r>
        <w:r>
          <w:rPr>
            <w:vertAlign w:val="baseline"/>
          </w:rPr>
          <w:t>amount</w:t>
        </w:r>
        <w:r>
          <w:rPr>
            <w:spacing w:val="7"/>
            <w:vertAlign w:val="baseline"/>
          </w:rPr>
          <w:t> </w:t>
        </w:r>
        <w:r>
          <w:rPr>
            <w:vertAlign w:val="baseline"/>
          </w:rPr>
          <w:t>would</w:t>
        </w:r>
        <w:r>
          <w:rPr>
            <w:spacing w:val="7"/>
            <w:vertAlign w:val="baseline"/>
          </w:rPr>
          <w:t> </w:t>
        </w:r>
        <w:r>
          <w:rPr>
            <w:spacing w:val="-5"/>
            <w:vertAlign w:val="baseline"/>
          </w:rPr>
          <w:t>not</w:t>
        </w:r>
      </w:hyperlink>
    </w:p>
    <w:p>
      <w:pPr>
        <w:pStyle w:val="BodyText"/>
        <w:spacing w:line="235" w:lineRule="auto" w:before="119"/>
        <w:ind w:left="165" w:right="167"/>
        <w:jc w:val="both"/>
      </w:pPr>
      <w:r>
        <w:rPr/>
        <w:t>pass muster. Thus in </w:t>
      </w:r>
      <w:r>
        <w:rPr>
          <w:rFonts w:ascii="Arial" w:hAnsi="Arial"/>
          <w:i/>
        </w:rPr>
        <w:t>Dunlop Pneumatic Tyre Co Ltd v New Garage &amp; Motor Co Ltd</w:t>
      </w:r>
      <w:r>
        <w:rPr/>
        <w:t>, </w:t>
      </w:r>
      <w:hyperlink w:history="true" w:anchor="_bookmark2018">
        <w:r>
          <w:rPr>
            <w:color w:val="005DA1"/>
            <w:u w:val="single" w:color="005DA1"/>
            <w:vertAlign w:val="superscript"/>
          </w:rPr>
          <w:t>1054</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the dealers had agreed not to resell any tyres bought from the manufacturers to any private customers at less than the manufacturers’ current list prices, not to supply them to persons whose supplies the manufacturers had decided to suspend, not to exhibit or export them without the manufacturers’ consent, and to pay £5 by way of liquidated damages for every tyre sold or offered in breach of the </w:t>
        </w:r>
        <w:bookmarkStart w:name="_bookmark1954" w:id="1956"/>
        <w:bookmarkEnd w:id="1956"/>
        <w:r>
          <w:rPr>
            <w:vertAlign w:val="baseline"/>
          </w:rPr>
          <w:t>agreement.</w:t>
        </w:r>
        <w:r>
          <w:rPr>
            <w:spacing w:val="53"/>
            <w:vertAlign w:val="baseline"/>
          </w:rPr>
          <w:t> </w:t>
        </w:r>
        <w:r>
          <w:rPr>
            <w:vertAlign w:val="baseline"/>
          </w:rPr>
          <w:t>It</w:t>
        </w:r>
        <w:r>
          <w:rPr>
            <w:spacing w:val="53"/>
            <w:vertAlign w:val="baseline"/>
          </w:rPr>
          <w:t> </w:t>
        </w:r>
        <w:r>
          <w:rPr>
            <w:vertAlign w:val="baseline"/>
          </w:rPr>
          <w:t>was</w:t>
        </w:r>
        <w:r>
          <w:rPr>
            <w:spacing w:val="53"/>
            <w:vertAlign w:val="baseline"/>
          </w:rPr>
          <w:t> </w:t>
        </w:r>
        <w:r>
          <w:rPr>
            <w:vertAlign w:val="baseline"/>
          </w:rPr>
          <w:t>held</w:t>
        </w:r>
        <w:r>
          <w:rPr>
            <w:spacing w:val="53"/>
            <w:vertAlign w:val="baseline"/>
          </w:rPr>
          <w:t> </w:t>
        </w:r>
        <w:r>
          <w:rPr>
            <w:vertAlign w:val="baseline"/>
          </w:rPr>
          <w:t>that</w:t>
        </w:r>
        <w:r>
          <w:rPr>
            <w:spacing w:val="53"/>
            <w:vertAlign w:val="baseline"/>
          </w:rPr>
          <w:t> </w:t>
        </w:r>
        <w:r>
          <w:rPr>
            <w:vertAlign w:val="baseline"/>
          </w:rPr>
          <w:t>the</w:t>
        </w:r>
        <w:r>
          <w:rPr>
            <w:spacing w:val="53"/>
            <w:vertAlign w:val="baseline"/>
          </w:rPr>
          <w:t> </w:t>
        </w:r>
        <w:r>
          <w:rPr>
            <w:vertAlign w:val="baseline"/>
          </w:rPr>
          <w:t>£5</w:t>
        </w:r>
        <w:r>
          <w:rPr>
            <w:spacing w:val="53"/>
            <w:vertAlign w:val="baseline"/>
          </w:rPr>
          <w:t> </w:t>
        </w:r>
        <w:r>
          <w:rPr>
            <w:vertAlign w:val="baseline"/>
          </w:rPr>
          <w:t>was</w:t>
        </w:r>
        <w:r>
          <w:rPr>
            <w:spacing w:val="53"/>
            <w:vertAlign w:val="baseline"/>
          </w:rPr>
          <w:t> </w:t>
        </w:r>
        <w:r>
          <w:rPr>
            <w:vertAlign w:val="baseline"/>
          </w:rPr>
          <w:t>not</w:t>
        </w:r>
        <w:r>
          <w:rPr>
            <w:spacing w:val="53"/>
            <w:vertAlign w:val="baseline"/>
          </w:rPr>
          <w:t> </w:t>
        </w:r>
        <w:r>
          <w:rPr>
            <w:vertAlign w:val="baseline"/>
          </w:rPr>
          <w:t>a</w:t>
        </w:r>
        <w:r>
          <w:rPr>
            <w:spacing w:val="53"/>
            <w:vertAlign w:val="baseline"/>
          </w:rPr>
          <w:t> </w:t>
        </w:r>
        <w:r>
          <w:rPr>
            <w:vertAlign w:val="baseline"/>
          </w:rPr>
          <w:t>penalty</w:t>
        </w:r>
        <w:r>
          <w:rPr>
            <w:spacing w:val="53"/>
            <w:vertAlign w:val="baseline"/>
          </w:rPr>
          <w:t> </w:t>
        </w:r>
        <w:r>
          <w:rPr>
            <w:vertAlign w:val="baseline"/>
          </w:rPr>
          <w:t>and</w:t>
        </w:r>
        <w:r>
          <w:rPr>
            <w:spacing w:val="53"/>
            <w:vertAlign w:val="baseline"/>
          </w:rPr>
          <w:t> </w:t>
        </w:r>
        <w:r>
          <w:rPr>
            <w:vertAlign w:val="baseline"/>
          </w:rPr>
          <w:t>thus</w:t>
        </w:r>
        <w:r>
          <w:rPr>
            <w:spacing w:val="53"/>
            <w:vertAlign w:val="baseline"/>
          </w:rPr>
          <w:t> </w:t>
        </w:r>
        <w:r>
          <w:rPr>
            <w:vertAlign w:val="baseline"/>
          </w:rPr>
          <w:t>was</w:t>
        </w:r>
        <w:r>
          <w:rPr>
            <w:spacing w:val="53"/>
            <w:vertAlign w:val="baseline"/>
          </w:rPr>
          <w:t> </w:t>
        </w:r>
        <w:r>
          <w:rPr>
            <w:vertAlign w:val="baseline"/>
          </w:rPr>
          <w:t>recoverable</w:t>
        </w:r>
        <w:r>
          <w:rPr>
            <w:spacing w:val="53"/>
            <w:vertAlign w:val="baseline"/>
          </w:rPr>
          <w:t> </w:t>
        </w:r>
        <w:r>
          <w:rPr>
            <w:vertAlign w:val="baseline"/>
          </w:rPr>
          <w:t>as</w:t>
        </w:r>
        <w:r>
          <w:rPr>
            <w:spacing w:val="53"/>
            <w:vertAlign w:val="baseline"/>
          </w:rPr>
          <w:t> </w:t>
        </w:r>
        <w:r>
          <w:rPr>
            <w:spacing w:val="-2"/>
            <w:vertAlign w:val="baseline"/>
          </w:rPr>
          <w:t>liquidated</w:t>
        </w:r>
      </w:hyperlink>
    </w:p>
    <w:p>
      <w:pPr>
        <w:pStyle w:val="BodyText"/>
        <w:spacing w:before="114"/>
        <w:ind w:left="165"/>
        <w:jc w:val="both"/>
      </w:pPr>
      <w:r>
        <w:rPr/>
        <w:t>damages.</w:t>
      </w:r>
      <w:r>
        <w:rPr>
          <w:spacing w:val="-3"/>
        </w:rPr>
        <w:t> </w:t>
      </w:r>
      <w:hyperlink w:history="true" w:anchor="_bookmark2019">
        <w:r>
          <w:rPr>
            <w:color w:val="005DA1"/>
            <w:u w:val="single" w:color="005DA1"/>
            <w:vertAlign w:val="superscript"/>
          </w:rPr>
          <w:t>1055</w:t>
        </w:r>
        <w:r>
          <w:rPr>
            <w:color w:val="005DA1"/>
            <w:spacing w:val="78"/>
            <w:w w:val="150"/>
            <w:vertAlign w:val="baseline"/>
          </w:rPr>
          <w:t> </w:t>
        </w:r>
        <w:r>
          <w:rPr>
            <w:color w:val="005DA1"/>
            <w:position w:val="-2"/>
            <w:vertAlign w:val="baseline"/>
          </w:rPr>
          <w:drawing>
            <wp:inline distT="0" distB="0" distL="0" distR="0">
              <wp:extent cx="107988" cy="107988"/>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seems</w:t>
        </w:r>
        <w:r>
          <w:rPr>
            <w:spacing w:val="-1"/>
            <w:vertAlign w:val="baseline"/>
          </w:rPr>
          <w:t> </w:t>
        </w:r>
        <w:r>
          <w:rPr>
            <w:vertAlign w:val="baseline"/>
          </w:rPr>
          <w:t>to</w:t>
        </w:r>
        <w:r>
          <w:rPr>
            <w:spacing w:val="-2"/>
            <w:vertAlign w:val="baseline"/>
          </w:rPr>
          <w:t> </w:t>
        </w:r>
        <w:r>
          <w:rPr>
            <w:vertAlign w:val="baseline"/>
          </w:rPr>
          <w:t>fall</w:t>
        </w:r>
        <w:r>
          <w:rPr>
            <w:spacing w:val="-2"/>
            <w:vertAlign w:val="baseline"/>
          </w:rPr>
          <w:t> </w:t>
        </w:r>
        <w:r>
          <w:rPr>
            <w:vertAlign w:val="baseline"/>
          </w:rPr>
          <w:t>within</w:t>
        </w:r>
        <w:r>
          <w:rPr>
            <w:spacing w:val="-1"/>
            <w:vertAlign w:val="baseline"/>
          </w:rPr>
          <w:t> </w:t>
        </w:r>
        <w:r>
          <w:rPr>
            <w:vertAlign w:val="baseline"/>
          </w:rPr>
          <w:t>Lord</w:t>
        </w:r>
        <w:r>
          <w:rPr>
            <w:spacing w:val="-2"/>
            <w:vertAlign w:val="baseline"/>
          </w:rPr>
          <w:t> </w:t>
        </w:r>
        <w:r>
          <w:rPr>
            <w:vertAlign w:val="baseline"/>
          </w:rPr>
          <w:t>Dunedin’s</w:t>
        </w:r>
        <w:r>
          <w:rPr>
            <w:spacing w:val="-2"/>
            <w:vertAlign w:val="baseline"/>
          </w:rPr>
          <w:t> </w:t>
        </w:r>
        <w:r>
          <w:rPr>
            <w:vertAlign w:val="baseline"/>
          </w:rPr>
          <w:t>last</w:t>
        </w:r>
        <w:r>
          <w:rPr>
            <w:spacing w:val="-1"/>
            <w:vertAlign w:val="baseline"/>
          </w:rPr>
          <w:t> </w:t>
        </w:r>
        <w:r>
          <w:rPr>
            <w:spacing w:val="-2"/>
            <w:vertAlign w:val="baseline"/>
          </w:rPr>
          <w:t>proposition:</w:t>
        </w:r>
      </w:hyperlink>
    </w:p>
    <w:p>
      <w:pPr>
        <w:pStyle w:val="BodyText"/>
      </w:pPr>
    </w:p>
    <w:p>
      <w:pPr>
        <w:pStyle w:val="BodyText"/>
        <w:spacing w:before="126"/>
      </w:pPr>
    </w:p>
    <w:p>
      <w:pPr>
        <w:pStyle w:val="BodyText"/>
        <w:spacing w:line="235" w:lineRule="auto"/>
        <w:ind w:left="1245"/>
      </w:pPr>
      <w:bookmarkStart w:name="_bookmark1955" w:id="1957"/>
      <w:bookmarkEnd w:id="1957"/>
      <w:r>
        <w:rPr/>
      </w:r>
      <w:r>
        <w:rPr/>
        <w:t>“…</w:t>
      </w:r>
      <w:r>
        <w:rPr>
          <w:spacing w:val="39"/>
        </w:rPr>
        <w:t> </w:t>
      </w:r>
      <w:r>
        <w:rPr/>
        <w:t>the</w:t>
      </w:r>
      <w:r>
        <w:rPr>
          <w:spacing w:val="39"/>
        </w:rPr>
        <w:t> </w:t>
      </w:r>
      <w:r>
        <w:rPr/>
        <w:t>damage</w:t>
      </w:r>
      <w:r>
        <w:rPr>
          <w:spacing w:val="39"/>
        </w:rPr>
        <w:t> </w:t>
      </w:r>
      <w:r>
        <w:rPr/>
        <w:t>caused</w:t>
      </w:r>
      <w:r>
        <w:rPr>
          <w:spacing w:val="39"/>
        </w:rPr>
        <w:t> </w:t>
      </w:r>
      <w:r>
        <w:rPr/>
        <w:t>by</w:t>
      </w:r>
      <w:r>
        <w:rPr>
          <w:spacing w:val="39"/>
        </w:rPr>
        <w:t> </w:t>
      </w:r>
      <w:r>
        <w:rPr/>
        <w:t>each</w:t>
      </w:r>
      <w:r>
        <w:rPr>
          <w:spacing w:val="39"/>
        </w:rPr>
        <w:t> </w:t>
      </w:r>
      <w:r>
        <w:rPr/>
        <w:t>and</w:t>
      </w:r>
      <w:r>
        <w:rPr>
          <w:spacing w:val="39"/>
        </w:rPr>
        <w:t> </w:t>
      </w:r>
      <w:r>
        <w:rPr/>
        <w:t>every</w:t>
      </w:r>
      <w:r>
        <w:rPr>
          <w:spacing w:val="39"/>
        </w:rPr>
        <w:t> </w:t>
      </w:r>
      <w:r>
        <w:rPr/>
        <w:t>one</w:t>
      </w:r>
      <w:r>
        <w:rPr>
          <w:spacing w:val="39"/>
        </w:rPr>
        <w:t> </w:t>
      </w:r>
      <w:r>
        <w:rPr/>
        <w:t>of</w:t>
      </w:r>
      <w:r>
        <w:rPr>
          <w:spacing w:val="39"/>
        </w:rPr>
        <w:t> </w:t>
      </w:r>
      <w:r>
        <w:rPr/>
        <w:t>those</w:t>
      </w:r>
      <w:r>
        <w:rPr>
          <w:spacing w:val="39"/>
        </w:rPr>
        <w:t> </w:t>
      </w:r>
      <w:r>
        <w:rPr/>
        <w:t>events,</w:t>
      </w:r>
      <w:r>
        <w:rPr>
          <w:spacing w:val="39"/>
        </w:rPr>
        <w:t> </w:t>
      </w:r>
      <w:r>
        <w:rPr/>
        <w:t>however</w:t>
      </w:r>
      <w:r>
        <w:rPr>
          <w:spacing w:val="39"/>
        </w:rPr>
        <w:t> </w:t>
      </w:r>
      <w:r>
        <w:rPr/>
        <w:t>varying</w:t>
      </w:r>
      <w:r>
        <w:rPr>
          <w:spacing w:val="39"/>
        </w:rPr>
        <w:t> </w:t>
      </w:r>
      <w:r>
        <w:rPr/>
        <w:t>in importance,</w:t>
      </w:r>
      <w:r>
        <w:rPr>
          <w:spacing w:val="5"/>
        </w:rPr>
        <w:t> </w:t>
      </w:r>
      <w:r>
        <w:rPr/>
        <w:t>may</w:t>
      </w:r>
      <w:r>
        <w:rPr>
          <w:spacing w:val="7"/>
        </w:rPr>
        <w:t> </w:t>
      </w:r>
      <w:r>
        <w:rPr/>
        <w:t>be</w:t>
      </w:r>
      <w:r>
        <w:rPr>
          <w:spacing w:val="7"/>
        </w:rPr>
        <w:t> </w:t>
      </w:r>
      <w:r>
        <w:rPr/>
        <w:t>of</w:t>
      </w:r>
      <w:r>
        <w:rPr>
          <w:spacing w:val="7"/>
        </w:rPr>
        <w:t> </w:t>
      </w:r>
      <w:r>
        <w:rPr/>
        <w:t>such</w:t>
      </w:r>
      <w:r>
        <w:rPr>
          <w:spacing w:val="7"/>
        </w:rPr>
        <w:t> </w:t>
      </w:r>
      <w:r>
        <w:rPr/>
        <w:t>an</w:t>
      </w:r>
      <w:r>
        <w:rPr>
          <w:spacing w:val="7"/>
        </w:rPr>
        <w:t> </w:t>
      </w:r>
      <w:r>
        <w:rPr/>
        <w:t>uncertain</w:t>
      </w:r>
      <w:r>
        <w:rPr>
          <w:spacing w:val="7"/>
        </w:rPr>
        <w:t> </w:t>
      </w:r>
      <w:r>
        <w:rPr/>
        <w:t>nature</w:t>
      </w:r>
      <w:r>
        <w:rPr>
          <w:spacing w:val="7"/>
        </w:rPr>
        <w:t> </w:t>
      </w:r>
      <w:r>
        <w:rPr/>
        <w:t>that</w:t>
      </w:r>
      <w:r>
        <w:rPr>
          <w:spacing w:val="7"/>
        </w:rPr>
        <w:t> </w:t>
      </w:r>
      <w:r>
        <w:rPr/>
        <w:t>it</w:t>
      </w:r>
      <w:r>
        <w:rPr>
          <w:spacing w:val="7"/>
        </w:rPr>
        <w:t> </w:t>
      </w:r>
      <w:r>
        <w:rPr/>
        <w:t>cannot</w:t>
      </w:r>
      <w:r>
        <w:rPr>
          <w:spacing w:val="7"/>
        </w:rPr>
        <w:t> </w:t>
      </w:r>
      <w:r>
        <w:rPr/>
        <w:t>be</w:t>
      </w:r>
      <w:r>
        <w:rPr>
          <w:spacing w:val="7"/>
        </w:rPr>
        <w:t> </w:t>
      </w:r>
      <w:r>
        <w:rPr/>
        <w:t>accurately</w:t>
      </w:r>
      <w:r>
        <w:rPr>
          <w:spacing w:val="7"/>
        </w:rPr>
        <w:t> </w:t>
      </w:r>
      <w:r>
        <w:rPr>
          <w:spacing w:val="-2"/>
        </w:rPr>
        <w:t>ascertained”</w:t>
      </w:r>
    </w:p>
    <w:p>
      <w:pPr>
        <w:spacing w:before="95"/>
        <w:ind w:left="1245" w:right="0" w:firstLine="0"/>
        <w:jc w:val="left"/>
        <w:rPr>
          <w:sz w:val="12"/>
        </w:rPr>
      </w:pPr>
      <w:r>
        <w:rPr>
          <w:sz w:val="12"/>
        </w:rPr>
        <w:drawing>
          <wp:anchor distT="0" distB="0" distL="0" distR="0" allowOverlap="1" layoutInCell="1" locked="0" behindDoc="0" simplePos="0" relativeHeight="15838720">
            <wp:simplePos x="0" y="0"/>
            <wp:positionH relativeFrom="page">
              <wp:posOffset>1875586</wp:posOffset>
            </wp:positionH>
            <wp:positionV relativeFrom="paragraph">
              <wp:posOffset>101406</wp:posOffset>
            </wp:positionV>
            <wp:extent cx="107988" cy="107988"/>
            <wp:effectExtent l="0" t="0" r="0" b="0"/>
            <wp:wrapNone/>
            <wp:docPr id="535" name="Image 535"/>
            <wp:cNvGraphicFramePr>
              <a:graphicFrameLocks/>
            </wp:cNvGraphicFramePr>
            <a:graphic>
              <a:graphicData uri="http://schemas.openxmlformats.org/drawingml/2006/picture">
                <pic:pic>
                  <pic:nvPicPr>
                    <pic:cNvPr id="535" name="Image 535"/>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020">
        <w:r>
          <w:rPr>
            <w:color w:val="005DA1"/>
            <w:spacing w:val="-4"/>
            <w:sz w:val="12"/>
            <w:u w:val="single" w:color="005DA1"/>
          </w:rPr>
          <w:t>1056</w:t>
        </w:r>
      </w:hyperlink>
    </w:p>
    <w:p>
      <w:pPr>
        <w:pStyle w:val="BodyText"/>
        <w:rPr>
          <w:sz w:val="12"/>
        </w:rPr>
      </w:pPr>
    </w:p>
    <w:p>
      <w:pPr>
        <w:pStyle w:val="BodyText"/>
        <w:rPr>
          <w:sz w:val="12"/>
        </w:rPr>
      </w:pPr>
    </w:p>
    <w:p>
      <w:pPr>
        <w:pStyle w:val="BodyText"/>
        <w:spacing w:before="40"/>
        <w:rPr>
          <w:sz w:val="12"/>
        </w:rPr>
      </w:pPr>
    </w:p>
    <w:p>
      <w:pPr>
        <w:pStyle w:val="BodyText"/>
        <w:spacing w:line="360" w:lineRule="auto"/>
        <w:ind w:left="165" w:right="167"/>
        <w:jc w:val="both"/>
        <w:rPr>
          <w:rFonts w:ascii="Arial"/>
          <w:i/>
        </w:rPr>
      </w:pPr>
      <w:bookmarkStart w:name="_bookmark1956" w:id="1958"/>
      <w:bookmarkEnd w:id="1958"/>
      <w:r>
        <w:rPr/>
      </w:r>
      <w:r>
        <w:rPr/>
        <w:t>The clause may also be a genuine pre-estimate where the stipulated sum is taken as an average </w:t>
      </w:r>
      <w:r>
        <w:rPr/>
        <w:t>or </w:t>
      </w:r>
      <w:bookmarkStart w:name="_bookmark1957" w:id="1959"/>
      <w:bookmarkEnd w:id="1959"/>
      <w:r>
        <w:rPr/>
        <w:t>mean</w:t>
      </w:r>
      <w:r>
        <w:rPr>
          <w:spacing w:val="38"/>
        </w:rPr>
        <w:t> </w:t>
      </w:r>
      <w:r>
        <w:rPr/>
        <w:t>figure</w:t>
      </w:r>
      <w:r>
        <w:rPr>
          <w:spacing w:val="39"/>
        </w:rPr>
        <w:t> </w:t>
      </w:r>
      <w:r>
        <w:rPr/>
        <w:t>of</w:t>
      </w:r>
      <w:r>
        <w:rPr>
          <w:spacing w:val="39"/>
        </w:rPr>
        <w:t> </w:t>
      </w:r>
      <w:r>
        <w:rPr/>
        <w:t>the</w:t>
      </w:r>
      <w:r>
        <w:rPr>
          <w:spacing w:val="39"/>
        </w:rPr>
        <w:t> </w:t>
      </w:r>
      <w:r>
        <w:rPr/>
        <w:t>losses</w:t>
      </w:r>
      <w:r>
        <w:rPr>
          <w:spacing w:val="38"/>
        </w:rPr>
        <w:t> </w:t>
      </w:r>
      <w:r>
        <w:rPr/>
        <w:t>probably</w:t>
      </w:r>
      <w:r>
        <w:rPr>
          <w:spacing w:val="39"/>
        </w:rPr>
        <w:t> </w:t>
      </w:r>
      <w:r>
        <w:rPr/>
        <w:t>incurred</w:t>
      </w:r>
      <w:r>
        <w:rPr>
          <w:spacing w:val="39"/>
        </w:rPr>
        <w:t> </w:t>
      </w:r>
      <w:r>
        <w:rPr/>
        <w:t>in</w:t>
      </w:r>
      <w:r>
        <w:rPr>
          <w:spacing w:val="39"/>
        </w:rPr>
        <w:t> </w:t>
      </w:r>
      <w:r>
        <w:rPr/>
        <w:t>the</w:t>
      </w:r>
      <w:r>
        <w:rPr>
          <w:spacing w:val="38"/>
        </w:rPr>
        <w:t> </w:t>
      </w:r>
      <w:r>
        <w:rPr/>
        <w:t>different</w:t>
      </w:r>
      <w:r>
        <w:rPr>
          <w:spacing w:val="39"/>
        </w:rPr>
        <w:t> </w:t>
      </w:r>
      <w:r>
        <w:rPr/>
        <w:t>events.</w:t>
      </w:r>
      <w:r>
        <w:rPr>
          <w:spacing w:val="38"/>
        </w:rPr>
        <w:t> </w:t>
      </w:r>
      <w:hyperlink w:history="true" w:anchor="_bookmark2021">
        <w:r>
          <w:rPr>
            <w:color w:val="005DA1"/>
            <w:u w:val="single" w:color="005DA1"/>
            <w:vertAlign w:val="superscript"/>
          </w:rPr>
          <w:t>1057</w:t>
        </w:r>
        <w:r>
          <w:rPr>
            <w:color w:val="005DA1"/>
            <w:spacing w:val="59"/>
            <w:w w:val="150"/>
            <w:vertAlign w:val="baseline"/>
          </w:rPr>
          <w:t>  </w:t>
        </w:r>
        <w:r>
          <w:rPr>
            <w:color w:val="005DA1"/>
            <w:spacing w:val="11"/>
            <w:position w:val="-2"/>
            <w:vertAlign w:val="baseline"/>
          </w:rPr>
          <w:drawing>
            <wp:inline distT="0" distB="0" distL="0" distR="0">
              <wp:extent cx="107988" cy="107988"/>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34"/>
            <w:vertAlign w:val="baseline"/>
          </w:rPr>
          <w:t> </w:t>
        </w:r>
        <w:r>
          <w:rPr>
            <w:vertAlign w:val="baseline"/>
          </w:rPr>
          <w:t>In</w:t>
        </w:r>
        <w:r>
          <w:rPr>
            <w:spacing w:val="39"/>
            <w:vertAlign w:val="baseline"/>
          </w:rPr>
          <w:t> </w:t>
        </w:r>
        <w:r>
          <w:rPr>
            <w:rFonts w:ascii="Arial"/>
            <w:i/>
            <w:vertAlign w:val="baseline"/>
          </w:rPr>
          <w:t>Ford</w:t>
        </w:r>
        <w:r>
          <w:rPr>
            <w:rFonts w:ascii="Arial"/>
            <w:i/>
            <w:spacing w:val="39"/>
            <w:vertAlign w:val="baseline"/>
          </w:rPr>
          <w:t> </w:t>
        </w:r>
        <w:r>
          <w:rPr>
            <w:rFonts w:ascii="Arial"/>
            <w:i/>
            <w:vertAlign w:val="baseline"/>
          </w:rPr>
          <w:t>Motor</w:t>
        </w:r>
        <w:r>
          <w:rPr>
            <w:rFonts w:ascii="Arial"/>
            <w:i/>
            <w:spacing w:val="38"/>
            <w:vertAlign w:val="baseline"/>
          </w:rPr>
          <w:t> </w:t>
        </w:r>
        <w:r>
          <w:rPr>
            <w:rFonts w:ascii="Arial"/>
            <w:i/>
            <w:vertAlign w:val="baseline"/>
          </w:rPr>
          <w:t>Co</w:t>
        </w:r>
        <w:r>
          <w:rPr>
            <w:rFonts w:ascii="Arial"/>
            <w:i/>
            <w:spacing w:val="39"/>
            <w:vertAlign w:val="baseline"/>
          </w:rPr>
          <w:t> </w:t>
        </w:r>
        <w:r>
          <w:rPr>
            <w:rFonts w:ascii="Arial"/>
            <w:i/>
            <w:spacing w:val="-10"/>
            <w:vertAlign w:val="baseline"/>
          </w:rPr>
          <w:t>v</w:t>
        </w:r>
      </w:hyperlink>
    </w:p>
    <w:p>
      <w:pPr>
        <w:pStyle w:val="BodyText"/>
        <w:spacing w:line="235" w:lineRule="auto" w:before="4"/>
        <w:ind w:left="164" w:right="167"/>
        <w:jc w:val="both"/>
      </w:pPr>
      <w:r>
        <w:rPr>
          <w:rFonts w:ascii="Arial" w:hAnsi="Arial"/>
          <w:i/>
        </w:rPr>
        <w:t>Armstrong</w:t>
      </w:r>
      <w:r>
        <w:rPr/>
        <w:t>, </w:t>
      </w:r>
      <w:hyperlink w:history="true" w:anchor="_bookmark2022">
        <w:r>
          <w:rPr>
            <w:color w:val="005DA1"/>
            <w:u w:val="single" w:color="005DA1"/>
            <w:vertAlign w:val="superscript"/>
          </w:rPr>
          <w:t>1058</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contrast, the retailer in a similar case agreed to pay £250 as “the agreed damage which the manufacturer will sustain” upon the breach of any one of several covenants</w:t>
        </w:r>
        <w:r>
          <w:rPr>
            <w:spacing w:val="40"/>
            <w:vertAlign w:val="baseline"/>
          </w:rPr>
          <w:t> </w:t>
        </w:r>
        <w:r>
          <w:rPr>
            <w:vertAlign w:val="baseline"/>
          </w:rPr>
          <w:t>(similar to those in the </w:t>
        </w:r>
        <w:r>
          <w:rPr>
            <w:rFonts w:ascii="Arial" w:hAnsi="Arial"/>
            <w:i/>
            <w:vertAlign w:val="baseline"/>
          </w:rPr>
          <w:t>Dunlop </w:t>
        </w:r>
        <w:r>
          <w:rPr>
            <w:vertAlign w:val="baseline"/>
          </w:rPr>
          <w:t>case, above), and the Court of Appeal by a majority held that this </w:t>
        </w:r>
        <w:r>
          <w:rPr>
            <w:vertAlign w:val="baseline"/>
          </w:rPr>
          <w:t>(in 1915) was a penalty, since it was an arbitrary and substantial sum, and made payable for various breaches differing in kind, some of which might cause only trifling damage. The high amount of the agreed sum in this case showed that it could not be a genuine pre-estimate of loss.</w:t>
        </w:r>
      </w:hyperlink>
    </w:p>
    <w:p>
      <w:pPr>
        <w:pStyle w:val="BodyText"/>
      </w:pPr>
    </w:p>
    <w:p>
      <w:pPr>
        <w:pStyle w:val="BodyText"/>
        <w:spacing w:before="36"/>
      </w:pPr>
    </w:p>
    <w:p>
      <w:pPr>
        <w:spacing w:before="0"/>
        <w:ind w:left="165" w:right="0" w:firstLine="0"/>
        <w:jc w:val="both"/>
        <w:rPr>
          <w:rFonts w:ascii="Arial"/>
          <w:b/>
          <w:sz w:val="18"/>
        </w:rPr>
      </w:pPr>
      <w:r>
        <w:rPr>
          <w:rFonts w:ascii="Arial"/>
          <w:b/>
          <w:sz w:val="18"/>
        </w:rPr>
        <w:t>Breach may cause varying </w:t>
      </w:r>
      <w:r>
        <w:rPr>
          <w:rFonts w:ascii="Arial"/>
          <w:b/>
          <w:spacing w:val="-4"/>
          <w:sz w:val="18"/>
        </w:rPr>
        <w:t>loss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different case is where the sum is payable for any breach of a particular term of the contract, but the loss that follows may vary significantly from case to case. This seems to fall within Lord Dunedin’s heading 4(a):</w:t>
      </w:r>
    </w:p>
    <w:p>
      <w:pPr>
        <w:pStyle w:val="BodyText"/>
      </w:pPr>
    </w:p>
    <w:p>
      <w:pPr>
        <w:pStyle w:val="BodyText"/>
        <w:spacing w:before="126"/>
      </w:pPr>
    </w:p>
    <w:p>
      <w:pPr>
        <w:pStyle w:val="BodyText"/>
        <w:spacing w:line="235" w:lineRule="auto"/>
        <w:ind w:left="1245"/>
      </w:pPr>
      <w:r>
        <w:rPr/>
        <w:t>“It will be held to be penalty if the sum stipulated for is extravagant and unconscionable in </w:t>
      </w:r>
      <w:bookmarkStart w:name="_bookmark1958" w:id="1960"/>
      <w:bookmarkEnd w:id="1960"/>
      <w:r>
        <w:rPr/>
        <w:t>amount</w:t>
      </w:r>
      <w:r>
        <w:rPr>
          <w:spacing w:val="27"/>
        </w:rPr>
        <w:t> </w:t>
      </w:r>
      <w:r>
        <w:rPr/>
        <w:t>in</w:t>
      </w:r>
      <w:r>
        <w:rPr>
          <w:spacing w:val="27"/>
        </w:rPr>
        <w:t> </w:t>
      </w:r>
      <w:r>
        <w:rPr/>
        <w:t>comparison</w:t>
      </w:r>
      <w:r>
        <w:rPr>
          <w:spacing w:val="27"/>
        </w:rPr>
        <w:t> </w:t>
      </w:r>
      <w:r>
        <w:rPr/>
        <w:t>with</w:t>
      </w:r>
      <w:r>
        <w:rPr>
          <w:spacing w:val="27"/>
        </w:rPr>
        <w:t> </w:t>
      </w:r>
      <w:r>
        <w:rPr/>
        <w:t>the</w:t>
      </w:r>
      <w:r>
        <w:rPr>
          <w:spacing w:val="27"/>
        </w:rPr>
        <w:t> </w:t>
      </w:r>
      <w:r>
        <w:rPr/>
        <w:t>greatest</w:t>
      </w:r>
      <w:r>
        <w:rPr>
          <w:spacing w:val="27"/>
        </w:rPr>
        <w:t> </w:t>
      </w:r>
      <w:r>
        <w:rPr/>
        <w:t>loss</w:t>
      </w:r>
      <w:r>
        <w:rPr>
          <w:spacing w:val="27"/>
        </w:rPr>
        <w:t> </w:t>
      </w:r>
      <w:r>
        <w:rPr/>
        <w:t>that</w:t>
      </w:r>
      <w:r>
        <w:rPr>
          <w:spacing w:val="27"/>
        </w:rPr>
        <w:t> </w:t>
      </w:r>
      <w:r>
        <w:rPr/>
        <w:t>could</w:t>
      </w:r>
      <w:r>
        <w:rPr>
          <w:spacing w:val="27"/>
        </w:rPr>
        <w:t> </w:t>
      </w:r>
      <w:r>
        <w:rPr/>
        <w:t>conceivably</w:t>
      </w:r>
      <w:r>
        <w:rPr>
          <w:spacing w:val="27"/>
        </w:rPr>
        <w:t> </w:t>
      </w:r>
      <w:r>
        <w:rPr/>
        <w:t>be</w:t>
      </w:r>
      <w:r>
        <w:rPr>
          <w:spacing w:val="27"/>
        </w:rPr>
        <w:t> </w:t>
      </w:r>
      <w:r>
        <w:rPr/>
        <w:t>proved</w:t>
      </w:r>
      <w:r>
        <w:rPr>
          <w:spacing w:val="27"/>
        </w:rPr>
        <w:t> </w:t>
      </w:r>
      <w:r>
        <w:rPr/>
        <w:t>to</w:t>
      </w:r>
      <w:r>
        <w:rPr>
          <w:spacing w:val="27"/>
        </w:rPr>
        <w:t> </w:t>
      </w:r>
      <w:r>
        <w:rPr>
          <w:spacing w:val="-4"/>
        </w:rPr>
        <w:t>have</w:t>
      </w:r>
    </w:p>
    <w:p>
      <w:pPr>
        <w:pStyle w:val="BodyText"/>
        <w:spacing w:before="115"/>
        <w:ind w:left="1245"/>
        <w:rPr>
          <w:position w:val="-2"/>
        </w:rPr>
      </w:pPr>
      <w:r>
        <w:rPr/>
        <w:t>followed from the breach.” </w:t>
      </w:r>
      <w:hyperlink w:history="true" w:anchor="_bookmark2023">
        <w:r>
          <w:rPr>
            <w:color w:val="005DA1"/>
            <w:u w:val="single" w:color="005DA1"/>
            <w:vertAlign w:val="superscript"/>
          </w:rPr>
          <w:t>1059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pStyle w:val="BodyText"/>
        <w:spacing w:line="235" w:lineRule="auto"/>
        <w:ind w:left="165" w:right="167"/>
        <w:jc w:val="both"/>
      </w:pPr>
      <w:r>
        <w:rPr/>
        <w:t>It is not clear that the converse proposition, that the sum will not be unconscionable if it is no more than</w:t>
      </w:r>
      <w:r>
        <w:rPr>
          <w:spacing w:val="40"/>
        </w:rPr>
        <w:t> </w:t>
      </w:r>
      <w:r>
        <w:rPr/>
        <w:t>the</w:t>
      </w:r>
      <w:r>
        <w:rPr>
          <w:spacing w:val="40"/>
        </w:rPr>
        <w:t> </w:t>
      </w:r>
      <w:r>
        <w:rPr/>
        <w:t>greatest</w:t>
      </w:r>
      <w:r>
        <w:rPr>
          <w:spacing w:val="40"/>
        </w:rPr>
        <w:t> </w:t>
      </w:r>
      <w:r>
        <w:rPr/>
        <w:t>possible</w:t>
      </w:r>
      <w:r>
        <w:rPr>
          <w:spacing w:val="40"/>
        </w:rPr>
        <w:t> </w:t>
      </w:r>
      <w:r>
        <w:rPr/>
        <w:t>loss,</w:t>
      </w:r>
      <w:r>
        <w:rPr>
          <w:spacing w:val="40"/>
        </w:rPr>
        <w:t> </w:t>
      </w:r>
      <w:r>
        <w:rPr/>
        <w:t>follows.</w:t>
      </w:r>
      <w:r>
        <w:rPr>
          <w:spacing w:val="40"/>
        </w:rPr>
        <w:t> </w:t>
      </w:r>
      <w:r>
        <w:rPr/>
        <w:t>Lord</w:t>
      </w:r>
      <w:r>
        <w:rPr>
          <w:spacing w:val="40"/>
        </w:rPr>
        <w:t> </w:t>
      </w:r>
      <w:r>
        <w:rPr/>
        <w:t>Parker</w:t>
      </w:r>
      <w:r>
        <w:rPr>
          <w:spacing w:val="40"/>
        </w:rPr>
        <w:t> </w:t>
      </w:r>
      <w:r>
        <w:rPr/>
        <w:t>said</w:t>
      </w:r>
      <w:r>
        <w:rPr>
          <w:spacing w:val="40"/>
        </w:rPr>
        <w:t> </w:t>
      </w:r>
      <w:r>
        <w:rPr/>
        <w:t>that</w:t>
      </w:r>
      <w:r>
        <w:rPr>
          <w:spacing w:val="40"/>
        </w:rPr>
        <w:t> </w:t>
      </w:r>
      <w:r>
        <w:rPr/>
        <w:t>loss</w:t>
      </w:r>
      <w:r>
        <w:rPr>
          <w:spacing w:val="40"/>
        </w:rPr>
        <w:t> </w:t>
      </w:r>
      <w:r>
        <w:rPr/>
        <w:t>caused</w:t>
      </w:r>
      <w:r>
        <w:rPr>
          <w:spacing w:val="40"/>
        </w:rPr>
        <w:t> </w:t>
      </w:r>
      <w:r>
        <w:rPr/>
        <w:t>by</w:t>
      </w:r>
      <w:r>
        <w:rPr>
          <w:spacing w:val="40"/>
        </w:rPr>
        <w:t> </w:t>
      </w:r>
      <w:r>
        <w:rPr/>
        <w:t>a</w:t>
      </w:r>
      <w:r>
        <w:rPr>
          <w:spacing w:val="40"/>
        </w:rPr>
        <w:t> </w:t>
      </w:r>
      <w:r>
        <w:rPr/>
        <w:t>breach</w:t>
      </w:r>
      <w:r>
        <w:rPr>
          <w:spacing w:val="40"/>
        </w:rPr>
        <w:t> </w:t>
      </w:r>
      <w:r>
        <w:rPr/>
        <w:t>of</w:t>
      </w:r>
      <w:r>
        <w:rPr>
          <w:spacing w:val="40"/>
        </w:rPr>
        <w:t> </w:t>
      </w:r>
      <w:r>
        <w:rPr/>
        <w:t>a non-solicitation</w:t>
      </w:r>
      <w:r>
        <w:rPr>
          <w:spacing w:val="61"/>
        </w:rPr>
        <w:t> </w:t>
      </w:r>
      <w:r>
        <w:rPr/>
        <w:t>covenant</w:t>
      </w:r>
      <w:r>
        <w:rPr>
          <w:spacing w:val="61"/>
        </w:rPr>
        <w:t> </w:t>
      </w:r>
      <w:r>
        <w:rPr/>
        <w:t>might</w:t>
      </w:r>
      <w:r>
        <w:rPr>
          <w:spacing w:val="61"/>
        </w:rPr>
        <w:t> </w:t>
      </w:r>
      <w:r>
        <w:rPr/>
        <w:t>vary</w:t>
      </w:r>
      <w:r>
        <w:rPr>
          <w:spacing w:val="61"/>
        </w:rPr>
        <w:t> </w:t>
      </w:r>
      <w:r>
        <w:rPr/>
        <w:t>according</w:t>
      </w:r>
      <w:r>
        <w:rPr>
          <w:spacing w:val="61"/>
        </w:rPr>
        <w:t> </w:t>
      </w:r>
      <w:r>
        <w:rPr/>
        <w:t>to</w:t>
      </w:r>
      <w:r>
        <w:rPr>
          <w:spacing w:val="61"/>
        </w:rPr>
        <w:t> </w:t>
      </w:r>
      <w:r>
        <w:rPr/>
        <w:t>where</w:t>
      </w:r>
      <w:r>
        <w:rPr>
          <w:spacing w:val="61"/>
        </w:rPr>
        <w:t> </w:t>
      </w:r>
      <w:r>
        <w:rPr/>
        <w:t>or</w:t>
      </w:r>
      <w:r>
        <w:rPr>
          <w:spacing w:val="61"/>
        </w:rPr>
        <w:t> </w:t>
      </w:r>
      <w:r>
        <w:rPr/>
        <w:t>not</w:t>
      </w:r>
      <w:r>
        <w:rPr>
          <w:spacing w:val="61"/>
        </w:rPr>
        <w:t> </w:t>
      </w:r>
      <w:r>
        <w:rPr/>
        <w:t>the</w:t>
      </w:r>
      <w:r>
        <w:rPr>
          <w:spacing w:val="61"/>
        </w:rPr>
        <w:t> </w:t>
      </w:r>
      <w:r>
        <w:rPr/>
        <w:t>solicitation</w:t>
      </w:r>
      <w:r>
        <w:rPr>
          <w:spacing w:val="61"/>
        </w:rPr>
        <w:t> </w:t>
      </w:r>
      <w:r>
        <w:rPr/>
        <w:t>was</w:t>
      </w:r>
      <w:r>
        <w:rPr>
          <w:spacing w:val="61"/>
        </w:rPr>
        <w:t> </w:t>
      </w:r>
      <w:r>
        <w:rPr>
          <w:spacing w:val="-2"/>
        </w:rPr>
        <w:t>successful;</w:t>
      </w:r>
    </w:p>
    <w:p>
      <w:pPr>
        <w:pStyle w:val="BodyText"/>
        <w:spacing w:after="0" w:line="235" w:lineRule="auto"/>
        <w:jc w:val="both"/>
        <w:sectPr>
          <w:pgSz w:w="11900" w:h="16840"/>
          <w:pgMar w:header="971" w:footer="0" w:top="1300" w:bottom="280" w:left="1275" w:right="1275"/>
        </w:sectPr>
      </w:pPr>
    </w:p>
    <w:p>
      <w:pPr>
        <w:pStyle w:val="BodyText"/>
        <w:spacing w:before="106"/>
        <w:ind w:left="165"/>
      </w:pPr>
      <w:r>
        <w:rPr>
          <w:spacing w:val="-2"/>
        </w:rPr>
        <w:t>nonetheless,</w:t>
      </w:r>
    </w:p>
    <w:p>
      <w:pPr>
        <w:pStyle w:val="BodyText"/>
      </w:pPr>
    </w:p>
    <w:p>
      <w:pPr>
        <w:pStyle w:val="BodyText"/>
        <w:spacing w:before="126"/>
      </w:pPr>
    </w:p>
    <w:p>
      <w:pPr>
        <w:pStyle w:val="BodyText"/>
        <w:spacing w:line="235" w:lineRule="auto"/>
        <w:ind w:left="1245" w:right="167"/>
        <w:jc w:val="both"/>
      </w:pPr>
      <w:r>
        <w:rPr/>
        <w:t>“whatever damage there is must be the same in kind for every possible breach, and the fact that it may vary in amount for each particular breach has never been held to raise</w:t>
      </w:r>
      <w:r>
        <w:rPr>
          <w:spacing w:val="40"/>
        </w:rPr>
        <w:t> </w:t>
      </w:r>
      <w:bookmarkStart w:name="_bookmark1959" w:id="1961"/>
      <w:bookmarkEnd w:id="1961"/>
      <w:r>
        <w:rPr/>
        <w:t>any</w:t>
      </w:r>
      <w:r>
        <w:rPr>
          <w:spacing w:val="14"/>
        </w:rPr>
        <w:t> </w:t>
      </w:r>
      <w:r>
        <w:rPr/>
        <w:t>presumption</w:t>
      </w:r>
      <w:r>
        <w:rPr>
          <w:spacing w:val="14"/>
        </w:rPr>
        <w:t> </w:t>
      </w:r>
      <w:r>
        <w:rPr/>
        <w:t>or</w:t>
      </w:r>
      <w:r>
        <w:rPr>
          <w:spacing w:val="14"/>
        </w:rPr>
        <w:t> </w:t>
      </w:r>
      <w:r>
        <w:rPr/>
        <w:t>inference</w:t>
      </w:r>
      <w:r>
        <w:rPr>
          <w:spacing w:val="14"/>
        </w:rPr>
        <w:t> </w:t>
      </w:r>
      <w:r>
        <w:rPr/>
        <w:t>that</w:t>
      </w:r>
      <w:r>
        <w:rPr>
          <w:spacing w:val="14"/>
        </w:rPr>
        <w:t> </w:t>
      </w:r>
      <w:r>
        <w:rPr/>
        <w:t>the</w:t>
      </w:r>
      <w:r>
        <w:rPr>
          <w:spacing w:val="14"/>
        </w:rPr>
        <w:t> </w:t>
      </w:r>
      <w:r>
        <w:rPr/>
        <w:t>sum</w:t>
      </w:r>
      <w:r>
        <w:rPr>
          <w:spacing w:val="14"/>
        </w:rPr>
        <w:t> </w:t>
      </w:r>
      <w:r>
        <w:rPr/>
        <w:t>agreed</w:t>
      </w:r>
      <w:r>
        <w:rPr>
          <w:spacing w:val="14"/>
        </w:rPr>
        <w:t> </w:t>
      </w:r>
      <w:r>
        <w:rPr/>
        <w:t>to</w:t>
      </w:r>
      <w:r>
        <w:rPr>
          <w:spacing w:val="14"/>
        </w:rPr>
        <w:t> </w:t>
      </w:r>
      <w:r>
        <w:rPr/>
        <w:t>be</w:t>
      </w:r>
      <w:r>
        <w:rPr>
          <w:spacing w:val="14"/>
        </w:rPr>
        <w:t> </w:t>
      </w:r>
      <w:r>
        <w:rPr/>
        <w:t>paid</w:t>
      </w:r>
      <w:r>
        <w:rPr>
          <w:spacing w:val="14"/>
        </w:rPr>
        <w:t> </w:t>
      </w:r>
      <w:r>
        <w:rPr/>
        <w:t>is</w:t>
      </w:r>
      <w:r>
        <w:rPr>
          <w:spacing w:val="14"/>
        </w:rPr>
        <w:t> </w:t>
      </w:r>
      <w:r>
        <w:rPr/>
        <w:t>a</w:t>
      </w:r>
      <w:r>
        <w:rPr>
          <w:spacing w:val="14"/>
        </w:rPr>
        <w:t> </w:t>
      </w:r>
      <w:r>
        <w:rPr/>
        <w:t>penalty,</w:t>
      </w:r>
      <w:r>
        <w:rPr>
          <w:spacing w:val="14"/>
        </w:rPr>
        <w:t> </w:t>
      </w:r>
      <w:r>
        <w:rPr/>
        <w:t>at</w:t>
      </w:r>
      <w:r>
        <w:rPr>
          <w:spacing w:val="14"/>
        </w:rPr>
        <w:t> </w:t>
      </w:r>
      <w:r>
        <w:rPr/>
        <w:t>any</w:t>
      </w:r>
      <w:r>
        <w:rPr>
          <w:spacing w:val="14"/>
        </w:rPr>
        <w:t> </w:t>
      </w:r>
      <w:r>
        <w:rPr/>
        <w:t>rate</w:t>
      </w:r>
      <w:r>
        <w:rPr>
          <w:spacing w:val="14"/>
        </w:rPr>
        <w:t> </w:t>
      </w:r>
      <w:r>
        <w:rPr>
          <w:spacing w:val="-5"/>
        </w:rPr>
        <w:t>in</w:t>
      </w:r>
    </w:p>
    <w:p>
      <w:pPr>
        <w:pStyle w:val="BodyText"/>
        <w:spacing w:before="115"/>
        <w:ind w:left="1245"/>
        <w:jc w:val="both"/>
        <w:rPr>
          <w:position w:val="-2"/>
        </w:rPr>
      </w:pPr>
      <w:r>
        <w:rPr/>
        <w:t>cases where the parties have referred to it as agreed or liquidated damages.” </w:t>
      </w:r>
      <w:hyperlink w:history="true" w:anchor="_bookmark2024">
        <w:r>
          <w:rPr>
            <w:color w:val="005DA1"/>
            <w:u w:val="single" w:color="005DA1"/>
            <w:vertAlign w:val="superscript"/>
          </w:rPr>
          <w:t>1060</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pStyle w:val="BodyText"/>
        <w:spacing w:line="235" w:lineRule="auto"/>
        <w:ind w:left="165" w:right="167"/>
        <w:jc w:val="both"/>
      </w:pPr>
      <w:r>
        <w:rPr/>
        <w:t>That might be taken to suggest that provided the sum stipulated is not extravagant and unconscionable in relation to the greatest loss that might follow, it will not be a penalty even </w:t>
      </w:r>
      <w:r>
        <w:rPr/>
        <w:t>though </w:t>
      </w:r>
      <w:bookmarkStart w:name="_bookmark1960" w:id="1962"/>
      <w:bookmarkEnd w:id="1962"/>
      <w:r>
        <w:rPr/>
        <w:t>the</w:t>
      </w:r>
      <w:r>
        <w:rPr>
          <w:spacing w:val="13"/>
        </w:rPr>
        <w:t> </w:t>
      </w:r>
      <w:r>
        <w:rPr/>
        <w:t>loss</w:t>
      </w:r>
      <w:r>
        <w:rPr>
          <w:spacing w:val="13"/>
        </w:rPr>
        <w:t> </w:t>
      </w:r>
      <w:r>
        <w:rPr/>
        <w:t>might</w:t>
      </w:r>
      <w:r>
        <w:rPr>
          <w:spacing w:val="13"/>
        </w:rPr>
        <w:t> </w:t>
      </w:r>
      <w:r>
        <w:rPr/>
        <w:t>well</w:t>
      </w:r>
      <w:r>
        <w:rPr>
          <w:spacing w:val="13"/>
        </w:rPr>
        <w:t> </w:t>
      </w:r>
      <w:r>
        <w:rPr/>
        <w:t>be</w:t>
      </w:r>
      <w:r>
        <w:rPr>
          <w:spacing w:val="13"/>
        </w:rPr>
        <w:t> </w:t>
      </w:r>
      <w:r>
        <w:rPr/>
        <w:t>much</w:t>
      </w:r>
      <w:r>
        <w:rPr>
          <w:spacing w:val="13"/>
        </w:rPr>
        <w:t> </w:t>
      </w:r>
      <w:r>
        <w:rPr/>
        <w:t>less</w:t>
      </w:r>
      <w:r>
        <w:rPr>
          <w:spacing w:val="13"/>
        </w:rPr>
        <w:t> </w:t>
      </w:r>
      <w:r>
        <w:rPr/>
        <w:t>and</w:t>
      </w:r>
      <w:r>
        <w:rPr>
          <w:spacing w:val="13"/>
        </w:rPr>
        <w:t> </w:t>
      </w:r>
      <w:r>
        <w:rPr/>
        <w:t>therefore</w:t>
      </w:r>
      <w:r>
        <w:rPr>
          <w:spacing w:val="13"/>
        </w:rPr>
        <w:t> </w:t>
      </w:r>
      <w:r>
        <w:rPr/>
        <w:t>the</w:t>
      </w:r>
      <w:r>
        <w:rPr>
          <w:spacing w:val="13"/>
        </w:rPr>
        <w:t> </w:t>
      </w:r>
      <w:r>
        <w:rPr/>
        <w:t>sum</w:t>
      </w:r>
      <w:r>
        <w:rPr>
          <w:spacing w:val="13"/>
        </w:rPr>
        <w:t> </w:t>
      </w:r>
      <w:r>
        <w:rPr/>
        <w:t>could</w:t>
      </w:r>
      <w:r>
        <w:rPr>
          <w:spacing w:val="13"/>
        </w:rPr>
        <w:t> </w:t>
      </w:r>
      <w:r>
        <w:rPr/>
        <w:t>not</w:t>
      </w:r>
      <w:r>
        <w:rPr>
          <w:spacing w:val="13"/>
        </w:rPr>
        <w:t> </w:t>
      </w:r>
      <w:r>
        <w:rPr/>
        <w:t>strictly</w:t>
      </w:r>
      <w:r>
        <w:rPr>
          <w:spacing w:val="13"/>
        </w:rPr>
        <w:t> </w:t>
      </w:r>
      <w:r>
        <w:rPr/>
        <w:t>be</w:t>
      </w:r>
      <w:r>
        <w:rPr>
          <w:spacing w:val="13"/>
        </w:rPr>
        <w:t> </w:t>
      </w:r>
      <w:r>
        <w:rPr/>
        <w:t>described</w:t>
      </w:r>
      <w:r>
        <w:rPr>
          <w:spacing w:val="13"/>
        </w:rPr>
        <w:t> </w:t>
      </w:r>
      <w:r>
        <w:rPr/>
        <w:t>as</w:t>
      </w:r>
      <w:r>
        <w:rPr>
          <w:spacing w:val="13"/>
        </w:rPr>
        <w:t> </w:t>
      </w:r>
      <w:r>
        <w:rPr/>
        <w:t>a</w:t>
      </w:r>
      <w:r>
        <w:rPr>
          <w:spacing w:val="13"/>
        </w:rPr>
        <w:t> </w:t>
      </w:r>
      <w:r>
        <w:rPr>
          <w:spacing w:val="-2"/>
        </w:rPr>
        <w:t>genuine</w:t>
      </w:r>
    </w:p>
    <w:p>
      <w:pPr>
        <w:pStyle w:val="BodyText"/>
        <w:spacing w:line="340" w:lineRule="atLeast" w:before="5"/>
        <w:ind w:left="165" w:right="167"/>
        <w:jc w:val="both"/>
      </w:pPr>
      <w:bookmarkStart w:name="_bookmark1961" w:id="1963"/>
      <w:bookmarkEnd w:id="1963"/>
      <w:r>
        <w:rPr/>
      </w:r>
      <w:r>
        <w:rPr/>
        <w:t>pre-estimate of the likely loss. </w:t>
      </w:r>
      <w:hyperlink w:history="true" w:anchor="_bookmark2025">
        <w:r>
          <w:rPr>
            <w:color w:val="005DA1"/>
            <w:u w:val="single" w:color="005DA1"/>
            <w:vertAlign w:val="superscript"/>
          </w:rPr>
          <w:t>1061</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On occasion Lord Dunedin’s statement has been applied </w:t>
        </w:r>
        <w:bookmarkStart w:name="_bookmark1962" w:id="1964"/>
        <w:bookmarkEnd w:id="1964"/>
        <w:r>
          <w:rPr>
            <w:vertAlign w:val="baseline"/>
          </w:rPr>
          <w:t>literally,</w:t>
        </w:r>
        <w:r>
          <w:rPr>
            <w:vertAlign w:val="baseline"/>
          </w:rPr>
          <w:t> </w:t>
        </w:r>
        <w:hyperlink w:history="true" w:anchor="_bookmark2026">
          <w:r>
            <w:rPr>
              <w:color w:val="005DA1"/>
              <w:u w:val="single" w:color="005DA1"/>
              <w:vertAlign w:val="superscript"/>
            </w:rPr>
            <w:t>1062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and it was repeated by Lord Hodge in </w:t>
          </w:r>
          <w:r>
            <w:rPr>
              <w:rFonts w:ascii="Arial" w:hAnsi="Arial"/>
              <w:i/>
              <w:vertAlign w:val="baseline"/>
            </w:rPr>
            <w:t>Cavendish Square Holding BV v Makdessi </w:t>
          </w:r>
          <w:r>
            <w:rPr>
              <w:vertAlign w:val="baseline"/>
            </w:rPr>
            <w:t>and </w:t>
          </w:r>
          <w:bookmarkStart w:name="_bookmark1963" w:id="1965"/>
          <w:bookmarkEnd w:id="1965"/>
          <w:r>
            <w:rPr>
              <w:vertAlign w:val="baseline"/>
            </w:rPr>
          </w:r>
          <w:r>
            <w:rPr>
              <w:rFonts w:ascii="Arial" w:hAnsi="Arial"/>
              <w:i/>
              <w:vertAlign w:val="baseline"/>
            </w:rPr>
            <w:t>ParkingEye Ltd v Beavis</w:t>
          </w:r>
          <w:r>
            <w:rPr>
              <w:vertAlign w:val="baseline"/>
            </w:rPr>
            <w:t>. </w:t>
          </w:r>
          <w:hyperlink w:history="true" w:anchor="_bookmark2027">
            <w:r>
              <w:rPr>
                <w:color w:val="005DA1"/>
                <w:u w:val="single" w:color="005DA1"/>
                <w:vertAlign w:val="superscript"/>
              </w:rPr>
              <w:t>1063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However, in the past it has been held a clause may be penal under the “genuine pre-estimate test” even though the sum does not exceed the greatest possible loss. </w:t>
            </w:r>
            <w:hyperlink w:history="true" w:anchor="_bookmark2028">
              <w:r>
                <w:rPr>
                  <w:color w:val="005DA1"/>
                  <w:u w:val="single" w:color="005DA1"/>
                  <w:vertAlign w:val="superscript"/>
                </w:rPr>
                <w:t>1064</w:t>
              </w:r>
            </w:hyperlink>
          </w:hyperlink>
        </w:hyperlink>
      </w:hyperlink>
    </w:p>
    <w:p>
      <w:pPr>
        <w:pStyle w:val="BodyText"/>
        <w:spacing w:line="235" w:lineRule="auto" w:before="14"/>
        <w:ind w:left="165" w:right="167"/>
        <w:jc w:val="both"/>
      </w:pPr>
      <w:r>
        <w:rPr>
          <w:position w:val="-2"/>
        </w:rPr>
        <w:drawing>
          <wp:inline distT="0" distB="0" distL="0" distR="0">
            <wp:extent cx="107988" cy="107988"/>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In </w:t>
      </w:r>
      <w:r>
        <w:rPr>
          <w:rFonts w:ascii="Arial"/>
          <w:i/>
        </w:rPr>
        <w:t>Bridge v Campbell Discount Co Ltd </w:t>
      </w:r>
      <w:r>
        <w:rPr/>
        <w:t>a clause in a hire-purchase providing for a minimum </w:t>
      </w:r>
      <w:bookmarkStart w:name="_bookmark1964" w:id="1966"/>
      <w:bookmarkEnd w:id="1966"/>
      <w:r>
        <w:rPr/>
        <w:t>payment</w:t>
      </w:r>
      <w:r>
        <w:rPr>
          <w:spacing w:val="29"/>
        </w:rPr>
        <w:t> </w:t>
      </w:r>
      <w:r>
        <w:rPr/>
        <w:t>if</w:t>
      </w:r>
      <w:r>
        <w:rPr>
          <w:spacing w:val="29"/>
        </w:rPr>
        <w:t> </w:t>
      </w:r>
      <w:r>
        <w:rPr/>
        <w:t>the</w:t>
      </w:r>
      <w:r>
        <w:rPr>
          <w:spacing w:val="29"/>
        </w:rPr>
        <w:t> </w:t>
      </w:r>
      <w:r>
        <w:rPr/>
        <w:t>hirer</w:t>
      </w:r>
      <w:r>
        <w:rPr>
          <w:spacing w:val="29"/>
        </w:rPr>
        <w:t> </w:t>
      </w:r>
      <w:r>
        <w:rPr/>
        <w:t>defaulted</w:t>
      </w:r>
      <w:r>
        <w:rPr>
          <w:spacing w:val="29"/>
        </w:rPr>
        <w:t> </w:t>
      </w:r>
      <w:r>
        <w:rPr/>
        <w:t>in</w:t>
      </w:r>
      <w:r>
        <w:rPr>
          <w:spacing w:val="29"/>
        </w:rPr>
        <w:t> </w:t>
      </w:r>
      <w:r>
        <w:rPr/>
        <w:t>paying</w:t>
      </w:r>
      <w:r>
        <w:rPr>
          <w:spacing w:val="29"/>
        </w:rPr>
        <w:t> </w:t>
      </w:r>
      <w:r>
        <w:rPr/>
        <w:t>was</w:t>
      </w:r>
      <w:r>
        <w:rPr>
          <w:spacing w:val="29"/>
        </w:rPr>
        <w:t> </w:t>
      </w:r>
      <w:r>
        <w:rPr/>
        <w:t>held</w:t>
      </w:r>
      <w:r>
        <w:rPr>
          <w:spacing w:val="29"/>
        </w:rPr>
        <w:t> </w:t>
      </w:r>
      <w:r>
        <w:rPr/>
        <w:t>to</w:t>
      </w:r>
      <w:r>
        <w:rPr>
          <w:spacing w:val="29"/>
        </w:rPr>
        <w:t> </w:t>
      </w:r>
      <w:r>
        <w:rPr/>
        <w:t>be</w:t>
      </w:r>
      <w:r>
        <w:rPr>
          <w:spacing w:val="29"/>
        </w:rPr>
        <w:t> </w:t>
      </w:r>
      <w:r>
        <w:rPr/>
        <w:t>a</w:t>
      </w:r>
      <w:r>
        <w:rPr>
          <w:spacing w:val="29"/>
        </w:rPr>
        <w:t> </w:t>
      </w:r>
      <w:r>
        <w:rPr/>
        <w:t>penalty</w:t>
      </w:r>
      <w:r>
        <w:rPr>
          <w:spacing w:val="29"/>
        </w:rPr>
        <w:t> </w:t>
      </w:r>
      <w:r>
        <w:rPr/>
        <w:t>because</w:t>
      </w:r>
      <w:r>
        <w:rPr>
          <w:spacing w:val="29"/>
        </w:rPr>
        <w:t> </w:t>
      </w:r>
      <w:r>
        <w:rPr/>
        <w:t>the</w:t>
      </w:r>
      <w:r>
        <w:rPr>
          <w:spacing w:val="29"/>
        </w:rPr>
        <w:t> </w:t>
      </w:r>
      <w:r>
        <w:rPr/>
        <w:t>loss</w:t>
      </w:r>
      <w:r>
        <w:rPr>
          <w:spacing w:val="29"/>
        </w:rPr>
        <w:t> </w:t>
      </w:r>
      <w:r>
        <w:rPr/>
        <w:t>to</w:t>
      </w:r>
      <w:r>
        <w:rPr>
          <w:spacing w:val="29"/>
        </w:rPr>
        <w:t> </w:t>
      </w:r>
      <w:r>
        <w:rPr/>
        <w:t>the</w:t>
      </w:r>
      <w:r>
        <w:rPr>
          <w:spacing w:val="29"/>
        </w:rPr>
        <w:t> </w:t>
      </w:r>
      <w:r>
        <w:rPr>
          <w:spacing w:val="-2"/>
        </w:rPr>
        <w:t>finance</w:t>
      </w:r>
    </w:p>
    <w:p>
      <w:pPr>
        <w:pStyle w:val="BodyText"/>
        <w:spacing w:line="235" w:lineRule="auto" w:before="119"/>
        <w:ind w:left="164" w:right="167"/>
        <w:jc w:val="both"/>
      </w:pPr>
      <w:r>
        <w:rPr/>
        <w:t>company would differ according to how long the hirer kept the vehicle. </w:t>
      </w:r>
      <w:hyperlink w:history="true" w:anchor="_bookmark2029">
        <w:r>
          <w:rPr>
            <w:color w:val="005DA1"/>
            <w:u w:val="single" w:color="005DA1"/>
            <w:vertAlign w:val="superscript"/>
          </w:rPr>
          <w:t>1065</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True, in that case </w:t>
        </w:r>
        <w:r>
          <w:rPr>
            <w:vertAlign w:val="baseline"/>
          </w:rPr>
          <w:t>the amount payable under the clause would also vary according to how much of the price the hirer had already paid, so that the two situations are technically distinguishable, but it is thought that the result in the </w:t>
        </w:r>
        <w:r>
          <w:rPr>
            <w:rFonts w:ascii="Arial" w:hAnsi="Arial"/>
            <w:i/>
            <w:vertAlign w:val="baseline"/>
          </w:rPr>
          <w:t>Bridge </w:t>
        </w:r>
        <w:r>
          <w:rPr>
            <w:vertAlign w:val="baseline"/>
          </w:rPr>
          <w:t>case would have been the same if the clause had simply stated a fixed sum that the</w:t>
        </w:r>
        <w:r>
          <w:rPr>
            <w:spacing w:val="40"/>
            <w:vertAlign w:val="baseline"/>
          </w:rPr>
          <w:t> </w:t>
        </w:r>
        <w:r>
          <w:rPr>
            <w:vertAlign w:val="baseline"/>
          </w:rPr>
          <w:t>hirer must pay however much he had paid already. So it is better to treat Lord Dunedin’s and Lord </w:t>
        </w:r>
        <w:bookmarkStart w:name="_bookmark1965" w:id="1967"/>
        <w:bookmarkEnd w:id="1967"/>
        <w:r>
          <w:rPr>
            <w:vertAlign w:val="baseline"/>
          </w:rPr>
          <w:t>Parker’s</w:t>
        </w:r>
        <w:r>
          <w:rPr>
            <w:spacing w:val="34"/>
            <w:vertAlign w:val="baseline"/>
          </w:rPr>
          <w:t> </w:t>
        </w:r>
        <w:r>
          <w:rPr>
            <w:vertAlign w:val="baseline"/>
          </w:rPr>
          <w:t>statements</w:t>
        </w:r>
        <w:r>
          <w:rPr>
            <w:spacing w:val="34"/>
            <w:vertAlign w:val="baseline"/>
          </w:rPr>
          <w:t> </w:t>
        </w:r>
        <w:r>
          <w:rPr>
            <w:vertAlign w:val="baseline"/>
          </w:rPr>
          <w:t>quoted</w:t>
        </w:r>
        <w:r>
          <w:rPr>
            <w:spacing w:val="34"/>
            <w:vertAlign w:val="baseline"/>
          </w:rPr>
          <w:t> </w:t>
        </w:r>
        <w:r>
          <w:rPr>
            <w:vertAlign w:val="baseline"/>
          </w:rPr>
          <w:t>above</w:t>
        </w:r>
        <w:r>
          <w:rPr>
            <w:spacing w:val="34"/>
            <w:vertAlign w:val="baseline"/>
          </w:rPr>
          <w:t> </w:t>
        </w:r>
        <w:r>
          <w:rPr>
            <w:vertAlign w:val="baseline"/>
          </w:rPr>
          <w:t>as</w:t>
        </w:r>
        <w:r>
          <w:rPr>
            <w:spacing w:val="34"/>
            <w:vertAlign w:val="baseline"/>
          </w:rPr>
          <w:t> </w:t>
        </w:r>
        <w:r>
          <w:rPr>
            <w:vertAlign w:val="baseline"/>
          </w:rPr>
          <w:t>no</w:t>
        </w:r>
        <w:r>
          <w:rPr>
            <w:spacing w:val="34"/>
            <w:vertAlign w:val="baseline"/>
          </w:rPr>
          <w:t> </w:t>
        </w:r>
        <w:r>
          <w:rPr>
            <w:vertAlign w:val="baseline"/>
          </w:rPr>
          <w:t>more</w:t>
        </w:r>
        <w:r>
          <w:rPr>
            <w:spacing w:val="34"/>
            <w:vertAlign w:val="baseline"/>
          </w:rPr>
          <w:t> </w:t>
        </w:r>
        <w:r>
          <w:rPr>
            <w:vertAlign w:val="baseline"/>
          </w:rPr>
          <w:t>than</w:t>
        </w:r>
        <w:r>
          <w:rPr>
            <w:spacing w:val="34"/>
            <w:vertAlign w:val="baseline"/>
          </w:rPr>
          <w:t> </w:t>
        </w:r>
        <w:r>
          <w:rPr>
            <w:vertAlign w:val="baseline"/>
          </w:rPr>
          <w:t>a</w:t>
        </w:r>
        <w:r>
          <w:rPr>
            <w:spacing w:val="34"/>
            <w:vertAlign w:val="baseline"/>
          </w:rPr>
          <w:t> </w:t>
        </w:r>
        <w:r>
          <w:rPr>
            <w:vertAlign w:val="baseline"/>
          </w:rPr>
          <w:t>presumption</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used</w:t>
        </w:r>
        <w:r>
          <w:rPr>
            <w:spacing w:val="34"/>
            <w:vertAlign w:val="baseline"/>
          </w:rPr>
          <w:t> </w:t>
        </w:r>
        <w:r>
          <w:rPr>
            <w:vertAlign w:val="baseline"/>
          </w:rPr>
          <w:t>when</w:t>
        </w:r>
        <w:r>
          <w:rPr>
            <w:spacing w:val="34"/>
            <w:vertAlign w:val="baseline"/>
          </w:rPr>
          <w:t> </w:t>
        </w:r>
        <w:r>
          <w:rPr>
            <w:vertAlign w:val="baseline"/>
          </w:rPr>
          <w:t>the</w:t>
        </w:r>
        <w:r>
          <w:rPr>
            <w:spacing w:val="34"/>
            <w:vertAlign w:val="baseline"/>
          </w:rPr>
          <w:t> </w:t>
        </w:r>
        <w:r>
          <w:rPr>
            <w:spacing w:val="-2"/>
            <w:vertAlign w:val="baseline"/>
          </w:rPr>
          <w:t>genuine</w:t>
        </w:r>
      </w:hyperlink>
    </w:p>
    <w:p>
      <w:pPr>
        <w:pStyle w:val="BodyText"/>
        <w:spacing w:line="235" w:lineRule="auto" w:before="118"/>
        <w:ind w:left="165" w:right="167"/>
        <w:jc w:val="both"/>
      </w:pPr>
      <w:r>
        <w:rPr/>
        <w:t>pre-estimate test is being applied </w:t>
      </w:r>
      <w:hyperlink w:history="true" w:anchor="_bookmark2030">
        <w:r>
          <w:rPr>
            <w:color w:val="005DA1"/>
            <w:u w:val="single" w:color="005DA1"/>
            <w:vertAlign w:val="superscript"/>
          </w:rPr>
          <w:t>1066</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vertAlign w:val="baseline"/>
          </w:rPr>
          <w:t>; and to note that when the claimant has a legitimate interest </w:t>
        </w:r>
        <w:bookmarkStart w:name="_bookmark1966" w:id="1968"/>
        <w:bookmarkEnd w:id="1968"/>
        <w:r>
          <w:rPr>
            <w:vertAlign w:val="baseline"/>
          </w:rPr>
          <w:t>in</w:t>
        </w:r>
        <w:r>
          <w:rPr>
            <w:spacing w:val="80"/>
            <w:vertAlign w:val="baseline"/>
          </w:rPr>
          <w:t> </w:t>
        </w:r>
        <w:r>
          <w:rPr>
            <w:vertAlign w:val="baseline"/>
          </w:rPr>
          <w:t>obtaining</w:t>
        </w:r>
        <w:r>
          <w:rPr>
            <w:spacing w:val="80"/>
            <w:vertAlign w:val="baseline"/>
          </w:rPr>
          <w:t> </w:t>
        </w:r>
        <w:r>
          <w:rPr>
            <w:vertAlign w:val="baseline"/>
          </w:rPr>
          <w:t>performance</w:t>
        </w:r>
        <w:r>
          <w:rPr>
            <w:spacing w:val="80"/>
            <w:vertAlign w:val="baseline"/>
          </w:rPr>
          <w:t> </w:t>
        </w:r>
        <w:r>
          <w:rPr>
            <w:vertAlign w:val="baseline"/>
          </w:rPr>
          <w:t>rather</w:t>
        </w:r>
        <w:r>
          <w:rPr>
            <w:spacing w:val="80"/>
            <w:vertAlign w:val="baseline"/>
          </w:rPr>
          <w:t> </w:t>
        </w:r>
        <w:r>
          <w:rPr>
            <w:vertAlign w:val="baseline"/>
          </w:rPr>
          <w:t>than</w:t>
        </w:r>
        <w:r>
          <w:rPr>
            <w:spacing w:val="80"/>
            <w:vertAlign w:val="baseline"/>
          </w:rPr>
          <w:t> </w:t>
        </w:r>
        <w:r>
          <w:rPr>
            <w:vertAlign w:val="baseline"/>
          </w:rPr>
          <w:t>damages,</w:t>
        </w:r>
        <w:r>
          <w:rPr>
            <w:spacing w:val="80"/>
            <w:vertAlign w:val="baseline"/>
          </w:rPr>
          <w:t> </w:t>
        </w:r>
        <w:r>
          <w:rPr>
            <w:vertAlign w:val="baseline"/>
          </w:rPr>
          <w:t>an</w:t>
        </w:r>
        <w:r>
          <w:rPr>
            <w:spacing w:val="80"/>
            <w:vertAlign w:val="baseline"/>
          </w:rPr>
          <w:t> </w:t>
        </w:r>
        <w:r>
          <w:rPr>
            <w:vertAlign w:val="baseline"/>
          </w:rPr>
          <w:t>agreed</w:t>
        </w:r>
        <w:r>
          <w:rPr>
            <w:spacing w:val="80"/>
            <w:vertAlign w:val="baseline"/>
          </w:rPr>
          <w:t> </w:t>
        </w:r>
        <w:r>
          <w:rPr>
            <w:vertAlign w:val="baseline"/>
          </w:rPr>
          <w:t>sum</w:t>
        </w:r>
        <w:r>
          <w:rPr>
            <w:spacing w:val="80"/>
            <w:vertAlign w:val="baseline"/>
          </w:rPr>
          <w:t> </w:t>
        </w:r>
        <w:r>
          <w:rPr>
            <w:vertAlign w:val="baseline"/>
          </w:rPr>
          <w:t>that</w:t>
        </w:r>
        <w:r>
          <w:rPr>
            <w:spacing w:val="80"/>
            <w:vertAlign w:val="baseline"/>
          </w:rPr>
          <w:t> </w:t>
        </w:r>
        <w:r>
          <w:rPr>
            <w:vertAlign w:val="baseline"/>
          </w:rPr>
          <w:t>is</w:t>
        </w:r>
        <w:r>
          <w:rPr>
            <w:spacing w:val="80"/>
            <w:vertAlign w:val="baseline"/>
          </w:rPr>
          <w:t> </w:t>
        </w:r>
        <w:r>
          <w:rPr>
            <w:vertAlign w:val="baseline"/>
          </w:rPr>
          <w:t>not</w:t>
        </w:r>
        <w:r>
          <w:rPr>
            <w:spacing w:val="80"/>
            <w:vertAlign w:val="baseline"/>
          </w:rPr>
          <w:t> </w:t>
        </w:r>
        <w:r>
          <w:rPr>
            <w:vertAlign w:val="baseline"/>
          </w:rPr>
          <w:t>extravagant</w:t>
        </w:r>
        <w:r>
          <w:rPr>
            <w:spacing w:val="80"/>
            <w:vertAlign w:val="baseline"/>
          </w:rPr>
          <w:t> </w:t>
        </w:r>
        <w:r>
          <w:rPr>
            <w:spacing w:val="-5"/>
            <w:vertAlign w:val="baseline"/>
          </w:rPr>
          <w:t>and</w:t>
        </w:r>
      </w:hyperlink>
    </w:p>
    <w:p>
      <w:pPr>
        <w:pStyle w:val="BodyText"/>
        <w:spacing w:before="115"/>
        <w:ind w:left="165"/>
        <w:jc w:val="both"/>
        <w:rPr>
          <w:position w:val="-2"/>
        </w:rPr>
      </w:pPr>
      <w:r>
        <w:rPr/>
        <w:t>unconscionable in relation to the greatest loss that might follow is likely to be treated as valid. </w:t>
      </w:r>
      <w:hyperlink w:history="true" w:anchor="_bookmark2031">
        <w:r>
          <w:rPr>
            <w:color w:val="005DA1"/>
            <w:u w:val="single" w:color="005DA1"/>
            <w:vertAlign w:val="superscript"/>
          </w:rPr>
          <w:t>1067</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Graduated </w:t>
      </w:r>
      <w:r>
        <w:rPr>
          <w:rFonts w:asci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building contracts and other similar contracts the courts have upheld as liquidated damages </w:t>
      </w:r>
      <w:r>
        <w:rPr/>
        <w:t>a </w:t>
      </w:r>
      <w:bookmarkStart w:name="_bookmark1967" w:id="1969"/>
      <w:bookmarkEnd w:id="1969"/>
      <w:r>
        <w:rPr/>
        <w:t>system</w:t>
      </w:r>
      <w:r>
        <w:rPr>
          <w:spacing w:val="33"/>
        </w:rPr>
        <w:t> </w:t>
      </w:r>
      <w:r>
        <w:rPr/>
        <w:t>of</w:t>
      </w:r>
      <w:r>
        <w:rPr>
          <w:spacing w:val="33"/>
        </w:rPr>
        <w:t> </w:t>
      </w:r>
      <w:r>
        <w:rPr/>
        <w:t>graduated</w:t>
      </w:r>
      <w:r>
        <w:rPr>
          <w:spacing w:val="33"/>
        </w:rPr>
        <w:t> </w:t>
      </w:r>
      <w:r>
        <w:rPr/>
        <w:t>sums</w:t>
      </w:r>
      <w:r>
        <w:rPr>
          <w:spacing w:val="33"/>
        </w:rPr>
        <w:t> </w:t>
      </w:r>
      <w:r>
        <w:rPr/>
        <w:t>which</w:t>
      </w:r>
      <w:r>
        <w:rPr>
          <w:spacing w:val="33"/>
        </w:rPr>
        <w:t> </w:t>
      </w:r>
      <w:r>
        <w:rPr/>
        <w:t>increase</w:t>
      </w:r>
      <w:r>
        <w:rPr>
          <w:spacing w:val="33"/>
        </w:rPr>
        <w:t> </w:t>
      </w:r>
      <w:r>
        <w:rPr/>
        <w:t>in</w:t>
      </w:r>
      <w:r>
        <w:rPr>
          <w:spacing w:val="33"/>
        </w:rPr>
        <w:t> </w:t>
      </w:r>
      <w:r>
        <w:rPr/>
        <w:t>proportion</w:t>
      </w:r>
      <w:r>
        <w:rPr>
          <w:spacing w:val="33"/>
        </w:rPr>
        <w:t> </w:t>
      </w:r>
      <w:r>
        <w:rPr/>
        <w:t>to</w:t>
      </w:r>
      <w:r>
        <w:rPr>
          <w:spacing w:val="33"/>
        </w:rPr>
        <w:t> </w:t>
      </w:r>
      <w:r>
        <w:rPr/>
        <w:t>the</w:t>
      </w:r>
      <w:r>
        <w:rPr>
          <w:spacing w:val="33"/>
        </w:rPr>
        <w:t> </w:t>
      </w:r>
      <w:r>
        <w:rPr/>
        <w:t>seriousness</w:t>
      </w:r>
      <w:r>
        <w:rPr>
          <w:spacing w:val="33"/>
        </w:rPr>
        <w:t> </w:t>
      </w:r>
      <w:r>
        <w:rPr/>
        <w:t>of</w:t>
      </w:r>
      <w:r>
        <w:rPr>
          <w:spacing w:val="33"/>
        </w:rPr>
        <w:t> </w:t>
      </w:r>
      <w:r>
        <w:rPr/>
        <w:t>the</w:t>
      </w:r>
      <w:r>
        <w:rPr>
          <w:spacing w:val="33"/>
        </w:rPr>
        <w:t> </w:t>
      </w:r>
      <w:r>
        <w:rPr/>
        <w:t>breach,</w:t>
      </w:r>
      <w:r>
        <w:rPr>
          <w:spacing w:val="33"/>
        </w:rPr>
        <w:t> </w:t>
      </w:r>
      <w:r>
        <w:rPr/>
        <w:t>e.g.</w:t>
      </w:r>
      <w:r>
        <w:rPr>
          <w:spacing w:val="33"/>
        </w:rPr>
        <w:t> </w:t>
      </w:r>
      <w:r>
        <w:rPr>
          <w:spacing w:val="-5"/>
        </w:rPr>
        <w:t>so</w:t>
      </w:r>
    </w:p>
    <w:p>
      <w:pPr>
        <w:pStyle w:val="BodyText"/>
        <w:spacing w:line="360" w:lineRule="auto" w:before="116"/>
        <w:ind w:left="165" w:right="167"/>
        <w:jc w:val="both"/>
      </w:pPr>
      <w:bookmarkStart w:name="_bookmark1968" w:id="1970"/>
      <w:bookmarkEnd w:id="1970"/>
      <w:r>
        <w:rPr/>
      </w:r>
      <w:r>
        <w:rPr/>
        <w:t>much per week for delay in performance, </w:t>
      </w:r>
      <w:hyperlink w:history="true" w:anchor="_bookmark2032">
        <w:r>
          <w:rPr>
            <w:color w:val="005DA1"/>
            <w:u w:val="single" w:color="005DA1"/>
            <w:vertAlign w:val="superscript"/>
          </w:rPr>
          <w:t>1068</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8"/>
            <w:vertAlign w:val="baseline"/>
          </w:rPr>
          <w:t> </w:t>
        </w:r>
        <w:r>
          <w:rPr>
            <w:vertAlign w:val="baseline"/>
          </w:rPr>
          <w:t>or so much according to the number of items in </w:t>
        </w:r>
        <w:bookmarkStart w:name="_bookmark1969" w:id="1971"/>
        <w:bookmarkEnd w:id="1971"/>
        <w:r>
          <w:rPr>
            <w:vertAlign w:val="baseline"/>
          </w:rPr>
          <w:t>question.</w:t>
        </w:r>
        <w:r>
          <w:rPr>
            <w:spacing w:val="5"/>
            <w:vertAlign w:val="baseline"/>
          </w:rPr>
          <w:t> </w:t>
        </w:r>
        <w:hyperlink w:history="true" w:anchor="_bookmark2033">
          <w:r>
            <w:rPr>
              <w:color w:val="005DA1"/>
              <w:u w:val="single" w:color="005DA1"/>
              <w:vertAlign w:val="superscript"/>
            </w:rPr>
            <w:t>1069</w:t>
          </w:r>
          <w:r>
            <w:rPr>
              <w:color w:val="005DA1"/>
              <w:spacing w:val="37"/>
              <w:vertAlign w:val="baseline"/>
            </w:rPr>
            <w:t>  </w:t>
          </w:r>
          <w:r>
            <w:rPr>
              <w:color w:val="005DA1"/>
              <w:spacing w:val="22"/>
              <w:position w:val="-2"/>
              <w:vertAlign w:val="baseline"/>
            </w:rPr>
            <w:drawing>
              <wp:inline distT="0" distB="0" distL="0" distR="0">
                <wp:extent cx="107988" cy="107988"/>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0"/>
              <w:vertAlign w:val="baseline"/>
            </w:rPr>
            <w:t> </w:t>
          </w:r>
          <w:r>
            <w:rPr>
              <w:vertAlign w:val="baseline"/>
            </w:rPr>
            <w:t>If</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building</w:t>
          </w:r>
          <w:r>
            <w:rPr>
              <w:spacing w:val="6"/>
              <w:vertAlign w:val="baseline"/>
            </w:rPr>
            <w:t> </w:t>
          </w:r>
          <w:r>
            <w:rPr>
              <w:vertAlign w:val="baseline"/>
            </w:rPr>
            <w:t>contract</w:t>
          </w:r>
          <w:r>
            <w:rPr>
              <w:spacing w:val="6"/>
              <w:vertAlign w:val="baseline"/>
            </w:rPr>
            <w:t> </w:t>
          </w:r>
          <w:r>
            <w:rPr>
              <w:vertAlign w:val="baseline"/>
            </w:rPr>
            <w:t>there</w:t>
          </w:r>
          <w:r>
            <w:rPr>
              <w:spacing w:val="6"/>
              <w:vertAlign w:val="baseline"/>
            </w:rPr>
            <w:t> </w:t>
          </w:r>
          <w:r>
            <w:rPr>
              <w:vertAlign w:val="baseline"/>
            </w:rPr>
            <w:t>is</w:t>
          </w:r>
          <w:r>
            <w:rPr>
              <w:spacing w:val="5"/>
              <w:vertAlign w:val="baseline"/>
            </w:rPr>
            <w:t> </w:t>
          </w:r>
          <w:r>
            <w:rPr>
              <w:vertAlign w:val="baseline"/>
            </w:rPr>
            <w:t>no</w:t>
          </w:r>
          <w:r>
            <w:rPr>
              <w:spacing w:val="6"/>
              <w:vertAlign w:val="baseline"/>
            </w:rPr>
            <w:t> </w:t>
          </w:r>
          <w:r>
            <w:rPr>
              <w:vertAlign w:val="baseline"/>
            </w:rPr>
            <w:t>such</w:t>
          </w:r>
          <w:r>
            <w:rPr>
              <w:spacing w:val="6"/>
              <w:vertAlign w:val="baseline"/>
            </w:rPr>
            <w:t> </w:t>
          </w:r>
          <w:r>
            <w:rPr>
              <w:vertAlign w:val="baseline"/>
            </w:rPr>
            <w:t>graduation</w:t>
          </w:r>
          <w:r>
            <w:rPr>
              <w:spacing w:val="6"/>
              <w:vertAlign w:val="baseline"/>
            </w:rPr>
            <w:t> </w:t>
          </w:r>
          <w:r>
            <w:rPr>
              <w:vertAlign w:val="baseline"/>
            </w:rPr>
            <w:t>the</w:t>
          </w:r>
          <w:r>
            <w:rPr>
              <w:spacing w:val="6"/>
              <w:vertAlign w:val="baseline"/>
            </w:rPr>
            <w:t> </w:t>
          </w:r>
          <w:r>
            <w:rPr>
              <w:vertAlign w:val="baseline"/>
            </w:rPr>
            <w:t>sum</w:t>
          </w:r>
          <w:r>
            <w:rPr>
              <w:spacing w:val="6"/>
              <w:vertAlign w:val="baseline"/>
            </w:rPr>
            <w:t> </w:t>
          </w:r>
          <w:r>
            <w:rPr>
              <w:vertAlign w:val="baseline"/>
            </w:rPr>
            <w:t>fixed</w:t>
          </w:r>
          <w:r>
            <w:rPr>
              <w:spacing w:val="6"/>
              <w:vertAlign w:val="baseline"/>
            </w:rPr>
            <w:t> </w:t>
          </w:r>
          <w:r>
            <w:rPr>
              <w:vertAlign w:val="baseline"/>
            </w:rPr>
            <w:t>is</w:t>
          </w:r>
          <w:r>
            <w:rPr>
              <w:spacing w:val="6"/>
              <w:vertAlign w:val="baseline"/>
            </w:rPr>
            <w:t> </w:t>
          </w:r>
          <w:r>
            <w:rPr>
              <w:vertAlign w:val="baseline"/>
            </w:rPr>
            <w:t>less</w:t>
          </w:r>
          <w:r>
            <w:rPr>
              <w:spacing w:val="6"/>
              <w:vertAlign w:val="baseline"/>
            </w:rPr>
            <w:t> </w:t>
          </w:r>
          <w:r>
            <w:rPr>
              <w:vertAlign w:val="baseline"/>
            </w:rPr>
            <w:t>likely</w:t>
          </w:r>
          <w:r>
            <w:rPr>
              <w:spacing w:val="6"/>
              <w:vertAlign w:val="baseline"/>
            </w:rPr>
            <w:t> </w:t>
          </w:r>
          <w:r>
            <w:rPr>
              <w:vertAlign w:val="baseline"/>
            </w:rPr>
            <w:t>to</w:t>
          </w:r>
          <w:r>
            <w:rPr>
              <w:spacing w:val="6"/>
              <w:vertAlign w:val="baseline"/>
            </w:rPr>
            <w:t> </w:t>
          </w:r>
          <w:r>
            <w:rPr>
              <w:spacing w:val="-7"/>
              <w:vertAlign w:val="baseline"/>
            </w:rPr>
            <w:t>be</w:t>
          </w:r>
        </w:hyperlink>
      </w:hyperlink>
    </w:p>
    <w:p>
      <w:pPr>
        <w:pStyle w:val="BodyText"/>
        <w:spacing w:line="235" w:lineRule="auto" w:before="4"/>
        <w:ind w:left="165" w:right="167"/>
        <w:jc w:val="both"/>
      </w:pPr>
      <w:r>
        <w:rPr/>
        <w:t>held to be a genuine pre-estimate. </w:t>
      </w:r>
      <w:hyperlink w:history="true" w:anchor="_bookmark2034">
        <w:r>
          <w:rPr>
            <w:color w:val="005DA1"/>
            <w:u w:val="single" w:color="005DA1"/>
            <w:vertAlign w:val="superscript"/>
          </w:rPr>
          <w:t>1070</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The sum must be graduated so that it changes in the right direction. Depreciation obviously increases over time, so a sum said to be compensation </w:t>
        </w:r>
        <w:r>
          <w:rPr>
            <w:vertAlign w:val="baseline"/>
          </w:rPr>
          <w:t>for </w:t>
        </w:r>
        <w:bookmarkStart w:name="_bookmark1970" w:id="1972"/>
        <w:bookmarkEnd w:id="1972"/>
        <w:r>
          <w:rPr>
            <w:vertAlign w:val="baseline"/>
          </w:rPr>
          <w:t>depreciation</w:t>
        </w:r>
        <w:r>
          <w:rPr>
            <w:spacing w:val="39"/>
            <w:vertAlign w:val="baseline"/>
          </w:rPr>
          <w:t> </w:t>
        </w:r>
        <w:r>
          <w:rPr>
            <w:vertAlign w:val="baseline"/>
          </w:rPr>
          <w:t>is</w:t>
        </w:r>
        <w:r>
          <w:rPr>
            <w:spacing w:val="39"/>
            <w:vertAlign w:val="baseline"/>
          </w:rPr>
          <w:t> </w:t>
        </w:r>
        <w:r>
          <w:rPr>
            <w:vertAlign w:val="baseline"/>
          </w:rPr>
          <w:t>not</w:t>
        </w:r>
        <w:r>
          <w:rPr>
            <w:spacing w:val="39"/>
            <w:vertAlign w:val="baseline"/>
          </w:rPr>
          <w:t> </w:t>
        </w:r>
        <w:r>
          <w:rPr>
            <w:vertAlign w:val="baseline"/>
          </w:rPr>
          <w:t>a</w:t>
        </w:r>
        <w:r>
          <w:rPr>
            <w:spacing w:val="39"/>
            <w:vertAlign w:val="baseline"/>
          </w:rPr>
          <w:t> </w:t>
        </w:r>
        <w:r>
          <w:rPr>
            <w:vertAlign w:val="baseline"/>
          </w:rPr>
          <w:t>genuine</w:t>
        </w:r>
        <w:r>
          <w:rPr>
            <w:spacing w:val="39"/>
            <w:vertAlign w:val="baseline"/>
          </w:rPr>
          <w:t> </w:t>
        </w:r>
        <w:r>
          <w:rPr>
            <w:vertAlign w:val="baseline"/>
          </w:rPr>
          <w:t>preestimate</w:t>
        </w:r>
        <w:r>
          <w:rPr>
            <w:spacing w:val="39"/>
            <w:vertAlign w:val="baseline"/>
          </w:rPr>
          <w:t> </w:t>
        </w:r>
        <w:r>
          <w:rPr>
            <w:vertAlign w:val="baseline"/>
          </w:rPr>
          <w:t>of</w:t>
        </w:r>
        <w:r>
          <w:rPr>
            <w:spacing w:val="39"/>
            <w:vertAlign w:val="baseline"/>
          </w:rPr>
          <w:t> </w:t>
        </w:r>
        <w:r>
          <w:rPr>
            <w:vertAlign w:val="baseline"/>
          </w:rPr>
          <w:t>loss</w:t>
        </w:r>
        <w:r>
          <w:rPr>
            <w:spacing w:val="39"/>
            <w:vertAlign w:val="baseline"/>
          </w:rPr>
          <w:t> </w:t>
        </w:r>
        <w:r>
          <w:rPr>
            <w:vertAlign w:val="baseline"/>
          </w:rPr>
          <w:t>if</w:t>
        </w:r>
        <w:r>
          <w:rPr>
            <w:spacing w:val="39"/>
            <w:vertAlign w:val="baseline"/>
          </w:rPr>
          <w:t> </w:t>
        </w:r>
        <w:r>
          <w:rPr>
            <w:vertAlign w:val="baseline"/>
          </w:rPr>
          <w:t>it</w:t>
        </w:r>
        <w:r>
          <w:rPr>
            <w:spacing w:val="38"/>
            <w:vertAlign w:val="baseline"/>
          </w:rPr>
          <w:t> </w:t>
        </w:r>
        <w:r>
          <w:rPr>
            <w:rFonts w:ascii="Arial"/>
            <w:i/>
            <w:vertAlign w:val="baseline"/>
          </w:rPr>
          <w:t>decreases</w:t>
        </w:r>
        <w:r>
          <w:rPr>
            <w:rFonts w:ascii="Arial"/>
            <w:i/>
            <w:spacing w:val="39"/>
            <w:vertAlign w:val="baseline"/>
          </w:rPr>
          <w:t> </w:t>
        </w:r>
        <w:r>
          <w:rPr>
            <w:vertAlign w:val="baseline"/>
          </w:rPr>
          <w:t>over</w:t>
        </w:r>
        <w:r>
          <w:rPr>
            <w:spacing w:val="39"/>
            <w:vertAlign w:val="baseline"/>
          </w:rPr>
          <w:t> </w:t>
        </w:r>
        <w:r>
          <w:rPr>
            <w:vertAlign w:val="baseline"/>
          </w:rPr>
          <w:t>time</w:t>
        </w:r>
        <w:r>
          <w:rPr>
            <w:spacing w:val="39"/>
            <w:vertAlign w:val="baseline"/>
          </w:rPr>
          <w:t> </w:t>
        </w:r>
        <w:r>
          <w:rPr>
            <w:vertAlign w:val="baseline"/>
          </w:rPr>
          <w:t>as</w:t>
        </w:r>
        <w:r>
          <w:rPr>
            <w:spacing w:val="39"/>
            <w:vertAlign w:val="baseline"/>
          </w:rPr>
          <w:t> </w:t>
        </w:r>
        <w:r>
          <w:rPr>
            <w:vertAlign w:val="baseline"/>
          </w:rPr>
          <w:t>a</w:t>
        </w:r>
        <w:r>
          <w:rPr>
            <w:spacing w:val="39"/>
            <w:vertAlign w:val="baseline"/>
          </w:rPr>
          <w:t> </w:t>
        </w:r>
        <w:r>
          <w:rPr>
            <w:vertAlign w:val="baseline"/>
          </w:rPr>
          <w:t>hirer</w:t>
        </w:r>
        <w:r>
          <w:rPr>
            <w:spacing w:val="39"/>
            <w:vertAlign w:val="baseline"/>
          </w:rPr>
          <w:t> </w:t>
        </w:r>
        <w:r>
          <w:rPr>
            <w:vertAlign w:val="baseline"/>
          </w:rPr>
          <w:t>pays</w:t>
        </w:r>
        <w:r>
          <w:rPr>
            <w:spacing w:val="39"/>
            <w:vertAlign w:val="baseline"/>
          </w:rPr>
          <w:t> </w:t>
        </w:r>
        <w:r>
          <w:rPr>
            <w:spacing w:val="-4"/>
            <w:vertAlign w:val="baseline"/>
          </w:rPr>
          <w:t>more</w:t>
        </w:r>
      </w:hyperlink>
    </w:p>
    <w:p>
      <w:pPr>
        <w:pStyle w:val="BodyText"/>
        <w:spacing w:before="115"/>
        <w:ind w:left="165"/>
        <w:jc w:val="both"/>
        <w:rPr>
          <w:position w:val="-2"/>
        </w:rPr>
      </w:pPr>
      <w:r>
        <w:rPr/>
        <w:t>instalments. </w:t>
      </w:r>
      <w:hyperlink w:history="true" w:anchor="_bookmark2035">
        <w:r>
          <w:rPr>
            <w:color w:val="005DA1"/>
            <w:u w:val="single" w:color="005DA1"/>
            <w:vertAlign w:val="superscript"/>
          </w:rPr>
          <w:t>1071</w:t>
        </w:r>
        <w:r>
          <w:rPr>
            <w:color w:val="005DA1"/>
            <w:spacing w:val="80"/>
            <w:vertAlign w:val="baseline"/>
          </w:rPr>
          <w:t> </w:t>
        </w:r>
        <w:r>
          <w:rPr>
            <w:color w:val="005DA1"/>
            <w:position w:val="-2"/>
            <w:vertAlign w:val="baseline"/>
          </w:rPr>
          <w:drawing>
            <wp:inline distT="0" distB="0" distL="0" distR="0">
              <wp:extent cx="107988" cy="107988"/>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Damages following termination by the innocent party under an express </w:t>
      </w:r>
      <w:r>
        <w:rPr>
          <w:rFonts w:ascii="Arial"/>
          <w:b/>
          <w:spacing w:val="-4"/>
          <w:sz w:val="18"/>
        </w:rPr>
        <w:t>term</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192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the hirer has neither repudiated the hiring (or hire-purchase) agreement, nor committed </w:t>
      </w:r>
      <w:r>
        <w:rPr/>
        <w:t>a “fundamental breach” of it, but the owner terminates it in the exercise of an express power to do so </w:t>
      </w:r>
      <w:bookmarkStart w:name="_bookmark1971" w:id="1973"/>
      <w:bookmarkEnd w:id="1973"/>
      <w:r>
        <w:rPr/>
        <w:t>conferred</w:t>
      </w:r>
      <w:r>
        <w:rPr>
          <w:spacing w:val="11"/>
        </w:rPr>
        <w:t> </w:t>
      </w:r>
      <w:r>
        <w:rPr/>
        <w:t>by</w:t>
      </w:r>
      <w:r>
        <w:rPr>
          <w:spacing w:val="11"/>
        </w:rPr>
        <w:t> </w:t>
      </w:r>
      <w:r>
        <w:rPr/>
        <w:t>the</w:t>
      </w:r>
      <w:r>
        <w:rPr>
          <w:spacing w:val="11"/>
        </w:rPr>
        <w:t> </w:t>
      </w:r>
      <w:r>
        <w:rPr/>
        <w:t>agreement,</w:t>
      </w:r>
      <w:r>
        <w:rPr>
          <w:spacing w:val="11"/>
        </w:rPr>
        <w:t> </w:t>
      </w:r>
      <w:r>
        <w:rPr/>
        <w:t>the</w:t>
      </w:r>
      <w:r>
        <w:rPr>
          <w:spacing w:val="11"/>
        </w:rPr>
        <w:t> </w:t>
      </w:r>
      <w:r>
        <w:rPr/>
        <w:t>owner’s</w:t>
      </w:r>
      <w:r>
        <w:rPr>
          <w:spacing w:val="11"/>
        </w:rPr>
        <w:t> </w:t>
      </w:r>
      <w:r>
        <w:rPr/>
        <w:t>damages</w:t>
      </w:r>
      <w:r>
        <w:rPr>
          <w:spacing w:val="11"/>
        </w:rPr>
        <w:t> </w:t>
      </w:r>
      <w:r>
        <w:rPr/>
        <w:t>are</w:t>
      </w:r>
      <w:r>
        <w:rPr>
          <w:spacing w:val="11"/>
        </w:rPr>
        <w:t> </w:t>
      </w:r>
      <w:r>
        <w:rPr/>
        <w:t>limited</w:t>
      </w:r>
      <w:r>
        <w:rPr>
          <w:spacing w:val="11"/>
        </w:rPr>
        <w:t> </w:t>
      </w:r>
      <w:r>
        <w:rPr/>
        <w:t>to</w:t>
      </w:r>
      <w:r>
        <w:rPr>
          <w:spacing w:val="11"/>
        </w:rPr>
        <w:t> </w:t>
      </w:r>
      <w:r>
        <w:rPr/>
        <w:t>loss</w:t>
      </w:r>
      <w:r>
        <w:rPr>
          <w:spacing w:val="11"/>
        </w:rPr>
        <w:t> </w:t>
      </w:r>
      <w:r>
        <w:rPr/>
        <w:t>suffered</w:t>
      </w:r>
      <w:r>
        <w:rPr>
          <w:spacing w:val="11"/>
        </w:rPr>
        <w:t> </w:t>
      </w:r>
      <w:r>
        <w:rPr/>
        <w:t>through</w:t>
      </w:r>
      <w:r>
        <w:rPr>
          <w:spacing w:val="11"/>
        </w:rPr>
        <w:t> </w:t>
      </w:r>
      <w:r>
        <w:rPr/>
        <w:t>any</w:t>
      </w:r>
      <w:r>
        <w:rPr>
          <w:spacing w:val="11"/>
        </w:rPr>
        <w:t> </w:t>
      </w:r>
      <w:r>
        <w:rPr>
          <w:spacing w:val="-2"/>
        </w:rPr>
        <w:t>breaches</w:t>
      </w:r>
    </w:p>
    <w:p>
      <w:pPr>
        <w:pStyle w:val="BodyText"/>
        <w:spacing w:line="235" w:lineRule="auto" w:before="119"/>
        <w:ind w:left="165" w:right="167"/>
        <w:jc w:val="both"/>
      </w:pPr>
      <w:r>
        <w:rPr/>
        <w:t>up to the date of the termination. </w:t>
      </w:r>
      <w:hyperlink w:history="true" w:anchor="_bookmark2036">
        <w:r>
          <w:rPr>
            <w:color w:val="005DA1"/>
            <w:u w:val="single" w:color="005DA1"/>
            <w:vertAlign w:val="superscript"/>
          </w:rPr>
          <w:t>1072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This is, in effect, the measure of loss defined by law and the parties</w:t>
        </w:r>
        <w:r>
          <w:rPr>
            <w:spacing w:val="-2"/>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free</w:t>
        </w:r>
        <w:r>
          <w:rPr>
            <w:spacing w:val="-2"/>
            <w:vertAlign w:val="baseline"/>
          </w:rPr>
          <w:t> </w:t>
        </w:r>
        <w:r>
          <w:rPr>
            <w:vertAlign w:val="baseline"/>
          </w:rPr>
          <w:t>to</w:t>
        </w:r>
        <w:r>
          <w:rPr>
            <w:spacing w:val="-2"/>
            <w:vertAlign w:val="baseline"/>
          </w:rPr>
          <w:t> </w:t>
        </w:r>
        <w:r>
          <w:rPr>
            <w:vertAlign w:val="baseline"/>
          </w:rPr>
          <w:t>define</w:t>
        </w:r>
        <w:r>
          <w:rPr>
            <w:spacing w:val="-2"/>
            <w:vertAlign w:val="baseline"/>
          </w:rPr>
          <w:t> </w:t>
        </w:r>
        <w:r>
          <w:rPr>
            <w:vertAlign w:val="baseline"/>
          </w:rPr>
          <w:t>it</w:t>
        </w:r>
        <w:r>
          <w:rPr>
            <w:spacing w:val="-2"/>
            <w:vertAlign w:val="baseline"/>
          </w:rPr>
          <w:t> </w:t>
        </w:r>
        <w:r>
          <w:rPr>
            <w:vertAlign w:val="baseline"/>
          </w:rPr>
          <w:t>otherwise.</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that</w:t>
        </w:r>
        <w:r>
          <w:rPr>
            <w:spacing w:val="-2"/>
            <w:vertAlign w:val="baseline"/>
          </w:rPr>
          <w:t> </w:t>
        </w:r>
        <w:r>
          <w:rPr>
            <w:vertAlign w:val="baseline"/>
          </w:rPr>
          <w:t>provides</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larger</w:t>
        </w:r>
        <w:r>
          <w:rPr>
            <w:spacing w:val="-2"/>
            <w:vertAlign w:val="baseline"/>
          </w:rPr>
          <w:t> </w:t>
        </w:r>
        <w:r>
          <w:rPr>
            <w:vertAlign w:val="baseline"/>
          </w:rPr>
          <w:t>sum</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paid,</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a “minimum</w:t>
        </w:r>
        <w:r>
          <w:rPr>
            <w:spacing w:val="4"/>
            <w:vertAlign w:val="baseline"/>
          </w:rPr>
          <w:t> </w:t>
        </w:r>
        <w:r>
          <w:rPr>
            <w:vertAlign w:val="baseline"/>
          </w:rPr>
          <w:t>payment”</w:t>
        </w:r>
        <w:r>
          <w:rPr>
            <w:spacing w:val="4"/>
            <w:vertAlign w:val="baseline"/>
          </w:rPr>
          <w:t> </w:t>
        </w:r>
        <w:r>
          <w:rPr>
            <w:vertAlign w:val="baseline"/>
          </w:rPr>
          <w:t>clause</w:t>
        </w:r>
        <w:r>
          <w:rPr>
            <w:spacing w:val="4"/>
            <w:vertAlign w:val="baseline"/>
          </w:rPr>
          <w:t> </w:t>
        </w:r>
        <w:r>
          <w:rPr>
            <w:vertAlign w:val="baseline"/>
          </w:rPr>
          <w:t>or</w:t>
        </w:r>
        <w:r>
          <w:rPr>
            <w:spacing w:val="4"/>
            <w:vertAlign w:val="baseline"/>
          </w:rPr>
          <w:t> </w:t>
        </w:r>
        <w:r>
          <w:rPr>
            <w:vertAlign w:val="baseline"/>
          </w:rPr>
          <w:t>one</w:t>
        </w:r>
        <w:r>
          <w:rPr>
            <w:spacing w:val="4"/>
            <w:vertAlign w:val="baseline"/>
          </w:rPr>
          <w:t> </w:t>
        </w:r>
        <w:r>
          <w:rPr>
            <w:vertAlign w:val="baseline"/>
          </w:rPr>
          <w:t>providing</w:t>
        </w:r>
        <w:r>
          <w:rPr>
            <w:spacing w:val="4"/>
            <w:vertAlign w:val="baseline"/>
          </w:rPr>
          <w:t> </w:t>
        </w:r>
        <w:r>
          <w:rPr>
            <w:vertAlign w:val="baseline"/>
          </w:rPr>
          <w:t>for</w:t>
        </w:r>
        <w:r>
          <w:rPr>
            <w:spacing w:val="4"/>
            <w:vertAlign w:val="baseline"/>
          </w:rPr>
          <w:t> </w:t>
        </w:r>
        <w:r>
          <w:rPr>
            <w:vertAlign w:val="baseline"/>
          </w:rPr>
          <w:t>recovery</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amount</w:t>
        </w:r>
        <w:r>
          <w:rPr>
            <w:spacing w:val="4"/>
            <w:vertAlign w:val="baseline"/>
          </w:rPr>
          <w:t> </w:t>
        </w:r>
        <w:r>
          <w:rPr>
            <w:vertAlign w:val="baseline"/>
          </w:rPr>
          <w:t>of</w:t>
        </w:r>
        <w:r>
          <w:rPr>
            <w:spacing w:val="4"/>
            <w:vertAlign w:val="baseline"/>
          </w:rPr>
          <w:t> </w:t>
        </w:r>
        <w:r>
          <w:rPr>
            <w:vertAlign w:val="baseline"/>
          </w:rPr>
          <w:t>future</w:t>
        </w:r>
        <w:r>
          <w:rPr>
            <w:spacing w:val="4"/>
            <w:vertAlign w:val="baseline"/>
          </w:rPr>
          <w:t> </w:t>
        </w:r>
        <w:r>
          <w:rPr>
            <w:vertAlign w:val="baseline"/>
          </w:rPr>
          <w:t>payments,</w:t>
        </w:r>
        <w:r>
          <w:rPr>
            <w:spacing w:val="4"/>
            <w:vertAlign w:val="baseline"/>
          </w:rPr>
          <w:t> </w:t>
        </w:r>
        <w:r>
          <w:rPr>
            <w:vertAlign w:val="baseline"/>
          </w:rPr>
          <w:t>even</w:t>
        </w:r>
        <w:r>
          <w:rPr>
            <w:spacing w:val="4"/>
            <w:vertAlign w:val="baseline"/>
          </w:rPr>
          <w:t> </w:t>
        </w:r>
        <w:r>
          <w:rPr>
            <w:spacing w:val="-4"/>
            <w:vertAlign w:val="baseline"/>
          </w:rPr>
          <w:t>with</w:t>
        </w:r>
      </w:hyperlink>
    </w:p>
    <w:p>
      <w:pPr>
        <w:sectPr>
          <w:pgSz w:w="11900" w:h="16840"/>
          <w:pgMar w:header="971" w:footer="0" w:top="1300" w:bottom="280" w:left="1275" w:right="1275"/>
        </w:sectPr>
      </w:pPr>
    </w:p>
    <w:p>
      <w:pPr>
        <w:pStyle w:val="BodyText"/>
        <w:tabs>
          <w:tab w:pos="3883" w:val="left" w:leader="none"/>
        </w:tabs>
        <w:spacing w:before="226"/>
        <w:ind w:left="165"/>
      </w:pPr>
      <w:bookmarkStart w:name="_bookmark1972" w:id="1974"/>
      <w:bookmarkEnd w:id="1974"/>
      <w:r>
        <w:rPr/>
      </w:r>
      <w:bookmarkStart w:name="_bookmark1973" w:id="1975"/>
      <w:bookmarkEnd w:id="1975"/>
      <w:r>
        <w:rPr/>
      </w:r>
      <w:r>
        <w:rPr/>
        <w:t>deductions</w:t>
      </w:r>
      <w:r>
        <w:rPr>
          <w:spacing w:val="30"/>
        </w:rPr>
        <w:t> </w:t>
      </w:r>
      <w:r>
        <w:rPr/>
        <w:t>for</w:t>
      </w:r>
      <w:r>
        <w:rPr>
          <w:spacing w:val="30"/>
        </w:rPr>
        <w:t> </w:t>
      </w:r>
      <w:r>
        <w:rPr/>
        <w:t>any</w:t>
      </w:r>
      <w:r>
        <w:rPr>
          <w:spacing w:val="30"/>
        </w:rPr>
        <w:t> </w:t>
      </w:r>
      <w:r>
        <w:rPr/>
        <w:t>savings</w:t>
      </w:r>
      <w:r>
        <w:rPr>
          <w:spacing w:val="30"/>
        </w:rPr>
        <w:t> </w:t>
      </w:r>
      <w:r>
        <w:rPr/>
        <w:t>made,</w:t>
      </w:r>
      <w:r>
        <w:rPr>
          <w:spacing w:val="30"/>
        </w:rPr>
        <w:t> </w:t>
      </w:r>
      <w:hyperlink w:history="true" w:anchor="_bookmark2037">
        <w:r>
          <w:rPr>
            <w:color w:val="005DA1"/>
            <w:spacing w:val="-4"/>
            <w:u w:val="single" w:color="005DA1"/>
            <w:vertAlign w:val="superscript"/>
          </w:rPr>
          <w:t>1073</w:t>
        </w:r>
        <w:r>
          <w:rPr>
            <w:color w:val="005DA1"/>
            <w:vertAlign w:val="baseline"/>
          </w:rPr>
          <w:tab/>
        </w:r>
        <w:r>
          <w:rPr>
            <w:color w:val="005DA1"/>
            <w:position w:val="-2"/>
            <w:vertAlign w:val="baseline"/>
          </w:rPr>
          <w:drawing>
            <wp:inline distT="0" distB="0" distL="0" distR="0">
              <wp:extent cx="107988" cy="107988"/>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will</w:t>
        </w:r>
        <w:r>
          <w:rPr>
            <w:spacing w:val="34"/>
            <w:vertAlign w:val="baseline"/>
          </w:rPr>
          <w:t> </w:t>
        </w:r>
        <w:r>
          <w:rPr>
            <w:vertAlign w:val="baseline"/>
          </w:rPr>
          <w:t>(under</w:t>
        </w:r>
        <w:r>
          <w:rPr>
            <w:spacing w:val="34"/>
            <w:vertAlign w:val="baseline"/>
          </w:rPr>
          <w:t> </w:t>
        </w:r>
        <w:r>
          <w:rPr>
            <w:vertAlign w:val="baseline"/>
          </w:rPr>
          <w:t>the</w:t>
        </w:r>
        <w:r>
          <w:rPr>
            <w:spacing w:val="34"/>
            <w:vertAlign w:val="baseline"/>
          </w:rPr>
          <w:t> </w:t>
        </w:r>
        <w:r>
          <w:rPr>
            <w:vertAlign w:val="baseline"/>
          </w:rPr>
          <w:t>genuine</w:t>
        </w:r>
        <w:r>
          <w:rPr>
            <w:spacing w:val="34"/>
            <w:vertAlign w:val="baseline"/>
          </w:rPr>
          <w:t> </w:t>
        </w:r>
        <w:r>
          <w:rPr>
            <w:vertAlign w:val="baseline"/>
          </w:rPr>
          <w:t>pre-estimate</w:t>
        </w:r>
        <w:r>
          <w:rPr>
            <w:spacing w:val="34"/>
            <w:vertAlign w:val="baseline"/>
          </w:rPr>
          <w:t> </w:t>
        </w:r>
        <w:r>
          <w:rPr>
            <w:vertAlign w:val="baseline"/>
          </w:rPr>
          <w:t>test)</w:t>
        </w:r>
        <w:r>
          <w:rPr>
            <w:spacing w:val="34"/>
            <w:vertAlign w:val="baseline"/>
          </w:rPr>
          <w:t> </w:t>
        </w:r>
        <w:r>
          <w:rPr>
            <w:vertAlign w:val="baseline"/>
          </w:rPr>
          <w:t>be</w:t>
        </w:r>
        <w:r>
          <w:rPr>
            <w:spacing w:val="34"/>
            <w:vertAlign w:val="baseline"/>
          </w:rPr>
          <w:t> </w:t>
        </w:r>
        <w:r>
          <w:rPr>
            <w:vertAlign w:val="baseline"/>
          </w:rPr>
          <w:t>void</w:t>
        </w:r>
        <w:r>
          <w:rPr>
            <w:spacing w:val="34"/>
            <w:vertAlign w:val="baseline"/>
          </w:rPr>
          <w:t> </w:t>
        </w:r>
        <w:r>
          <w:rPr>
            <w:vertAlign w:val="baseline"/>
          </w:rPr>
          <w:t>as</w:t>
        </w:r>
        <w:r>
          <w:rPr>
            <w:spacing w:val="34"/>
            <w:vertAlign w:val="baseline"/>
          </w:rPr>
          <w:t> </w:t>
        </w:r>
        <w:r>
          <w:rPr>
            <w:vertAlign w:val="baseline"/>
          </w:rPr>
          <w:t>a</w:t>
        </w:r>
      </w:hyperlink>
    </w:p>
    <w:p>
      <w:pPr>
        <w:pStyle w:val="BodyText"/>
        <w:tabs>
          <w:tab w:pos="1459" w:val="left" w:leader="none"/>
        </w:tabs>
        <w:spacing w:line="235" w:lineRule="auto" w:before="119"/>
        <w:ind w:left="164" w:right="167"/>
      </w:pPr>
      <w:r>
        <w:rPr/>
        <w:t>penalty. </w:t>
      </w:r>
      <w:hyperlink w:history="true" w:anchor="_bookmark2038">
        <w:r>
          <w:rPr>
            <w:color w:val="005DA1"/>
            <w:u w:val="single" w:color="005DA1"/>
            <w:vertAlign w:val="superscript"/>
          </w:rPr>
          <w:t>1074</w:t>
        </w:r>
        <w:r>
          <w:rPr>
            <w:color w:val="005DA1"/>
            <w:vertAlign w:val="baseline"/>
          </w:rPr>
          <w:tab/>
        </w:r>
        <w:r>
          <w:rPr>
            <w:color w:val="005DA1"/>
            <w:position w:val="-2"/>
            <w:vertAlign w:val="baseline"/>
          </w:rPr>
          <w:drawing>
            <wp:inline distT="0" distB="0" distL="0" distR="0">
              <wp:extent cx="107988" cy="107988"/>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8"/>
            <w:vertAlign w:val="baseline"/>
          </w:rPr>
          <w:t> </w:t>
        </w:r>
        <w:r>
          <w:rPr>
            <w:vertAlign w:val="baseline"/>
          </w:rPr>
          <w:t>It</w:t>
        </w:r>
        <w:r>
          <w:rPr>
            <w:spacing w:val="23"/>
            <w:vertAlign w:val="baseline"/>
          </w:rPr>
          <w:t> </w:t>
        </w:r>
        <w:r>
          <w:rPr>
            <w:vertAlign w:val="baseline"/>
          </w:rPr>
          <w:t>should</w:t>
        </w:r>
        <w:r>
          <w:rPr>
            <w:spacing w:val="23"/>
            <w:vertAlign w:val="baseline"/>
          </w:rPr>
          <w:t> </w:t>
        </w:r>
        <w:r>
          <w:rPr>
            <w:vertAlign w:val="baseline"/>
          </w:rPr>
          <w:t>be</w:t>
        </w:r>
        <w:r>
          <w:rPr>
            <w:spacing w:val="23"/>
            <w:vertAlign w:val="baseline"/>
          </w:rPr>
          <w:t> </w:t>
        </w:r>
        <w:r>
          <w:rPr>
            <w:vertAlign w:val="baseline"/>
          </w:rPr>
          <w:t>noted,</w:t>
        </w:r>
        <w:r>
          <w:rPr>
            <w:spacing w:val="23"/>
            <w:vertAlign w:val="baseline"/>
          </w:rPr>
          <w:t> </w:t>
        </w:r>
        <w:r>
          <w:rPr>
            <w:vertAlign w:val="baseline"/>
          </w:rPr>
          <w:t>however,</w:t>
        </w:r>
        <w:r>
          <w:rPr>
            <w:spacing w:val="23"/>
            <w:vertAlign w:val="baseline"/>
          </w:rPr>
          <w:t> </w:t>
        </w:r>
        <w:r>
          <w:rPr>
            <w:vertAlign w:val="baseline"/>
          </w:rPr>
          <w:t>that</w:t>
        </w:r>
        <w:r>
          <w:rPr>
            <w:spacing w:val="23"/>
            <w:vertAlign w:val="baseline"/>
          </w:rPr>
          <w:t> </w:t>
        </w:r>
        <w:r>
          <w:rPr>
            <w:vertAlign w:val="baseline"/>
          </w:rPr>
          <w:t>this</w:t>
        </w:r>
        <w:r>
          <w:rPr>
            <w:spacing w:val="23"/>
            <w:vertAlign w:val="baseline"/>
          </w:rPr>
          <w:t> </w:t>
        </w:r>
        <w:r>
          <w:rPr>
            <w:vertAlign w:val="baseline"/>
          </w:rPr>
          <w:t>principle</w:t>
        </w:r>
        <w:r>
          <w:rPr>
            <w:spacing w:val="23"/>
            <w:vertAlign w:val="baseline"/>
          </w:rPr>
          <w:t> </w:t>
        </w:r>
        <w:r>
          <w:rPr>
            <w:vertAlign w:val="baseline"/>
          </w:rPr>
          <w:t>does</w:t>
        </w:r>
        <w:r>
          <w:rPr>
            <w:spacing w:val="23"/>
            <w:vertAlign w:val="baseline"/>
          </w:rPr>
          <w:t> </w:t>
        </w:r>
        <w:r>
          <w:rPr>
            <w:vertAlign w:val="baseline"/>
          </w:rPr>
          <w:t>not</w:t>
        </w:r>
        <w:r>
          <w:rPr>
            <w:spacing w:val="23"/>
            <w:vertAlign w:val="baseline"/>
          </w:rPr>
          <w:t> </w:t>
        </w:r>
        <w:r>
          <w:rPr>
            <w:vertAlign w:val="baseline"/>
          </w:rPr>
          <w:t>apply</w:t>
        </w:r>
        <w:r>
          <w:rPr>
            <w:spacing w:val="23"/>
            <w:vertAlign w:val="baseline"/>
          </w:rPr>
          <w:t> </w:t>
        </w:r>
        <w:r>
          <w:rPr>
            <w:vertAlign w:val="baseline"/>
          </w:rPr>
          <w:t>where</w:t>
        </w:r>
        <w:r>
          <w:rPr>
            <w:spacing w:val="23"/>
            <w:vertAlign w:val="baseline"/>
          </w:rPr>
          <w:t> </w:t>
        </w:r>
        <w:r>
          <w:rPr>
            <w:vertAlign w:val="baseline"/>
          </w:rPr>
          <w:t>the</w:t>
        </w:r>
        <w:r>
          <w:rPr>
            <w:spacing w:val="23"/>
            <w:vertAlign w:val="baseline"/>
          </w:rPr>
          <w:t> </w:t>
        </w:r>
        <w:r>
          <w:rPr>
            <w:vertAlign w:val="baseline"/>
          </w:rPr>
          <w:t>contract </w:t>
        </w:r>
        <w:bookmarkStart w:name="_bookmark1974" w:id="1976"/>
        <w:bookmarkEnd w:id="1976"/>
        <w:r>
          <w:rPr>
            <w:vertAlign w:val="baseline"/>
          </w:rPr>
          <w:t>made</w:t>
        </w:r>
        <w:r>
          <w:rPr>
            <w:spacing w:val="19"/>
            <w:vertAlign w:val="baseline"/>
          </w:rPr>
          <w:t> </w:t>
        </w:r>
        <w:r>
          <w:rPr>
            <w:vertAlign w:val="baseline"/>
          </w:rPr>
          <w:t>the</w:t>
        </w:r>
        <w:r>
          <w:rPr>
            <w:spacing w:val="19"/>
            <w:vertAlign w:val="baseline"/>
          </w:rPr>
          <w:t> </w:t>
        </w:r>
        <w:r>
          <w:rPr>
            <w:vertAlign w:val="baseline"/>
          </w:rPr>
          <w:t>broken</w:t>
        </w:r>
        <w:r>
          <w:rPr>
            <w:spacing w:val="19"/>
            <w:vertAlign w:val="baseline"/>
          </w:rPr>
          <w:t> </w:t>
        </w:r>
        <w:r>
          <w:rPr>
            <w:vertAlign w:val="baseline"/>
          </w:rPr>
          <w:t>term</w:t>
        </w:r>
        <w:r>
          <w:rPr>
            <w:spacing w:val="19"/>
            <w:vertAlign w:val="baseline"/>
          </w:rPr>
          <w:t> </w:t>
        </w:r>
        <w:r>
          <w:rPr>
            <w:vertAlign w:val="baseline"/>
          </w:rPr>
          <w:t>into</w:t>
        </w:r>
        <w:r>
          <w:rPr>
            <w:spacing w:val="19"/>
            <w:vertAlign w:val="baseline"/>
          </w:rPr>
          <w:t> </w:t>
        </w:r>
        <w:r>
          <w:rPr>
            <w:vertAlign w:val="baseline"/>
          </w:rPr>
          <w:t>a</w:t>
        </w:r>
        <w:r>
          <w:rPr>
            <w:spacing w:val="19"/>
            <w:vertAlign w:val="baseline"/>
          </w:rPr>
          <w:t> </w:t>
        </w:r>
        <w:r>
          <w:rPr>
            <w:vertAlign w:val="baseline"/>
          </w:rPr>
          <w:t>condition,</w:t>
        </w:r>
        <w:r>
          <w:rPr>
            <w:spacing w:val="19"/>
            <w:vertAlign w:val="baseline"/>
          </w:rPr>
          <w:t> </w:t>
        </w:r>
        <w:r>
          <w:rPr>
            <w:vertAlign w:val="baseline"/>
          </w:rPr>
          <w:t>any</w:t>
        </w:r>
        <w:r>
          <w:rPr>
            <w:spacing w:val="19"/>
            <w:vertAlign w:val="baseline"/>
          </w:rPr>
          <w:t> </w:t>
        </w:r>
        <w:r>
          <w:rPr>
            <w:vertAlign w:val="baseline"/>
          </w:rPr>
          <w:t>breach</w:t>
        </w:r>
        <w:r>
          <w:rPr>
            <w:spacing w:val="19"/>
            <w:vertAlign w:val="baseline"/>
          </w:rPr>
          <w:t> </w:t>
        </w:r>
        <w:r>
          <w:rPr>
            <w:vertAlign w:val="baseline"/>
          </w:rPr>
          <w:t>of</w:t>
        </w:r>
        <w:r>
          <w:rPr>
            <w:spacing w:val="19"/>
            <w:vertAlign w:val="baseline"/>
          </w:rPr>
          <w:t> </w:t>
        </w:r>
        <w:r>
          <w:rPr>
            <w:vertAlign w:val="baseline"/>
          </w:rPr>
          <w:t>which</w:t>
        </w:r>
        <w:r>
          <w:rPr>
            <w:spacing w:val="19"/>
            <w:vertAlign w:val="baseline"/>
          </w:rPr>
          <w:t> </w:t>
        </w:r>
        <w:r>
          <w:rPr>
            <w:vertAlign w:val="baseline"/>
          </w:rPr>
          <w:t>entitled</w:t>
        </w:r>
        <w:r>
          <w:rPr>
            <w:spacing w:val="19"/>
            <w:vertAlign w:val="baseline"/>
          </w:rPr>
          <w:t> </w:t>
        </w:r>
        <w:r>
          <w:rPr>
            <w:vertAlign w:val="baseline"/>
          </w:rPr>
          <w:t>the</w:t>
        </w:r>
        <w:r>
          <w:rPr>
            <w:spacing w:val="19"/>
            <w:vertAlign w:val="baseline"/>
          </w:rPr>
          <w:t> </w:t>
        </w:r>
        <w:r>
          <w:rPr>
            <w:vertAlign w:val="baseline"/>
          </w:rPr>
          <w:t>innocent</w:t>
        </w:r>
        <w:r>
          <w:rPr>
            <w:spacing w:val="19"/>
            <w:vertAlign w:val="baseline"/>
          </w:rPr>
          <w:t> </w:t>
        </w:r>
        <w:r>
          <w:rPr>
            <w:vertAlign w:val="baseline"/>
          </w:rPr>
          <w:t>party</w:t>
        </w:r>
        <w:r>
          <w:rPr>
            <w:spacing w:val="19"/>
            <w:vertAlign w:val="baseline"/>
          </w:rPr>
          <w:t> </w:t>
        </w:r>
        <w:r>
          <w:rPr>
            <w:vertAlign w:val="baseline"/>
          </w:rPr>
          <w:t>to</w:t>
        </w:r>
        <w:r>
          <w:rPr>
            <w:spacing w:val="19"/>
            <w:vertAlign w:val="baseline"/>
          </w:rPr>
          <w:t> </w:t>
        </w:r>
        <w:r>
          <w:rPr>
            <w:spacing w:val="-2"/>
            <w:vertAlign w:val="baseline"/>
          </w:rPr>
          <w:t>terminate</w:t>
        </w:r>
      </w:hyperlink>
    </w:p>
    <w:p>
      <w:pPr>
        <w:pStyle w:val="BodyText"/>
        <w:tabs>
          <w:tab w:pos="6105" w:val="left" w:leader="none"/>
        </w:tabs>
        <w:spacing w:line="235" w:lineRule="auto" w:before="119"/>
        <w:ind w:left="165" w:right="167"/>
      </w:pPr>
      <w:r>
        <w:rPr/>
        <w:t>(e.g. a clause making compliance with time “of the essence” </w:t>
      </w:r>
      <w:hyperlink w:history="true" w:anchor="_bookmark2039">
        <w:r>
          <w:rPr>
            <w:color w:val="005DA1"/>
            <w:u w:val="single" w:color="005DA1"/>
            <w:vertAlign w:val="superscript"/>
          </w:rPr>
          <w:t>1075</w:t>
        </w:r>
        <w:r>
          <w:rPr>
            <w:color w:val="005DA1"/>
            <w:vertAlign w:val="baseline"/>
          </w:rPr>
          <w:tab/>
        </w:r>
        <w:r>
          <w:rPr>
            <w:color w:val="005DA1"/>
            <w:position w:val="-2"/>
            <w:vertAlign w:val="baseline"/>
          </w:rPr>
          <w:drawing>
            <wp:inline distT="0" distB="0" distL="0" distR="0">
              <wp:extent cx="107988" cy="107988"/>
              <wp:effectExtent l="0" t="0" r="0" b="0"/>
              <wp:docPr id="557" name="Image 557"/>
              <wp:cNvGraphicFramePr>
                <a:graphicFrameLocks/>
              </wp:cNvGraphicFramePr>
              <a:graphic>
                <a:graphicData uri="http://schemas.openxmlformats.org/drawingml/2006/picture">
                  <pic:pic>
                    <pic:nvPicPr>
                      <pic:cNvPr id="557" name="Image 5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In this case the innocent </w:t>
        </w:r>
        <w:r>
          <w:rPr>
            <w:vertAlign w:val="baseline"/>
          </w:rPr>
          <w:t>party </w:t>
        </w:r>
        <w:bookmarkStart w:name="_bookmark1975" w:id="1977"/>
        <w:bookmarkEnd w:id="1977"/>
        <w:r>
          <w:rPr>
            <w:vertAlign w:val="baseline"/>
          </w:rPr>
          <w:t>may</w:t>
        </w:r>
        <w:r>
          <w:rPr>
            <w:spacing w:val="7"/>
            <w:vertAlign w:val="baseline"/>
          </w:rPr>
          <w:t> </w:t>
        </w:r>
        <w:r>
          <w:rPr>
            <w:vertAlign w:val="baseline"/>
          </w:rPr>
          <w:t>both</w:t>
        </w:r>
        <w:r>
          <w:rPr>
            <w:spacing w:val="7"/>
            <w:vertAlign w:val="baseline"/>
          </w:rPr>
          <w:t> </w:t>
        </w:r>
        <w:r>
          <w:rPr>
            <w:vertAlign w:val="baseline"/>
          </w:rPr>
          <w:t>terminate</w:t>
        </w:r>
        <w:r>
          <w:rPr>
            <w:spacing w:val="7"/>
            <w:vertAlign w:val="baseline"/>
          </w:rPr>
          <w:t> </w:t>
        </w:r>
        <w:r>
          <w:rPr>
            <w:vertAlign w:val="baseline"/>
          </w:rPr>
          <w:t>the</w:t>
        </w:r>
        <w:r>
          <w:rPr>
            <w:spacing w:val="7"/>
            <w:vertAlign w:val="baseline"/>
          </w:rPr>
          <w:t> </w:t>
        </w:r>
        <w:r>
          <w:rPr>
            <w:vertAlign w:val="baseline"/>
          </w:rPr>
          <w:t>contract</w:t>
        </w:r>
        <w:r>
          <w:rPr>
            <w:spacing w:val="7"/>
            <w:vertAlign w:val="baseline"/>
          </w:rPr>
          <w:t> </w:t>
        </w:r>
        <w:r>
          <w:rPr>
            <w:vertAlign w:val="baseline"/>
          </w:rPr>
          <w:t>and</w:t>
        </w:r>
        <w:r>
          <w:rPr>
            <w:spacing w:val="7"/>
            <w:vertAlign w:val="baseline"/>
          </w:rPr>
          <w:t> </w:t>
        </w:r>
        <w:r>
          <w:rPr>
            <w:vertAlign w:val="baseline"/>
          </w:rPr>
          <w:t>recover</w:t>
        </w:r>
        <w:r>
          <w:rPr>
            <w:spacing w:val="7"/>
            <w:vertAlign w:val="baseline"/>
          </w:rPr>
          <w:t> </w:t>
        </w:r>
        <w:r>
          <w:rPr>
            <w:vertAlign w:val="baseline"/>
          </w:rPr>
          <w:t>damages</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loss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bargain</w:t>
        </w:r>
        <w:r>
          <w:rPr>
            <w:spacing w:val="7"/>
            <w:vertAlign w:val="baseline"/>
          </w:rPr>
          <w:t> </w:t>
        </w:r>
        <w:r>
          <w:rPr>
            <w:vertAlign w:val="baseline"/>
          </w:rPr>
          <w:t>(viz</w:t>
        </w:r>
        <w:r>
          <w:rPr>
            <w:spacing w:val="7"/>
            <w:vertAlign w:val="baseline"/>
          </w:rPr>
          <w:t> </w:t>
        </w:r>
        <w:r>
          <w:rPr>
            <w:vertAlign w:val="baseline"/>
          </w:rPr>
          <w:t>in</w:t>
        </w:r>
        <w:r>
          <w:rPr>
            <w:spacing w:val="7"/>
            <w:vertAlign w:val="baseline"/>
          </w:rPr>
          <w:t> </w:t>
        </w:r>
        <w:r>
          <w:rPr>
            <w:vertAlign w:val="baseline"/>
          </w:rPr>
          <w:t>respect</w:t>
        </w:r>
        <w:r>
          <w:rPr>
            <w:spacing w:val="7"/>
            <w:vertAlign w:val="baseline"/>
          </w:rPr>
          <w:t> </w:t>
        </w:r>
        <w:r>
          <w:rPr>
            <w:vertAlign w:val="baseline"/>
          </w:rPr>
          <w:t>of</w:t>
        </w:r>
        <w:r>
          <w:rPr>
            <w:spacing w:val="7"/>
            <w:vertAlign w:val="baseline"/>
          </w:rPr>
          <w:t> </w:t>
        </w:r>
        <w:r>
          <w:rPr>
            <w:spacing w:val="-5"/>
            <w:vertAlign w:val="baseline"/>
          </w:rPr>
          <w:t>all</w:t>
        </w:r>
      </w:hyperlink>
    </w:p>
    <w:p>
      <w:pPr>
        <w:pStyle w:val="BodyText"/>
        <w:tabs>
          <w:tab w:pos="5071" w:val="left" w:leader="none"/>
        </w:tabs>
        <w:spacing w:line="235" w:lineRule="auto" w:before="120"/>
        <w:ind w:left="165" w:right="174"/>
      </w:pPr>
      <w:r>
        <w:rPr/>
        <w:t>the</w:t>
      </w:r>
      <w:r>
        <w:rPr>
          <w:spacing w:val="40"/>
        </w:rPr>
        <w:t> </w:t>
      </w:r>
      <w:r>
        <w:rPr/>
        <w:t>outstanding</w:t>
      </w:r>
      <w:r>
        <w:rPr>
          <w:spacing w:val="40"/>
        </w:rPr>
        <w:t> </w:t>
      </w:r>
      <w:r>
        <w:rPr/>
        <w:t>obligations</w:t>
      </w:r>
      <w:r>
        <w:rPr>
          <w:spacing w:val="40"/>
        </w:rPr>
        <w:t> </w:t>
      </w:r>
      <w:r>
        <w:rPr/>
        <w:t>of</w:t>
      </w:r>
      <w:r>
        <w:rPr>
          <w:spacing w:val="40"/>
        </w:rPr>
        <w:t> </w:t>
      </w:r>
      <w:r>
        <w:rPr/>
        <w:t>the</w:t>
      </w:r>
      <w:r>
        <w:rPr>
          <w:spacing w:val="40"/>
        </w:rPr>
        <w:t> </w:t>
      </w:r>
      <w:r>
        <w:rPr/>
        <w:t>other</w:t>
      </w:r>
      <w:r>
        <w:rPr>
          <w:spacing w:val="40"/>
        </w:rPr>
        <w:t> </w:t>
      </w:r>
      <w:r>
        <w:rPr/>
        <w:t>party).</w:t>
      </w:r>
      <w:r>
        <w:rPr>
          <w:spacing w:val="40"/>
        </w:rPr>
        <w:t> </w:t>
      </w:r>
      <w:hyperlink w:history="true" w:anchor="_bookmark2040">
        <w:r>
          <w:rPr>
            <w:color w:val="005DA1"/>
            <w:u w:val="single" w:color="005DA1"/>
            <w:vertAlign w:val="superscript"/>
          </w:rPr>
          <w:t>1076</w:t>
        </w:r>
        <w:r>
          <w:rPr>
            <w:color w:val="005DA1"/>
            <w:vertAlign w:val="baseline"/>
          </w:rPr>
          <w:tab/>
        </w:r>
        <w:r>
          <w:rPr>
            <w:color w:val="005DA1"/>
            <w:position w:val="-2"/>
            <w:vertAlign w:val="baseline"/>
          </w:rPr>
          <w:drawing>
            <wp:inline distT="0" distB="0" distL="0" distR="0">
              <wp:extent cx="107988" cy="107988"/>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6"/>
            <w:vertAlign w:val="baseline"/>
          </w:rPr>
          <w:t> </w:t>
        </w:r>
        <w:r>
          <w:rPr>
            <w:vertAlign w:val="baseline"/>
          </w:rPr>
          <w:t>A</w:t>
        </w:r>
        <w:r>
          <w:rPr>
            <w:spacing w:val="30"/>
            <w:vertAlign w:val="baseline"/>
          </w:rPr>
          <w:t> </w:t>
        </w:r>
        <w:r>
          <w:rPr>
            <w:vertAlign w:val="baseline"/>
          </w:rPr>
          <w:t>clause</w:t>
        </w:r>
        <w:r>
          <w:rPr>
            <w:spacing w:val="30"/>
            <w:vertAlign w:val="baseline"/>
          </w:rPr>
          <w:t> </w:t>
        </w:r>
        <w:r>
          <w:rPr>
            <w:vertAlign w:val="baseline"/>
          </w:rPr>
          <w:t>that</w:t>
        </w:r>
        <w:r>
          <w:rPr>
            <w:spacing w:val="30"/>
            <w:vertAlign w:val="baseline"/>
          </w:rPr>
          <w:t> </w:t>
        </w:r>
        <w:r>
          <w:rPr>
            <w:vertAlign w:val="baseline"/>
          </w:rPr>
          <w:t>makes</w:t>
        </w:r>
        <w:r>
          <w:rPr>
            <w:spacing w:val="30"/>
            <w:vertAlign w:val="baseline"/>
          </w:rPr>
          <w:t> </w:t>
        </w:r>
        <w:r>
          <w:rPr>
            <w:vertAlign w:val="baseline"/>
          </w:rPr>
          <w:t>the</w:t>
        </w:r>
        <w:r>
          <w:rPr>
            <w:spacing w:val="30"/>
            <w:vertAlign w:val="baseline"/>
          </w:rPr>
          <w:t> </w:t>
        </w:r>
        <w:r>
          <w:rPr>
            <w:vertAlign w:val="baseline"/>
          </w:rPr>
          <w:t>hirer</w:t>
        </w:r>
        <w:r>
          <w:rPr>
            <w:spacing w:val="30"/>
            <w:vertAlign w:val="baseline"/>
          </w:rPr>
          <w:t> </w:t>
        </w:r>
        <w:r>
          <w:rPr>
            <w:vertAlign w:val="baseline"/>
          </w:rPr>
          <w:t>liable</w:t>
        </w:r>
        <w:r>
          <w:rPr>
            <w:spacing w:val="30"/>
            <w:vertAlign w:val="baseline"/>
          </w:rPr>
          <w:t> </w:t>
        </w:r>
        <w:r>
          <w:rPr>
            <w:vertAlign w:val="baseline"/>
          </w:rPr>
          <w:t>for</w:t>
        </w:r>
        <w:r>
          <w:rPr>
            <w:spacing w:val="30"/>
            <w:vertAlign w:val="baseline"/>
          </w:rPr>
          <w:t> </w:t>
        </w:r>
        <w:r>
          <w:rPr>
            <w:vertAlign w:val="baseline"/>
          </w:rPr>
          <w:t>a genuine pre-estimate of the owners’ full loss in such a case will be valid.</w:t>
        </w:r>
      </w:hyperlink>
    </w:p>
    <w:p>
      <w:pPr>
        <w:pStyle w:val="BodyText"/>
      </w:pPr>
    </w:p>
    <w:p>
      <w:pPr>
        <w:pStyle w:val="BodyText"/>
        <w:spacing w:before="39"/>
      </w:pPr>
      <w:r>
        <w:rPr/>
        <mc:AlternateContent>
          <mc:Choice Requires="wps">
            <w:drawing>
              <wp:anchor distT="0" distB="0" distL="0" distR="0" allowOverlap="1" layoutInCell="1" locked="0" behindDoc="1" simplePos="0" relativeHeight="487698432">
                <wp:simplePos x="0" y="0"/>
                <wp:positionH relativeFrom="page">
                  <wp:posOffset>914400</wp:posOffset>
                </wp:positionH>
                <wp:positionV relativeFrom="paragraph">
                  <wp:posOffset>186135</wp:posOffset>
                </wp:positionV>
                <wp:extent cx="5724525" cy="1270"/>
                <wp:effectExtent l="0" t="0" r="0" b="0"/>
                <wp:wrapTopAndBottom/>
                <wp:docPr id="559" name="Graphic 559"/>
                <wp:cNvGraphicFramePr>
                  <a:graphicFrameLocks/>
                </wp:cNvGraphicFramePr>
                <a:graphic>
                  <a:graphicData uri="http://schemas.microsoft.com/office/word/2010/wordprocessingShape">
                    <wps:wsp>
                      <wps:cNvPr id="559" name="Graphic 5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6336pt;width:450.75pt;height:.1pt;mso-position-horizontal-relative:page;mso-position-vertical-relative:paragraph;z-index:-15618048;mso-wrap-distance-left:0;mso-wrap-distance-right:0" id="docshape90" coordorigin="1440,293" coordsize="9015,0" path="m1440,293l10454,293e" filled="false" stroked="true" strokeweight="1pt" strokecolor="#000000">
                <v:path arrowok="t"/>
                <v:stroke dashstyle="solid"/>
                <w10:wrap type="topAndBottom"/>
              </v:shape>
            </w:pict>
          </mc:Fallback>
        </mc:AlternateContent>
      </w:r>
    </w:p>
    <w:p>
      <w:pPr>
        <w:pStyle w:val="BodyText"/>
        <w:spacing w:before="221"/>
      </w:pPr>
    </w:p>
    <w:p>
      <w:pPr>
        <w:spacing w:line="235" w:lineRule="auto" w:before="0"/>
        <w:ind w:left="705" w:right="168" w:hanging="541"/>
        <w:jc w:val="both"/>
        <w:rPr>
          <w:sz w:val="20"/>
        </w:rPr>
      </w:pPr>
      <w:bookmarkStart w:name="_bookmark1976" w:id="1978"/>
      <w:bookmarkEnd w:id="1978"/>
      <w:r>
        <w:rPr/>
      </w:r>
      <w:hyperlink w:history="true" w:anchor="_bookmark1909">
        <w:r>
          <w:rPr>
            <w:color w:val="005DA1"/>
            <w:sz w:val="20"/>
            <w:u w:val="single" w:color="005DA1"/>
            <w:vertAlign w:val="superscript"/>
          </w:rPr>
          <w:t>1010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In </w:t>
      </w:r>
      <w:r>
        <w:rPr>
          <w:rFonts w:ascii="Arial" w:hAnsi="Arial"/>
          <w:i/>
          <w:sz w:val="20"/>
          <w:vertAlign w:val="baseline"/>
        </w:rPr>
        <w:t>Cavendish Square Holding BV v Makdessi [2015] UKSC 67 </w:t>
      </w:r>
      <w:r>
        <w:rPr>
          <w:sz w:val="20"/>
          <w:vertAlign w:val="baseline"/>
        </w:rPr>
        <w:t>at [22] Lords Neuberger </w:t>
      </w:r>
      <w:r>
        <w:rPr>
          <w:sz w:val="20"/>
          <w:vertAlign w:val="baseline"/>
        </w:rPr>
        <w:t>and Sumption described it as having “achieved the status of a quasi-statutory code”.</w:t>
      </w:r>
    </w:p>
    <w:p>
      <w:pPr>
        <w:pStyle w:val="BodyText"/>
        <w:spacing w:before="125"/>
      </w:pPr>
    </w:p>
    <w:p>
      <w:pPr>
        <w:spacing w:before="0"/>
        <w:ind w:left="165" w:right="0" w:firstLine="0"/>
        <w:jc w:val="left"/>
        <w:rPr>
          <w:sz w:val="20"/>
        </w:rPr>
      </w:pPr>
      <w:bookmarkStart w:name="_bookmark1977" w:id="1979"/>
      <w:bookmarkEnd w:id="1979"/>
      <w:r>
        <w:rPr/>
      </w:r>
      <w:hyperlink w:history="true" w:anchor="_bookmark1910">
        <w:r>
          <w:rPr>
            <w:color w:val="005DA1"/>
            <w:sz w:val="20"/>
            <w:u w:val="single" w:color="005DA1"/>
            <w:vertAlign w:val="superscript"/>
          </w:rPr>
          <w:t>1011</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[1915]</w:t>
      </w:r>
      <w:r>
        <w:rPr>
          <w:rFonts w:ascii="Arial" w:hAnsi="Arial"/>
          <w:i/>
          <w:spacing w:val="3"/>
          <w:sz w:val="20"/>
          <w:vertAlign w:val="baseline"/>
        </w:rPr>
        <w:t> </w:t>
      </w:r>
      <w:r>
        <w:rPr>
          <w:rFonts w:ascii="Arial" w:hAnsi="Arial"/>
          <w:i/>
          <w:sz w:val="20"/>
          <w:vertAlign w:val="baseline"/>
        </w:rPr>
        <w:t>A.C.</w:t>
      </w:r>
      <w:r>
        <w:rPr>
          <w:rFonts w:ascii="Arial" w:hAnsi="Arial"/>
          <w:i/>
          <w:spacing w:val="3"/>
          <w:sz w:val="20"/>
          <w:vertAlign w:val="baseline"/>
        </w:rPr>
        <w:t> </w:t>
      </w:r>
      <w:r>
        <w:rPr>
          <w:rFonts w:ascii="Arial" w:hAnsi="Arial"/>
          <w:i/>
          <w:sz w:val="20"/>
          <w:vertAlign w:val="baseline"/>
        </w:rPr>
        <w:t>79,</w:t>
      </w:r>
      <w:r>
        <w:rPr>
          <w:rFonts w:ascii="Arial" w:hAnsi="Arial"/>
          <w:i/>
          <w:spacing w:val="4"/>
          <w:sz w:val="20"/>
          <w:vertAlign w:val="baseline"/>
        </w:rPr>
        <w:t> </w:t>
      </w:r>
      <w:r>
        <w:rPr>
          <w:rFonts w:ascii="Arial" w:hAnsi="Arial"/>
          <w:i/>
          <w:spacing w:val="-2"/>
          <w:sz w:val="20"/>
          <w:vertAlign w:val="baseline"/>
        </w:rPr>
        <w:t>86–88</w:t>
      </w:r>
      <w:r>
        <w:rPr>
          <w:spacing w:val="-2"/>
          <w:sz w:val="20"/>
          <w:vertAlign w:val="baseline"/>
        </w:rPr>
        <w:t>.</w:t>
      </w:r>
    </w:p>
    <w:p>
      <w:pPr>
        <w:pStyle w:val="BodyText"/>
        <w:spacing w:before="129"/>
      </w:pPr>
    </w:p>
    <w:p>
      <w:pPr>
        <w:spacing w:line="235" w:lineRule="auto" w:before="0"/>
        <w:ind w:left="705" w:right="167" w:hanging="541"/>
        <w:jc w:val="both"/>
        <w:rPr>
          <w:sz w:val="20"/>
        </w:rPr>
      </w:pPr>
      <w:bookmarkStart w:name="_bookmark1978" w:id="1980"/>
      <w:bookmarkEnd w:id="1980"/>
      <w:r>
        <w:rPr/>
      </w:r>
      <w:hyperlink w:history="true" w:anchor="_bookmark1911">
        <w:r>
          <w:rPr>
            <w:color w:val="005DA1"/>
            <w:sz w:val="20"/>
            <w:u w:val="single" w:color="005DA1"/>
            <w:vertAlign w:val="superscript"/>
          </w:rPr>
          <w:t>1012</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“But no case … decides that the term used by the parties themselves is to be altogether disregarded, and I should say that, where the parties themselves call the sum made payable a ‘penalty,’ the onus lies on those who seek to show that it is to be payable as liquidated damages”: </w:t>
      </w:r>
      <w:r>
        <w:rPr>
          <w:rFonts w:ascii="Arial" w:hAnsi="Arial"/>
          <w:i/>
          <w:sz w:val="20"/>
          <w:vertAlign w:val="baseline"/>
        </w:rPr>
        <w:t>Willson v Love [1896] 1 Q.B. 626, 630</w:t>
      </w:r>
      <w:r>
        <w:rPr>
          <w:sz w:val="20"/>
          <w:vertAlign w:val="baseline"/>
        </w:rPr>
        <w:t>. See </w:t>
      </w:r>
      <w:r>
        <w:rPr>
          <w:rFonts w:ascii="Arial" w:hAnsi="Arial"/>
          <w:i/>
          <w:sz w:val="20"/>
          <w:vertAlign w:val="baseline"/>
        </w:rPr>
        <w:t>Alder v Moore [1961] 2 Q.B. 57, 65</w:t>
      </w:r>
      <w:r>
        <w:rPr>
          <w:sz w:val="20"/>
          <w:vertAlign w:val="baseline"/>
        </w:rPr>
        <w:t>; </w:t>
      </w:r>
      <w:r>
        <w:rPr>
          <w:rFonts w:ascii="Arial" w:hAnsi="Arial"/>
          <w:i/>
          <w:sz w:val="20"/>
          <w:vertAlign w:val="baseline"/>
        </w:rPr>
        <w:t>Robert Stewart &amp; Sons Ltd v Carapanayoti &amp; Co Ltd [1962] 1 W.L.R. 34</w:t>
      </w:r>
      <w:r>
        <w:rPr>
          <w:sz w:val="20"/>
          <w:vertAlign w:val="baseline"/>
        </w:rPr>
        <w:t>. cf. </w:t>
      </w:r>
      <w:r>
        <w:rPr>
          <w:rFonts w:ascii="Arial" w:hAnsi="Arial"/>
          <w:i/>
          <w:sz w:val="20"/>
          <w:vertAlign w:val="baseline"/>
        </w:rPr>
        <w:t>Workers Trust </w:t>
      </w:r>
      <w:r>
        <w:rPr>
          <w:rFonts w:ascii="Arial" w:hAnsi="Arial"/>
          <w:i/>
          <w:sz w:val="20"/>
          <w:vertAlign w:val="baseline"/>
        </w:rPr>
        <w:t>&amp; Merchant Bank Ltd v Dojap Investments Ltd [1993] A.C. 573, 579</w:t>
      </w:r>
      <w:r>
        <w:rPr>
          <w:sz w:val="20"/>
          <w:vertAlign w:val="baseline"/>
        </w:rPr>
        <w:t>.</w:t>
      </w:r>
    </w:p>
    <w:p>
      <w:pPr>
        <w:pStyle w:val="BodyText"/>
        <w:spacing w:before="128"/>
      </w:pPr>
    </w:p>
    <w:p>
      <w:pPr>
        <w:spacing w:line="235" w:lineRule="auto" w:before="0"/>
        <w:ind w:left="705" w:right="167" w:hanging="541"/>
        <w:jc w:val="both"/>
        <w:rPr>
          <w:sz w:val="20"/>
        </w:rPr>
      </w:pPr>
      <w:bookmarkStart w:name="_bookmark1979" w:id="1981"/>
      <w:bookmarkEnd w:id="1981"/>
      <w:r>
        <w:rPr/>
      </w:r>
      <w:hyperlink w:history="true" w:anchor="_bookmark1912">
        <w:r>
          <w:rPr>
            <w:color w:val="005DA1"/>
            <w:sz w:val="20"/>
            <w:u w:val="single" w:color="005DA1"/>
            <w:vertAlign w:val="superscript"/>
          </w:rPr>
          <w:t>1013</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Clydebank Engineering &amp; Shipbuilding Co Ltd v Don Jose Ramos Yzquierdo y Castaneda [1905] A.C. 6</w:t>
      </w:r>
      <w:r>
        <w:rPr>
          <w:sz w:val="20"/>
          <w:vertAlign w:val="baseline"/>
        </w:rPr>
        <w:t>. See also </w:t>
      </w:r>
      <w:r>
        <w:rPr>
          <w:rFonts w:ascii="Arial" w:hAnsi="Arial"/>
          <w:i/>
          <w:sz w:val="20"/>
          <w:vertAlign w:val="baseline"/>
        </w:rPr>
        <w:t>Bridge v Campbell Discount Co Ltd [1962] A.C. 600, 622</w:t>
      </w:r>
      <w:r>
        <w:rPr>
          <w:sz w:val="20"/>
          <w:vertAlign w:val="baseline"/>
        </w:rPr>
        <w:t>; </w:t>
      </w:r>
      <w:r>
        <w:rPr>
          <w:rFonts w:ascii="Arial" w:hAnsi="Arial"/>
          <w:i/>
          <w:sz w:val="20"/>
          <w:vertAlign w:val="baseline"/>
        </w:rPr>
        <w:t>Photo Production Ltd v Securicor Transport Ltd [1980] A.C. 827, 850</w:t>
      </w:r>
      <w:r>
        <w:rPr>
          <w:sz w:val="20"/>
          <w:vertAlign w:val="baseline"/>
        </w:rPr>
        <w:t>; </w:t>
      </w:r>
      <w:r>
        <w:rPr>
          <w:rFonts w:ascii="Arial" w:hAnsi="Arial"/>
          <w:i/>
          <w:sz w:val="20"/>
          <w:vertAlign w:val="baseline"/>
        </w:rPr>
        <w:t>Cameron-Head v Cameron &amp;</w:t>
      </w:r>
      <w:r>
        <w:rPr>
          <w:rFonts w:ascii="Arial" w:hAnsi="Arial"/>
          <w:i/>
          <w:spacing w:val="40"/>
          <w:sz w:val="20"/>
          <w:vertAlign w:val="baseline"/>
        </w:rPr>
        <w:t> </w:t>
      </w:r>
      <w:r>
        <w:rPr>
          <w:rFonts w:ascii="Arial" w:hAnsi="Arial"/>
          <w:i/>
          <w:sz w:val="20"/>
          <w:vertAlign w:val="baseline"/>
        </w:rPr>
        <w:t>Co (1919) S.C. 627</w:t>
      </w:r>
      <w:r>
        <w:rPr>
          <w:sz w:val="20"/>
          <w:vertAlign w:val="baseline"/>
        </w:rPr>
        <w:t>; the </w:t>
      </w:r>
      <w:r>
        <w:rPr>
          <w:rFonts w:ascii="Arial" w:hAnsi="Arial"/>
          <w:i/>
          <w:sz w:val="20"/>
          <w:vertAlign w:val="baseline"/>
        </w:rPr>
        <w:t>Workers Trust case [1993] A.C. 573</w:t>
      </w:r>
      <w:r>
        <w:rPr>
          <w:sz w:val="20"/>
          <w:vertAlign w:val="baseline"/>
        </w:rPr>
        <w:t>. It should be noted that by s.24 of the Agricultural Holdings Act 1986 “notwithstanding any provision in a contract of tenancy of an agricultural holding making the tenant liable to pay a higher rent or other liquidated damages”</w:t>
      </w:r>
      <w:r>
        <w:rPr>
          <w:spacing w:val="40"/>
          <w:sz w:val="20"/>
          <w:vertAlign w:val="baseline"/>
        </w:rPr>
        <w:t> </w:t>
      </w:r>
      <w:r>
        <w:rPr>
          <w:sz w:val="20"/>
          <w:vertAlign w:val="baseline"/>
        </w:rPr>
        <w:t>for breach of covenant, etc. the landlord may not recover for any such breach any sum </w:t>
      </w:r>
      <w:r>
        <w:rPr>
          <w:sz w:val="20"/>
          <w:vertAlign w:val="baseline"/>
        </w:rPr>
        <w:t>“in excess of the damage actually suffered”.</w:t>
      </w:r>
    </w:p>
    <w:p>
      <w:pPr>
        <w:pStyle w:val="BodyText"/>
        <w:spacing w:before="123"/>
      </w:pPr>
    </w:p>
    <w:p>
      <w:pPr>
        <w:spacing w:line="227" w:lineRule="exact" w:before="0"/>
        <w:ind w:left="165" w:right="0" w:firstLine="0"/>
        <w:jc w:val="left"/>
        <w:rPr>
          <w:rFonts w:ascii="Arial"/>
          <w:i/>
          <w:sz w:val="20"/>
        </w:rPr>
      </w:pPr>
      <w:bookmarkStart w:name="_bookmark1980" w:id="1982"/>
      <w:bookmarkEnd w:id="1982"/>
      <w:r>
        <w:rPr/>
      </w:r>
      <w:hyperlink w:history="true" w:anchor="_bookmark1913">
        <w:r>
          <w:rPr>
            <w:color w:val="005DA1"/>
            <w:sz w:val="20"/>
            <w:u w:val="single" w:color="005DA1"/>
            <w:vertAlign w:val="superscript"/>
          </w:rPr>
          <w:t>1014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
          <w:sz w:val="20"/>
          <w:vertAlign w:val="baseline"/>
        </w:rPr>
        <w:t> </w:t>
      </w:r>
      <w:r>
        <w:rPr>
          <w:rFonts w:ascii="Arial"/>
          <w:i/>
          <w:sz w:val="20"/>
          <w:vertAlign w:val="baseline"/>
        </w:rPr>
        <w:t>of</w:t>
      </w:r>
      <w:r>
        <w:rPr>
          <w:rFonts w:ascii="Arial"/>
          <w:i/>
          <w:spacing w:val="2"/>
          <w:sz w:val="20"/>
          <w:vertAlign w:val="baseline"/>
        </w:rPr>
        <w:t> </w:t>
      </w:r>
      <w:r>
        <w:rPr>
          <w:rFonts w:ascii="Arial"/>
          <w:i/>
          <w:sz w:val="20"/>
          <w:vertAlign w:val="baseline"/>
        </w:rPr>
        <w:t>Public</w:t>
      </w:r>
      <w:r>
        <w:rPr>
          <w:rFonts w:ascii="Arial"/>
          <w:i/>
          <w:spacing w:val="3"/>
          <w:sz w:val="20"/>
          <w:vertAlign w:val="baseline"/>
        </w:rPr>
        <w:t> </w:t>
      </w:r>
      <w:r>
        <w:rPr>
          <w:rFonts w:ascii="Arial"/>
          <w:i/>
          <w:sz w:val="20"/>
          <w:vertAlign w:val="baseline"/>
        </w:rPr>
        <w:t>Works</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Hills</w:t>
      </w:r>
      <w:r>
        <w:rPr>
          <w:rFonts w:ascii="Arial"/>
          <w:i/>
          <w:spacing w:val="2"/>
          <w:sz w:val="20"/>
          <w:vertAlign w:val="baseline"/>
        </w:rPr>
        <w:t> </w:t>
      </w:r>
      <w:r>
        <w:rPr>
          <w:rFonts w:ascii="Arial"/>
          <w:i/>
          <w:sz w:val="20"/>
          <w:vertAlign w:val="baseline"/>
        </w:rPr>
        <w:t>[1906]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368,</w:t>
      </w:r>
      <w:r>
        <w:rPr>
          <w:rFonts w:ascii="Arial"/>
          <w:i/>
          <w:spacing w:val="2"/>
          <w:sz w:val="20"/>
          <w:vertAlign w:val="baseline"/>
        </w:rPr>
        <w:t> </w:t>
      </w:r>
      <w:r>
        <w:rPr>
          <w:rFonts w:ascii="Arial"/>
          <w:i/>
          <w:sz w:val="20"/>
          <w:vertAlign w:val="baseline"/>
        </w:rPr>
        <w:t>376</w:t>
      </w:r>
      <w:r>
        <w:rPr>
          <w:sz w:val="20"/>
          <w:vertAlign w:val="baseline"/>
        </w:rPr>
        <w:t>;</w:t>
      </w:r>
      <w:r>
        <w:rPr>
          <w:spacing w:val="2"/>
          <w:sz w:val="20"/>
          <w:vertAlign w:val="baseline"/>
        </w:rPr>
        <w:t> </w:t>
      </w:r>
      <w:r>
        <w:rPr>
          <w:rFonts w:ascii="Arial"/>
          <w:i/>
          <w:sz w:val="20"/>
          <w:vertAlign w:val="baseline"/>
        </w:rPr>
        <w:t>Webster</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Bosanquet</w:t>
      </w:r>
      <w:r>
        <w:rPr>
          <w:rFonts w:ascii="Arial"/>
          <w:i/>
          <w:spacing w:val="3"/>
          <w:sz w:val="20"/>
          <w:vertAlign w:val="baseline"/>
        </w:rPr>
        <w:t> </w:t>
      </w:r>
      <w:r>
        <w:rPr>
          <w:rFonts w:ascii="Arial"/>
          <w:i/>
          <w:sz w:val="20"/>
          <w:vertAlign w:val="baseline"/>
        </w:rPr>
        <w:t>[1912]</w:t>
      </w:r>
      <w:r>
        <w:rPr>
          <w:rFonts w:ascii="Arial"/>
          <w:i/>
          <w:spacing w:val="2"/>
          <w:sz w:val="20"/>
          <w:vertAlign w:val="baseline"/>
        </w:rPr>
        <w:t> </w:t>
      </w:r>
      <w:r>
        <w:rPr>
          <w:rFonts w:ascii="Arial"/>
          <w:i/>
          <w:spacing w:val="-4"/>
          <w:sz w:val="20"/>
          <w:vertAlign w:val="baseline"/>
        </w:rPr>
        <w:t>A.C.</w:t>
      </w:r>
    </w:p>
    <w:p>
      <w:pPr>
        <w:spacing w:line="235" w:lineRule="auto" w:before="1"/>
        <w:ind w:left="705" w:right="168" w:firstLine="0"/>
        <w:jc w:val="both"/>
        <w:rPr>
          <w:sz w:val="20"/>
        </w:rPr>
      </w:pPr>
      <w:r>
        <w:rPr>
          <w:rFonts w:ascii="Arial"/>
          <w:i/>
          <w:sz w:val="20"/>
        </w:rPr>
        <w:t>394</w:t>
      </w:r>
      <w:r>
        <w:rPr>
          <w:sz w:val="20"/>
        </w:rPr>
        <w:t>. If the contract was varied in a way that will affect the likely loss, the validity of the clause should be judged by the time of the variation: </w:t>
      </w:r>
      <w:r>
        <w:rPr>
          <w:rFonts w:ascii="Arial"/>
          <w:i/>
          <w:sz w:val="20"/>
        </w:rPr>
        <w:t>Unaoil Ltd v Leighton Offshore Pte Ltd </w:t>
      </w:r>
      <w:r>
        <w:rPr>
          <w:rFonts w:ascii="Arial"/>
          <w:i/>
          <w:sz w:val="20"/>
        </w:rPr>
        <w:t>[2014] EWHC 2965 (Comm) </w:t>
      </w:r>
      <w:r>
        <w:rPr>
          <w:sz w:val="20"/>
        </w:rPr>
        <w:t>at [75].</w:t>
      </w:r>
    </w:p>
    <w:p>
      <w:pPr>
        <w:pStyle w:val="BodyText"/>
        <w:spacing w:before="125"/>
      </w:pPr>
    </w:p>
    <w:p>
      <w:pPr>
        <w:spacing w:before="1"/>
        <w:ind w:left="165" w:right="0" w:firstLine="0"/>
        <w:jc w:val="left"/>
        <w:rPr>
          <w:sz w:val="20"/>
        </w:rPr>
      </w:pPr>
      <w:bookmarkStart w:name="_bookmark1981" w:id="1983"/>
      <w:bookmarkEnd w:id="1983"/>
      <w:r>
        <w:rPr/>
      </w:r>
      <w:hyperlink w:history="true" w:anchor="_bookmark1914">
        <w:r>
          <w:rPr>
            <w:color w:val="005DA1"/>
            <w:sz w:val="20"/>
            <w:u w:val="single" w:color="005DA1"/>
            <w:vertAlign w:val="superscript"/>
          </w:rPr>
          <w:t>1015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Pye</w:t>
      </w:r>
      <w:r>
        <w:rPr>
          <w:rFonts w:ascii="Arial"/>
          <w:i/>
          <w:spacing w:val="3"/>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British</w:t>
      </w:r>
      <w:r>
        <w:rPr>
          <w:rFonts w:ascii="Arial"/>
          <w:i/>
          <w:spacing w:val="1"/>
          <w:sz w:val="20"/>
          <w:vertAlign w:val="baseline"/>
        </w:rPr>
        <w:t> </w:t>
      </w:r>
      <w:r>
        <w:rPr>
          <w:rFonts w:ascii="Arial"/>
          <w:i/>
          <w:sz w:val="20"/>
          <w:vertAlign w:val="baseline"/>
        </w:rPr>
        <w:t>Automobile</w:t>
      </w:r>
      <w:r>
        <w:rPr>
          <w:rFonts w:ascii="Arial"/>
          <w:i/>
          <w:spacing w:val="2"/>
          <w:sz w:val="20"/>
          <w:vertAlign w:val="baseline"/>
        </w:rPr>
        <w:t> </w:t>
      </w:r>
      <w:r>
        <w:rPr>
          <w:rFonts w:ascii="Arial"/>
          <w:i/>
          <w:sz w:val="20"/>
          <w:vertAlign w:val="baseline"/>
        </w:rPr>
        <w:t>Commercial</w:t>
      </w:r>
      <w:r>
        <w:rPr>
          <w:rFonts w:ascii="Arial"/>
          <w:i/>
          <w:spacing w:val="2"/>
          <w:sz w:val="20"/>
          <w:vertAlign w:val="baseline"/>
        </w:rPr>
        <w:t> </w:t>
      </w:r>
      <w:r>
        <w:rPr>
          <w:rFonts w:ascii="Arial"/>
          <w:i/>
          <w:sz w:val="20"/>
          <w:vertAlign w:val="baseline"/>
        </w:rPr>
        <w:t>Syndicate</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[1906]</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K.B.</w:t>
      </w:r>
      <w:r>
        <w:rPr>
          <w:rFonts w:ascii="Arial"/>
          <w:i/>
          <w:spacing w:val="2"/>
          <w:sz w:val="20"/>
          <w:vertAlign w:val="baseline"/>
        </w:rPr>
        <w:t> </w:t>
      </w:r>
      <w:r>
        <w:rPr>
          <w:rFonts w:ascii="Arial"/>
          <w:i/>
          <w:spacing w:val="-4"/>
          <w:sz w:val="20"/>
          <w:vertAlign w:val="baseline"/>
        </w:rPr>
        <w:t>425</w:t>
      </w:r>
      <w:r>
        <w:rPr>
          <w:spacing w:val="-4"/>
          <w:sz w:val="20"/>
          <w:vertAlign w:val="baseline"/>
        </w:rPr>
        <w:t>.</w:t>
      </w:r>
    </w:p>
    <w:p>
      <w:pPr>
        <w:pStyle w:val="BodyText"/>
        <w:spacing w:before="128"/>
      </w:pPr>
    </w:p>
    <w:p>
      <w:pPr>
        <w:spacing w:line="235" w:lineRule="auto" w:before="0"/>
        <w:ind w:left="705" w:right="167" w:hanging="541"/>
        <w:jc w:val="both"/>
        <w:rPr>
          <w:rFonts w:ascii="Arial"/>
          <w:i/>
          <w:sz w:val="20"/>
        </w:rPr>
      </w:pPr>
      <w:bookmarkStart w:name="_bookmark1982" w:id="1984"/>
      <w:bookmarkEnd w:id="1984"/>
      <w:r>
        <w:rPr/>
      </w:r>
      <w:hyperlink w:history="true" w:anchor="_bookmark1915">
        <w:r>
          <w:rPr>
            <w:color w:val="005DA1"/>
            <w:sz w:val="20"/>
            <w:u w:val="single" w:color="005DA1"/>
            <w:vertAlign w:val="superscript"/>
          </w:rPr>
          <w:t>1016</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Clydebank Engineering &amp; Shipbuilding Co Ltd v Don Jose Ramos Yzquierdo y Castaneda [1905]</w:t>
      </w:r>
      <w:r>
        <w:rPr>
          <w:rFonts w:ascii="Arial"/>
          <w:i/>
          <w:spacing w:val="53"/>
          <w:sz w:val="20"/>
          <w:vertAlign w:val="baseline"/>
        </w:rPr>
        <w:t> </w:t>
      </w:r>
      <w:r>
        <w:rPr>
          <w:rFonts w:ascii="Arial"/>
          <w:i/>
          <w:sz w:val="20"/>
          <w:vertAlign w:val="baseline"/>
        </w:rPr>
        <w:t>A.C.</w:t>
      </w:r>
      <w:r>
        <w:rPr>
          <w:rFonts w:ascii="Arial"/>
          <w:i/>
          <w:spacing w:val="54"/>
          <w:sz w:val="20"/>
          <w:vertAlign w:val="baseline"/>
        </w:rPr>
        <w:t> </w:t>
      </w:r>
      <w:r>
        <w:rPr>
          <w:rFonts w:ascii="Arial"/>
          <w:i/>
          <w:sz w:val="20"/>
          <w:vertAlign w:val="baseline"/>
        </w:rPr>
        <w:t>6,</w:t>
      </w:r>
      <w:r>
        <w:rPr>
          <w:rFonts w:ascii="Arial"/>
          <w:i/>
          <w:spacing w:val="54"/>
          <w:sz w:val="20"/>
          <w:vertAlign w:val="baseline"/>
        </w:rPr>
        <w:t> </w:t>
      </w:r>
      <w:r>
        <w:rPr>
          <w:rFonts w:ascii="Arial"/>
          <w:i/>
          <w:sz w:val="20"/>
          <w:vertAlign w:val="baseline"/>
        </w:rPr>
        <w:t>17</w:t>
      </w:r>
      <w:r>
        <w:rPr>
          <w:sz w:val="20"/>
          <w:vertAlign w:val="baseline"/>
        </w:rPr>
        <w:t>;</w:t>
      </w:r>
      <w:r>
        <w:rPr>
          <w:spacing w:val="54"/>
          <w:sz w:val="20"/>
          <w:vertAlign w:val="baseline"/>
        </w:rPr>
        <w:t> </w:t>
      </w:r>
      <w:r>
        <w:rPr>
          <w:rFonts w:ascii="Arial"/>
          <w:i/>
          <w:sz w:val="20"/>
          <w:vertAlign w:val="baseline"/>
        </w:rPr>
        <w:t>Webster</w:t>
      </w:r>
      <w:r>
        <w:rPr>
          <w:rFonts w:ascii="Arial"/>
          <w:i/>
          <w:spacing w:val="54"/>
          <w:sz w:val="20"/>
          <w:vertAlign w:val="baseline"/>
        </w:rPr>
        <w:t> </w:t>
      </w:r>
      <w:r>
        <w:rPr>
          <w:rFonts w:ascii="Arial"/>
          <w:i/>
          <w:sz w:val="20"/>
          <w:vertAlign w:val="baseline"/>
        </w:rPr>
        <w:t>v</w:t>
      </w:r>
      <w:r>
        <w:rPr>
          <w:rFonts w:ascii="Arial"/>
          <w:i/>
          <w:spacing w:val="54"/>
          <w:sz w:val="20"/>
          <w:vertAlign w:val="baseline"/>
        </w:rPr>
        <w:t> </w:t>
      </w:r>
      <w:r>
        <w:rPr>
          <w:rFonts w:ascii="Arial"/>
          <w:i/>
          <w:sz w:val="20"/>
          <w:vertAlign w:val="baseline"/>
        </w:rPr>
        <w:t>Bosanquet</w:t>
      </w:r>
      <w:r>
        <w:rPr>
          <w:rFonts w:ascii="Arial"/>
          <w:i/>
          <w:spacing w:val="54"/>
          <w:sz w:val="20"/>
          <w:vertAlign w:val="baseline"/>
        </w:rPr>
        <w:t> </w:t>
      </w:r>
      <w:r>
        <w:rPr>
          <w:rFonts w:ascii="Arial"/>
          <w:i/>
          <w:sz w:val="20"/>
          <w:vertAlign w:val="baseline"/>
        </w:rPr>
        <w:t>[1912]</w:t>
      </w:r>
      <w:r>
        <w:rPr>
          <w:rFonts w:ascii="Arial"/>
          <w:i/>
          <w:spacing w:val="53"/>
          <w:sz w:val="20"/>
          <w:vertAlign w:val="baseline"/>
        </w:rPr>
        <w:t> </w:t>
      </w:r>
      <w:r>
        <w:rPr>
          <w:rFonts w:ascii="Arial"/>
          <w:i/>
          <w:sz w:val="20"/>
          <w:vertAlign w:val="baseline"/>
        </w:rPr>
        <w:t>A.C.</w:t>
      </w:r>
      <w:r>
        <w:rPr>
          <w:rFonts w:ascii="Arial"/>
          <w:i/>
          <w:spacing w:val="54"/>
          <w:sz w:val="20"/>
          <w:vertAlign w:val="baseline"/>
        </w:rPr>
        <w:t> </w:t>
      </w:r>
      <w:r>
        <w:rPr>
          <w:rFonts w:ascii="Arial"/>
          <w:i/>
          <w:sz w:val="20"/>
          <w:vertAlign w:val="baseline"/>
        </w:rPr>
        <w:t>394</w:t>
      </w:r>
      <w:r>
        <w:rPr>
          <w:sz w:val="20"/>
          <w:vertAlign w:val="baseline"/>
        </w:rPr>
        <w:t>;</w:t>
      </w:r>
      <w:r>
        <w:rPr>
          <w:spacing w:val="54"/>
          <w:sz w:val="20"/>
          <w:vertAlign w:val="baseline"/>
        </w:rPr>
        <w:t> </w:t>
      </w:r>
      <w:r>
        <w:rPr>
          <w:rFonts w:ascii="Arial"/>
          <w:i/>
          <w:sz w:val="20"/>
          <w:vertAlign w:val="baseline"/>
        </w:rPr>
        <w:t>Cooden</w:t>
      </w:r>
      <w:r>
        <w:rPr>
          <w:rFonts w:ascii="Arial"/>
          <w:i/>
          <w:spacing w:val="54"/>
          <w:sz w:val="20"/>
          <w:vertAlign w:val="baseline"/>
        </w:rPr>
        <w:t> </w:t>
      </w:r>
      <w:r>
        <w:rPr>
          <w:rFonts w:ascii="Arial"/>
          <w:i/>
          <w:sz w:val="20"/>
          <w:vertAlign w:val="baseline"/>
        </w:rPr>
        <w:t>Engineering</w:t>
      </w:r>
      <w:r>
        <w:rPr>
          <w:rFonts w:ascii="Arial"/>
          <w:i/>
          <w:spacing w:val="54"/>
          <w:sz w:val="20"/>
          <w:vertAlign w:val="baseline"/>
        </w:rPr>
        <w:t> </w:t>
      </w:r>
      <w:r>
        <w:rPr>
          <w:rFonts w:ascii="Arial"/>
          <w:i/>
          <w:sz w:val="20"/>
          <w:vertAlign w:val="baseline"/>
        </w:rPr>
        <w:t>Co</w:t>
      </w:r>
      <w:r>
        <w:rPr>
          <w:rFonts w:ascii="Arial"/>
          <w:i/>
          <w:spacing w:val="54"/>
          <w:sz w:val="20"/>
          <w:vertAlign w:val="baseline"/>
        </w:rPr>
        <w:t> </w:t>
      </w:r>
      <w:r>
        <w:rPr>
          <w:rFonts w:ascii="Arial"/>
          <w:i/>
          <w:sz w:val="20"/>
          <w:vertAlign w:val="baseline"/>
        </w:rPr>
        <w:t>Ltd</w:t>
      </w:r>
      <w:r>
        <w:rPr>
          <w:rFonts w:ascii="Arial"/>
          <w:i/>
          <w:spacing w:val="54"/>
          <w:sz w:val="20"/>
          <w:vertAlign w:val="baseline"/>
        </w:rPr>
        <w:t> </w:t>
      </w:r>
      <w:r>
        <w:rPr>
          <w:rFonts w:ascii="Arial"/>
          <w:i/>
          <w:spacing w:val="-10"/>
          <w:sz w:val="20"/>
          <w:vertAlign w:val="baseline"/>
        </w:rPr>
        <w:t>v</w:t>
      </w:r>
    </w:p>
    <w:p>
      <w:pPr>
        <w:spacing w:line="235" w:lineRule="auto" w:before="0"/>
        <w:ind w:left="705" w:right="168" w:firstLine="0"/>
        <w:jc w:val="left"/>
        <w:rPr>
          <w:sz w:val="20"/>
        </w:rPr>
      </w:pPr>
      <w:r>
        <w:rPr>
          <w:rFonts w:ascii="Arial"/>
          <w:i/>
          <w:sz w:val="20"/>
        </w:rPr>
        <w:t>Stanford</w:t>
      </w:r>
      <w:r>
        <w:rPr>
          <w:rFonts w:ascii="Arial"/>
          <w:i/>
          <w:spacing w:val="35"/>
          <w:sz w:val="20"/>
        </w:rPr>
        <w:t> </w:t>
      </w:r>
      <w:r>
        <w:rPr>
          <w:rFonts w:ascii="Arial"/>
          <w:i/>
          <w:sz w:val="20"/>
        </w:rPr>
        <w:t>[1953]</w:t>
      </w:r>
      <w:r>
        <w:rPr>
          <w:rFonts w:ascii="Arial"/>
          <w:i/>
          <w:spacing w:val="35"/>
          <w:sz w:val="20"/>
        </w:rPr>
        <w:t> </w:t>
      </w:r>
      <w:r>
        <w:rPr>
          <w:rFonts w:ascii="Arial"/>
          <w:i/>
          <w:sz w:val="20"/>
        </w:rPr>
        <w:t>1</w:t>
      </w:r>
      <w:r>
        <w:rPr>
          <w:rFonts w:ascii="Arial"/>
          <w:i/>
          <w:spacing w:val="35"/>
          <w:sz w:val="20"/>
        </w:rPr>
        <w:t> </w:t>
      </w:r>
      <w:r>
        <w:rPr>
          <w:rFonts w:ascii="Arial"/>
          <w:i/>
          <w:sz w:val="20"/>
        </w:rPr>
        <w:t>Q.B.</w:t>
      </w:r>
      <w:r>
        <w:rPr>
          <w:rFonts w:ascii="Arial"/>
          <w:i/>
          <w:spacing w:val="35"/>
          <w:sz w:val="20"/>
        </w:rPr>
        <w:t> </w:t>
      </w:r>
      <w:r>
        <w:rPr>
          <w:rFonts w:ascii="Arial"/>
          <w:i/>
          <w:sz w:val="20"/>
        </w:rPr>
        <w:t>86</w:t>
      </w:r>
      <w:r>
        <w:rPr>
          <w:sz w:val="20"/>
        </w:rPr>
        <w:t>;</w:t>
      </w:r>
      <w:r>
        <w:rPr>
          <w:spacing w:val="35"/>
          <w:sz w:val="20"/>
        </w:rPr>
        <w:t> </w:t>
      </w:r>
      <w:r>
        <w:rPr>
          <w:sz w:val="20"/>
        </w:rPr>
        <w:t>cf.</w:t>
      </w:r>
      <w:r>
        <w:rPr>
          <w:spacing w:val="35"/>
          <w:sz w:val="20"/>
        </w:rPr>
        <w:t> </w:t>
      </w:r>
      <w:r>
        <w:rPr>
          <w:rFonts w:ascii="Arial"/>
          <w:i/>
          <w:sz w:val="20"/>
        </w:rPr>
        <w:t>Bridge</w:t>
      </w:r>
      <w:r>
        <w:rPr>
          <w:rFonts w:ascii="Arial"/>
          <w:i/>
          <w:spacing w:val="35"/>
          <w:sz w:val="20"/>
        </w:rPr>
        <w:t> </w:t>
      </w:r>
      <w:r>
        <w:rPr>
          <w:rFonts w:ascii="Arial"/>
          <w:i/>
          <w:sz w:val="20"/>
        </w:rPr>
        <w:t>v</w:t>
      </w:r>
      <w:r>
        <w:rPr>
          <w:rFonts w:ascii="Arial"/>
          <w:i/>
          <w:spacing w:val="35"/>
          <w:sz w:val="20"/>
        </w:rPr>
        <w:t> </w:t>
      </w:r>
      <w:r>
        <w:rPr>
          <w:rFonts w:ascii="Arial"/>
          <w:i/>
          <w:sz w:val="20"/>
        </w:rPr>
        <w:t>Campbell</w:t>
      </w:r>
      <w:r>
        <w:rPr>
          <w:rFonts w:ascii="Arial"/>
          <w:i/>
          <w:spacing w:val="35"/>
          <w:sz w:val="20"/>
        </w:rPr>
        <w:t> </w:t>
      </w:r>
      <w:r>
        <w:rPr>
          <w:rFonts w:ascii="Arial"/>
          <w:i/>
          <w:sz w:val="20"/>
        </w:rPr>
        <w:t>Discount</w:t>
      </w:r>
      <w:r>
        <w:rPr>
          <w:rFonts w:ascii="Arial"/>
          <w:i/>
          <w:spacing w:val="35"/>
          <w:sz w:val="20"/>
        </w:rPr>
        <w:t> </w:t>
      </w:r>
      <w:r>
        <w:rPr>
          <w:rFonts w:ascii="Arial"/>
          <w:i/>
          <w:sz w:val="20"/>
        </w:rPr>
        <w:t>Co</w:t>
      </w:r>
      <w:r>
        <w:rPr>
          <w:rFonts w:ascii="Arial"/>
          <w:i/>
          <w:spacing w:val="35"/>
          <w:sz w:val="20"/>
        </w:rPr>
        <w:t> </w:t>
      </w:r>
      <w:r>
        <w:rPr>
          <w:rFonts w:ascii="Arial"/>
          <w:i/>
          <w:sz w:val="20"/>
        </w:rPr>
        <w:t>Ltd</w:t>
      </w:r>
      <w:r>
        <w:rPr>
          <w:rFonts w:ascii="Arial"/>
          <w:i/>
          <w:spacing w:val="35"/>
          <w:sz w:val="20"/>
        </w:rPr>
        <w:t> </w:t>
      </w:r>
      <w:r>
        <w:rPr>
          <w:rFonts w:ascii="Arial"/>
          <w:i/>
          <w:sz w:val="20"/>
        </w:rPr>
        <w:t>[1962]</w:t>
      </w:r>
      <w:r>
        <w:rPr>
          <w:rFonts w:ascii="Arial"/>
          <w:i/>
          <w:spacing w:val="35"/>
          <w:sz w:val="20"/>
        </w:rPr>
        <w:t> </w:t>
      </w:r>
      <w:r>
        <w:rPr>
          <w:rFonts w:ascii="Arial"/>
          <w:i/>
          <w:sz w:val="20"/>
        </w:rPr>
        <w:t>A.C.</w:t>
      </w:r>
      <w:r>
        <w:rPr>
          <w:rFonts w:ascii="Arial"/>
          <w:i/>
          <w:spacing w:val="35"/>
          <w:sz w:val="20"/>
        </w:rPr>
        <w:t> </w:t>
      </w:r>
      <w:r>
        <w:rPr>
          <w:rFonts w:ascii="Arial"/>
          <w:i/>
          <w:sz w:val="20"/>
        </w:rPr>
        <w:t>600</w:t>
      </w:r>
      <w:r>
        <w:rPr>
          <w:rFonts w:ascii="Arial"/>
          <w:i/>
          <w:spacing w:val="34"/>
          <w:sz w:val="20"/>
        </w:rPr>
        <w:t> </w:t>
      </w:r>
      <w:r>
        <w:rPr>
          <w:sz w:val="20"/>
        </w:rPr>
        <w:t>(below, </w:t>
      </w:r>
      <w:r>
        <w:rPr>
          <w:spacing w:val="-2"/>
          <w:sz w:val="20"/>
        </w:rPr>
        <w:t>para.26-216C).</w:t>
      </w:r>
    </w:p>
    <w:p>
      <w:pPr>
        <w:pStyle w:val="BodyText"/>
        <w:spacing w:before="129"/>
      </w:pPr>
    </w:p>
    <w:p>
      <w:pPr>
        <w:spacing w:line="235" w:lineRule="auto" w:before="0"/>
        <w:ind w:left="705" w:right="167" w:hanging="541"/>
        <w:jc w:val="both"/>
        <w:rPr>
          <w:sz w:val="20"/>
        </w:rPr>
      </w:pPr>
      <w:bookmarkStart w:name="_bookmark1983" w:id="1985"/>
      <w:bookmarkEnd w:id="1985"/>
      <w:r>
        <w:rPr/>
      </w:r>
      <w:hyperlink w:history="true" w:anchor="_bookmark1916">
        <w:r>
          <w:rPr>
            <w:color w:val="005DA1"/>
            <w:sz w:val="20"/>
            <w:u w:val="single" w:color="005DA1"/>
            <w:vertAlign w:val="superscript"/>
          </w:rPr>
          <w:t>1017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Kemble v Farren (1829) 6 Bing. 141</w:t>
      </w:r>
      <w:r>
        <w:rPr>
          <w:sz w:val="20"/>
          <w:vertAlign w:val="baseline"/>
        </w:rPr>
        <w:t>. See also </w:t>
      </w:r>
      <w:r>
        <w:rPr>
          <w:rFonts w:ascii="Arial" w:hAnsi="Arial"/>
          <w:i/>
          <w:sz w:val="20"/>
          <w:vertAlign w:val="baseline"/>
        </w:rPr>
        <w:t>Astley v Weldon (1801) 2 B. &amp; P. 346</w:t>
      </w:r>
      <w:r>
        <w:rPr>
          <w:sz w:val="20"/>
          <w:vertAlign w:val="baseline"/>
        </w:rPr>
        <w:t>; </w:t>
      </w:r>
      <w:r>
        <w:rPr>
          <w:rFonts w:ascii="Arial" w:hAnsi="Arial"/>
          <w:i/>
          <w:sz w:val="20"/>
          <w:vertAlign w:val="baseline"/>
        </w:rPr>
        <w:t>Wallis </w:t>
      </w:r>
      <w:r>
        <w:rPr>
          <w:rFonts w:ascii="Arial" w:hAnsi="Arial"/>
          <w:i/>
          <w:sz w:val="20"/>
          <w:vertAlign w:val="baseline"/>
        </w:rPr>
        <w:t>v Smith (1882) 21 Ch. D. 243, 256–257</w:t>
      </w:r>
      <w:r>
        <w:rPr>
          <w:sz w:val="20"/>
          <w:vertAlign w:val="baseline"/>
        </w:rPr>
        <w:t>. The breach may involve more than a failure to pay:</w:t>
      </w:r>
      <w:r>
        <w:rPr>
          <w:spacing w:val="40"/>
          <w:sz w:val="20"/>
          <w:vertAlign w:val="baseline"/>
        </w:rPr>
        <w:t> </w:t>
      </w:r>
      <w:r>
        <w:rPr>
          <w:rFonts w:ascii="Arial" w:hAnsi="Arial"/>
          <w:i/>
          <w:sz w:val="20"/>
          <w:vertAlign w:val="baseline"/>
        </w:rPr>
        <w:t>Thos.</w:t>
      </w:r>
      <w:r>
        <w:rPr>
          <w:rFonts w:ascii="Arial" w:hAnsi="Arial"/>
          <w:i/>
          <w:spacing w:val="-1"/>
          <w:sz w:val="20"/>
          <w:vertAlign w:val="baseline"/>
        </w:rPr>
        <w:t> </w:t>
      </w:r>
      <w:r>
        <w:rPr>
          <w:rFonts w:ascii="Arial" w:hAnsi="Arial"/>
          <w:i/>
          <w:sz w:val="20"/>
          <w:vertAlign w:val="baseline"/>
        </w:rPr>
        <w:t>P.</w:t>
      </w:r>
      <w:r>
        <w:rPr>
          <w:rFonts w:ascii="Arial" w:hAnsi="Arial"/>
          <w:i/>
          <w:spacing w:val="-1"/>
          <w:sz w:val="20"/>
          <w:vertAlign w:val="baseline"/>
        </w:rPr>
        <w:t> </w:t>
      </w:r>
      <w:r>
        <w:rPr>
          <w:rFonts w:ascii="Arial" w:hAnsi="Arial"/>
          <w:i/>
          <w:sz w:val="20"/>
          <w:vertAlign w:val="baseline"/>
        </w:rPr>
        <w:t>Gonzales</w:t>
      </w:r>
      <w:r>
        <w:rPr>
          <w:rFonts w:ascii="Arial" w:hAnsi="Arial"/>
          <w:i/>
          <w:spacing w:val="-1"/>
          <w:sz w:val="20"/>
          <w:vertAlign w:val="baseline"/>
        </w:rPr>
        <w:t> </w:t>
      </w:r>
      <w:r>
        <w:rPr>
          <w:rFonts w:ascii="Arial" w:hAnsi="Arial"/>
          <w:i/>
          <w:sz w:val="20"/>
          <w:vertAlign w:val="baseline"/>
        </w:rPr>
        <w:t>Corp</w:t>
      </w:r>
      <w:r>
        <w:rPr>
          <w:rFonts w:ascii="Arial" w:hAnsi="Arial"/>
          <w:i/>
          <w:spacing w:val="-1"/>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F.</w:t>
      </w:r>
      <w:r>
        <w:rPr>
          <w:rFonts w:ascii="Arial" w:hAnsi="Arial"/>
          <w:i/>
          <w:spacing w:val="-1"/>
          <w:sz w:val="20"/>
          <w:vertAlign w:val="baseline"/>
        </w:rPr>
        <w:t> </w:t>
      </w:r>
      <w:r>
        <w:rPr>
          <w:rFonts w:ascii="Arial" w:hAnsi="Arial"/>
          <w:i/>
          <w:sz w:val="20"/>
          <w:vertAlign w:val="baseline"/>
        </w:rPr>
        <w:t>R.</w:t>
      </w:r>
      <w:r>
        <w:rPr>
          <w:rFonts w:ascii="Arial" w:hAnsi="Arial"/>
          <w:i/>
          <w:spacing w:val="-1"/>
          <w:sz w:val="20"/>
          <w:vertAlign w:val="baseline"/>
        </w:rPr>
        <w:t> </w:t>
      </w:r>
      <w:r>
        <w:rPr>
          <w:rFonts w:ascii="Arial" w:hAnsi="Arial"/>
          <w:i/>
          <w:sz w:val="20"/>
          <w:vertAlign w:val="baseline"/>
        </w:rPr>
        <w:t>Waring</w:t>
      </w:r>
      <w:r>
        <w:rPr>
          <w:rFonts w:ascii="Arial" w:hAnsi="Arial"/>
          <w:i/>
          <w:spacing w:val="-1"/>
          <w:sz w:val="20"/>
          <w:vertAlign w:val="baseline"/>
        </w:rPr>
        <w:t> </w:t>
      </w:r>
      <w:r>
        <w:rPr>
          <w:rFonts w:ascii="Arial" w:hAnsi="Arial"/>
          <w:i/>
          <w:sz w:val="20"/>
          <w:vertAlign w:val="baseline"/>
        </w:rPr>
        <w:t>(International)</w:t>
      </w:r>
      <w:r>
        <w:rPr>
          <w:rFonts w:ascii="Arial" w:hAnsi="Arial"/>
          <w:i/>
          <w:spacing w:val="-1"/>
          <w:sz w:val="20"/>
          <w:vertAlign w:val="baseline"/>
        </w:rPr>
        <w:t> </w:t>
      </w:r>
      <w:r>
        <w:rPr>
          <w:rFonts w:ascii="Arial" w:hAnsi="Arial"/>
          <w:i/>
          <w:sz w:val="20"/>
          <w:vertAlign w:val="baseline"/>
        </w:rPr>
        <w:t>Pty</w:t>
      </w:r>
      <w:r>
        <w:rPr>
          <w:rFonts w:ascii="Arial" w:hAnsi="Arial"/>
          <w:i/>
          <w:spacing w:val="-1"/>
          <w:sz w:val="20"/>
          <w:vertAlign w:val="baseline"/>
        </w:rPr>
        <w:t> </w:t>
      </w:r>
      <w:r>
        <w:rPr>
          <w:rFonts w:ascii="Arial" w:hAnsi="Arial"/>
          <w:i/>
          <w:sz w:val="20"/>
          <w:vertAlign w:val="baseline"/>
        </w:rPr>
        <w:t>Ltd</w:t>
      </w:r>
      <w:r>
        <w:rPr>
          <w:rFonts w:ascii="Arial" w:hAnsi="Arial"/>
          <w:i/>
          <w:spacing w:val="-1"/>
          <w:sz w:val="20"/>
          <w:vertAlign w:val="baseline"/>
        </w:rPr>
        <w:t> </w:t>
      </w:r>
      <w:r>
        <w:rPr>
          <w:rFonts w:ascii="Arial" w:hAnsi="Arial"/>
          <w:i/>
          <w:sz w:val="20"/>
          <w:vertAlign w:val="baseline"/>
        </w:rPr>
        <w:t>[1986]</w:t>
      </w:r>
      <w:r>
        <w:rPr>
          <w:rFonts w:ascii="Arial" w:hAnsi="Arial"/>
          <w:i/>
          <w:spacing w:val="-1"/>
          <w:sz w:val="20"/>
          <w:vertAlign w:val="baseline"/>
        </w:rPr>
        <w:t> </w:t>
      </w:r>
      <w:r>
        <w:rPr>
          <w:rFonts w:ascii="Arial" w:hAnsi="Arial"/>
          <w:i/>
          <w:sz w:val="20"/>
          <w:vertAlign w:val="baseline"/>
        </w:rPr>
        <w:t>2</w:t>
      </w:r>
      <w:r>
        <w:rPr>
          <w:rFonts w:ascii="Arial" w:hAnsi="Arial"/>
          <w:i/>
          <w:spacing w:val="-1"/>
          <w:sz w:val="20"/>
          <w:vertAlign w:val="baseline"/>
        </w:rPr>
        <w:t> </w:t>
      </w:r>
      <w:r>
        <w:rPr>
          <w:rFonts w:ascii="Arial" w:hAnsi="Arial"/>
          <w:i/>
          <w:sz w:val="20"/>
          <w:vertAlign w:val="baseline"/>
        </w:rPr>
        <w:t>Lloyd’s</w:t>
      </w:r>
      <w:r>
        <w:rPr>
          <w:rFonts w:ascii="Arial" w:hAnsi="Arial"/>
          <w:i/>
          <w:spacing w:val="-1"/>
          <w:sz w:val="20"/>
          <w:vertAlign w:val="baseline"/>
        </w:rPr>
        <w:t> </w:t>
      </w:r>
      <w:r>
        <w:rPr>
          <w:rFonts w:ascii="Arial" w:hAnsi="Arial"/>
          <w:i/>
          <w:sz w:val="20"/>
          <w:vertAlign w:val="baseline"/>
        </w:rPr>
        <w:t>Rep.</w:t>
      </w:r>
      <w:r>
        <w:rPr>
          <w:rFonts w:ascii="Arial" w:hAnsi="Arial"/>
          <w:i/>
          <w:spacing w:val="-1"/>
          <w:sz w:val="20"/>
          <w:vertAlign w:val="baseline"/>
        </w:rPr>
        <w:t> </w:t>
      </w:r>
      <w:r>
        <w:rPr>
          <w:rFonts w:ascii="Arial" w:hAnsi="Arial"/>
          <w:i/>
          <w:sz w:val="20"/>
          <w:vertAlign w:val="baseline"/>
        </w:rPr>
        <w:t>160,</w:t>
      </w:r>
      <w:r>
        <w:rPr>
          <w:rFonts w:ascii="Arial" w:hAnsi="Arial"/>
          <w:i/>
          <w:spacing w:val="-1"/>
          <w:sz w:val="20"/>
          <w:vertAlign w:val="baseline"/>
        </w:rPr>
        <w:t> </w:t>
      </w:r>
      <w:r>
        <w:rPr>
          <w:rFonts w:ascii="Arial" w:hAnsi="Arial"/>
          <w:i/>
          <w:sz w:val="20"/>
          <w:vertAlign w:val="baseline"/>
        </w:rPr>
        <w:t>163</w:t>
      </w:r>
      <w:r>
        <w:rPr>
          <w:sz w:val="20"/>
          <w:vertAlign w:val="baseline"/>
        </w:rPr>
        <w:t>.</w:t>
      </w:r>
      <w:r>
        <w:rPr>
          <w:spacing w:val="-1"/>
          <w:sz w:val="20"/>
          <w:vertAlign w:val="baseline"/>
        </w:rPr>
        <w:t> </w:t>
      </w:r>
      <w:r>
        <w:rPr>
          <w:sz w:val="20"/>
          <w:vertAlign w:val="baseline"/>
        </w:rPr>
        <w:t>A discount</w:t>
      </w:r>
      <w:r>
        <w:rPr>
          <w:spacing w:val="-2"/>
          <w:sz w:val="20"/>
          <w:vertAlign w:val="baseline"/>
        </w:rPr>
        <w:t> </w:t>
      </w:r>
      <w:r>
        <w:rPr>
          <w:sz w:val="20"/>
          <w:vertAlign w:val="baseline"/>
        </w:rPr>
        <w:t>for</w:t>
      </w:r>
      <w:r>
        <w:rPr>
          <w:spacing w:val="-2"/>
          <w:sz w:val="20"/>
          <w:vertAlign w:val="baseline"/>
        </w:rPr>
        <w:t> </w:t>
      </w:r>
      <w:r>
        <w:rPr>
          <w:sz w:val="20"/>
          <w:vertAlign w:val="baseline"/>
        </w:rPr>
        <w:t>prompt</w:t>
      </w:r>
      <w:r>
        <w:rPr>
          <w:spacing w:val="-2"/>
          <w:sz w:val="20"/>
          <w:vertAlign w:val="baseline"/>
        </w:rPr>
        <w:t> </w:t>
      </w:r>
      <w:r>
        <w:rPr>
          <w:sz w:val="20"/>
          <w:vertAlign w:val="baseline"/>
        </w:rPr>
        <w:t>payment,</w:t>
      </w:r>
      <w:r>
        <w:rPr>
          <w:spacing w:val="-2"/>
          <w:sz w:val="20"/>
          <w:vertAlign w:val="baseline"/>
        </w:rPr>
        <w:t> </w:t>
      </w:r>
      <w:r>
        <w:rPr>
          <w:sz w:val="20"/>
          <w:vertAlign w:val="baseline"/>
        </w:rPr>
        <w:t>however,</w:t>
      </w:r>
      <w:r>
        <w:rPr>
          <w:spacing w:val="-2"/>
          <w:sz w:val="20"/>
          <w:vertAlign w:val="baseline"/>
        </w:rPr>
        <w:t> </w:t>
      </w:r>
      <w:r>
        <w:rPr>
          <w:sz w:val="20"/>
          <w:vertAlign w:val="baseline"/>
        </w:rPr>
        <w:t>was</w:t>
      </w:r>
      <w:r>
        <w:rPr>
          <w:spacing w:val="-2"/>
          <w:sz w:val="20"/>
          <w:vertAlign w:val="baseline"/>
        </w:rPr>
        <w:t> </w:t>
      </w:r>
      <w:r>
        <w:rPr>
          <w:sz w:val="20"/>
          <w:vertAlign w:val="baseline"/>
        </w:rPr>
        <w:t>held</w:t>
      </w:r>
      <w:r>
        <w:rPr>
          <w:spacing w:val="-2"/>
          <w:sz w:val="20"/>
          <w:vertAlign w:val="baseline"/>
        </w:rPr>
        <w:t> </w:t>
      </w:r>
      <w:r>
        <w:rPr>
          <w:sz w:val="20"/>
          <w:vertAlign w:val="baseline"/>
        </w:rPr>
        <w:t>not</w:t>
      </w:r>
      <w:r>
        <w:rPr>
          <w:spacing w:val="-2"/>
          <w:sz w:val="20"/>
          <w:vertAlign w:val="baseline"/>
        </w:rPr>
        <w:t> </w:t>
      </w:r>
      <w:r>
        <w:rPr>
          <w:sz w:val="20"/>
          <w:vertAlign w:val="baseline"/>
        </w:rPr>
        <w:t>make</w:t>
      </w:r>
      <w:r>
        <w:rPr>
          <w:spacing w:val="-2"/>
          <w:sz w:val="20"/>
          <w:vertAlign w:val="baseline"/>
        </w:rPr>
        <w:t> </w:t>
      </w:r>
      <w:r>
        <w:rPr>
          <w:sz w:val="20"/>
          <w:vertAlign w:val="baseline"/>
        </w:rPr>
        <w:t>the</w:t>
      </w:r>
      <w:r>
        <w:rPr>
          <w:spacing w:val="-2"/>
          <w:sz w:val="20"/>
          <w:vertAlign w:val="baseline"/>
        </w:rPr>
        <w:t> </w:t>
      </w:r>
      <w:r>
        <w:rPr>
          <w:sz w:val="20"/>
          <w:vertAlign w:val="baseline"/>
        </w:rPr>
        <w:t>undiscounted</w:t>
      </w:r>
      <w:r>
        <w:rPr>
          <w:spacing w:val="-2"/>
          <w:sz w:val="20"/>
          <w:vertAlign w:val="baseline"/>
        </w:rPr>
        <w:t> </w:t>
      </w:r>
      <w:r>
        <w:rPr>
          <w:sz w:val="20"/>
          <w:vertAlign w:val="baseline"/>
        </w:rPr>
        <w:t>sum</w:t>
      </w:r>
      <w:r>
        <w:rPr>
          <w:spacing w:val="-2"/>
          <w:sz w:val="20"/>
          <w:vertAlign w:val="baseline"/>
        </w:rPr>
        <w:t> </w:t>
      </w:r>
      <w:r>
        <w:rPr>
          <w:sz w:val="20"/>
          <w:vertAlign w:val="baseline"/>
        </w:rPr>
        <w:t>a</w:t>
      </w:r>
      <w:r>
        <w:rPr>
          <w:spacing w:val="-2"/>
          <w:sz w:val="20"/>
          <w:vertAlign w:val="baseline"/>
        </w:rPr>
        <w:t> </w:t>
      </w:r>
      <w:r>
        <w:rPr>
          <w:sz w:val="20"/>
          <w:vertAlign w:val="baseline"/>
        </w:rPr>
        <w:t>penalty;</w:t>
      </w:r>
      <w:r>
        <w:rPr>
          <w:spacing w:val="-2"/>
          <w:sz w:val="20"/>
          <w:vertAlign w:val="baseline"/>
        </w:rPr>
        <w:t> </w:t>
      </w:r>
      <w:r>
        <w:rPr>
          <w:sz w:val="20"/>
          <w:vertAlign w:val="baseline"/>
        </w:rPr>
        <w:t>nor was it a penalty where a loan agreement provides for a modest increase in the rate of interest, which operates only from the date of the borrower’s default: </w:t>
      </w:r>
      <w:r>
        <w:rPr>
          <w:rFonts w:ascii="Arial" w:hAnsi="Arial"/>
          <w:i/>
          <w:sz w:val="20"/>
          <w:vertAlign w:val="baseline"/>
        </w:rPr>
        <w:t>Lordsvale Finance Plc v Bank of Zambia [1996] Q.B. 752 </w:t>
      </w:r>
      <w:r>
        <w:rPr>
          <w:sz w:val="20"/>
          <w:vertAlign w:val="baseline"/>
        </w:rPr>
        <w:t>(a 1 per cent increase: if, however, the increase operated retrospectively, it might be a penalty. On this case see further below, paras 26-193—26-194);</w:t>
      </w:r>
      <w:r>
        <w:rPr>
          <w:spacing w:val="40"/>
          <w:sz w:val="20"/>
          <w:vertAlign w:val="baseline"/>
        </w:rPr>
        <w:t> </w:t>
      </w:r>
      <w:r>
        <w:rPr>
          <w:sz w:val="20"/>
          <w:vertAlign w:val="baseline"/>
        </w:rPr>
        <w:t>cf. </w:t>
      </w:r>
      <w:r>
        <w:rPr>
          <w:rFonts w:ascii="Arial" w:hAnsi="Arial"/>
          <w:i/>
          <w:sz w:val="20"/>
          <w:vertAlign w:val="baseline"/>
        </w:rPr>
        <w:t>Jeancharm Ltd v Barnet Football Club Ltd [2003] EWCA Civ 58, [2003] 92 Con. L.R. 26 </w:t>
      </w:r>
      <w:r>
        <w:rPr>
          <w:sz w:val="20"/>
          <w:vertAlign w:val="baseline"/>
        </w:rPr>
        <w:t>(interest rate for late payment of 5 per cent per week held to be a penalty).</w:t>
      </w:r>
    </w:p>
    <w:p>
      <w:pPr>
        <w:spacing w:after="0" w:line="235" w:lineRule="auto"/>
        <w:jc w:val="both"/>
        <w:rPr>
          <w:sz w:val="20"/>
        </w:rPr>
        <w:sectPr>
          <w:pgSz w:w="11900" w:h="16840"/>
          <w:pgMar w:header="971" w:footer="0" w:top="1300" w:bottom="280" w:left="1275" w:right="1275"/>
        </w:sectPr>
      </w:pPr>
    </w:p>
    <w:p>
      <w:pPr>
        <w:pStyle w:val="BodyText"/>
        <w:spacing w:before="60"/>
      </w:pPr>
    </w:p>
    <w:p>
      <w:pPr>
        <w:spacing w:line="235" w:lineRule="auto" w:before="0"/>
        <w:ind w:left="705" w:right="168" w:hanging="541"/>
        <w:jc w:val="both"/>
        <w:rPr>
          <w:sz w:val="20"/>
        </w:rPr>
      </w:pPr>
      <w:hyperlink w:history="true" w:anchor="_bookmark1917">
        <w:r>
          <w:rPr>
            <w:color w:val="005DA1"/>
            <w:sz w:val="20"/>
            <w:u w:val="single" w:color="005DA1"/>
            <w:vertAlign w:val="superscript"/>
          </w:rPr>
          <w:t>1018</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Lord Elphinstone v Monkland Iron &amp; Coal Co Ltd (1886) 11 App. Cas. 332, 342</w:t>
      </w:r>
      <w:r>
        <w:rPr>
          <w:sz w:val="20"/>
          <w:vertAlign w:val="baseline"/>
        </w:rPr>
        <w:t>. See </w:t>
      </w:r>
      <w:r>
        <w:rPr>
          <w:rFonts w:ascii="Arial"/>
          <w:i/>
          <w:sz w:val="20"/>
          <w:vertAlign w:val="baseline"/>
        </w:rPr>
        <w:t>Kemble</w:t>
      </w:r>
      <w:r>
        <w:rPr>
          <w:rFonts w:ascii="Arial"/>
          <w:i/>
          <w:spacing w:val="80"/>
          <w:w w:val="150"/>
          <w:sz w:val="20"/>
          <w:vertAlign w:val="baseline"/>
        </w:rPr>
        <w:t> </w:t>
      </w:r>
      <w:r>
        <w:rPr>
          <w:rFonts w:ascii="Arial"/>
          <w:i/>
          <w:sz w:val="20"/>
          <w:vertAlign w:val="baseline"/>
        </w:rPr>
        <w:t>v Farren (1829) 6 Bing. 141, 148</w:t>
      </w:r>
      <w:r>
        <w:rPr>
          <w:sz w:val="20"/>
          <w:vertAlign w:val="baseline"/>
        </w:rPr>
        <w:t>; </w:t>
      </w:r>
      <w:r>
        <w:rPr>
          <w:rFonts w:ascii="Arial"/>
          <w:i/>
          <w:sz w:val="20"/>
          <w:vertAlign w:val="baseline"/>
        </w:rPr>
        <w:t>Magee v Lavell (1874) L.R. 9 C.P. 107, 115</w:t>
      </w:r>
      <w:r>
        <w:rPr>
          <w:sz w:val="20"/>
          <w:vertAlign w:val="baseline"/>
        </w:rPr>
        <w:t>; </w:t>
      </w:r>
      <w:r>
        <w:rPr>
          <w:rFonts w:ascii="Arial"/>
          <w:i/>
          <w:sz w:val="20"/>
          <w:vertAlign w:val="baseline"/>
        </w:rPr>
        <w:t>Ford Motor Co v Armstrong (1915) 31 T.L.R. 267 </w:t>
      </w:r>
      <w:r>
        <w:rPr>
          <w:sz w:val="20"/>
          <w:vertAlign w:val="baseline"/>
        </w:rPr>
        <w:t>(see below, para.26-189); </w:t>
      </w:r>
      <w:r>
        <w:rPr>
          <w:rFonts w:ascii="Arial"/>
          <w:i/>
          <w:sz w:val="20"/>
          <w:vertAlign w:val="baseline"/>
        </w:rPr>
        <w:t>Michel Habib Raji Ayoub v Sheikh Suleiman [1941] 1 All E.R. 507, 510</w:t>
      </w:r>
      <w:r>
        <w:rPr>
          <w:sz w:val="20"/>
          <w:vertAlign w:val="baseline"/>
        </w:rPr>
        <w:t>; </w:t>
      </w:r>
      <w:r>
        <w:rPr>
          <w:rFonts w:ascii="Arial"/>
          <w:i/>
          <w:sz w:val="20"/>
          <w:vertAlign w:val="baseline"/>
        </w:rPr>
        <w:t>Cooden Engineering Co Ltd v Stanford [1953] 1 Q.B. 86, 98</w:t>
      </w:r>
      <w:r>
        <w:rPr>
          <w:sz w:val="20"/>
          <w:vertAlign w:val="baseline"/>
        </w:rPr>
        <w:t>; </w:t>
      </w:r>
      <w:r>
        <w:rPr>
          <w:rFonts w:ascii="Arial"/>
          <w:i/>
          <w:sz w:val="20"/>
          <w:vertAlign w:val="baseline"/>
        </w:rPr>
        <w:t>Interoffice Telephones Ltd v Robert Freeman Co Ltd [1958] 1 Q.B. 190, 194</w:t>
      </w:r>
      <w:r>
        <w:rPr>
          <w:sz w:val="20"/>
          <w:vertAlign w:val="baseline"/>
        </w:rPr>
        <w:t>. The parties, in such a case, should fix separate sums for the various possible breaches: </w:t>
      </w:r>
      <w:r>
        <w:rPr>
          <w:rFonts w:ascii="Arial"/>
          <w:i/>
          <w:sz w:val="20"/>
          <w:vertAlign w:val="baseline"/>
        </w:rPr>
        <w:t>Imperial Tobacco Co</w:t>
      </w:r>
      <w:r>
        <w:rPr>
          <w:rFonts w:ascii="Arial"/>
          <w:i/>
          <w:spacing w:val="40"/>
          <w:sz w:val="20"/>
          <w:vertAlign w:val="baseline"/>
        </w:rPr>
        <w:t> </w:t>
      </w:r>
      <w:r>
        <w:rPr>
          <w:rFonts w:ascii="Arial"/>
          <w:i/>
          <w:sz w:val="20"/>
          <w:vertAlign w:val="baseline"/>
        </w:rPr>
        <w:t>v Parslay [1936] 2 All E.R. 515</w:t>
      </w:r>
      <w:r>
        <w:rPr>
          <w:sz w:val="20"/>
          <w:vertAlign w:val="baseline"/>
        </w:rPr>
        <w:t>.</w:t>
      </w:r>
    </w:p>
    <w:p>
      <w:pPr>
        <w:pStyle w:val="BodyText"/>
        <w:spacing w:before="127"/>
      </w:pPr>
    </w:p>
    <w:p>
      <w:pPr>
        <w:spacing w:line="235" w:lineRule="auto" w:before="1"/>
        <w:ind w:left="705" w:right="167" w:hanging="541"/>
        <w:jc w:val="both"/>
        <w:rPr>
          <w:rFonts w:ascii="Arial"/>
          <w:i/>
          <w:sz w:val="20"/>
        </w:rPr>
      </w:pPr>
      <w:bookmarkStart w:name="_bookmark1984" w:id="1986"/>
      <w:bookmarkEnd w:id="1986"/>
      <w:r>
        <w:rPr/>
      </w:r>
      <w:hyperlink w:history="true" w:anchor="_bookmark1918">
        <w:r>
          <w:rPr>
            <w:color w:val="005DA1"/>
            <w:sz w:val="20"/>
            <w:u w:val="single" w:color="005DA1"/>
            <w:vertAlign w:val="superscript"/>
          </w:rPr>
          <w:t>1019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40"/>
          <w:sz w:val="20"/>
          <w:vertAlign w:val="baseline"/>
        </w:rPr>
        <w:t> </w:t>
      </w:r>
      <w:r>
        <w:rPr>
          <w:rFonts w:ascii="Arial"/>
          <w:i/>
          <w:sz w:val="20"/>
          <w:vertAlign w:val="baseline"/>
        </w:rPr>
        <w:t>Clydebank</w:t>
      </w:r>
      <w:r>
        <w:rPr>
          <w:rFonts w:ascii="Arial"/>
          <w:i/>
          <w:spacing w:val="40"/>
          <w:sz w:val="20"/>
          <w:vertAlign w:val="baseline"/>
        </w:rPr>
        <w:t> </w:t>
      </w:r>
      <w:r>
        <w:rPr>
          <w:rFonts w:ascii="Arial"/>
          <w:i/>
          <w:sz w:val="20"/>
          <w:vertAlign w:val="baseline"/>
        </w:rPr>
        <w:t>Engineering</w:t>
      </w:r>
      <w:r>
        <w:rPr>
          <w:rFonts w:ascii="Arial"/>
          <w:i/>
          <w:spacing w:val="40"/>
          <w:sz w:val="20"/>
          <w:vertAlign w:val="baseline"/>
        </w:rPr>
        <w:t> </w:t>
      </w:r>
      <w:r>
        <w:rPr>
          <w:rFonts w:ascii="Arial"/>
          <w:i/>
          <w:sz w:val="20"/>
          <w:vertAlign w:val="baseline"/>
        </w:rPr>
        <w:t>&amp;</w:t>
      </w:r>
      <w:r>
        <w:rPr>
          <w:rFonts w:ascii="Arial"/>
          <w:i/>
          <w:spacing w:val="40"/>
          <w:sz w:val="20"/>
          <w:vertAlign w:val="baseline"/>
        </w:rPr>
        <w:t> </w:t>
      </w:r>
      <w:r>
        <w:rPr>
          <w:rFonts w:ascii="Arial"/>
          <w:i/>
          <w:sz w:val="20"/>
          <w:vertAlign w:val="baseline"/>
        </w:rPr>
        <w:t>Shipbuilding</w:t>
      </w:r>
      <w:r>
        <w:rPr>
          <w:rFonts w:ascii="Arial"/>
          <w:i/>
          <w:spacing w:val="40"/>
          <w:sz w:val="20"/>
          <w:vertAlign w:val="baseline"/>
        </w:rPr>
        <w:t> </w:t>
      </w:r>
      <w:r>
        <w:rPr>
          <w:rFonts w:ascii="Arial"/>
          <w:i/>
          <w:sz w:val="20"/>
          <w:vertAlign w:val="baseline"/>
        </w:rPr>
        <w:t>Co</w:t>
      </w:r>
      <w:r>
        <w:rPr>
          <w:rFonts w:ascii="Arial"/>
          <w:i/>
          <w:spacing w:val="40"/>
          <w:sz w:val="20"/>
          <w:vertAlign w:val="baseline"/>
        </w:rPr>
        <w:t> </w:t>
      </w:r>
      <w:r>
        <w:rPr>
          <w:rFonts w:ascii="Arial"/>
          <w:i/>
          <w:sz w:val="20"/>
          <w:vertAlign w:val="baseline"/>
        </w:rPr>
        <w:t>Ltd</w:t>
      </w:r>
      <w:r>
        <w:rPr>
          <w:rFonts w:ascii="Arial"/>
          <w:i/>
          <w:spacing w:val="40"/>
          <w:sz w:val="20"/>
          <w:vertAlign w:val="baseline"/>
        </w:rPr>
        <w:t> </w:t>
      </w:r>
      <w:r>
        <w:rPr>
          <w:rFonts w:ascii="Arial"/>
          <w:i/>
          <w:sz w:val="20"/>
          <w:vertAlign w:val="baseline"/>
        </w:rPr>
        <w:t>v</w:t>
      </w:r>
      <w:r>
        <w:rPr>
          <w:rFonts w:ascii="Arial"/>
          <w:i/>
          <w:spacing w:val="40"/>
          <w:sz w:val="20"/>
          <w:vertAlign w:val="baseline"/>
        </w:rPr>
        <w:t> </w:t>
      </w:r>
      <w:r>
        <w:rPr>
          <w:rFonts w:ascii="Arial"/>
          <w:i/>
          <w:sz w:val="20"/>
          <w:vertAlign w:val="baseline"/>
        </w:rPr>
        <w:t>Don</w:t>
      </w:r>
      <w:r>
        <w:rPr>
          <w:rFonts w:ascii="Arial"/>
          <w:i/>
          <w:spacing w:val="40"/>
          <w:sz w:val="20"/>
          <w:vertAlign w:val="baseline"/>
        </w:rPr>
        <w:t> </w:t>
      </w:r>
      <w:r>
        <w:rPr>
          <w:rFonts w:ascii="Arial"/>
          <w:i/>
          <w:sz w:val="20"/>
          <w:vertAlign w:val="baseline"/>
        </w:rPr>
        <w:t>Jose</w:t>
      </w:r>
      <w:r>
        <w:rPr>
          <w:rFonts w:ascii="Arial"/>
          <w:i/>
          <w:spacing w:val="40"/>
          <w:sz w:val="20"/>
          <w:vertAlign w:val="baseline"/>
        </w:rPr>
        <w:t> </w:t>
      </w:r>
      <w:r>
        <w:rPr>
          <w:rFonts w:ascii="Arial"/>
          <w:i/>
          <w:sz w:val="20"/>
          <w:vertAlign w:val="baseline"/>
        </w:rPr>
        <w:t>Ramos</w:t>
      </w:r>
      <w:r>
        <w:rPr>
          <w:rFonts w:ascii="Arial"/>
          <w:i/>
          <w:spacing w:val="40"/>
          <w:sz w:val="20"/>
          <w:vertAlign w:val="baseline"/>
        </w:rPr>
        <w:t> </w:t>
      </w:r>
      <w:r>
        <w:rPr>
          <w:rFonts w:ascii="Arial"/>
          <w:i/>
          <w:sz w:val="20"/>
          <w:vertAlign w:val="baseline"/>
        </w:rPr>
        <w:t>Yzquierdo</w:t>
      </w:r>
      <w:r>
        <w:rPr>
          <w:rFonts w:ascii="Arial"/>
          <w:i/>
          <w:spacing w:val="40"/>
          <w:sz w:val="20"/>
          <w:vertAlign w:val="baseline"/>
        </w:rPr>
        <w:t> </w:t>
      </w:r>
      <w:r>
        <w:rPr>
          <w:rFonts w:ascii="Arial"/>
          <w:i/>
          <w:sz w:val="20"/>
          <w:vertAlign w:val="baseline"/>
        </w:rPr>
        <w:t>y Castaneda</w:t>
      </w:r>
      <w:r>
        <w:rPr>
          <w:rFonts w:ascii="Arial"/>
          <w:i/>
          <w:spacing w:val="1"/>
          <w:sz w:val="20"/>
          <w:vertAlign w:val="baseline"/>
        </w:rPr>
        <w:t> </w:t>
      </w:r>
      <w:r>
        <w:rPr>
          <w:rFonts w:ascii="Arial"/>
          <w:i/>
          <w:sz w:val="20"/>
          <w:vertAlign w:val="baseline"/>
        </w:rPr>
        <w:t>[1905]</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6,</w:t>
      </w:r>
      <w:r>
        <w:rPr>
          <w:rFonts w:ascii="Arial"/>
          <w:i/>
          <w:spacing w:val="2"/>
          <w:sz w:val="20"/>
          <w:vertAlign w:val="baseline"/>
        </w:rPr>
        <w:t> </w:t>
      </w:r>
      <w:r>
        <w:rPr>
          <w:rFonts w:ascii="Arial"/>
          <w:i/>
          <w:sz w:val="20"/>
          <w:vertAlign w:val="baseline"/>
        </w:rPr>
        <w:t>11</w:t>
      </w:r>
      <w:r>
        <w:rPr>
          <w:sz w:val="20"/>
          <w:vertAlign w:val="baseline"/>
        </w:rPr>
        <w:t>;</w:t>
      </w:r>
      <w:r>
        <w:rPr>
          <w:spacing w:val="2"/>
          <w:sz w:val="20"/>
          <w:vertAlign w:val="baseline"/>
        </w:rPr>
        <w:t> </w:t>
      </w:r>
      <w:r>
        <w:rPr>
          <w:rFonts w:ascii="Arial"/>
          <w:i/>
          <w:sz w:val="20"/>
          <w:vertAlign w:val="baseline"/>
        </w:rPr>
        <w:t>Webster</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Bosanquet</w:t>
      </w:r>
      <w:r>
        <w:rPr>
          <w:rFonts w:ascii="Arial"/>
          <w:i/>
          <w:spacing w:val="1"/>
          <w:sz w:val="20"/>
          <w:vertAlign w:val="baseline"/>
        </w:rPr>
        <w:t> </w:t>
      </w:r>
      <w:r>
        <w:rPr>
          <w:rFonts w:ascii="Arial"/>
          <w:i/>
          <w:sz w:val="20"/>
          <w:vertAlign w:val="baseline"/>
        </w:rPr>
        <w:t>[1912]</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394,</w:t>
      </w:r>
      <w:r>
        <w:rPr>
          <w:rFonts w:ascii="Arial"/>
          <w:i/>
          <w:spacing w:val="2"/>
          <w:sz w:val="20"/>
          <w:vertAlign w:val="baseline"/>
        </w:rPr>
        <w:t> </w:t>
      </w:r>
      <w:r>
        <w:rPr>
          <w:rFonts w:ascii="Arial"/>
          <w:i/>
          <w:sz w:val="20"/>
          <w:vertAlign w:val="baseline"/>
        </w:rPr>
        <w:t>398</w:t>
      </w:r>
      <w:r>
        <w:rPr>
          <w:sz w:val="20"/>
          <w:vertAlign w:val="baseline"/>
        </w:rPr>
        <w:t>;</w:t>
      </w:r>
      <w:r>
        <w:rPr>
          <w:spacing w:val="2"/>
          <w:sz w:val="20"/>
          <w:vertAlign w:val="baseline"/>
        </w:rPr>
        <w:t> </w:t>
      </w:r>
      <w:r>
        <w:rPr>
          <w:rFonts w:ascii="Arial"/>
          <w:i/>
          <w:sz w:val="20"/>
          <w:vertAlign w:val="baseline"/>
        </w:rPr>
        <w:t>English</w:t>
      </w:r>
      <w:r>
        <w:rPr>
          <w:rFonts w:ascii="Arial"/>
          <w:i/>
          <w:spacing w:val="2"/>
          <w:sz w:val="20"/>
          <w:vertAlign w:val="baseline"/>
        </w:rPr>
        <w:t> </w:t>
      </w:r>
      <w:r>
        <w:rPr>
          <w:rFonts w:ascii="Arial"/>
          <w:i/>
          <w:sz w:val="20"/>
          <w:vertAlign w:val="baseline"/>
        </w:rPr>
        <w:t>Hop</w:t>
      </w:r>
      <w:r>
        <w:rPr>
          <w:rFonts w:ascii="Arial"/>
          <w:i/>
          <w:spacing w:val="2"/>
          <w:sz w:val="20"/>
          <w:vertAlign w:val="baseline"/>
        </w:rPr>
        <w:t> </w:t>
      </w:r>
      <w:r>
        <w:rPr>
          <w:rFonts w:ascii="Arial"/>
          <w:i/>
          <w:spacing w:val="-2"/>
          <w:sz w:val="20"/>
          <w:vertAlign w:val="baseline"/>
        </w:rPr>
        <w:t>Growers</w:t>
      </w:r>
    </w:p>
    <w:p>
      <w:pPr>
        <w:spacing w:line="235" w:lineRule="auto" w:before="0"/>
        <w:ind w:left="705" w:right="167" w:firstLine="0"/>
        <w:jc w:val="both"/>
        <w:rPr>
          <w:sz w:val="20"/>
        </w:rPr>
      </w:pPr>
      <w:r>
        <w:rPr>
          <w:rFonts w:ascii="Arial"/>
          <w:i/>
          <w:sz w:val="20"/>
        </w:rPr>
        <w:t>Ltd v Dering [1928] 2 K.B. 174</w:t>
      </w:r>
      <w:r>
        <w:rPr>
          <w:sz w:val="20"/>
        </w:rPr>
        <w:t>; </w:t>
      </w:r>
      <w:r>
        <w:rPr>
          <w:rFonts w:ascii="Arial"/>
          <w:i/>
          <w:sz w:val="20"/>
        </w:rPr>
        <w:t>Imperial Tobacco Co v Parslay [1936] 2 All E.R. 515, 519</w:t>
      </w:r>
      <w:r>
        <w:rPr>
          <w:sz w:val="20"/>
        </w:rPr>
        <w:t>; </w:t>
      </w:r>
      <w:r>
        <w:rPr>
          <w:rFonts w:ascii="Arial"/>
          <w:i/>
          <w:sz w:val="20"/>
        </w:rPr>
        <w:t>Philips Hong Kong Ltd v Att-Gen of Hong Kong (1993) 61 Build. L.R. 49, 60 PC </w:t>
      </w:r>
      <w:r>
        <w:rPr>
          <w:sz w:val="20"/>
        </w:rPr>
        <w:t>(the impact of delay by one contractor on other contracts). Some of the clauses that were justified under this category in particular, including the </w:t>
      </w:r>
      <w:r>
        <w:rPr>
          <w:rFonts w:ascii="Arial"/>
          <w:i/>
          <w:sz w:val="20"/>
        </w:rPr>
        <w:t>Dunlop </w:t>
      </w:r>
      <w:r>
        <w:rPr>
          <w:sz w:val="20"/>
        </w:rPr>
        <w:t>case itself, may now be better viewed as cases of legitimate deterrence: see below, para.26-197.</w:t>
      </w:r>
    </w:p>
    <w:p>
      <w:pPr>
        <w:pStyle w:val="BodyText"/>
        <w:spacing w:before="123"/>
      </w:pPr>
    </w:p>
    <w:p>
      <w:pPr>
        <w:spacing w:line="227" w:lineRule="exact" w:before="0"/>
        <w:ind w:left="165" w:right="0" w:firstLine="0"/>
        <w:jc w:val="left"/>
        <w:rPr>
          <w:rFonts w:ascii="Arial"/>
          <w:i/>
          <w:sz w:val="20"/>
        </w:rPr>
      </w:pPr>
      <w:bookmarkStart w:name="_bookmark1985" w:id="1987"/>
      <w:bookmarkEnd w:id="1987"/>
      <w:r>
        <w:rPr/>
      </w:r>
      <w:hyperlink w:history="true" w:anchor="_bookmark1919">
        <w:r>
          <w:rPr>
            <w:color w:val="005DA1"/>
            <w:sz w:val="20"/>
            <w:u w:val="single" w:color="005DA1"/>
            <w:vertAlign w:val="superscript"/>
          </w:rPr>
          <w:t>1020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cf.</w:t>
      </w:r>
      <w:r>
        <w:rPr>
          <w:spacing w:val="6"/>
          <w:sz w:val="20"/>
          <w:vertAlign w:val="baseline"/>
        </w:rPr>
        <w:t> </w:t>
      </w:r>
      <w:r>
        <w:rPr>
          <w:rFonts w:ascii="Arial"/>
          <w:i/>
          <w:sz w:val="20"/>
          <w:vertAlign w:val="baseline"/>
        </w:rPr>
        <w:t>United</w:t>
      </w:r>
      <w:r>
        <w:rPr>
          <w:rFonts w:ascii="Arial"/>
          <w:i/>
          <w:spacing w:val="6"/>
          <w:sz w:val="20"/>
          <w:vertAlign w:val="baseline"/>
        </w:rPr>
        <w:t> </w:t>
      </w:r>
      <w:r>
        <w:rPr>
          <w:rFonts w:ascii="Arial"/>
          <w:i/>
          <w:sz w:val="20"/>
          <w:vertAlign w:val="baseline"/>
        </w:rPr>
        <w:t>International</w:t>
      </w:r>
      <w:r>
        <w:rPr>
          <w:rFonts w:ascii="Arial"/>
          <w:i/>
          <w:spacing w:val="7"/>
          <w:sz w:val="20"/>
          <w:vertAlign w:val="baseline"/>
        </w:rPr>
        <w:t> </w:t>
      </w:r>
      <w:r>
        <w:rPr>
          <w:rFonts w:ascii="Arial"/>
          <w:i/>
          <w:sz w:val="20"/>
          <w:vertAlign w:val="baseline"/>
        </w:rPr>
        <w:t>Pictures</w:t>
      </w:r>
      <w:r>
        <w:rPr>
          <w:rFonts w:ascii="Arial"/>
          <w:i/>
          <w:spacing w:val="6"/>
          <w:sz w:val="20"/>
          <w:vertAlign w:val="baseline"/>
        </w:rPr>
        <w:t> </w:t>
      </w:r>
      <w:r>
        <w:rPr>
          <w:rFonts w:ascii="Arial"/>
          <w:i/>
          <w:sz w:val="20"/>
          <w:vertAlign w:val="baseline"/>
        </w:rPr>
        <w:t>v</w:t>
      </w:r>
      <w:r>
        <w:rPr>
          <w:rFonts w:ascii="Arial"/>
          <w:i/>
          <w:spacing w:val="6"/>
          <w:sz w:val="20"/>
          <w:vertAlign w:val="baseline"/>
        </w:rPr>
        <w:t> </w:t>
      </w:r>
      <w:r>
        <w:rPr>
          <w:rFonts w:ascii="Arial"/>
          <w:i/>
          <w:sz w:val="20"/>
          <w:vertAlign w:val="baseline"/>
        </w:rPr>
        <w:t>Cine</w:t>
      </w:r>
      <w:r>
        <w:rPr>
          <w:rFonts w:ascii="Arial"/>
          <w:i/>
          <w:spacing w:val="7"/>
          <w:sz w:val="20"/>
          <w:vertAlign w:val="baseline"/>
        </w:rPr>
        <w:t> </w:t>
      </w:r>
      <w:r>
        <w:rPr>
          <w:rFonts w:ascii="Arial"/>
          <w:i/>
          <w:sz w:val="20"/>
          <w:vertAlign w:val="baseline"/>
        </w:rPr>
        <w:t>Bes</w:t>
      </w:r>
      <w:r>
        <w:rPr>
          <w:rFonts w:ascii="Arial"/>
          <w:i/>
          <w:spacing w:val="6"/>
          <w:sz w:val="20"/>
          <w:vertAlign w:val="baseline"/>
        </w:rPr>
        <w:t> </w:t>
      </w:r>
      <w:r>
        <w:rPr>
          <w:rFonts w:ascii="Arial"/>
          <w:i/>
          <w:sz w:val="20"/>
          <w:vertAlign w:val="baseline"/>
        </w:rPr>
        <w:t>Filmcilik</w:t>
      </w:r>
      <w:r>
        <w:rPr>
          <w:rFonts w:ascii="Arial"/>
          <w:i/>
          <w:spacing w:val="6"/>
          <w:sz w:val="20"/>
          <w:vertAlign w:val="baseline"/>
        </w:rPr>
        <w:t> </w:t>
      </w:r>
      <w:r>
        <w:rPr>
          <w:rFonts w:ascii="Arial"/>
          <w:i/>
          <w:sz w:val="20"/>
          <w:vertAlign w:val="baseline"/>
        </w:rPr>
        <w:t>ve</w:t>
      </w:r>
      <w:r>
        <w:rPr>
          <w:rFonts w:ascii="Arial"/>
          <w:i/>
          <w:spacing w:val="6"/>
          <w:sz w:val="20"/>
          <w:vertAlign w:val="baseline"/>
        </w:rPr>
        <w:t> </w:t>
      </w:r>
      <w:r>
        <w:rPr>
          <w:rFonts w:ascii="Arial"/>
          <w:i/>
          <w:sz w:val="20"/>
          <w:vertAlign w:val="baseline"/>
        </w:rPr>
        <w:t>Yapimcilik</w:t>
      </w:r>
      <w:r>
        <w:rPr>
          <w:rFonts w:ascii="Arial"/>
          <w:i/>
          <w:spacing w:val="7"/>
          <w:sz w:val="20"/>
          <w:vertAlign w:val="baseline"/>
        </w:rPr>
        <w:t> </w:t>
      </w:r>
      <w:r>
        <w:rPr>
          <w:rFonts w:ascii="Arial"/>
          <w:i/>
          <w:sz w:val="20"/>
          <w:vertAlign w:val="baseline"/>
        </w:rPr>
        <w:t>AS</w:t>
      </w:r>
      <w:r>
        <w:rPr>
          <w:rFonts w:ascii="Arial"/>
          <w:i/>
          <w:spacing w:val="6"/>
          <w:sz w:val="20"/>
          <w:vertAlign w:val="baseline"/>
        </w:rPr>
        <w:t> </w:t>
      </w:r>
      <w:r>
        <w:rPr>
          <w:rFonts w:ascii="Arial"/>
          <w:i/>
          <w:sz w:val="20"/>
          <w:vertAlign w:val="baseline"/>
        </w:rPr>
        <w:t>[2003]</w:t>
      </w:r>
      <w:r>
        <w:rPr>
          <w:rFonts w:ascii="Arial"/>
          <w:i/>
          <w:spacing w:val="6"/>
          <w:sz w:val="20"/>
          <w:vertAlign w:val="baseline"/>
        </w:rPr>
        <w:t> </w:t>
      </w:r>
      <w:r>
        <w:rPr>
          <w:rFonts w:ascii="Arial"/>
          <w:i/>
          <w:sz w:val="20"/>
          <w:vertAlign w:val="baseline"/>
        </w:rPr>
        <w:t>EWCA</w:t>
      </w:r>
      <w:r>
        <w:rPr>
          <w:rFonts w:ascii="Arial"/>
          <w:i/>
          <w:spacing w:val="6"/>
          <w:sz w:val="20"/>
          <w:vertAlign w:val="baseline"/>
        </w:rPr>
        <w:t> </w:t>
      </w:r>
      <w:r>
        <w:rPr>
          <w:rFonts w:ascii="Arial"/>
          <w:i/>
          <w:sz w:val="20"/>
          <w:vertAlign w:val="baseline"/>
        </w:rPr>
        <w:t>Civ</w:t>
      </w:r>
      <w:r>
        <w:rPr>
          <w:rFonts w:ascii="Arial"/>
          <w:i/>
          <w:spacing w:val="7"/>
          <w:sz w:val="20"/>
          <w:vertAlign w:val="baseline"/>
        </w:rPr>
        <w:t> </w:t>
      </w:r>
      <w:r>
        <w:rPr>
          <w:rFonts w:ascii="Arial"/>
          <w:i/>
          <w:spacing w:val="-4"/>
          <w:sz w:val="20"/>
          <w:vertAlign w:val="baseline"/>
        </w:rPr>
        <w:t>1669</w:t>
      </w:r>
    </w:p>
    <w:p>
      <w:pPr>
        <w:pStyle w:val="BodyText"/>
        <w:spacing w:line="227" w:lineRule="exact"/>
        <w:ind w:left="705"/>
        <w:jc w:val="both"/>
      </w:pPr>
      <w:r>
        <w:rPr/>
        <w:t>at </w:t>
      </w:r>
      <w:r>
        <w:rPr>
          <w:spacing w:val="-2"/>
        </w:rPr>
        <w:t>[15].</w:t>
      </w:r>
    </w:p>
    <w:p>
      <w:pPr>
        <w:pStyle w:val="BodyText"/>
        <w:spacing w:before="129"/>
      </w:pPr>
    </w:p>
    <w:p>
      <w:pPr>
        <w:spacing w:line="235" w:lineRule="auto" w:before="0"/>
        <w:ind w:left="705" w:right="167" w:hanging="541"/>
        <w:jc w:val="both"/>
        <w:rPr>
          <w:sz w:val="20"/>
        </w:rPr>
      </w:pPr>
      <w:bookmarkStart w:name="_bookmark1986" w:id="1988"/>
      <w:bookmarkEnd w:id="1988"/>
      <w:r>
        <w:rPr/>
      </w:r>
      <w:hyperlink w:history="true" w:anchor="_bookmark1920">
        <w:r>
          <w:rPr>
            <w:color w:val="005DA1"/>
            <w:sz w:val="20"/>
            <w:u w:val="single" w:color="005DA1"/>
            <w:vertAlign w:val="superscript"/>
          </w:rPr>
          <w:t>1021</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“That the contractual function is deterrent rather than compensatory can be deduced by comparing the amount that would be payable on breach with the loss that might be sustained if breach occurred”. </w:t>
      </w:r>
      <w:r>
        <w:rPr>
          <w:rFonts w:ascii="Arial" w:hAnsi="Arial"/>
          <w:i/>
          <w:sz w:val="20"/>
          <w:vertAlign w:val="baseline"/>
        </w:rPr>
        <w:t>Lordsvale Finance Plc v Bank of Zambia [1996] Q.B. 752, 762</w:t>
      </w:r>
      <w:r>
        <w:rPr>
          <w:sz w:val="20"/>
          <w:vertAlign w:val="baseline"/>
        </w:rPr>
        <w:t>, Colman J.</w:t>
      </w:r>
    </w:p>
    <w:p>
      <w:pPr>
        <w:pStyle w:val="BodyText"/>
        <w:spacing w:before="125"/>
      </w:pPr>
    </w:p>
    <w:p>
      <w:pPr>
        <w:spacing w:before="0"/>
        <w:ind w:left="165" w:right="0" w:firstLine="0"/>
        <w:jc w:val="left"/>
        <w:rPr>
          <w:sz w:val="20"/>
        </w:rPr>
      </w:pPr>
      <w:bookmarkStart w:name="_bookmark1987" w:id="1989"/>
      <w:bookmarkEnd w:id="1989"/>
      <w:r>
        <w:rPr/>
      </w:r>
      <w:hyperlink w:history="true" w:anchor="_bookmark1921">
        <w:r>
          <w:rPr>
            <w:color w:val="005DA1"/>
            <w:sz w:val="20"/>
            <w:u w:val="single" w:color="005DA1"/>
            <w:vertAlign w:val="superscript"/>
          </w:rPr>
          <w:t>1022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3</w:t>
      </w:r>
      <w:r>
        <w:rPr>
          <w:rFonts w:ascii="Arial"/>
          <w:i/>
          <w:spacing w:val="2"/>
          <w:sz w:val="20"/>
          <w:vertAlign w:val="baseline"/>
        </w:rPr>
        <w:t> </w:t>
      </w:r>
      <w:r>
        <w:rPr>
          <w:rFonts w:ascii="Arial"/>
          <w:i/>
          <w:sz w:val="20"/>
          <w:vertAlign w:val="baseline"/>
        </w:rPr>
        <w:t>W.L.R.</w:t>
      </w:r>
      <w:r>
        <w:rPr>
          <w:rFonts w:ascii="Arial"/>
          <w:i/>
          <w:spacing w:val="3"/>
          <w:sz w:val="20"/>
          <w:vertAlign w:val="baseline"/>
        </w:rPr>
        <w:t> </w:t>
      </w:r>
      <w:r>
        <w:rPr>
          <w:rFonts w:ascii="Arial"/>
          <w:i/>
          <w:spacing w:val="-2"/>
          <w:sz w:val="20"/>
          <w:vertAlign w:val="baseline"/>
        </w:rPr>
        <w:t>1373</w:t>
      </w:r>
      <w:r>
        <w:rPr>
          <w:spacing w:val="-2"/>
          <w:sz w:val="20"/>
          <w:vertAlign w:val="baseline"/>
        </w:rPr>
        <w:t>.</w:t>
      </w:r>
    </w:p>
    <w:p>
      <w:pPr>
        <w:pStyle w:val="BodyText"/>
        <w:spacing w:line="580" w:lineRule="atLeast" w:before="5"/>
        <w:ind w:left="165" w:right="6292"/>
        <w:jc w:val="both"/>
      </w:pPr>
      <w:bookmarkStart w:name="_bookmark1988" w:id="1990"/>
      <w:bookmarkEnd w:id="1990"/>
      <w:r>
        <w:rPr/>
      </w:r>
      <w:hyperlink w:history="true" w:anchor="_bookmark1922">
        <w:r>
          <w:rPr>
            <w:color w:val="005DA1"/>
            <w:u w:val="single" w:color="005DA1"/>
            <w:vertAlign w:val="superscript"/>
          </w:rPr>
          <w:t>1023</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573" name="Image 573"/>
            <wp:cNvGraphicFramePr>
              <a:graphicFrameLocks/>
            </wp:cNvGraphicFramePr>
            <a:graphic>
              <a:graphicData uri="http://schemas.openxmlformats.org/drawingml/2006/picture">
                <pic:pic>
                  <pic:nvPicPr>
                    <pic:cNvPr id="573" name="Image 5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w:t>
      </w:r>
      <w:r>
        <w:rPr>
          <w:vertAlign w:val="baseline"/>
        </w:rPr>
        <w:t>197. </w:t>
      </w:r>
      <w:bookmarkStart w:name="_bookmark1989" w:id="1991"/>
      <w:bookmarkEnd w:id="1991"/>
      <w:r>
        <w:rPr>
          <w:vertAlign w:val="baseline"/>
        </w:rPr>
      </w:r>
      <w:hyperlink w:history="true" w:anchor="_bookmark1923">
        <w:r>
          <w:rPr>
            <w:color w:val="005DA1"/>
            <w:u w:val="single" w:color="005DA1"/>
            <w:vertAlign w:val="superscript"/>
          </w:rPr>
          <w:t>1024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574" name="Image 574"/>
            <wp:cNvGraphicFramePr>
              <a:graphicFrameLocks/>
            </wp:cNvGraphicFramePr>
            <a:graphic>
              <a:graphicData uri="http://schemas.openxmlformats.org/drawingml/2006/picture">
                <pic:pic>
                  <pic:nvPicPr>
                    <pic:cNvPr id="574" name="Image 5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para.26-197. </w:t>
      </w:r>
      <w:bookmarkStart w:name="_bookmark1990" w:id="1992"/>
      <w:bookmarkEnd w:id="1992"/>
      <w:r>
        <w:rPr>
          <w:vertAlign w:val="baseline"/>
        </w:rPr>
      </w:r>
      <w:hyperlink w:history="true" w:anchor="_bookmark1924">
        <w:r>
          <w:rPr>
            <w:color w:val="005DA1"/>
            <w:u w:val="single" w:color="005DA1"/>
            <w:vertAlign w:val="superscript"/>
          </w:rPr>
          <w:t>1025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[32].</w:t>
      </w:r>
    </w:p>
    <w:p>
      <w:pPr>
        <w:pStyle w:val="BodyText"/>
        <w:spacing w:before="135"/>
      </w:pPr>
    </w:p>
    <w:p>
      <w:pPr>
        <w:pStyle w:val="BodyText"/>
        <w:ind w:left="165"/>
      </w:pPr>
      <w:bookmarkStart w:name="_bookmark1991" w:id="1993"/>
      <w:bookmarkEnd w:id="1993"/>
      <w:r>
        <w:rPr/>
      </w:r>
      <w:hyperlink w:history="true" w:anchor="_bookmark1925">
        <w:r>
          <w:rPr>
            <w:color w:val="005DA1"/>
            <w:u w:val="single" w:color="005DA1"/>
            <w:vertAlign w:val="superscript"/>
          </w:rPr>
          <w:t>1026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576" name="Image 576"/>
            <wp:cNvGraphicFramePr>
              <a:graphicFrameLocks/>
            </wp:cNvGraphicFramePr>
            <a:graphic>
              <a:graphicData uri="http://schemas.openxmlformats.org/drawingml/2006/picture">
                <pic:pic>
                  <pic:nvPicPr>
                    <pic:cNvPr id="576" name="Image 5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w:t>
      </w:r>
      <w:r>
        <w:rPr>
          <w:spacing w:val="3"/>
          <w:vertAlign w:val="baseline"/>
        </w:rPr>
        <w:t> </w:t>
      </w:r>
      <w:r>
        <w:rPr>
          <w:vertAlign w:val="baseline"/>
        </w:rPr>
        <w:t>Dunedin’s</w:t>
      </w:r>
      <w:r>
        <w:rPr>
          <w:spacing w:val="3"/>
          <w:vertAlign w:val="baseline"/>
        </w:rPr>
        <w:t> </w:t>
      </w:r>
      <w:r>
        <w:rPr>
          <w:vertAlign w:val="baseline"/>
        </w:rPr>
        <w:t>proposition</w:t>
      </w:r>
      <w:r>
        <w:rPr>
          <w:spacing w:val="3"/>
          <w:vertAlign w:val="baseline"/>
        </w:rPr>
        <w:t> </w:t>
      </w:r>
      <w:r>
        <w:rPr>
          <w:vertAlign w:val="baseline"/>
        </w:rPr>
        <w:t>(4)(a)</w:t>
      </w:r>
      <w:r>
        <w:rPr>
          <w:spacing w:val="2"/>
          <w:vertAlign w:val="baseline"/>
        </w:rPr>
        <w:t> </w:t>
      </w:r>
      <w:r>
        <w:rPr>
          <w:vertAlign w:val="baseline"/>
        </w:rPr>
        <w:t>above,</w:t>
      </w:r>
      <w:r>
        <w:rPr>
          <w:spacing w:val="3"/>
          <w:vertAlign w:val="baseline"/>
        </w:rPr>
        <w:t> </w:t>
      </w:r>
      <w:r>
        <w:rPr>
          <w:vertAlign w:val="baseline"/>
        </w:rPr>
        <w:t>para.26-</w:t>
      </w:r>
      <w:r>
        <w:rPr>
          <w:spacing w:val="-4"/>
          <w:vertAlign w:val="baseline"/>
        </w:rPr>
        <w:t>182.</w:t>
      </w:r>
    </w:p>
    <w:p>
      <w:pPr>
        <w:pStyle w:val="BodyText"/>
        <w:spacing w:before="129"/>
      </w:pPr>
    </w:p>
    <w:p>
      <w:pPr>
        <w:spacing w:line="235" w:lineRule="auto" w:before="0"/>
        <w:ind w:left="705" w:right="168" w:hanging="541"/>
        <w:jc w:val="both"/>
        <w:rPr>
          <w:sz w:val="20"/>
        </w:rPr>
      </w:pPr>
      <w:bookmarkStart w:name="_bookmark1992" w:id="1994"/>
      <w:bookmarkEnd w:id="1994"/>
      <w:r>
        <w:rPr/>
      </w:r>
      <w:hyperlink w:history="true" w:anchor="_bookmark1926">
        <w:r>
          <w:rPr>
            <w:color w:val="005DA1"/>
            <w:sz w:val="20"/>
            <w:u w:val="single" w:color="005DA1"/>
            <w:vertAlign w:val="superscript"/>
          </w:rPr>
          <w:t>1027</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77" name="Image 577"/>
            <wp:cNvGraphicFramePr>
              <a:graphicFrameLocks/>
            </wp:cNvGraphicFramePr>
            <a:graphic>
              <a:graphicData uri="http://schemas.openxmlformats.org/drawingml/2006/picture">
                <pic:pic>
                  <pic:nvPicPr>
                    <pic:cNvPr id="577" name="Image 5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Alfred McAlpine Capital Projects Ltd v Tilebox Ltd [2005] Build. L.R. 271 (TCC) </w:t>
      </w:r>
      <w:r>
        <w:rPr>
          <w:sz w:val="20"/>
          <w:vertAlign w:val="baseline"/>
        </w:rPr>
        <w:t>at [48]</w:t>
      </w:r>
      <w:r>
        <w:rPr>
          <w:spacing w:val="80"/>
          <w:sz w:val="20"/>
          <w:vertAlign w:val="baseline"/>
        </w:rPr>
        <w:t> </w:t>
      </w:r>
      <w:r>
        <w:rPr>
          <w:sz w:val="20"/>
          <w:vertAlign w:val="baseline"/>
        </w:rPr>
        <w:t>(Jackson J.).</w:t>
      </w:r>
    </w:p>
    <w:p>
      <w:pPr>
        <w:pStyle w:val="BodyText"/>
        <w:spacing w:before="125"/>
      </w:pPr>
    </w:p>
    <w:p>
      <w:pPr>
        <w:spacing w:before="0"/>
        <w:ind w:left="165" w:right="0" w:firstLine="0"/>
        <w:jc w:val="left"/>
        <w:rPr>
          <w:sz w:val="20"/>
        </w:rPr>
      </w:pPr>
      <w:bookmarkStart w:name="_bookmark1993" w:id="1995"/>
      <w:bookmarkEnd w:id="1995"/>
      <w:r>
        <w:rPr/>
      </w:r>
      <w:hyperlink w:history="true" w:anchor="_bookmark1927">
        <w:r>
          <w:rPr>
            <w:color w:val="005DA1"/>
            <w:sz w:val="20"/>
            <w:u w:val="single" w:color="005DA1"/>
            <w:vertAlign w:val="superscript"/>
          </w:rPr>
          <w:t>1028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78" name="Image 578"/>
            <wp:cNvGraphicFramePr>
              <a:graphicFrameLocks/>
            </wp:cNvGraphicFramePr>
            <a:graphic>
              <a:graphicData uri="http://schemas.openxmlformats.org/drawingml/2006/picture">
                <pic:pic>
                  <pic:nvPicPr>
                    <pic:cNvPr id="578" name="Image 57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[2005]</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963,</w:t>
      </w:r>
      <w:r>
        <w:rPr>
          <w:rFonts w:ascii="Arial"/>
          <w:i/>
          <w:spacing w:val="2"/>
          <w:sz w:val="20"/>
          <w:vertAlign w:val="baseline"/>
        </w:rPr>
        <w:t> </w:t>
      </w:r>
      <w:r>
        <w:rPr>
          <w:rFonts w:ascii="Arial"/>
          <w:i/>
          <w:sz w:val="20"/>
          <w:vertAlign w:val="baseline"/>
        </w:rPr>
        <w:t>[2005]</w:t>
      </w:r>
      <w:r>
        <w:rPr>
          <w:rFonts w:ascii="Arial"/>
          <w:i/>
          <w:spacing w:val="2"/>
          <w:sz w:val="20"/>
          <w:vertAlign w:val="baseline"/>
        </w:rPr>
        <w:t> </w:t>
      </w:r>
      <w:r>
        <w:rPr>
          <w:rFonts w:ascii="Arial"/>
          <w:i/>
          <w:sz w:val="20"/>
          <w:vertAlign w:val="baseline"/>
        </w:rPr>
        <w:t>I.R.L.R.</w:t>
      </w:r>
      <w:r>
        <w:rPr>
          <w:rFonts w:ascii="Arial"/>
          <w:i/>
          <w:spacing w:val="3"/>
          <w:sz w:val="20"/>
          <w:vertAlign w:val="baseline"/>
        </w:rPr>
        <w:t> </w:t>
      </w:r>
      <w:r>
        <w:rPr>
          <w:rFonts w:ascii="Arial"/>
          <w:i/>
          <w:spacing w:val="-4"/>
          <w:sz w:val="20"/>
          <w:vertAlign w:val="baseline"/>
        </w:rPr>
        <w:t>946</w:t>
      </w:r>
      <w:r>
        <w:rPr>
          <w:spacing w:val="-4"/>
          <w:sz w:val="20"/>
          <w:vertAlign w:val="baseline"/>
        </w:rPr>
        <w:t>.</w:t>
      </w:r>
    </w:p>
    <w:p>
      <w:pPr>
        <w:pStyle w:val="BodyText"/>
        <w:spacing w:before="125"/>
      </w:pPr>
    </w:p>
    <w:p>
      <w:pPr>
        <w:spacing w:line="227" w:lineRule="exact" w:before="0"/>
        <w:ind w:left="165" w:right="0" w:firstLine="0"/>
        <w:jc w:val="left"/>
        <w:rPr>
          <w:rFonts w:ascii="Arial"/>
          <w:i/>
          <w:sz w:val="20"/>
        </w:rPr>
      </w:pPr>
      <w:bookmarkStart w:name="_bookmark1994" w:id="1996"/>
      <w:bookmarkEnd w:id="1996"/>
      <w:r>
        <w:rPr/>
      </w:r>
      <w:hyperlink w:history="true" w:anchor="_bookmark1928">
        <w:r>
          <w:rPr>
            <w:color w:val="005DA1"/>
            <w:sz w:val="20"/>
            <w:u w:val="single" w:color="005DA1"/>
            <w:vertAlign w:val="superscript"/>
          </w:rPr>
          <w:t>1029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79" name="Image 579"/>
            <wp:cNvGraphicFramePr>
              <a:graphicFrameLocks/>
            </wp:cNvGraphicFramePr>
            <a:graphic>
              <a:graphicData uri="http://schemas.openxmlformats.org/drawingml/2006/picture">
                <pic:pic>
                  <pic:nvPicPr>
                    <pic:cNvPr id="579" name="Image 57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1"/>
          <w:sz w:val="20"/>
          <w:vertAlign w:val="baseline"/>
        </w:rPr>
        <w:t> </w:t>
      </w:r>
      <w:r>
        <w:rPr>
          <w:sz w:val="20"/>
          <w:vertAlign w:val="baseline"/>
        </w:rPr>
        <w:t>also</w:t>
      </w:r>
      <w:r>
        <w:rPr>
          <w:spacing w:val="21"/>
          <w:sz w:val="20"/>
          <w:vertAlign w:val="baseline"/>
        </w:rPr>
        <w:t> </w:t>
      </w:r>
      <w:r>
        <w:rPr>
          <w:sz w:val="20"/>
          <w:vertAlign w:val="baseline"/>
        </w:rPr>
        <w:t>Jackson</w:t>
      </w:r>
      <w:r>
        <w:rPr>
          <w:spacing w:val="20"/>
          <w:sz w:val="20"/>
          <w:vertAlign w:val="baseline"/>
        </w:rPr>
        <w:t> </w:t>
      </w:r>
      <w:r>
        <w:rPr>
          <w:sz w:val="20"/>
          <w:vertAlign w:val="baseline"/>
        </w:rPr>
        <w:t>J.</w:t>
      </w:r>
      <w:r>
        <w:rPr>
          <w:spacing w:val="20"/>
          <w:sz w:val="20"/>
          <w:vertAlign w:val="baseline"/>
        </w:rPr>
        <w:t> </w:t>
      </w:r>
      <w:r>
        <w:rPr>
          <w:sz w:val="20"/>
          <w:vertAlign w:val="baseline"/>
        </w:rPr>
        <w:t>in</w:t>
      </w:r>
      <w:r>
        <w:rPr>
          <w:spacing w:val="20"/>
          <w:sz w:val="20"/>
          <w:vertAlign w:val="baseline"/>
        </w:rPr>
        <w:t> </w:t>
      </w:r>
      <w:r>
        <w:rPr>
          <w:rFonts w:ascii="Arial"/>
          <w:i/>
          <w:sz w:val="20"/>
          <w:vertAlign w:val="baseline"/>
        </w:rPr>
        <w:t>Alfred</w:t>
      </w:r>
      <w:r>
        <w:rPr>
          <w:rFonts w:ascii="Arial"/>
          <w:i/>
          <w:spacing w:val="21"/>
          <w:sz w:val="20"/>
          <w:vertAlign w:val="baseline"/>
        </w:rPr>
        <w:t> </w:t>
      </w:r>
      <w:r>
        <w:rPr>
          <w:rFonts w:ascii="Arial"/>
          <w:i/>
          <w:sz w:val="20"/>
          <w:vertAlign w:val="baseline"/>
        </w:rPr>
        <w:t>McAlpine</w:t>
      </w:r>
      <w:r>
        <w:rPr>
          <w:rFonts w:ascii="Arial"/>
          <w:i/>
          <w:spacing w:val="20"/>
          <w:sz w:val="20"/>
          <w:vertAlign w:val="baseline"/>
        </w:rPr>
        <w:t> </w:t>
      </w:r>
      <w:r>
        <w:rPr>
          <w:rFonts w:ascii="Arial"/>
          <w:i/>
          <w:sz w:val="20"/>
          <w:vertAlign w:val="baseline"/>
        </w:rPr>
        <w:t>Capital</w:t>
      </w:r>
      <w:r>
        <w:rPr>
          <w:rFonts w:ascii="Arial"/>
          <w:i/>
          <w:spacing w:val="20"/>
          <w:sz w:val="20"/>
          <w:vertAlign w:val="baseline"/>
        </w:rPr>
        <w:t> </w:t>
      </w:r>
      <w:r>
        <w:rPr>
          <w:rFonts w:ascii="Arial"/>
          <w:i/>
          <w:sz w:val="20"/>
          <w:vertAlign w:val="baseline"/>
        </w:rPr>
        <w:t>Projects</w:t>
      </w:r>
      <w:r>
        <w:rPr>
          <w:rFonts w:ascii="Arial"/>
          <w:i/>
          <w:spacing w:val="20"/>
          <w:sz w:val="20"/>
          <w:vertAlign w:val="baseline"/>
        </w:rPr>
        <w:t> </w:t>
      </w:r>
      <w:r>
        <w:rPr>
          <w:rFonts w:ascii="Arial"/>
          <w:i/>
          <w:sz w:val="20"/>
          <w:vertAlign w:val="baseline"/>
        </w:rPr>
        <w:t>Ltd</w:t>
      </w:r>
      <w:r>
        <w:rPr>
          <w:rFonts w:ascii="Arial"/>
          <w:i/>
          <w:spacing w:val="21"/>
          <w:sz w:val="20"/>
          <w:vertAlign w:val="baseline"/>
        </w:rPr>
        <w:t> </w:t>
      </w:r>
      <w:r>
        <w:rPr>
          <w:rFonts w:ascii="Arial"/>
          <w:i/>
          <w:sz w:val="20"/>
          <w:vertAlign w:val="baseline"/>
        </w:rPr>
        <w:t>v</w:t>
      </w:r>
      <w:r>
        <w:rPr>
          <w:rFonts w:ascii="Arial"/>
          <w:i/>
          <w:spacing w:val="20"/>
          <w:sz w:val="20"/>
          <w:vertAlign w:val="baseline"/>
        </w:rPr>
        <w:t> </w:t>
      </w:r>
      <w:r>
        <w:rPr>
          <w:rFonts w:ascii="Arial"/>
          <w:i/>
          <w:sz w:val="20"/>
          <w:vertAlign w:val="baseline"/>
        </w:rPr>
        <w:t>Tilebox</w:t>
      </w:r>
      <w:r>
        <w:rPr>
          <w:rFonts w:ascii="Arial"/>
          <w:i/>
          <w:spacing w:val="20"/>
          <w:sz w:val="20"/>
          <w:vertAlign w:val="baseline"/>
        </w:rPr>
        <w:t> </w:t>
      </w:r>
      <w:r>
        <w:rPr>
          <w:rFonts w:ascii="Arial"/>
          <w:i/>
          <w:sz w:val="20"/>
          <w:vertAlign w:val="baseline"/>
        </w:rPr>
        <w:t>Ltd</w:t>
      </w:r>
      <w:r>
        <w:rPr>
          <w:rFonts w:ascii="Arial"/>
          <w:i/>
          <w:spacing w:val="20"/>
          <w:sz w:val="20"/>
          <w:vertAlign w:val="baseline"/>
        </w:rPr>
        <w:t> </w:t>
      </w:r>
      <w:r>
        <w:rPr>
          <w:rFonts w:ascii="Arial"/>
          <w:i/>
          <w:sz w:val="20"/>
          <w:vertAlign w:val="baseline"/>
        </w:rPr>
        <w:t>[2005]</w:t>
      </w:r>
      <w:r>
        <w:rPr>
          <w:rFonts w:ascii="Arial"/>
          <w:i/>
          <w:spacing w:val="20"/>
          <w:sz w:val="20"/>
          <w:vertAlign w:val="baseline"/>
        </w:rPr>
        <w:t> </w:t>
      </w:r>
      <w:r>
        <w:rPr>
          <w:rFonts w:ascii="Arial"/>
          <w:i/>
          <w:sz w:val="20"/>
          <w:vertAlign w:val="baseline"/>
        </w:rPr>
        <w:t>Build.</w:t>
      </w:r>
      <w:r>
        <w:rPr>
          <w:rFonts w:ascii="Arial"/>
          <w:i/>
          <w:spacing w:val="21"/>
          <w:sz w:val="20"/>
          <w:vertAlign w:val="baseline"/>
        </w:rPr>
        <w:t> </w:t>
      </w:r>
      <w:r>
        <w:rPr>
          <w:rFonts w:ascii="Arial"/>
          <w:i/>
          <w:spacing w:val="-4"/>
          <w:sz w:val="20"/>
          <w:vertAlign w:val="baseline"/>
        </w:rPr>
        <w:t>L.R.</w:t>
      </w:r>
    </w:p>
    <w:p>
      <w:pPr>
        <w:spacing w:line="227" w:lineRule="exact" w:before="0"/>
        <w:ind w:left="705" w:right="0" w:firstLine="0"/>
        <w:jc w:val="both"/>
        <w:rPr>
          <w:sz w:val="20"/>
        </w:rPr>
      </w:pPr>
      <w:r>
        <w:rPr>
          <w:rFonts w:ascii="Arial"/>
          <w:i/>
          <w:sz w:val="20"/>
        </w:rPr>
        <w:t>271 (TCC)</w:t>
      </w:r>
      <w:r>
        <w:rPr>
          <w:rFonts w:ascii="Arial"/>
          <w:i/>
          <w:spacing w:val="-1"/>
          <w:sz w:val="20"/>
        </w:rPr>
        <w:t> </w:t>
      </w:r>
      <w:r>
        <w:rPr>
          <w:sz w:val="20"/>
        </w:rPr>
        <w:t>at </w:t>
      </w:r>
      <w:r>
        <w:rPr>
          <w:spacing w:val="-2"/>
          <w:sz w:val="20"/>
        </w:rPr>
        <w:t>[48].</w:t>
      </w:r>
    </w:p>
    <w:p>
      <w:pPr>
        <w:pStyle w:val="BodyText"/>
        <w:spacing w:before="125"/>
      </w:pPr>
    </w:p>
    <w:p>
      <w:pPr>
        <w:spacing w:line="227" w:lineRule="exact" w:before="1"/>
        <w:ind w:left="165" w:right="0" w:firstLine="0"/>
        <w:jc w:val="left"/>
        <w:rPr>
          <w:sz w:val="20"/>
        </w:rPr>
      </w:pPr>
      <w:bookmarkStart w:name="_bookmark1995" w:id="1997"/>
      <w:bookmarkEnd w:id="1997"/>
      <w:r>
        <w:rPr/>
      </w:r>
      <w:hyperlink w:history="true" w:anchor="_bookmark1929">
        <w:r>
          <w:rPr>
            <w:color w:val="005DA1"/>
            <w:sz w:val="20"/>
            <w:u w:val="single" w:color="005DA1"/>
            <w:vertAlign w:val="superscript"/>
          </w:rPr>
          <w:t>1030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80" name="Image 580"/>
            <wp:cNvGraphicFramePr>
              <a:graphicFrameLocks/>
            </wp:cNvGraphicFramePr>
            <a:graphic>
              <a:graphicData uri="http://schemas.openxmlformats.org/drawingml/2006/picture">
                <pic:pic>
                  <pic:nvPicPr>
                    <pic:cNvPr id="580" name="Image 58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[2005]</w:t>
      </w:r>
      <w:r>
        <w:rPr>
          <w:rFonts w:ascii="Arial"/>
          <w:i/>
          <w:spacing w:val="11"/>
          <w:sz w:val="20"/>
          <w:vertAlign w:val="baseline"/>
        </w:rPr>
        <w:t> </w:t>
      </w:r>
      <w:r>
        <w:rPr>
          <w:rFonts w:ascii="Arial"/>
          <w:i/>
          <w:sz w:val="20"/>
          <w:vertAlign w:val="baseline"/>
        </w:rPr>
        <w:t>EWCA</w:t>
      </w:r>
      <w:r>
        <w:rPr>
          <w:rFonts w:ascii="Arial"/>
          <w:i/>
          <w:spacing w:val="10"/>
          <w:sz w:val="20"/>
          <w:vertAlign w:val="baseline"/>
        </w:rPr>
        <w:t> </w:t>
      </w:r>
      <w:r>
        <w:rPr>
          <w:rFonts w:ascii="Arial"/>
          <w:i/>
          <w:sz w:val="20"/>
          <w:vertAlign w:val="baseline"/>
        </w:rPr>
        <w:t>Civ</w:t>
      </w:r>
      <w:r>
        <w:rPr>
          <w:rFonts w:ascii="Arial"/>
          <w:i/>
          <w:spacing w:val="10"/>
          <w:sz w:val="20"/>
          <w:vertAlign w:val="baseline"/>
        </w:rPr>
        <w:t> </w:t>
      </w:r>
      <w:r>
        <w:rPr>
          <w:rFonts w:ascii="Arial"/>
          <w:i/>
          <w:sz w:val="20"/>
          <w:vertAlign w:val="baseline"/>
        </w:rPr>
        <w:t>963</w:t>
      </w:r>
      <w:r>
        <w:rPr>
          <w:rFonts w:ascii="Arial"/>
          <w:i/>
          <w:spacing w:val="10"/>
          <w:sz w:val="20"/>
          <w:vertAlign w:val="baseline"/>
        </w:rPr>
        <w:t> </w:t>
      </w:r>
      <w:r>
        <w:rPr>
          <w:sz w:val="20"/>
          <w:vertAlign w:val="baseline"/>
        </w:rPr>
        <w:t>at</w:t>
      </w:r>
      <w:r>
        <w:rPr>
          <w:spacing w:val="10"/>
          <w:sz w:val="20"/>
          <w:vertAlign w:val="baseline"/>
        </w:rPr>
        <w:t> </w:t>
      </w:r>
      <w:r>
        <w:rPr>
          <w:sz w:val="20"/>
          <w:vertAlign w:val="baseline"/>
        </w:rPr>
        <w:t>[43];</w:t>
      </w:r>
      <w:r>
        <w:rPr>
          <w:spacing w:val="10"/>
          <w:sz w:val="20"/>
          <w:vertAlign w:val="baseline"/>
        </w:rPr>
        <w:t> </w:t>
      </w:r>
      <w:r>
        <w:rPr>
          <w:sz w:val="20"/>
          <w:vertAlign w:val="baseline"/>
        </w:rPr>
        <w:t>see</w:t>
      </w:r>
      <w:r>
        <w:rPr>
          <w:spacing w:val="10"/>
          <w:sz w:val="20"/>
          <w:vertAlign w:val="baseline"/>
        </w:rPr>
        <w:t> </w:t>
      </w:r>
      <w:r>
        <w:rPr>
          <w:sz w:val="20"/>
          <w:vertAlign w:val="baseline"/>
        </w:rPr>
        <w:t>too</w:t>
      </w:r>
      <w:r>
        <w:rPr>
          <w:spacing w:val="10"/>
          <w:sz w:val="20"/>
          <w:vertAlign w:val="baseline"/>
        </w:rPr>
        <w:t> </w:t>
      </w:r>
      <w:r>
        <w:rPr>
          <w:sz w:val="20"/>
          <w:vertAlign w:val="baseline"/>
        </w:rPr>
        <w:t>the</w:t>
      </w:r>
      <w:r>
        <w:rPr>
          <w:spacing w:val="10"/>
          <w:sz w:val="20"/>
          <w:vertAlign w:val="baseline"/>
        </w:rPr>
        <w:t> </w:t>
      </w:r>
      <w:r>
        <w:rPr>
          <w:sz w:val="20"/>
          <w:vertAlign w:val="baseline"/>
        </w:rPr>
        <w:t>judgments</w:t>
      </w:r>
      <w:r>
        <w:rPr>
          <w:spacing w:val="10"/>
          <w:sz w:val="20"/>
          <w:vertAlign w:val="baseline"/>
        </w:rPr>
        <w:t> </w:t>
      </w:r>
      <w:r>
        <w:rPr>
          <w:sz w:val="20"/>
          <w:vertAlign w:val="baseline"/>
        </w:rPr>
        <w:t>of</w:t>
      </w:r>
      <w:r>
        <w:rPr>
          <w:spacing w:val="10"/>
          <w:sz w:val="20"/>
          <w:vertAlign w:val="baseline"/>
        </w:rPr>
        <w:t> </w:t>
      </w:r>
      <w:r>
        <w:rPr>
          <w:sz w:val="20"/>
          <w:vertAlign w:val="baseline"/>
        </w:rPr>
        <w:t>Clarke</w:t>
      </w:r>
      <w:r>
        <w:rPr>
          <w:spacing w:val="10"/>
          <w:sz w:val="20"/>
          <w:vertAlign w:val="baseline"/>
        </w:rPr>
        <w:t> </w:t>
      </w:r>
      <w:r>
        <w:rPr>
          <w:sz w:val="20"/>
          <w:vertAlign w:val="baseline"/>
        </w:rPr>
        <w:t>and</w:t>
      </w:r>
      <w:r>
        <w:rPr>
          <w:spacing w:val="10"/>
          <w:sz w:val="20"/>
          <w:vertAlign w:val="baseline"/>
        </w:rPr>
        <w:t> </w:t>
      </w:r>
      <w:r>
        <w:rPr>
          <w:sz w:val="20"/>
          <w:vertAlign w:val="baseline"/>
        </w:rPr>
        <w:t>Buxton</w:t>
      </w:r>
      <w:r>
        <w:rPr>
          <w:spacing w:val="10"/>
          <w:sz w:val="20"/>
          <w:vertAlign w:val="baseline"/>
        </w:rPr>
        <w:t> </w:t>
      </w:r>
      <w:r>
        <w:rPr>
          <w:sz w:val="20"/>
          <w:vertAlign w:val="baseline"/>
        </w:rPr>
        <w:t>L.JJ.</w:t>
      </w:r>
      <w:r>
        <w:rPr>
          <w:spacing w:val="11"/>
          <w:sz w:val="20"/>
          <w:vertAlign w:val="baseline"/>
        </w:rPr>
        <w:t> </w:t>
      </w:r>
      <w:r>
        <w:rPr>
          <w:sz w:val="20"/>
          <w:vertAlign w:val="baseline"/>
        </w:rPr>
        <w:t>at</w:t>
      </w:r>
      <w:r>
        <w:rPr>
          <w:spacing w:val="10"/>
          <w:sz w:val="20"/>
          <w:vertAlign w:val="baseline"/>
        </w:rPr>
        <w:t> </w:t>
      </w:r>
      <w:r>
        <w:rPr>
          <w:sz w:val="20"/>
          <w:vertAlign w:val="baseline"/>
        </w:rPr>
        <w:t>[105]</w:t>
      </w:r>
      <w:r>
        <w:rPr>
          <w:spacing w:val="10"/>
          <w:sz w:val="20"/>
          <w:vertAlign w:val="baseline"/>
        </w:rPr>
        <w:t> </w:t>
      </w:r>
      <w:r>
        <w:rPr>
          <w:spacing w:val="-5"/>
          <w:sz w:val="20"/>
          <w:vertAlign w:val="baseline"/>
        </w:rPr>
        <w:t>and</w:t>
      </w:r>
    </w:p>
    <w:p>
      <w:pPr>
        <w:spacing w:line="227" w:lineRule="exact" w:before="0"/>
        <w:ind w:left="705" w:right="0" w:firstLine="0"/>
        <w:jc w:val="left"/>
        <w:rPr>
          <w:sz w:val="20"/>
        </w:rPr>
      </w:pPr>
      <w:r>
        <w:rPr>
          <w:sz w:val="20"/>
        </w:rPr>
        <w:t>[114] respectively. See also</w:t>
      </w:r>
      <w:r>
        <w:rPr>
          <w:spacing w:val="-1"/>
          <w:sz w:val="20"/>
        </w:rPr>
        <w:t> </w:t>
      </w:r>
      <w:r>
        <w:rPr>
          <w:rFonts w:ascii="Arial"/>
          <w:i/>
          <w:sz w:val="20"/>
        </w:rPr>
        <w:t>Cleeve Link Ltd v Bryla [2014] I.R.L.R. 86 </w:t>
      </w:r>
      <w:r>
        <w:rPr>
          <w:rFonts w:ascii="Arial"/>
          <w:i/>
          <w:spacing w:val="-4"/>
          <w:sz w:val="20"/>
        </w:rPr>
        <w:t>EAT</w:t>
      </w:r>
      <w:r>
        <w:rPr>
          <w:spacing w:val="-4"/>
          <w:sz w:val="20"/>
        </w:rPr>
        <w:t>.</w:t>
      </w:r>
    </w:p>
    <w:p>
      <w:pPr>
        <w:pStyle w:val="BodyText"/>
        <w:spacing w:before="128"/>
      </w:pPr>
    </w:p>
    <w:p>
      <w:pPr>
        <w:spacing w:line="235" w:lineRule="auto" w:before="0"/>
        <w:ind w:left="705" w:right="167" w:hanging="541"/>
        <w:jc w:val="both"/>
        <w:rPr>
          <w:sz w:val="20"/>
        </w:rPr>
      </w:pPr>
      <w:bookmarkStart w:name="_bookmark1996" w:id="1998"/>
      <w:bookmarkEnd w:id="1998"/>
      <w:r>
        <w:rPr/>
      </w:r>
      <w:hyperlink w:history="true" w:anchor="_bookmark1930">
        <w:r>
          <w:rPr>
            <w:color w:val="005DA1"/>
            <w:sz w:val="20"/>
            <w:u w:val="single" w:color="005DA1"/>
            <w:vertAlign w:val="superscript"/>
          </w:rPr>
          <w:t>1031</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Lansat Shipping Co Ltd v Glencore Grain BV (The Paragon) [2009] EWHC 551 </w:t>
      </w:r>
      <w:r>
        <w:rPr>
          <w:rFonts w:ascii="Arial" w:hAnsi="Arial"/>
          <w:i/>
          <w:sz w:val="20"/>
          <w:vertAlign w:val="baseline"/>
        </w:rPr>
        <w:t>(Comm),</w:t>
      </w:r>
      <w:r>
        <w:rPr>
          <w:rFonts w:ascii="Arial" w:hAnsi="Arial"/>
          <w:i/>
          <w:spacing w:val="40"/>
          <w:sz w:val="20"/>
          <w:vertAlign w:val="baseline"/>
        </w:rPr>
        <w:t> </w:t>
      </w:r>
      <w:r>
        <w:rPr>
          <w:rFonts w:ascii="Arial" w:hAnsi="Arial"/>
          <w:i/>
          <w:sz w:val="20"/>
          <w:vertAlign w:val="baseline"/>
        </w:rPr>
        <w:t>[2009] 1 Lloyd’s Rep. 658 </w:t>
      </w:r>
      <w:r>
        <w:rPr>
          <w:sz w:val="20"/>
          <w:vertAlign w:val="baseline"/>
        </w:rPr>
        <w:t>at [24]. See also para.26-197.</w:t>
      </w:r>
    </w:p>
    <w:p>
      <w:pPr>
        <w:pStyle w:val="BodyText"/>
        <w:spacing w:before="129"/>
      </w:pPr>
    </w:p>
    <w:p>
      <w:pPr>
        <w:pStyle w:val="BodyText"/>
        <w:spacing w:line="235" w:lineRule="auto" w:before="1"/>
        <w:ind w:left="705" w:right="168" w:hanging="541"/>
        <w:jc w:val="both"/>
      </w:pPr>
      <w:bookmarkStart w:name="_bookmark1997" w:id="1999"/>
      <w:bookmarkEnd w:id="1999"/>
      <w:r>
        <w:rPr/>
      </w:r>
      <w:hyperlink w:history="true" w:anchor="_bookmark1931">
        <w:r>
          <w:rPr>
            <w:color w:val="005DA1"/>
            <w:u w:val="single" w:color="005DA1"/>
            <w:vertAlign w:val="superscript"/>
          </w:rPr>
          <w:t>1032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82" name="Image 582"/>
            <wp:cNvGraphicFramePr>
              <a:graphicFrameLocks/>
            </wp:cNvGraphicFramePr>
            <a:graphic>
              <a:graphicData uri="http://schemas.openxmlformats.org/drawingml/2006/picture">
                <pic:pic>
                  <pic:nvPicPr>
                    <pic:cNvPr id="582" name="Image 58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Note</w:t>
      </w:r>
      <w:r>
        <w:rPr>
          <w:spacing w:val="-1"/>
          <w:vertAlign w:val="baseline"/>
        </w:rPr>
        <w:t> </w:t>
      </w:r>
      <w:r>
        <w:rPr>
          <w:vertAlign w:val="baseline"/>
        </w:rPr>
        <w:t>that</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approach</w:t>
      </w:r>
      <w:r>
        <w:rPr>
          <w:spacing w:val="-1"/>
          <w:vertAlign w:val="baseline"/>
        </w:rPr>
        <w:t> </w:t>
      </w:r>
      <w:r>
        <w:rPr>
          <w:vertAlign w:val="baseline"/>
        </w:rPr>
        <w:t>taken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rFonts w:ascii="Arial"/>
          <w:i/>
          <w:vertAlign w:val="baseline"/>
        </w:rPr>
        <w:t>Cavendish</w:t>
      </w:r>
      <w:r>
        <w:rPr>
          <w:rFonts w:ascii="Arial"/>
          <w:i/>
          <w:spacing w:val="-1"/>
          <w:vertAlign w:val="baseline"/>
        </w:rPr>
        <w:t> </w:t>
      </w:r>
      <w:r>
        <w:rPr>
          <w:rFonts w:ascii="Arial"/>
          <w:i/>
          <w:vertAlign w:val="baseline"/>
        </w:rPr>
        <w:t>Square</w:t>
      </w:r>
      <w:r>
        <w:rPr>
          <w:rFonts w:ascii="Arial"/>
          <w:i/>
          <w:spacing w:val="-1"/>
          <w:vertAlign w:val="baseline"/>
        </w:rPr>
        <w:t> </w:t>
      </w:r>
      <w:r>
        <w:rPr>
          <w:vertAlign w:val="baseline"/>
        </w:rPr>
        <w:t>and</w:t>
      </w:r>
      <w:r>
        <w:rPr>
          <w:spacing w:val="-1"/>
          <w:vertAlign w:val="baseline"/>
        </w:rPr>
        <w:t> </w:t>
      </w:r>
      <w:r>
        <w:rPr>
          <w:rFonts w:ascii="Arial"/>
          <w:i/>
          <w:vertAlign w:val="baseline"/>
        </w:rPr>
        <w:t>ParkingEye</w:t>
      </w:r>
      <w:r>
        <w:rPr>
          <w:rFonts w:ascii="Arial"/>
          <w:i/>
          <w:spacing w:val="-1"/>
          <w:vertAlign w:val="baseline"/>
        </w:rPr>
        <w:t> </w:t>
      </w:r>
      <w:r>
        <w:rPr>
          <w:vertAlign w:val="baseline"/>
        </w:rPr>
        <w:t>cases,</w:t>
      </w:r>
      <w:r>
        <w:rPr>
          <w:spacing w:val="-1"/>
          <w:vertAlign w:val="baseline"/>
        </w:rPr>
        <w:t> </w:t>
      </w:r>
      <w:r>
        <w:rPr>
          <w:vertAlign w:val="baseline"/>
        </w:rPr>
        <w:t>a</w:t>
      </w:r>
      <w:r>
        <w:rPr>
          <w:spacing w:val="-1"/>
          <w:vertAlign w:val="baseline"/>
        </w:rPr>
        <w:t> </w:t>
      </w:r>
      <w:r>
        <w:rPr>
          <w:vertAlign w:val="baseline"/>
        </w:rPr>
        <w:t>clause may be valid even if it is not a genuine pre-estimate of the loss: see below, para.26-197.</w:t>
      </w:r>
    </w:p>
    <w:p>
      <w:pPr>
        <w:pStyle w:val="BodyText"/>
        <w:spacing w:before="129"/>
      </w:pPr>
    </w:p>
    <w:p>
      <w:pPr>
        <w:spacing w:line="235" w:lineRule="auto" w:before="0"/>
        <w:ind w:left="705" w:right="168" w:hanging="541"/>
        <w:jc w:val="both"/>
        <w:rPr>
          <w:rFonts w:ascii="Arial" w:hAnsi="Arial"/>
          <w:i/>
          <w:sz w:val="20"/>
        </w:rPr>
      </w:pPr>
      <w:bookmarkStart w:name="_bookmark1998" w:id="2000"/>
      <w:bookmarkEnd w:id="2000"/>
      <w:r>
        <w:rPr/>
      </w:r>
      <w:hyperlink w:history="true" w:anchor="_bookmark1932">
        <w:r>
          <w:rPr>
            <w:color w:val="005DA1"/>
            <w:sz w:val="20"/>
            <w:u w:val="single" w:color="005DA1"/>
            <w:vertAlign w:val="superscript"/>
          </w:rPr>
          <w:t>1033</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MSC Mediterranean Shipping Co SA v Cottonex Anstalt [2015] EWHC 283 (Comm) </w:t>
      </w:r>
      <w:r>
        <w:rPr>
          <w:sz w:val="20"/>
          <w:vertAlign w:val="baseline"/>
        </w:rPr>
        <w:t>at [70]–[71],</w:t>
      </w:r>
      <w:r>
        <w:rPr>
          <w:spacing w:val="27"/>
          <w:sz w:val="20"/>
          <w:vertAlign w:val="baseline"/>
        </w:rPr>
        <w:t> </w:t>
      </w:r>
      <w:r>
        <w:rPr>
          <w:sz w:val="20"/>
          <w:vertAlign w:val="baseline"/>
        </w:rPr>
        <w:t>referring</w:t>
      </w:r>
      <w:r>
        <w:rPr>
          <w:spacing w:val="27"/>
          <w:sz w:val="20"/>
          <w:vertAlign w:val="baseline"/>
        </w:rPr>
        <w:t> </w:t>
      </w:r>
      <w:r>
        <w:rPr>
          <w:sz w:val="20"/>
          <w:vertAlign w:val="baseline"/>
        </w:rPr>
        <w:t>to</w:t>
      </w:r>
      <w:r>
        <w:rPr>
          <w:spacing w:val="27"/>
          <w:sz w:val="20"/>
          <w:vertAlign w:val="baseline"/>
        </w:rPr>
        <w:t> </w:t>
      </w:r>
      <w:r>
        <w:rPr>
          <w:sz w:val="20"/>
          <w:vertAlign w:val="baseline"/>
        </w:rPr>
        <w:t>dicta</w:t>
      </w:r>
      <w:r>
        <w:rPr>
          <w:spacing w:val="27"/>
          <w:sz w:val="20"/>
          <w:vertAlign w:val="baseline"/>
        </w:rPr>
        <w:t> </w:t>
      </w:r>
      <w:r>
        <w:rPr>
          <w:sz w:val="20"/>
          <w:vertAlign w:val="baseline"/>
        </w:rPr>
        <w:t>in</w:t>
      </w:r>
      <w:r>
        <w:rPr>
          <w:spacing w:val="27"/>
          <w:sz w:val="20"/>
          <w:vertAlign w:val="baseline"/>
        </w:rPr>
        <w:t> </w:t>
      </w:r>
      <w:r>
        <w:rPr>
          <w:rFonts w:ascii="Arial" w:hAnsi="Arial"/>
          <w:i/>
          <w:sz w:val="20"/>
          <w:vertAlign w:val="baseline"/>
        </w:rPr>
        <w:t>Abrahams</w:t>
      </w:r>
      <w:r>
        <w:rPr>
          <w:rFonts w:ascii="Arial" w:hAnsi="Arial"/>
          <w:i/>
          <w:spacing w:val="27"/>
          <w:sz w:val="20"/>
          <w:vertAlign w:val="baseline"/>
        </w:rPr>
        <w:t> </w:t>
      </w:r>
      <w:r>
        <w:rPr>
          <w:rFonts w:ascii="Arial" w:hAnsi="Arial"/>
          <w:i/>
          <w:sz w:val="20"/>
          <w:vertAlign w:val="baseline"/>
        </w:rPr>
        <w:t>v</w:t>
      </w:r>
      <w:r>
        <w:rPr>
          <w:rFonts w:ascii="Arial" w:hAnsi="Arial"/>
          <w:i/>
          <w:spacing w:val="27"/>
          <w:sz w:val="20"/>
          <w:vertAlign w:val="baseline"/>
        </w:rPr>
        <w:t> </w:t>
      </w:r>
      <w:r>
        <w:rPr>
          <w:rFonts w:ascii="Arial" w:hAnsi="Arial"/>
          <w:i/>
          <w:sz w:val="20"/>
          <w:vertAlign w:val="baseline"/>
        </w:rPr>
        <w:t>Performing</w:t>
      </w:r>
      <w:r>
        <w:rPr>
          <w:rFonts w:ascii="Arial" w:hAnsi="Arial"/>
          <w:i/>
          <w:spacing w:val="27"/>
          <w:sz w:val="20"/>
          <w:vertAlign w:val="baseline"/>
        </w:rPr>
        <w:t> </w:t>
      </w:r>
      <w:r>
        <w:rPr>
          <w:rFonts w:ascii="Arial" w:hAnsi="Arial"/>
          <w:i/>
          <w:sz w:val="20"/>
          <w:vertAlign w:val="baseline"/>
        </w:rPr>
        <w:t>Rights</w:t>
      </w:r>
      <w:r>
        <w:rPr>
          <w:rFonts w:ascii="Arial" w:hAnsi="Arial"/>
          <w:i/>
          <w:spacing w:val="27"/>
          <w:sz w:val="20"/>
          <w:vertAlign w:val="baseline"/>
        </w:rPr>
        <w:t> </w:t>
      </w:r>
      <w:r>
        <w:rPr>
          <w:rFonts w:ascii="Arial" w:hAnsi="Arial"/>
          <w:i/>
          <w:sz w:val="20"/>
          <w:vertAlign w:val="baseline"/>
        </w:rPr>
        <w:t>Society</w:t>
      </w:r>
      <w:r>
        <w:rPr>
          <w:rFonts w:ascii="Arial" w:hAnsi="Arial"/>
          <w:i/>
          <w:spacing w:val="27"/>
          <w:sz w:val="20"/>
          <w:vertAlign w:val="baseline"/>
        </w:rPr>
        <w:t> </w:t>
      </w:r>
      <w:r>
        <w:rPr>
          <w:rFonts w:ascii="Arial" w:hAnsi="Arial"/>
          <w:i/>
          <w:sz w:val="20"/>
          <w:vertAlign w:val="baseline"/>
        </w:rPr>
        <w:t>Ltd</w:t>
      </w:r>
      <w:r>
        <w:rPr>
          <w:rFonts w:ascii="Arial" w:hAnsi="Arial"/>
          <w:i/>
          <w:spacing w:val="27"/>
          <w:sz w:val="20"/>
          <w:vertAlign w:val="baseline"/>
        </w:rPr>
        <w:t> </w:t>
      </w:r>
      <w:r>
        <w:rPr>
          <w:rFonts w:ascii="Arial" w:hAnsi="Arial"/>
          <w:i/>
          <w:sz w:val="20"/>
          <w:vertAlign w:val="baseline"/>
        </w:rPr>
        <w:t>[1995]</w:t>
      </w:r>
      <w:r>
        <w:rPr>
          <w:rFonts w:ascii="Arial" w:hAnsi="Arial"/>
          <w:i/>
          <w:spacing w:val="27"/>
          <w:sz w:val="20"/>
          <w:vertAlign w:val="baseline"/>
        </w:rPr>
        <w:t> </w:t>
      </w:r>
      <w:r>
        <w:rPr>
          <w:rFonts w:ascii="Arial" w:hAnsi="Arial"/>
          <w:i/>
          <w:sz w:val="20"/>
          <w:vertAlign w:val="baseline"/>
        </w:rPr>
        <w:t>I.C.R.</w:t>
      </w:r>
      <w:r>
        <w:rPr>
          <w:rFonts w:ascii="Arial" w:hAnsi="Arial"/>
          <w:i/>
          <w:spacing w:val="27"/>
          <w:sz w:val="20"/>
          <w:vertAlign w:val="baseline"/>
        </w:rPr>
        <w:t> </w:t>
      </w:r>
      <w:r>
        <w:rPr>
          <w:rFonts w:ascii="Arial" w:hAnsi="Arial"/>
          <w:i/>
          <w:spacing w:val="-2"/>
          <w:sz w:val="20"/>
          <w:vertAlign w:val="baseline"/>
        </w:rPr>
        <w:t>1028,</w:t>
      </w:r>
    </w:p>
    <w:p>
      <w:pPr>
        <w:spacing w:after="0" w:line="235" w:lineRule="auto"/>
        <w:jc w:val="both"/>
        <w:rPr>
          <w:rFonts w:ascii="Arial" w:hAns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hAnsi="Arial"/>
          <w:i/>
        </w:rPr>
        <w:t>1040–1041</w:t>
      </w:r>
      <w:r>
        <w:rPr/>
        <w:t>. However, in a contract in which the liquidated damages were only payable while</w:t>
      </w:r>
      <w:r>
        <w:rPr>
          <w:spacing w:val="40"/>
        </w:rPr>
        <w:t> </w:t>
      </w:r>
      <w:r>
        <w:rPr/>
        <w:t>the contract remained on foot, the innocent party was not entitled to ignore a repudiation </w:t>
      </w:r>
      <w:r>
        <w:rPr/>
        <w:t>and keep the contract alive so as to be able to continue to claim liquidated damages, as they would have</w:t>
      </w:r>
      <w:r>
        <w:rPr>
          <w:spacing w:val="-3"/>
        </w:rPr>
        <w:t> </w:t>
      </w:r>
      <w:r>
        <w:rPr/>
        <w:t>no</w:t>
      </w:r>
      <w:r>
        <w:rPr>
          <w:spacing w:val="-3"/>
        </w:rPr>
        <w:t> </w:t>
      </w:r>
      <w:r>
        <w:rPr/>
        <w:t>legitimate</w:t>
      </w:r>
      <w:r>
        <w:rPr>
          <w:spacing w:val="-3"/>
        </w:rPr>
        <w:t> </w:t>
      </w:r>
      <w:r>
        <w:rPr/>
        <w:t>interest</w:t>
      </w:r>
      <w:r>
        <w:rPr>
          <w:spacing w:val="-3"/>
        </w:rPr>
        <w:t> </w:t>
      </w:r>
      <w:r>
        <w:rPr/>
        <w:t>is</w:t>
      </w:r>
      <w:r>
        <w:rPr>
          <w:spacing w:val="-3"/>
        </w:rPr>
        <w:t> </w:t>
      </w:r>
      <w:r>
        <w:rPr/>
        <w:t>doing</w:t>
      </w:r>
      <w:r>
        <w:rPr>
          <w:spacing w:val="-3"/>
        </w:rPr>
        <w:t> </w:t>
      </w:r>
      <w:r>
        <w:rPr/>
        <w:t>so:</w:t>
      </w:r>
      <w:r>
        <w:rPr>
          <w:spacing w:val="-3"/>
        </w:rPr>
        <w:t> </w:t>
      </w:r>
      <w:r>
        <w:rPr/>
        <w:t>at</w:t>
      </w:r>
      <w:r>
        <w:rPr>
          <w:spacing w:val="-3"/>
        </w:rPr>
        <w:t> </w:t>
      </w:r>
      <w:r>
        <w:rPr/>
        <w:t>[94]–[105].</w:t>
      </w:r>
      <w:r>
        <w:rPr>
          <w:spacing w:val="-3"/>
        </w:rPr>
        <w:t> </w:t>
      </w:r>
      <w:r>
        <w:rPr/>
        <w:t>The</w:t>
      </w:r>
      <w:r>
        <w:rPr>
          <w:spacing w:val="-3"/>
        </w:rPr>
        <w:t> </w:t>
      </w:r>
      <w:r>
        <w:rPr/>
        <w:t>Court</w:t>
      </w:r>
      <w:r>
        <w:rPr>
          <w:spacing w:val="-3"/>
        </w:rPr>
        <w:t> </w:t>
      </w:r>
      <w:r>
        <w:rPr/>
        <w:t>of</w:t>
      </w:r>
      <w:r>
        <w:rPr>
          <w:spacing w:val="-3"/>
        </w:rPr>
        <w:t> </w:t>
      </w:r>
      <w:r>
        <w:rPr/>
        <w:t>Appeal</w:t>
      </w:r>
      <w:r>
        <w:rPr>
          <w:spacing w:val="-3"/>
        </w:rPr>
        <w:t> </w:t>
      </w:r>
      <w:r>
        <w:rPr>
          <w:rFonts w:ascii="Arial" w:hAnsi="Arial"/>
          <w:i/>
        </w:rPr>
        <w:t>[2016]</w:t>
      </w:r>
      <w:r>
        <w:rPr>
          <w:rFonts w:ascii="Arial" w:hAnsi="Arial"/>
          <w:i/>
          <w:spacing w:val="-3"/>
        </w:rPr>
        <w:t> </w:t>
      </w:r>
      <w:r>
        <w:rPr>
          <w:rFonts w:ascii="Arial" w:hAnsi="Arial"/>
          <w:i/>
        </w:rPr>
        <w:t>EWCA</w:t>
      </w:r>
      <w:r>
        <w:rPr>
          <w:rFonts w:ascii="Arial" w:hAnsi="Arial"/>
          <w:i/>
          <w:spacing w:val="-3"/>
        </w:rPr>
        <w:t> </w:t>
      </w:r>
      <w:r>
        <w:rPr>
          <w:rFonts w:ascii="Arial" w:hAnsi="Arial"/>
          <w:i/>
        </w:rPr>
        <w:t>Civ</w:t>
      </w:r>
      <w:r>
        <w:rPr>
          <w:rFonts w:ascii="Arial" w:hAnsi="Arial"/>
          <w:i/>
          <w:spacing w:val="-3"/>
        </w:rPr>
        <w:t> </w:t>
      </w:r>
      <w:r>
        <w:rPr>
          <w:rFonts w:ascii="Arial" w:hAnsi="Arial"/>
          <w:i/>
        </w:rPr>
        <w:t>789 </w:t>
      </w:r>
      <w:r>
        <w:rPr/>
        <w:t>agreed (at [43]) though it decided the case on other grounds: see above, para.26-106.</w:t>
      </w:r>
    </w:p>
    <w:p>
      <w:pPr>
        <w:pStyle w:val="BodyText"/>
        <w:spacing w:before="128"/>
      </w:pPr>
    </w:p>
    <w:p>
      <w:pPr>
        <w:spacing w:line="235" w:lineRule="auto" w:before="0"/>
        <w:ind w:left="705" w:right="167" w:hanging="541"/>
        <w:jc w:val="both"/>
        <w:rPr>
          <w:sz w:val="20"/>
        </w:rPr>
      </w:pPr>
      <w:bookmarkStart w:name="_bookmark1999" w:id="2001"/>
      <w:bookmarkEnd w:id="2001"/>
      <w:r>
        <w:rPr/>
      </w:r>
      <w:hyperlink w:history="true" w:anchor="_bookmark1933">
        <w:r>
          <w:rPr>
            <w:color w:val="005DA1"/>
            <w:sz w:val="20"/>
            <w:u w:val="single" w:color="005DA1"/>
            <w:vertAlign w:val="superscript"/>
          </w:rPr>
          <w:t>1034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MSC Mediterranean Shipping Co SA v Cottonex Anstalt [2015] EWHC 283 (Comm) </w:t>
      </w:r>
      <w:r>
        <w:rPr>
          <w:sz w:val="20"/>
          <w:vertAlign w:val="baseline"/>
        </w:rPr>
        <w:t>at </w:t>
      </w:r>
      <w:r>
        <w:rPr>
          <w:sz w:val="20"/>
          <w:vertAlign w:val="baseline"/>
        </w:rPr>
        <w:t>[113].</w:t>
      </w:r>
      <w:r>
        <w:rPr>
          <w:spacing w:val="80"/>
          <w:sz w:val="20"/>
          <w:vertAlign w:val="baseline"/>
        </w:rPr>
        <w:t> </w:t>
      </w:r>
      <w:r>
        <w:rPr>
          <w:sz w:val="20"/>
          <w:vertAlign w:val="baseline"/>
        </w:rPr>
        <w:t>If the relevant clause purported to give the innocent party an unfettered right to ignore the repudiation when it had no legitimate interest is doing so, the clause would be a penalty: </w:t>
      </w:r>
      <w:r>
        <w:rPr>
          <w:rFonts w:ascii="Arial" w:hAnsi="Arial"/>
          <w:i/>
          <w:sz w:val="20"/>
          <w:vertAlign w:val="baseline"/>
        </w:rPr>
        <w:t>[2015] EWHC 283 (Comm) at [116] (aff’d without reference to this point, [2016] EWCA Civ 789)</w:t>
      </w:r>
      <w:r>
        <w:rPr>
          <w:sz w:val="20"/>
          <w:vertAlign w:val="baseline"/>
        </w:rPr>
        <w:t>. In </w:t>
      </w:r>
      <w:r>
        <w:rPr>
          <w:rFonts w:ascii="Arial" w:hAnsi="Arial"/>
          <w:i/>
          <w:sz w:val="20"/>
          <w:vertAlign w:val="baseline"/>
        </w:rPr>
        <w:t>Bunge SA v Nidera BV [2015] UKSC 43 </w:t>
      </w:r>
      <w:r>
        <w:rPr>
          <w:sz w:val="20"/>
          <w:vertAlign w:val="baseline"/>
        </w:rPr>
        <w:t>Lord Sumption said the Default Clause in a GAFTA sale contract differs from the common law paradigm in that the injured party is not required to mitigate by going into the market and buying or selling against the defaulter, but has a</w:t>
      </w:r>
      <w:r>
        <w:rPr>
          <w:spacing w:val="40"/>
          <w:sz w:val="20"/>
          <w:vertAlign w:val="baseline"/>
        </w:rPr>
        <w:t> </w:t>
      </w:r>
      <w:r>
        <w:rPr>
          <w:sz w:val="20"/>
          <w:vertAlign w:val="baseline"/>
        </w:rPr>
        <w:t>discretion whether to do so (at [28]). He did not discuss whether this might amount to a penalty, merely remarking that there is a difference between a clause prescribing a fixed measure of</w:t>
      </w:r>
      <w:r>
        <w:rPr>
          <w:spacing w:val="40"/>
          <w:sz w:val="20"/>
          <w:vertAlign w:val="baseline"/>
        </w:rPr>
        <w:t> </w:t>
      </w:r>
      <w:r>
        <w:rPr>
          <w:sz w:val="20"/>
          <w:vertAlign w:val="baseline"/>
        </w:rPr>
        <w:t>loss (such as a liquidated damages clause) and a clause providing a mechanical formula in place</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more</w:t>
      </w:r>
      <w:r>
        <w:rPr>
          <w:spacing w:val="-3"/>
          <w:sz w:val="20"/>
          <w:vertAlign w:val="baseline"/>
        </w:rPr>
        <w:t> </w:t>
      </w:r>
      <w:r>
        <w:rPr>
          <w:sz w:val="20"/>
          <w:vertAlign w:val="baseline"/>
        </w:rPr>
        <w:t>nuanced</w:t>
      </w:r>
      <w:r>
        <w:rPr>
          <w:spacing w:val="-3"/>
          <w:sz w:val="20"/>
          <w:vertAlign w:val="baseline"/>
        </w:rPr>
        <w:t> </w:t>
      </w:r>
      <w:r>
        <w:rPr>
          <w:sz w:val="20"/>
          <w:vertAlign w:val="baseline"/>
        </w:rPr>
        <w:t>and</w:t>
      </w:r>
      <w:r>
        <w:rPr>
          <w:spacing w:val="-3"/>
          <w:sz w:val="20"/>
          <w:vertAlign w:val="baseline"/>
        </w:rPr>
        <w:t> </w:t>
      </w:r>
      <w:r>
        <w:rPr>
          <w:sz w:val="20"/>
          <w:vertAlign w:val="baseline"/>
        </w:rPr>
        <w:t>fact-sensitive</w:t>
      </w:r>
      <w:r>
        <w:rPr>
          <w:spacing w:val="-3"/>
          <w:sz w:val="20"/>
          <w:vertAlign w:val="baseline"/>
        </w:rPr>
        <w:t> </w:t>
      </w:r>
      <w:r>
        <w:rPr>
          <w:sz w:val="20"/>
          <w:vertAlign w:val="baseline"/>
        </w:rPr>
        <w:t>approach</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common</w:t>
      </w:r>
      <w:r>
        <w:rPr>
          <w:spacing w:val="-3"/>
          <w:sz w:val="20"/>
          <w:vertAlign w:val="baseline"/>
        </w:rPr>
        <w:t> </w:t>
      </w:r>
      <w:r>
        <w:rPr>
          <w:sz w:val="20"/>
          <w:vertAlign w:val="baseline"/>
        </w:rPr>
        <w:t>law</w:t>
      </w:r>
      <w:r>
        <w:rPr>
          <w:spacing w:val="-3"/>
          <w:sz w:val="20"/>
          <w:vertAlign w:val="baseline"/>
        </w:rPr>
        <w:t> </w:t>
      </w:r>
      <w:r>
        <w:rPr>
          <w:sz w:val="20"/>
          <w:vertAlign w:val="baseline"/>
        </w:rPr>
        <w:t>(such</w:t>
      </w:r>
      <w:r>
        <w:rPr>
          <w:spacing w:val="-3"/>
          <w:sz w:val="20"/>
          <w:vertAlign w:val="baseline"/>
        </w:rPr>
        <w:t> </w:t>
      </w:r>
      <w:r>
        <w:rPr>
          <w:sz w:val="20"/>
          <w:vertAlign w:val="baseline"/>
        </w:rPr>
        <w:t>as</w:t>
      </w:r>
      <w:r>
        <w:rPr>
          <w:spacing w:val="-3"/>
          <w:sz w:val="20"/>
          <w:vertAlign w:val="baseline"/>
        </w:rPr>
        <w:t> </w:t>
      </w:r>
      <w:r>
        <w:rPr>
          <w:sz w:val="20"/>
          <w:vertAlign w:val="baseline"/>
        </w:rPr>
        <w:t>the</w:t>
      </w:r>
      <w:r>
        <w:rPr>
          <w:spacing w:val="-3"/>
          <w:sz w:val="20"/>
          <w:vertAlign w:val="baseline"/>
        </w:rPr>
        <w:t> </w:t>
      </w:r>
      <w:r>
        <w:rPr>
          <w:sz w:val="20"/>
          <w:vertAlign w:val="baseline"/>
        </w:rPr>
        <w:t>GAFTA clause) (at [26]). With respect, a formula for measuring damages may also amount to a penalty if it produces results that are much greater than the damages that would be recoverable at common law: </w:t>
      </w:r>
      <w:r>
        <w:rPr>
          <w:rFonts w:ascii="Arial" w:hAnsi="Arial"/>
          <w:i/>
          <w:sz w:val="20"/>
          <w:vertAlign w:val="baseline"/>
        </w:rPr>
        <w:t>Lombard North Central Plc v Butterworth [1987] Q.B. 527</w:t>
      </w:r>
      <w:r>
        <w:rPr>
          <w:sz w:val="20"/>
          <w:vertAlign w:val="baseline"/>
        </w:rPr>
        <w:t>. In contrast, Lord Toulson (with whom the other members of the Court agreed) did not think the GAFTA formula excluded the duty to mitigate (at [62]). In </w:t>
      </w:r>
      <w:r>
        <w:rPr>
          <w:rFonts w:ascii="Arial" w:hAnsi="Arial"/>
          <w:i/>
          <w:sz w:val="20"/>
          <w:vertAlign w:val="baseline"/>
        </w:rPr>
        <w:t>Novasen SA v Alimenta SA [2013] EWHC 345 (Comm), [2013] 1 Lloyd’s Rep. 648 </w:t>
      </w:r>
      <w:r>
        <w:rPr>
          <w:sz w:val="20"/>
          <w:vertAlign w:val="baseline"/>
        </w:rPr>
        <w:t>at [18], Popplewell J. said that the Default Clause did not constitute a penalty clause, applying his dicta in </w:t>
      </w:r>
      <w:r>
        <w:rPr>
          <w:rFonts w:ascii="Arial" w:hAnsi="Arial"/>
          <w:i/>
          <w:sz w:val="20"/>
          <w:vertAlign w:val="baseline"/>
        </w:rPr>
        <w:t>Imam-Sadeque v Bluebay Asset Management (Services) Ltd [2012] EWHC 3511 (QB)</w:t>
      </w:r>
      <w:r>
        <w:rPr>
          <w:sz w:val="20"/>
          <w:vertAlign w:val="baseline"/>
        </w:rPr>
        <w:t>.</w:t>
      </w:r>
    </w:p>
    <w:p>
      <w:pPr>
        <w:pStyle w:val="BodyText"/>
        <w:spacing w:before="119"/>
      </w:pPr>
    </w:p>
    <w:p>
      <w:pPr>
        <w:pStyle w:val="BodyText"/>
        <w:ind w:left="165"/>
      </w:pPr>
      <w:bookmarkStart w:name="_bookmark2000" w:id="2002"/>
      <w:bookmarkEnd w:id="2002"/>
      <w:r>
        <w:rPr/>
      </w:r>
      <w:hyperlink w:history="true" w:anchor="_bookmark1934">
        <w:r>
          <w:rPr>
            <w:color w:val="005DA1"/>
            <w:u w:val="single" w:color="005DA1"/>
            <w:vertAlign w:val="superscript"/>
          </w:rPr>
          <w:t>1035</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26-107—26-</w:t>
      </w:r>
      <w:r>
        <w:rPr>
          <w:spacing w:val="-4"/>
          <w:vertAlign w:val="baseline"/>
        </w:rPr>
        <w:t>134.</w:t>
      </w:r>
    </w:p>
    <w:p>
      <w:pPr>
        <w:pStyle w:val="BodyText"/>
        <w:spacing w:before="129"/>
      </w:pPr>
    </w:p>
    <w:p>
      <w:pPr>
        <w:spacing w:line="235" w:lineRule="auto" w:before="0"/>
        <w:ind w:left="705" w:right="167" w:hanging="541"/>
        <w:jc w:val="both"/>
        <w:rPr>
          <w:sz w:val="20"/>
        </w:rPr>
      </w:pPr>
      <w:bookmarkStart w:name="_bookmark2001" w:id="2003"/>
      <w:bookmarkEnd w:id="2003"/>
      <w:r>
        <w:rPr/>
      </w:r>
      <w:hyperlink w:history="true" w:anchor="_bookmark1935">
        <w:r>
          <w:rPr>
            <w:color w:val="005DA1"/>
            <w:sz w:val="20"/>
            <w:u w:val="single" w:color="005DA1"/>
            <w:vertAlign w:val="superscript"/>
          </w:rPr>
          <w:t>1036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Robophone</w:t>
      </w:r>
      <w:r>
        <w:rPr>
          <w:rFonts w:ascii="Arial" w:hAnsi="Arial"/>
          <w:i/>
          <w:spacing w:val="40"/>
          <w:sz w:val="20"/>
          <w:vertAlign w:val="baseline"/>
        </w:rPr>
        <w:t> </w:t>
      </w:r>
      <w:r>
        <w:rPr>
          <w:rFonts w:ascii="Arial" w:hAnsi="Arial"/>
          <w:i/>
          <w:sz w:val="20"/>
          <w:vertAlign w:val="baseline"/>
        </w:rPr>
        <w:t>Facilities</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Blank</w:t>
      </w:r>
      <w:r>
        <w:rPr>
          <w:rFonts w:ascii="Arial" w:hAnsi="Arial"/>
          <w:i/>
          <w:spacing w:val="40"/>
          <w:sz w:val="20"/>
          <w:vertAlign w:val="baseline"/>
        </w:rPr>
        <w:t> </w:t>
      </w:r>
      <w:r>
        <w:rPr>
          <w:rFonts w:ascii="Arial" w:hAnsi="Arial"/>
          <w:i/>
          <w:sz w:val="20"/>
          <w:vertAlign w:val="baseline"/>
        </w:rPr>
        <w:t>[1966]</w:t>
      </w:r>
      <w:r>
        <w:rPr>
          <w:rFonts w:ascii="Arial" w:hAnsi="Arial"/>
          <w:i/>
          <w:spacing w:val="40"/>
          <w:sz w:val="20"/>
          <w:vertAlign w:val="baseline"/>
        </w:rPr>
        <w:t> </w:t>
      </w:r>
      <w:r>
        <w:rPr>
          <w:rFonts w:ascii="Arial" w:hAnsi="Arial"/>
          <w:i/>
          <w:sz w:val="20"/>
          <w:vertAlign w:val="baseline"/>
        </w:rPr>
        <w:t>1</w:t>
      </w:r>
      <w:r>
        <w:rPr>
          <w:rFonts w:ascii="Arial" w:hAnsi="Arial"/>
          <w:i/>
          <w:spacing w:val="40"/>
          <w:sz w:val="20"/>
          <w:vertAlign w:val="baseline"/>
        </w:rPr>
        <w:t> </w:t>
      </w:r>
      <w:r>
        <w:rPr>
          <w:rFonts w:ascii="Arial" w:hAnsi="Arial"/>
          <w:i/>
          <w:sz w:val="20"/>
          <w:vertAlign w:val="baseline"/>
        </w:rPr>
        <w:t>W.L.R.</w:t>
      </w:r>
      <w:r>
        <w:rPr>
          <w:rFonts w:ascii="Arial" w:hAnsi="Arial"/>
          <w:i/>
          <w:spacing w:val="40"/>
          <w:sz w:val="20"/>
          <w:vertAlign w:val="baseline"/>
        </w:rPr>
        <w:t> </w:t>
      </w:r>
      <w:r>
        <w:rPr>
          <w:rFonts w:ascii="Arial" w:hAnsi="Arial"/>
          <w:i/>
          <w:sz w:val="20"/>
          <w:vertAlign w:val="baseline"/>
        </w:rPr>
        <w:t>1428,</w:t>
      </w:r>
      <w:r>
        <w:rPr>
          <w:rFonts w:ascii="Arial" w:hAnsi="Arial"/>
          <w:i/>
          <w:spacing w:val="40"/>
          <w:sz w:val="20"/>
          <w:vertAlign w:val="baseline"/>
        </w:rPr>
        <w:t> </w:t>
      </w:r>
      <w:r>
        <w:rPr>
          <w:rFonts w:ascii="Arial" w:hAnsi="Arial"/>
          <w:i/>
          <w:sz w:val="20"/>
          <w:vertAlign w:val="baseline"/>
        </w:rPr>
        <w:t>1447–1448</w:t>
      </w:r>
      <w:r>
        <w:rPr>
          <w:rFonts w:ascii="Arial" w:hAnsi="Arial"/>
          <w:i/>
          <w:spacing w:val="40"/>
          <w:sz w:val="20"/>
          <w:vertAlign w:val="baseline"/>
        </w:rPr>
        <w:t> </w:t>
      </w:r>
      <w:r>
        <w:rPr>
          <w:sz w:val="20"/>
          <w:vertAlign w:val="baseline"/>
        </w:rPr>
        <w:t>(Diplock</w:t>
      </w:r>
      <w:r>
        <w:rPr>
          <w:spacing w:val="40"/>
          <w:sz w:val="20"/>
          <w:vertAlign w:val="baseline"/>
        </w:rPr>
        <w:t> </w:t>
      </w:r>
      <w:r>
        <w:rPr>
          <w:sz w:val="20"/>
          <w:vertAlign w:val="baseline"/>
        </w:rPr>
        <w:t>L.J.).</w:t>
      </w:r>
      <w:r>
        <w:rPr>
          <w:spacing w:val="40"/>
          <w:sz w:val="20"/>
          <w:vertAlign w:val="baseline"/>
        </w:rPr>
        <w:t> </w:t>
      </w:r>
      <w:r>
        <w:rPr>
          <w:sz w:val="20"/>
          <w:vertAlign w:val="baseline"/>
        </w:rPr>
        <w:t>The agreed sum may take account of loss likely to be suffered which may not fall within the normal remoteness test: </w:t>
      </w:r>
      <w:r>
        <w:rPr>
          <w:rFonts w:ascii="Arial" w:hAnsi="Arial"/>
          <w:i/>
          <w:sz w:val="20"/>
          <w:vertAlign w:val="baseline"/>
        </w:rPr>
        <w:t>Robert Stewart &amp; Sons Ltd v Carapanayoti &amp; Co Ltd [1962] 1 W.L.R. 34, 39</w:t>
      </w:r>
      <w:r>
        <w:rPr>
          <w:sz w:val="20"/>
          <w:vertAlign w:val="baseline"/>
        </w:rPr>
        <w:t>; </w:t>
      </w:r>
      <w:r>
        <w:rPr>
          <w:rFonts w:ascii="Arial" w:hAnsi="Arial"/>
          <w:i/>
          <w:sz w:val="20"/>
          <w:vertAlign w:val="baseline"/>
        </w:rPr>
        <w:t>Philips Hong Kong Ltd v Att-Gen of Hong Kong (1993) 61 Build. L.R. 49, 60–61 </w:t>
      </w:r>
      <w:r>
        <w:rPr>
          <w:sz w:val="20"/>
          <w:vertAlign w:val="baseline"/>
        </w:rPr>
        <w:t>(the agreed</w:t>
      </w:r>
      <w:r>
        <w:rPr>
          <w:spacing w:val="40"/>
          <w:sz w:val="20"/>
          <w:vertAlign w:val="baseline"/>
        </w:rPr>
        <w:t> </w:t>
      </w:r>
      <w:r>
        <w:rPr>
          <w:sz w:val="20"/>
          <w:vertAlign w:val="baseline"/>
        </w:rPr>
        <w:t>sum may be justified by knowledge of “special circumstances”).</w:t>
      </w:r>
    </w:p>
    <w:p>
      <w:pPr>
        <w:pStyle w:val="BodyText"/>
        <w:spacing w:before="124"/>
      </w:pPr>
    </w:p>
    <w:p>
      <w:pPr>
        <w:pStyle w:val="BodyText"/>
        <w:spacing w:before="1"/>
        <w:ind w:left="165"/>
      </w:pPr>
      <w:bookmarkStart w:name="_bookmark2002" w:id="2004"/>
      <w:bookmarkEnd w:id="2004"/>
      <w:r>
        <w:rPr/>
      </w:r>
      <w:hyperlink w:history="true" w:anchor="_bookmark1936">
        <w:r>
          <w:rPr>
            <w:color w:val="005DA1"/>
            <w:u w:val="single" w:color="005DA1"/>
            <w:vertAlign w:val="superscript"/>
          </w:rPr>
          <w:t>1037</w:t>
        </w:r>
      </w:hyperlink>
      <w:r>
        <w:rPr>
          <w:vertAlign w:val="superscript"/>
        </w:rPr>
        <w:t>.</w:t>
      </w:r>
      <w:r>
        <w:rPr>
          <w:spacing w:val="42"/>
          <w:vertAlign w:val="baseline"/>
        </w:rPr>
        <w:t>  </w:t>
      </w:r>
      <w:r>
        <w:rPr>
          <w:spacing w:val="23"/>
          <w:position w:val="-2"/>
          <w:vertAlign w:val="baseline"/>
        </w:rPr>
        <w:drawing>
          <wp:inline distT="0" distB="0" distL="0" distR="0">
            <wp:extent cx="107988" cy="107988"/>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Goetz</w:t>
      </w:r>
      <w:r>
        <w:rPr>
          <w:spacing w:val="3"/>
          <w:vertAlign w:val="baseline"/>
        </w:rPr>
        <w:t> </w:t>
      </w:r>
      <w:r>
        <w:rPr>
          <w:vertAlign w:val="baseline"/>
        </w:rPr>
        <w:t>&amp;</w:t>
      </w:r>
      <w:r>
        <w:rPr>
          <w:spacing w:val="2"/>
          <w:vertAlign w:val="baseline"/>
        </w:rPr>
        <w:t> </w:t>
      </w:r>
      <w:r>
        <w:rPr>
          <w:vertAlign w:val="baseline"/>
        </w:rPr>
        <w:t>Scott</w:t>
      </w:r>
      <w:r>
        <w:rPr>
          <w:spacing w:val="2"/>
          <w:vertAlign w:val="baseline"/>
        </w:rPr>
        <w:t> </w:t>
      </w:r>
      <w:r>
        <w:rPr>
          <w:vertAlign w:val="baseline"/>
        </w:rPr>
        <w:t>(1977)</w:t>
      </w:r>
      <w:r>
        <w:rPr>
          <w:spacing w:val="2"/>
          <w:vertAlign w:val="baseline"/>
        </w:rPr>
        <w:t> </w:t>
      </w:r>
      <w:r>
        <w:rPr>
          <w:vertAlign w:val="baseline"/>
        </w:rPr>
        <w:t>Columbia</w:t>
      </w:r>
      <w:r>
        <w:rPr>
          <w:spacing w:val="3"/>
          <w:vertAlign w:val="baseline"/>
        </w:rPr>
        <w:t> </w:t>
      </w:r>
      <w:r>
        <w:rPr>
          <w:vertAlign w:val="baseline"/>
        </w:rPr>
        <w:t>L.R.</w:t>
      </w:r>
      <w:r>
        <w:rPr>
          <w:spacing w:val="2"/>
          <w:vertAlign w:val="baseline"/>
        </w:rPr>
        <w:t> </w:t>
      </w:r>
      <w:r>
        <w:rPr>
          <w:vertAlign w:val="baseline"/>
        </w:rPr>
        <w:t>554,</w:t>
      </w:r>
      <w:r>
        <w:rPr>
          <w:spacing w:val="2"/>
          <w:vertAlign w:val="baseline"/>
        </w:rPr>
        <w:t> </w:t>
      </w:r>
      <w:r>
        <w:rPr>
          <w:spacing w:val="-2"/>
          <w:vertAlign w:val="baseline"/>
        </w:rPr>
        <w:t>572–573.</w:t>
      </w:r>
    </w:p>
    <w:p>
      <w:pPr>
        <w:pStyle w:val="BodyText"/>
        <w:spacing w:before="124"/>
      </w:pPr>
    </w:p>
    <w:p>
      <w:pPr>
        <w:pStyle w:val="BodyText"/>
        <w:spacing w:before="1"/>
        <w:ind w:left="165"/>
      </w:pPr>
      <w:bookmarkStart w:name="_bookmark2003" w:id="2005"/>
      <w:bookmarkEnd w:id="2005"/>
      <w:r>
        <w:rPr/>
      </w:r>
      <w:hyperlink w:history="true" w:anchor="_bookmark1937">
        <w:r>
          <w:rPr>
            <w:color w:val="005DA1"/>
            <w:u w:val="single" w:color="005DA1"/>
            <w:vertAlign w:val="superscript"/>
          </w:rPr>
          <w:t>1038</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26-144—26-</w:t>
      </w:r>
      <w:r>
        <w:rPr>
          <w:spacing w:val="-4"/>
          <w:vertAlign w:val="baseline"/>
        </w:rPr>
        <w:t>146.</w:t>
      </w:r>
    </w:p>
    <w:p>
      <w:pPr>
        <w:pStyle w:val="BodyText"/>
        <w:spacing w:before="128"/>
      </w:pPr>
    </w:p>
    <w:p>
      <w:pPr>
        <w:pStyle w:val="BodyText"/>
        <w:spacing w:line="235" w:lineRule="auto"/>
        <w:ind w:left="705" w:right="167" w:hanging="541"/>
        <w:jc w:val="both"/>
      </w:pPr>
      <w:bookmarkStart w:name="_bookmark2004" w:id="2006"/>
      <w:bookmarkEnd w:id="2006"/>
      <w:r>
        <w:rPr/>
      </w:r>
      <w:hyperlink w:history="true" w:anchor="_bookmark1938">
        <w:r>
          <w:rPr>
            <w:color w:val="005DA1"/>
            <w:u w:val="single" w:color="005DA1"/>
            <w:vertAlign w:val="superscript"/>
          </w:rPr>
          <w:t>1039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question whether the parties may give their own meaning to “loss” is mentioned </w:t>
      </w:r>
      <w:r>
        <w:rPr>
          <w:vertAlign w:val="baseline"/>
        </w:rPr>
        <w:t>below, para.26-192, text after n.994.</w:t>
      </w:r>
    </w:p>
    <w:p>
      <w:pPr>
        <w:pStyle w:val="BodyText"/>
        <w:spacing w:before="126"/>
      </w:pPr>
    </w:p>
    <w:p>
      <w:pPr>
        <w:spacing w:before="0"/>
        <w:ind w:left="165" w:right="0" w:firstLine="0"/>
        <w:jc w:val="left"/>
        <w:rPr>
          <w:sz w:val="20"/>
        </w:rPr>
      </w:pPr>
      <w:bookmarkStart w:name="_bookmark2005" w:id="2007"/>
      <w:bookmarkEnd w:id="2007"/>
      <w:r>
        <w:rPr/>
      </w:r>
      <w:hyperlink w:history="true" w:anchor="_bookmark1939">
        <w:r>
          <w:rPr>
            <w:color w:val="005DA1"/>
            <w:sz w:val="20"/>
            <w:u w:val="single" w:color="005DA1"/>
            <w:vertAlign w:val="superscript"/>
          </w:rPr>
          <w:t>1040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90" name="Image 590"/>
            <wp:cNvGraphicFramePr>
              <a:graphicFrameLocks/>
            </wp:cNvGraphicFramePr>
            <a:graphic>
              <a:graphicData uri="http://schemas.openxmlformats.org/drawingml/2006/picture">
                <pic:pic>
                  <pic:nvPicPr>
                    <pic:cNvPr id="590" name="Image 59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1172</w:t>
      </w:r>
      <w:r>
        <w:rPr>
          <w:sz w:val="20"/>
          <w:vertAlign w:val="baseline"/>
        </w:rPr>
        <w:t>;</w:t>
      </w:r>
      <w:r>
        <w:rPr>
          <w:spacing w:val="2"/>
          <w:sz w:val="20"/>
          <w:vertAlign w:val="baseline"/>
        </w:rPr>
        <w:t> </w:t>
      </w:r>
      <w:r>
        <w:rPr>
          <w:sz w:val="20"/>
          <w:vertAlign w:val="baseline"/>
        </w:rPr>
        <w:t>see</w:t>
      </w:r>
      <w:r>
        <w:rPr>
          <w:spacing w:val="1"/>
          <w:sz w:val="20"/>
          <w:vertAlign w:val="baseline"/>
        </w:rPr>
        <w:t> </w:t>
      </w:r>
      <w:r>
        <w:rPr>
          <w:sz w:val="20"/>
          <w:vertAlign w:val="baseline"/>
        </w:rPr>
        <w:t>below,</w:t>
      </w:r>
      <w:r>
        <w:rPr>
          <w:spacing w:val="1"/>
          <w:sz w:val="20"/>
          <w:vertAlign w:val="baseline"/>
        </w:rPr>
        <w:t> </w:t>
      </w:r>
      <w:r>
        <w:rPr>
          <w:sz w:val="20"/>
          <w:vertAlign w:val="baseline"/>
        </w:rPr>
        <w:t>paras</w:t>
      </w:r>
      <w:r>
        <w:rPr>
          <w:spacing w:val="2"/>
          <w:sz w:val="20"/>
          <w:vertAlign w:val="baseline"/>
        </w:rPr>
        <w:t> </w:t>
      </w:r>
      <w:r>
        <w:rPr>
          <w:sz w:val="20"/>
          <w:vertAlign w:val="baseline"/>
        </w:rPr>
        <w:t>26-196</w:t>
      </w:r>
      <w:r>
        <w:rPr>
          <w:spacing w:val="1"/>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5"/>
      </w:pPr>
    </w:p>
    <w:p>
      <w:pPr>
        <w:pStyle w:val="BodyText"/>
        <w:ind w:left="165"/>
      </w:pPr>
      <w:bookmarkStart w:name="_bookmark2006" w:id="2008"/>
      <w:bookmarkEnd w:id="2008"/>
      <w:r>
        <w:rPr/>
      </w:r>
      <w:hyperlink w:history="true" w:anchor="_bookmark1940">
        <w:r>
          <w:rPr>
            <w:color w:val="005DA1"/>
            <w:u w:val="single" w:color="005DA1"/>
            <w:vertAlign w:val="superscript"/>
          </w:rPr>
          <w:t>1041</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591" name="Image 591"/>
            <wp:cNvGraphicFramePr>
              <a:graphicFrameLocks/>
            </wp:cNvGraphicFramePr>
            <a:graphic>
              <a:graphicData uri="http://schemas.openxmlformats.org/drawingml/2006/picture">
                <pic:pic>
                  <pic:nvPicPr>
                    <pic:cNvPr id="591" name="Image 59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26-051—26-</w:t>
      </w:r>
      <w:r>
        <w:rPr>
          <w:spacing w:val="-4"/>
          <w:vertAlign w:val="baseline"/>
        </w:rPr>
        <w:t>054.</w:t>
      </w:r>
    </w:p>
    <w:p>
      <w:pPr>
        <w:pStyle w:val="BodyText"/>
        <w:spacing w:before="125"/>
      </w:pPr>
    </w:p>
    <w:p>
      <w:pPr>
        <w:pStyle w:val="BodyText"/>
        <w:ind w:left="165"/>
      </w:pPr>
      <w:bookmarkStart w:name="_bookmark2007" w:id="2009"/>
      <w:bookmarkEnd w:id="2009"/>
      <w:r>
        <w:rPr/>
      </w:r>
      <w:hyperlink w:history="true" w:anchor="_bookmark1941">
        <w:r>
          <w:rPr>
            <w:color w:val="005DA1"/>
            <w:u w:val="single" w:color="005DA1"/>
            <w:vertAlign w:val="superscript"/>
          </w:rPr>
          <w:t>1042</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592" name="Image 592"/>
            <wp:cNvGraphicFramePr>
              <a:graphicFrameLocks/>
            </wp:cNvGraphicFramePr>
            <a:graphic>
              <a:graphicData uri="http://schemas.openxmlformats.org/drawingml/2006/picture">
                <pic:pic>
                  <pic:nvPicPr>
                    <pic:cNvPr id="592" name="Image 5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para.26-053,</w:t>
      </w:r>
      <w:r>
        <w:rPr>
          <w:spacing w:val="4"/>
          <w:vertAlign w:val="baseline"/>
        </w:rPr>
        <w:t> </w:t>
      </w:r>
      <w:r>
        <w:rPr>
          <w:spacing w:val="-2"/>
          <w:vertAlign w:val="baseline"/>
        </w:rPr>
        <w:t>n.295.</w:t>
      </w:r>
    </w:p>
    <w:p>
      <w:pPr>
        <w:pStyle w:val="BodyText"/>
        <w:spacing w:before="125"/>
      </w:pPr>
    </w:p>
    <w:p>
      <w:pPr>
        <w:pStyle w:val="BodyText"/>
        <w:ind w:left="165"/>
      </w:pPr>
      <w:bookmarkStart w:name="_bookmark2008" w:id="2010"/>
      <w:bookmarkEnd w:id="2010"/>
      <w:r>
        <w:rPr/>
      </w:r>
      <w:hyperlink w:history="true" w:anchor="_bookmark1942">
        <w:r>
          <w:rPr>
            <w:color w:val="005DA1"/>
            <w:u w:val="single" w:color="005DA1"/>
            <w:vertAlign w:val="superscript"/>
          </w:rPr>
          <w:t>1043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197.</w:t>
      </w:r>
    </w:p>
    <w:p>
      <w:pPr>
        <w:pStyle w:val="BodyText"/>
        <w:spacing w:before="129"/>
      </w:pPr>
    </w:p>
    <w:p>
      <w:pPr>
        <w:spacing w:line="235" w:lineRule="auto" w:before="0"/>
        <w:ind w:left="705" w:right="168" w:hanging="541"/>
        <w:jc w:val="both"/>
        <w:rPr>
          <w:sz w:val="20"/>
        </w:rPr>
      </w:pPr>
      <w:bookmarkStart w:name="_bookmark2009" w:id="2011"/>
      <w:bookmarkEnd w:id="2011"/>
      <w:r>
        <w:rPr/>
      </w:r>
      <w:hyperlink w:history="true" w:anchor="_bookmark1943">
        <w:r>
          <w:rPr>
            <w:color w:val="005DA1"/>
            <w:sz w:val="20"/>
            <w:u w:val="single" w:color="005DA1"/>
            <w:vertAlign w:val="superscript"/>
          </w:rPr>
          <w:t>1044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 Pneumatic Tyre Co Ltd v New Garage &amp; Motor Co Ltd [1915] A.C. 79</w:t>
      </w:r>
      <w:r>
        <w:rPr>
          <w:sz w:val="20"/>
          <w:vertAlign w:val="baseline"/>
        </w:rPr>
        <w:t>; </w:t>
      </w:r>
      <w:r>
        <w:rPr>
          <w:rFonts w:ascii="Arial"/>
          <w:i/>
          <w:sz w:val="20"/>
          <w:vertAlign w:val="baseline"/>
        </w:rPr>
        <w:t>English Hop Growers Ltd v Dering [1928] 2 K.B. 174</w:t>
      </w:r>
      <w:r>
        <w:rPr>
          <w:sz w:val="20"/>
          <w:vertAlign w:val="baseline"/>
        </w:rPr>
        <w:t>; </w:t>
      </w:r>
      <w:r>
        <w:rPr>
          <w:rFonts w:ascii="Arial"/>
          <w:i/>
          <w:sz w:val="20"/>
          <w:vertAlign w:val="baseline"/>
        </w:rPr>
        <w:t>Imperial Tobacco Co v Parslay [1936] 2 All E.R. 515</w:t>
      </w:r>
      <w:r>
        <w:rPr>
          <w:sz w:val="20"/>
          <w:vertAlign w:val="baseline"/>
        </w:rPr>
        <w:t>; </w:t>
      </w:r>
      <w:r>
        <w:rPr>
          <w:rFonts w:ascii="Arial"/>
          <w:i/>
          <w:sz w:val="20"/>
          <w:vertAlign w:val="baseline"/>
        </w:rPr>
        <w:t>Robophone Facilities Ltd v Blank [1966] 1 W.L.R. 1428, 1447</w:t>
      </w:r>
      <w:r>
        <w:rPr>
          <w:sz w:val="20"/>
          <w:vertAlign w:val="baseline"/>
        </w:rPr>
        <w:t>; </w:t>
      </w:r>
      <w:r>
        <w:rPr>
          <w:rFonts w:ascii="Arial"/>
          <w:i/>
          <w:sz w:val="20"/>
          <w:vertAlign w:val="baseline"/>
        </w:rPr>
        <w:t>Philips Hong Kong Ltd v Att-Gen of Hong Kong (1993) 61 Build. L.R. 49 </w:t>
      </w:r>
      <w:r>
        <w:rPr>
          <w:sz w:val="20"/>
          <w:vertAlign w:val="baseline"/>
        </w:rPr>
        <w:t>(the loss to a governmental body caused by delay </w:t>
      </w:r>
      <w:r>
        <w:rPr>
          <w:sz w:val="20"/>
          <w:vertAlign w:val="baseline"/>
        </w:rPr>
        <w:t>in construction was especially difficult to assess).</w:t>
      </w:r>
    </w:p>
    <w:p>
      <w:pPr>
        <w:spacing w:after="0" w:line="235" w:lineRule="auto"/>
        <w:jc w:val="both"/>
        <w:rPr>
          <w:sz w:val="20"/>
        </w:rPr>
        <w:sectPr>
          <w:pgSz w:w="11900" w:h="16840"/>
          <w:pgMar w:header="971" w:footer="0" w:top="1300" w:bottom="280" w:left="1275" w:right="1275"/>
        </w:sectPr>
      </w:pPr>
    </w:p>
    <w:p>
      <w:pPr>
        <w:pStyle w:val="BodyText"/>
        <w:spacing w:before="56"/>
      </w:pPr>
    </w:p>
    <w:p>
      <w:pPr>
        <w:pStyle w:val="BodyText"/>
        <w:ind w:left="165"/>
      </w:pPr>
      <w:hyperlink w:history="true" w:anchor="_bookmark1944">
        <w:r>
          <w:rPr>
            <w:color w:val="005DA1"/>
            <w:u w:val="single" w:color="005DA1"/>
            <w:vertAlign w:val="superscript"/>
          </w:rPr>
          <w:t>1045</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197.</w:t>
      </w:r>
    </w:p>
    <w:p>
      <w:pPr>
        <w:pStyle w:val="BodyText"/>
        <w:spacing w:before="125"/>
      </w:pPr>
    </w:p>
    <w:p>
      <w:pPr>
        <w:pStyle w:val="BodyText"/>
        <w:spacing w:before="1"/>
        <w:ind w:left="165"/>
      </w:pPr>
      <w:bookmarkStart w:name="_bookmark2010" w:id="2012"/>
      <w:bookmarkEnd w:id="2012"/>
      <w:r>
        <w:rPr/>
      </w:r>
      <w:hyperlink w:history="true" w:anchor="_bookmark1945">
        <w:r>
          <w:rPr>
            <w:color w:val="005DA1"/>
            <w:u w:val="single" w:color="005DA1"/>
            <w:vertAlign w:val="superscript"/>
          </w:rPr>
          <w:t>1046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para.26-191,</w:t>
      </w:r>
      <w:r>
        <w:rPr>
          <w:spacing w:val="3"/>
          <w:vertAlign w:val="baseline"/>
        </w:rPr>
        <w:t> </w:t>
      </w:r>
      <w:r>
        <w:rPr>
          <w:vertAlign w:val="baseline"/>
        </w:rPr>
        <w:t>for</w:t>
      </w:r>
      <w:r>
        <w:rPr>
          <w:spacing w:val="2"/>
          <w:vertAlign w:val="baseline"/>
        </w:rPr>
        <w:t> </w:t>
      </w:r>
      <w:r>
        <w:rPr>
          <w:vertAlign w:val="baseline"/>
        </w:rPr>
        <w:t>graduated</w:t>
      </w:r>
      <w:r>
        <w:rPr>
          <w:spacing w:val="3"/>
          <w:vertAlign w:val="baseline"/>
        </w:rPr>
        <w:t> </w:t>
      </w:r>
      <w:r>
        <w:rPr>
          <w:spacing w:val="-2"/>
          <w:vertAlign w:val="baseline"/>
        </w:rPr>
        <w:t>damages.</w:t>
      </w:r>
    </w:p>
    <w:p>
      <w:pPr>
        <w:pStyle w:val="BodyText"/>
        <w:spacing w:before="124"/>
      </w:pPr>
    </w:p>
    <w:p>
      <w:pPr>
        <w:spacing w:before="1"/>
        <w:ind w:left="165" w:right="0" w:firstLine="0"/>
        <w:jc w:val="left"/>
        <w:rPr>
          <w:sz w:val="20"/>
        </w:rPr>
      </w:pPr>
      <w:bookmarkStart w:name="_bookmark2011" w:id="2013"/>
      <w:bookmarkEnd w:id="2013"/>
      <w:r>
        <w:rPr/>
      </w:r>
      <w:hyperlink w:history="true" w:anchor="_bookmark1946">
        <w:r>
          <w:rPr>
            <w:color w:val="005DA1"/>
            <w:sz w:val="20"/>
            <w:u w:val="single" w:color="005DA1"/>
            <w:vertAlign w:val="superscript"/>
          </w:rPr>
          <w:t>1047</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
          <w:sz w:val="20"/>
          <w:vertAlign w:val="baseline"/>
        </w:rPr>
        <w:t> </w:t>
      </w:r>
      <w:r>
        <w:rPr>
          <w:rFonts w:ascii="Arial"/>
          <w:i/>
          <w:sz w:val="20"/>
          <w:vertAlign w:val="baseline"/>
        </w:rPr>
        <w:t>of</w:t>
      </w:r>
      <w:r>
        <w:rPr>
          <w:rFonts w:ascii="Arial"/>
          <w:i/>
          <w:spacing w:val="1"/>
          <w:sz w:val="20"/>
          <w:vertAlign w:val="baseline"/>
        </w:rPr>
        <w:t> </w:t>
      </w:r>
      <w:r>
        <w:rPr>
          <w:rFonts w:ascii="Arial"/>
          <w:i/>
          <w:sz w:val="20"/>
          <w:vertAlign w:val="baseline"/>
        </w:rPr>
        <w:t>Public</w:t>
      </w:r>
      <w:r>
        <w:rPr>
          <w:rFonts w:ascii="Arial"/>
          <w:i/>
          <w:spacing w:val="2"/>
          <w:sz w:val="20"/>
          <w:vertAlign w:val="baseline"/>
        </w:rPr>
        <w:t> </w:t>
      </w:r>
      <w:r>
        <w:rPr>
          <w:rFonts w:ascii="Arial"/>
          <w:i/>
          <w:sz w:val="20"/>
          <w:vertAlign w:val="baseline"/>
        </w:rPr>
        <w:t>Works</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Hills</w:t>
      </w:r>
      <w:r>
        <w:rPr>
          <w:rFonts w:ascii="Arial"/>
          <w:i/>
          <w:spacing w:val="1"/>
          <w:sz w:val="20"/>
          <w:vertAlign w:val="baseline"/>
        </w:rPr>
        <w:t> </w:t>
      </w:r>
      <w:r>
        <w:rPr>
          <w:rFonts w:ascii="Arial"/>
          <w:i/>
          <w:sz w:val="20"/>
          <w:vertAlign w:val="baseline"/>
        </w:rPr>
        <w:t>[1906]</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368,</w:t>
      </w:r>
      <w:r>
        <w:rPr>
          <w:rFonts w:ascii="Arial"/>
          <w:i/>
          <w:spacing w:val="2"/>
          <w:sz w:val="20"/>
          <w:vertAlign w:val="baseline"/>
        </w:rPr>
        <w:t> </w:t>
      </w:r>
      <w:r>
        <w:rPr>
          <w:rFonts w:ascii="Arial"/>
          <w:i/>
          <w:spacing w:val="-4"/>
          <w:sz w:val="20"/>
          <w:vertAlign w:val="baseline"/>
        </w:rPr>
        <w:t>376</w:t>
      </w:r>
      <w:r>
        <w:rPr>
          <w:spacing w:val="-4"/>
          <w:sz w:val="20"/>
          <w:vertAlign w:val="baseline"/>
        </w:rPr>
        <w:t>.</w:t>
      </w:r>
    </w:p>
    <w:p>
      <w:pPr>
        <w:pStyle w:val="BodyText"/>
        <w:spacing w:before="128"/>
      </w:pPr>
    </w:p>
    <w:p>
      <w:pPr>
        <w:pStyle w:val="BodyText"/>
        <w:spacing w:line="235" w:lineRule="auto"/>
        <w:ind w:left="705" w:right="167" w:hanging="541"/>
        <w:jc w:val="both"/>
      </w:pPr>
      <w:bookmarkStart w:name="_bookmark2012" w:id="2014"/>
      <w:bookmarkEnd w:id="2014"/>
      <w:r>
        <w:rPr/>
      </w:r>
      <w:hyperlink w:history="true" w:anchor="_bookmark1947">
        <w:r>
          <w:rPr>
            <w:color w:val="005DA1"/>
            <w:u w:val="single" w:color="005DA1"/>
            <w:vertAlign w:val="superscript"/>
          </w:rPr>
          <w:t>1048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 the question of the application of the penalty rules to this kind of clause, see below, para.26-216, esp. at n.1118m.</w:t>
      </w:r>
    </w:p>
    <w:p>
      <w:pPr>
        <w:pStyle w:val="BodyText"/>
        <w:spacing w:before="129"/>
      </w:pPr>
    </w:p>
    <w:p>
      <w:pPr>
        <w:spacing w:line="235" w:lineRule="auto" w:before="1"/>
        <w:ind w:left="705" w:right="0" w:hanging="541"/>
        <w:jc w:val="left"/>
        <w:rPr>
          <w:sz w:val="20"/>
        </w:rPr>
      </w:pPr>
      <w:bookmarkStart w:name="_bookmark2013" w:id="2015"/>
      <w:bookmarkEnd w:id="2015"/>
      <w:r>
        <w:rPr/>
      </w:r>
      <w:hyperlink w:history="true" w:anchor="_bookmark1948">
        <w:r>
          <w:rPr>
            <w:color w:val="005DA1"/>
            <w:sz w:val="20"/>
            <w:u w:val="single" w:color="005DA1"/>
            <w:vertAlign w:val="superscript"/>
          </w:rPr>
          <w:t>1049</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5"/>
          <w:sz w:val="20"/>
          <w:vertAlign w:val="baseline"/>
        </w:rPr>
        <w:t> </w:t>
      </w:r>
      <w:r>
        <w:rPr>
          <w:rFonts w:ascii="Arial"/>
          <w:i/>
          <w:sz w:val="20"/>
          <w:vertAlign w:val="baseline"/>
        </w:rPr>
        <w:t>of</w:t>
      </w:r>
      <w:r>
        <w:rPr>
          <w:rFonts w:ascii="Arial"/>
          <w:i/>
          <w:spacing w:val="25"/>
          <w:sz w:val="20"/>
          <w:vertAlign w:val="baseline"/>
        </w:rPr>
        <w:t> </w:t>
      </w:r>
      <w:r>
        <w:rPr>
          <w:rFonts w:ascii="Arial"/>
          <w:i/>
          <w:sz w:val="20"/>
          <w:vertAlign w:val="baseline"/>
        </w:rPr>
        <w:t>Public</w:t>
      </w:r>
      <w:r>
        <w:rPr>
          <w:rFonts w:ascii="Arial"/>
          <w:i/>
          <w:spacing w:val="25"/>
          <w:sz w:val="20"/>
          <w:vertAlign w:val="baseline"/>
        </w:rPr>
        <w:t> </w:t>
      </w:r>
      <w:r>
        <w:rPr>
          <w:rFonts w:ascii="Arial"/>
          <w:i/>
          <w:sz w:val="20"/>
          <w:vertAlign w:val="baseline"/>
        </w:rPr>
        <w:t>Works</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Hills</w:t>
      </w:r>
      <w:r>
        <w:rPr>
          <w:rFonts w:ascii="Arial"/>
          <w:i/>
          <w:spacing w:val="25"/>
          <w:sz w:val="20"/>
          <w:vertAlign w:val="baseline"/>
        </w:rPr>
        <w:t> </w:t>
      </w:r>
      <w:r>
        <w:rPr>
          <w:rFonts w:ascii="Arial"/>
          <w:i/>
          <w:sz w:val="20"/>
          <w:vertAlign w:val="baseline"/>
        </w:rPr>
        <w:t>[1906]</w:t>
      </w:r>
      <w:r>
        <w:rPr>
          <w:rFonts w:ascii="Arial"/>
          <w:i/>
          <w:spacing w:val="25"/>
          <w:sz w:val="20"/>
          <w:vertAlign w:val="baseline"/>
        </w:rPr>
        <w:t> </w:t>
      </w:r>
      <w:r>
        <w:rPr>
          <w:rFonts w:ascii="Arial"/>
          <w:i/>
          <w:sz w:val="20"/>
          <w:vertAlign w:val="baseline"/>
        </w:rPr>
        <w:t>A.C.</w:t>
      </w:r>
      <w:r>
        <w:rPr>
          <w:rFonts w:ascii="Arial"/>
          <w:i/>
          <w:spacing w:val="25"/>
          <w:sz w:val="20"/>
          <w:vertAlign w:val="baseline"/>
        </w:rPr>
        <w:t> </w:t>
      </w:r>
      <w:r>
        <w:rPr>
          <w:rFonts w:ascii="Arial"/>
          <w:i/>
          <w:sz w:val="20"/>
          <w:vertAlign w:val="baseline"/>
        </w:rPr>
        <w:t>368,</w:t>
      </w:r>
      <w:r>
        <w:rPr>
          <w:rFonts w:ascii="Arial"/>
          <w:i/>
          <w:spacing w:val="25"/>
          <w:sz w:val="20"/>
          <w:vertAlign w:val="baseline"/>
        </w:rPr>
        <w:t> </w:t>
      </w:r>
      <w:r>
        <w:rPr>
          <w:rFonts w:ascii="Arial"/>
          <w:i/>
          <w:sz w:val="20"/>
          <w:vertAlign w:val="baseline"/>
        </w:rPr>
        <w:t>376</w:t>
      </w:r>
      <w:r>
        <w:rPr>
          <w:rFonts w:ascii="Arial"/>
          <w:i/>
          <w:spacing w:val="24"/>
          <w:sz w:val="20"/>
          <w:vertAlign w:val="baseline"/>
        </w:rPr>
        <w:t> </w:t>
      </w:r>
      <w:r>
        <w:rPr>
          <w:sz w:val="20"/>
          <w:vertAlign w:val="baseline"/>
        </w:rPr>
        <w:t>(followed</w:t>
      </w:r>
      <w:r>
        <w:rPr>
          <w:spacing w:val="25"/>
          <w:sz w:val="20"/>
          <w:vertAlign w:val="baseline"/>
        </w:rPr>
        <w:t> </w:t>
      </w:r>
      <w:r>
        <w:rPr>
          <w:sz w:val="20"/>
          <w:vertAlign w:val="baseline"/>
        </w:rPr>
        <w:t>in</w:t>
      </w:r>
      <w:r>
        <w:rPr>
          <w:spacing w:val="25"/>
          <w:sz w:val="20"/>
          <w:vertAlign w:val="baseline"/>
        </w:rPr>
        <w:t> </w:t>
      </w:r>
      <w:r>
        <w:rPr>
          <w:rFonts w:ascii="Arial"/>
          <w:i/>
          <w:sz w:val="20"/>
          <w:vertAlign w:val="baseline"/>
        </w:rPr>
        <w:t>Jobson</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Johnson [1989] 1 W.L.R. 1026, 1036</w:t>
      </w:r>
      <w:r>
        <w:rPr>
          <w:sz w:val="20"/>
          <w:vertAlign w:val="baseline"/>
        </w:rPr>
        <w:t>).</w:t>
      </w:r>
    </w:p>
    <w:p>
      <w:pPr>
        <w:pStyle w:val="BodyText"/>
        <w:spacing w:before="125"/>
      </w:pPr>
    </w:p>
    <w:p>
      <w:pPr>
        <w:pStyle w:val="BodyText"/>
        <w:ind w:left="165"/>
      </w:pPr>
      <w:bookmarkStart w:name="_bookmark2014" w:id="2016"/>
      <w:bookmarkEnd w:id="2016"/>
      <w:r>
        <w:rPr/>
      </w:r>
      <w:hyperlink w:history="true" w:anchor="_bookmark1949">
        <w:r>
          <w:rPr>
            <w:color w:val="005DA1"/>
            <w:u w:val="single" w:color="005DA1"/>
            <w:vertAlign w:val="superscript"/>
          </w:rPr>
          <w:t>1050</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Compare</w:t>
      </w:r>
      <w:r>
        <w:rPr>
          <w:spacing w:val="3"/>
          <w:vertAlign w:val="baseline"/>
        </w:rPr>
        <w:t> </w:t>
      </w:r>
      <w:r>
        <w:rPr>
          <w:vertAlign w:val="baseline"/>
        </w:rPr>
        <w:t>the</w:t>
      </w:r>
      <w:r>
        <w:rPr>
          <w:spacing w:val="2"/>
          <w:vertAlign w:val="baseline"/>
        </w:rPr>
        <w:t> </w:t>
      </w:r>
      <w:r>
        <w:rPr>
          <w:vertAlign w:val="baseline"/>
        </w:rPr>
        <w:t>situation</w:t>
      </w:r>
      <w:r>
        <w:rPr>
          <w:spacing w:val="1"/>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hirer</w:t>
      </w:r>
      <w:r>
        <w:rPr>
          <w:spacing w:val="1"/>
          <w:vertAlign w:val="baseline"/>
        </w:rPr>
        <w:t> </w:t>
      </w:r>
      <w:r>
        <w:rPr>
          <w:vertAlign w:val="baseline"/>
        </w:rPr>
        <w:t>exercises</w:t>
      </w:r>
      <w:r>
        <w:rPr>
          <w:spacing w:val="2"/>
          <w:vertAlign w:val="baseline"/>
        </w:rPr>
        <w:t> </w:t>
      </w:r>
      <w:r>
        <w:rPr>
          <w:vertAlign w:val="baseline"/>
        </w:rPr>
        <w:t>an</w:t>
      </w:r>
      <w:r>
        <w:rPr>
          <w:spacing w:val="1"/>
          <w:vertAlign w:val="baseline"/>
        </w:rPr>
        <w:t> </w:t>
      </w:r>
      <w:r>
        <w:rPr>
          <w:vertAlign w:val="baseline"/>
        </w:rPr>
        <w:t>option,</w:t>
      </w:r>
      <w:r>
        <w:rPr>
          <w:spacing w:val="2"/>
          <w:vertAlign w:val="baseline"/>
        </w:rPr>
        <w:t> </w:t>
      </w:r>
      <w:r>
        <w:rPr>
          <w:vertAlign w:val="baseline"/>
        </w:rPr>
        <w:t>below,</w:t>
      </w:r>
      <w:r>
        <w:rPr>
          <w:spacing w:val="2"/>
          <w:vertAlign w:val="baseline"/>
        </w:rPr>
        <w:t> </w:t>
      </w:r>
      <w:r>
        <w:rPr>
          <w:vertAlign w:val="baseline"/>
        </w:rPr>
        <w:t>para.26-</w:t>
      </w:r>
      <w:r>
        <w:rPr>
          <w:spacing w:val="-2"/>
          <w:vertAlign w:val="baseline"/>
        </w:rPr>
        <w:t>216C.</w:t>
      </w:r>
    </w:p>
    <w:p>
      <w:pPr>
        <w:pStyle w:val="BodyText"/>
        <w:spacing w:before="125"/>
      </w:pPr>
    </w:p>
    <w:p>
      <w:pPr>
        <w:spacing w:line="227" w:lineRule="exact" w:before="0"/>
        <w:ind w:left="165" w:right="0" w:firstLine="0"/>
        <w:jc w:val="left"/>
        <w:rPr>
          <w:rFonts w:ascii="Arial"/>
          <w:i/>
          <w:sz w:val="20"/>
        </w:rPr>
      </w:pPr>
      <w:bookmarkStart w:name="_bookmark2015" w:id="2017"/>
      <w:bookmarkEnd w:id="2017"/>
      <w:r>
        <w:rPr/>
      </w:r>
      <w:hyperlink w:history="true" w:anchor="_bookmark1950">
        <w:r>
          <w:rPr>
            <w:color w:val="005DA1"/>
            <w:sz w:val="20"/>
            <w:u w:val="single" w:color="005DA1"/>
            <w:vertAlign w:val="superscript"/>
          </w:rPr>
          <w:t>1051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Lamdon</w:t>
      </w:r>
      <w:r>
        <w:rPr>
          <w:rFonts w:ascii="Arial"/>
          <w:i/>
          <w:spacing w:val="19"/>
          <w:sz w:val="20"/>
          <w:vertAlign w:val="baseline"/>
        </w:rPr>
        <w:t> </w:t>
      </w:r>
      <w:r>
        <w:rPr>
          <w:rFonts w:ascii="Arial"/>
          <w:i/>
          <w:sz w:val="20"/>
          <w:vertAlign w:val="baseline"/>
        </w:rPr>
        <w:t>Trust</w:t>
      </w:r>
      <w:r>
        <w:rPr>
          <w:rFonts w:ascii="Arial"/>
          <w:i/>
          <w:spacing w:val="18"/>
          <w:sz w:val="20"/>
          <w:vertAlign w:val="baseline"/>
        </w:rPr>
        <w:t> </w:t>
      </w:r>
      <w:r>
        <w:rPr>
          <w:rFonts w:ascii="Arial"/>
          <w:i/>
          <w:sz w:val="20"/>
          <w:vertAlign w:val="baseline"/>
        </w:rPr>
        <w:t>Ltd</w:t>
      </w:r>
      <w:r>
        <w:rPr>
          <w:rFonts w:ascii="Arial"/>
          <w:i/>
          <w:spacing w:val="19"/>
          <w:sz w:val="20"/>
          <w:vertAlign w:val="baseline"/>
        </w:rPr>
        <w:t> </w:t>
      </w:r>
      <w:r>
        <w:rPr>
          <w:rFonts w:ascii="Arial"/>
          <w:i/>
          <w:sz w:val="20"/>
          <w:vertAlign w:val="baseline"/>
        </w:rPr>
        <w:t>v</w:t>
      </w:r>
      <w:r>
        <w:rPr>
          <w:rFonts w:ascii="Arial"/>
          <w:i/>
          <w:spacing w:val="18"/>
          <w:sz w:val="20"/>
          <w:vertAlign w:val="baseline"/>
        </w:rPr>
        <w:t> </w:t>
      </w:r>
      <w:r>
        <w:rPr>
          <w:rFonts w:ascii="Arial"/>
          <w:i/>
          <w:sz w:val="20"/>
          <w:vertAlign w:val="baseline"/>
        </w:rPr>
        <w:t>Hurrell</w:t>
      </w:r>
      <w:r>
        <w:rPr>
          <w:rFonts w:ascii="Arial"/>
          <w:i/>
          <w:spacing w:val="18"/>
          <w:sz w:val="20"/>
          <w:vertAlign w:val="baseline"/>
        </w:rPr>
        <w:t> </w:t>
      </w:r>
      <w:r>
        <w:rPr>
          <w:rFonts w:ascii="Arial"/>
          <w:i/>
          <w:sz w:val="20"/>
          <w:vertAlign w:val="baseline"/>
        </w:rPr>
        <w:t>[1955]</w:t>
      </w:r>
      <w:r>
        <w:rPr>
          <w:rFonts w:ascii="Arial"/>
          <w:i/>
          <w:spacing w:val="18"/>
          <w:sz w:val="20"/>
          <w:vertAlign w:val="baseline"/>
        </w:rPr>
        <w:t> </w:t>
      </w:r>
      <w:r>
        <w:rPr>
          <w:rFonts w:ascii="Arial"/>
          <w:i/>
          <w:sz w:val="20"/>
          <w:vertAlign w:val="baseline"/>
        </w:rPr>
        <w:t>1</w:t>
      </w:r>
      <w:r>
        <w:rPr>
          <w:rFonts w:ascii="Arial"/>
          <w:i/>
          <w:spacing w:val="18"/>
          <w:sz w:val="20"/>
          <w:vertAlign w:val="baseline"/>
        </w:rPr>
        <w:t> </w:t>
      </w:r>
      <w:r>
        <w:rPr>
          <w:rFonts w:ascii="Arial"/>
          <w:i/>
          <w:sz w:val="20"/>
          <w:vertAlign w:val="baseline"/>
        </w:rPr>
        <w:t>W.L.R.</w:t>
      </w:r>
      <w:r>
        <w:rPr>
          <w:rFonts w:ascii="Arial"/>
          <w:i/>
          <w:spacing w:val="18"/>
          <w:sz w:val="20"/>
          <w:vertAlign w:val="baseline"/>
        </w:rPr>
        <w:t> </w:t>
      </w:r>
      <w:r>
        <w:rPr>
          <w:rFonts w:ascii="Arial"/>
          <w:i/>
          <w:sz w:val="20"/>
          <w:vertAlign w:val="baseline"/>
        </w:rPr>
        <w:t>391</w:t>
      </w:r>
      <w:r>
        <w:rPr>
          <w:sz w:val="20"/>
          <w:vertAlign w:val="baseline"/>
        </w:rPr>
        <w:t>;</w:t>
      </w:r>
      <w:r>
        <w:rPr>
          <w:spacing w:val="19"/>
          <w:sz w:val="20"/>
          <w:vertAlign w:val="baseline"/>
        </w:rPr>
        <w:t> </w:t>
      </w:r>
      <w:r>
        <w:rPr>
          <w:rFonts w:ascii="Arial"/>
          <w:i/>
          <w:sz w:val="20"/>
          <w:vertAlign w:val="baseline"/>
        </w:rPr>
        <w:t>Bridge</w:t>
      </w:r>
      <w:r>
        <w:rPr>
          <w:rFonts w:ascii="Arial"/>
          <w:i/>
          <w:spacing w:val="18"/>
          <w:sz w:val="20"/>
          <w:vertAlign w:val="baseline"/>
        </w:rPr>
        <w:t> </w:t>
      </w:r>
      <w:r>
        <w:rPr>
          <w:rFonts w:ascii="Arial"/>
          <w:i/>
          <w:sz w:val="20"/>
          <w:vertAlign w:val="baseline"/>
        </w:rPr>
        <w:t>v</w:t>
      </w:r>
      <w:r>
        <w:rPr>
          <w:rFonts w:ascii="Arial"/>
          <w:i/>
          <w:spacing w:val="18"/>
          <w:sz w:val="20"/>
          <w:vertAlign w:val="baseline"/>
        </w:rPr>
        <w:t> </w:t>
      </w:r>
      <w:r>
        <w:rPr>
          <w:rFonts w:ascii="Arial"/>
          <w:i/>
          <w:sz w:val="20"/>
          <w:vertAlign w:val="baseline"/>
        </w:rPr>
        <w:t>Campbell</w:t>
      </w:r>
      <w:r>
        <w:rPr>
          <w:rFonts w:ascii="Arial"/>
          <w:i/>
          <w:spacing w:val="18"/>
          <w:sz w:val="20"/>
          <w:vertAlign w:val="baseline"/>
        </w:rPr>
        <w:t> </w:t>
      </w:r>
      <w:r>
        <w:rPr>
          <w:rFonts w:ascii="Arial"/>
          <w:i/>
          <w:sz w:val="20"/>
          <w:vertAlign w:val="baseline"/>
        </w:rPr>
        <w:t>Discount</w:t>
      </w:r>
      <w:r>
        <w:rPr>
          <w:rFonts w:ascii="Arial"/>
          <w:i/>
          <w:spacing w:val="18"/>
          <w:sz w:val="20"/>
          <w:vertAlign w:val="baseline"/>
        </w:rPr>
        <w:t> </w:t>
      </w:r>
      <w:r>
        <w:rPr>
          <w:rFonts w:ascii="Arial"/>
          <w:i/>
          <w:sz w:val="20"/>
          <w:vertAlign w:val="baseline"/>
        </w:rPr>
        <w:t>Co</w:t>
      </w:r>
      <w:r>
        <w:rPr>
          <w:rFonts w:ascii="Arial"/>
          <w:i/>
          <w:spacing w:val="19"/>
          <w:sz w:val="20"/>
          <w:vertAlign w:val="baseline"/>
        </w:rPr>
        <w:t> </w:t>
      </w:r>
      <w:r>
        <w:rPr>
          <w:rFonts w:ascii="Arial"/>
          <w:i/>
          <w:sz w:val="20"/>
          <w:vertAlign w:val="baseline"/>
        </w:rPr>
        <w:t>Ltd</w:t>
      </w:r>
      <w:r>
        <w:rPr>
          <w:rFonts w:ascii="Arial"/>
          <w:i/>
          <w:spacing w:val="18"/>
          <w:sz w:val="20"/>
          <w:vertAlign w:val="baseline"/>
        </w:rPr>
        <w:t> </w:t>
      </w:r>
      <w:r>
        <w:rPr>
          <w:rFonts w:ascii="Arial"/>
          <w:i/>
          <w:spacing w:val="-2"/>
          <w:sz w:val="20"/>
          <w:vertAlign w:val="baseline"/>
        </w:rPr>
        <w:t>[1962]</w:t>
      </w:r>
    </w:p>
    <w:p>
      <w:pPr>
        <w:spacing w:line="235" w:lineRule="auto" w:before="1"/>
        <w:ind w:left="705" w:right="167" w:firstLine="0"/>
        <w:jc w:val="both"/>
        <w:rPr>
          <w:sz w:val="20"/>
        </w:rPr>
      </w:pPr>
      <w:r>
        <w:rPr>
          <w:rFonts w:ascii="Arial" w:hAnsi="Arial"/>
          <w:i/>
          <w:sz w:val="20"/>
        </w:rPr>
        <w:t>A.C. 600</w:t>
      </w:r>
      <w:r>
        <w:rPr>
          <w:sz w:val="20"/>
        </w:rPr>
        <w:t>. (“It is a sliding scale of compensation, but a scale that slides in the wrong direction”:</w:t>
      </w:r>
      <w:r>
        <w:rPr>
          <w:spacing w:val="40"/>
          <w:sz w:val="20"/>
        </w:rPr>
        <w:t> </w:t>
      </w:r>
      <w:r>
        <w:rPr>
          <w:sz w:val="20"/>
        </w:rPr>
        <w:t>at 623.) See also </w:t>
      </w:r>
      <w:r>
        <w:rPr>
          <w:rFonts w:ascii="Arial" w:hAnsi="Arial"/>
          <w:i/>
          <w:sz w:val="20"/>
        </w:rPr>
        <w:t>Anglo-Auto Finance Co Ltd v James [1963] 1 W.L.R. 1042</w:t>
      </w:r>
      <w:r>
        <w:rPr>
          <w:sz w:val="20"/>
        </w:rPr>
        <w:t>; </w:t>
      </w:r>
      <w:r>
        <w:rPr>
          <w:rFonts w:ascii="Arial" w:hAnsi="Arial"/>
          <w:i/>
          <w:sz w:val="20"/>
        </w:rPr>
        <w:t>United Dominions Trust (Commercial) Ltd v Ennis [1968] 1 Q.B. 54</w:t>
      </w:r>
      <w:r>
        <w:rPr>
          <w:sz w:val="20"/>
        </w:rPr>
        <w:t>.</w:t>
      </w:r>
    </w:p>
    <w:p>
      <w:pPr>
        <w:pStyle w:val="BodyText"/>
        <w:spacing w:before="129"/>
      </w:pPr>
    </w:p>
    <w:p>
      <w:pPr>
        <w:spacing w:line="235" w:lineRule="auto" w:before="0"/>
        <w:ind w:left="705" w:right="168" w:hanging="541"/>
        <w:jc w:val="both"/>
        <w:rPr>
          <w:sz w:val="20"/>
        </w:rPr>
      </w:pPr>
      <w:bookmarkStart w:name="_bookmark2016" w:id="2018"/>
      <w:bookmarkEnd w:id="2018"/>
      <w:r>
        <w:rPr/>
      </w:r>
      <w:hyperlink w:history="true" w:anchor="_bookmark1951">
        <w:r>
          <w:rPr>
            <w:color w:val="005DA1"/>
            <w:sz w:val="20"/>
            <w:u w:val="single" w:color="005DA1"/>
            <w:vertAlign w:val="superscript"/>
          </w:rPr>
          <w:t>1052</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02" name="Image 602"/>
            <wp:cNvGraphicFramePr>
              <a:graphicFrameLocks/>
            </wp:cNvGraphicFramePr>
            <a:graphic>
              <a:graphicData uri="http://schemas.openxmlformats.org/drawingml/2006/picture">
                <pic:pic>
                  <pic:nvPicPr>
                    <pic:cNvPr id="602" name="Image 60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r.4(c) in Lord Dunedin’s propositions, above, para.26-182. See </w:t>
      </w:r>
      <w:r>
        <w:rPr>
          <w:rFonts w:ascii="Arial" w:hAnsi="Arial"/>
          <w:i/>
          <w:sz w:val="20"/>
          <w:vertAlign w:val="baseline"/>
        </w:rPr>
        <w:t>Makdessi v Cavendish Square Holdings BV [2013] EWCA Civ 1539 </w:t>
      </w:r>
      <w:r>
        <w:rPr>
          <w:sz w:val="20"/>
          <w:vertAlign w:val="baseline"/>
        </w:rPr>
        <w:t>at [64]–[74].</w:t>
      </w:r>
    </w:p>
    <w:p>
      <w:pPr>
        <w:pStyle w:val="BodyText"/>
        <w:spacing w:before="129"/>
      </w:pPr>
    </w:p>
    <w:p>
      <w:pPr>
        <w:spacing w:line="235" w:lineRule="auto" w:before="1"/>
        <w:ind w:left="705" w:right="0" w:hanging="541"/>
        <w:jc w:val="left"/>
        <w:rPr>
          <w:rFonts w:ascii="Arial"/>
          <w:i/>
          <w:sz w:val="20"/>
        </w:rPr>
      </w:pPr>
      <w:bookmarkStart w:name="_bookmark2017" w:id="2019"/>
      <w:bookmarkEnd w:id="2019"/>
      <w:r>
        <w:rPr/>
      </w:r>
      <w:hyperlink w:history="true" w:anchor="_bookmark1952">
        <w:r>
          <w:rPr>
            <w:color w:val="005DA1"/>
            <w:sz w:val="20"/>
            <w:u w:val="single" w:color="005DA1"/>
            <w:vertAlign w:val="superscript"/>
          </w:rPr>
          <w:t>1053</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Wallis</w:t>
      </w:r>
      <w:r>
        <w:rPr>
          <w:rFonts w:ascii="Arial"/>
          <w:i/>
          <w:spacing w:val="31"/>
          <w:sz w:val="20"/>
          <w:vertAlign w:val="baseline"/>
        </w:rPr>
        <w:t> </w:t>
      </w:r>
      <w:r>
        <w:rPr>
          <w:rFonts w:ascii="Arial"/>
          <w:i/>
          <w:sz w:val="20"/>
          <w:vertAlign w:val="baseline"/>
        </w:rPr>
        <w:t>v</w:t>
      </w:r>
      <w:r>
        <w:rPr>
          <w:rFonts w:ascii="Arial"/>
          <w:i/>
          <w:spacing w:val="31"/>
          <w:sz w:val="20"/>
          <w:vertAlign w:val="baseline"/>
        </w:rPr>
        <w:t> </w:t>
      </w:r>
      <w:r>
        <w:rPr>
          <w:rFonts w:ascii="Arial"/>
          <w:i/>
          <w:sz w:val="20"/>
          <w:vertAlign w:val="baseline"/>
        </w:rPr>
        <w:t>Smith</w:t>
      </w:r>
      <w:r>
        <w:rPr>
          <w:rFonts w:ascii="Arial"/>
          <w:i/>
          <w:spacing w:val="31"/>
          <w:sz w:val="20"/>
          <w:vertAlign w:val="baseline"/>
        </w:rPr>
        <w:t> </w:t>
      </w:r>
      <w:r>
        <w:rPr>
          <w:rFonts w:ascii="Arial"/>
          <w:i/>
          <w:sz w:val="20"/>
          <w:vertAlign w:val="baseline"/>
        </w:rPr>
        <w:t>(1882)</w:t>
      </w:r>
      <w:r>
        <w:rPr>
          <w:rFonts w:ascii="Arial"/>
          <w:i/>
          <w:spacing w:val="31"/>
          <w:sz w:val="20"/>
          <w:vertAlign w:val="baseline"/>
        </w:rPr>
        <w:t> </w:t>
      </w:r>
      <w:r>
        <w:rPr>
          <w:rFonts w:ascii="Arial"/>
          <w:i/>
          <w:sz w:val="20"/>
          <w:vertAlign w:val="baseline"/>
        </w:rPr>
        <w:t>21</w:t>
      </w:r>
      <w:r>
        <w:rPr>
          <w:rFonts w:ascii="Arial"/>
          <w:i/>
          <w:spacing w:val="31"/>
          <w:sz w:val="20"/>
          <w:vertAlign w:val="baseline"/>
        </w:rPr>
        <w:t> </w:t>
      </w:r>
      <w:r>
        <w:rPr>
          <w:rFonts w:ascii="Arial"/>
          <w:i/>
          <w:sz w:val="20"/>
          <w:vertAlign w:val="baseline"/>
        </w:rPr>
        <w:t>Ch.</w:t>
      </w:r>
      <w:r>
        <w:rPr>
          <w:rFonts w:ascii="Arial"/>
          <w:i/>
          <w:spacing w:val="31"/>
          <w:sz w:val="20"/>
          <w:vertAlign w:val="baseline"/>
        </w:rPr>
        <w:t> </w:t>
      </w:r>
      <w:r>
        <w:rPr>
          <w:rFonts w:ascii="Arial"/>
          <w:i/>
          <w:sz w:val="20"/>
          <w:vertAlign w:val="baseline"/>
        </w:rPr>
        <w:t>D.</w:t>
      </w:r>
      <w:r>
        <w:rPr>
          <w:rFonts w:ascii="Arial"/>
          <w:i/>
          <w:spacing w:val="31"/>
          <w:sz w:val="20"/>
          <w:vertAlign w:val="baseline"/>
        </w:rPr>
        <w:t> </w:t>
      </w:r>
      <w:r>
        <w:rPr>
          <w:rFonts w:ascii="Arial"/>
          <w:i/>
          <w:sz w:val="20"/>
          <w:vertAlign w:val="baseline"/>
        </w:rPr>
        <w:t>243</w:t>
      </w:r>
      <w:r>
        <w:rPr>
          <w:sz w:val="20"/>
          <w:vertAlign w:val="baseline"/>
        </w:rPr>
        <w:t>;</w:t>
      </w:r>
      <w:r>
        <w:rPr>
          <w:spacing w:val="31"/>
          <w:sz w:val="20"/>
          <w:vertAlign w:val="baseline"/>
        </w:rPr>
        <w:t> </w:t>
      </w:r>
      <w:r>
        <w:rPr>
          <w:rFonts w:ascii="Arial"/>
          <w:i/>
          <w:sz w:val="20"/>
          <w:vertAlign w:val="baseline"/>
        </w:rPr>
        <w:t>Pye</w:t>
      </w:r>
      <w:r>
        <w:rPr>
          <w:rFonts w:ascii="Arial"/>
          <w:i/>
          <w:spacing w:val="31"/>
          <w:sz w:val="20"/>
          <w:vertAlign w:val="baseline"/>
        </w:rPr>
        <w:t> </w:t>
      </w:r>
      <w:r>
        <w:rPr>
          <w:rFonts w:ascii="Arial"/>
          <w:i/>
          <w:sz w:val="20"/>
          <w:vertAlign w:val="baseline"/>
        </w:rPr>
        <w:t>v</w:t>
      </w:r>
      <w:r>
        <w:rPr>
          <w:rFonts w:ascii="Arial"/>
          <w:i/>
          <w:spacing w:val="31"/>
          <w:sz w:val="20"/>
          <w:vertAlign w:val="baseline"/>
        </w:rPr>
        <w:t> </w:t>
      </w:r>
      <w:r>
        <w:rPr>
          <w:rFonts w:ascii="Arial"/>
          <w:i/>
          <w:sz w:val="20"/>
          <w:vertAlign w:val="baseline"/>
        </w:rPr>
        <w:t>British</w:t>
      </w:r>
      <w:r>
        <w:rPr>
          <w:rFonts w:ascii="Arial"/>
          <w:i/>
          <w:spacing w:val="31"/>
          <w:sz w:val="20"/>
          <w:vertAlign w:val="baseline"/>
        </w:rPr>
        <w:t> </w:t>
      </w:r>
      <w:r>
        <w:rPr>
          <w:rFonts w:ascii="Arial"/>
          <w:i/>
          <w:sz w:val="20"/>
          <w:vertAlign w:val="baseline"/>
        </w:rPr>
        <w:t>Automobile</w:t>
      </w:r>
      <w:r>
        <w:rPr>
          <w:rFonts w:ascii="Arial"/>
          <w:i/>
          <w:spacing w:val="31"/>
          <w:sz w:val="20"/>
          <w:vertAlign w:val="baseline"/>
        </w:rPr>
        <w:t> </w:t>
      </w:r>
      <w:r>
        <w:rPr>
          <w:rFonts w:ascii="Arial"/>
          <w:i/>
          <w:sz w:val="20"/>
          <w:vertAlign w:val="baseline"/>
        </w:rPr>
        <w:t>Commercial</w:t>
      </w:r>
      <w:r>
        <w:rPr>
          <w:rFonts w:ascii="Arial"/>
          <w:i/>
          <w:spacing w:val="31"/>
          <w:sz w:val="20"/>
          <w:vertAlign w:val="baseline"/>
        </w:rPr>
        <w:t> </w:t>
      </w:r>
      <w:r>
        <w:rPr>
          <w:rFonts w:ascii="Arial"/>
          <w:i/>
          <w:sz w:val="20"/>
          <w:vertAlign w:val="baseline"/>
        </w:rPr>
        <w:t>Syndicate</w:t>
      </w:r>
      <w:r>
        <w:rPr>
          <w:rFonts w:ascii="Arial"/>
          <w:i/>
          <w:spacing w:val="31"/>
          <w:sz w:val="20"/>
          <w:vertAlign w:val="baseline"/>
        </w:rPr>
        <w:t> </w:t>
      </w:r>
      <w:r>
        <w:rPr>
          <w:rFonts w:ascii="Arial"/>
          <w:i/>
          <w:sz w:val="20"/>
          <w:vertAlign w:val="baseline"/>
        </w:rPr>
        <w:t>Ltd [1906]</w:t>
      </w:r>
      <w:r>
        <w:rPr>
          <w:rFonts w:ascii="Arial"/>
          <w:i/>
          <w:spacing w:val="-1"/>
          <w:sz w:val="20"/>
          <w:vertAlign w:val="baseline"/>
        </w:rPr>
        <w:t> </w:t>
      </w:r>
      <w:r>
        <w:rPr>
          <w:rFonts w:ascii="Arial"/>
          <w:i/>
          <w:sz w:val="20"/>
          <w:vertAlign w:val="baseline"/>
        </w:rPr>
        <w:t>1 K.B. 425</w:t>
      </w:r>
      <w:r>
        <w:rPr>
          <w:sz w:val="20"/>
          <w:vertAlign w:val="baseline"/>
        </w:rPr>
        <w:t>; </w:t>
      </w:r>
      <w:r>
        <w:rPr>
          <w:rFonts w:ascii="Arial"/>
          <w:i/>
          <w:sz w:val="20"/>
          <w:vertAlign w:val="baseline"/>
        </w:rPr>
        <w:t>Dunlop Pneumatic Tyre Co Ltd v New Garage &amp; Motor Co Ltd [1915] A.C. </w:t>
      </w:r>
      <w:r>
        <w:rPr>
          <w:rFonts w:ascii="Arial"/>
          <w:i/>
          <w:spacing w:val="-5"/>
          <w:sz w:val="20"/>
          <w:vertAlign w:val="baseline"/>
        </w:rPr>
        <w:t>79</w:t>
      </w:r>
    </w:p>
    <w:p>
      <w:pPr>
        <w:spacing w:line="235" w:lineRule="auto" w:before="0"/>
        <w:ind w:left="705" w:right="167" w:firstLine="0"/>
        <w:jc w:val="both"/>
        <w:rPr>
          <w:sz w:val="20"/>
        </w:rPr>
      </w:pPr>
      <w:r>
        <w:rPr>
          <w:sz w:val="20"/>
        </w:rPr>
        <w:t>; </w:t>
      </w:r>
      <w:r>
        <w:rPr>
          <w:rFonts w:ascii="Arial" w:hAnsi="Arial"/>
          <w:i/>
          <w:sz w:val="20"/>
        </w:rPr>
        <w:t>Philips Hong Kong Ltd v Att-Gen of Hong Kong (1993) 61 Build. L.R. 49, 62–63 </w:t>
      </w:r>
      <w:r>
        <w:rPr>
          <w:sz w:val="20"/>
        </w:rPr>
        <w:t>(Privy Council refers to: “… the error of assuming that, because in some hypothetical situation the </w:t>
      </w:r>
      <w:r>
        <w:rPr>
          <w:sz w:val="20"/>
        </w:rPr>
        <w:t>loss</w:t>
      </w:r>
      <w:r>
        <w:rPr>
          <w:spacing w:val="40"/>
          <w:sz w:val="20"/>
        </w:rPr>
        <w:t> </w:t>
      </w:r>
      <w:r>
        <w:rPr>
          <w:sz w:val="20"/>
        </w:rPr>
        <w:t>suffered will be less than the sum quantified in accordance with the liquidated damage provision, that provision must be a penalty”). This suggests that the validity of a clause should be judged by its normal operation: Peel, </w:t>
      </w:r>
      <w:r>
        <w:rPr>
          <w:rFonts w:ascii="Arial" w:hAnsi="Arial"/>
          <w:i/>
          <w:sz w:val="20"/>
        </w:rPr>
        <w:t>Treitel on The Law of Contract</w:t>
      </w:r>
      <w:r>
        <w:rPr>
          <w:sz w:val="20"/>
        </w:rPr>
        <w:t>, 14th edn (2015), </w:t>
      </w:r>
      <w:r>
        <w:rPr>
          <w:spacing w:val="-2"/>
          <w:sz w:val="20"/>
        </w:rPr>
        <w:t>para.20–131.</w:t>
      </w:r>
    </w:p>
    <w:p>
      <w:pPr>
        <w:pStyle w:val="BodyText"/>
        <w:spacing w:before="123"/>
      </w:pPr>
    </w:p>
    <w:p>
      <w:pPr>
        <w:spacing w:before="0"/>
        <w:ind w:left="165" w:right="0" w:firstLine="0"/>
        <w:jc w:val="left"/>
        <w:rPr>
          <w:sz w:val="20"/>
        </w:rPr>
      </w:pPr>
      <w:bookmarkStart w:name="_bookmark2018" w:id="2020"/>
      <w:bookmarkEnd w:id="2020"/>
      <w:r>
        <w:rPr/>
      </w:r>
      <w:hyperlink w:history="true" w:anchor="_bookmark1953">
        <w:r>
          <w:rPr>
            <w:color w:val="005DA1"/>
            <w:sz w:val="20"/>
            <w:u w:val="single" w:color="005DA1"/>
            <w:vertAlign w:val="superscript"/>
          </w:rPr>
          <w:t>1054</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8"/>
      </w:pPr>
    </w:p>
    <w:p>
      <w:pPr>
        <w:pStyle w:val="BodyText"/>
        <w:spacing w:line="235" w:lineRule="auto" w:before="1"/>
        <w:ind w:left="705" w:right="167" w:hanging="541"/>
        <w:jc w:val="both"/>
      </w:pPr>
      <w:bookmarkStart w:name="_bookmark2019" w:id="2021"/>
      <w:bookmarkEnd w:id="2021"/>
      <w:r>
        <w:rPr/>
      </w:r>
      <w:hyperlink w:history="true" w:anchor="_bookmark1954">
        <w:r>
          <w:rPr>
            <w:color w:val="005DA1"/>
            <w:u w:val="single" w:color="005DA1"/>
            <w:vertAlign w:val="superscript"/>
          </w:rPr>
          <w:t>1055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House of Lords took the view that the £5 did not apply to the second and third obligations (not to sell to prohibited person, and not to exhibit without permission).</w:t>
      </w:r>
    </w:p>
    <w:p>
      <w:pPr>
        <w:pStyle w:val="BodyText"/>
        <w:spacing w:before="129"/>
      </w:pPr>
    </w:p>
    <w:p>
      <w:pPr>
        <w:spacing w:line="235" w:lineRule="auto" w:before="0"/>
        <w:ind w:left="705" w:right="167" w:hanging="541"/>
        <w:jc w:val="both"/>
        <w:rPr>
          <w:sz w:val="20"/>
        </w:rPr>
      </w:pPr>
      <w:bookmarkStart w:name="_bookmark2020" w:id="2022"/>
      <w:bookmarkEnd w:id="2022"/>
      <w:r>
        <w:rPr/>
      </w:r>
      <w:hyperlink w:history="true" w:anchor="_bookmark1955">
        <w:r>
          <w:rPr>
            <w:color w:val="005DA1"/>
            <w:sz w:val="20"/>
            <w:u w:val="single" w:color="005DA1"/>
            <w:vertAlign w:val="superscript"/>
          </w:rPr>
          <w:t>1056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Dunlop Pneumatic Tyre Co Ltd v New Garage &amp; Motor Co Ltd [1915] A.C. 79, 95–96</w:t>
      </w:r>
      <w:r>
        <w:rPr>
          <w:sz w:val="20"/>
          <w:vertAlign w:val="baseline"/>
        </w:rPr>
        <w:t>. See</w:t>
      </w:r>
      <w:r>
        <w:rPr>
          <w:spacing w:val="80"/>
          <w:sz w:val="20"/>
          <w:vertAlign w:val="baseline"/>
        </w:rPr>
        <w:t> </w:t>
      </w:r>
      <w:r>
        <w:rPr>
          <w:sz w:val="20"/>
          <w:vertAlign w:val="baseline"/>
        </w:rPr>
        <w:t>also </w:t>
      </w:r>
      <w:r>
        <w:rPr>
          <w:rFonts w:ascii="Arial" w:hAnsi="Arial"/>
          <w:i/>
          <w:sz w:val="20"/>
          <w:vertAlign w:val="baseline"/>
        </w:rPr>
        <w:t>Galsworthy v Strutt (1848) 1 Ex. 659, 666–667</w:t>
      </w:r>
      <w:r>
        <w:rPr>
          <w:sz w:val="20"/>
          <w:vertAlign w:val="baseline"/>
        </w:rPr>
        <w:t>. Again, in some cases of this type </w:t>
      </w:r>
      <w:r>
        <w:rPr>
          <w:sz w:val="20"/>
          <w:vertAlign w:val="baseline"/>
        </w:rPr>
        <w:t>the claimant may now be seen as having a legitimate interest in deterring breach, see below, </w:t>
      </w:r>
      <w:r>
        <w:rPr>
          <w:spacing w:val="-2"/>
          <w:sz w:val="20"/>
          <w:vertAlign w:val="baseline"/>
        </w:rPr>
        <w:t>para.26-197.</w:t>
      </w:r>
    </w:p>
    <w:p>
      <w:pPr>
        <w:pStyle w:val="BodyText"/>
        <w:spacing w:before="128"/>
      </w:pPr>
    </w:p>
    <w:p>
      <w:pPr>
        <w:spacing w:line="235" w:lineRule="auto" w:before="0"/>
        <w:ind w:left="705" w:right="0" w:hanging="541"/>
        <w:jc w:val="left"/>
        <w:rPr>
          <w:sz w:val="20"/>
        </w:rPr>
      </w:pPr>
      <w:bookmarkStart w:name="_bookmark2021" w:id="2023"/>
      <w:bookmarkEnd w:id="2023"/>
      <w:r>
        <w:rPr/>
      </w:r>
      <w:hyperlink w:history="true" w:anchor="_bookmark1956">
        <w:r>
          <w:rPr>
            <w:color w:val="005DA1"/>
            <w:sz w:val="20"/>
            <w:u w:val="single" w:color="005DA1"/>
            <w:vertAlign w:val="superscript"/>
          </w:rPr>
          <w:t>1057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w:t>
      </w:r>
      <w:r>
        <w:rPr>
          <w:rFonts w:ascii="Arial"/>
          <w:i/>
          <w:spacing w:val="24"/>
          <w:sz w:val="20"/>
          <w:vertAlign w:val="baseline"/>
        </w:rPr>
        <w:t> </w:t>
      </w:r>
      <w:r>
        <w:rPr>
          <w:rFonts w:ascii="Arial"/>
          <w:i/>
          <w:sz w:val="20"/>
          <w:vertAlign w:val="baseline"/>
        </w:rPr>
        <w:t>Pneumatic</w:t>
      </w:r>
      <w:r>
        <w:rPr>
          <w:rFonts w:ascii="Arial"/>
          <w:i/>
          <w:spacing w:val="24"/>
          <w:sz w:val="20"/>
          <w:vertAlign w:val="baseline"/>
        </w:rPr>
        <w:t> </w:t>
      </w:r>
      <w:r>
        <w:rPr>
          <w:rFonts w:ascii="Arial"/>
          <w:i/>
          <w:sz w:val="20"/>
          <w:vertAlign w:val="baseline"/>
        </w:rPr>
        <w:t>Tyre</w:t>
      </w:r>
      <w:r>
        <w:rPr>
          <w:rFonts w:ascii="Arial"/>
          <w:i/>
          <w:spacing w:val="24"/>
          <w:sz w:val="20"/>
          <w:vertAlign w:val="baseline"/>
        </w:rPr>
        <w:t> </w:t>
      </w:r>
      <w:r>
        <w:rPr>
          <w:rFonts w:ascii="Arial"/>
          <w:i/>
          <w:sz w:val="20"/>
          <w:vertAlign w:val="baseline"/>
        </w:rPr>
        <w:t>Co</w:t>
      </w:r>
      <w:r>
        <w:rPr>
          <w:rFonts w:ascii="Arial"/>
          <w:i/>
          <w:spacing w:val="24"/>
          <w:sz w:val="20"/>
          <w:vertAlign w:val="baseline"/>
        </w:rPr>
        <w:t> </w:t>
      </w:r>
      <w:r>
        <w:rPr>
          <w:rFonts w:ascii="Arial"/>
          <w:i/>
          <w:sz w:val="20"/>
          <w:vertAlign w:val="baseline"/>
        </w:rPr>
        <w:t>Ltd</w:t>
      </w:r>
      <w:r>
        <w:rPr>
          <w:rFonts w:ascii="Arial"/>
          <w:i/>
          <w:spacing w:val="24"/>
          <w:sz w:val="20"/>
          <w:vertAlign w:val="baseline"/>
        </w:rPr>
        <w:t> </w:t>
      </w:r>
      <w:r>
        <w:rPr>
          <w:rFonts w:ascii="Arial"/>
          <w:i/>
          <w:sz w:val="20"/>
          <w:vertAlign w:val="baseline"/>
        </w:rPr>
        <w:t>v</w:t>
      </w:r>
      <w:r>
        <w:rPr>
          <w:rFonts w:ascii="Arial"/>
          <w:i/>
          <w:spacing w:val="24"/>
          <w:sz w:val="20"/>
          <w:vertAlign w:val="baseline"/>
        </w:rPr>
        <w:t> </w:t>
      </w:r>
      <w:r>
        <w:rPr>
          <w:rFonts w:ascii="Arial"/>
          <w:i/>
          <w:sz w:val="20"/>
          <w:vertAlign w:val="baseline"/>
        </w:rPr>
        <w:t>New</w:t>
      </w:r>
      <w:r>
        <w:rPr>
          <w:rFonts w:ascii="Arial"/>
          <w:i/>
          <w:spacing w:val="24"/>
          <w:sz w:val="20"/>
          <w:vertAlign w:val="baseline"/>
        </w:rPr>
        <w:t> </w:t>
      </w:r>
      <w:r>
        <w:rPr>
          <w:rFonts w:ascii="Arial"/>
          <w:i/>
          <w:sz w:val="20"/>
          <w:vertAlign w:val="baseline"/>
        </w:rPr>
        <w:t>Garage</w:t>
      </w:r>
      <w:r>
        <w:rPr>
          <w:rFonts w:ascii="Arial"/>
          <w:i/>
          <w:spacing w:val="24"/>
          <w:sz w:val="20"/>
          <w:vertAlign w:val="baseline"/>
        </w:rPr>
        <w:t> </w:t>
      </w:r>
      <w:r>
        <w:rPr>
          <w:rFonts w:ascii="Arial"/>
          <w:i/>
          <w:sz w:val="20"/>
          <w:vertAlign w:val="baseline"/>
        </w:rPr>
        <w:t>&amp;</w:t>
      </w:r>
      <w:r>
        <w:rPr>
          <w:rFonts w:ascii="Arial"/>
          <w:i/>
          <w:spacing w:val="24"/>
          <w:sz w:val="20"/>
          <w:vertAlign w:val="baseline"/>
        </w:rPr>
        <w:t> </w:t>
      </w:r>
      <w:r>
        <w:rPr>
          <w:rFonts w:ascii="Arial"/>
          <w:i/>
          <w:sz w:val="20"/>
          <w:vertAlign w:val="baseline"/>
        </w:rPr>
        <w:t>Motor</w:t>
      </w:r>
      <w:r>
        <w:rPr>
          <w:rFonts w:ascii="Arial"/>
          <w:i/>
          <w:spacing w:val="24"/>
          <w:sz w:val="20"/>
          <w:vertAlign w:val="baseline"/>
        </w:rPr>
        <w:t> </w:t>
      </w:r>
      <w:r>
        <w:rPr>
          <w:rFonts w:ascii="Arial"/>
          <w:i/>
          <w:sz w:val="20"/>
          <w:vertAlign w:val="baseline"/>
        </w:rPr>
        <w:t>Co</w:t>
      </w:r>
      <w:r>
        <w:rPr>
          <w:rFonts w:ascii="Arial"/>
          <w:i/>
          <w:spacing w:val="24"/>
          <w:sz w:val="20"/>
          <w:vertAlign w:val="baseline"/>
        </w:rPr>
        <w:t> </w:t>
      </w:r>
      <w:r>
        <w:rPr>
          <w:rFonts w:ascii="Arial"/>
          <w:i/>
          <w:sz w:val="20"/>
          <w:vertAlign w:val="baseline"/>
        </w:rPr>
        <w:t>Ltd</w:t>
      </w:r>
      <w:r>
        <w:rPr>
          <w:rFonts w:ascii="Arial"/>
          <w:i/>
          <w:spacing w:val="24"/>
          <w:sz w:val="20"/>
          <w:vertAlign w:val="baseline"/>
        </w:rPr>
        <w:t> </w:t>
      </w:r>
      <w:r>
        <w:rPr>
          <w:rFonts w:ascii="Arial"/>
          <w:i/>
          <w:sz w:val="20"/>
          <w:vertAlign w:val="baseline"/>
        </w:rPr>
        <w:t>[1915]</w:t>
      </w:r>
      <w:r>
        <w:rPr>
          <w:rFonts w:ascii="Arial"/>
          <w:i/>
          <w:spacing w:val="24"/>
          <w:sz w:val="20"/>
          <w:vertAlign w:val="baseline"/>
        </w:rPr>
        <w:t> </w:t>
      </w:r>
      <w:r>
        <w:rPr>
          <w:rFonts w:ascii="Arial"/>
          <w:i/>
          <w:sz w:val="20"/>
          <w:vertAlign w:val="baseline"/>
        </w:rPr>
        <w:t>A.C.</w:t>
      </w:r>
      <w:r>
        <w:rPr>
          <w:rFonts w:ascii="Arial"/>
          <w:i/>
          <w:spacing w:val="24"/>
          <w:sz w:val="20"/>
          <w:vertAlign w:val="baseline"/>
        </w:rPr>
        <w:t> </w:t>
      </w:r>
      <w:r>
        <w:rPr>
          <w:rFonts w:ascii="Arial"/>
          <w:i/>
          <w:sz w:val="20"/>
          <w:vertAlign w:val="baseline"/>
        </w:rPr>
        <w:t>79,</w:t>
      </w:r>
      <w:r>
        <w:rPr>
          <w:rFonts w:ascii="Arial"/>
          <w:i/>
          <w:spacing w:val="24"/>
          <w:sz w:val="20"/>
          <w:vertAlign w:val="baseline"/>
        </w:rPr>
        <w:t> </w:t>
      </w:r>
      <w:r>
        <w:rPr>
          <w:rFonts w:ascii="Arial"/>
          <w:i/>
          <w:sz w:val="20"/>
          <w:vertAlign w:val="baseline"/>
        </w:rPr>
        <w:t>99</w:t>
      </w:r>
      <w:r>
        <w:rPr>
          <w:sz w:val="20"/>
          <w:vertAlign w:val="baseline"/>
        </w:rPr>
        <w:t>;</w:t>
      </w:r>
      <w:r>
        <w:rPr>
          <w:spacing w:val="24"/>
          <w:sz w:val="20"/>
          <w:vertAlign w:val="baseline"/>
        </w:rPr>
        <w:t> </w:t>
      </w:r>
      <w:r>
        <w:rPr>
          <w:rFonts w:ascii="Arial"/>
          <w:i/>
          <w:sz w:val="20"/>
          <w:vertAlign w:val="baseline"/>
        </w:rPr>
        <w:t>English Hop Growers Ltd v Dering [1928] 2 K.B. 174, 182</w:t>
      </w:r>
      <w:r>
        <w:rPr>
          <w:sz w:val="20"/>
          <w:vertAlign w:val="baseline"/>
        </w:rPr>
        <w:t>.</w:t>
      </w:r>
    </w:p>
    <w:p>
      <w:pPr>
        <w:pStyle w:val="BodyText"/>
        <w:spacing w:before="126"/>
      </w:pPr>
    </w:p>
    <w:p>
      <w:pPr>
        <w:spacing w:before="0"/>
        <w:ind w:left="165" w:right="0" w:firstLine="0"/>
        <w:jc w:val="left"/>
        <w:rPr>
          <w:sz w:val="20"/>
        </w:rPr>
      </w:pPr>
      <w:bookmarkStart w:name="_bookmark2022" w:id="2024"/>
      <w:bookmarkEnd w:id="2024"/>
      <w:r>
        <w:rPr/>
      </w:r>
      <w:hyperlink w:history="true" w:anchor="_bookmark1957">
        <w:r>
          <w:rPr>
            <w:color w:val="005DA1"/>
            <w:sz w:val="20"/>
            <w:u w:val="single" w:color="005DA1"/>
            <w:vertAlign w:val="superscript"/>
          </w:rPr>
          <w:t>1058</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608" name="Image 608"/>
            <wp:cNvGraphicFramePr>
              <a:graphicFrameLocks/>
            </wp:cNvGraphicFramePr>
            <a:graphic>
              <a:graphicData uri="http://schemas.openxmlformats.org/drawingml/2006/picture">
                <pic:pic>
                  <pic:nvPicPr>
                    <pic:cNvPr id="608" name="Image 6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3"/>
          <w:sz w:val="20"/>
          <w:vertAlign w:val="baseline"/>
        </w:rPr>
        <w:t> </w:t>
      </w:r>
      <w:r>
        <w:rPr>
          <w:rFonts w:ascii="Arial"/>
          <w:i/>
          <w:sz w:val="20"/>
          <w:vertAlign w:val="baseline"/>
        </w:rPr>
        <w:t>31</w:t>
      </w:r>
      <w:r>
        <w:rPr>
          <w:rFonts w:ascii="Arial"/>
          <w:i/>
          <w:spacing w:val="3"/>
          <w:sz w:val="20"/>
          <w:vertAlign w:val="baseline"/>
        </w:rPr>
        <w:t> </w:t>
      </w:r>
      <w:r>
        <w:rPr>
          <w:rFonts w:ascii="Arial"/>
          <w:i/>
          <w:sz w:val="20"/>
          <w:vertAlign w:val="baseline"/>
        </w:rPr>
        <w:t>T.L.R.</w:t>
      </w:r>
      <w:r>
        <w:rPr>
          <w:rFonts w:ascii="Arial"/>
          <w:i/>
          <w:spacing w:val="4"/>
          <w:sz w:val="20"/>
          <w:vertAlign w:val="baseline"/>
        </w:rPr>
        <w:t> </w:t>
      </w:r>
      <w:r>
        <w:rPr>
          <w:rFonts w:ascii="Arial"/>
          <w:i/>
          <w:spacing w:val="-4"/>
          <w:sz w:val="20"/>
          <w:vertAlign w:val="baseline"/>
        </w:rPr>
        <w:t>267</w:t>
      </w:r>
      <w:r>
        <w:rPr>
          <w:spacing w:val="-4"/>
          <w:sz w:val="20"/>
          <w:vertAlign w:val="baseline"/>
        </w:rPr>
        <w:t>.</w:t>
      </w:r>
    </w:p>
    <w:p>
      <w:pPr>
        <w:pStyle w:val="BodyText"/>
        <w:spacing w:before="125"/>
      </w:pPr>
    </w:p>
    <w:p>
      <w:pPr>
        <w:spacing w:before="0"/>
        <w:ind w:left="165" w:right="0" w:firstLine="0"/>
        <w:jc w:val="left"/>
        <w:rPr>
          <w:sz w:val="20"/>
        </w:rPr>
      </w:pPr>
      <w:bookmarkStart w:name="_bookmark2023" w:id="2025"/>
      <w:bookmarkEnd w:id="2025"/>
      <w:r>
        <w:rPr/>
      </w:r>
      <w:hyperlink w:history="true" w:anchor="_bookmark1958">
        <w:r>
          <w:rPr>
            <w:color w:val="005DA1"/>
            <w:sz w:val="20"/>
            <w:u w:val="single" w:color="005DA1"/>
            <w:vertAlign w:val="superscript"/>
          </w:rPr>
          <w:t>1059</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w:t>
      </w:r>
      <w:r>
        <w:rPr>
          <w:rFonts w:ascii="Arial"/>
          <w:i/>
          <w:spacing w:val="1"/>
          <w:sz w:val="20"/>
          <w:vertAlign w:val="baseline"/>
        </w:rPr>
        <w:t> </w:t>
      </w:r>
      <w:r>
        <w:rPr>
          <w:rFonts w:ascii="Arial"/>
          <w:i/>
          <w:sz w:val="20"/>
          <w:vertAlign w:val="baseline"/>
        </w:rPr>
        <w:t>Pneumatic</w:t>
      </w:r>
      <w:r>
        <w:rPr>
          <w:rFonts w:ascii="Arial"/>
          <w:i/>
          <w:spacing w:val="1"/>
          <w:sz w:val="20"/>
          <w:vertAlign w:val="baseline"/>
        </w:rPr>
        <w:t> </w:t>
      </w:r>
      <w:r>
        <w:rPr>
          <w:rFonts w:ascii="Arial"/>
          <w:i/>
          <w:sz w:val="20"/>
          <w:vertAlign w:val="baseline"/>
        </w:rPr>
        <w:t>Tyre</w:t>
      </w:r>
      <w:r>
        <w:rPr>
          <w:rFonts w:ascii="Arial"/>
          <w:i/>
          <w:spacing w:val="2"/>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New</w:t>
      </w:r>
      <w:r>
        <w:rPr>
          <w:rFonts w:ascii="Arial"/>
          <w:i/>
          <w:spacing w:val="1"/>
          <w:sz w:val="20"/>
          <w:vertAlign w:val="baseline"/>
        </w:rPr>
        <w:t> </w:t>
      </w:r>
      <w:r>
        <w:rPr>
          <w:rFonts w:ascii="Arial"/>
          <w:i/>
          <w:sz w:val="20"/>
          <w:vertAlign w:val="baseline"/>
        </w:rPr>
        <w:t>Garage</w:t>
      </w:r>
      <w:r>
        <w:rPr>
          <w:rFonts w:ascii="Arial"/>
          <w:i/>
          <w:spacing w:val="1"/>
          <w:sz w:val="20"/>
          <w:vertAlign w:val="baseline"/>
        </w:rPr>
        <w:t> </w:t>
      </w:r>
      <w:r>
        <w:rPr>
          <w:rFonts w:ascii="Arial"/>
          <w:i/>
          <w:sz w:val="20"/>
          <w:vertAlign w:val="baseline"/>
        </w:rPr>
        <w:t>&amp;</w:t>
      </w:r>
      <w:r>
        <w:rPr>
          <w:rFonts w:ascii="Arial"/>
          <w:i/>
          <w:spacing w:val="2"/>
          <w:sz w:val="20"/>
          <w:vertAlign w:val="baseline"/>
        </w:rPr>
        <w:t> </w:t>
      </w:r>
      <w:r>
        <w:rPr>
          <w:rFonts w:ascii="Arial"/>
          <w:i/>
          <w:sz w:val="20"/>
          <w:vertAlign w:val="baseline"/>
        </w:rPr>
        <w:t>Motor</w:t>
      </w:r>
      <w:r>
        <w:rPr>
          <w:rFonts w:ascii="Arial"/>
          <w:i/>
          <w:spacing w:val="1"/>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[1915]</w:t>
      </w:r>
      <w:r>
        <w:rPr>
          <w:rFonts w:ascii="Arial"/>
          <w:i/>
          <w:spacing w:val="1"/>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79,</w:t>
      </w:r>
      <w:r>
        <w:rPr>
          <w:rFonts w:ascii="Arial"/>
          <w:i/>
          <w:spacing w:val="1"/>
          <w:sz w:val="20"/>
          <w:vertAlign w:val="baseline"/>
        </w:rPr>
        <w:t> </w:t>
      </w:r>
      <w:r>
        <w:rPr>
          <w:rFonts w:ascii="Arial"/>
          <w:i/>
          <w:spacing w:val="-5"/>
          <w:sz w:val="20"/>
          <w:vertAlign w:val="baseline"/>
        </w:rPr>
        <w:t>87</w:t>
      </w:r>
      <w:r>
        <w:rPr>
          <w:spacing w:val="-5"/>
          <w:sz w:val="20"/>
          <w:vertAlign w:val="baseline"/>
        </w:rPr>
        <w:t>.</w:t>
      </w:r>
    </w:p>
    <w:p>
      <w:pPr>
        <w:pStyle w:val="BodyText"/>
        <w:spacing w:before="125"/>
      </w:pPr>
    </w:p>
    <w:p>
      <w:pPr>
        <w:spacing w:before="0"/>
        <w:ind w:left="165" w:right="0" w:firstLine="0"/>
        <w:jc w:val="left"/>
        <w:rPr>
          <w:sz w:val="20"/>
        </w:rPr>
      </w:pPr>
      <w:bookmarkStart w:name="_bookmark2024" w:id="2026"/>
      <w:bookmarkEnd w:id="2026"/>
      <w:r>
        <w:rPr/>
      </w:r>
      <w:hyperlink w:history="true" w:anchor="_bookmark1959">
        <w:r>
          <w:rPr>
            <w:color w:val="005DA1"/>
            <w:sz w:val="20"/>
            <w:u w:val="single" w:color="005DA1"/>
            <w:vertAlign w:val="superscript"/>
          </w:rPr>
          <w:t>1060</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3"/>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79,</w:t>
      </w:r>
      <w:r>
        <w:rPr>
          <w:rFonts w:ascii="Arial"/>
          <w:i/>
          <w:spacing w:val="4"/>
          <w:sz w:val="20"/>
          <w:vertAlign w:val="baseline"/>
        </w:rPr>
        <w:t> </w:t>
      </w:r>
      <w:r>
        <w:rPr>
          <w:rFonts w:ascii="Arial"/>
          <w:i/>
          <w:spacing w:val="-5"/>
          <w:sz w:val="20"/>
          <w:vertAlign w:val="baseline"/>
        </w:rPr>
        <w:t>98</w:t>
      </w:r>
      <w:r>
        <w:rPr>
          <w:spacing w:val="-5"/>
          <w:sz w:val="20"/>
          <w:vertAlign w:val="baseline"/>
        </w:rPr>
        <w:t>.</w:t>
      </w:r>
    </w:p>
    <w:p>
      <w:pPr>
        <w:pStyle w:val="BodyText"/>
        <w:spacing w:before="125"/>
      </w:pPr>
    </w:p>
    <w:p>
      <w:pPr>
        <w:spacing w:before="0"/>
        <w:ind w:left="165" w:right="0" w:firstLine="0"/>
        <w:jc w:val="left"/>
        <w:rPr>
          <w:sz w:val="20"/>
        </w:rPr>
      </w:pPr>
      <w:bookmarkStart w:name="_bookmark2025" w:id="2027"/>
      <w:bookmarkEnd w:id="2027"/>
      <w:r>
        <w:rPr/>
      </w:r>
      <w:hyperlink w:history="true" w:anchor="_bookmark1960">
        <w:r>
          <w:rPr>
            <w:color w:val="005DA1"/>
            <w:sz w:val="20"/>
            <w:u w:val="single" w:color="005DA1"/>
            <w:vertAlign w:val="superscript"/>
          </w:rPr>
          <w:t>1061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The</w:t>
      </w:r>
      <w:r>
        <w:rPr>
          <w:spacing w:val="10"/>
          <w:sz w:val="20"/>
          <w:vertAlign w:val="baseline"/>
        </w:rPr>
        <w:t> </w:t>
      </w:r>
      <w:r>
        <w:rPr>
          <w:sz w:val="20"/>
          <w:vertAlign w:val="baseline"/>
        </w:rPr>
        <w:t>cases</w:t>
      </w:r>
      <w:r>
        <w:rPr>
          <w:spacing w:val="9"/>
          <w:sz w:val="20"/>
          <w:vertAlign w:val="baseline"/>
        </w:rPr>
        <w:t> </w:t>
      </w:r>
      <w:r>
        <w:rPr>
          <w:sz w:val="20"/>
          <w:vertAlign w:val="baseline"/>
        </w:rPr>
        <w:t>on</w:t>
      </w:r>
      <w:r>
        <w:rPr>
          <w:spacing w:val="9"/>
          <w:sz w:val="20"/>
          <w:vertAlign w:val="baseline"/>
        </w:rPr>
        <w:t> </w:t>
      </w:r>
      <w:r>
        <w:rPr>
          <w:sz w:val="20"/>
          <w:vertAlign w:val="baseline"/>
        </w:rPr>
        <w:t>covenants</w:t>
      </w:r>
      <w:r>
        <w:rPr>
          <w:spacing w:val="9"/>
          <w:sz w:val="20"/>
          <w:vertAlign w:val="baseline"/>
        </w:rPr>
        <w:t> </w:t>
      </w:r>
      <w:r>
        <w:rPr>
          <w:sz w:val="20"/>
          <w:vertAlign w:val="baseline"/>
        </w:rPr>
        <w:t>in</w:t>
      </w:r>
      <w:r>
        <w:rPr>
          <w:spacing w:val="9"/>
          <w:sz w:val="20"/>
          <w:vertAlign w:val="baseline"/>
        </w:rPr>
        <w:t> </w:t>
      </w:r>
      <w:r>
        <w:rPr>
          <w:sz w:val="20"/>
          <w:vertAlign w:val="baseline"/>
        </w:rPr>
        <w:t>restraint</w:t>
      </w:r>
      <w:r>
        <w:rPr>
          <w:spacing w:val="9"/>
          <w:sz w:val="20"/>
          <w:vertAlign w:val="baseline"/>
        </w:rPr>
        <w:t> </w:t>
      </w:r>
      <w:r>
        <w:rPr>
          <w:sz w:val="20"/>
          <w:vertAlign w:val="baseline"/>
        </w:rPr>
        <w:t>of</w:t>
      </w:r>
      <w:r>
        <w:rPr>
          <w:spacing w:val="9"/>
          <w:sz w:val="20"/>
          <w:vertAlign w:val="baseline"/>
        </w:rPr>
        <w:t> </w:t>
      </w:r>
      <w:r>
        <w:rPr>
          <w:sz w:val="20"/>
          <w:vertAlign w:val="baseline"/>
        </w:rPr>
        <w:t>trade,</w:t>
      </w:r>
      <w:r>
        <w:rPr>
          <w:spacing w:val="9"/>
          <w:sz w:val="20"/>
          <w:vertAlign w:val="baseline"/>
        </w:rPr>
        <w:t> </w:t>
      </w:r>
      <w:r>
        <w:rPr>
          <w:sz w:val="20"/>
          <w:vertAlign w:val="baseline"/>
        </w:rPr>
        <w:t>such</w:t>
      </w:r>
      <w:r>
        <w:rPr>
          <w:spacing w:val="9"/>
          <w:sz w:val="20"/>
          <w:vertAlign w:val="baseline"/>
        </w:rPr>
        <w:t> </w:t>
      </w:r>
      <w:r>
        <w:rPr>
          <w:sz w:val="20"/>
          <w:vertAlign w:val="baseline"/>
        </w:rPr>
        <w:t>as</w:t>
      </w:r>
      <w:r>
        <w:rPr>
          <w:spacing w:val="9"/>
          <w:sz w:val="20"/>
          <w:vertAlign w:val="baseline"/>
        </w:rPr>
        <w:t> </w:t>
      </w:r>
      <w:r>
        <w:rPr>
          <w:rFonts w:ascii="Arial"/>
          <w:i/>
          <w:sz w:val="20"/>
          <w:vertAlign w:val="baseline"/>
        </w:rPr>
        <w:t>Crisdee</w:t>
      </w:r>
      <w:r>
        <w:rPr>
          <w:rFonts w:ascii="Arial"/>
          <w:i/>
          <w:spacing w:val="9"/>
          <w:sz w:val="20"/>
          <w:vertAlign w:val="baseline"/>
        </w:rPr>
        <w:t> </w:t>
      </w:r>
      <w:r>
        <w:rPr>
          <w:rFonts w:ascii="Arial"/>
          <w:i/>
          <w:sz w:val="20"/>
          <w:vertAlign w:val="baseline"/>
        </w:rPr>
        <w:t>v</w:t>
      </w:r>
      <w:r>
        <w:rPr>
          <w:rFonts w:ascii="Arial"/>
          <w:i/>
          <w:spacing w:val="9"/>
          <w:sz w:val="20"/>
          <w:vertAlign w:val="baseline"/>
        </w:rPr>
        <w:t> </w:t>
      </w:r>
      <w:r>
        <w:rPr>
          <w:rFonts w:ascii="Arial"/>
          <w:i/>
          <w:sz w:val="20"/>
          <w:vertAlign w:val="baseline"/>
        </w:rPr>
        <w:t>Bolton</w:t>
      </w:r>
      <w:r>
        <w:rPr>
          <w:rFonts w:ascii="Arial"/>
          <w:i/>
          <w:spacing w:val="10"/>
          <w:sz w:val="20"/>
          <w:vertAlign w:val="baseline"/>
        </w:rPr>
        <w:t> </w:t>
      </w:r>
      <w:r>
        <w:rPr>
          <w:rFonts w:ascii="Arial"/>
          <w:i/>
          <w:sz w:val="20"/>
          <w:vertAlign w:val="baseline"/>
        </w:rPr>
        <w:t>(1827)</w:t>
      </w:r>
      <w:r>
        <w:rPr>
          <w:rFonts w:ascii="Arial"/>
          <w:i/>
          <w:spacing w:val="9"/>
          <w:sz w:val="20"/>
          <w:vertAlign w:val="baseline"/>
        </w:rPr>
        <w:t> </w:t>
      </w:r>
      <w:r>
        <w:rPr>
          <w:rFonts w:ascii="Arial"/>
          <w:i/>
          <w:sz w:val="20"/>
          <w:vertAlign w:val="baseline"/>
        </w:rPr>
        <w:t>3</w:t>
      </w:r>
      <w:r>
        <w:rPr>
          <w:rFonts w:ascii="Arial"/>
          <w:i/>
          <w:spacing w:val="9"/>
          <w:sz w:val="20"/>
          <w:vertAlign w:val="baseline"/>
        </w:rPr>
        <w:t> </w:t>
      </w:r>
      <w:r>
        <w:rPr>
          <w:rFonts w:ascii="Arial"/>
          <w:i/>
          <w:sz w:val="20"/>
          <w:vertAlign w:val="baseline"/>
        </w:rPr>
        <w:t>C.</w:t>
      </w:r>
      <w:r>
        <w:rPr>
          <w:rFonts w:ascii="Arial"/>
          <w:i/>
          <w:spacing w:val="9"/>
          <w:sz w:val="20"/>
          <w:vertAlign w:val="baseline"/>
        </w:rPr>
        <w:t> </w:t>
      </w:r>
      <w:r>
        <w:rPr>
          <w:rFonts w:ascii="Arial"/>
          <w:i/>
          <w:sz w:val="20"/>
          <w:vertAlign w:val="baseline"/>
        </w:rPr>
        <w:t>&amp;</w:t>
      </w:r>
      <w:r>
        <w:rPr>
          <w:rFonts w:ascii="Arial"/>
          <w:i/>
          <w:spacing w:val="9"/>
          <w:sz w:val="20"/>
          <w:vertAlign w:val="baseline"/>
        </w:rPr>
        <w:t> </w:t>
      </w:r>
      <w:r>
        <w:rPr>
          <w:rFonts w:ascii="Arial"/>
          <w:i/>
          <w:sz w:val="20"/>
          <w:vertAlign w:val="baseline"/>
        </w:rPr>
        <w:t>P.</w:t>
      </w:r>
      <w:r>
        <w:rPr>
          <w:rFonts w:ascii="Arial"/>
          <w:i/>
          <w:spacing w:val="9"/>
          <w:sz w:val="20"/>
          <w:vertAlign w:val="baseline"/>
        </w:rPr>
        <w:t> </w:t>
      </w:r>
      <w:r>
        <w:rPr>
          <w:rFonts w:ascii="Arial"/>
          <w:i/>
          <w:spacing w:val="-4"/>
          <w:sz w:val="20"/>
          <w:vertAlign w:val="baseline"/>
        </w:rPr>
        <w:t>240</w:t>
      </w:r>
      <w:r>
        <w:rPr>
          <w:spacing w:val="-4"/>
          <w:sz w:val="20"/>
          <w:vertAlign w:val="baseline"/>
        </w:rPr>
        <w:t>;</w:t>
      </w:r>
    </w:p>
    <w:p>
      <w:pPr>
        <w:spacing w:after="0"/>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Price v Green (1847) 16 M. &amp; W. 346, 354</w:t>
      </w:r>
      <w:r>
        <w:rPr>
          <w:sz w:val="20"/>
        </w:rPr>
        <w:t>; </w:t>
      </w:r>
      <w:r>
        <w:rPr>
          <w:rFonts w:ascii="Arial" w:hAnsi="Arial"/>
          <w:i/>
          <w:sz w:val="20"/>
        </w:rPr>
        <w:t>Reynolds v Bridge (1856) 6 E. &amp; B. 528, 541</w:t>
      </w:r>
      <w:r>
        <w:rPr>
          <w:sz w:val="20"/>
        </w:rPr>
        <w:t>, have generally treated the sum payable for a breach as a sum stipulated for the breach of a single obligation, although it “is capable of being broken more than once, or in more ways than one”: </w:t>
      </w:r>
      <w:r>
        <w:rPr>
          <w:rFonts w:ascii="Arial" w:hAnsi="Arial"/>
          <w:i/>
          <w:sz w:val="20"/>
        </w:rPr>
        <w:t>Dunlop Pneumatic Tyre Co Ltd v New Garage &amp; Motor Co Ltd [1915] A.C. 79, 98 </w:t>
      </w:r>
      <w:r>
        <w:rPr>
          <w:sz w:val="20"/>
        </w:rPr>
        <w:t>(see also at 92–93); </w:t>
      </w:r>
      <w:r>
        <w:rPr>
          <w:rFonts w:ascii="Arial" w:hAnsi="Arial"/>
          <w:i/>
          <w:sz w:val="20"/>
        </w:rPr>
        <w:t>Law v Redditch Local Board [1892] 1 Q.B. 127, 136</w:t>
      </w:r>
      <w:r>
        <w:rPr>
          <w:sz w:val="20"/>
        </w:rPr>
        <w:t>.</w:t>
      </w:r>
    </w:p>
    <w:p>
      <w:pPr>
        <w:pStyle w:val="BodyText"/>
        <w:spacing w:before="128"/>
      </w:pPr>
    </w:p>
    <w:p>
      <w:pPr>
        <w:spacing w:line="235" w:lineRule="auto" w:before="0"/>
        <w:ind w:left="705" w:right="167" w:hanging="541"/>
        <w:jc w:val="both"/>
        <w:rPr>
          <w:sz w:val="20"/>
        </w:rPr>
      </w:pPr>
      <w:bookmarkStart w:name="_bookmark2026" w:id="2028"/>
      <w:bookmarkEnd w:id="2028"/>
      <w:r>
        <w:rPr/>
      </w:r>
      <w:hyperlink w:history="true" w:anchor="_bookmark1961">
        <w:r>
          <w:rPr>
            <w:color w:val="005DA1"/>
            <w:sz w:val="20"/>
            <w:u w:val="single" w:color="005DA1"/>
            <w:vertAlign w:val="superscript"/>
          </w:rPr>
          <w:t>1062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Cleeve Link Ltd v Bryla [2014] I.R.L.R. 86 (EAT) </w:t>
      </w:r>
      <w:r>
        <w:rPr>
          <w:sz w:val="20"/>
          <w:vertAlign w:val="baseline"/>
        </w:rPr>
        <w:t>(clause upheld when not extravagant in relation to maximum loss, though loss would vary significantly depending on how soon breach </w:t>
      </w:r>
      <w:r>
        <w:rPr>
          <w:spacing w:val="-2"/>
          <w:sz w:val="20"/>
          <w:vertAlign w:val="baseline"/>
        </w:rPr>
        <w:t>occurred).</w:t>
      </w:r>
    </w:p>
    <w:p>
      <w:pPr>
        <w:pStyle w:val="BodyText"/>
        <w:spacing w:before="125"/>
      </w:pPr>
    </w:p>
    <w:p>
      <w:pPr>
        <w:spacing w:before="0"/>
        <w:ind w:left="165" w:right="0" w:firstLine="0"/>
        <w:jc w:val="left"/>
        <w:rPr>
          <w:sz w:val="20"/>
        </w:rPr>
      </w:pPr>
      <w:bookmarkStart w:name="_bookmark2027" w:id="2029"/>
      <w:bookmarkEnd w:id="2029"/>
      <w:r>
        <w:rPr/>
      </w:r>
      <w:hyperlink w:history="true" w:anchor="_bookmark1962">
        <w:r>
          <w:rPr>
            <w:color w:val="005DA1"/>
            <w:sz w:val="20"/>
            <w:u w:val="single" w:color="005DA1"/>
            <w:vertAlign w:val="superscript"/>
          </w:rPr>
          <w:t>1063</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2"/>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1172</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[255].</w:t>
      </w:r>
    </w:p>
    <w:p>
      <w:pPr>
        <w:pStyle w:val="BodyText"/>
        <w:spacing w:before="125"/>
      </w:pPr>
    </w:p>
    <w:p>
      <w:pPr>
        <w:spacing w:before="1"/>
        <w:ind w:left="165" w:right="0" w:firstLine="0"/>
        <w:jc w:val="left"/>
        <w:rPr>
          <w:sz w:val="20"/>
        </w:rPr>
      </w:pPr>
      <w:bookmarkStart w:name="_bookmark2028" w:id="2030"/>
      <w:bookmarkEnd w:id="2030"/>
      <w:r>
        <w:rPr/>
      </w:r>
      <w:hyperlink w:history="true" w:anchor="_bookmark1963">
        <w:r>
          <w:rPr>
            <w:color w:val="005DA1"/>
            <w:sz w:val="20"/>
            <w:u w:val="single" w:color="005DA1"/>
            <w:vertAlign w:val="superscript"/>
          </w:rPr>
          <w:t>1064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Makdessi</w:t>
      </w:r>
      <w:r>
        <w:rPr>
          <w:rFonts w:ascii="Arial" w:hAnsi="Arial"/>
          <w:i/>
          <w:spacing w:val="3"/>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Cavendish</w:t>
      </w:r>
      <w:r>
        <w:rPr>
          <w:rFonts w:ascii="Arial" w:hAnsi="Arial"/>
          <w:i/>
          <w:spacing w:val="2"/>
          <w:sz w:val="20"/>
          <w:vertAlign w:val="baseline"/>
        </w:rPr>
        <w:t> </w:t>
      </w:r>
      <w:r>
        <w:rPr>
          <w:rFonts w:ascii="Arial" w:hAnsi="Arial"/>
          <w:i/>
          <w:sz w:val="20"/>
          <w:vertAlign w:val="baseline"/>
        </w:rPr>
        <w:t>Square</w:t>
      </w:r>
      <w:r>
        <w:rPr>
          <w:rFonts w:ascii="Arial" w:hAnsi="Arial"/>
          <w:i/>
          <w:spacing w:val="1"/>
          <w:sz w:val="20"/>
          <w:vertAlign w:val="baseline"/>
        </w:rPr>
        <w:t> </w:t>
      </w:r>
      <w:r>
        <w:rPr>
          <w:rFonts w:ascii="Arial" w:hAnsi="Arial"/>
          <w:i/>
          <w:sz w:val="20"/>
          <w:vertAlign w:val="baseline"/>
        </w:rPr>
        <w:t>Holdings</w:t>
      </w:r>
      <w:r>
        <w:rPr>
          <w:rFonts w:ascii="Arial" w:hAnsi="Arial"/>
          <w:i/>
          <w:spacing w:val="2"/>
          <w:sz w:val="20"/>
          <w:vertAlign w:val="baseline"/>
        </w:rPr>
        <w:t> </w:t>
      </w:r>
      <w:r>
        <w:rPr>
          <w:rFonts w:ascii="Arial" w:hAnsi="Arial"/>
          <w:i/>
          <w:sz w:val="20"/>
          <w:vertAlign w:val="baseline"/>
        </w:rPr>
        <w:t>BV</w:t>
      </w:r>
      <w:r>
        <w:rPr>
          <w:rFonts w:ascii="Arial" w:hAnsi="Arial"/>
          <w:i/>
          <w:spacing w:val="1"/>
          <w:sz w:val="20"/>
          <w:vertAlign w:val="baseline"/>
        </w:rPr>
        <w:t> </w:t>
      </w:r>
      <w:r>
        <w:rPr>
          <w:rFonts w:ascii="Arial" w:hAnsi="Arial"/>
          <w:i/>
          <w:sz w:val="20"/>
          <w:vertAlign w:val="baseline"/>
        </w:rPr>
        <w:t>[2013]</w:t>
      </w:r>
      <w:r>
        <w:rPr>
          <w:rFonts w:ascii="Arial" w:hAnsi="Arial"/>
          <w:i/>
          <w:spacing w:val="2"/>
          <w:sz w:val="20"/>
          <w:vertAlign w:val="baseline"/>
        </w:rPr>
        <w:t> </w:t>
      </w:r>
      <w:r>
        <w:rPr>
          <w:rFonts w:ascii="Arial" w:hAnsi="Arial"/>
          <w:i/>
          <w:sz w:val="20"/>
          <w:vertAlign w:val="baseline"/>
        </w:rPr>
        <w:t>EWCA</w:t>
      </w:r>
      <w:r>
        <w:rPr>
          <w:rFonts w:ascii="Arial" w:hAnsi="Arial"/>
          <w:i/>
          <w:spacing w:val="1"/>
          <w:sz w:val="20"/>
          <w:vertAlign w:val="baseline"/>
        </w:rPr>
        <w:t> </w:t>
      </w:r>
      <w:r>
        <w:rPr>
          <w:rFonts w:ascii="Arial" w:hAnsi="Arial"/>
          <w:i/>
          <w:sz w:val="20"/>
          <w:vertAlign w:val="baseline"/>
        </w:rPr>
        <w:t>Civ</w:t>
      </w:r>
      <w:r>
        <w:rPr>
          <w:rFonts w:ascii="Arial" w:hAnsi="Arial"/>
          <w:i/>
          <w:spacing w:val="2"/>
          <w:sz w:val="20"/>
          <w:vertAlign w:val="baseline"/>
        </w:rPr>
        <w:t> </w:t>
      </w:r>
      <w:r>
        <w:rPr>
          <w:rFonts w:ascii="Arial" w:hAnsi="Arial"/>
          <w:i/>
          <w:sz w:val="20"/>
          <w:vertAlign w:val="baseline"/>
        </w:rPr>
        <w:t>1539 </w:t>
      </w:r>
      <w:r>
        <w:rPr>
          <w:sz w:val="20"/>
          <w:vertAlign w:val="baseline"/>
        </w:rPr>
        <w:t>at</w:t>
      </w:r>
      <w:r>
        <w:rPr>
          <w:spacing w:val="2"/>
          <w:sz w:val="20"/>
          <w:vertAlign w:val="baseline"/>
        </w:rPr>
        <w:t> </w:t>
      </w:r>
      <w:r>
        <w:rPr>
          <w:spacing w:val="-2"/>
          <w:sz w:val="20"/>
          <w:vertAlign w:val="baseline"/>
        </w:rPr>
        <w:t>[73]–[74].</w:t>
      </w:r>
    </w:p>
    <w:p>
      <w:pPr>
        <w:pStyle w:val="BodyText"/>
        <w:spacing w:before="128"/>
      </w:pPr>
    </w:p>
    <w:p>
      <w:pPr>
        <w:pStyle w:val="BodyText"/>
        <w:spacing w:line="235" w:lineRule="auto"/>
        <w:ind w:left="705" w:right="168" w:hanging="541"/>
        <w:jc w:val="both"/>
      </w:pPr>
      <w:bookmarkStart w:name="_bookmark2029" w:id="2031"/>
      <w:bookmarkEnd w:id="2031"/>
      <w:r>
        <w:rPr/>
      </w:r>
      <w:hyperlink w:history="true" w:anchor="_bookmark1964">
        <w:r>
          <w:rPr>
            <w:color w:val="005DA1"/>
            <w:u w:val="single" w:color="005DA1"/>
            <w:vertAlign w:val="superscript"/>
          </w:rPr>
          <w:t>1065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15" name="Image 615"/>
            <wp:cNvGraphicFramePr>
              <a:graphicFrameLocks/>
            </wp:cNvGraphicFramePr>
            <a:graphic>
              <a:graphicData uri="http://schemas.openxmlformats.org/drawingml/2006/picture">
                <pic:pic>
                  <pic:nvPicPr>
                    <pic:cNvPr id="615" name="Image 6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[1962] A.C. 600</w:t>
      </w:r>
      <w:r>
        <w:rPr>
          <w:vertAlign w:val="baseline"/>
        </w:rPr>
        <w:t>. (“It is a sliding scale of compensation, but a scale that slides in the wrong direction”: at 623.)</w:t>
      </w:r>
    </w:p>
    <w:p>
      <w:pPr>
        <w:pStyle w:val="BodyText"/>
        <w:spacing w:before="129"/>
      </w:pPr>
    </w:p>
    <w:p>
      <w:pPr>
        <w:spacing w:line="235" w:lineRule="auto" w:before="1"/>
        <w:ind w:left="705" w:right="168" w:hanging="541"/>
        <w:jc w:val="both"/>
        <w:rPr>
          <w:sz w:val="20"/>
        </w:rPr>
      </w:pPr>
      <w:bookmarkStart w:name="_bookmark2030" w:id="2032"/>
      <w:bookmarkEnd w:id="2032"/>
      <w:r>
        <w:rPr/>
      </w:r>
      <w:hyperlink w:history="true" w:anchor="_bookmark1965">
        <w:r>
          <w:rPr>
            <w:color w:val="005DA1"/>
            <w:sz w:val="20"/>
            <w:u w:val="single" w:color="005DA1"/>
            <w:vertAlign w:val="superscript"/>
          </w:rPr>
          <w:t>1066</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616" name="Image 616"/>
            <wp:cNvGraphicFramePr>
              <a:graphicFrameLocks/>
            </wp:cNvGraphicFramePr>
            <a:graphic>
              <a:graphicData uri="http://schemas.openxmlformats.org/drawingml/2006/picture">
                <pic:pic>
                  <pic:nvPicPr>
                    <pic:cNvPr id="616" name="Image 6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w:t>
      </w:r>
      <w:r>
        <w:rPr>
          <w:rFonts w:ascii="Arial" w:hAnsi="Arial"/>
          <w:i/>
          <w:sz w:val="20"/>
          <w:vertAlign w:val="baseline"/>
        </w:rPr>
        <w:t>Makdessi v Cavendish Square Holdings BV [2013] EWCA Civ 1539 </w:t>
      </w:r>
      <w:r>
        <w:rPr>
          <w:sz w:val="20"/>
          <w:vertAlign w:val="baseline"/>
        </w:rPr>
        <w:t>at [72], where Christopher Clarke L.J. added that “there may be some tension between” the two speeches.</w:t>
      </w:r>
    </w:p>
    <w:p>
      <w:pPr>
        <w:pStyle w:val="BodyText"/>
        <w:spacing w:before="125"/>
      </w:pPr>
    </w:p>
    <w:p>
      <w:pPr>
        <w:pStyle w:val="BodyText"/>
        <w:ind w:left="165"/>
      </w:pPr>
      <w:bookmarkStart w:name="_bookmark2031" w:id="2033"/>
      <w:bookmarkEnd w:id="2033"/>
      <w:r>
        <w:rPr/>
      </w:r>
      <w:hyperlink w:history="true" w:anchor="_bookmark1966">
        <w:r>
          <w:rPr>
            <w:color w:val="005DA1"/>
            <w:u w:val="single" w:color="005DA1"/>
            <w:vertAlign w:val="superscript"/>
          </w:rPr>
          <w:t>1067</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617" name="Image 617"/>
            <wp:cNvGraphicFramePr>
              <a:graphicFrameLocks/>
            </wp:cNvGraphicFramePr>
            <a:graphic>
              <a:graphicData uri="http://schemas.openxmlformats.org/drawingml/2006/picture">
                <pic:pic>
                  <pic:nvPicPr>
                    <pic:cNvPr id="617" name="Image 6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further</w:t>
      </w:r>
      <w:r>
        <w:rPr>
          <w:spacing w:val="2"/>
          <w:vertAlign w:val="baseline"/>
        </w:rPr>
        <w:t> </w:t>
      </w:r>
      <w:r>
        <w:rPr>
          <w:vertAlign w:val="baseline"/>
        </w:rPr>
        <w:t>below,</w:t>
      </w:r>
      <w:r>
        <w:rPr>
          <w:spacing w:val="3"/>
          <w:vertAlign w:val="baseline"/>
        </w:rPr>
        <w:t> </w:t>
      </w:r>
      <w:r>
        <w:rPr>
          <w:vertAlign w:val="baseline"/>
        </w:rPr>
        <w:t>paras</w:t>
      </w:r>
      <w:r>
        <w:rPr>
          <w:spacing w:val="2"/>
          <w:vertAlign w:val="baseline"/>
        </w:rPr>
        <w:t> </w:t>
      </w:r>
      <w:r>
        <w:rPr>
          <w:vertAlign w:val="baseline"/>
        </w:rPr>
        <w:t>26-196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9"/>
      </w:pPr>
    </w:p>
    <w:p>
      <w:pPr>
        <w:spacing w:line="235" w:lineRule="auto" w:before="0"/>
        <w:ind w:left="705" w:right="167" w:hanging="541"/>
        <w:jc w:val="both"/>
        <w:rPr>
          <w:rFonts w:ascii="Arial"/>
          <w:i/>
          <w:sz w:val="20"/>
        </w:rPr>
      </w:pPr>
      <w:bookmarkStart w:name="_bookmark2032" w:id="2034"/>
      <w:bookmarkEnd w:id="2034"/>
      <w:r>
        <w:rPr/>
      </w:r>
      <w:hyperlink w:history="true" w:anchor="_bookmark1967">
        <w:r>
          <w:rPr>
            <w:color w:val="005DA1"/>
            <w:sz w:val="20"/>
            <w:u w:val="single" w:color="005DA1"/>
            <w:vertAlign w:val="superscript"/>
          </w:rPr>
          <w:t>1068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Clydebank Engineering Co v Don Jose Ramos Yzquierdo y Castaneda [1905] A.C. 6</w:t>
      </w:r>
      <w:r>
        <w:rPr>
          <w:sz w:val="20"/>
          <w:vertAlign w:val="baseline"/>
        </w:rPr>
        <w:t>; </w:t>
      </w:r>
      <w:r>
        <w:rPr>
          <w:rFonts w:ascii="Arial"/>
          <w:i/>
          <w:sz w:val="20"/>
          <w:vertAlign w:val="baseline"/>
        </w:rPr>
        <w:t>Philips Hong Kong Ltd v Att-Gen of Hong Kong (1993) 61 Build. L.R. 49, 60 (PC)</w:t>
      </w:r>
      <w:r>
        <w:rPr>
          <w:sz w:val="20"/>
          <w:vertAlign w:val="baseline"/>
        </w:rPr>
        <w:t>; </w:t>
      </w:r>
      <w:r>
        <w:rPr>
          <w:rFonts w:ascii="Arial"/>
          <w:i/>
          <w:sz w:val="20"/>
          <w:vertAlign w:val="baseline"/>
        </w:rPr>
        <w:t>Alfred McAlpine Capital Projects Ltd v Tilebox Ltd [2005] Build. L.R. 271 (TCC)</w:t>
      </w:r>
      <w:r>
        <w:rPr>
          <w:sz w:val="20"/>
          <w:vertAlign w:val="baseline"/>
        </w:rPr>
        <w:t>. See also </w:t>
      </w:r>
      <w:r>
        <w:rPr>
          <w:rFonts w:ascii="Arial"/>
          <w:i/>
          <w:sz w:val="20"/>
          <w:vertAlign w:val="baseline"/>
        </w:rPr>
        <w:t>Law v Redditch Local Board</w:t>
      </w:r>
      <w:r>
        <w:rPr>
          <w:rFonts w:ascii="Arial"/>
          <w:i/>
          <w:spacing w:val="24"/>
          <w:sz w:val="20"/>
          <w:vertAlign w:val="baseline"/>
        </w:rPr>
        <w:t> </w:t>
      </w:r>
      <w:r>
        <w:rPr>
          <w:rFonts w:ascii="Arial"/>
          <w:i/>
          <w:sz w:val="20"/>
          <w:vertAlign w:val="baseline"/>
        </w:rPr>
        <w:t>[1892]</w:t>
      </w:r>
      <w:r>
        <w:rPr>
          <w:rFonts w:ascii="Arial"/>
          <w:i/>
          <w:spacing w:val="25"/>
          <w:sz w:val="20"/>
          <w:vertAlign w:val="baseline"/>
        </w:rPr>
        <w:t> </w:t>
      </w:r>
      <w:r>
        <w:rPr>
          <w:rFonts w:ascii="Arial"/>
          <w:i/>
          <w:sz w:val="20"/>
          <w:vertAlign w:val="baseline"/>
        </w:rPr>
        <w:t>1</w:t>
      </w:r>
      <w:r>
        <w:rPr>
          <w:rFonts w:ascii="Arial"/>
          <w:i/>
          <w:spacing w:val="25"/>
          <w:sz w:val="20"/>
          <w:vertAlign w:val="baseline"/>
        </w:rPr>
        <w:t> </w:t>
      </w:r>
      <w:r>
        <w:rPr>
          <w:rFonts w:ascii="Arial"/>
          <w:i/>
          <w:sz w:val="20"/>
          <w:vertAlign w:val="baseline"/>
        </w:rPr>
        <w:t>Q.B.</w:t>
      </w:r>
      <w:r>
        <w:rPr>
          <w:rFonts w:ascii="Arial"/>
          <w:i/>
          <w:spacing w:val="25"/>
          <w:sz w:val="20"/>
          <w:vertAlign w:val="baseline"/>
        </w:rPr>
        <w:t> </w:t>
      </w:r>
      <w:r>
        <w:rPr>
          <w:rFonts w:ascii="Arial"/>
          <w:i/>
          <w:sz w:val="20"/>
          <w:vertAlign w:val="baseline"/>
        </w:rPr>
        <w:t>127</w:t>
      </w:r>
      <w:r>
        <w:rPr>
          <w:sz w:val="20"/>
          <w:vertAlign w:val="baseline"/>
        </w:rPr>
        <w:t>;</w:t>
      </w:r>
      <w:r>
        <w:rPr>
          <w:spacing w:val="25"/>
          <w:sz w:val="20"/>
          <w:vertAlign w:val="baseline"/>
        </w:rPr>
        <w:t> </w:t>
      </w:r>
      <w:r>
        <w:rPr>
          <w:rFonts w:ascii="Arial"/>
          <w:i/>
          <w:sz w:val="20"/>
          <w:vertAlign w:val="baseline"/>
        </w:rPr>
        <w:t>Cellulose</w:t>
      </w:r>
      <w:r>
        <w:rPr>
          <w:rFonts w:ascii="Arial"/>
          <w:i/>
          <w:spacing w:val="25"/>
          <w:sz w:val="20"/>
          <w:vertAlign w:val="baseline"/>
        </w:rPr>
        <w:t> </w:t>
      </w:r>
      <w:r>
        <w:rPr>
          <w:rFonts w:ascii="Arial"/>
          <w:i/>
          <w:sz w:val="20"/>
          <w:vertAlign w:val="baseline"/>
        </w:rPr>
        <w:t>Acetate</w:t>
      </w:r>
      <w:r>
        <w:rPr>
          <w:rFonts w:ascii="Arial"/>
          <w:i/>
          <w:spacing w:val="25"/>
          <w:sz w:val="20"/>
          <w:vertAlign w:val="baseline"/>
        </w:rPr>
        <w:t> </w:t>
      </w:r>
      <w:r>
        <w:rPr>
          <w:rFonts w:ascii="Arial"/>
          <w:i/>
          <w:sz w:val="20"/>
          <w:vertAlign w:val="baseline"/>
        </w:rPr>
        <w:t>Silk</w:t>
      </w:r>
      <w:r>
        <w:rPr>
          <w:rFonts w:ascii="Arial"/>
          <w:i/>
          <w:spacing w:val="25"/>
          <w:sz w:val="20"/>
          <w:vertAlign w:val="baseline"/>
        </w:rPr>
        <w:t> </w:t>
      </w:r>
      <w:r>
        <w:rPr>
          <w:rFonts w:ascii="Arial"/>
          <w:i/>
          <w:sz w:val="20"/>
          <w:vertAlign w:val="baseline"/>
        </w:rPr>
        <w:t>Co</w:t>
      </w:r>
      <w:r>
        <w:rPr>
          <w:rFonts w:ascii="Arial"/>
          <w:i/>
          <w:spacing w:val="25"/>
          <w:sz w:val="20"/>
          <w:vertAlign w:val="baseline"/>
        </w:rPr>
        <w:t> </w:t>
      </w:r>
      <w:r>
        <w:rPr>
          <w:rFonts w:ascii="Arial"/>
          <w:i/>
          <w:sz w:val="20"/>
          <w:vertAlign w:val="baseline"/>
        </w:rPr>
        <w:t>Ltd</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Widnes</w:t>
      </w:r>
      <w:r>
        <w:rPr>
          <w:rFonts w:ascii="Arial"/>
          <w:i/>
          <w:spacing w:val="25"/>
          <w:sz w:val="20"/>
          <w:vertAlign w:val="baseline"/>
        </w:rPr>
        <w:t> </w:t>
      </w:r>
      <w:r>
        <w:rPr>
          <w:rFonts w:ascii="Arial"/>
          <w:i/>
          <w:sz w:val="20"/>
          <w:vertAlign w:val="baseline"/>
        </w:rPr>
        <w:t>Foundry</w:t>
      </w:r>
      <w:r>
        <w:rPr>
          <w:rFonts w:ascii="Arial"/>
          <w:i/>
          <w:spacing w:val="25"/>
          <w:sz w:val="20"/>
          <w:vertAlign w:val="baseline"/>
        </w:rPr>
        <w:t> </w:t>
      </w:r>
      <w:r>
        <w:rPr>
          <w:rFonts w:ascii="Arial"/>
          <w:i/>
          <w:sz w:val="20"/>
          <w:vertAlign w:val="baseline"/>
        </w:rPr>
        <w:t>(1925)</w:t>
      </w:r>
      <w:r>
        <w:rPr>
          <w:rFonts w:ascii="Arial"/>
          <w:i/>
          <w:spacing w:val="25"/>
          <w:sz w:val="20"/>
          <w:vertAlign w:val="baseline"/>
        </w:rPr>
        <w:t> </w:t>
      </w:r>
      <w:r>
        <w:rPr>
          <w:rFonts w:ascii="Arial"/>
          <w:i/>
          <w:sz w:val="20"/>
          <w:vertAlign w:val="baseline"/>
        </w:rPr>
        <w:t>Ltd</w:t>
      </w:r>
      <w:r>
        <w:rPr>
          <w:rFonts w:ascii="Arial"/>
          <w:i/>
          <w:spacing w:val="25"/>
          <w:sz w:val="20"/>
          <w:vertAlign w:val="baseline"/>
        </w:rPr>
        <w:t> </w:t>
      </w:r>
      <w:r>
        <w:rPr>
          <w:rFonts w:ascii="Arial"/>
          <w:i/>
          <w:spacing w:val="-2"/>
          <w:sz w:val="20"/>
          <w:vertAlign w:val="baseline"/>
        </w:rPr>
        <w:t>[1933]</w:t>
      </w:r>
    </w:p>
    <w:p>
      <w:pPr>
        <w:spacing w:line="235" w:lineRule="auto" w:before="0"/>
        <w:ind w:left="705" w:right="167" w:firstLine="0"/>
        <w:jc w:val="both"/>
        <w:rPr>
          <w:rFonts w:ascii="Arial"/>
          <w:i/>
          <w:sz w:val="20"/>
        </w:rPr>
      </w:pPr>
      <w:r>
        <w:rPr>
          <w:rFonts w:ascii="Arial"/>
          <w:i/>
          <w:sz w:val="20"/>
        </w:rPr>
        <w:t>A.C. 20 </w:t>
      </w:r>
      <w:r>
        <w:rPr>
          <w:sz w:val="20"/>
        </w:rPr>
        <w:t>(above, para.26-180). The party entitled to the benefit of a liquidated damages clause</w:t>
      </w:r>
      <w:r>
        <w:rPr>
          <w:spacing w:val="40"/>
          <w:sz w:val="20"/>
        </w:rPr>
        <w:t> </w:t>
      </w:r>
      <w:r>
        <w:rPr>
          <w:sz w:val="20"/>
        </w:rPr>
        <w:t>in the event of failure to complete on time cannot take advantage of it if the delay is partly due</w:t>
      </w:r>
      <w:r>
        <w:rPr>
          <w:spacing w:val="40"/>
          <w:sz w:val="20"/>
        </w:rPr>
        <w:t> </w:t>
      </w:r>
      <w:r>
        <w:rPr>
          <w:sz w:val="20"/>
        </w:rPr>
        <w:t>to</w:t>
      </w:r>
      <w:r>
        <w:rPr>
          <w:spacing w:val="43"/>
          <w:sz w:val="20"/>
        </w:rPr>
        <w:t> </w:t>
      </w:r>
      <w:r>
        <w:rPr>
          <w:sz w:val="20"/>
        </w:rPr>
        <w:t>his</w:t>
      </w:r>
      <w:r>
        <w:rPr>
          <w:spacing w:val="43"/>
          <w:sz w:val="20"/>
        </w:rPr>
        <w:t> </w:t>
      </w:r>
      <w:r>
        <w:rPr>
          <w:sz w:val="20"/>
        </w:rPr>
        <w:t>own</w:t>
      </w:r>
      <w:r>
        <w:rPr>
          <w:spacing w:val="43"/>
          <w:sz w:val="20"/>
        </w:rPr>
        <w:t> </w:t>
      </w:r>
      <w:r>
        <w:rPr>
          <w:sz w:val="20"/>
        </w:rPr>
        <w:t>fault:</w:t>
      </w:r>
      <w:r>
        <w:rPr>
          <w:spacing w:val="43"/>
          <w:sz w:val="20"/>
        </w:rPr>
        <w:t> </w:t>
      </w:r>
      <w:r>
        <w:rPr>
          <w:rFonts w:ascii="Arial"/>
          <w:i/>
          <w:sz w:val="20"/>
        </w:rPr>
        <w:t>Peak</w:t>
      </w:r>
      <w:r>
        <w:rPr>
          <w:rFonts w:ascii="Arial"/>
          <w:i/>
          <w:spacing w:val="43"/>
          <w:sz w:val="20"/>
        </w:rPr>
        <w:t> </w:t>
      </w:r>
      <w:r>
        <w:rPr>
          <w:rFonts w:ascii="Arial"/>
          <w:i/>
          <w:sz w:val="20"/>
        </w:rPr>
        <w:t>Construction</w:t>
      </w:r>
      <w:r>
        <w:rPr>
          <w:rFonts w:ascii="Arial"/>
          <w:i/>
          <w:spacing w:val="43"/>
          <w:sz w:val="20"/>
        </w:rPr>
        <w:t> </w:t>
      </w:r>
      <w:r>
        <w:rPr>
          <w:rFonts w:ascii="Arial"/>
          <w:i/>
          <w:sz w:val="20"/>
        </w:rPr>
        <w:t>(Liverpool)</w:t>
      </w:r>
      <w:r>
        <w:rPr>
          <w:rFonts w:ascii="Arial"/>
          <w:i/>
          <w:spacing w:val="43"/>
          <w:sz w:val="20"/>
        </w:rPr>
        <w:t> </w:t>
      </w:r>
      <w:r>
        <w:rPr>
          <w:rFonts w:ascii="Arial"/>
          <w:i/>
          <w:sz w:val="20"/>
        </w:rPr>
        <w:t>Ltd</w:t>
      </w:r>
      <w:r>
        <w:rPr>
          <w:rFonts w:ascii="Arial"/>
          <w:i/>
          <w:spacing w:val="43"/>
          <w:sz w:val="20"/>
        </w:rPr>
        <w:t> </w:t>
      </w:r>
      <w:r>
        <w:rPr>
          <w:rFonts w:ascii="Arial"/>
          <w:i/>
          <w:sz w:val="20"/>
        </w:rPr>
        <w:t>v</w:t>
      </w:r>
      <w:r>
        <w:rPr>
          <w:rFonts w:ascii="Arial"/>
          <w:i/>
          <w:spacing w:val="43"/>
          <w:sz w:val="20"/>
        </w:rPr>
        <w:t> </w:t>
      </w:r>
      <w:r>
        <w:rPr>
          <w:rFonts w:ascii="Arial"/>
          <w:i/>
          <w:sz w:val="20"/>
        </w:rPr>
        <w:t>McKinney</w:t>
      </w:r>
      <w:r>
        <w:rPr>
          <w:rFonts w:ascii="Arial"/>
          <w:i/>
          <w:spacing w:val="43"/>
          <w:sz w:val="20"/>
        </w:rPr>
        <w:t> </w:t>
      </w:r>
      <w:r>
        <w:rPr>
          <w:rFonts w:ascii="Arial"/>
          <w:i/>
          <w:sz w:val="20"/>
        </w:rPr>
        <w:t>Foundations</w:t>
      </w:r>
      <w:r>
        <w:rPr>
          <w:rFonts w:ascii="Arial"/>
          <w:i/>
          <w:spacing w:val="43"/>
          <w:sz w:val="20"/>
        </w:rPr>
        <w:t> </w:t>
      </w:r>
      <w:r>
        <w:rPr>
          <w:rFonts w:ascii="Arial"/>
          <w:i/>
          <w:sz w:val="20"/>
        </w:rPr>
        <w:t>Ltd</w:t>
      </w:r>
      <w:r>
        <w:rPr>
          <w:rFonts w:ascii="Arial"/>
          <w:i/>
          <w:spacing w:val="43"/>
          <w:sz w:val="20"/>
        </w:rPr>
        <w:t> </w:t>
      </w:r>
      <w:r>
        <w:rPr>
          <w:rFonts w:ascii="Arial"/>
          <w:i/>
          <w:sz w:val="20"/>
        </w:rPr>
        <w:t>(1971)</w:t>
      </w:r>
      <w:r>
        <w:rPr>
          <w:rFonts w:ascii="Arial"/>
          <w:i/>
          <w:spacing w:val="43"/>
          <w:sz w:val="20"/>
        </w:rPr>
        <w:t> </w:t>
      </w:r>
      <w:r>
        <w:rPr>
          <w:rFonts w:ascii="Arial"/>
          <w:i/>
          <w:spacing w:val="-5"/>
          <w:sz w:val="20"/>
        </w:rPr>
        <w:t>6</w:t>
      </w:r>
      <w:r>
        <w:rPr>
          <w:rFonts w:ascii="Arial"/>
          <w:i/>
          <w:spacing w:val="-5"/>
          <w:sz w:val="20"/>
        </w:rPr>
        <w:t>9</w:t>
      </w:r>
    </w:p>
    <w:p>
      <w:pPr>
        <w:pStyle w:val="BodyText"/>
        <w:spacing w:line="223" w:lineRule="exact"/>
        <w:ind w:left="705"/>
        <w:jc w:val="both"/>
      </w:pPr>
      <w:r>
        <w:rPr>
          <w:rFonts w:ascii="Arial"/>
          <w:i/>
        </w:rPr>
        <w:t>L.G.R.</w:t>
      </w:r>
      <w:r>
        <w:rPr>
          <w:rFonts w:ascii="Arial"/>
          <w:i/>
          <w:spacing w:val="15"/>
        </w:rPr>
        <w:t> </w:t>
      </w:r>
      <w:r>
        <w:rPr>
          <w:rFonts w:ascii="Arial"/>
          <w:i/>
        </w:rPr>
        <w:t>1,</w:t>
      </w:r>
      <w:r>
        <w:rPr>
          <w:rFonts w:ascii="Arial"/>
          <w:i/>
          <w:spacing w:val="16"/>
        </w:rPr>
        <w:t> </w:t>
      </w:r>
      <w:r>
        <w:rPr>
          <w:rFonts w:ascii="Arial"/>
          <w:i/>
        </w:rPr>
        <w:t>11,</w:t>
      </w:r>
      <w:r>
        <w:rPr>
          <w:rFonts w:ascii="Arial"/>
          <w:i/>
          <w:spacing w:val="16"/>
        </w:rPr>
        <w:t> </w:t>
      </w:r>
      <w:r>
        <w:rPr>
          <w:rFonts w:ascii="Arial"/>
          <w:i/>
        </w:rPr>
        <w:t>16</w:t>
      </w:r>
      <w:r>
        <w:rPr/>
        <w:t>.</w:t>
      </w:r>
      <w:r>
        <w:rPr>
          <w:spacing w:val="16"/>
        </w:rPr>
        <w:t> </w:t>
      </w:r>
      <w:r>
        <w:rPr/>
        <w:t>Demurrage</w:t>
      </w:r>
      <w:r>
        <w:rPr>
          <w:spacing w:val="16"/>
        </w:rPr>
        <w:t> </w:t>
      </w:r>
      <w:r>
        <w:rPr/>
        <w:t>under</w:t>
      </w:r>
      <w:r>
        <w:rPr>
          <w:spacing w:val="16"/>
        </w:rPr>
        <w:t> </w:t>
      </w:r>
      <w:r>
        <w:rPr/>
        <w:t>a</w:t>
      </w:r>
      <w:r>
        <w:rPr>
          <w:spacing w:val="16"/>
        </w:rPr>
        <w:t> </w:t>
      </w:r>
      <w:r>
        <w:rPr/>
        <w:t>charterparty</w:t>
      </w:r>
      <w:r>
        <w:rPr>
          <w:spacing w:val="16"/>
        </w:rPr>
        <w:t> </w:t>
      </w:r>
      <w:r>
        <w:rPr/>
        <w:t>is</w:t>
      </w:r>
      <w:r>
        <w:rPr>
          <w:spacing w:val="16"/>
        </w:rPr>
        <w:t> </w:t>
      </w:r>
      <w:r>
        <w:rPr/>
        <w:t>a</w:t>
      </w:r>
      <w:r>
        <w:rPr>
          <w:spacing w:val="16"/>
        </w:rPr>
        <w:t> </w:t>
      </w:r>
      <w:r>
        <w:rPr/>
        <w:t>case</w:t>
      </w:r>
      <w:r>
        <w:rPr>
          <w:spacing w:val="16"/>
        </w:rPr>
        <w:t> </w:t>
      </w:r>
      <w:r>
        <w:rPr/>
        <w:t>of</w:t>
      </w:r>
      <w:r>
        <w:rPr>
          <w:spacing w:val="16"/>
        </w:rPr>
        <w:t> </w:t>
      </w:r>
      <w:r>
        <w:rPr/>
        <w:t>graduated</w:t>
      </w:r>
      <w:r>
        <w:rPr>
          <w:spacing w:val="16"/>
        </w:rPr>
        <w:t> </w:t>
      </w:r>
      <w:r>
        <w:rPr/>
        <w:t>liquidated</w:t>
      </w:r>
      <w:r>
        <w:rPr>
          <w:spacing w:val="16"/>
        </w:rPr>
        <w:t> </w:t>
      </w:r>
      <w:r>
        <w:rPr>
          <w:spacing w:val="-2"/>
        </w:rPr>
        <w:t>damages:</w:t>
      </w:r>
    </w:p>
    <w:p>
      <w:pPr>
        <w:spacing w:line="227" w:lineRule="exact" w:before="0"/>
        <w:ind w:left="705" w:right="0" w:firstLine="0"/>
        <w:jc w:val="both"/>
        <w:rPr>
          <w:sz w:val="20"/>
        </w:rPr>
      </w:pPr>
      <w:r>
        <w:rPr>
          <w:rFonts w:ascii="Arial" w:hAnsi="Arial"/>
          <w:i/>
          <w:sz w:val="20"/>
        </w:rPr>
        <w:t>President</w:t>
      </w:r>
      <w:r>
        <w:rPr>
          <w:rFonts w:ascii="Arial" w:hAnsi="Arial"/>
          <w:i/>
          <w:spacing w:val="-2"/>
          <w:sz w:val="20"/>
        </w:rPr>
        <w:t> </w:t>
      </w:r>
      <w:r>
        <w:rPr>
          <w:rFonts w:ascii="Arial" w:hAnsi="Arial"/>
          <w:i/>
          <w:sz w:val="20"/>
        </w:rPr>
        <w:t>of India v Lips Maritime Corp [1988] A.C. 395, </w:t>
      </w:r>
      <w:r>
        <w:rPr>
          <w:rFonts w:ascii="Arial" w:hAnsi="Arial"/>
          <w:i/>
          <w:spacing w:val="-2"/>
          <w:sz w:val="20"/>
        </w:rPr>
        <w:t>422–423</w:t>
      </w:r>
      <w:r>
        <w:rPr>
          <w:spacing w:val="-2"/>
          <w:sz w:val="20"/>
        </w:rPr>
        <w:t>.</w:t>
      </w:r>
    </w:p>
    <w:p>
      <w:pPr>
        <w:pStyle w:val="BodyText"/>
        <w:spacing w:before="127"/>
      </w:pPr>
    </w:p>
    <w:p>
      <w:pPr>
        <w:spacing w:line="235" w:lineRule="auto" w:before="0"/>
        <w:ind w:left="705" w:right="168" w:hanging="541"/>
        <w:jc w:val="both"/>
        <w:rPr>
          <w:sz w:val="20"/>
        </w:rPr>
      </w:pPr>
      <w:bookmarkStart w:name="_bookmark2033" w:id="2035"/>
      <w:bookmarkEnd w:id="2035"/>
      <w:r>
        <w:rPr/>
      </w:r>
      <w:hyperlink w:history="true" w:anchor="_bookmark1968">
        <w:r>
          <w:rPr>
            <w:color w:val="005DA1"/>
            <w:sz w:val="20"/>
            <w:u w:val="single" w:color="005DA1"/>
            <w:vertAlign w:val="superscript"/>
          </w:rPr>
          <w:t>1069</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Lord Elphinstone v Monkland Iron and Coal Co (1886) 11 App. Cas. 332</w:t>
      </w:r>
      <w:r>
        <w:rPr>
          <w:sz w:val="20"/>
          <w:vertAlign w:val="baseline"/>
        </w:rPr>
        <w:t>; </w:t>
      </w:r>
      <w:r>
        <w:rPr>
          <w:rFonts w:ascii="Arial"/>
          <w:i/>
          <w:sz w:val="20"/>
          <w:vertAlign w:val="baseline"/>
        </w:rPr>
        <w:t>Diestal v Stevenson [1906] 2 K.B. 345</w:t>
      </w:r>
      <w:r>
        <w:rPr>
          <w:sz w:val="20"/>
          <w:vertAlign w:val="baseline"/>
        </w:rPr>
        <w:t>.</w:t>
      </w:r>
    </w:p>
    <w:p>
      <w:pPr>
        <w:pStyle w:val="BodyText"/>
        <w:spacing w:before="129"/>
      </w:pPr>
    </w:p>
    <w:p>
      <w:pPr>
        <w:spacing w:line="235" w:lineRule="auto" w:before="0"/>
        <w:ind w:left="705" w:right="168" w:hanging="541"/>
        <w:jc w:val="both"/>
        <w:rPr>
          <w:sz w:val="20"/>
        </w:rPr>
      </w:pPr>
      <w:bookmarkStart w:name="_bookmark2034" w:id="2036"/>
      <w:bookmarkEnd w:id="2036"/>
      <w:r>
        <w:rPr/>
      </w:r>
      <w:hyperlink w:history="true" w:anchor="_bookmark1969">
        <w:r>
          <w:rPr>
            <w:color w:val="005DA1"/>
            <w:sz w:val="20"/>
            <w:u w:val="single" w:color="005DA1"/>
            <w:vertAlign w:val="superscript"/>
          </w:rPr>
          <w:t>1070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e.g. </w:t>
      </w:r>
      <w:r>
        <w:rPr>
          <w:rFonts w:ascii="Arial"/>
          <w:i/>
          <w:sz w:val="20"/>
          <w:vertAlign w:val="baseline"/>
        </w:rPr>
        <w:t>Commissioner of Public Works v Hills [1906] A.C. 368 </w:t>
      </w:r>
      <w:r>
        <w:rPr>
          <w:sz w:val="20"/>
          <w:vertAlign w:val="baseline"/>
        </w:rPr>
        <w:t>(above, para.26-188). See also </w:t>
      </w:r>
      <w:r>
        <w:rPr>
          <w:rFonts w:ascii="Arial"/>
          <w:i/>
          <w:sz w:val="20"/>
          <w:vertAlign w:val="baseline"/>
        </w:rPr>
        <w:t>Re Newman (1876) 4 Ch. D. 724</w:t>
      </w:r>
      <w:r>
        <w:rPr>
          <w:sz w:val="20"/>
          <w:vertAlign w:val="baseline"/>
        </w:rPr>
        <w:t>.</w:t>
      </w:r>
    </w:p>
    <w:p>
      <w:pPr>
        <w:pStyle w:val="BodyText"/>
        <w:spacing w:before="129"/>
      </w:pPr>
    </w:p>
    <w:p>
      <w:pPr>
        <w:spacing w:line="235" w:lineRule="auto" w:before="1"/>
        <w:ind w:left="705" w:right="167" w:hanging="541"/>
        <w:jc w:val="both"/>
        <w:rPr>
          <w:sz w:val="20"/>
        </w:rPr>
      </w:pPr>
      <w:bookmarkStart w:name="_bookmark2035" w:id="2037"/>
      <w:bookmarkEnd w:id="2037"/>
      <w:r>
        <w:rPr/>
      </w:r>
      <w:hyperlink w:history="true" w:anchor="_bookmark1970">
        <w:r>
          <w:rPr>
            <w:color w:val="005DA1"/>
            <w:sz w:val="20"/>
            <w:u w:val="single" w:color="005DA1"/>
            <w:vertAlign w:val="superscript"/>
          </w:rPr>
          <w:t>1071</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Bridge</w:t>
      </w:r>
      <w:r>
        <w:rPr>
          <w:rFonts w:ascii="Arial" w:hAnsi="Arial"/>
          <w:i/>
          <w:spacing w:val="19"/>
          <w:sz w:val="20"/>
          <w:vertAlign w:val="baseline"/>
        </w:rPr>
        <w:t> </w:t>
      </w:r>
      <w:r>
        <w:rPr>
          <w:rFonts w:ascii="Arial" w:hAnsi="Arial"/>
          <w:i/>
          <w:sz w:val="20"/>
          <w:vertAlign w:val="baseline"/>
        </w:rPr>
        <w:t>v</w:t>
      </w:r>
      <w:r>
        <w:rPr>
          <w:rFonts w:ascii="Arial" w:hAnsi="Arial"/>
          <w:i/>
          <w:spacing w:val="19"/>
          <w:sz w:val="20"/>
          <w:vertAlign w:val="baseline"/>
        </w:rPr>
        <w:t> </w:t>
      </w:r>
      <w:r>
        <w:rPr>
          <w:rFonts w:ascii="Arial" w:hAnsi="Arial"/>
          <w:i/>
          <w:sz w:val="20"/>
          <w:vertAlign w:val="baseline"/>
        </w:rPr>
        <w:t>Campbell</w:t>
      </w:r>
      <w:r>
        <w:rPr>
          <w:rFonts w:ascii="Arial" w:hAnsi="Arial"/>
          <w:i/>
          <w:spacing w:val="19"/>
          <w:sz w:val="20"/>
          <w:vertAlign w:val="baseline"/>
        </w:rPr>
        <w:t> </w:t>
      </w:r>
      <w:r>
        <w:rPr>
          <w:rFonts w:ascii="Arial" w:hAnsi="Arial"/>
          <w:i/>
          <w:sz w:val="20"/>
          <w:vertAlign w:val="baseline"/>
        </w:rPr>
        <w:t>Discount</w:t>
      </w:r>
      <w:r>
        <w:rPr>
          <w:rFonts w:ascii="Arial" w:hAnsi="Arial"/>
          <w:i/>
          <w:spacing w:val="19"/>
          <w:sz w:val="20"/>
          <w:vertAlign w:val="baseline"/>
        </w:rPr>
        <w:t> </w:t>
      </w:r>
      <w:r>
        <w:rPr>
          <w:rFonts w:ascii="Arial" w:hAnsi="Arial"/>
          <w:i/>
          <w:sz w:val="20"/>
          <w:vertAlign w:val="baseline"/>
        </w:rPr>
        <w:t>Co</w:t>
      </w:r>
      <w:r>
        <w:rPr>
          <w:rFonts w:ascii="Arial" w:hAnsi="Arial"/>
          <w:i/>
          <w:spacing w:val="19"/>
          <w:sz w:val="20"/>
          <w:vertAlign w:val="baseline"/>
        </w:rPr>
        <w:t> </w:t>
      </w:r>
      <w:r>
        <w:rPr>
          <w:rFonts w:ascii="Arial" w:hAnsi="Arial"/>
          <w:i/>
          <w:sz w:val="20"/>
          <w:vertAlign w:val="baseline"/>
        </w:rPr>
        <w:t>Ltd</w:t>
      </w:r>
      <w:r>
        <w:rPr>
          <w:rFonts w:ascii="Arial" w:hAnsi="Arial"/>
          <w:i/>
          <w:spacing w:val="19"/>
          <w:sz w:val="20"/>
          <w:vertAlign w:val="baseline"/>
        </w:rPr>
        <w:t> </w:t>
      </w:r>
      <w:r>
        <w:rPr>
          <w:rFonts w:ascii="Arial" w:hAnsi="Arial"/>
          <w:i/>
          <w:sz w:val="20"/>
          <w:vertAlign w:val="baseline"/>
        </w:rPr>
        <w:t>[1962]</w:t>
      </w:r>
      <w:r>
        <w:rPr>
          <w:rFonts w:ascii="Arial" w:hAnsi="Arial"/>
          <w:i/>
          <w:spacing w:val="19"/>
          <w:sz w:val="20"/>
          <w:vertAlign w:val="baseline"/>
        </w:rPr>
        <w:t> </w:t>
      </w:r>
      <w:r>
        <w:rPr>
          <w:rFonts w:ascii="Arial" w:hAnsi="Arial"/>
          <w:i/>
          <w:sz w:val="20"/>
          <w:vertAlign w:val="baseline"/>
        </w:rPr>
        <w:t>A.C.</w:t>
      </w:r>
      <w:r>
        <w:rPr>
          <w:rFonts w:ascii="Arial" w:hAnsi="Arial"/>
          <w:i/>
          <w:spacing w:val="19"/>
          <w:sz w:val="20"/>
          <w:vertAlign w:val="baseline"/>
        </w:rPr>
        <w:t> </w:t>
      </w:r>
      <w:r>
        <w:rPr>
          <w:rFonts w:ascii="Arial" w:hAnsi="Arial"/>
          <w:i/>
          <w:sz w:val="20"/>
          <w:vertAlign w:val="baseline"/>
        </w:rPr>
        <w:t>600</w:t>
      </w:r>
      <w:r>
        <w:rPr>
          <w:sz w:val="20"/>
          <w:vertAlign w:val="baseline"/>
        </w:rPr>
        <w:t>.</w:t>
      </w:r>
      <w:r>
        <w:rPr>
          <w:spacing w:val="19"/>
          <w:sz w:val="20"/>
          <w:vertAlign w:val="baseline"/>
        </w:rPr>
        <w:t> </w:t>
      </w:r>
      <w:r>
        <w:rPr>
          <w:sz w:val="20"/>
          <w:vertAlign w:val="baseline"/>
        </w:rPr>
        <w:t>(“It</w:t>
      </w:r>
      <w:r>
        <w:rPr>
          <w:spacing w:val="19"/>
          <w:sz w:val="20"/>
          <w:vertAlign w:val="baseline"/>
        </w:rPr>
        <w:t> </w:t>
      </w:r>
      <w:r>
        <w:rPr>
          <w:sz w:val="20"/>
          <w:vertAlign w:val="baseline"/>
        </w:rPr>
        <w:t>is</w:t>
      </w:r>
      <w:r>
        <w:rPr>
          <w:spacing w:val="19"/>
          <w:sz w:val="20"/>
          <w:vertAlign w:val="baseline"/>
        </w:rPr>
        <w:t> </w:t>
      </w:r>
      <w:r>
        <w:rPr>
          <w:sz w:val="20"/>
          <w:vertAlign w:val="baseline"/>
        </w:rPr>
        <w:t>a</w:t>
      </w:r>
      <w:r>
        <w:rPr>
          <w:spacing w:val="19"/>
          <w:sz w:val="20"/>
          <w:vertAlign w:val="baseline"/>
        </w:rPr>
        <w:t> </w:t>
      </w:r>
      <w:r>
        <w:rPr>
          <w:sz w:val="20"/>
          <w:vertAlign w:val="baseline"/>
        </w:rPr>
        <w:t>sliding</w:t>
      </w:r>
      <w:r>
        <w:rPr>
          <w:spacing w:val="19"/>
          <w:sz w:val="20"/>
          <w:vertAlign w:val="baseline"/>
        </w:rPr>
        <w:t> </w:t>
      </w:r>
      <w:r>
        <w:rPr>
          <w:sz w:val="20"/>
          <w:vertAlign w:val="baseline"/>
        </w:rPr>
        <w:t>scale</w:t>
      </w:r>
      <w:r>
        <w:rPr>
          <w:spacing w:val="19"/>
          <w:sz w:val="20"/>
          <w:vertAlign w:val="baseline"/>
        </w:rPr>
        <w:t> </w:t>
      </w:r>
      <w:r>
        <w:rPr>
          <w:sz w:val="20"/>
          <w:vertAlign w:val="baseline"/>
        </w:rPr>
        <w:t>of</w:t>
      </w:r>
      <w:r>
        <w:rPr>
          <w:spacing w:val="19"/>
          <w:sz w:val="20"/>
          <w:vertAlign w:val="baseline"/>
        </w:rPr>
        <w:t> </w:t>
      </w:r>
      <w:r>
        <w:rPr>
          <w:sz w:val="20"/>
          <w:vertAlign w:val="baseline"/>
        </w:rPr>
        <w:t>compensation, but</w:t>
      </w:r>
      <w:r>
        <w:rPr>
          <w:spacing w:val="-1"/>
          <w:sz w:val="20"/>
          <w:vertAlign w:val="baseline"/>
        </w:rPr>
        <w:t> </w:t>
      </w:r>
      <w:r>
        <w:rPr>
          <w:sz w:val="20"/>
          <w:vertAlign w:val="baseline"/>
        </w:rPr>
        <w:t>a</w:t>
      </w:r>
      <w:r>
        <w:rPr>
          <w:spacing w:val="-1"/>
          <w:sz w:val="20"/>
          <w:vertAlign w:val="baseline"/>
        </w:rPr>
        <w:t> </w:t>
      </w:r>
      <w:r>
        <w:rPr>
          <w:sz w:val="20"/>
          <w:vertAlign w:val="baseline"/>
        </w:rPr>
        <w:t>scale</w:t>
      </w:r>
      <w:r>
        <w:rPr>
          <w:spacing w:val="-1"/>
          <w:sz w:val="20"/>
          <w:vertAlign w:val="baseline"/>
        </w:rPr>
        <w:t> </w:t>
      </w:r>
      <w:r>
        <w:rPr>
          <w:sz w:val="20"/>
          <w:vertAlign w:val="baseline"/>
        </w:rPr>
        <w:t>that</w:t>
      </w:r>
      <w:r>
        <w:rPr>
          <w:spacing w:val="-1"/>
          <w:sz w:val="20"/>
          <w:vertAlign w:val="baseline"/>
        </w:rPr>
        <w:t> </w:t>
      </w:r>
      <w:r>
        <w:rPr>
          <w:sz w:val="20"/>
          <w:vertAlign w:val="baseline"/>
        </w:rPr>
        <w:t>slides</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1"/>
          <w:sz w:val="20"/>
          <w:vertAlign w:val="baseline"/>
        </w:rPr>
        <w:t> </w:t>
      </w:r>
      <w:r>
        <w:rPr>
          <w:sz w:val="20"/>
          <w:vertAlign w:val="baseline"/>
        </w:rPr>
        <w:t>wrong</w:t>
      </w:r>
      <w:r>
        <w:rPr>
          <w:spacing w:val="-1"/>
          <w:sz w:val="20"/>
          <w:vertAlign w:val="baseline"/>
        </w:rPr>
        <w:t> </w:t>
      </w:r>
      <w:r>
        <w:rPr>
          <w:sz w:val="20"/>
          <w:vertAlign w:val="baseline"/>
        </w:rPr>
        <w:t>direction”:</w:t>
      </w:r>
      <w:r>
        <w:rPr>
          <w:spacing w:val="-1"/>
          <w:sz w:val="20"/>
          <w:vertAlign w:val="baseline"/>
        </w:rPr>
        <w:t> </w:t>
      </w:r>
      <w:r>
        <w:rPr>
          <w:sz w:val="20"/>
          <w:vertAlign w:val="baseline"/>
        </w:rPr>
        <w:t>at</w:t>
      </w:r>
      <w:r>
        <w:rPr>
          <w:spacing w:val="-1"/>
          <w:sz w:val="20"/>
          <w:vertAlign w:val="baseline"/>
        </w:rPr>
        <w:t> </w:t>
      </w:r>
      <w:r>
        <w:rPr>
          <w:sz w:val="20"/>
          <w:vertAlign w:val="baseline"/>
        </w:rPr>
        <w:t>623.)</w:t>
      </w:r>
      <w:r>
        <w:rPr>
          <w:spacing w:val="-1"/>
          <w:sz w:val="20"/>
          <w:vertAlign w:val="baseline"/>
        </w:rPr>
        <w:t> </w:t>
      </w:r>
      <w:r>
        <w:rPr>
          <w:sz w:val="20"/>
          <w:vertAlign w:val="baseline"/>
        </w:rPr>
        <w:t>If</w:t>
      </w:r>
      <w:r>
        <w:rPr>
          <w:spacing w:val="-1"/>
          <w:sz w:val="20"/>
          <w:vertAlign w:val="baseline"/>
        </w:rPr>
        <w:t> </w:t>
      </w:r>
      <w:r>
        <w:rPr>
          <w:sz w:val="20"/>
          <w:vertAlign w:val="baseline"/>
        </w:rPr>
        <w:t>it</w:t>
      </w:r>
      <w:r>
        <w:rPr>
          <w:spacing w:val="-1"/>
          <w:sz w:val="20"/>
          <w:vertAlign w:val="baseline"/>
        </w:rPr>
        <w:t> </w:t>
      </w:r>
      <w:r>
        <w:rPr>
          <w:sz w:val="20"/>
          <w:vertAlign w:val="baseline"/>
        </w:rPr>
        <w:t>slides</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1"/>
          <w:sz w:val="20"/>
          <w:vertAlign w:val="baseline"/>
        </w:rPr>
        <w:t> </w:t>
      </w:r>
      <w:r>
        <w:rPr>
          <w:sz w:val="20"/>
          <w:vertAlign w:val="baseline"/>
        </w:rPr>
        <w:t>right</w:t>
      </w:r>
      <w:r>
        <w:rPr>
          <w:spacing w:val="-1"/>
          <w:sz w:val="20"/>
          <w:vertAlign w:val="baseline"/>
        </w:rPr>
        <w:t> </w:t>
      </w:r>
      <w:r>
        <w:rPr>
          <w:sz w:val="20"/>
          <w:vertAlign w:val="baseline"/>
        </w:rPr>
        <w:t>direction,</w:t>
      </w:r>
      <w:r>
        <w:rPr>
          <w:spacing w:val="-1"/>
          <w:sz w:val="20"/>
          <w:vertAlign w:val="baseline"/>
        </w:rPr>
        <w:t> </w:t>
      </w:r>
      <w:r>
        <w:rPr>
          <w:sz w:val="20"/>
          <w:vertAlign w:val="baseline"/>
        </w:rPr>
        <w:t>the</w:t>
      </w:r>
      <w:r>
        <w:rPr>
          <w:spacing w:val="-1"/>
          <w:sz w:val="20"/>
          <w:vertAlign w:val="baseline"/>
        </w:rPr>
        <w:t> </w:t>
      </w:r>
      <w:r>
        <w:rPr>
          <w:sz w:val="20"/>
          <w:vertAlign w:val="baseline"/>
        </w:rPr>
        <w:t>clause is more likely to be held valid: </w:t>
      </w:r>
      <w:r>
        <w:rPr>
          <w:rFonts w:ascii="Arial" w:hAnsi="Arial"/>
          <w:i/>
          <w:sz w:val="20"/>
          <w:vertAlign w:val="baseline"/>
        </w:rPr>
        <w:t>Phonographic Equipment (1958) Ltd v Muslu [1961] 1 W.L.R. 1379</w:t>
      </w:r>
      <w:r>
        <w:rPr>
          <w:sz w:val="20"/>
          <w:vertAlign w:val="baseline"/>
        </w:rPr>
        <w:t>. cf. </w:t>
      </w:r>
      <w:r>
        <w:rPr>
          <w:rFonts w:ascii="Arial" w:hAnsi="Arial"/>
          <w:i/>
          <w:sz w:val="20"/>
          <w:vertAlign w:val="baseline"/>
        </w:rPr>
        <w:t>Lombank Ltd v Excell [1964] 1 Q.B. 415</w:t>
      </w:r>
      <w:r>
        <w:rPr>
          <w:sz w:val="20"/>
          <w:vertAlign w:val="baseline"/>
        </w:rPr>
        <w:t>.</w:t>
      </w:r>
    </w:p>
    <w:p>
      <w:pPr>
        <w:pStyle w:val="BodyText"/>
        <w:spacing w:before="128"/>
      </w:pPr>
    </w:p>
    <w:p>
      <w:pPr>
        <w:spacing w:line="235" w:lineRule="auto" w:before="0"/>
        <w:ind w:left="705" w:right="168" w:hanging="541"/>
        <w:jc w:val="both"/>
        <w:rPr>
          <w:sz w:val="20"/>
        </w:rPr>
      </w:pPr>
      <w:bookmarkStart w:name="_bookmark2036" w:id="2038"/>
      <w:bookmarkEnd w:id="2038"/>
      <w:r>
        <w:rPr/>
      </w:r>
      <w:hyperlink w:history="true" w:anchor="_bookmark1971">
        <w:r>
          <w:rPr>
            <w:color w:val="005DA1"/>
            <w:sz w:val="20"/>
            <w:u w:val="single" w:color="005DA1"/>
            <w:vertAlign w:val="superscript"/>
          </w:rPr>
          <w:t>1072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Financings</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Baldock</w:t>
      </w:r>
      <w:r>
        <w:rPr>
          <w:rFonts w:ascii="Arial" w:hAnsi="Arial"/>
          <w:i/>
          <w:spacing w:val="40"/>
          <w:sz w:val="20"/>
          <w:vertAlign w:val="baseline"/>
        </w:rPr>
        <w:t> </w:t>
      </w:r>
      <w:r>
        <w:rPr>
          <w:rFonts w:ascii="Arial" w:hAnsi="Arial"/>
          <w:i/>
          <w:sz w:val="20"/>
          <w:vertAlign w:val="baseline"/>
        </w:rPr>
        <w:t>[1963]</w:t>
      </w:r>
      <w:r>
        <w:rPr>
          <w:rFonts w:ascii="Arial" w:hAnsi="Arial"/>
          <w:i/>
          <w:spacing w:val="40"/>
          <w:sz w:val="20"/>
          <w:vertAlign w:val="baseline"/>
        </w:rPr>
        <w:t> </w:t>
      </w:r>
      <w:r>
        <w:rPr>
          <w:rFonts w:ascii="Arial" w:hAnsi="Arial"/>
          <w:i/>
          <w:sz w:val="20"/>
          <w:vertAlign w:val="baseline"/>
        </w:rPr>
        <w:t>2</w:t>
      </w:r>
      <w:r>
        <w:rPr>
          <w:rFonts w:ascii="Arial" w:hAnsi="Arial"/>
          <w:i/>
          <w:spacing w:val="40"/>
          <w:sz w:val="20"/>
          <w:vertAlign w:val="baseline"/>
        </w:rPr>
        <w:t> </w:t>
      </w:r>
      <w:r>
        <w:rPr>
          <w:rFonts w:ascii="Arial" w:hAnsi="Arial"/>
          <w:i/>
          <w:sz w:val="20"/>
          <w:vertAlign w:val="baseline"/>
        </w:rPr>
        <w:t>Q.B.</w:t>
      </w:r>
      <w:r>
        <w:rPr>
          <w:rFonts w:ascii="Arial" w:hAnsi="Arial"/>
          <w:i/>
          <w:spacing w:val="40"/>
          <w:sz w:val="20"/>
          <w:vertAlign w:val="baseline"/>
        </w:rPr>
        <w:t> </w:t>
      </w:r>
      <w:r>
        <w:rPr>
          <w:rFonts w:ascii="Arial" w:hAnsi="Arial"/>
          <w:i/>
          <w:sz w:val="20"/>
          <w:vertAlign w:val="baseline"/>
        </w:rPr>
        <w:t>104</w:t>
      </w:r>
      <w:r>
        <w:rPr>
          <w:sz w:val="20"/>
          <w:vertAlign w:val="baseline"/>
        </w:rPr>
        <w:t>.</w:t>
      </w:r>
      <w:r>
        <w:rPr>
          <w:spacing w:val="40"/>
          <w:sz w:val="20"/>
          <w:vertAlign w:val="baseline"/>
        </w:rPr>
        <w:t> </w:t>
      </w:r>
      <w:r>
        <w:rPr>
          <w:sz w:val="20"/>
          <w:vertAlign w:val="baseline"/>
        </w:rPr>
        <w:t>The</w:t>
      </w:r>
      <w:r>
        <w:rPr>
          <w:spacing w:val="40"/>
          <w:sz w:val="20"/>
          <w:vertAlign w:val="baseline"/>
        </w:rPr>
        <w:t> </w:t>
      </w:r>
      <w:r>
        <w:rPr>
          <w:sz w:val="20"/>
          <w:vertAlign w:val="baseline"/>
        </w:rPr>
        <w:t>principle</w:t>
      </w:r>
      <w:r>
        <w:rPr>
          <w:spacing w:val="40"/>
          <w:sz w:val="20"/>
          <w:vertAlign w:val="baseline"/>
        </w:rPr>
        <w:t> </w:t>
      </w:r>
      <w:r>
        <w:rPr>
          <w:sz w:val="20"/>
          <w:vertAlign w:val="baseline"/>
        </w:rPr>
        <w:t>stated</w:t>
      </w:r>
      <w:r>
        <w:rPr>
          <w:spacing w:val="40"/>
          <w:sz w:val="20"/>
          <w:vertAlign w:val="baseline"/>
        </w:rPr>
        <w:t> </w:t>
      </w:r>
      <w:r>
        <w:rPr>
          <w:sz w:val="20"/>
          <w:vertAlign w:val="baseline"/>
        </w:rPr>
        <w:t>in</w:t>
      </w:r>
      <w:r>
        <w:rPr>
          <w:spacing w:val="40"/>
          <w:sz w:val="20"/>
          <w:vertAlign w:val="baseline"/>
        </w:rPr>
        <w:t> </w:t>
      </w:r>
      <w:r>
        <w:rPr>
          <w:sz w:val="20"/>
          <w:vertAlign w:val="baseline"/>
        </w:rPr>
        <w:t>the</w:t>
      </w:r>
      <w:r>
        <w:rPr>
          <w:spacing w:val="40"/>
          <w:sz w:val="20"/>
          <w:vertAlign w:val="baseline"/>
        </w:rPr>
        <w:t> </w:t>
      </w:r>
      <w:r>
        <w:rPr>
          <w:sz w:val="20"/>
          <w:vertAlign w:val="baseline"/>
        </w:rPr>
        <w:t>text</w:t>
      </w:r>
      <w:r>
        <w:rPr>
          <w:spacing w:val="40"/>
          <w:sz w:val="20"/>
          <w:vertAlign w:val="baseline"/>
        </w:rPr>
        <w:t> </w:t>
      </w:r>
      <w:r>
        <w:rPr>
          <w:sz w:val="20"/>
          <w:vertAlign w:val="baseline"/>
        </w:rPr>
        <w:t>has</w:t>
      </w:r>
      <w:r>
        <w:rPr>
          <w:spacing w:val="40"/>
          <w:sz w:val="20"/>
          <w:vertAlign w:val="baseline"/>
        </w:rPr>
        <w:t> </w:t>
      </w:r>
      <w:r>
        <w:rPr>
          <w:sz w:val="20"/>
          <w:vertAlign w:val="baseline"/>
        </w:rPr>
        <w:t>been regularly followed by the Court of Appeal: </w:t>
      </w:r>
      <w:r>
        <w:rPr>
          <w:rFonts w:ascii="Arial" w:hAnsi="Arial"/>
          <w:i/>
          <w:sz w:val="20"/>
          <w:vertAlign w:val="baseline"/>
        </w:rPr>
        <w:t>Brady v St Margaret’s Trust Ltd [1963] 2 Q.B. 494</w:t>
      </w:r>
      <w:r>
        <w:rPr>
          <w:sz w:val="20"/>
          <w:vertAlign w:val="baseline"/>
        </w:rPr>
        <w:t>; </w:t>
      </w:r>
      <w:r>
        <w:rPr>
          <w:rFonts w:ascii="Arial" w:hAnsi="Arial"/>
          <w:i/>
          <w:sz w:val="20"/>
          <w:vertAlign w:val="baseline"/>
        </w:rPr>
        <w:t>Charterhouse Credit Co Ltd v Tolly [1963] 2 Q.B. 683</w:t>
      </w:r>
      <w:r>
        <w:rPr>
          <w:sz w:val="20"/>
          <w:vertAlign w:val="baseline"/>
        </w:rPr>
        <w:t>; </w:t>
      </w:r>
      <w:r>
        <w:rPr>
          <w:rFonts w:ascii="Arial" w:hAnsi="Arial"/>
          <w:i/>
          <w:sz w:val="20"/>
          <w:vertAlign w:val="baseline"/>
        </w:rPr>
        <w:t>United Dominions Trust </w:t>
      </w:r>
      <w:r>
        <w:rPr>
          <w:rFonts w:ascii="Arial" w:hAnsi="Arial"/>
          <w:i/>
          <w:sz w:val="20"/>
          <w:vertAlign w:val="baseline"/>
        </w:rPr>
        <w:t>(Commercial)</w:t>
      </w:r>
      <w:r>
        <w:rPr>
          <w:rFonts w:ascii="Arial" w:hAnsi="Arial"/>
          <w:i/>
          <w:spacing w:val="40"/>
          <w:sz w:val="20"/>
          <w:vertAlign w:val="baseline"/>
        </w:rPr>
        <w:t> </w:t>
      </w:r>
      <w:r>
        <w:rPr>
          <w:rFonts w:ascii="Arial" w:hAnsi="Arial"/>
          <w:i/>
          <w:sz w:val="20"/>
          <w:vertAlign w:val="baseline"/>
        </w:rPr>
        <w:t>Ltd v Ennis [1968] 1 Q.B. 54</w:t>
      </w:r>
      <w:r>
        <w:rPr>
          <w:sz w:val="20"/>
          <w:vertAlign w:val="baseline"/>
        </w:rPr>
        <w:t>; </w:t>
      </w:r>
      <w:r>
        <w:rPr>
          <w:rFonts w:ascii="Arial" w:hAnsi="Arial"/>
          <w:i/>
          <w:sz w:val="20"/>
          <w:vertAlign w:val="baseline"/>
        </w:rPr>
        <w:t>Capital Finance Co Ltd v Donati (1977) 121 S.J. 270</w:t>
      </w:r>
      <w:r>
        <w:rPr>
          <w:sz w:val="20"/>
          <w:vertAlign w:val="baseline"/>
        </w:rPr>
        <w:t>; </w:t>
      </w:r>
      <w:r>
        <w:rPr>
          <w:rFonts w:ascii="Arial" w:hAnsi="Arial"/>
          <w:i/>
          <w:sz w:val="20"/>
          <w:vertAlign w:val="baseline"/>
        </w:rPr>
        <w:t>Lombard North Central Plc v Butterworth [1987] Q.B. 527</w:t>
      </w:r>
      <w:r>
        <w:rPr>
          <w:sz w:val="20"/>
          <w:vertAlign w:val="baseline"/>
        </w:rPr>
        <w:t>. See also the Australian cases cited, below, para.26-216A, n.1118p.</w:t>
      </w:r>
    </w:p>
    <w:p>
      <w:pPr>
        <w:pStyle w:val="BodyText"/>
        <w:spacing w:before="128"/>
      </w:pPr>
    </w:p>
    <w:p>
      <w:pPr>
        <w:pStyle w:val="BodyText"/>
        <w:spacing w:line="235" w:lineRule="auto"/>
        <w:ind w:left="705" w:right="167" w:hanging="541"/>
        <w:jc w:val="both"/>
      </w:pPr>
      <w:bookmarkStart w:name="_bookmark2037" w:id="2039"/>
      <w:bookmarkEnd w:id="2039"/>
      <w:r>
        <w:rPr/>
      </w:r>
      <w:hyperlink w:history="true" w:anchor="_bookmark1972">
        <w:r>
          <w:rPr>
            <w:color w:val="005DA1"/>
            <w:u w:val="single" w:color="005DA1"/>
            <w:vertAlign w:val="superscript"/>
          </w:rPr>
          <w:t>1073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23" name="Image 623"/>
            <wp:cNvGraphicFramePr>
              <a:graphicFrameLocks/>
            </wp:cNvGraphicFramePr>
            <a:graphic>
              <a:graphicData uri="http://schemas.openxmlformats.org/drawingml/2006/picture">
                <pic:pic>
                  <pic:nvPicPr>
                    <pic:cNvPr id="623" name="Image 6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w:t>
      </w:r>
      <w:r>
        <w:rPr>
          <w:rFonts w:ascii="Arial"/>
          <w:i/>
          <w:vertAlign w:val="baseline"/>
        </w:rPr>
        <w:t>Lombard North Central Plc v Butterworth [1987] Q.B. 527 </w:t>
      </w:r>
      <w:r>
        <w:rPr>
          <w:vertAlign w:val="baseline"/>
        </w:rPr>
        <w:t>the contract contained a formula under which the owner was entitled to arrears, all future instalments that would have fallen due had and agreement not been terminated less a discount for accelerated payment. It omitted </w:t>
      </w:r>
      <w:r>
        <w:rPr>
          <w:vertAlign w:val="baseline"/>
        </w:rPr>
        <w:t>an allowance</w:t>
      </w:r>
      <w:r>
        <w:rPr>
          <w:spacing w:val="5"/>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resale</w:t>
      </w:r>
      <w:r>
        <w:rPr>
          <w:spacing w:val="7"/>
          <w:vertAlign w:val="baseline"/>
        </w:rPr>
        <w:t> </w:t>
      </w:r>
      <w:r>
        <w:rPr>
          <w:vertAlign w:val="baseline"/>
        </w:rPr>
        <w:t>value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repossessed</w:t>
      </w:r>
      <w:r>
        <w:rPr>
          <w:spacing w:val="7"/>
          <w:vertAlign w:val="baseline"/>
        </w:rPr>
        <w:t> </w:t>
      </w:r>
      <w:r>
        <w:rPr>
          <w:vertAlign w:val="baseline"/>
        </w:rPr>
        <w:t>goods.</w:t>
      </w:r>
      <w:r>
        <w:rPr>
          <w:spacing w:val="7"/>
          <w:vertAlign w:val="baseline"/>
        </w:rPr>
        <w:t> </w:t>
      </w:r>
      <w:r>
        <w:rPr>
          <w:vertAlign w:val="baseline"/>
        </w:rPr>
        <w:t>This</w:t>
      </w:r>
      <w:r>
        <w:rPr>
          <w:spacing w:val="7"/>
          <w:vertAlign w:val="baseline"/>
        </w:rPr>
        <w:t> </w:t>
      </w:r>
      <w:r>
        <w:rPr>
          <w:vertAlign w:val="baseline"/>
        </w:rPr>
        <w:t>would</w:t>
      </w:r>
      <w:r>
        <w:rPr>
          <w:spacing w:val="7"/>
          <w:vertAlign w:val="baseline"/>
        </w:rPr>
        <w:t> </w:t>
      </w:r>
      <w:r>
        <w:rPr>
          <w:vertAlign w:val="baseline"/>
        </w:rPr>
        <w:t>have</w:t>
      </w:r>
      <w:r>
        <w:rPr>
          <w:spacing w:val="7"/>
          <w:vertAlign w:val="baseline"/>
        </w:rPr>
        <w:t> </w:t>
      </w:r>
      <w:r>
        <w:rPr>
          <w:vertAlign w:val="baseline"/>
        </w:rPr>
        <w:t>prevented</w:t>
      </w:r>
      <w:r>
        <w:rPr>
          <w:spacing w:val="7"/>
          <w:vertAlign w:val="baseline"/>
        </w:rPr>
        <w:t> </w:t>
      </w:r>
      <w:r>
        <w:rPr>
          <w:vertAlign w:val="baseline"/>
        </w:rPr>
        <w:t>it</w:t>
      </w:r>
      <w:r>
        <w:rPr>
          <w:spacing w:val="7"/>
          <w:vertAlign w:val="baseline"/>
        </w:rPr>
        <w:t> </w:t>
      </w:r>
      <w:r>
        <w:rPr>
          <w:vertAlign w:val="baseline"/>
        </w:rPr>
        <w:t>being</w:t>
      </w:r>
      <w:r>
        <w:rPr>
          <w:spacing w:val="7"/>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pPr>
      <w:r>
        <w:rPr/>
        <w:t>genuine preestimate of the loss, but it was held that even had it provided for an allowance, </w:t>
      </w:r>
      <w:r>
        <w:rPr/>
        <w:t>the clause would have been a penalty for the reason stated in the text.</w:t>
      </w:r>
    </w:p>
    <w:p>
      <w:pPr>
        <w:pStyle w:val="BodyText"/>
        <w:spacing w:before="13"/>
      </w:pPr>
    </w:p>
    <w:p>
      <w:pPr>
        <w:spacing w:line="137" w:lineRule="exact" w:before="0"/>
        <w:ind w:left="165" w:right="0" w:firstLine="0"/>
        <w:jc w:val="left"/>
        <w:rPr>
          <w:sz w:val="14"/>
        </w:rPr>
      </w:pPr>
      <w:bookmarkStart w:name="_bookmark2038" w:id="2040"/>
      <w:bookmarkEnd w:id="2040"/>
      <w:r>
        <w:rPr/>
      </w:r>
      <w:hyperlink w:history="true" w:anchor="_bookmark1973">
        <w:r>
          <w:rPr>
            <w:color w:val="005DA1"/>
            <w:spacing w:val="-2"/>
            <w:sz w:val="14"/>
            <w:u w:val="single" w:color="005DA1"/>
          </w:rPr>
          <w:t>1074</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39744">
            <wp:simplePos x="0" y="0"/>
            <wp:positionH relativeFrom="page">
              <wp:posOffset>1257846</wp:posOffset>
            </wp:positionH>
            <wp:positionV relativeFrom="paragraph">
              <wp:posOffset>12787</wp:posOffset>
            </wp:positionV>
            <wp:extent cx="107988" cy="107988"/>
            <wp:effectExtent l="0" t="0" r="0" b="0"/>
            <wp:wrapNone/>
            <wp:docPr id="624" name="Image 624"/>
            <wp:cNvGraphicFramePr>
              <a:graphicFrameLocks/>
            </wp:cNvGraphicFramePr>
            <a:graphic>
              <a:graphicData uri="http://schemas.openxmlformats.org/drawingml/2006/picture">
                <pic:pic>
                  <pic:nvPicPr>
                    <pic:cNvPr id="624" name="Image 62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Lombard North Central Plc v Butterworth [1987] Q.B. </w:t>
      </w:r>
      <w:r>
        <w:rPr>
          <w:rFonts w:ascii="Arial"/>
          <w:i/>
          <w:spacing w:val="-4"/>
          <w:sz w:val="20"/>
        </w:rPr>
        <w:t>527</w:t>
      </w:r>
      <w:r>
        <w:rPr>
          <w:spacing w:val="-4"/>
          <w:sz w:val="20"/>
        </w:rPr>
        <w:t>.</w:t>
      </w:r>
    </w:p>
    <w:p>
      <w:pPr>
        <w:pStyle w:val="BodyText"/>
        <w:spacing w:before="12"/>
      </w:pPr>
    </w:p>
    <w:p>
      <w:pPr>
        <w:spacing w:line="137" w:lineRule="exact" w:before="0"/>
        <w:ind w:left="165" w:right="0" w:firstLine="0"/>
        <w:jc w:val="left"/>
        <w:rPr>
          <w:sz w:val="14"/>
        </w:rPr>
      </w:pPr>
      <w:bookmarkStart w:name="_bookmark2039" w:id="2041"/>
      <w:bookmarkEnd w:id="2041"/>
      <w:r>
        <w:rPr/>
      </w:r>
      <w:hyperlink w:history="true" w:anchor="_bookmark1974">
        <w:r>
          <w:rPr>
            <w:color w:val="005DA1"/>
            <w:spacing w:val="-2"/>
            <w:sz w:val="14"/>
            <w:u w:val="single" w:color="005DA1"/>
          </w:rPr>
          <w:t>1075</w:t>
        </w:r>
      </w:hyperlink>
      <w:r>
        <w:rPr>
          <w:spacing w:val="-2"/>
          <w:sz w:val="14"/>
        </w:rPr>
        <w:t>.</w:t>
      </w:r>
    </w:p>
    <w:p>
      <w:pPr>
        <w:pStyle w:val="BodyText"/>
        <w:spacing w:line="206" w:lineRule="exact"/>
        <w:ind w:left="875"/>
      </w:pPr>
      <w:r>
        <w:rPr/>
        <w:drawing>
          <wp:anchor distT="0" distB="0" distL="0" distR="0" allowOverlap="1" layoutInCell="1" locked="0" behindDoc="0" simplePos="0" relativeHeight="15840256">
            <wp:simplePos x="0" y="0"/>
            <wp:positionH relativeFrom="page">
              <wp:posOffset>1257846</wp:posOffset>
            </wp:positionH>
            <wp:positionV relativeFrom="paragraph">
              <wp:posOffset>12938</wp:posOffset>
            </wp:positionV>
            <wp:extent cx="107988" cy="107988"/>
            <wp:effectExtent l="0" t="0" r="0" b="0"/>
            <wp:wrapNone/>
            <wp:docPr id="625" name="Image 625"/>
            <wp:cNvGraphicFramePr>
              <a:graphicFrameLocks/>
            </wp:cNvGraphicFramePr>
            <a:graphic>
              <a:graphicData uri="http://schemas.openxmlformats.org/drawingml/2006/picture">
                <pic:pic>
                  <pic:nvPicPr>
                    <pic:cNvPr id="625" name="Image 625"/>
                    <pic:cNvPicPr/>
                  </pic:nvPicPr>
                  <pic:blipFill>
                    <a:blip r:embed="rId6" cstate="print"/>
                    <a:stretch>
                      <a:fillRect/>
                    </a:stretch>
                  </pic:blipFill>
                  <pic:spPr>
                    <a:xfrm>
                      <a:off x="0" y="0"/>
                      <a:ext cx="107988" cy="107988"/>
                    </a:xfrm>
                    <a:prstGeom prst="rect">
                      <a:avLst/>
                    </a:prstGeom>
                  </pic:spPr>
                </pic:pic>
              </a:graphicData>
            </a:graphic>
          </wp:anchor>
        </w:drawing>
      </w:r>
      <w:r>
        <w:rPr/>
        <w:t>See Vol.I, paras 21-011 et </w:t>
      </w:r>
      <w:r>
        <w:rPr>
          <w:spacing w:val="-4"/>
        </w:rPr>
        <w:t>seq.</w:t>
      </w:r>
    </w:p>
    <w:p>
      <w:pPr>
        <w:pStyle w:val="BodyText"/>
        <w:spacing w:before="12"/>
      </w:pPr>
    </w:p>
    <w:p>
      <w:pPr>
        <w:spacing w:line="137" w:lineRule="exact" w:before="0"/>
        <w:ind w:left="165" w:right="0" w:firstLine="0"/>
        <w:jc w:val="left"/>
        <w:rPr>
          <w:sz w:val="14"/>
        </w:rPr>
      </w:pPr>
      <w:bookmarkStart w:name="_bookmark2040" w:id="2042"/>
      <w:bookmarkEnd w:id="2042"/>
      <w:r>
        <w:rPr/>
      </w:r>
      <w:hyperlink w:history="true" w:anchor="_bookmark1975">
        <w:r>
          <w:rPr>
            <w:color w:val="005DA1"/>
            <w:spacing w:val="-2"/>
            <w:sz w:val="14"/>
            <w:u w:val="single" w:color="005DA1"/>
          </w:rPr>
          <w:t>1076</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40768">
            <wp:simplePos x="0" y="0"/>
            <wp:positionH relativeFrom="page">
              <wp:posOffset>1257846</wp:posOffset>
            </wp:positionH>
            <wp:positionV relativeFrom="paragraph">
              <wp:posOffset>13090</wp:posOffset>
            </wp:positionV>
            <wp:extent cx="107988" cy="107988"/>
            <wp:effectExtent l="0" t="0" r="0" b="0"/>
            <wp:wrapNone/>
            <wp:docPr id="626" name="Image 626"/>
            <wp:cNvGraphicFramePr>
              <a:graphicFrameLocks/>
            </wp:cNvGraphicFramePr>
            <a:graphic>
              <a:graphicData uri="http://schemas.openxmlformats.org/drawingml/2006/picture">
                <pic:pic>
                  <pic:nvPicPr>
                    <pic:cNvPr id="626" name="Image 626"/>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w:t>
      </w:r>
      <w:r>
        <w:rPr>
          <w:spacing w:val="31"/>
          <w:sz w:val="20"/>
        </w:rPr>
        <w:t> </w:t>
      </w:r>
      <w:r>
        <w:rPr>
          <w:rFonts w:ascii="Arial"/>
          <w:i/>
          <w:sz w:val="20"/>
        </w:rPr>
        <w:t>Lombard</w:t>
      </w:r>
      <w:r>
        <w:rPr>
          <w:rFonts w:ascii="Arial"/>
          <w:i/>
          <w:spacing w:val="32"/>
          <w:sz w:val="20"/>
        </w:rPr>
        <w:t> </w:t>
      </w:r>
      <w:r>
        <w:rPr>
          <w:rFonts w:ascii="Arial"/>
          <w:i/>
          <w:sz w:val="20"/>
        </w:rPr>
        <w:t>case</w:t>
      </w:r>
      <w:r>
        <w:rPr>
          <w:rFonts w:ascii="Arial"/>
          <w:i/>
          <w:spacing w:val="32"/>
          <w:sz w:val="20"/>
        </w:rPr>
        <w:t> </w:t>
      </w:r>
      <w:r>
        <w:rPr>
          <w:rFonts w:ascii="Arial"/>
          <w:i/>
          <w:sz w:val="20"/>
        </w:rPr>
        <w:t>[1987]</w:t>
      </w:r>
      <w:r>
        <w:rPr>
          <w:rFonts w:ascii="Arial"/>
          <w:i/>
          <w:spacing w:val="32"/>
          <w:sz w:val="20"/>
        </w:rPr>
        <w:t> </w:t>
      </w:r>
      <w:r>
        <w:rPr>
          <w:rFonts w:ascii="Arial"/>
          <w:i/>
          <w:sz w:val="20"/>
        </w:rPr>
        <w:t>Q.B.</w:t>
      </w:r>
      <w:r>
        <w:rPr>
          <w:rFonts w:ascii="Arial"/>
          <w:i/>
          <w:spacing w:val="32"/>
          <w:sz w:val="20"/>
        </w:rPr>
        <w:t> </w:t>
      </w:r>
      <w:r>
        <w:rPr>
          <w:rFonts w:ascii="Arial"/>
          <w:i/>
          <w:sz w:val="20"/>
        </w:rPr>
        <w:t>527</w:t>
      </w:r>
      <w:r>
        <w:rPr>
          <w:sz w:val="20"/>
        </w:rPr>
        <w:t>.</w:t>
      </w:r>
      <w:r>
        <w:rPr>
          <w:spacing w:val="32"/>
          <w:sz w:val="20"/>
        </w:rPr>
        <w:t> </w:t>
      </w:r>
      <w:r>
        <w:rPr>
          <w:sz w:val="20"/>
        </w:rPr>
        <w:t>See</w:t>
      </w:r>
      <w:r>
        <w:rPr>
          <w:spacing w:val="32"/>
          <w:sz w:val="20"/>
        </w:rPr>
        <w:t> </w:t>
      </w:r>
      <w:r>
        <w:rPr>
          <w:sz w:val="20"/>
        </w:rPr>
        <w:t>Treitel</w:t>
      </w:r>
      <w:r>
        <w:rPr>
          <w:spacing w:val="32"/>
          <w:sz w:val="20"/>
        </w:rPr>
        <w:t> </w:t>
      </w:r>
      <w:r>
        <w:rPr>
          <w:sz w:val="20"/>
        </w:rPr>
        <w:t>[1987]</w:t>
      </w:r>
      <w:r>
        <w:rPr>
          <w:spacing w:val="32"/>
          <w:sz w:val="20"/>
        </w:rPr>
        <w:t> </w:t>
      </w:r>
      <w:r>
        <w:rPr>
          <w:sz w:val="20"/>
        </w:rPr>
        <w:t>L.M.C.L.Q.</w:t>
      </w:r>
      <w:r>
        <w:rPr>
          <w:spacing w:val="32"/>
          <w:sz w:val="20"/>
        </w:rPr>
        <w:t> </w:t>
      </w:r>
      <w:r>
        <w:rPr>
          <w:sz w:val="20"/>
        </w:rPr>
        <w:t>143;</w:t>
      </w:r>
      <w:r>
        <w:rPr>
          <w:spacing w:val="32"/>
          <w:sz w:val="20"/>
        </w:rPr>
        <w:t> </w:t>
      </w:r>
      <w:r>
        <w:rPr>
          <w:sz w:val="20"/>
        </w:rPr>
        <w:t>Beale</w:t>
      </w:r>
      <w:r>
        <w:rPr>
          <w:spacing w:val="32"/>
          <w:sz w:val="20"/>
        </w:rPr>
        <w:t> </w:t>
      </w:r>
      <w:r>
        <w:rPr>
          <w:sz w:val="20"/>
        </w:rPr>
        <w:t>(1988)</w:t>
      </w:r>
      <w:r>
        <w:rPr>
          <w:spacing w:val="32"/>
          <w:sz w:val="20"/>
        </w:rPr>
        <w:t> </w:t>
      </w:r>
      <w:r>
        <w:rPr>
          <w:spacing w:val="-5"/>
          <w:sz w:val="20"/>
        </w:rPr>
        <w:t>104</w:t>
      </w:r>
    </w:p>
    <w:p>
      <w:pPr>
        <w:pStyle w:val="BodyText"/>
        <w:spacing w:line="227" w:lineRule="exact"/>
        <w:ind w:left="705"/>
      </w:pPr>
      <w:r>
        <w:rPr/>
        <w:t>L.Q.R. </w:t>
      </w:r>
      <w:r>
        <w:rPr>
          <w:spacing w:val="-4"/>
        </w:rPr>
        <w:t>355.</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1998" w:right="0" w:firstLine="0"/>
        <w:jc w:val="left"/>
        <w:rPr>
          <w:rFonts w:ascii="Arial"/>
          <w:b/>
          <w:sz w:val="24"/>
        </w:rPr>
      </w:pPr>
      <w:r>
        <w:rPr>
          <w:rFonts w:ascii="Arial"/>
          <w:b/>
          <w:sz w:val="24"/>
        </w:rPr>
        <w:t>(c) - Commercially Justified but not a </w:t>
      </w:r>
      <w:r>
        <w:rPr>
          <w:rFonts w:ascii="Arial"/>
          <w:b/>
          <w:spacing w:val="-2"/>
          <w:sz w:val="24"/>
        </w:rPr>
        <w:t>Deterrent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“Genuine pre-estimate” and “whether imposed in </w:t>
      </w:r>
      <w:r>
        <w:rPr>
          <w:rFonts w:ascii="Arial" w:hAnsi="Arial"/>
          <w:b/>
          <w:spacing w:val="-2"/>
          <w:sz w:val="18"/>
        </w:rPr>
        <w:t>terrorem”</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193</w:t>
      </w:r>
    </w:p>
    <w:p>
      <w:pPr>
        <w:pStyle w:val="BodyText"/>
        <w:spacing w:before="88"/>
        <w:rPr>
          <w:rFonts w:ascii="Arial"/>
          <w:b/>
        </w:rPr>
      </w:pPr>
    </w:p>
    <w:p>
      <w:pPr>
        <w:spacing w:before="1"/>
        <w:ind w:left="165" w:right="0" w:firstLine="0"/>
        <w:jc w:val="both"/>
        <w:rPr>
          <w:sz w:val="20"/>
        </w:rPr>
      </w:pPr>
      <w:r>
        <w:rPr>
          <w:position w:val="-2"/>
        </w:rPr>
        <w:drawing>
          <wp:inline distT="0" distB="0" distL="0" distR="0">
            <wp:extent cx="107988" cy="107988"/>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2"/>
          <w:sz w:val="20"/>
        </w:rPr>
        <w:t> </w:t>
      </w:r>
      <w:bookmarkStart w:name="_bookmark2041" w:id="2043"/>
      <w:bookmarkEnd w:id="2043"/>
      <w:r>
        <w:rPr>
          <w:rFonts w:ascii="Times New Roman"/>
          <w:spacing w:val="2"/>
          <w:sz w:val="20"/>
        </w:rPr>
      </w:r>
      <w:r>
        <w:rPr>
          <w:sz w:val="20"/>
        </w:rPr>
        <w:t>Before</w:t>
      </w:r>
      <w:r>
        <w:rPr>
          <w:spacing w:val="49"/>
          <w:sz w:val="20"/>
        </w:rPr>
        <w:t> </w:t>
      </w:r>
      <w:r>
        <w:rPr>
          <w:sz w:val="20"/>
        </w:rPr>
        <w:t>the</w:t>
      </w:r>
      <w:r>
        <w:rPr>
          <w:spacing w:val="49"/>
          <w:sz w:val="20"/>
        </w:rPr>
        <w:t> </w:t>
      </w:r>
      <w:r>
        <w:rPr>
          <w:sz w:val="20"/>
        </w:rPr>
        <w:t>decision</w:t>
      </w:r>
      <w:r>
        <w:rPr>
          <w:spacing w:val="49"/>
          <w:sz w:val="20"/>
        </w:rPr>
        <w:t> </w:t>
      </w:r>
      <w:r>
        <w:rPr>
          <w:sz w:val="20"/>
        </w:rPr>
        <w:t>of</w:t>
      </w:r>
      <w:r>
        <w:rPr>
          <w:spacing w:val="49"/>
          <w:sz w:val="20"/>
        </w:rPr>
        <w:t> </w:t>
      </w:r>
      <w:r>
        <w:rPr>
          <w:sz w:val="20"/>
        </w:rPr>
        <w:t>the</w:t>
      </w:r>
      <w:r>
        <w:rPr>
          <w:spacing w:val="49"/>
          <w:sz w:val="20"/>
        </w:rPr>
        <w:t> </w:t>
      </w:r>
      <w:r>
        <w:rPr>
          <w:sz w:val="20"/>
        </w:rPr>
        <w:t>Supreme</w:t>
      </w:r>
      <w:r>
        <w:rPr>
          <w:spacing w:val="49"/>
          <w:sz w:val="20"/>
        </w:rPr>
        <w:t> </w:t>
      </w:r>
      <w:r>
        <w:rPr>
          <w:sz w:val="20"/>
        </w:rPr>
        <w:t>Court</w:t>
      </w:r>
      <w:r>
        <w:rPr>
          <w:spacing w:val="49"/>
          <w:sz w:val="20"/>
        </w:rPr>
        <w:t> </w:t>
      </w:r>
      <w:r>
        <w:rPr>
          <w:sz w:val="20"/>
        </w:rPr>
        <w:t>in</w:t>
      </w:r>
      <w:r>
        <w:rPr>
          <w:spacing w:val="49"/>
          <w:sz w:val="20"/>
        </w:rPr>
        <w:t> </w:t>
      </w:r>
      <w:r>
        <w:rPr>
          <w:rFonts w:ascii="Arial"/>
          <w:i/>
          <w:sz w:val="20"/>
        </w:rPr>
        <w:t>Cavendish</w:t>
      </w:r>
      <w:r>
        <w:rPr>
          <w:rFonts w:ascii="Arial"/>
          <w:i/>
          <w:spacing w:val="49"/>
          <w:sz w:val="20"/>
        </w:rPr>
        <w:t> </w:t>
      </w:r>
      <w:r>
        <w:rPr>
          <w:rFonts w:ascii="Arial"/>
          <w:i/>
          <w:sz w:val="20"/>
        </w:rPr>
        <w:t>Square</w:t>
      </w:r>
      <w:r>
        <w:rPr>
          <w:rFonts w:ascii="Arial"/>
          <w:i/>
          <w:spacing w:val="49"/>
          <w:sz w:val="20"/>
        </w:rPr>
        <w:t> </w:t>
      </w:r>
      <w:r>
        <w:rPr>
          <w:rFonts w:ascii="Arial"/>
          <w:i/>
          <w:sz w:val="20"/>
        </w:rPr>
        <w:t>Holding</w:t>
      </w:r>
      <w:r>
        <w:rPr>
          <w:rFonts w:ascii="Arial"/>
          <w:i/>
          <w:spacing w:val="49"/>
          <w:sz w:val="20"/>
        </w:rPr>
        <w:t> </w:t>
      </w:r>
      <w:r>
        <w:rPr>
          <w:rFonts w:ascii="Arial"/>
          <w:i/>
          <w:sz w:val="20"/>
        </w:rPr>
        <w:t>BV</w:t>
      </w:r>
      <w:r>
        <w:rPr>
          <w:rFonts w:ascii="Arial"/>
          <w:i/>
          <w:spacing w:val="49"/>
          <w:sz w:val="20"/>
        </w:rPr>
        <w:t> </w:t>
      </w:r>
      <w:r>
        <w:rPr>
          <w:rFonts w:ascii="Arial"/>
          <w:i/>
          <w:sz w:val="20"/>
        </w:rPr>
        <w:t>v</w:t>
      </w:r>
      <w:r>
        <w:rPr>
          <w:rFonts w:ascii="Arial"/>
          <w:i/>
          <w:spacing w:val="49"/>
          <w:sz w:val="20"/>
        </w:rPr>
        <w:t> </w:t>
      </w:r>
      <w:r>
        <w:rPr>
          <w:rFonts w:ascii="Arial"/>
          <w:i/>
          <w:sz w:val="20"/>
        </w:rPr>
        <w:t>Makdessi</w:t>
      </w:r>
      <w:r>
        <w:rPr>
          <w:rFonts w:ascii="Arial"/>
          <w:i/>
          <w:spacing w:val="49"/>
          <w:sz w:val="20"/>
        </w:rPr>
        <w:t> </w:t>
      </w:r>
      <w:r>
        <w:rPr>
          <w:sz w:val="20"/>
        </w:rPr>
        <w:t>and</w:t>
      </w:r>
    </w:p>
    <w:p>
      <w:pPr>
        <w:pStyle w:val="BodyText"/>
        <w:spacing w:line="235" w:lineRule="auto" w:before="118"/>
        <w:ind w:left="165" w:right="167"/>
        <w:jc w:val="both"/>
      </w:pPr>
      <w:r>
        <w:rPr>
          <w:rFonts w:ascii="Arial" w:hAnsi="Arial"/>
          <w:i/>
        </w:rPr>
        <w:t>ParkingEye Ltd v Beavis </w:t>
      </w:r>
      <w:hyperlink w:history="true" w:anchor="_bookmark2053">
        <w:r>
          <w:rPr>
            <w:color w:val="005DA1"/>
            <w:u w:val="single" w:color="005DA1"/>
            <w:vertAlign w:val="superscript"/>
          </w:rPr>
          <w:t>1077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1"/>
            <w:vertAlign w:val="baseline"/>
          </w:rPr>
          <w:t> </w:t>
        </w:r>
        <w:r>
          <w:rPr>
            <w:vertAlign w:val="baseline"/>
          </w:rPr>
          <w:t>there were a number of dicta to the effect that a clause that was not</w:t>
        </w:r>
        <w:r>
          <w:rPr>
            <w:spacing w:val="40"/>
            <w:vertAlign w:val="baseline"/>
          </w:rPr>
          <w:t> </w:t>
        </w:r>
        <w:bookmarkStart w:name="_bookmark2042" w:id="2044"/>
        <w:bookmarkEnd w:id="2044"/>
        <w:r>
          <w:rPr>
            <w:vertAlign w:val="baseline"/>
          </w:rPr>
          <w:t>a</w:t>
        </w:r>
        <w:r>
          <w:rPr>
            <w:spacing w:val="20"/>
            <w:vertAlign w:val="baseline"/>
          </w:rPr>
          <w:t> </w:t>
        </w:r>
        <w:r>
          <w:rPr>
            <w:vertAlign w:val="baseline"/>
          </w:rPr>
          <w:t>genuine</w:t>
        </w:r>
        <w:r>
          <w:rPr>
            <w:spacing w:val="20"/>
            <w:vertAlign w:val="baseline"/>
          </w:rPr>
          <w:t> </w:t>
        </w:r>
        <w:r>
          <w:rPr>
            <w:vertAlign w:val="baseline"/>
          </w:rPr>
          <w:t>pre-estimate</w:t>
        </w:r>
        <w:r>
          <w:rPr>
            <w:spacing w:val="20"/>
            <w:vertAlign w:val="baseline"/>
          </w:rPr>
          <w:t> </w:t>
        </w:r>
        <w:r>
          <w:rPr>
            <w:vertAlign w:val="baseline"/>
          </w:rPr>
          <w:t>at</w:t>
        </w:r>
        <w:r>
          <w:rPr>
            <w:spacing w:val="20"/>
            <w:vertAlign w:val="baseline"/>
          </w:rPr>
          <w:t> </w:t>
        </w:r>
        <w:r>
          <w:rPr>
            <w:vertAlign w:val="baseline"/>
          </w:rPr>
          <w:t>all</w:t>
        </w:r>
        <w:r>
          <w:rPr>
            <w:spacing w:val="20"/>
            <w:vertAlign w:val="baseline"/>
          </w:rPr>
          <w:t> </w:t>
        </w:r>
        <w:r>
          <w:rPr>
            <w:vertAlign w:val="baseline"/>
          </w:rPr>
          <w:t>might</w:t>
        </w:r>
        <w:r>
          <w:rPr>
            <w:spacing w:val="20"/>
            <w:vertAlign w:val="baseline"/>
          </w:rPr>
          <w:t> </w:t>
        </w:r>
        <w:r>
          <w:rPr>
            <w:vertAlign w:val="baseline"/>
          </w:rPr>
          <w:t>nonetheless</w:t>
        </w:r>
        <w:r>
          <w:rPr>
            <w:spacing w:val="20"/>
            <w:vertAlign w:val="baseline"/>
          </w:rPr>
          <w:t> </w:t>
        </w:r>
        <w:r>
          <w:rPr>
            <w:vertAlign w:val="baseline"/>
          </w:rPr>
          <w:t>be</w:t>
        </w:r>
        <w:r>
          <w:rPr>
            <w:spacing w:val="20"/>
            <w:vertAlign w:val="baseline"/>
          </w:rPr>
          <w:t> </w:t>
        </w:r>
        <w:r>
          <w:rPr>
            <w:vertAlign w:val="baseline"/>
          </w:rPr>
          <w:t>valid</w:t>
        </w:r>
        <w:r>
          <w:rPr>
            <w:spacing w:val="20"/>
            <w:vertAlign w:val="baseline"/>
          </w:rPr>
          <w:t> </w:t>
        </w:r>
        <w:r>
          <w:rPr>
            <w:vertAlign w:val="baseline"/>
          </w:rPr>
          <w:t>if</w:t>
        </w:r>
        <w:r>
          <w:rPr>
            <w:spacing w:val="20"/>
            <w:vertAlign w:val="baseline"/>
          </w:rPr>
          <w:t> </w:t>
        </w:r>
        <w:r>
          <w:rPr>
            <w:vertAlign w:val="baseline"/>
          </w:rPr>
          <w:t>it</w:t>
        </w:r>
        <w:r>
          <w:rPr>
            <w:spacing w:val="20"/>
            <w:vertAlign w:val="baseline"/>
          </w:rPr>
          <w:t> </w:t>
        </w:r>
        <w:r>
          <w:rPr>
            <w:vertAlign w:val="baseline"/>
          </w:rPr>
          <w:t>was</w:t>
        </w:r>
        <w:r>
          <w:rPr>
            <w:spacing w:val="20"/>
            <w:vertAlign w:val="baseline"/>
          </w:rPr>
          <w:t> </w:t>
        </w:r>
        <w:r>
          <w:rPr>
            <w:vertAlign w:val="baseline"/>
          </w:rPr>
          <w:t>“commercially</w:t>
        </w:r>
        <w:r>
          <w:rPr>
            <w:spacing w:val="20"/>
            <w:vertAlign w:val="baseline"/>
          </w:rPr>
          <w:t> </w:t>
        </w:r>
        <w:r>
          <w:rPr>
            <w:vertAlign w:val="baseline"/>
          </w:rPr>
          <w:t>justifiable,</w:t>
        </w:r>
        <w:r>
          <w:rPr>
            <w:spacing w:val="20"/>
            <w:vertAlign w:val="baseline"/>
          </w:rPr>
          <w:t> </w:t>
        </w:r>
        <w:r>
          <w:rPr>
            <w:spacing w:val="-2"/>
            <w:vertAlign w:val="baseline"/>
          </w:rPr>
          <w:t>provided</w:t>
        </w:r>
      </w:hyperlink>
    </w:p>
    <w:p>
      <w:pPr>
        <w:pStyle w:val="BodyText"/>
        <w:spacing w:before="116"/>
        <w:ind w:left="164"/>
        <w:jc w:val="both"/>
        <w:rPr>
          <w:rFonts w:ascii="Arial" w:hAnsi="Arial"/>
          <w:i/>
        </w:rPr>
      </w:pPr>
      <w:bookmarkStart w:name="_bookmark2043" w:id="2045"/>
      <w:bookmarkEnd w:id="2045"/>
      <w:r>
        <w:rPr/>
      </w:r>
      <w:r>
        <w:rPr/>
        <w:t>always</w:t>
      </w:r>
      <w:r>
        <w:rPr>
          <w:spacing w:val="2"/>
        </w:rPr>
        <w:t> </w:t>
      </w:r>
      <w:r>
        <w:rPr/>
        <w:t>that</w:t>
      </w:r>
      <w:r>
        <w:rPr>
          <w:spacing w:val="3"/>
        </w:rPr>
        <w:t> </w:t>
      </w:r>
      <w:r>
        <w:rPr/>
        <w:t>its</w:t>
      </w:r>
      <w:r>
        <w:rPr>
          <w:spacing w:val="3"/>
        </w:rPr>
        <w:t> </w:t>
      </w:r>
      <w:r>
        <w:rPr/>
        <w:t>dominant</w:t>
      </w:r>
      <w:r>
        <w:rPr>
          <w:spacing w:val="3"/>
        </w:rPr>
        <w:t> </w:t>
      </w:r>
      <w:r>
        <w:rPr/>
        <w:t>purpose</w:t>
      </w:r>
      <w:r>
        <w:rPr>
          <w:spacing w:val="3"/>
        </w:rPr>
        <w:t> </w:t>
      </w:r>
      <w:r>
        <w:rPr/>
        <w:t>was</w:t>
      </w:r>
      <w:r>
        <w:rPr>
          <w:spacing w:val="3"/>
        </w:rPr>
        <w:t> </w:t>
      </w:r>
      <w:r>
        <w:rPr/>
        <w:t>not</w:t>
      </w:r>
      <w:r>
        <w:rPr>
          <w:spacing w:val="2"/>
        </w:rPr>
        <w:t> </w:t>
      </w:r>
      <w:r>
        <w:rPr/>
        <w:t>to</w:t>
      </w:r>
      <w:r>
        <w:rPr>
          <w:spacing w:val="3"/>
        </w:rPr>
        <w:t> </w:t>
      </w:r>
      <w:r>
        <w:rPr/>
        <w:t>deter</w:t>
      </w:r>
      <w:r>
        <w:rPr>
          <w:spacing w:val="3"/>
        </w:rPr>
        <w:t> </w:t>
      </w:r>
      <w:r>
        <w:rPr/>
        <w:t>the</w:t>
      </w:r>
      <w:r>
        <w:rPr>
          <w:spacing w:val="3"/>
        </w:rPr>
        <w:t> </w:t>
      </w:r>
      <w:r>
        <w:rPr/>
        <w:t>other</w:t>
      </w:r>
      <w:r>
        <w:rPr>
          <w:spacing w:val="3"/>
        </w:rPr>
        <w:t> </w:t>
      </w:r>
      <w:r>
        <w:rPr/>
        <w:t>party</w:t>
      </w:r>
      <w:r>
        <w:rPr>
          <w:spacing w:val="2"/>
        </w:rPr>
        <w:t> </w:t>
      </w:r>
      <w:r>
        <w:rPr/>
        <w:t>from</w:t>
      </w:r>
      <w:r>
        <w:rPr>
          <w:spacing w:val="3"/>
        </w:rPr>
        <w:t> </w:t>
      </w:r>
      <w:r>
        <w:rPr/>
        <w:t>breach”.</w:t>
      </w:r>
      <w:r>
        <w:rPr>
          <w:spacing w:val="3"/>
        </w:rPr>
        <w:t> </w:t>
      </w:r>
      <w:hyperlink w:history="true" w:anchor="_bookmark2054">
        <w:r>
          <w:rPr>
            <w:color w:val="005DA1"/>
            <w:u w:val="single" w:color="005DA1"/>
            <w:vertAlign w:val="superscript"/>
          </w:rPr>
          <w:t>1078</w:t>
        </w:r>
        <w:r>
          <w:rPr>
            <w:color w:val="005DA1"/>
            <w:spacing w:val="33"/>
            <w:vertAlign w:val="baseline"/>
          </w:rPr>
          <w:t>  </w:t>
        </w:r>
        <w:r>
          <w:rPr>
            <w:color w:val="005DA1"/>
            <w:spacing w:val="14"/>
            <w:position w:val="-2"/>
            <w:vertAlign w:val="baseline"/>
          </w:rPr>
          <w:drawing>
            <wp:inline distT="0" distB="0" distL="0" distR="0">
              <wp:extent cx="107988" cy="107988"/>
              <wp:effectExtent l="0" t="0" r="0" b="0"/>
              <wp:docPr id="630" name="Image 630"/>
              <wp:cNvGraphicFramePr>
                <a:graphicFrameLocks/>
              </wp:cNvGraphicFramePr>
              <a:graphic>
                <a:graphicData uri="http://schemas.openxmlformats.org/drawingml/2006/picture">
                  <pic:pic>
                    <pic:nvPicPr>
                      <pic:cNvPr id="630" name="Image 6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5"/>
            <w:vertAlign w:val="baseline"/>
          </w:rPr>
          <w:t> </w:t>
        </w:r>
        <w:r>
          <w:rPr>
            <w:vertAlign w:val="baseline"/>
          </w:rPr>
          <w:t>In</w:t>
        </w:r>
        <w:r>
          <w:rPr>
            <w:spacing w:val="3"/>
            <w:vertAlign w:val="baseline"/>
          </w:rPr>
          <w:t> </w:t>
        </w:r>
        <w:r>
          <w:rPr>
            <w:rFonts w:ascii="Arial" w:hAnsi="Arial"/>
            <w:i/>
            <w:vertAlign w:val="baseline"/>
          </w:rPr>
          <w:t>Makdessi</w:t>
        </w:r>
        <w:r>
          <w:rPr>
            <w:rFonts w:ascii="Arial" w:hAnsi="Arial"/>
            <w:i/>
            <w:spacing w:val="3"/>
            <w:vertAlign w:val="baseline"/>
          </w:rPr>
          <w:t> </w:t>
        </w:r>
        <w:r>
          <w:rPr>
            <w:rFonts w:ascii="Arial" w:hAnsi="Arial"/>
            <w:i/>
            <w:spacing w:val="-10"/>
            <w:vertAlign w:val="baseline"/>
          </w:rPr>
          <w:t>v</w:t>
        </w:r>
      </w:hyperlink>
    </w:p>
    <w:p>
      <w:pPr>
        <w:pStyle w:val="BodyText"/>
        <w:spacing w:line="235" w:lineRule="auto" w:before="119"/>
        <w:ind w:left="165" w:right="166"/>
        <w:jc w:val="both"/>
      </w:pPr>
      <w:r>
        <w:rPr>
          <w:rFonts w:ascii="Arial" w:hAnsi="Arial"/>
          <w:i/>
        </w:rPr>
        <w:t>Cavendish Square Holdings BV </w:t>
      </w:r>
      <w:r>
        <w:rPr>
          <w:color w:val="005DA1"/>
          <w:u w:val="single" w:color="005DA1"/>
          <w:vertAlign w:val="superscript"/>
        </w:rPr>
        <w:t>1079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Makdessi had sold shares in his advertising and marketing business to another company, with payment to be made in stages. Ultimately Cavendish was substituted for the original purchaser by a novation agreement and ended up holding 60 per cent of the shares, Makdessi retaining 40 per cent. The purchaser had an option to buy the remaining</w:t>
      </w:r>
      <w:r>
        <w:rPr>
          <w:spacing w:val="80"/>
          <w:vertAlign w:val="baseline"/>
        </w:rPr>
        <w:t> </w:t>
      </w:r>
      <w:r>
        <w:rPr>
          <w:vertAlign w:val="baseline"/>
        </w:rPr>
        <w:t>shares. Makdessi entered various non-competition covenants. Clause 5.1 provided that if </w:t>
      </w:r>
      <w:r>
        <w:rPr>
          <w:vertAlign w:val="baseline"/>
        </w:rPr>
        <w:t>Makdessi was in breach of the non-competition clauses, he would not be entitled to further instalments of the price; and clause 5.6 provided that, in the same circumstances, the purchaser could require him to transfer his remaining shares at a price that was much lower than the option price, being based on asset value alone and ignoring any element of good will. Cavendish argued that Makdessi was in breach, refused to pay the outstanding instalments of the price and demanded that he transfer the remaining shares at the reduced value. Makdessi argued that clauses 5.1 and 5.6 were penalty clauses and unenforceable. Christopher Clarke L.J., with whom the other members of the court agreed, distinguished the traditional “genuine pre-estimate” approach from the “new approach” and said that the recent cases:</w:t>
      </w:r>
    </w:p>
    <w:p>
      <w:pPr>
        <w:pStyle w:val="BodyText"/>
      </w:pPr>
    </w:p>
    <w:p>
      <w:pPr>
        <w:pStyle w:val="BodyText"/>
        <w:spacing w:before="121"/>
      </w:pPr>
    </w:p>
    <w:p>
      <w:pPr>
        <w:pStyle w:val="BodyText"/>
        <w:spacing w:line="235" w:lineRule="auto"/>
        <w:ind w:left="1245" w:right="167"/>
        <w:jc w:val="both"/>
      </w:pPr>
      <w:r>
        <w:rPr/>
        <w:t>“… show the court adopting the broader test of whether the clause was extravagant </w:t>
      </w:r>
      <w:r>
        <w:rPr/>
        <w:t>and unconscionable with a predominant function of deterrence; and robustly declining to do</w:t>
      </w:r>
      <w:r>
        <w:rPr>
          <w:spacing w:val="40"/>
        </w:rPr>
        <w:t> </w:t>
      </w:r>
      <w:r>
        <w:rPr/>
        <w:t>so</w:t>
      </w:r>
      <w:r>
        <w:rPr>
          <w:spacing w:val="-1"/>
        </w:rPr>
        <w:t> </w:t>
      </w:r>
      <w:r>
        <w:rPr/>
        <w:t>in</w:t>
      </w:r>
      <w:r>
        <w:rPr>
          <w:spacing w:val="-1"/>
        </w:rPr>
        <w:t> </w:t>
      </w:r>
      <w:r>
        <w:rPr/>
        <w:t>circumstances</w:t>
      </w:r>
      <w:r>
        <w:rPr>
          <w:spacing w:val="-1"/>
        </w:rPr>
        <w:t> </w:t>
      </w:r>
      <w:r>
        <w:rPr/>
        <w:t>where</w:t>
      </w:r>
      <w:r>
        <w:rPr>
          <w:spacing w:val="-1"/>
        </w:rPr>
        <w:t> </w:t>
      </w:r>
      <w:r>
        <w:rPr/>
        <w:t>there</w:t>
      </w:r>
      <w:r>
        <w:rPr>
          <w:spacing w:val="-1"/>
        </w:rPr>
        <w:t> </w:t>
      </w:r>
      <w:r>
        <w:rPr/>
        <w:t>was</w:t>
      </w:r>
      <w:r>
        <w:rPr>
          <w:spacing w:val="-1"/>
        </w:rPr>
        <w:t> </w:t>
      </w:r>
      <w:r>
        <w:rPr/>
        <w:t>a</w:t>
      </w:r>
      <w:r>
        <w:rPr>
          <w:spacing w:val="-1"/>
        </w:rPr>
        <w:t> </w:t>
      </w:r>
      <w:r>
        <w:rPr/>
        <w:t>commercial</w:t>
      </w:r>
      <w:r>
        <w:rPr>
          <w:spacing w:val="-1"/>
        </w:rPr>
        <w:t> </w:t>
      </w:r>
      <w:r>
        <w:rPr/>
        <w:t>justification</w:t>
      </w:r>
      <w:r>
        <w:rPr>
          <w:spacing w:val="-1"/>
        </w:rPr>
        <w:t> </w:t>
      </w:r>
      <w:r>
        <w:rPr/>
        <w:t>for</w:t>
      </w:r>
      <w:r>
        <w:rPr>
          <w:spacing w:val="-1"/>
        </w:rPr>
        <w:t> </w:t>
      </w:r>
      <w:r>
        <w:rPr/>
        <w:t>the</w:t>
      </w:r>
      <w:r>
        <w:rPr>
          <w:spacing w:val="-1"/>
        </w:rPr>
        <w:t> </w:t>
      </w:r>
      <w:r>
        <w:rPr/>
        <w:t>clause.</w:t>
      </w:r>
      <w:r>
        <w:rPr>
          <w:spacing w:val="-1"/>
        </w:rPr>
        <w:t> </w:t>
      </w:r>
      <w:r>
        <w:rPr/>
        <w:t>That</w:t>
      </w:r>
      <w:r>
        <w:rPr>
          <w:spacing w:val="-1"/>
        </w:rPr>
        <w:t> </w:t>
      </w:r>
      <w:r>
        <w:rPr/>
        <w:t>this</w:t>
      </w:r>
      <w:r>
        <w:rPr>
          <w:spacing w:val="-1"/>
        </w:rPr>
        <w:t> </w:t>
      </w:r>
      <w:r>
        <w:rPr/>
        <w:t>is a reversion to the foundation of the doctrine is apparent from the observations of Lord Halsbury in </w:t>
      </w:r>
      <w:r>
        <w:rPr>
          <w:rFonts w:ascii="Arial" w:hAnsi="Arial"/>
          <w:i/>
        </w:rPr>
        <w:t>Clydebank Engineering </w:t>
      </w:r>
      <w:r>
        <w:rPr/>
        <w:t>when he asked of the relevant clause:</w:t>
      </w:r>
    </w:p>
    <w:p>
      <w:pPr>
        <w:pStyle w:val="BodyText"/>
      </w:pPr>
    </w:p>
    <w:p>
      <w:pPr>
        <w:pStyle w:val="BodyText"/>
        <w:spacing w:before="125"/>
      </w:pPr>
    </w:p>
    <w:p>
      <w:pPr>
        <w:pStyle w:val="BodyText"/>
        <w:spacing w:line="235" w:lineRule="auto"/>
        <w:ind w:left="1545"/>
      </w:pPr>
      <w:r>
        <w:rPr/>
        <w:t>‘whether</w:t>
      </w:r>
      <w:r>
        <w:rPr>
          <w:spacing w:val="39"/>
        </w:rPr>
        <w:t> </w:t>
      </w:r>
      <w:r>
        <w:rPr/>
        <w:t>it</w:t>
      </w:r>
      <w:r>
        <w:rPr>
          <w:spacing w:val="39"/>
        </w:rPr>
        <w:t> </w:t>
      </w:r>
      <w:r>
        <w:rPr/>
        <w:t>is,</w:t>
      </w:r>
      <w:r>
        <w:rPr>
          <w:spacing w:val="39"/>
        </w:rPr>
        <w:t> </w:t>
      </w:r>
      <w:r>
        <w:rPr/>
        <w:t>what</w:t>
      </w:r>
      <w:r>
        <w:rPr>
          <w:spacing w:val="39"/>
        </w:rPr>
        <w:t> </w:t>
      </w:r>
      <w:r>
        <w:rPr/>
        <w:t>I</w:t>
      </w:r>
      <w:r>
        <w:rPr>
          <w:spacing w:val="39"/>
        </w:rPr>
        <w:t> </w:t>
      </w:r>
      <w:r>
        <w:rPr/>
        <w:t>think</w:t>
      </w:r>
      <w:r>
        <w:rPr>
          <w:spacing w:val="39"/>
        </w:rPr>
        <w:t> </w:t>
      </w:r>
      <w:r>
        <w:rPr/>
        <w:t>gave</w:t>
      </w:r>
      <w:r>
        <w:rPr>
          <w:spacing w:val="39"/>
        </w:rPr>
        <w:t> </w:t>
      </w:r>
      <w:r>
        <w:rPr/>
        <w:t>the</w:t>
      </w:r>
      <w:r>
        <w:rPr>
          <w:spacing w:val="39"/>
        </w:rPr>
        <w:t> </w:t>
      </w:r>
      <w:r>
        <w:rPr/>
        <w:t>jurisdiction</w:t>
      </w:r>
      <w:r>
        <w:rPr>
          <w:spacing w:val="39"/>
        </w:rPr>
        <w:t> </w:t>
      </w:r>
      <w:r>
        <w:rPr/>
        <w:t>to</w:t>
      </w:r>
      <w:r>
        <w:rPr>
          <w:spacing w:val="39"/>
        </w:rPr>
        <w:t> </w:t>
      </w:r>
      <w:r>
        <w:rPr/>
        <w:t>the</w:t>
      </w:r>
      <w:r>
        <w:rPr>
          <w:spacing w:val="39"/>
        </w:rPr>
        <w:t> </w:t>
      </w:r>
      <w:r>
        <w:rPr/>
        <w:t>Courts</w:t>
      </w:r>
      <w:r>
        <w:rPr>
          <w:spacing w:val="39"/>
        </w:rPr>
        <w:t> </w:t>
      </w:r>
      <w:r>
        <w:rPr/>
        <w:t>in</w:t>
      </w:r>
      <w:r>
        <w:rPr>
          <w:spacing w:val="39"/>
        </w:rPr>
        <w:t> </w:t>
      </w:r>
      <w:r>
        <w:rPr/>
        <w:t>both</w:t>
      </w:r>
      <w:r>
        <w:rPr>
          <w:spacing w:val="39"/>
        </w:rPr>
        <w:t> </w:t>
      </w:r>
      <w:r>
        <w:rPr/>
        <w:t>countries</w:t>
      </w:r>
      <w:r>
        <w:rPr>
          <w:spacing w:val="39"/>
        </w:rPr>
        <w:t> </w:t>
      </w:r>
      <w:r>
        <w:rPr/>
        <w:t>to </w:t>
      </w:r>
      <w:bookmarkStart w:name="_bookmark2044" w:id="2046"/>
      <w:bookmarkEnd w:id="2046"/>
      <w:r>
        <w:rPr/>
        <w:t>interfere</w:t>
      </w:r>
      <w:r>
        <w:rPr>
          <w:spacing w:val="6"/>
        </w:rPr>
        <w:t> </w:t>
      </w:r>
      <w:r>
        <w:rPr/>
        <w:t>at</w:t>
      </w:r>
      <w:r>
        <w:rPr>
          <w:spacing w:val="6"/>
        </w:rPr>
        <w:t> </w:t>
      </w:r>
      <w:r>
        <w:rPr/>
        <w:t>all</w:t>
      </w:r>
      <w:r>
        <w:rPr>
          <w:spacing w:val="6"/>
        </w:rPr>
        <w:t> </w:t>
      </w:r>
      <w:r>
        <w:rPr/>
        <w:t>in</w:t>
      </w:r>
      <w:r>
        <w:rPr>
          <w:spacing w:val="6"/>
        </w:rPr>
        <w:t> </w:t>
      </w:r>
      <w:r>
        <w:rPr/>
        <w:t>an</w:t>
      </w:r>
      <w:r>
        <w:rPr>
          <w:spacing w:val="6"/>
        </w:rPr>
        <w:t> </w:t>
      </w:r>
      <w:r>
        <w:rPr/>
        <w:t>agreement</w:t>
      </w:r>
      <w:r>
        <w:rPr>
          <w:spacing w:val="6"/>
        </w:rPr>
        <w:t> </w:t>
      </w:r>
      <w:r>
        <w:rPr/>
        <w:t>between</w:t>
      </w:r>
      <w:r>
        <w:rPr>
          <w:spacing w:val="6"/>
        </w:rPr>
        <w:t> </w:t>
      </w:r>
      <w:r>
        <w:rPr/>
        <w:t>the</w:t>
      </w:r>
      <w:r>
        <w:rPr>
          <w:spacing w:val="6"/>
        </w:rPr>
        <w:t> </w:t>
      </w:r>
      <w:r>
        <w:rPr/>
        <w:t>parties,</w:t>
      </w:r>
      <w:r>
        <w:rPr>
          <w:spacing w:val="6"/>
        </w:rPr>
        <w:t> </w:t>
      </w:r>
      <w:r>
        <w:rPr/>
        <w:t>unconscionable</w:t>
      </w:r>
      <w:r>
        <w:rPr>
          <w:spacing w:val="6"/>
        </w:rPr>
        <w:t> </w:t>
      </w:r>
      <w:r>
        <w:rPr/>
        <w:t>and</w:t>
      </w:r>
      <w:r>
        <w:rPr>
          <w:spacing w:val="6"/>
        </w:rPr>
        <w:t> </w:t>
      </w:r>
      <w:r>
        <w:rPr>
          <w:spacing w:val="-2"/>
        </w:rPr>
        <w:t>extravagant,</w:t>
      </w:r>
    </w:p>
    <w:p>
      <w:pPr>
        <w:pStyle w:val="BodyText"/>
        <w:spacing w:before="115"/>
        <w:ind w:left="1545"/>
        <w:rPr>
          <w:position w:val="-2"/>
        </w:rPr>
      </w:pPr>
      <w:r>
        <w:rPr/>
        <w:t>and one which no Court ought to allow to be enforced’.” </w:t>
      </w:r>
      <w:hyperlink w:history="true" w:anchor="_bookmark2055">
        <w:r>
          <w:rPr>
            <w:color w:val="005DA1"/>
            <w:u w:val="single" w:color="005DA1"/>
            <w:vertAlign w:val="superscript"/>
          </w:rPr>
          <w:t>1080</w:t>
        </w:r>
        <w:r>
          <w:rPr>
            <w:color w:val="005DA1"/>
            <w:spacing w:val="80"/>
            <w:w w:val="150"/>
            <w:vertAlign w:val="baseline"/>
          </w:rPr>
          <w:t> </w:t>
        </w:r>
        <w:r>
          <w:rPr>
            <w:color w:val="005DA1"/>
            <w:position w:val="-2"/>
            <w:vertAlign w:val="baseline"/>
          </w:rPr>
          <w:drawing>
            <wp:inline distT="0" distB="0" distL="0" distR="0">
              <wp:extent cx="107988" cy="107988"/>
              <wp:effectExtent l="0" t="0" r="0" b="0"/>
              <wp:docPr id="632" name="Image 632"/>
              <wp:cNvGraphicFramePr>
                <a:graphicFrameLocks/>
              </wp:cNvGraphicFramePr>
              <a:graphic>
                <a:graphicData uri="http://schemas.openxmlformats.org/drawingml/2006/picture">
                  <pic:pic>
                    <pic:nvPicPr>
                      <pic:cNvPr id="632" name="Image 6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229"/>
      </w:pPr>
    </w:p>
    <w:p>
      <w:pPr>
        <w:pStyle w:val="BodyText"/>
        <w:tabs>
          <w:tab w:pos="1807" w:val="left" w:leader="none"/>
          <w:tab w:pos="6566" w:val="left" w:leader="none"/>
        </w:tabs>
        <w:spacing w:line="484" w:lineRule="auto"/>
        <w:ind w:left="165" w:right="167"/>
      </w:pPr>
      <w:bookmarkStart w:name="_bookmark2045" w:id="2047"/>
      <w:bookmarkEnd w:id="2047"/>
      <w:r>
        <w:rPr/>
      </w:r>
      <w:r>
        <w:rPr/>
        <w:t>Christopher Clarke L.J. made it clear that in his view, deterrence is not recognised as a </w:t>
      </w:r>
      <w:r>
        <w:rPr/>
        <w:t>commercial</w:t>
      </w:r>
      <w:r>
        <w:rPr>
          <w:spacing w:val="40"/>
        </w:rPr>
        <w:t> </w:t>
      </w:r>
      <w:bookmarkStart w:name="_bookmark2046" w:id="2048"/>
      <w:bookmarkEnd w:id="2048"/>
      <w:r>
        <w:rPr/>
        <w:t>justification.</w:t>
      </w:r>
      <w:r>
        <w:rPr>
          <w:spacing w:val="27"/>
        </w:rPr>
        <w:t> </w:t>
      </w:r>
      <w:r>
        <w:rPr>
          <w:color w:val="005DA1"/>
          <w:spacing w:val="-4"/>
          <w:u w:val="single" w:color="005DA1"/>
          <w:vertAlign w:val="superscript"/>
        </w:rPr>
        <w:t>1081</w:t>
      </w:r>
      <w:r>
        <w:rPr>
          <w:color w:val="005DA1"/>
          <w:vertAlign w:val="baseline"/>
        </w:rPr>
        <w:tab/>
      </w:r>
      <w:r>
        <w:rPr>
          <w:color w:val="005DA1"/>
          <w:position w:val="-2"/>
          <w:vertAlign w:val="baseline"/>
        </w:rPr>
        <w:drawing>
          <wp:inline distT="0" distB="0" distL="0" distR="0">
            <wp:extent cx="107988" cy="107988"/>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7"/>
          <w:vertAlign w:val="baseline"/>
        </w:rPr>
        <w:t> </w:t>
      </w:r>
      <w:r>
        <w:rPr>
          <w:vertAlign w:val="baseline"/>
        </w:rPr>
        <w:t>He</w:t>
      </w:r>
      <w:r>
        <w:rPr>
          <w:spacing w:val="32"/>
          <w:vertAlign w:val="baseline"/>
        </w:rPr>
        <w:t> </w:t>
      </w:r>
      <w:r>
        <w:rPr>
          <w:vertAlign w:val="baseline"/>
        </w:rPr>
        <w:t>then</w:t>
      </w:r>
      <w:r>
        <w:rPr>
          <w:spacing w:val="32"/>
          <w:vertAlign w:val="baseline"/>
        </w:rPr>
        <w:t> </w:t>
      </w:r>
      <w:r>
        <w:rPr>
          <w:vertAlign w:val="baseline"/>
        </w:rPr>
        <w:t>applied</w:t>
      </w:r>
      <w:r>
        <w:rPr>
          <w:spacing w:val="32"/>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tests</w:t>
      </w:r>
      <w:r>
        <w:rPr>
          <w:spacing w:val="32"/>
          <w:vertAlign w:val="baseline"/>
        </w:rPr>
        <w:t> </w:t>
      </w:r>
      <w:r>
        <w:rPr>
          <w:vertAlign w:val="baseline"/>
        </w:rPr>
        <w:t>sequentially.</w:t>
      </w:r>
      <w:r>
        <w:rPr>
          <w:spacing w:val="31"/>
          <w:vertAlign w:val="baseline"/>
        </w:rPr>
        <w:t> </w:t>
      </w:r>
      <w:hyperlink w:history="true" w:anchor="_bookmark2057">
        <w:r>
          <w:rPr>
            <w:color w:val="005DA1"/>
            <w:u w:val="single" w:color="005DA1"/>
            <w:vertAlign w:val="superscript"/>
          </w:rPr>
          <w:t>1082</w:t>
        </w:r>
        <w:r>
          <w:rPr>
            <w:color w:val="005DA1"/>
            <w:vertAlign w:val="baseline"/>
          </w:rPr>
          <w:tab/>
        </w:r>
        <w:r>
          <w:rPr>
            <w:color w:val="005DA1"/>
            <w:position w:val="-2"/>
            <w:vertAlign w:val="baseline"/>
          </w:rPr>
          <w:drawing>
            <wp:inline distT="0" distB="0" distL="0" distR="0">
              <wp:extent cx="107988" cy="107988"/>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4"/>
            <w:vertAlign w:val="baseline"/>
          </w:rPr>
          <w:t> </w:t>
        </w:r>
        <w:r>
          <w:rPr>
            <w:vertAlign w:val="baseline"/>
          </w:rPr>
          <w:t>The</w:t>
        </w:r>
        <w:r>
          <w:rPr>
            <w:spacing w:val="20"/>
            <w:vertAlign w:val="baseline"/>
          </w:rPr>
          <w:t> </w:t>
        </w:r>
        <w:r>
          <w:rPr>
            <w:vertAlign w:val="baseline"/>
          </w:rPr>
          <w:t>clauses,</w:t>
        </w:r>
        <w:r>
          <w:rPr>
            <w:spacing w:val="20"/>
            <w:vertAlign w:val="baseline"/>
          </w:rPr>
          <w:t> </w:t>
        </w:r>
        <w:r>
          <w:rPr>
            <w:vertAlign w:val="baseline"/>
          </w:rPr>
          <w:t>which</w:t>
        </w:r>
        <w:r>
          <w:rPr>
            <w:spacing w:val="20"/>
            <w:vertAlign w:val="baseline"/>
          </w:rPr>
          <w:t> </w:t>
        </w:r>
        <w:r>
          <w:rPr>
            <w:vertAlign w:val="baseline"/>
          </w:rPr>
          <w:t>would</w:t>
        </w:r>
      </w:hyperlink>
    </w:p>
    <w:p>
      <w:pPr>
        <w:sectPr>
          <w:headerReference w:type="default" r:id="rId49"/>
          <w:pgSz w:w="11900" w:h="16840"/>
          <w:pgMar w:header="971" w:footer="0" w:top="1300" w:bottom="280" w:left="1275" w:right="1275"/>
          <w:pgNumType w:start="1"/>
        </w:sectPr>
      </w:pPr>
    </w:p>
    <w:p>
      <w:pPr>
        <w:pStyle w:val="BodyText"/>
        <w:spacing w:line="235" w:lineRule="auto" w:before="110"/>
        <w:ind w:left="165" w:right="167"/>
        <w:jc w:val="both"/>
      </w:pPr>
      <w:r>
        <w:rPr/>
        <w:t>result in the seller of a business who had broken various undertakings not to compete </w:t>
      </w:r>
      <w:r>
        <w:rPr/>
        <w:t>receiving </w:t>
      </w:r>
      <w:bookmarkStart w:name="_bookmark2047" w:id="2049"/>
      <w:bookmarkEnd w:id="2049"/>
      <w:r>
        <w:rPr/>
        <w:t>millions</w:t>
      </w:r>
      <w:r>
        <w:rPr>
          <w:spacing w:val="6"/>
        </w:rPr>
        <w:t> </w:t>
      </w:r>
      <w:r>
        <w:rPr/>
        <w:t>of</w:t>
      </w:r>
      <w:r>
        <w:rPr>
          <w:spacing w:val="6"/>
        </w:rPr>
        <w:t> </w:t>
      </w:r>
      <w:r>
        <w:rPr/>
        <w:t>dollars</w:t>
      </w:r>
      <w:r>
        <w:rPr>
          <w:spacing w:val="6"/>
        </w:rPr>
        <w:t> </w:t>
      </w:r>
      <w:r>
        <w:rPr/>
        <w:t>less</w:t>
      </w:r>
      <w:r>
        <w:rPr>
          <w:spacing w:val="6"/>
        </w:rPr>
        <w:t> </w:t>
      </w:r>
      <w:r>
        <w:rPr/>
        <w:t>in</w:t>
      </w:r>
      <w:r>
        <w:rPr>
          <w:spacing w:val="6"/>
        </w:rPr>
        <w:t> </w:t>
      </w:r>
      <w:r>
        <w:rPr/>
        <w:t>consideration,</w:t>
      </w:r>
      <w:r>
        <w:rPr>
          <w:spacing w:val="6"/>
        </w:rPr>
        <w:t> </w:t>
      </w:r>
      <w:r>
        <w:rPr/>
        <w:t>were</w:t>
      </w:r>
      <w:r>
        <w:rPr>
          <w:spacing w:val="6"/>
        </w:rPr>
        <w:t> </w:t>
      </w:r>
      <w:r>
        <w:rPr/>
        <w:t>held</w:t>
      </w:r>
      <w:r>
        <w:rPr>
          <w:spacing w:val="6"/>
        </w:rPr>
        <w:t> </w:t>
      </w:r>
      <w:r>
        <w:rPr/>
        <w:t>to</w:t>
      </w:r>
      <w:r>
        <w:rPr>
          <w:spacing w:val="6"/>
        </w:rPr>
        <w:t> </w:t>
      </w:r>
      <w:r>
        <w:rPr/>
        <w:t>be</w:t>
      </w:r>
      <w:r>
        <w:rPr>
          <w:spacing w:val="6"/>
        </w:rPr>
        <w:t> </w:t>
      </w:r>
      <w:r>
        <w:rPr/>
        <w:t>neither</w:t>
      </w:r>
      <w:r>
        <w:rPr>
          <w:spacing w:val="6"/>
        </w:rPr>
        <w:t> </w:t>
      </w:r>
      <w:r>
        <w:rPr/>
        <w:t>a</w:t>
      </w:r>
      <w:r>
        <w:rPr>
          <w:spacing w:val="6"/>
        </w:rPr>
        <w:t> </w:t>
      </w:r>
      <w:r>
        <w:rPr/>
        <w:t>genuine</w:t>
      </w:r>
      <w:r>
        <w:rPr>
          <w:spacing w:val="6"/>
        </w:rPr>
        <w:t> </w:t>
      </w:r>
      <w:r>
        <w:rPr/>
        <w:t>pre-estimate</w:t>
      </w:r>
      <w:r>
        <w:rPr>
          <w:spacing w:val="6"/>
        </w:rPr>
        <w:t> </w:t>
      </w:r>
      <w:r>
        <w:rPr/>
        <w:t>of</w:t>
      </w:r>
      <w:r>
        <w:rPr>
          <w:spacing w:val="6"/>
        </w:rPr>
        <w:t> </w:t>
      </w:r>
      <w:r>
        <w:rPr/>
        <w:t>the</w:t>
      </w:r>
      <w:r>
        <w:rPr>
          <w:spacing w:val="6"/>
        </w:rPr>
        <w:t> </w:t>
      </w:r>
      <w:r>
        <w:rPr>
          <w:spacing w:val="-2"/>
        </w:rPr>
        <w:t>buyers’</w:t>
      </w:r>
    </w:p>
    <w:p>
      <w:pPr>
        <w:pStyle w:val="BodyText"/>
        <w:spacing w:line="235" w:lineRule="auto" w:before="119"/>
        <w:ind w:left="164" w:right="167"/>
        <w:jc w:val="both"/>
      </w:pPr>
      <w:r>
        <w:rPr/>
        <w:t>likely</w:t>
      </w:r>
      <w:r>
        <w:rPr>
          <w:spacing w:val="-3"/>
        </w:rPr>
        <w:t> </w:t>
      </w:r>
      <w:r>
        <w:rPr/>
        <w:t>loss</w:t>
      </w:r>
      <w:r>
        <w:rPr>
          <w:spacing w:val="-3"/>
        </w:rPr>
        <w:t> </w:t>
      </w:r>
      <w:hyperlink w:history="true" w:anchor="_bookmark2058">
        <w:r>
          <w:rPr>
            <w:color w:val="005DA1"/>
            <w:u w:val="single" w:color="005DA1"/>
            <w:vertAlign w:val="superscript"/>
          </w:rPr>
          <w:t>1083</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635" name="Image 635"/>
              <wp:cNvGraphicFramePr>
                <a:graphicFrameLocks/>
              </wp:cNvGraphicFramePr>
              <a:graphic>
                <a:graphicData uri="http://schemas.openxmlformats.org/drawingml/2006/picture">
                  <pic:pic>
                    <pic:nvPicPr>
                      <pic:cNvPr id="635" name="Image 6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nor</w:t>
        </w:r>
        <w:r>
          <w:rPr>
            <w:spacing w:val="-3"/>
            <w:vertAlign w:val="baseline"/>
          </w:rPr>
          <w:t> </w:t>
        </w:r>
        <w:r>
          <w:rPr>
            <w:vertAlign w:val="baseline"/>
          </w:rPr>
          <w:t>commercially</w:t>
        </w:r>
        <w:r>
          <w:rPr>
            <w:spacing w:val="-3"/>
            <w:vertAlign w:val="baseline"/>
          </w:rPr>
          <w:t> </w:t>
        </w:r>
        <w:r>
          <w:rPr>
            <w:vertAlign w:val="baseline"/>
          </w:rPr>
          <w:t>justified.</w:t>
        </w:r>
        <w:r>
          <w:rPr>
            <w:spacing w:val="-3"/>
            <w:vertAlign w:val="baseline"/>
          </w:rPr>
          <w:t> </w:t>
        </w:r>
        <w:r>
          <w:rPr>
            <w:vertAlign w:val="baseline"/>
          </w:rPr>
          <w:t>Although</w:t>
        </w:r>
        <w:r>
          <w:rPr>
            <w:spacing w:val="-3"/>
            <w:vertAlign w:val="baseline"/>
          </w:rPr>
          <w:t> </w:t>
        </w:r>
        <w:r>
          <w:rPr>
            <w:vertAlign w:val="baseline"/>
          </w:rPr>
          <w:t>it</w:t>
        </w:r>
        <w:r>
          <w:rPr>
            <w:spacing w:val="-3"/>
            <w:vertAlign w:val="baseline"/>
          </w:rPr>
          <w:t> </w:t>
        </w:r>
        <w:r>
          <w:rPr>
            <w:vertAlign w:val="baseline"/>
          </w:rPr>
          <w:t>had</w:t>
        </w:r>
        <w:r>
          <w:rPr>
            <w:spacing w:val="-3"/>
            <w:vertAlign w:val="baseline"/>
          </w:rPr>
          <w:t> </w:t>
        </w:r>
        <w:r>
          <w:rPr>
            <w:vertAlign w:val="baseline"/>
          </w:rPr>
          <w:t>been</w:t>
        </w:r>
        <w:r>
          <w:rPr>
            <w:spacing w:val="-3"/>
            <w:vertAlign w:val="baseline"/>
          </w:rPr>
          <w:t> </w:t>
        </w:r>
        <w:r>
          <w:rPr>
            <w:vertAlign w:val="baseline"/>
          </w:rPr>
          <w:t>argued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clauses</w:t>
        </w:r>
        <w:r>
          <w:rPr>
            <w:spacing w:val="-3"/>
            <w:vertAlign w:val="baseline"/>
          </w:rPr>
          <w:t> </w:t>
        </w:r>
        <w:r>
          <w:rPr>
            <w:vertAlign w:val="baseline"/>
          </w:rPr>
          <w:t>were</w:t>
        </w:r>
        <w:r>
          <w:rPr>
            <w:spacing w:val="-3"/>
            <w:vertAlign w:val="baseline"/>
          </w:rPr>
          <w:t> </w:t>
        </w:r>
        <w:r>
          <w:rPr>
            <w:vertAlign w:val="baseline"/>
          </w:rPr>
          <w:t>part</w:t>
        </w:r>
        <w:r>
          <w:rPr>
            <w:spacing w:val="-3"/>
            <w:vertAlign w:val="baseline"/>
          </w:rPr>
          <w:t> </w:t>
        </w:r>
        <w:r>
          <w:rPr>
            <w:vertAlign w:val="baseline"/>
          </w:rPr>
          <w:t>of a commercial bargain, reached after extensive negotiation, as to the price at which shares in </w:t>
        </w:r>
        <w:r>
          <w:rPr>
            <w:vertAlign w:val="baseline"/>
          </w:rPr>
          <w:t>the Company were to change hands:</w:t>
        </w:r>
      </w:hyperlink>
    </w:p>
    <w:p>
      <w:pPr>
        <w:pStyle w:val="BodyText"/>
      </w:pPr>
    </w:p>
    <w:p>
      <w:pPr>
        <w:pStyle w:val="BodyText"/>
        <w:spacing w:before="126"/>
      </w:pPr>
    </w:p>
    <w:p>
      <w:pPr>
        <w:pStyle w:val="BodyText"/>
        <w:spacing w:line="235" w:lineRule="auto"/>
        <w:ind w:left="1244" w:right="167"/>
        <w:jc w:val="both"/>
      </w:pPr>
      <w:r>
        <w:rPr/>
        <w:t>“The underlying rationale of the doctrine of penalties is that the Court will grant relief against the enforcement of provisions for payment (or the loss of rights or the </w:t>
      </w:r>
      <w:r>
        <w:rPr/>
        <w:t>compulsory transfer of property at nil or an undervalue) in the event of breach, where the amount to be</w:t>
      </w:r>
      <w:r>
        <w:rPr>
          <w:spacing w:val="-2"/>
        </w:rPr>
        <w:t> </w:t>
      </w:r>
      <w:r>
        <w:rPr/>
        <w:t>paid</w:t>
      </w:r>
      <w:r>
        <w:rPr>
          <w:spacing w:val="-2"/>
        </w:rPr>
        <w:t> </w:t>
      </w:r>
      <w:r>
        <w:rPr/>
        <w:t>or</w:t>
      </w:r>
      <w:r>
        <w:rPr>
          <w:spacing w:val="-2"/>
        </w:rPr>
        <w:t> </w:t>
      </w:r>
      <w:r>
        <w:rPr/>
        <w:t>lost</w:t>
      </w:r>
      <w:r>
        <w:rPr>
          <w:spacing w:val="-2"/>
        </w:rPr>
        <w:t> </w:t>
      </w:r>
      <w:r>
        <w:rPr/>
        <w:t>is</w:t>
      </w:r>
      <w:r>
        <w:rPr>
          <w:spacing w:val="-2"/>
        </w:rPr>
        <w:t> </w:t>
      </w:r>
      <w:r>
        <w:rPr/>
        <w:t>out</w:t>
      </w:r>
      <w:r>
        <w:rPr>
          <w:spacing w:val="-2"/>
        </w:rPr>
        <w:t> </w:t>
      </w:r>
      <w:r>
        <w:rPr/>
        <w:t>of</w:t>
      </w:r>
      <w:r>
        <w:rPr>
          <w:spacing w:val="-2"/>
        </w:rPr>
        <w:t> </w:t>
      </w:r>
      <w:r>
        <w:rPr/>
        <w:t>all</w:t>
      </w:r>
      <w:r>
        <w:rPr>
          <w:spacing w:val="-2"/>
        </w:rPr>
        <w:t> </w:t>
      </w:r>
      <w:r>
        <w:rPr/>
        <w:t>proportion</w:t>
      </w:r>
      <w:r>
        <w:rPr>
          <w:spacing w:val="-2"/>
        </w:rPr>
        <w:t> </w:t>
      </w:r>
      <w:r>
        <w:rPr/>
        <w:t>to</w:t>
      </w:r>
      <w:r>
        <w:rPr>
          <w:spacing w:val="-2"/>
        </w:rPr>
        <w:t> </w:t>
      </w:r>
      <w:r>
        <w:rPr/>
        <w:t>the</w:t>
      </w:r>
      <w:r>
        <w:rPr>
          <w:spacing w:val="-2"/>
        </w:rPr>
        <w:t> </w:t>
      </w:r>
      <w:r>
        <w:rPr/>
        <w:t>loss</w:t>
      </w:r>
      <w:r>
        <w:rPr>
          <w:spacing w:val="-2"/>
        </w:rPr>
        <w:t> </w:t>
      </w:r>
      <w:r>
        <w:rPr/>
        <w:t>attributable</w:t>
      </w:r>
      <w:r>
        <w:rPr>
          <w:spacing w:val="-2"/>
        </w:rPr>
        <w:t> </w:t>
      </w:r>
      <w:r>
        <w:rPr/>
        <w:t>to</w:t>
      </w:r>
      <w:r>
        <w:rPr>
          <w:spacing w:val="-2"/>
        </w:rPr>
        <w:t> </w:t>
      </w:r>
      <w:r>
        <w:rPr/>
        <w:t>the</w:t>
      </w:r>
      <w:r>
        <w:rPr>
          <w:spacing w:val="-2"/>
        </w:rPr>
        <w:t> </w:t>
      </w:r>
      <w:r>
        <w:rPr/>
        <w:t>breach.</w:t>
      </w:r>
      <w:r>
        <w:rPr>
          <w:spacing w:val="-2"/>
        </w:rPr>
        <w:t> </w:t>
      </w:r>
      <w:r>
        <w:rPr/>
        <w:t>If</w:t>
      </w:r>
      <w:r>
        <w:rPr>
          <w:spacing w:val="-2"/>
        </w:rPr>
        <w:t> </w:t>
      </w:r>
      <w:r>
        <w:rPr/>
        <w:t>that</w:t>
      </w:r>
      <w:r>
        <w:rPr>
          <w:spacing w:val="-2"/>
        </w:rPr>
        <w:t> </w:t>
      </w:r>
      <w:r>
        <w:rPr/>
        <w:t>is</w:t>
      </w:r>
      <w:r>
        <w:rPr>
          <w:spacing w:val="-2"/>
        </w:rPr>
        <w:t> </w:t>
      </w:r>
      <w:r>
        <w:rPr/>
        <w:t>so,</w:t>
      </w:r>
      <w:r>
        <w:rPr>
          <w:spacing w:val="-2"/>
        </w:rPr>
        <w:t> </w:t>
      </w:r>
      <w:r>
        <w:rPr/>
        <w:t>the provisions are likely to be regarded as penal because their function is to act as a </w:t>
      </w:r>
      <w:r>
        <w:rPr>
          <w:spacing w:val="-2"/>
        </w:rPr>
        <w:t>deterrent.</w:t>
      </w:r>
    </w:p>
    <w:p>
      <w:pPr>
        <w:pStyle w:val="BodyText"/>
        <w:spacing w:before="221"/>
      </w:pPr>
    </w:p>
    <w:p>
      <w:pPr>
        <w:pStyle w:val="BodyText"/>
        <w:spacing w:line="235" w:lineRule="auto"/>
        <w:ind w:left="1244" w:right="167"/>
        <w:jc w:val="both"/>
      </w:pPr>
      <w:r>
        <w:rPr/>
        <w:t>That seems to me the position here. The payment terms of clauses 5.1 and 5.6 do </w:t>
      </w:r>
      <w:r>
        <w:rPr/>
        <w:t>not serve to fulfil some justifiable commercial or economic function such as is exemplified in the cases—a modest extra interest in respect of a defaulting loan; a provision for the payment of the costs of earlier litigation; a generous measure of damages for wrongful </w:t>
      </w:r>
      <w:bookmarkStart w:name="_bookmark2048" w:id="2050"/>
      <w:bookmarkEnd w:id="2050"/>
      <w:r>
        <w:rPr/>
        <w:t>dismissal;</w:t>
      </w:r>
      <w:r>
        <w:rPr>
          <w:spacing w:val="7"/>
        </w:rPr>
        <w:t> </w:t>
      </w:r>
      <w:r>
        <w:rPr/>
        <w:t>an</w:t>
      </w:r>
      <w:r>
        <w:rPr>
          <w:spacing w:val="7"/>
        </w:rPr>
        <w:t> </w:t>
      </w:r>
      <w:r>
        <w:rPr/>
        <w:t>allocation</w:t>
      </w:r>
      <w:r>
        <w:rPr>
          <w:spacing w:val="7"/>
        </w:rPr>
        <w:t> </w:t>
      </w:r>
      <w:r>
        <w:rPr/>
        <w:t>of</w:t>
      </w:r>
      <w:r>
        <w:rPr>
          <w:spacing w:val="7"/>
        </w:rPr>
        <w:t> </w:t>
      </w:r>
      <w:r>
        <w:rPr/>
        <w:t>credit</w:t>
      </w:r>
      <w:r>
        <w:rPr>
          <w:spacing w:val="7"/>
        </w:rPr>
        <w:t> </w:t>
      </w:r>
      <w:r>
        <w:rPr/>
        <w:t>risk;</w:t>
      </w:r>
      <w:r>
        <w:rPr>
          <w:spacing w:val="7"/>
        </w:rPr>
        <w:t> </w:t>
      </w:r>
      <w:r>
        <w:rPr/>
        <w:t>or</w:t>
      </w:r>
      <w:r>
        <w:rPr>
          <w:spacing w:val="7"/>
        </w:rPr>
        <w:t> </w:t>
      </w:r>
      <w:r>
        <w:rPr/>
        <w:t>the</w:t>
      </w:r>
      <w:r>
        <w:rPr>
          <w:spacing w:val="7"/>
        </w:rPr>
        <w:t> </w:t>
      </w:r>
      <w:r>
        <w:rPr/>
        <w:t>provision</w:t>
      </w:r>
      <w:r>
        <w:rPr>
          <w:spacing w:val="7"/>
        </w:rPr>
        <w:t> </w:t>
      </w:r>
      <w:r>
        <w:rPr/>
        <w:t>of</w:t>
      </w:r>
      <w:r>
        <w:rPr>
          <w:spacing w:val="7"/>
        </w:rPr>
        <w:t> </w:t>
      </w:r>
      <w:r>
        <w:rPr/>
        <w:t>capital</w:t>
      </w:r>
      <w:r>
        <w:rPr>
          <w:spacing w:val="7"/>
        </w:rPr>
        <w:t> </w:t>
      </w:r>
      <w:r>
        <w:rPr/>
        <w:t>which</w:t>
      </w:r>
      <w:r>
        <w:rPr>
          <w:spacing w:val="7"/>
        </w:rPr>
        <w:t> </w:t>
      </w:r>
      <w:r>
        <w:rPr/>
        <w:t>would</w:t>
      </w:r>
      <w:r>
        <w:rPr>
          <w:spacing w:val="7"/>
        </w:rPr>
        <w:t> </w:t>
      </w:r>
      <w:r>
        <w:rPr/>
        <w:t>be</w:t>
      </w:r>
      <w:r>
        <w:rPr>
          <w:spacing w:val="7"/>
        </w:rPr>
        <w:t> </w:t>
      </w:r>
      <w:r>
        <w:rPr/>
        <w:t>needed</w:t>
      </w:r>
      <w:r>
        <w:rPr>
          <w:spacing w:val="7"/>
        </w:rPr>
        <w:t> </w:t>
      </w:r>
      <w:r>
        <w:rPr>
          <w:spacing w:val="-5"/>
        </w:rPr>
        <w:t>if</w:t>
      </w:r>
    </w:p>
    <w:p>
      <w:pPr>
        <w:pStyle w:val="BodyText"/>
        <w:spacing w:before="115"/>
        <w:ind w:left="1244"/>
        <w:jc w:val="both"/>
        <w:rPr>
          <w:position w:val="-2"/>
        </w:rPr>
      </w:pPr>
      <w:r>
        <w:rPr/>
        <w:t>a promised guarantee of a loan was not forthcoming …” </w:t>
      </w:r>
      <w:hyperlink w:history="true" w:anchor="_bookmark2059">
        <w:r>
          <w:rPr>
            <w:color w:val="005DA1"/>
            <w:u w:val="single" w:color="005DA1"/>
            <w:vertAlign w:val="superscript"/>
          </w:rPr>
          <w:t>1084</w:t>
        </w:r>
        <w:r>
          <w:rPr>
            <w:color w:val="005DA1"/>
            <w:spacing w:val="80"/>
            <w:w w:val="150"/>
            <w:vertAlign w:val="baseline"/>
          </w:rPr>
          <w:t> </w:t>
        </w:r>
        <w:r>
          <w:rPr>
            <w:color w:val="005DA1"/>
            <w:position w:val="-2"/>
            <w:vertAlign w:val="baseline"/>
          </w:rPr>
          <w:drawing>
            <wp:inline distT="0" distB="0" distL="0" distR="0">
              <wp:extent cx="107988" cy="107988"/>
              <wp:effectExtent l="0" t="0" r="0" b="0"/>
              <wp:docPr id="636" name="Image 636"/>
              <wp:cNvGraphicFramePr>
                <a:graphicFrameLocks/>
              </wp:cNvGraphicFramePr>
              <a:graphic>
                <a:graphicData uri="http://schemas.openxmlformats.org/drawingml/2006/picture">
                  <pic:pic>
                    <pic:nvPicPr>
                      <pic:cNvPr id="636" name="Image 6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5"/>
      </w:pPr>
    </w:p>
    <w:p>
      <w:pPr>
        <w:pStyle w:val="BodyText"/>
        <w:spacing w:line="235" w:lineRule="auto"/>
        <w:ind w:left="165" w:right="167"/>
        <w:jc w:val="both"/>
      </w:pPr>
      <w:bookmarkStart w:name="_bookmark2049" w:id="2051"/>
      <w:bookmarkEnd w:id="2051"/>
      <w:r>
        <w:rPr/>
      </w:r>
      <w:r>
        <w:rPr/>
        <w:t>As will be seen in the next section, the Supreme Court </w:t>
      </w:r>
      <w:hyperlink w:history="true" w:anchor="_bookmark2060">
        <w:r>
          <w:rPr>
            <w:color w:val="005DA1"/>
            <w:u w:val="single" w:color="005DA1"/>
            <w:vertAlign w:val="superscript"/>
          </w:rPr>
          <w:t>1085</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637" name="Image 637"/>
              <wp:cNvGraphicFramePr>
                <a:graphicFrameLocks/>
              </wp:cNvGraphicFramePr>
              <a:graphic>
                <a:graphicData uri="http://schemas.openxmlformats.org/drawingml/2006/picture">
                  <pic:pic>
                    <pic:nvPicPr>
                      <pic:cNvPr id="637" name="Image 6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1"/>
            <w:vertAlign w:val="baseline"/>
          </w:rPr>
          <w:t> </w:t>
        </w:r>
        <w:r>
          <w:rPr>
            <w:vertAlign w:val="baseline"/>
          </w:rPr>
          <w:t>reversed this decision, holding that </w:t>
        </w:r>
        <w:r>
          <w:rPr>
            <w:vertAlign w:val="baseline"/>
          </w:rPr>
          <w:t>a clause may be valid even if it clearly has a deterrent function, provided that the party to whom the</w:t>
        </w:r>
        <w:r>
          <w:rPr>
            <w:spacing w:val="40"/>
            <w:vertAlign w:val="baseline"/>
          </w:rPr>
          <w:t> </w:t>
        </w:r>
        <w:r>
          <w:rPr>
            <w:vertAlign w:val="baseline"/>
          </w:rPr>
          <w:t>sum will be paid has a legitimate interest in securing performance rather than damages, and the </w:t>
        </w:r>
        <w:bookmarkStart w:name="_bookmark2050" w:id="2052"/>
        <w:bookmarkEnd w:id="2052"/>
        <w:r>
          <w:rPr>
            <w:vertAlign w:val="baseline"/>
          </w:rPr>
          <w:t>amount</w:t>
        </w:r>
        <w:r>
          <w:rPr>
            <w:vertAlign w:val="baseline"/>
          </w:rPr>
          <w:t> payable or other consequence if the contract is broken is not extravagant and </w:t>
        </w:r>
        <w:r>
          <w:rPr>
            <w:spacing w:val="-2"/>
            <w:vertAlign w:val="baseline"/>
          </w:rPr>
          <w:t>unconscionable</w:t>
        </w:r>
      </w:hyperlink>
    </w:p>
    <w:p>
      <w:pPr>
        <w:pStyle w:val="BodyText"/>
        <w:spacing w:before="115"/>
        <w:ind w:left="165"/>
        <w:jc w:val="both"/>
        <w:rPr>
          <w:position w:val="-2"/>
        </w:rPr>
      </w:pPr>
      <w:r>
        <w:rPr/>
        <w:t>in comparison to that interest. </w:t>
      </w:r>
      <w:hyperlink w:history="true" w:anchor="_bookmark2061">
        <w:r>
          <w:rPr>
            <w:color w:val="005DA1"/>
            <w:u w:val="single" w:color="005DA1"/>
            <w:vertAlign w:val="superscript"/>
          </w:rPr>
          <w:t>1086</w:t>
        </w:r>
        <w:r>
          <w:rPr>
            <w:color w:val="005DA1"/>
            <w:spacing w:val="80"/>
            <w:w w:val="150"/>
            <w:vertAlign w:val="baseline"/>
          </w:rPr>
          <w:t> </w:t>
        </w:r>
        <w:r>
          <w:rPr>
            <w:color w:val="005DA1"/>
            <w:position w:val="-2"/>
            <w:vertAlign w:val="baseline"/>
          </w:rPr>
          <w:drawing>
            <wp:inline distT="0" distB="0" distL="0" distR="0">
              <wp:extent cx="107988" cy="107988"/>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“Commercial justifications” and “legitimate </w:t>
      </w:r>
      <w:r>
        <w:rPr>
          <w:rFonts w:ascii="Arial" w:hAnsi="Arial"/>
          <w:b/>
          <w:spacing w:val="-2"/>
          <w:sz w:val="18"/>
        </w:rPr>
        <w:t>interests”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seems likely that the “commercial justifications” given in the cases referred to in this section and </w:t>
      </w:r>
      <w:bookmarkStart w:name="_bookmark2051" w:id="2053"/>
      <w:bookmarkEnd w:id="2053"/>
      <w:r>
        <w:rPr/>
        <w:t>listed</w:t>
      </w:r>
      <w:r>
        <w:rPr>
          <w:spacing w:val="3"/>
        </w:rPr>
        <w:t> </w:t>
      </w:r>
      <w:r>
        <w:rPr/>
        <w:t>by</w:t>
      </w:r>
      <w:r>
        <w:rPr>
          <w:spacing w:val="3"/>
        </w:rPr>
        <w:t> </w:t>
      </w:r>
      <w:r>
        <w:rPr/>
        <w:t>Christopher</w:t>
      </w:r>
      <w:r>
        <w:rPr>
          <w:spacing w:val="3"/>
        </w:rPr>
        <w:t> </w:t>
      </w:r>
      <w:r>
        <w:rPr/>
        <w:t>Clarke</w:t>
      </w:r>
      <w:r>
        <w:rPr>
          <w:spacing w:val="3"/>
        </w:rPr>
        <w:t> </w:t>
      </w:r>
      <w:r>
        <w:rPr/>
        <w:t>L.J.</w:t>
      </w:r>
      <w:r>
        <w:rPr>
          <w:spacing w:val="3"/>
        </w:rPr>
        <w:t> </w:t>
      </w:r>
      <w:r>
        <w:rPr/>
        <w:t>in</w:t>
      </w:r>
      <w:r>
        <w:rPr>
          <w:spacing w:val="3"/>
        </w:rPr>
        <w:t> </w:t>
      </w:r>
      <w:r>
        <w:rPr/>
        <w:t>the</w:t>
      </w:r>
      <w:r>
        <w:rPr>
          <w:spacing w:val="3"/>
        </w:rPr>
        <w:t> </w:t>
      </w:r>
      <w:r>
        <w:rPr/>
        <w:t>passage</w:t>
      </w:r>
      <w:r>
        <w:rPr>
          <w:spacing w:val="3"/>
        </w:rPr>
        <w:t> </w:t>
      </w:r>
      <w:r>
        <w:rPr/>
        <w:t>cited</w:t>
      </w:r>
      <w:r>
        <w:rPr>
          <w:spacing w:val="3"/>
        </w:rPr>
        <w:t> </w:t>
      </w:r>
      <w:r>
        <w:rPr/>
        <w:t>in</w:t>
      </w:r>
      <w:r>
        <w:rPr>
          <w:spacing w:val="3"/>
        </w:rPr>
        <w:t> </w:t>
      </w:r>
      <w:r>
        <w:rPr/>
        <w:t>the</w:t>
      </w:r>
      <w:r>
        <w:rPr>
          <w:spacing w:val="3"/>
        </w:rPr>
        <w:t> </w:t>
      </w:r>
      <w:r>
        <w:rPr/>
        <w:t>previous</w:t>
      </w:r>
      <w:r>
        <w:rPr>
          <w:spacing w:val="3"/>
        </w:rPr>
        <w:t> </w:t>
      </w:r>
      <w:r>
        <w:rPr/>
        <w:t>paragraph,</w:t>
      </w:r>
      <w:r>
        <w:rPr>
          <w:spacing w:val="3"/>
        </w:rPr>
        <w:t> </w:t>
      </w:r>
      <w:r>
        <w:rPr/>
        <w:t>would</w:t>
      </w:r>
      <w:r>
        <w:rPr>
          <w:spacing w:val="3"/>
        </w:rPr>
        <w:t> </w:t>
      </w:r>
      <w:r>
        <w:rPr/>
        <w:t>also</w:t>
      </w:r>
      <w:r>
        <w:rPr>
          <w:spacing w:val="3"/>
        </w:rPr>
        <w:t> </w:t>
      </w:r>
      <w:r>
        <w:rPr>
          <w:spacing w:val="-2"/>
        </w:rPr>
        <w:t>constitute</w:t>
      </w:r>
    </w:p>
    <w:p>
      <w:pPr>
        <w:pStyle w:val="BodyText"/>
        <w:spacing w:before="9"/>
      </w:pPr>
    </w:p>
    <w:p>
      <w:pPr>
        <w:pStyle w:val="BodyText"/>
        <w:spacing w:line="235" w:lineRule="auto" w:before="1"/>
        <w:ind w:left="165" w:right="167"/>
        <w:jc w:val="both"/>
      </w:pPr>
      <w:bookmarkStart w:name="_bookmark2052" w:id="2054"/>
      <w:bookmarkEnd w:id="2054"/>
      <w:r>
        <w:rPr/>
      </w:r>
      <w:r>
        <w:rPr/>
        <w:t>legitimate interests </w:t>
      </w:r>
      <w:r>
        <w:rPr>
          <w:color w:val="005DA1"/>
          <w:u w:val="single" w:color="005DA1"/>
          <w:vertAlign w:val="superscript"/>
        </w:rPr>
        <w:t>1087</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640" name="Image 640"/>
            <wp:cNvGraphicFramePr>
              <a:graphicFrameLocks/>
            </wp:cNvGraphicFramePr>
            <a:graphic>
              <a:graphicData uri="http://schemas.openxmlformats.org/drawingml/2006/picture">
                <pic:pic>
                  <pic:nvPicPr>
                    <pic:cNvPr id="640" name="Image 6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5"/>
          <w:vertAlign w:val="baseline"/>
        </w:rPr>
        <w:t> </w:t>
      </w:r>
      <w:r>
        <w:rPr>
          <w:vertAlign w:val="baseline"/>
        </w:rPr>
        <w:t>within the meaning of the Supreme Court’s new test. </w:t>
      </w:r>
      <w:hyperlink w:history="true" w:anchor="_bookmark2063">
        <w:r>
          <w:rPr>
            <w:color w:val="005DA1"/>
            <w:u w:val="single" w:color="005DA1"/>
            <w:vertAlign w:val="superscript"/>
          </w:rPr>
          <w:t>1088</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641" name="Image 641"/>
              <wp:cNvGraphicFramePr>
                <a:graphicFrameLocks/>
              </wp:cNvGraphicFramePr>
              <a:graphic>
                <a:graphicData uri="http://schemas.openxmlformats.org/drawingml/2006/picture">
                  <pic:pic>
                    <pic:nvPicPr>
                      <pic:cNvPr id="641" name="Image 6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5"/>
            <w:vertAlign w:val="baseline"/>
          </w:rPr>
          <w:t> </w:t>
        </w:r>
        <w:r>
          <w:rPr>
            <w:vertAlign w:val="baseline"/>
          </w:rPr>
          <w:t>If that is correct, there is no further need to refer to “commercial justification” as a test of whether an agreed damages or similar clause is valid or a penalty.</w:t>
        </w:r>
      </w:hyperlink>
    </w:p>
    <w:p>
      <w:pPr>
        <w:pStyle w:val="BodyText"/>
      </w:pPr>
    </w:p>
    <w:p>
      <w:pPr>
        <w:pStyle w:val="BodyText"/>
        <w:spacing w:before="38"/>
      </w:pPr>
      <w:r>
        <w:rPr/>
        <mc:AlternateContent>
          <mc:Choice Requires="wps">
            <w:drawing>
              <wp:anchor distT="0" distB="0" distL="0" distR="0" allowOverlap="1" layoutInCell="1" locked="0" behindDoc="1" simplePos="0" relativeHeight="487700480">
                <wp:simplePos x="0" y="0"/>
                <wp:positionH relativeFrom="page">
                  <wp:posOffset>914400</wp:posOffset>
                </wp:positionH>
                <wp:positionV relativeFrom="paragraph">
                  <wp:posOffset>185852</wp:posOffset>
                </wp:positionV>
                <wp:extent cx="5724525" cy="1270"/>
                <wp:effectExtent l="0" t="0" r="0" b="0"/>
                <wp:wrapTopAndBottom/>
                <wp:docPr id="642" name="Graphic 642"/>
                <wp:cNvGraphicFramePr>
                  <a:graphicFrameLocks/>
                </wp:cNvGraphicFramePr>
                <a:graphic>
                  <a:graphicData uri="http://schemas.microsoft.com/office/word/2010/wordprocessingShape">
                    <wps:wsp>
                      <wps:cNvPr id="642" name="Graphic 64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402pt;width:450.75pt;height:.1pt;mso-position-horizontal-relative:page;mso-position-vertical-relative:paragraph;z-index:-15616000;mso-wrap-distance-left:0;mso-wrap-distance-right:0" id="docshape92"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spacing w:before="0"/>
        <w:ind w:left="165" w:right="0" w:firstLine="0"/>
        <w:jc w:val="left"/>
        <w:rPr>
          <w:sz w:val="20"/>
        </w:rPr>
      </w:pPr>
      <w:bookmarkStart w:name="_bookmark2053" w:id="2055"/>
      <w:bookmarkEnd w:id="2055"/>
      <w:r>
        <w:rPr/>
      </w:r>
      <w:hyperlink w:history="true" w:anchor="_bookmark2041">
        <w:r>
          <w:rPr>
            <w:color w:val="005DA1"/>
            <w:sz w:val="20"/>
            <w:u w:val="single" w:color="005DA1"/>
            <w:vertAlign w:val="superscript"/>
          </w:rPr>
          <w:t>1077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43" name="Image 643"/>
            <wp:cNvGraphicFramePr>
              <a:graphicFrameLocks/>
            </wp:cNvGraphicFramePr>
            <a:graphic>
              <a:graphicData uri="http://schemas.openxmlformats.org/drawingml/2006/picture">
                <pic:pic>
                  <pic:nvPicPr>
                    <pic:cNvPr id="643" name="Image 6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spacing w:line="235" w:lineRule="auto" w:before="0"/>
        <w:ind w:left="705" w:right="167" w:hanging="541"/>
        <w:jc w:val="both"/>
        <w:rPr>
          <w:rFonts w:ascii="Arial" w:hAnsi="Arial"/>
          <w:i/>
          <w:sz w:val="20"/>
        </w:rPr>
      </w:pPr>
      <w:bookmarkStart w:name="_bookmark2054" w:id="2056"/>
      <w:bookmarkEnd w:id="2056"/>
      <w:r>
        <w:rPr/>
      </w:r>
      <w:hyperlink w:history="true" w:anchor="_bookmark2042">
        <w:r>
          <w:rPr>
            <w:color w:val="005DA1"/>
            <w:sz w:val="20"/>
            <w:u w:val="single" w:color="005DA1"/>
            <w:vertAlign w:val="superscript"/>
          </w:rPr>
          <w:t>1078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44" name="Image 644"/>
            <wp:cNvGraphicFramePr>
              <a:graphicFrameLocks/>
            </wp:cNvGraphicFramePr>
            <a:graphic>
              <a:graphicData uri="http://schemas.openxmlformats.org/drawingml/2006/picture">
                <pic:pic>
                  <pic:nvPicPr>
                    <pic:cNvPr id="644" name="Image 6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Lordsvale Finance Plc v Bank of Zambia [1996] Q.B. 752, 762–764</w:t>
      </w:r>
      <w:r>
        <w:rPr>
          <w:sz w:val="20"/>
          <w:vertAlign w:val="baseline"/>
        </w:rPr>
        <w:t>; </w:t>
      </w:r>
      <w:r>
        <w:rPr>
          <w:rFonts w:ascii="Arial" w:hAnsi="Arial"/>
          <w:i/>
          <w:sz w:val="20"/>
          <w:vertAlign w:val="baseline"/>
        </w:rPr>
        <w:t>United International Pictures v Cine Bes Filmcilik ve Yapimcilik AS [2003] EWCA Civ 1669 </w:t>
      </w:r>
      <w:r>
        <w:rPr>
          <w:sz w:val="20"/>
          <w:vertAlign w:val="baseline"/>
        </w:rPr>
        <w:t>at [15]; and </w:t>
      </w:r>
      <w:r>
        <w:rPr>
          <w:sz w:val="20"/>
          <w:vertAlign w:val="baseline"/>
        </w:rPr>
        <w:t>semble, Arden L.J. in </w:t>
      </w:r>
      <w:r>
        <w:rPr>
          <w:rFonts w:ascii="Arial" w:hAnsi="Arial"/>
          <w:i/>
          <w:sz w:val="20"/>
          <w:vertAlign w:val="baseline"/>
        </w:rPr>
        <w:t>Murray v Leisureplay Plc [2005] EWCA Civ 963, [2005] I.R.L.R. 946 </w:t>
      </w:r>
      <w:r>
        <w:rPr>
          <w:sz w:val="20"/>
          <w:vertAlign w:val="baseline"/>
        </w:rPr>
        <w:t>(Clarke and Buxton L.JJ. preferred to decide the case on the basis that given the difficulty of forecasting the possible effect on the claimant’s employability and how quickly he would be able to obtain other employment, the sum payable was not, in the words of Lord Dunedin in the Dunlop case, “extravagant and unconscionable in amount in comparison with the greatest loss that could conceivably be proved to have followed from the breach” see </w:t>
      </w:r>
      <w:r>
        <w:rPr>
          <w:rFonts w:ascii="Arial" w:hAnsi="Arial"/>
          <w:i/>
          <w:sz w:val="20"/>
          <w:vertAlign w:val="baseline"/>
        </w:rPr>
        <w:t>[2005] EWCA Civ 963 </w:t>
      </w:r>
      <w:r>
        <w:rPr>
          <w:sz w:val="20"/>
          <w:vertAlign w:val="baseline"/>
        </w:rPr>
        <w:t>at [105]</w:t>
      </w:r>
      <w:r>
        <w:rPr>
          <w:spacing w:val="40"/>
          <w:sz w:val="20"/>
          <w:vertAlign w:val="baseline"/>
        </w:rPr>
        <w:t> </w:t>
      </w:r>
      <w:r>
        <w:rPr>
          <w:sz w:val="20"/>
          <w:vertAlign w:val="baseline"/>
        </w:rPr>
        <w:t>and [114]–[115]). See also </w:t>
      </w:r>
      <w:r>
        <w:rPr>
          <w:rFonts w:ascii="Arial" w:hAnsi="Arial"/>
          <w:i/>
          <w:sz w:val="20"/>
          <w:vertAlign w:val="baseline"/>
        </w:rPr>
        <w:t>Euro London Appointments Ltd v Claessens International Ltd [2006] EWCA</w:t>
      </w:r>
      <w:r>
        <w:rPr>
          <w:rFonts w:ascii="Arial" w:hAnsi="Arial"/>
          <w:i/>
          <w:spacing w:val="54"/>
          <w:sz w:val="20"/>
          <w:vertAlign w:val="baseline"/>
        </w:rPr>
        <w:t> </w:t>
      </w:r>
      <w:r>
        <w:rPr>
          <w:rFonts w:ascii="Arial" w:hAnsi="Arial"/>
          <w:i/>
          <w:sz w:val="20"/>
          <w:vertAlign w:val="baseline"/>
        </w:rPr>
        <w:t>Civ</w:t>
      </w:r>
      <w:r>
        <w:rPr>
          <w:rFonts w:ascii="Arial" w:hAnsi="Arial"/>
          <w:i/>
          <w:spacing w:val="54"/>
          <w:sz w:val="20"/>
          <w:vertAlign w:val="baseline"/>
        </w:rPr>
        <w:t> </w:t>
      </w:r>
      <w:r>
        <w:rPr>
          <w:rFonts w:ascii="Arial" w:hAnsi="Arial"/>
          <w:i/>
          <w:sz w:val="20"/>
          <w:vertAlign w:val="baseline"/>
        </w:rPr>
        <w:t>385,</w:t>
      </w:r>
      <w:r>
        <w:rPr>
          <w:rFonts w:ascii="Arial" w:hAnsi="Arial"/>
          <w:i/>
          <w:spacing w:val="54"/>
          <w:sz w:val="20"/>
          <w:vertAlign w:val="baseline"/>
        </w:rPr>
        <w:t> </w:t>
      </w:r>
      <w:r>
        <w:rPr>
          <w:rFonts w:ascii="Arial" w:hAnsi="Arial"/>
          <w:i/>
          <w:sz w:val="20"/>
          <w:vertAlign w:val="baseline"/>
        </w:rPr>
        <w:t>[2006]</w:t>
      </w:r>
      <w:r>
        <w:rPr>
          <w:rFonts w:ascii="Arial" w:hAnsi="Arial"/>
          <w:i/>
          <w:spacing w:val="54"/>
          <w:sz w:val="20"/>
          <w:vertAlign w:val="baseline"/>
        </w:rPr>
        <w:t> </w:t>
      </w:r>
      <w:r>
        <w:rPr>
          <w:rFonts w:ascii="Arial" w:hAnsi="Arial"/>
          <w:i/>
          <w:sz w:val="20"/>
          <w:vertAlign w:val="baseline"/>
        </w:rPr>
        <w:t>2</w:t>
      </w:r>
      <w:r>
        <w:rPr>
          <w:rFonts w:ascii="Arial" w:hAnsi="Arial"/>
          <w:i/>
          <w:spacing w:val="54"/>
          <w:sz w:val="20"/>
          <w:vertAlign w:val="baseline"/>
        </w:rPr>
        <w:t> </w:t>
      </w:r>
      <w:r>
        <w:rPr>
          <w:rFonts w:ascii="Arial" w:hAnsi="Arial"/>
          <w:i/>
          <w:sz w:val="20"/>
          <w:vertAlign w:val="baseline"/>
        </w:rPr>
        <w:t>Lloyd’s</w:t>
      </w:r>
      <w:r>
        <w:rPr>
          <w:rFonts w:ascii="Arial" w:hAnsi="Arial"/>
          <w:i/>
          <w:spacing w:val="54"/>
          <w:sz w:val="20"/>
          <w:vertAlign w:val="baseline"/>
        </w:rPr>
        <w:t> </w:t>
      </w:r>
      <w:r>
        <w:rPr>
          <w:rFonts w:ascii="Arial" w:hAnsi="Arial"/>
          <w:i/>
          <w:sz w:val="20"/>
          <w:vertAlign w:val="baseline"/>
        </w:rPr>
        <w:t>Rep.</w:t>
      </w:r>
      <w:r>
        <w:rPr>
          <w:rFonts w:ascii="Arial" w:hAnsi="Arial"/>
          <w:i/>
          <w:spacing w:val="54"/>
          <w:sz w:val="20"/>
          <w:vertAlign w:val="baseline"/>
        </w:rPr>
        <w:t> </w:t>
      </w:r>
      <w:r>
        <w:rPr>
          <w:rFonts w:ascii="Arial" w:hAnsi="Arial"/>
          <w:i/>
          <w:sz w:val="20"/>
          <w:vertAlign w:val="baseline"/>
        </w:rPr>
        <w:t>436</w:t>
      </w:r>
      <w:r>
        <w:rPr>
          <w:rFonts w:ascii="Arial" w:hAnsi="Arial"/>
          <w:i/>
          <w:spacing w:val="53"/>
          <w:sz w:val="20"/>
          <w:vertAlign w:val="baseline"/>
        </w:rPr>
        <w:t> </w:t>
      </w:r>
      <w:r>
        <w:rPr>
          <w:sz w:val="20"/>
          <w:vertAlign w:val="baseline"/>
        </w:rPr>
        <w:t>at</w:t>
      </w:r>
      <w:r>
        <w:rPr>
          <w:spacing w:val="54"/>
          <w:sz w:val="20"/>
          <w:vertAlign w:val="baseline"/>
        </w:rPr>
        <w:t> </w:t>
      </w:r>
      <w:r>
        <w:rPr>
          <w:sz w:val="20"/>
          <w:vertAlign w:val="baseline"/>
        </w:rPr>
        <w:t>[30];</w:t>
      </w:r>
      <w:r>
        <w:rPr>
          <w:spacing w:val="54"/>
          <w:sz w:val="20"/>
          <w:vertAlign w:val="baseline"/>
        </w:rPr>
        <w:t> </w:t>
      </w:r>
      <w:r>
        <w:rPr>
          <w:rFonts w:ascii="Arial" w:hAnsi="Arial"/>
          <w:i/>
          <w:sz w:val="20"/>
          <w:vertAlign w:val="baseline"/>
        </w:rPr>
        <w:t>General</w:t>
      </w:r>
      <w:r>
        <w:rPr>
          <w:rFonts w:ascii="Arial" w:hAnsi="Arial"/>
          <w:i/>
          <w:spacing w:val="54"/>
          <w:sz w:val="20"/>
          <w:vertAlign w:val="baseline"/>
        </w:rPr>
        <w:t> </w:t>
      </w:r>
      <w:r>
        <w:rPr>
          <w:rFonts w:ascii="Arial" w:hAnsi="Arial"/>
          <w:i/>
          <w:sz w:val="20"/>
          <w:vertAlign w:val="baseline"/>
        </w:rPr>
        <w:t>Trading</w:t>
      </w:r>
      <w:r>
        <w:rPr>
          <w:rFonts w:ascii="Arial" w:hAnsi="Arial"/>
          <w:i/>
          <w:spacing w:val="54"/>
          <w:sz w:val="20"/>
          <w:vertAlign w:val="baseline"/>
        </w:rPr>
        <w:t> </w:t>
      </w:r>
      <w:r>
        <w:rPr>
          <w:rFonts w:ascii="Arial" w:hAnsi="Arial"/>
          <w:i/>
          <w:sz w:val="20"/>
          <w:vertAlign w:val="baseline"/>
        </w:rPr>
        <w:t>Co</w:t>
      </w:r>
      <w:r>
        <w:rPr>
          <w:rFonts w:ascii="Arial" w:hAnsi="Arial"/>
          <w:i/>
          <w:spacing w:val="54"/>
          <w:sz w:val="20"/>
          <w:vertAlign w:val="baseline"/>
        </w:rPr>
        <w:t> </w:t>
      </w:r>
      <w:r>
        <w:rPr>
          <w:rFonts w:ascii="Arial" w:hAnsi="Arial"/>
          <w:i/>
          <w:sz w:val="20"/>
          <w:vertAlign w:val="baseline"/>
        </w:rPr>
        <w:t>(Holdings)</w:t>
      </w:r>
      <w:r>
        <w:rPr>
          <w:rFonts w:ascii="Arial" w:hAnsi="Arial"/>
          <w:i/>
          <w:spacing w:val="54"/>
          <w:sz w:val="20"/>
          <w:vertAlign w:val="baseline"/>
        </w:rPr>
        <w:t> </w:t>
      </w:r>
      <w:r>
        <w:rPr>
          <w:rFonts w:ascii="Arial" w:hAnsi="Arial"/>
          <w:i/>
          <w:sz w:val="20"/>
          <w:vertAlign w:val="baseline"/>
        </w:rPr>
        <w:t>Ltd</w:t>
      </w:r>
      <w:r>
        <w:rPr>
          <w:rFonts w:ascii="Arial" w:hAnsi="Arial"/>
          <w:i/>
          <w:spacing w:val="54"/>
          <w:sz w:val="20"/>
          <w:vertAlign w:val="baseline"/>
        </w:rPr>
        <w:t> </w:t>
      </w:r>
      <w:r>
        <w:rPr>
          <w:rFonts w:ascii="Arial" w:hAnsi="Arial"/>
          <w:i/>
          <w:spacing w:val="-10"/>
          <w:sz w:val="20"/>
          <w:vertAlign w:val="baseline"/>
        </w:rPr>
        <w:t>v</w:t>
      </w:r>
    </w:p>
    <w:p>
      <w:pPr>
        <w:spacing w:line="222" w:lineRule="exact" w:before="0"/>
        <w:ind w:left="705" w:right="0" w:firstLine="0"/>
        <w:jc w:val="left"/>
        <w:rPr>
          <w:sz w:val="20"/>
        </w:rPr>
      </w:pPr>
      <w:r>
        <w:rPr>
          <w:rFonts w:ascii="Arial" w:hAnsi="Arial"/>
          <w:i/>
          <w:sz w:val="20"/>
        </w:rPr>
        <w:t>Richmond Corp Ltd [2008] EWHC 1479 (Comm), [2008] 2 Lloyd’s Rep. </w:t>
      </w:r>
      <w:r>
        <w:rPr>
          <w:rFonts w:ascii="Arial" w:hAnsi="Arial"/>
          <w:i/>
          <w:spacing w:val="-4"/>
          <w:sz w:val="20"/>
        </w:rPr>
        <w:t>475</w:t>
      </w:r>
      <w:r>
        <w:rPr>
          <w:spacing w:val="-4"/>
          <w:sz w:val="20"/>
        </w:rPr>
        <w:t>.</w:t>
      </w:r>
    </w:p>
    <w:p>
      <w:pPr>
        <w:spacing w:after="0" w:line="222" w:lineRule="exact"/>
        <w:jc w:val="left"/>
        <w:rPr>
          <w:sz w:val="20"/>
        </w:rPr>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043">
        <w:r>
          <w:rPr>
            <w:color w:val="005DA1"/>
            <w:spacing w:val="-2"/>
            <w:sz w:val="14"/>
            <w:u w:val="single" w:color="005DA1"/>
          </w:rPr>
          <w:t>1079</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41792">
            <wp:simplePos x="0" y="0"/>
            <wp:positionH relativeFrom="page">
              <wp:posOffset>1257846</wp:posOffset>
            </wp:positionH>
            <wp:positionV relativeFrom="paragraph">
              <wp:posOffset>12632</wp:posOffset>
            </wp:positionV>
            <wp:extent cx="107988" cy="107988"/>
            <wp:effectExtent l="0" t="0" r="0" b="0"/>
            <wp:wrapNone/>
            <wp:docPr id="645" name="Image 645"/>
            <wp:cNvGraphicFramePr>
              <a:graphicFrameLocks/>
            </wp:cNvGraphicFramePr>
            <a:graphic>
              <a:graphicData uri="http://schemas.openxmlformats.org/drawingml/2006/picture">
                <pic:pic>
                  <pic:nvPicPr>
                    <pic:cNvPr id="645" name="Image 64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w:t>
      </w:r>
      <w:r>
        <w:rPr>
          <w:rFonts w:ascii="Arial"/>
          <w:i/>
          <w:spacing w:val="24"/>
          <w:sz w:val="20"/>
        </w:rPr>
        <w:t> </w:t>
      </w:r>
      <w:r>
        <w:rPr>
          <w:rFonts w:ascii="Arial"/>
          <w:i/>
          <w:sz w:val="20"/>
        </w:rPr>
        <w:t>EWCA</w:t>
      </w:r>
      <w:r>
        <w:rPr>
          <w:rFonts w:ascii="Arial"/>
          <w:i/>
          <w:spacing w:val="25"/>
          <w:sz w:val="20"/>
        </w:rPr>
        <w:t> </w:t>
      </w:r>
      <w:r>
        <w:rPr>
          <w:rFonts w:ascii="Arial"/>
          <w:i/>
          <w:sz w:val="20"/>
        </w:rPr>
        <w:t>Civ</w:t>
      </w:r>
      <w:r>
        <w:rPr>
          <w:rFonts w:ascii="Arial"/>
          <w:i/>
          <w:spacing w:val="25"/>
          <w:sz w:val="20"/>
        </w:rPr>
        <w:t> </w:t>
      </w:r>
      <w:r>
        <w:rPr>
          <w:rFonts w:ascii="Arial"/>
          <w:i/>
          <w:sz w:val="20"/>
        </w:rPr>
        <w:t>1539</w:t>
      </w:r>
      <w:r>
        <w:rPr>
          <w:sz w:val="20"/>
        </w:rPr>
        <w:t>;</w:t>
      </w:r>
      <w:r>
        <w:rPr>
          <w:spacing w:val="25"/>
          <w:sz w:val="20"/>
        </w:rPr>
        <w:t> </w:t>
      </w:r>
      <w:r>
        <w:rPr>
          <w:sz w:val="20"/>
        </w:rPr>
        <w:t>for</w:t>
      </w:r>
      <w:r>
        <w:rPr>
          <w:spacing w:val="25"/>
          <w:sz w:val="20"/>
        </w:rPr>
        <w:t> </w:t>
      </w:r>
      <w:r>
        <w:rPr>
          <w:sz w:val="20"/>
        </w:rPr>
        <w:t>an</w:t>
      </w:r>
      <w:r>
        <w:rPr>
          <w:spacing w:val="25"/>
          <w:sz w:val="20"/>
        </w:rPr>
        <w:t> </w:t>
      </w:r>
      <w:r>
        <w:rPr>
          <w:sz w:val="20"/>
        </w:rPr>
        <w:t>account</w:t>
      </w:r>
      <w:r>
        <w:rPr>
          <w:spacing w:val="25"/>
          <w:sz w:val="20"/>
        </w:rPr>
        <w:t> </w:t>
      </w:r>
      <w:r>
        <w:rPr>
          <w:sz w:val="20"/>
        </w:rPr>
        <w:t>of</w:t>
      </w:r>
      <w:r>
        <w:rPr>
          <w:spacing w:val="25"/>
          <w:sz w:val="20"/>
        </w:rPr>
        <w:t> </w:t>
      </w:r>
      <w:r>
        <w:rPr>
          <w:sz w:val="20"/>
        </w:rPr>
        <w:t>the</w:t>
      </w:r>
      <w:r>
        <w:rPr>
          <w:spacing w:val="25"/>
          <w:sz w:val="20"/>
        </w:rPr>
        <w:t> </w:t>
      </w:r>
      <w:r>
        <w:rPr>
          <w:sz w:val="20"/>
        </w:rPr>
        <w:t>Supreme</w:t>
      </w:r>
      <w:r>
        <w:rPr>
          <w:spacing w:val="25"/>
          <w:sz w:val="20"/>
        </w:rPr>
        <w:t> </w:t>
      </w:r>
      <w:r>
        <w:rPr>
          <w:sz w:val="20"/>
        </w:rPr>
        <w:t>Court</w:t>
      </w:r>
      <w:r>
        <w:rPr>
          <w:spacing w:val="25"/>
          <w:sz w:val="20"/>
        </w:rPr>
        <w:t> </w:t>
      </w:r>
      <w:r>
        <w:rPr>
          <w:sz w:val="20"/>
        </w:rPr>
        <w:t>decision</w:t>
      </w:r>
      <w:r>
        <w:rPr>
          <w:spacing w:val="25"/>
          <w:sz w:val="20"/>
        </w:rPr>
        <w:t> </w:t>
      </w:r>
      <w:r>
        <w:rPr>
          <w:sz w:val="20"/>
        </w:rPr>
        <w:t>in</w:t>
      </w:r>
      <w:r>
        <w:rPr>
          <w:spacing w:val="25"/>
          <w:sz w:val="20"/>
        </w:rPr>
        <w:t> </w:t>
      </w:r>
      <w:r>
        <w:rPr>
          <w:sz w:val="20"/>
        </w:rPr>
        <w:t>this</w:t>
      </w:r>
      <w:r>
        <w:rPr>
          <w:spacing w:val="25"/>
          <w:sz w:val="20"/>
        </w:rPr>
        <w:t> </w:t>
      </w:r>
      <w:r>
        <w:rPr>
          <w:sz w:val="20"/>
        </w:rPr>
        <w:t>case,</w:t>
      </w:r>
      <w:r>
        <w:rPr>
          <w:spacing w:val="25"/>
          <w:sz w:val="20"/>
        </w:rPr>
        <w:t> </w:t>
      </w:r>
      <w:r>
        <w:rPr>
          <w:rFonts w:ascii="Arial"/>
          <w:i/>
          <w:spacing w:val="-2"/>
          <w:sz w:val="20"/>
        </w:rPr>
        <w:t>[2015]</w:t>
      </w:r>
    </w:p>
    <w:p>
      <w:pPr>
        <w:spacing w:line="227" w:lineRule="exact" w:before="0"/>
        <w:ind w:left="705" w:right="0" w:firstLine="0"/>
        <w:jc w:val="left"/>
        <w:rPr>
          <w:sz w:val="20"/>
        </w:rPr>
      </w:pPr>
      <w:r>
        <w:rPr>
          <w:rFonts w:ascii="Arial"/>
          <w:i/>
          <w:sz w:val="20"/>
        </w:rPr>
        <w:t>UKSC</w:t>
      </w:r>
      <w:r>
        <w:rPr>
          <w:rFonts w:ascii="Arial"/>
          <w:i/>
          <w:spacing w:val="-1"/>
          <w:sz w:val="20"/>
        </w:rPr>
        <w:t> </w:t>
      </w:r>
      <w:r>
        <w:rPr>
          <w:rFonts w:ascii="Arial"/>
          <w:i/>
          <w:sz w:val="20"/>
        </w:rPr>
        <w:t>67</w:t>
      </w:r>
      <w:r>
        <w:rPr>
          <w:sz w:val="20"/>
        </w:rPr>
        <w:t>, see below, para.26-</w:t>
      </w:r>
      <w:r>
        <w:rPr>
          <w:spacing w:val="-4"/>
          <w:sz w:val="20"/>
        </w:rPr>
        <w:t>197.</w:t>
      </w:r>
    </w:p>
    <w:p>
      <w:pPr>
        <w:pStyle w:val="BodyText"/>
        <w:spacing w:before="12"/>
      </w:pPr>
    </w:p>
    <w:p>
      <w:pPr>
        <w:spacing w:line="137" w:lineRule="exact" w:before="0"/>
        <w:ind w:left="165" w:right="0" w:firstLine="0"/>
        <w:jc w:val="left"/>
        <w:rPr>
          <w:sz w:val="14"/>
        </w:rPr>
      </w:pPr>
      <w:bookmarkStart w:name="_bookmark2055" w:id="2057"/>
      <w:bookmarkEnd w:id="2057"/>
      <w:r>
        <w:rPr/>
      </w:r>
      <w:hyperlink w:history="true" w:anchor="_bookmark2044">
        <w:r>
          <w:rPr>
            <w:color w:val="005DA1"/>
            <w:spacing w:val="-2"/>
            <w:sz w:val="14"/>
            <w:u w:val="single" w:color="005DA1"/>
          </w:rPr>
          <w:t>1080</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42304">
            <wp:simplePos x="0" y="0"/>
            <wp:positionH relativeFrom="page">
              <wp:posOffset>1257846</wp:posOffset>
            </wp:positionH>
            <wp:positionV relativeFrom="paragraph">
              <wp:posOffset>12783</wp:posOffset>
            </wp:positionV>
            <wp:extent cx="107988" cy="107988"/>
            <wp:effectExtent l="0" t="0" r="0" b="0"/>
            <wp:wrapNone/>
            <wp:docPr id="646" name="Image 646"/>
            <wp:cNvGraphicFramePr>
              <a:graphicFrameLocks/>
            </wp:cNvGraphicFramePr>
            <a:graphic>
              <a:graphicData uri="http://schemas.openxmlformats.org/drawingml/2006/picture">
                <pic:pic>
                  <pic:nvPicPr>
                    <pic:cNvPr id="646" name="Image 64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w:t>
      </w:r>
      <w:r>
        <w:rPr>
          <w:rFonts w:ascii="Arial"/>
          <w:i/>
          <w:spacing w:val="22"/>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1539</w:t>
      </w:r>
      <w:r>
        <w:rPr>
          <w:rFonts w:ascii="Arial"/>
          <w:i/>
          <w:spacing w:val="21"/>
          <w:sz w:val="20"/>
        </w:rPr>
        <w:t> </w:t>
      </w:r>
      <w:r>
        <w:rPr>
          <w:sz w:val="20"/>
        </w:rPr>
        <w:t>at</w:t>
      </w:r>
      <w:r>
        <w:rPr>
          <w:spacing w:val="22"/>
          <w:sz w:val="20"/>
        </w:rPr>
        <w:t> </w:t>
      </w:r>
      <w:r>
        <w:rPr>
          <w:sz w:val="20"/>
        </w:rPr>
        <w:t>[104].</w:t>
      </w:r>
      <w:r>
        <w:rPr>
          <w:spacing w:val="22"/>
          <w:sz w:val="20"/>
        </w:rPr>
        <w:t> </w:t>
      </w:r>
      <w:r>
        <w:rPr>
          <w:sz w:val="20"/>
        </w:rPr>
        <w:t>The</w:t>
      </w:r>
      <w:r>
        <w:rPr>
          <w:spacing w:val="22"/>
          <w:sz w:val="20"/>
        </w:rPr>
        <w:t> </w:t>
      </w:r>
      <w:r>
        <w:rPr>
          <w:sz w:val="20"/>
        </w:rPr>
        <w:t>reference</w:t>
      </w:r>
      <w:r>
        <w:rPr>
          <w:spacing w:val="22"/>
          <w:sz w:val="20"/>
        </w:rPr>
        <w:t> </w:t>
      </w:r>
      <w:r>
        <w:rPr>
          <w:sz w:val="20"/>
        </w:rPr>
        <w:t>is</w:t>
      </w:r>
      <w:r>
        <w:rPr>
          <w:spacing w:val="22"/>
          <w:sz w:val="20"/>
        </w:rPr>
        <w:t> </w:t>
      </w:r>
      <w:r>
        <w:rPr>
          <w:sz w:val="20"/>
        </w:rPr>
        <w:t>to</w:t>
      </w:r>
      <w:r>
        <w:rPr>
          <w:spacing w:val="22"/>
          <w:sz w:val="20"/>
        </w:rPr>
        <w:t> </w:t>
      </w:r>
      <w:r>
        <w:rPr>
          <w:rFonts w:ascii="Arial"/>
          <w:i/>
          <w:sz w:val="20"/>
        </w:rPr>
        <w:t>Clydebank</w:t>
      </w:r>
      <w:r>
        <w:rPr>
          <w:rFonts w:ascii="Arial"/>
          <w:i/>
          <w:spacing w:val="22"/>
          <w:sz w:val="20"/>
        </w:rPr>
        <w:t> </w:t>
      </w:r>
      <w:r>
        <w:rPr>
          <w:rFonts w:ascii="Arial"/>
          <w:i/>
          <w:sz w:val="20"/>
        </w:rPr>
        <w:t>Engineering</w:t>
      </w:r>
      <w:r>
        <w:rPr>
          <w:rFonts w:ascii="Arial"/>
          <w:i/>
          <w:spacing w:val="22"/>
          <w:sz w:val="20"/>
        </w:rPr>
        <w:t> </w:t>
      </w:r>
      <w:r>
        <w:rPr>
          <w:rFonts w:ascii="Arial"/>
          <w:i/>
          <w:sz w:val="20"/>
        </w:rPr>
        <w:t>&amp;</w:t>
      </w:r>
      <w:r>
        <w:rPr>
          <w:rFonts w:ascii="Arial"/>
          <w:i/>
          <w:spacing w:val="22"/>
          <w:sz w:val="20"/>
        </w:rPr>
        <w:t> </w:t>
      </w:r>
      <w:r>
        <w:rPr>
          <w:rFonts w:ascii="Arial"/>
          <w:i/>
          <w:spacing w:val="-2"/>
          <w:sz w:val="20"/>
        </w:rPr>
        <w:t>Shipbuilding</w:t>
      </w:r>
    </w:p>
    <w:p>
      <w:pPr>
        <w:spacing w:line="227" w:lineRule="exact" w:before="0"/>
        <w:ind w:left="705" w:right="0" w:firstLine="0"/>
        <w:jc w:val="left"/>
        <w:rPr>
          <w:sz w:val="20"/>
        </w:rPr>
      </w:pPr>
      <w:r>
        <w:rPr>
          <w:rFonts w:ascii="Arial"/>
          <w:i/>
          <w:sz w:val="20"/>
        </w:rPr>
        <w:t>Co Ltd v Don Jose Ramos Yzquierdo y Castaneda [1905] A.C. </w:t>
      </w:r>
      <w:r>
        <w:rPr>
          <w:rFonts w:ascii="Arial"/>
          <w:i/>
          <w:spacing w:val="-5"/>
          <w:sz w:val="20"/>
        </w:rPr>
        <w:t>6</w:t>
      </w:r>
      <w:r>
        <w:rPr>
          <w:spacing w:val="-5"/>
          <w:sz w:val="20"/>
        </w:rPr>
        <w:t>.</w:t>
      </w:r>
    </w:p>
    <w:p>
      <w:pPr>
        <w:pStyle w:val="BodyText"/>
        <w:spacing w:before="12"/>
      </w:pPr>
    </w:p>
    <w:p>
      <w:pPr>
        <w:spacing w:line="137" w:lineRule="exact" w:before="0"/>
        <w:ind w:left="165" w:right="0" w:firstLine="0"/>
        <w:jc w:val="left"/>
        <w:rPr>
          <w:sz w:val="14"/>
        </w:rPr>
      </w:pPr>
      <w:bookmarkStart w:name="_bookmark2056" w:id="2058"/>
      <w:bookmarkEnd w:id="2058"/>
      <w:r>
        <w:rPr/>
      </w:r>
      <w:hyperlink w:history="true" w:anchor="_bookmark2045">
        <w:r>
          <w:rPr>
            <w:color w:val="005DA1"/>
            <w:spacing w:val="-2"/>
            <w:sz w:val="14"/>
            <w:u w:val="single" w:color="005DA1"/>
          </w:rPr>
          <w:t>1081</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2816">
            <wp:simplePos x="0" y="0"/>
            <wp:positionH relativeFrom="page">
              <wp:posOffset>1257846</wp:posOffset>
            </wp:positionH>
            <wp:positionV relativeFrom="paragraph">
              <wp:posOffset>12935</wp:posOffset>
            </wp:positionV>
            <wp:extent cx="107988" cy="107988"/>
            <wp:effectExtent l="0" t="0" r="0" b="0"/>
            <wp:wrapNone/>
            <wp:docPr id="647" name="Image 647"/>
            <wp:cNvGraphicFramePr>
              <a:graphicFrameLocks/>
            </wp:cNvGraphicFramePr>
            <a:graphic>
              <a:graphicData uri="http://schemas.openxmlformats.org/drawingml/2006/picture">
                <pic:pic>
                  <pic:nvPicPr>
                    <pic:cNvPr id="647" name="Image 64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 EWCA Civ 1539</w:t>
      </w:r>
      <w:r>
        <w:rPr>
          <w:rFonts w:ascii="Arial"/>
          <w:i/>
          <w:spacing w:val="-1"/>
          <w:sz w:val="20"/>
        </w:rPr>
        <w:t> </w:t>
      </w:r>
      <w:r>
        <w:rPr>
          <w:sz w:val="20"/>
        </w:rPr>
        <w:t>at </w:t>
      </w:r>
      <w:r>
        <w:rPr>
          <w:spacing w:val="-2"/>
          <w:sz w:val="20"/>
        </w:rPr>
        <w:t>[125].</w:t>
      </w:r>
    </w:p>
    <w:p>
      <w:pPr>
        <w:pStyle w:val="BodyText"/>
        <w:spacing w:before="12"/>
      </w:pPr>
    </w:p>
    <w:p>
      <w:pPr>
        <w:spacing w:line="137" w:lineRule="exact" w:before="0"/>
        <w:ind w:left="165" w:right="0" w:firstLine="0"/>
        <w:jc w:val="left"/>
        <w:rPr>
          <w:sz w:val="14"/>
        </w:rPr>
      </w:pPr>
      <w:bookmarkStart w:name="_bookmark2057" w:id="2059"/>
      <w:bookmarkEnd w:id="2059"/>
      <w:r>
        <w:rPr/>
      </w:r>
      <w:hyperlink w:history="true" w:anchor="_bookmark2046">
        <w:r>
          <w:rPr>
            <w:color w:val="005DA1"/>
            <w:spacing w:val="-2"/>
            <w:sz w:val="14"/>
            <w:u w:val="single" w:color="005DA1"/>
          </w:rPr>
          <w:t>1082</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3328">
            <wp:simplePos x="0" y="0"/>
            <wp:positionH relativeFrom="page">
              <wp:posOffset>1257846</wp:posOffset>
            </wp:positionH>
            <wp:positionV relativeFrom="paragraph">
              <wp:posOffset>13087</wp:posOffset>
            </wp:positionV>
            <wp:extent cx="107988" cy="107988"/>
            <wp:effectExtent l="0" t="0" r="0" b="0"/>
            <wp:wrapNone/>
            <wp:docPr id="648" name="Image 648"/>
            <wp:cNvGraphicFramePr>
              <a:graphicFrameLocks/>
            </wp:cNvGraphicFramePr>
            <a:graphic>
              <a:graphicData uri="http://schemas.openxmlformats.org/drawingml/2006/picture">
                <pic:pic>
                  <pic:nvPicPr>
                    <pic:cNvPr id="648" name="Image 64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[105]–[117] and </w:t>
      </w:r>
      <w:r>
        <w:rPr>
          <w:spacing w:val="-2"/>
          <w:sz w:val="20"/>
        </w:rPr>
        <w:t>[118]–[123].</w:t>
      </w:r>
    </w:p>
    <w:p>
      <w:pPr>
        <w:pStyle w:val="BodyText"/>
        <w:spacing w:before="12"/>
      </w:pPr>
    </w:p>
    <w:p>
      <w:pPr>
        <w:spacing w:line="137" w:lineRule="exact" w:before="1"/>
        <w:ind w:left="165" w:right="0" w:firstLine="0"/>
        <w:jc w:val="left"/>
        <w:rPr>
          <w:sz w:val="14"/>
        </w:rPr>
      </w:pPr>
      <w:bookmarkStart w:name="_bookmark2058" w:id="2060"/>
      <w:bookmarkEnd w:id="2060"/>
      <w:r>
        <w:rPr/>
      </w:r>
      <w:hyperlink w:history="true" w:anchor="_bookmark2047">
        <w:r>
          <w:rPr>
            <w:color w:val="005DA1"/>
            <w:spacing w:val="-2"/>
            <w:sz w:val="14"/>
            <w:u w:val="single" w:color="005DA1"/>
          </w:rPr>
          <w:t>1083</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3840">
            <wp:simplePos x="0" y="0"/>
            <wp:positionH relativeFrom="page">
              <wp:posOffset>1257846</wp:posOffset>
            </wp:positionH>
            <wp:positionV relativeFrom="paragraph">
              <wp:posOffset>12603</wp:posOffset>
            </wp:positionV>
            <wp:extent cx="107988" cy="107988"/>
            <wp:effectExtent l="0" t="0" r="0" b="0"/>
            <wp:wrapNone/>
            <wp:docPr id="649" name="Image 649"/>
            <wp:cNvGraphicFramePr>
              <a:graphicFrameLocks/>
            </wp:cNvGraphicFramePr>
            <a:graphic>
              <a:graphicData uri="http://schemas.openxmlformats.org/drawingml/2006/picture">
                <pic:pic>
                  <pic:nvPicPr>
                    <pic:cNvPr id="649" name="Image 64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w:t>
      </w:r>
      <w:r>
        <w:rPr>
          <w:spacing w:val="-2"/>
          <w:sz w:val="20"/>
        </w:rPr>
        <w:t>[105]–[117].</w:t>
      </w:r>
    </w:p>
    <w:p>
      <w:pPr>
        <w:pStyle w:val="BodyText"/>
        <w:spacing w:before="12"/>
      </w:pPr>
    </w:p>
    <w:p>
      <w:pPr>
        <w:spacing w:line="137" w:lineRule="exact" w:before="0"/>
        <w:ind w:left="165" w:right="0" w:firstLine="0"/>
        <w:jc w:val="left"/>
        <w:rPr>
          <w:sz w:val="14"/>
        </w:rPr>
      </w:pPr>
      <w:bookmarkStart w:name="_bookmark2059" w:id="2061"/>
      <w:bookmarkEnd w:id="2061"/>
      <w:r>
        <w:rPr/>
      </w:r>
      <w:hyperlink w:history="true" w:anchor="_bookmark2048">
        <w:r>
          <w:rPr>
            <w:color w:val="005DA1"/>
            <w:spacing w:val="-2"/>
            <w:sz w:val="14"/>
            <w:u w:val="single" w:color="005DA1"/>
          </w:rPr>
          <w:t>1084</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4352">
            <wp:simplePos x="0" y="0"/>
            <wp:positionH relativeFrom="page">
              <wp:posOffset>1257846</wp:posOffset>
            </wp:positionH>
            <wp:positionV relativeFrom="paragraph">
              <wp:posOffset>12755</wp:posOffset>
            </wp:positionV>
            <wp:extent cx="107988" cy="107988"/>
            <wp:effectExtent l="0" t="0" r="0" b="0"/>
            <wp:wrapNone/>
            <wp:docPr id="650" name="Image 650"/>
            <wp:cNvGraphicFramePr>
              <a:graphicFrameLocks/>
            </wp:cNvGraphicFramePr>
            <a:graphic>
              <a:graphicData uri="http://schemas.openxmlformats.org/drawingml/2006/picture">
                <pic:pic>
                  <pic:nvPicPr>
                    <pic:cNvPr id="650" name="Image 65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w:t>
      </w:r>
      <w:r>
        <w:rPr>
          <w:spacing w:val="-2"/>
          <w:sz w:val="20"/>
        </w:rPr>
        <w:t>[120]–[121].</w:t>
      </w:r>
    </w:p>
    <w:p>
      <w:pPr>
        <w:pStyle w:val="BodyText"/>
        <w:spacing w:before="12"/>
      </w:pPr>
    </w:p>
    <w:p>
      <w:pPr>
        <w:spacing w:line="137" w:lineRule="exact" w:before="0"/>
        <w:ind w:left="165" w:right="0" w:firstLine="0"/>
        <w:jc w:val="left"/>
        <w:rPr>
          <w:sz w:val="14"/>
        </w:rPr>
      </w:pPr>
      <w:bookmarkStart w:name="_bookmark2060" w:id="2062"/>
      <w:bookmarkEnd w:id="2062"/>
      <w:r>
        <w:rPr/>
      </w:r>
      <w:hyperlink w:history="true" w:anchor="_bookmark2049">
        <w:r>
          <w:rPr>
            <w:color w:val="005DA1"/>
            <w:spacing w:val="-2"/>
            <w:sz w:val="14"/>
            <w:u w:val="single" w:color="005DA1"/>
          </w:rPr>
          <w:t>1085</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4864">
            <wp:simplePos x="0" y="0"/>
            <wp:positionH relativeFrom="page">
              <wp:posOffset>1257846</wp:posOffset>
            </wp:positionH>
            <wp:positionV relativeFrom="paragraph">
              <wp:posOffset>12906</wp:posOffset>
            </wp:positionV>
            <wp:extent cx="107988" cy="107988"/>
            <wp:effectExtent l="0" t="0" r="0" b="0"/>
            <wp:wrapNone/>
            <wp:docPr id="651" name="Image 651"/>
            <wp:cNvGraphicFramePr>
              <a:graphicFrameLocks/>
            </wp:cNvGraphicFramePr>
            <a:graphic>
              <a:graphicData uri="http://schemas.openxmlformats.org/drawingml/2006/picture">
                <pic:pic>
                  <pic:nvPicPr>
                    <pic:cNvPr id="651" name="Image 65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 [2016] A.C. </w:t>
      </w:r>
      <w:r>
        <w:rPr>
          <w:rFonts w:ascii="Arial"/>
          <w:i/>
          <w:spacing w:val="-2"/>
          <w:sz w:val="20"/>
        </w:rPr>
        <w:t>1172</w:t>
      </w:r>
      <w:r>
        <w:rPr>
          <w:spacing w:val="-2"/>
          <w:sz w:val="20"/>
        </w:rPr>
        <w:t>.</w:t>
      </w:r>
    </w:p>
    <w:p>
      <w:pPr>
        <w:pStyle w:val="BodyText"/>
        <w:spacing w:before="12"/>
      </w:pPr>
    </w:p>
    <w:p>
      <w:pPr>
        <w:spacing w:line="137" w:lineRule="exact" w:before="0"/>
        <w:ind w:left="165" w:right="0" w:firstLine="0"/>
        <w:jc w:val="left"/>
        <w:rPr>
          <w:sz w:val="14"/>
        </w:rPr>
      </w:pPr>
      <w:bookmarkStart w:name="_bookmark2061" w:id="2063"/>
      <w:bookmarkEnd w:id="2063"/>
      <w:r>
        <w:rPr/>
      </w:r>
      <w:hyperlink w:history="true" w:anchor="_bookmark2050">
        <w:r>
          <w:rPr>
            <w:color w:val="005DA1"/>
            <w:spacing w:val="-2"/>
            <w:sz w:val="14"/>
            <w:u w:val="single" w:color="005DA1"/>
          </w:rPr>
          <w:t>1086</w:t>
        </w:r>
      </w:hyperlink>
      <w:r>
        <w:rPr>
          <w:spacing w:val="-2"/>
          <w:sz w:val="14"/>
        </w:rPr>
        <w:t>.</w:t>
      </w:r>
    </w:p>
    <w:p>
      <w:pPr>
        <w:pStyle w:val="BodyText"/>
        <w:spacing w:line="206" w:lineRule="exact"/>
        <w:ind w:left="875"/>
      </w:pPr>
      <w:r>
        <w:rPr/>
        <w:drawing>
          <wp:anchor distT="0" distB="0" distL="0" distR="0" allowOverlap="1" layoutInCell="1" locked="0" behindDoc="0" simplePos="0" relativeHeight="15845376">
            <wp:simplePos x="0" y="0"/>
            <wp:positionH relativeFrom="page">
              <wp:posOffset>1257846</wp:posOffset>
            </wp:positionH>
            <wp:positionV relativeFrom="paragraph">
              <wp:posOffset>13058</wp:posOffset>
            </wp:positionV>
            <wp:extent cx="107988" cy="107988"/>
            <wp:effectExtent l="0" t="0" r="0" b="0"/>
            <wp:wrapNone/>
            <wp:docPr id="652" name="Image 652"/>
            <wp:cNvGraphicFramePr>
              <a:graphicFrameLocks/>
            </wp:cNvGraphicFramePr>
            <a:graphic>
              <a:graphicData uri="http://schemas.openxmlformats.org/drawingml/2006/picture">
                <pic:pic>
                  <pic:nvPicPr>
                    <pic:cNvPr id="652" name="Image 652"/>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4"/>
        </w:rPr>
        <w:t>197.</w:t>
      </w:r>
    </w:p>
    <w:p>
      <w:pPr>
        <w:pStyle w:val="BodyText"/>
        <w:spacing w:before="12"/>
      </w:pPr>
    </w:p>
    <w:p>
      <w:pPr>
        <w:spacing w:line="137" w:lineRule="exact" w:before="1"/>
        <w:ind w:left="165" w:right="0" w:firstLine="0"/>
        <w:jc w:val="left"/>
        <w:rPr>
          <w:sz w:val="14"/>
        </w:rPr>
      </w:pPr>
      <w:bookmarkStart w:name="_bookmark2062" w:id="2064"/>
      <w:bookmarkEnd w:id="2064"/>
      <w:r>
        <w:rPr/>
      </w:r>
      <w:hyperlink w:history="true" w:anchor="_bookmark2051">
        <w:r>
          <w:rPr>
            <w:color w:val="005DA1"/>
            <w:spacing w:val="-2"/>
            <w:sz w:val="14"/>
            <w:u w:val="single" w:color="005DA1"/>
          </w:rPr>
          <w:t>1087</w:t>
        </w:r>
      </w:hyperlink>
      <w:r>
        <w:rPr>
          <w:spacing w:val="-2"/>
          <w:sz w:val="14"/>
        </w:rPr>
        <w:t>.</w:t>
      </w:r>
    </w:p>
    <w:p>
      <w:pPr>
        <w:pStyle w:val="BodyText"/>
        <w:spacing w:line="206" w:lineRule="exact"/>
        <w:ind w:left="875"/>
      </w:pPr>
      <w:r>
        <w:rPr/>
        <w:drawing>
          <wp:anchor distT="0" distB="0" distL="0" distR="0" allowOverlap="1" layoutInCell="1" locked="0" behindDoc="0" simplePos="0" relativeHeight="15845888">
            <wp:simplePos x="0" y="0"/>
            <wp:positionH relativeFrom="page">
              <wp:posOffset>1257846</wp:posOffset>
            </wp:positionH>
            <wp:positionV relativeFrom="paragraph">
              <wp:posOffset>12574</wp:posOffset>
            </wp:positionV>
            <wp:extent cx="107988" cy="107988"/>
            <wp:effectExtent l="0" t="0" r="0" b="0"/>
            <wp:wrapNone/>
            <wp:docPr id="653" name="Image 653"/>
            <wp:cNvGraphicFramePr>
              <a:graphicFrameLocks/>
            </wp:cNvGraphicFramePr>
            <a:graphic>
              <a:graphicData uri="http://schemas.openxmlformats.org/drawingml/2006/picture">
                <pic:pic>
                  <pic:nvPicPr>
                    <pic:cNvPr id="653" name="Image 653"/>
                    <pic:cNvPicPr/>
                  </pic:nvPicPr>
                  <pic:blipFill>
                    <a:blip r:embed="rId6" cstate="print"/>
                    <a:stretch>
                      <a:fillRect/>
                    </a:stretch>
                  </pic:blipFill>
                  <pic:spPr>
                    <a:xfrm>
                      <a:off x="0" y="0"/>
                      <a:ext cx="107988" cy="107988"/>
                    </a:xfrm>
                    <a:prstGeom prst="rect">
                      <a:avLst/>
                    </a:prstGeom>
                  </pic:spPr>
                </pic:pic>
              </a:graphicData>
            </a:graphic>
          </wp:anchor>
        </w:drawing>
      </w:r>
      <w:r>
        <w:rPr/>
        <w:t>On what constitutes a legitimate interest see below, para.26-</w:t>
      </w:r>
      <w:r>
        <w:rPr>
          <w:spacing w:val="-4"/>
        </w:rPr>
        <w:t>198.</w:t>
      </w:r>
    </w:p>
    <w:p>
      <w:pPr>
        <w:pStyle w:val="BodyText"/>
        <w:spacing w:before="12"/>
      </w:pPr>
    </w:p>
    <w:p>
      <w:pPr>
        <w:spacing w:line="137" w:lineRule="exact" w:before="0"/>
        <w:ind w:left="165" w:right="0" w:firstLine="0"/>
        <w:jc w:val="left"/>
        <w:rPr>
          <w:sz w:val="14"/>
        </w:rPr>
      </w:pPr>
      <w:bookmarkStart w:name="_bookmark2063" w:id="2065"/>
      <w:bookmarkEnd w:id="2065"/>
      <w:r>
        <w:rPr/>
      </w:r>
      <w:hyperlink w:history="true" w:anchor="_bookmark2052">
        <w:r>
          <w:rPr>
            <w:color w:val="005DA1"/>
            <w:spacing w:val="-2"/>
            <w:sz w:val="14"/>
            <w:u w:val="single" w:color="005DA1"/>
          </w:rPr>
          <w:t>1088</w:t>
        </w:r>
      </w:hyperlink>
      <w:r>
        <w:rPr>
          <w:spacing w:val="-2"/>
          <w:sz w:val="14"/>
        </w:rPr>
        <w:t>.</w:t>
      </w:r>
    </w:p>
    <w:p>
      <w:pPr>
        <w:pStyle w:val="BodyText"/>
        <w:spacing w:line="203" w:lineRule="exact"/>
        <w:ind w:left="875"/>
      </w:pPr>
      <w:r>
        <w:rPr/>
        <w:drawing>
          <wp:anchor distT="0" distB="0" distL="0" distR="0" allowOverlap="1" layoutInCell="1" locked="0" behindDoc="0" simplePos="0" relativeHeight="15846400">
            <wp:simplePos x="0" y="0"/>
            <wp:positionH relativeFrom="page">
              <wp:posOffset>1257846</wp:posOffset>
            </wp:positionH>
            <wp:positionV relativeFrom="paragraph">
              <wp:posOffset>12726</wp:posOffset>
            </wp:positionV>
            <wp:extent cx="107988" cy="107988"/>
            <wp:effectExtent l="0" t="0" r="0" b="0"/>
            <wp:wrapNone/>
            <wp:docPr id="654" name="Image 654"/>
            <wp:cNvGraphicFramePr>
              <a:graphicFrameLocks/>
            </wp:cNvGraphicFramePr>
            <a:graphic>
              <a:graphicData uri="http://schemas.openxmlformats.org/drawingml/2006/picture">
                <pic:pic>
                  <pic:nvPicPr>
                    <pic:cNvPr id="654" name="Image 654"/>
                    <pic:cNvPicPr/>
                  </pic:nvPicPr>
                  <pic:blipFill>
                    <a:blip r:embed="rId6" cstate="print"/>
                    <a:stretch>
                      <a:fillRect/>
                    </a:stretch>
                  </pic:blipFill>
                  <pic:spPr>
                    <a:xfrm>
                      <a:off x="0" y="0"/>
                      <a:ext cx="107988" cy="107988"/>
                    </a:xfrm>
                    <a:prstGeom prst="rect">
                      <a:avLst/>
                    </a:prstGeom>
                  </pic:spPr>
                </pic:pic>
              </a:graphicData>
            </a:graphic>
          </wp:anchor>
        </w:drawing>
      </w:r>
      <w:r>
        <w:rPr/>
        <w:t>Lord</w:t>
      </w:r>
      <w:r>
        <w:rPr>
          <w:spacing w:val="5"/>
        </w:rPr>
        <w:t> </w:t>
      </w:r>
      <w:r>
        <w:rPr/>
        <w:t>Hodge</w:t>
      </w:r>
      <w:r>
        <w:rPr>
          <w:spacing w:val="5"/>
        </w:rPr>
        <w:t> </w:t>
      </w:r>
      <w:r>
        <w:rPr/>
        <w:t>said</w:t>
      </w:r>
      <w:r>
        <w:rPr>
          <w:spacing w:val="5"/>
        </w:rPr>
        <w:t> </w:t>
      </w:r>
      <w:r>
        <w:rPr/>
        <w:t>that</w:t>
      </w:r>
      <w:r>
        <w:rPr>
          <w:spacing w:val="5"/>
        </w:rPr>
        <w:t> </w:t>
      </w:r>
      <w:r>
        <w:rPr/>
        <w:t>the</w:t>
      </w:r>
      <w:r>
        <w:rPr>
          <w:spacing w:val="5"/>
        </w:rPr>
        <w:t> </w:t>
      </w:r>
      <w:r>
        <w:rPr/>
        <w:t>broader</w:t>
      </w:r>
      <w:r>
        <w:rPr>
          <w:spacing w:val="5"/>
        </w:rPr>
        <w:t> </w:t>
      </w:r>
      <w:r>
        <w:rPr/>
        <w:t>approach</w:t>
      </w:r>
      <w:r>
        <w:rPr>
          <w:spacing w:val="5"/>
        </w:rPr>
        <w:t> </w:t>
      </w:r>
      <w:r>
        <w:rPr/>
        <w:t>adopted</w:t>
      </w:r>
      <w:r>
        <w:rPr>
          <w:spacing w:val="5"/>
        </w:rPr>
        <w:t> </w:t>
      </w:r>
      <w:r>
        <w:rPr/>
        <w:t>in</w:t>
      </w:r>
      <w:r>
        <w:rPr>
          <w:spacing w:val="5"/>
        </w:rPr>
        <w:t> </w:t>
      </w:r>
      <w:r>
        <w:rPr/>
        <w:t>this</w:t>
      </w:r>
      <w:r>
        <w:rPr>
          <w:spacing w:val="5"/>
        </w:rPr>
        <w:t> </w:t>
      </w:r>
      <w:r>
        <w:rPr/>
        <w:t>group</w:t>
      </w:r>
      <w:r>
        <w:rPr>
          <w:spacing w:val="5"/>
        </w:rPr>
        <w:t> </w:t>
      </w:r>
      <w:r>
        <w:rPr/>
        <w:t>of</w:t>
      </w:r>
      <w:r>
        <w:rPr>
          <w:spacing w:val="5"/>
        </w:rPr>
        <w:t> </w:t>
      </w:r>
      <w:r>
        <w:rPr/>
        <w:t>cases</w:t>
      </w:r>
      <w:r>
        <w:rPr>
          <w:spacing w:val="5"/>
        </w:rPr>
        <w:t> </w:t>
      </w:r>
      <w:r>
        <w:rPr/>
        <w:t>“involves</w:t>
      </w:r>
      <w:r>
        <w:rPr>
          <w:spacing w:val="5"/>
        </w:rPr>
        <w:t> </w:t>
      </w:r>
      <w:r>
        <w:rPr/>
        <w:t>a</w:t>
      </w:r>
      <w:r>
        <w:rPr>
          <w:spacing w:val="5"/>
        </w:rPr>
        <w:t> </w:t>
      </w:r>
      <w:r>
        <w:rPr>
          <w:spacing w:val="-2"/>
        </w:rPr>
        <w:t>correct</w:t>
      </w:r>
    </w:p>
    <w:p>
      <w:pPr>
        <w:pStyle w:val="BodyText"/>
        <w:spacing w:line="227" w:lineRule="exact"/>
        <w:ind w:left="705"/>
      </w:pPr>
      <w:r>
        <w:rPr/>
        <w:t>analysis of the law” (at [225]; see also at </w:t>
      </w:r>
      <w:r>
        <w:rPr>
          <w:spacing w:val="-2"/>
        </w:rPr>
        <w:t>[246]).</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1991" w:right="0" w:firstLine="0"/>
        <w:jc w:val="left"/>
        <w:rPr>
          <w:rFonts w:ascii="Arial"/>
          <w:b/>
          <w:sz w:val="24"/>
        </w:rPr>
      </w:pPr>
      <w:r>
        <w:rPr>
          <w:rFonts w:ascii="Arial"/>
          <w:b/>
          <w:sz w:val="24"/>
        </w:rPr>
        <w:t>(d) - Deterrence to Protect a Legitimate </w:t>
      </w:r>
      <w:r>
        <w:rPr>
          <w:rFonts w:ascii="Arial"/>
          <w:b/>
          <w:spacing w:val="-2"/>
          <w:sz w:val="24"/>
        </w:rPr>
        <w:t>Interest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Permissible deterrence in protecting broader </w:t>
      </w:r>
      <w:r>
        <w:rPr>
          <w:rFonts w:ascii="Arial"/>
          <w:b/>
          <w:spacing w:val="-2"/>
          <w:sz w:val="18"/>
        </w:rPr>
        <w:t>interests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56" name="Image 656"/>
            <wp:cNvGraphicFramePr>
              <a:graphicFrameLocks/>
            </wp:cNvGraphicFramePr>
            <a:graphic>
              <a:graphicData uri="http://schemas.openxmlformats.org/drawingml/2006/picture">
                <pic:pic>
                  <pic:nvPicPr>
                    <pic:cNvPr id="656" name="Image 6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first modern decision that a clause requiring a sum that is not a genuine pre-estimate of the loss that will be suffered by the other party, and which is clearly aimed at deterrence, </w:t>
      </w:r>
      <w:r>
        <w:rPr/>
        <w:t>may</w:t>
      </w:r>
      <w:r>
        <w:rPr>
          <w:spacing w:val="40"/>
        </w:rPr>
        <w:t> </w:t>
      </w:r>
      <w:bookmarkStart w:name="_bookmark2064" w:id="2066"/>
      <w:bookmarkEnd w:id="2066"/>
      <w:r>
        <w:rPr/>
        <w:t>nonetheless</w:t>
      </w:r>
      <w:r>
        <w:rPr>
          <w:spacing w:val="56"/>
        </w:rPr>
        <w:t> </w:t>
      </w:r>
      <w:r>
        <w:rPr/>
        <w:t>be</w:t>
      </w:r>
      <w:r>
        <w:rPr>
          <w:spacing w:val="56"/>
        </w:rPr>
        <w:t> </w:t>
      </w:r>
      <w:r>
        <w:rPr/>
        <w:t>a</w:t>
      </w:r>
      <w:r>
        <w:rPr>
          <w:spacing w:val="56"/>
        </w:rPr>
        <w:t> </w:t>
      </w:r>
      <w:r>
        <w:rPr/>
        <w:t>valid</w:t>
      </w:r>
      <w:r>
        <w:rPr>
          <w:spacing w:val="56"/>
        </w:rPr>
        <w:t> </w:t>
      </w:r>
      <w:r>
        <w:rPr/>
        <w:t>liquidated</w:t>
      </w:r>
      <w:r>
        <w:rPr>
          <w:spacing w:val="56"/>
        </w:rPr>
        <w:t> </w:t>
      </w:r>
      <w:r>
        <w:rPr/>
        <w:t>damages</w:t>
      </w:r>
      <w:r>
        <w:rPr>
          <w:spacing w:val="56"/>
        </w:rPr>
        <w:t> </w:t>
      </w:r>
      <w:r>
        <w:rPr/>
        <w:t>clause</w:t>
      </w:r>
      <w:r>
        <w:rPr>
          <w:spacing w:val="56"/>
        </w:rPr>
        <w:t> </w:t>
      </w:r>
      <w:r>
        <w:rPr/>
        <w:t>was</w:t>
      </w:r>
      <w:r>
        <w:rPr>
          <w:spacing w:val="56"/>
        </w:rPr>
        <w:t> </w:t>
      </w:r>
      <w:r>
        <w:rPr/>
        <w:t>the</w:t>
      </w:r>
      <w:r>
        <w:rPr>
          <w:spacing w:val="56"/>
        </w:rPr>
        <w:t> </w:t>
      </w:r>
      <w:r>
        <w:rPr/>
        <w:t>decision</w:t>
      </w:r>
      <w:r>
        <w:rPr>
          <w:spacing w:val="56"/>
        </w:rPr>
        <w:t> </w:t>
      </w:r>
      <w:r>
        <w:rPr/>
        <w:t>of</w:t>
      </w:r>
      <w:r>
        <w:rPr>
          <w:spacing w:val="56"/>
        </w:rPr>
        <w:t> </w:t>
      </w:r>
      <w:r>
        <w:rPr/>
        <w:t>the</w:t>
      </w:r>
      <w:r>
        <w:rPr>
          <w:spacing w:val="56"/>
        </w:rPr>
        <w:t> </w:t>
      </w:r>
      <w:r>
        <w:rPr/>
        <w:t>Court</w:t>
      </w:r>
      <w:r>
        <w:rPr>
          <w:spacing w:val="56"/>
        </w:rPr>
        <w:t> </w:t>
      </w:r>
      <w:r>
        <w:rPr/>
        <w:t>of</w:t>
      </w:r>
      <w:r>
        <w:rPr>
          <w:spacing w:val="56"/>
        </w:rPr>
        <w:t> </w:t>
      </w:r>
      <w:r>
        <w:rPr/>
        <w:t>Appeal</w:t>
      </w:r>
      <w:r>
        <w:rPr>
          <w:spacing w:val="56"/>
        </w:rPr>
        <w:t> </w:t>
      </w:r>
      <w:r>
        <w:rPr>
          <w:spacing w:val="-5"/>
        </w:rPr>
        <w:t>in</w:t>
      </w:r>
    </w:p>
    <w:p>
      <w:pPr>
        <w:pStyle w:val="BodyText"/>
        <w:spacing w:line="235" w:lineRule="auto" w:before="119"/>
        <w:ind w:left="165" w:right="167"/>
        <w:jc w:val="both"/>
      </w:pPr>
      <w:r>
        <w:rPr>
          <w:rFonts w:ascii="Arial" w:hAnsi="Arial"/>
          <w:i/>
        </w:rPr>
        <w:t>ParkingEye Ltd v Beavis</w:t>
      </w:r>
      <w:r>
        <w:rPr/>
        <w:t>. </w:t>
      </w:r>
      <w:hyperlink w:history="true" w:anchor="_bookmark2179">
        <w:r>
          <w:rPr>
            <w:color w:val="005DA1"/>
            <w:u w:val="single" w:color="005DA1"/>
            <w:vertAlign w:val="superscript"/>
          </w:rPr>
          <w:t>1089</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657" name="Image 657"/>
              <wp:cNvGraphicFramePr>
                <a:graphicFrameLocks/>
              </wp:cNvGraphicFramePr>
              <a:graphic>
                <a:graphicData uri="http://schemas.openxmlformats.org/drawingml/2006/picture">
                  <pic:pic>
                    <pic:nvPicPr>
                      <pic:cNvPr id="657" name="Image 6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The claimants operated a car park at a retail park on behalf of </w:t>
        </w:r>
        <w:r>
          <w:rPr>
            <w:vertAlign w:val="baseline"/>
          </w:rPr>
          <w:t>the owners. Motorists were allowed to park free of charge for up to two hours after which they should leave, but a “failure to comply” would result in a parking charge of £85. Moore-Bick L.J., with whom the other members of the court agreed, said the claimants would suffer no direct loss if the motorists </w:t>
        </w:r>
        <w:bookmarkStart w:name="_bookmark2065" w:id="2067"/>
        <w:bookmarkEnd w:id="2067"/>
        <w:r>
          <w:rPr>
            <w:vertAlign w:val="baseline"/>
          </w:rPr>
          <w:t>overstayed</w:t>
        </w:r>
        <w:r>
          <w:rPr>
            <w:spacing w:val="24"/>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hours;</w:t>
        </w:r>
        <w:r>
          <w:rPr>
            <w:spacing w:val="24"/>
            <w:vertAlign w:val="baseline"/>
          </w:rPr>
          <w:t> </w:t>
        </w:r>
        <w:r>
          <w:rPr>
            <w:vertAlign w:val="baseline"/>
          </w:rPr>
          <w:t>it</w:t>
        </w:r>
        <w:r>
          <w:rPr>
            <w:spacing w:val="24"/>
            <w:vertAlign w:val="baseline"/>
          </w:rPr>
          <w:t> </w:t>
        </w:r>
        <w:r>
          <w:rPr>
            <w:vertAlign w:val="baseline"/>
          </w:rPr>
          <w:t>had</w:t>
        </w:r>
        <w:r>
          <w:rPr>
            <w:spacing w:val="24"/>
            <w:vertAlign w:val="baseline"/>
          </w:rPr>
          <w:t> </w:t>
        </w:r>
        <w:r>
          <w:rPr>
            <w:vertAlign w:val="baseline"/>
          </w:rPr>
          <w:t>only</w:t>
        </w:r>
        <w:r>
          <w:rPr>
            <w:spacing w:val="24"/>
            <w:vertAlign w:val="baseline"/>
          </w:rPr>
          <w:t> </w:t>
        </w:r>
        <w:r>
          <w:rPr>
            <w:vertAlign w:val="baseline"/>
          </w:rPr>
          <w:t>an</w:t>
        </w:r>
        <w:r>
          <w:rPr>
            <w:spacing w:val="24"/>
            <w:vertAlign w:val="baseline"/>
          </w:rPr>
          <w:t> </w:t>
        </w:r>
        <w:r>
          <w:rPr>
            <w:vertAlign w:val="baseline"/>
          </w:rPr>
          <w:t>indirect</w:t>
        </w:r>
        <w:r>
          <w:rPr>
            <w:spacing w:val="24"/>
            <w:vertAlign w:val="baseline"/>
          </w:rPr>
          <w:t> </w:t>
        </w:r>
        <w:r>
          <w:rPr>
            <w:vertAlign w:val="baseline"/>
          </w:rPr>
          <w:t>commercial</w:t>
        </w:r>
        <w:r>
          <w:rPr>
            <w:spacing w:val="24"/>
            <w:vertAlign w:val="baseline"/>
          </w:rPr>
          <w:t> </w:t>
        </w:r>
        <w:r>
          <w:rPr>
            <w:vertAlign w:val="baseline"/>
          </w:rPr>
          <w:t>interest</w:t>
        </w:r>
        <w:r>
          <w:rPr>
            <w:spacing w:val="24"/>
            <w:vertAlign w:val="baseline"/>
          </w:rPr>
          <w:t> </w:t>
        </w:r>
        <w:r>
          <w:rPr>
            <w:vertAlign w:val="baseline"/>
          </w:rPr>
          <w:t>in</w:t>
        </w:r>
        <w:r>
          <w:rPr>
            <w:spacing w:val="24"/>
            <w:vertAlign w:val="baseline"/>
          </w:rPr>
          <w:t> </w:t>
        </w:r>
        <w:r>
          <w:rPr>
            <w:vertAlign w:val="baseline"/>
          </w:rPr>
          <w:t>that</w:t>
        </w:r>
        <w:r>
          <w:rPr>
            <w:spacing w:val="24"/>
            <w:vertAlign w:val="baseline"/>
          </w:rPr>
          <w:t> </w:t>
        </w:r>
        <w:r>
          <w:rPr>
            <w:vertAlign w:val="baseline"/>
          </w:rPr>
          <w:t>if</w:t>
        </w:r>
        <w:r>
          <w:rPr>
            <w:spacing w:val="24"/>
            <w:vertAlign w:val="baseline"/>
          </w:rPr>
          <w:t> </w:t>
        </w:r>
        <w:r>
          <w:rPr>
            <w:vertAlign w:val="baseline"/>
          </w:rPr>
          <w:t>it</w:t>
        </w:r>
        <w:r>
          <w:rPr>
            <w:spacing w:val="24"/>
            <w:vertAlign w:val="baseline"/>
          </w:rPr>
          <w:t> </w:t>
        </w:r>
        <w:r>
          <w:rPr>
            <w:vertAlign w:val="baseline"/>
          </w:rPr>
          <w:t>did</w:t>
        </w:r>
        <w:r>
          <w:rPr>
            <w:spacing w:val="24"/>
            <w:vertAlign w:val="baseline"/>
          </w:rPr>
          <w:t> </w:t>
        </w:r>
        <w:r>
          <w:rPr>
            <w:vertAlign w:val="baseline"/>
          </w:rPr>
          <w:t>not</w:t>
        </w:r>
        <w:r>
          <w:rPr>
            <w:spacing w:val="24"/>
            <w:vertAlign w:val="baseline"/>
          </w:rPr>
          <w:t> </w:t>
        </w:r>
        <w:r>
          <w:rPr>
            <w:vertAlign w:val="baseline"/>
          </w:rPr>
          <w:t>deliver</w:t>
        </w:r>
        <w:r>
          <w:rPr>
            <w:spacing w:val="24"/>
            <w:vertAlign w:val="baseline"/>
          </w:rPr>
          <w:t> </w:t>
        </w:r>
        <w:r>
          <w:rPr>
            <w:spacing w:val="-5"/>
            <w:vertAlign w:val="baseline"/>
          </w:rPr>
          <w:t>the</w:t>
        </w:r>
      </w:hyperlink>
    </w:p>
    <w:p>
      <w:pPr>
        <w:pStyle w:val="BodyText"/>
        <w:spacing w:before="114"/>
        <w:ind w:left="165"/>
        <w:jc w:val="both"/>
        <w:rPr>
          <w:position w:val="-2"/>
        </w:rPr>
      </w:pPr>
      <w:bookmarkStart w:name="_bookmark2066" w:id="2068"/>
      <w:bookmarkEnd w:id="2068"/>
      <w:r>
        <w:rPr/>
      </w:r>
      <w:r>
        <w:rPr/>
        <w:t>service</w:t>
      </w:r>
      <w:r>
        <w:rPr>
          <w:spacing w:val="22"/>
        </w:rPr>
        <w:t> </w:t>
      </w:r>
      <w:r>
        <w:rPr/>
        <w:t>required</w:t>
      </w:r>
      <w:r>
        <w:rPr>
          <w:spacing w:val="22"/>
        </w:rPr>
        <w:t> </w:t>
      </w:r>
      <w:r>
        <w:rPr/>
        <w:t>by</w:t>
      </w:r>
      <w:r>
        <w:rPr>
          <w:spacing w:val="22"/>
        </w:rPr>
        <w:t> </w:t>
      </w:r>
      <w:r>
        <w:rPr/>
        <w:t>the</w:t>
      </w:r>
      <w:r>
        <w:rPr>
          <w:spacing w:val="22"/>
        </w:rPr>
        <w:t> </w:t>
      </w:r>
      <w:r>
        <w:rPr/>
        <w:t>owners</w:t>
      </w:r>
      <w:r>
        <w:rPr>
          <w:spacing w:val="22"/>
        </w:rPr>
        <w:t> </w:t>
      </w:r>
      <w:r>
        <w:rPr/>
        <w:t>of</w:t>
      </w:r>
      <w:r>
        <w:rPr>
          <w:spacing w:val="22"/>
        </w:rPr>
        <w:t> </w:t>
      </w:r>
      <w:r>
        <w:rPr/>
        <w:t>the</w:t>
      </w:r>
      <w:r>
        <w:rPr>
          <w:spacing w:val="22"/>
        </w:rPr>
        <w:t> </w:t>
      </w:r>
      <w:r>
        <w:rPr/>
        <w:t>retail</w:t>
      </w:r>
      <w:r>
        <w:rPr>
          <w:spacing w:val="22"/>
        </w:rPr>
        <w:t> </w:t>
      </w:r>
      <w:r>
        <w:rPr/>
        <w:t>park</w:t>
      </w:r>
      <w:r>
        <w:rPr>
          <w:spacing w:val="22"/>
        </w:rPr>
        <w:t> </w:t>
      </w:r>
      <w:r>
        <w:rPr/>
        <w:t>it</w:t>
      </w:r>
      <w:r>
        <w:rPr>
          <w:spacing w:val="22"/>
        </w:rPr>
        <w:t> </w:t>
      </w:r>
      <w:r>
        <w:rPr/>
        <w:t>might</w:t>
      </w:r>
      <w:r>
        <w:rPr>
          <w:spacing w:val="22"/>
        </w:rPr>
        <w:t> </w:t>
      </w:r>
      <w:r>
        <w:rPr/>
        <w:t>lose</w:t>
      </w:r>
      <w:r>
        <w:rPr>
          <w:spacing w:val="22"/>
        </w:rPr>
        <w:t> </w:t>
      </w:r>
      <w:r>
        <w:rPr/>
        <w:t>its</w:t>
      </w:r>
      <w:r>
        <w:rPr>
          <w:spacing w:val="22"/>
        </w:rPr>
        <w:t> </w:t>
      </w:r>
      <w:r>
        <w:rPr/>
        <w:t>contract</w:t>
      </w:r>
      <w:r>
        <w:rPr>
          <w:spacing w:val="22"/>
        </w:rPr>
        <w:t> </w:t>
      </w:r>
      <w:r>
        <w:rPr/>
        <w:t>and</w:t>
      </w:r>
      <w:r>
        <w:rPr>
          <w:spacing w:val="22"/>
        </w:rPr>
        <w:t> </w:t>
      </w:r>
      <w:r>
        <w:rPr/>
        <w:t>its</w:t>
      </w:r>
      <w:r>
        <w:rPr>
          <w:spacing w:val="22"/>
        </w:rPr>
        <w:t> </w:t>
      </w:r>
      <w:r>
        <w:rPr/>
        <w:t>reputation.</w:t>
      </w:r>
      <w:r>
        <w:rPr>
          <w:spacing w:val="21"/>
        </w:rPr>
        <w:t> </w:t>
      </w:r>
      <w:hyperlink w:history="true" w:anchor="_bookmark2180">
        <w:r>
          <w:rPr>
            <w:color w:val="005DA1"/>
            <w:u w:val="single" w:color="005DA1"/>
            <w:vertAlign w:val="superscript"/>
          </w:rPr>
          <w:t>1090</w:t>
        </w:r>
        <w:r>
          <w:rPr>
            <w:color w:val="005DA1"/>
            <w:spacing w:val="62"/>
            <w:vertAlign w:val="baseline"/>
          </w:rPr>
          <w:t>  </w:t>
        </w:r>
        <w:r>
          <w:rPr>
            <w:color w:val="005DA1"/>
            <w:spacing w:val="-3"/>
            <w:position w:val="-2"/>
            <w:vertAlign w:val="baseline"/>
          </w:rPr>
          <w:drawing>
            <wp:inline distT="0" distB="0" distL="0" distR="0">
              <wp:extent cx="107988" cy="107988"/>
              <wp:effectExtent l="0" t="0" r="0" b="0"/>
              <wp:docPr id="658" name="Image 658"/>
              <wp:cNvGraphicFramePr>
                <a:graphicFrameLocks/>
              </wp:cNvGraphicFramePr>
              <a:graphic>
                <a:graphicData uri="http://schemas.openxmlformats.org/drawingml/2006/picture">
                  <pic:pic>
                    <pic:nvPicPr>
                      <pic:cNvPr id="658" name="Image 6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hyperlink>
    </w:p>
    <w:p>
      <w:pPr>
        <w:pStyle w:val="BodyText"/>
        <w:spacing w:before="116"/>
        <w:ind w:left="164"/>
        <w:jc w:val="both"/>
      </w:pPr>
      <w:bookmarkStart w:name="_bookmark2067" w:id="2069"/>
      <w:bookmarkEnd w:id="2069"/>
      <w:r>
        <w:rPr/>
      </w:r>
      <w:r>
        <w:rPr/>
        <w:t>There</w:t>
      </w:r>
      <w:r>
        <w:rPr>
          <w:spacing w:val="18"/>
        </w:rPr>
        <w:t> </w:t>
      </w:r>
      <w:r>
        <w:rPr/>
        <w:t>was</w:t>
      </w:r>
      <w:r>
        <w:rPr>
          <w:spacing w:val="19"/>
        </w:rPr>
        <w:t> </w:t>
      </w:r>
      <w:r>
        <w:rPr/>
        <w:t>also</w:t>
      </w:r>
      <w:r>
        <w:rPr>
          <w:spacing w:val="19"/>
        </w:rPr>
        <w:t> </w:t>
      </w:r>
      <w:r>
        <w:rPr/>
        <w:t>a</w:t>
      </w:r>
      <w:r>
        <w:rPr>
          <w:spacing w:val="18"/>
        </w:rPr>
        <w:t> </w:t>
      </w:r>
      <w:r>
        <w:rPr/>
        <w:t>social</w:t>
      </w:r>
      <w:r>
        <w:rPr>
          <w:spacing w:val="19"/>
        </w:rPr>
        <w:t> </w:t>
      </w:r>
      <w:r>
        <w:rPr/>
        <w:t>interest,</w:t>
      </w:r>
      <w:r>
        <w:rPr>
          <w:spacing w:val="19"/>
        </w:rPr>
        <w:t> </w:t>
      </w:r>
      <w:hyperlink w:history="true" w:anchor="_bookmark2181">
        <w:r>
          <w:rPr>
            <w:color w:val="005DA1"/>
            <w:u w:val="single" w:color="005DA1"/>
            <w:vertAlign w:val="superscript"/>
          </w:rPr>
          <w:t>1091</w:t>
        </w:r>
        <w:r>
          <w:rPr>
            <w:color w:val="005DA1"/>
            <w:spacing w:val="56"/>
            <w:vertAlign w:val="baseline"/>
          </w:rPr>
          <w:t>  </w:t>
        </w:r>
        <w:r>
          <w:rPr>
            <w:color w:val="005DA1"/>
            <w:spacing w:val="6"/>
            <w:position w:val="-2"/>
            <w:vertAlign w:val="baseline"/>
          </w:rPr>
          <w:drawing>
            <wp:inline distT="0" distB="0" distL="0" distR="0">
              <wp:extent cx="107988" cy="107988"/>
              <wp:effectExtent l="0" t="0" r="0" b="0"/>
              <wp:docPr id="659" name="Image 659"/>
              <wp:cNvGraphicFramePr>
                <a:graphicFrameLocks/>
              </wp:cNvGraphicFramePr>
              <a:graphic>
                <a:graphicData uri="http://schemas.openxmlformats.org/drawingml/2006/picture">
                  <pic:pic>
                    <pic:nvPicPr>
                      <pic:cNvPr id="659" name="Image 6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19"/>
            <w:vertAlign w:val="baseline"/>
          </w:rPr>
          <w:t> </w:t>
        </w:r>
        <w:r>
          <w:rPr>
            <w:vertAlign w:val="baseline"/>
          </w:rPr>
          <w:t>in</w:t>
        </w:r>
        <w:r>
          <w:rPr>
            <w:spacing w:val="19"/>
            <w:vertAlign w:val="baseline"/>
          </w:rPr>
          <w:t> </w:t>
        </w:r>
        <w:r>
          <w:rPr>
            <w:vertAlign w:val="baseline"/>
          </w:rPr>
          <w:t>that</w:t>
        </w:r>
        <w:r>
          <w:rPr>
            <w:spacing w:val="19"/>
            <w:vertAlign w:val="baseline"/>
          </w:rPr>
          <w:t> </w:t>
        </w:r>
        <w:r>
          <w:rPr>
            <w:vertAlign w:val="baseline"/>
          </w:rPr>
          <w:t>consumers</w:t>
        </w:r>
        <w:r>
          <w:rPr>
            <w:spacing w:val="18"/>
            <w:vertAlign w:val="baseline"/>
          </w:rPr>
          <w:t> </w:t>
        </w:r>
        <w:r>
          <w:rPr>
            <w:vertAlign w:val="baseline"/>
          </w:rPr>
          <w:t>and</w:t>
        </w:r>
        <w:r>
          <w:rPr>
            <w:spacing w:val="19"/>
            <w:vertAlign w:val="baseline"/>
          </w:rPr>
          <w:t> </w:t>
        </w:r>
        <w:r>
          <w:rPr>
            <w:vertAlign w:val="baseline"/>
          </w:rPr>
          <w:t>retailers</w:t>
        </w:r>
        <w:r>
          <w:rPr>
            <w:spacing w:val="19"/>
            <w:vertAlign w:val="baseline"/>
          </w:rPr>
          <w:t> </w:t>
        </w:r>
        <w:r>
          <w:rPr>
            <w:vertAlign w:val="baseline"/>
          </w:rPr>
          <w:t>would</w:t>
        </w:r>
        <w:r>
          <w:rPr>
            <w:spacing w:val="18"/>
            <w:vertAlign w:val="baseline"/>
          </w:rPr>
          <w:t> </w:t>
        </w:r>
        <w:r>
          <w:rPr>
            <w:vertAlign w:val="baseline"/>
          </w:rPr>
          <w:t>benefit</w:t>
        </w:r>
        <w:r>
          <w:rPr>
            <w:spacing w:val="19"/>
            <w:vertAlign w:val="baseline"/>
          </w:rPr>
          <w:t> </w:t>
        </w:r>
        <w:r>
          <w:rPr>
            <w:vertAlign w:val="baseline"/>
          </w:rPr>
          <w:t>from</w:t>
        </w:r>
        <w:r>
          <w:rPr>
            <w:spacing w:val="19"/>
            <w:vertAlign w:val="baseline"/>
          </w:rPr>
          <w:t> </w:t>
        </w:r>
        <w:r>
          <w:rPr>
            <w:spacing w:val="-2"/>
            <w:vertAlign w:val="baseline"/>
          </w:rPr>
          <w:t>having</w:t>
        </w:r>
      </w:hyperlink>
    </w:p>
    <w:p>
      <w:pPr>
        <w:pStyle w:val="BodyText"/>
        <w:spacing w:line="235" w:lineRule="auto" w:before="118"/>
        <w:ind w:left="165" w:right="167"/>
        <w:jc w:val="both"/>
      </w:pPr>
      <w:r>
        <w:rPr/>
        <w:t>free parking for limited periods. </w:t>
      </w:r>
      <w:hyperlink w:history="true" w:anchor="_bookmark2182">
        <w:r>
          <w:rPr>
            <w:color w:val="005DA1"/>
            <w:u w:val="single" w:color="005DA1"/>
            <w:vertAlign w:val="superscript"/>
          </w:rPr>
          <w:t>1092</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660" name="Image 660"/>
              <wp:cNvGraphicFramePr>
                <a:graphicFrameLocks/>
              </wp:cNvGraphicFramePr>
              <a:graphic>
                <a:graphicData uri="http://schemas.openxmlformats.org/drawingml/2006/picture">
                  <pic:pic>
                    <pic:nvPicPr>
                      <pic:cNvPr id="660" name="Image 6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2"/>
            <w:vertAlign w:val="baseline"/>
          </w:rPr>
          <w:t> </w:t>
        </w:r>
        <w:r>
          <w:rPr>
            <w:vertAlign w:val="baseline"/>
          </w:rPr>
          <w:t>Although it was clear that the principal purpose of the parking charge was to deter motorists from overstaying, a charge designed to protect a combination of</w:t>
        </w:r>
        <w:r>
          <w:rPr>
            <w:spacing w:val="40"/>
            <w:vertAlign w:val="baseline"/>
          </w:rPr>
          <w:t> </w:t>
        </w:r>
        <w:r>
          <w:rPr>
            <w:vertAlign w:val="baseline"/>
          </w:rPr>
          <w:t>indirect commercial interests and social interests might be valid, provided that it was not </w:t>
        </w:r>
        <w:r>
          <w:rPr>
            <w:vertAlign w:val="baseline"/>
          </w:rPr>
          <w:t>manifestly excessive. The judge at first instance had taken the correct approach when he held that the charge </w:t>
        </w:r>
        <w:bookmarkStart w:name="_bookmark2068" w:id="2070"/>
        <w:bookmarkEnd w:id="2070"/>
        <w:r>
          <w:rPr>
            <w:vertAlign w:val="baseline"/>
          </w:rPr>
          <w:t>was</w:t>
        </w:r>
        <w:r>
          <w:rPr>
            <w:spacing w:val="7"/>
            <w:vertAlign w:val="baseline"/>
          </w:rPr>
          <w:t> </w:t>
        </w:r>
        <w:r>
          <w:rPr>
            <w:vertAlign w:val="baseline"/>
          </w:rPr>
          <w:t>neither</w:t>
        </w:r>
        <w:r>
          <w:rPr>
            <w:spacing w:val="7"/>
            <w:vertAlign w:val="baseline"/>
          </w:rPr>
          <w:t> </w:t>
        </w:r>
        <w:r>
          <w:rPr>
            <w:vertAlign w:val="baseline"/>
          </w:rPr>
          <w:t>improper</w:t>
        </w:r>
        <w:r>
          <w:rPr>
            <w:spacing w:val="7"/>
            <w:vertAlign w:val="baseline"/>
          </w:rPr>
          <w:t> </w:t>
        </w:r>
        <w:r>
          <w:rPr>
            <w:vertAlign w:val="baseline"/>
          </w:rPr>
          <w:t>in</w:t>
        </w:r>
        <w:r>
          <w:rPr>
            <w:spacing w:val="7"/>
            <w:vertAlign w:val="baseline"/>
          </w:rPr>
          <w:t> </w:t>
        </w:r>
        <w:r>
          <w:rPr>
            <w:vertAlign w:val="baseline"/>
          </w:rPr>
          <w:t>its</w:t>
        </w:r>
        <w:r>
          <w:rPr>
            <w:spacing w:val="7"/>
            <w:vertAlign w:val="baseline"/>
          </w:rPr>
          <w:t> </w:t>
        </w:r>
        <w:r>
          <w:rPr>
            <w:vertAlign w:val="baseline"/>
          </w:rPr>
          <w:t>purpose</w:t>
        </w:r>
        <w:r>
          <w:rPr>
            <w:spacing w:val="7"/>
            <w:vertAlign w:val="baseline"/>
          </w:rPr>
          <w:t> </w:t>
        </w:r>
        <w:r>
          <w:rPr>
            <w:vertAlign w:val="baseline"/>
          </w:rPr>
          <w:t>nor</w:t>
        </w:r>
        <w:r>
          <w:rPr>
            <w:spacing w:val="7"/>
            <w:vertAlign w:val="baseline"/>
          </w:rPr>
          <w:t> </w:t>
        </w:r>
        <w:r>
          <w:rPr>
            <w:vertAlign w:val="baseline"/>
          </w:rPr>
          <w:t>manifestly</w:t>
        </w:r>
        <w:r>
          <w:rPr>
            <w:spacing w:val="7"/>
            <w:vertAlign w:val="baseline"/>
          </w:rPr>
          <w:t> </w:t>
        </w:r>
        <w:r>
          <w:rPr>
            <w:vertAlign w:val="baseline"/>
          </w:rPr>
          <w:t>excessive</w:t>
        </w:r>
        <w:r>
          <w:rPr>
            <w:spacing w:val="7"/>
            <w:vertAlign w:val="baseline"/>
          </w:rPr>
          <w:t> </w:t>
        </w:r>
        <w:r>
          <w:rPr>
            <w:vertAlign w:val="baseline"/>
          </w:rPr>
          <w:t>in</w:t>
        </w:r>
        <w:r>
          <w:rPr>
            <w:spacing w:val="7"/>
            <w:vertAlign w:val="baseline"/>
          </w:rPr>
          <w:t> </w:t>
        </w:r>
        <w:r>
          <w:rPr>
            <w:vertAlign w:val="baseline"/>
          </w:rPr>
          <w:t>its</w:t>
        </w:r>
        <w:r>
          <w:rPr>
            <w:spacing w:val="7"/>
            <w:vertAlign w:val="baseline"/>
          </w:rPr>
          <w:t> </w:t>
        </w:r>
        <w:r>
          <w:rPr>
            <w:vertAlign w:val="baseline"/>
          </w:rPr>
          <w:t>amount,</w:t>
        </w:r>
        <w:r>
          <w:rPr>
            <w:spacing w:val="7"/>
            <w:vertAlign w:val="baseline"/>
          </w:rPr>
          <w:t> </w:t>
        </w:r>
        <w:r>
          <w:rPr>
            <w:vertAlign w:val="baseline"/>
          </w:rPr>
          <w:t>having</w:t>
        </w:r>
        <w:r>
          <w:rPr>
            <w:spacing w:val="7"/>
            <w:vertAlign w:val="baseline"/>
          </w:rPr>
          <w:t> </w:t>
        </w:r>
        <w:r>
          <w:rPr>
            <w:vertAlign w:val="baseline"/>
          </w:rPr>
          <w:t>regard</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spacing w:val="-2"/>
            <w:vertAlign w:val="baseline"/>
          </w:rPr>
          <w:t>level</w:t>
        </w:r>
      </w:hyperlink>
    </w:p>
    <w:p>
      <w:pPr>
        <w:pStyle w:val="BodyText"/>
        <w:spacing w:line="360" w:lineRule="auto" w:before="115"/>
        <w:ind w:left="165" w:right="167"/>
        <w:jc w:val="both"/>
      </w:pPr>
      <w:bookmarkStart w:name="_bookmark2069" w:id="2071"/>
      <w:bookmarkEnd w:id="2071"/>
      <w:r>
        <w:rPr/>
      </w:r>
      <w:r>
        <w:rPr/>
        <w:t>of</w:t>
      </w:r>
      <w:r>
        <w:rPr>
          <w:spacing w:val="-1"/>
        </w:rPr>
        <w:t> </w:t>
      </w:r>
      <w:r>
        <w:rPr/>
        <w:t>charges</w:t>
      </w:r>
      <w:r>
        <w:rPr>
          <w:spacing w:val="-1"/>
        </w:rPr>
        <w:t> </w:t>
      </w:r>
      <w:r>
        <w:rPr/>
        <w:t>imposed</w:t>
      </w:r>
      <w:r>
        <w:rPr>
          <w:spacing w:val="-1"/>
        </w:rPr>
        <w:t> </w:t>
      </w:r>
      <w:r>
        <w:rPr/>
        <w:t>by</w:t>
      </w:r>
      <w:r>
        <w:rPr>
          <w:spacing w:val="-1"/>
        </w:rPr>
        <w:t> </w:t>
      </w:r>
      <w:r>
        <w:rPr/>
        <w:t>local</w:t>
      </w:r>
      <w:r>
        <w:rPr>
          <w:spacing w:val="-1"/>
        </w:rPr>
        <w:t> </w:t>
      </w:r>
      <w:r>
        <w:rPr/>
        <w:t>authorities</w:t>
      </w:r>
      <w:r>
        <w:rPr>
          <w:spacing w:val="-1"/>
        </w:rPr>
        <w:t> </w:t>
      </w:r>
      <w:r>
        <w:rPr/>
        <w:t>and</w:t>
      </w:r>
      <w:r>
        <w:rPr>
          <w:spacing w:val="-1"/>
        </w:rPr>
        <w:t> </w:t>
      </w:r>
      <w:r>
        <w:rPr/>
        <w:t>others</w:t>
      </w:r>
      <w:r>
        <w:rPr>
          <w:spacing w:val="-1"/>
        </w:rPr>
        <w:t> </w:t>
      </w:r>
      <w:r>
        <w:rPr/>
        <w:t>for</w:t>
      </w:r>
      <w:r>
        <w:rPr>
          <w:spacing w:val="-1"/>
        </w:rPr>
        <w:t> </w:t>
      </w:r>
      <w:r>
        <w:rPr/>
        <w:t>overstaying</w:t>
      </w:r>
      <w:r>
        <w:rPr>
          <w:spacing w:val="-1"/>
        </w:rPr>
        <w:t> </w:t>
      </w:r>
      <w:r>
        <w:rPr/>
        <w:t>in</w:t>
      </w:r>
      <w:r>
        <w:rPr>
          <w:spacing w:val="-1"/>
        </w:rPr>
        <w:t> </w:t>
      </w:r>
      <w:r>
        <w:rPr/>
        <w:t>public</w:t>
      </w:r>
      <w:r>
        <w:rPr>
          <w:spacing w:val="-1"/>
        </w:rPr>
        <w:t> </w:t>
      </w:r>
      <w:r>
        <w:rPr/>
        <w:t>car</w:t>
      </w:r>
      <w:r>
        <w:rPr>
          <w:spacing w:val="-1"/>
        </w:rPr>
        <w:t> </w:t>
      </w:r>
      <w:r>
        <w:rPr/>
        <w:t>parks.</w:t>
      </w:r>
      <w:r>
        <w:rPr>
          <w:spacing w:val="-2"/>
        </w:rPr>
        <w:t> </w:t>
      </w:r>
      <w:hyperlink w:history="true" w:anchor="_bookmark2183">
        <w:r>
          <w:rPr>
            <w:color w:val="005DA1"/>
            <w:u w:val="single" w:color="005DA1"/>
            <w:vertAlign w:val="superscript"/>
          </w:rPr>
          <w:t>1093</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661" name="Image 661"/>
              <wp:cNvGraphicFramePr>
                <a:graphicFrameLocks/>
              </wp:cNvGraphicFramePr>
              <a:graphic>
                <a:graphicData uri="http://schemas.openxmlformats.org/drawingml/2006/picture">
                  <pic:pic>
                    <pic:nvPicPr>
                      <pic:cNvPr id="661" name="Image 6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While</w:t>
        </w:r>
        <w:r>
          <w:rPr>
            <w:spacing w:val="-1"/>
            <w:vertAlign w:val="baseline"/>
          </w:rPr>
          <w:t> </w:t>
        </w:r>
        <w:r>
          <w:rPr>
            <w:vertAlign w:val="baseline"/>
          </w:rPr>
          <w:t>in </w:t>
        </w:r>
        <w:bookmarkStart w:name="_bookmark2070" w:id="2072"/>
        <w:bookmarkEnd w:id="2072"/>
        <w:r>
          <w:rPr>
            <w:vertAlign w:val="baseline"/>
          </w:rPr>
          <w:t>a</w:t>
        </w:r>
        <w:r>
          <w:rPr>
            <w:spacing w:val="46"/>
            <w:vertAlign w:val="baseline"/>
          </w:rPr>
          <w:t> </w:t>
        </w:r>
        <w:r>
          <w:rPr>
            <w:vertAlign w:val="baseline"/>
          </w:rPr>
          <w:t>purely</w:t>
        </w:r>
        <w:r>
          <w:rPr>
            <w:spacing w:val="47"/>
            <w:vertAlign w:val="baseline"/>
          </w:rPr>
          <w:t> </w:t>
        </w:r>
        <w:r>
          <w:rPr>
            <w:vertAlign w:val="baseline"/>
          </w:rPr>
          <w:t>commercial</w:t>
        </w:r>
        <w:r>
          <w:rPr>
            <w:spacing w:val="46"/>
            <w:vertAlign w:val="baseline"/>
          </w:rPr>
          <w:t> </w:t>
        </w:r>
        <w:r>
          <w:rPr>
            <w:vertAlign w:val="baseline"/>
          </w:rPr>
          <w:t>context</w:t>
        </w:r>
        <w:r>
          <w:rPr>
            <w:spacing w:val="47"/>
            <w:vertAlign w:val="baseline"/>
          </w:rPr>
          <w:t> </w:t>
        </w:r>
        <w:hyperlink w:history="true" w:anchor="_bookmark2184">
          <w:r>
            <w:rPr>
              <w:color w:val="005DA1"/>
              <w:u w:val="single" w:color="005DA1"/>
              <w:vertAlign w:val="superscript"/>
            </w:rPr>
            <w:t>1094</w:t>
          </w:r>
          <w:r>
            <w:rPr>
              <w:color w:val="005DA1"/>
              <w:spacing w:val="70"/>
              <w:w w:val="150"/>
              <w:vertAlign w:val="baseline"/>
            </w:rPr>
            <w:t>  </w:t>
          </w:r>
          <w:r>
            <w:rPr>
              <w:color w:val="005DA1"/>
              <w:spacing w:val="-20"/>
              <w:position w:val="-2"/>
              <w:vertAlign w:val="baseline"/>
            </w:rPr>
            <w:drawing>
              <wp:inline distT="0" distB="0" distL="0" distR="0">
                <wp:extent cx="107988" cy="107988"/>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74"/>
              <w:vertAlign w:val="baseline"/>
            </w:rPr>
            <w:t> </w:t>
          </w:r>
          <w:r>
            <w:rPr>
              <w:vertAlign w:val="baseline"/>
            </w:rPr>
            <w:t>a</w:t>
          </w:r>
          <w:r>
            <w:rPr>
              <w:spacing w:val="46"/>
              <w:vertAlign w:val="baseline"/>
            </w:rPr>
            <w:t> </w:t>
          </w:r>
          <w:r>
            <w:rPr>
              <w:vertAlign w:val="baseline"/>
            </w:rPr>
            <w:t>“dominant</w:t>
          </w:r>
          <w:r>
            <w:rPr>
              <w:spacing w:val="47"/>
              <w:vertAlign w:val="baseline"/>
            </w:rPr>
            <w:t> </w:t>
          </w:r>
          <w:r>
            <w:rPr>
              <w:vertAlign w:val="baseline"/>
            </w:rPr>
            <w:t>purpose</w:t>
          </w:r>
          <w:r>
            <w:rPr>
              <w:spacing w:val="46"/>
              <w:vertAlign w:val="baseline"/>
            </w:rPr>
            <w:t> </w:t>
          </w:r>
          <w:r>
            <w:rPr>
              <w:vertAlign w:val="baseline"/>
            </w:rPr>
            <w:t>of</w:t>
          </w:r>
          <w:r>
            <w:rPr>
              <w:spacing w:val="47"/>
              <w:vertAlign w:val="baseline"/>
            </w:rPr>
            <w:t> </w:t>
          </w:r>
          <w:r>
            <w:rPr>
              <w:vertAlign w:val="baseline"/>
            </w:rPr>
            <w:t>deterrence”</w:t>
          </w:r>
          <w:r>
            <w:rPr>
              <w:spacing w:val="47"/>
              <w:vertAlign w:val="baseline"/>
            </w:rPr>
            <w:t> </w:t>
          </w:r>
          <w:r>
            <w:rPr>
              <w:vertAlign w:val="baseline"/>
            </w:rPr>
            <w:t>had</w:t>
          </w:r>
          <w:r>
            <w:rPr>
              <w:spacing w:val="46"/>
              <w:vertAlign w:val="baseline"/>
            </w:rPr>
            <w:t> </w:t>
          </w:r>
          <w:r>
            <w:rPr>
              <w:vertAlign w:val="baseline"/>
            </w:rPr>
            <w:t>been</w:t>
          </w:r>
          <w:r>
            <w:rPr>
              <w:spacing w:val="47"/>
              <w:vertAlign w:val="baseline"/>
            </w:rPr>
            <w:t> </w:t>
          </w:r>
          <w:r>
            <w:rPr>
              <w:vertAlign w:val="baseline"/>
            </w:rPr>
            <w:t>equated</w:t>
          </w:r>
          <w:r>
            <w:rPr>
              <w:spacing w:val="46"/>
              <w:vertAlign w:val="baseline"/>
            </w:rPr>
            <w:t> </w:t>
          </w:r>
          <w:r>
            <w:rPr>
              <w:spacing w:val="-7"/>
              <w:vertAlign w:val="baseline"/>
            </w:rPr>
            <w:t>to</w:t>
          </w:r>
        </w:hyperlink>
      </w:hyperlink>
    </w:p>
    <w:p>
      <w:pPr>
        <w:pStyle w:val="BodyText"/>
        <w:spacing w:line="235" w:lineRule="auto" w:before="3"/>
        <w:ind w:left="165" w:right="167"/>
        <w:jc w:val="both"/>
      </w:pPr>
      <w:r>
        <w:rPr/>
        <w:t>extravagance and unconscionability, in the context of the case that was not the case. </w:t>
      </w:r>
      <w:hyperlink w:history="true" w:anchor="_bookmark2185">
        <w:r>
          <w:rPr>
            <w:color w:val="005DA1"/>
            <w:u w:val="single" w:color="005DA1"/>
            <w:vertAlign w:val="superscript"/>
          </w:rPr>
          <w:t>1095</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An </w:t>
        </w:r>
        <w:bookmarkStart w:name="_bookmark2071" w:id="2073"/>
        <w:bookmarkEnd w:id="2073"/>
        <w:r>
          <w:rPr>
            <w:vertAlign w:val="baseline"/>
          </w:rPr>
          <w:t>appeal</w:t>
        </w:r>
        <w:r>
          <w:rPr>
            <w:spacing w:val="51"/>
            <w:vertAlign w:val="baseline"/>
          </w:rPr>
          <w:t> </w:t>
        </w:r>
        <w:r>
          <w:rPr>
            <w:vertAlign w:val="baseline"/>
          </w:rPr>
          <w:t>in</w:t>
        </w:r>
        <w:r>
          <w:rPr>
            <w:spacing w:val="51"/>
            <w:vertAlign w:val="baseline"/>
          </w:rPr>
          <w:t> </w:t>
        </w:r>
        <w:r>
          <w:rPr>
            <w:vertAlign w:val="baseline"/>
          </w:rPr>
          <w:t>the</w:t>
        </w:r>
        <w:r>
          <w:rPr>
            <w:spacing w:val="51"/>
            <w:vertAlign w:val="baseline"/>
          </w:rPr>
          <w:t> </w:t>
        </w:r>
        <w:r>
          <w:rPr>
            <w:rFonts w:ascii="Arial"/>
            <w:i/>
            <w:vertAlign w:val="baseline"/>
          </w:rPr>
          <w:t>ParkingEye</w:t>
        </w:r>
        <w:r>
          <w:rPr>
            <w:rFonts w:ascii="Arial"/>
            <w:i/>
            <w:spacing w:val="51"/>
            <w:vertAlign w:val="baseline"/>
          </w:rPr>
          <w:t> </w:t>
        </w:r>
        <w:r>
          <w:rPr>
            <w:vertAlign w:val="baseline"/>
          </w:rPr>
          <w:t>case</w:t>
        </w:r>
        <w:r>
          <w:rPr>
            <w:spacing w:val="51"/>
            <w:vertAlign w:val="baseline"/>
          </w:rPr>
          <w:t> </w:t>
        </w:r>
        <w:r>
          <w:rPr>
            <w:vertAlign w:val="baseline"/>
          </w:rPr>
          <w:t>was</w:t>
        </w:r>
        <w:r>
          <w:rPr>
            <w:spacing w:val="51"/>
            <w:vertAlign w:val="baseline"/>
          </w:rPr>
          <w:t> </w:t>
        </w:r>
        <w:r>
          <w:rPr>
            <w:vertAlign w:val="baseline"/>
          </w:rPr>
          <w:t>heard</w:t>
        </w:r>
        <w:r>
          <w:rPr>
            <w:spacing w:val="51"/>
            <w:vertAlign w:val="baseline"/>
          </w:rPr>
          <w:t> </w:t>
        </w:r>
        <w:r>
          <w:rPr>
            <w:vertAlign w:val="baseline"/>
          </w:rPr>
          <w:t>by</w:t>
        </w:r>
        <w:r>
          <w:rPr>
            <w:spacing w:val="51"/>
            <w:vertAlign w:val="baseline"/>
          </w:rPr>
          <w:t> </w:t>
        </w:r>
        <w:r>
          <w:rPr>
            <w:vertAlign w:val="baseline"/>
          </w:rPr>
          <w:t>the</w:t>
        </w:r>
        <w:r>
          <w:rPr>
            <w:spacing w:val="51"/>
            <w:vertAlign w:val="baseline"/>
          </w:rPr>
          <w:t> </w:t>
        </w:r>
        <w:r>
          <w:rPr>
            <w:vertAlign w:val="baseline"/>
          </w:rPr>
          <w:t>Supreme</w:t>
        </w:r>
        <w:r>
          <w:rPr>
            <w:spacing w:val="51"/>
            <w:vertAlign w:val="baseline"/>
          </w:rPr>
          <w:t> </w:t>
        </w:r>
        <w:r>
          <w:rPr>
            <w:vertAlign w:val="baseline"/>
          </w:rPr>
          <w:t>Court</w:t>
        </w:r>
        <w:r>
          <w:rPr>
            <w:spacing w:val="51"/>
            <w:vertAlign w:val="baseline"/>
          </w:rPr>
          <w:t> </w:t>
        </w:r>
        <w:r>
          <w:rPr>
            <w:vertAlign w:val="baseline"/>
          </w:rPr>
          <w:t>along</w:t>
        </w:r>
        <w:r>
          <w:rPr>
            <w:spacing w:val="51"/>
            <w:vertAlign w:val="baseline"/>
          </w:rPr>
          <w:t> </w:t>
        </w:r>
        <w:r>
          <w:rPr>
            <w:vertAlign w:val="baseline"/>
          </w:rPr>
          <w:t>with</w:t>
        </w:r>
        <w:r>
          <w:rPr>
            <w:spacing w:val="51"/>
            <w:vertAlign w:val="baseline"/>
          </w:rPr>
          <w:t> </w:t>
        </w:r>
        <w:r>
          <w:rPr>
            <w:vertAlign w:val="baseline"/>
          </w:rPr>
          <w:t>the</w:t>
        </w:r>
        <w:r>
          <w:rPr>
            <w:spacing w:val="51"/>
            <w:vertAlign w:val="baseline"/>
          </w:rPr>
          <w:t> </w:t>
        </w:r>
        <w:r>
          <w:rPr>
            <w:vertAlign w:val="baseline"/>
          </w:rPr>
          <w:t>appeal</w:t>
        </w:r>
        <w:r>
          <w:rPr>
            <w:spacing w:val="51"/>
            <w:vertAlign w:val="baseline"/>
          </w:rPr>
          <w:t> </w:t>
        </w:r>
        <w:r>
          <w:rPr>
            <w:vertAlign w:val="baseline"/>
          </w:rPr>
          <w:t>in</w:t>
        </w:r>
        <w:r>
          <w:rPr>
            <w:spacing w:val="51"/>
            <w:vertAlign w:val="baseline"/>
          </w:rPr>
          <w:t> </w:t>
        </w:r>
        <w:r>
          <w:rPr>
            <w:spacing w:val="-5"/>
            <w:vertAlign w:val="baseline"/>
          </w:rPr>
          <w:t>the</w:t>
        </w:r>
      </w:hyperlink>
    </w:p>
    <w:p>
      <w:pPr>
        <w:pStyle w:val="BodyText"/>
        <w:spacing w:before="9"/>
      </w:pPr>
    </w:p>
    <w:p>
      <w:pPr>
        <w:pStyle w:val="BodyText"/>
        <w:spacing w:line="235" w:lineRule="auto" w:before="1"/>
        <w:ind w:left="165" w:right="167"/>
        <w:jc w:val="both"/>
      </w:pPr>
      <w:bookmarkStart w:name="_bookmark2072" w:id="2074"/>
      <w:bookmarkEnd w:id="2074"/>
      <w:r>
        <w:rPr/>
      </w:r>
      <w:r>
        <w:rPr>
          <w:rFonts w:ascii="Arial" w:hAnsi="Arial"/>
          <w:i/>
        </w:rPr>
        <w:t>Makdessi</w:t>
      </w:r>
      <w:r>
        <w:rPr>
          <w:rFonts w:ascii="Arial" w:hAnsi="Arial"/>
          <w:i/>
          <w:spacing w:val="-4"/>
        </w:rPr>
        <w:t> </w:t>
      </w:r>
      <w:r>
        <w:rPr/>
        <w:t>case</w:t>
      </w:r>
      <w:r>
        <w:rPr>
          <w:spacing w:val="-4"/>
        </w:rPr>
        <w:t> </w:t>
      </w:r>
      <w:r>
        <w:rPr>
          <w:color w:val="005DA1"/>
          <w:u w:val="single" w:color="005DA1"/>
          <w:vertAlign w:val="superscript"/>
        </w:rPr>
        <w:t>1096</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vertAlign w:val="baseline"/>
        </w:rPr>
        <w:t>;</w:t>
      </w:r>
      <w:r>
        <w:rPr>
          <w:spacing w:val="-4"/>
          <w:vertAlign w:val="baseline"/>
        </w:rPr>
        <w:t> </w:t>
      </w:r>
      <w:r>
        <w:rPr>
          <w:vertAlign w:val="baseline"/>
        </w:rPr>
        <w:t>as</w:t>
      </w:r>
      <w:r>
        <w:rPr>
          <w:spacing w:val="-4"/>
          <w:vertAlign w:val="baseline"/>
        </w:rPr>
        <w:t> </w:t>
      </w:r>
      <w:r>
        <w:rPr>
          <w:vertAlign w:val="baseline"/>
        </w:rPr>
        <w:t>will</w:t>
      </w:r>
      <w:r>
        <w:rPr>
          <w:spacing w:val="-4"/>
          <w:vertAlign w:val="baseline"/>
        </w:rPr>
        <w:t> </w:t>
      </w:r>
      <w:r>
        <w:rPr>
          <w:vertAlign w:val="baseline"/>
        </w:rPr>
        <w:t>be</w:t>
      </w:r>
      <w:r>
        <w:rPr>
          <w:spacing w:val="-4"/>
          <w:vertAlign w:val="baseline"/>
        </w:rPr>
        <w:t> </w:t>
      </w:r>
      <w:r>
        <w:rPr>
          <w:vertAlign w:val="baseline"/>
        </w:rPr>
        <w:t>explained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next</w:t>
      </w:r>
      <w:r>
        <w:rPr>
          <w:spacing w:val="-4"/>
          <w:vertAlign w:val="baseline"/>
        </w:rPr>
        <w:t> </w:t>
      </w:r>
      <w:r>
        <w:rPr>
          <w:vertAlign w:val="baseline"/>
        </w:rPr>
        <w:t>paragraph,</w:t>
      </w:r>
      <w:r>
        <w:rPr>
          <w:spacing w:val="-4"/>
          <w:vertAlign w:val="baseline"/>
        </w:rPr>
        <w:t> </w:t>
      </w:r>
      <w:r>
        <w:rPr>
          <w:vertAlign w:val="baseline"/>
        </w:rPr>
        <w:t>the</w:t>
      </w:r>
      <w:r>
        <w:rPr>
          <w:spacing w:val="-4"/>
          <w:vertAlign w:val="baseline"/>
        </w:rPr>
        <w:t> </w:t>
      </w:r>
      <w:r>
        <w:rPr>
          <w:vertAlign w:val="baseline"/>
        </w:rPr>
        <w:t>Supreme</w:t>
      </w:r>
      <w:r>
        <w:rPr>
          <w:spacing w:val="-4"/>
          <w:vertAlign w:val="baseline"/>
        </w:rPr>
        <w:t> </w:t>
      </w:r>
      <w:r>
        <w:rPr>
          <w:vertAlign w:val="baseline"/>
        </w:rPr>
        <w:t>Court</w:t>
      </w:r>
      <w:r>
        <w:rPr>
          <w:spacing w:val="-5"/>
          <w:vertAlign w:val="baseline"/>
        </w:rPr>
        <w:t> </w:t>
      </w:r>
      <w:hyperlink w:history="true" w:anchor="_bookmark2187">
        <w:r>
          <w:rPr>
            <w:color w:val="005DA1"/>
            <w:u w:val="single" w:color="005DA1"/>
            <w:vertAlign w:val="superscript"/>
          </w:rPr>
          <w:t>1097</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vertAlign w:val="baseline"/>
          </w:rPr>
          <w:t> </w:t>
        </w:r>
        <w:r>
          <w:rPr>
            <w:vertAlign w:val="baseline"/>
          </w:rPr>
          <w:t>rejected the appeal in the </w:t>
        </w:r>
        <w:r>
          <w:rPr>
            <w:rFonts w:ascii="Arial" w:hAnsi="Arial"/>
            <w:i/>
            <w:vertAlign w:val="baseline"/>
          </w:rPr>
          <w:t>ParkingEye </w:t>
        </w:r>
        <w:r>
          <w:rPr>
            <w:vertAlign w:val="baseline"/>
          </w:rPr>
          <w:t>case, upholding the £85 charge on an even wider ground than had </w:t>
        </w:r>
        <w:r>
          <w:rPr>
            <w:vertAlign w:val="baseline"/>
          </w:rPr>
          <w:t>the Court of Appeal.</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Penalty doctrine </w:t>
      </w:r>
      <w:r>
        <w:rPr>
          <w:rFonts w:ascii="Arial"/>
          <w:b/>
          <w:spacing w:val="-2"/>
          <w:sz w:val="18"/>
        </w:rPr>
        <w:t>confirmed</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196</w:t>
      </w:r>
    </w:p>
    <w:p>
      <w:pPr>
        <w:pStyle w:val="BodyText"/>
        <w:spacing w:before="208"/>
        <w:rPr>
          <w:rFonts w:ascii="Arial"/>
          <w:b/>
        </w:rPr>
      </w:pPr>
    </w:p>
    <w:p>
      <w:pPr>
        <w:spacing w:before="0"/>
        <w:ind w:left="165" w:right="0" w:firstLine="0"/>
        <w:jc w:val="left"/>
        <w:rPr>
          <w:rFonts w:ascii="Arial"/>
          <w:i/>
          <w:sz w:val="20"/>
        </w:rPr>
      </w:pPr>
      <w:r>
        <w:rPr>
          <w:position w:val="-2"/>
        </w:rPr>
        <w:drawing>
          <wp:inline distT="0" distB="0" distL="0" distR="0">
            <wp:extent cx="107988" cy="107988"/>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sz w:val="20"/>
        </w:rPr>
        <w:t> </w:t>
      </w:r>
      <w:bookmarkStart w:name="_bookmark2073" w:id="2075"/>
      <w:bookmarkEnd w:id="2075"/>
      <w:r>
        <w:rPr>
          <w:rFonts w:ascii="Times New Roman"/>
          <w:spacing w:val="8"/>
          <w:sz w:val="20"/>
        </w:rPr>
      </w:r>
      <w:bookmarkStart w:name="_bookmark2074" w:id="2076"/>
      <w:bookmarkEnd w:id="2076"/>
      <w:r>
        <w:rPr>
          <w:rFonts w:ascii="Times New Roman"/>
          <w:spacing w:val="8"/>
          <w:sz w:val="20"/>
        </w:rPr>
      </w:r>
      <w:r>
        <w:rPr>
          <w:sz w:val="20"/>
        </w:rPr>
        <w:t>The appeals from </w:t>
      </w:r>
      <w:r>
        <w:rPr>
          <w:rFonts w:ascii="Arial"/>
          <w:i/>
          <w:sz w:val="20"/>
        </w:rPr>
        <w:t>Makdessi v Cavendish Square Holdings BV </w:t>
      </w:r>
      <w:hyperlink w:history="true" w:anchor="_bookmark2188">
        <w:r>
          <w:rPr>
            <w:color w:val="005DA1"/>
            <w:sz w:val="20"/>
            <w:u w:val="single" w:color="005DA1"/>
            <w:vertAlign w:val="superscript"/>
          </w:rPr>
          <w:t>1098</w:t>
        </w:r>
        <w:r>
          <w:rPr>
            <w:color w:val="005DA1"/>
            <w:spacing w:val="31"/>
            <w:sz w:val="20"/>
            <w:vertAlign w:val="baseline"/>
          </w:rPr>
          <w:t>  </w:t>
        </w:r>
        <w:r>
          <w:rPr>
            <w:color w:val="005DA1"/>
            <w:spacing w:val="8"/>
            <w:position w:val="-2"/>
            <w:sz w:val="20"/>
            <w:vertAlign w:val="baseline"/>
          </w:rPr>
          <w:drawing>
            <wp:inline distT="0" distB="0" distL="0" distR="0">
              <wp:extent cx="107988" cy="107988"/>
              <wp:effectExtent l="0" t="0" r="0" b="0"/>
              <wp:docPr id="667" name="Image 667"/>
              <wp:cNvGraphicFramePr>
                <a:graphicFrameLocks/>
              </wp:cNvGraphicFramePr>
              <a:graphic>
                <a:graphicData uri="http://schemas.openxmlformats.org/drawingml/2006/picture">
                  <pic:pic>
                    <pic:nvPicPr>
                      <pic:cNvPr id="667" name="Image 6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sz w:val="20"/>
            <w:vertAlign w:val="baseline"/>
          </w:rPr>
        </w:r>
        <w:r>
          <w:rPr>
            <w:rFonts w:ascii="Times New Roman"/>
            <w:color w:val="005DA1"/>
            <w:spacing w:val="-1"/>
            <w:sz w:val="20"/>
            <w:vertAlign w:val="baseline"/>
          </w:rPr>
          <w:t> </w:t>
        </w:r>
        <w:r>
          <w:rPr>
            <w:sz w:val="20"/>
            <w:vertAlign w:val="baseline"/>
          </w:rPr>
          <w:t>and </w:t>
        </w:r>
        <w:r>
          <w:rPr>
            <w:rFonts w:ascii="Arial"/>
            <w:i/>
            <w:sz w:val="20"/>
            <w:vertAlign w:val="baseline"/>
          </w:rPr>
          <w:t>ParkingEye Ltd v Beavis</w:t>
        </w:r>
      </w:hyperlink>
    </w:p>
    <w:p>
      <w:pPr>
        <w:pStyle w:val="BodyText"/>
        <w:spacing w:before="9"/>
        <w:rPr>
          <w:rFonts w:ascii="Arial"/>
          <w:i/>
        </w:rPr>
      </w:pPr>
    </w:p>
    <w:p>
      <w:pPr>
        <w:pStyle w:val="BodyText"/>
        <w:spacing w:line="235" w:lineRule="auto"/>
        <w:ind w:left="165" w:right="160"/>
      </w:pPr>
      <w:bookmarkStart w:name="_bookmark2075" w:id="2077"/>
      <w:bookmarkEnd w:id="2077"/>
      <w:r>
        <w:rPr/>
      </w:r>
      <w:r>
        <w:rPr>
          <w:color w:val="005DA1"/>
          <w:u w:val="single" w:color="005DA1"/>
          <w:vertAlign w:val="superscript"/>
        </w:rPr>
        <w:t>1099</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668" name="Image 668"/>
            <wp:cNvGraphicFramePr>
              <a:graphicFrameLocks/>
            </wp:cNvGraphicFramePr>
            <a:graphic>
              <a:graphicData uri="http://schemas.openxmlformats.org/drawingml/2006/picture">
                <pic:pic>
                  <pic:nvPicPr>
                    <pic:cNvPr id="668" name="Image 6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were heard together by a seven-justice panel of the Supreme Court.</w:t>
      </w:r>
      <w:r>
        <w:rPr>
          <w:spacing w:val="-1"/>
          <w:vertAlign w:val="baseline"/>
        </w:rPr>
        <w:t> </w:t>
      </w:r>
      <w:hyperlink w:history="true" w:anchor="_bookmark2190">
        <w:r>
          <w:rPr>
            <w:color w:val="005DA1"/>
            <w:u w:val="single" w:color="005DA1"/>
            <w:vertAlign w:val="superscript"/>
          </w:rPr>
          <w:t>1100</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The Court did not </w:t>
        </w:r>
        <w:bookmarkStart w:name="_bookmark2076" w:id="2078"/>
        <w:bookmarkEnd w:id="2078"/>
        <w:r>
          <w:rPr>
            <w:vertAlign w:val="baseline"/>
          </w:rPr>
          <w:t>accept</w:t>
        </w:r>
        <w:r>
          <w:rPr>
            <w:spacing w:val="11"/>
            <w:vertAlign w:val="baseline"/>
          </w:rPr>
          <w:t> </w:t>
        </w:r>
        <w:r>
          <w:rPr>
            <w:vertAlign w:val="baseline"/>
          </w:rPr>
          <w:t>the</w:t>
        </w:r>
        <w:r>
          <w:rPr>
            <w:spacing w:val="11"/>
            <w:vertAlign w:val="baseline"/>
          </w:rPr>
          <w:t> </w:t>
        </w:r>
        <w:r>
          <w:rPr>
            <w:vertAlign w:val="baseline"/>
          </w:rPr>
          <w:t>argument</w:t>
        </w:r>
        <w:r>
          <w:rPr>
            <w:spacing w:val="11"/>
            <w:vertAlign w:val="baseline"/>
          </w:rPr>
          <w:t> </w:t>
        </w:r>
        <w:r>
          <w:rPr>
            <w:vertAlign w:val="baseline"/>
          </w:rPr>
          <w:t>made</w:t>
        </w:r>
        <w:r>
          <w:rPr>
            <w:spacing w:val="11"/>
            <w:vertAlign w:val="baseline"/>
          </w:rPr>
          <w:t> </w:t>
        </w:r>
        <w:r>
          <w:rPr>
            <w:vertAlign w:val="baseline"/>
          </w:rPr>
          <w:t>by</w:t>
        </w:r>
        <w:r>
          <w:rPr>
            <w:spacing w:val="11"/>
            <w:vertAlign w:val="baseline"/>
          </w:rPr>
          <w:t> </w:t>
        </w:r>
        <w:r>
          <w:rPr>
            <w:vertAlign w:val="baseline"/>
          </w:rPr>
          <w:t>counsel</w:t>
        </w:r>
        <w:r>
          <w:rPr>
            <w:spacing w:val="11"/>
            <w:vertAlign w:val="baseline"/>
          </w:rPr>
          <w:t> </w:t>
        </w:r>
        <w:r>
          <w:rPr>
            <w:vertAlign w:val="baseline"/>
          </w:rPr>
          <w:t>for</w:t>
        </w:r>
        <w:r>
          <w:rPr>
            <w:spacing w:val="11"/>
            <w:vertAlign w:val="baseline"/>
          </w:rPr>
          <w:t> </w:t>
        </w:r>
        <w:r>
          <w:rPr>
            <w:vertAlign w:val="baseline"/>
          </w:rPr>
          <w:t>Cavendish</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rule</w:t>
        </w:r>
        <w:r>
          <w:rPr>
            <w:spacing w:val="11"/>
            <w:vertAlign w:val="baseline"/>
          </w:rPr>
          <w:t> </w:t>
        </w:r>
        <w:r>
          <w:rPr>
            <w:vertAlign w:val="baseline"/>
          </w:rPr>
          <w:t>against</w:t>
        </w:r>
        <w:r>
          <w:rPr>
            <w:spacing w:val="11"/>
            <w:vertAlign w:val="baseline"/>
          </w:rPr>
          <w:t> </w:t>
        </w:r>
        <w:r>
          <w:rPr>
            <w:vertAlign w:val="baseline"/>
          </w:rPr>
          <w:t>penalty</w:t>
        </w:r>
        <w:r>
          <w:rPr>
            <w:spacing w:val="11"/>
            <w:vertAlign w:val="baseline"/>
          </w:rPr>
          <w:t> </w:t>
        </w:r>
        <w:r>
          <w:rPr>
            <w:vertAlign w:val="baseline"/>
          </w:rPr>
          <w:t>clauses</w:t>
        </w:r>
        <w:r>
          <w:rPr>
            <w:spacing w:val="11"/>
            <w:vertAlign w:val="baseline"/>
          </w:rPr>
          <w:t> </w:t>
        </w:r>
        <w:r>
          <w:rPr>
            <w:vertAlign w:val="baseline"/>
          </w:rPr>
          <w:t>should</w:t>
        </w:r>
        <w:r>
          <w:rPr>
            <w:spacing w:val="11"/>
            <w:vertAlign w:val="baseline"/>
          </w:rPr>
          <w:t> </w:t>
        </w:r>
        <w:r>
          <w:rPr>
            <w:spacing w:val="-5"/>
            <w:vertAlign w:val="baseline"/>
          </w:rPr>
          <w:t>be</w:t>
        </w:r>
      </w:hyperlink>
    </w:p>
    <w:p>
      <w:pPr>
        <w:sectPr>
          <w:headerReference w:type="default" r:id="rId50"/>
          <w:pgSz w:w="11900" w:h="16840"/>
          <w:pgMar w:header="971" w:footer="0" w:top="1300" w:bottom="280" w:left="1275" w:right="1275"/>
          <w:pgNumType w:start="1"/>
        </w:sectPr>
      </w:pPr>
    </w:p>
    <w:p>
      <w:pPr>
        <w:pStyle w:val="BodyText"/>
        <w:spacing w:before="120"/>
      </w:pPr>
    </w:p>
    <w:p>
      <w:pPr>
        <w:pStyle w:val="BodyText"/>
        <w:spacing w:line="235" w:lineRule="auto"/>
        <w:ind w:left="165"/>
      </w:pPr>
      <w:r>
        <w:rPr>
          <w:position w:val="-2"/>
        </w:rPr>
        <w:drawing>
          <wp:inline distT="0" distB="0" distL="0" distR="0">
            <wp:extent cx="107988" cy="107988"/>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77" w:id="2079"/>
      <w:bookmarkEnd w:id="2079"/>
      <w:r>
        <w:rPr>
          <w:rFonts w:ascii="Times New Roman" w:hAnsi="Times New Roman"/>
          <w:spacing w:val="14"/>
        </w:rPr>
      </w:r>
      <w:r>
        <w:rPr/>
        <w:t>or confined to cases in which the parties did not meet “on an equal playing field” </w:t>
      </w:r>
      <w:hyperlink w:history="true" w:anchor="_bookmark2192">
        <w:r>
          <w:rPr>
            <w:color w:val="005DA1"/>
            <w:u w:val="single" w:color="005DA1"/>
            <w:vertAlign w:val="superscript"/>
          </w:rPr>
          <w:t>1102</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w:t>
        </w:r>
        <w:r>
          <w:rPr>
            <w:vertAlign w:val="baseline"/>
          </w:rPr>
          <w:t>although </w:t>
        </w:r>
        <w:bookmarkStart w:name="_bookmark2078" w:id="2080"/>
        <w:bookmarkEnd w:id="2080"/>
        <w:r>
          <w:rPr>
            <w:vertAlign w:val="baseline"/>
          </w:rPr>
          <w:t>consumers</w:t>
        </w:r>
        <w:r>
          <w:rPr>
            <w:spacing w:val="32"/>
            <w:vertAlign w:val="baseline"/>
          </w:rPr>
          <w:t> </w:t>
        </w:r>
        <w:r>
          <w:rPr>
            <w:vertAlign w:val="baseline"/>
          </w:rPr>
          <w:t>are</w:t>
        </w:r>
        <w:r>
          <w:rPr>
            <w:spacing w:val="32"/>
            <w:vertAlign w:val="baseline"/>
          </w:rPr>
          <w:t> </w:t>
        </w:r>
        <w:r>
          <w:rPr>
            <w:vertAlign w:val="baseline"/>
          </w:rPr>
          <w:t>protected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statutory</w:t>
        </w:r>
        <w:r>
          <w:rPr>
            <w:spacing w:val="32"/>
            <w:vertAlign w:val="baseline"/>
          </w:rPr>
          <w:t> </w:t>
        </w:r>
        <w:r>
          <w:rPr>
            <w:vertAlign w:val="baseline"/>
          </w:rPr>
          <w:t>power</w:t>
        </w:r>
        <w:r>
          <w:rPr>
            <w:spacing w:val="32"/>
            <w:vertAlign w:val="baseline"/>
          </w:rPr>
          <w:t> </w:t>
        </w:r>
        <w:r>
          <w:rPr>
            <w:vertAlign w:val="baseline"/>
          </w:rPr>
          <w:t>to</w:t>
        </w:r>
        <w:r>
          <w:rPr>
            <w:spacing w:val="32"/>
            <w:vertAlign w:val="baseline"/>
          </w:rPr>
          <w:t> </w:t>
        </w:r>
        <w:r>
          <w:rPr>
            <w:vertAlign w:val="baseline"/>
          </w:rPr>
          <w:t>strike</w:t>
        </w:r>
        <w:r>
          <w:rPr>
            <w:spacing w:val="32"/>
            <w:vertAlign w:val="baseline"/>
          </w:rPr>
          <w:t> </w:t>
        </w:r>
        <w:r>
          <w:rPr>
            <w:vertAlign w:val="baseline"/>
          </w:rPr>
          <w:t>down</w:t>
        </w:r>
        <w:r>
          <w:rPr>
            <w:spacing w:val="32"/>
            <w:vertAlign w:val="baseline"/>
          </w:rPr>
          <w:t> </w:t>
        </w:r>
        <w:r>
          <w:rPr>
            <w:vertAlign w:val="baseline"/>
          </w:rPr>
          <w:t>terms</w:t>
        </w:r>
        <w:r>
          <w:rPr>
            <w:spacing w:val="32"/>
            <w:vertAlign w:val="baseline"/>
          </w:rPr>
          <w:t> </w:t>
        </w:r>
        <w:r>
          <w:rPr>
            <w:vertAlign w:val="baseline"/>
          </w:rPr>
          <w:t>that</w:t>
        </w:r>
        <w:r>
          <w:rPr>
            <w:spacing w:val="32"/>
            <w:vertAlign w:val="baseline"/>
          </w:rPr>
          <w:t> </w:t>
        </w:r>
        <w:r>
          <w:rPr>
            <w:vertAlign w:val="baseline"/>
          </w:rPr>
          <w:t>are</w:t>
        </w:r>
        <w:r>
          <w:rPr>
            <w:spacing w:val="32"/>
            <w:vertAlign w:val="baseline"/>
          </w:rPr>
          <w:t> </w:t>
        </w:r>
        <w:r>
          <w:rPr>
            <w:vertAlign w:val="baseline"/>
          </w:rPr>
          <w:t>unfair,</w:t>
        </w:r>
        <w:r>
          <w:rPr>
            <w:spacing w:val="32"/>
            <w:vertAlign w:val="baseline"/>
          </w:rPr>
          <w:t> </w:t>
        </w:r>
        <w:r>
          <w:rPr>
            <w:vertAlign w:val="baseline"/>
          </w:rPr>
          <w:t>the</w:t>
        </w:r>
        <w:r>
          <w:rPr>
            <w:spacing w:val="32"/>
            <w:vertAlign w:val="baseline"/>
          </w:rPr>
          <w:t> </w:t>
        </w:r>
        <w:r>
          <w:rPr>
            <w:spacing w:val="-2"/>
            <w:vertAlign w:val="baseline"/>
          </w:rPr>
          <w:t>doctrine</w:t>
        </w:r>
      </w:hyperlink>
    </w:p>
    <w:p>
      <w:pPr>
        <w:pStyle w:val="BodyText"/>
        <w:tabs>
          <w:tab w:pos="5682" w:val="left" w:leader="none"/>
        </w:tabs>
        <w:spacing w:before="116"/>
        <w:ind w:left="165"/>
      </w:pPr>
      <w:bookmarkStart w:name="_bookmark2079" w:id="2081"/>
      <w:bookmarkEnd w:id="2081"/>
      <w:r>
        <w:rPr/>
      </w:r>
      <w:r>
        <w:rPr/>
        <w:t>serves</w:t>
      </w:r>
      <w:r>
        <w:rPr>
          <w:spacing w:val="20"/>
        </w:rPr>
        <w:t> </w:t>
      </w:r>
      <w:r>
        <w:rPr/>
        <w:t>a</w:t>
      </w:r>
      <w:r>
        <w:rPr>
          <w:spacing w:val="20"/>
        </w:rPr>
        <w:t> </w:t>
      </w:r>
      <w:r>
        <w:rPr/>
        <w:t>useful</w:t>
      </w:r>
      <w:r>
        <w:rPr>
          <w:spacing w:val="20"/>
        </w:rPr>
        <w:t> </w:t>
      </w:r>
      <w:r>
        <w:rPr/>
        <w:t>role</w:t>
      </w:r>
      <w:r>
        <w:rPr>
          <w:spacing w:val="20"/>
        </w:rPr>
        <w:t> </w:t>
      </w:r>
      <w:r>
        <w:rPr/>
        <w:t>in</w:t>
      </w:r>
      <w:r>
        <w:rPr>
          <w:spacing w:val="20"/>
        </w:rPr>
        <w:t> </w:t>
      </w:r>
      <w:r>
        <w:rPr/>
        <w:t>business</w:t>
      </w:r>
      <w:r>
        <w:rPr>
          <w:spacing w:val="20"/>
        </w:rPr>
        <w:t> </w:t>
      </w:r>
      <w:r>
        <w:rPr/>
        <w:t>to</w:t>
      </w:r>
      <w:r>
        <w:rPr>
          <w:spacing w:val="20"/>
        </w:rPr>
        <w:t> </w:t>
      </w:r>
      <w:r>
        <w:rPr/>
        <w:t>business</w:t>
      </w:r>
      <w:r>
        <w:rPr>
          <w:spacing w:val="20"/>
        </w:rPr>
        <w:t> </w:t>
      </w:r>
      <w:r>
        <w:rPr/>
        <w:t>contracts.</w:t>
      </w:r>
      <w:r>
        <w:rPr>
          <w:spacing w:val="20"/>
        </w:rPr>
        <w:t> </w:t>
      </w:r>
      <w:hyperlink w:history="true" w:anchor="_bookmark2193">
        <w:r>
          <w:rPr>
            <w:color w:val="005DA1"/>
            <w:spacing w:val="-4"/>
            <w:u w:val="single" w:color="005DA1"/>
            <w:vertAlign w:val="superscript"/>
          </w:rPr>
          <w:t>1103</w:t>
        </w:r>
        <w:r>
          <w:rPr>
            <w:color w:val="005DA1"/>
            <w:vertAlign w:val="baseline"/>
          </w:rPr>
          <w:tab/>
        </w:r>
        <w:r>
          <w:rPr>
            <w:color w:val="005DA1"/>
            <w:position w:val="-2"/>
            <w:vertAlign w:val="baseline"/>
          </w:rPr>
          <w:drawing>
            <wp:inline distT="0" distB="0" distL="0" distR="0">
              <wp:extent cx="107988" cy="107988"/>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3"/>
            <w:vertAlign w:val="baseline"/>
          </w:rPr>
          <w:t> </w:t>
        </w:r>
        <w:r>
          <w:rPr>
            <w:vertAlign w:val="baseline"/>
          </w:rPr>
          <w:t>In</w:t>
        </w:r>
        <w:r>
          <w:rPr>
            <w:spacing w:val="27"/>
            <w:vertAlign w:val="baseline"/>
          </w:rPr>
          <w:t> </w:t>
        </w:r>
        <w:r>
          <w:rPr>
            <w:vertAlign w:val="baseline"/>
          </w:rPr>
          <w:t>particular</w:t>
        </w:r>
        <w:r>
          <w:rPr>
            <w:spacing w:val="27"/>
            <w:vertAlign w:val="baseline"/>
          </w:rPr>
          <w:t> </w:t>
        </w:r>
        <w:r>
          <w:rPr>
            <w:vertAlign w:val="baseline"/>
          </w:rPr>
          <w:t>small</w:t>
        </w:r>
        <w:r>
          <w:rPr>
            <w:spacing w:val="27"/>
            <w:vertAlign w:val="baseline"/>
          </w:rPr>
          <w:t> </w:t>
        </w:r>
        <w:r>
          <w:rPr>
            <w:vertAlign w:val="baseline"/>
          </w:rPr>
          <w:t>businesses</w:t>
        </w:r>
        <w:r>
          <w:rPr>
            <w:spacing w:val="27"/>
            <w:vertAlign w:val="baseline"/>
          </w:rPr>
          <w:t> </w:t>
        </w:r>
        <w:r>
          <w:rPr>
            <w:vertAlign w:val="baseline"/>
          </w:rPr>
          <w:t>might</w:t>
        </w:r>
      </w:hyperlink>
    </w:p>
    <w:p>
      <w:pPr>
        <w:pStyle w:val="BodyText"/>
        <w:spacing w:line="235" w:lineRule="auto" w:before="119"/>
        <w:ind w:left="165" w:right="167"/>
      </w:pPr>
      <w:r>
        <w:rPr/>
        <w:t>need the protection offered by the doctrine. </w:t>
      </w:r>
      <w:hyperlink w:history="true" w:anchor="_bookmark2194">
        <w:r>
          <w:rPr>
            <w:color w:val="005DA1"/>
            <w:u w:val="single" w:color="005DA1"/>
            <w:vertAlign w:val="superscript"/>
          </w:rPr>
          <w:t>1104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To abolish the doctrine would be inconsistent with </w:t>
        </w:r>
        <w:bookmarkStart w:name="_bookmark2080" w:id="2082"/>
        <w:bookmarkEnd w:id="2082"/>
        <w:r>
          <w:rPr>
            <w:vertAlign w:val="baseline"/>
          </w:rPr>
          <w:t>the</w:t>
        </w:r>
        <w:r>
          <w:rPr>
            <w:spacing w:val="21"/>
            <w:vertAlign w:val="baseline"/>
          </w:rPr>
          <w:t> </w:t>
        </w:r>
        <w:r>
          <w:rPr>
            <w:vertAlign w:val="baseline"/>
          </w:rPr>
          <w:t>provisional</w:t>
        </w:r>
        <w:r>
          <w:rPr>
            <w:spacing w:val="21"/>
            <w:vertAlign w:val="baseline"/>
          </w:rPr>
          <w:t> </w:t>
        </w:r>
        <w:r>
          <w:rPr>
            <w:vertAlign w:val="baseline"/>
          </w:rPr>
          <w:t>recommendations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Law</w:t>
        </w:r>
        <w:r>
          <w:rPr>
            <w:spacing w:val="21"/>
            <w:vertAlign w:val="baseline"/>
          </w:rPr>
          <w:t> </w:t>
        </w:r>
        <w:r>
          <w:rPr>
            <w:vertAlign w:val="baseline"/>
          </w:rPr>
          <w:t>Commission</w:t>
        </w:r>
        <w:r>
          <w:rPr>
            <w:spacing w:val="21"/>
            <w:vertAlign w:val="baseline"/>
          </w:rPr>
          <w:t> </w:t>
        </w:r>
        <w:r>
          <w:rPr>
            <w:vertAlign w:val="baseline"/>
          </w:rPr>
          <w:t>and</w:t>
        </w:r>
        <w:r>
          <w:rPr>
            <w:spacing w:val="21"/>
            <w:vertAlign w:val="baseline"/>
          </w:rPr>
          <w:t> </w:t>
        </w:r>
        <w:r>
          <w:rPr>
            <w:vertAlign w:val="baseline"/>
          </w:rPr>
          <w:t>the</w:t>
        </w:r>
        <w:r>
          <w:rPr>
            <w:spacing w:val="21"/>
            <w:vertAlign w:val="baseline"/>
          </w:rPr>
          <w:t> </w:t>
        </w:r>
        <w:r>
          <w:rPr>
            <w:vertAlign w:val="baseline"/>
          </w:rPr>
          <w:t>recommendations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spacing w:val="-2"/>
            <w:vertAlign w:val="baseline"/>
          </w:rPr>
          <w:t>Scottish</w:t>
        </w:r>
      </w:hyperlink>
    </w:p>
    <w:p>
      <w:pPr>
        <w:pStyle w:val="BodyText"/>
        <w:tabs>
          <w:tab w:pos="2389" w:val="left" w:leader="none"/>
        </w:tabs>
        <w:spacing w:line="360" w:lineRule="auto" w:before="115"/>
        <w:ind w:left="165" w:right="174"/>
        <w:rPr>
          <w:position w:val="-2"/>
        </w:rPr>
      </w:pPr>
      <w:bookmarkStart w:name="_bookmark2081" w:id="2083"/>
      <w:bookmarkEnd w:id="2083"/>
      <w:r>
        <w:rPr/>
      </w:r>
      <w:r>
        <w:rPr/>
        <w:t>Law Commissions, </w:t>
      </w:r>
      <w:hyperlink w:history="true" w:anchor="_bookmark2195">
        <w:r>
          <w:rPr>
            <w:color w:val="005DA1"/>
            <w:u w:val="single" w:color="005DA1"/>
            <w:vertAlign w:val="superscript"/>
          </w:rPr>
          <w:t>1105</w:t>
        </w:r>
        <w:r>
          <w:rPr>
            <w:color w:val="005DA1"/>
            <w:vertAlign w:val="baseline"/>
          </w:rPr>
          <w:tab/>
        </w:r>
        <w:r>
          <w:rPr>
            <w:color w:val="005DA1"/>
            <w:position w:val="-2"/>
            <w:vertAlign w:val="baseline"/>
          </w:rPr>
          <w:drawing>
            <wp:inline distT="0" distB="0" distL="0" distR="0">
              <wp:extent cx="107988" cy="107988"/>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out of line with other jurisdictions both elsewhere in the common law world and in Europe. </w:t>
        </w:r>
        <w:hyperlink w:history="true" w:anchor="_bookmark2196">
          <w:r>
            <w:rPr>
              <w:color w:val="005DA1"/>
              <w:u w:val="single" w:color="005DA1"/>
              <w:vertAlign w:val="superscript"/>
            </w:rPr>
            <w:t>1106</w:t>
          </w:r>
          <w:r>
            <w:rPr>
              <w:color w:val="005DA1"/>
              <w:spacing w:val="80"/>
              <w:vertAlign w:val="baseline"/>
            </w:rPr>
            <w:t> </w:t>
          </w:r>
          <w:r>
            <w:rPr>
              <w:color w:val="005DA1"/>
              <w:position w:val="-2"/>
              <w:vertAlign w:val="baseline"/>
            </w:rPr>
            <w:drawing>
              <wp:inline distT="0" distB="0" distL="0" distR="0">
                <wp:extent cx="107988" cy="107988"/>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0"/>
        <w:ind w:left="165" w:right="0" w:firstLine="0"/>
        <w:jc w:val="left"/>
        <w:rPr>
          <w:rFonts w:ascii="Arial"/>
          <w:b/>
          <w:sz w:val="18"/>
        </w:rPr>
      </w:pPr>
      <w:r>
        <w:rPr>
          <w:rFonts w:ascii="Arial"/>
          <w:b/>
          <w:sz w:val="18"/>
        </w:rPr>
        <w:t>Protecting legitimate </w:t>
      </w:r>
      <w:r>
        <w:rPr>
          <w:rFonts w:ascii="Arial"/>
          <w:b/>
          <w:spacing w:val="-2"/>
          <w:sz w:val="18"/>
        </w:rPr>
        <w:t>interests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197</w:t>
      </w:r>
    </w:p>
    <w:p>
      <w:pPr>
        <w:pStyle w:val="BodyText"/>
        <w:spacing w:before="208"/>
        <w:rPr>
          <w:rFonts w:ascii="Arial"/>
          <w:b/>
        </w:rPr>
      </w:pPr>
    </w:p>
    <w:p>
      <w:pPr>
        <w:spacing w:before="1"/>
        <w:ind w:left="165" w:right="0" w:firstLine="0"/>
        <w:jc w:val="both"/>
        <w:rPr>
          <w:sz w:val="20"/>
        </w:rPr>
      </w:pPr>
      <w:r>
        <w:rPr>
          <w:position w:val="-2"/>
        </w:rPr>
        <w:drawing>
          <wp:inline distT="0" distB="0" distL="0" distR="0">
            <wp:extent cx="107988" cy="107988"/>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5"/>
          <w:sz w:val="20"/>
        </w:rPr>
        <w:t> </w:t>
      </w:r>
      <w:bookmarkStart w:name="_bookmark2082" w:id="2084"/>
      <w:bookmarkEnd w:id="2084"/>
      <w:r>
        <w:rPr>
          <w:rFonts w:ascii="Times New Roman"/>
          <w:spacing w:val="-25"/>
          <w:sz w:val="20"/>
        </w:rPr>
      </w:r>
      <w:bookmarkStart w:name="_bookmark2083" w:id="2085"/>
      <w:bookmarkEnd w:id="2085"/>
      <w:r>
        <w:rPr>
          <w:rFonts w:ascii="Times New Roman"/>
          <w:spacing w:val="-25"/>
          <w:sz w:val="20"/>
        </w:rPr>
      </w:r>
      <w:r>
        <w:rPr>
          <w:sz w:val="20"/>
        </w:rPr>
        <w:t>However,</w:t>
      </w:r>
      <w:r>
        <w:rPr>
          <w:spacing w:val="20"/>
          <w:sz w:val="20"/>
        </w:rPr>
        <w:t> </w:t>
      </w:r>
      <w:r>
        <w:rPr>
          <w:sz w:val="20"/>
        </w:rPr>
        <w:t>the</w:t>
      </w:r>
      <w:r>
        <w:rPr>
          <w:spacing w:val="20"/>
          <w:sz w:val="20"/>
        </w:rPr>
        <w:t> </w:t>
      </w:r>
      <w:r>
        <w:rPr>
          <w:sz w:val="20"/>
        </w:rPr>
        <w:t>Supreme</w:t>
      </w:r>
      <w:r>
        <w:rPr>
          <w:spacing w:val="20"/>
          <w:sz w:val="20"/>
        </w:rPr>
        <w:t> </w:t>
      </w:r>
      <w:r>
        <w:rPr>
          <w:sz w:val="20"/>
        </w:rPr>
        <w:t>Court</w:t>
      </w:r>
      <w:r>
        <w:rPr>
          <w:spacing w:val="20"/>
          <w:sz w:val="20"/>
        </w:rPr>
        <w:t> </w:t>
      </w:r>
      <w:r>
        <w:rPr>
          <w:sz w:val="20"/>
        </w:rPr>
        <w:t>in</w:t>
      </w:r>
      <w:r>
        <w:rPr>
          <w:spacing w:val="19"/>
          <w:sz w:val="20"/>
        </w:rPr>
        <w:t> </w:t>
      </w:r>
      <w:r>
        <w:rPr>
          <w:rFonts w:ascii="Arial"/>
          <w:i/>
          <w:sz w:val="20"/>
        </w:rPr>
        <w:t>Cavendish</w:t>
      </w:r>
      <w:r>
        <w:rPr>
          <w:rFonts w:ascii="Arial"/>
          <w:i/>
          <w:spacing w:val="20"/>
          <w:sz w:val="20"/>
        </w:rPr>
        <w:t> </w:t>
      </w:r>
      <w:r>
        <w:rPr>
          <w:rFonts w:ascii="Arial"/>
          <w:i/>
          <w:sz w:val="20"/>
        </w:rPr>
        <w:t>Square</w:t>
      </w:r>
      <w:r>
        <w:rPr>
          <w:rFonts w:ascii="Arial"/>
          <w:i/>
          <w:spacing w:val="20"/>
          <w:sz w:val="20"/>
        </w:rPr>
        <w:t> </w:t>
      </w:r>
      <w:r>
        <w:rPr>
          <w:sz w:val="20"/>
        </w:rPr>
        <w:t>and</w:t>
      </w:r>
      <w:r>
        <w:rPr>
          <w:spacing w:val="20"/>
          <w:sz w:val="20"/>
        </w:rPr>
        <w:t> </w:t>
      </w:r>
      <w:r>
        <w:rPr>
          <w:rFonts w:ascii="Arial"/>
          <w:i/>
          <w:sz w:val="20"/>
        </w:rPr>
        <w:t>ParkingEye</w:t>
      </w:r>
      <w:r>
        <w:rPr>
          <w:rFonts w:ascii="Arial"/>
          <w:i/>
          <w:spacing w:val="20"/>
          <w:sz w:val="20"/>
        </w:rPr>
        <w:t> </w:t>
      </w:r>
      <w:hyperlink w:history="true" w:anchor="_bookmark2197">
        <w:r>
          <w:rPr>
            <w:color w:val="005DA1"/>
            <w:sz w:val="20"/>
            <w:u w:val="single" w:color="005DA1"/>
            <w:vertAlign w:val="superscript"/>
          </w:rPr>
          <w:t>1107</w:t>
        </w:r>
        <w:r>
          <w:rPr>
            <w:color w:val="005DA1"/>
            <w:spacing w:val="58"/>
            <w:sz w:val="20"/>
            <w:vertAlign w:val="baseline"/>
          </w:rPr>
          <w:t>  </w:t>
        </w:r>
        <w:r>
          <w:rPr>
            <w:color w:val="005DA1"/>
            <w:spacing w:val="5"/>
            <w:position w:val="-2"/>
            <w:sz w:val="20"/>
            <w:vertAlign w:val="baseline"/>
          </w:rPr>
          <w:drawing>
            <wp:inline distT="0" distB="0" distL="0" distR="0">
              <wp:extent cx="107988" cy="107988"/>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sz w:val="20"/>
            <w:vertAlign w:val="baseline"/>
          </w:rPr>
        </w:r>
        <w:r>
          <w:rPr>
            <w:rFonts w:ascii="Times New Roman"/>
            <w:color w:val="005DA1"/>
            <w:spacing w:val="20"/>
            <w:sz w:val="20"/>
            <w:vertAlign w:val="baseline"/>
          </w:rPr>
          <w:t> </w:t>
        </w:r>
        <w:r>
          <w:rPr>
            <w:sz w:val="20"/>
            <w:vertAlign w:val="baseline"/>
          </w:rPr>
          <w:t>was</w:t>
        </w:r>
        <w:r>
          <w:rPr>
            <w:spacing w:val="20"/>
            <w:sz w:val="20"/>
            <w:vertAlign w:val="baseline"/>
          </w:rPr>
          <w:t> </w:t>
        </w:r>
        <w:r>
          <w:rPr>
            <w:sz w:val="20"/>
            <w:vertAlign w:val="baseline"/>
          </w:rPr>
          <w:t>unanimous</w:t>
        </w:r>
        <w:r>
          <w:rPr>
            <w:spacing w:val="20"/>
            <w:sz w:val="20"/>
            <w:vertAlign w:val="baseline"/>
          </w:rPr>
          <w:t> </w:t>
        </w:r>
        <w:r>
          <w:rPr>
            <w:sz w:val="20"/>
            <w:vertAlign w:val="baseline"/>
          </w:rPr>
          <w:t>that</w:t>
        </w:r>
      </w:hyperlink>
    </w:p>
    <w:p>
      <w:pPr>
        <w:pStyle w:val="BodyText"/>
        <w:spacing w:line="235" w:lineRule="auto" w:before="118"/>
        <w:ind w:left="165" w:right="167"/>
        <w:jc w:val="both"/>
      </w:pPr>
      <w:r>
        <w:rPr/>
        <w:t>the decision in </w:t>
      </w:r>
      <w:r>
        <w:rPr>
          <w:rFonts w:ascii="Arial" w:hAnsi="Arial"/>
          <w:i/>
        </w:rPr>
        <w:t>Dunlop Pneumatic Tyre Co Ltd v New Garage &amp; Motor Co Ltd</w:t>
      </w:r>
      <w:r>
        <w:rPr/>
        <w:t>, </w:t>
      </w:r>
      <w:hyperlink w:history="true" w:anchor="_bookmark2198">
        <w:r>
          <w:rPr>
            <w:color w:val="005DA1"/>
            <w:u w:val="single" w:color="005DA1"/>
            <w:vertAlign w:val="superscript"/>
          </w:rPr>
          <w:t>1108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678" name="Image 678"/>
              <wp:cNvGraphicFramePr>
                <a:graphicFrameLocks/>
              </wp:cNvGraphicFramePr>
              <a:graphic>
                <a:graphicData uri="http://schemas.openxmlformats.org/drawingml/2006/picture">
                  <pic:pic>
                    <pic:nvPicPr>
                      <pic:cNvPr id="678" name="Image 6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40"/>
            <w:vertAlign w:val="baseline"/>
          </w:rPr>
          <w:t> </w:t>
        </w:r>
        <w:r>
          <w:rPr>
            <w:vertAlign w:val="baseline"/>
          </w:rPr>
          <w:t>had </w:t>
        </w:r>
        <w:r>
          <w:rPr>
            <w:vertAlign w:val="baseline"/>
          </w:rPr>
          <w:t>been interpreted</w:t>
        </w:r>
        <w:r>
          <w:rPr>
            <w:spacing w:val="-2"/>
            <w:vertAlign w:val="baseline"/>
          </w:rPr>
          <w:t> </w:t>
        </w:r>
        <w:r>
          <w:rPr>
            <w:vertAlign w:val="baseline"/>
          </w:rPr>
          <w:t>too</w:t>
        </w:r>
        <w:r>
          <w:rPr>
            <w:spacing w:val="-2"/>
            <w:vertAlign w:val="baseline"/>
          </w:rPr>
          <w:t> </w:t>
        </w:r>
        <w:r>
          <w:rPr>
            <w:vertAlign w:val="baseline"/>
          </w:rPr>
          <w:t>narrowly.</w:t>
        </w:r>
        <w:r>
          <w:rPr>
            <w:spacing w:val="-2"/>
            <w:vertAlign w:val="baseline"/>
          </w:rPr>
          <w:t> </w:t>
        </w:r>
        <w:r>
          <w:rPr>
            <w:vertAlign w:val="baseline"/>
          </w:rPr>
          <w:t>Lord</w:t>
        </w:r>
        <w:r>
          <w:rPr>
            <w:spacing w:val="-2"/>
            <w:vertAlign w:val="baseline"/>
          </w:rPr>
          <w:t> </w:t>
        </w:r>
        <w:r>
          <w:rPr>
            <w:vertAlign w:val="baseline"/>
          </w:rPr>
          <w:t>Dunedin</w:t>
        </w:r>
        <w:r>
          <w:rPr>
            <w:spacing w:val="-2"/>
            <w:vertAlign w:val="baseline"/>
          </w:rPr>
          <w:t> </w:t>
        </w:r>
        <w:r>
          <w:rPr>
            <w:vertAlign w:val="baseline"/>
          </w:rPr>
          <w:t>had</w:t>
        </w:r>
        <w:r>
          <w:rPr>
            <w:spacing w:val="-2"/>
            <w:vertAlign w:val="baseline"/>
          </w:rPr>
          <w:t> </w:t>
        </w:r>
        <w:r>
          <w:rPr>
            <w:vertAlign w:val="baseline"/>
          </w:rPr>
          <w:t>not</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lay</w:t>
        </w:r>
        <w:r>
          <w:rPr>
            <w:spacing w:val="-2"/>
            <w:vertAlign w:val="baseline"/>
          </w:rPr>
          <w:t> </w:t>
        </w:r>
        <w:r>
          <w:rPr>
            <w:vertAlign w:val="baseline"/>
          </w:rPr>
          <w:t>down</w:t>
        </w:r>
        <w:r>
          <w:rPr>
            <w:spacing w:val="-2"/>
            <w:vertAlign w:val="baseline"/>
          </w:rPr>
          <w:t> </w:t>
        </w:r>
        <w:r>
          <w:rPr>
            <w:vertAlign w:val="baseline"/>
          </w:rPr>
          <w:t>a</w:t>
        </w:r>
        <w:r>
          <w:rPr>
            <w:spacing w:val="-2"/>
            <w:vertAlign w:val="baseline"/>
          </w:rPr>
          <w:t> </w:t>
        </w:r>
        <w:r>
          <w:rPr>
            <w:vertAlign w:val="baseline"/>
          </w:rPr>
          <w:t>strict</w:t>
        </w:r>
        <w:r>
          <w:rPr>
            <w:spacing w:val="-2"/>
            <w:vertAlign w:val="baseline"/>
          </w:rPr>
          <w:t> </w:t>
        </w:r>
        <w:r>
          <w:rPr>
            <w:vertAlign w:val="baseline"/>
          </w:rPr>
          <w:t>code,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Lords had not adopted to his reasoning in full. In particular Lord Atkinson had upheld the clause requiring payment of £5 for every tyre sold at less than the list price not because it was hard to estimate the </w:t>
        </w:r>
        <w:bookmarkStart w:name="_bookmark2084" w:id="2086"/>
        <w:bookmarkEnd w:id="2086"/>
        <w:r>
          <w:rPr>
            <w:vertAlign w:val="baseline"/>
          </w:rPr>
          <w:t>loss</w:t>
        </w:r>
        <w:r>
          <w:rPr>
            <w:spacing w:val="37"/>
            <w:vertAlign w:val="baseline"/>
          </w:rPr>
          <w:t> </w:t>
        </w:r>
        <w:r>
          <w:rPr>
            <w:vertAlign w:val="baseline"/>
          </w:rPr>
          <w:t>from</w:t>
        </w:r>
        <w:r>
          <w:rPr>
            <w:spacing w:val="37"/>
            <w:vertAlign w:val="baseline"/>
          </w:rPr>
          <w:t> </w:t>
        </w:r>
        <w:r>
          <w:rPr>
            <w:vertAlign w:val="baseline"/>
          </w:rPr>
          <w:t>the</w:t>
        </w:r>
        <w:r>
          <w:rPr>
            <w:spacing w:val="37"/>
            <w:vertAlign w:val="baseline"/>
          </w:rPr>
          <w:t> </w:t>
        </w:r>
        <w:r>
          <w:rPr>
            <w:vertAlign w:val="baseline"/>
          </w:rPr>
          <w:t>particular</w:t>
        </w:r>
        <w:r>
          <w:rPr>
            <w:spacing w:val="37"/>
            <w:vertAlign w:val="baseline"/>
          </w:rPr>
          <w:t> </w:t>
        </w:r>
        <w:r>
          <w:rPr>
            <w:vertAlign w:val="baseline"/>
          </w:rPr>
          <w:t>breach</w:t>
        </w:r>
        <w:r>
          <w:rPr>
            <w:spacing w:val="37"/>
            <w:vertAlign w:val="baseline"/>
          </w:rPr>
          <w:t> </w:t>
        </w:r>
        <w:r>
          <w:rPr>
            <w:vertAlign w:val="baseline"/>
          </w:rPr>
          <w:t>but</w:t>
        </w:r>
        <w:r>
          <w:rPr>
            <w:spacing w:val="37"/>
            <w:vertAlign w:val="baseline"/>
          </w:rPr>
          <w:t> </w:t>
        </w:r>
        <w:r>
          <w:rPr>
            <w:vertAlign w:val="baseline"/>
          </w:rPr>
          <w:t>because</w:t>
        </w:r>
        <w:r>
          <w:rPr>
            <w:spacing w:val="37"/>
            <w:vertAlign w:val="baseline"/>
          </w:rPr>
          <w:t> </w:t>
        </w:r>
        <w:r>
          <w:rPr>
            <w:vertAlign w:val="baseline"/>
          </w:rPr>
          <w:t>Dunlop</w:t>
        </w:r>
        <w:r>
          <w:rPr>
            <w:spacing w:val="37"/>
            <w:vertAlign w:val="baseline"/>
          </w:rPr>
          <w:t> </w:t>
        </w:r>
        <w:r>
          <w:rPr>
            <w:vertAlign w:val="baseline"/>
          </w:rPr>
          <w:t>had</w:t>
        </w:r>
        <w:r>
          <w:rPr>
            <w:spacing w:val="37"/>
            <w:vertAlign w:val="baseline"/>
          </w:rPr>
          <w:t> </w:t>
        </w:r>
        <w:r>
          <w:rPr>
            <w:vertAlign w:val="baseline"/>
          </w:rPr>
          <w:t>a</w:t>
        </w:r>
        <w:r>
          <w:rPr>
            <w:spacing w:val="37"/>
            <w:vertAlign w:val="baseline"/>
          </w:rPr>
          <w:t> </w:t>
        </w:r>
        <w:r>
          <w:rPr>
            <w:vertAlign w:val="baseline"/>
          </w:rPr>
          <w:t>broader</w:t>
        </w:r>
        <w:r>
          <w:rPr>
            <w:spacing w:val="37"/>
            <w:vertAlign w:val="baseline"/>
          </w:rPr>
          <w:t> </w:t>
        </w:r>
        <w:r>
          <w:rPr>
            <w:vertAlign w:val="baseline"/>
          </w:rPr>
          <w:t>interest</w:t>
        </w:r>
        <w:r>
          <w:rPr>
            <w:spacing w:val="37"/>
            <w:vertAlign w:val="baseline"/>
          </w:rPr>
          <w:t> </w:t>
        </w:r>
        <w:r>
          <w:rPr>
            <w:vertAlign w:val="baseline"/>
          </w:rPr>
          <w:t>to</w:t>
        </w:r>
        <w:r>
          <w:rPr>
            <w:spacing w:val="37"/>
            <w:vertAlign w:val="baseline"/>
          </w:rPr>
          <w:t> </w:t>
        </w:r>
        <w:r>
          <w:rPr>
            <w:vertAlign w:val="baseline"/>
          </w:rPr>
          <w:t>protect,</w:t>
        </w:r>
        <w:r>
          <w:rPr>
            <w:spacing w:val="37"/>
            <w:vertAlign w:val="baseline"/>
          </w:rPr>
          <w:t> </w:t>
        </w:r>
        <w:r>
          <w:rPr>
            <w:vertAlign w:val="baseline"/>
          </w:rPr>
          <w:t>namely</w:t>
        </w:r>
        <w:r>
          <w:rPr>
            <w:spacing w:val="37"/>
            <w:vertAlign w:val="baseline"/>
          </w:rPr>
          <w:t> </w:t>
        </w:r>
        <w:r>
          <w:rPr>
            <w:spacing w:val="-5"/>
            <w:vertAlign w:val="baseline"/>
          </w:rPr>
          <w:t>its</w:t>
        </w:r>
      </w:hyperlink>
    </w:p>
    <w:p>
      <w:pPr>
        <w:pStyle w:val="BodyText"/>
        <w:spacing w:before="5"/>
      </w:pPr>
    </w:p>
    <w:p>
      <w:pPr>
        <w:pStyle w:val="BodyText"/>
        <w:ind w:left="165"/>
        <w:jc w:val="both"/>
      </w:pPr>
      <w:bookmarkStart w:name="_bookmark2085" w:id="2087"/>
      <w:bookmarkEnd w:id="2087"/>
      <w:r>
        <w:rPr/>
      </w:r>
      <w:r>
        <w:rPr/>
        <w:t>system</w:t>
      </w:r>
      <w:r>
        <w:rPr>
          <w:spacing w:val="-3"/>
        </w:rPr>
        <w:t> </w:t>
      </w:r>
      <w:r>
        <w:rPr/>
        <w:t>of</w:t>
      </w:r>
      <w:r>
        <w:rPr>
          <w:spacing w:val="-3"/>
        </w:rPr>
        <w:t> </w:t>
      </w:r>
      <w:r>
        <w:rPr/>
        <w:t>price</w:t>
      </w:r>
      <w:r>
        <w:rPr>
          <w:spacing w:val="-3"/>
        </w:rPr>
        <w:t> </w:t>
      </w:r>
      <w:r>
        <w:rPr/>
        <w:t>maintenance.</w:t>
      </w:r>
      <w:r>
        <w:rPr>
          <w:spacing w:val="-4"/>
        </w:rPr>
        <w:t> </w:t>
      </w:r>
      <w:r>
        <w:rPr>
          <w:color w:val="005DA1"/>
          <w:u w:val="single" w:color="005DA1"/>
          <w:vertAlign w:val="superscript"/>
        </w:rPr>
        <w:t>1109</w:t>
      </w:r>
      <w:r>
        <w:rPr>
          <w:color w:val="005DA1"/>
          <w:spacing w:val="75"/>
          <w:w w:val="150"/>
          <w:vertAlign w:val="baseline"/>
        </w:rPr>
        <w:t> </w:t>
      </w:r>
      <w:r>
        <w:rPr>
          <w:color w:val="005DA1"/>
          <w:position w:val="-2"/>
          <w:vertAlign w:val="baseline"/>
        </w:rPr>
        <w:drawing>
          <wp:inline distT="0" distB="0" distL="0" distR="0">
            <wp:extent cx="107988" cy="107988"/>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
          <w:vertAlign w:val="baseline"/>
        </w:rPr>
        <w:t> </w:t>
      </w:r>
      <w:r>
        <w:rPr>
          <w:vertAlign w:val="baseline"/>
        </w:rPr>
        <w:t>As</w:t>
      </w:r>
      <w:r>
        <w:rPr>
          <w:spacing w:val="-3"/>
          <w:vertAlign w:val="baseline"/>
        </w:rPr>
        <w:t> </w:t>
      </w:r>
      <w:r>
        <w:rPr>
          <w:vertAlign w:val="baseline"/>
        </w:rPr>
        <w:t>Lord</w:t>
      </w:r>
      <w:r>
        <w:rPr>
          <w:spacing w:val="-3"/>
          <w:vertAlign w:val="baseline"/>
        </w:rPr>
        <w:t> </w:t>
      </w:r>
      <w:r>
        <w:rPr>
          <w:vertAlign w:val="baseline"/>
        </w:rPr>
        <w:t>Mance</w:t>
      </w:r>
      <w:r>
        <w:rPr>
          <w:spacing w:val="-3"/>
          <w:vertAlign w:val="baseline"/>
        </w:rPr>
        <w:t> </w:t>
      </w:r>
      <w:r>
        <w:rPr>
          <w:vertAlign w:val="baseline"/>
        </w:rPr>
        <w:t>put</w:t>
      </w:r>
      <w:r>
        <w:rPr>
          <w:spacing w:val="-3"/>
          <w:vertAlign w:val="baseline"/>
        </w:rPr>
        <w:t> </w:t>
      </w:r>
      <w:r>
        <w:rPr>
          <w:vertAlign w:val="baseline"/>
        </w:rPr>
        <w:t>it</w:t>
      </w:r>
      <w:r>
        <w:rPr>
          <w:spacing w:val="-4"/>
          <w:vertAlign w:val="baseline"/>
        </w:rPr>
        <w:t> </w:t>
      </w:r>
      <w:hyperlink w:history="true" w:anchor="_bookmark2200">
        <w:r>
          <w:rPr>
            <w:color w:val="005DA1"/>
            <w:u w:val="single" w:color="005DA1"/>
            <w:vertAlign w:val="superscript"/>
          </w:rPr>
          <w:t>1110</w:t>
        </w:r>
        <w:r>
          <w:rPr>
            <w:color w:val="005DA1"/>
            <w:spacing w:val="75"/>
            <w:w w:val="150"/>
            <w:vertAlign w:val="baseline"/>
          </w:rPr>
          <w:t> </w:t>
        </w:r>
        <w:r>
          <w:rPr>
            <w:color w:val="005DA1"/>
            <w:position w:val="-2"/>
            <w:vertAlign w:val="baseline"/>
          </w:rPr>
          <w:drawing>
            <wp:inline distT="0" distB="0" distL="0" distR="0">
              <wp:extent cx="107988" cy="107988"/>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125"/>
      </w:pPr>
    </w:p>
    <w:p>
      <w:pPr>
        <w:pStyle w:val="BodyText"/>
        <w:spacing w:line="235" w:lineRule="auto"/>
        <w:ind w:left="1245" w:right="167"/>
        <w:jc w:val="both"/>
      </w:pPr>
      <w:r>
        <w:rPr/>
        <w:t>“It is clear … that a concern can protect a system which it operates across its </w:t>
      </w:r>
      <w:r>
        <w:rPr/>
        <w:t>whole business by imposing an undertaking on all its counterparties to respect the system, coupled with a provision requiring payment of an agreed sum in the event of any breach of such undertaking. The impossibility of measuring loss from any particular breach is a reason for upholding, not for striking down, such a provision. The qualification and safeguard is that the agreed sum must not have been extravagant, unconscionable or incommensurate with any possible interest in the maintenance of the system, this being for the party in breach to show.”</w:t>
      </w:r>
    </w:p>
    <w:p>
      <w:pPr>
        <w:pStyle w:val="BodyText"/>
        <w:spacing w:before="114"/>
      </w:pPr>
    </w:p>
    <w:p>
      <w:pPr>
        <w:pStyle w:val="BodyText"/>
        <w:spacing w:line="235" w:lineRule="auto"/>
        <w:ind w:left="165" w:right="167"/>
        <w:jc w:val="both"/>
      </w:pPr>
      <w:r>
        <w:rPr/>
        <w:t>A clause may be valid even if it does not represent a genuine pre-estimate of the loss, and even though it is aimed at deterring a party from breaking the contract, provided that the other party </w:t>
      </w:r>
      <w:r>
        <w:rPr/>
        <w:t>can </w:t>
      </w:r>
      <w:bookmarkStart w:name="_bookmark2086" w:id="2088"/>
      <w:bookmarkEnd w:id="2088"/>
      <w:r>
        <w:rPr/>
        <w:t>show</w:t>
      </w:r>
      <w:r>
        <w:rPr>
          <w:spacing w:val="35"/>
        </w:rPr>
        <w:t> </w:t>
      </w:r>
      <w:r>
        <w:rPr/>
        <w:t>a</w:t>
      </w:r>
      <w:r>
        <w:rPr>
          <w:spacing w:val="35"/>
        </w:rPr>
        <w:t> </w:t>
      </w:r>
      <w:r>
        <w:rPr/>
        <w:t>legitimate</w:t>
      </w:r>
      <w:r>
        <w:rPr>
          <w:spacing w:val="35"/>
        </w:rPr>
        <w:t> </w:t>
      </w:r>
      <w:r>
        <w:rPr/>
        <w:t>commercial</w:t>
      </w:r>
      <w:r>
        <w:rPr>
          <w:spacing w:val="35"/>
        </w:rPr>
        <w:t> </w:t>
      </w:r>
      <w:r>
        <w:rPr/>
        <w:t>interest</w:t>
      </w:r>
      <w:r>
        <w:rPr>
          <w:spacing w:val="35"/>
        </w:rPr>
        <w:t> </w:t>
      </w:r>
      <w:r>
        <w:rPr/>
        <w:t>in</w:t>
      </w:r>
      <w:r>
        <w:rPr>
          <w:spacing w:val="35"/>
        </w:rPr>
        <w:t> </w:t>
      </w:r>
      <w:r>
        <w:rPr/>
        <w:t>deterring</w:t>
      </w:r>
      <w:r>
        <w:rPr>
          <w:spacing w:val="35"/>
        </w:rPr>
        <w:t> </w:t>
      </w:r>
      <w:r>
        <w:rPr/>
        <w:t>the</w:t>
      </w:r>
      <w:r>
        <w:rPr>
          <w:spacing w:val="35"/>
        </w:rPr>
        <w:t> </w:t>
      </w:r>
      <w:r>
        <w:rPr/>
        <w:t>breach</w:t>
      </w:r>
      <w:r>
        <w:rPr>
          <w:spacing w:val="35"/>
        </w:rPr>
        <w:t> </w:t>
      </w:r>
      <w:r>
        <w:rPr/>
        <w:t>rather</w:t>
      </w:r>
      <w:r>
        <w:rPr>
          <w:spacing w:val="35"/>
        </w:rPr>
        <w:t> </w:t>
      </w:r>
      <w:r>
        <w:rPr/>
        <w:t>than</w:t>
      </w:r>
      <w:r>
        <w:rPr>
          <w:spacing w:val="35"/>
        </w:rPr>
        <w:t> </w:t>
      </w:r>
      <w:r>
        <w:rPr/>
        <w:t>simply</w:t>
      </w:r>
      <w:r>
        <w:rPr>
          <w:spacing w:val="35"/>
        </w:rPr>
        <w:t> </w:t>
      </w:r>
      <w:r>
        <w:rPr/>
        <w:t>being</w:t>
      </w:r>
      <w:r>
        <w:rPr>
          <w:spacing w:val="35"/>
        </w:rPr>
        <w:t> </w:t>
      </w:r>
      <w:r>
        <w:rPr/>
        <w:t>entitled</w:t>
      </w:r>
      <w:r>
        <w:rPr>
          <w:spacing w:val="35"/>
        </w:rPr>
        <w:t> </w:t>
      </w:r>
      <w:r>
        <w:rPr>
          <w:spacing w:val="-5"/>
        </w:rPr>
        <w:t>to</w:t>
      </w:r>
    </w:p>
    <w:p>
      <w:pPr>
        <w:pStyle w:val="BodyText"/>
        <w:spacing w:line="235" w:lineRule="auto" w:before="119"/>
        <w:ind w:left="165" w:right="167"/>
        <w:jc w:val="both"/>
      </w:pPr>
      <w:r>
        <w:rPr/>
        <w:t>damages </w:t>
      </w:r>
      <w:hyperlink w:history="true" w:anchor="_bookmark2201">
        <w:r>
          <w:rPr>
            <w:color w:val="005DA1"/>
            <w:u w:val="single" w:color="005DA1"/>
            <w:vertAlign w:val="superscript"/>
          </w:rPr>
          <w:t>1111</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11"/>
            <w:vertAlign w:val="baseline"/>
          </w:rPr>
          <w:t> </w:t>
        </w:r>
        <w:r>
          <w:rPr>
            <w:vertAlign w:val="baseline"/>
          </w:rPr>
          <w:t>and that the clause is not extravagant or unconscionable in proportion to that interest. Lords Neuberger and Sumption said:</w:t>
        </w:r>
      </w:hyperlink>
    </w:p>
    <w:p>
      <w:pPr>
        <w:pStyle w:val="BodyText"/>
      </w:pPr>
    </w:p>
    <w:p>
      <w:pPr>
        <w:pStyle w:val="BodyText"/>
        <w:spacing w:before="126"/>
      </w:pPr>
    </w:p>
    <w:p>
      <w:pPr>
        <w:pStyle w:val="BodyText"/>
        <w:spacing w:line="235" w:lineRule="auto"/>
        <w:ind w:left="1245" w:right="167"/>
        <w:jc w:val="both"/>
      </w:pPr>
      <w:r>
        <w:rPr/>
        <w:t>“The</w:t>
      </w:r>
      <w:r>
        <w:rPr>
          <w:spacing w:val="-1"/>
        </w:rPr>
        <w:t> </w:t>
      </w:r>
      <w:r>
        <w:rPr/>
        <w:t>true</w:t>
      </w:r>
      <w:r>
        <w:rPr>
          <w:spacing w:val="-1"/>
        </w:rPr>
        <w:t> </w:t>
      </w:r>
      <w:r>
        <w:rPr/>
        <w:t>test</w:t>
      </w:r>
      <w:r>
        <w:rPr>
          <w:spacing w:val="-1"/>
        </w:rPr>
        <w:t> </w:t>
      </w:r>
      <w:r>
        <w:rPr/>
        <w:t>is</w:t>
      </w:r>
      <w:r>
        <w:rPr>
          <w:spacing w:val="-1"/>
        </w:rPr>
        <w:t> </w:t>
      </w:r>
      <w:r>
        <w:rPr/>
        <w:t>whether</w:t>
      </w:r>
      <w:r>
        <w:rPr>
          <w:spacing w:val="-1"/>
        </w:rPr>
        <w:t> </w:t>
      </w:r>
      <w:r>
        <w:rPr/>
        <w:t>the</w:t>
      </w:r>
      <w:r>
        <w:rPr>
          <w:spacing w:val="-1"/>
        </w:rPr>
        <w:t> </w:t>
      </w:r>
      <w:r>
        <w:rPr/>
        <w:t>impugned</w:t>
      </w:r>
      <w:r>
        <w:rPr>
          <w:spacing w:val="-1"/>
        </w:rPr>
        <w:t> </w:t>
      </w:r>
      <w:r>
        <w:rPr/>
        <w:t>provision</w:t>
      </w:r>
      <w:r>
        <w:rPr>
          <w:spacing w:val="-1"/>
        </w:rPr>
        <w:t> </w:t>
      </w:r>
      <w:r>
        <w:rPr/>
        <w:t>is</w:t>
      </w:r>
      <w:r>
        <w:rPr>
          <w:spacing w:val="-1"/>
        </w:rPr>
        <w:t> </w:t>
      </w:r>
      <w:r>
        <w:rPr/>
        <w:t>a</w:t>
      </w:r>
      <w:r>
        <w:rPr>
          <w:spacing w:val="-1"/>
        </w:rPr>
        <w:t> </w:t>
      </w:r>
      <w:r>
        <w:rPr/>
        <w:t>secondary</w:t>
      </w:r>
      <w:r>
        <w:rPr>
          <w:spacing w:val="-1"/>
        </w:rPr>
        <w:t> </w:t>
      </w:r>
      <w:r>
        <w:rPr/>
        <w:t>obligation</w:t>
      </w:r>
      <w:r>
        <w:rPr>
          <w:spacing w:val="-1"/>
        </w:rPr>
        <w:t> </w:t>
      </w:r>
      <w:r>
        <w:rPr/>
        <w:t>which</w:t>
      </w:r>
      <w:r>
        <w:rPr>
          <w:spacing w:val="-1"/>
        </w:rPr>
        <w:t> </w:t>
      </w:r>
      <w:r>
        <w:rPr/>
        <w:t>imposes a detriment on the contract-breaker out of all proportion to any legitimate interest of the innocent party in the enforcement of the primary obligation. The innocent party can have no proper interest in simply punishing the defaulter. His interest is in performance or in some appropriate alternative to performance. In the case of a straightforward damages clause, that interest will rarely extend beyond compensation for the breach, and we therefore expect that Lord Dunedin’s four tests would usually be perfectly adequate to </w:t>
      </w:r>
      <w:bookmarkStart w:name="_bookmark2087" w:id="2089"/>
      <w:bookmarkEnd w:id="2089"/>
      <w:r>
        <w:rPr/>
        <w:t>determine</w:t>
      </w:r>
      <w:r>
        <w:rPr/>
        <w:t> its validity. But compensation is not necessarily the only legitimate interest that the</w:t>
      </w:r>
      <w:r>
        <w:rPr>
          <w:spacing w:val="25"/>
        </w:rPr>
        <w:t> </w:t>
      </w:r>
      <w:r>
        <w:rPr/>
        <w:t>innocent</w:t>
      </w:r>
      <w:r>
        <w:rPr>
          <w:spacing w:val="25"/>
        </w:rPr>
        <w:t> </w:t>
      </w:r>
      <w:r>
        <w:rPr/>
        <w:t>party</w:t>
      </w:r>
      <w:r>
        <w:rPr>
          <w:spacing w:val="25"/>
        </w:rPr>
        <w:t> </w:t>
      </w:r>
      <w:r>
        <w:rPr/>
        <w:t>may</w:t>
      </w:r>
      <w:r>
        <w:rPr>
          <w:spacing w:val="25"/>
        </w:rPr>
        <w:t> </w:t>
      </w:r>
      <w:r>
        <w:rPr/>
        <w:t>have</w:t>
      </w:r>
      <w:r>
        <w:rPr>
          <w:spacing w:val="25"/>
        </w:rPr>
        <w:t> </w:t>
      </w:r>
      <w:r>
        <w:rPr/>
        <w:t>in</w:t>
      </w:r>
      <w:r>
        <w:rPr>
          <w:spacing w:val="25"/>
        </w:rPr>
        <w:t> </w:t>
      </w:r>
      <w:r>
        <w:rPr/>
        <w:t>the</w:t>
      </w:r>
      <w:r>
        <w:rPr>
          <w:spacing w:val="25"/>
        </w:rPr>
        <w:t> </w:t>
      </w:r>
      <w:r>
        <w:rPr/>
        <w:t>performance</w:t>
      </w:r>
      <w:r>
        <w:rPr>
          <w:spacing w:val="25"/>
        </w:rPr>
        <w:t> </w:t>
      </w:r>
      <w:r>
        <w:rPr/>
        <w:t>of</w:t>
      </w:r>
      <w:r>
        <w:rPr>
          <w:spacing w:val="25"/>
        </w:rPr>
        <w:t> </w:t>
      </w:r>
      <w:r>
        <w:rPr/>
        <w:t>the</w:t>
      </w:r>
      <w:r>
        <w:rPr>
          <w:spacing w:val="25"/>
        </w:rPr>
        <w:t> </w:t>
      </w:r>
      <w:r>
        <w:rPr/>
        <w:t>defaulter’s</w:t>
      </w:r>
      <w:r>
        <w:rPr>
          <w:spacing w:val="25"/>
        </w:rPr>
        <w:t> </w:t>
      </w:r>
      <w:r>
        <w:rPr/>
        <w:t>primary</w:t>
      </w:r>
      <w:r>
        <w:rPr>
          <w:spacing w:val="25"/>
        </w:rPr>
        <w:t> </w:t>
      </w:r>
      <w:r>
        <w:rPr>
          <w:spacing w:val="-2"/>
        </w:rPr>
        <w:t>obligations.”</w:t>
      </w:r>
    </w:p>
    <w:p>
      <w:pPr>
        <w:spacing w:before="92"/>
        <w:ind w:left="1245" w:right="0" w:firstLine="0"/>
        <w:jc w:val="left"/>
        <w:rPr>
          <w:sz w:val="12"/>
        </w:rPr>
      </w:pPr>
      <w:r>
        <w:rPr>
          <w:sz w:val="12"/>
        </w:rPr>
        <w:drawing>
          <wp:anchor distT="0" distB="0" distL="0" distR="0" allowOverlap="1" layoutInCell="1" locked="0" behindDoc="0" simplePos="0" relativeHeight="15846912">
            <wp:simplePos x="0" y="0"/>
            <wp:positionH relativeFrom="page">
              <wp:posOffset>1875586</wp:posOffset>
            </wp:positionH>
            <wp:positionV relativeFrom="paragraph">
              <wp:posOffset>99755</wp:posOffset>
            </wp:positionV>
            <wp:extent cx="107988" cy="107988"/>
            <wp:effectExtent l="0" t="0" r="0" b="0"/>
            <wp:wrapNone/>
            <wp:docPr id="682" name="Image 682"/>
            <wp:cNvGraphicFramePr>
              <a:graphicFrameLocks/>
            </wp:cNvGraphicFramePr>
            <a:graphic>
              <a:graphicData uri="http://schemas.openxmlformats.org/drawingml/2006/picture">
                <pic:pic>
                  <pic:nvPicPr>
                    <pic:cNvPr id="682" name="Image 682"/>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202">
        <w:r>
          <w:rPr>
            <w:color w:val="005DA1"/>
            <w:spacing w:val="-4"/>
            <w:sz w:val="12"/>
            <w:u w:val="single" w:color="005DA1"/>
          </w:rPr>
          <w:t>1112</w:t>
        </w:r>
      </w:hyperlink>
    </w:p>
    <w:p>
      <w:pPr>
        <w:pStyle w:val="BodyText"/>
        <w:rPr>
          <w:sz w:val="12"/>
        </w:rPr>
      </w:pPr>
    </w:p>
    <w:p>
      <w:pPr>
        <w:pStyle w:val="BodyText"/>
        <w:rPr>
          <w:sz w:val="12"/>
        </w:rPr>
      </w:pPr>
    </w:p>
    <w:p>
      <w:pPr>
        <w:pStyle w:val="BodyText"/>
        <w:spacing w:before="40"/>
        <w:rPr>
          <w:sz w:val="12"/>
        </w:rPr>
      </w:pPr>
    </w:p>
    <w:p>
      <w:pPr>
        <w:pStyle w:val="BodyText"/>
        <w:spacing w:line="360" w:lineRule="auto" w:before="1"/>
        <w:ind w:left="165" w:right="166"/>
        <w:jc w:val="both"/>
      </w:pPr>
      <w:bookmarkStart w:name="_bookmark2088" w:id="2090"/>
      <w:bookmarkEnd w:id="2090"/>
      <w:r>
        <w:rPr/>
      </w:r>
      <w:r>
        <w:rPr/>
        <w:t>Cavendish had a legitimate interest in preserving the good will for which it was paying such a </w:t>
      </w:r>
      <w:r>
        <w:rPr/>
        <w:t>large amount</w:t>
      </w:r>
      <w:r>
        <w:rPr>
          <w:spacing w:val="20"/>
        </w:rPr>
        <w:t> </w:t>
      </w:r>
      <w:r>
        <w:rPr>
          <w:color w:val="005DA1"/>
          <w:u w:val="single" w:color="005DA1"/>
          <w:vertAlign w:val="superscript"/>
        </w:rPr>
        <w:t>1113</w:t>
      </w:r>
      <w:r>
        <w:rPr>
          <w:color w:val="005DA1"/>
          <w:spacing w:val="59"/>
          <w:vertAlign w:val="baseline"/>
        </w:rPr>
        <w:t>  </w:t>
      </w:r>
      <w:r>
        <w:rPr>
          <w:color w:val="005DA1"/>
          <w:spacing w:val="12"/>
          <w:position w:val="-2"/>
          <w:vertAlign w:val="baseline"/>
        </w:rPr>
        <w:drawing>
          <wp:inline distT="0" distB="0" distL="0" distR="0">
            <wp:extent cx="107988" cy="107988"/>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vertAlign w:val="baseline"/>
        </w:rPr>
        <w:t>;</w:t>
      </w:r>
      <w:r>
        <w:rPr>
          <w:spacing w:val="22"/>
          <w:vertAlign w:val="baseline"/>
        </w:rPr>
        <w:t> </w:t>
      </w:r>
      <w:r>
        <w:rPr>
          <w:vertAlign w:val="baseline"/>
        </w:rPr>
        <w:t>it</w:t>
      </w:r>
      <w:r>
        <w:rPr>
          <w:spacing w:val="21"/>
          <w:vertAlign w:val="baseline"/>
        </w:rPr>
        <w:t> </w:t>
      </w:r>
      <w:r>
        <w:rPr>
          <w:vertAlign w:val="baseline"/>
        </w:rPr>
        <w:t>would</w:t>
      </w:r>
      <w:r>
        <w:rPr>
          <w:spacing w:val="20"/>
          <w:vertAlign w:val="baseline"/>
        </w:rPr>
        <w:t> </w:t>
      </w:r>
      <w:r>
        <w:rPr>
          <w:vertAlign w:val="baseline"/>
        </w:rPr>
        <w:t>be</w:t>
      </w:r>
      <w:r>
        <w:rPr>
          <w:spacing w:val="21"/>
          <w:vertAlign w:val="baseline"/>
        </w:rPr>
        <w:t> </w:t>
      </w:r>
      <w:r>
        <w:rPr>
          <w:vertAlign w:val="baseline"/>
        </w:rPr>
        <w:t>hard</w:t>
      </w:r>
      <w:r>
        <w:rPr>
          <w:spacing w:val="21"/>
          <w:vertAlign w:val="baseline"/>
        </w:rPr>
        <w:t> </w:t>
      </w:r>
      <w:r>
        <w:rPr>
          <w:vertAlign w:val="baseline"/>
        </w:rPr>
        <w:t>to</w:t>
      </w:r>
      <w:r>
        <w:rPr>
          <w:spacing w:val="21"/>
          <w:vertAlign w:val="baseline"/>
        </w:rPr>
        <w:t> </w:t>
      </w:r>
      <w:r>
        <w:rPr>
          <w:vertAlign w:val="baseline"/>
        </w:rPr>
        <w:t>prove</w:t>
      </w:r>
      <w:r>
        <w:rPr>
          <w:spacing w:val="21"/>
          <w:vertAlign w:val="baseline"/>
        </w:rPr>
        <w:t> </w:t>
      </w:r>
      <w:r>
        <w:rPr>
          <w:vertAlign w:val="baseline"/>
        </w:rPr>
        <w:t>the</w:t>
      </w:r>
      <w:r>
        <w:rPr>
          <w:spacing w:val="20"/>
          <w:vertAlign w:val="baseline"/>
        </w:rPr>
        <w:t> </w:t>
      </w:r>
      <w:r>
        <w:rPr>
          <w:vertAlign w:val="baseline"/>
        </w:rPr>
        <w:t>loss</w:t>
      </w:r>
      <w:r>
        <w:rPr>
          <w:spacing w:val="21"/>
          <w:vertAlign w:val="baseline"/>
        </w:rPr>
        <w:t> </w:t>
      </w:r>
      <w:r>
        <w:rPr>
          <w:vertAlign w:val="baseline"/>
        </w:rPr>
        <w:t>flowing</w:t>
      </w:r>
      <w:r>
        <w:rPr>
          <w:spacing w:val="21"/>
          <w:vertAlign w:val="baseline"/>
        </w:rPr>
        <w:t> </w:t>
      </w:r>
      <w:r>
        <w:rPr>
          <w:vertAlign w:val="baseline"/>
        </w:rPr>
        <w:t>from</w:t>
      </w:r>
      <w:r>
        <w:rPr>
          <w:spacing w:val="21"/>
          <w:vertAlign w:val="baseline"/>
        </w:rPr>
        <w:t> </w:t>
      </w:r>
      <w:r>
        <w:rPr>
          <w:vertAlign w:val="baseline"/>
        </w:rPr>
        <w:t>any</w:t>
      </w:r>
      <w:r>
        <w:rPr>
          <w:spacing w:val="20"/>
          <w:vertAlign w:val="baseline"/>
        </w:rPr>
        <w:t> </w:t>
      </w:r>
      <w:r>
        <w:rPr>
          <w:vertAlign w:val="baseline"/>
        </w:rPr>
        <w:t>breach</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non-</w:t>
      </w:r>
      <w:r>
        <w:rPr>
          <w:spacing w:val="-2"/>
          <w:vertAlign w:val="baseline"/>
        </w:rPr>
        <w:t>competition</w:t>
      </w:r>
    </w:p>
    <w:p>
      <w:pPr>
        <w:pStyle w:val="BodyText"/>
        <w:spacing w:after="0" w:line="360" w:lineRule="auto"/>
        <w:jc w:val="both"/>
        <w:sectPr>
          <w:pgSz w:w="11900" w:h="16840"/>
          <w:pgMar w:header="971" w:footer="0" w:top="1300" w:bottom="280" w:left="1275" w:right="1275"/>
        </w:sectPr>
      </w:pPr>
    </w:p>
    <w:p>
      <w:pPr>
        <w:pStyle w:val="BodyText"/>
      </w:pPr>
    </w:p>
    <w:p>
      <w:pPr>
        <w:pStyle w:val="BodyText"/>
        <w:tabs>
          <w:tab w:pos="5899" w:val="left" w:leader="none"/>
        </w:tabs>
        <w:spacing w:line="235" w:lineRule="auto"/>
        <w:ind w:left="165" w:right="168"/>
      </w:pPr>
      <w:bookmarkStart w:name="_bookmark2089" w:id="2091"/>
      <w:bookmarkEnd w:id="2091"/>
      <w:r>
        <w:rPr/>
      </w:r>
      <w:r>
        <w:rPr/>
        <w:t>covenants; the seller’s loyalty was critical and indivisible </w:t>
      </w:r>
      <w:hyperlink w:history="true" w:anchor="_bookmark2203">
        <w:r>
          <w:rPr>
            <w:color w:val="005DA1"/>
            <w:u w:val="single" w:color="005DA1"/>
            <w:vertAlign w:val="superscript"/>
          </w:rPr>
          <w:t>1114</w:t>
        </w:r>
        <w:r>
          <w:rPr>
            <w:color w:val="005DA1"/>
            <w:vertAlign w:val="baseline"/>
          </w:rPr>
          <w:tab/>
        </w:r>
        <w:r>
          <w:rPr>
            <w:color w:val="005DA1"/>
            <w:position w:val="-2"/>
            <w:vertAlign w:val="baseline"/>
          </w:rPr>
          <w:drawing>
            <wp:inline distT="0" distB="0" distL="0" distR="0">
              <wp:extent cx="107988" cy="107988"/>
              <wp:effectExtent l="0" t="0" r="0" b="0"/>
              <wp:docPr id="684" name="Image 684"/>
              <wp:cNvGraphicFramePr>
                <a:graphicFrameLocks/>
              </wp:cNvGraphicFramePr>
              <a:graphic>
                <a:graphicData uri="http://schemas.openxmlformats.org/drawingml/2006/picture">
                  <pic:pic>
                    <pic:nvPicPr>
                      <pic:cNvPr id="684" name="Image 6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6"/>
            <w:vertAlign w:val="baseline"/>
          </w:rPr>
          <w:t> </w:t>
        </w:r>
        <w:r>
          <w:rPr>
            <w:vertAlign w:val="baseline"/>
          </w:rPr>
          <w:t>and therefore it was legitimate </w:t>
        </w:r>
        <w:r>
          <w:rPr>
            <w:vertAlign w:val="baseline"/>
          </w:rPr>
          <w:t>to </w:t>
        </w:r>
        <w:bookmarkStart w:name="_bookmark2090" w:id="2092"/>
        <w:bookmarkEnd w:id="2092"/>
        <w:r>
          <w:rPr>
            <w:vertAlign w:val="baseline"/>
          </w:rPr>
          <w:t>deter</w:t>
        </w:r>
        <w:r>
          <w:rPr>
            <w:spacing w:val="34"/>
            <w:vertAlign w:val="baseline"/>
          </w:rPr>
          <w:t> </w:t>
        </w:r>
        <w:r>
          <w:rPr>
            <w:vertAlign w:val="baseline"/>
          </w:rPr>
          <w:t>Makdessi</w:t>
        </w:r>
        <w:r>
          <w:rPr>
            <w:spacing w:val="34"/>
            <w:vertAlign w:val="baseline"/>
          </w:rPr>
          <w:t> </w:t>
        </w:r>
        <w:r>
          <w:rPr>
            <w:vertAlign w:val="baseline"/>
          </w:rPr>
          <w:t>from</w:t>
        </w:r>
        <w:r>
          <w:rPr>
            <w:spacing w:val="34"/>
            <w:vertAlign w:val="baseline"/>
          </w:rPr>
          <w:t> </w:t>
        </w:r>
        <w:r>
          <w:rPr>
            <w:vertAlign w:val="baseline"/>
          </w:rPr>
          <w:t>any</w:t>
        </w:r>
        <w:r>
          <w:rPr>
            <w:spacing w:val="34"/>
            <w:vertAlign w:val="baseline"/>
          </w:rPr>
          <w:t> </w:t>
        </w:r>
        <w:r>
          <w:rPr>
            <w:vertAlign w:val="baseline"/>
          </w:rPr>
          <w:t>breach.</w:t>
        </w:r>
        <w:r>
          <w:rPr>
            <w:spacing w:val="34"/>
            <w:vertAlign w:val="baseline"/>
          </w:rPr>
          <w:t> </w:t>
        </w:r>
        <w:r>
          <w:rPr>
            <w:vertAlign w:val="baseline"/>
          </w:rPr>
          <w:t>Likewise,</w:t>
        </w:r>
        <w:r>
          <w:rPr>
            <w:spacing w:val="34"/>
            <w:vertAlign w:val="baseline"/>
          </w:rPr>
          <w:t> </w:t>
        </w:r>
        <w:r>
          <w:rPr>
            <w:vertAlign w:val="baseline"/>
          </w:rPr>
          <w:t>in</w:t>
        </w:r>
        <w:r>
          <w:rPr>
            <w:spacing w:val="34"/>
            <w:vertAlign w:val="baseline"/>
          </w:rPr>
          <w:t> </w:t>
        </w:r>
        <w:r>
          <w:rPr>
            <w:vertAlign w:val="baseline"/>
          </w:rPr>
          <w:t>the</w:t>
        </w:r>
        <w:r>
          <w:rPr>
            <w:spacing w:val="33"/>
            <w:vertAlign w:val="baseline"/>
          </w:rPr>
          <w:t> </w:t>
        </w:r>
        <w:r>
          <w:rPr>
            <w:rFonts w:ascii="Arial" w:hAnsi="Arial"/>
            <w:i/>
            <w:vertAlign w:val="baseline"/>
          </w:rPr>
          <w:t>ParkingEye</w:t>
        </w:r>
        <w:r>
          <w:rPr>
            <w:rFonts w:ascii="Arial" w:hAnsi="Arial"/>
            <w:i/>
            <w:spacing w:val="34"/>
            <w:vertAlign w:val="baseline"/>
          </w:rPr>
          <w:t> </w:t>
        </w:r>
        <w:r>
          <w:rPr>
            <w:vertAlign w:val="baseline"/>
          </w:rPr>
          <w:t>case</w:t>
        </w:r>
        <w:r>
          <w:rPr>
            <w:spacing w:val="34"/>
            <w:vertAlign w:val="baseline"/>
          </w:rPr>
          <w:t> </w:t>
        </w:r>
        <w:r>
          <w:rPr>
            <w:vertAlign w:val="baseline"/>
          </w:rPr>
          <w:t>there</w:t>
        </w:r>
        <w:r>
          <w:rPr>
            <w:spacing w:val="34"/>
            <w:vertAlign w:val="baseline"/>
          </w:rPr>
          <w:t> </w:t>
        </w:r>
        <w:r>
          <w:rPr>
            <w:vertAlign w:val="baseline"/>
          </w:rPr>
          <w:t>was</w:t>
        </w:r>
        <w:r>
          <w:rPr>
            <w:spacing w:val="34"/>
            <w:vertAlign w:val="baseline"/>
          </w:rPr>
          <w:t> </w:t>
        </w:r>
        <w:r>
          <w:rPr>
            <w:vertAlign w:val="baseline"/>
          </w:rPr>
          <w:t>clearly</w:t>
        </w:r>
        <w:r>
          <w:rPr>
            <w:spacing w:val="34"/>
            <w:vertAlign w:val="baseline"/>
          </w:rPr>
          <w:t> </w:t>
        </w:r>
        <w:r>
          <w:rPr>
            <w:vertAlign w:val="baseline"/>
          </w:rPr>
          <w:t>a</w:t>
        </w:r>
        <w:r>
          <w:rPr>
            <w:spacing w:val="34"/>
            <w:vertAlign w:val="baseline"/>
          </w:rPr>
          <w:t> </w:t>
        </w:r>
        <w:r>
          <w:rPr>
            <w:spacing w:val="-2"/>
            <w:vertAlign w:val="baseline"/>
          </w:rPr>
          <w:t>legitimate</w:t>
        </w:r>
      </w:hyperlink>
    </w:p>
    <w:p>
      <w:pPr>
        <w:pStyle w:val="BodyText"/>
        <w:tabs>
          <w:tab w:pos="6914" w:val="left" w:leader="none"/>
        </w:tabs>
        <w:spacing w:line="235" w:lineRule="auto" w:before="119"/>
        <w:ind w:left="165" w:right="168"/>
      </w:pPr>
      <w:r>
        <w:rPr/>
        <w:t>interest in ensuring that motorists did not stay longer than two hours. </w:t>
      </w:r>
      <w:hyperlink w:history="true" w:anchor="_bookmark2204">
        <w:r>
          <w:rPr>
            <w:color w:val="005DA1"/>
            <w:u w:val="single" w:color="005DA1"/>
            <w:vertAlign w:val="superscript"/>
          </w:rPr>
          <w:t>1115</w:t>
        </w:r>
        <w:r>
          <w:rPr>
            <w:color w:val="005DA1"/>
            <w:vertAlign w:val="baseline"/>
          </w:rPr>
          <w:tab/>
        </w:r>
        <w:r>
          <w:rPr>
            <w:color w:val="005DA1"/>
            <w:position w:val="-2"/>
            <w:vertAlign w:val="baseline"/>
          </w:rPr>
          <w:drawing>
            <wp:inline distT="0" distB="0" distL="0" distR="0">
              <wp:extent cx="107988" cy="107988"/>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Therefore</w:t>
        </w:r>
        <w:r>
          <w:rPr>
            <w:spacing w:val="-6"/>
            <w:vertAlign w:val="baseline"/>
          </w:rPr>
          <w:t> </w:t>
        </w:r>
        <w:r>
          <w:rPr>
            <w:vertAlign w:val="baseline"/>
          </w:rPr>
          <w:t>Cavendish’s appeal succeeded but Beavis’ failed.</w:t>
        </w:r>
      </w:hyperlink>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“Legitimate </w:t>
      </w:r>
      <w:r>
        <w:rPr>
          <w:rFonts w:ascii="Arial" w:hAnsi="Arial"/>
          <w:b/>
          <w:spacing w:val="-2"/>
          <w:sz w:val="18"/>
        </w:rPr>
        <w:t>interest”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198</w:t>
      </w:r>
    </w:p>
    <w:p>
      <w:pPr>
        <w:pStyle w:val="BodyText"/>
        <w:spacing w:before="212"/>
        <w:rPr>
          <w:rFonts w:ascii="Arial"/>
          <w:b/>
        </w:rPr>
      </w:pPr>
    </w:p>
    <w:p>
      <w:pPr>
        <w:spacing w:line="235" w:lineRule="auto" w:before="0"/>
        <w:ind w:left="165" w:right="167" w:firstLine="0"/>
        <w:jc w:val="both"/>
        <w:rPr>
          <w:sz w:val="20"/>
        </w:rPr>
      </w:pPr>
      <w:r>
        <w:rPr>
          <w:position w:val="-2"/>
        </w:rPr>
        <w:drawing>
          <wp:inline distT="0" distB="0" distL="0" distR="0">
            <wp:extent cx="107988" cy="107988"/>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2091" w:id="2093"/>
      <w:bookmarkEnd w:id="2093"/>
      <w:r>
        <w:rPr>
          <w:rFonts w:ascii="Times New Roman"/>
          <w:spacing w:val="18"/>
          <w:sz w:val="20"/>
        </w:rPr>
      </w:r>
      <w:r>
        <w:rPr>
          <w:sz w:val="20"/>
        </w:rPr>
        <w:t>In </w:t>
      </w:r>
      <w:r>
        <w:rPr>
          <w:rFonts w:ascii="Arial"/>
          <w:i/>
          <w:sz w:val="20"/>
        </w:rPr>
        <w:t>Makdessi v Cavendish Square Holdings BV </w:t>
      </w:r>
      <w:r>
        <w:rPr>
          <w:sz w:val="20"/>
        </w:rPr>
        <w:t>and </w:t>
      </w:r>
      <w:r>
        <w:rPr>
          <w:rFonts w:ascii="Arial"/>
          <w:i/>
          <w:sz w:val="20"/>
        </w:rPr>
        <w:t>ParkingEye Ltd v Beavis </w:t>
      </w:r>
      <w:hyperlink w:history="true" w:anchor="_bookmark2205">
        <w:r>
          <w:rPr>
            <w:color w:val="005DA1"/>
            <w:sz w:val="20"/>
            <w:u w:val="single" w:color="005DA1"/>
            <w:vertAlign w:val="superscript"/>
          </w:rPr>
          <w:t>1116</w:t>
        </w:r>
        <w:r>
          <w:rPr>
            <w:color w:val="005DA1"/>
            <w:spacing w:val="80"/>
            <w:sz w:val="20"/>
            <w:vertAlign w:val="baseline"/>
          </w:rPr>
          <w:t> </w:t>
        </w:r>
        <w:r>
          <w:rPr>
            <w:color w:val="005DA1"/>
            <w:spacing w:val="-17"/>
            <w:position w:val="-2"/>
            <w:sz w:val="20"/>
            <w:vertAlign w:val="baseline"/>
          </w:rPr>
          <w:drawing>
            <wp:inline distT="0" distB="0" distL="0" distR="0">
              <wp:extent cx="107988" cy="107988"/>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sz w:val="20"/>
            <w:vertAlign w:val="baseline"/>
          </w:rPr>
        </w:r>
        <w:r>
          <w:rPr>
            <w:rFonts w:ascii="Times New Roman"/>
            <w:color w:val="005DA1"/>
            <w:spacing w:val="30"/>
            <w:sz w:val="20"/>
            <w:vertAlign w:val="baseline"/>
          </w:rPr>
          <w:t> </w:t>
        </w:r>
        <w:r>
          <w:rPr>
            <w:sz w:val="20"/>
            <w:vertAlign w:val="baseline"/>
          </w:rPr>
          <w:t>the </w:t>
        </w:r>
        <w:r>
          <w:rPr>
            <w:sz w:val="20"/>
            <w:vertAlign w:val="baseline"/>
          </w:rPr>
          <w:t>Supreme </w:t>
        </w:r>
        <w:bookmarkStart w:name="_bookmark2092" w:id="2094"/>
        <w:bookmarkEnd w:id="2094"/>
        <w:r>
          <w:rPr>
            <w:sz w:val="20"/>
            <w:vertAlign w:val="baseline"/>
          </w:rPr>
          <w:t>Court</w:t>
        </w:r>
        <w:r>
          <w:rPr>
            <w:spacing w:val="19"/>
            <w:sz w:val="20"/>
            <w:vertAlign w:val="baseline"/>
          </w:rPr>
          <w:t> </w:t>
        </w:r>
        <w:r>
          <w:rPr>
            <w:sz w:val="20"/>
            <w:vertAlign w:val="baseline"/>
          </w:rPr>
          <w:t>held</w:t>
        </w:r>
        <w:r>
          <w:rPr>
            <w:spacing w:val="19"/>
            <w:sz w:val="20"/>
            <w:vertAlign w:val="baseline"/>
          </w:rPr>
          <w:t> </w:t>
        </w:r>
        <w:r>
          <w:rPr>
            <w:sz w:val="20"/>
            <w:vertAlign w:val="baseline"/>
          </w:rPr>
          <w:t>that</w:t>
        </w:r>
        <w:r>
          <w:rPr>
            <w:spacing w:val="19"/>
            <w:sz w:val="20"/>
            <w:vertAlign w:val="baseline"/>
          </w:rPr>
          <w:t> </w:t>
        </w:r>
        <w:r>
          <w:rPr>
            <w:sz w:val="20"/>
            <w:vertAlign w:val="baseline"/>
          </w:rPr>
          <w:t>an</w:t>
        </w:r>
        <w:r>
          <w:rPr>
            <w:spacing w:val="19"/>
            <w:sz w:val="20"/>
            <w:vertAlign w:val="baseline"/>
          </w:rPr>
          <w:t> </w:t>
        </w:r>
        <w:r>
          <w:rPr>
            <w:sz w:val="20"/>
            <w:vertAlign w:val="baseline"/>
          </w:rPr>
          <w:t>agreed</w:t>
        </w:r>
        <w:r>
          <w:rPr>
            <w:spacing w:val="19"/>
            <w:sz w:val="20"/>
            <w:vertAlign w:val="baseline"/>
          </w:rPr>
          <w:t> </w:t>
        </w:r>
        <w:r>
          <w:rPr>
            <w:sz w:val="20"/>
            <w:vertAlign w:val="baseline"/>
          </w:rPr>
          <w:t>damages</w:t>
        </w:r>
        <w:r>
          <w:rPr>
            <w:spacing w:val="19"/>
            <w:sz w:val="20"/>
            <w:vertAlign w:val="baseline"/>
          </w:rPr>
          <w:t> </w:t>
        </w:r>
        <w:r>
          <w:rPr>
            <w:sz w:val="20"/>
            <w:vertAlign w:val="baseline"/>
          </w:rPr>
          <w:t>clause</w:t>
        </w:r>
        <w:r>
          <w:rPr>
            <w:spacing w:val="19"/>
            <w:sz w:val="20"/>
            <w:vertAlign w:val="baseline"/>
          </w:rPr>
          <w:t> </w:t>
        </w:r>
        <w:r>
          <w:rPr>
            <w:sz w:val="20"/>
            <w:vertAlign w:val="baseline"/>
          </w:rPr>
          <w:t>or</w:t>
        </w:r>
        <w:r>
          <w:rPr>
            <w:spacing w:val="19"/>
            <w:sz w:val="20"/>
            <w:vertAlign w:val="baseline"/>
          </w:rPr>
          <w:t> </w:t>
        </w:r>
        <w:r>
          <w:rPr>
            <w:sz w:val="20"/>
            <w:vertAlign w:val="baseline"/>
          </w:rPr>
          <w:t>other</w:t>
        </w:r>
        <w:r>
          <w:rPr>
            <w:spacing w:val="19"/>
            <w:sz w:val="20"/>
            <w:vertAlign w:val="baseline"/>
          </w:rPr>
          <w:t> </w:t>
        </w:r>
        <w:r>
          <w:rPr>
            <w:sz w:val="20"/>
            <w:vertAlign w:val="baseline"/>
          </w:rPr>
          <w:t>type</w:t>
        </w:r>
        <w:r>
          <w:rPr>
            <w:spacing w:val="19"/>
            <w:sz w:val="20"/>
            <w:vertAlign w:val="baseline"/>
          </w:rPr>
          <w:t> </w:t>
        </w:r>
        <w:r>
          <w:rPr>
            <w:sz w:val="20"/>
            <w:vertAlign w:val="baseline"/>
          </w:rPr>
          <w:t>of</w:t>
        </w:r>
        <w:r>
          <w:rPr>
            <w:spacing w:val="19"/>
            <w:sz w:val="20"/>
            <w:vertAlign w:val="baseline"/>
          </w:rPr>
          <w:t> </w:t>
        </w:r>
        <w:r>
          <w:rPr>
            <w:sz w:val="20"/>
            <w:vertAlign w:val="baseline"/>
          </w:rPr>
          <w:t>clause</w:t>
        </w:r>
        <w:r>
          <w:rPr>
            <w:spacing w:val="19"/>
            <w:sz w:val="20"/>
            <w:vertAlign w:val="baseline"/>
          </w:rPr>
          <w:t> </w:t>
        </w:r>
        <w:r>
          <w:rPr>
            <w:sz w:val="20"/>
            <w:vertAlign w:val="baseline"/>
          </w:rPr>
          <w:t>that</w:t>
        </w:r>
        <w:r>
          <w:rPr>
            <w:spacing w:val="19"/>
            <w:sz w:val="20"/>
            <w:vertAlign w:val="baseline"/>
          </w:rPr>
          <w:t> </w:t>
        </w:r>
        <w:r>
          <w:rPr>
            <w:sz w:val="20"/>
            <w:vertAlign w:val="baseline"/>
          </w:rPr>
          <w:t>falls</w:t>
        </w:r>
        <w:r>
          <w:rPr>
            <w:spacing w:val="19"/>
            <w:sz w:val="20"/>
            <w:vertAlign w:val="baseline"/>
          </w:rPr>
          <w:t> </w:t>
        </w:r>
        <w:r>
          <w:rPr>
            <w:sz w:val="20"/>
            <w:vertAlign w:val="baseline"/>
          </w:rPr>
          <w:t>within</w:t>
        </w:r>
        <w:r>
          <w:rPr>
            <w:spacing w:val="19"/>
            <w:sz w:val="20"/>
            <w:vertAlign w:val="baseline"/>
          </w:rPr>
          <w:t> </w:t>
        </w:r>
        <w:r>
          <w:rPr>
            <w:sz w:val="20"/>
            <w:vertAlign w:val="baseline"/>
          </w:rPr>
          <w:t>the</w:t>
        </w:r>
        <w:r>
          <w:rPr>
            <w:spacing w:val="19"/>
            <w:sz w:val="20"/>
            <w:vertAlign w:val="baseline"/>
          </w:rPr>
          <w:t> </w:t>
        </w:r>
        <w:r>
          <w:rPr>
            <w:sz w:val="20"/>
            <w:vertAlign w:val="baseline"/>
          </w:rPr>
          <w:t>scope</w:t>
        </w:r>
        <w:r>
          <w:rPr>
            <w:spacing w:val="19"/>
            <w:sz w:val="20"/>
            <w:vertAlign w:val="baseline"/>
          </w:rPr>
          <w:t> </w:t>
        </w:r>
        <w:r>
          <w:rPr>
            <w:sz w:val="20"/>
            <w:vertAlign w:val="baseline"/>
          </w:rPr>
          <w:t>of</w:t>
        </w:r>
        <w:r>
          <w:rPr>
            <w:spacing w:val="19"/>
            <w:sz w:val="20"/>
            <w:vertAlign w:val="baseline"/>
          </w:rPr>
          <w:t> </w:t>
        </w:r>
        <w:r>
          <w:rPr>
            <w:spacing w:val="-5"/>
            <w:sz w:val="20"/>
            <w:vertAlign w:val="baseline"/>
          </w:rPr>
          <w:t>the</w:t>
        </w:r>
      </w:hyperlink>
    </w:p>
    <w:p>
      <w:pPr>
        <w:pStyle w:val="BodyText"/>
        <w:spacing w:line="360" w:lineRule="auto" w:before="116"/>
        <w:ind w:left="165" w:right="167"/>
        <w:jc w:val="both"/>
      </w:pPr>
      <w:bookmarkStart w:name="_bookmark2093" w:id="2095"/>
      <w:bookmarkEnd w:id="2095"/>
      <w:r>
        <w:rPr/>
      </w:r>
      <w:r>
        <w:rPr/>
        <w:t>penalty doctrine </w:t>
      </w:r>
      <w:hyperlink w:history="true" w:anchor="_bookmark2206">
        <w:r>
          <w:rPr>
            <w:color w:val="005DA1"/>
            <w:u w:val="single" w:color="005DA1"/>
            <w:vertAlign w:val="superscript"/>
          </w:rPr>
          <w:t>1117</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will be valid if it is designed to protect a legitimate interest of the innocent </w:t>
        </w:r>
        <w:bookmarkStart w:name="_bookmark2094" w:id="2096"/>
        <w:bookmarkEnd w:id="2096"/>
        <w:r>
          <w:rPr>
            <w:vertAlign w:val="baseline"/>
          </w:rPr>
          <w:t>party</w:t>
        </w:r>
        <w:r>
          <w:rPr>
            <w:vertAlign w:val="baseline"/>
          </w:rPr>
          <w:t> and the amount involved is not extravagant or unconscionable in proportion to that interest. </w:t>
        </w:r>
        <w:hyperlink w:history="true" w:anchor="_bookmark2207">
          <w:r>
            <w:rPr>
              <w:color w:val="005DA1"/>
              <w:u w:val="single" w:color="005DA1"/>
              <w:vertAlign w:val="superscript"/>
            </w:rPr>
            <w:t>1118</w:t>
          </w:r>
        </w:hyperlink>
      </w:hyperlink>
    </w:p>
    <w:p>
      <w:pPr>
        <w:pStyle w:val="BodyText"/>
        <w:spacing w:line="235" w:lineRule="auto" w:before="4"/>
        <w:ind w:left="165" w:right="167"/>
        <w:jc w:val="both"/>
      </w:pPr>
      <w:r>
        <w:rPr>
          <w:position w:val="-2"/>
        </w:rPr>
        <w:drawing>
          <wp:inline distT="0" distB="0" distL="0" distR="0">
            <wp:extent cx="107988" cy="107988"/>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Punishment of the party in breach is not a legitimate purpose. </w:t>
      </w:r>
      <w:hyperlink w:history="true" w:anchor="_bookmark2208">
        <w:r>
          <w:rPr>
            <w:color w:val="005DA1"/>
            <w:u w:val="single" w:color="005DA1"/>
            <w:vertAlign w:val="superscript"/>
          </w:rPr>
          <w:t>1119</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9"/>
            <w:vertAlign w:val="baseline"/>
          </w:rPr>
          <w:t> </w:t>
        </w:r>
        <w:r>
          <w:rPr>
            <w:vertAlign w:val="baseline"/>
          </w:rPr>
          <w:t>The Supreme Court decided that when shares in a company that has been purchased will be of little value to the buyer if the seller is not loyal, as in the </w:t>
        </w:r>
        <w:r>
          <w:rPr>
            <w:rFonts w:ascii="Arial"/>
            <w:i/>
            <w:vertAlign w:val="baseline"/>
          </w:rPr>
          <w:t>Cavendish Square </w:t>
        </w:r>
        <w:r>
          <w:rPr>
            <w:vertAlign w:val="baseline"/>
          </w:rPr>
          <w:t>case, or if a perfectly lawful scheme will not work </w:t>
        </w:r>
        <w:r>
          <w:rPr>
            <w:vertAlign w:val="baseline"/>
          </w:rPr>
          <w:t>unless</w:t>
        </w:r>
        <w:r>
          <w:rPr>
            <w:spacing w:val="40"/>
            <w:vertAlign w:val="baseline"/>
          </w:rPr>
          <w:t> </w:t>
        </w:r>
        <w:r>
          <w:rPr>
            <w:vertAlign w:val="baseline"/>
          </w:rPr>
          <w:t>there is an effective deterrent, as in the </w:t>
        </w:r>
        <w:r>
          <w:rPr>
            <w:rFonts w:ascii="Arial"/>
            <w:i/>
            <w:vertAlign w:val="baseline"/>
          </w:rPr>
          <w:t>ParkingEye </w:t>
        </w:r>
        <w:r>
          <w:rPr>
            <w:vertAlign w:val="baseline"/>
          </w:rPr>
          <w:t>case, and damages will not provide an adequate sanction, there is a legitimate interest in deterrence and a sum that is designed to deter will not be </w:t>
        </w:r>
        <w:bookmarkStart w:name="_bookmark2095" w:id="2097"/>
        <w:bookmarkEnd w:id="2097"/>
        <w:r>
          <w:rPr>
            <w:vertAlign w:val="baseline"/>
          </w:rPr>
          <w:t>penal,</w:t>
        </w:r>
        <w:r>
          <w:rPr>
            <w:spacing w:val="46"/>
            <w:vertAlign w:val="baseline"/>
          </w:rPr>
          <w:t> </w:t>
        </w:r>
        <w:r>
          <w:rPr>
            <w:vertAlign w:val="baseline"/>
          </w:rPr>
          <w:t>provided</w:t>
        </w:r>
        <w:r>
          <w:rPr>
            <w:spacing w:val="46"/>
            <w:vertAlign w:val="baseline"/>
          </w:rPr>
          <w:t> </w:t>
        </w:r>
        <w:r>
          <w:rPr>
            <w:vertAlign w:val="baseline"/>
          </w:rPr>
          <w:t>that</w:t>
        </w:r>
        <w:r>
          <w:rPr>
            <w:spacing w:val="46"/>
            <w:vertAlign w:val="baseline"/>
          </w:rPr>
          <w:t> </w:t>
        </w:r>
        <w:r>
          <w:rPr>
            <w:vertAlign w:val="baseline"/>
          </w:rPr>
          <w:t>it</w:t>
        </w:r>
        <w:r>
          <w:rPr>
            <w:spacing w:val="46"/>
            <w:vertAlign w:val="baseline"/>
          </w:rPr>
          <w:t> </w:t>
        </w:r>
        <w:r>
          <w:rPr>
            <w:vertAlign w:val="baseline"/>
          </w:rPr>
          <w:t>is</w:t>
        </w:r>
        <w:r>
          <w:rPr>
            <w:spacing w:val="46"/>
            <w:vertAlign w:val="baseline"/>
          </w:rPr>
          <w:t> </w:t>
        </w:r>
        <w:r>
          <w:rPr>
            <w:vertAlign w:val="baseline"/>
          </w:rPr>
          <w:t>not</w:t>
        </w:r>
        <w:r>
          <w:rPr>
            <w:spacing w:val="46"/>
            <w:vertAlign w:val="baseline"/>
          </w:rPr>
          <w:t> </w:t>
        </w:r>
        <w:r>
          <w:rPr>
            <w:vertAlign w:val="baseline"/>
          </w:rPr>
          <w:t>extravagant</w:t>
        </w:r>
        <w:r>
          <w:rPr>
            <w:spacing w:val="46"/>
            <w:vertAlign w:val="baseline"/>
          </w:rPr>
          <w:t> </w:t>
        </w:r>
        <w:r>
          <w:rPr>
            <w:vertAlign w:val="baseline"/>
          </w:rPr>
          <w:t>or</w:t>
        </w:r>
        <w:r>
          <w:rPr>
            <w:spacing w:val="46"/>
            <w:vertAlign w:val="baseline"/>
          </w:rPr>
          <w:t> </w:t>
        </w:r>
        <w:r>
          <w:rPr>
            <w:vertAlign w:val="baseline"/>
          </w:rPr>
          <w:t>unconscionable</w:t>
        </w:r>
        <w:r>
          <w:rPr>
            <w:spacing w:val="46"/>
            <w:vertAlign w:val="baseline"/>
          </w:rPr>
          <w:t> </w:t>
        </w:r>
        <w:r>
          <w:rPr>
            <w:vertAlign w:val="baseline"/>
          </w:rPr>
          <w:t>compared</w:t>
        </w:r>
        <w:r>
          <w:rPr>
            <w:spacing w:val="46"/>
            <w:vertAlign w:val="baseline"/>
          </w:rPr>
          <w:t> </w:t>
        </w:r>
        <w:r>
          <w:rPr>
            <w:vertAlign w:val="baseline"/>
          </w:rPr>
          <w:t>to</w:t>
        </w:r>
        <w:r>
          <w:rPr>
            <w:spacing w:val="46"/>
            <w:vertAlign w:val="baseline"/>
          </w:rPr>
          <w:t> </w:t>
        </w:r>
        <w:r>
          <w:rPr>
            <w:vertAlign w:val="baseline"/>
          </w:rPr>
          <w:t>the</w:t>
        </w:r>
        <w:r>
          <w:rPr>
            <w:spacing w:val="46"/>
            <w:vertAlign w:val="baseline"/>
          </w:rPr>
          <w:t> </w:t>
        </w:r>
        <w:r>
          <w:rPr>
            <w:vertAlign w:val="baseline"/>
          </w:rPr>
          <w:t>relevant</w:t>
        </w:r>
        <w:r>
          <w:rPr>
            <w:spacing w:val="46"/>
            <w:vertAlign w:val="baseline"/>
          </w:rPr>
          <w:t> </w:t>
        </w:r>
        <w:r>
          <w:rPr>
            <w:spacing w:val="-2"/>
            <w:vertAlign w:val="baseline"/>
          </w:rPr>
          <w:t>legitimate</w:t>
        </w:r>
      </w:hyperlink>
    </w:p>
    <w:p>
      <w:pPr>
        <w:pStyle w:val="BodyText"/>
        <w:spacing w:line="235" w:lineRule="auto" w:before="117"/>
        <w:ind w:left="164" w:right="169"/>
        <w:jc w:val="both"/>
      </w:pPr>
      <w:r>
        <w:rPr/>
        <w:t>interest.</w:t>
      </w:r>
      <w:r>
        <w:rPr>
          <w:spacing w:val="-1"/>
        </w:rPr>
        <w:t> </w:t>
      </w:r>
      <w:hyperlink w:history="true" w:anchor="_bookmark2209">
        <w:r>
          <w:rPr>
            <w:color w:val="005DA1"/>
            <w:u w:val="single" w:color="005DA1"/>
            <w:vertAlign w:val="superscript"/>
          </w:rPr>
          <w:t>1120</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What</w:t>
        </w:r>
        <w:r>
          <w:rPr>
            <w:spacing w:val="-1"/>
            <w:vertAlign w:val="baseline"/>
          </w:rPr>
          <w:t> </w:t>
        </w:r>
        <w:r>
          <w:rPr>
            <w:vertAlign w:val="baseline"/>
          </w:rPr>
          <w:t>general</w:t>
        </w:r>
        <w:r>
          <w:rPr>
            <w:spacing w:val="-1"/>
            <w:vertAlign w:val="baseline"/>
          </w:rPr>
          <w:t> </w:t>
        </w:r>
        <w:r>
          <w:rPr>
            <w:vertAlign w:val="baseline"/>
          </w:rPr>
          <w:t>factors</w:t>
        </w:r>
        <w:r>
          <w:rPr>
            <w:spacing w:val="-1"/>
            <w:vertAlign w:val="baseline"/>
          </w:rPr>
          <w:t> </w:t>
        </w:r>
        <w:r>
          <w:rPr>
            <w:vertAlign w:val="baseline"/>
          </w:rPr>
          <w:t>are</w:t>
        </w:r>
        <w:r>
          <w:rPr>
            <w:spacing w:val="-1"/>
            <w:vertAlign w:val="baseline"/>
          </w:rPr>
          <w:t> </w:t>
        </w:r>
        <w:r>
          <w:rPr>
            <w:vertAlign w:val="baseline"/>
          </w:rPr>
          <w:t>relevant</w:t>
        </w:r>
        <w:r>
          <w:rPr>
            <w:spacing w:val="-1"/>
            <w:vertAlign w:val="baseline"/>
          </w:rPr>
          <w:t> </w:t>
        </w:r>
        <w:r>
          <w:rPr>
            <w:vertAlign w:val="baseline"/>
          </w:rPr>
          <w:t>to</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has</w:t>
        </w:r>
        <w:r>
          <w:rPr>
            <w:spacing w:val="-1"/>
            <w:vertAlign w:val="baseline"/>
          </w:rPr>
          <w:t> </w:t>
        </w:r>
        <w:r>
          <w:rPr>
            <w:vertAlign w:val="baseline"/>
          </w:rPr>
          <w:t>a</w:t>
        </w:r>
        <w:r>
          <w:rPr>
            <w:spacing w:val="-1"/>
            <w:vertAlign w:val="baseline"/>
          </w:rPr>
          <w:t> </w:t>
        </w:r>
        <w:r>
          <w:rPr>
            <w:vertAlign w:val="baseline"/>
          </w:rPr>
          <w:t>legitimate</w:t>
        </w:r>
        <w:r>
          <w:rPr>
            <w:spacing w:val="-1"/>
            <w:vertAlign w:val="baseline"/>
          </w:rPr>
          <w:t> </w:t>
        </w:r>
        <w:r>
          <w:rPr>
            <w:vertAlign w:val="baseline"/>
          </w:rPr>
          <w:t>interest</w:t>
        </w:r>
        <w:r>
          <w:rPr>
            <w:spacing w:val="-1"/>
            <w:vertAlign w:val="baseline"/>
          </w:rPr>
          <w:t> </w:t>
        </w:r>
        <w:r>
          <w:rPr>
            <w:vertAlign w:val="baseline"/>
          </w:rPr>
          <w:t>for this purpose?</w:t>
        </w:r>
      </w:hyperlink>
    </w:p>
    <w:p>
      <w:pPr>
        <w:pStyle w:val="BodyText"/>
      </w:pPr>
    </w:p>
    <w:p>
      <w:pPr>
        <w:pStyle w:val="BodyText"/>
        <w:spacing w:before="38"/>
      </w:pPr>
    </w:p>
    <w:p>
      <w:pPr>
        <w:spacing w:before="0"/>
        <w:ind w:left="164" w:right="0" w:firstLine="0"/>
        <w:jc w:val="both"/>
        <w:rPr>
          <w:rFonts w:ascii="Arial"/>
          <w:b/>
          <w:sz w:val="18"/>
        </w:rPr>
      </w:pPr>
      <w:r>
        <w:rPr>
          <w:rFonts w:ascii="Arial"/>
          <w:b/>
          <w:sz w:val="18"/>
        </w:rPr>
        <w:t>Difficulty of proving </w:t>
      </w:r>
      <w:r>
        <w:rPr>
          <w:rFonts w:ascii="Arial"/>
          <w:b/>
          <w:spacing w:val="-4"/>
          <w:sz w:val="18"/>
        </w:rPr>
        <w:t>loss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26-</w:t>
      </w:r>
      <w:r>
        <w:rPr>
          <w:rFonts w:ascii="Arial"/>
          <w:b/>
          <w:spacing w:val="-5"/>
          <w:sz w:val="24"/>
        </w:rPr>
        <w:t>199</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6"/>
        </w:rPr>
        <w:t> </w:t>
      </w:r>
      <w:bookmarkStart w:name="_bookmark2096" w:id="2098"/>
      <w:bookmarkEnd w:id="2098"/>
      <w:r>
        <w:rPr>
          <w:rFonts w:ascii="Times New Roman"/>
          <w:spacing w:val="-14"/>
        </w:rPr>
      </w:r>
      <w:r>
        <w:rPr/>
        <w:t>Lords</w:t>
      </w:r>
      <w:r>
        <w:rPr>
          <w:spacing w:val="32"/>
        </w:rPr>
        <w:t> </w:t>
      </w:r>
      <w:r>
        <w:rPr/>
        <w:t>Neuberger</w:t>
      </w:r>
      <w:r>
        <w:rPr>
          <w:spacing w:val="32"/>
        </w:rPr>
        <w:t> </w:t>
      </w:r>
      <w:r>
        <w:rPr/>
        <w:t>and</w:t>
      </w:r>
      <w:r>
        <w:rPr>
          <w:spacing w:val="32"/>
        </w:rPr>
        <w:t> </w:t>
      </w:r>
      <w:r>
        <w:rPr/>
        <w:t>Sumption</w:t>
      </w:r>
      <w:r>
        <w:rPr>
          <w:spacing w:val="32"/>
        </w:rPr>
        <w:t> </w:t>
      </w:r>
      <w:r>
        <w:rPr/>
        <w:t>referred</w:t>
      </w:r>
      <w:r>
        <w:rPr>
          <w:spacing w:val="32"/>
        </w:rPr>
        <w:t> </w:t>
      </w:r>
      <w:r>
        <w:rPr/>
        <w:t>to</w:t>
      </w:r>
      <w:r>
        <w:rPr>
          <w:spacing w:val="32"/>
        </w:rPr>
        <w:t> </w:t>
      </w:r>
      <w:r>
        <w:rPr/>
        <w:t>a</w:t>
      </w:r>
      <w:r>
        <w:rPr>
          <w:spacing w:val="32"/>
        </w:rPr>
        <w:t> </w:t>
      </w:r>
      <w:r>
        <w:rPr/>
        <w:t>legitimate</w:t>
      </w:r>
      <w:r>
        <w:rPr>
          <w:spacing w:val="32"/>
        </w:rPr>
        <w:t> </w:t>
      </w:r>
      <w:r>
        <w:rPr/>
        <w:t>interest</w:t>
      </w:r>
      <w:r>
        <w:rPr>
          <w:spacing w:val="32"/>
        </w:rPr>
        <w:t> </w:t>
      </w:r>
      <w:r>
        <w:rPr/>
        <w:t>in</w:t>
      </w:r>
      <w:r>
        <w:rPr>
          <w:spacing w:val="32"/>
        </w:rPr>
        <w:t> </w:t>
      </w:r>
      <w:r>
        <w:rPr/>
        <w:t>obtaining</w:t>
      </w:r>
      <w:r>
        <w:rPr>
          <w:spacing w:val="32"/>
        </w:rPr>
        <w:t> </w:t>
      </w:r>
      <w:r>
        <w:rPr/>
        <w:t>performance</w:t>
      </w:r>
      <w:r>
        <w:rPr>
          <w:spacing w:val="32"/>
        </w:rPr>
        <w:t> </w:t>
      </w:r>
      <w:r>
        <w:rPr/>
        <w:t>rather</w:t>
      </w:r>
    </w:p>
    <w:p>
      <w:pPr>
        <w:pStyle w:val="BodyText"/>
        <w:spacing w:line="235" w:lineRule="auto" w:before="119"/>
        <w:ind w:left="165" w:right="167"/>
        <w:jc w:val="both"/>
      </w:pPr>
      <w:r>
        <w:rPr/>
        <w:t>than merely damages </w:t>
      </w:r>
      <w:hyperlink w:history="true" w:anchor="_bookmark2210">
        <w:r>
          <w:rPr>
            <w:color w:val="005DA1"/>
            <w:u w:val="single" w:color="005DA1"/>
            <w:vertAlign w:val="superscript"/>
          </w:rPr>
          <w:t>1121</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vertAlign w:val="baseline"/>
          </w:rPr>
          <w:t>; and, in support of their argument that in fashioning the rules on remedies the law takes into account legitimate interests, referred to the rule that specific performance </w:t>
        </w:r>
        <w:bookmarkStart w:name="_bookmark2097" w:id="2099"/>
        <w:bookmarkEnd w:id="2099"/>
        <w:r>
          <w:rPr>
            <w:vertAlign w:val="baseline"/>
          </w:rPr>
          <w:t>may</w:t>
        </w:r>
        <w:r>
          <w:rPr>
            <w:spacing w:val="63"/>
            <w:vertAlign w:val="baseline"/>
          </w:rPr>
          <w:t> </w:t>
        </w:r>
        <w:r>
          <w:rPr>
            <w:vertAlign w:val="baseline"/>
          </w:rPr>
          <w:t>be</w:t>
        </w:r>
        <w:r>
          <w:rPr>
            <w:spacing w:val="63"/>
            <w:vertAlign w:val="baseline"/>
          </w:rPr>
          <w:t> </w:t>
        </w:r>
        <w:r>
          <w:rPr>
            <w:vertAlign w:val="baseline"/>
          </w:rPr>
          <w:t>available</w:t>
        </w:r>
        <w:r>
          <w:rPr>
            <w:spacing w:val="63"/>
            <w:vertAlign w:val="baseline"/>
          </w:rPr>
          <w:t> </w:t>
        </w:r>
        <w:r>
          <w:rPr>
            <w:vertAlign w:val="baseline"/>
          </w:rPr>
          <w:t>(subject</w:t>
        </w:r>
        <w:r>
          <w:rPr>
            <w:spacing w:val="63"/>
            <w:vertAlign w:val="baseline"/>
          </w:rPr>
          <w:t> </w:t>
        </w:r>
        <w:r>
          <w:rPr>
            <w:vertAlign w:val="baseline"/>
          </w:rPr>
          <w:t>to</w:t>
        </w:r>
        <w:r>
          <w:rPr>
            <w:spacing w:val="63"/>
            <w:vertAlign w:val="baseline"/>
          </w:rPr>
          <w:t> </w:t>
        </w:r>
        <w:r>
          <w:rPr>
            <w:vertAlign w:val="baseline"/>
          </w:rPr>
          <w:t>other</w:t>
        </w:r>
        <w:r>
          <w:rPr>
            <w:spacing w:val="63"/>
            <w:vertAlign w:val="baseline"/>
          </w:rPr>
          <w:t> </w:t>
        </w:r>
        <w:r>
          <w:rPr>
            <w:vertAlign w:val="baseline"/>
          </w:rPr>
          <w:t>constraints)</w:t>
        </w:r>
        <w:r>
          <w:rPr>
            <w:spacing w:val="63"/>
            <w:vertAlign w:val="baseline"/>
          </w:rPr>
          <w:t> </w:t>
        </w:r>
        <w:r>
          <w:rPr>
            <w:vertAlign w:val="baseline"/>
          </w:rPr>
          <w:t>if</w:t>
        </w:r>
        <w:r>
          <w:rPr>
            <w:spacing w:val="63"/>
            <w:vertAlign w:val="baseline"/>
          </w:rPr>
          <w:t> </w:t>
        </w:r>
        <w:r>
          <w:rPr>
            <w:vertAlign w:val="baseline"/>
          </w:rPr>
          <w:t>the</w:t>
        </w:r>
        <w:r>
          <w:rPr>
            <w:spacing w:val="63"/>
            <w:vertAlign w:val="baseline"/>
          </w:rPr>
          <w:t> </w:t>
        </w:r>
        <w:r>
          <w:rPr>
            <w:vertAlign w:val="baseline"/>
          </w:rPr>
          <w:t>innocent</w:t>
        </w:r>
        <w:r>
          <w:rPr>
            <w:spacing w:val="63"/>
            <w:vertAlign w:val="baseline"/>
          </w:rPr>
          <w:t> </w:t>
        </w:r>
        <w:r>
          <w:rPr>
            <w:vertAlign w:val="baseline"/>
          </w:rPr>
          <w:t>party</w:t>
        </w:r>
        <w:r>
          <w:rPr>
            <w:spacing w:val="63"/>
            <w:vertAlign w:val="baseline"/>
          </w:rPr>
          <w:t> </w:t>
        </w:r>
        <w:r>
          <w:rPr>
            <w:vertAlign w:val="baseline"/>
          </w:rPr>
          <w:t>has</w:t>
        </w:r>
        <w:r>
          <w:rPr>
            <w:spacing w:val="63"/>
            <w:vertAlign w:val="baseline"/>
          </w:rPr>
          <w:t> </w:t>
        </w:r>
        <w:r>
          <w:rPr>
            <w:vertAlign w:val="baseline"/>
          </w:rPr>
          <w:t>“a</w:t>
        </w:r>
        <w:r>
          <w:rPr>
            <w:spacing w:val="63"/>
            <w:vertAlign w:val="baseline"/>
          </w:rPr>
          <w:t> </w:t>
        </w:r>
        <w:r>
          <w:rPr>
            <w:vertAlign w:val="baseline"/>
          </w:rPr>
          <w:t>legitimate</w:t>
        </w:r>
        <w:r>
          <w:rPr>
            <w:spacing w:val="63"/>
            <w:vertAlign w:val="baseline"/>
          </w:rPr>
          <w:t> </w:t>
        </w:r>
        <w:r>
          <w:rPr>
            <w:spacing w:val="-2"/>
            <w:vertAlign w:val="baseline"/>
          </w:rPr>
          <w:t>interest</w:t>
        </w:r>
      </w:hyperlink>
    </w:p>
    <w:p>
      <w:pPr>
        <w:pStyle w:val="BodyText"/>
        <w:spacing w:line="235" w:lineRule="auto" w:before="119"/>
        <w:ind w:left="165" w:right="167"/>
        <w:jc w:val="both"/>
      </w:pPr>
      <w:r>
        <w:rPr/>
        <w:t>extending beyond pecuniary compensation for the breach”. </w:t>
      </w:r>
      <w:hyperlink w:history="true" w:anchor="_bookmark2211">
        <w:r>
          <w:rPr>
            <w:color w:val="005DA1"/>
            <w:u w:val="single" w:color="005DA1"/>
            <w:vertAlign w:val="superscript"/>
          </w:rPr>
          <w:t>1122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each of the cases before </w:t>
        </w:r>
        <w:r>
          <w:rPr>
            <w:vertAlign w:val="baseline"/>
          </w:rPr>
          <w:t>the </w:t>
        </w:r>
        <w:bookmarkStart w:name="_bookmark2098" w:id="2100"/>
        <w:bookmarkEnd w:id="2100"/>
        <w:r>
          <w:rPr>
            <w:vertAlign w:val="baseline"/>
          </w:rPr>
          <w:t>court,</w:t>
        </w:r>
        <w:r>
          <w:rPr>
            <w:spacing w:val="12"/>
            <w:vertAlign w:val="baseline"/>
          </w:rPr>
          <w:t> </w:t>
        </w:r>
        <w:r>
          <w:rPr>
            <w:vertAlign w:val="baseline"/>
          </w:rPr>
          <w:t>it</w:t>
        </w:r>
        <w:r>
          <w:rPr>
            <w:spacing w:val="14"/>
            <w:vertAlign w:val="baseline"/>
          </w:rPr>
          <w:t> </w:t>
        </w:r>
        <w:r>
          <w:rPr>
            <w:vertAlign w:val="baseline"/>
          </w:rPr>
          <w:t>seems</w:t>
        </w:r>
        <w:r>
          <w:rPr>
            <w:spacing w:val="14"/>
            <w:vertAlign w:val="baseline"/>
          </w:rPr>
          <w:t> </w:t>
        </w:r>
        <w:r>
          <w:rPr>
            <w:vertAlign w:val="baseline"/>
          </w:rPr>
          <w:t>that</w:t>
        </w:r>
        <w:r>
          <w:rPr>
            <w:spacing w:val="14"/>
            <w:vertAlign w:val="baseline"/>
          </w:rPr>
          <w:t> </w:t>
        </w:r>
        <w:r>
          <w:rPr>
            <w:vertAlign w:val="baseline"/>
          </w:rPr>
          <w:t>damages</w:t>
        </w:r>
        <w:r>
          <w:rPr>
            <w:spacing w:val="14"/>
            <w:vertAlign w:val="baseline"/>
          </w:rPr>
          <w:t> </w:t>
        </w:r>
        <w:r>
          <w:rPr>
            <w:vertAlign w:val="baseline"/>
          </w:rPr>
          <w:t>would</w:t>
        </w:r>
        <w:r>
          <w:rPr>
            <w:spacing w:val="14"/>
            <w:vertAlign w:val="baseline"/>
          </w:rPr>
          <w:t> </w:t>
        </w:r>
        <w:r>
          <w:rPr>
            <w:vertAlign w:val="baseline"/>
          </w:rPr>
          <w:t>not</w:t>
        </w:r>
        <w:r>
          <w:rPr>
            <w:spacing w:val="14"/>
            <w:vertAlign w:val="baseline"/>
          </w:rPr>
          <w:t> </w:t>
        </w:r>
        <w:r>
          <w:rPr>
            <w:vertAlign w:val="baseline"/>
          </w:rPr>
          <w:t>be</w:t>
        </w:r>
        <w:r>
          <w:rPr>
            <w:spacing w:val="14"/>
            <w:vertAlign w:val="baseline"/>
          </w:rPr>
          <w:t> </w:t>
        </w:r>
        <w:r>
          <w:rPr>
            <w:vertAlign w:val="baseline"/>
          </w:rPr>
          <w:t>adequate</w:t>
        </w:r>
        <w:r>
          <w:rPr>
            <w:spacing w:val="14"/>
            <w:vertAlign w:val="baseline"/>
          </w:rPr>
          <w:t> </w:t>
        </w:r>
        <w:r>
          <w:rPr>
            <w:vertAlign w:val="baseline"/>
          </w:rPr>
          <w:t>compensation,</w:t>
        </w:r>
        <w:r>
          <w:rPr>
            <w:spacing w:val="14"/>
            <w:vertAlign w:val="baseline"/>
          </w:rPr>
          <w:t> </w:t>
        </w:r>
        <w:r>
          <w:rPr>
            <w:vertAlign w:val="baseline"/>
          </w:rPr>
          <w:t>nor</w:t>
        </w:r>
        <w:r>
          <w:rPr>
            <w:spacing w:val="14"/>
            <w:vertAlign w:val="baseline"/>
          </w:rPr>
          <w:t> </w:t>
        </w:r>
        <w:r>
          <w:rPr>
            <w:vertAlign w:val="baseline"/>
          </w:rPr>
          <w:t>be</w:t>
        </w:r>
        <w:r>
          <w:rPr>
            <w:spacing w:val="14"/>
            <w:vertAlign w:val="baseline"/>
          </w:rPr>
          <w:t> </w:t>
        </w:r>
        <w:r>
          <w:rPr>
            <w:vertAlign w:val="baseline"/>
          </w:rPr>
          <w:t>adequate</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spacing w:val="-2"/>
            <w:vertAlign w:val="baseline"/>
          </w:rPr>
          <w:t>deterrent</w:t>
        </w:r>
      </w:hyperlink>
    </w:p>
    <w:p>
      <w:pPr>
        <w:pStyle w:val="BodyText"/>
        <w:spacing w:line="227" w:lineRule="exact" w:before="116"/>
        <w:ind w:left="165"/>
        <w:jc w:val="both"/>
        <w:rPr>
          <w:position w:val="-2"/>
        </w:rPr>
      </w:pPr>
      <w:bookmarkStart w:name="_bookmark2099" w:id="2101"/>
      <w:bookmarkEnd w:id="2101"/>
      <w:r>
        <w:rPr/>
      </w:r>
      <w:r>
        <w:rPr/>
        <w:t>to</w:t>
      </w:r>
      <w:r>
        <w:rPr>
          <w:spacing w:val="21"/>
        </w:rPr>
        <w:t> </w:t>
      </w:r>
      <w:r>
        <w:rPr/>
        <w:t>breach,</w:t>
      </w:r>
      <w:r>
        <w:rPr>
          <w:spacing w:val="21"/>
        </w:rPr>
        <w:t> </w:t>
      </w:r>
      <w:r>
        <w:rPr/>
        <w:t>as</w:t>
      </w:r>
      <w:r>
        <w:rPr>
          <w:spacing w:val="21"/>
        </w:rPr>
        <w:t> </w:t>
      </w:r>
      <w:r>
        <w:rPr/>
        <w:t>it</w:t>
      </w:r>
      <w:r>
        <w:rPr>
          <w:spacing w:val="21"/>
        </w:rPr>
        <w:t> </w:t>
      </w:r>
      <w:r>
        <w:rPr/>
        <w:t>would</w:t>
      </w:r>
      <w:r>
        <w:rPr>
          <w:spacing w:val="21"/>
        </w:rPr>
        <w:t> </w:t>
      </w:r>
      <w:r>
        <w:rPr/>
        <w:t>be</w:t>
      </w:r>
      <w:r>
        <w:rPr>
          <w:spacing w:val="21"/>
        </w:rPr>
        <w:t> </w:t>
      </w:r>
      <w:r>
        <w:rPr/>
        <w:t>hard</w:t>
      </w:r>
      <w:r>
        <w:rPr>
          <w:spacing w:val="21"/>
        </w:rPr>
        <w:t> </w:t>
      </w:r>
      <w:r>
        <w:rPr/>
        <w:t>to</w:t>
      </w:r>
      <w:r>
        <w:rPr>
          <w:spacing w:val="21"/>
        </w:rPr>
        <w:t> </w:t>
      </w:r>
      <w:r>
        <w:rPr/>
        <w:t>prove</w:t>
      </w:r>
      <w:r>
        <w:rPr>
          <w:spacing w:val="21"/>
        </w:rPr>
        <w:t> </w:t>
      </w:r>
      <w:r>
        <w:rPr/>
        <w:t>what</w:t>
      </w:r>
      <w:r>
        <w:rPr>
          <w:spacing w:val="21"/>
        </w:rPr>
        <w:t> </w:t>
      </w:r>
      <w:r>
        <w:rPr/>
        <w:t>loss,</w:t>
      </w:r>
      <w:r>
        <w:rPr>
          <w:spacing w:val="21"/>
        </w:rPr>
        <w:t> </w:t>
      </w:r>
      <w:r>
        <w:rPr/>
        <w:t>if</w:t>
      </w:r>
      <w:r>
        <w:rPr>
          <w:spacing w:val="21"/>
        </w:rPr>
        <w:t> </w:t>
      </w:r>
      <w:r>
        <w:rPr/>
        <w:t>any,</w:t>
      </w:r>
      <w:r>
        <w:rPr>
          <w:spacing w:val="21"/>
        </w:rPr>
        <w:t> </w:t>
      </w:r>
      <w:r>
        <w:rPr/>
        <w:t>flowed</w:t>
      </w:r>
      <w:r>
        <w:rPr>
          <w:spacing w:val="21"/>
        </w:rPr>
        <w:t> </w:t>
      </w:r>
      <w:r>
        <w:rPr/>
        <w:t>from</w:t>
      </w:r>
      <w:r>
        <w:rPr>
          <w:spacing w:val="21"/>
        </w:rPr>
        <w:t> </w:t>
      </w:r>
      <w:r>
        <w:rPr/>
        <w:t>any</w:t>
      </w:r>
      <w:r>
        <w:rPr>
          <w:spacing w:val="21"/>
        </w:rPr>
        <w:t> </w:t>
      </w:r>
      <w:r>
        <w:rPr/>
        <w:t>particular</w:t>
      </w:r>
      <w:r>
        <w:rPr>
          <w:spacing w:val="21"/>
        </w:rPr>
        <w:t> </w:t>
      </w:r>
      <w:r>
        <w:rPr/>
        <w:t>breach.</w:t>
      </w:r>
      <w:r>
        <w:rPr>
          <w:spacing w:val="20"/>
        </w:rPr>
        <w:t> </w:t>
      </w:r>
      <w:hyperlink w:history="true" w:anchor="_bookmark2212">
        <w:r>
          <w:rPr>
            <w:color w:val="005DA1"/>
            <w:u w:val="single" w:color="005DA1"/>
            <w:vertAlign w:val="superscript"/>
          </w:rPr>
          <w:t>1123</w:t>
        </w:r>
        <w:r>
          <w:rPr>
            <w:color w:val="005DA1"/>
            <w:spacing w:val="61"/>
            <w:vertAlign w:val="baseline"/>
          </w:rPr>
          <w:t>  </w:t>
        </w:r>
        <w:r>
          <w:rPr>
            <w:color w:val="005DA1"/>
            <w:spacing w:val="-6"/>
            <w:position w:val="-2"/>
            <w:vertAlign w:val="baseline"/>
          </w:rPr>
          <w:drawing>
            <wp:inline distT="0" distB="0" distL="0" distR="0">
              <wp:extent cx="107988" cy="107988"/>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hyperlink>
    </w:p>
    <w:p>
      <w:pPr>
        <w:spacing w:line="227" w:lineRule="exact" w:before="0"/>
        <w:ind w:left="165" w:right="0" w:firstLine="0"/>
        <w:jc w:val="both"/>
        <w:rPr>
          <w:sz w:val="20"/>
        </w:rPr>
      </w:pPr>
      <w:r>
        <w:rPr>
          <w:sz w:val="20"/>
        </w:rPr>
        <w:t>The</w:t>
      </w:r>
      <w:r>
        <w:rPr>
          <w:spacing w:val="13"/>
          <w:sz w:val="20"/>
        </w:rPr>
        <w:t> </w:t>
      </w:r>
      <w:r>
        <w:rPr>
          <w:sz w:val="20"/>
        </w:rPr>
        <w:t>same</w:t>
      </w:r>
      <w:r>
        <w:rPr>
          <w:spacing w:val="13"/>
          <w:sz w:val="20"/>
        </w:rPr>
        <w:t> </w:t>
      </w:r>
      <w:r>
        <w:rPr>
          <w:sz w:val="20"/>
        </w:rPr>
        <w:t>was</w:t>
      </w:r>
      <w:r>
        <w:rPr>
          <w:spacing w:val="13"/>
          <w:sz w:val="20"/>
        </w:rPr>
        <w:t> </w:t>
      </w:r>
      <w:r>
        <w:rPr>
          <w:sz w:val="20"/>
        </w:rPr>
        <w:t>true</w:t>
      </w:r>
      <w:r>
        <w:rPr>
          <w:spacing w:val="13"/>
          <w:sz w:val="20"/>
        </w:rPr>
        <w:t> </w:t>
      </w:r>
      <w:r>
        <w:rPr>
          <w:sz w:val="20"/>
        </w:rPr>
        <w:t>in</w:t>
      </w:r>
      <w:r>
        <w:rPr>
          <w:spacing w:val="13"/>
          <w:sz w:val="20"/>
        </w:rPr>
        <w:t> </w:t>
      </w:r>
      <w:r>
        <w:rPr>
          <w:sz w:val="20"/>
        </w:rPr>
        <w:t>the</w:t>
      </w:r>
      <w:r>
        <w:rPr>
          <w:spacing w:val="13"/>
          <w:sz w:val="20"/>
        </w:rPr>
        <w:t> </w:t>
      </w:r>
      <w:r>
        <w:rPr>
          <w:sz w:val="20"/>
        </w:rPr>
        <w:t>case</w:t>
      </w:r>
      <w:r>
        <w:rPr>
          <w:spacing w:val="13"/>
          <w:sz w:val="20"/>
        </w:rPr>
        <w:t> </w:t>
      </w:r>
      <w:r>
        <w:rPr>
          <w:sz w:val="20"/>
        </w:rPr>
        <w:t>of</w:t>
      </w:r>
      <w:r>
        <w:rPr>
          <w:spacing w:val="13"/>
          <w:sz w:val="20"/>
        </w:rPr>
        <w:t> </w:t>
      </w:r>
      <w:r>
        <w:rPr>
          <w:sz w:val="20"/>
        </w:rPr>
        <w:t>in</w:t>
      </w:r>
      <w:r>
        <w:rPr>
          <w:spacing w:val="13"/>
          <w:sz w:val="20"/>
        </w:rPr>
        <w:t> </w:t>
      </w:r>
      <w:r>
        <w:rPr>
          <w:rFonts w:ascii="Arial"/>
          <w:i/>
          <w:sz w:val="20"/>
        </w:rPr>
        <w:t>Dunlop</w:t>
      </w:r>
      <w:r>
        <w:rPr>
          <w:rFonts w:ascii="Arial"/>
          <w:i/>
          <w:spacing w:val="13"/>
          <w:sz w:val="20"/>
        </w:rPr>
        <w:t> </w:t>
      </w:r>
      <w:r>
        <w:rPr>
          <w:rFonts w:ascii="Arial"/>
          <w:i/>
          <w:sz w:val="20"/>
        </w:rPr>
        <w:t>Pneumatic</w:t>
      </w:r>
      <w:r>
        <w:rPr>
          <w:rFonts w:ascii="Arial"/>
          <w:i/>
          <w:spacing w:val="13"/>
          <w:sz w:val="20"/>
        </w:rPr>
        <w:t> </w:t>
      </w:r>
      <w:r>
        <w:rPr>
          <w:rFonts w:ascii="Arial"/>
          <w:i/>
          <w:sz w:val="20"/>
        </w:rPr>
        <w:t>Tyre</w:t>
      </w:r>
      <w:r>
        <w:rPr>
          <w:rFonts w:ascii="Arial"/>
          <w:i/>
          <w:spacing w:val="13"/>
          <w:sz w:val="20"/>
        </w:rPr>
        <w:t> </w:t>
      </w:r>
      <w:r>
        <w:rPr>
          <w:rFonts w:ascii="Arial"/>
          <w:i/>
          <w:sz w:val="20"/>
        </w:rPr>
        <w:t>Co</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New</w:t>
      </w:r>
      <w:r>
        <w:rPr>
          <w:rFonts w:ascii="Arial"/>
          <w:i/>
          <w:spacing w:val="13"/>
          <w:sz w:val="20"/>
        </w:rPr>
        <w:t> </w:t>
      </w:r>
      <w:r>
        <w:rPr>
          <w:rFonts w:ascii="Arial"/>
          <w:i/>
          <w:sz w:val="20"/>
        </w:rPr>
        <w:t>Garage</w:t>
      </w:r>
      <w:r>
        <w:rPr>
          <w:rFonts w:ascii="Arial"/>
          <w:i/>
          <w:spacing w:val="13"/>
          <w:sz w:val="20"/>
        </w:rPr>
        <w:t> </w:t>
      </w:r>
      <w:r>
        <w:rPr>
          <w:rFonts w:ascii="Arial"/>
          <w:i/>
          <w:sz w:val="20"/>
        </w:rPr>
        <w:t>&amp;</w:t>
      </w:r>
      <w:r>
        <w:rPr>
          <w:rFonts w:ascii="Arial"/>
          <w:i/>
          <w:spacing w:val="13"/>
          <w:sz w:val="20"/>
        </w:rPr>
        <w:t> </w:t>
      </w:r>
      <w:r>
        <w:rPr>
          <w:rFonts w:ascii="Arial"/>
          <w:i/>
          <w:sz w:val="20"/>
        </w:rPr>
        <w:t>Motor</w:t>
      </w:r>
      <w:r>
        <w:rPr>
          <w:rFonts w:ascii="Arial"/>
          <w:i/>
          <w:spacing w:val="13"/>
          <w:sz w:val="20"/>
        </w:rPr>
        <w:t> </w:t>
      </w:r>
      <w:r>
        <w:rPr>
          <w:rFonts w:ascii="Arial"/>
          <w:i/>
          <w:sz w:val="20"/>
        </w:rPr>
        <w:t>Co</w:t>
      </w:r>
      <w:r>
        <w:rPr>
          <w:rFonts w:ascii="Arial"/>
          <w:i/>
          <w:spacing w:val="13"/>
          <w:sz w:val="20"/>
        </w:rPr>
        <w:t> </w:t>
      </w:r>
      <w:r>
        <w:rPr>
          <w:rFonts w:ascii="Arial"/>
          <w:i/>
          <w:spacing w:val="-4"/>
          <w:sz w:val="20"/>
        </w:rPr>
        <w:t>Ltd</w:t>
      </w:r>
      <w:r>
        <w:rPr>
          <w:spacing w:val="-4"/>
          <w:sz w:val="20"/>
        </w:rPr>
        <w:t>,</w:t>
      </w:r>
    </w:p>
    <w:p>
      <w:pPr>
        <w:pStyle w:val="BodyText"/>
        <w:spacing w:before="115"/>
        <w:ind w:left="165"/>
        <w:jc w:val="both"/>
      </w:pPr>
      <w:hyperlink w:history="true" w:anchor="_bookmark2213">
        <w:r>
          <w:rPr>
            <w:color w:val="005DA1"/>
            <w:u w:val="single" w:color="005DA1"/>
            <w:vertAlign w:val="superscript"/>
          </w:rPr>
          <w:t>1124</w:t>
        </w:r>
        <w:r>
          <w:rPr>
            <w:color w:val="005DA1"/>
            <w:spacing w:val="79"/>
            <w:w w:val="150"/>
            <w:vertAlign w:val="baseline"/>
          </w:rPr>
          <w:t> </w:t>
        </w:r>
        <w:r>
          <w:rPr>
            <w:color w:val="005DA1"/>
            <w:position w:val="-2"/>
            <w:vertAlign w:val="baseline"/>
          </w:rPr>
          <w:drawing>
            <wp:inline distT="0" distB="0" distL="0" distR="0">
              <wp:extent cx="107988" cy="107988"/>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a</w:t>
        </w:r>
        <w:r>
          <w:rPr>
            <w:spacing w:val="-2"/>
            <w:vertAlign w:val="baseline"/>
          </w:rPr>
          <w:t> </w:t>
        </w:r>
        <w:r>
          <w:rPr>
            <w:vertAlign w:val="baseline"/>
          </w:rPr>
          <w:t>payment</w:t>
        </w:r>
        <w:r>
          <w:rPr>
            <w:spacing w:val="-1"/>
            <w:vertAlign w:val="baseline"/>
          </w:rPr>
          <w:t> </w:t>
        </w:r>
        <w:r>
          <w:rPr>
            <w:vertAlign w:val="baseline"/>
          </w:rPr>
          <w:t>of</w:t>
        </w:r>
        <w:r>
          <w:rPr>
            <w:spacing w:val="-1"/>
            <w:vertAlign w:val="baseline"/>
          </w:rPr>
          <w:t> </w:t>
        </w:r>
        <w:r>
          <w:rPr>
            <w:vertAlign w:val="baseline"/>
          </w:rPr>
          <w:t>£5</w:t>
        </w:r>
        <w:r>
          <w:rPr>
            <w:spacing w:val="-1"/>
            <w:vertAlign w:val="baseline"/>
          </w:rPr>
          <w:t> </w:t>
        </w:r>
        <w:r>
          <w:rPr>
            <w:vertAlign w:val="baseline"/>
          </w:rPr>
          <w:t>per</w:t>
        </w:r>
        <w:r>
          <w:rPr>
            <w:spacing w:val="-2"/>
            <w:vertAlign w:val="baseline"/>
          </w:rPr>
          <w:t> </w:t>
        </w:r>
        <w:r>
          <w:rPr>
            <w:vertAlign w:val="baseline"/>
          </w:rPr>
          <w:t>tyre</w:t>
        </w:r>
        <w:r>
          <w:rPr>
            <w:spacing w:val="-1"/>
            <w:vertAlign w:val="baseline"/>
          </w:rPr>
          <w:t> </w:t>
        </w:r>
        <w:r>
          <w:rPr>
            <w:vertAlign w:val="baseline"/>
          </w:rPr>
          <w:t>sold</w:t>
        </w:r>
        <w:r>
          <w:rPr>
            <w:spacing w:val="-1"/>
            <w:vertAlign w:val="baseline"/>
          </w:rPr>
          <w:t> </w:t>
        </w:r>
        <w:r>
          <w:rPr>
            <w:vertAlign w:val="baseline"/>
          </w:rPr>
          <w:t>at</w:t>
        </w:r>
        <w:r>
          <w:rPr>
            <w:spacing w:val="-1"/>
            <w:vertAlign w:val="baseline"/>
          </w:rPr>
          <w:t> </w:t>
        </w:r>
        <w:r>
          <w:rPr>
            <w:vertAlign w:val="baseline"/>
          </w:rPr>
          <w:t>below</w:t>
        </w:r>
        <w:r>
          <w:rPr>
            <w:spacing w:val="-1"/>
            <w:vertAlign w:val="baseline"/>
          </w:rPr>
          <w:t> </w:t>
        </w:r>
        <w:r>
          <w:rPr>
            <w:vertAlign w:val="baseline"/>
          </w:rPr>
          <w:t>the</w:t>
        </w:r>
        <w:r>
          <w:rPr>
            <w:spacing w:val="-2"/>
            <w:vertAlign w:val="baseline"/>
          </w:rPr>
          <w:t> </w:t>
        </w:r>
        <w:r>
          <w:rPr>
            <w:vertAlign w:val="baseline"/>
          </w:rPr>
          <w:t>list</w:t>
        </w:r>
        <w:r>
          <w:rPr>
            <w:spacing w:val="-1"/>
            <w:vertAlign w:val="baseline"/>
          </w:rPr>
          <w:t> </w:t>
        </w:r>
        <w:r>
          <w:rPr>
            <w:vertAlign w:val="baseline"/>
          </w:rPr>
          <w:t>price</w:t>
        </w:r>
        <w:r>
          <w:rPr>
            <w:spacing w:val="-1"/>
            <w:vertAlign w:val="baseline"/>
          </w:rPr>
          <w:t> </w:t>
        </w:r>
        <w:r>
          <w:rPr>
            <w:vertAlign w:val="baseline"/>
          </w:rPr>
          <w:t>was</w:t>
        </w:r>
        <w:r>
          <w:rPr>
            <w:spacing w:val="-1"/>
            <w:vertAlign w:val="baseline"/>
          </w:rPr>
          <w:t> </w:t>
        </w:r>
        <w:r>
          <w:rPr>
            <w:spacing w:val="-2"/>
            <w:vertAlign w:val="baseline"/>
          </w:rPr>
          <w:t>upheld.</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Difficulty in </w:t>
      </w:r>
      <w:r>
        <w:rPr>
          <w:rFonts w:ascii="Arial"/>
          <w:b/>
          <w:spacing w:val="-2"/>
          <w:sz w:val="18"/>
        </w:rPr>
        <w:t>detection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200</w:t>
      </w:r>
    </w:p>
    <w:p>
      <w:pPr>
        <w:pStyle w:val="BodyText"/>
        <w:spacing w:before="89"/>
        <w:rPr>
          <w:rFonts w:ascii="Arial"/>
          <w:b/>
        </w:rPr>
      </w:pPr>
    </w:p>
    <w:p>
      <w:pPr>
        <w:pStyle w:val="BodyText"/>
        <w:spacing w:line="360" w:lineRule="auto"/>
        <w:ind w:left="165" w:right="206"/>
        <w:rPr>
          <w:position w:val="-2"/>
        </w:rPr>
      </w:pPr>
      <w:r>
        <w:rPr>
          <w:position w:val="-2"/>
        </w:rPr>
        <w:drawing>
          <wp:inline distT="0" distB="0" distL="0" distR="0">
            <wp:extent cx="107988" cy="107988"/>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2100" w:id="2102"/>
      <w:bookmarkEnd w:id="2102"/>
      <w:r>
        <w:rPr>
          <w:rFonts w:ascii="Times New Roman"/>
          <w:spacing w:val="18"/>
        </w:rPr>
      </w:r>
      <w:r>
        <w:rPr/>
        <w:t>A related factor is that damages for each individual breach will not be an effective remedy if it will</w:t>
      </w:r>
      <w:r>
        <w:rPr>
          <w:spacing w:val="40"/>
        </w:rPr>
        <w:t> </w:t>
      </w:r>
      <w:r>
        <w:rPr/>
        <w:t>be hard for the claimant to detect breaches by the defendant. </w:t>
      </w:r>
      <w:hyperlink w:history="true" w:anchor="_bookmark2214">
        <w:r>
          <w:rPr>
            <w:color w:val="005DA1"/>
            <w:u w:val="single" w:color="005DA1"/>
            <w:vertAlign w:val="superscript"/>
          </w:rPr>
          <w:t>1125</w:t>
        </w:r>
        <w:r>
          <w:rPr>
            <w:color w:val="005DA1"/>
            <w:spacing w:val="80"/>
            <w:vertAlign w:val="baseline"/>
          </w:rPr>
          <w:t> </w:t>
        </w:r>
        <w:r>
          <w:rPr>
            <w:color w:val="005DA1"/>
            <w:position w:val="-2"/>
            <w:vertAlign w:val="baseline"/>
          </w:rPr>
          <w:drawing>
            <wp:inline distT="0" distB="0" distL="0" distR="0">
              <wp:extent cx="107988" cy="107988"/>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6"/>
        <w:rPr>
          <w:sz w:val="18"/>
        </w:rPr>
      </w:pPr>
    </w:p>
    <w:p>
      <w:pPr>
        <w:spacing w:before="0"/>
        <w:ind w:left="165" w:right="0" w:firstLine="0"/>
        <w:jc w:val="left"/>
        <w:rPr>
          <w:rFonts w:ascii="Arial"/>
          <w:b/>
          <w:sz w:val="18"/>
        </w:rPr>
      </w:pPr>
      <w:r>
        <w:rPr>
          <w:rFonts w:ascii="Arial"/>
          <w:b/>
          <w:sz w:val="18"/>
        </w:rPr>
        <w:t>Substitute not </w:t>
      </w:r>
      <w:r>
        <w:rPr>
          <w:rFonts w:ascii="Arial"/>
          <w:b/>
          <w:spacing w:val="-2"/>
          <w:sz w:val="18"/>
        </w:rPr>
        <w:t>available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201</w:t>
      </w:r>
    </w:p>
    <w:p>
      <w:pPr>
        <w:spacing w:after="0"/>
        <w:jc w:val="left"/>
        <w:rPr>
          <w:rFonts w:ascii="Arial"/>
          <w:b/>
          <w:sz w:val="24"/>
        </w:rPr>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101" w:id="2103"/>
      <w:bookmarkEnd w:id="2103"/>
      <w:r>
        <w:rPr>
          <w:rFonts w:ascii="Times New Roman"/>
          <w:spacing w:val="23"/>
        </w:rPr>
      </w:r>
      <w:r>
        <w:rPr/>
        <w:t>The analogy drawn with specific performance indicates that it would also suffice that the contract was</w:t>
      </w:r>
      <w:r>
        <w:rPr>
          <w:spacing w:val="4"/>
        </w:rPr>
        <w:t> </w:t>
      </w:r>
      <w:r>
        <w:rPr/>
        <w:t>for</w:t>
      </w:r>
      <w:r>
        <w:rPr>
          <w:spacing w:val="4"/>
        </w:rPr>
        <w:t> </w:t>
      </w:r>
      <w:r>
        <w:rPr/>
        <w:t>a</w:t>
      </w:r>
      <w:r>
        <w:rPr>
          <w:spacing w:val="4"/>
        </w:rPr>
        <w:t> </w:t>
      </w:r>
      <w:r>
        <w:rPr/>
        <w:t>unique</w:t>
      </w:r>
      <w:r>
        <w:rPr>
          <w:spacing w:val="4"/>
        </w:rPr>
        <w:t> </w:t>
      </w:r>
      <w:r>
        <w:rPr/>
        <w:t>piece</w:t>
      </w:r>
      <w:r>
        <w:rPr>
          <w:spacing w:val="4"/>
        </w:rPr>
        <w:t> </w:t>
      </w:r>
      <w:r>
        <w:rPr/>
        <w:t>of</w:t>
      </w:r>
      <w:r>
        <w:rPr>
          <w:spacing w:val="4"/>
        </w:rPr>
        <w:t> </w:t>
      </w:r>
      <w:r>
        <w:rPr/>
        <w:t>property,</w:t>
      </w:r>
      <w:r>
        <w:rPr>
          <w:spacing w:val="4"/>
        </w:rPr>
        <w:t> </w:t>
      </w:r>
      <w:r>
        <w:rPr/>
        <w:t>so</w:t>
      </w:r>
      <w:r>
        <w:rPr>
          <w:spacing w:val="4"/>
        </w:rPr>
        <w:t> </w:t>
      </w:r>
      <w:r>
        <w:rPr/>
        <w:t>that</w:t>
      </w:r>
      <w:r>
        <w:rPr>
          <w:spacing w:val="4"/>
        </w:rPr>
        <w:t> </w:t>
      </w:r>
      <w:r>
        <w:rPr/>
        <w:t>the</w:t>
      </w:r>
      <w:r>
        <w:rPr>
          <w:spacing w:val="4"/>
        </w:rPr>
        <w:t> </w:t>
      </w:r>
      <w:r>
        <w:rPr/>
        <w:t>claimant</w:t>
      </w:r>
      <w:r>
        <w:rPr>
          <w:spacing w:val="4"/>
        </w:rPr>
        <w:t> </w:t>
      </w:r>
      <w:r>
        <w:rPr/>
        <w:t>would</w:t>
      </w:r>
      <w:r>
        <w:rPr>
          <w:spacing w:val="4"/>
        </w:rPr>
        <w:t> </w:t>
      </w:r>
      <w:r>
        <w:rPr/>
        <w:t>be</w:t>
      </w:r>
      <w:r>
        <w:rPr>
          <w:spacing w:val="4"/>
        </w:rPr>
        <w:t> </w:t>
      </w:r>
      <w:r>
        <w:rPr/>
        <w:t>unable</w:t>
      </w:r>
      <w:r>
        <w:rPr>
          <w:spacing w:val="4"/>
        </w:rPr>
        <w:t> </w:t>
      </w:r>
      <w:r>
        <w:rPr/>
        <w:t>to</w:t>
      </w:r>
      <w:r>
        <w:rPr>
          <w:spacing w:val="4"/>
        </w:rPr>
        <w:t> </w:t>
      </w:r>
      <w:r>
        <w:rPr/>
        <w:t>purchase</w:t>
      </w:r>
      <w:r>
        <w:rPr>
          <w:spacing w:val="4"/>
        </w:rPr>
        <w:t> </w:t>
      </w:r>
      <w:r>
        <w:rPr/>
        <w:t>a</w:t>
      </w:r>
      <w:r>
        <w:rPr>
          <w:spacing w:val="4"/>
        </w:rPr>
        <w:t> </w:t>
      </w:r>
      <w:r>
        <w:rPr/>
        <w:t>substitute.</w:t>
      </w:r>
      <w:r>
        <w:rPr>
          <w:spacing w:val="3"/>
        </w:rPr>
        <w:t> </w:t>
      </w:r>
      <w:r>
        <w:rPr>
          <w:color w:val="005DA1"/>
          <w:spacing w:val="-5"/>
          <w:u w:val="single" w:color="005DA1"/>
          <w:vertAlign w:val="superscript"/>
        </w:rPr>
        <w:t>1126</w:t>
      </w:r>
    </w:p>
    <w:p>
      <w:pPr>
        <w:pStyle w:val="BodyText"/>
        <w:spacing w:before="116"/>
        <w:ind w:left="165" w:firstLine="178"/>
      </w:pPr>
      <w:r>
        <w:rPr>
          <w:position w:val="-2"/>
        </w:rPr>
        <w:drawing>
          <wp:inline distT="0" distB="0" distL="0" distR="0">
            <wp:extent cx="107988" cy="107988"/>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9"/>
        </w:rPr>
        <w:t> </w:t>
      </w:r>
      <w:bookmarkStart w:name="_bookmark2102" w:id="2104"/>
      <w:bookmarkEnd w:id="2104"/>
      <w:r>
        <w:rPr>
          <w:rFonts w:ascii="Times New Roman"/>
          <w:spacing w:val="-11"/>
        </w:rPr>
      </w:r>
      <w:r>
        <w:rPr/>
        <w:t>The</w:t>
      </w:r>
      <w:r>
        <w:rPr>
          <w:spacing w:val="36"/>
        </w:rPr>
        <w:t> </w:t>
      </w:r>
      <w:r>
        <w:rPr/>
        <w:t>case</w:t>
      </w:r>
      <w:r>
        <w:rPr>
          <w:spacing w:val="36"/>
        </w:rPr>
        <w:t> </w:t>
      </w:r>
      <w:r>
        <w:rPr/>
        <w:t>would</w:t>
      </w:r>
      <w:r>
        <w:rPr>
          <w:spacing w:val="36"/>
        </w:rPr>
        <w:t> </w:t>
      </w:r>
      <w:r>
        <w:rPr/>
        <w:t>presumably</w:t>
      </w:r>
      <w:r>
        <w:rPr>
          <w:spacing w:val="36"/>
        </w:rPr>
        <w:t> </w:t>
      </w:r>
      <w:r>
        <w:rPr/>
        <w:t>be</w:t>
      </w:r>
      <w:r>
        <w:rPr>
          <w:spacing w:val="36"/>
        </w:rPr>
        <w:t> </w:t>
      </w:r>
      <w:r>
        <w:rPr/>
        <w:t>even</w:t>
      </w:r>
      <w:r>
        <w:rPr>
          <w:spacing w:val="36"/>
        </w:rPr>
        <w:t> </w:t>
      </w:r>
      <w:r>
        <w:rPr/>
        <w:t>stronger</w:t>
      </w:r>
      <w:r>
        <w:rPr>
          <w:spacing w:val="36"/>
        </w:rPr>
        <w:t> </w:t>
      </w:r>
      <w:r>
        <w:rPr/>
        <w:t>if</w:t>
      </w:r>
      <w:r>
        <w:rPr>
          <w:spacing w:val="36"/>
        </w:rPr>
        <w:t> </w:t>
      </w:r>
      <w:r>
        <w:rPr/>
        <w:t>the</w:t>
      </w:r>
      <w:r>
        <w:rPr>
          <w:spacing w:val="36"/>
        </w:rPr>
        <w:t> </w:t>
      </w:r>
      <w:r>
        <w:rPr/>
        <w:t>claimant</w:t>
      </w:r>
      <w:r>
        <w:rPr>
          <w:spacing w:val="36"/>
        </w:rPr>
        <w:t> </w:t>
      </w:r>
      <w:r>
        <w:rPr/>
        <w:t>might</w:t>
      </w:r>
      <w:r>
        <w:rPr>
          <w:spacing w:val="36"/>
        </w:rPr>
        <w:t> </w:t>
      </w:r>
      <w:r>
        <w:rPr/>
        <w:t>suffer</w:t>
      </w:r>
      <w:r>
        <w:rPr>
          <w:spacing w:val="36"/>
        </w:rPr>
        <w:t> </w:t>
      </w:r>
      <w:r>
        <w:rPr/>
        <w:t>consequential</w:t>
      </w:r>
      <w:r>
        <w:rPr>
          <w:spacing w:val="36"/>
        </w:rPr>
        <w:t> </w:t>
      </w:r>
      <w:r>
        <w:rPr/>
        <w:t>loss</w:t>
      </w:r>
    </w:p>
    <w:p>
      <w:pPr>
        <w:pStyle w:val="BodyText"/>
        <w:spacing w:line="235" w:lineRule="auto" w:before="119"/>
        <w:ind w:left="165" w:right="167"/>
        <w:jc w:val="both"/>
      </w:pPr>
      <w:r>
        <w:rPr/>
        <w:t>(such as a reduction in trading profits that might have been made using a unique vessel </w:t>
      </w:r>
      <w:hyperlink w:history="true" w:anchor="_bookmark2216">
        <w:r>
          <w:rPr>
            <w:color w:val="005DA1"/>
            <w:u w:val="single" w:color="005DA1"/>
            <w:vertAlign w:val="superscript"/>
          </w:rPr>
          <w:t>1127</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vertAlign w:val="baseline"/>
          </w:rPr>
          <w:t>) </w:t>
        </w:r>
        <w:r>
          <w:rPr>
            <w:vertAlign w:val="baseline"/>
          </w:rPr>
          <w:t>that is again hard to prove or quantify. It is submitted that a party may also have a legitimate interest in deterring the defendant from breaching a contract to provide services if it will be difficult for the claimant to obtain the services from a replacement contractor, even though specific performance of </w:t>
        </w:r>
        <w:bookmarkStart w:name="_bookmark2103" w:id="2105"/>
        <w:bookmarkEnd w:id="2105"/>
        <w:r>
          <w:rPr>
            <w:vertAlign w:val="baseline"/>
          </w:rPr>
          <w:t>the</w:t>
        </w:r>
        <w:r>
          <w:rPr>
            <w:spacing w:val="17"/>
            <w:vertAlign w:val="baseline"/>
          </w:rPr>
          <w:t> </w:t>
        </w:r>
        <w:r>
          <w:rPr>
            <w:vertAlign w:val="baseline"/>
          </w:rPr>
          <w:t>contract</w:t>
        </w:r>
        <w:r>
          <w:rPr>
            <w:spacing w:val="17"/>
            <w:vertAlign w:val="baseline"/>
          </w:rPr>
          <w:t> </w:t>
        </w:r>
        <w:r>
          <w:rPr>
            <w:vertAlign w:val="baseline"/>
          </w:rPr>
          <w:t>might</w:t>
        </w:r>
        <w:r>
          <w:rPr>
            <w:spacing w:val="17"/>
            <w:vertAlign w:val="baseline"/>
          </w:rPr>
          <w:t> </w:t>
        </w:r>
        <w:r>
          <w:rPr>
            <w:vertAlign w:val="baseline"/>
          </w:rPr>
          <w:t>not</w:t>
        </w:r>
        <w:r>
          <w:rPr>
            <w:spacing w:val="17"/>
            <w:vertAlign w:val="baseline"/>
          </w:rPr>
          <w:t> </w:t>
        </w:r>
        <w:r>
          <w:rPr>
            <w:vertAlign w:val="baseline"/>
          </w:rPr>
          <w:t>be</w:t>
        </w:r>
        <w:r>
          <w:rPr>
            <w:spacing w:val="17"/>
            <w:vertAlign w:val="baseline"/>
          </w:rPr>
          <w:t> </w:t>
        </w:r>
        <w:r>
          <w:rPr>
            <w:vertAlign w:val="baseline"/>
          </w:rPr>
          <w:t>granted</w:t>
        </w:r>
        <w:r>
          <w:rPr>
            <w:spacing w:val="17"/>
            <w:vertAlign w:val="baseline"/>
          </w:rPr>
          <w:t> </w:t>
        </w:r>
        <w:r>
          <w:rPr>
            <w:vertAlign w:val="baseline"/>
          </w:rPr>
          <w:t>for</w:t>
        </w:r>
        <w:r>
          <w:rPr>
            <w:spacing w:val="17"/>
            <w:vertAlign w:val="baseline"/>
          </w:rPr>
          <w:t> </w:t>
        </w:r>
        <w:r>
          <w:rPr>
            <w:vertAlign w:val="baseline"/>
          </w:rPr>
          <w:t>other</w:t>
        </w:r>
        <w:r>
          <w:rPr>
            <w:spacing w:val="17"/>
            <w:vertAlign w:val="baseline"/>
          </w:rPr>
          <w:t> </w:t>
        </w:r>
        <w:r>
          <w:rPr>
            <w:vertAlign w:val="baseline"/>
          </w:rPr>
          <w:t>reasons,</w:t>
        </w:r>
        <w:r>
          <w:rPr>
            <w:spacing w:val="17"/>
            <w:vertAlign w:val="baseline"/>
          </w:rPr>
          <w:t> </w:t>
        </w:r>
        <w:r>
          <w:rPr>
            <w:vertAlign w:val="baseline"/>
          </w:rPr>
          <w:t>such</w:t>
        </w:r>
        <w:r>
          <w:rPr>
            <w:spacing w:val="17"/>
            <w:vertAlign w:val="baseline"/>
          </w:rPr>
          <w:t> </w:t>
        </w:r>
        <w:r>
          <w:rPr>
            <w:vertAlign w:val="baseline"/>
          </w:rPr>
          <w:t>as</w:t>
        </w:r>
        <w:r>
          <w:rPr>
            <w:spacing w:val="17"/>
            <w:vertAlign w:val="baseline"/>
          </w:rPr>
          <w:t> </w:t>
        </w:r>
        <w:r>
          <w:rPr>
            <w:vertAlign w:val="baseline"/>
          </w:rPr>
          <w:t>that</w:t>
        </w:r>
        <w:r>
          <w:rPr>
            <w:spacing w:val="17"/>
            <w:vertAlign w:val="baseline"/>
          </w:rPr>
          <w:t> </w:t>
        </w:r>
        <w:r>
          <w:rPr>
            <w:vertAlign w:val="baseline"/>
          </w:rPr>
          <w:t>because</w:t>
        </w:r>
        <w:r>
          <w:rPr>
            <w:spacing w:val="17"/>
            <w:vertAlign w:val="baseline"/>
          </w:rPr>
          <w:t> </w:t>
        </w:r>
        <w:r>
          <w:rPr>
            <w:vertAlign w:val="baseline"/>
          </w:rPr>
          <w:t>it</w:t>
        </w:r>
        <w:r>
          <w:rPr>
            <w:spacing w:val="17"/>
            <w:vertAlign w:val="baseline"/>
          </w:rPr>
          <w:t> </w:t>
        </w:r>
        <w:r>
          <w:rPr>
            <w:vertAlign w:val="baseline"/>
          </w:rPr>
          <w:t>would</w:t>
        </w:r>
        <w:r>
          <w:rPr>
            <w:spacing w:val="17"/>
            <w:vertAlign w:val="baseline"/>
          </w:rPr>
          <w:t> </w:t>
        </w:r>
        <w:r>
          <w:rPr>
            <w:vertAlign w:val="baseline"/>
          </w:rPr>
          <w:t>involve</w:t>
        </w:r>
        <w:r>
          <w:rPr>
            <w:spacing w:val="17"/>
            <w:vertAlign w:val="baseline"/>
          </w:rPr>
          <w:t> </w:t>
        </w:r>
        <w:r>
          <w:rPr>
            <w:spacing w:val="-2"/>
            <w:vertAlign w:val="baseline"/>
          </w:rPr>
          <w:t>personal</w:t>
        </w:r>
      </w:hyperlink>
    </w:p>
    <w:p>
      <w:pPr>
        <w:pStyle w:val="BodyText"/>
        <w:spacing w:before="4"/>
      </w:pPr>
    </w:p>
    <w:p>
      <w:pPr>
        <w:pStyle w:val="BodyText"/>
        <w:ind w:left="165"/>
        <w:jc w:val="both"/>
        <w:rPr>
          <w:position w:val="-2"/>
        </w:rPr>
      </w:pPr>
      <w:bookmarkStart w:name="_bookmark2104" w:id="2106"/>
      <w:bookmarkEnd w:id="2106"/>
      <w:r>
        <w:rPr/>
      </w:r>
      <w:r>
        <w:rPr/>
        <w:t>service </w:t>
      </w:r>
      <w:r>
        <w:rPr>
          <w:color w:val="005DA1"/>
          <w:u w:val="single" w:color="005DA1"/>
          <w:vertAlign w:val="superscript"/>
        </w:rPr>
        <w:t>1128</w:t>
      </w:r>
      <w:r>
        <w:rPr>
          <w:color w:val="005DA1"/>
          <w:spacing w:val="80"/>
          <w:w w:val="150"/>
          <w:vertAlign w:val="baseline"/>
        </w:rPr>
        <w:t> </w:t>
      </w:r>
      <w:r>
        <w:rPr>
          <w:color w:val="005DA1"/>
          <w:position w:val="-2"/>
          <w:vertAlign w:val="baseline"/>
        </w:rPr>
        <w:drawing>
          <wp:inline distT="0" distB="0" distL="0" distR="0">
            <wp:extent cx="107988" cy="107988"/>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0"/>
          <w:vertAlign w:val="baseline"/>
        </w:rPr>
        <w:t> </w:t>
      </w:r>
      <w:r>
        <w:rPr>
          <w:vertAlign w:val="baseline"/>
        </w:rPr>
        <w:t>or because it might require the court to supervise performance. </w:t>
      </w:r>
      <w:hyperlink w:history="true" w:anchor="_bookmark2218">
        <w:r>
          <w:rPr>
            <w:color w:val="005DA1"/>
            <w:u w:val="single" w:color="005DA1"/>
            <w:vertAlign w:val="superscript"/>
          </w:rPr>
          <w:t>1129</w:t>
        </w:r>
        <w:r>
          <w:rPr>
            <w:color w:val="005DA1"/>
            <w:spacing w:val="80"/>
            <w:w w:val="150"/>
            <w:vertAlign w:val="baseline"/>
          </w:rPr>
          <w:t> </w:t>
        </w:r>
        <w:r>
          <w:rPr>
            <w:color w:val="005DA1"/>
            <w:position w:val="-2"/>
            <w:vertAlign w:val="baseline"/>
          </w:rPr>
          <w:drawing>
            <wp:inline distT="0" distB="0" distL="0" distR="0">
              <wp:extent cx="107988" cy="107988"/>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Loss suffered by third </w:t>
      </w:r>
      <w:r>
        <w:rPr>
          <w:rFonts w:ascii="Arial"/>
          <w:b/>
          <w:spacing w:val="-2"/>
          <w:sz w:val="18"/>
        </w:rPr>
        <w:t>party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202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the </w:t>
      </w:r>
      <w:r>
        <w:rPr>
          <w:rFonts w:ascii="Arial"/>
          <w:i/>
        </w:rPr>
        <w:t>ParkingEye </w:t>
      </w:r>
      <w:r>
        <w:rPr/>
        <w:t>case, there was an additional reason for damages being inadequate: the loss caused by the motorist overstaying the two hours free parking would be suffered not by </w:t>
      </w:r>
      <w:r>
        <w:rPr/>
        <w:t>ParkingEye </w:t>
      </w:r>
      <w:bookmarkStart w:name="_bookmark2105" w:id="2107"/>
      <w:bookmarkEnd w:id="2107"/>
      <w:r>
        <w:rPr/>
        <w:t>Ltd</w:t>
      </w:r>
      <w:r>
        <w:rPr>
          <w:spacing w:val="10"/>
        </w:rPr>
        <w:t> </w:t>
      </w:r>
      <w:r>
        <w:rPr/>
        <w:t>but</w:t>
      </w:r>
      <w:r>
        <w:rPr>
          <w:spacing w:val="10"/>
        </w:rPr>
        <w:t> </w:t>
      </w:r>
      <w:r>
        <w:rPr/>
        <w:t>by</w:t>
      </w:r>
      <w:r>
        <w:rPr>
          <w:spacing w:val="10"/>
        </w:rPr>
        <w:t> </w:t>
      </w:r>
      <w:r>
        <w:rPr/>
        <w:t>the</w:t>
      </w:r>
      <w:r>
        <w:rPr>
          <w:spacing w:val="10"/>
        </w:rPr>
        <w:t> </w:t>
      </w:r>
      <w:r>
        <w:rPr/>
        <w:t>operator</w:t>
      </w:r>
      <w:r>
        <w:rPr>
          <w:spacing w:val="10"/>
        </w:rPr>
        <w:t> </w:t>
      </w:r>
      <w:r>
        <w:rPr/>
        <w:t>of</w:t>
      </w:r>
      <w:r>
        <w:rPr>
          <w:spacing w:val="10"/>
        </w:rPr>
        <w:t> </w:t>
      </w:r>
      <w:r>
        <w:rPr/>
        <w:t>the</w:t>
      </w:r>
      <w:r>
        <w:rPr>
          <w:spacing w:val="10"/>
        </w:rPr>
        <w:t> </w:t>
      </w:r>
      <w:r>
        <w:rPr/>
        <w:t>retail</w:t>
      </w:r>
      <w:r>
        <w:rPr>
          <w:spacing w:val="10"/>
        </w:rPr>
        <w:t> </w:t>
      </w:r>
      <w:r>
        <w:rPr/>
        <w:t>park</w:t>
      </w:r>
      <w:r>
        <w:rPr>
          <w:spacing w:val="10"/>
        </w:rPr>
        <w:t> </w:t>
      </w:r>
      <w:r>
        <w:rPr/>
        <w:t>and</w:t>
      </w:r>
      <w:r>
        <w:rPr>
          <w:spacing w:val="10"/>
        </w:rPr>
        <w:t> </w:t>
      </w:r>
      <w:r>
        <w:rPr/>
        <w:t>by</w:t>
      </w:r>
      <w:r>
        <w:rPr>
          <w:spacing w:val="10"/>
        </w:rPr>
        <w:t> </w:t>
      </w:r>
      <w:r>
        <w:rPr/>
        <w:t>members</w:t>
      </w:r>
      <w:r>
        <w:rPr>
          <w:spacing w:val="10"/>
        </w:rPr>
        <w:t> </w:t>
      </w:r>
      <w:r>
        <w:rPr/>
        <w:t>of</w:t>
      </w:r>
      <w:r>
        <w:rPr>
          <w:spacing w:val="10"/>
        </w:rPr>
        <w:t> </w:t>
      </w:r>
      <w:r>
        <w:rPr/>
        <w:t>the</w:t>
      </w:r>
      <w:r>
        <w:rPr>
          <w:spacing w:val="10"/>
        </w:rPr>
        <w:t> </w:t>
      </w:r>
      <w:r>
        <w:rPr/>
        <w:t>public</w:t>
      </w:r>
      <w:r>
        <w:rPr>
          <w:spacing w:val="10"/>
        </w:rPr>
        <w:t> </w:t>
      </w:r>
      <w:r>
        <w:rPr/>
        <w:t>who</w:t>
      </w:r>
      <w:r>
        <w:rPr>
          <w:spacing w:val="10"/>
        </w:rPr>
        <w:t> </w:t>
      </w:r>
      <w:r>
        <w:rPr/>
        <w:t>wished</w:t>
      </w:r>
      <w:r>
        <w:rPr>
          <w:spacing w:val="10"/>
        </w:rPr>
        <w:t> </w:t>
      </w:r>
      <w:r>
        <w:rPr/>
        <w:t>to</w:t>
      </w:r>
      <w:r>
        <w:rPr>
          <w:spacing w:val="10"/>
        </w:rPr>
        <w:t> </w:t>
      </w:r>
      <w:r>
        <w:rPr/>
        <w:t>use</w:t>
      </w:r>
      <w:r>
        <w:rPr>
          <w:spacing w:val="10"/>
        </w:rPr>
        <w:t> </w:t>
      </w:r>
      <w:r>
        <w:rPr/>
        <w:t>it.</w:t>
      </w:r>
      <w:r>
        <w:rPr>
          <w:spacing w:val="10"/>
        </w:rPr>
        <w:t> </w:t>
      </w:r>
      <w:r>
        <w:rPr/>
        <w:t>It</w:t>
      </w:r>
      <w:r>
        <w:rPr>
          <w:spacing w:val="10"/>
        </w:rPr>
        <w:t> </w:t>
      </w:r>
      <w:r>
        <w:rPr/>
        <w:t>is</w:t>
      </w:r>
      <w:r>
        <w:rPr>
          <w:spacing w:val="10"/>
        </w:rPr>
        <w:t> </w:t>
      </w:r>
      <w:r>
        <w:rPr>
          <w:spacing w:val="-5"/>
        </w:rPr>
        <w:t>not</w:t>
      </w:r>
    </w:p>
    <w:p>
      <w:pPr>
        <w:pStyle w:val="BodyText"/>
        <w:spacing w:line="235" w:lineRule="auto" w:before="119"/>
        <w:ind w:left="165" w:right="167"/>
        <w:jc w:val="both"/>
      </w:pPr>
      <w:r>
        <w:rPr/>
        <w:t>only the legitimate interests of the contracting party that count for this purpose. </w:t>
      </w:r>
      <w:hyperlink w:history="true" w:anchor="_bookmark2219">
        <w:r>
          <w:rPr>
            <w:color w:val="005DA1"/>
            <w:u w:val="single" w:color="005DA1"/>
            <w:vertAlign w:val="superscript"/>
          </w:rPr>
          <w:t>1130</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40"/>
            <w:vertAlign w:val="baseline"/>
          </w:rPr>
          <w:t> </w:t>
        </w:r>
        <w:r>
          <w:rPr>
            <w:vertAlign w:val="baseline"/>
          </w:rPr>
          <w:t>It may </w:t>
        </w:r>
        <w:r>
          <w:rPr>
            <w:vertAlign w:val="baseline"/>
          </w:rPr>
          <w:t>be added that this appears to be a form of consequential loss that would not be recoverable under the </w:t>
        </w:r>
        <w:bookmarkStart w:name="_bookmark2106" w:id="2108"/>
        <w:bookmarkEnd w:id="2108"/>
        <w:r>
          <w:rPr>
            <w:vertAlign w:val="baseline"/>
          </w:rPr>
          <w:t>principles</w:t>
        </w:r>
        <w:r>
          <w:rPr>
            <w:spacing w:val="27"/>
            <w:vertAlign w:val="baseline"/>
          </w:rPr>
          <w:t> </w:t>
        </w:r>
        <w:r>
          <w:rPr>
            <w:vertAlign w:val="baseline"/>
          </w:rPr>
          <w:t>that</w:t>
        </w:r>
        <w:r>
          <w:rPr>
            <w:spacing w:val="27"/>
            <w:vertAlign w:val="baseline"/>
          </w:rPr>
          <w:t> </w:t>
        </w:r>
        <w:r>
          <w:rPr>
            <w:vertAlign w:val="baseline"/>
          </w:rPr>
          <w:t>exceptionally</w:t>
        </w:r>
        <w:r>
          <w:rPr>
            <w:spacing w:val="27"/>
            <w:vertAlign w:val="baseline"/>
          </w:rPr>
          <w:t> </w:t>
        </w:r>
        <w:r>
          <w:rPr>
            <w:vertAlign w:val="baseline"/>
          </w:rPr>
          <w:t>permit</w:t>
        </w:r>
        <w:r>
          <w:rPr>
            <w:spacing w:val="27"/>
            <w:vertAlign w:val="baseline"/>
          </w:rPr>
          <w:t> </w:t>
        </w:r>
        <w:r>
          <w:rPr>
            <w:vertAlign w:val="baseline"/>
          </w:rPr>
          <w:t>a</w:t>
        </w:r>
        <w:r>
          <w:rPr>
            <w:spacing w:val="27"/>
            <w:vertAlign w:val="baseline"/>
          </w:rPr>
          <w:t> </w:t>
        </w:r>
        <w:r>
          <w:rPr>
            <w:vertAlign w:val="baseline"/>
          </w:rPr>
          <w:t>party</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contract</w:t>
        </w:r>
        <w:r>
          <w:rPr>
            <w:spacing w:val="27"/>
            <w:vertAlign w:val="baseline"/>
          </w:rPr>
          <w:t> </w:t>
        </w:r>
        <w:r>
          <w:rPr>
            <w:vertAlign w:val="baseline"/>
          </w:rPr>
          <w:t>to</w:t>
        </w:r>
        <w:r>
          <w:rPr>
            <w:spacing w:val="27"/>
            <w:vertAlign w:val="baseline"/>
          </w:rPr>
          <w:t> </w:t>
        </w:r>
        <w:r>
          <w:rPr>
            <w:vertAlign w:val="baseline"/>
          </w:rPr>
          <w:t>recover</w:t>
        </w:r>
        <w:r>
          <w:rPr>
            <w:spacing w:val="27"/>
            <w:vertAlign w:val="baseline"/>
          </w:rPr>
          <w:t> </w:t>
        </w:r>
        <w:r>
          <w:rPr>
            <w:vertAlign w:val="baseline"/>
          </w:rPr>
          <w:t>damages</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basis</w:t>
        </w:r>
        <w:r>
          <w:rPr>
            <w:spacing w:val="27"/>
            <w:vertAlign w:val="baseline"/>
          </w:rPr>
          <w:t> </w:t>
        </w:r>
        <w:r>
          <w:rPr>
            <w:vertAlign w:val="baseline"/>
          </w:rPr>
          <w:t>that</w:t>
        </w:r>
        <w:r>
          <w:rPr>
            <w:spacing w:val="27"/>
            <w:vertAlign w:val="baseline"/>
          </w:rPr>
          <w:t> </w:t>
        </w:r>
        <w:r>
          <w:rPr>
            <w:spacing w:val="-5"/>
            <w:vertAlign w:val="baseline"/>
          </w:rPr>
          <w:t>the</w:t>
        </w:r>
      </w:hyperlink>
    </w:p>
    <w:p>
      <w:pPr>
        <w:pStyle w:val="BodyText"/>
        <w:spacing w:line="360" w:lineRule="auto" w:before="115"/>
        <w:ind w:left="165" w:right="167"/>
        <w:jc w:val="both"/>
        <w:rPr>
          <w:rFonts w:ascii="Arial"/>
          <w:i/>
        </w:rPr>
      </w:pPr>
      <w:bookmarkStart w:name="_bookmark2107" w:id="2109"/>
      <w:bookmarkEnd w:id="2109"/>
      <w:r>
        <w:rPr/>
      </w:r>
      <w:r>
        <w:rPr/>
        <w:t>promisee has not received the benefit that he contracted for, </w:t>
      </w:r>
      <w:hyperlink w:history="true" w:anchor="_bookmark2220">
        <w:r>
          <w:rPr>
            <w:color w:val="005DA1"/>
            <w:u w:val="single" w:color="005DA1"/>
            <w:vertAlign w:val="superscript"/>
          </w:rPr>
          <w:t>1131</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vertAlign w:val="baseline"/>
          </w:rPr>
          <w:t> </w:t>
        </w:r>
        <w:r>
          <w:rPr>
            <w:vertAlign w:val="baseline"/>
          </w:rPr>
          <w:t>nor to be within the cases </w:t>
        </w:r>
        <w:r>
          <w:rPr>
            <w:vertAlign w:val="baseline"/>
          </w:rPr>
          <w:t>that </w:t>
        </w:r>
        <w:bookmarkStart w:name="_bookmark2108" w:id="2110"/>
        <w:bookmarkEnd w:id="2110"/>
        <w:r>
          <w:rPr>
            <w:vertAlign w:val="baseline"/>
          </w:rPr>
          <w:t>have</w:t>
        </w:r>
        <w:r>
          <w:rPr>
            <w:spacing w:val="15"/>
            <w:vertAlign w:val="baseline"/>
          </w:rPr>
          <w:t> </w:t>
        </w:r>
        <w:r>
          <w:rPr>
            <w:vertAlign w:val="baseline"/>
          </w:rPr>
          <w:t>permitted</w:t>
        </w:r>
        <w:r>
          <w:rPr>
            <w:spacing w:val="16"/>
            <w:vertAlign w:val="baseline"/>
          </w:rPr>
          <w:t> </w:t>
        </w:r>
        <w:r>
          <w:rPr>
            <w:vertAlign w:val="baseline"/>
          </w:rPr>
          <w:t>a</w:t>
        </w:r>
        <w:r>
          <w:rPr>
            <w:spacing w:val="16"/>
            <w:vertAlign w:val="baseline"/>
          </w:rPr>
          <w:t> </w:t>
        </w:r>
        <w:r>
          <w:rPr>
            <w:vertAlign w:val="baseline"/>
          </w:rPr>
          <w:t>promisee</w:t>
        </w:r>
        <w:r>
          <w:rPr>
            <w:spacing w:val="16"/>
            <w:vertAlign w:val="baseline"/>
          </w:rPr>
          <w:t> </w:t>
        </w:r>
        <w:r>
          <w:rPr>
            <w:vertAlign w:val="baseline"/>
          </w:rPr>
          <w:t>to</w:t>
        </w:r>
        <w:r>
          <w:rPr>
            <w:spacing w:val="16"/>
            <w:vertAlign w:val="baseline"/>
          </w:rPr>
          <w:t> </w:t>
        </w:r>
        <w:r>
          <w:rPr>
            <w:vertAlign w:val="baseline"/>
          </w:rPr>
          <w:t>recover</w:t>
        </w:r>
        <w:r>
          <w:rPr>
            <w:spacing w:val="16"/>
            <w:vertAlign w:val="baseline"/>
          </w:rPr>
          <w:t> </w:t>
        </w:r>
        <w:r>
          <w:rPr>
            <w:vertAlign w:val="baseline"/>
          </w:rPr>
          <w:t>for</w:t>
        </w:r>
        <w:r>
          <w:rPr>
            <w:spacing w:val="16"/>
            <w:vertAlign w:val="baseline"/>
          </w:rPr>
          <w:t> </w:t>
        </w:r>
        <w:r>
          <w:rPr>
            <w:vertAlign w:val="baseline"/>
          </w:rPr>
          <w:t>loss</w:t>
        </w:r>
        <w:r>
          <w:rPr>
            <w:spacing w:val="16"/>
            <w:vertAlign w:val="baseline"/>
          </w:rPr>
          <w:t> </w:t>
        </w:r>
        <w:r>
          <w:rPr>
            <w:vertAlign w:val="baseline"/>
          </w:rPr>
          <w:t>that</w:t>
        </w:r>
        <w:r>
          <w:rPr>
            <w:spacing w:val="16"/>
            <w:vertAlign w:val="baseline"/>
          </w:rPr>
          <w:t> </w:t>
        </w:r>
        <w:r>
          <w:rPr>
            <w:vertAlign w:val="baseline"/>
          </w:rPr>
          <w:t>is</w:t>
        </w:r>
        <w:r>
          <w:rPr>
            <w:spacing w:val="16"/>
            <w:vertAlign w:val="baseline"/>
          </w:rPr>
          <w:t> </w:t>
        </w:r>
        <w:r>
          <w:rPr>
            <w:vertAlign w:val="baseline"/>
          </w:rPr>
          <w:t>suffered</w:t>
        </w:r>
        <w:r>
          <w:rPr>
            <w:spacing w:val="15"/>
            <w:vertAlign w:val="baseline"/>
          </w:rPr>
          <w:t> </w:t>
        </w:r>
        <w:r>
          <w:rPr>
            <w:vertAlign w:val="baseline"/>
          </w:rPr>
          <w:t>by</w:t>
        </w:r>
        <w:r>
          <w:rPr>
            <w:spacing w:val="16"/>
            <w:vertAlign w:val="baseline"/>
          </w:rPr>
          <w:t> </w:t>
        </w:r>
        <w:r>
          <w:rPr>
            <w:vertAlign w:val="baseline"/>
          </w:rPr>
          <w:t>a</w:t>
        </w:r>
        <w:r>
          <w:rPr>
            <w:spacing w:val="16"/>
            <w:vertAlign w:val="baseline"/>
          </w:rPr>
          <w:t> </w:t>
        </w:r>
        <w:r>
          <w:rPr>
            <w:vertAlign w:val="baseline"/>
          </w:rPr>
          <w:t>third</w:t>
        </w:r>
        <w:r>
          <w:rPr>
            <w:spacing w:val="16"/>
            <w:vertAlign w:val="baseline"/>
          </w:rPr>
          <w:t> </w:t>
        </w:r>
        <w:r>
          <w:rPr>
            <w:vertAlign w:val="baseline"/>
          </w:rPr>
          <w:t>party.</w:t>
        </w:r>
        <w:r>
          <w:rPr>
            <w:spacing w:val="16"/>
            <w:vertAlign w:val="baseline"/>
          </w:rPr>
          <w:t> </w:t>
        </w:r>
        <w:hyperlink w:history="true" w:anchor="_bookmark2221">
          <w:r>
            <w:rPr>
              <w:color w:val="005DA1"/>
              <w:u w:val="single" w:color="005DA1"/>
              <w:vertAlign w:val="superscript"/>
            </w:rPr>
            <w:t>1132</w:t>
          </w:r>
          <w:r>
            <w:rPr>
              <w:color w:val="005DA1"/>
              <w:spacing w:val="52"/>
              <w:vertAlign w:val="baseline"/>
            </w:rPr>
            <w:t>  </w:t>
          </w:r>
          <w:r>
            <w:rPr>
              <w:color w:val="005DA1"/>
              <w:spacing w:val="-3"/>
              <w:position w:val="-2"/>
              <w:vertAlign w:val="baseline"/>
            </w:rPr>
            <w:drawing>
              <wp:inline distT="0" distB="0" distL="0" distR="0">
                <wp:extent cx="107988" cy="107988"/>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25"/>
              <w:vertAlign w:val="baseline"/>
            </w:rPr>
            <w:t> </w:t>
          </w:r>
          <w:r>
            <w:rPr>
              <w:vertAlign w:val="baseline"/>
            </w:rPr>
            <w:t>In</w:t>
          </w:r>
          <w:r>
            <w:rPr>
              <w:spacing w:val="16"/>
              <w:vertAlign w:val="baseline"/>
            </w:rPr>
            <w:t> </w:t>
          </w:r>
          <w:r>
            <w:rPr>
              <w:rFonts w:ascii="Arial"/>
              <w:i/>
              <w:vertAlign w:val="baseline"/>
            </w:rPr>
            <w:t>Beswick</w:t>
          </w:r>
          <w:r>
            <w:rPr>
              <w:rFonts w:ascii="Arial"/>
              <w:i/>
              <w:spacing w:val="16"/>
              <w:vertAlign w:val="baseline"/>
            </w:rPr>
            <w:t> </w:t>
          </w:r>
          <w:r>
            <w:rPr>
              <w:rFonts w:ascii="Arial"/>
              <w:i/>
              <w:spacing w:val="-10"/>
              <w:vertAlign w:val="baseline"/>
            </w:rPr>
            <w:t>v</w:t>
          </w:r>
        </w:hyperlink>
      </w:hyperlink>
    </w:p>
    <w:p>
      <w:pPr>
        <w:pStyle w:val="BodyText"/>
        <w:spacing w:line="235" w:lineRule="auto" w:before="4"/>
        <w:ind w:left="165" w:right="167"/>
        <w:jc w:val="both"/>
      </w:pPr>
      <w:r>
        <w:rPr>
          <w:rFonts w:ascii="Arial"/>
          <w:i/>
        </w:rPr>
        <w:t>Beswick</w:t>
      </w:r>
      <w:r>
        <w:rPr>
          <w:rFonts w:ascii="Arial"/>
          <w:i/>
          <w:spacing w:val="-3"/>
        </w:rPr>
        <w:t> </w:t>
      </w:r>
      <w:hyperlink w:history="true" w:anchor="_bookmark2222">
        <w:r>
          <w:rPr>
            <w:color w:val="005DA1"/>
            <w:u w:val="single" w:color="005DA1"/>
            <w:vertAlign w:val="superscript"/>
          </w:rPr>
          <w:t>1133</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1"/>
            <w:vertAlign w:val="baseline"/>
          </w:rPr>
          <w:t> </w:t>
        </w:r>
        <w:r>
          <w:rPr>
            <w:vertAlign w:val="baseline"/>
          </w:rPr>
          <w:t>the</w:t>
        </w:r>
        <w:r>
          <w:rPr>
            <w:spacing w:val="-3"/>
            <w:vertAlign w:val="baseline"/>
          </w:rPr>
          <w:t> </w:t>
        </w:r>
        <w:r>
          <w:rPr>
            <w:vertAlign w:val="baseline"/>
          </w:rPr>
          <w:t>majority</w:t>
        </w:r>
        <w:r>
          <w:rPr>
            <w:spacing w:val="-3"/>
            <w:vertAlign w:val="baseline"/>
          </w:rPr>
          <w:t> </w:t>
        </w:r>
        <w:r>
          <w:rPr>
            <w:vertAlign w:val="baseline"/>
          </w:rPr>
          <w:t>considered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promisee</w:t>
        </w:r>
        <w:r>
          <w:rPr>
            <w:spacing w:val="-3"/>
            <w:vertAlign w:val="baseline"/>
          </w:rPr>
          <w:t> </w:t>
        </w:r>
        <w:r>
          <w:rPr>
            <w:vertAlign w:val="baseline"/>
          </w:rPr>
          <w:t>could</w:t>
        </w:r>
        <w:r>
          <w:rPr>
            <w:spacing w:val="-3"/>
            <w:vertAlign w:val="baseline"/>
          </w:rPr>
          <w:t> </w:t>
        </w:r>
        <w:r>
          <w:rPr>
            <w:vertAlign w:val="baseline"/>
          </w:rPr>
          <w:t>recover</w:t>
        </w:r>
        <w:r>
          <w:rPr>
            <w:spacing w:val="-3"/>
            <w:vertAlign w:val="baseline"/>
          </w:rPr>
          <w:t> </w:t>
        </w:r>
        <w:r>
          <w:rPr>
            <w:vertAlign w:val="baseline"/>
          </w:rPr>
          <w:t>only</w:t>
        </w:r>
        <w:r>
          <w:rPr>
            <w:spacing w:val="-3"/>
            <w:vertAlign w:val="baseline"/>
          </w:rPr>
          <w:t> </w:t>
        </w:r>
        <w:r>
          <w:rPr>
            <w:vertAlign w:val="baseline"/>
          </w:rPr>
          <w:t>nominal</w:t>
        </w:r>
        <w:r>
          <w:rPr>
            <w:spacing w:val="-3"/>
            <w:vertAlign w:val="baseline"/>
          </w:rPr>
          <w:t> </w:t>
        </w:r>
        <w:r>
          <w:rPr>
            <w:vertAlign w:val="baseline"/>
          </w:rPr>
          <w:t>damages,</w:t>
        </w:r>
        <w:r>
          <w:rPr>
            <w:spacing w:val="-3"/>
            <w:vertAlign w:val="baseline"/>
          </w:rPr>
          <w:t> </w:t>
        </w:r>
        <w:r>
          <w:rPr>
            <w:vertAlign w:val="baseline"/>
          </w:rPr>
          <w:t>while the third party suffered the real loss, and that therefore specific performance was an appropriate remedy. It seems the presence of similar factors will mean that the promisee has a legitimate interest in securing performance rather than relying on the remedy of damages.</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Insolvency </w:t>
      </w:r>
      <w:r>
        <w:rPr>
          <w:rFonts w:ascii="Arial"/>
          <w:b/>
          <w:spacing w:val="-4"/>
          <w:sz w:val="18"/>
        </w:rPr>
        <w:t>risk</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203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09" name="Image 709"/>
            <wp:cNvGraphicFramePr>
              <a:graphicFrameLocks/>
            </wp:cNvGraphicFramePr>
            <a:graphic>
              <a:graphicData uri="http://schemas.openxmlformats.org/drawingml/2006/picture">
                <pic:pic>
                  <pic:nvPicPr>
                    <pic:cNvPr id="709" name="Image 7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possible insolvency of either party may also be a relevant factor, at least when it is </w:t>
      </w:r>
      <w:r>
        <w:rPr/>
        <w:t>the claimant’s solvency that is at risk. A factor that has sometimes been taken into account in deciding </w:t>
      </w:r>
      <w:bookmarkStart w:name="_bookmark2109" w:id="2111"/>
      <w:bookmarkEnd w:id="2111"/>
      <w:r>
        <w:rPr/>
        <w:t>whether</w:t>
      </w:r>
      <w:r>
        <w:rPr>
          <w:spacing w:val="20"/>
        </w:rPr>
        <w:t> </w:t>
      </w:r>
      <w:r>
        <w:rPr/>
        <w:t>to</w:t>
      </w:r>
      <w:r>
        <w:rPr>
          <w:spacing w:val="20"/>
        </w:rPr>
        <w:t> </w:t>
      </w:r>
      <w:r>
        <w:rPr/>
        <w:t>grant</w:t>
      </w:r>
      <w:r>
        <w:rPr>
          <w:spacing w:val="20"/>
        </w:rPr>
        <w:t> </w:t>
      </w:r>
      <w:r>
        <w:rPr/>
        <w:t>specific</w:t>
      </w:r>
      <w:r>
        <w:rPr>
          <w:spacing w:val="20"/>
        </w:rPr>
        <w:t> </w:t>
      </w:r>
      <w:r>
        <w:rPr/>
        <w:t>performance</w:t>
      </w:r>
      <w:r>
        <w:rPr>
          <w:spacing w:val="20"/>
        </w:rPr>
        <w:t> </w:t>
      </w:r>
      <w:r>
        <w:rPr/>
        <w:t>(or,</w:t>
      </w:r>
      <w:r>
        <w:rPr>
          <w:spacing w:val="20"/>
        </w:rPr>
        <w:t> </w:t>
      </w:r>
      <w:r>
        <w:rPr/>
        <w:t>on</w:t>
      </w:r>
      <w:r>
        <w:rPr>
          <w:spacing w:val="20"/>
        </w:rPr>
        <w:t> </w:t>
      </w:r>
      <w:r>
        <w:rPr/>
        <w:t>the</w:t>
      </w:r>
      <w:r>
        <w:rPr>
          <w:spacing w:val="20"/>
        </w:rPr>
        <w:t> </w:t>
      </w:r>
      <w:r>
        <w:rPr/>
        <w:t>facts</w:t>
      </w:r>
      <w:r>
        <w:rPr>
          <w:spacing w:val="20"/>
        </w:rPr>
        <w:t> </w:t>
      </w:r>
      <w:r>
        <w:rPr/>
        <w:t>of</w:t>
      </w:r>
      <w:r>
        <w:rPr>
          <w:spacing w:val="20"/>
        </w:rPr>
        <w:t> </w:t>
      </w:r>
      <w:r>
        <w:rPr/>
        <w:t>the</w:t>
      </w:r>
      <w:r>
        <w:rPr>
          <w:spacing w:val="20"/>
        </w:rPr>
        <w:t> </w:t>
      </w:r>
      <w:r>
        <w:rPr/>
        <w:t>case,</w:t>
      </w:r>
      <w:r>
        <w:rPr>
          <w:spacing w:val="20"/>
        </w:rPr>
        <w:t> </w:t>
      </w:r>
      <w:r>
        <w:rPr/>
        <w:t>an</w:t>
      </w:r>
      <w:r>
        <w:rPr>
          <w:spacing w:val="20"/>
        </w:rPr>
        <w:t> </w:t>
      </w:r>
      <w:r>
        <w:rPr/>
        <w:t>injunction</w:t>
      </w:r>
      <w:r>
        <w:rPr>
          <w:spacing w:val="20"/>
        </w:rPr>
        <w:t> </w:t>
      </w:r>
      <w:r>
        <w:rPr/>
        <w:t>against</w:t>
      </w:r>
      <w:r>
        <w:rPr>
          <w:spacing w:val="20"/>
        </w:rPr>
        <w:t> </w:t>
      </w:r>
      <w:r>
        <w:rPr/>
        <w:t>breach)</w:t>
      </w:r>
      <w:r>
        <w:rPr>
          <w:spacing w:val="20"/>
        </w:rPr>
        <w:t> </w:t>
      </w:r>
      <w:r>
        <w:rPr>
          <w:spacing w:val="-5"/>
        </w:rPr>
        <w:t>is</w:t>
      </w:r>
    </w:p>
    <w:p>
      <w:pPr>
        <w:pStyle w:val="BodyText"/>
        <w:spacing w:before="115"/>
        <w:ind w:left="165"/>
        <w:jc w:val="both"/>
      </w:pPr>
      <w:bookmarkStart w:name="_bookmark2110" w:id="2112"/>
      <w:bookmarkEnd w:id="2112"/>
      <w:r>
        <w:rPr/>
      </w:r>
      <w:r>
        <w:rPr/>
        <w:t>that</w:t>
      </w:r>
      <w:r>
        <w:rPr>
          <w:spacing w:val="4"/>
        </w:rPr>
        <w:t> </w:t>
      </w:r>
      <w:r>
        <w:rPr/>
        <w:t>the</w:t>
      </w:r>
      <w:r>
        <w:rPr>
          <w:spacing w:val="5"/>
        </w:rPr>
        <w:t> </w:t>
      </w:r>
      <w:r>
        <w:rPr/>
        <w:t>defendant</w:t>
      </w:r>
      <w:r>
        <w:rPr>
          <w:spacing w:val="5"/>
        </w:rPr>
        <w:t> </w:t>
      </w:r>
      <w:r>
        <w:rPr/>
        <w:t>may</w:t>
      </w:r>
      <w:r>
        <w:rPr>
          <w:spacing w:val="5"/>
        </w:rPr>
        <w:t> </w:t>
      </w:r>
      <w:r>
        <w:rPr/>
        <w:t>not</w:t>
      </w:r>
      <w:r>
        <w:rPr>
          <w:spacing w:val="5"/>
        </w:rPr>
        <w:t> </w:t>
      </w:r>
      <w:r>
        <w:rPr/>
        <w:t>be</w:t>
      </w:r>
      <w:r>
        <w:rPr>
          <w:spacing w:val="5"/>
        </w:rPr>
        <w:t> </w:t>
      </w:r>
      <w:r>
        <w:rPr/>
        <w:t>able</w:t>
      </w:r>
      <w:r>
        <w:rPr>
          <w:spacing w:val="5"/>
        </w:rPr>
        <w:t> </w:t>
      </w:r>
      <w:r>
        <w:rPr/>
        <w:t>to</w:t>
      </w:r>
      <w:r>
        <w:rPr>
          <w:spacing w:val="5"/>
        </w:rPr>
        <w:t> </w:t>
      </w:r>
      <w:r>
        <w:rPr/>
        <w:t>pay</w:t>
      </w:r>
      <w:r>
        <w:rPr>
          <w:spacing w:val="4"/>
        </w:rPr>
        <w:t> </w:t>
      </w:r>
      <w:r>
        <w:rPr/>
        <w:t>any</w:t>
      </w:r>
      <w:r>
        <w:rPr>
          <w:spacing w:val="5"/>
        </w:rPr>
        <w:t> </w:t>
      </w:r>
      <w:r>
        <w:rPr/>
        <w:t>damages.</w:t>
      </w:r>
      <w:r>
        <w:rPr>
          <w:spacing w:val="4"/>
        </w:rPr>
        <w:t> </w:t>
      </w:r>
      <w:hyperlink w:history="true" w:anchor="_bookmark2223">
        <w:r>
          <w:rPr>
            <w:color w:val="005DA1"/>
            <w:u w:val="single" w:color="005DA1"/>
            <w:vertAlign w:val="superscript"/>
          </w:rPr>
          <w:t>1134</w:t>
        </w:r>
        <w:r>
          <w:rPr>
            <w:color w:val="005DA1"/>
            <w:spacing w:val="35"/>
            <w:vertAlign w:val="baseline"/>
          </w:rPr>
          <w:t>  </w:t>
        </w:r>
        <w:r>
          <w:rPr>
            <w:color w:val="005DA1"/>
            <w:spacing w:val="19"/>
            <w:position w:val="-2"/>
            <w:vertAlign w:val="baseline"/>
          </w:rPr>
          <w:drawing>
            <wp:inline distT="0" distB="0" distL="0" distR="0">
              <wp:extent cx="107988" cy="107988"/>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6"/>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evident</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spacing w:val="-2"/>
            <w:vertAlign w:val="baseline"/>
          </w:rPr>
          <w:t>defendant’s</w:t>
        </w:r>
      </w:hyperlink>
    </w:p>
    <w:p>
      <w:pPr>
        <w:pStyle w:val="BodyText"/>
        <w:spacing w:line="235" w:lineRule="auto" w:before="119"/>
        <w:ind w:left="165" w:right="167"/>
        <w:jc w:val="both"/>
      </w:pPr>
      <w:r>
        <w:rPr/>
        <w:t>inability</w:t>
      </w:r>
      <w:r>
        <w:rPr>
          <w:spacing w:val="-2"/>
        </w:rPr>
        <w:t> </w:t>
      </w:r>
      <w:r>
        <w:rPr/>
        <w:t>to</w:t>
      </w:r>
      <w:r>
        <w:rPr>
          <w:spacing w:val="-2"/>
        </w:rPr>
        <w:t> </w:t>
      </w:r>
      <w:r>
        <w:rPr/>
        <w:t>pay</w:t>
      </w:r>
      <w:r>
        <w:rPr>
          <w:spacing w:val="-2"/>
        </w:rPr>
        <w:t> </w:t>
      </w:r>
      <w:r>
        <w:rPr/>
        <w:t>damages</w:t>
      </w:r>
      <w:r>
        <w:rPr>
          <w:spacing w:val="-2"/>
        </w:rPr>
        <w:t> </w:t>
      </w:r>
      <w:r>
        <w:rPr/>
        <w:t>can</w:t>
      </w:r>
      <w:r>
        <w:rPr>
          <w:spacing w:val="-2"/>
        </w:rPr>
        <w:t> </w:t>
      </w:r>
      <w:r>
        <w:rPr/>
        <w:t>by</w:t>
      </w:r>
      <w:r>
        <w:rPr>
          <w:spacing w:val="-2"/>
        </w:rPr>
        <w:t> </w:t>
      </w:r>
      <w:r>
        <w:rPr/>
        <w:t>itself</w:t>
      </w:r>
      <w:r>
        <w:rPr>
          <w:spacing w:val="-2"/>
        </w:rPr>
        <w:t> </w:t>
      </w:r>
      <w:hyperlink w:history="true" w:anchor="_bookmark2224">
        <w:r>
          <w:rPr>
            <w:color w:val="005DA1"/>
            <w:u w:val="single" w:color="005DA1"/>
            <w:vertAlign w:val="superscript"/>
          </w:rPr>
          <w:t>1135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11" name="Image 711"/>
              <wp:cNvGraphicFramePr>
                <a:graphicFrameLocks/>
              </wp:cNvGraphicFramePr>
              <a:graphic>
                <a:graphicData uri="http://schemas.openxmlformats.org/drawingml/2006/picture">
                  <pic:pic>
                    <pic:nvPicPr>
                      <pic:cNvPr id="711" name="Image 7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give</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w:t>
        </w:r>
        <w:r>
          <w:rPr>
            <w:spacing w:val="-2"/>
            <w:vertAlign w:val="baseline"/>
          </w:rPr>
          <w:t> </w:t>
        </w:r>
        <w:r>
          <w:rPr>
            <w:vertAlign w:val="baseline"/>
          </w:rPr>
          <w:t>legitimate</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deterring</w:t>
        </w:r>
        <w:r>
          <w:rPr>
            <w:spacing w:val="-2"/>
            <w:vertAlign w:val="baseline"/>
          </w:rPr>
          <w:t> </w:t>
        </w:r>
        <w:r>
          <w:rPr>
            <w:vertAlign w:val="baseline"/>
          </w:rPr>
          <w:t>breach by imposing liability for “deterrent” liquidated damages, which would mean the defendant paying </w:t>
        </w:r>
        <w:r>
          <w:rPr>
            <w:vertAlign w:val="baseline"/>
          </w:rPr>
          <w:t>even greater sums. Conversely, it has been said to be a relevant factor to specific performance that delay</w:t>
        </w:r>
        <w:r>
          <w:rPr>
            <w:spacing w:val="40"/>
            <w:vertAlign w:val="baseline"/>
          </w:rPr>
          <w:t> </w:t>
        </w:r>
        <w:bookmarkStart w:name="_bookmark2111" w:id="2113"/>
        <w:bookmarkEnd w:id="2113"/>
        <w:r>
          <w:rPr>
            <w:vertAlign w:val="baseline"/>
          </w:rPr>
          <w:t>is</w:t>
        </w:r>
        <w:r>
          <w:rPr>
            <w:spacing w:val="33"/>
            <w:vertAlign w:val="baseline"/>
          </w:rPr>
          <w:t> </w:t>
        </w:r>
        <w:r>
          <w:rPr>
            <w:vertAlign w:val="baseline"/>
          </w:rPr>
          <w:t>likely</w:t>
        </w:r>
        <w:r>
          <w:rPr>
            <w:spacing w:val="33"/>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encountered</w:t>
        </w:r>
        <w:r>
          <w:rPr>
            <w:spacing w:val="33"/>
            <w:vertAlign w:val="baseline"/>
          </w:rPr>
          <w:t> </w:t>
        </w:r>
        <w:r>
          <w:rPr>
            <w:vertAlign w:val="baseline"/>
          </w:rPr>
          <w:t>in</w:t>
        </w:r>
        <w:r>
          <w:rPr>
            <w:spacing w:val="33"/>
            <w:vertAlign w:val="baseline"/>
          </w:rPr>
          <w:t> </w:t>
        </w:r>
        <w:r>
          <w:rPr>
            <w:vertAlign w:val="baseline"/>
          </w:rPr>
          <w:t>securing</w:t>
        </w:r>
        <w:r>
          <w:rPr>
            <w:spacing w:val="33"/>
            <w:vertAlign w:val="baseline"/>
          </w:rPr>
          <w:t> </w:t>
        </w:r>
        <w:r>
          <w:rPr>
            <w:vertAlign w:val="baseline"/>
          </w:rPr>
          <w:t>the</w:t>
        </w:r>
        <w:r>
          <w:rPr>
            <w:spacing w:val="33"/>
            <w:vertAlign w:val="baseline"/>
          </w:rPr>
          <w:t> </w:t>
        </w:r>
        <w:r>
          <w:rPr>
            <w:vertAlign w:val="baseline"/>
          </w:rPr>
          <w:t>actual</w:t>
        </w:r>
        <w:r>
          <w:rPr>
            <w:spacing w:val="33"/>
            <w:vertAlign w:val="baseline"/>
          </w:rPr>
          <w:t> </w:t>
        </w:r>
        <w:r>
          <w:rPr>
            <w:vertAlign w:val="baseline"/>
          </w:rPr>
          <w:t>payment</w:t>
        </w:r>
        <w:r>
          <w:rPr>
            <w:spacing w:val="33"/>
            <w:vertAlign w:val="baseline"/>
          </w:rPr>
          <w:t> </w:t>
        </w:r>
        <w:r>
          <w:rPr>
            <w:vertAlign w:val="baseline"/>
          </w:rPr>
          <w:t>of</w:t>
        </w:r>
        <w:r>
          <w:rPr>
            <w:spacing w:val="33"/>
            <w:vertAlign w:val="baseline"/>
          </w:rPr>
          <w:t> </w:t>
        </w:r>
        <w:r>
          <w:rPr>
            <w:vertAlign w:val="baseline"/>
          </w:rPr>
          <w:t>any</w:t>
        </w:r>
        <w:r>
          <w:rPr>
            <w:spacing w:val="33"/>
            <w:vertAlign w:val="baseline"/>
          </w:rPr>
          <w:t> </w:t>
        </w:r>
        <w:r>
          <w:rPr>
            <w:vertAlign w:val="baseline"/>
          </w:rPr>
          <w:t>damages</w:t>
        </w:r>
        <w:r>
          <w:rPr>
            <w:spacing w:val="33"/>
            <w:vertAlign w:val="baseline"/>
          </w:rPr>
          <w:t> </w:t>
        </w:r>
        <w:r>
          <w:rPr>
            <w:vertAlign w:val="baseline"/>
          </w:rPr>
          <w:t>and</w:t>
        </w:r>
        <w:r>
          <w:rPr>
            <w:spacing w:val="33"/>
            <w:vertAlign w:val="baseline"/>
          </w:rPr>
          <w:t> </w:t>
        </w:r>
        <w:r>
          <w:rPr>
            <w:vertAlign w:val="baseline"/>
          </w:rPr>
          <w:t>that</w:t>
        </w:r>
        <w:r>
          <w:rPr>
            <w:spacing w:val="33"/>
            <w:vertAlign w:val="baseline"/>
          </w:rPr>
          <w:t> </w:t>
        </w:r>
        <w:r>
          <w:rPr>
            <w:vertAlign w:val="baseline"/>
          </w:rPr>
          <w:t>the</w:t>
        </w:r>
        <w:r>
          <w:rPr>
            <w:spacing w:val="33"/>
            <w:vertAlign w:val="baseline"/>
          </w:rPr>
          <w:t> </w:t>
        </w:r>
        <w:r>
          <w:rPr>
            <w:spacing w:val="-2"/>
            <w:vertAlign w:val="baseline"/>
          </w:rPr>
          <w:t>claimant</w:t>
        </w:r>
      </w:hyperlink>
    </w:p>
    <w:p>
      <w:pPr>
        <w:pStyle w:val="BodyText"/>
        <w:spacing w:line="235" w:lineRule="auto" w:before="118"/>
        <w:ind w:left="165" w:right="167"/>
        <w:jc w:val="both"/>
      </w:pPr>
      <w:r>
        <w:rPr/>
        <w:t>might become insolvent before they are paid. </w:t>
      </w:r>
      <w:hyperlink w:history="true" w:anchor="_bookmark2225">
        <w:r>
          <w:rPr>
            <w:color w:val="005DA1"/>
            <w:u w:val="single" w:color="005DA1"/>
            <w:vertAlign w:val="superscript"/>
          </w:rPr>
          <w:t>1136</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712" name="Image 712"/>
              <wp:cNvGraphicFramePr>
                <a:graphicFrameLocks/>
              </wp:cNvGraphicFramePr>
              <a:graphic>
                <a:graphicData uri="http://schemas.openxmlformats.org/drawingml/2006/picture">
                  <pic:pic>
                    <pic:nvPicPr>
                      <pic:cNvPr id="712" name="Image 7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It is submitted that this may be relevant to </w:t>
        </w:r>
        <w:r>
          <w:rPr>
            <w:vertAlign w:val="baseline"/>
          </w:rPr>
          <w:t>an agreed damages clause. The claimant clearly has a legitimate interest in remaining solvent, and if the contract is sufficiently important to the claimant’s financial state that non-performance by the defendant coupled with a likely delay in recovering the damages would put the claimant’s solvency at serious risk, the claimant seems to have a legitimate interest in performance rather than damages.</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Preference for </w:t>
      </w:r>
      <w:r>
        <w:rPr>
          <w:rFonts w:ascii="Arial"/>
          <w:b/>
          <w:spacing w:val="-2"/>
          <w:sz w:val="18"/>
        </w:rPr>
        <w:t>performance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204</w:t>
      </w:r>
    </w:p>
    <w:p>
      <w:pPr>
        <w:spacing w:after="0"/>
        <w:jc w:val="left"/>
        <w:rPr>
          <w:rFonts w:ascii="Arial"/>
          <w:b/>
          <w:sz w:val="24"/>
        </w:rPr>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13" name="Image 713"/>
            <wp:cNvGraphicFramePr>
              <a:graphicFrameLocks/>
            </wp:cNvGraphicFramePr>
            <a:graphic>
              <a:graphicData uri="http://schemas.openxmlformats.org/drawingml/2006/picture">
                <pic:pic>
                  <pic:nvPicPr>
                    <pic:cNvPr id="713" name="Image 7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8"/>
        </w:rPr>
        <w:t> </w:t>
      </w:r>
      <w:r>
        <w:rPr/>
        <w:t>Specific performance will not be awarded merely because the claimant would prefer </w:t>
      </w:r>
      <w:r>
        <w:rPr/>
        <w:t>performance</w:t>
      </w:r>
      <w:r>
        <w:rPr>
          <w:spacing w:val="40"/>
        </w:rPr>
        <w:t> </w:t>
      </w:r>
      <w:bookmarkStart w:name="_bookmark2112" w:id="2114"/>
      <w:bookmarkEnd w:id="2114"/>
      <w:r>
        <w:rPr/>
        <w:t>to</w:t>
      </w:r>
      <w:r>
        <w:rPr>
          <w:spacing w:val="18"/>
        </w:rPr>
        <w:t> </w:t>
      </w:r>
      <w:r>
        <w:rPr/>
        <w:t>damages,</w:t>
      </w:r>
      <w:r>
        <w:rPr>
          <w:spacing w:val="18"/>
        </w:rPr>
        <w:t> </w:t>
      </w:r>
      <w:r>
        <w:rPr/>
        <w:t>if</w:t>
      </w:r>
      <w:r>
        <w:rPr>
          <w:spacing w:val="18"/>
        </w:rPr>
        <w:t> </w:t>
      </w:r>
      <w:r>
        <w:rPr/>
        <w:t>damages</w:t>
      </w:r>
      <w:r>
        <w:rPr>
          <w:spacing w:val="18"/>
        </w:rPr>
        <w:t> </w:t>
      </w:r>
      <w:r>
        <w:rPr/>
        <w:t>would</w:t>
      </w:r>
      <w:r>
        <w:rPr>
          <w:spacing w:val="18"/>
        </w:rPr>
        <w:t> </w:t>
      </w:r>
      <w:r>
        <w:rPr/>
        <w:t>be</w:t>
      </w:r>
      <w:r>
        <w:rPr>
          <w:spacing w:val="18"/>
        </w:rPr>
        <w:t> </w:t>
      </w:r>
      <w:r>
        <w:rPr/>
        <w:t>(or</w:t>
      </w:r>
      <w:r>
        <w:rPr>
          <w:spacing w:val="18"/>
        </w:rPr>
        <w:t> </w:t>
      </w:r>
      <w:r>
        <w:rPr/>
        <w:t>are</w:t>
      </w:r>
      <w:r>
        <w:rPr>
          <w:spacing w:val="18"/>
        </w:rPr>
        <w:t> </w:t>
      </w:r>
      <w:r>
        <w:rPr/>
        <w:t>likely</w:t>
      </w:r>
      <w:r>
        <w:rPr>
          <w:spacing w:val="18"/>
        </w:rPr>
        <w:t> </w:t>
      </w:r>
      <w:r>
        <w:rPr/>
        <w:t>to</w:t>
      </w:r>
      <w:r>
        <w:rPr>
          <w:spacing w:val="18"/>
        </w:rPr>
        <w:t> </w:t>
      </w:r>
      <w:r>
        <w:rPr/>
        <w:t>be)</w:t>
      </w:r>
      <w:r>
        <w:rPr>
          <w:spacing w:val="18"/>
        </w:rPr>
        <w:t> </w:t>
      </w:r>
      <w:r>
        <w:rPr/>
        <w:t>an</w:t>
      </w:r>
      <w:r>
        <w:rPr>
          <w:spacing w:val="18"/>
        </w:rPr>
        <w:t> </w:t>
      </w:r>
      <w:r>
        <w:rPr/>
        <w:t>adequate</w:t>
      </w:r>
      <w:r>
        <w:rPr>
          <w:spacing w:val="18"/>
        </w:rPr>
        <w:t> </w:t>
      </w:r>
      <w:r>
        <w:rPr/>
        <w:t>remedy.</w:t>
      </w:r>
      <w:r>
        <w:rPr>
          <w:spacing w:val="18"/>
        </w:rPr>
        <w:t> </w:t>
      </w:r>
      <w:r>
        <w:rPr/>
        <w:t>Equally,</w:t>
      </w:r>
      <w:r>
        <w:rPr>
          <w:spacing w:val="18"/>
        </w:rPr>
        <w:t> </w:t>
      </w:r>
      <w:r>
        <w:rPr/>
        <w:t>it</w:t>
      </w:r>
      <w:r>
        <w:rPr>
          <w:spacing w:val="18"/>
        </w:rPr>
        <w:t> </w:t>
      </w:r>
      <w:r>
        <w:rPr/>
        <w:t>is</w:t>
      </w:r>
      <w:r>
        <w:rPr>
          <w:spacing w:val="18"/>
        </w:rPr>
        <w:t> </w:t>
      </w:r>
      <w:r>
        <w:rPr>
          <w:spacing w:val="-2"/>
        </w:rPr>
        <w:t>submitted</w:t>
      </w:r>
    </w:p>
    <w:p>
      <w:pPr>
        <w:pStyle w:val="BodyText"/>
        <w:spacing w:before="116"/>
        <w:ind w:left="165"/>
        <w:jc w:val="both"/>
      </w:pPr>
      <w:bookmarkStart w:name="_bookmark2113" w:id="2115"/>
      <w:bookmarkEnd w:id="2115"/>
      <w:r>
        <w:rPr/>
      </w:r>
      <w:r>
        <w:rPr/>
        <w:t>that,</w:t>
      </w:r>
      <w:r>
        <w:rPr>
          <w:spacing w:val="10"/>
        </w:rPr>
        <w:t> </w:t>
      </w:r>
      <w:r>
        <w:rPr/>
        <w:t>despite</w:t>
      </w:r>
      <w:r>
        <w:rPr>
          <w:spacing w:val="11"/>
        </w:rPr>
        <w:t> </w:t>
      </w:r>
      <w:r>
        <w:rPr/>
        <w:t>another</w:t>
      </w:r>
      <w:r>
        <w:rPr>
          <w:spacing w:val="11"/>
        </w:rPr>
        <w:t> </w:t>
      </w:r>
      <w:r>
        <w:rPr/>
        <w:t>analogy</w:t>
      </w:r>
      <w:r>
        <w:rPr>
          <w:spacing w:val="10"/>
        </w:rPr>
        <w:t> </w:t>
      </w:r>
      <w:r>
        <w:rPr/>
        <w:t>which</w:t>
      </w:r>
      <w:r>
        <w:rPr>
          <w:spacing w:val="11"/>
        </w:rPr>
        <w:t> </w:t>
      </w:r>
      <w:r>
        <w:rPr/>
        <w:t>will</w:t>
      </w:r>
      <w:r>
        <w:rPr>
          <w:spacing w:val="11"/>
        </w:rPr>
        <w:t> </w:t>
      </w:r>
      <w:r>
        <w:rPr/>
        <w:t>be</w:t>
      </w:r>
      <w:r>
        <w:rPr>
          <w:spacing w:val="11"/>
        </w:rPr>
        <w:t> </w:t>
      </w:r>
      <w:r>
        <w:rPr/>
        <w:t>considered</w:t>
      </w:r>
      <w:r>
        <w:rPr>
          <w:spacing w:val="10"/>
        </w:rPr>
        <w:t> </w:t>
      </w:r>
      <w:r>
        <w:rPr/>
        <w:t>in</w:t>
      </w:r>
      <w:r>
        <w:rPr>
          <w:spacing w:val="11"/>
        </w:rPr>
        <w:t> </w:t>
      </w:r>
      <w:r>
        <w:rPr/>
        <w:t>the</w:t>
      </w:r>
      <w:r>
        <w:rPr>
          <w:spacing w:val="11"/>
        </w:rPr>
        <w:t> </w:t>
      </w:r>
      <w:r>
        <w:rPr/>
        <w:t>next</w:t>
      </w:r>
      <w:r>
        <w:rPr>
          <w:spacing w:val="11"/>
        </w:rPr>
        <w:t> </w:t>
      </w:r>
      <w:r>
        <w:rPr/>
        <w:t>paragraph,</w:t>
      </w:r>
      <w:r>
        <w:rPr>
          <w:spacing w:val="9"/>
        </w:rPr>
        <w:t> </w:t>
      </w:r>
      <w:hyperlink w:history="true" w:anchor="_bookmark2226">
        <w:r>
          <w:rPr>
            <w:color w:val="005DA1"/>
            <w:u w:val="single" w:color="005DA1"/>
            <w:vertAlign w:val="superscript"/>
          </w:rPr>
          <w:t>1137</w:t>
        </w:r>
        <w:r>
          <w:rPr>
            <w:color w:val="005DA1"/>
            <w:spacing w:val="44"/>
            <w:vertAlign w:val="baseline"/>
          </w:rPr>
          <w:t>  </w:t>
        </w:r>
        <w:r>
          <w:rPr>
            <w:color w:val="005DA1"/>
            <w:spacing w:val="-18"/>
            <w:position w:val="-2"/>
            <w:vertAlign w:val="baseline"/>
          </w:rPr>
          <w:drawing>
            <wp:inline distT="0" distB="0" distL="0" distR="0">
              <wp:extent cx="107988" cy="107988"/>
              <wp:effectExtent l="0" t="0" r="0" b="0"/>
              <wp:docPr id="714" name="Image 714"/>
              <wp:cNvGraphicFramePr>
                <a:graphicFrameLocks/>
              </wp:cNvGraphicFramePr>
              <a:graphic>
                <a:graphicData uri="http://schemas.openxmlformats.org/drawingml/2006/picture">
                  <pic:pic>
                    <pic:nvPicPr>
                      <pic:cNvPr id="714" name="Image 7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5"/>
            <w:vertAlign w:val="baseline"/>
          </w:rPr>
          <w:t> </w:t>
        </w:r>
        <w:r>
          <w:rPr>
            <w:vertAlign w:val="baseline"/>
          </w:rPr>
          <w:t>the</w:t>
        </w:r>
        <w:r>
          <w:rPr>
            <w:spacing w:val="11"/>
            <w:vertAlign w:val="baseline"/>
          </w:rPr>
          <w:t> </w:t>
        </w:r>
        <w:r>
          <w:rPr>
            <w:vertAlign w:val="baseline"/>
          </w:rPr>
          <w:t>decision</w:t>
        </w:r>
        <w:r>
          <w:rPr>
            <w:spacing w:val="11"/>
            <w:vertAlign w:val="baseline"/>
          </w:rPr>
          <w:t> </w:t>
        </w:r>
        <w:r>
          <w:rPr>
            <w:spacing w:val="-5"/>
            <w:vertAlign w:val="baseline"/>
          </w:rPr>
          <w:t>in</w:t>
        </w:r>
      </w:hyperlink>
    </w:p>
    <w:p>
      <w:pPr>
        <w:pStyle w:val="BodyText"/>
        <w:spacing w:line="235" w:lineRule="auto" w:before="119"/>
        <w:ind w:left="165" w:right="167"/>
        <w:jc w:val="both"/>
      </w:pPr>
      <w:r>
        <w:rPr/>
        <w:t>the </w:t>
      </w:r>
      <w:r>
        <w:rPr>
          <w:rFonts w:ascii="Arial"/>
          <w:i/>
        </w:rPr>
        <w:t>Cavendish Square </w:t>
      </w:r>
      <w:r>
        <w:rPr/>
        <w:t>case </w:t>
      </w:r>
      <w:hyperlink w:history="true" w:anchor="_bookmark2227">
        <w:r>
          <w:rPr>
            <w:color w:val="005DA1"/>
            <w:u w:val="single" w:color="005DA1"/>
            <w:vertAlign w:val="superscript"/>
          </w:rPr>
          <w:t>1138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715" name="Image 715"/>
              <wp:cNvGraphicFramePr>
                <a:graphicFrameLocks/>
              </wp:cNvGraphicFramePr>
              <a:graphic>
                <a:graphicData uri="http://schemas.openxmlformats.org/drawingml/2006/picture">
                  <pic:pic>
                    <pic:nvPicPr>
                      <pic:cNvPr id="715" name="Image 7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40"/>
            <w:vertAlign w:val="baseline"/>
          </w:rPr>
          <w:t> </w:t>
        </w:r>
        <w:r>
          <w:rPr>
            <w:vertAlign w:val="baseline"/>
          </w:rPr>
          <w:t>does not mean that a party who simply has a preference </w:t>
        </w:r>
        <w:r>
          <w:rPr>
            <w:vertAlign w:val="baseline"/>
          </w:rPr>
          <w:t>for performance (which would presumably include most contracting parties, unless they have come to regret entering the contract) has a legitimate interest in deterring breach sufficient to justify an agreed damages clause that is aimed at deterring breach rather than being a genuine pre-estimate of the </w:t>
        </w:r>
        <w:bookmarkStart w:name="_bookmark2114" w:id="2116"/>
        <w:bookmarkEnd w:id="2116"/>
        <w:r>
          <w:rPr>
            <w:vertAlign w:val="baseline"/>
          </w:rPr>
          <w:t>loss.</w:t>
        </w:r>
        <w:r>
          <w:rPr>
            <w:spacing w:val="32"/>
            <w:vertAlign w:val="baseline"/>
          </w:rPr>
          <w:t> </w:t>
        </w:r>
        <w:r>
          <w:rPr>
            <w:vertAlign w:val="baseline"/>
          </w:rPr>
          <w:t>To</w:t>
        </w:r>
        <w:r>
          <w:rPr>
            <w:spacing w:val="32"/>
            <w:vertAlign w:val="baseline"/>
          </w:rPr>
          <w:t> </w:t>
        </w:r>
        <w:r>
          <w:rPr>
            <w:vertAlign w:val="baseline"/>
          </w:rPr>
          <w:t>put</w:t>
        </w:r>
        <w:r>
          <w:rPr>
            <w:spacing w:val="32"/>
            <w:vertAlign w:val="baseline"/>
          </w:rPr>
          <w:t> </w:t>
        </w:r>
        <w:r>
          <w:rPr>
            <w:vertAlign w:val="baseline"/>
          </w:rPr>
          <w:t>the</w:t>
        </w:r>
        <w:r>
          <w:rPr>
            <w:spacing w:val="32"/>
            <w:vertAlign w:val="baseline"/>
          </w:rPr>
          <w:t> </w:t>
        </w:r>
        <w:r>
          <w:rPr>
            <w:vertAlign w:val="baseline"/>
          </w:rPr>
          <w:t>point</w:t>
        </w:r>
        <w:r>
          <w:rPr>
            <w:spacing w:val="32"/>
            <w:vertAlign w:val="baseline"/>
          </w:rPr>
          <w:t> </w:t>
        </w:r>
        <w:r>
          <w:rPr>
            <w:vertAlign w:val="baseline"/>
          </w:rPr>
          <w:t>another</w:t>
        </w:r>
        <w:r>
          <w:rPr>
            <w:spacing w:val="32"/>
            <w:vertAlign w:val="baseline"/>
          </w:rPr>
          <w:t> </w:t>
        </w:r>
        <w:r>
          <w:rPr>
            <w:vertAlign w:val="baseline"/>
          </w:rPr>
          <w:t>way,</w:t>
        </w:r>
        <w:r>
          <w:rPr>
            <w:spacing w:val="32"/>
            <w:vertAlign w:val="baseline"/>
          </w:rPr>
          <w:t> </w:t>
        </w:r>
        <w:r>
          <w:rPr>
            <w:vertAlign w:val="baseline"/>
          </w:rPr>
          <w:t>whether</w:t>
        </w:r>
        <w:r>
          <w:rPr>
            <w:spacing w:val="32"/>
            <w:vertAlign w:val="baseline"/>
          </w:rPr>
          <w:t> </w:t>
        </w:r>
        <w:r>
          <w:rPr>
            <w:vertAlign w:val="baseline"/>
          </w:rPr>
          <w:t>the</w:t>
        </w:r>
        <w:r>
          <w:rPr>
            <w:spacing w:val="32"/>
            <w:vertAlign w:val="baseline"/>
          </w:rPr>
          <w:t> </w:t>
        </w:r>
        <w:r>
          <w:rPr>
            <w:vertAlign w:val="baseline"/>
          </w:rPr>
          <w:t>claimant</w:t>
        </w:r>
        <w:r>
          <w:rPr>
            <w:spacing w:val="32"/>
            <w:vertAlign w:val="baseline"/>
          </w:rPr>
          <w:t> </w:t>
        </w:r>
        <w:r>
          <w:rPr>
            <w:vertAlign w:val="baseline"/>
          </w:rPr>
          <w:t>has</w:t>
        </w:r>
        <w:r>
          <w:rPr>
            <w:spacing w:val="32"/>
            <w:vertAlign w:val="baseline"/>
          </w:rPr>
          <w:t> </w:t>
        </w:r>
        <w:r>
          <w:rPr>
            <w:vertAlign w:val="baseline"/>
          </w:rPr>
          <w:t>a</w:t>
        </w:r>
        <w:r>
          <w:rPr>
            <w:spacing w:val="32"/>
            <w:vertAlign w:val="baseline"/>
          </w:rPr>
          <w:t> </w:t>
        </w:r>
        <w:r>
          <w:rPr>
            <w:vertAlign w:val="baseline"/>
          </w:rPr>
          <w:t>legitimate</w:t>
        </w:r>
        <w:r>
          <w:rPr>
            <w:spacing w:val="32"/>
            <w:vertAlign w:val="baseline"/>
          </w:rPr>
          <w:t> </w:t>
        </w:r>
        <w:r>
          <w:rPr>
            <w:vertAlign w:val="baseline"/>
          </w:rPr>
          <w:t>interest</w:t>
        </w:r>
        <w:r>
          <w:rPr>
            <w:spacing w:val="32"/>
            <w:vertAlign w:val="baseline"/>
          </w:rPr>
          <w:t> </w:t>
        </w:r>
        <w:r>
          <w:rPr>
            <w:vertAlign w:val="baseline"/>
          </w:rPr>
          <w:t>in</w:t>
        </w:r>
        <w:r>
          <w:rPr>
            <w:spacing w:val="32"/>
            <w:vertAlign w:val="baseline"/>
          </w:rPr>
          <w:t> </w:t>
        </w:r>
        <w:r>
          <w:rPr>
            <w:spacing w:val="-2"/>
            <w:vertAlign w:val="baseline"/>
          </w:rPr>
          <w:t>performance</w:t>
        </w:r>
      </w:hyperlink>
    </w:p>
    <w:p>
      <w:pPr>
        <w:pStyle w:val="BodyText"/>
        <w:spacing w:line="235" w:lineRule="auto" w:before="118"/>
        <w:ind w:left="165" w:right="167"/>
        <w:jc w:val="both"/>
      </w:pPr>
      <w:r>
        <w:rPr/>
        <w:t>rather than damages seems to be an objective test. </w:t>
      </w:r>
      <w:hyperlink w:history="true" w:anchor="_bookmark2228">
        <w:r>
          <w:rPr>
            <w:color w:val="005DA1"/>
            <w:u w:val="single" w:color="005DA1"/>
            <w:vertAlign w:val="superscript"/>
          </w:rPr>
          <w:t>1139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16" name="Image 716"/>
              <wp:cNvGraphicFramePr>
                <a:graphicFrameLocks/>
              </wp:cNvGraphicFramePr>
              <a:graphic>
                <a:graphicData uri="http://schemas.openxmlformats.org/drawingml/2006/picture">
                  <pic:pic>
                    <pic:nvPicPr>
                      <pic:cNvPr id="716" name="Image 7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It is submitted further that the </w:t>
        </w:r>
        <w:r>
          <w:rPr>
            <w:vertAlign w:val="baseline"/>
          </w:rPr>
          <w:t>claimant would not be able to overcome this by showing that it had paid a higher price to the defendant than it would have had to pay had the clause not been included in the contract.</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Continuing performance after a </w:t>
      </w:r>
      <w:r>
        <w:rPr>
          <w:rFonts w:ascii="Arial"/>
          <w:b/>
          <w:spacing w:val="-2"/>
          <w:sz w:val="18"/>
        </w:rPr>
        <w:t>repudiation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205</w:t>
      </w:r>
    </w:p>
    <w:p>
      <w:pPr>
        <w:pStyle w:val="BodyText"/>
        <w:spacing w:before="209"/>
        <w:rPr>
          <w:rFonts w:ascii="Arial"/>
          <w:b/>
        </w:rPr>
      </w:pPr>
    </w:p>
    <w:p>
      <w:pPr>
        <w:pStyle w:val="BodyText"/>
        <w:ind w:left="164"/>
        <w:jc w:val="both"/>
      </w:pPr>
      <w:r>
        <w:rPr>
          <w:position w:val="-2"/>
        </w:rPr>
        <w:drawing>
          <wp:inline distT="0" distB="0" distL="0" distR="0">
            <wp:extent cx="107988" cy="107988"/>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2115" w:id="2117"/>
      <w:bookmarkEnd w:id="2117"/>
      <w:r>
        <w:rPr>
          <w:rFonts w:ascii="Times New Roman"/>
          <w:spacing w:val="16"/>
        </w:rPr>
      </w:r>
      <w:bookmarkStart w:name="_bookmark2116" w:id="2118"/>
      <w:bookmarkEnd w:id="2118"/>
      <w:r>
        <w:rPr>
          <w:rFonts w:ascii="Times New Roman"/>
          <w:spacing w:val="16"/>
        </w:rPr>
      </w:r>
      <w:r>
        <w:rPr/>
        <w:t>Lords</w:t>
      </w:r>
      <w:r>
        <w:rPr>
          <w:spacing w:val="11"/>
        </w:rPr>
        <w:t> </w:t>
      </w:r>
      <w:r>
        <w:rPr/>
        <w:t>Neuberger</w:t>
      </w:r>
      <w:r>
        <w:rPr>
          <w:spacing w:val="11"/>
        </w:rPr>
        <w:t> </w:t>
      </w:r>
      <w:r>
        <w:rPr/>
        <w:t>and</w:t>
      </w:r>
      <w:r>
        <w:rPr>
          <w:spacing w:val="11"/>
        </w:rPr>
        <w:t> </w:t>
      </w:r>
      <w:r>
        <w:rPr/>
        <w:t>Sumption</w:t>
      </w:r>
      <w:r>
        <w:rPr>
          <w:spacing w:val="10"/>
        </w:rPr>
        <w:t> </w:t>
      </w:r>
      <w:hyperlink w:history="true" w:anchor="_bookmark2229">
        <w:r>
          <w:rPr>
            <w:color w:val="005DA1"/>
            <w:u w:val="single" w:color="005DA1"/>
            <w:vertAlign w:val="superscript"/>
          </w:rPr>
          <w:t>1140</w:t>
        </w:r>
        <w:r>
          <w:rPr>
            <w:color w:val="005DA1"/>
            <w:spacing w:val="44"/>
            <w:vertAlign w:val="baseline"/>
          </w:rPr>
          <w:t>  </w:t>
        </w:r>
        <w:r>
          <w:rPr>
            <w:color w:val="005DA1"/>
            <w:spacing w:val="-22"/>
            <w:position w:val="-2"/>
            <w:vertAlign w:val="baseline"/>
          </w:rPr>
          <w:drawing>
            <wp:inline distT="0" distB="0" distL="0" distR="0">
              <wp:extent cx="107988" cy="107988"/>
              <wp:effectExtent l="0" t="0" r="0" b="0"/>
              <wp:docPr id="718" name="Image 718"/>
              <wp:cNvGraphicFramePr>
                <a:graphicFrameLocks/>
              </wp:cNvGraphicFramePr>
              <a:graphic>
                <a:graphicData uri="http://schemas.openxmlformats.org/drawingml/2006/picture">
                  <pic:pic>
                    <pic:nvPicPr>
                      <pic:cNvPr id="718" name="Image 7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8"/>
            <w:vertAlign w:val="baseline"/>
          </w:rPr>
          <w:t> </w:t>
        </w:r>
        <w:r>
          <w:rPr>
            <w:vertAlign w:val="baseline"/>
          </w:rPr>
          <w:t>also</w:t>
        </w:r>
        <w:r>
          <w:rPr>
            <w:spacing w:val="11"/>
            <w:vertAlign w:val="baseline"/>
          </w:rPr>
          <w:t> </w:t>
        </w:r>
        <w:r>
          <w:rPr>
            <w:vertAlign w:val="baseline"/>
          </w:rPr>
          <w:t>referred</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line</w:t>
        </w:r>
        <w:r>
          <w:rPr>
            <w:spacing w:val="11"/>
            <w:vertAlign w:val="baseline"/>
          </w:rPr>
          <w:t> </w:t>
        </w:r>
        <w:r>
          <w:rPr>
            <w:vertAlign w:val="baseline"/>
          </w:rPr>
          <w:t>of</w:t>
        </w:r>
        <w:r>
          <w:rPr>
            <w:spacing w:val="11"/>
            <w:vertAlign w:val="baseline"/>
          </w:rPr>
          <w:t> </w:t>
        </w:r>
        <w:r>
          <w:rPr>
            <w:vertAlign w:val="baseline"/>
          </w:rPr>
          <w:t>cases,</w:t>
        </w:r>
        <w:r>
          <w:rPr>
            <w:spacing w:val="11"/>
            <w:vertAlign w:val="baseline"/>
          </w:rPr>
          <w:t> </w:t>
        </w:r>
        <w:r>
          <w:rPr>
            <w:vertAlign w:val="baseline"/>
          </w:rPr>
          <w:t>starting</w:t>
        </w:r>
        <w:r>
          <w:rPr>
            <w:spacing w:val="11"/>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dictum</w:t>
        </w:r>
        <w:r>
          <w:rPr>
            <w:spacing w:val="11"/>
            <w:vertAlign w:val="baseline"/>
          </w:rPr>
          <w:t> </w:t>
        </w:r>
        <w:r>
          <w:rPr>
            <w:vertAlign w:val="baseline"/>
          </w:rPr>
          <w:t>of</w:t>
        </w:r>
      </w:hyperlink>
    </w:p>
    <w:p>
      <w:pPr>
        <w:pStyle w:val="BodyText"/>
        <w:spacing w:line="235" w:lineRule="auto" w:before="119"/>
        <w:ind w:left="165" w:right="167"/>
        <w:jc w:val="both"/>
      </w:pPr>
      <w:r>
        <w:rPr/>
        <w:t>Lord Reid in </w:t>
      </w:r>
      <w:r>
        <w:rPr>
          <w:rFonts w:ascii="Arial" w:hAnsi="Arial"/>
          <w:i/>
        </w:rPr>
        <w:t>White &amp; Carter (Councils) Ltd v McGregor</w:t>
      </w:r>
      <w:r>
        <w:rPr/>
        <w:t>, </w:t>
      </w:r>
      <w:hyperlink w:history="true" w:anchor="_bookmark2230">
        <w:r>
          <w:rPr>
            <w:color w:val="005DA1"/>
            <w:u w:val="single" w:color="005DA1"/>
            <w:vertAlign w:val="superscript"/>
          </w:rPr>
          <w:t>1141</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to the effect that a party faced with a wrongful</w:t>
        </w:r>
        <w:r>
          <w:rPr>
            <w:spacing w:val="-2"/>
            <w:vertAlign w:val="baseline"/>
          </w:rPr>
          <w:t> </w:t>
        </w:r>
        <w:r>
          <w:rPr>
            <w:vertAlign w:val="baseline"/>
          </w:rPr>
          <w:t>repudiation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may,</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continue</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his</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 without the repudiating party’s co-operation, ignore the repudiation, perform his part and sue for </w:t>
        </w:r>
        <w:r>
          <w:rPr>
            <w:vertAlign w:val="baseline"/>
          </w:rPr>
          <w:t>the </w:t>
        </w:r>
        <w:bookmarkStart w:name="_bookmark2117" w:id="2119"/>
        <w:bookmarkEnd w:id="2119"/>
        <w:r>
          <w:rPr>
            <w:vertAlign w:val="baseline"/>
          </w:rPr>
          <w:t>agreed</w:t>
        </w:r>
        <w:r>
          <w:rPr>
            <w:spacing w:val="12"/>
            <w:vertAlign w:val="baseline"/>
          </w:rPr>
          <w:t> </w:t>
        </w:r>
        <w:r>
          <w:rPr>
            <w:vertAlign w:val="baseline"/>
          </w:rPr>
          <w:t>price</w:t>
        </w:r>
        <w:r>
          <w:rPr>
            <w:spacing w:val="12"/>
            <w:vertAlign w:val="baseline"/>
          </w:rPr>
          <w:t> </w:t>
        </w:r>
        <w:r>
          <w:rPr>
            <w:vertAlign w:val="baseline"/>
          </w:rPr>
          <w:t>unless</w:t>
        </w:r>
        <w:r>
          <w:rPr>
            <w:spacing w:val="12"/>
            <w:vertAlign w:val="baseline"/>
          </w:rPr>
          <w:t> </w:t>
        </w:r>
        <w:r>
          <w:rPr>
            <w:vertAlign w:val="baseline"/>
          </w:rPr>
          <w:t>he</w:t>
        </w:r>
        <w:r>
          <w:rPr>
            <w:spacing w:val="12"/>
            <w:vertAlign w:val="baseline"/>
          </w:rPr>
          <w:t> </w:t>
        </w:r>
        <w:r>
          <w:rPr>
            <w:vertAlign w:val="baseline"/>
          </w:rPr>
          <w:t>has</w:t>
        </w:r>
        <w:r>
          <w:rPr>
            <w:spacing w:val="12"/>
            <w:vertAlign w:val="baseline"/>
          </w:rPr>
          <w:t> </w:t>
        </w:r>
        <w:r>
          <w:rPr>
            <w:vertAlign w:val="baseline"/>
          </w:rPr>
          <w:t>no</w:t>
        </w:r>
        <w:r>
          <w:rPr>
            <w:spacing w:val="12"/>
            <w:vertAlign w:val="baseline"/>
          </w:rPr>
          <w:t> </w:t>
        </w:r>
        <w:r>
          <w:rPr>
            <w:vertAlign w:val="baseline"/>
          </w:rPr>
          <w:t>legitimate</w:t>
        </w:r>
        <w:r>
          <w:rPr>
            <w:spacing w:val="12"/>
            <w:vertAlign w:val="baseline"/>
          </w:rPr>
          <w:t> </w:t>
        </w:r>
        <w:r>
          <w:rPr>
            <w:vertAlign w:val="baseline"/>
          </w:rPr>
          <w:t>interest</w:t>
        </w:r>
        <w:r>
          <w:rPr>
            <w:spacing w:val="12"/>
            <w:vertAlign w:val="baseline"/>
          </w:rPr>
          <w:t> </w:t>
        </w:r>
        <w:r>
          <w:rPr>
            <w:vertAlign w:val="baseline"/>
          </w:rPr>
          <w:t>in</w:t>
        </w:r>
        <w:r>
          <w:rPr>
            <w:spacing w:val="12"/>
            <w:vertAlign w:val="baseline"/>
          </w:rPr>
          <w:t> </w:t>
        </w:r>
        <w:r>
          <w:rPr>
            <w:vertAlign w:val="baseline"/>
          </w:rPr>
          <w:t>doing</w:t>
        </w:r>
        <w:r>
          <w:rPr>
            <w:spacing w:val="12"/>
            <w:vertAlign w:val="baseline"/>
          </w:rPr>
          <w:t> </w:t>
        </w:r>
        <w:r>
          <w:rPr>
            <w:vertAlign w:val="baseline"/>
          </w:rPr>
          <w:t>so.</w:t>
        </w:r>
        <w:r>
          <w:rPr>
            <w:spacing w:val="12"/>
            <w:vertAlign w:val="baseline"/>
          </w:rPr>
          <w:t> </w:t>
        </w:r>
        <w:r>
          <w:rPr>
            <w:vertAlign w:val="baseline"/>
          </w:rPr>
          <w:t>The</w:t>
        </w:r>
        <w:r>
          <w:rPr>
            <w:spacing w:val="12"/>
            <w:vertAlign w:val="baseline"/>
          </w:rPr>
          <w:t> </w:t>
        </w:r>
        <w:r>
          <w:rPr>
            <w:vertAlign w:val="baseline"/>
          </w:rPr>
          <w:t>Court</w:t>
        </w:r>
        <w:r>
          <w:rPr>
            <w:spacing w:val="12"/>
            <w:vertAlign w:val="baseline"/>
          </w:rPr>
          <w:t> </w:t>
        </w:r>
        <w:r>
          <w:rPr>
            <w:vertAlign w:val="baseline"/>
          </w:rPr>
          <w:t>of</w:t>
        </w:r>
        <w:r>
          <w:rPr>
            <w:spacing w:val="12"/>
            <w:vertAlign w:val="baseline"/>
          </w:rPr>
          <w:t> </w:t>
        </w:r>
        <w:r>
          <w:rPr>
            <w:vertAlign w:val="baseline"/>
          </w:rPr>
          <w:t>Appeal</w:t>
        </w:r>
        <w:r>
          <w:rPr>
            <w:spacing w:val="12"/>
            <w:vertAlign w:val="baseline"/>
          </w:rPr>
          <w:t> </w:t>
        </w:r>
        <w:r>
          <w:rPr>
            <w:vertAlign w:val="baseline"/>
          </w:rPr>
          <w:t>has</w:t>
        </w:r>
        <w:r>
          <w:rPr>
            <w:spacing w:val="12"/>
            <w:vertAlign w:val="baseline"/>
          </w:rPr>
          <w:t> </w:t>
        </w:r>
        <w:r>
          <w:rPr>
            <w:vertAlign w:val="baseline"/>
          </w:rPr>
          <w:t>accepted</w:t>
        </w:r>
        <w:r>
          <w:rPr>
            <w:spacing w:val="12"/>
            <w:vertAlign w:val="baseline"/>
          </w:rPr>
          <w:t> </w:t>
        </w:r>
        <w:r>
          <w:rPr>
            <w:spacing w:val="-5"/>
            <w:vertAlign w:val="baseline"/>
          </w:rPr>
          <w:t>the</w:t>
        </w:r>
      </w:hyperlink>
    </w:p>
    <w:p>
      <w:pPr>
        <w:pStyle w:val="BodyText"/>
        <w:spacing w:line="235" w:lineRule="auto" w:before="119"/>
        <w:ind w:left="165" w:right="167"/>
        <w:jc w:val="both"/>
      </w:pPr>
      <w:r>
        <w:rPr/>
        <w:t>“no legitimate interest” restriction as part of the law. </w:t>
      </w:r>
      <w:hyperlink w:history="true" w:anchor="_bookmark2231">
        <w:r>
          <w:rPr>
            <w:color w:val="005DA1"/>
            <w:u w:val="single" w:color="005DA1"/>
            <w:vertAlign w:val="superscript"/>
          </w:rPr>
          <w:t>1142</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40"/>
            <w:vertAlign w:val="baseline"/>
          </w:rPr>
          <w:t> </w:t>
        </w:r>
        <w:r>
          <w:rPr>
            <w:vertAlign w:val="baseline"/>
          </w:rPr>
          <w:t>But in the context of repudiation, </w:t>
        </w:r>
        <w:r>
          <w:rPr>
            <w:vertAlign w:val="baseline"/>
          </w:rPr>
          <w:t>the concept of legitimate interest operates not as a reason for allowing an additional remedy but as a restriction on the right to keep the contract in force, a restriction that allows the right to be exercised except in fairly extreme cases. Facts that have been mentioned as possibly justifying an innocent party in continuing to perform and claiming the price despite the repudiation have included that the </w:t>
        </w:r>
        <w:bookmarkStart w:name="_bookmark2118" w:id="2120"/>
        <w:bookmarkEnd w:id="2120"/>
        <w:r>
          <w:rPr>
            <w:vertAlign w:val="baseline"/>
          </w:rPr>
          <w:t>shipowner</w:t>
        </w:r>
        <w:r>
          <w:rPr>
            <w:vertAlign w:val="baseline"/>
          </w:rPr>
          <w:t> faced with a wrongful repudiation by the charterer would, if the owner could not claim the hire,</w:t>
        </w:r>
        <w:r>
          <w:rPr>
            <w:spacing w:val="1"/>
            <w:vertAlign w:val="baseline"/>
          </w:rPr>
          <w:t> </w:t>
        </w:r>
        <w:r>
          <w:rPr>
            <w:vertAlign w:val="baseline"/>
          </w:rPr>
          <w:t>be</w:t>
        </w:r>
        <w:r>
          <w:rPr>
            <w:spacing w:val="1"/>
            <w:vertAlign w:val="baseline"/>
          </w:rPr>
          <w:t> </w:t>
        </w:r>
        <w:r>
          <w:rPr>
            <w:vertAlign w:val="baseline"/>
          </w:rPr>
          <w:t>left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burden</w:t>
        </w:r>
        <w:r>
          <w:rPr>
            <w:spacing w:val="1"/>
            <w:vertAlign w:val="baseline"/>
          </w:rPr>
          <w:t> </w:t>
        </w:r>
        <w:r>
          <w:rPr>
            <w:vertAlign w:val="baseline"/>
          </w:rPr>
          <w:t>of</w:t>
        </w:r>
        <w:r>
          <w:rPr>
            <w:spacing w:val="1"/>
            <w:vertAlign w:val="baseline"/>
          </w:rPr>
          <w:t> </w:t>
        </w:r>
        <w:r>
          <w:rPr>
            <w:vertAlign w:val="baseline"/>
          </w:rPr>
          <w:t>re-letting</w:t>
        </w:r>
        <w:r>
          <w:rPr>
            <w:spacing w:val="1"/>
            <w:vertAlign w:val="baseline"/>
          </w:rPr>
          <w:t> </w:t>
        </w:r>
        <w:r>
          <w:rPr>
            <w:vertAlign w:val="baseline"/>
          </w:rPr>
          <w:t>the</w:t>
        </w:r>
        <w:r>
          <w:rPr>
            <w:spacing w:val="1"/>
            <w:vertAlign w:val="baseline"/>
          </w:rPr>
          <w:t> </w:t>
        </w:r>
        <w:r>
          <w:rPr>
            <w:vertAlign w:val="baseline"/>
          </w:rPr>
          <w:t>ship</w:t>
        </w:r>
        <w:r>
          <w:rPr>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charterer</w:t>
        </w:r>
        <w:r>
          <w:rPr>
            <w:spacing w:val="1"/>
            <w:vertAlign w:val="baseline"/>
          </w:rPr>
          <w:t> </w:t>
        </w:r>
        <w:r>
          <w:rPr>
            <w:vertAlign w:val="baseline"/>
          </w:rPr>
          <w:t>having</w:t>
        </w:r>
        <w:r>
          <w:rPr>
            <w:spacing w:val="1"/>
            <w:vertAlign w:val="baseline"/>
          </w:rPr>
          <w:t> </w:t>
        </w:r>
        <w:r>
          <w:rPr>
            <w:vertAlign w:val="baseline"/>
          </w:rPr>
          <w:t>to</w:t>
        </w:r>
        <w:r>
          <w:rPr>
            <w:spacing w:val="1"/>
            <w:vertAlign w:val="baseline"/>
          </w:rPr>
          <w:t> </w:t>
        </w:r>
        <w:r>
          <w:rPr>
            <w:vertAlign w:val="baseline"/>
          </w:rPr>
          <w:t>find</w:t>
        </w:r>
        <w:r>
          <w:rPr>
            <w:spacing w:val="1"/>
            <w:vertAlign w:val="baseline"/>
          </w:rPr>
          <w:t> </w:t>
        </w:r>
        <w:r>
          <w:rPr>
            <w:vertAlign w:val="baseline"/>
          </w:rPr>
          <w:t>a</w:t>
        </w:r>
        <w:r>
          <w:rPr>
            <w:spacing w:val="1"/>
            <w:vertAlign w:val="baseline"/>
          </w:rPr>
          <w:t> </w:t>
        </w:r>
        <w:r>
          <w:rPr>
            <w:vertAlign w:val="baseline"/>
          </w:rPr>
          <w:t>use</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color w:val="005DA1"/>
            <w:spacing w:val="-8"/>
            <w:u w:val="single" w:color="005DA1"/>
            <w:vertAlign w:val="superscript"/>
          </w:rPr>
          <w:t>1143</w:t>
        </w:r>
      </w:hyperlink>
    </w:p>
    <w:p>
      <w:pPr>
        <w:pStyle w:val="BodyText"/>
        <w:spacing w:before="7"/>
      </w:pPr>
    </w:p>
    <w:p>
      <w:pPr>
        <w:pStyle w:val="BodyText"/>
        <w:spacing w:line="235" w:lineRule="auto"/>
        <w:ind w:left="165" w:right="167" w:firstLine="291"/>
        <w:jc w:val="right"/>
      </w:pPr>
      <w:r>
        <w:rPr/>
        <w:drawing>
          <wp:anchor distT="0" distB="0" distL="0" distR="0" allowOverlap="1" layoutInCell="1" locked="0" behindDoc="0" simplePos="0" relativeHeight="15847424">
            <wp:simplePos x="0" y="0"/>
            <wp:positionH relativeFrom="page">
              <wp:posOffset>991361</wp:posOffset>
            </wp:positionH>
            <wp:positionV relativeFrom="paragraph">
              <wp:posOffset>25698</wp:posOffset>
            </wp:positionV>
            <wp:extent cx="107988" cy="107988"/>
            <wp:effectExtent l="0" t="0" r="0" b="0"/>
            <wp:wrapNone/>
            <wp:docPr id="721" name="Image 721"/>
            <wp:cNvGraphicFramePr>
              <a:graphicFrameLocks/>
            </wp:cNvGraphicFramePr>
            <a:graphic>
              <a:graphicData uri="http://schemas.openxmlformats.org/drawingml/2006/picture">
                <pic:pic>
                  <pic:nvPicPr>
                    <pic:cNvPr id="721" name="Image 7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19" w:id="2121"/>
      <w:bookmarkEnd w:id="2121"/>
      <w:r>
        <w:rPr/>
      </w:r>
      <w:r>
        <w:rPr/>
        <w:t>; that the charter hire might have been assigned to a bank as security for a loan </w:t>
      </w:r>
      <w:r>
        <w:rPr>
          <w:color w:val="005DA1"/>
          <w:u w:val="single" w:color="005DA1"/>
          <w:vertAlign w:val="superscript"/>
        </w:rPr>
        <w:t>1144</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722" name="Image 722"/>
            <wp:cNvGraphicFramePr>
              <a:graphicFrameLocks/>
            </wp:cNvGraphicFramePr>
            <a:graphic>
              <a:graphicData uri="http://schemas.openxmlformats.org/drawingml/2006/picture">
                <pic:pic>
                  <pic:nvPicPr>
                    <pic:cNvPr id="722" name="Image 7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vertAlign w:val="baseline"/>
        </w:rPr>
        <w:t>; that if </w:t>
      </w:r>
      <w:r>
        <w:rPr>
          <w:vertAlign w:val="baseline"/>
        </w:rPr>
        <w:t>the </w:t>
      </w:r>
      <w:bookmarkStart w:name="_bookmark2120" w:id="2122"/>
      <w:bookmarkEnd w:id="2122"/>
      <w:r>
        <w:rPr>
          <w:vertAlign w:val="baseline"/>
        </w:rPr>
        <w:t>innocent</w:t>
      </w:r>
      <w:r>
        <w:rPr>
          <w:spacing w:val="27"/>
          <w:vertAlign w:val="baseline"/>
        </w:rPr>
        <w:t> </w:t>
      </w:r>
      <w:r>
        <w:rPr>
          <w:vertAlign w:val="baseline"/>
        </w:rPr>
        <w:t>party</w:t>
      </w:r>
      <w:r>
        <w:rPr>
          <w:spacing w:val="27"/>
          <w:vertAlign w:val="baseline"/>
        </w:rPr>
        <w:t> </w:t>
      </w:r>
      <w:r>
        <w:rPr>
          <w:vertAlign w:val="baseline"/>
        </w:rPr>
        <w:t>had</w:t>
      </w:r>
      <w:r>
        <w:rPr>
          <w:spacing w:val="27"/>
          <w:vertAlign w:val="baseline"/>
        </w:rPr>
        <w:t> </w:t>
      </w:r>
      <w:r>
        <w:rPr>
          <w:vertAlign w:val="baseline"/>
        </w:rPr>
        <w:t>to</w:t>
      </w:r>
      <w:r>
        <w:rPr>
          <w:spacing w:val="27"/>
          <w:vertAlign w:val="baseline"/>
        </w:rPr>
        <w:t> </w:t>
      </w:r>
      <w:r>
        <w:rPr>
          <w:vertAlign w:val="baseline"/>
        </w:rPr>
        <w:t>claim</w:t>
      </w:r>
      <w:r>
        <w:rPr>
          <w:spacing w:val="27"/>
          <w:vertAlign w:val="baseline"/>
        </w:rPr>
        <w:t> </w:t>
      </w:r>
      <w:r>
        <w:rPr>
          <w:vertAlign w:val="baseline"/>
        </w:rPr>
        <w:t>damages</w:t>
      </w:r>
      <w:r>
        <w:rPr>
          <w:spacing w:val="27"/>
          <w:vertAlign w:val="baseline"/>
        </w:rPr>
        <w:t> </w:t>
      </w:r>
      <w:r>
        <w:rPr>
          <w:vertAlign w:val="baseline"/>
        </w:rPr>
        <w:t>from</w:t>
      </w:r>
      <w:r>
        <w:rPr>
          <w:spacing w:val="27"/>
          <w:vertAlign w:val="baseline"/>
        </w:rPr>
        <w:t> </w:t>
      </w:r>
      <w:r>
        <w:rPr>
          <w:vertAlign w:val="baseline"/>
        </w:rPr>
        <w:t>a</w:t>
      </w:r>
      <w:r>
        <w:rPr>
          <w:spacing w:val="27"/>
          <w:vertAlign w:val="baseline"/>
        </w:rPr>
        <w:t> </w:t>
      </w:r>
      <w:r>
        <w:rPr>
          <w:vertAlign w:val="baseline"/>
        </w:rPr>
        <w:t>repudiating</w:t>
      </w:r>
      <w:r>
        <w:rPr>
          <w:spacing w:val="27"/>
          <w:vertAlign w:val="baseline"/>
        </w:rPr>
        <w:t> </w:t>
      </w:r>
      <w:r>
        <w:rPr>
          <w:vertAlign w:val="baseline"/>
        </w:rPr>
        <w:t>party</w:t>
      </w:r>
      <w:r>
        <w:rPr>
          <w:spacing w:val="27"/>
          <w:vertAlign w:val="baseline"/>
        </w:rPr>
        <w:t> </w:t>
      </w:r>
      <w:r>
        <w:rPr>
          <w:vertAlign w:val="baseline"/>
        </w:rPr>
        <w:t>who</w:t>
      </w:r>
      <w:r>
        <w:rPr>
          <w:spacing w:val="27"/>
          <w:vertAlign w:val="baseline"/>
        </w:rPr>
        <w:t> </w:t>
      </w:r>
      <w:r>
        <w:rPr>
          <w:vertAlign w:val="baseline"/>
        </w:rPr>
        <w:t>was</w:t>
      </w:r>
      <w:r>
        <w:rPr>
          <w:spacing w:val="27"/>
          <w:vertAlign w:val="baseline"/>
        </w:rPr>
        <w:t> </w:t>
      </w:r>
      <w:r>
        <w:rPr>
          <w:vertAlign w:val="baseline"/>
        </w:rPr>
        <w:t>in</w:t>
      </w:r>
      <w:r>
        <w:rPr>
          <w:spacing w:val="27"/>
          <w:vertAlign w:val="baseline"/>
        </w:rPr>
        <w:t> </w:t>
      </w:r>
      <w:r>
        <w:rPr>
          <w:vertAlign w:val="baseline"/>
        </w:rPr>
        <w:t>financial</w:t>
      </w:r>
      <w:r>
        <w:rPr>
          <w:spacing w:val="27"/>
          <w:vertAlign w:val="baseline"/>
        </w:rPr>
        <w:t> </w:t>
      </w:r>
      <w:r>
        <w:rPr>
          <w:vertAlign w:val="baseline"/>
        </w:rPr>
        <w:t>difficulties,</w:t>
      </w:r>
      <w:r>
        <w:rPr>
          <w:spacing w:val="27"/>
          <w:vertAlign w:val="baseline"/>
        </w:rPr>
        <w:t> </w:t>
      </w:r>
      <w:r>
        <w:rPr>
          <w:spacing w:val="-5"/>
          <w:vertAlign w:val="baseline"/>
        </w:rPr>
        <w:t>the</w:t>
      </w:r>
    </w:p>
    <w:p>
      <w:pPr>
        <w:pStyle w:val="BodyText"/>
        <w:tabs>
          <w:tab w:pos="8545" w:val="left" w:leader="none"/>
        </w:tabs>
        <w:spacing w:line="235" w:lineRule="auto" w:before="119"/>
        <w:ind w:left="165" w:right="167"/>
        <w:jc w:val="right"/>
      </w:pPr>
      <w:r>
        <w:rPr/>
        <w:t>defendant’s funds might have been directed elsewhere before the damages were paid </w:t>
      </w:r>
      <w:hyperlink w:history="true" w:anchor="_bookmark2233">
        <w:r>
          <w:rPr>
            <w:color w:val="005DA1"/>
            <w:u w:val="single" w:color="005DA1"/>
            <w:vertAlign w:val="superscript"/>
          </w:rPr>
          <w:t>1145</w:t>
        </w:r>
        <w:r>
          <w:rPr>
            <w:color w:val="005DA1"/>
            <w:vertAlign w:val="baseline"/>
          </w:rPr>
          <w:tab/>
        </w:r>
        <w:r>
          <w:rPr>
            <w:color w:val="005DA1"/>
            <w:position w:val="-2"/>
            <w:vertAlign w:val="baseline"/>
          </w:rPr>
          <w:drawing>
            <wp:inline distT="0" distB="0" distL="0" distR="0">
              <wp:extent cx="107988" cy="107988"/>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8"/>
            <w:vertAlign w:val="baseline"/>
          </w:rPr>
          <w:t> </w:t>
        </w:r>
        <w:r>
          <w:rPr>
            <w:vertAlign w:val="baseline"/>
          </w:rPr>
          <w:t>and </w:t>
        </w:r>
        <w:bookmarkStart w:name="_bookmark2121" w:id="2123"/>
        <w:bookmarkEnd w:id="2123"/>
        <w:r>
          <w:rPr>
            <w:vertAlign w:val="baseline"/>
          </w:rPr>
          <w:t>the</w:t>
        </w:r>
        <w:r>
          <w:rPr>
            <w:spacing w:val="5"/>
            <w:vertAlign w:val="baseline"/>
          </w:rPr>
          <w:t> </w:t>
        </w:r>
        <w:r>
          <w:rPr>
            <w:vertAlign w:val="baseline"/>
          </w:rPr>
          <w:t>fact</w:t>
        </w:r>
        <w:r>
          <w:rPr>
            <w:spacing w:val="5"/>
            <w:vertAlign w:val="baseline"/>
          </w:rPr>
          <w:t> </w:t>
        </w:r>
        <w:r>
          <w:rPr>
            <w:vertAlign w:val="baseline"/>
          </w:rPr>
          <w:t>that</w:t>
        </w:r>
        <w:r>
          <w:rPr>
            <w:spacing w:val="5"/>
            <w:vertAlign w:val="baseline"/>
          </w:rPr>
          <w:t> </w:t>
        </w:r>
        <w:r>
          <w:rPr>
            <w:vertAlign w:val="baseline"/>
          </w:rPr>
          <w:t>an</w:t>
        </w:r>
        <w:r>
          <w:rPr>
            <w:spacing w:val="5"/>
            <w:vertAlign w:val="baseline"/>
          </w:rPr>
          <w:t> </w:t>
        </w:r>
        <w:r>
          <w:rPr>
            <w:vertAlign w:val="baseline"/>
          </w:rPr>
          <w:t>innocent</w:t>
        </w:r>
        <w:r>
          <w:rPr>
            <w:spacing w:val="5"/>
            <w:vertAlign w:val="baseline"/>
          </w:rPr>
          <w:t> </w:t>
        </w:r>
        <w:r>
          <w:rPr>
            <w:vertAlign w:val="baseline"/>
          </w:rPr>
          <w:t>ship</w:t>
        </w:r>
        <w:r>
          <w:rPr>
            <w:spacing w:val="5"/>
            <w:vertAlign w:val="baseline"/>
          </w:rPr>
          <w:t> </w:t>
        </w:r>
        <w:r>
          <w:rPr>
            <w:vertAlign w:val="baseline"/>
          </w:rPr>
          <w:t>owner</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left</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difficult</w:t>
        </w:r>
        <w:r>
          <w:rPr>
            <w:spacing w:val="5"/>
            <w:vertAlign w:val="baseline"/>
          </w:rPr>
          <w:t> </w:t>
        </w:r>
        <w:r>
          <w:rPr>
            <w:vertAlign w:val="baseline"/>
          </w:rPr>
          <w:t>market</w:t>
        </w:r>
        <w:r>
          <w:rPr>
            <w:spacing w:val="5"/>
            <w:vertAlign w:val="baseline"/>
          </w:rPr>
          <w:t> </w:t>
        </w:r>
        <w:r>
          <w:rPr>
            <w:vertAlign w:val="baseline"/>
          </w:rPr>
          <w:t>where</w:t>
        </w:r>
        <w:r>
          <w:rPr>
            <w:spacing w:val="5"/>
            <w:vertAlign w:val="baseline"/>
          </w:rPr>
          <w:t> </w:t>
        </w:r>
        <w:r>
          <w:rPr>
            <w:vertAlign w:val="baseline"/>
          </w:rPr>
          <w:t>a</w:t>
        </w:r>
        <w:r>
          <w:rPr>
            <w:spacing w:val="5"/>
            <w:vertAlign w:val="baseline"/>
          </w:rPr>
          <w:t> </w:t>
        </w:r>
        <w:r>
          <w:rPr>
            <w:vertAlign w:val="baseline"/>
          </w:rPr>
          <w:t>substitute</w:t>
        </w:r>
        <w:r>
          <w:rPr>
            <w:spacing w:val="5"/>
            <w:vertAlign w:val="baseline"/>
          </w:rPr>
          <w:t> </w:t>
        </w:r>
        <w:r>
          <w:rPr>
            <w:vertAlign w:val="baseline"/>
          </w:rPr>
          <w:t>time</w:t>
        </w:r>
        <w:r>
          <w:rPr>
            <w:spacing w:val="5"/>
            <w:vertAlign w:val="baseline"/>
          </w:rPr>
          <w:t> </w:t>
        </w:r>
        <w:r>
          <w:rPr>
            <w:spacing w:val="-2"/>
            <w:vertAlign w:val="baseline"/>
          </w:rPr>
          <w:t>charter</w:t>
        </w:r>
      </w:hyperlink>
    </w:p>
    <w:p>
      <w:pPr>
        <w:pStyle w:val="BodyText"/>
        <w:tabs>
          <w:tab w:pos="6321" w:val="left" w:leader="none"/>
        </w:tabs>
        <w:spacing w:line="235" w:lineRule="auto" w:before="119"/>
        <w:ind w:left="165" w:right="167"/>
        <w:jc w:val="right"/>
      </w:pPr>
      <w:r>
        <w:rPr/>
        <w:t>was impossible, and trading on the spot market very difficult”. </w:t>
      </w:r>
      <w:hyperlink w:history="true" w:anchor="_bookmark2234">
        <w:r>
          <w:rPr>
            <w:color w:val="005DA1"/>
            <w:u w:val="single" w:color="005DA1"/>
            <w:vertAlign w:val="superscript"/>
          </w:rPr>
          <w:t>1146</w:t>
        </w:r>
        <w:r>
          <w:rPr>
            <w:color w:val="005DA1"/>
            <w:vertAlign w:val="baseline"/>
          </w:rPr>
          <w:tab/>
        </w:r>
        <w:r>
          <w:rPr>
            <w:color w:val="005DA1"/>
            <w:position w:val="-2"/>
            <w:vertAlign w:val="baseline"/>
          </w:rPr>
          <w:drawing>
            <wp:inline distT="0" distB="0" distL="0" distR="0">
              <wp:extent cx="107988" cy="107988"/>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 innocent party has </w:t>
        </w:r>
        <w:r>
          <w:rPr>
            <w:vertAlign w:val="baseline"/>
          </w:rPr>
          <w:t>been </w:t>
        </w:r>
        <w:bookmarkStart w:name="_bookmark2122" w:id="2124"/>
        <w:bookmarkEnd w:id="2124"/>
        <w:r>
          <w:rPr>
            <w:vertAlign w:val="baseline"/>
          </w:rPr>
          <w:t>held</w:t>
        </w:r>
        <w:r>
          <w:rPr>
            <w:spacing w:val="12"/>
            <w:vertAlign w:val="baseline"/>
          </w:rPr>
          <w:t> </w:t>
        </w:r>
        <w:r>
          <w:rPr>
            <w:vertAlign w:val="baseline"/>
          </w:rPr>
          <w:t>to</w:t>
        </w:r>
        <w:r>
          <w:rPr>
            <w:spacing w:val="12"/>
            <w:vertAlign w:val="baseline"/>
          </w:rPr>
          <w:t> </w:t>
        </w:r>
        <w:r>
          <w:rPr>
            <w:vertAlign w:val="baseline"/>
          </w:rPr>
          <w:t>have</w:t>
        </w:r>
        <w:r>
          <w:rPr>
            <w:spacing w:val="12"/>
            <w:vertAlign w:val="baseline"/>
          </w:rPr>
          <w:t> </w:t>
        </w:r>
        <w:r>
          <w:rPr>
            <w:vertAlign w:val="baseline"/>
          </w:rPr>
          <w:t>a</w:t>
        </w:r>
        <w:r>
          <w:rPr>
            <w:spacing w:val="12"/>
            <w:vertAlign w:val="baseline"/>
          </w:rPr>
          <w:t> </w:t>
        </w:r>
        <w:r>
          <w:rPr>
            <w:vertAlign w:val="baseline"/>
          </w:rPr>
          <w:t>legitimate</w:t>
        </w:r>
        <w:r>
          <w:rPr>
            <w:spacing w:val="12"/>
            <w:vertAlign w:val="baseline"/>
          </w:rPr>
          <w:t> </w:t>
        </w:r>
        <w:r>
          <w:rPr>
            <w:vertAlign w:val="baseline"/>
          </w:rPr>
          <w:t>interest</w:t>
        </w:r>
        <w:r>
          <w:rPr>
            <w:spacing w:val="12"/>
            <w:vertAlign w:val="baseline"/>
          </w:rPr>
          <w:t> </w:t>
        </w:r>
        <w:r>
          <w:rPr>
            <w:vertAlign w:val="baseline"/>
          </w:rPr>
          <w:t>in</w:t>
        </w:r>
        <w:r>
          <w:rPr>
            <w:spacing w:val="12"/>
            <w:vertAlign w:val="baseline"/>
          </w:rPr>
          <w:t> </w:t>
        </w:r>
        <w:r>
          <w:rPr>
            <w:vertAlign w:val="baseline"/>
          </w:rPr>
          <w:t>performing</w:t>
        </w:r>
        <w:r>
          <w:rPr>
            <w:spacing w:val="12"/>
            <w:vertAlign w:val="baseline"/>
          </w:rPr>
          <w:t> </w:t>
        </w:r>
        <w:r>
          <w:rPr>
            <w:vertAlign w:val="baseline"/>
          </w:rPr>
          <w:t>“unless</w:t>
        </w:r>
        <w:r>
          <w:rPr>
            <w:spacing w:val="12"/>
            <w:vertAlign w:val="baseline"/>
          </w:rPr>
          <w:t> </w:t>
        </w:r>
        <w:r>
          <w:rPr>
            <w:vertAlign w:val="baseline"/>
          </w:rPr>
          <w:t>maintaining</w:t>
        </w:r>
        <w:r>
          <w:rPr>
            <w:spacing w:val="12"/>
            <w:vertAlign w:val="baseline"/>
          </w:rPr>
          <w:t> </w:t>
        </w:r>
        <w:r>
          <w:rPr>
            <w:vertAlign w:val="baseline"/>
          </w:rPr>
          <w:t>the</w:t>
        </w:r>
        <w:r>
          <w:rPr>
            <w:spacing w:val="12"/>
            <w:vertAlign w:val="baseline"/>
          </w:rPr>
          <w:t> </w:t>
        </w:r>
        <w:r>
          <w:rPr>
            <w:vertAlign w:val="baseline"/>
          </w:rPr>
          <w:t>contract</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described</w:t>
        </w:r>
        <w:r>
          <w:rPr>
            <w:spacing w:val="12"/>
            <w:vertAlign w:val="baseline"/>
          </w:rPr>
          <w:t> </w:t>
        </w:r>
        <w:r>
          <w:rPr>
            <w:spacing w:val="-5"/>
            <w:vertAlign w:val="baseline"/>
          </w:rPr>
          <w:t>as</w:t>
        </w:r>
      </w:hyperlink>
    </w:p>
    <w:p>
      <w:pPr>
        <w:pStyle w:val="BodyText"/>
        <w:spacing w:before="116"/>
        <w:ind w:left="165"/>
        <w:jc w:val="both"/>
      </w:pPr>
      <w:bookmarkStart w:name="_bookmark2123" w:id="2125"/>
      <w:bookmarkEnd w:id="2125"/>
      <w:r>
        <w:rPr/>
      </w:r>
      <w:r>
        <w:rPr/>
        <w:t>‘wholly</w:t>
      </w:r>
      <w:r>
        <w:rPr>
          <w:spacing w:val="6"/>
        </w:rPr>
        <w:t> </w:t>
      </w:r>
      <w:r>
        <w:rPr/>
        <w:t>unreasonable’,</w:t>
      </w:r>
      <w:r>
        <w:rPr>
          <w:spacing w:val="6"/>
        </w:rPr>
        <w:t> </w:t>
      </w:r>
      <w:hyperlink w:history="true" w:anchor="_bookmark2235">
        <w:r>
          <w:rPr>
            <w:color w:val="005DA1"/>
            <w:u w:val="single" w:color="005DA1"/>
            <w:vertAlign w:val="superscript"/>
          </w:rPr>
          <w:t>1147</w:t>
        </w:r>
        <w:r>
          <w:rPr>
            <w:color w:val="005DA1"/>
            <w:spacing w:val="37"/>
            <w:vertAlign w:val="baseline"/>
          </w:rPr>
          <w:t>  </w:t>
        </w:r>
        <w:r>
          <w:rPr>
            <w:color w:val="005DA1"/>
            <w:spacing w:val="24"/>
            <w:position w:val="-2"/>
            <w:vertAlign w:val="baseline"/>
          </w:rPr>
          <w:drawing>
            <wp:inline distT="0" distB="0" distL="0" distR="0">
              <wp:extent cx="107988" cy="107988"/>
              <wp:effectExtent l="0" t="0" r="0" b="0"/>
              <wp:docPr id="725" name="Image 725"/>
              <wp:cNvGraphicFramePr>
                <a:graphicFrameLocks/>
              </wp:cNvGraphicFramePr>
              <a:graphic>
                <a:graphicData uri="http://schemas.openxmlformats.org/drawingml/2006/picture">
                  <pic:pic>
                    <pic:nvPicPr>
                      <pic:cNvPr id="725" name="Image 7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1"/>
            <w:vertAlign w:val="baseline"/>
          </w:rPr>
          <w:t> </w:t>
        </w:r>
        <w:r>
          <w:rPr>
            <w:vertAlign w:val="baseline"/>
          </w:rPr>
          <w:t>‘extremely</w:t>
        </w:r>
        <w:r>
          <w:rPr>
            <w:spacing w:val="6"/>
            <w:vertAlign w:val="baseline"/>
          </w:rPr>
          <w:t> </w:t>
        </w:r>
        <w:r>
          <w:rPr>
            <w:vertAlign w:val="baseline"/>
          </w:rPr>
          <w:t>unreasonable’</w:t>
        </w:r>
        <w:r>
          <w:rPr>
            <w:spacing w:val="7"/>
            <w:vertAlign w:val="baseline"/>
          </w:rPr>
          <w:t> </w:t>
        </w:r>
        <w:r>
          <w:rPr>
            <w:vertAlign w:val="baseline"/>
          </w:rPr>
          <w:t>or,</w:t>
        </w:r>
        <w:r>
          <w:rPr>
            <w:spacing w:val="6"/>
            <w:vertAlign w:val="baseline"/>
          </w:rPr>
          <w:t> </w:t>
        </w:r>
        <w:r>
          <w:rPr>
            <w:vertAlign w:val="baseline"/>
          </w:rPr>
          <w:t>as</w:t>
        </w:r>
        <w:r>
          <w:rPr>
            <w:spacing w:val="7"/>
            <w:vertAlign w:val="baseline"/>
          </w:rPr>
          <w:t> </w:t>
        </w:r>
        <w:r>
          <w:rPr>
            <w:vertAlign w:val="baseline"/>
          </w:rPr>
          <w:t>Popplewell</w:t>
        </w:r>
        <w:r>
          <w:rPr>
            <w:spacing w:val="6"/>
            <w:vertAlign w:val="baseline"/>
          </w:rPr>
          <w:t> </w:t>
        </w:r>
        <w:r>
          <w:rPr>
            <w:vertAlign w:val="baseline"/>
          </w:rPr>
          <w:t>J.</w:t>
        </w:r>
        <w:r>
          <w:rPr>
            <w:spacing w:val="7"/>
            <w:vertAlign w:val="baseline"/>
          </w:rPr>
          <w:t> </w:t>
        </w:r>
        <w:r>
          <w:rPr>
            <w:vertAlign w:val="baseline"/>
          </w:rPr>
          <w:t>put</w:t>
        </w:r>
        <w:r>
          <w:rPr>
            <w:spacing w:val="6"/>
            <w:vertAlign w:val="baseline"/>
          </w:rPr>
          <w:t> </w:t>
        </w:r>
        <w:r>
          <w:rPr>
            <w:vertAlign w:val="baseline"/>
          </w:rPr>
          <w:t>it</w:t>
        </w:r>
        <w:r>
          <w:rPr>
            <w:spacing w:val="7"/>
            <w:vertAlign w:val="baseline"/>
          </w:rPr>
          <w:t> </w:t>
        </w:r>
        <w:r>
          <w:rPr>
            <w:vertAlign w:val="baseline"/>
          </w:rPr>
          <w:t>after</w:t>
        </w:r>
        <w:r>
          <w:rPr>
            <w:spacing w:val="6"/>
            <w:vertAlign w:val="baseline"/>
          </w:rPr>
          <w:t> </w:t>
        </w:r>
        <w:r>
          <w:rPr>
            <w:vertAlign w:val="baseline"/>
          </w:rPr>
          <w:t>surveying</w:t>
        </w:r>
        <w:r>
          <w:rPr>
            <w:spacing w:val="7"/>
            <w:vertAlign w:val="baseline"/>
          </w:rPr>
          <w:t> </w:t>
        </w:r>
        <w:r>
          <w:rPr>
            <w:spacing w:val="-5"/>
            <w:vertAlign w:val="baseline"/>
          </w:rPr>
          <w:t>the</w:t>
        </w:r>
      </w:hyperlink>
    </w:p>
    <w:p>
      <w:pPr>
        <w:pStyle w:val="BodyText"/>
        <w:spacing w:line="235" w:lineRule="auto" w:before="119"/>
        <w:ind w:left="165" w:right="167"/>
        <w:jc w:val="both"/>
      </w:pPr>
      <w:r>
        <w:rPr/>
        <w:t>cases, “perhaps, in my words, ‘perverse”’. </w:t>
      </w:r>
      <w:hyperlink w:history="true" w:anchor="_bookmark2236">
        <w:r>
          <w:rPr>
            <w:color w:val="005DA1"/>
            <w:u w:val="single" w:color="005DA1"/>
            <w:vertAlign w:val="superscript"/>
          </w:rPr>
          <w:t>1148</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0"/>
            <w:vertAlign w:val="baseline"/>
          </w:rPr>
          <w:t> </w:t>
        </w:r>
        <w:r>
          <w:rPr>
            <w:vertAlign w:val="baseline"/>
          </w:rPr>
          <w:t>An arbitrator’s decision that the shipowner had </w:t>
        </w:r>
        <w:r>
          <w:rPr>
            <w:vertAlign w:val="baseline"/>
          </w:rPr>
          <w:t>no legitimate interest in continuing to claim the hire under a charter because the owner could re-let the </w:t>
        </w:r>
        <w:bookmarkStart w:name="_bookmark2124" w:id="2126"/>
        <w:bookmarkEnd w:id="2126"/>
        <w:r>
          <w:rPr>
            <w:vertAlign w:val="baseline"/>
          </w:rPr>
          <w:t>ship</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spot</w:t>
        </w:r>
        <w:r>
          <w:rPr>
            <w:spacing w:val="16"/>
            <w:vertAlign w:val="baseline"/>
          </w:rPr>
          <w:t> </w:t>
        </w:r>
        <w:r>
          <w:rPr>
            <w:vertAlign w:val="baseline"/>
          </w:rPr>
          <w:t>market</w:t>
        </w:r>
        <w:r>
          <w:rPr>
            <w:spacing w:val="16"/>
            <w:vertAlign w:val="baseline"/>
          </w:rPr>
          <w:t> </w:t>
        </w:r>
        <w:r>
          <w:rPr>
            <w:vertAlign w:val="baseline"/>
          </w:rPr>
          <w:t>and</w:t>
        </w:r>
        <w:r>
          <w:rPr>
            <w:spacing w:val="16"/>
            <w:vertAlign w:val="baseline"/>
          </w:rPr>
          <w:t> </w:t>
        </w:r>
        <w:r>
          <w:rPr>
            <w:vertAlign w:val="baseline"/>
          </w:rPr>
          <w:t>claim</w:t>
        </w:r>
        <w:r>
          <w:rPr>
            <w:spacing w:val="16"/>
            <w:vertAlign w:val="baseline"/>
          </w:rPr>
          <w:t> </w:t>
        </w:r>
        <w:r>
          <w:rPr>
            <w:vertAlign w:val="baseline"/>
          </w:rPr>
          <w:t>damages</w:t>
        </w:r>
        <w:r>
          <w:rPr>
            <w:spacing w:val="16"/>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charter</w:t>
        </w:r>
        <w:r>
          <w:rPr>
            <w:spacing w:val="16"/>
            <w:vertAlign w:val="baseline"/>
          </w:rPr>
          <w:t> </w:t>
        </w:r>
        <w:r>
          <w:rPr>
            <w:vertAlign w:val="baseline"/>
          </w:rPr>
          <w:t>was</w:t>
        </w:r>
        <w:r>
          <w:rPr>
            <w:spacing w:val="16"/>
            <w:vertAlign w:val="baseline"/>
          </w:rPr>
          <w:t> </w:t>
        </w:r>
        <w:r>
          <w:rPr>
            <w:vertAlign w:val="baseline"/>
          </w:rPr>
          <w:t>held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a</w:t>
        </w:r>
        <w:r>
          <w:rPr>
            <w:spacing w:val="16"/>
            <w:vertAlign w:val="baseline"/>
          </w:rPr>
          <w:t> </w:t>
        </w:r>
        <w:r>
          <w:rPr>
            <w:vertAlign w:val="baseline"/>
          </w:rPr>
          <w:t>misapplication</w:t>
        </w:r>
        <w:r>
          <w:rPr>
            <w:spacing w:val="16"/>
            <w:vertAlign w:val="baseline"/>
          </w:rPr>
          <w:t> </w:t>
        </w:r>
        <w:r>
          <w:rPr>
            <w:vertAlign w:val="baseline"/>
          </w:rPr>
          <w:t>of</w:t>
        </w:r>
        <w:r>
          <w:rPr>
            <w:spacing w:val="16"/>
            <w:vertAlign w:val="baseline"/>
          </w:rPr>
          <w:t> </w:t>
        </w:r>
        <w:r>
          <w:rPr>
            <w:spacing w:val="-5"/>
            <w:vertAlign w:val="baseline"/>
          </w:rPr>
          <w:t>the</w:t>
        </w:r>
      </w:hyperlink>
    </w:p>
    <w:p>
      <w:pPr>
        <w:pStyle w:val="BodyText"/>
        <w:spacing w:line="235" w:lineRule="auto" w:before="119"/>
        <w:ind w:left="164" w:right="167"/>
        <w:jc w:val="both"/>
      </w:pPr>
      <w:r>
        <w:rPr/>
        <w:t>law. </w:t>
      </w:r>
      <w:hyperlink w:history="true" w:anchor="_bookmark2237">
        <w:r>
          <w:rPr>
            <w:color w:val="005DA1"/>
            <w:u w:val="single" w:color="005DA1"/>
            <w:vertAlign w:val="superscript"/>
          </w:rPr>
          <w:t>1149</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727" name="Image 727"/>
              <wp:cNvGraphicFramePr>
                <a:graphicFrameLocks/>
              </wp:cNvGraphicFramePr>
              <a:graphic>
                <a:graphicData uri="http://schemas.openxmlformats.org/drawingml/2006/picture">
                  <pic:pic>
                    <pic:nvPicPr>
                      <pic:cNvPr id="727" name="Image 7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So it is not clear that the analogy of the </w:t>
        </w:r>
        <w:r>
          <w:rPr>
            <w:rFonts w:ascii="Arial"/>
            <w:i/>
            <w:vertAlign w:val="baseline"/>
          </w:rPr>
          <w:t>White &amp; Carter </w:t>
        </w:r>
        <w:r>
          <w:rPr>
            <w:vertAlign w:val="baseline"/>
          </w:rPr>
          <w:t>cases will provide helpful</w:t>
        </w:r>
        <w:r>
          <w:rPr>
            <w:spacing w:val="40"/>
            <w:vertAlign w:val="baseline"/>
          </w:rPr>
          <w:t> </w:t>
        </w:r>
        <w:r>
          <w:rPr>
            <w:vertAlign w:val="baseline"/>
          </w:rPr>
          <w:t>guidance on the meaning of legitimate interest in the context of the penalty rule. The Supreme </w:t>
        </w:r>
        <w:r>
          <w:rPr>
            <w:vertAlign w:val="baseline"/>
          </w:rPr>
          <w:t>Court </w:t>
        </w:r>
        <w:bookmarkStart w:name="_bookmark2125" w:id="2127"/>
        <w:bookmarkEnd w:id="2127"/>
        <w:r>
          <w:rPr>
            <w:vertAlign w:val="baseline"/>
          </w:rPr>
          <w:t>seemed</w:t>
        </w:r>
        <w:r>
          <w:rPr>
            <w:spacing w:val="18"/>
            <w:vertAlign w:val="baseline"/>
          </w:rPr>
          <w:t> </w:t>
        </w:r>
        <w:r>
          <w:rPr>
            <w:vertAlign w:val="baseline"/>
          </w:rPr>
          <w:t>to</w:t>
        </w:r>
        <w:r>
          <w:rPr>
            <w:spacing w:val="18"/>
            <w:vertAlign w:val="baseline"/>
          </w:rPr>
          <w:t> </w:t>
        </w:r>
        <w:r>
          <w:rPr>
            <w:vertAlign w:val="baseline"/>
          </w:rPr>
          <w:t>regard</w:t>
        </w:r>
        <w:r>
          <w:rPr>
            <w:spacing w:val="18"/>
            <w:vertAlign w:val="baseline"/>
          </w:rPr>
          <w:t> </w:t>
        </w:r>
        <w:r>
          <w:rPr>
            <w:vertAlign w:val="baseline"/>
          </w:rPr>
          <w:t>a</w:t>
        </w:r>
        <w:r>
          <w:rPr>
            <w:spacing w:val="18"/>
            <w:vertAlign w:val="baseline"/>
          </w:rPr>
          <w:t> </w:t>
        </w:r>
        <w:r>
          <w:rPr>
            <w:vertAlign w:val="baseline"/>
          </w:rPr>
          <w:t>legitimate</w:t>
        </w:r>
        <w:r>
          <w:rPr>
            <w:spacing w:val="18"/>
            <w:vertAlign w:val="baseline"/>
          </w:rPr>
          <w:t> </w:t>
        </w:r>
        <w:r>
          <w:rPr>
            <w:vertAlign w:val="baseline"/>
          </w:rPr>
          <w:t>interest</w:t>
        </w:r>
        <w:r>
          <w:rPr>
            <w:spacing w:val="18"/>
            <w:vertAlign w:val="baseline"/>
          </w:rPr>
          <w:t> </w:t>
        </w:r>
        <w:r>
          <w:rPr>
            <w:vertAlign w:val="baseline"/>
          </w:rPr>
          <w:t>in</w:t>
        </w:r>
        <w:r>
          <w:rPr>
            <w:spacing w:val="18"/>
            <w:vertAlign w:val="baseline"/>
          </w:rPr>
          <w:t> </w:t>
        </w:r>
        <w:r>
          <w:rPr>
            <w:vertAlign w:val="baseline"/>
          </w:rPr>
          <w:t>obtaining</w:t>
        </w:r>
        <w:r>
          <w:rPr>
            <w:spacing w:val="18"/>
            <w:vertAlign w:val="baseline"/>
          </w:rPr>
          <w:t> </w:t>
        </w:r>
        <w:r>
          <w:rPr>
            <w:vertAlign w:val="baseline"/>
          </w:rPr>
          <w:t>performance</w:t>
        </w:r>
        <w:r>
          <w:rPr>
            <w:spacing w:val="18"/>
            <w:vertAlign w:val="baseline"/>
          </w:rPr>
          <w:t> </w:t>
        </w:r>
        <w:r>
          <w:rPr>
            <w:vertAlign w:val="baseline"/>
          </w:rPr>
          <w:t>rather</w:t>
        </w:r>
        <w:r>
          <w:rPr>
            <w:spacing w:val="18"/>
            <w:vertAlign w:val="baseline"/>
          </w:rPr>
          <w:t> </w:t>
        </w:r>
        <w:r>
          <w:rPr>
            <w:vertAlign w:val="baseline"/>
          </w:rPr>
          <w:t>than</w:t>
        </w:r>
        <w:r>
          <w:rPr>
            <w:spacing w:val="18"/>
            <w:vertAlign w:val="baseline"/>
          </w:rPr>
          <w:t> </w:t>
        </w:r>
        <w:r>
          <w:rPr>
            <w:vertAlign w:val="baseline"/>
          </w:rPr>
          <w:t>recovering</w:t>
        </w:r>
        <w:r>
          <w:rPr>
            <w:spacing w:val="18"/>
            <w:vertAlign w:val="baseline"/>
          </w:rPr>
          <w:t> </w:t>
        </w:r>
        <w:r>
          <w:rPr>
            <w:vertAlign w:val="baseline"/>
          </w:rPr>
          <w:t>damages</w:t>
        </w:r>
        <w:r>
          <w:rPr>
            <w:spacing w:val="18"/>
            <w:vertAlign w:val="baseline"/>
          </w:rPr>
          <w:t> </w:t>
        </w:r>
        <w:r>
          <w:rPr>
            <w:spacing w:val="-5"/>
            <w:vertAlign w:val="baseline"/>
          </w:rPr>
          <w:t>as</w:t>
        </w:r>
      </w:hyperlink>
    </w:p>
    <w:p>
      <w:pPr>
        <w:pStyle w:val="BodyText"/>
        <w:spacing w:line="235" w:lineRule="auto" w:before="118"/>
        <w:ind w:left="165" w:right="167"/>
        <w:jc w:val="both"/>
      </w:pPr>
      <w:r>
        <w:rPr/>
        <w:t>exceptional, </w:t>
      </w:r>
      <w:hyperlink w:history="true" w:anchor="_bookmark2238">
        <w:r>
          <w:rPr>
            <w:color w:val="005DA1"/>
            <w:u w:val="single" w:color="005DA1"/>
            <w:vertAlign w:val="superscript"/>
          </w:rPr>
          <w:t>1150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728" name="Image 728"/>
              <wp:cNvGraphicFramePr>
                <a:graphicFrameLocks/>
              </wp:cNvGraphicFramePr>
              <a:graphic>
                <a:graphicData uri="http://schemas.openxmlformats.org/drawingml/2006/picture">
                  <pic:pic>
                    <pic:nvPicPr>
                      <pic:cNvPr id="728" name="Image 7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not as applying unless seeking to obtaining performance would be </w:t>
        </w:r>
        <w:r>
          <w:rPr>
            <w:vertAlign w:val="baseline"/>
          </w:rPr>
          <w:t>wholly unreasonable. It is submitted that the fact that the claimant would be faced with having to go into an uncertain market in order to mitigate its loss does not give it a legitimate interest sufficient to support</w:t>
        </w:r>
        <w:r>
          <w:rPr>
            <w:spacing w:val="80"/>
            <w:vertAlign w:val="baseline"/>
          </w:rPr>
          <w:t> </w:t>
        </w:r>
        <w:bookmarkStart w:name="_bookmark2126" w:id="2128"/>
        <w:bookmarkEnd w:id="2128"/>
        <w:r>
          <w:rPr>
            <w:vertAlign w:val="baseline"/>
          </w:rPr>
          <w:t>a</w:t>
        </w:r>
        <w:r>
          <w:rPr>
            <w:spacing w:val="20"/>
            <w:vertAlign w:val="baseline"/>
          </w:rPr>
          <w:t> </w:t>
        </w:r>
        <w:r>
          <w:rPr>
            <w:vertAlign w:val="baseline"/>
          </w:rPr>
          <w:t>clause</w:t>
        </w:r>
        <w:r>
          <w:rPr>
            <w:spacing w:val="20"/>
            <w:vertAlign w:val="baseline"/>
          </w:rPr>
          <w:t> </w:t>
        </w:r>
        <w:r>
          <w:rPr>
            <w:vertAlign w:val="baseline"/>
          </w:rPr>
          <w:t>that</w:t>
        </w:r>
        <w:r>
          <w:rPr>
            <w:spacing w:val="20"/>
            <w:vertAlign w:val="baseline"/>
          </w:rPr>
          <w:t> </w:t>
        </w:r>
        <w:r>
          <w:rPr>
            <w:vertAlign w:val="baseline"/>
          </w:rPr>
          <w:t>is</w:t>
        </w:r>
        <w:r>
          <w:rPr>
            <w:spacing w:val="20"/>
            <w:vertAlign w:val="baseline"/>
          </w:rPr>
          <w:t> </w:t>
        </w:r>
        <w:r>
          <w:rPr>
            <w:vertAlign w:val="baseline"/>
          </w:rPr>
          <w:t>aimed</w:t>
        </w:r>
        <w:r>
          <w:rPr>
            <w:spacing w:val="20"/>
            <w:vertAlign w:val="baseline"/>
          </w:rPr>
          <w:t> </w:t>
        </w:r>
        <w:r>
          <w:rPr>
            <w:vertAlign w:val="baseline"/>
          </w:rPr>
          <w:t>at</w:t>
        </w:r>
        <w:r>
          <w:rPr>
            <w:spacing w:val="20"/>
            <w:vertAlign w:val="baseline"/>
          </w:rPr>
          <w:t> </w:t>
        </w:r>
        <w:r>
          <w:rPr>
            <w:vertAlign w:val="baseline"/>
          </w:rPr>
          <w:t>deterring</w:t>
        </w:r>
        <w:r>
          <w:rPr>
            <w:spacing w:val="20"/>
            <w:vertAlign w:val="baseline"/>
          </w:rPr>
          <w:t> </w:t>
        </w:r>
        <w:r>
          <w:rPr>
            <w:vertAlign w:val="baseline"/>
          </w:rPr>
          <w:t>breach</w:t>
        </w:r>
        <w:r>
          <w:rPr>
            <w:spacing w:val="20"/>
            <w:vertAlign w:val="baseline"/>
          </w:rPr>
          <w:t> </w:t>
        </w:r>
        <w:r>
          <w:rPr>
            <w:vertAlign w:val="baseline"/>
          </w:rPr>
          <w:t>rather</w:t>
        </w:r>
        <w:r>
          <w:rPr>
            <w:spacing w:val="20"/>
            <w:vertAlign w:val="baseline"/>
          </w:rPr>
          <w:t> </w:t>
        </w:r>
        <w:r>
          <w:rPr>
            <w:vertAlign w:val="baseline"/>
          </w:rPr>
          <w:t>than</w:t>
        </w:r>
        <w:r>
          <w:rPr>
            <w:spacing w:val="20"/>
            <w:vertAlign w:val="baseline"/>
          </w:rPr>
          <w:t> </w:t>
        </w:r>
        <w:r>
          <w:rPr>
            <w:vertAlign w:val="baseline"/>
          </w:rPr>
          <w:t>being</w:t>
        </w:r>
        <w:r>
          <w:rPr>
            <w:spacing w:val="20"/>
            <w:vertAlign w:val="baseline"/>
          </w:rPr>
          <w:t> </w:t>
        </w:r>
        <w:r>
          <w:rPr>
            <w:vertAlign w:val="baseline"/>
          </w:rPr>
          <w:t>a</w:t>
        </w:r>
        <w:r>
          <w:rPr>
            <w:spacing w:val="20"/>
            <w:vertAlign w:val="baseline"/>
          </w:rPr>
          <w:t> </w:t>
        </w:r>
        <w:r>
          <w:rPr>
            <w:vertAlign w:val="baseline"/>
          </w:rPr>
          <w:t>pre-estimate</w:t>
        </w:r>
        <w:r>
          <w:rPr>
            <w:spacing w:val="20"/>
            <w:vertAlign w:val="baseline"/>
          </w:rPr>
          <w:t> </w:t>
        </w:r>
        <w:r>
          <w:rPr>
            <w:vertAlign w:val="baseline"/>
          </w:rPr>
          <w:t>of</w:t>
        </w:r>
        <w:r>
          <w:rPr>
            <w:spacing w:val="20"/>
            <w:vertAlign w:val="baseline"/>
          </w:rPr>
          <w:t> </w:t>
        </w:r>
        <w:r>
          <w:rPr>
            <w:vertAlign w:val="baseline"/>
          </w:rPr>
          <w:t>loss.</w:t>
        </w:r>
        <w:r>
          <w:rPr>
            <w:spacing w:val="20"/>
            <w:vertAlign w:val="baseline"/>
          </w:rPr>
          <w:t> </w:t>
        </w:r>
        <w:r>
          <w:rPr>
            <w:vertAlign w:val="baseline"/>
          </w:rPr>
          <w:t>However,</w:t>
        </w:r>
        <w:r>
          <w:rPr>
            <w:spacing w:val="20"/>
            <w:vertAlign w:val="baseline"/>
          </w:rPr>
          <w:t> </w:t>
        </w:r>
        <w:r>
          <w:rPr>
            <w:spacing w:val="-4"/>
            <w:vertAlign w:val="baseline"/>
          </w:rPr>
          <w:t>when</w:t>
        </w:r>
      </w:hyperlink>
    </w:p>
    <w:p>
      <w:pPr>
        <w:pStyle w:val="BodyText"/>
        <w:spacing w:line="227" w:lineRule="exact" w:before="115"/>
        <w:ind w:left="165"/>
        <w:jc w:val="both"/>
      </w:pPr>
      <w:r>
        <w:rPr/>
        <w:t>the</w:t>
      </w:r>
      <w:r>
        <w:rPr>
          <w:spacing w:val="2"/>
        </w:rPr>
        <w:t> </w:t>
      </w:r>
      <w:r>
        <w:rPr/>
        <w:t>amount</w:t>
      </w:r>
      <w:r>
        <w:rPr>
          <w:spacing w:val="2"/>
        </w:rPr>
        <w:t> </w:t>
      </w:r>
      <w:r>
        <w:rPr/>
        <w:t>of</w:t>
      </w:r>
      <w:r>
        <w:rPr>
          <w:spacing w:val="2"/>
        </w:rPr>
        <w:t> </w:t>
      </w:r>
      <w:r>
        <w:rPr/>
        <w:t>loss</w:t>
      </w:r>
      <w:r>
        <w:rPr>
          <w:spacing w:val="2"/>
        </w:rPr>
        <w:t> </w:t>
      </w:r>
      <w:r>
        <w:rPr/>
        <w:t>is</w:t>
      </w:r>
      <w:r>
        <w:rPr>
          <w:spacing w:val="2"/>
        </w:rPr>
        <w:t> </w:t>
      </w:r>
      <w:r>
        <w:rPr/>
        <w:t>hard</w:t>
      </w:r>
      <w:r>
        <w:rPr>
          <w:spacing w:val="2"/>
        </w:rPr>
        <w:t> </w:t>
      </w:r>
      <w:r>
        <w:rPr/>
        <w:t>to</w:t>
      </w:r>
      <w:r>
        <w:rPr>
          <w:spacing w:val="2"/>
        </w:rPr>
        <w:t> </w:t>
      </w:r>
      <w:r>
        <w:rPr/>
        <w:t>predict</w:t>
      </w:r>
      <w:r>
        <w:rPr>
          <w:spacing w:val="2"/>
        </w:rPr>
        <w:t> </w:t>
      </w:r>
      <w:r>
        <w:rPr/>
        <w:t>the</w:t>
      </w:r>
      <w:r>
        <w:rPr>
          <w:spacing w:val="2"/>
        </w:rPr>
        <w:t> </w:t>
      </w:r>
      <w:r>
        <w:rPr/>
        <w:t>claimant</w:t>
      </w:r>
      <w:r>
        <w:rPr>
          <w:spacing w:val="2"/>
        </w:rPr>
        <w:t> </w:t>
      </w:r>
      <w:r>
        <w:rPr/>
        <w:t>will</w:t>
      </w:r>
      <w:r>
        <w:rPr>
          <w:spacing w:val="2"/>
        </w:rPr>
        <w:t> </w:t>
      </w:r>
      <w:r>
        <w:rPr/>
        <w:t>no</w:t>
      </w:r>
      <w:r>
        <w:rPr>
          <w:spacing w:val="2"/>
        </w:rPr>
        <w:t> </w:t>
      </w:r>
      <w:r>
        <w:rPr/>
        <w:t>doubt</w:t>
      </w:r>
      <w:r>
        <w:rPr>
          <w:spacing w:val="2"/>
        </w:rPr>
        <w:t> </w:t>
      </w:r>
      <w:r>
        <w:rPr/>
        <w:t>still</w:t>
      </w:r>
      <w:r>
        <w:rPr>
          <w:spacing w:val="2"/>
        </w:rPr>
        <w:t> </w:t>
      </w:r>
      <w:r>
        <w:rPr/>
        <w:t>be</w:t>
      </w:r>
      <w:r>
        <w:rPr>
          <w:spacing w:val="2"/>
        </w:rPr>
        <w:t> </w:t>
      </w:r>
      <w:r>
        <w:rPr/>
        <w:t>given</w:t>
      </w:r>
      <w:r>
        <w:rPr>
          <w:spacing w:val="2"/>
        </w:rPr>
        <w:t> </w:t>
      </w:r>
      <w:r>
        <w:rPr/>
        <w:t>a</w:t>
      </w:r>
      <w:r>
        <w:rPr>
          <w:spacing w:val="2"/>
        </w:rPr>
        <w:t> </w:t>
      </w:r>
      <w:r>
        <w:rPr/>
        <w:t>“generous</w:t>
      </w:r>
      <w:r>
        <w:rPr>
          <w:spacing w:val="2"/>
        </w:rPr>
        <w:t> </w:t>
      </w:r>
      <w:r>
        <w:rPr/>
        <w:t>margin” </w:t>
      </w:r>
      <w:hyperlink w:history="true" w:anchor="_bookmark2239">
        <w:r>
          <w:rPr>
            <w:color w:val="005DA1"/>
            <w:spacing w:val="-4"/>
            <w:u w:val="single" w:color="005DA1"/>
            <w:vertAlign w:val="superscript"/>
          </w:rPr>
          <w:t>1151</w:t>
        </w:r>
      </w:hyperlink>
    </w:p>
    <w:p>
      <w:pPr>
        <w:pStyle w:val="BodyText"/>
        <w:spacing w:line="227" w:lineRule="exact"/>
        <w:ind w:left="165"/>
        <w:jc w:val="both"/>
      </w:pPr>
      <w:r>
        <w:rPr>
          <w:position w:val="-2"/>
        </w:rPr>
        <w:drawing>
          <wp:inline distT="0" distB="0" distL="0" distR="0">
            <wp:extent cx="107988" cy="107988"/>
            <wp:effectExtent l="0" t="0" r="0" b="0"/>
            <wp:docPr id="729" name="Image 729"/>
            <wp:cNvGraphicFramePr>
              <a:graphicFrameLocks/>
            </wp:cNvGraphicFramePr>
            <a:graphic>
              <a:graphicData uri="http://schemas.openxmlformats.org/drawingml/2006/picture">
                <pic:pic>
                  <pic:nvPicPr>
                    <pic:cNvPr id="729" name="Image 7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before the pre-estimate will be treated as extravagant or unconscionable and therefore a penalty.</w:t>
      </w:r>
    </w:p>
    <w:p>
      <w:pPr>
        <w:pStyle w:val="BodyText"/>
      </w:pPr>
    </w:p>
    <w:p>
      <w:pPr>
        <w:pStyle w:val="BodyText"/>
        <w:spacing w:before="37"/>
      </w:pPr>
    </w:p>
    <w:p>
      <w:pPr>
        <w:spacing w:before="1"/>
        <w:ind w:left="165" w:right="0" w:firstLine="0"/>
        <w:jc w:val="both"/>
        <w:rPr>
          <w:rFonts w:ascii="Arial"/>
          <w:b/>
          <w:sz w:val="18"/>
        </w:rPr>
      </w:pPr>
      <w:r>
        <w:rPr>
          <w:rFonts w:ascii="Arial"/>
          <w:b/>
          <w:sz w:val="18"/>
        </w:rPr>
        <w:t>Analogy to account of </w:t>
      </w:r>
      <w:r>
        <w:rPr>
          <w:rFonts w:ascii="Arial"/>
          <w:b/>
          <w:spacing w:val="-2"/>
          <w:sz w:val="18"/>
        </w:rPr>
        <w:t>profits</w:t>
      </w:r>
    </w:p>
    <w:p>
      <w:pPr>
        <w:spacing w:after="0"/>
        <w:jc w:val="both"/>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206</w:t>
      </w:r>
    </w:p>
    <w:p>
      <w:pPr>
        <w:pStyle w:val="BodyText"/>
        <w:spacing w:before="88"/>
        <w:rPr>
          <w:rFonts w:ascii="Arial"/>
          <w:b/>
        </w:rPr>
      </w:pPr>
    </w:p>
    <w:p>
      <w:pPr>
        <w:pStyle w:val="BodyText"/>
        <w:spacing w:before="1"/>
        <w:ind w:left="165"/>
        <w:jc w:val="both"/>
        <w:rPr>
          <w:rFonts w:ascii="Arial"/>
          <w:i/>
        </w:rPr>
      </w:pPr>
      <w:r>
        <w:rPr>
          <w:position w:val="-2"/>
        </w:rPr>
        <w:drawing>
          <wp:inline distT="0" distB="0" distL="0" distR="0">
            <wp:extent cx="107988" cy="107988"/>
            <wp:effectExtent l="0" t="0" r="0" b="0"/>
            <wp:docPr id="730" name="Image 730"/>
            <wp:cNvGraphicFramePr>
              <a:graphicFrameLocks/>
            </wp:cNvGraphicFramePr>
            <a:graphic>
              <a:graphicData uri="http://schemas.openxmlformats.org/drawingml/2006/picture">
                <pic:pic>
                  <pic:nvPicPr>
                    <pic:cNvPr id="730" name="Image 73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2127" w:id="2129"/>
      <w:bookmarkEnd w:id="2129"/>
      <w:r>
        <w:rPr>
          <w:rFonts w:ascii="Times New Roman"/>
          <w:spacing w:val="17"/>
        </w:rPr>
      </w:r>
      <w:r>
        <w:rPr/>
        <w:t>A</w:t>
      </w:r>
      <w:r>
        <w:rPr>
          <w:spacing w:val="12"/>
        </w:rPr>
        <w:t> </w:t>
      </w:r>
      <w:r>
        <w:rPr/>
        <w:t>further</w:t>
      </w:r>
      <w:r>
        <w:rPr>
          <w:spacing w:val="12"/>
        </w:rPr>
        <w:t> </w:t>
      </w:r>
      <w:r>
        <w:rPr/>
        <w:t>possible</w:t>
      </w:r>
      <w:r>
        <w:rPr>
          <w:spacing w:val="12"/>
        </w:rPr>
        <w:t> </w:t>
      </w:r>
      <w:r>
        <w:rPr/>
        <w:t>analogy,</w:t>
      </w:r>
      <w:r>
        <w:rPr>
          <w:spacing w:val="12"/>
        </w:rPr>
        <w:t> </w:t>
      </w:r>
      <w:r>
        <w:rPr/>
        <w:t>though</w:t>
      </w:r>
      <w:r>
        <w:rPr>
          <w:spacing w:val="12"/>
        </w:rPr>
        <w:t> </w:t>
      </w:r>
      <w:r>
        <w:rPr/>
        <w:t>not</w:t>
      </w:r>
      <w:r>
        <w:rPr>
          <w:spacing w:val="12"/>
        </w:rPr>
        <w:t> </w:t>
      </w:r>
      <w:r>
        <w:rPr/>
        <w:t>mentioned</w:t>
      </w:r>
      <w:r>
        <w:rPr>
          <w:spacing w:val="12"/>
        </w:rPr>
        <w:t> </w:t>
      </w:r>
      <w:r>
        <w:rPr/>
        <w:t>by</w:t>
      </w:r>
      <w:r>
        <w:rPr>
          <w:spacing w:val="12"/>
        </w:rPr>
        <w:t> </w:t>
      </w:r>
      <w:r>
        <w:rPr/>
        <w:t>the</w:t>
      </w:r>
      <w:r>
        <w:rPr>
          <w:spacing w:val="12"/>
        </w:rPr>
        <w:t> </w:t>
      </w:r>
      <w:r>
        <w:rPr/>
        <w:t>Supreme</w:t>
      </w:r>
      <w:r>
        <w:rPr>
          <w:spacing w:val="12"/>
        </w:rPr>
        <w:t> </w:t>
      </w:r>
      <w:r>
        <w:rPr/>
        <w:t>Court</w:t>
      </w:r>
      <w:r>
        <w:rPr>
          <w:spacing w:val="12"/>
        </w:rPr>
        <w:t> </w:t>
      </w:r>
      <w:r>
        <w:rPr/>
        <w:t>in</w:t>
      </w:r>
      <w:r>
        <w:rPr>
          <w:spacing w:val="12"/>
        </w:rPr>
        <w:t> </w:t>
      </w:r>
      <w:r>
        <w:rPr/>
        <w:t>the</w:t>
      </w:r>
      <w:r>
        <w:rPr>
          <w:spacing w:val="11"/>
        </w:rPr>
        <w:t> </w:t>
      </w:r>
      <w:r>
        <w:rPr>
          <w:rFonts w:ascii="Arial"/>
          <w:i/>
        </w:rPr>
        <w:t>Cavendish</w:t>
      </w:r>
      <w:r>
        <w:rPr>
          <w:rFonts w:ascii="Arial"/>
          <w:i/>
          <w:spacing w:val="12"/>
        </w:rPr>
        <w:t> </w:t>
      </w:r>
      <w:r>
        <w:rPr>
          <w:rFonts w:ascii="Arial"/>
          <w:i/>
        </w:rPr>
        <w:t>Square</w:t>
      </w:r>
    </w:p>
    <w:p>
      <w:pPr>
        <w:pStyle w:val="BodyText"/>
        <w:spacing w:before="4"/>
        <w:rPr>
          <w:rFonts w:ascii="Arial"/>
          <w:i/>
        </w:rPr>
      </w:pPr>
    </w:p>
    <w:p>
      <w:pPr>
        <w:pStyle w:val="BodyText"/>
        <w:spacing w:before="1"/>
        <w:ind w:left="165"/>
        <w:jc w:val="both"/>
        <w:rPr>
          <w:position w:val="-2"/>
        </w:rPr>
      </w:pPr>
      <w:bookmarkStart w:name="_bookmark2128" w:id="2130"/>
      <w:bookmarkEnd w:id="2130"/>
      <w:r>
        <w:rPr/>
      </w:r>
      <w:bookmarkStart w:name="_bookmark2129" w:id="2131"/>
      <w:bookmarkEnd w:id="2131"/>
      <w:r>
        <w:rPr/>
      </w:r>
      <w:r>
        <w:rPr/>
        <w:t>case, </w:t>
      </w:r>
      <w:r>
        <w:rPr>
          <w:color w:val="005DA1"/>
          <w:u w:val="single" w:color="005DA1"/>
          <w:vertAlign w:val="superscript"/>
        </w:rPr>
        <w:t>1152</w:t>
      </w:r>
      <w:r>
        <w:rPr>
          <w:color w:val="005DA1"/>
          <w:spacing w:val="40"/>
          <w:vertAlign w:val="baseline"/>
        </w:rPr>
        <w:t>  </w:t>
      </w:r>
      <w:r>
        <w:rPr>
          <w:color w:val="005DA1"/>
          <w:spacing w:val="11"/>
          <w:position w:val="-2"/>
          <w:vertAlign w:val="baseline"/>
        </w:rPr>
        <w:drawing>
          <wp:inline distT="0" distB="0" distL="0" distR="0">
            <wp:extent cx="107988" cy="107988"/>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1"/>
          <w:vertAlign w:val="baseline"/>
        </w:rPr>
        <w:t> </w:t>
      </w:r>
      <w:r>
        <w:rPr>
          <w:vertAlign w:val="baseline"/>
        </w:rPr>
        <w:t>are the cases in which a claimant is permitted to recover an account of the profit </w:t>
      </w:r>
      <w:hyperlink w:history="true" w:anchor="_bookmark2241">
        <w:r>
          <w:rPr>
            <w:color w:val="005DA1"/>
            <w:u w:val="single" w:color="005DA1"/>
            <w:vertAlign w:val="superscript"/>
          </w:rPr>
          <w:t>1153</w:t>
        </w:r>
        <w:r>
          <w:rPr>
            <w:color w:val="005DA1"/>
            <w:spacing w:val="40"/>
            <w:vertAlign w:val="baseline"/>
          </w:rPr>
          <w:t>  </w:t>
        </w:r>
        <w:r>
          <w:rPr>
            <w:color w:val="005DA1"/>
            <w:spacing w:val="11"/>
            <w:position w:val="-2"/>
            <w:vertAlign w:val="baseline"/>
          </w:rPr>
          <w:drawing>
            <wp:inline distT="0" distB="0" distL="0" distR="0">
              <wp:extent cx="107988" cy="107988"/>
              <wp:effectExtent l="0" t="0" r="0" b="0"/>
              <wp:docPr id="732" name="Image 732"/>
              <wp:cNvGraphicFramePr>
                <a:graphicFrameLocks/>
              </wp:cNvGraphicFramePr>
              <a:graphic>
                <a:graphicData uri="http://schemas.openxmlformats.org/drawingml/2006/picture">
                  <pic:pic>
                    <pic:nvPicPr>
                      <pic:cNvPr id="732" name="Image 7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hyperlink>
    </w:p>
    <w:p>
      <w:pPr>
        <w:pStyle w:val="BodyText"/>
        <w:spacing w:line="235" w:lineRule="auto" w:before="118"/>
        <w:ind w:left="165" w:right="168"/>
        <w:jc w:val="both"/>
        <w:rPr>
          <w:rFonts w:ascii="Arial" w:hAnsi="Arial"/>
          <w:i/>
        </w:rPr>
      </w:pPr>
      <w:r>
        <w:rPr/>
        <w:t>or,</w:t>
      </w:r>
      <w:r>
        <w:rPr>
          <w:spacing w:val="-2"/>
        </w:rPr>
        <w:t> </w:t>
      </w:r>
      <w:r>
        <w:rPr/>
        <w:t>at</w:t>
      </w:r>
      <w:r>
        <w:rPr>
          <w:spacing w:val="-2"/>
        </w:rPr>
        <w:t> </w:t>
      </w:r>
      <w:r>
        <w:rPr/>
        <w:t>least</w:t>
      </w:r>
      <w:r>
        <w:rPr>
          <w:spacing w:val="-2"/>
        </w:rPr>
        <w:t> </w:t>
      </w:r>
      <w:r>
        <w:rPr/>
        <w:t>damages</w:t>
      </w:r>
      <w:r>
        <w:rPr>
          <w:spacing w:val="-2"/>
        </w:rPr>
        <w:t> </w:t>
      </w:r>
      <w:r>
        <w:rPr/>
        <w:t>on</w:t>
      </w:r>
      <w:r>
        <w:rPr>
          <w:spacing w:val="-2"/>
        </w:rPr>
        <w:t> </w:t>
      </w:r>
      <w:r>
        <w:rPr/>
        <w:t>the</w:t>
      </w:r>
      <w:r>
        <w:rPr>
          <w:spacing w:val="-2"/>
        </w:rPr>
        <w:t> </w:t>
      </w:r>
      <w:r>
        <w:rPr/>
        <w:t>“</w:t>
      </w:r>
      <w:r>
        <w:rPr>
          <w:rFonts w:ascii="Arial" w:hAnsi="Arial"/>
          <w:i/>
        </w:rPr>
        <w:t>Wrotham</w:t>
      </w:r>
      <w:r>
        <w:rPr>
          <w:rFonts w:ascii="Arial" w:hAnsi="Arial"/>
          <w:i/>
          <w:spacing w:val="-2"/>
        </w:rPr>
        <w:t> </w:t>
      </w:r>
      <w:r>
        <w:rPr>
          <w:rFonts w:ascii="Arial" w:hAnsi="Arial"/>
          <w:i/>
        </w:rPr>
        <w:t>Park</w:t>
      </w:r>
      <w:r>
        <w:rPr/>
        <w:t>”</w:t>
      </w:r>
      <w:r>
        <w:rPr>
          <w:spacing w:val="-2"/>
        </w:rPr>
        <w:t> </w:t>
      </w:r>
      <w:r>
        <w:rPr/>
        <w:t>basis,</w:t>
      </w:r>
      <w:r>
        <w:rPr>
          <w:spacing w:val="-2"/>
        </w:rPr>
        <w:t> </w:t>
      </w:r>
      <w:hyperlink w:history="true" w:anchor="_bookmark2242">
        <w:r>
          <w:rPr>
            <w:color w:val="005DA1"/>
            <w:u w:val="single" w:color="005DA1"/>
            <w:vertAlign w:val="superscript"/>
          </w:rPr>
          <w:t>1154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words,</w:t>
        </w:r>
        <w:r>
          <w:rPr>
            <w:spacing w:val="-2"/>
            <w:vertAlign w:val="baseline"/>
          </w:rPr>
          <w:t> </w:t>
        </w:r>
        <w:r>
          <w:rPr>
            <w:vertAlign w:val="baseline"/>
          </w:rPr>
          <w:t>a</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that</w:t>
        </w:r>
        <w:r>
          <w:rPr>
            <w:spacing w:val="-2"/>
            <w:vertAlign w:val="baseline"/>
          </w:rPr>
          <w:t> </w:t>
        </w:r>
        <w:r>
          <w:rPr>
            <w:vertAlign w:val="baseline"/>
          </w:rPr>
          <w:t>the </w:t>
        </w:r>
        <w:bookmarkStart w:name="_bookmark2130" w:id="2132"/>
        <w:bookmarkEnd w:id="2132"/>
        <w:r>
          <w:rPr>
            <w:vertAlign w:val="baseline"/>
          </w:rPr>
          <w:t>defendant</w:t>
        </w:r>
        <w:r>
          <w:rPr>
            <w:spacing w:val="23"/>
            <w:vertAlign w:val="baseline"/>
          </w:rPr>
          <w:t> </w:t>
        </w:r>
        <w:r>
          <w:rPr>
            <w:vertAlign w:val="baseline"/>
          </w:rPr>
          <w:t>has</w:t>
        </w:r>
        <w:r>
          <w:rPr>
            <w:spacing w:val="23"/>
            <w:vertAlign w:val="baseline"/>
          </w:rPr>
          <w:t> </w:t>
        </w:r>
        <w:r>
          <w:rPr>
            <w:vertAlign w:val="baseline"/>
          </w:rPr>
          <w:t>made</w:t>
        </w:r>
        <w:r>
          <w:rPr>
            <w:spacing w:val="23"/>
            <w:vertAlign w:val="baseline"/>
          </w:rPr>
          <w:t> </w:t>
        </w:r>
        <w:r>
          <w:rPr>
            <w:vertAlign w:val="baseline"/>
          </w:rPr>
          <w:t>through</w:t>
        </w:r>
        <w:r>
          <w:rPr>
            <w:spacing w:val="23"/>
            <w:vertAlign w:val="baseline"/>
          </w:rPr>
          <w:t> </w:t>
        </w:r>
        <w:r>
          <w:rPr>
            <w:vertAlign w:val="baseline"/>
          </w:rPr>
          <w:t>breaking</w:t>
        </w:r>
        <w:r>
          <w:rPr>
            <w:spacing w:val="23"/>
            <w:vertAlign w:val="baseline"/>
          </w:rPr>
          <w:t> </w:t>
        </w:r>
        <w:r>
          <w:rPr>
            <w:vertAlign w:val="baseline"/>
          </w:rPr>
          <w:t>the</w:t>
        </w:r>
        <w:r>
          <w:rPr>
            <w:spacing w:val="23"/>
            <w:vertAlign w:val="baseline"/>
          </w:rPr>
          <w:t> </w:t>
        </w:r>
        <w:r>
          <w:rPr>
            <w:vertAlign w:val="baseline"/>
          </w:rPr>
          <w:t>contract.</w:t>
        </w:r>
        <w:r>
          <w:rPr>
            <w:spacing w:val="23"/>
            <w:vertAlign w:val="baseline"/>
          </w:rPr>
          <w:t> </w:t>
        </w:r>
        <w:r>
          <w:rPr>
            <w:vertAlign w:val="baseline"/>
          </w:rPr>
          <w:t>An</w:t>
        </w:r>
        <w:r>
          <w:rPr>
            <w:spacing w:val="23"/>
            <w:vertAlign w:val="baseline"/>
          </w:rPr>
          <w:t> </w:t>
        </w:r>
        <w:r>
          <w:rPr>
            <w:vertAlign w:val="baseline"/>
          </w:rPr>
          <w:t>account</w:t>
        </w:r>
        <w:r>
          <w:rPr>
            <w:spacing w:val="23"/>
            <w:vertAlign w:val="baseline"/>
          </w:rPr>
          <w:t> </w:t>
        </w:r>
        <w:r>
          <w:rPr>
            <w:vertAlign w:val="baseline"/>
          </w:rPr>
          <w:t>of</w:t>
        </w:r>
        <w:r>
          <w:rPr>
            <w:spacing w:val="23"/>
            <w:vertAlign w:val="baseline"/>
          </w:rPr>
          <w:t> </w:t>
        </w:r>
        <w:r>
          <w:rPr>
            <w:vertAlign w:val="baseline"/>
          </w:rPr>
          <w:t>profit</w:t>
        </w:r>
        <w:r>
          <w:rPr>
            <w:spacing w:val="23"/>
            <w:vertAlign w:val="baseline"/>
          </w:rPr>
          <w:t> </w:t>
        </w:r>
        <w:r>
          <w:rPr>
            <w:vertAlign w:val="baseline"/>
          </w:rPr>
          <w:t>was</w:t>
        </w:r>
        <w:r>
          <w:rPr>
            <w:spacing w:val="23"/>
            <w:vertAlign w:val="baseline"/>
          </w:rPr>
          <w:t> </w:t>
        </w:r>
        <w:r>
          <w:rPr>
            <w:vertAlign w:val="baseline"/>
          </w:rPr>
          <w:t>awarded</w:t>
        </w:r>
        <w:r>
          <w:rPr>
            <w:spacing w:val="23"/>
            <w:vertAlign w:val="baseline"/>
          </w:rPr>
          <w:t> </w:t>
        </w:r>
        <w:r>
          <w:rPr>
            <w:vertAlign w:val="baseline"/>
          </w:rPr>
          <w:t>in</w:t>
        </w:r>
        <w:r>
          <w:rPr>
            <w:spacing w:val="22"/>
            <w:vertAlign w:val="baseline"/>
          </w:rPr>
          <w:t> </w:t>
        </w:r>
        <w:r>
          <w:rPr>
            <w:rFonts w:ascii="Arial" w:hAnsi="Arial"/>
            <w:i/>
            <w:vertAlign w:val="baseline"/>
          </w:rPr>
          <w:t>Att-Gen</w:t>
        </w:r>
        <w:r>
          <w:rPr>
            <w:rFonts w:ascii="Arial" w:hAnsi="Arial"/>
            <w:i/>
            <w:spacing w:val="23"/>
            <w:vertAlign w:val="baseline"/>
          </w:rPr>
          <w:t> </w:t>
        </w:r>
        <w:r>
          <w:rPr>
            <w:rFonts w:ascii="Arial" w:hAnsi="Arial"/>
            <w:i/>
            <w:spacing w:val="-10"/>
            <w:vertAlign w:val="baseline"/>
          </w:rPr>
          <w:t>v</w:t>
        </w:r>
      </w:hyperlink>
    </w:p>
    <w:p>
      <w:pPr>
        <w:pStyle w:val="BodyText"/>
        <w:spacing w:line="235" w:lineRule="auto" w:before="120"/>
        <w:ind w:left="165" w:right="167"/>
        <w:jc w:val="both"/>
      </w:pPr>
      <w:r>
        <w:rPr>
          <w:rFonts w:ascii="Arial" w:hAnsi="Arial"/>
          <w:i/>
        </w:rPr>
        <w:t>Blake </w:t>
      </w:r>
      <w:hyperlink w:history="true" w:anchor="_bookmark2243">
        <w:r>
          <w:rPr>
            <w:color w:val="005DA1"/>
            <w:u w:val="single" w:color="005DA1"/>
            <w:vertAlign w:val="superscript"/>
          </w:rPr>
          <w:t>1155</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after Blake had written and published a book in breach of the confidentiality agreement made by him when he entered the Secret Intelligence Service. The circumstances were said to </w:t>
        </w:r>
        <w:r>
          <w:rPr>
            <w:vertAlign w:val="baseline"/>
          </w:rPr>
          <w:t>be “exceptional”, but Lord Nicholls said:</w:t>
        </w:r>
      </w:hyperlink>
    </w:p>
    <w:p>
      <w:pPr>
        <w:pStyle w:val="BodyText"/>
      </w:pPr>
    </w:p>
    <w:p>
      <w:pPr>
        <w:pStyle w:val="BodyText"/>
        <w:spacing w:before="125"/>
      </w:pPr>
    </w:p>
    <w:p>
      <w:pPr>
        <w:pStyle w:val="BodyText"/>
        <w:spacing w:line="235" w:lineRule="auto"/>
        <w:ind w:left="1245" w:right="167"/>
        <w:jc w:val="both"/>
      </w:pPr>
      <w:r>
        <w:rPr/>
        <w:t>“The court will have regard to all the circumstances, including the subject matter of the contract, the purpose of the contractual provision which has been breached, </w:t>
      </w:r>
      <w:r>
        <w:rPr/>
        <w:t>the circumstances in which the breach occurred, the consequences of the breach and the circumstances in which relief is being sought. A useful general guide, although not exhaustive, is whether the plaintiff had a legitimate interest in preventing the defendant’s profit-making activity and, hence, in depriving him of his profit.</w:t>
      </w:r>
    </w:p>
    <w:p>
      <w:pPr>
        <w:pStyle w:val="BodyText"/>
      </w:pPr>
    </w:p>
    <w:p>
      <w:pPr>
        <w:pStyle w:val="BodyText"/>
        <w:spacing w:before="108"/>
      </w:pPr>
    </w:p>
    <w:p>
      <w:pPr>
        <w:pStyle w:val="BodyText"/>
        <w:ind w:left="1245"/>
        <w:jc w:val="both"/>
        <w:rPr>
          <w:position w:val="-2"/>
        </w:rPr>
      </w:pPr>
      <w:bookmarkStart w:name="_bookmark2131" w:id="2133"/>
      <w:bookmarkEnd w:id="2133"/>
      <w:r>
        <w:rPr/>
      </w:r>
      <w:r>
        <w:rPr/>
        <w:t>It would be difficult, and unwise, to attempt to be more specific …” </w:t>
      </w:r>
      <w:hyperlink w:history="true" w:anchor="_bookmark2244">
        <w:r>
          <w:rPr>
            <w:color w:val="005DA1"/>
            <w:u w:val="single" w:color="005DA1"/>
            <w:vertAlign w:val="superscript"/>
          </w:rPr>
          <w:t>1156</w:t>
        </w:r>
        <w:r>
          <w:rPr>
            <w:color w:val="005DA1"/>
            <w:spacing w:val="80"/>
            <w:w w:val="150"/>
            <w:vertAlign w:val="baseline"/>
          </w:rPr>
          <w:t> </w:t>
        </w:r>
        <w:r>
          <w:rPr>
            <w:color w:val="005DA1"/>
            <w:position w:val="-2"/>
            <w:vertAlign w:val="baseline"/>
          </w:rPr>
          <w:drawing>
            <wp:inline distT="0" distB="0" distL="0" distR="0">
              <wp:extent cx="107988" cy="107988"/>
              <wp:effectExtent l="0" t="0" r="0" b="0"/>
              <wp:docPr id="735" name="Image 735"/>
              <wp:cNvGraphicFramePr>
                <a:graphicFrameLocks/>
              </wp:cNvGraphicFramePr>
              <a:graphic>
                <a:graphicData uri="http://schemas.openxmlformats.org/drawingml/2006/picture">
                  <pic:pic>
                    <pic:nvPicPr>
                      <pic:cNvPr id="735" name="Image 7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165" w:right="167"/>
        <w:jc w:val="both"/>
      </w:pPr>
      <w:r>
        <w:rPr/>
        <w:t>Presumably the government would equally have had a sufficient legitimate interest to justify a </w:t>
      </w:r>
      <w:r>
        <w:rPr/>
        <w:t>clause requiring ex-employees who broke the confidentiality agreement to pay a sum that was designed to</w:t>
      </w:r>
      <w:r>
        <w:rPr>
          <w:spacing w:val="40"/>
        </w:rPr>
        <w:t> </w:t>
      </w:r>
      <w:r>
        <w:rPr/>
        <w:t>be a deterrent. Later cases have emphasised that for an account of profits to be appropriate the </w:t>
      </w:r>
      <w:bookmarkStart w:name="_bookmark2132" w:id="2134"/>
      <w:bookmarkEnd w:id="2134"/>
      <w:r>
        <w:rPr/>
        <w:t>circumstances</w:t>
      </w:r>
      <w:r>
        <w:rPr>
          <w:spacing w:val="19"/>
        </w:rPr>
        <w:t> </w:t>
      </w:r>
      <w:r>
        <w:rPr/>
        <w:t>must</w:t>
      </w:r>
      <w:r>
        <w:rPr>
          <w:spacing w:val="19"/>
        </w:rPr>
        <w:t> </w:t>
      </w:r>
      <w:r>
        <w:rPr/>
        <w:t>be</w:t>
      </w:r>
      <w:r>
        <w:rPr>
          <w:spacing w:val="19"/>
        </w:rPr>
        <w:t> </w:t>
      </w:r>
      <w:r>
        <w:rPr/>
        <w:t>exceptional,</w:t>
      </w:r>
      <w:r>
        <w:rPr>
          <w:spacing w:val="19"/>
        </w:rPr>
        <w:t> </w:t>
      </w:r>
      <w:r>
        <w:rPr/>
        <w:t>and</w:t>
      </w:r>
      <w:r>
        <w:rPr>
          <w:spacing w:val="19"/>
        </w:rPr>
        <w:t> </w:t>
      </w:r>
      <w:r>
        <w:rPr/>
        <w:t>this</w:t>
      </w:r>
      <w:r>
        <w:rPr>
          <w:spacing w:val="19"/>
        </w:rPr>
        <w:t> </w:t>
      </w:r>
      <w:r>
        <w:rPr/>
        <w:t>has</w:t>
      </w:r>
      <w:r>
        <w:rPr>
          <w:spacing w:val="19"/>
        </w:rPr>
        <w:t> </w:t>
      </w:r>
      <w:r>
        <w:rPr/>
        <w:t>been</w:t>
      </w:r>
      <w:r>
        <w:rPr>
          <w:spacing w:val="19"/>
        </w:rPr>
        <w:t> </w:t>
      </w:r>
      <w:r>
        <w:rPr/>
        <w:t>taken</w:t>
      </w:r>
      <w:r>
        <w:rPr>
          <w:spacing w:val="19"/>
        </w:rPr>
        <w:t> </w:t>
      </w:r>
      <w:r>
        <w:rPr/>
        <w:t>to</w:t>
      </w:r>
      <w:r>
        <w:rPr>
          <w:spacing w:val="19"/>
        </w:rPr>
        <w:t> </w:t>
      </w:r>
      <w:r>
        <w:rPr/>
        <w:t>mean</w:t>
      </w:r>
      <w:r>
        <w:rPr>
          <w:spacing w:val="19"/>
        </w:rPr>
        <w:t> </w:t>
      </w:r>
      <w:r>
        <w:rPr/>
        <w:t>that</w:t>
      </w:r>
      <w:r>
        <w:rPr>
          <w:spacing w:val="19"/>
        </w:rPr>
        <w:t> </w:t>
      </w:r>
      <w:r>
        <w:rPr/>
        <w:t>an</w:t>
      </w:r>
      <w:r>
        <w:rPr>
          <w:spacing w:val="19"/>
        </w:rPr>
        <w:t> </w:t>
      </w:r>
      <w:r>
        <w:rPr/>
        <w:t>account</w:t>
      </w:r>
      <w:r>
        <w:rPr>
          <w:spacing w:val="19"/>
        </w:rPr>
        <w:t> </w:t>
      </w:r>
      <w:r>
        <w:rPr/>
        <w:t>of</w:t>
      </w:r>
      <w:r>
        <w:rPr>
          <w:spacing w:val="19"/>
        </w:rPr>
        <w:t> </w:t>
      </w:r>
      <w:r>
        <w:rPr/>
        <w:t>profits</w:t>
      </w:r>
      <w:r>
        <w:rPr>
          <w:spacing w:val="19"/>
        </w:rPr>
        <w:t> </w:t>
      </w:r>
      <w:r>
        <w:rPr>
          <w:spacing w:val="-4"/>
        </w:rPr>
        <w:t>will</w:t>
      </w:r>
    </w:p>
    <w:p>
      <w:pPr>
        <w:pStyle w:val="BodyText"/>
        <w:spacing w:before="9"/>
      </w:pPr>
    </w:p>
    <w:p>
      <w:pPr>
        <w:pStyle w:val="BodyText"/>
        <w:spacing w:line="235" w:lineRule="auto"/>
        <w:ind w:left="165" w:right="167"/>
        <w:jc w:val="both"/>
      </w:pPr>
      <w:bookmarkStart w:name="_bookmark2133" w:id="2135"/>
      <w:bookmarkEnd w:id="2135"/>
      <w:r>
        <w:rPr/>
      </w:r>
      <w:r>
        <w:rPr/>
        <w:t>not normally be appropriate in a commercial case, </w:t>
      </w:r>
      <w:r>
        <w:rPr>
          <w:color w:val="005DA1"/>
          <w:u w:val="single" w:color="005DA1"/>
          <w:vertAlign w:val="superscript"/>
        </w:rPr>
        <w:t>1157</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736" name="Image 736"/>
            <wp:cNvGraphicFramePr>
              <a:graphicFrameLocks/>
            </wp:cNvGraphicFramePr>
            <a:graphic>
              <a:graphicData uri="http://schemas.openxmlformats.org/drawingml/2006/picture">
                <pic:pic>
                  <pic:nvPicPr>
                    <pic:cNvPr id="736" name="Image 7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25"/>
          <w:vertAlign w:val="baseline"/>
        </w:rPr>
        <w:t> </w:t>
      </w:r>
      <w:r>
        <w:rPr>
          <w:vertAlign w:val="baseline"/>
        </w:rPr>
        <w:t>though it is certainly possible. </w:t>
      </w:r>
      <w:r>
        <w:rPr>
          <w:color w:val="005DA1"/>
          <w:u w:val="single" w:color="005DA1"/>
          <w:vertAlign w:val="superscript"/>
        </w:rPr>
        <w:t>1158</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737" name="Image 737"/>
            <wp:cNvGraphicFramePr>
              <a:graphicFrameLocks/>
            </wp:cNvGraphicFramePr>
            <a:graphic>
              <a:graphicData uri="http://schemas.openxmlformats.org/drawingml/2006/picture">
                <pic:pic>
                  <pic:nvPicPr>
                    <pic:cNvPr id="737" name="Image 7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25"/>
          <w:vertAlign w:val="baseline"/>
        </w:rPr>
        <w:t> </w:t>
      </w:r>
      <w:r>
        <w:rPr>
          <w:vertAlign w:val="baseline"/>
        </w:rPr>
        <w:t>To </w:t>
      </w:r>
      <w:bookmarkStart w:name="_bookmark2134" w:id="2136"/>
      <w:bookmarkEnd w:id="2136"/>
      <w:r>
        <w:rPr>
          <w:vertAlign w:val="baseline"/>
        </w:rPr>
        <w:t>date</w:t>
      </w:r>
      <w:r>
        <w:rPr>
          <w:spacing w:val="21"/>
          <w:vertAlign w:val="baseline"/>
        </w:rPr>
        <w:t> </w:t>
      </w:r>
      <w:r>
        <w:rPr>
          <w:vertAlign w:val="baseline"/>
        </w:rPr>
        <w:t>an</w:t>
      </w:r>
      <w:r>
        <w:rPr>
          <w:spacing w:val="21"/>
          <w:vertAlign w:val="baseline"/>
        </w:rPr>
        <w:t> </w:t>
      </w:r>
      <w:r>
        <w:rPr>
          <w:vertAlign w:val="baseline"/>
        </w:rPr>
        <w:t>account</w:t>
      </w:r>
      <w:r>
        <w:rPr>
          <w:spacing w:val="21"/>
          <w:vertAlign w:val="baseline"/>
        </w:rPr>
        <w:t> </w:t>
      </w:r>
      <w:r>
        <w:rPr>
          <w:vertAlign w:val="baseline"/>
        </w:rPr>
        <w:t>of</w:t>
      </w:r>
      <w:r>
        <w:rPr>
          <w:spacing w:val="21"/>
          <w:vertAlign w:val="baseline"/>
        </w:rPr>
        <w:t> </w:t>
      </w:r>
      <w:r>
        <w:rPr>
          <w:vertAlign w:val="baseline"/>
        </w:rPr>
        <w:t>profits</w:t>
      </w:r>
      <w:r>
        <w:rPr>
          <w:spacing w:val="21"/>
          <w:vertAlign w:val="baseline"/>
        </w:rPr>
        <w:t> </w:t>
      </w:r>
      <w:r>
        <w:rPr>
          <w:vertAlign w:val="baseline"/>
        </w:rPr>
        <w:t>has</w:t>
      </w:r>
      <w:r>
        <w:rPr>
          <w:spacing w:val="21"/>
          <w:vertAlign w:val="baseline"/>
        </w:rPr>
        <w:t> </w:t>
      </w:r>
      <w:r>
        <w:rPr>
          <w:vertAlign w:val="baseline"/>
        </w:rPr>
        <w:t>been</w:t>
      </w:r>
      <w:r>
        <w:rPr>
          <w:spacing w:val="21"/>
          <w:vertAlign w:val="baseline"/>
        </w:rPr>
        <w:t> </w:t>
      </w:r>
      <w:r>
        <w:rPr>
          <w:vertAlign w:val="baseline"/>
        </w:rPr>
        <w:t>awarded</w:t>
      </w:r>
      <w:r>
        <w:rPr>
          <w:spacing w:val="21"/>
          <w:vertAlign w:val="baseline"/>
        </w:rPr>
        <w:t> </w:t>
      </w:r>
      <w:r>
        <w:rPr>
          <w:vertAlign w:val="baseline"/>
        </w:rPr>
        <w:t>in</w:t>
      </w:r>
      <w:r>
        <w:rPr>
          <w:spacing w:val="21"/>
          <w:vertAlign w:val="baseline"/>
        </w:rPr>
        <w:t> </w:t>
      </w:r>
      <w:r>
        <w:rPr>
          <w:vertAlign w:val="baseline"/>
        </w:rPr>
        <w:t>commercial</w:t>
      </w:r>
      <w:r>
        <w:rPr>
          <w:spacing w:val="21"/>
          <w:vertAlign w:val="baseline"/>
        </w:rPr>
        <w:t> </w:t>
      </w:r>
      <w:r>
        <w:rPr>
          <w:vertAlign w:val="baseline"/>
        </w:rPr>
        <w:t>circumstances</w:t>
      </w:r>
      <w:r>
        <w:rPr>
          <w:spacing w:val="21"/>
          <w:vertAlign w:val="baseline"/>
        </w:rPr>
        <w:t> </w:t>
      </w:r>
      <w:r>
        <w:rPr>
          <w:vertAlign w:val="baseline"/>
        </w:rPr>
        <w:t>only</w:t>
      </w:r>
      <w:r>
        <w:rPr>
          <w:spacing w:val="21"/>
          <w:vertAlign w:val="baseline"/>
        </w:rPr>
        <w:t> </w:t>
      </w:r>
      <w:r>
        <w:rPr>
          <w:vertAlign w:val="baseline"/>
        </w:rPr>
        <w:t>in</w:t>
      </w:r>
      <w:r>
        <w:rPr>
          <w:spacing w:val="21"/>
          <w:vertAlign w:val="baseline"/>
        </w:rPr>
        <w:t> </w:t>
      </w:r>
      <w:r>
        <w:rPr>
          <w:vertAlign w:val="baseline"/>
        </w:rPr>
        <w:t>one</w:t>
      </w:r>
      <w:r>
        <w:rPr>
          <w:spacing w:val="21"/>
          <w:vertAlign w:val="baseline"/>
        </w:rPr>
        <w:t> </w:t>
      </w:r>
      <w:r>
        <w:rPr>
          <w:vertAlign w:val="baseline"/>
        </w:rPr>
        <w:t>case</w:t>
      </w:r>
      <w:r>
        <w:rPr>
          <w:spacing w:val="21"/>
          <w:vertAlign w:val="baseline"/>
        </w:rPr>
        <w:t> </w:t>
      </w:r>
      <w:r>
        <w:rPr>
          <w:vertAlign w:val="baseline"/>
        </w:rPr>
        <w:t>at</w:t>
      </w:r>
      <w:r>
        <w:rPr>
          <w:spacing w:val="21"/>
          <w:vertAlign w:val="baseline"/>
        </w:rPr>
        <w:t> </w:t>
      </w:r>
      <w:r>
        <w:rPr>
          <w:spacing w:val="-2"/>
          <w:vertAlign w:val="baseline"/>
        </w:rPr>
        <w:t>first</w:t>
      </w:r>
    </w:p>
    <w:p>
      <w:pPr>
        <w:pStyle w:val="BodyText"/>
        <w:spacing w:line="235" w:lineRule="auto" w:before="119"/>
        <w:ind w:left="164" w:right="167"/>
        <w:jc w:val="both"/>
        <w:rPr>
          <w:rFonts w:ascii="Arial" w:hAnsi="Arial"/>
          <w:i/>
        </w:rPr>
      </w:pPr>
      <w:r>
        <w:rPr/>
        <w:t>instance. In </w:t>
      </w:r>
      <w:r>
        <w:rPr>
          <w:rFonts w:ascii="Arial" w:hAnsi="Arial"/>
          <w:i/>
        </w:rPr>
        <w:t>Esso Petroleum Co Ltd v Niad Ltd </w:t>
      </w:r>
      <w:hyperlink w:history="true" w:anchor="_bookmark2246">
        <w:r>
          <w:rPr>
            <w:color w:val="005DA1"/>
            <w:u w:val="single" w:color="005DA1"/>
            <w:vertAlign w:val="superscript"/>
          </w:rPr>
          <w:t>1159</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738" name="Image 738"/>
              <wp:cNvGraphicFramePr>
                <a:graphicFrameLocks/>
              </wp:cNvGraphicFramePr>
              <a:graphic>
                <a:graphicData uri="http://schemas.openxmlformats.org/drawingml/2006/picture">
                  <pic:pic>
                    <pic:nvPicPr>
                      <pic:cNvPr id="738" name="Image 7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the defendant had agreed to participate in </w:t>
        </w:r>
        <w:r>
          <w:rPr>
            <w:vertAlign w:val="baseline"/>
          </w:rPr>
          <w:t>a “Price Watch” scheme under which participating petrol stations agreed not to sell at above set prices. The defendant broke the agreement by selling at higher prices. The claimants were unable to show what loss this had caused them but it was held that they had a strong interest in performance and an account of profits was ordered. Though Esso’s aim was to prevent dealers from selling petrol at</w:t>
        </w:r>
        <w:r>
          <w:rPr>
            <w:spacing w:val="40"/>
            <w:vertAlign w:val="baseline"/>
          </w:rPr>
          <w:t> </w:t>
        </w:r>
        <w:r>
          <w:rPr>
            <w:vertAlign w:val="baseline"/>
          </w:rPr>
          <w:t>higher prices than permitted by the scheme, rather than to prevent sales at less than a list price, in </w:t>
        </w:r>
        <w:bookmarkStart w:name="_bookmark2135" w:id="2137"/>
        <w:bookmarkEnd w:id="2137"/>
        <w:r>
          <w:rPr>
            <w:vertAlign w:val="baseline"/>
          </w:rPr>
          <w:t>other</w:t>
        </w:r>
        <w:r>
          <w:rPr>
            <w:spacing w:val="9"/>
            <w:vertAlign w:val="baseline"/>
          </w:rPr>
          <w:t> </w:t>
        </w:r>
        <w:r>
          <w:rPr>
            <w:vertAlign w:val="baseline"/>
          </w:rPr>
          <w:t>respects</w:t>
        </w:r>
        <w:r>
          <w:rPr>
            <w:spacing w:val="9"/>
            <w:vertAlign w:val="baseline"/>
          </w:rPr>
          <w:t> </w:t>
        </w:r>
        <w:r>
          <w:rPr>
            <w:vertAlign w:val="baseline"/>
          </w:rPr>
          <w:t>the</w:t>
        </w:r>
        <w:r>
          <w:rPr>
            <w:spacing w:val="9"/>
            <w:vertAlign w:val="baseline"/>
          </w:rPr>
          <w:t> </w:t>
        </w:r>
        <w:r>
          <w:rPr>
            <w:vertAlign w:val="baseline"/>
          </w:rPr>
          <w:t>facts</w:t>
        </w:r>
        <w:r>
          <w:rPr>
            <w:spacing w:val="9"/>
            <w:vertAlign w:val="baseline"/>
          </w:rPr>
          <w:t> </w:t>
        </w:r>
        <w:r>
          <w:rPr>
            <w:vertAlign w:val="baseline"/>
          </w:rPr>
          <w:t>are</w:t>
        </w:r>
        <w:r>
          <w:rPr>
            <w:spacing w:val="9"/>
            <w:vertAlign w:val="baseline"/>
          </w:rPr>
          <w:t> </w:t>
        </w:r>
        <w:r>
          <w:rPr>
            <w:vertAlign w:val="baseline"/>
          </w:rPr>
          <w:t>quite</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those</w:t>
        </w:r>
        <w:r>
          <w:rPr>
            <w:spacing w:val="9"/>
            <w:vertAlign w:val="baseline"/>
          </w:rPr>
          <w:t> </w:t>
        </w:r>
        <w:r>
          <w:rPr>
            <w:vertAlign w:val="baseline"/>
          </w:rPr>
          <w:t>of</w:t>
        </w:r>
        <w:r>
          <w:rPr>
            <w:spacing w:val="8"/>
            <w:vertAlign w:val="baseline"/>
          </w:rPr>
          <w:t> </w:t>
        </w:r>
        <w:r>
          <w:rPr>
            <w:rFonts w:ascii="Arial" w:hAnsi="Arial"/>
            <w:i/>
            <w:vertAlign w:val="baseline"/>
          </w:rPr>
          <w:t>Dunlop</w:t>
        </w:r>
        <w:r>
          <w:rPr>
            <w:rFonts w:ascii="Arial" w:hAnsi="Arial"/>
            <w:i/>
            <w:spacing w:val="9"/>
            <w:vertAlign w:val="baseline"/>
          </w:rPr>
          <w:t> </w:t>
        </w:r>
        <w:r>
          <w:rPr>
            <w:rFonts w:ascii="Arial" w:hAnsi="Arial"/>
            <w:i/>
            <w:vertAlign w:val="baseline"/>
          </w:rPr>
          <w:t>Pneumatic</w:t>
        </w:r>
        <w:r>
          <w:rPr>
            <w:rFonts w:ascii="Arial" w:hAnsi="Arial"/>
            <w:i/>
            <w:spacing w:val="9"/>
            <w:vertAlign w:val="baseline"/>
          </w:rPr>
          <w:t> </w:t>
        </w:r>
        <w:r>
          <w:rPr>
            <w:rFonts w:ascii="Arial" w:hAnsi="Arial"/>
            <w:i/>
            <w:vertAlign w:val="baseline"/>
          </w:rPr>
          <w:t>Tyre</w:t>
        </w:r>
        <w:r>
          <w:rPr>
            <w:rFonts w:ascii="Arial" w:hAnsi="Arial"/>
            <w:i/>
            <w:spacing w:val="9"/>
            <w:vertAlign w:val="baseline"/>
          </w:rPr>
          <w:t> </w:t>
        </w:r>
        <w:r>
          <w:rPr>
            <w:rFonts w:ascii="Arial" w:hAnsi="Arial"/>
            <w:i/>
            <w:vertAlign w:val="baseline"/>
          </w:rPr>
          <w:t>Co</w:t>
        </w:r>
        <w:r>
          <w:rPr>
            <w:rFonts w:ascii="Arial" w:hAnsi="Arial"/>
            <w:i/>
            <w:spacing w:val="9"/>
            <w:vertAlign w:val="baseline"/>
          </w:rPr>
          <w:t> </w:t>
        </w:r>
        <w:r>
          <w:rPr>
            <w:rFonts w:ascii="Arial" w:hAnsi="Arial"/>
            <w:i/>
            <w:vertAlign w:val="baseline"/>
          </w:rPr>
          <w:t>Ltd</w:t>
        </w:r>
        <w:r>
          <w:rPr>
            <w:rFonts w:ascii="Arial" w:hAnsi="Arial"/>
            <w:i/>
            <w:spacing w:val="9"/>
            <w:vertAlign w:val="baseline"/>
          </w:rPr>
          <w:t> </w:t>
        </w:r>
        <w:r>
          <w:rPr>
            <w:rFonts w:ascii="Arial" w:hAnsi="Arial"/>
            <w:i/>
            <w:vertAlign w:val="baseline"/>
          </w:rPr>
          <w:t>v</w:t>
        </w:r>
        <w:r>
          <w:rPr>
            <w:rFonts w:ascii="Arial" w:hAnsi="Arial"/>
            <w:i/>
            <w:spacing w:val="9"/>
            <w:vertAlign w:val="baseline"/>
          </w:rPr>
          <w:t> </w:t>
        </w:r>
        <w:r>
          <w:rPr>
            <w:rFonts w:ascii="Arial" w:hAnsi="Arial"/>
            <w:i/>
            <w:vertAlign w:val="baseline"/>
          </w:rPr>
          <w:t>New</w:t>
        </w:r>
        <w:r>
          <w:rPr>
            <w:rFonts w:ascii="Arial" w:hAnsi="Arial"/>
            <w:i/>
            <w:spacing w:val="9"/>
            <w:vertAlign w:val="baseline"/>
          </w:rPr>
          <w:t> </w:t>
        </w:r>
        <w:r>
          <w:rPr>
            <w:rFonts w:ascii="Arial" w:hAnsi="Arial"/>
            <w:i/>
            <w:vertAlign w:val="baseline"/>
          </w:rPr>
          <w:t>Garage</w:t>
        </w:r>
        <w:r>
          <w:rPr>
            <w:rFonts w:ascii="Arial" w:hAnsi="Arial"/>
            <w:i/>
            <w:spacing w:val="9"/>
            <w:vertAlign w:val="baseline"/>
          </w:rPr>
          <w:t> </w:t>
        </w:r>
        <w:r>
          <w:rPr>
            <w:rFonts w:ascii="Arial" w:hAnsi="Arial"/>
            <w:i/>
            <w:spacing w:val="-10"/>
            <w:vertAlign w:val="baseline"/>
          </w:rPr>
          <w:t>&amp;</w:t>
        </w:r>
      </w:hyperlink>
    </w:p>
    <w:p>
      <w:pPr>
        <w:pStyle w:val="BodyText"/>
        <w:spacing w:line="235" w:lineRule="auto" w:before="117"/>
        <w:ind w:left="165" w:right="167"/>
        <w:jc w:val="both"/>
      </w:pPr>
      <w:r>
        <w:rPr>
          <w:rFonts w:ascii="Arial" w:hAnsi="Arial"/>
          <w:i/>
        </w:rPr>
        <w:t>Motor Co Ltd</w:t>
      </w:r>
      <w:r>
        <w:rPr/>
        <w:t>, </w:t>
      </w:r>
      <w:hyperlink w:history="true" w:anchor="_bookmark2247">
        <w:r>
          <w:rPr>
            <w:color w:val="005DA1"/>
            <w:u w:val="single" w:color="005DA1"/>
            <w:vertAlign w:val="superscript"/>
          </w:rPr>
          <w:t>1160</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739" name="Image 739"/>
              <wp:cNvGraphicFramePr>
                <a:graphicFrameLocks/>
              </wp:cNvGraphicFramePr>
              <a:graphic>
                <a:graphicData uri="http://schemas.openxmlformats.org/drawingml/2006/picture">
                  <pic:pic>
                    <pic:nvPicPr>
                      <pic:cNvPr id="739" name="Image 7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and it seems clear that Esso would have had a sufficient legitimate interest </w:t>
        </w:r>
        <w:r>
          <w:rPr>
            <w:vertAlign w:val="baseline"/>
          </w:rPr>
          <w:t>to justify a clause requiring dealers who broke the agreement to pay a sum that was designed to be a deterrent, provided the sum set was not extravagant or unconscionable in proportion to Esso’s interest. Moreover, it seems likely that an agreed damages clause that was calculated to take away </w:t>
        </w:r>
        <w:bookmarkStart w:name="_bookmark2136" w:id="2138"/>
        <w:bookmarkEnd w:id="2138"/>
        <w:r>
          <w:rPr>
            <w:vertAlign w:val="baseline"/>
          </w:rPr>
          <w:t>any</w:t>
        </w:r>
        <w:r>
          <w:rPr>
            <w:spacing w:val="7"/>
            <w:vertAlign w:val="baseline"/>
          </w:rPr>
          <w:t> </w:t>
        </w:r>
        <w:r>
          <w:rPr>
            <w:vertAlign w:val="baseline"/>
          </w:rPr>
          <w:t>profit</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dealer</w:t>
        </w:r>
        <w:r>
          <w:rPr>
            <w:spacing w:val="7"/>
            <w:vertAlign w:val="baseline"/>
          </w:rPr>
          <w:t> </w:t>
        </w:r>
        <w:r>
          <w:rPr>
            <w:vertAlign w:val="baseline"/>
          </w:rPr>
          <w:t>might</w:t>
        </w:r>
        <w:r>
          <w:rPr>
            <w:spacing w:val="7"/>
            <w:vertAlign w:val="baseline"/>
          </w:rPr>
          <w:t> </w:t>
        </w:r>
        <w:r>
          <w:rPr>
            <w:vertAlign w:val="baseline"/>
          </w:rPr>
          <w:t>make</w:t>
        </w:r>
        <w:r>
          <w:rPr>
            <w:spacing w:val="7"/>
            <w:vertAlign w:val="baseline"/>
          </w:rPr>
          <w:t> </w:t>
        </w:r>
        <w:r>
          <w:rPr>
            <w:vertAlign w:val="baseline"/>
          </w:rPr>
          <w:t>by</w:t>
        </w:r>
        <w:r>
          <w:rPr>
            <w:spacing w:val="7"/>
            <w:vertAlign w:val="baseline"/>
          </w:rPr>
          <w:t> </w:t>
        </w:r>
        <w:r>
          <w:rPr>
            <w:vertAlign w:val="baseline"/>
          </w:rPr>
          <w:t>selling</w:t>
        </w:r>
        <w:r>
          <w:rPr>
            <w:spacing w:val="7"/>
            <w:vertAlign w:val="baseline"/>
          </w:rPr>
          <w:t> </w:t>
        </w:r>
        <w:r>
          <w:rPr>
            <w:vertAlign w:val="baseline"/>
          </w:rPr>
          <w:t>at</w:t>
        </w:r>
        <w:r>
          <w:rPr>
            <w:spacing w:val="7"/>
            <w:vertAlign w:val="baseline"/>
          </w:rPr>
          <w:t> </w:t>
        </w:r>
        <w:r>
          <w:rPr>
            <w:vertAlign w:val="baseline"/>
          </w:rPr>
          <w:t>higher</w:t>
        </w:r>
        <w:r>
          <w:rPr>
            <w:spacing w:val="7"/>
            <w:vertAlign w:val="baseline"/>
          </w:rPr>
          <w:t> </w:t>
        </w:r>
        <w:r>
          <w:rPr>
            <w:vertAlign w:val="baseline"/>
          </w:rPr>
          <w:t>than</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price</w:t>
        </w:r>
        <w:r>
          <w:rPr>
            <w:spacing w:val="7"/>
            <w:vertAlign w:val="baseline"/>
          </w:rPr>
          <w:t> </w:t>
        </w:r>
        <w:r>
          <w:rPr>
            <w:vertAlign w:val="baseline"/>
          </w:rPr>
          <w:t>would</w:t>
        </w:r>
        <w:r>
          <w:rPr>
            <w:spacing w:val="7"/>
            <w:vertAlign w:val="baseline"/>
          </w:rPr>
          <w:t> </w:t>
        </w:r>
        <w:r>
          <w:rPr>
            <w:vertAlign w:val="baseline"/>
          </w:rPr>
          <w:t>be</w:t>
        </w:r>
        <w:r>
          <w:rPr>
            <w:spacing w:val="7"/>
            <w:vertAlign w:val="baseline"/>
          </w:rPr>
          <w:t> </w:t>
        </w:r>
        <w:r>
          <w:rPr>
            <w:vertAlign w:val="baseline"/>
          </w:rPr>
          <w:t>proportionate</w:t>
        </w:r>
        <w:r>
          <w:rPr>
            <w:spacing w:val="7"/>
            <w:vertAlign w:val="baseline"/>
          </w:rPr>
          <w:t> </w:t>
        </w:r>
        <w:r>
          <w:rPr>
            <w:spacing w:val="-5"/>
            <w:vertAlign w:val="baseline"/>
          </w:rPr>
          <w:t>to</w:t>
        </w:r>
      </w:hyperlink>
    </w:p>
    <w:p>
      <w:pPr>
        <w:pStyle w:val="BodyText"/>
        <w:spacing w:line="235" w:lineRule="auto" w:before="118"/>
        <w:ind w:left="165" w:right="168"/>
        <w:jc w:val="both"/>
      </w:pPr>
      <w:r>
        <w:rPr/>
        <w:t>Esso’s legitimate interest in deterring this kind of breach of contract by dealers. </w:t>
      </w:r>
      <w:hyperlink w:history="true" w:anchor="_bookmark2248">
        <w:r>
          <w:rPr>
            <w:color w:val="005DA1"/>
            <w:u w:val="single" w:color="005DA1"/>
            <w:vertAlign w:val="superscript"/>
          </w:rPr>
          <w:t>1161</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1"/>
            <w:vertAlign w:val="baseline"/>
          </w:rPr>
          <w:t> </w:t>
        </w:r>
        <w:r>
          <w:rPr>
            <w:vertAlign w:val="baseline"/>
          </w:rPr>
          <w:t>Beyond </w:t>
        </w:r>
        <w:r>
          <w:rPr>
            <w:vertAlign w:val="baseline"/>
          </w:rPr>
          <w:t>this, however, it is hard to gain much guidance from a class of cases that by definition are exceptional.</w:t>
        </w:r>
      </w:hyperlink>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Analogy to “Wrotham Park” </w:t>
      </w:r>
      <w:r>
        <w:rPr>
          <w:rFonts w:ascii="Arial" w:hAnsi="Arial"/>
          <w:b/>
          <w:spacing w:val="-2"/>
          <w:sz w:val="18"/>
        </w:rPr>
        <w:t>damages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41" name="Image 741"/>
            <wp:cNvGraphicFramePr>
              <a:graphicFrameLocks/>
            </wp:cNvGraphicFramePr>
            <a:graphic>
              <a:graphicData uri="http://schemas.openxmlformats.org/drawingml/2006/picture">
                <pic:pic>
                  <pic:nvPicPr>
                    <pic:cNvPr id="741" name="Image 7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cases in which the claimant has found it impossible or difficult to show that it has suffered a loss as the result of the defendant’s breach of contract, the courts have more often awarded what are</w:t>
      </w:r>
      <w:r>
        <w:rPr>
          <w:spacing w:val="40"/>
        </w:rPr>
        <w:t> </w:t>
      </w:r>
      <w:r>
        <w:rPr/>
        <w:t>often now called “</w:t>
      </w:r>
      <w:r>
        <w:rPr>
          <w:spacing w:val="-7"/>
        </w:rPr>
        <w:t> </w:t>
      </w:r>
      <w:r>
        <w:rPr>
          <w:rFonts w:ascii="Arial" w:hAnsi="Arial"/>
          <w:i/>
        </w:rPr>
        <w:t>Wrotham Park</w:t>
      </w:r>
      <w:r>
        <w:rPr>
          <w:rFonts w:ascii="Arial" w:hAnsi="Arial"/>
          <w:i/>
          <w:spacing w:val="-6"/>
        </w:rPr>
        <w:t> </w:t>
      </w:r>
      <w:r>
        <w:rPr/>
        <w:t>” or “hypothetical bargain” damages, in other words, </w:t>
      </w:r>
      <w:r>
        <w:rPr/>
        <w:t>damages </w:t>
      </w:r>
      <w:bookmarkStart w:name="_bookmark2137" w:id="2139"/>
      <w:bookmarkEnd w:id="2139"/>
      <w:r>
        <w:rPr/>
        <w:t>measured</w:t>
      </w:r>
      <w:r>
        <w:rPr>
          <w:spacing w:val="20"/>
        </w:rPr>
        <w:t> </w:t>
      </w:r>
      <w:r>
        <w:rPr/>
        <w:t>by</w:t>
      </w:r>
      <w:r>
        <w:rPr>
          <w:spacing w:val="22"/>
        </w:rPr>
        <w:t> </w:t>
      </w:r>
      <w:r>
        <w:rPr/>
        <w:t>the</w:t>
      </w:r>
      <w:r>
        <w:rPr>
          <w:spacing w:val="22"/>
        </w:rPr>
        <w:t> </w:t>
      </w:r>
      <w:r>
        <w:rPr/>
        <w:t>sum</w:t>
      </w:r>
      <w:r>
        <w:rPr>
          <w:spacing w:val="22"/>
        </w:rPr>
        <w:t> </w:t>
      </w:r>
      <w:r>
        <w:rPr/>
        <w:t>that</w:t>
      </w:r>
      <w:r>
        <w:rPr>
          <w:spacing w:val="22"/>
        </w:rPr>
        <w:t> </w:t>
      </w:r>
      <w:r>
        <w:rPr/>
        <w:t>the</w:t>
      </w:r>
      <w:r>
        <w:rPr>
          <w:spacing w:val="22"/>
        </w:rPr>
        <w:t> </w:t>
      </w:r>
      <w:r>
        <w:rPr/>
        <w:t>claimant</w:t>
      </w:r>
      <w:r>
        <w:rPr>
          <w:spacing w:val="22"/>
        </w:rPr>
        <w:t> </w:t>
      </w:r>
      <w:r>
        <w:rPr/>
        <w:t>could</w:t>
      </w:r>
      <w:r>
        <w:rPr>
          <w:spacing w:val="22"/>
        </w:rPr>
        <w:t> </w:t>
      </w:r>
      <w:r>
        <w:rPr/>
        <w:t>reasonably</w:t>
      </w:r>
      <w:r>
        <w:rPr>
          <w:spacing w:val="22"/>
        </w:rPr>
        <w:t> </w:t>
      </w:r>
      <w:r>
        <w:rPr/>
        <w:t>have</w:t>
      </w:r>
      <w:r>
        <w:rPr>
          <w:spacing w:val="22"/>
        </w:rPr>
        <w:t> </w:t>
      </w:r>
      <w:r>
        <w:rPr/>
        <w:t>demanded</w:t>
      </w:r>
      <w:r>
        <w:rPr>
          <w:spacing w:val="22"/>
        </w:rPr>
        <w:t> </w:t>
      </w:r>
      <w:r>
        <w:rPr/>
        <w:t>as</w:t>
      </w:r>
      <w:r>
        <w:rPr>
          <w:spacing w:val="22"/>
        </w:rPr>
        <w:t> </w:t>
      </w:r>
      <w:r>
        <w:rPr/>
        <w:t>the</w:t>
      </w:r>
      <w:r>
        <w:rPr>
          <w:spacing w:val="22"/>
        </w:rPr>
        <w:t> </w:t>
      </w:r>
      <w:r>
        <w:rPr/>
        <w:t>price</w:t>
      </w:r>
      <w:r>
        <w:rPr>
          <w:spacing w:val="22"/>
        </w:rPr>
        <w:t> </w:t>
      </w:r>
      <w:r>
        <w:rPr/>
        <w:t>of</w:t>
      </w:r>
      <w:r>
        <w:rPr>
          <w:spacing w:val="22"/>
        </w:rPr>
        <w:t> </w:t>
      </w:r>
      <w:r>
        <w:rPr>
          <w:spacing w:val="-2"/>
        </w:rPr>
        <w:t>releasing</w:t>
      </w:r>
    </w:p>
    <w:p>
      <w:pPr>
        <w:pStyle w:val="BodyText"/>
        <w:spacing w:before="115"/>
        <w:ind w:left="165"/>
        <w:jc w:val="both"/>
      </w:pPr>
      <w:r>
        <w:rPr/>
        <w:t>the</w:t>
      </w:r>
      <w:r>
        <w:rPr>
          <w:spacing w:val="15"/>
        </w:rPr>
        <w:t> </w:t>
      </w:r>
      <w:r>
        <w:rPr/>
        <w:t>defendant</w:t>
      </w:r>
      <w:r>
        <w:rPr>
          <w:spacing w:val="16"/>
        </w:rPr>
        <w:t> </w:t>
      </w:r>
      <w:r>
        <w:rPr/>
        <w:t>from</w:t>
      </w:r>
      <w:r>
        <w:rPr>
          <w:spacing w:val="16"/>
        </w:rPr>
        <w:t> </w:t>
      </w:r>
      <w:r>
        <w:rPr/>
        <w:t>its</w:t>
      </w:r>
      <w:r>
        <w:rPr>
          <w:spacing w:val="15"/>
        </w:rPr>
        <w:t> </w:t>
      </w:r>
      <w:r>
        <w:rPr/>
        <w:t>obligation.</w:t>
      </w:r>
      <w:r>
        <w:rPr>
          <w:spacing w:val="15"/>
        </w:rPr>
        <w:t> </w:t>
      </w:r>
      <w:hyperlink w:history="true" w:anchor="_bookmark2249">
        <w:r>
          <w:rPr>
            <w:color w:val="005DA1"/>
            <w:u w:val="single" w:color="005DA1"/>
            <w:vertAlign w:val="superscript"/>
          </w:rPr>
          <w:t>1162</w:t>
        </w:r>
        <w:r>
          <w:rPr>
            <w:color w:val="005DA1"/>
            <w:spacing w:val="51"/>
            <w:vertAlign w:val="baseline"/>
          </w:rPr>
          <w:t>  </w:t>
        </w:r>
        <w:r>
          <w:rPr>
            <w:color w:val="005DA1"/>
            <w:spacing w:val="-5"/>
            <w:position w:val="-2"/>
            <w:vertAlign w:val="baseline"/>
          </w:rPr>
          <w:drawing>
            <wp:inline distT="0" distB="0" distL="0" distR="0">
              <wp:extent cx="107988" cy="107988"/>
              <wp:effectExtent l="0" t="0" r="0" b="0"/>
              <wp:docPr id="742" name="Image 742"/>
              <wp:cNvGraphicFramePr>
                <a:graphicFrameLocks/>
              </wp:cNvGraphicFramePr>
              <a:graphic>
                <a:graphicData uri="http://schemas.openxmlformats.org/drawingml/2006/picture">
                  <pic:pic>
                    <pic:nvPicPr>
                      <pic:cNvPr id="742" name="Image 7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25"/>
            <w:vertAlign w:val="baseline"/>
          </w:rPr>
          <w:t> </w:t>
        </w:r>
        <w:r>
          <w:rPr>
            <w:vertAlign w:val="baseline"/>
          </w:rPr>
          <w:t>So</w:t>
        </w:r>
        <w:r>
          <w:rPr>
            <w:spacing w:val="16"/>
            <w:vertAlign w:val="baseline"/>
          </w:rPr>
          <w:t> </w:t>
        </w:r>
        <w:r>
          <w:rPr>
            <w:vertAlign w:val="baseline"/>
          </w:rPr>
          <w:t>where</w:t>
        </w:r>
        <w:r>
          <w:rPr>
            <w:spacing w:val="16"/>
            <w:vertAlign w:val="baseline"/>
          </w:rPr>
          <w:t> </w:t>
        </w:r>
        <w:r>
          <w:rPr>
            <w:vertAlign w:val="baseline"/>
          </w:rPr>
          <w:t>the</w:t>
        </w:r>
        <w:r>
          <w:rPr>
            <w:spacing w:val="16"/>
            <w:vertAlign w:val="baseline"/>
          </w:rPr>
          <w:t> </w:t>
        </w:r>
        <w:r>
          <w:rPr>
            <w:vertAlign w:val="baseline"/>
          </w:rPr>
          <w:t>defendant</w:t>
        </w:r>
        <w:r>
          <w:rPr>
            <w:spacing w:val="15"/>
            <w:vertAlign w:val="baseline"/>
          </w:rPr>
          <w:t> </w:t>
        </w:r>
        <w:r>
          <w:rPr>
            <w:vertAlign w:val="baseline"/>
          </w:rPr>
          <w:t>has</w:t>
        </w:r>
        <w:r>
          <w:rPr>
            <w:spacing w:val="16"/>
            <w:vertAlign w:val="baseline"/>
          </w:rPr>
          <w:t> </w:t>
        </w:r>
        <w:r>
          <w:rPr>
            <w:vertAlign w:val="baseline"/>
          </w:rPr>
          <w:t>failed</w:t>
        </w:r>
        <w:r>
          <w:rPr>
            <w:spacing w:val="16"/>
            <w:vertAlign w:val="baseline"/>
          </w:rPr>
          <w:t> </w:t>
        </w:r>
        <w:r>
          <w:rPr>
            <w:vertAlign w:val="baseline"/>
          </w:rPr>
          <w:t>to</w:t>
        </w:r>
        <w:r>
          <w:rPr>
            <w:spacing w:val="15"/>
            <w:vertAlign w:val="baseline"/>
          </w:rPr>
          <w:t> </w:t>
        </w:r>
        <w:r>
          <w:rPr>
            <w:vertAlign w:val="baseline"/>
          </w:rPr>
          <w:t>provide</w:t>
        </w:r>
        <w:r>
          <w:rPr>
            <w:spacing w:val="16"/>
            <w:vertAlign w:val="baseline"/>
          </w:rPr>
          <w:t> </w:t>
        </w:r>
        <w:r>
          <w:rPr>
            <w:vertAlign w:val="baseline"/>
          </w:rPr>
          <w:t>the</w:t>
        </w:r>
        <w:r>
          <w:rPr>
            <w:spacing w:val="16"/>
            <w:vertAlign w:val="baseline"/>
          </w:rPr>
          <w:t> </w:t>
        </w:r>
        <w:r>
          <w:rPr>
            <w:spacing w:val="-2"/>
            <w:vertAlign w:val="baseline"/>
          </w:rPr>
          <w:t>services</w:t>
        </w:r>
      </w:hyperlink>
    </w:p>
    <w:p>
      <w:pPr>
        <w:sectPr>
          <w:pgSz w:w="11900" w:h="16840"/>
          <w:pgMar w:header="971" w:footer="0" w:top="1300" w:bottom="280" w:left="1275" w:right="1275"/>
        </w:sectPr>
      </w:pPr>
    </w:p>
    <w:p>
      <w:pPr>
        <w:pStyle w:val="BodyText"/>
        <w:spacing w:line="360" w:lineRule="auto" w:before="106"/>
        <w:ind w:left="165" w:right="167"/>
        <w:jc w:val="both"/>
      </w:pPr>
      <w:bookmarkStart w:name="_bookmark2138" w:id="2140"/>
      <w:bookmarkEnd w:id="2140"/>
      <w:r>
        <w:rPr/>
      </w:r>
      <w:r>
        <w:rPr/>
        <w:t>promised but the claimant cannot show a consequential loss, if damages cannot be awarded on the </w:t>
      </w:r>
      <w:bookmarkStart w:name="_bookmark2139" w:id="2141"/>
      <w:bookmarkEnd w:id="2141"/>
      <w:r>
        <w:rPr/>
        <w:t>simple</w:t>
      </w:r>
      <w:r>
        <w:rPr>
          <w:spacing w:val="14"/>
        </w:rPr>
        <w:t> </w:t>
      </w:r>
      <w:r>
        <w:rPr/>
        <w:t>difference</w:t>
      </w:r>
      <w:r>
        <w:rPr>
          <w:spacing w:val="17"/>
        </w:rPr>
        <w:t> </w:t>
      </w:r>
      <w:r>
        <w:rPr/>
        <w:t>in</w:t>
      </w:r>
      <w:r>
        <w:rPr>
          <w:spacing w:val="16"/>
        </w:rPr>
        <w:t> </w:t>
      </w:r>
      <w:r>
        <w:rPr/>
        <w:t>value</w:t>
      </w:r>
      <w:r>
        <w:rPr>
          <w:spacing w:val="17"/>
        </w:rPr>
        <w:t> </w:t>
      </w:r>
      <w:r>
        <w:rPr/>
        <w:t>between</w:t>
      </w:r>
      <w:r>
        <w:rPr>
          <w:spacing w:val="17"/>
        </w:rPr>
        <w:t> </w:t>
      </w:r>
      <w:r>
        <w:rPr/>
        <w:t>the</w:t>
      </w:r>
      <w:r>
        <w:rPr>
          <w:spacing w:val="16"/>
        </w:rPr>
        <w:t> </w:t>
      </w:r>
      <w:r>
        <w:rPr/>
        <w:t>services</w:t>
      </w:r>
      <w:r>
        <w:rPr>
          <w:spacing w:val="17"/>
        </w:rPr>
        <w:t> </w:t>
      </w:r>
      <w:r>
        <w:rPr/>
        <w:t>promised</w:t>
      </w:r>
      <w:r>
        <w:rPr>
          <w:spacing w:val="17"/>
        </w:rPr>
        <w:t> </w:t>
      </w:r>
      <w:r>
        <w:rPr/>
        <w:t>and</w:t>
      </w:r>
      <w:r>
        <w:rPr>
          <w:spacing w:val="16"/>
        </w:rPr>
        <w:t> </w:t>
      </w:r>
      <w:r>
        <w:rPr/>
        <w:t>those</w:t>
      </w:r>
      <w:r>
        <w:rPr>
          <w:spacing w:val="17"/>
        </w:rPr>
        <w:t> </w:t>
      </w:r>
      <w:r>
        <w:rPr/>
        <w:t>provided,</w:t>
      </w:r>
      <w:r>
        <w:rPr>
          <w:spacing w:val="16"/>
        </w:rPr>
        <w:t> </w:t>
      </w:r>
      <w:hyperlink w:history="true" w:anchor="_bookmark2250">
        <w:r>
          <w:rPr>
            <w:color w:val="005DA1"/>
            <w:u w:val="single" w:color="005DA1"/>
            <w:vertAlign w:val="superscript"/>
          </w:rPr>
          <w:t>1163</w:t>
        </w:r>
        <w:r>
          <w:rPr>
            <w:color w:val="005DA1"/>
            <w:spacing w:val="53"/>
            <w:vertAlign w:val="baseline"/>
          </w:rPr>
          <w:t>  </w:t>
        </w:r>
        <w:r>
          <w:rPr>
            <w:color w:val="005DA1"/>
            <w:position w:val="-2"/>
            <w:vertAlign w:val="baseline"/>
          </w:rPr>
          <w:drawing>
            <wp:inline distT="0" distB="0" distL="0" distR="0">
              <wp:extent cx="107988" cy="107988"/>
              <wp:effectExtent l="0" t="0" r="0" b="0"/>
              <wp:docPr id="743" name="Image 743"/>
              <wp:cNvGraphicFramePr>
                <a:graphicFrameLocks/>
              </wp:cNvGraphicFramePr>
              <a:graphic>
                <a:graphicData uri="http://schemas.openxmlformats.org/drawingml/2006/picture">
                  <pic:pic>
                    <pic:nvPicPr>
                      <pic:cNvPr id="743" name="Image 7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3"/>
            <w:vertAlign w:val="baseline"/>
          </w:rPr>
          <w:t> </w:t>
        </w:r>
        <w:r>
          <w:rPr>
            <w:vertAlign w:val="baseline"/>
          </w:rPr>
          <w:t>an</w:t>
        </w:r>
        <w:r>
          <w:rPr>
            <w:spacing w:val="17"/>
            <w:vertAlign w:val="baseline"/>
          </w:rPr>
          <w:t> </w:t>
        </w:r>
        <w:r>
          <w:rPr>
            <w:vertAlign w:val="baseline"/>
          </w:rPr>
          <w:t>award</w:t>
        </w:r>
        <w:r>
          <w:rPr>
            <w:spacing w:val="17"/>
            <w:vertAlign w:val="baseline"/>
          </w:rPr>
          <w:t> </w:t>
        </w:r>
        <w:r>
          <w:rPr>
            <w:spacing w:val="-7"/>
            <w:vertAlign w:val="baseline"/>
          </w:rPr>
          <w:t>on</w:t>
        </w:r>
      </w:hyperlink>
    </w:p>
    <w:p>
      <w:pPr>
        <w:pStyle w:val="BodyText"/>
        <w:spacing w:line="235" w:lineRule="auto" w:before="4"/>
        <w:ind w:left="165" w:right="167"/>
        <w:jc w:val="both"/>
      </w:pPr>
      <w:r>
        <w:rPr/>
        <w:t>the hypothetical bargain basis may be made instead. </w:t>
      </w:r>
      <w:hyperlink w:history="true" w:anchor="_bookmark2251">
        <w:r>
          <w:rPr>
            <w:color w:val="005DA1"/>
            <w:u w:val="single" w:color="005DA1"/>
            <w:vertAlign w:val="superscript"/>
          </w:rPr>
          <w:t>1164</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744" name="Image 744"/>
              <wp:cNvGraphicFramePr>
                <a:graphicFrameLocks/>
              </wp:cNvGraphicFramePr>
              <a:graphic>
                <a:graphicData uri="http://schemas.openxmlformats.org/drawingml/2006/picture">
                  <pic:pic>
                    <pic:nvPicPr>
                      <pic:cNvPr id="744" name="Image 7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2"/>
            <w:vertAlign w:val="baseline"/>
          </w:rPr>
          <w:t> </w:t>
        </w:r>
        <w:r>
          <w:rPr>
            <w:vertAlign w:val="baseline"/>
          </w:rPr>
          <w:t>The facts do not have to be exceptional in the way required if an account of profits is to be ordered, nor is it necessary that to deny </w:t>
        </w:r>
        <w:r>
          <w:rPr>
            <w:rFonts w:ascii="Arial"/>
            <w:i/>
            <w:vertAlign w:val="baseline"/>
          </w:rPr>
          <w:t>Wrotham </w:t>
        </w:r>
        <w:bookmarkStart w:name="_bookmark2140" w:id="2142"/>
        <w:bookmarkEnd w:id="2142"/>
        <w:r>
          <w:rPr>
            <w:rFonts w:ascii="Arial"/>
            <w:i/>
            <w:vertAlign w:val="baseline"/>
          </w:rPr>
          <w:t>Park</w:t>
        </w:r>
        <w:r>
          <w:rPr>
            <w:rFonts w:ascii="Arial"/>
            <w:i/>
            <w:spacing w:val="11"/>
            <w:vertAlign w:val="baseline"/>
          </w:rPr>
          <w:t> </w:t>
        </w:r>
        <w:r>
          <w:rPr>
            <w:vertAlign w:val="baseline"/>
          </w:rPr>
          <w:t>damages</w:t>
        </w:r>
        <w:r>
          <w:rPr>
            <w:spacing w:val="11"/>
            <w:vertAlign w:val="baseline"/>
          </w:rPr>
          <w:t> </w:t>
        </w:r>
        <w:r>
          <w:rPr>
            <w:vertAlign w:val="baseline"/>
          </w:rPr>
          <w:t>would</w:t>
        </w:r>
        <w:r>
          <w:rPr>
            <w:spacing w:val="11"/>
            <w:vertAlign w:val="baseline"/>
          </w:rPr>
          <w:t> </w:t>
        </w:r>
        <w:r>
          <w:rPr>
            <w:vertAlign w:val="baseline"/>
          </w:rPr>
          <w:t>produce</w:t>
        </w:r>
        <w:r>
          <w:rPr>
            <w:spacing w:val="11"/>
            <w:vertAlign w:val="baseline"/>
          </w:rPr>
          <w:t> </w:t>
        </w:r>
        <w:r>
          <w:rPr>
            <w:vertAlign w:val="baseline"/>
          </w:rPr>
          <w:t>a</w:t>
        </w:r>
        <w:r>
          <w:rPr>
            <w:spacing w:val="11"/>
            <w:vertAlign w:val="baseline"/>
          </w:rPr>
          <w:t> </w:t>
        </w:r>
        <w:r>
          <w:rPr>
            <w:vertAlign w:val="baseline"/>
          </w:rPr>
          <w:t>manifest</w:t>
        </w:r>
        <w:r>
          <w:rPr>
            <w:spacing w:val="11"/>
            <w:vertAlign w:val="baseline"/>
          </w:rPr>
          <w:t> </w:t>
        </w:r>
        <w:r>
          <w:rPr>
            <w:vertAlign w:val="baseline"/>
          </w:rPr>
          <w:t>injustice;</w:t>
        </w:r>
        <w:r>
          <w:rPr>
            <w:spacing w:val="11"/>
            <w:vertAlign w:val="baseline"/>
          </w:rPr>
          <w:t> </w:t>
        </w:r>
        <w:r>
          <w:rPr>
            <w:vertAlign w:val="baseline"/>
          </w:rPr>
          <w:t>the</w:t>
        </w:r>
        <w:r>
          <w:rPr>
            <w:spacing w:val="11"/>
            <w:vertAlign w:val="baseline"/>
          </w:rPr>
          <w:t> </w:t>
        </w:r>
        <w:r>
          <w:rPr>
            <w:vertAlign w:val="baseline"/>
          </w:rPr>
          <w:t>question</w:t>
        </w:r>
        <w:r>
          <w:rPr>
            <w:spacing w:val="11"/>
            <w:vertAlign w:val="baseline"/>
          </w:rPr>
          <w:t> </w:t>
        </w:r>
        <w:r>
          <w:rPr>
            <w:vertAlign w:val="baseline"/>
          </w:rPr>
          <w:t>is</w:t>
        </w:r>
        <w:r>
          <w:rPr>
            <w:spacing w:val="11"/>
            <w:vertAlign w:val="baseline"/>
          </w:rPr>
          <w:t> </w:t>
        </w:r>
        <w:r>
          <w:rPr>
            <w:vertAlign w:val="baseline"/>
          </w:rPr>
          <w:t>whether</w:t>
        </w:r>
        <w:r>
          <w:rPr>
            <w:spacing w:val="11"/>
            <w:vertAlign w:val="baseline"/>
          </w:rPr>
          <w:t> </w:t>
        </w:r>
        <w:r>
          <w:rPr>
            <w:vertAlign w:val="baseline"/>
          </w:rPr>
          <w:t>an</w:t>
        </w:r>
        <w:r>
          <w:rPr>
            <w:spacing w:val="11"/>
            <w:vertAlign w:val="baseline"/>
          </w:rPr>
          <w:t> </w:t>
        </w:r>
        <w:r>
          <w:rPr>
            <w:vertAlign w:val="baseline"/>
          </w:rPr>
          <w:t>award</w:t>
        </w:r>
        <w:r>
          <w:rPr>
            <w:spacing w:val="11"/>
            <w:vertAlign w:val="baseline"/>
          </w:rPr>
          <w:t> </w:t>
        </w:r>
        <w:r>
          <w:rPr>
            <w:vertAlign w:val="baseline"/>
          </w:rPr>
          <w:t>would</w:t>
        </w:r>
        <w:r>
          <w:rPr>
            <w:spacing w:val="11"/>
            <w:vertAlign w:val="baseline"/>
          </w:rPr>
          <w:t> </w:t>
        </w:r>
        <w:r>
          <w:rPr>
            <w:vertAlign w:val="baseline"/>
          </w:rPr>
          <w:t>be</w:t>
        </w:r>
        <w:r>
          <w:rPr>
            <w:spacing w:val="11"/>
            <w:vertAlign w:val="baseline"/>
          </w:rPr>
          <w:t> </w:t>
        </w:r>
        <w:r>
          <w:rPr>
            <w:vertAlign w:val="baseline"/>
          </w:rPr>
          <w:t>a</w:t>
        </w:r>
        <w:r>
          <w:rPr>
            <w:spacing w:val="11"/>
            <w:vertAlign w:val="baseline"/>
          </w:rPr>
          <w:t> </w:t>
        </w:r>
        <w:r>
          <w:rPr>
            <w:spacing w:val="-4"/>
            <w:vertAlign w:val="baseline"/>
          </w:rPr>
          <w:t>just</w:t>
        </w:r>
      </w:hyperlink>
    </w:p>
    <w:p>
      <w:pPr>
        <w:pStyle w:val="BodyText"/>
        <w:spacing w:line="227" w:lineRule="exact" w:before="115"/>
        <w:ind w:left="165"/>
        <w:rPr>
          <w:rFonts w:ascii="Arial"/>
          <w:i/>
        </w:rPr>
      </w:pPr>
      <w:r>
        <w:rPr/>
        <w:t>response.</w:t>
      </w:r>
      <w:r>
        <w:rPr>
          <w:spacing w:val="2"/>
        </w:rPr>
        <w:t> </w:t>
      </w:r>
      <w:hyperlink w:history="true" w:anchor="_bookmark2252">
        <w:r>
          <w:rPr>
            <w:color w:val="005DA1"/>
            <w:u w:val="single" w:color="005DA1"/>
            <w:vertAlign w:val="superscript"/>
          </w:rPr>
          <w:t>1165</w:t>
        </w:r>
        <w:r>
          <w:rPr>
            <w:color w:val="005DA1"/>
            <w:spacing w:val="32"/>
            <w:vertAlign w:val="baseline"/>
          </w:rPr>
          <w:t>  </w:t>
        </w:r>
        <w:r>
          <w:rPr>
            <w:color w:val="005DA1"/>
            <w:spacing w:val="12"/>
            <w:position w:val="-2"/>
            <w:vertAlign w:val="baseline"/>
          </w:rPr>
          <w:drawing>
            <wp:inline distT="0" distB="0" distL="0" distR="0">
              <wp:extent cx="107988" cy="107988"/>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4"/>
            <w:vertAlign w:val="baseline"/>
          </w:rPr>
          <w:t> </w:t>
        </w:r>
        <w:r>
          <w:rPr>
            <w:vertAlign w:val="baseline"/>
          </w:rPr>
          <w:t>Some</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factors</w:t>
        </w:r>
        <w:r>
          <w:rPr>
            <w:spacing w:val="3"/>
            <w:vertAlign w:val="baseline"/>
          </w:rPr>
          <w:t> </w:t>
        </w:r>
        <w:r>
          <w:rPr>
            <w:vertAlign w:val="baseline"/>
          </w:rPr>
          <w:t>taken</w:t>
        </w:r>
        <w:r>
          <w:rPr>
            <w:spacing w:val="2"/>
            <w:vertAlign w:val="baseline"/>
          </w:rPr>
          <w:t> </w:t>
        </w:r>
        <w:r>
          <w:rPr>
            <w:vertAlign w:val="baseline"/>
          </w:rPr>
          <w:t>into</w:t>
        </w:r>
        <w:r>
          <w:rPr>
            <w:spacing w:val="3"/>
            <w:vertAlign w:val="baseline"/>
          </w:rPr>
          <w:t> </w:t>
        </w:r>
        <w:r>
          <w:rPr>
            <w:vertAlign w:val="baseline"/>
          </w:rPr>
          <w:t>account</w:t>
        </w:r>
        <w:r>
          <w:rPr>
            <w:spacing w:val="3"/>
            <w:vertAlign w:val="baseline"/>
          </w:rPr>
          <w:t> </w:t>
        </w:r>
        <w:r>
          <w:rPr>
            <w:vertAlign w:val="baseline"/>
          </w:rPr>
          <w:t>in</w:t>
        </w:r>
        <w:r>
          <w:rPr>
            <w:spacing w:val="2"/>
            <w:vertAlign w:val="baseline"/>
          </w:rPr>
          <w:t> </w:t>
        </w:r>
        <w:r>
          <w:rPr>
            <w:vertAlign w:val="baseline"/>
          </w:rPr>
          <w:t>deciding</w:t>
        </w:r>
        <w:r>
          <w:rPr>
            <w:spacing w:val="3"/>
            <w:vertAlign w:val="baseline"/>
          </w:rPr>
          <w:t> </w:t>
        </w:r>
        <w:r>
          <w:rPr>
            <w:vertAlign w:val="baseline"/>
          </w:rPr>
          <w:t>whether</w:t>
        </w:r>
        <w:r>
          <w:rPr>
            <w:spacing w:val="3"/>
            <w:vertAlign w:val="baseline"/>
          </w:rPr>
          <w:t> </w:t>
        </w:r>
        <w:r>
          <w:rPr>
            <w:vertAlign w:val="baseline"/>
          </w:rPr>
          <w:t>to</w:t>
        </w:r>
        <w:r>
          <w:rPr>
            <w:spacing w:val="2"/>
            <w:vertAlign w:val="baseline"/>
          </w:rPr>
          <w:t> </w:t>
        </w:r>
        <w:r>
          <w:rPr>
            <w:vertAlign w:val="baseline"/>
          </w:rPr>
          <w:t>award</w:t>
        </w:r>
        <w:r>
          <w:rPr>
            <w:spacing w:val="2"/>
            <w:vertAlign w:val="baseline"/>
          </w:rPr>
          <w:t> </w:t>
        </w:r>
        <w:r>
          <w:rPr>
            <w:rFonts w:ascii="Arial"/>
            <w:i/>
            <w:vertAlign w:val="baseline"/>
          </w:rPr>
          <w:t>Wrotham</w:t>
        </w:r>
        <w:r>
          <w:rPr>
            <w:rFonts w:ascii="Arial"/>
            <w:i/>
            <w:spacing w:val="3"/>
            <w:vertAlign w:val="baseline"/>
          </w:rPr>
          <w:t> </w:t>
        </w:r>
        <w:r>
          <w:rPr>
            <w:rFonts w:ascii="Arial"/>
            <w:i/>
            <w:spacing w:val="-4"/>
            <w:vertAlign w:val="baseline"/>
          </w:rPr>
          <w:t>Park</w:t>
        </w:r>
      </w:hyperlink>
    </w:p>
    <w:p>
      <w:pPr>
        <w:pStyle w:val="BodyText"/>
        <w:spacing w:line="360" w:lineRule="auto"/>
        <w:ind w:left="165"/>
      </w:pPr>
      <w:bookmarkStart w:name="_bookmark2141" w:id="2143"/>
      <w:bookmarkEnd w:id="2143"/>
      <w:r>
        <w:rPr/>
      </w:r>
      <w:r>
        <w:rPr/>
        <w:t>damages seem relevant to the question of whether the claimant has a legitimate interest in </w:t>
      </w:r>
      <w:r>
        <w:rPr/>
        <w:t>securing </w:t>
      </w:r>
      <w:bookmarkStart w:name="_bookmark2142" w:id="2144"/>
      <w:bookmarkEnd w:id="2144"/>
      <w:r>
        <w:rPr/>
        <w:t>performance</w:t>
      </w:r>
      <w:r>
        <w:rPr>
          <w:spacing w:val="2"/>
        </w:rPr>
        <w:t> </w:t>
      </w:r>
      <w:r>
        <w:rPr/>
        <w:t>rather</w:t>
      </w:r>
      <w:r>
        <w:rPr>
          <w:spacing w:val="3"/>
        </w:rPr>
        <w:t> </w:t>
      </w:r>
      <w:r>
        <w:rPr/>
        <w:t>than</w:t>
      </w:r>
      <w:r>
        <w:rPr>
          <w:spacing w:val="3"/>
        </w:rPr>
        <w:t> </w:t>
      </w:r>
      <w:r>
        <w:rPr/>
        <w:t>damages.</w:t>
      </w:r>
      <w:r>
        <w:rPr>
          <w:spacing w:val="1"/>
        </w:rPr>
        <w:t> </w:t>
      </w:r>
      <w:hyperlink w:history="true" w:anchor="_bookmark2253">
        <w:r>
          <w:rPr>
            <w:color w:val="005DA1"/>
            <w:u w:val="single" w:color="005DA1"/>
            <w:vertAlign w:val="superscript"/>
          </w:rPr>
          <w:t>1166</w:t>
        </w:r>
        <w:r>
          <w:rPr>
            <w:color w:val="005DA1"/>
            <w:spacing w:val="32"/>
            <w:vertAlign w:val="baseline"/>
          </w:rPr>
          <w:t>  </w:t>
        </w:r>
        <w:r>
          <w:rPr>
            <w:color w:val="005DA1"/>
            <w:spacing w:val="12"/>
            <w:position w:val="-2"/>
            <w:vertAlign w:val="baseline"/>
          </w:rPr>
          <w:drawing>
            <wp:inline distT="0" distB="0" distL="0" distR="0">
              <wp:extent cx="107988" cy="107988"/>
              <wp:effectExtent l="0" t="0" r="0" b="0"/>
              <wp:docPr id="746" name="Image 746"/>
              <wp:cNvGraphicFramePr>
                <a:graphicFrameLocks/>
              </wp:cNvGraphicFramePr>
              <a:graphic>
                <a:graphicData uri="http://schemas.openxmlformats.org/drawingml/2006/picture">
                  <pic:pic>
                    <pic:nvPicPr>
                      <pic:cNvPr id="746" name="Image 7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4"/>
            <w:vertAlign w:val="baseline"/>
          </w:rPr>
          <w:t> </w:t>
        </w:r>
        <w:r>
          <w:rPr>
            <w:vertAlign w:val="baseline"/>
          </w:rPr>
          <w:t>These</w:t>
        </w:r>
        <w:r>
          <w:rPr>
            <w:spacing w:val="3"/>
            <w:vertAlign w:val="baseline"/>
          </w:rPr>
          <w:t> </w:t>
        </w:r>
        <w:r>
          <w:rPr>
            <w:vertAlign w:val="baseline"/>
          </w:rPr>
          <w:t>include</w:t>
        </w:r>
        <w:r>
          <w:rPr>
            <w:spacing w:val="2"/>
            <w:vertAlign w:val="baseline"/>
          </w:rPr>
          <w:t> </w:t>
        </w:r>
        <w:r>
          <w:rPr>
            <w:vertAlign w:val="baseline"/>
          </w:rPr>
          <w:t>difficulty</w:t>
        </w:r>
        <w:r>
          <w:rPr>
            <w:spacing w:val="3"/>
            <w:vertAlign w:val="baseline"/>
          </w:rPr>
          <w:t> </w:t>
        </w:r>
        <w:r>
          <w:rPr>
            <w:vertAlign w:val="baseline"/>
          </w:rPr>
          <w:t>in</w:t>
        </w:r>
        <w:r>
          <w:rPr>
            <w:spacing w:val="3"/>
            <w:vertAlign w:val="baseline"/>
          </w:rPr>
          <w:t> </w:t>
        </w:r>
        <w:r>
          <w:rPr>
            <w:vertAlign w:val="baseline"/>
          </w:rPr>
          <w:t>showing</w:t>
        </w:r>
        <w:r>
          <w:rPr>
            <w:spacing w:val="2"/>
            <w:vertAlign w:val="baseline"/>
          </w:rPr>
          <w:t> </w:t>
        </w:r>
        <w:r>
          <w:rPr>
            <w:vertAlign w:val="baseline"/>
          </w:rPr>
          <w:t>loss,</w:t>
        </w:r>
        <w:r>
          <w:rPr>
            <w:spacing w:val="3"/>
            <w:vertAlign w:val="baseline"/>
          </w:rPr>
          <w:t> </w:t>
        </w:r>
        <w:r>
          <w:rPr>
            <w:vertAlign w:val="baseline"/>
          </w:rPr>
          <w:t>even</w:t>
        </w:r>
        <w:r>
          <w:rPr>
            <w:spacing w:val="3"/>
            <w:vertAlign w:val="baseline"/>
          </w:rPr>
          <w:t> </w:t>
        </w:r>
        <w:r>
          <w:rPr>
            <w:vertAlign w:val="baseline"/>
          </w:rPr>
          <w:t>if</w:t>
        </w:r>
        <w:r>
          <w:rPr>
            <w:spacing w:val="2"/>
            <w:vertAlign w:val="baseline"/>
          </w:rPr>
          <w:t> </w:t>
        </w:r>
        <w:r>
          <w:rPr>
            <w:vertAlign w:val="baseline"/>
          </w:rPr>
          <w:t>it</w:t>
        </w:r>
        <w:r>
          <w:rPr>
            <w:spacing w:val="3"/>
            <w:vertAlign w:val="baseline"/>
          </w:rPr>
          <w:t> </w:t>
        </w:r>
        <w:r>
          <w:rPr>
            <w:vertAlign w:val="baseline"/>
          </w:rPr>
          <w:t>would</w:t>
        </w:r>
        <w:r>
          <w:rPr>
            <w:spacing w:val="3"/>
            <w:vertAlign w:val="baseline"/>
          </w:rPr>
          <w:t> </w:t>
        </w:r>
        <w:r>
          <w:rPr>
            <w:spacing w:val="-5"/>
            <w:vertAlign w:val="baseline"/>
          </w:rPr>
          <w:t>be</w:t>
        </w:r>
      </w:hyperlink>
    </w:p>
    <w:p>
      <w:pPr>
        <w:pStyle w:val="BodyText"/>
        <w:tabs>
          <w:tab w:pos="9008" w:val="left" w:leader="none"/>
        </w:tabs>
        <w:spacing w:line="227" w:lineRule="exact"/>
        <w:ind w:left="165"/>
        <w:rPr>
          <w:position w:val="-2"/>
        </w:rPr>
      </w:pPr>
      <w:r>
        <w:rPr/>
        <w:t>possible</w:t>
      </w:r>
      <w:r>
        <w:rPr>
          <w:spacing w:val="11"/>
        </w:rPr>
        <w:t> </w:t>
      </w:r>
      <w:r>
        <w:rPr/>
        <w:t>for</w:t>
      </w:r>
      <w:r>
        <w:rPr>
          <w:spacing w:val="11"/>
        </w:rPr>
        <w:t> </w:t>
      </w:r>
      <w:r>
        <w:rPr/>
        <w:t>the</w:t>
      </w:r>
      <w:r>
        <w:rPr>
          <w:spacing w:val="11"/>
        </w:rPr>
        <w:t> </w:t>
      </w:r>
      <w:r>
        <w:rPr/>
        <w:t>court</w:t>
      </w:r>
      <w:r>
        <w:rPr>
          <w:spacing w:val="11"/>
        </w:rPr>
        <w:t> </w:t>
      </w:r>
      <w:r>
        <w:rPr/>
        <w:t>to</w:t>
      </w:r>
      <w:r>
        <w:rPr>
          <w:spacing w:val="11"/>
        </w:rPr>
        <w:t> </w:t>
      </w:r>
      <w:r>
        <w:rPr/>
        <w:t>make</w:t>
      </w:r>
      <w:r>
        <w:rPr>
          <w:spacing w:val="11"/>
        </w:rPr>
        <w:t> </w:t>
      </w:r>
      <w:r>
        <w:rPr/>
        <w:t>an</w:t>
      </w:r>
      <w:r>
        <w:rPr>
          <w:spacing w:val="11"/>
        </w:rPr>
        <w:t> </w:t>
      </w:r>
      <w:r>
        <w:rPr/>
        <w:t>award</w:t>
      </w:r>
      <w:r>
        <w:rPr>
          <w:spacing w:val="11"/>
        </w:rPr>
        <w:t> </w:t>
      </w:r>
      <w:r>
        <w:rPr/>
        <w:t>of</w:t>
      </w:r>
      <w:r>
        <w:rPr>
          <w:spacing w:val="11"/>
        </w:rPr>
        <w:t> </w:t>
      </w:r>
      <w:r>
        <w:rPr/>
        <w:t>general</w:t>
      </w:r>
      <w:r>
        <w:rPr>
          <w:spacing w:val="11"/>
        </w:rPr>
        <w:t> </w:t>
      </w:r>
      <w:r>
        <w:rPr/>
        <w:t>damages</w:t>
      </w:r>
      <w:r>
        <w:rPr>
          <w:spacing w:val="11"/>
        </w:rPr>
        <w:t> </w:t>
      </w:r>
      <w:r>
        <w:rPr/>
        <w:t>assessed</w:t>
      </w:r>
      <w:r>
        <w:rPr>
          <w:spacing w:val="11"/>
        </w:rPr>
        <w:t> </w:t>
      </w:r>
      <w:r>
        <w:rPr/>
        <w:t>“in</w:t>
      </w:r>
      <w:r>
        <w:rPr>
          <w:spacing w:val="11"/>
        </w:rPr>
        <w:t> </w:t>
      </w:r>
      <w:r>
        <w:rPr/>
        <w:t>a</w:t>
      </w:r>
      <w:r>
        <w:rPr>
          <w:spacing w:val="11"/>
        </w:rPr>
        <w:t> </w:t>
      </w:r>
      <w:r>
        <w:rPr/>
        <w:t>robust</w:t>
      </w:r>
      <w:r>
        <w:rPr>
          <w:spacing w:val="11"/>
        </w:rPr>
        <w:t> </w:t>
      </w:r>
      <w:r>
        <w:rPr/>
        <w:t>manner”.</w:t>
      </w:r>
      <w:r>
        <w:rPr>
          <w:spacing w:val="10"/>
        </w:rPr>
        <w:t> </w:t>
      </w:r>
      <w:hyperlink w:history="true" w:anchor="_bookmark2254">
        <w:r>
          <w:rPr>
            <w:color w:val="005DA1"/>
            <w:spacing w:val="-4"/>
            <w:u w:val="single" w:color="005DA1"/>
            <w:vertAlign w:val="superscript"/>
          </w:rPr>
          <w:t>1167</w:t>
        </w:r>
        <w:r>
          <w:rPr>
            <w:color w:val="005DA1"/>
            <w:vertAlign w:val="baseline"/>
          </w:rPr>
          <w:tab/>
        </w:r>
        <w:r>
          <w:rPr>
            <w:color w:val="005DA1"/>
            <w:position w:val="-2"/>
            <w:vertAlign w:val="baseline"/>
          </w:rPr>
          <w:drawing>
            <wp:inline distT="0" distB="0" distL="0" distR="0">
              <wp:extent cx="107988" cy="107988"/>
              <wp:effectExtent l="0" t="0" r="0" b="0"/>
              <wp:docPr id="747" name="Image 747"/>
              <wp:cNvGraphicFramePr>
                <a:graphicFrameLocks/>
              </wp:cNvGraphicFramePr>
              <a:graphic>
                <a:graphicData uri="http://schemas.openxmlformats.org/drawingml/2006/picture">
                  <pic:pic>
                    <pic:nvPicPr>
                      <pic:cNvPr id="747" name="Image 7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line="227" w:lineRule="exact"/>
        <w:ind w:left="165"/>
      </w:pPr>
      <w:bookmarkStart w:name="_bookmark2143" w:id="2145"/>
      <w:bookmarkEnd w:id="2145"/>
      <w:r>
        <w:rPr/>
      </w:r>
      <w:r>
        <w:rPr/>
        <w:t>Although</w:t>
      </w:r>
      <w:r>
        <w:rPr>
          <w:spacing w:val="77"/>
        </w:rPr>
        <w:t> </w:t>
      </w:r>
      <w:r>
        <w:rPr/>
        <w:t>it</w:t>
      </w:r>
      <w:r>
        <w:rPr>
          <w:spacing w:val="77"/>
        </w:rPr>
        <w:t> </w:t>
      </w:r>
      <w:r>
        <w:rPr/>
        <w:t>had</w:t>
      </w:r>
      <w:r>
        <w:rPr>
          <w:spacing w:val="77"/>
        </w:rPr>
        <w:t> </w:t>
      </w:r>
      <w:r>
        <w:rPr/>
        <w:t>been</w:t>
      </w:r>
      <w:r>
        <w:rPr>
          <w:spacing w:val="77"/>
        </w:rPr>
        <w:t> </w:t>
      </w:r>
      <w:r>
        <w:rPr/>
        <w:t>said</w:t>
      </w:r>
      <w:r>
        <w:rPr>
          <w:spacing w:val="77"/>
        </w:rPr>
        <w:t> </w:t>
      </w:r>
      <w:r>
        <w:rPr/>
        <w:t>that</w:t>
      </w:r>
      <w:r>
        <w:rPr>
          <w:spacing w:val="77"/>
        </w:rPr>
        <w:t> </w:t>
      </w:r>
      <w:r>
        <w:rPr/>
        <w:t>“the</w:t>
      </w:r>
      <w:r>
        <w:rPr>
          <w:spacing w:val="77"/>
        </w:rPr>
        <w:t> </w:t>
      </w:r>
      <w:r>
        <w:rPr/>
        <w:t>inability</w:t>
      </w:r>
      <w:r>
        <w:rPr>
          <w:spacing w:val="77"/>
        </w:rPr>
        <w:t> </w:t>
      </w:r>
      <w:r>
        <w:rPr/>
        <w:t>to</w:t>
      </w:r>
      <w:r>
        <w:rPr>
          <w:spacing w:val="77"/>
        </w:rPr>
        <w:t> </w:t>
      </w:r>
      <w:r>
        <w:rPr/>
        <w:t>demonstrate</w:t>
      </w:r>
      <w:r>
        <w:rPr>
          <w:spacing w:val="77"/>
        </w:rPr>
        <w:t> </w:t>
      </w:r>
      <w:r>
        <w:rPr/>
        <w:t>identifiable</w:t>
      </w:r>
      <w:r>
        <w:rPr>
          <w:spacing w:val="77"/>
        </w:rPr>
        <w:t> </w:t>
      </w:r>
      <w:r>
        <w:rPr/>
        <w:t>financial</w:t>
      </w:r>
      <w:r>
        <w:rPr>
          <w:spacing w:val="77"/>
        </w:rPr>
        <w:t> </w:t>
      </w:r>
      <w:r>
        <w:rPr/>
        <w:t>loss</w:t>
      </w:r>
      <w:r>
        <w:rPr>
          <w:spacing w:val="77"/>
        </w:rPr>
        <w:t> </w:t>
      </w:r>
      <w:r>
        <w:rPr/>
        <w:t>of</w:t>
      </w:r>
      <w:r>
        <w:rPr>
          <w:spacing w:val="77"/>
        </w:rPr>
        <w:t> </w:t>
      </w:r>
      <w:r>
        <w:rPr>
          <w:spacing w:val="-5"/>
        </w:rPr>
        <w:t>the</w:t>
      </w:r>
    </w:p>
    <w:p>
      <w:pPr>
        <w:pStyle w:val="BodyText"/>
        <w:spacing w:line="235" w:lineRule="auto" w:before="117"/>
        <w:ind w:left="165" w:right="167"/>
        <w:jc w:val="both"/>
      </w:pPr>
      <w:r>
        <w:rPr/>
        <w:t>conventional sort is a pre-condition to the award of such damages”, </w:t>
      </w:r>
      <w:hyperlink w:history="true" w:anchor="_bookmark2255">
        <w:r>
          <w:rPr>
            <w:color w:val="005DA1"/>
            <w:u w:val="single" w:color="005DA1"/>
            <w:vertAlign w:val="superscript"/>
          </w:rPr>
          <w:t>1168</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748" name="Image 748"/>
              <wp:cNvGraphicFramePr>
                <a:graphicFrameLocks/>
              </wp:cNvGraphicFramePr>
              <a:graphic>
                <a:graphicData uri="http://schemas.openxmlformats.org/drawingml/2006/picture">
                  <pic:pic>
                    <pic:nvPicPr>
                      <pic:cNvPr id="748" name="Image 7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in </w:t>
        </w:r>
        <w:r>
          <w:rPr>
            <w:rFonts w:ascii="Arial" w:hAnsi="Arial"/>
            <w:i/>
            <w:vertAlign w:val="baseline"/>
          </w:rPr>
          <w:t>One Step (Support) Ltd v Morris-Garner </w:t>
        </w:r>
        <w:r>
          <w:rPr>
            <w:vertAlign w:val="baseline"/>
          </w:rPr>
          <w:t>the Court of Appeal declined to follow this dictum and held that </w:t>
        </w:r>
        <w:r>
          <w:rPr>
            <w:rFonts w:ascii="Arial" w:hAnsi="Arial"/>
            <w:i/>
            <w:vertAlign w:val="baseline"/>
          </w:rPr>
          <w:t>Wrotham </w:t>
        </w:r>
        <w:r>
          <w:rPr>
            <w:rFonts w:ascii="Arial" w:hAnsi="Arial"/>
            <w:i/>
            <w:vertAlign w:val="baseline"/>
          </w:rPr>
          <w:t>Park </w:t>
        </w:r>
        <w:bookmarkStart w:name="_bookmark2144" w:id="2146"/>
        <w:bookmarkEnd w:id="2146"/>
        <w:r>
          <w:rPr>
            <w:rFonts w:ascii="Arial" w:hAnsi="Arial"/>
            <w:i/>
            <w:vertAlign w:val="baseline"/>
          </w:rPr>
        </w:r>
        <w:r>
          <w:rPr>
            <w:vertAlign w:val="baseline"/>
          </w:rPr>
          <w:t>damages</w:t>
        </w:r>
        <w:r>
          <w:rPr>
            <w:spacing w:val="8"/>
            <w:vertAlign w:val="baseline"/>
          </w:rPr>
          <w:t> </w:t>
        </w:r>
        <w:r>
          <w:rPr>
            <w:vertAlign w:val="baseline"/>
          </w:rPr>
          <w:t>may</w:t>
        </w:r>
        <w:r>
          <w:rPr>
            <w:spacing w:val="8"/>
            <w:vertAlign w:val="baseline"/>
          </w:rPr>
          <w:t> </w:t>
        </w:r>
        <w:r>
          <w:rPr>
            <w:vertAlign w:val="baseline"/>
          </w:rPr>
          <w:t>be</w:t>
        </w:r>
        <w:r>
          <w:rPr>
            <w:spacing w:val="8"/>
            <w:vertAlign w:val="baseline"/>
          </w:rPr>
          <w:t> </w:t>
        </w:r>
        <w:r>
          <w:rPr>
            <w:vertAlign w:val="baseline"/>
          </w:rPr>
          <w:t>awarded</w:t>
        </w:r>
        <w:r>
          <w:rPr>
            <w:spacing w:val="8"/>
            <w:vertAlign w:val="baseline"/>
          </w:rPr>
          <w:t> </w:t>
        </w:r>
        <w:r>
          <w:rPr>
            <w:vertAlign w:val="baseline"/>
          </w:rPr>
          <w:t>when</w:t>
        </w:r>
        <w:r>
          <w:rPr>
            <w:spacing w:val="8"/>
            <w:vertAlign w:val="baseline"/>
          </w:rPr>
          <w:t> </w:t>
        </w:r>
        <w:r>
          <w:rPr>
            <w:vertAlign w:val="baseline"/>
          </w:rPr>
          <w:t>it</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very</w:t>
        </w:r>
        <w:r>
          <w:rPr>
            <w:spacing w:val="8"/>
            <w:vertAlign w:val="baseline"/>
          </w:rPr>
          <w:t> </w:t>
        </w:r>
        <w:r>
          <w:rPr>
            <w:vertAlign w:val="baseline"/>
          </w:rPr>
          <w:t>difficult</w:t>
        </w:r>
        <w:r>
          <w:rPr>
            <w:spacing w:val="8"/>
            <w:vertAlign w:val="baseline"/>
          </w:rPr>
          <w:t> </w:t>
        </w:r>
        <w:r>
          <w:rPr>
            <w:vertAlign w:val="baseline"/>
          </w:rPr>
          <w:t>to</w:t>
        </w:r>
        <w:r>
          <w:rPr>
            <w:spacing w:val="8"/>
            <w:vertAlign w:val="baseline"/>
          </w:rPr>
          <w:t> </w:t>
        </w:r>
        <w:r>
          <w:rPr>
            <w:vertAlign w:val="baseline"/>
          </w:rPr>
          <w:t>prove</w:t>
        </w:r>
        <w:r>
          <w:rPr>
            <w:spacing w:val="8"/>
            <w:vertAlign w:val="baseline"/>
          </w:rPr>
          <w:t> </w:t>
        </w:r>
        <w:r>
          <w:rPr>
            <w:vertAlign w:val="baseline"/>
          </w:rPr>
          <w:t>the</w:t>
        </w:r>
        <w:r>
          <w:rPr>
            <w:spacing w:val="8"/>
            <w:vertAlign w:val="baseline"/>
          </w:rPr>
          <w:t> </w:t>
        </w:r>
        <w:r>
          <w:rPr>
            <w:vertAlign w:val="baseline"/>
          </w:rPr>
          <w:t>loss</w:t>
        </w:r>
        <w:r>
          <w:rPr>
            <w:spacing w:val="8"/>
            <w:vertAlign w:val="baseline"/>
          </w:rPr>
          <w:t> </w:t>
        </w:r>
        <w:r>
          <w:rPr>
            <w:vertAlign w:val="baseline"/>
          </w:rPr>
          <w:t>that</w:t>
        </w:r>
        <w:r>
          <w:rPr>
            <w:spacing w:val="8"/>
            <w:vertAlign w:val="baseline"/>
          </w:rPr>
          <w:t> </w:t>
        </w:r>
        <w:r>
          <w:rPr>
            <w:vertAlign w:val="baseline"/>
          </w:rPr>
          <w:t>has</w:t>
        </w:r>
        <w:r>
          <w:rPr>
            <w:spacing w:val="8"/>
            <w:vertAlign w:val="baseline"/>
          </w:rPr>
          <w:t> </w:t>
        </w:r>
        <w:r>
          <w:rPr>
            <w:vertAlign w:val="baseline"/>
          </w:rPr>
          <w:t>been</w:t>
        </w:r>
        <w:r>
          <w:rPr>
            <w:spacing w:val="8"/>
            <w:vertAlign w:val="baseline"/>
          </w:rPr>
          <w:t> </w:t>
        </w:r>
        <w:r>
          <w:rPr>
            <w:vertAlign w:val="baseline"/>
          </w:rPr>
          <w:t>caused</w:t>
        </w:r>
        <w:r>
          <w:rPr>
            <w:spacing w:val="8"/>
            <w:vertAlign w:val="baseline"/>
          </w:rPr>
          <w:t> </w:t>
        </w:r>
        <w:r>
          <w:rPr>
            <w:vertAlign w:val="baseline"/>
          </w:rPr>
          <w:t>by</w:t>
        </w:r>
        <w:r>
          <w:rPr>
            <w:spacing w:val="8"/>
            <w:vertAlign w:val="baseline"/>
          </w:rPr>
          <w:t> </w:t>
        </w:r>
        <w:r>
          <w:rPr>
            <w:spacing w:val="-5"/>
            <w:vertAlign w:val="baseline"/>
          </w:rPr>
          <w:t>the</w:t>
        </w:r>
      </w:hyperlink>
    </w:p>
    <w:p>
      <w:pPr>
        <w:pStyle w:val="BodyText"/>
        <w:spacing w:before="115"/>
        <w:ind w:left="165"/>
      </w:pPr>
      <w:bookmarkStart w:name="_bookmark2145" w:id="2147"/>
      <w:bookmarkEnd w:id="2147"/>
      <w:r>
        <w:rPr/>
      </w:r>
      <w:r>
        <w:rPr/>
        <w:t>breach.</w:t>
      </w:r>
      <w:r>
        <w:rPr>
          <w:spacing w:val="2"/>
        </w:rPr>
        <w:t> </w:t>
      </w:r>
      <w:hyperlink w:history="true" w:anchor="_bookmark2256">
        <w:r>
          <w:rPr>
            <w:color w:val="005DA1"/>
            <w:u w:val="single" w:color="005DA1"/>
            <w:vertAlign w:val="superscript"/>
          </w:rPr>
          <w:t>1169</w:t>
        </w:r>
        <w:r>
          <w:rPr>
            <w:color w:val="005DA1"/>
            <w:spacing w:val="32"/>
            <w:vertAlign w:val="baseline"/>
          </w:rPr>
          <w:t>  </w:t>
        </w:r>
        <w:r>
          <w:rPr>
            <w:color w:val="005DA1"/>
            <w:spacing w:val="13"/>
            <w:position w:val="-2"/>
            <w:vertAlign w:val="baseline"/>
          </w:rPr>
          <w:drawing>
            <wp:inline distT="0" distB="0" distL="0" distR="0">
              <wp:extent cx="107988" cy="107988"/>
              <wp:effectExtent l="0" t="0" r="0" b="0"/>
              <wp:docPr id="749" name="Image 749"/>
              <wp:cNvGraphicFramePr>
                <a:graphicFrameLocks/>
              </wp:cNvGraphicFramePr>
              <a:graphic>
                <a:graphicData uri="http://schemas.openxmlformats.org/drawingml/2006/picture">
                  <pic:pic>
                    <pic:nvPicPr>
                      <pic:cNvPr id="749" name="Image 7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2"/>
            <w:vertAlign w:val="baseline"/>
          </w:rPr>
          <w:t> </w:t>
        </w:r>
        <w:r>
          <w:rPr>
            <w:vertAlign w:val="baseline"/>
          </w:rPr>
          <w:t>It</w:t>
        </w:r>
        <w:r>
          <w:rPr>
            <w:spacing w:val="2"/>
            <w:vertAlign w:val="baseline"/>
          </w:rPr>
          <w:t> </w:t>
        </w:r>
        <w:r>
          <w:rPr>
            <w:vertAlign w:val="baseline"/>
          </w:rPr>
          <w:t>may</w:t>
        </w:r>
        <w:r>
          <w:rPr>
            <w:spacing w:val="3"/>
            <w:vertAlign w:val="baseline"/>
          </w:rPr>
          <w:t> </w:t>
        </w:r>
        <w:r>
          <w:rPr>
            <w:vertAlign w:val="baseline"/>
          </w:rPr>
          <w:t>also</w:t>
        </w:r>
        <w:r>
          <w:rPr>
            <w:spacing w:val="3"/>
            <w:vertAlign w:val="baseline"/>
          </w:rPr>
          <w:t> </w:t>
        </w:r>
        <w:r>
          <w:rPr>
            <w:vertAlign w:val="baseline"/>
          </w:rPr>
          <w:t>be</w:t>
        </w:r>
        <w:r>
          <w:rPr>
            <w:spacing w:val="3"/>
            <w:vertAlign w:val="baseline"/>
          </w:rPr>
          <w:t> </w:t>
        </w:r>
        <w:r>
          <w:rPr>
            <w:vertAlign w:val="baseline"/>
          </w:rPr>
          <w:t>relevant</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difficult</w:t>
        </w:r>
        <w:r>
          <w:rPr>
            <w:spacing w:val="2"/>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to</w:t>
        </w:r>
        <w:r>
          <w:rPr>
            <w:spacing w:val="3"/>
            <w:vertAlign w:val="baseline"/>
          </w:rPr>
          <w:t> </w:t>
        </w:r>
        <w:r>
          <w:rPr>
            <w:vertAlign w:val="baseline"/>
          </w:rPr>
          <w:t>obtain</w:t>
        </w:r>
        <w:r>
          <w:rPr>
            <w:spacing w:val="3"/>
            <w:vertAlign w:val="baseline"/>
          </w:rPr>
          <w:t> </w:t>
        </w:r>
        <w:r>
          <w:rPr>
            <w:vertAlign w:val="baseline"/>
          </w:rPr>
          <w:t>interim</w:t>
        </w:r>
        <w:r>
          <w:rPr>
            <w:spacing w:val="3"/>
            <w:vertAlign w:val="baseline"/>
          </w:rPr>
          <w:t> </w:t>
        </w:r>
        <w:r>
          <w:rPr>
            <w:spacing w:val="-2"/>
            <w:vertAlign w:val="baseline"/>
          </w:rPr>
          <w:t>relief.</w:t>
        </w:r>
      </w:hyperlink>
    </w:p>
    <w:p>
      <w:pPr>
        <w:pStyle w:val="BodyText"/>
        <w:spacing w:line="235" w:lineRule="auto" w:before="119"/>
        <w:ind w:left="165" w:right="167"/>
        <w:jc w:val="both"/>
      </w:pPr>
      <w:hyperlink w:history="true" w:anchor="_bookmark2257">
        <w:r>
          <w:rPr>
            <w:color w:val="005DA1"/>
            <w:u w:val="single" w:color="005DA1"/>
            <w:vertAlign w:val="superscript"/>
          </w:rPr>
          <w:t>1170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50" name="Image 750"/>
              <wp:cNvGraphicFramePr>
                <a:graphicFrameLocks/>
              </wp:cNvGraphicFramePr>
              <a:graphic>
                <a:graphicData uri="http://schemas.openxmlformats.org/drawingml/2006/picture">
                  <pic:pic>
                    <pic:nvPicPr>
                      <pic:cNvPr id="750" name="Image 7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These factors seem to reflect similar ones that were suggested earlier. In any event, it </w:t>
        </w:r>
        <w:r>
          <w:rPr>
            <w:vertAlign w:val="baseline"/>
          </w:rPr>
          <w:t>was </w:t>
        </w:r>
        <w:bookmarkStart w:name="_bookmark2146" w:id="2148"/>
        <w:bookmarkEnd w:id="2148"/>
        <w:r>
          <w:rPr>
            <w:vertAlign w:val="baseline"/>
          </w:rPr>
          <w:t>suggested</w:t>
        </w:r>
        <w:r>
          <w:rPr>
            <w:spacing w:val="9"/>
            <w:vertAlign w:val="baseline"/>
          </w:rPr>
          <w:t> </w:t>
        </w:r>
        <w:r>
          <w:rPr>
            <w:vertAlign w:val="baseline"/>
          </w:rPr>
          <w:t>earlier</w:t>
        </w:r>
        <w:r>
          <w:rPr>
            <w:spacing w:val="9"/>
            <w:vertAlign w:val="baseline"/>
          </w:rPr>
          <w:t> </w:t>
        </w:r>
        <w:r>
          <w:rPr>
            <w:vertAlign w:val="baseline"/>
          </w:rPr>
          <w:t>that</w:t>
        </w:r>
        <w:r>
          <w:rPr>
            <w:spacing w:val="9"/>
            <w:vertAlign w:val="baseline"/>
          </w:rPr>
          <w:t> </w:t>
        </w:r>
        <w:r>
          <w:rPr>
            <w:vertAlign w:val="baseline"/>
          </w:rPr>
          <w:t>loss</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hypothetical</w:t>
        </w:r>
        <w:r>
          <w:rPr>
            <w:spacing w:val="9"/>
            <w:vertAlign w:val="baseline"/>
          </w:rPr>
          <w:t> </w:t>
        </w:r>
        <w:r>
          <w:rPr>
            <w:vertAlign w:val="baseline"/>
          </w:rPr>
          <w:t>bargain</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kind</w:t>
        </w:r>
        <w:r>
          <w:rPr>
            <w:spacing w:val="9"/>
            <w:vertAlign w:val="baseline"/>
          </w:rPr>
          <w:t> </w:t>
        </w:r>
        <w:r>
          <w:rPr>
            <w:vertAlign w:val="baseline"/>
          </w:rPr>
          <w:t>of</w:t>
        </w:r>
        <w:r>
          <w:rPr>
            <w:spacing w:val="9"/>
            <w:vertAlign w:val="baseline"/>
          </w:rPr>
          <w:t> </w:t>
        </w:r>
        <w:r>
          <w:rPr>
            <w:vertAlign w:val="baseline"/>
          </w:rPr>
          <w:t>loss</w:t>
        </w:r>
        <w:r>
          <w:rPr>
            <w:spacing w:val="9"/>
            <w:vertAlign w:val="baseline"/>
          </w:rPr>
          <w:t> </w:t>
        </w:r>
        <w:r>
          <w:rPr>
            <w:vertAlign w:val="baseline"/>
          </w:rPr>
          <w:t>that</w:t>
        </w:r>
        <w:r>
          <w:rPr>
            <w:spacing w:val="9"/>
            <w:vertAlign w:val="baseline"/>
          </w:rPr>
          <w:t> </w:t>
        </w:r>
        <w:r>
          <w:rPr>
            <w:vertAlign w:val="baseline"/>
          </w:rPr>
          <w:t>may</w:t>
        </w:r>
        <w:r>
          <w:rPr>
            <w:spacing w:val="9"/>
            <w:vertAlign w:val="baseline"/>
          </w:rPr>
          <w:t> </w:t>
        </w:r>
        <w:r>
          <w:rPr>
            <w:vertAlign w:val="baseline"/>
          </w:rPr>
          <w:t>form</w:t>
        </w:r>
        <w:r>
          <w:rPr>
            <w:spacing w:val="9"/>
            <w:vertAlign w:val="baseline"/>
          </w:rPr>
          <w:t> </w:t>
        </w:r>
        <w:r>
          <w:rPr>
            <w:vertAlign w:val="baseline"/>
          </w:rPr>
          <w:t>part</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spacing w:val="-2"/>
            <w:vertAlign w:val="baseline"/>
          </w:rPr>
          <w:t>genuine</w:t>
        </w:r>
      </w:hyperlink>
    </w:p>
    <w:p>
      <w:pPr>
        <w:pStyle w:val="BodyText"/>
        <w:spacing w:line="235" w:lineRule="auto" w:before="119"/>
        <w:ind w:left="165" w:right="168"/>
        <w:jc w:val="both"/>
      </w:pPr>
      <w:r>
        <w:rPr/>
        <w:t>pre-estimate</w:t>
      </w:r>
      <w:r>
        <w:rPr>
          <w:spacing w:val="-3"/>
        </w:rPr>
        <w:t> </w:t>
      </w:r>
      <w:r>
        <w:rPr/>
        <w:t>of</w:t>
      </w:r>
      <w:r>
        <w:rPr>
          <w:spacing w:val="-3"/>
        </w:rPr>
        <w:t> </w:t>
      </w:r>
      <w:r>
        <w:rPr/>
        <w:t>the</w:t>
      </w:r>
      <w:r>
        <w:rPr>
          <w:spacing w:val="-3"/>
        </w:rPr>
        <w:t> </w:t>
      </w:r>
      <w:r>
        <w:rPr/>
        <w:t>loss.</w:t>
      </w:r>
      <w:r>
        <w:rPr>
          <w:spacing w:val="-3"/>
        </w:rPr>
        <w:t> </w:t>
      </w:r>
      <w:hyperlink w:history="true" w:anchor="_bookmark2258">
        <w:r>
          <w:rPr>
            <w:color w:val="005DA1"/>
            <w:u w:val="single" w:color="005DA1"/>
            <w:vertAlign w:val="superscript"/>
          </w:rPr>
          <w:t>1171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51" name="Image 751"/>
              <wp:cNvGraphicFramePr>
                <a:graphicFrameLocks/>
              </wp:cNvGraphicFramePr>
              <a:graphic>
                <a:graphicData uri="http://schemas.openxmlformats.org/drawingml/2006/picture">
                  <pic:pic>
                    <pic:nvPicPr>
                      <pic:cNvPr id="751" name="Image 7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If</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correct,</w:t>
        </w:r>
        <w:r>
          <w:rPr>
            <w:spacing w:val="-3"/>
            <w:vertAlign w:val="baseline"/>
          </w:rPr>
          <w:t> </w:t>
        </w:r>
        <w:r>
          <w:rPr>
            <w:vertAlign w:val="baseline"/>
          </w:rPr>
          <w:t>no</w:t>
        </w:r>
        <w:r>
          <w:rPr>
            <w:spacing w:val="-3"/>
            <w:vertAlign w:val="baseline"/>
          </w:rPr>
          <w:t> </w:t>
        </w:r>
        <w:r>
          <w:rPr>
            <w:vertAlign w:val="baseline"/>
          </w:rPr>
          <w:t>further</w:t>
        </w:r>
        <w:r>
          <w:rPr>
            <w:spacing w:val="-3"/>
            <w:vertAlign w:val="baseline"/>
          </w:rPr>
          <w:t> </w:t>
        </w:r>
        <w:r>
          <w:rPr>
            <w:vertAlign w:val="baseline"/>
          </w:rPr>
          <w:t>legitimate</w:t>
        </w:r>
        <w:r>
          <w:rPr>
            <w:spacing w:val="-3"/>
            <w:vertAlign w:val="baseline"/>
          </w:rPr>
          <w:t> </w:t>
        </w:r>
        <w:r>
          <w:rPr>
            <w:vertAlign w:val="baseline"/>
          </w:rPr>
          <w:t>interest</w:t>
        </w:r>
        <w:r>
          <w:rPr>
            <w:spacing w:val="-3"/>
            <w:vertAlign w:val="baseline"/>
          </w:rPr>
          <w:t> </w:t>
        </w:r>
        <w:r>
          <w:rPr>
            <w:vertAlign w:val="baseline"/>
          </w:rPr>
          <w:t>need</w:t>
        </w:r>
        <w:r>
          <w:rPr>
            <w:spacing w:val="-3"/>
            <w:vertAlign w:val="baseline"/>
          </w:rPr>
          <w:t> </w:t>
        </w:r>
        <w:r>
          <w:rPr>
            <w:vertAlign w:val="baseline"/>
          </w:rPr>
          <w:t>be</w:t>
        </w:r>
        <w:r>
          <w:rPr>
            <w:spacing w:val="-3"/>
            <w:vertAlign w:val="baseline"/>
          </w:rPr>
          <w:t> </w:t>
        </w:r>
        <w:r>
          <w:rPr>
            <w:vertAlign w:val="baseline"/>
          </w:rPr>
          <w:t>shown</w:t>
        </w:r>
        <w:r>
          <w:rPr>
            <w:spacing w:val="-3"/>
            <w:vertAlign w:val="baseline"/>
          </w:rPr>
          <w:t> </w:t>
        </w:r>
        <w:r>
          <w:rPr>
            <w:vertAlign w:val="baseline"/>
          </w:rPr>
          <w:t>to</w:t>
        </w:r>
        <w:r>
          <w:rPr>
            <w:spacing w:val="-3"/>
            <w:vertAlign w:val="baseline"/>
          </w:rPr>
          <w:t> </w:t>
        </w:r>
        <w:r>
          <w:rPr>
            <w:vertAlign w:val="baseline"/>
          </w:rPr>
          <w:t>justify an</w:t>
        </w:r>
        <w:r>
          <w:rPr>
            <w:spacing w:val="-2"/>
            <w:vertAlign w:val="baseline"/>
          </w:rPr>
          <w:t> </w:t>
        </w:r>
        <w:r>
          <w:rPr>
            <w:vertAlign w:val="baseline"/>
          </w:rPr>
          <w:t>agreed</w:t>
        </w:r>
        <w:r>
          <w:rPr>
            <w:spacing w:val="-2"/>
            <w:vertAlign w:val="baseline"/>
          </w:rPr>
          <w:t> </w:t>
        </w:r>
        <w:r>
          <w:rPr>
            <w:vertAlign w:val="baseline"/>
          </w:rPr>
          <w:t>damages</w:t>
        </w:r>
        <w:r>
          <w:rPr>
            <w:spacing w:val="-2"/>
            <w:vertAlign w:val="baseline"/>
          </w:rPr>
          <w:t> </w:t>
        </w:r>
        <w:r>
          <w:rPr>
            <w:vertAlign w:val="baseline"/>
          </w:rPr>
          <w:t>clause</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designed</w:t>
        </w:r>
        <w:r>
          <w:rPr>
            <w:spacing w:val="-2"/>
            <w:vertAlign w:val="baseline"/>
          </w:rPr>
          <w:t> </w:t>
        </w:r>
        <w:r>
          <w:rPr>
            <w:vertAlign w:val="baseline"/>
          </w:rPr>
          <w:t>to</w:t>
        </w:r>
        <w:r>
          <w:rPr>
            <w:spacing w:val="-2"/>
            <w:vertAlign w:val="baseline"/>
          </w:rPr>
          <w:t> </w:t>
        </w:r>
        <w:r>
          <w:rPr>
            <w:vertAlign w:val="baseline"/>
          </w:rPr>
          <w:t>deter</w:t>
        </w:r>
        <w:r>
          <w:rPr>
            <w:spacing w:val="-2"/>
            <w:vertAlign w:val="baseline"/>
          </w:rPr>
          <w:t> </w:t>
        </w:r>
        <w:r>
          <w:rPr>
            <w:vertAlign w:val="baseline"/>
          </w:rPr>
          <w:t>breach</w:t>
        </w:r>
        <w:r>
          <w:rPr>
            <w:spacing w:val="-2"/>
            <w:vertAlign w:val="baseline"/>
          </w:rPr>
          <w:t> </w:t>
        </w:r>
        <w:r>
          <w:rPr>
            <w:vertAlign w:val="baseline"/>
          </w:rPr>
          <w:t>in</w:t>
        </w:r>
        <w:r>
          <w:rPr>
            <w:spacing w:val="-2"/>
            <w:vertAlign w:val="baseline"/>
          </w:rPr>
          <w:t> </w:t>
        </w:r>
        <w:r>
          <w:rPr>
            <w:vertAlign w:val="baseline"/>
          </w:rPr>
          <w:t>circumstances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w:t>
        </w:r>
        <w:r>
          <w:rPr>
            <w:rFonts w:ascii="Arial" w:hAnsi="Arial"/>
            <w:i/>
            <w:vertAlign w:val="baseline"/>
          </w:rPr>
          <w:t>Wrotham</w:t>
        </w:r>
        <w:r>
          <w:rPr>
            <w:rFonts w:ascii="Arial" w:hAnsi="Arial"/>
            <w:i/>
            <w:spacing w:val="-2"/>
            <w:vertAlign w:val="baseline"/>
          </w:rPr>
          <w:t> </w:t>
        </w:r>
        <w:r>
          <w:rPr>
            <w:rFonts w:ascii="Arial" w:hAnsi="Arial"/>
            <w:i/>
            <w:vertAlign w:val="baseline"/>
          </w:rPr>
          <w:t>Park </w:t>
        </w:r>
        <w:r>
          <w:rPr>
            <w:vertAlign w:val="baseline"/>
          </w:rPr>
          <w:t>” damages might be available.</w:t>
        </w:r>
      </w:hyperlink>
    </w:p>
    <w:p>
      <w:pPr>
        <w:pStyle w:val="BodyText"/>
      </w:pPr>
    </w:p>
    <w:p>
      <w:pPr>
        <w:pStyle w:val="BodyText"/>
        <w:spacing w:before="37"/>
      </w:pPr>
    </w:p>
    <w:p>
      <w:pPr>
        <w:spacing w:before="0"/>
        <w:ind w:left="165" w:right="0" w:firstLine="0"/>
        <w:jc w:val="left"/>
        <w:rPr>
          <w:rFonts w:ascii="Arial"/>
          <w:b/>
          <w:sz w:val="18"/>
        </w:rPr>
      </w:pPr>
      <w:r>
        <w:rPr>
          <w:rFonts w:ascii="Arial"/>
          <w:b/>
          <w:sz w:val="18"/>
        </w:rPr>
        <w:t>Capturing any profit from </w:t>
      </w:r>
      <w:r>
        <w:rPr>
          <w:rFonts w:ascii="Arial"/>
          <w:b/>
          <w:spacing w:val="-2"/>
          <w:sz w:val="18"/>
        </w:rPr>
        <w:t>breach</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52" name="Image 752"/>
            <wp:cNvGraphicFramePr>
              <a:graphicFrameLocks/>
            </wp:cNvGraphicFramePr>
            <a:graphic>
              <a:graphicData uri="http://schemas.openxmlformats.org/drawingml/2006/picture">
                <pic:pic>
                  <pic:nvPicPr>
                    <pic:cNvPr id="752" name="Image 7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w:t>
      </w:r>
      <w:r>
        <w:rPr>
          <w:spacing w:val="-2"/>
        </w:rPr>
        <w:t> </w:t>
      </w:r>
      <w:r>
        <w:rPr/>
        <w:t>further</w:t>
      </w:r>
      <w:r>
        <w:rPr>
          <w:spacing w:val="-2"/>
        </w:rPr>
        <w:t> </w:t>
      </w:r>
      <w:r>
        <w:rPr/>
        <w:t>possible</w:t>
      </w:r>
      <w:r>
        <w:rPr>
          <w:spacing w:val="-2"/>
        </w:rPr>
        <w:t> </w:t>
      </w:r>
      <w:r>
        <w:rPr/>
        <w:t>reason</w:t>
      </w:r>
      <w:r>
        <w:rPr>
          <w:spacing w:val="-2"/>
        </w:rPr>
        <w:t> </w:t>
      </w:r>
      <w:r>
        <w:rPr/>
        <w:t>for</w:t>
      </w:r>
      <w:r>
        <w:rPr>
          <w:spacing w:val="-2"/>
        </w:rPr>
        <w:t> </w:t>
      </w:r>
      <w:r>
        <w:rPr/>
        <w:t>including</w:t>
      </w:r>
      <w:r>
        <w:rPr>
          <w:spacing w:val="-2"/>
        </w:rPr>
        <w:t> </w:t>
      </w:r>
      <w:r>
        <w:rPr/>
        <w:t>an</w:t>
      </w:r>
      <w:r>
        <w:rPr>
          <w:spacing w:val="-2"/>
        </w:rPr>
        <w:t> </w:t>
      </w:r>
      <w:r>
        <w:rPr/>
        <w:t>agreed</w:t>
      </w:r>
      <w:r>
        <w:rPr>
          <w:spacing w:val="-2"/>
        </w:rPr>
        <w:t> </w:t>
      </w:r>
      <w:r>
        <w:rPr/>
        <w:t>damages</w:t>
      </w:r>
      <w:r>
        <w:rPr>
          <w:spacing w:val="-2"/>
        </w:rPr>
        <w:t> </w:t>
      </w:r>
      <w:r>
        <w:rPr/>
        <w:t>clause</w:t>
      </w:r>
      <w:r>
        <w:rPr>
          <w:spacing w:val="-2"/>
        </w:rPr>
        <w:t> </w:t>
      </w:r>
      <w:r>
        <w:rPr/>
        <w:t>that</w:t>
      </w:r>
      <w:r>
        <w:rPr>
          <w:spacing w:val="-2"/>
        </w:rPr>
        <w:t> </w:t>
      </w:r>
      <w:r>
        <w:rPr/>
        <w:t>fixes</w:t>
      </w:r>
      <w:r>
        <w:rPr>
          <w:spacing w:val="-2"/>
        </w:rPr>
        <w:t> </w:t>
      </w:r>
      <w:r>
        <w:rPr/>
        <w:t>the</w:t>
      </w:r>
      <w:r>
        <w:rPr>
          <w:spacing w:val="-2"/>
        </w:rPr>
        <w:t> </w:t>
      </w:r>
      <w:r>
        <w:rPr/>
        <w:t>sum</w:t>
      </w:r>
      <w:r>
        <w:rPr>
          <w:spacing w:val="-2"/>
        </w:rPr>
        <w:t> </w:t>
      </w:r>
      <w:r>
        <w:rPr/>
        <w:t>to</w:t>
      </w:r>
      <w:r>
        <w:rPr>
          <w:spacing w:val="-2"/>
        </w:rPr>
        <w:t> </w:t>
      </w:r>
      <w:r>
        <w:rPr/>
        <w:t>be</w:t>
      </w:r>
      <w:r>
        <w:rPr>
          <w:spacing w:val="-2"/>
        </w:rPr>
        <w:t> </w:t>
      </w:r>
      <w:r>
        <w:rPr/>
        <w:t>paid</w:t>
      </w:r>
      <w:r>
        <w:rPr>
          <w:spacing w:val="-2"/>
        </w:rPr>
        <w:t> </w:t>
      </w:r>
      <w:r>
        <w:rPr/>
        <w:t>at</w:t>
      </w:r>
      <w:r>
        <w:rPr>
          <w:spacing w:val="-2"/>
        </w:rPr>
        <w:t> </w:t>
      </w:r>
      <w:r>
        <w:rPr/>
        <w:t>a sum much greater than the pre-estimated loss is that, even though damages will in other respects be an adequate remedy for the claimant’s losses, the claimant considers that the defendant may break the contract in order to make a greater profit and wants to be able to claim the whole of the profit, </w:t>
      </w:r>
      <w:r>
        <w:rPr/>
        <w:t>not </w:t>
      </w:r>
      <w:bookmarkStart w:name="_bookmark2147" w:id="2149"/>
      <w:bookmarkEnd w:id="2149"/>
      <w:r>
        <w:rPr/>
        <w:t>just</w:t>
      </w:r>
      <w:r>
        <w:rPr>
          <w:spacing w:val="44"/>
        </w:rPr>
        <w:t> </w:t>
      </w:r>
      <w:r>
        <w:rPr/>
        <w:t>a</w:t>
      </w:r>
      <w:r>
        <w:rPr>
          <w:spacing w:val="44"/>
        </w:rPr>
        <w:t> </w:t>
      </w:r>
      <w:r>
        <w:rPr/>
        <w:t>share</w:t>
      </w:r>
      <w:r>
        <w:rPr>
          <w:spacing w:val="44"/>
        </w:rPr>
        <w:t> </w:t>
      </w:r>
      <w:r>
        <w:rPr/>
        <w:t>of</w:t>
      </w:r>
      <w:r>
        <w:rPr>
          <w:spacing w:val="44"/>
        </w:rPr>
        <w:t> </w:t>
      </w:r>
      <w:r>
        <w:rPr/>
        <w:t>it</w:t>
      </w:r>
      <w:r>
        <w:rPr>
          <w:spacing w:val="44"/>
        </w:rPr>
        <w:t> </w:t>
      </w:r>
      <w:r>
        <w:rPr/>
        <w:t>as</w:t>
      </w:r>
      <w:r>
        <w:rPr>
          <w:spacing w:val="44"/>
        </w:rPr>
        <w:t> </w:t>
      </w:r>
      <w:r>
        <w:rPr/>
        <w:t>under</w:t>
      </w:r>
      <w:r>
        <w:rPr>
          <w:spacing w:val="44"/>
        </w:rPr>
        <w:t> </w:t>
      </w:r>
      <w:r>
        <w:rPr/>
        <w:t>the</w:t>
      </w:r>
      <w:r>
        <w:rPr>
          <w:spacing w:val="44"/>
        </w:rPr>
        <w:t> </w:t>
      </w:r>
      <w:r>
        <w:rPr/>
        <w:t>approach</w:t>
      </w:r>
      <w:r>
        <w:rPr>
          <w:spacing w:val="44"/>
        </w:rPr>
        <w:t> </w:t>
      </w:r>
      <w:r>
        <w:rPr/>
        <w:t>discussed</w:t>
      </w:r>
      <w:r>
        <w:rPr>
          <w:spacing w:val="44"/>
        </w:rPr>
        <w:t> </w:t>
      </w:r>
      <w:r>
        <w:rPr/>
        <w:t>in</w:t>
      </w:r>
      <w:r>
        <w:rPr>
          <w:spacing w:val="44"/>
        </w:rPr>
        <w:t> </w:t>
      </w:r>
      <w:r>
        <w:rPr/>
        <w:t>the</w:t>
      </w:r>
      <w:r>
        <w:rPr>
          <w:spacing w:val="44"/>
        </w:rPr>
        <w:t> </w:t>
      </w:r>
      <w:r>
        <w:rPr/>
        <w:t>last</w:t>
      </w:r>
      <w:r>
        <w:rPr>
          <w:spacing w:val="44"/>
        </w:rPr>
        <w:t> </w:t>
      </w:r>
      <w:r>
        <w:rPr/>
        <w:t>paragraph.</w:t>
      </w:r>
      <w:r>
        <w:rPr>
          <w:spacing w:val="44"/>
        </w:rPr>
        <w:t> </w:t>
      </w:r>
      <w:r>
        <w:rPr/>
        <w:t>If</w:t>
      </w:r>
      <w:r>
        <w:rPr>
          <w:spacing w:val="44"/>
        </w:rPr>
        <w:t> </w:t>
      </w:r>
      <w:r>
        <w:rPr/>
        <w:t>damages</w:t>
      </w:r>
      <w:r>
        <w:rPr>
          <w:spacing w:val="44"/>
        </w:rPr>
        <w:t> </w:t>
      </w:r>
      <w:r>
        <w:rPr/>
        <w:t>would</w:t>
      </w:r>
      <w:r>
        <w:rPr>
          <w:spacing w:val="44"/>
        </w:rPr>
        <w:t> </w:t>
      </w:r>
      <w:r>
        <w:rPr>
          <w:spacing w:val="-5"/>
        </w:rPr>
        <w:t>be</w:t>
      </w:r>
    </w:p>
    <w:p>
      <w:pPr>
        <w:spacing w:line="235" w:lineRule="auto" w:before="118"/>
        <w:ind w:left="165" w:right="167" w:firstLine="0"/>
        <w:jc w:val="both"/>
        <w:rPr>
          <w:rFonts w:ascii="Arial" w:hAnsi="Arial"/>
          <w:i/>
          <w:sz w:val="20"/>
        </w:rPr>
      </w:pPr>
      <w:r>
        <w:rPr>
          <w:sz w:val="20"/>
        </w:rPr>
        <w:t>adequate, </w:t>
      </w:r>
      <w:hyperlink w:history="true" w:anchor="_bookmark2259">
        <w:r>
          <w:rPr>
            <w:color w:val="005DA1"/>
            <w:sz w:val="20"/>
            <w:u w:val="single" w:color="005DA1"/>
            <w:vertAlign w:val="superscript"/>
          </w:rPr>
          <w:t>1172</w:t>
        </w:r>
        <w:r>
          <w:rPr>
            <w:color w:val="005DA1"/>
            <w:spacing w:val="80"/>
            <w:w w:val="150"/>
            <w:sz w:val="20"/>
            <w:vertAlign w:val="baseline"/>
          </w:rPr>
          <w:t> </w:t>
        </w:r>
        <w:r>
          <w:rPr>
            <w:color w:val="005DA1"/>
            <w:spacing w:val="-25"/>
            <w:position w:val="-2"/>
            <w:sz w:val="20"/>
            <w:vertAlign w:val="baseline"/>
          </w:rPr>
          <w:drawing>
            <wp:inline distT="0" distB="0" distL="0" distR="0">
              <wp:extent cx="107988" cy="107988"/>
              <wp:effectExtent l="0" t="0" r="0" b="0"/>
              <wp:docPr id="753" name="Image 753"/>
              <wp:cNvGraphicFramePr>
                <a:graphicFrameLocks/>
              </wp:cNvGraphicFramePr>
              <a:graphic>
                <a:graphicData uri="http://schemas.openxmlformats.org/drawingml/2006/picture">
                  <pic:pic>
                    <pic:nvPicPr>
                      <pic:cNvPr id="753" name="Image 7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hAnsi="Times New Roman"/>
            <w:color w:val="005DA1"/>
            <w:spacing w:val="34"/>
            <w:sz w:val="20"/>
            <w:vertAlign w:val="baseline"/>
          </w:rPr>
          <w:t> </w:t>
        </w:r>
        <w:r>
          <w:rPr>
            <w:sz w:val="20"/>
            <w:vertAlign w:val="baseline"/>
          </w:rPr>
          <w:t>it seems unlikely that the claimant would be treated as having a legitimate </w:t>
        </w:r>
        <w:r>
          <w:rPr>
            <w:sz w:val="20"/>
            <w:vertAlign w:val="baseline"/>
          </w:rPr>
          <w:t>interest </w:t>
        </w:r>
        <w:bookmarkStart w:name="_bookmark2148" w:id="2150"/>
        <w:bookmarkEnd w:id="2150"/>
        <w:r>
          <w:rPr>
            <w:sz w:val="20"/>
            <w:vertAlign w:val="baseline"/>
          </w:rPr>
          <w:t>in</w:t>
        </w:r>
        <w:r>
          <w:rPr>
            <w:spacing w:val="8"/>
            <w:sz w:val="20"/>
            <w:vertAlign w:val="baseline"/>
          </w:rPr>
          <w:t> </w:t>
        </w:r>
        <w:r>
          <w:rPr>
            <w:sz w:val="20"/>
            <w:vertAlign w:val="baseline"/>
          </w:rPr>
          <w:t>capturing</w:t>
        </w:r>
        <w:r>
          <w:rPr>
            <w:spacing w:val="8"/>
            <w:sz w:val="20"/>
            <w:vertAlign w:val="baseline"/>
          </w:rPr>
          <w:t> </w:t>
        </w:r>
        <w:r>
          <w:rPr>
            <w:sz w:val="20"/>
            <w:vertAlign w:val="baseline"/>
          </w:rPr>
          <w:t>the</w:t>
        </w:r>
        <w:r>
          <w:rPr>
            <w:spacing w:val="8"/>
            <w:sz w:val="20"/>
            <w:vertAlign w:val="baseline"/>
          </w:rPr>
          <w:t> </w:t>
        </w:r>
        <w:r>
          <w:rPr>
            <w:sz w:val="20"/>
            <w:vertAlign w:val="baseline"/>
          </w:rPr>
          <w:t>whole</w:t>
        </w:r>
        <w:r>
          <w:rPr>
            <w:spacing w:val="8"/>
            <w:sz w:val="20"/>
            <w:vertAlign w:val="baseline"/>
          </w:rPr>
          <w:t> </w:t>
        </w:r>
        <w:r>
          <w:rPr>
            <w:sz w:val="20"/>
            <w:vertAlign w:val="baseline"/>
          </w:rPr>
          <w:t>of</w:t>
        </w:r>
        <w:r>
          <w:rPr>
            <w:spacing w:val="8"/>
            <w:sz w:val="20"/>
            <w:vertAlign w:val="baseline"/>
          </w:rPr>
          <w:t> </w:t>
        </w:r>
        <w:r>
          <w:rPr>
            <w:sz w:val="20"/>
            <w:vertAlign w:val="baseline"/>
          </w:rPr>
          <w:t>the</w:t>
        </w:r>
        <w:r>
          <w:rPr>
            <w:spacing w:val="8"/>
            <w:sz w:val="20"/>
            <w:vertAlign w:val="baseline"/>
          </w:rPr>
          <w:t> </w:t>
        </w:r>
        <w:r>
          <w:rPr>
            <w:sz w:val="20"/>
            <w:vertAlign w:val="baseline"/>
          </w:rPr>
          <w:t>defendant’s</w:t>
        </w:r>
        <w:r>
          <w:rPr>
            <w:spacing w:val="8"/>
            <w:sz w:val="20"/>
            <w:vertAlign w:val="baseline"/>
          </w:rPr>
          <w:t> </w:t>
        </w:r>
        <w:r>
          <w:rPr>
            <w:sz w:val="20"/>
            <w:vertAlign w:val="baseline"/>
          </w:rPr>
          <w:t>profit.</w:t>
        </w:r>
        <w:r>
          <w:rPr>
            <w:spacing w:val="8"/>
            <w:sz w:val="20"/>
            <w:vertAlign w:val="baseline"/>
          </w:rPr>
          <w:t> </w:t>
        </w:r>
        <w:r>
          <w:rPr>
            <w:sz w:val="20"/>
            <w:vertAlign w:val="baseline"/>
          </w:rPr>
          <w:t>In</w:t>
        </w:r>
        <w:r>
          <w:rPr>
            <w:spacing w:val="7"/>
            <w:sz w:val="20"/>
            <w:vertAlign w:val="baseline"/>
          </w:rPr>
          <w:t> </w:t>
        </w:r>
        <w:r>
          <w:rPr>
            <w:rFonts w:ascii="Arial" w:hAnsi="Arial"/>
            <w:i/>
            <w:sz w:val="20"/>
            <w:vertAlign w:val="baseline"/>
          </w:rPr>
          <w:t>Co-operative</w:t>
        </w:r>
        <w:r>
          <w:rPr>
            <w:rFonts w:ascii="Arial" w:hAnsi="Arial"/>
            <w:i/>
            <w:spacing w:val="8"/>
            <w:sz w:val="20"/>
            <w:vertAlign w:val="baseline"/>
          </w:rPr>
          <w:t> </w:t>
        </w:r>
        <w:r>
          <w:rPr>
            <w:rFonts w:ascii="Arial" w:hAnsi="Arial"/>
            <w:i/>
            <w:sz w:val="20"/>
            <w:vertAlign w:val="baseline"/>
          </w:rPr>
          <w:t>Insurance</w:t>
        </w:r>
        <w:r>
          <w:rPr>
            <w:rFonts w:ascii="Arial" w:hAnsi="Arial"/>
            <w:i/>
            <w:spacing w:val="8"/>
            <w:sz w:val="20"/>
            <w:vertAlign w:val="baseline"/>
          </w:rPr>
          <w:t> </w:t>
        </w:r>
        <w:r>
          <w:rPr>
            <w:rFonts w:ascii="Arial" w:hAnsi="Arial"/>
            <w:i/>
            <w:sz w:val="20"/>
            <w:vertAlign w:val="baseline"/>
          </w:rPr>
          <w:t>Society</w:t>
        </w:r>
        <w:r>
          <w:rPr>
            <w:rFonts w:ascii="Arial" w:hAnsi="Arial"/>
            <w:i/>
            <w:spacing w:val="8"/>
            <w:sz w:val="20"/>
            <w:vertAlign w:val="baseline"/>
          </w:rPr>
          <w:t> </w:t>
        </w:r>
        <w:r>
          <w:rPr>
            <w:rFonts w:ascii="Arial" w:hAnsi="Arial"/>
            <w:i/>
            <w:sz w:val="20"/>
            <w:vertAlign w:val="baseline"/>
          </w:rPr>
          <w:t>Ltd</w:t>
        </w:r>
        <w:r>
          <w:rPr>
            <w:rFonts w:ascii="Arial" w:hAnsi="Arial"/>
            <w:i/>
            <w:spacing w:val="8"/>
            <w:sz w:val="20"/>
            <w:vertAlign w:val="baseline"/>
          </w:rPr>
          <w:t> </w:t>
        </w:r>
        <w:r>
          <w:rPr>
            <w:rFonts w:ascii="Arial" w:hAnsi="Arial"/>
            <w:i/>
            <w:sz w:val="20"/>
            <w:vertAlign w:val="baseline"/>
          </w:rPr>
          <w:t>v</w:t>
        </w:r>
        <w:r>
          <w:rPr>
            <w:rFonts w:ascii="Arial" w:hAnsi="Arial"/>
            <w:i/>
            <w:spacing w:val="8"/>
            <w:sz w:val="20"/>
            <w:vertAlign w:val="baseline"/>
          </w:rPr>
          <w:t> </w:t>
        </w:r>
        <w:r>
          <w:rPr>
            <w:rFonts w:ascii="Arial" w:hAnsi="Arial"/>
            <w:i/>
            <w:sz w:val="20"/>
            <w:vertAlign w:val="baseline"/>
          </w:rPr>
          <w:t>Argyll</w:t>
        </w:r>
        <w:r>
          <w:rPr>
            <w:rFonts w:ascii="Arial" w:hAnsi="Arial"/>
            <w:i/>
            <w:spacing w:val="8"/>
            <w:sz w:val="20"/>
            <w:vertAlign w:val="baseline"/>
          </w:rPr>
          <w:t> </w:t>
        </w:r>
        <w:r>
          <w:rPr>
            <w:rFonts w:ascii="Arial" w:hAnsi="Arial"/>
            <w:i/>
            <w:spacing w:val="-2"/>
            <w:sz w:val="20"/>
            <w:vertAlign w:val="baseline"/>
          </w:rPr>
          <w:t>Stores</w:t>
        </w:r>
      </w:hyperlink>
    </w:p>
    <w:p>
      <w:pPr>
        <w:pStyle w:val="BodyText"/>
        <w:spacing w:line="235" w:lineRule="auto" w:before="120"/>
        <w:ind w:left="164" w:right="167"/>
        <w:jc w:val="both"/>
      </w:pPr>
      <w:r>
        <w:rPr>
          <w:rFonts w:ascii="Arial" w:hAnsi="Arial"/>
          <w:i/>
        </w:rPr>
        <w:t>(Holdings) Ltd </w:t>
      </w:r>
      <w:hyperlink w:history="true" w:anchor="_bookmark2260">
        <w:r>
          <w:rPr>
            <w:color w:val="005DA1"/>
            <w:u w:val="single" w:color="005DA1"/>
            <w:vertAlign w:val="superscript"/>
          </w:rPr>
          <w:t>1173</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754" name="Image 754"/>
              <wp:cNvGraphicFramePr>
                <a:graphicFrameLocks/>
              </wp:cNvGraphicFramePr>
              <a:graphic>
                <a:graphicData uri="http://schemas.openxmlformats.org/drawingml/2006/picture">
                  <pic:pic>
                    <pic:nvPicPr>
                      <pic:cNvPr id="754" name="Image 7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6"/>
            <w:vertAlign w:val="baseline"/>
          </w:rPr>
          <w:t> </w:t>
        </w:r>
        <w:r>
          <w:rPr>
            <w:vertAlign w:val="baseline"/>
          </w:rPr>
          <w:t>Lord Hoffmann expressed the concern that in some circumstances an award of specific performance may allow “the plaintiff to enrich himself at the defendant’s expense” by </w:t>
        </w:r>
        <w:bookmarkStart w:name="_bookmark2149" w:id="2151"/>
        <w:bookmarkEnd w:id="2151"/>
        <w:r>
          <w:rPr>
            <w:vertAlign w:val="baseline"/>
          </w:rPr>
          <w:t>negotiating</w:t>
        </w:r>
        <w:r>
          <w:rPr>
            <w:spacing w:val="17"/>
            <w:vertAlign w:val="baseline"/>
          </w:rPr>
          <w:t> </w:t>
        </w:r>
        <w:r>
          <w:rPr>
            <w:vertAlign w:val="baseline"/>
          </w:rPr>
          <w:t>an</w:t>
        </w:r>
        <w:r>
          <w:rPr>
            <w:spacing w:val="17"/>
            <w:vertAlign w:val="baseline"/>
          </w:rPr>
          <w:t> </w:t>
        </w:r>
        <w:r>
          <w:rPr>
            <w:vertAlign w:val="baseline"/>
          </w:rPr>
          <w:t>excessive</w:t>
        </w:r>
        <w:r>
          <w:rPr>
            <w:spacing w:val="17"/>
            <w:vertAlign w:val="baseline"/>
          </w:rPr>
          <w:t> </w:t>
        </w:r>
        <w:r>
          <w:rPr>
            <w:vertAlign w:val="baseline"/>
          </w:rPr>
          <w:t>price</w:t>
        </w:r>
        <w:r>
          <w:rPr>
            <w:spacing w:val="17"/>
            <w:vertAlign w:val="baseline"/>
          </w:rPr>
          <w:t> </w:t>
        </w:r>
        <w:r>
          <w:rPr>
            <w:vertAlign w:val="baseline"/>
          </w:rPr>
          <w:t>for</w:t>
        </w:r>
        <w:r>
          <w:rPr>
            <w:spacing w:val="17"/>
            <w:vertAlign w:val="baseline"/>
          </w:rPr>
          <w:t> </w:t>
        </w:r>
        <w:r>
          <w:rPr>
            <w:vertAlign w:val="baseline"/>
          </w:rPr>
          <w:t>releasing</w:t>
        </w:r>
        <w:r>
          <w:rPr>
            <w:spacing w:val="17"/>
            <w:vertAlign w:val="baseline"/>
          </w:rPr>
          <w:t> </w:t>
        </w:r>
        <w:r>
          <w:rPr>
            <w:vertAlign w:val="baseline"/>
          </w:rPr>
          <w:t>the</w:t>
        </w:r>
        <w:r>
          <w:rPr>
            <w:spacing w:val="17"/>
            <w:vertAlign w:val="baseline"/>
          </w:rPr>
          <w:t> </w:t>
        </w:r>
        <w:r>
          <w:rPr>
            <w:vertAlign w:val="baseline"/>
          </w:rPr>
          <w:t>defendant</w:t>
        </w:r>
        <w:r>
          <w:rPr>
            <w:spacing w:val="17"/>
            <w:vertAlign w:val="baseline"/>
          </w:rPr>
          <w:t> </w:t>
        </w:r>
        <w:r>
          <w:rPr>
            <w:vertAlign w:val="baseline"/>
          </w:rPr>
          <w:t>from</w:t>
        </w:r>
        <w:r>
          <w:rPr>
            <w:spacing w:val="17"/>
            <w:vertAlign w:val="baseline"/>
          </w:rPr>
          <w:t> </w:t>
        </w:r>
        <w:r>
          <w:rPr>
            <w:vertAlign w:val="baseline"/>
          </w:rPr>
          <w:t>performance;</w:t>
        </w:r>
        <w:r>
          <w:rPr>
            <w:spacing w:val="17"/>
            <w:vertAlign w:val="baseline"/>
          </w:rPr>
          <w:t> </w:t>
        </w:r>
        <w:r>
          <w:rPr>
            <w:vertAlign w:val="baseline"/>
          </w:rPr>
          <w:t>one</w:t>
        </w:r>
        <w:r>
          <w:rPr>
            <w:spacing w:val="17"/>
            <w:vertAlign w:val="baseline"/>
          </w:rPr>
          <w:t> </w:t>
        </w:r>
        <w:r>
          <w:rPr>
            <w:vertAlign w:val="baseline"/>
          </w:rPr>
          <w:t>that</w:t>
        </w:r>
        <w:r>
          <w:rPr>
            <w:spacing w:val="17"/>
            <w:vertAlign w:val="baseline"/>
          </w:rPr>
          <w:t> </w:t>
        </w:r>
        <w:r>
          <w:rPr>
            <w:vertAlign w:val="baseline"/>
          </w:rPr>
          <w:t>“exceeds</w:t>
        </w:r>
        <w:r>
          <w:rPr>
            <w:spacing w:val="17"/>
            <w:vertAlign w:val="baseline"/>
          </w:rPr>
          <w:t> </w:t>
        </w:r>
        <w:r>
          <w:rPr>
            <w:spacing w:val="-5"/>
            <w:vertAlign w:val="baseline"/>
          </w:rPr>
          <w:t>the</w:t>
        </w:r>
      </w:hyperlink>
    </w:p>
    <w:p>
      <w:pPr>
        <w:pStyle w:val="BodyText"/>
        <w:spacing w:line="235" w:lineRule="auto" w:before="119"/>
        <w:ind w:left="165" w:right="167"/>
      </w:pPr>
      <w:r>
        <w:rPr/>
        <w:t>value</w:t>
      </w:r>
      <w:r>
        <w:rPr>
          <w:spacing w:val="16"/>
        </w:rPr>
        <w:t> </w:t>
      </w:r>
      <w:r>
        <w:rPr/>
        <w:t>of</w:t>
      </w:r>
      <w:r>
        <w:rPr>
          <w:spacing w:val="16"/>
        </w:rPr>
        <w:t> </w:t>
      </w:r>
      <w:r>
        <w:rPr/>
        <w:t>performance</w:t>
      </w:r>
      <w:r>
        <w:rPr>
          <w:spacing w:val="16"/>
        </w:rPr>
        <w:t> </w:t>
      </w:r>
      <w:r>
        <w:rPr/>
        <w:t>to</w:t>
      </w:r>
      <w:r>
        <w:rPr>
          <w:spacing w:val="16"/>
        </w:rPr>
        <w:t> </w:t>
      </w:r>
      <w:r>
        <w:rPr/>
        <w:t>the</w:t>
      </w:r>
      <w:r>
        <w:rPr>
          <w:spacing w:val="16"/>
        </w:rPr>
        <w:t> </w:t>
      </w:r>
      <w:r>
        <w:rPr/>
        <w:t>plaintiff</w:t>
      </w:r>
      <w:r>
        <w:rPr>
          <w:spacing w:val="16"/>
        </w:rPr>
        <w:t> </w:t>
      </w:r>
      <w:r>
        <w:rPr/>
        <w:t>and</w:t>
      </w:r>
      <w:r>
        <w:rPr>
          <w:spacing w:val="16"/>
        </w:rPr>
        <w:t> </w:t>
      </w:r>
      <w:r>
        <w:rPr/>
        <w:t>approaches</w:t>
      </w:r>
      <w:r>
        <w:rPr>
          <w:spacing w:val="16"/>
        </w:rPr>
        <w:t> </w:t>
      </w:r>
      <w:r>
        <w:rPr/>
        <w:t>the</w:t>
      </w:r>
      <w:r>
        <w:rPr>
          <w:spacing w:val="16"/>
        </w:rPr>
        <w:t> </w:t>
      </w:r>
      <w:r>
        <w:rPr/>
        <w:t>cost</w:t>
      </w:r>
      <w:r>
        <w:rPr>
          <w:spacing w:val="16"/>
        </w:rPr>
        <w:t> </w:t>
      </w:r>
      <w:r>
        <w:rPr/>
        <w:t>of</w:t>
      </w:r>
      <w:r>
        <w:rPr>
          <w:spacing w:val="16"/>
        </w:rPr>
        <w:t> </w:t>
      </w:r>
      <w:r>
        <w:rPr/>
        <w:t>performance</w:t>
      </w:r>
      <w:r>
        <w:rPr>
          <w:spacing w:val="16"/>
        </w:rPr>
        <w:t> </w:t>
      </w:r>
      <w:r>
        <w:rPr/>
        <w:t>to</w:t>
      </w:r>
      <w:r>
        <w:rPr>
          <w:spacing w:val="16"/>
        </w:rPr>
        <w:t> </w:t>
      </w:r>
      <w:r>
        <w:rPr/>
        <w:t>the</w:t>
      </w:r>
      <w:r>
        <w:rPr>
          <w:spacing w:val="16"/>
        </w:rPr>
        <w:t> </w:t>
      </w:r>
      <w:r>
        <w:rPr/>
        <w:t>defendant”. </w:t>
      </w:r>
      <w:r>
        <w:rPr>
          <w:color w:val="005DA1"/>
          <w:u w:val="single" w:color="005DA1"/>
          <w:vertAlign w:val="superscript"/>
        </w:rPr>
        <w:t>1174</w:t>
      </w:r>
      <w:r>
        <w:rPr>
          <w:color w:val="005DA1"/>
          <w:vertAlign w:val="baseline"/>
        </w:rPr>
        <w:t> </w:t>
      </w:r>
      <w:r>
        <w:rPr>
          <w:color w:val="005DA1"/>
          <w:position w:val="-2"/>
          <w:vertAlign w:val="baseline"/>
        </w:rPr>
        <w:drawing>
          <wp:inline distT="0" distB="0" distL="0" distR="0">
            <wp:extent cx="107988" cy="107988"/>
            <wp:effectExtent l="0" t="0" r="0" b="0"/>
            <wp:docPr id="755" name="Image 755"/>
            <wp:cNvGraphicFramePr>
              <a:graphicFrameLocks/>
            </wp:cNvGraphicFramePr>
            <a:graphic>
              <a:graphicData uri="http://schemas.openxmlformats.org/drawingml/2006/picture">
                <pic:pic>
                  <pic:nvPicPr>
                    <pic:cNvPr id="755" name="Image 7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bookmarkStart w:name="_bookmark2150" w:id="2152"/>
      <w:bookmarkEnd w:id="2152"/>
      <w:r>
        <w:rPr>
          <w:rFonts w:ascii="Times New Roman" w:hAnsi="Times New Roman"/>
          <w:color w:val="005DA1"/>
          <w:spacing w:val="12"/>
          <w:w w:val="92"/>
          <w:vertAlign w:val="baseline"/>
        </w:rPr>
      </w:r>
      <w:r>
        <w:rPr>
          <w:vertAlign w:val="baseline"/>
        </w:rPr>
        <w:t>A similar concern would prevent a court holding that a claimant has a legitimate interest in a clause that</w:t>
      </w:r>
      <w:r>
        <w:rPr>
          <w:spacing w:val="3"/>
          <w:vertAlign w:val="baseline"/>
        </w:rPr>
        <w:t> </w:t>
      </w:r>
      <w:r>
        <w:rPr>
          <w:vertAlign w:val="baseline"/>
        </w:rPr>
        <w:t>is</w:t>
      </w:r>
      <w:r>
        <w:rPr>
          <w:spacing w:val="3"/>
          <w:vertAlign w:val="baseline"/>
        </w:rPr>
        <w:t> </w:t>
      </w:r>
      <w:r>
        <w:rPr>
          <w:vertAlign w:val="baseline"/>
        </w:rPr>
        <w:t>designed</w:t>
      </w:r>
      <w:r>
        <w:rPr>
          <w:spacing w:val="3"/>
          <w:vertAlign w:val="baseline"/>
        </w:rPr>
        <w:t> </w:t>
      </w:r>
      <w:r>
        <w:rPr>
          <w:vertAlign w:val="baseline"/>
        </w:rPr>
        <w:t>to</w:t>
      </w:r>
      <w:r>
        <w:rPr>
          <w:spacing w:val="3"/>
          <w:vertAlign w:val="baseline"/>
        </w:rPr>
        <w:t> </w:t>
      </w:r>
      <w:r>
        <w:rPr>
          <w:vertAlign w:val="baseline"/>
        </w:rPr>
        <w:t>capture</w:t>
      </w:r>
      <w:r>
        <w:rPr>
          <w:spacing w:val="3"/>
          <w:vertAlign w:val="baseline"/>
        </w:rPr>
        <w:t> </w:t>
      </w:r>
      <w:r>
        <w:rPr>
          <w:vertAlign w:val="baseline"/>
        </w:rPr>
        <w:t>the</w:t>
      </w:r>
      <w:r>
        <w:rPr>
          <w:spacing w:val="3"/>
          <w:vertAlign w:val="baseline"/>
        </w:rPr>
        <w:t> </w:t>
      </w:r>
      <w:r>
        <w:rPr>
          <w:vertAlign w:val="baseline"/>
        </w:rPr>
        <w:t>whole</w:t>
      </w:r>
      <w:r>
        <w:rPr>
          <w:spacing w:val="3"/>
          <w:vertAlign w:val="baseline"/>
        </w:rPr>
        <w:t> </w:t>
      </w:r>
      <w:r>
        <w:rPr>
          <w:vertAlign w:val="baseline"/>
        </w:rPr>
        <w:t>of,</w:t>
      </w:r>
      <w:r>
        <w:rPr>
          <w:spacing w:val="3"/>
          <w:vertAlign w:val="baseline"/>
        </w:rPr>
        <w:t> </w:t>
      </w:r>
      <w:r>
        <w:rPr>
          <w:vertAlign w:val="baseline"/>
        </w:rPr>
        <w:t>or</w:t>
      </w:r>
      <w:r>
        <w:rPr>
          <w:spacing w:val="3"/>
          <w:vertAlign w:val="baseline"/>
        </w:rPr>
        <w:t> </w:t>
      </w:r>
      <w:r>
        <w:rPr>
          <w:vertAlign w:val="baseline"/>
        </w:rPr>
        <w:t>a</w:t>
      </w:r>
      <w:r>
        <w:rPr>
          <w:spacing w:val="3"/>
          <w:vertAlign w:val="baseline"/>
        </w:rPr>
        <w:t> </w:t>
      </w:r>
      <w:r>
        <w:rPr>
          <w:vertAlign w:val="baseline"/>
        </w:rPr>
        <w:t>large</w:t>
      </w:r>
      <w:r>
        <w:rPr>
          <w:spacing w:val="3"/>
          <w:vertAlign w:val="baseline"/>
        </w:rPr>
        <w:t> </w:t>
      </w:r>
      <w:r>
        <w:rPr>
          <w:vertAlign w:val="baseline"/>
        </w:rPr>
        <w:t>share</w:t>
      </w:r>
      <w:r>
        <w:rPr>
          <w:spacing w:val="3"/>
          <w:vertAlign w:val="baseline"/>
        </w:rPr>
        <w:t> </w:t>
      </w:r>
      <w:r>
        <w:rPr>
          <w:vertAlign w:val="baseline"/>
        </w:rPr>
        <w:t>in,</w:t>
      </w:r>
      <w:r>
        <w:rPr>
          <w:spacing w:val="3"/>
          <w:vertAlign w:val="baseline"/>
        </w:rPr>
        <w:t> </w:t>
      </w:r>
      <w:r>
        <w:rPr>
          <w:vertAlign w:val="baseline"/>
        </w:rPr>
        <w:t>any</w:t>
      </w:r>
      <w:r>
        <w:rPr>
          <w:spacing w:val="3"/>
          <w:vertAlign w:val="baseline"/>
        </w:rPr>
        <w:t> </w:t>
      </w:r>
      <w:r>
        <w:rPr>
          <w:vertAlign w:val="baseline"/>
        </w:rPr>
        <w:t>profit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might</w:t>
      </w:r>
      <w:r>
        <w:rPr>
          <w:spacing w:val="3"/>
          <w:vertAlign w:val="baseline"/>
        </w:rPr>
        <w:t> </w:t>
      </w:r>
      <w:r>
        <w:rPr>
          <w:spacing w:val="-2"/>
          <w:vertAlign w:val="baseline"/>
        </w:rPr>
        <w:t>make.</w:t>
      </w:r>
    </w:p>
    <w:p>
      <w:pPr>
        <w:spacing w:before="94"/>
        <w:ind w:left="165" w:right="0" w:firstLine="0"/>
        <w:jc w:val="left"/>
        <w:rPr>
          <w:sz w:val="12"/>
        </w:rPr>
      </w:pPr>
      <w:r>
        <w:rPr>
          <w:sz w:val="12"/>
        </w:rPr>
        <w:drawing>
          <wp:anchor distT="0" distB="0" distL="0" distR="0" allowOverlap="1" layoutInCell="1" locked="0" behindDoc="0" simplePos="0" relativeHeight="15847936">
            <wp:simplePos x="0" y="0"/>
            <wp:positionH relativeFrom="page">
              <wp:posOffset>1189786</wp:posOffset>
            </wp:positionH>
            <wp:positionV relativeFrom="paragraph">
              <wp:posOffset>100911</wp:posOffset>
            </wp:positionV>
            <wp:extent cx="107988" cy="107988"/>
            <wp:effectExtent l="0" t="0" r="0" b="0"/>
            <wp:wrapNone/>
            <wp:docPr id="756" name="Image 756"/>
            <wp:cNvGraphicFramePr>
              <a:graphicFrameLocks/>
            </wp:cNvGraphicFramePr>
            <a:graphic>
              <a:graphicData uri="http://schemas.openxmlformats.org/drawingml/2006/picture">
                <pic:pic>
                  <pic:nvPicPr>
                    <pic:cNvPr id="756" name="Image 756"/>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261">
        <w:r>
          <w:rPr>
            <w:color w:val="005DA1"/>
            <w:spacing w:val="-4"/>
            <w:sz w:val="12"/>
            <w:u w:val="single" w:color="005DA1"/>
          </w:rPr>
          <w:t>1175</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Part of a legitimate </w:t>
      </w:r>
      <w:r>
        <w:rPr>
          <w:rFonts w:ascii="Arial"/>
          <w:b/>
          <w:spacing w:val="-2"/>
          <w:sz w:val="18"/>
        </w:rPr>
        <w:t>scheme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209</w:t>
      </w:r>
    </w:p>
    <w:p>
      <w:pPr>
        <w:pStyle w:val="BodyText"/>
        <w:spacing w:before="213"/>
        <w:rPr>
          <w:rFonts w:ascii="Arial"/>
          <w:b/>
        </w:rPr>
      </w:pPr>
    </w:p>
    <w:p>
      <w:pPr>
        <w:pStyle w:val="BodyText"/>
        <w:spacing w:line="235" w:lineRule="auto"/>
        <w:ind w:left="165"/>
      </w:pPr>
      <w:r>
        <w:rPr>
          <w:position w:val="-2"/>
        </w:rPr>
        <w:drawing>
          <wp:inline distT="0" distB="0" distL="0" distR="0">
            <wp:extent cx="107988" cy="107988"/>
            <wp:effectExtent l="0" t="0" r="0" b="0"/>
            <wp:docPr id="757" name="Image 757"/>
            <wp:cNvGraphicFramePr>
              <a:graphicFrameLocks/>
            </wp:cNvGraphicFramePr>
            <a:graphic>
              <a:graphicData uri="http://schemas.openxmlformats.org/drawingml/2006/picture">
                <pic:pic>
                  <pic:nvPicPr>
                    <pic:cNvPr id="757" name="Image 75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151" w:id="2153"/>
      <w:bookmarkEnd w:id="2153"/>
      <w:r>
        <w:rPr>
          <w:rFonts w:ascii="Times New Roman"/>
          <w:spacing w:val="13"/>
        </w:rPr>
      </w:r>
      <w:r>
        <w:rPr/>
        <w:t>The decision in the </w:t>
      </w:r>
      <w:r>
        <w:rPr>
          <w:rFonts w:ascii="Arial"/>
          <w:i/>
        </w:rPr>
        <w:t>ParkingEye </w:t>
      </w:r>
      <w:r>
        <w:rPr/>
        <w:t>case </w:t>
      </w:r>
      <w:hyperlink w:history="true" w:anchor="_bookmark2262">
        <w:r>
          <w:rPr>
            <w:color w:val="005DA1"/>
            <w:u w:val="single" w:color="005DA1"/>
            <w:vertAlign w:val="superscript"/>
          </w:rPr>
          <w:t>1176</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758" name="Image 758"/>
              <wp:cNvGraphicFramePr>
                <a:graphicFrameLocks/>
              </wp:cNvGraphicFramePr>
              <a:graphic>
                <a:graphicData uri="http://schemas.openxmlformats.org/drawingml/2006/picture">
                  <pic:pic>
                    <pic:nvPicPr>
                      <pic:cNvPr id="758" name="Image 7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may also be explained, without having to show that a </w:t>
        </w:r>
        <w:bookmarkStart w:name="_bookmark2152" w:id="2154"/>
        <w:bookmarkEnd w:id="2154"/>
        <w:r>
          <w:rPr>
            <w:vertAlign w:val="baseline"/>
          </w:rPr>
          <w:t>breach</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contract</w:t>
        </w:r>
        <w:r>
          <w:rPr>
            <w:spacing w:val="17"/>
            <w:vertAlign w:val="baseline"/>
          </w:rPr>
          <w:t> </w:t>
        </w:r>
        <w:r>
          <w:rPr>
            <w:vertAlign w:val="baseline"/>
          </w:rPr>
          <w:t>would</w:t>
        </w:r>
        <w:r>
          <w:rPr>
            <w:spacing w:val="17"/>
            <w:vertAlign w:val="baseline"/>
          </w:rPr>
          <w:t> </w:t>
        </w:r>
        <w:r>
          <w:rPr>
            <w:vertAlign w:val="baseline"/>
          </w:rPr>
          <w:t>cause</w:t>
        </w:r>
        <w:r>
          <w:rPr>
            <w:spacing w:val="17"/>
            <w:vertAlign w:val="baseline"/>
          </w:rPr>
          <w:t> </w:t>
        </w:r>
        <w:r>
          <w:rPr>
            <w:vertAlign w:val="baseline"/>
          </w:rPr>
          <w:t>the</w:t>
        </w:r>
        <w:r>
          <w:rPr>
            <w:spacing w:val="17"/>
            <w:vertAlign w:val="baseline"/>
          </w:rPr>
          <w:t> </w:t>
        </w:r>
        <w:r>
          <w:rPr>
            <w:vertAlign w:val="baseline"/>
          </w:rPr>
          <w:t>claimant</w:t>
        </w:r>
        <w:r>
          <w:rPr>
            <w:spacing w:val="17"/>
            <w:vertAlign w:val="baseline"/>
          </w:rPr>
          <w:t> </w:t>
        </w:r>
        <w:r>
          <w:rPr>
            <w:vertAlign w:val="baseline"/>
          </w:rPr>
          <w:t>to</w:t>
        </w:r>
        <w:r>
          <w:rPr>
            <w:spacing w:val="17"/>
            <w:vertAlign w:val="baseline"/>
          </w:rPr>
          <w:t> </w:t>
        </w:r>
        <w:r>
          <w:rPr>
            <w:vertAlign w:val="baseline"/>
          </w:rPr>
          <w:t>suffer</w:t>
        </w:r>
        <w:r>
          <w:rPr>
            <w:spacing w:val="17"/>
            <w:vertAlign w:val="baseline"/>
          </w:rPr>
          <w:t> </w:t>
        </w:r>
        <w:r>
          <w:rPr>
            <w:vertAlign w:val="baseline"/>
          </w:rPr>
          <w:t>a</w:t>
        </w:r>
        <w:r>
          <w:rPr>
            <w:spacing w:val="17"/>
            <w:vertAlign w:val="baseline"/>
          </w:rPr>
          <w:t> </w:t>
        </w:r>
        <w:r>
          <w:rPr>
            <w:vertAlign w:val="baseline"/>
          </w:rPr>
          <w:t>loss</w:t>
        </w:r>
        <w:r>
          <w:rPr>
            <w:spacing w:val="17"/>
            <w:vertAlign w:val="baseline"/>
          </w:rPr>
          <w:t> </w:t>
        </w:r>
        <w:r>
          <w:rPr>
            <w:vertAlign w:val="baseline"/>
          </w:rPr>
          <w:t>that</w:t>
        </w:r>
        <w:r>
          <w:rPr>
            <w:spacing w:val="17"/>
            <w:vertAlign w:val="baseline"/>
          </w:rPr>
          <w:t> </w:t>
        </w:r>
        <w:r>
          <w:rPr>
            <w:vertAlign w:val="baseline"/>
          </w:rPr>
          <w:t>would</w:t>
        </w:r>
        <w:r>
          <w:rPr>
            <w:spacing w:val="17"/>
            <w:vertAlign w:val="baseline"/>
          </w:rPr>
          <w:t> </w:t>
        </w:r>
        <w:r>
          <w:rPr>
            <w:vertAlign w:val="baseline"/>
          </w:rPr>
          <w:t>not</w:t>
        </w:r>
        <w:r>
          <w:rPr>
            <w:spacing w:val="17"/>
            <w:vertAlign w:val="baseline"/>
          </w:rPr>
          <w:t> </w:t>
        </w:r>
        <w:r>
          <w:rPr>
            <w:vertAlign w:val="baseline"/>
          </w:rPr>
          <w:t>be</w:t>
        </w:r>
        <w:r>
          <w:rPr>
            <w:spacing w:val="17"/>
            <w:vertAlign w:val="baseline"/>
          </w:rPr>
          <w:t> </w:t>
        </w:r>
        <w:r>
          <w:rPr>
            <w:vertAlign w:val="baseline"/>
          </w:rPr>
          <w:t>compensable</w:t>
        </w:r>
        <w:r>
          <w:rPr>
            <w:spacing w:val="17"/>
            <w:vertAlign w:val="baseline"/>
          </w:rPr>
          <w:t> </w:t>
        </w:r>
        <w:r>
          <w:rPr>
            <w:spacing w:val="-5"/>
            <w:vertAlign w:val="baseline"/>
          </w:rPr>
          <w:t>(or</w:t>
        </w:r>
      </w:hyperlink>
    </w:p>
    <w:p>
      <w:pPr>
        <w:pStyle w:val="BodyText"/>
        <w:spacing w:before="115"/>
        <w:ind w:left="165"/>
        <w:rPr>
          <w:position w:val="-2"/>
        </w:rPr>
      </w:pPr>
      <w:r>
        <w:rPr/>
        <w:t>indeed, any loss at all) on the basis that the charge was an essential part of a lawful scheme. </w:t>
      </w:r>
      <w:hyperlink w:history="true" w:anchor="_bookmark2263">
        <w:r>
          <w:rPr>
            <w:color w:val="005DA1"/>
            <w:u w:val="single" w:color="005DA1"/>
            <w:vertAlign w:val="superscript"/>
          </w:rPr>
          <w:t>1177</w:t>
        </w:r>
        <w:r>
          <w:rPr>
            <w:color w:val="005DA1"/>
            <w:spacing w:val="80"/>
            <w:w w:val="150"/>
            <w:vertAlign w:val="baseline"/>
          </w:rPr>
          <w:t> </w:t>
        </w:r>
        <w:r>
          <w:rPr>
            <w:color w:val="005DA1"/>
            <w:position w:val="-2"/>
            <w:vertAlign w:val="baseline"/>
          </w:rPr>
          <w:drawing>
            <wp:inline distT="0" distB="0" distL="0" distR="0">
              <wp:extent cx="107988" cy="107988"/>
              <wp:effectExtent l="0" t="0" r="0" b="0"/>
              <wp:docPr id="759" name="Image 759"/>
              <wp:cNvGraphicFramePr>
                <a:graphicFrameLocks/>
              </wp:cNvGraphicFramePr>
              <a:graphic>
                <a:graphicData uri="http://schemas.openxmlformats.org/drawingml/2006/picture">
                  <pic:pic>
                    <pic:nvPicPr>
                      <pic:cNvPr id="759" name="Image 7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Conclusion on legitimate </w:t>
      </w:r>
      <w:r>
        <w:rPr>
          <w:rFonts w:ascii="Arial"/>
          <w:b/>
          <w:spacing w:val="-2"/>
          <w:sz w:val="18"/>
        </w:rPr>
        <w:t>interest</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210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60" name="Image 760"/>
            <wp:cNvGraphicFramePr>
              <a:graphicFrameLocks/>
            </wp:cNvGraphicFramePr>
            <a:graphic>
              <a:graphicData uri="http://schemas.openxmlformats.org/drawingml/2006/picture">
                <pic:pic>
                  <pic:nvPicPr>
                    <pic:cNvPr id="760" name="Image 7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submitted that a claimant will have a sufficient legitimate interest in obtaining performance rather</w:t>
      </w:r>
      <w:r>
        <w:rPr>
          <w:spacing w:val="-2"/>
        </w:rPr>
        <w:t> </w:t>
      </w:r>
      <w:r>
        <w:rPr/>
        <w:t>than</w:t>
      </w:r>
      <w:r>
        <w:rPr>
          <w:spacing w:val="-2"/>
        </w:rPr>
        <w:t> </w:t>
      </w:r>
      <w:r>
        <w:rPr/>
        <w:t>damages</w:t>
      </w:r>
      <w:r>
        <w:rPr>
          <w:spacing w:val="-2"/>
        </w:rPr>
        <w:t> </w:t>
      </w:r>
      <w:r>
        <w:rPr/>
        <w:t>to</w:t>
      </w:r>
      <w:r>
        <w:rPr>
          <w:spacing w:val="-2"/>
        </w:rPr>
        <w:t> </w:t>
      </w:r>
      <w:r>
        <w:rPr/>
        <w:t>justify</w:t>
      </w:r>
      <w:r>
        <w:rPr>
          <w:spacing w:val="-2"/>
        </w:rPr>
        <w:t> </w:t>
      </w:r>
      <w:r>
        <w:rPr/>
        <w:t>an</w:t>
      </w:r>
      <w:r>
        <w:rPr>
          <w:spacing w:val="-2"/>
        </w:rPr>
        <w:t> </w:t>
      </w:r>
      <w:r>
        <w:rPr/>
        <w:t>agreed</w:t>
      </w:r>
      <w:r>
        <w:rPr>
          <w:spacing w:val="-2"/>
        </w:rPr>
        <w:t> </w:t>
      </w:r>
      <w:r>
        <w:rPr/>
        <w:t>damages</w:t>
      </w:r>
      <w:r>
        <w:rPr>
          <w:spacing w:val="-2"/>
        </w:rPr>
        <w:t> </w:t>
      </w:r>
      <w:r>
        <w:rPr/>
        <w:t>clause</w:t>
      </w:r>
      <w:r>
        <w:rPr>
          <w:spacing w:val="-2"/>
        </w:rPr>
        <w:t> </w:t>
      </w:r>
      <w:r>
        <w:rPr/>
        <w:t>that</w:t>
      </w:r>
      <w:r>
        <w:rPr>
          <w:spacing w:val="-2"/>
        </w:rPr>
        <w:t> </w:t>
      </w:r>
      <w:r>
        <w:rPr/>
        <w:t>is</w:t>
      </w:r>
      <w:r>
        <w:rPr>
          <w:spacing w:val="-2"/>
        </w:rPr>
        <w:t> </w:t>
      </w:r>
      <w:r>
        <w:rPr/>
        <w:t>intended</w:t>
      </w:r>
      <w:r>
        <w:rPr>
          <w:spacing w:val="-2"/>
        </w:rPr>
        <w:t> </w:t>
      </w:r>
      <w:r>
        <w:rPr/>
        <w:t>to</w:t>
      </w:r>
      <w:r>
        <w:rPr>
          <w:spacing w:val="-2"/>
        </w:rPr>
        <w:t> </w:t>
      </w:r>
      <w:r>
        <w:rPr/>
        <w:t>deter</w:t>
      </w:r>
      <w:r>
        <w:rPr>
          <w:spacing w:val="-2"/>
        </w:rPr>
        <w:t> </w:t>
      </w:r>
      <w:r>
        <w:rPr/>
        <w:t>breach,</w:t>
      </w:r>
      <w:r>
        <w:rPr>
          <w:spacing w:val="-2"/>
        </w:rPr>
        <w:t> </w:t>
      </w:r>
      <w:r>
        <w:rPr/>
        <w:t>rather</w:t>
      </w:r>
      <w:r>
        <w:rPr>
          <w:spacing w:val="-2"/>
        </w:rPr>
        <w:t> </w:t>
      </w:r>
      <w:r>
        <w:rPr/>
        <w:t>than as a pre-estimate of loss, in the following situations:</w:t>
      </w:r>
    </w:p>
    <w:p>
      <w:pPr>
        <w:pStyle w:val="BodyText"/>
      </w:pPr>
    </w:p>
    <w:p>
      <w:pPr>
        <w:pStyle w:val="BodyText"/>
        <w:spacing w:before="195"/>
      </w:pPr>
    </w:p>
    <w:p>
      <w:pPr>
        <w:spacing w:before="0"/>
        <w:ind w:left="165" w:right="0" w:firstLine="0"/>
        <w:jc w:val="left"/>
        <w:rPr>
          <w:sz w:val="20"/>
        </w:rPr>
      </w:pPr>
      <w:r>
        <w:rPr>
          <w:spacing w:val="-10"/>
          <w:sz w:val="20"/>
        </w:rPr>
        <w:t>–</w:t>
      </w:r>
    </w:p>
    <w:p>
      <w:pPr>
        <w:pStyle w:val="BodyText"/>
        <w:spacing w:before="110"/>
        <w:ind w:left="645"/>
      </w:pPr>
      <w:bookmarkStart w:name="_bookmark2153" w:id="2155"/>
      <w:bookmarkEnd w:id="2155"/>
      <w:r>
        <w:rPr/>
      </w:r>
      <w:r>
        <w:rPr/>
        <w:t>if</w:t>
      </w:r>
      <w:r>
        <w:rPr>
          <w:spacing w:val="6"/>
        </w:rPr>
        <w:t> </w:t>
      </w:r>
      <w:r>
        <w:rPr/>
        <w:t>the</w:t>
      </w:r>
      <w:r>
        <w:rPr>
          <w:spacing w:val="6"/>
        </w:rPr>
        <w:t> </w:t>
      </w:r>
      <w:r>
        <w:rPr/>
        <w:t>claimant</w:t>
      </w:r>
      <w:r>
        <w:rPr>
          <w:spacing w:val="6"/>
        </w:rPr>
        <w:t> </w:t>
      </w:r>
      <w:r>
        <w:rPr/>
        <w:t>would</w:t>
      </w:r>
      <w:r>
        <w:rPr>
          <w:spacing w:val="6"/>
        </w:rPr>
        <w:t> </w:t>
      </w:r>
      <w:r>
        <w:rPr/>
        <w:t>face</w:t>
      </w:r>
      <w:r>
        <w:rPr>
          <w:spacing w:val="6"/>
        </w:rPr>
        <w:t> </w:t>
      </w:r>
      <w:r>
        <w:rPr/>
        <w:t>serious</w:t>
      </w:r>
      <w:r>
        <w:rPr>
          <w:spacing w:val="6"/>
        </w:rPr>
        <w:t> </w:t>
      </w:r>
      <w:r>
        <w:rPr/>
        <w:t>difficulties</w:t>
      </w:r>
      <w:r>
        <w:rPr>
          <w:spacing w:val="6"/>
        </w:rPr>
        <w:t> </w:t>
      </w:r>
      <w:r>
        <w:rPr/>
        <w:t>in</w:t>
      </w:r>
      <w:r>
        <w:rPr>
          <w:spacing w:val="6"/>
        </w:rPr>
        <w:t> </w:t>
      </w:r>
      <w:r>
        <w:rPr/>
        <w:t>proving</w:t>
      </w:r>
      <w:r>
        <w:rPr>
          <w:spacing w:val="6"/>
        </w:rPr>
        <w:t> </w:t>
      </w:r>
      <w:r>
        <w:rPr/>
        <w:t>what</w:t>
      </w:r>
      <w:r>
        <w:rPr>
          <w:spacing w:val="6"/>
        </w:rPr>
        <w:t> </w:t>
      </w:r>
      <w:r>
        <w:rPr/>
        <w:t>loss,</w:t>
      </w:r>
      <w:r>
        <w:rPr>
          <w:spacing w:val="6"/>
        </w:rPr>
        <w:t> </w:t>
      </w:r>
      <w:r>
        <w:rPr/>
        <w:t>if</w:t>
      </w:r>
      <w:r>
        <w:rPr>
          <w:spacing w:val="6"/>
        </w:rPr>
        <w:t> </w:t>
      </w:r>
      <w:r>
        <w:rPr/>
        <w:t>any,</w:t>
      </w:r>
      <w:r>
        <w:rPr>
          <w:spacing w:val="6"/>
        </w:rPr>
        <w:t> </w:t>
      </w:r>
      <w:r>
        <w:rPr/>
        <w:t>flowed</w:t>
      </w:r>
      <w:r>
        <w:rPr>
          <w:spacing w:val="6"/>
        </w:rPr>
        <w:t> </w:t>
      </w:r>
      <w:r>
        <w:rPr/>
        <w:t>from</w:t>
      </w:r>
      <w:r>
        <w:rPr>
          <w:spacing w:val="6"/>
        </w:rPr>
        <w:t> </w:t>
      </w:r>
      <w:r>
        <w:rPr/>
        <w:t>the</w:t>
      </w:r>
      <w:r>
        <w:rPr>
          <w:spacing w:val="6"/>
        </w:rPr>
        <w:t> </w:t>
      </w:r>
      <w:r>
        <w:rPr>
          <w:spacing w:val="-2"/>
        </w:rPr>
        <w:t>breach</w:t>
      </w:r>
    </w:p>
    <w:p>
      <w:pPr>
        <w:spacing w:before="95"/>
        <w:ind w:left="645" w:right="0" w:firstLine="0"/>
        <w:jc w:val="left"/>
        <w:rPr>
          <w:position w:val="-9"/>
          <w:sz w:val="20"/>
        </w:rPr>
      </w:pPr>
      <w:hyperlink w:history="true" w:anchor="_bookmark2264">
        <w:r>
          <w:rPr>
            <w:color w:val="005DA1"/>
            <w:sz w:val="12"/>
            <w:u w:val="single" w:color="005DA1"/>
          </w:rPr>
          <w:t>1178</w:t>
        </w:r>
        <w:r>
          <w:rPr>
            <w:color w:val="005DA1"/>
            <w:spacing w:val="50"/>
            <w:sz w:val="12"/>
          </w:rPr>
          <w:t>  </w:t>
        </w:r>
        <w:r>
          <w:rPr>
            <w:color w:val="005DA1"/>
            <w:position w:val="-11"/>
            <w:sz w:val="12"/>
          </w:rPr>
          <w:drawing>
            <wp:inline distT="0" distB="0" distL="0" distR="0">
              <wp:extent cx="107988" cy="107988"/>
              <wp:effectExtent l="0" t="0" r="0" b="0"/>
              <wp:docPr id="761" name="Image 761"/>
              <wp:cNvGraphicFramePr>
                <a:graphicFrameLocks/>
              </wp:cNvGraphicFramePr>
              <a:graphic>
                <a:graphicData uri="http://schemas.openxmlformats.org/drawingml/2006/picture">
                  <pic:pic>
                    <pic:nvPicPr>
                      <pic:cNvPr id="761" name="Image 7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11"/>
            <w:sz w:val="12"/>
          </w:rPr>
        </w:r>
        <w:r>
          <w:rPr>
            <w:spacing w:val="-10"/>
            <w:position w:val="-9"/>
            <w:sz w:val="20"/>
          </w:rPr>
          <w:t>;</w:t>
        </w:r>
      </w:hyperlink>
    </w:p>
    <w:p>
      <w:pPr>
        <w:pStyle w:val="BodyText"/>
      </w:pPr>
    </w:p>
    <w:p>
      <w:pPr>
        <w:pStyle w:val="BodyText"/>
        <w:spacing w:before="30"/>
      </w:pPr>
    </w:p>
    <w:p>
      <w:pPr>
        <w:spacing w:before="1"/>
        <w:ind w:left="165" w:right="0" w:firstLine="0"/>
        <w:jc w:val="left"/>
        <w:rPr>
          <w:sz w:val="20"/>
        </w:rPr>
      </w:pPr>
      <w:r>
        <w:rPr>
          <w:spacing w:val="-10"/>
          <w:sz w:val="20"/>
        </w:rPr>
        <w:t>–</w:t>
      </w:r>
    </w:p>
    <w:p>
      <w:pPr>
        <w:pStyle w:val="BodyText"/>
        <w:spacing w:line="227" w:lineRule="exact" w:before="230"/>
        <w:ind w:left="645"/>
      </w:pPr>
      <w:bookmarkStart w:name="_bookmark2154" w:id="2156"/>
      <w:bookmarkEnd w:id="2156"/>
      <w:r>
        <w:rPr/>
      </w:r>
      <w:r>
        <w:rPr/>
        <w:t>if</w:t>
      </w:r>
      <w:r>
        <w:rPr>
          <w:spacing w:val="5"/>
        </w:rPr>
        <w:t> </w:t>
      </w:r>
      <w:r>
        <w:rPr/>
        <w:t>the</w:t>
      </w:r>
      <w:r>
        <w:rPr>
          <w:spacing w:val="5"/>
        </w:rPr>
        <w:t> </w:t>
      </w:r>
      <w:r>
        <w:rPr/>
        <w:t>claimant</w:t>
      </w:r>
      <w:r>
        <w:rPr>
          <w:spacing w:val="5"/>
        </w:rPr>
        <w:t> </w:t>
      </w:r>
      <w:r>
        <w:rPr/>
        <w:t>would</w:t>
      </w:r>
      <w:r>
        <w:rPr>
          <w:spacing w:val="5"/>
        </w:rPr>
        <w:t> </w:t>
      </w:r>
      <w:r>
        <w:rPr/>
        <w:t>face</w:t>
      </w:r>
      <w:r>
        <w:rPr>
          <w:spacing w:val="5"/>
        </w:rPr>
        <w:t> </w:t>
      </w:r>
      <w:r>
        <w:rPr/>
        <w:t>serious</w:t>
      </w:r>
      <w:r>
        <w:rPr>
          <w:spacing w:val="5"/>
        </w:rPr>
        <w:t> </w:t>
      </w:r>
      <w:r>
        <w:rPr/>
        <w:t>difficulties</w:t>
      </w:r>
      <w:r>
        <w:rPr>
          <w:spacing w:val="5"/>
        </w:rPr>
        <w:t> </w:t>
      </w:r>
      <w:r>
        <w:rPr/>
        <w:t>in</w:t>
      </w:r>
      <w:r>
        <w:rPr>
          <w:spacing w:val="5"/>
        </w:rPr>
        <w:t> </w:t>
      </w:r>
      <w:r>
        <w:rPr/>
        <w:t>detecting</w:t>
      </w:r>
      <w:r>
        <w:rPr>
          <w:spacing w:val="5"/>
        </w:rPr>
        <w:t> </w:t>
      </w:r>
      <w:r>
        <w:rPr/>
        <w:t>whether</w:t>
      </w:r>
      <w:r>
        <w:rPr>
          <w:spacing w:val="5"/>
        </w:rPr>
        <w:t> </w:t>
      </w:r>
      <w:r>
        <w:rPr/>
        <w:t>there</w:t>
      </w:r>
      <w:r>
        <w:rPr>
          <w:spacing w:val="5"/>
        </w:rPr>
        <w:t> </w:t>
      </w:r>
      <w:r>
        <w:rPr/>
        <w:t>has</w:t>
      </w:r>
      <w:r>
        <w:rPr>
          <w:spacing w:val="5"/>
        </w:rPr>
        <w:t> </w:t>
      </w:r>
      <w:r>
        <w:rPr/>
        <w:t>been</w:t>
      </w:r>
      <w:r>
        <w:rPr>
          <w:spacing w:val="5"/>
        </w:rPr>
        <w:t> </w:t>
      </w:r>
      <w:r>
        <w:rPr/>
        <w:t>a</w:t>
      </w:r>
      <w:r>
        <w:rPr>
          <w:spacing w:val="5"/>
        </w:rPr>
        <w:t> </w:t>
      </w:r>
      <w:r>
        <w:rPr/>
        <w:t>breach</w:t>
      </w:r>
      <w:r>
        <w:rPr>
          <w:spacing w:val="4"/>
        </w:rPr>
        <w:t> </w:t>
      </w:r>
      <w:hyperlink w:history="true" w:anchor="_bookmark2265">
        <w:r>
          <w:rPr>
            <w:color w:val="005DA1"/>
            <w:spacing w:val="-4"/>
            <w:u w:val="single" w:color="005DA1"/>
            <w:vertAlign w:val="superscript"/>
          </w:rPr>
          <w:t>1179</w:t>
        </w:r>
      </w:hyperlink>
    </w:p>
    <w:p>
      <w:pPr>
        <w:spacing w:line="227" w:lineRule="exact" w:before="0"/>
        <w:ind w:left="815" w:right="0" w:firstLine="0"/>
        <w:jc w:val="left"/>
        <w:rPr>
          <w:sz w:val="20"/>
        </w:rPr>
      </w:pPr>
      <w:r>
        <w:rPr>
          <w:sz w:val="20"/>
        </w:rPr>
        <w:drawing>
          <wp:anchor distT="0" distB="0" distL="0" distR="0" allowOverlap="1" layoutInCell="1" locked="0" behindDoc="0" simplePos="0" relativeHeight="15848448">
            <wp:simplePos x="0" y="0"/>
            <wp:positionH relativeFrom="page">
              <wp:posOffset>1219200</wp:posOffset>
            </wp:positionH>
            <wp:positionV relativeFrom="paragraph">
              <wp:posOffset>26275</wp:posOffset>
            </wp:positionV>
            <wp:extent cx="107988" cy="107988"/>
            <wp:effectExtent l="0" t="0" r="0" b="0"/>
            <wp:wrapNone/>
            <wp:docPr id="762" name="Image 762"/>
            <wp:cNvGraphicFramePr>
              <a:graphicFrameLocks/>
            </wp:cNvGraphicFramePr>
            <a:graphic>
              <a:graphicData uri="http://schemas.openxmlformats.org/drawingml/2006/picture">
                <pic:pic>
                  <pic:nvPicPr>
                    <pic:cNvPr id="762" name="Image 762"/>
                    <pic:cNvPicPr/>
                  </pic:nvPicPr>
                  <pic:blipFill>
                    <a:blip r:embed="rId6" cstate="print"/>
                    <a:stretch>
                      <a:fillRect/>
                    </a:stretch>
                  </pic:blipFill>
                  <pic:spPr>
                    <a:xfrm>
                      <a:off x="0" y="0"/>
                      <a:ext cx="107988" cy="107988"/>
                    </a:xfrm>
                    <a:prstGeom prst="rect">
                      <a:avLst/>
                    </a:prstGeom>
                  </pic:spPr>
                </pic:pic>
              </a:graphicData>
            </a:graphic>
          </wp:anchor>
        </w:drawing>
      </w:r>
      <w:r>
        <w:rPr>
          <w:spacing w:val="-10"/>
          <w:sz w:val="20"/>
        </w:rPr>
        <w:t>;</w:t>
      </w:r>
    </w:p>
    <w:p>
      <w:pPr>
        <w:pStyle w:val="BodyText"/>
      </w:pPr>
    </w:p>
    <w:p>
      <w:pPr>
        <w:pStyle w:val="BodyText"/>
        <w:spacing w:before="34"/>
      </w:pPr>
    </w:p>
    <w:p>
      <w:pPr>
        <w:spacing w:before="1"/>
        <w:ind w:left="165" w:right="0" w:firstLine="0"/>
        <w:jc w:val="left"/>
        <w:rPr>
          <w:sz w:val="20"/>
        </w:rPr>
      </w:pPr>
      <w:r>
        <w:rPr>
          <w:spacing w:val="-10"/>
          <w:sz w:val="20"/>
        </w:rPr>
        <w:t>–</w:t>
      </w:r>
    </w:p>
    <w:p>
      <w:pPr>
        <w:pStyle w:val="BodyText"/>
        <w:spacing w:line="235" w:lineRule="auto" w:before="113"/>
        <w:ind w:left="645"/>
      </w:pPr>
      <w:r>
        <w:rPr/>
        <w:t>if</w:t>
      </w:r>
      <w:r>
        <w:rPr>
          <w:spacing w:val="40"/>
        </w:rPr>
        <w:t> </w:t>
      </w:r>
      <w:r>
        <w:rPr/>
        <w:t>damages</w:t>
      </w:r>
      <w:r>
        <w:rPr>
          <w:spacing w:val="40"/>
        </w:rPr>
        <w:t> </w:t>
      </w:r>
      <w:r>
        <w:rPr/>
        <w:t>will</w:t>
      </w:r>
      <w:r>
        <w:rPr>
          <w:spacing w:val="40"/>
        </w:rPr>
        <w:t> </w:t>
      </w:r>
      <w:r>
        <w:rPr/>
        <w:t>not</w:t>
      </w:r>
      <w:r>
        <w:rPr>
          <w:spacing w:val="40"/>
        </w:rPr>
        <w:t> </w:t>
      </w:r>
      <w:r>
        <w:rPr/>
        <w:t>be</w:t>
      </w:r>
      <w:r>
        <w:rPr>
          <w:spacing w:val="40"/>
        </w:rPr>
        <w:t> </w:t>
      </w:r>
      <w:r>
        <w:rPr/>
        <w:t>an</w:t>
      </w:r>
      <w:r>
        <w:rPr>
          <w:spacing w:val="40"/>
        </w:rPr>
        <w:t> </w:t>
      </w:r>
      <w:r>
        <w:rPr/>
        <w:t>adequate</w:t>
      </w:r>
      <w:r>
        <w:rPr>
          <w:spacing w:val="40"/>
        </w:rPr>
        <w:t> </w:t>
      </w:r>
      <w:r>
        <w:rPr/>
        <w:t>remedy</w:t>
      </w:r>
      <w:r>
        <w:rPr>
          <w:spacing w:val="40"/>
        </w:rPr>
        <w:t> </w:t>
      </w:r>
      <w:r>
        <w:rPr/>
        <w:t>because,</w:t>
      </w:r>
      <w:r>
        <w:rPr>
          <w:spacing w:val="40"/>
        </w:rPr>
        <w:t> </w:t>
      </w:r>
      <w:r>
        <w:rPr/>
        <w:t>if</w:t>
      </w:r>
      <w:r>
        <w:rPr>
          <w:spacing w:val="40"/>
        </w:rPr>
        <w:t> </w:t>
      </w:r>
      <w:r>
        <w:rPr/>
        <w:t>the</w:t>
      </w:r>
      <w:r>
        <w:rPr>
          <w:spacing w:val="40"/>
        </w:rPr>
        <w:t> </w:t>
      </w:r>
      <w:r>
        <w:rPr/>
        <w:t>defendant</w:t>
      </w:r>
      <w:r>
        <w:rPr>
          <w:spacing w:val="40"/>
        </w:rPr>
        <w:t> </w:t>
      </w:r>
      <w:r>
        <w:rPr/>
        <w:t>fails</w:t>
      </w:r>
      <w:r>
        <w:rPr>
          <w:spacing w:val="40"/>
        </w:rPr>
        <w:t> </w:t>
      </w:r>
      <w:r>
        <w:rPr/>
        <w:t>to</w:t>
      </w:r>
      <w:r>
        <w:rPr>
          <w:spacing w:val="40"/>
        </w:rPr>
        <w:t> </w:t>
      </w:r>
      <w:r>
        <w:rPr/>
        <w:t>perform,</w:t>
      </w:r>
      <w:r>
        <w:rPr>
          <w:spacing w:val="40"/>
        </w:rPr>
        <w:t> </w:t>
      </w:r>
      <w:r>
        <w:rPr/>
        <w:t>the </w:t>
      </w:r>
      <w:bookmarkStart w:name="_bookmark2155" w:id="2157"/>
      <w:bookmarkEnd w:id="2157"/>
      <w:r>
        <w:rPr/>
        <w:t>claimant</w:t>
      </w:r>
      <w:r>
        <w:rPr>
          <w:spacing w:val="23"/>
        </w:rPr>
        <w:t> </w:t>
      </w:r>
      <w:r>
        <w:rPr/>
        <w:t>will</w:t>
      </w:r>
      <w:r>
        <w:rPr>
          <w:spacing w:val="23"/>
        </w:rPr>
        <w:t> </w:t>
      </w:r>
      <w:r>
        <w:rPr/>
        <w:t>not</w:t>
      </w:r>
      <w:r>
        <w:rPr>
          <w:spacing w:val="23"/>
        </w:rPr>
        <w:t> </w:t>
      </w:r>
      <w:r>
        <w:rPr/>
        <w:t>be</w:t>
      </w:r>
      <w:r>
        <w:rPr>
          <w:spacing w:val="23"/>
        </w:rPr>
        <w:t> </w:t>
      </w:r>
      <w:r>
        <w:rPr/>
        <w:t>able</w:t>
      </w:r>
      <w:r>
        <w:rPr>
          <w:spacing w:val="23"/>
        </w:rPr>
        <w:t> </w:t>
      </w:r>
      <w:r>
        <w:rPr/>
        <w:t>to</w:t>
      </w:r>
      <w:r>
        <w:rPr>
          <w:spacing w:val="23"/>
        </w:rPr>
        <w:t> </w:t>
      </w:r>
      <w:r>
        <w:rPr/>
        <w:t>obtain</w:t>
      </w:r>
      <w:r>
        <w:rPr>
          <w:spacing w:val="23"/>
        </w:rPr>
        <w:t> </w:t>
      </w:r>
      <w:r>
        <w:rPr/>
        <w:t>substitute</w:t>
      </w:r>
      <w:r>
        <w:rPr>
          <w:spacing w:val="23"/>
        </w:rPr>
        <w:t> </w:t>
      </w:r>
      <w:r>
        <w:rPr/>
        <w:t>goods,</w:t>
      </w:r>
      <w:r>
        <w:rPr>
          <w:spacing w:val="23"/>
        </w:rPr>
        <w:t> </w:t>
      </w:r>
      <w:r>
        <w:rPr/>
        <w:t>other</w:t>
      </w:r>
      <w:r>
        <w:rPr>
          <w:spacing w:val="23"/>
        </w:rPr>
        <w:t> </w:t>
      </w:r>
      <w:r>
        <w:rPr/>
        <w:t>property</w:t>
      </w:r>
      <w:r>
        <w:rPr>
          <w:spacing w:val="23"/>
        </w:rPr>
        <w:t> </w:t>
      </w:r>
      <w:r>
        <w:rPr/>
        <w:t>or</w:t>
      </w:r>
      <w:r>
        <w:rPr>
          <w:spacing w:val="23"/>
        </w:rPr>
        <w:t> </w:t>
      </w:r>
      <w:r>
        <w:rPr/>
        <w:t>services</w:t>
      </w:r>
      <w:r>
        <w:rPr>
          <w:spacing w:val="23"/>
        </w:rPr>
        <w:t> </w:t>
      </w:r>
      <w:r>
        <w:rPr/>
        <w:t>(irrespective</w:t>
      </w:r>
      <w:r>
        <w:rPr>
          <w:spacing w:val="23"/>
        </w:rPr>
        <w:t> </w:t>
      </w:r>
      <w:r>
        <w:rPr>
          <w:spacing w:val="-5"/>
        </w:rPr>
        <w:t>of</w:t>
      </w:r>
    </w:p>
    <w:p>
      <w:pPr>
        <w:pStyle w:val="BodyText"/>
        <w:spacing w:line="227" w:lineRule="exact" w:before="116"/>
        <w:ind w:left="645"/>
      </w:pPr>
      <w:r>
        <w:rPr/>
        <w:t>the</w:t>
      </w:r>
      <w:r>
        <w:rPr>
          <w:spacing w:val="7"/>
        </w:rPr>
        <w:t> </w:t>
      </w:r>
      <w:r>
        <w:rPr/>
        <w:t>fact</w:t>
      </w:r>
      <w:r>
        <w:rPr>
          <w:spacing w:val="7"/>
        </w:rPr>
        <w:t> </w:t>
      </w:r>
      <w:r>
        <w:rPr/>
        <w:t>that</w:t>
      </w:r>
      <w:r>
        <w:rPr>
          <w:spacing w:val="7"/>
        </w:rPr>
        <w:t> </w:t>
      </w:r>
      <w:r>
        <w:rPr/>
        <w:t>specific</w:t>
      </w:r>
      <w:r>
        <w:rPr>
          <w:spacing w:val="7"/>
        </w:rPr>
        <w:t> </w:t>
      </w:r>
      <w:r>
        <w:rPr/>
        <w:t>performance</w:t>
      </w:r>
      <w:r>
        <w:rPr>
          <w:spacing w:val="7"/>
        </w:rPr>
        <w:t> </w:t>
      </w:r>
      <w:r>
        <w:rPr/>
        <w:t>of</w:t>
      </w:r>
      <w:r>
        <w:rPr>
          <w:spacing w:val="7"/>
        </w:rPr>
        <w:t> </w:t>
      </w:r>
      <w:r>
        <w:rPr/>
        <w:t>the</w:t>
      </w:r>
      <w:r>
        <w:rPr>
          <w:spacing w:val="7"/>
        </w:rPr>
        <w:t> </w:t>
      </w:r>
      <w:r>
        <w:rPr/>
        <w:t>contract</w:t>
      </w:r>
      <w:r>
        <w:rPr>
          <w:spacing w:val="7"/>
        </w:rPr>
        <w:t> </w:t>
      </w:r>
      <w:r>
        <w:rPr/>
        <w:t>might</w:t>
      </w:r>
      <w:r>
        <w:rPr>
          <w:spacing w:val="7"/>
        </w:rPr>
        <w:t> </w:t>
      </w:r>
      <w:r>
        <w:rPr/>
        <w:t>not</w:t>
      </w:r>
      <w:r>
        <w:rPr>
          <w:spacing w:val="7"/>
        </w:rPr>
        <w:t> </w:t>
      </w:r>
      <w:r>
        <w:rPr/>
        <w:t>be</w:t>
      </w:r>
      <w:r>
        <w:rPr>
          <w:spacing w:val="7"/>
        </w:rPr>
        <w:t> </w:t>
      </w:r>
      <w:r>
        <w:rPr/>
        <w:t>available</w:t>
      </w:r>
      <w:r>
        <w:rPr>
          <w:spacing w:val="7"/>
        </w:rPr>
        <w:t> </w:t>
      </w:r>
      <w:r>
        <w:rPr/>
        <w:t>for</w:t>
      </w:r>
      <w:r>
        <w:rPr>
          <w:spacing w:val="7"/>
        </w:rPr>
        <w:t> </w:t>
      </w:r>
      <w:r>
        <w:rPr/>
        <w:t>other</w:t>
      </w:r>
      <w:r>
        <w:rPr>
          <w:spacing w:val="7"/>
        </w:rPr>
        <w:t> </w:t>
      </w:r>
      <w:r>
        <w:rPr/>
        <w:t>reasons)</w:t>
      </w:r>
      <w:r>
        <w:rPr>
          <w:spacing w:val="7"/>
        </w:rPr>
        <w:t> </w:t>
      </w:r>
      <w:hyperlink w:history="true" w:anchor="_bookmark2266">
        <w:r>
          <w:rPr>
            <w:color w:val="005DA1"/>
            <w:spacing w:val="-4"/>
            <w:u w:val="single" w:color="005DA1"/>
            <w:vertAlign w:val="superscript"/>
          </w:rPr>
          <w:t>1180</w:t>
        </w:r>
      </w:hyperlink>
    </w:p>
    <w:p>
      <w:pPr>
        <w:spacing w:line="227" w:lineRule="exact" w:before="0"/>
        <w:ind w:left="815" w:right="0" w:firstLine="0"/>
        <w:jc w:val="left"/>
        <w:rPr>
          <w:sz w:val="20"/>
        </w:rPr>
      </w:pPr>
      <w:r>
        <w:rPr>
          <w:sz w:val="20"/>
        </w:rPr>
        <w:drawing>
          <wp:anchor distT="0" distB="0" distL="0" distR="0" allowOverlap="1" layoutInCell="1" locked="0" behindDoc="0" simplePos="0" relativeHeight="15848960">
            <wp:simplePos x="0" y="0"/>
            <wp:positionH relativeFrom="page">
              <wp:posOffset>1219200</wp:posOffset>
            </wp:positionH>
            <wp:positionV relativeFrom="paragraph">
              <wp:posOffset>26476</wp:posOffset>
            </wp:positionV>
            <wp:extent cx="107988" cy="107988"/>
            <wp:effectExtent l="0" t="0" r="0" b="0"/>
            <wp:wrapNone/>
            <wp:docPr id="763" name="Image 763"/>
            <wp:cNvGraphicFramePr>
              <a:graphicFrameLocks/>
            </wp:cNvGraphicFramePr>
            <a:graphic>
              <a:graphicData uri="http://schemas.openxmlformats.org/drawingml/2006/picture">
                <pic:pic>
                  <pic:nvPicPr>
                    <pic:cNvPr id="763" name="Image 763"/>
                    <pic:cNvPicPr/>
                  </pic:nvPicPr>
                  <pic:blipFill>
                    <a:blip r:embed="rId6" cstate="print"/>
                    <a:stretch>
                      <a:fillRect/>
                    </a:stretch>
                  </pic:blipFill>
                  <pic:spPr>
                    <a:xfrm>
                      <a:off x="0" y="0"/>
                      <a:ext cx="107988" cy="107988"/>
                    </a:xfrm>
                    <a:prstGeom prst="rect">
                      <a:avLst/>
                    </a:prstGeom>
                  </pic:spPr>
                </pic:pic>
              </a:graphicData>
            </a:graphic>
          </wp:anchor>
        </w:drawing>
      </w:r>
      <w:r>
        <w:rPr>
          <w:spacing w:val="-10"/>
          <w:sz w:val="20"/>
        </w:rPr>
        <w:t>;</w:t>
      </w:r>
    </w:p>
    <w:p>
      <w:pPr>
        <w:pStyle w:val="BodyText"/>
      </w:pPr>
    </w:p>
    <w:p>
      <w:pPr>
        <w:pStyle w:val="BodyText"/>
        <w:spacing w:before="35"/>
      </w:pPr>
    </w:p>
    <w:p>
      <w:pPr>
        <w:spacing w:before="0"/>
        <w:ind w:left="165" w:right="0" w:firstLine="0"/>
        <w:jc w:val="left"/>
        <w:rPr>
          <w:sz w:val="20"/>
        </w:rPr>
      </w:pPr>
      <w:r>
        <w:rPr>
          <w:spacing w:val="-10"/>
          <w:sz w:val="20"/>
        </w:rPr>
        <w:t>–</w:t>
      </w:r>
    </w:p>
    <w:p>
      <w:pPr>
        <w:pStyle w:val="BodyText"/>
      </w:pPr>
    </w:p>
    <w:p>
      <w:pPr>
        <w:pStyle w:val="BodyText"/>
        <w:ind w:left="645"/>
      </w:pPr>
      <w:bookmarkStart w:name="_bookmark2156" w:id="2158"/>
      <w:bookmarkEnd w:id="2158"/>
      <w:r>
        <w:rPr/>
      </w:r>
      <w:r>
        <w:rPr/>
        <w:t>if</w:t>
      </w:r>
      <w:r>
        <w:rPr>
          <w:spacing w:val="-2"/>
        </w:rPr>
        <w:t> </w:t>
      </w:r>
      <w:r>
        <w:rPr/>
        <w:t>loss</w:t>
      </w:r>
      <w:r>
        <w:rPr>
          <w:spacing w:val="-1"/>
        </w:rPr>
        <w:t> </w:t>
      </w:r>
      <w:r>
        <w:rPr/>
        <w:t>will</w:t>
      </w:r>
      <w:r>
        <w:rPr>
          <w:spacing w:val="-1"/>
        </w:rPr>
        <w:t> </w:t>
      </w:r>
      <w:r>
        <w:rPr/>
        <w:t>be</w:t>
      </w:r>
      <w:r>
        <w:rPr>
          <w:spacing w:val="-1"/>
        </w:rPr>
        <w:t> </w:t>
      </w:r>
      <w:r>
        <w:rPr/>
        <w:t>suffered</w:t>
      </w:r>
      <w:r>
        <w:rPr>
          <w:spacing w:val="-1"/>
        </w:rPr>
        <w:t> </w:t>
      </w:r>
      <w:r>
        <w:rPr/>
        <w:t>by</w:t>
      </w:r>
      <w:r>
        <w:rPr>
          <w:spacing w:val="-1"/>
        </w:rPr>
        <w:t> </w:t>
      </w:r>
      <w:r>
        <w:rPr/>
        <w:t>a</w:t>
      </w:r>
      <w:r>
        <w:rPr>
          <w:spacing w:val="-1"/>
        </w:rPr>
        <w:t> </w:t>
      </w:r>
      <w:r>
        <w:rPr/>
        <w:t>third</w:t>
      </w:r>
      <w:r>
        <w:rPr>
          <w:spacing w:val="-1"/>
        </w:rPr>
        <w:t> </w:t>
      </w:r>
      <w:r>
        <w:rPr/>
        <w:t>party</w:t>
      </w:r>
      <w:r>
        <w:rPr>
          <w:spacing w:val="-1"/>
        </w:rPr>
        <w:t> </w:t>
      </w:r>
      <w:r>
        <w:rPr/>
        <w:t>rather</w:t>
      </w:r>
      <w:r>
        <w:rPr>
          <w:spacing w:val="-2"/>
        </w:rPr>
        <w:t> </w:t>
      </w:r>
      <w:r>
        <w:rPr/>
        <w:t>than</w:t>
      </w:r>
      <w:r>
        <w:rPr>
          <w:spacing w:val="-1"/>
        </w:rPr>
        <w:t> </w:t>
      </w:r>
      <w:r>
        <w:rPr/>
        <w:t>by,</w:t>
      </w:r>
      <w:r>
        <w:rPr>
          <w:spacing w:val="-1"/>
        </w:rPr>
        <w:t> </w:t>
      </w:r>
      <w:r>
        <w:rPr/>
        <w:t>or</w:t>
      </w:r>
      <w:r>
        <w:rPr>
          <w:spacing w:val="-1"/>
        </w:rPr>
        <w:t> </w:t>
      </w:r>
      <w:r>
        <w:rPr/>
        <w:t>in</w:t>
      </w:r>
      <w:r>
        <w:rPr>
          <w:spacing w:val="-1"/>
        </w:rPr>
        <w:t> </w:t>
      </w:r>
      <w:r>
        <w:rPr/>
        <w:t>addition</w:t>
      </w:r>
      <w:r>
        <w:rPr>
          <w:spacing w:val="-1"/>
        </w:rPr>
        <w:t> </w:t>
      </w:r>
      <w:r>
        <w:rPr/>
        <w:t>to,</w:t>
      </w:r>
      <w:r>
        <w:rPr>
          <w:spacing w:val="-1"/>
        </w:rPr>
        <w:t> </w:t>
      </w:r>
      <w:r>
        <w:rPr/>
        <w:t>the</w:t>
      </w:r>
      <w:r>
        <w:rPr>
          <w:spacing w:val="-1"/>
        </w:rPr>
        <w:t> </w:t>
      </w:r>
      <w:r>
        <w:rPr/>
        <w:t>claimant</w:t>
      </w:r>
      <w:r>
        <w:rPr>
          <w:spacing w:val="-2"/>
        </w:rPr>
        <w:t> </w:t>
      </w:r>
      <w:hyperlink w:history="true" w:anchor="_bookmark2267">
        <w:r>
          <w:rPr>
            <w:color w:val="005DA1"/>
            <w:u w:val="single" w:color="005DA1"/>
            <w:vertAlign w:val="superscript"/>
          </w:rPr>
          <w:t>1181</w:t>
        </w:r>
        <w:r>
          <w:rPr>
            <w:color w:val="005DA1"/>
            <w:spacing w:val="26"/>
            <w:vertAlign w:val="baseline"/>
          </w:rPr>
          <w:t>  </w:t>
        </w:r>
        <w:r>
          <w:rPr>
            <w:color w:val="005DA1"/>
            <w:position w:val="-2"/>
            <w:vertAlign w:val="baseline"/>
          </w:rPr>
          <w:drawing>
            <wp:inline distT="0" distB="0" distL="0" distR="0">
              <wp:extent cx="107988" cy="107988"/>
              <wp:effectExtent l="0" t="0" r="0" b="0"/>
              <wp:docPr id="764" name="Image 764"/>
              <wp:cNvGraphicFramePr>
                <a:graphicFrameLocks/>
              </wp:cNvGraphicFramePr>
              <a:graphic>
                <a:graphicData uri="http://schemas.openxmlformats.org/drawingml/2006/picture">
                  <pic:pic>
                    <pic:nvPicPr>
                      <pic:cNvPr id="764" name="Image 7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35"/>
      </w:pPr>
    </w:p>
    <w:p>
      <w:pPr>
        <w:spacing w:before="0"/>
        <w:ind w:left="165" w:right="0" w:firstLine="0"/>
        <w:jc w:val="left"/>
        <w:rPr>
          <w:sz w:val="20"/>
        </w:rPr>
      </w:pPr>
      <w:r>
        <w:rPr>
          <w:spacing w:val="-10"/>
          <w:sz w:val="20"/>
        </w:rPr>
        <w:t>–</w:t>
      </w:r>
    </w:p>
    <w:p>
      <w:pPr>
        <w:pStyle w:val="BodyText"/>
      </w:pPr>
    </w:p>
    <w:p>
      <w:pPr>
        <w:pStyle w:val="BodyText"/>
        <w:ind w:left="645"/>
      </w:pPr>
      <w:bookmarkStart w:name="_bookmark2157" w:id="2159"/>
      <w:bookmarkEnd w:id="2159"/>
      <w:r>
        <w:rPr/>
      </w:r>
      <w:r>
        <w:rPr/>
        <w:t>if</w:t>
      </w:r>
      <w:r>
        <w:rPr>
          <w:spacing w:val="-2"/>
        </w:rPr>
        <w:t> </w:t>
      </w:r>
      <w:r>
        <w:rPr/>
        <w:t>having</w:t>
      </w:r>
      <w:r>
        <w:rPr>
          <w:spacing w:val="-1"/>
        </w:rPr>
        <w:t> </w:t>
      </w:r>
      <w:r>
        <w:rPr/>
        <w:t>to</w:t>
      </w:r>
      <w:r>
        <w:rPr>
          <w:spacing w:val="-1"/>
        </w:rPr>
        <w:t> </w:t>
      </w:r>
      <w:r>
        <w:rPr/>
        <w:t>claim</w:t>
      </w:r>
      <w:r>
        <w:rPr>
          <w:spacing w:val="-2"/>
        </w:rPr>
        <w:t> </w:t>
      </w:r>
      <w:r>
        <w:rPr/>
        <w:t>damages</w:t>
      </w:r>
      <w:r>
        <w:rPr>
          <w:spacing w:val="-1"/>
        </w:rPr>
        <w:t> </w:t>
      </w:r>
      <w:r>
        <w:rPr/>
        <w:t>from</w:t>
      </w:r>
      <w:r>
        <w:rPr>
          <w:spacing w:val="-1"/>
        </w:rPr>
        <w:t> </w:t>
      </w:r>
      <w:r>
        <w:rPr/>
        <w:t>the</w:t>
      </w:r>
      <w:r>
        <w:rPr>
          <w:spacing w:val="-2"/>
        </w:rPr>
        <w:t> </w:t>
      </w:r>
      <w:r>
        <w:rPr/>
        <w:t>defendant</w:t>
      </w:r>
      <w:r>
        <w:rPr>
          <w:spacing w:val="-1"/>
        </w:rPr>
        <w:t> </w:t>
      </w:r>
      <w:r>
        <w:rPr/>
        <w:t>would</w:t>
      </w:r>
      <w:r>
        <w:rPr>
          <w:spacing w:val="-1"/>
        </w:rPr>
        <w:t> </w:t>
      </w:r>
      <w:r>
        <w:rPr/>
        <w:t>put</w:t>
      </w:r>
      <w:r>
        <w:rPr>
          <w:spacing w:val="-1"/>
        </w:rPr>
        <w:t> </w:t>
      </w:r>
      <w:r>
        <w:rPr/>
        <w:t>the</w:t>
      </w:r>
      <w:r>
        <w:rPr>
          <w:spacing w:val="-2"/>
        </w:rPr>
        <w:t> </w:t>
      </w:r>
      <w:r>
        <w:rPr/>
        <w:t>claimant’s</w:t>
      </w:r>
      <w:r>
        <w:rPr>
          <w:spacing w:val="-1"/>
        </w:rPr>
        <w:t> </w:t>
      </w:r>
      <w:r>
        <w:rPr/>
        <w:t>solvency</w:t>
      </w:r>
      <w:r>
        <w:rPr>
          <w:spacing w:val="-1"/>
        </w:rPr>
        <w:t> </w:t>
      </w:r>
      <w:r>
        <w:rPr/>
        <w:t>at</w:t>
      </w:r>
      <w:r>
        <w:rPr>
          <w:spacing w:val="-2"/>
        </w:rPr>
        <w:t> </w:t>
      </w:r>
      <w:r>
        <w:rPr/>
        <w:t>risk</w:t>
      </w:r>
      <w:r>
        <w:rPr>
          <w:spacing w:val="-3"/>
        </w:rPr>
        <w:t> </w:t>
      </w:r>
      <w:hyperlink w:history="true" w:anchor="_bookmark2268">
        <w:r>
          <w:rPr>
            <w:color w:val="005DA1"/>
            <w:u w:val="single" w:color="005DA1"/>
            <w:vertAlign w:val="superscript"/>
          </w:rPr>
          <w:t>1182</w:t>
        </w:r>
        <w:r>
          <w:rPr>
            <w:color w:val="005DA1"/>
            <w:spacing w:val="26"/>
            <w:vertAlign w:val="baseline"/>
          </w:rPr>
          <w:t>  </w:t>
        </w:r>
        <w:r>
          <w:rPr>
            <w:color w:val="005DA1"/>
            <w:position w:val="-2"/>
            <w:vertAlign w:val="baseline"/>
          </w:rPr>
          <w:drawing>
            <wp:inline distT="0" distB="0" distL="0" distR="0">
              <wp:extent cx="107988" cy="107988"/>
              <wp:effectExtent l="0" t="0" r="0" b="0"/>
              <wp:docPr id="765" name="Image 765"/>
              <wp:cNvGraphicFramePr>
                <a:graphicFrameLocks/>
              </wp:cNvGraphicFramePr>
              <a:graphic>
                <a:graphicData uri="http://schemas.openxmlformats.org/drawingml/2006/picture">
                  <pic:pic>
                    <pic:nvPicPr>
                      <pic:cNvPr id="765" name="Image 7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35"/>
      </w:pPr>
    </w:p>
    <w:p>
      <w:pPr>
        <w:spacing w:before="0"/>
        <w:ind w:left="165" w:right="0" w:firstLine="0"/>
        <w:jc w:val="left"/>
        <w:rPr>
          <w:sz w:val="20"/>
        </w:rPr>
      </w:pPr>
      <w:r>
        <w:rPr>
          <w:spacing w:val="-10"/>
          <w:sz w:val="20"/>
        </w:rPr>
        <w:t>–</w:t>
      </w:r>
    </w:p>
    <w:p>
      <w:pPr>
        <w:pStyle w:val="BodyText"/>
        <w:spacing w:line="235" w:lineRule="auto" w:before="114"/>
        <w:ind w:left="645"/>
      </w:pPr>
      <w:r>
        <w:rPr/>
        <w:t>if</w:t>
      </w:r>
      <w:r>
        <w:rPr>
          <w:spacing w:val="40"/>
        </w:rPr>
        <w:t> </w:t>
      </w:r>
      <w:r>
        <w:rPr/>
        <w:t>that</w:t>
      </w:r>
      <w:r>
        <w:rPr>
          <w:spacing w:val="40"/>
        </w:rPr>
        <w:t> </w:t>
      </w:r>
      <w:r>
        <w:rPr/>
        <w:t>even</w:t>
      </w:r>
      <w:r>
        <w:rPr>
          <w:spacing w:val="40"/>
        </w:rPr>
        <w:t> </w:t>
      </w:r>
      <w:r>
        <w:rPr/>
        <w:t>though</w:t>
      </w:r>
      <w:r>
        <w:rPr>
          <w:spacing w:val="40"/>
        </w:rPr>
        <w:t> </w:t>
      </w:r>
      <w:r>
        <w:rPr/>
        <w:t>neither</w:t>
      </w:r>
      <w:r>
        <w:rPr>
          <w:spacing w:val="40"/>
        </w:rPr>
        <w:t> </w:t>
      </w:r>
      <w:r>
        <w:rPr/>
        <w:t>the</w:t>
      </w:r>
      <w:r>
        <w:rPr>
          <w:spacing w:val="40"/>
        </w:rPr>
        <w:t> </w:t>
      </w:r>
      <w:r>
        <w:rPr/>
        <w:t>claimant</w:t>
      </w:r>
      <w:r>
        <w:rPr>
          <w:spacing w:val="40"/>
        </w:rPr>
        <w:t> </w:t>
      </w:r>
      <w:r>
        <w:rPr/>
        <w:t>nor</w:t>
      </w:r>
      <w:r>
        <w:rPr>
          <w:spacing w:val="40"/>
        </w:rPr>
        <w:t> </w:t>
      </w:r>
      <w:r>
        <w:rPr/>
        <w:t>a</w:t>
      </w:r>
      <w:r>
        <w:rPr>
          <w:spacing w:val="40"/>
        </w:rPr>
        <w:t> </w:t>
      </w:r>
      <w:r>
        <w:rPr/>
        <w:t>third</w:t>
      </w:r>
      <w:r>
        <w:rPr>
          <w:spacing w:val="40"/>
        </w:rPr>
        <w:t> </w:t>
      </w:r>
      <w:r>
        <w:rPr/>
        <w:t>party</w:t>
      </w:r>
      <w:r>
        <w:rPr>
          <w:spacing w:val="40"/>
        </w:rPr>
        <w:t> </w:t>
      </w:r>
      <w:r>
        <w:rPr/>
        <w:t>will</w:t>
      </w:r>
      <w:r>
        <w:rPr>
          <w:spacing w:val="40"/>
        </w:rPr>
        <w:t> </w:t>
      </w:r>
      <w:r>
        <w:rPr/>
        <w:t>suffer</w:t>
      </w:r>
      <w:r>
        <w:rPr>
          <w:spacing w:val="40"/>
        </w:rPr>
        <w:t> </w:t>
      </w:r>
      <w:r>
        <w:rPr/>
        <w:t>any</w:t>
      </w:r>
      <w:r>
        <w:rPr>
          <w:spacing w:val="40"/>
        </w:rPr>
        <w:t> </w:t>
      </w:r>
      <w:r>
        <w:rPr/>
        <w:t>loss</w:t>
      </w:r>
      <w:r>
        <w:rPr>
          <w:spacing w:val="40"/>
        </w:rPr>
        <w:t> </w:t>
      </w:r>
      <w:r>
        <w:rPr/>
        <w:t>through</w:t>
      </w:r>
      <w:r>
        <w:rPr>
          <w:spacing w:val="40"/>
        </w:rPr>
        <w:t> </w:t>
      </w:r>
      <w:r>
        <w:rPr/>
        <w:t>the</w:t>
      </w:r>
      <w:r>
        <w:rPr>
          <w:spacing w:val="40"/>
        </w:rPr>
        <w:t> </w:t>
      </w:r>
      <w:bookmarkStart w:name="_bookmark2158" w:id="2160"/>
      <w:bookmarkEnd w:id="2160"/>
      <w:r>
        <w:rPr/>
        <w:t>defendant’s</w:t>
      </w:r>
      <w:r>
        <w:rPr>
          <w:spacing w:val="46"/>
        </w:rPr>
        <w:t> </w:t>
      </w:r>
      <w:r>
        <w:rPr/>
        <w:t>breach</w:t>
      </w:r>
      <w:r>
        <w:rPr>
          <w:spacing w:val="46"/>
        </w:rPr>
        <w:t> </w:t>
      </w:r>
      <w:r>
        <w:rPr/>
        <w:t>but</w:t>
      </w:r>
      <w:r>
        <w:rPr>
          <w:spacing w:val="46"/>
        </w:rPr>
        <w:t> </w:t>
      </w:r>
      <w:r>
        <w:rPr/>
        <w:t>the</w:t>
      </w:r>
      <w:r>
        <w:rPr>
          <w:spacing w:val="46"/>
        </w:rPr>
        <w:t> </w:t>
      </w:r>
      <w:r>
        <w:rPr/>
        <w:t>claimant</w:t>
      </w:r>
      <w:r>
        <w:rPr>
          <w:spacing w:val="46"/>
        </w:rPr>
        <w:t> </w:t>
      </w:r>
      <w:r>
        <w:rPr/>
        <w:t>has</w:t>
      </w:r>
      <w:r>
        <w:rPr>
          <w:spacing w:val="46"/>
        </w:rPr>
        <w:t> </w:t>
      </w:r>
      <w:r>
        <w:rPr/>
        <w:t>an</w:t>
      </w:r>
      <w:r>
        <w:rPr>
          <w:spacing w:val="46"/>
        </w:rPr>
        <w:t> </w:t>
      </w:r>
      <w:r>
        <w:rPr/>
        <w:t>exceptional</w:t>
      </w:r>
      <w:r>
        <w:rPr>
          <w:spacing w:val="46"/>
        </w:rPr>
        <w:t> </w:t>
      </w:r>
      <w:r>
        <w:rPr/>
        <w:t>interest</w:t>
      </w:r>
      <w:r>
        <w:rPr>
          <w:spacing w:val="46"/>
        </w:rPr>
        <w:t> </w:t>
      </w:r>
      <w:r>
        <w:rPr/>
        <w:t>in</w:t>
      </w:r>
      <w:r>
        <w:rPr>
          <w:spacing w:val="46"/>
        </w:rPr>
        <w:t> </w:t>
      </w:r>
      <w:r>
        <w:rPr/>
        <w:t>ensuring</w:t>
      </w:r>
      <w:r>
        <w:rPr>
          <w:spacing w:val="46"/>
        </w:rPr>
        <w:t> </w:t>
      </w:r>
      <w:r>
        <w:rPr/>
        <w:t>that</w:t>
      </w:r>
      <w:r>
        <w:rPr>
          <w:spacing w:val="46"/>
        </w:rPr>
        <w:t> </w:t>
      </w:r>
      <w:r>
        <w:rPr>
          <w:spacing w:val="-2"/>
        </w:rPr>
        <w:t>defendant</w:t>
      </w:r>
    </w:p>
    <w:p>
      <w:pPr>
        <w:pStyle w:val="BodyText"/>
        <w:spacing w:before="115"/>
        <w:ind w:left="645"/>
      </w:pPr>
      <w:r>
        <w:rPr/>
        <w:t>performs</w:t>
      </w:r>
      <w:r>
        <w:rPr>
          <w:spacing w:val="-2"/>
        </w:rPr>
        <w:t> </w:t>
      </w:r>
      <w:r>
        <w:rPr/>
        <w:t>such</w:t>
      </w:r>
      <w:r>
        <w:rPr>
          <w:spacing w:val="-1"/>
        </w:rPr>
        <w:t> </w:t>
      </w:r>
      <w:r>
        <w:rPr/>
        <w:t>that</w:t>
      </w:r>
      <w:r>
        <w:rPr>
          <w:spacing w:val="-1"/>
        </w:rPr>
        <w:t> </w:t>
      </w:r>
      <w:r>
        <w:rPr/>
        <w:t>the</w:t>
      </w:r>
      <w:r>
        <w:rPr>
          <w:spacing w:val="-1"/>
        </w:rPr>
        <w:t> </w:t>
      </w:r>
      <w:r>
        <w:rPr/>
        <w:t>court</w:t>
      </w:r>
      <w:r>
        <w:rPr>
          <w:spacing w:val="-1"/>
        </w:rPr>
        <w:t> </w:t>
      </w:r>
      <w:r>
        <w:rPr/>
        <w:t>would</w:t>
      </w:r>
      <w:r>
        <w:rPr>
          <w:spacing w:val="-1"/>
        </w:rPr>
        <w:t> </w:t>
      </w:r>
      <w:r>
        <w:rPr/>
        <w:t>award</w:t>
      </w:r>
      <w:r>
        <w:rPr>
          <w:spacing w:val="-2"/>
        </w:rPr>
        <w:t> </w:t>
      </w:r>
      <w:r>
        <w:rPr/>
        <w:t>an</w:t>
      </w:r>
      <w:r>
        <w:rPr>
          <w:spacing w:val="-1"/>
        </w:rPr>
        <w:t> </w:t>
      </w:r>
      <w:r>
        <w:rPr/>
        <w:t>account</w:t>
      </w:r>
      <w:r>
        <w:rPr>
          <w:spacing w:val="-1"/>
        </w:rPr>
        <w:t> </w:t>
      </w:r>
      <w:r>
        <w:rPr/>
        <w:t>of</w:t>
      </w:r>
      <w:r>
        <w:rPr>
          <w:spacing w:val="-1"/>
        </w:rPr>
        <w:t> </w:t>
      </w:r>
      <w:r>
        <w:rPr/>
        <w:t>profits,</w:t>
      </w:r>
      <w:r>
        <w:rPr>
          <w:spacing w:val="-1"/>
        </w:rPr>
        <w:t> </w:t>
      </w:r>
      <w:r>
        <w:rPr/>
        <w:t>as</w:t>
      </w:r>
      <w:r>
        <w:rPr>
          <w:spacing w:val="-1"/>
        </w:rPr>
        <w:t> </w:t>
      </w:r>
      <w:r>
        <w:rPr/>
        <w:t>in</w:t>
      </w:r>
      <w:r>
        <w:rPr>
          <w:spacing w:val="-3"/>
        </w:rPr>
        <w:t> </w:t>
      </w:r>
      <w:r>
        <w:rPr>
          <w:rFonts w:ascii="Arial"/>
          <w:i/>
        </w:rPr>
        <w:t>Att-Gen</w:t>
      </w:r>
      <w:r>
        <w:rPr>
          <w:rFonts w:ascii="Arial"/>
          <w:i/>
          <w:spacing w:val="-1"/>
        </w:rPr>
        <w:t> </w:t>
      </w:r>
      <w:r>
        <w:rPr>
          <w:rFonts w:ascii="Arial"/>
          <w:i/>
        </w:rPr>
        <w:t>v</w:t>
      </w:r>
      <w:r>
        <w:rPr>
          <w:rFonts w:ascii="Arial"/>
          <w:i/>
          <w:spacing w:val="-1"/>
        </w:rPr>
        <w:t> </w:t>
      </w:r>
      <w:r>
        <w:rPr>
          <w:rFonts w:ascii="Arial"/>
          <w:i/>
        </w:rPr>
        <w:t>Blake</w:t>
      </w:r>
      <w:r>
        <w:rPr>
          <w:rFonts w:ascii="Arial"/>
          <w:i/>
          <w:spacing w:val="-2"/>
        </w:rPr>
        <w:t> </w:t>
      </w:r>
      <w:hyperlink w:history="true" w:anchor="_bookmark2269">
        <w:r>
          <w:rPr>
            <w:color w:val="005DA1"/>
            <w:u w:val="single" w:color="005DA1"/>
            <w:vertAlign w:val="superscript"/>
          </w:rPr>
          <w:t>1183</w:t>
        </w:r>
        <w:r>
          <w:rPr>
            <w:color w:val="005DA1"/>
            <w:spacing w:val="26"/>
            <w:vertAlign w:val="baseline"/>
          </w:rPr>
          <w:t>  </w:t>
        </w:r>
        <w:r>
          <w:rPr>
            <w:color w:val="005DA1"/>
            <w:position w:val="-2"/>
            <w:vertAlign w:val="baseline"/>
          </w:rPr>
          <w:drawing>
            <wp:inline distT="0" distB="0" distL="0" distR="0">
              <wp:extent cx="107988" cy="107988"/>
              <wp:effectExtent l="0" t="0" r="0" b="0"/>
              <wp:docPr id="766" name="Image 766"/>
              <wp:cNvGraphicFramePr>
                <a:graphicFrameLocks/>
              </wp:cNvGraphicFramePr>
              <a:graphic>
                <a:graphicData uri="http://schemas.openxmlformats.org/drawingml/2006/picture">
                  <pic:pic>
                    <pic:nvPicPr>
                      <pic:cNvPr id="766" name="Image 7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1"/>
            <w:vertAlign w:val="baseline"/>
          </w:rPr>
          <w:t> </w:t>
        </w:r>
        <w:r>
          <w:rPr>
            <w:spacing w:val="-5"/>
            <w:vertAlign w:val="baseline"/>
          </w:rPr>
          <w:t>or</w:t>
        </w:r>
      </w:hyperlink>
    </w:p>
    <w:p>
      <w:pPr>
        <w:pStyle w:val="BodyText"/>
      </w:pPr>
    </w:p>
    <w:p>
      <w:pPr>
        <w:pStyle w:val="BodyText"/>
        <w:spacing w:before="35"/>
      </w:pPr>
    </w:p>
    <w:p>
      <w:pPr>
        <w:spacing w:before="0"/>
        <w:ind w:left="165" w:right="0" w:firstLine="0"/>
        <w:jc w:val="left"/>
        <w:rPr>
          <w:sz w:val="20"/>
        </w:rPr>
      </w:pPr>
      <w:r>
        <w:rPr>
          <w:spacing w:val="-10"/>
          <w:sz w:val="20"/>
        </w:rPr>
        <w:t>–</w:t>
      </w:r>
    </w:p>
    <w:p>
      <w:pPr>
        <w:pStyle w:val="BodyText"/>
      </w:pPr>
    </w:p>
    <w:p>
      <w:pPr>
        <w:pStyle w:val="BodyText"/>
        <w:ind w:left="645"/>
        <w:rPr>
          <w:position w:val="-2"/>
        </w:rPr>
      </w:pPr>
      <w:bookmarkStart w:name="_bookmark2159" w:id="2161"/>
      <w:bookmarkEnd w:id="2161"/>
      <w:r>
        <w:rPr/>
      </w:r>
      <w:r>
        <w:rPr/>
        <w:t>more generally, if deterrence is an essential element of a lawful scheme. </w:t>
      </w:r>
      <w:hyperlink w:history="true" w:anchor="_bookmark2270">
        <w:r>
          <w:rPr>
            <w:color w:val="005DA1"/>
            <w:u w:val="single" w:color="005DA1"/>
            <w:vertAlign w:val="superscript"/>
          </w:rPr>
          <w:t>1184</w:t>
        </w:r>
        <w:r>
          <w:rPr>
            <w:color w:val="005DA1"/>
            <w:spacing w:val="80"/>
            <w:w w:val="150"/>
            <w:vertAlign w:val="baseline"/>
          </w:rPr>
          <w:t> </w:t>
        </w:r>
        <w:r>
          <w:rPr>
            <w:color w:val="005DA1"/>
            <w:position w:val="-2"/>
            <w:vertAlign w:val="baseline"/>
          </w:rPr>
          <w:drawing>
            <wp:inline distT="0" distB="0" distL="0" distR="0">
              <wp:extent cx="107988" cy="107988"/>
              <wp:effectExtent l="0" t="0" r="0" b="0"/>
              <wp:docPr id="767" name="Image 767"/>
              <wp:cNvGraphicFramePr>
                <a:graphicFrameLocks/>
              </wp:cNvGraphicFramePr>
              <a:graphic>
                <a:graphicData uri="http://schemas.openxmlformats.org/drawingml/2006/picture">
                  <pic:pic>
                    <pic:nvPicPr>
                      <pic:cNvPr id="767" name="Image 7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209"/>
      </w:pPr>
    </w:p>
    <w:p>
      <w:pPr>
        <w:pStyle w:val="BodyText"/>
        <w:spacing w:line="235" w:lineRule="auto"/>
        <w:ind w:left="165" w:right="167"/>
        <w:jc w:val="both"/>
      </w:pPr>
      <w:r>
        <w:rPr/>
        <w:t>In contrast, the claimant does not have a legitimate interest in obtaining more than damages, or agreed damages that are substantially more than a genuine preestimate of the likely loss, merely </w:t>
      </w:r>
      <w:bookmarkStart w:name="_bookmark2160" w:id="2162"/>
      <w:bookmarkEnd w:id="2162"/>
      <w:r>
        <w:rPr/>
        <w:t>because</w:t>
      </w:r>
      <w:r>
        <w:rPr>
          <w:spacing w:val="13"/>
        </w:rPr>
        <w:t> </w:t>
      </w:r>
      <w:r>
        <w:rPr/>
        <w:t>the</w:t>
      </w:r>
      <w:r>
        <w:rPr>
          <w:spacing w:val="13"/>
        </w:rPr>
        <w:t> </w:t>
      </w:r>
      <w:r>
        <w:rPr/>
        <w:t>claimant</w:t>
      </w:r>
      <w:r>
        <w:rPr>
          <w:spacing w:val="13"/>
        </w:rPr>
        <w:t> </w:t>
      </w:r>
      <w:r>
        <w:rPr/>
        <w:t>would</w:t>
      </w:r>
      <w:r>
        <w:rPr>
          <w:spacing w:val="13"/>
        </w:rPr>
        <w:t> </w:t>
      </w:r>
      <w:r>
        <w:rPr/>
        <w:t>have</w:t>
      </w:r>
      <w:r>
        <w:rPr>
          <w:spacing w:val="13"/>
        </w:rPr>
        <w:t> </w:t>
      </w:r>
      <w:r>
        <w:rPr/>
        <w:t>to</w:t>
      </w:r>
      <w:r>
        <w:rPr>
          <w:spacing w:val="13"/>
        </w:rPr>
        <w:t> </w:t>
      </w:r>
      <w:r>
        <w:rPr/>
        <w:t>incur</w:t>
      </w:r>
      <w:r>
        <w:rPr>
          <w:spacing w:val="13"/>
        </w:rPr>
        <w:t> </w:t>
      </w:r>
      <w:r>
        <w:rPr/>
        <w:t>time</w:t>
      </w:r>
      <w:r>
        <w:rPr>
          <w:spacing w:val="13"/>
        </w:rPr>
        <w:t> </w:t>
      </w:r>
      <w:r>
        <w:rPr/>
        <w:t>and</w:t>
      </w:r>
      <w:r>
        <w:rPr>
          <w:spacing w:val="13"/>
        </w:rPr>
        <w:t> </w:t>
      </w:r>
      <w:r>
        <w:rPr/>
        <w:t>expense</w:t>
      </w:r>
      <w:r>
        <w:rPr>
          <w:spacing w:val="13"/>
        </w:rPr>
        <w:t> </w:t>
      </w:r>
      <w:r>
        <w:rPr/>
        <w:t>in</w:t>
      </w:r>
      <w:r>
        <w:rPr>
          <w:spacing w:val="13"/>
        </w:rPr>
        <w:t> </w:t>
      </w:r>
      <w:r>
        <w:rPr/>
        <w:t>arranging</w:t>
      </w:r>
      <w:r>
        <w:rPr>
          <w:spacing w:val="13"/>
        </w:rPr>
        <w:t> </w:t>
      </w:r>
      <w:r>
        <w:rPr/>
        <w:t>a</w:t>
      </w:r>
      <w:r>
        <w:rPr>
          <w:spacing w:val="13"/>
        </w:rPr>
        <w:t> </w:t>
      </w:r>
      <w:r>
        <w:rPr/>
        <w:t>substitute</w:t>
      </w:r>
      <w:r>
        <w:rPr>
          <w:spacing w:val="13"/>
        </w:rPr>
        <w:t> </w:t>
      </w:r>
      <w:r>
        <w:rPr/>
        <w:t>transaction,</w:t>
      </w:r>
      <w:r>
        <w:rPr>
          <w:spacing w:val="13"/>
        </w:rPr>
        <w:t> </w:t>
      </w:r>
      <w:r>
        <w:rPr>
          <w:spacing w:val="-5"/>
        </w:rPr>
        <w:t>or</w:t>
      </w:r>
    </w:p>
    <w:p>
      <w:pPr>
        <w:pStyle w:val="BodyText"/>
        <w:spacing w:line="235" w:lineRule="auto" w:before="119"/>
        <w:ind w:left="165" w:right="167"/>
        <w:jc w:val="both"/>
      </w:pPr>
      <w:r>
        <w:rPr/>
        <w:t>simply</w:t>
      </w:r>
      <w:r>
        <w:rPr>
          <w:spacing w:val="-1"/>
        </w:rPr>
        <w:t> </w:t>
      </w:r>
      <w:r>
        <w:rPr/>
        <w:t>would</w:t>
      </w:r>
      <w:r>
        <w:rPr>
          <w:spacing w:val="-1"/>
        </w:rPr>
        <w:t> </w:t>
      </w:r>
      <w:r>
        <w:rPr/>
        <w:t>prefer</w:t>
      </w:r>
      <w:r>
        <w:rPr>
          <w:spacing w:val="-1"/>
        </w:rPr>
        <w:t> </w:t>
      </w:r>
      <w:r>
        <w:rPr/>
        <w:t>performance</w:t>
      </w:r>
      <w:r>
        <w:rPr>
          <w:spacing w:val="-1"/>
        </w:rPr>
        <w:t> </w:t>
      </w:r>
      <w:r>
        <w:rPr/>
        <w:t>to</w:t>
      </w:r>
      <w:r>
        <w:rPr>
          <w:spacing w:val="-1"/>
        </w:rPr>
        <w:t> </w:t>
      </w:r>
      <w:r>
        <w:rPr/>
        <w:t>claiming</w:t>
      </w:r>
      <w:r>
        <w:rPr>
          <w:spacing w:val="-1"/>
        </w:rPr>
        <w:t> </w:t>
      </w:r>
      <w:r>
        <w:rPr/>
        <w:t>damages</w:t>
      </w:r>
      <w:r>
        <w:rPr>
          <w:spacing w:val="-1"/>
        </w:rPr>
        <w:t> </w:t>
      </w:r>
      <w:hyperlink w:history="true" w:anchor="_bookmark2271">
        <w:r>
          <w:rPr>
            <w:color w:val="005DA1"/>
            <w:u w:val="single" w:color="005DA1"/>
            <w:vertAlign w:val="superscript"/>
          </w:rPr>
          <w:t>1185</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768" name="Image 768"/>
              <wp:cNvGraphicFramePr>
                <a:graphicFrameLocks/>
              </wp:cNvGraphicFramePr>
              <a:graphic>
                <a:graphicData uri="http://schemas.openxmlformats.org/drawingml/2006/picture">
                  <pic:pic>
                    <pic:nvPicPr>
                      <pic:cNvPr id="768" name="Image 7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w:t>
        </w:r>
        <w:r>
          <w:rPr>
            <w:spacing w:val="-1"/>
            <w:vertAlign w:val="baseline"/>
          </w:rPr>
          <w:t> </w:t>
        </w:r>
        <w:r>
          <w:rPr>
            <w:vertAlign w:val="baseline"/>
          </w:rPr>
          <w:t>nor</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hopes</w:t>
        </w:r>
        <w:r>
          <w:rPr>
            <w:spacing w:val="-1"/>
            <w:vertAlign w:val="baseline"/>
          </w:rPr>
          <w:t> </w:t>
        </w:r>
        <w:r>
          <w:rPr>
            <w:vertAlign w:val="baseline"/>
          </w:rPr>
          <w:t>to</w:t>
        </w:r>
        <w:r>
          <w:rPr>
            <w:spacing w:val="-1"/>
            <w:vertAlign w:val="baseline"/>
          </w:rPr>
          <w:t> </w:t>
        </w:r>
        <w:r>
          <w:rPr>
            <w:vertAlign w:val="baseline"/>
          </w:rPr>
          <w:t>secure</w:t>
        </w:r>
        <w:r>
          <w:rPr>
            <w:spacing w:val="-1"/>
            <w:vertAlign w:val="baseline"/>
          </w:rPr>
          <w:t> </w:t>
        </w:r>
        <w:r>
          <w:rPr>
            <w:vertAlign w:val="baseline"/>
          </w:rPr>
          <w:t>a</w:t>
        </w:r>
        <w:r>
          <w:rPr>
            <w:spacing w:val="-1"/>
            <w:vertAlign w:val="baseline"/>
          </w:rPr>
          <w:t> </w:t>
        </w:r>
        <w:r>
          <w:rPr>
            <w:vertAlign w:val="baseline"/>
          </w:rPr>
          <w:t>large </w:t>
        </w:r>
        <w:bookmarkStart w:name="_bookmark2161" w:id="2163"/>
        <w:bookmarkEnd w:id="2163"/>
        <w:r>
          <w:rPr>
            <w:vertAlign w:val="baseline"/>
          </w:rPr>
          <w:t>share</w:t>
        </w:r>
        <w:r>
          <w:rPr>
            <w:spacing w:val="24"/>
            <w:vertAlign w:val="baseline"/>
          </w:rPr>
          <w:t> </w:t>
        </w:r>
        <w:r>
          <w:rPr>
            <w:vertAlign w:val="baseline"/>
          </w:rPr>
          <w:t>of</w:t>
        </w:r>
        <w:r>
          <w:rPr>
            <w:spacing w:val="24"/>
            <w:vertAlign w:val="baseline"/>
          </w:rPr>
          <w:t> </w:t>
        </w:r>
        <w:r>
          <w:rPr>
            <w:vertAlign w:val="baseline"/>
          </w:rPr>
          <w:t>any</w:t>
        </w:r>
        <w:r>
          <w:rPr>
            <w:spacing w:val="24"/>
            <w:vertAlign w:val="baseline"/>
          </w:rPr>
          <w:t> </w:t>
        </w:r>
        <w:r>
          <w:rPr>
            <w:vertAlign w:val="baseline"/>
          </w:rPr>
          <w:t>profit</w:t>
        </w:r>
        <w:r>
          <w:rPr>
            <w:spacing w:val="24"/>
            <w:vertAlign w:val="baseline"/>
          </w:rPr>
          <w:t> </w:t>
        </w:r>
        <w:r>
          <w:rPr>
            <w:vertAlign w:val="baseline"/>
          </w:rPr>
          <w:t>the</w:t>
        </w:r>
        <w:r>
          <w:rPr>
            <w:spacing w:val="24"/>
            <w:vertAlign w:val="baseline"/>
          </w:rPr>
          <w:t> </w:t>
        </w:r>
        <w:r>
          <w:rPr>
            <w:vertAlign w:val="baseline"/>
          </w:rPr>
          <w:t>defendant</w:t>
        </w:r>
        <w:r>
          <w:rPr>
            <w:spacing w:val="24"/>
            <w:vertAlign w:val="baseline"/>
          </w:rPr>
          <w:t> </w:t>
        </w:r>
        <w:r>
          <w:rPr>
            <w:vertAlign w:val="baseline"/>
          </w:rPr>
          <w:t>might</w:t>
        </w:r>
        <w:r>
          <w:rPr>
            <w:spacing w:val="24"/>
            <w:vertAlign w:val="baseline"/>
          </w:rPr>
          <w:t> </w:t>
        </w:r>
        <w:r>
          <w:rPr>
            <w:vertAlign w:val="baseline"/>
          </w:rPr>
          <w:t>make</w:t>
        </w:r>
        <w:r>
          <w:rPr>
            <w:spacing w:val="24"/>
            <w:vertAlign w:val="baseline"/>
          </w:rPr>
          <w:t> </w:t>
        </w:r>
        <w:r>
          <w:rPr>
            <w:vertAlign w:val="baseline"/>
          </w:rPr>
          <w:t>through</w:t>
        </w:r>
        <w:r>
          <w:rPr>
            <w:spacing w:val="24"/>
            <w:vertAlign w:val="baseline"/>
          </w:rPr>
          <w:t> </w:t>
        </w:r>
        <w:r>
          <w:rPr>
            <w:vertAlign w:val="baseline"/>
          </w:rPr>
          <w:t>breaking</w:t>
        </w:r>
        <w:r>
          <w:rPr>
            <w:spacing w:val="24"/>
            <w:vertAlign w:val="baseline"/>
          </w:rPr>
          <w:t> </w:t>
        </w:r>
        <w:r>
          <w:rPr>
            <w:vertAlign w:val="baseline"/>
          </w:rPr>
          <w:t>the</w:t>
        </w:r>
        <w:r>
          <w:rPr>
            <w:spacing w:val="24"/>
            <w:vertAlign w:val="baseline"/>
          </w:rPr>
          <w:t> </w:t>
        </w:r>
        <w:r>
          <w:rPr>
            <w:vertAlign w:val="baseline"/>
          </w:rPr>
          <w:t>contract,</w:t>
        </w:r>
        <w:r>
          <w:rPr>
            <w:spacing w:val="24"/>
            <w:vertAlign w:val="baseline"/>
          </w:rPr>
          <w:t> </w:t>
        </w:r>
        <w:r>
          <w:rPr>
            <w:vertAlign w:val="baseline"/>
          </w:rPr>
          <w:t>when</w:t>
        </w:r>
        <w:r>
          <w:rPr>
            <w:spacing w:val="24"/>
            <w:vertAlign w:val="baseline"/>
          </w:rPr>
          <w:t> </w:t>
        </w:r>
        <w:r>
          <w:rPr>
            <w:vertAlign w:val="baseline"/>
          </w:rPr>
          <w:t>damages</w:t>
        </w:r>
        <w:r>
          <w:rPr>
            <w:spacing w:val="24"/>
            <w:vertAlign w:val="baseline"/>
          </w:rPr>
          <w:t> </w:t>
        </w:r>
        <w:r>
          <w:rPr>
            <w:spacing w:val="-2"/>
            <w:vertAlign w:val="baseline"/>
          </w:rPr>
          <w:t>would</w:t>
        </w:r>
      </w:hyperlink>
    </w:p>
    <w:p>
      <w:pPr>
        <w:pStyle w:val="BodyText"/>
        <w:spacing w:before="116"/>
        <w:ind w:left="165"/>
        <w:jc w:val="both"/>
        <w:rPr>
          <w:position w:val="-2"/>
        </w:rPr>
      </w:pPr>
      <w:r>
        <w:rPr/>
        <w:t>otherwise be an adequate remedy. </w:t>
      </w:r>
      <w:hyperlink w:history="true" w:anchor="_bookmark2272">
        <w:r>
          <w:rPr>
            <w:color w:val="005DA1"/>
            <w:u w:val="single" w:color="005DA1"/>
            <w:vertAlign w:val="superscript"/>
          </w:rPr>
          <w:t>1186</w:t>
        </w:r>
        <w:r>
          <w:rPr>
            <w:color w:val="005DA1"/>
            <w:spacing w:val="80"/>
            <w:w w:val="150"/>
            <w:vertAlign w:val="baseline"/>
          </w:rPr>
          <w:t> </w:t>
        </w:r>
        <w:r>
          <w:rPr>
            <w:color w:val="005DA1"/>
            <w:position w:val="-2"/>
            <w:vertAlign w:val="baseline"/>
          </w:rPr>
          <w:drawing>
            <wp:inline distT="0" distB="0" distL="0" distR="0">
              <wp:extent cx="107988" cy="107988"/>
              <wp:effectExtent l="0" t="0" r="0" b="0"/>
              <wp:docPr id="769" name="Image 769"/>
              <wp:cNvGraphicFramePr>
                <a:graphicFrameLocks/>
              </wp:cNvGraphicFramePr>
              <a:graphic>
                <a:graphicData uri="http://schemas.openxmlformats.org/drawingml/2006/picture">
                  <pic:pic>
                    <pic:nvPicPr>
                      <pic:cNvPr id="769" name="Image 7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hAnsi="Arial"/>
          <w:b/>
          <w:sz w:val="18"/>
        </w:rPr>
      </w:pPr>
      <w:r>
        <w:rPr>
          <w:rFonts w:ascii="Arial" w:hAnsi="Arial"/>
          <w:b/>
          <w:sz w:val="18"/>
        </w:rPr>
        <w:t>“Not extravagant or </w:t>
      </w:r>
      <w:r>
        <w:rPr>
          <w:rFonts w:ascii="Arial" w:hAnsi="Arial"/>
          <w:b/>
          <w:spacing w:val="-2"/>
          <w:sz w:val="18"/>
        </w:rPr>
        <w:t>unconscionable”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70" name="Image 770"/>
            <wp:cNvGraphicFramePr>
              <a:graphicFrameLocks/>
            </wp:cNvGraphicFramePr>
            <a:graphic>
              <a:graphicData uri="http://schemas.openxmlformats.org/drawingml/2006/picture">
                <pic:pic>
                  <pic:nvPicPr>
                    <pic:cNvPr id="770" name="Image 7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Even if the claimant can show that it has a legitimate interest in obtaining actual </w:t>
      </w:r>
      <w:r>
        <w:rPr/>
        <w:t>performance instead of damages in lieu of performance, an agreed damages clause or other clause that is within </w:t>
      </w:r>
      <w:bookmarkStart w:name="_bookmark2162" w:id="2164"/>
      <w:bookmarkEnd w:id="2164"/>
      <w:r>
        <w:rPr/>
        <w:t>the</w:t>
      </w:r>
      <w:r>
        <w:rPr>
          <w:spacing w:val="43"/>
        </w:rPr>
        <w:t> </w:t>
      </w:r>
      <w:r>
        <w:rPr/>
        <w:t>penalty</w:t>
      </w:r>
      <w:r>
        <w:rPr>
          <w:spacing w:val="43"/>
        </w:rPr>
        <w:t> </w:t>
      </w:r>
      <w:r>
        <w:rPr/>
        <w:t>clause</w:t>
      </w:r>
      <w:r>
        <w:rPr>
          <w:spacing w:val="43"/>
        </w:rPr>
        <w:t> </w:t>
      </w:r>
      <w:r>
        <w:rPr/>
        <w:t>rules</w:t>
      </w:r>
      <w:r>
        <w:rPr>
          <w:spacing w:val="43"/>
        </w:rPr>
        <w:t> </w:t>
      </w:r>
      <w:r>
        <w:rPr/>
        <w:t>will</w:t>
      </w:r>
      <w:r>
        <w:rPr>
          <w:spacing w:val="43"/>
        </w:rPr>
        <w:t> </w:t>
      </w:r>
      <w:r>
        <w:rPr/>
        <w:t>not</w:t>
      </w:r>
      <w:r>
        <w:rPr>
          <w:spacing w:val="43"/>
        </w:rPr>
        <w:t> </w:t>
      </w:r>
      <w:r>
        <w:rPr/>
        <w:t>be</w:t>
      </w:r>
      <w:r>
        <w:rPr>
          <w:spacing w:val="43"/>
        </w:rPr>
        <w:t> </w:t>
      </w:r>
      <w:r>
        <w:rPr/>
        <w:t>valid</w:t>
      </w:r>
      <w:r>
        <w:rPr>
          <w:spacing w:val="43"/>
        </w:rPr>
        <w:t> </w:t>
      </w:r>
      <w:r>
        <w:rPr/>
        <w:t>if</w:t>
      </w:r>
      <w:r>
        <w:rPr>
          <w:spacing w:val="43"/>
        </w:rPr>
        <w:t> </w:t>
      </w:r>
      <w:r>
        <w:rPr/>
        <w:t>it</w:t>
      </w:r>
      <w:r>
        <w:rPr>
          <w:spacing w:val="43"/>
        </w:rPr>
        <w:t> </w:t>
      </w:r>
      <w:r>
        <w:rPr/>
        <w:t>is</w:t>
      </w:r>
      <w:r>
        <w:rPr>
          <w:spacing w:val="43"/>
        </w:rPr>
        <w:t> </w:t>
      </w:r>
      <w:r>
        <w:rPr/>
        <w:t>extravagant</w:t>
      </w:r>
      <w:r>
        <w:rPr>
          <w:spacing w:val="43"/>
        </w:rPr>
        <w:t> </w:t>
      </w:r>
      <w:r>
        <w:rPr/>
        <w:t>or</w:t>
      </w:r>
      <w:r>
        <w:rPr>
          <w:spacing w:val="43"/>
        </w:rPr>
        <w:t> </w:t>
      </w:r>
      <w:r>
        <w:rPr/>
        <w:t>unconscionable</w:t>
      </w:r>
      <w:r>
        <w:rPr>
          <w:spacing w:val="43"/>
        </w:rPr>
        <w:t> </w:t>
      </w:r>
      <w:r>
        <w:rPr/>
        <w:t>compared</w:t>
      </w:r>
      <w:r>
        <w:rPr>
          <w:spacing w:val="43"/>
        </w:rPr>
        <w:t> </w:t>
      </w:r>
      <w:r>
        <w:rPr/>
        <w:t>to</w:t>
      </w:r>
      <w:r>
        <w:rPr>
          <w:spacing w:val="43"/>
        </w:rPr>
        <w:t> </w:t>
      </w:r>
      <w:r>
        <w:rPr>
          <w:spacing w:val="-5"/>
        </w:rPr>
        <w:t>the</w:t>
      </w:r>
    </w:p>
    <w:p>
      <w:pPr>
        <w:pStyle w:val="BodyText"/>
        <w:spacing w:before="115"/>
        <w:ind w:left="165"/>
        <w:jc w:val="both"/>
      </w:pPr>
      <w:bookmarkStart w:name="_bookmark2163" w:id="2165"/>
      <w:bookmarkEnd w:id="2165"/>
      <w:r>
        <w:rPr/>
      </w:r>
      <w:r>
        <w:rPr/>
        <w:t>legitimate</w:t>
      </w:r>
      <w:r>
        <w:rPr>
          <w:spacing w:val="22"/>
        </w:rPr>
        <w:t> </w:t>
      </w:r>
      <w:r>
        <w:rPr/>
        <w:t>interest.</w:t>
      </w:r>
      <w:r>
        <w:rPr>
          <w:spacing w:val="23"/>
        </w:rPr>
        <w:t> </w:t>
      </w:r>
      <w:r>
        <w:rPr/>
        <w:t>Lord</w:t>
      </w:r>
      <w:r>
        <w:rPr>
          <w:spacing w:val="22"/>
        </w:rPr>
        <w:t> </w:t>
      </w:r>
      <w:r>
        <w:rPr/>
        <w:t>Mance’s</w:t>
      </w:r>
      <w:r>
        <w:rPr>
          <w:spacing w:val="23"/>
        </w:rPr>
        <w:t> </w:t>
      </w:r>
      <w:r>
        <w:rPr/>
        <w:t>reference</w:t>
      </w:r>
      <w:r>
        <w:rPr>
          <w:spacing w:val="22"/>
        </w:rPr>
        <w:t> </w:t>
      </w:r>
      <w:r>
        <w:rPr/>
        <w:t>to</w:t>
      </w:r>
      <w:r>
        <w:rPr>
          <w:spacing w:val="23"/>
        </w:rPr>
        <w:t> </w:t>
      </w:r>
      <w:r>
        <w:rPr/>
        <w:t>the</w:t>
      </w:r>
      <w:r>
        <w:rPr>
          <w:spacing w:val="22"/>
        </w:rPr>
        <w:t> </w:t>
      </w:r>
      <w:r>
        <w:rPr/>
        <w:t>sum</w:t>
      </w:r>
      <w:r>
        <w:rPr>
          <w:spacing w:val="23"/>
        </w:rPr>
        <w:t> </w:t>
      </w:r>
      <w:r>
        <w:rPr/>
        <w:t>being</w:t>
      </w:r>
      <w:r>
        <w:rPr>
          <w:spacing w:val="22"/>
        </w:rPr>
        <w:t> </w:t>
      </w:r>
      <w:r>
        <w:rPr/>
        <w:t>“not</w:t>
      </w:r>
      <w:r>
        <w:rPr>
          <w:spacing w:val="23"/>
        </w:rPr>
        <w:t> </w:t>
      </w:r>
      <w:r>
        <w:rPr/>
        <w:t>…</w:t>
      </w:r>
      <w:r>
        <w:rPr>
          <w:spacing w:val="22"/>
        </w:rPr>
        <w:t> </w:t>
      </w:r>
      <w:r>
        <w:rPr/>
        <w:t>incommensurate”</w:t>
      </w:r>
      <w:r>
        <w:rPr>
          <w:spacing w:val="22"/>
        </w:rPr>
        <w:t> </w:t>
      </w:r>
      <w:hyperlink w:history="true" w:anchor="_bookmark2273">
        <w:r>
          <w:rPr>
            <w:color w:val="005DA1"/>
            <w:u w:val="single" w:color="005DA1"/>
            <w:vertAlign w:val="superscript"/>
          </w:rPr>
          <w:t>1187</w:t>
        </w:r>
        <w:r>
          <w:rPr>
            <w:color w:val="005DA1"/>
            <w:spacing w:val="62"/>
            <w:vertAlign w:val="baseline"/>
          </w:rPr>
          <w:t>  </w:t>
        </w:r>
        <w:r>
          <w:rPr>
            <w:color w:val="005DA1"/>
            <w:spacing w:val="18"/>
            <w:position w:val="-2"/>
            <w:vertAlign w:val="baseline"/>
          </w:rPr>
          <w:drawing>
            <wp:inline distT="0" distB="0" distL="0" distR="0">
              <wp:extent cx="107988" cy="107988"/>
              <wp:effectExtent l="0" t="0" r="0" b="0"/>
              <wp:docPr id="771" name="Image 771"/>
              <wp:cNvGraphicFramePr>
                <a:graphicFrameLocks/>
              </wp:cNvGraphicFramePr>
              <a:graphic>
                <a:graphicData uri="http://schemas.openxmlformats.org/drawingml/2006/picture">
                  <pic:pic>
                    <pic:nvPicPr>
                      <pic:cNvPr id="771" name="Image 7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1"/>
            <w:vertAlign w:val="baseline"/>
          </w:rPr>
          <w:t> </w:t>
        </w:r>
        <w:r>
          <w:rPr>
            <w:spacing w:val="-5"/>
            <w:vertAlign w:val="baseline"/>
          </w:rPr>
          <w:t>and</w:t>
        </w:r>
      </w:hyperlink>
    </w:p>
    <w:p>
      <w:pPr>
        <w:pStyle w:val="BodyText"/>
        <w:spacing w:line="235" w:lineRule="auto" w:before="119"/>
        <w:ind w:left="165" w:right="168"/>
        <w:jc w:val="both"/>
      </w:pPr>
      <w:r>
        <w:rPr/>
        <w:t>Lord Hodge’s to whether it is “wholly disproportionate” </w:t>
      </w:r>
      <w:hyperlink w:history="true" w:anchor="_bookmark2274">
        <w:r>
          <w:rPr>
            <w:color w:val="005DA1"/>
            <w:u w:val="single" w:color="005DA1"/>
            <w:vertAlign w:val="superscript"/>
          </w:rPr>
          <w:t>1188</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772" name="Image 772"/>
              <wp:cNvGraphicFramePr>
                <a:graphicFrameLocks/>
              </wp:cNvGraphicFramePr>
              <a:graphic>
                <a:graphicData uri="http://schemas.openxmlformats.org/drawingml/2006/picture">
                  <pic:pic>
                    <pic:nvPicPr>
                      <pic:cNvPr id="772" name="Image 7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40"/>
            <w:vertAlign w:val="baseline"/>
          </w:rPr>
          <w:t> </w:t>
        </w:r>
        <w:r>
          <w:rPr>
            <w:vertAlign w:val="baseline"/>
          </w:rPr>
          <w:t>to the interest to be protected </w:t>
        </w:r>
        <w:r>
          <w:rPr>
            <w:vertAlign w:val="baseline"/>
          </w:rPr>
          <w:t>are helpful to show what is meant.</w:t>
        </w:r>
      </w:hyperlink>
    </w:p>
    <w:p>
      <w:pPr>
        <w:pStyle w:val="BodyText"/>
      </w:pPr>
    </w:p>
    <w:p>
      <w:pPr>
        <w:pStyle w:val="BodyText"/>
        <w:spacing w:before="37"/>
      </w:pPr>
    </w:p>
    <w:p>
      <w:pPr>
        <w:spacing w:before="1"/>
        <w:ind w:left="165" w:right="0" w:firstLine="0"/>
        <w:jc w:val="left"/>
        <w:rPr>
          <w:rFonts w:ascii="Arial"/>
          <w:b/>
          <w:sz w:val="18"/>
        </w:rPr>
      </w:pPr>
      <w:r>
        <w:rPr>
          <w:rFonts w:ascii="Arial"/>
          <w:b/>
          <w:spacing w:val="-2"/>
          <w:sz w:val="18"/>
        </w:rPr>
        <w:t>Proportionate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212</w:t>
      </w:r>
    </w:p>
    <w:p>
      <w:pPr>
        <w:pStyle w:val="BodyText"/>
        <w:spacing w:before="92"/>
        <w:rPr>
          <w:rFonts w:ascii="Arial"/>
          <w:b/>
        </w:rPr>
      </w:pPr>
    </w:p>
    <w:p>
      <w:pPr>
        <w:pStyle w:val="BodyText"/>
        <w:tabs>
          <w:tab w:pos="535" w:val="left" w:leader="none"/>
        </w:tabs>
        <w:spacing w:line="235" w:lineRule="auto" w:before="1"/>
        <w:ind w:left="165" w:right="167"/>
        <w:jc w:val="both"/>
      </w:pPr>
      <w:r>
        <w:rPr>
          <w:position w:val="-2"/>
        </w:rPr>
        <w:drawing>
          <wp:inline distT="0" distB="0" distL="0" distR="0">
            <wp:extent cx="107988" cy="107988"/>
            <wp:effectExtent l="0" t="0" r="0" b="0"/>
            <wp:docPr id="773" name="Image 773"/>
            <wp:cNvGraphicFramePr>
              <a:graphicFrameLocks/>
            </wp:cNvGraphicFramePr>
            <a:graphic>
              <a:graphicData uri="http://schemas.openxmlformats.org/drawingml/2006/picture">
                <pic:pic>
                  <pic:nvPicPr>
                    <pic:cNvPr id="773" name="Image 7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ab/>
      </w:r>
      <w:r>
        <w:rPr/>
        <w:t>“Not extravagant or unconscionable compared to the legitimate interest”, and </w:t>
      </w:r>
      <w:r>
        <w:rPr/>
        <w:t>“not incommensurate” or “not disproportionate”, appears to mean that a sum agreed to be payable upon </w:t>
      </w:r>
      <w:bookmarkStart w:name="_bookmark2164" w:id="2166"/>
      <w:bookmarkEnd w:id="2166"/>
      <w:r>
        <w:rPr/>
        <w:t>breach</w:t>
      </w:r>
      <w:r>
        <w:rPr>
          <w:spacing w:val="15"/>
        </w:rPr>
        <w:t> </w:t>
      </w:r>
      <w:r>
        <w:rPr/>
        <w:t>must</w:t>
      </w:r>
      <w:r>
        <w:rPr>
          <w:spacing w:val="17"/>
        </w:rPr>
        <w:t> </w:t>
      </w:r>
      <w:r>
        <w:rPr/>
        <w:t>not</w:t>
      </w:r>
      <w:r>
        <w:rPr>
          <w:spacing w:val="17"/>
        </w:rPr>
        <w:t> </w:t>
      </w:r>
      <w:r>
        <w:rPr/>
        <w:t>be</w:t>
      </w:r>
      <w:r>
        <w:rPr>
          <w:spacing w:val="17"/>
        </w:rPr>
        <w:t> </w:t>
      </w:r>
      <w:r>
        <w:rPr/>
        <w:t>substantially</w:t>
      </w:r>
      <w:r>
        <w:rPr>
          <w:spacing w:val="17"/>
        </w:rPr>
        <w:t> </w:t>
      </w:r>
      <w:r>
        <w:rPr/>
        <w:t>more</w:t>
      </w:r>
      <w:r>
        <w:rPr>
          <w:spacing w:val="17"/>
        </w:rPr>
        <w:t> </w:t>
      </w:r>
      <w:r>
        <w:rPr/>
        <w:t>than</w:t>
      </w:r>
      <w:r>
        <w:rPr>
          <w:spacing w:val="17"/>
        </w:rPr>
        <w:t> </w:t>
      </w:r>
      <w:r>
        <w:rPr/>
        <w:t>is</w:t>
      </w:r>
      <w:r>
        <w:rPr>
          <w:spacing w:val="17"/>
        </w:rPr>
        <w:t> </w:t>
      </w:r>
      <w:r>
        <w:rPr/>
        <w:t>required</w:t>
      </w:r>
      <w:r>
        <w:rPr>
          <w:spacing w:val="17"/>
        </w:rPr>
        <w:t> </w:t>
      </w:r>
      <w:r>
        <w:rPr/>
        <w:t>in</w:t>
      </w:r>
      <w:r>
        <w:rPr>
          <w:spacing w:val="17"/>
        </w:rPr>
        <w:t> </w:t>
      </w:r>
      <w:r>
        <w:rPr/>
        <w:t>order</w:t>
      </w:r>
      <w:r>
        <w:rPr>
          <w:spacing w:val="17"/>
        </w:rPr>
        <w:t> </w:t>
      </w:r>
      <w:r>
        <w:rPr/>
        <w:t>to</w:t>
      </w:r>
      <w:r>
        <w:rPr>
          <w:spacing w:val="17"/>
        </w:rPr>
        <w:t> </w:t>
      </w:r>
      <w:r>
        <w:rPr/>
        <w:t>deter</w:t>
      </w:r>
      <w:r>
        <w:rPr>
          <w:spacing w:val="17"/>
        </w:rPr>
        <w:t> </w:t>
      </w:r>
      <w:r>
        <w:rPr/>
        <w:t>the</w:t>
      </w:r>
      <w:r>
        <w:rPr>
          <w:spacing w:val="17"/>
        </w:rPr>
        <w:t> </w:t>
      </w:r>
      <w:r>
        <w:rPr/>
        <w:t>defendant</w:t>
      </w:r>
      <w:r>
        <w:rPr>
          <w:spacing w:val="17"/>
        </w:rPr>
        <w:t> </w:t>
      </w:r>
      <w:r>
        <w:rPr/>
        <w:t>from</w:t>
      </w:r>
      <w:r>
        <w:rPr>
          <w:spacing w:val="17"/>
        </w:rPr>
        <w:t> </w:t>
      </w:r>
      <w:r>
        <w:rPr>
          <w:spacing w:val="-2"/>
        </w:rPr>
        <w:t>breach.</w:t>
      </w:r>
    </w:p>
    <w:p>
      <w:pPr>
        <w:spacing w:before="115"/>
        <w:ind w:left="165" w:right="0" w:firstLine="0"/>
        <w:jc w:val="both"/>
        <w:rPr>
          <w:sz w:val="20"/>
        </w:rPr>
      </w:pPr>
      <w:bookmarkStart w:name="_bookmark2165" w:id="2167"/>
      <w:bookmarkEnd w:id="2167"/>
      <w:r>
        <w:rPr/>
      </w:r>
      <w:r>
        <w:rPr>
          <w:sz w:val="20"/>
        </w:rPr>
        <w:t>How is</w:t>
      </w:r>
      <w:r>
        <w:rPr>
          <w:spacing w:val="1"/>
          <w:sz w:val="20"/>
        </w:rPr>
        <w:t> </w:t>
      </w:r>
      <w:r>
        <w:rPr>
          <w:sz w:val="20"/>
        </w:rPr>
        <w:t>this</w:t>
      </w:r>
      <w:r>
        <w:rPr>
          <w:spacing w:val="1"/>
          <w:sz w:val="20"/>
        </w:rPr>
        <w:t> </w:t>
      </w:r>
      <w:r>
        <w:rPr>
          <w:sz w:val="20"/>
        </w:rPr>
        <w:t>to</w:t>
      </w:r>
      <w:r>
        <w:rPr>
          <w:spacing w:val="1"/>
          <w:sz w:val="20"/>
        </w:rPr>
        <w:t> </w:t>
      </w:r>
      <w:r>
        <w:rPr>
          <w:sz w:val="20"/>
        </w:rPr>
        <w:t>be determined?</w:t>
      </w:r>
      <w:r>
        <w:rPr>
          <w:spacing w:val="1"/>
          <w:sz w:val="20"/>
        </w:rPr>
        <w:t> </w:t>
      </w:r>
      <w:r>
        <w:rPr>
          <w:sz w:val="20"/>
        </w:rPr>
        <w:t>Since</w:t>
      </w:r>
      <w:r>
        <w:rPr>
          <w:spacing w:val="1"/>
          <w:sz w:val="20"/>
        </w:rPr>
        <w:t> </w:t>
      </w:r>
      <w:r>
        <w:rPr>
          <w:sz w:val="20"/>
        </w:rPr>
        <w:t>the</w:t>
      </w:r>
      <w:r>
        <w:rPr>
          <w:spacing w:val="1"/>
          <w:sz w:val="20"/>
        </w:rPr>
        <w:t> </w:t>
      </w:r>
      <w:r>
        <w:rPr>
          <w:sz w:val="20"/>
        </w:rPr>
        <w:t>decision</w:t>
      </w:r>
      <w:r>
        <w:rPr>
          <w:spacing w:val="1"/>
          <w:sz w:val="20"/>
        </w:rPr>
        <w:t> </w:t>
      </w:r>
      <w:r>
        <w:rPr>
          <w:sz w:val="20"/>
        </w:rPr>
        <w:t>in</w:t>
      </w:r>
      <w:r>
        <w:rPr>
          <w:spacing w:val="-1"/>
          <w:sz w:val="20"/>
        </w:rPr>
        <w:t> </w:t>
      </w:r>
      <w:r>
        <w:rPr>
          <w:rFonts w:ascii="Arial"/>
          <w:i/>
          <w:sz w:val="20"/>
        </w:rPr>
        <w:t>ParkingEye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Beavis</w:t>
      </w:r>
      <w:r>
        <w:rPr>
          <w:sz w:val="20"/>
        </w:rPr>
        <w:t>,</w:t>
      </w:r>
      <w:r>
        <w:rPr>
          <w:spacing w:val="1"/>
          <w:sz w:val="20"/>
        </w:rPr>
        <w:t> </w:t>
      </w:r>
      <w:hyperlink w:history="true" w:anchor="_bookmark2275">
        <w:r>
          <w:rPr>
            <w:color w:val="005DA1"/>
            <w:sz w:val="20"/>
            <w:u w:val="single" w:color="005DA1"/>
            <w:vertAlign w:val="superscript"/>
          </w:rPr>
          <w:t>1189</w:t>
        </w:r>
        <w:r>
          <w:rPr>
            <w:color w:val="005DA1"/>
            <w:spacing w:val="29"/>
            <w:sz w:val="20"/>
            <w:vertAlign w:val="baseline"/>
          </w:rPr>
          <w:t>  </w:t>
        </w:r>
        <w:r>
          <w:rPr>
            <w:color w:val="005DA1"/>
            <w:spacing w:val="7"/>
            <w:position w:val="-2"/>
            <w:sz w:val="20"/>
            <w:vertAlign w:val="baseline"/>
          </w:rPr>
          <w:drawing>
            <wp:inline distT="0" distB="0" distL="0" distR="0">
              <wp:extent cx="107988" cy="107988"/>
              <wp:effectExtent l="0" t="0" r="0" b="0"/>
              <wp:docPr id="774" name="Image 774"/>
              <wp:cNvGraphicFramePr>
                <a:graphicFrameLocks/>
              </wp:cNvGraphicFramePr>
              <a:graphic>
                <a:graphicData uri="http://schemas.openxmlformats.org/drawingml/2006/picture">
                  <pic:pic>
                    <pic:nvPicPr>
                      <pic:cNvPr id="774" name="Image 7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sz w:val="20"/>
            <w:vertAlign w:val="baseline"/>
          </w:rPr>
        </w:r>
        <w:r>
          <w:rPr>
            <w:rFonts w:ascii="Times New Roman"/>
            <w:color w:val="005DA1"/>
            <w:sz w:val="20"/>
            <w:vertAlign w:val="baseline"/>
          </w:rPr>
          <w:t> </w:t>
        </w:r>
        <w:r>
          <w:rPr>
            <w:sz w:val="20"/>
            <w:vertAlign w:val="baseline"/>
          </w:rPr>
          <w:t>there</w:t>
        </w:r>
        <w:r>
          <w:rPr>
            <w:spacing w:val="1"/>
            <w:sz w:val="20"/>
            <w:vertAlign w:val="baseline"/>
          </w:rPr>
          <w:t> </w:t>
        </w:r>
        <w:r>
          <w:rPr>
            <w:sz w:val="20"/>
            <w:vertAlign w:val="baseline"/>
          </w:rPr>
          <w:t>have</w:t>
        </w:r>
        <w:r>
          <w:rPr>
            <w:spacing w:val="1"/>
            <w:sz w:val="20"/>
            <w:vertAlign w:val="baseline"/>
          </w:rPr>
          <w:t> </w:t>
        </w:r>
        <w:r>
          <w:rPr>
            <w:spacing w:val="-4"/>
            <w:sz w:val="20"/>
            <w:vertAlign w:val="baseline"/>
          </w:rPr>
          <w:t>been</w:t>
        </w:r>
      </w:hyperlink>
    </w:p>
    <w:p>
      <w:pPr>
        <w:pStyle w:val="BodyText"/>
        <w:spacing w:line="235" w:lineRule="auto" w:before="118"/>
        <w:ind w:left="164" w:right="167"/>
        <w:jc w:val="both"/>
      </w:pPr>
      <w:r>
        <w:rPr/>
        <w:t>anecdotal reports </w:t>
      </w:r>
      <w:hyperlink w:history="true" w:anchor="_bookmark2276">
        <w:r>
          <w:rPr>
            <w:color w:val="005DA1"/>
            <w:u w:val="single" w:color="005DA1"/>
            <w:vertAlign w:val="superscript"/>
          </w:rPr>
          <w:t>1190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75" name="Image 775"/>
              <wp:cNvGraphicFramePr>
                <a:graphicFrameLocks/>
              </wp:cNvGraphicFramePr>
              <a:graphic>
                <a:graphicData uri="http://schemas.openxmlformats.org/drawingml/2006/picture">
                  <pic:pic>
                    <pic:nvPicPr>
                      <pic:cNvPr id="775" name="Image 7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of parking companies charging motorists who overstay the period of </w:t>
        </w:r>
        <w:r>
          <w:rPr>
            <w:vertAlign w:val="baseline"/>
          </w:rPr>
          <w:t>“free parking”</w:t>
        </w:r>
        <w:r>
          <w:rPr>
            <w:spacing w:val="-2"/>
            <w:vertAlign w:val="baseline"/>
          </w:rPr>
          <w:t> </w:t>
        </w:r>
        <w:r>
          <w:rPr>
            <w:vertAlign w:val="baseline"/>
          </w:rPr>
          <w:t>as</w:t>
        </w:r>
        <w:r>
          <w:rPr>
            <w:spacing w:val="-2"/>
            <w:vertAlign w:val="baseline"/>
          </w:rPr>
          <w:t> </w:t>
        </w:r>
        <w:r>
          <w:rPr>
            <w:vertAlign w:val="baseline"/>
          </w:rPr>
          <w:t>much</w:t>
        </w:r>
        <w:r>
          <w:rPr>
            <w:spacing w:val="-2"/>
            <w:vertAlign w:val="baseline"/>
          </w:rPr>
          <w:t> </w:t>
        </w:r>
        <w:r>
          <w:rPr>
            <w:vertAlign w:val="baseline"/>
          </w:rPr>
          <w:t>as</w:t>
        </w:r>
        <w:r>
          <w:rPr>
            <w:spacing w:val="-2"/>
            <w:vertAlign w:val="baseline"/>
          </w:rPr>
          <w:t> </w:t>
        </w:r>
        <w:r>
          <w:rPr>
            <w:vertAlign w:val="baseline"/>
          </w:rPr>
          <w:t>£300.</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unconscionable</w:t>
        </w:r>
        <w:r>
          <w:rPr>
            <w:spacing w:val="-2"/>
            <w:vertAlign w:val="baseline"/>
          </w:rPr>
          <w:t> </w:t>
        </w:r>
        <w:r>
          <w:rPr>
            <w:vertAlign w:val="baseline"/>
          </w:rPr>
          <w:t>or</w:t>
        </w:r>
        <w:r>
          <w:rPr>
            <w:spacing w:val="-2"/>
            <w:vertAlign w:val="baseline"/>
          </w:rPr>
          <w:t> </w:t>
        </w:r>
        <w:r>
          <w:rPr>
            <w:vertAlign w:val="baseline"/>
          </w:rPr>
          <w:t>disproportionate?</w:t>
        </w:r>
        <w:r>
          <w:rPr>
            <w:spacing w:val="-2"/>
            <w:vertAlign w:val="baseline"/>
          </w:rPr>
          <w:t> </w:t>
        </w:r>
        <w:r>
          <w:rPr>
            <w:vertAlign w:val="baseline"/>
          </w:rPr>
          <w:t>It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seem</w:t>
        </w:r>
        <w:r>
          <w:rPr>
            <w:spacing w:val="-2"/>
            <w:vertAlign w:val="baseline"/>
          </w:rPr>
          <w:t> </w:t>
        </w:r>
        <w:r>
          <w:rPr>
            <w:vertAlign w:val="baseline"/>
          </w:rPr>
          <w:t>to</w:t>
        </w:r>
        <w:r>
          <w:rPr>
            <w:spacing w:val="-2"/>
            <w:vertAlign w:val="baseline"/>
          </w:rPr>
          <w:t> </w:t>
        </w:r>
        <w:r>
          <w:rPr>
            <w:vertAlign w:val="baseline"/>
          </w:rPr>
          <w:t>matter</w:t>
        </w:r>
        <w:r>
          <w:rPr>
            <w:spacing w:val="-2"/>
            <w:vertAlign w:val="baseline"/>
          </w:rPr>
          <w:t> </w:t>
        </w:r>
        <w:r>
          <w:rPr>
            <w:vertAlign w:val="baseline"/>
          </w:rPr>
          <w:t>that the loss may vary from breach to breach. Though there is no necessary connection between deterrence and the amount of the loss caused by a breach, a motorist who overstays by ten minutes presumably causes less loss to the landowner and less inconvenience to the public, and is therefore less of a threat to the claimant’s “legitimate interests” than one who overstays by six hours, but there </w:t>
        </w:r>
        <w:bookmarkStart w:name="_bookmark2166" w:id="2168"/>
        <w:bookmarkEnd w:id="2168"/>
        <w:r>
          <w:rPr>
            <w:vertAlign w:val="baseline"/>
          </w:rPr>
          <w:t>is</w:t>
        </w:r>
        <w:r>
          <w:rPr>
            <w:spacing w:val="6"/>
            <w:vertAlign w:val="baseline"/>
          </w:rPr>
          <w:t> </w:t>
        </w:r>
        <w:r>
          <w:rPr>
            <w:vertAlign w:val="baseline"/>
          </w:rPr>
          <w:t>no</w:t>
        </w:r>
        <w:r>
          <w:rPr>
            <w:spacing w:val="6"/>
            <w:vertAlign w:val="baseline"/>
          </w:rPr>
          <w:t> </w:t>
        </w:r>
        <w:r>
          <w:rPr>
            <w:vertAlign w:val="baseline"/>
          </w:rPr>
          <w:t>suggestion</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case</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agreed</w:t>
        </w:r>
        <w:r>
          <w:rPr>
            <w:spacing w:val="6"/>
            <w:vertAlign w:val="baseline"/>
          </w:rPr>
          <w:t> </w:t>
        </w:r>
        <w:r>
          <w:rPr>
            <w:vertAlign w:val="baseline"/>
          </w:rPr>
          <w:t>sum</w:t>
        </w:r>
        <w:r>
          <w:rPr>
            <w:spacing w:val="6"/>
            <w:vertAlign w:val="baseline"/>
          </w:rPr>
          <w:t> </w:t>
        </w:r>
        <w:r>
          <w:rPr>
            <w:vertAlign w:val="baseline"/>
          </w:rPr>
          <w:t>needs</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gradated</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length</w:t>
        </w:r>
        <w:r>
          <w:rPr>
            <w:spacing w:val="6"/>
            <w:vertAlign w:val="baseline"/>
          </w:rPr>
          <w:t> </w:t>
        </w:r>
        <w:r>
          <w:rPr>
            <w:vertAlign w:val="baseline"/>
          </w:rPr>
          <w:t>of</w:t>
        </w:r>
        <w:r>
          <w:rPr>
            <w:spacing w:val="6"/>
            <w:vertAlign w:val="baseline"/>
          </w:rPr>
          <w:t> </w:t>
        </w:r>
        <w:r>
          <w:rPr>
            <w:spacing w:val="-5"/>
            <w:vertAlign w:val="baseline"/>
          </w:rPr>
          <w:t>the</w:t>
        </w:r>
      </w:hyperlink>
    </w:p>
    <w:p>
      <w:pPr>
        <w:pStyle w:val="BodyText"/>
        <w:spacing w:line="235" w:lineRule="auto" w:before="118"/>
        <w:ind w:left="165" w:right="167"/>
        <w:jc w:val="both"/>
      </w:pPr>
      <w:r>
        <w:rPr/>
        <w:t>overstay in order to avoid being classed as a penalty. </w:t>
      </w:r>
      <w:hyperlink w:history="true" w:anchor="_bookmark2277">
        <w:r>
          <w:rPr>
            <w:color w:val="005DA1"/>
            <w:u w:val="single" w:color="005DA1"/>
            <w:vertAlign w:val="superscript"/>
          </w:rPr>
          <w:t>1191</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776" name="Image 776"/>
              <wp:cNvGraphicFramePr>
                <a:graphicFrameLocks/>
              </wp:cNvGraphicFramePr>
              <a:graphic>
                <a:graphicData uri="http://schemas.openxmlformats.org/drawingml/2006/picture">
                  <pic:pic>
                    <pic:nvPicPr>
                      <pic:cNvPr id="776" name="Image 7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Some motorists will be more </w:t>
        </w:r>
        <w:r>
          <w:rPr>
            <w:vertAlign w:val="baseline"/>
          </w:rPr>
          <w:t>attentive than others to notices setting out charges for overstaying and other breaches of the rules, and some will be deterred more readily than others. Will a charge remain “proportionate” unless it is higher than is needed to make even the most inattentive motorist sufficiently aware of the charges to “stop and think” and to deter even the most thoughtless or perverse? This was not discussed in the </w:t>
        </w:r>
        <w:r>
          <w:rPr>
            <w:rFonts w:ascii="Arial" w:hAnsi="Arial"/>
            <w:i/>
            <w:vertAlign w:val="baseline"/>
          </w:rPr>
          <w:t>ParkingEye </w:t>
        </w:r>
        <w:r>
          <w:rPr>
            <w:vertAlign w:val="baseline"/>
          </w:rPr>
          <w:t>case. Rather, there were references to proportionality in another sense, their Lordships pointing out </w:t>
        </w:r>
        <w:bookmarkStart w:name="_bookmark2167" w:id="2169"/>
        <w:bookmarkEnd w:id="2169"/>
        <w:r>
          <w:rPr>
            <w:vertAlign w:val="baseline"/>
          </w:rPr>
          <w:t>that</w:t>
        </w:r>
        <w:r>
          <w:rPr>
            <w:spacing w:val="2"/>
            <w:vertAlign w:val="baseline"/>
          </w:rPr>
          <w:t> </w:t>
        </w:r>
        <w:r>
          <w:rPr>
            <w:vertAlign w:val="baseline"/>
          </w:rPr>
          <w:t>the</w:t>
        </w:r>
        <w:r>
          <w:rPr>
            <w:spacing w:val="2"/>
            <w:vertAlign w:val="baseline"/>
          </w:rPr>
          <w:t> </w:t>
        </w:r>
        <w:r>
          <w:rPr>
            <w:vertAlign w:val="baseline"/>
          </w:rPr>
          <w:t>£85</w:t>
        </w:r>
        <w:r>
          <w:rPr>
            <w:spacing w:val="2"/>
            <w:vertAlign w:val="baseline"/>
          </w:rPr>
          <w:t> </w:t>
        </w:r>
        <w:r>
          <w:rPr>
            <w:vertAlign w:val="baseline"/>
          </w:rPr>
          <w:t>charge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much</w:t>
        </w:r>
        <w:r>
          <w:rPr>
            <w:spacing w:val="2"/>
            <w:vertAlign w:val="baseline"/>
          </w:rPr>
          <w:t> </w:t>
        </w:r>
        <w:r>
          <w:rPr>
            <w:vertAlign w:val="baseline"/>
          </w:rPr>
          <w:t>greater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fine</w:t>
        </w:r>
        <w:r>
          <w:rPr>
            <w:spacing w:val="2"/>
            <w:vertAlign w:val="baseline"/>
          </w:rPr>
          <w:t> </w:t>
        </w:r>
        <w:r>
          <w:rPr>
            <w:vertAlign w:val="baseline"/>
          </w:rPr>
          <w:t>for</w:t>
        </w:r>
        <w:r>
          <w:rPr>
            <w:spacing w:val="2"/>
            <w:vertAlign w:val="baseline"/>
          </w:rPr>
          <w:t> </w:t>
        </w:r>
        <w:r>
          <w:rPr>
            <w:vertAlign w:val="baseline"/>
          </w:rPr>
          <w:t>overstaying</w:t>
        </w:r>
        <w:r>
          <w:rPr>
            <w:spacing w:val="2"/>
            <w:vertAlign w:val="baseline"/>
          </w:rPr>
          <w:t> </w:t>
        </w:r>
        <w:r>
          <w:rPr>
            <w:vertAlign w:val="baseline"/>
          </w:rPr>
          <w:t>in</w:t>
        </w:r>
        <w:r>
          <w:rPr>
            <w:spacing w:val="2"/>
            <w:vertAlign w:val="baseline"/>
          </w:rPr>
          <w:t> </w:t>
        </w:r>
        <w:r>
          <w:rPr>
            <w:vertAlign w:val="baseline"/>
          </w:rPr>
          <w:t>many</w:t>
        </w:r>
        <w:r>
          <w:rPr>
            <w:spacing w:val="2"/>
            <w:vertAlign w:val="baseline"/>
          </w:rPr>
          <w:t> </w:t>
        </w:r>
        <w:r>
          <w:rPr>
            <w:vertAlign w:val="baseline"/>
          </w:rPr>
          <w:t>car</w:t>
        </w:r>
        <w:r>
          <w:rPr>
            <w:spacing w:val="2"/>
            <w:vertAlign w:val="baseline"/>
          </w:rPr>
          <w:t> </w:t>
        </w:r>
        <w:r>
          <w:rPr>
            <w:vertAlign w:val="baseline"/>
          </w:rPr>
          <w:t>parks</w:t>
        </w:r>
        <w:r>
          <w:rPr>
            <w:spacing w:val="2"/>
            <w:vertAlign w:val="baseline"/>
          </w:rPr>
          <w:t> </w:t>
        </w:r>
        <w:r>
          <w:rPr>
            <w:vertAlign w:val="baseline"/>
          </w:rPr>
          <w:t>operated</w:t>
        </w:r>
        <w:r>
          <w:rPr>
            <w:spacing w:val="2"/>
            <w:vertAlign w:val="baseline"/>
          </w:rPr>
          <w:t> </w:t>
        </w:r>
        <w:r>
          <w:rPr>
            <w:spacing w:val="-5"/>
            <w:vertAlign w:val="baseline"/>
          </w:rPr>
          <w:t>by</w:t>
        </w:r>
      </w:hyperlink>
    </w:p>
    <w:p>
      <w:pPr>
        <w:pStyle w:val="BodyText"/>
        <w:spacing w:line="235" w:lineRule="auto" w:before="117"/>
        <w:ind w:left="165" w:right="167"/>
        <w:jc w:val="both"/>
      </w:pPr>
      <w:r>
        <w:rPr/>
        <w:t>local authorities, and the latter do not usually allow a period of free parking. </w:t>
      </w:r>
      <w:r>
        <w:rPr>
          <w:color w:val="005DA1"/>
          <w:u w:val="single" w:color="005DA1"/>
          <w:vertAlign w:val="superscript"/>
        </w:rPr>
        <w:t>1192</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777" name="Image 777"/>
            <wp:cNvGraphicFramePr>
              <a:graphicFrameLocks/>
            </wp:cNvGraphicFramePr>
            <a:graphic>
              <a:graphicData uri="http://schemas.openxmlformats.org/drawingml/2006/picture">
                <pic:pic>
                  <pic:nvPicPr>
                    <pic:cNvPr id="777" name="Image 7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vertAlign w:val="baseline"/>
        </w:rPr>
        <w:t> </w:t>
      </w:r>
      <w:r>
        <w:rPr>
          <w:vertAlign w:val="baseline"/>
        </w:rPr>
        <w:t>The difficulty of </w:t>
      </w:r>
      <w:bookmarkStart w:name="_bookmark2168" w:id="2170"/>
      <w:bookmarkEnd w:id="2170"/>
      <w:r>
        <w:rPr>
          <w:vertAlign w:val="baseline"/>
        </w:rPr>
        <w:t>deciding</w:t>
      </w:r>
      <w:r>
        <w:rPr>
          <w:spacing w:val="4"/>
          <w:vertAlign w:val="baseline"/>
        </w:rPr>
        <w:t> </w:t>
      </w:r>
      <w:r>
        <w:rPr>
          <w:vertAlign w:val="baseline"/>
        </w:rPr>
        <w:t>what</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unconscionable</w:t>
      </w:r>
      <w:r>
        <w:rPr>
          <w:spacing w:val="4"/>
          <w:vertAlign w:val="baseline"/>
        </w:rPr>
        <w:t> </w:t>
      </w:r>
      <w:r>
        <w:rPr>
          <w:vertAlign w:val="baseline"/>
        </w:rPr>
        <w:t>or</w:t>
      </w:r>
      <w:r>
        <w:rPr>
          <w:spacing w:val="4"/>
          <w:vertAlign w:val="baseline"/>
        </w:rPr>
        <w:t> </w:t>
      </w:r>
      <w:r>
        <w:rPr>
          <w:vertAlign w:val="baseline"/>
        </w:rPr>
        <w:t>wholly</w:t>
      </w:r>
      <w:r>
        <w:rPr>
          <w:spacing w:val="4"/>
          <w:vertAlign w:val="baseline"/>
        </w:rPr>
        <w:t> </w:t>
      </w:r>
      <w:r>
        <w:rPr>
          <w:vertAlign w:val="baseline"/>
        </w:rPr>
        <w:t>disproportionate</w:t>
      </w:r>
      <w:r>
        <w:rPr>
          <w:spacing w:val="4"/>
          <w:vertAlign w:val="baseline"/>
        </w:rPr>
        <w:t> </w:t>
      </w:r>
      <w:r>
        <w:rPr>
          <w:vertAlign w:val="baseline"/>
        </w:rPr>
        <w:t>seems</w:t>
      </w:r>
      <w:r>
        <w:rPr>
          <w:spacing w:val="4"/>
          <w:vertAlign w:val="baseline"/>
        </w:rPr>
        <w:t> </w:t>
      </w:r>
      <w:r>
        <w:rPr>
          <w:vertAlign w:val="baseline"/>
        </w:rPr>
        <w:t>greater</w:t>
      </w:r>
      <w:r>
        <w:rPr>
          <w:spacing w:val="4"/>
          <w:vertAlign w:val="baseline"/>
        </w:rPr>
        <w:t> </w:t>
      </w:r>
      <w:r>
        <w:rPr>
          <w:vertAlign w:val="baseline"/>
        </w:rPr>
        <w:t>still</w:t>
      </w:r>
      <w:r>
        <w:rPr>
          <w:spacing w:val="4"/>
          <w:vertAlign w:val="baseline"/>
        </w:rPr>
        <w:t> </w:t>
      </w:r>
      <w:r>
        <w:rPr>
          <w:vertAlign w:val="baseline"/>
        </w:rPr>
        <w:t>when</w:t>
      </w:r>
      <w:r>
        <w:rPr>
          <w:spacing w:val="4"/>
          <w:vertAlign w:val="baseline"/>
        </w:rPr>
        <w:t> </w:t>
      </w:r>
      <w:r>
        <w:rPr>
          <w:vertAlign w:val="baseline"/>
        </w:rPr>
        <w:t>the</w:t>
      </w:r>
      <w:r>
        <w:rPr>
          <w:spacing w:val="4"/>
          <w:vertAlign w:val="baseline"/>
        </w:rPr>
        <w:t> </w:t>
      </w:r>
      <w:r>
        <w:rPr>
          <w:spacing w:val="-2"/>
          <w:vertAlign w:val="baseline"/>
        </w:rPr>
        <w:t>breaches</w:t>
      </w:r>
    </w:p>
    <w:p>
      <w:pPr>
        <w:pStyle w:val="BodyText"/>
        <w:spacing w:line="235" w:lineRule="auto" w:before="119"/>
        <w:ind w:left="165" w:right="166"/>
        <w:jc w:val="both"/>
      </w:pPr>
      <w:r>
        <w:rPr/>
        <w:t>that will trigger the agreed damages or other clause</w:t>
      </w:r>
      <w:r>
        <w:rPr>
          <w:spacing w:val="-1"/>
        </w:rPr>
        <w:t> </w:t>
      </w:r>
      <w:hyperlink w:history="true" w:anchor="_bookmark2278">
        <w:r>
          <w:rPr>
            <w:color w:val="005DA1"/>
            <w:u w:val="single" w:color="005DA1"/>
            <w:vertAlign w:val="superscript"/>
          </w:rPr>
          <w:t>1193</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778" name="Image 778"/>
              <wp:cNvGraphicFramePr>
                <a:graphicFrameLocks/>
              </wp:cNvGraphicFramePr>
              <a:graphic>
                <a:graphicData uri="http://schemas.openxmlformats.org/drawingml/2006/picture">
                  <pic:pic>
                    <pic:nvPicPr>
                      <pic:cNvPr id="778" name="Image 7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may be quite various in nature. A seller of a business might breach a non-competition covenant by no more than continuing to make a few small transactions with no intent to compete further, which would probably pose no real threat to the </w:t>
        </w:r>
        <w:r>
          <w:rPr>
            <w:vertAlign w:val="baseline"/>
          </w:rPr>
          <w:t>buyer of the business; yet in the </w:t>
        </w:r>
        <w:r>
          <w:rPr>
            <w:rFonts w:ascii="Arial" w:hAnsi="Arial"/>
            <w:i/>
            <w:vertAlign w:val="baseline"/>
          </w:rPr>
          <w:t>Cavendish Square </w:t>
        </w:r>
        <w:r>
          <w:rPr>
            <w:vertAlign w:val="baseline"/>
          </w:rPr>
          <w:t>case it was not treated as disproportionate to impose a price</w:t>
        </w:r>
        <w:r>
          <w:rPr>
            <w:spacing w:val="-1"/>
            <w:vertAlign w:val="baseline"/>
          </w:rPr>
          <w:t> </w:t>
        </w:r>
        <w:r>
          <w:rPr>
            <w:vertAlign w:val="baseline"/>
          </w:rPr>
          <w:t>reduction</w:t>
        </w:r>
        <w:r>
          <w:rPr>
            <w:spacing w:val="-1"/>
            <w:vertAlign w:val="baseline"/>
          </w:rPr>
          <w:t> </w:t>
        </w:r>
        <w:r>
          <w:rPr>
            <w:vertAlign w:val="baseline"/>
          </w:rPr>
          <w:t>of</w:t>
        </w:r>
        <w:r>
          <w:rPr>
            <w:spacing w:val="-1"/>
            <w:vertAlign w:val="baseline"/>
          </w:rPr>
          <w:t> </w:t>
        </w:r>
        <w:r>
          <w:rPr>
            <w:vertAlign w:val="baseline"/>
          </w:rPr>
          <w:t>millions</w:t>
        </w:r>
        <w:r>
          <w:rPr>
            <w:spacing w:val="-1"/>
            <w:vertAlign w:val="baseline"/>
          </w:rPr>
          <w:t> </w:t>
        </w:r>
        <w:r>
          <w:rPr>
            <w:vertAlign w:val="baseline"/>
          </w:rPr>
          <w:t>of</w:t>
        </w:r>
        <w:r>
          <w:rPr>
            <w:spacing w:val="-1"/>
            <w:vertAlign w:val="baseline"/>
          </w:rPr>
          <w:t> </w:t>
        </w:r>
        <w:r>
          <w:rPr>
            <w:vertAlign w:val="baseline"/>
          </w:rPr>
          <w:t>dollars</w:t>
        </w:r>
        <w:r>
          <w:rPr>
            <w:spacing w:val="-1"/>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covenants.</w:t>
        </w:r>
        <w:r>
          <w:rPr>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Court’s</w:t>
        </w:r>
        <w:r>
          <w:rPr>
            <w:spacing w:val="-1"/>
            <w:vertAlign w:val="baseline"/>
          </w:rPr>
          <w:t> </w:t>
        </w:r>
        <w:r>
          <w:rPr>
            <w:vertAlign w:val="baseline"/>
          </w:rPr>
          <w:t>decision</w:t>
        </w:r>
        <w:r>
          <w:rPr>
            <w:spacing w:val="-1"/>
            <w:vertAlign w:val="baseline"/>
          </w:rPr>
          <w:t> </w:t>
        </w:r>
        <w:r>
          <w:rPr>
            <w:vertAlign w:val="baseline"/>
          </w:rPr>
          <w:t>in </w:t>
        </w:r>
        <w:r>
          <w:rPr>
            <w:rFonts w:ascii="Arial" w:hAnsi="Arial"/>
            <w:i/>
            <w:vertAlign w:val="baseline"/>
          </w:rPr>
          <w:t>Cavendish Square </w:t>
        </w:r>
        <w:r>
          <w:rPr>
            <w:vertAlign w:val="baseline"/>
          </w:rPr>
          <w:t>case may suggest that deterrent sums will only be disproportionate if they are excessive even for the “worst case scenario”. However, it is submitted that the decision may be </w:t>
        </w:r>
        <w:bookmarkStart w:name="_bookmark2169" w:id="2171"/>
        <w:bookmarkEnd w:id="2171"/>
        <w:r>
          <w:rPr>
            <w:vertAlign w:val="baseline"/>
          </w:rPr>
          <w:t>explained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basis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were</w:t>
        </w:r>
        <w:r>
          <w:rPr>
            <w:spacing w:val="3"/>
            <w:vertAlign w:val="baseline"/>
          </w:rPr>
          <w:t> </w:t>
        </w:r>
        <w:r>
          <w:rPr>
            <w:vertAlign w:val="baseline"/>
          </w:rPr>
          <w:t>of</w:t>
        </w:r>
        <w:r>
          <w:rPr>
            <w:spacing w:val="3"/>
            <w:vertAlign w:val="baseline"/>
          </w:rPr>
          <w:t> </w:t>
        </w:r>
        <w:r>
          <w:rPr>
            <w:vertAlign w:val="baseline"/>
          </w:rPr>
          <w:t>equal</w:t>
        </w:r>
        <w:r>
          <w:rPr>
            <w:spacing w:val="3"/>
            <w:vertAlign w:val="baseline"/>
          </w:rPr>
          <w:t> </w:t>
        </w:r>
        <w:r>
          <w:rPr>
            <w:vertAlign w:val="baseline"/>
          </w:rPr>
          <w:t>bargaining</w:t>
        </w:r>
        <w:r>
          <w:rPr>
            <w:spacing w:val="3"/>
            <w:vertAlign w:val="baseline"/>
          </w:rPr>
          <w:t> </w:t>
        </w:r>
        <w:r>
          <w:rPr>
            <w:vertAlign w:val="baseline"/>
          </w:rPr>
          <w:t>power</w:t>
        </w:r>
        <w:r>
          <w:rPr>
            <w:spacing w:val="3"/>
            <w:vertAlign w:val="baseline"/>
          </w:rPr>
          <w:t> </w:t>
        </w:r>
        <w:r>
          <w:rPr>
            <w:vertAlign w:val="baseline"/>
          </w:rPr>
          <w:t>and</w:t>
        </w:r>
        <w:r>
          <w:rPr>
            <w:spacing w:val="3"/>
            <w:vertAlign w:val="baseline"/>
          </w:rPr>
          <w:t> </w:t>
        </w:r>
        <w:r>
          <w:rPr>
            <w:vertAlign w:val="baseline"/>
          </w:rPr>
          <w:t>would</w:t>
        </w:r>
        <w:r>
          <w:rPr>
            <w:spacing w:val="3"/>
            <w:vertAlign w:val="baseline"/>
          </w:rPr>
          <w:t> </w:t>
        </w:r>
        <w:r>
          <w:rPr>
            <w:vertAlign w:val="baseline"/>
          </w:rPr>
          <w:t>not</w:t>
        </w:r>
        <w:r>
          <w:rPr>
            <w:spacing w:val="3"/>
            <w:vertAlign w:val="baseline"/>
          </w:rPr>
          <w:t> </w:t>
        </w:r>
        <w:r>
          <w:rPr>
            <w:vertAlign w:val="baseline"/>
          </w:rPr>
          <w:t>have</w:t>
        </w:r>
        <w:r>
          <w:rPr>
            <w:spacing w:val="3"/>
            <w:vertAlign w:val="baseline"/>
          </w:rPr>
          <w:t> </w:t>
        </w:r>
        <w:r>
          <w:rPr>
            <w:vertAlign w:val="baseline"/>
          </w:rPr>
          <w:t>agreed</w:t>
        </w:r>
        <w:r>
          <w:rPr>
            <w:spacing w:val="3"/>
            <w:vertAlign w:val="baseline"/>
          </w:rPr>
          <w:t> </w:t>
        </w:r>
        <w:r>
          <w:rPr>
            <w:spacing w:val="-5"/>
            <w:vertAlign w:val="baseline"/>
          </w:rPr>
          <w:t>on</w:t>
        </w:r>
      </w:hyperlink>
    </w:p>
    <w:p>
      <w:pPr>
        <w:pStyle w:val="BodyText"/>
        <w:spacing w:line="235" w:lineRule="auto" w:before="117"/>
        <w:ind w:left="165" w:right="167"/>
        <w:jc w:val="both"/>
      </w:pPr>
      <w:r>
        <w:rPr/>
        <w:t>a more draconian clause than was reasonably necessary to protect the buyer’s interests. </w:t>
      </w:r>
      <w:hyperlink w:history="true" w:anchor="_bookmark2279">
        <w:r>
          <w:rPr>
            <w:color w:val="005DA1"/>
            <w:u w:val="single" w:color="005DA1"/>
            <w:vertAlign w:val="superscript"/>
          </w:rPr>
          <w:t>1194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Had the parties been less equal, the “not extravagant or unconscionable” test might have been applied </w:t>
        </w:r>
        <w:r>
          <w:rPr>
            <w:vertAlign w:val="baseline"/>
          </w:rPr>
          <w:t>in</w:t>
        </w:r>
        <w:r>
          <w:rPr>
            <w:spacing w:val="80"/>
            <w:vertAlign w:val="baseline"/>
          </w:rPr>
          <w:t> </w:t>
        </w:r>
        <w:bookmarkStart w:name="_bookmark2170" w:id="2172"/>
        <w:bookmarkEnd w:id="2172"/>
        <w:r>
          <w:rPr>
            <w:vertAlign w:val="baseline"/>
          </w:rPr>
          <w:t>a</w:t>
        </w:r>
        <w:r>
          <w:rPr>
            <w:spacing w:val="8"/>
            <w:vertAlign w:val="baseline"/>
          </w:rPr>
          <w:t> </w:t>
        </w:r>
        <w:r>
          <w:rPr>
            <w:vertAlign w:val="baseline"/>
          </w:rPr>
          <w:t>less</w:t>
        </w:r>
        <w:r>
          <w:rPr>
            <w:spacing w:val="8"/>
            <w:vertAlign w:val="baseline"/>
          </w:rPr>
          <w:t> </w:t>
        </w:r>
        <w:r>
          <w:rPr>
            <w:vertAlign w:val="baseline"/>
          </w:rPr>
          <w:t>generous</w:t>
        </w:r>
        <w:r>
          <w:rPr>
            <w:spacing w:val="8"/>
            <w:vertAlign w:val="baseline"/>
          </w:rPr>
          <w:t> </w:t>
        </w:r>
        <w:r>
          <w:rPr>
            <w:vertAlign w:val="baseline"/>
          </w:rPr>
          <w:t>way.</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sum</w:t>
        </w:r>
        <w:r>
          <w:rPr>
            <w:spacing w:val="8"/>
            <w:vertAlign w:val="baseline"/>
          </w:rPr>
          <w:t> </w:t>
        </w:r>
        <w:r>
          <w:rPr>
            <w:vertAlign w:val="baseline"/>
          </w:rPr>
          <w:t>is</w:t>
        </w:r>
        <w:r>
          <w:rPr>
            <w:spacing w:val="8"/>
            <w:vertAlign w:val="baseline"/>
          </w:rPr>
          <w:t> </w:t>
        </w:r>
        <w:r>
          <w:rPr>
            <w:vertAlign w:val="baseline"/>
          </w:rPr>
          <w:t>payable</w:t>
        </w:r>
        <w:r>
          <w:rPr>
            <w:spacing w:val="8"/>
            <w:vertAlign w:val="baseline"/>
          </w:rPr>
          <w:t> </w:t>
        </w:r>
        <w:r>
          <w:rPr>
            <w:vertAlign w:val="baseline"/>
          </w:rPr>
          <w:t>for</w:t>
        </w:r>
        <w:r>
          <w:rPr>
            <w:spacing w:val="8"/>
            <w:vertAlign w:val="baseline"/>
          </w:rPr>
          <w:t> </w:t>
        </w:r>
        <w:r>
          <w:rPr>
            <w:vertAlign w:val="baseline"/>
          </w:rPr>
          <w:t>any</w:t>
        </w:r>
        <w:r>
          <w:rPr>
            <w:spacing w:val="8"/>
            <w:vertAlign w:val="baseline"/>
          </w:rPr>
          <w:t> </w:t>
        </w:r>
        <w:r>
          <w:rPr>
            <w:vertAlign w:val="baseline"/>
          </w:rPr>
          <w:t>one</w:t>
        </w:r>
        <w:r>
          <w:rPr>
            <w:spacing w:val="8"/>
            <w:vertAlign w:val="baseline"/>
          </w:rPr>
          <w:t> </w:t>
        </w:r>
        <w:r>
          <w:rPr>
            <w:vertAlign w:val="baseline"/>
          </w:rPr>
          <w:t>of</w:t>
        </w:r>
        <w:r>
          <w:rPr>
            <w:spacing w:val="8"/>
            <w:vertAlign w:val="baseline"/>
          </w:rPr>
          <w:t> </w:t>
        </w:r>
        <w:r>
          <w:rPr>
            <w:vertAlign w:val="baseline"/>
          </w:rPr>
          <w:t>many</w:t>
        </w:r>
        <w:r>
          <w:rPr>
            <w:spacing w:val="8"/>
            <w:vertAlign w:val="baseline"/>
          </w:rPr>
          <w:t> </w:t>
        </w:r>
        <w:r>
          <w:rPr>
            <w:vertAlign w:val="baseline"/>
          </w:rPr>
          <w:t>different</w:t>
        </w:r>
        <w:r>
          <w:rPr>
            <w:spacing w:val="8"/>
            <w:vertAlign w:val="baseline"/>
          </w:rPr>
          <w:t> </w:t>
        </w:r>
        <w:r>
          <w:rPr>
            <w:vertAlign w:val="baseline"/>
          </w:rPr>
          <w:t>possible</w:t>
        </w:r>
        <w:r>
          <w:rPr>
            <w:spacing w:val="8"/>
            <w:vertAlign w:val="baseline"/>
          </w:rPr>
          <w:t> </w:t>
        </w:r>
        <w:r>
          <w:rPr>
            <w:vertAlign w:val="baseline"/>
          </w:rPr>
          <w:t>breaches,</w:t>
        </w:r>
        <w:r>
          <w:rPr>
            <w:spacing w:val="8"/>
            <w:vertAlign w:val="baseline"/>
          </w:rPr>
          <w:t> </w:t>
        </w:r>
        <w:r>
          <w:rPr>
            <w:vertAlign w:val="baseline"/>
          </w:rPr>
          <w:t>some</w:t>
        </w:r>
        <w:r>
          <w:rPr>
            <w:spacing w:val="8"/>
            <w:vertAlign w:val="baseline"/>
          </w:rPr>
          <w:t> </w:t>
        </w:r>
        <w:r>
          <w:rPr>
            <w:spacing w:val="-5"/>
            <w:vertAlign w:val="baseline"/>
          </w:rPr>
          <w:t>of</w:t>
        </w:r>
      </w:hyperlink>
    </w:p>
    <w:p>
      <w:pPr>
        <w:pStyle w:val="BodyText"/>
        <w:spacing w:before="115"/>
        <w:ind w:left="165"/>
        <w:jc w:val="both"/>
        <w:rPr>
          <w:position w:val="-2"/>
        </w:rPr>
      </w:pPr>
      <w:r>
        <w:rPr/>
        <w:t>which may be comparatively minor, it is likely to be disproportionate. </w:t>
      </w:r>
      <w:hyperlink w:history="true" w:anchor="_bookmark2280">
        <w:r>
          <w:rPr>
            <w:color w:val="005DA1"/>
            <w:u w:val="single" w:color="005DA1"/>
            <w:vertAlign w:val="superscript"/>
          </w:rPr>
          <w:t>1195</w:t>
        </w:r>
        <w:r>
          <w:rPr>
            <w:color w:val="005DA1"/>
            <w:spacing w:val="80"/>
            <w:w w:val="150"/>
            <w:vertAlign w:val="baseline"/>
          </w:rPr>
          <w:t> </w:t>
        </w:r>
        <w:r>
          <w:rPr>
            <w:color w:val="005DA1"/>
            <w:position w:val="-2"/>
            <w:vertAlign w:val="baseline"/>
          </w:rPr>
          <w:drawing>
            <wp:inline distT="0" distB="0" distL="0" distR="0">
              <wp:extent cx="107988" cy="107988"/>
              <wp:effectExtent l="0" t="0" r="0" b="0"/>
              <wp:docPr id="780" name="Image 780"/>
              <wp:cNvGraphicFramePr>
                <a:graphicFrameLocks/>
              </wp:cNvGraphicFramePr>
              <a:graphic>
                <a:graphicData uri="http://schemas.openxmlformats.org/drawingml/2006/picture">
                  <pic:pic>
                    <pic:nvPicPr>
                      <pic:cNvPr id="780" name="Image 7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“Not … </w:t>
      </w:r>
      <w:r>
        <w:rPr>
          <w:rFonts w:ascii="Arial" w:hAnsi="Arial"/>
          <w:b/>
          <w:spacing w:val="-2"/>
          <w:sz w:val="18"/>
        </w:rPr>
        <w:t>extravagant”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213</w:t>
      </w:r>
    </w:p>
    <w:p>
      <w:pPr>
        <w:spacing w:after="0"/>
        <w:jc w:val="left"/>
        <w:rPr>
          <w:rFonts w:ascii="Arial"/>
          <w:b/>
          <w:sz w:val="24"/>
        </w:rPr>
        <w:sectPr>
          <w:pgSz w:w="11900" w:h="16840"/>
          <w:pgMar w:header="971" w:footer="0" w:top="1300" w:bottom="280" w:left="1275" w:right="1275"/>
        </w:sectPr>
      </w:pPr>
    </w:p>
    <w:p>
      <w:pPr>
        <w:pStyle w:val="BodyText"/>
        <w:spacing w:before="96"/>
        <w:rPr>
          <w:rFonts w:ascii="Arial"/>
          <w:b/>
        </w:rPr>
      </w:pPr>
    </w:p>
    <w:p>
      <w:pPr>
        <w:pStyle w:val="BodyText"/>
        <w:spacing w:line="360" w:lineRule="auto"/>
        <w:ind w:left="165" w:right="167"/>
        <w:jc w:val="both"/>
        <w:rPr>
          <w:position w:val="-2"/>
        </w:rPr>
      </w:pPr>
      <w:r>
        <w:rPr>
          <w:position w:val="-2"/>
        </w:rPr>
        <w:drawing>
          <wp:inline distT="0" distB="0" distL="0" distR="0">
            <wp:extent cx="107988" cy="107988"/>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171" w:id="2173"/>
      <w:bookmarkEnd w:id="2173"/>
      <w:r>
        <w:rPr>
          <w:rFonts w:ascii="Times New Roman" w:hAnsi="Times New Roman"/>
          <w:spacing w:val="23"/>
        </w:rPr>
      </w:r>
      <w:r>
        <w:rPr/>
        <w:t>The word “extravagant” can be taken to mean that disproportion will not be judged harshly; as </w:t>
      </w:r>
      <w:r>
        <w:rPr/>
        <w:t>in </w:t>
      </w:r>
      <w:bookmarkStart w:name="_bookmark2172" w:id="2174"/>
      <w:bookmarkEnd w:id="2174"/>
      <w:r>
        <w:rPr/>
        <w:t>“pre</w:t>
      </w:r>
      <w:r>
        <w:rPr/>
        <w:t>-estimate” cases, </w:t>
      </w:r>
      <w:hyperlink w:history="true" w:anchor="_bookmark2281">
        <w:r>
          <w:rPr>
            <w:color w:val="005DA1"/>
            <w:u w:val="single" w:color="005DA1"/>
            <w:vertAlign w:val="superscript"/>
          </w:rPr>
          <w:t>1196</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782" name="Image 782"/>
              <wp:cNvGraphicFramePr>
                <a:graphicFrameLocks/>
              </wp:cNvGraphicFramePr>
              <a:graphic>
                <a:graphicData uri="http://schemas.openxmlformats.org/drawingml/2006/picture">
                  <pic:pic>
                    <pic:nvPicPr>
                      <pic:cNvPr id="782" name="Image 7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8"/>
            <w:vertAlign w:val="baseline"/>
          </w:rPr>
          <w:t> </w:t>
        </w:r>
        <w:r>
          <w:rPr>
            <w:vertAlign w:val="baseline"/>
          </w:rPr>
          <w:t>the parties will be allowed “a generous margin of error”. But otherwise it seems “usually to amount to the same thing” as “unconscionable”. </w:t>
        </w:r>
        <w:hyperlink w:history="true" w:anchor="_bookmark2282">
          <w:r>
            <w:rPr>
              <w:color w:val="005DA1"/>
              <w:u w:val="single" w:color="005DA1"/>
              <w:vertAlign w:val="superscript"/>
            </w:rPr>
            <w:t>1197</w:t>
          </w:r>
          <w:r>
            <w:rPr>
              <w:color w:val="005DA1"/>
              <w:spacing w:val="80"/>
              <w:vertAlign w:val="baseline"/>
            </w:rPr>
            <w:t> </w:t>
          </w:r>
          <w:r>
            <w:rPr>
              <w:color w:val="005DA1"/>
              <w:position w:val="-2"/>
              <w:vertAlign w:val="baseline"/>
            </w:rPr>
            <w:drawing>
              <wp:inline distT="0" distB="0" distL="0" distR="0">
                <wp:extent cx="107988" cy="107988"/>
                <wp:effectExtent l="0" t="0" r="0" b="0"/>
                <wp:docPr id="783" name="Image 783"/>
                <wp:cNvGraphicFramePr>
                  <a:graphicFrameLocks/>
                </wp:cNvGraphicFramePr>
                <a:graphic>
                  <a:graphicData uri="http://schemas.openxmlformats.org/drawingml/2006/picture">
                    <pic:pic>
                      <pic:nvPicPr>
                        <pic:cNvPr id="783" name="Image 7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6"/>
        <w:rPr>
          <w:sz w:val="18"/>
        </w:rPr>
      </w:pPr>
    </w:p>
    <w:p>
      <w:pPr>
        <w:spacing w:before="0"/>
        <w:ind w:left="165" w:right="0" w:firstLine="0"/>
        <w:jc w:val="left"/>
        <w:rPr>
          <w:rFonts w:ascii="Arial" w:hAnsi="Arial"/>
          <w:b/>
          <w:sz w:val="18"/>
        </w:rPr>
      </w:pPr>
      <w:r>
        <w:rPr>
          <w:rFonts w:ascii="Arial" w:hAnsi="Arial"/>
          <w:b/>
          <w:sz w:val="18"/>
        </w:rPr>
        <w:t>“Not … </w:t>
      </w:r>
      <w:r>
        <w:rPr>
          <w:rFonts w:ascii="Arial" w:hAnsi="Arial"/>
          <w:b/>
          <w:spacing w:val="-2"/>
          <w:sz w:val="18"/>
        </w:rPr>
        <w:t>unconscionable”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214</w:t>
      </w:r>
    </w:p>
    <w:p>
      <w:pPr>
        <w:pStyle w:val="BodyText"/>
        <w:spacing w:before="93"/>
        <w:rPr>
          <w:rFonts w:ascii="Arial"/>
          <w:b/>
        </w:rPr>
      </w:pPr>
    </w:p>
    <w:p>
      <w:pPr>
        <w:pStyle w:val="BodyText"/>
        <w:spacing w:line="235" w:lineRule="auto"/>
        <w:ind w:left="165" w:right="167"/>
      </w:pPr>
      <w:r>
        <w:rPr>
          <w:position w:val="-2"/>
        </w:rPr>
        <w:drawing>
          <wp:inline distT="0" distB="0" distL="0" distR="0">
            <wp:extent cx="107988" cy="107988"/>
            <wp:effectExtent l="0" t="0" r="0" b="0"/>
            <wp:docPr id="784" name="Image 784"/>
            <wp:cNvGraphicFramePr>
              <a:graphicFrameLocks/>
            </wp:cNvGraphicFramePr>
            <a:graphic>
              <a:graphicData uri="http://schemas.openxmlformats.org/drawingml/2006/picture">
                <pic:pic>
                  <pic:nvPicPr>
                    <pic:cNvPr id="784" name="Image 7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r>
        <w:rPr/>
        <w:t>It is not clear whether the word “unconscionable”, which recurs in all the judgments, was intended </w:t>
      </w:r>
      <w:bookmarkStart w:name="_bookmark2173" w:id="2175"/>
      <w:bookmarkEnd w:id="2175"/>
      <w:r>
        <w:rPr/>
        <w:t>to</w:t>
      </w:r>
      <w:r>
        <w:rPr>
          <w:spacing w:val="42"/>
        </w:rPr>
        <w:t> </w:t>
      </w:r>
      <w:r>
        <w:rPr/>
        <w:t>have</w:t>
      </w:r>
      <w:r>
        <w:rPr>
          <w:spacing w:val="42"/>
        </w:rPr>
        <w:t> </w:t>
      </w:r>
      <w:r>
        <w:rPr/>
        <w:t>any</w:t>
      </w:r>
      <w:r>
        <w:rPr>
          <w:spacing w:val="42"/>
        </w:rPr>
        <w:t> </w:t>
      </w:r>
      <w:r>
        <w:rPr/>
        <w:t>independent</w:t>
      </w:r>
      <w:r>
        <w:rPr>
          <w:spacing w:val="42"/>
        </w:rPr>
        <w:t> </w:t>
      </w:r>
      <w:r>
        <w:rPr/>
        <w:t>effect.</w:t>
      </w:r>
      <w:r>
        <w:rPr>
          <w:spacing w:val="42"/>
        </w:rPr>
        <w:t> </w:t>
      </w:r>
      <w:r>
        <w:rPr/>
        <w:t>Lord</w:t>
      </w:r>
      <w:r>
        <w:rPr>
          <w:spacing w:val="42"/>
        </w:rPr>
        <w:t> </w:t>
      </w:r>
      <w:r>
        <w:rPr/>
        <w:t>Toulson</w:t>
      </w:r>
      <w:r>
        <w:rPr>
          <w:spacing w:val="42"/>
        </w:rPr>
        <w:t> </w:t>
      </w:r>
      <w:r>
        <w:rPr/>
        <w:t>clearly</w:t>
      </w:r>
      <w:r>
        <w:rPr>
          <w:spacing w:val="42"/>
        </w:rPr>
        <w:t> </w:t>
      </w:r>
      <w:r>
        <w:rPr/>
        <w:t>thought</w:t>
      </w:r>
      <w:r>
        <w:rPr>
          <w:spacing w:val="42"/>
        </w:rPr>
        <w:t> </w:t>
      </w:r>
      <w:r>
        <w:rPr/>
        <w:t>“unconscionable”</w:t>
      </w:r>
      <w:r>
        <w:rPr>
          <w:spacing w:val="42"/>
        </w:rPr>
        <w:t> </w:t>
      </w:r>
      <w:r>
        <w:rPr/>
        <w:t>added</w:t>
      </w:r>
      <w:r>
        <w:rPr>
          <w:spacing w:val="42"/>
        </w:rPr>
        <w:t> </w:t>
      </w:r>
      <w:r>
        <w:rPr/>
        <w:t>nothing</w:t>
      </w:r>
      <w:r>
        <w:rPr>
          <w:spacing w:val="42"/>
        </w:rPr>
        <w:t> </w:t>
      </w:r>
      <w:r>
        <w:rPr>
          <w:spacing w:val="-5"/>
        </w:rPr>
        <w:t>to</w:t>
      </w:r>
    </w:p>
    <w:p>
      <w:pPr>
        <w:pStyle w:val="BodyText"/>
        <w:spacing w:before="5"/>
      </w:pPr>
    </w:p>
    <w:p>
      <w:pPr>
        <w:pStyle w:val="BodyText"/>
        <w:tabs>
          <w:tab w:pos="2001" w:val="left" w:leader="none"/>
          <w:tab w:pos="8424" w:val="left" w:leader="none"/>
        </w:tabs>
        <w:spacing w:line="360" w:lineRule="auto"/>
        <w:ind w:left="165" w:right="168"/>
        <w:rPr>
          <w:position w:val="-2"/>
        </w:rPr>
      </w:pPr>
      <w:bookmarkStart w:name="_bookmark2174" w:id="2176"/>
      <w:bookmarkEnd w:id="2176"/>
      <w:r>
        <w:rPr/>
      </w:r>
      <w:bookmarkStart w:name="_bookmark2175" w:id="2177"/>
      <w:bookmarkEnd w:id="2177"/>
      <w:r>
        <w:rPr/>
      </w:r>
      <w:r>
        <w:rPr/>
        <w:t>“extravagant”, </w:t>
      </w:r>
      <w:r>
        <w:rPr>
          <w:color w:val="005DA1"/>
          <w:u w:val="single" w:color="005DA1"/>
          <w:vertAlign w:val="superscript"/>
        </w:rPr>
        <w:t>1198</w:t>
      </w:r>
      <w:r>
        <w:rPr>
          <w:color w:val="005DA1"/>
          <w:vertAlign w:val="baseline"/>
        </w:rPr>
        <w:tab/>
      </w:r>
      <w:r>
        <w:rPr>
          <w:color w:val="005DA1"/>
          <w:position w:val="-2"/>
          <w:vertAlign w:val="baseline"/>
        </w:rPr>
        <w:drawing>
          <wp:inline distT="0" distB="0" distL="0" distR="0">
            <wp:extent cx="107988" cy="107988"/>
            <wp:effectExtent l="0" t="0" r="0" b="0"/>
            <wp:docPr id="785" name="Image 785"/>
            <wp:cNvGraphicFramePr>
              <a:graphicFrameLocks/>
            </wp:cNvGraphicFramePr>
            <a:graphic>
              <a:graphicData uri="http://schemas.openxmlformats.org/drawingml/2006/picture">
                <pic:pic>
                  <pic:nvPicPr>
                    <pic:cNvPr id="785" name="Image 7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but Lord Hodge twice refers to it as a separate requirement. </w:t>
      </w:r>
      <w:hyperlink w:history="true" w:anchor="_bookmark2284">
        <w:r>
          <w:rPr>
            <w:color w:val="005DA1"/>
            <w:u w:val="single" w:color="005DA1"/>
            <w:vertAlign w:val="superscript"/>
          </w:rPr>
          <w:t>1199</w:t>
        </w:r>
        <w:r>
          <w:rPr>
            <w:color w:val="005DA1"/>
            <w:vertAlign w:val="baseline"/>
          </w:rPr>
          <w:tab/>
        </w:r>
        <w:r>
          <w:rPr>
            <w:color w:val="005DA1"/>
            <w:position w:val="-2"/>
            <w:vertAlign w:val="baseline"/>
          </w:rPr>
          <w:drawing>
            <wp:inline distT="0" distB="0" distL="0" distR="0">
              <wp:extent cx="107988" cy="107988"/>
              <wp:effectExtent l="0" t="0" r="0" b="0"/>
              <wp:docPr id="786" name="Image 786"/>
              <wp:cNvGraphicFramePr>
                <a:graphicFrameLocks/>
              </wp:cNvGraphicFramePr>
              <a:graphic>
                <a:graphicData uri="http://schemas.openxmlformats.org/drawingml/2006/picture">
                  <pic:pic>
                    <pic:nvPicPr>
                      <pic:cNvPr id="786" name="Image 7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Lords Neuberger and Sumption said </w:t>
        </w:r>
        <w:hyperlink w:history="true" w:anchor="_bookmark2285">
          <w:r>
            <w:rPr>
              <w:color w:val="005DA1"/>
              <w:u w:val="single" w:color="005DA1"/>
              <w:vertAlign w:val="superscript"/>
            </w:rPr>
            <w:t>1200</w:t>
          </w:r>
          <w:r>
            <w:rPr>
              <w:color w:val="005DA1"/>
              <w:spacing w:val="80"/>
              <w:vertAlign w:val="baseline"/>
            </w:rPr>
            <w:t> </w:t>
          </w:r>
          <w:r>
            <w:rPr>
              <w:color w:val="005DA1"/>
              <w:position w:val="-2"/>
              <w:vertAlign w:val="baseline"/>
            </w:rPr>
            <w:drawing>
              <wp:inline distT="0" distB="0" distL="0" distR="0">
                <wp:extent cx="107988" cy="107988"/>
                <wp:effectExtent l="0" t="0" r="0" b="0"/>
                <wp:docPr id="787" name="Image 787"/>
                <wp:cNvGraphicFramePr>
                  <a:graphicFrameLocks/>
                </wp:cNvGraphicFramePr>
                <a:graphic>
                  <a:graphicData uri="http://schemas.openxmlformats.org/drawingml/2006/picture">
                    <pic:pic>
                      <pic:nvPicPr>
                        <pic:cNvPr id="787" name="Image 7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pPr>
    </w:p>
    <w:p>
      <w:pPr>
        <w:pStyle w:val="BodyText"/>
        <w:spacing w:before="11"/>
      </w:pPr>
    </w:p>
    <w:p>
      <w:pPr>
        <w:pStyle w:val="BodyText"/>
        <w:spacing w:line="235" w:lineRule="auto"/>
        <w:ind w:left="1245" w:right="167"/>
        <w:jc w:val="both"/>
      </w:pPr>
      <w:r>
        <w:rPr/>
        <w:t>“the circumstances in which the contract was made are not entirely irrelevant. In </w:t>
      </w:r>
      <w:r>
        <w:rPr/>
        <w:t>a negotiated contract between properly advised parties of comparable bargaining power, the strong initial presumption must be that the parties themselves are the best judges of what is legitimate in a provision dealing with the consequences of breach.”</w:t>
      </w:r>
    </w:p>
    <w:p>
      <w:pPr>
        <w:pStyle w:val="BodyText"/>
      </w:pPr>
    </w:p>
    <w:p>
      <w:pPr>
        <w:pStyle w:val="BodyText"/>
        <w:spacing w:before="1"/>
      </w:pPr>
    </w:p>
    <w:p>
      <w:pPr>
        <w:pStyle w:val="BodyText"/>
        <w:spacing w:before="1"/>
        <w:ind w:left="165"/>
        <w:rPr>
          <w:position w:val="-2"/>
        </w:rPr>
      </w:pPr>
      <w:bookmarkStart w:name="_bookmark2176" w:id="2178"/>
      <w:bookmarkEnd w:id="2178"/>
      <w:r>
        <w:rPr/>
      </w:r>
      <w:r>
        <w:rPr/>
        <w:t>Lord Mance also said that </w:t>
      </w:r>
      <w:hyperlink w:history="true" w:anchor="_bookmark2286">
        <w:r>
          <w:rPr>
            <w:color w:val="005DA1"/>
            <w:u w:val="single" w:color="005DA1"/>
            <w:vertAlign w:val="superscript"/>
          </w:rPr>
          <w:t>1201</w:t>
        </w:r>
        <w:r>
          <w:rPr>
            <w:color w:val="005DA1"/>
            <w:spacing w:val="80"/>
            <w:w w:val="150"/>
            <w:vertAlign w:val="baseline"/>
          </w:rPr>
          <w:t> </w:t>
        </w:r>
        <w:r>
          <w:rPr>
            <w:color w:val="005DA1"/>
            <w:position w:val="-2"/>
            <w:vertAlign w:val="baseline"/>
          </w:rPr>
          <w:drawing>
            <wp:inline distT="0" distB="0" distL="0" distR="0">
              <wp:extent cx="107988" cy="107988"/>
              <wp:effectExtent l="0" t="0" r="0" b="0"/>
              <wp:docPr id="788" name="Image 788"/>
              <wp:cNvGraphicFramePr>
                <a:graphicFrameLocks/>
              </wp:cNvGraphicFramePr>
              <a:graphic>
                <a:graphicData uri="http://schemas.openxmlformats.org/drawingml/2006/picture">
                  <pic:pic>
                    <pic:nvPicPr>
                      <pic:cNvPr id="788" name="Image 7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125"/>
      </w:pPr>
    </w:p>
    <w:p>
      <w:pPr>
        <w:pStyle w:val="BodyText"/>
        <w:spacing w:line="235" w:lineRule="auto"/>
        <w:ind w:left="1245" w:right="167"/>
        <w:jc w:val="both"/>
      </w:pPr>
      <w:r>
        <w:rPr/>
        <w:t>“… the extent to which the parties were negotiating at arm’s length on the basis of </w:t>
      </w:r>
      <w:r>
        <w:rPr/>
        <w:t>legal advice and had every opportunity to appreciate what they were agreeing must at least be a relevant factor.”</w:t>
      </w:r>
    </w:p>
    <w:p>
      <w:pPr>
        <w:pStyle w:val="BodyText"/>
        <w:spacing w:before="116"/>
      </w:pPr>
    </w:p>
    <w:p>
      <w:pPr>
        <w:pStyle w:val="BodyText"/>
        <w:spacing w:line="235" w:lineRule="auto"/>
        <w:ind w:left="165" w:right="167"/>
        <w:jc w:val="both"/>
      </w:pPr>
      <w:r>
        <w:rPr/>
        <w:t>These statements do not appear to mean that there is a separate requirement of procedural fairness. It seems more likely that all Lords Neuberger, Sumption and Mance meant was that if the parties</w:t>
      </w:r>
      <w:r>
        <w:rPr>
          <w:spacing w:val="40"/>
        </w:rPr>
        <w:t> </w:t>
      </w:r>
      <w:r>
        <w:rPr/>
        <w:t>meet on more-or-less equal terms, the nonbreaching party is less likely to get away with a provision </w:t>
      </w:r>
      <w:bookmarkStart w:name="_bookmark2177" w:id="2179"/>
      <w:bookmarkEnd w:id="2179"/>
      <w:r>
        <w:rPr/>
        <w:t>that</w:t>
      </w:r>
      <w:r>
        <w:rPr>
          <w:spacing w:val="28"/>
        </w:rPr>
        <w:t> </w:t>
      </w:r>
      <w:r>
        <w:rPr/>
        <w:t>is</w:t>
      </w:r>
      <w:r>
        <w:rPr>
          <w:spacing w:val="28"/>
        </w:rPr>
        <w:t> </w:t>
      </w:r>
      <w:r>
        <w:rPr/>
        <w:t>disproportionate</w:t>
      </w:r>
      <w:r>
        <w:rPr>
          <w:spacing w:val="28"/>
        </w:rPr>
        <w:t> </w:t>
      </w:r>
      <w:r>
        <w:rPr/>
        <w:t>to</w:t>
      </w:r>
      <w:r>
        <w:rPr>
          <w:spacing w:val="28"/>
        </w:rPr>
        <w:t> </w:t>
      </w:r>
      <w:r>
        <w:rPr/>
        <w:t>what</w:t>
      </w:r>
      <w:r>
        <w:rPr>
          <w:spacing w:val="28"/>
        </w:rPr>
        <w:t> </w:t>
      </w:r>
      <w:r>
        <w:rPr/>
        <w:t>it</w:t>
      </w:r>
      <w:r>
        <w:rPr>
          <w:spacing w:val="28"/>
        </w:rPr>
        <w:t> </w:t>
      </w:r>
      <w:r>
        <w:rPr/>
        <w:t>needs</w:t>
      </w:r>
      <w:r>
        <w:rPr>
          <w:spacing w:val="28"/>
        </w:rPr>
        <w:t> </w:t>
      </w:r>
      <w:r>
        <w:rPr/>
        <w:t>if</w:t>
      </w:r>
      <w:r>
        <w:rPr>
          <w:spacing w:val="28"/>
        </w:rPr>
        <w:t> </w:t>
      </w:r>
      <w:r>
        <w:rPr/>
        <w:t>there</w:t>
      </w:r>
      <w:r>
        <w:rPr>
          <w:spacing w:val="28"/>
        </w:rPr>
        <w:t> </w:t>
      </w:r>
      <w:r>
        <w:rPr/>
        <w:t>is</w:t>
      </w:r>
      <w:r>
        <w:rPr>
          <w:spacing w:val="28"/>
        </w:rPr>
        <w:t> </w:t>
      </w:r>
      <w:r>
        <w:rPr/>
        <w:t>no</w:t>
      </w:r>
      <w:r>
        <w:rPr>
          <w:spacing w:val="28"/>
        </w:rPr>
        <w:t> </w:t>
      </w:r>
      <w:r>
        <w:rPr/>
        <w:t>effective</w:t>
      </w:r>
      <w:r>
        <w:rPr>
          <w:spacing w:val="28"/>
        </w:rPr>
        <w:t> </w:t>
      </w:r>
      <w:r>
        <w:rPr/>
        <w:t>bargaining</w:t>
      </w:r>
      <w:r>
        <w:rPr>
          <w:spacing w:val="28"/>
        </w:rPr>
        <w:t> </w:t>
      </w:r>
      <w:r>
        <w:rPr/>
        <w:t>pressure</w:t>
      </w:r>
      <w:r>
        <w:rPr>
          <w:spacing w:val="28"/>
        </w:rPr>
        <w:t> </w:t>
      </w:r>
      <w:r>
        <w:rPr/>
        <w:t>from</w:t>
      </w:r>
      <w:r>
        <w:rPr>
          <w:spacing w:val="28"/>
        </w:rPr>
        <w:t> </w:t>
      </w:r>
      <w:r>
        <w:rPr/>
        <w:t>the</w:t>
      </w:r>
      <w:r>
        <w:rPr>
          <w:spacing w:val="28"/>
        </w:rPr>
        <w:t> </w:t>
      </w:r>
      <w:r>
        <w:rPr>
          <w:spacing w:val="-2"/>
        </w:rPr>
        <w:t>other</w:t>
      </w:r>
    </w:p>
    <w:p>
      <w:pPr>
        <w:pStyle w:val="BodyText"/>
        <w:spacing w:line="360" w:lineRule="auto" w:before="115"/>
        <w:ind w:left="165" w:right="167"/>
        <w:jc w:val="both"/>
        <w:rPr>
          <w:position w:val="-2"/>
        </w:rPr>
      </w:pPr>
      <w:bookmarkStart w:name="_bookmark2178" w:id="2180"/>
      <w:bookmarkEnd w:id="2180"/>
      <w:r>
        <w:rPr/>
      </w:r>
      <w:r>
        <w:rPr/>
        <w:t>party. This may well be one reason </w:t>
      </w:r>
      <w:hyperlink w:history="true" w:anchor="_bookmark2287">
        <w:r>
          <w:rPr>
            <w:color w:val="005DA1"/>
            <w:u w:val="single" w:color="005DA1"/>
            <w:vertAlign w:val="superscript"/>
          </w:rPr>
          <w:t>1202</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789" name="Image 789"/>
              <wp:cNvGraphicFramePr>
                <a:graphicFrameLocks/>
              </wp:cNvGraphicFramePr>
              <a:graphic>
                <a:graphicData uri="http://schemas.openxmlformats.org/drawingml/2006/picture">
                  <pic:pic>
                    <pic:nvPicPr>
                      <pic:cNvPr id="789" name="Image 7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why the court did not question whether the provisions </w:t>
        </w:r>
        <w:r>
          <w:rPr>
            <w:vertAlign w:val="baseline"/>
          </w:rPr>
          <w:t>in the </w:t>
        </w:r>
        <w:r>
          <w:rPr>
            <w:rFonts w:ascii="Arial" w:hAnsi="Arial"/>
            <w:i/>
            <w:vertAlign w:val="baseline"/>
          </w:rPr>
          <w:t>Cavendish Square </w:t>
        </w:r>
        <w:r>
          <w:rPr>
            <w:vertAlign w:val="baseline"/>
          </w:rPr>
          <w:t>case were proportionate to the buyer’s legitimate interest. </w:t>
        </w:r>
        <w:hyperlink w:history="true" w:anchor="_bookmark2288">
          <w:r>
            <w:rPr>
              <w:color w:val="005DA1"/>
              <w:u w:val="single" w:color="005DA1"/>
              <w:vertAlign w:val="superscript"/>
            </w:rPr>
            <w:t>1203</w:t>
          </w:r>
          <w:r>
            <w:rPr>
              <w:color w:val="005DA1"/>
              <w:spacing w:val="80"/>
              <w:vertAlign w:val="baseline"/>
            </w:rPr>
            <w:t> </w:t>
          </w:r>
          <w:r>
            <w:rPr>
              <w:color w:val="005DA1"/>
              <w:position w:val="-2"/>
              <w:vertAlign w:val="baseline"/>
            </w:rPr>
            <w:drawing>
              <wp:inline distT="0" distB="0" distL="0" distR="0">
                <wp:extent cx="107988" cy="107988"/>
                <wp:effectExtent l="0" t="0" r="0" b="0"/>
                <wp:docPr id="790" name="Image 790"/>
                <wp:cNvGraphicFramePr>
                  <a:graphicFrameLocks/>
                </wp:cNvGraphicFramePr>
                <a:graphic>
                  <a:graphicData uri="http://schemas.openxmlformats.org/drawingml/2006/picture">
                    <pic:pic>
                      <pic:nvPicPr>
                        <pic:cNvPr id="790" name="Image 7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53"/>
      </w:pPr>
      <w:r>
        <w:rPr/>
        <mc:AlternateContent>
          <mc:Choice Requires="wps">
            <w:drawing>
              <wp:anchor distT="0" distB="0" distL="0" distR="0" allowOverlap="1" layoutInCell="1" locked="0" behindDoc="1" simplePos="0" relativeHeight="487708672">
                <wp:simplePos x="0" y="0"/>
                <wp:positionH relativeFrom="page">
                  <wp:posOffset>914400</wp:posOffset>
                </wp:positionH>
                <wp:positionV relativeFrom="paragraph">
                  <wp:posOffset>258735</wp:posOffset>
                </wp:positionV>
                <wp:extent cx="5724525" cy="1270"/>
                <wp:effectExtent l="0" t="0" r="0" b="0"/>
                <wp:wrapTopAndBottom/>
                <wp:docPr id="791" name="Graphic 791"/>
                <wp:cNvGraphicFramePr>
                  <a:graphicFrameLocks/>
                </wp:cNvGraphicFramePr>
                <a:graphic>
                  <a:graphicData uri="http://schemas.microsoft.com/office/word/2010/wordprocessingShape">
                    <wps:wsp>
                      <wps:cNvPr id="791" name="Graphic 79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72887pt;width:450.75pt;height:.1pt;mso-position-horizontal-relative:page;mso-position-vertical-relative:paragraph;z-index:-15607808;mso-wrap-distance-left:0;mso-wrap-distance-right:0" id="docshape94" coordorigin="1440,407" coordsize="9015,0" path="m1440,407l10454,407e" filled="false" stroked="true" strokeweight="1pt" strokecolor="#000000">
                <v:path arrowok="t"/>
                <v:stroke dashstyle="solid"/>
                <w10:wrap type="topAndBottom"/>
              </v:shape>
            </w:pict>
          </mc:Fallback>
        </mc:AlternateContent>
      </w:r>
    </w:p>
    <w:p>
      <w:pPr>
        <w:pStyle w:val="BodyText"/>
        <w:spacing w:before="217"/>
      </w:pPr>
    </w:p>
    <w:p>
      <w:pPr>
        <w:spacing w:before="0"/>
        <w:ind w:left="165" w:right="0" w:firstLine="0"/>
        <w:jc w:val="left"/>
        <w:rPr>
          <w:sz w:val="20"/>
        </w:rPr>
      </w:pPr>
      <w:bookmarkStart w:name="_bookmark2179" w:id="2181"/>
      <w:bookmarkEnd w:id="2181"/>
      <w:r>
        <w:rPr/>
      </w:r>
      <w:hyperlink w:history="true" w:anchor="_bookmark2064">
        <w:r>
          <w:rPr>
            <w:color w:val="005DA1"/>
            <w:sz w:val="20"/>
            <w:u w:val="single" w:color="005DA1"/>
            <w:vertAlign w:val="superscript"/>
          </w:rPr>
          <w:t>1089</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792" name="Image 792"/>
            <wp:cNvGraphicFramePr>
              <a:graphicFrameLocks/>
            </wp:cNvGraphicFramePr>
            <a:graphic>
              <a:graphicData uri="http://schemas.openxmlformats.org/drawingml/2006/picture">
                <pic:pic>
                  <pic:nvPicPr>
                    <pic:cNvPr id="792" name="Image 7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4"/>
          <w:sz w:val="20"/>
          <w:vertAlign w:val="baseline"/>
        </w:rPr>
        <w:t> </w:t>
      </w:r>
      <w:r>
        <w:rPr>
          <w:rFonts w:ascii="Arial"/>
          <w:i/>
          <w:spacing w:val="-4"/>
          <w:sz w:val="20"/>
          <w:vertAlign w:val="baseline"/>
        </w:rPr>
        <w:t>402</w:t>
      </w:r>
      <w:r>
        <w:rPr>
          <w:spacing w:val="-4"/>
          <w:sz w:val="20"/>
          <w:vertAlign w:val="baseline"/>
        </w:rPr>
        <w:t>.</w:t>
      </w:r>
    </w:p>
    <w:p>
      <w:pPr>
        <w:pStyle w:val="BodyText"/>
        <w:spacing w:before="125"/>
      </w:pPr>
    </w:p>
    <w:p>
      <w:pPr>
        <w:spacing w:before="0"/>
        <w:ind w:left="165" w:right="0" w:firstLine="0"/>
        <w:jc w:val="left"/>
        <w:rPr>
          <w:sz w:val="20"/>
        </w:rPr>
      </w:pPr>
      <w:bookmarkStart w:name="_bookmark2180" w:id="2182"/>
      <w:bookmarkEnd w:id="2182"/>
      <w:r>
        <w:rPr/>
      </w:r>
      <w:hyperlink w:history="true" w:anchor="_bookmark2065">
        <w:r>
          <w:rPr>
            <w:color w:val="005DA1"/>
            <w:sz w:val="20"/>
            <w:u w:val="single" w:color="005DA1"/>
            <w:vertAlign w:val="superscript"/>
          </w:rPr>
          <w:t>1090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93" name="Image 793"/>
            <wp:cNvGraphicFramePr>
              <a:graphicFrameLocks/>
            </wp:cNvGraphicFramePr>
            <a:graphic>
              <a:graphicData uri="http://schemas.openxmlformats.org/drawingml/2006/picture">
                <pic:pic>
                  <pic:nvPicPr>
                    <pic:cNvPr id="793" name="Image 7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[25].</w:t>
      </w:r>
    </w:p>
    <w:p>
      <w:pPr>
        <w:pStyle w:val="BodyText"/>
        <w:spacing w:before="125"/>
      </w:pPr>
    </w:p>
    <w:p>
      <w:pPr>
        <w:spacing w:before="0"/>
        <w:ind w:left="165" w:right="0" w:firstLine="0"/>
        <w:jc w:val="left"/>
        <w:rPr>
          <w:sz w:val="20"/>
        </w:rPr>
      </w:pPr>
      <w:bookmarkStart w:name="_bookmark2181" w:id="2183"/>
      <w:bookmarkEnd w:id="2183"/>
      <w:r>
        <w:rPr/>
      </w:r>
      <w:hyperlink w:history="true" w:anchor="_bookmark2066">
        <w:r>
          <w:rPr>
            <w:color w:val="005DA1"/>
            <w:sz w:val="20"/>
            <w:u w:val="single" w:color="005DA1"/>
            <w:vertAlign w:val="superscript"/>
          </w:rPr>
          <w:t>1091</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94" name="Image 794"/>
            <wp:cNvGraphicFramePr>
              <a:graphicFrameLocks/>
            </wp:cNvGraphicFramePr>
            <a:graphic>
              <a:graphicData uri="http://schemas.openxmlformats.org/drawingml/2006/picture">
                <pic:pic>
                  <pic:nvPicPr>
                    <pic:cNvPr id="794" name="Image 7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[27].</w:t>
      </w:r>
    </w:p>
    <w:p>
      <w:pPr>
        <w:pStyle w:val="BodyText"/>
        <w:spacing w:before="125"/>
      </w:pPr>
    </w:p>
    <w:p>
      <w:pPr>
        <w:spacing w:before="0"/>
        <w:ind w:left="165" w:right="0" w:firstLine="0"/>
        <w:jc w:val="left"/>
        <w:rPr>
          <w:sz w:val="20"/>
        </w:rPr>
      </w:pPr>
      <w:bookmarkStart w:name="_bookmark2182" w:id="2184"/>
      <w:bookmarkEnd w:id="2184"/>
      <w:r>
        <w:rPr/>
      </w:r>
      <w:hyperlink w:history="true" w:anchor="_bookmark2067">
        <w:r>
          <w:rPr>
            <w:color w:val="005DA1"/>
            <w:sz w:val="20"/>
            <w:u w:val="single" w:color="005DA1"/>
            <w:vertAlign w:val="superscript"/>
          </w:rPr>
          <w:t>1092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95" name="Image 795"/>
            <wp:cNvGraphicFramePr>
              <a:graphicFrameLocks/>
            </wp:cNvGraphicFramePr>
            <a:graphic>
              <a:graphicData uri="http://schemas.openxmlformats.org/drawingml/2006/picture">
                <pic:pic>
                  <pic:nvPicPr>
                    <pic:cNvPr id="795" name="Image 7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[30].</w:t>
      </w:r>
    </w:p>
    <w:p>
      <w:pPr>
        <w:pStyle w:val="BodyText"/>
        <w:spacing w:before="125"/>
      </w:pPr>
    </w:p>
    <w:p>
      <w:pPr>
        <w:spacing w:before="0"/>
        <w:ind w:left="165" w:right="0" w:firstLine="0"/>
        <w:jc w:val="left"/>
        <w:rPr>
          <w:sz w:val="20"/>
        </w:rPr>
      </w:pPr>
      <w:bookmarkStart w:name="_bookmark2183" w:id="2185"/>
      <w:bookmarkEnd w:id="2185"/>
      <w:r>
        <w:rPr/>
      </w:r>
      <w:hyperlink w:history="true" w:anchor="_bookmark2068">
        <w:r>
          <w:rPr>
            <w:color w:val="005DA1"/>
            <w:sz w:val="20"/>
            <w:u w:val="single" w:color="005DA1"/>
            <w:vertAlign w:val="superscript"/>
          </w:rPr>
          <w:t>1093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96" name="Image 796"/>
            <wp:cNvGraphicFramePr>
              <a:graphicFrameLocks/>
            </wp:cNvGraphicFramePr>
            <a:graphic>
              <a:graphicData uri="http://schemas.openxmlformats.org/drawingml/2006/picture">
                <pic:pic>
                  <pic:nvPicPr>
                    <pic:cNvPr id="796" name="Image 7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[26].</w:t>
      </w:r>
    </w:p>
    <w:p>
      <w:pPr>
        <w:pStyle w:val="BodyText"/>
        <w:spacing w:before="129"/>
      </w:pPr>
    </w:p>
    <w:p>
      <w:pPr>
        <w:pStyle w:val="BodyText"/>
        <w:spacing w:line="235" w:lineRule="auto"/>
        <w:ind w:left="705" w:right="167" w:hanging="541"/>
        <w:jc w:val="both"/>
      </w:pPr>
      <w:bookmarkStart w:name="_bookmark2184" w:id="2186"/>
      <w:bookmarkEnd w:id="2186"/>
      <w:r>
        <w:rPr/>
      </w:r>
      <w:hyperlink w:history="true" w:anchor="_bookmark2069">
        <w:r>
          <w:rPr>
            <w:color w:val="005DA1"/>
            <w:u w:val="single" w:color="005DA1"/>
            <w:vertAlign w:val="superscript"/>
          </w:rPr>
          <w:t>1094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797" name="Image 797"/>
            <wp:cNvGraphicFramePr>
              <a:graphicFrameLocks/>
            </wp:cNvGraphicFramePr>
            <a:graphic>
              <a:graphicData uri="http://schemas.openxmlformats.org/drawingml/2006/picture">
                <pic:pic>
                  <pic:nvPicPr>
                    <pic:cNvPr id="797" name="Image 7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Or, as Sir Timothy Lloyd put it, “where the transaction between the contracting parties can be assessed in monetary terms, as can the effects of a breach of the contract by one party or the other”</w:t>
      </w:r>
      <w:r>
        <w:rPr>
          <w:spacing w:val="-2"/>
          <w:vertAlign w:val="baseline"/>
        </w:rPr>
        <w:t> </w:t>
      </w:r>
      <w:r>
        <w:rPr>
          <w:vertAlign w:val="baseline"/>
        </w:rPr>
        <w:t>(at [44]). To prohibit this provision would “fail to take account of the nature of the </w:t>
      </w:r>
      <w:r>
        <w:rPr>
          <w:spacing w:val="-2"/>
          <w:vertAlign w:val="baseline"/>
        </w:rPr>
        <w:t>contract,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pPr>
      <w:r>
        <w:rPr/>
        <w:t>with its gratuitous but valuable benefit of two hours’ free parking, and of the entirely </w:t>
      </w:r>
      <w:r>
        <w:rPr/>
        <w:t>legitimate reason for limiting that facility to a two hour period” (at [49]).</w:t>
      </w:r>
    </w:p>
    <w:p>
      <w:pPr>
        <w:pStyle w:val="BodyText"/>
        <w:spacing w:before="129"/>
      </w:pPr>
    </w:p>
    <w:p>
      <w:pPr>
        <w:pStyle w:val="BodyText"/>
        <w:spacing w:line="235" w:lineRule="auto"/>
        <w:ind w:left="705" w:right="168" w:hanging="541"/>
        <w:jc w:val="both"/>
      </w:pPr>
      <w:bookmarkStart w:name="_bookmark2185" w:id="2187"/>
      <w:bookmarkEnd w:id="2187"/>
      <w:r>
        <w:rPr/>
      </w:r>
      <w:hyperlink w:history="true" w:anchor="_bookmark2070">
        <w:r>
          <w:rPr>
            <w:color w:val="005DA1"/>
            <w:u w:val="single" w:color="005DA1"/>
            <w:vertAlign w:val="superscript"/>
          </w:rPr>
          <w:t>1095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798" name="Image 798"/>
            <wp:cNvGraphicFramePr>
              <a:graphicFrameLocks/>
            </wp:cNvGraphicFramePr>
            <a:graphic>
              <a:graphicData uri="http://schemas.openxmlformats.org/drawingml/2006/picture">
                <pic:pic>
                  <pic:nvPicPr>
                    <pic:cNvPr id="798" name="Image 7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EWCA Civ 402 </w:t>
      </w:r>
      <w:r>
        <w:rPr>
          <w:vertAlign w:val="baseline"/>
        </w:rPr>
        <w:t>at [27]. The Court also held that the term was not unfair under the</w:t>
      </w:r>
      <w:r>
        <w:rPr>
          <w:spacing w:val="80"/>
          <w:vertAlign w:val="baseline"/>
        </w:rPr>
        <w:t> </w:t>
      </w:r>
      <w:r>
        <w:rPr>
          <w:vertAlign w:val="baseline"/>
        </w:rPr>
        <w:t>Unfair Terms in Consumer Contracts Regulations 1999: see below, para.38-251A.</w:t>
      </w:r>
    </w:p>
    <w:p>
      <w:pPr>
        <w:pStyle w:val="BodyText"/>
        <w:spacing w:before="126"/>
      </w:pPr>
    </w:p>
    <w:p>
      <w:pPr>
        <w:pStyle w:val="BodyText"/>
        <w:ind w:left="165"/>
      </w:pPr>
      <w:bookmarkStart w:name="_bookmark2186" w:id="2188"/>
      <w:bookmarkEnd w:id="2188"/>
      <w:r>
        <w:rPr/>
      </w:r>
      <w:hyperlink w:history="true" w:anchor="_bookmark2071">
        <w:r>
          <w:rPr>
            <w:color w:val="005DA1"/>
            <w:u w:val="single" w:color="005DA1"/>
            <w:vertAlign w:val="superscript"/>
          </w:rPr>
          <w:t>1096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799" name="Image 799"/>
            <wp:cNvGraphicFramePr>
              <a:graphicFrameLocks/>
            </wp:cNvGraphicFramePr>
            <a:graphic>
              <a:graphicData uri="http://schemas.openxmlformats.org/drawingml/2006/picture">
                <pic:pic>
                  <pic:nvPicPr>
                    <pic:cNvPr id="799" name="Image 7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193.</w:t>
      </w:r>
    </w:p>
    <w:p>
      <w:pPr>
        <w:pStyle w:val="BodyText"/>
        <w:spacing w:before="129"/>
      </w:pPr>
    </w:p>
    <w:p>
      <w:pPr>
        <w:spacing w:line="235" w:lineRule="auto" w:before="0"/>
        <w:ind w:left="705" w:right="0" w:hanging="541"/>
        <w:jc w:val="left"/>
        <w:rPr>
          <w:sz w:val="20"/>
        </w:rPr>
      </w:pPr>
      <w:bookmarkStart w:name="_bookmark2187" w:id="2189"/>
      <w:bookmarkEnd w:id="2189"/>
      <w:r>
        <w:rPr/>
      </w:r>
      <w:hyperlink w:history="true" w:anchor="_bookmark2072">
        <w:r>
          <w:rPr>
            <w:color w:val="005DA1"/>
            <w:sz w:val="20"/>
            <w:u w:val="single" w:color="005DA1"/>
            <w:vertAlign w:val="superscript"/>
          </w:rPr>
          <w:t>1097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00" name="Image 800"/>
            <wp:cNvGraphicFramePr>
              <a:graphicFrameLocks/>
            </wp:cNvGraphicFramePr>
            <a:graphic>
              <a:graphicData uri="http://schemas.openxmlformats.org/drawingml/2006/picture">
                <pic:pic>
                  <pic:nvPicPr>
                    <pic:cNvPr id="800" name="Image 8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9"/>
      </w:pPr>
    </w:p>
    <w:p>
      <w:pPr>
        <w:pStyle w:val="BodyText"/>
        <w:spacing w:line="235" w:lineRule="auto"/>
        <w:ind w:left="705" w:right="168" w:hanging="541"/>
        <w:jc w:val="both"/>
      </w:pPr>
      <w:bookmarkStart w:name="_bookmark2188" w:id="2190"/>
      <w:bookmarkEnd w:id="2190"/>
      <w:r>
        <w:rPr/>
      </w:r>
      <w:hyperlink w:history="true" w:anchor="_bookmark2073">
        <w:r>
          <w:rPr>
            <w:color w:val="005DA1"/>
            <w:u w:val="single" w:color="005DA1"/>
            <w:vertAlign w:val="superscript"/>
          </w:rPr>
          <w:t>1098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01" name="Image 801"/>
            <wp:cNvGraphicFramePr>
              <a:graphicFrameLocks/>
            </wp:cNvGraphicFramePr>
            <a:graphic>
              <a:graphicData uri="http://schemas.openxmlformats.org/drawingml/2006/picture">
                <pic:pic>
                  <pic:nvPicPr>
                    <pic:cNvPr id="801" name="Image 80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[2013] EWCA Civ 1539</w:t>
      </w:r>
      <w:r>
        <w:rPr>
          <w:vertAlign w:val="baseline"/>
        </w:rPr>
        <w:t>; for the facts, see the account of the Court of Appeal decision in this case, above, para.26-193.</w:t>
      </w:r>
    </w:p>
    <w:p>
      <w:pPr>
        <w:pStyle w:val="BodyText"/>
        <w:spacing w:before="125"/>
      </w:pPr>
    </w:p>
    <w:p>
      <w:pPr>
        <w:spacing w:before="1"/>
        <w:ind w:left="165" w:right="0" w:firstLine="0"/>
        <w:jc w:val="left"/>
        <w:rPr>
          <w:sz w:val="20"/>
        </w:rPr>
      </w:pPr>
      <w:bookmarkStart w:name="_bookmark2189" w:id="2191"/>
      <w:bookmarkEnd w:id="2191"/>
      <w:r>
        <w:rPr/>
      </w:r>
      <w:hyperlink w:history="true" w:anchor="_bookmark2074">
        <w:r>
          <w:rPr>
            <w:color w:val="005DA1"/>
            <w:sz w:val="20"/>
            <w:u w:val="single" w:color="005DA1"/>
            <w:vertAlign w:val="superscript"/>
          </w:rPr>
          <w:t>1099</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02" name="Image 802"/>
            <wp:cNvGraphicFramePr>
              <a:graphicFrameLocks/>
            </wp:cNvGraphicFramePr>
            <a:graphic>
              <a:graphicData uri="http://schemas.openxmlformats.org/drawingml/2006/picture">
                <pic:pic>
                  <pic:nvPicPr>
                    <pic:cNvPr id="802" name="Image 80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1"/>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402</w:t>
      </w:r>
      <w:r>
        <w:rPr>
          <w:sz w:val="20"/>
          <w:vertAlign w:val="baseline"/>
        </w:rPr>
        <w:t>;</w:t>
      </w:r>
      <w:r>
        <w:rPr>
          <w:spacing w:val="1"/>
          <w:sz w:val="20"/>
          <w:vertAlign w:val="baseline"/>
        </w:rPr>
        <w:t> </w:t>
      </w:r>
      <w:r>
        <w:rPr>
          <w:sz w:val="20"/>
          <w:vertAlign w:val="baseline"/>
        </w:rPr>
        <w:t>for</w:t>
      </w:r>
      <w:r>
        <w:rPr>
          <w:spacing w:val="2"/>
          <w:sz w:val="20"/>
          <w:vertAlign w:val="baseline"/>
        </w:rPr>
        <w:t> </w:t>
      </w:r>
      <w:r>
        <w:rPr>
          <w:sz w:val="20"/>
          <w:vertAlign w:val="baseline"/>
        </w:rPr>
        <w:t>the</w:t>
      </w:r>
      <w:r>
        <w:rPr>
          <w:spacing w:val="2"/>
          <w:sz w:val="20"/>
          <w:vertAlign w:val="baseline"/>
        </w:rPr>
        <w:t> </w:t>
      </w:r>
      <w:r>
        <w:rPr>
          <w:sz w:val="20"/>
          <w:vertAlign w:val="baseline"/>
        </w:rPr>
        <w:t>facts,</w:t>
      </w:r>
      <w:r>
        <w:rPr>
          <w:spacing w:val="1"/>
          <w:sz w:val="20"/>
          <w:vertAlign w:val="baseline"/>
        </w:rPr>
        <w:t> </w:t>
      </w:r>
      <w:r>
        <w:rPr>
          <w:sz w:val="20"/>
          <w:vertAlign w:val="baseline"/>
        </w:rPr>
        <w:t>see</w:t>
      </w:r>
      <w:r>
        <w:rPr>
          <w:spacing w:val="2"/>
          <w:sz w:val="20"/>
          <w:vertAlign w:val="baseline"/>
        </w:rPr>
        <w:t> </w:t>
      </w:r>
      <w:r>
        <w:rPr>
          <w:sz w:val="20"/>
          <w:vertAlign w:val="baseline"/>
        </w:rPr>
        <w:t>above,</w:t>
      </w:r>
      <w:r>
        <w:rPr>
          <w:spacing w:val="2"/>
          <w:sz w:val="20"/>
          <w:vertAlign w:val="baseline"/>
        </w:rPr>
        <w:t> </w:t>
      </w:r>
      <w:r>
        <w:rPr>
          <w:sz w:val="20"/>
          <w:vertAlign w:val="baseline"/>
        </w:rPr>
        <w:t>para.26-</w:t>
      </w:r>
      <w:r>
        <w:rPr>
          <w:spacing w:val="-4"/>
          <w:sz w:val="20"/>
          <w:vertAlign w:val="baseline"/>
        </w:rPr>
        <w:t>195.</w:t>
      </w:r>
    </w:p>
    <w:p>
      <w:pPr>
        <w:pStyle w:val="BodyText"/>
        <w:spacing w:before="128"/>
      </w:pPr>
    </w:p>
    <w:p>
      <w:pPr>
        <w:spacing w:line="235" w:lineRule="auto" w:before="0"/>
        <w:ind w:left="705" w:right="0" w:hanging="541"/>
        <w:jc w:val="left"/>
        <w:rPr>
          <w:sz w:val="20"/>
        </w:rPr>
      </w:pPr>
      <w:bookmarkStart w:name="_bookmark2190" w:id="2192"/>
      <w:bookmarkEnd w:id="2192"/>
      <w:r>
        <w:rPr/>
      </w:r>
      <w:hyperlink w:history="true" w:anchor="_bookmark2075">
        <w:r>
          <w:rPr>
            <w:color w:val="005DA1"/>
            <w:sz w:val="20"/>
            <w:u w:val="single" w:color="005DA1"/>
            <w:vertAlign w:val="superscript"/>
          </w:rPr>
          <w:t>1100</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03" name="Image 803"/>
            <wp:cNvGraphicFramePr>
              <a:graphicFrameLocks/>
            </wp:cNvGraphicFramePr>
            <a:graphic>
              <a:graphicData uri="http://schemas.openxmlformats.org/drawingml/2006/picture">
                <pic:pic>
                  <pic:nvPicPr>
                    <pic:cNvPr id="803" name="Image 80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w:t>
      </w:r>
      <w:r>
        <w:rPr>
          <w:rFonts w:ascii="Arial"/>
          <w:i/>
          <w:spacing w:val="36"/>
          <w:sz w:val="20"/>
          <w:vertAlign w:val="baseline"/>
        </w:rPr>
        <w:t> </w:t>
      </w:r>
      <w:r>
        <w:rPr>
          <w:rFonts w:ascii="Arial"/>
          <w:i/>
          <w:sz w:val="20"/>
          <w:vertAlign w:val="baseline"/>
        </w:rPr>
        <w:t>A.C.</w:t>
      </w:r>
      <w:r>
        <w:rPr>
          <w:rFonts w:ascii="Arial"/>
          <w:i/>
          <w:spacing w:val="37"/>
          <w:sz w:val="20"/>
          <w:vertAlign w:val="baseline"/>
        </w:rPr>
        <w:t> </w:t>
      </w:r>
      <w:r>
        <w:rPr>
          <w:rFonts w:ascii="Arial"/>
          <w:i/>
          <w:sz w:val="20"/>
          <w:vertAlign w:val="baseline"/>
        </w:rPr>
        <w:t>1172</w:t>
      </w:r>
      <w:r>
        <w:rPr>
          <w:sz w:val="20"/>
          <w:vertAlign w:val="baseline"/>
        </w:rPr>
        <w:t>,</w:t>
      </w:r>
      <w:r>
        <w:rPr>
          <w:spacing w:val="37"/>
          <w:sz w:val="20"/>
          <w:vertAlign w:val="baseline"/>
        </w:rPr>
        <w:t> </w:t>
      </w:r>
      <w:r>
        <w:rPr>
          <w:sz w:val="20"/>
          <w:vertAlign w:val="baseline"/>
        </w:rPr>
        <w:t>noted</w:t>
      </w:r>
      <w:r>
        <w:rPr>
          <w:spacing w:val="37"/>
          <w:sz w:val="20"/>
          <w:vertAlign w:val="baseline"/>
        </w:rPr>
        <w:t> </w:t>
      </w:r>
      <w:r>
        <w:rPr>
          <w:sz w:val="20"/>
          <w:vertAlign w:val="baseline"/>
        </w:rPr>
        <w:t>by</w:t>
      </w:r>
      <w:r>
        <w:rPr>
          <w:spacing w:val="37"/>
          <w:sz w:val="20"/>
          <w:vertAlign w:val="baseline"/>
        </w:rPr>
        <w:t> </w:t>
      </w:r>
      <w:r>
        <w:rPr>
          <w:sz w:val="20"/>
          <w:vertAlign w:val="baseline"/>
        </w:rPr>
        <w:t>Conte</w:t>
      </w:r>
      <w:r>
        <w:rPr>
          <w:spacing w:val="37"/>
          <w:sz w:val="20"/>
          <w:vertAlign w:val="baseline"/>
        </w:rPr>
        <w:t> </w:t>
      </w:r>
      <w:r>
        <w:rPr>
          <w:sz w:val="20"/>
          <w:vertAlign w:val="baseline"/>
        </w:rPr>
        <w:t>(2016)</w:t>
      </w:r>
      <w:r>
        <w:rPr>
          <w:spacing w:val="37"/>
          <w:sz w:val="20"/>
          <w:vertAlign w:val="baseline"/>
        </w:rPr>
        <w:t> </w:t>
      </w:r>
      <w:r>
        <w:rPr>
          <w:sz w:val="20"/>
          <w:vertAlign w:val="baseline"/>
        </w:rPr>
        <w:t>132</w:t>
      </w:r>
      <w:r>
        <w:rPr>
          <w:spacing w:val="37"/>
          <w:sz w:val="20"/>
          <w:vertAlign w:val="baseline"/>
        </w:rPr>
        <w:t> </w:t>
      </w:r>
      <w:r>
        <w:rPr>
          <w:sz w:val="20"/>
          <w:vertAlign w:val="baseline"/>
        </w:rPr>
        <w:t>L.Q.R.</w:t>
      </w:r>
      <w:r>
        <w:rPr>
          <w:spacing w:val="37"/>
          <w:sz w:val="20"/>
          <w:vertAlign w:val="baseline"/>
        </w:rPr>
        <w:t> </w:t>
      </w:r>
      <w:r>
        <w:rPr>
          <w:sz w:val="20"/>
          <w:vertAlign w:val="baseline"/>
        </w:rPr>
        <w:t>382,</w:t>
      </w:r>
      <w:r>
        <w:rPr>
          <w:spacing w:val="37"/>
          <w:sz w:val="20"/>
          <w:vertAlign w:val="baseline"/>
        </w:rPr>
        <w:t> </w:t>
      </w:r>
      <w:r>
        <w:rPr>
          <w:sz w:val="20"/>
          <w:vertAlign w:val="baseline"/>
        </w:rPr>
        <w:t>Morgan</w:t>
      </w:r>
      <w:r>
        <w:rPr>
          <w:spacing w:val="37"/>
          <w:sz w:val="20"/>
          <w:vertAlign w:val="baseline"/>
        </w:rPr>
        <w:t> </w:t>
      </w:r>
      <w:r>
        <w:rPr>
          <w:sz w:val="20"/>
          <w:vertAlign w:val="baseline"/>
        </w:rPr>
        <w:t>[2016]</w:t>
      </w:r>
      <w:r>
        <w:rPr>
          <w:spacing w:val="37"/>
          <w:sz w:val="20"/>
          <w:vertAlign w:val="baseline"/>
        </w:rPr>
        <w:t> </w:t>
      </w:r>
      <w:r>
        <w:rPr>
          <w:sz w:val="20"/>
          <w:vertAlign w:val="baseline"/>
        </w:rPr>
        <w:t>C.L.J.</w:t>
      </w:r>
      <w:r>
        <w:rPr>
          <w:spacing w:val="37"/>
          <w:sz w:val="20"/>
          <w:vertAlign w:val="baseline"/>
        </w:rPr>
        <w:t> </w:t>
      </w:r>
      <w:r>
        <w:rPr>
          <w:sz w:val="20"/>
          <w:vertAlign w:val="baseline"/>
        </w:rPr>
        <w:t>11,</w:t>
      </w:r>
      <w:r>
        <w:rPr>
          <w:spacing w:val="37"/>
          <w:sz w:val="20"/>
          <w:vertAlign w:val="baseline"/>
        </w:rPr>
        <w:t> </w:t>
      </w:r>
      <w:r>
        <w:rPr>
          <w:spacing w:val="-2"/>
          <w:sz w:val="20"/>
          <w:vertAlign w:val="baseline"/>
        </w:rPr>
        <w:t>Fisher</w:t>
      </w:r>
    </w:p>
    <w:p>
      <w:pPr>
        <w:pStyle w:val="BodyText"/>
        <w:spacing w:line="225" w:lineRule="exact"/>
        <w:ind w:left="705"/>
      </w:pPr>
      <w:r>
        <w:rPr/>
        <w:t>[2016] L.M.C.L.Q. 169 and Dawson [2016] L.M.C.L.Q. </w:t>
      </w:r>
      <w:r>
        <w:rPr>
          <w:spacing w:val="-4"/>
        </w:rPr>
        <w:t>207.</w:t>
      </w:r>
    </w:p>
    <w:p>
      <w:pPr>
        <w:pStyle w:val="BodyText"/>
        <w:spacing w:before="125"/>
      </w:pPr>
    </w:p>
    <w:p>
      <w:pPr>
        <w:pStyle w:val="BodyText"/>
        <w:ind w:left="165"/>
      </w:pPr>
      <w:bookmarkStart w:name="_bookmark2191" w:id="2193"/>
      <w:bookmarkEnd w:id="2193"/>
      <w:r>
        <w:rPr/>
      </w:r>
      <w:hyperlink w:history="true" w:anchor="_bookmark2076">
        <w:r>
          <w:rPr>
            <w:color w:val="005DA1"/>
            <w:u w:val="single" w:color="005DA1"/>
            <w:vertAlign w:val="superscript"/>
          </w:rPr>
          <w:t>1101</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804" name="Image 804"/>
            <wp:cNvGraphicFramePr>
              <a:graphicFrameLocks/>
            </wp:cNvGraphicFramePr>
            <a:graphic>
              <a:graphicData uri="http://schemas.openxmlformats.org/drawingml/2006/picture">
                <pic:pic>
                  <pic:nvPicPr>
                    <pic:cNvPr id="804" name="Image 8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
          <w:vertAlign w:val="baseline"/>
        </w:rPr>
        <w:t> </w:t>
      </w:r>
      <w:r>
        <w:rPr>
          <w:rFonts w:ascii="Arial"/>
          <w:i/>
          <w:vertAlign w:val="baseline"/>
        </w:rPr>
        <w:t>[2015]</w:t>
      </w:r>
      <w:r>
        <w:rPr>
          <w:rFonts w:ascii="Arial"/>
          <w:i/>
          <w:spacing w:val="1"/>
          <w:vertAlign w:val="baseline"/>
        </w:rPr>
        <w:t> </w:t>
      </w:r>
      <w:r>
        <w:rPr>
          <w:rFonts w:ascii="Arial"/>
          <w:i/>
          <w:vertAlign w:val="baseline"/>
        </w:rPr>
        <w:t>UKSC</w:t>
      </w:r>
      <w:r>
        <w:rPr>
          <w:rFonts w:ascii="Arial"/>
          <w:i/>
          <w:spacing w:val="1"/>
          <w:vertAlign w:val="baseline"/>
        </w:rPr>
        <w:t> </w:t>
      </w:r>
      <w:r>
        <w:rPr>
          <w:rFonts w:ascii="Arial"/>
          <w:i/>
          <w:vertAlign w:val="baseline"/>
        </w:rPr>
        <w:t>67</w:t>
      </w:r>
      <w:r>
        <w:rPr>
          <w:rFonts w:ascii="Arial"/>
          <w:i/>
          <w:spacing w:val="1"/>
          <w:vertAlign w:val="baseline"/>
        </w:rPr>
        <w:t> </w:t>
      </w:r>
      <w:r>
        <w:rPr>
          <w:vertAlign w:val="baseline"/>
        </w:rPr>
        <w:t>at</w:t>
      </w:r>
      <w:r>
        <w:rPr>
          <w:spacing w:val="1"/>
          <w:vertAlign w:val="baseline"/>
        </w:rPr>
        <w:t> </w:t>
      </w:r>
      <w:r>
        <w:rPr>
          <w:vertAlign w:val="baseline"/>
        </w:rPr>
        <w:t>[36],</w:t>
      </w:r>
      <w:r>
        <w:rPr>
          <w:spacing w:val="1"/>
          <w:vertAlign w:val="baseline"/>
        </w:rPr>
        <w:t> </w:t>
      </w:r>
      <w:r>
        <w:rPr>
          <w:vertAlign w:val="baseline"/>
        </w:rPr>
        <w:t>[162]</w:t>
      </w:r>
      <w:r>
        <w:rPr>
          <w:spacing w:val="2"/>
          <w:vertAlign w:val="baseline"/>
        </w:rPr>
        <w:t> </w:t>
      </w:r>
      <w:r>
        <w:rPr>
          <w:vertAlign w:val="baseline"/>
        </w:rPr>
        <w:t>(Lord</w:t>
      </w:r>
      <w:r>
        <w:rPr>
          <w:spacing w:val="1"/>
          <w:vertAlign w:val="baseline"/>
        </w:rPr>
        <w:t> </w:t>
      </w:r>
      <w:r>
        <w:rPr>
          <w:vertAlign w:val="baseline"/>
        </w:rPr>
        <w:t>Mance),</w:t>
      </w:r>
      <w:r>
        <w:rPr>
          <w:spacing w:val="1"/>
          <w:vertAlign w:val="baseline"/>
        </w:rPr>
        <w:t> </w:t>
      </w:r>
      <w:r>
        <w:rPr>
          <w:vertAlign w:val="baseline"/>
        </w:rPr>
        <w:t>[218]</w:t>
      </w:r>
      <w:r>
        <w:rPr>
          <w:spacing w:val="2"/>
          <w:vertAlign w:val="baseline"/>
        </w:rPr>
        <w:t> </w:t>
      </w:r>
      <w:r>
        <w:rPr>
          <w:vertAlign w:val="baseline"/>
        </w:rPr>
        <w:t>and</w:t>
      </w:r>
      <w:r>
        <w:rPr>
          <w:spacing w:val="1"/>
          <w:vertAlign w:val="baseline"/>
        </w:rPr>
        <w:t> </w:t>
      </w:r>
      <w:r>
        <w:rPr>
          <w:vertAlign w:val="baseline"/>
        </w:rPr>
        <w:t>[256]</w:t>
      </w:r>
      <w:r>
        <w:rPr>
          <w:spacing w:val="1"/>
          <w:vertAlign w:val="baseline"/>
        </w:rPr>
        <w:t> </w:t>
      </w:r>
      <w:r>
        <w:rPr>
          <w:vertAlign w:val="baseline"/>
        </w:rPr>
        <w:t>(Lord</w:t>
      </w:r>
      <w:r>
        <w:rPr>
          <w:spacing w:val="2"/>
          <w:vertAlign w:val="baseline"/>
        </w:rPr>
        <w:t> </w:t>
      </w:r>
      <w:r>
        <w:rPr>
          <w:spacing w:val="-2"/>
          <w:vertAlign w:val="baseline"/>
        </w:rPr>
        <w:t>Hodge).</w:t>
      </w:r>
    </w:p>
    <w:p>
      <w:pPr>
        <w:pStyle w:val="BodyText"/>
        <w:spacing w:before="125"/>
      </w:pPr>
    </w:p>
    <w:p>
      <w:pPr>
        <w:spacing w:before="0"/>
        <w:ind w:left="165" w:right="0" w:firstLine="0"/>
        <w:jc w:val="left"/>
        <w:rPr>
          <w:sz w:val="20"/>
        </w:rPr>
      </w:pPr>
      <w:bookmarkStart w:name="_bookmark2192" w:id="2194"/>
      <w:bookmarkEnd w:id="2194"/>
      <w:r>
        <w:rPr/>
      </w:r>
      <w:hyperlink w:history="true" w:anchor="_bookmark2077">
        <w:r>
          <w:rPr>
            <w:color w:val="005DA1"/>
            <w:sz w:val="20"/>
            <w:u w:val="single" w:color="005DA1"/>
            <w:vertAlign w:val="superscript"/>
          </w:rPr>
          <w:t>1102</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05" name="Image 805"/>
            <wp:cNvGraphicFramePr>
              <a:graphicFrameLocks/>
            </wp:cNvGraphicFramePr>
            <a:graphic>
              <a:graphicData uri="http://schemas.openxmlformats.org/drawingml/2006/picture">
                <pic:pic>
                  <pic:nvPicPr>
                    <pic:cNvPr id="805" name="Image 80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
          <w:sz w:val="20"/>
          <w:vertAlign w:val="baseline"/>
        </w:rPr>
        <w:t> </w:t>
      </w:r>
      <w:r>
        <w:rPr>
          <w:sz w:val="20"/>
          <w:vertAlign w:val="baseline"/>
        </w:rPr>
        <w:t>Lord</w:t>
      </w:r>
      <w:r>
        <w:rPr>
          <w:spacing w:val="1"/>
          <w:sz w:val="20"/>
          <w:vertAlign w:val="baseline"/>
        </w:rPr>
        <w:t> </w:t>
      </w:r>
      <w:r>
        <w:rPr>
          <w:sz w:val="20"/>
          <w:vertAlign w:val="baseline"/>
        </w:rPr>
        <w:t>Hodge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 </w:t>
      </w:r>
      <w:r>
        <w:rPr>
          <w:sz w:val="20"/>
          <w:vertAlign w:val="baseline"/>
        </w:rPr>
        <w:t>at</w:t>
      </w:r>
      <w:r>
        <w:rPr>
          <w:spacing w:val="2"/>
          <w:sz w:val="20"/>
          <w:vertAlign w:val="baseline"/>
        </w:rPr>
        <w:t> </w:t>
      </w:r>
      <w:r>
        <w:rPr>
          <w:sz w:val="20"/>
          <w:vertAlign w:val="baseline"/>
        </w:rPr>
        <w:t>[256]</w:t>
      </w:r>
      <w:r>
        <w:rPr>
          <w:spacing w:val="2"/>
          <w:sz w:val="20"/>
          <w:vertAlign w:val="baseline"/>
        </w:rPr>
        <w:t> </w:t>
      </w:r>
      <w:r>
        <w:rPr>
          <w:sz w:val="20"/>
          <w:vertAlign w:val="baseline"/>
        </w:rPr>
        <w:t>and</w:t>
      </w:r>
      <w:r>
        <w:rPr>
          <w:spacing w:val="2"/>
          <w:sz w:val="20"/>
          <w:vertAlign w:val="baseline"/>
        </w:rPr>
        <w:t> </w:t>
      </w:r>
      <w:r>
        <w:rPr>
          <w:spacing w:val="-2"/>
          <w:sz w:val="20"/>
          <w:vertAlign w:val="baseline"/>
        </w:rPr>
        <w:t>[267].</w:t>
      </w:r>
    </w:p>
    <w:p>
      <w:pPr>
        <w:pStyle w:val="BodyText"/>
        <w:spacing w:before="125"/>
      </w:pPr>
    </w:p>
    <w:p>
      <w:pPr>
        <w:spacing w:before="0"/>
        <w:ind w:left="165" w:right="0" w:firstLine="0"/>
        <w:jc w:val="left"/>
        <w:rPr>
          <w:sz w:val="20"/>
        </w:rPr>
      </w:pPr>
      <w:bookmarkStart w:name="_bookmark2193" w:id="2195"/>
      <w:bookmarkEnd w:id="2195"/>
      <w:r>
        <w:rPr/>
      </w:r>
      <w:hyperlink w:history="true" w:anchor="_bookmark2078">
        <w:r>
          <w:rPr>
            <w:color w:val="005DA1"/>
            <w:sz w:val="20"/>
            <w:u w:val="single" w:color="005DA1"/>
            <w:vertAlign w:val="superscript"/>
          </w:rPr>
          <w:t>1103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06" name="Image 806"/>
            <wp:cNvGraphicFramePr>
              <a:graphicFrameLocks/>
            </wp:cNvGraphicFramePr>
            <a:graphic>
              <a:graphicData uri="http://schemas.openxmlformats.org/drawingml/2006/picture">
                <pic:pic>
                  <pic:nvPicPr>
                    <pic:cNvPr id="806" name="Image 8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2"/>
          <w:sz w:val="20"/>
          <w:vertAlign w:val="baseline"/>
        </w:rPr>
        <w:t> </w:t>
      </w:r>
      <w:r>
        <w:rPr>
          <w:sz w:val="20"/>
          <w:vertAlign w:val="baseline"/>
        </w:rPr>
        <w:t>[38],</w:t>
      </w:r>
      <w:r>
        <w:rPr>
          <w:spacing w:val="3"/>
          <w:sz w:val="20"/>
          <w:vertAlign w:val="baseline"/>
        </w:rPr>
        <w:t> </w:t>
      </w:r>
      <w:r>
        <w:rPr>
          <w:spacing w:val="-2"/>
          <w:sz w:val="20"/>
          <w:vertAlign w:val="baseline"/>
        </w:rPr>
        <w:t>[260].</w:t>
      </w:r>
    </w:p>
    <w:p>
      <w:pPr>
        <w:pStyle w:val="BodyText"/>
        <w:spacing w:before="125"/>
      </w:pPr>
    </w:p>
    <w:p>
      <w:pPr>
        <w:spacing w:before="0"/>
        <w:ind w:left="165" w:right="0" w:firstLine="0"/>
        <w:jc w:val="left"/>
        <w:rPr>
          <w:sz w:val="20"/>
        </w:rPr>
      </w:pPr>
      <w:bookmarkStart w:name="_bookmark2194" w:id="2196"/>
      <w:bookmarkEnd w:id="2196"/>
      <w:r>
        <w:rPr/>
      </w:r>
      <w:hyperlink w:history="true" w:anchor="_bookmark2079">
        <w:r>
          <w:rPr>
            <w:color w:val="005DA1"/>
            <w:sz w:val="20"/>
            <w:u w:val="single" w:color="005DA1"/>
            <w:vertAlign w:val="superscript"/>
          </w:rPr>
          <w:t>1104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07" name="Image 807"/>
            <wp:cNvGraphicFramePr>
              <a:graphicFrameLocks/>
            </wp:cNvGraphicFramePr>
            <a:graphic>
              <a:graphicData uri="http://schemas.openxmlformats.org/drawingml/2006/picture">
                <pic:pic>
                  <pic:nvPicPr>
                    <pic:cNvPr id="807" name="Image 8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Lord</w:t>
      </w:r>
      <w:r>
        <w:rPr>
          <w:spacing w:val="1"/>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1"/>
          <w:sz w:val="20"/>
          <w:vertAlign w:val="baseline"/>
        </w:rPr>
        <w:t> </w:t>
      </w:r>
      <w:r>
        <w:rPr>
          <w:sz w:val="20"/>
          <w:vertAlign w:val="baseline"/>
        </w:rPr>
        <w:t>[167];</w:t>
      </w:r>
      <w:r>
        <w:rPr>
          <w:spacing w:val="2"/>
          <w:sz w:val="20"/>
          <w:vertAlign w:val="baseline"/>
        </w:rPr>
        <w:t> </w:t>
      </w:r>
      <w:r>
        <w:rPr>
          <w:sz w:val="20"/>
          <w:vertAlign w:val="baseline"/>
        </w:rPr>
        <w:t>Lord</w:t>
      </w:r>
      <w:r>
        <w:rPr>
          <w:spacing w:val="1"/>
          <w:sz w:val="20"/>
          <w:vertAlign w:val="baseline"/>
        </w:rPr>
        <w:t> </w:t>
      </w:r>
      <w:r>
        <w:rPr>
          <w:sz w:val="20"/>
          <w:vertAlign w:val="baseline"/>
        </w:rPr>
        <w:t>Hodge</w:t>
      </w:r>
      <w:r>
        <w:rPr>
          <w:spacing w:val="2"/>
          <w:sz w:val="20"/>
          <w:vertAlign w:val="baseline"/>
        </w:rPr>
        <w:t> </w:t>
      </w:r>
      <w:r>
        <w:rPr>
          <w:sz w:val="20"/>
          <w:vertAlign w:val="baseline"/>
        </w:rPr>
        <w:t>at</w:t>
      </w:r>
      <w:r>
        <w:rPr>
          <w:spacing w:val="2"/>
          <w:sz w:val="20"/>
          <w:vertAlign w:val="baseline"/>
        </w:rPr>
        <w:t> </w:t>
      </w:r>
      <w:r>
        <w:rPr>
          <w:spacing w:val="-2"/>
          <w:sz w:val="20"/>
          <w:vertAlign w:val="baseline"/>
        </w:rPr>
        <w:t>[263].</w:t>
      </w:r>
    </w:p>
    <w:p>
      <w:pPr>
        <w:pStyle w:val="BodyText"/>
        <w:spacing w:before="125"/>
      </w:pPr>
    </w:p>
    <w:p>
      <w:pPr>
        <w:spacing w:before="1"/>
        <w:ind w:left="165" w:right="0" w:firstLine="0"/>
        <w:jc w:val="left"/>
        <w:rPr>
          <w:sz w:val="20"/>
        </w:rPr>
      </w:pPr>
      <w:bookmarkStart w:name="_bookmark2195" w:id="2197"/>
      <w:bookmarkEnd w:id="2197"/>
      <w:r>
        <w:rPr/>
      </w:r>
      <w:hyperlink w:history="true" w:anchor="_bookmark2080">
        <w:r>
          <w:rPr>
            <w:color w:val="005DA1"/>
            <w:sz w:val="20"/>
            <w:u w:val="single" w:color="005DA1"/>
            <w:vertAlign w:val="superscript"/>
          </w:rPr>
          <w:t>1105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08" name="Image 808"/>
            <wp:cNvGraphicFramePr>
              <a:graphicFrameLocks/>
            </wp:cNvGraphicFramePr>
            <a:graphic>
              <a:graphicData uri="http://schemas.openxmlformats.org/drawingml/2006/picture">
                <pic:pic>
                  <pic:nvPicPr>
                    <pic:cNvPr id="808" name="Image 8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3"/>
          <w:sz w:val="20"/>
          <w:vertAlign w:val="baseline"/>
        </w:rPr>
        <w:t> </w:t>
      </w:r>
      <w:r>
        <w:rPr>
          <w:sz w:val="20"/>
          <w:vertAlign w:val="baseline"/>
        </w:rPr>
        <w:t>Lord</w:t>
      </w:r>
      <w:r>
        <w:rPr>
          <w:spacing w:val="1"/>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 </w:t>
      </w:r>
      <w:r>
        <w:rPr>
          <w:sz w:val="20"/>
          <w:vertAlign w:val="baseline"/>
        </w:rPr>
        <w:t>at</w:t>
      </w:r>
      <w:r>
        <w:rPr>
          <w:spacing w:val="2"/>
          <w:sz w:val="20"/>
          <w:vertAlign w:val="baseline"/>
        </w:rPr>
        <w:t> </w:t>
      </w:r>
      <w:r>
        <w:rPr>
          <w:sz w:val="20"/>
          <w:vertAlign w:val="baseline"/>
        </w:rPr>
        <w:t>[163];</w:t>
      </w:r>
      <w:r>
        <w:rPr>
          <w:spacing w:val="1"/>
          <w:sz w:val="20"/>
          <w:vertAlign w:val="baseline"/>
        </w:rPr>
        <w:t> </w:t>
      </w:r>
      <w:r>
        <w:rPr>
          <w:sz w:val="20"/>
          <w:vertAlign w:val="baseline"/>
        </w:rPr>
        <w:t>Lord</w:t>
      </w:r>
      <w:r>
        <w:rPr>
          <w:spacing w:val="2"/>
          <w:sz w:val="20"/>
          <w:vertAlign w:val="baseline"/>
        </w:rPr>
        <w:t> </w:t>
      </w:r>
      <w:r>
        <w:rPr>
          <w:sz w:val="20"/>
          <w:vertAlign w:val="baseline"/>
        </w:rPr>
        <w:t>Hodge</w:t>
      </w:r>
      <w:r>
        <w:rPr>
          <w:spacing w:val="1"/>
          <w:sz w:val="20"/>
          <w:vertAlign w:val="baseline"/>
        </w:rPr>
        <w:t> </w:t>
      </w:r>
      <w:r>
        <w:rPr>
          <w:sz w:val="20"/>
          <w:vertAlign w:val="baseline"/>
        </w:rPr>
        <w:t>at</w:t>
      </w:r>
      <w:r>
        <w:rPr>
          <w:spacing w:val="2"/>
          <w:sz w:val="20"/>
          <w:vertAlign w:val="baseline"/>
        </w:rPr>
        <w:t> </w:t>
      </w:r>
      <w:r>
        <w:rPr>
          <w:spacing w:val="-2"/>
          <w:sz w:val="20"/>
          <w:vertAlign w:val="baseline"/>
        </w:rPr>
        <w:t>[263].</w:t>
      </w:r>
    </w:p>
    <w:p>
      <w:pPr>
        <w:pStyle w:val="BodyText"/>
        <w:spacing w:before="128"/>
      </w:pPr>
    </w:p>
    <w:p>
      <w:pPr>
        <w:pStyle w:val="BodyText"/>
        <w:spacing w:line="235" w:lineRule="auto"/>
        <w:ind w:left="705" w:right="167" w:hanging="541"/>
        <w:jc w:val="both"/>
      </w:pPr>
      <w:bookmarkStart w:name="_bookmark2196" w:id="2198"/>
      <w:bookmarkEnd w:id="2198"/>
      <w:r>
        <w:rPr/>
      </w:r>
      <w:hyperlink w:history="true" w:anchor="_bookmark2081">
        <w:r>
          <w:rPr>
            <w:color w:val="005DA1"/>
            <w:u w:val="single" w:color="005DA1"/>
            <w:vertAlign w:val="superscript"/>
          </w:rPr>
          <w:t>1106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09" name="Image 809"/>
            <wp:cNvGraphicFramePr>
              <a:graphicFrameLocks/>
            </wp:cNvGraphicFramePr>
            <a:graphic>
              <a:graphicData uri="http://schemas.openxmlformats.org/drawingml/2006/picture">
                <pic:pic>
                  <pic:nvPicPr>
                    <pic:cNvPr id="809" name="Image 8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w:t>
      </w:r>
      <w:r>
        <w:rPr>
          <w:rFonts w:ascii="Arial" w:hAnsi="Arial"/>
          <w:i/>
          <w:vertAlign w:val="baseline"/>
        </w:rPr>
        <w:t>[2015] UKSC 67 </w:t>
      </w:r>
      <w:r>
        <w:rPr>
          <w:vertAlign w:val="baseline"/>
        </w:rPr>
        <w:t>at [164]–[167] (Lords Neuberger and Sumption) and [264]–[265] (Lord </w:t>
      </w:r>
      <w:r>
        <w:rPr>
          <w:spacing w:val="-2"/>
          <w:vertAlign w:val="baseline"/>
        </w:rPr>
        <w:t>Hodge).</w:t>
      </w:r>
    </w:p>
    <w:p>
      <w:pPr>
        <w:pStyle w:val="BodyText"/>
        <w:spacing w:before="129"/>
      </w:pPr>
    </w:p>
    <w:p>
      <w:pPr>
        <w:spacing w:line="235" w:lineRule="auto" w:before="1"/>
        <w:ind w:left="705" w:right="0" w:hanging="541"/>
        <w:jc w:val="left"/>
        <w:rPr>
          <w:sz w:val="20"/>
        </w:rPr>
      </w:pPr>
      <w:bookmarkStart w:name="_bookmark2197" w:id="2199"/>
      <w:bookmarkEnd w:id="2199"/>
      <w:r>
        <w:rPr/>
      </w:r>
      <w:hyperlink w:history="true" w:anchor="_bookmark2082">
        <w:r>
          <w:rPr>
            <w:color w:val="005DA1"/>
            <w:sz w:val="20"/>
            <w:u w:val="single" w:color="005DA1"/>
            <w:vertAlign w:val="superscript"/>
          </w:rPr>
          <w:t>1107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10" name="Image 810"/>
            <wp:cNvGraphicFramePr>
              <a:graphicFrameLocks/>
            </wp:cNvGraphicFramePr>
            <a:graphic>
              <a:graphicData uri="http://schemas.openxmlformats.org/drawingml/2006/picture">
                <pic:pic>
                  <pic:nvPicPr>
                    <pic:cNvPr id="810" name="Image 8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5"/>
      </w:pPr>
    </w:p>
    <w:p>
      <w:pPr>
        <w:spacing w:before="0"/>
        <w:ind w:left="165" w:right="0" w:firstLine="0"/>
        <w:jc w:val="left"/>
        <w:rPr>
          <w:sz w:val="20"/>
        </w:rPr>
      </w:pPr>
      <w:bookmarkStart w:name="_bookmark2198" w:id="2200"/>
      <w:bookmarkEnd w:id="2200"/>
      <w:r>
        <w:rPr/>
      </w:r>
      <w:hyperlink w:history="true" w:anchor="_bookmark2083">
        <w:r>
          <w:rPr>
            <w:color w:val="005DA1"/>
            <w:sz w:val="20"/>
            <w:u w:val="single" w:color="005DA1"/>
            <w:vertAlign w:val="superscript"/>
          </w:rPr>
          <w:t>1108</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11" name="Image 811"/>
            <wp:cNvGraphicFramePr>
              <a:graphicFrameLocks/>
            </wp:cNvGraphicFramePr>
            <a:graphic>
              <a:graphicData uri="http://schemas.openxmlformats.org/drawingml/2006/picture">
                <pic:pic>
                  <pic:nvPicPr>
                    <pic:cNvPr id="811" name="Image 8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5"/>
      </w:pPr>
    </w:p>
    <w:p>
      <w:pPr>
        <w:spacing w:line="227" w:lineRule="exact" w:before="0"/>
        <w:ind w:left="165" w:right="0" w:firstLine="0"/>
        <w:jc w:val="left"/>
        <w:rPr>
          <w:sz w:val="20"/>
        </w:rPr>
      </w:pPr>
      <w:bookmarkStart w:name="_bookmark2199" w:id="2201"/>
      <w:bookmarkEnd w:id="2201"/>
      <w:r>
        <w:rPr/>
      </w:r>
      <w:hyperlink w:history="true" w:anchor="_bookmark2084">
        <w:r>
          <w:rPr>
            <w:color w:val="005DA1"/>
            <w:sz w:val="20"/>
            <w:u w:val="single" w:color="005DA1"/>
            <w:vertAlign w:val="superscript"/>
          </w:rPr>
          <w:t>1109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812" name="Image 812"/>
            <wp:cNvGraphicFramePr>
              <a:graphicFrameLocks/>
            </wp:cNvGraphicFramePr>
            <a:graphic>
              <a:graphicData uri="http://schemas.openxmlformats.org/drawingml/2006/picture">
                <pic:pic>
                  <pic:nvPicPr>
                    <pic:cNvPr id="812" name="Image 81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14"/>
          <w:sz w:val="20"/>
          <w:vertAlign w:val="baseline"/>
        </w:rPr>
        <w:t> </w:t>
      </w:r>
      <w:r>
        <w:rPr>
          <w:rFonts w:ascii="Arial" w:hAnsi="Arial"/>
          <w:i/>
          <w:sz w:val="20"/>
          <w:vertAlign w:val="baseline"/>
        </w:rPr>
        <w:t>UKSC</w:t>
      </w:r>
      <w:r>
        <w:rPr>
          <w:rFonts w:ascii="Arial" w:hAnsi="Arial"/>
          <w:i/>
          <w:spacing w:val="12"/>
          <w:sz w:val="20"/>
          <w:vertAlign w:val="baseline"/>
        </w:rPr>
        <w:t> </w:t>
      </w:r>
      <w:r>
        <w:rPr>
          <w:rFonts w:ascii="Arial" w:hAnsi="Arial"/>
          <w:i/>
          <w:sz w:val="20"/>
          <w:vertAlign w:val="baseline"/>
        </w:rPr>
        <w:t>67</w:t>
      </w:r>
      <w:r>
        <w:rPr>
          <w:rFonts w:ascii="Arial" w:hAnsi="Arial"/>
          <w:i/>
          <w:spacing w:val="11"/>
          <w:sz w:val="20"/>
          <w:vertAlign w:val="baseline"/>
        </w:rPr>
        <w:t> </w:t>
      </w:r>
      <w:r>
        <w:rPr>
          <w:sz w:val="20"/>
          <w:vertAlign w:val="baseline"/>
        </w:rPr>
        <w:t>at</w:t>
      </w:r>
      <w:r>
        <w:rPr>
          <w:spacing w:val="12"/>
          <w:sz w:val="20"/>
          <w:vertAlign w:val="baseline"/>
        </w:rPr>
        <w:t> </w:t>
      </w:r>
      <w:r>
        <w:rPr>
          <w:sz w:val="20"/>
          <w:vertAlign w:val="baseline"/>
        </w:rPr>
        <w:t>[22]–[23],</w:t>
      </w:r>
      <w:r>
        <w:rPr>
          <w:spacing w:val="13"/>
          <w:sz w:val="20"/>
          <w:vertAlign w:val="baseline"/>
        </w:rPr>
        <w:t> </w:t>
      </w:r>
      <w:r>
        <w:rPr>
          <w:sz w:val="20"/>
          <w:vertAlign w:val="baseline"/>
        </w:rPr>
        <w:t>[135]–[139],</w:t>
      </w:r>
      <w:r>
        <w:rPr>
          <w:spacing w:val="12"/>
          <w:sz w:val="20"/>
          <w:vertAlign w:val="baseline"/>
        </w:rPr>
        <w:t> </w:t>
      </w:r>
      <w:r>
        <w:rPr>
          <w:sz w:val="20"/>
          <w:vertAlign w:val="baseline"/>
        </w:rPr>
        <w:t>referring</w:t>
      </w:r>
      <w:r>
        <w:rPr>
          <w:spacing w:val="12"/>
          <w:sz w:val="20"/>
          <w:vertAlign w:val="baseline"/>
        </w:rPr>
        <w:t> </w:t>
      </w:r>
      <w:r>
        <w:rPr>
          <w:sz w:val="20"/>
          <w:vertAlign w:val="baseline"/>
        </w:rPr>
        <w:t>to</w:t>
      </w:r>
      <w:r>
        <w:rPr>
          <w:spacing w:val="11"/>
          <w:sz w:val="20"/>
          <w:vertAlign w:val="baseline"/>
        </w:rPr>
        <w:t> </w:t>
      </w:r>
      <w:r>
        <w:rPr>
          <w:rFonts w:ascii="Arial" w:hAnsi="Arial"/>
          <w:i/>
          <w:sz w:val="20"/>
          <w:vertAlign w:val="baseline"/>
        </w:rPr>
        <w:t>[1915]</w:t>
      </w:r>
      <w:r>
        <w:rPr>
          <w:rFonts w:ascii="Arial" w:hAnsi="Arial"/>
          <w:i/>
          <w:spacing w:val="13"/>
          <w:sz w:val="20"/>
          <w:vertAlign w:val="baseline"/>
        </w:rPr>
        <w:t> </w:t>
      </w:r>
      <w:r>
        <w:rPr>
          <w:rFonts w:ascii="Arial" w:hAnsi="Arial"/>
          <w:i/>
          <w:sz w:val="20"/>
          <w:vertAlign w:val="baseline"/>
        </w:rPr>
        <w:t>A.C.</w:t>
      </w:r>
      <w:r>
        <w:rPr>
          <w:rFonts w:ascii="Arial" w:hAnsi="Arial"/>
          <w:i/>
          <w:spacing w:val="12"/>
          <w:sz w:val="20"/>
          <w:vertAlign w:val="baseline"/>
        </w:rPr>
        <w:t> </w:t>
      </w:r>
      <w:r>
        <w:rPr>
          <w:rFonts w:ascii="Arial" w:hAnsi="Arial"/>
          <w:i/>
          <w:sz w:val="20"/>
          <w:vertAlign w:val="baseline"/>
        </w:rPr>
        <w:t>79,</w:t>
      </w:r>
      <w:r>
        <w:rPr>
          <w:rFonts w:ascii="Arial" w:hAnsi="Arial"/>
          <w:i/>
          <w:spacing w:val="12"/>
          <w:sz w:val="20"/>
          <w:vertAlign w:val="baseline"/>
        </w:rPr>
        <w:t> </w:t>
      </w:r>
      <w:r>
        <w:rPr>
          <w:rFonts w:ascii="Arial" w:hAnsi="Arial"/>
          <w:i/>
          <w:sz w:val="20"/>
          <w:vertAlign w:val="baseline"/>
        </w:rPr>
        <w:t>90–93</w:t>
      </w:r>
      <w:r>
        <w:rPr>
          <w:sz w:val="20"/>
          <w:vertAlign w:val="baseline"/>
        </w:rPr>
        <w:t>.</w:t>
      </w:r>
      <w:r>
        <w:rPr>
          <w:spacing w:val="12"/>
          <w:sz w:val="20"/>
          <w:vertAlign w:val="baseline"/>
        </w:rPr>
        <w:t> </w:t>
      </w:r>
      <w:r>
        <w:rPr>
          <w:sz w:val="20"/>
          <w:vertAlign w:val="baseline"/>
        </w:rPr>
        <w:t>Lord</w:t>
      </w:r>
      <w:r>
        <w:rPr>
          <w:spacing w:val="12"/>
          <w:sz w:val="20"/>
          <w:vertAlign w:val="baseline"/>
        </w:rPr>
        <w:t> </w:t>
      </w:r>
      <w:r>
        <w:rPr>
          <w:sz w:val="20"/>
          <w:vertAlign w:val="baseline"/>
        </w:rPr>
        <w:t>Mance</w:t>
      </w:r>
      <w:r>
        <w:rPr>
          <w:spacing w:val="13"/>
          <w:sz w:val="20"/>
          <w:vertAlign w:val="baseline"/>
        </w:rPr>
        <w:t> </w:t>
      </w:r>
      <w:r>
        <w:rPr>
          <w:spacing w:val="-5"/>
          <w:sz w:val="20"/>
          <w:vertAlign w:val="baseline"/>
        </w:rPr>
        <w:t>(at</w:t>
      </w:r>
    </w:p>
    <w:p>
      <w:pPr>
        <w:spacing w:line="235" w:lineRule="auto" w:before="1"/>
        <w:ind w:left="705" w:right="0" w:firstLine="0"/>
        <w:jc w:val="left"/>
        <w:rPr>
          <w:sz w:val="20"/>
        </w:rPr>
      </w:pPr>
      <w:r>
        <w:rPr>
          <w:sz w:val="20"/>
        </w:rPr>
        <w:t>[132]–[134])</w:t>
      </w:r>
      <w:r>
        <w:rPr>
          <w:spacing w:val="72"/>
          <w:sz w:val="20"/>
        </w:rPr>
        <w:t> </w:t>
      </w:r>
      <w:r>
        <w:rPr>
          <w:sz w:val="20"/>
        </w:rPr>
        <w:t>also</w:t>
      </w:r>
      <w:r>
        <w:rPr>
          <w:spacing w:val="72"/>
          <w:sz w:val="20"/>
        </w:rPr>
        <w:t> </w:t>
      </w:r>
      <w:r>
        <w:rPr>
          <w:sz w:val="20"/>
        </w:rPr>
        <w:t>referred</w:t>
      </w:r>
      <w:r>
        <w:rPr>
          <w:spacing w:val="72"/>
          <w:sz w:val="20"/>
        </w:rPr>
        <w:t> </w:t>
      </w:r>
      <w:r>
        <w:rPr>
          <w:sz w:val="20"/>
        </w:rPr>
        <w:t>to</w:t>
      </w:r>
      <w:r>
        <w:rPr>
          <w:spacing w:val="72"/>
          <w:sz w:val="20"/>
        </w:rPr>
        <w:t> </w:t>
      </w:r>
      <w:r>
        <w:rPr>
          <w:sz w:val="20"/>
        </w:rPr>
        <w:t>the</w:t>
      </w:r>
      <w:r>
        <w:rPr>
          <w:spacing w:val="72"/>
          <w:sz w:val="20"/>
        </w:rPr>
        <w:t> </w:t>
      </w:r>
      <w:r>
        <w:rPr>
          <w:sz w:val="20"/>
        </w:rPr>
        <w:t>words</w:t>
      </w:r>
      <w:r>
        <w:rPr>
          <w:spacing w:val="72"/>
          <w:sz w:val="20"/>
        </w:rPr>
        <w:t> </w:t>
      </w:r>
      <w:r>
        <w:rPr>
          <w:sz w:val="20"/>
        </w:rPr>
        <w:t>of</w:t>
      </w:r>
      <w:r>
        <w:rPr>
          <w:spacing w:val="72"/>
          <w:sz w:val="20"/>
        </w:rPr>
        <w:t> </w:t>
      </w:r>
      <w:r>
        <w:rPr>
          <w:sz w:val="20"/>
        </w:rPr>
        <w:t>Lord</w:t>
      </w:r>
      <w:r>
        <w:rPr>
          <w:spacing w:val="72"/>
          <w:sz w:val="20"/>
        </w:rPr>
        <w:t> </w:t>
      </w:r>
      <w:r>
        <w:rPr>
          <w:sz w:val="20"/>
        </w:rPr>
        <w:t>Robertson</w:t>
      </w:r>
      <w:r>
        <w:rPr>
          <w:spacing w:val="72"/>
          <w:sz w:val="20"/>
        </w:rPr>
        <w:t> </w:t>
      </w:r>
      <w:r>
        <w:rPr>
          <w:sz w:val="20"/>
        </w:rPr>
        <w:t>in</w:t>
      </w:r>
      <w:r>
        <w:rPr>
          <w:spacing w:val="72"/>
          <w:sz w:val="20"/>
        </w:rPr>
        <w:t> </w:t>
      </w:r>
      <w:r>
        <w:rPr>
          <w:rFonts w:ascii="Arial" w:hAnsi="Arial"/>
          <w:i/>
          <w:sz w:val="20"/>
        </w:rPr>
        <w:t>Clydebank</w:t>
      </w:r>
      <w:r>
        <w:rPr>
          <w:rFonts w:ascii="Arial" w:hAnsi="Arial"/>
          <w:i/>
          <w:spacing w:val="72"/>
          <w:sz w:val="20"/>
        </w:rPr>
        <w:t> </w:t>
      </w:r>
      <w:r>
        <w:rPr>
          <w:rFonts w:ascii="Arial" w:hAnsi="Arial"/>
          <w:i/>
          <w:sz w:val="20"/>
        </w:rPr>
        <w:t>Engineering</w:t>
      </w:r>
      <w:r>
        <w:rPr>
          <w:rFonts w:ascii="Arial" w:hAnsi="Arial"/>
          <w:i/>
          <w:spacing w:val="72"/>
          <w:sz w:val="20"/>
        </w:rPr>
        <w:t> </w:t>
      </w:r>
      <w:r>
        <w:rPr>
          <w:rFonts w:ascii="Arial" w:hAnsi="Arial"/>
          <w:i/>
          <w:sz w:val="20"/>
        </w:rPr>
        <w:t>&amp; Shipbuilding Co Ltd v Yzquierdo y Castaneda [1905] A.C. 6, 19</w:t>
      </w:r>
      <w:r>
        <w:rPr>
          <w:sz w:val="20"/>
        </w:rPr>
        <w:t>.</w:t>
      </w:r>
    </w:p>
    <w:p>
      <w:pPr>
        <w:pStyle w:val="BodyText"/>
        <w:spacing w:before="126"/>
      </w:pPr>
    </w:p>
    <w:p>
      <w:pPr>
        <w:spacing w:before="0"/>
        <w:ind w:left="165" w:right="0" w:firstLine="0"/>
        <w:jc w:val="left"/>
        <w:rPr>
          <w:sz w:val="20"/>
        </w:rPr>
      </w:pPr>
      <w:bookmarkStart w:name="_bookmark2200" w:id="2202"/>
      <w:bookmarkEnd w:id="2202"/>
      <w:r>
        <w:rPr/>
      </w:r>
      <w:hyperlink w:history="true" w:anchor="_bookmark2085">
        <w:r>
          <w:rPr>
            <w:color w:val="005DA1"/>
            <w:sz w:val="20"/>
            <w:u w:val="single" w:color="005DA1"/>
            <w:vertAlign w:val="superscript"/>
          </w:rPr>
          <w:t>1110</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13" name="Image 813"/>
            <wp:cNvGraphicFramePr>
              <a:graphicFrameLocks/>
            </wp:cNvGraphicFramePr>
            <a:graphic>
              <a:graphicData uri="http://schemas.openxmlformats.org/drawingml/2006/picture">
                <pic:pic>
                  <pic:nvPicPr>
                    <pic:cNvPr id="813" name="Image 8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[143].</w:t>
      </w:r>
    </w:p>
    <w:p>
      <w:pPr>
        <w:pStyle w:val="BodyText"/>
        <w:spacing w:before="125"/>
      </w:pPr>
    </w:p>
    <w:p>
      <w:pPr>
        <w:spacing w:before="0"/>
        <w:ind w:left="165" w:right="0" w:firstLine="0"/>
        <w:jc w:val="left"/>
        <w:rPr>
          <w:sz w:val="20"/>
        </w:rPr>
      </w:pPr>
      <w:bookmarkStart w:name="_bookmark2201" w:id="2203"/>
      <w:bookmarkEnd w:id="2203"/>
      <w:r>
        <w:rPr/>
      </w:r>
      <w:hyperlink w:history="true" w:anchor="_bookmark2086">
        <w:r>
          <w:rPr>
            <w:color w:val="005DA1"/>
            <w:sz w:val="20"/>
            <w:u w:val="single" w:color="005DA1"/>
            <w:vertAlign w:val="superscript"/>
          </w:rPr>
          <w:t>1111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14" name="Image 814"/>
            <wp:cNvGraphicFramePr>
              <a:graphicFrameLocks/>
            </wp:cNvGraphicFramePr>
            <a:graphic>
              <a:graphicData uri="http://schemas.openxmlformats.org/drawingml/2006/picture">
                <pic:pic>
                  <pic:nvPicPr>
                    <pic:cNvPr id="814" name="Image 8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2"/>
          <w:sz w:val="20"/>
          <w:vertAlign w:val="baseline"/>
        </w:rPr>
        <w:t> </w:t>
      </w:r>
      <w:r>
        <w:rPr>
          <w:rFonts w:ascii="Arial" w:hAnsi="Arial"/>
          <w:i/>
          <w:sz w:val="20"/>
          <w:vertAlign w:val="baseline"/>
        </w:rPr>
        <w:t>UKSC</w:t>
      </w:r>
      <w:r>
        <w:rPr>
          <w:rFonts w:ascii="Arial" w:hAnsi="Arial"/>
          <w:i/>
          <w:spacing w:val="1"/>
          <w:sz w:val="20"/>
          <w:vertAlign w:val="baseline"/>
        </w:rPr>
        <w:t> </w:t>
      </w:r>
      <w:r>
        <w:rPr>
          <w:rFonts w:ascii="Arial" w:hAnsi="Arial"/>
          <w:i/>
          <w:sz w:val="20"/>
          <w:vertAlign w:val="baseline"/>
        </w:rPr>
        <w:t>67</w:t>
      </w:r>
      <w:r>
        <w:rPr>
          <w:rFonts w:ascii="Arial" w:hAnsi="Arial"/>
          <w:i/>
          <w:spacing w:val="1"/>
          <w:sz w:val="20"/>
          <w:vertAlign w:val="baseline"/>
        </w:rPr>
        <w:t> </w:t>
      </w:r>
      <w:r>
        <w:rPr>
          <w:sz w:val="20"/>
          <w:vertAlign w:val="baseline"/>
        </w:rPr>
        <w:t>at</w:t>
      </w:r>
      <w:r>
        <w:rPr>
          <w:spacing w:val="2"/>
          <w:sz w:val="20"/>
          <w:vertAlign w:val="baseline"/>
        </w:rPr>
        <w:t> </w:t>
      </w:r>
      <w:r>
        <w:rPr>
          <w:sz w:val="20"/>
          <w:vertAlign w:val="baseline"/>
        </w:rPr>
        <w:t>[28];</w:t>
      </w:r>
      <w:r>
        <w:rPr>
          <w:spacing w:val="2"/>
          <w:sz w:val="20"/>
          <w:vertAlign w:val="baseline"/>
        </w:rPr>
        <w:t> </w:t>
      </w:r>
      <w:r>
        <w:rPr>
          <w:sz w:val="20"/>
          <w:vertAlign w:val="baseline"/>
        </w:rPr>
        <w:t>cf.</w:t>
      </w:r>
      <w:r>
        <w:rPr>
          <w:spacing w:val="1"/>
          <w:sz w:val="20"/>
          <w:vertAlign w:val="baseline"/>
        </w:rPr>
        <w:t> </w:t>
      </w:r>
      <w:r>
        <w:rPr>
          <w:sz w:val="20"/>
          <w:vertAlign w:val="baseline"/>
        </w:rPr>
        <w:t>at</w:t>
      </w:r>
      <w:r>
        <w:rPr>
          <w:spacing w:val="2"/>
          <w:sz w:val="20"/>
          <w:vertAlign w:val="baseline"/>
        </w:rPr>
        <w:t> </w:t>
      </w:r>
      <w:r>
        <w:rPr>
          <w:sz w:val="20"/>
          <w:vertAlign w:val="baseline"/>
        </w:rPr>
        <w:t>[248]–[249]</w:t>
      </w:r>
      <w:r>
        <w:rPr>
          <w:spacing w:val="2"/>
          <w:sz w:val="20"/>
          <w:vertAlign w:val="baseline"/>
        </w:rPr>
        <w:t> </w:t>
      </w:r>
      <w:r>
        <w:rPr>
          <w:sz w:val="20"/>
          <w:vertAlign w:val="baseline"/>
        </w:rPr>
        <w:t>(Lord</w:t>
      </w:r>
      <w:r>
        <w:rPr>
          <w:spacing w:val="2"/>
          <w:sz w:val="20"/>
          <w:vertAlign w:val="baseline"/>
        </w:rPr>
        <w:t> </w:t>
      </w:r>
      <w:r>
        <w:rPr>
          <w:spacing w:val="-2"/>
          <w:sz w:val="20"/>
          <w:vertAlign w:val="baseline"/>
        </w:rPr>
        <w:t>Hodge).</w:t>
      </w:r>
    </w:p>
    <w:p>
      <w:pPr>
        <w:pStyle w:val="BodyText"/>
        <w:spacing w:before="129"/>
      </w:pPr>
    </w:p>
    <w:p>
      <w:pPr>
        <w:pStyle w:val="BodyText"/>
        <w:spacing w:line="235" w:lineRule="auto"/>
        <w:ind w:left="705" w:right="167" w:hanging="541"/>
        <w:jc w:val="both"/>
      </w:pPr>
      <w:bookmarkStart w:name="_bookmark2202" w:id="2204"/>
      <w:bookmarkEnd w:id="2204"/>
      <w:r>
        <w:rPr/>
      </w:r>
      <w:hyperlink w:history="true" w:anchor="_bookmark2087">
        <w:r>
          <w:rPr>
            <w:color w:val="005DA1"/>
            <w:u w:val="single" w:color="005DA1"/>
            <w:vertAlign w:val="superscript"/>
          </w:rPr>
          <w:t>1112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15" name="Image 815"/>
            <wp:cNvGraphicFramePr>
              <a:graphicFrameLocks/>
            </wp:cNvGraphicFramePr>
            <a:graphic>
              <a:graphicData uri="http://schemas.openxmlformats.org/drawingml/2006/picture">
                <pic:pic>
                  <pic:nvPicPr>
                    <pic:cNvPr id="815" name="Image 8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[32]. cf. Lord Hodge at [255], [275]. As Lord Carnwath and, on this point, Lord Clarke (see at [291]) agreed with Lords Neuberger and Sumption, this statement may be taken as the authoritative statement of the penalty rule. Lord Mance and Lord Hodge, with </w:t>
      </w:r>
      <w:r>
        <w:rPr>
          <w:vertAlign w:val="baseline"/>
        </w:rPr>
        <w:t>both of whom Lord Toulson agreed on this issue (see at [292]), each gave slightly different accounts but it is not thought that the differences between the judgments on this issue are substantial.</w:t>
      </w:r>
    </w:p>
    <w:p>
      <w:pPr>
        <w:pStyle w:val="BodyText"/>
        <w:spacing w:after="0" w:line="235" w:lineRule="auto"/>
        <w:jc w:val="both"/>
        <w:sectPr>
          <w:pgSz w:w="11900" w:h="16840"/>
          <w:pgMar w:header="971" w:footer="0" w:top="1300" w:bottom="280" w:left="1275" w:right="1275"/>
        </w:sectPr>
      </w:pPr>
    </w:p>
    <w:p>
      <w:pPr>
        <w:pStyle w:val="BodyText"/>
        <w:spacing w:before="56"/>
      </w:pPr>
    </w:p>
    <w:p>
      <w:pPr>
        <w:spacing w:before="0"/>
        <w:ind w:left="165" w:right="0" w:firstLine="0"/>
        <w:jc w:val="left"/>
        <w:rPr>
          <w:sz w:val="20"/>
        </w:rPr>
      </w:pPr>
      <w:hyperlink w:history="true" w:anchor="_bookmark2088">
        <w:r>
          <w:rPr>
            <w:color w:val="005DA1"/>
            <w:sz w:val="20"/>
            <w:u w:val="single" w:color="005DA1"/>
            <w:vertAlign w:val="superscript"/>
          </w:rPr>
          <w:t>1113</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16" name="Image 816"/>
            <wp:cNvGraphicFramePr>
              <a:graphicFrameLocks/>
            </wp:cNvGraphicFramePr>
            <a:graphic>
              <a:graphicData uri="http://schemas.openxmlformats.org/drawingml/2006/picture">
                <pic:pic>
                  <pic:nvPicPr>
                    <pic:cNvPr id="816" name="Image 8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[75].</w:t>
      </w:r>
    </w:p>
    <w:p>
      <w:pPr>
        <w:pStyle w:val="BodyText"/>
        <w:spacing w:before="129"/>
      </w:pPr>
    </w:p>
    <w:p>
      <w:pPr>
        <w:pStyle w:val="BodyText"/>
        <w:spacing w:line="235" w:lineRule="auto"/>
        <w:ind w:left="705" w:right="167" w:hanging="541"/>
        <w:jc w:val="both"/>
      </w:pPr>
      <w:bookmarkStart w:name="_bookmark2203" w:id="2205"/>
      <w:bookmarkEnd w:id="2205"/>
      <w:r>
        <w:rPr/>
      </w:r>
      <w:hyperlink w:history="true" w:anchor="_bookmark2089">
        <w:r>
          <w:rPr>
            <w:color w:val="005DA1"/>
            <w:u w:val="single" w:color="005DA1"/>
            <w:vertAlign w:val="superscript"/>
          </w:rPr>
          <w:t>1114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17" name="Image 817"/>
            <wp:cNvGraphicFramePr>
              <a:graphicFrameLocks/>
            </wp:cNvGraphicFramePr>
            <a:graphic>
              <a:graphicData uri="http://schemas.openxmlformats.org/drawingml/2006/picture">
                <pic:pic>
                  <pic:nvPicPr>
                    <pic:cNvPr id="817" name="Image 8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[75]; and see Lord Hodge at [272]. Lord Mance’s analysis does not </w:t>
      </w:r>
      <w:r>
        <w:rPr>
          <w:vertAlign w:val="baseline"/>
        </w:rPr>
        <w:t>seem essentially</w:t>
      </w:r>
      <w:r>
        <w:rPr>
          <w:spacing w:val="-3"/>
          <w:vertAlign w:val="baseline"/>
        </w:rPr>
        <w:t> </w:t>
      </w:r>
      <w:r>
        <w:rPr>
          <w:vertAlign w:val="baseline"/>
        </w:rPr>
        <w:t>different:</w:t>
      </w:r>
      <w:r>
        <w:rPr>
          <w:spacing w:val="-3"/>
          <w:vertAlign w:val="baseline"/>
        </w:rPr>
        <w:t> </w:t>
      </w:r>
      <w:r>
        <w:rPr>
          <w:vertAlign w:val="baseline"/>
        </w:rPr>
        <w:t>he</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cl.5.1</w:t>
      </w:r>
      <w:r>
        <w:rPr>
          <w:spacing w:val="-3"/>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judged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light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general</w:t>
      </w:r>
      <w:r>
        <w:rPr>
          <w:spacing w:val="-3"/>
          <w:vertAlign w:val="baseline"/>
        </w:rPr>
        <w:t> </w:t>
      </w:r>
      <w:r>
        <w:rPr>
          <w:vertAlign w:val="baseline"/>
        </w:rPr>
        <w:t>interest</w:t>
      </w:r>
      <w:r>
        <w:rPr>
          <w:spacing w:val="-3"/>
          <w:vertAlign w:val="baseline"/>
        </w:rPr>
        <w:t> </w:t>
      </w:r>
      <w:r>
        <w:rPr>
          <w:vertAlign w:val="baseline"/>
        </w:rPr>
        <w:t>being protected: at [179]–[180], and likewise cl.5.6 “must be viewed in nature and impact as a composite whole as well as in context”.</w:t>
      </w:r>
    </w:p>
    <w:p>
      <w:pPr>
        <w:pStyle w:val="BodyText"/>
        <w:spacing w:before="129"/>
      </w:pPr>
    </w:p>
    <w:p>
      <w:pPr>
        <w:pStyle w:val="BodyText"/>
        <w:spacing w:line="235" w:lineRule="auto"/>
        <w:ind w:left="705" w:right="167" w:hanging="541"/>
        <w:jc w:val="both"/>
      </w:pPr>
      <w:bookmarkStart w:name="_bookmark2204" w:id="2206"/>
      <w:bookmarkEnd w:id="2206"/>
      <w:r>
        <w:rPr/>
      </w:r>
      <w:hyperlink w:history="true" w:anchor="_bookmark2090">
        <w:r>
          <w:rPr>
            <w:color w:val="005DA1"/>
            <w:u w:val="single" w:color="005DA1"/>
            <w:vertAlign w:val="superscript"/>
          </w:rPr>
          <w:t>1115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18" name="Image 818"/>
            <wp:cNvGraphicFramePr>
              <a:graphicFrameLocks/>
            </wp:cNvGraphicFramePr>
            <a:graphic>
              <a:graphicData uri="http://schemas.openxmlformats.org/drawingml/2006/picture">
                <pic:pic>
                  <pic:nvPicPr>
                    <pic:cNvPr id="818" name="Image 8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[99] (Lords Neuberger and Sumption, with whom Lords Carnwath and, on this point, Clarke, agreed), [184] (Lord Mance) and [285]–[286] (Lord Hodge). Lord </w:t>
      </w:r>
      <w:r>
        <w:rPr>
          <w:vertAlign w:val="baseline"/>
        </w:rPr>
        <w:t>Toulson, who considered that the clause in the </w:t>
      </w:r>
      <w:r>
        <w:rPr>
          <w:rFonts w:ascii="Arial" w:hAnsi="Arial"/>
          <w:i/>
          <w:vertAlign w:val="baseline"/>
        </w:rPr>
        <w:t>ParkingEye </w:t>
      </w:r>
      <w:r>
        <w:rPr>
          <w:vertAlign w:val="baseline"/>
        </w:rPr>
        <w:t>case was unfair within the meaning of the Unfair Terms in Consumer Contracts Regulations 1999 (see below, para.38-251A), declined to discuss whether it also amounted to a penalty at common law (at [316]).</w:t>
      </w:r>
    </w:p>
    <w:p>
      <w:pPr>
        <w:pStyle w:val="BodyText"/>
        <w:spacing w:before="124"/>
      </w:pPr>
    </w:p>
    <w:p>
      <w:pPr>
        <w:spacing w:before="0"/>
        <w:ind w:left="165" w:right="0" w:firstLine="0"/>
        <w:jc w:val="left"/>
        <w:rPr>
          <w:sz w:val="20"/>
        </w:rPr>
      </w:pPr>
      <w:bookmarkStart w:name="_bookmark2205" w:id="2207"/>
      <w:bookmarkEnd w:id="2207"/>
      <w:r>
        <w:rPr/>
      </w:r>
      <w:hyperlink w:history="true" w:anchor="_bookmark2091">
        <w:r>
          <w:rPr>
            <w:color w:val="005DA1"/>
            <w:sz w:val="20"/>
            <w:u w:val="single" w:color="005DA1"/>
            <w:vertAlign w:val="superscript"/>
          </w:rPr>
          <w:t>1116</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19" name="Image 819"/>
            <wp:cNvGraphicFramePr>
              <a:graphicFrameLocks/>
            </wp:cNvGraphicFramePr>
            <a:graphic>
              <a:graphicData uri="http://schemas.openxmlformats.org/drawingml/2006/picture">
                <pic:pic>
                  <pic:nvPicPr>
                    <pic:cNvPr id="819" name="Image 8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sz w:val="20"/>
          <w:vertAlign w:val="baseline"/>
        </w:rPr>
        <w:t>:</w:t>
      </w:r>
      <w:r>
        <w:rPr>
          <w:spacing w:val="3"/>
          <w:sz w:val="20"/>
          <w:vertAlign w:val="baseline"/>
        </w:rPr>
        <w:t> </w:t>
      </w:r>
      <w:r>
        <w:rPr>
          <w:sz w:val="20"/>
          <w:vertAlign w:val="baseline"/>
        </w:rPr>
        <w:t>see</w:t>
      </w:r>
      <w:r>
        <w:rPr>
          <w:spacing w:val="2"/>
          <w:sz w:val="20"/>
          <w:vertAlign w:val="baseline"/>
        </w:rPr>
        <w:t> </w:t>
      </w:r>
      <w:r>
        <w:rPr>
          <w:sz w:val="20"/>
          <w:vertAlign w:val="baseline"/>
        </w:rPr>
        <w:t>above,</w:t>
      </w:r>
      <w:r>
        <w:rPr>
          <w:spacing w:val="3"/>
          <w:sz w:val="20"/>
          <w:vertAlign w:val="baseline"/>
        </w:rPr>
        <w:t> </w:t>
      </w:r>
      <w:r>
        <w:rPr>
          <w:sz w:val="20"/>
          <w:vertAlign w:val="baseline"/>
        </w:rPr>
        <w:t>para.26-</w:t>
      </w:r>
      <w:r>
        <w:rPr>
          <w:spacing w:val="-4"/>
          <w:sz w:val="20"/>
          <w:vertAlign w:val="baseline"/>
        </w:rPr>
        <w:t>197.</w:t>
      </w:r>
    </w:p>
    <w:p>
      <w:pPr>
        <w:pStyle w:val="BodyText"/>
        <w:spacing w:before="125"/>
      </w:pPr>
    </w:p>
    <w:p>
      <w:pPr>
        <w:pStyle w:val="BodyText"/>
        <w:ind w:left="165"/>
      </w:pPr>
      <w:bookmarkStart w:name="_bookmark2206" w:id="2208"/>
      <w:bookmarkEnd w:id="2208"/>
      <w:r>
        <w:rPr/>
      </w:r>
      <w:hyperlink w:history="true" w:anchor="_bookmark2092">
        <w:r>
          <w:rPr>
            <w:color w:val="005DA1"/>
            <w:u w:val="single" w:color="005DA1"/>
            <w:vertAlign w:val="superscript"/>
          </w:rPr>
          <w:t>1117</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820" name="Image 820"/>
            <wp:cNvGraphicFramePr>
              <a:graphicFrameLocks/>
            </wp:cNvGraphicFramePr>
            <a:graphic>
              <a:graphicData uri="http://schemas.openxmlformats.org/drawingml/2006/picture">
                <pic:pic>
                  <pic:nvPicPr>
                    <pic:cNvPr id="820" name="Image 8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paras</w:t>
      </w:r>
      <w:r>
        <w:rPr>
          <w:spacing w:val="3"/>
          <w:vertAlign w:val="baseline"/>
        </w:rPr>
        <w:t> </w:t>
      </w:r>
      <w:r>
        <w:rPr>
          <w:vertAlign w:val="baseline"/>
        </w:rPr>
        <w:t>26-216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9"/>
      </w:pPr>
    </w:p>
    <w:p>
      <w:pPr>
        <w:spacing w:line="235" w:lineRule="auto" w:before="0"/>
        <w:ind w:left="705" w:right="167" w:hanging="541"/>
        <w:jc w:val="both"/>
        <w:rPr>
          <w:sz w:val="20"/>
        </w:rPr>
      </w:pPr>
      <w:bookmarkStart w:name="_bookmark2207" w:id="2209"/>
      <w:bookmarkEnd w:id="2209"/>
      <w:r>
        <w:rPr/>
      </w:r>
      <w:hyperlink w:history="true" w:anchor="_bookmark2093">
        <w:r>
          <w:rPr>
            <w:color w:val="005DA1"/>
            <w:sz w:val="20"/>
            <w:u w:val="single" w:color="005DA1"/>
            <w:vertAlign w:val="superscript"/>
          </w:rPr>
          <w:t>1118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21" name="Image 821"/>
            <wp:cNvGraphicFramePr>
              <a:graphicFrameLocks/>
            </wp:cNvGraphicFramePr>
            <a:graphic>
              <a:graphicData uri="http://schemas.openxmlformats.org/drawingml/2006/picture">
                <pic:pic>
                  <pic:nvPicPr>
                    <pic:cNvPr id="821" name="Image 8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This</w:t>
      </w:r>
      <w:r>
        <w:rPr>
          <w:spacing w:val="40"/>
          <w:sz w:val="20"/>
          <w:vertAlign w:val="baseline"/>
        </w:rPr>
        <w:t> </w:t>
      </w:r>
      <w:r>
        <w:rPr>
          <w:sz w:val="20"/>
          <w:vertAlign w:val="baseline"/>
        </w:rPr>
        <w:t>test</w:t>
      </w:r>
      <w:r>
        <w:rPr>
          <w:spacing w:val="40"/>
          <w:sz w:val="20"/>
          <w:vertAlign w:val="baseline"/>
        </w:rPr>
        <w:t> </w:t>
      </w:r>
      <w:r>
        <w:rPr>
          <w:sz w:val="20"/>
          <w:vertAlign w:val="baseline"/>
        </w:rPr>
        <w:t>was</w:t>
      </w:r>
      <w:r>
        <w:rPr>
          <w:spacing w:val="40"/>
          <w:sz w:val="20"/>
          <w:vertAlign w:val="baseline"/>
        </w:rPr>
        <w:t> </w:t>
      </w:r>
      <w:r>
        <w:rPr>
          <w:sz w:val="20"/>
          <w:vertAlign w:val="baseline"/>
        </w:rPr>
        <w:t>applied</w:t>
      </w:r>
      <w:r>
        <w:rPr>
          <w:spacing w:val="40"/>
          <w:sz w:val="20"/>
          <w:vertAlign w:val="baseline"/>
        </w:rPr>
        <w:t> </w:t>
      </w:r>
      <w:r>
        <w:rPr>
          <w:sz w:val="20"/>
          <w:vertAlign w:val="baseline"/>
        </w:rPr>
        <w:t>in</w:t>
      </w:r>
      <w:r>
        <w:rPr>
          <w:spacing w:val="39"/>
          <w:sz w:val="20"/>
          <w:vertAlign w:val="baseline"/>
        </w:rPr>
        <w:t> </w:t>
      </w:r>
      <w:r>
        <w:rPr>
          <w:rFonts w:ascii="Arial" w:hAnsi="Arial"/>
          <w:i/>
          <w:sz w:val="20"/>
          <w:vertAlign w:val="baseline"/>
        </w:rPr>
        <w:t>Hayfin</w:t>
      </w:r>
      <w:r>
        <w:rPr>
          <w:rFonts w:ascii="Arial" w:hAnsi="Arial"/>
          <w:i/>
          <w:spacing w:val="40"/>
          <w:sz w:val="20"/>
          <w:vertAlign w:val="baseline"/>
        </w:rPr>
        <w:t> </w:t>
      </w:r>
      <w:r>
        <w:rPr>
          <w:rFonts w:ascii="Arial" w:hAnsi="Arial"/>
          <w:i/>
          <w:sz w:val="20"/>
          <w:vertAlign w:val="baseline"/>
        </w:rPr>
        <w:t>Opal</w:t>
      </w:r>
      <w:r>
        <w:rPr>
          <w:rFonts w:ascii="Arial" w:hAnsi="Arial"/>
          <w:i/>
          <w:spacing w:val="40"/>
          <w:sz w:val="20"/>
          <w:vertAlign w:val="baseline"/>
        </w:rPr>
        <w:t> </w:t>
      </w:r>
      <w:r>
        <w:rPr>
          <w:rFonts w:ascii="Arial" w:hAnsi="Arial"/>
          <w:i/>
          <w:sz w:val="20"/>
          <w:vertAlign w:val="baseline"/>
        </w:rPr>
        <w:t>Luxco</w:t>
      </w:r>
      <w:r>
        <w:rPr>
          <w:rFonts w:ascii="Arial" w:hAnsi="Arial"/>
          <w:i/>
          <w:spacing w:val="40"/>
          <w:sz w:val="20"/>
          <w:vertAlign w:val="baseline"/>
        </w:rPr>
        <w:t> </w:t>
      </w:r>
      <w:r>
        <w:rPr>
          <w:rFonts w:ascii="Arial" w:hAnsi="Arial"/>
          <w:i/>
          <w:sz w:val="20"/>
          <w:vertAlign w:val="baseline"/>
        </w:rPr>
        <w:t>3</w:t>
      </w:r>
      <w:r>
        <w:rPr>
          <w:rFonts w:ascii="Arial" w:hAnsi="Arial"/>
          <w:i/>
          <w:spacing w:val="40"/>
          <w:sz w:val="20"/>
          <w:vertAlign w:val="baseline"/>
        </w:rPr>
        <w:t> </w:t>
      </w:r>
      <w:r>
        <w:rPr>
          <w:rFonts w:ascii="Arial" w:hAnsi="Arial"/>
          <w:i/>
          <w:sz w:val="20"/>
          <w:vertAlign w:val="baseline"/>
        </w:rPr>
        <w:t>SARL</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Windermere</w:t>
      </w:r>
      <w:r>
        <w:rPr>
          <w:rFonts w:ascii="Arial" w:hAnsi="Arial"/>
          <w:i/>
          <w:spacing w:val="40"/>
          <w:sz w:val="20"/>
          <w:vertAlign w:val="baseline"/>
        </w:rPr>
        <w:t> </w:t>
      </w:r>
      <w:r>
        <w:rPr>
          <w:rFonts w:ascii="Arial" w:hAnsi="Arial"/>
          <w:i/>
          <w:sz w:val="20"/>
          <w:vertAlign w:val="baseline"/>
        </w:rPr>
        <w:t>VII</w:t>
      </w:r>
      <w:r>
        <w:rPr>
          <w:rFonts w:ascii="Arial" w:hAnsi="Arial"/>
          <w:i/>
          <w:spacing w:val="40"/>
          <w:sz w:val="20"/>
          <w:vertAlign w:val="baseline"/>
        </w:rPr>
        <w:t> </w:t>
      </w:r>
      <w:r>
        <w:rPr>
          <w:rFonts w:ascii="Arial" w:hAnsi="Arial"/>
          <w:i/>
          <w:sz w:val="20"/>
          <w:vertAlign w:val="baseline"/>
        </w:rPr>
        <w:t>CMBS</w:t>
      </w:r>
      <w:r>
        <w:rPr>
          <w:rFonts w:ascii="Arial" w:hAnsi="Arial"/>
          <w:i/>
          <w:spacing w:val="40"/>
          <w:sz w:val="20"/>
          <w:vertAlign w:val="baseline"/>
        </w:rPr>
        <w:t> </w:t>
      </w:r>
      <w:r>
        <w:rPr>
          <w:rFonts w:ascii="Arial" w:hAnsi="Arial"/>
          <w:i/>
          <w:sz w:val="20"/>
          <w:vertAlign w:val="baseline"/>
        </w:rPr>
        <w:t>Plc</w:t>
      </w:r>
      <w:r>
        <w:rPr>
          <w:rFonts w:ascii="Arial" w:hAnsi="Arial"/>
          <w:i/>
          <w:spacing w:val="40"/>
          <w:sz w:val="20"/>
          <w:vertAlign w:val="baseline"/>
        </w:rPr>
        <w:t> </w:t>
      </w:r>
      <w:r>
        <w:rPr>
          <w:rFonts w:ascii="Arial" w:hAnsi="Arial"/>
          <w:i/>
          <w:sz w:val="20"/>
          <w:vertAlign w:val="baseline"/>
        </w:rPr>
        <w:t>[2016] EWHC 782 (Ch) </w:t>
      </w:r>
      <w:r>
        <w:rPr>
          <w:sz w:val="20"/>
          <w:vertAlign w:val="baseline"/>
        </w:rPr>
        <w:t>at [142] and in </w:t>
      </w:r>
      <w:r>
        <w:rPr>
          <w:rFonts w:ascii="Arial" w:hAnsi="Arial"/>
          <w:i/>
          <w:sz w:val="20"/>
          <w:vertAlign w:val="baseline"/>
        </w:rPr>
        <w:t>BHL v Leumi Abl Ltd [2017] EWHC 1871 (QB) </w:t>
      </w:r>
      <w:r>
        <w:rPr>
          <w:sz w:val="20"/>
          <w:vertAlign w:val="baseline"/>
        </w:rPr>
        <w:t>at [44]. In </w:t>
      </w:r>
      <w:r>
        <w:rPr>
          <w:rFonts w:ascii="Arial" w:hAnsi="Arial"/>
          <w:i/>
          <w:sz w:val="20"/>
          <w:vertAlign w:val="baseline"/>
        </w:rPr>
        <w:t>First Personnel Services Ltd v Halfords Ltd [2016] EWHC 3220 (Ch)</w:t>
      </w:r>
      <w:r>
        <w:rPr>
          <w:rFonts w:ascii="Arial" w:hAnsi="Arial"/>
          <w:i/>
          <w:spacing w:val="-1"/>
          <w:sz w:val="20"/>
          <w:vertAlign w:val="baseline"/>
        </w:rPr>
        <w:t> </w:t>
      </w:r>
      <w:r>
        <w:rPr>
          <w:sz w:val="20"/>
          <w:vertAlign w:val="baseline"/>
        </w:rPr>
        <w:t>no evidence was given to justify a rate of interest on late payment far above both the usual commercial rate and what was payable</w:t>
      </w:r>
      <w:r>
        <w:rPr>
          <w:spacing w:val="-3"/>
          <w:sz w:val="20"/>
          <w:vertAlign w:val="baseline"/>
        </w:rPr>
        <w:t> </w:t>
      </w:r>
      <w:r>
        <w:rPr>
          <w:sz w:val="20"/>
          <w:vertAlign w:val="baseline"/>
        </w:rPr>
        <w:t>under</w:t>
      </w:r>
      <w:r>
        <w:rPr>
          <w:spacing w:val="-3"/>
          <w:sz w:val="20"/>
          <w:vertAlign w:val="baseline"/>
        </w:rPr>
        <w:t> </w:t>
      </w:r>
      <w:r>
        <w:rPr>
          <w:sz w:val="20"/>
          <w:vertAlign w:val="baseline"/>
        </w:rPr>
        <w:t>the</w:t>
      </w:r>
      <w:r>
        <w:rPr>
          <w:spacing w:val="-3"/>
          <w:sz w:val="20"/>
          <w:vertAlign w:val="baseline"/>
        </w:rPr>
        <w:t> </w:t>
      </w:r>
      <w:r>
        <w:rPr>
          <w:sz w:val="20"/>
          <w:vertAlign w:val="baseline"/>
        </w:rPr>
        <w:t>Late</w:t>
      </w:r>
      <w:r>
        <w:rPr>
          <w:spacing w:val="-3"/>
          <w:sz w:val="20"/>
          <w:vertAlign w:val="baseline"/>
        </w:rPr>
        <w:t> </w:t>
      </w:r>
      <w:r>
        <w:rPr>
          <w:sz w:val="20"/>
          <w:vertAlign w:val="baseline"/>
        </w:rPr>
        <w:t>Payment</w:t>
      </w:r>
      <w:r>
        <w:rPr>
          <w:spacing w:val="-3"/>
          <w:sz w:val="20"/>
          <w:vertAlign w:val="baseline"/>
        </w:rPr>
        <w:t> </w:t>
      </w:r>
      <w:r>
        <w:rPr>
          <w:sz w:val="20"/>
          <w:vertAlign w:val="baseline"/>
        </w:rPr>
        <w:t>of</w:t>
      </w:r>
      <w:r>
        <w:rPr>
          <w:spacing w:val="-3"/>
          <w:sz w:val="20"/>
          <w:vertAlign w:val="baseline"/>
        </w:rPr>
        <w:t> </w:t>
      </w:r>
      <w:r>
        <w:rPr>
          <w:sz w:val="20"/>
          <w:vertAlign w:val="baseline"/>
        </w:rPr>
        <w:t>Commercial</w:t>
      </w:r>
      <w:r>
        <w:rPr>
          <w:spacing w:val="-3"/>
          <w:sz w:val="20"/>
          <w:vertAlign w:val="baseline"/>
        </w:rPr>
        <w:t> </w:t>
      </w:r>
      <w:r>
        <w:rPr>
          <w:sz w:val="20"/>
          <w:vertAlign w:val="baseline"/>
        </w:rPr>
        <w:t>Debts</w:t>
      </w:r>
      <w:r>
        <w:rPr>
          <w:spacing w:val="-3"/>
          <w:sz w:val="20"/>
          <w:vertAlign w:val="baseline"/>
        </w:rPr>
        <w:t> </w:t>
      </w:r>
      <w:r>
        <w:rPr>
          <w:sz w:val="20"/>
          <w:vertAlign w:val="baseline"/>
        </w:rPr>
        <w:t>(Interest)</w:t>
      </w:r>
      <w:r>
        <w:rPr>
          <w:spacing w:val="-3"/>
          <w:sz w:val="20"/>
          <w:vertAlign w:val="baseline"/>
        </w:rPr>
        <w:t> </w:t>
      </w:r>
      <w:r>
        <w:rPr>
          <w:sz w:val="20"/>
          <w:vertAlign w:val="baseline"/>
        </w:rPr>
        <w:t>Act</w:t>
      </w:r>
      <w:r>
        <w:rPr>
          <w:spacing w:val="-3"/>
          <w:sz w:val="20"/>
          <w:vertAlign w:val="baseline"/>
        </w:rPr>
        <w:t> </w:t>
      </w:r>
      <w:r>
        <w:rPr>
          <w:sz w:val="20"/>
          <w:vertAlign w:val="baseline"/>
        </w:rPr>
        <w:t>1998;</w:t>
      </w:r>
      <w:r>
        <w:rPr>
          <w:spacing w:val="-3"/>
          <w:sz w:val="20"/>
          <w:vertAlign w:val="baseline"/>
        </w:rPr>
        <w:t> </w:t>
      </w:r>
      <w:r>
        <w:rPr>
          <w:sz w:val="20"/>
          <w:vertAlign w:val="baseline"/>
        </w:rPr>
        <w:t>it</w:t>
      </w:r>
      <w:r>
        <w:rPr>
          <w:spacing w:val="-3"/>
          <w:sz w:val="20"/>
          <w:vertAlign w:val="baseline"/>
        </w:rPr>
        <w:t> </w:t>
      </w:r>
      <w:r>
        <w:rPr>
          <w:sz w:val="20"/>
          <w:vertAlign w:val="baseline"/>
        </w:rPr>
        <w:t>was</w:t>
      </w:r>
      <w:r>
        <w:rPr>
          <w:spacing w:val="-3"/>
          <w:sz w:val="20"/>
          <w:vertAlign w:val="baseline"/>
        </w:rPr>
        <w:t> </w:t>
      </w:r>
      <w:r>
        <w:rPr>
          <w:sz w:val="20"/>
          <w:vertAlign w:val="baseline"/>
        </w:rPr>
        <w:t>not</w:t>
      </w:r>
      <w:r>
        <w:rPr>
          <w:spacing w:val="-3"/>
          <w:sz w:val="20"/>
          <w:vertAlign w:val="baseline"/>
        </w:rPr>
        <w:t> </w:t>
      </w:r>
      <w:r>
        <w:rPr>
          <w:sz w:val="20"/>
          <w:vertAlign w:val="baseline"/>
        </w:rPr>
        <w:t>justified</w:t>
      </w:r>
      <w:r>
        <w:rPr>
          <w:spacing w:val="-3"/>
          <w:sz w:val="20"/>
          <w:vertAlign w:val="baseline"/>
        </w:rPr>
        <w:t> </w:t>
      </w:r>
      <w:r>
        <w:rPr>
          <w:sz w:val="20"/>
          <w:vertAlign w:val="baseline"/>
        </w:rPr>
        <w:t>by the creditor’s interest in securing punctual payment having regard to its own liability to pay employees (at [163]).</w:t>
      </w:r>
    </w:p>
    <w:p>
      <w:pPr>
        <w:pStyle w:val="BodyText"/>
        <w:spacing w:before="123"/>
      </w:pPr>
    </w:p>
    <w:p>
      <w:pPr>
        <w:pStyle w:val="BodyText"/>
        <w:spacing w:line="227" w:lineRule="exact" w:before="1"/>
        <w:ind w:left="165"/>
      </w:pPr>
      <w:bookmarkStart w:name="_bookmark2208" w:id="2210"/>
      <w:bookmarkEnd w:id="2210"/>
      <w:r>
        <w:rPr/>
      </w:r>
      <w:hyperlink w:history="true" w:anchor="_bookmark2094">
        <w:r>
          <w:rPr>
            <w:color w:val="005DA1"/>
            <w:u w:val="single" w:color="005DA1"/>
            <w:vertAlign w:val="superscript"/>
          </w:rPr>
          <w:t>1119</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22" name="Image 822"/>
            <wp:cNvGraphicFramePr>
              <a:graphicFrameLocks/>
            </wp:cNvGraphicFramePr>
            <a:graphic>
              <a:graphicData uri="http://schemas.openxmlformats.org/drawingml/2006/picture">
                <pic:pic>
                  <pic:nvPicPr>
                    <pic:cNvPr id="822" name="Image 8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8"/>
          <w:vertAlign w:val="baseline"/>
        </w:rPr>
        <w:t> </w:t>
      </w:r>
      <w:r>
        <w:rPr>
          <w:rFonts w:ascii="Arial"/>
          <w:i/>
          <w:vertAlign w:val="baseline"/>
        </w:rPr>
        <w:t>[2015]</w:t>
      </w:r>
      <w:r>
        <w:rPr>
          <w:rFonts w:ascii="Arial"/>
          <w:i/>
          <w:spacing w:val="16"/>
          <w:vertAlign w:val="baseline"/>
        </w:rPr>
        <w:t> </w:t>
      </w:r>
      <w:r>
        <w:rPr>
          <w:rFonts w:ascii="Arial"/>
          <w:i/>
          <w:vertAlign w:val="baseline"/>
        </w:rPr>
        <w:t>UKSC</w:t>
      </w:r>
      <w:r>
        <w:rPr>
          <w:rFonts w:ascii="Arial"/>
          <w:i/>
          <w:spacing w:val="16"/>
          <w:vertAlign w:val="baseline"/>
        </w:rPr>
        <w:t> </w:t>
      </w:r>
      <w:r>
        <w:rPr>
          <w:rFonts w:ascii="Arial"/>
          <w:i/>
          <w:vertAlign w:val="baseline"/>
        </w:rPr>
        <w:t>67</w:t>
      </w:r>
      <w:r>
        <w:rPr>
          <w:rFonts w:ascii="Arial"/>
          <w:i/>
          <w:spacing w:val="17"/>
          <w:vertAlign w:val="baseline"/>
        </w:rPr>
        <w:t> </w:t>
      </w:r>
      <w:r>
        <w:rPr>
          <w:vertAlign w:val="baseline"/>
        </w:rPr>
        <w:t>at</w:t>
      </w:r>
      <w:r>
        <w:rPr>
          <w:spacing w:val="16"/>
          <w:vertAlign w:val="baseline"/>
        </w:rPr>
        <w:t> </w:t>
      </w:r>
      <w:r>
        <w:rPr>
          <w:vertAlign w:val="baseline"/>
        </w:rPr>
        <w:t>[13]</w:t>
      </w:r>
      <w:r>
        <w:rPr>
          <w:spacing w:val="16"/>
          <w:vertAlign w:val="baseline"/>
        </w:rPr>
        <w:t> </w:t>
      </w:r>
      <w:r>
        <w:rPr>
          <w:vertAlign w:val="baseline"/>
        </w:rPr>
        <w:t>and</w:t>
      </w:r>
      <w:r>
        <w:rPr>
          <w:spacing w:val="17"/>
          <w:vertAlign w:val="baseline"/>
        </w:rPr>
        <w:t> </w:t>
      </w:r>
      <w:r>
        <w:rPr>
          <w:vertAlign w:val="baseline"/>
        </w:rPr>
        <w:t>[30]</w:t>
      </w:r>
      <w:r>
        <w:rPr>
          <w:spacing w:val="16"/>
          <w:vertAlign w:val="baseline"/>
        </w:rPr>
        <w:t> </w:t>
      </w:r>
      <w:r>
        <w:rPr>
          <w:vertAlign w:val="baseline"/>
        </w:rPr>
        <w:t>(Lords</w:t>
      </w:r>
      <w:r>
        <w:rPr>
          <w:spacing w:val="16"/>
          <w:vertAlign w:val="baseline"/>
        </w:rPr>
        <w:t> </w:t>
      </w:r>
      <w:r>
        <w:rPr>
          <w:vertAlign w:val="baseline"/>
        </w:rPr>
        <w:t>Neuberger</w:t>
      </w:r>
      <w:r>
        <w:rPr>
          <w:spacing w:val="16"/>
          <w:vertAlign w:val="baseline"/>
        </w:rPr>
        <w:t> </w:t>
      </w:r>
      <w:r>
        <w:rPr>
          <w:vertAlign w:val="baseline"/>
        </w:rPr>
        <w:t>and</w:t>
      </w:r>
      <w:r>
        <w:rPr>
          <w:spacing w:val="17"/>
          <w:vertAlign w:val="baseline"/>
        </w:rPr>
        <w:t> </w:t>
      </w:r>
      <w:r>
        <w:rPr>
          <w:vertAlign w:val="baseline"/>
        </w:rPr>
        <w:t>Sumption),</w:t>
      </w:r>
      <w:r>
        <w:rPr>
          <w:spacing w:val="16"/>
          <w:vertAlign w:val="baseline"/>
        </w:rPr>
        <w:t> </w:t>
      </w:r>
      <w:r>
        <w:rPr>
          <w:vertAlign w:val="baseline"/>
        </w:rPr>
        <w:t>[148]</w:t>
      </w:r>
      <w:r>
        <w:rPr>
          <w:spacing w:val="16"/>
          <w:vertAlign w:val="baseline"/>
        </w:rPr>
        <w:t> </w:t>
      </w:r>
      <w:r>
        <w:rPr>
          <w:vertAlign w:val="baseline"/>
        </w:rPr>
        <w:t>(Lord</w:t>
      </w:r>
      <w:r>
        <w:rPr>
          <w:spacing w:val="17"/>
          <w:vertAlign w:val="baseline"/>
        </w:rPr>
        <w:t> </w:t>
      </w:r>
      <w:r>
        <w:rPr>
          <w:spacing w:val="-2"/>
          <w:vertAlign w:val="baseline"/>
        </w:rPr>
        <w:t>Mance),</w:t>
      </w:r>
    </w:p>
    <w:p>
      <w:pPr>
        <w:pStyle w:val="BodyText"/>
        <w:spacing w:line="227" w:lineRule="exact"/>
        <w:ind w:left="705"/>
      </w:pPr>
      <w:r>
        <w:rPr/>
        <w:t>[243] (Lord </w:t>
      </w:r>
      <w:r>
        <w:rPr>
          <w:spacing w:val="-2"/>
        </w:rPr>
        <w:t>Hodge).</w:t>
      </w:r>
    </w:p>
    <w:p>
      <w:pPr>
        <w:pStyle w:val="BodyText"/>
        <w:spacing w:before="124"/>
      </w:pPr>
    </w:p>
    <w:p>
      <w:pPr>
        <w:spacing w:before="1"/>
        <w:ind w:left="165" w:right="0" w:firstLine="0"/>
        <w:jc w:val="left"/>
        <w:rPr>
          <w:sz w:val="20"/>
        </w:rPr>
      </w:pPr>
      <w:bookmarkStart w:name="_bookmark2209" w:id="2211"/>
      <w:bookmarkEnd w:id="2211"/>
      <w:r>
        <w:rPr/>
      </w:r>
      <w:hyperlink w:history="true" w:anchor="_bookmark2095">
        <w:r>
          <w:rPr>
            <w:color w:val="005DA1"/>
            <w:sz w:val="20"/>
            <w:u w:val="single" w:color="005DA1"/>
            <w:vertAlign w:val="superscript"/>
          </w:rPr>
          <w:t>1120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23" name="Image 823"/>
            <wp:cNvGraphicFramePr>
              <a:graphicFrameLocks/>
            </wp:cNvGraphicFramePr>
            <a:graphic>
              <a:graphicData uri="http://schemas.openxmlformats.org/drawingml/2006/picture">
                <pic:pic>
                  <pic:nvPicPr>
                    <pic:cNvPr id="823" name="Image 8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
          <w:sz w:val="20"/>
          <w:vertAlign w:val="baseline"/>
        </w:rPr>
        <w:t> </w:t>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[99].</w:t>
      </w:r>
    </w:p>
    <w:p>
      <w:pPr>
        <w:pStyle w:val="BodyText"/>
        <w:spacing w:before="128"/>
      </w:pPr>
    </w:p>
    <w:p>
      <w:pPr>
        <w:pStyle w:val="BodyText"/>
        <w:spacing w:line="235" w:lineRule="auto"/>
        <w:ind w:left="705" w:right="167" w:hanging="541"/>
        <w:jc w:val="both"/>
      </w:pPr>
      <w:bookmarkStart w:name="_bookmark2210" w:id="2212"/>
      <w:bookmarkEnd w:id="2212"/>
      <w:r>
        <w:rPr/>
      </w:r>
      <w:hyperlink w:history="true" w:anchor="_bookmark2096">
        <w:r>
          <w:rPr>
            <w:color w:val="005DA1"/>
            <w:u w:val="single" w:color="005DA1"/>
            <w:vertAlign w:val="superscript"/>
          </w:rPr>
          <w:t>1121</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24" name="Image 824"/>
            <wp:cNvGraphicFramePr>
              <a:graphicFrameLocks/>
            </wp:cNvGraphicFramePr>
            <a:graphic>
              <a:graphicData uri="http://schemas.openxmlformats.org/drawingml/2006/picture">
                <pic:pic>
                  <pic:nvPicPr>
                    <pic:cNvPr id="824" name="Image 8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[28]. In </w:t>
      </w:r>
      <w:r>
        <w:rPr>
          <w:rFonts w:ascii="Arial" w:hAnsi="Arial"/>
          <w:i/>
          <w:vertAlign w:val="baseline"/>
        </w:rPr>
        <w:t>Vivienne Westwood Ltd v Conduit Street Development Ltd </w:t>
      </w:r>
      <w:r>
        <w:rPr>
          <w:rFonts w:ascii="Arial" w:hAnsi="Arial"/>
          <w:i/>
          <w:vertAlign w:val="baseline"/>
        </w:rPr>
        <w:t>[2017] EWHC 350 (Ch) </w:t>
      </w:r>
      <w:r>
        <w:rPr>
          <w:vertAlign w:val="baseline"/>
        </w:rPr>
        <w:t>Timothy Fancourt QC, sitting as a Deputy Judge of the High Court, said the test is whether the claimant has a legitimate interest beyond pecuniary compensation for any loss caused by the particular breach, so as to justify the secondary obligation (at [49]). The interest must in performance of the tenant’s obligations, not merely in being able to claim the higher rent that became payable in the event of the tenant failing to comply with one of its obligations</w:t>
      </w:r>
      <w:r>
        <w:rPr>
          <w:spacing w:val="40"/>
          <w:vertAlign w:val="baseline"/>
        </w:rPr>
        <w:t> </w:t>
      </w:r>
      <w:r>
        <w:rPr>
          <w:vertAlign w:val="baseline"/>
        </w:rPr>
        <w:t>(at</w:t>
      </w:r>
      <w:r>
        <w:rPr>
          <w:spacing w:val="40"/>
          <w:vertAlign w:val="baseline"/>
        </w:rPr>
        <w:t> </w:t>
      </w:r>
      <w:r>
        <w:rPr>
          <w:vertAlign w:val="baseline"/>
        </w:rPr>
        <w:t>[52]).</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facts,</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vertAlign w:val="baseline"/>
        </w:rPr>
        <w:t>that</w:t>
      </w:r>
      <w:r>
        <w:rPr>
          <w:spacing w:val="40"/>
          <w:vertAlign w:val="baseline"/>
        </w:rPr>
        <w:t> </w:t>
      </w:r>
      <w:r>
        <w:rPr>
          <w:vertAlign w:val="baseline"/>
        </w:rPr>
        <w:t>required</w:t>
      </w:r>
      <w:r>
        <w:rPr>
          <w:spacing w:val="40"/>
          <w:vertAlign w:val="baseline"/>
        </w:rPr>
        <w:t> </w:t>
      </w:r>
      <w:r>
        <w:rPr>
          <w:vertAlign w:val="baseline"/>
        </w:rPr>
        <w:t>the</w:t>
      </w:r>
      <w:r>
        <w:rPr>
          <w:spacing w:val="40"/>
          <w:vertAlign w:val="baseline"/>
        </w:rPr>
        <w:t> </w:t>
      </w:r>
      <w:r>
        <w:rPr>
          <w:vertAlign w:val="baseline"/>
        </w:rPr>
        <w:t>tenant,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event</w:t>
      </w:r>
      <w:r>
        <w:rPr>
          <w:spacing w:val="40"/>
          <w:vertAlign w:val="baseline"/>
        </w:rPr>
        <w:t> </w:t>
      </w:r>
      <w:r>
        <w:rPr>
          <w:vertAlign w:val="baseline"/>
        </w:rPr>
        <w:t>of</w:t>
      </w:r>
      <w:r>
        <w:rPr>
          <w:spacing w:val="40"/>
          <w:vertAlign w:val="baseline"/>
        </w:rPr>
        <w:t> </w:t>
      </w:r>
      <w:r>
        <w:rPr>
          <w:vertAlign w:val="baseline"/>
        </w:rPr>
        <w:t>any non-trivial breach of its obligations, to pay a substantially higher rent was out of all proportion to the lessor’s interest in having the tenant perform every one of its obligations rather than pay compensation for any breaches (at [63]), especially as the increased rent was payable in addition to damages for any loss caused by the breach. The increased rent was payable with retroactive effect from the start of the lease, but even if it had been purely prospective it would have been a penalty (at [65]).</w:t>
      </w:r>
    </w:p>
    <w:p>
      <w:pPr>
        <w:pStyle w:val="BodyText"/>
        <w:spacing w:before="122"/>
      </w:pPr>
    </w:p>
    <w:p>
      <w:pPr>
        <w:spacing w:before="0"/>
        <w:ind w:left="165" w:right="0" w:firstLine="0"/>
        <w:jc w:val="left"/>
        <w:rPr>
          <w:sz w:val="20"/>
        </w:rPr>
      </w:pPr>
      <w:bookmarkStart w:name="_bookmark2211" w:id="2213"/>
      <w:bookmarkEnd w:id="2213"/>
      <w:r>
        <w:rPr/>
      </w:r>
      <w:hyperlink w:history="true" w:anchor="_bookmark2097">
        <w:r>
          <w:rPr>
            <w:color w:val="005DA1"/>
            <w:sz w:val="20"/>
            <w:u w:val="single" w:color="005DA1"/>
            <w:vertAlign w:val="superscript"/>
          </w:rPr>
          <w:t>1122</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25" name="Image 825"/>
            <wp:cNvGraphicFramePr>
              <a:graphicFrameLocks/>
            </wp:cNvGraphicFramePr>
            <a:graphic>
              <a:graphicData uri="http://schemas.openxmlformats.org/drawingml/2006/picture">
                <pic:pic>
                  <pic:nvPicPr>
                    <pic:cNvPr id="825" name="Image 82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[30].</w:t>
      </w:r>
    </w:p>
    <w:p>
      <w:pPr>
        <w:pStyle w:val="BodyText"/>
        <w:spacing w:before="125"/>
      </w:pPr>
    </w:p>
    <w:p>
      <w:pPr>
        <w:pStyle w:val="BodyText"/>
        <w:ind w:left="165"/>
      </w:pPr>
      <w:bookmarkStart w:name="_bookmark2212" w:id="2214"/>
      <w:bookmarkEnd w:id="2214"/>
      <w:r>
        <w:rPr/>
      </w:r>
      <w:hyperlink w:history="true" w:anchor="_bookmark2098">
        <w:r>
          <w:rPr>
            <w:color w:val="005DA1"/>
            <w:u w:val="single" w:color="005DA1"/>
            <w:vertAlign w:val="superscript"/>
          </w:rPr>
          <w:t>1123</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826" name="Image 826"/>
            <wp:cNvGraphicFramePr>
              <a:graphicFrameLocks/>
            </wp:cNvGraphicFramePr>
            <a:graphic>
              <a:graphicData uri="http://schemas.openxmlformats.org/drawingml/2006/picture">
                <pic:pic>
                  <pic:nvPicPr>
                    <pic:cNvPr id="826" name="Image 82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3"/>
          <w:vertAlign w:val="baseline"/>
        </w:rPr>
        <w:t> </w:t>
      </w:r>
      <w:r>
        <w:rPr>
          <w:vertAlign w:val="baseline"/>
        </w:rPr>
        <w:t>Vol.I,</w:t>
      </w:r>
      <w:r>
        <w:rPr>
          <w:spacing w:val="2"/>
          <w:vertAlign w:val="baseline"/>
        </w:rPr>
        <w:t> </w:t>
      </w:r>
      <w:r>
        <w:rPr>
          <w:vertAlign w:val="baseline"/>
        </w:rPr>
        <w:t>para.27-008</w:t>
      </w:r>
      <w:r>
        <w:rPr>
          <w:spacing w:val="1"/>
          <w:vertAlign w:val="baseline"/>
        </w:rPr>
        <w:t> </w:t>
      </w:r>
      <w:r>
        <w:rPr>
          <w:vertAlign w:val="baseline"/>
        </w:rPr>
        <w:t>(difficulty</w:t>
      </w:r>
      <w:r>
        <w:rPr>
          <w:spacing w:val="2"/>
          <w:vertAlign w:val="baseline"/>
        </w:rPr>
        <w:t> </w:t>
      </w:r>
      <w:r>
        <w:rPr>
          <w:vertAlign w:val="baseline"/>
        </w:rPr>
        <w:t>in</w:t>
      </w:r>
      <w:r>
        <w:rPr>
          <w:spacing w:val="2"/>
          <w:vertAlign w:val="baseline"/>
        </w:rPr>
        <w:t> </w:t>
      </w:r>
      <w:r>
        <w:rPr>
          <w:vertAlign w:val="baseline"/>
        </w:rPr>
        <w:t>quantifying</w:t>
      </w:r>
      <w:r>
        <w:rPr>
          <w:spacing w:val="1"/>
          <w:vertAlign w:val="baseline"/>
        </w:rPr>
        <w:t> </w:t>
      </w:r>
      <w:r>
        <w:rPr>
          <w:vertAlign w:val="baseline"/>
        </w:rPr>
        <w:t>damages</w:t>
      </w:r>
      <w:r>
        <w:rPr>
          <w:spacing w:val="2"/>
          <w:vertAlign w:val="baseline"/>
        </w:rPr>
        <w:t> </w:t>
      </w:r>
      <w:r>
        <w:rPr>
          <w:vertAlign w:val="baseline"/>
        </w:rPr>
        <w:t>may</w:t>
      </w:r>
      <w:r>
        <w:rPr>
          <w:spacing w:val="1"/>
          <w:vertAlign w:val="baseline"/>
        </w:rPr>
        <w:t> </w:t>
      </w:r>
      <w:r>
        <w:rPr>
          <w:vertAlign w:val="baseline"/>
        </w:rPr>
        <w:t>mean</w:t>
      </w:r>
      <w:r>
        <w:rPr>
          <w:spacing w:val="2"/>
          <w:vertAlign w:val="baseline"/>
        </w:rPr>
        <w:t> </w:t>
      </w:r>
      <w:r>
        <w:rPr>
          <w:vertAlign w:val="baseline"/>
        </w:rPr>
        <w:t>damages</w:t>
      </w:r>
      <w:r>
        <w:rPr>
          <w:spacing w:val="2"/>
          <w:vertAlign w:val="baseline"/>
        </w:rPr>
        <w:t> </w:t>
      </w:r>
      <w:r>
        <w:rPr>
          <w:spacing w:val="-2"/>
          <w:vertAlign w:val="baseline"/>
        </w:rPr>
        <w:t>inadequate).</w:t>
      </w:r>
    </w:p>
    <w:p>
      <w:pPr>
        <w:pStyle w:val="BodyText"/>
        <w:spacing w:before="125"/>
      </w:pPr>
    </w:p>
    <w:p>
      <w:pPr>
        <w:spacing w:before="0"/>
        <w:ind w:left="165" w:right="0" w:firstLine="0"/>
        <w:jc w:val="left"/>
        <w:rPr>
          <w:sz w:val="20"/>
        </w:rPr>
      </w:pPr>
      <w:bookmarkStart w:name="_bookmark2213" w:id="2215"/>
      <w:bookmarkEnd w:id="2215"/>
      <w:r>
        <w:rPr/>
      </w:r>
      <w:hyperlink w:history="true" w:anchor="_bookmark2099">
        <w:r>
          <w:rPr>
            <w:color w:val="005DA1"/>
            <w:sz w:val="20"/>
            <w:u w:val="single" w:color="005DA1"/>
            <w:vertAlign w:val="superscript"/>
          </w:rPr>
          <w:t>1124</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27" name="Image 827"/>
            <wp:cNvGraphicFramePr>
              <a:graphicFrameLocks/>
            </wp:cNvGraphicFramePr>
            <a:graphic>
              <a:graphicData uri="http://schemas.openxmlformats.org/drawingml/2006/picture">
                <pic:pic>
                  <pic:nvPicPr>
                    <pic:cNvPr id="827" name="Image 82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5"/>
      </w:pPr>
    </w:p>
    <w:p>
      <w:pPr>
        <w:spacing w:before="0"/>
        <w:ind w:left="165" w:right="0" w:firstLine="0"/>
        <w:jc w:val="left"/>
        <w:rPr>
          <w:sz w:val="20"/>
        </w:rPr>
      </w:pPr>
      <w:bookmarkStart w:name="_bookmark2214" w:id="2216"/>
      <w:bookmarkEnd w:id="2216"/>
      <w:r>
        <w:rPr/>
      </w:r>
      <w:hyperlink w:history="true" w:anchor="_bookmark2100">
        <w:r>
          <w:rPr>
            <w:color w:val="005DA1"/>
            <w:sz w:val="20"/>
            <w:u w:val="single" w:color="005DA1"/>
            <w:vertAlign w:val="superscript"/>
          </w:rPr>
          <w:t>1125</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28" name="Image 828"/>
            <wp:cNvGraphicFramePr>
              <a:graphicFrameLocks/>
            </wp:cNvGraphicFramePr>
            <a:graphic>
              <a:graphicData uri="http://schemas.openxmlformats.org/drawingml/2006/picture">
                <pic:pic>
                  <pic:nvPicPr>
                    <pic:cNvPr id="828" name="Image 82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3"/>
          <w:sz w:val="20"/>
          <w:vertAlign w:val="baseline"/>
        </w:rPr>
        <w:t> </w:t>
      </w:r>
      <w:r>
        <w:rPr>
          <w:sz w:val="20"/>
          <w:vertAlign w:val="baseline"/>
        </w:rPr>
        <w:t>Lord</w:t>
      </w:r>
      <w:r>
        <w:rPr>
          <w:spacing w:val="2"/>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[172].</w:t>
      </w:r>
    </w:p>
    <w:p>
      <w:pPr>
        <w:pStyle w:val="BodyText"/>
        <w:spacing w:before="125"/>
      </w:pPr>
    </w:p>
    <w:p>
      <w:pPr>
        <w:pStyle w:val="BodyText"/>
        <w:ind w:left="165"/>
      </w:pPr>
      <w:bookmarkStart w:name="_bookmark2215" w:id="2217"/>
      <w:bookmarkEnd w:id="2217"/>
      <w:r>
        <w:rPr/>
      </w:r>
      <w:hyperlink w:history="true" w:anchor="_bookmark2101">
        <w:r>
          <w:rPr>
            <w:color w:val="005DA1"/>
            <w:u w:val="single" w:color="005DA1"/>
            <w:vertAlign w:val="superscript"/>
          </w:rPr>
          <w:t>1126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29" name="Image 829"/>
            <wp:cNvGraphicFramePr>
              <a:graphicFrameLocks/>
            </wp:cNvGraphicFramePr>
            <a:graphic>
              <a:graphicData uri="http://schemas.openxmlformats.org/drawingml/2006/picture">
                <pic:pic>
                  <pic:nvPicPr>
                    <pic:cNvPr id="829" name="Image 82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w:t>
      </w:r>
      <w:r>
        <w:rPr>
          <w:spacing w:val="49"/>
          <w:vertAlign w:val="baseline"/>
        </w:rPr>
        <w:t> </w:t>
      </w:r>
      <w:r>
        <w:rPr>
          <w:vertAlign w:val="baseline"/>
        </w:rPr>
        <w:t>the</w:t>
      </w:r>
      <w:r>
        <w:rPr>
          <w:spacing w:val="48"/>
          <w:vertAlign w:val="baseline"/>
        </w:rPr>
        <w:t> </w:t>
      </w:r>
      <w:r>
        <w:rPr>
          <w:vertAlign w:val="baseline"/>
        </w:rPr>
        <w:t>“adequacy</w:t>
      </w:r>
      <w:r>
        <w:rPr>
          <w:spacing w:val="49"/>
          <w:vertAlign w:val="baseline"/>
        </w:rPr>
        <w:t> </w:t>
      </w:r>
      <w:r>
        <w:rPr>
          <w:vertAlign w:val="baseline"/>
        </w:rPr>
        <w:t>of</w:t>
      </w:r>
      <w:r>
        <w:rPr>
          <w:spacing w:val="48"/>
          <w:vertAlign w:val="baseline"/>
        </w:rPr>
        <w:t> </w:t>
      </w:r>
      <w:r>
        <w:rPr>
          <w:vertAlign w:val="baseline"/>
        </w:rPr>
        <w:t>damages”</w:t>
      </w:r>
      <w:r>
        <w:rPr>
          <w:spacing w:val="48"/>
          <w:vertAlign w:val="baseline"/>
        </w:rPr>
        <w:t> </w:t>
      </w:r>
      <w:r>
        <w:rPr>
          <w:vertAlign w:val="baseline"/>
        </w:rPr>
        <w:t>test</w:t>
      </w:r>
      <w:r>
        <w:rPr>
          <w:spacing w:val="49"/>
          <w:vertAlign w:val="baseline"/>
        </w:rPr>
        <w:t> </w:t>
      </w:r>
      <w:r>
        <w:rPr>
          <w:vertAlign w:val="baseline"/>
        </w:rPr>
        <w:t>and</w:t>
      </w:r>
      <w:r>
        <w:rPr>
          <w:spacing w:val="48"/>
          <w:vertAlign w:val="baseline"/>
        </w:rPr>
        <w:t> </w:t>
      </w:r>
      <w:r>
        <w:rPr>
          <w:vertAlign w:val="baseline"/>
        </w:rPr>
        <w:t>the</w:t>
      </w:r>
      <w:r>
        <w:rPr>
          <w:spacing w:val="48"/>
          <w:vertAlign w:val="baseline"/>
        </w:rPr>
        <w:t> </w:t>
      </w:r>
      <w:r>
        <w:rPr>
          <w:vertAlign w:val="baseline"/>
        </w:rPr>
        <w:t>availability</w:t>
      </w:r>
      <w:r>
        <w:rPr>
          <w:spacing w:val="49"/>
          <w:vertAlign w:val="baseline"/>
        </w:rPr>
        <w:t> </w:t>
      </w:r>
      <w:r>
        <w:rPr>
          <w:vertAlign w:val="baseline"/>
        </w:rPr>
        <w:t>of</w:t>
      </w:r>
      <w:r>
        <w:rPr>
          <w:spacing w:val="48"/>
          <w:vertAlign w:val="baseline"/>
        </w:rPr>
        <w:t> </w:t>
      </w:r>
      <w:r>
        <w:rPr>
          <w:vertAlign w:val="baseline"/>
        </w:rPr>
        <w:t>a</w:t>
      </w:r>
      <w:r>
        <w:rPr>
          <w:spacing w:val="49"/>
          <w:vertAlign w:val="baseline"/>
        </w:rPr>
        <w:t> </w:t>
      </w:r>
      <w:r>
        <w:rPr>
          <w:vertAlign w:val="baseline"/>
        </w:rPr>
        <w:t>substitute,</w:t>
      </w:r>
      <w:r>
        <w:rPr>
          <w:spacing w:val="48"/>
          <w:vertAlign w:val="baseline"/>
        </w:rPr>
        <w:t> </w:t>
      </w:r>
      <w:r>
        <w:rPr>
          <w:vertAlign w:val="baseline"/>
        </w:rPr>
        <w:t>see</w:t>
      </w:r>
      <w:r>
        <w:rPr>
          <w:spacing w:val="48"/>
          <w:vertAlign w:val="baseline"/>
        </w:rPr>
        <w:t> </w:t>
      </w:r>
      <w:r>
        <w:rPr>
          <w:vertAlign w:val="baseline"/>
        </w:rPr>
        <w:t>Vol.I,</w:t>
      </w:r>
      <w:r>
        <w:rPr>
          <w:spacing w:val="49"/>
          <w:vertAlign w:val="baseline"/>
        </w:rPr>
        <w:t> </w:t>
      </w:r>
      <w:r>
        <w:rPr>
          <w:spacing w:val="-2"/>
          <w:vertAlign w:val="baseline"/>
        </w:rPr>
        <w:t>paras</w:t>
      </w:r>
    </w:p>
    <w:p>
      <w:pPr>
        <w:pStyle w:val="BodyText"/>
        <w:spacing w:after="0"/>
        <w:sectPr>
          <w:pgSz w:w="11900" w:h="16840"/>
          <w:pgMar w:header="971" w:footer="0" w:top="1300" w:bottom="280" w:left="1275" w:right="1275"/>
        </w:sectPr>
      </w:pPr>
    </w:p>
    <w:p>
      <w:pPr>
        <w:pStyle w:val="BodyText"/>
        <w:spacing w:before="106"/>
        <w:ind w:left="705"/>
      </w:pPr>
      <w:r>
        <w:rPr/>
        <w:t>27-010 et </w:t>
      </w:r>
      <w:r>
        <w:rPr>
          <w:spacing w:val="-4"/>
        </w:rPr>
        <w:t>seq.</w:t>
      </w:r>
    </w:p>
    <w:p>
      <w:pPr>
        <w:pStyle w:val="BodyText"/>
        <w:spacing w:line="580" w:lineRule="atLeast" w:before="5"/>
        <w:ind w:left="165" w:right="5672"/>
      </w:pPr>
      <w:bookmarkStart w:name="_bookmark2216" w:id="2218"/>
      <w:bookmarkEnd w:id="2218"/>
      <w:r>
        <w:rPr/>
      </w:r>
      <w:hyperlink w:history="true" w:anchor="_bookmark2102">
        <w:r>
          <w:rPr>
            <w:color w:val="005DA1"/>
            <w:u w:val="single" w:color="005DA1"/>
            <w:vertAlign w:val="superscript"/>
          </w:rPr>
          <w:t>1127</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30" name="Image 830"/>
            <wp:cNvGraphicFramePr>
              <a:graphicFrameLocks/>
            </wp:cNvGraphicFramePr>
            <a:graphic>
              <a:graphicData uri="http://schemas.openxmlformats.org/drawingml/2006/picture">
                <pic:pic>
                  <pic:nvPicPr>
                    <pic:cNvPr id="830" name="Image 83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28"/>
          <w:vertAlign w:val="baseline"/>
        </w:rPr>
        <w:t> </w:t>
      </w:r>
      <w:r>
        <w:rPr>
          <w:vertAlign w:val="baseline"/>
        </w:rPr>
        <w:t>Vol.I,</w:t>
      </w:r>
      <w:r>
        <w:rPr>
          <w:spacing w:val="28"/>
          <w:vertAlign w:val="baseline"/>
        </w:rPr>
        <w:t> </w:t>
      </w:r>
      <w:r>
        <w:rPr>
          <w:vertAlign w:val="baseline"/>
        </w:rPr>
        <w:t>para.27-012</w:t>
      </w:r>
      <w:r>
        <w:rPr>
          <w:spacing w:val="28"/>
          <w:vertAlign w:val="baseline"/>
        </w:rPr>
        <w:t> </w:t>
      </w:r>
      <w:r>
        <w:rPr>
          <w:vertAlign w:val="baseline"/>
        </w:rPr>
        <w:t>n.61.</w:t>
      </w:r>
      <w:r>
        <w:rPr>
          <w:vertAlign w:val="baseline"/>
        </w:rPr>
        <w:t> </w:t>
      </w:r>
      <w:bookmarkStart w:name="_bookmark2217" w:id="2219"/>
      <w:bookmarkEnd w:id="2219"/>
      <w:r>
        <w:rPr>
          <w:vertAlign w:val="baseline"/>
        </w:rPr>
      </w:r>
      <w:hyperlink w:history="true" w:anchor="_bookmark2103">
        <w:r>
          <w:rPr>
            <w:color w:val="005DA1"/>
            <w:u w:val="single" w:color="005DA1"/>
            <w:vertAlign w:val="superscript"/>
          </w:rPr>
          <w:t>1128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31" name="Image 831"/>
            <wp:cNvGraphicFramePr>
              <a:graphicFrameLocks/>
            </wp:cNvGraphicFramePr>
            <a:graphic>
              <a:graphicData uri="http://schemas.openxmlformats.org/drawingml/2006/picture">
                <pic:pic>
                  <pic:nvPicPr>
                    <pic:cNvPr id="831" name="Image 83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Vol.I,</w:t>
      </w:r>
      <w:r>
        <w:rPr>
          <w:spacing w:val="-2"/>
          <w:vertAlign w:val="baseline"/>
        </w:rPr>
        <w:t> </w:t>
      </w:r>
      <w:r>
        <w:rPr>
          <w:vertAlign w:val="baseline"/>
        </w:rPr>
        <w:t>paras</w:t>
      </w:r>
      <w:r>
        <w:rPr>
          <w:spacing w:val="-2"/>
          <w:vertAlign w:val="baseline"/>
        </w:rPr>
        <w:t> </w:t>
      </w:r>
      <w:r>
        <w:rPr>
          <w:vertAlign w:val="baseline"/>
        </w:rPr>
        <w:t>27-024</w:t>
      </w:r>
      <w:r>
        <w:rPr>
          <w:spacing w:val="-2"/>
          <w:vertAlign w:val="baseline"/>
        </w:rPr>
        <w:t> </w:t>
      </w:r>
      <w:r>
        <w:rPr>
          <w:vertAlign w:val="baseline"/>
        </w:rPr>
        <w:t>et</w:t>
      </w:r>
      <w:r>
        <w:rPr>
          <w:spacing w:val="-2"/>
          <w:vertAlign w:val="baseline"/>
        </w:rPr>
        <w:t> </w:t>
      </w:r>
      <w:r>
        <w:rPr>
          <w:vertAlign w:val="baseline"/>
        </w:rPr>
        <w:t>seq. </w:t>
      </w:r>
      <w:bookmarkStart w:name="_bookmark2218" w:id="2220"/>
      <w:bookmarkEnd w:id="2220"/>
      <w:r>
        <w:rPr>
          <w:vertAlign w:val="baseline"/>
        </w:rPr>
      </w:r>
      <w:hyperlink w:history="true" w:anchor="_bookmark2104">
        <w:r>
          <w:rPr>
            <w:color w:val="005DA1"/>
            <w:u w:val="single" w:color="005DA1"/>
            <w:vertAlign w:val="superscript"/>
          </w:rPr>
          <w:t>1129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32" name="Image 832"/>
            <wp:cNvGraphicFramePr>
              <a:graphicFrameLocks/>
            </wp:cNvGraphicFramePr>
            <a:graphic>
              <a:graphicData uri="http://schemas.openxmlformats.org/drawingml/2006/picture">
                <pic:pic>
                  <pic:nvPicPr>
                    <pic:cNvPr id="832" name="Image 83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Vol.I,</w:t>
      </w:r>
      <w:r>
        <w:rPr>
          <w:spacing w:val="-2"/>
          <w:vertAlign w:val="baseline"/>
        </w:rPr>
        <w:t> </w:t>
      </w:r>
      <w:r>
        <w:rPr>
          <w:vertAlign w:val="baseline"/>
        </w:rPr>
        <w:t>paras</w:t>
      </w:r>
      <w:r>
        <w:rPr>
          <w:spacing w:val="-2"/>
          <w:vertAlign w:val="baseline"/>
        </w:rPr>
        <w:t> </w:t>
      </w:r>
      <w:r>
        <w:rPr>
          <w:vertAlign w:val="baseline"/>
        </w:rPr>
        <w:t>27-030</w:t>
      </w:r>
      <w:r>
        <w:rPr>
          <w:spacing w:val="-2"/>
          <w:vertAlign w:val="baseline"/>
        </w:rPr>
        <w:t> </w:t>
      </w:r>
      <w:r>
        <w:rPr>
          <w:vertAlign w:val="baseline"/>
        </w:rPr>
        <w:t>et</w:t>
      </w:r>
      <w:r>
        <w:rPr>
          <w:spacing w:val="-2"/>
          <w:vertAlign w:val="baseline"/>
        </w:rPr>
        <w:t> </w:t>
      </w:r>
      <w:r>
        <w:rPr>
          <w:vertAlign w:val="baseline"/>
        </w:rPr>
        <w:t>seq. </w:t>
      </w:r>
      <w:bookmarkStart w:name="_bookmark2219" w:id="2221"/>
      <w:bookmarkEnd w:id="2221"/>
      <w:r>
        <w:rPr>
          <w:vertAlign w:val="baseline"/>
        </w:rPr>
      </w:r>
      <w:hyperlink w:history="true" w:anchor="_bookmark2105">
        <w:r>
          <w:rPr>
            <w:color w:val="005DA1"/>
            <w:u w:val="single" w:color="005DA1"/>
            <w:vertAlign w:val="superscript"/>
          </w:rPr>
          <w:t>1130</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33" name="Image 833"/>
            <wp:cNvGraphicFramePr>
              <a:graphicFrameLocks/>
            </wp:cNvGraphicFramePr>
            <a:graphic>
              <a:graphicData uri="http://schemas.openxmlformats.org/drawingml/2006/picture">
                <pic:pic>
                  <pic:nvPicPr>
                    <pic:cNvPr id="833" name="Image 8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[99].</w:t>
      </w:r>
    </w:p>
    <w:p>
      <w:pPr>
        <w:pStyle w:val="BodyText"/>
        <w:spacing w:before="144"/>
      </w:pPr>
    </w:p>
    <w:p>
      <w:pPr>
        <w:spacing w:line="235" w:lineRule="auto" w:before="0"/>
        <w:ind w:left="705" w:right="167" w:hanging="541"/>
        <w:jc w:val="both"/>
        <w:rPr>
          <w:sz w:val="20"/>
        </w:rPr>
      </w:pPr>
      <w:bookmarkStart w:name="_bookmark2220" w:id="2222"/>
      <w:bookmarkEnd w:id="2222"/>
      <w:r>
        <w:rPr/>
      </w:r>
      <w:hyperlink w:history="true" w:anchor="_bookmark2106">
        <w:r>
          <w:rPr>
            <w:color w:val="005DA1"/>
            <w:sz w:val="20"/>
            <w:u w:val="single" w:color="005DA1"/>
            <w:vertAlign w:val="superscript"/>
          </w:rPr>
          <w:t>1131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834" name="Image 834"/>
            <wp:cNvGraphicFramePr>
              <a:graphicFrameLocks/>
            </wp:cNvGraphicFramePr>
            <a:graphic>
              <a:graphicData uri="http://schemas.openxmlformats.org/drawingml/2006/picture">
                <pic:pic>
                  <pic:nvPicPr>
                    <pic:cNvPr id="834" name="Image 8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The “broader principle” suggested by Lord Griffiths in </w:t>
      </w:r>
      <w:r>
        <w:rPr>
          <w:rFonts w:ascii="Arial" w:hAnsi="Arial"/>
          <w:i/>
          <w:sz w:val="20"/>
          <w:vertAlign w:val="baseline"/>
        </w:rPr>
        <w:t>Linden Gardens Trust Ltd v Lenesta Sludge Disposals Ltd [1994] 1 A.C. 85</w:t>
      </w:r>
      <w:r>
        <w:rPr>
          <w:sz w:val="20"/>
          <w:vertAlign w:val="baseline"/>
        </w:rPr>
        <w:t>. Further, even the cost of performance may be recoverable</w:t>
      </w:r>
      <w:r>
        <w:rPr>
          <w:spacing w:val="-1"/>
          <w:sz w:val="20"/>
          <w:vertAlign w:val="baseline"/>
        </w:rPr>
        <w:t> </w:t>
      </w:r>
      <w:r>
        <w:rPr>
          <w:sz w:val="20"/>
          <w:vertAlign w:val="baseline"/>
        </w:rPr>
        <w:t>by</w:t>
      </w:r>
      <w:r>
        <w:rPr>
          <w:spacing w:val="-1"/>
          <w:sz w:val="20"/>
          <w:vertAlign w:val="baseline"/>
        </w:rPr>
        <w:t> </w:t>
      </w:r>
      <w:r>
        <w:rPr>
          <w:sz w:val="20"/>
          <w:vertAlign w:val="baseline"/>
        </w:rPr>
        <w:t>the</w:t>
      </w:r>
      <w:r>
        <w:rPr>
          <w:spacing w:val="-1"/>
          <w:sz w:val="20"/>
          <w:vertAlign w:val="baseline"/>
        </w:rPr>
        <w:t> </w:t>
      </w:r>
      <w:r>
        <w:rPr>
          <w:sz w:val="20"/>
          <w:vertAlign w:val="baseline"/>
        </w:rPr>
        <w:t>promisee</w:t>
      </w:r>
      <w:r>
        <w:rPr>
          <w:spacing w:val="-1"/>
          <w:sz w:val="20"/>
          <w:vertAlign w:val="baseline"/>
        </w:rPr>
        <w:t> </w:t>
      </w:r>
      <w:r>
        <w:rPr>
          <w:sz w:val="20"/>
          <w:vertAlign w:val="baseline"/>
        </w:rPr>
        <w:t>only</w:t>
      </w:r>
      <w:r>
        <w:rPr>
          <w:spacing w:val="-1"/>
          <w:sz w:val="20"/>
          <w:vertAlign w:val="baseline"/>
        </w:rPr>
        <w:t> </w:t>
      </w:r>
      <w:r>
        <w:rPr>
          <w:sz w:val="20"/>
          <w:vertAlign w:val="baseline"/>
        </w:rPr>
        <w:t>if</w:t>
      </w:r>
      <w:r>
        <w:rPr>
          <w:spacing w:val="-1"/>
          <w:sz w:val="20"/>
          <w:vertAlign w:val="baseline"/>
        </w:rPr>
        <w:t> </w:t>
      </w:r>
      <w:r>
        <w:rPr>
          <w:sz w:val="20"/>
          <w:vertAlign w:val="baseline"/>
        </w:rPr>
        <w:t>he</w:t>
      </w:r>
      <w:r>
        <w:rPr>
          <w:spacing w:val="-1"/>
          <w:sz w:val="20"/>
          <w:vertAlign w:val="baseline"/>
        </w:rPr>
        <w:t> </w:t>
      </w:r>
      <w:r>
        <w:rPr>
          <w:sz w:val="20"/>
          <w:vertAlign w:val="baseline"/>
        </w:rPr>
        <w:t>would</w:t>
      </w:r>
      <w:r>
        <w:rPr>
          <w:spacing w:val="-1"/>
          <w:sz w:val="20"/>
          <w:vertAlign w:val="baseline"/>
        </w:rPr>
        <w:t> </w:t>
      </w:r>
      <w:r>
        <w:rPr>
          <w:sz w:val="20"/>
          <w:vertAlign w:val="baseline"/>
        </w:rPr>
        <w:t>be</w:t>
      </w:r>
      <w:r>
        <w:rPr>
          <w:spacing w:val="-1"/>
          <w:sz w:val="20"/>
          <w:vertAlign w:val="baseline"/>
        </w:rPr>
        <w:t> </w:t>
      </w:r>
      <w:r>
        <w:rPr>
          <w:sz w:val="20"/>
          <w:vertAlign w:val="baseline"/>
        </w:rPr>
        <w:t>able</w:t>
      </w:r>
      <w:r>
        <w:rPr>
          <w:spacing w:val="-1"/>
          <w:sz w:val="20"/>
          <w:vertAlign w:val="baseline"/>
        </w:rPr>
        <w:t> </w:t>
      </w:r>
      <w:r>
        <w:rPr>
          <w:sz w:val="20"/>
          <w:vertAlign w:val="baseline"/>
        </w:rPr>
        <w:t>and</w:t>
      </w:r>
      <w:r>
        <w:rPr>
          <w:spacing w:val="-1"/>
          <w:sz w:val="20"/>
          <w:vertAlign w:val="baseline"/>
        </w:rPr>
        <w:t> </w:t>
      </w:r>
      <w:r>
        <w:rPr>
          <w:sz w:val="20"/>
          <w:vertAlign w:val="baseline"/>
        </w:rPr>
        <w:t>likely</w:t>
      </w:r>
      <w:r>
        <w:rPr>
          <w:spacing w:val="-1"/>
          <w:sz w:val="20"/>
          <w:vertAlign w:val="baseline"/>
        </w:rPr>
        <w:t> </w:t>
      </w:r>
      <w:r>
        <w:rPr>
          <w:sz w:val="20"/>
          <w:vertAlign w:val="baseline"/>
        </w:rPr>
        <w:t>to</w:t>
      </w:r>
      <w:r>
        <w:rPr>
          <w:spacing w:val="-1"/>
          <w:sz w:val="20"/>
          <w:vertAlign w:val="baseline"/>
        </w:rPr>
        <w:t> </w:t>
      </w:r>
      <w:r>
        <w:rPr>
          <w:sz w:val="20"/>
          <w:vertAlign w:val="baseline"/>
        </w:rPr>
        <w:t>remedy</w:t>
      </w:r>
      <w:r>
        <w:rPr>
          <w:spacing w:val="-1"/>
          <w:sz w:val="20"/>
          <w:vertAlign w:val="baseline"/>
        </w:rPr>
        <w:t> </w:t>
      </w:r>
      <w:r>
        <w:rPr>
          <w:sz w:val="20"/>
          <w:vertAlign w:val="baseline"/>
        </w:rPr>
        <w:t>the</w:t>
      </w:r>
      <w:r>
        <w:rPr>
          <w:spacing w:val="-1"/>
          <w:sz w:val="20"/>
          <w:vertAlign w:val="baseline"/>
        </w:rPr>
        <w:t> </w:t>
      </w:r>
      <w:r>
        <w:rPr>
          <w:sz w:val="20"/>
          <w:vertAlign w:val="baseline"/>
        </w:rPr>
        <w:t>breach:</w:t>
      </w:r>
      <w:r>
        <w:rPr>
          <w:spacing w:val="-1"/>
          <w:sz w:val="20"/>
          <w:vertAlign w:val="baseline"/>
        </w:rPr>
        <w:t> </w:t>
      </w:r>
      <w:r>
        <w:rPr>
          <w:sz w:val="20"/>
          <w:vertAlign w:val="baseline"/>
        </w:rPr>
        <w:t>see</w:t>
      </w:r>
      <w:r>
        <w:rPr>
          <w:spacing w:val="-1"/>
          <w:sz w:val="20"/>
          <w:vertAlign w:val="baseline"/>
        </w:rPr>
        <w:t> </w:t>
      </w:r>
      <w:r>
        <w:rPr>
          <w:sz w:val="20"/>
          <w:vertAlign w:val="baseline"/>
        </w:rPr>
        <w:t>Vol.I, para.18-056 and paras 18-063—18-068.</w:t>
      </w:r>
    </w:p>
    <w:p>
      <w:pPr>
        <w:pStyle w:val="BodyText"/>
        <w:spacing w:before="129"/>
      </w:pPr>
    </w:p>
    <w:p>
      <w:pPr>
        <w:spacing w:line="235" w:lineRule="auto" w:before="0"/>
        <w:ind w:left="705" w:right="167" w:hanging="541"/>
        <w:jc w:val="both"/>
        <w:rPr>
          <w:sz w:val="20"/>
        </w:rPr>
      </w:pPr>
      <w:bookmarkStart w:name="_bookmark2221" w:id="2223"/>
      <w:bookmarkEnd w:id="2223"/>
      <w:r>
        <w:rPr/>
      </w:r>
      <w:hyperlink w:history="true" w:anchor="_bookmark2107">
        <w:r>
          <w:rPr>
            <w:color w:val="005DA1"/>
            <w:sz w:val="20"/>
            <w:u w:val="single" w:color="005DA1"/>
            <w:vertAlign w:val="superscript"/>
          </w:rPr>
          <w:t>1132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35" name="Image 835"/>
            <wp:cNvGraphicFramePr>
              <a:graphicFrameLocks/>
            </wp:cNvGraphicFramePr>
            <a:graphic>
              <a:graphicData uri="http://schemas.openxmlformats.org/drawingml/2006/picture">
                <pic:pic>
                  <pic:nvPicPr>
                    <pic:cNvPr id="835" name="Image 8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e.g. when the parties contemplated that the property would be transferred to a third party, </w:t>
      </w:r>
      <w:r>
        <w:rPr>
          <w:sz w:val="20"/>
          <w:vertAlign w:val="baseline"/>
        </w:rPr>
        <w:t>the ground of the majority decision in </w:t>
      </w:r>
      <w:r>
        <w:rPr>
          <w:rFonts w:ascii="Arial"/>
          <w:i/>
          <w:sz w:val="20"/>
          <w:vertAlign w:val="baseline"/>
        </w:rPr>
        <w:t>Linden Gardens Trust Ltd v Lenesta Sludge Disposals Ltd [1994] 1 A.C. 85</w:t>
      </w:r>
      <w:r>
        <w:rPr>
          <w:sz w:val="20"/>
          <w:vertAlign w:val="baseline"/>
        </w:rPr>
        <w:t>: see Vol.I, paras 18-057 et seq.</w:t>
      </w:r>
    </w:p>
    <w:p>
      <w:pPr>
        <w:pStyle w:val="BodyText"/>
        <w:spacing w:before="125"/>
      </w:pPr>
    </w:p>
    <w:p>
      <w:pPr>
        <w:spacing w:before="0"/>
        <w:ind w:left="165" w:right="0" w:firstLine="0"/>
        <w:jc w:val="left"/>
        <w:rPr>
          <w:sz w:val="20"/>
        </w:rPr>
      </w:pPr>
      <w:bookmarkStart w:name="_bookmark2222" w:id="2224"/>
      <w:bookmarkEnd w:id="2224"/>
      <w:r>
        <w:rPr/>
      </w:r>
      <w:hyperlink w:history="true" w:anchor="_bookmark2108">
        <w:r>
          <w:rPr>
            <w:color w:val="005DA1"/>
            <w:sz w:val="20"/>
            <w:u w:val="single" w:color="005DA1"/>
            <w:vertAlign w:val="superscript"/>
          </w:rPr>
          <w:t>1133</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36" name="Image 836"/>
            <wp:cNvGraphicFramePr>
              <a:graphicFrameLocks/>
            </wp:cNvGraphicFramePr>
            <a:graphic>
              <a:graphicData uri="http://schemas.openxmlformats.org/drawingml/2006/picture">
                <pic:pic>
                  <pic:nvPicPr>
                    <pic:cNvPr id="836" name="Image 8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[1968]</w:t>
      </w:r>
      <w:r>
        <w:rPr>
          <w:rFonts w:ascii="Arial"/>
          <w:i/>
          <w:spacing w:val="3"/>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58</w:t>
      </w:r>
      <w:r>
        <w:rPr>
          <w:sz w:val="20"/>
          <w:vertAlign w:val="baseline"/>
        </w:rPr>
        <w:t>;</w:t>
      </w:r>
      <w:r>
        <w:rPr>
          <w:spacing w:val="2"/>
          <w:sz w:val="20"/>
          <w:vertAlign w:val="baseline"/>
        </w:rPr>
        <w:t> </w:t>
      </w:r>
      <w:r>
        <w:rPr>
          <w:sz w:val="20"/>
          <w:vertAlign w:val="baseline"/>
        </w:rPr>
        <w:t>see</w:t>
      </w:r>
      <w:r>
        <w:rPr>
          <w:spacing w:val="1"/>
          <w:sz w:val="20"/>
          <w:vertAlign w:val="baseline"/>
        </w:rPr>
        <w:t> </w:t>
      </w:r>
      <w:r>
        <w:rPr>
          <w:sz w:val="20"/>
          <w:vertAlign w:val="baseline"/>
        </w:rPr>
        <w:t>Vol.I,</w:t>
      </w:r>
      <w:r>
        <w:rPr>
          <w:spacing w:val="2"/>
          <w:sz w:val="20"/>
          <w:vertAlign w:val="baseline"/>
        </w:rPr>
        <w:t> </w:t>
      </w:r>
      <w:r>
        <w:rPr>
          <w:sz w:val="20"/>
          <w:vertAlign w:val="baseline"/>
        </w:rPr>
        <w:t>paras</w:t>
      </w:r>
      <w:r>
        <w:rPr>
          <w:spacing w:val="2"/>
          <w:sz w:val="20"/>
          <w:vertAlign w:val="baseline"/>
        </w:rPr>
        <w:t> </w:t>
      </w:r>
      <w:r>
        <w:rPr>
          <w:sz w:val="20"/>
          <w:vertAlign w:val="baseline"/>
        </w:rPr>
        <w:t>18-022</w:t>
      </w:r>
      <w:r>
        <w:rPr>
          <w:spacing w:val="1"/>
          <w:sz w:val="20"/>
          <w:vertAlign w:val="baseline"/>
        </w:rPr>
        <w:t> </w:t>
      </w:r>
      <w:r>
        <w:rPr>
          <w:sz w:val="20"/>
          <w:vertAlign w:val="baseline"/>
        </w:rPr>
        <w:t>and</w:t>
      </w:r>
      <w:r>
        <w:rPr>
          <w:spacing w:val="2"/>
          <w:sz w:val="20"/>
          <w:vertAlign w:val="baseline"/>
        </w:rPr>
        <w:t> </w:t>
      </w:r>
      <w:r>
        <w:rPr>
          <w:sz w:val="20"/>
          <w:vertAlign w:val="baseline"/>
        </w:rPr>
        <w:t>18-051</w:t>
      </w:r>
      <w:r>
        <w:rPr>
          <w:spacing w:val="1"/>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8"/>
      </w:pPr>
    </w:p>
    <w:p>
      <w:pPr>
        <w:spacing w:line="235" w:lineRule="auto" w:before="1"/>
        <w:ind w:left="705" w:right="174" w:hanging="541"/>
        <w:jc w:val="left"/>
        <w:rPr>
          <w:sz w:val="20"/>
        </w:rPr>
      </w:pPr>
      <w:bookmarkStart w:name="_bookmark2223" w:id="2225"/>
      <w:bookmarkEnd w:id="2225"/>
      <w:r>
        <w:rPr/>
      </w:r>
      <w:hyperlink w:history="true" w:anchor="_bookmark2109">
        <w:r>
          <w:rPr>
            <w:color w:val="005DA1"/>
            <w:sz w:val="20"/>
            <w:u w:val="single" w:color="005DA1"/>
            <w:vertAlign w:val="superscript"/>
          </w:rPr>
          <w:t>1134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37" name="Image 837"/>
            <wp:cNvGraphicFramePr>
              <a:graphicFrameLocks/>
            </wp:cNvGraphicFramePr>
            <a:graphic>
              <a:graphicData uri="http://schemas.openxmlformats.org/drawingml/2006/picture">
                <pic:pic>
                  <pic:nvPicPr>
                    <pic:cNvPr id="837" name="Image 8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Evans Marshall &amp; Co v Bertola SA (No.1) [1973] 1 W.L.R. 349, 367 </w:t>
      </w:r>
      <w:r>
        <w:rPr>
          <w:sz w:val="20"/>
          <w:vertAlign w:val="baseline"/>
        </w:rPr>
        <w:t>(Kerr J. at first instance)</w:t>
      </w:r>
      <w:r>
        <w:rPr>
          <w:spacing w:val="40"/>
          <w:sz w:val="20"/>
          <w:vertAlign w:val="baseline"/>
        </w:rPr>
        <w:t> </w:t>
      </w:r>
      <w:r>
        <w:rPr>
          <w:sz w:val="20"/>
          <w:vertAlign w:val="baseline"/>
        </w:rPr>
        <w:t>and 385 (Edmund Davies L.J.)</w:t>
      </w:r>
    </w:p>
    <w:p>
      <w:pPr>
        <w:pStyle w:val="BodyText"/>
        <w:spacing w:before="129"/>
      </w:pPr>
    </w:p>
    <w:p>
      <w:pPr>
        <w:spacing w:line="235" w:lineRule="auto" w:before="0"/>
        <w:ind w:left="705" w:right="167" w:hanging="541"/>
        <w:jc w:val="both"/>
        <w:rPr>
          <w:sz w:val="20"/>
        </w:rPr>
      </w:pPr>
      <w:bookmarkStart w:name="_bookmark2224" w:id="2226"/>
      <w:bookmarkEnd w:id="2226"/>
      <w:r>
        <w:rPr/>
      </w:r>
      <w:hyperlink w:history="true" w:anchor="_bookmark2110">
        <w:r>
          <w:rPr>
            <w:color w:val="005DA1"/>
            <w:sz w:val="20"/>
            <w:u w:val="single" w:color="005DA1"/>
            <w:vertAlign w:val="superscript"/>
          </w:rPr>
          <w:t>1135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38" name="Image 838"/>
            <wp:cNvGraphicFramePr>
              <a:graphicFrameLocks/>
            </wp:cNvGraphicFramePr>
            <a:graphic>
              <a:graphicData uri="http://schemas.openxmlformats.org/drawingml/2006/picture">
                <pic:pic>
                  <pic:nvPicPr>
                    <pic:cNvPr id="838" name="Image 83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Insolvency of the defendant is not a ground for refusing specific performance where the remedy is normally available as a matter of course: </w:t>
      </w:r>
      <w:r>
        <w:rPr>
          <w:rFonts w:ascii="Arial"/>
          <w:i/>
          <w:sz w:val="20"/>
          <w:vertAlign w:val="baseline"/>
        </w:rPr>
        <w:t>AMEC Properties v Planning Research </w:t>
      </w:r>
      <w:r>
        <w:rPr>
          <w:rFonts w:ascii="Arial"/>
          <w:i/>
          <w:sz w:val="20"/>
          <w:vertAlign w:val="baseline"/>
        </w:rPr>
        <w:t>&amp; Systems [1992] 1 E.G.L.R. 70</w:t>
      </w:r>
      <w:r>
        <w:rPr>
          <w:sz w:val="20"/>
          <w:vertAlign w:val="baseline"/>
        </w:rPr>
        <w:t>. See Vol.I, para.27-013.</w:t>
      </w:r>
    </w:p>
    <w:p>
      <w:pPr>
        <w:pStyle w:val="BodyText"/>
        <w:spacing w:before="129"/>
      </w:pPr>
    </w:p>
    <w:p>
      <w:pPr>
        <w:spacing w:line="235" w:lineRule="auto" w:before="0"/>
        <w:ind w:left="705" w:right="174" w:hanging="541"/>
        <w:jc w:val="left"/>
        <w:rPr>
          <w:sz w:val="20"/>
        </w:rPr>
      </w:pPr>
      <w:bookmarkStart w:name="_bookmark2225" w:id="2227"/>
      <w:bookmarkEnd w:id="2227"/>
      <w:r>
        <w:rPr/>
      </w:r>
      <w:hyperlink w:history="true" w:anchor="_bookmark2111">
        <w:r>
          <w:rPr>
            <w:color w:val="005DA1"/>
            <w:sz w:val="20"/>
            <w:u w:val="single" w:color="005DA1"/>
            <w:vertAlign w:val="superscript"/>
          </w:rPr>
          <w:t>1136</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39" name="Image 839"/>
            <wp:cNvGraphicFramePr>
              <a:graphicFrameLocks/>
            </wp:cNvGraphicFramePr>
            <a:graphic>
              <a:graphicData uri="http://schemas.openxmlformats.org/drawingml/2006/picture">
                <pic:pic>
                  <pic:nvPicPr>
                    <pic:cNvPr id="839" name="Image 83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Thames Valley Power Ltd v Total Gas and Power Ltd [2006] 1 Lloyd’s Rep. 441 </w:t>
      </w:r>
      <w:r>
        <w:rPr>
          <w:sz w:val="20"/>
          <w:vertAlign w:val="baseline"/>
        </w:rPr>
        <w:t>at [64]; see</w:t>
      </w:r>
      <w:r>
        <w:rPr>
          <w:spacing w:val="80"/>
          <w:sz w:val="20"/>
          <w:vertAlign w:val="baseline"/>
        </w:rPr>
        <w:t> </w:t>
      </w:r>
      <w:r>
        <w:rPr>
          <w:sz w:val="20"/>
          <w:vertAlign w:val="baseline"/>
        </w:rPr>
        <w:t>Vol.I, para.27-016 at n.95.</w:t>
      </w:r>
    </w:p>
    <w:p>
      <w:pPr>
        <w:pStyle w:val="BodyText"/>
        <w:spacing w:before="125"/>
      </w:pPr>
    </w:p>
    <w:p>
      <w:pPr>
        <w:pStyle w:val="BodyText"/>
        <w:ind w:left="165"/>
      </w:pPr>
      <w:bookmarkStart w:name="_bookmark2226" w:id="2228"/>
      <w:bookmarkEnd w:id="2228"/>
      <w:r>
        <w:rPr/>
      </w:r>
      <w:hyperlink w:history="true" w:anchor="_bookmark2112">
        <w:r>
          <w:rPr>
            <w:color w:val="005DA1"/>
            <w:u w:val="single" w:color="005DA1"/>
            <w:vertAlign w:val="superscript"/>
          </w:rPr>
          <w:t>1137</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40" name="Image 840"/>
            <wp:cNvGraphicFramePr>
              <a:graphicFrameLocks/>
            </wp:cNvGraphicFramePr>
            <a:graphic>
              <a:graphicData uri="http://schemas.openxmlformats.org/drawingml/2006/picture">
                <pic:pic>
                  <pic:nvPicPr>
                    <pic:cNvPr id="840" name="Image 84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205.</w:t>
      </w:r>
    </w:p>
    <w:p>
      <w:pPr>
        <w:pStyle w:val="BodyText"/>
        <w:spacing w:before="129"/>
      </w:pPr>
    </w:p>
    <w:p>
      <w:pPr>
        <w:spacing w:line="235" w:lineRule="auto" w:before="0"/>
        <w:ind w:left="705" w:right="0" w:hanging="541"/>
        <w:jc w:val="left"/>
        <w:rPr>
          <w:sz w:val="20"/>
        </w:rPr>
      </w:pPr>
      <w:bookmarkStart w:name="_bookmark2227" w:id="2229"/>
      <w:bookmarkEnd w:id="2229"/>
      <w:r>
        <w:rPr/>
      </w:r>
      <w:hyperlink w:history="true" w:anchor="_bookmark2113">
        <w:r>
          <w:rPr>
            <w:color w:val="005DA1"/>
            <w:sz w:val="20"/>
            <w:u w:val="single" w:color="005DA1"/>
            <w:vertAlign w:val="superscript"/>
          </w:rPr>
          <w:t>1138</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41" name="Image 841"/>
            <wp:cNvGraphicFramePr>
              <a:graphicFrameLocks/>
            </wp:cNvGraphicFramePr>
            <a:graphic>
              <a:graphicData uri="http://schemas.openxmlformats.org/drawingml/2006/picture">
                <pic:pic>
                  <pic:nvPicPr>
                    <pic:cNvPr id="841" name="Image 84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5"/>
      </w:pPr>
    </w:p>
    <w:p>
      <w:pPr>
        <w:pStyle w:val="BodyText"/>
        <w:spacing w:before="1"/>
        <w:ind w:left="165"/>
      </w:pPr>
      <w:bookmarkStart w:name="_bookmark2228" w:id="2230"/>
      <w:bookmarkEnd w:id="2230"/>
      <w:r>
        <w:rPr/>
      </w:r>
      <w:hyperlink w:history="true" w:anchor="_bookmark2114">
        <w:r>
          <w:rPr>
            <w:color w:val="005DA1"/>
            <w:u w:val="single" w:color="005DA1"/>
            <w:vertAlign w:val="superscript"/>
          </w:rPr>
          <w:t>1139</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42" name="Image 842"/>
            <wp:cNvGraphicFramePr>
              <a:graphicFrameLocks/>
            </wp:cNvGraphicFramePr>
            <a:graphic>
              <a:graphicData uri="http://schemas.openxmlformats.org/drawingml/2006/picture">
                <pic:pic>
                  <pic:nvPicPr>
                    <pic:cNvPr id="842" name="Image 8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184.</w:t>
      </w:r>
    </w:p>
    <w:p>
      <w:pPr>
        <w:pStyle w:val="BodyText"/>
        <w:spacing w:before="124"/>
      </w:pPr>
    </w:p>
    <w:p>
      <w:pPr>
        <w:spacing w:before="1"/>
        <w:ind w:left="165" w:right="0" w:firstLine="0"/>
        <w:jc w:val="left"/>
        <w:rPr>
          <w:sz w:val="20"/>
        </w:rPr>
      </w:pPr>
      <w:bookmarkStart w:name="_bookmark2229" w:id="2231"/>
      <w:bookmarkEnd w:id="2231"/>
      <w:r>
        <w:rPr/>
      </w:r>
      <w:hyperlink w:history="true" w:anchor="_bookmark2115">
        <w:r>
          <w:rPr>
            <w:color w:val="005DA1"/>
            <w:sz w:val="20"/>
            <w:u w:val="single" w:color="005DA1"/>
            <w:vertAlign w:val="superscript"/>
          </w:rPr>
          <w:t>1140</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43" name="Image 843"/>
            <wp:cNvGraphicFramePr>
              <a:graphicFrameLocks/>
            </wp:cNvGraphicFramePr>
            <a:graphic>
              <a:graphicData uri="http://schemas.openxmlformats.org/drawingml/2006/picture">
                <pic:pic>
                  <pic:nvPicPr>
                    <pic:cNvPr id="843" name="Image 8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[29].</w:t>
      </w:r>
    </w:p>
    <w:p>
      <w:pPr>
        <w:pStyle w:val="BodyText"/>
        <w:spacing w:before="125"/>
      </w:pPr>
    </w:p>
    <w:p>
      <w:pPr>
        <w:spacing w:before="0"/>
        <w:ind w:left="165" w:right="0" w:firstLine="0"/>
        <w:jc w:val="left"/>
        <w:rPr>
          <w:sz w:val="20"/>
        </w:rPr>
      </w:pPr>
      <w:bookmarkStart w:name="_bookmark2230" w:id="2232"/>
      <w:bookmarkEnd w:id="2232"/>
      <w:r>
        <w:rPr/>
      </w:r>
      <w:hyperlink w:history="true" w:anchor="_bookmark2116">
        <w:r>
          <w:rPr>
            <w:color w:val="005DA1"/>
            <w:sz w:val="20"/>
            <w:u w:val="single" w:color="005DA1"/>
            <w:vertAlign w:val="superscript"/>
          </w:rPr>
          <w:t>1141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44" name="Image 844"/>
            <wp:cNvGraphicFramePr>
              <a:graphicFrameLocks/>
            </wp:cNvGraphicFramePr>
            <a:graphic>
              <a:graphicData uri="http://schemas.openxmlformats.org/drawingml/2006/picture">
                <pic:pic>
                  <pic:nvPicPr>
                    <pic:cNvPr id="844" name="Image 8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[1962]</w:t>
      </w:r>
      <w:r>
        <w:rPr>
          <w:rFonts w:ascii="Arial"/>
          <w:i/>
          <w:spacing w:val="4"/>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413,</w:t>
      </w:r>
      <w:r>
        <w:rPr>
          <w:rFonts w:ascii="Arial"/>
          <w:i/>
          <w:spacing w:val="2"/>
          <w:sz w:val="20"/>
          <w:vertAlign w:val="baseline"/>
        </w:rPr>
        <w:t> </w:t>
      </w:r>
      <w:r>
        <w:rPr>
          <w:rFonts w:ascii="Arial"/>
          <w:i/>
          <w:sz w:val="20"/>
          <w:vertAlign w:val="baseline"/>
        </w:rPr>
        <w:t>431</w:t>
      </w:r>
      <w:r>
        <w:rPr>
          <w:sz w:val="20"/>
          <w:vertAlign w:val="baseline"/>
        </w:rPr>
        <w:t>:</w:t>
      </w:r>
      <w:r>
        <w:rPr>
          <w:spacing w:val="2"/>
          <w:sz w:val="20"/>
          <w:vertAlign w:val="baseline"/>
        </w:rPr>
        <w:t> </w:t>
      </w:r>
      <w:r>
        <w:rPr>
          <w:sz w:val="20"/>
          <w:vertAlign w:val="baseline"/>
        </w:rPr>
        <w:t>see</w:t>
      </w:r>
      <w:r>
        <w:rPr>
          <w:spacing w:val="3"/>
          <w:sz w:val="20"/>
          <w:vertAlign w:val="baseline"/>
        </w:rPr>
        <w:t> </w:t>
      </w:r>
      <w:r>
        <w:rPr>
          <w:sz w:val="20"/>
          <w:vertAlign w:val="baseline"/>
        </w:rPr>
        <w:t>Vol.I,</w:t>
      </w:r>
      <w:r>
        <w:rPr>
          <w:spacing w:val="2"/>
          <w:sz w:val="20"/>
          <w:vertAlign w:val="baseline"/>
        </w:rPr>
        <w:t> </w:t>
      </w:r>
      <w:r>
        <w:rPr>
          <w:sz w:val="20"/>
          <w:vertAlign w:val="baseline"/>
        </w:rPr>
        <w:t>para.26-</w:t>
      </w:r>
      <w:r>
        <w:rPr>
          <w:spacing w:val="-4"/>
          <w:sz w:val="20"/>
          <w:vertAlign w:val="baseline"/>
        </w:rPr>
        <w:t>106.</w:t>
      </w:r>
    </w:p>
    <w:p>
      <w:pPr>
        <w:pStyle w:val="BodyText"/>
        <w:spacing w:before="125"/>
      </w:pPr>
    </w:p>
    <w:p>
      <w:pPr>
        <w:pStyle w:val="BodyText"/>
        <w:ind w:left="165"/>
      </w:pPr>
      <w:bookmarkStart w:name="_bookmark2231" w:id="2233"/>
      <w:bookmarkEnd w:id="2233"/>
      <w:r>
        <w:rPr/>
      </w:r>
      <w:hyperlink w:history="true" w:anchor="_bookmark2117">
        <w:r>
          <w:rPr>
            <w:color w:val="005DA1"/>
            <w:u w:val="single" w:color="005DA1"/>
            <w:vertAlign w:val="superscript"/>
          </w:rPr>
          <w:t>1142</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45" name="Image 845"/>
            <wp:cNvGraphicFramePr>
              <a:graphicFrameLocks/>
            </wp:cNvGraphicFramePr>
            <a:graphic>
              <a:graphicData uri="http://schemas.openxmlformats.org/drawingml/2006/picture">
                <pic:pic>
                  <pic:nvPicPr>
                    <pic:cNvPr id="845" name="Image 84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106.</w:t>
      </w:r>
    </w:p>
    <w:p>
      <w:pPr>
        <w:pStyle w:val="BodyText"/>
        <w:spacing w:before="128"/>
      </w:pPr>
    </w:p>
    <w:p>
      <w:pPr>
        <w:spacing w:line="235" w:lineRule="auto" w:before="1"/>
        <w:ind w:left="705" w:right="167" w:hanging="541"/>
        <w:jc w:val="both"/>
        <w:rPr>
          <w:sz w:val="20"/>
        </w:rPr>
      </w:pPr>
      <w:bookmarkStart w:name="_bookmark2232" w:id="2234"/>
      <w:bookmarkEnd w:id="2234"/>
      <w:r>
        <w:rPr/>
      </w:r>
      <w:hyperlink w:history="true" w:anchor="_bookmark2118">
        <w:r>
          <w:rPr>
            <w:color w:val="005DA1"/>
            <w:sz w:val="20"/>
            <w:u w:val="single" w:color="005DA1"/>
            <w:vertAlign w:val="superscript"/>
          </w:rPr>
          <w:t>1143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46" name="Image 846"/>
            <wp:cNvGraphicFramePr>
              <a:graphicFrameLocks/>
            </wp:cNvGraphicFramePr>
            <a:graphic>
              <a:graphicData uri="http://schemas.openxmlformats.org/drawingml/2006/picture">
                <pic:pic>
                  <pic:nvPicPr>
                    <pic:cNvPr id="846" name="Image 8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Gator Shipping Corp v Trans-Asiatic Oil SA (The Odenfeld) [1978] 2 Lloyd’s Rep. 357, 374</w:t>
      </w:r>
      <w:r>
        <w:rPr>
          <w:sz w:val="20"/>
          <w:vertAlign w:val="baseline"/>
        </w:rPr>
        <w:t>. A similar point was made in respect of a landlord faced with a repudiation of a lease by a tenant: </w:t>
      </w:r>
      <w:r>
        <w:rPr>
          <w:rFonts w:ascii="Arial" w:hAnsi="Arial"/>
          <w:i/>
          <w:sz w:val="20"/>
          <w:vertAlign w:val="baseline"/>
        </w:rPr>
        <w:t>Reichman v Beveridge [2006] EWCA Civ 1659 </w:t>
      </w:r>
      <w:r>
        <w:rPr>
          <w:sz w:val="20"/>
          <w:vertAlign w:val="baseline"/>
        </w:rPr>
        <w:t>at [31], though in that case the court also held it was reasonable for the landlord to continue to claim the rent given that there was uncertainty over</w:t>
      </w:r>
      <w:r>
        <w:rPr>
          <w:spacing w:val="-1"/>
          <w:sz w:val="20"/>
          <w:vertAlign w:val="baseline"/>
        </w:rPr>
        <w:t> </w:t>
      </w:r>
      <w:r>
        <w:rPr>
          <w:sz w:val="20"/>
          <w:vertAlign w:val="baseline"/>
        </w:rPr>
        <w:t>whether</w:t>
      </w:r>
      <w:r>
        <w:rPr>
          <w:spacing w:val="-1"/>
          <w:sz w:val="20"/>
          <w:vertAlign w:val="baseline"/>
        </w:rPr>
        <w:t> </w:t>
      </w:r>
      <w:r>
        <w:rPr>
          <w:sz w:val="20"/>
          <w:vertAlign w:val="baseline"/>
        </w:rPr>
        <w:t>English</w:t>
      </w:r>
      <w:r>
        <w:rPr>
          <w:spacing w:val="-1"/>
          <w:sz w:val="20"/>
          <w:vertAlign w:val="baseline"/>
        </w:rPr>
        <w:t> </w:t>
      </w:r>
      <w:r>
        <w:rPr>
          <w:sz w:val="20"/>
          <w:vertAlign w:val="baseline"/>
        </w:rPr>
        <w:t>law</w:t>
      </w:r>
      <w:r>
        <w:rPr>
          <w:spacing w:val="-1"/>
          <w:sz w:val="20"/>
          <w:vertAlign w:val="baseline"/>
        </w:rPr>
        <w:t> </w:t>
      </w:r>
      <w:r>
        <w:rPr>
          <w:sz w:val="20"/>
          <w:vertAlign w:val="baseline"/>
        </w:rPr>
        <w:t>permits</w:t>
      </w:r>
      <w:r>
        <w:rPr>
          <w:spacing w:val="-1"/>
          <w:sz w:val="20"/>
          <w:vertAlign w:val="baseline"/>
        </w:rPr>
        <w:t> </w:t>
      </w:r>
      <w:r>
        <w:rPr>
          <w:sz w:val="20"/>
          <w:vertAlign w:val="baseline"/>
        </w:rPr>
        <w:t>a</w:t>
      </w:r>
      <w:r>
        <w:rPr>
          <w:spacing w:val="-1"/>
          <w:sz w:val="20"/>
          <w:vertAlign w:val="baseline"/>
        </w:rPr>
        <w:t> </w:t>
      </w:r>
      <w:r>
        <w:rPr>
          <w:sz w:val="20"/>
          <w:vertAlign w:val="baseline"/>
        </w:rPr>
        <w:t>landlord</w:t>
      </w:r>
      <w:r>
        <w:rPr>
          <w:spacing w:val="-1"/>
          <w:sz w:val="20"/>
          <w:vertAlign w:val="baseline"/>
        </w:rPr>
        <w:t> </w:t>
      </w:r>
      <w:r>
        <w:rPr>
          <w:sz w:val="20"/>
          <w:vertAlign w:val="baseline"/>
        </w:rPr>
        <w:t>who</w:t>
      </w:r>
      <w:r>
        <w:rPr>
          <w:spacing w:val="-1"/>
          <w:sz w:val="20"/>
          <w:vertAlign w:val="baseline"/>
        </w:rPr>
        <w:t> </w:t>
      </w:r>
      <w:r>
        <w:rPr>
          <w:sz w:val="20"/>
          <w:vertAlign w:val="baseline"/>
        </w:rPr>
        <w:t>has</w:t>
      </w:r>
      <w:r>
        <w:rPr>
          <w:spacing w:val="-1"/>
          <w:sz w:val="20"/>
          <w:vertAlign w:val="baseline"/>
        </w:rPr>
        <w:t> </w:t>
      </w:r>
      <w:r>
        <w:rPr>
          <w:sz w:val="20"/>
          <w:vertAlign w:val="baseline"/>
        </w:rPr>
        <w:t>terminated</w:t>
      </w:r>
      <w:r>
        <w:rPr>
          <w:spacing w:val="-1"/>
          <w:sz w:val="20"/>
          <w:vertAlign w:val="baseline"/>
        </w:rPr>
        <w:t> </w:t>
      </w:r>
      <w:r>
        <w:rPr>
          <w:sz w:val="20"/>
          <w:vertAlign w:val="baseline"/>
        </w:rPr>
        <w:t>the</w:t>
      </w:r>
      <w:r>
        <w:rPr>
          <w:spacing w:val="-1"/>
          <w:sz w:val="20"/>
          <w:vertAlign w:val="baseline"/>
        </w:rPr>
        <w:t> </w:t>
      </w:r>
      <w:r>
        <w:rPr>
          <w:sz w:val="20"/>
          <w:vertAlign w:val="baseline"/>
        </w:rPr>
        <w:t>lease</w:t>
      </w:r>
      <w:r>
        <w:rPr>
          <w:spacing w:val="-1"/>
          <w:sz w:val="20"/>
          <w:vertAlign w:val="baseline"/>
        </w:rPr>
        <w:t> </w:t>
      </w:r>
      <w:r>
        <w:rPr>
          <w:sz w:val="20"/>
          <w:vertAlign w:val="baseline"/>
        </w:rPr>
        <w:t>to</w:t>
      </w:r>
      <w:r>
        <w:rPr>
          <w:spacing w:val="-1"/>
          <w:sz w:val="20"/>
          <w:vertAlign w:val="baseline"/>
        </w:rPr>
        <w:t> </w:t>
      </w:r>
      <w:r>
        <w:rPr>
          <w:sz w:val="20"/>
          <w:vertAlign w:val="baseline"/>
        </w:rPr>
        <w:t>claim</w:t>
      </w:r>
      <w:r>
        <w:rPr>
          <w:spacing w:val="-1"/>
          <w:sz w:val="20"/>
          <w:vertAlign w:val="baseline"/>
        </w:rPr>
        <w:t> </w:t>
      </w:r>
      <w:r>
        <w:rPr>
          <w:sz w:val="20"/>
          <w:vertAlign w:val="baseline"/>
        </w:rPr>
        <w:t>damages</w:t>
      </w:r>
      <w:r>
        <w:rPr>
          <w:spacing w:val="-1"/>
          <w:sz w:val="20"/>
          <w:vertAlign w:val="baseline"/>
        </w:rPr>
        <w:t> </w:t>
      </w:r>
      <w:r>
        <w:rPr>
          <w:sz w:val="20"/>
          <w:vertAlign w:val="baseline"/>
        </w:rPr>
        <w:t>for loss of rent (at [28]), an uncertainty that does not arise in relation to contracts in general.</w:t>
      </w:r>
    </w:p>
    <w:p>
      <w:pPr>
        <w:spacing w:after="0" w:line="235" w:lineRule="auto"/>
        <w:jc w:val="both"/>
        <w:rPr>
          <w:sz w:val="20"/>
        </w:rPr>
        <w:sectPr>
          <w:pgSz w:w="11900" w:h="16840"/>
          <w:pgMar w:header="971" w:footer="0" w:top="1300" w:bottom="280" w:left="1275" w:right="1275"/>
        </w:sectPr>
      </w:pPr>
    </w:p>
    <w:p>
      <w:pPr>
        <w:pStyle w:val="BodyText"/>
        <w:spacing w:before="60"/>
      </w:pPr>
    </w:p>
    <w:p>
      <w:pPr>
        <w:spacing w:line="235" w:lineRule="auto" w:before="0"/>
        <w:ind w:left="705" w:right="0" w:hanging="541"/>
        <w:jc w:val="left"/>
        <w:rPr>
          <w:sz w:val="20"/>
        </w:rPr>
      </w:pPr>
      <w:hyperlink w:history="true" w:anchor="_bookmark2119">
        <w:r>
          <w:rPr>
            <w:color w:val="005DA1"/>
            <w:sz w:val="20"/>
            <w:u w:val="single" w:color="005DA1"/>
            <w:vertAlign w:val="superscript"/>
          </w:rPr>
          <w:t>1144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47" name="Image 847"/>
            <wp:cNvGraphicFramePr>
              <a:graphicFrameLocks/>
            </wp:cNvGraphicFramePr>
            <a:graphic>
              <a:graphicData uri="http://schemas.openxmlformats.org/drawingml/2006/picture">
                <pic:pic>
                  <pic:nvPicPr>
                    <pic:cNvPr id="847" name="Image 8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Clea Shipping Corp v Bulk Oil International (The Alaskan Trader) (No.2) [1984] 1 All E.R. 129, </w:t>
      </w:r>
      <w:r>
        <w:rPr>
          <w:rFonts w:ascii="Arial"/>
          <w:i/>
          <w:spacing w:val="-4"/>
          <w:sz w:val="20"/>
          <w:vertAlign w:val="baseline"/>
        </w:rPr>
        <w:t>137</w:t>
      </w:r>
      <w:r>
        <w:rPr>
          <w:spacing w:val="-4"/>
          <w:sz w:val="20"/>
          <w:vertAlign w:val="baseline"/>
        </w:rPr>
        <w:t>.</w:t>
      </w:r>
    </w:p>
    <w:p>
      <w:pPr>
        <w:pStyle w:val="BodyText"/>
        <w:spacing w:before="129"/>
      </w:pPr>
    </w:p>
    <w:p>
      <w:pPr>
        <w:spacing w:line="235" w:lineRule="auto" w:before="1"/>
        <w:ind w:left="705" w:right="0" w:hanging="541"/>
        <w:jc w:val="left"/>
        <w:rPr>
          <w:sz w:val="20"/>
        </w:rPr>
      </w:pPr>
      <w:bookmarkStart w:name="_bookmark2233" w:id="2235"/>
      <w:bookmarkEnd w:id="2235"/>
      <w:r>
        <w:rPr/>
      </w:r>
      <w:hyperlink w:history="true" w:anchor="_bookmark2120">
        <w:r>
          <w:rPr>
            <w:color w:val="005DA1"/>
            <w:sz w:val="20"/>
            <w:u w:val="single" w:color="005DA1"/>
            <w:vertAlign w:val="superscript"/>
          </w:rPr>
          <w:t>1145</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48" name="Image 848"/>
            <wp:cNvGraphicFramePr>
              <a:graphicFrameLocks/>
            </wp:cNvGraphicFramePr>
            <a:graphic>
              <a:graphicData uri="http://schemas.openxmlformats.org/drawingml/2006/picture">
                <pic:pic>
                  <pic:nvPicPr>
                    <pic:cNvPr id="848" name="Image 8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 [2012] 2 Lloyd’s Rep. 61 </w:t>
      </w:r>
      <w:r>
        <w:rPr>
          <w:sz w:val="20"/>
          <w:vertAlign w:val="baseline"/>
        </w:rPr>
        <w:t>at [47].</w:t>
      </w:r>
    </w:p>
    <w:p>
      <w:pPr>
        <w:pStyle w:val="BodyText"/>
        <w:spacing w:before="129"/>
      </w:pPr>
    </w:p>
    <w:p>
      <w:pPr>
        <w:spacing w:line="235" w:lineRule="auto" w:before="0"/>
        <w:ind w:left="705" w:right="0" w:hanging="541"/>
        <w:jc w:val="left"/>
        <w:rPr>
          <w:sz w:val="20"/>
        </w:rPr>
      </w:pPr>
      <w:bookmarkStart w:name="_bookmark2234" w:id="2236"/>
      <w:bookmarkEnd w:id="2236"/>
      <w:r>
        <w:rPr/>
      </w:r>
      <w:hyperlink w:history="true" w:anchor="_bookmark2121">
        <w:r>
          <w:rPr>
            <w:color w:val="005DA1"/>
            <w:sz w:val="20"/>
            <w:u w:val="single" w:color="005DA1"/>
            <w:vertAlign w:val="superscript"/>
          </w:rPr>
          <w:t>1146</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49" name="Image 849"/>
            <wp:cNvGraphicFramePr>
              <a:graphicFrameLocks/>
            </wp:cNvGraphicFramePr>
            <a:graphic>
              <a:graphicData uri="http://schemas.openxmlformats.org/drawingml/2006/picture">
                <pic:pic>
                  <pic:nvPicPr>
                    <pic:cNvPr id="849" name="Image 8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 [2012] 2 Lloyd’s Rep. 61 </w:t>
      </w:r>
      <w:r>
        <w:rPr>
          <w:sz w:val="20"/>
          <w:vertAlign w:val="baseline"/>
        </w:rPr>
        <w:t>at [56].</w:t>
      </w:r>
    </w:p>
    <w:p>
      <w:pPr>
        <w:pStyle w:val="BodyText"/>
        <w:spacing w:before="125"/>
      </w:pPr>
    </w:p>
    <w:p>
      <w:pPr>
        <w:spacing w:line="227" w:lineRule="exact" w:before="0"/>
        <w:ind w:left="165" w:right="0" w:firstLine="0"/>
        <w:jc w:val="left"/>
        <w:rPr>
          <w:rFonts w:ascii="Arial" w:hAnsi="Arial"/>
          <w:i/>
          <w:sz w:val="20"/>
        </w:rPr>
      </w:pPr>
      <w:bookmarkStart w:name="_bookmark2235" w:id="2237"/>
      <w:bookmarkEnd w:id="2237"/>
      <w:r>
        <w:rPr/>
      </w:r>
      <w:hyperlink w:history="true" w:anchor="_bookmark2122">
        <w:r>
          <w:rPr>
            <w:color w:val="005DA1"/>
            <w:sz w:val="20"/>
            <w:u w:val="single" w:color="005DA1"/>
            <w:vertAlign w:val="superscript"/>
          </w:rPr>
          <w:t>1147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50" name="Image 850"/>
            <wp:cNvGraphicFramePr>
              <a:graphicFrameLocks/>
            </wp:cNvGraphicFramePr>
            <a:graphic>
              <a:graphicData uri="http://schemas.openxmlformats.org/drawingml/2006/picture">
                <pic:pic>
                  <pic:nvPicPr>
                    <pic:cNvPr id="850" name="Image 8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Gator</w:t>
      </w:r>
      <w:r>
        <w:rPr>
          <w:rFonts w:ascii="Arial" w:hAnsi="Arial"/>
          <w:i/>
          <w:spacing w:val="3"/>
          <w:sz w:val="20"/>
          <w:vertAlign w:val="baseline"/>
        </w:rPr>
        <w:t> </w:t>
      </w:r>
      <w:r>
        <w:rPr>
          <w:rFonts w:ascii="Arial" w:hAnsi="Arial"/>
          <w:i/>
          <w:sz w:val="20"/>
          <w:vertAlign w:val="baseline"/>
        </w:rPr>
        <w:t>Shipping</w:t>
      </w:r>
      <w:r>
        <w:rPr>
          <w:rFonts w:ascii="Arial" w:hAnsi="Arial"/>
          <w:i/>
          <w:spacing w:val="3"/>
          <w:sz w:val="20"/>
          <w:vertAlign w:val="baseline"/>
        </w:rPr>
        <w:t> </w:t>
      </w:r>
      <w:r>
        <w:rPr>
          <w:rFonts w:ascii="Arial" w:hAnsi="Arial"/>
          <w:i/>
          <w:sz w:val="20"/>
          <w:vertAlign w:val="baseline"/>
        </w:rPr>
        <w:t>Corp</w:t>
      </w:r>
      <w:r>
        <w:rPr>
          <w:rFonts w:ascii="Arial" w:hAnsi="Arial"/>
          <w:i/>
          <w:spacing w:val="3"/>
          <w:sz w:val="20"/>
          <w:vertAlign w:val="baseline"/>
        </w:rPr>
        <w:t> </w:t>
      </w:r>
      <w:r>
        <w:rPr>
          <w:rFonts w:ascii="Arial" w:hAnsi="Arial"/>
          <w:i/>
          <w:sz w:val="20"/>
          <w:vertAlign w:val="baseline"/>
        </w:rPr>
        <w:t>v</w:t>
      </w:r>
      <w:r>
        <w:rPr>
          <w:rFonts w:ascii="Arial" w:hAnsi="Arial"/>
          <w:i/>
          <w:spacing w:val="4"/>
          <w:sz w:val="20"/>
          <w:vertAlign w:val="baseline"/>
        </w:rPr>
        <w:t> </w:t>
      </w:r>
      <w:r>
        <w:rPr>
          <w:rFonts w:ascii="Arial" w:hAnsi="Arial"/>
          <w:i/>
          <w:sz w:val="20"/>
          <w:vertAlign w:val="baseline"/>
        </w:rPr>
        <w:t>Trans-Asiatic</w:t>
      </w:r>
      <w:r>
        <w:rPr>
          <w:rFonts w:ascii="Arial" w:hAnsi="Arial"/>
          <w:i/>
          <w:spacing w:val="3"/>
          <w:sz w:val="20"/>
          <w:vertAlign w:val="baseline"/>
        </w:rPr>
        <w:t> </w:t>
      </w:r>
      <w:r>
        <w:rPr>
          <w:rFonts w:ascii="Arial" w:hAnsi="Arial"/>
          <w:i/>
          <w:sz w:val="20"/>
          <w:vertAlign w:val="baseline"/>
        </w:rPr>
        <w:t>Oil</w:t>
      </w:r>
      <w:r>
        <w:rPr>
          <w:rFonts w:ascii="Arial" w:hAnsi="Arial"/>
          <w:i/>
          <w:spacing w:val="3"/>
          <w:sz w:val="20"/>
          <w:vertAlign w:val="baseline"/>
        </w:rPr>
        <w:t> </w:t>
      </w:r>
      <w:r>
        <w:rPr>
          <w:rFonts w:ascii="Arial" w:hAnsi="Arial"/>
          <w:i/>
          <w:sz w:val="20"/>
          <w:vertAlign w:val="baseline"/>
        </w:rPr>
        <w:t>Ltd</w:t>
      </w:r>
      <w:r>
        <w:rPr>
          <w:rFonts w:ascii="Arial" w:hAnsi="Arial"/>
          <w:i/>
          <w:spacing w:val="3"/>
          <w:sz w:val="20"/>
          <w:vertAlign w:val="baseline"/>
        </w:rPr>
        <w:t> </w:t>
      </w:r>
      <w:r>
        <w:rPr>
          <w:rFonts w:ascii="Arial" w:hAnsi="Arial"/>
          <w:i/>
          <w:sz w:val="20"/>
          <w:vertAlign w:val="baseline"/>
        </w:rPr>
        <w:t>SA</w:t>
      </w:r>
      <w:r>
        <w:rPr>
          <w:rFonts w:ascii="Arial" w:hAnsi="Arial"/>
          <w:i/>
          <w:spacing w:val="3"/>
          <w:sz w:val="20"/>
          <w:vertAlign w:val="baseline"/>
        </w:rPr>
        <w:t> </w:t>
      </w:r>
      <w:r>
        <w:rPr>
          <w:rFonts w:ascii="Arial" w:hAnsi="Arial"/>
          <w:i/>
          <w:sz w:val="20"/>
          <w:vertAlign w:val="baseline"/>
        </w:rPr>
        <w:t>(The</w:t>
      </w:r>
      <w:r>
        <w:rPr>
          <w:rFonts w:ascii="Arial" w:hAnsi="Arial"/>
          <w:i/>
          <w:spacing w:val="4"/>
          <w:sz w:val="20"/>
          <w:vertAlign w:val="baseline"/>
        </w:rPr>
        <w:t> </w:t>
      </w:r>
      <w:r>
        <w:rPr>
          <w:rFonts w:ascii="Arial" w:hAnsi="Arial"/>
          <w:i/>
          <w:sz w:val="20"/>
          <w:vertAlign w:val="baseline"/>
        </w:rPr>
        <w:t>Odenfeld)</w:t>
      </w:r>
      <w:r>
        <w:rPr>
          <w:rFonts w:ascii="Arial" w:hAnsi="Arial"/>
          <w:i/>
          <w:spacing w:val="3"/>
          <w:sz w:val="20"/>
          <w:vertAlign w:val="baseline"/>
        </w:rPr>
        <w:t> </w:t>
      </w:r>
      <w:r>
        <w:rPr>
          <w:rFonts w:ascii="Arial" w:hAnsi="Arial"/>
          <w:i/>
          <w:sz w:val="20"/>
          <w:vertAlign w:val="baseline"/>
        </w:rPr>
        <w:t>[1978]</w:t>
      </w:r>
      <w:r>
        <w:rPr>
          <w:rFonts w:ascii="Arial" w:hAnsi="Arial"/>
          <w:i/>
          <w:spacing w:val="3"/>
          <w:sz w:val="20"/>
          <w:vertAlign w:val="baseline"/>
        </w:rPr>
        <w:t> </w:t>
      </w:r>
      <w:r>
        <w:rPr>
          <w:rFonts w:ascii="Arial" w:hAnsi="Arial"/>
          <w:i/>
          <w:sz w:val="20"/>
          <w:vertAlign w:val="baseline"/>
        </w:rPr>
        <w:t>2</w:t>
      </w:r>
      <w:r>
        <w:rPr>
          <w:rFonts w:ascii="Arial" w:hAnsi="Arial"/>
          <w:i/>
          <w:spacing w:val="3"/>
          <w:sz w:val="20"/>
          <w:vertAlign w:val="baseline"/>
        </w:rPr>
        <w:t> </w:t>
      </w:r>
      <w:r>
        <w:rPr>
          <w:rFonts w:ascii="Arial" w:hAnsi="Arial"/>
          <w:i/>
          <w:sz w:val="20"/>
          <w:vertAlign w:val="baseline"/>
        </w:rPr>
        <w:t>Lloyd’s</w:t>
      </w:r>
      <w:r>
        <w:rPr>
          <w:rFonts w:ascii="Arial" w:hAnsi="Arial"/>
          <w:i/>
          <w:spacing w:val="3"/>
          <w:sz w:val="20"/>
          <w:vertAlign w:val="baseline"/>
        </w:rPr>
        <w:t> </w:t>
      </w:r>
      <w:r>
        <w:rPr>
          <w:rFonts w:ascii="Arial" w:hAnsi="Arial"/>
          <w:i/>
          <w:sz w:val="20"/>
          <w:vertAlign w:val="baseline"/>
        </w:rPr>
        <w:t>Rep</w:t>
      </w:r>
      <w:r>
        <w:rPr>
          <w:rFonts w:ascii="Arial" w:hAnsi="Arial"/>
          <w:i/>
          <w:spacing w:val="4"/>
          <w:sz w:val="20"/>
          <w:vertAlign w:val="baseline"/>
        </w:rPr>
        <w:t> </w:t>
      </w:r>
      <w:r>
        <w:rPr>
          <w:rFonts w:ascii="Arial" w:hAnsi="Arial"/>
          <w:i/>
          <w:sz w:val="20"/>
          <w:vertAlign w:val="baseline"/>
        </w:rPr>
        <w:t>357,</w:t>
      </w:r>
      <w:r>
        <w:rPr>
          <w:rFonts w:ascii="Arial" w:hAnsi="Arial"/>
          <w:i/>
          <w:spacing w:val="3"/>
          <w:sz w:val="20"/>
          <w:vertAlign w:val="baseline"/>
        </w:rPr>
        <w:t> </w:t>
      </w:r>
      <w:r>
        <w:rPr>
          <w:rFonts w:ascii="Arial" w:hAnsi="Arial"/>
          <w:i/>
          <w:spacing w:val="-5"/>
          <w:sz w:val="20"/>
          <w:vertAlign w:val="baseline"/>
        </w:rPr>
        <w:t>373</w:t>
      </w:r>
    </w:p>
    <w:p>
      <w:pPr>
        <w:spacing w:line="227" w:lineRule="exact" w:before="0"/>
        <w:ind w:left="705" w:right="0" w:firstLine="0"/>
        <w:jc w:val="left"/>
        <w:rPr>
          <w:sz w:val="20"/>
        </w:rPr>
      </w:pPr>
      <w:r>
        <w:rPr>
          <w:spacing w:val="-10"/>
          <w:sz w:val="20"/>
        </w:rPr>
        <w:t>.</w:t>
      </w:r>
    </w:p>
    <w:p>
      <w:pPr>
        <w:pStyle w:val="BodyText"/>
        <w:spacing w:before="129"/>
      </w:pPr>
    </w:p>
    <w:p>
      <w:pPr>
        <w:spacing w:line="235" w:lineRule="auto" w:before="0"/>
        <w:ind w:left="705" w:right="167" w:hanging="541"/>
        <w:jc w:val="both"/>
        <w:rPr>
          <w:sz w:val="20"/>
        </w:rPr>
      </w:pPr>
      <w:bookmarkStart w:name="_bookmark2236" w:id="2238"/>
      <w:bookmarkEnd w:id="2238"/>
      <w:r>
        <w:rPr/>
      </w:r>
      <w:hyperlink w:history="true" w:anchor="_bookmark2123">
        <w:r>
          <w:rPr>
            <w:color w:val="005DA1"/>
            <w:sz w:val="20"/>
            <w:u w:val="single" w:color="005DA1"/>
            <w:vertAlign w:val="superscript"/>
          </w:rPr>
          <w:t>1148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851" name="Image 851"/>
            <wp:cNvGraphicFramePr>
              <a:graphicFrameLocks/>
            </wp:cNvGraphicFramePr>
            <a:graphic>
              <a:graphicData uri="http://schemas.openxmlformats.org/drawingml/2006/picture">
                <pic:pic>
                  <pic:nvPicPr>
                    <pic:cNvPr id="851" name="Image 85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 Shipowner SA v Shagang Shipping Co Ltd (The Aquafaith) [2012] EWHC 1077 (Comm), [2012] 2 Lloyd’s Rep. 61 </w:t>
      </w:r>
      <w:r>
        <w:rPr>
          <w:sz w:val="20"/>
          <w:vertAlign w:val="baseline"/>
        </w:rPr>
        <w:t>at [44]. In </w:t>
      </w:r>
      <w:r>
        <w:rPr>
          <w:rFonts w:ascii="Arial" w:hAnsi="Arial"/>
          <w:i/>
          <w:sz w:val="20"/>
          <w:vertAlign w:val="baseline"/>
        </w:rPr>
        <w:t>Attica Sea Carriers Corp v Ferrostaal Poseidon Bulk Reederei GmbH (The Puerto Buitrago) [1976] 1 Lloyd’s Rep. 250 </w:t>
      </w:r>
      <w:r>
        <w:rPr>
          <w:sz w:val="20"/>
          <w:vertAlign w:val="baseline"/>
        </w:rPr>
        <w:t>the innocent party has been held to have no legitimate interest in claiming the hire of a chartered ship until it </w:t>
      </w:r>
      <w:r>
        <w:rPr>
          <w:sz w:val="20"/>
          <w:vertAlign w:val="baseline"/>
        </w:rPr>
        <w:t>was returned fully repaired, when the vessel was beyond economic repair; and in </w:t>
      </w:r>
      <w:r>
        <w:rPr>
          <w:rFonts w:ascii="Arial" w:hAnsi="Arial"/>
          <w:i/>
          <w:sz w:val="20"/>
          <w:vertAlign w:val="baseline"/>
        </w:rPr>
        <w:t>MSC Mediterranean Shipping Co SA v Cottonex Anstalt [2016] EWCA Civ 789 </w:t>
      </w:r>
      <w:r>
        <w:rPr>
          <w:sz w:val="20"/>
          <w:vertAlign w:val="baseline"/>
        </w:rPr>
        <w:t>the court said there would be no legitimate interest in claiming the demurrage in respect of containers that were being detained by a third party with no end in sight, so that the contractual venture had become frustrated (at [43]): see above, para.26-106.</w:t>
      </w:r>
    </w:p>
    <w:p>
      <w:pPr>
        <w:pStyle w:val="BodyText"/>
        <w:spacing w:before="126"/>
      </w:pPr>
    </w:p>
    <w:p>
      <w:pPr>
        <w:spacing w:line="235" w:lineRule="auto" w:before="1"/>
        <w:ind w:left="705" w:right="0" w:hanging="541"/>
        <w:jc w:val="left"/>
        <w:rPr>
          <w:sz w:val="20"/>
        </w:rPr>
      </w:pPr>
      <w:bookmarkStart w:name="_bookmark2237" w:id="2239"/>
      <w:bookmarkEnd w:id="2239"/>
      <w:r>
        <w:rPr/>
      </w:r>
      <w:hyperlink w:history="true" w:anchor="_bookmark2124">
        <w:r>
          <w:rPr>
            <w:color w:val="005DA1"/>
            <w:sz w:val="20"/>
            <w:u w:val="single" w:color="005DA1"/>
            <w:vertAlign w:val="superscript"/>
          </w:rPr>
          <w:t>1149</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52" name="Image 852"/>
            <wp:cNvGraphicFramePr>
              <a:graphicFrameLocks/>
            </wp:cNvGraphicFramePr>
            <a:graphic>
              <a:graphicData uri="http://schemas.openxmlformats.org/drawingml/2006/picture">
                <pic:pic>
                  <pic:nvPicPr>
                    <pic:cNvPr id="852" name="Image 85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w:t>
      </w:r>
      <w:r>
        <w:rPr>
          <w:rFonts w:ascii="Arial" w:hAnsi="Arial"/>
          <w:i/>
          <w:spacing w:val="9"/>
          <w:sz w:val="20"/>
          <w:vertAlign w:val="baseline"/>
        </w:rPr>
        <w:t> </w:t>
      </w:r>
      <w:r>
        <w:rPr>
          <w:rFonts w:ascii="Arial" w:hAnsi="Arial"/>
          <w:i/>
          <w:sz w:val="20"/>
          <w:vertAlign w:val="baseline"/>
        </w:rPr>
        <w:t>[2012]</w:t>
      </w:r>
      <w:r>
        <w:rPr>
          <w:rFonts w:ascii="Arial" w:hAnsi="Arial"/>
          <w:i/>
          <w:spacing w:val="9"/>
          <w:sz w:val="20"/>
          <w:vertAlign w:val="baseline"/>
        </w:rPr>
        <w:t> </w:t>
      </w:r>
      <w:r>
        <w:rPr>
          <w:rFonts w:ascii="Arial" w:hAnsi="Arial"/>
          <w:i/>
          <w:sz w:val="20"/>
          <w:vertAlign w:val="baseline"/>
        </w:rPr>
        <w:t>2</w:t>
      </w:r>
      <w:r>
        <w:rPr>
          <w:rFonts w:ascii="Arial" w:hAnsi="Arial"/>
          <w:i/>
          <w:spacing w:val="9"/>
          <w:sz w:val="20"/>
          <w:vertAlign w:val="baseline"/>
        </w:rPr>
        <w:t> </w:t>
      </w:r>
      <w:r>
        <w:rPr>
          <w:rFonts w:ascii="Arial" w:hAnsi="Arial"/>
          <w:i/>
          <w:sz w:val="20"/>
          <w:vertAlign w:val="baseline"/>
        </w:rPr>
        <w:t>Lloyd’s</w:t>
      </w:r>
      <w:r>
        <w:rPr>
          <w:rFonts w:ascii="Arial" w:hAnsi="Arial"/>
          <w:i/>
          <w:spacing w:val="9"/>
          <w:sz w:val="20"/>
          <w:vertAlign w:val="baseline"/>
        </w:rPr>
        <w:t> </w:t>
      </w:r>
      <w:r>
        <w:rPr>
          <w:rFonts w:ascii="Arial" w:hAnsi="Arial"/>
          <w:i/>
          <w:sz w:val="20"/>
          <w:vertAlign w:val="baseline"/>
        </w:rPr>
        <w:t>Rep.</w:t>
      </w:r>
      <w:r>
        <w:rPr>
          <w:rFonts w:ascii="Arial" w:hAnsi="Arial"/>
          <w:i/>
          <w:spacing w:val="9"/>
          <w:sz w:val="20"/>
          <w:vertAlign w:val="baseline"/>
        </w:rPr>
        <w:t> </w:t>
      </w:r>
      <w:r>
        <w:rPr>
          <w:rFonts w:ascii="Arial" w:hAnsi="Arial"/>
          <w:i/>
          <w:sz w:val="20"/>
          <w:vertAlign w:val="baseline"/>
        </w:rPr>
        <w:t>61</w:t>
      </w:r>
      <w:r>
        <w:rPr>
          <w:rFonts w:ascii="Arial" w:hAnsi="Arial"/>
          <w:i/>
          <w:spacing w:val="9"/>
          <w:sz w:val="20"/>
          <w:vertAlign w:val="baseline"/>
        </w:rPr>
        <w:t> </w:t>
      </w:r>
      <w:r>
        <w:rPr>
          <w:sz w:val="20"/>
          <w:vertAlign w:val="baseline"/>
        </w:rPr>
        <w:t>at</w:t>
      </w:r>
      <w:r>
        <w:rPr>
          <w:spacing w:val="9"/>
          <w:sz w:val="20"/>
          <w:vertAlign w:val="baseline"/>
        </w:rPr>
        <w:t> </w:t>
      </w:r>
      <w:r>
        <w:rPr>
          <w:sz w:val="20"/>
          <w:vertAlign w:val="baseline"/>
        </w:rPr>
        <w:t>[42].</w:t>
      </w:r>
      <w:r>
        <w:rPr>
          <w:spacing w:val="9"/>
          <w:sz w:val="20"/>
          <w:vertAlign w:val="baseline"/>
        </w:rPr>
        <w:t> </w:t>
      </w:r>
      <w:r>
        <w:rPr>
          <w:sz w:val="20"/>
          <w:vertAlign w:val="baseline"/>
        </w:rPr>
        <w:t>Popplewell</w:t>
      </w:r>
      <w:r>
        <w:rPr>
          <w:spacing w:val="9"/>
          <w:sz w:val="20"/>
          <w:vertAlign w:val="baseline"/>
        </w:rPr>
        <w:t> </w:t>
      </w:r>
      <w:r>
        <w:rPr>
          <w:sz w:val="20"/>
          <w:vertAlign w:val="baseline"/>
        </w:rPr>
        <w:t>J.</w:t>
      </w:r>
      <w:r>
        <w:rPr>
          <w:spacing w:val="9"/>
          <w:sz w:val="20"/>
          <w:vertAlign w:val="baseline"/>
        </w:rPr>
        <w:t> </w:t>
      </w:r>
      <w:r>
        <w:rPr>
          <w:sz w:val="20"/>
          <w:vertAlign w:val="baseline"/>
        </w:rPr>
        <w:t>seemed</w:t>
      </w:r>
      <w:r>
        <w:rPr>
          <w:spacing w:val="9"/>
          <w:sz w:val="20"/>
          <w:vertAlign w:val="baseline"/>
        </w:rPr>
        <w:t> </w:t>
      </w:r>
      <w:r>
        <w:rPr>
          <w:sz w:val="20"/>
          <w:vertAlign w:val="baseline"/>
        </w:rPr>
        <w:t>to</w:t>
      </w:r>
      <w:r>
        <w:rPr>
          <w:spacing w:val="9"/>
          <w:sz w:val="20"/>
          <w:vertAlign w:val="baseline"/>
        </w:rPr>
        <w:t> </w:t>
      </w:r>
      <w:r>
        <w:rPr>
          <w:sz w:val="20"/>
          <w:vertAlign w:val="baseline"/>
        </w:rPr>
        <w:t>doubt</w:t>
      </w:r>
      <w:r>
        <w:rPr>
          <w:spacing w:val="9"/>
          <w:sz w:val="20"/>
          <w:vertAlign w:val="baseline"/>
        </w:rPr>
        <w:t> </w:t>
      </w:r>
      <w:r>
        <w:rPr>
          <w:sz w:val="20"/>
          <w:vertAlign w:val="baseline"/>
        </w:rPr>
        <w:t>the</w:t>
      </w:r>
      <w:r>
        <w:rPr>
          <w:spacing w:val="9"/>
          <w:sz w:val="20"/>
          <w:vertAlign w:val="baseline"/>
        </w:rPr>
        <w:t> </w:t>
      </w:r>
      <w:r>
        <w:rPr>
          <w:sz w:val="20"/>
          <w:vertAlign w:val="baseline"/>
        </w:rPr>
        <w:t>decision</w:t>
      </w:r>
      <w:r>
        <w:rPr>
          <w:spacing w:val="9"/>
          <w:sz w:val="20"/>
          <w:vertAlign w:val="baseline"/>
        </w:rPr>
        <w:t> </w:t>
      </w:r>
      <w:r>
        <w:rPr>
          <w:sz w:val="20"/>
          <w:vertAlign w:val="baseline"/>
        </w:rPr>
        <w:t>of</w:t>
      </w:r>
      <w:r>
        <w:rPr>
          <w:spacing w:val="9"/>
          <w:sz w:val="20"/>
          <w:vertAlign w:val="baseline"/>
        </w:rPr>
        <w:t> </w:t>
      </w:r>
      <w:r>
        <w:rPr>
          <w:spacing w:val="-2"/>
          <w:sz w:val="20"/>
          <w:vertAlign w:val="baseline"/>
        </w:rPr>
        <w:t>Lloyd</w:t>
      </w:r>
    </w:p>
    <w:p>
      <w:pPr>
        <w:pStyle w:val="BodyText"/>
        <w:spacing w:line="235" w:lineRule="auto"/>
        <w:ind w:left="705" w:right="167"/>
        <w:jc w:val="both"/>
      </w:pPr>
      <w:r>
        <w:rPr/>
        <w:t>J. in </w:t>
      </w:r>
      <w:r>
        <w:rPr>
          <w:rFonts w:ascii="Arial" w:hAnsi="Arial"/>
          <w:i/>
        </w:rPr>
        <w:t>Clea Shipping Corp v Bulk Oil International (The Alaskan Trader) (No.2) [1983] 2 Lloyd’s Rep. 645</w:t>
      </w:r>
      <w:r>
        <w:rPr/>
        <w:t>, of which Popplewell J. said: “Lloyd J found it impossible to interfere with the decision of the experienced commercial arbitrator who could not be shown to have applied the wrong</w:t>
      </w:r>
      <w:r>
        <w:rPr>
          <w:spacing w:val="40"/>
        </w:rPr>
        <w:t> </w:t>
      </w:r>
      <w:r>
        <w:rPr/>
        <w:t>test when finding that the owners’ election to maintain the time charter (which had included </w:t>
      </w:r>
      <w:r>
        <w:rPr/>
        <w:t>10 months of service, followed by six months of off-hire repairs) for a balance of eight months following premature re-delivery was a commercial absurdity”.</w:t>
      </w:r>
    </w:p>
    <w:p>
      <w:pPr>
        <w:pStyle w:val="BodyText"/>
        <w:spacing w:before="126"/>
      </w:pPr>
    </w:p>
    <w:p>
      <w:pPr>
        <w:spacing w:line="235" w:lineRule="auto" w:before="1"/>
        <w:ind w:left="705" w:right="167" w:hanging="541"/>
        <w:jc w:val="both"/>
        <w:rPr>
          <w:sz w:val="20"/>
        </w:rPr>
      </w:pPr>
      <w:bookmarkStart w:name="_bookmark2238" w:id="2240"/>
      <w:bookmarkEnd w:id="2240"/>
      <w:r>
        <w:rPr/>
      </w:r>
      <w:hyperlink w:history="true" w:anchor="_bookmark2125">
        <w:r>
          <w:rPr>
            <w:color w:val="005DA1"/>
            <w:sz w:val="20"/>
            <w:u w:val="single" w:color="005DA1"/>
            <w:vertAlign w:val="superscript"/>
          </w:rPr>
          <w:t>1150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853" name="Image 853"/>
            <wp:cNvGraphicFramePr>
              <a:graphicFrameLocks/>
            </wp:cNvGraphicFramePr>
            <a:graphic>
              <a:graphicData uri="http://schemas.openxmlformats.org/drawingml/2006/picture">
                <pic:pic>
                  <pic:nvPicPr>
                    <pic:cNvPr id="853" name="Image 85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It is probably for the claimant to show that it has a legitimate interest, whereas in the repudiation situation it is for the party in breach to show that the innocent party has </w:t>
      </w:r>
      <w:r>
        <w:rPr>
          <w:sz w:val="20"/>
          <w:vertAlign w:val="baseline"/>
        </w:rPr>
        <w:t>no</w:t>
      </w:r>
      <w:r>
        <w:rPr>
          <w:spacing w:val="40"/>
          <w:sz w:val="20"/>
          <w:vertAlign w:val="baseline"/>
        </w:rPr>
        <w:t> </w:t>
      </w:r>
      <w:r>
        <w:rPr>
          <w:sz w:val="20"/>
          <w:vertAlign w:val="baseline"/>
        </w:rPr>
        <w:t>legitimate interest in performing: </w:t>
      </w:r>
      <w:r>
        <w:rPr>
          <w:rFonts w:ascii="Arial" w:hAnsi="Arial"/>
          <w:i/>
          <w:sz w:val="20"/>
          <w:vertAlign w:val="baseline"/>
        </w:rPr>
        <w:t>Ocean Marine Navigation Ltd v Koch Carbon Inc (The Dynamic) [2003] EWHC 1936 (Comm), [2003] 2 Lloyd’s Rep. 693 </w:t>
      </w:r>
      <w:r>
        <w:rPr>
          <w:sz w:val="20"/>
          <w:vertAlign w:val="baseline"/>
        </w:rPr>
        <w:t>at [23].</w:t>
      </w:r>
    </w:p>
    <w:p>
      <w:pPr>
        <w:pStyle w:val="BodyText"/>
        <w:spacing w:before="124"/>
      </w:pPr>
    </w:p>
    <w:p>
      <w:pPr>
        <w:pStyle w:val="BodyText"/>
        <w:ind w:left="165"/>
      </w:pPr>
      <w:bookmarkStart w:name="_bookmark2239" w:id="2241"/>
      <w:bookmarkEnd w:id="2241"/>
      <w:r>
        <w:rPr/>
      </w:r>
      <w:hyperlink w:history="true" w:anchor="_bookmark2126">
        <w:r>
          <w:rPr>
            <w:color w:val="005DA1"/>
            <w:u w:val="single" w:color="005DA1"/>
            <w:vertAlign w:val="superscript"/>
          </w:rPr>
          <w:t>1151</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54" name="Image 854"/>
            <wp:cNvGraphicFramePr>
              <a:graphicFrameLocks/>
            </wp:cNvGraphicFramePr>
            <a:graphic>
              <a:graphicData uri="http://schemas.openxmlformats.org/drawingml/2006/picture">
                <pic:pic>
                  <pic:nvPicPr>
                    <pic:cNvPr id="854" name="Image 85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185.</w:t>
      </w:r>
    </w:p>
    <w:p>
      <w:pPr>
        <w:pStyle w:val="BodyText"/>
        <w:spacing w:before="129"/>
      </w:pPr>
    </w:p>
    <w:p>
      <w:pPr>
        <w:spacing w:line="235" w:lineRule="auto" w:before="0"/>
        <w:ind w:left="705" w:right="0" w:hanging="541"/>
        <w:jc w:val="left"/>
        <w:rPr>
          <w:sz w:val="20"/>
        </w:rPr>
      </w:pPr>
      <w:bookmarkStart w:name="_bookmark2240" w:id="2242"/>
      <w:bookmarkEnd w:id="2242"/>
      <w:r>
        <w:rPr/>
      </w:r>
      <w:hyperlink w:history="true" w:anchor="_bookmark2127">
        <w:r>
          <w:rPr>
            <w:color w:val="005DA1"/>
            <w:sz w:val="20"/>
            <w:u w:val="single" w:color="005DA1"/>
            <w:vertAlign w:val="superscript"/>
          </w:rPr>
          <w:t>1152</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855" name="Image 855"/>
            <wp:cNvGraphicFramePr>
              <a:graphicFrameLocks/>
            </wp:cNvGraphicFramePr>
            <a:graphic>
              <a:graphicData uri="http://schemas.openxmlformats.org/drawingml/2006/picture">
                <pic:pic>
                  <pic:nvPicPr>
                    <pic:cNvPr id="855" name="Image 85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[2015] 3 W.L.R. 1373</w:t>
      </w:r>
      <w:r>
        <w:rPr>
          <w:sz w:val="20"/>
          <w:vertAlign w:val="baseline"/>
        </w:rPr>
        <w:t>.</w:t>
      </w:r>
    </w:p>
    <w:p>
      <w:pPr>
        <w:pStyle w:val="BodyText"/>
        <w:spacing w:before="125"/>
      </w:pPr>
    </w:p>
    <w:p>
      <w:pPr>
        <w:pStyle w:val="BodyText"/>
        <w:spacing w:before="1"/>
        <w:ind w:left="165"/>
      </w:pPr>
      <w:bookmarkStart w:name="_bookmark2241" w:id="2243"/>
      <w:bookmarkEnd w:id="2243"/>
      <w:r>
        <w:rPr/>
      </w:r>
      <w:hyperlink w:history="true" w:anchor="_bookmark2128">
        <w:r>
          <w:rPr>
            <w:color w:val="005DA1"/>
            <w:u w:val="single" w:color="005DA1"/>
            <w:vertAlign w:val="superscript"/>
          </w:rPr>
          <w:t>1153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56" name="Image 856"/>
            <wp:cNvGraphicFramePr>
              <a:graphicFrameLocks/>
            </wp:cNvGraphicFramePr>
            <a:graphic>
              <a:graphicData uri="http://schemas.openxmlformats.org/drawingml/2006/picture">
                <pic:pic>
                  <pic:nvPicPr>
                    <pic:cNvPr id="856" name="Image 85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055.</w:t>
      </w:r>
    </w:p>
    <w:p>
      <w:pPr>
        <w:pStyle w:val="BodyText"/>
        <w:spacing w:before="125"/>
      </w:pPr>
    </w:p>
    <w:p>
      <w:pPr>
        <w:pStyle w:val="BodyText"/>
        <w:ind w:left="165"/>
      </w:pPr>
      <w:bookmarkStart w:name="_bookmark2242" w:id="2244"/>
      <w:bookmarkEnd w:id="2244"/>
      <w:r>
        <w:rPr/>
      </w:r>
      <w:hyperlink w:history="true" w:anchor="_bookmark2129">
        <w:r>
          <w:rPr>
            <w:color w:val="005DA1"/>
            <w:u w:val="single" w:color="005DA1"/>
            <w:vertAlign w:val="superscript"/>
          </w:rPr>
          <w:t>1154</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857" name="Image 857"/>
            <wp:cNvGraphicFramePr>
              <a:graphicFrameLocks/>
            </wp:cNvGraphicFramePr>
            <a:graphic>
              <a:graphicData uri="http://schemas.openxmlformats.org/drawingml/2006/picture">
                <pic:pic>
                  <pic:nvPicPr>
                    <pic:cNvPr id="857" name="Image 8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3"/>
          <w:vertAlign w:val="baseline"/>
        </w:rPr>
        <w:t> </w:t>
      </w:r>
      <w:r>
        <w:rPr>
          <w:vertAlign w:val="baseline"/>
        </w:rPr>
        <w:t>26-046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5"/>
      </w:pPr>
    </w:p>
    <w:p>
      <w:pPr>
        <w:spacing w:before="0"/>
        <w:ind w:left="165" w:right="0" w:firstLine="0"/>
        <w:jc w:val="left"/>
        <w:rPr>
          <w:sz w:val="20"/>
        </w:rPr>
      </w:pPr>
      <w:bookmarkStart w:name="_bookmark2243" w:id="2245"/>
      <w:bookmarkEnd w:id="2245"/>
      <w:r>
        <w:rPr/>
      </w:r>
      <w:hyperlink w:history="true" w:anchor="_bookmark2130">
        <w:r>
          <w:rPr>
            <w:color w:val="005DA1"/>
            <w:sz w:val="20"/>
            <w:u w:val="single" w:color="005DA1"/>
            <w:vertAlign w:val="superscript"/>
          </w:rPr>
          <w:t>1155</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58" name="Image 858"/>
            <wp:cNvGraphicFramePr>
              <a:graphicFrameLocks/>
            </wp:cNvGraphicFramePr>
            <a:graphic>
              <a:graphicData uri="http://schemas.openxmlformats.org/drawingml/2006/picture">
                <pic:pic>
                  <pic:nvPicPr>
                    <pic:cNvPr id="858" name="Image 8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[2001]</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268</w:t>
      </w:r>
      <w:r>
        <w:rPr>
          <w:sz w:val="20"/>
          <w:vertAlign w:val="baseline"/>
        </w:rPr>
        <w:t>.</w:t>
      </w:r>
      <w:r>
        <w:rPr>
          <w:spacing w:val="1"/>
          <w:sz w:val="20"/>
          <w:vertAlign w:val="baseline"/>
        </w:rPr>
        <w:t> </w:t>
      </w:r>
      <w:r>
        <w:rPr>
          <w:sz w:val="20"/>
          <w:vertAlign w:val="baseline"/>
        </w:rPr>
        <w:t>See</w:t>
      </w:r>
      <w:r>
        <w:rPr>
          <w:spacing w:val="2"/>
          <w:sz w:val="20"/>
          <w:vertAlign w:val="baseline"/>
        </w:rPr>
        <w:t> </w:t>
      </w:r>
      <w:r>
        <w:rPr>
          <w:sz w:val="20"/>
          <w:vertAlign w:val="baseline"/>
        </w:rPr>
        <w:t>Vol.I,</w:t>
      </w:r>
      <w:r>
        <w:rPr>
          <w:spacing w:val="2"/>
          <w:sz w:val="20"/>
          <w:vertAlign w:val="baseline"/>
        </w:rPr>
        <w:t> </w:t>
      </w:r>
      <w:r>
        <w:rPr>
          <w:sz w:val="20"/>
          <w:vertAlign w:val="baseline"/>
        </w:rPr>
        <w:t>paras</w:t>
      </w:r>
      <w:r>
        <w:rPr>
          <w:spacing w:val="1"/>
          <w:sz w:val="20"/>
          <w:vertAlign w:val="baseline"/>
        </w:rPr>
        <w:t> </w:t>
      </w:r>
      <w:r>
        <w:rPr>
          <w:sz w:val="20"/>
          <w:vertAlign w:val="baseline"/>
        </w:rPr>
        <w:t>26-055</w:t>
      </w:r>
      <w:r>
        <w:rPr>
          <w:spacing w:val="2"/>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8"/>
      </w:pPr>
    </w:p>
    <w:p>
      <w:pPr>
        <w:pStyle w:val="BodyText"/>
        <w:spacing w:line="235" w:lineRule="auto" w:before="1"/>
        <w:ind w:left="705" w:right="167" w:hanging="541"/>
        <w:jc w:val="both"/>
      </w:pPr>
      <w:bookmarkStart w:name="_bookmark2244" w:id="2246"/>
      <w:bookmarkEnd w:id="2246"/>
      <w:r>
        <w:rPr/>
      </w:r>
      <w:hyperlink w:history="true" w:anchor="_bookmark2131">
        <w:r>
          <w:rPr>
            <w:color w:val="005DA1"/>
            <w:u w:val="single" w:color="005DA1"/>
            <w:vertAlign w:val="superscript"/>
          </w:rPr>
          <w:t>1156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59" name="Image 859"/>
            <wp:cNvGraphicFramePr>
              <a:graphicFrameLocks/>
            </wp:cNvGraphicFramePr>
            <a:graphic>
              <a:graphicData uri="http://schemas.openxmlformats.org/drawingml/2006/picture">
                <pic:pic>
                  <pic:nvPicPr>
                    <pic:cNvPr id="859" name="Image 8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[2001] 1 A.C. 268, 285 </w:t>
      </w:r>
      <w:r>
        <w:rPr>
          <w:vertAlign w:val="baseline"/>
        </w:rPr>
        <w:t>(per Lord Nicholls). For a more detailed consideration of the relevant facts see Vol.I. para.26-055.</w:t>
      </w:r>
    </w:p>
    <w:p>
      <w:pPr>
        <w:pStyle w:val="BodyText"/>
        <w:spacing w:before="125"/>
      </w:pPr>
    </w:p>
    <w:p>
      <w:pPr>
        <w:pStyle w:val="BodyText"/>
        <w:ind w:left="165"/>
      </w:pPr>
      <w:bookmarkStart w:name="_bookmark2245" w:id="2247"/>
      <w:bookmarkEnd w:id="2247"/>
      <w:r>
        <w:rPr/>
      </w:r>
      <w:hyperlink w:history="true" w:anchor="_bookmark2132">
        <w:r>
          <w:rPr>
            <w:color w:val="005DA1"/>
            <w:u w:val="single" w:color="005DA1"/>
            <w:vertAlign w:val="superscript"/>
          </w:rPr>
          <w:t>1157</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60" name="Image 860"/>
            <wp:cNvGraphicFramePr>
              <a:graphicFrameLocks/>
            </wp:cNvGraphicFramePr>
            <a:graphic>
              <a:graphicData uri="http://schemas.openxmlformats.org/drawingml/2006/picture">
                <pic:pic>
                  <pic:nvPicPr>
                    <pic:cNvPr id="860" name="Image 8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055.</w:t>
      </w:r>
    </w:p>
    <w:p>
      <w:pPr>
        <w:pStyle w:val="BodyText"/>
        <w:spacing w:after="0"/>
        <w:sectPr>
          <w:pgSz w:w="11900" w:h="16840"/>
          <w:pgMar w:header="971" w:footer="0" w:top="1300" w:bottom="280" w:left="1275" w:right="1275"/>
        </w:sectPr>
      </w:pPr>
    </w:p>
    <w:p>
      <w:pPr>
        <w:pStyle w:val="BodyText"/>
        <w:spacing w:before="60"/>
      </w:pPr>
    </w:p>
    <w:p>
      <w:pPr>
        <w:spacing w:line="235" w:lineRule="auto" w:before="0"/>
        <w:ind w:left="705" w:right="168" w:hanging="541"/>
        <w:jc w:val="both"/>
        <w:rPr>
          <w:sz w:val="20"/>
        </w:rPr>
      </w:pPr>
      <w:hyperlink w:history="true" w:anchor="_bookmark2133">
        <w:r>
          <w:rPr>
            <w:color w:val="005DA1"/>
            <w:sz w:val="20"/>
            <w:u w:val="single" w:color="005DA1"/>
            <w:vertAlign w:val="superscript"/>
          </w:rPr>
          <w:t>1158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61" name="Image 861"/>
            <wp:cNvGraphicFramePr>
              <a:graphicFrameLocks/>
            </wp:cNvGraphicFramePr>
            <a:graphic>
              <a:graphicData uri="http://schemas.openxmlformats.org/drawingml/2006/picture">
                <pic:pic>
                  <pic:nvPicPr>
                    <pic:cNvPr id="861" name="Image 8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the discussion in </w:t>
      </w:r>
      <w:r>
        <w:rPr>
          <w:rFonts w:ascii="Arial"/>
          <w:i/>
          <w:sz w:val="20"/>
          <w:vertAlign w:val="baseline"/>
        </w:rPr>
        <w:t>Experience Hendrix LLC v PPX Enterprises Inc [2003] EWCA Civ 323, [2003] 1 All E.R. (Comm) 830</w:t>
      </w:r>
      <w:r>
        <w:rPr>
          <w:sz w:val="20"/>
          <w:vertAlign w:val="baseline"/>
        </w:rPr>
        <w:t>.</w:t>
      </w:r>
    </w:p>
    <w:p>
      <w:pPr>
        <w:pStyle w:val="BodyText"/>
        <w:spacing w:before="126"/>
      </w:pPr>
    </w:p>
    <w:p>
      <w:pPr>
        <w:spacing w:before="0"/>
        <w:ind w:left="165" w:right="0" w:firstLine="0"/>
        <w:jc w:val="left"/>
        <w:rPr>
          <w:sz w:val="20"/>
        </w:rPr>
      </w:pPr>
      <w:bookmarkStart w:name="_bookmark2246" w:id="2248"/>
      <w:bookmarkEnd w:id="2248"/>
      <w:r>
        <w:rPr/>
      </w:r>
      <w:hyperlink w:history="true" w:anchor="_bookmark2134">
        <w:r>
          <w:rPr>
            <w:color w:val="005DA1"/>
            <w:sz w:val="20"/>
            <w:u w:val="single" w:color="005DA1"/>
            <w:vertAlign w:val="superscript"/>
          </w:rPr>
          <w:t>1159</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62" name="Image 862"/>
            <wp:cNvGraphicFramePr>
              <a:graphicFrameLocks/>
            </wp:cNvGraphicFramePr>
            <a:graphic>
              <a:graphicData uri="http://schemas.openxmlformats.org/drawingml/2006/picture">
                <pic:pic>
                  <pic:nvPicPr>
                    <pic:cNvPr id="862" name="Image 8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[2001]</w:t>
      </w:r>
      <w:r>
        <w:rPr>
          <w:rFonts w:ascii="Arial"/>
          <w:i/>
          <w:spacing w:val="3"/>
          <w:sz w:val="20"/>
          <w:vertAlign w:val="baseline"/>
        </w:rPr>
        <w:t> </w:t>
      </w:r>
      <w:r>
        <w:rPr>
          <w:rFonts w:ascii="Arial"/>
          <w:i/>
          <w:sz w:val="20"/>
          <w:vertAlign w:val="baseline"/>
        </w:rPr>
        <w:t>All</w:t>
      </w:r>
      <w:r>
        <w:rPr>
          <w:rFonts w:ascii="Arial"/>
          <w:i/>
          <w:spacing w:val="3"/>
          <w:sz w:val="20"/>
          <w:vertAlign w:val="baseline"/>
        </w:rPr>
        <w:t> </w:t>
      </w:r>
      <w:r>
        <w:rPr>
          <w:rFonts w:ascii="Arial"/>
          <w:i/>
          <w:sz w:val="20"/>
          <w:vertAlign w:val="baseline"/>
        </w:rPr>
        <w:t>E.R.</w:t>
      </w:r>
      <w:r>
        <w:rPr>
          <w:rFonts w:ascii="Arial"/>
          <w:i/>
          <w:spacing w:val="3"/>
          <w:sz w:val="20"/>
          <w:vertAlign w:val="baseline"/>
        </w:rPr>
        <w:t> </w:t>
      </w:r>
      <w:r>
        <w:rPr>
          <w:rFonts w:ascii="Arial"/>
          <w:i/>
          <w:sz w:val="20"/>
          <w:vertAlign w:val="baseline"/>
        </w:rPr>
        <w:t>(D)</w:t>
      </w:r>
      <w:r>
        <w:rPr>
          <w:rFonts w:ascii="Arial"/>
          <w:i/>
          <w:spacing w:val="2"/>
          <w:sz w:val="20"/>
          <w:vertAlign w:val="baseline"/>
        </w:rPr>
        <w:t> </w:t>
      </w:r>
      <w:r>
        <w:rPr>
          <w:rFonts w:ascii="Arial"/>
          <w:i/>
          <w:sz w:val="20"/>
          <w:vertAlign w:val="baseline"/>
        </w:rPr>
        <w:t>324</w:t>
      </w:r>
      <w:r>
        <w:rPr>
          <w:rFonts w:ascii="Arial"/>
          <w:i/>
          <w:spacing w:val="3"/>
          <w:sz w:val="20"/>
          <w:vertAlign w:val="baseline"/>
        </w:rPr>
        <w:t> </w:t>
      </w:r>
      <w:r>
        <w:rPr>
          <w:rFonts w:ascii="Arial"/>
          <w:i/>
          <w:spacing w:val="-2"/>
          <w:sz w:val="20"/>
          <w:vertAlign w:val="baseline"/>
        </w:rPr>
        <w:t>(Nov)</w:t>
      </w:r>
      <w:r>
        <w:rPr>
          <w:spacing w:val="-2"/>
          <w:sz w:val="20"/>
          <w:vertAlign w:val="baseline"/>
        </w:rPr>
        <w:t>.</w:t>
      </w:r>
    </w:p>
    <w:p>
      <w:pPr>
        <w:pStyle w:val="BodyText"/>
        <w:spacing w:before="125"/>
      </w:pPr>
    </w:p>
    <w:p>
      <w:pPr>
        <w:spacing w:before="0"/>
        <w:ind w:left="165" w:right="0" w:firstLine="0"/>
        <w:jc w:val="left"/>
        <w:rPr>
          <w:sz w:val="20"/>
        </w:rPr>
      </w:pPr>
      <w:bookmarkStart w:name="_bookmark2247" w:id="2249"/>
      <w:bookmarkEnd w:id="2249"/>
      <w:r>
        <w:rPr/>
      </w:r>
      <w:hyperlink w:history="true" w:anchor="_bookmark2135">
        <w:r>
          <w:rPr>
            <w:color w:val="005DA1"/>
            <w:sz w:val="20"/>
            <w:u w:val="single" w:color="005DA1"/>
            <w:vertAlign w:val="superscript"/>
          </w:rPr>
          <w:t>1160</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63" name="Image 863"/>
            <wp:cNvGraphicFramePr>
              <a:graphicFrameLocks/>
            </wp:cNvGraphicFramePr>
            <a:graphic>
              <a:graphicData uri="http://schemas.openxmlformats.org/drawingml/2006/picture">
                <pic:pic>
                  <pic:nvPicPr>
                    <pic:cNvPr id="863" name="Image 8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line="580" w:lineRule="atLeast" w:before="5"/>
        <w:ind w:left="165" w:right="5659"/>
        <w:jc w:val="both"/>
      </w:pPr>
      <w:bookmarkStart w:name="_bookmark2248" w:id="2250"/>
      <w:bookmarkEnd w:id="2250"/>
      <w:r>
        <w:rPr/>
      </w:r>
      <w:hyperlink w:history="true" w:anchor="_bookmark2136">
        <w:r>
          <w:rPr>
            <w:color w:val="005DA1"/>
            <w:u w:val="single" w:color="005DA1"/>
            <w:vertAlign w:val="superscript"/>
          </w:rPr>
          <w:t>1161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64" name="Image 864"/>
            <wp:cNvGraphicFramePr>
              <a:graphicFrameLocks/>
            </wp:cNvGraphicFramePr>
            <a:graphic>
              <a:graphicData uri="http://schemas.openxmlformats.org/drawingml/2006/picture">
                <pic:pic>
                  <pic:nvPicPr>
                    <pic:cNvPr id="864" name="Image 86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further</w:t>
      </w:r>
      <w:r>
        <w:rPr>
          <w:spacing w:val="-2"/>
          <w:vertAlign w:val="baseline"/>
        </w:rPr>
        <w:t> </w:t>
      </w:r>
      <w:r>
        <w:rPr>
          <w:vertAlign w:val="baseline"/>
        </w:rPr>
        <w:t>below,</w:t>
      </w:r>
      <w:r>
        <w:rPr>
          <w:spacing w:val="-2"/>
          <w:vertAlign w:val="baseline"/>
        </w:rPr>
        <w:t> </w:t>
      </w:r>
      <w:r>
        <w:rPr>
          <w:vertAlign w:val="baseline"/>
        </w:rPr>
        <w:t>para.26-</w:t>
      </w:r>
      <w:r>
        <w:rPr>
          <w:vertAlign w:val="baseline"/>
        </w:rPr>
        <w:t>208. </w:t>
      </w:r>
      <w:bookmarkStart w:name="_bookmark2249" w:id="2251"/>
      <w:bookmarkEnd w:id="2251"/>
      <w:r>
        <w:rPr>
          <w:vertAlign w:val="baseline"/>
        </w:rPr>
      </w:r>
      <w:hyperlink w:history="true" w:anchor="_bookmark2137">
        <w:r>
          <w:rPr>
            <w:color w:val="005DA1"/>
            <w:u w:val="single" w:color="005DA1"/>
            <w:vertAlign w:val="superscript"/>
          </w:rPr>
          <w:t>1162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65" name="Image 865"/>
            <wp:cNvGraphicFramePr>
              <a:graphicFrameLocks/>
            </wp:cNvGraphicFramePr>
            <a:graphic>
              <a:graphicData uri="http://schemas.openxmlformats.org/drawingml/2006/picture">
                <pic:pic>
                  <pic:nvPicPr>
                    <pic:cNvPr id="865" name="Image 86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paras 26-051 et seq. </w:t>
      </w:r>
      <w:bookmarkStart w:name="_bookmark2250" w:id="2252"/>
      <w:bookmarkEnd w:id="2252"/>
      <w:r>
        <w:rPr>
          <w:vertAlign w:val="baseline"/>
        </w:rPr>
      </w:r>
      <w:hyperlink w:history="true" w:anchor="_bookmark2138">
        <w:r>
          <w:rPr>
            <w:color w:val="005DA1"/>
            <w:u w:val="single" w:color="005DA1"/>
            <w:vertAlign w:val="superscript"/>
          </w:rPr>
          <w:t>1163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66" name="Image 866"/>
            <wp:cNvGraphicFramePr>
              <a:graphicFrameLocks/>
            </wp:cNvGraphicFramePr>
            <a:graphic>
              <a:graphicData uri="http://schemas.openxmlformats.org/drawingml/2006/picture">
                <pic:pic>
                  <pic:nvPicPr>
                    <pic:cNvPr id="866" name="Image 86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para.26-041.</w:t>
      </w:r>
    </w:p>
    <w:p>
      <w:pPr>
        <w:pStyle w:val="BodyText"/>
        <w:spacing w:before="138"/>
      </w:pPr>
    </w:p>
    <w:p>
      <w:pPr>
        <w:pStyle w:val="BodyText"/>
        <w:spacing w:line="235" w:lineRule="auto" w:before="1"/>
        <w:ind w:left="705" w:right="167" w:hanging="541"/>
        <w:jc w:val="both"/>
      </w:pPr>
      <w:bookmarkStart w:name="_bookmark2251" w:id="2253"/>
      <w:bookmarkEnd w:id="2253"/>
      <w:r>
        <w:rPr/>
      </w:r>
      <w:hyperlink w:history="true" w:anchor="_bookmark2139">
        <w:r>
          <w:rPr>
            <w:color w:val="005DA1"/>
            <w:u w:val="single" w:color="005DA1"/>
            <w:vertAlign w:val="superscript"/>
          </w:rPr>
          <w:t>1164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67" name="Image 867"/>
            <wp:cNvGraphicFramePr>
              <a:graphicFrameLocks/>
            </wp:cNvGraphicFramePr>
            <a:graphic>
              <a:graphicData uri="http://schemas.openxmlformats.org/drawingml/2006/picture">
                <pic:pic>
                  <pic:nvPicPr>
                    <pic:cNvPr id="867" name="Image 86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Giedo van der Garde BV v Force India Formula One Team Ltd [2010] EWHC 2373 (QB)</w:t>
      </w:r>
      <w:r>
        <w:rPr>
          <w:vertAlign w:val="baseline"/>
        </w:rPr>
        <w:t>. Hamblen</w:t>
      </w:r>
      <w:r>
        <w:rPr>
          <w:spacing w:val="-1"/>
          <w:vertAlign w:val="baseline"/>
        </w:rPr>
        <w:t> </w:t>
      </w:r>
      <w:r>
        <w:rPr>
          <w:vertAlign w:val="baseline"/>
        </w:rPr>
        <w:t>J.</w:t>
      </w:r>
      <w:r>
        <w:rPr>
          <w:spacing w:val="-1"/>
          <w:vertAlign w:val="baseline"/>
        </w:rPr>
        <w:t> </w:t>
      </w:r>
      <w:r>
        <w:rPr>
          <w:vertAlign w:val="baseline"/>
        </w:rPr>
        <w:t>pointed</w:t>
      </w:r>
      <w:r>
        <w:rPr>
          <w:spacing w:val="-1"/>
          <w:vertAlign w:val="baseline"/>
        </w:rPr>
        <w:t> </w:t>
      </w:r>
      <w:r>
        <w:rPr>
          <w:vertAlign w:val="baseline"/>
        </w:rPr>
        <w:t>out</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award</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“precluded</w:t>
      </w:r>
      <w:r>
        <w:rPr>
          <w:spacing w:val="-1"/>
          <w:vertAlign w:val="baseline"/>
        </w:rPr>
        <w:t> </w:t>
      </w:r>
      <w:r>
        <w:rPr>
          <w:vertAlign w:val="baseline"/>
        </w:rPr>
        <w:t>by</w:t>
      </w:r>
      <w:r>
        <w:rPr>
          <w:spacing w:val="-1"/>
          <w:vertAlign w:val="baseline"/>
        </w:rPr>
        <w:t> </w:t>
      </w:r>
      <w:r>
        <w:rPr>
          <w:vertAlign w:val="baseline"/>
        </w:rPr>
        <w:t>any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factors:</w:t>
      </w:r>
      <w:r>
        <w:rPr>
          <w:spacing w:val="-1"/>
          <w:vertAlign w:val="baseline"/>
        </w:rPr>
        <w:t> </w:t>
      </w:r>
      <w:r>
        <w:rPr>
          <w:vertAlign w:val="baseline"/>
        </w:rPr>
        <w:t>(i)</w:t>
      </w:r>
      <w:r>
        <w:rPr>
          <w:spacing w:val="-1"/>
          <w:vertAlign w:val="baseline"/>
        </w:rPr>
        <w:t> </w:t>
      </w:r>
      <w:r>
        <w:rPr>
          <w:vertAlign w:val="baseline"/>
        </w:rPr>
        <w:t>that the claimants advanced no claim for an injunction or specific performance, or the fact that there would have been no prospect of such an order being granted; (ii) the fact that damages are not claimed</w:t>
      </w:r>
      <w:r>
        <w:rPr>
          <w:spacing w:val="-2"/>
          <w:vertAlign w:val="baseline"/>
        </w:rPr>
        <w:t> </w:t>
      </w:r>
      <w:r>
        <w:rPr>
          <w:vertAlign w:val="baseline"/>
        </w:rPr>
        <w:t>under</w:t>
      </w:r>
      <w:r>
        <w:rPr>
          <w:spacing w:val="-2"/>
          <w:vertAlign w:val="baseline"/>
        </w:rPr>
        <w:t> </w:t>
      </w:r>
      <w:r>
        <w:rPr>
          <w:vertAlign w:val="baseline"/>
        </w:rPr>
        <w:t>Lord</w:t>
      </w:r>
      <w:r>
        <w:rPr>
          <w:spacing w:val="-2"/>
          <w:vertAlign w:val="baseline"/>
        </w:rPr>
        <w:t> </w:t>
      </w:r>
      <w:r>
        <w:rPr>
          <w:vertAlign w:val="baseline"/>
        </w:rPr>
        <w:t>Cairns’</w:t>
      </w:r>
      <w:r>
        <w:rPr>
          <w:spacing w:val="-2"/>
          <w:vertAlign w:val="baseline"/>
        </w:rPr>
        <w:t> </w:t>
      </w:r>
      <w:r>
        <w:rPr>
          <w:vertAlign w:val="baseline"/>
        </w:rPr>
        <w:t>Act</w:t>
      </w:r>
      <w:r>
        <w:rPr>
          <w:spacing w:val="-2"/>
          <w:vertAlign w:val="baseline"/>
        </w:rPr>
        <w:t> </w:t>
      </w:r>
      <w:r>
        <w:rPr>
          <w:vertAlign w:val="baseline"/>
        </w:rPr>
        <w:t>in</w:t>
      </w:r>
      <w:r>
        <w:rPr>
          <w:spacing w:val="-2"/>
          <w:vertAlign w:val="baseline"/>
        </w:rPr>
        <w:t> </w:t>
      </w:r>
      <w:r>
        <w:rPr>
          <w:vertAlign w:val="baseline"/>
        </w:rPr>
        <w:t>lieu</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injunction;</w:t>
      </w:r>
      <w:r>
        <w:rPr>
          <w:spacing w:val="-2"/>
          <w:vertAlign w:val="baseline"/>
        </w:rPr>
        <w:t> </w:t>
      </w:r>
      <w:r>
        <w:rPr>
          <w:vertAlign w:val="baseline"/>
        </w:rPr>
        <w:t>(iii)</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based</w:t>
      </w:r>
      <w:r>
        <w:rPr>
          <w:spacing w:val="-2"/>
          <w:vertAlign w:val="baseline"/>
        </w:rPr>
        <w:t> </w:t>
      </w:r>
      <w:r>
        <w:rPr>
          <w:vertAlign w:val="baseline"/>
        </w:rPr>
        <w:t>on a breach of a restrictive covenant; and (iv) the fact that the claim is based on breach of contract rather than invasion of property rights” (at [533]). On the facts of the case, the loss assessed on this basis would be same amount as the difference in value (at [559]).</w:t>
      </w:r>
    </w:p>
    <w:p>
      <w:pPr>
        <w:pStyle w:val="BodyText"/>
        <w:spacing w:before="123"/>
      </w:pPr>
    </w:p>
    <w:p>
      <w:pPr>
        <w:spacing w:before="0"/>
        <w:ind w:left="165" w:right="0" w:firstLine="0"/>
        <w:jc w:val="left"/>
        <w:rPr>
          <w:sz w:val="20"/>
        </w:rPr>
      </w:pPr>
      <w:bookmarkStart w:name="_bookmark2252" w:id="2254"/>
      <w:bookmarkEnd w:id="2254"/>
      <w:r>
        <w:rPr/>
      </w:r>
      <w:hyperlink w:history="true" w:anchor="_bookmark2140">
        <w:r>
          <w:rPr>
            <w:color w:val="005DA1"/>
            <w:sz w:val="20"/>
            <w:u w:val="single" w:color="005DA1"/>
            <w:vertAlign w:val="superscript"/>
          </w:rPr>
          <w:t>1165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68" name="Image 868"/>
            <wp:cNvGraphicFramePr>
              <a:graphicFrameLocks/>
            </wp:cNvGraphicFramePr>
            <a:graphic>
              <a:graphicData uri="http://schemas.openxmlformats.org/drawingml/2006/picture">
                <pic:pic>
                  <pic:nvPicPr>
                    <pic:cNvPr id="868" name="Image 86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One</w:t>
      </w:r>
      <w:r>
        <w:rPr>
          <w:rFonts w:ascii="Arial" w:hAnsi="Arial"/>
          <w:i/>
          <w:spacing w:val="2"/>
          <w:sz w:val="20"/>
          <w:vertAlign w:val="baseline"/>
        </w:rPr>
        <w:t> </w:t>
      </w:r>
      <w:r>
        <w:rPr>
          <w:rFonts w:ascii="Arial" w:hAnsi="Arial"/>
          <w:i/>
          <w:sz w:val="20"/>
          <w:vertAlign w:val="baseline"/>
        </w:rPr>
        <w:t>Step</w:t>
      </w:r>
      <w:r>
        <w:rPr>
          <w:rFonts w:ascii="Arial" w:hAnsi="Arial"/>
          <w:i/>
          <w:spacing w:val="1"/>
          <w:sz w:val="20"/>
          <w:vertAlign w:val="baseline"/>
        </w:rPr>
        <w:t> </w:t>
      </w:r>
      <w:r>
        <w:rPr>
          <w:rFonts w:ascii="Arial" w:hAnsi="Arial"/>
          <w:i/>
          <w:sz w:val="20"/>
          <w:vertAlign w:val="baseline"/>
        </w:rPr>
        <w:t>(Support)</w:t>
      </w:r>
      <w:r>
        <w:rPr>
          <w:rFonts w:ascii="Arial" w:hAnsi="Arial"/>
          <w:i/>
          <w:spacing w:val="1"/>
          <w:sz w:val="20"/>
          <w:vertAlign w:val="baseline"/>
        </w:rPr>
        <w:t> </w:t>
      </w:r>
      <w:r>
        <w:rPr>
          <w:rFonts w:ascii="Arial" w:hAnsi="Arial"/>
          <w:i/>
          <w:sz w:val="20"/>
          <w:vertAlign w:val="baseline"/>
        </w:rPr>
        <w:t>Ltd</w:t>
      </w:r>
      <w:r>
        <w:rPr>
          <w:rFonts w:ascii="Arial" w:hAnsi="Arial"/>
          <w:i/>
          <w:spacing w:val="2"/>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Morris-Garner</w:t>
      </w:r>
      <w:r>
        <w:rPr>
          <w:rFonts w:ascii="Arial" w:hAnsi="Arial"/>
          <w:i/>
          <w:spacing w:val="1"/>
          <w:sz w:val="20"/>
          <w:vertAlign w:val="baseline"/>
        </w:rPr>
        <w:t> </w:t>
      </w:r>
      <w:r>
        <w:rPr>
          <w:rFonts w:ascii="Arial" w:hAnsi="Arial"/>
          <w:i/>
          <w:sz w:val="20"/>
          <w:vertAlign w:val="baseline"/>
        </w:rPr>
        <w:t>[2016]</w:t>
      </w:r>
      <w:r>
        <w:rPr>
          <w:rFonts w:ascii="Arial" w:hAnsi="Arial"/>
          <w:i/>
          <w:spacing w:val="2"/>
          <w:sz w:val="20"/>
          <w:vertAlign w:val="baseline"/>
        </w:rPr>
        <w:t> </w:t>
      </w:r>
      <w:r>
        <w:rPr>
          <w:rFonts w:ascii="Arial" w:hAnsi="Arial"/>
          <w:i/>
          <w:sz w:val="20"/>
          <w:vertAlign w:val="baseline"/>
        </w:rPr>
        <w:t>EWCA</w:t>
      </w:r>
      <w:r>
        <w:rPr>
          <w:rFonts w:ascii="Arial" w:hAnsi="Arial"/>
          <w:i/>
          <w:spacing w:val="1"/>
          <w:sz w:val="20"/>
          <w:vertAlign w:val="baseline"/>
        </w:rPr>
        <w:t> </w:t>
      </w:r>
      <w:r>
        <w:rPr>
          <w:rFonts w:ascii="Arial" w:hAnsi="Arial"/>
          <w:i/>
          <w:sz w:val="20"/>
          <w:vertAlign w:val="baseline"/>
        </w:rPr>
        <w:t>Civ</w:t>
      </w:r>
      <w:r>
        <w:rPr>
          <w:rFonts w:ascii="Arial" w:hAnsi="Arial"/>
          <w:i/>
          <w:spacing w:val="1"/>
          <w:sz w:val="20"/>
          <w:vertAlign w:val="baseline"/>
        </w:rPr>
        <w:t> </w:t>
      </w:r>
      <w:r>
        <w:rPr>
          <w:rFonts w:ascii="Arial" w:hAnsi="Arial"/>
          <w:i/>
          <w:sz w:val="20"/>
          <w:vertAlign w:val="baseline"/>
        </w:rPr>
        <w:t>180</w:t>
      </w:r>
      <w:r>
        <w:rPr>
          <w:rFonts w:ascii="Arial" w:hAnsi="Arial"/>
          <w:i/>
          <w:spacing w:val="1"/>
          <w:sz w:val="20"/>
          <w:vertAlign w:val="baseline"/>
        </w:rPr>
        <w:t> </w:t>
      </w:r>
      <w:r>
        <w:rPr>
          <w:sz w:val="20"/>
          <w:vertAlign w:val="baseline"/>
        </w:rPr>
        <w:t>at</w:t>
      </w:r>
      <w:r>
        <w:rPr>
          <w:spacing w:val="1"/>
          <w:sz w:val="20"/>
          <w:vertAlign w:val="baseline"/>
        </w:rPr>
        <w:t> </w:t>
      </w:r>
      <w:r>
        <w:rPr>
          <w:sz w:val="20"/>
          <w:vertAlign w:val="baseline"/>
        </w:rPr>
        <w:t>[122]</w:t>
      </w:r>
      <w:r>
        <w:rPr>
          <w:spacing w:val="1"/>
          <w:sz w:val="20"/>
          <w:vertAlign w:val="baseline"/>
        </w:rPr>
        <w:t> </w:t>
      </w:r>
      <w:r>
        <w:rPr>
          <w:sz w:val="20"/>
          <w:vertAlign w:val="baseline"/>
        </w:rPr>
        <w:t>and</w:t>
      </w:r>
      <w:r>
        <w:rPr>
          <w:spacing w:val="2"/>
          <w:sz w:val="20"/>
          <w:vertAlign w:val="baseline"/>
        </w:rPr>
        <w:t> </w:t>
      </w:r>
      <w:r>
        <w:rPr>
          <w:spacing w:val="-2"/>
          <w:sz w:val="20"/>
          <w:vertAlign w:val="baseline"/>
        </w:rPr>
        <w:t>[145]–[146].</w:t>
      </w:r>
    </w:p>
    <w:p>
      <w:pPr>
        <w:pStyle w:val="BodyText"/>
        <w:spacing w:before="128"/>
      </w:pPr>
    </w:p>
    <w:p>
      <w:pPr>
        <w:pStyle w:val="BodyText"/>
        <w:spacing w:line="235" w:lineRule="auto" w:before="1"/>
        <w:ind w:left="705" w:right="167" w:hanging="541"/>
        <w:jc w:val="both"/>
      </w:pPr>
      <w:bookmarkStart w:name="_bookmark2253" w:id="2255"/>
      <w:bookmarkEnd w:id="2255"/>
      <w:r>
        <w:rPr/>
      </w:r>
      <w:hyperlink w:history="true" w:anchor="_bookmark2141">
        <w:r>
          <w:rPr>
            <w:color w:val="005DA1"/>
            <w:u w:val="single" w:color="005DA1"/>
            <w:vertAlign w:val="superscript"/>
          </w:rPr>
          <w:t>1166</w:t>
        </w:r>
      </w:hyperlink>
      <w:r>
        <w:rPr>
          <w:vertAlign w:val="superscript"/>
        </w:rPr>
        <w:t>.</w:t>
      </w:r>
      <w:r>
        <w:rPr>
          <w:spacing w:val="23"/>
          <w:vertAlign w:val="baseline"/>
        </w:rPr>
        <w:t> </w:t>
      </w:r>
      <w:r>
        <w:rPr>
          <w:spacing w:val="23"/>
          <w:position w:val="-2"/>
          <w:vertAlign w:val="baseline"/>
        </w:rPr>
        <w:drawing>
          <wp:inline distT="0" distB="0" distL="0" distR="0">
            <wp:extent cx="107988" cy="107988"/>
            <wp:effectExtent l="0" t="0" r="0" b="0"/>
            <wp:docPr id="869" name="Image 869"/>
            <wp:cNvGraphicFramePr>
              <a:graphicFrameLocks/>
            </wp:cNvGraphicFramePr>
            <a:graphic>
              <a:graphicData uri="http://schemas.openxmlformats.org/drawingml/2006/picture">
                <pic:pic>
                  <pic:nvPicPr>
                    <pic:cNvPr id="869" name="Image 86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Other facts taken into account do not seem relevant. In </w:t>
      </w:r>
      <w:r>
        <w:rPr>
          <w:rFonts w:ascii="Arial" w:hAnsi="Arial"/>
          <w:i/>
          <w:vertAlign w:val="baseline"/>
        </w:rPr>
        <w:t>Experience Hendrix LLC v </w:t>
      </w:r>
      <w:r>
        <w:rPr>
          <w:rFonts w:ascii="Arial" w:hAnsi="Arial"/>
          <w:i/>
          <w:vertAlign w:val="baseline"/>
        </w:rPr>
        <w:t>PPX Enterprises Inc [2003] EWCA Civ 323, [2003] 1 All E.R. (Comm) 830 </w:t>
      </w:r>
      <w:r>
        <w:rPr>
          <w:vertAlign w:val="baseline"/>
        </w:rPr>
        <w:t>at [36], [44], [54] and [58] the Court of Appeal used some of the factors relevant to the granting of an account of profits as also relevant to their discretion to grant </w:t>
      </w:r>
      <w:r>
        <w:rPr>
          <w:rFonts w:ascii="Arial" w:hAnsi="Arial"/>
          <w:i/>
          <w:vertAlign w:val="baseline"/>
        </w:rPr>
        <w:t>Wrotham Park </w:t>
      </w:r>
      <w:r>
        <w:rPr>
          <w:vertAlign w:val="baseline"/>
        </w:rPr>
        <w:t>damages, taking into account the fact that the defendant “did do the very thing it had contracted not to do”; that the defendant “knew that it was doing something which it had contracted not to do”; that it was a “deliberate breach”, a “flagrant contravention” of the defendant’s obligation. These factors do not seem relevant to whether or not the claimant had a legitimate interest in deterring the defendant from breach.</w:t>
      </w:r>
    </w:p>
    <w:p>
      <w:pPr>
        <w:pStyle w:val="BodyText"/>
        <w:spacing w:before="123"/>
      </w:pPr>
    </w:p>
    <w:p>
      <w:pPr>
        <w:spacing w:before="0"/>
        <w:ind w:left="165" w:right="0" w:firstLine="0"/>
        <w:jc w:val="left"/>
        <w:rPr>
          <w:sz w:val="20"/>
        </w:rPr>
      </w:pPr>
      <w:bookmarkStart w:name="_bookmark2254" w:id="2256"/>
      <w:bookmarkEnd w:id="2256"/>
      <w:r>
        <w:rPr/>
      </w:r>
      <w:hyperlink w:history="true" w:anchor="_bookmark2142">
        <w:r>
          <w:rPr>
            <w:color w:val="005DA1"/>
            <w:sz w:val="20"/>
            <w:u w:val="single" w:color="005DA1"/>
            <w:vertAlign w:val="superscript"/>
          </w:rPr>
          <w:t>1167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70" name="Image 870"/>
            <wp:cNvGraphicFramePr>
              <a:graphicFrameLocks/>
            </wp:cNvGraphicFramePr>
            <a:graphic>
              <a:graphicData uri="http://schemas.openxmlformats.org/drawingml/2006/picture">
                <pic:pic>
                  <pic:nvPicPr>
                    <pic:cNvPr id="870" name="Image 87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180</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[123].</w:t>
      </w:r>
    </w:p>
    <w:p>
      <w:pPr>
        <w:pStyle w:val="BodyText"/>
        <w:spacing w:before="128"/>
      </w:pPr>
    </w:p>
    <w:p>
      <w:pPr>
        <w:spacing w:line="235" w:lineRule="auto" w:before="1"/>
        <w:ind w:left="705" w:right="167" w:hanging="541"/>
        <w:jc w:val="both"/>
        <w:rPr>
          <w:sz w:val="20"/>
        </w:rPr>
      </w:pPr>
      <w:bookmarkStart w:name="_bookmark2255" w:id="2257"/>
      <w:bookmarkEnd w:id="2257"/>
      <w:r>
        <w:rPr/>
      </w:r>
      <w:hyperlink w:history="true" w:anchor="_bookmark2143">
        <w:r>
          <w:rPr>
            <w:color w:val="005DA1"/>
            <w:sz w:val="20"/>
            <w:u w:val="single" w:color="005DA1"/>
            <w:vertAlign w:val="superscript"/>
          </w:rPr>
          <w:t>1168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71" name="Image 871"/>
            <wp:cNvGraphicFramePr>
              <a:graphicFrameLocks/>
            </wp:cNvGraphicFramePr>
            <a:graphic>
              <a:graphicData uri="http://schemas.openxmlformats.org/drawingml/2006/picture">
                <pic:pic>
                  <pic:nvPicPr>
                    <pic:cNvPr id="871" name="Image 87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Abbar v Saudi Economic &amp; Development Co (SEDCO) Real Estate Ltd [2013] EWHC 1414 (Ch) </w:t>
      </w:r>
      <w:r>
        <w:rPr>
          <w:sz w:val="20"/>
          <w:vertAlign w:val="baseline"/>
        </w:rPr>
        <w:t>at [225].</w:t>
      </w:r>
    </w:p>
    <w:p>
      <w:pPr>
        <w:pStyle w:val="BodyText"/>
        <w:spacing w:before="129"/>
      </w:pPr>
    </w:p>
    <w:p>
      <w:pPr>
        <w:pStyle w:val="BodyText"/>
        <w:spacing w:line="235" w:lineRule="auto"/>
        <w:ind w:left="705" w:right="167" w:hanging="541"/>
        <w:jc w:val="both"/>
      </w:pPr>
      <w:bookmarkStart w:name="_bookmark2256" w:id="2258"/>
      <w:bookmarkEnd w:id="2258"/>
      <w:r>
        <w:rPr/>
      </w:r>
      <w:hyperlink w:history="true" w:anchor="_bookmark2144">
        <w:r>
          <w:rPr>
            <w:color w:val="005DA1"/>
            <w:u w:val="single" w:color="005DA1"/>
            <w:vertAlign w:val="superscript"/>
          </w:rPr>
          <w:t>1169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72" name="Image 872"/>
            <wp:cNvGraphicFramePr>
              <a:graphicFrameLocks/>
            </wp:cNvGraphicFramePr>
            <a:graphic>
              <a:graphicData uri="http://schemas.openxmlformats.org/drawingml/2006/picture">
                <pic:pic>
                  <pic:nvPicPr>
                    <pic:cNvPr id="872" name="Image 8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[2016] EWCA Civ 180 </w:t>
      </w:r>
      <w:r>
        <w:rPr>
          <w:vertAlign w:val="baseline"/>
        </w:rPr>
        <w:t>at [122] and [145]–[146]. It is submitted that </w:t>
      </w:r>
      <w:r>
        <w:rPr>
          <w:rFonts w:ascii="Arial" w:hAnsi="Arial"/>
          <w:i/>
          <w:vertAlign w:val="baseline"/>
        </w:rPr>
        <w:t>Wrotham Park </w:t>
      </w:r>
      <w:r>
        <w:rPr>
          <w:vertAlign w:val="baseline"/>
        </w:rPr>
        <w:t>damages may also be awarded when the conventional measure of damages would leave the claimant undercompensated: see Vol.I, para.26-053.</w:t>
      </w:r>
    </w:p>
    <w:p>
      <w:pPr>
        <w:pStyle w:val="BodyText"/>
        <w:spacing w:before="129"/>
      </w:pPr>
    </w:p>
    <w:p>
      <w:pPr>
        <w:spacing w:line="235" w:lineRule="auto" w:before="0"/>
        <w:ind w:left="705" w:right="167" w:hanging="541"/>
        <w:jc w:val="both"/>
        <w:rPr>
          <w:sz w:val="20"/>
        </w:rPr>
      </w:pPr>
      <w:bookmarkStart w:name="_bookmark2257" w:id="2259"/>
      <w:bookmarkEnd w:id="2259"/>
      <w:r>
        <w:rPr/>
      </w:r>
      <w:hyperlink w:history="true" w:anchor="_bookmark2145">
        <w:r>
          <w:rPr>
            <w:color w:val="005DA1"/>
            <w:sz w:val="20"/>
            <w:u w:val="single" w:color="005DA1"/>
            <w:vertAlign w:val="superscript"/>
          </w:rPr>
          <w:t>1170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73" name="Image 873"/>
            <wp:cNvGraphicFramePr>
              <a:graphicFrameLocks/>
            </wp:cNvGraphicFramePr>
            <a:graphic>
              <a:graphicData uri="http://schemas.openxmlformats.org/drawingml/2006/picture">
                <pic:pic>
                  <pic:nvPicPr>
                    <pic:cNvPr id="873" name="Image 8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cf. Longmore L.J. in </w:t>
      </w:r>
      <w:r>
        <w:rPr>
          <w:rFonts w:ascii="Arial" w:hAnsi="Arial"/>
          <w:i/>
          <w:sz w:val="20"/>
          <w:vertAlign w:val="baseline"/>
        </w:rPr>
        <w:t>One Step (Support) Ltd v Morris-Garner [2016] EWCA Civ 180 </w:t>
      </w:r>
      <w:r>
        <w:rPr>
          <w:sz w:val="20"/>
          <w:vertAlign w:val="baseline"/>
        </w:rPr>
        <w:t>at [151] (another wrongful competition case, in which the defendant’s furtive conduct deprived </w:t>
      </w:r>
      <w:r>
        <w:rPr>
          <w:sz w:val="20"/>
          <w:vertAlign w:val="baseline"/>
        </w:rPr>
        <w:t>claimant of opportunity to obtain interim relief).</w:t>
      </w:r>
    </w:p>
    <w:p>
      <w:pPr>
        <w:pStyle w:val="BodyText"/>
        <w:spacing w:before="125"/>
      </w:pPr>
    </w:p>
    <w:p>
      <w:pPr>
        <w:pStyle w:val="BodyText"/>
        <w:ind w:left="165"/>
        <w:jc w:val="both"/>
      </w:pPr>
      <w:bookmarkStart w:name="_bookmark2258" w:id="2260"/>
      <w:bookmarkEnd w:id="2260"/>
      <w:r>
        <w:rPr/>
      </w:r>
      <w:hyperlink w:history="true" w:anchor="_bookmark2146">
        <w:r>
          <w:rPr>
            <w:color w:val="005DA1"/>
            <w:u w:val="single" w:color="005DA1"/>
            <w:vertAlign w:val="superscript"/>
          </w:rPr>
          <w:t>1171</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74" name="Image 874"/>
            <wp:cNvGraphicFramePr>
              <a:graphicFrameLocks/>
            </wp:cNvGraphicFramePr>
            <a:graphic>
              <a:graphicData uri="http://schemas.openxmlformats.org/drawingml/2006/picture">
                <pic:pic>
                  <pic:nvPicPr>
                    <pic:cNvPr id="874" name="Image 8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186.</w:t>
      </w:r>
    </w:p>
    <w:p>
      <w:pPr>
        <w:pStyle w:val="BodyText"/>
        <w:spacing w:before="128"/>
      </w:pPr>
    </w:p>
    <w:p>
      <w:pPr>
        <w:spacing w:line="235" w:lineRule="auto" w:before="1"/>
        <w:ind w:left="705" w:right="168" w:hanging="541"/>
        <w:jc w:val="both"/>
        <w:rPr>
          <w:sz w:val="20"/>
        </w:rPr>
      </w:pPr>
      <w:bookmarkStart w:name="_bookmark2259" w:id="2261"/>
      <w:bookmarkEnd w:id="2261"/>
      <w:r>
        <w:rPr/>
      </w:r>
      <w:hyperlink w:history="true" w:anchor="_bookmark2147">
        <w:r>
          <w:rPr>
            <w:color w:val="005DA1"/>
            <w:sz w:val="20"/>
            <w:u w:val="single" w:color="005DA1"/>
            <w:vertAlign w:val="superscript"/>
          </w:rPr>
          <w:t>1172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75" name="Image 875"/>
            <wp:cNvGraphicFramePr>
              <a:graphicFrameLocks/>
            </wp:cNvGraphicFramePr>
            <a:graphic>
              <a:graphicData uri="http://schemas.openxmlformats.org/drawingml/2006/picture">
                <pic:pic>
                  <pic:nvPicPr>
                    <pic:cNvPr id="875" name="Image 8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As opposed to a case like </w:t>
      </w:r>
      <w:r>
        <w:rPr>
          <w:rFonts w:ascii="Arial"/>
          <w:i/>
          <w:sz w:val="20"/>
          <w:vertAlign w:val="baseline"/>
        </w:rPr>
        <w:t>Esso Petroleum Co Ltd v Niad Ltd [2001] All E.R. (D) 324 (Nov)</w:t>
      </w:r>
      <w:r>
        <w:rPr>
          <w:sz w:val="20"/>
          <w:vertAlign w:val="baseline"/>
        </w:rPr>
        <w:t>, discussed above, para.26-206, in which the loss to the petrol supplier would be hard to prove.</w:t>
      </w:r>
    </w:p>
    <w:p>
      <w:pPr>
        <w:pStyle w:val="BodyText"/>
        <w:spacing w:before="125"/>
      </w:pPr>
    </w:p>
    <w:p>
      <w:pPr>
        <w:spacing w:before="0"/>
        <w:ind w:left="165" w:right="0" w:firstLine="0"/>
        <w:jc w:val="left"/>
        <w:rPr>
          <w:sz w:val="20"/>
        </w:rPr>
      </w:pPr>
      <w:bookmarkStart w:name="_bookmark2260" w:id="2262"/>
      <w:bookmarkEnd w:id="2262"/>
      <w:r>
        <w:rPr/>
      </w:r>
      <w:hyperlink w:history="true" w:anchor="_bookmark2148">
        <w:r>
          <w:rPr>
            <w:color w:val="005DA1"/>
            <w:sz w:val="20"/>
            <w:u w:val="single" w:color="005DA1"/>
            <w:vertAlign w:val="superscript"/>
          </w:rPr>
          <w:t>1173</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76" name="Image 876"/>
            <wp:cNvGraphicFramePr>
              <a:graphicFrameLocks/>
            </wp:cNvGraphicFramePr>
            <a:graphic>
              <a:graphicData uri="http://schemas.openxmlformats.org/drawingml/2006/picture">
                <pic:pic>
                  <pic:nvPicPr>
                    <pic:cNvPr id="876" name="Image 8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[1998]</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1</w:t>
      </w:r>
      <w:r>
        <w:rPr>
          <w:spacing w:val="-5"/>
          <w:sz w:val="20"/>
          <w:vertAlign w:val="baseline"/>
        </w:rPr>
        <w:t>.</w:t>
      </w:r>
    </w:p>
    <w:p>
      <w:pPr>
        <w:spacing w:after="0"/>
        <w:jc w:val="left"/>
        <w:rPr>
          <w:sz w:val="20"/>
        </w:rPr>
        <w:sectPr>
          <w:pgSz w:w="11900" w:h="16840"/>
          <w:pgMar w:header="971" w:footer="0" w:top="1300" w:bottom="280" w:left="1275" w:right="1275"/>
        </w:sectPr>
      </w:pPr>
    </w:p>
    <w:p>
      <w:pPr>
        <w:pStyle w:val="BodyText"/>
        <w:spacing w:before="56"/>
      </w:pPr>
    </w:p>
    <w:p>
      <w:pPr>
        <w:spacing w:before="0"/>
        <w:ind w:left="165" w:right="0" w:firstLine="0"/>
        <w:jc w:val="left"/>
        <w:rPr>
          <w:sz w:val="20"/>
        </w:rPr>
      </w:pPr>
      <w:hyperlink w:history="true" w:anchor="_bookmark2149">
        <w:r>
          <w:rPr>
            <w:color w:val="005DA1"/>
            <w:sz w:val="20"/>
            <w:u w:val="single" w:color="005DA1"/>
            <w:vertAlign w:val="superscript"/>
          </w:rPr>
          <w:t>1174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77" name="Image 877"/>
            <wp:cNvGraphicFramePr>
              <a:graphicFrameLocks/>
            </wp:cNvGraphicFramePr>
            <a:graphic>
              <a:graphicData uri="http://schemas.openxmlformats.org/drawingml/2006/picture">
                <pic:pic>
                  <pic:nvPicPr>
                    <pic:cNvPr id="877" name="Image 8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[1998]</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1,</w:t>
      </w:r>
      <w:r>
        <w:rPr>
          <w:rFonts w:ascii="Arial"/>
          <w:i/>
          <w:spacing w:val="1"/>
          <w:sz w:val="20"/>
          <w:vertAlign w:val="baseline"/>
        </w:rPr>
        <w:t> </w:t>
      </w:r>
      <w:r>
        <w:rPr>
          <w:rFonts w:ascii="Arial"/>
          <w:i/>
          <w:sz w:val="20"/>
          <w:vertAlign w:val="baseline"/>
        </w:rPr>
        <w:t>15</w:t>
      </w:r>
      <w:r>
        <w:rPr>
          <w:sz w:val="20"/>
          <w:vertAlign w:val="baseline"/>
        </w:rPr>
        <w:t>,</w:t>
      </w:r>
      <w:r>
        <w:rPr>
          <w:spacing w:val="2"/>
          <w:sz w:val="20"/>
          <w:vertAlign w:val="baseline"/>
        </w:rPr>
        <w:t> </w:t>
      </w:r>
      <w:r>
        <w:rPr>
          <w:sz w:val="20"/>
          <w:vertAlign w:val="baseline"/>
        </w:rPr>
        <w:t>citing</w:t>
      </w:r>
      <w:r>
        <w:rPr>
          <w:spacing w:val="1"/>
          <w:sz w:val="20"/>
          <w:vertAlign w:val="baseline"/>
        </w:rPr>
        <w:t> </w:t>
      </w:r>
      <w:r>
        <w:rPr>
          <w:sz w:val="20"/>
          <w:vertAlign w:val="baseline"/>
        </w:rPr>
        <w:t>Sharpe,</w:t>
      </w:r>
      <w:r>
        <w:rPr>
          <w:spacing w:val="1"/>
          <w:sz w:val="20"/>
          <w:vertAlign w:val="baseline"/>
        </w:rPr>
        <w:t> </w:t>
      </w:r>
      <w:r>
        <w:rPr>
          <w:rFonts w:ascii="Arial"/>
          <w:i/>
          <w:sz w:val="20"/>
          <w:vertAlign w:val="baseline"/>
        </w:rPr>
        <w:t>Studies</w:t>
      </w:r>
      <w:r>
        <w:rPr>
          <w:rFonts w:ascii="Arial"/>
          <w:i/>
          <w:spacing w:val="1"/>
          <w:sz w:val="20"/>
          <w:vertAlign w:val="baseline"/>
        </w:rPr>
        <w:t> </w:t>
      </w:r>
      <w:r>
        <w:rPr>
          <w:rFonts w:ascii="Arial"/>
          <w:i/>
          <w:sz w:val="20"/>
          <w:vertAlign w:val="baseline"/>
        </w:rPr>
        <w:t>in</w:t>
      </w:r>
      <w:r>
        <w:rPr>
          <w:rFonts w:ascii="Arial"/>
          <w:i/>
          <w:spacing w:val="1"/>
          <w:sz w:val="20"/>
          <w:vertAlign w:val="baseline"/>
        </w:rPr>
        <w:t> </w:t>
      </w:r>
      <w:r>
        <w:rPr>
          <w:rFonts w:ascii="Arial"/>
          <w:i/>
          <w:sz w:val="20"/>
          <w:vertAlign w:val="baseline"/>
        </w:rPr>
        <w:t>Contract</w:t>
      </w:r>
      <w:r>
        <w:rPr>
          <w:rFonts w:ascii="Arial"/>
          <w:i/>
          <w:spacing w:val="2"/>
          <w:sz w:val="20"/>
          <w:vertAlign w:val="baseline"/>
        </w:rPr>
        <w:t> </w:t>
      </w:r>
      <w:r>
        <w:rPr>
          <w:rFonts w:ascii="Arial"/>
          <w:i/>
          <w:sz w:val="20"/>
          <w:vertAlign w:val="baseline"/>
        </w:rPr>
        <w:t>Law </w:t>
      </w:r>
      <w:r>
        <w:rPr>
          <w:sz w:val="20"/>
          <w:vertAlign w:val="baseline"/>
        </w:rPr>
        <w:t>(1980),</w:t>
      </w:r>
      <w:r>
        <w:rPr>
          <w:spacing w:val="2"/>
          <w:sz w:val="20"/>
          <w:vertAlign w:val="baseline"/>
        </w:rPr>
        <w:t> </w:t>
      </w:r>
      <w:r>
        <w:rPr>
          <w:spacing w:val="-4"/>
          <w:sz w:val="20"/>
          <w:vertAlign w:val="baseline"/>
        </w:rPr>
        <w:t>129.</w:t>
      </w:r>
    </w:p>
    <w:p>
      <w:pPr>
        <w:pStyle w:val="BodyText"/>
        <w:spacing w:before="129"/>
      </w:pPr>
    </w:p>
    <w:p>
      <w:pPr>
        <w:pStyle w:val="BodyText"/>
        <w:spacing w:line="235" w:lineRule="auto"/>
        <w:ind w:left="705" w:right="167" w:hanging="541"/>
        <w:jc w:val="both"/>
      </w:pPr>
      <w:bookmarkStart w:name="_bookmark2261" w:id="2263"/>
      <w:bookmarkEnd w:id="2263"/>
      <w:r>
        <w:rPr/>
      </w:r>
      <w:hyperlink w:history="true" w:anchor="_bookmark2150">
        <w:r>
          <w:rPr>
            <w:color w:val="005DA1"/>
            <w:u w:val="single" w:color="005DA1"/>
            <w:vertAlign w:val="superscript"/>
          </w:rPr>
          <w:t>1175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78" name="Image 878"/>
            <wp:cNvGraphicFramePr>
              <a:graphicFrameLocks/>
            </wp:cNvGraphicFramePr>
            <a:graphic>
              <a:graphicData uri="http://schemas.openxmlformats.org/drawingml/2006/picture">
                <pic:pic>
                  <pic:nvPicPr>
                    <pic:cNvPr id="878" name="Image 87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It should be noted that “</w:t>
      </w:r>
      <w:r>
        <w:rPr>
          <w:rFonts w:ascii="Arial" w:hAnsi="Arial"/>
          <w:i/>
          <w:vertAlign w:val="baseline"/>
        </w:rPr>
        <w:t>Wrotham Park</w:t>
      </w:r>
      <w:r>
        <w:rPr>
          <w:vertAlign w:val="baseline"/>
        </w:rPr>
        <w:t>” damages, though they compensate the innocent </w:t>
      </w:r>
      <w:r>
        <w:rPr>
          <w:vertAlign w:val="baseline"/>
        </w:rPr>
        <w:t>party for its loss of opportunity to negotiate a price for releasing the defendant from the relevant contractual obligations, do not have the same effect of allowing the claimant to hold out for a large</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damages</w:t>
      </w:r>
      <w:r>
        <w:rPr>
          <w:spacing w:val="-2"/>
          <w:vertAlign w:val="baseline"/>
        </w:rPr>
        <w:t> </w:t>
      </w:r>
      <w:r>
        <w:rPr>
          <w:vertAlign w:val="baseline"/>
        </w:rPr>
        <w:t>are</w:t>
      </w:r>
      <w:r>
        <w:rPr>
          <w:spacing w:val="-2"/>
          <w:vertAlign w:val="baseline"/>
        </w:rPr>
        <w:t> </w:t>
      </w:r>
      <w:r>
        <w:rPr>
          <w:vertAlign w:val="baseline"/>
        </w:rPr>
        <w:t>fixed</w:t>
      </w:r>
      <w:r>
        <w:rPr>
          <w:spacing w:val="-2"/>
          <w:vertAlign w:val="baseline"/>
        </w:rPr>
        <w:t> </w:t>
      </w:r>
      <w:r>
        <w:rPr>
          <w:vertAlign w:val="baseline"/>
        </w:rPr>
        <w:t>at</w:t>
      </w:r>
      <w:r>
        <w:rPr>
          <w:spacing w:val="-2"/>
          <w:vertAlign w:val="baseline"/>
        </w:rPr>
        <w:t> </w:t>
      </w:r>
      <w:r>
        <w:rPr>
          <w:vertAlign w:val="baseline"/>
        </w:rPr>
        <w:t>a</w:t>
      </w:r>
      <w:r>
        <w:rPr>
          <w:spacing w:val="-2"/>
          <w:vertAlign w:val="baseline"/>
        </w:rPr>
        <w:t> </w:t>
      </w:r>
      <w:r>
        <w:rPr>
          <w:vertAlign w:val="baseline"/>
        </w:rPr>
        <w:t>fairly</w:t>
      </w:r>
      <w:r>
        <w:rPr>
          <w:spacing w:val="-2"/>
          <w:vertAlign w:val="baseline"/>
        </w:rPr>
        <w:t> </w:t>
      </w:r>
      <w:r>
        <w:rPr>
          <w:vertAlign w:val="baseline"/>
        </w:rPr>
        <w:t>modest</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In </w:t>
      </w:r>
      <w:r>
        <w:rPr>
          <w:rFonts w:ascii="Arial" w:hAnsi="Arial"/>
          <w:i/>
          <w:vertAlign w:val="baseline"/>
        </w:rPr>
        <w:t>Pell Frischmann Engineering Ltd v Bow Valley Iran Ltd [2009] UKPC 45, [2011] 1 W.L.R. 2370 </w:t>
      </w:r>
      <w:r>
        <w:rPr>
          <w:vertAlign w:val="baseline"/>
        </w:rPr>
        <w:t>Lord Walker said that “Damages under this head … represent ‘such a sum of money as might reasonably have been demanded by [the claimant] from [the defendant] as a quid pro quo for [permitting the continuation of the breach of covenant or other invasion of right]” (at [48]); the court should consider a hypothetical negotiation between a willing buyer (the contract-breaker) and a willing seller (the party claiming damages), both parties to be assumed to act reasonably, so that the fact that one or other would have refused to make a deal is to be ignored. But the fact that the alternative project could not proceed unless the negative rights were bought out</w:t>
      </w:r>
      <w:r>
        <w:rPr>
          <w:spacing w:val="40"/>
          <w:vertAlign w:val="baseline"/>
        </w:rPr>
        <w:t> </w:t>
      </w:r>
      <w:r>
        <w:rPr>
          <w:vertAlign w:val="baseline"/>
        </w:rPr>
        <w:t>can properly be taken into account (at [53]). See Vol.I, paras 26-052—26-054.</w:t>
      </w:r>
    </w:p>
    <w:p>
      <w:pPr>
        <w:pStyle w:val="BodyText"/>
        <w:spacing w:before="121"/>
      </w:pPr>
    </w:p>
    <w:p>
      <w:pPr>
        <w:spacing w:before="1"/>
        <w:ind w:left="165" w:right="0" w:firstLine="0"/>
        <w:jc w:val="left"/>
        <w:rPr>
          <w:sz w:val="20"/>
        </w:rPr>
      </w:pPr>
      <w:bookmarkStart w:name="_bookmark2262" w:id="2264"/>
      <w:bookmarkEnd w:id="2264"/>
      <w:r>
        <w:rPr/>
      </w:r>
      <w:hyperlink w:history="true" w:anchor="_bookmark2151">
        <w:r>
          <w:rPr>
            <w:color w:val="005DA1"/>
            <w:sz w:val="20"/>
            <w:u w:val="single" w:color="005DA1"/>
            <w:vertAlign w:val="superscript"/>
          </w:rPr>
          <w:t>1176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79" name="Image 879"/>
            <wp:cNvGraphicFramePr>
              <a:graphicFrameLocks/>
            </wp:cNvGraphicFramePr>
            <a:graphic>
              <a:graphicData uri="http://schemas.openxmlformats.org/drawingml/2006/picture">
                <pic:pic>
                  <pic:nvPicPr>
                    <pic:cNvPr id="879" name="Image 87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ParkingEye</w:t>
      </w:r>
      <w:r>
        <w:rPr>
          <w:rFonts w:ascii="Arial"/>
          <w:i/>
          <w:spacing w:val="2"/>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Beavis</w:t>
      </w:r>
      <w:r>
        <w:rPr>
          <w:rFonts w:ascii="Arial"/>
          <w:i/>
          <w:spacing w:val="2"/>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1"/>
          <w:sz w:val="20"/>
          <w:vertAlign w:val="baseline"/>
        </w:rPr>
        <w:t> </w:t>
      </w:r>
      <w:r>
        <w:rPr>
          <w:rFonts w:ascii="Arial"/>
          <w:i/>
          <w:sz w:val="20"/>
          <w:vertAlign w:val="baseline"/>
        </w:rPr>
        <w:t>67,</w:t>
      </w:r>
      <w:r>
        <w:rPr>
          <w:rFonts w:ascii="Arial"/>
          <w:i/>
          <w:spacing w:val="2"/>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pacing w:val="-2"/>
          <w:sz w:val="20"/>
          <w:vertAlign w:val="baseline"/>
        </w:rPr>
        <w:t>1172</w:t>
      </w:r>
      <w:r>
        <w:rPr>
          <w:spacing w:val="-2"/>
          <w:sz w:val="20"/>
          <w:vertAlign w:val="baseline"/>
        </w:rPr>
        <w:t>.</w:t>
      </w:r>
    </w:p>
    <w:p>
      <w:pPr>
        <w:pStyle w:val="BodyText"/>
        <w:spacing w:before="124"/>
      </w:pPr>
    </w:p>
    <w:p>
      <w:pPr>
        <w:spacing w:before="1"/>
        <w:ind w:left="165" w:right="0" w:firstLine="0"/>
        <w:jc w:val="left"/>
        <w:rPr>
          <w:sz w:val="20"/>
        </w:rPr>
      </w:pPr>
      <w:bookmarkStart w:name="_bookmark2263" w:id="2265"/>
      <w:bookmarkEnd w:id="2265"/>
      <w:r>
        <w:rPr/>
      </w:r>
      <w:hyperlink w:history="true" w:anchor="_bookmark2152">
        <w:r>
          <w:rPr>
            <w:color w:val="005DA1"/>
            <w:sz w:val="20"/>
            <w:u w:val="single" w:color="005DA1"/>
            <w:vertAlign w:val="superscript"/>
          </w:rPr>
          <w:t>1177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80" name="Image 880"/>
            <wp:cNvGraphicFramePr>
              <a:graphicFrameLocks/>
            </wp:cNvGraphicFramePr>
            <a:graphic>
              <a:graphicData uri="http://schemas.openxmlformats.org/drawingml/2006/picture">
                <pic:pic>
                  <pic:nvPicPr>
                    <pic:cNvPr id="880" name="Image 88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z w:val="20"/>
          <w:vertAlign w:val="baseline"/>
        </w:rPr>
        <w:t>[99],</w:t>
      </w:r>
      <w:r>
        <w:rPr>
          <w:spacing w:val="3"/>
          <w:sz w:val="20"/>
          <w:vertAlign w:val="baseline"/>
        </w:rPr>
        <w:t> </w:t>
      </w:r>
      <w:r>
        <w:rPr>
          <w:spacing w:val="-2"/>
          <w:sz w:val="20"/>
          <w:vertAlign w:val="baseline"/>
        </w:rPr>
        <w:t>[199].</w:t>
      </w:r>
    </w:p>
    <w:p>
      <w:pPr>
        <w:pStyle w:val="BodyText"/>
        <w:spacing w:line="580" w:lineRule="atLeast" w:before="5"/>
        <w:ind w:left="165" w:right="6270"/>
        <w:jc w:val="both"/>
      </w:pPr>
      <w:bookmarkStart w:name="_bookmark2264" w:id="2266"/>
      <w:bookmarkEnd w:id="2266"/>
      <w:r>
        <w:rPr/>
      </w:r>
      <w:hyperlink w:history="true" w:anchor="_bookmark2153">
        <w:r>
          <w:rPr>
            <w:color w:val="005DA1"/>
            <w:u w:val="single" w:color="005DA1"/>
            <w:vertAlign w:val="superscript"/>
          </w:rPr>
          <w:t>1178</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1" name="Image 881"/>
            <wp:cNvGraphicFramePr>
              <a:graphicFrameLocks/>
            </wp:cNvGraphicFramePr>
            <a:graphic>
              <a:graphicData uri="http://schemas.openxmlformats.org/drawingml/2006/picture">
                <pic:pic>
                  <pic:nvPicPr>
                    <pic:cNvPr id="881" name="Image 88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w:t>
      </w:r>
      <w:r>
        <w:rPr>
          <w:vertAlign w:val="baseline"/>
        </w:rPr>
        <w:t>199. </w:t>
      </w:r>
      <w:bookmarkStart w:name="_bookmark2265" w:id="2267"/>
      <w:bookmarkEnd w:id="2267"/>
      <w:r>
        <w:rPr>
          <w:vertAlign w:val="baseline"/>
        </w:rPr>
      </w:r>
      <w:hyperlink w:history="true" w:anchor="_bookmark2154">
        <w:r>
          <w:rPr>
            <w:color w:val="005DA1"/>
            <w:u w:val="single" w:color="005DA1"/>
            <w:vertAlign w:val="superscript"/>
          </w:rPr>
          <w:t>1179</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2" name="Image 882"/>
            <wp:cNvGraphicFramePr>
              <a:graphicFrameLocks/>
            </wp:cNvGraphicFramePr>
            <a:graphic>
              <a:graphicData uri="http://schemas.openxmlformats.org/drawingml/2006/picture">
                <pic:pic>
                  <pic:nvPicPr>
                    <pic:cNvPr id="882" name="Image 88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para.26-200. </w:t>
      </w:r>
      <w:bookmarkStart w:name="_bookmark2266" w:id="2268"/>
      <w:bookmarkEnd w:id="2268"/>
      <w:r>
        <w:rPr>
          <w:vertAlign w:val="baseline"/>
        </w:rPr>
      </w:r>
      <w:hyperlink w:history="true" w:anchor="_bookmark2155">
        <w:r>
          <w:rPr>
            <w:color w:val="005DA1"/>
            <w:u w:val="single" w:color="005DA1"/>
            <w:vertAlign w:val="superscript"/>
          </w:rPr>
          <w:t>1180</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3" name="Image 883"/>
            <wp:cNvGraphicFramePr>
              <a:graphicFrameLocks/>
            </wp:cNvGraphicFramePr>
            <a:graphic>
              <a:graphicData uri="http://schemas.openxmlformats.org/drawingml/2006/picture">
                <pic:pic>
                  <pic:nvPicPr>
                    <pic:cNvPr id="883" name="Image 88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para.26-201. </w:t>
      </w:r>
      <w:bookmarkStart w:name="_bookmark2267" w:id="2269"/>
      <w:bookmarkEnd w:id="2269"/>
      <w:r>
        <w:rPr>
          <w:vertAlign w:val="baseline"/>
        </w:rPr>
      </w:r>
      <w:hyperlink w:history="true" w:anchor="_bookmark2156">
        <w:r>
          <w:rPr>
            <w:color w:val="005DA1"/>
            <w:u w:val="single" w:color="005DA1"/>
            <w:vertAlign w:val="superscript"/>
          </w:rPr>
          <w:t>1181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4" name="Image 884"/>
            <wp:cNvGraphicFramePr>
              <a:graphicFrameLocks/>
            </wp:cNvGraphicFramePr>
            <a:graphic>
              <a:graphicData uri="http://schemas.openxmlformats.org/drawingml/2006/picture">
                <pic:pic>
                  <pic:nvPicPr>
                    <pic:cNvPr id="884" name="Image 88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para.26-202. </w:t>
      </w:r>
      <w:bookmarkStart w:name="_bookmark2268" w:id="2270"/>
      <w:bookmarkEnd w:id="2270"/>
      <w:r>
        <w:rPr>
          <w:vertAlign w:val="baseline"/>
        </w:rPr>
      </w:r>
      <w:hyperlink w:history="true" w:anchor="_bookmark2157">
        <w:r>
          <w:rPr>
            <w:color w:val="005DA1"/>
            <w:u w:val="single" w:color="005DA1"/>
            <w:vertAlign w:val="superscript"/>
          </w:rPr>
          <w:t>1182</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5" name="Image 885"/>
            <wp:cNvGraphicFramePr>
              <a:graphicFrameLocks/>
            </wp:cNvGraphicFramePr>
            <a:graphic>
              <a:graphicData uri="http://schemas.openxmlformats.org/drawingml/2006/picture">
                <pic:pic>
                  <pic:nvPicPr>
                    <pic:cNvPr id="885" name="Image 8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para.26-203. </w:t>
      </w:r>
      <w:bookmarkStart w:name="_bookmark2269" w:id="2271"/>
      <w:bookmarkEnd w:id="2271"/>
      <w:r>
        <w:rPr>
          <w:vertAlign w:val="baseline"/>
        </w:rPr>
      </w:r>
      <w:hyperlink w:history="true" w:anchor="_bookmark2158">
        <w:r>
          <w:rPr>
            <w:color w:val="005DA1"/>
            <w:u w:val="single" w:color="005DA1"/>
            <w:vertAlign w:val="superscript"/>
          </w:rPr>
          <w:t>1183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86" name="Image 886"/>
            <wp:cNvGraphicFramePr>
              <a:graphicFrameLocks/>
            </wp:cNvGraphicFramePr>
            <a:graphic>
              <a:graphicData uri="http://schemas.openxmlformats.org/drawingml/2006/picture">
                <pic:pic>
                  <pic:nvPicPr>
                    <pic:cNvPr id="886" name="Image 8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206.</w:t>
      </w:r>
    </w:p>
    <w:p>
      <w:pPr>
        <w:pStyle w:val="BodyText"/>
        <w:spacing w:before="149"/>
      </w:pPr>
    </w:p>
    <w:p>
      <w:pPr>
        <w:pStyle w:val="BodyText"/>
        <w:spacing w:before="1"/>
        <w:ind w:left="165"/>
      </w:pPr>
      <w:bookmarkStart w:name="_bookmark2270" w:id="2272"/>
      <w:bookmarkEnd w:id="2272"/>
      <w:r>
        <w:rPr/>
      </w:r>
      <w:hyperlink w:history="true" w:anchor="_bookmark2159">
        <w:r>
          <w:rPr>
            <w:color w:val="005DA1"/>
            <w:u w:val="single" w:color="005DA1"/>
            <w:vertAlign w:val="superscript"/>
          </w:rPr>
          <w:t>1184</w:t>
        </w:r>
      </w:hyperlink>
      <w:r>
        <w:rPr>
          <w:vertAlign w:val="superscript"/>
        </w:rPr>
        <w:t>.</w:t>
      </w:r>
      <w:r>
        <w:rPr>
          <w:spacing w:val="42"/>
          <w:vertAlign w:val="baseline"/>
        </w:rPr>
        <w:t>  </w:t>
      </w:r>
      <w:r>
        <w:rPr>
          <w:spacing w:val="23"/>
          <w:position w:val="-2"/>
          <w:vertAlign w:val="baseline"/>
        </w:rPr>
        <w:drawing>
          <wp:inline distT="0" distB="0" distL="0" distR="0">
            <wp:extent cx="107988" cy="107988"/>
            <wp:effectExtent l="0" t="0" r="0" b="0"/>
            <wp:docPr id="887" name="Image 887"/>
            <wp:cNvGraphicFramePr>
              <a:graphicFrameLocks/>
            </wp:cNvGraphicFramePr>
            <a:graphic>
              <a:graphicData uri="http://schemas.openxmlformats.org/drawingml/2006/picture">
                <pic:pic>
                  <pic:nvPicPr>
                    <pic:cNvPr id="887" name="Image 88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As</w:t>
      </w:r>
      <w:r>
        <w:rPr>
          <w:spacing w:val="3"/>
          <w:vertAlign w:val="baseline"/>
        </w:rPr>
        <w:t> </w:t>
      </w:r>
      <w:r>
        <w:rPr>
          <w:vertAlign w:val="baseline"/>
        </w:rPr>
        <w:t>in</w:t>
      </w:r>
      <w:r>
        <w:rPr>
          <w:spacing w:val="2"/>
          <w:vertAlign w:val="baseline"/>
        </w:rPr>
        <w:t> </w:t>
      </w:r>
      <w:r>
        <w:rPr>
          <w:vertAlign w:val="baseline"/>
        </w:rPr>
        <w:t>the</w:t>
      </w:r>
      <w:r>
        <w:rPr>
          <w:spacing w:val="1"/>
          <w:vertAlign w:val="baseline"/>
        </w:rPr>
        <w:t> </w:t>
      </w:r>
      <w:r>
        <w:rPr>
          <w:rFonts w:ascii="Arial"/>
          <w:i/>
          <w:vertAlign w:val="baseline"/>
        </w:rPr>
        <w:t>ParkingEye</w:t>
      </w:r>
      <w:r>
        <w:rPr>
          <w:rFonts w:ascii="Arial"/>
          <w:i/>
          <w:spacing w:val="1"/>
          <w:vertAlign w:val="baseline"/>
        </w:rPr>
        <w:t> </w:t>
      </w:r>
      <w:r>
        <w:rPr>
          <w:vertAlign w:val="baseline"/>
        </w:rPr>
        <w:t>case,</w:t>
      </w:r>
      <w:r>
        <w:rPr>
          <w:spacing w:val="3"/>
          <w:vertAlign w:val="baseline"/>
        </w:rPr>
        <w:t> </w:t>
      </w:r>
      <w:r>
        <w:rPr>
          <w:vertAlign w:val="baseline"/>
        </w:rPr>
        <w:t>see</w:t>
      </w:r>
      <w:r>
        <w:rPr>
          <w:spacing w:val="2"/>
          <w:vertAlign w:val="baseline"/>
        </w:rPr>
        <w:t> </w:t>
      </w:r>
      <w:r>
        <w:rPr>
          <w:vertAlign w:val="baseline"/>
        </w:rPr>
        <w:t>above,</w:t>
      </w:r>
      <w:r>
        <w:rPr>
          <w:spacing w:val="2"/>
          <w:vertAlign w:val="baseline"/>
        </w:rPr>
        <w:t> </w:t>
      </w:r>
      <w:r>
        <w:rPr>
          <w:vertAlign w:val="baseline"/>
        </w:rPr>
        <w:t>para.26-</w:t>
      </w:r>
      <w:r>
        <w:rPr>
          <w:spacing w:val="-4"/>
          <w:vertAlign w:val="baseline"/>
        </w:rPr>
        <w:t>197.</w:t>
      </w:r>
    </w:p>
    <w:p>
      <w:pPr>
        <w:pStyle w:val="BodyText"/>
        <w:spacing w:line="580" w:lineRule="atLeast" w:before="5"/>
        <w:ind w:left="165" w:right="6248"/>
        <w:jc w:val="both"/>
      </w:pPr>
      <w:bookmarkStart w:name="_bookmark2271" w:id="2273"/>
      <w:bookmarkEnd w:id="2273"/>
      <w:r>
        <w:rPr/>
      </w:r>
      <w:hyperlink w:history="true" w:anchor="_bookmark2160">
        <w:r>
          <w:rPr>
            <w:color w:val="005DA1"/>
            <w:u w:val="single" w:color="005DA1"/>
            <w:vertAlign w:val="superscript"/>
          </w:rPr>
          <w:t>1185</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8" name="Image 888"/>
            <wp:cNvGraphicFramePr>
              <a:graphicFrameLocks/>
            </wp:cNvGraphicFramePr>
            <a:graphic>
              <a:graphicData uri="http://schemas.openxmlformats.org/drawingml/2006/picture">
                <pic:pic>
                  <pic:nvPicPr>
                    <pic:cNvPr id="888" name="Image 88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para.26-205. </w:t>
      </w:r>
      <w:bookmarkStart w:name="_bookmark2272" w:id="2274"/>
      <w:bookmarkEnd w:id="2274"/>
      <w:r>
        <w:rPr>
          <w:vertAlign w:val="baseline"/>
        </w:rPr>
      </w:r>
      <w:hyperlink w:history="true" w:anchor="_bookmark2161">
        <w:r>
          <w:rPr>
            <w:color w:val="005DA1"/>
            <w:u w:val="single" w:color="005DA1"/>
            <w:vertAlign w:val="superscript"/>
          </w:rPr>
          <w:t>1186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889" name="Image 889"/>
            <wp:cNvGraphicFramePr>
              <a:graphicFrameLocks/>
            </wp:cNvGraphicFramePr>
            <a:graphic>
              <a:graphicData uri="http://schemas.openxmlformats.org/drawingml/2006/picture">
                <pic:pic>
                  <pic:nvPicPr>
                    <pic:cNvPr id="889" name="Image 88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para.26-208. </w:t>
      </w:r>
      <w:bookmarkStart w:name="_bookmark2273" w:id="2275"/>
      <w:bookmarkEnd w:id="2275"/>
      <w:r>
        <w:rPr>
          <w:vertAlign w:val="baseline"/>
        </w:rPr>
      </w:r>
      <w:hyperlink w:history="true" w:anchor="_bookmark2162">
        <w:r>
          <w:rPr>
            <w:color w:val="005DA1"/>
            <w:u w:val="single" w:color="005DA1"/>
            <w:vertAlign w:val="superscript"/>
          </w:rPr>
          <w:t>1187</w:t>
        </w:r>
      </w:hyperlink>
      <w:r>
        <w:rPr>
          <w:vertAlign w:val="superscript"/>
        </w:rPr>
        <w:t>.</w:t>
      </w:r>
      <w:r>
        <w:rPr>
          <w:spacing w:val="44"/>
          <w:vertAlign w:val="baseline"/>
        </w:rPr>
        <w:t>  </w:t>
      </w:r>
      <w:r>
        <w:rPr>
          <w:spacing w:val="23"/>
          <w:position w:val="-2"/>
          <w:vertAlign w:val="baseline"/>
        </w:rPr>
        <w:drawing>
          <wp:inline distT="0" distB="0" distL="0" distR="0">
            <wp:extent cx="107988" cy="107988"/>
            <wp:effectExtent l="0" t="0" r="0" b="0"/>
            <wp:docPr id="890" name="Image 890"/>
            <wp:cNvGraphicFramePr>
              <a:graphicFrameLocks/>
            </wp:cNvGraphicFramePr>
            <a:graphic>
              <a:graphicData uri="http://schemas.openxmlformats.org/drawingml/2006/picture">
                <pic:pic>
                  <pic:nvPicPr>
                    <pic:cNvPr id="890" name="Image 89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3"/>
          <w:vertAlign w:val="baseline"/>
        </w:rPr>
        <w:t> </w:t>
      </w:r>
      <w:r>
        <w:rPr>
          <w:rFonts w:ascii="Arial"/>
          <w:i/>
          <w:vertAlign w:val="baseline"/>
        </w:rPr>
        <w:t>UKSC</w:t>
      </w:r>
      <w:r>
        <w:rPr>
          <w:rFonts w:ascii="Arial"/>
          <w:i/>
          <w:spacing w:val="3"/>
          <w:vertAlign w:val="baseline"/>
        </w:rPr>
        <w:t> </w:t>
      </w:r>
      <w:r>
        <w:rPr>
          <w:rFonts w:ascii="Arial"/>
          <w:i/>
          <w:vertAlign w:val="baseline"/>
        </w:rPr>
        <w:t>67</w:t>
      </w:r>
      <w:r>
        <w:rPr>
          <w:rFonts w:ascii="Arial"/>
          <w:i/>
          <w:spacing w:val="2"/>
          <w:vertAlign w:val="baseline"/>
        </w:rPr>
        <w:t> </w:t>
      </w:r>
      <w:r>
        <w:rPr>
          <w:vertAlign w:val="baseline"/>
        </w:rPr>
        <w:t>at</w:t>
      </w:r>
      <w:r>
        <w:rPr>
          <w:spacing w:val="3"/>
          <w:vertAlign w:val="baseline"/>
        </w:rPr>
        <w:t> </w:t>
      </w:r>
      <w:r>
        <w:rPr>
          <w:spacing w:val="-2"/>
          <w:vertAlign w:val="baseline"/>
        </w:rPr>
        <w:t>[143].</w:t>
      </w:r>
    </w:p>
    <w:p>
      <w:pPr>
        <w:pStyle w:val="BodyText"/>
        <w:spacing w:before="135"/>
      </w:pPr>
    </w:p>
    <w:p>
      <w:pPr>
        <w:spacing w:before="0"/>
        <w:ind w:left="165" w:right="0" w:firstLine="0"/>
        <w:jc w:val="left"/>
        <w:rPr>
          <w:sz w:val="20"/>
        </w:rPr>
      </w:pPr>
      <w:bookmarkStart w:name="_bookmark2274" w:id="2276"/>
      <w:bookmarkEnd w:id="2276"/>
      <w:r>
        <w:rPr/>
      </w:r>
      <w:hyperlink w:history="true" w:anchor="_bookmark2163">
        <w:r>
          <w:rPr>
            <w:color w:val="005DA1"/>
            <w:sz w:val="20"/>
            <w:u w:val="single" w:color="005DA1"/>
            <w:vertAlign w:val="superscript"/>
          </w:rPr>
          <w:t>1188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91" name="Image 891"/>
            <wp:cNvGraphicFramePr>
              <a:graphicFrameLocks/>
            </wp:cNvGraphicFramePr>
            <a:graphic>
              <a:graphicData uri="http://schemas.openxmlformats.org/drawingml/2006/picture">
                <pic:pic>
                  <pic:nvPicPr>
                    <pic:cNvPr id="891" name="Image 89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3"/>
          <w:sz w:val="20"/>
          <w:vertAlign w:val="baseline"/>
        </w:rPr>
        <w:t> </w:t>
      </w:r>
      <w:r>
        <w:rPr>
          <w:rFonts w:ascii="Arial" w:hAnsi="Arial"/>
          <w:i/>
          <w:sz w:val="20"/>
          <w:vertAlign w:val="baseline"/>
        </w:rPr>
        <w:t>UKSC</w:t>
      </w:r>
      <w:r>
        <w:rPr>
          <w:rFonts w:ascii="Arial" w:hAnsi="Arial"/>
          <w:i/>
          <w:spacing w:val="3"/>
          <w:sz w:val="20"/>
          <w:vertAlign w:val="baseline"/>
        </w:rPr>
        <w:t> </w:t>
      </w:r>
      <w:r>
        <w:rPr>
          <w:rFonts w:ascii="Arial" w:hAnsi="Arial"/>
          <w:i/>
          <w:sz w:val="20"/>
          <w:vertAlign w:val="baseline"/>
        </w:rPr>
        <w:t>67</w:t>
      </w:r>
      <w:r>
        <w:rPr>
          <w:rFonts w:ascii="Arial" w:hAnsi="Arial"/>
          <w:i/>
          <w:spacing w:val="2"/>
          <w:sz w:val="20"/>
          <w:vertAlign w:val="baseline"/>
        </w:rPr>
        <w:t> </w:t>
      </w:r>
      <w:r>
        <w:rPr>
          <w:sz w:val="20"/>
          <w:vertAlign w:val="baseline"/>
        </w:rPr>
        <w:t>at</w:t>
      </w:r>
      <w:r>
        <w:rPr>
          <w:spacing w:val="2"/>
          <w:sz w:val="20"/>
          <w:vertAlign w:val="baseline"/>
        </w:rPr>
        <w:t> </w:t>
      </w:r>
      <w:r>
        <w:rPr>
          <w:sz w:val="20"/>
          <w:vertAlign w:val="baseline"/>
        </w:rPr>
        <w:t>[226]–[227],</w:t>
      </w:r>
      <w:r>
        <w:rPr>
          <w:spacing w:val="3"/>
          <w:sz w:val="20"/>
          <w:vertAlign w:val="baseline"/>
        </w:rPr>
        <w:t> </w:t>
      </w:r>
      <w:r>
        <w:rPr>
          <w:spacing w:val="-2"/>
          <w:sz w:val="20"/>
          <w:vertAlign w:val="baseline"/>
        </w:rPr>
        <w:t>[255].</w:t>
      </w:r>
    </w:p>
    <w:p>
      <w:pPr>
        <w:pStyle w:val="BodyText"/>
        <w:spacing w:before="125"/>
      </w:pPr>
    </w:p>
    <w:p>
      <w:pPr>
        <w:spacing w:before="0"/>
        <w:ind w:left="165" w:right="0" w:firstLine="0"/>
        <w:jc w:val="left"/>
        <w:rPr>
          <w:sz w:val="20"/>
        </w:rPr>
      </w:pPr>
      <w:bookmarkStart w:name="_bookmark2275" w:id="2277"/>
      <w:bookmarkEnd w:id="2277"/>
      <w:r>
        <w:rPr/>
      </w:r>
      <w:hyperlink w:history="true" w:anchor="_bookmark2164">
        <w:r>
          <w:rPr>
            <w:color w:val="005DA1"/>
            <w:sz w:val="20"/>
            <w:u w:val="single" w:color="005DA1"/>
            <w:vertAlign w:val="superscript"/>
          </w:rPr>
          <w:t>1189</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92" name="Image 892"/>
            <wp:cNvGraphicFramePr>
              <a:graphicFrameLocks/>
            </wp:cNvGraphicFramePr>
            <a:graphic>
              <a:graphicData uri="http://schemas.openxmlformats.org/drawingml/2006/picture">
                <pic:pic>
                  <pic:nvPicPr>
                    <pic:cNvPr id="892" name="Image 8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4"/>
          <w:sz w:val="20"/>
          <w:vertAlign w:val="baseline"/>
        </w:rPr>
        <w:t> </w:t>
      </w:r>
      <w:r>
        <w:rPr>
          <w:rFonts w:ascii="Arial"/>
          <w:i/>
          <w:sz w:val="20"/>
          <w:vertAlign w:val="baseline"/>
        </w:rPr>
        <w:t>UKSC</w:t>
      </w:r>
      <w:r>
        <w:rPr>
          <w:rFonts w:ascii="Arial"/>
          <w:i/>
          <w:spacing w:val="4"/>
          <w:sz w:val="20"/>
          <w:vertAlign w:val="baseline"/>
        </w:rPr>
        <w:t> </w:t>
      </w:r>
      <w:r>
        <w:rPr>
          <w:rFonts w:ascii="Arial"/>
          <w:i/>
          <w:spacing w:val="-5"/>
          <w:sz w:val="20"/>
          <w:vertAlign w:val="baseline"/>
        </w:rPr>
        <w:t>67</w:t>
      </w:r>
      <w:r>
        <w:rPr>
          <w:spacing w:val="-5"/>
          <w:sz w:val="20"/>
          <w:vertAlign w:val="baseline"/>
        </w:rPr>
        <w:t>.</w:t>
      </w:r>
    </w:p>
    <w:p>
      <w:pPr>
        <w:pStyle w:val="BodyText"/>
        <w:spacing w:before="125"/>
      </w:pPr>
    </w:p>
    <w:p>
      <w:pPr>
        <w:pStyle w:val="BodyText"/>
        <w:ind w:left="165"/>
      </w:pPr>
      <w:bookmarkStart w:name="_bookmark2276" w:id="2278"/>
      <w:bookmarkEnd w:id="2278"/>
      <w:r>
        <w:rPr/>
      </w:r>
      <w:hyperlink w:history="true" w:anchor="_bookmark2165">
        <w:r>
          <w:rPr>
            <w:color w:val="005DA1"/>
            <w:u w:val="single" w:color="005DA1"/>
            <w:vertAlign w:val="superscript"/>
          </w:rPr>
          <w:t>1190</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893" name="Image 893"/>
            <wp:cNvGraphicFramePr>
              <a:graphicFrameLocks/>
            </wp:cNvGraphicFramePr>
            <a:graphic>
              <a:graphicData uri="http://schemas.openxmlformats.org/drawingml/2006/picture">
                <pic:pic>
                  <pic:nvPicPr>
                    <pic:cNvPr id="893" name="Image 8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Information</w:t>
      </w:r>
      <w:r>
        <w:rPr>
          <w:spacing w:val="3"/>
          <w:vertAlign w:val="baseline"/>
        </w:rPr>
        <w:t> </w:t>
      </w:r>
      <w:r>
        <w:rPr>
          <w:vertAlign w:val="baseline"/>
        </w:rPr>
        <w:t>received</w:t>
      </w:r>
      <w:r>
        <w:rPr>
          <w:spacing w:val="2"/>
          <w:vertAlign w:val="baseline"/>
        </w:rPr>
        <w:t> </w:t>
      </w:r>
      <w:r>
        <w:rPr>
          <w:vertAlign w:val="baseline"/>
        </w:rPr>
        <w:t>during</w:t>
      </w:r>
      <w:r>
        <w:rPr>
          <w:spacing w:val="1"/>
          <w:vertAlign w:val="baseline"/>
        </w:rPr>
        <w:t> </w:t>
      </w:r>
      <w:r>
        <w:rPr>
          <w:vertAlign w:val="baseline"/>
        </w:rPr>
        <w:t>seminars</w:t>
      </w:r>
      <w:r>
        <w:rPr>
          <w:spacing w:val="2"/>
          <w:vertAlign w:val="baseline"/>
        </w:rPr>
        <w:t> </w:t>
      </w:r>
      <w:r>
        <w:rPr>
          <w:vertAlign w:val="baseline"/>
        </w:rPr>
        <w:t>on</w:t>
      </w:r>
      <w:r>
        <w:rPr>
          <w:spacing w:val="2"/>
          <w:vertAlign w:val="baseline"/>
        </w:rPr>
        <w:t> </w:t>
      </w:r>
      <w:r>
        <w:rPr>
          <w:vertAlign w:val="baseline"/>
        </w:rPr>
        <w:t>the</w:t>
      </w:r>
      <w:r>
        <w:rPr>
          <w:spacing w:val="1"/>
          <w:vertAlign w:val="baseline"/>
        </w:rPr>
        <w:t> </w:t>
      </w:r>
      <w:r>
        <w:rPr>
          <w:vertAlign w:val="baseline"/>
        </w:rPr>
        <w:t>case</w:t>
      </w:r>
      <w:r>
        <w:rPr>
          <w:spacing w:val="2"/>
          <w:vertAlign w:val="baseline"/>
        </w:rPr>
        <w:t> </w:t>
      </w:r>
      <w:r>
        <w:rPr>
          <w:vertAlign w:val="baseline"/>
        </w:rPr>
        <w:t>at</w:t>
      </w:r>
      <w:r>
        <w:rPr>
          <w:spacing w:val="1"/>
          <w:vertAlign w:val="baseline"/>
        </w:rPr>
        <w:t> </w:t>
      </w:r>
      <w:r>
        <w:rPr>
          <w:vertAlign w:val="baseline"/>
        </w:rPr>
        <w:t>the</w:t>
      </w:r>
      <w:r>
        <w:rPr>
          <w:spacing w:val="2"/>
          <w:vertAlign w:val="baseline"/>
        </w:rPr>
        <w:t> </w:t>
      </w:r>
      <w:r>
        <w:rPr>
          <w:vertAlign w:val="baseline"/>
        </w:rPr>
        <w:t>Judicial</w:t>
      </w:r>
      <w:r>
        <w:rPr>
          <w:spacing w:val="2"/>
          <w:vertAlign w:val="baseline"/>
        </w:rPr>
        <w:t> </w:t>
      </w:r>
      <w:r>
        <w:rPr>
          <w:spacing w:val="-2"/>
          <w:vertAlign w:val="baseline"/>
        </w:rPr>
        <w:t>College.</w:t>
      </w:r>
    </w:p>
    <w:p>
      <w:pPr>
        <w:pStyle w:val="BodyText"/>
        <w:spacing w:before="128"/>
      </w:pPr>
    </w:p>
    <w:p>
      <w:pPr>
        <w:pStyle w:val="BodyText"/>
        <w:spacing w:line="235" w:lineRule="auto" w:before="1"/>
        <w:ind w:left="705" w:right="167" w:hanging="541"/>
        <w:jc w:val="both"/>
      </w:pPr>
      <w:bookmarkStart w:name="_bookmark2277" w:id="2279"/>
      <w:bookmarkEnd w:id="2279"/>
      <w:r>
        <w:rPr/>
      </w:r>
      <w:hyperlink w:history="true" w:anchor="_bookmark2166">
        <w:r>
          <w:rPr>
            <w:color w:val="005DA1"/>
            <w:u w:val="single" w:color="005DA1"/>
            <w:vertAlign w:val="superscript"/>
          </w:rPr>
          <w:t>1191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894" name="Image 894"/>
            <wp:cNvGraphicFramePr>
              <a:graphicFrameLocks/>
            </wp:cNvGraphicFramePr>
            <a:graphic>
              <a:graphicData uri="http://schemas.openxmlformats.org/drawingml/2006/picture">
                <pic:pic>
                  <pic:nvPicPr>
                    <pic:cNvPr id="894" name="Image 8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Nor, according to the majority, to avoid it being unfair within the meaning of the Unfair Terms</w:t>
      </w:r>
      <w:r>
        <w:rPr>
          <w:spacing w:val="40"/>
          <w:vertAlign w:val="baseline"/>
        </w:rPr>
        <w:t> </w:t>
      </w:r>
      <w:r>
        <w:rPr>
          <w:vertAlign w:val="baseline"/>
        </w:rPr>
        <w:t>in Consumer Contracts Regulations 1999 (and now the Consumer Rights Act 2015), but </w:t>
      </w:r>
      <w:r>
        <w:rPr>
          <w:vertAlign w:val="baseline"/>
        </w:rPr>
        <w:t>see</w:t>
      </w:r>
      <w:r>
        <w:rPr>
          <w:spacing w:val="40"/>
          <w:vertAlign w:val="baseline"/>
        </w:rPr>
        <w:t> </w:t>
      </w:r>
      <w:r>
        <w:rPr>
          <w:vertAlign w:val="baseline"/>
        </w:rPr>
        <w:t>the</w:t>
      </w:r>
      <w:r>
        <w:rPr>
          <w:spacing w:val="40"/>
          <w:vertAlign w:val="baseline"/>
        </w:rPr>
        <w:t> </w:t>
      </w:r>
      <w:r>
        <w:rPr>
          <w:vertAlign w:val="baseline"/>
        </w:rPr>
        <w:t>dissent</w:t>
      </w:r>
      <w:r>
        <w:rPr>
          <w:spacing w:val="40"/>
          <w:vertAlign w:val="baseline"/>
        </w:rPr>
        <w:t> </w:t>
      </w:r>
      <w:r>
        <w:rPr>
          <w:vertAlign w:val="baseline"/>
        </w:rPr>
        <w:t>on</w:t>
      </w:r>
      <w:r>
        <w:rPr>
          <w:spacing w:val="40"/>
          <w:vertAlign w:val="baseline"/>
        </w:rPr>
        <w:t> </w:t>
      </w:r>
      <w:r>
        <w:rPr>
          <w:vertAlign w:val="baseline"/>
        </w:rPr>
        <w:t>this</w:t>
      </w:r>
      <w:r>
        <w:rPr>
          <w:spacing w:val="40"/>
          <w:vertAlign w:val="baseline"/>
        </w:rPr>
        <w:t> </w:t>
      </w:r>
      <w:r>
        <w:rPr>
          <w:vertAlign w:val="baseline"/>
        </w:rPr>
        <w:t>point</w:t>
      </w:r>
      <w:r>
        <w:rPr>
          <w:spacing w:val="40"/>
          <w:vertAlign w:val="baseline"/>
        </w:rPr>
        <w:t> </w:t>
      </w:r>
      <w:r>
        <w:rPr>
          <w:vertAlign w:val="baseline"/>
        </w:rPr>
        <w:t>by</w:t>
      </w:r>
      <w:r>
        <w:rPr>
          <w:spacing w:val="40"/>
          <w:vertAlign w:val="baseline"/>
        </w:rPr>
        <w:t> </w:t>
      </w:r>
      <w:r>
        <w:rPr>
          <w:vertAlign w:val="baseline"/>
        </w:rPr>
        <w:t>Lord</w:t>
      </w:r>
      <w:r>
        <w:rPr>
          <w:spacing w:val="40"/>
          <w:vertAlign w:val="baseline"/>
        </w:rPr>
        <w:t> </w:t>
      </w:r>
      <w:r>
        <w:rPr>
          <w:vertAlign w:val="baseline"/>
        </w:rPr>
        <w:t>Toulson.</w:t>
      </w:r>
      <w:r>
        <w:rPr>
          <w:spacing w:val="40"/>
          <w:vertAlign w:val="baseline"/>
        </w:rPr>
        <w:t> </w:t>
      </w:r>
      <w:r>
        <w:rPr>
          <w:vertAlign w:val="baseline"/>
        </w:rPr>
        <w:t>This</w:t>
      </w:r>
      <w:r>
        <w:rPr>
          <w:spacing w:val="40"/>
          <w:vertAlign w:val="baseline"/>
        </w:rPr>
        <w:t> </w:t>
      </w:r>
      <w:r>
        <w:rPr>
          <w:vertAlign w:val="baseline"/>
        </w:rPr>
        <w:t>aspect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is</w:t>
      </w:r>
      <w:r>
        <w:rPr>
          <w:spacing w:val="40"/>
          <w:vertAlign w:val="baseline"/>
        </w:rPr>
        <w:t> </w:t>
      </w:r>
      <w:r>
        <w:rPr>
          <w:vertAlign w:val="baseline"/>
        </w:rPr>
        <w:t>discussed</w:t>
      </w:r>
      <w:r>
        <w:rPr>
          <w:spacing w:val="40"/>
          <w:vertAlign w:val="baseline"/>
        </w:rPr>
        <w:t> </w:t>
      </w:r>
      <w:r>
        <w:rPr>
          <w:vertAlign w:val="baseline"/>
        </w:rPr>
        <w:t>below, </w:t>
      </w:r>
      <w:r>
        <w:rPr>
          <w:spacing w:val="-2"/>
          <w:vertAlign w:val="baseline"/>
        </w:rPr>
        <w:t>para.38-251A.</w:t>
      </w:r>
    </w:p>
    <w:p>
      <w:pPr>
        <w:pStyle w:val="BodyText"/>
        <w:spacing w:after="0" w:line="235" w:lineRule="auto"/>
        <w:jc w:val="both"/>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167">
        <w:r>
          <w:rPr>
            <w:color w:val="005DA1"/>
            <w:spacing w:val="-2"/>
            <w:sz w:val="14"/>
            <w:u w:val="single" w:color="005DA1"/>
          </w:rPr>
          <w:t>1192</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49984">
            <wp:simplePos x="0" y="0"/>
            <wp:positionH relativeFrom="page">
              <wp:posOffset>1257846</wp:posOffset>
            </wp:positionH>
            <wp:positionV relativeFrom="paragraph">
              <wp:posOffset>12632</wp:posOffset>
            </wp:positionV>
            <wp:extent cx="107988" cy="107988"/>
            <wp:effectExtent l="0" t="0" r="0" b="0"/>
            <wp:wrapNone/>
            <wp:docPr id="896" name="Image 896"/>
            <wp:cNvGraphicFramePr>
              <a:graphicFrameLocks/>
            </wp:cNvGraphicFramePr>
            <a:graphic>
              <a:graphicData uri="http://schemas.openxmlformats.org/drawingml/2006/picture">
                <pic:pic>
                  <pic:nvPicPr>
                    <pic:cNvPr id="896" name="Image 89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[100].</w:t>
      </w:r>
    </w:p>
    <w:p>
      <w:pPr>
        <w:pStyle w:val="BodyText"/>
        <w:spacing w:before="12"/>
      </w:pPr>
    </w:p>
    <w:p>
      <w:pPr>
        <w:spacing w:line="137" w:lineRule="exact" w:before="0"/>
        <w:ind w:left="165" w:right="0" w:firstLine="0"/>
        <w:jc w:val="left"/>
        <w:rPr>
          <w:sz w:val="14"/>
        </w:rPr>
      </w:pPr>
      <w:bookmarkStart w:name="_bookmark2278" w:id="2280"/>
      <w:bookmarkEnd w:id="2280"/>
      <w:r>
        <w:rPr/>
      </w:r>
      <w:hyperlink w:history="true" w:anchor="_bookmark2168">
        <w:r>
          <w:rPr>
            <w:color w:val="005DA1"/>
            <w:spacing w:val="-2"/>
            <w:sz w:val="14"/>
            <w:u w:val="single" w:color="005DA1"/>
          </w:rPr>
          <w:t>1193</w:t>
        </w:r>
      </w:hyperlink>
      <w:r>
        <w:rPr>
          <w:spacing w:val="-2"/>
          <w:sz w:val="14"/>
        </w:rPr>
        <w:t>.</w:t>
      </w:r>
    </w:p>
    <w:p>
      <w:pPr>
        <w:pStyle w:val="BodyText"/>
        <w:spacing w:line="206" w:lineRule="exact"/>
        <w:ind w:left="875"/>
      </w:pPr>
      <w:r>
        <w:rPr/>
        <w:drawing>
          <wp:anchor distT="0" distB="0" distL="0" distR="0" allowOverlap="1" layoutInCell="1" locked="0" behindDoc="0" simplePos="0" relativeHeight="15850496">
            <wp:simplePos x="0" y="0"/>
            <wp:positionH relativeFrom="page">
              <wp:posOffset>1257846</wp:posOffset>
            </wp:positionH>
            <wp:positionV relativeFrom="paragraph">
              <wp:posOffset>12783</wp:posOffset>
            </wp:positionV>
            <wp:extent cx="107988" cy="107988"/>
            <wp:effectExtent l="0" t="0" r="0" b="0"/>
            <wp:wrapNone/>
            <wp:docPr id="897" name="Image 897"/>
            <wp:cNvGraphicFramePr>
              <a:graphicFrameLocks/>
            </wp:cNvGraphicFramePr>
            <a:graphic>
              <a:graphicData uri="http://schemas.openxmlformats.org/drawingml/2006/picture">
                <pic:pic>
                  <pic:nvPicPr>
                    <pic:cNvPr id="897" name="Image 897"/>
                    <pic:cNvPicPr/>
                  </pic:nvPicPr>
                  <pic:blipFill>
                    <a:blip r:embed="rId6" cstate="print"/>
                    <a:stretch>
                      <a:fillRect/>
                    </a:stretch>
                  </pic:blipFill>
                  <pic:spPr>
                    <a:xfrm>
                      <a:off x="0" y="0"/>
                      <a:ext cx="107988" cy="107988"/>
                    </a:xfrm>
                    <a:prstGeom prst="rect">
                      <a:avLst/>
                    </a:prstGeom>
                  </pic:spPr>
                </pic:pic>
              </a:graphicData>
            </a:graphic>
          </wp:anchor>
        </w:drawing>
      </w:r>
      <w:r>
        <w:rPr/>
        <w:t>For the kinds of clause that are within the penalty rule, see below, paras 26-215 et </w:t>
      </w:r>
      <w:r>
        <w:rPr>
          <w:spacing w:val="-4"/>
        </w:rPr>
        <w:t>seq.</w:t>
      </w:r>
    </w:p>
    <w:p>
      <w:pPr>
        <w:pStyle w:val="BodyText"/>
        <w:spacing w:before="12"/>
      </w:pPr>
    </w:p>
    <w:p>
      <w:pPr>
        <w:spacing w:line="137" w:lineRule="exact" w:before="0"/>
        <w:ind w:left="165" w:right="0" w:firstLine="0"/>
        <w:jc w:val="left"/>
        <w:rPr>
          <w:sz w:val="14"/>
        </w:rPr>
      </w:pPr>
      <w:bookmarkStart w:name="_bookmark2279" w:id="2281"/>
      <w:bookmarkEnd w:id="2281"/>
      <w:r>
        <w:rPr/>
      </w:r>
      <w:hyperlink w:history="true" w:anchor="_bookmark2169">
        <w:r>
          <w:rPr>
            <w:color w:val="005DA1"/>
            <w:spacing w:val="-2"/>
            <w:sz w:val="14"/>
            <w:u w:val="single" w:color="005DA1"/>
          </w:rPr>
          <w:t>1194</w:t>
        </w:r>
      </w:hyperlink>
      <w:r>
        <w:rPr>
          <w:spacing w:val="-2"/>
          <w:sz w:val="14"/>
        </w:rPr>
        <w:t>.</w:t>
      </w:r>
    </w:p>
    <w:p>
      <w:pPr>
        <w:pStyle w:val="BodyText"/>
        <w:spacing w:line="206" w:lineRule="exact"/>
        <w:ind w:left="875"/>
      </w:pPr>
      <w:r>
        <w:rPr/>
        <w:drawing>
          <wp:anchor distT="0" distB="0" distL="0" distR="0" allowOverlap="1" layoutInCell="1" locked="0" behindDoc="0" simplePos="0" relativeHeight="15851008">
            <wp:simplePos x="0" y="0"/>
            <wp:positionH relativeFrom="page">
              <wp:posOffset>1257846</wp:posOffset>
            </wp:positionH>
            <wp:positionV relativeFrom="paragraph">
              <wp:posOffset>12935</wp:posOffset>
            </wp:positionV>
            <wp:extent cx="107988" cy="107988"/>
            <wp:effectExtent l="0" t="0" r="0" b="0"/>
            <wp:wrapNone/>
            <wp:docPr id="898" name="Image 898"/>
            <wp:cNvGraphicFramePr>
              <a:graphicFrameLocks/>
            </wp:cNvGraphicFramePr>
            <a:graphic>
              <a:graphicData uri="http://schemas.openxmlformats.org/drawingml/2006/picture">
                <pic:pic>
                  <pic:nvPicPr>
                    <pic:cNvPr id="898" name="Image 898"/>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4"/>
        </w:rPr>
        <w:t>214.</w:t>
      </w:r>
    </w:p>
    <w:p>
      <w:pPr>
        <w:pStyle w:val="BodyText"/>
        <w:spacing w:before="12"/>
      </w:pPr>
    </w:p>
    <w:p>
      <w:pPr>
        <w:spacing w:line="137" w:lineRule="exact" w:before="0"/>
        <w:ind w:left="165" w:right="0" w:firstLine="0"/>
        <w:jc w:val="left"/>
        <w:rPr>
          <w:sz w:val="14"/>
        </w:rPr>
      </w:pPr>
      <w:bookmarkStart w:name="_bookmark2280" w:id="2282"/>
      <w:bookmarkEnd w:id="2282"/>
      <w:r>
        <w:rPr/>
      </w:r>
      <w:hyperlink w:history="true" w:anchor="_bookmark2170">
        <w:r>
          <w:rPr>
            <w:color w:val="005DA1"/>
            <w:spacing w:val="-2"/>
            <w:sz w:val="14"/>
            <w:u w:val="single" w:color="005DA1"/>
          </w:rPr>
          <w:t>1195</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51520">
            <wp:simplePos x="0" y="0"/>
            <wp:positionH relativeFrom="page">
              <wp:posOffset>1257846</wp:posOffset>
            </wp:positionH>
            <wp:positionV relativeFrom="paragraph">
              <wp:posOffset>13087</wp:posOffset>
            </wp:positionV>
            <wp:extent cx="107988" cy="107988"/>
            <wp:effectExtent l="0" t="0" r="0" b="0"/>
            <wp:wrapNone/>
            <wp:docPr id="899" name="Image 899"/>
            <wp:cNvGraphicFramePr>
              <a:graphicFrameLocks/>
            </wp:cNvGraphicFramePr>
            <a:graphic>
              <a:graphicData uri="http://schemas.openxmlformats.org/drawingml/2006/picture">
                <pic:pic>
                  <pic:nvPicPr>
                    <pic:cNvPr id="899" name="Image 89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Vivienne</w:t>
      </w:r>
      <w:r>
        <w:rPr>
          <w:rFonts w:ascii="Arial"/>
          <w:i/>
          <w:spacing w:val="-2"/>
          <w:sz w:val="20"/>
        </w:rPr>
        <w:t> </w:t>
      </w:r>
      <w:r>
        <w:rPr>
          <w:rFonts w:ascii="Arial"/>
          <w:i/>
          <w:sz w:val="20"/>
        </w:rPr>
        <w:t>Westwood Ltd v Conduit Street Development Ltd [2017] EWHC 350 </w:t>
      </w:r>
      <w:r>
        <w:rPr>
          <w:rFonts w:ascii="Arial"/>
          <w:i/>
          <w:spacing w:val="-2"/>
          <w:sz w:val="20"/>
        </w:rPr>
        <w:t>(Ch)</w:t>
      </w:r>
      <w:r>
        <w:rPr>
          <w:spacing w:val="-2"/>
          <w:sz w:val="20"/>
        </w:rPr>
        <w:t>.</w:t>
      </w:r>
    </w:p>
    <w:p>
      <w:pPr>
        <w:pStyle w:val="BodyText"/>
        <w:spacing w:before="12"/>
      </w:pPr>
    </w:p>
    <w:p>
      <w:pPr>
        <w:spacing w:line="137" w:lineRule="exact" w:before="1"/>
        <w:ind w:left="165" w:right="0" w:firstLine="0"/>
        <w:jc w:val="left"/>
        <w:rPr>
          <w:sz w:val="14"/>
        </w:rPr>
      </w:pPr>
      <w:bookmarkStart w:name="_bookmark2281" w:id="2283"/>
      <w:bookmarkEnd w:id="2283"/>
      <w:r>
        <w:rPr/>
      </w:r>
      <w:hyperlink w:history="true" w:anchor="_bookmark2171">
        <w:r>
          <w:rPr>
            <w:color w:val="005DA1"/>
            <w:spacing w:val="-2"/>
            <w:sz w:val="14"/>
            <w:u w:val="single" w:color="005DA1"/>
          </w:rPr>
          <w:t>1196</w:t>
        </w:r>
      </w:hyperlink>
      <w:r>
        <w:rPr>
          <w:spacing w:val="-2"/>
          <w:sz w:val="14"/>
        </w:rPr>
        <w:t>.</w:t>
      </w:r>
    </w:p>
    <w:p>
      <w:pPr>
        <w:pStyle w:val="BodyText"/>
        <w:spacing w:line="206" w:lineRule="exact"/>
        <w:ind w:left="875"/>
      </w:pPr>
      <w:r>
        <w:rPr/>
        <w:drawing>
          <wp:anchor distT="0" distB="0" distL="0" distR="0" allowOverlap="1" layoutInCell="1" locked="0" behindDoc="0" simplePos="0" relativeHeight="15852032">
            <wp:simplePos x="0" y="0"/>
            <wp:positionH relativeFrom="page">
              <wp:posOffset>1257846</wp:posOffset>
            </wp:positionH>
            <wp:positionV relativeFrom="paragraph">
              <wp:posOffset>12603</wp:posOffset>
            </wp:positionV>
            <wp:extent cx="107988" cy="107988"/>
            <wp:effectExtent l="0" t="0" r="0" b="0"/>
            <wp:wrapNone/>
            <wp:docPr id="900" name="Image 900"/>
            <wp:cNvGraphicFramePr>
              <a:graphicFrameLocks/>
            </wp:cNvGraphicFramePr>
            <a:graphic>
              <a:graphicData uri="http://schemas.openxmlformats.org/drawingml/2006/picture">
                <pic:pic>
                  <pic:nvPicPr>
                    <pic:cNvPr id="900" name="Image 900"/>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185.</w:t>
      </w:r>
    </w:p>
    <w:p>
      <w:pPr>
        <w:pStyle w:val="BodyText"/>
        <w:spacing w:before="12"/>
      </w:pPr>
    </w:p>
    <w:p>
      <w:pPr>
        <w:spacing w:line="137" w:lineRule="exact" w:before="0"/>
        <w:ind w:left="165" w:right="0" w:firstLine="0"/>
        <w:jc w:val="left"/>
        <w:rPr>
          <w:sz w:val="14"/>
        </w:rPr>
      </w:pPr>
      <w:bookmarkStart w:name="_bookmark2282" w:id="2284"/>
      <w:bookmarkEnd w:id="2284"/>
      <w:r>
        <w:rPr/>
      </w:r>
      <w:hyperlink w:history="true" w:anchor="_bookmark2172">
        <w:r>
          <w:rPr>
            <w:color w:val="005DA1"/>
            <w:spacing w:val="-2"/>
            <w:sz w:val="14"/>
            <w:u w:val="single" w:color="005DA1"/>
          </w:rPr>
          <w:t>1197</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52544">
            <wp:simplePos x="0" y="0"/>
            <wp:positionH relativeFrom="page">
              <wp:posOffset>1257846</wp:posOffset>
            </wp:positionH>
            <wp:positionV relativeFrom="paragraph">
              <wp:posOffset>12755</wp:posOffset>
            </wp:positionV>
            <wp:extent cx="107988" cy="107988"/>
            <wp:effectExtent l="0" t="0" r="0" b="0"/>
            <wp:wrapNone/>
            <wp:docPr id="901" name="Image 901"/>
            <wp:cNvGraphicFramePr>
              <a:graphicFrameLocks/>
            </wp:cNvGraphicFramePr>
            <a:graphic>
              <a:graphicData uri="http://schemas.openxmlformats.org/drawingml/2006/picture">
                <pic:pic>
                  <pic:nvPicPr>
                    <pic:cNvPr id="901" name="Image 90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Lords Neuberger and Sumption</w:t>
      </w:r>
      <w:r>
        <w:rPr>
          <w:spacing w:val="-1"/>
          <w:sz w:val="20"/>
        </w:rPr>
        <w:t> </w:t>
      </w:r>
      <w:r>
        <w:rPr>
          <w:rFonts w:ascii="Arial"/>
          <w:i/>
          <w:sz w:val="20"/>
        </w:rPr>
        <w:t>[2015] UKSC 67</w:t>
      </w:r>
      <w:r>
        <w:rPr>
          <w:rFonts w:ascii="Arial"/>
          <w:i/>
          <w:spacing w:val="-1"/>
          <w:sz w:val="20"/>
        </w:rPr>
        <w:t> </w:t>
      </w:r>
      <w:r>
        <w:rPr>
          <w:sz w:val="20"/>
        </w:rPr>
        <w:t>at </w:t>
      </w:r>
      <w:r>
        <w:rPr>
          <w:spacing w:val="-2"/>
          <w:sz w:val="20"/>
        </w:rPr>
        <w:t>[31].</w:t>
      </w:r>
    </w:p>
    <w:p>
      <w:pPr>
        <w:pStyle w:val="BodyText"/>
        <w:spacing w:before="12"/>
      </w:pPr>
    </w:p>
    <w:p>
      <w:pPr>
        <w:spacing w:line="137" w:lineRule="exact" w:before="0"/>
        <w:ind w:left="165" w:right="0" w:firstLine="0"/>
        <w:jc w:val="left"/>
        <w:rPr>
          <w:sz w:val="14"/>
        </w:rPr>
      </w:pPr>
      <w:bookmarkStart w:name="_bookmark2283" w:id="2285"/>
      <w:bookmarkEnd w:id="2285"/>
      <w:r>
        <w:rPr/>
      </w:r>
      <w:hyperlink w:history="true" w:anchor="_bookmark2173">
        <w:r>
          <w:rPr>
            <w:color w:val="005DA1"/>
            <w:spacing w:val="-2"/>
            <w:sz w:val="14"/>
            <w:u w:val="single" w:color="005DA1"/>
          </w:rPr>
          <w:t>1198</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53056">
            <wp:simplePos x="0" y="0"/>
            <wp:positionH relativeFrom="page">
              <wp:posOffset>1257846</wp:posOffset>
            </wp:positionH>
            <wp:positionV relativeFrom="paragraph">
              <wp:posOffset>12906</wp:posOffset>
            </wp:positionV>
            <wp:extent cx="107988" cy="107988"/>
            <wp:effectExtent l="0" t="0" r="0" b="0"/>
            <wp:wrapNone/>
            <wp:docPr id="902" name="Image 902"/>
            <wp:cNvGraphicFramePr>
              <a:graphicFrameLocks/>
            </wp:cNvGraphicFramePr>
            <a:graphic>
              <a:graphicData uri="http://schemas.openxmlformats.org/drawingml/2006/picture">
                <pic:pic>
                  <pic:nvPicPr>
                    <pic:cNvPr id="902" name="Image 90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[293].</w:t>
      </w:r>
    </w:p>
    <w:p>
      <w:pPr>
        <w:pStyle w:val="BodyText"/>
        <w:spacing w:before="12"/>
      </w:pPr>
    </w:p>
    <w:p>
      <w:pPr>
        <w:spacing w:line="137" w:lineRule="exact" w:before="0"/>
        <w:ind w:left="165" w:right="0" w:firstLine="0"/>
        <w:jc w:val="left"/>
        <w:rPr>
          <w:sz w:val="14"/>
        </w:rPr>
      </w:pPr>
      <w:bookmarkStart w:name="_bookmark2284" w:id="2286"/>
      <w:bookmarkEnd w:id="2286"/>
      <w:r>
        <w:rPr/>
      </w:r>
      <w:hyperlink w:history="true" w:anchor="_bookmark2174">
        <w:r>
          <w:rPr>
            <w:color w:val="005DA1"/>
            <w:spacing w:val="-2"/>
            <w:sz w:val="14"/>
            <w:u w:val="single" w:color="005DA1"/>
          </w:rPr>
          <w:t>1199</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53568">
            <wp:simplePos x="0" y="0"/>
            <wp:positionH relativeFrom="page">
              <wp:posOffset>1257846</wp:posOffset>
            </wp:positionH>
            <wp:positionV relativeFrom="paragraph">
              <wp:posOffset>13058</wp:posOffset>
            </wp:positionV>
            <wp:extent cx="107988" cy="107988"/>
            <wp:effectExtent l="0" t="0" r="0" b="0"/>
            <wp:wrapNone/>
            <wp:docPr id="903" name="Image 903"/>
            <wp:cNvGraphicFramePr>
              <a:graphicFrameLocks/>
            </wp:cNvGraphicFramePr>
            <a:graphic>
              <a:graphicData uri="http://schemas.openxmlformats.org/drawingml/2006/picture">
                <pic:pic>
                  <pic:nvPicPr>
                    <pic:cNvPr id="903" name="Image 903"/>
                    <pic:cNvPicPr/>
                  </pic:nvPicPr>
                  <pic:blipFill>
                    <a:blip r:embed="rId6" cstate="print"/>
                    <a:stretch>
                      <a:fillRect/>
                    </a:stretch>
                  </pic:blipFill>
                  <pic:spPr>
                    <a:xfrm>
                      <a:off x="0" y="0"/>
                      <a:ext cx="107988" cy="107988"/>
                    </a:xfrm>
                    <a:prstGeom prst="rect">
                      <a:avLst/>
                    </a:prstGeom>
                  </pic:spPr>
                </pic:pic>
              </a:graphicData>
            </a:graphic>
          </wp:anchor>
        </w:drawing>
      </w:r>
      <w:r>
        <w:rPr/>
        <w:t>Lord</w:t>
      </w:r>
      <w:r>
        <w:rPr>
          <w:spacing w:val="11"/>
        </w:rPr>
        <w:t> </w:t>
      </w:r>
      <w:r>
        <w:rPr/>
        <w:t>Hodge</w:t>
      </w:r>
      <w:r>
        <w:rPr>
          <w:spacing w:val="11"/>
        </w:rPr>
        <w:t> </w:t>
      </w:r>
      <w:r>
        <w:rPr/>
        <w:t>does</w:t>
      </w:r>
      <w:r>
        <w:rPr>
          <w:spacing w:val="11"/>
        </w:rPr>
        <w:t> </w:t>
      </w:r>
      <w:r>
        <w:rPr/>
        <w:t>not</w:t>
      </w:r>
      <w:r>
        <w:rPr>
          <w:spacing w:val="11"/>
        </w:rPr>
        <w:t> </w:t>
      </w:r>
      <w:r>
        <w:rPr/>
        <w:t>seem</w:t>
      </w:r>
      <w:r>
        <w:rPr>
          <w:spacing w:val="11"/>
        </w:rPr>
        <w:t> </w:t>
      </w:r>
      <w:r>
        <w:rPr/>
        <w:t>to</w:t>
      </w:r>
      <w:r>
        <w:rPr>
          <w:spacing w:val="11"/>
        </w:rPr>
        <w:t> </w:t>
      </w:r>
      <w:r>
        <w:rPr/>
        <w:t>have</w:t>
      </w:r>
      <w:r>
        <w:rPr>
          <w:spacing w:val="11"/>
        </w:rPr>
        <w:t> </w:t>
      </w:r>
      <w:r>
        <w:rPr/>
        <w:t>been</w:t>
      </w:r>
      <w:r>
        <w:rPr>
          <w:spacing w:val="11"/>
        </w:rPr>
        <w:t> </w:t>
      </w:r>
      <w:r>
        <w:rPr/>
        <w:t>referring</w:t>
      </w:r>
      <w:r>
        <w:rPr>
          <w:spacing w:val="11"/>
        </w:rPr>
        <w:t> </w:t>
      </w:r>
      <w:r>
        <w:rPr/>
        <w:t>to</w:t>
      </w:r>
      <w:r>
        <w:rPr>
          <w:spacing w:val="11"/>
        </w:rPr>
        <w:t> </w:t>
      </w:r>
      <w:r>
        <w:rPr/>
        <w:t>the</w:t>
      </w:r>
      <w:r>
        <w:rPr>
          <w:spacing w:val="11"/>
        </w:rPr>
        <w:t> </w:t>
      </w:r>
      <w:r>
        <w:rPr/>
        <w:t>general</w:t>
      </w:r>
      <w:r>
        <w:rPr>
          <w:spacing w:val="11"/>
        </w:rPr>
        <w:t> </w:t>
      </w:r>
      <w:r>
        <w:rPr/>
        <w:t>doctrine</w:t>
      </w:r>
      <w:r>
        <w:rPr>
          <w:spacing w:val="11"/>
        </w:rPr>
        <w:t> </w:t>
      </w:r>
      <w:r>
        <w:rPr/>
        <w:t>of</w:t>
      </w:r>
      <w:r>
        <w:rPr>
          <w:spacing w:val="11"/>
        </w:rPr>
        <w:t> </w:t>
      </w:r>
      <w:r>
        <w:rPr>
          <w:spacing w:val="-2"/>
        </w:rPr>
        <w:t>unconscionable</w:t>
      </w:r>
    </w:p>
    <w:p>
      <w:pPr>
        <w:pStyle w:val="BodyText"/>
        <w:spacing w:line="235" w:lineRule="auto" w:before="2"/>
        <w:ind w:left="705" w:right="167"/>
        <w:jc w:val="both"/>
      </w:pPr>
      <w:r>
        <w:rPr/>
        <w:t>bargains, which normally requires claimants to show they were suffering from an </w:t>
      </w:r>
      <w:r>
        <w:rPr/>
        <w:t>identifiable bargaining weakness: see Vol.I, paras 8-133 and 8-135. The possible application of the</w:t>
      </w:r>
      <w:r>
        <w:rPr>
          <w:spacing w:val="40"/>
        </w:rPr>
        <w:t> </w:t>
      </w:r>
      <w:r>
        <w:rPr/>
        <w:t>doctrine in cases like </w:t>
      </w:r>
      <w:r>
        <w:rPr>
          <w:rFonts w:ascii="Arial"/>
          <w:i/>
        </w:rPr>
        <w:t>Cavendish Square </w:t>
      </w:r>
      <w:r>
        <w:rPr/>
        <w:t>is considered above, para.8-135.</w:t>
      </w:r>
    </w:p>
    <w:p>
      <w:pPr>
        <w:pStyle w:val="BodyText"/>
        <w:spacing w:before="12"/>
      </w:pPr>
    </w:p>
    <w:p>
      <w:pPr>
        <w:spacing w:line="137" w:lineRule="exact" w:before="0"/>
        <w:ind w:left="165" w:right="0" w:firstLine="0"/>
        <w:jc w:val="left"/>
        <w:rPr>
          <w:sz w:val="14"/>
        </w:rPr>
      </w:pPr>
      <w:bookmarkStart w:name="_bookmark2285" w:id="2287"/>
      <w:bookmarkEnd w:id="2287"/>
      <w:r>
        <w:rPr/>
      </w:r>
      <w:hyperlink w:history="true" w:anchor="_bookmark2175">
        <w:r>
          <w:rPr>
            <w:color w:val="005DA1"/>
            <w:spacing w:val="-2"/>
            <w:sz w:val="14"/>
            <w:u w:val="single" w:color="005DA1"/>
          </w:rPr>
          <w:t>1200</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54080">
            <wp:simplePos x="0" y="0"/>
            <wp:positionH relativeFrom="page">
              <wp:posOffset>1257846</wp:posOffset>
            </wp:positionH>
            <wp:positionV relativeFrom="paragraph">
              <wp:posOffset>12795</wp:posOffset>
            </wp:positionV>
            <wp:extent cx="107988" cy="107988"/>
            <wp:effectExtent l="0" t="0" r="0" b="0"/>
            <wp:wrapNone/>
            <wp:docPr id="904" name="Image 904"/>
            <wp:cNvGraphicFramePr>
              <a:graphicFrameLocks/>
            </wp:cNvGraphicFramePr>
            <a:graphic>
              <a:graphicData uri="http://schemas.openxmlformats.org/drawingml/2006/picture">
                <pic:pic>
                  <pic:nvPicPr>
                    <pic:cNvPr id="904" name="Image 90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[35].</w:t>
      </w:r>
    </w:p>
    <w:p>
      <w:pPr>
        <w:pStyle w:val="BodyText"/>
        <w:spacing w:before="12"/>
      </w:pPr>
    </w:p>
    <w:p>
      <w:pPr>
        <w:spacing w:line="137" w:lineRule="exact" w:before="0"/>
        <w:ind w:left="165" w:right="0" w:firstLine="0"/>
        <w:jc w:val="left"/>
        <w:rPr>
          <w:sz w:val="14"/>
        </w:rPr>
      </w:pPr>
      <w:bookmarkStart w:name="_bookmark2286" w:id="2288"/>
      <w:bookmarkEnd w:id="2288"/>
      <w:r>
        <w:rPr/>
      </w:r>
      <w:hyperlink w:history="true" w:anchor="_bookmark2176">
        <w:r>
          <w:rPr>
            <w:color w:val="005DA1"/>
            <w:spacing w:val="-2"/>
            <w:sz w:val="14"/>
            <w:u w:val="single" w:color="005DA1"/>
          </w:rPr>
          <w:t>1201</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54592">
            <wp:simplePos x="0" y="0"/>
            <wp:positionH relativeFrom="page">
              <wp:posOffset>1257846</wp:posOffset>
            </wp:positionH>
            <wp:positionV relativeFrom="paragraph">
              <wp:posOffset>12946</wp:posOffset>
            </wp:positionV>
            <wp:extent cx="107988" cy="107988"/>
            <wp:effectExtent l="0" t="0" r="0" b="0"/>
            <wp:wrapNone/>
            <wp:docPr id="905" name="Image 905"/>
            <wp:cNvGraphicFramePr>
              <a:graphicFrameLocks/>
            </wp:cNvGraphicFramePr>
            <a:graphic>
              <a:graphicData uri="http://schemas.openxmlformats.org/drawingml/2006/picture">
                <pic:pic>
                  <pic:nvPicPr>
                    <pic:cNvPr id="905" name="Image 90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[152].</w:t>
      </w:r>
    </w:p>
    <w:p>
      <w:pPr>
        <w:pStyle w:val="BodyText"/>
        <w:spacing w:before="12"/>
      </w:pPr>
    </w:p>
    <w:p>
      <w:pPr>
        <w:spacing w:line="137" w:lineRule="exact" w:before="0"/>
        <w:ind w:left="165" w:right="0" w:firstLine="0"/>
        <w:jc w:val="left"/>
        <w:rPr>
          <w:sz w:val="14"/>
        </w:rPr>
      </w:pPr>
      <w:bookmarkStart w:name="_bookmark2287" w:id="2289"/>
      <w:bookmarkEnd w:id="2289"/>
      <w:r>
        <w:rPr/>
      </w:r>
      <w:hyperlink w:history="true" w:anchor="_bookmark2177">
        <w:r>
          <w:rPr>
            <w:color w:val="005DA1"/>
            <w:spacing w:val="-2"/>
            <w:sz w:val="14"/>
            <w:u w:val="single" w:color="005DA1"/>
          </w:rPr>
          <w:t>1202</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55104">
            <wp:simplePos x="0" y="0"/>
            <wp:positionH relativeFrom="page">
              <wp:posOffset>1257846</wp:posOffset>
            </wp:positionH>
            <wp:positionV relativeFrom="paragraph">
              <wp:posOffset>13098</wp:posOffset>
            </wp:positionV>
            <wp:extent cx="107988" cy="107988"/>
            <wp:effectExtent l="0" t="0" r="0" b="0"/>
            <wp:wrapNone/>
            <wp:docPr id="906" name="Image 906"/>
            <wp:cNvGraphicFramePr>
              <a:graphicFrameLocks/>
            </wp:cNvGraphicFramePr>
            <a:graphic>
              <a:graphicData uri="http://schemas.openxmlformats.org/drawingml/2006/picture">
                <pic:pic>
                  <pic:nvPicPr>
                    <pic:cNvPr id="906" name="Image 906"/>
                    <pic:cNvPicPr/>
                  </pic:nvPicPr>
                  <pic:blipFill>
                    <a:blip r:embed="rId6" cstate="print"/>
                    <a:stretch>
                      <a:fillRect/>
                    </a:stretch>
                  </pic:blipFill>
                  <pic:spPr>
                    <a:xfrm>
                      <a:off x="0" y="0"/>
                      <a:ext cx="107988" cy="107988"/>
                    </a:xfrm>
                    <a:prstGeom prst="rect">
                      <a:avLst/>
                    </a:prstGeom>
                  </pic:spPr>
                </pic:pic>
              </a:graphicData>
            </a:graphic>
          </wp:anchor>
        </w:drawing>
      </w:r>
      <w:r>
        <w:rPr/>
        <w:t>Lords</w:t>
      </w:r>
      <w:r>
        <w:rPr>
          <w:spacing w:val="23"/>
        </w:rPr>
        <w:t> </w:t>
      </w:r>
      <w:r>
        <w:rPr/>
        <w:t>Neuberger</w:t>
      </w:r>
      <w:r>
        <w:rPr>
          <w:spacing w:val="23"/>
        </w:rPr>
        <w:t> </w:t>
      </w:r>
      <w:r>
        <w:rPr/>
        <w:t>and</w:t>
      </w:r>
      <w:r>
        <w:rPr>
          <w:spacing w:val="23"/>
        </w:rPr>
        <w:t> </w:t>
      </w:r>
      <w:r>
        <w:rPr/>
        <w:t>Sumption’s</w:t>
      </w:r>
      <w:r>
        <w:rPr>
          <w:spacing w:val="23"/>
        </w:rPr>
        <w:t> </w:t>
      </w:r>
      <w:r>
        <w:rPr/>
        <w:t>approach</w:t>
      </w:r>
      <w:r>
        <w:rPr>
          <w:spacing w:val="23"/>
        </w:rPr>
        <w:t> </w:t>
      </w:r>
      <w:r>
        <w:rPr/>
        <w:t>may</w:t>
      </w:r>
      <w:r>
        <w:rPr>
          <w:spacing w:val="23"/>
        </w:rPr>
        <w:t> </w:t>
      </w:r>
      <w:r>
        <w:rPr/>
        <w:t>also</w:t>
      </w:r>
      <w:r>
        <w:rPr>
          <w:spacing w:val="23"/>
        </w:rPr>
        <w:t> </w:t>
      </w:r>
      <w:r>
        <w:rPr/>
        <w:t>have</w:t>
      </w:r>
      <w:r>
        <w:rPr>
          <w:spacing w:val="23"/>
        </w:rPr>
        <w:t> </w:t>
      </w:r>
      <w:r>
        <w:rPr/>
        <w:t>been</w:t>
      </w:r>
      <w:r>
        <w:rPr>
          <w:spacing w:val="23"/>
        </w:rPr>
        <w:t> </w:t>
      </w:r>
      <w:r>
        <w:rPr/>
        <w:t>affected</w:t>
      </w:r>
      <w:r>
        <w:rPr>
          <w:spacing w:val="23"/>
        </w:rPr>
        <w:t> </w:t>
      </w:r>
      <w:r>
        <w:rPr/>
        <w:t>by</w:t>
      </w:r>
      <w:r>
        <w:rPr>
          <w:spacing w:val="23"/>
        </w:rPr>
        <w:t> </w:t>
      </w:r>
      <w:r>
        <w:rPr/>
        <w:t>their</w:t>
      </w:r>
      <w:r>
        <w:rPr>
          <w:spacing w:val="23"/>
        </w:rPr>
        <w:t> </w:t>
      </w:r>
      <w:r>
        <w:rPr/>
        <w:t>view</w:t>
      </w:r>
      <w:r>
        <w:rPr>
          <w:spacing w:val="23"/>
        </w:rPr>
        <w:t> </w:t>
      </w:r>
      <w:r>
        <w:rPr>
          <w:spacing w:val="-4"/>
        </w:rPr>
        <w:t>that</w:t>
      </w:r>
    </w:p>
    <w:p>
      <w:pPr>
        <w:pStyle w:val="BodyText"/>
        <w:spacing w:line="235" w:lineRule="auto" w:before="2"/>
        <w:ind w:left="705" w:right="167"/>
        <w:jc w:val="both"/>
      </w:pPr>
      <w:r>
        <w:rPr/>
        <w:t>the clauses were not subject to the penalty rules at all because they were “primary obligations”: see below, para.26-216H.</w:t>
      </w:r>
    </w:p>
    <w:p>
      <w:pPr>
        <w:pStyle w:val="BodyText"/>
        <w:spacing w:before="12"/>
      </w:pPr>
    </w:p>
    <w:p>
      <w:pPr>
        <w:spacing w:line="137" w:lineRule="exact" w:before="0"/>
        <w:ind w:left="165" w:right="0" w:firstLine="0"/>
        <w:jc w:val="left"/>
        <w:rPr>
          <w:sz w:val="14"/>
        </w:rPr>
      </w:pPr>
      <w:bookmarkStart w:name="_bookmark2288" w:id="2290"/>
      <w:bookmarkEnd w:id="2290"/>
      <w:r>
        <w:rPr/>
      </w:r>
      <w:hyperlink w:history="true" w:anchor="_bookmark2178">
        <w:r>
          <w:rPr>
            <w:color w:val="005DA1"/>
            <w:spacing w:val="-2"/>
            <w:sz w:val="14"/>
            <w:u w:val="single" w:color="005DA1"/>
          </w:rPr>
          <w:t>1203</w:t>
        </w:r>
      </w:hyperlink>
      <w:r>
        <w:rPr>
          <w:spacing w:val="-2"/>
          <w:sz w:val="14"/>
        </w:rPr>
        <w:t>.</w:t>
      </w:r>
    </w:p>
    <w:p>
      <w:pPr>
        <w:pStyle w:val="BodyText"/>
        <w:spacing w:line="206" w:lineRule="exact"/>
        <w:ind w:left="875"/>
        <w:jc w:val="both"/>
      </w:pPr>
      <w:r>
        <w:rPr/>
        <w:drawing>
          <wp:anchor distT="0" distB="0" distL="0" distR="0" allowOverlap="1" layoutInCell="1" locked="0" behindDoc="0" simplePos="0" relativeHeight="15855616">
            <wp:simplePos x="0" y="0"/>
            <wp:positionH relativeFrom="page">
              <wp:posOffset>1257846</wp:posOffset>
            </wp:positionH>
            <wp:positionV relativeFrom="paragraph">
              <wp:posOffset>13076</wp:posOffset>
            </wp:positionV>
            <wp:extent cx="107988" cy="107988"/>
            <wp:effectExtent l="0" t="0" r="0" b="0"/>
            <wp:wrapNone/>
            <wp:docPr id="907" name="Image 907"/>
            <wp:cNvGraphicFramePr>
              <a:graphicFrameLocks/>
            </wp:cNvGraphicFramePr>
            <a:graphic>
              <a:graphicData uri="http://schemas.openxmlformats.org/drawingml/2006/picture">
                <pic:pic>
                  <pic:nvPicPr>
                    <pic:cNvPr id="907" name="Image 907"/>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212.</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51"/>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725" w:right="0" w:firstLine="0"/>
        <w:jc w:val="left"/>
        <w:rPr>
          <w:rFonts w:ascii="Arial"/>
          <w:b/>
          <w:sz w:val="24"/>
        </w:rPr>
      </w:pPr>
      <w:r>
        <w:rPr>
          <w:rFonts w:ascii="Arial"/>
          <w:b/>
          <w:sz w:val="24"/>
        </w:rPr>
        <w:t>(e) - Scope of the Law of </w:t>
      </w:r>
      <w:r>
        <w:rPr>
          <w:rFonts w:ascii="Arial"/>
          <w:b/>
          <w:spacing w:val="-2"/>
          <w:sz w:val="24"/>
        </w:rPr>
        <w:t>Penalties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Sums payable on and other consequences of </w:t>
      </w:r>
      <w:r>
        <w:rPr>
          <w:rFonts w:ascii="Arial"/>
          <w:b/>
          <w:spacing w:val="-2"/>
          <w:sz w:val="18"/>
        </w:rPr>
        <w:t>breach</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09" name="Image 909"/>
            <wp:cNvGraphicFramePr>
              <a:graphicFrameLocks/>
            </wp:cNvGraphicFramePr>
            <a:graphic>
              <a:graphicData uri="http://schemas.openxmlformats.org/drawingml/2006/picture">
                <pic:pic>
                  <pic:nvPicPr>
                    <pic:cNvPr id="909" name="Image 9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penalty rules apply to sums that are payable on breach of contract by the defendant and to a variety of other clauses that will have an adverse consequence for a defendant who is in breach </w:t>
      </w:r>
      <w:r>
        <w:rPr/>
        <w:t>the </w:t>
      </w:r>
      <w:bookmarkStart w:name="_bookmark2289" w:id="2291"/>
      <w:bookmarkEnd w:id="2291"/>
      <w:r>
        <w:rPr/>
        <w:t>contract,</w:t>
      </w:r>
      <w:r>
        <w:rPr>
          <w:spacing w:val="4"/>
        </w:rPr>
        <w:t> </w:t>
      </w:r>
      <w:r>
        <w:rPr/>
        <w:t>such</w:t>
      </w:r>
      <w:r>
        <w:rPr>
          <w:spacing w:val="4"/>
        </w:rPr>
        <w:t> </w:t>
      </w:r>
      <w:r>
        <w:rPr/>
        <w:t>as</w:t>
      </w:r>
      <w:r>
        <w:rPr>
          <w:spacing w:val="4"/>
        </w:rPr>
        <w:t> </w:t>
      </w:r>
      <w:r>
        <w:rPr/>
        <w:t>a</w:t>
      </w:r>
      <w:r>
        <w:rPr>
          <w:spacing w:val="4"/>
        </w:rPr>
        <w:t> </w:t>
      </w:r>
      <w:r>
        <w:rPr/>
        <w:t>clause</w:t>
      </w:r>
      <w:r>
        <w:rPr>
          <w:spacing w:val="4"/>
        </w:rPr>
        <w:t> </w:t>
      </w:r>
      <w:r>
        <w:rPr/>
        <w:t>that</w:t>
      </w:r>
      <w:r>
        <w:rPr>
          <w:spacing w:val="4"/>
        </w:rPr>
        <w:t> </w:t>
      </w:r>
      <w:r>
        <w:rPr/>
        <w:t>disentitles</w:t>
      </w:r>
      <w:r>
        <w:rPr>
          <w:spacing w:val="4"/>
        </w:rPr>
        <w:t> </w:t>
      </w:r>
      <w:r>
        <w:rPr/>
        <w:t>a</w:t>
      </w:r>
      <w:r>
        <w:rPr>
          <w:spacing w:val="4"/>
        </w:rPr>
        <w:t> </w:t>
      </w:r>
      <w:r>
        <w:rPr/>
        <w:t>defendant</w:t>
      </w:r>
      <w:r>
        <w:rPr>
          <w:spacing w:val="4"/>
        </w:rPr>
        <w:t> </w:t>
      </w:r>
      <w:r>
        <w:rPr/>
        <w:t>who</w:t>
      </w:r>
      <w:r>
        <w:rPr>
          <w:spacing w:val="4"/>
        </w:rPr>
        <w:t> </w:t>
      </w:r>
      <w:r>
        <w:rPr/>
        <w:t>is</w:t>
      </w:r>
      <w:r>
        <w:rPr>
          <w:spacing w:val="4"/>
        </w:rPr>
        <w:t> </w:t>
      </w:r>
      <w:r>
        <w:rPr/>
        <w:t>in</w:t>
      </w:r>
      <w:r>
        <w:rPr>
          <w:spacing w:val="4"/>
        </w:rPr>
        <w:t> </w:t>
      </w:r>
      <w:r>
        <w:rPr/>
        <w:t>breach</w:t>
      </w:r>
      <w:r>
        <w:rPr>
          <w:spacing w:val="4"/>
        </w:rPr>
        <w:t> </w:t>
      </w:r>
      <w:r>
        <w:rPr/>
        <w:t>from</w:t>
      </w:r>
      <w:r>
        <w:rPr>
          <w:spacing w:val="4"/>
        </w:rPr>
        <w:t> </w:t>
      </w:r>
      <w:r>
        <w:rPr/>
        <w:t>receiving</w:t>
      </w:r>
      <w:r>
        <w:rPr>
          <w:spacing w:val="4"/>
        </w:rPr>
        <w:t> </w:t>
      </w:r>
      <w:r>
        <w:rPr/>
        <w:t>the</w:t>
      </w:r>
      <w:r>
        <w:rPr>
          <w:spacing w:val="4"/>
        </w:rPr>
        <w:t> </w:t>
      </w:r>
      <w:r>
        <w:rPr/>
        <w:t>full</w:t>
      </w:r>
      <w:r>
        <w:rPr>
          <w:spacing w:val="4"/>
        </w:rPr>
        <w:t> </w:t>
      </w:r>
      <w:r>
        <w:rPr>
          <w:spacing w:val="-2"/>
        </w:rPr>
        <w:t>amount</w:t>
      </w:r>
    </w:p>
    <w:p>
      <w:pPr>
        <w:pStyle w:val="BodyText"/>
        <w:spacing w:line="235" w:lineRule="auto" w:before="119"/>
        <w:ind w:left="165" w:right="167"/>
        <w:jc w:val="both"/>
      </w:pPr>
      <w:r>
        <w:rPr/>
        <w:t>of</w:t>
      </w:r>
      <w:r>
        <w:rPr>
          <w:spacing w:val="-1"/>
        </w:rPr>
        <w:t> </w:t>
      </w:r>
      <w:r>
        <w:rPr/>
        <w:t>the</w:t>
      </w:r>
      <w:r>
        <w:rPr>
          <w:spacing w:val="-1"/>
        </w:rPr>
        <w:t> </w:t>
      </w:r>
      <w:r>
        <w:rPr/>
        <w:t>price</w:t>
      </w:r>
      <w:r>
        <w:rPr>
          <w:spacing w:val="-1"/>
        </w:rPr>
        <w:t> </w:t>
      </w:r>
      <w:r>
        <w:rPr/>
        <w:t>that</w:t>
      </w:r>
      <w:r>
        <w:rPr>
          <w:spacing w:val="-1"/>
        </w:rPr>
        <w:t> </w:t>
      </w:r>
      <w:r>
        <w:rPr/>
        <w:t>would</w:t>
      </w:r>
      <w:r>
        <w:rPr>
          <w:spacing w:val="-1"/>
        </w:rPr>
        <w:t> </w:t>
      </w:r>
      <w:r>
        <w:rPr/>
        <w:t>otherwise</w:t>
      </w:r>
      <w:r>
        <w:rPr>
          <w:spacing w:val="-1"/>
        </w:rPr>
        <w:t> </w:t>
      </w:r>
      <w:r>
        <w:rPr/>
        <w:t>be</w:t>
      </w:r>
      <w:r>
        <w:rPr>
          <w:spacing w:val="-1"/>
        </w:rPr>
        <w:t> </w:t>
      </w:r>
      <w:r>
        <w:rPr/>
        <w:t>paid.</w:t>
      </w:r>
      <w:r>
        <w:rPr>
          <w:spacing w:val="-1"/>
        </w:rPr>
        <w:t> </w:t>
      </w:r>
      <w:hyperlink w:history="true" w:anchor="_bookmark2294">
        <w:r>
          <w:rPr>
            <w:color w:val="005DA1"/>
            <w:u w:val="single" w:color="005DA1"/>
            <w:vertAlign w:val="superscript"/>
          </w:rPr>
          <w:t>1204</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910" name="Image 910"/>
              <wp:cNvGraphicFramePr>
                <a:graphicFrameLocks/>
              </wp:cNvGraphicFramePr>
              <a:graphic>
                <a:graphicData uri="http://schemas.openxmlformats.org/drawingml/2006/picture">
                  <pic:pic>
                    <pic:nvPicPr>
                      <pic:cNvPr id="910" name="Image 9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penalties</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applicable</w:t>
        </w:r>
        <w:r>
          <w:rPr>
            <w:spacing w:val="-1"/>
            <w:vertAlign w:val="baseline"/>
          </w:rPr>
          <w:t> </w:t>
        </w:r>
        <w:r>
          <w:rPr>
            <w:vertAlign w:val="baseline"/>
          </w:rPr>
          <w:t>to</w:t>
        </w:r>
        <w:r>
          <w:rPr>
            <w:spacing w:val="-1"/>
            <w:vertAlign w:val="baseline"/>
          </w:rPr>
          <w:t> </w:t>
        </w:r>
        <w:r>
          <w:rPr>
            <w:vertAlign w:val="baseline"/>
          </w:rPr>
          <w:t>many</w:t>
        </w:r>
        <w:r>
          <w:rPr>
            <w:spacing w:val="-1"/>
            <w:vertAlign w:val="baseline"/>
          </w:rPr>
          <w:t> </w:t>
        </w:r>
        <w:r>
          <w:rPr>
            <w:vertAlign w:val="baseline"/>
          </w:rPr>
          <w:t>sums </w:t>
        </w:r>
        <w:bookmarkStart w:name="_bookmark2290" w:id="2292"/>
        <w:bookmarkEnd w:id="2292"/>
        <w:r>
          <w:rPr>
            <w:vertAlign w:val="baseline"/>
          </w:rPr>
          <w:t>of</w:t>
        </w:r>
        <w:r>
          <w:rPr>
            <w:vertAlign w:val="baseline"/>
          </w:rPr>
          <w:t> money payable under a contract. Thus, it is not relevant where the claimant claims an agreed </w:t>
        </w:r>
        <w:r>
          <w:rPr>
            <w:vertAlign w:val="baseline"/>
          </w:rPr>
          <w:t>sum (a</w:t>
        </w:r>
        <w:r>
          <w:rPr>
            <w:spacing w:val="18"/>
            <w:vertAlign w:val="baseline"/>
          </w:rPr>
          <w:t> </w:t>
        </w:r>
        <w:r>
          <w:rPr>
            <w:vertAlign w:val="baseline"/>
          </w:rPr>
          <w:t>debt)</w:t>
        </w:r>
        <w:r>
          <w:rPr>
            <w:spacing w:val="18"/>
            <w:vertAlign w:val="baseline"/>
          </w:rPr>
          <w:t> </w:t>
        </w:r>
        <w:r>
          <w:rPr>
            <w:vertAlign w:val="baseline"/>
          </w:rPr>
          <w:t>which</w:t>
        </w:r>
        <w:r>
          <w:rPr>
            <w:spacing w:val="18"/>
            <w:vertAlign w:val="baseline"/>
          </w:rPr>
          <w:t> </w:t>
        </w:r>
        <w:r>
          <w:rPr>
            <w:vertAlign w:val="baseline"/>
          </w:rPr>
          <w:t>is</w:t>
        </w:r>
        <w:r>
          <w:rPr>
            <w:spacing w:val="18"/>
            <w:vertAlign w:val="baseline"/>
          </w:rPr>
          <w:t> </w:t>
        </w:r>
        <w:r>
          <w:rPr>
            <w:vertAlign w:val="baseline"/>
          </w:rPr>
          <w:t>due</w:t>
        </w:r>
        <w:r>
          <w:rPr>
            <w:spacing w:val="18"/>
            <w:vertAlign w:val="baseline"/>
          </w:rPr>
          <w:t> </w:t>
        </w:r>
        <w:r>
          <w:rPr>
            <w:vertAlign w:val="baseline"/>
          </w:rPr>
          <w:t>from</w:t>
        </w:r>
        <w:r>
          <w:rPr>
            <w:spacing w:val="18"/>
            <w:vertAlign w:val="baseline"/>
          </w:rPr>
          <w:t> </w:t>
        </w:r>
        <w:r>
          <w:rPr>
            <w:vertAlign w:val="baseline"/>
          </w:rPr>
          <w:t>the</w:t>
        </w:r>
        <w:r>
          <w:rPr>
            <w:spacing w:val="18"/>
            <w:vertAlign w:val="baseline"/>
          </w:rPr>
          <w:t> </w:t>
        </w:r>
        <w:r>
          <w:rPr>
            <w:vertAlign w:val="baseline"/>
          </w:rPr>
          <w:t>defendant</w:t>
        </w:r>
        <w:r>
          <w:rPr>
            <w:spacing w:val="18"/>
            <w:vertAlign w:val="baseline"/>
          </w:rPr>
          <w:t> </w:t>
        </w:r>
        <w:r>
          <w:rPr>
            <w:vertAlign w:val="baseline"/>
          </w:rPr>
          <w:t>in</w:t>
        </w:r>
        <w:r>
          <w:rPr>
            <w:spacing w:val="18"/>
            <w:vertAlign w:val="baseline"/>
          </w:rPr>
          <w:t> </w:t>
        </w:r>
        <w:r>
          <w:rPr>
            <w:vertAlign w:val="baseline"/>
          </w:rPr>
          <w:t>return</w:t>
        </w:r>
        <w:r>
          <w:rPr>
            <w:spacing w:val="18"/>
            <w:vertAlign w:val="baseline"/>
          </w:rPr>
          <w:t> </w:t>
        </w:r>
        <w:r>
          <w:rPr>
            <w:vertAlign w:val="baseline"/>
          </w:rPr>
          <w:t>for</w:t>
        </w:r>
        <w:r>
          <w:rPr>
            <w:spacing w:val="18"/>
            <w:vertAlign w:val="baseline"/>
          </w:rPr>
          <w:t> </w:t>
        </w:r>
        <w:r>
          <w:rPr>
            <w:vertAlign w:val="baseline"/>
          </w:rPr>
          <w:t>the</w:t>
        </w:r>
        <w:r>
          <w:rPr>
            <w:spacing w:val="18"/>
            <w:vertAlign w:val="baseline"/>
          </w:rPr>
          <w:t> </w:t>
        </w:r>
        <w:r>
          <w:rPr>
            <w:vertAlign w:val="baseline"/>
          </w:rPr>
          <w:t>claimant’s</w:t>
        </w:r>
        <w:r>
          <w:rPr>
            <w:spacing w:val="18"/>
            <w:vertAlign w:val="baseline"/>
          </w:rPr>
          <w:t> </w:t>
        </w:r>
        <w:r>
          <w:rPr>
            <w:vertAlign w:val="baseline"/>
          </w:rPr>
          <w:t>performance</w:t>
        </w:r>
        <w:r>
          <w:rPr>
            <w:spacing w:val="18"/>
            <w:vertAlign w:val="baseline"/>
          </w:rPr>
          <w:t> </w:t>
        </w:r>
        <w:r>
          <w:rPr>
            <w:vertAlign w:val="baseline"/>
          </w:rPr>
          <w:t>of</w:t>
        </w:r>
        <w:r>
          <w:rPr>
            <w:spacing w:val="18"/>
            <w:vertAlign w:val="baseline"/>
          </w:rPr>
          <w:t> </w:t>
        </w:r>
        <w:r>
          <w:rPr>
            <w:vertAlign w:val="baseline"/>
          </w:rPr>
          <w:t>his</w:t>
        </w:r>
        <w:r>
          <w:rPr>
            <w:spacing w:val="18"/>
            <w:vertAlign w:val="baseline"/>
          </w:rPr>
          <w:t> </w:t>
        </w:r>
        <w:r>
          <w:rPr>
            <w:spacing w:val="-2"/>
            <w:vertAlign w:val="baseline"/>
          </w:rPr>
          <w:t>obligations,</w:t>
        </w:r>
      </w:hyperlink>
    </w:p>
    <w:p>
      <w:pPr>
        <w:pStyle w:val="BodyText"/>
        <w:spacing w:line="360" w:lineRule="auto" w:before="115"/>
        <w:ind w:left="165" w:right="167"/>
        <w:jc w:val="both"/>
      </w:pPr>
      <w:hyperlink w:history="true" w:anchor="_bookmark2295">
        <w:r>
          <w:rPr>
            <w:color w:val="005DA1"/>
            <w:u w:val="single" w:color="005DA1"/>
            <w:vertAlign w:val="superscript"/>
          </w:rPr>
          <w:t>1205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911" name="Image 911"/>
              <wp:cNvGraphicFramePr>
                <a:graphicFrameLocks/>
              </wp:cNvGraphicFramePr>
              <a:graphic>
                <a:graphicData uri="http://schemas.openxmlformats.org/drawingml/2006/picture">
                  <pic:pic>
                    <pic:nvPicPr>
                      <pic:cNvPr id="911" name="Image 9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47"/>
            <w:vertAlign w:val="baseline"/>
          </w:rPr>
          <w:t> </w:t>
        </w:r>
        <w:bookmarkStart w:name="_bookmark2291" w:id="2293"/>
        <w:bookmarkEnd w:id="2293"/>
        <w:r>
          <w:rPr>
            <w:rFonts w:ascii="Times New Roman" w:hAnsi="Times New Roman"/>
            <w:color w:val="005DA1"/>
            <w:spacing w:val="12"/>
            <w:vertAlign w:val="baseline"/>
          </w:rPr>
        </w:r>
        <w:r>
          <w:rPr>
            <w:vertAlign w:val="baseline"/>
          </w:rPr>
          <w:t>or which is due upon the occurrence of an event other than a breach of the </w:t>
        </w:r>
        <w:r>
          <w:rPr>
            <w:vertAlign w:val="baseline"/>
          </w:rPr>
          <w:t>defendant’s </w:t>
        </w:r>
        <w:bookmarkStart w:name="_bookmark2292" w:id="2294"/>
        <w:bookmarkEnd w:id="2294"/>
        <w:r>
          <w:rPr>
            <w:vertAlign w:val="baseline"/>
          </w:rPr>
          <w:t>contractual</w:t>
        </w:r>
        <w:r>
          <w:rPr>
            <w:spacing w:val="15"/>
            <w:vertAlign w:val="baseline"/>
          </w:rPr>
          <w:t> </w:t>
        </w:r>
        <w:r>
          <w:rPr>
            <w:vertAlign w:val="baseline"/>
          </w:rPr>
          <w:t>duty</w:t>
        </w:r>
        <w:r>
          <w:rPr>
            <w:spacing w:val="16"/>
            <w:vertAlign w:val="baseline"/>
          </w:rPr>
          <w:t> </w:t>
        </w:r>
        <w:r>
          <w:rPr>
            <w:vertAlign w:val="baseline"/>
          </w:rPr>
          <w:t>owed</w:t>
        </w:r>
        <w:r>
          <w:rPr>
            <w:spacing w:val="15"/>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claimant,</w:t>
        </w:r>
        <w:r>
          <w:rPr>
            <w:spacing w:val="14"/>
            <w:vertAlign w:val="baseline"/>
          </w:rPr>
          <w:t> </w:t>
        </w:r>
        <w:hyperlink w:history="true" w:anchor="_bookmark2296">
          <w:r>
            <w:rPr>
              <w:color w:val="005DA1"/>
              <w:u w:val="single" w:color="005DA1"/>
              <w:vertAlign w:val="superscript"/>
            </w:rPr>
            <w:t>1206</w:t>
          </w:r>
          <w:r>
            <w:rPr>
              <w:color w:val="005DA1"/>
              <w:spacing w:val="51"/>
              <w:vertAlign w:val="baseline"/>
            </w:rPr>
            <w:t>  </w:t>
          </w:r>
          <w:r>
            <w:rPr>
              <w:color w:val="005DA1"/>
              <w:spacing w:val="-4"/>
              <w:position w:val="-2"/>
              <w:vertAlign w:val="baseline"/>
            </w:rPr>
            <w:drawing>
              <wp:inline distT="0" distB="0" distL="0" distR="0">
                <wp:extent cx="107988" cy="107988"/>
                <wp:effectExtent l="0" t="0" r="0" b="0"/>
                <wp:docPr id="912" name="Image 912"/>
                <wp:cNvGraphicFramePr>
                  <a:graphicFrameLocks/>
                </wp:cNvGraphicFramePr>
                <a:graphic>
                  <a:graphicData uri="http://schemas.openxmlformats.org/drawingml/2006/picture">
                    <pic:pic>
                      <pic:nvPicPr>
                        <pic:cNvPr id="912" name="Image 9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25"/>
              <w:vertAlign w:val="baseline"/>
            </w:rPr>
            <w:t> </w:t>
          </w:r>
          <w:r>
            <w:rPr>
              <w:vertAlign w:val="baseline"/>
            </w:rPr>
            <w:t>though</w:t>
          </w:r>
          <w:r>
            <w:rPr>
              <w:spacing w:val="16"/>
              <w:vertAlign w:val="baseline"/>
            </w:rPr>
            <w:t> </w:t>
          </w:r>
          <w:r>
            <w:rPr>
              <w:vertAlign w:val="baseline"/>
            </w:rPr>
            <w:t>there</w:t>
          </w:r>
          <w:r>
            <w:rPr>
              <w:spacing w:val="16"/>
              <w:vertAlign w:val="baseline"/>
            </w:rPr>
            <w:t> </w:t>
          </w:r>
          <w:r>
            <w:rPr>
              <w:vertAlign w:val="baseline"/>
            </w:rPr>
            <w:t>have</w:t>
          </w:r>
          <w:r>
            <w:rPr>
              <w:spacing w:val="15"/>
              <w:vertAlign w:val="baseline"/>
            </w:rPr>
            <w:t> </w:t>
          </w:r>
          <w:r>
            <w:rPr>
              <w:vertAlign w:val="baseline"/>
            </w:rPr>
            <w:t>been</w:t>
          </w:r>
          <w:r>
            <w:rPr>
              <w:spacing w:val="16"/>
              <w:vertAlign w:val="baseline"/>
            </w:rPr>
            <w:t> </w:t>
          </w:r>
          <w:r>
            <w:rPr>
              <w:vertAlign w:val="baseline"/>
            </w:rPr>
            <w:t>suggestions</w:t>
          </w:r>
          <w:r>
            <w:rPr>
              <w:spacing w:val="16"/>
              <w:vertAlign w:val="baseline"/>
            </w:rPr>
            <w:t> </w:t>
          </w:r>
          <w:r>
            <w:rPr>
              <w:vertAlign w:val="baseline"/>
            </w:rPr>
            <w:t>that</w:t>
          </w:r>
          <w:r>
            <w:rPr>
              <w:spacing w:val="15"/>
              <w:vertAlign w:val="baseline"/>
            </w:rPr>
            <w:t> </w:t>
          </w:r>
          <w:r>
            <w:rPr>
              <w:vertAlign w:val="baseline"/>
            </w:rPr>
            <w:t>some</w:t>
          </w:r>
          <w:r>
            <w:rPr>
              <w:spacing w:val="16"/>
              <w:vertAlign w:val="baseline"/>
            </w:rPr>
            <w:t> </w:t>
          </w:r>
          <w:r>
            <w:rPr>
              <w:spacing w:val="-4"/>
              <w:vertAlign w:val="baseline"/>
            </w:rPr>
            <w:t>such</w:t>
          </w:r>
        </w:hyperlink>
      </w:hyperlink>
    </w:p>
    <w:p>
      <w:pPr>
        <w:pStyle w:val="BodyText"/>
        <w:spacing w:line="235" w:lineRule="auto" w:before="4"/>
        <w:ind w:left="165" w:right="167"/>
        <w:jc w:val="both"/>
      </w:pPr>
      <w:r>
        <w:rPr/>
        <w:t>clauses may be “disguised penalties” that do fall within the rules. </w:t>
      </w:r>
      <w:hyperlink w:history="true" w:anchor="_bookmark2297">
        <w:r>
          <w:rPr>
            <w:color w:val="005DA1"/>
            <w:u w:val="single" w:color="005DA1"/>
            <w:vertAlign w:val="superscript"/>
          </w:rPr>
          <w:t>1207</w:t>
        </w:r>
        <w:r>
          <w:rPr>
            <w:color w:val="005DA1"/>
            <w:spacing w:val="80"/>
            <w:vertAlign w:val="baseline"/>
          </w:rPr>
          <w:t> </w:t>
        </w:r>
        <w:r>
          <w:rPr>
            <w:color w:val="005DA1"/>
            <w:position w:val="-2"/>
            <w:vertAlign w:val="baseline"/>
          </w:rPr>
          <w:drawing>
            <wp:inline distT="0" distB="0" distL="0" distR="0">
              <wp:extent cx="107988" cy="107988"/>
              <wp:effectExtent l="0" t="0" r="0" b="0"/>
              <wp:docPr id="913" name="Image 913"/>
              <wp:cNvGraphicFramePr>
                <a:graphicFrameLocks/>
              </wp:cNvGraphicFramePr>
              <a:graphic>
                <a:graphicData uri="http://schemas.openxmlformats.org/drawingml/2006/picture">
                  <pic:pic>
                    <pic:nvPicPr>
                      <pic:cNvPr id="913" name="Image 9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It has also been said that some clauses, though “triggered” by a breach by the defendant, are exempt from the rules </w:t>
        </w:r>
        <w:r>
          <w:rPr>
            <w:vertAlign w:val="baseline"/>
          </w:rPr>
          <w:t>because </w:t>
        </w:r>
        <w:bookmarkStart w:name="_bookmark2293" w:id="2295"/>
        <w:bookmarkEnd w:id="2295"/>
        <w:r>
          <w:rPr>
            <w:vertAlign w:val="baseline"/>
          </w:rPr>
          <w:t>they</w:t>
        </w:r>
        <w:r>
          <w:rPr>
            <w:spacing w:val="27"/>
            <w:vertAlign w:val="baseline"/>
          </w:rPr>
          <w:t> </w:t>
        </w:r>
        <w:r>
          <w:rPr>
            <w:vertAlign w:val="baseline"/>
          </w:rPr>
          <w:t>reflect</w:t>
        </w:r>
        <w:r>
          <w:rPr>
            <w:spacing w:val="27"/>
            <w:vertAlign w:val="baseline"/>
          </w:rPr>
          <w:t> </w:t>
        </w:r>
        <w:r>
          <w:rPr>
            <w:vertAlign w:val="baseline"/>
          </w:rPr>
          <w:t>the</w:t>
        </w:r>
        <w:r>
          <w:rPr>
            <w:spacing w:val="27"/>
            <w:vertAlign w:val="baseline"/>
          </w:rPr>
          <w:t> </w:t>
        </w:r>
        <w:r>
          <w:rPr>
            <w:vertAlign w:val="baseline"/>
          </w:rPr>
          <w:t>“primary</w:t>
        </w:r>
        <w:r>
          <w:rPr>
            <w:spacing w:val="27"/>
            <w:vertAlign w:val="baseline"/>
          </w:rPr>
          <w:t> </w:t>
        </w:r>
        <w:r>
          <w:rPr>
            <w:vertAlign w:val="baseline"/>
          </w:rPr>
          <w:t>obligations”</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defendant,</w:t>
        </w:r>
        <w:r>
          <w:rPr>
            <w:spacing w:val="27"/>
            <w:vertAlign w:val="baseline"/>
          </w:rPr>
          <w:t> </w:t>
        </w:r>
        <w:r>
          <w:rPr>
            <w:vertAlign w:val="baseline"/>
          </w:rPr>
          <w:t>whereas</w:t>
        </w:r>
        <w:r>
          <w:rPr>
            <w:spacing w:val="27"/>
            <w:vertAlign w:val="baseline"/>
          </w:rPr>
          <w:t> </w:t>
        </w:r>
        <w:r>
          <w:rPr>
            <w:vertAlign w:val="baseline"/>
          </w:rPr>
          <w:t>the</w:t>
        </w:r>
        <w:r>
          <w:rPr>
            <w:spacing w:val="27"/>
            <w:vertAlign w:val="baseline"/>
          </w:rPr>
          <w:t> </w:t>
        </w:r>
        <w:r>
          <w:rPr>
            <w:vertAlign w:val="baseline"/>
          </w:rPr>
          <w:t>penalty</w:t>
        </w:r>
        <w:r>
          <w:rPr>
            <w:spacing w:val="27"/>
            <w:vertAlign w:val="baseline"/>
          </w:rPr>
          <w:t> </w:t>
        </w:r>
        <w:r>
          <w:rPr>
            <w:vertAlign w:val="baseline"/>
          </w:rPr>
          <w:t>rules</w:t>
        </w:r>
        <w:r>
          <w:rPr>
            <w:spacing w:val="27"/>
            <w:vertAlign w:val="baseline"/>
          </w:rPr>
          <w:t> </w:t>
        </w:r>
        <w:r>
          <w:rPr>
            <w:vertAlign w:val="baseline"/>
          </w:rPr>
          <w:t>are</w:t>
        </w:r>
        <w:r>
          <w:rPr>
            <w:spacing w:val="27"/>
            <w:vertAlign w:val="baseline"/>
          </w:rPr>
          <w:t> </w:t>
        </w:r>
        <w:r>
          <w:rPr>
            <w:vertAlign w:val="baseline"/>
          </w:rPr>
          <w:t>said</w:t>
        </w:r>
        <w:r>
          <w:rPr>
            <w:spacing w:val="27"/>
            <w:vertAlign w:val="baseline"/>
          </w:rPr>
          <w:t> </w:t>
        </w:r>
        <w:r>
          <w:rPr>
            <w:vertAlign w:val="baseline"/>
          </w:rPr>
          <w:t>to</w:t>
        </w:r>
        <w:r>
          <w:rPr>
            <w:spacing w:val="27"/>
            <w:vertAlign w:val="baseline"/>
          </w:rPr>
          <w:t> </w:t>
        </w:r>
        <w:r>
          <w:rPr>
            <w:spacing w:val="-2"/>
            <w:vertAlign w:val="baseline"/>
          </w:rPr>
          <w:t>apply</w:t>
        </w:r>
      </w:hyperlink>
    </w:p>
    <w:p>
      <w:pPr>
        <w:pStyle w:val="BodyText"/>
        <w:spacing w:before="115"/>
        <w:ind w:left="165"/>
        <w:jc w:val="both"/>
        <w:rPr>
          <w:position w:val="-2"/>
        </w:rPr>
      </w:pPr>
      <w:r>
        <w:rPr/>
        <w:t>only to “secondary obligations”. </w:t>
      </w:r>
      <w:hyperlink w:history="true" w:anchor="_bookmark2298">
        <w:r>
          <w:rPr>
            <w:color w:val="005DA1"/>
            <w:u w:val="single" w:color="005DA1"/>
            <w:vertAlign w:val="superscript"/>
          </w:rPr>
          <w:t>1208</w:t>
        </w:r>
        <w:r>
          <w:rPr>
            <w:color w:val="005DA1"/>
            <w:spacing w:val="80"/>
            <w:w w:val="150"/>
            <w:vertAlign w:val="baseline"/>
          </w:rPr>
          <w:t> </w:t>
        </w:r>
        <w:r>
          <w:rPr>
            <w:color w:val="005DA1"/>
            <w:position w:val="-2"/>
            <w:vertAlign w:val="baseline"/>
          </w:rPr>
          <w:drawing>
            <wp:inline distT="0" distB="0" distL="0" distR="0">
              <wp:extent cx="107988" cy="107988"/>
              <wp:effectExtent l="0" t="0" r="0" b="0"/>
              <wp:docPr id="914" name="Image 914"/>
              <wp:cNvGraphicFramePr>
                <a:graphicFrameLocks/>
              </wp:cNvGraphicFramePr>
              <a:graphic>
                <a:graphicData uri="http://schemas.openxmlformats.org/drawingml/2006/picture">
                  <pic:pic>
                    <pic:nvPicPr>
                      <pic:cNvPr id="914" name="Image 9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715328">
                <wp:simplePos x="0" y="0"/>
                <wp:positionH relativeFrom="page">
                  <wp:posOffset>914400</wp:posOffset>
                </wp:positionH>
                <wp:positionV relativeFrom="paragraph">
                  <wp:posOffset>186119</wp:posOffset>
                </wp:positionV>
                <wp:extent cx="5724525" cy="1270"/>
                <wp:effectExtent l="0" t="0" r="0" b="0"/>
                <wp:wrapTopAndBottom/>
                <wp:docPr id="915" name="Graphic 915"/>
                <wp:cNvGraphicFramePr>
                  <a:graphicFrameLocks/>
                </wp:cNvGraphicFramePr>
                <a:graphic>
                  <a:graphicData uri="http://schemas.microsoft.com/office/word/2010/wordprocessingShape">
                    <wps:wsp>
                      <wps:cNvPr id="915" name="Graphic 9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5066pt;width:450.75pt;height:.1pt;mso-position-horizontal-relative:page;mso-position-vertical-relative:paragraph;z-index:-15601152;mso-wrap-distance-left:0;mso-wrap-distance-right:0" id="docshape97"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pStyle w:val="BodyText"/>
        <w:ind w:left="165"/>
        <w:jc w:val="both"/>
      </w:pPr>
      <w:bookmarkStart w:name="_bookmark2294" w:id="2296"/>
      <w:bookmarkEnd w:id="2296"/>
      <w:r>
        <w:rPr/>
      </w:r>
      <w:hyperlink w:history="true" w:anchor="_bookmark2289">
        <w:r>
          <w:rPr>
            <w:color w:val="005DA1"/>
            <w:u w:val="single" w:color="005DA1"/>
            <w:vertAlign w:val="superscript"/>
          </w:rPr>
          <w:t>1204</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916" name="Image 916"/>
            <wp:cNvGraphicFramePr>
              <a:graphicFrameLocks/>
            </wp:cNvGraphicFramePr>
            <a:graphic>
              <a:graphicData uri="http://schemas.openxmlformats.org/drawingml/2006/picture">
                <pic:pic>
                  <pic:nvPicPr>
                    <pic:cNvPr id="916" name="Image 9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216.</w:t>
      </w:r>
    </w:p>
    <w:p>
      <w:pPr>
        <w:pStyle w:val="BodyText"/>
        <w:spacing w:before="129"/>
      </w:pPr>
    </w:p>
    <w:p>
      <w:pPr>
        <w:spacing w:line="235" w:lineRule="auto" w:before="0"/>
        <w:ind w:left="705" w:right="167" w:hanging="541"/>
        <w:jc w:val="both"/>
        <w:rPr>
          <w:sz w:val="20"/>
        </w:rPr>
      </w:pPr>
      <w:bookmarkStart w:name="_bookmark2295" w:id="2297"/>
      <w:bookmarkEnd w:id="2297"/>
      <w:r>
        <w:rPr/>
      </w:r>
      <w:hyperlink w:history="true" w:anchor="_bookmark2290">
        <w:r>
          <w:rPr>
            <w:color w:val="005DA1"/>
            <w:sz w:val="20"/>
            <w:u w:val="single" w:color="005DA1"/>
            <w:vertAlign w:val="superscript"/>
          </w:rPr>
          <w:t>1205</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917" name="Image 917"/>
            <wp:cNvGraphicFramePr>
              <a:graphicFrameLocks/>
            </wp:cNvGraphicFramePr>
            <a:graphic>
              <a:graphicData uri="http://schemas.openxmlformats.org/drawingml/2006/picture">
                <pic:pic>
                  <pic:nvPicPr>
                    <pic:cNvPr id="917" name="Image 9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White &amp; Carter (Councils) Ltd v McGregor [1962] A.C. 413 </w:t>
      </w:r>
      <w:r>
        <w:rPr>
          <w:sz w:val="20"/>
          <w:vertAlign w:val="baseline"/>
        </w:rPr>
        <w:t>(above, para.26-104). However, </w:t>
      </w:r>
      <w:r>
        <w:rPr>
          <w:sz w:val="20"/>
          <w:vertAlign w:val="baseline"/>
        </w:rPr>
        <w:t>in a contract in which the liquidated damages were only payable while the contract remained on foot, the innocent party was not entitled to ignore a repudiation and keep the contract alive so</w:t>
      </w:r>
      <w:r>
        <w:rPr>
          <w:spacing w:val="40"/>
          <w:sz w:val="20"/>
          <w:vertAlign w:val="baseline"/>
        </w:rPr>
        <w:t> </w:t>
      </w:r>
      <w:r>
        <w:rPr>
          <w:sz w:val="20"/>
          <w:vertAlign w:val="baseline"/>
        </w:rPr>
        <w:t>as</w:t>
      </w:r>
      <w:r>
        <w:rPr>
          <w:spacing w:val="-1"/>
          <w:sz w:val="20"/>
          <w:vertAlign w:val="baseline"/>
        </w:rPr>
        <w:t> </w:t>
      </w:r>
      <w:r>
        <w:rPr>
          <w:sz w:val="20"/>
          <w:vertAlign w:val="baseline"/>
        </w:rPr>
        <w:t>to</w:t>
      </w:r>
      <w:r>
        <w:rPr>
          <w:spacing w:val="-1"/>
          <w:sz w:val="20"/>
          <w:vertAlign w:val="baseline"/>
        </w:rPr>
        <w:t> </w:t>
      </w:r>
      <w:r>
        <w:rPr>
          <w:sz w:val="20"/>
          <w:vertAlign w:val="baseline"/>
        </w:rPr>
        <w:t>be</w:t>
      </w:r>
      <w:r>
        <w:rPr>
          <w:spacing w:val="-1"/>
          <w:sz w:val="20"/>
          <w:vertAlign w:val="baseline"/>
        </w:rPr>
        <w:t> </w:t>
      </w:r>
      <w:r>
        <w:rPr>
          <w:sz w:val="20"/>
          <w:vertAlign w:val="baseline"/>
        </w:rPr>
        <w:t>able</w:t>
      </w:r>
      <w:r>
        <w:rPr>
          <w:spacing w:val="-1"/>
          <w:sz w:val="20"/>
          <w:vertAlign w:val="baseline"/>
        </w:rPr>
        <w:t> </w:t>
      </w:r>
      <w:r>
        <w:rPr>
          <w:sz w:val="20"/>
          <w:vertAlign w:val="baseline"/>
        </w:rPr>
        <w:t>to</w:t>
      </w:r>
      <w:r>
        <w:rPr>
          <w:spacing w:val="-1"/>
          <w:sz w:val="20"/>
          <w:vertAlign w:val="baseline"/>
        </w:rPr>
        <w:t> </w:t>
      </w:r>
      <w:r>
        <w:rPr>
          <w:sz w:val="20"/>
          <w:vertAlign w:val="baseline"/>
        </w:rPr>
        <w:t>continue</w:t>
      </w:r>
      <w:r>
        <w:rPr>
          <w:spacing w:val="-1"/>
          <w:sz w:val="20"/>
          <w:vertAlign w:val="baseline"/>
        </w:rPr>
        <w:t> </w:t>
      </w:r>
      <w:r>
        <w:rPr>
          <w:sz w:val="20"/>
          <w:vertAlign w:val="baseline"/>
        </w:rPr>
        <w:t>to</w:t>
      </w:r>
      <w:r>
        <w:rPr>
          <w:spacing w:val="-1"/>
          <w:sz w:val="20"/>
          <w:vertAlign w:val="baseline"/>
        </w:rPr>
        <w:t> </w:t>
      </w:r>
      <w:r>
        <w:rPr>
          <w:sz w:val="20"/>
          <w:vertAlign w:val="baseline"/>
        </w:rPr>
        <w:t>claim</w:t>
      </w:r>
      <w:r>
        <w:rPr>
          <w:spacing w:val="-1"/>
          <w:sz w:val="20"/>
          <w:vertAlign w:val="baseline"/>
        </w:rPr>
        <w:t> </w:t>
      </w:r>
      <w:r>
        <w:rPr>
          <w:sz w:val="20"/>
          <w:vertAlign w:val="baseline"/>
        </w:rPr>
        <w:t>liquidated</w:t>
      </w:r>
      <w:r>
        <w:rPr>
          <w:spacing w:val="-1"/>
          <w:sz w:val="20"/>
          <w:vertAlign w:val="baseline"/>
        </w:rPr>
        <w:t> </w:t>
      </w:r>
      <w:r>
        <w:rPr>
          <w:sz w:val="20"/>
          <w:vertAlign w:val="baseline"/>
        </w:rPr>
        <w:t>damages,</w:t>
      </w:r>
      <w:r>
        <w:rPr>
          <w:spacing w:val="-1"/>
          <w:sz w:val="20"/>
          <w:vertAlign w:val="baseline"/>
        </w:rPr>
        <w:t> </w:t>
      </w:r>
      <w:r>
        <w:rPr>
          <w:sz w:val="20"/>
          <w:vertAlign w:val="baseline"/>
        </w:rPr>
        <w:t>as</w:t>
      </w:r>
      <w:r>
        <w:rPr>
          <w:spacing w:val="-1"/>
          <w:sz w:val="20"/>
          <w:vertAlign w:val="baseline"/>
        </w:rPr>
        <w:t> </w:t>
      </w:r>
      <w:r>
        <w:rPr>
          <w:sz w:val="20"/>
          <w:vertAlign w:val="baseline"/>
        </w:rPr>
        <w:t>they</w:t>
      </w:r>
      <w:r>
        <w:rPr>
          <w:spacing w:val="-1"/>
          <w:sz w:val="20"/>
          <w:vertAlign w:val="baseline"/>
        </w:rPr>
        <w:t> </w:t>
      </w:r>
      <w:r>
        <w:rPr>
          <w:sz w:val="20"/>
          <w:vertAlign w:val="baseline"/>
        </w:rPr>
        <w:t>would</w:t>
      </w:r>
      <w:r>
        <w:rPr>
          <w:spacing w:val="-1"/>
          <w:sz w:val="20"/>
          <w:vertAlign w:val="baseline"/>
        </w:rPr>
        <w:t> </w:t>
      </w:r>
      <w:r>
        <w:rPr>
          <w:sz w:val="20"/>
          <w:vertAlign w:val="baseline"/>
        </w:rPr>
        <w:t>have</w:t>
      </w:r>
      <w:r>
        <w:rPr>
          <w:spacing w:val="-1"/>
          <w:sz w:val="20"/>
          <w:vertAlign w:val="baseline"/>
        </w:rPr>
        <w:t> </w:t>
      </w:r>
      <w:r>
        <w:rPr>
          <w:sz w:val="20"/>
          <w:vertAlign w:val="baseline"/>
        </w:rPr>
        <w:t>no</w:t>
      </w:r>
      <w:r>
        <w:rPr>
          <w:spacing w:val="-1"/>
          <w:sz w:val="20"/>
          <w:vertAlign w:val="baseline"/>
        </w:rPr>
        <w:t> </w:t>
      </w:r>
      <w:r>
        <w:rPr>
          <w:sz w:val="20"/>
          <w:vertAlign w:val="baseline"/>
        </w:rPr>
        <w:t>legitimate</w:t>
      </w:r>
      <w:r>
        <w:rPr>
          <w:spacing w:val="-1"/>
          <w:sz w:val="20"/>
          <w:vertAlign w:val="baseline"/>
        </w:rPr>
        <w:t> </w:t>
      </w:r>
      <w:r>
        <w:rPr>
          <w:sz w:val="20"/>
          <w:vertAlign w:val="baseline"/>
        </w:rPr>
        <w:t>interest is</w:t>
      </w:r>
      <w:r>
        <w:rPr>
          <w:spacing w:val="-1"/>
          <w:sz w:val="20"/>
          <w:vertAlign w:val="baseline"/>
        </w:rPr>
        <w:t> </w:t>
      </w:r>
      <w:r>
        <w:rPr>
          <w:sz w:val="20"/>
          <w:vertAlign w:val="baseline"/>
        </w:rPr>
        <w:t>doing</w:t>
      </w:r>
      <w:r>
        <w:rPr>
          <w:spacing w:val="-1"/>
          <w:sz w:val="20"/>
          <w:vertAlign w:val="baseline"/>
        </w:rPr>
        <w:t> </w:t>
      </w:r>
      <w:r>
        <w:rPr>
          <w:sz w:val="20"/>
          <w:vertAlign w:val="baseline"/>
        </w:rPr>
        <w:t>so:</w:t>
      </w:r>
      <w:r>
        <w:rPr>
          <w:spacing w:val="-1"/>
          <w:sz w:val="20"/>
          <w:vertAlign w:val="baseline"/>
        </w:rPr>
        <w:t> </w:t>
      </w:r>
      <w:r>
        <w:rPr>
          <w:rFonts w:ascii="Arial" w:hAnsi="Arial"/>
          <w:i/>
          <w:sz w:val="20"/>
          <w:vertAlign w:val="baseline"/>
        </w:rPr>
        <w:t>MSC</w:t>
      </w:r>
      <w:r>
        <w:rPr>
          <w:rFonts w:ascii="Arial" w:hAnsi="Arial"/>
          <w:i/>
          <w:spacing w:val="-1"/>
          <w:sz w:val="20"/>
          <w:vertAlign w:val="baseline"/>
        </w:rPr>
        <w:t> </w:t>
      </w:r>
      <w:r>
        <w:rPr>
          <w:rFonts w:ascii="Arial" w:hAnsi="Arial"/>
          <w:i/>
          <w:sz w:val="20"/>
          <w:vertAlign w:val="baseline"/>
        </w:rPr>
        <w:t>Mediterranean</w:t>
      </w:r>
      <w:r>
        <w:rPr>
          <w:rFonts w:ascii="Arial" w:hAnsi="Arial"/>
          <w:i/>
          <w:spacing w:val="-1"/>
          <w:sz w:val="20"/>
          <w:vertAlign w:val="baseline"/>
        </w:rPr>
        <w:t> </w:t>
      </w:r>
      <w:r>
        <w:rPr>
          <w:rFonts w:ascii="Arial" w:hAnsi="Arial"/>
          <w:i/>
          <w:sz w:val="20"/>
          <w:vertAlign w:val="baseline"/>
        </w:rPr>
        <w:t>Shipping</w:t>
      </w:r>
      <w:r>
        <w:rPr>
          <w:rFonts w:ascii="Arial" w:hAnsi="Arial"/>
          <w:i/>
          <w:spacing w:val="-1"/>
          <w:sz w:val="20"/>
          <w:vertAlign w:val="baseline"/>
        </w:rPr>
        <w:t> </w:t>
      </w:r>
      <w:r>
        <w:rPr>
          <w:rFonts w:ascii="Arial" w:hAnsi="Arial"/>
          <w:i/>
          <w:sz w:val="20"/>
          <w:vertAlign w:val="baseline"/>
        </w:rPr>
        <w:t>Co</w:t>
      </w:r>
      <w:r>
        <w:rPr>
          <w:rFonts w:ascii="Arial" w:hAnsi="Arial"/>
          <w:i/>
          <w:spacing w:val="-1"/>
          <w:sz w:val="20"/>
          <w:vertAlign w:val="baseline"/>
        </w:rPr>
        <w:t> </w:t>
      </w:r>
      <w:r>
        <w:rPr>
          <w:rFonts w:ascii="Arial" w:hAnsi="Arial"/>
          <w:i/>
          <w:sz w:val="20"/>
          <w:vertAlign w:val="baseline"/>
        </w:rPr>
        <w:t>SA</w:t>
      </w:r>
      <w:r>
        <w:rPr>
          <w:rFonts w:ascii="Arial" w:hAnsi="Arial"/>
          <w:i/>
          <w:spacing w:val="-1"/>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Cottonex</w:t>
      </w:r>
      <w:r>
        <w:rPr>
          <w:rFonts w:ascii="Arial" w:hAnsi="Arial"/>
          <w:i/>
          <w:spacing w:val="-1"/>
          <w:sz w:val="20"/>
          <w:vertAlign w:val="baseline"/>
        </w:rPr>
        <w:t> </w:t>
      </w:r>
      <w:r>
        <w:rPr>
          <w:rFonts w:ascii="Arial" w:hAnsi="Arial"/>
          <w:i/>
          <w:sz w:val="20"/>
          <w:vertAlign w:val="baseline"/>
        </w:rPr>
        <w:t>Anstalt</w:t>
      </w:r>
      <w:r>
        <w:rPr>
          <w:rFonts w:ascii="Arial" w:hAnsi="Arial"/>
          <w:i/>
          <w:spacing w:val="-1"/>
          <w:sz w:val="20"/>
          <w:vertAlign w:val="baseline"/>
        </w:rPr>
        <w:t> </w:t>
      </w:r>
      <w:r>
        <w:rPr>
          <w:rFonts w:ascii="Arial" w:hAnsi="Arial"/>
          <w:i/>
          <w:sz w:val="20"/>
          <w:vertAlign w:val="baseline"/>
        </w:rPr>
        <w:t>[2015]</w:t>
      </w:r>
      <w:r>
        <w:rPr>
          <w:rFonts w:ascii="Arial" w:hAnsi="Arial"/>
          <w:i/>
          <w:spacing w:val="-1"/>
          <w:sz w:val="20"/>
          <w:vertAlign w:val="baseline"/>
        </w:rPr>
        <w:t> </w:t>
      </w:r>
      <w:r>
        <w:rPr>
          <w:rFonts w:ascii="Arial" w:hAnsi="Arial"/>
          <w:i/>
          <w:sz w:val="20"/>
          <w:vertAlign w:val="baseline"/>
        </w:rPr>
        <w:t>EWHC</w:t>
      </w:r>
      <w:r>
        <w:rPr>
          <w:rFonts w:ascii="Arial" w:hAnsi="Arial"/>
          <w:i/>
          <w:spacing w:val="-1"/>
          <w:sz w:val="20"/>
          <w:vertAlign w:val="baseline"/>
        </w:rPr>
        <w:t> </w:t>
      </w:r>
      <w:r>
        <w:rPr>
          <w:rFonts w:ascii="Arial" w:hAnsi="Arial"/>
          <w:i/>
          <w:sz w:val="20"/>
          <w:vertAlign w:val="baseline"/>
        </w:rPr>
        <w:t>283</w:t>
      </w:r>
      <w:r>
        <w:rPr>
          <w:rFonts w:ascii="Arial" w:hAnsi="Arial"/>
          <w:i/>
          <w:spacing w:val="-1"/>
          <w:sz w:val="20"/>
          <w:vertAlign w:val="baseline"/>
        </w:rPr>
        <w:t> </w:t>
      </w:r>
      <w:r>
        <w:rPr>
          <w:rFonts w:ascii="Arial" w:hAnsi="Arial"/>
          <w:i/>
          <w:sz w:val="20"/>
          <w:vertAlign w:val="baseline"/>
        </w:rPr>
        <w:t>(Comm) </w:t>
      </w:r>
      <w:r>
        <w:rPr>
          <w:sz w:val="20"/>
          <w:vertAlign w:val="baseline"/>
        </w:rPr>
        <w:t>at [94]–[105]; the Court of Appeal </w:t>
      </w:r>
      <w:r>
        <w:rPr>
          <w:rFonts w:ascii="Arial" w:hAnsi="Arial"/>
          <w:i/>
          <w:sz w:val="20"/>
          <w:vertAlign w:val="baseline"/>
        </w:rPr>
        <w:t>[2016] EWCA Civ 789 </w:t>
      </w:r>
      <w:r>
        <w:rPr>
          <w:sz w:val="20"/>
          <w:vertAlign w:val="baseline"/>
        </w:rPr>
        <w:t>agreed that there was no legitimate interest in continuing to perform but because the contractual venture had been frustrated: see above, para.26-106. The contrast between a debt and liquidated damages is drawn by the House of Lords in </w:t>
      </w:r>
      <w:r>
        <w:rPr>
          <w:rFonts w:ascii="Arial" w:hAnsi="Arial"/>
          <w:i/>
          <w:sz w:val="20"/>
          <w:vertAlign w:val="baseline"/>
        </w:rPr>
        <w:t>President of India v Lips Maritime Corp [1988] A.C. 395, 422–423, 424</w:t>
      </w:r>
      <w:r>
        <w:rPr>
          <w:sz w:val="20"/>
          <w:vertAlign w:val="baseline"/>
        </w:rPr>
        <w:t>.</w:t>
      </w:r>
    </w:p>
    <w:p>
      <w:pPr>
        <w:pStyle w:val="BodyText"/>
        <w:spacing w:before="123"/>
      </w:pPr>
    </w:p>
    <w:p>
      <w:pPr>
        <w:pStyle w:val="BodyText"/>
        <w:spacing w:line="609" w:lineRule="auto"/>
        <w:ind w:left="165" w:right="6137"/>
        <w:jc w:val="both"/>
      </w:pPr>
      <w:bookmarkStart w:name="_bookmark2296" w:id="2298"/>
      <w:bookmarkEnd w:id="2298"/>
      <w:r>
        <w:rPr/>
      </w:r>
      <w:hyperlink w:history="true" w:anchor="_bookmark2291">
        <w:r>
          <w:rPr>
            <w:color w:val="005DA1"/>
            <w:u w:val="single" w:color="005DA1"/>
            <w:vertAlign w:val="superscript"/>
          </w:rPr>
          <w:t>1206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918" name="Image 918"/>
            <wp:cNvGraphicFramePr>
              <a:graphicFrameLocks/>
            </wp:cNvGraphicFramePr>
            <a:graphic>
              <a:graphicData uri="http://schemas.openxmlformats.org/drawingml/2006/picture">
                <pic:pic>
                  <pic:nvPicPr>
                    <pic:cNvPr id="918" name="Image 9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
          <w:vertAlign w:val="baseline"/>
        </w:rPr>
        <w:t> </w:t>
      </w:r>
      <w:r>
        <w:rPr>
          <w:vertAlign w:val="baseline"/>
        </w:rPr>
        <w:t>below,</w:t>
      </w:r>
      <w:r>
        <w:rPr>
          <w:spacing w:val="-1"/>
          <w:vertAlign w:val="baseline"/>
        </w:rPr>
        <w:t> </w:t>
      </w:r>
      <w:r>
        <w:rPr>
          <w:vertAlign w:val="baseline"/>
        </w:rPr>
        <w:t>para.26-216C. </w:t>
      </w:r>
      <w:bookmarkStart w:name="_bookmark2297" w:id="2299"/>
      <w:bookmarkEnd w:id="2299"/>
      <w:r>
        <w:rPr>
          <w:vertAlign w:val="baseline"/>
        </w:rPr>
      </w:r>
      <w:hyperlink w:history="true" w:anchor="_bookmark2292">
        <w:r>
          <w:rPr>
            <w:color w:val="005DA1"/>
            <w:u w:val="single" w:color="005DA1"/>
            <w:vertAlign w:val="superscript"/>
          </w:rPr>
          <w:t>1207</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919" name="Image 919"/>
            <wp:cNvGraphicFramePr>
              <a:graphicFrameLocks/>
            </wp:cNvGraphicFramePr>
            <a:graphic>
              <a:graphicData uri="http://schemas.openxmlformats.org/drawingml/2006/picture">
                <pic:pic>
                  <pic:nvPicPr>
                    <pic:cNvPr id="919" name="Image 9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w:t>
      </w:r>
      <w:r>
        <w:rPr>
          <w:vertAlign w:val="baseline"/>
        </w:rPr>
        <w:t>216G. </w:t>
      </w:r>
      <w:bookmarkStart w:name="_bookmark2298" w:id="2300"/>
      <w:bookmarkEnd w:id="2300"/>
      <w:r>
        <w:rPr>
          <w:vertAlign w:val="baseline"/>
        </w:rPr>
      </w:r>
      <w:hyperlink w:history="true" w:anchor="_bookmark2293">
        <w:r>
          <w:rPr>
            <w:color w:val="005DA1"/>
            <w:u w:val="single" w:color="005DA1"/>
            <w:vertAlign w:val="superscript"/>
          </w:rPr>
          <w:t>1208</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920" name="Image 920"/>
            <wp:cNvGraphicFramePr>
              <a:graphicFrameLocks/>
            </wp:cNvGraphicFramePr>
            <a:graphic>
              <a:graphicData uri="http://schemas.openxmlformats.org/drawingml/2006/picture">
                <pic:pic>
                  <pic:nvPicPr>
                    <pic:cNvPr id="920" name="Image 9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2"/>
          <w:vertAlign w:val="baseline"/>
        </w:rPr>
        <w:t>216H.</w:t>
      </w:r>
    </w:p>
    <w:p>
      <w:pPr>
        <w:pStyle w:val="BodyText"/>
        <w:spacing w:after="0" w:line="609" w:lineRule="auto"/>
        <w:jc w:val="both"/>
        <w:sectPr>
          <w:headerReference w:type="default" r:id="rId52"/>
          <w:pgSz w:w="11900" w:h="16840"/>
          <w:pgMar w:header="971" w:footer="0" w:top="1300" w:bottom="280" w:left="1275" w:right="1275"/>
          <w:pgNumType w:start="1"/>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725"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11"/>
        </w:numPr>
        <w:tabs>
          <w:tab w:pos="2251" w:val="left" w:leader="none"/>
        </w:tabs>
        <w:spacing w:line="240" w:lineRule="auto" w:before="194" w:after="0"/>
        <w:ind w:left="2251" w:right="0" w:hanging="293"/>
        <w:jc w:val="left"/>
        <w:rPr>
          <w:b/>
          <w:sz w:val="24"/>
        </w:rPr>
      </w:pPr>
      <w:r>
        <w:rPr>
          <w:b/>
          <w:sz w:val="24"/>
        </w:rPr>
        <w:t>- Types of Clause within the Penalty </w:t>
      </w:r>
      <w:r>
        <w:rPr>
          <w:b/>
          <w:spacing w:val="-2"/>
          <w:sz w:val="24"/>
        </w:rPr>
        <w:t>Doctrine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Types of clause within the penalty </w:t>
      </w:r>
      <w:r>
        <w:rPr>
          <w:rFonts w:ascii="Arial"/>
          <w:b/>
          <w:spacing w:val="-2"/>
          <w:sz w:val="18"/>
        </w:rPr>
        <w:t>rules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216</w:t>
      </w:r>
    </w:p>
    <w:p>
      <w:pPr>
        <w:pStyle w:val="BodyText"/>
        <w:spacing w:before="212"/>
        <w:rPr>
          <w:rFonts w:ascii="Arial"/>
          <w:b/>
        </w:rPr>
      </w:pPr>
    </w:p>
    <w:p>
      <w:pPr>
        <w:spacing w:line="235" w:lineRule="auto" w:before="0"/>
        <w:ind w:left="165" w:right="167" w:firstLine="0"/>
        <w:jc w:val="both"/>
        <w:rPr>
          <w:sz w:val="20"/>
        </w:rPr>
      </w:pPr>
      <w:r>
        <w:rPr>
          <w:position w:val="-2"/>
        </w:rPr>
        <w:drawing>
          <wp:inline distT="0" distB="0" distL="0" distR="0">
            <wp:extent cx="107988" cy="107988"/>
            <wp:effectExtent l="0" t="0" r="0" b="0"/>
            <wp:docPr id="922" name="Image 922"/>
            <wp:cNvGraphicFramePr>
              <a:graphicFrameLocks/>
            </wp:cNvGraphicFramePr>
            <a:graphic>
              <a:graphicData uri="http://schemas.openxmlformats.org/drawingml/2006/picture">
                <pic:pic>
                  <pic:nvPicPr>
                    <pic:cNvPr id="922" name="Image 9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2299" w:id="2301"/>
      <w:bookmarkEnd w:id="2301"/>
      <w:r>
        <w:rPr>
          <w:rFonts w:ascii="Times New Roman"/>
          <w:spacing w:val="-14"/>
          <w:sz w:val="20"/>
        </w:rPr>
      </w:r>
      <w:r>
        <w:rPr>
          <w:sz w:val="20"/>
        </w:rPr>
        <w:t>In </w:t>
      </w:r>
      <w:r>
        <w:rPr>
          <w:rFonts w:ascii="Arial"/>
          <w:i/>
          <w:sz w:val="20"/>
        </w:rPr>
        <w:t>Cavendish Square Holding BV v Makdessi </w:t>
      </w:r>
      <w:hyperlink w:history="true" w:anchor="_bookmark2315">
        <w:r>
          <w:rPr>
            <w:color w:val="005DA1"/>
            <w:sz w:val="20"/>
            <w:u w:val="single" w:color="005DA1"/>
            <w:vertAlign w:val="superscript"/>
          </w:rPr>
          <w:t>1209</w:t>
        </w:r>
        <w:r>
          <w:rPr>
            <w:color w:val="005DA1"/>
            <w:spacing w:val="80"/>
            <w:w w:val="150"/>
            <w:sz w:val="20"/>
            <w:vertAlign w:val="baseline"/>
          </w:rPr>
          <w:t> </w:t>
        </w:r>
        <w:r>
          <w:rPr>
            <w:color w:val="005DA1"/>
            <w:spacing w:val="-20"/>
            <w:position w:val="-2"/>
            <w:sz w:val="20"/>
            <w:vertAlign w:val="baseline"/>
          </w:rPr>
          <w:drawing>
            <wp:inline distT="0" distB="0" distL="0" distR="0">
              <wp:extent cx="107988" cy="107988"/>
              <wp:effectExtent l="0" t="0" r="0" b="0"/>
              <wp:docPr id="923" name="Image 923"/>
              <wp:cNvGraphicFramePr>
                <a:graphicFrameLocks/>
              </wp:cNvGraphicFramePr>
              <a:graphic>
                <a:graphicData uri="http://schemas.openxmlformats.org/drawingml/2006/picture">
                  <pic:pic>
                    <pic:nvPicPr>
                      <pic:cNvPr id="923" name="Image 9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sz w:val="20"/>
            <w:vertAlign w:val="baseline"/>
          </w:rPr>
        </w:r>
        <w:r>
          <w:rPr>
            <w:rFonts w:ascii="Times New Roman"/>
            <w:color w:val="005DA1"/>
            <w:spacing w:val="40"/>
            <w:sz w:val="20"/>
            <w:vertAlign w:val="baseline"/>
          </w:rPr>
          <w:t> </w:t>
        </w:r>
        <w:r>
          <w:rPr>
            <w:sz w:val="20"/>
            <w:vertAlign w:val="baseline"/>
          </w:rPr>
          <w:t>the Supreme Court held that the </w:t>
        </w:r>
        <w:r>
          <w:rPr>
            <w:sz w:val="20"/>
            <w:vertAlign w:val="baseline"/>
          </w:rPr>
          <w:t>penalty </w:t>
        </w:r>
        <w:bookmarkStart w:name="_bookmark2300" w:id="2302"/>
        <w:bookmarkEnd w:id="2302"/>
        <w:r>
          <w:rPr>
            <w:sz w:val="20"/>
            <w:vertAlign w:val="baseline"/>
          </w:rPr>
          <w:t>clause</w:t>
        </w:r>
        <w:r>
          <w:rPr>
            <w:spacing w:val="22"/>
            <w:sz w:val="20"/>
            <w:vertAlign w:val="baseline"/>
          </w:rPr>
          <w:t> </w:t>
        </w:r>
        <w:r>
          <w:rPr>
            <w:sz w:val="20"/>
            <w:vertAlign w:val="baseline"/>
          </w:rPr>
          <w:t>rules</w:t>
        </w:r>
        <w:r>
          <w:rPr>
            <w:spacing w:val="22"/>
            <w:sz w:val="20"/>
            <w:vertAlign w:val="baseline"/>
          </w:rPr>
          <w:t> </w:t>
        </w:r>
        <w:r>
          <w:rPr>
            <w:sz w:val="20"/>
            <w:vertAlign w:val="baseline"/>
          </w:rPr>
          <w:t>apply</w:t>
        </w:r>
        <w:r>
          <w:rPr>
            <w:spacing w:val="22"/>
            <w:sz w:val="20"/>
            <w:vertAlign w:val="baseline"/>
          </w:rPr>
          <w:t> </w:t>
        </w:r>
        <w:r>
          <w:rPr>
            <w:sz w:val="20"/>
            <w:vertAlign w:val="baseline"/>
          </w:rPr>
          <w:t>not</w:t>
        </w:r>
        <w:r>
          <w:rPr>
            <w:spacing w:val="22"/>
            <w:sz w:val="20"/>
            <w:vertAlign w:val="baseline"/>
          </w:rPr>
          <w:t> </w:t>
        </w:r>
        <w:r>
          <w:rPr>
            <w:sz w:val="20"/>
            <w:vertAlign w:val="baseline"/>
          </w:rPr>
          <w:t>only</w:t>
        </w:r>
        <w:r>
          <w:rPr>
            <w:spacing w:val="22"/>
            <w:sz w:val="20"/>
            <w:vertAlign w:val="baseline"/>
          </w:rPr>
          <w:t> </w:t>
        </w:r>
        <w:r>
          <w:rPr>
            <w:sz w:val="20"/>
            <w:vertAlign w:val="baseline"/>
          </w:rPr>
          <w:t>to</w:t>
        </w:r>
        <w:r>
          <w:rPr>
            <w:spacing w:val="22"/>
            <w:sz w:val="20"/>
            <w:vertAlign w:val="baseline"/>
          </w:rPr>
          <w:t> </w:t>
        </w:r>
        <w:r>
          <w:rPr>
            <w:sz w:val="20"/>
            <w:vertAlign w:val="baseline"/>
          </w:rPr>
          <w:t>agreed</w:t>
        </w:r>
        <w:r>
          <w:rPr>
            <w:spacing w:val="22"/>
            <w:sz w:val="20"/>
            <w:vertAlign w:val="baseline"/>
          </w:rPr>
          <w:t> </w:t>
        </w:r>
        <w:r>
          <w:rPr>
            <w:sz w:val="20"/>
            <w:vertAlign w:val="baseline"/>
          </w:rPr>
          <w:t>damages</w:t>
        </w:r>
        <w:r>
          <w:rPr>
            <w:spacing w:val="22"/>
            <w:sz w:val="20"/>
            <w:vertAlign w:val="baseline"/>
          </w:rPr>
          <w:t> </w:t>
        </w:r>
        <w:r>
          <w:rPr>
            <w:sz w:val="20"/>
            <w:vertAlign w:val="baseline"/>
          </w:rPr>
          <w:t>clauses</w:t>
        </w:r>
        <w:r>
          <w:rPr>
            <w:spacing w:val="22"/>
            <w:sz w:val="20"/>
            <w:vertAlign w:val="baseline"/>
          </w:rPr>
          <w:t> </w:t>
        </w:r>
        <w:r>
          <w:rPr>
            <w:sz w:val="20"/>
            <w:vertAlign w:val="baseline"/>
          </w:rPr>
          <w:t>but</w:t>
        </w:r>
        <w:r>
          <w:rPr>
            <w:spacing w:val="22"/>
            <w:sz w:val="20"/>
            <w:vertAlign w:val="baseline"/>
          </w:rPr>
          <w:t> </w:t>
        </w:r>
        <w:r>
          <w:rPr>
            <w:sz w:val="20"/>
            <w:vertAlign w:val="baseline"/>
          </w:rPr>
          <w:t>also</w:t>
        </w:r>
        <w:r>
          <w:rPr>
            <w:spacing w:val="22"/>
            <w:sz w:val="20"/>
            <w:vertAlign w:val="baseline"/>
          </w:rPr>
          <w:t> </w:t>
        </w:r>
        <w:r>
          <w:rPr>
            <w:sz w:val="20"/>
            <w:vertAlign w:val="baseline"/>
          </w:rPr>
          <w:t>to</w:t>
        </w:r>
        <w:r>
          <w:rPr>
            <w:spacing w:val="22"/>
            <w:sz w:val="20"/>
            <w:vertAlign w:val="baseline"/>
          </w:rPr>
          <w:t> </w:t>
        </w:r>
        <w:r>
          <w:rPr>
            <w:sz w:val="20"/>
            <w:vertAlign w:val="baseline"/>
          </w:rPr>
          <w:t>provisions</w:t>
        </w:r>
        <w:r>
          <w:rPr>
            <w:spacing w:val="22"/>
            <w:sz w:val="20"/>
            <w:vertAlign w:val="baseline"/>
          </w:rPr>
          <w:t> </w:t>
        </w:r>
        <w:r>
          <w:rPr>
            <w:sz w:val="20"/>
            <w:vertAlign w:val="baseline"/>
          </w:rPr>
          <w:t>that</w:t>
        </w:r>
        <w:r>
          <w:rPr>
            <w:spacing w:val="22"/>
            <w:sz w:val="20"/>
            <w:vertAlign w:val="baseline"/>
          </w:rPr>
          <w:t> </w:t>
        </w:r>
        <w:r>
          <w:rPr>
            <w:sz w:val="20"/>
            <w:vertAlign w:val="baseline"/>
          </w:rPr>
          <w:t>would</w:t>
        </w:r>
        <w:r>
          <w:rPr>
            <w:spacing w:val="22"/>
            <w:sz w:val="20"/>
            <w:vertAlign w:val="baseline"/>
          </w:rPr>
          <w:t> </w:t>
        </w:r>
        <w:r>
          <w:rPr>
            <w:sz w:val="20"/>
            <w:vertAlign w:val="baseline"/>
          </w:rPr>
          <w:t>prevent</w:t>
        </w:r>
        <w:r>
          <w:rPr>
            <w:spacing w:val="22"/>
            <w:sz w:val="20"/>
            <w:vertAlign w:val="baseline"/>
          </w:rPr>
          <w:t> </w:t>
        </w:r>
        <w:r>
          <w:rPr>
            <w:spacing w:val="-12"/>
            <w:sz w:val="20"/>
            <w:vertAlign w:val="baseline"/>
          </w:rPr>
          <w:t>a</w:t>
        </w:r>
      </w:hyperlink>
    </w:p>
    <w:p>
      <w:pPr>
        <w:pStyle w:val="BodyText"/>
        <w:spacing w:line="227" w:lineRule="exact" w:before="116"/>
        <w:ind w:left="165"/>
        <w:jc w:val="both"/>
        <w:rPr>
          <w:position w:val="-2"/>
        </w:rPr>
      </w:pPr>
      <w:r>
        <w:rPr/>
        <w:t>party</w:t>
      </w:r>
      <w:r>
        <w:rPr>
          <w:spacing w:val="24"/>
        </w:rPr>
        <w:t> </w:t>
      </w:r>
      <w:r>
        <w:rPr/>
        <w:t>who</w:t>
      </w:r>
      <w:r>
        <w:rPr>
          <w:spacing w:val="24"/>
        </w:rPr>
        <w:t> </w:t>
      </w:r>
      <w:r>
        <w:rPr/>
        <w:t>breaks</w:t>
      </w:r>
      <w:r>
        <w:rPr>
          <w:spacing w:val="24"/>
        </w:rPr>
        <w:t> </w:t>
      </w:r>
      <w:r>
        <w:rPr/>
        <w:t>the</w:t>
      </w:r>
      <w:r>
        <w:rPr>
          <w:spacing w:val="24"/>
        </w:rPr>
        <w:t> </w:t>
      </w:r>
      <w:r>
        <w:rPr/>
        <w:t>contract</w:t>
      </w:r>
      <w:r>
        <w:rPr>
          <w:spacing w:val="24"/>
        </w:rPr>
        <w:t> </w:t>
      </w:r>
      <w:r>
        <w:rPr/>
        <w:t>from</w:t>
      </w:r>
      <w:r>
        <w:rPr>
          <w:spacing w:val="24"/>
        </w:rPr>
        <w:t> </w:t>
      </w:r>
      <w:r>
        <w:rPr/>
        <w:t>receiving</w:t>
      </w:r>
      <w:r>
        <w:rPr>
          <w:spacing w:val="24"/>
        </w:rPr>
        <w:t> </w:t>
      </w:r>
      <w:r>
        <w:rPr/>
        <w:t>a</w:t>
      </w:r>
      <w:r>
        <w:rPr>
          <w:spacing w:val="24"/>
        </w:rPr>
        <w:t> </w:t>
      </w:r>
      <w:r>
        <w:rPr/>
        <w:t>sum</w:t>
      </w:r>
      <w:r>
        <w:rPr>
          <w:spacing w:val="24"/>
        </w:rPr>
        <w:t> </w:t>
      </w:r>
      <w:r>
        <w:rPr/>
        <w:t>to</w:t>
      </w:r>
      <w:r>
        <w:rPr>
          <w:spacing w:val="24"/>
        </w:rPr>
        <w:t> </w:t>
      </w:r>
      <w:r>
        <w:rPr/>
        <w:t>which</w:t>
      </w:r>
      <w:r>
        <w:rPr>
          <w:spacing w:val="24"/>
        </w:rPr>
        <w:t> </w:t>
      </w:r>
      <w:r>
        <w:rPr/>
        <w:t>it</w:t>
      </w:r>
      <w:r>
        <w:rPr>
          <w:spacing w:val="24"/>
        </w:rPr>
        <w:t> </w:t>
      </w:r>
      <w:r>
        <w:rPr/>
        <w:t>would</w:t>
      </w:r>
      <w:r>
        <w:rPr>
          <w:spacing w:val="24"/>
        </w:rPr>
        <w:t> </w:t>
      </w:r>
      <w:r>
        <w:rPr/>
        <w:t>otherwise</w:t>
      </w:r>
      <w:r>
        <w:rPr>
          <w:spacing w:val="24"/>
        </w:rPr>
        <w:t> </w:t>
      </w:r>
      <w:r>
        <w:rPr/>
        <w:t>be</w:t>
      </w:r>
      <w:r>
        <w:rPr>
          <w:spacing w:val="24"/>
        </w:rPr>
        <w:t> </w:t>
      </w:r>
      <w:r>
        <w:rPr/>
        <w:t>entitled,</w:t>
      </w:r>
      <w:r>
        <w:rPr>
          <w:spacing w:val="23"/>
        </w:rPr>
        <w:t> </w:t>
      </w:r>
      <w:hyperlink w:history="true" w:anchor="_bookmark2316">
        <w:r>
          <w:rPr>
            <w:color w:val="005DA1"/>
            <w:u w:val="single" w:color="005DA1"/>
            <w:vertAlign w:val="superscript"/>
          </w:rPr>
          <w:t>1210</w:t>
        </w:r>
        <w:r>
          <w:rPr>
            <w:color w:val="005DA1"/>
            <w:spacing w:val="64"/>
            <w:vertAlign w:val="baseline"/>
          </w:rPr>
          <w:t>  </w:t>
        </w:r>
        <w:r>
          <w:rPr>
            <w:color w:val="005DA1"/>
            <w:spacing w:val="-1"/>
            <w:position w:val="-2"/>
            <w:vertAlign w:val="baseline"/>
          </w:rPr>
          <w:drawing>
            <wp:inline distT="0" distB="0" distL="0" distR="0">
              <wp:extent cx="107988" cy="107988"/>
              <wp:effectExtent l="0" t="0" r="0" b="0"/>
              <wp:docPr id="924" name="Image 924"/>
              <wp:cNvGraphicFramePr>
                <a:graphicFrameLocks/>
              </wp:cNvGraphicFramePr>
              <a:graphic>
                <a:graphicData uri="http://schemas.openxmlformats.org/drawingml/2006/picture">
                  <pic:pic>
                    <pic:nvPicPr>
                      <pic:cNvPr id="924" name="Image 9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hyperlink>
    </w:p>
    <w:p>
      <w:pPr>
        <w:pStyle w:val="BodyText"/>
        <w:spacing w:line="360" w:lineRule="auto"/>
        <w:ind w:left="165" w:right="167"/>
        <w:jc w:val="both"/>
        <w:rPr>
          <w:position w:val="-2"/>
        </w:rPr>
      </w:pPr>
      <w:bookmarkStart w:name="_bookmark2301" w:id="2303"/>
      <w:bookmarkEnd w:id="2303"/>
      <w:r>
        <w:rPr/>
      </w:r>
      <w:r>
        <w:rPr/>
        <w:t>and also provisions that require a party in breach to transfer property to the other party at less than </w:t>
      </w:r>
      <w:r>
        <w:rPr/>
        <w:t>its </w:t>
      </w:r>
      <w:bookmarkStart w:name="_bookmark2302" w:id="2304"/>
      <w:bookmarkEnd w:id="2304"/>
      <w:r>
        <w:rPr/>
        <w:t>full</w:t>
      </w:r>
      <w:r>
        <w:rPr/>
        <w:t> value. </w:t>
      </w:r>
      <w:hyperlink w:history="true" w:anchor="_bookmark2317">
        <w:r>
          <w:rPr>
            <w:color w:val="005DA1"/>
            <w:u w:val="single" w:color="005DA1"/>
            <w:vertAlign w:val="superscript"/>
          </w:rPr>
          <w:t>1211</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925" name="Image 925"/>
              <wp:cNvGraphicFramePr>
                <a:graphicFrameLocks/>
              </wp:cNvGraphicFramePr>
              <a:graphic>
                <a:graphicData uri="http://schemas.openxmlformats.org/drawingml/2006/picture">
                  <pic:pic>
                    <pic:nvPicPr>
                      <pic:cNvPr id="925" name="Image 9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The Supreme Court also stated that the penalty rules also apply to deposits and forfeiture clauses; these will be considered in a separate section. </w:t>
        </w:r>
        <w:hyperlink w:history="true" w:anchor="_bookmark2318">
          <w:r>
            <w:rPr>
              <w:color w:val="005DA1"/>
              <w:u w:val="single" w:color="005DA1"/>
              <w:vertAlign w:val="superscript"/>
            </w:rPr>
            <w:t>1212</w:t>
          </w:r>
          <w:r>
            <w:rPr>
              <w:color w:val="005DA1"/>
              <w:spacing w:val="80"/>
              <w:vertAlign w:val="baseline"/>
            </w:rPr>
            <w:t> </w:t>
          </w:r>
          <w:r>
            <w:rPr>
              <w:color w:val="005DA1"/>
              <w:position w:val="-2"/>
              <w:vertAlign w:val="baseline"/>
            </w:rPr>
            <w:drawing>
              <wp:inline distT="0" distB="0" distL="0" distR="0">
                <wp:extent cx="107988" cy="107988"/>
                <wp:effectExtent l="0" t="0" r="0" b="0"/>
                <wp:docPr id="926" name="Image 926"/>
                <wp:cNvGraphicFramePr>
                  <a:graphicFrameLocks/>
                </wp:cNvGraphicFramePr>
                <a:graphic>
                  <a:graphicData uri="http://schemas.openxmlformats.org/drawingml/2006/picture">
                    <pic:pic>
                      <pic:nvPicPr>
                        <pic:cNvPr id="926" name="Image 9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3"/>
        <w:rPr>
          <w:sz w:val="18"/>
        </w:rPr>
      </w:pPr>
    </w:p>
    <w:p>
      <w:pPr>
        <w:spacing w:before="0"/>
        <w:ind w:left="165" w:right="0" w:firstLine="0"/>
        <w:jc w:val="left"/>
        <w:rPr>
          <w:rFonts w:ascii="Arial"/>
          <w:b/>
          <w:sz w:val="18"/>
        </w:rPr>
      </w:pPr>
      <w:r>
        <w:rPr>
          <w:rFonts w:ascii="Arial"/>
          <w:b/>
          <w:sz w:val="18"/>
        </w:rPr>
        <w:t>Acceleration </w:t>
      </w:r>
      <w:r>
        <w:rPr>
          <w:rFonts w:ascii="Arial"/>
          <w:b/>
          <w:spacing w:val="-2"/>
          <w:sz w:val="18"/>
        </w:rPr>
        <w:t>clauses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216A</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27" name="Image 927"/>
            <wp:cNvGraphicFramePr>
              <a:graphicFrameLocks/>
            </wp:cNvGraphicFramePr>
            <a:graphic>
              <a:graphicData uri="http://schemas.openxmlformats.org/drawingml/2006/picture">
                <pic:pic>
                  <pic:nvPicPr>
                    <pic:cNvPr id="927" name="Image 9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w:t>
      </w:r>
      <w:r>
        <w:rPr>
          <w:spacing w:val="-3"/>
        </w:rPr>
        <w:t> </w:t>
      </w:r>
      <w:r>
        <w:rPr/>
        <w:t>“acceleration”</w:t>
      </w:r>
      <w:r>
        <w:rPr>
          <w:spacing w:val="-3"/>
        </w:rPr>
        <w:t> </w:t>
      </w:r>
      <w:r>
        <w:rPr/>
        <w:t>clause</w:t>
      </w:r>
      <w:r>
        <w:rPr>
          <w:spacing w:val="-3"/>
        </w:rPr>
        <w:t> </w:t>
      </w:r>
      <w:r>
        <w:rPr/>
        <w:t>is</w:t>
      </w:r>
      <w:r>
        <w:rPr>
          <w:spacing w:val="-3"/>
        </w:rPr>
        <w:t> </w:t>
      </w:r>
      <w:r>
        <w:rPr/>
        <w:t>often</w:t>
      </w:r>
      <w:r>
        <w:rPr>
          <w:spacing w:val="-3"/>
        </w:rPr>
        <w:t> </w:t>
      </w:r>
      <w:r>
        <w:rPr/>
        <w:t>found</w:t>
      </w:r>
      <w:r>
        <w:rPr>
          <w:spacing w:val="-3"/>
        </w:rPr>
        <w:t> </w:t>
      </w:r>
      <w:r>
        <w:rPr/>
        <w:t>in</w:t>
      </w:r>
      <w:r>
        <w:rPr>
          <w:spacing w:val="-3"/>
        </w:rPr>
        <w:t> </w:t>
      </w:r>
      <w:r>
        <w:rPr/>
        <w:t>contracts</w:t>
      </w:r>
      <w:r>
        <w:rPr>
          <w:spacing w:val="-3"/>
        </w:rPr>
        <w:t> </w:t>
      </w:r>
      <w:r>
        <w:rPr/>
        <w:t>providing</w:t>
      </w:r>
      <w:r>
        <w:rPr>
          <w:spacing w:val="-3"/>
        </w:rPr>
        <w:t> </w:t>
      </w:r>
      <w:r>
        <w:rPr/>
        <w:t>for</w:t>
      </w:r>
      <w:r>
        <w:rPr>
          <w:spacing w:val="-3"/>
        </w:rPr>
        <w:t> </w:t>
      </w:r>
      <w:r>
        <w:rPr/>
        <w:t>payment</w:t>
      </w:r>
      <w:r>
        <w:rPr>
          <w:spacing w:val="-3"/>
        </w:rPr>
        <w:t> </w:t>
      </w:r>
      <w:r>
        <w:rPr/>
        <w:t>by</w:t>
      </w:r>
      <w:r>
        <w:rPr>
          <w:spacing w:val="-3"/>
        </w:rPr>
        <w:t> </w:t>
      </w:r>
      <w:r>
        <w:rPr/>
        <w:t>instalments:</w:t>
      </w:r>
      <w:r>
        <w:rPr>
          <w:spacing w:val="-3"/>
        </w:rPr>
        <w:t> </w:t>
      </w:r>
      <w:r>
        <w:rPr/>
        <w:t>on</w:t>
      </w:r>
      <w:r>
        <w:rPr>
          <w:spacing w:val="-3"/>
        </w:rPr>
        <w:t> </w:t>
      </w:r>
      <w:r>
        <w:rPr/>
        <w:t>default in paying one instalment, all future instalments become immediately payable as one sum. Although </w:t>
      </w:r>
      <w:bookmarkStart w:name="_bookmark2303" w:id="2305"/>
      <w:bookmarkEnd w:id="2305"/>
      <w:r>
        <w:rPr/>
        <w:t>the</w:t>
      </w:r>
      <w:r>
        <w:rPr>
          <w:spacing w:val="48"/>
        </w:rPr>
        <w:t> </w:t>
      </w:r>
      <w:r>
        <w:rPr/>
        <w:t>operation</w:t>
      </w:r>
      <w:r>
        <w:rPr>
          <w:spacing w:val="50"/>
        </w:rPr>
        <w:t> </w:t>
      </w:r>
      <w:r>
        <w:rPr/>
        <w:t>of</w:t>
      </w:r>
      <w:r>
        <w:rPr>
          <w:spacing w:val="50"/>
        </w:rPr>
        <w:t> </w:t>
      </w:r>
      <w:r>
        <w:rPr/>
        <w:t>these</w:t>
      </w:r>
      <w:r>
        <w:rPr>
          <w:spacing w:val="50"/>
        </w:rPr>
        <w:t> </w:t>
      </w:r>
      <w:r>
        <w:rPr/>
        <w:t>clauses</w:t>
      </w:r>
      <w:r>
        <w:rPr>
          <w:spacing w:val="50"/>
        </w:rPr>
        <w:t> </w:t>
      </w:r>
      <w:r>
        <w:rPr/>
        <w:t>produces</w:t>
      </w:r>
      <w:r>
        <w:rPr>
          <w:spacing w:val="50"/>
        </w:rPr>
        <w:t> </w:t>
      </w:r>
      <w:r>
        <w:rPr/>
        <w:t>results</w:t>
      </w:r>
      <w:r>
        <w:rPr>
          <w:spacing w:val="50"/>
        </w:rPr>
        <w:t> </w:t>
      </w:r>
      <w:r>
        <w:rPr/>
        <w:t>which</w:t>
      </w:r>
      <w:r>
        <w:rPr>
          <w:spacing w:val="50"/>
        </w:rPr>
        <w:t> </w:t>
      </w:r>
      <w:r>
        <w:rPr/>
        <w:t>may</w:t>
      </w:r>
      <w:r>
        <w:rPr>
          <w:spacing w:val="50"/>
        </w:rPr>
        <w:t> </w:t>
      </w:r>
      <w:r>
        <w:rPr/>
        <w:t>be</w:t>
      </w:r>
      <w:r>
        <w:rPr>
          <w:spacing w:val="50"/>
        </w:rPr>
        <w:t> </w:t>
      </w:r>
      <w:r>
        <w:rPr/>
        <w:t>“penal”,</w:t>
      </w:r>
      <w:r>
        <w:rPr>
          <w:spacing w:val="50"/>
        </w:rPr>
        <w:t> </w:t>
      </w:r>
      <w:r>
        <w:rPr/>
        <w:t>the</w:t>
      </w:r>
      <w:r>
        <w:rPr>
          <w:spacing w:val="50"/>
        </w:rPr>
        <w:t> </w:t>
      </w:r>
      <w:r>
        <w:rPr/>
        <w:t>courts</w:t>
      </w:r>
      <w:r>
        <w:rPr>
          <w:spacing w:val="50"/>
        </w:rPr>
        <w:t> </w:t>
      </w:r>
      <w:r>
        <w:rPr/>
        <w:t>have</w:t>
      </w:r>
      <w:r>
        <w:rPr>
          <w:spacing w:val="50"/>
        </w:rPr>
        <w:t> </w:t>
      </w:r>
      <w:r>
        <w:rPr>
          <w:spacing w:val="-2"/>
        </w:rPr>
        <w:t>usually</w:t>
      </w:r>
    </w:p>
    <w:p>
      <w:pPr>
        <w:pStyle w:val="BodyText"/>
        <w:spacing w:line="235" w:lineRule="auto" w:before="119"/>
        <w:ind w:left="165" w:right="167"/>
        <w:jc w:val="both"/>
      </w:pPr>
      <w:r>
        <w:rPr/>
        <w:t>enforced</w:t>
      </w:r>
      <w:r>
        <w:rPr>
          <w:spacing w:val="-3"/>
        </w:rPr>
        <w:t> </w:t>
      </w:r>
      <w:r>
        <w:rPr/>
        <w:t>them</w:t>
      </w:r>
      <w:r>
        <w:rPr>
          <w:spacing w:val="-3"/>
        </w:rPr>
        <w:t> </w:t>
      </w:r>
      <w:r>
        <w:rPr/>
        <w:t>on</w:t>
      </w:r>
      <w:r>
        <w:rPr>
          <w:spacing w:val="-3"/>
        </w:rPr>
        <w:t> </w:t>
      </w:r>
      <w:r>
        <w:rPr/>
        <w:t>the</w:t>
      </w:r>
      <w:r>
        <w:rPr>
          <w:spacing w:val="-3"/>
        </w:rPr>
        <w:t> </w:t>
      </w:r>
      <w:r>
        <w:rPr/>
        <w:t>ground</w:t>
      </w:r>
      <w:r>
        <w:rPr>
          <w:spacing w:val="-3"/>
        </w:rPr>
        <w:t> </w:t>
      </w:r>
      <w:r>
        <w:rPr/>
        <w:t>that</w:t>
      </w:r>
      <w:r>
        <w:rPr>
          <w:spacing w:val="-3"/>
        </w:rPr>
        <w:t> </w:t>
      </w:r>
      <w:r>
        <w:rPr/>
        <w:t>they</w:t>
      </w:r>
      <w:r>
        <w:rPr>
          <w:spacing w:val="-3"/>
        </w:rPr>
        <w:t> </w:t>
      </w:r>
      <w:r>
        <w:rPr/>
        <w:t>do</w:t>
      </w:r>
      <w:r>
        <w:rPr>
          <w:spacing w:val="-3"/>
        </w:rPr>
        <w:t> </w:t>
      </w:r>
      <w:r>
        <w:rPr/>
        <w:t>not</w:t>
      </w:r>
      <w:r>
        <w:rPr>
          <w:spacing w:val="-3"/>
        </w:rPr>
        <w:t> </w:t>
      </w:r>
      <w:r>
        <w:rPr/>
        <w:t>increase</w:t>
      </w:r>
      <w:r>
        <w:rPr>
          <w:spacing w:val="-3"/>
        </w:rPr>
        <w:t> </w:t>
      </w:r>
      <w:r>
        <w:rPr/>
        <w:t>the</w:t>
      </w:r>
      <w:r>
        <w:rPr>
          <w:spacing w:val="-3"/>
        </w:rPr>
        <w:t> </w:t>
      </w:r>
      <w:r>
        <w:rPr/>
        <w:t>contractbreaker’s</w:t>
      </w:r>
      <w:r>
        <w:rPr>
          <w:spacing w:val="-3"/>
        </w:rPr>
        <w:t> </w:t>
      </w:r>
      <w:r>
        <w:rPr/>
        <w:t>overall</w:t>
      </w:r>
      <w:r>
        <w:rPr>
          <w:spacing w:val="-3"/>
        </w:rPr>
        <w:t> </w:t>
      </w:r>
      <w:r>
        <w:rPr/>
        <w:t>obligation.</w:t>
      </w:r>
      <w:r>
        <w:rPr>
          <w:spacing w:val="-4"/>
        </w:rPr>
        <w:t> </w:t>
      </w:r>
      <w:hyperlink w:history="true" w:anchor="_bookmark2319">
        <w:r>
          <w:rPr>
            <w:color w:val="005DA1"/>
            <w:u w:val="single" w:color="005DA1"/>
            <w:vertAlign w:val="superscript"/>
          </w:rPr>
          <w:t>1213</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928" name="Image 928"/>
              <wp:cNvGraphicFramePr>
                <a:graphicFrameLocks/>
              </wp:cNvGraphicFramePr>
              <a:graphic>
                <a:graphicData uri="http://schemas.openxmlformats.org/drawingml/2006/picture">
                  <pic:pic>
                    <pic:nvPicPr>
                      <pic:cNvPr id="928" name="Image 9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position w:val="-2"/>
            <w:vertAlign w:val="baseline"/>
          </w:rPr>
          <w:t> </w:t>
        </w:r>
        <w:r>
          <w:rPr>
            <w:vertAlign w:val="baseline"/>
          </w:rPr>
          <w:t>The Court of Appeal has held that it is not a penalty for an acceleration clause in a contract of loan to </w:t>
        </w:r>
        <w:bookmarkStart w:name="_bookmark2304" w:id="2306"/>
        <w:bookmarkEnd w:id="2306"/>
        <w:r>
          <w:rPr>
            <w:vertAlign w:val="baseline"/>
          </w:rPr>
          <w:t>provide</w:t>
        </w:r>
        <w:r>
          <w:rPr>
            <w:spacing w:val="54"/>
            <w:vertAlign w:val="baseline"/>
          </w:rPr>
          <w:t> </w:t>
        </w:r>
        <w:r>
          <w:rPr>
            <w:vertAlign w:val="baseline"/>
          </w:rPr>
          <w:t>that,</w:t>
        </w:r>
        <w:r>
          <w:rPr>
            <w:spacing w:val="54"/>
            <w:vertAlign w:val="baseline"/>
          </w:rPr>
          <w:t> </w:t>
        </w:r>
        <w:r>
          <w:rPr>
            <w:vertAlign w:val="baseline"/>
          </w:rPr>
          <w:t>upon</w:t>
        </w:r>
        <w:r>
          <w:rPr>
            <w:spacing w:val="54"/>
            <w:vertAlign w:val="baseline"/>
          </w:rPr>
          <w:t> </w:t>
        </w:r>
        <w:r>
          <w:rPr>
            <w:vertAlign w:val="baseline"/>
          </w:rPr>
          <w:t>failure</w:t>
        </w:r>
        <w:r>
          <w:rPr>
            <w:spacing w:val="54"/>
            <w:vertAlign w:val="baseline"/>
          </w:rPr>
          <w:t> </w:t>
        </w:r>
        <w:r>
          <w:rPr>
            <w:vertAlign w:val="baseline"/>
          </w:rPr>
          <w:t>to</w:t>
        </w:r>
        <w:r>
          <w:rPr>
            <w:spacing w:val="54"/>
            <w:vertAlign w:val="baseline"/>
          </w:rPr>
          <w:t> </w:t>
        </w:r>
        <w:r>
          <w:rPr>
            <w:vertAlign w:val="baseline"/>
          </w:rPr>
          <w:t>pay</w:t>
        </w:r>
        <w:r>
          <w:rPr>
            <w:spacing w:val="54"/>
            <w:vertAlign w:val="baseline"/>
          </w:rPr>
          <w:t> </w:t>
        </w:r>
        <w:r>
          <w:rPr>
            <w:vertAlign w:val="baseline"/>
          </w:rPr>
          <w:t>an</w:t>
        </w:r>
        <w:r>
          <w:rPr>
            <w:spacing w:val="54"/>
            <w:vertAlign w:val="baseline"/>
          </w:rPr>
          <w:t> </w:t>
        </w:r>
        <w:r>
          <w:rPr>
            <w:vertAlign w:val="baseline"/>
          </w:rPr>
          <w:t>agreed</w:t>
        </w:r>
        <w:r>
          <w:rPr>
            <w:spacing w:val="54"/>
            <w:vertAlign w:val="baseline"/>
          </w:rPr>
          <w:t> </w:t>
        </w:r>
        <w:r>
          <w:rPr>
            <w:vertAlign w:val="baseline"/>
          </w:rPr>
          <w:t>instalment,</w:t>
        </w:r>
        <w:r>
          <w:rPr>
            <w:spacing w:val="54"/>
            <w:vertAlign w:val="baseline"/>
          </w:rPr>
          <w:t> </w:t>
        </w:r>
        <w:r>
          <w:rPr>
            <w:vertAlign w:val="baseline"/>
          </w:rPr>
          <w:t>the</w:t>
        </w:r>
        <w:r>
          <w:rPr>
            <w:spacing w:val="54"/>
            <w:vertAlign w:val="baseline"/>
          </w:rPr>
          <w:t> </w:t>
        </w:r>
        <w:r>
          <w:rPr>
            <w:vertAlign w:val="baseline"/>
          </w:rPr>
          <w:t>whole</w:t>
        </w:r>
        <w:r>
          <w:rPr>
            <w:spacing w:val="54"/>
            <w:vertAlign w:val="baseline"/>
          </w:rPr>
          <w:t> </w:t>
        </w:r>
        <w:r>
          <w:rPr>
            <w:vertAlign w:val="baseline"/>
          </w:rPr>
          <w:t>capital</w:t>
        </w:r>
        <w:r>
          <w:rPr>
            <w:spacing w:val="54"/>
            <w:vertAlign w:val="baseline"/>
          </w:rPr>
          <w:t> </w:t>
        </w:r>
        <w:r>
          <w:rPr>
            <w:vertAlign w:val="baseline"/>
          </w:rPr>
          <w:t>of</w:t>
        </w:r>
        <w:r>
          <w:rPr>
            <w:spacing w:val="54"/>
            <w:vertAlign w:val="baseline"/>
          </w:rPr>
          <w:t> </w:t>
        </w:r>
        <w:r>
          <w:rPr>
            <w:vertAlign w:val="baseline"/>
          </w:rPr>
          <w:t>the</w:t>
        </w:r>
        <w:r>
          <w:rPr>
            <w:spacing w:val="54"/>
            <w:vertAlign w:val="baseline"/>
          </w:rPr>
          <w:t> </w:t>
        </w:r>
        <w:r>
          <w:rPr>
            <w:vertAlign w:val="baseline"/>
          </w:rPr>
          <w:t>loan</w:t>
        </w:r>
        <w:r>
          <w:rPr>
            <w:spacing w:val="54"/>
            <w:vertAlign w:val="baseline"/>
          </w:rPr>
          <w:t> </w:t>
        </w:r>
        <w:r>
          <w:rPr>
            <w:spacing w:val="-2"/>
            <w:vertAlign w:val="baseline"/>
          </w:rPr>
          <w:t>becomes</w:t>
        </w:r>
      </w:hyperlink>
    </w:p>
    <w:p>
      <w:pPr>
        <w:pStyle w:val="BodyText"/>
        <w:spacing w:line="360" w:lineRule="auto" w:before="115"/>
        <w:ind w:left="165" w:right="167"/>
        <w:jc w:val="both"/>
        <w:rPr>
          <w:position w:val="-2"/>
        </w:rPr>
      </w:pPr>
      <w:bookmarkStart w:name="_bookmark2305" w:id="2307"/>
      <w:bookmarkEnd w:id="2307"/>
      <w:r>
        <w:rPr/>
      </w:r>
      <w:r>
        <w:rPr/>
        <w:t>immediately due and repayable. </w:t>
      </w:r>
      <w:hyperlink w:history="true" w:anchor="_bookmark2320">
        <w:r>
          <w:rPr>
            <w:color w:val="005DA1"/>
            <w:u w:val="single" w:color="005DA1"/>
            <w:vertAlign w:val="superscript"/>
          </w:rPr>
          <w:t>1214</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929" name="Image 929"/>
              <wp:cNvGraphicFramePr>
                <a:graphicFrameLocks/>
              </wp:cNvGraphicFramePr>
              <a:graphic>
                <a:graphicData uri="http://schemas.openxmlformats.org/drawingml/2006/picture">
                  <pic:pic>
                    <pic:nvPicPr>
                      <pic:cNvPr id="929" name="Image 9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28"/>
            <w:vertAlign w:val="baseline"/>
          </w:rPr>
          <w:t> </w:t>
        </w:r>
        <w:r>
          <w:rPr>
            <w:vertAlign w:val="baseline"/>
          </w:rPr>
          <w:t>But it might be held to be a penalty if it provided that, </w:t>
        </w:r>
        <w:r>
          <w:rPr>
            <w:vertAlign w:val="baseline"/>
          </w:rPr>
          <w:t>upon such failure, future interest (viz on payments not yet due) should be payable immediately. </w:t>
        </w:r>
        <w:hyperlink w:history="true" w:anchor="_bookmark2321">
          <w:r>
            <w:rPr>
              <w:color w:val="005DA1"/>
              <w:u w:val="single" w:color="005DA1"/>
              <w:vertAlign w:val="superscript"/>
            </w:rPr>
            <w:t>1215</w:t>
          </w:r>
          <w:r>
            <w:rPr>
              <w:color w:val="005DA1"/>
              <w:spacing w:val="80"/>
              <w:vertAlign w:val="baseline"/>
            </w:rPr>
            <w:t> </w:t>
          </w:r>
          <w:r>
            <w:rPr>
              <w:color w:val="005DA1"/>
              <w:position w:val="-2"/>
              <w:vertAlign w:val="baseline"/>
            </w:rPr>
            <w:drawing>
              <wp:inline distT="0" distB="0" distL="0" distR="0">
                <wp:extent cx="107988" cy="107988"/>
                <wp:effectExtent l="0" t="0" r="0" b="0"/>
                <wp:docPr id="930" name="Image 930"/>
                <wp:cNvGraphicFramePr>
                  <a:graphicFrameLocks/>
                </wp:cNvGraphicFramePr>
                <a:graphic>
                  <a:graphicData uri="http://schemas.openxmlformats.org/drawingml/2006/picture">
                    <pic:pic>
                      <pic:nvPicPr>
                        <pic:cNvPr id="930" name="Image 9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0"/>
        <w:ind w:left="165" w:right="0" w:firstLine="0"/>
        <w:jc w:val="left"/>
        <w:rPr>
          <w:rFonts w:ascii="Arial"/>
          <w:b/>
          <w:sz w:val="18"/>
        </w:rPr>
      </w:pPr>
      <w:r>
        <w:rPr>
          <w:rFonts w:ascii="Arial"/>
          <w:b/>
          <w:sz w:val="18"/>
        </w:rPr>
        <w:t>Termination for breach of </w:t>
      </w:r>
      <w:r>
        <w:rPr>
          <w:rFonts w:ascii="Arial"/>
          <w:b/>
          <w:spacing w:val="-2"/>
          <w:sz w:val="18"/>
        </w:rPr>
        <w:t>condition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216B</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31" name="Image 931"/>
            <wp:cNvGraphicFramePr>
              <a:graphicFrameLocks/>
            </wp:cNvGraphicFramePr>
            <a:graphic>
              <a:graphicData uri="http://schemas.openxmlformats.org/drawingml/2006/picture">
                <pic:pic>
                  <pic:nvPicPr>
                    <pic:cNvPr id="931" name="Image 9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306" w:id="2308"/>
      <w:bookmarkEnd w:id="2308"/>
      <w:r>
        <w:rPr>
          <w:rFonts w:ascii="Times New Roman" w:hAnsi="Times New Roman"/>
          <w:spacing w:val="-24"/>
        </w:rPr>
      </w:r>
      <w:r>
        <w:rPr/>
        <w:t>As explained earlier, </w:t>
      </w:r>
      <w:hyperlink w:history="true" w:anchor="_bookmark2322">
        <w:r>
          <w:rPr>
            <w:color w:val="005DA1"/>
            <w:u w:val="single" w:color="005DA1"/>
            <w:vertAlign w:val="superscript"/>
          </w:rPr>
          <w:t>1216</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932" name="Image 932"/>
              <wp:cNvGraphicFramePr>
                <a:graphicFrameLocks/>
              </wp:cNvGraphicFramePr>
              <a:graphic>
                <a:graphicData uri="http://schemas.openxmlformats.org/drawingml/2006/picture">
                  <pic:pic>
                    <pic:nvPicPr>
                      <pic:cNvPr id="932" name="Image 9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7"/>
            <w:vertAlign w:val="baseline"/>
          </w:rPr>
          <w:t> </w:t>
        </w:r>
        <w:r>
          <w:rPr>
            <w:vertAlign w:val="baseline"/>
          </w:rPr>
          <w:t>where the hirer has neither repudiated the hiring (or hire-purchase) agreement, nor committed a “fundamental breach” of it, but the owner terminates it in the exercise </w:t>
        </w:r>
        <w:r>
          <w:rPr>
            <w:vertAlign w:val="baseline"/>
          </w:rPr>
          <w:t>of </w:t>
        </w:r>
        <w:bookmarkStart w:name="_bookmark2307" w:id="2309"/>
        <w:bookmarkEnd w:id="2309"/>
        <w:r>
          <w:rPr>
            <w:vertAlign w:val="baseline"/>
          </w:rPr>
          <w:t>an</w:t>
        </w:r>
        <w:r>
          <w:rPr>
            <w:spacing w:val="32"/>
            <w:vertAlign w:val="baseline"/>
          </w:rPr>
          <w:t> </w:t>
        </w:r>
        <w:r>
          <w:rPr>
            <w:vertAlign w:val="baseline"/>
          </w:rPr>
          <w:t>express</w:t>
        </w:r>
        <w:r>
          <w:rPr>
            <w:spacing w:val="32"/>
            <w:vertAlign w:val="baseline"/>
          </w:rPr>
          <w:t> </w:t>
        </w:r>
        <w:r>
          <w:rPr>
            <w:vertAlign w:val="baseline"/>
          </w:rPr>
          <w:t>power</w:t>
        </w:r>
        <w:r>
          <w:rPr>
            <w:spacing w:val="32"/>
            <w:vertAlign w:val="baseline"/>
          </w:rPr>
          <w:t> </w:t>
        </w:r>
        <w:r>
          <w:rPr>
            <w:vertAlign w:val="baseline"/>
          </w:rPr>
          <w:t>to</w:t>
        </w:r>
        <w:r>
          <w:rPr>
            <w:spacing w:val="32"/>
            <w:vertAlign w:val="baseline"/>
          </w:rPr>
          <w:t> </w:t>
        </w:r>
        <w:r>
          <w:rPr>
            <w:vertAlign w:val="baseline"/>
          </w:rPr>
          <w:t>do</w:t>
        </w:r>
        <w:r>
          <w:rPr>
            <w:spacing w:val="32"/>
            <w:vertAlign w:val="baseline"/>
          </w:rPr>
          <w:t> </w:t>
        </w:r>
        <w:r>
          <w:rPr>
            <w:vertAlign w:val="baseline"/>
          </w:rPr>
          <w:t>so</w:t>
        </w:r>
        <w:r>
          <w:rPr>
            <w:spacing w:val="32"/>
            <w:vertAlign w:val="baseline"/>
          </w:rPr>
          <w:t> </w:t>
        </w:r>
        <w:r>
          <w:rPr>
            <w:vertAlign w:val="baseline"/>
          </w:rPr>
          <w:t>conferred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agreement,</w:t>
        </w:r>
        <w:r>
          <w:rPr>
            <w:spacing w:val="32"/>
            <w:vertAlign w:val="baseline"/>
          </w:rPr>
          <w:t> </w:t>
        </w:r>
        <w:r>
          <w:rPr>
            <w:vertAlign w:val="baseline"/>
          </w:rPr>
          <w:t>the</w:t>
        </w:r>
        <w:r>
          <w:rPr>
            <w:spacing w:val="32"/>
            <w:vertAlign w:val="baseline"/>
          </w:rPr>
          <w:t> </w:t>
        </w:r>
        <w:r>
          <w:rPr>
            <w:vertAlign w:val="baseline"/>
          </w:rPr>
          <w:t>owner’s</w:t>
        </w:r>
        <w:r>
          <w:rPr>
            <w:spacing w:val="32"/>
            <w:vertAlign w:val="baseline"/>
          </w:rPr>
          <w:t> </w:t>
        </w:r>
        <w:r>
          <w:rPr>
            <w:vertAlign w:val="baseline"/>
          </w:rPr>
          <w:t>damages</w:t>
        </w:r>
        <w:r>
          <w:rPr>
            <w:spacing w:val="32"/>
            <w:vertAlign w:val="baseline"/>
          </w:rPr>
          <w:t> </w:t>
        </w:r>
        <w:r>
          <w:rPr>
            <w:vertAlign w:val="baseline"/>
          </w:rPr>
          <w:t>are</w:t>
        </w:r>
        <w:r>
          <w:rPr>
            <w:spacing w:val="32"/>
            <w:vertAlign w:val="baseline"/>
          </w:rPr>
          <w:t> </w:t>
        </w:r>
        <w:r>
          <w:rPr>
            <w:vertAlign w:val="baseline"/>
          </w:rPr>
          <w:t>limited</w:t>
        </w:r>
        <w:r>
          <w:rPr>
            <w:spacing w:val="32"/>
            <w:vertAlign w:val="baseline"/>
          </w:rPr>
          <w:t> </w:t>
        </w:r>
        <w:r>
          <w:rPr>
            <w:vertAlign w:val="baseline"/>
          </w:rPr>
          <w:t>to</w:t>
        </w:r>
        <w:r>
          <w:rPr>
            <w:spacing w:val="32"/>
            <w:vertAlign w:val="baseline"/>
          </w:rPr>
          <w:t> </w:t>
        </w:r>
        <w:r>
          <w:rPr>
            <w:spacing w:val="-4"/>
            <w:vertAlign w:val="baseline"/>
          </w:rPr>
          <w:t>loss</w:t>
        </w:r>
      </w:hyperlink>
    </w:p>
    <w:p>
      <w:pPr>
        <w:pStyle w:val="BodyText"/>
        <w:spacing w:line="235" w:lineRule="auto" w:before="119"/>
        <w:ind w:left="165" w:right="167"/>
        <w:jc w:val="both"/>
      </w:pPr>
      <w:r>
        <w:rPr/>
        <w:t>suffered through any breaches up to the date of the termination. </w:t>
      </w:r>
      <w:r>
        <w:rPr>
          <w:color w:val="005DA1"/>
          <w:u w:val="single" w:color="005DA1"/>
          <w:vertAlign w:val="superscript"/>
        </w:rPr>
        <w:t>1217</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933" name="Image 933"/>
            <wp:cNvGraphicFramePr>
              <a:graphicFrameLocks/>
            </wp:cNvGraphicFramePr>
            <a:graphic>
              <a:graphicData uri="http://schemas.openxmlformats.org/drawingml/2006/picture">
                <pic:pic>
                  <pic:nvPicPr>
                    <pic:cNvPr id="933" name="Image 9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30"/>
          <w:vertAlign w:val="baseline"/>
        </w:rPr>
        <w:t> </w:t>
      </w:r>
      <w:r>
        <w:rPr>
          <w:vertAlign w:val="baseline"/>
        </w:rPr>
        <w:t>It was noted, however, </w:t>
      </w:r>
      <w:r>
        <w:rPr>
          <w:vertAlign w:val="baseline"/>
        </w:rPr>
        <w:t>that this</w:t>
      </w:r>
      <w:r>
        <w:rPr>
          <w:spacing w:val="6"/>
          <w:vertAlign w:val="baseline"/>
        </w:rPr>
        <w:t> </w:t>
      </w:r>
      <w:r>
        <w:rPr>
          <w:vertAlign w:val="baseline"/>
        </w:rPr>
        <w:t>principle</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apply</w:t>
      </w:r>
      <w:r>
        <w:rPr>
          <w:spacing w:val="6"/>
          <w:vertAlign w:val="baseline"/>
        </w:rPr>
        <w:t> </w:t>
      </w:r>
      <w:r>
        <w:rPr>
          <w:vertAlign w:val="baseline"/>
        </w:rPr>
        <w:t>where</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made</w:t>
      </w:r>
      <w:r>
        <w:rPr>
          <w:spacing w:val="6"/>
          <w:vertAlign w:val="baseline"/>
        </w:rPr>
        <w:t> </w:t>
      </w:r>
      <w:r>
        <w:rPr>
          <w:vertAlign w:val="baseline"/>
        </w:rPr>
        <w:t>the</w:t>
      </w:r>
      <w:r>
        <w:rPr>
          <w:spacing w:val="6"/>
          <w:vertAlign w:val="baseline"/>
        </w:rPr>
        <w:t> </w:t>
      </w:r>
      <w:r>
        <w:rPr>
          <w:vertAlign w:val="baseline"/>
        </w:rPr>
        <w:t>broken</w:t>
      </w:r>
      <w:r>
        <w:rPr>
          <w:spacing w:val="6"/>
          <w:vertAlign w:val="baseline"/>
        </w:rPr>
        <w:t> </w:t>
      </w:r>
      <w:r>
        <w:rPr>
          <w:vertAlign w:val="baseline"/>
        </w:rPr>
        <w:t>term</w:t>
      </w:r>
      <w:r>
        <w:rPr>
          <w:spacing w:val="6"/>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condition,</w:t>
      </w:r>
      <w:r>
        <w:rPr>
          <w:spacing w:val="6"/>
          <w:vertAlign w:val="baseline"/>
        </w:rPr>
        <w:t> </w:t>
      </w:r>
      <w:r>
        <w:rPr>
          <w:vertAlign w:val="baseline"/>
        </w:rPr>
        <w:t>any</w:t>
      </w:r>
      <w:r>
        <w:rPr>
          <w:spacing w:val="6"/>
          <w:vertAlign w:val="baseline"/>
        </w:rPr>
        <w:t> </w:t>
      </w:r>
      <w:r>
        <w:rPr>
          <w:vertAlign w:val="baseline"/>
        </w:rPr>
        <w:t>breach</w:t>
      </w:r>
      <w:r>
        <w:rPr>
          <w:spacing w:val="6"/>
          <w:vertAlign w:val="baseline"/>
        </w:rPr>
        <w:t> </w:t>
      </w:r>
      <w:r>
        <w:rPr>
          <w:spacing w:val="-5"/>
          <w:vertAlign w:val="baseline"/>
        </w:rPr>
        <w:t>of</w:t>
      </w:r>
    </w:p>
    <w:p>
      <w:pPr>
        <w:pStyle w:val="BodyText"/>
        <w:spacing w:after="0" w:line="235" w:lineRule="auto"/>
        <w:jc w:val="both"/>
        <w:sectPr>
          <w:headerReference w:type="default" r:id="rId53"/>
          <w:pgSz w:w="11900" w:h="16840"/>
          <w:pgMar w:header="971" w:footer="0" w:top="1300" w:bottom="280" w:left="1275" w:right="1275"/>
          <w:pgNumType w:start="1"/>
        </w:sectPr>
      </w:pPr>
    </w:p>
    <w:p>
      <w:pPr>
        <w:pStyle w:val="BodyText"/>
        <w:spacing w:before="106"/>
        <w:ind w:right="167"/>
        <w:jc w:val="right"/>
      </w:pPr>
      <w:bookmarkStart w:name="_bookmark2308" w:id="2310"/>
      <w:bookmarkEnd w:id="2310"/>
      <w:r>
        <w:rPr/>
      </w:r>
      <w:r>
        <w:rPr/>
        <w:t>which</w:t>
      </w:r>
      <w:r>
        <w:rPr>
          <w:spacing w:val="36"/>
        </w:rPr>
        <w:t> </w:t>
      </w:r>
      <w:r>
        <w:rPr/>
        <w:t>entitled</w:t>
      </w:r>
      <w:r>
        <w:rPr>
          <w:spacing w:val="36"/>
        </w:rPr>
        <w:t> </w:t>
      </w:r>
      <w:r>
        <w:rPr/>
        <w:t>the</w:t>
      </w:r>
      <w:r>
        <w:rPr>
          <w:spacing w:val="36"/>
        </w:rPr>
        <w:t> </w:t>
      </w:r>
      <w:r>
        <w:rPr/>
        <w:t>innocent</w:t>
      </w:r>
      <w:r>
        <w:rPr>
          <w:spacing w:val="36"/>
        </w:rPr>
        <w:t> </w:t>
      </w:r>
      <w:r>
        <w:rPr/>
        <w:t>party</w:t>
      </w:r>
      <w:r>
        <w:rPr>
          <w:spacing w:val="36"/>
        </w:rPr>
        <w:t> </w:t>
      </w:r>
      <w:r>
        <w:rPr/>
        <w:t>to</w:t>
      </w:r>
      <w:r>
        <w:rPr>
          <w:spacing w:val="36"/>
        </w:rPr>
        <w:t> </w:t>
      </w:r>
      <w:r>
        <w:rPr/>
        <w:t>terminate</w:t>
      </w:r>
      <w:r>
        <w:rPr>
          <w:spacing w:val="36"/>
        </w:rPr>
        <w:t> </w:t>
      </w:r>
      <w:r>
        <w:rPr/>
        <w:t>(e.g.</w:t>
      </w:r>
      <w:r>
        <w:rPr>
          <w:spacing w:val="36"/>
        </w:rPr>
        <w:t> </w:t>
      </w:r>
      <w:r>
        <w:rPr/>
        <w:t>a</w:t>
      </w:r>
      <w:r>
        <w:rPr>
          <w:spacing w:val="36"/>
        </w:rPr>
        <w:t> </w:t>
      </w:r>
      <w:r>
        <w:rPr/>
        <w:t>clause</w:t>
      </w:r>
      <w:r>
        <w:rPr>
          <w:spacing w:val="36"/>
        </w:rPr>
        <w:t> </w:t>
      </w:r>
      <w:r>
        <w:rPr/>
        <w:t>making</w:t>
      </w:r>
      <w:r>
        <w:rPr>
          <w:spacing w:val="36"/>
        </w:rPr>
        <w:t> </w:t>
      </w:r>
      <w:r>
        <w:rPr/>
        <w:t>compliance</w:t>
      </w:r>
      <w:r>
        <w:rPr>
          <w:spacing w:val="36"/>
        </w:rPr>
        <w:t> </w:t>
      </w:r>
      <w:r>
        <w:rPr/>
        <w:t>with</w:t>
      </w:r>
      <w:r>
        <w:rPr>
          <w:spacing w:val="36"/>
        </w:rPr>
        <w:t> </w:t>
      </w:r>
      <w:r>
        <w:rPr/>
        <w:t>time</w:t>
      </w:r>
      <w:r>
        <w:rPr>
          <w:spacing w:val="36"/>
        </w:rPr>
        <w:t> </w:t>
      </w:r>
      <w:r>
        <w:rPr/>
        <w:t>“of</w:t>
      </w:r>
      <w:r>
        <w:rPr>
          <w:spacing w:val="36"/>
        </w:rPr>
        <w:t> </w:t>
      </w:r>
      <w:r>
        <w:rPr>
          <w:spacing w:val="-5"/>
        </w:rPr>
        <w:t>the</w:t>
      </w:r>
    </w:p>
    <w:p>
      <w:pPr>
        <w:pStyle w:val="BodyText"/>
        <w:spacing w:line="235" w:lineRule="auto" w:before="119"/>
        <w:ind w:left="165" w:right="167"/>
        <w:jc w:val="both"/>
      </w:pPr>
      <w:r>
        <w:rPr/>
        <w:t>essence” </w:t>
      </w:r>
      <w:hyperlink w:history="true" w:anchor="_bookmark2323">
        <w:r>
          <w:rPr>
            <w:color w:val="005DA1"/>
            <w:u w:val="single" w:color="005DA1"/>
            <w:vertAlign w:val="superscript"/>
          </w:rPr>
          <w:t>1218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934" name="Image 934"/>
              <wp:cNvGraphicFramePr>
                <a:graphicFrameLocks/>
              </wp:cNvGraphicFramePr>
              <a:graphic>
                <a:graphicData uri="http://schemas.openxmlformats.org/drawingml/2006/picture">
                  <pic:pic>
                    <pic:nvPicPr>
                      <pic:cNvPr id="934" name="Image 9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vertAlign w:val="baseline"/>
          </w:rPr>
          <w:t>). In this case the innocent party may both terminate the contract and </w:t>
        </w:r>
        <w:r>
          <w:rPr>
            <w:vertAlign w:val="baseline"/>
          </w:rPr>
          <w:t>recover </w:t>
        </w:r>
        <w:bookmarkStart w:name="_bookmark2309" w:id="2311"/>
        <w:bookmarkEnd w:id="2311"/>
        <w:r>
          <w:rPr>
            <w:vertAlign w:val="baseline"/>
          </w:rPr>
          <w:t>damages</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loss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bargain</w:t>
        </w:r>
        <w:r>
          <w:rPr>
            <w:spacing w:val="35"/>
            <w:vertAlign w:val="baseline"/>
          </w:rPr>
          <w:t> </w:t>
        </w:r>
        <w:r>
          <w:rPr>
            <w:vertAlign w:val="baseline"/>
          </w:rPr>
          <w:t>(viz</w:t>
        </w:r>
        <w:r>
          <w:rPr>
            <w:spacing w:val="35"/>
            <w:vertAlign w:val="baseline"/>
          </w:rPr>
          <w:t> </w:t>
        </w:r>
        <w:r>
          <w:rPr>
            <w:vertAlign w:val="baseline"/>
          </w:rPr>
          <w:t>in</w:t>
        </w:r>
        <w:r>
          <w:rPr>
            <w:spacing w:val="35"/>
            <w:vertAlign w:val="baseline"/>
          </w:rPr>
          <w:t> </w:t>
        </w:r>
        <w:r>
          <w:rPr>
            <w:vertAlign w:val="baseline"/>
          </w:rPr>
          <w:t>respect</w:t>
        </w:r>
        <w:r>
          <w:rPr>
            <w:spacing w:val="35"/>
            <w:vertAlign w:val="baseline"/>
          </w:rPr>
          <w:t> </w:t>
        </w:r>
        <w:r>
          <w:rPr>
            <w:vertAlign w:val="baseline"/>
          </w:rPr>
          <w:t>of</w:t>
        </w:r>
        <w:r>
          <w:rPr>
            <w:spacing w:val="35"/>
            <w:vertAlign w:val="baseline"/>
          </w:rPr>
          <w:t> </w:t>
        </w:r>
        <w:r>
          <w:rPr>
            <w:vertAlign w:val="baseline"/>
          </w:rPr>
          <w:t>all</w:t>
        </w:r>
        <w:r>
          <w:rPr>
            <w:spacing w:val="35"/>
            <w:vertAlign w:val="baseline"/>
          </w:rPr>
          <w:t> </w:t>
        </w:r>
        <w:r>
          <w:rPr>
            <w:vertAlign w:val="baseline"/>
          </w:rPr>
          <w:t>the</w:t>
        </w:r>
        <w:r>
          <w:rPr>
            <w:spacing w:val="35"/>
            <w:vertAlign w:val="baseline"/>
          </w:rPr>
          <w:t> </w:t>
        </w:r>
        <w:r>
          <w:rPr>
            <w:vertAlign w:val="baseline"/>
          </w:rPr>
          <w:t>outstanding</w:t>
        </w:r>
        <w:r>
          <w:rPr>
            <w:spacing w:val="35"/>
            <w:vertAlign w:val="baseline"/>
          </w:rPr>
          <w:t> </w:t>
        </w:r>
        <w:r>
          <w:rPr>
            <w:vertAlign w:val="baseline"/>
          </w:rPr>
          <w:t>obligations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spacing w:val="-2"/>
            <w:vertAlign w:val="baseline"/>
          </w:rPr>
          <w:t>other</w:t>
        </w:r>
      </w:hyperlink>
    </w:p>
    <w:p>
      <w:pPr>
        <w:pStyle w:val="BodyText"/>
        <w:spacing w:line="235" w:lineRule="auto" w:before="119"/>
        <w:ind w:left="164" w:right="167"/>
        <w:jc w:val="both"/>
      </w:pPr>
      <w:r>
        <w:rPr/>
        <w:t>party). </w:t>
      </w:r>
      <w:hyperlink w:history="true" w:anchor="_bookmark2324">
        <w:r>
          <w:rPr>
            <w:color w:val="005DA1"/>
            <w:u w:val="single" w:color="005DA1"/>
            <w:vertAlign w:val="superscript"/>
          </w:rPr>
          <w:t>1219</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935" name="Image 935"/>
              <wp:cNvGraphicFramePr>
                <a:graphicFrameLocks/>
              </wp:cNvGraphicFramePr>
              <a:graphic>
                <a:graphicData uri="http://schemas.openxmlformats.org/drawingml/2006/picture">
                  <pic:pic>
                    <pic:nvPicPr>
                      <pic:cNvPr id="935" name="Image 9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A clause that makes the hirer liable for a genuine pre-estimate of the owners’ full </w:t>
        </w:r>
        <w:r>
          <w:rPr>
            <w:vertAlign w:val="baseline"/>
          </w:rPr>
          <w:t>loss </w:t>
        </w:r>
        <w:bookmarkStart w:name="_bookmark2310" w:id="2312"/>
        <w:bookmarkEnd w:id="2312"/>
        <w:r>
          <w:rPr>
            <w:vertAlign w:val="baseline"/>
          </w:rPr>
          <w:t>in</w:t>
        </w:r>
        <w:r>
          <w:rPr>
            <w:spacing w:val="8"/>
            <w:vertAlign w:val="baseline"/>
          </w:rPr>
          <w:t> </w:t>
        </w:r>
        <w:r>
          <w:rPr>
            <w:vertAlign w:val="baseline"/>
          </w:rPr>
          <w:t>such</w:t>
        </w:r>
        <w:r>
          <w:rPr>
            <w:spacing w:val="8"/>
            <w:vertAlign w:val="baseline"/>
          </w:rPr>
          <w:t> </w:t>
        </w:r>
        <w:r>
          <w:rPr>
            <w:vertAlign w:val="baseline"/>
          </w:rPr>
          <w:t>a</w:t>
        </w:r>
        <w:r>
          <w:rPr>
            <w:spacing w:val="8"/>
            <w:vertAlign w:val="baseline"/>
          </w:rPr>
          <w:t> </w:t>
        </w:r>
        <w:r>
          <w:rPr>
            <w:vertAlign w:val="baseline"/>
          </w:rPr>
          <w:t>case</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valid.</w:t>
        </w:r>
        <w:r>
          <w:rPr>
            <w:spacing w:val="8"/>
            <w:vertAlign w:val="baseline"/>
          </w:rPr>
          <w:t> </w:t>
        </w:r>
        <w:r>
          <w:rPr>
            <w:vertAlign w:val="baseline"/>
          </w:rPr>
          <w:t>The</w:t>
        </w:r>
        <w:r>
          <w:rPr>
            <w:spacing w:val="8"/>
            <w:vertAlign w:val="baseline"/>
          </w:rPr>
          <w:t> </w:t>
        </w:r>
        <w:r>
          <w:rPr>
            <w:vertAlign w:val="baseline"/>
          </w:rPr>
          <w:t>Court</w:t>
        </w:r>
        <w:r>
          <w:rPr>
            <w:spacing w:val="8"/>
            <w:vertAlign w:val="baseline"/>
          </w:rPr>
          <w:t> </w:t>
        </w:r>
        <w:r>
          <w:rPr>
            <w:vertAlign w:val="baseline"/>
          </w:rPr>
          <w:t>of</w:t>
        </w:r>
        <w:r>
          <w:rPr>
            <w:spacing w:val="8"/>
            <w:vertAlign w:val="baseline"/>
          </w:rPr>
          <w:t> </w:t>
        </w:r>
        <w:r>
          <w:rPr>
            <w:vertAlign w:val="baseline"/>
          </w:rPr>
          <w:t>Appeal</w:t>
        </w:r>
        <w:r>
          <w:rPr>
            <w:spacing w:val="8"/>
            <w:vertAlign w:val="baseline"/>
          </w:rPr>
          <w:t> </w:t>
        </w:r>
        <w:r>
          <w:rPr>
            <w:vertAlign w:val="baseline"/>
          </w:rPr>
          <w:t>decided</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clause</w:t>
        </w:r>
        <w:r>
          <w:rPr>
            <w:spacing w:val="8"/>
            <w:vertAlign w:val="baseline"/>
          </w:rPr>
          <w:t> </w:t>
        </w:r>
        <w:r>
          <w:rPr>
            <w:vertAlign w:val="baseline"/>
          </w:rPr>
          <w:t>making</w:t>
        </w:r>
        <w:r>
          <w:rPr>
            <w:spacing w:val="8"/>
            <w:vertAlign w:val="baseline"/>
          </w:rPr>
          <w:t> </w:t>
        </w:r>
        <w:r>
          <w:rPr>
            <w:vertAlign w:val="baseline"/>
          </w:rPr>
          <w:t>prompt</w:t>
        </w:r>
        <w:r>
          <w:rPr>
            <w:spacing w:val="8"/>
            <w:vertAlign w:val="baseline"/>
          </w:rPr>
          <w:t> </w:t>
        </w:r>
        <w:r>
          <w:rPr>
            <w:vertAlign w:val="baseline"/>
          </w:rPr>
          <w:t>payment</w:t>
        </w:r>
        <w:r>
          <w:rPr>
            <w:spacing w:val="8"/>
            <w:vertAlign w:val="baseline"/>
          </w:rPr>
          <w:t> </w:t>
        </w:r>
        <w:r>
          <w:rPr>
            <w:spacing w:val="-5"/>
            <w:vertAlign w:val="baseline"/>
          </w:rPr>
          <w:t>“of</w:t>
        </w:r>
      </w:hyperlink>
    </w:p>
    <w:p>
      <w:pPr>
        <w:pStyle w:val="BodyText"/>
        <w:spacing w:before="116"/>
        <w:ind w:right="168"/>
        <w:jc w:val="right"/>
      </w:pPr>
      <w:bookmarkStart w:name="_bookmark2311" w:id="2313"/>
      <w:bookmarkEnd w:id="2313"/>
      <w:r>
        <w:rPr/>
      </w:r>
      <w:r>
        <w:rPr/>
        <w:t>the</w:t>
      </w:r>
      <w:r>
        <w:rPr>
          <w:spacing w:val="-1"/>
        </w:rPr>
        <w:t> </w:t>
      </w:r>
      <w:r>
        <w:rPr/>
        <w:t>essence” when it would not be so otherwise </w:t>
      </w:r>
      <w:hyperlink w:history="true" w:anchor="_bookmark2325">
        <w:r>
          <w:rPr>
            <w:color w:val="005DA1"/>
            <w:u w:val="single" w:color="005DA1"/>
            <w:vertAlign w:val="superscript"/>
          </w:rPr>
          <w:t>1220</w:t>
        </w:r>
        <w:r>
          <w:rPr>
            <w:color w:val="005DA1"/>
            <w:spacing w:val="28"/>
            <w:vertAlign w:val="baseline"/>
          </w:rPr>
          <w:t>  </w:t>
        </w:r>
        <w:r>
          <w:rPr>
            <w:color w:val="005DA1"/>
            <w:spacing w:val="5"/>
            <w:position w:val="-2"/>
            <w:vertAlign w:val="baseline"/>
          </w:rPr>
          <w:drawing>
            <wp:inline distT="0" distB="0" distL="0" distR="0">
              <wp:extent cx="107988" cy="107988"/>
              <wp:effectExtent l="0" t="0" r="0" b="0"/>
              <wp:docPr id="936" name="Image 936"/>
              <wp:cNvGraphicFramePr>
                <a:graphicFrameLocks/>
              </wp:cNvGraphicFramePr>
              <a:graphic>
                <a:graphicData uri="http://schemas.openxmlformats.org/drawingml/2006/picture">
                  <pic:pic>
                    <pic:nvPicPr>
                      <pic:cNvPr id="936" name="Image 9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2"/>
            <w:vertAlign w:val="baseline"/>
          </w:rPr>
          <w:t> </w:t>
        </w:r>
        <w:r>
          <w:rPr>
            <w:vertAlign w:val="baseline"/>
          </w:rPr>
          <w:t>is not itself subject to the law on penalties. </w:t>
        </w:r>
        <w:r>
          <w:rPr>
            <w:color w:val="005DA1"/>
            <w:spacing w:val="-4"/>
            <w:u w:val="single" w:color="005DA1"/>
            <w:vertAlign w:val="superscript"/>
          </w:rPr>
          <w:t>1221</w:t>
        </w:r>
      </w:hyperlink>
    </w:p>
    <w:p>
      <w:pPr>
        <w:pStyle w:val="BodyText"/>
        <w:spacing w:before="115"/>
        <w:ind w:right="167"/>
        <w:jc w:val="right"/>
      </w:pPr>
      <w:r>
        <w:rPr>
          <w:position w:val="-2"/>
        </w:rPr>
        <w:drawing>
          <wp:inline distT="0" distB="0" distL="0" distR="0">
            <wp:extent cx="107988" cy="107988"/>
            <wp:effectExtent l="0" t="0" r="0" b="0"/>
            <wp:docPr id="937" name="Image 937"/>
            <wp:cNvGraphicFramePr>
              <a:graphicFrameLocks/>
            </wp:cNvGraphicFramePr>
            <a:graphic>
              <a:graphicData uri="http://schemas.openxmlformats.org/drawingml/2006/picture">
                <pic:pic>
                  <pic:nvPicPr>
                    <pic:cNvPr id="937" name="Image 9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2312" w:id="2314"/>
      <w:bookmarkEnd w:id="2314"/>
      <w:r>
        <w:rPr>
          <w:rFonts w:ascii="Times New Roman"/>
          <w:spacing w:val="12"/>
        </w:rPr>
      </w:r>
      <w:r>
        <w:rPr/>
        <w:t>The</w:t>
      </w:r>
      <w:r>
        <w:rPr>
          <w:spacing w:val="8"/>
        </w:rPr>
        <w:t> </w:t>
      </w:r>
      <w:r>
        <w:rPr/>
        <w:t>difference</w:t>
      </w:r>
      <w:r>
        <w:rPr>
          <w:spacing w:val="8"/>
        </w:rPr>
        <w:t> </w:t>
      </w:r>
      <w:r>
        <w:rPr/>
        <w:t>between</w:t>
      </w:r>
      <w:r>
        <w:rPr>
          <w:spacing w:val="8"/>
        </w:rPr>
        <w:t> </w:t>
      </w:r>
      <w:r>
        <w:rPr/>
        <w:t>the</w:t>
      </w:r>
      <w:r>
        <w:rPr>
          <w:spacing w:val="8"/>
        </w:rPr>
        <w:t> </w:t>
      </w:r>
      <w:r>
        <w:rPr/>
        <w:t>two</w:t>
      </w:r>
      <w:r>
        <w:rPr>
          <w:spacing w:val="8"/>
        </w:rPr>
        <w:t> </w:t>
      </w:r>
      <w:r>
        <w:rPr/>
        <w:t>types</w:t>
      </w:r>
      <w:r>
        <w:rPr>
          <w:spacing w:val="8"/>
        </w:rPr>
        <w:t> </w:t>
      </w:r>
      <w:r>
        <w:rPr/>
        <w:t>of</w:t>
      </w:r>
      <w:r>
        <w:rPr>
          <w:spacing w:val="8"/>
        </w:rPr>
        <w:t> </w:t>
      </w:r>
      <w:r>
        <w:rPr/>
        <w:t>clause</w:t>
      </w:r>
      <w:r>
        <w:rPr>
          <w:spacing w:val="8"/>
        </w:rPr>
        <w:t> </w:t>
      </w:r>
      <w:r>
        <w:rPr/>
        <w:t>(viz</w:t>
      </w:r>
      <w:r>
        <w:rPr>
          <w:spacing w:val="8"/>
        </w:rPr>
        <w:t> </w:t>
      </w:r>
      <w:r>
        <w:rPr/>
        <w:t>an</w:t>
      </w:r>
      <w:r>
        <w:rPr>
          <w:spacing w:val="8"/>
        </w:rPr>
        <w:t> </w:t>
      </w:r>
      <w:r>
        <w:rPr/>
        <w:t>express</w:t>
      </w:r>
      <w:r>
        <w:rPr>
          <w:spacing w:val="8"/>
        </w:rPr>
        <w:t> </w:t>
      </w:r>
      <w:r>
        <w:rPr/>
        <w:t>power</w:t>
      </w:r>
      <w:r>
        <w:rPr>
          <w:spacing w:val="8"/>
        </w:rPr>
        <w:t> </w:t>
      </w:r>
      <w:r>
        <w:rPr/>
        <w:t>to</w:t>
      </w:r>
      <w:r>
        <w:rPr>
          <w:spacing w:val="8"/>
        </w:rPr>
        <w:t> </w:t>
      </w:r>
      <w:r>
        <w:rPr/>
        <w:t>terminate,</w:t>
      </w:r>
      <w:r>
        <w:rPr>
          <w:spacing w:val="8"/>
        </w:rPr>
        <w:t> </w:t>
      </w:r>
      <w:r>
        <w:rPr/>
        <w:t>and</w:t>
      </w:r>
      <w:r>
        <w:rPr>
          <w:spacing w:val="8"/>
        </w:rPr>
        <w:t> </w:t>
      </w:r>
      <w:r>
        <w:rPr/>
        <w:t>a</w:t>
      </w:r>
      <w:r>
        <w:rPr>
          <w:spacing w:val="8"/>
        </w:rPr>
        <w:t> </w:t>
      </w:r>
      <w:r>
        <w:rPr/>
        <w:t>clause</w:t>
      </w:r>
    </w:p>
    <w:p>
      <w:pPr>
        <w:pStyle w:val="BodyText"/>
        <w:spacing w:line="235" w:lineRule="auto" w:before="119"/>
        <w:ind w:left="165" w:right="167"/>
        <w:jc w:val="both"/>
      </w:pPr>
      <w:r>
        <w:rPr/>
        <w:t>making time of the essence) is “one of drafting form and wholly without substance”. </w:t>
      </w:r>
      <w:hyperlink w:history="true" w:anchor="_bookmark2327">
        <w:r>
          <w:rPr>
            <w:color w:val="005DA1"/>
            <w:u w:val="single" w:color="005DA1"/>
            <w:vertAlign w:val="superscript"/>
          </w:rPr>
          <w:t>1222</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938" name="Image 938"/>
              <wp:cNvGraphicFramePr>
                <a:graphicFrameLocks/>
              </wp:cNvGraphicFramePr>
              <a:graphic>
                <a:graphicData uri="http://schemas.openxmlformats.org/drawingml/2006/picture">
                  <pic:pic>
                    <pic:nvPicPr>
                      <pic:cNvPr id="938" name="Image 9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The result is that the position of the parties may be changed by a simple, small change in the terminology of the </w:t>
        </w:r>
        <w:bookmarkStart w:name="_bookmark2313" w:id="2315"/>
        <w:bookmarkEnd w:id="2315"/>
        <w:r>
          <w:rPr>
            <w:vertAlign w:val="baseline"/>
          </w:rPr>
          <w:t>contract</w:t>
        </w:r>
        <w:r>
          <w:rPr>
            <w:spacing w:val="5"/>
            <w:vertAlign w:val="baseline"/>
          </w:rPr>
          <w:t> </w:t>
        </w:r>
        <w:r>
          <w:rPr>
            <w:vertAlign w:val="baseline"/>
          </w:rPr>
          <w:t>which</w:t>
        </w:r>
        <w:r>
          <w:rPr>
            <w:spacing w:val="5"/>
            <w:vertAlign w:val="baseline"/>
          </w:rPr>
          <w:t> </w:t>
        </w:r>
        <w:r>
          <w:rPr>
            <w:vertAlign w:val="baseline"/>
          </w:rPr>
          <w:t>makes</w:t>
        </w:r>
        <w:r>
          <w:rPr>
            <w:spacing w:val="5"/>
            <w:vertAlign w:val="baseline"/>
          </w:rPr>
          <w:t> </w:t>
        </w:r>
        <w:r>
          <w:rPr>
            <w:vertAlign w:val="baseline"/>
          </w:rPr>
          <w:t>every</w:t>
        </w:r>
        <w:r>
          <w:rPr>
            <w:spacing w:val="5"/>
            <w:vertAlign w:val="baseline"/>
          </w:rPr>
          <w:t> </w:t>
        </w:r>
        <w:r>
          <w:rPr>
            <w:vertAlign w:val="baseline"/>
          </w:rPr>
          <w:t>term</w:t>
        </w:r>
        <w:r>
          <w:rPr>
            <w:spacing w:val="5"/>
            <w:vertAlign w:val="baseline"/>
          </w:rPr>
          <w:t> </w:t>
        </w:r>
        <w:r>
          <w:rPr>
            <w:vertAlign w:val="baseline"/>
          </w:rPr>
          <w:t>a</w:t>
        </w:r>
        <w:r>
          <w:rPr>
            <w:spacing w:val="5"/>
            <w:vertAlign w:val="baseline"/>
          </w:rPr>
          <w:t> </w:t>
        </w:r>
        <w:r>
          <w:rPr>
            <w:vertAlign w:val="baseline"/>
          </w:rPr>
          <w:t>“condition”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sense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term</w:t>
        </w:r>
        <w:r>
          <w:rPr>
            <w:spacing w:val="5"/>
            <w:vertAlign w:val="baseline"/>
          </w:rPr>
          <w:t> </w:t>
        </w:r>
        <w:r>
          <w:rPr>
            <w:vertAlign w:val="baseline"/>
          </w:rPr>
          <w:t>any</w:t>
        </w:r>
        <w:r>
          <w:rPr>
            <w:spacing w:val="5"/>
            <w:vertAlign w:val="baseline"/>
          </w:rPr>
          <w:t> </w:t>
        </w:r>
        <w:r>
          <w:rPr>
            <w:vertAlign w:val="baseline"/>
          </w:rPr>
          <w:t>breach</w:t>
        </w:r>
        <w:r>
          <w:rPr>
            <w:spacing w:val="5"/>
            <w:vertAlign w:val="baseline"/>
          </w:rPr>
          <w:t> </w:t>
        </w:r>
        <w:r>
          <w:rPr>
            <w:vertAlign w:val="baseline"/>
          </w:rPr>
          <w:t>of</w:t>
        </w:r>
        <w:r>
          <w:rPr>
            <w:spacing w:val="5"/>
            <w:vertAlign w:val="baseline"/>
          </w:rPr>
          <w:t> </w:t>
        </w:r>
        <w:r>
          <w:rPr>
            <w:vertAlign w:val="baseline"/>
          </w:rPr>
          <w:t>which</w:t>
        </w:r>
        <w:r>
          <w:rPr>
            <w:spacing w:val="5"/>
            <w:vertAlign w:val="baseline"/>
          </w:rPr>
          <w:t> </w:t>
        </w:r>
        <w:r>
          <w:rPr>
            <w:vertAlign w:val="baseline"/>
          </w:rPr>
          <w:t>entitles</w:t>
        </w:r>
        <w:r>
          <w:rPr>
            <w:spacing w:val="5"/>
            <w:vertAlign w:val="baseline"/>
          </w:rPr>
          <w:t> </w:t>
        </w:r>
        <w:r>
          <w:rPr>
            <w:spacing w:val="-5"/>
            <w:vertAlign w:val="baseline"/>
          </w:rPr>
          <w:t>the</w:t>
        </w:r>
      </w:hyperlink>
    </w:p>
    <w:p>
      <w:pPr>
        <w:pStyle w:val="BodyText"/>
        <w:spacing w:line="360" w:lineRule="auto" w:before="115"/>
        <w:ind w:left="165" w:right="168"/>
        <w:jc w:val="both"/>
        <w:rPr>
          <w:position w:val="-2"/>
        </w:rPr>
      </w:pPr>
      <w:bookmarkStart w:name="_bookmark2314" w:id="2316"/>
      <w:bookmarkEnd w:id="2316"/>
      <w:r>
        <w:rPr/>
      </w:r>
      <w:r>
        <w:rPr/>
        <w:t>promisee to terminate. </w:t>
      </w:r>
      <w:hyperlink w:history="true" w:anchor="_bookmark2328">
        <w:r>
          <w:rPr>
            <w:color w:val="005DA1"/>
            <w:u w:val="single" w:color="005DA1"/>
            <w:vertAlign w:val="superscript"/>
          </w:rPr>
          <w:t>1223</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939" name="Image 939"/>
              <wp:cNvGraphicFramePr>
                <a:graphicFrameLocks/>
              </wp:cNvGraphicFramePr>
              <a:graphic>
                <a:graphicData uri="http://schemas.openxmlformats.org/drawingml/2006/picture">
                  <pic:pic>
                    <pic:nvPicPr>
                      <pic:cNvPr id="939" name="Image 9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This follows, however, not from the law on penalties but from the firmly established rule that the parties are free to agree that any term of the contract is a condition. </w:t>
        </w:r>
        <w:hyperlink w:history="true" w:anchor="_bookmark2329">
          <w:r>
            <w:rPr>
              <w:color w:val="005DA1"/>
              <w:u w:val="single" w:color="005DA1"/>
              <w:vertAlign w:val="superscript"/>
            </w:rPr>
            <w:t>1224</w:t>
          </w:r>
          <w:r>
            <w:rPr>
              <w:color w:val="005DA1"/>
              <w:spacing w:val="80"/>
              <w:vertAlign w:val="baseline"/>
            </w:rPr>
            <w:t> </w:t>
          </w:r>
          <w:r>
            <w:rPr>
              <w:color w:val="005DA1"/>
              <w:position w:val="-2"/>
              <w:vertAlign w:val="baseline"/>
            </w:rPr>
            <w:drawing>
              <wp:inline distT="0" distB="0" distL="0" distR="0">
                <wp:extent cx="107988" cy="107988"/>
                <wp:effectExtent l="0" t="0" r="0" b="0"/>
                <wp:docPr id="940" name="Image 940"/>
                <wp:cNvGraphicFramePr>
                  <a:graphicFrameLocks/>
                </wp:cNvGraphicFramePr>
                <a:graphic>
                  <a:graphicData uri="http://schemas.openxmlformats.org/drawingml/2006/picture">
                    <pic:pic>
                      <pic:nvPicPr>
                        <pic:cNvPr id="940" name="Image 9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53"/>
      </w:pPr>
      <w:r>
        <w:rPr/>
        <mc:AlternateContent>
          <mc:Choice Requires="wps">
            <w:drawing>
              <wp:anchor distT="0" distB="0" distL="0" distR="0" allowOverlap="1" layoutInCell="1" locked="0" behindDoc="1" simplePos="0" relativeHeight="487715840">
                <wp:simplePos x="0" y="0"/>
                <wp:positionH relativeFrom="page">
                  <wp:posOffset>914400</wp:posOffset>
                </wp:positionH>
                <wp:positionV relativeFrom="paragraph">
                  <wp:posOffset>258968</wp:posOffset>
                </wp:positionV>
                <wp:extent cx="5724525" cy="1270"/>
                <wp:effectExtent l="0" t="0" r="0" b="0"/>
                <wp:wrapTopAndBottom/>
                <wp:docPr id="941" name="Graphic 941"/>
                <wp:cNvGraphicFramePr>
                  <a:graphicFrameLocks/>
                </wp:cNvGraphicFramePr>
                <a:graphic>
                  <a:graphicData uri="http://schemas.microsoft.com/office/word/2010/wordprocessingShape">
                    <wps:wsp>
                      <wps:cNvPr id="941" name="Graphic 94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91199pt;width:450.75pt;height:.1pt;mso-position-horizontal-relative:page;mso-position-vertical-relative:paragraph;z-index:-15600640;mso-wrap-distance-left:0;mso-wrap-distance-right:0" id="docshape99" coordorigin="1440,408" coordsize="9015,0" path="m1440,408l10454,408e" filled="false" stroked="true" strokeweight="1pt" strokecolor="#000000">
                <v:path arrowok="t"/>
                <v:stroke dashstyle="solid"/>
                <w10:wrap type="topAndBottom"/>
              </v:shape>
            </w:pict>
          </mc:Fallback>
        </mc:AlternateContent>
      </w:r>
    </w:p>
    <w:p>
      <w:pPr>
        <w:pStyle w:val="BodyText"/>
        <w:spacing w:before="217"/>
      </w:pPr>
    </w:p>
    <w:p>
      <w:pPr>
        <w:spacing w:before="0"/>
        <w:ind w:left="165" w:right="0" w:firstLine="0"/>
        <w:jc w:val="left"/>
        <w:rPr>
          <w:sz w:val="20"/>
        </w:rPr>
      </w:pPr>
      <w:bookmarkStart w:name="_bookmark2315" w:id="2317"/>
      <w:bookmarkEnd w:id="2317"/>
      <w:r>
        <w:rPr/>
      </w:r>
      <w:hyperlink w:history="true" w:anchor="_bookmark2299">
        <w:r>
          <w:rPr>
            <w:color w:val="005DA1"/>
            <w:sz w:val="20"/>
            <w:u w:val="single" w:color="005DA1"/>
            <w:vertAlign w:val="superscript"/>
          </w:rPr>
          <w:t>1209</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942" name="Image 942"/>
            <wp:cNvGraphicFramePr>
              <a:graphicFrameLocks/>
            </wp:cNvGraphicFramePr>
            <a:graphic>
              <a:graphicData uri="http://schemas.openxmlformats.org/drawingml/2006/picture">
                <pic:pic>
                  <pic:nvPicPr>
                    <pic:cNvPr id="942" name="Image 9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pStyle w:val="BodyText"/>
        <w:spacing w:line="235" w:lineRule="auto"/>
        <w:ind w:left="705" w:right="167" w:hanging="541"/>
        <w:jc w:val="both"/>
      </w:pPr>
      <w:bookmarkStart w:name="_bookmark2316" w:id="2318"/>
      <w:bookmarkEnd w:id="2318"/>
      <w:r>
        <w:rPr/>
      </w:r>
      <w:hyperlink w:history="true" w:anchor="_bookmark2300">
        <w:r>
          <w:rPr>
            <w:color w:val="005DA1"/>
            <w:u w:val="single" w:color="005DA1"/>
            <w:vertAlign w:val="superscript"/>
          </w:rPr>
          <w:t>1210</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943" name="Image 943"/>
            <wp:cNvGraphicFramePr>
              <a:graphicFrameLocks/>
            </wp:cNvGraphicFramePr>
            <a:graphic>
              <a:graphicData uri="http://schemas.openxmlformats.org/drawingml/2006/picture">
                <pic:pic>
                  <pic:nvPicPr>
                    <pic:cNvPr id="943" name="Image 9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w:t>
      </w:r>
      <w:r>
        <w:rPr>
          <w:rFonts w:ascii="Arial" w:hAnsi="Arial"/>
          <w:i/>
          <w:vertAlign w:val="baseline"/>
        </w:rPr>
        <w:t>[2015] UKSC 67 </w:t>
      </w:r>
      <w:r>
        <w:rPr>
          <w:vertAlign w:val="baseline"/>
        </w:rPr>
        <w:t>at [170] (Lord Mance); [226] (Lord Hodge); Lord Toulson agreed </w:t>
      </w:r>
      <w:r>
        <w:rPr>
          <w:vertAlign w:val="baseline"/>
        </w:rPr>
        <w:t>with</w:t>
      </w:r>
      <w:r>
        <w:rPr>
          <w:spacing w:val="40"/>
          <w:vertAlign w:val="baseline"/>
        </w:rPr>
        <w:t> </w:t>
      </w:r>
      <w:r>
        <w:rPr>
          <w:vertAlign w:val="baseline"/>
        </w:rPr>
        <w:t>both of them (at [292]). Lords Neuberger and Sumption were prepared to assume this without deciding it (at [73]); they considered that cl.5.1 of the agreement in the </w:t>
      </w:r>
      <w:r>
        <w:rPr>
          <w:rFonts w:ascii="Arial" w:hAnsi="Arial"/>
          <w:i/>
          <w:vertAlign w:val="baseline"/>
        </w:rPr>
        <w:t>Cavendish Square </w:t>
      </w:r>
      <w:r>
        <w:rPr>
          <w:vertAlign w:val="baseline"/>
        </w:rPr>
        <w:t>case was part of the parties’ primary obligations and therefore altogether outside the penalty rules: see below, para.26-216H. However, Lord Clarke preferred to leave this question open; he must therefore have held that the penalty rules do apply to clauses of this type. In </w:t>
      </w:r>
      <w:r>
        <w:rPr>
          <w:rFonts w:ascii="Arial" w:hAnsi="Arial"/>
          <w:i/>
          <w:vertAlign w:val="baseline"/>
        </w:rPr>
        <w:t>Gilbert Ash (Northern) Ltd v Modern Engineering (Bristol) Ltd [1974] A.C. 689 </w:t>
      </w:r>
      <w:r>
        <w:rPr>
          <w:vertAlign w:val="baseline"/>
        </w:rPr>
        <w:t>the House of Lords had considered a clause entitling the contractor to “suspend or withhold” the payment of money due to the subcontractor on any breach of contract. It had been conceded that the clause fell within the doctrine, but a majority of the House appeared to consider that the concession was correct: see </w:t>
      </w:r>
      <w:r>
        <w:rPr>
          <w:rFonts w:ascii="Arial" w:hAnsi="Arial"/>
          <w:i/>
          <w:vertAlign w:val="baseline"/>
        </w:rPr>
        <w:t>[2015] UKSC 67 </w:t>
      </w:r>
      <w:r>
        <w:rPr>
          <w:vertAlign w:val="baseline"/>
        </w:rPr>
        <w:t>at [70], [154] and [226].</w:t>
      </w:r>
    </w:p>
    <w:p>
      <w:pPr>
        <w:pStyle w:val="BodyText"/>
        <w:spacing w:before="126"/>
      </w:pPr>
    </w:p>
    <w:p>
      <w:pPr>
        <w:pStyle w:val="BodyText"/>
        <w:spacing w:line="235" w:lineRule="auto"/>
        <w:ind w:left="705" w:right="167" w:hanging="541"/>
        <w:jc w:val="both"/>
      </w:pPr>
      <w:bookmarkStart w:name="_bookmark2317" w:id="2319"/>
      <w:bookmarkEnd w:id="2319"/>
      <w:r>
        <w:rPr/>
      </w:r>
      <w:hyperlink w:history="true" w:anchor="_bookmark2301">
        <w:r>
          <w:rPr>
            <w:color w:val="005DA1"/>
            <w:u w:val="single" w:color="005DA1"/>
            <w:vertAlign w:val="superscript"/>
          </w:rPr>
          <w:t>1211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944" name="Image 944"/>
            <wp:cNvGraphicFramePr>
              <a:graphicFrameLocks/>
            </wp:cNvGraphicFramePr>
            <a:graphic>
              <a:graphicData uri="http://schemas.openxmlformats.org/drawingml/2006/picture">
                <pic:pic>
                  <pic:nvPicPr>
                    <pic:cNvPr id="944" name="Image 9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at [170] and [183] (Lord Mance); [230] and [280] (Lord Hodge). On this point Lord Clarke (at [291]) agreed with Lord Hodge and Lord Toulson (at [292]) with both Lord Mance and Lord </w:t>
      </w:r>
      <w:r>
        <w:rPr>
          <w:spacing w:val="-2"/>
          <w:vertAlign w:val="baseline"/>
        </w:rPr>
        <w:t>Hodge.</w:t>
      </w:r>
    </w:p>
    <w:p>
      <w:pPr>
        <w:pStyle w:val="BodyText"/>
        <w:spacing w:before="125"/>
      </w:pPr>
    </w:p>
    <w:p>
      <w:pPr>
        <w:pStyle w:val="BodyText"/>
        <w:ind w:left="165"/>
      </w:pPr>
      <w:bookmarkStart w:name="_bookmark2318" w:id="2320"/>
      <w:bookmarkEnd w:id="2320"/>
      <w:r>
        <w:rPr/>
      </w:r>
      <w:hyperlink w:history="true" w:anchor="_bookmark2302">
        <w:r>
          <w:rPr>
            <w:color w:val="005DA1"/>
            <w:u w:val="single" w:color="005DA1"/>
            <w:vertAlign w:val="superscript"/>
          </w:rPr>
          <w:t>1212</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945" name="Image 945"/>
            <wp:cNvGraphicFramePr>
              <a:graphicFrameLocks/>
            </wp:cNvGraphicFramePr>
            <a:graphic>
              <a:graphicData uri="http://schemas.openxmlformats.org/drawingml/2006/picture">
                <pic:pic>
                  <pic:nvPicPr>
                    <pic:cNvPr id="945" name="Image 94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paras</w:t>
      </w:r>
      <w:r>
        <w:rPr>
          <w:spacing w:val="3"/>
          <w:vertAlign w:val="baseline"/>
        </w:rPr>
        <w:t> </w:t>
      </w:r>
      <w:r>
        <w:rPr>
          <w:vertAlign w:val="baseline"/>
        </w:rPr>
        <w:t>26-216N</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8"/>
      </w:pPr>
    </w:p>
    <w:p>
      <w:pPr>
        <w:spacing w:line="235" w:lineRule="auto" w:before="1"/>
        <w:ind w:left="705" w:right="167" w:hanging="541"/>
        <w:jc w:val="both"/>
        <w:rPr>
          <w:rFonts w:ascii="Arial" w:hAnsi="Arial"/>
          <w:i/>
          <w:sz w:val="20"/>
        </w:rPr>
      </w:pPr>
      <w:bookmarkStart w:name="_bookmark2319" w:id="2321"/>
      <w:bookmarkEnd w:id="2321"/>
      <w:r>
        <w:rPr/>
      </w:r>
      <w:hyperlink w:history="true" w:anchor="_bookmark2303">
        <w:r>
          <w:rPr>
            <w:color w:val="005DA1"/>
            <w:sz w:val="20"/>
            <w:u w:val="single" w:color="005DA1"/>
            <w:vertAlign w:val="superscript"/>
          </w:rPr>
          <w:t>1213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946" name="Image 946"/>
            <wp:cNvGraphicFramePr>
              <a:graphicFrameLocks/>
            </wp:cNvGraphicFramePr>
            <a:graphic>
              <a:graphicData uri="http://schemas.openxmlformats.org/drawingml/2006/picture">
                <pic:pic>
                  <pic:nvPicPr>
                    <pic:cNvPr id="946" name="Image 9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Protector Endowment Loan Co v Grice (1880) 5 Q.B.D. 592 </w:t>
      </w:r>
      <w:r>
        <w:rPr>
          <w:sz w:val="20"/>
          <w:vertAlign w:val="baseline"/>
        </w:rPr>
        <w:t>(a loan case); </w:t>
      </w:r>
      <w:r>
        <w:rPr>
          <w:rFonts w:ascii="Arial" w:hAnsi="Arial"/>
          <w:i/>
          <w:sz w:val="20"/>
          <w:vertAlign w:val="baseline"/>
        </w:rPr>
        <w:t>Wallingford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Mutual Society (1880) 5 App. Cas. 685</w:t>
      </w:r>
      <w:r>
        <w:rPr>
          <w:sz w:val="20"/>
          <w:vertAlign w:val="baseline"/>
        </w:rPr>
        <w:t>. See Goode [1982] J. Bus. L. 148; cf. </w:t>
      </w:r>
      <w:r>
        <w:rPr>
          <w:rFonts w:ascii="Arial" w:hAnsi="Arial"/>
          <w:i/>
          <w:sz w:val="20"/>
          <w:vertAlign w:val="baseline"/>
        </w:rPr>
        <w:t>Wadham Stringer Finance Ltd v Meaney [1981] 1 W.L.R. 39, 48 </w:t>
      </w:r>
      <w:r>
        <w:rPr>
          <w:sz w:val="20"/>
          <w:vertAlign w:val="baseline"/>
        </w:rPr>
        <w:t>(see Vol.II, para.39-272); </w:t>
      </w:r>
      <w:r>
        <w:rPr>
          <w:rFonts w:ascii="Arial" w:hAnsi="Arial"/>
          <w:i/>
          <w:sz w:val="20"/>
          <w:vertAlign w:val="baseline"/>
        </w:rPr>
        <w:t>Edgeworth Capital (Luxembourg) Sarl v Ramblas Investments BV [2015] EWHC 150 (Comm) </w:t>
      </w:r>
      <w:r>
        <w:rPr>
          <w:sz w:val="20"/>
          <w:vertAlign w:val="baseline"/>
        </w:rPr>
        <w:t>at [67], citing this paragraph</w:t>
      </w:r>
      <w:r>
        <w:rPr>
          <w:spacing w:val="-2"/>
          <w:sz w:val="20"/>
          <w:vertAlign w:val="baseline"/>
        </w:rPr>
        <w:t> </w:t>
      </w:r>
      <w:r>
        <w:rPr>
          <w:sz w:val="20"/>
          <w:vertAlign w:val="baseline"/>
        </w:rPr>
        <w:t>as</w:t>
      </w:r>
      <w:r>
        <w:rPr>
          <w:spacing w:val="-2"/>
          <w:sz w:val="20"/>
          <w:vertAlign w:val="baseline"/>
        </w:rPr>
        <w:t> </w:t>
      </w:r>
      <w:r>
        <w:rPr>
          <w:sz w:val="20"/>
          <w:vertAlign w:val="baseline"/>
        </w:rPr>
        <w:t>it</w:t>
      </w:r>
      <w:r>
        <w:rPr>
          <w:spacing w:val="-2"/>
          <w:sz w:val="20"/>
          <w:vertAlign w:val="baseline"/>
        </w:rPr>
        <w:t> </w:t>
      </w:r>
      <w:r>
        <w:rPr>
          <w:sz w:val="20"/>
          <w:vertAlign w:val="baseline"/>
        </w:rPr>
        <w:t>appeared</w:t>
      </w:r>
      <w:r>
        <w:rPr>
          <w:spacing w:val="-2"/>
          <w:sz w:val="20"/>
          <w:vertAlign w:val="baseline"/>
        </w:rPr>
        <w:t> </w:t>
      </w:r>
      <w:r>
        <w:rPr>
          <w:sz w:val="20"/>
          <w:vertAlign w:val="baseline"/>
        </w:rPr>
        <w:t>in</w:t>
      </w:r>
      <w:r>
        <w:rPr>
          <w:spacing w:val="-2"/>
          <w:sz w:val="20"/>
          <w:vertAlign w:val="baseline"/>
        </w:rPr>
        <w:t> </w:t>
      </w:r>
      <w:r>
        <w:rPr>
          <w:sz w:val="20"/>
          <w:vertAlign w:val="baseline"/>
        </w:rPr>
        <w:t>the</w:t>
      </w:r>
      <w:r>
        <w:rPr>
          <w:spacing w:val="-2"/>
          <w:sz w:val="20"/>
          <w:vertAlign w:val="baseline"/>
        </w:rPr>
        <w:t> </w:t>
      </w:r>
      <w:r>
        <w:rPr>
          <w:sz w:val="20"/>
          <w:vertAlign w:val="baseline"/>
        </w:rPr>
        <w:t>31st</w:t>
      </w:r>
      <w:r>
        <w:rPr>
          <w:spacing w:val="-2"/>
          <w:sz w:val="20"/>
          <w:vertAlign w:val="baseline"/>
        </w:rPr>
        <w:t> </w:t>
      </w:r>
      <w:r>
        <w:rPr>
          <w:sz w:val="20"/>
          <w:vertAlign w:val="baseline"/>
        </w:rPr>
        <w:t>edition;</w:t>
      </w:r>
      <w:r>
        <w:rPr>
          <w:spacing w:val="-2"/>
          <w:sz w:val="20"/>
          <w:vertAlign w:val="baseline"/>
        </w:rPr>
        <w:t> </w:t>
      </w:r>
      <w:r>
        <w:rPr>
          <w:sz w:val="20"/>
          <w:vertAlign w:val="baseline"/>
        </w:rPr>
        <w:t>the</w:t>
      </w:r>
      <w:r>
        <w:rPr>
          <w:spacing w:val="-2"/>
          <w:sz w:val="20"/>
          <w:vertAlign w:val="baseline"/>
        </w:rPr>
        <w:t> </w:t>
      </w:r>
      <w:r>
        <w:rPr>
          <w:sz w:val="20"/>
          <w:vertAlign w:val="baseline"/>
        </w:rPr>
        <w:t>Court</w:t>
      </w:r>
      <w:r>
        <w:rPr>
          <w:spacing w:val="-2"/>
          <w:sz w:val="20"/>
          <w:vertAlign w:val="baseline"/>
        </w:rPr>
        <w:t> </w:t>
      </w:r>
      <w:r>
        <w:rPr>
          <w:sz w:val="20"/>
          <w:vertAlign w:val="baseline"/>
        </w:rPr>
        <w:t>of</w:t>
      </w:r>
      <w:r>
        <w:rPr>
          <w:spacing w:val="-2"/>
          <w:sz w:val="20"/>
          <w:vertAlign w:val="baseline"/>
        </w:rPr>
        <w:t> </w:t>
      </w:r>
      <w:r>
        <w:rPr>
          <w:sz w:val="20"/>
          <w:vertAlign w:val="baseline"/>
        </w:rPr>
        <w:t>Appeal,</w:t>
      </w:r>
      <w:r>
        <w:rPr>
          <w:spacing w:val="-3"/>
          <w:sz w:val="20"/>
          <w:vertAlign w:val="baseline"/>
        </w:rPr>
        <w:t> </w:t>
      </w:r>
      <w:r>
        <w:rPr>
          <w:rFonts w:ascii="Arial" w:hAnsi="Arial"/>
          <w:i/>
          <w:sz w:val="20"/>
          <w:vertAlign w:val="baseline"/>
        </w:rPr>
        <w:t>[2016]</w:t>
      </w:r>
      <w:r>
        <w:rPr>
          <w:rFonts w:ascii="Arial" w:hAnsi="Arial"/>
          <w:i/>
          <w:spacing w:val="-2"/>
          <w:sz w:val="20"/>
          <w:vertAlign w:val="baseline"/>
        </w:rPr>
        <w:t> </w:t>
      </w:r>
      <w:r>
        <w:rPr>
          <w:rFonts w:ascii="Arial" w:hAnsi="Arial"/>
          <w:i/>
          <w:sz w:val="20"/>
          <w:vertAlign w:val="baseline"/>
        </w:rPr>
        <w:t>EWCA</w:t>
      </w:r>
      <w:r>
        <w:rPr>
          <w:rFonts w:ascii="Arial" w:hAnsi="Arial"/>
          <w:i/>
          <w:spacing w:val="-2"/>
          <w:sz w:val="20"/>
          <w:vertAlign w:val="baseline"/>
        </w:rPr>
        <w:t> </w:t>
      </w:r>
      <w:r>
        <w:rPr>
          <w:rFonts w:ascii="Arial" w:hAnsi="Arial"/>
          <w:i/>
          <w:sz w:val="20"/>
          <w:vertAlign w:val="baseline"/>
        </w:rPr>
        <w:t>Civ</w:t>
      </w:r>
      <w:r>
        <w:rPr>
          <w:rFonts w:ascii="Arial" w:hAnsi="Arial"/>
          <w:i/>
          <w:spacing w:val="-2"/>
          <w:sz w:val="20"/>
          <w:vertAlign w:val="baseline"/>
        </w:rPr>
        <w:t> </w:t>
      </w:r>
      <w:r>
        <w:rPr>
          <w:rFonts w:ascii="Arial" w:hAnsi="Arial"/>
          <w:i/>
          <w:sz w:val="20"/>
          <w:vertAlign w:val="baseline"/>
        </w:rPr>
        <w:t>412</w:t>
      </w:r>
      <w:r>
        <w:rPr>
          <w:sz w:val="20"/>
          <w:vertAlign w:val="baseline"/>
        </w:rPr>
        <w:t>,</w:t>
      </w:r>
      <w:r>
        <w:rPr>
          <w:spacing w:val="-2"/>
          <w:sz w:val="20"/>
          <w:vertAlign w:val="baseline"/>
        </w:rPr>
        <w:t> </w:t>
      </w:r>
      <w:r>
        <w:rPr>
          <w:sz w:val="20"/>
          <w:vertAlign w:val="baseline"/>
        </w:rPr>
        <w:t>did</w:t>
      </w:r>
      <w:r>
        <w:rPr>
          <w:spacing w:val="-2"/>
          <w:sz w:val="20"/>
          <w:vertAlign w:val="baseline"/>
        </w:rPr>
        <w:t> </w:t>
      </w:r>
      <w:r>
        <w:rPr>
          <w:sz w:val="20"/>
          <w:vertAlign w:val="baseline"/>
        </w:rPr>
        <w:t>not comment on this point. The High Court of Australia has sometimes upheld acceleration clauses (</w:t>
      </w:r>
      <w:r>
        <w:rPr>
          <w:rFonts w:ascii="Arial" w:hAnsi="Arial"/>
          <w:i/>
          <w:sz w:val="20"/>
          <w:vertAlign w:val="baseline"/>
        </w:rPr>
        <w:t>IAC (Leasing) Ltd v Humphrey (1972) 126 C.L.R. 131 </w:t>
      </w:r>
      <w:r>
        <w:rPr>
          <w:sz w:val="20"/>
          <w:vertAlign w:val="baseline"/>
        </w:rPr>
        <w:t>(see also Vol.II, para.39-353)) but sometimes not (holding them to be penalties): </w:t>
      </w:r>
      <w:r>
        <w:rPr>
          <w:rFonts w:ascii="Arial" w:hAnsi="Arial"/>
          <w:i/>
          <w:sz w:val="20"/>
          <w:vertAlign w:val="baseline"/>
        </w:rPr>
        <w:t>O’Dea v Allstates Leasing Systems (WA) Pty Ltd (1983)</w:t>
      </w:r>
      <w:r>
        <w:rPr>
          <w:rFonts w:ascii="Arial" w:hAnsi="Arial"/>
          <w:i/>
          <w:spacing w:val="34"/>
          <w:sz w:val="20"/>
          <w:vertAlign w:val="baseline"/>
        </w:rPr>
        <w:t> </w:t>
      </w:r>
      <w:r>
        <w:rPr>
          <w:rFonts w:ascii="Arial" w:hAnsi="Arial"/>
          <w:i/>
          <w:sz w:val="20"/>
          <w:vertAlign w:val="baseline"/>
        </w:rPr>
        <w:t>152</w:t>
      </w:r>
      <w:r>
        <w:rPr>
          <w:rFonts w:ascii="Arial" w:hAnsi="Arial"/>
          <w:i/>
          <w:spacing w:val="35"/>
          <w:sz w:val="20"/>
          <w:vertAlign w:val="baseline"/>
        </w:rPr>
        <w:t> </w:t>
      </w:r>
      <w:r>
        <w:rPr>
          <w:rFonts w:ascii="Arial" w:hAnsi="Arial"/>
          <w:i/>
          <w:sz w:val="20"/>
          <w:vertAlign w:val="baseline"/>
        </w:rPr>
        <w:t>C.L.R.</w:t>
      </w:r>
      <w:r>
        <w:rPr>
          <w:rFonts w:ascii="Arial" w:hAnsi="Arial"/>
          <w:i/>
          <w:spacing w:val="35"/>
          <w:sz w:val="20"/>
          <w:vertAlign w:val="baseline"/>
        </w:rPr>
        <w:t> </w:t>
      </w:r>
      <w:r>
        <w:rPr>
          <w:rFonts w:ascii="Arial" w:hAnsi="Arial"/>
          <w:i/>
          <w:sz w:val="20"/>
          <w:vertAlign w:val="baseline"/>
        </w:rPr>
        <w:t>359</w:t>
      </w:r>
      <w:r>
        <w:rPr>
          <w:sz w:val="20"/>
          <w:vertAlign w:val="baseline"/>
        </w:rPr>
        <w:t>;</w:t>
      </w:r>
      <w:r>
        <w:rPr>
          <w:spacing w:val="35"/>
          <w:sz w:val="20"/>
          <w:vertAlign w:val="baseline"/>
        </w:rPr>
        <w:t> </w:t>
      </w:r>
      <w:r>
        <w:rPr>
          <w:sz w:val="20"/>
          <w:vertAlign w:val="baseline"/>
        </w:rPr>
        <w:t>Muir</w:t>
      </w:r>
      <w:r>
        <w:rPr>
          <w:spacing w:val="35"/>
          <w:sz w:val="20"/>
          <w:vertAlign w:val="baseline"/>
        </w:rPr>
        <w:t> </w:t>
      </w:r>
      <w:r>
        <w:rPr>
          <w:sz w:val="20"/>
          <w:vertAlign w:val="baseline"/>
        </w:rPr>
        <w:t>(1985)</w:t>
      </w:r>
      <w:r>
        <w:rPr>
          <w:spacing w:val="35"/>
          <w:sz w:val="20"/>
          <w:vertAlign w:val="baseline"/>
        </w:rPr>
        <w:t> </w:t>
      </w:r>
      <w:r>
        <w:rPr>
          <w:sz w:val="20"/>
          <w:vertAlign w:val="baseline"/>
        </w:rPr>
        <w:t>10</w:t>
      </w:r>
      <w:r>
        <w:rPr>
          <w:spacing w:val="35"/>
          <w:sz w:val="20"/>
          <w:vertAlign w:val="baseline"/>
        </w:rPr>
        <w:t> </w:t>
      </w:r>
      <w:r>
        <w:rPr>
          <w:sz w:val="20"/>
          <w:vertAlign w:val="baseline"/>
        </w:rPr>
        <w:t>Sydney</w:t>
      </w:r>
      <w:r>
        <w:rPr>
          <w:spacing w:val="35"/>
          <w:sz w:val="20"/>
          <w:vertAlign w:val="baseline"/>
        </w:rPr>
        <w:t> </w:t>
      </w:r>
      <w:r>
        <w:rPr>
          <w:sz w:val="20"/>
          <w:vertAlign w:val="baseline"/>
        </w:rPr>
        <w:t>L.R.</w:t>
      </w:r>
      <w:r>
        <w:rPr>
          <w:spacing w:val="35"/>
          <w:sz w:val="20"/>
          <w:vertAlign w:val="baseline"/>
        </w:rPr>
        <w:t> </w:t>
      </w:r>
      <w:r>
        <w:rPr>
          <w:sz w:val="20"/>
          <w:vertAlign w:val="baseline"/>
        </w:rPr>
        <w:t>503;</w:t>
      </w:r>
      <w:r>
        <w:rPr>
          <w:spacing w:val="35"/>
          <w:sz w:val="20"/>
          <w:vertAlign w:val="baseline"/>
        </w:rPr>
        <w:t> </w:t>
      </w:r>
      <w:r>
        <w:rPr>
          <w:rFonts w:ascii="Arial" w:hAnsi="Arial"/>
          <w:i/>
          <w:sz w:val="20"/>
          <w:vertAlign w:val="baseline"/>
        </w:rPr>
        <w:t>AMEV-UDC</w:t>
      </w:r>
      <w:r>
        <w:rPr>
          <w:rFonts w:ascii="Arial" w:hAnsi="Arial"/>
          <w:i/>
          <w:spacing w:val="35"/>
          <w:sz w:val="20"/>
          <w:vertAlign w:val="baseline"/>
        </w:rPr>
        <w:t> </w:t>
      </w:r>
      <w:r>
        <w:rPr>
          <w:rFonts w:ascii="Arial" w:hAnsi="Arial"/>
          <w:i/>
          <w:sz w:val="20"/>
          <w:vertAlign w:val="baseline"/>
        </w:rPr>
        <w:t>Finance</w:t>
      </w:r>
      <w:r>
        <w:rPr>
          <w:rFonts w:ascii="Arial" w:hAnsi="Arial"/>
          <w:i/>
          <w:spacing w:val="35"/>
          <w:sz w:val="20"/>
          <w:vertAlign w:val="baseline"/>
        </w:rPr>
        <w:t> </w:t>
      </w:r>
      <w:r>
        <w:rPr>
          <w:rFonts w:ascii="Arial" w:hAnsi="Arial"/>
          <w:i/>
          <w:sz w:val="20"/>
          <w:vertAlign w:val="baseline"/>
        </w:rPr>
        <w:t>Ltd</w:t>
      </w:r>
      <w:r>
        <w:rPr>
          <w:rFonts w:ascii="Arial" w:hAnsi="Arial"/>
          <w:i/>
          <w:spacing w:val="35"/>
          <w:sz w:val="20"/>
          <w:vertAlign w:val="baseline"/>
        </w:rPr>
        <w:t> </w:t>
      </w:r>
      <w:r>
        <w:rPr>
          <w:rFonts w:ascii="Arial" w:hAnsi="Arial"/>
          <w:i/>
          <w:sz w:val="20"/>
          <w:vertAlign w:val="baseline"/>
        </w:rPr>
        <w:t>v</w:t>
      </w:r>
      <w:r>
        <w:rPr>
          <w:rFonts w:ascii="Arial" w:hAnsi="Arial"/>
          <w:i/>
          <w:spacing w:val="35"/>
          <w:sz w:val="20"/>
          <w:vertAlign w:val="baseline"/>
        </w:rPr>
        <w:t> </w:t>
      </w:r>
      <w:r>
        <w:rPr>
          <w:rFonts w:ascii="Arial" w:hAnsi="Arial"/>
          <w:i/>
          <w:spacing w:val="-2"/>
          <w:sz w:val="20"/>
          <w:vertAlign w:val="baseline"/>
        </w:rPr>
        <w:t>Austin</w:t>
      </w:r>
    </w:p>
    <w:p>
      <w:pPr>
        <w:spacing w:line="223" w:lineRule="exact" w:before="0"/>
        <w:ind w:left="705" w:right="0" w:firstLine="0"/>
        <w:jc w:val="both"/>
        <w:rPr>
          <w:sz w:val="20"/>
        </w:rPr>
      </w:pPr>
      <w:r>
        <w:rPr>
          <w:rFonts w:ascii="Arial"/>
          <w:i/>
          <w:sz w:val="20"/>
        </w:rPr>
        <w:t>(1986)</w:t>
      </w:r>
      <w:r>
        <w:rPr>
          <w:rFonts w:ascii="Arial"/>
          <w:i/>
          <w:spacing w:val="-1"/>
          <w:sz w:val="20"/>
        </w:rPr>
        <w:t> </w:t>
      </w:r>
      <w:r>
        <w:rPr>
          <w:rFonts w:ascii="Arial"/>
          <w:i/>
          <w:sz w:val="20"/>
        </w:rPr>
        <w:t>162 C.L.R. 170</w:t>
      </w:r>
      <w:r>
        <w:rPr>
          <w:sz w:val="20"/>
        </w:rPr>
        <w:t>; cf. </w:t>
      </w:r>
      <w:r>
        <w:rPr>
          <w:rFonts w:ascii="Arial"/>
          <w:i/>
          <w:sz w:val="20"/>
        </w:rPr>
        <w:t>Esanda Finance Corp Ltd v Plessing (1989) 166 C.L.R. </w:t>
      </w:r>
      <w:r>
        <w:rPr>
          <w:rFonts w:ascii="Arial"/>
          <w:i/>
          <w:spacing w:val="-4"/>
          <w:sz w:val="20"/>
        </w:rPr>
        <w:t>131</w:t>
      </w:r>
      <w:r>
        <w:rPr>
          <w:spacing w:val="-4"/>
          <w:sz w:val="20"/>
        </w:rPr>
        <w:t>.</w:t>
      </w:r>
    </w:p>
    <w:p>
      <w:pPr>
        <w:pStyle w:val="BodyText"/>
        <w:spacing w:before="125"/>
      </w:pPr>
    </w:p>
    <w:p>
      <w:pPr>
        <w:spacing w:before="0"/>
        <w:ind w:left="165" w:right="0" w:firstLine="0"/>
        <w:jc w:val="left"/>
        <w:rPr>
          <w:sz w:val="20"/>
        </w:rPr>
      </w:pPr>
      <w:bookmarkStart w:name="_bookmark2320" w:id="2322"/>
      <w:bookmarkEnd w:id="2322"/>
      <w:r>
        <w:rPr/>
      </w:r>
      <w:hyperlink w:history="true" w:anchor="_bookmark2304">
        <w:r>
          <w:rPr>
            <w:color w:val="005DA1"/>
            <w:sz w:val="20"/>
            <w:u w:val="single" w:color="005DA1"/>
            <w:vertAlign w:val="superscript"/>
          </w:rPr>
          <w:t>1214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947" name="Image 947"/>
            <wp:cNvGraphicFramePr>
              <a:graphicFrameLocks/>
            </wp:cNvGraphicFramePr>
            <a:graphic>
              <a:graphicData uri="http://schemas.openxmlformats.org/drawingml/2006/picture">
                <pic:pic>
                  <pic:nvPicPr>
                    <pic:cNvPr id="947" name="Image 9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The</w:t>
      </w:r>
      <w:r>
        <w:rPr>
          <w:rFonts w:ascii="Arial" w:hAnsi="Arial"/>
          <w:i/>
          <w:spacing w:val="2"/>
          <w:sz w:val="20"/>
          <w:vertAlign w:val="baseline"/>
        </w:rPr>
        <w:t> </w:t>
      </w:r>
      <w:r>
        <w:rPr>
          <w:rFonts w:ascii="Arial" w:hAnsi="Arial"/>
          <w:i/>
          <w:sz w:val="20"/>
          <w:vertAlign w:val="baseline"/>
        </w:rPr>
        <w:t>Angelic</w:t>
      </w:r>
      <w:r>
        <w:rPr>
          <w:rFonts w:ascii="Arial" w:hAnsi="Arial"/>
          <w:i/>
          <w:spacing w:val="1"/>
          <w:sz w:val="20"/>
          <w:vertAlign w:val="baseline"/>
        </w:rPr>
        <w:t> </w:t>
      </w:r>
      <w:r>
        <w:rPr>
          <w:rFonts w:ascii="Arial" w:hAnsi="Arial"/>
          <w:i/>
          <w:sz w:val="20"/>
          <w:vertAlign w:val="baseline"/>
        </w:rPr>
        <w:t>Star</w:t>
      </w:r>
      <w:r>
        <w:rPr>
          <w:rFonts w:ascii="Arial" w:hAnsi="Arial"/>
          <w:i/>
          <w:spacing w:val="2"/>
          <w:sz w:val="20"/>
          <w:vertAlign w:val="baseline"/>
        </w:rPr>
        <w:t> </w:t>
      </w:r>
      <w:r>
        <w:rPr>
          <w:rFonts w:ascii="Arial" w:hAnsi="Arial"/>
          <w:i/>
          <w:sz w:val="20"/>
          <w:vertAlign w:val="baseline"/>
        </w:rPr>
        <w:t>[1988]</w:t>
      </w:r>
      <w:r>
        <w:rPr>
          <w:rFonts w:ascii="Arial" w:hAnsi="Arial"/>
          <w:i/>
          <w:spacing w:val="2"/>
          <w:sz w:val="20"/>
          <w:vertAlign w:val="baseline"/>
        </w:rPr>
        <w:t> </w:t>
      </w:r>
      <w:r>
        <w:rPr>
          <w:rFonts w:ascii="Arial" w:hAnsi="Arial"/>
          <w:i/>
          <w:sz w:val="20"/>
          <w:vertAlign w:val="baseline"/>
        </w:rPr>
        <w:t>1</w:t>
      </w:r>
      <w:r>
        <w:rPr>
          <w:rFonts w:ascii="Arial" w:hAnsi="Arial"/>
          <w:i/>
          <w:spacing w:val="2"/>
          <w:sz w:val="20"/>
          <w:vertAlign w:val="baseline"/>
        </w:rPr>
        <w:t> </w:t>
      </w:r>
      <w:r>
        <w:rPr>
          <w:rFonts w:ascii="Arial" w:hAnsi="Arial"/>
          <w:i/>
          <w:sz w:val="20"/>
          <w:vertAlign w:val="baseline"/>
        </w:rPr>
        <w:t>Lloyd’s</w:t>
      </w:r>
      <w:r>
        <w:rPr>
          <w:rFonts w:ascii="Arial" w:hAnsi="Arial"/>
          <w:i/>
          <w:spacing w:val="1"/>
          <w:sz w:val="20"/>
          <w:vertAlign w:val="baseline"/>
        </w:rPr>
        <w:t> </w:t>
      </w:r>
      <w:r>
        <w:rPr>
          <w:rFonts w:ascii="Arial" w:hAnsi="Arial"/>
          <w:i/>
          <w:sz w:val="20"/>
          <w:vertAlign w:val="baseline"/>
        </w:rPr>
        <w:t>Rep.</w:t>
      </w:r>
      <w:r>
        <w:rPr>
          <w:rFonts w:ascii="Arial" w:hAnsi="Arial"/>
          <w:i/>
          <w:spacing w:val="2"/>
          <w:sz w:val="20"/>
          <w:vertAlign w:val="baseline"/>
        </w:rPr>
        <w:t> </w:t>
      </w:r>
      <w:r>
        <w:rPr>
          <w:rFonts w:ascii="Arial" w:hAnsi="Arial"/>
          <w:i/>
          <w:sz w:val="20"/>
          <w:vertAlign w:val="baseline"/>
        </w:rPr>
        <w:t>122,</w:t>
      </w:r>
      <w:r>
        <w:rPr>
          <w:rFonts w:ascii="Arial" w:hAnsi="Arial"/>
          <w:i/>
          <w:spacing w:val="2"/>
          <w:sz w:val="20"/>
          <w:vertAlign w:val="baseline"/>
        </w:rPr>
        <w:t> </w:t>
      </w:r>
      <w:r>
        <w:rPr>
          <w:rFonts w:ascii="Arial" w:hAnsi="Arial"/>
          <w:i/>
          <w:sz w:val="20"/>
          <w:vertAlign w:val="baseline"/>
        </w:rPr>
        <w:t>125,</w:t>
      </w:r>
      <w:r>
        <w:rPr>
          <w:rFonts w:ascii="Arial" w:hAnsi="Arial"/>
          <w:i/>
          <w:spacing w:val="2"/>
          <w:sz w:val="20"/>
          <w:vertAlign w:val="baseline"/>
        </w:rPr>
        <w:t> </w:t>
      </w:r>
      <w:r>
        <w:rPr>
          <w:rFonts w:ascii="Arial" w:hAnsi="Arial"/>
          <w:i/>
          <w:spacing w:val="-4"/>
          <w:sz w:val="20"/>
          <w:vertAlign w:val="baseline"/>
        </w:rPr>
        <w:t>127</w:t>
      </w:r>
      <w:r>
        <w:rPr>
          <w:spacing w:val="-4"/>
          <w:sz w:val="20"/>
          <w:vertAlign w:val="baseline"/>
        </w:rPr>
        <w:t>.</w:t>
      </w:r>
    </w:p>
    <w:p>
      <w:pPr>
        <w:pStyle w:val="BodyText"/>
        <w:spacing w:before="128"/>
      </w:pPr>
    </w:p>
    <w:p>
      <w:pPr>
        <w:spacing w:line="235" w:lineRule="auto" w:before="0"/>
        <w:ind w:left="705" w:right="168" w:hanging="541"/>
        <w:jc w:val="both"/>
        <w:rPr>
          <w:sz w:val="20"/>
        </w:rPr>
      </w:pPr>
      <w:bookmarkStart w:name="_bookmark2321" w:id="2323"/>
      <w:bookmarkEnd w:id="2323"/>
      <w:r>
        <w:rPr/>
      </w:r>
      <w:hyperlink w:history="true" w:anchor="_bookmark2305">
        <w:r>
          <w:rPr>
            <w:color w:val="005DA1"/>
            <w:sz w:val="20"/>
            <w:u w:val="single" w:color="005DA1"/>
            <w:vertAlign w:val="superscript"/>
          </w:rPr>
          <w:t>1215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948" name="Image 948"/>
            <wp:cNvGraphicFramePr>
              <a:graphicFrameLocks/>
            </wp:cNvGraphicFramePr>
            <a:graphic>
              <a:graphicData uri="http://schemas.openxmlformats.org/drawingml/2006/picture">
                <pic:pic>
                  <pic:nvPicPr>
                    <pic:cNvPr id="948" name="Image 9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The Angelic Star [1988] 1 Lloyd’s Rep. 122</w:t>
      </w:r>
      <w:r>
        <w:rPr>
          <w:sz w:val="20"/>
          <w:vertAlign w:val="baseline"/>
        </w:rPr>
        <w:t>. cf. </w:t>
      </w:r>
      <w:r>
        <w:rPr>
          <w:rFonts w:ascii="Arial" w:hAnsi="Arial"/>
          <w:i/>
          <w:sz w:val="20"/>
          <w:vertAlign w:val="baseline"/>
        </w:rPr>
        <w:t>Lordsvale Finance Plc v Bank of Zambia</w:t>
      </w:r>
      <w:r>
        <w:rPr>
          <w:rFonts w:ascii="Arial" w:hAnsi="Arial"/>
          <w:i/>
          <w:spacing w:val="80"/>
          <w:sz w:val="20"/>
          <w:vertAlign w:val="baseline"/>
        </w:rPr>
        <w:t> </w:t>
      </w:r>
      <w:r>
        <w:rPr>
          <w:rFonts w:ascii="Arial" w:hAnsi="Arial"/>
          <w:i/>
          <w:sz w:val="20"/>
          <w:vertAlign w:val="baseline"/>
        </w:rPr>
        <w:t>[1996] Q.B. 752 </w:t>
      </w:r>
      <w:r>
        <w:rPr>
          <w:sz w:val="20"/>
          <w:vertAlign w:val="baseline"/>
        </w:rPr>
        <w:t>(see above, para.26-193).</w:t>
      </w:r>
    </w:p>
    <w:p>
      <w:pPr>
        <w:pStyle w:val="BodyText"/>
        <w:spacing w:before="126"/>
      </w:pPr>
    </w:p>
    <w:p>
      <w:pPr>
        <w:pStyle w:val="BodyText"/>
        <w:ind w:left="165"/>
      </w:pPr>
      <w:bookmarkStart w:name="_bookmark2322" w:id="2324"/>
      <w:bookmarkEnd w:id="2324"/>
      <w:r>
        <w:rPr/>
      </w:r>
      <w:hyperlink w:history="true" w:anchor="_bookmark2306">
        <w:r>
          <w:rPr>
            <w:color w:val="005DA1"/>
            <w:u w:val="single" w:color="005DA1"/>
            <w:vertAlign w:val="superscript"/>
          </w:rPr>
          <w:t>1216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949" name="Image 949"/>
            <wp:cNvGraphicFramePr>
              <a:graphicFrameLocks/>
            </wp:cNvGraphicFramePr>
            <a:graphic>
              <a:graphicData uri="http://schemas.openxmlformats.org/drawingml/2006/picture">
                <pic:pic>
                  <pic:nvPicPr>
                    <pic:cNvPr id="949" name="Image 9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192.</w:t>
      </w:r>
    </w:p>
    <w:p>
      <w:pPr>
        <w:pStyle w:val="BodyText"/>
        <w:spacing w:after="0"/>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307">
        <w:r>
          <w:rPr>
            <w:color w:val="005DA1"/>
            <w:spacing w:val="-2"/>
            <w:sz w:val="14"/>
            <w:u w:val="single" w:color="005DA1"/>
          </w:rPr>
          <w:t>1217</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57152">
            <wp:simplePos x="0" y="0"/>
            <wp:positionH relativeFrom="page">
              <wp:posOffset>1257846</wp:posOffset>
            </wp:positionH>
            <wp:positionV relativeFrom="paragraph">
              <wp:posOffset>12632</wp:posOffset>
            </wp:positionV>
            <wp:extent cx="107988" cy="107988"/>
            <wp:effectExtent l="0" t="0" r="0" b="0"/>
            <wp:wrapNone/>
            <wp:docPr id="950" name="Image 950"/>
            <wp:cNvGraphicFramePr>
              <a:graphicFrameLocks/>
            </wp:cNvGraphicFramePr>
            <a:graphic>
              <a:graphicData uri="http://schemas.openxmlformats.org/drawingml/2006/picture">
                <pic:pic>
                  <pic:nvPicPr>
                    <pic:cNvPr id="950" name="Image 95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Financings</w:t>
      </w:r>
      <w:r>
        <w:rPr>
          <w:rFonts w:ascii="Arial" w:hAnsi="Arial"/>
          <w:i/>
          <w:spacing w:val="-1"/>
          <w:sz w:val="20"/>
        </w:rPr>
        <w:t> </w:t>
      </w:r>
      <w:r>
        <w:rPr>
          <w:rFonts w:ascii="Arial" w:hAnsi="Arial"/>
          <w:i/>
          <w:sz w:val="20"/>
        </w:rPr>
        <w:t>Ltd v Baldock [1963] 2 Q.B. 104</w:t>
      </w:r>
      <w:r>
        <w:rPr>
          <w:sz w:val="20"/>
        </w:rPr>
        <w:t>. (A “minimum payment” clause specifying a </w:t>
      </w:r>
      <w:r>
        <w:rPr>
          <w:spacing w:val="-2"/>
          <w:sz w:val="20"/>
        </w:rPr>
        <w:t>larger</w:t>
      </w:r>
    </w:p>
    <w:p>
      <w:pPr>
        <w:spacing w:line="235" w:lineRule="auto" w:before="1"/>
        <w:ind w:left="705" w:right="167" w:firstLine="0"/>
        <w:jc w:val="both"/>
        <w:rPr>
          <w:sz w:val="20"/>
        </w:rPr>
      </w:pPr>
      <w:r>
        <w:rPr>
          <w:sz w:val="20"/>
        </w:rPr>
        <w:t>sum will be held to be a penalty: see above, para.26-192.) The principle stated in the text has been regularly followed by the Court of Appeal: </w:t>
      </w:r>
      <w:r>
        <w:rPr>
          <w:rFonts w:ascii="Arial" w:hAnsi="Arial"/>
          <w:i/>
          <w:sz w:val="20"/>
        </w:rPr>
        <w:t>Brady v St Margaret’s Trust Ltd [1963] 2 </w:t>
      </w:r>
      <w:r>
        <w:rPr>
          <w:rFonts w:ascii="Arial" w:hAnsi="Arial"/>
          <w:i/>
          <w:sz w:val="20"/>
        </w:rPr>
        <w:t>Q.B. 494</w:t>
      </w:r>
      <w:r>
        <w:rPr>
          <w:sz w:val="20"/>
        </w:rPr>
        <w:t>; </w:t>
      </w:r>
      <w:r>
        <w:rPr>
          <w:rFonts w:ascii="Arial" w:hAnsi="Arial"/>
          <w:i/>
          <w:sz w:val="20"/>
        </w:rPr>
        <w:t>Charterhouse Credit Co Ltd v Tolly [1963] 2 Q.B. 683</w:t>
      </w:r>
      <w:r>
        <w:rPr>
          <w:sz w:val="20"/>
        </w:rPr>
        <w:t>; </w:t>
      </w:r>
      <w:r>
        <w:rPr>
          <w:rFonts w:ascii="Arial" w:hAnsi="Arial"/>
          <w:i/>
          <w:sz w:val="20"/>
        </w:rPr>
        <w:t>United Dominions Trust (Commercial) Ltd v Ennis [1968] 1 Q.B. 54</w:t>
      </w:r>
      <w:r>
        <w:rPr>
          <w:sz w:val="20"/>
        </w:rPr>
        <w:t>; </w:t>
      </w:r>
      <w:r>
        <w:rPr>
          <w:rFonts w:ascii="Arial" w:hAnsi="Arial"/>
          <w:i/>
          <w:sz w:val="20"/>
        </w:rPr>
        <w:t>Capital Finance Co Ltd v Donati (1977) 121 S.J. 270</w:t>
      </w:r>
      <w:r>
        <w:rPr>
          <w:sz w:val="20"/>
        </w:rPr>
        <w:t>; </w:t>
      </w:r>
      <w:r>
        <w:rPr>
          <w:rFonts w:ascii="Arial" w:hAnsi="Arial"/>
          <w:i/>
          <w:sz w:val="20"/>
        </w:rPr>
        <w:t>Lombard North Central Plc v Butterworth [1987] Q.B. 527</w:t>
      </w:r>
      <w:r>
        <w:rPr>
          <w:sz w:val="20"/>
        </w:rPr>
        <w:t>. See also the Australian cases cited, above, para.26-216A, n.1118p.</w:t>
      </w:r>
    </w:p>
    <w:p>
      <w:pPr>
        <w:pStyle w:val="BodyText"/>
        <w:spacing w:before="11"/>
      </w:pPr>
    </w:p>
    <w:p>
      <w:pPr>
        <w:spacing w:line="137" w:lineRule="exact" w:before="0"/>
        <w:ind w:left="165" w:right="0" w:firstLine="0"/>
        <w:jc w:val="left"/>
        <w:rPr>
          <w:sz w:val="14"/>
        </w:rPr>
      </w:pPr>
      <w:bookmarkStart w:name="_bookmark2323" w:id="2325"/>
      <w:bookmarkEnd w:id="2325"/>
      <w:r>
        <w:rPr/>
      </w:r>
      <w:hyperlink w:history="true" w:anchor="_bookmark2308">
        <w:r>
          <w:rPr>
            <w:color w:val="005DA1"/>
            <w:spacing w:val="-2"/>
            <w:sz w:val="14"/>
            <w:u w:val="single" w:color="005DA1"/>
          </w:rPr>
          <w:t>1218</w:t>
        </w:r>
      </w:hyperlink>
      <w:r>
        <w:rPr>
          <w:spacing w:val="-2"/>
          <w:sz w:val="14"/>
        </w:rPr>
        <w:t>.</w:t>
      </w:r>
    </w:p>
    <w:p>
      <w:pPr>
        <w:pStyle w:val="BodyText"/>
        <w:spacing w:line="206" w:lineRule="exact"/>
        <w:ind w:left="875"/>
        <w:jc w:val="both"/>
      </w:pPr>
      <w:r>
        <w:rPr/>
        <w:drawing>
          <wp:anchor distT="0" distB="0" distL="0" distR="0" allowOverlap="1" layoutInCell="1" locked="0" behindDoc="0" simplePos="0" relativeHeight="15857664">
            <wp:simplePos x="0" y="0"/>
            <wp:positionH relativeFrom="page">
              <wp:posOffset>1257846</wp:posOffset>
            </wp:positionH>
            <wp:positionV relativeFrom="paragraph">
              <wp:posOffset>12914</wp:posOffset>
            </wp:positionV>
            <wp:extent cx="107988" cy="107988"/>
            <wp:effectExtent l="0" t="0" r="0" b="0"/>
            <wp:wrapNone/>
            <wp:docPr id="951" name="Image 951"/>
            <wp:cNvGraphicFramePr>
              <a:graphicFrameLocks/>
            </wp:cNvGraphicFramePr>
            <a:graphic>
              <a:graphicData uri="http://schemas.openxmlformats.org/drawingml/2006/picture">
                <pic:pic>
                  <pic:nvPicPr>
                    <pic:cNvPr id="951" name="Image 951"/>
                    <pic:cNvPicPr/>
                  </pic:nvPicPr>
                  <pic:blipFill>
                    <a:blip r:embed="rId6" cstate="print"/>
                    <a:stretch>
                      <a:fillRect/>
                    </a:stretch>
                  </pic:blipFill>
                  <pic:spPr>
                    <a:xfrm>
                      <a:off x="0" y="0"/>
                      <a:ext cx="107988" cy="107988"/>
                    </a:xfrm>
                    <a:prstGeom prst="rect">
                      <a:avLst/>
                    </a:prstGeom>
                  </pic:spPr>
                </pic:pic>
              </a:graphicData>
            </a:graphic>
          </wp:anchor>
        </w:drawing>
      </w:r>
      <w:r>
        <w:rPr/>
        <w:t>See paras 21-011 et </w:t>
      </w:r>
      <w:r>
        <w:rPr>
          <w:spacing w:val="-4"/>
        </w:rPr>
        <w:t>seq.</w:t>
      </w:r>
    </w:p>
    <w:p>
      <w:pPr>
        <w:pStyle w:val="BodyText"/>
        <w:spacing w:before="12"/>
      </w:pPr>
    </w:p>
    <w:p>
      <w:pPr>
        <w:spacing w:line="137" w:lineRule="exact" w:before="0"/>
        <w:ind w:left="165" w:right="0" w:firstLine="0"/>
        <w:jc w:val="left"/>
        <w:rPr>
          <w:sz w:val="14"/>
        </w:rPr>
      </w:pPr>
      <w:bookmarkStart w:name="_bookmark2324" w:id="2326"/>
      <w:bookmarkEnd w:id="2326"/>
      <w:r>
        <w:rPr/>
      </w:r>
      <w:hyperlink w:history="true" w:anchor="_bookmark2309">
        <w:r>
          <w:rPr>
            <w:color w:val="005DA1"/>
            <w:spacing w:val="-2"/>
            <w:sz w:val="14"/>
            <w:u w:val="single" w:color="005DA1"/>
          </w:rPr>
          <w:t>1219</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58176">
            <wp:simplePos x="0" y="0"/>
            <wp:positionH relativeFrom="page">
              <wp:posOffset>1257846</wp:posOffset>
            </wp:positionH>
            <wp:positionV relativeFrom="paragraph">
              <wp:posOffset>13065</wp:posOffset>
            </wp:positionV>
            <wp:extent cx="107988" cy="107988"/>
            <wp:effectExtent l="0" t="0" r="0" b="0"/>
            <wp:wrapNone/>
            <wp:docPr id="952" name="Image 952"/>
            <wp:cNvGraphicFramePr>
              <a:graphicFrameLocks/>
            </wp:cNvGraphicFramePr>
            <a:graphic>
              <a:graphicData uri="http://schemas.openxmlformats.org/drawingml/2006/picture">
                <pic:pic>
                  <pic:nvPicPr>
                    <pic:cNvPr id="952" name="Image 952"/>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w:t>
      </w:r>
      <w:r>
        <w:rPr>
          <w:spacing w:val="31"/>
          <w:sz w:val="20"/>
        </w:rPr>
        <w:t> </w:t>
      </w:r>
      <w:r>
        <w:rPr>
          <w:rFonts w:ascii="Arial"/>
          <w:i/>
          <w:sz w:val="20"/>
        </w:rPr>
        <w:t>Lombard</w:t>
      </w:r>
      <w:r>
        <w:rPr>
          <w:rFonts w:ascii="Arial"/>
          <w:i/>
          <w:spacing w:val="32"/>
          <w:sz w:val="20"/>
        </w:rPr>
        <w:t> </w:t>
      </w:r>
      <w:r>
        <w:rPr>
          <w:rFonts w:ascii="Arial"/>
          <w:i/>
          <w:sz w:val="20"/>
        </w:rPr>
        <w:t>case</w:t>
      </w:r>
      <w:r>
        <w:rPr>
          <w:rFonts w:ascii="Arial"/>
          <w:i/>
          <w:spacing w:val="32"/>
          <w:sz w:val="20"/>
        </w:rPr>
        <w:t> </w:t>
      </w:r>
      <w:r>
        <w:rPr>
          <w:rFonts w:ascii="Arial"/>
          <w:i/>
          <w:sz w:val="20"/>
        </w:rPr>
        <w:t>[1987]</w:t>
      </w:r>
      <w:r>
        <w:rPr>
          <w:rFonts w:ascii="Arial"/>
          <w:i/>
          <w:spacing w:val="32"/>
          <w:sz w:val="20"/>
        </w:rPr>
        <w:t> </w:t>
      </w:r>
      <w:r>
        <w:rPr>
          <w:rFonts w:ascii="Arial"/>
          <w:i/>
          <w:sz w:val="20"/>
        </w:rPr>
        <w:t>Q.B.</w:t>
      </w:r>
      <w:r>
        <w:rPr>
          <w:rFonts w:ascii="Arial"/>
          <w:i/>
          <w:spacing w:val="32"/>
          <w:sz w:val="20"/>
        </w:rPr>
        <w:t> </w:t>
      </w:r>
      <w:r>
        <w:rPr>
          <w:rFonts w:ascii="Arial"/>
          <w:i/>
          <w:sz w:val="20"/>
        </w:rPr>
        <w:t>527</w:t>
      </w:r>
      <w:r>
        <w:rPr>
          <w:sz w:val="20"/>
        </w:rPr>
        <w:t>.</w:t>
      </w:r>
      <w:r>
        <w:rPr>
          <w:spacing w:val="32"/>
          <w:sz w:val="20"/>
        </w:rPr>
        <w:t> </w:t>
      </w:r>
      <w:r>
        <w:rPr>
          <w:sz w:val="20"/>
        </w:rPr>
        <w:t>See</w:t>
      </w:r>
      <w:r>
        <w:rPr>
          <w:spacing w:val="32"/>
          <w:sz w:val="20"/>
        </w:rPr>
        <w:t> </w:t>
      </w:r>
      <w:r>
        <w:rPr>
          <w:sz w:val="20"/>
        </w:rPr>
        <w:t>Treitel</w:t>
      </w:r>
      <w:r>
        <w:rPr>
          <w:spacing w:val="32"/>
          <w:sz w:val="20"/>
        </w:rPr>
        <w:t> </w:t>
      </w:r>
      <w:r>
        <w:rPr>
          <w:sz w:val="20"/>
        </w:rPr>
        <w:t>[1987]</w:t>
      </w:r>
      <w:r>
        <w:rPr>
          <w:spacing w:val="32"/>
          <w:sz w:val="20"/>
        </w:rPr>
        <w:t> </w:t>
      </w:r>
      <w:r>
        <w:rPr>
          <w:sz w:val="20"/>
        </w:rPr>
        <w:t>L.M.C.L.Q.</w:t>
      </w:r>
      <w:r>
        <w:rPr>
          <w:spacing w:val="32"/>
          <w:sz w:val="20"/>
        </w:rPr>
        <w:t> </w:t>
      </w:r>
      <w:r>
        <w:rPr>
          <w:sz w:val="20"/>
        </w:rPr>
        <w:t>143;</w:t>
      </w:r>
      <w:r>
        <w:rPr>
          <w:spacing w:val="32"/>
          <w:sz w:val="20"/>
        </w:rPr>
        <w:t> </w:t>
      </w:r>
      <w:r>
        <w:rPr>
          <w:sz w:val="20"/>
        </w:rPr>
        <w:t>Beale</w:t>
      </w:r>
      <w:r>
        <w:rPr>
          <w:spacing w:val="32"/>
          <w:sz w:val="20"/>
        </w:rPr>
        <w:t> </w:t>
      </w:r>
      <w:r>
        <w:rPr>
          <w:sz w:val="20"/>
        </w:rPr>
        <w:t>(1988)</w:t>
      </w:r>
      <w:r>
        <w:rPr>
          <w:spacing w:val="32"/>
          <w:sz w:val="20"/>
        </w:rPr>
        <w:t> </w:t>
      </w:r>
      <w:r>
        <w:rPr>
          <w:spacing w:val="-5"/>
          <w:sz w:val="20"/>
        </w:rPr>
        <w:t>104</w:t>
      </w:r>
    </w:p>
    <w:p>
      <w:pPr>
        <w:pStyle w:val="BodyText"/>
        <w:spacing w:line="227" w:lineRule="exact"/>
        <w:ind w:left="705"/>
      </w:pPr>
      <w:r>
        <w:rPr/>
        <w:t>L.Q.R. </w:t>
      </w:r>
      <w:r>
        <w:rPr>
          <w:spacing w:val="-4"/>
        </w:rPr>
        <w:t>355.</w:t>
      </w:r>
    </w:p>
    <w:p>
      <w:pPr>
        <w:pStyle w:val="BodyText"/>
        <w:spacing w:before="12"/>
      </w:pPr>
    </w:p>
    <w:p>
      <w:pPr>
        <w:spacing w:line="137" w:lineRule="exact" w:before="1"/>
        <w:ind w:left="165" w:right="0" w:firstLine="0"/>
        <w:jc w:val="left"/>
        <w:rPr>
          <w:sz w:val="14"/>
        </w:rPr>
      </w:pPr>
      <w:bookmarkStart w:name="_bookmark2325" w:id="2327"/>
      <w:bookmarkEnd w:id="2327"/>
      <w:r>
        <w:rPr/>
      </w:r>
      <w:hyperlink w:history="true" w:anchor="_bookmark2310">
        <w:r>
          <w:rPr>
            <w:color w:val="005DA1"/>
            <w:spacing w:val="-2"/>
            <w:sz w:val="14"/>
            <w:u w:val="single" w:color="005DA1"/>
          </w:rPr>
          <w:t>1220</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58688">
            <wp:simplePos x="0" y="0"/>
            <wp:positionH relativeFrom="page">
              <wp:posOffset>1257846</wp:posOffset>
            </wp:positionH>
            <wp:positionV relativeFrom="paragraph">
              <wp:posOffset>12582</wp:posOffset>
            </wp:positionV>
            <wp:extent cx="107988" cy="107988"/>
            <wp:effectExtent l="0" t="0" r="0" b="0"/>
            <wp:wrapNone/>
            <wp:docPr id="953" name="Image 953"/>
            <wp:cNvGraphicFramePr>
              <a:graphicFrameLocks/>
            </wp:cNvGraphicFramePr>
            <a:graphic>
              <a:graphicData uri="http://schemas.openxmlformats.org/drawingml/2006/picture">
                <pic:pic>
                  <pic:nvPicPr>
                    <pic:cNvPr id="953" name="Image 953"/>
                    <pic:cNvPicPr/>
                  </pic:nvPicPr>
                  <pic:blipFill>
                    <a:blip r:embed="rId6" cstate="print"/>
                    <a:stretch>
                      <a:fillRect/>
                    </a:stretch>
                  </pic:blipFill>
                  <pic:spPr>
                    <a:xfrm>
                      <a:off x="0" y="0"/>
                      <a:ext cx="107988" cy="107988"/>
                    </a:xfrm>
                    <a:prstGeom prst="rect">
                      <a:avLst/>
                    </a:prstGeom>
                  </pic:spPr>
                </pic:pic>
              </a:graphicData>
            </a:graphic>
          </wp:anchor>
        </w:drawing>
      </w:r>
      <w:r>
        <w:rPr>
          <w:sz w:val="20"/>
        </w:rPr>
        <w:t>In</w:t>
      </w:r>
      <w:r>
        <w:rPr>
          <w:spacing w:val="15"/>
          <w:sz w:val="20"/>
        </w:rPr>
        <w:t> </w:t>
      </w:r>
      <w:r>
        <w:rPr>
          <w:sz w:val="20"/>
        </w:rPr>
        <w:t>the</w:t>
      </w:r>
      <w:r>
        <w:rPr>
          <w:spacing w:val="16"/>
          <w:sz w:val="20"/>
        </w:rPr>
        <w:t> </w:t>
      </w:r>
      <w:r>
        <w:rPr>
          <w:rFonts w:ascii="Arial"/>
          <w:i/>
          <w:sz w:val="20"/>
        </w:rPr>
        <w:t>Lombard</w:t>
      </w:r>
      <w:r>
        <w:rPr>
          <w:rFonts w:ascii="Arial"/>
          <w:i/>
          <w:spacing w:val="16"/>
          <w:sz w:val="20"/>
        </w:rPr>
        <w:t> </w:t>
      </w:r>
      <w:r>
        <w:rPr>
          <w:rFonts w:ascii="Arial"/>
          <w:i/>
          <w:sz w:val="20"/>
        </w:rPr>
        <w:t>case</w:t>
      </w:r>
      <w:r>
        <w:rPr>
          <w:rFonts w:ascii="Arial"/>
          <w:i/>
          <w:spacing w:val="16"/>
          <w:sz w:val="20"/>
        </w:rPr>
        <w:t> </w:t>
      </w:r>
      <w:r>
        <w:rPr>
          <w:rFonts w:ascii="Arial"/>
          <w:i/>
          <w:sz w:val="20"/>
        </w:rPr>
        <w:t>[1987]</w:t>
      </w:r>
      <w:r>
        <w:rPr>
          <w:rFonts w:ascii="Arial"/>
          <w:i/>
          <w:spacing w:val="16"/>
          <w:sz w:val="20"/>
        </w:rPr>
        <w:t> </w:t>
      </w:r>
      <w:r>
        <w:rPr>
          <w:rFonts w:ascii="Arial"/>
          <w:i/>
          <w:sz w:val="20"/>
        </w:rPr>
        <w:t>Q.B.</w:t>
      </w:r>
      <w:r>
        <w:rPr>
          <w:rFonts w:ascii="Arial"/>
          <w:i/>
          <w:spacing w:val="16"/>
          <w:sz w:val="20"/>
        </w:rPr>
        <w:t> </w:t>
      </w:r>
      <w:r>
        <w:rPr>
          <w:rFonts w:ascii="Arial"/>
          <w:i/>
          <w:sz w:val="20"/>
        </w:rPr>
        <w:t>527</w:t>
      </w:r>
      <w:r>
        <w:rPr>
          <w:sz w:val="20"/>
        </w:rPr>
        <w:t>,</w:t>
      </w:r>
      <w:r>
        <w:rPr>
          <w:spacing w:val="16"/>
          <w:sz w:val="20"/>
        </w:rPr>
        <w:t> </w:t>
      </w:r>
      <w:r>
        <w:rPr>
          <w:sz w:val="20"/>
        </w:rPr>
        <w:t>it</w:t>
      </w:r>
      <w:r>
        <w:rPr>
          <w:spacing w:val="16"/>
          <w:sz w:val="20"/>
        </w:rPr>
        <w:t> </w:t>
      </w:r>
      <w:r>
        <w:rPr>
          <w:sz w:val="20"/>
        </w:rPr>
        <w:t>was</w:t>
      </w:r>
      <w:r>
        <w:rPr>
          <w:spacing w:val="16"/>
          <w:sz w:val="20"/>
        </w:rPr>
        <w:t> </w:t>
      </w:r>
      <w:r>
        <w:rPr>
          <w:sz w:val="20"/>
        </w:rPr>
        <w:t>held</w:t>
      </w:r>
      <w:r>
        <w:rPr>
          <w:spacing w:val="16"/>
          <w:sz w:val="20"/>
        </w:rPr>
        <w:t> </w:t>
      </w:r>
      <w:r>
        <w:rPr>
          <w:sz w:val="20"/>
        </w:rPr>
        <w:t>that,</w:t>
      </w:r>
      <w:r>
        <w:rPr>
          <w:spacing w:val="16"/>
          <w:sz w:val="20"/>
        </w:rPr>
        <w:t> </w:t>
      </w:r>
      <w:r>
        <w:rPr>
          <w:sz w:val="20"/>
        </w:rPr>
        <w:t>according</w:t>
      </w:r>
      <w:r>
        <w:rPr>
          <w:spacing w:val="16"/>
          <w:sz w:val="20"/>
        </w:rPr>
        <w:t> </w:t>
      </w:r>
      <w:r>
        <w:rPr>
          <w:sz w:val="20"/>
        </w:rPr>
        <w:t>to</w:t>
      </w:r>
      <w:r>
        <w:rPr>
          <w:spacing w:val="16"/>
          <w:sz w:val="20"/>
        </w:rPr>
        <w:t> </w:t>
      </w:r>
      <w:r>
        <w:rPr>
          <w:sz w:val="20"/>
        </w:rPr>
        <w:t>common</w:t>
      </w:r>
      <w:r>
        <w:rPr>
          <w:spacing w:val="16"/>
          <w:sz w:val="20"/>
        </w:rPr>
        <w:t> </w:t>
      </w:r>
      <w:r>
        <w:rPr>
          <w:sz w:val="20"/>
        </w:rPr>
        <w:t>law</w:t>
      </w:r>
      <w:r>
        <w:rPr>
          <w:spacing w:val="16"/>
          <w:sz w:val="20"/>
        </w:rPr>
        <w:t> </w:t>
      </w:r>
      <w:r>
        <w:rPr>
          <w:spacing w:val="-2"/>
          <w:sz w:val="20"/>
        </w:rPr>
        <w:t>principles,</w:t>
      </w:r>
    </w:p>
    <w:p>
      <w:pPr>
        <w:pStyle w:val="BodyText"/>
        <w:spacing w:line="235" w:lineRule="auto" w:before="1"/>
        <w:ind w:left="705" w:right="167"/>
        <w:jc w:val="both"/>
      </w:pPr>
      <w:r>
        <w:rPr/>
        <w:t>the hirer had not committed a repudiatory breach of the contract: at 543–545. The court nevertheless awarded as damages at common law almost the same sum which it had previously found not to be a genuine pre-estimate of loss (a penalty).</w:t>
      </w:r>
    </w:p>
    <w:p>
      <w:pPr>
        <w:pStyle w:val="BodyText"/>
        <w:spacing w:before="12"/>
      </w:pPr>
    </w:p>
    <w:p>
      <w:pPr>
        <w:spacing w:line="137" w:lineRule="exact" w:before="0"/>
        <w:ind w:left="165" w:right="0" w:firstLine="0"/>
        <w:jc w:val="left"/>
        <w:rPr>
          <w:sz w:val="14"/>
        </w:rPr>
      </w:pPr>
      <w:bookmarkStart w:name="_bookmark2326" w:id="2328"/>
      <w:bookmarkEnd w:id="2328"/>
      <w:r>
        <w:rPr/>
      </w:r>
      <w:hyperlink w:history="true" w:anchor="_bookmark2311">
        <w:r>
          <w:rPr>
            <w:color w:val="005DA1"/>
            <w:spacing w:val="-2"/>
            <w:sz w:val="14"/>
            <w:u w:val="single" w:color="005DA1"/>
          </w:rPr>
          <w:t>1221</w:t>
        </w:r>
      </w:hyperlink>
      <w:r>
        <w:rPr>
          <w:spacing w:val="-2"/>
          <w:sz w:val="14"/>
        </w:rPr>
        <w:t>.</w:t>
      </w:r>
    </w:p>
    <w:p>
      <w:pPr>
        <w:spacing w:line="206" w:lineRule="exact" w:before="0"/>
        <w:ind w:left="875" w:right="0" w:firstLine="0"/>
        <w:jc w:val="both"/>
        <w:rPr>
          <w:sz w:val="20"/>
        </w:rPr>
      </w:pPr>
      <w:r>
        <w:rPr>
          <w:sz w:val="20"/>
        </w:rPr>
        <w:drawing>
          <wp:anchor distT="0" distB="0" distL="0" distR="0" allowOverlap="1" layoutInCell="1" locked="0" behindDoc="0" simplePos="0" relativeHeight="15859200">
            <wp:simplePos x="0" y="0"/>
            <wp:positionH relativeFrom="page">
              <wp:posOffset>1257846</wp:posOffset>
            </wp:positionH>
            <wp:positionV relativeFrom="paragraph">
              <wp:posOffset>12954</wp:posOffset>
            </wp:positionV>
            <wp:extent cx="107988" cy="107988"/>
            <wp:effectExtent l="0" t="0" r="0" b="0"/>
            <wp:wrapNone/>
            <wp:docPr id="954" name="Image 954"/>
            <wp:cNvGraphicFramePr>
              <a:graphicFrameLocks/>
            </wp:cNvGraphicFramePr>
            <a:graphic>
              <a:graphicData uri="http://schemas.openxmlformats.org/drawingml/2006/picture">
                <pic:pic>
                  <pic:nvPicPr>
                    <pic:cNvPr id="954" name="Image 954"/>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 </w:t>
      </w:r>
      <w:r>
        <w:rPr>
          <w:rFonts w:ascii="Arial" w:hAnsi="Arial"/>
          <w:i/>
          <w:sz w:val="20"/>
        </w:rPr>
        <w:t>Lombard case [1987] Q.B. 527, </w:t>
      </w:r>
      <w:r>
        <w:rPr>
          <w:rFonts w:ascii="Arial" w:hAnsi="Arial"/>
          <w:i/>
          <w:spacing w:val="-2"/>
          <w:sz w:val="20"/>
        </w:rPr>
        <w:t>536–537</w:t>
      </w:r>
      <w:r>
        <w:rPr>
          <w:spacing w:val="-2"/>
          <w:sz w:val="20"/>
        </w:rPr>
        <w:t>.</w:t>
      </w:r>
    </w:p>
    <w:p>
      <w:pPr>
        <w:pStyle w:val="BodyText"/>
        <w:spacing w:before="12"/>
      </w:pPr>
    </w:p>
    <w:p>
      <w:pPr>
        <w:spacing w:line="137" w:lineRule="exact" w:before="0"/>
        <w:ind w:left="165" w:right="0" w:firstLine="0"/>
        <w:jc w:val="left"/>
        <w:rPr>
          <w:sz w:val="14"/>
        </w:rPr>
      </w:pPr>
      <w:bookmarkStart w:name="_bookmark2327" w:id="2329"/>
      <w:bookmarkEnd w:id="2329"/>
      <w:r>
        <w:rPr/>
      </w:r>
      <w:hyperlink w:history="true" w:anchor="_bookmark2312">
        <w:r>
          <w:rPr>
            <w:color w:val="005DA1"/>
            <w:spacing w:val="-2"/>
            <w:sz w:val="14"/>
            <w:u w:val="single" w:color="005DA1"/>
          </w:rPr>
          <w:t>1222</w:t>
        </w:r>
      </w:hyperlink>
      <w:r>
        <w:rPr>
          <w:spacing w:val="-2"/>
          <w:sz w:val="14"/>
        </w:rPr>
        <w:t>.</w:t>
      </w:r>
    </w:p>
    <w:p>
      <w:pPr>
        <w:spacing w:line="206" w:lineRule="exact" w:before="0"/>
        <w:ind w:left="875" w:right="0" w:firstLine="0"/>
        <w:jc w:val="both"/>
        <w:rPr>
          <w:sz w:val="20"/>
        </w:rPr>
      </w:pPr>
      <w:r>
        <w:rPr>
          <w:sz w:val="20"/>
        </w:rPr>
        <w:drawing>
          <wp:anchor distT="0" distB="0" distL="0" distR="0" allowOverlap="1" layoutInCell="1" locked="0" behindDoc="0" simplePos="0" relativeHeight="15859712">
            <wp:simplePos x="0" y="0"/>
            <wp:positionH relativeFrom="page">
              <wp:posOffset>1257846</wp:posOffset>
            </wp:positionH>
            <wp:positionV relativeFrom="paragraph">
              <wp:posOffset>13106</wp:posOffset>
            </wp:positionV>
            <wp:extent cx="107988" cy="107988"/>
            <wp:effectExtent l="0" t="0" r="0" b="0"/>
            <wp:wrapNone/>
            <wp:docPr id="955" name="Image 955"/>
            <wp:cNvGraphicFramePr>
              <a:graphicFrameLocks/>
            </wp:cNvGraphicFramePr>
            <a:graphic>
              <a:graphicData uri="http://schemas.openxmlformats.org/drawingml/2006/picture">
                <pic:pic>
                  <pic:nvPicPr>
                    <pic:cNvPr id="955" name="Image 95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 </w:t>
      </w:r>
      <w:r>
        <w:rPr>
          <w:rFonts w:ascii="Arial"/>
          <w:i/>
          <w:sz w:val="20"/>
        </w:rPr>
        <w:t>Lombard case [1987] Q.B. 527, </w:t>
      </w:r>
      <w:r>
        <w:rPr>
          <w:rFonts w:ascii="Arial"/>
          <w:i/>
          <w:spacing w:val="-4"/>
          <w:sz w:val="20"/>
        </w:rPr>
        <w:t>546</w:t>
      </w:r>
      <w:r>
        <w:rPr>
          <w:spacing w:val="-4"/>
          <w:sz w:val="20"/>
        </w:rPr>
        <w:t>.</w:t>
      </w:r>
    </w:p>
    <w:p>
      <w:pPr>
        <w:pStyle w:val="BodyText"/>
        <w:spacing w:before="12"/>
      </w:pPr>
    </w:p>
    <w:p>
      <w:pPr>
        <w:spacing w:line="137" w:lineRule="exact" w:before="1"/>
        <w:ind w:left="165" w:right="0" w:firstLine="0"/>
        <w:jc w:val="left"/>
        <w:rPr>
          <w:sz w:val="14"/>
        </w:rPr>
      </w:pPr>
      <w:bookmarkStart w:name="_bookmark2328" w:id="2330"/>
      <w:bookmarkEnd w:id="2330"/>
      <w:r>
        <w:rPr/>
      </w:r>
      <w:hyperlink w:history="true" w:anchor="_bookmark2313">
        <w:r>
          <w:rPr>
            <w:color w:val="005DA1"/>
            <w:spacing w:val="-2"/>
            <w:sz w:val="14"/>
            <w:u w:val="single" w:color="005DA1"/>
          </w:rPr>
          <w:t>1223</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60224">
            <wp:simplePos x="0" y="0"/>
            <wp:positionH relativeFrom="page">
              <wp:posOffset>1257846</wp:posOffset>
            </wp:positionH>
            <wp:positionV relativeFrom="paragraph">
              <wp:posOffset>12622</wp:posOffset>
            </wp:positionV>
            <wp:extent cx="107988" cy="107988"/>
            <wp:effectExtent l="0" t="0" r="0" b="0"/>
            <wp:wrapNone/>
            <wp:docPr id="956" name="Image 956"/>
            <wp:cNvGraphicFramePr>
              <a:graphicFrameLocks/>
            </wp:cNvGraphicFramePr>
            <a:graphic>
              <a:graphicData uri="http://schemas.openxmlformats.org/drawingml/2006/picture">
                <pic:pic>
                  <pic:nvPicPr>
                    <pic:cNvPr id="956" name="Image 956"/>
                    <pic:cNvPicPr/>
                  </pic:nvPicPr>
                  <pic:blipFill>
                    <a:blip r:embed="rId6" cstate="print"/>
                    <a:stretch>
                      <a:fillRect/>
                    </a:stretch>
                  </pic:blipFill>
                  <pic:spPr>
                    <a:xfrm>
                      <a:off x="0" y="0"/>
                      <a:ext cx="107988" cy="107988"/>
                    </a:xfrm>
                    <a:prstGeom prst="rect">
                      <a:avLst/>
                    </a:prstGeom>
                  </pic:spPr>
                </pic:pic>
              </a:graphicData>
            </a:graphic>
          </wp:anchor>
        </w:drawing>
      </w:r>
      <w:r>
        <w:rPr/>
        <w:t>Would</w:t>
      </w:r>
      <w:r>
        <w:rPr>
          <w:spacing w:val="23"/>
        </w:rPr>
        <w:t> </w:t>
      </w:r>
      <w:r>
        <w:rPr/>
        <w:t>the</w:t>
      </w:r>
      <w:r>
        <w:rPr>
          <w:spacing w:val="23"/>
        </w:rPr>
        <w:t> </w:t>
      </w:r>
      <w:r>
        <w:rPr/>
        <w:t>law</w:t>
      </w:r>
      <w:r>
        <w:rPr>
          <w:spacing w:val="23"/>
        </w:rPr>
        <w:t> </w:t>
      </w:r>
      <w:r>
        <w:rPr/>
        <w:t>uphold</w:t>
      </w:r>
      <w:r>
        <w:rPr>
          <w:spacing w:val="23"/>
        </w:rPr>
        <w:t> </w:t>
      </w:r>
      <w:r>
        <w:rPr/>
        <w:t>a</w:t>
      </w:r>
      <w:r>
        <w:rPr>
          <w:spacing w:val="23"/>
        </w:rPr>
        <w:t> </w:t>
      </w:r>
      <w:r>
        <w:rPr/>
        <w:t>clause</w:t>
      </w:r>
      <w:r>
        <w:rPr>
          <w:spacing w:val="23"/>
        </w:rPr>
        <w:t> </w:t>
      </w:r>
      <w:r>
        <w:rPr/>
        <w:t>providing</w:t>
      </w:r>
      <w:r>
        <w:rPr>
          <w:spacing w:val="23"/>
        </w:rPr>
        <w:t> </w:t>
      </w:r>
      <w:r>
        <w:rPr/>
        <w:t>expressly</w:t>
      </w:r>
      <w:r>
        <w:rPr>
          <w:spacing w:val="23"/>
        </w:rPr>
        <w:t> </w:t>
      </w:r>
      <w:r>
        <w:rPr/>
        <w:t>that</w:t>
      </w:r>
      <w:r>
        <w:rPr>
          <w:spacing w:val="23"/>
        </w:rPr>
        <w:t> </w:t>
      </w:r>
      <w:r>
        <w:rPr/>
        <w:t>for</w:t>
      </w:r>
      <w:r>
        <w:rPr>
          <w:spacing w:val="23"/>
        </w:rPr>
        <w:t> </w:t>
      </w:r>
      <w:r>
        <w:rPr/>
        <w:t>any</w:t>
      </w:r>
      <w:r>
        <w:rPr>
          <w:spacing w:val="23"/>
        </w:rPr>
        <w:t> </w:t>
      </w:r>
      <w:r>
        <w:rPr/>
        <w:t>breach,</w:t>
      </w:r>
      <w:r>
        <w:rPr>
          <w:spacing w:val="23"/>
        </w:rPr>
        <w:t> </w:t>
      </w:r>
      <w:r>
        <w:rPr/>
        <w:t>however</w:t>
      </w:r>
      <w:r>
        <w:rPr>
          <w:spacing w:val="23"/>
        </w:rPr>
        <w:t> </w:t>
      </w:r>
      <w:r>
        <w:rPr/>
        <w:t>trivial,</w:t>
      </w:r>
      <w:r>
        <w:rPr>
          <w:spacing w:val="23"/>
        </w:rPr>
        <w:t> </w:t>
      </w:r>
      <w:r>
        <w:rPr>
          <w:spacing w:val="-5"/>
        </w:rPr>
        <w:t>the</w:t>
      </w:r>
    </w:p>
    <w:p>
      <w:pPr>
        <w:pStyle w:val="BodyText"/>
        <w:spacing w:line="235" w:lineRule="auto" w:before="1"/>
        <w:ind w:left="705" w:right="167"/>
        <w:jc w:val="both"/>
      </w:pPr>
      <w:r>
        <w:rPr/>
        <w:t>damages shall be assessed on the basis that the whole benefit of the contract has been lost by the other party? cf. decisions on mitigation, such as </w:t>
      </w:r>
      <w:r>
        <w:rPr>
          <w:rFonts w:ascii="Arial" w:hAnsi="Arial"/>
          <w:i/>
        </w:rPr>
        <w:t>The Solholt [1983] 1 Lloyd’s Rep. </w:t>
      </w:r>
      <w:r>
        <w:rPr>
          <w:rFonts w:ascii="Arial" w:hAnsi="Arial"/>
          <w:i/>
        </w:rPr>
        <w:t>605</w:t>
      </w:r>
      <w:r>
        <w:rPr>
          <w:rFonts w:ascii="Arial" w:hAnsi="Arial"/>
          <w:i/>
          <w:spacing w:val="40"/>
        </w:rPr>
        <w:t> </w:t>
      </w:r>
      <w:r>
        <w:rPr/>
        <w:t>(Vol.I, para.26-093).</w:t>
      </w:r>
    </w:p>
    <w:p>
      <w:pPr>
        <w:pStyle w:val="BodyText"/>
        <w:spacing w:before="12"/>
      </w:pPr>
    </w:p>
    <w:p>
      <w:pPr>
        <w:spacing w:line="137" w:lineRule="exact" w:before="0"/>
        <w:ind w:left="165" w:right="0" w:firstLine="0"/>
        <w:jc w:val="left"/>
        <w:rPr>
          <w:sz w:val="14"/>
        </w:rPr>
      </w:pPr>
      <w:bookmarkStart w:name="_bookmark2329" w:id="2331"/>
      <w:bookmarkEnd w:id="2331"/>
      <w:r>
        <w:rPr/>
      </w:r>
      <w:hyperlink w:history="true" w:anchor="_bookmark2314">
        <w:r>
          <w:rPr>
            <w:color w:val="005DA1"/>
            <w:spacing w:val="-2"/>
            <w:sz w:val="14"/>
            <w:u w:val="single" w:color="005DA1"/>
          </w:rPr>
          <w:t>1224</w:t>
        </w:r>
      </w:hyperlink>
      <w:r>
        <w:rPr>
          <w:spacing w:val="-2"/>
          <w:sz w:val="14"/>
        </w:rPr>
        <w:t>.</w:t>
      </w:r>
    </w:p>
    <w:p>
      <w:pPr>
        <w:pStyle w:val="BodyText"/>
        <w:spacing w:line="206" w:lineRule="exact"/>
        <w:ind w:left="875"/>
        <w:jc w:val="both"/>
      </w:pPr>
      <w:r>
        <w:rPr/>
        <w:drawing>
          <wp:anchor distT="0" distB="0" distL="0" distR="0" allowOverlap="1" layoutInCell="1" locked="0" behindDoc="0" simplePos="0" relativeHeight="15860736">
            <wp:simplePos x="0" y="0"/>
            <wp:positionH relativeFrom="page">
              <wp:posOffset>1257846</wp:posOffset>
            </wp:positionH>
            <wp:positionV relativeFrom="paragraph">
              <wp:posOffset>12994</wp:posOffset>
            </wp:positionV>
            <wp:extent cx="107988" cy="107988"/>
            <wp:effectExtent l="0" t="0" r="0" b="0"/>
            <wp:wrapNone/>
            <wp:docPr id="957" name="Image 957"/>
            <wp:cNvGraphicFramePr>
              <a:graphicFrameLocks/>
            </wp:cNvGraphicFramePr>
            <a:graphic>
              <a:graphicData uri="http://schemas.openxmlformats.org/drawingml/2006/picture">
                <pic:pic>
                  <pic:nvPicPr>
                    <pic:cNvPr id="957" name="Image 957"/>
                    <pic:cNvPicPr/>
                  </pic:nvPicPr>
                  <pic:blipFill>
                    <a:blip r:embed="rId6" cstate="print"/>
                    <a:stretch>
                      <a:fillRect/>
                    </a:stretch>
                  </pic:blipFill>
                  <pic:spPr>
                    <a:xfrm>
                      <a:off x="0" y="0"/>
                      <a:ext cx="107988" cy="107988"/>
                    </a:xfrm>
                    <a:prstGeom prst="rect">
                      <a:avLst/>
                    </a:prstGeom>
                  </pic:spPr>
                </pic:pic>
              </a:graphicData>
            </a:graphic>
          </wp:anchor>
        </w:drawing>
      </w:r>
      <w:r>
        <w:rPr/>
        <w:t>See Vol.I, para.13-</w:t>
      </w:r>
      <w:r>
        <w:rPr>
          <w:spacing w:val="-4"/>
        </w:rPr>
        <w:t>026.</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725"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11"/>
        </w:numPr>
        <w:tabs>
          <w:tab w:pos="3324" w:val="left" w:leader="none"/>
        </w:tabs>
        <w:spacing w:line="240" w:lineRule="auto" w:before="194" w:after="0"/>
        <w:ind w:left="3324" w:right="0" w:hanging="359"/>
        <w:jc w:val="left"/>
        <w:rPr>
          <w:b/>
          <w:sz w:val="24"/>
        </w:rPr>
      </w:pPr>
      <w:r>
        <w:rPr>
          <w:b/>
          <w:sz w:val="24"/>
        </w:rPr>
        <w:t>- Events other than </w:t>
      </w:r>
      <w:r>
        <w:rPr>
          <w:b/>
          <w:spacing w:val="-2"/>
          <w:sz w:val="24"/>
        </w:rPr>
        <w:t>Breach</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Sum payable on event other than </w:t>
      </w:r>
      <w:r>
        <w:rPr>
          <w:rFonts w:ascii="Arial"/>
          <w:b/>
          <w:spacing w:val="-2"/>
          <w:sz w:val="18"/>
        </w:rPr>
        <w:t>breach</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216C</w:t>
      </w:r>
    </w:p>
    <w:p>
      <w:pPr>
        <w:pStyle w:val="BodyText"/>
        <w:spacing w:before="212"/>
        <w:rPr>
          <w:rFonts w:ascii="Arial"/>
          <w:b/>
        </w:rPr>
      </w:pPr>
    </w:p>
    <w:p>
      <w:pPr>
        <w:spacing w:line="235" w:lineRule="auto" w:before="0"/>
        <w:ind w:left="165" w:right="167" w:firstLine="0"/>
        <w:jc w:val="both"/>
        <w:rPr>
          <w:sz w:val="20"/>
        </w:rPr>
      </w:pPr>
      <w:r>
        <w:rPr>
          <w:position w:val="-2"/>
        </w:rPr>
        <w:drawing>
          <wp:inline distT="0" distB="0" distL="0" distR="0">
            <wp:extent cx="107988" cy="107988"/>
            <wp:effectExtent l="0" t="0" r="0" b="0"/>
            <wp:docPr id="959" name="Image 959"/>
            <wp:cNvGraphicFramePr>
              <a:graphicFrameLocks/>
            </wp:cNvGraphicFramePr>
            <a:graphic>
              <a:graphicData uri="http://schemas.openxmlformats.org/drawingml/2006/picture">
                <pic:pic>
                  <pic:nvPicPr>
                    <pic:cNvPr id="959" name="Image 95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2330" w:id="2332"/>
      <w:bookmarkEnd w:id="2332"/>
      <w:r>
        <w:rPr>
          <w:rFonts w:ascii="Times New Roman"/>
          <w:spacing w:val="24"/>
          <w:sz w:val="20"/>
        </w:rPr>
      </w:r>
      <w:r>
        <w:rPr>
          <w:sz w:val="20"/>
        </w:rPr>
        <w:t>In </w:t>
      </w:r>
      <w:r>
        <w:rPr>
          <w:rFonts w:ascii="Arial"/>
          <w:i/>
          <w:sz w:val="20"/>
        </w:rPr>
        <w:t>Cavendish Square Holding BV v Makdessi </w:t>
      </w:r>
      <w:r>
        <w:rPr>
          <w:sz w:val="20"/>
        </w:rPr>
        <w:t>and </w:t>
      </w:r>
      <w:r>
        <w:rPr>
          <w:rFonts w:ascii="Arial"/>
          <w:i/>
          <w:sz w:val="20"/>
        </w:rPr>
        <w:t>ParkingEye Ltd v Beavis </w:t>
      </w:r>
      <w:hyperlink w:history="true" w:anchor="_bookmark2357">
        <w:r>
          <w:rPr>
            <w:color w:val="005DA1"/>
            <w:sz w:val="20"/>
            <w:u w:val="single" w:color="005DA1"/>
            <w:vertAlign w:val="superscript"/>
          </w:rPr>
          <w:t>1225</w:t>
        </w:r>
        <w:r>
          <w:rPr>
            <w:color w:val="005DA1"/>
            <w:spacing w:val="80"/>
            <w:sz w:val="20"/>
            <w:vertAlign w:val="baseline"/>
          </w:rPr>
          <w:t> </w:t>
        </w:r>
        <w:r>
          <w:rPr>
            <w:color w:val="005DA1"/>
            <w:position w:val="-2"/>
            <w:sz w:val="20"/>
            <w:vertAlign w:val="baseline"/>
          </w:rPr>
          <w:drawing>
            <wp:inline distT="0" distB="0" distL="0" distR="0">
              <wp:extent cx="107988" cy="107988"/>
              <wp:effectExtent l="0" t="0" r="0" b="0"/>
              <wp:docPr id="960" name="Image 960"/>
              <wp:cNvGraphicFramePr>
                <a:graphicFrameLocks/>
              </wp:cNvGraphicFramePr>
              <a:graphic>
                <a:graphicData uri="http://schemas.openxmlformats.org/drawingml/2006/picture">
                  <pic:pic>
                    <pic:nvPicPr>
                      <pic:cNvPr id="960" name="Image 9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z w:val="20"/>
            <w:vertAlign w:val="baseline"/>
          </w:rPr>
          <w:t> </w:t>
        </w:r>
        <w:r>
          <w:rPr>
            <w:sz w:val="20"/>
            <w:vertAlign w:val="baseline"/>
          </w:rPr>
          <w:t>the Supreme </w:t>
        </w:r>
        <w:bookmarkStart w:name="_bookmark2331" w:id="2333"/>
        <w:bookmarkEnd w:id="2333"/>
        <w:r>
          <w:rPr>
            <w:sz w:val="20"/>
            <w:vertAlign w:val="baseline"/>
          </w:rPr>
          <w:t>Court</w:t>
        </w:r>
        <w:r>
          <w:rPr>
            <w:spacing w:val="27"/>
            <w:sz w:val="20"/>
            <w:vertAlign w:val="baseline"/>
          </w:rPr>
          <w:t> </w:t>
        </w:r>
        <w:r>
          <w:rPr>
            <w:sz w:val="20"/>
            <w:vertAlign w:val="baseline"/>
          </w:rPr>
          <w:t>endorsed</w:t>
        </w:r>
        <w:r>
          <w:rPr>
            <w:spacing w:val="27"/>
            <w:sz w:val="20"/>
            <w:vertAlign w:val="baseline"/>
          </w:rPr>
          <w:t> </w:t>
        </w:r>
        <w:r>
          <w:rPr>
            <w:sz w:val="20"/>
            <w:vertAlign w:val="baseline"/>
          </w:rPr>
          <w:t>the</w:t>
        </w:r>
        <w:r>
          <w:rPr>
            <w:spacing w:val="27"/>
            <w:sz w:val="20"/>
            <w:vertAlign w:val="baseline"/>
          </w:rPr>
          <w:t> </w:t>
        </w:r>
        <w:r>
          <w:rPr>
            <w:sz w:val="20"/>
            <w:vertAlign w:val="baseline"/>
          </w:rPr>
          <w:t>view</w:t>
        </w:r>
        <w:r>
          <w:rPr>
            <w:spacing w:val="27"/>
            <w:sz w:val="20"/>
            <w:vertAlign w:val="baseline"/>
          </w:rPr>
          <w:t> </w:t>
        </w:r>
        <w:r>
          <w:rPr>
            <w:sz w:val="20"/>
            <w:vertAlign w:val="baseline"/>
          </w:rPr>
          <w:t>that</w:t>
        </w:r>
        <w:r>
          <w:rPr>
            <w:spacing w:val="27"/>
            <w:sz w:val="20"/>
            <w:vertAlign w:val="baseline"/>
          </w:rPr>
          <w:t> </w:t>
        </w:r>
        <w:r>
          <w:rPr>
            <w:sz w:val="20"/>
            <w:vertAlign w:val="baseline"/>
          </w:rPr>
          <w:t>the</w:t>
        </w:r>
        <w:r>
          <w:rPr>
            <w:spacing w:val="27"/>
            <w:sz w:val="20"/>
            <w:vertAlign w:val="baseline"/>
          </w:rPr>
          <w:t> </w:t>
        </w:r>
        <w:r>
          <w:rPr>
            <w:sz w:val="20"/>
            <w:vertAlign w:val="baseline"/>
          </w:rPr>
          <w:t>penalty</w:t>
        </w:r>
        <w:r>
          <w:rPr>
            <w:spacing w:val="27"/>
            <w:sz w:val="20"/>
            <w:vertAlign w:val="baseline"/>
          </w:rPr>
          <w:t> </w:t>
        </w:r>
        <w:r>
          <w:rPr>
            <w:sz w:val="20"/>
            <w:vertAlign w:val="baseline"/>
          </w:rPr>
          <w:t>clause</w:t>
        </w:r>
        <w:r>
          <w:rPr>
            <w:spacing w:val="27"/>
            <w:sz w:val="20"/>
            <w:vertAlign w:val="baseline"/>
          </w:rPr>
          <w:t> </w:t>
        </w:r>
        <w:r>
          <w:rPr>
            <w:sz w:val="20"/>
            <w:vertAlign w:val="baseline"/>
          </w:rPr>
          <w:t>rules</w:t>
        </w:r>
        <w:r>
          <w:rPr>
            <w:spacing w:val="27"/>
            <w:sz w:val="20"/>
            <w:vertAlign w:val="baseline"/>
          </w:rPr>
          <w:t> </w:t>
        </w:r>
        <w:r>
          <w:rPr>
            <w:sz w:val="20"/>
            <w:vertAlign w:val="baseline"/>
          </w:rPr>
          <w:t>apply</w:t>
        </w:r>
        <w:r>
          <w:rPr>
            <w:spacing w:val="27"/>
            <w:sz w:val="20"/>
            <w:vertAlign w:val="baseline"/>
          </w:rPr>
          <w:t> </w:t>
        </w:r>
        <w:r>
          <w:rPr>
            <w:sz w:val="20"/>
            <w:vertAlign w:val="baseline"/>
          </w:rPr>
          <w:t>only</w:t>
        </w:r>
        <w:r>
          <w:rPr>
            <w:spacing w:val="27"/>
            <w:sz w:val="20"/>
            <w:vertAlign w:val="baseline"/>
          </w:rPr>
          <w:t> </w:t>
        </w:r>
        <w:r>
          <w:rPr>
            <w:sz w:val="20"/>
            <w:vertAlign w:val="baseline"/>
          </w:rPr>
          <w:t>to</w:t>
        </w:r>
        <w:r>
          <w:rPr>
            <w:spacing w:val="27"/>
            <w:sz w:val="20"/>
            <w:vertAlign w:val="baseline"/>
          </w:rPr>
          <w:t> </w:t>
        </w:r>
        <w:r>
          <w:rPr>
            <w:sz w:val="20"/>
            <w:vertAlign w:val="baseline"/>
          </w:rPr>
          <w:t>sums</w:t>
        </w:r>
        <w:r>
          <w:rPr>
            <w:spacing w:val="27"/>
            <w:sz w:val="20"/>
            <w:vertAlign w:val="baseline"/>
          </w:rPr>
          <w:t> </w:t>
        </w:r>
        <w:r>
          <w:rPr>
            <w:sz w:val="20"/>
            <w:vertAlign w:val="baseline"/>
          </w:rPr>
          <w:t>payable,</w:t>
        </w:r>
        <w:r>
          <w:rPr>
            <w:spacing w:val="27"/>
            <w:sz w:val="20"/>
            <w:vertAlign w:val="baseline"/>
          </w:rPr>
          <w:t> </w:t>
        </w:r>
        <w:r>
          <w:rPr>
            <w:sz w:val="20"/>
            <w:vertAlign w:val="baseline"/>
          </w:rPr>
          <w:t>and</w:t>
        </w:r>
        <w:r>
          <w:rPr>
            <w:spacing w:val="27"/>
            <w:sz w:val="20"/>
            <w:vertAlign w:val="baseline"/>
          </w:rPr>
          <w:t> </w:t>
        </w:r>
        <w:r>
          <w:rPr>
            <w:spacing w:val="-2"/>
            <w:sz w:val="20"/>
            <w:vertAlign w:val="baseline"/>
          </w:rPr>
          <w:t>equivalent</w:t>
        </w:r>
      </w:hyperlink>
    </w:p>
    <w:p>
      <w:pPr>
        <w:pStyle w:val="BodyText"/>
        <w:spacing w:before="116"/>
        <w:ind w:left="164"/>
        <w:jc w:val="both"/>
      </w:pPr>
      <w:bookmarkStart w:name="_bookmark2332" w:id="2334"/>
      <w:bookmarkEnd w:id="2334"/>
      <w:r>
        <w:rPr/>
      </w:r>
      <w:r>
        <w:rPr/>
        <w:t>consequences,</w:t>
      </w:r>
      <w:r>
        <w:rPr>
          <w:spacing w:val="7"/>
        </w:rPr>
        <w:t> </w:t>
      </w:r>
      <w:hyperlink w:history="true" w:anchor="_bookmark2358">
        <w:r>
          <w:rPr>
            <w:color w:val="005DA1"/>
            <w:u w:val="single" w:color="005DA1"/>
            <w:vertAlign w:val="superscript"/>
          </w:rPr>
          <w:t>1226</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961" name="Image 961"/>
              <wp:cNvGraphicFramePr>
                <a:graphicFrameLocks/>
              </wp:cNvGraphicFramePr>
              <a:graphic>
                <a:graphicData uri="http://schemas.openxmlformats.org/drawingml/2006/picture">
                  <pic:pic>
                    <pic:nvPicPr>
                      <pic:cNvPr id="961" name="Image 9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that</w:t>
        </w:r>
        <w:r>
          <w:rPr>
            <w:spacing w:val="7"/>
            <w:vertAlign w:val="baseline"/>
          </w:rPr>
          <w:t> </w:t>
        </w:r>
        <w:r>
          <w:rPr>
            <w:vertAlign w:val="baseline"/>
          </w:rPr>
          <w:t>follow</w:t>
        </w:r>
        <w:r>
          <w:rPr>
            <w:spacing w:val="8"/>
            <w:vertAlign w:val="baseline"/>
          </w:rPr>
          <w:t> </w:t>
        </w:r>
        <w:r>
          <w:rPr>
            <w:vertAlign w:val="baseline"/>
          </w:rPr>
          <w:t>from</w:t>
        </w:r>
        <w:r>
          <w:rPr>
            <w:spacing w:val="8"/>
            <w:vertAlign w:val="baseline"/>
          </w:rPr>
          <w:t> </w:t>
        </w:r>
        <w:r>
          <w:rPr>
            <w:vertAlign w:val="baseline"/>
          </w:rPr>
          <w:t>a</w:t>
        </w:r>
        <w:r>
          <w:rPr>
            <w:spacing w:val="7"/>
            <w:vertAlign w:val="baseline"/>
          </w:rPr>
          <w:t> </w:t>
        </w:r>
        <w:r>
          <w:rPr>
            <w:vertAlign w:val="baseline"/>
          </w:rPr>
          <w:t>breach</w:t>
        </w:r>
        <w:r>
          <w:rPr>
            <w:spacing w:val="8"/>
            <w:vertAlign w:val="baseline"/>
          </w:rPr>
          <w:t> </w:t>
        </w:r>
        <w:r>
          <w:rPr>
            <w:vertAlign w:val="baseline"/>
          </w:rPr>
          <w:t>of</w:t>
        </w:r>
        <w:r>
          <w:rPr>
            <w:spacing w:val="8"/>
            <w:vertAlign w:val="baseline"/>
          </w:rPr>
          <w:t> </w:t>
        </w:r>
        <w:r>
          <w:rPr>
            <w:vertAlign w:val="baseline"/>
          </w:rPr>
          <w:t>contract.</w:t>
        </w:r>
        <w:r>
          <w:rPr>
            <w:spacing w:val="7"/>
            <w:vertAlign w:val="baseline"/>
          </w:rPr>
          <w:t> </w:t>
        </w:r>
        <w:r>
          <w:rPr>
            <w:vertAlign w:val="baseline"/>
          </w:rPr>
          <w:t>Previous</w:t>
        </w:r>
        <w:r>
          <w:rPr>
            <w:spacing w:val="8"/>
            <w:vertAlign w:val="baseline"/>
          </w:rPr>
          <w:t> </w:t>
        </w:r>
        <w:r>
          <w:rPr>
            <w:vertAlign w:val="baseline"/>
          </w:rPr>
          <w:t>authority</w:t>
        </w:r>
        <w:r>
          <w:rPr>
            <w:spacing w:val="8"/>
            <w:vertAlign w:val="baseline"/>
          </w:rPr>
          <w:t> </w:t>
        </w:r>
        <w:r>
          <w:rPr>
            <w:vertAlign w:val="baseline"/>
          </w:rPr>
          <w:t>was</w:t>
        </w:r>
        <w:r>
          <w:rPr>
            <w:spacing w:val="7"/>
            <w:vertAlign w:val="baseline"/>
          </w:rPr>
          <w:t> </w:t>
        </w:r>
        <w:r>
          <w:rPr>
            <w:vertAlign w:val="baseline"/>
          </w:rPr>
          <w:t>not</w:t>
        </w:r>
        <w:r>
          <w:rPr>
            <w:spacing w:val="8"/>
            <w:vertAlign w:val="baseline"/>
          </w:rPr>
          <w:t> </w:t>
        </w:r>
        <w:r>
          <w:rPr>
            <w:vertAlign w:val="baseline"/>
          </w:rPr>
          <w:t>wholly</w:t>
        </w:r>
        <w:r>
          <w:rPr>
            <w:spacing w:val="8"/>
            <w:vertAlign w:val="baseline"/>
          </w:rPr>
          <w:t> </w:t>
        </w:r>
        <w:r>
          <w:rPr>
            <w:spacing w:val="-2"/>
            <w:vertAlign w:val="baseline"/>
          </w:rPr>
          <w:t>clear.</w:t>
        </w:r>
      </w:hyperlink>
    </w:p>
    <w:p>
      <w:pPr>
        <w:pStyle w:val="BodyText"/>
        <w:spacing w:line="235" w:lineRule="auto" w:before="119"/>
        <w:ind w:left="164" w:right="167"/>
        <w:jc w:val="both"/>
      </w:pPr>
      <w:r>
        <w:rPr/>
        <w:t>In </w:t>
      </w:r>
      <w:r>
        <w:rPr>
          <w:rFonts w:ascii="Arial"/>
          <w:i/>
        </w:rPr>
        <w:t>Campbell Discount Co Ltd v Bridge</w:t>
      </w:r>
      <w:r>
        <w:rPr/>
        <w:t>, </w:t>
      </w:r>
      <w:hyperlink w:history="true" w:anchor="_bookmark2359">
        <w:r>
          <w:rPr>
            <w:color w:val="005DA1"/>
            <w:u w:val="single" w:color="005DA1"/>
            <w:vertAlign w:val="superscript"/>
          </w:rPr>
          <w:t>1227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962" name="Image 962"/>
              <wp:cNvGraphicFramePr>
                <a:graphicFrameLocks/>
              </wp:cNvGraphicFramePr>
              <a:graphic>
                <a:graphicData uri="http://schemas.openxmlformats.org/drawingml/2006/picture">
                  <pic:pic>
                    <pic:nvPicPr>
                      <pic:cNvPr id="962" name="Image 9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vertAlign w:val="baseline"/>
          </w:rPr>
          <w:t> </w:t>
        </w:r>
        <w:r>
          <w:rPr>
            <w:vertAlign w:val="baseline"/>
          </w:rPr>
          <w:t>a hire-purchase agreement permitted the hirer at </w:t>
        </w:r>
        <w:r>
          <w:rPr>
            <w:vertAlign w:val="baseline"/>
          </w:rPr>
          <w:t>his option to terminate the hiring during the period of the agreement, and provided that the hirer should thereupon pay a sum by way of agreed compensation for the depreciation of the chattel; the Court of Appeal held that the owner could recover the agreed sum, since being payable upon an event not </w:t>
        </w:r>
        <w:bookmarkStart w:name="_bookmark2333" w:id="2335"/>
        <w:bookmarkEnd w:id="2335"/>
        <w:r>
          <w:rPr>
            <w:vertAlign w:val="baseline"/>
          </w:rPr>
          <w:t>constituting</w:t>
        </w:r>
        <w:r>
          <w:rPr>
            <w:spacing w:val="32"/>
            <w:vertAlign w:val="baseline"/>
          </w:rPr>
          <w:t> </w:t>
        </w:r>
        <w:r>
          <w:rPr>
            <w:vertAlign w:val="baseline"/>
          </w:rPr>
          <w:t>a</w:t>
        </w:r>
        <w:r>
          <w:rPr>
            <w:spacing w:val="32"/>
            <w:vertAlign w:val="baseline"/>
          </w:rPr>
          <w:t> </w:t>
        </w:r>
        <w:r>
          <w:rPr>
            <w:vertAlign w:val="baseline"/>
          </w:rPr>
          <w:t>breach</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agreement,</w:t>
        </w:r>
        <w:r>
          <w:rPr>
            <w:spacing w:val="32"/>
            <w:vertAlign w:val="baseline"/>
          </w:rPr>
          <w:t> </w:t>
        </w:r>
        <w:r>
          <w:rPr>
            <w:vertAlign w:val="baseline"/>
          </w:rPr>
          <w:t>it</w:t>
        </w:r>
        <w:r>
          <w:rPr>
            <w:spacing w:val="32"/>
            <w:vertAlign w:val="baseline"/>
          </w:rPr>
          <w:t> </w:t>
        </w:r>
        <w:r>
          <w:rPr>
            <w:vertAlign w:val="baseline"/>
          </w:rPr>
          <w:t>fell</w:t>
        </w:r>
        <w:r>
          <w:rPr>
            <w:spacing w:val="32"/>
            <w:vertAlign w:val="baseline"/>
          </w:rPr>
          <w:t> </w:t>
        </w:r>
        <w:r>
          <w:rPr>
            <w:vertAlign w:val="baseline"/>
          </w:rPr>
          <w:t>outside</w:t>
        </w:r>
        <w:r>
          <w:rPr>
            <w:spacing w:val="32"/>
            <w:vertAlign w:val="baseline"/>
          </w:rPr>
          <w:t> </w:t>
        </w:r>
        <w:r>
          <w:rPr>
            <w:vertAlign w:val="baseline"/>
          </w:rPr>
          <w:t>the</w:t>
        </w:r>
        <w:r>
          <w:rPr>
            <w:spacing w:val="32"/>
            <w:vertAlign w:val="baseline"/>
          </w:rPr>
          <w:t> </w:t>
        </w:r>
        <w:r>
          <w:rPr>
            <w:vertAlign w:val="baseline"/>
          </w:rPr>
          <w:t>scope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law</w:t>
        </w:r>
        <w:r>
          <w:rPr>
            <w:spacing w:val="32"/>
            <w:vertAlign w:val="baseline"/>
          </w:rPr>
          <w:t> </w:t>
        </w:r>
        <w:r>
          <w:rPr>
            <w:vertAlign w:val="baseline"/>
          </w:rPr>
          <w:t>as</w:t>
        </w:r>
        <w:r>
          <w:rPr>
            <w:spacing w:val="32"/>
            <w:vertAlign w:val="baseline"/>
          </w:rPr>
          <w:t> </w:t>
        </w:r>
        <w:r>
          <w:rPr>
            <w:vertAlign w:val="baseline"/>
          </w:rPr>
          <w:t>to</w:t>
        </w:r>
        <w:r>
          <w:rPr>
            <w:spacing w:val="32"/>
            <w:vertAlign w:val="baseline"/>
          </w:rPr>
          <w:t> </w:t>
        </w:r>
        <w:r>
          <w:rPr>
            <w:vertAlign w:val="baseline"/>
          </w:rPr>
          <w:t>penalties.</w:t>
        </w:r>
        <w:r>
          <w:rPr>
            <w:spacing w:val="32"/>
            <w:vertAlign w:val="baseline"/>
          </w:rPr>
          <w:t> </w:t>
        </w:r>
        <w:r>
          <w:rPr>
            <w:vertAlign w:val="baseline"/>
          </w:rPr>
          <w:t>In</w:t>
        </w:r>
        <w:r>
          <w:rPr>
            <w:spacing w:val="32"/>
            <w:vertAlign w:val="baseline"/>
          </w:rPr>
          <w:t> </w:t>
        </w:r>
        <w:r>
          <w:rPr>
            <w:spacing w:val="-5"/>
            <w:vertAlign w:val="baseline"/>
          </w:rPr>
          <w:t>the</w:t>
        </w:r>
      </w:hyperlink>
    </w:p>
    <w:p>
      <w:pPr>
        <w:pStyle w:val="BodyText"/>
        <w:spacing w:before="7"/>
      </w:pPr>
    </w:p>
    <w:p>
      <w:pPr>
        <w:pStyle w:val="BodyText"/>
        <w:spacing w:line="235" w:lineRule="auto" w:before="1"/>
        <w:ind w:left="165" w:right="167"/>
        <w:jc w:val="both"/>
      </w:pPr>
      <w:bookmarkStart w:name="_bookmark2334" w:id="2336"/>
      <w:bookmarkEnd w:id="2336"/>
      <w:r>
        <w:rPr/>
      </w:r>
      <w:r>
        <w:rPr/>
        <w:t>House</w:t>
      </w:r>
      <w:r>
        <w:rPr>
          <w:spacing w:val="-2"/>
        </w:rPr>
        <w:t> </w:t>
      </w:r>
      <w:r>
        <w:rPr/>
        <w:t>of</w:t>
      </w:r>
      <w:r>
        <w:rPr>
          <w:spacing w:val="-2"/>
        </w:rPr>
        <w:t> </w:t>
      </w:r>
      <w:r>
        <w:rPr/>
        <w:t>Lords</w:t>
      </w:r>
      <w:r>
        <w:rPr>
          <w:spacing w:val="-2"/>
        </w:rPr>
        <w:t> </w:t>
      </w:r>
      <w:r>
        <w:rPr>
          <w:color w:val="005DA1"/>
          <w:u w:val="single" w:color="005DA1"/>
          <w:vertAlign w:val="superscript"/>
        </w:rPr>
        <w:t>1228</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963" name="Image 963"/>
            <wp:cNvGraphicFramePr>
              <a:graphicFrameLocks/>
            </wp:cNvGraphicFramePr>
            <a:graphic>
              <a:graphicData uri="http://schemas.openxmlformats.org/drawingml/2006/picture">
                <pic:pic>
                  <pic:nvPicPr>
                    <pic:cNvPr id="963" name="Image 9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was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different</w:t>
      </w:r>
      <w:r>
        <w:rPr>
          <w:spacing w:val="-2"/>
          <w:vertAlign w:val="baseline"/>
        </w:rPr>
        <w:t> </w:t>
      </w:r>
      <w:r>
        <w:rPr>
          <w:vertAlign w:val="baseline"/>
        </w:rPr>
        <w:t>view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facts,</w:t>
      </w:r>
      <w:r>
        <w:rPr>
          <w:spacing w:val="-3"/>
          <w:vertAlign w:val="baseline"/>
        </w:rPr>
        <w:t> </w:t>
      </w:r>
      <w:hyperlink w:history="true" w:anchor="_bookmark2361">
        <w:r>
          <w:rPr>
            <w:color w:val="005DA1"/>
            <w:u w:val="single" w:color="005DA1"/>
            <w:vertAlign w:val="superscript"/>
          </w:rPr>
          <w:t>1229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964" name="Image 964"/>
              <wp:cNvGraphicFramePr>
                <a:graphicFrameLocks/>
              </wp:cNvGraphicFramePr>
              <a:graphic>
                <a:graphicData uri="http://schemas.openxmlformats.org/drawingml/2006/picture">
                  <pic:pic>
                    <pic:nvPicPr>
                      <pic:cNvPr id="964" name="Image 9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but</w:t>
        </w:r>
        <w:r>
          <w:rPr>
            <w:spacing w:val="-2"/>
            <w:vertAlign w:val="baseline"/>
          </w:rPr>
          <w:t> </w:t>
        </w:r>
        <w:r>
          <w:rPr>
            <w:vertAlign w:val="baseline"/>
          </w:rPr>
          <w:t>four</w:t>
        </w:r>
        <w:r>
          <w:rPr>
            <w:spacing w:val="-2"/>
            <w:vertAlign w:val="baseline"/>
          </w:rPr>
          <w:t> </w:t>
        </w:r>
        <w:r>
          <w:rPr>
            <w:vertAlign w:val="baseline"/>
          </w:rPr>
          <w:t>of</w:t>
        </w:r>
        <w:r>
          <w:rPr>
            <w:spacing w:val="-2"/>
            <w:vertAlign w:val="baseline"/>
          </w:rPr>
          <w:t> </w:t>
        </w:r>
        <w:r>
          <w:rPr>
            <w:vertAlign w:val="baseline"/>
          </w:rPr>
          <w:t>their Lordships</w:t>
        </w:r>
        <w:r>
          <w:rPr>
            <w:spacing w:val="-2"/>
            <w:vertAlign w:val="baseline"/>
          </w:rPr>
          <w:t> </w:t>
        </w:r>
        <w:r>
          <w:rPr>
            <w:vertAlign w:val="baseline"/>
          </w:rPr>
          <w:t>expressed</w:t>
        </w:r>
        <w:r>
          <w:rPr>
            <w:spacing w:val="-2"/>
            <w:vertAlign w:val="baseline"/>
          </w:rPr>
          <w:t> </w:t>
        </w:r>
        <w:r>
          <w:rPr>
            <w:vertAlign w:val="baseline"/>
          </w:rPr>
          <w:t>obiter</w:t>
        </w:r>
        <w:r>
          <w:rPr>
            <w:spacing w:val="-2"/>
            <w:vertAlign w:val="baseline"/>
          </w:rPr>
          <w:t> </w:t>
        </w:r>
        <w:r>
          <w:rPr>
            <w:vertAlign w:val="baseline"/>
          </w:rPr>
          <w:t>their</w:t>
        </w:r>
        <w:r>
          <w:rPr>
            <w:spacing w:val="-2"/>
            <w:vertAlign w:val="baseline"/>
          </w:rPr>
          <w:t> </w:t>
        </w:r>
        <w:r>
          <w:rPr>
            <w:vertAlign w:val="baseline"/>
          </w:rPr>
          <w:t>views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ruling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two</w:t>
        </w:r>
        <w:r>
          <w:rPr>
            <w:spacing w:val="-2"/>
            <w:vertAlign w:val="baseline"/>
          </w:rPr>
          <w:t> </w:t>
        </w:r>
        <w:r>
          <w:rPr>
            <w:vertAlign w:val="baseline"/>
          </w:rPr>
          <w:t>agreed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as </w:t>
        </w:r>
        <w:bookmarkStart w:name="_bookmark2335" w:id="2337"/>
        <w:bookmarkEnd w:id="2337"/>
        <w:r>
          <w:rPr>
            <w:vertAlign w:val="baseline"/>
          </w:rPr>
          <w:t>to</w:t>
        </w:r>
        <w:r>
          <w:rPr>
            <w:spacing w:val="6"/>
            <w:vertAlign w:val="baseline"/>
          </w:rPr>
          <w:t> </w:t>
        </w:r>
        <w:r>
          <w:rPr>
            <w:vertAlign w:val="baseline"/>
          </w:rPr>
          <w:t>penalties</w:t>
        </w:r>
        <w:r>
          <w:rPr>
            <w:spacing w:val="6"/>
            <w:vertAlign w:val="baseline"/>
          </w:rPr>
          <w:t> </w:t>
        </w:r>
        <w:r>
          <w:rPr>
            <w:vertAlign w:val="baseline"/>
          </w:rPr>
          <w:t>was</w:t>
        </w:r>
        <w:r>
          <w:rPr>
            <w:spacing w:val="6"/>
            <w:vertAlign w:val="baseline"/>
          </w:rPr>
          <w:t> </w:t>
        </w:r>
        <w:r>
          <w:rPr>
            <w:vertAlign w:val="baseline"/>
          </w:rPr>
          <w:t>inapplicable,</w:t>
        </w:r>
        <w:r>
          <w:rPr>
            <w:spacing w:val="6"/>
            <w:vertAlign w:val="baseline"/>
          </w:rPr>
          <w:t> </w:t>
        </w:r>
        <w:r>
          <w:rPr>
            <w:vertAlign w:val="baseline"/>
          </w:rPr>
          <w:t>but</w:t>
        </w:r>
        <w:r>
          <w:rPr>
            <w:spacing w:val="6"/>
            <w:vertAlign w:val="baseline"/>
          </w:rPr>
          <w:t> </w:t>
        </w:r>
        <w:r>
          <w:rPr>
            <w:vertAlign w:val="baseline"/>
          </w:rPr>
          <w:t>two</w:t>
        </w:r>
        <w:r>
          <w:rPr>
            <w:spacing w:val="6"/>
            <w:vertAlign w:val="baseline"/>
          </w:rPr>
          <w:t> </w:t>
        </w:r>
        <w:r>
          <w:rPr>
            <w:vertAlign w:val="baseline"/>
          </w:rPr>
          <w:t>were</w:t>
        </w:r>
        <w:r>
          <w:rPr>
            <w:spacing w:val="6"/>
            <w:vertAlign w:val="baseline"/>
          </w:rPr>
          <w:t> </w:t>
        </w:r>
        <w:r>
          <w:rPr>
            <w:vertAlign w:val="baseline"/>
          </w:rPr>
          <w:t>prepared</w:t>
        </w:r>
        <w:r>
          <w:rPr>
            <w:spacing w:val="6"/>
            <w:vertAlign w:val="baseline"/>
          </w:rPr>
          <w:t> </w:t>
        </w:r>
        <w:r>
          <w:rPr>
            <w:vertAlign w:val="baseline"/>
          </w:rPr>
          <w:t>to</w:t>
        </w:r>
        <w:r>
          <w:rPr>
            <w:spacing w:val="6"/>
            <w:vertAlign w:val="baseline"/>
          </w:rPr>
          <w:t> </w:t>
        </w:r>
        <w:r>
          <w:rPr>
            <w:vertAlign w:val="baseline"/>
          </w:rPr>
          <w:t>hold</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hirer</w:t>
        </w:r>
        <w:r>
          <w:rPr>
            <w:spacing w:val="6"/>
            <w:vertAlign w:val="baseline"/>
          </w:rPr>
          <w:t> </w:t>
        </w:r>
        <w:r>
          <w:rPr>
            <w:vertAlign w:val="baseline"/>
          </w:rPr>
          <w:t>was</w:t>
        </w:r>
        <w:r>
          <w:rPr>
            <w:spacing w:val="6"/>
            <w:vertAlign w:val="baseline"/>
          </w:rPr>
          <w:t> </w:t>
        </w:r>
        <w:r>
          <w:rPr>
            <w:vertAlign w:val="baseline"/>
          </w:rPr>
          <w:t>entitled</w:t>
        </w:r>
        <w:r>
          <w:rPr>
            <w:spacing w:val="6"/>
            <w:vertAlign w:val="baseline"/>
          </w:rPr>
          <w:t> </w:t>
        </w:r>
        <w:r>
          <w:rPr>
            <w:vertAlign w:val="baseline"/>
          </w:rPr>
          <w:t>to</w:t>
        </w:r>
        <w:r>
          <w:rPr>
            <w:spacing w:val="6"/>
            <w:vertAlign w:val="baseline"/>
          </w:rPr>
          <w:t> </w:t>
        </w:r>
        <w:r>
          <w:rPr>
            <w:vertAlign w:val="baseline"/>
          </w:rPr>
          <w:t>some</w:t>
        </w:r>
        <w:r>
          <w:rPr>
            <w:spacing w:val="6"/>
            <w:vertAlign w:val="baseline"/>
          </w:rPr>
          <w:t> </w:t>
        </w:r>
        <w:r>
          <w:rPr>
            <w:spacing w:val="-2"/>
            <w:vertAlign w:val="baseline"/>
          </w:rPr>
          <w:t>relief.</w:t>
        </w:r>
      </w:hyperlink>
    </w:p>
    <w:p>
      <w:pPr>
        <w:spacing w:before="115"/>
        <w:ind w:left="165" w:right="0" w:firstLine="0"/>
        <w:jc w:val="both"/>
        <w:rPr>
          <w:sz w:val="20"/>
        </w:rPr>
      </w:pPr>
      <w:bookmarkStart w:name="_bookmark2336" w:id="2338"/>
      <w:bookmarkEnd w:id="2338"/>
      <w:r>
        <w:rPr/>
      </w:r>
      <w:r>
        <w:rPr>
          <w:sz w:val="20"/>
        </w:rPr>
        <w:t>The</w:t>
      </w:r>
      <w:r>
        <w:rPr>
          <w:spacing w:val="15"/>
          <w:sz w:val="20"/>
        </w:rPr>
        <w:t> </w:t>
      </w:r>
      <w:r>
        <w:rPr>
          <w:sz w:val="20"/>
        </w:rPr>
        <w:t>later</w:t>
      </w:r>
      <w:r>
        <w:rPr>
          <w:spacing w:val="16"/>
          <w:sz w:val="20"/>
        </w:rPr>
        <w:t> </w:t>
      </w:r>
      <w:r>
        <w:rPr>
          <w:sz w:val="20"/>
        </w:rPr>
        <w:t>decision</w:t>
      </w:r>
      <w:r>
        <w:rPr>
          <w:spacing w:val="16"/>
          <w:sz w:val="20"/>
        </w:rPr>
        <w:t> </w:t>
      </w:r>
      <w:r>
        <w:rPr>
          <w:sz w:val="20"/>
        </w:rPr>
        <w:t>of</w:t>
      </w:r>
      <w:r>
        <w:rPr>
          <w:spacing w:val="16"/>
          <w:sz w:val="20"/>
        </w:rPr>
        <w:t> </w:t>
      </w:r>
      <w:r>
        <w:rPr>
          <w:sz w:val="20"/>
        </w:rPr>
        <w:t>the</w:t>
      </w:r>
      <w:r>
        <w:rPr>
          <w:spacing w:val="15"/>
          <w:sz w:val="20"/>
        </w:rPr>
        <w:t> </w:t>
      </w:r>
      <w:r>
        <w:rPr>
          <w:sz w:val="20"/>
        </w:rPr>
        <w:t>House</w:t>
      </w:r>
      <w:r>
        <w:rPr>
          <w:spacing w:val="16"/>
          <w:sz w:val="20"/>
        </w:rPr>
        <w:t> </w:t>
      </w:r>
      <w:r>
        <w:rPr>
          <w:sz w:val="20"/>
        </w:rPr>
        <w:t>of</w:t>
      </w:r>
      <w:r>
        <w:rPr>
          <w:spacing w:val="16"/>
          <w:sz w:val="20"/>
        </w:rPr>
        <w:t> </w:t>
      </w:r>
      <w:r>
        <w:rPr>
          <w:sz w:val="20"/>
        </w:rPr>
        <w:t>Lords</w:t>
      </w:r>
      <w:r>
        <w:rPr>
          <w:spacing w:val="16"/>
          <w:sz w:val="20"/>
        </w:rPr>
        <w:t> </w:t>
      </w:r>
      <w:r>
        <w:rPr>
          <w:sz w:val="20"/>
        </w:rPr>
        <w:t>in</w:t>
      </w:r>
      <w:r>
        <w:rPr>
          <w:spacing w:val="16"/>
          <w:sz w:val="20"/>
        </w:rPr>
        <w:t> </w:t>
      </w:r>
      <w:r>
        <w:rPr>
          <w:sz w:val="20"/>
        </w:rPr>
        <w:t>the</w:t>
      </w:r>
      <w:r>
        <w:rPr>
          <w:spacing w:val="15"/>
          <w:sz w:val="20"/>
        </w:rPr>
        <w:t> </w:t>
      </w:r>
      <w:r>
        <w:rPr>
          <w:rFonts w:ascii="Arial"/>
          <w:i/>
          <w:sz w:val="20"/>
        </w:rPr>
        <w:t>Export</w:t>
      </w:r>
      <w:r>
        <w:rPr>
          <w:rFonts w:ascii="Arial"/>
          <w:i/>
          <w:spacing w:val="16"/>
          <w:sz w:val="20"/>
        </w:rPr>
        <w:t> </w:t>
      </w:r>
      <w:r>
        <w:rPr>
          <w:rFonts w:ascii="Arial"/>
          <w:i/>
          <w:sz w:val="20"/>
        </w:rPr>
        <w:t>Credits</w:t>
      </w:r>
      <w:r>
        <w:rPr>
          <w:rFonts w:ascii="Arial"/>
          <w:i/>
          <w:spacing w:val="16"/>
          <w:sz w:val="20"/>
        </w:rPr>
        <w:t> </w:t>
      </w:r>
      <w:r>
        <w:rPr>
          <w:rFonts w:ascii="Arial"/>
          <w:i/>
          <w:sz w:val="20"/>
        </w:rPr>
        <w:t>Guarantee</w:t>
      </w:r>
      <w:r>
        <w:rPr>
          <w:rFonts w:ascii="Arial"/>
          <w:i/>
          <w:spacing w:val="16"/>
          <w:sz w:val="20"/>
        </w:rPr>
        <w:t> </w:t>
      </w:r>
      <w:r>
        <w:rPr>
          <w:sz w:val="20"/>
        </w:rPr>
        <w:t>case</w:t>
      </w:r>
      <w:r>
        <w:rPr>
          <w:spacing w:val="16"/>
          <w:sz w:val="20"/>
        </w:rPr>
        <w:t> </w:t>
      </w:r>
      <w:hyperlink w:history="true" w:anchor="_bookmark2362">
        <w:r>
          <w:rPr>
            <w:color w:val="005DA1"/>
            <w:sz w:val="20"/>
            <w:u w:val="single" w:color="005DA1"/>
            <w:vertAlign w:val="superscript"/>
          </w:rPr>
          <w:t>1230</w:t>
        </w:r>
        <w:r>
          <w:rPr>
            <w:color w:val="005DA1"/>
            <w:spacing w:val="52"/>
            <w:sz w:val="20"/>
            <w:vertAlign w:val="baseline"/>
          </w:rPr>
          <w:t>  </w:t>
        </w:r>
        <w:r>
          <w:rPr>
            <w:color w:val="005DA1"/>
            <w:spacing w:val="-2"/>
            <w:position w:val="-2"/>
            <w:sz w:val="20"/>
            <w:vertAlign w:val="baseline"/>
          </w:rPr>
          <w:drawing>
            <wp:inline distT="0" distB="0" distL="0" distR="0">
              <wp:extent cx="107988" cy="107988"/>
              <wp:effectExtent l="0" t="0" r="0" b="0"/>
              <wp:docPr id="965" name="Image 965"/>
              <wp:cNvGraphicFramePr>
                <a:graphicFrameLocks/>
              </wp:cNvGraphicFramePr>
              <a:graphic>
                <a:graphicData uri="http://schemas.openxmlformats.org/drawingml/2006/picture">
                  <pic:pic>
                    <pic:nvPicPr>
                      <pic:cNvPr id="965" name="Image 9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4"/>
            <w:sz w:val="20"/>
            <w:vertAlign w:val="baseline"/>
          </w:rPr>
          <w:t> </w:t>
        </w:r>
        <w:r>
          <w:rPr>
            <w:sz w:val="20"/>
            <w:vertAlign w:val="baseline"/>
          </w:rPr>
          <w:t>appeared</w:t>
        </w:r>
        <w:r>
          <w:rPr>
            <w:spacing w:val="16"/>
            <w:sz w:val="20"/>
            <w:vertAlign w:val="baseline"/>
          </w:rPr>
          <w:t> </w:t>
        </w:r>
        <w:r>
          <w:rPr>
            <w:spacing w:val="-5"/>
            <w:sz w:val="20"/>
            <w:vertAlign w:val="baseline"/>
          </w:rPr>
          <w:t>to</w:t>
        </w:r>
      </w:hyperlink>
    </w:p>
    <w:p>
      <w:pPr>
        <w:pStyle w:val="BodyText"/>
        <w:spacing w:line="235" w:lineRule="auto" w:before="119"/>
        <w:ind w:left="165" w:right="167"/>
        <w:jc w:val="both"/>
      </w:pPr>
      <w:r>
        <w:rPr/>
        <w:t>support the restriction of the scope of the law on penalties to payments </w:t>
      </w:r>
      <w:hyperlink w:history="true" w:anchor="_bookmark2363">
        <w:r>
          <w:rPr>
            <w:color w:val="005DA1"/>
            <w:u w:val="single" w:color="005DA1"/>
            <w:vertAlign w:val="superscript"/>
          </w:rPr>
          <w:t>1231</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966" name="Image 966"/>
              <wp:cNvGraphicFramePr>
                <a:graphicFrameLocks/>
              </wp:cNvGraphicFramePr>
              <a:graphic>
                <a:graphicData uri="http://schemas.openxmlformats.org/drawingml/2006/picture">
                  <pic:pic>
                    <pic:nvPicPr>
                      <pic:cNvPr id="966" name="Image 9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triggered by a breach of contract. The House held that the law did not apply to a clause providing for the contractbreaker (the defendant) to pay a specified sum to the plaintiff upon the happening of a certain event which</w:t>
        </w:r>
        <w:r>
          <w:rPr>
            <w:spacing w:val="40"/>
            <w:vertAlign w:val="baseline"/>
          </w:rPr>
          <w:t> </w:t>
        </w:r>
        <w:r>
          <w:rPr>
            <w:vertAlign w:val="baseline"/>
          </w:rPr>
          <w:t>was </w:t>
        </w:r>
        <w:r>
          <w:rPr>
            <w:rFonts w:ascii="Arial" w:hAnsi="Arial"/>
            <w:i/>
            <w:vertAlign w:val="baseline"/>
          </w:rPr>
          <w:t>not </w:t>
        </w:r>
        <w:r>
          <w:rPr>
            <w:vertAlign w:val="baseline"/>
          </w:rPr>
          <w:t>the breach of a contractual duty owed by the defendant to the plaintiff. So it could not be </w:t>
        </w:r>
        <w:r>
          <w:rPr>
            <w:vertAlign w:val="baseline"/>
          </w:rPr>
          <w:t>a penalty where the defendant had agreed to reimburse the plaintiff the amount paid by the plaintiff to </w:t>
        </w:r>
        <w:bookmarkStart w:name="_bookmark2337" w:id="2339"/>
        <w:bookmarkEnd w:id="2339"/>
        <w:r>
          <w:rPr>
            <w:vertAlign w:val="baseline"/>
          </w:rPr>
          <w:t>third</w:t>
        </w:r>
        <w:r>
          <w:rPr>
            <w:spacing w:val="13"/>
            <w:vertAlign w:val="baseline"/>
          </w:rPr>
          <w:t> </w:t>
        </w:r>
        <w:r>
          <w:rPr>
            <w:vertAlign w:val="baseline"/>
          </w:rPr>
          <w:t>parties</w:t>
        </w:r>
        <w:r>
          <w:rPr>
            <w:spacing w:val="13"/>
            <w:vertAlign w:val="baseline"/>
          </w:rPr>
          <w:t> </w:t>
        </w:r>
        <w:r>
          <w:rPr>
            <w:vertAlign w:val="baseline"/>
          </w:rPr>
          <w:t>under</w:t>
        </w:r>
        <w:r>
          <w:rPr>
            <w:spacing w:val="13"/>
            <w:vertAlign w:val="baseline"/>
          </w:rPr>
          <w:t> </w:t>
        </w:r>
        <w:r>
          <w:rPr>
            <w:vertAlign w:val="baseline"/>
          </w:rPr>
          <w:t>a</w:t>
        </w:r>
        <w:r>
          <w:rPr>
            <w:spacing w:val="13"/>
            <w:vertAlign w:val="baseline"/>
          </w:rPr>
          <w:t> </w:t>
        </w:r>
        <w:r>
          <w:rPr>
            <w:vertAlign w:val="baseline"/>
          </w:rPr>
          <w:t>guarantee</w:t>
        </w:r>
        <w:r>
          <w:rPr>
            <w:spacing w:val="13"/>
            <w:vertAlign w:val="baseline"/>
          </w:rPr>
          <w:t> </w:t>
        </w:r>
        <w:r>
          <w:rPr>
            <w:vertAlign w:val="baseline"/>
          </w:rPr>
          <w:t>(even</w:t>
        </w:r>
        <w:r>
          <w:rPr>
            <w:spacing w:val="13"/>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plaintiff’s</w:t>
        </w:r>
        <w:r>
          <w:rPr>
            <w:spacing w:val="13"/>
            <w:vertAlign w:val="baseline"/>
          </w:rPr>
          <w:t> </w:t>
        </w:r>
        <w:r>
          <w:rPr>
            <w:vertAlign w:val="baseline"/>
          </w:rPr>
          <w:t>obligation</w:t>
        </w:r>
        <w:r>
          <w:rPr>
            <w:spacing w:val="13"/>
            <w:vertAlign w:val="baseline"/>
          </w:rPr>
          <w:t> </w:t>
        </w:r>
        <w:r>
          <w:rPr>
            <w:vertAlign w:val="baseline"/>
          </w:rPr>
          <w:t>to</w:t>
        </w:r>
        <w:r>
          <w:rPr>
            <w:spacing w:val="13"/>
            <w:vertAlign w:val="baseline"/>
          </w:rPr>
          <w:t> </w:t>
        </w:r>
        <w:r>
          <w:rPr>
            <w:vertAlign w:val="baseline"/>
          </w:rPr>
          <w:t>meet</w:t>
        </w:r>
        <w:r>
          <w:rPr>
            <w:spacing w:val="13"/>
            <w:vertAlign w:val="baseline"/>
          </w:rPr>
          <w:t> </w:t>
        </w:r>
        <w:r>
          <w:rPr>
            <w:vertAlign w:val="baseline"/>
          </w:rPr>
          <w:t>the</w:t>
        </w:r>
        <w:r>
          <w:rPr>
            <w:spacing w:val="13"/>
            <w:vertAlign w:val="baseline"/>
          </w:rPr>
          <w:t> </w:t>
        </w:r>
        <w:r>
          <w:rPr>
            <w:vertAlign w:val="baseline"/>
          </w:rPr>
          <w:t>guarantee</w:t>
        </w:r>
        <w:r>
          <w:rPr>
            <w:spacing w:val="13"/>
            <w:vertAlign w:val="baseline"/>
          </w:rPr>
          <w:t> </w:t>
        </w:r>
        <w:r>
          <w:rPr>
            <w:vertAlign w:val="baseline"/>
          </w:rPr>
          <w:t>arose</w:t>
        </w:r>
        <w:r>
          <w:rPr>
            <w:spacing w:val="13"/>
            <w:vertAlign w:val="baseline"/>
          </w:rPr>
          <w:t> </w:t>
        </w:r>
        <w:r>
          <w:rPr>
            <w:spacing w:val="-5"/>
            <w:vertAlign w:val="baseline"/>
          </w:rPr>
          <w:t>on</w:t>
        </w:r>
      </w:hyperlink>
    </w:p>
    <w:p>
      <w:pPr>
        <w:pStyle w:val="BodyText"/>
        <w:spacing w:line="235" w:lineRule="auto" w:before="117"/>
        <w:ind w:left="165" w:right="167"/>
        <w:jc w:val="both"/>
      </w:pPr>
      <w:r>
        <w:rPr/>
        <w:t>the occasion of the defendant’s breach of his contractual duties owed to other parties). </w:t>
      </w:r>
      <w:hyperlink w:history="true" w:anchor="_bookmark2364">
        <w:r>
          <w:rPr>
            <w:color w:val="005DA1"/>
            <w:u w:val="single" w:color="005DA1"/>
            <w:vertAlign w:val="superscript"/>
          </w:rPr>
          <w:t>1232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967" name="Image 967"/>
              <wp:cNvGraphicFramePr>
                <a:graphicFrameLocks/>
              </wp:cNvGraphicFramePr>
              <a:graphic>
                <a:graphicData uri="http://schemas.openxmlformats.org/drawingml/2006/picture">
                  <pic:pic>
                    <pic:nvPicPr>
                      <pic:cNvPr id="967" name="Image 9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5"/>
            <w:position w:val="-2"/>
            <w:vertAlign w:val="baseline"/>
          </w:rPr>
          <w:t> </w:t>
        </w:r>
        <w:r>
          <w:rPr>
            <w:vertAlign w:val="baseline"/>
          </w:rPr>
          <w:t>Although</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concerned</w:t>
        </w:r>
        <w:r>
          <w:rPr>
            <w:spacing w:val="-1"/>
            <w:vertAlign w:val="baseline"/>
          </w:rPr>
          <w:t> </w:t>
        </w:r>
        <w:r>
          <w:rPr>
            <w:vertAlign w:val="baseline"/>
          </w:rPr>
          <w:t>a</w:t>
        </w:r>
        <w:r>
          <w:rPr>
            <w:spacing w:val="-1"/>
            <w:vertAlign w:val="baseline"/>
          </w:rPr>
          <w:t> </w:t>
        </w:r>
        <w:r>
          <w:rPr>
            <w:vertAlign w:val="baseline"/>
          </w:rPr>
          <w:t>guarantee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complex</w:t>
        </w:r>
        <w:r>
          <w:rPr>
            <w:spacing w:val="-1"/>
            <w:vertAlign w:val="baseline"/>
          </w:rPr>
          <w:t> </w:t>
        </w:r>
        <w:r>
          <w:rPr>
            <w:vertAlign w:val="baseline"/>
          </w:rPr>
          <w:t>commercial</w:t>
        </w:r>
        <w:r>
          <w:rPr>
            <w:spacing w:val="-1"/>
            <w:vertAlign w:val="baseline"/>
          </w:rPr>
          <w:t> </w:t>
        </w:r>
        <w:r>
          <w:rPr>
            <w:vertAlign w:val="baseline"/>
          </w:rPr>
          <w:t>arrangement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was claiming only the sum it had actually lost, their Lordships’ limitation on the scope of the law on penalties was expressed in such wide terms that it would prevent many other clauses from being </w:t>
        </w:r>
        <w:bookmarkStart w:name="_bookmark2338" w:id="2340"/>
        <w:bookmarkEnd w:id="2340"/>
        <w:r>
          <w:rPr>
            <w:vertAlign w:val="baseline"/>
          </w:rPr>
          <w:t>subject</w:t>
        </w:r>
        <w:r>
          <w:rPr>
            <w:spacing w:val="1"/>
            <w:vertAlign w:val="baseline"/>
          </w:rPr>
          <w:t> </w:t>
        </w:r>
        <w:r>
          <w:rPr>
            <w:vertAlign w:val="baseline"/>
          </w:rPr>
          <w:t>to</w:t>
        </w:r>
        <w:r>
          <w:rPr>
            <w:spacing w:val="1"/>
            <w:vertAlign w:val="baseline"/>
          </w:rPr>
          <w:t> </w:t>
        </w:r>
        <w:r>
          <w:rPr>
            <w:vertAlign w:val="baseline"/>
          </w:rPr>
          <w:t>that</w:t>
        </w:r>
        <w:r>
          <w:rPr>
            <w:spacing w:val="1"/>
            <w:vertAlign w:val="baseline"/>
          </w:rPr>
          <w:t> </w:t>
        </w:r>
        <w:r>
          <w:rPr>
            <w:vertAlign w:val="baseline"/>
          </w:rPr>
          <w:t>law,</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w:t>
        </w:r>
        <w:r>
          <w:rPr>
            <w:spacing w:val="1"/>
            <w:vertAlign w:val="baseline"/>
          </w:rPr>
          <w:t> </w:t>
        </w:r>
        <w:r>
          <w:rPr>
            <w:vertAlign w:val="baseline"/>
          </w:rPr>
          <w:t>sum</w:t>
        </w:r>
        <w:r>
          <w:rPr>
            <w:spacing w:val="1"/>
            <w:vertAlign w:val="baseline"/>
          </w:rPr>
          <w:t> </w:t>
        </w:r>
        <w:r>
          <w:rPr>
            <w:vertAlign w:val="baseline"/>
          </w:rPr>
          <w:t>payable</w:t>
        </w:r>
        <w:r>
          <w:rPr>
            <w:spacing w:val="1"/>
            <w:vertAlign w:val="baseline"/>
          </w:rPr>
          <w:t> </w:t>
        </w:r>
        <w:r>
          <w:rPr>
            <w:vertAlign w:val="baseline"/>
          </w:rPr>
          <w:t>by</w:t>
        </w:r>
        <w:r>
          <w:rPr>
            <w:spacing w:val="1"/>
            <w:vertAlign w:val="baseline"/>
          </w:rPr>
          <w:t> </w:t>
        </w:r>
        <w:r>
          <w:rPr>
            <w:vertAlign w:val="baseline"/>
          </w:rPr>
          <w:t>one</w:t>
        </w:r>
        <w:r>
          <w:rPr>
            <w:spacing w:val="1"/>
            <w:vertAlign w:val="baseline"/>
          </w:rPr>
          <w:t> </w:t>
        </w:r>
        <w:r>
          <w:rPr>
            <w:vertAlign w:val="baseline"/>
          </w:rPr>
          <w:t>party</w:t>
        </w:r>
        <w:r>
          <w:rPr>
            <w:spacing w:val="1"/>
            <w:vertAlign w:val="baseline"/>
          </w:rPr>
          <w:t> </w:t>
        </w:r>
        <w:r>
          <w:rPr>
            <w:vertAlign w:val="baseline"/>
          </w:rPr>
          <w:t>should</w:t>
        </w:r>
        <w:r>
          <w:rPr>
            <w:spacing w:val="1"/>
            <w:vertAlign w:val="baseline"/>
          </w:rPr>
          <w:t> </w:t>
        </w:r>
        <w:r>
          <w:rPr>
            <w:vertAlign w:val="baseline"/>
          </w:rPr>
          <w:t>it</w:t>
        </w:r>
        <w:r>
          <w:rPr>
            <w:spacing w:val="1"/>
            <w:vertAlign w:val="baseline"/>
          </w:rPr>
          <w:t> </w:t>
        </w:r>
        <w:r>
          <w:rPr>
            <w:vertAlign w:val="baseline"/>
          </w:rPr>
          <w:t>exercise</w:t>
        </w:r>
        <w:r>
          <w:rPr>
            <w:spacing w:val="1"/>
            <w:vertAlign w:val="baseline"/>
          </w:rPr>
          <w:t> </w:t>
        </w:r>
        <w:r>
          <w:rPr>
            <w:vertAlign w:val="baseline"/>
          </w:rPr>
          <w:t>an</w:t>
        </w:r>
        <w:r>
          <w:rPr>
            <w:spacing w:val="1"/>
            <w:vertAlign w:val="baseline"/>
          </w:rPr>
          <w:t> </w:t>
        </w:r>
        <w:r>
          <w:rPr>
            <w:vertAlign w:val="baseline"/>
          </w:rPr>
          <w:t>option</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spacing w:val="-2"/>
            <w:vertAlign w:val="baseline"/>
          </w:rPr>
          <w:t>perform</w:t>
        </w:r>
      </w:hyperlink>
    </w:p>
    <w:p>
      <w:pPr>
        <w:pStyle w:val="BodyText"/>
        <w:spacing w:before="115"/>
        <w:ind w:left="165"/>
        <w:jc w:val="both"/>
      </w:pPr>
      <w:bookmarkStart w:name="_bookmark2339" w:id="2341"/>
      <w:bookmarkEnd w:id="2341"/>
      <w:r>
        <w:rPr/>
      </w:r>
      <w:r>
        <w:rPr/>
        <w:t>at</w:t>
      </w:r>
      <w:r>
        <w:rPr>
          <w:spacing w:val="7"/>
        </w:rPr>
        <w:t> </w:t>
      </w:r>
      <w:r>
        <w:rPr/>
        <w:t>a</w:t>
      </w:r>
      <w:r>
        <w:rPr>
          <w:spacing w:val="8"/>
        </w:rPr>
        <w:t> </w:t>
      </w:r>
      <w:r>
        <w:rPr/>
        <w:t>later</w:t>
      </w:r>
      <w:r>
        <w:rPr>
          <w:spacing w:val="7"/>
        </w:rPr>
        <w:t> </w:t>
      </w:r>
      <w:r>
        <w:rPr/>
        <w:t>date</w:t>
      </w:r>
      <w:r>
        <w:rPr>
          <w:spacing w:val="8"/>
        </w:rPr>
        <w:t> </w:t>
      </w:r>
      <w:r>
        <w:rPr/>
        <w:t>than</w:t>
      </w:r>
      <w:r>
        <w:rPr>
          <w:spacing w:val="8"/>
        </w:rPr>
        <w:t> </w:t>
      </w:r>
      <w:r>
        <w:rPr/>
        <w:t>anticipated</w:t>
      </w:r>
      <w:r>
        <w:rPr>
          <w:spacing w:val="7"/>
        </w:rPr>
        <w:t> </w:t>
      </w:r>
      <w:r>
        <w:rPr/>
        <w:t>(but</w:t>
      </w:r>
      <w:r>
        <w:rPr>
          <w:spacing w:val="8"/>
        </w:rPr>
        <w:t> </w:t>
      </w:r>
      <w:r>
        <w:rPr/>
        <w:t>not</w:t>
      </w:r>
      <w:r>
        <w:rPr>
          <w:spacing w:val="8"/>
        </w:rPr>
        <w:t> </w:t>
      </w:r>
      <w:r>
        <w:rPr/>
        <w:t>required).</w:t>
      </w:r>
      <w:r>
        <w:rPr>
          <w:spacing w:val="6"/>
        </w:rPr>
        <w:t> </w:t>
      </w:r>
      <w:hyperlink w:history="true" w:anchor="_bookmark2365">
        <w:r>
          <w:rPr>
            <w:color w:val="005DA1"/>
            <w:u w:val="single" w:color="005DA1"/>
            <w:vertAlign w:val="superscript"/>
          </w:rPr>
          <w:t>1233</w:t>
        </w:r>
        <w:r>
          <w:rPr>
            <w:color w:val="005DA1"/>
            <w:spacing w:val="39"/>
            <w:vertAlign w:val="baseline"/>
          </w:rPr>
          <w:t>  </w:t>
        </w:r>
        <w:r>
          <w:rPr>
            <w:color w:val="005DA1"/>
            <w:spacing w:val="26"/>
            <w:position w:val="-2"/>
            <w:vertAlign w:val="baseline"/>
          </w:rPr>
          <w:drawing>
            <wp:inline distT="0" distB="0" distL="0" distR="0">
              <wp:extent cx="107988" cy="107988"/>
              <wp:effectExtent l="0" t="0" r="0" b="0"/>
              <wp:docPr id="968" name="Image 968"/>
              <wp:cNvGraphicFramePr>
                <a:graphicFrameLocks/>
              </wp:cNvGraphicFramePr>
              <a:graphic>
                <a:graphicData uri="http://schemas.openxmlformats.org/drawingml/2006/picture">
                  <pic:pic>
                    <pic:nvPicPr>
                      <pic:cNvPr id="968" name="Image 9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13"/>
            <w:vertAlign w:val="baseline"/>
          </w:rPr>
          <w:t> </w:t>
        </w:r>
        <w:r>
          <w:rPr>
            <w:vertAlign w:val="baseline"/>
          </w:rPr>
          <w:t>Although</w:t>
        </w:r>
        <w:r>
          <w:rPr>
            <w:spacing w:val="8"/>
            <w:vertAlign w:val="baseline"/>
          </w:rPr>
          <w:t> </w:t>
        </w:r>
        <w:r>
          <w:rPr>
            <w:vertAlign w:val="baseline"/>
          </w:rPr>
          <w:t>statutory</w:t>
        </w:r>
        <w:r>
          <w:rPr>
            <w:spacing w:val="8"/>
            <w:vertAlign w:val="baseline"/>
          </w:rPr>
          <w:t> </w:t>
        </w:r>
        <w:r>
          <w:rPr>
            <w:vertAlign w:val="baseline"/>
          </w:rPr>
          <w:t>protection</w:t>
        </w:r>
        <w:r>
          <w:rPr>
            <w:spacing w:val="7"/>
            <w:vertAlign w:val="baseline"/>
          </w:rPr>
          <w:t> </w:t>
        </w:r>
        <w:r>
          <w:rPr>
            <w:vertAlign w:val="baseline"/>
          </w:rPr>
          <w:t>is</w:t>
        </w:r>
        <w:r>
          <w:rPr>
            <w:spacing w:val="8"/>
            <w:vertAlign w:val="baseline"/>
          </w:rPr>
          <w:t> </w:t>
        </w:r>
        <w:r>
          <w:rPr>
            <w:vertAlign w:val="baseline"/>
          </w:rPr>
          <w:t>available</w:t>
        </w:r>
        <w:r>
          <w:rPr>
            <w:spacing w:val="8"/>
            <w:vertAlign w:val="baseline"/>
          </w:rPr>
          <w:t> </w:t>
        </w:r>
        <w:r>
          <w:rPr>
            <w:spacing w:val="-5"/>
            <w:vertAlign w:val="baseline"/>
          </w:rPr>
          <w:t>in</w:t>
        </w:r>
      </w:hyperlink>
    </w:p>
    <w:p>
      <w:pPr>
        <w:pStyle w:val="BodyText"/>
        <w:spacing w:line="235" w:lineRule="auto" w:before="118"/>
        <w:ind w:left="165" w:right="167"/>
        <w:jc w:val="both"/>
      </w:pPr>
      <w:r>
        <w:rPr/>
        <w:t>some</w:t>
      </w:r>
      <w:r>
        <w:rPr>
          <w:spacing w:val="-4"/>
        </w:rPr>
        <w:t> </w:t>
      </w:r>
      <w:r>
        <w:rPr/>
        <w:t>cases</w:t>
      </w:r>
      <w:r>
        <w:rPr>
          <w:spacing w:val="-4"/>
        </w:rPr>
        <w:t> </w:t>
      </w:r>
      <w:hyperlink w:history="true" w:anchor="_bookmark2366">
        <w:r>
          <w:rPr>
            <w:color w:val="005DA1"/>
            <w:u w:val="single" w:color="005DA1"/>
            <w:vertAlign w:val="superscript"/>
          </w:rPr>
          <w:t>1234</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969" name="Image 969"/>
              <wp:cNvGraphicFramePr>
                <a:graphicFrameLocks/>
              </wp:cNvGraphicFramePr>
              <a:graphic>
                <a:graphicData uri="http://schemas.openxmlformats.org/drawingml/2006/picture">
                  <pic:pic>
                    <pic:nvPicPr>
                      <pic:cNvPr id="969" name="Image 9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w:t>
        </w:r>
        <w:r>
          <w:rPr>
            <w:spacing w:val="-4"/>
            <w:vertAlign w:val="baseline"/>
          </w:rPr>
          <w:t> </w:t>
        </w:r>
        <w:r>
          <w:rPr>
            <w:vertAlign w:val="baseline"/>
          </w:rPr>
          <w:t>common</w:t>
        </w:r>
        <w:r>
          <w:rPr>
            <w:spacing w:val="-4"/>
            <w:vertAlign w:val="baseline"/>
          </w:rPr>
          <w:t> </w:t>
        </w:r>
        <w:r>
          <w:rPr>
            <w:vertAlign w:val="baseline"/>
          </w:rPr>
          <w:t>law</w:t>
        </w:r>
        <w:r>
          <w:rPr>
            <w:spacing w:val="-4"/>
            <w:vertAlign w:val="baseline"/>
          </w:rPr>
          <w:t> </w:t>
        </w:r>
        <w:r>
          <w:rPr>
            <w:vertAlign w:val="baseline"/>
          </w:rPr>
          <w:t>position</w:t>
        </w:r>
        <w:r>
          <w:rPr>
            <w:spacing w:val="-4"/>
            <w:vertAlign w:val="baseline"/>
          </w:rPr>
          <w:t> </w:t>
        </w:r>
        <w:r>
          <w:rPr>
            <w:vertAlign w:val="baseline"/>
          </w:rPr>
          <w:t>has</w:t>
        </w:r>
        <w:r>
          <w:rPr>
            <w:spacing w:val="-4"/>
            <w:vertAlign w:val="baseline"/>
          </w:rPr>
          <w:t> </w:t>
        </w:r>
        <w:r>
          <w:rPr>
            <w:vertAlign w:val="baseline"/>
          </w:rPr>
          <w:t>been</w:t>
        </w:r>
        <w:r>
          <w:rPr>
            <w:spacing w:val="-4"/>
            <w:vertAlign w:val="baseline"/>
          </w:rPr>
          <w:t> </w:t>
        </w:r>
        <w:r>
          <w:rPr>
            <w:vertAlign w:val="baseline"/>
          </w:rPr>
          <w:t>thought</w:t>
        </w:r>
        <w:r>
          <w:rPr>
            <w:spacing w:val="-4"/>
            <w:vertAlign w:val="baseline"/>
          </w:rPr>
          <w:t> </w:t>
        </w:r>
        <w:r>
          <w:rPr>
            <w:vertAlign w:val="baseline"/>
          </w:rPr>
          <w:t>unsatisfactory;</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vertAlign w:val="baseline"/>
          </w:rPr>
          <w:t>an</w:t>
        </w:r>
        <w:r>
          <w:rPr>
            <w:spacing w:val="-4"/>
            <w:vertAlign w:val="baseline"/>
          </w:rPr>
          <w:t> </w:t>
        </w:r>
        <w:r>
          <w:rPr>
            <w:vertAlign w:val="baseline"/>
          </w:rPr>
          <w:t>honest business hirer, who terminates his hire-purchase agreement when he finds that he cannot keep up</w:t>
        </w:r>
        <w:r>
          <w:rPr>
            <w:spacing w:val="40"/>
            <w:vertAlign w:val="baseline"/>
          </w:rPr>
          <w:t> </w:t>
        </w:r>
        <w:bookmarkStart w:name="_bookmark2340" w:id="2342"/>
        <w:bookmarkEnd w:id="2342"/>
        <w:r>
          <w:rPr>
            <w:vertAlign w:val="baseline"/>
          </w:rPr>
          <w:t>the</w:t>
        </w:r>
        <w:r>
          <w:rPr>
            <w:spacing w:val="22"/>
            <w:vertAlign w:val="baseline"/>
          </w:rPr>
          <w:t> </w:t>
        </w:r>
        <w:r>
          <w:rPr>
            <w:vertAlign w:val="baseline"/>
          </w:rPr>
          <w:t>instalments,</w:t>
        </w:r>
        <w:r>
          <w:rPr>
            <w:spacing w:val="22"/>
            <w:vertAlign w:val="baseline"/>
          </w:rPr>
          <w:t> </w:t>
        </w:r>
        <w:r>
          <w:rPr>
            <w:vertAlign w:val="baseline"/>
          </w:rPr>
          <w:t>is</w:t>
        </w:r>
        <w:r>
          <w:rPr>
            <w:spacing w:val="22"/>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worse</w:t>
        </w:r>
        <w:r>
          <w:rPr>
            <w:spacing w:val="22"/>
            <w:vertAlign w:val="baseline"/>
          </w:rPr>
          <w:t> </w:t>
        </w:r>
        <w:r>
          <w:rPr>
            <w:vertAlign w:val="baseline"/>
          </w:rPr>
          <w:t>position</w:t>
        </w:r>
        <w:r>
          <w:rPr>
            <w:spacing w:val="22"/>
            <w:vertAlign w:val="baseline"/>
          </w:rPr>
          <w:t> </w:t>
        </w:r>
        <w:r>
          <w:rPr>
            <w:vertAlign w:val="baseline"/>
          </w:rPr>
          <w:t>than</w:t>
        </w:r>
        <w:r>
          <w:rPr>
            <w:spacing w:val="22"/>
            <w:vertAlign w:val="baseline"/>
          </w:rPr>
          <w:t> </w:t>
        </w:r>
        <w:r>
          <w:rPr>
            <w:vertAlign w:val="baseline"/>
          </w:rPr>
          <w:t>the</w:t>
        </w:r>
        <w:r>
          <w:rPr>
            <w:spacing w:val="22"/>
            <w:vertAlign w:val="baseline"/>
          </w:rPr>
          <w:t> </w:t>
        </w:r>
        <w:r>
          <w:rPr>
            <w:vertAlign w:val="baseline"/>
          </w:rPr>
          <w:t>hirer</w:t>
        </w:r>
        <w:r>
          <w:rPr>
            <w:spacing w:val="22"/>
            <w:vertAlign w:val="baseline"/>
          </w:rPr>
          <w:t> </w:t>
        </w:r>
        <w:r>
          <w:rPr>
            <w:vertAlign w:val="baseline"/>
          </w:rPr>
          <w:t>who</w:t>
        </w:r>
        <w:r>
          <w:rPr>
            <w:spacing w:val="22"/>
            <w:vertAlign w:val="baseline"/>
          </w:rPr>
          <w:t> </w:t>
        </w:r>
        <w:r>
          <w:rPr>
            <w:vertAlign w:val="baseline"/>
          </w:rPr>
          <w:t>simply</w:t>
        </w:r>
        <w:r>
          <w:rPr>
            <w:spacing w:val="22"/>
            <w:vertAlign w:val="baseline"/>
          </w:rPr>
          <w:t> </w:t>
        </w:r>
        <w:r>
          <w:rPr>
            <w:vertAlign w:val="baseline"/>
          </w:rPr>
          <w:t>breaks</w:t>
        </w:r>
        <w:r>
          <w:rPr>
            <w:spacing w:val="22"/>
            <w:vertAlign w:val="baseline"/>
          </w:rPr>
          <w:t> </w:t>
        </w:r>
        <w:r>
          <w:rPr>
            <w:vertAlign w:val="baseline"/>
          </w:rPr>
          <w:t>his</w:t>
        </w:r>
        <w:r>
          <w:rPr>
            <w:spacing w:val="22"/>
            <w:vertAlign w:val="baseline"/>
          </w:rPr>
          <w:t> </w:t>
        </w:r>
        <w:r>
          <w:rPr>
            <w:vertAlign w:val="baseline"/>
          </w:rPr>
          <w:t>agreement</w:t>
        </w:r>
        <w:r>
          <w:rPr>
            <w:spacing w:val="22"/>
            <w:vertAlign w:val="baseline"/>
          </w:rPr>
          <w:t> </w:t>
        </w:r>
        <w:r>
          <w:rPr>
            <w:vertAlign w:val="baseline"/>
          </w:rPr>
          <w:t>by</w:t>
        </w:r>
        <w:r>
          <w:rPr>
            <w:spacing w:val="22"/>
            <w:vertAlign w:val="baseline"/>
          </w:rPr>
          <w:t> </w:t>
        </w:r>
        <w:r>
          <w:rPr>
            <w:vertAlign w:val="baseline"/>
          </w:rPr>
          <w:t>failing</w:t>
        </w:r>
        <w:r>
          <w:rPr>
            <w:spacing w:val="22"/>
            <w:vertAlign w:val="baseline"/>
          </w:rPr>
          <w:t> </w:t>
        </w:r>
        <w:r>
          <w:rPr>
            <w:spacing w:val="-5"/>
            <w:vertAlign w:val="baseline"/>
          </w:rPr>
          <w:t>to</w:t>
        </w:r>
      </w:hyperlink>
    </w:p>
    <w:p>
      <w:pPr>
        <w:pStyle w:val="BodyText"/>
        <w:spacing w:line="360" w:lineRule="auto" w:before="115"/>
        <w:ind w:left="164" w:right="168"/>
        <w:jc w:val="both"/>
      </w:pPr>
      <w:bookmarkStart w:name="_bookmark2341" w:id="2343"/>
      <w:bookmarkEnd w:id="2343"/>
      <w:r>
        <w:rPr/>
      </w:r>
      <w:r>
        <w:rPr/>
        <w:t>pay the instalments. </w:t>
      </w:r>
      <w:hyperlink w:history="true" w:anchor="_bookmark2367">
        <w:r>
          <w:rPr>
            <w:color w:val="005DA1"/>
            <w:u w:val="single" w:color="005DA1"/>
            <w:vertAlign w:val="superscript"/>
          </w:rPr>
          <w:t>1235</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970" name="Image 970"/>
              <wp:cNvGraphicFramePr>
                <a:graphicFrameLocks/>
              </wp:cNvGraphicFramePr>
              <a:graphic>
                <a:graphicData uri="http://schemas.openxmlformats.org/drawingml/2006/picture">
                  <pic:pic>
                    <pic:nvPicPr>
                      <pic:cNvPr id="970" name="Image 9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 High Court of Australia had not followed the </w:t>
        </w:r>
        <w:r>
          <w:rPr>
            <w:rFonts w:ascii="Arial"/>
            <w:i/>
            <w:vertAlign w:val="baseline"/>
          </w:rPr>
          <w:t>Export Credits Guarantee </w:t>
        </w:r>
        <w:r>
          <w:rPr>
            <w:vertAlign w:val="baseline"/>
          </w:rPr>
          <w:t>case, </w:t>
        </w:r>
        <w:hyperlink w:history="true" w:anchor="_bookmark2368">
          <w:r>
            <w:rPr>
              <w:color w:val="005DA1"/>
              <w:u w:val="single" w:color="005DA1"/>
              <w:vertAlign w:val="superscript"/>
            </w:rPr>
            <w:t>1236</w:t>
          </w:r>
          <w:r>
            <w:rPr>
              <w:color w:val="005DA1"/>
              <w:spacing w:val="80"/>
              <w:vertAlign w:val="baseline"/>
            </w:rPr>
            <w:t> </w:t>
          </w:r>
          <w:r>
            <w:rPr>
              <w:color w:val="005DA1"/>
              <w:position w:val="-2"/>
              <w:vertAlign w:val="baseline"/>
            </w:rPr>
            <w:drawing>
              <wp:inline distT="0" distB="0" distL="0" distR="0">
                <wp:extent cx="107988" cy="107988"/>
                <wp:effectExtent l="0" t="0" r="0" b="0"/>
                <wp:docPr id="971" name="Image 971"/>
                <wp:cNvGraphicFramePr>
                  <a:graphicFrameLocks/>
                </wp:cNvGraphicFramePr>
                <a:graphic>
                  <a:graphicData uri="http://schemas.openxmlformats.org/drawingml/2006/picture">
                    <pic:pic>
                      <pic:nvPicPr>
                        <pic:cNvPr id="971" name="Image 9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holding that a clause may be a penalty:</w:t>
          </w:r>
        </w:hyperlink>
      </w:hyperlink>
    </w:p>
    <w:p>
      <w:pPr>
        <w:sectPr>
          <w:headerReference w:type="default" r:id="rId54"/>
          <w:pgSz w:w="11900" w:h="16840"/>
          <w:pgMar w:header="971" w:footer="0" w:top="1300" w:bottom="280" w:left="1275" w:right="1275"/>
          <w:pgNumType w:start="1"/>
        </w:sectPr>
      </w:pPr>
    </w:p>
    <w:p>
      <w:pPr>
        <w:pStyle w:val="BodyText"/>
        <w:spacing w:before="167"/>
      </w:pPr>
    </w:p>
    <w:p>
      <w:pPr>
        <w:pStyle w:val="BodyText"/>
        <w:spacing w:line="235" w:lineRule="auto"/>
        <w:ind w:left="1245" w:right="167"/>
        <w:jc w:val="both"/>
      </w:pPr>
      <w:r>
        <w:rPr/>
        <w:t>“if, as a matter of substance, it is collateral (or accessory) to a primary stipulation </w:t>
      </w:r>
      <w:r>
        <w:rPr/>
        <w:t>in</w:t>
      </w:r>
      <w:r>
        <w:rPr>
          <w:spacing w:val="40"/>
        </w:rPr>
        <w:t> </w:t>
      </w:r>
      <w:r>
        <w:rPr/>
        <w:t>favour of a second party and this collateral stipulation, upon the failure of the primary </w:t>
      </w:r>
      <w:bookmarkStart w:name="_bookmark2342" w:id="2344"/>
      <w:bookmarkEnd w:id="2344"/>
      <w:r>
        <w:rPr/>
        <w:t>stipulation,</w:t>
      </w:r>
      <w:r>
        <w:rPr/>
        <w:t> imposes</w:t>
      </w:r>
      <w:r>
        <w:rPr>
          <w:spacing w:val="2"/>
        </w:rPr>
        <w:t> </w:t>
      </w:r>
      <w:r>
        <w:rPr/>
        <w:t>upon</w:t>
      </w:r>
      <w:r>
        <w:rPr>
          <w:spacing w:val="2"/>
        </w:rPr>
        <w:t> </w:t>
      </w:r>
      <w:r>
        <w:rPr/>
        <w:t>the</w:t>
      </w:r>
      <w:r>
        <w:rPr>
          <w:spacing w:val="2"/>
        </w:rPr>
        <w:t> </w:t>
      </w:r>
      <w:r>
        <w:rPr/>
        <w:t>first</w:t>
      </w:r>
      <w:r>
        <w:rPr>
          <w:spacing w:val="2"/>
        </w:rPr>
        <w:t> </w:t>
      </w:r>
      <w:r>
        <w:rPr/>
        <w:t>party</w:t>
      </w:r>
      <w:r>
        <w:rPr>
          <w:spacing w:val="2"/>
        </w:rPr>
        <w:t> </w:t>
      </w:r>
      <w:r>
        <w:rPr/>
        <w:t>an</w:t>
      </w:r>
      <w:r>
        <w:rPr>
          <w:spacing w:val="2"/>
        </w:rPr>
        <w:t> </w:t>
      </w:r>
      <w:r>
        <w:rPr/>
        <w:t>additional</w:t>
      </w:r>
      <w:r>
        <w:rPr>
          <w:spacing w:val="2"/>
        </w:rPr>
        <w:t> </w:t>
      </w:r>
      <w:r>
        <w:rPr/>
        <w:t>detriment,</w:t>
      </w:r>
      <w:r>
        <w:rPr>
          <w:spacing w:val="2"/>
        </w:rPr>
        <w:t> </w:t>
      </w:r>
      <w:r>
        <w:rPr/>
        <w:t>the</w:t>
      </w:r>
      <w:r>
        <w:rPr>
          <w:spacing w:val="2"/>
        </w:rPr>
        <w:t> </w:t>
      </w:r>
      <w:r>
        <w:rPr/>
        <w:t>penalty,</w:t>
      </w:r>
      <w:r>
        <w:rPr>
          <w:spacing w:val="2"/>
        </w:rPr>
        <w:t> </w:t>
      </w:r>
      <w:r>
        <w:rPr/>
        <w:t>to</w:t>
      </w:r>
      <w:r>
        <w:rPr>
          <w:spacing w:val="2"/>
        </w:rPr>
        <w:t> </w:t>
      </w:r>
      <w:r>
        <w:rPr/>
        <w:t>the</w:t>
      </w:r>
      <w:r>
        <w:rPr>
          <w:spacing w:val="2"/>
        </w:rPr>
        <w:t> </w:t>
      </w:r>
      <w:r>
        <w:rPr>
          <w:spacing w:val="-2"/>
        </w:rPr>
        <w:t>benefit</w:t>
      </w:r>
    </w:p>
    <w:p>
      <w:pPr>
        <w:pStyle w:val="BodyText"/>
        <w:spacing w:before="115"/>
        <w:ind w:left="1245"/>
        <w:jc w:val="both"/>
        <w:rPr>
          <w:position w:val="-2"/>
        </w:rPr>
      </w:pPr>
      <w:r>
        <w:rPr/>
        <w:t>of the second party.” </w:t>
      </w:r>
      <w:hyperlink w:history="true" w:anchor="_bookmark2369">
        <w:r>
          <w:rPr>
            <w:color w:val="005DA1"/>
            <w:u w:val="single" w:color="005DA1"/>
            <w:vertAlign w:val="superscript"/>
          </w:rPr>
          <w:t>1237</w:t>
        </w:r>
        <w:r>
          <w:rPr>
            <w:color w:val="005DA1"/>
            <w:spacing w:val="80"/>
            <w:w w:val="150"/>
            <w:vertAlign w:val="baseline"/>
          </w:rPr>
          <w:t> </w:t>
        </w:r>
        <w:r>
          <w:rPr>
            <w:color w:val="005DA1"/>
            <w:position w:val="-2"/>
            <w:vertAlign w:val="baseline"/>
          </w:rPr>
          <w:drawing>
            <wp:inline distT="0" distB="0" distL="0" distR="0">
              <wp:extent cx="107988" cy="107988"/>
              <wp:effectExtent l="0" t="0" r="0" b="0"/>
              <wp:docPr id="972" name="Image 972"/>
              <wp:cNvGraphicFramePr>
                <a:graphicFrameLocks/>
              </wp:cNvGraphicFramePr>
              <a:graphic>
                <a:graphicData uri="http://schemas.openxmlformats.org/drawingml/2006/picture">
                  <pic:pic>
                    <pic:nvPicPr>
                      <pic:cNvPr id="972" name="Image 9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2"/>
      </w:pPr>
    </w:p>
    <w:p>
      <w:pPr>
        <w:tabs>
          <w:tab w:pos="8640" w:val="left" w:leader="none"/>
        </w:tabs>
        <w:spacing w:line="460" w:lineRule="atLeast" w:before="0"/>
        <w:ind w:left="165" w:right="168" w:firstLine="0"/>
        <w:jc w:val="left"/>
        <w:rPr>
          <w:sz w:val="20"/>
        </w:rPr>
      </w:pPr>
      <w:bookmarkStart w:name="_bookmark2343" w:id="2345"/>
      <w:bookmarkEnd w:id="2345"/>
      <w:r>
        <w:rPr/>
      </w:r>
      <w:bookmarkStart w:name="_bookmark2344" w:id="2346"/>
      <w:bookmarkEnd w:id="2346"/>
      <w:r>
        <w:rPr/>
      </w:r>
      <w:r>
        <w:rPr>
          <w:sz w:val="20"/>
        </w:rPr>
        <w:t>However</w:t>
      </w:r>
      <w:r>
        <w:rPr>
          <w:spacing w:val="40"/>
          <w:sz w:val="20"/>
        </w:rPr>
        <w:t> </w:t>
      </w:r>
      <w:r>
        <w:rPr>
          <w:sz w:val="20"/>
        </w:rPr>
        <w:t>in</w:t>
      </w:r>
      <w:r>
        <w:rPr>
          <w:spacing w:val="40"/>
          <w:sz w:val="20"/>
        </w:rPr>
        <w:t> </w:t>
      </w:r>
      <w:r>
        <w:rPr>
          <w:rFonts w:ascii="Arial"/>
          <w:i/>
          <w:sz w:val="20"/>
        </w:rPr>
        <w:t>Cavendish</w:t>
      </w:r>
      <w:r>
        <w:rPr>
          <w:rFonts w:ascii="Arial"/>
          <w:i/>
          <w:spacing w:val="40"/>
          <w:sz w:val="20"/>
        </w:rPr>
        <w:t> </w:t>
      </w:r>
      <w:r>
        <w:rPr>
          <w:rFonts w:ascii="Arial"/>
          <w:i/>
          <w:sz w:val="20"/>
        </w:rPr>
        <w:t>Square</w:t>
      </w:r>
      <w:r>
        <w:rPr>
          <w:rFonts w:ascii="Arial"/>
          <w:i/>
          <w:spacing w:val="40"/>
          <w:sz w:val="20"/>
        </w:rPr>
        <w:t> </w:t>
      </w:r>
      <w:r>
        <w:rPr>
          <w:rFonts w:ascii="Arial"/>
          <w:i/>
          <w:sz w:val="20"/>
        </w:rPr>
        <w:t>Holding</w:t>
      </w:r>
      <w:r>
        <w:rPr>
          <w:rFonts w:ascii="Arial"/>
          <w:i/>
          <w:spacing w:val="40"/>
          <w:sz w:val="20"/>
        </w:rPr>
        <w:t> </w:t>
      </w:r>
      <w:r>
        <w:rPr>
          <w:rFonts w:ascii="Arial"/>
          <w:i/>
          <w:sz w:val="20"/>
        </w:rPr>
        <w:t>BV</w:t>
      </w:r>
      <w:r>
        <w:rPr>
          <w:rFonts w:ascii="Arial"/>
          <w:i/>
          <w:spacing w:val="40"/>
          <w:sz w:val="20"/>
        </w:rPr>
        <w:t> </w:t>
      </w:r>
      <w:r>
        <w:rPr>
          <w:rFonts w:ascii="Arial"/>
          <w:i/>
          <w:sz w:val="20"/>
        </w:rPr>
        <w:t>v</w:t>
      </w:r>
      <w:r>
        <w:rPr>
          <w:rFonts w:ascii="Arial"/>
          <w:i/>
          <w:spacing w:val="40"/>
          <w:sz w:val="20"/>
        </w:rPr>
        <w:t> </w:t>
      </w:r>
      <w:r>
        <w:rPr>
          <w:rFonts w:ascii="Arial"/>
          <w:i/>
          <w:sz w:val="20"/>
        </w:rPr>
        <w:t>Makdessi</w:t>
      </w:r>
      <w:r>
        <w:rPr>
          <w:rFonts w:ascii="Arial"/>
          <w:i/>
          <w:spacing w:val="40"/>
          <w:sz w:val="20"/>
        </w:rPr>
        <w:t> </w:t>
      </w:r>
      <w:r>
        <w:rPr>
          <w:sz w:val="20"/>
        </w:rPr>
        <w:t>and</w:t>
      </w:r>
      <w:r>
        <w:rPr>
          <w:spacing w:val="40"/>
          <w:sz w:val="20"/>
        </w:rPr>
        <w:t> </w:t>
      </w:r>
      <w:r>
        <w:rPr>
          <w:rFonts w:ascii="Arial"/>
          <w:i/>
          <w:sz w:val="20"/>
        </w:rPr>
        <w:t>ParkingEye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Beavis</w:t>
      </w:r>
      <w:r>
        <w:rPr>
          <w:rFonts w:ascii="Arial"/>
          <w:i/>
          <w:spacing w:val="40"/>
          <w:sz w:val="20"/>
        </w:rPr>
        <w:t> </w:t>
      </w:r>
      <w:hyperlink w:history="true" w:anchor="_bookmark2370">
        <w:r>
          <w:rPr>
            <w:color w:val="005DA1"/>
            <w:sz w:val="20"/>
            <w:u w:val="single" w:color="005DA1"/>
            <w:vertAlign w:val="superscript"/>
          </w:rPr>
          <w:t>1238</w:t>
        </w:r>
        <w:r>
          <w:rPr>
            <w:color w:val="005DA1"/>
            <w:sz w:val="20"/>
            <w:vertAlign w:val="baseline"/>
          </w:rPr>
          <w:tab/>
        </w:r>
        <w:r>
          <w:rPr>
            <w:color w:val="005DA1"/>
            <w:position w:val="-2"/>
            <w:sz w:val="20"/>
            <w:vertAlign w:val="baseline"/>
          </w:rPr>
          <w:drawing>
            <wp:inline distT="0" distB="0" distL="0" distR="0">
              <wp:extent cx="107988" cy="107988"/>
              <wp:effectExtent l="0" t="0" r="0" b="0"/>
              <wp:docPr id="973" name="Image 973"/>
              <wp:cNvGraphicFramePr>
                <a:graphicFrameLocks/>
              </wp:cNvGraphicFramePr>
              <a:graphic>
                <a:graphicData uri="http://schemas.openxmlformats.org/drawingml/2006/picture">
                  <pic:pic>
                    <pic:nvPicPr>
                      <pic:cNvPr id="973" name="Image 9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8"/>
            <w:sz w:val="20"/>
            <w:vertAlign w:val="baseline"/>
          </w:rPr>
          <w:t> </w:t>
        </w:r>
        <w:r>
          <w:rPr>
            <w:sz w:val="20"/>
            <w:vertAlign w:val="baseline"/>
          </w:rPr>
          <w:t>the </w:t>
        </w:r>
        <w:bookmarkStart w:name="_bookmark2345" w:id="2347"/>
        <w:bookmarkEnd w:id="2347"/>
        <w:r>
          <w:rPr>
            <w:sz w:val="20"/>
            <w:vertAlign w:val="baseline"/>
          </w:rPr>
        </w:r>
        <w:bookmarkStart w:name="_bookmark2346" w:id="2348"/>
        <w:bookmarkEnd w:id="2348"/>
        <w:r>
          <w:rPr>
            <w:sz w:val="20"/>
            <w:vertAlign w:val="baseline"/>
          </w:rPr>
          <w:t>Supreme</w:t>
        </w:r>
        <w:r>
          <w:rPr>
            <w:sz w:val="20"/>
            <w:vertAlign w:val="baseline"/>
          </w:rPr>
          <w:t> Court </w:t>
        </w:r>
        <w:r>
          <w:rPr>
            <w:color w:val="005DA1"/>
            <w:sz w:val="20"/>
            <w:u w:val="single" w:color="005DA1"/>
            <w:vertAlign w:val="superscript"/>
          </w:rPr>
          <w:t>1239</w:t>
        </w:r>
        <w:r>
          <w:rPr>
            <w:color w:val="005DA1"/>
            <w:spacing w:val="80"/>
            <w:sz w:val="20"/>
            <w:vertAlign w:val="baseline"/>
          </w:rPr>
          <w:t> </w:t>
        </w:r>
        <w:r>
          <w:rPr>
            <w:color w:val="005DA1"/>
            <w:spacing w:val="5"/>
            <w:position w:val="-2"/>
            <w:sz w:val="20"/>
            <w:vertAlign w:val="baseline"/>
          </w:rPr>
          <w:drawing>
            <wp:inline distT="0" distB="0" distL="0" distR="0">
              <wp:extent cx="107988" cy="107988"/>
              <wp:effectExtent l="0" t="0" r="0" b="0"/>
              <wp:docPr id="974" name="Image 974"/>
              <wp:cNvGraphicFramePr>
                <a:graphicFrameLocks/>
              </wp:cNvGraphicFramePr>
              <a:graphic>
                <a:graphicData uri="http://schemas.openxmlformats.org/drawingml/2006/picture">
                  <pic:pic>
                    <pic:nvPicPr>
                      <pic:cNvPr id="974" name="Image 9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sz w:val="20"/>
            <w:vertAlign w:val="baseline"/>
          </w:rPr>
        </w:r>
        <w:r>
          <w:rPr>
            <w:rFonts w:ascii="Times New Roman"/>
            <w:color w:val="005DA1"/>
            <w:spacing w:val="5"/>
            <w:sz w:val="20"/>
            <w:vertAlign w:val="baseline"/>
          </w:rPr>
          <w:t> </w:t>
        </w:r>
        <w:r>
          <w:rPr>
            <w:sz w:val="20"/>
            <w:vertAlign w:val="baseline"/>
          </w:rPr>
          <w:t>rejected this approach, which in any event they regarded as unworkable, </w:t>
        </w:r>
        <w:hyperlink w:history="true" w:anchor="_bookmark2372">
          <w:r>
            <w:rPr>
              <w:color w:val="005DA1"/>
              <w:sz w:val="20"/>
              <w:u w:val="single" w:color="005DA1"/>
              <w:vertAlign w:val="superscript"/>
            </w:rPr>
            <w:t>1240</w:t>
          </w:r>
        </w:hyperlink>
      </w:hyperlink>
    </w:p>
    <w:p>
      <w:pPr>
        <w:pStyle w:val="BodyText"/>
        <w:spacing w:before="120"/>
        <w:ind w:left="165"/>
        <w:rPr>
          <w:position w:val="-2"/>
        </w:rPr>
      </w:pPr>
      <w:r>
        <w:rPr>
          <w:position w:val="-2"/>
        </w:rPr>
        <w:drawing>
          <wp:inline distT="0" distB="0" distL="0" distR="0">
            <wp:extent cx="107988" cy="107988"/>
            <wp:effectExtent l="0" t="0" r="0" b="0"/>
            <wp:docPr id="975" name="Image 975"/>
            <wp:cNvGraphicFramePr>
              <a:graphicFrameLocks/>
            </wp:cNvGraphicFramePr>
            <a:graphic>
              <a:graphicData uri="http://schemas.openxmlformats.org/drawingml/2006/picture">
                <pic:pic>
                  <pic:nvPicPr>
                    <pic:cNvPr id="975" name="Image 9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1"/>
        </w:rPr>
        <w:t> </w:t>
      </w:r>
      <w:r>
        <w:rPr/>
        <w:t>and said that the penalty rules only come into play when a clause is triggered by a breach. </w:t>
      </w:r>
      <w:hyperlink w:history="true" w:anchor="_bookmark2373">
        <w:r>
          <w:rPr>
            <w:color w:val="005DA1"/>
            <w:u w:val="single" w:color="005DA1"/>
            <w:vertAlign w:val="superscript"/>
          </w:rPr>
          <w:t>1241</w:t>
        </w:r>
        <w:r>
          <w:rPr>
            <w:color w:val="005DA1"/>
            <w:spacing w:val="80"/>
            <w:w w:val="150"/>
            <w:vertAlign w:val="baseline"/>
          </w:rPr>
          <w:t> </w:t>
        </w:r>
        <w:r>
          <w:rPr>
            <w:color w:val="005DA1"/>
            <w:position w:val="-2"/>
            <w:vertAlign w:val="baseline"/>
          </w:rPr>
          <w:drawing>
            <wp:inline distT="0" distB="0" distL="0" distR="0">
              <wp:extent cx="107988" cy="107988"/>
              <wp:effectExtent l="0" t="0" r="0" b="0"/>
              <wp:docPr id="976" name="Image 976"/>
              <wp:cNvGraphicFramePr>
                <a:graphicFrameLocks/>
              </wp:cNvGraphicFramePr>
              <a:graphic>
                <a:graphicData uri="http://schemas.openxmlformats.org/drawingml/2006/picture">
                  <pic:pic>
                    <pic:nvPicPr>
                      <pic:cNvPr id="976" name="Image 9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Sums payable on exercise of an option under the </w:t>
      </w:r>
      <w:r>
        <w:rPr>
          <w:rFonts w:ascii="Arial"/>
          <w:b/>
          <w:spacing w:val="-2"/>
          <w:sz w:val="18"/>
        </w:rPr>
        <w:t>contract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216D</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977" name="Image 977"/>
            <wp:cNvGraphicFramePr>
              <a:graphicFrameLocks/>
            </wp:cNvGraphicFramePr>
            <a:graphic>
              <a:graphicData uri="http://schemas.openxmlformats.org/drawingml/2006/picture">
                <pic:pic>
                  <pic:nvPicPr>
                    <pic:cNvPr id="977" name="Image 9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6"/>
        </w:rPr>
        <w:t> </w:t>
      </w:r>
      <w:bookmarkStart w:name="_bookmark2347" w:id="2349"/>
      <w:bookmarkEnd w:id="2349"/>
      <w:r>
        <w:rPr>
          <w:rFonts w:ascii="Times New Roman"/>
          <w:spacing w:val="-4"/>
        </w:rPr>
      </w:r>
      <w:r>
        <w:rPr/>
        <w:t>Thus</w:t>
      </w:r>
      <w:r>
        <w:rPr>
          <w:spacing w:val="40"/>
        </w:rPr>
        <w:t> </w:t>
      </w:r>
      <w:r>
        <w:rPr/>
        <w:t>the</w:t>
      </w:r>
      <w:r>
        <w:rPr>
          <w:spacing w:val="40"/>
        </w:rPr>
        <w:t> </w:t>
      </w:r>
      <w:r>
        <w:rPr/>
        <w:t>law</w:t>
      </w:r>
      <w:r>
        <w:rPr>
          <w:spacing w:val="40"/>
        </w:rPr>
        <w:t> </w:t>
      </w:r>
      <w:r>
        <w:rPr/>
        <w:t>does</w:t>
      </w:r>
      <w:r>
        <w:rPr>
          <w:spacing w:val="40"/>
        </w:rPr>
        <w:t> </w:t>
      </w:r>
      <w:r>
        <w:rPr/>
        <w:t>not</w:t>
      </w:r>
      <w:r>
        <w:rPr>
          <w:spacing w:val="40"/>
        </w:rPr>
        <w:t> </w:t>
      </w:r>
      <w:r>
        <w:rPr/>
        <w:t>apply</w:t>
      </w:r>
      <w:r>
        <w:rPr>
          <w:spacing w:val="40"/>
        </w:rPr>
        <w:t> </w:t>
      </w:r>
      <w:r>
        <w:rPr/>
        <w:t>where</w:t>
      </w:r>
      <w:r>
        <w:rPr>
          <w:spacing w:val="40"/>
        </w:rPr>
        <w:t> </w:t>
      </w:r>
      <w:r>
        <w:rPr/>
        <w:t>one</w:t>
      </w:r>
      <w:r>
        <w:rPr>
          <w:spacing w:val="40"/>
        </w:rPr>
        <w:t> </w:t>
      </w:r>
      <w:r>
        <w:rPr/>
        <w:t>party</w:t>
      </w:r>
      <w:r>
        <w:rPr>
          <w:spacing w:val="40"/>
        </w:rPr>
        <w:t> </w:t>
      </w:r>
      <w:r>
        <w:rPr/>
        <w:t>to</w:t>
      </w:r>
      <w:r>
        <w:rPr>
          <w:spacing w:val="40"/>
        </w:rPr>
        <w:t> </w:t>
      </w:r>
      <w:r>
        <w:rPr/>
        <w:t>the</w:t>
      </w:r>
      <w:r>
        <w:rPr>
          <w:spacing w:val="40"/>
        </w:rPr>
        <w:t> </w:t>
      </w:r>
      <w:r>
        <w:rPr/>
        <w:t>contract</w:t>
      </w:r>
      <w:r>
        <w:rPr>
          <w:spacing w:val="40"/>
        </w:rPr>
        <w:t> </w:t>
      </w:r>
      <w:r>
        <w:rPr/>
        <w:t>is</w:t>
      </w:r>
      <w:r>
        <w:rPr>
          <w:spacing w:val="40"/>
        </w:rPr>
        <w:t> </w:t>
      </w:r>
      <w:r>
        <w:rPr/>
        <w:t>given</w:t>
      </w:r>
      <w:r>
        <w:rPr>
          <w:spacing w:val="40"/>
        </w:rPr>
        <w:t> </w:t>
      </w:r>
      <w:r>
        <w:rPr/>
        <w:t>an</w:t>
      </w:r>
      <w:r>
        <w:rPr>
          <w:spacing w:val="40"/>
        </w:rPr>
        <w:t> </w:t>
      </w:r>
      <w:r>
        <w:rPr/>
        <w:t>option</w:t>
      </w:r>
      <w:r>
        <w:rPr>
          <w:spacing w:val="40"/>
        </w:rPr>
        <w:t> </w:t>
      </w:r>
      <w:r>
        <w:rPr/>
        <w:t>to</w:t>
      </w:r>
      <w:r>
        <w:rPr>
          <w:spacing w:val="40"/>
        </w:rPr>
        <w:t> </w:t>
      </w:r>
      <w:r>
        <w:rPr/>
        <w:t>choose</w:t>
      </w:r>
      <w:r>
        <w:rPr>
          <w:spacing w:val="40"/>
        </w:rPr>
        <w:t> </w:t>
      </w:r>
      <w:r>
        <w:rPr/>
        <w:t>a</w:t>
      </w:r>
    </w:p>
    <w:p>
      <w:pPr>
        <w:pStyle w:val="BodyText"/>
        <w:spacing w:line="235" w:lineRule="auto" w:before="118"/>
        <w:ind w:left="165" w:right="167"/>
        <w:jc w:val="both"/>
      </w:pPr>
      <w:r>
        <w:rPr/>
        <w:t>particular method of performance, subject to his making a stipulated payment to the other </w:t>
      </w:r>
      <w:hyperlink w:history="true" w:anchor="_bookmark2374">
        <w:r>
          <w:rPr>
            <w:color w:val="005DA1"/>
            <w:u w:val="single" w:color="005DA1"/>
            <w:vertAlign w:val="superscript"/>
          </w:rPr>
          <w:t>1242</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978" name="Image 978"/>
              <wp:cNvGraphicFramePr>
                <a:graphicFrameLocks/>
              </wp:cNvGraphicFramePr>
              <a:graphic>
                <a:graphicData uri="http://schemas.openxmlformats.org/drawingml/2006/picture">
                  <pic:pic>
                    <pic:nvPicPr>
                      <pic:cNvPr id="978" name="Image 9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or </w:t>
        </w:r>
        <w:bookmarkStart w:name="_bookmark2348" w:id="2350"/>
        <w:bookmarkEnd w:id="2350"/>
        <w:r>
          <w:rPr>
            <w:vertAlign w:val="baseline"/>
          </w:rPr>
          <w:t>where</w:t>
        </w:r>
        <w:r>
          <w:rPr>
            <w:spacing w:val="11"/>
            <w:vertAlign w:val="baseline"/>
          </w:rPr>
          <w:t> </w:t>
        </w:r>
        <w:r>
          <w:rPr>
            <w:vertAlign w:val="baseline"/>
          </w:rPr>
          <w:t>a</w:t>
        </w:r>
        <w:r>
          <w:rPr>
            <w:spacing w:val="11"/>
            <w:vertAlign w:val="baseline"/>
          </w:rPr>
          <w:t> </w:t>
        </w:r>
        <w:r>
          <w:rPr>
            <w:vertAlign w:val="baseline"/>
          </w:rPr>
          <w:t>member</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pooling</w:t>
        </w:r>
        <w:r>
          <w:rPr>
            <w:spacing w:val="11"/>
            <w:vertAlign w:val="baseline"/>
          </w:rPr>
          <w:t> </w:t>
        </w:r>
        <w:r>
          <w:rPr>
            <w:vertAlign w:val="baseline"/>
          </w:rPr>
          <w:t>agreement</w:t>
        </w:r>
        <w:r>
          <w:rPr>
            <w:spacing w:val="11"/>
            <w:vertAlign w:val="baseline"/>
          </w:rPr>
          <w:t> </w:t>
        </w:r>
        <w:r>
          <w:rPr>
            <w:vertAlign w:val="baseline"/>
          </w:rPr>
          <w:t>failed</w:t>
        </w:r>
        <w:r>
          <w:rPr>
            <w:spacing w:val="11"/>
            <w:vertAlign w:val="baseline"/>
          </w:rPr>
          <w:t> </w:t>
        </w:r>
        <w:r>
          <w:rPr>
            <w:vertAlign w:val="baseline"/>
          </w:rPr>
          <w:t>to</w:t>
        </w:r>
        <w:r>
          <w:rPr>
            <w:spacing w:val="11"/>
            <w:vertAlign w:val="baseline"/>
          </w:rPr>
          <w:t> </w:t>
        </w:r>
        <w:r>
          <w:rPr>
            <w:vertAlign w:val="baseline"/>
          </w:rPr>
          <w:t>pay</w:t>
        </w:r>
        <w:r>
          <w:rPr>
            <w:spacing w:val="11"/>
            <w:vertAlign w:val="baseline"/>
          </w:rPr>
          <w:t> </w:t>
        </w:r>
        <w:r>
          <w:rPr>
            <w:vertAlign w:val="baseline"/>
          </w:rPr>
          <w:t>his</w:t>
        </w:r>
        <w:r>
          <w:rPr>
            <w:spacing w:val="11"/>
            <w:vertAlign w:val="baseline"/>
          </w:rPr>
          <w:t> </w:t>
        </w:r>
        <w:r>
          <w:rPr>
            <w:vertAlign w:val="baseline"/>
          </w:rPr>
          <w:t>levy</w:t>
        </w:r>
        <w:r>
          <w:rPr>
            <w:spacing w:val="11"/>
            <w:vertAlign w:val="baseline"/>
          </w:rPr>
          <w:t> </w:t>
        </w:r>
        <w:r>
          <w:rPr>
            <w:vertAlign w:val="baseline"/>
          </w:rPr>
          <w:t>to</w:t>
        </w:r>
        <w:r>
          <w:rPr>
            <w:spacing w:val="11"/>
            <w:vertAlign w:val="baseline"/>
          </w:rPr>
          <w:t> </w:t>
        </w:r>
        <w:r>
          <w:rPr>
            <w:vertAlign w:val="baseline"/>
          </w:rPr>
          <w:t>finance</w:t>
        </w:r>
        <w:r>
          <w:rPr>
            <w:spacing w:val="11"/>
            <w:vertAlign w:val="baseline"/>
          </w:rPr>
          <w:t> </w:t>
        </w:r>
        <w:r>
          <w:rPr>
            <w:vertAlign w:val="baseline"/>
          </w:rPr>
          <w:t>litigation</w:t>
        </w:r>
        <w:r>
          <w:rPr>
            <w:spacing w:val="11"/>
            <w:vertAlign w:val="baseline"/>
          </w:rPr>
          <w:t> </w:t>
        </w:r>
        <w:r>
          <w:rPr>
            <w:vertAlign w:val="baseline"/>
          </w:rPr>
          <w:t>and</w:t>
        </w:r>
        <w:r>
          <w:rPr>
            <w:spacing w:val="11"/>
            <w:vertAlign w:val="baseline"/>
          </w:rPr>
          <w:t> </w:t>
        </w:r>
        <w:r>
          <w:rPr>
            <w:vertAlign w:val="baseline"/>
          </w:rPr>
          <w:t>was</w:t>
        </w:r>
        <w:r>
          <w:rPr>
            <w:spacing w:val="11"/>
            <w:vertAlign w:val="baseline"/>
          </w:rPr>
          <w:t> </w:t>
        </w:r>
        <w:r>
          <w:rPr>
            <w:spacing w:val="-2"/>
            <w:vertAlign w:val="baseline"/>
          </w:rPr>
          <w:t>excluded</w:t>
        </w:r>
      </w:hyperlink>
    </w:p>
    <w:p>
      <w:pPr>
        <w:pStyle w:val="BodyText"/>
        <w:spacing w:line="235" w:lineRule="auto" w:before="120"/>
        <w:ind w:left="165" w:right="167"/>
        <w:jc w:val="both"/>
      </w:pPr>
      <w:r>
        <w:rPr/>
        <w:t>from sharing in the proceeds of the litigation. </w:t>
      </w:r>
      <w:hyperlink w:history="true" w:anchor="_bookmark2375">
        <w:r>
          <w:rPr>
            <w:color w:val="005DA1"/>
            <w:u w:val="single" w:color="005DA1"/>
            <w:vertAlign w:val="superscript"/>
          </w:rPr>
          <w:t>1243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979" name="Image 979"/>
              <wp:cNvGraphicFramePr>
                <a:graphicFrameLocks/>
              </wp:cNvGraphicFramePr>
              <a:graphic>
                <a:graphicData uri="http://schemas.openxmlformats.org/drawingml/2006/picture">
                  <pic:pic>
                    <pic:nvPicPr>
                      <pic:cNvPr id="979" name="Image 9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It does not apply to an employee’s loss </w:t>
        </w:r>
        <w:r>
          <w:rPr>
            <w:vertAlign w:val="baseline"/>
          </w:rPr>
          <w:t>of </w:t>
        </w:r>
        <w:bookmarkStart w:name="_bookmark2349" w:id="2351"/>
        <w:bookmarkEnd w:id="2351"/>
        <w:r>
          <w:rPr>
            <w:vertAlign w:val="baseline"/>
          </w:rPr>
          <w:t>contingent</w:t>
        </w:r>
        <w:r>
          <w:rPr>
            <w:spacing w:val="26"/>
            <w:vertAlign w:val="baseline"/>
          </w:rPr>
          <w:t> </w:t>
        </w:r>
        <w:r>
          <w:rPr>
            <w:vertAlign w:val="baseline"/>
          </w:rPr>
          <w:t>future</w:t>
        </w:r>
        <w:r>
          <w:rPr>
            <w:spacing w:val="26"/>
            <w:vertAlign w:val="baseline"/>
          </w:rPr>
          <w:t> </w:t>
        </w:r>
        <w:r>
          <w:rPr>
            <w:vertAlign w:val="baseline"/>
          </w:rPr>
          <w:t>interests</w:t>
        </w:r>
        <w:r>
          <w:rPr>
            <w:spacing w:val="26"/>
            <w:vertAlign w:val="baseline"/>
          </w:rPr>
          <w:t> </w:t>
        </w:r>
        <w:r>
          <w:rPr>
            <w:vertAlign w:val="baseline"/>
          </w:rPr>
          <w:t>in</w:t>
        </w:r>
        <w:r>
          <w:rPr>
            <w:spacing w:val="26"/>
            <w:vertAlign w:val="baseline"/>
          </w:rPr>
          <w:t> </w:t>
        </w:r>
        <w:r>
          <w:rPr>
            <w:vertAlign w:val="baseline"/>
          </w:rPr>
          <w:t>fund</w:t>
        </w:r>
        <w:r>
          <w:rPr>
            <w:spacing w:val="26"/>
            <w:vertAlign w:val="baseline"/>
          </w:rPr>
          <w:t> </w:t>
        </w:r>
        <w:r>
          <w:rPr>
            <w:vertAlign w:val="baseline"/>
          </w:rPr>
          <w:t>units</w:t>
        </w:r>
        <w:r>
          <w:rPr>
            <w:spacing w:val="26"/>
            <w:vertAlign w:val="baseline"/>
          </w:rPr>
          <w:t> </w:t>
        </w:r>
        <w:r>
          <w:rPr>
            <w:vertAlign w:val="baseline"/>
          </w:rPr>
          <w:t>to</w:t>
        </w:r>
        <w:r>
          <w:rPr>
            <w:spacing w:val="26"/>
            <w:vertAlign w:val="baseline"/>
          </w:rPr>
          <w:t> </w:t>
        </w:r>
        <w:r>
          <w:rPr>
            <w:vertAlign w:val="baseline"/>
          </w:rPr>
          <w:t>which</w:t>
        </w:r>
        <w:r>
          <w:rPr>
            <w:spacing w:val="26"/>
            <w:vertAlign w:val="baseline"/>
          </w:rPr>
          <w:t> </w:t>
        </w:r>
        <w:r>
          <w:rPr>
            <w:vertAlign w:val="baseline"/>
          </w:rPr>
          <w:t>he</w:t>
        </w:r>
        <w:r>
          <w:rPr>
            <w:spacing w:val="26"/>
            <w:vertAlign w:val="baseline"/>
          </w:rPr>
          <w:t> </w:t>
        </w:r>
        <w:r>
          <w:rPr>
            <w:vertAlign w:val="baseline"/>
          </w:rPr>
          <w:t>would</w:t>
        </w:r>
        <w:r>
          <w:rPr>
            <w:spacing w:val="26"/>
            <w:vertAlign w:val="baseline"/>
          </w:rPr>
          <w:t> </w:t>
        </w:r>
        <w:r>
          <w:rPr>
            <w:vertAlign w:val="baseline"/>
          </w:rPr>
          <w:t>have</w:t>
        </w:r>
        <w:r>
          <w:rPr>
            <w:spacing w:val="26"/>
            <w:vertAlign w:val="baseline"/>
          </w:rPr>
          <w:t> </w:t>
        </w:r>
        <w:r>
          <w:rPr>
            <w:vertAlign w:val="baseline"/>
          </w:rPr>
          <w:t>been</w:t>
        </w:r>
        <w:r>
          <w:rPr>
            <w:spacing w:val="26"/>
            <w:vertAlign w:val="baseline"/>
          </w:rPr>
          <w:t> </w:t>
        </w:r>
        <w:r>
          <w:rPr>
            <w:vertAlign w:val="baseline"/>
          </w:rPr>
          <w:t>entitled</w:t>
        </w:r>
        <w:r>
          <w:rPr>
            <w:spacing w:val="26"/>
            <w:vertAlign w:val="baseline"/>
          </w:rPr>
          <w:t> </w:t>
        </w:r>
        <w:r>
          <w:rPr>
            <w:vertAlign w:val="baseline"/>
          </w:rPr>
          <w:t>had</w:t>
        </w:r>
        <w:r>
          <w:rPr>
            <w:spacing w:val="26"/>
            <w:vertAlign w:val="baseline"/>
          </w:rPr>
          <w:t> </w:t>
        </w:r>
        <w:r>
          <w:rPr>
            <w:vertAlign w:val="baseline"/>
          </w:rPr>
          <w:t>his</w:t>
        </w:r>
        <w:r>
          <w:rPr>
            <w:spacing w:val="26"/>
            <w:vertAlign w:val="baseline"/>
          </w:rPr>
          <w:t> </w:t>
        </w:r>
        <w:r>
          <w:rPr>
            <w:spacing w:val="-2"/>
            <w:vertAlign w:val="baseline"/>
          </w:rPr>
          <w:t>employment</w:t>
        </w:r>
      </w:hyperlink>
    </w:p>
    <w:p>
      <w:pPr>
        <w:pStyle w:val="BodyText"/>
        <w:spacing w:line="235" w:lineRule="auto" w:before="119"/>
        <w:ind w:left="165" w:right="167"/>
        <w:jc w:val="both"/>
      </w:pPr>
      <w:r>
        <w:rPr/>
        <w:t>continued. </w:t>
      </w:r>
      <w:hyperlink w:history="true" w:anchor="_bookmark2376">
        <w:r>
          <w:rPr>
            <w:color w:val="005DA1"/>
            <w:u w:val="single" w:color="005DA1"/>
            <w:vertAlign w:val="superscript"/>
          </w:rPr>
          <w:t>1244</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980" name="Image 980"/>
              <wp:cNvGraphicFramePr>
                <a:graphicFrameLocks/>
              </wp:cNvGraphicFramePr>
              <a:graphic>
                <a:graphicData uri="http://schemas.openxmlformats.org/drawingml/2006/picture">
                  <pic:pic>
                    <pic:nvPicPr>
                      <pic:cNvPr id="980" name="Image 9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In the Court of Appeal in the </w:t>
        </w:r>
        <w:r>
          <w:rPr>
            <w:rFonts w:ascii="Arial" w:hAnsi="Arial"/>
            <w:i/>
            <w:vertAlign w:val="baseline"/>
          </w:rPr>
          <w:t>ParkingEye </w:t>
        </w:r>
        <w:r>
          <w:rPr>
            <w:vertAlign w:val="baseline"/>
          </w:rPr>
          <w:t>case it was said that the penalty rules would not apply to an £85 charge for overstaying in an otherwise free parking facility if the </w:t>
        </w:r>
        <w:bookmarkStart w:name="_bookmark2350" w:id="2352"/>
        <w:bookmarkEnd w:id="2352"/>
        <w:r>
          <w:rPr>
            <w:vertAlign w:val="baseline"/>
          </w:rPr>
          <w:t>arrangement</w:t>
        </w:r>
        <w:r>
          <w:rPr>
            <w:spacing w:val="13"/>
            <w:vertAlign w:val="baseline"/>
          </w:rPr>
          <w:t> </w:t>
        </w:r>
        <w:r>
          <w:rPr>
            <w:vertAlign w:val="baseline"/>
          </w:rPr>
          <w:t>were</w:t>
        </w:r>
        <w:r>
          <w:rPr>
            <w:spacing w:val="15"/>
            <w:vertAlign w:val="baseline"/>
          </w:rPr>
          <w:t> </w:t>
        </w:r>
        <w:r>
          <w:rPr>
            <w:vertAlign w:val="baseline"/>
          </w:rPr>
          <w:t>expressed</w:t>
        </w:r>
        <w:r>
          <w:rPr>
            <w:spacing w:val="15"/>
            <w:vertAlign w:val="baseline"/>
          </w:rPr>
          <w:t> </w:t>
        </w:r>
        <w:r>
          <w:rPr>
            <w:vertAlign w:val="baseline"/>
          </w:rPr>
          <w:t>in</w:t>
        </w:r>
        <w:r>
          <w:rPr>
            <w:spacing w:val="15"/>
            <w:vertAlign w:val="baseline"/>
          </w:rPr>
          <w:t> </w:t>
        </w:r>
        <w:r>
          <w:rPr>
            <w:vertAlign w:val="baseline"/>
          </w:rPr>
          <w:t>terms</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licence</w:t>
        </w:r>
        <w:r>
          <w:rPr>
            <w:spacing w:val="15"/>
            <w:vertAlign w:val="baseline"/>
          </w:rPr>
          <w:t> </w:t>
        </w:r>
        <w:r>
          <w:rPr>
            <w:vertAlign w:val="baseline"/>
          </w:rPr>
          <w:t>to</w:t>
        </w:r>
        <w:r>
          <w:rPr>
            <w:spacing w:val="15"/>
            <w:vertAlign w:val="baseline"/>
          </w:rPr>
          <w:t> </w:t>
        </w:r>
        <w:r>
          <w:rPr>
            <w:vertAlign w:val="baseline"/>
          </w:rPr>
          <w:t>use</w:t>
        </w:r>
        <w:r>
          <w:rPr>
            <w:spacing w:val="15"/>
            <w:vertAlign w:val="baseline"/>
          </w:rPr>
          <w:t> </w:t>
        </w:r>
        <w:r>
          <w:rPr>
            <w:vertAlign w:val="baseline"/>
          </w:rPr>
          <w:t>the</w:t>
        </w:r>
        <w:r>
          <w:rPr>
            <w:spacing w:val="15"/>
            <w:vertAlign w:val="baseline"/>
          </w:rPr>
          <w:t> </w:t>
        </w:r>
        <w:r>
          <w:rPr>
            <w:vertAlign w:val="baseline"/>
          </w:rPr>
          <w:t>car</w:t>
        </w:r>
        <w:r>
          <w:rPr>
            <w:spacing w:val="15"/>
            <w:vertAlign w:val="baseline"/>
          </w:rPr>
          <w:t> </w:t>
        </w:r>
        <w:r>
          <w:rPr>
            <w:vertAlign w:val="baseline"/>
          </w:rPr>
          <w:t>park</w:t>
        </w:r>
        <w:r>
          <w:rPr>
            <w:spacing w:val="15"/>
            <w:vertAlign w:val="baseline"/>
          </w:rPr>
          <w:t> </w:t>
        </w:r>
        <w:r>
          <w:rPr>
            <w:vertAlign w:val="baseline"/>
          </w:rPr>
          <w:t>subject</w:t>
        </w:r>
        <w:r>
          <w:rPr>
            <w:spacing w:val="15"/>
            <w:vertAlign w:val="baseline"/>
          </w:rPr>
          <w:t> </w:t>
        </w:r>
        <w:r>
          <w:rPr>
            <w:vertAlign w:val="baseline"/>
          </w:rPr>
          <w:t>to</w:t>
        </w:r>
        <w:r>
          <w:rPr>
            <w:spacing w:val="15"/>
            <w:vertAlign w:val="baseline"/>
          </w:rPr>
          <w:t> </w:t>
        </w:r>
        <w:r>
          <w:rPr>
            <w:vertAlign w:val="baseline"/>
          </w:rPr>
          <w:t>conditions</w:t>
        </w:r>
        <w:r>
          <w:rPr>
            <w:spacing w:val="15"/>
            <w:vertAlign w:val="baseline"/>
          </w:rPr>
          <w:t> </w:t>
        </w:r>
        <w:r>
          <w:rPr>
            <w:spacing w:val="-2"/>
            <w:vertAlign w:val="baseline"/>
          </w:rPr>
          <w:t>coupled</w:t>
        </w:r>
      </w:hyperlink>
    </w:p>
    <w:p>
      <w:pPr>
        <w:pStyle w:val="BodyText"/>
        <w:spacing w:before="115"/>
        <w:ind w:left="165"/>
        <w:jc w:val="both"/>
        <w:rPr>
          <w:position w:val="-2"/>
        </w:rPr>
      </w:pPr>
      <w:r>
        <w:rPr/>
        <w:t>with an agreement to pay the charge if the conditions are not adhered to. </w:t>
      </w:r>
      <w:r>
        <w:rPr>
          <w:color w:val="005DA1"/>
          <w:u w:val="single" w:color="005DA1"/>
          <w:vertAlign w:val="superscript"/>
        </w:rPr>
        <w:t>1245</w:t>
      </w:r>
      <w:r>
        <w:rPr>
          <w:color w:val="005DA1"/>
          <w:spacing w:val="80"/>
          <w:w w:val="150"/>
          <w:vertAlign w:val="baseline"/>
        </w:rPr>
        <w:t> </w:t>
      </w:r>
      <w:r>
        <w:rPr>
          <w:color w:val="005DA1"/>
          <w:position w:val="-2"/>
          <w:vertAlign w:val="baseline"/>
        </w:rPr>
        <w:drawing>
          <wp:inline distT="0" distB="0" distL="0" distR="0">
            <wp:extent cx="107988" cy="107988"/>
            <wp:effectExtent l="0" t="0" r="0" b="0"/>
            <wp:docPr id="981" name="Image 981"/>
            <wp:cNvGraphicFramePr>
              <a:graphicFrameLocks/>
            </wp:cNvGraphicFramePr>
            <a:graphic>
              <a:graphicData uri="http://schemas.openxmlformats.org/drawingml/2006/picture">
                <pic:pic>
                  <pic:nvPicPr>
                    <pic:cNvPr id="981" name="Image 9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Reimbursement is not a </w:t>
      </w:r>
      <w:r>
        <w:rPr>
          <w:rFonts w:ascii="Arial"/>
          <w:b/>
          <w:spacing w:val="-2"/>
          <w:sz w:val="18"/>
        </w:rPr>
        <w:t>penalty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216E</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982" name="Image 982"/>
            <wp:cNvGraphicFramePr>
              <a:graphicFrameLocks/>
            </wp:cNvGraphicFramePr>
            <a:graphic>
              <a:graphicData uri="http://schemas.openxmlformats.org/drawingml/2006/picture">
                <pic:pic>
                  <pic:nvPicPr>
                    <pic:cNvPr id="982" name="Image 9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2351" w:id="2353"/>
      <w:bookmarkEnd w:id="2353"/>
      <w:r>
        <w:rPr>
          <w:rFonts w:ascii="Times New Roman"/>
          <w:spacing w:val="9"/>
        </w:rPr>
      </w:r>
      <w:r>
        <w:rPr/>
        <w:t>If</w:t>
      </w:r>
      <w:r>
        <w:rPr>
          <w:spacing w:val="3"/>
        </w:rPr>
        <w:t> </w:t>
      </w:r>
      <w:r>
        <w:rPr/>
        <w:t>a</w:t>
      </w:r>
      <w:r>
        <w:rPr>
          <w:spacing w:val="3"/>
        </w:rPr>
        <w:t> </w:t>
      </w:r>
      <w:r>
        <w:rPr/>
        <w:t>contract</w:t>
      </w:r>
      <w:r>
        <w:rPr>
          <w:spacing w:val="3"/>
        </w:rPr>
        <w:t> </w:t>
      </w:r>
      <w:r>
        <w:rPr/>
        <w:t>provides</w:t>
      </w:r>
      <w:r>
        <w:rPr>
          <w:spacing w:val="3"/>
        </w:rPr>
        <w:t> </w:t>
      </w:r>
      <w:r>
        <w:rPr/>
        <w:t>that</w:t>
      </w:r>
      <w:r>
        <w:rPr>
          <w:spacing w:val="3"/>
        </w:rPr>
        <w:t> </w:t>
      </w:r>
      <w:r>
        <w:rPr/>
        <w:t>in</w:t>
      </w:r>
      <w:r>
        <w:rPr>
          <w:spacing w:val="3"/>
        </w:rPr>
        <w:t> </w:t>
      </w:r>
      <w:r>
        <w:rPr/>
        <w:t>a</w:t>
      </w:r>
      <w:r>
        <w:rPr>
          <w:spacing w:val="3"/>
        </w:rPr>
        <w:t> </w:t>
      </w:r>
      <w:r>
        <w:rPr/>
        <w:t>certain</w:t>
      </w:r>
      <w:r>
        <w:rPr>
          <w:spacing w:val="3"/>
        </w:rPr>
        <w:t> </w:t>
      </w:r>
      <w:r>
        <w:rPr/>
        <w:t>event</w:t>
      </w:r>
      <w:r>
        <w:rPr>
          <w:spacing w:val="3"/>
        </w:rPr>
        <w:t> </w:t>
      </w:r>
      <w:r>
        <w:rPr/>
        <w:t>a</w:t>
      </w:r>
      <w:r>
        <w:rPr>
          <w:spacing w:val="3"/>
        </w:rPr>
        <w:t> </w:t>
      </w:r>
      <w:r>
        <w:rPr/>
        <w:t>sum</w:t>
      </w:r>
      <w:r>
        <w:rPr>
          <w:spacing w:val="3"/>
        </w:rPr>
        <w:t> </w:t>
      </w:r>
      <w:r>
        <w:rPr/>
        <w:t>of</w:t>
      </w:r>
      <w:r>
        <w:rPr>
          <w:spacing w:val="3"/>
        </w:rPr>
        <w:t> </w:t>
      </w:r>
      <w:r>
        <w:rPr/>
        <w:t>money</w:t>
      </w:r>
      <w:r>
        <w:rPr>
          <w:spacing w:val="3"/>
        </w:rPr>
        <w:t> </w:t>
      </w:r>
      <w:r>
        <w:rPr/>
        <w:t>paid</w:t>
      </w:r>
      <w:r>
        <w:rPr>
          <w:spacing w:val="3"/>
        </w:rPr>
        <w:t> </w:t>
      </w:r>
      <w:r>
        <w:rPr/>
        <w:t>under</w:t>
      </w:r>
      <w:r>
        <w:rPr>
          <w:spacing w:val="3"/>
        </w:rPr>
        <w:t> </w:t>
      </w:r>
      <w:r>
        <w:rPr/>
        <w:t>the</w:t>
      </w:r>
      <w:r>
        <w:rPr>
          <w:spacing w:val="3"/>
        </w:rPr>
        <w:t> </w:t>
      </w:r>
      <w:r>
        <w:rPr/>
        <w:t>contract</w:t>
      </w:r>
      <w:r>
        <w:rPr>
          <w:spacing w:val="3"/>
        </w:rPr>
        <w:t> </w:t>
      </w:r>
      <w:r>
        <w:rPr/>
        <w:t>is</w:t>
      </w:r>
      <w:r>
        <w:rPr>
          <w:spacing w:val="3"/>
        </w:rPr>
        <w:t> </w:t>
      </w:r>
      <w:r>
        <w:rPr/>
        <w:t>to</w:t>
      </w:r>
      <w:r>
        <w:rPr>
          <w:spacing w:val="3"/>
        </w:rPr>
        <w:t> </w:t>
      </w:r>
      <w:r>
        <w:rPr/>
        <w:t>be</w:t>
      </w:r>
      <w:r>
        <w:rPr>
          <w:spacing w:val="3"/>
        </w:rPr>
        <w:t> </w:t>
      </w:r>
      <w:r>
        <w:rPr/>
        <w:t>repaid</w:t>
      </w:r>
    </w:p>
    <w:p>
      <w:pPr>
        <w:pStyle w:val="BodyText"/>
        <w:spacing w:line="235" w:lineRule="auto" w:before="118"/>
        <w:ind w:left="165" w:right="167"/>
        <w:jc w:val="both"/>
      </w:pPr>
      <w:r>
        <w:rPr/>
        <w:t>to the original payer, the reimbursement cannot be a penalty. </w:t>
      </w:r>
      <w:hyperlink w:history="true" w:anchor="_bookmark2377">
        <w:r>
          <w:rPr>
            <w:color w:val="005DA1"/>
            <w:u w:val="single" w:color="005DA1"/>
            <w:vertAlign w:val="superscript"/>
          </w:rPr>
          <w:t>1246</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983" name="Image 983"/>
              <wp:cNvGraphicFramePr>
                <a:graphicFrameLocks/>
              </wp:cNvGraphicFramePr>
              <a:graphic>
                <a:graphicData uri="http://schemas.openxmlformats.org/drawingml/2006/picture">
                  <pic:pic>
                    <pic:nvPicPr>
                      <pic:cNvPr id="983" name="Image 9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23"/>
            <w:vertAlign w:val="baseline"/>
          </w:rPr>
          <w:t> </w:t>
        </w:r>
        <w:r>
          <w:rPr>
            <w:vertAlign w:val="baseline"/>
          </w:rPr>
          <w:t>So where the defendant received an insurance payment on the basis of his permanent disablement the insurers were able to </w:t>
        </w:r>
        <w:bookmarkStart w:name="_bookmark2352" w:id="2354"/>
        <w:bookmarkEnd w:id="2354"/>
        <w:r>
          <w:rPr>
            <w:vertAlign w:val="baseline"/>
          </w:rPr>
          <w:t>enforce</w:t>
        </w:r>
        <w:r>
          <w:rPr>
            <w:spacing w:val="1"/>
            <w:vertAlign w:val="baseline"/>
          </w:rPr>
          <w:t> </w:t>
        </w:r>
        <w:r>
          <w:rPr>
            <w:vertAlign w:val="baseline"/>
          </w:rPr>
          <w:t>his</w:t>
        </w:r>
        <w:r>
          <w:rPr>
            <w:spacing w:val="1"/>
            <w:vertAlign w:val="baseline"/>
          </w:rPr>
          <w:t> </w:t>
        </w:r>
        <w:r>
          <w:rPr>
            <w:vertAlign w:val="baseline"/>
          </w:rPr>
          <w:t>undertaking</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them</w:t>
        </w:r>
        <w:r>
          <w:rPr>
            <w:spacing w:val="1"/>
            <w:vertAlign w:val="baseline"/>
          </w:rPr>
          <w:t> </w:t>
        </w:r>
        <w:r>
          <w:rPr>
            <w:vertAlign w:val="baseline"/>
          </w:rPr>
          <w:t>“a</w:t>
        </w:r>
        <w:r>
          <w:rPr>
            <w:spacing w:val="1"/>
            <w:vertAlign w:val="baseline"/>
          </w:rPr>
          <w:t> </w:t>
        </w:r>
        <w:r>
          <w:rPr>
            <w:vertAlign w:val="baseline"/>
          </w:rPr>
          <w:t>penalty”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amount</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took</w:t>
        </w:r>
        <w:r>
          <w:rPr>
            <w:spacing w:val="1"/>
            <w:vertAlign w:val="baseline"/>
          </w:rPr>
          <w:t> </w:t>
        </w:r>
        <w:r>
          <w:rPr>
            <w:vertAlign w:val="baseline"/>
          </w:rPr>
          <w:t>part</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specified</w:t>
        </w:r>
        <w:r>
          <w:rPr>
            <w:spacing w:val="1"/>
            <w:vertAlign w:val="baseline"/>
          </w:rPr>
          <w:t> </w:t>
        </w:r>
        <w:r>
          <w:rPr>
            <w:spacing w:val="-2"/>
            <w:vertAlign w:val="baseline"/>
          </w:rPr>
          <w:t>sport</w:t>
        </w:r>
      </w:hyperlink>
    </w:p>
    <w:p>
      <w:pPr>
        <w:pStyle w:val="BodyText"/>
        <w:spacing w:before="115"/>
        <w:ind w:left="165"/>
        <w:jc w:val="both"/>
        <w:rPr>
          <w:position w:val="-2"/>
        </w:rPr>
      </w:pPr>
      <w:r>
        <w:rPr/>
        <w:t>in future. </w:t>
      </w:r>
      <w:hyperlink w:history="true" w:anchor="_bookmark2378">
        <w:r>
          <w:rPr>
            <w:color w:val="005DA1"/>
            <w:u w:val="single" w:color="005DA1"/>
            <w:vertAlign w:val="superscript"/>
          </w:rPr>
          <w:t>1247</w:t>
        </w:r>
        <w:r>
          <w:rPr>
            <w:color w:val="005DA1"/>
            <w:spacing w:val="80"/>
            <w:vertAlign w:val="baseline"/>
          </w:rPr>
          <w:t> </w:t>
        </w:r>
        <w:r>
          <w:rPr>
            <w:color w:val="005DA1"/>
            <w:position w:val="-2"/>
            <w:vertAlign w:val="baseline"/>
          </w:rPr>
          <w:drawing>
            <wp:inline distT="0" distB="0" distL="0" distR="0">
              <wp:extent cx="107988" cy="107988"/>
              <wp:effectExtent l="0" t="0" r="0" b="0"/>
              <wp:docPr id="984" name="Image 984"/>
              <wp:cNvGraphicFramePr>
                <a:graphicFrameLocks/>
              </wp:cNvGraphicFramePr>
              <a:graphic>
                <a:graphicData uri="http://schemas.openxmlformats.org/drawingml/2006/picture">
                  <pic:pic>
                    <pic:nvPicPr>
                      <pic:cNvPr id="984" name="Image 9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Incentive </w:t>
      </w:r>
      <w:r>
        <w:rPr>
          <w:rFonts w:ascii="Arial"/>
          <w:b/>
          <w:spacing w:val="-2"/>
          <w:sz w:val="18"/>
        </w:rPr>
        <w:t>payments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216F</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85" name="Image 985"/>
            <wp:cNvGraphicFramePr>
              <a:graphicFrameLocks/>
            </wp:cNvGraphicFramePr>
            <a:graphic>
              <a:graphicData uri="http://schemas.openxmlformats.org/drawingml/2006/picture">
                <pic:pic>
                  <pic:nvPicPr>
                    <pic:cNvPr id="985" name="Image 98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reverse of an agreed damages clause is an incentive payment such as an extra payment for early completion. The law on penalties does not apply to a clause providing for an </w:t>
      </w:r>
      <w:r>
        <w:rPr>
          <w:rFonts w:ascii="Arial"/>
          <w:i/>
        </w:rPr>
        <w:t>increase </w:t>
      </w:r>
      <w:r>
        <w:rPr/>
        <w:t>in </w:t>
      </w:r>
      <w:r>
        <w:rPr/>
        <w:t>the price if certain targets in the contract are bettered or if costs are reduced; similarly, the price for a specially-manufactured machine may be graduated according to its efficiency in operation. A </w:t>
      </w:r>
      <w:bookmarkStart w:name="_bookmark2353" w:id="2355"/>
      <w:bookmarkEnd w:id="2355"/>
      <w:r>
        <w:rPr/>
        <w:t>Government</w:t>
      </w:r>
      <w:r>
        <w:rPr>
          <w:spacing w:val="65"/>
        </w:rPr>
        <w:t> </w:t>
      </w:r>
      <w:r>
        <w:rPr/>
        <w:t>report</w:t>
      </w:r>
      <w:r>
        <w:rPr>
          <w:spacing w:val="65"/>
        </w:rPr>
        <w:t> </w:t>
      </w:r>
      <w:r>
        <w:rPr/>
        <w:t>has</w:t>
      </w:r>
      <w:r>
        <w:rPr>
          <w:spacing w:val="65"/>
        </w:rPr>
        <w:t> </w:t>
      </w:r>
      <w:r>
        <w:rPr/>
        <w:t>recommended</w:t>
      </w:r>
      <w:r>
        <w:rPr>
          <w:spacing w:val="65"/>
        </w:rPr>
        <w:t> </w:t>
      </w:r>
      <w:r>
        <w:rPr/>
        <w:t>that</w:t>
      </w:r>
      <w:r>
        <w:rPr>
          <w:spacing w:val="65"/>
        </w:rPr>
        <w:t> </w:t>
      </w:r>
      <w:r>
        <w:rPr/>
        <w:t>in</w:t>
      </w:r>
      <w:r>
        <w:rPr>
          <w:spacing w:val="65"/>
        </w:rPr>
        <w:t> </w:t>
      </w:r>
      <w:r>
        <w:rPr/>
        <w:t>building</w:t>
      </w:r>
      <w:r>
        <w:rPr>
          <w:spacing w:val="65"/>
        </w:rPr>
        <w:t> </w:t>
      </w:r>
      <w:r>
        <w:rPr/>
        <w:t>contracts</w:t>
      </w:r>
      <w:r>
        <w:rPr>
          <w:spacing w:val="65"/>
        </w:rPr>
        <w:t> </w:t>
      </w:r>
      <w:r>
        <w:rPr/>
        <w:t>incentive</w:t>
      </w:r>
      <w:r>
        <w:rPr>
          <w:spacing w:val="65"/>
        </w:rPr>
        <w:t> </w:t>
      </w:r>
      <w:r>
        <w:rPr/>
        <w:t>payments</w:t>
      </w:r>
      <w:r>
        <w:rPr>
          <w:spacing w:val="65"/>
        </w:rPr>
        <w:t> </w:t>
      </w:r>
      <w:r>
        <w:rPr/>
        <w:t>should</w:t>
      </w:r>
      <w:r>
        <w:rPr>
          <w:spacing w:val="65"/>
        </w:rPr>
        <w:t> </w:t>
      </w:r>
      <w:r>
        <w:rPr>
          <w:spacing w:val="-5"/>
        </w:rPr>
        <w:t>be</w:t>
      </w:r>
    </w:p>
    <w:p>
      <w:pPr>
        <w:pStyle w:val="BodyText"/>
        <w:spacing w:before="114"/>
        <w:ind w:left="165"/>
        <w:jc w:val="both"/>
        <w:rPr>
          <w:position w:val="-2"/>
        </w:rPr>
      </w:pPr>
      <w:r>
        <w:rPr/>
        <w:t>preferred to agreed damages clauses. </w:t>
      </w:r>
      <w:hyperlink w:history="true" w:anchor="_bookmark2379">
        <w:r>
          <w:rPr>
            <w:color w:val="005DA1"/>
            <w:u w:val="single" w:color="005DA1"/>
            <w:vertAlign w:val="superscript"/>
          </w:rPr>
          <w:t>1248</w:t>
        </w:r>
        <w:r>
          <w:rPr>
            <w:color w:val="005DA1"/>
            <w:spacing w:val="80"/>
            <w:w w:val="150"/>
            <w:vertAlign w:val="baseline"/>
          </w:rPr>
          <w:t> </w:t>
        </w:r>
        <w:r>
          <w:rPr>
            <w:color w:val="005DA1"/>
            <w:position w:val="-2"/>
            <w:vertAlign w:val="baseline"/>
          </w:rPr>
          <w:drawing>
            <wp:inline distT="0" distB="0" distL="0" distR="0">
              <wp:extent cx="107988" cy="107988"/>
              <wp:effectExtent l="0" t="0" r="0" b="0"/>
              <wp:docPr id="986" name="Image 986"/>
              <wp:cNvGraphicFramePr>
                <a:graphicFrameLocks/>
              </wp:cNvGraphicFramePr>
              <a:graphic>
                <a:graphicData uri="http://schemas.openxmlformats.org/drawingml/2006/picture">
                  <pic:pic>
                    <pic:nvPicPr>
                      <pic:cNvPr id="986" name="Image 9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Disguised </w:t>
      </w:r>
      <w:r>
        <w:rPr>
          <w:rFonts w:ascii="Arial"/>
          <w:b/>
          <w:spacing w:val="-2"/>
          <w:sz w:val="18"/>
        </w:rPr>
        <w:t>penalties</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4"/>
          <w:sz w:val="24"/>
        </w:rPr>
        <w:t>216G</w:t>
      </w:r>
    </w:p>
    <w:p>
      <w:pPr>
        <w:pStyle w:val="BodyText"/>
        <w:spacing w:before="92"/>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987" name="Image 987"/>
            <wp:cNvGraphicFramePr>
              <a:graphicFrameLocks/>
            </wp:cNvGraphicFramePr>
            <a:graphic>
              <a:graphicData uri="http://schemas.openxmlformats.org/drawingml/2006/picture">
                <pic:pic>
                  <pic:nvPicPr>
                    <pic:cNvPr id="987" name="Image 9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Some doubt is thrown on the division between sums payable upon breach and sums payable </w:t>
      </w:r>
      <w:r>
        <w:rPr/>
        <w:t>on </w:t>
      </w:r>
      <w:bookmarkStart w:name="_bookmark2354" w:id="2356"/>
      <w:bookmarkEnd w:id="2356"/>
      <w:r>
        <w:rPr/>
        <w:t>other</w:t>
      </w:r>
      <w:r>
        <w:rPr>
          <w:spacing w:val="50"/>
        </w:rPr>
        <w:t> </w:t>
      </w:r>
      <w:r>
        <w:rPr/>
        <w:t>events</w:t>
      </w:r>
      <w:r>
        <w:rPr>
          <w:spacing w:val="50"/>
        </w:rPr>
        <w:t> </w:t>
      </w:r>
      <w:r>
        <w:rPr/>
        <w:t>by</w:t>
      </w:r>
      <w:r>
        <w:rPr>
          <w:spacing w:val="50"/>
        </w:rPr>
        <w:t> </w:t>
      </w:r>
      <w:r>
        <w:rPr/>
        <w:t>the</w:t>
      </w:r>
      <w:r>
        <w:rPr>
          <w:spacing w:val="50"/>
        </w:rPr>
        <w:t> </w:t>
      </w:r>
      <w:r>
        <w:rPr/>
        <w:t>suggestion</w:t>
      </w:r>
      <w:r>
        <w:rPr>
          <w:spacing w:val="50"/>
        </w:rPr>
        <w:t> </w:t>
      </w:r>
      <w:r>
        <w:rPr/>
        <w:t>by</w:t>
      </w:r>
      <w:r>
        <w:rPr>
          <w:spacing w:val="50"/>
        </w:rPr>
        <w:t> </w:t>
      </w:r>
      <w:r>
        <w:rPr/>
        <w:t>some</w:t>
      </w:r>
      <w:r>
        <w:rPr>
          <w:spacing w:val="50"/>
        </w:rPr>
        <w:t> </w:t>
      </w:r>
      <w:r>
        <w:rPr/>
        <w:t>of</w:t>
      </w:r>
      <w:r>
        <w:rPr>
          <w:spacing w:val="50"/>
        </w:rPr>
        <w:t> </w:t>
      </w:r>
      <w:r>
        <w:rPr/>
        <w:t>their</w:t>
      </w:r>
      <w:r>
        <w:rPr>
          <w:spacing w:val="50"/>
        </w:rPr>
        <w:t> </w:t>
      </w:r>
      <w:r>
        <w:rPr/>
        <w:t>Lordships</w:t>
      </w:r>
      <w:r>
        <w:rPr>
          <w:spacing w:val="50"/>
        </w:rPr>
        <w:t> </w:t>
      </w:r>
      <w:r>
        <w:rPr/>
        <w:t>in</w:t>
      </w:r>
      <w:r>
        <w:rPr>
          <w:spacing w:val="49"/>
        </w:rPr>
        <w:t> </w:t>
      </w:r>
      <w:r>
        <w:rPr>
          <w:rFonts w:ascii="Arial"/>
          <w:i/>
        </w:rPr>
        <w:t>Cavendish</w:t>
      </w:r>
      <w:r>
        <w:rPr>
          <w:rFonts w:ascii="Arial"/>
          <w:i/>
          <w:spacing w:val="50"/>
        </w:rPr>
        <w:t> </w:t>
      </w:r>
      <w:r>
        <w:rPr>
          <w:rFonts w:ascii="Arial"/>
          <w:i/>
        </w:rPr>
        <w:t>Square</w:t>
      </w:r>
      <w:r>
        <w:rPr>
          <w:rFonts w:ascii="Arial"/>
          <w:i/>
          <w:spacing w:val="50"/>
        </w:rPr>
        <w:t> </w:t>
      </w:r>
      <w:r>
        <w:rPr>
          <w:rFonts w:ascii="Arial"/>
          <w:i/>
        </w:rPr>
        <w:t>Holding</w:t>
      </w:r>
      <w:r>
        <w:rPr>
          <w:rFonts w:ascii="Arial"/>
          <w:i/>
          <w:spacing w:val="50"/>
        </w:rPr>
        <w:t> </w:t>
      </w:r>
      <w:r>
        <w:rPr>
          <w:rFonts w:ascii="Arial"/>
          <w:i/>
        </w:rPr>
        <w:t>BV</w:t>
      </w:r>
      <w:r>
        <w:rPr>
          <w:rFonts w:ascii="Arial"/>
          <w:i/>
          <w:spacing w:val="50"/>
        </w:rPr>
        <w:t> </w:t>
      </w:r>
      <w:r>
        <w:rPr>
          <w:rFonts w:ascii="Arial"/>
          <w:i/>
          <w:spacing w:val="-10"/>
        </w:rPr>
        <w:t>v</w:t>
      </w:r>
    </w:p>
    <w:p>
      <w:pPr>
        <w:spacing w:line="235" w:lineRule="auto" w:before="120"/>
        <w:ind w:left="165" w:right="168" w:firstLine="0"/>
        <w:jc w:val="both"/>
        <w:rPr>
          <w:rFonts w:ascii="Arial" w:hAnsi="Arial"/>
          <w:i/>
          <w:sz w:val="20"/>
        </w:rPr>
      </w:pPr>
      <w:r>
        <w:rPr>
          <w:rFonts w:ascii="Arial" w:hAnsi="Arial"/>
          <w:i/>
          <w:sz w:val="20"/>
        </w:rPr>
        <w:t>Makdessi </w:t>
      </w:r>
      <w:r>
        <w:rPr>
          <w:sz w:val="20"/>
        </w:rPr>
        <w:t>and </w:t>
      </w:r>
      <w:r>
        <w:rPr>
          <w:rFonts w:ascii="Arial" w:hAnsi="Arial"/>
          <w:i/>
          <w:sz w:val="20"/>
        </w:rPr>
        <w:t>ParkingEye Ltd v Beavis </w:t>
      </w:r>
      <w:hyperlink w:history="true" w:anchor="_bookmark2380">
        <w:r>
          <w:rPr>
            <w:color w:val="005DA1"/>
            <w:sz w:val="20"/>
            <w:u w:val="single" w:color="005DA1"/>
            <w:vertAlign w:val="superscript"/>
          </w:rPr>
          <w:t>1249</w:t>
        </w:r>
        <w:r>
          <w:rPr>
            <w:color w:val="005DA1"/>
            <w:spacing w:val="80"/>
            <w:sz w:val="20"/>
            <w:vertAlign w:val="baseline"/>
          </w:rPr>
          <w:t> </w:t>
        </w:r>
        <w:r>
          <w:rPr>
            <w:color w:val="005DA1"/>
            <w:spacing w:val="-22"/>
            <w:position w:val="-2"/>
            <w:sz w:val="20"/>
            <w:vertAlign w:val="baseline"/>
          </w:rPr>
          <w:drawing>
            <wp:inline distT="0" distB="0" distL="0" distR="0">
              <wp:extent cx="107988" cy="107988"/>
              <wp:effectExtent l="0" t="0" r="0" b="0"/>
              <wp:docPr id="988" name="Image 988"/>
              <wp:cNvGraphicFramePr>
                <a:graphicFrameLocks/>
              </wp:cNvGraphicFramePr>
              <a:graphic>
                <a:graphicData uri="http://schemas.openxmlformats.org/drawingml/2006/picture">
                  <pic:pic>
                    <pic:nvPicPr>
                      <pic:cNvPr id="988" name="Image 9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sz w:val="20"/>
            <w:vertAlign w:val="baseline"/>
          </w:rPr>
        </w:r>
        <w:r>
          <w:rPr>
            <w:rFonts w:ascii="Times New Roman" w:hAnsi="Times New Roman"/>
            <w:color w:val="005DA1"/>
            <w:spacing w:val="40"/>
            <w:sz w:val="20"/>
            <w:vertAlign w:val="baseline"/>
          </w:rPr>
          <w:t> </w:t>
        </w:r>
        <w:r>
          <w:rPr>
            <w:sz w:val="20"/>
            <w:vertAlign w:val="baseline"/>
          </w:rPr>
          <w:t>that certain clauses may amount to </w:t>
        </w:r>
        <w:r>
          <w:rPr>
            <w:sz w:val="20"/>
            <w:vertAlign w:val="baseline"/>
          </w:rPr>
          <w:t>“disguised </w:t>
        </w:r>
        <w:bookmarkStart w:name="_bookmark2355" w:id="2357"/>
        <w:bookmarkEnd w:id="2357"/>
        <w:r>
          <w:rPr>
            <w:sz w:val="20"/>
            <w:vertAlign w:val="baseline"/>
          </w:rPr>
          <w:t>penalties”.</w:t>
        </w:r>
        <w:r>
          <w:rPr>
            <w:spacing w:val="14"/>
            <w:sz w:val="20"/>
            <w:vertAlign w:val="baseline"/>
          </w:rPr>
          <w:t> </w:t>
        </w:r>
        <w:r>
          <w:rPr>
            <w:sz w:val="20"/>
            <w:vertAlign w:val="baseline"/>
          </w:rPr>
          <w:t>This</w:t>
        </w:r>
        <w:r>
          <w:rPr>
            <w:spacing w:val="14"/>
            <w:sz w:val="20"/>
            <w:vertAlign w:val="baseline"/>
          </w:rPr>
          <w:t> </w:t>
        </w:r>
        <w:r>
          <w:rPr>
            <w:sz w:val="20"/>
            <w:vertAlign w:val="baseline"/>
          </w:rPr>
          <w:t>follows</w:t>
        </w:r>
        <w:r>
          <w:rPr>
            <w:spacing w:val="14"/>
            <w:sz w:val="20"/>
            <w:vertAlign w:val="baseline"/>
          </w:rPr>
          <w:t> </w:t>
        </w:r>
        <w:r>
          <w:rPr>
            <w:sz w:val="20"/>
            <w:vertAlign w:val="baseline"/>
          </w:rPr>
          <w:t>a</w:t>
        </w:r>
        <w:r>
          <w:rPr>
            <w:spacing w:val="14"/>
            <w:sz w:val="20"/>
            <w:vertAlign w:val="baseline"/>
          </w:rPr>
          <w:t> </w:t>
        </w:r>
        <w:r>
          <w:rPr>
            <w:sz w:val="20"/>
            <w:vertAlign w:val="baseline"/>
          </w:rPr>
          <w:t>suggestion</w:t>
        </w:r>
        <w:r>
          <w:rPr>
            <w:spacing w:val="14"/>
            <w:sz w:val="20"/>
            <w:vertAlign w:val="baseline"/>
          </w:rPr>
          <w:t> </w:t>
        </w:r>
        <w:r>
          <w:rPr>
            <w:sz w:val="20"/>
            <w:vertAlign w:val="baseline"/>
          </w:rPr>
          <w:t>by</w:t>
        </w:r>
        <w:r>
          <w:rPr>
            <w:spacing w:val="14"/>
            <w:sz w:val="20"/>
            <w:vertAlign w:val="baseline"/>
          </w:rPr>
          <w:t> </w:t>
        </w:r>
        <w:r>
          <w:rPr>
            <w:sz w:val="20"/>
            <w:vertAlign w:val="baseline"/>
          </w:rPr>
          <w:t>Bingham</w:t>
        </w:r>
        <w:r>
          <w:rPr>
            <w:spacing w:val="14"/>
            <w:sz w:val="20"/>
            <w:vertAlign w:val="baseline"/>
          </w:rPr>
          <w:t> </w:t>
        </w:r>
        <w:r>
          <w:rPr>
            <w:sz w:val="20"/>
            <w:vertAlign w:val="baseline"/>
          </w:rPr>
          <w:t>L.J.</w:t>
        </w:r>
        <w:r>
          <w:rPr>
            <w:spacing w:val="14"/>
            <w:sz w:val="20"/>
            <w:vertAlign w:val="baseline"/>
          </w:rPr>
          <w:t> </w:t>
        </w:r>
        <w:r>
          <w:rPr>
            <w:sz w:val="20"/>
            <w:vertAlign w:val="baseline"/>
          </w:rPr>
          <w:t>in</w:t>
        </w:r>
        <w:r>
          <w:rPr>
            <w:spacing w:val="13"/>
            <w:sz w:val="20"/>
            <w:vertAlign w:val="baseline"/>
          </w:rPr>
          <w:t> </w:t>
        </w:r>
        <w:r>
          <w:rPr>
            <w:rFonts w:ascii="Arial" w:hAnsi="Arial"/>
            <w:i/>
            <w:sz w:val="20"/>
            <w:vertAlign w:val="baseline"/>
          </w:rPr>
          <w:t>Interfoto</w:t>
        </w:r>
        <w:r>
          <w:rPr>
            <w:rFonts w:ascii="Arial" w:hAnsi="Arial"/>
            <w:i/>
            <w:spacing w:val="14"/>
            <w:sz w:val="20"/>
            <w:vertAlign w:val="baseline"/>
          </w:rPr>
          <w:t> </w:t>
        </w:r>
        <w:r>
          <w:rPr>
            <w:rFonts w:ascii="Arial" w:hAnsi="Arial"/>
            <w:i/>
            <w:sz w:val="20"/>
            <w:vertAlign w:val="baseline"/>
          </w:rPr>
          <w:t>Picture</w:t>
        </w:r>
        <w:r>
          <w:rPr>
            <w:rFonts w:ascii="Arial" w:hAnsi="Arial"/>
            <w:i/>
            <w:spacing w:val="14"/>
            <w:sz w:val="20"/>
            <w:vertAlign w:val="baseline"/>
          </w:rPr>
          <w:t> </w:t>
        </w:r>
        <w:r>
          <w:rPr>
            <w:rFonts w:ascii="Arial" w:hAnsi="Arial"/>
            <w:i/>
            <w:sz w:val="20"/>
            <w:vertAlign w:val="baseline"/>
          </w:rPr>
          <w:t>Library</w:t>
        </w:r>
        <w:r>
          <w:rPr>
            <w:rFonts w:ascii="Arial" w:hAnsi="Arial"/>
            <w:i/>
            <w:spacing w:val="14"/>
            <w:sz w:val="20"/>
            <w:vertAlign w:val="baseline"/>
          </w:rPr>
          <w:t> </w:t>
        </w:r>
        <w:r>
          <w:rPr>
            <w:rFonts w:ascii="Arial" w:hAnsi="Arial"/>
            <w:i/>
            <w:sz w:val="20"/>
            <w:vertAlign w:val="baseline"/>
          </w:rPr>
          <w:t>Ltd</w:t>
        </w:r>
        <w:r>
          <w:rPr>
            <w:rFonts w:ascii="Arial" w:hAnsi="Arial"/>
            <w:i/>
            <w:spacing w:val="14"/>
            <w:sz w:val="20"/>
            <w:vertAlign w:val="baseline"/>
          </w:rPr>
          <w:t> </w:t>
        </w:r>
        <w:r>
          <w:rPr>
            <w:rFonts w:ascii="Arial" w:hAnsi="Arial"/>
            <w:i/>
            <w:sz w:val="20"/>
            <w:vertAlign w:val="baseline"/>
          </w:rPr>
          <w:t>v</w:t>
        </w:r>
        <w:r>
          <w:rPr>
            <w:rFonts w:ascii="Arial" w:hAnsi="Arial"/>
            <w:i/>
            <w:spacing w:val="14"/>
            <w:sz w:val="20"/>
            <w:vertAlign w:val="baseline"/>
          </w:rPr>
          <w:t> </w:t>
        </w:r>
        <w:r>
          <w:rPr>
            <w:rFonts w:ascii="Arial" w:hAnsi="Arial"/>
            <w:i/>
            <w:sz w:val="20"/>
            <w:vertAlign w:val="baseline"/>
          </w:rPr>
          <w:t>Stiletto</w:t>
        </w:r>
        <w:r>
          <w:rPr>
            <w:rFonts w:ascii="Arial" w:hAnsi="Arial"/>
            <w:i/>
            <w:spacing w:val="14"/>
            <w:sz w:val="20"/>
            <w:vertAlign w:val="baseline"/>
          </w:rPr>
          <w:t> </w:t>
        </w:r>
        <w:r>
          <w:rPr>
            <w:rFonts w:ascii="Arial" w:hAnsi="Arial"/>
            <w:i/>
            <w:spacing w:val="-2"/>
            <w:sz w:val="20"/>
            <w:vertAlign w:val="baseline"/>
          </w:rPr>
          <w:t>Visual</w:t>
        </w:r>
      </w:hyperlink>
    </w:p>
    <w:p>
      <w:pPr>
        <w:pStyle w:val="BodyText"/>
        <w:spacing w:line="235" w:lineRule="auto" w:before="119"/>
        <w:ind w:left="164" w:right="167"/>
        <w:jc w:val="both"/>
      </w:pPr>
      <w:r>
        <w:rPr>
          <w:rFonts w:ascii="Arial"/>
          <w:i/>
        </w:rPr>
        <w:t>Programmes Ltd </w:t>
      </w:r>
      <w:hyperlink w:history="true" w:anchor="_bookmark2381">
        <w:r>
          <w:rPr>
            <w:color w:val="005DA1"/>
            <w:u w:val="single" w:color="005DA1"/>
            <w:vertAlign w:val="superscript"/>
          </w:rPr>
          <w:t>1250</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989" name="Image 989"/>
              <wp:cNvGraphicFramePr>
                <a:graphicFrameLocks/>
              </wp:cNvGraphicFramePr>
              <a:graphic>
                <a:graphicData uri="http://schemas.openxmlformats.org/drawingml/2006/picture">
                  <pic:pic>
                    <pic:nvPicPr>
                      <pic:cNvPr id="989" name="Image 9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that the clause in that case, which required a party who had hired </w:t>
        </w:r>
        <w:bookmarkStart w:name="_bookmark2356" w:id="2358"/>
        <w:bookmarkEnd w:id="2358"/>
        <w:r>
          <w:rPr>
            <w:vertAlign w:val="baseline"/>
          </w:rPr>
          <w:t>photographic</w:t>
        </w:r>
        <w:r>
          <w:rPr>
            <w:spacing w:val="8"/>
            <w:vertAlign w:val="baseline"/>
          </w:rPr>
          <w:t> </w:t>
        </w:r>
        <w:r>
          <w:rPr>
            <w:vertAlign w:val="baseline"/>
          </w:rPr>
          <w:t>slides</w:t>
        </w:r>
        <w:r>
          <w:rPr>
            <w:spacing w:val="8"/>
            <w:vertAlign w:val="baseline"/>
          </w:rPr>
          <w:t> </w:t>
        </w:r>
        <w:r>
          <w:rPr>
            <w:vertAlign w:val="baseline"/>
          </w:rPr>
          <w:t>to</w:t>
        </w:r>
        <w:r>
          <w:rPr>
            <w:spacing w:val="8"/>
            <w:vertAlign w:val="baseline"/>
          </w:rPr>
          <w:t> </w:t>
        </w:r>
        <w:r>
          <w:rPr>
            <w:vertAlign w:val="baseline"/>
          </w:rPr>
          <w:t>pay</w:t>
        </w:r>
        <w:r>
          <w:rPr>
            <w:spacing w:val="8"/>
            <w:vertAlign w:val="baseline"/>
          </w:rPr>
          <w:t> </w:t>
        </w:r>
        <w:r>
          <w:rPr>
            <w:vertAlign w:val="baseline"/>
          </w:rPr>
          <w:t>a</w:t>
        </w:r>
        <w:r>
          <w:rPr>
            <w:spacing w:val="8"/>
            <w:vertAlign w:val="baseline"/>
          </w:rPr>
          <w:t> </w:t>
        </w:r>
        <w:r>
          <w:rPr>
            <w:vertAlign w:val="baseline"/>
          </w:rPr>
          <w:t>much</w:t>
        </w:r>
        <w:r>
          <w:rPr>
            <w:spacing w:val="8"/>
            <w:vertAlign w:val="baseline"/>
          </w:rPr>
          <w:t> </w:t>
        </w:r>
        <w:r>
          <w:rPr>
            <w:vertAlign w:val="baseline"/>
          </w:rPr>
          <w:t>higher</w:t>
        </w:r>
        <w:r>
          <w:rPr>
            <w:spacing w:val="8"/>
            <w:vertAlign w:val="baseline"/>
          </w:rPr>
          <w:t> </w:t>
        </w:r>
        <w:r>
          <w:rPr>
            <w:vertAlign w:val="baseline"/>
          </w:rPr>
          <w:t>charge</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slides</w:t>
        </w:r>
        <w:r>
          <w:rPr>
            <w:spacing w:val="8"/>
            <w:vertAlign w:val="baseline"/>
          </w:rPr>
          <w:t> </w:t>
        </w:r>
        <w:r>
          <w:rPr>
            <w:vertAlign w:val="baseline"/>
          </w:rPr>
          <w:t>were</w:t>
        </w:r>
        <w:r>
          <w:rPr>
            <w:spacing w:val="8"/>
            <w:vertAlign w:val="baseline"/>
          </w:rPr>
          <w:t> </w:t>
        </w:r>
        <w:r>
          <w:rPr>
            <w:vertAlign w:val="baseline"/>
          </w:rPr>
          <w:t>not</w:t>
        </w:r>
        <w:r>
          <w:rPr>
            <w:spacing w:val="8"/>
            <w:vertAlign w:val="baseline"/>
          </w:rPr>
          <w:t> </w:t>
        </w:r>
        <w:r>
          <w:rPr>
            <w:vertAlign w:val="baseline"/>
          </w:rPr>
          <w:t>returned</w:t>
        </w:r>
        <w:r>
          <w:rPr>
            <w:spacing w:val="8"/>
            <w:vertAlign w:val="baseline"/>
          </w:rPr>
          <w:t> </w:t>
        </w:r>
        <w:r>
          <w:rPr>
            <w:vertAlign w:val="baseline"/>
          </w:rPr>
          <w:t>within</w:t>
        </w:r>
        <w:r>
          <w:rPr>
            <w:spacing w:val="8"/>
            <w:vertAlign w:val="baseline"/>
          </w:rPr>
          <w:t> </w:t>
        </w:r>
        <w:r>
          <w:rPr>
            <w:vertAlign w:val="baseline"/>
          </w:rPr>
          <w:t>a</w:t>
        </w:r>
        <w:r>
          <w:rPr>
            <w:spacing w:val="8"/>
            <w:vertAlign w:val="baseline"/>
          </w:rPr>
          <w:t> </w:t>
        </w:r>
        <w:r>
          <w:rPr>
            <w:vertAlign w:val="baseline"/>
          </w:rPr>
          <w:t>fixed</w:t>
        </w:r>
        <w:r>
          <w:rPr>
            <w:spacing w:val="8"/>
            <w:vertAlign w:val="baseline"/>
          </w:rPr>
          <w:t> </w:t>
        </w:r>
        <w:r>
          <w:rPr>
            <w:spacing w:val="-2"/>
            <w:vertAlign w:val="baseline"/>
          </w:rPr>
          <w:t>period,</w:t>
        </w:r>
      </w:hyperlink>
    </w:p>
    <w:p>
      <w:pPr>
        <w:pStyle w:val="BodyText"/>
        <w:spacing w:line="235" w:lineRule="auto" w:before="119"/>
        <w:ind w:left="164" w:right="167"/>
        <w:jc w:val="both"/>
      </w:pPr>
      <w:r>
        <w:rPr/>
        <w:t>might be a “disguised penalty”. </w:t>
      </w:r>
      <w:hyperlink w:history="true" w:anchor="_bookmark2382">
        <w:r>
          <w:rPr>
            <w:color w:val="005DA1"/>
            <w:u w:val="single" w:color="005DA1"/>
            <w:vertAlign w:val="superscript"/>
          </w:rPr>
          <w:t>1251</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990" name="Image 990"/>
              <wp:cNvGraphicFramePr>
                <a:graphicFrameLocks/>
              </wp:cNvGraphicFramePr>
              <a:graphic>
                <a:graphicData uri="http://schemas.openxmlformats.org/drawingml/2006/picture">
                  <pic:pic>
                    <pic:nvPicPr>
                      <pic:cNvPr id="990" name="Image 9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It is hard to find any support for such a concept in </w:t>
        </w:r>
        <w:r>
          <w:rPr>
            <w:vertAlign w:val="baseline"/>
          </w:rPr>
          <w:t>earlier cases, and it is unclear how a disguised penalty differs from other sums payable if the party exercises an option under the contract. The only possible distinction seems to be that the amount of the payment is out of proportion to the claimant’s interest in obtaining performance—in which case the “disguised penalty” rule would have the effect that the penalty clause rules (including the new “legitimate deterrent rule”) would after all apply to a clause setting a price on an option that the defendant has chosen to exercise.</w:t>
        </w:r>
      </w:hyperlink>
    </w:p>
    <w:p>
      <w:pPr>
        <w:pStyle w:val="BodyText"/>
      </w:pPr>
    </w:p>
    <w:p>
      <w:pPr>
        <w:pStyle w:val="BodyText"/>
        <w:spacing w:before="37"/>
      </w:pPr>
      <w:r>
        <w:rPr/>
        <mc:AlternateContent>
          <mc:Choice Requires="wps">
            <w:drawing>
              <wp:anchor distT="0" distB="0" distL="0" distR="0" allowOverlap="1" layoutInCell="1" locked="0" behindDoc="1" simplePos="0" relativeHeight="487720448">
                <wp:simplePos x="0" y="0"/>
                <wp:positionH relativeFrom="page">
                  <wp:posOffset>914400</wp:posOffset>
                </wp:positionH>
                <wp:positionV relativeFrom="paragraph">
                  <wp:posOffset>185092</wp:posOffset>
                </wp:positionV>
                <wp:extent cx="5724525" cy="1270"/>
                <wp:effectExtent l="0" t="0" r="0" b="0"/>
                <wp:wrapTopAndBottom/>
                <wp:docPr id="991" name="Graphic 991"/>
                <wp:cNvGraphicFramePr>
                  <a:graphicFrameLocks/>
                </wp:cNvGraphicFramePr>
                <a:graphic>
                  <a:graphicData uri="http://schemas.microsoft.com/office/word/2010/wordprocessingShape">
                    <wps:wsp>
                      <wps:cNvPr id="991" name="Graphic 99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4207pt;width:450.75pt;height:.1pt;mso-position-horizontal-relative:page;mso-position-vertical-relative:paragraph;z-index:-15596032;mso-wrap-distance-left:0;mso-wrap-distance-right:0" id="docshape101" coordorigin="1440,291" coordsize="9015,0" path="m1440,291l10454,291e" filled="false" stroked="true" strokeweight="1pt" strokecolor="#000000">
                <v:path arrowok="t"/>
                <v:stroke dashstyle="solid"/>
                <w10:wrap type="topAndBottom"/>
              </v:shape>
            </w:pict>
          </mc:Fallback>
        </mc:AlternateContent>
      </w:r>
    </w:p>
    <w:p>
      <w:pPr>
        <w:pStyle w:val="BodyText"/>
        <w:spacing w:before="217"/>
      </w:pPr>
    </w:p>
    <w:p>
      <w:pPr>
        <w:spacing w:before="0"/>
        <w:ind w:left="165" w:right="0" w:firstLine="0"/>
        <w:jc w:val="left"/>
        <w:rPr>
          <w:sz w:val="20"/>
        </w:rPr>
      </w:pPr>
      <w:bookmarkStart w:name="_bookmark2357" w:id="2359"/>
      <w:bookmarkEnd w:id="2359"/>
      <w:r>
        <w:rPr/>
      </w:r>
      <w:hyperlink w:history="true" w:anchor="_bookmark2330">
        <w:r>
          <w:rPr>
            <w:color w:val="005DA1"/>
            <w:sz w:val="20"/>
            <w:u w:val="single" w:color="005DA1"/>
            <w:vertAlign w:val="superscript"/>
          </w:rPr>
          <w:t>1225</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992" name="Image 992"/>
            <wp:cNvGraphicFramePr>
              <a:graphicFrameLocks/>
            </wp:cNvGraphicFramePr>
            <a:graphic>
              <a:graphicData uri="http://schemas.openxmlformats.org/drawingml/2006/picture">
                <pic:pic>
                  <pic:nvPicPr>
                    <pic:cNvPr id="992" name="Image 9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5"/>
      </w:pPr>
    </w:p>
    <w:p>
      <w:pPr>
        <w:pStyle w:val="BodyText"/>
        <w:ind w:left="165"/>
      </w:pPr>
      <w:bookmarkStart w:name="_bookmark2358" w:id="2360"/>
      <w:bookmarkEnd w:id="2360"/>
      <w:r>
        <w:rPr/>
      </w:r>
      <w:hyperlink w:history="true" w:anchor="_bookmark2331">
        <w:r>
          <w:rPr>
            <w:color w:val="005DA1"/>
            <w:u w:val="single" w:color="005DA1"/>
            <w:vertAlign w:val="superscript"/>
          </w:rPr>
          <w:t>1226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993" name="Image 993"/>
            <wp:cNvGraphicFramePr>
              <a:graphicFrameLocks/>
            </wp:cNvGraphicFramePr>
            <a:graphic>
              <a:graphicData uri="http://schemas.openxmlformats.org/drawingml/2006/picture">
                <pic:pic>
                  <pic:nvPicPr>
                    <pic:cNvPr id="993" name="Image 9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216.</w:t>
      </w:r>
    </w:p>
    <w:p>
      <w:pPr>
        <w:pStyle w:val="BodyText"/>
        <w:spacing w:before="129"/>
      </w:pPr>
    </w:p>
    <w:p>
      <w:pPr>
        <w:spacing w:line="235" w:lineRule="auto" w:before="0"/>
        <w:ind w:left="705" w:right="167" w:hanging="541"/>
        <w:jc w:val="both"/>
        <w:rPr>
          <w:sz w:val="20"/>
        </w:rPr>
      </w:pPr>
      <w:bookmarkStart w:name="_bookmark2359" w:id="2361"/>
      <w:bookmarkEnd w:id="2361"/>
      <w:r>
        <w:rPr/>
      </w:r>
      <w:hyperlink w:history="true" w:anchor="_bookmark2332">
        <w:r>
          <w:rPr>
            <w:color w:val="005DA1"/>
            <w:sz w:val="20"/>
            <w:u w:val="single" w:color="005DA1"/>
            <w:vertAlign w:val="superscript"/>
          </w:rPr>
          <w:t>1227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994" name="Image 994"/>
            <wp:cNvGraphicFramePr>
              <a:graphicFrameLocks/>
            </wp:cNvGraphicFramePr>
            <a:graphic>
              <a:graphicData uri="http://schemas.openxmlformats.org/drawingml/2006/picture">
                <pic:pic>
                  <pic:nvPicPr>
                    <pic:cNvPr id="994" name="Image 9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[1961] 1 Q.B. 445 </w:t>
      </w:r>
      <w:r>
        <w:rPr>
          <w:sz w:val="20"/>
          <w:vertAlign w:val="baseline"/>
        </w:rPr>
        <w:t>(following </w:t>
      </w:r>
      <w:r>
        <w:rPr>
          <w:rFonts w:ascii="Arial" w:hAnsi="Arial"/>
          <w:i/>
          <w:sz w:val="20"/>
          <w:vertAlign w:val="baseline"/>
        </w:rPr>
        <w:t>Associated Distributors Ltd v Hall [1938] 2 K.B. 83</w:t>
      </w:r>
      <w:r>
        <w:rPr>
          <w:sz w:val="20"/>
          <w:vertAlign w:val="baseline"/>
        </w:rPr>
        <w:t>); see Vol.II, paras 39-349—39-354. The decision is based on the non-statutory law. For statutory regulation of hire-purchase agreements, see Vol.II, paras 39-356 et seq.</w:t>
      </w:r>
    </w:p>
    <w:p>
      <w:pPr>
        <w:pStyle w:val="BodyText"/>
        <w:spacing w:before="125"/>
      </w:pPr>
    </w:p>
    <w:p>
      <w:pPr>
        <w:spacing w:before="0"/>
        <w:ind w:left="165" w:right="0" w:firstLine="0"/>
        <w:jc w:val="left"/>
        <w:rPr>
          <w:sz w:val="20"/>
        </w:rPr>
      </w:pPr>
      <w:bookmarkStart w:name="_bookmark2360" w:id="2362"/>
      <w:bookmarkEnd w:id="2362"/>
      <w:r>
        <w:rPr/>
      </w:r>
      <w:hyperlink w:history="true" w:anchor="_bookmark2333">
        <w:r>
          <w:rPr>
            <w:color w:val="005DA1"/>
            <w:sz w:val="20"/>
            <w:u w:val="single" w:color="005DA1"/>
            <w:vertAlign w:val="superscript"/>
          </w:rPr>
          <w:t>1228</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995" name="Image 995"/>
            <wp:cNvGraphicFramePr>
              <a:graphicFrameLocks/>
            </wp:cNvGraphicFramePr>
            <a:graphic>
              <a:graphicData uri="http://schemas.openxmlformats.org/drawingml/2006/picture">
                <pic:pic>
                  <pic:nvPicPr>
                    <pic:cNvPr id="995" name="Image 9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[1962]</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4"/>
          <w:sz w:val="20"/>
          <w:vertAlign w:val="baseline"/>
        </w:rPr>
        <w:t>600</w:t>
      </w:r>
      <w:r>
        <w:rPr>
          <w:spacing w:val="-4"/>
          <w:sz w:val="20"/>
          <w:vertAlign w:val="baseline"/>
        </w:rPr>
        <w:t>.</w:t>
      </w:r>
    </w:p>
    <w:p>
      <w:pPr>
        <w:pStyle w:val="BodyText"/>
        <w:spacing w:before="129"/>
      </w:pPr>
    </w:p>
    <w:p>
      <w:pPr>
        <w:spacing w:line="235" w:lineRule="auto" w:before="0"/>
        <w:ind w:left="705" w:right="167" w:hanging="541"/>
        <w:jc w:val="both"/>
        <w:rPr>
          <w:rFonts w:ascii="Arial" w:hAnsi="Arial"/>
          <w:i/>
          <w:sz w:val="20"/>
        </w:rPr>
      </w:pPr>
      <w:bookmarkStart w:name="_bookmark2361" w:id="2363"/>
      <w:bookmarkEnd w:id="2363"/>
      <w:r>
        <w:rPr/>
      </w:r>
      <w:hyperlink w:history="true" w:anchor="_bookmark2334">
        <w:r>
          <w:rPr>
            <w:color w:val="005DA1"/>
            <w:sz w:val="20"/>
            <w:u w:val="single" w:color="005DA1"/>
            <w:vertAlign w:val="superscript"/>
          </w:rPr>
          <w:t>1229</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996" name="Image 996"/>
            <wp:cNvGraphicFramePr>
              <a:graphicFrameLocks/>
            </wp:cNvGraphicFramePr>
            <a:graphic>
              <a:graphicData uri="http://schemas.openxmlformats.org/drawingml/2006/picture">
                <pic:pic>
                  <pic:nvPicPr>
                    <pic:cNvPr id="996" name="Image 9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viz</w:t>
      </w:r>
      <w:r>
        <w:rPr>
          <w:spacing w:val="40"/>
          <w:sz w:val="20"/>
          <w:vertAlign w:val="baseline"/>
        </w:rPr>
        <w:t> </w:t>
      </w:r>
      <w:r>
        <w:rPr>
          <w:sz w:val="20"/>
          <w:vertAlign w:val="baseline"/>
        </w:rPr>
        <w:t>that</w:t>
      </w:r>
      <w:r>
        <w:rPr>
          <w:spacing w:val="40"/>
          <w:sz w:val="20"/>
          <w:vertAlign w:val="baseline"/>
        </w:rPr>
        <w:t> </w:t>
      </w:r>
      <w:r>
        <w:rPr>
          <w:sz w:val="20"/>
          <w:vertAlign w:val="baseline"/>
        </w:rPr>
        <w:t>the</w:t>
      </w:r>
      <w:r>
        <w:rPr>
          <w:spacing w:val="40"/>
          <w:sz w:val="20"/>
          <w:vertAlign w:val="baseline"/>
        </w:rPr>
        <w:t> </w:t>
      </w:r>
      <w:r>
        <w:rPr>
          <w:sz w:val="20"/>
          <w:vertAlign w:val="baseline"/>
        </w:rPr>
        <w:t>hirer</w:t>
      </w:r>
      <w:r>
        <w:rPr>
          <w:spacing w:val="40"/>
          <w:sz w:val="20"/>
          <w:vertAlign w:val="baseline"/>
        </w:rPr>
        <w:t> </w:t>
      </w:r>
      <w:r>
        <w:rPr>
          <w:sz w:val="20"/>
          <w:vertAlign w:val="baseline"/>
        </w:rPr>
        <w:t>had</w:t>
      </w:r>
      <w:r>
        <w:rPr>
          <w:spacing w:val="40"/>
          <w:sz w:val="20"/>
          <w:vertAlign w:val="baseline"/>
        </w:rPr>
        <w:t> </w:t>
      </w:r>
      <w:r>
        <w:rPr>
          <w:sz w:val="20"/>
          <w:vertAlign w:val="baseline"/>
        </w:rPr>
        <w:t>committed</w:t>
      </w:r>
      <w:r>
        <w:rPr>
          <w:spacing w:val="40"/>
          <w:sz w:val="20"/>
          <w:vertAlign w:val="baseline"/>
        </w:rPr>
        <w:t> </w:t>
      </w:r>
      <w:r>
        <w:rPr>
          <w:sz w:val="20"/>
          <w:vertAlign w:val="baseline"/>
        </w:rPr>
        <w:t>a</w:t>
      </w:r>
      <w:r>
        <w:rPr>
          <w:spacing w:val="40"/>
          <w:sz w:val="20"/>
          <w:vertAlign w:val="baseline"/>
        </w:rPr>
        <w:t> </w:t>
      </w:r>
      <w:r>
        <w:rPr>
          <w:sz w:val="20"/>
          <w:vertAlign w:val="baseline"/>
        </w:rPr>
        <w:t>breach.</w:t>
      </w:r>
      <w:r>
        <w:rPr>
          <w:spacing w:val="40"/>
          <w:sz w:val="20"/>
          <w:vertAlign w:val="baseline"/>
        </w:rPr>
        <w:t> </w:t>
      </w:r>
      <w:r>
        <w:rPr>
          <w:sz w:val="20"/>
          <w:vertAlign w:val="baseline"/>
        </w:rPr>
        <w:t>The</w:t>
      </w:r>
      <w:r>
        <w:rPr>
          <w:spacing w:val="40"/>
          <w:sz w:val="20"/>
          <w:vertAlign w:val="baseline"/>
        </w:rPr>
        <w:t> </w:t>
      </w:r>
      <w:r>
        <w:rPr>
          <w:sz w:val="20"/>
          <w:vertAlign w:val="baseline"/>
        </w:rPr>
        <w:t>law</w:t>
      </w:r>
      <w:r>
        <w:rPr>
          <w:spacing w:val="40"/>
          <w:sz w:val="20"/>
          <w:vertAlign w:val="baseline"/>
        </w:rPr>
        <w:t> </w:t>
      </w:r>
      <w:r>
        <w:rPr>
          <w:sz w:val="20"/>
          <w:vertAlign w:val="baseline"/>
        </w:rPr>
        <w:t>on</w:t>
      </w:r>
      <w:r>
        <w:rPr>
          <w:spacing w:val="40"/>
          <w:sz w:val="20"/>
          <w:vertAlign w:val="baseline"/>
        </w:rPr>
        <w:t> </w:t>
      </w:r>
      <w:r>
        <w:rPr>
          <w:sz w:val="20"/>
          <w:vertAlign w:val="baseline"/>
        </w:rPr>
        <w:t>penalties</w:t>
      </w:r>
      <w:r>
        <w:rPr>
          <w:spacing w:val="40"/>
          <w:sz w:val="20"/>
          <w:vertAlign w:val="baseline"/>
        </w:rPr>
        <w:t> </w:t>
      </w:r>
      <w:r>
        <w:rPr>
          <w:sz w:val="20"/>
          <w:vertAlign w:val="baseline"/>
        </w:rPr>
        <w:t>applies</w:t>
      </w:r>
      <w:r>
        <w:rPr>
          <w:spacing w:val="40"/>
          <w:sz w:val="20"/>
          <w:vertAlign w:val="baseline"/>
        </w:rPr>
        <w:t> </w:t>
      </w:r>
      <w:r>
        <w:rPr>
          <w:sz w:val="20"/>
          <w:vertAlign w:val="baseline"/>
        </w:rPr>
        <w:t>to</w:t>
      </w:r>
      <w:r>
        <w:rPr>
          <w:spacing w:val="40"/>
          <w:sz w:val="20"/>
          <w:vertAlign w:val="baseline"/>
        </w:rPr>
        <w:t> </w:t>
      </w:r>
      <w:r>
        <w:rPr>
          <w:sz w:val="20"/>
          <w:vertAlign w:val="baseline"/>
        </w:rPr>
        <w:t>a</w:t>
      </w:r>
      <w:r>
        <w:rPr>
          <w:spacing w:val="40"/>
          <w:sz w:val="20"/>
          <w:vertAlign w:val="baseline"/>
        </w:rPr>
        <w:t> </w:t>
      </w:r>
      <w:r>
        <w:rPr>
          <w:sz w:val="20"/>
          <w:vertAlign w:val="baseline"/>
        </w:rPr>
        <w:t>minimum payment clause if the agreement is in fact terminated on the ground of the hirer’s breach: </w:t>
      </w:r>
      <w:r>
        <w:rPr>
          <w:rFonts w:ascii="Arial" w:hAnsi="Arial"/>
          <w:i/>
          <w:sz w:val="20"/>
          <w:vertAlign w:val="baseline"/>
        </w:rPr>
        <w:t>Cooden</w:t>
      </w:r>
      <w:r>
        <w:rPr>
          <w:rFonts w:ascii="Arial" w:hAnsi="Arial"/>
          <w:i/>
          <w:spacing w:val="13"/>
          <w:sz w:val="20"/>
          <w:vertAlign w:val="baseline"/>
        </w:rPr>
        <w:t> </w:t>
      </w:r>
      <w:r>
        <w:rPr>
          <w:rFonts w:ascii="Arial" w:hAnsi="Arial"/>
          <w:i/>
          <w:sz w:val="20"/>
          <w:vertAlign w:val="baseline"/>
        </w:rPr>
        <w:t>Engineering</w:t>
      </w:r>
      <w:r>
        <w:rPr>
          <w:rFonts w:ascii="Arial" w:hAnsi="Arial"/>
          <w:i/>
          <w:spacing w:val="16"/>
          <w:sz w:val="20"/>
          <w:vertAlign w:val="baseline"/>
        </w:rPr>
        <w:t> </w:t>
      </w:r>
      <w:r>
        <w:rPr>
          <w:rFonts w:ascii="Arial" w:hAnsi="Arial"/>
          <w:i/>
          <w:sz w:val="20"/>
          <w:vertAlign w:val="baseline"/>
        </w:rPr>
        <w:t>Co</w:t>
      </w:r>
      <w:r>
        <w:rPr>
          <w:rFonts w:ascii="Arial" w:hAnsi="Arial"/>
          <w:i/>
          <w:spacing w:val="16"/>
          <w:sz w:val="20"/>
          <w:vertAlign w:val="baseline"/>
        </w:rPr>
        <w:t> </w:t>
      </w:r>
      <w:r>
        <w:rPr>
          <w:rFonts w:ascii="Arial" w:hAnsi="Arial"/>
          <w:i/>
          <w:sz w:val="20"/>
          <w:vertAlign w:val="baseline"/>
        </w:rPr>
        <w:t>Ltd</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Stanford</w:t>
      </w:r>
      <w:r>
        <w:rPr>
          <w:rFonts w:ascii="Arial" w:hAnsi="Arial"/>
          <w:i/>
          <w:spacing w:val="16"/>
          <w:sz w:val="20"/>
          <w:vertAlign w:val="baseline"/>
        </w:rPr>
        <w:t> </w:t>
      </w:r>
      <w:r>
        <w:rPr>
          <w:rFonts w:ascii="Arial" w:hAnsi="Arial"/>
          <w:i/>
          <w:sz w:val="20"/>
          <w:vertAlign w:val="baseline"/>
        </w:rPr>
        <w:t>[1953]</w:t>
      </w:r>
      <w:r>
        <w:rPr>
          <w:rFonts w:ascii="Arial" w:hAnsi="Arial"/>
          <w:i/>
          <w:spacing w:val="16"/>
          <w:sz w:val="20"/>
          <w:vertAlign w:val="baseline"/>
        </w:rPr>
        <w:t> </w:t>
      </w:r>
      <w:r>
        <w:rPr>
          <w:rFonts w:ascii="Arial" w:hAnsi="Arial"/>
          <w:i/>
          <w:sz w:val="20"/>
          <w:vertAlign w:val="baseline"/>
        </w:rPr>
        <w:t>1</w:t>
      </w:r>
      <w:r>
        <w:rPr>
          <w:rFonts w:ascii="Arial" w:hAnsi="Arial"/>
          <w:i/>
          <w:spacing w:val="16"/>
          <w:sz w:val="20"/>
          <w:vertAlign w:val="baseline"/>
        </w:rPr>
        <w:t> </w:t>
      </w:r>
      <w:r>
        <w:rPr>
          <w:rFonts w:ascii="Arial" w:hAnsi="Arial"/>
          <w:i/>
          <w:sz w:val="20"/>
          <w:vertAlign w:val="baseline"/>
        </w:rPr>
        <w:t>Q.B.</w:t>
      </w:r>
      <w:r>
        <w:rPr>
          <w:rFonts w:ascii="Arial" w:hAnsi="Arial"/>
          <w:i/>
          <w:spacing w:val="16"/>
          <w:sz w:val="20"/>
          <w:vertAlign w:val="baseline"/>
        </w:rPr>
        <w:t> </w:t>
      </w:r>
      <w:r>
        <w:rPr>
          <w:rFonts w:ascii="Arial" w:hAnsi="Arial"/>
          <w:i/>
          <w:sz w:val="20"/>
          <w:vertAlign w:val="baseline"/>
        </w:rPr>
        <w:t>86</w:t>
      </w:r>
      <w:r>
        <w:rPr>
          <w:sz w:val="20"/>
          <w:vertAlign w:val="baseline"/>
        </w:rPr>
        <w:t>;</w:t>
      </w:r>
      <w:r>
        <w:rPr>
          <w:spacing w:val="16"/>
          <w:sz w:val="20"/>
          <w:vertAlign w:val="baseline"/>
        </w:rPr>
        <w:t> </w:t>
      </w:r>
      <w:r>
        <w:rPr>
          <w:rFonts w:ascii="Arial" w:hAnsi="Arial"/>
          <w:i/>
          <w:sz w:val="20"/>
          <w:vertAlign w:val="baseline"/>
        </w:rPr>
        <w:t>Lamdon</w:t>
      </w:r>
      <w:r>
        <w:rPr>
          <w:rFonts w:ascii="Arial" w:hAnsi="Arial"/>
          <w:i/>
          <w:spacing w:val="16"/>
          <w:sz w:val="20"/>
          <w:vertAlign w:val="baseline"/>
        </w:rPr>
        <w:t> </w:t>
      </w:r>
      <w:r>
        <w:rPr>
          <w:rFonts w:ascii="Arial" w:hAnsi="Arial"/>
          <w:i/>
          <w:sz w:val="20"/>
          <w:vertAlign w:val="baseline"/>
        </w:rPr>
        <w:t>Trust</w:t>
      </w:r>
      <w:r>
        <w:rPr>
          <w:rFonts w:ascii="Arial" w:hAnsi="Arial"/>
          <w:i/>
          <w:spacing w:val="16"/>
          <w:sz w:val="20"/>
          <w:vertAlign w:val="baseline"/>
        </w:rPr>
        <w:t> </w:t>
      </w:r>
      <w:r>
        <w:rPr>
          <w:rFonts w:ascii="Arial" w:hAnsi="Arial"/>
          <w:i/>
          <w:sz w:val="20"/>
          <w:vertAlign w:val="baseline"/>
        </w:rPr>
        <w:t>Ltd</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Hurrell</w:t>
      </w:r>
      <w:r>
        <w:rPr>
          <w:rFonts w:ascii="Arial" w:hAnsi="Arial"/>
          <w:i/>
          <w:spacing w:val="16"/>
          <w:sz w:val="20"/>
          <w:vertAlign w:val="baseline"/>
        </w:rPr>
        <w:t> </w:t>
      </w:r>
      <w:r>
        <w:rPr>
          <w:rFonts w:ascii="Arial" w:hAnsi="Arial"/>
          <w:i/>
          <w:sz w:val="20"/>
          <w:vertAlign w:val="baseline"/>
        </w:rPr>
        <w:t>[1955]</w:t>
      </w:r>
      <w:r>
        <w:rPr>
          <w:rFonts w:ascii="Arial" w:hAnsi="Arial"/>
          <w:i/>
          <w:spacing w:val="16"/>
          <w:sz w:val="20"/>
          <w:vertAlign w:val="baseline"/>
        </w:rPr>
        <w:t> </w:t>
      </w:r>
      <w:r>
        <w:rPr>
          <w:rFonts w:ascii="Arial" w:hAnsi="Arial"/>
          <w:i/>
          <w:spacing w:val="-10"/>
          <w:sz w:val="20"/>
          <w:vertAlign w:val="baseline"/>
        </w:rPr>
        <w:t>1</w:t>
      </w:r>
    </w:p>
    <w:p>
      <w:pPr>
        <w:spacing w:line="225" w:lineRule="exact" w:before="0"/>
        <w:ind w:left="705" w:right="0" w:firstLine="0"/>
        <w:jc w:val="both"/>
        <w:rPr>
          <w:sz w:val="20"/>
        </w:rPr>
      </w:pPr>
      <w:r>
        <w:rPr>
          <w:rFonts w:ascii="Arial" w:hAnsi="Arial"/>
          <w:i/>
          <w:sz w:val="20"/>
        </w:rPr>
        <w:t>W.L.R.</w:t>
      </w:r>
      <w:r>
        <w:rPr>
          <w:rFonts w:ascii="Arial" w:hAnsi="Arial"/>
          <w:i/>
          <w:spacing w:val="-1"/>
          <w:sz w:val="20"/>
        </w:rPr>
        <w:t> </w:t>
      </w:r>
      <w:r>
        <w:rPr>
          <w:rFonts w:ascii="Arial" w:hAnsi="Arial"/>
          <w:i/>
          <w:sz w:val="20"/>
        </w:rPr>
        <w:t>391</w:t>
      </w:r>
      <w:r>
        <w:rPr>
          <w:sz w:val="20"/>
        </w:rPr>
        <w:t>. See Vol.II, paras 39-349—39-</w:t>
      </w:r>
      <w:r>
        <w:rPr>
          <w:spacing w:val="-4"/>
          <w:sz w:val="20"/>
        </w:rPr>
        <w:t>354.</w:t>
      </w:r>
    </w:p>
    <w:p>
      <w:pPr>
        <w:pStyle w:val="BodyText"/>
        <w:spacing w:before="128"/>
      </w:pPr>
    </w:p>
    <w:p>
      <w:pPr>
        <w:spacing w:line="235" w:lineRule="auto" w:before="1"/>
        <w:ind w:left="705" w:right="167" w:hanging="541"/>
        <w:jc w:val="both"/>
        <w:rPr>
          <w:sz w:val="20"/>
        </w:rPr>
      </w:pPr>
      <w:bookmarkStart w:name="_bookmark2362" w:id="2364"/>
      <w:bookmarkEnd w:id="2364"/>
      <w:r>
        <w:rPr/>
      </w:r>
      <w:hyperlink w:history="true" w:anchor="_bookmark2335">
        <w:r>
          <w:rPr>
            <w:color w:val="005DA1"/>
            <w:sz w:val="20"/>
            <w:u w:val="single" w:color="005DA1"/>
            <w:vertAlign w:val="superscript"/>
          </w:rPr>
          <w:t>1230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997" name="Image 997"/>
            <wp:cNvGraphicFramePr>
              <a:graphicFrameLocks/>
            </wp:cNvGraphicFramePr>
            <a:graphic>
              <a:graphicData uri="http://schemas.openxmlformats.org/drawingml/2006/picture">
                <pic:pic>
                  <pic:nvPicPr>
                    <pic:cNvPr id="997" name="Image 9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Export Credits Guarantee Department v Universal Oil Products Co [1983] 1 W.L.R. 399</w:t>
      </w:r>
      <w:r>
        <w:rPr>
          <w:sz w:val="20"/>
          <w:vertAlign w:val="baseline"/>
        </w:rPr>
        <w:t>. It is unfortunate that the short speech in this case made no attempt to discuss the opinions expressed in the </w:t>
      </w:r>
      <w:r>
        <w:rPr>
          <w:rFonts w:ascii="Arial" w:hAnsi="Arial"/>
          <w:i/>
          <w:sz w:val="20"/>
          <w:vertAlign w:val="baseline"/>
        </w:rPr>
        <w:t>Campbell Discount case [1962] A.C. 600</w:t>
      </w:r>
      <w:r>
        <w:rPr>
          <w:sz w:val="20"/>
          <w:vertAlign w:val="baseline"/>
        </w:rPr>
        <w:t>. See also </w:t>
      </w:r>
      <w:r>
        <w:rPr>
          <w:rFonts w:ascii="Arial" w:hAnsi="Arial"/>
          <w:i/>
          <w:sz w:val="20"/>
          <w:vertAlign w:val="baseline"/>
        </w:rPr>
        <w:t>Euro London</w:t>
      </w:r>
      <w:r>
        <w:rPr>
          <w:rFonts w:ascii="Arial" w:hAnsi="Arial"/>
          <w:i/>
          <w:spacing w:val="40"/>
          <w:sz w:val="20"/>
          <w:vertAlign w:val="baseline"/>
        </w:rPr>
        <w:t> </w:t>
      </w:r>
      <w:r>
        <w:rPr>
          <w:rFonts w:ascii="Arial" w:hAnsi="Arial"/>
          <w:i/>
          <w:sz w:val="20"/>
          <w:vertAlign w:val="baseline"/>
        </w:rPr>
        <w:t>Appointments Ltd v Claessens International Ltd [2006] EWCA Civ 385, [2006] 2 Lloyd’s </w:t>
      </w:r>
      <w:r>
        <w:rPr>
          <w:rFonts w:ascii="Arial" w:hAnsi="Arial"/>
          <w:i/>
          <w:sz w:val="20"/>
          <w:vertAlign w:val="baseline"/>
        </w:rPr>
        <w:t>Rep. 436 </w:t>
      </w:r>
      <w:r>
        <w:rPr>
          <w:sz w:val="20"/>
          <w:vertAlign w:val="baseline"/>
        </w:rPr>
        <w:t>(a condition precedent imposing no obligation).</w:t>
      </w:r>
    </w:p>
    <w:p>
      <w:pPr>
        <w:pStyle w:val="BodyText"/>
        <w:spacing w:before="124"/>
      </w:pPr>
    </w:p>
    <w:p>
      <w:pPr>
        <w:pStyle w:val="BodyText"/>
        <w:ind w:left="165"/>
      </w:pPr>
      <w:bookmarkStart w:name="_bookmark2363" w:id="2365"/>
      <w:bookmarkEnd w:id="2365"/>
      <w:r>
        <w:rPr/>
      </w:r>
      <w:hyperlink w:history="true" w:anchor="_bookmark2336">
        <w:r>
          <w:rPr>
            <w:color w:val="005DA1"/>
            <w:u w:val="single" w:color="005DA1"/>
            <w:vertAlign w:val="superscript"/>
          </w:rPr>
          <w:t>1231</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998" name="Image 998"/>
            <wp:cNvGraphicFramePr>
              <a:graphicFrameLocks/>
            </wp:cNvGraphicFramePr>
            <a:graphic>
              <a:graphicData uri="http://schemas.openxmlformats.org/drawingml/2006/picture">
                <pic:pic>
                  <pic:nvPicPr>
                    <pic:cNvPr id="998" name="Image 9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And</w:t>
      </w:r>
      <w:r>
        <w:rPr>
          <w:spacing w:val="3"/>
          <w:vertAlign w:val="baseline"/>
        </w:rPr>
        <w:t> </w:t>
      </w:r>
      <w:r>
        <w:rPr>
          <w:vertAlign w:val="baseline"/>
        </w:rPr>
        <w:t>similar</w:t>
      </w:r>
      <w:r>
        <w:rPr>
          <w:spacing w:val="1"/>
          <w:vertAlign w:val="baseline"/>
        </w:rPr>
        <w:t> </w:t>
      </w:r>
      <w:r>
        <w:rPr>
          <w:vertAlign w:val="baseline"/>
        </w:rPr>
        <w:t>events:</w:t>
      </w:r>
      <w:r>
        <w:rPr>
          <w:spacing w:val="2"/>
          <w:vertAlign w:val="baseline"/>
        </w:rPr>
        <w:t> </w:t>
      </w:r>
      <w:r>
        <w:rPr>
          <w:vertAlign w:val="baseline"/>
        </w:rPr>
        <w:t>see</w:t>
      </w:r>
      <w:r>
        <w:rPr>
          <w:spacing w:val="1"/>
          <w:vertAlign w:val="baseline"/>
        </w:rPr>
        <w:t> </w:t>
      </w:r>
      <w:r>
        <w:rPr>
          <w:vertAlign w:val="baseline"/>
        </w:rPr>
        <w:t>above,</w:t>
      </w:r>
      <w:r>
        <w:rPr>
          <w:spacing w:val="2"/>
          <w:vertAlign w:val="baseline"/>
        </w:rPr>
        <w:t> </w:t>
      </w:r>
      <w:r>
        <w:rPr>
          <w:vertAlign w:val="baseline"/>
        </w:rPr>
        <w:t>para.26-216</w:t>
      </w:r>
      <w:r>
        <w:rPr>
          <w:spacing w:val="1"/>
          <w:vertAlign w:val="baseline"/>
        </w:rPr>
        <w:t> </w:t>
      </w:r>
      <w:r>
        <w:rPr>
          <w:vertAlign w:val="baseline"/>
        </w:rPr>
        <w:t>and</w:t>
      </w:r>
      <w:r>
        <w:rPr>
          <w:spacing w:val="2"/>
          <w:vertAlign w:val="baseline"/>
        </w:rPr>
        <w:t> </w:t>
      </w:r>
      <w:r>
        <w:rPr>
          <w:vertAlign w:val="baseline"/>
        </w:rPr>
        <w:t>below,</w:t>
      </w:r>
      <w:r>
        <w:rPr>
          <w:spacing w:val="1"/>
          <w:vertAlign w:val="baseline"/>
        </w:rPr>
        <w:t> </w:t>
      </w:r>
      <w:r>
        <w:rPr>
          <w:vertAlign w:val="baseline"/>
        </w:rPr>
        <w:t>paras</w:t>
      </w:r>
      <w:r>
        <w:rPr>
          <w:spacing w:val="2"/>
          <w:vertAlign w:val="baseline"/>
        </w:rPr>
        <w:t> </w:t>
      </w:r>
      <w:r>
        <w:rPr>
          <w:vertAlign w:val="baseline"/>
        </w:rPr>
        <w:t>26-216N</w:t>
      </w:r>
      <w:r>
        <w:rPr>
          <w:spacing w:val="1"/>
          <w:vertAlign w:val="baseline"/>
        </w:rPr>
        <w:t> </w:t>
      </w:r>
      <w:r>
        <w:rPr>
          <w:vertAlign w:val="baseline"/>
        </w:rPr>
        <w:t>et</w:t>
      </w:r>
      <w:r>
        <w:rPr>
          <w:spacing w:val="2"/>
          <w:vertAlign w:val="baseline"/>
        </w:rPr>
        <w:t> </w:t>
      </w:r>
      <w:r>
        <w:rPr>
          <w:spacing w:val="-4"/>
          <w:vertAlign w:val="baseline"/>
        </w:rPr>
        <w:t>seq.</w:t>
      </w:r>
    </w:p>
    <w:p>
      <w:pPr>
        <w:pStyle w:val="BodyText"/>
        <w:spacing w:before="125"/>
      </w:pPr>
    </w:p>
    <w:p>
      <w:pPr>
        <w:spacing w:before="0"/>
        <w:ind w:left="165" w:right="0" w:firstLine="0"/>
        <w:jc w:val="left"/>
        <w:rPr>
          <w:sz w:val="20"/>
        </w:rPr>
      </w:pPr>
      <w:bookmarkStart w:name="_bookmark2364" w:id="2366"/>
      <w:bookmarkEnd w:id="2366"/>
      <w:r>
        <w:rPr/>
      </w:r>
      <w:hyperlink w:history="true" w:anchor="_bookmark2337">
        <w:r>
          <w:rPr>
            <w:color w:val="005DA1"/>
            <w:sz w:val="20"/>
            <w:u w:val="single" w:color="005DA1"/>
            <w:vertAlign w:val="superscript"/>
          </w:rPr>
          <w:t>1232</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999" name="Image 999"/>
            <wp:cNvGraphicFramePr>
              <a:graphicFrameLocks/>
            </wp:cNvGraphicFramePr>
            <a:graphic>
              <a:graphicData uri="http://schemas.openxmlformats.org/drawingml/2006/picture">
                <pic:pic>
                  <pic:nvPicPr>
                    <pic:cNvPr id="999" name="Image 9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Export</w:t>
      </w:r>
      <w:r>
        <w:rPr>
          <w:rFonts w:ascii="Arial"/>
          <w:i/>
          <w:spacing w:val="2"/>
          <w:sz w:val="20"/>
          <w:vertAlign w:val="baseline"/>
        </w:rPr>
        <w:t> </w:t>
      </w:r>
      <w:r>
        <w:rPr>
          <w:rFonts w:ascii="Arial"/>
          <w:i/>
          <w:sz w:val="20"/>
          <w:vertAlign w:val="baseline"/>
        </w:rPr>
        <w:t>Credits</w:t>
      </w:r>
      <w:r>
        <w:rPr>
          <w:rFonts w:ascii="Arial"/>
          <w:i/>
          <w:spacing w:val="2"/>
          <w:sz w:val="20"/>
          <w:vertAlign w:val="baseline"/>
        </w:rPr>
        <w:t> </w:t>
      </w:r>
      <w:r>
        <w:rPr>
          <w:rFonts w:ascii="Arial"/>
          <w:i/>
          <w:sz w:val="20"/>
          <w:vertAlign w:val="baseline"/>
        </w:rPr>
        <w:t>Guarantee</w:t>
      </w:r>
      <w:r>
        <w:rPr>
          <w:rFonts w:ascii="Arial"/>
          <w:i/>
          <w:spacing w:val="1"/>
          <w:sz w:val="20"/>
          <w:vertAlign w:val="baseline"/>
        </w:rPr>
        <w:t> </w:t>
      </w:r>
      <w:r>
        <w:rPr>
          <w:rFonts w:ascii="Arial"/>
          <w:i/>
          <w:sz w:val="20"/>
          <w:vertAlign w:val="baseline"/>
        </w:rPr>
        <w:t>Department</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Universal</w:t>
      </w:r>
      <w:r>
        <w:rPr>
          <w:rFonts w:ascii="Arial"/>
          <w:i/>
          <w:spacing w:val="1"/>
          <w:sz w:val="20"/>
          <w:vertAlign w:val="baseline"/>
        </w:rPr>
        <w:t> </w:t>
      </w:r>
      <w:r>
        <w:rPr>
          <w:rFonts w:ascii="Arial"/>
          <w:i/>
          <w:sz w:val="20"/>
          <w:vertAlign w:val="baseline"/>
        </w:rPr>
        <w:t>Oil</w:t>
      </w:r>
      <w:r>
        <w:rPr>
          <w:rFonts w:ascii="Arial"/>
          <w:i/>
          <w:spacing w:val="2"/>
          <w:sz w:val="20"/>
          <w:vertAlign w:val="baseline"/>
        </w:rPr>
        <w:t> </w:t>
      </w:r>
      <w:r>
        <w:rPr>
          <w:rFonts w:ascii="Arial"/>
          <w:i/>
          <w:sz w:val="20"/>
          <w:vertAlign w:val="baseline"/>
        </w:rPr>
        <w:t>Products</w:t>
      </w:r>
      <w:r>
        <w:rPr>
          <w:rFonts w:ascii="Arial"/>
          <w:i/>
          <w:spacing w:val="1"/>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[1983]</w:t>
      </w:r>
      <w:r>
        <w:rPr>
          <w:rFonts w:ascii="Arial"/>
          <w:i/>
          <w:spacing w:val="2"/>
          <w:sz w:val="20"/>
          <w:vertAlign w:val="baseline"/>
        </w:rPr>
        <w:t> </w:t>
      </w:r>
      <w:r>
        <w:rPr>
          <w:rFonts w:ascii="Arial"/>
          <w:i/>
          <w:sz w:val="20"/>
          <w:vertAlign w:val="baseline"/>
        </w:rPr>
        <w:t>1</w:t>
      </w:r>
      <w:r>
        <w:rPr>
          <w:rFonts w:ascii="Arial"/>
          <w:i/>
          <w:spacing w:val="1"/>
          <w:sz w:val="20"/>
          <w:vertAlign w:val="baseline"/>
        </w:rPr>
        <w:t> </w:t>
      </w:r>
      <w:r>
        <w:rPr>
          <w:rFonts w:ascii="Arial"/>
          <w:i/>
          <w:sz w:val="20"/>
          <w:vertAlign w:val="baseline"/>
        </w:rPr>
        <w:t>W.L.R.</w:t>
      </w:r>
      <w:r>
        <w:rPr>
          <w:rFonts w:ascii="Arial"/>
          <w:i/>
          <w:spacing w:val="2"/>
          <w:sz w:val="20"/>
          <w:vertAlign w:val="baseline"/>
        </w:rPr>
        <w:t> </w:t>
      </w:r>
      <w:r>
        <w:rPr>
          <w:rFonts w:ascii="Arial"/>
          <w:i/>
          <w:spacing w:val="-4"/>
          <w:sz w:val="20"/>
          <w:vertAlign w:val="baseline"/>
        </w:rPr>
        <w:t>399</w:t>
      </w:r>
      <w:r>
        <w:rPr>
          <w:spacing w:val="-4"/>
          <w:sz w:val="20"/>
          <w:vertAlign w:val="baseline"/>
        </w:rPr>
        <w:t>.</w:t>
      </w:r>
    </w:p>
    <w:p>
      <w:pPr>
        <w:pStyle w:val="BodyText"/>
        <w:spacing w:before="129"/>
      </w:pPr>
    </w:p>
    <w:p>
      <w:pPr>
        <w:spacing w:line="235" w:lineRule="auto" w:before="0"/>
        <w:ind w:left="705" w:right="167" w:hanging="541"/>
        <w:jc w:val="both"/>
        <w:rPr>
          <w:rFonts w:ascii="Arial"/>
          <w:i/>
          <w:sz w:val="20"/>
        </w:rPr>
      </w:pPr>
      <w:bookmarkStart w:name="_bookmark2365" w:id="2367"/>
      <w:bookmarkEnd w:id="2367"/>
      <w:r>
        <w:rPr/>
      </w:r>
      <w:hyperlink w:history="true" w:anchor="_bookmark2338">
        <w:r>
          <w:rPr>
            <w:color w:val="005DA1"/>
            <w:sz w:val="20"/>
            <w:u w:val="single" w:color="005DA1"/>
            <w:vertAlign w:val="superscript"/>
          </w:rPr>
          <w:t>1233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00" name="Image 1000"/>
            <wp:cNvGraphicFramePr>
              <a:graphicFrameLocks/>
            </wp:cNvGraphicFramePr>
            <a:graphic>
              <a:graphicData uri="http://schemas.openxmlformats.org/drawingml/2006/picture">
                <pic:pic>
                  <pic:nvPicPr>
                    <pic:cNvPr id="1000" name="Image 10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1"/>
          <w:sz w:val="20"/>
          <w:vertAlign w:val="baseline"/>
        </w:rPr>
        <w:t> </w:t>
      </w:r>
      <w:r>
        <w:rPr>
          <w:sz w:val="20"/>
          <w:vertAlign w:val="baseline"/>
        </w:rPr>
        <w:t>also</w:t>
      </w:r>
      <w:r>
        <w:rPr>
          <w:spacing w:val="-2"/>
          <w:sz w:val="20"/>
          <w:vertAlign w:val="baseline"/>
        </w:rPr>
        <w:t> </w:t>
      </w:r>
      <w:r>
        <w:rPr>
          <w:rFonts w:ascii="Arial"/>
          <w:i/>
          <w:sz w:val="20"/>
          <w:vertAlign w:val="baseline"/>
        </w:rPr>
        <w:t>Edgeworth</w:t>
      </w:r>
      <w:r>
        <w:rPr>
          <w:rFonts w:ascii="Arial"/>
          <w:i/>
          <w:spacing w:val="-1"/>
          <w:sz w:val="20"/>
          <w:vertAlign w:val="baseline"/>
        </w:rPr>
        <w:t> </w:t>
      </w:r>
      <w:r>
        <w:rPr>
          <w:rFonts w:ascii="Arial"/>
          <w:i/>
          <w:sz w:val="20"/>
          <w:vertAlign w:val="baseline"/>
        </w:rPr>
        <w:t>Capital</w:t>
      </w:r>
      <w:r>
        <w:rPr>
          <w:rFonts w:ascii="Arial"/>
          <w:i/>
          <w:spacing w:val="-1"/>
          <w:sz w:val="20"/>
          <w:vertAlign w:val="baseline"/>
        </w:rPr>
        <w:t> </w:t>
      </w:r>
      <w:r>
        <w:rPr>
          <w:rFonts w:ascii="Arial"/>
          <w:i/>
          <w:sz w:val="20"/>
          <w:vertAlign w:val="baseline"/>
        </w:rPr>
        <w:t>(Luxembourg)</w:t>
      </w:r>
      <w:r>
        <w:rPr>
          <w:rFonts w:ascii="Arial"/>
          <w:i/>
          <w:spacing w:val="-1"/>
          <w:sz w:val="20"/>
          <w:vertAlign w:val="baseline"/>
        </w:rPr>
        <w:t> </w:t>
      </w:r>
      <w:r>
        <w:rPr>
          <w:rFonts w:ascii="Arial"/>
          <w:i/>
          <w:sz w:val="20"/>
          <w:vertAlign w:val="baseline"/>
        </w:rPr>
        <w:t>Sarl</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Ramblas</w:t>
      </w:r>
      <w:r>
        <w:rPr>
          <w:rFonts w:ascii="Arial"/>
          <w:i/>
          <w:spacing w:val="-1"/>
          <w:sz w:val="20"/>
          <w:vertAlign w:val="baseline"/>
        </w:rPr>
        <w:t> </w:t>
      </w:r>
      <w:r>
        <w:rPr>
          <w:rFonts w:ascii="Arial"/>
          <w:i/>
          <w:sz w:val="20"/>
          <w:vertAlign w:val="baseline"/>
        </w:rPr>
        <w:t>Investments</w:t>
      </w:r>
      <w:r>
        <w:rPr>
          <w:rFonts w:ascii="Arial"/>
          <w:i/>
          <w:spacing w:val="-1"/>
          <w:sz w:val="20"/>
          <w:vertAlign w:val="baseline"/>
        </w:rPr>
        <w:t> </w:t>
      </w:r>
      <w:r>
        <w:rPr>
          <w:rFonts w:ascii="Arial"/>
          <w:i/>
          <w:sz w:val="20"/>
          <w:vertAlign w:val="baseline"/>
        </w:rPr>
        <w:t>BV</w:t>
      </w:r>
      <w:r>
        <w:rPr>
          <w:rFonts w:ascii="Arial"/>
          <w:i/>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EWHC</w:t>
      </w:r>
      <w:r>
        <w:rPr>
          <w:rFonts w:ascii="Arial"/>
          <w:i/>
          <w:spacing w:val="-1"/>
          <w:sz w:val="20"/>
          <w:vertAlign w:val="baseline"/>
        </w:rPr>
        <w:t> </w:t>
      </w:r>
      <w:r>
        <w:rPr>
          <w:rFonts w:ascii="Arial"/>
          <w:i/>
          <w:sz w:val="20"/>
          <w:vertAlign w:val="baseline"/>
        </w:rPr>
        <w:t>150 (Comm); [2016] EWCA Civ 412</w:t>
      </w:r>
      <w:r>
        <w:rPr>
          <w:sz w:val="20"/>
          <w:vertAlign w:val="baseline"/>
        </w:rPr>
        <w:t>. In </w:t>
      </w:r>
      <w:r>
        <w:rPr>
          <w:rFonts w:ascii="Arial"/>
          <w:i/>
          <w:sz w:val="20"/>
          <w:vertAlign w:val="baseline"/>
        </w:rPr>
        <w:t>Berg v Blackburn Rovers Football Club &amp; Athletic Plc [2013] EWHC 1070 (Ch), [2013] I.R.L.R. 537 </w:t>
      </w:r>
      <w:r>
        <w:rPr>
          <w:sz w:val="20"/>
          <w:vertAlign w:val="baseline"/>
        </w:rPr>
        <w:t>it was held that the penalty rules did not apply to a payment</w:t>
      </w:r>
      <w:r>
        <w:rPr>
          <w:spacing w:val="-2"/>
          <w:sz w:val="20"/>
          <w:vertAlign w:val="baseline"/>
        </w:rPr>
        <w:t> </w:t>
      </w:r>
      <w:r>
        <w:rPr>
          <w:sz w:val="20"/>
          <w:vertAlign w:val="baseline"/>
        </w:rPr>
        <w:t>due</w:t>
      </w:r>
      <w:r>
        <w:rPr>
          <w:spacing w:val="-2"/>
          <w:sz w:val="20"/>
          <w:vertAlign w:val="baseline"/>
        </w:rPr>
        <w:t> </w:t>
      </w:r>
      <w:r>
        <w:rPr>
          <w:sz w:val="20"/>
          <w:vertAlign w:val="baseline"/>
        </w:rPr>
        <w:t>when</w:t>
      </w:r>
      <w:r>
        <w:rPr>
          <w:spacing w:val="-2"/>
          <w:sz w:val="20"/>
          <w:vertAlign w:val="baseline"/>
        </w:rPr>
        <w:t> </w:t>
      </w:r>
      <w:r>
        <w:rPr>
          <w:sz w:val="20"/>
          <w:vertAlign w:val="baseline"/>
        </w:rPr>
        <w:t>one</w:t>
      </w:r>
      <w:r>
        <w:rPr>
          <w:spacing w:val="-2"/>
          <w:sz w:val="20"/>
          <w:vertAlign w:val="baseline"/>
        </w:rPr>
        <w:t> </w:t>
      </w:r>
      <w:r>
        <w:rPr>
          <w:sz w:val="20"/>
          <w:vertAlign w:val="baseline"/>
        </w:rPr>
        <w:t>party</w:t>
      </w:r>
      <w:r>
        <w:rPr>
          <w:spacing w:val="-2"/>
          <w:sz w:val="20"/>
          <w:vertAlign w:val="baseline"/>
        </w:rPr>
        <w:t> </w:t>
      </w:r>
      <w:r>
        <w:rPr>
          <w:sz w:val="20"/>
          <w:vertAlign w:val="baseline"/>
        </w:rPr>
        <w:t>to</w:t>
      </w:r>
      <w:r>
        <w:rPr>
          <w:spacing w:val="-2"/>
          <w:sz w:val="20"/>
          <w:vertAlign w:val="baseline"/>
        </w:rPr>
        <w:t> </w:t>
      </w:r>
      <w:r>
        <w:rPr>
          <w:sz w:val="20"/>
          <w:vertAlign w:val="baseline"/>
        </w:rPr>
        <w:t>a</w:t>
      </w:r>
      <w:r>
        <w:rPr>
          <w:spacing w:val="-2"/>
          <w:sz w:val="20"/>
          <w:vertAlign w:val="baseline"/>
        </w:rPr>
        <w:t> </w:t>
      </w:r>
      <w:r>
        <w:rPr>
          <w:sz w:val="20"/>
          <w:vertAlign w:val="baseline"/>
        </w:rPr>
        <w:t>fixed-term</w:t>
      </w:r>
      <w:r>
        <w:rPr>
          <w:spacing w:val="-2"/>
          <w:sz w:val="20"/>
          <w:vertAlign w:val="baseline"/>
        </w:rPr>
        <w:t> </w:t>
      </w:r>
      <w:r>
        <w:rPr>
          <w:sz w:val="20"/>
          <w:vertAlign w:val="baseline"/>
        </w:rPr>
        <w:t>employment</w:t>
      </w:r>
      <w:r>
        <w:rPr>
          <w:spacing w:val="-2"/>
          <w:sz w:val="20"/>
          <w:vertAlign w:val="baseline"/>
        </w:rPr>
        <w:t> </w:t>
      </w:r>
      <w:r>
        <w:rPr>
          <w:sz w:val="20"/>
          <w:vertAlign w:val="baseline"/>
        </w:rPr>
        <w:t>contract</w:t>
      </w:r>
      <w:r>
        <w:rPr>
          <w:spacing w:val="-2"/>
          <w:sz w:val="20"/>
          <w:vertAlign w:val="baseline"/>
        </w:rPr>
        <w:t> </w:t>
      </w:r>
      <w:r>
        <w:rPr>
          <w:sz w:val="20"/>
          <w:vertAlign w:val="baseline"/>
        </w:rPr>
        <w:t>exercised</w:t>
      </w:r>
      <w:r>
        <w:rPr>
          <w:spacing w:val="-2"/>
          <w:sz w:val="20"/>
          <w:vertAlign w:val="baseline"/>
        </w:rPr>
        <w:t> </w:t>
      </w:r>
      <w:r>
        <w:rPr>
          <w:sz w:val="20"/>
          <w:vertAlign w:val="baseline"/>
        </w:rPr>
        <w:t>a</w:t>
      </w:r>
      <w:r>
        <w:rPr>
          <w:spacing w:val="-2"/>
          <w:sz w:val="20"/>
          <w:vertAlign w:val="baseline"/>
        </w:rPr>
        <w:t> </w:t>
      </w:r>
      <w:r>
        <w:rPr>
          <w:sz w:val="20"/>
          <w:vertAlign w:val="baseline"/>
        </w:rPr>
        <w:t>right</w:t>
      </w:r>
      <w:r>
        <w:rPr>
          <w:spacing w:val="-2"/>
          <w:sz w:val="20"/>
          <w:vertAlign w:val="baseline"/>
        </w:rPr>
        <w:t> </w:t>
      </w:r>
      <w:r>
        <w:rPr>
          <w:sz w:val="20"/>
          <w:vertAlign w:val="baseline"/>
        </w:rPr>
        <w:t>to</w:t>
      </w:r>
      <w:r>
        <w:rPr>
          <w:spacing w:val="-2"/>
          <w:sz w:val="20"/>
          <w:vertAlign w:val="baseline"/>
        </w:rPr>
        <w:t> </w:t>
      </w:r>
      <w:r>
        <w:rPr>
          <w:sz w:val="20"/>
          <w:vertAlign w:val="baseline"/>
        </w:rPr>
        <w:t>terminate it</w:t>
      </w:r>
      <w:r>
        <w:rPr>
          <w:spacing w:val="8"/>
          <w:sz w:val="20"/>
          <w:vertAlign w:val="baseline"/>
        </w:rPr>
        <w:t> </w:t>
      </w:r>
      <w:r>
        <w:rPr>
          <w:sz w:val="20"/>
          <w:vertAlign w:val="baseline"/>
        </w:rPr>
        <w:t>early.</w:t>
      </w:r>
      <w:r>
        <w:rPr>
          <w:spacing w:val="8"/>
          <w:sz w:val="20"/>
          <w:vertAlign w:val="baseline"/>
        </w:rPr>
        <w:t> </w:t>
      </w:r>
      <w:r>
        <w:rPr>
          <w:sz w:val="20"/>
          <w:vertAlign w:val="baseline"/>
        </w:rPr>
        <w:t>In</w:t>
      </w:r>
      <w:r>
        <w:rPr>
          <w:spacing w:val="8"/>
          <w:sz w:val="20"/>
          <w:vertAlign w:val="baseline"/>
        </w:rPr>
        <w:t> </w:t>
      </w:r>
      <w:r>
        <w:rPr>
          <w:rFonts w:ascii="Arial"/>
          <w:i/>
          <w:sz w:val="20"/>
          <w:vertAlign w:val="baseline"/>
        </w:rPr>
        <w:t>M&amp;J</w:t>
      </w:r>
      <w:r>
        <w:rPr>
          <w:rFonts w:ascii="Arial"/>
          <w:i/>
          <w:spacing w:val="8"/>
          <w:sz w:val="20"/>
          <w:vertAlign w:val="baseline"/>
        </w:rPr>
        <w:t> </w:t>
      </w:r>
      <w:r>
        <w:rPr>
          <w:rFonts w:ascii="Arial"/>
          <w:i/>
          <w:sz w:val="20"/>
          <w:vertAlign w:val="baseline"/>
        </w:rPr>
        <w:t>Polymers</w:t>
      </w:r>
      <w:r>
        <w:rPr>
          <w:rFonts w:ascii="Arial"/>
          <w:i/>
          <w:spacing w:val="8"/>
          <w:sz w:val="20"/>
          <w:vertAlign w:val="baseline"/>
        </w:rPr>
        <w:t> </w:t>
      </w:r>
      <w:r>
        <w:rPr>
          <w:rFonts w:ascii="Arial"/>
          <w:i/>
          <w:sz w:val="20"/>
          <w:vertAlign w:val="baseline"/>
        </w:rPr>
        <w:t>Ltd</w:t>
      </w:r>
      <w:r>
        <w:rPr>
          <w:rFonts w:ascii="Arial"/>
          <w:i/>
          <w:spacing w:val="8"/>
          <w:sz w:val="20"/>
          <w:vertAlign w:val="baseline"/>
        </w:rPr>
        <w:t> </w:t>
      </w:r>
      <w:r>
        <w:rPr>
          <w:rFonts w:ascii="Arial"/>
          <w:i/>
          <w:sz w:val="20"/>
          <w:vertAlign w:val="baseline"/>
        </w:rPr>
        <w:t>v</w:t>
      </w:r>
      <w:r>
        <w:rPr>
          <w:rFonts w:ascii="Arial"/>
          <w:i/>
          <w:spacing w:val="8"/>
          <w:sz w:val="20"/>
          <w:vertAlign w:val="baseline"/>
        </w:rPr>
        <w:t> </w:t>
      </w:r>
      <w:r>
        <w:rPr>
          <w:rFonts w:ascii="Arial"/>
          <w:i/>
          <w:sz w:val="20"/>
          <w:vertAlign w:val="baseline"/>
        </w:rPr>
        <w:t>Imerys</w:t>
      </w:r>
      <w:r>
        <w:rPr>
          <w:rFonts w:ascii="Arial"/>
          <w:i/>
          <w:spacing w:val="8"/>
          <w:sz w:val="20"/>
          <w:vertAlign w:val="baseline"/>
        </w:rPr>
        <w:t> </w:t>
      </w:r>
      <w:r>
        <w:rPr>
          <w:rFonts w:ascii="Arial"/>
          <w:i/>
          <w:sz w:val="20"/>
          <w:vertAlign w:val="baseline"/>
        </w:rPr>
        <w:t>Minerals</w:t>
      </w:r>
      <w:r>
        <w:rPr>
          <w:rFonts w:ascii="Arial"/>
          <w:i/>
          <w:spacing w:val="8"/>
          <w:sz w:val="20"/>
          <w:vertAlign w:val="baseline"/>
        </w:rPr>
        <w:t> </w:t>
      </w:r>
      <w:r>
        <w:rPr>
          <w:rFonts w:ascii="Arial"/>
          <w:i/>
          <w:sz w:val="20"/>
          <w:vertAlign w:val="baseline"/>
        </w:rPr>
        <w:t>Ltd</w:t>
      </w:r>
      <w:r>
        <w:rPr>
          <w:rFonts w:ascii="Arial"/>
          <w:i/>
          <w:spacing w:val="8"/>
          <w:sz w:val="20"/>
          <w:vertAlign w:val="baseline"/>
        </w:rPr>
        <w:t> </w:t>
      </w:r>
      <w:r>
        <w:rPr>
          <w:rFonts w:ascii="Arial"/>
          <w:i/>
          <w:sz w:val="20"/>
          <w:vertAlign w:val="baseline"/>
        </w:rPr>
        <w:t>[2008]</w:t>
      </w:r>
      <w:r>
        <w:rPr>
          <w:rFonts w:ascii="Arial"/>
          <w:i/>
          <w:spacing w:val="8"/>
          <w:sz w:val="20"/>
          <w:vertAlign w:val="baseline"/>
        </w:rPr>
        <w:t> </w:t>
      </w:r>
      <w:r>
        <w:rPr>
          <w:rFonts w:ascii="Arial"/>
          <w:i/>
          <w:sz w:val="20"/>
          <w:vertAlign w:val="baseline"/>
        </w:rPr>
        <w:t>EWHC</w:t>
      </w:r>
      <w:r>
        <w:rPr>
          <w:rFonts w:ascii="Arial"/>
          <w:i/>
          <w:spacing w:val="8"/>
          <w:sz w:val="20"/>
          <w:vertAlign w:val="baseline"/>
        </w:rPr>
        <w:t> </w:t>
      </w:r>
      <w:r>
        <w:rPr>
          <w:rFonts w:ascii="Arial"/>
          <w:i/>
          <w:sz w:val="20"/>
          <w:vertAlign w:val="baseline"/>
        </w:rPr>
        <w:t>344</w:t>
      </w:r>
      <w:r>
        <w:rPr>
          <w:rFonts w:ascii="Arial"/>
          <w:i/>
          <w:spacing w:val="8"/>
          <w:sz w:val="20"/>
          <w:vertAlign w:val="baseline"/>
        </w:rPr>
        <w:t> </w:t>
      </w:r>
      <w:r>
        <w:rPr>
          <w:rFonts w:ascii="Arial"/>
          <w:i/>
          <w:sz w:val="20"/>
          <w:vertAlign w:val="baseline"/>
        </w:rPr>
        <w:t>(Comm),</w:t>
      </w:r>
      <w:r>
        <w:rPr>
          <w:rFonts w:ascii="Arial"/>
          <w:i/>
          <w:spacing w:val="8"/>
          <w:sz w:val="20"/>
          <w:vertAlign w:val="baseline"/>
        </w:rPr>
        <w:t> </w:t>
      </w:r>
      <w:r>
        <w:rPr>
          <w:rFonts w:ascii="Arial"/>
          <w:i/>
          <w:sz w:val="20"/>
          <w:vertAlign w:val="baseline"/>
        </w:rPr>
        <w:t>[2008]</w:t>
      </w:r>
      <w:r>
        <w:rPr>
          <w:rFonts w:ascii="Arial"/>
          <w:i/>
          <w:spacing w:val="8"/>
          <w:sz w:val="20"/>
          <w:vertAlign w:val="baseline"/>
        </w:rPr>
        <w:t> </w:t>
      </w:r>
      <w:r>
        <w:rPr>
          <w:rFonts w:ascii="Arial"/>
          <w:i/>
          <w:sz w:val="20"/>
          <w:vertAlign w:val="baseline"/>
        </w:rPr>
        <w:t>All</w:t>
      </w:r>
      <w:r>
        <w:rPr>
          <w:rFonts w:ascii="Arial"/>
          <w:i/>
          <w:spacing w:val="8"/>
          <w:sz w:val="20"/>
          <w:vertAlign w:val="baseline"/>
        </w:rPr>
        <w:t> </w:t>
      </w:r>
      <w:r>
        <w:rPr>
          <w:rFonts w:ascii="Arial"/>
          <w:i/>
          <w:spacing w:val="-4"/>
          <w:sz w:val="20"/>
          <w:vertAlign w:val="baseline"/>
        </w:rPr>
        <w:t>E.R.</w:t>
      </w:r>
    </w:p>
    <w:p>
      <w:pPr>
        <w:pStyle w:val="BodyText"/>
        <w:spacing w:line="235" w:lineRule="auto"/>
        <w:ind w:left="705" w:right="167"/>
        <w:jc w:val="both"/>
      </w:pPr>
      <w:r>
        <w:rPr>
          <w:rFonts w:ascii="Arial" w:hAnsi="Arial"/>
          <w:i/>
        </w:rPr>
        <w:t>(D) 445 (Feb) </w:t>
      </w:r>
      <w:r>
        <w:rPr/>
        <w:t>it was held that a “take or pay” clause is subject to the penalty rules (though </w:t>
      </w:r>
      <w:r>
        <w:rPr/>
        <w:t>it</w:t>
      </w:r>
      <w:r>
        <w:rPr>
          <w:spacing w:val="40"/>
        </w:rPr>
        <w:t> </w:t>
      </w:r>
      <w:r>
        <w:rPr/>
        <w:t>was held on the facts not to be a penalty). It is submitted that this will depend on the form of </w:t>
      </w:r>
      <w:r>
        <w:rPr/>
        <w:t>the clause. It will not be subject to the penalty rules if the buyer is simply obliged to pay for a minimum</w:t>
      </w:r>
      <w:r>
        <w:rPr>
          <w:spacing w:val="3"/>
        </w:rPr>
        <w:t> </w:t>
      </w:r>
      <w:r>
        <w:rPr/>
        <w:t>quantity</w:t>
      </w:r>
      <w:r>
        <w:rPr>
          <w:spacing w:val="3"/>
        </w:rPr>
        <w:t> </w:t>
      </w:r>
      <w:r>
        <w:rPr/>
        <w:t>with</w:t>
      </w:r>
      <w:r>
        <w:rPr>
          <w:spacing w:val="3"/>
        </w:rPr>
        <w:t> </w:t>
      </w:r>
      <w:r>
        <w:rPr/>
        <w:t>an</w:t>
      </w:r>
      <w:r>
        <w:rPr>
          <w:spacing w:val="3"/>
        </w:rPr>
        <w:t> </w:t>
      </w:r>
      <w:r>
        <w:rPr/>
        <w:t>option</w:t>
      </w:r>
      <w:r>
        <w:rPr>
          <w:spacing w:val="3"/>
        </w:rPr>
        <w:t> </w:t>
      </w:r>
      <w:r>
        <w:rPr/>
        <w:t>whether</w:t>
      </w:r>
      <w:r>
        <w:rPr>
          <w:spacing w:val="3"/>
        </w:rPr>
        <w:t> </w:t>
      </w:r>
      <w:r>
        <w:rPr/>
        <w:t>or</w:t>
      </w:r>
      <w:r>
        <w:rPr>
          <w:spacing w:val="3"/>
        </w:rPr>
        <w:t> </w:t>
      </w:r>
      <w:r>
        <w:rPr/>
        <w:t>not</w:t>
      </w:r>
      <w:r>
        <w:rPr>
          <w:spacing w:val="3"/>
        </w:rPr>
        <w:t> </w:t>
      </w:r>
      <w:r>
        <w:rPr/>
        <w:t>to</w:t>
      </w:r>
      <w:r>
        <w:rPr>
          <w:spacing w:val="3"/>
        </w:rPr>
        <w:t> </w:t>
      </w:r>
      <w:r>
        <w:rPr/>
        <w:t>take</w:t>
      </w:r>
      <w:r>
        <w:rPr>
          <w:spacing w:val="3"/>
        </w:rPr>
        <w:t> </w:t>
      </w:r>
      <w:r>
        <w:rPr/>
        <w:t>delivery</w:t>
      </w:r>
      <w:r>
        <w:rPr>
          <w:spacing w:val="3"/>
        </w:rPr>
        <w:t> </w:t>
      </w:r>
      <w:r>
        <w:rPr/>
        <w:t>of</w:t>
      </w:r>
      <w:r>
        <w:rPr>
          <w:spacing w:val="3"/>
        </w:rPr>
        <w:t> </w:t>
      </w:r>
      <w:r>
        <w:rPr/>
        <w:t>all</w:t>
      </w:r>
      <w:r>
        <w:rPr>
          <w:spacing w:val="3"/>
        </w:rPr>
        <w:t> </w:t>
      </w:r>
      <w:r>
        <w:rPr/>
        <w:t>the</w:t>
      </w:r>
      <w:r>
        <w:rPr>
          <w:spacing w:val="3"/>
        </w:rPr>
        <w:t> </w:t>
      </w:r>
      <w:r>
        <w:rPr/>
        <w:t>goods.</w:t>
      </w:r>
      <w:r>
        <w:rPr>
          <w:spacing w:val="3"/>
        </w:rPr>
        <w:t> </w:t>
      </w:r>
      <w:r>
        <w:rPr/>
        <w:t>On</w:t>
      </w:r>
      <w:r>
        <w:rPr>
          <w:spacing w:val="3"/>
        </w:rPr>
        <w:t> </w:t>
      </w:r>
      <w:r>
        <w:rPr/>
        <w:t>the</w:t>
      </w:r>
      <w:r>
        <w:rPr>
          <w:spacing w:val="3"/>
        </w:rPr>
        <w:t> </w:t>
      </w:r>
      <w:r>
        <w:rPr/>
        <w:t>facts</w:t>
      </w:r>
      <w:r>
        <w:rPr>
          <w:spacing w:val="3"/>
        </w:rPr>
        <w:t> </w:t>
      </w:r>
      <w:r>
        <w:rPr>
          <w:spacing w:val="-5"/>
        </w:rPr>
        <w:t>o</w:t>
      </w:r>
      <w:r>
        <w:rPr>
          <w:spacing w:val="-5"/>
        </w:rPr>
        <w:t>f</w:t>
      </w:r>
    </w:p>
    <w:p>
      <w:pPr>
        <w:pStyle w:val="BodyText"/>
        <w:spacing w:after="0" w:line="235" w:lineRule="auto"/>
        <w:jc w:val="both"/>
        <w:sectPr>
          <w:pgSz w:w="11900" w:h="16840"/>
          <w:pgMar w:header="971" w:footer="0" w:top="1300" w:bottom="280" w:left="1275" w:right="1275"/>
        </w:sectPr>
      </w:pPr>
    </w:p>
    <w:p>
      <w:pPr>
        <w:spacing w:line="235" w:lineRule="auto" w:before="110"/>
        <w:ind w:left="705" w:right="167" w:firstLine="0"/>
        <w:jc w:val="both"/>
        <w:rPr>
          <w:sz w:val="20"/>
        </w:rPr>
      </w:pPr>
      <w:r>
        <w:rPr>
          <w:sz w:val="20"/>
        </w:rPr>
        <w:t>the case, however, it was held that the buyer was in breach of an obligation to order a certain quantity (at [41]). See also </w:t>
      </w:r>
      <w:r>
        <w:rPr>
          <w:rFonts w:ascii="Arial" w:hAnsi="Arial"/>
          <w:i/>
          <w:sz w:val="20"/>
        </w:rPr>
        <w:t>E-Nik Ltd v Secretary of State for Communities and Local Government [2012] EWHC 3027 (Comm) </w:t>
      </w:r>
      <w:r>
        <w:rPr>
          <w:sz w:val="20"/>
        </w:rPr>
        <w:t>at [25] (clause requiring a customer to pay for </w:t>
      </w:r>
      <w:r>
        <w:rPr>
          <w:sz w:val="20"/>
        </w:rPr>
        <w:t>a minimum amount of services was treated as being subject to the penalty rules but nonetheless upheld). In </w:t>
      </w:r>
      <w:r>
        <w:rPr>
          <w:rFonts w:ascii="Arial" w:hAnsi="Arial"/>
          <w:i/>
          <w:sz w:val="20"/>
        </w:rPr>
        <w:t>Associated British Ports v Ferryways NV [2008] EWHC 1265 (Comm), [2008] 2 Lloyd’s Rep. 353 (affirmed on other grounds [2009] EWCA Civ 189, [2009] 1 Lloyd’s Rep. 595)</w:t>
      </w:r>
      <w:r>
        <w:rPr>
          <w:rFonts w:ascii="Arial" w:hAnsi="Arial"/>
          <w:i/>
          <w:spacing w:val="40"/>
          <w:sz w:val="20"/>
        </w:rPr>
        <w:t> </w:t>
      </w:r>
      <w:r>
        <w:rPr>
          <w:sz w:val="20"/>
        </w:rPr>
        <w:t>it was held that the penalty rules did not apply to sums due under a “minimum through-put” </w:t>
      </w:r>
      <w:r>
        <w:rPr>
          <w:spacing w:val="-2"/>
          <w:sz w:val="20"/>
        </w:rPr>
        <w:t>clause.</w:t>
      </w:r>
    </w:p>
    <w:p>
      <w:pPr>
        <w:pStyle w:val="BodyText"/>
        <w:spacing w:before="127"/>
      </w:pPr>
    </w:p>
    <w:p>
      <w:pPr>
        <w:pStyle w:val="BodyText"/>
        <w:spacing w:line="235" w:lineRule="auto"/>
        <w:ind w:left="705" w:right="167" w:hanging="541"/>
        <w:jc w:val="both"/>
      </w:pPr>
      <w:bookmarkStart w:name="_bookmark2366" w:id="2368"/>
      <w:bookmarkEnd w:id="2368"/>
      <w:r>
        <w:rPr/>
      </w:r>
      <w:hyperlink w:history="true" w:anchor="_bookmark2339">
        <w:r>
          <w:rPr>
            <w:color w:val="005DA1"/>
            <w:u w:val="single" w:color="005DA1"/>
            <w:vertAlign w:val="superscript"/>
          </w:rPr>
          <w:t>1234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01" name="Image 1001"/>
            <wp:cNvGraphicFramePr>
              <a:graphicFrameLocks/>
            </wp:cNvGraphicFramePr>
            <a:graphic>
              <a:graphicData uri="http://schemas.openxmlformats.org/drawingml/2006/picture">
                <pic:pic>
                  <pic:nvPicPr>
                    <pic:cNvPr id="1001" name="Image 100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particular under the Unfair Terms in Consumer Contracts Regulations 1999 or Consumer Rights</w:t>
      </w:r>
      <w:r>
        <w:rPr>
          <w:spacing w:val="-2"/>
          <w:vertAlign w:val="baseline"/>
        </w:rPr>
        <w:t> </w:t>
      </w:r>
      <w:r>
        <w:rPr>
          <w:vertAlign w:val="baseline"/>
        </w:rPr>
        <w:t>Act</w:t>
      </w:r>
      <w:r>
        <w:rPr>
          <w:spacing w:val="-2"/>
          <w:vertAlign w:val="baseline"/>
        </w:rPr>
        <w:t> </w:t>
      </w:r>
      <w:r>
        <w:rPr>
          <w:vertAlign w:val="baseline"/>
        </w:rPr>
        <w:t>2015</w:t>
      </w:r>
      <w:r>
        <w:rPr>
          <w:spacing w:val="-2"/>
          <w:vertAlign w:val="baseline"/>
        </w:rPr>
        <w:t> </w:t>
      </w:r>
      <w:r>
        <w:rPr>
          <w:vertAlign w:val="baseline"/>
        </w:rPr>
        <w:t>s.62:</w:t>
      </w:r>
      <w:r>
        <w:rPr>
          <w:spacing w:val="-2"/>
          <w:vertAlign w:val="baseline"/>
        </w:rPr>
        <w:t> </w:t>
      </w:r>
      <w:r>
        <w:rPr>
          <w:vertAlign w:val="baseline"/>
        </w:rPr>
        <w:t>see</w:t>
      </w:r>
      <w:r>
        <w:rPr>
          <w:spacing w:val="-2"/>
          <w:vertAlign w:val="baseline"/>
        </w:rPr>
        <w:t> </w:t>
      </w:r>
      <w:r>
        <w:rPr>
          <w:vertAlign w:val="baseline"/>
        </w:rPr>
        <w:t>below,</w:t>
      </w:r>
      <w:r>
        <w:rPr>
          <w:spacing w:val="-2"/>
          <w:vertAlign w:val="baseline"/>
        </w:rPr>
        <w:t> </w:t>
      </w:r>
      <w:r>
        <w:rPr>
          <w:vertAlign w:val="baseline"/>
        </w:rPr>
        <w:t>Vol.II,</w:t>
      </w:r>
      <w:r>
        <w:rPr>
          <w:spacing w:val="-2"/>
          <w:vertAlign w:val="baseline"/>
        </w:rPr>
        <w:t> </w:t>
      </w:r>
      <w:r>
        <w:rPr>
          <w:vertAlign w:val="baseline"/>
        </w:rPr>
        <w:t>paras</w:t>
      </w:r>
      <w:r>
        <w:rPr>
          <w:spacing w:val="-2"/>
          <w:vertAlign w:val="baseline"/>
        </w:rPr>
        <w:t> </w:t>
      </w:r>
      <w:r>
        <w:rPr>
          <w:vertAlign w:val="baseline"/>
        </w:rPr>
        <w:t>38-201</w:t>
      </w:r>
      <w:r>
        <w:rPr>
          <w:spacing w:val="-2"/>
          <w:vertAlign w:val="baseline"/>
        </w:rPr>
        <w:t> </w:t>
      </w:r>
      <w:r>
        <w:rPr>
          <w:vertAlign w:val="baseline"/>
        </w:rPr>
        <w:t>et</w:t>
      </w:r>
      <w:r>
        <w:rPr>
          <w:spacing w:val="-2"/>
          <w:vertAlign w:val="baseline"/>
        </w:rPr>
        <w:t> </w:t>
      </w:r>
      <w:r>
        <w:rPr>
          <w:vertAlign w:val="baseline"/>
        </w:rPr>
        <w:t>seq.</w:t>
      </w:r>
      <w:r>
        <w:rPr>
          <w:spacing w:val="-2"/>
          <w:vertAlign w:val="baseline"/>
        </w:rPr>
        <w:t> </w:t>
      </w:r>
      <w:r>
        <w:rPr>
          <w:vertAlign w:val="baseline"/>
        </w:rPr>
        <w:t>and</w:t>
      </w:r>
      <w:r>
        <w:rPr>
          <w:spacing w:val="-2"/>
          <w:vertAlign w:val="baseline"/>
        </w:rPr>
        <w:t> </w:t>
      </w:r>
      <w:r>
        <w:rPr>
          <w:vertAlign w:val="baseline"/>
        </w:rPr>
        <w:t>38-334</w:t>
      </w:r>
      <w:r>
        <w:rPr>
          <w:spacing w:val="-2"/>
          <w:vertAlign w:val="baseline"/>
        </w:rPr>
        <w:t> </w:t>
      </w:r>
      <w:r>
        <w:rPr>
          <w:vertAlign w:val="baseline"/>
        </w:rPr>
        <w:t>et</w:t>
      </w:r>
      <w:r>
        <w:rPr>
          <w:spacing w:val="-2"/>
          <w:vertAlign w:val="baseline"/>
        </w:rPr>
        <w:t> </w:t>
      </w:r>
      <w:r>
        <w:rPr>
          <w:vertAlign w:val="baseline"/>
        </w:rPr>
        <w:t>seq.</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term provides for the forfeiture of a deposit or other sum, see below, paras 26-216N et seq.</w:t>
      </w:r>
    </w:p>
    <w:p>
      <w:pPr>
        <w:pStyle w:val="BodyText"/>
        <w:spacing w:before="129"/>
      </w:pPr>
    </w:p>
    <w:p>
      <w:pPr>
        <w:spacing w:line="235" w:lineRule="auto" w:before="0"/>
        <w:ind w:left="705" w:right="167" w:hanging="541"/>
        <w:jc w:val="both"/>
        <w:rPr>
          <w:sz w:val="20"/>
        </w:rPr>
      </w:pPr>
      <w:bookmarkStart w:name="_bookmark2367" w:id="2369"/>
      <w:bookmarkEnd w:id="2369"/>
      <w:r>
        <w:rPr/>
      </w:r>
      <w:hyperlink w:history="true" w:anchor="_bookmark2340">
        <w:r>
          <w:rPr>
            <w:color w:val="005DA1"/>
            <w:sz w:val="20"/>
            <w:u w:val="single" w:color="005DA1"/>
            <w:vertAlign w:val="superscript"/>
          </w:rPr>
          <w:t>1235</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002" name="Image 1002"/>
            <wp:cNvGraphicFramePr>
              <a:graphicFrameLocks/>
            </wp:cNvGraphicFramePr>
            <a:graphic>
              <a:graphicData uri="http://schemas.openxmlformats.org/drawingml/2006/picture">
                <pic:pic>
                  <pic:nvPicPr>
                    <pic:cNvPr id="1002" name="Image 100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the Law Commission’s Working Paper No.61 (1975), paras 17–26; </w:t>
      </w:r>
      <w:r>
        <w:rPr>
          <w:rFonts w:ascii="Arial" w:hAnsi="Arial"/>
          <w:i/>
          <w:sz w:val="20"/>
          <w:vertAlign w:val="baseline"/>
        </w:rPr>
        <w:t>Edgeworth Capital (Luxembourg) Sarl v Ramblas Investments BV [2015] EWHC 150 (Comm) at [59] (rev’d on</w:t>
      </w:r>
      <w:r>
        <w:rPr>
          <w:rFonts w:ascii="Arial" w:hAnsi="Arial"/>
          <w:i/>
          <w:spacing w:val="40"/>
          <w:sz w:val="20"/>
          <w:vertAlign w:val="baseline"/>
        </w:rPr>
        <w:t> </w:t>
      </w:r>
      <w:r>
        <w:rPr>
          <w:rFonts w:ascii="Arial" w:hAnsi="Arial"/>
          <w:i/>
          <w:sz w:val="20"/>
          <w:vertAlign w:val="baseline"/>
        </w:rPr>
        <w:t>other grounds [2016] EWCA Civ 412)</w:t>
      </w:r>
      <w:r>
        <w:rPr>
          <w:sz w:val="20"/>
          <w:vertAlign w:val="baseline"/>
        </w:rPr>
        <w:t>.</w:t>
      </w:r>
    </w:p>
    <w:p>
      <w:pPr>
        <w:pStyle w:val="BodyText"/>
        <w:spacing w:before="129"/>
      </w:pPr>
    </w:p>
    <w:p>
      <w:pPr>
        <w:spacing w:line="235" w:lineRule="auto" w:before="0"/>
        <w:ind w:left="705" w:right="167" w:hanging="541"/>
        <w:jc w:val="both"/>
        <w:rPr>
          <w:sz w:val="20"/>
        </w:rPr>
      </w:pPr>
      <w:bookmarkStart w:name="_bookmark2368" w:id="2370"/>
      <w:bookmarkEnd w:id="2370"/>
      <w:r>
        <w:rPr/>
      </w:r>
      <w:hyperlink w:history="true" w:anchor="_bookmark2341">
        <w:r>
          <w:rPr>
            <w:color w:val="005DA1"/>
            <w:sz w:val="20"/>
            <w:u w:val="single" w:color="005DA1"/>
            <w:vertAlign w:val="superscript"/>
          </w:rPr>
          <w:t>1236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03" name="Image 1003"/>
            <wp:cNvGraphicFramePr>
              <a:graphicFrameLocks/>
            </wp:cNvGraphicFramePr>
            <a:graphic>
              <a:graphicData uri="http://schemas.openxmlformats.org/drawingml/2006/picture">
                <pic:pic>
                  <pic:nvPicPr>
                    <pic:cNvPr id="1003" name="Image 100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Export Credits Guarantee Department v Universal Oil Products Co [1983] 1 W.L.R. 399</w:t>
      </w:r>
      <w:r>
        <w:rPr>
          <w:sz w:val="20"/>
          <w:vertAlign w:val="baseline"/>
        </w:rPr>
        <w:t>. It is unfortunate that the short speech in this case made no attempt to discuss the opinions expressed in the </w:t>
      </w:r>
      <w:r>
        <w:rPr>
          <w:rFonts w:ascii="Arial" w:hAnsi="Arial"/>
          <w:i/>
          <w:sz w:val="20"/>
          <w:vertAlign w:val="baseline"/>
        </w:rPr>
        <w:t>Campbell Discount case [1962] A.C. 600</w:t>
      </w:r>
      <w:r>
        <w:rPr>
          <w:sz w:val="20"/>
          <w:vertAlign w:val="baseline"/>
        </w:rPr>
        <w:t>. See also </w:t>
      </w:r>
      <w:r>
        <w:rPr>
          <w:rFonts w:ascii="Arial" w:hAnsi="Arial"/>
          <w:i/>
          <w:sz w:val="20"/>
          <w:vertAlign w:val="baseline"/>
        </w:rPr>
        <w:t>Euro London</w:t>
      </w:r>
      <w:r>
        <w:rPr>
          <w:rFonts w:ascii="Arial" w:hAnsi="Arial"/>
          <w:i/>
          <w:spacing w:val="40"/>
          <w:sz w:val="20"/>
          <w:vertAlign w:val="baseline"/>
        </w:rPr>
        <w:t> </w:t>
      </w:r>
      <w:r>
        <w:rPr>
          <w:rFonts w:ascii="Arial" w:hAnsi="Arial"/>
          <w:i/>
          <w:sz w:val="20"/>
          <w:vertAlign w:val="baseline"/>
        </w:rPr>
        <w:t>Appointments Ltd v Claessens International Ltd [2006] EWCA Civ 385, [2006] 2 Lloyd’s </w:t>
      </w:r>
      <w:r>
        <w:rPr>
          <w:rFonts w:ascii="Arial" w:hAnsi="Arial"/>
          <w:i/>
          <w:sz w:val="20"/>
          <w:vertAlign w:val="baseline"/>
        </w:rPr>
        <w:t>Rep. 436 </w:t>
      </w:r>
      <w:r>
        <w:rPr>
          <w:sz w:val="20"/>
          <w:vertAlign w:val="baseline"/>
        </w:rPr>
        <w:t>(a condition precedent imposing no obligation); </w:t>
      </w:r>
      <w:r>
        <w:rPr>
          <w:rFonts w:ascii="Arial" w:hAnsi="Arial"/>
          <w:i/>
          <w:sz w:val="20"/>
          <w:vertAlign w:val="baseline"/>
        </w:rPr>
        <w:t>Jervis v Harris [1996] Ch. 195, 206–207</w:t>
      </w:r>
      <w:r>
        <w:rPr>
          <w:sz w:val="20"/>
          <w:vertAlign w:val="baseline"/>
        </w:rPr>
        <w:t>.</w:t>
      </w:r>
    </w:p>
    <w:p>
      <w:pPr>
        <w:pStyle w:val="BodyText"/>
        <w:spacing w:before="124"/>
      </w:pPr>
    </w:p>
    <w:p>
      <w:pPr>
        <w:spacing w:before="0"/>
        <w:ind w:left="165" w:right="0" w:firstLine="0"/>
        <w:jc w:val="left"/>
        <w:rPr>
          <w:sz w:val="20"/>
        </w:rPr>
      </w:pPr>
      <w:bookmarkStart w:name="_bookmark2369" w:id="2371"/>
      <w:bookmarkEnd w:id="2371"/>
      <w:r>
        <w:rPr/>
      </w:r>
      <w:hyperlink w:history="true" w:anchor="_bookmark2342">
        <w:r>
          <w:rPr>
            <w:color w:val="005DA1"/>
            <w:sz w:val="20"/>
            <w:u w:val="single" w:color="005DA1"/>
            <w:vertAlign w:val="superscript"/>
          </w:rPr>
          <w:t>1237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004" name="Image 1004"/>
            <wp:cNvGraphicFramePr>
              <a:graphicFrameLocks/>
            </wp:cNvGraphicFramePr>
            <a:graphic>
              <a:graphicData uri="http://schemas.openxmlformats.org/drawingml/2006/picture">
                <pic:pic>
                  <pic:nvPicPr>
                    <pic:cNvPr id="1004" name="Image 10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Andrews</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Australia</w:t>
      </w:r>
      <w:r>
        <w:rPr>
          <w:rFonts w:ascii="Arial"/>
          <w:i/>
          <w:spacing w:val="1"/>
          <w:sz w:val="20"/>
          <w:vertAlign w:val="baseline"/>
        </w:rPr>
        <w:t> </w:t>
      </w:r>
      <w:r>
        <w:rPr>
          <w:rFonts w:ascii="Arial"/>
          <w:i/>
          <w:sz w:val="20"/>
          <w:vertAlign w:val="baseline"/>
        </w:rPr>
        <w:t>and</w:t>
      </w:r>
      <w:r>
        <w:rPr>
          <w:rFonts w:ascii="Arial"/>
          <w:i/>
          <w:spacing w:val="1"/>
          <w:sz w:val="20"/>
          <w:vertAlign w:val="baseline"/>
        </w:rPr>
        <w:t> </w:t>
      </w:r>
      <w:r>
        <w:rPr>
          <w:rFonts w:ascii="Arial"/>
          <w:i/>
          <w:sz w:val="20"/>
          <w:vertAlign w:val="baseline"/>
        </w:rPr>
        <w:t>New</w:t>
      </w:r>
      <w:r>
        <w:rPr>
          <w:rFonts w:ascii="Arial"/>
          <w:i/>
          <w:spacing w:val="1"/>
          <w:sz w:val="20"/>
          <w:vertAlign w:val="baseline"/>
        </w:rPr>
        <w:t> </w:t>
      </w:r>
      <w:r>
        <w:rPr>
          <w:rFonts w:ascii="Arial"/>
          <w:i/>
          <w:sz w:val="20"/>
          <w:vertAlign w:val="baseline"/>
        </w:rPr>
        <w:t>Zealand</w:t>
      </w:r>
      <w:r>
        <w:rPr>
          <w:rFonts w:ascii="Arial"/>
          <w:i/>
          <w:spacing w:val="2"/>
          <w:sz w:val="20"/>
          <w:vertAlign w:val="baseline"/>
        </w:rPr>
        <w:t> </w:t>
      </w:r>
      <w:r>
        <w:rPr>
          <w:rFonts w:ascii="Arial"/>
          <w:i/>
          <w:sz w:val="20"/>
          <w:vertAlign w:val="baseline"/>
        </w:rPr>
        <w:t>Banking</w:t>
      </w:r>
      <w:r>
        <w:rPr>
          <w:rFonts w:ascii="Arial"/>
          <w:i/>
          <w:spacing w:val="1"/>
          <w:sz w:val="20"/>
          <w:vertAlign w:val="baseline"/>
        </w:rPr>
        <w:t> </w:t>
      </w:r>
      <w:r>
        <w:rPr>
          <w:rFonts w:ascii="Arial"/>
          <w:i/>
          <w:sz w:val="20"/>
          <w:vertAlign w:val="baseline"/>
        </w:rPr>
        <w:t>Group</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(2012)</w:t>
      </w:r>
      <w:r>
        <w:rPr>
          <w:rFonts w:ascii="Arial"/>
          <w:i/>
          <w:spacing w:val="2"/>
          <w:sz w:val="20"/>
          <w:vertAlign w:val="baseline"/>
        </w:rPr>
        <w:t> </w:t>
      </w:r>
      <w:r>
        <w:rPr>
          <w:rFonts w:ascii="Arial"/>
          <w:i/>
          <w:sz w:val="20"/>
          <w:vertAlign w:val="baseline"/>
        </w:rPr>
        <w:t>247</w:t>
      </w:r>
      <w:r>
        <w:rPr>
          <w:rFonts w:ascii="Arial"/>
          <w:i/>
          <w:spacing w:val="1"/>
          <w:sz w:val="20"/>
          <w:vertAlign w:val="baseline"/>
        </w:rPr>
        <w:t> </w:t>
      </w:r>
      <w:r>
        <w:rPr>
          <w:rFonts w:ascii="Arial"/>
          <w:i/>
          <w:sz w:val="20"/>
          <w:vertAlign w:val="baseline"/>
        </w:rPr>
        <w:t>C.L.R.</w:t>
      </w:r>
      <w:r>
        <w:rPr>
          <w:rFonts w:ascii="Arial"/>
          <w:i/>
          <w:spacing w:val="1"/>
          <w:sz w:val="20"/>
          <w:vertAlign w:val="baseline"/>
        </w:rPr>
        <w:t> </w:t>
      </w:r>
      <w:r>
        <w:rPr>
          <w:rFonts w:ascii="Arial"/>
          <w:i/>
          <w:sz w:val="20"/>
          <w:vertAlign w:val="baseline"/>
        </w:rPr>
        <w:t>205</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[10].</w:t>
      </w:r>
    </w:p>
    <w:p>
      <w:pPr>
        <w:pStyle w:val="BodyText"/>
        <w:spacing w:before="125"/>
      </w:pPr>
    </w:p>
    <w:p>
      <w:pPr>
        <w:spacing w:before="0"/>
        <w:ind w:left="165" w:right="0" w:firstLine="0"/>
        <w:jc w:val="left"/>
        <w:rPr>
          <w:sz w:val="20"/>
        </w:rPr>
      </w:pPr>
      <w:bookmarkStart w:name="_bookmark2370" w:id="2372"/>
      <w:bookmarkEnd w:id="2372"/>
      <w:r>
        <w:rPr/>
      </w:r>
      <w:hyperlink w:history="true" w:anchor="_bookmark2343">
        <w:r>
          <w:rPr>
            <w:color w:val="005DA1"/>
            <w:sz w:val="20"/>
            <w:u w:val="single" w:color="005DA1"/>
            <w:vertAlign w:val="superscript"/>
          </w:rPr>
          <w:t>1238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005" name="Image 1005"/>
            <wp:cNvGraphicFramePr>
              <a:graphicFrameLocks/>
            </wp:cNvGraphicFramePr>
            <a:graphic>
              <a:graphicData uri="http://schemas.openxmlformats.org/drawingml/2006/picture">
                <pic:pic>
                  <pic:nvPicPr>
                    <pic:cNvPr id="1005" name="Image 100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pStyle w:val="BodyText"/>
        <w:spacing w:line="235" w:lineRule="auto"/>
        <w:ind w:left="705" w:right="167" w:hanging="541"/>
        <w:jc w:val="both"/>
      </w:pPr>
      <w:bookmarkStart w:name="_bookmark2371" w:id="2373"/>
      <w:bookmarkEnd w:id="2373"/>
      <w:r>
        <w:rPr/>
      </w:r>
      <w:hyperlink w:history="true" w:anchor="_bookmark2344">
        <w:r>
          <w:rPr>
            <w:color w:val="005DA1"/>
            <w:u w:val="single" w:color="005DA1"/>
            <w:vertAlign w:val="superscript"/>
          </w:rPr>
          <w:t>1239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06" name="Image 1006"/>
            <wp:cNvGraphicFramePr>
              <a:graphicFrameLocks/>
            </wp:cNvGraphicFramePr>
            <a:graphic>
              <a:graphicData uri="http://schemas.openxmlformats.org/drawingml/2006/picture">
                <pic:pic>
                  <pic:nvPicPr>
                    <pic:cNvPr id="1006" name="Image 10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Lords Neuberger and Sumption (with whom Lord Carnwath and, seemingly on this point, Lord Clarke agreed) </w:t>
      </w:r>
      <w:r>
        <w:rPr>
          <w:rFonts w:ascii="Arial" w:hAnsi="Arial"/>
          <w:i/>
          <w:vertAlign w:val="baseline"/>
        </w:rPr>
        <w:t>[2015] UKSC 67 </w:t>
      </w:r>
      <w:r>
        <w:rPr>
          <w:vertAlign w:val="baseline"/>
        </w:rPr>
        <w:t>at [42]–[43]; Lord Hodge (with whom Lord Toulson agreed) at [241]. Note however the suggestion that a clause may be “a disguised penalty”, discussed below, para.26-216G. Lord Mance said that the point concerning clauses that operate </w:t>
      </w:r>
      <w:r>
        <w:rPr>
          <w:vertAlign w:val="baseline"/>
        </w:rPr>
        <w:t>on</w:t>
      </w:r>
      <w:r>
        <w:rPr>
          <w:spacing w:val="40"/>
          <w:vertAlign w:val="baseline"/>
        </w:rPr>
        <w:t> </w:t>
      </w:r>
      <w:r>
        <w:rPr>
          <w:vertAlign w:val="baseline"/>
        </w:rPr>
        <w:t>events other than breach was not up for decision but the distinction is “not without rational or logical underpinning”: at [130].</w:t>
      </w:r>
    </w:p>
    <w:p>
      <w:pPr>
        <w:pStyle w:val="BodyText"/>
        <w:spacing w:before="124"/>
      </w:pPr>
    </w:p>
    <w:p>
      <w:pPr>
        <w:spacing w:before="0"/>
        <w:ind w:left="165" w:right="0" w:firstLine="0"/>
        <w:jc w:val="left"/>
        <w:rPr>
          <w:sz w:val="20"/>
        </w:rPr>
      </w:pPr>
      <w:bookmarkStart w:name="_bookmark2372" w:id="2374"/>
      <w:bookmarkEnd w:id="2374"/>
      <w:r>
        <w:rPr/>
      </w:r>
      <w:hyperlink w:history="true" w:anchor="_bookmark2345">
        <w:r>
          <w:rPr>
            <w:color w:val="005DA1"/>
            <w:sz w:val="20"/>
            <w:u w:val="single" w:color="005DA1"/>
            <w:vertAlign w:val="superscript"/>
          </w:rPr>
          <w:t>1240</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007" name="Image 1007"/>
            <wp:cNvGraphicFramePr>
              <a:graphicFrameLocks/>
            </wp:cNvGraphicFramePr>
            <a:graphic>
              <a:graphicData uri="http://schemas.openxmlformats.org/drawingml/2006/picture">
                <pic:pic>
                  <pic:nvPicPr>
                    <pic:cNvPr id="1007" name="Image 10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Lords</w:t>
      </w:r>
      <w:r>
        <w:rPr>
          <w:spacing w:val="2"/>
          <w:sz w:val="20"/>
          <w:vertAlign w:val="baseline"/>
        </w:rPr>
        <w:t> </w:t>
      </w:r>
      <w:r>
        <w:rPr>
          <w:sz w:val="20"/>
          <w:vertAlign w:val="baseline"/>
        </w:rPr>
        <w:t>Neuberger</w:t>
      </w:r>
      <w:r>
        <w:rPr>
          <w:spacing w:val="2"/>
          <w:sz w:val="20"/>
          <w:vertAlign w:val="baseline"/>
        </w:rPr>
        <w:t> </w:t>
      </w:r>
      <w:r>
        <w:rPr>
          <w:sz w:val="20"/>
          <w:vertAlign w:val="baseline"/>
        </w:rPr>
        <w:t>and</w:t>
      </w:r>
      <w:r>
        <w:rPr>
          <w:spacing w:val="2"/>
          <w:sz w:val="20"/>
          <w:vertAlign w:val="baseline"/>
        </w:rPr>
        <w:t> </w:t>
      </w:r>
      <w:r>
        <w:rPr>
          <w:sz w:val="20"/>
          <w:vertAlign w:val="baseline"/>
        </w:rPr>
        <w:t>Sumption</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[42].</w:t>
      </w:r>
    </w:p>
    <w:p>
      <w:pPr>
        <w:pStyle w:val="BodyText"/>
        <w:spacing w:before="129"/>
      </w:pPr>
    </w:p>
    <w:p>
      <w:pPr>
        <w:pStyle w:val="BodyText"/>
        <w:spacing w:line="235" w:lineRule="auto"/>
        <w:ind w:left="705" w:right="167" w:hanging="541"/>
        <w:jc w:val="both"/>
      </w:pPr>
      <w:bookmarkStart w:name="_bookmark2373" w:id="2375"/>
      <w:bookmarkEnd w:id="2375"/>
      <w:r>
        <w:rPr/>
      </w:r>
      <w:hyperlink w:history="true" w:anchor="_bookmark2346">
        <w:r>
          <w:rPr>
            <w:color w:val="005DA1"/>
            <w:u w:val="single" w:color="005DA1"/>
            <w:vertAlign w:val="superscript"/>
          </w:rPr>
          <w:t>1241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1008" name="Image 1008"/>
            <wp:cNvGraphicFramePr>
              <a:graphicFrameLocks/>
            </wp:cNvGraphicFramePr>
            <a:graphic>
              <a:graphicData uri="http://schemas.openxmlformats.org/drawingml/2006/picture">
                <pic:pic>
                  <pic:nvPicPr>
                    <pic:cNvPr id="1008" name="Image 10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If the sum is payable on one of several events, some of which are breaches and others are not, the penalty rule will apply if the event that in fact triggered the payment was a breach, </w:t>
      </w:r>
      <w:r>
        <w:rPr>
          <w:vertAlign w:val="baseline"/>
        </w:rPr>
        <w:t>but not otherwise, nor if, as on the facts of the case, it was a breach of a different contract by another party: </w:t>
      </w:r>
      <w:r>
        <w:rPr>
          <w:rFonts w:ascii="Arial" w:hAnsi="Arial"/>
          <w:i/>
          <w:vertAlign w:val="baseline"/>
        </w:rPr>
        <w:t>Edgeworth Capital (Luxembourg) Sarl v Ramblas Investments BV [2015] EWHC 150 (Comm) </w:t>
      </w:r>
      <w:r>
        <w:rPr>
          <w:vertAlign w:val="baseline"/>
        </w:rPr>
        <w:t>at [60], [69]; the Court of Appeal confirmed that the penalty rule did not apply, </w:t>
      </w:r>
      <w:r>
        <w:rPr>
          <w:rFonts w:ascii="Arial" w:hAnsi="Arial"/>
          <w:i/>
          <w:vertAlign w:val="baseline"/>
        </w:rPr>
        <w:t>[2016] EWCA Civ 412 </w:t>
      </w:r>
      <w:r>
        <w:rPr>
          <w:vertAlign w:val="baseline"/>
        </w:rPr>
        <w:t>at [7]. The death or bankruptcy of a party might be another event, not constituting a breach, upon which money is to be paid. cf. </w:t>
      </w:r>
      <w:r>
        <w:rPr>
          <w:rFonts w:ascii="Arial" w:hAnsi="Arial"/>
          <w:i/>
          <w:vertAlign w:val="baseline"/>
        </w:rPr>
        <w:t>Mount v Oldham Corp [1973] Q.B. 309 </w:t>
      </w:r>
      <w:r>
        <w:rPr>
          <w:vertAlign w:val="baseline"/>
        </w:rPr>
        <w:t>(claim for a term’s school fees in lieu of notice withdrawing a pupil).</w:t>
      </w:r>
    </w:p>
    <w:p>
      <w:pPr>
        <w:pStyle w:val="BodyText"/>
        <w:spacing w:before="127"/>
      </w:pPr>
    </w:p>
    <w:p>
      <w:pPr>
        <w:spacing w:line="235" w:lineRule="auto" w:before="0"/>
        <w:ind w:left="705" w:right="168" w:hanging="541"/>
        <w:jc w:val="both"/>
        <w:rPr>
          <w:sz w:val="20"/>
        </w:rPr>
      </w:pPr>
      <w:bookmarkStart w:name="_bookmark2374" w:id="2376"/>
      <w:bookmarkEnd w:id="2376"/>
      <w:r>
        <w:rPr/>
      </w:r>
      <w:hyperlink w:history="true" w:anchor="_bookmark2347">
        <w:r>
          <w:rPr>
            <w:color w:val="005DA1"/>
            <w:sz w:val="20"/>
            <w:u w:val="single" w:color="005DA1"/>
            <w:vertAlign w:val="superscript"/>
          </w:rPr>
          <w:t>1242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09" name="Image 1009"/>
            <wp:cNvGraphicFramePr>
              <a:graphicFrameLocks/>
            </wp:cNvGraphicFramePr>
            <a:graphic>
              <a:graphicData uri="http://schemas.openxmlformats.org/drawingml/2006/picture">
                <pic:pic>
                  <pic:nvPicPr>
                    <pic:cNvPr id="1009" name="Image 10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Fratelli Moretti SpA v Nidera Handelscompagnie BV [1981] 2 Lloyd’s Rep. 47, 53</w:t>
      </w:r>
      <w:r>
        <w:rPr>
          <w:sz w:val="20"/>
          <w:vertAlign w:val="baseline"/>
        </w:rPr>
        <w:t>; for another example see </w:t>
      </w:r>
      <w:r>
        <w:rPr>
          <w:rFonts w:ascii="Arial" w:hAnsi="Arial"/>
          <w:i/>
          <w:sz w:val="20"/>
          <w:vertAlign w:val="baseline"/>
        </w:rPr>
        <w:t>BHL v Leumi Abl Ltd [2017] EWHC 1871 (QB) </w:t>
      </w:r>
      <w:r>
        <w:rPr>
          <w:sz w:val="20"/>
          <w:vertAlign w:val="baseline"/>
        </w:rPr>
        <w:t>at [44].</w:t>
      </w:r>
    </w:p>
    <w:p>
      <w:pPr>
        <w:pStyle w:val="BodyText"/>
        <w:spacing w:before="125"/>
      </w:pPr>
    </w:p>
    <w:p>
      <w:pPr>
        <w:spacing w:before="0"/>
        <w:ind w:left="165" w:right="0" w:firstLine="0"/>
        <w:jc w:val="left"/>
        <w:rPr>
          <w:sz w:val="20"/>
        </w:rPr>
      </w:pPr>
      <w:bookmarkStart w:name="_bookmark2375" w:id="2377"/>
      <w:bookmarkEnd w:id="2377"/>
      <w:r>
        <w:rPr/>
      </w:r>
      <w:hyperlink w:history="true" w:anchor="_bookmark2348">
        <w:r>
          <w:rPr>
            <w:color w:val="005DA1"/>
            <w:sz w:val="20"/>
            <w:u w:val="single" w:color="005DA1"/>
            <w:vertAlign w:val="superscript"/>
          </w:rPr>
          <w:t>1243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010" name="Image 1010"/>
            <wp:cNvGraphicFramePr>
              <a:graphicFrameLocks/>
            </wp:cNvGraphicFramePr>
            <a:graphic>
              <a:graphicData uri="http://schemas.openxmlformats.org/drawingml/2006/picture">
                <pic:pic>
                  <pic:nvPicPr>
                    <pic:cNvPr id="1010" name="Image 10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Nutting</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Baldwin</w:t>
      </w:r>
      <w:r>
        <w:rPr>
          <w:rFonts w:ascii="Arial"/>
          <w:i/>
          <w:spacing w:val="3"/>
          <w:sz w:val="20"/>
          <w:vertAlign w:val="baseline"/>
        </w:rPr>
        <w:t> </w:t>
      </w:r>
      <w:r>
        <w:rPr>
          <w:rFonts w:ascii="Arial"/>
          <w:i/>
          <w:sz w:val="20"/>
          <w:vertAlign w:val="baseline"/>
        </w:rPr>
        <w:t>[1995]</w:t>
      </w:r>
      <w:r>
        <w:rPr>
          <w:rFonts w:ascii="Arial"/>
          <w:i/>
          <w:spacing w:val="2"/>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3"/>
          <w:sz w:val="20"/>
          <w:vertAlign w:val="baseline"/>
        </w:rPr>
        <w:t> </w:t>
      </w:r>
      <w:r>
        <w:rPr>
          <w:rFonts w:ascii="Arial"/>
          <w:i/>
          <w:spacing w:val="-4"/>
          <w:sz w:val="20"/>
          <w:vertAlign w:val="baseline"/>
        </w:rPr>
        <w:t>201</w:t>
      </w:r>
      <w:r>
        <w:rPr>
          <w:spacing w:val="-4"/>
          <w:sz w:val="20"/>
          <w:vertAlign w:val="baseline"/>
        </w:rPr>
        <w:t>.</w:t>
      </w:r>
    </w:p>
    <w:p>
      <w:pPr>
        <w:pStyle w:val="BodyText"/>
        <w:spacing w:before="129"/>
      </w:pPr>
    </w:p>
    <w:p>
      <w:pPr>
        <w:spacing w:line="235" w:lineRule="auto" w:before="0"/>
        <w:ind w:left="705" w:right="167" w:hanging="541"/>
        <w:jc w:val="both"/>
        <w:rPr>
          <w:sz w:val="20"/>
        </w:rPr>
      </w:pPr>
      <w:bookmarkStart w:name="_bookmark2376" w:id="2378"/>
      <w:bookmarkEnd w:id="2378"/>
      <w:r>
        <w:rPr/>
      </w:r>
      <w:hyperlink w:history="true" w:anchor="_bookmark2349">
        <w:r>
          <w:rPr>
            <w:color w:val="005DA1"/>
            <w:sz w:val="20"/>
            <w:u w:val="single" w:color="005DA1"/>
            <w:vertAlign w:val="superscript"/>
          </w:rPr>
          <w:t>1244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11" name="Image 1011"/>
            <wp:cNvGraphicFramePr>
              <a:graphicFrameLocks/>
            </wp:cNvGraphicFramePr>
            <a:graphic>
              <a:graphicData uri="http://schemas.openxmlformats.org/drawingml/2006/picture">
                <pic:pic>
                  <pic:nvPicPr>
                    <pic:cNvPr id="1011" name="Image 10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Imam-Sadeque v Bluebay Asset Management (Services) Ltd [2012] EWHC 3511 (QB)</w:t>
      </w:r>
      <w:r>
        <w:rPr>
          <w:sz w:val="20"/>
          <w:vertAlign w:val="baseline"/>
        </w:rPr>
        <w:t>, </w:t>
      </w:r>
      <w:r>
        <w:rPr>
          <w:sz w:val="20"/>
          <w:vertAlign w:val="baseline"/>
        </w:rPr>
        <w:t>citing the Australian case of </w:t>
      </w:r>
      <w:r>
        <w:rPr>
          <w:rFonts w:ascii="Arial" w:hAnsi="Arial"/>
          <w:i/>
          <w:sz w:val="20"/>
          <w:vertAlign w:val="baseline"/>
        </w:rPr>
        <w:t>Interstar Wholesale Finance Pty Ltd v Integral Home Loans Pty Ltd (2008) 257 A.L.R. 292</w:t>
      </w:r>
      <w:r>
        <w:rPr>
          <w:sz w:val="20"/>
          <w:vertAlign w:val="baseline"/>
        </w:rPr>
        <w:t>. The provision was in any event commercially justifiable and not penal when read in the light of the contract as a whole: </w:t>
      </w:r>
      <w:r>
        <w:rPr>
          <w:rFonts w:ascii="Arial" w:hAnsi="Arial"/>
          <w:i/>
          <w:sz w:val="20"/>
          <w:vertAlign w:val="baseline"/>
        </w:rPr>
        <w:t>[2012] EWHC 3511 (QB) </w:t>
      </w:r>
      <w:r>
        <w:rPr>
          <w:sz w:val="20"/>
          <w:vertAlign w:val="baseline"/>
        </w:rPr>
        <w:t>at [223]–[234].</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350">
        <w:r>
          <w:rPr>
            <w:color w:val="005DA1"/>
            <w:spacing w:val="-2"/>
            <w:sz w:val="14"/>
            <w:u w:val="single" w:color="005DA1"/>
          </w:rPr>
          <w:t>1245</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61760">
            <wp:simplePos x="0" y="0"/>
            <wp:positionH relativeFrom="page">
              <wp:posOffset>1257846</wp:posOffset>
            </wp:positionH>
            <wp:positionV relativeFrom="paragraph">
              <wp:posOffset>12632</wp:posOffset>
            </wp:positionV>
            <wp:extent cx="107988" cy="107988"/>
            <wp:effectExtent l="0" t="0" r="0" b="0"/>
            <wp:wrapNone/>
            <wp:docPr id="1012" name="Image 1012"/>
            <wp:cNvGraphicFramePr>
              <a:graphicFrameLocks/>
            </wp:cNvGraphicFramePr>
            <a:graphic>
              <a:graphicData uri="http://schemas.openxmlformats.org/drawingml/2006/picture">
                <pic:pic>
                  <pic:nvPicPr>
                    <pic:cNvPr id="1012" name="Image 101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ParkingEye Ltd v Beavis [2015] EWCA Civ 402</w:t>
      </w:r>
      <w:r>
        <w:rPr>
          <w:rFonts w:ascii="Arial"/>
          <w:i/>
          <w:spacing w:val="-1"/>
          <w:sz w:val="20"/>
        </w:rPr>
        <w:t> </w:t>
      </w:r>
      <w:r>
        <w:rPr>
          <w:sz w:val="20"/>
        </w:rPr>
        <w:t>at </w:t>
      </w:r>
      <w:r>
        <w:rPr>
          <w:spacing w:val="-4"/>
          <w:sz w:val="20"/>
        </w:rPr>
        <w:t>[23].</w:t>
      </w:r>
    </w:p>
    <w:p>
      <w:pPr>
        <w:pStyle w:val="BodyText"/>
        <w:spacing w:before="12"/>
      </w:pPr>
    </w:p>
    <w:p>
      <w:pPr>
        <w:spacing w:line="137" w:lineRule="exact" w:before="0"/>
        <w:ind w:left="165" w:right="0" w:firstLine="0"/>
        <w:jc w:val="left"/>
        <w:rPr>
          <w:sz w:val="14"/>
        </w:rPr>
      </w:pPr>
      <w:bookmarkStart w:name="_bookmark2377" w:id="2379"/>
      <w:bookmarkEnd w:id="2379"/>
      <w:r>
        <w:rPr/>
      </w:r>
      <w:hyperlink w:history="true" w:anchor="_bookmark2351">
        <w:r>
          <w:rPr>
            <w:color w:val="005DA1"/>
            <w:spacing w:val="-2"/>
            <w:sz w:val="14"/>
            <w:u w:val="single" w:color="005DA1"/>
          </w:rPr>
          <w:t>1246</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62272">
            <wp:simplePos x="0" y="0"/>
            <wp:positionH relativeFrom="page">
              <wp:posOffset>1257846</wp:posOffset>
            </wp:positionH>
            <wp:positionV relativeFrom="paragraph">
              <wp:posOffset>12783</wp:posOffset>
            </wp:positionV>
            <wp:extent cx="107988" cy="107988"/>
            <wp:effectExtent l="0" t="0" r="0" b="0"/>
            <wp:wrapNone/>
            <wp:docPr id="1013" name="Image 1013"/>
            <wp:cNvGraphicFramePr>
              <a:graphicFrameLocks/>
            </wp:cNvGraphicFramePr>
            <a:graphic>
              <a:graphicData uri="http://schemas.openxmlformats.org/drawingml/2006/picture">
                <pic:pic>
                  <pic:nvPicPr>
                    <pic:cNvPr id="1013" name="Image 101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Alder v Moore [1961] 2 Q.B. 57</w:t>
      </w:r>
      <w:r>
        <w:rPr>
          <w:rFonts w:ascii="Arial"/>
          <w:i/>
          <w:spacing w:val="-1"/>
          <w:sz w:val="20"/>
        </w:rPr>
        <w:t> </w:t>
      </w:r>
      <w:r>
        <w:rPr>
          <w:sz w:val="20"/>
        </w:rPr>
        <w:t>(approving</w:t>
      </w:r>
      <w:r>
        <w:rPr>
          <w:spacing w:val="-1"/>
          <w:sz w:val="20"/>
        </w:rPr>
        <w:t> </w:t>
      </w:r>
      <w:r>
        <w:rPr>
          <w:rFonts w:ascii="Arial"/>
          <w:i/>
          <w:sz w:val="20"/>
        </w:rPr>
        <w:t>Re Apex Supply Co Ltd [1942] Ch. </w:t>
      </w:r>
      <w:r>
        <w:rPr>
          <w:rFonts w:ascii="Arial"/>
          <w:i/>
          <w:spacing w:val="-2"/>
          <w:sz w:val="20"/>
        </w:rPr>
        <w:t>108</w:t>
      </w:r>
      <w:r>
        <w:rPr>
          <w:spacing w:val="-2"/>
          <w:sz w:val="20"/>
        </w:rPr>
        <w:t>).</w:t>
      </w:r>
    </w:p>
    <w:p>
      <w:pPr>
        <w:pStyle w:val="BodyText"/>
        <w:spacing w:before="12"/>
      </w:pPr>
    </w:p>
    <w:p>
      <w:pPr>
        <w:spacing w:line="137" w:lineRule="exact" w:before="0"/>
        <w:ind w:left="165" w:right="0" w:firstLine="0"/>
        <w:jc w:val="left"/>
        <w:rPr>
          <w:sz w:val="14"/>
        </w:rPr>
      </w:pPr>
      <w:bookmarkStart w:name="_bookmark2378" w:id="2380"/>
      <w:bookmarkEnd w:id="2380"/>
      <w:r>
        <w:rPr/>
      </w:r>
      <w:hyperlink w:history="true" w:anchor="_bookmark2352">
        <w:r>
          <w:rPr>
            <w:color w:val="005DA1"/>
            <w:spacing w:val="-2"/>
            <w:sz w:val="14"/>
            <w:u w:val="single" w:color="005DA1"/>
          </w:rPr>
          <w:t>1247</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62784">
            <wp:simplePos x="0" y="0"/>
            <wp:positionH relativeFrom="page">
              <wp:posOffset>1257846</wp:posOffset>
            </wp:positionH>
            <wp:positionV relativeFrom="paragraph">
              <wp:posOffset>12935</wp:posOffset>
            </wp:positionV>
            <wp:extent cx="107988" cy="107988"/>
            <wp:effectExtent l="0" t="0" r="0" b="0"/>
            <wp:wrapNone/>
            <wp:docPr id="1014" name="Image 1014"/>
            <wp:cNvGraphicFramePr>
              <a:graphicFrameLocks/>
            </wp:cNvGraphicFramePr>
            <a:graphic>
              <a:graphicData uri="http://schemas.openxmlformats.org/drawingml/2006/picture">
                <pic:pic>
                  <pic:nvPicPr>
                    <pic:cNvPr id="1014" name="Image 101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Alder</w:t>
      </w:r>
      <w:r>
        <w:rPr>
          <w:rFonts w:ascii="Arial"/>
          <w:i/>
          <w:spacing w:val="8"/>
          <w:sz w:val="20"/>
        </w:rPr>
        <w:t> </w:t>
      </w:r>
      <w:r>
        <w:rPr>
          <w:rFonts w:ascii="Arial"/>
          <w:i/>
          <w:sz w:val="20"/>
        </w:rPr>
        <w:t>v</w:t>
      </w:r>
      <w:r>
        <w:rPr>
          <w:rFonts w:ascii="Arial"/>
          <w:i/>
          <w:spacing w:val="9"/>
          <w:sz w:val="20"/>
        </w:rPr>
        <w:t> </w:t>
      </w:r>
      <w:r>
        <w:rPr>
          <w:rFonts w:ascii="Arial"/>
          <w:i/>
          <w:sz w:val="20"/>
        </w:rPr>
        <w:t>Moore</w:t>
      </w:r>
      <w:r>
        <w:rPr>
          <w:rFonts w:ascii="Arial"/>
          <w:i/>
          <w:spacing w:val="9"/>
          <w:sz w:val="20"/>
        </w:rPr>
        <w:t> </w:t>
      </w:r>
      <w:r>
        <w:rPr>
          <w:rFonts w:ascii="Arial"/>
          <w:i/>
          <w:sz w:val="20"/>
        </w:rPr>
        <w:t>[1961]</w:t>
      </w:r>
      <w:r>
        <w:rPr>
          <w:rFonts w:ascii="Arial"/>
          <w:i/>
          <w:spacing w:val="9"/>
          <w:sz w:val="20"/>
        </w:rPr>
        <w:t> </w:t>
      </w:r>
      <w:r>
        <w:rPr>
          <w:rFonts w:ascii="Arial"/>
          <w:i/>
          <w:sz w:val="20"/>
        </w:rPr>
        <w:t>2</w:t>
      </w:r>
      <w:r>
        <w:rPr>
          <w:rFonts w:ascii="Arial"/>
          <w:i/>
          <w:spacing w:val="9"/>
          <w:sz w:val="20"/>
        </w:rPr>
        <w:t> </w:t>
      </w:r>
      <w:r>
        <w:rPr>
          <w:rFonts w:ascii="Arial"/>
          <w:i/>
          <w:sz w:val="20"/>
        </w:rPr>
        <w:t>Q.B.</w:t>
      </w:r>
      <w:r>
        <w:rPr>
          <w:rFonts w:ascii="Arial"/>
          <w:i/>
          <w:spacing w:val="9"/>
          <w:sz w:val="20"/>
        </w:rPr>
        <w:t> </w:t>
      </w:r>
      <w:r>
        <w:rPr>
          <w:rFonts w:ascii="Arial"/>
          <w:i/>
          <w:sz w:val="20"/>
        </w:rPr>
        <w:t>57</w:t>
      </w:r>
      <w:r>
        <w:rPr>
          <w:sz w:val="20"/>
        </w:rPr>
        <w:t>.</w:t>
      </w:r>
      <w:r>
        <w:rPr>
          <w:spacing w:val="9"/>
          <w:sz w:val="20"/>
        </w:rPr>
        <w:t> </w:t>
      </w:r>
      <w:r>
        <w:rPr>
          <w:sz w:val="20"/>
        </w:rPr>
        <w:t>Although</w:t>
      </w:r>
      <w:r>
        <w:rPr>
          <w:spacing w:val="9"/>
          <w:sz w:val="20"/>
        </w:rPr>
        <w:t> </w:t>
      </w:r>
      <w:r>
        <w:rPr>
          <w:sz w:val="20"/>
        </w:rPr>
        <w:t>the</w:t>
      </w:r>
      <w:r>
        <w:rPr>
          <w:spacing w:val="9"/>
          <w:sz w:val="20"/>
        </w:rPr>
        <w:t> </w:t>
      </w:r>
      <w:r>
        <w:rPr>
          <w:sz w:val="20"/>
        </w:rPr>
        <w:t>defendant</w:t>
      </w:r>
      <w:r>
        <w:rPr>
          <w:spacing w:val="9"/>
          <w:sz w:val="20"/>
        </w:rPr>
        <w:t> </w:t>
      </w:r>
      <w:r>
        <w:rPr>
          <w:sz w:val="20"/>
        </w:rPr>
        <w:t>had</w:t>
      </w:r>
      <w:r>
        <w:rPr>
          <w:spacing w:val="9"/>
          <w:sz w:val="20"/>
        </w:rPr>
        <w:t> </w:t>
      </w:r>
      <w:r>
        <w:rPr>
          <w:sz w:val="20"/>
        </w:rPr>
        <w:t>agreed</w:t>
      </w:r>
      <w:r>
        <w:rPr>
          <w:spacing w:val="9"/>
          <w:sz w:val="20"/>
        </w:rPr>
        <w:t> </w:t>
      </w:r>
      <w:r>
        <w:rPr>
          <w:sz w:val="20"/>
        </w:rPr>
        <w:t>not</w:t>
      </w:r>
      <w:r>
        <w:rPr>
          <w:spacing w:val="9"/>
          <w:sz w:val="20"/>
        </w:rPr>
        <w:t> </w:t>
      </w:r>
      <w:r>
        <w:rPr>
          <w:sz w:val="20"/>
        </w:rPr>
        <w:t>to</w:t>
      </w:r>
      <w:r>
        <w:rPr>
          <w:spacing w:val="9"/>
          <w:sz w:val="20"/>
        </w:rPr>
        <w:t> </w:t>
      </w:r>
      <w:r>
        <w:rPr>
          <w:sz w:val="20"/>
        </w:rPr>
        <w:t>take</w:t>
      </w:r>
      <w:r>
        <w:rPr>
          <w:spacing w:val="9"/>
          <w:sz w:val="20"/>
        </w:rPr>
        <w:t> </w:t>
      </w:r>
      <w:r>
        <w:rPr>
          <w:sz w:val="20"/>
        </w:rPr>
        <w:t>part</w:t>
      </w:r>
      <w:r>
        <w:rPr>
          <w:spacing w:val="9"/>
          <w:sz w:val="20"/>
        </w:rPr>
        <w:t> </w:t>
      </w:r>
      <w:r>
        <w:rPr>
          <w:sz w:val="20"/>
        </w:rPr>
        <w:t>again</w:t>
      </w:r>
      <w:r>
        <w:rPr>
          <w:spacing w:val="9"/>
          <w:sz w:val="20"/>
        </w:rPr>
        <w:t> </w:t>
      </w:r>
      <w:r>
        <w:rPr>
          <w:spacing w:val="-5"/>
          <w:sz w:val="20"/>
        </w:rPr>
        <w:t>in</w:t>
      </w:r>
    </w:p>
    <w:p>
      <w:pPr>
        <w:pStyle w:val="BodyText"/>
        <w:spacing w:line="235" w:lineRule="auto" w:before="1"/>
        <w:ind w:left="705" w:right="167"/>
        <w:jc w:val="both"/>
      </w:pPr>
      <w:r>
        <w:rPr/>
        <w:t>professional football, the majority considered that this was not a case in which the </w:t>
      </w:r>
      <w:r>
        <w:rPr/>
        <w:t>defendant was in breach by so doing but of a condition on the defendant retaining the insurance payment: see at 65 and 77.</w:t>
      </w:r>
    </w:p>
    <w:p>
      <w:pPr>
        <w:pStyle w:val="BodyText"/>
        <w:spacing w:before="13"/>
      </w:pPr>
    </w:p>
    <w:p>
      <w:pPr>
        <w:spacing w:line="137" w:lineRule="exact" w:before="0"/>
        <w:ind w:left="165" w:right="0" w:firstLine="0"/>
        <w:jc w:val="left"/>
        <w:rPr>
          <w:sz w:val="14"/>
        </w:rPr>
      </w:pPr>
      <w:bookmarkStart w:name="_bookmark2379" w:id="2381"/>
      <w:bookmarkEnd w:id="2381"/>
      <w:r>
        <w:rPr/>
      </w:r>
      <w:hyperlink w:history="true" w:anchor="_bookmark2353">
        <w:r>
          <w:rPr>
            <w:color w:val="005DA1"/>
            <w:spacing w:val="-2"/>
            <w:sz w:val="14"/>
            <w:u w:val="single" w:color="005DA1"/>
          </w:rPr>
          <w:t>1248</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63296">
            <wp:simplePos x="0" y="0"/>
            <wp:positionH relativeFrom="page">
              <wp:posOffset>1257846</wp:posOffset>
            </wp:positionH>
            <wp:positionV relativeFrom="paragraph">
              <wp:posOffset>12672</wp:posOffset>
            </wp:positionV>
            <wp:extent cx="107988" cy="107988"/>
            <wp:effectExtent l="0" t="0" r="0" b="0"/>
            <wp:wrapNone/>
            <wp:docPr id="1015" name="Image 1015"/>
            <wp:cNvGraphicFramePr>
              <a:graphicFrameLocks/>
            </wp:cNvGraphicFramePr>
            <a:graphic>
              <a:graphicData uri="http://schemas.openxmlformats.org/drawingml/2006/picture">
                <pic:pic>
                  <pic:nvPicPr>
                    <pic:cNvPr id="1015" name="Image 1015"/>
                    <pic:cNvPicPr/>
                  </pic:nvPicPr>
                  <pic:blipFill>
                    <a:blip r:embed="rId6" cstate="print"/>
                    <a:stretch>
                      <a:fillRect/>
                    </a:stretch>
                  </pic:blipFill>
                  <pic:spPr>
                    <a:xfrm>
                      <a:off x="0" y="0"/>
                      <a:ext cx="107988" cy="107988"/>
                    </a:xfrm>
                    <a:prstGeom prst="rect">
                      <a:avLst/>
                    </a:prstGeom>
                  </pic:spPr>
                </pic:pic>
              </a:graphicData>
            </a:graphic>
          </wp:anchor>
        </w:drawing>
      </w:r>
      <w:r>
        <w:rPr/>
        <w:t>Banwell</w:t>
      </w:r>
      <w:r>
        <w:rPr>
          <w:spacing w:val="51"/>
        </w:rPr>
        <w:t> </w:t>
      </w:r>
      <w:r>
        <w:rPr/>
        <w:t>Report</w:t>
      </w:r>
      <w:r>
        <w:rPr>
          <w:spacing w:val="51"/>
        </w:rPr>
        <w:t> </w:t>
      </w:r>
      <w:r>
        <w:rPr/>
        <w:t>(Report</w:t>
      </w:r>
      <w:r>
        <w:rPr>
          <w:spacing w:val="51"/>
        </w:rPr>
        <w:t> </w:t>
      </w:r>
      <w:r>
        <w:rPr/>
        <w:t>of</w:t>
      </w:r>
      <w:r>
        <w:rPr>
          <w:spacing w:val="51"/>
        </w:rPr>
        <w:t> </w:t>
      </w:r>
      <w:r>
        <w:rPr/>
        <w:t>the</w:t>
      </w:r>
      <w:r>
        <w:rPr>
          <w:spacing w:val="51"/>
        </w:rPr>
        <w:t> </w:t>
      </w:r>
      <w:r>
        <w:rPr/>
        <w:t>Committee</w:t>
      </w:r>
      <w:r>
        <w:rPr>
          <w:spacing w:val="51"/>
        </w:rPr>
        <w:t> </w:t>
      </w:r>
      <w:r>
        <w:rPr/>
        <w:t>on</w:t>
      </w:r>
      <w:r>
        <w:rPr>
          <w:spacing w:val="51"/>
        </w:rPr>
        <w:t> </w:t>
      </w:r>
      <w:r>
        <w:rPr/>
        <w:t>Placing</w:t>
      </w:r>
      <w:r>
        <w:rPr>
          <w:spacing w:val="51"/>
        </w:rPr>
        <w:t> </w:t>
      </w:r>
      <w:r>
        <w:rPr/>
        <w:t>and</w:t>
      </w:r>
      <w:r>
        <w:rPr>
          <w:spacing w:val="51"/>
        </w:rPr>
        <w:t> </w:t>
      </w:r>
      <w:r>
        <w:rPr/>
        <w:t>Management</w:t>
      </w:r>
      <w:r>
        <w:rPr>
          <w:spacing w:val="51"/>
        </w:rPr>
        <w:t> </w:t>
      </w:r>
      <w:r>
        <w:rPr/>
        <w:t>of</w:t>
      </w:r>
      <w:r>
        <w:rPr>
          <w:spacing w:val="51"/>
        </w:rPr>
        <w:t> </w:t>
      </w:r>
      <w:r>
        <w:rPr/>
        <w:t>Contracts</w:t>
      </w:r>
      <w:r>
        <w:rPr>
          <w:spacing w:val="51"/>
        </w:rPr>
        <w:t> </w:t>
      </w:r>
      <w:r>
        <w:rPr>
          <w:spacing w:val="-5"/>
        </w:rPr>
        <w:t>for</w:t>
      </w:r>
    </w:p>
    <w:p>
      <w:pPr>
        <w:pStyle w:val="BodyText"/>
        <w:spacing w:line="227" w:lineRule="exact"/>
        <w:ind w:left="705"/>
      </w:pPr>
      <w:r>
        <w:rPr/>
        <w:t>Building and Civil Engineering Work) (HMSO, 1964), </w:t>
      </w:r>
      <w:r>
        <w:rPr>
          <w:spacing w:val="-2"/>
        </w:rPr>
        <w:t>para.9.22.</w:t>
      </w:r>
    </w:p>
    <w:p>
      <w:pPr>
        <w:pStyle w:val="BodyText"/>
        <w:spacing w:before="12"/>
      </w:pPr>
    </w:p>
    <w:p>
      <w:pPr>
        <w:spacing w:line="137" w:lineRule="exact" w:before="0"/>
        <w:ind w:left="165" w:right="0" w:firstLine="0"/>
        <w:jc w:val="left"/>
        <w:rPr>
          <w:sz w:val="14"/>
        </w:rPr>
      </w:pPr>
      <w:bookmarkStart w:name="_bookmark2380" w:id="2382"/>
      <w:bookmarkEnd w:id="2382"/>
      <w:r>
        <w:rPr/>
      </w:r>
      <w:hyperlink w:history="true" w:anchor="_bookmark2354">
        <w:r>
          <w:rPr>
            <w:color w:val="005DA1"/>
            <w:spacing w:val="-2"/>
            <w:sz w:val="14"/>
            <w:u w:val="single" w:color="005DA1"/>
          </w:rPr>
          <w:t>1249</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63808">
            <wp:simplePos x="0" y="0"/>
            <wp:positionH relativeFrom="page">
              <wp:posOffset>1257846</wp:posOffset>
            </wp:positionH>
            <wp:positionV relativeFrom="paragraph">
              <wp:posOffset>12824</wp:posOffset>
            </wp:positionV>
            <wp:extent cx="107988" cy="107988"/>
            <wp:effectExtent l="0" t="0" r="0" b="0"/>
            <wp:wrapNone/>
            <wp:docPr id="1016" name="Image 1016"/>
            <wp:cNvGraphicFramePr>
              <a:graphicFrameLocks/>
            </wp:cNvGraphicFramePr>
            <a:graphic>
              <a:graphicData uri="http://schemas.openxmlformats.org/drawingml/2006/picture">
                <pic:pic>
                  <pic:nvPicPr>
                    <pic:cNvPr id="1016" name="Image 101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w:t>
      </w:r>
      <w:r>
        <w:rPr>
          <w:rFonts w:ascii="Arial"/>
          <w:i/>
          <w:spacing w:val="17"/>
          <w:sz w:val="20"/>
        </w:rPr>
        <w:t> </w:t>
      </w:r>
      <w:r>
        <w:rPr>
          <w:rFonts w:ascii="Arial"/>
          <w:i/>
          <w:sz w:val="20"/>
        </w:rPr>
        <w:t>UKSC</w:t>
      </w:r>
      <w:r>
        <w:rPr>
          <w:rFonts w:ascii="Arial"/>
          <w:i/>
          <w:spacing w:val="17"/>
          <w:sz w:val="20"/>
        </w:rPr>
        <w:t> </w:t>
      </w:r>
      <w:r>
        <w:rPr>
          <w:rFonts w:ascii="Arial"/>
          <w:i/>
          <w:sz w:val="20"/>
        </w:rPr>
        <w:t>67,</w:t>
      </w:r>
      <w:r>
        <w:rPr>
          <w:rFonts w:ascii="Arial"/>
          <w:i/>
          <w:spacing w:val="17"/>
          <w:sz w:val="20"/>
        </w:rPr>
        <w:t> </w:t>
      </w:r>
      <w:r>
        <w:rPr>
          <w:rFonts w:ascii="Arial"/>
          <w:i/>
          <w:sz w:val="20"/>
        </w:rPr>
        <w:t>[2016]</w:t>
      </w:r>
      <w:r>
        <w:rPr>
          <w:rFonts w:ascii="Arial"/>
          <w:i/>
          <w:spacing w:val="17"/>
          <w:sz w:val="20"/>
        </w:rPr>
        <w:t> </w:t>
      </w:r>
      <w:r>
        <w:rPr>
          <w:rFonts w:ascii="Arial"/>
          <w:i/>
          <w:sz w:val="20"/>
        </w:rPr>
        <w:t>A.C.</w:t>
      </w:r>
      <w:r>
        <w:rPr>
          <w:rFonts w:ascii="Arial"/>
          <w:i/>
          <w:spacing w:val="17"/>
          <w:sz w:val="20"/>
        </w:rPr>
        <w:t> </w:t>
      </w:r>
      <w:r>
        <w:rPr>
          <w:rFonts w:ascii="Arial"/>
          <w:i/>
          <w:sz w:val="20"/>
        </w:rPr>
        <w:t>1172</w:t>
      </w:r>
      <w:r>
        <w:rPr>
          <w:rFonts w:ascii="Arial"/>
          <w:i/>
          <w:spacing w:val="17"/>
          <w:sz w:val="20"/>
        </w:rPr>
        <w:t> </w:t>
      </w:r>
      <w:r>
        <w:rPr>
          <w:sz w:val="20"/>
        </w:rPr>
        <w:t>at</w:t>
      </w:r>
      <w:r>
        <w:rPr>
          <w:spacing w:val="17"/>
          <w:sz w:val="20"/>
        </w:rPr>
        <w:t> </w:t>
      </w:r>
      <w:r>
        <w:rPr>
          <w:sz w:val="20"/>
        </w:rPr>
        <w:t>[77]</w:t>
      </w:r>
      <w:r>
        <w:rPr>
          <w:spacing w:val="17"/>
          <w:sz w:val="20"/>
        </w:rPr>
        <w:t> </w:t>
      </w:r>
      <w:r>
        <w:rPr>
          <w:sz w:val="20"/>
        </w:rPr>
        <w:t>(Lords</w:t>
      </w:r>
      <w:r>
        <w:rPr>
          <w:spacing w:val="17"/>
          <w:sz w:val="20"/>
        </w:rPr>
        <w:t> </w:t>
      </w:r>
      <w:r>
        <w:rPr>
          <w:sz w:val="20"/>
        </w:rPr>
        <w:t>Neuberger</w:t>
      </w:r>
      <w:r>
        <w:rPr>
          <w:spacing w:val="17"/>
          <w:sz w:val="20"/>
        </w:rPr>
        <w:t> </w:t>
      </w:r>
      <w:r>
        <w:rPr>
          <w:sz w:val="20"/>
        </w:rPr>
        <w:t>and</w:t>
      </w:r>
      <w:r>
        <w:rPr>
          <w:spacing w:val="17"/>
          <w:sz w:val="20"/>
        </w:rPr>
        <w:t> </w:t>
      </w:r>
      <w:r>
        <w:rPr>
          <w:sz w:val="20"/>
        </w:rPr>
        <w:t>Sumption)</w:t>
      </w:r>
      <w:r>
        <w:rPr>
          <w:spacing w:val="17"/>
          <w:sz w:val="20"/>
        </w:rPr>
        <w:t> </w:t>
      </w:r>
      <w:r>
        <w:rPr>
          <w:sz w:val="20"/>
        </w:rPr>
        <w:t>and</w:t>
      </w:r>
      <w:r>
        <w:rPr>
          <w:spacing w:val="17"/>
          <w:sz w:val="20"/>
        </w:rPr>
        <w:t> </w:t>
      </w:r>
      <w:r>
        <w:rPr>
          <w:sz w:val="20"/>
        </w:rPr>
        <w:t>[258]</w:t>
      </w:r>
      <w:r>
        <w:rPr>
          <w:spacing w:val="17"/>
          <w:sz w:val="20"/>
        </w:rPr>
        <w:t> </w:t>
      </w:r>
      <w:r>
        <w:rPr>
          <w:spacing w:val="-2"/>
          <w:sz w:val="20"/>
        </w:rPr>
        <w:t>(Lord</w:t>
      </w:r>
    </w:p>
    <w:p>
      <w:pPr>
        <w:pStyle w:val="BodyText"/>
        <w:spacing w:line="227" w:lineRule="exact"/>
        <w:ind w:left="705"/>
      </w:pPr>
      <w:r>
        <w:rPr>
          <w:spacing w:val="-2"/>
        </w:rPr>
        <w:t>Hodge).</w:t>
      </w:r>
    </w:p>
    <w:p>
      <w:pPr>
        <w:pStyle w:val="BodyText"/>
        <w:spacing w:before="12"/>
      </w:pPr>
    </w:p>
    <w:p>
      <w:pPr>
        <w:spacing w:line="137" w:lineRule="exact" w:before="0"/>
        <w:ind w:left="165" w:right="0" w:firstLine="0"/>
        <w:jc w:val="left"/>
        <w:rPr>
          <w:sz w:val="14"/>
        </w:rPr>
      </w:pPr>
      <w:bookmarkStart w:name="_bookmark2381" w:id="2383"/>
      <w:bookmarkEnd w:id="2383"/>
      <w:r>
        <w:rPr/>
      </w:r>
      <w:hyperlink w:history="true" w:anchor="_bookmark2355">
        <w:r>
          <w:rPr>
            <w:color w:val="005DA1"/>
            <w:spacing w:val="-2"/>
            <w:sz w:val="14"/>
            <w:u w:val="single" w:color="005DA1"/>
          </w:rPr>
          <w:t>1250</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64320">
            <wp:simplePos x="0" y="0"/>
            <wp:positionH relativeFrom="page">
              <wp:posOffset>1257846</wp:posOffset>
            </wp:positionH>
            <wp:positionV relativeFrom="paragraph">
              <wp:posOffset>12976</wp:posOffset>
            </wp:positionV>
            <wp:extent cx="107988" cy="107988"/>
            <wp:effectExtent l="0" t="0" r="0" b="0"/>
            <wp:wrapNone/>
            <wp:docPr id="1017" name="Image 1017"/>
            <wp:cNvGraphicFramePr>
              <a:graphicFrameLocks/>
            </wp:cNvGraphicFramePr>
            <a:graphic>
              <a:graphicData uri="http://schemas.openxmlformats.org/drawingml/2006/picture">
                <pic:pic>
                  <pic:nvPicPr>
                    <pic:cNvPr id="1017" name="Image 101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[1989] Q.B. </w:t>
      </w:r>
      <w:r>
        <w:rPr>
          <w:rFonts w:ascii="Arial"/>
          <w:i/>
          <w:spacing w:val="-4"/>
          <w:sz w:val="20"/>
        </w:rPr>
        <w:t>433</w:t>
      </w:r>
      <w:r>
        <w:rPr>
          <w:spacing w:val="-4"/>
          <w:sz w:val="20"/>
        </w:rPr>
        <w:t>.</w:t>
      </w:r>
    </w:p>
    <w:p>
      <w:pPr>
        <w:pStyle w:val="BodyText"/>
        <w:spacing w:before="12"/>
      </w:pPr>
    </w:p>
    <w:p>
      <w:pPr>
        <w:spacing w:line="137" w:lineRule="exact" w:before="0"/>
        <w:ind w:left="165" w:right="0" w:firstLine="0"/>
        <w:jc w:val="left"/>
        <w:rPr>
          <w:sz w:val="14"/>
        </w:rPr>
      </w:pPr>
      <w:bookmarkStart w:name="_bookmark2382" w:id="2384"/>
      <w:bookmarkEnd w:id="2384"/>
      <w:r>
        <w:rPr/>
      </w:r>
      <w:hyperlink w:history="true" w:anchor="_bookmark2356">
        <w:r>
          <w:rPr>
            <w:color w:val="005DA1"/>
            <w:spacing w:val="-2"/>
            <w:sz w:val="14"/>
            <w:u w:val="single" w:color="005DA1"/>
          </w:rPr>
          <w:t>1251</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64832">
            <wp:simplePos x="0" y="0"/>
            <wp:positionH relativeFrom="page">
              <wp:posOffset>1257846</wp:posOffset>
            </wp:positionH>
            <wp:positionV relativeFrom="paragraph">
              <wp:posOffset>13127</wp:posOffset>
            </wp:positionV>
            <wp:extent cx="107988" cy="107988"/>
            <wp:effectExtent l="0" t="0" r="0" b="0"/>
            <wp:wrapNone/>
            <wp:docPr id="1018" name="Image 1018"/>
            <wp:cNvGraphicFramePr>
              <a:graphicFrameLocks/>
            </wp:cNvGraphicFramePr>
            <a:graphic>
              <a:graphicData uri="http://schemas.openxmlformats.org/drawingml/2006/picture">
                <pic:pic>
                  <pic:nvPicPr>
                    <pic:cNvPr id="1018" name="Image 101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[1989]</w:t>
      </w:r>
      <w:r>
        <w:rPr>
          <w:rFonts w:ascii="Arial"/>
          <w:i/>
          <w:spacing w:val="1"/>
          <w:sz w:val="20"/>
        </w:rPr>
        <w:t> </w:t>
      </w:r>
      <w:r>
        <w:rPr>
          <w:rFonts w:ascii="Arial"/>
          <w:i/>
          <w:sz w:val="20"/>
        </w:rPr>
        <w:t>Q.B.</w:t>
      </w:r>
      <w:r>
        <w:rPr>
          <w:rFonts w:ascii="Arial"/>
          <w:i/>
          <w:spacing w:val="2"/>
          <w:sz w:val="20"/>
        </w:rPr>
        <w:t> </w:t>
      </w:r>
      <w:r>
        <w:rPr>
          <w:rFonts w:ascii="Arial"/>
          <w:i/>
          <w:sz w:val="20"/>
        </w:rPr>
        <w:t>433,</w:t>
      </w:r>
      <w:r>
        <w:rPr>
          <w:rFonts w:ascii="Arial"/>
          <w:i/>
          <w:spacing w:val="2"/>
          <w:sz w:val="20"/>
        </w:rPr>
        <w:t> </w:t>
      </w:r>
      <w:r>
        <w:rPr>
          <w:rFonts w:ascii="Arial"/>
          <w:i/>
          <w:sz w:val="20"/>
        </w:rPr>
        <w:t>439</w:t>
      </w:r>
      <w:r>
        <w:rPr>
          <w:sz w:val="20"/>
        </w:rPr>
        <w:t>.</w:t>
      </w:r>
      <w:r>
        <w:rPr>
          <w:spacing w:val="2"/>
          <w:sz w:val="20"/>
        </w:rPr>
        <w:t> </w:t>
      </w:r>
      <w:r>
        <w:rPr>
          <w:sz w:val="20"/>
        </w:rPr>
        <w:t>The</w:t>
      </w:r>
      <w:r>
        <w:rPr>
          <w:spacing w:val="2"/>
          <w:sz w:val="20"/>
        </w:rPr>
        <w:t> </w:t>
      </w:r>
      <w:r>
        <w:rPr>
          <w:sz w:val="20"/>
        </w:rPr>
        <w:t>decision</w:t>
      </w:r>
      <w:r>
        <w:rPr>
          <w:spacing w:val="2"/>
          <w:sz w:val="20"/>
        </w:rPr>
        <w:t> </w:t>
      </w:r>
      <w:r>
        <w:rPr>
          <w:sz w:val="20"/>
        </w:rPr>
        <w:t>rested</w:t>
      </w:r>
      <w:r>
        <w:rPr>
          <w:spacing w:val="2"/>
          <w:sz w:val="20"/>
        </w:rPr>
        <w:t> </w:t>
      </w:r>
      <w:r>
        <w:rPr>
          <w:sz w:val="20"/>
        </w:rPr>
        <w:t>on</w:t>
      </w:r>
      <w:r>
        <w:rPr>
          <w:spacing w:val="2"/>
          <w:sz w:val="20"/>
        </w:rPr>
        <w:t> </w:t>
      </w:r>
      <w:r>
        <w:rPr>
          <w:sz w:val="20"/>
        </w:rPr>
        <w:t>the</w:t>
      </w:r>
      <w:r>
        <w:rPr>
          <w:spacing w:val="2"/>
          <w:sz w:val="20"/>
        </w:rPr>
        <w:t> </w:t>
      </w:r>
      <w:r>
        <w:rPr>
          <w:sz w:val="20"/>
        </w:rPr>
        <w:t>ground</w:t>
      </w:r>
      <w:r>
        <w:rPr>
          <w:spacing w:val="2"/>
          <w:sz w:val="20"/>
        </w:rPr>
        <w:t> </w:t>
      </w:r>
      <w:r>
        <w:rPr>
          <w:sz w:val="20"/>
        </w:rPr>
        <w:t>that</w:t>
      </w:r>
      <w:r>
        <w:rPr>
          <w:spacing w:val="2"/>
          <w:sz w:val="20"/>
        </w:rPr>
        <w:t> </w:t>
      </w:r>
      <w:r>
        <w:rPr>
          <w:sz w:val="20"/>
        </w:rPr>
        <w:t>the</w:t>
      </w:r>
      <w:r>
        <w:rPr>
          <w:spacing w:val="2"/>
          <w:sz w:val="20"/>
        </w:rPr>
        <w:t> </w:t>
      </w:r>
      <w:r>
        <w:rPr>
          <w:sz w:val="20"/>
        </w:rPr>
        <w:t>clause</w:t>
      </w:r>
      <w:r>
        <w:rPr>
          <w:spacing w:val="2"/>
          <w:sz w:val="20"/>
        </w:rPr>
        <w:t> </w:t>
      </w:r>
      <w:r>
        <w:rPr>
          <w:sz w:val="20"/>
        </w:rPr>
        <w:t>was</w:t>
      </w:r>
      <w:r>
        <w:rPr>
          <w:spacing w:val="2"/>
          <w:sz w:val="20"/>
        </w:rPr>
        <w:t> </w:t>
      </w:r>
      <w:r>
        <w:rPr>
          <w:sz w:val="20"/>
        </w:rPr>
        <w:t>not</w:t>
      </w:r>
      <w:r>
        <w:rPr>
          <w:spacing w:val="2"/>
          <w:sz w:val="20"/>
        </w:rPr>
        <w:t> </w:t>
      </w:r>
      <w:r>
        <w:rPr>
          <w:spacing w:val="-2"/>
          <w:sz w:val="20"/>
        </w:rPr>
        <w:t>incorporated</w:t>
      </w:r>
    </w:p>
    <w:p>
      <w:pPr>
        <w:pStyle w:val="BodyText"/>
        <w:spacing w:line="227" w:lineRule="exact"/>
        <w:ind w:left="705"/>
      </w:pPr>
      <w:r>
        <w:rPr/>
        <w:t>into the contract: see Vol.I, para.13-</w:t>
      </w:r>
      <w:r>
        <w:rPr>
          <w:spacing w:val="-4"/>
        </w:rPr>
        <w:t>015.</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725"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11"/>
        </w:numPr>
        <w:tabs>
          <w:tab w:pos="3551" w:val="left" w:leader="none"/>
        </w:tabs>
        <w:spacing w:line="240" w:lineRule="auto" w:before="194" w:after="0"/>
        <w:ind w:left="3551" w:right="0" w:hanging="426"/>
        <w:jc w:val="left"/>
        <w:rPr>
          <w:b/>
          <w:sz w:val="24"/>
        </w:rPr>
      </w:pPr>
      <w:r>
        <w:rPr>
          <w:b/>
          <w:sz w:val="24"/>
        </w:rPr>
        <w:t>- “Primary </w:t>
      </w:r>
      <w:r>
        <w:rPr>
          <w:b/>
          <w:spacing w:val="-2"/>
          <w:sz w:val="24"/>
        </w:rPr>
        <w:t>Obligations”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Primary </w:t>
      </w:r>
      <w:r>
        <w:rPr>
          <w:rFonts w:ascii="Arial"/>
          <w:b/>
          <w:spacing w:val="-2"/>
          <w:sz w:val="18"/>
        </w:rPr>
        <w:t>obligations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216H</w:t>
      </w:r>
    </w:p>
    <w:p>
      <w:pPr>
        <w:pStyle w:val="BodyText"/>
        <w:spacing w:before="21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020" name="Image 1020"/>
            <wp:cNvGraphicFramePr>
              <a:graphicFrameLocks/>
            </wp:cNvGraphicFramePr>
            <a:graphic>
              <a:graphicData uri="http://schemas.openxmlformats.org/drawingml/2006/picture">
                <pic:pic>
                  <pic:nvPicPr>
                    <pic:cNvPr id="1020" name="Image 10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383" w:id="2385"/>
      <w:bookmarkEnd w:id="2385"/>
      <w:r>
        <w:rPr>
          <w:rFonts w:ascii="Times New Roman" w:hAnsi="Times New Roman"/>
          <w:spacing w:val="19"/>
        </w:rPr>
      </w:r>
      <w:r>
        <w:rPr/>
        <w:t>In </w:t>
      </w:r>
      <w:r>
        <w:rPr>
          <w:rFonts w:ascii="Arial" w:hAnsi="Arial"/>
          <w:i/>
        </w:rPr>
        <w:t>Cavendish Square Holding BV v Makdessi </w:t>
      </w:r>
      <w:hyperlink w:history="true" w:anchor="_bookmark2394">
        <w:r>
          <w:rPr>
            <w:color w:val="005DA1"/>
            <w:u w:val="single" w:color="005DA1"/>
            <w:vertAlign w:val="superscript"/>
          </w:rPr>
          <w:t>1252</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021" name="Image 1021"/>
              <wp:cNvGraphicFramePr>
                <a:graphicFrameLocks/>
              </wp:cNvGraphicFramePr>
              <a:graphic>
                <a:graphicData uri="http://schemas.openxmlformats.org/drawingml/2006/picture">
                  <pic:pic>
                    <pic:nvPicPr>
                      <pic:cNvPr id="1021" name="Image 10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28"/>
            <w:vertAlign w:val="baseline"/>
          </w:rPr>
          <w:t> </w:t>
        </w:r>
        <w:r>
          <w:rPr>
            <w:vertAlign w:val="baseline"/>
          </w:rPr>
          <w:t>Lords Neuberger and Sumption (with </w:t>
        </w:r>
        <w:r>
          <w:rPr>
            <w:vertAlign w:val="baseline"/>
          </w:rPr>
          <w:t>whom Lord Carnwath agreed) held that the clauses which provided that the seller of the business, if he was in breach of the non-competition covenants, would not receive the outstanding instalments of the price, and would require him to transfer further shares to the buyers at a much reduced value, were not subject to the penalty rules at all. Even if they were triggered by the seller’s breach, clause 5.1 bore no relation to damages; it represented the reduced price that the buyer was prepared to pay for </w:t>
        </w:r>
        <w:bookmarkStart w:name="_bookmark2384" w:id="2386"/>
        <w:bookmarkEnd w:id="2386"/>
        <w:r>
          <w:rPr>
            <w:vertAlign w:val="baseline"/>
          </w:rPr>
          <w:t>the</w:t>
        </w:r>
        <w:r>
          <w:rPr>
            <w:spacing w:val="36"/>
            <w:vertAlign w:val="baseline"/>
          </w:rPr>
          <w:t> </w:t>
        </w:r>
        <w:r>
          <w:rPr>
            <w:vertAlign w:val="baseline"/>
          </w:rPr>
          <w:t>business</w:t>
        </w:r>
        <w:r>
          <w:rPr>
            <w:spacing w:val="36"/>
            <w:vertAlign w:val="baseline"/>
          </w:rPr>
          <w:t> </w:t>
        </w:r>
        <w:r>
          <w:rPr>
            <w:vertAlign w:val="baseline"/>
          </w:rPr>
          <w:t>if</w:t>
        </w:r>
        <w:r>
          <w:rPr>
            <w:spacing w:val="36"/>
            <w:vertAlign w:val="baseline"/>
          </w:rPr>
          <w:t> </w:t>
        </w:r>
        <w:r>
          <w:rPr>
            <w:vertAlign w:val="baseline"/>
          </w:rPr>
          <w:t>it</w:t>
        </w:r>
        <w:r>
          <w:rPr>
            <w:spacing w:val="36"/>
            <w:vertAlign w:val="baseline"/>
          </w:rPr>
          <w:t> </w:t>
        </w:r>
        <w:r>
          <w:rPr>
            <w:vertAlign w:val="baseline"/>
          </w:rPr>
          <w:t>could</w:t>
        </w:r>
        <w:r>
          <w:rPr>
            <w:spacing w:val="36"/>
            <w:vertAlign w:val="baseline"/>
          </w:rPr>
          <w:t> </w:t>
        </w:r>
        <w:r>
          <w:rPr>
            <w:vertAlign w:val="baseline"/>
          </w:rPr>
          <w:t>not</w:t>
        </w:r>
        <w:r>
          <w:rPr>
            <w:spacing w:val="36"/>
            <w:vertAlign w:val="baseline"/>
          </w:rPr>
          <w:t> </w:t>
        </w:r>
        <w:r>
          <w:rPr>
            <w:vertAlign w:val="baseline"/>
          </w:rPr>
          <w:t>count</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loyalty</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seller,</w:t>
        </w:r>
        <w:r>
          <w:rPr>
            <w:spacing w:val="36"/>
            <w:vertAlign w:val="baseline"/>
          </w:rPr>
          <w:t> </w:t>
        </w:r>
        <w:r>
          <w:rPr>
            <w:vertAlign w:val="baseline"/>
          </w:rPr>
          <w:t>and</w:t>
        </w:r>
        <w:r>
          <w:rPr>
            <w:spacing w:val="36"/>
            <w:vertAlign w:val="baseline"/>
          </w:rPr>
          <w:t> </w:t>
        </w:r>
        <w:r>
          <w:rPr>
            <w:vertAlign w:val="baseline"/>
          </w:rPr>
          <w:t>so</w:t>
        </w:r>
        <w:r>
          <w:rPr>
            <w:spacing w:val="36"/>
            <w:vertAlign w:val="baseline"/>
          </w:rPr>
          <w:t> </w:t>
        </w:r>
        <w:r>
          <w:rPr>
            <w:vertAlign w:val="baseline"/>
          </w:rPr>
          <w:t>formed</w:t>
        </w:r>
        <w:r>
          <w:rPr>
            <w:spacing w:val="36"/>
            <w:vertAlign w:val="baseline"/>
          </w:rPr>
          <w:t> </w:t>
        </w:r>
        <w:r>
          <w:rPr>
            <w:vertAlign w:val="baseline"/>
          </w:rPr>
          <w:t>part</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spacing w:val="-2"/>
            <w:vertAlign w:val="baseline"/>
          </w:rPr>
          <w:t>“primary</w:t>
        </w:r>
      </w:hyperlink>
    </w:p>
    <w:p>
      <w:pPr>
        <w:pStyle w:val="BodyText"/>
        <w:spacing w:line="235" w:lineRule="auto" w:before="118"/>
        <w:ind w:left="165" w:right="167"/>
        <w:jc w:val="both"/>
      </w:pPr>
      <w:r>
        <w:rPr/>
        <w:t>obligations” of the parties. </w:t>
      </w:r>
      <w:hyperlink w:history="true" w:anchor="_bookmark2395">
        <w:r>
          <w:rPr>
            <w:color w:val="005DA1"/>
            <w:u w:val="single" w:color="005DA1"/>
            <w:vertAlign w:val="superscript"/>
          </w:rPr>
          <w:t>1253</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1022" name="Image 1022"/>
              <wp:cNvGraphicFramePr>
                <a:graphicFrameLocks/>
              </wp:cNvGraphicFramePr>
              <a:graphic>
                <a:graphicData uri="http://schemas.openxmlformats.org/drawingml/2006/picture">
                  <pic:pic>
                    <pic:nvPicPr>
                      <pic:cNvPr id="1022" name="Image 10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analysis of clause 5.6 was essentially similar: it represented</w:t>
        </w:r>
        <w:r>
          <w:rPr>
            <w:spacing w:val="40"/>
            <w:vertAlign w:val="baseline"/>
          </w:rPr>
          <w:t> </w:t>
        </w:r>
        <w:bookmarkStart w:name="_bookmark2385" w:id="2387"/>
        <w:bookmarkEnd w:id="2387"/>
        <w:r>
          <w:rPr>
            <w:vertAlign w:val="baseline"/>
          </w:rPr>
          <w:t>the</w:t>
        </w:r>
        <w:r>
          <w:rPr>
            <w:spacing w:val="20"/>
            <w:vertAlign w:val="baseline"/>
          </w:rPr>
          <w:t> </w:t>
        </w:r>
        <w:r>
          <w:rPr>
            <w:vertAlign w:val="baseline"/>
          </w:rPr>
          <w:t>reduced</w:t>
        </w:r>
        <w:r>
          <w:rPr>
            <w:spacing w:val="20"/>
            <w:vertAlign w:val="baseline"/>
          </w:rPr>
          <w:t> </w:t>
        </w:r>
        <w:r>
          <w:rPr>
            <w:vertAlign w:val="baseline"/>
          </w:rPr>
          <w:t>price</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purchaser</w:t>
        </w:r>
        <w:r>
          <w:rPr>
            <w:spacing w:val="20"/>
            <w:vertAlign w:val="baseline"/>
          </w:rPr>
          <w:t> </w:t>
        </w:r>
        <w:r>
          <w:rPr>
            <w:vertAlign w:val="baseline"/>
          </w:rPr>
          <w:t>was</w:t>
        </w:r>
        <w:r>
          <w:rPr>
            <w:spacing w:val="20"/>
            <w:vertAlign w:val="baseline"/>
          </w:rPr>
          <w:t> </w:t>
        </w:r>
        <w:r>
          <w:rPr>
            <w:vertAlign w:val="baseline"/>
          </w:rPr>
          <w:t>prepared</w:t>
        </w:r>
        <w:r>
          <w:rPr>
            <w:spacing w:val="20"/>
            <w:vertAlign w:val="baseline"/>
          </w:rPr>
          <w:t> </w:t>
        </w:r>
        <w:r>
          <w:rPr>
            <w:vertAlign w:val="baseline"/>
          </w:rPr>
          <w:t>to</w:t>
        </w:r>
        <w:r>
          <w:rPr>
            <w:spacing w:val="20"/>
            <w:vertAlign w:val="baseline"/>
          </w:rPr>
          <w:t> </w:t>
        </w:r>
        <w:r>
          <w:rPr>
            <w:vertAlign w:val="baseline"/>
          </w:rPr>
          <w:t>pay</w:t>
        </w:r>
        <w:r>
          <w:rPr>
            <w:spacing w:val="20"/>
            <w:vertAlign w:val="baseline"/>
          </w:rPr>
          <w:t> </w:t>
        </w:r>
        <w:r>
          <w:rPr>
            <w:vertAlign w:val="baseline"/>
          </w:rPr>
          <w:t>when</w:t>
        </w:r>
        <w:r>
          <w:rPr>
            <w:spacing w:val="20"/>
            <w:vertAlign w:val="baseline"/>
          </w:rPr>
          <w:t> </w:t>
        </w:r>
        <w:r>
          <w:rPr>
            <w:vertAlign w:val="baseline"/>
          </w:rPr>
          <w:t>it</w:t>
        </w:r>
        <w:r>
          <w:rPr>
            <w:spacing w:val="20"/>
            <w:vertAlign w:val="baseline"/>
          </w:rPr>
          <w:t> </w:t>
        </w:r>
        <w:r>
          <w:rPr>
            <w:vertAlign w:val="baseline"/>
          </w:rPr>
          <w:t>could</w:t>
        </w:r>
        <w:r>
          <w:rPr>
            <w:spacing w:val="20"/>
            <w:vertAlign w:val="baseline"/>
          </w:rPr>
          <w:t> </w:t>
        </w:r>
        <w:r>
          <w:rPr>
            <w:vertAlign w:val="baseline"/>
          </w:rPr>
          <w:t>not</w:t>
        </w:r>
        <w:r>
          <w:rPr>
            <w:spacing w:val="20"/>
            <w:vertAlign w:val="baseline"/>
          </w:rPr>
          <w:t> </w:t>
        </w:r>
        <w:r>
          <w:rPr>
            <w:vertAlign w:val="baseline"/>
          </w:rPr>
          <w:t>count</w:t>
        </w:r>
        <w:r>
          <w:rPr>
            <w:spacing w:val="20"/>
            <w:vertAlign w:val="baseline"/>
          </w:rPr>
          <w:t> </w:t>
        </w:r>
        <w:r>
          <w:rPr>
            <w:vertAlign w:val="baseline"/>
          </w:rPr>
          <w:t>on</w:t>
        </w:r>
        <w:r>
          <w:rPr>
            <w:spacing w:val="20"/>
            <w:vertAlign w:val="baseline"/>
          </w:rPr>
          <w:t> </w:t>
        </w:r>
        <w:r>
          <w:rPr>
            <w:vertAlign w:val="baseline"/>
          </w:rPr>
          <w:t>the</w:t>
        </w:r>
        <w:r>
          <w:rPr>
            <w:spacing w:val="20"/>
            <w:vertAlign w:val="baseline"/>
          </w:rPr>
          <w:t> </w:t>
        </w:r>
        <w:r>
          <w:rPr>
            <w:vertAlign w:val="baseline"/>
          </w:rPr>
          <w:t>loyalty</w:t>
        </w:r>
        <w:r>
          <w:rPr>
            <w:spacing w:val="20"/>
            <w:vertAlign w:val="baseline"/>
          </w:rPr>
          <w:t> </w:t>
        </w:r>
        <w:r>
          <w:rPr>
            <w:spacing w:val="-5"/>
            <w:vertAlign w:val="baseline"/>
          </w:rPr>
          <w:t>of</w:t>
        </w:r>
      </w:hyperlink>
    </w:p>
    <w:p>
      <w:pPr>
        <w:pStyle w:val="BodyText"/>
        <w:spacing w:line="340" w:lineRule="atLeast" w:before="5"/>
        <w:ind w:left="164" w:right="167"/>
        <w:jc w:val="both"/>
        <w:rPr>
          <w:position w:val="-2"/>
        </w:rPr>
      </w:pPr>
      <w:bookmarkStart w:name="_bookmark2386" w:id="2388"/>
      <w:bookmarkEnd w:id="2388"/>
      <w:r>
        <w:rPr/>
      </w:r>
      <w:r>
        <w:rPr/>
        <w:t>Makdessi. </w:t>
      </w:r>
      <w:hyperlink w:history="true" w:anchor="_bookmark2396">
        <w:r>
          <w:rPr>
            <w:color w:val="005DA1"/>
            <w:u w:val="single" w:color="005DA1"/>
            <w:vertAlign w:val="superscript"/>
          </w:rPr>
          <w:t>1254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023" name="Image 1023"/>
              <wp:cNvGraphicFramePr>
                <a:graphicFrameLocks/>
              </wp:cNvGraphicFramePr>
              <a:graphic>
                <a:graphicData uri="http://schemas.openxmlformats.org/drawingml/2006/picture">
                  <pic:pic>
                    <pic:nvPicPr>
                      <pic:cNvPr id="1023" name="Image 10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law places controls over only the parties’ secondary obligations, not </w:t>
        </w:r>
        <w:r>
          <w:rPr>
            <w:vertAlign w:val="baseline"/>
          </w:rPr>
          <w:t>their </w:t>
        </w:r>
        <w:bookmarkStart w:name="_bookmark2387" w:id="2389"/>
        <w:bookmarkEnd w:id="2389"/>
        <w:r>
          <w:rPr>
            <w:vertAlign w:val="baseline"/>
          </w:rPr>
          <w:t>primary</w:t>
        </w:r>
        <w:r>
          <w:rPr>
            <w:vertAlign w:val="baseline"/>
          </w:rPr>
          <w:t> obligations, </w:t>
        </w:r>
        <w:hyperlink w:history="true" w:anchor="_bookmark2397">
          <w:r>
            <w:rPr>
              <w:color w:val="005DA1"/>
              <w:u w:val="single" w:color="005DA1"/>
              <w:vertAlign w:val="superscript"/>
            </w:rPr>
            <w:t>1255</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024" name="Image 1024"/>
                <wp:cNvGraphicFramePr>
                  <a:graphicFrameLocks/>
                </wp:cNvGraphicFramePr>
                <a:graphic>
                  <a:graphicData uri="http://schemas.openxmlformats.org/drawingml/2006/picture">
                    <pic:pic>
                      <pic:nvPicPr>
                        <pic:cNvPr id="1024" name="Image 10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and both clauses belong among the primary obligations, even if the </w:t>
          </w:r>
          <w:bookmarkStart w:name="_bookmark2388" w:id="2390"/>
          <w:bookmarkEnd w:id="2390"/>
          <w:r>
            <w:rPr>
              <w:vertAlign w:val="baseline"/>
            </w:rPr>
            <w:t>occasion</w:t>
          </w:r>
          <w:r>
            <w:rPr>
              <w:vertAlign w:val="baseline"/>
            </w:rPr>
            <w:t> of their operation was a breach of contract. </w:t>
          </w:r>
          <w:hyperlink w:history="true" w:anchor="_bookmark2398">
            <w:r>
              <w:rPr>
                <w:color w:val="005DA1"/>
                <w:u w:val="single" w:color="005DA1"/>
                <w:vertAlign w:val="superscript"/>
              </w:rPr>
              <w:t>1256</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025" name="Image 1025"/>
                  <wp:cNvGraphicFramePr>
                    <a:graphicFrameLocks/>
                  </wp:cNvGraphicFramePr>
                  <a:graphic>
                    <a:graphicData uri="http://schemas.openxmlformats.org/drawingml/2006/picture">
                      <pic:pic>
                        <pic:nvPicPr>
                          <pic:cNvPr id="1025" name="Image 10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In any event, both clauses were justified by the same</w:t>
            </w:r>
            <w:r>
              <w:rPr>
                <w:spacing w:val="1"/>
                <w:vertAlign w:val="baseline"/>
              </w:rPr>
              <w:t> </w:t>
            </w:r>
            <w:r>
              <w:rPr>
                <w:vertAlign w:val="baseline"/>
              </w:rPr>
              <w:t>legitimate interest in</w:t>
            </w:r>
            <w:r>
              <w:rPr>
                <w:spacing w:val="1"/>
                <w:vertAlign w:val="baseline"/>
              </w:rPr>
              <w:t> </w:t>
            </w:r>
            <w:r>
              <w:rPr>
                <w:vertAlign w:val="baseline"/>
              </w:rPr>
              <w:t>matching the price</w:t>
            </w:r>
            <w:r>
              <w:rPr>
                <w:spacing w:val="1"/>
                <w:vertAlign w:val="baseline"/>
              </w:rPr>
              <w:t> </w:t>
            </w:r>
            <w:r>
              <w:rPr>
                <w:vertAlign w:val="baseline"/>
              </w:rPr>
              <w:t>to the value</w:t>
            </w:r>
            <w:r>
              <w:rPr>
                <w:spacing w:val="1"/>
                <w:vertAlign w:val="baseline"/>
              </w:rPr>
              <w:t> </w:t>
            </w:r>
            <w:r>
              <w:rPr>
                <w:vertAlign w:val="baseline"/>
              </w:rPr>
              <w:t>that the seller</w:t>
            </w:r>
            <w:r>
              <w:rPr>
                <w:spacing w:val="1"/>
                <w:vertAlign w:val="baseline"/>
              </w:rPr>
              <w:t> </w:t>
            </w:r>
            <w:r>
              <w:rPr>
                <w:vertAlign w:val="baseline"/>
              </w:rPr>
              <w:t>was providing.</w:t>
            </w:r>
            <w:r>
              <w:rPr>
                <w:spacing w:val="-1"/>
                <w:vertAlign w:val="baseline"/>
              </w:rPr>
              <w:t> </w:t>
            </w:r>
            <w:hyperlink w:history="true" w:anchor="_bookmark2399">
              <w:r>
                <w:rPr>
                  <w:color w:val="005DA1"/>
                  <w:u w:val="single" w:color="005DA1"/>
                  <w:vertAlign w:val="superscript"/>
                </w:rPr>
                <w:t>1257</w:t>
              </w:r>
              <w:r>
                <w:rPr>
                  <w:color w:val="005DA1"/>
                  <w:spacing w:val="74"/>
                  <w:w w:val="150"/>
                  <w:vertAlign w:val="baseline"/>
                </w:rPr>
                <w:t> </w:t>
              </w:r>
              <w:r>
                <w:rPr>
                  <w:color w:val="005DA1"/>
                  <w:spacing w:val="9"/>
                  <w:position w:val="-2"/>
                  <w:vertAlign w:val="baseline"/>
                </w:rPr>
                <w:drawing>
                  <wp:inline distT="0" distB="0" distL="0" distR="0">
                    <wp:extent cx="107988" cy="107988"/>
                    <wp:effectExtent l="0" t="0" r="0" b="0"/>
                    <wp:docPr id="1026" name="Image 1026"/>
                    <wp:cNvGraphicFramePr>
                      <a:graphicFrameLocks/>
                    </wp:cNvGraphicFramePr>
                    <a:graphic>
                      <a:graphicData uri="http://schemas.openxmlformats.org/drawingml/2006/picture">
                        <pic:pic>
                          <pic:nvPicPr>
                            <pic:cNvPr id="1026" name="Image 10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hyperlink>
          </w:hyperlink>
        </w:hyperlink>
      </w:hyperlink>
    </w:p>
    <w:p>
      <w:pPr>
        <w:pStyle w:val="BodyText"/>
        <w:spacing w:line="235" w:lineRule="auto" w:before="14"/>
        <w:ind w:left="165" w:right="167"/>
        <w:jc w:val="both"/>
      </w:pPr>
      <w:r>
        <w:rPr/>
        <w:t>Unlike an agreed damages clause, if the clauses did not stand there is no scale by which the court </w:t>
      </w:r>
      <w:bookmarkStart w:name="_bookmark2389" w:id="2391"/>
      <w:bookmarkEnd w:id="2391"/>
      <w:r>
        <w:rPr/>
        <w:t>could</w:t>
      </w:r>
      <w:r>
        <w:rPr>
          <w:spacing w:val="34"/>
        </w:rPr>
        <w:t> </w:t>
      </w:r>
      <w:r>
        <w:rPr/>
        <w:t>make</w:t>
      </w:r>
      <w:r>
        <w:rPr>
          <w:spacing w:val="34"/>
        </w:rPr>
        <w:t> </w:t>
      </w:r>
      <w:r>
        <w:rPr/>
        <w:t>an</w:t>
      </w:r>
      <w:r>
        <w:rPr>
          <w:spacing w:val="34"/>
        </w:rPr>
        <w:t> </w:t>
      </w:r>
      <w:r>
        <w:rPr/>
        <w:t>award.</w:t>
      </w:r>
      <w:r>
        <w:rPr>
          <w:spacing w:val="34"/>
        </w:rPr>
        <w:t> </w:t>
      </w:r>
      <w:r>
        <w:rPr/>
        <w:t>The</w:t>
      </w:r>
      <w:r>
        <w:rPr>
          <w:spacing w:val="34"/>
        </w:rPr>
        <w:t> </w:t>
      </w:r>
      <w:r>
        <w:rPr/>
        <w:t>other</w:t>
      </w:r>
      <w:r>
        <w:rPr>
          <w:spacing w:val="34"/>
        </w:rPr>
        <w:t> </w:t>
      </w:r>
      <w:r>
        <w:rPr/>
        <w:t>members</w:t>
      </w:r>
      <w:r>
        <w:rPr>
          <w:spacing w:val="34"/>
        </w:rPr>
        <w:t> </w:t>
      </w:r>
      <w:r>
        <w:rPr/>
        <w:t>of</w:t>
      </w:r>
      <w:r>
        <w:rPr>
          <w:spacing w:val="34"/>
        </w:rPr>
        <w:t> </w:t>
      </w:r>
      <w:r>
        <w:rPr/>
        <w:t>the</w:t>
      </w:r>
      <w:r>
        <w:rPr>
          <w:spacing w:val="34"/>
        </w:rPr>
        <w:t> </w:t>
      </w:r>
      <w:r>
        <w:rPr/>
        <w:t>Supreme</w:t>
      </w:r>
      <w:r>
        <w:rPr>
          <w:spacing w:val="34"/>
        </w:rPr>
        <w:t> </w:t>
      </w:r>
      <w:r>
        <w:rPr/>
        <w:t>Court</w:t>
      </w:r>
      <w:r>
        <w:rPr>
          <w:spacing w:val="34"/>
        </w:rPr>
        <w:t> </w:t>
      </w:r>
      <w:r>
        <w:rPr/>
        <w:t>either</w:t>
      </w:r>
      <w:r>
        <w:rPr>
          <w:spacing w:val="34"/>
        </w:rPr>
        <w:t> </w:t>
      </w:r>
      <w:r>
        <w:rPr/>
        <w:t>decided</w:t>
      </w:r>
      <w:r>
        <w:rPr>
          <w:spacing w:val="34"/>
        </w:rPr>
        <w:t> </w:t>
      </w:r>
      <w:r>
        <w:rPr/>
        <w:t>the</w:t>
      </w:r>
      <w:r>
        <w:rPr>
          <w:spacing w:val="34"/>
        </w:rPr>
        <w:t> </w:t>
      </w:r>
      <w:r>
        <w:rPr/>
        <w:t>case</w:t>
      </w:r>
      <w:r>
        <w:rPr>
          <w:spacing w:val="34"/>
        </w:rPr>
        <w:t> </w:t>
      </w:r>
      <w:r>
        <w:rPr/>
        <w:t>on</w:t>
      </w:r>
      <w:r>
        <w:rPr>
          <w:spacing w:val="34"/>
        </w:rPr>
        <w:t> </w:t>
      </w:r>
      <w:r>
        <w:rPr>
          <w:spacing w:val="-5"/>
        </w:rPr>
        <w:t>the</w:t>
      </w:r>
    </w:p>
    <w:p>
      <w:pPr>
        <w:pStyle w:val="BodyText"/>
        <w:spacing w:before="115"/>
        <w:ind w:left="165"/>
        <w:jc w:val="both"/>
        <w:rPr>
          <w:position w:val="-2"/>
        </w:rPr>
      </w:pPr>
      <w:bookmarkStart w:name="_bookmark2390" w:id="2392"/>
      <w:bookmarkEnd w:id="2392"/>
      <w:r>
        <w:rPr/>
      </w:r>
      <w:r>
        <w:rPr/>
        <w:t>ground</w:t>
      </w:r>
      <w:r>
        <w:rPr>
          <w:spacing w:val="29"/>
        </w:rPr>
        <w:t> </w:t>
      </w:r>
      <w:r>
        <w:rPr/>
        <w:t>that</w:t>
      </w:r>
      <w:r>
        <w:rPr>
          <w:spacing w:val="29"/>
        </w:rPr>
        <w:t> </w:t>
      </w:r>
      <w:r>
        <w:rPr/>
        <w:t>the</w:t>
      </w:r>
      <w:r>
        <w:rPr>
          <w:spacing w:val="29"/>
        </w:rPr>
        <w:t> </w:t>
      </w:r>
      <w:r>
        <w:rPr/>
        <w:t>clauses</w:t>
      </w:r>
      <w:r>
        <w:rPr>
          <w:spacing w:val="29"/>
        </w:rPr>
        <w:t> </w:t>
      </w:r>
      <w:r>
        <w:rPr/>
        <w:t>did</w:t>
      </w:r>
      <w:r>
        <w:rPr>
          <w:spacing w:val="29"/>
        </w:rPr>
        <w:t> </w:t>
      </w:r>
      <w:r>
        <w:rPr/>
        <w:t>not</w:t>
      </w:r>
      <w:r>
        <w:rPr>
          <w:spacing w:val="29"/>
        </w:rPr>
        <w:t> </w:t>
      </w:r>
      <w:r>
        <w:rPr/>
        <w:t>amount</w:t>
      </w:r>
      <w:r>
        <w:rPr>
          <w:spacing w:val="29"/>
        </w:rPr>
        <w:t> </w:t>
      </w:r>
      <w:r>
        <w:rPr/>
        <w:t>to</w:t>
      </w:r>
      <w:r>
        <w:rPr>
          <w:spacing w:val="29"/>
        </w:rPr>
        <w:t> </w:t>
      </w:r>
      <w:r>
        <w:rPr/>
        <w:t>penalties</w:t>
      </w:r>
      <w:r>
        <w:rPr>
          <w:spacing w:val="29"/>
        </w:rPr>
        <w:t> </w:t>
      </w:r>
      <w:r>
        <w:rPr/>
        <w:t>or</w:t>
      </w:r>
      <w:r>
        <w:rPr>
          <w:spacing w:val="29"/>
        </w:rPr>
        <w:t> </w:t>
      </w:r>
      <w:r>
        <w:rPr/>
        <w:t>preferred</w:t>
      </w:r>
      <w:r>
        <w:rPr>
          <w:spacing w:val="29"/>
        </w:rPr>
        <w:t> </w:t>
      </w:r>
      <w:r>
        <w:rPr/>
        <w:t>to</w:t>
      </w:r>
      <w:r>
        <w:rPr>
          <w:spacing w:val="29"/>
        </w:rPr>
        <w:t> </w:t>
      </w:r>
      <w:r>
        <w:rPr/>
        <w:t>leave</w:t>
      </w:r>
      <w:r>
        <w:rPr>
          <w:spacing w:val="29"/>
        </w:rPr>
        <w:t> </w:t>
      </w:r>
      <w:r>
        <w:rPr/>
        <w:t>the</w:t>
      </w:r>
      <w:r>
        <w:rPr>
          <w:spacing w:val="29"/>
        </w:rPr>
        <w:t> </w:t>
      </w:r>
      <w:r>
        <w:rPr/>
        <w:t>matter</w:t>
      </w:r>
      <w:r>
        <w:rPr>
          <w:spacing w:val="29"/>
        </w:rPr>
        <w:t> </w:t>
      </w:r>
      <w:r>
        <w:rPr/>
        <w:t>open.</w:t>
      </w:r>
      <w:r>
        <w:rPr>
          <w:spacing w:val="28"/>
        </w:rPr>
        <w:t> </w:t>
      </w:r>
      <w:hyperlink w:history="true" w:anchor="_bookmark2400">
        <w:r>
          <w:rPr>
            <w:color w:val="005DA1"/>
            <w:u w:val="single" w:color="005DA1"/>
            <w:vertAlign w:val="superscript"/>
          </w:rPr>
          <w:t>1258</w:t>
        </w:r>
        <w:r>
          <w:rPr>
            <w:color w:val="005DA1"/>
            <w:spacing w:val="72"/>
            <w:vertAlign w:val="baseline"/>
          </w:rPr>
          <w:t>  </w:t>
        </w:r>
        <w:r>
          <w:rPr>
            <w:color w:val="005DA1"/>
            <w:spacing w:val="15"/>
            <w:position w:val="-2"/>
            <w:vertAlign w:val="baseline"/>
          </w:rPr>
          <w:drawing>
            <wp:inline distT="0" distB="0" distL="0" distR="0">
              <wp:extent cx="107988" cy="107988"/>
              <wp:effectExtent l="0" t="0" r="0" b="0"/>
              <wp:docPr id="1027" name="Image 1027"/>
              <wp:cNvGraphicFramePr>
                <a:graphicFrameLocks/>
              </wp:cNvGraphicFramePr>
              <a:graphic>
                <a:graphicData uri="http://schemas.openxmlformats.org/drawingml/2006/picture">
                  <pic:pic>
                    <pic:nvPicPr>
                      <pic:cNvPr id="1027" name="Image 10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hyperlink>
    </w:p>
    <w:p>
      <w:pPr>
        <w:pStyle w:val="BodyText"/>
        <w:spacing w:line="235" w:lineRule="auto" w:before="119"/>
        <w:ind w:left="165" w:right="167"/>
        <w:jc w:val="both"/>
      </w:pPr>
      <w:r>
        <w:rPr/>
        <w:t>With respect, it is unclear how a payment (or other obligation that is within the doctrine</w:t>
      </w:r>
      <w:r>
        <w:rPr>
          <w:spacing w:val="-1"/>
        </w:rPr>
        <w:t> </w:t>
      </w:r>
      <w:hyperlink w:history="true" w:anchor="_bookmark2401">
        <w:r>
          <w:rPr>
            <w:color w:val="005DA1"/>
            <w:u w:val="single" w:color="005DA1"/>
            <w:vertAlign w:val="superscript"/>
          </w:rPr>
          <w:t>1259</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028" name="Image 1028"/>
              <wp:cNvGraphicFramePr>
                <a:graphicFrameLocks/>
              </wp:cNvGraphicFramePr>
              <a:graphic>
                <a:graphicData uri="http://schemas.openxmlformats.org/drawingml/2006/picture">
                  <pic:pic>
                    <pic:nvPicPr>
                      <pic:cNvPr id="1028" name="Image 10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vertAlign w:val="baseline"/>
          </w:rPr>
          <w:t>) that is “triggered” by a breach of contract by the defendant but which is a primary obligation is to is to be distinguished from an agreed damages clause. The fact that the clause is in the form of a price reduction seems to emphasise form over substance; and while it is true that ex ante there is no alternative scale by which the court could fix appropriate prices, when an agreed damages clause </w:t>
        </w:r>
        <w:r>
          <w:rPr>
            <w:vertAlign w:val="baseline"/>
          </w:rPr>
          <w:t>is held to be unenforceable the court makes an ex post assessment of the actual loss suffered by the claimant. It seems that a court could equally assess damages in terms of the reduction in value in the shares caused by a breach by the seller of a non-competition covenant, and the valuation could include an element for the risk that the seller who had been disloyal once may be disloyal again.</w:t>
        </w:r>
      </w:hyperlink>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“Core” obligations rather than primary </w:t>
      </w:r>
      <w:r>
        <w:rPr>
          <w:rFonts w:ascii="Arial" w:hAnsi="Arial"/>
          <w:b/>
          <w:spacing w:val="-2"/>
          <w:sz w:val="18"/>
        </w:rPr>
        <w:t>obligations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216I</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1029" name="Image 1029"/>
            <wp:cNvGraphicFramePr>
              <a:graphicFrameLocks/>
            </wp:cNvGraphicFramePr>
            <a:graphic>
              <a:graphicData uri="http://schemas.openxmlformats.org/drawingml/2006/picture">
                <pic:pic>
                  <pic:nvPicPr>
                    <pic:cNvPr id="1029" name="Image 10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3"/>
        </w:rPr>
        <w:t> </w:t>
      </w:r>
      <w:r>
        <w:rPr/>
        <w:t>One</w:t>
      </w:r>
      <w:r>
        <w:rPr>
          <w:spacing w:val="27"/>
        </w:rPr>
        <w:t> </w:t>
      </w:r>
      <w:r>
        <w:rPr/>
        <w:t>can</w:t>
      </w:r>
      <w:r>
        <w:rPr>
          <w:spacing w:val="27"/>
        </w:rPr>
        <w:t> </w:t>
      </w:r>
      <w:r>
        <w:rPr/>
        <w:t>understand</w:t>
      </w:r>
      <w:r>
        <w:rPr>
          <w:spacing w:val="27"/>
        </w:rPr>
        <w:t> </w:t>
      </w:r>
      <w:r>
        <w:rPr/>
        <w:t>the</w:t>
      </w:r>
      <w:r>
        <w:rPr>
          <w:spacing w:val="27"/>
        </w:rPr>
        <w:t> </w:t>
      </w:r>
      <w:r>
        <w:rPr/>
        <w:t>reluctance</w:t>
      </w:r>
      <w:r>
        <w:rPr>
          <w:spacing w:val="27"/>
        </w:rPr>
        <w:t> </w:t>
      </w:r>
      <w:r>
        <w:rPr/>
        <w:t>of</w:t>
      </w:r>
      <w:r>
        <w:rPr>
          <w:spacing w:val="27"/>
        </w:rPr>
        <w:t> </w:t>
      </w:r>
      <w:r>
        <w:rPr/>
        <w:t>judges</w:t>
      </w:r>
      <w:r>
        <w:rPr>
          <w:spacing w:val="27"/>
        </w:rPr>
        <w:t> </w:t>
      </w:r>
      <w:r>
        <w:rPr/>
        <w:t>to</w:t>
      </w:r>
      <w:r>
        <w:rPr>
          <w:spacing w:val="27"/>
        </w:rPr>
        <w:t> </w:t>
      </w:r>
      <w:r>
        <w:rPr/>
        <w:t>relieve</w:t>
      </w:r>
      <w:r>
        <w:rPr>
          <w:spacing w:val="27"/>
        </w:rPr>
        <w:t> </w:t>
      </w:r>
      <w:r>
        <w:rPr/>
        <w:t>a</w:t>
      </w:r>
      <w:r>
        <w:rPr>
          <w:spacing w:val="27"/>
        </w:rPr>
        <w:t> </w:t>
      </w:r>
      <w:r>
        <w:rPr/>
        <w:t>party</w:t>
      </w:r>
      <w:r>
        <w:rPr>
          <w:spacing w:val="27"/>
        </w:rPr>
        <w:t> </w:t>
      </w:r>
      <w:r>
        <w:rPr/>
        <w:t>from</w:t>
      </w:r>
      <w:r>
        <w:rPr>
          <w:spacing w:val="27"/>
        </w:rPr>
        <w:t> </w:t>
      </w:r>
      <w:r>
        <w:rPr/>
        <w:t>an</w:t>
      </w:r>
      <w:r>
        <w:rPr>
          <w:spacing w:val="27"/>
        </w:rPr>
        <w:t> </w:t>
      </w:r>
      <w:r>
        <w:rPr/>
        <w:t>obligation,</w:t>
      </w:r>
      <w:r>
        <w:rPr>
          <w:spacing w:val="27"/>
        </w:rPr>
        <w:t> </w:t>
      </w:r>
      <w:r>
        <w:rPr/>
        <w:t>whether</w:t>
      </w:r>
      <w:r>
        <w:rPr>
          <w:spacing w:val="27"/>
        </w:rPr>
        <w:t> </w:t>
      </w:r>
      <w:r>
        <w:rPr/>
        <w:t>it</w:t>
      </w:r>
      <w:r>
        <w:rPr>
          <w:spacing w:val="27"/>
        </w:rPr>
        <w:t> </w:t>
      </w:r>
      <w:r>
        <w:rPr/>
        <w:t>is</w:t>
      </w:r>
    </w:p>
    <w:p>
      <w:pPr>
        <w:pStyle w:val="BodyText"/>
        <w:spacing w:after="0"/>
        <w:sectPr>
          <w:headerReference w:type="default" r:id="rId55"/>
          <w:pgSz w:w="11900" w:h="16840"/>
          <w:pgMar w:header="971" w:footer="0" w:top="1300" w:bottom="280" w:left="1275" w:right="1275"/>
          <w:pgNumType w:start="1"/>
        </w:sectPr>
      </w:pPr>
    </w:p>
    <w:p>
      <w:pPr>
        <w:pStyle w:val="BodyText"/>
        <w:spacing w:line="235" w:lineRule="auto" w:before="110"/>
        <w:ind w:left="165" w:right="167"/>
        <w:jc w:val="both"/>
      </w:pPr>
      <w:r>
        <w:rPr/>
        <w:t>correctly analysed as primary or secondary, that was negotiated with the assistance of experts and presumably agreed to in full knowledge of its possible implications, especially one that must </w:t>
      </w:r>
      <w:r>
        <w:rPr/>
        <w:t>have been seen as a central element of the agreement. Possibly a more useful distinction might be based </w:t>
      </w:r>
      <w:bookmarkStart w:name="_bookmark2391" w:id="2393"/>
      <w:bookmarkEnd w:id="2393"/>
      <w:r>
        <w:rPr/>
        <w:t>on</w:t>
      </w:r>
      <w:r>
        <w:rPr>
          <w:spacing w:val="8"/>
        </w:rPr>
        <w:t> </w:t>
      </w:r>
      <w:r>
        <w:rPr/>
        <w:t>an</w:t>
      </w:r>
      <w:r>
        <w:rPr>
          <w:spacing w:val="8"/>
        </w:rPr>
        <w:t> </w:t>
      </w:r>
      <w:r>
        <w:rPr/>
        <w:t>approach</w:t>
      </w:r>
      <w:r>
        <w:rPr>
          <w:spacing w:val="8"/>
        </w:rPr>
        <w:t> </w:t>
      </w:r>
      <w:r>
        <w:rPr/>
        <w:t>suggested</w:t>
      </w:r>
      <w:r>
        <w:rPr>
          <w:spacing w:val="8"/>
        </w:rPr>
        <w:t> </w:t>
      </w:r>
      <w:r>
        <w:rPr/>
        <w:t>by</w:t>
      </w:r>
      <w:r>
        <w:rPr>
          <w:spacing w:val="8"/>
        </w:rPr>
        <w:t> </w:t>
      </w:r>
      <w:r>
        <w:rPr/>
        <w:t>Lord</w:t>
      </w:r>
      <w:r>
        <w:rPr>
          <w:spacing w:val="8"/>
        </w:rPr>
        <w:t> </w:t>
      </w:r>
      <w:r>
        <w:rPr/>
        <w:t>Toulson</w:t>
      </w:r>
      <w:r>
        <w:rPr>
          <w:spacing w:val="8"/>
        </w:rPr>
        <w:t> </w:t>
      </w:r>
      <w:r>
        <w:rPr/>
        <w:t>during</w:t>
      </w:r>
      <w:r>
        <w:rPr>
          <w:spacing w:val="8"/>
        </w:rPr>
        <w:t> </w:t>
      </w:r>
      <w:r>
        <w:rPr/>
        <w:t>argument,</w:t>
      </w:r>
      <w:r>
        <w:rPr>
          <w:spacing w:val="8"/>
        </w:rPr>
        <w:t> </w:t>
      </w:r>
      <w:r>
        <w:rPr/>
        <w:t>as</w:t>
      </w:r>
      <w:r>
        <w:rPr>
          <w:spacing w:val="8"/>
        </w:rPr>
        <w:t> </w:t>
      </w:r>
      <w:r>
        <w:rPr/>
        <w:t>a</w:t>
      </w:r>
      <w:r>
        <w:rPr>
          <w:spacing w:val="8"/>
        </w:rPr>
        <w:t> </w:t>
      </w:r>
      <w:r>
        <w:rPr/>
        <w:t>possible</w:t>
      </w:r>
      <w:r>
        <w:rPr>
          <w:spacing w:val="8"/>
        </w:rPr>
        <w:t> </w:t>
      </w:r>
      <w:r>
        <w:rPr/>
        <w:t>substitute</w:t>
      </w:r>
      <w:r>
        <w:rPr>
          <w:spacing w:val="8"/>
        </w:rPr>
        <w:t> </w:t>
      </w:r>
      <w:r>
        <w:rPr/>
        <w:t>for</w:t>
      </w:r>
      <w:r>
        <w:rPr>
          <w:spacing w:val="8"/>
        </w:rPr>
        <w:t> </w:t>
      </w:r>
      <w:r>
        <w:rPr/>
        <w:t>the</w:t>
      </w:r>
      <w:r>
        <w:rPr>
          <w:spacing w:val="8"/>
        </w:rPr>
        <w:t> </w:t>
      </w:r>
      <w:r>
        <w:rPr>
          <w:spacing w:val="-2"/>
        </w:rPr>
        <w:t>penalty</w:t>
      </w:r>
    </w:p>
    <w:p>
      <w:pPr>
        <w:pStyle w:val="BodyText"/>
        <w:spacing w:line="360" w:lineRule="auto" w:before="115"/>
        <w:ind w:left="165" w:right="167"/>
        <w:jc w:val="both"/>
      </w:pPr>
      <w:bookmarkStart w:name="_bookmark2392" w:id="2394"/>
      <w:bookmarkEnd w:id="2394"/>
      <w:r>
        <w:rPr/>
      </w:r>
      <w:r>
        <w:rPr/>
        <w:t>clause doctrine (which the Court had been invited to abandon </w:t>
      </w:r>
      <w:hyperlink w:history="true" w:anchor="_bookmark2402">
        <w:r>
          <w:rPr>
            <w:color w:val="005DA1"/>
            <w:u w:val="single" w:color="005DA1"/>
            <w:vertAlign w:val="superscript"/>
          </w:rPr>
          <w:t>1260</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030" name="Image 1030"/>
              <wp:cNvGraphicFramePr>
                <a:graphicFrameLocks/>
              </wp:cNvGraphicFramePr>
              <a:graphic>
                <a:graphicData uri="http://schemas.openxmlformats.org/drawingml/2006/picture">
                  <pic:pic>
                    <pic:nvPicPr>
                      <pic:cNvPr id="1030" name="Image 10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vertAlign w:val="baseline"/>
          </w:rPr>
          <w:t>). This was to borrow from the </w:t>
        </w:r>
        <w:bookmarkStart w:name="_bookmark2393" w:id="2395"/>
        <w:bookmarkEnd w:id="2395"/>
        <w:r>
          <w:rPr>
            <w:vertAlign w:val="baseline"/>
          </w:rPr>
          <w:t>Directive</w:t>
        </w:r>
        <w:r>
          <w:rPr>
            <w:spacing w:val="8"/>
            <w:vertAlign w:val="baseline"/>
          </w:rPr>
          <w:t> </w:t>
        </w:r>
        <w:r>
          <w:rPr>
            <w:vertAlign w:val="baseline"/>
          </w:rPr>
          <w:t>on</w:t>
        </w:r>
        <w:r>
          <w:rPr>
            <w:spacing w:val="9"/>
            <w:vertAlign w:val="baseline"/>
          </w:rPr>
          <w:t> </w:t>
        </w:r>
        <w:r>
          <w:rPr>
            <w:vertAlign w:val="baseline"/>
          </w:rPr>
          <w:t>Unfair</w:t>
        </w:r>
        <w:r>
          <w:rPr>
            <w:spacing w:val="9"/>
            <w:vertAlign w:val="baseline"/>
          </w:rPr>
          <w:t> </w:t>
        </w:r>
        <w:r>
          <w:rPr>
            <w:vertAlign w:val="baseline"/>
          </w:rPr>
          <w:t>Terms</w:t>
        </w:r>
        <w:r>
          <w:rPr>
            <w:spacing w:val="8"/>
            <w:vertAlign w:val="baseline"/>
          </w:rPr>
          <w:t> </w:t>
        </w:r>
        <w:r>
          <w:rPr>
            <w:vertAlign w:val="baseline"/>
          </w:rPr>
          <w:t>in</w:t>
        </w:r>
        <w:r>
          <w:rPr>
            <w:spacing w:val="9"/>
            <w:vertAlign w:val="baseline"/>
          </w:rPr>
          <w:t> </w:t>
        </w:r>
        <w:r>
          <w:rPr>
            <w:vertAlign w:val="baseline"/>
          </w:rPr>
          <w:t>Consumer</w:t>
        </w:r>
        <w:r>
          <w:rPr>
            <w:spacing w:val="9"/>
            <w:vertAlign w:val="baseline"/>
          </w:rPr>
          <w:t> </w:t>
        </w:r>
        <w:r>
          <w:rPr>
            <w:vertAlign w:val="baseline"/>
          </w:rPr>
          <w:t>Contracts</w:t>
        </w:r>
        <w:r>
          <w:rPr>
            <w:spacing w:val="8"/>
            <w:vertAlign w:val="baseline"/>
          </w:rPr>
          <w:t> </w:t>
        </w:r>
        <w:hyperlink w:history="true" w:anchor="_bookmark2403">
          <w:r>
            <w:rPr>
              <w:color w:val="005DA1"/>
              <w:u w:val="single" w:color="005DA1"/>
              <w:vertAlign w:val="superscript"/>
            </w:rPr>
            <w:t>1261</w:t>
          </w:r>
          <w:r>
            <w:rPr>
              <w:color w:val="005DA1"/>
              <w:spacing w:val="40"/>
              <w:vertAlign w:val="baseline"/>
            </w:rPr>
            <w:t>  </w:t>
          </w:r>
          <w:r>
            <w:rPr>
              <w:color w:val="005DA1"/>
              <w:spacing w:val="-25"/>
              <w:position w:val="-2"/>
              <w:vertAlign w:val="baseline"/>
            </w:rPr>
            <w:drawing>
              <wp:inline distT="0" distB="0" distL="0" distR="0">
                <wp:extent cx="107988" cy="107988"/>
                <wp:effectExtent l="0" t="0" r="0" b="0"/>
                <wp:docPr id="1031" name="Image 1031"/>
                <wp:cNvGraphicFramePr>
                  <a:graphicFrameLocks/>
                </wp:cNvGraphicFramePr>
                <a:graphic>
                  <a:graphicData uri="http://schemas.openxmlformats.org/drawingml/2006/picture">
                    <pic:pic>
                      <pic:nvPicPr>
                        <pic:cNvPr id="1031" name="Image 10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40"/>
              <w:vertAlign w:val="baseline"/>
            </w:rPr>
            <w:t> </w:t>
          </w:r>
          <w:r>
            <w:rPr>
              <w:vertAlign w:val="baseline"/>
            </w:rPr>
            <w:t>and</w:t>
          </w:r>
          <w:r>
            <w:rPr>
              <w:spacing w:val="8"/>
              <w:vertAlign w:val="baseline"/>
            </w:rPr>
            <w:t> </w:t>
          </w:r>
          <w:r>
            <w:rPr>
              <w:vertAlign w:val="baseline"/>
            </w:rPr>
            <w:t>ask</w:t>
          </w:r>
          <w:r>
            <w:rPr>
              <w:spacing w:val="9"/>
              <w:vertAlign w:val="baseline"/>
            </w:rPr>
            <w:t> </w:t>
          </w:r>
          <w:r>
            <w:rPr>
              <w:vertAlign w:val="baseline"/>
            </w:rPr>
            <w:t>whether</w:t>
          </w:r>
          <w:r>
            <w:rPr>
              <w:spacing w:val="9"/>
              <w:vertAlign w:val="baseline"/>
            </w:rPr>
            <w:t> </w:t>
          </w:r>
          <w:r>
            <w:rPr>
              <w:vertAlign w:val="baseline"/>
            </w:rPr>
            <w:t>the</w:t>
          </w:r>
          <w:r>
            <w:rPr>
              <w:spacing w:val="9"/>
              <w:vertAlign w:val="baseline"/>
            </w:rPr>
            <w:t> </w:t>
          </w:r>
          <w:r>
            <w:rPr>
              <w:vertAlign w:val="baseline"/>
            </w:rPr>
            <w:t>provision</w:t>
          </w:r>
          <w:r>
            <w:rPr>
              <w:spacing w:val="8"/>
              <w:vertAlign w:val="baseline"/>
            </w:rPr>
            <w:t> </w:t>
          </w:r>
          <w:r>
            <w:rPr>
              <w:vertAlign w:val="baseline"/>
            </w:rPr>
            <w:t>was</w:t>
          </w:r>
          <w:r>
            <w:rPr>
              <w:spacing w:val="9"/>
              <w:vertAlign w:val="baseline"/>
            </w:rPr>
            <w:t> </w:t>
          </w:r>
          <w:r>
            <w:rPr>
              <w:vertAlign w:val="baseline"/>
            </w:rPr>
            <w:t>a</w:t>
          </w:r>
          <w:r>
            <w:rPr>
              <w:spacing w:val="9"/>
              <w:vertAlign w:val="baseline"/>
            </w:rPr>
            <w:t> </w:t>
          </w:r>
          <w:r>
            <w:rPr>
              <w:spacing w:val="-6"/>
              <w:vertAlign w:val="baseline"/>
            </w:rPr>
            <w:t>“core</w:t>
          </w:r>
        </w:hyperlink>
      </w:hyperlink>
    </w:p>
    <w:p>
      <w:pPr>
        <w:pStyle w:val="BodyText"/>
        <w:spacing w:line="235" w:lineRule="auto" w:before="4"/>
        <w:ind w:left="165" w:right="167"/>
        <w:jc w:val="both"/>
      </w:pPr>
      <w:r>
        <w:rPr/>
        <w:t>term”. </w:t>
      </w:r>
      <w:hyperlink w:history="true" w:anchor="_bookmark2404">
        <w:r>
          <w:rPr>
            <w:color w:val="005DA1"/>
            <w:u w:val="single" w:color="005DA1"/>
            <w:vertAlign w:val="superscript"/>
          </w:rPr>
          <w:t>1262</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032" name="Image 1032"/>
              <wp:cNvGraphicFramePr>
                <a:graphicFrameLocks/>
              </wp:cNvGraphicFramePr>
              <a:graphic>
                <a:graphicData uri="http://schemas.openxmlformats.org/drawingml/2006/picture">
                  <pic:pic>
                    <pic:nvPicPr>
                      <pic:cNvPr id="1032" name="Image 10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“Core” terms are likely to have been considered carefully by each party, even if the parties were not of equal sophistication or bargaining power, and therefore there is less reason to interfere than with more peripheral clauses that may not have been fully taken into account by </w:t>
        </w:r>
        <w:r>
          <w:rPr>
            <w:vertAlign w:val="baseline"/>
          </w:rPr>
          <w:t>both parties. The suggestion seems to be that if the change in price is so central to the deal that the party agreeing</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vertAlign w:val="baseline"/>
          </w:rPr>
          <w:t>must</w:t>
        </w:r>
        <w:r>
          <w:rPr>
            <w:spacing w:val="-2"/>
            <w:vertAlign w:val="baseline"/>
          </w:rPr>
          <w:t> </w:t>
        </w:r>
        <w:r>
          <w:rPr>
            <w:vertAlign w:val="baseline"/>
          </w:rPr>
          <w:t>have</w:t>
        </w:r>
        <w:r>
          <w:rPr>
            <w:spacing w:val="-2"/>
            <w:vertAlign w:val="baseline"/>
          </w:rPr>
          <w:t> </w:t>
        </w:r>
        <w:r>
          <w:rPr>
            <w:vertAlign w:val="baseline"/>
          </w:rPr>
          <w:t>had</w:t>
        </w:r>
        <w:r>
          <w:rPr>
            <w:spacing w:val="-2"/>
            <w:vertAlign w:val="baseline"/>
          </w:rPr>
          <w:t> </w:t>
        </w:r>
        <w:r>
          <w:rPr>
            <w:vertAlign w:val="baseline"/>
          </w:rPr>
          <w:t>it</w:t>
        </w:r>
        <w:r>
          <w:rPr>
            <w:spacing w:val="-2"/>
            <w:vertAlign w:val="baseline"/>
          </w:rPr>
          <w:t> </w:t>
        </w:r>
        <w:r>
          <w:rPr>
            <w:vertAlign w:val="baseline"/>
          </w:rPr>
          <w:t>in</w:t>
        </w:r>
        <w:r>
          <w:rPr>
            <w:spacing w:val="-2"/>
            <w:vertAlign w:val="baseline"/>
          </w:rPr>
          <w:t> </w:t>
        </w:r>
        <w:r>
          <w:rPr>
            <w:vertAlign w:val="baseline"/>
          </w:rPr>
          <w:t>mind,</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exempt</w:t>
        </w:r>
        <w:r>
          <w:rPr>
            <w:spacing w:val="-2"/>
            <w:vertAlign w:val="baseline"/>
          </w:rPr>
          <w:t> </w:t>
        </w:r>
        <w:r>
          <w:rPr>
            <w:vertAlign w:val="baseline"/>
          </w:rPr>
          <w:t>from</w:t>
        </w:r>
        <w:r>
          <w:rPr>
            <w:spacing w:val="-2"/>
            <w:vertAlign w:val="baseline"/>
          </w:rPr>
          <w:t> </w:t>
        </w:r>
        <w:r>
          <w:rPr>
            <w:vertAlign w:val="baseline"/>
          </w:rPr>
          <w:t>control</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penalty.</w:t>
        </w:r>
        <w:r>
          <w:rPr>
            <w:spacing w:val="-2"/>
            <w:vertAlign w:val="baseline"/>
          </w:rPr>
          <w:t> </w:t>
        </w:r>
        <w:r>
          <w:rPr>
            <w:vertAlign w:val="baseline"/>
          </w:rPr>
          <w:t>Lord</w:t>
        </w:r>
        <w:r>
          <w:rPr>
            <w:spacing w:val="-2"/>
            <w:vertAlign w:val="baseline"/>
          </w:rPr>
          <w:t> </w:t>
        </w:r>
        <w:r>
          <w:rPr>
            <w:vertAlign w:val="baseline"/>
          </w:rPr>
          <w:t>Toulson</w:t>
        </w:r>
        <w:r>
          <w:rPr>
            <w:spacing w:val="-2"/>
            <w:vertAlign w:val="baseline"/>
          </w:rPr>
          <w:t> </w:t>
        </w:r>
        <w:r>
          <w:rPr>
            <w:vertAlign w:val="baseline"/>
          </w:rPr>
          <w:t>did not, however, repeat this suggestion in his judgment.</w:t>
        </w:r>
      </w:hyperlink>
    </w:p>
    <w:p>
      <w:pPr>
        <w:pStyle w:val="BodyText"/>
      </w:pPr>
    </w:p>
    <w:p>
      <w:pPr>
        <w:pStyle w:val="BodyText"/>
        <w:spacing w:before="37"/>
      </w:pPr>
      <w:r>
        <w:rPr/>
        <mc:AlternateContent>
          <mc:Choice Requires="wps">
            <w:drawing>
              <wp:anchor distT="0" distB="0" distL="0" distR="0" allowOverlap="1" layoutInCell="1" locked="0" behindDoc="1" simplePos="0" relativeHeight="487724544">
                <wp:simplePos x="0" y="0"/>
                <wp:positionH relativeFrom="page">
                  <wp:posOffset>914400</wp:posOffset>
                </wp:positionH>
                <wp:positionV relativeFrom="paragraph">
                  <wp:posOffset>185192</wp:posOffset>
                </wp:positionV>
                <wp:extent cx="5724525" cy="1270"/>
                <wp:effectExtent l="0" t="0" r="0" b="0"/>
                <wp:wrapTopAndBottom/>
                <wp:docPr id="1033" name="Graphic 1033"/>
                <wp:cNvGraphicFramePr>
                  <a:graphicFrameLocks/>
                </wp:cNvGraphicFramePr>
                <a:graphic>
                  <a:graphicData uri="http://schemas.microsoft.com/office/word/2010/wordprocessingShape">
                    <wps:wsp>
                      <wps:cNvPr id="1033" name="Graphic 10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2117pt;width:450.75pt;height:.1pt;mso-position-horizontal-relative:page;mso-position-vertical-relative:paragraph;z-index:-15591936;mso-wrap-distance-left:0;mso-wrap-distance-right:0" id="docshape103" coordorigin="1440,292" coordsize="9015,0" path="m1440,292l10454,292e" filled="false" stroked="true" strokeweight="1pt" strokecolor="#000000">
                <v:path arrowok="t"/>
                <v:stroke dashstyle="solid"/>
                <w10:wrap type="topAndBottom"/>
              </v:shape>
            </w:pict>
          </mc:Fallback>
        </mc:AlternateContent>
      </w:r>
    </w:p>
    <w:p>
      <w:pPr>
        <w:pStyle w:val="BodyText"/>
        <w:spacing w:before="217"/>
      </w:pPr>
    </w:p>
    <w:p>
      <w:pPr>
        <w:spacing w:before="0"/>
        <w:ind w:left="165" w:right="0" w:firstLine="0"/>
        <w:jc w:val="left"/>
        <w:rPr>
          <w:sz w:val="20"/>
        </w:rPr>
      </w:pPr>
      <w:bookmarkStart w:name="_bookmark2394" w:id="2396"/>
      <w:bookmarkEnd w:id="2396"/>
      <w:r>
        <w:rPr/>
      </w:r>
      <w:hyperlink w:history="true" w:anchor="_bookmark2383">
        <w:r>
          <w:rPr>
            <w:color w:val="005DA1"/>
            <w:sz w:val="20"/>
            <w:u w:val="single" w:color="005DA1"/>
            <w:vertAlign w:val="superscript"/>
          </w:rPr>
          <w:t>1252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034" name="Image 1034"/>
            <wp:cNvGraphicFramePr>
              <a:graphicFrameLocks/>
            </wp:cNvGraphicFramePr>
            <a:graphic>
              <a:graphicData uri="http://schemas.openxmlformats.org/drawingml/2006/picture">
                <pic:pic>
                  <pic:nvPicPr>
                    <pic:cNvPr id="1034" name="Image 10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spacing w:line="235" w:lineRule="auto" w:before="0"/>
        <w:ind w:left="705" w:right="167" w:hanging="541"/>
        <w:jc w:val="both"/>
        <w:rPr>
          <w:sz w:val="20"/>
        </w:rPr>
      </w:pPr>
      <w:bookmarkStart w:name="_bookmark2395" w:id="2397"/>
      <w:bookmarkEnd w:id="2397"/>
      <w:r>
        <w:rPr/>
      </w:r>
      <w:hyperlink w:history="true" w:anchor="_bookmark2384">
        <w:r>
          <w:rPr>
            <w:color w:val="005DA1"/>
            <w:sz w:val="20"/>
            <w:u w:val="single" w:color="005DA1"/>
            <w:vertAlign w:val="superscript"/>
          </w:rPr>
          <w:t>1253</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1035" name="Image 1035"/>
            <wp:cNvGraphicFramePr>
              <a:graphicFrameLocks/>
            </wp:cNvGraphicFramePr>
            <a:graphic>
              <a:graphicData uri="http://schemas.openxmlformats.org/drawingml/2006/picture">
                <pic:pic>
                  <pic:nvPicPr>
                    <pic:cNvPr id="1035" name="Image 10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40"/>
          <w:sz w:val="20"/>
          <w:vertAlign w:val="baseline"/>
        </w:rPr>
        <w:t> </w:t>
      </w:r>
      <w:r>
        <w:rPr>
          <w:rFonts w:ascii="Arial" w:hAnsi="Arial"/>
          <w:i/>
          <w:sz w:val="20"/>
          <w:vertAlign w:val="baseline"/>
        </w:rPr>
        <w:t>UKSC</w:t>
      </w:r>
      <w:r>
        <w:rPr>
          <w:rFonts w:ascii="Arial" w:hAnsi="Arial"/>
          <w:i/>
          <w:spacing w:val="40"/>
          <w:sz w:val="20"/>
          <w:vertAlign w:val="baseline"/>
        </w:rPr>
        <w:t> </w:t>
      </w:r>
      <w:r>
        <w:rPr>
          <w:rFonts w:ascii="Arial" w:hAnsi="Arial"/>
          <w:i/>
          <w:sz w:val="20"/>
          <w:vertAlign w:val="baseline"/>
        </w:rPr>
        <w:t>67</w:t>
      </w:r>
      <w:r>
        <w:rPr>
          <w:rFonts w:ascii="Arial" w:hAnsi="Arial"/>
          <w:i/>
          <w:spacing w:val="40"/>
          <w:sz w:val="20"/>
          <w:vertAlign w:val="baseline"/>
        </w:rPr>
        <w:t> </w:t>
      </w:r>
      <w:r>
        <w:rPr>
          <w:sz w:val="20"/>
          <w:vertAlign w:val="baseline"/>
        </w:rPr>
        <w:t>at</w:t>
      </w:r>
      <w:r>
        <w:rPr>
          <w:spacing w:val="40"/>
          <w:sz w:val="20"/>
          <w:vertAlign w:val="baseline"/>
        </w:rPr>
        <w:t> </w:t>
      </w:r>
      <w:r>
        <w:rPr>
          <w:sz w:val="20"/>
          <w:vertAlign w:val="baseline"/>
        </w:rPr>
        <w:t>[74]–[75].</w:t>
      </w:r>
      <w:r>
        <w:rPr>
          <w:spacing w:val="40"/>
          <w:sz w:val="20"/>
          <w:vertAlign w:val="baseline"/>
        </w:rPr>
        <w:t> </w:t>
      </w:r>
      <w:r>
        <w:rPr>
          <w:sz w:val="20"/>
          <w:vertAlign w:val="baseline"/>
        </w:rPr>
        <w:t>Compare</w:t>
      </w:r>
      <w:r>
        <w:rPr>
          <w:spacing w:val="40"/>
          <w:sz w:val="20"/>
          <w:vertAlign w:val="baseline"/>
        </w:rPr>
        <w:t> </w:t>
      </w:r>
      <w:r>
        <w:rPr>
          <w:rFonts w:ascii="Arial" w:hAnsi="Arial"/>
          <w:i/>
          <w:sz w:val="20"/>
          <w:vertAlign w:val="baseline"/>
        </w:rPr>
        <w:t>Vivienne</w:t>
      </w:r>
      <w:r>
        <w:rPr>
          <w:rFonts w:ascii="Arial" w:hAnsi="Arial"/>
          <w:i/>
          <w:spacing w:val="40"/>
          <w:sz w:val="20"/>
          <w:vertAlign w:val="baseline"/>
        </w:rPr>
        <w:t> </w:t>
      </w:r>
      <w:r>
        <w:rPr>
          <w:rFonts w:ascii="Arial" w:hAnsi="Arial"/>
          <w:i/>
          <w:sz w:val="20"/>
          <w:vertAlign w:val="baseline"/>
        </w:rPr>
        <w:t>Westwood</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Conduit</w:t>
      </w:r>
      <w:r>
        <w:rPr>
          <w:rFonts w:ascii="Arial" w:hAnsi="Arial"/>
          <w:i/>
          <w:spacing w:val="40"/>
          <w:sz w:val="20"/>
          <w:vertAlign w:val="baseline"/>
        </w:rPr>
        <w:t> </w:t>
      </w:r>
      <w:r>
        <w:rPr>
          <w:rFonts w:ascii="Arial" w:hAnsi="Arial"/>
          <w:i/>
          <w:sz w:val="20"/>
          <w:vertAlign w:val="baseline"/>
        </w:rPr>
        <w:t>Street Development Ltd [2017] EWHC 350 (Ch)</w:t>
      </w:r>
      <w:r>
        <w:rPr>
          <w:sz w:val="20"/>
          <w:vertAlign w:val="baseline"/>
        </w:rPr>
        <w:t>, in which an increased rent became payable in the event of any breach of its obligations by the tenant: the court held that the increased rent was a secondary obligation that was capable of being a penalty (at [49]).</w:t>
      </w:r>
    </w:p>
    <w:p>
      <w:pPr>
        <w:pStyle w:val="BodyText"/>
        <w:spacing w:before="124"/>
      </w:pPr>
    </w:p>
    <w:p>
      <w:pPr>
        <w:spacing w:before="1"/>
        <w:ind w:left="165" w:right="0" w:firstLine="0"/>
        <w:jc w:val="left"/>
        <w:rPr>
          <w:sz w:val="20"/>
        </w:rPr>
      </w:pPr>
      <w:bookmarkStart w:name="_bookmark2396" w:id="2398"/>
      <w:bookmarkEnd w:id="2398"/>
      <w:r>
        <w:rPr/>
      </w:r>
      <w:hyperlink w:history="true" w:anchor="_bookmark2385">
        <w:r>
          <w:rPr>
            <w:color w:val="005DA1"/>
            <w:sz w:val="20"/>
            <w:u w:val="single" w:color="005DA1"/>
            <w:vertAlign w:val="superscript"/>
          </w:rPr>
          <w:t>1254</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1036" name="Image 1036"/>
            <wp:cNvGraphicFramePr>
              <a:graphicFrameLocks/>
            </wp:cNvGraphicFramePr>
            <a:graphic>
              <a:graphicData uri="http://schemas.openxmlformats.org/drawingml/2006/picture">
                <pic:pic>
                  <pic:nvPicPr>
                    <pic:cNvPr id="1036" name="Image 10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[81].</w:t>
      </w:r>
    </w:p>
    <w:p>
      <w:pPr>
        <w:pStyle w:val="BodyText"/>
        <w:spacing w:before="125"/>
      </w:pPr>
    </w:p>
    <w:p>
      <w:pPr>
        <w:spacing w:before="0"/>
        <w:ind w:left="165" w:right="0" w:firstLine="0"/>
        <w:jc w:val="left"/>
        <w:rPr>
          <w:sz w:val="20"/>
        </w:rPr>
      </w:pPr>
      <w:bookmarkStart w:name="_bookmark2397" w:id="2399"/>
      <w:bookmarkEnd w:id="2399"/>
      <w:r>
        <w:rPr/>
      </w:r>
      <w:hyperlink w:history="true" w:anchor="_bookmark2386">
        <w:r>
          <w:rPr>
            <w:color w:val="005DA1"/>
            <w:sz w:val="20"/>
            <w:u w:val="single" w:color="005DA1"/>
            <w:vertAlign w:val="superscript"/>
          </w:rPr>
          <w:t>1255</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037" name="Image 1037"/>
            <wp:cNvGraphicFramePr>
              <a:graphicFrameLocks/>
            </wp:cNvGraphicFramePr>
            <a:graphic>
              <a:graphicData uri="http://schemas.openxmlformats.org/drawingml/2006/picture">
                <pic:pic>
                  <pic:nvPicPr>
                    <pic:cNvPr id="1037" name="Image 10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2"/>
          <w:sz w:val="20"/>
          <w:vertAlign w:val="baseline"/>
        </w:rPr>
        <w:t> </w:t>
      </w:r>
      <w:r>
        <w:rPr>
          <w:sz w:val="20"/>
          <w:vertAlign w:val="baseline"/>
        </w:rPr>
        <w:t>[14]</w:t>
      </w:r>
      <w:r>
        <w:rPr>
          <w:spacing w:val="2"/>
          <w:sz w:val="20"/>
          <w:vertAlign w:val="baseline"/>
        </w:rPr>
        <w:t> </w:t>
      </w:r>
      <w:r>
        <w:rPr>
          <w:sz w:val="20"/>
          <w:vertAlign w:val="baseline"/>
        </w:rPr>
        <w:t>and</w:t>
      </w:r>
      <w:r>
        <w:rPr>
          <w:spacing w:val="3"/>
          <w:sz w:val="20"/>
          <w:vertAlign w:val="baseline"/>
        </w:rPr>
        <w:t> </w:t>
      </w:r>
      <w:r>
        <w:rPr>
          <w:spacing w:val="-2"/>
          <w:sz w:val="20"/>
          <w:vertAlign w:val="baseline"/>
        </w:rPr>
        <w:t>[32].</w:t>
      </w:r>
    </w:p>
    <w:p>
      <w:pPr>
        <w:pStyle w:val="BodyText"/>
        <w:spacing w:before="125"/>
      </w:pPr>
    </w:p>
    <w:p>
      <w:pPr>
        <w:spacing w:before="0"/>
        <w:ind w:left="165" w:right="0" w:firstLine="0"/>
        <w:jc w:val="left"/>
        <w:rPr>
          <w:sz w:val="20"/>
        </w:rPr>
      </w:pPr>
      <w:bookmarkStart w:name="_bookmark2398" w:id="2400"/>
      <w:bookmarkEnd w:id="2400"/>
      <w:r>
        <w:rPr/>
      </w:r>
      <w:hyperlink w:history="true" w:anchor="_bookmark2387">
        <w:r>
          <w:rPr>
            <w:color w:val="005DA1"/>
            <w:sz w:val="20"/>
            <w:u w:val="single" w:color="005DA1"/>
            <w:vertAlign w:val="superscript"/>
          </w:rPr>
          <w:t>1256</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1038" name="Image 1038"/>
            <wp:cNvGraphicFramePr>
              <a:graphicFrameLocks/>
            </wp:cNvGraphicFramePr>
            <a:graphic>
              <a:graphicData uri="http://schemas.openxmlformats.org/drawingml/2006/picture">
                <pic:pic>
                  <pic:nvPicPr>
                    <pic:cNvPr id="1038" name="Image 103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[83].</w:t>
      </w:r>
    </w:p>
    <w:p>
      <w:pPr>
        <w:pStyle w:val="BodyText"/>
        <w:spacing w:before="125"/>
      </w:pPr>
    </w:p>
    <w:p>
      <w:pPr>
        <w:spacing w:before="0"/>
        <w:ind w:left="165" w:right="0" w:firstLine="0"/>
        <w:jc w:val="left"/>
        <w:rPr>
          <w:sz w:val="20"/>
        </w:rPr>
      </w:pPr>
      <w:bookmarkStart w:name="_bookmark2399" w:id="2401"/>
      <w:bookmarkEnd w:id="2401"/>
      <w:r>
        <w:rPr/>
      </w:r>
      <w:hyperlink w:history="true" w:anchor="_bookmark2388">
        <w:r>
          <w:rPr>
            <w:color w:val="005DA1"/>
            <w:sz w:val="20"/>
            <w:u w:val="single" w:color="005DA1"/>
            <w:vertAlign w:val="superscript"/>
          </w:rPr>
          <w:t>1257</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1039" name="Image 1039"/>
            <wp:cNvGraphicFramePr>
              <a:graphicFrameLocks/>
            </wp:cNvGraphicFramePr>
            <a:graphic>
              <a:graphicData uri="http://schemas.openxmlformats.org/drawingml/2006/picture">
                <pic:pic>
                  <pic:nvPicPr>
                    <pic:cNvPr id="1039" name="Image 103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[82].</w:t>
      </w:r>
    </w:p>
    <w:p>
      <w:pPr>
        <w:pStyle w:val="BodyText"/>
        <w:spacing w:before="128"/>
      </w:pPr>
    </w:p>
    <w:p>
      <w:pPr>
        <w:pStyle w:val="BodyText"/>
        <w:spacing w:line="235" w:lineRule="auto" w:before="1"/>
        <w:ind w:left="705" w:right="167" w:hanging="541"/>
        <w:jc w:val="both"/>
      </w:pPr>
      <w:bookmarkStart w:name="_bookmark2400" w:id="2402"/>
      <w:bookmarkEnd w:id="2402"/>
      <w:r>
        <w:rPr/>
      </w:r>
      <w:hyperlink w:history="true" w:anchor="_bookmark2389">
        <w:r>
          <w:rPr>
            <w:color w:val="005DA1"/>
            <w:u w:val="single" w:color="005DA1"/>
            <w:vertAlign w:val="superscript"/>
          </w:rPr>
          <w:t>1258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40" name="Image 1040"/>
            <wp:cNvGraphicFramePr>
              <a:graphicFrameLocks/>
            </wp:cNvGraphicFramePr>
            <a:graphic>
              <a:graphicData uri="http://schemas.openxmlformats.org/drawingml/2006/picture">
                <pic:pic>
                  <pic:nvPicPr>
                    <pic:cNvPr id="1040" name="Image 104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 Mance said that cl.5.1 had the effect of revising the price payable for the shares but he clearly considered the clause to be subject to the penalty doctrine: see </w:t>
      </w:r>
      <w:r>
        <w:rPr>
          <w:rFonts w:ascii="Arial" w:hAnsi="Arial"/>
          <w:i/>
          <w:vertAlign w:val="baseline"/>
        </w:rPr>
        <w:t>[2015] UKSC 67 </w:t>
      </w:r>
      <w:r>
        <w:rPr>
          <w:vertAlign w:val="baseline"/>
        </w:rPr>
        <w:t>at</w:t>
      </w:r>
      <w:r>
        <w:rPr>
          <w:spacing w:val="40"/>
          <w:vertAlign w:val="baseline"/>
        </w:rPr>
        <w:t> </w:t>
      </w:r>
      <w:r>
        <w:rPr>
          <w:vertAlign w:val="baseline"/>
        </w:rPr>
        <w:t>[181]; similarly, though cl.5.6 had the effect of reshaping of the parties’ primary relationship </w:t>
      </w:r>
      <w:r>
        <w:rPr>
          <w:vertAlign w:val="baseline"/>
        </w:rPr>
        <w:t>(at [183]), it was valid because it was neither exorbitant or unconscionable (at [185]). Lord Hodge agreed that there were “strong arguments” for regarding each clause as primary obligations to which the doctrine does not apply: at [270] and [280]; but he decided the validity of cl.5.1 by applying the penalty doctrine, and held that cl.5.6 was a secondary obligation, adding that “if all such clauses were treated as primary obligations, there would be considerable scope for abuse”. Lord Toulson agreed with the relevant parts of both Lord Mance’s and Lord Hodge’s judgments. Lord Clarke agreed with Lord Hodge rather than with Lords Neuberger and Sumption on these points: at [291].</w:t>
      </w:r>
    </w:p>
    <w:p>
      <w:pPr>
        <w:pStyle w:val="BodyText"/>
        <w:spacing w:before="121"/>
      </w:pPr>
    </w:p>
    <w:p>
      <w:pPr>
        <w:pStyle w:val="BodyText"/>
        <w:spacing w:before="1"/>
        <w:ind w:left="165"/>
      </w:pPr>
      <w:bookmarkStart w:name="_bookmark2401" w:id="2403"/>
      <w:bookmarkEnd w:id="2403"/>
      <w:r>
        <w:rPr/>
      </w:r>
      <w:hyperlink w:history="true" w:anchor="_bookmark2390">
        <w:r>
          <w:rPr>
            <w:color w:val="005DA1"/>
            <w:u w:val="single" w:color="005DA1"/>
            <w:vertAlign w:val="superscript"/>
          </w:rPr>
          <w:t>1259</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041" name="Image 1041"/>
            <wp:cNvGraphicFramePr>
              <a:graphicFrameLocks/>
            </wp:cNvGraphicFramePr>
            <a:graphic>
              <a:graphicData uri="http://schemas.openxmlformats.org/drawingml/2006/picture">
                <pic:pic>
                  <pic:nvPicPr>
                    <pic:cNvPr id="1041" name="Image 104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216.</w:t>
      </w:r>
    </w:p>
    <w:p>
      <w:pPr>
        <w:pStyle w:val="BodyText"/>
        <w:spacing w:before="124"/>
      </w:pPr>
    </w:p>
    <w:p>
      <w:pPr>
        <w:pStyle w:val="BodyText"/>
        <w:spacing w:before="1"/>
        <w:ind w:left="165"/>
      </w:pPr>
      <w:bookmarkStart w:name="_bookmark2402" w:id="2404"/>
      <w:bookmarkEnd w:id="2404"/>
      <w:r>
        <w:rPr/>
      </w:r>
      <w:hyperlink w:history="true" w:anchor="_bookmark2391">
        <w:r>
          <w:rPr>
            <w:color w:val="005DA1"/>
            <w:u w:val="single" w:color="005DA1"/>
            <w:vertAlign w:val="superscript"/>
          </w:rPr>
          <w:t>1260</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042" name="Image 1042"/>
            <wp:cNvGraphicFramePr>
              <a:graphicFrameLocks/>
            </wp:cNvGraphicFramePr>
            <a:graphic>
              <a:graphicData uri="http://schemas.openxmlformats.org/drawingml/2006/picture">
                <pic:pic>
                  <pic:nvPicPr>
                    <pic:cNvPr id="1042" name="Image 10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196.</w:t>
      </w:r>
    </w:p>
    <w:p>
      <w:pPr>
        <w:pStyle w:val="BodyText"/>
        <w:spacing w:before="125"/>
      </w:pPr>
    </w:p>
    <w:p>
      <w:pPr>
        <w:pStyle w:val="BodyText"/>
        <w:ind w:left="165"/>
      </w:pPr>
      <w:bookmarkStart w:name="_bookmark2403" w:id="2405"/>
      <w:bookmarkEnd w:id="2405"/>
      <w:r>
        <w:rPr/>
      </w:r>
      <w:hyperlink w:history="true" w:anchor="_bookmark2392">
        <w:r>
          <w:rPr>
            <w:color w:val="005DA1"/>
            <w:u w:val="single" w:color="005DA1"/>
            <w:vertAlign w:val="superscript"/>
          </w:rPr>
          <w:t>1261</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1043" name="Image 1043"/>
            <wp:cNvGraphicFramePr>
              <a:graphicFrameLocks/>
            </wp:cNvGraphicFramePr>
            <a:graphic>
              <a:graphicData uri="http://schemas.openxmlformats.org/drawingml/2006/picture">
                <pic:pic>
                  <pic:nvPicPr>
                    <pic:cNvPr id="1043" name="Image 10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93/13/EC:</w:t>
      </w:r>
      <w:r>
        <w:rPr>
          <w:spacing w:val="2"/>
          <w:vertAlign w:val="baseline"/>
        </w:rPr>
        <w:t> </w:t>
      </w:r>
      <w:r>
        <w:rPr>
          <w:vertAlign w:val="baseline"/>
        </w:rPr>
        <w:t>see</w:t>
      </w:r>
      <w:r>
        <w:rPr>
          <w:spacing w:val="2"/>
          <w:vertAlign w:val="baseline"/>
        </w:rPr>
        <w:t> </w:t>
      </w:r>
      <w:r>
        <w:rPr>
          <w:vertAlign w:val="baseline"/>
        </w:rPr>
        <w:t>Vol.II,</w:t>
      </w:r>
      <w:r>
        <w:rPr>
          <w:spacing w:val="3"/>
          <w:vertAlign w:val="baseline"/>
        </w:rPr>
        <w:t> </w:t>
      </w:r>
      <w:r>
        <w:rPr>
          <w:vertAlign w:val="baseline"/>
        </w:rPr>
        <w:t>paras</w:t>
      </w:r>
      <w:r>
        <w:rPr>
          <w:spacing w:val="2"/>
          <w:vertAlign w:val="baseline"/>
        </w:rPr>
        <w:t> </w:t>
      </w:r>
      <w:r>
        <w:rPr>
          <w:vertAlign w:val="baseline"/>
        </w:rPr>
        <w:t>38-199</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8"/>
      </w:pPr>
    </w:p>
    <w:p>
      <w:pPr>
        <w:pStyle w:val="BodyText"/>
        <w:spacing w:line="235" w:lineRule="auto" w:before="1"/>
        <w:ind w:left="705" w:right="167" w:hanging="541"/>
        <w:jc w:val="both"/>
      </w:pPr>
      <w:bookmarkStart w:name="_bookmark2404" w:id="2406"/>
      <w:bookmarkEnd w:id="2406"/>
      <w:r>
        <w:rPr/>
      </w:r>
      <w:hyperlink w:history="true" w:anchor="_bookmark2393">
        <w:r>
          <w:rPr>
            <w:color w:val="005DA1"/>
            <w:u w:val="single" w:color="005DA1"/>
            <w:vertAlign w:val="superscript"/>
          </w:rPr>
          <w:t>1262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44" name="Image 1044"/>
            <wp:cNvGraphicFramePr>
              <a:graphicFrameLocks/>
            </wp:cNvGraphicFramePr>
            <a:graphic>
              <a:graphicData uri="http://schemas.openxmlformats.org/drawingml/2006/picture">
                <pic:pic>
                  <pic:nvPicPr>
                    <pic:cNvPr id="1044" name="Image 10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other words, it is the main subject matter or concerns the adequacy of the price or other remuneration and is therefore exempt from assessment for fairness provided that it is in plain and intelligible language, see art.4(2).</w:t>
      </w:r>
    </w:p>
    <w:p>
      <w:pPr>
        <w:pStyle w:val="BodyText"/>
        <w:spacing w:after="0" w:line="235" w:lineRule="auto"/>
        <w:jc w:val="both"/>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12"/>
        </w:numPr>
        <w:tabs>
          <w:tab w:pos="3085" w:val="left" w:leader="none"/>
        </w:tabs>
        <w:spacing w:line="240" w:lineRule="auto" w:before="194" w:after="0"/>
        <w:ind w:left="3085" w:right="0" w:hanging="360"/>
        <w:jc w:val="left"/>
        <w:rPr>
          <w:b/>
          <w:sz w:val="24"/>
        </w:rPr>
      </w:pPr>
      <w:r>
        <w:rPr>
          <w:b/>
          <w:sz w:val="24"/>
        </w:rPr>
        <w:t>- Scope of the Law of </w:t>
      </w:r>
      <w:r>
        <w:rPr>
          <w:b/>
          <w:spacing w:val="-2"/>
          <w:sz w:val="24"/>
        </w:rPr>
        <w:t>Penalties</w:t>
      </w:r>
    </w:p>
    <w:p>
      <w:pPr>
        <w:pStyle w:val="ListParagraph"/>
        <w:numPr>
          <w:ilvl w:val="0"/>
          <w:numId w:val="11"/>
        </w:numPr>
        <w:tabs>
          <w:tab w:pos="3364" w:val="left" w:leader="none"/>
        </w:tabs>
        <w:spacing w:line="240" w:lineRule="auto" w:before="194" w:after="0"/>
        <w:ind w:left="3364" w:right="0" w:hanging="426"/>
        <w:jc w:val="left"/>
        <w:rPr>
          <w:b/>
          <w:sz w:val="24"/>
        </w:rPr>
      </w:pPr>
      <w:r>
        <w:rPr>
          <w:b/>
          <w:sz w:val="24"/>
        </w:rPr>
        <w:t>- “Invoicing back” </w:t>
      </w:r>
      <w:r>
        <w:rPr>
          <w:b/>
          <w:spacing w:val="-2"/>
          <w:sz w:val="24"/>
        </w:rPr>
        <w:t>Clauses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“Invoicing back” </w:t>
      </w:r>
      <w:r>
        <w:rPr>
          <w:rFonts w:ascii="Arial" w:hAnsi="Arial"/>
          <w:b/>
          <w:spacing w:val="-2"/>
          <w:sz w:val="18"/>
        </w:rPr>
        <w:t>clauses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216J</w:t>
      </w:r>
    </w:p>
    <w:p>
      <w:pPr>
        <w:pStyle w:val="BodyText"/>
        <w:spacing w:before="88"/>
        <w:rPr>
          <w:rFonts w:ascii="Arial"/>
          <w:b/>
        </w:rPr>
      </w:pPr>
    </w:p>
    <w:p>
      <w:pPr>
        <w:pStyle w:val="BodyText"/>
        <w:spacing w:line="360" w:lineRule="auto" w:before="1"/>
        <w:ind w:left="165" w:right="167"/>
        <w:jc w:val="both"/>
      </w:pPr>
      <w:r>
        <w:rPr>
          <w:position w:val="-2"/>
        </w:rPr>
        <w:drawing>
          <wp:inline distT="0" distB="0" distL="0" distR="0">
            <wp:extent cx="107988" cy="107988"/>
            <wp:effectExtent l="0" t="0" r="0" b="0"/>
            <wp:docPr id="1046" name="Image 1046"/>
            <wp:cNvGraphicFramePr>
              <a:graphicFrameLocks/>
            </wp:cNvGraphicFramePr>
            <a:graphic>
              <a:graphicData uri="http://schemas.openxmlformats.org/drawingml/2006/picture">
                <pic:pic>
                  <pic:nvPicPr>
                    <pic:cNvPr id="1046" name="Image 104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405" w:id="2407"/>
      <w:bookmarkEnd w:id="2407"/>
      <w:r>
        <w:rPr>
          <w:rFonts w:ascii="Times New Roman" w:hAnsi="Times New Roman"/>
          <w:spacing w:val="19"/>
        </w:rPr>
      </w:r>
      <w:r>
        <w:rPr/>
        <w:t>The express terms of the contract may not only exclude or limit the innocent party’s right to </w:t>
      </w:r>
      <w:r>
        <w:rPr/>
        <w:t>claim </w:t>
      </w:r>
      <w:bookmarkStart w:name="_bookmark2406" w:id="2408"/>
      <w:bookmarkEnd w:id="2408"/>
      <w:r>
        <w:rPr/>
        <w:t>damages</w:t>
      </w:r>
      <w:r>
        <w:rPr>
          <w:spacing w:val="-1"/>
        </w:rPr>
        <w:t> </w:t>
      </w:r>
      <w:r>
        <w:rPr/>
        <w:t>for</w:t>
      </w:r>
      <w:r>
        <w:rPr>
          <w:spacing w:val="-1"/>
        </w:rPr>
        <w:t> </w:t>
      </w:r>
      <w:r>
        <w:rPr/>
        <w:t>breach</w:t>
      </w:r>
      <w:r>
        <w:rPr>
          <w:spacing w:val="-1"/>
        </w:rPr>
        <w:t> </w:t>
      </w:r>
      <w:r>
        <w:rPr/>
        <w:t>of</w:t>
      </w:r>
      <w:r>
        <w:rPr>
          <w:spacing w:val="-1"/>
        </w:rPr>
        <w:t> </w:t>
      </w:r>
      <w:r>
        <w:rPr/>
        <w:t>contract,</w:t>
      </w:r>
      <w:r>
        <w:rPr>
          <w:spacing w:val="-2"/>
        </w:rPr>
        <w:t> </w:t>
      </w:r>
      <w:hyperlink w:history="true" w:anchor="_bookmark2415">
        <w:r>
          <w:rPr>
            <w:color w:val="005DA1"/>
            <w:u w:val="single" w:color="005DA1"/>
            <w:vertAlign w:val="superscript"/>
          </w:rPr>
          <w:t>1263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047" name="Image 1047"/>
              <wp:cNvGraphicFramePr>
                <a:graphicFrameLocks/>
              </wp:cNvGraphicFramePr>
              <a:graphic>
                <a:graphicData uri="http://schemas.openxmlformats.org/drawingml/2006/picture">
                  <pic:pic>
                    <pic:nvPicPr>
                      <pic:cNvPr id="1047" name="Image 10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but</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provide</w:t>
        </w:r>
        <w:r>
          <w:rPr>
            <w:spacing w:val="-1"/>
            <w:vertAlign w:val="baseline"/>
          </w:rPr>
          <w:t> </w:t>
        </w:r>
        <w:r>
          <w:rPr>
            <w:vertAlign w:val="baseline"/>
          </w:rPr>
          <w:t>other</w:t>
        </w:r>
        <w:r>
          <w:rPr>
            <w:spacing w:val="-1"/>
            <w:vertAlign w:val="baseline"/>
          </w:rPr>
          <w:t> </w:t>
        </w:r>
        <w:r>
          <w:rPr>
            <w:vertAlign w:val="baseline"/>
          </w:rPr>
          <w:t>provisions</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in</w:t>
        </w:r>
        <w:r>
          <w:rPr>
            <w:spacing w:val="-1"/>
            <w:vertAlign w:val="baseline"/>
          </w:rPr>
          <w:t> </w:t>
        </w:r>
        <w:r>
          <w:rPr>
            <w:vertAlign w:val="baseline"/>
          </w:rPr>
          <w:t>the </w:t>
        </w:r>
        <w:bookmarkStart w:name="_bookmark2407" w:id="2409"/>
        <w:bookmarkEnd w:id="2409"/>
        <w:r>
          <w:rPr>
            <w:vertAlign w:val="baseline"/>
          </w:rPr>
          <w:t>event</w:t>
        </w:r>
        <w:r>
          <w:rPr>
            <w:spacing w:val="10"/>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breach.</w:t>
        </w:r>
        <w:r>
          <w:rPr>
            <w:spacing w:val="11"/>
            <w:vertAlign w:val="baseline"/>
          </w:rPr>
          <w:t> </w:t>
        </w:r>
        <w:r>
          <w:rPr>
            <w:vertAlign w:val="baseline"/>
          </w:rPr>
          <w:t>Subject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law</w:t>
        </w:r>
        <w:r>
          <w:rPr>
            <w:spacing w:val="11"/>
            <w:vertAlign w:val="baseline"/>
          </w:rPr>
          <w:t> </w:t>
        </w:r>
        <w:r>
          <w:rPr>
            <w:vertAlign w:val="baseline"/>
          </w:rPr>
          <w:t>as</w:t>
        </w:r>
        <w:r>
          <w:rPr>
            <w:spacing w:val="11"/>
            <w:vertAlign w:val="baseline"/>
          </w:rPr>
          <w:t> </w:t>
        </w:r>
        <w:r>
          <w:rPr>
            <w:vertAlign w:val="baseline"/>
          </w:rPr>
          <w:t>to</w:t>
        </w:r>
        <w:r>
          <w:rPr>
            <w:spacing w:val="11"/>
            <w:vertAlign w:val="baseline"/>
          </w:rPr>
          <w:t> </w:t>
        </w:r>
        <w:r>
          <w:rPr>
            <w:vertAlign w:val="baseline"/>
          </w:rPr>
          <w:t>penalties,</w:t>
        </w:r>
        <w:r>
          <w:rPr>
            <w:spacing w:val="10"/>
            <w:vertAlign w:val="baseline"/>
          </w:rPr>
          <w:t> </w:t>
        </w:r>
        <w:hyperlink w:history="true" w:anchor="_bookmark2416">
          <w:r>
            <w:rPr>
              <w:color w:val="005DA1"/>
              <w:u w:val="single" w:color="005DA1"/>
              <w:vertAlign w:val="superscript"/>
            </w:rPr>
            <w:t>1264</w:t>
          </w:r>
          <w:r>
            <w:rPr>
              <w:color w:val="005DA1"/>
              <w:spacing w:val="44"/>
              <w:vertAlign w:val="baseline"/>
            </w:rPr>
            <w:t>  </w:t>
          </w:r>
          <w:r>
            <w:rPr>
              <w:color w:val="005DA1"/>
              <w:spacing w:val="-19"/>
              <w:position w:val="-2"/>
              <w:vertAlign w:val="baseline"/>
            </w:rPr>
            <w:drawing>
              <wp:inline distT="0" distB="0" distL="0" distR="0">
                <wp:extent cx="107988" cy="107988"/>
                <wp:effectExtent l="0" t="0" r="0" b="0"/>
                <wp:docPr id="1048" name="Image 1048"/>
                <wp:cNvGraphicFramePr>
                  <a:graphicFrameLocks/>
                </wp:cNvGraphicFramePr>
                <a:graphic>
                  <a:graphicData uri="http://schemas.openxmlformats.org/drawingml/2006/picture">
                    <pic:pic>
                      <pic:nvPicPr>
                        <pic:cNvPr id="1048" name="Image 10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5"/>
              <w:vertAlign w:val="baseline"/>
            </w:rPr>
            <w:t> </w:t>
          </w:r>
          <w:r>
            <w:rPr>
              <w:vertAlign w:val="baseline"/>
            </w:rPr>
            <w:t>and</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effect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Unfair</w:t>
          </w:r>
          <w:r>
            <w:rPr>
              <w:spacing w:val="11"/>
              <w:vertAlign w:val="baseline"/>
            </w:rPr>
            <w:t> </w:t>
          </w:r>
          <w:r>
            <w:rPr>
              <w:spacing w:val="-2"/>
              <w:vertAlign w:val="baseline"/>
            </w:rPr>
            <w:t>Contract</w:t>
          </w:r>
        </w:hyperlink>
      </w:hyperlink>
    </w:p>
    <w:p>
      <w:pPr>
        <w:pStyle w:val="BodyText"/>
        <w:spacing w:before="120"/>
        <w:ind w:left="165"/>
        <w:jc w:val="both"/>
      </w:pPr>
      <w:bookmarkStart w:name="_bookmark2408" w:id="2410"/>
      <w:bookmarkEnd w:id="2410"/>
      <w:r>
        <w:rPr/>
      </w:r>
      <w:bookmarkStart w:name="_bookmark2409" w:id="2411"/>
      <w:bookmarkEnd w:id="2411"/>
      <w:r>
        <w:rPr/>
      </w:r>
      <w:r>
        <w:rPr/>
        <w:t>Terms</w:t>
      </w:r>
      <w:r>
        <w:rPr>
          <w:spacing w:val="29"/>
        </w:rPr>
        <w:t> </w:t>
      </w:r>
      <w:r>
        <w:rPr/>
        <w:t>Act</w:t>
      </w:r>
      <w:r>
        <w:rPr>
          <w:spacing w:val="30"/>
        </w:rPr>
        <w:t> </w:t>
      </w:r>
      <w:r>
        <w:rPr/>
        <w:t>1977</w:t>
      </w:r>
      <w:r>
        <w:rPr>
          <w:spacing w:val="30"/>
        </w:rPr>
        <w:t> </w:t>
      </w:r>
      <w:r>
        <w:rPr>
          <w:color w:val="005DA1"/>
          <w:u w:val="single" w:color="005DA1"/>
          <w:vertAlign w:val="superscript"/>
        </w:rPr>
        <w:t>1265</w:t>
      </w:r>
      <w:r>
        <w:rPr>
          <w:color w:val="005DA1"/>
          <w:spacing w:val="74"/>
          <w:vertAlign w:val="baseline"/>
        </w:rPr>
        <w:t>  </w:t>
      </w:r>
      <w:r>
        <w:rPr>
          <w:color w:val="005DA1"/>
          <w:spacing w:val="-11"/>
          <w:position w:val="-2"/>
          <w:vertAlign w:val="baseline"/>
        </w:rPr>
        <w:drawing>
          <wp:inline distT="0" distB="0" distL="0" distR="0">
            <wp:extent cx="107988" cy="107988"/>
            <wp:effectExtent l="0" t="0" r="0" b="0"/>
            <wp:docPr id="1049" name="Image 1049"/>
            <wp:cNvGraphicFramePr>
              <a:graphicFrameLocks/>
            </wp:cNvGraphicFramePr>
            <a:graphic>
              <a:graphicData uri="http://schemas.openxmlformats.org/drawingml/2006/picture">
                <pic:pic>
                  <pic:nvPicPr>
                    <pic:cNvPr id="1049" name="Image 10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8"/>
          <w:vertAlign w:val="baseline"/>
        </w:rPr>
        <w:t> </w:t>
      </w:r>
      <w:r>
        <w:rPr>
          <w:vertAlign w:val="baseline"/>
        </w:rPr>
        <w:t>or</w:t>
      </w:r>
      <w:r>
        <w:rPr>
          <w:spacing w:val="30"/>
          <w:vertAlign w:val="baseline"/>
        </w:rPr>
        <w:t> </w:t>
      </w:r>
      <w:r>
        <w:rPr>
          <w:vertAlign w:val="baseline"/>
        </w:rPr>
        <w:t>(if</w:t>
      </w:r>
      <w:r>
        <w:rPr>
          <w:spacing w:val="30"/>
          <w:vertAlign w:val="baseline"/>
        </w:rPr>
        <w:t> </w:t>
      </w:r>
      <w:r>
        <w:rPr>
          <w:vertAlign w:val="baseline"/>
        </w:rPr>
        <w:t>applicable)</w:t>
      </w:r>
      <w:r>
        <w:rPr>
          <w:spacing w:val="30"/>
          <w:vertAlign w:val="baseline"/>
        </w:rPr>
        <w:t> </w:t>
      </w:r>
      <w:r>
        <w:rPr>
          <w:vertAlign w:val="baseline"/>
        </w:rPr>
        <w:t>the</w:t>
      </w:r>
      <w:r>
        <w:rPr>
          <w:spacing w:val="30"/>
          <w:vertAlign w:val="baseline"/>
        </w:rPr>
        <w:t> </w:t>
      </w:r>
      <w:r>
        <w:rPr>
          <w:vertAlign w:val="baseline"/>
        </w:rPr>
        <w:t>Consumer</w:t>
      </w:r>
      <w:r>
        <w:rPr>
          <w:spacing w:val="30"/>
          <w:vertAlign w:val="baseline"/>
        </w:rPr>
        <w:t> </w:t>
      </w:r>
      <w:r>
        <w:rPr>
          <w:vertAlign w:val="baseline"/>
        </w:rPr>
        <w:t>Rights</w:t>
      </w:r>
      <w:r>
        <w:rPr>
          <w:spacing w:val="29"/>
          <w:vertAlign w:val="baseline"/>
        </w:rPr>
        <w:t> </w:t>
      </w:r>
      <w:r>
        <w:rPr>
          <w:vertAlign w:val="baseline"/>
        </w:rPr>
        <w:t>Act</w:t>
      </w:r>
      <w:r>
        <w:rPr>
          <w:spacing w:val="30"/>
          <w:vertAlign w:val="baseline"/>
        </w:rPr>
        <w:t> </w:t>
      </w:r>
      <w:r>
        <w:rPr>
          <w:vertAlign w:val="baseline"/>
        </w:rPr>
        <w:t>2015,</w:t>
      </w:r>
      <w:r>
        <w:rPr>
          <w:spacing w:val="30"/>
          <w:vertAlign w:val="baseline"/>
        </w:rPr>
        <w:t> </w:t>
      </w:r>
      <w:hyperlink w:history="true" w:anchor="_bookmark2418">
        <w:r>
          <w:rPr>
            <w:color w:val="005DA1"/>
            <w:u w:val="single" w:color="005DA1"/>
            <w:vertAlign w:val="superscript"/>
          </w:rPr>
          <w:t>1266</w:t>
        </w:r>
        <w:r>
          <w:rPr>
            <w:color w:val="005DA1"/>
            <w:spacing w:val="74"/>
            <w:vertAlign w:val="baseline"/>
          </w:rPr>
          <w:t>  </w:t>
        </w:r>
        <w:r>
          <w:rPr>
            <w:color w:val="005DA1"/>
            <w:spacing w:val="-11"/>
            <w:position w:val="-2"/>
            <w:vertAlign w:val="baseline"/>
          </w:rPr>
          <w:drawing>
            <wp:inline distT="0" distB="0" distL="0" distR="0">
              <wp:extent cx="107988" cy="107988"/>
              <wp:effectExtent l="0" t="0" r="0" b="0"/>
              <wp:docPr id="1050" name="Image 1050"/>
              <wp:cNvGraphicFramePr>
                <a:graphicFrameLocks/>
              </wp:cNvGraphicFramePr>
              <a:graphic>
                <a:graphicData uri="http://schemas.openxmlformats.org/drawingml/2006/picture">
                  <pic:pic>
                    <pic:nvPicPr>
                      <pic:cNvPr id="1050" name="Image 10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8"/>
            <w:vertAlign w:val="baseline"/>
          </w:rPr>
          <w:t> </w:t>
        </w:r>
        <w:r>
          <w:rPr>
            <w:vertAlign w:val="baseline"/>
          </w:rPr>
          <w:t>the</w:t>
        </w:r>
        <w:r>
          <w:rPr>
            <w:spacing w:val="30"/>
            <w:vertAlign w:val="baseline"/>
          </w:rPr>
          <w:t> </w:t>
        </w:r>
        <w:r>
          <w:rPr>
            <w:vertAlign w:val="baseline"/>
          </w:rPr>
          <w:t>courts</w:t>
        </w:r>
        <w:r>
          <w:rPr>
            <w:spacing w:val="30"/>
            <w:vertAlign w:val="baseline"/>
          </w:rPr>
          <w:t> </w:t>
        </w:r>
        <w:r>
          <w:rPr>
            <w:spacing w:val="-4"/>
            <w:vertAlign w:val="baseline"/>
          </w:rPr>
          <w:t>will</w:t>
        </w:r>
      </w:hyperlink>
    </w:p>
    <w:p>
      <w:pPr>
        <w:pStyle w:val="BodyText"/>
        <w:spacing w:line="235" w:lineRule="auto" w:before="118"/>
        <w:ind w:left="165" w:right="167"/>
        <w:jc w:val="both"/>
      </w:pPr>
      <w:r>
        <w:rPr/>
        <w:t>enforce</w:t>
      </w:r>
      <w:r>
        <w:rPr>
          <w:spacing w:val="-3"/>
        </w:rPr>
        <w:t> </w:t>
      </w:r>
      <w:r>
        <w:rPr/>
        <w:t>these</w:t>
      </w:r>
      <w:r>
        <w:rPr>
          <w:spacing w:val="-3"/>
        </w:rPr>
        <w:t> </w:t>
      </w:r>
      <w:r>
        <w:rPr/>
        <w:t>terms,</w:t>
      </w:r>
      <w:r>
        <w:rPr>
          <w:spacing w:val="-3"/>
        </w:rPr>
        <w:t> </w:t>
      </w:r>
      <w:r>
        <w:rPr/>
        <w:t>despite</w:t>
      </w:r>
      <w:r>
        <w:rPr>
          <w:spacing w:val="-3"/>
        </w:rPr>
        <w:t> </w:t>
      </w:r>
      <w:r>
        <w:rPr/>
        <w:t>the</w:t>
      </w:r>
      <w:r>
        <w:rPr>
          <w:spacing w:val="-3"/>
        </w:rPr>
        <w:t> </w:t>
      </w:r>
      <w:r>
        <w:rPr/>
        <w:t>unexpected</w:t>
      </w:r>
      <w:r>
        <w:rPr>
          <w:spacing w:val="-3"/>
        </w:rPr>
        <w:t> </w:t>
      </w:r>
      <w:r>
        <w:rPr/>
        <w:t>results</w:t>
      </w:r>
      <w:r>
        <w:rPr>
          <w:spacing w:val="-3"/>
        </w:rPr>
        <w:t> </w:t>
      </w:r>
      <w:r>
        <w:rPr/>
        <w:t>which</w:t>
      </w:r>
      <w:r>
        <w:rPr>
          <w:spacing w:val="-3"/>
        </w:rPr>
        <w:t> </w:t>
      </w:r>
      <w:r>
        <w:rPr/>
        <w:t>may</w:t>
      </w:r>
      <w:r>
        <w:rPr>
          <w:spacing w:val="-3"/>
        </w:rPr>
        <w:t> </w:t>
      </w:r>
      <w:r>
        <w:rPr/>
        <w:t>occur.</w:t>
      </w:r>
      <w:r>
        <w:rPr>
          <w:spacing w:val="-3"/>
        </w:rPr>
        <w:t> </w:t>
      </w:r>
      <w:r>
        <w:rPr/>
        <w:t>In</w:t>
      </w:r>
      <w:r>
        <w:rPr>
          <w:spacing w:val="-3"/>
        </w:rPr>
        <w:t> </w:t>
      </w:r>
      <w:r>
        <w:rPr/>
        <w:t>one</w:t>
      </w:r>
      <w:r>
        <w:rPr>
          <w:spacing w:val="-3"/>
        </w:rPr>
        <w:t> </w:t>
      </w:r>
      <w:r>
        <w:rPr/>
        <w:t>case,</w:t>
      </w:r>
      <w:r>
        <w:rPr>
          <w:spacing w:val="-4"/>
        </w:rPr>
        <w:t> </w:t>
      </w:r>
      <w:hyperlink w:history="true" w:anchor="_bookmark2419">
        <w:r>
          <w:rPr>
            <w:color w:val="005DA1"/>
            <w:u w:val="single" w:color="005DA1"/>
            <w:vertAlign w:val="superscript"/>
          </w:rPr>
          <w:t>1267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051" name="Image 1051"/>
              <wp:cNvGraphicFramePr>
                <a:graphicFrameLocks/>
              </wp:cNvGraphicFramePr>
              <a:graphic>
                <a:graphicData uri="http://schemas.openxmlformats.org/drawingml/2006/picture">
                  <pic:pic>
                    <pic:nvPicPr>
                      <pic:cNvPr id="1051" name="Image 10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a</w:t>
        </w:r>
        <w:r>
          <w:rPr>
            <w:spacing w:val="-3"/>
            <w:vertAlign w:val="baseline"/>
          </w:rPr>
          <w:t> </w:t>
        </w:r>
        <w:r>
          <w:rPr>
            <w:vertAlign w:val="baseline"/>
          </w:rPr>
          <w:t>clause</w:t>
        </w:r>
        <w:r>
          <w:rPr>
            <w:spacing w:val="-3"/>
            <w:vertAlign w:val="baseline"/>
          </w:rPr>
          <w:t> </w:t>
        </w:r>
        <w:r>
          <w:rPr>
            <w:vertAlign w:val="baseline"/>
          </w:rPr>
          <w:t>in a contract for the sale of goods provided that if the sellers made default in shipping, the </w:t>
        </w:r>
        <w:r>
          <w:rPr>
            <w:vertAlign w:val="baseline"/>
          </w:rPr>
          <w:t>contract should “be closed by invoicing back the goods” at the closing price fixed by the London Corn Trade Association. The sellers failed to ship, and the Association declared a closing price, which, because</w:t>
        </w:r>
        <w:r>
          <w:rPr>
            <w:spacing w:val="80"/>
            <w:vertAlign w:val="baseline"/>
          </w:rPr>
          <w:t> </w:t>
        </w:r>
        <w:r>
          <w:rPr>
            <w:vertAlign w:val="baseline"/>
          </w:rPr>
          <w:t>of a fall in market price, was lower than the contract price, so that a balance was due in favour of the </w:t>
        </w:r>
        <w:bookmarkStart w:name="_bookmark2410" w:id="2412"/>
        <w:bookmarkEnd w:id="2412"/>
        <w:r>
          <w:rPr>
            <w:vertAlign w:val="baseline"/>
          </w:rPr>
          <w:t>sellers.</w:t>
        </w:r>
        <w:r>
          <w:rPr>
            <w:spacing w:val="14"/>
            <w:vertAlign w:val="baseline"/>
          </w:rPr>
          <w:t> </w:t>
        </w:r>
        <w:r>
          <w:rPr>
            <w:vertAlign w:val="baseline"/>
          </w:rPr>
          <w:t>Nevertheless,</w:t>
        </w:r>
        <w:r>
          <w:rPr>
            <w:spacing w:val="14"/>
            <w:vertAlign w:val="baseline"/>
          </w:rPr>
          <w:t> </w:t>
        </w:r>
        <w:r>
          <w:rPr>
            <w:vertAlign w:val="baseline"/>
          </w:rPr>
          <w:t>the</w:t>
        </w:r>
        <w:r>
          <w:rPr>
            <w:spacing w:val="14"/>
            <w:vertAlign w:val="baseline"/>
          </w:rPr>
          <w:t> </w:t>
        </w:r>
        <w:r>
          <w:rPr>
            <w:vertAlign w:val="baseline"/>
          </w:rPr>
          <w:t>Court</w:t>
        </w:r>
        <w:r>
          <w:rPr>
            <w:spacing w:val="14"/>
            <w:vertAlign w:val="baseline"/>
          </w:rPr>
          <w:t> </w:t>
        </w:r>
        <w:r>
          <w:rPr>
            <w:vertAlign w:val="baseline"/>
          </w:rPr>
          <w:t>of</w:t>
        </w:r>
        <w:r>
          <w:rPr>
            <w:spacing w:val="14"/>
            <w:vertAlign w:val="baseline"/>
          </w:rPr>
          <w:t> </w:t>
        </w:r>
        <w:r>
          <w:rPr>
            <w:vertAlign w:val="baseline"/>
          </w:rPr>
          <w:t>Appeal</w:t>
        </w:r>
        <w:r>
          <w:rPr>
            <w:spacing w:val="14"/>
            <w:vertAlign w:val="baseline"/>
          </w:rPr>
          <w:t> </w:t>
        </w:r>
        <w:r>
          <w:rPr>
            <w:vertAlign w:val="baseline"/>
          </w:rPr>
          <w:t>enforced</w:t>
        </w:r>
        <w:r>
          <w:rPr>
            <w:spacing w:val="14"/>
            <w:vertAlign w:val="baseline"/>
          </w:rPr>
          <w:t> </w:t>
        </w:r>
        <w:r>
          <w:rPr>
            <w:vertAlign w:val="baseline"/>
          </w:rPr>
          <w:t>the</w:t>
        </w:r>
        <w:r>
          <w:rPr>
            <w:spacing w:val="14"/>
            <w:vertAlign w:val="baseline"/>
          </w:rPr>
          <w:t> </w:t>
        </w:r>
        <w:r>
          <w:rPr>
            <w:vertAlign w:val="baseline"/>
          </w:rPr>
          <w:t>clause,</w:t>
        </w:r>
        <w:r>
          <w:rPr>
            <w:spacing w:val="14"/>
            <w:vertAlign w:val="baseline"/>
          </w:rPr>
          <w:t> </w:t>
        </w:r>
        <w:r>
          <w:rPr>
            <w:vertAlign w:val="baseline"/>
          </w:rPr>
          <w:t>despite</w:t>
        </w:r>
        <w:r>
          <w:rPr>
            <w:spacing w:val="14"/>
            <w:vertAlign w:val="baseline"/>
          </w:rPr>
          <w:t> </w:t>
        </w:r>
        <w:r>
          <w:rPr>
            <w:vertAlign w:val="baseline"/>
          </w:rPr>
          <w:t>the</w:t>
        </w:r>
        <w:r>
          <w:rPr>
            <w:spacing w:val="14"/>
            <w:vertAlign w:val="baseline"/>
          </w:rPr>
          <w:t> </w:t>
        </w:r>
        <w:r>
          <w:rPr>
            <w:vertAlign w:val="baseline"/>
          </w:rPr>
          <w:t>fact</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sellers</w:t>
        </w:r>
        <w:r>
          <w:rPr>
            <w:spacing w:val="14"/>
            <w:vertAlign w:val="baseline"/>
          </w:rPr>
          <w:t> </w:t>
        </w:r>
        <w:r>
          <w:rPr>
            <w:spacing w:val="-4"/>
            <w:vertAlign w:val="baseline"/>
          </w:rPr>
          <w:t>were</w:t>
        </w:r>
      </w:hyperlink>
    </w:p>
    <w:p>
      <w:pPr>
        <w:pStyle w:val="BodyText"/>
        <w:spacing w:line="360" w:lineRule="auto" w:before="114"/>
        <w:ind w:left="165" w:right="167"/>
        <w:jc w:val="both"/>
      </w:pPr>
      <w:bookmarkStart w:name="_bookmark2411" w:id="2413"/>
      <w:bookmarkEnd w:id="2413"/>
      <w:r>
        <w:rPr/>
      </w:r>
      <w:r>
        <w:rPr/>
        <w:t>the party in default. </w:t>
      </w:r>
      <w:hyperlink w:history="true" w:anchor="_bookmark2420">
        <w:r>
          <w:rPr>
            <w:color w:val="005DA1"/>
            <w:u w:val="single" w:color="005DA1"/>
            <w:vertAlign w:val="superscript"/>
          </w:rPr>
          <w:t>1268</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052" name="Image 1052"/>
              <wp:cNvGraphicFramePr>
                <a:graphicFrameLocks/>
              </wp:cNvGraphicFramePr>
              <a:graphic>
                <a:graphicData uri="http://schemas.openxmlformats.org/drawingml/2006/picture">
                  <pic:pic>
                    <pic:nvPicPr>
                      <pic:cNvPr id="1052" name="Image 10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An “invoicing back” clause may not be interpreted as the exclusive </w:t>
        </w:r>
        <w:bookmarkStart w:name="_bookmark2412" w:id="2414"/>
        <w:bookmarkEnd w:id="2414"/>
        <w:r>
          <w:rPr>
            <w:vertAlign w:val="baseline"/>
          </w:rPr>
          <w:t>remedy,</w:t>
        </w:r>
        <w:r>
          <w:rPr>
            <w:spacing w:val="11"/>
            <w:vertAlign w:val="baseline"/>
          </w:rPr>
          <w:t> </w:t>
        </w:r>
        <w:hyperlink w:history="true" w:anchor="_bookmark2421">
          <w:r>
            <w:rPr>
              <w:color w:val="005DA1"/>
              <w:u w:val="single" w:color="005DA1"/>
              <w:vertAlign w:val="superscript"/>
            </w:rPr>
            <w:t>1269</w:t>
          </w:r>
          <w:r>
            <w:rPr>
              <w:color w:val="005DA1"/>
              <w:spacing w:val="46"/>
              <w:vertAlign w:val="baseline"/>
            </w:rPr>
            <w:t>  </w:t>
          </w:r>
          <w:r>
            <w:rPr>
              <w:color w:val="005DA1"/>
              <w:spacing w:val="-15"/>
              <w:position w:val="-2"/>
              <w:vertAlign w:val="baseline"/>
            </w:rPr>
            <w:drawing>
              <wp:inline distT="0" distB="0" distL="0" distR="0">
                <wp:extent cx="107988" cy="107988"/>
                <wp:effectExtent l="0" t="0" r="0" b="0"/>
                <wp:docPr id="1053" name="Image 1053"/>
                <wp:cNvGraphicFramePr>
                  <a:graphicFrameLocks/>
                </wp:cNvGraphicFramePr>
                <a:graphic>
                  <a:graphicData uri="http://schemas.openxmlformats.org/drawingml/2006/picture">
                    <pic:pic>
                      <pic:nvPicPr>
                        <pic:cNvPr id="1053" name="Image 10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3"/>
              <w:vertAlign w:val="baseline"/>
            </w:rPr>
            <w:t> </w:t>
          </w:r>
          <w:r>
            <w:rPr>
              <w:vertAlign w:val="baseline"/>
            </w:rPr>
            <w:t>e.g.</w:t>
          </w:r>
          <w:r>
            <w:rPr>
              <w:spacing w:val="11"/>
              <w:vertAlign w:val="baseline"/>
            </w:rPr>
            <w:t> </w:t>
          </w:r>
          <w:r>
            <w:rPr>
              <w:vertAlign w:val="baseline"/>
            </w:rPr>
            <w:t>the</w:t>
          </w:r>
          <w:r>
            <w:rPr>
              <w:spacing w:val="12"/>
              <w:vertAlign w:val="baseline"/>
            </w:rPr>
            <w:t> </w:t>
          </w:r>
          <w:r>
            <w:rPr>
              <w:vertAlign w:val="baseline"/>
            </w:rPr>
            <w:t>clause</w:t>
          </w:r>
          <w:r>
            <w:rPr>
              <w:spacing w:val="12"/>
              <w:vertAlign w:val="baseline"/>
            </w:rPr>
            <w:t> </w:t>
          </w:r>
          <w:r>
            <w:rPr>
              <w:vertAlign w:val="baseline"/>
            </w:rPr>
            <w:t>may</w:t>
          </w:r>
          <w:r>
            <w:rPr>
              <w:spacing w:val="12"/>
              <w:vertAlign w:val="baseline"/>
            </w:rPr>
            <w:t> </w:t>
          </w:r>
          <w:r>
            <w:rPr>
              <w:vertAlign w:val="baseline"/>
            </w:rPr>
            <w:t>not</w:t>
          </w:r>
          <w:r>
            <w:rPr>
              <w:spacing w:val="12"/>
              <w:vertAlign w:val="baseline"/>
            </w:rPr>
            <w:t> </w:t>
          </w:r>
          <w:r>
            <w:rPr>
              <w:vertAlign w:val="baseline"/>
            </w:rPr>
            <w:t>prevent</w:t>
          </w:r>
          <w:r>
            <w:rPr>
              <w:spacing w:val="11"/>
              <w:vertAlign w:val="baseline"/>
            </w:rPr>
            <w:t> </w:t>
          </w:r>
          <w:r>
            <w:rPr>
              <w:vertAlign w:val="baseline"/>
            </w:rPr>
            <w:t>the</w:t>
          </w:r>
          <w:r>
            <w:rPr>
              <w:spacing w:val="12"/>
              <w:vertAlign w:val="baseline"/>
            </w:rPr>
            <w:t> </w:t>
          </w:r>
          <w:r>
            <w:rPr>
              <w:vertAlign w:val="baseline"/>
            </w:rPr>
            <w:t>buyer</w:t>
          </w:r>
          <w:r>
            <w:rPr>
              <w:spacing w:val="12"/>
              <w:vertAlign w:val="baseline"/>
            </w:rPr>
            <w:t> </w:t>
          </w:r>
          <w:r>
            <w:rPr>
              <w:vertAlign w:val="baseline"/>
            </w:rPr>
            <w:t>obtaining</w:t>
          </w:r>
          <w:r>
            <w:rPr>
              <w:spacing w:val="12"/>
              <w:vertAlign w:val="baseline"/>
            </w:rPr>
            <w:t> </w:t>
          </w:r>
          <w:r>
            <w:rPr>
              <w:vertAlign w:val="baseline"/>
            </w:rPr>
            <w:t>damages</w:t>
          </w:r>
          <w:r>
            <w:rPr>
              <w:spacing w:val="12"/>
              <w:vertAlign w:val="baseline"/>
            </w:rPr>
            <w:t> </w:t>
          </w:r>
          <w:r>
            <w:rPr>
              <w:vertAlign w:val="baseline"/>
            </w:rPr>
            <w:t>for</w:t>
          </w:r>
          <w:r>
            <w:rPr>
              <w:spacing w:val="11"/>
              <w:vertAlign w:val="baseline"/>
            </w:rPr>
            <w:t> </w:t>
          </w:r>
          <w:r>
            <w:rPr>
              <w:vertAlign w:val="baseline"/>
            </w:rPr>
            <w:t>his</w:t>
          </w:r>
          <w:r>
            <w:rPr>
              <w:spacing w:val="12"/>
              <w:vertAlign w:val="baseline"/>
            </w:rPr>
            <w:t> </w:t>
          </w:r>
          <w:r>
            <w:rPr>
              <w:vertAlign w:val="baseline"/>
            </w:rPr>
            <w:t>loss</w:t>
          </w:r>
          <w:r>
            <w:rPr>
              <w:spacing w:val="12"/>
              <w:vertAlign w:val="baseline"/>
            </w:rPr>
            <w:t> </w:t>
          </w:r>
          <w:r>
            <w:rPr>
              <w:vertAlign w:val="baseline"/>
            </w:rPr>
            <w:t>of</w:t>
          </w:r>
          <w:r>
            <w:rPr>
              <w:spacing w:val="12"/>
              <w:vertAlign w:val="baseline"/>
            </w:rPr>
            <w:t> </w:t>
          </w:r>
          <w:r>
            <w:rPr>
              <w:spacing w:val="-2"/>
              <w:vertAlign w:val="baseline"/>
            </w:rPr>
            <w:t>profits,</w:t>
          </w:r>
        </w:hyperlink>
      </w:hyperlink>
    </w:p>
    <w:p>
      <w:pPr>
        <w:pStyle w:val="BodyText"/>
        <w:spacing w:line="235" w:lineRule="auto" w:before="124"/>
        <w:ind w:left="165" w:right="167"/>
        <w:jc w:val="both"/>
      </w:pPr>
      <w:bookmarkStart w:name="_bookmark2413" w:id="2415"/>
      <w:bookmarkEnd w:id="2415"/>
      <w:r>
        <w:rPr/>
      </w:r>
      <w:r>
        <w:rPr>
          <w:color w:val="005DA1"/>
          <w:u w:val="single" w:color="005DA1"/>
          <w:vertAlign w:val="superscript"/>
        </w:rPr>
        <w:t>1270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054" name="Image 1054"/>
            <wp:cNvGraphicFramePr>
              <a:graphicFrameLocks/>
            </wp:cNvGraphicFramePr>
            <a:graphic>
              <a:graphicData uri="http://schemas.openxmlformats.org/drawingml/2006/picture">
                <pic:pic>
                  <pic:nvPicPr>
                    <pic:cNvPr id="1054" name="Image 10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6"/>
          <w:vertAlign w:val="baseline"/>
        </w:rPr>
        <w:t> </w:t>
      </w:r>
      <w:r>
        <w:rPr>
          <w:vertAlign w:val="baseline"/>
        </w:rPr>
        <w:t>and judges have interpreted such clauses restrictively. </w:t>
      </w:r>
      <w:hyperlink w:history="true" w:anchor="_bookmark2423">
        <w:r>
          <w:rPr>
            <w:color w:val="005DA1"/>
            <w:u w:val="single" w:color="005DA1"/>
            <w:vertAlign w:val="superscript"/>
          </w:rPr>
          <w:t>1271</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055" name="Image 1055"/>
              <wp:cNvGraphicFramePr>
                <a:graphicFrameLocks/>
              </wp:cNvGraphicFramePr>
              <a:graphic>
                <a:graphicData uri="http://schemas.openxmlformats.org/drawingml/2006/picture">
                  <pic:pic>
                    <pic:nvPicPr>
                      <pic:cNvPr id="1055" name="Image 10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6"/>
            <w:vertAlign w:val="baseline"/>
          </w:rPr>
          <w:t> </w:t>
        </w:r>
        <w:r>
          <w:rPr>
            <w:vertAlign w:val="baseline"/>
          </w:rPr>
          <w:t>An “invoicing back” clause may also allow a percentage of the market price to be added to, or deducted from, the price, which </w:t>
        </w:r>
        <w:r>
          <w:rPr>
            <w:vertAlign w:val="baseline"/>
          </w:rPr>
          <w:t>if </w:t>
        </w:r>
        <w:bookmarkStart w:name="_bookmark2414" w:id="2416"/>
        <w:bookmarkEnd w:id="2416"/>
        <w:r>
          <w:rPr>
            <w:vertAlign w:val="baseline"/>
          </w:rPr>
          <w:t>reasonable,</w:t>
        </w:r>
        <w:r>
          <w:rPr>
            <w:spacing w:val="31"/>
            <w:vertAlign w:val="baseline"/>
          </w:rPr>
          <w:t> </w:t>
        </w:r>
        <w:r>
          <w:rPr>
            <w:vertAlign w:val="baseline"/>
          </w:rPr>
          <w:t>will</w:t>
        </w:r>
        <w:r>
          <w:rPr>
            <w:spacing w:val="31"/>
            <w:vertAlign w:val="baseline"/>
          </w:rPr>
          <w:t> </w:t>
        </w:r>
        <w:r>
          <w:rPr>
            <w:vertAlign w:val="baseline"/>
          </w:rPr>
          <w:t>be</w:t>
        </w:r>
        <w:r>
          <w:rPr>
            <w:spacing w:val="31"/>
            <w:vertAlign w:val="baseline"/>
          </w:rPr>
          <w:t> </w:t>
        </w:r>
        <w:r>
          <w:rPr>
            <w:vertAlign w:val="baseline"/>
          </w:rPr>
          <w:t>upheld</w:t>
        </w:r>
        <w:r>
          <w:rPr>
            <w:spacing w:val="31"/>
            <w:vertAlign w:val="baseline"/>
          </w:rPr>
          <w:t> </w:t>
        </w:r>
        <w:r>
          <w:rPr>
            <w:vertAlign w:val="baseline"/>
          </w:rPr>
          <w:t>as</w:t>
        </w:r>
        <w:r>
          <w:rPr>
            <w:spacing w:val="31"/>
            <w:vertAlign w:val="baseline"/>
          </w:rPr>
          <w:t> </w:t>
        </w:r>
        <w:r>
          <w:rPr>
            <w:vertAlign w:val="baseline"/>
          </w:rPr>
          <w:t>liquidated</w:t>
        </w:r>
        <w:r>
          <w:rPr>
            <w:spacing w:val="31"/>
            <w:vertAlign w:val="baseline"/>
          </w:rPr>
          <w:t> </w:t>
        </w:r>
        <w:r>
          <w:rPr>
            <w:vertAlign w:val="baseline"/>
          </w:rPr>
          <w:t>damages</w:t>
        </w:r>
        <w:r>
          <w:rPr>
            <w:spacing w:val="31"/>
            <w:vertAlign w:val="baseline"/>
          </w:rPr>
          <w:t> </w:t>
        </w:r>
        <w:r>
          <w:rPr>
            <w:vertAlign w:val="baseline"/>
          </w:rPr>
          <w:t>covering</w:t>
        </w:r>
        <w:r>
          <w:rPr>
            <w:spacing w:val="31"/>
            <w:vertAlign w:val="baseline"/>
          </w:rPr>
          <w:t> </w:t>
        </w:r>
        <w:r>
          <w:rPr>
            <w:vertAlign w:val="baseline"/>
          </w:rPr>
          <w:t>items</w:t>
        </w:r>
        <w:r>
          <w:rPr>
            <w:spacing w:val="31"/>
            <w:vertAlign w:val="baseline"/>
          </w:rPr>
          <w:t> </w:t>
        </w:r>
        <w:r>
          <w:rPr>
            <w:vertAlign w:val="baseline"/>
          </w:rPr>
          <w:t>of</w:t>
        </w:r>
        <w:r>
          <w:rPr>
            <w:spacing w:val="31"/>
            <w:vertAlign w:val="baseline"/>
          </w:rPr>
          <w:t> </w:t>
        </w:r>
        <w:r>
          <w:rPr>
            <w:vertAlign w:val="baseline"/>
          </w:rPr>
          <w:t>loss</w:t>
        </w:r>
        <w:r>
          <w:rPr>
            <w:spacing w:val="31"/>
            <w:vertAlign w:val="baseline"/>
          </w:rPr>
          <w:t> </w:t>
        </w:r>
        <w:r>
          <w:rPr>
            <w:vertAlign w:val="baseline"/>
          </w:rPr>
          <w:t>not</w:t>
        </w:r>
        <w:r>
          <w:rPr>
            <w:spacing w:val="31"/>
            <w:vertAlign w:val="baseline"/>
          </w:rPr>
          <w:t> </w:t>
        </w:r>
        <w:r>
          <w:rPr>
            <w:vertAlign w:val="baseline"/>
          </w:rPr>
          <w:t>covered</w:t>
        </w:r>
        <w:r>
          <w:rPr>
            <w:spacing w:val="31"/>
            <w:vertAlign w:val="baseline"/>
          </w:rPr>
          <w:t> </w:t>
        </w:r>
        <w:r>
          <w:rPr>
            <w:vertAlign w:val="baseline"/>
          </w:rPr>
          <w:t>by</w:t>
        </w:r>
        <w:r>
          <w:rPr>
            <w:spacing w:val="31"/>
            <w:vertAlign w:val="baseline"/>
          </w:rPr>
          <w:t> </w:t>
        </w:r>
        <w:r>
          <w:rPr>
            <w:vertAlign w:val="baseline"/>
          </w:rPr>
          <w:t>the</w:t>
        </w:r>
        <w:r>
          <w:rPr>
            <w:spacing w:val="31"/>
            <w:vertAlign w:val="baseline"/>
          </w:rPr>
          <w:t> </w:t>
        </w:r>
        <w:r>
          <w:rPr>
            <w:spacing w:val="-2"/>
            <w:vertAlign w:val="baseline"/>
          </w:rPr>
          <w:t>price</w:t>
        </w:r>
      </w:hyperlink>
    </w:p>
    <w:p>
      <w:pPr>
        <w:pStyle w:val="BodyText"/>
        <w:spacing w:before="115"/>
        <w:ind w:left="165"/>
        <w:jc w:val="both"/>
        <w:rPr>
          <w:position w:val="-2"/>
        </w:rPr>
      </w:pPr>
      <w:r>
        <w:rPr/>
        <w:t>alone. </w:t>
      </w:r>
      <w:hyperlink w:history="true" w:anchor="_bookmark2424">
        <w:r>
          <w:rPr>
            <w:color w:val="005DA1"/>
            <w:u w:val="single" w:color="005DA1"/>
            <w:vertAlign w:val="superscript"/>
          </w:rPr>
          <w:t>1272</w:t>
        </w:r>
        <w:r>
          <w:rPr>
            <w:color w:val="005DA1"/>
            <w:spacing w:val="80"/>
            <w:vertAlign w:val="baseline"/>
          </w:rPr>
          <w:t> </w:t>
        </w:r>
        <w:r>
          <w:rPr>
            <w:color w:val="005DA1"/>
            <w:position w:val="-2"/>
            <w:vertAlign w:val="baseline"/>
          </w:rPr>
          <w:drawing>
            <wp:inline distT="0" distB="0" distL="0" distR="0">
              <wp:extent cx="107988" cy="107988"/>
              <wp:effectExtent l="0" t="0" r="0" b="0"/>
              <wp:docPr id="1056" name="Image 1056"/>
              <wp:cNvGraphicFramePr>
                <a:graphicFrameLocks/>
              </wp:cNvGraphicFramePr>
              <a:graphic>
                <a:graphicData uri="http://schemas.openxmlformats.org/drawingml/2006/picture">
                  <pic:pic>
                    <pic:nvPicPr>
                      <pic:cNvPr id="1056" name="Image 10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725056">
                <wp:simplePos x="0" y="0"/>
                <wp:positionH relativeFrom="page">
                  <wp:posOffset>914400</wp:posOffset>
                </wp:positionH>
                <wp:positionV relativeFrom="paragraph">
                  <wp:posOffset>186202</wp:posOffset>
                </wp:positionV>
                <wp:extent cx="5724525" cy="1270"/>
                <wp:effectExtent l="0" t="0" r="0" b="0"/>
                <wp:wrapTopAndBottom/>
                <wp:docPr id="1057" name="Graphic 1057"/>
                <wp:cNvGraphicFramePr>
                  <a:graphicFrameLocks/>
                </wp:cNvGraphicFramePr>
                <a:graphic>
                  <a:graphicData uri="http://schemas.microsoft.com/office/word/2010/wordprocessingShape">
                    <wps:wsp>
                      <wps:cNvPr id="1057" name="Graphic 10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161pt;width:450.75pt;height:.1pt;mso-position-horizontal-relative:page;mso-position-vertical-relative:paragraph;z-index:-15591424;mso-wrap-distance-left:0;mso-wrap-distance-right:0" id="docshape105"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pStyle w:val="BodyText"/>
        <w:ind w:left="165"/>
      </w:pPr>
      <w:bookmarkStart w:name="_bookmark2415" w:id="2417"/>
      <w:bookmarkEnd w:id="2417"/>
      <w:r>
        <w:rPr/>
      </w:r>
      <w:hyperlink w:history="true" w:anchor="_bookmark2405">
        <w:r>
          <w:rPr>
            <w:color w:val="005DA1"/>
            <w:u w:val="single" w:color="005DA1"/>
            <w:vertAlign w:val="superscript"/>
          </w:rPr>
          <w:t>1263</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1058" name="Image 1058"/>
            <wp:cNvGraphicFramePr>
              <a:graphicFrameLocks/>
            </wp:cNvGraphicFramePr>
            <a:graphic>
              <a:graphicData uri="http://schemas.openxmlformats.org/drawingml/2006/picture">
                <pic:pic>
                  <pic:nvPicPr>
                    <pic:cNvPr id="1058" name="Image 10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w:t>
      </w:r>
      <w:r>
        <w:rPr>
          <w:spacing w:val="2"/>
          <w:vertAlign w:val="baseline"/>
        </w:rPr>
        <w:t> </w:t>
      </w:r>
      <w:r>
        <w:rPr>
          <w:vertAlign w:val="baseline"/>
        </w:rPr>
        <w:t>exemption</w:t>
      </w:r>
      <w:r>
        <w:rPr>
          <w:spacing w:val="2"/>
          <w:vertAlign w:val="baseline"/>
        </w:rPr>
        <w:t> </w:t>
      </w:r>
      <w:r>
        <w:rPr>
          <w:vertAlign w:val="baseline"/>
        </w:rPr>
        <w:t>clauses,</w:t>
      </w:r>
      <w:r>
        <w:rPr>
          <w:spacing w:val="3"/>
          <w:vertAlign w:val="baseline"/>
        </w:rPr>
        <w:t> </w:t>
      </w:r>
      <w:r>
        <w:rPr>
          <w:vertAlign w:val="baseline"/>
        </w:rPr>
        <w:t>see</w:t>
      </w:r>
      <w:r>
        <w:rPr>
          <w:spacing w:val="2"/>
          <w:vertAlign w:val="baseline"/>
        </w:rPr>
        <w:t> </w:t>
      </w:r>
      <w:r>
        <w:rPr>
          <w:vertAlign w:val="baseline"/>
        </w:rPr>
        <w:t>Vol.I,</w:t>
      </w:r>
      <w:r>
        <w:rPr>
          <w:spacing w:val="2"/>
          <w:vertAlign w:val="baseline"/>
        </w:rPr>
        <w:t> </w:t>
      </w:r>
      <w:r>
        <w:rPr>
          <w:vertAlign w:val="baseline"/>
        </w:rPr>
        <w:t>Ch.15,</w:t>
      </w:r>
      <w:r>
        <w:rPr>
          <w:spacing w:val="3"/>
          <w:vertAlign w:val="baseline"/>
        </w:rPr>
        <w:t> </w:t>
      </w:r>
      <w:r>
        <w:rPr>
          <w:spacing w:val="-2"/>
          <w:vertAlign w:val="baseline"/>
        </w:rPr>
        <w:t>above.</w:t>
      </w:r>
    </w:p>
    <w:p>
      <w:pPr>
        <w:pStyle w:val="BodyText"/>
        <w:spacing w:line="580" w:lineRule="atLeast" w:before="5"/>
        <w:ind w:left="165" w:right="5659"/>
      </w:pPr>
      <w:bookmarkStart w:name="_bookmark2416" w:id="2418"/>
      <w:bookmarkEnd w:id="2418"/>
      <w:r>
        <w:rPr/>
      </w:r>
      <w:hyperlink w:history="true" w:anchor="_bookmark2406">
        <w:r>
          <w:rPr>
            <w:color w:val="005DA1"/>
            <w:u w:val="single" w:color="005DA1"/>
            <w:vertAlign w:val="superscript"/>
          </w:rPr>
          <w:t>1264</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1059" name="Image 1059"/>
            <wp:cNvGraphicFramePr>
              <a:graphicFrameLocks/>
            </wp:cNvGraphicFramePr>
            <a:graphic>
              <a:graphicData uri="http://schemas.openxmlformats.org/drawingml/2006/picture">
                <pic:pic>
                  <pic:nvPicPr>
                    <pic:cNvPr id="1059" name="Image 10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Above, paras 26-178 et seq.</w:t>
      </w:r>
      <w:r>
        <w:rPr>
          <w:spacing w:val="40"/>
          <w:vertAlign w:val="baseline"/>
        </w:rPr>
        <w:t> </w:t>
      </w:r>
      <w:bookmarkStart w:name="_bookmark2417" w:id="2419"/>
      <w:bookmarkEnd w:id="2419"/>
      <w:r>
        <w:rPr>
          <w:vertAlign w:val="baseline"/>
        </w:rPr>
      </w:r>
      <w:hyperlink w:history="true" w:anchor="_bookmark2407">
        <w:r>
          <w:rPr>
            <w:color w:val="005DA1"/>
            <w:u w:val="single" w:color="005DA1"/>
            <w:vertAlign w:val="superscript"/>
          </w:rPr>
          <w:t>1265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60" name="Image 1060"/>
            <wp:cNvGraphicFramePr>
              <a:graphicFrameLocks/>
            </wp:cNvGraphicFramePr>
            <a:graphic>
              <a:graphicData uri="http://schemas.openxmlformats.org/drawingml/2006/picture">
                <pic:pic>
                  <pic:nvPicPr>
                    <pic:cNvPr id="1060" name="Image 10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paras 15-066 et seq. </w:t>
      </w:r>
      <w:bookmarkStart w:name="_bookmark2418" w:id="2420"/>
      <w:bookmarkEnd w:id="2420"/>
      <w:r>
        <w:rPr>
          <w:vertAlign w:val="baseline"/>
        </w:rPr>
      </w:r>
      <w:hyperlink w:history="true" w:anchor="_bookmark2408">
        <w:r>
          <w:rPr>
            <w:color w:val="005DA1"/>
            <w:u w:val="single" w:color="005DA1"/>
            <w:vertAlign w:val="superscript"/>
          </w:rPr>
          <w:t>1266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1061" name="Image 1061"/>
            <wp:cNvGraphicFramePr>
              <a:graphicFrameLocks/>
            </wp:cNvGraphicFramePr>
            <a:graphic>
              <a:graphicData uri="http://schemas.openxmlformats.org/drawingml/2006/picture">
                <pic:pic>
                  <pic:nvPicPr>
                    <pic:cNvPr id="1061" name="Image 10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Vol.II,</w:t>
      </w:r>
      <w:r>
        <w:rPr>
          <w:spacing w:val="3"/>
          <w:vertAlign w:val="baseline"/>
        </w:rPr>
        <w:t> </w:t>
      </w:r>
      <w:r>
        <w:rPr>
          <w:vertAlign w:val="baseline"/>
        </w:rPr>
        <w:t>paras</w:t>
      </w:r>
      <w:r>
        <w:rPr>
          <w:spacing w:val="3"/>
          <w:vertAlign w:val="baseline"/>
        </w:rPr>
        <w:t> </w:t>
      </w:r>
      <w:r>
        <w:rPr>
          <w:vertAlign w:val="baseline"/>
        </w:rPr>
        <w:t>38-334</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35"/>
      </w:pPr>
    </w:p>
    <w:p>
      <w:pPr>
        <w:spacing w:before="0"/>
        <w:ind w:left="165" w:right="0" w:firstLine="0"/>
        <w:jc w:val="left"/>
        <w:rPr>
          <w:rFonts w:ascii="Arial"/>
          <w:i/>
          <w:sz w:val="20"/>
        </w:rPr>
      </w:pPr>
      <w:bookmarkStart w:name="_bookmark2419" w:id="2421"/>
      <w:bookmarkEnd w:id="2421"/>
      <w:r>
        <w:rPr/>
      </w:r>
      <w:hyperlink w:history="true" w:anchor="_bookmark2409">
        <w:r>
          <w:rPr>
            <w:color w:val="005DA1"/>
            <w:sz w:val="20"/>
            <w:u w:val="single" w:color="005DA1"/>
            <w:vertAlign w:val="superscript"/>
          </w:rPr>
          <w:t>1267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062" name="Image 1062"/>
            <wp:cNvGraphicFramePr>
              <a:graphicFrameLocks/>
            </wp:cNvGraphicFramePr>
            <a:graphic>
              <a:graphicData uri="http://schemas.openxmlformats.org/drawingml/2006/picture">
                <pic:pic>
                  <pic:nvPicPr>
                    <pic:cNvPr id="1062" name="Image 10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Lancaster</w:t>
      </w:r>
      <w:r>
        <w:rPr>
          <w:rFonts w:ascii="Arial"/>
          <w:i/>
          <w:spacing w:val="6"/>
          <w:sz w:val="20"/>
          <w:vertAlign w:val="baseline"/>
        </w:rPr>
        <w:t> </w:t>
      </w:r>
      <w:r>
        <w:rPr>
          <w:rFonts w:ascii="Arial"/>
          <w:i/>
          <w:sz w:val="20"/>
          <w:vertAlign w:val="baseline"/>
        </w:rPr>
        <w:t>v</w:t>
      </w:r>
      <w:r>
        <w:rPr>
          <w:rFonts w:ascii="Arial"/>
          <w:i/>
          <w:spacing w:val="6"/>
          <w:sz w:val="20"/>
          <w:vertAlign w:val="baseline"/>
        </w:rPr>
        <w:t> </w:t>
      </w:r>
      <w:r>
        <w:rPr>
          <w:rFonts w:ascii="Arial"/>
          <w:i/>
          <w:sz w:val="20"/>
          <w:vertAlign w:val="baseline"/>
        </w:rPr>
        <w:t>J.F.</w:t>
      </w:r>
      <w:r>
        <w:rPr>
          <w:rFonts w:ascii="Arial"/>
          <w:i/>
          <w:spacing w:val="6"/>
          <w:sz w:val="20"/>
          <w:vertAlign w:val="baseline"/>
        </w:rPr>
        <w:t> </w:t>
      </w:r>
      <w:r>
        <w:rPr>
          <w:rFonts w:ascii="Arial"/>
          <w:i/>
          <w:sz w:val="20"/>
          <w:vertAlign w:val="baseline"/>
        </w:rPr>
        <w:t>Turner</w:t>
      </w:r>
      <w:r>
        <w:rPr>
          <w:rFonts w:ascii="Arial"/>
          <w:i/>
          <w:spacing w:val="6"/>
          <w:sz w:val="20"/>
          <w:vertAlign w:val="baseline"/>
        </w:rPr>
        <w:t> </w:t>
      </w:r>
      <w:r>
        <w:rPr>
          <w:rFonts w:ascii="Arial"/>
          <w:i/>
          <w:sz w:val="20"/>
          <w:vertAlign w:val="baseline"/>
        </w:rPr>
        <w:t>&amp;</w:t>
      </w:r>
      <w:r>
        <w:rPr>
          <w:rFonts w:ascii="Arial"/>
          <w:i/>
          <w:spacing w:val="6"/>
          <w:sz w:val="20"/>
          <w:vertAlign w:val="baseline"/>
        </w:rPr>
        <w:t> </w:t>
      </w:r>
      <w:r>
        <w:rPr>
          <w:rFonts w:ascii="Arial"/>
          <w:i/>
          <w:sz w:val="20"/>
          <w:vertAlign w:val="baseline"/>
        </w:rPr>
        <w:t>Co</w:t>
      </w:r>
      <w:r>
        <w:rPr>
          <w:rFonts w:ascii="Arial"/>
          <w:i/>
          <w:spacing w:val="6"/>
          <w:sz w:val="20"/>
          <w:vertAlign w:val="baseline"/>
        </w:rPr>
        <w:t> </w:t>
      </w:r>
      <w:r>
        <w:rPr>
          <w:rFonts w:ascii="Arial"/>
          <w:i/>
          <w:sz w:val="20"/>
          <w:vertAlign w:val="baseline"/>
        </w:rPr>
        <w:t>Ltd</w:t>
      </w:r>
      <w:r>
        <w:rPr>
          <w:rFonts w:ascii="Arial"/>
          <w:i/>
          <w:spacing w:val="6"/>
          <w:sz w:val="20"/>
          <w:vertAlign w:val="baseline"/>
        </w:rPr>
        <w:t> </w:t>
      </w:r>
      <w:r>
        <w:rPr>
          <w:rFonts w:ascii="Arial"/>
          <w:i/>
          <w:sz w:val="20"/>
          <w:vertAlign w:val="baseline"/>
        </w:rPr>
        <w:t>[1924]</w:t>
      </w:r>
      <w:r>
        <w:rPr>
          <w:rFonts w:ascii="Arial"/>
          <w:i/>
          <w:spacing w:val="7"/>
          <w:sz w:val="20"/>
          <w:vertAlign w:val="baseline"/>
        </w:rPr>
        <w:t> </w:t>
      </w:r>
      <w:r>
        <w:rPr>
          <w:rFonts w:ascii="Arial"/>
          <w:i/>
          <w:sz w:val="20"/>
          <w:vertAlign w:val="baseline"/>
        </w:rPr>
        <w:t>2</w:t>
      </w:r>
      <w:r>
        <w:rPr>
          <w:rFonts w:ascii="Arial"/>
          <w:i/>
          <w:spacing w:val="6"/>
          <w:sz w:val="20"/>
          <w:vertAlign w:val="baseline"/>
        </w:rPr>
        <w:t> </w:t>
      </w:r>
      <w:r>
        <w:rPr>
          <w:rFonts w:ascii="Arial"/>
          <w:i/>
          <w:sz w:val="20"/>
          <w:vertAlign w:val="baseline"/>
        </w:rPr>
        <w:t>K.B.</w:t>
      </w:r>
      <w:r>
        <w:rPr>
          <w:rFonts w:ascii="Arial"/>
          <w:i/>
          <w:spacing w:val="6"/>
          <w:sz w:val="20"/>
          <w:vertAlign w:val="baseline"/>
        </w:rPr>
        <w:t> </w:t>
      </w:r>
      <w:r>
        <w:rPr>
          <w:rFonts w:ascii="Arial"/>
          <w:i/>
          <w:sz w:val="20"/>
          <w:vertAlign w:val="baseline"/>
        </w:rPr>
        <w:t>222</w:t>
      </w:r>
      <w:r>
        <w:rPr>
          <w:rFonts w:ascii="Arial"/>
          <w:i/>
          <w:spacing w:val="6"/>
          <w:sz w:val="20"/>
          <w:vertAlign w:val="baseline"/>
        </w:rPr>
        <w:t> </w:t>
      </w:r>
      <w:r>
        <w:rPr>
          <w:sz w:val="20"/>
          <w:vertAlign w:val="baseline"/>
        </w:rPr>
        <w:t>(Scrutton</w:t>
      </w:r>
      <w:r>
        <w:rPr>
          <w:spacing w:val="6"/>
          <w:sz w:val="20"/>
          <w:vertAlign w:val="baseline"/>
        </w:rPr>
        <w:t> </w:t>
      </w:r>
      <w:r>
        <w:rPr>
          <w:sz w:val="20"/>
          <w:vertAlign w:val="baseline"/>
        </w:rPr>
        <w:t>L.J.</w:t>
      </w:r>
      <w:r>
        <w:rPr>
          <w:spacing w:val="6"/>
          <w:sz w:val="20"/>
          <w:vertAlign w:val="baseline"/>
        </w:rPr>
        <w:t> </w:t>
      </w:r>
      <w:r>
        <w:rPr>
          <w:sz w:val="20"/>
          <w:vertAlign w:val="baseline"/>
        </w:rPr>
        <w:t>dissenting);</w:t>
      </w:r>
      <w:r>
        <w:rPr>
          <w:spacing w:val="6"/>
          <w:sz w:val="20"/>
          <w:vertAlign w:val="baseline"/>
        </w:rPr>
        <w:t> </w:t>
      </w:r>
      <w:r>
        <w:rPr>
          <w:sz w:val="20"/>
          <w:vertAlign w:val="baseline"/>
        </w:rPr>
        <w:t>followed</w:t>
      </w:r>
      <w:r>
        <w:rPr>
          <w:spacing w:val="7"/>
          <w:sz w:val="20"/>
          <w:vertAlign w:val="baseline"/>
        </w:rPr>
        <w:t> </w:t>
      </w:r>
      <w:r>
        <w:rPr>
          <w:sz w:val="20"/>
          <w:vertAlign w:val="baseline"/>
        </w:rPr>
        <w:t>in</w:t>
      </w:r>
      <w:r>
        <w:rPr>
          <w:spacing w:val="6"/>
          <w:sz w:val="20"/>
          <w:vertAlign w:val="baseline"/>
        </w:rPr>
        <w:t> </w:t>
      </w:r>
      <w:r>
        <w:rPr>
          <w:rFonts w:ascii="Arial"/>
          <w:i/>
          <w:spacing w:val="-4"/>
          <w:sz w:val="20"/>
          <w:vertAlign w:val="baseline"/>
        </w:rPr>
        <w:t>J.F.</w:t>
      </w:r>
    </w:p>
    <w:p>
      <w:pPr>
        <w:spacing w:after="0"/>
        <w:jc w:val="left"/>
        <w:rPr>
          <w:rFonts w:ascii="Arial"/>
          <w:i/>
          <w:sz w:val="20"/>
        </w:rPr>
        <w:sectPr>
          <w:headerReference w:type="default" r:id="rId56"/>
          <w:pgSz w:w="11900" w:h="16840"/>
          <w:pgMar w:header="971" w:footer="0" w:top="1300" w:bottom="280" w:left="1275" w:right="1275"/>
          <w:pgNumType w:start="1"/>
        </w:sectPr>
      </w:pPr>
    </w:p>
    <w:p>
      <w:pPr>
        <w:spacing w:line="235" w:lineRule="auto" w:before="110"/>
        <w:ind w:left="705" w:right="168" w:firstLine="0"/>
        <w:jc w:val="both"/>
        <w:rPr>
          <w:sz w:val="20"/>
        </w:rPr>
      </w:pPr>
      <w:r>
        <w:rPr>
          <w:rFonts w:ascii="Arial" w:hAnsi="Arial"/>
          <w:i/>
          <w:sz w:val="20"/>
        </w:rPr>
        <w:t>Adair &amp; Co Ltd v Birnbaum [1939] 2 K.B. 149 </w:t>
      </w:r>
      <w:r>
        <w:rPr>
          <w:sz w:val="20"/>
        </w:rPr>
        <w:t>(and the earlier case noted, 173); </w:t>
      </w:r>
      <w:r>
        <w:rPr>
          <w:rFonts w:ascii="Arial" w:hAnsi="Arial"/>
          <w:i/>
          <w:sz w:val="20"/>
        </w:rPr>
        <w:t>Podar Trading Co Ltd v Tagher [1949] 2 K.B. 277</w:t>
      </w:r>
      <w:r>
        <w:rPr>
          <w:sz w:val="20"/>
        </w:rPr>
        <w:t>. cf. </w:t>
      </w:r>
      <w:r>
        <w:rPr>
          <w:rFonts w:ascii="Arial" w:hAnsi="Arial"/>
          <w:i/>
          <w:sz w:val="20"/>
        </w:rPr>
        <w:t>James Laing, Son &amp; Co Ltd v Eastcheap Dried Fruit Co Ltd [1961] 2 Lloyd’s Rep. 277</w:t>
      </w:r>
      <w:r>
        <w:rPr>
          <w:sz w:val="20"/>
        </w:rPr>
        <w:t>.</w:t>
      </w:r>
    </w:p>
    <w:p>
      <w:pPr>
        <w:pStyle w:val="BodyText"/>
        <w:spacing w:before="12"/>
      </w:pPr>
    </w:p>
    <w:p>
      <w:pPr>
        <w:spacing w:line="137" w:lineRule="exact" w:before="1"/>
        <w:ind w:left="165" w:right="0" w:firstLine="0"/>
        <w:jc w:val="left"/>
        <w:rPr>
          <w:sz w:val="14"/>
        </w:rPr>
      </w:pPr>
      <w:bookmarkStart w:name="_bookmark2420" w:id="2422"/>
      <w:bookmarkEnd w:id="2422"/>
      <w:r>
        <w:rPr/>
      </w:r>
      <w:hyperlink w:history="true" w:anchor="_bookmark2410">
        <w:r>
          <w:rPr>
            <w:color w:val="005DA1"/>
            <w:spacing w:val="-2"/>
            <w:sz w:val="14"/>
            <w:u w:val="single" w:color="005DA1"/>
          </w:rPr>
          <w:t>1268</w:t>
        </w:r>
      </w:hyperlink>
      <w:r>
        <w:rPr>
          <w:spacing w:val="-2"/>
          <w:sz w:val="14"/>
        </w:rPr>
        <w:t>.</w:t>
      </w:r>
    </w:p>
    <w:p>
      <w:pPr>
        <w:pStyle w:val="BodyText"/>
        <w:spacing w:line="203" w:lineRule="exact"/>
        <w:ind w:left="875"/>
      </w:pPr>
      <w:r>
        <w:rPr/>
        <w:drawing>
          <wp:anchor distT="0" distB="0" distL="0" distR="0" allowOverlap="1" layoutInCell="1" locked="0" behindDoc="0" simplePos="0" relativeHeight="15866368">
            <wp:simplePos x="0" y="0"/>
            <wp:positionH relativeFrom="page">
              <wp:posOffset>1257846</wp:posOffset>
            </wp:positionH>
            <wp:positionV relativeFrom="paragraph">
              <wp:posOffset>12545</wp:posOffset>
            </wp:positionV>
            <wp:extent cx="107988" cy="107988"/>
            <wp:effectExtent l="0" t="0" r="0" b="0"/>
            <wp:wrapNone/>
            <wp:docPr id="1063" name="Image 1063"/>
            <wp:cNvGraphicFramePr>
              <a:graphicFrameLocks/>
            </wp:cNvGraphicFramePr>
            <a:graphic>
              <a:graphicData uri="http://schemas.openxmlformats.org/drawingml/2006/picture">
                <pic:pic>
                  <pic:nvPicPr>
                    <pic:cNvPr id="1063" name="Image 1063"/>
                    <pic:cNvPicPr/>
                  </pic:nvPicPr>
                  <pic:blipFill>
                    <a:blip r:embed="rId6" cstate="print"/>
                    <a:stretch>
                      <a:fillRect/>
                    </a:stretch>
                  </pic:blipFill>
                  <pic:spPr>
                    <a:xfrm>
                      <a:off x="0" y="0"/>
                      <a:ext cx="107988" cy="107988"/>
                    </a:xfrm>
                    <a:prstGeom prst="rect">
                      <a:avLst/>
                    </a:prstGeom>
                  </pic:spPr>
                </pic:pic>
              </a:graphicData>
            </a:graphic>
          </wp:anchor>
        </w:drawing>
      </w:r>
      <w:r>
        <w:rPr/>
        <w:t>Some clauses are drafted differently and avoid this difficulty, e.g. the clause may apply only </w:t>
      </w:r>
      <w:r>
        <w:rPr>
          <w:spacing w:val="-5"/>
        </w:rPr>
        <w:t>to</w:t>
      </w:r>
    </w:p>
    <w:p>
      <w:pPr>
        <w:spacing w:line="235" w:lineRule="auto" w:before="1"/>
        <w:ind w:left="705" w:right="168" w:firstLine="0"/>
        <w:jc w:val="both"/>
        <w:rPr>
          <w:sz w:val="20"/>
        </w:rPr>
      </w:pPr>
      <w:r>
        <w:rPr>
          <w:sz w:val="20"/>
        </w:rPr>
        <w:t>the defaulting buyer, and only if the market price has fallen: </w:t>
      </w:r>
      <w:r>
        <w:rPr>
          <w:rFonts w:ascii="Arial" w:hAnsi="Arial"/>
          <w:i/>
          <w:sz w:val="20"/>
        </w:rPr>
        <w:t>Alexandria Cotton and Trading Co (Sudan) Ltd v Cotton Co of Ethiopia Ltd [1963] 1 Lloyd’s Rep. 576</w:t>
      </w:r>
      <w:r>
        <w:rPr>
          <w:sz w:val="20"/>
        </w:rPr>
        <w:t>.</w:t>
      </w:r>
    </w:p>
    <w:p>
      <w:pPr>
        <w:pStyle w:val="BodyText"/>
        <w:spacing w:before="12"/>
      </w:pPr>
    </w:p>
    <w:p>
      <w:pPr>
        <w:spacing w:line="137" w:lineRule="exact" w:before="1"/>
        <w:ind w:left="165" w:right="0" w:firstLine="0"/>
        <w:jc w:val="left"/>
        <w:rPr>
          <w:sz w:val="14"/>
        </w:rPr>
      </w:pPr>
      <w:bookmarkStart w:name="_bookmark2421" w:id="2423"/>
      <w:bookmarkEnd w:id="2423"/>
      <w:r>
        <w:rPr/>
      </w:r>
      <w:hyperlink w:history="true" w:anchor="_bookmark2411">
        <w:r>
          <w:rPr>
            <w:color w:val="005DA1"/>
            <w:spacing w:val="-2"/>
            <w:sz w:val="14"/>
            <w:u w:val="single" w:color="005DA1"/>
          </w:rPr>
          <w:t>1269</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66880">
            <wp:simplePos x="0" y="0"/>
            <wp:positionH relativeFrom="page">
              <wp:posOffset>1257846</wp:posOffset>
            </wp:positionH>
            <wp:positionV relativeFrom="paragraph">
              <wp:posOffset>12524</wp:posOffset>
            </wp:positionV>
            <wp:extent cx="107988" cy="107988"/>
            <wp:effectExtent l="0" t="0" r="0" b="0"/>
            <wp:wrapNone/>
            <wp:docPr id="1064" name="Image 1064"/>
            <wp:cNvGraphicFramePr>
              <a:graphicFrameLocks/>
            </wp:cNvGraphicFramePr>
            <a:graphic>
              <a:graphicData uri="http://schemas.openxmlformats.org/drawingml/2006/picture">
                <pic:pic>
                  <pic:nvPicPr>
                    <pic:cNvPr id="1064" name="Image 106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Roth,</w:t>
      </w:r>
      <w:r>
        <w:rPr>
          <w:rFonts w:ascii="Arial"/>
          <w:i/>
          <w:spacing w:val="24"/>
          <w:sz w:val="20"/>
        </w:rPr>
        <w:t> </w:t>
      </w:r>
      <w:r>
        <w:rPr>
          <w:rFonts w:ascii="Arial"/>
          <w:i/>
          <w:sz w:val="20"/>
        </w:rPr>
        <w:t>Schmidt</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v</w:t>
      </w:r>
      <w:r>
        <w:rPr>
          <w:rFonts w:ascii="Arial"/>
          <w:i/>
          <w:spacing w:val="24"/>
          <w:sz w:val="20"/>
        </w:rPr>
        <w:t> </w:t>
      </w:r>
      <w:r>
        <w:rPr>
          <w:rFonts w:ascii="Arial"/>
          <w:i/>
          <w:sz w:val="20"/>
        </w:rPr>
        <w:t>D.</w:t>
      </w:r>
      <w:r>
        <w:rPr>
          <w:rFonts w:ascii="Arial"/>
          <w:i/>
          <w:spacing w:val="24"/>
          <w:sz w:val="20"/>
        </w:rPr>
        <w:t> </w:t>
      </w:r>
      <w:r>
        <w:rPr>
          <w:rFonts w:ascii="Arial"/>
          <w:i/>
          <w:sz w:val="20"/>
        </w:rPr>
        <w:t>Nagase</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Ltd</w:t>
      </w:r>
      <w:r>
        <w:rPr>
          <w:rFonts w:ascii="Arial"/>
          <w:i/>
          <w:spacing w:val="24"/>
          <w:sz w:val="20"/>
        </w:rPr>
        <w:t> </w:t>
      </w:r>
      <w:r>
        <w:rPr>
          <w:rFonts w:ascii="Arial"/>
          <w:i/>
          <w:sz w:val="20"/>
        </w:rPr>
        <w:t>(1920)</w:t>
      </w:r>
      <w:r>
        <w:rPr>
          <w:rFonts w:ascii="Arial"/>
          <w:i/>
          <w:spacing w:val="24"/>
          <w:sz w:val="20"/>
        </w:rPr>
        <w:t> </w:t>
      </w:r>
      <w:r>
        <w:rPr>
          <w:rFonts w:ascii="Arial"/>
          <w:i/>
          <w:sz w:val="20"/>
        </w:rPr>
        <w:t>2</w:t>
      </w:r>
      <w:r>
        <w:rPr>
          <w:rFonts w:ascii="Arial"/>
          <w:i/>
          <w:spacing w:val="24"/>
          <w:sz w:val="20"/>
        </w:rPr>
        <w:t> </w:t>
      </w:r>
      <w:r>
        <w:rPr>
          <w:rFonts w:ascii="Arial"/>
          <w:i/>
          <w:sz w:val="20"/>
        </w:rPr>
        <w:t>Ll.</w:t>
      </w:r>
      <w:r>
        <w:rPr>
          <w:rFonts w:ascii="Arial"/>
          <w:i/>
          <w:spacing w:val="24"/>
          <w:sz w:val="20"/>
        </w:rPr>
        <w:t> </w:t>
      </w:r>
      <w:r>
        <w:rPr>
          <w:rFonts w:ascii="Arial"/>
          <w:i/>
          <w:sz w:val="20"/>
        </w:rPr>
        <w:t>L.</w:t>
      </w:r>
      <w:r>
        <w:rPr>
          <w:rFonts w:ascii="Arial"/>
          <w:i/>
          <w:spacing w:val="24"/>
          <w:sz w:val="20"/>
        </w:rPr>
        <w:t> </w:t>
      </w:r>
      <w:r>
        <w:rPr>
          <w:rFonts w:ascii="Arial"/>
          <w:i/>
          <w:sz w:val="20"/>
        </w:rPr>
        <w:t>Rep.</w:t>
      </w:r>
      <w:r>
        <w:rPr>
          <w:rFonts w:ascii="Arial"/>
          <w:i/>
          <w:spacing w:val="24"/>
          <w:sz w:val="20"/>
        </w:rPr>
        <w:t> </w:t>
      </w:r>
      <w:r>
        <w:rPr>
          <w:rFonts w:ascii="Arial"/>
          <w:i/>
          <w:sz w:val="20"/>
        </w:rPr>
        <w:t>36</w:t>
      </w:r>
      <w:r>
        <w:rPr>
          <w:rFonts w:ascii="Arial"/>
          <w:i/>
          <w:spacing w:val="24"/>
          <w:sz w:val="20"/>
        </w:rPr>
        <w:t> </w:t>
      </w:r>
      <w:r>
        <w:rPr>
          <w:rFonts w:ascii="Arial"/>
          <w:i/>
          <w:sz w:val="20"/>
        </w:rPr>
        <w:t>CA</w:t>
      </w:r>
      <w:r>
        <w:rPr>
          <w:rFonts w:ascii="Arial"/>
          <w:i/>
          <w:spacing w:val="23"/>
          <w:sz w:val="20"/>
        </w:rPr>
        <w:t> </w:t>
      </w:r>
      <w:r>
        <w:rPr>
          <w:sz w:val="20"/>
        </w:rPr>
        <w:t>(the</w:t>
      </w:r>
      <w:r>
        <w:rPr>
          <w:spacing w:val="24"/>
          <w:sz w:val="20"/>
        </w:rPr>
        <w:t> </w:t>
      </w:r>
      <w:r>
        <w:rPr>
          <w:sz w:val="20"/>
        </w:rPr>
        <w:t>clause</w:t>
      </w:r>
      <w:r>
        <w:rPr>
          <w:spacing w:val="24"/>
          <w:sz w:val="20"/>
        </w:rPr>
        <w:t> </w:t>
      </w:r>
      <w:r>
        <w:rPr>
          <w:sz w:val="20"/>
        </w:rPr>
        <w:t>did</w:t>
      </w:r>
      <w:r>
        <w:rPr>
          <w:spacing w:val="24"/>
          <w:sz w:val="20"/>
        </w:rPr>
        <w:t> </w:t>
      </w:r>
      <w:r>
        <w:rPr>
          <w:spacing w:val="-5"/>
          <w:sz w:val="20"/>
        </w:rPr>
        <w:t>not</w:t>
      </w:r>
    </w:p>
    <w:p>
      <w:pPr>
        <w:pStyle w:val="BodyText"/>
        <w:spacing w:line="227" w:lineRule="exact"/>
        <w:ind w:left="705"/>
      </w:pPr>
      <w:r>
        <w:rPr/>
        <w:t>expressly exclude the right to reject the goods or to recover damages upon </w:t>
      </w:r>
      <w:r>
        <w:rPr>
          <w:spacing w:val="-2"/>
        </w:rPr>
        <w:t>rejection).</w:t>
      </w:r>
    </w:p>
    <w:p>
      <w:pPr>
        <w:pStyle w:val="BodyText"/>
        <w:spacing w:before="12"/>
      </w:pPr>
    </w:p>
    <w:p>
      <w:pPr>
        <w:spacing w:line="137" w:lineRule="exact" w:before="0"/>
        <w:ind w:left="165" w:right="0" w:firstLine="0"/>
        <w:jc w:val="left"/>
        <w:rPr>
          <w:sz w:val="14"/>
        </w:rPr>
      </w:pPr>
      <w:bookmarkStart w:name="_bookmark2422" w:id="2424"/>
      <w:bookmarkEnd w:id="2424"/>
      <w:r>
        <w:rPr/>
      </w:r>
      <w:hyperlink w:history="true" w:anchor="_bookmark2412">
        <w:r>
          <w:rPr>
            <w:color w:val="005DA1"/>
            <w:spacing w:val="-2"/>
            <w:sz w:val="14"/>
            <w:u w:val="single" w:color="005DA1"/>
          </w:rPr>
          <w:t>1270</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67392">
            <wp:simplePos x="0" y="0"/>
            <wp:positionH relativeFrom="page">
              <wp:posOffset>1257846</wp:posOffset>
            </wp:positionH>
            <wp:positionV relativeFrom="paragraph">
              <wp:posOffset>12676</wp:posOffset>
            </wp:positionV>
            <wp:extent cx="107988" cy="107988"/>
            <wp:effectExtent l="0" t="0" r="0" b="0"/>
            <wp:wrapNone/>
            <wp:docPr id="1065" name="Image 1065"/>
            <wp:cNvGraphicFramePr>
              <a:graphicFrameLocks/>
            </wp:cNvGraphicFramePr>
            <a:graphic>
              <a:graphicData uri="http://schemas.openxmlformats.org/drawingml/2006/picture">
                <pic:pic>
                  <pic:nvPicPr>
                    <pic:cNvPr id="1065" name="Image 106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Re</w:t>
      </w:r>
      <w:r>
        <w:rPr>
          <w:rFonts w:ascii="Arial"/>
          <w:i/>
          <w:spacing w:val="43"/>
          <w:sz w:val="20"/>
        </w:rPr>
        <w:t> </w:t>
      </w:r>
      <w:r>
        <w:rPr>
          <w:rFonts w:ascii="Arial"/>
          <w:i/>
          <w:sz w:val="20"/>
        </w:rPr>
        <w:t>Bourgeois</w:t>
      </w:r>
      <w:r>
        <w:rPr>
          <w:rFonts w:ascii="Arial"/>
          <w:i/>
          <w:spacing w:val="43"/>
          <w:sz w:val="20"/>
        </w:rPr>
        <w:t> </w:t>
      </w:r>
      <w:r>
        <w:rPr>
          <w:rFonts w:ascii="Arial"/>
          <w:i/>
          <w:sz w:val="20"/>
        </w:rPr>
        <w:t>and</w:t>
      </w:r>
      <w:r>
        <w:rPr>
          <w:rFonts w:ascii="Arial"/>
          <w:i/>
          <w:spacing w:val="43"/>
          <w:sz w:val="20"/>
        </w:rPr>
        <w:t> </w:t>
      </w:r>
      <w:r>
        <w:rPr>
          <w:rFonts w:ascii="Arial"/>
          <w:i/>
          <w:sz w:val="20"/>
        </w:rPr>
        <w:t>Wilson</w:t>
      </w:r>
      <w:r>
        <w:rPr>
          <w:rFonts w:ascii="Arial"/>
          <w:i/>
          <w:spacing w:val="43"/>
          <w:sz w:val="20"/>
        </w:rPr>
        <w:t> </w:t>
      </w:r>
      <w:r>
        <w:rPr>
          <w:rFonts w:ascii="Arial"/>
          <w:i/>
          <w:sz w:val="20"/>
        </w:rPr>
        <w:t>Holgate</w:t>
      </w:r>
      <w:r>
        <w:rPr>
          <w:rFonts w:ascii="Arial"/>
          <w:i/>
          <w:spacing w:val="43"/>
          <w:sz w:val="20"/>
        </w:rPr>
        <w:t> </w:t>
      </w:r>
      <w:r>
        <w:rPr>
          <w:rFonts w:ascii="Arial"/>
          <w:i/>
          <w:sz w:val="20"/>
        </w:rPr>
        <w:t>&amp;</w:t>
      </w:r>
      <w:r>
        <w:rPr>
          <w:rFonts w:ascii="Arial"/>
          <w:i/>
          <w:spacing w:val="43"/>
          <w:sz w:val="20"/>
        </w:rPr>
        <w:t> </w:t>
      </w:r>
      <w:r>
        <w:rPr>
          <w:rFonts w:ascii="Arial"/>
          <w:i/>
          <w:sz w:val="20"/>
        </w:rPr>
        <w:t>Co</w:t>
      </w:r>
      <w:r>
        <w:rPr>
          <w:rFonts w:ascii="Arial"/>
          <w:i/>
          <w:spacing w:val="43"/>
          <w:sz w:val="20"/>
        </w:rPr>
        <w:t> </w:t>
      </w:r>
      <w:r>
        <w:rPr>
          <w:rFonts w:ascii="Arial"/>
          <w:i/>
          <w:sz w:val="20"/>
        </w:rPr>
        <w:t>(1920)</w:t>
      </w:r>
      <w:r>
        <w:rPr>
          <w:rFonts w:ascii="Arial"/>
          <w:i/>
          <w:spacing w:val="43"/>
          <w:sz w:val="20"/>
        </w:rPr>
        <w:t> </w:t>
      </w:r>
      <w:r>
        <w:rPr>
          <w:rFonts w:ascii="Arial"/>
          <w:i/>
          <w:sz w:val="20"/>
        </w:rPr>
        <w:t>25</w:t>
      </w:r>
      <w:r>
        <w:rPr>
          <w:rFonts w:ascii="Arial"/>
          <w:i/>
          <w:spacing w:val="43"/>
          <w:sz w:val="20"/>
        </w:rPr>
        <w:t> </w:t>
      </w:r>
      <w:r>
        <w:rPr>
          <w:rFonts w:ascii="Arial"/>
          <w:i/>
          <w:sz w:val="20"/>
        </w:rPr>
        <w:t>Com.</w:t>
      </w:r>
      <w:r>
        <w:rPr>
          <w:rFonts w:ascii="Arial"/>
          <w:i/>
          <w:spacing w:val="43"/>
          <w:sz w:val="20"/>
        </w:rPr>
        <w:t> </w:t>
      </w:r>
      <w:r>
        <w:rPr>
          <w:rFonts w:ascii="Arial"/>
          <w:i/>
          <w:sz w:val="20"/>
        </w:rPr>
        <w:t>Cas.</w:t>
      </w:r>
      <w:r>
        <w:rPr>
          <w:rFonts w:ascii="Arial"/>
          <w:i/>
          <w:spacing w:val="43"/>
          <w:sz w:val="20"/>
        </w:rPr>
        <w:t> </w:t>
      </w:r>
      <w:r>
        <w:rPr>
          <w:rFonts w:ascii="Arial"/>
          <w:i/>
          <w:sz w:val="20"/>
        </w:rPr>
        <w:t>260</w:t>
      </w:r>
      <w:r>
        <w:rPr>
          <w:rFonts w:ascii="Arial"/>
          <w:i/>
          <w:spacing w:val="42"/>
          <w:sz w:val="20"/>
        </w:rPr>
        <w:t> </w:t>
      </w:r>
      <w:r>
        <w:rPr>
          <w:sz w:val="20"/>
        </w:rPr>
        <w:t>(the</w:t>
      </w:r>
      <w:r>
        <w:rPr>
          <w:spacing w:val="43"/>
          <w:sz w:val="20"/>
        </w:rPr>
        <w:t> </w:t>
      </w:r>
      <w:r>
        <w:rPr>
          <w:sz w:val="20"/>
        </w:rPr>
        <w:t>Court</w:t>
      </w:r>
      <w:r>
        <w:rPr>
          <w:spacing w:val="43"/>
          <w:sz w:val="20"/>
        </w:rPr>
        <w:t> </w:t>
      </w:r>
      <w:r>
        <w:rPr>
          <w:sz w:val="20"/>
        </w:rPr>
        <w:t>of</w:t>
      </w:r>
      <w:r>
        <w:rPr>
          <w:spacing w:val="43"/>
          <w:sz w:val="20"/>
        </w:rPr>
        <w:t> </w:t>
      </w:r>
      <w:r>
        <w:rPr>
          <w:spacing w:val="-2"/>
          <w:sz w:val="20"/>
        </w:rPr>
        <w:t>Appeal</w:t>
      </w:r>
    </w:p>
    <w:p>
      <w:pPr>
        <w:pStyle w:val="BodyText"/>
        <w:spacing w:line="235" w:lineRule="auto" w:before="1"/>
        <w:ind w:left="705" w:right="174"/>
      </w:pPr>
      <w:r>
        <w:rPr/>
        <w:t>decided in this case that the seller in these circumstances could not enforce the clause against the buyer).</w:t>
      </w:r>
    </w:p>
    <w:p>
      <w:pPr>
        <w:pStyle w:val="BodyText"/>
        <w:spacing w:before="13"/>
      </w:pPr>
    </w:p>
    <w:p>
      <w:pPr>
        <w:spacing w:line="137" w:lineRule="exact" w:before="0"/>
        <w:ind w:left="165" w:right="0" w:firstLine="0"/>
        <w:jc w:val="left"/>
        <w:rPr>
          <w:sz w:val="14"/>
        </w:rPr>
      </w:pPr>
      <w:bookmarkStart w:name="_bookmark2423" w:id="2425"/>
      <w:bookmarkEnd w:id="2425"/>
      <w:r>
        <w:rPr/>
      </w:r>
      <w:hyperlink w:history="true" w:anchor="_bookmark2413">
        <w:r>
          <w:rPr>
            <w:color w:val="005DA1"/>
            <w:spacing w:val="-2"/>
            <w:sz w:val="14"/>
            <w:u w:val="single" w:color="005DA1"/>
          </w:rPr>
          <w:t>1271</w:t>
        </w:r>
      </w:hyperlink>
      <w:r>
        <w:rPr>
          <w:spacing w:val="-2"/>
          <w:sz w:val="14"/>
        </w:rPr>
        <w:t>.</w:t>
      </w:r>
    </w:p>
    <w:p>
      <w:pPr>
        <w:pStyle w:val="BodyText"/>
        <w:spacing w:line="203" w:lineRule="exact"/>
        <w:ind w:left="875"/>
      </w:pPr>
      <w:r>
        <w:rPr/>
        <w:drawing>
          <wp:anchor distT="0" distB="0" distL="0" distR="0" allowOverlap="1" layoutInCell="1" locked="0" behindDoc="0" simplePos="0" relativeHeight="15867904">
            <wp:simplePos x="0" y="0"/>
            <wp:positionH relativeFrom="page">
              <wp:posOffset>1257846</wp:posOffset>
            </wp:positionH>
            <wp:positionV relativeFrom="paragraph">
              <wp:posOffset>12655</wp:posOffset>
            </wp:positionV>
            <wp:extent cx="107988" cy="107988"/>
            <wp:effectExtent l="0" t="0" r="0" b="0"/>
            <wp:wrapNone/>
            <wp:docPr id="1066" name="Image 1066"/>
            <wp:cNvGraphicFramePr>
              <a:graphicFrameLocks/>
            </wp:cNvGraphicFramePr>
            <a:graphic>
              <a:graphicData uri="http://schemas.openxmlformats.org/drawingml/2006/picture">
                <pic:pic>
                  <pic:nvPicPr>
                    <pic:cNvPr id="1066" name="Image 1066"/>
                    <pic:cNvPicPr/>
                  </pic:nvPicPr>
                  <pic:blipFill>
                    <a:blip r:embed="rId6" cstate="print"/>
                    <a:stretch>
                      <a:fillRect/>
                    </a:stretch>
                  </pic:blipFill>
                  <pic:spPr>
                    <a:xfrm>
                      <a:off x="0" y="0"/>
                      <a:ext cx="107988" cy="107988"/>
                    </a:xfrm>
                    <a:prstGeom prst="rect">
                      <a:avLst/>
                    </a:prstGeom>
                  </pic:spPr>
                </pic:pic>
              </a:graphicData>
            </a:graphic>
          </wp:anchor>
        </w:drawing>
      </w:r>
      <w:r>
        <w:rPr/>
        <w:t>One</w:t>
      </w:r>
      <w:r>
        <w:rPr>
          <w:spacing w:val="13"/>
        </w:rPr>
        <w:t> </w:t>
      </w:r>
      <w:r>
        <w:rPr/>
        <w:t>judge</w:t>
      </w:r>
      <w:r>
        <w:rPr>
          <w:spacing w:val="13"/>
        </w:rPr>
        <w:t> </w:t>
      </w:r>
      <w:r>
        <w:rPr/>
        <w:t>has</w:t>
      </w:r>
      <w:r>
        <w:rPr>
          <w:spacing w:val="13"/>
        </w:rPr>
        <w:t> </w:t>
      </w:r>
      <w:r>
        <w:rPr/>
        <w:t>held</w:t>
      </w:r>
      <w:r>
        <w:rPr>
          <w:spacing w:val="13"/>
        </w:rPr>
        <w:t> </w:t>
      </w:r>
      <w:r>
        <w:rPr/>
        <w:t>that</w:t>
      </w:r>
      <w:r>
        <w:rPr>
          <w:spacing w:val="13"/>
        </w:rPr>
        <w:t> </w:t>
      </w:r>
      <w:r>
        <w:rPr/>
        <w:t>the</w:t>
      </w:r>
      <w:r>
        <w:rPr>
          <w:spacing w:val="13"/>
        </w:rPr>
        <w:t> </w:t>
      </w:r>
      <w:r>
        <w:rPr/>
        <w:t>interpretation</w:t>
      </w:r>
      <w:r>
        <w:rPr>
          <w:spacing w:val="13"/>
        </w:rPr>
        <w:t> </w:t>
      </w:r>
      <w:r>
        <w:rPr/>
        <w:t>of</w:t>
      </w:r>
      <w:r>
        <w:rPr>
          <w:spacing w:val="13"/>
        </w:rPr>
        <w:t> </w:t>
      </w:r>
      <w:r>
        <w:rPr/>
        <w:t>a</w:t>
      </w:r>
      <w:r>
        <w:rPr>
          <w:spacing w:val="13"/>
        </w:rPr>
        <w:t> </w:t>
      </w:r>
      <w:r>
        <w:rPr/>
        <w:t>clause</w:t>
      </w:r>
      <w:r>
        <w:rPr>
          <w:spacing w:val="13"/>
        </w:rPr>
        <w:t> </w:t>
      </w:r>
      <w:r>
        <w:rPr/>
        <w:t>which</w:t>
      </w:r>
      <w:r>
        <w:rPr>
          <w:spacing w:val="13"/>
        </w:rPr>
        <w:t> </w:t>
      </w:r>
      <w:r>
        <w:rPr/>
        <w:t>requires</w:t>
      </w:r>
      <w:r>
        <w:rPr>
          <w:spacing w:val="13"/>
        </w:rPr>
        <w:t> </w:t>
      </w:r>
      <w:r>
        <w:rPr/>
        <w:t>damages</w:t>
      </w:r>
      <w:r>
        <w:rPr>
          <w:spacing w:val="13"/>
        </w:rPr>
        <w:t> </w:t>
      </w:r>
      <w:r>
        <w:rPr/>
        <w:t>to</w:t>
      </w:r>
      <w:r>
        <w:rPr>
          <w:spacing w:val="13"/>
        </w:rPr>
        <w:t> </w:t>
      </w:r>
      <w:r>
        <w:rPr/>
        <w:t>be</w:t>
      </w:r>
      <w:r>
        <w:rPr>
          <w:spacing w:val="13"/>
        </w:rPr>
        <w:t> </w:t>
      </w:r>
      <w:r>
        <w:rPr/>
        <w:t>paid</w:t>
      </w:r>
      <w:r>
        <w:rPr>
          <w:spacing w:val="13"/>
        </w:rPr>
        <w:t> </w:t>
      </w:r>
      <w:r>
        <w:rPr>
          <w:spacing w:val="-5"/>
        </w:rPr>
        <w:t>to</w:t>
      </w:r>
    </w:p>
    <w:p>
      <w:pPr>
        <w:spacing w:line="235" w:lineRule="auto" w:before="1"/>
        <w:ind w:left="705" w:right="167" w:firstLine="0"/>
        <w:jc w:val="left"/>
        <w:rPr>
          <w:rFonts w:ascii="Arial" w:hAnsi="Arial"/>
          <w:i/>
          <w:sz w:val="20"/>
        </w:rPr>
      </w:pPr>
      <w:r>
        <w:rPr>
          <w:sz w:val="20"/>
        </w:rPr>
        <w:t>the defaulting party is contrary to “natural justice”: </w:t>
      </w:r>
      <w:r>
        <w:rPr>
          <w:rFonts w:ascii="Arial" w:hAnsi="Arial"/>
          <w:i/>
          <w:sz w:val="20"/>
        </w:rPr>
        <w:t>Cassir, Moore &amp; Co Ltd v Eastcheap </w:t>
      </w:r>
      <w:r>
        <w:rPr>
          <w:rFonts w:ascii="Arial" w:hAnsi="Arial"/>
          <w:i/>
          <w:sz w:val="20"/>
        </w:rPr>
        <w:t>Dried</w:t>
      </w:r>
      <w:r>
        <w:rPr>
          <w:rFonts w:ascii="Arial" w:hAnsi="Arial"/>
          <w:i/>
          <w:spacing w:val="40"/>
          <w:sz w:val="20"/>
        </w:rPr>
        <w:t> </w:t>
      </w:r>
      <w:r>
        <w:rPr>
          <w:rFonts w:ascii="Arial" w:hAnsi="Arial"/>
          <w:i/>
          <w:sz w:val="20"/>
        </w:rPr>
        <w:t>Fruit</w:t>
      </w:r>
      <w:r>
        <w:rPr>
          <w:rFonts w:ascii="Arial" w:hAnsi="Arial"/>
          <w:i/>
          <w:spacing w:val="17"/>
          <w:sz w:val="20"/>
        </w:rPr>
        <w:t> </w:t>
      </w:r>
      <w:r>
        <w:rPr>
          <w:rFonts w:ascii="Arial" w:hAnsi="Arial"/>
          <w:i/>
          <w:sz w:val="20"/>
        </w:rPr>
        <w:t>Co</w:t>
      </w:r>
      <w:r>
        <w:rPr>
          <w:rFonts w:ascii="Arial" w:hAnsi="Arial"/>
          <w:i/>
          <w:spacing w:val="18"/>
          <w:sz w:val="20"/>
        </w:rPr>
        <w:t> </w:t>
      </w:r>
      <w:r>
        <w:rPr>
          <w:rFonts w:ascii="Arial" w:hAnsi="Arial"/>
          <w:i/>
          <w:sz w:val="20"/>
        </w:rPr>
        <w:t>[1962]</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400,</w:t>
      </w:r>
      <w:r>
        <w:rPr>
          <w:rFonts w:ascii="Arial" w:hAnsi="Arial"/>
          <w:i/>
          <w:spacing w:val="18"/>
          <w:sz w:val="20"/>
        </w:rPr>
        <w:t> </w:t>
      </w:r>
      <w:r>
        <w:rPr>
          <w:rFonts w:ascii="Arial" w:hAnsi="Arial"/>
          <w:i/>
          <w:sz w:val="20"/>
        </w:rPr>
        <w:t>402</w:t>
      </w:r>
      <w:r>
        <w:rPr>
          <w:sz w:val="20"/>
        </w:rPr>
        <w:t>.</w:t>
      </w:r>
      <w:r>
        <w:rPr>
          <w:spacing w:val="18"/>
          <w:sz w:val="20"/>
        </w:rPr>
        <w:t> </w:t>
      </w:r>
      <w:r>
        <w:rPr>
          <w:sz w:val="20"/>
        </w:rPr>
        <w:t>See</w:t>
      </w:r>
      <w:r>
        <w:rPr>
          <w:spacing w:val="18"/>
          <w:sz w:val="20"/>
        </w:rPr>
        <w:t> </w:t>
      </w:r>
      <w:r>
        <w:rPr>
          <w:sz w:val="20"/>
        </w:rPr>
        <w:t>also</w:t>
      </w:r>
      <w:r>
        <w:rPr>
          <w:spacing w:val="18"/>
          <w:sz w:val="20"/>
        </w:rPr>
        <w:t> </w:t>
      </w:r>
      <w:r>
        <w:rPr>
          <w:sz w:val="20"/>
        </w:rPr>
        <w:t>the</w:t>
      </w:r>
      <w:r>
        <w:rPr>
          <w:spacing w:val="18"/>
          <w:sz w:val="20"/>
        </w:rPr>
        <w:t> </w:t>
      </w:r>
      <w:r>
        <w:rPr>
          <w:sz w:val="20"/>
        </w:rPr>
        <w:t>qualifications</w:t>
      </w:r>
      <w:r>
        <w:rPr>
          <w:spacing w:val="18"/>
          <w:sz w:val="20"/>
        </w:rPr>
        <w:t> </w:t>
      </w:r>
      <w:r>
        <w:rPr>
          <w:sz w:val="20"/>
        </w:rPr>
        <w:t>suggested</w:t>
      </w:r>
      <w:r>
        <w:rPr>
          <w:spacing w:val="18"/>
          <w:sz w:val="20"/>
        </w:rPr>
        <w:t> </w:t>
      </w:r>
      <w:r>
        <w:rPr>
          <w:sz w:val="20"/>
        </w:rPr>
        <w:t>in</w:t>
      </w:r>
      <w:r>
        <w:rPr>
          <w:spacing w:val="18"/>
          <w:sz w:val="20"/>
        </w:rPr>
        <w:t> </w:t>
      </w:r>
      <w:r>
        <w:rPr>
          <w:rFonts w:ascii="Arial" w:hAnsi="Arial"/>
          <w:i/>
          <w:sz w:val="20"/>
        </w:rPr>
        <w:t>Lancaster</w:t>
      </w:r>
      <w:r>
        <w:rPr>
          <w:rFonts w:ascii="Arial" w:hAnsi="Arial"/>
          <w:i/>
          <w:spacing w:val="18"/>
          <w:sz w:val="20"/>
        </w:rPr>
        <w:t> </w:t>
      </w:r>
      <w:r>
        <w:rPr>
          <w:rFonts w:ascii="Arial" w:hAnsi="Arial"/>
          <w:i/>
          <w:spacing w:val="-10"/>
          <w:sz w:val="20"/>
        </w:rPr>
        <w:t>v</w:t>
      </w:r>
    </w:p>
    <w:p>
      <w:pPr>
        <w:spacing w:line="223" w:lineRule="exact" w:before="0"/>
        <w:ind w:left="705" w:right="0" w:firstLine="0"/>
        <w:jc w:val="left"/>
        <w:rPr>
          <w:rFonts w:ascii="Arial"/>
          <w:i/>
          <w:sz w:val="20"/>
        </w:rPr>
      </w:pPr>
      <w:r>
        <w:rPr>
          <w:rFonts w:ascii="Arial"/>
          <w:i/>
          <w:sz w:val="20"/>
        </w:rPr>
        <w:t>J.F.</w:t>
      </w:r>
      <w:r>
        <w:rPr>
          <w:rFonts w:ascii="Arial"/>
          <w:i/>
          <w:spacing w:val="3"/>
          <w:sz w:val="20"/>
        </w:rPr>
        <w:t> </w:t>
      </w:r>
      <w:r>
        <w:rPr>
          <w:rFonts w:ascii="Arial"/>
          <w:i/>
          <w:sz w:val="20"/>
        </w:rPr>
        <w:t>Turner</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z w:val="20"/>
        </w:rPr>
        <w:t>[1924]</w:t>
      </w:r>
      <w:r>
        <w:rPr>
          <w:rFonts w:ascii="Arial"/>
          <w:i/>
          <w:spacing w:val="4"/>
          <w:sz w:val="20"/>
        </w:rPr>
        <w:t> </w:t>
      </w:r>
      <w:r>
        <w:rPr>
          <w:rFonts w:ascii="Arial"/>
          <w:i/>
          <w:sz w:val="20"/>
        </w:rPr>
        <w:t>2</w:t>
      </w:r>
      <w:r>
        <w:rPr>
          <w:rFonts w:ascii="Arial"/>
          <w:i/>
          <w:spacing w:val="4"/>
          <w:sz w:val="20"/>
        </w:rPr>
        <w:t> </w:t>
      </w:r>
      <w:r>
        <w:rPr>
          <w:rFonts w:ascii="Arial"/>
          <w:i/>
          <w:sz w:val="20"/>
        </w:rPr>
        <w:t>K.B.</w:t>
      </w:r>
      <w:r>
        <w:rPr>
          <w:rFonts w:ascii="Arial"/>
          <w:i/>
          <w:spacing w:val="4"/>
          <w:sz w:val="20"/>
        </w:rPr>
        <w:t> </w:t>
      </w:r>
      <w:r>
        <w:rPr>
          <w:rFonts w:ascii="Arial"/>
          <w:i/>
          <w:sz w:val="20"/>
        </w:rPr>
        <w:t>222,</w:t>
      </w:r>
      <w:r>
        <w:rPr>
          <w:rFonts w:ascii="Arial"/>
          <w:i/>
          <w:spacing w:val="4"/>
          <w:sz w:val="20"/>
        </w:rPr>
        <w:t> </w:t>
      </w:r>
      <w:r>
        <w:rPr>
          <w:rFonts w:ascii="Arial"/>
          <w:i/>
          <w:sz w:val="20"/>
        </w:rPr>
        <w:t>231</w:t>
      </w:r>
      <w:r>
        <w:rPr>
          <w:sz w:val="20"/>
        </w:rPr>
        <w:t>;</w:t>
      </w:r>
      <w:r>
        <w:rPr>
          <w:spacing w:val="4"/>
          <w:sz w:val="20"/>
        </w:rPr>
        <w:t> </w:t>
      </w:r>
      <w:r>
        <w:rPr>
          <w:rFonts w:ascii="Arial"/>
          <w:i/>
          <w:sz w:val="20"/>
        </w:rPr>
        <w:t>J.F.</w:t>
      </w:r>
      <w:r>
        <w:rPr>
          <w:rFonts w:ascii="Arial"/>
          <w:i/>
          <w:spacing w:val="4"/>
          <w:sz w:val="20"/>
        </w:rPr>
        <w:t> </w:t>
      </w:r>
      <w:r>
        <w:rPr>
          <w:rFonts w:ascii="Arial"/>
          <w:i/>
          <w:sz w:val="20"/>
        </w:rPr>
        <w:t>Adair</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Birnbaum</w:t>
      </w:r>
      <w:r>
        <w:rPr>
          <w:rFonts w:ascii="Arial"/>
          <w:i/>
          <w:spacing w:val="4"/>
          <w:sz w:val="20"/>
        </w:rPr>
        <w:t> </w:t>
      </w:r>
      <w:r>
        <w:rPr>
          <w:rFonts w:ascii="Arial"/>
          <w:i/>
          <w:sz w:val="20"/>
        </w:rPr>
        <w:t>[1939]</w:t>
      </w:r>
      <w:r>
        <w:rPr>
          <w:rFonts w:ascii="Arial"/>
          <w:i/>
          <w:spacing w:val="4"/>
          <w:sz w:val="20"/>
        </w:rPr>
        <w:t> </w:t>
      </w:r>
      <w:r>
        <w:rPr>
          <w:rFonts w:ascii="Arial"/>
          <w:i/>
          <w:sz w:val="20"/>
        </w:rPr>
        <w:t>2</w:t>
      </w:r>
      <w:r>
        <w:rPr>
          <w:rFonts w:ascii="Arial"/>
          <w:i/>
          <w:spacing w:val="4"/>
          <w:sz w:val="20"/>
        </w:rPr>
        <w:t> </w:t>
      </w:r>
      <w:r>
        <w:rPr>
          <w:rFonts w:ascii="Arial"/>
          <w:i/>
          <w:sz w:val="20"/>
        </w:rPr>
        <w:t>K.B.</w:t>
      </w:r>
      <w:r>
        <w:rPr>
          <w:rFonts w:ascii="Arial"/>
          <w:i/>
          <w:spacing w:val="4"/>
          <w:sz w:val="20"/>
        </w:rPr>
        <w:t> </w:t>
      </w:r>
      <w:r>
        <w:rPr>
          <w:rFonts w:ascii="Arial"/>
          <w:i/>
          <w:spacing w:val="-4"/>
          <w:sz w:val="20"/>
        </w:rPr>
        <w:t>149,</w:t>
      </w:r>
    </w:p>
    <w:p>
      <w:pPr>
        <w:spacing w:line="227" w:lineRule="exact" w:before="0"/>
        <w:ind w:left="705" w:right="0" w:firstLine="0"/>
        <w:jc w:val="left"/>
        <w:rPr>
          <w:sz w:val="20"/>
        </w:rPr>
      </w:pPr>
      <w:r>
        <w:rPr>
          <w:rFonts w:ascii="Arial"/>
          <w:i/>
          <w:spacing w:val="-4"/>
          <w:sz w:val="20"/>
        </w:rPr>
        <w:t>169</w:t>
      </w:r>
      <w:r>
        <w:rPr>
          <w:spacing w:val="-4"/>
          <w:sz w:val="20"/>
        </w:rPr>
        <w:t>.</w:t>
      </w:r>
    </w:p>
    <w:p>
      <w:pPr>
        <w:pStyle w:val="BodyText"/>
        <w:spacing w:before="12"/>
      </w:pPr>
    </w:p>
    <w:p>
      <w:pPr>
        <w:spacing w:line="137" w:lineRule="exact" w:before="0"/>
        <w:ind w:left="165" w:right="0" w:firstLine="0"/>
        <w:jc w:val="left"/>
        <w:rPr>
          <w:sz w:val="14"/>
        </w:rPr>
      </w:pPr>
      <w:bookmarkStart w:name="_bookmark2424" w:id="2426"/>
      <w:bookmarkEnd w:id="2426"/>
      <w:r>
        <w:rPr/>
      </w:r>
      <w:hyperlink w:history="true" w:anchor="_bookmark2414">
        <w:r>
          <w:rPr>
            <w:color w:val="005DA1"/>
            <w:spacing w:val="-2"/>
            <w:sz w:val="14"/>
            <w:u w:val="single" w:color="005DA1"/>
          </w:rPr>
          <w:t>1272</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68416">
            <wp:simplePos x="0" y="0"/>
            <wp:positionH relativeFrom="page">
              <wp:posOffset>1257846</wp:posOffset>
            </wp:positionH>
            <wp:positionV relativeFrom="paragraph">
              <wp:posOffset>12973</wp:posOffset>
            </wp:positionV>
            <wp:extent cx="107988" cy="107988"/>
            <wp:effectExtent l="0" t="0" r="0" b="0"/>
            <wp:wrapNone/>
            <wp:docPr id="1067" name="Image 1067"/>
            <wp:cNvGraphicFramePr>
              <a:graphicFrameLocks/>
            </wp:cNvGraphicFramePr>
            <a:graphic>
              <a:graphicData uri="http://schemas.openxmlformats.org/drawingml/2006/picture">
                <pic:pic>
                  <pic:nvPicPr>
                    <pic:cNvPr id="1067" name="Image 106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Robert Stewart &amp; Sons Ltd v Carapanayoti &amp; Co Ltd [1962] 1 W.L.R. </w:t>
      </w:r>
      <w:r>
        <w:rPr>
          <w:rFonts w:ascii="Arial"/>
          <w:i/>
          <w:spacing w:val="-5"/>
          <w:sz w:val="20"/>
        </w:rPr>
        <w:t>34</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12"/>
        </w:numPr>
        <w:tabs>
          <w:tab w:pos="3177" w:val="left" w:leader="none"/>
        </w:tabs>
        <w:spacing w:line="240" w:lineRule="auto" w:before="194" w:after="0"/>
        <w:ind w:left="3177" w:right="0" w:hanging="306"/>
        <w:jc w:val="left"/>
        <w:rPr>
          <w:b/>
          <w:sz w:val="24"/>
        </w:rPr>
      </w:pPr>
      <w:r>
        <w:rPr>
          <w:b/>
          <w:sz w:val="24"/>
        </w:rPr>
        <w:t>- Effect of Clause if a </w:t>
      </w:r>
      <w:r>
        <w:rPr>
          <w:b/>
          <w:spacing w:val="-2"/>
          <w:sz w:val="24"/>
        </w:rPr>
        <w:t>Penalty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Penalty clause is not </w:t>
      </w:r>
      <w:r>
        <w:rPr>
          <w:rFonts w:ascii="Arial"/>
          <w:b/>
          <w:spacing w:val="-2"/>
          <w:sz w:val="18"/>
        </w:rPr>
        <w:t>enforceable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216K</w:t>
      </w:r>
    </w:p>
    <w:p>
      <w:pPr>
        <w:pStyle w:val="BodyText"/>
        <w:spacing w:before="208"/>
        <w:rPr>
          <w:rFonts w:ascii="Arial"/>
          <w:b/>
        </w:rPr>
      </w:pPr>
    </w:p>
    <w:p>
      <w:pPr>
        <w:pStyle w:val="BodyText"/>
        <w:spacing w:line="484" w:lineRule="auto" w:before="1"/>
        <w:ind w:left="165" w:right="167"/>
        <w:jc w:val="both"/>
        <w:rPr>
          <w:position w:val="-2"/>
        </w:rPr>
      </w:pPr>
      <w:r>
        <w:rPr>
          <w:position w:val="-2"/>
        </w:rPr>
        <w:drawing>
          <wp:inline distT="0" distB="0" distL="0" distR="0">
            <wp:extent cx="107988" cy="107988"/>
            <wp:effectExtent l="0" t="0" r="0" b="0"/>
            <wp:docPr id="1069" name="Image 1069"/>
            <wp:cNvGraphicFramePr>
              <a:graphicFrameLocks/>
            </wp:cNvGraphicFramePr>
            <a:graphic>
              <a:graphicData uri="http://schemas.openxmlformats.org/drawingml/2006/picture">
                <pic:pic>
                  <pic:nvPicPr>
                    <pic:cNvPr id="1069" name="Image 106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61"/>
        </w:rPr>
        <w:t> </w:t>
      </w:r>
      <w:bookmarkStart w:name="_bookmark2425" w:id="2427"/>
      <w:bookmarkEnd w:id="2427"/>
      <w:r>
        <w:rPr>
          <w:rFonts w:ascii="Times New Roman" w:hAnsi="Times New Roman"/>
          <w:spacing w:val="13"/>
        </w:rPr>
      </w:r>
      <w:bookmarkStart w:name="_bookmark2426" w:id="2428"/>
      <w:bookmarkEnd w:id="2428"/>
      <w:r>
        <w:rPr>
          <w:rFonts w:ascii="Times New Roman" w:hAnsi="Times New Roman"/>
          <w:spacing w:val="13"/>
        </w:rPr>
      </w:r>
      <w:r>
        <w:rPr/>
        <w:t>As</w:t>
      </w:r>
      <w:r>
        <w:rPr>
          <w:spacing w:val="40"/>
        </w:rPr>
        <w:t> </w:t>
      </w:r>
      <w:r>
        <w:rPr/>
        <w:t>mentioned</w:t>
      </w:r>
      <w:r>
        <w:rPr>
          <w:spacing w:val="40"/>
        </w:rPr>
        <w:t> </w:t>
      </w:r>
      <w:r>
        <w:rPr/>
        <w:t>earlier,</w:t>
      </w:r>
      <w:r>
        <w:rPr>
          <w:spacing w:val="40"/>
        </w:rPr>
        <w:t> </w:t>
      </w:r>
      <w:hyperlink w:history="true" w:anchor="_bookmark2432">
        <w:r>
          <w:rPr>
            <w:color w:val="005DA1"/>
            <w:u w:val="single" w:color="005DA1"/>
            <w:vertAlign w:val="superscript"/>
          </w:rPr>
          <w:t>1273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070" name="Image 1070"/>
              <wp:cNvGraphicFramePr>
                <a:graphicFrameLocks/>
              </wp:cNvGraphicFramePr>
              <a:graphic>
                <a:graphicData uri="http://schemas.openxmlformats.org/drawingml/2006/picture">
                  <pic:pic>
                    <pic:nvPicPr>
                      <pic:cNvPr id="1070" name="Image 10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40"/>
            <w:vertAlign w:val="baseline"/>
          </w:rPr>
          <w:t> </w:t>
        </w:r>
        <w:r>
          <w:rPr>
            <w:vertAlign w:val="baseline"/>
          </w:rPr>
          <w:t>if</w:t>
        </w:r>
        <w:r>
          <w:rPr>
            <w:spacing w:val="40"/>
            <w:vertAlign w:val="baseline"/>
          </w:rPr>
          <w:t> </w:t>
        </w:r>
        <w:r>
          <w:rPr>
            <w:vertAlign w:val="baseline"/>
          </w:rPr>
          <w:t>a</w:t>
        </w:r>
        <w:r>
          <w:rPr>
            <w:spacing w:val="40"/>
            <w:vertAlign w:val="baseline"/>
          </w:rPr>
          <w:t> </w:t>
        </w:r>
        <w:r>
          <w:rPr>
            <w:vertAlign w:val="baseline"/>
          </w:rPr>
          <w:t>clause</w:t>
        </w:r>
        <w:r>
          <w:rPr>
            <w:spacing w:val="40"/>
            <w:vertAlign w:val="baseline"/>
          </w:rPr>
          <w:t> </w:t>
        </w:r>
        <w:r>
          <w:rPr>
            <w:vertAlign w:val="baseline"/>
          </w:rPr>
          <w:t>is</w:t>
        </w:r>
        <w:r>
          <w:rPr>
            <w:spacing w:val="40"/>
            <w:vertAlign w:val="baseline"/>
          </w:rPr>
          <w:t> </w:t>
        </w:r>
        <w:r>
          <w:rPr>
            <w:vertAlign w:val="baseline"/>
          </w:rPr>
          <w:t>penal</w:t>
        </w:r>
        <w:r>
          <w:rPr>
            <w:spacing w:val="40"/>
            <w:vertAlign w:val="baseline"/>
          </w:rPr>
          <w:t> </w:t>
        </w:r>
        <w:r>
          <w:rPr>
            <w:vertAlign w:val="baseline"/>
          </w:rPr>
          <w:t>because</w:t>
        </w:r>
        <w:r>
          <w:rPr>
            <w:spacing w:val="40"/>
            <w:vertAlign w:val="baseline"/>
          </w:rPr>
          <w:t> </w:t>
        </w:r>
        <w:r>
          <w:rPr>
            <w:vertAlign w:val="baseline"/>
          </w:rPr>
          <w:t>it</w:t>
        </w:r>
        <w:r>
          <w:rPr>
            <w:spacing w:val="40"/>
            <w:vertAlign w:val="baseline"/>
          </w:rPr>
          <w:t> </w:t>
        </w:r>
        <w:r>
          <w:rPr>
            <w:vertAlign w:val="baseline"/>
          </w:rPr>
          <w:t>passes</w:t>
        </w:r>
        <w:r>
          <w:rPr>
            <w:spacing w:val="40"/>
            <w:vertAlign w:val="baseline"/>
          </w:rPr>
          <w:t> </w:t>
        </w:r>
        <w:r>
          <w:rPr>
            <w:vertAlign w:val="baseline"/>
          </w:rPr>
          <w:t>neither</w:t>
        </w:r>
        <w:r>
          <w:rPr>
            <w:spacing w:val="40"/>
            <w:vertAlign w:val="baseline"/>
          </w:rPr>
          <w:t> </w:t>
        </w:r>
        <w:r>
          <w:rPr>
            <w:vertAlign w:val="baseline"/>
          </w:rPr>
          <w:t>the</w:t>
        </w:r>
        <w:r>
          <w:rPr>
            <w:spacing w:val="40"/>
            <w:vertAlign w:val="baseline"/>
          </w:rPr>
          <w:t> </w:t>
        </w:r>
        <w:r>
          <w:rPr>
            <w:vertAlign w:val="baseline"/>
          </w:rPr>
          <w:t>“genuine </w:t>
        </w:r>
        <w:bookmarkStart w:name="_bookmark2427" w:id="2429"/>
        <w:bookmarkEnd w:id="2429"/>
        <w:r>
          <w:rPr>
            <w:vertAlign w:val="baseline"/>
          </w:rPr>
        </w:r>
        <w:bookmarkStart w:name="_bookmark2428" w:id="2430"/>
        <w:bookmarkEnd w:id="2430"/>
        <w:r>
          <w:rPr>
            <w:vertAlign w:val="baseline"/>
          </w:rPr>
          <w:t>pre</w:t>
        </w:r>
        <w:r>
          <w:rPr>
            <w:vertAlign w:val="baseline"/>
          </w:rPr>
          <w:t>-estimate” test </w:t>
        </w:r>
        <w:r>
          <w:rPr>
            <w:color w:val="005DA1"/>
            <w:u w:val="single" w:color="005DA1"/>
            <w:vertAlign w:val="superscript"/>
          </w:rPr>
          <w:t>1274</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071" name="Image 1071"/>
              <wp:cNvGraphicFramePr>
                <a:graphicFrameLocks/>
              </wp:cNvGraphicFramePr>
              <a:graphic>
                <a:graphicData uri="http://schemas.openxmlformats.org/drawingml/2006/picture">
                  <pic:pic>
                    <pic:nvPicPr>
                      <pic:cNvPr id="1071" name="Image 10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nor the “legitimate deterrent test, </w:t>
        </w:r>
        <w:hyperlink w:history="true" w:anchor="_bookmark2434">
          <w:r>
            <w:rPr>
              <w:color w:val="005DA1"/>
              <w:u w:val="single" w:color="005DA1"/>
              <w:vertAlign w:val="superscript"/>
            </w:rPr>
            <w:t>1275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072" name="Image 1072"/>
                <wp:cNvGraphicFramePr>
                  <a:graphicFrameLocks/>
                </wp:cNvGraphicFramePr>
                <a:graphic>
                  <a:graphicData uri="http://schemas.openxmlformats.org/drawingml/2006/picture">
                    <pic:pic>
                      <pic:nvPicPr>
                        <pic:cNvPr id="1072" name="Image 10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the clause will be </w:t>
          </w:r>
          <w:r>
            <w:rPr>
              <w:vertAlign w:val="baseline"/>
            </w:rPr>
            <w:t>wholly </w:t>
          </w:r>
          <w:bookmarkStart w:name="_bookmark2429" w:id="2431"/>
          <w:bookmarkEnd w:id="2431"/>
          <w:r>
            <w:rPr>
              <w:vertAlign w:val="baseline"/>
            </w:rPr>
            <w:t>unenforceable.</w:t>
          </w:r>
          <w:r>
            <w:rPr>
              <w:vertAlign w:val="baseline"/>
            </w:rPr>
            <w:t> </w:t>
          </w:r>
          <w:r>
            <w:rPr>
              <w:color w:val="005DA1"/>
              <w:u w:val="single" w:color="005DA1"/>
              <w:vertAlign w:val="superscript"/>
            </w:rPr>
            <w:t>1276</w:t>
          </w:r>
          <w:r>
            <w:rPr>
              <w:color w:val="005DA1"/>
              <w:spacing w:val="80"/>
              <w:vertAlign w:val="baseline"/>
            </w:rPr>
            <w:t> </w:t>
          </w:r>
          <w:r>
            <w:rPr>
              <w:color w:val="005DA1"/>
              <w:position w:val="-2"/>
              <w:vertAlign w:val="baseline"/>
            </w:rPr>
            <w:drawing>
              <wp:inline distT="0" distB="0" distL="0" distR="0">
                <wp:extent cx="107988" cy="107988"/>
                <wp:effectExtent l="0" t="0" r="0" b="0"/>
                <wp:docPr id="1073" name="Image 1073"/>
                <wp:cNvGraphicFramePr>
                  <a:graphicFrameLocks/>
                </wp:cNvGraphicFramePr>
                <a:graphic>
                  <a:graphicData uri="http://schemas.openxmlformats.org/drawingml/2006/picture">
                    <pic:pic>
                      <pic:nvPicPr>
                        <pic:cNvPr id="1073" name="Image 10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 court has no power to re-write the clause in order to make it valid. </w:t>
          </w:r>
          <w:hyperlink w:history="true" w:anchor="_bookmark2436">
            <w:r>
              <w:rPr>
                <w:color w:val="005DA1"/>
                <w:u w:val="single" w:color="005DA1"/>
                <w:vertAlign w:val="superscript"/>
              </w:rPr>
              <w:t>1277</w:t>
            </w:r>
            <w:r>
              <w:rPr>
                <w:color w:val="005DA1"/>
                <w:spacing w:val="80"/>
                <w:vertAlign w:val="baseline"/>
              </w:rPr>
              <w:t> </w:t>
            </w:r>
            <w:r>
              <w:rPr>
                <w:color w:val="005DA1"/>
                <w:position w:val="-2"/>
                <w:vertAlign w:val="baseline"/>
              </w:rPr>
              <w:drawing>
                <wp:inline distT="0" distB="0" distL="0" distR="0">
                  <wp:extent cx="107988" cy="107988"/>
                  <wp:effectExtent l="0" t="0" r="0" b="0"/>
                  <wp:docPr id="1074" name="Image 1074"/>
                  <wp:cNvGraphicFramePr>
                    <a:graphicFrameLocks/>
                  </wp:cNvGraphicFramePr>
                  <a:graphic>
                    <a:graphicData uri="http://schemas.openxmlformats.org/drawingml/2006/picture">
                      <pic:pic>
                        <pic:nvPicPr>
                          <pic:cNvPr id="1074" name="Image 10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hyperlink>
    </w:p>
    <w:p>
      <w:pPr>
        <w:pStyle w:val="BodyText"/>
        <w:spacing w:before="56"/>
        <w:rPr>
          <w:sz w:val="18"/>
        </w:rPr>
      </w:pPr>
    </w:p>
    <w:p>
      <w:pPr>
        <w:spacing w:before="0"/>
        <w:ind w:left="165" w:right="0" w:firstLine="0"/>
        <w:jc w:val="left"/>
        <w:rPr>
          <w:rFonts w:ascii="Arial"/>
          <w:b/>
          <w:sz w:val="18"/>
        </w:rPr>
      </w:pPr>
      <w:r>
        <w:rPr>
          <w:rFonts w:ascii="Arial"/>
          <w:b/>
          <w:sz w:val="18"/>
        </w:rPr>
        <w:t>Can damages exceed the sum fixed in penal </w:t>
      </w:r>
      <w:r>
        <w:rPr>
          <w:rFonts w:ascii="Arial"/>
          <w:b/>
          <w:spacing w:val="-2"/>
          <w:sz w:val="18"/>
        </w:rPr>
        <w:t>clause?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216L</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75" name="Image 1075"/>
            <wp:cNvGraphicFramePr>
              <a:graphicFrameLocks/>
            </wp:cNvGraphicFramePr>
            <a:graphic>
              <a:graphicData uri="http://schemas.openxmlformats.org/drawingml/2006/picture">
                <pic:pic>
                  <pic:nvPicPr>
                    <pic:cNvPr id="1075" name="Image 10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8"/>
        </w:rPr>
        <w:t> </w:t>
      </w:r>
      <w:r>
        <w:rPr/>
        <w:t>A clause which is not a genuine pre-estimate, e.g. because it stipulates for more than the </w:t>
      </w:r>
      <w:r>
        <w:rPr/>
        <w:t>likely loss, and which is therefore a penalty, may be ignored if it is for less than the actual damage suffered. Where</w:t>
      </w:r>
      <w:r>
        <w:rPr>
          <w:spacing w:val="-3"/>
        </w:rPr>
        <w:t> </w:t>
      </w:r>
      <w:r>
        <w:rPr/>
        <w:t>a</w:t>
      </w:r>
      <w:r>
        <w:rPr>
          <w:spacing w:val="-3"/>
        </w:rPr>
        <w:t> </w:t>
      </w:r>
      <w:r>
        <w:rPr/>
        <w:t>charterparty</w:t>
      </w:r>
      <w:r>
        <w:rPr>
          <w:spacing w:val="-3"/>
        </w:rPr>
        <w:t> </w:t>
      </w:r>
      <w:r>
        <w:rPr/>
        <w:t>contained</w:t>
      </w:r>
      <w:r>
        <w:rPr>
          <w:spacing w:val="-3"/>
        </w:rPr>
        <w:t> </w:t>
      </w:r>
      <w:r>
        <w:rPr/>
        <w:t>the</w:t>
      </w:r>
      <w:r>
        <w:rPr>
          <w:spacing w:val="-3"/>
        </w:rPr>
        <w:t> </w:t>
      </w:r>
      <w:r>
        <w:rPr/>
        <w:t>following</w:t>
      </w:r>
      <w:r>
        <w:rPr>
          <w:spacing w:val="-3"/>
        </w:rPr>
        <w:t> </w:t>
      </w:r>
      <w:r>
        <w:rPr/>
        <w:t>clause:</w:t>
      </w:r>
      <w:r>
        <w:rPr>
          <w:spacing w:val="-3"/>
        </w:rPr>
        <w:t> </w:t>
      </w:r>
      <w:r>
        <w:rPr/>
        <w:t>“[p]enalty</w:t>
      </w:r>
      <w:r>
        <w:rPr>
          <w:spacing w:val="-3"/>
        </w:rPr>
        <w:t> </w:t>
      </w:r>
      <w:r>
        <w:rPr/>
        <w:t>for</w:t>
      </w:r>
      <w:r>
        <w:rPr>
          <w:spacing w:val="-3"/>
        </w:rPr>
        <w:t> </w:t>
      </w:r>
      <w:r>
        <w:rPr/>
        <w:t>non-performance</w:t>
      </w:r>
      <w:r>
        <w:rPr>
          <w:spacing w:val="-3"/>
        </w:rPr>
        <w:t> </w:t>
      </w:r>
      <w:r>
        <w:rPr/>
        <w:t>of</w:t>
      </w:r>
      <w:r>
        <w:rPr>
          <w:spacing w:val="-3"/>
        </w:rPr>
        <w:t> </w:t>
      </w:r>
      <w:r>
        <w:rPr/>
        <w:t>this</w:t>
      </w:r>
      <w:r>
        <w:rPr>
          <w:spacing w:val="-3"/>
        </w:rPr>
        <w:t> </w:t>
      </w:r>
      <w:r>
        <w:rPr/>
        <w:t>agreement proved damages, not exceeding estimated amount of freight”, it was held that the clause provided a </w:t>
      </w:r>
      <w:bookmarkStart w:name="_bookmark2430" w:id="2432"/>
      <w:bookmarkEnd w:id="2432"/>
      <w:r>
        <w:rPr/>
        <w:t>penalty</w:t>
      </w:r>
      <w:r>
        <w:rPr>
          <w:spacing w:val="11"/>
        </w:rPr>
        <w:t> </w:t>
      </w:r>
      <w:r>
        <w:rPr/>
        <w:t>and</w:t>
      </w:r>
      <w:r>
        <w:rPr>
          <w:spacing w:val="11"/>
        </w:rPr>
        <w:t> </w:t>
      </w:r>
      <w:r>
        <w:rPr/>
        <w:t>not</w:t>
      </w:r>
      <w:r>
        <w:rPr>
          <w:spacing w:val="11"/>
        </w:rPr>
        <w:t> </w:t>
      </w:r>
      <w:r>
        <w:rPr/>
        <w:t>a</w:t>
      </w:r>
      <w:r>
        <w:rPr>
          <w:spacing w:val="11"/>
        </w:rPr>
        <w:t> </w:t>
      </w:r>
      <w:r>
        <w:rPr/>
        <w:t>limitation</w:t>
      </w:r>
      <w:r>
        <w:rPr>
          <w:spacing w:val="11"/>
        </w:rPr>
        <w:t> </w:t>
      </w:r>
      <w:r>
        <w:rPr/>
        <w:t>of</w:t>
      </w:r>
      <w:r>
        <w:rPr>
          <w:spacing w:val="11"/>
        </w:rPr>
        <w:t> </w:t>
      </w:r>
      <w:r>
        <w:rPr/>
        <w:t>liability,</w:t>
      </w:r>
      <w:r>
        <w:rPr>
          <w:spacing w:val="11"/>
        </w:rPr>
        <w:t> </w:t>
      </w:r>
      <w:r>
        <w:rPr/>
        <w:t>so</w:t>
      </w:r>
      <w:r>
        <w:rPr>
          <w:spacing w:val="11"/>
        </w:rPr>
        <w:t> </w:t>
      </w:r>
      <w:r>
        <w:rPr/>
        <w:t>that</w:t>
      </w:r>
      <w:r>
        <w:rPr>
          <w:spacing w:val="11"/>
        </w:rPr>
        <w:t> </w:t>
      </w:r>
      <w:r>
        <w:rPr/>
        <w:t>the</w:t>
      </w:r>
      <w:r>
        <w:rPr>
          <w:spacing w:val="11"/>
        </w:rPr>
        <w:t> </w:t>
      </w:r>
      <w:r>
        <w:rPr/>
        <w:t>party</w:t>
      </w:r>
      <w:r>
        <w:rPr>
          <w:spacing w:val="11"/>
        </w:rPr>
        <w:t> </w:t>
      </w:r>
      <w:r>
        <w:rPr/>
        <w:t>complaining</w:t>
      </w:r>
      <w:r>
        <w:rPr>
          <w:spacing w:val="11"/>
        </w:rPr>
        <w:t> </w:t>
      </w:r>
      <w:r>
        <w:rPr/>
        <w:t>of</w:t>
      </w:r>
      <w:r>
        <w:rPr>
          <w:spacing w:val="11"/>
        </w:rPr>
        <w:t> </w:t>
      </w:r>
      <w:r>
        <w:rPr/>
        <w:t>non-performance</w:t>
      </w:r>
      <w:r>
        <w:rPr>
          <w:spacing w:val="11"/>
        </w:rPr>
        <w:t> </w:t>
      </w:r>
      <w:r>
        <w:rPr/>
        <w:t>was</w:t>
      </w:r>
      <w:r>
        <w:rPr>
          <w:spacing w:val="11"/>
        </w:rPr>
        <w:t> </w:t>
      </w:r>
      <w:r>
        <w:rPr>
          <w:spacing w:val="-2"/>
        </w:rPr>
        <w:t>entitled</w:t>
      </w:r>
    </w:p>
    <w:p>
      <w:pPr>
        <w:pStyle w:val="BodyText"/>
        <w:spacing w:line="235" w:lineRule="auto" w:before="118"/>
        <w:ind w:left="165" w:right="167"/>
        <w:jc w:val="both"/>
      </w:pPr>
      <w:r>
        <w:rPr/>
        <w:t>to</w:t>
      </w:r>
      <w:r>
        <w:rPr>
          <w:spacing w:val="-1"/>
        </w:rPr>
        <w:t> </w:t>
      </w:r>
      <w:r>
        <w:rPr/>
        <w:t>recover</w:t>
      </w:r>
      <w:r>
        <w:rPr>
          <w:spacing w:val="-1"/>
        </w:rPr>
        <w:t> </w:t>
      </w:r>
      <w:r>
        <w:rPr/>
        <w:t>damages</w:t>
      </w:r>
      <w:r>
        <w:rPr>
          <w:spacing w:val="-1"/>
        </w:rPr>
        <w:t> </w:t>
      </w:r>
      <w:r>
        <w:rPr/>
        <w:t>for</w:t>
      </w:r>
      <w:r>
        <w:rPr>
          <w:spacing w:val="-1"/>
        </w:rPr>
        <w:t> </w:t>
      </w:r>
      <w:r>
        <w:rPr/>
        <w:t>his</w:t>
      </w:r>
      <w:r>
        <w:rPr>
          <w:spacing w:val="-1"/>
        </w:rPr>
        <w:t> </w:t>
      </w:r>
      <w:r>
        <w:rPr/>
        <w:t>actual</w:t>
      </w:r>
      <w:r>
        <w:rPr>
          <w:spacing w:val="-1"/>
        </w:rPr>
        <w:t> </w:t>
      </w:r>
      <w:r>
        <w:rPr/>
        <w:t>loss</w:t>
      </w:r>
      <w:r>
        <w:rPr>
          <w:spacing w:val="-1"/>
        </w:rPr>
        <w:t> </w:t>
      </w:r>
      <w:r>
        <w:rPr/>
        <w:t>although</w:t>
      </w:r>
      <w:r>
        <w:rPr>
          <w:spacing w:val="-1"/>
        </w:rPr>
        <w:t> </w:t>
      </w:r>
      <w:r>
        <w:rPr/>
        <w:t>it</w:t>
      </w:r>
      <w:r>
        <w:rPr>
          <w:spacing w:val="-1"/>
        </w:rPr>
        <w:t> </w:t>
      </w:r>
      <w:r>
        <w:rPr/>
        <w:t>exceeded</w:t>
      </w:r>
      <w:r>
        <w:rPr>
          <w:spacing w:val="-1"/>
        </w:rPr>
        <w:t> </w:t>
      </w:r>
      <w:r>
        <w:rPr/>
        <w:t>the</w:t>
      </w:r>
      <w:r>
        <w:rPr>
          <w:spacing w:val="-1"/>
        </w:rPr>
        <w:t> </w:t>
      </w:r>
      <w:r>
        <w:rPr/>
        <w:t>estimated</w:t>
      </w:r>
      <w:r>
        <w:rPr>
          <w:spacing w:val="-1"/>
        </w:rPr>
        <w:t> </w:t>
      </w:r>
      <w:r>
        <w:rPr/>
        <w:t>amount</w:t>
      </w:r>
      <w:r>
        <w:rPr>
          <w:spacing w:val="-1"/>
        </w:rPr>
        <w:t> </w:t>
      </w:r>
      <w:r>
        <w:rPr/>
        <w:t>of</w:t>
      </w:r>
      <w:r>
        <w:rPr>
          <w:spacing w:val="-1"/>
        </w:rPr>
        <w:t> </w:t>
      </w:r>
      <w:r>
        <w:rPr/>
        <w:t>freight.</w:t>
      </w:r>
      <w:r>
        <w:rPr>
          <w:spacing w:val="-2"/>
        </w:rPr>
        <w:t> </w:t>
      </w:r>
      <w:hyperlink w:history="true" w:anchor="_bookmark2437">
        <w:r>
          <w:rPr>
            <w:color w:val="005DA1"/>
            <w:u w:val="single" w:color="005DA1"/>
            <w:vertAlign w:val="superscript"/>
          </w:rPr>
          <w:t>1278</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076" name="Image 1076"/>
              <wp:cNvGraphicFramePr>
                <a:graphicFrameLocks/>
              </wp:cNvGraphicFramePr>
              <a:graphic>
                <a:graphicData uri="http://schemas.openxmlformats.org/drawingml/2006/picture">
                  <pic:pic>
                    <pic:nvPicPr>
                      <pic:cNvPr id="1076" name="Image 10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It is unsettled whether this principle applies to penalty clauses in other types of contract, so as to entitle </w:t>
        </w:r>
        <w:bookmarkStart w:name="_bookmark2431" w:id="2433"/>
        <w:bookmarkEnd w:id="2433"/>
        <w:r>
          <w:rPr>
            <w:vertAlign w:val="baseline"/>
          </w:rPr>
          <w:t>the</w:t>
        </w:r>
        <w:r>
          <w:rPr>
            <w:spacing w:val="36"/>
            <w:vertAlign w:val="baseline"/>
          </w:rPr>
          <w:t> </w:t>
        </w:r>
        <w:r>
          <w:rPr>
            <w:vertAlign w:val="baseline"/>
          </w:rPr>
          <w:t>claimant</w:t>
        </w:r>
        <w:r>
          <w:rPr>
            <w:spacing w:val="36"/>
            <w:vertAlign w:val="baseline"/>
          </w:rPr>
          <w:t> </w:t>
        </w:r>
        <w:r>
          <w:rPr>
            <w:vertAlign w:val="baseline"/>
          </w:rPr>
          <w:t>to</w:t>
        </w:r>
        <w:r>
          <w:rPr>
            <w:spacing w:val="36"/>
            <w:vertAlign w:val="baseline"/>
          </w:rPr>
          <w:t> </w:t>
        </w:r>
        <w:r>
          <w:rPr>
            <w:vertAlign w:val="baseline"/>
          </w:rPr>
          <w:t>ignore</w:t>
        </w:r>
        <w:r>
          <w:rPr>
            <w:spacing w:val="36"/>
            <w:vertAlign w:val="baseline"/>
          </w:rPr>
          <w:t> </w:t>
        </w:r>
        <w:r>
          <w:rPr>
            <w:vertAlign w:val="baseline"/>
          </w:rPr>
          <w:t>the</w:t>
        </w:r>
        <w:r>
          <w:rPr>
            <w:spacing w:val="36"/>
            <w:vertAlign w:val="baseline"/>
          </w:rPr>
          <w:t> </w:t>
        </w:r>
        <w:r>
          <w:rPr>
            <w:vertAlign w:val="baseline"/>
          </w:rPr>
          <w:t>sum</w:t>
        </w:r>
        <w:r>
          <w:rPr>
            <w:spacing w:val="36"/>
            <w:vertAlign w:val="baseline"/>
          </w:rPr>
          <w:t> </w:t>
        </w:r>
        <w:r>
          <w:rPr>
            <w:vertAlign w:val="baseline"/>
          </w:rPr>
          <w:t>stipulated</w:t>
        </w:r>
        <w:r>
          <w:rPr>
            <w:spacing w:val="36"/>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penalty</w:t>
        </w:r>
        <w:r>
          <w:rPr>
            <w:spacing w:val="36"/>
            <w:vertAlign w:val="baseline"/>
          </w:rPr>
          <w:t> </w:t>
        </w:r>
        <w:r>
          <w:rPr>
            <w:vertAlign w:val="baseline"/>
          </w:rPr>
          <w:t>(where</w:t>
        </w:r>
        <w:r>
          <w:rPr>
            <w:spacing w:val="36"/>
            <w:vertAlign w:val="baseline"/>
          </w:rPr>
          <w:t> </w:t>
        </w:r>
        <w:r>
          <w:rPr>
            <w:vertAlign w:val="baseline"/>
          </w:rPr>
          <w:t>it</w:t>
        </w:r>
        <w:r>
          <w:rPr>
            <w:spacing w:val="36"/>
            <w:vertAlign w:val="baseline"/>
          </w:rPr>
          <w:t> </w:t>
        </w:r>
        <w:r>
          <w:rPr>
            <w:vertAlign w:val="baseline"/>
          </w:rPr>
          <w:t>was</w:t>
        </w:r>
        <w:r>
          <w:rPr>
            <w:spacing w:val="36"/>
            <w:vertAlign w:val="baseline"/>
          </w:rPr>
          <w:t> </w:t>
        </w:r>
        <w:r>
          <w:rPr>
            <w:vertAlign w:val="baseline"/>
          </w:rPr>
          <w:t>clearly</w:t>
        </w:r>
        <w:r>
          <w:rPr>
            <w:spacing w:val="36"/>
            <w:vertAlign w:val="baseline"/>
          </w:rPr>
          <w:t> </w:t>
        </w:r>
        <w:r>
          <w:rPr>
            <w:vertAlign w:val="baseline"/>
          </w:rPr>
          <w:t>not</w:t>
        </w:r>
        <w:r>
          <w:rPr>
            <w:spacing w:val="36"/>
            <w:vertAlign w:val="baseline"/>
          </w:rPr>
          <w:t> </w:t>
        </w:r>
        <w:r>
          <w:rPr>
            <w:vertAlign w:val="baseline"/>
          </w:rPr>
          <w:t>intended</w:t>
        </w:r>
        <w:r>
          <w:rPr>
            <w:spacing w:val="36"/>
            <w:vertAlign w:val="baseline"/>
          </w:rPr>
          <w:t> </w:t>
        </w:r>
        <w:r>
          <w:rPr>
            <w:vertAlign w:val="baseline"/>
          </w:rPr>
          <w:t>to</w:t>
        </w:r>
        <w:r>
          <w:rPr>
            <w:spacing w:val="36"/>
            <w:vertAlign w:val="baseline"/>
          </w:rPr>
          <w:t> </w:t>
        </w:r>
        <w:r>
          <w:rPr>
            <w:spacing w:val="-2"/>
            <w:vertAlign w:val="baseline"/>
          </w:rPr>
          <w:t>limit</w:t>
        </w:r>
      </w:hyperlink>
    </w:p>
    <w:p>
      <w:pPr>
        <w:pStyle w:val="BodyText"/>
        <w:spacing w:before="115"/>
        <w:ind w:left="165"/>
        <w:jc w:val="both"/>
        <w:rPr>
          <w:position w:val="-2"/>
        </w:rPr>
      </w:pPr>
      <w:r>
        <w:rPr/>
        <w:t>liability) and to sue for damages for a greater amount to compensate him for his actual loss. </w:t>
      </w:r>
      <w:hyperlink w:history="true" w:anchor="_bookmark2438">
        <w:r>
          <w:rPr>
            <w:color w:val="005DA1"/>
            <w:u w:val="single" w:color="005DA1"/>
            <w:vertAlign w:val="superscript"/>
          </w:rPr>
          <w:t>1279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77" name="Image 1077"/>
              <wp:cNvGraphicFramePr>
                <a:graphicFrameLocks/>
              </wp:cNvGraphicFramePr>
              <a:graphic>
                <a:graphicData uri="http://schemas.openxmlformats.org/drawingml/2006/picture">
                  <pic:pic>
                    <pic:nvPicPr>
                      <pic:cNvPr id="1077" name="Image 10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728128">
                <wp:simplePos x="0" y="0"/>
                <wp:positionH relativeFrom="page">
                  <wp:posOffset>914400</wp:posOffset>
                </wp:positionH>
                <wp:positionV relativeFrom="paragraph">
                  <wp:posOffset>186269</wp:posOffset>
                </wp:positionV>
                <wp:extent cx="5724525" cy="1270"/>
                <wp:effectExtent l="0" t="0" r="0" b="0"/>
                <wp:wrapTopAndBottom/>
                <wp:docPr id="1078" name="Graphic 1078"/>
                <wp:cNvGraphicFramePr>
                  <a:graphicFrameLocks/>
                </wp:cNvGraphicFramePr>
                <a:graphic>
                  <a:graphicData uri="http://schemas.microsoft.com/office/word/2010/wordprocessingShape">
                    <wps:wsp>
                      <wps:cNvPr id="1078" name="Graphic 107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6883pt;width:450.75pt;height:.1pt;mso-position-horizontal-relative:page;mso-position-vertical-relative:paragraph;z-index:-15588352;mso-wrap-distance-left:0;mso-wrap-distance-right:0" id="docshape107" coordorigin="1440,293" coordsize="9015,0" path="m1440,293l10454,293e" filled="false" stroked="true" strokeweight="1pt" strokecolor="#000000">
                <v:path arrowok="t"/>
                <v:stroke dashstyle="solid"/>
                <w10:wrap type="topAndBottom"/>
              </v:shape>
            </w:pict>
          </mc:Fallback>
        </mc:AlternateContent>
      </w:r>
    </w:p>
    <w:p>
      <w:pPr>
        <w:pStyle w:val="BodyText"/>
        <w:spacing w:line="580" w:lineRule="atLeast" w:before="97"/>
        <w:ind w:left="165" w:right="6047"/>
      </w:pPr>
      <w:bookmarkStart w:name="_bookmark2432" w:id="2434"/>
      <w:bookmarkEnd w:id="2434"/>
      <w:r>
        <w:rPr/>
      </w:r>
      <w:hyperlink w:history="true" w:anchor="_bookmark2425">
        <w:r>
          <w:rPr>
            <w:color w:val="005DA1"/>
            <w:u w:val="single" w:color="005DA1"/>
            <w:vertAlign w:val="superscript"/>
          </w:rPr>
          <w:t>1273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79" name="Image 1079"/>
            <wp:cNvGraphicFramePr>
              <a:graphicFrameLocks/>
            </wp:cNvGraphicFramePr>
            <a:graphic>
              <a:graphicData uri="http://schemas.openxmlformats.org/drawingml/2006/picture">
                <pic:pic>
                  <pic:nvPicPr>
                    <pic:cNvPr id="1079" name="Image 107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w:t>
      </w:r>
      <w:r>
        <w:rPr>
          <w:vertAlign w:val="baseline"/>
        </w:rPr>
        <w:t>178A. </w:t>
      </w:r>
      <w:bookmarkStart w:name="_bookmark2433" w:id="2435"/>
      <w:bookmarkEnd w:id="2435"/>
      <w:r>
        <w:rPr>
          <w:vertAlign w:val="baseline"/>
        </w:rPr>
      </w:r>
      <w:hyperlink w:history="true" w:anchor="_bookmark2426">
        <w:r>
          <w:rPr>
            <w:color w:val="005DA1"/>
            <w:u w:val="single" w:color="005DA1"/>
            <w:vertAlign w:val="superscript"/>
          </w:rPr>
          <w:t>1274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80" name="Image 1080"/>
            <wp:cNvGraphicFramePr>
              <a:graphicFrameLocks/>
            </wp:cNvGraphicFramePr>
            <a:graphic>
              <a:graphicData uri="http://schemas.openxmlformats.org/drawingml/2006/picture">
                <pic:pic>
                  <pic:nvPicPr>
                    <pic:cNvPr id="1080" name="Image 108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para.26-182. </w:t>
      </w:r>
      <w:bookmarkStart w:name="_bookmark2434" w:id="2436"/>
      <w:bookmarkEnd w:id="2436"/>
      <w:r>
        <w:rPr>
          <w:vertAlign w:val="baseline"/>
        </w:rPr>
      </w:r>
      <w:hyperlink w:history="true" w:anchor="_bookmark2427">
        <w:r>
          <w:rPr>
            <w:color w:val="005DA1"/>
            <w:u w:val="single" w:color="005DA1"/>
            <w:vertAlign w:val="superscript"/>
          </w:rPr>
          <w:t>1275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081" name="Image 1081"/>
            <wp:cNvGraphicFramePr>
              <a:graphicFrameLocks/>
            </wp:cNvGraphicFramePr>
            <a:graphic>
              <a:graphicData uri="http://schemas.openxmlformats.org/drawingml/2006/picture">
                <pic:pic>
                  <pic:nvPicPr>
                    <pic:cNvPr id="1081" name="Image 108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para.26-196.</w:t>
      </w:r>
    </w:p>
    <w:p>
      <w:pPr>
        <w:pStyle w:val="BodyText"/>
        <w:spacing w:before="139"/>
      </w:pPr>
    </w:p>
    <w:p>
      <w:pPr>
        <w:spacing w:line="235" w:lineRule="auto" w:before="0"/>
        <w:ind w:left="705" w:right="167" w:hanging="541"/>
        <w:jc w:val="both"/>
        <w:rPr>
          <w:sz w:val="20"/>
        </w:rPr>
      </w:pPr>
      <w:bookmarkStart w:name="_bookmark2435" w:id="2437"/>
      <w:bookmarkEnd w:id="2437"/>
      <w:r>
        <w:rPr/>
      </w:r>
      <w:hyperlink w:history="true" w:anchor="_bookmark2428">
        <w:r>
          <w:rPr>
            <w:color w:val="005DA1"/>
            <w:sz w:val="20"/>
            <w:u w:val="single" w:color="005DA1"/>
            <w:vertAlign w:val="superscript"/>
          </w:rPr>
          <w:t>1276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82" name="Image 1082"/>
            <wp:cNvGraphicFramePr>
              <a:graphicFrameLocks/>
            </wp:cNvGraphicFramePr>
            <a:graphic>
              <a:graphicData uri="http://schemas.openxmlformats.org/drawingml/2006/picture">
                <pic:pic>
                  <pic:nvPicPr>
                    <pic:cNvPr id="1082" name="Image 108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Cavendish Square Holding BV v Makdessi </w:t>
      </w:r>
      <w:r>
        <w:rPr>
          <w:sz w:val="20"/>
          <w:vertAlign w:val="baseline"/>
        </w:rPr>
        <w:t>and </w:t>
      </w:r>
      <w:r>
        <w:rPr>
          <w:rFonts w:ascii="Arial" w:hAnsi="Arial"/>
          <w:i/>
          <w:sz w:val="20"/>
          <w:vertAlign w:val="baseline"/>
        </w:rPr>
        <w:t>ParkingEye Ltd v Beavis [2015] UKSC 67, [2016] A.C. 1172 </w:t>
      </w:r>
      <w:r>
        <w:rPr>
          <w:sz w:val="20"/>
          <w:vertAlign w:val="baseline"/>
        </w:rPr>
        <w:t>at [9] and at [291], where Lord Clarke expressed his agreement with this part of the Lords Neuberger and Sumption’s judgment.</w:t>
      </w:r>
    </w:p>
    <w:p>
      <w:pPr>
        <w:spacing w:after="0" w:line="235" w:lineRule="auto"/>
        <w:jc w:val="both"/>
        <w:rPr>
          <w:sz w:val="20"/>
        </w:rPr>
        <w:sectPr>
          <w:headerReference w:type="default" r:id="rId57"/>
          <w:pgSz w:w="11900" w:h="16840"/>
          <w:pgMar w:header="971" w:footer="0" w:top="1300" w:bottom="280" w:left="1275" w:right="1275"/>
          <w:pgNumType w:start="1"/>
        </w:sectPr>
      </w:pPr>
    </w:p>
    <w:p>
      <w:pPr>
        <w:pStyle w:val="BodyText"/>
        <w:spacing w:before="12"/>
        <w:rPr>
          <w:sz w:val="14"/>
        </w:rPr>
      </w:pPr>
    </w:p>
    <w:p>
      <w:pPr>
        <w:spacing w:line="137" w:lineRule="exact" w:before="1"/>
        <w:ind w:left="165" w:right="0" w:firstLine="0"/>
        <w:jc w:val="left"/>
        <w:rPr>
          <w:sz w:val="14"/>
        </w:rPr>
      </w:pPr>
      <w:bookmarkStart w:name="_bookmark2436" w:id="2438"/>
      <w:bookmarkEnd w:id="2438"/>
      <w:r>
        <w:rPr/>
      </w:r>
      <w:hyperlink w:history="true" w:anchor="_bookmark2429">
        <w:r>
          <w:rPr>
            <w:color w:val="005DA1"/>
            <w:spacing w:val="-2"/>
            <w:sz w:val="14"/>
            <w:u w:val="single" w:color="005DA1"/>
          </w:rPr>
          <w:t>1277</w:t>
        </w:r>
      </w:hyperlink>
      <w:r>
        <w:rPr>
          <w:spacing w:val="-2"/>
          <w:sz w:val="14"/>
        </w:rPr>
        <w:t>.</w:t>
      </w:r>
    </w:p>
    <w:p>
      <w:pPr>
        <w:spacing w:line="203" w:lineRule="exact" w:before="0"/>
        <w:ind w:left="875" w:right="0" w:firstLine="0"/>
        <w:jc w:val="both"/>
        <w:rPr>
          <w:rFonts w:ascii="Arial" w:hAnsi="Arial"/>
          <w:i/>
          <w:sz w:val="20"/>
        </w:rPr>
      </w:pPr>
      <w:r>
        <w:rPr>
          <w:rFonts w:ascii="Arial" w:hAnsi="Arial"/>
          <w:i/>
          <w:sz w:val="20"/>
        </w:rPr>
        <w:drawing>
          <wp:anchor distT="0" distB="0" distL="0" distR="0" allowOverlap="1" layoutInCell="1" locked="0" behindDoc="0" simplePos="0" relativeHeight="15869440">
            <wp:simplePos x="0" y="0"/>
            <wp:positionH relativeFrom="page">
              <wp:posOffset>1257846</wp:posOffset>
            </wp:positionH>
            <wp:positionV relativeFrom="paragraph">
              <wp:posOffset>12632</wp:posOffset>
            </wp:positionV>
            <wp:extent cx="107988" cy="107988"/>
            <wp:effectExtent l="0" t="0" r="0" b="0"/>
            <wp:wrapNone/>
            <wp:docPr id="1083" name="Image 1083"/>
            <wp:cNvGraphicFramePr>
              <a:graphicFrameLocks/>
            </wp:cNvGraphicFramePr>
            <a:graphic>
              <a:graphicData uri="http://schemas.openxmlformats.org/drawingml/2006/picture">
                <pic:pic>
                  <pic:nvPicPr>
                    <pic:cNvPr id="1083" name="Image 108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[2015]</w:t>
      </w:r>
      <w:r>
        <w:rPr>
          <w:rFonts w:ascii="Arial" w:hAnsi="Arial"/>
          <w:i/>
          <w:spacing w:val="50"/>
          <w:sz w:val="20"/>
        </w:rPr>
        <w:t> </w:t>
      </w:r>
      <w:r>
        <w:rPr>
          <w:rFonts w:ascii="Arial" w:hAnsi="Arial"/>
          <w:i/>
          <w:sz w:val="20"/>
        </w:rPr>
        <w:t>UKSC</w:t>
      </w:r>
      <w:r>
        <w:rPr>
          <w:rFonts w:ascii="Arial" w:hAnsi="Arial"/>
          <w:i/>
          <w:spacing w:val="50"/>
          <w:sz w:val="20"/>
        </w:rPr>
        <w:t> </w:t>
      </w:r>
      <w:r>
        <w:rPr>
          <w:rFonts w:ascii="Arial" w:hAnsi="Arial"/>
          <w:i/>
          <w:sz w:val="20"/>
        </w:rPr>
        <w:t>67</w:t>
      </w:r>
      <w:r>
        <w:rPr>
          <w:rFonts w:ascii="Arial" w:hAnsi="Arial"/>
          <w:i/>
          <w:spacing w:val="50"/>
          <w:sz w:val="20"/>
        </w:rPr>
        <w:t> </w:t>
      </w:r>
      <w:r>
        <w:rPr>
          <w:sz w:val="20"/>
        </w:rPr>
        <w:t>at</w:t>
      </w:r>
      <w:r>
        <w:rPr>
          <w:spacing w:val="50"/>
          <w:sz w:val="20"/>
        </w:rPr>
        <w:t> </w:t>
      </w:r>
      <w:r>
        <w:rPr>
          <w:sz w:val="20"/>
        </w:rPr>
        <w:t>[84]–[86],</w:t>
      </w:r>
      <w:r>
        <w:rPr>
          <w:spacing w:val="50"/>
          <w:sz w:val="20"/>
        </w:rPr>
        <w:t> </w:t>
      </w:r>
      <w:r>
        <w:rPr>
          <w:sz w:val="20"/>
        </w:rPr>
        <w:t>[283]</w:t>
      </w:r>
      <w:r>
        <w:rPr>
          <w:spacing w:val="50"/>
          <w:sz w:val="20"/>
        </w:rPr>
        <w:t> </w:t>
      </w:r>
      <w:r>
        <w:rPr>
          <w:sz w:val="20"/>
        </w:rPr>
        <w:t>and</w:t>
      </w:r>
      <w:r>
        <w:rPr>
          <w:spacing w:val="50"/>
          <w:sz w:val="20"/>
        </w:rPr>
        <w:t> </w:t>
      </w:r>
      <w:r>
        <w:rPr>
          <w:sz w:val="20"/>
        </w:rPr>
        <w:t>[292],</w:t>
      </w:r>
      <w:r>
        <w:rPr>
          <w:spacing w:val="50"/>
          <w:sz w:val="20"/>
        </w:rPr>
        <w:t> </w:t>
      </w:r>
      <w:r>
        <w:rPr>
          <w:sz w:val="20"/>
        </w:rPr>
        <w:t>disapproving</w:t>
      </w:r>
      <w:r>
        <w:rPr>
          <w:spacing w:val="50"/>
          <w:sz w:val="20"/>
        </w:rPr>
        <w:t> </w:t>
      </w:r>
      <w:r>
        <w:rPr>
          <w:rFonts w:ascii="Arial" w:hAnsi="Arial"/>
          <w:i/>
          <w:sz w:val="20"/>
        </w:rPr>
        <w:t>Jobson</w:t>
      </w:r>
      <w:r>
        <w:rPr>
          <w:rFonts w:ascii="Arial" w:hAnsi="Arial"/>
          <w:i/>
          <w:spacing w:val="50"/>
          <w:sz w:val="20"/>
        </w:rPr>
        <w:t> </w:t>
      </w:r>
      <w:r>
        <w:rPr>
          <w:rFonts w:ascii="Arial" w:hAnsi="Arial"/>
          <w:i/>
          <w:sz w:val="20"/>
        </w:rPr>
        <w:t>v</w:t>
      </w:r>
      <w:r>
        <w:rPr>
          <w:rFonts w:ascii="Arial" w:hAnsi="Arial"/>
          <w:i/>
          <w:spacing w:val="50"/>
          <w:sz w:val="20"/>
        </w:rPr>
        <w:t> </w:t>
      </w:r>
      <w:r>
        <w:rPr>
          <w:rFonts w:ascii="Arial" w:hAnsi="Arial"/>
          <w:i/>
          <w:sz w:val="20"/>
        </w:rPr>
        <w:t>Johnson</w:t>
      </w:r>
      <w:r>
        <w:rPr>
          <w:rFonts w:ascii="Arial" w:hAnsi="Arial"/>
          <w:i/>
          <w:spacing w:val="50"/>
          <w:sz w:val="20"/>
        </w:rPr>
        <w:t> </w:t>
      </w:r>
      <w:r>
        <w:rPr>
          <w:rFonts w:ascii="Arial" w:hAnsi="Arial"/>
          <w:i/>
          <w:sz w:val="20"/>
        </w:rPr>
        <w:t>[1989]</w:t>
      </w:r>
      <w:r>
        <w:rPr>
          <w:rFonts w:ascii="Arial" w:hAnsi="Arial"/>
          <w:i/>
          <w:spacing w:val="50"/>
          <w:sz w:val="20"/>
        </w:rPr>
        <w:t> </w:t>
      </w:r>
      <w:r>
        <w:rPr>
          <w:rFonts w:ascii="Arial" w:hAnsi="Arial"/>
          <w:i/>
          <w:spacing w:val="-10"/>
          <w:sz w:val="20"/>
        </w:rPr>
        <w:t>1</w:t>
      </w:r>
    </w:p>
    <w:p>
      <w:pPr>
        <w:spacing w:line="235" w:lineRule="auto" w:before="1"/>
        <w:ind w:left="705" w:right="169" w:firstLine="0"/>
        <w:jc w:val="both"/>
        <w:rPr>
          <w:sz w:val="20"/>
        </w:rPr>
      </w:pPr>
      <w:r>
        <w:rPr>
          <w:rFonts w:ascii="Arial"/>
          <w:i/>
          <w:sz w:val="20"/>
        </w:rPr>
        <w:t>W.L.R. 1026 </w:t>
      </w:r>
      <w:r>
        <w:rPr>
          <w:sz w:val="20"/>
        </w:rPr>
        <w:t>on this point. Lord Mance preferred to leave this point for further argument (at [186]).</w:t>
      </w:r>
      <w:r>
        <w:rPr>
          <w:spacing w:val="10"/>
          <w:sz w:val="20"/>
        </w:rPr>
        <w:t> </w:t>
      </w:r>
      <w:r>
        <w:rPr>
          <w:sz w:val="20"/>
        </w:rPr>
        <w:t>In</w:t>
      </w:r>
      <w:r>
        <w:rPr>
          <w:spacing w:val="10"/>
          <w:sz w:val="20"/>
        </w:rPr>
        <w:t> </w:t>
      </w:r>
      <w:r>
        <w:rPr>
          <w:rFonts w:ascii="Arial"/>
          <w:i/>
          <w:sz w:val="20"/>
        </w:rPr>
        <w:t>Vivienne</w:t>
      </w:r>
      <w:r>
        <w:rPr>
          <w:rFonts w:ascii="Arial"/>
          <w:i/>
          <w:spacing w:val="10"/>
          <w:sz w:val="20"/>
        </w:rPr>
        <w:t> </w:t>
      </w:r>
      <w:r>
        <w:rPr>
          <w:rFonts w:ascii="Arial"/>
          <w:i/>
          <w:sz w:val="20"/>
        </w:rPr>
        <w:t>Westwood</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Conduit</w:t>
      </w:r>
      <w:r>
        <w:rPr>
          <w:rFonts w:ascii="Arial"/>
          <w:i/>
          <w:spacing w:val="10"/>
          <w:sz w:val="20"/>
        </w:rPr>
        <w:t> </w:t>
      </w:r>
      <w:r>
        <w:rPr>
          <w:rFonts w:ascii="Arial"/>
          <w:i/>
          <w:sz w:val="20"/>
        </w:rPr>
        <w:t>Street</w:t>
      </w:r>
      <w:r>
        <w:rPr>
          <w:rFonts w:ascii="Arial"/>
          <w:i/>
          <w:spacing w:val="10"/>
          <w:sz w:val="20"/>
        </w:rPr>
        <w:t> </w:t>
      </w:r>
      <w:r>
        <w:rPr>
          <w:rFonts w:ascii="Arial"/>
          <w:i/>
          <w:sz w:val="20"/>
        </w:rPr>
        <w:t>Development</w:t>
      </w:r>
      <w:r>
        <w:rPr>
          <w:rFonts w:ascii="Arial"/>
          <w:i/>
          <w:spacing w:val="10"/>
          <w:sz w:val="20"/>
        </w:rPr>
        <w:t> </w:t>
      </w:r>
      <w:r>
        <w:rPr>
          <w:rFonts w:ascii="Arial"/>
          <w:i/>
          <w:sz w:val="20"/>
        </w:rPr>
        <w:t>Ltd</w:t>
      </w:r>
      <w:r>
        <w:rPr>
          <w:rFonts w:ascii="Arial"/>
          <w:i/>
          <w:spacing w:val="10"/>
          <w:sz w:val="20"/>
        </w:rPr>
        <w:t> </w:t>
      </w:r>
      <w:r>
        <w:rPr>
          <w:rFonts w:ascii="Arial"/>
          <w:i/>
          <w:sz w:val="20"/>
        </w:rPr>
        <w:t>[2017]</w:t>
      </w:r>
      <w:r>
        <w:rPr>
          <w:rFonts w:ascii="Arial"/>
          <w:i/>
          <w:spacing w:val="10"/>
          <w:sz w:val="20"/>
        </w:rPr>
        <w:t> </w:t>
      </w:r>
      <w:r>
        <w:rPr>
          <w:rFonts w:ascii="Arial"/>
          <w:i/>
          <w:sz w:val="20"/>
        </w:rPr>
        <w:t>EWHC</w:t>
      </w:r>
      <w:r>
        <w:rPr>
          <w:rFonts w:ascii="Arial"/>
          <w:i/>
          <w:spacing w:val="10"/>
          <w:sz w:val="20"/>
        </w:rPr>
        <w:t> </w:t>
      </w:r>
      <w:r>
        <w:rPr>
          <w:rFonts w:ascii="Arial"/>
          <w:i/>
          <w:sz w:val="20"/>
        </w:rPr>
        <w:t>350</w:t>
      </w:r>
      <w:r>
        <w:rPr>
          <w:rFonts w:ascii="Arial"/>
          <w:i/>
          <w:spacing w:val="10"/>
          <w:sz w:val="20"/>
        </w:rPr>
        <w:t> </w:t>
      </w:r>
      <w:r>
        <w:rPr>
          <w:rFonts w:ascii="Arial"/>
          <w:i/>
          <w:sz w:val="20"/>
        </w:rPr>
        <w:t>(Ch)</w:t>
      </w:r>
      <w:r>
        <w:rPr>
          <w:rFonts w:ascii="Arial"/>
          <w:i/>
          <w:spacing w:val="9"/>
          <w:sz w:val="20"/>
        </w:rPr>
        <w:t> </w:t>
      </w:r>
      <w:r>
        <w:rPr>
          <w:spacing w:val="-5"/>
          <w:sz w:val="20"/>
        </w:rPr>
        <w:t>at</w:t>
      </w:r>
    </w:p>
    <w:p>
      <w:pPr>
        <w:pStyle w:val="BodyText"/>
        <w:spacing w:line="235" w:lineRule="auto"/>
        <w:ind w:left="705" w:right="167"/>
        <w:jc w:val="both"/>
      </w:pPr>
      <w:r>
        <w:rPr/>
        <w:t>[66]–[71] Timothy Fancourt QC, sitting as a Deputy Judge of the High Court, expressed the</w:t>
      </w:r>
      <w:r>
        <w:rPr>
          <w:spacing w:val="40"/>
        </w:rPr>
        <w:t> </w:t>
      </w:r>
      <w:r>
        <w:rPr/>
        <w:t>view</w:t>
      </w:r>
      <w:r>
        <w:rPr>
          <w:spacing w:val="-1"/>
        </w:rPr>
        <w:t> </w:t>
      </w:r>
      <w:r>
        <w:rPr/>
        <w:t>that</w:t>
      </w:r>
      <w:r>
        <w:rPr>
          <w:spacing w:val="-1"/>
        </w:rPr>
        <w:t> </w:t>
      </w:r>
      <w:r>
        <w:rPr/>
        <w:t>it</w:t>
      </w:r>
      <w:r>
        <w:rPr>
          <w:spacing w:val="-1"/>
        </w:rPr>
        <w:t> </w:t>
      </w:r>
      <w:r>
        <w:rPr/>
        <w:t>is</w:t>
      </w:r>
      <w:r>
        <w:rPr>
          <w:spacing w:val="-1"/>
        </w:rPr>
        <w:t> </w:t>
      </w:r>
      <w:r>
        <w:rPr/>
        <w:t>possible</w:t>
      </w:r>
      <w:r>
        <w:rPr>
          <w:spacing w:val="-1"/>
        </w:rPr>
        <w:t> </w:t>
      </w:r>
      <w:r>
        <w:rPr/>
        <w:t>to</w:t>
      </w:r>
      <w:r>
        <w:rPr>
          <w:spacing w:val="-1"/>
        </w:rPr>
        <w:t> </w:t>
      </w:r>
      <w:r>
        <w:rPr/>
        <w:t>sever</w:t>
      </w:r>
      <w:r>
        <w:rPr>
          <w:spacing w:val="-1"/>
        </w:rPr>
        <w:t> </w:t>
      </w:r>
      <w:r>
        <w:rPr/>
        <w:t>part</w:t>
      </w:r>
      <w:r>
        <w:rPr>
          <w:spacing w:val="-1"/>
        </w:rPr>
        <w:t> </w:t>
      </w:r>
      <w:r>
        <w:rPr/>
        <w:t>of</w:t>
      </w:r>
      <w:r>
        <w:rPr>
          <w:spacing w:val="-1"/>
        </w:rPr>
        <w:t> </w:t>
      </w:r>
      <w:r>
        <w:rPr/>
        <w:t>a</w:t>
      </w:r>
      <w:r>
        <w:rPr>
          <w:spacing w:val="-1"/>
        </w:rPr>
        <w:t> </w:t>
      </w:r>
      <w:r>
        <w:rPr/>
        <w:t>clause</w:t>
      </w:r>
      <w:r>
        <w:rPr>
          <w:spacing w:val="-1"/>
        </w:rPr>
        <w:t> </w:t>
      </w:r>
      <w:r>
        <w:rPr/>
        <w:t>that</w:t>
      </w:r>
      <w:r>
        <w:rPr>
          <w:spacing w:val="-1"/>
        </w:rPr>
        <w:t> </w:t>
      </w:r>
      <w:r>
        <w:rPr/>
        <w:t>makes</w:t>
      </w:r>
      <w:r>
        <w:rPr>
          <w:spacing w:val="-1"/>
        </w:rPr>
        <w:t> </w:t>
      </w:r>
      <w:r>
        <w:rPr/>
        <w:t>the</w:t>
      </w:r>
      <w:r>
        <w:rPr>
          <w:spacing w:val="-1"/>
        </w:rPr>
        <w:t> </w:t>
      </w:r>
      <w:r>
        <w:rPr/>
        <w:t>clause</w:t>
      </w:r>
      <w:r>
        <w:rPr>
          <w:spacing w:val="-1"/>
        </w:rPr>
        <w:t> </w:t>
      </w:r>
      <w:r>
        <w:rPr/>
        <w:t>penal</w:t>
      </w:r>
      <w:r>
        <w:rPr>
          <w:spacing w:val="-1"/>
        </w:rPr>
        <w:t> </w:t>
      </w:r>
      <w:r>
        <w:rPr/>
        <w:t>if</w:t>
      </w:r>
      <w:r>
        <w:rPr>
          <w:spacing w:val="-1"/>
        </w:rPr>
        <w:t> </w:t>
      </w:r>
      <w:r>
        <w:rPr/>
        <w:t>the</w:t>
      </w:r>
      <w:r>
        <w:rPr>
          <w:spacing w:val="-1"/>
        </w:rPr>
        <w:t> </w:t>
      </w:r>
      <w:r>
        <w:rPr/>
        <w:t>offending</w:t>
      </w:r>
      <w:r>
        <w:rPr>
          <w:spacing w:val="-1"/>
        </w:rPr>
        <w:t> </w:t>
      </w:r>
      <w:r>
        <w:rPr/>
        <w:t>part can be removed without adding to or modifying the rest, the remaining terms are supported </w:t>
      </w:r>
      <w:r>
        <w:rPr/>
        <w:t>by consideration, the change does not alter the character of the contract and severance does not conflict with the public policy making the offending part unenforceable. However, the authorities cited in support are cases on restraint of trade and, with respect, it is not clear that severance can be applied to penalty clauses.</w:t>
      </w:r>
    </w:p>
    <w:p>
      <w:pPr>
        <w:pStyle w:val="BodyText"/>
        <w:spacing w:before="10"/>
      </w:pPr>
    </w:p>
    <w:p>
      <w:pPr>
        <w:spacing w:line="137" w:lineRule="exact" w:before="0"/>
        <w:ind w:left="165" w:right="0" w:firstLine="0"/>
        <w:jc w:val="left"/>
        <w:rPr>
          <w:sz w:val="14"/>
        </w:rPr>
      </w:pPr>
      <w:bookmarkStart w:name="_bookmark2437" w:id="2439"/>
      <w:bookmarkEnd w:id="2439"/>
      <w:r>
        <w:rPr/>
      </w:r>
      <w:hyperlink w:history="true" w:anchor="_bookmark2430">
        <w:r>
          <w:rPr>
            <w:color w:val="005DA1"/>
            <w:spacing w:val="-2"/>
            <w:sz w:val="14"/>
            <w:u w:val="single" w:color="005DA1"/>
          </w:rPr>
          <w:t>1278</w:t>
        </w:r>
      </w:hyperlink>
      <w:r>
        <w:rPr>
          <w:spacing w:val="-2"/>
          <w:sz w:val="14"/>
        </w:rPr>
        <w:t>.</w:t>
      </w:r>
    </w:p>
    <w:p>
      <w:pPr>
        <w:spacing w:line="203" w:lineRule="exact" w:before="0"/>
        <w:ind w:left="0" w:right="168" w:firstLine="0"/>
        <w:jc w:val="right"/>
        <w:rPr>
          <w:sz w:val="20"/>
        </w:rPr>
      </w:pPr>
      <w:r>
        <w:rPr>
          <w:sz w:val="20"/>
        </w:rPr>
        <w:drawing>
          <wp:anchor distT="0" distB="0" distL="0" distR="0" allowOverlap="1" layoutInCell="1" locked="0" behindDoc="0" simplePos="0" relativeHeight="15869952">
            <wp:simplePos x="0" y="0"/>
            <wp:positionH relativeFrom="page">
              <wp:posOffset>1257846</wp:posOffset>
            </wp:positionH>
            <wp:positionV relativeFrom="paragraph">
              <wp:posOffset>12823</wp:posOffset>
            </wp:positionV>
            <wp:extent cx="107988" cy="107988"/>
            <wp:effectExtent l="0" t="0" r="0" b="0"/>
            <wp:wrapNone/>
            <wp:docPr id="1084" name="Image 1084"/>
            <wp:cNvGraphicFramePr>
              <a:graphicFrameLocks/>
            </wp:cNvGraphicFramePr>
            <a:graphic>
              <a:graphicData uri="http://schemas.openxmlformats.org/drawingml/2006/picture">
                <pic:pic>
                  <pic:nvPicPr>
                    <pic:cNvPr id="1084" name="Image 108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Wall</w:t>
      </w:r>
      <w:r>
        <w:rPr>
          <w:rFonts w:ascii="Arial"/>
          <w:i/>
          <w:spacing w:val="37"/>
          <w:sz w:val="20"/>
        </w:rPr>
        <w:t> </w:t>
      </w:r>
      <w:r>
        <w:rPr>
          <w:rFonts w:ascii="Arial"/>
          <w:i/>
          <w:sz w:val="20"/>
        </w:rPr>
        <w:t>v</w:t>
      </w:r>
      <w:r>
        <w:rPr>
          <w:rFonts w:ascii="Arial"/>
          <w:i/>
          <w:spacing w:val="37"/>
          <w:sz w:val="20"/>
        </w:rPr>
        <w:t> </w:t>
      </w:r>
      <w:r>
        <w:rPr>
          <w:rFonts w:ascii="Arial"/>
          <w:i/>
          <w:sz w:val="20"/>
        </w:rPr>
        <w:t>Rederiaktiebolaget</w:t>
      </w:r>
      <w:r>
        <w:rPr>
          <w:rFonts w:ascii="Arial"/>
          <w:i/>
          <w:spacing w:val="37"/>
          <w:sz w:val="20"/>
        </w:rPr>
        <w:t> </w:t>
      </w:r>
      <w:r>
        <w:rPr>
          <w:rFonts w:ascii="Arial"/>
          <w:i/>
          <w:sz w:val="20"/>
        </w:rPr>
        <w:t>Luggude</w:t>
      </w:r>
      <w:r>
        <w:rPr>
          <w:rFonts w:ascii="Arial"/>
          <w:i/>
          <w:spacing w:val="37"/>
          <w:sz w:val="20"/>
        </w:rPr>
        <w:t> </w:t>
      </w:r>
      <w:r>
        <w:rPr>
          <w:rFonts w:ascii="Arial"/>
          <w:i/>
          <w:sz w:val="20"/>
        </w:rPr>
        <w:t>[1915]</w:t>
      </w:r>
      <w:r>
        <w:rPr>
          <w:rFonts w:ascii="Arial"/>
          <w:i/>
          <w:spacing w:val="37"/>
          <w:sz w:val="20"/>
        </w:rPr>
        <w:t> </w:t>
      </w:r>
      <w:r>
        <w:rPr>
          <w:rFonts w:ascii="Arial"/>
          <w:i/>
          <w:sz w:val="20"/>
        </w:rPr>
        <w:t>3</w:t>
      </w:r>
      <w:r>
        <w:rPr>
          <w:rFonts w:ascii="Arial"/>
          <w:i/>
          <w:spacing w:val="37"/>
          <w:sz w:val="20"/>
        </w:rPr>
        <w:t> </w:t>
      </w:r>
      <w:r>
        <w:rPr>
          <w:rFonts w:ascii="Arial"/>
          <w:i/>
          <w:sz w:val="20"/>
        </w:rPr>
        <w:t>K.B.</w:t>
      </w:r>
      <w:r>
        <w:rPr>
          <w:rFonts w:ascii="Arial"/>
          <w:i/>
          <w:spacing w:val="37"/>
          <w:sz w:val="20"/>
        </w:rPr>
        <w:t> </w:t>
      </w:r>
      <w:r>
        <w:rPr>
          <w:rFonts w:ascii="Arial"/>
          <w:i/>
          <w:sz w:val="20"/>
        </w:rPr>
        <w:t>66</w:t>
      </w:r>
      <w:r>
        <w:rPr>
          <w:rFonts w:ascii="Arial"/>
          <w:i/>
          <w:spacing w:val="36"/>
          <w:sz w:val="20"/>
        </w:rPr>
        <w:t> </w:t>
      </w:r>
      <w:r>
        <w:rPr>
          <w:sz w:val="20"/>
        </w:rPr>
        <w:t>(approved</w:t>
      </w:r>
      <w:r>
        <w:rPr>
          <w:spacing w:val="37"/>
          <w:sz w:val="20"/>
        </w:rPr>
        <w:t> </w:t>
      </w:r>
      <w:r>
        <w:rPr>
          <w:sz w:val="20"/>
        </w:rPr>
        <w:t>by</w:t>
      </w:r>
      <w:r>
        <w:rPr>
          <w:spacing w:val="37"/>
          <w:sz w:val="20"/>
        </w:rPr>
        <w:t> </w:t>
      </w:r>
      <w:r>
        <w:rPr>
          <w:sz w:val="20"/>
        </w:rPr>
        <w:t>the</w:t>
      </w:r>
      <w:r>
        <w:rPr>
          <w:spacing w:val="37"/>
          <w:sz w:val="20"/>
        </w:rPr>
        <w:t> </w:t>
      </w:r>
      <w:r>
        <w:rPr>
          <w:sz w:val="20"/>
        </w:rPr>
        <w:t>House</w:t>
      </w:r>
      <w:r>
        <w:rPr>
          <w:spacing w:val="37"/>
          <w:sz w:val="20"/>
        </w:rPr>
        <w:t> </w:t>
      </w:r>
      <w:r>
        <w:rPr>
          <w:sz w:val="20"/>
        </w:rPr>
        <w:t>of</w:t>
      </w:r>
      <w:r>
        <w:rPr>
          <w:spacing w:val="37"/>
          <w:sz w:val="20"/>
        </w:rPr>
        <w:t> </w:t>
      </w:r>
      <w:r>
        <w:rPr>
          <w:sz w:val="20"/>
        </w:rPr>
        <w:t>Lords</w:t>
      </w:r>
      <w:r>
        <w:rPr>
          <w:spacing w:val="37"/>
          <w:sz w:val="20"/>
        </w:rPr>
        <w:t> </w:t>
      </w:r>
      <w:r>
        <w:rPr>
          <w:spacing w:val="-5"/>
          <w:sz w:val="20"/>
        </w:rPr>
        <w:t>in</w:t>
      </w:r>
    </w:p>
    <w:p>
      <w:pPr>
        <w:spacing w:line="235" w:lineRule="auto" w:before="1"/>
        <w:ind w:left="705" w:right="168" w:firstLine="0"/>
        <w:jc w:val="both"/>
        <w:rPr>
          <w:sz w:val="20"/>
        </w:rPr>
      </w:pPr>
      <w:r>
        <w:rPr>
          <w:rFonts w:ascii="Arial"/>
          <w:i/>
          <w:sz w:val="20"/>
        </w:rPr>
        <w:t>Watts, Watts &amp; Co Ltd v Mitsui &amp; Co Ltd [1917] A.C. 227</w:t>
      </w:r>
      <w:r>
        <w:rPr>
          <w:sz w:val="20"/>
        </w:rPr>
        <w:t>). But this case may require reconsideration in the light of the</w:t>
      </w:r>
      <w:r>
        <w:rPr>
          <w:spacing w:val="-1"/>
          <w:sz w:val="20"/>
        </w:rPr>
        <w:t> </w:t>
      </w:r>
      <w:r>
        <w:rPr>
          <w:rFonts w:ascii="Arial"/>
          <w:i/>
          <w:sz w:val="20"/>
        </w:rPr>
        <w:t>Suisse Atlantique case [1967] 1 A.C. 361</w:t>
      </w:r>
      <w:r>
        <w:rPr>
          <w:rFonts w:ascii="Arial"/>
          <w:i/>
          <w:spacing w:val="-1"/>
          <w:sz w:val="20"/>
        </w:rPr>
        <w:t> </w:t>
      </w:r>
      <w:r>
        <w:rPr>
          <w:sz w:val="20"/>
        </w:rPr>
        <w:t>(where a demurrage clause was held to be an agreed damages clause) and the </w:t>
      </w:r>
      <w:r>
        <w:rPr>
          <w:rFonts w:ascii="Arial"/>
          <w:i/>
          <w:sz w:val="20"/>
        </w:rPr>
        <w:t>Photo Production case [1980] </w:t>
      </w:r>
      <w:r>
        <w:rPr>
          <w:rFonts w:ascii="Arial"/>
          <w:i/>
          <w:sz w:val="20"/>
        </w:rPr>
        <w:t>A.C. </w:t>
      </w:r>
      <w:r>
        <w:rPr>
          <w:rFonts w:ascii="Arial"/>
          <w:i/>
          <w:spacing w:val="-4"/>
          <w:sz w:val="20"/>
        </w:rPr>
        <w:t>827</w:t>
      </w:r>
      <w:r>
        <w:rPr>
          <w:spacing w:val="-4"/>
          <w:sz w:val="20"/>
        </w:rPr>
        <w:t>.</w:t>
      </w:r>
    </w:p>
    <w:p>
      <w:pPr>
        <w:pStyle w:val="BodyText"/>
        <w:spacing w:before="12"/>
      </w:pPr>
    </w:p>
    <w:p>
      <w:pPr>
        <w:spacing w:line="137" w:lineRule="exact" w:before="0"/>
        <w:ind w:left="165" w:right="0" w:firstLine="0"/>
        <w:jc w:val="left"/>
        <w:rPr>
          <w:sz w:val="14"/>
        </w:rPr>
      </w:pPr>
      <w:bookmarkStart w:name="_bookmark2438" w:id="2440"/>
      <w:bookmarkEnd w:id="2440"/>
      <w:r>
        <w:rPr/>
      </w:r>
      <w:hyperlink w:history="true" w:anchor="_bookmark2431">
        <w:r>
          <w:rPr>
            <w:color w:val="005DA1"/>
            <w:spacing w:val="-2"/>
            <w:sz w:val="14"/>
            <w:u w:val="single" w:color="005DA1"/>
          </w:rPr>
          <w:t>1279</w:t>
        </w:r>
      </w:hyperlink>
      <w:r>
        <w:rPr>
          <w:spacing w:val="-2"/>
          <w:sz w:val="14"/>
        </w:rPr>
        <w:t>.</w:t>
      </w:r>
    </w:p>
    <w:p>
      <w:pPr>
        <w:spacing w:line="203" w:lineRule="exact" w:before="0"/>
        <w:ind w:left="0" w:right="168" w:firstLine="0"/>
        <w:jc w:val="right"/>
        <w:rPr>
          <w:sz w:val="20"/>
        </w:rPr>
      </w:pPr>
      <w:r>
        <w:rPr>
          <w:sz w:val="20"/>
        </w:rPr>
        <w:drawing>
          <wp:anchor distT="0" distB="0" distL="0" distR="0" allowOverlap="1" layoutInCell="1" locked="0" behindDoc="0" simplePos="0" relativeHeight="15870464">
            <wp:simplePos x="0" y="0"/>
            <wp:positionH relativeFrom="page">
              <wp:posOffset>1257846</wp:posOffset>
            </wp:positionH>
            <wp:positionV relativeFrom="paragraph">
              <wp:posOffset>12954</wp:posOffset>
            </wp:positionV>
            <wp:extent cx="107988" cy="107988"/>
            <wp:effectExtent l="0" t="0" r="0" b="0"/>
            <wp:wrapNone/>
            <wp:docPr id="1085" name="Image 1085"/>
            <wp:cNvGraphicFramePr>
              <a:graphicFrameLocks/>
            </wp:cNvGraphicFramePr>
            <a:graphic>
              <a:graphicData uri="http://schemas.openxmlformats.org/drawingml/2006/picture">
                <pic:pic>
                  <pic:nvPicPr>
                    <pic:cNvPr id="1085" name="Image 108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In</w:t>
      </w:r>
      <w:r>
        <w:rPr>
          <w:spacing w:val="10"/>
          <w:sz w:val="20"/>
        </w:rPr>
        <w:t> </w:t>
      </w:r>
      <w:r>
        <w:rPr>
          <w:rFonts w:ascii="Arial"/>
          <w:i/>
          <w:sz w:val="20"/>
        </w:rPr>
        <w:t>Cellulose</w:t>
      </w:r>
      <w:r>
        <w:rPr>
          <w:rFonts w:ascii="Arial"/>
          <w:i/>
          <w:spacing w:val="11"/>
          <w:sz w:val="20"/>
        </w:rPr>
        <w:t> </w:t>
      </w:r>
      <w:r>
        <w:rPr>
          <w:rFonts w:ascii="Arial"/>
          <w:i/>
          <w:sz w:val="20"/>
        </w:rPr>
        <w:t>Acetate</w:t>
      </w:r>
      <w:r>
        <w:rPr>
          <w:rFonts w:ascii="Arial"/>
          <w:i/>
          <w:spacing w:val="11"/>
          <w:sz w:val="20"/>
        </w:rPr>
        <w:t> </w:t>
      </w:r>
      <w:r>
        <w:rPr>
          <w:rFonts w:ascii="Arial"/>
          <w:i/>
          <w:sz w:val="20"/>
        </w:rPr>
        <w:t>Silk</w:t>
      </w:r>
      <w:r>
        <w:rPr>
          <w:rFonts w:ascii="Arial"/>
          <w:i/>
          <w:spacing w:val="11"/>
          <w:sz w:val="20"/>
        </w:rPr>
        <w:t> </w:t>
      </w:r>
      <w:r>
        <w:rPr>
          <w:rFonts w:ascii="Arial"/>
          <w:i/>
          <w:sz w:val="20"/>
        </w:rPr>
        <w:t>Co</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Widnes</w:t>
      </w:r>
      <w:r>
        <w:rPr>
          <w:rFonts w:ascii="Arial"/>
          <w:i/>
          <w:spacing w:val="11"/>
          <w:sz w:val="20"/>
        </w:rPr>
        <w:t> </w:t>
      </w:r>
      <w:r>
        <w:rPr>
          <w:rFonts w:ascii="Arial"/>
          <w:i/>
          <w:sz w:val="20"/>
        </w:rPr>
        <w:t>Foundry</w:t>
      </w:r>
      <w:r>
        <w:rPr>
          <w:rFonts w:ascii="Arial"/>
          <w:i/>
          <w:spacing w:val="11"/>
          <w:sz w:val="20"/>
        </w:rPr>
        <w:t> </w:t>
      </w:r>
      <w:r>
        <w:rPr>
          <w:rFonts w:ascii="Arial"/>
          <w:i/>
          <w:sz w:val="20"/>
        </w:rPr>
        <w:t>(1925)</w:t>
      </w:r>
      <w:r>
        <w:rPr>
          <w:rFonts w:ascii="Arial"/>
          <w:i/>
          <w:spacing w:val="11"/>
          <w:sz w:val="20"/>
        </w:rPr>
        <w:t> </w:t>
      </w:r>
      <w:r>
        <w:rPr>
          <w:rFonts w:ascii="Arial"/>
          <w:i/>
          <w:sz w:val="20"/>
        </w:rPr>
        <w:t>Ltd</w:t>
      </w:r>
      <w:r>
        <w:rPr>
          <w:rFonts w:ascii="Arial"/>
          <w:i/>
          <w:spacing w:val="11"/>
          <w:sz w:val="20"/>
        </w:rPr>
        <w:t> </w:t>
      </w:r>
      <w:r>
        <w:rPr>
          <w:rFonts w:ascii="Arial"/>
          <w:i/>
          <w:sz w:val="20"/>
        </w:rPr>
        <w:t>[1933]</w:t>
      </w:r>
      <w:r>
        <w:rPr>
          <w:rFonts w:ascii="Arial"/>
          <w:i/>
          <w:spacing w:val="11"/>
          <w:sz w:val="20"/>
        </w:rPr>
        <w:t> </w:t>
      </w:r>
      <w:r>
        <w:rPr>
          <w:rFonts w:ascii="Arial"/>
          <w:i/>
          <w:sz w:val="20"/>
        </w:rPr>
        <w:t>A.C.</w:t>
      </w:r>
      <w:r>
        <w:rPr>
          <w:rFonts w:ascii="Arial"/>
          <w:i/>
          <w:spacing w:val="11"/>
          <w:sz w:val="20"/>
        </w:rPr>
        <w:t> </w:t>
      </w:r>
      <w:r>
        <w:rPr>
          <w:rFonts w:ascii="Arial"/>
          <w:i/>
          <w:sz w:val="20"/>
        </w:rPr>
        <w:t>20,</w:t>
      </w:r>
      <w:r>
        <w:rPr>
          <w:rFonts w:ascii="Arial"/>
          <w:i/>
          <w:spacing w:val="11"/>
          <w:sz w:val="20"/>
        </w:rPr>
        <w:t> </w:t>
      </w:r>
      <w:r>
        <w:rPr>
          <w:rFonts w:ascii="Arial"/>
          <w:i/>
          <w:sz w:val="20"/>
        </w:rPr>
        <w:t>26</w:t>
      </w:r>
      <w:r>
        <w:rPr>
          <w:sz w:val="20"/>
        </w:rPr>
        <w:t>,</w:t>
      </w:r>
      <w:r>
        <w:rPr>
          <w:spacing w:val="11"/>
          <w:sz w:val="20"/>
        </w:rPr>
        <w:t> </w:t>
      </w:r>
      <w:r>
        <w:rPr>
          <w:sz w:val="20"/>
        </w:rPr>
        <w:t>the</w:t>
      </w:r>
      <w:r>
        <w:rPr>
          <w:spacing w:val="11"/>
          <w:sz w:val="20"/>
        </w:rPr>
        <w:t> </w:t>
      </w:r>
      <w:r>
        <w:rPr>
          <w:spacing w:val="-2"/>
          <w:sz w:val="20"/>
        </w:rPr>
        <w:t>House</w:t>
      </w:r>
    </w:p>
    <w:p>
      <w:pPr>
        <w:spacing w:line="235" w:lineRule="auto" w:before="1"/>
        <w:ind w:left="705" w:right="167" w:firstLine="0"/>
        <w:jc w:val="both"/>
        <w:rPr>
          <w:rFonts w:ascii="Arial" w:hAnsi="Arial"/>
          <w:i/>
          <w:sz w:val="20"/>
        </w:rPr>
      </w:pPr>
      <w:r>
        <w:rPr>
          <w:sz w:val="20"/>
        </w:rPr>
        <w:t>left: “… open the question whether, where a penalty is plainly less in amount than the prospective</w:t>
      </w:r>
      <w:r>
        <w:rPr>
          <w:spacing w:val="-1"/>
          <w:sz w:val="20"/>
        </w:rPr>
        <w:t> </w:t>
      </w:r>
      <w:r>
        <w:rPr>
          <w:sz w:val="20"/>
        </w:rPr>
        <w:t>damages,</w:t>
      </w:r>
      <w:r>
        <w:rPr>
          <w:spacing w:val="-1"/>
          <w:sz w:val="20"/>
        </w:rPr>
        <w:t> </w:t>
      </w:r>
      <w:r>
        <w:rPr>
          <w:sz w:val="20"/>
        </w:rPr>
        <w:t>there</w:t>
      </w:r>
      <w:r>
        <w:rPr>
          <w:spacing w:val="-1"/>
          <w:sz w:val="20"/>
        </w:rPr>
        <w:t> </w:t>
      </w:r>
      <w:r>
        <w:rPr>
          <w:sz w:val="20"/>
        </w:rPr>
        <w:t>is</w:t>
      </w:r>
      <w:r>
        <w:rPr>
          <w:spacing w:val="-1"/>
          <w:sz w:val="20"/>
        </w:rPr>
        <w:t> </w:t>
      </w:r>
      <w:r>
        <w:rPr>
          <w:sz w:val="20"/>
        </w:rPr>
        <w:t>any</w:t>
      </w:r>
      <w:r>
        <w:rPr>
          <w:spacing w:val="-1"/>
          <w:sz w:val="20"/>
        </w:rPr>
        <w:t> </w:t>
      </w:r>
      <w:r>
        <w:rPr>
          <w:sz w:val="20"/>
        </w:rPr>
        <w:t>legal</w:t>
      </w:r>
      <w:r>
        <w:rPr>
          <w:spacing w:val="-1"/>
          <w:sz w:val="20"/>
        </w:rPr>
        <w:t> </w:t>
      </w:r>
      <w:r>
        <w:rPr>
          <w:sz w:val="20"/>
        </w:rPr>
        <w:t>objection</w:t>
      </w:r>
      <w:r>
        <w:rPr>
          <w:spacing w:val="-1"/>
          <w:sz w:val="20"/>
        </w:rPr>
        <w:t> </w:t>
      </w:r>
      <w:r>
        <w:rPr>
          <w:sz w:val="20"/>
        </w:rPr>
        <w:t>to</w:t>
      </w:r>
      <w:r>
        <w:rPr>
          <w:spacing w:val="-1"/>
          <w:sz w:val="20"/>
        </w:rPr>
        <w:t> </w:t>
      </w:r>
      <w:r>
        <w:rPr>
          <w:sz w:val="20"/>
        </w:rPr>
        <w:t>suing</w:t>
      </w:r>
      <w:r>
        <w:rPr>
          <w:spacing w:val="-1"/>
          <w:sz w:val="20"/>
        </w:rPr>
        <w:t> </w:t>
      </w:r>
      <w:r>
        <w:rPr>
          <w:sz w:val="20"/>
        </w:rPr>
        <w:t>on</w:t>
      </w:r>
      <w:r>
        <w:rPr>
          <w:spacing w:val="-1"/>
          <w:sz w:val="20"/>
        </w:rPr>
        <w:t> </w:t>
      </w:r>
      <w:r>
        <w:rPr>
          <w:sz w:val="20"/>
        </w:rPr>
        <w:t>it</w:t>
      </w:r>
      <w:r>
        <w:rPr>
          <w:spacing w:val="-1"/>
          <w:sz w:val="20"/>
        </w:rPr>
        <w:t> </w:t>
      </w:r>
      <w:r>
        <w:rPr>
          <w:sz w:val="20"/>
        </w:rPr>
        <w:t>or,</w:t>
      </w:r>
      <w:r>
        <w:rPr>
          <w:spacing w:val="-1"/>
          <w:sz w:val="20"/>
        </w:rPr>
        <w:t> </w:t>
      </w:r>
      <w:r>
        <w:rPr>
          <w:sz w:val="20"/>
        </w:rPr>
        <w:t>in</w:t>
      </w:r>
      <w:r>
        <w:rPr>
          <w:spacing w:val="-1"/>
          <w:sz w:val="20"/>
        </w:rPr>
        <w:t> </w:t>
      </w:r>
      <w:r>
        <w:rPr>
          <w:sz w:val="20"/>
        </w:rPr>
        <w:t>a</w:t>
      </w:r>
      <w:r>
        <w:rPr>
          <w:spacing w:val="-1"/>
          <w:sz w:val="20"/>
        </w:rPr>
        <w:t> </w:t>
      </w:r>
      <w:r>
        <w:rPr>
          <w:sz w:val="20"/>
        </w:rPr>
        <w:t>suitable</w:t>
      </w:r>
      <w:r>
        <w:rPr>
          <w:spacing w:val="-1"/>
          <w:sz w:val="20"/>
        </w:rPr>
        <w:t> </w:t>
      </w:r>
      <w:r>
        <w:rPr>
          <w:sz w:val="20"/>
        </w:rPr>
        <w:t>case,</w:t>
      </w:r>
      <w:r>
        <w:rPr>
          <w:spacing w:val="-1"/>
          <w:sz w:val="20"/>
        </w:rPr>
        <w:t> </w:t>
      </w:r>
      <w:r>
        <w:rPr>
          <w:sz w:val="20"/>
        </w:rPr>
        <w:t>ignoring</w:t>
      </w:r>
      <w:r>
        <w:rPr>
          <w:spacing w:val="-1"/>
          <w:sz w:val="20"/>
        </w:rPr>
        <w:t> </w:t>
      </w:r>
      <w:r>
        <w:rPr>
          <w:sz w:val="20"/>
        </w:rPr>
        <w:t>it and suing for damages”. cf. dicta to the effect that the penalty fixes the maximum recoverable: </w:t>
      </w:r>
      <w:r>
        <w:rPr>
          <w:rFonts w:ascii="Arial" w:hAnsi="Arial"/>
          <w:i/>
          <w:sz w:val="20"/>
        </w:rPr>
        <w:t>Wilbeam v Ashton (1807) 1 Camp. 78</w:t>
      </w:r>
      <w:r>
        <w:rPr>
          <w:sz w:val="20"/>
        </w:rPr>
        <w:t>; </w:t>
      </w:r>
      <w:r>
        <w:rPr>
          <w:rFonts w:ascii="Arial" w:hAnsi="Arial"/>
          <w:i/>
          <w:sz w:val="20"/>
        </w:rPr>
        <w:t>Elphinstone v Monkland Iron &amp; Coal Co (1886) L.R. 11 App.</w:t>
      </w:r>
      <w:r>
        <w:rPr>
          <w:rFonts w:ascii="Arial" w:hAnsi="Arial"/>
          <w:i/>
          <w:spacing w:val="36"/>
          <w:sz w:val="20"/>
        </w:rPr>
        <w:t> </w:t>
      </w:r>
      <w:r>
        <w:rPr>
          <w:rFonts w:ascii="Arial" w:hAnsi="Arial"/>
          <w:i/>
          <w:sz w:val="20"/>
        </w:rPr>
        <w:t>Cas.</w:t>
      </w:r>
      <w:r>
        <w:rPr>
          <w:rFonts w:ascii="Arial" w:hAnsi="Arial"/>
          <w:i/>
          <w:spacing w:val="37"/>
          <w:sz w:val="20"/>
        </w:rPr>
        <w:t> </w:t>
      </w:r>
      <w:r>
        <w:rPr>
          <w:rFonts w:ascii="Arial" w:hAnsi="Arial"/>
          <w:i/>
          <w:sz w:val="20"/>
        </w:rPr>
        <w:t>332,</w:t>
      </w:r>
      <w:r>
        <w:rPr>
          <w:rFonts w:ascii="Arial" w:hAnsi="Arial"/>
          <w:i/>
          <w:spacing w:val="37"/>
          <w:sz w:val="20"/>
        </w:rPr>
        <w:t> </w:t>
      </w:r>
      <w:r>
        <w:rPr>
          <w:rFonts w:ascii="Arial" w:hAnsi="Arial"/>
          <w:i/>
          <w:sz w:val="20"/>
        </w:rPr>
        <w:t>346</w:t>
      </w:r>
      <w:r>
        <w:rPr>
          <w:sz w:val="20"/>
        </w:rPr>
        <w:t>;</w:t>
      </w:r>
      <w:r>
        <w:rPr>
          <w:spacing w:val="37"/>
          <w:sz w:val="20"/>
        </w:rPr>
        <w:t> </w:t>
      </w:r>
      <w:r>
        <w:rPr>
          <w:rFonts w:ascii="Arial" w:hAnsi="Arial"/>
          <w:i/>
          <w:sz w:val="20"/>
        </w:rPr>
        <w:t>Elsley</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J.G.</w:t>
      </w:r>
      <w:r>
        <w:rPr>
          <w:rFonts w:ascii="Arial" w:hAnsi="Arial"/>
          <w:i/>
          <w:spacing w:val="37"/>
          <w:sz w:val="20"/>
        </w:rPr>
        <w:t> </w:t>
      </w:r>
      <w:r>
        <w:rPr>
          <w:rFonts w:ascii="Arial" w:hAnsi="Arial"/>
          <w:i/>
          <w:sz w:val="20"/>
        </w:rPr>
        <w:t>Collins</w:t>
      </w:r>
      <w:r>
        <w:rPr>
          <w:rFonts w:ascii="Arial" w:hAnsi="Arial"/>
          <w:i/>
          <w:spacing w:val="37"/>
          <w:sz w:val="20"/>
        </w:rPr>
        <w:t> </w:t>
      </w:r>
      <w:r>
        <w:rPr>
          <w:rFonts w:ascii="Arial" w:hAnsi="Arial"/>
          <w:i/>
          <w:sz w:val="20"/>
        </w:rPr>
        <w:t>Insurance</w:t>
      </w:r>
      <w:r>
        <w:rPr>
          <w:rFonts w:ascii="Arial" w:hAnsi="Arial"/>
          <w:i/>
          <w:spacing w:val="37"/>
          <w:sz w:val="20"/>
        </w:rPr>
        <w:t> </w:t>
      </w:r>
      <w:r>
        <w:rPr>
          <w:rFonts w:ascii="Arial" w:hAnsi="Arial"/>
          <w:i/>
          <w:sz w:val="20"/>
        </w:rPr>
        <w:t>Agencies</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(1978)</w:t>
      </w:r>
      <w:r>
        <w:rPr>
          <w:rFonts w:ascii="Arial" w:hAnsi="Arial"/>
          <w:i/>
          <w:spacing w:val="37"/>
          <w:sz w:val="20"/>
        </w:rPr>
        <w:t> </w:t>
      </w:r>
      <w:r>
        <w:rPr>
          <w:rFonts w:ascii="Arial" w:hAnsi="Arial"/>
          <w:i/>
          <w:sz w:val="20"/>
        </w:rPr>
        <w:t>83</w:t>
      </w:r>
      <w:r>
        <w:rPr>
          <w:rFonts w:ascii="Arial" w:hAnsi="Arial"/>
          <w:i/>
          <w:spacing w:val="37"/>
          <w:sz w:val="20"/>
        </w:rPr>
        <w:t> </w:t>
      </w:r>
      <w:r>
        <w:rPr>
          <w:rFonts w:ascii="Arial" w:hAnsi="Arial"/>
          <w:i/>
          <w:sz w:val="20"/>
        </w:rPr>
        <w:t>D.L.R.</w:t>
      </w:r>
      <w:r>
        <w:rPr>
          <w:rFonts w:ascii="Arial" w:hAnsi="Arial"/>
          <w:i/>
          <w:spacing w:val="37"/>
          <w:sz w:val="20"/>
        </w:rPr>
        <w:t> </w:t>
      </w:r>
      <w:r>
        <w:rPr>
          <w:rFonts w:ascii="Arial" w:hAnsi="Arial"/>
          <w:i/>
          <w:sz w:val="20"/>
        </w:rPr>
        <w:t>(3d)</w:t>
      </w:r>
      <w:r>
        <w:rPr>
          <w:rFonts w:ascii="Arial" w:hAnsi="Arial"/>
          <w:i/>
          <w:spacing w:val="37"/>
          <w:sz w:val="20"/>
        </w:rPr>
        <w:t> </w:t>
      </w:r>
      <w:r>
        <w:rPr>
          <w:rFonts w:ascii="Arial" w:hAnsi="Arial"/>
          <w:i/>
          <w:spacing w:val="-5"/>
          <w:sz w:val="20"/>
        </w:rPr>
        <w:t>1,</w:t>
      </w:r>
    </w:p>
    <w:p>
      <w:pPr>
        <w:spacing w:line="222" w:lineRule="exact" w:before="0"/>
        <w:ind w:left="0" w:right="168" w:firstLine="0"/>
        <w:jc w:val="right"/>
        <w:rPr>
          <w:sz w:val="20"/>
        </w:rPr>
      </w:pPr>
      <w:r>
        <w:rPr>
          <w:rFonts w:ascii="Arial" w:hAnsi="Arial"/>
          <w:i/>
          <w:sz w:val="20"/>
        </w:rPr>
        <w:t>14–16</w:t>
      </w:r>
      <w:r>
        <w:rPr>
          <w:sz w:val="20"/>
        </w:rPr>
        <w:t>;</w:t>
      </w:r>
      <w:r>
        <w:rPr>
          <w:spacing w:val="12"/>
          <w:sz w:val="20"/>
        </w:rPr>
        <w:t> </w:t>
      </w:r>
      <w:r>
        <w:rPr>
          <w:rFonts w:ascii="Arial" w:hAnsi="Arial"/>
          <w:i/>
          <w:sz w:val="20"/>
        </w:rPr>
        <w:t>W.&amp;J.</w:t>
      </w:r>
      <w:r>
        <w:rPr>
          <w:rFonts w:ascii="Arial" w:hAnsi="Arial"/>
          <w:i/>
          <w:spacing w:val="13"/>
          <w:sz w:val="20"/>
        </w:rPr>
        <w:t> </w:t>
      </w:r>
      <w:r>
        <w:rPr>
          <w:rFonts w:ascii="Arial" w:hAnsi="Arial"/>
          <w:i/>
          <w:sz w:val="20"/>
        </w:rPr>
        <w:t>Investments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Bunting</w:t>
      </w:r>
      <w:r>
        <w:rPr>
          <w:rFonts w:ascii="Arial" w:hAnsi="Arial"/>
          <w:i/>
          <w:spacing w:val="13"/>
          <w:sz w:val="20"/>
        </w:rPr>
        <w:t> </w:t>
      </w:r>
      <w:r>
        <w:rPr>
          <w:rFonts w:ascii="Arial" w:hAnsi="Arial"/>
          <w:i/>
          <w:sz w:val="20"/>
        </w:rPr>
        <w:t>[1984]</w:t>
      </w:r>
      <w:r>
        <w:rPr>
          <w:rFonts w:ascii="Arial" w:hAnsi="Arial"/>
          <w:i/>
          <w:spacing w:val="12"/>
          <w:sz w:val="20"/>
        </w:rPr>
        <w:t> </w:t>
      </w:r>
      <w:r>
        <w:rPr>
          <w:rFonts w:ascii="Arial" w:hAnsi="Arial"/>
          <w:i/>
          <w:sz w:val="20"/>
        </w:rPr>
        <w:t>1</w:t>
      </w:r>
      <w:r>
        <w:rPr>
          <w:rFonts w:ascii="Arial" w:hAnsi="Arial"/>
          <w:i/>
          <w:spacing w:val="13"/>
          <w:sz w:val="20"/>
        </w:rPr>
        <w:t> </w:t>
      </w:r>
      <w:r>
        <w:rPr>
          <w:rFonts w:ascii="Arial" w:hAnsi="Arial"/>
          <w:i/>
          <w:sz w:val="20"/>
        </w:rPr>
        <w:t>N.S.W.L.R.</w:t>
      </w:r>
      <w:r>
        <w:rPr>
          <w:rFonts w:ascii="Arial" w:hAnsi="Arial"/>
          <w:i/>
          <w:spacing w:val="13"/>
          <w:sz w:val="20"/>
        </w:rPr>
        <w:t> </w:t>
      </w:r>
      <w:r>
        <w:rPr>
          <w:rFonts w:ascii="Arial" w:hAnsi="Arial"/>
          <w:i/>
          <w:sz w:val="20"/>
        </w:rPr>
        <w:t>331,</w:t>
      </w:r>
      <w:r>
        <w:rPr>
          <w:rFonts w:ascii="Arial" w:hAnsi="Arial"/>
          <w:i/>
          <w:spacing w:val="13"/>
          <w:sz w:val="20"/>
        </w:rPr>
        <w:t> </w:t>
      </w:r>
      <w:r>
        <w:rPr>
          <w:rFonts w:ascii="Arial" w:hAnsi="Arial"/>
          <w:i/>
          <w:sz w:val="20"/>
        </w:rPr>
        <w:t>335–336</w:t>
      </w:r>
      <w:r>
        <w:rPr>
          <w:sz w:val="20"/>
        </w:rPr>
        <w:t>.</w:t>
      </w:r>
      <w:r>
        <w:rPr>
          <w:spacing w:val="13"/>
          <w:sz w:val="20"/>
        </w:rPr>
        <w:t> </w:t>
      </w:r>
      <w:r>
        <w:rPr>
          <w:sz w:val="20"/>
        </w:rPr>
        <w:t>See</w:t>
      </w:r>
      <w:r>
        <w:rPr>
          <w:spacing w:val="13"/>
          <w:sz w:val="20"/>
        </w:rPr>
        <w:t> </w:t>
      </w:r>
      <w:r>
        <w:rPr>
          <w:sz w:val="20"/>
        </w:rPr>
        <w:t>also</w:t>
      </w:r>
      <w:r>
        <w:rPr>
          <w:spacing w:val="13"/>
          <w:sz w:val="20"/>
        </w:rPr>
        <w:t> </w:t>
      </w:r>
      <w:r>
        <w:rPr>
          <w:spacing w:val="-2"/>
          <w:sz w:val="20"/>
        </w:rPr>
        <w:t>Hudson</w:t>
      </w:r>
    </w:p>
    <w:p>
      <w:pPr>
        <w:pStyle w:val="BodyText"/>
        <w:spacing w:line="225" w:lineRule="exact"/>
        <w:ind w:left="705"/>
        <w:jc w:val="both"/>
      </w:pPr>
      <w:r>
        <w:rPr/>
        <w:t>(1974)</w:t>
      </w:r>
      <w:r>
        <w:rPr>
          <w:spacing w:val="2"/>
        </w:rPr>
        <w:t> </w:t>
      </w:r>
      <w:r>
        <w:rPr/>
        <w:t>90</w:t>
      </w:r>
      <w:r>
        <w:rPr>
          <w:spacing w:val="2"/>
        </w:rPr>
        <w:t> </w:t>
      </w:r>
      <w:r>
        <w:rPr/>
        <w:t>L.Q.R.</w:t>
      </w:r>
      <w:r>
        <w:rPr>
          <w:spacing w:val="2"/>
        </w:rPr>
        <w:t> </w:t>
      </w:r>
      <w:r>
        <w:rPr/>
        <w:t>31;</w:t>
      </w:r>
      <w:r>
        <w:rPr>
          <w:spacing w:val="2"/>
        </w:rPr>
        <w:t> </w:t>
      </w:r>
      <w:r>
        <w:rPr/>
        <w:t>Gordon</w:t>
      </w:r>
      <w:r>
        <w:rPr>
          <w:spacing w:val="2"/>
        </w:rPr>
        <w:t> </w:t>
      </w:r>
      <w:r>
        <w:rPr/>
        <w:t>(1974)</w:t>
      </w:r>
      <w:r>
        <w:rPr>
          <w:spacing w:val="2"/>
        </w:rPr>
        <w:t> </w:t>
      </w:r>
      <w:r>
        <w:rPr/>
        <w:t>90</w:t>
      </w:r>
      <w:r>
        <w:rPr>
          <w:spacing w:val="2"/>
        </w:rPr>
        <w:t> </w:t>
      </w:r>
      <w:r>
        <w:rPr/>
        <w:t>L.Q.R.</w:t>
      </w:r>
      <w:r>
        <w:rPr>
          <w:spacing w:val="2"/>
        </w:rPr>
        <w:t> </w:t>
      </w:r>
      <w:r>
        <w:rPr/>
        <w:t>296;</w:t>
      </w:r>
      <w:r>
        <w:rPr>
          <w:spacing w:val="2"/>
        </w:rPr>
        <w:t> </w:t>
      </w:r>
      <w:r>
        <w:rPr/>
        <w:t>Hudson</w:t>
      </w:r>
      <w:r>
        <w:rPr>
          <w:spacing w:val="2"/>
        </w:rPr>
        <w:t> </w:t>
      </w:r>
      <w:r>
        <w:rPr/>
        <w:t>(1975)</w:t>
      </w:r>
      <w:r>
        <w:rPr>
          <w:spacing w:val="2"/>
        </w:rPr>
        <w:t> </w:t>
      </w:r>
      <w:r>
        <w:rPr/>
        <w:t>91</w:t>
      </w:r>
      <w:r>
        <w:rPr>
          <w:spacing w:val="2"/>
        </w:rPr>
        <w:t> </w:t>
      </w:r>
      <w:r>
        <w:rPr/>
        <w:t>L.Q.R.</w:t>
      </w:r>
      <w:r>
        <w:rPr>
          <w:spacing w:val="2"/>
        </w:rPr>
        <w:t> </w:t>
      </w:r>
      <w:r>
        <w:rPr/>
        <w:t>25;</w:t>
      </w:r>
      <w:r>
        <w:rPr>
          <w:spacing w:val="2"/>
        </w:rPr>
        <w:t> </w:t>
      </w:r>
      <w:r>
        <w:rPr/>
        <w:t>Barton</w:t>
      </w:r>
      <w:r>
        <w:rPr>
          <w:spacing w:val="2"/>
        </w:rPr>
        <w:t> </w:t>
      </w:r>
      <w:r>
        <w:rPr>
          <w:spacing w:val="-2"/>
        </w:rPr>
        <w:t>(1976)</w:t>
      </w:r>
    </w:p>
    <w:p>
      <w:pPr>
        <w:spacing w:line="235" w:lineRule="auto" w:before="2"/>
        <w:ind w:left="705" w:right="168" w:firstLine="0"/>
        <w:jc w:val="both"/>
        <w:rPr>
          <w:sz w:val="20"/>
        </w:rPr>
      </w:pPr>
      <w:r>
        <w:rPr>
          <w:sz w:val="20"/>
        </w:rPr>
        <w:t>92 L.Q.R. 20; Hudson (1985) 101 L.Q.R. 480; Peel, </w:t>
      </w:r>
      <w:r>
        <w:rPr>
          <w:rFonts w:ascii="Arial" w:hAnsi="Arial"/>
          <w:i/>
          <w:sz w:val="20"/>
        </w:rPr>
        <w:t>Treitel on The Law of Contract</w:t>
      </w:r>
      <w:r>
        <w:rPr>
          <w:sz w:val="20"/>
        </w:rPr>
        <w:t>, 14th </w:t>
      </w:r>
      <w:r>
        <w:rPr>
          <w:sz w:val="20"/>
        </w:rPr>
        <w:t>edn (2016), para.20–140.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12"/>
        </w:numPr>
        <w:tabs>
          <w:tab w:pos="3598" w:val="left" w:leader="none"/>
        </w:tabs>
        <w:spacing w:line="240" w:lineRule="auto" w:before="194" w:after="0"/>
        <w:ind w:left="3598" w:right="0" w:hanging="373"/>
        <w:jc w:val="left"/>
        <w:rPr>
          <w:b/>
          <w:sz w:val="24"/>
        </w:rPr>
      </w:pPr>
      <w:r>
        <w:rPr>
          <w:b/>
          <w:sz w:val="24"/>
        </w:rPr>
        <w:t>- Consumer </w:t>
      </w:r>
      <w:r>
        <w:rPr>
          <w:b/>
          <w:spacing w:val="-2"/>
          <w:sz w:val="24"/>
        </w:rPr>
        <w:t>Contracts</w:t>
      </w:r>
    </w:p>
    <w:p>
      <w:pPr>
        <w:pStyle w:val="BodyText"/>
        <w:rPr>
          <w:rFonts w:ascii="Arial"/>
          <w:b/>
          <w:sz w:val="24"/>
        </w:rPr>
      </w:pPr>
    </w:p>
    <w:p>
      <w:pPr>
        <w:pStyle w:val="BodyText"/>
        <w:spacing w:before="209"/>
        <w:rPr>
          <w:rFonts w:ascii="Arial"/>
          <w:b/>
          <w:sz w:val="24"/>
        </w:rPr>
      </w:pPr>
    </w:p>
    <w:p>
      <w:pPr>
        <w:spacing w:before="0"/>
        <w:ind w:left="165" w:right="0" w:firstLine="0"/>
        <w:jc w:val="left"/>
        <w:rPr>
          <w:rFonts w:ascii="Arial"/>
          <w:b/>
          <w:position w:val="-3"/>
          <w:sz w:val="18"/>
        </w:rPr>
      </w:pPr>
      <w:bookmarkStart w:name="_bookmark2439" w:id="2441"/>
      <w:bookmarkEnd w:id="2441"/>
      <w:r>
        <w:rPr/>
      </w:r>
      <w:r>
        <w:rPr>
          <w:rFonts w:ascii="Arial"/>
          <w:b/>
          <w:sz w:val="18"/>
        </w:rPr>
        <w:t>Sums payable on breach in consumer contracts </w:t>
      </w:r>
      <w:hyperlink w:history="true" w:anchor="_bookmark2443">
        <w:r>
          <w:rPr>
            <w:rFonts w:ascii="Arial"/>
            <w:b/>
            <w:color w:val="005DA1"/>
            <w:sz w:val="18"/>
            <w:u w:val="single" w:color="005DA1"/>
            <w:vertAlign w:val="superscript"/>
          </w:rPr>
          <w:t>1280</w:t>
        </w:r>
        <w:r>
          <w:rPr>
            <w:rFonts w:ascii="Arial"/>
            <w:b/>
            <w:color w:val="005DA1"/>
            <w:spacing w:val="80"/>
            <w:w w:val="150"/>
            <w:sz w:val="18"/>
            <w:vertAlign w:val="baseline"/>
          </w:rPr>
          <w:t> </w:t>
        </w:r>
        <w:r>
          <w:rPr>
            <w:rFonts w:ascii="Arial"/>
            <w:b/>
            <w:color w:val="005DA1"/>
            <w:position w:val="-3"/>
            <w:sz w:val="18"/>
            <w:vertAlign w:val="baseline"/>
          </w:rPr>
          <w:drawing>
            <wp:inline distT="0" distB="0" distL="0" distR="0">
              <wp:extent cx="107988" cy="107988"/>
              <wp:effectExtent l="0" t="0" r="0" b="0"/>
              <wp:docPr id="1087" name="Image 1087"/>
              <wp:cNvGraphicFramePr>
                <a:graphicFrameLocks/>
              </wp:cNvGraphicFramePr>
              <a:graphic>
                <a:graphicData uri="http://schemas.openxmlformats.org/drawingml/2006/picture">
                  <pic:pic>
                    <pic:nvPicPr>
                      <pic:cNvPr id="1087" name="Image 1087"/>
                      <pic:cNvPicPr/>
                    </pic:nvPicPr>
                    <pic:blipFill>
                      <a:blip r:embed="rId6" cstate="print"/>
                      <a:stretch>
                        <a:fillRect/>
                      </a:stretch>
                    </pic:blipFill>
                    <pic:spPr>
                      <a:xfrm>
                        <a:off x="0" y="0"/>
                        <a:ext cx="107988" cy="107988"/>
                      </a:xfrm>
                      <a:prstGeom prst="rect">
                        <a:avLst/>
                      </a:prstGeom>
                    </pic:spPr>
                  </pic:pic>
                </a:graphicData>
              </a:graphic>
            </wp:inline>
          </w:drawing>
        </w:r>
        <w:r>
          <w:rPr>
            <w:rFonts w:ascii="Arial"/>
            <w:b/>
            <w:color w:val="005DA1"/>
            <w:position w:val="-3"/>
            <w:sz w:val="18"/>
            <w:vertAlign w:val="baseline"/>
          </w:rPr>
        </w:r>
      </w:hyperlink>
    </w:p>
    <w:p>
      <w:pPr>
        <w:pStyle w:val="BodyText"/>
        <w:spacing w:before="42"/>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216M</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88" name="Image 1088"/>
            <wp:cNvGraphicFramePr>
              <a:graphicFrameLocks/>
            </wp:cNvGraphicFramePr>
            <a:graphic>
              <a:graphicData uri="http://schemas.openxmlformats.org/drawingml/2006/picture">
                <pic:pic>
                  <pic:nvPicPr>
                    <pic:cNvPr id="1088" name="Image 108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Unfair Terms in Consumer Contracts Regulations 1999 provided that in a contract between </w:t>
      </w:r>
      <w:r>
        <w:rPr/>
        <w:t>a business and a consumer an “unfair term” that was not individually negotiated was not be binding on </w:t>
      </w:r>
      <w:bookmarkStart w:name="_bookmark2440" w:id="2442"/>
      <w:bookmarkEnd w:id="2442"/>
      <w:r>
        <w:rPr/>
        <w:t>the</w:t>
      </w:r>
      <w:r>
        <w:rPr>
          <w:spacing w:val="7"/>
        </w:rPr>
        <w:t> </w:t>
      </w:r>
      <w:r>
        <w:rPr/>
        <w:t>consumer.</w:t>
      </w:r>
      <w:r>
        <w:rPr>
          <w:spacing w:val="7"/>
        </w:rPr>
        <w:t> </w:t>
      </w:r>
      <w:r>
        <w:rPr/>
        <w:t>For</w:t>
      </w:r>
      <w:r>
        <w:rPr>
          <w:spacing w:val="7"/>
        </w:rPr>
        <w:t> </w:t>
      </w:r>
      <w:r>
        <w:rPr/>
        <w:t>consumer</w:t>
      </w:r>
      <w:r>
        <w:rPr>
          <w:spacing w:val="7"/>
        </w:rPr>
        <w:t> </w:t>
      </w:r>
      <w:r>
        <w:rPr/>
        <w:t>contracts</w:t>
      </w:r>
      <w:r>
        <w:rPr>
          <w:spacing w:val="7"/>
        </w:rPr>
        <w:t> </w:t>
      </w:r>
      <w:r>
        <w:rPr/>
        <w:t>made</w:t>
      </w:r>
      <w:r>
        <w:rPr>
          <w:spacing w:val="7"/>
        </w:rPr>
        <w:t> </w:t>
      </w:r>
      <w:r>
        <w:rPr/>
        <w:t>after</w:t>
      </w:r>
      <w:r>
        <w:rPr>
          <w:spacing w:val="7"/>
        </w:rPr>
        <w:t> </w:t>
      </w:r>
      <w:r>
        <w:rPr/>
        <w:t>October</w:t>
      </w:r>
      <w:r>
        <w:rPr>
          <w:spacing w:val="7"/>
        </w:rPr>
        <w:t> </w:t>
      </w:r>
      <w:r>
        <w:rPr/>
        <w:t>1,</w:t>
      </w:r>
      <w:r>
        <w:rPr>
          <w:spacing w:val="7"/>
        </w:rPr>
        <w:t> </w:t>
      </w:r>
      <w:r>
        <w:rPr/>
        <w:t>2015,</w:t>
      </w:r>
      <w:r>
        <w:rPr>
          <w:spacing w:val="7"/>
        </w:rPr>
        <w:t> </w:t>
      </w:r>
      <w:r>
        <w:rPr/>
        <w:t>Pt</w:t>
      </w:r>
      <w:r>
        <w:rPr>
          <w:spacing w:val="7"/>
        </w:rPr>
        <w:t> </w:t>
      </w:r>
      <w:r>
        <w:rPr/>
        <w:t>2</w:t>
      </w:r>
      <w:r>
        <w:rPr>
          <w:spacing w:val="7"/>
        </w:rPr>
        <w:t> </w:t>
      </w:r>
      <w:r>
        <w:rPr/>
        <w:t>of</w:t>
      </w:r>
      <w:r>
        <w:rPr>
          <w:spacing w:val="7"/>
        </w:rPr>
        <w:t> </w:t>
      </w:r>
      <w:r>
        <w:rPr/>
        <w:t>the</w:t>
      </w:r>
      <w:r>
        <w:rPr>
          <w:spacing w:val="7"/>
        </w:rPr>
        <w:t> </w:t>
      </w:r>
      <w:r>
        <w:rPr/>
        <w:t>Consumer</w:t>
      </w:r>
      <w:r>
        <w:rPr>
          <w:spacing w:val="7"/>
        </w:rPr>
        <w:t> </w:t>
      </w:r>
      <w:r>
        <w:rPr/>
        <w:t>Rights</w:t>
      </w:r>
      <w:r>
        <w:rPr>
          <w:spacing w:val="7"/>
        </w:rPr>
        <w:t> </w:t>
      </w:r>
      <w:r>
        <w:rPr>
          <w:spacing w:val="-5"/>
        </w:rPr>
        <w:t>Act</w:t>
      </w:r>
    </w:p>
    <w:p>
      <w:pPr>
        <w:pStyle w:val="BodyText"/>
        <w:spacing w:line="235" w:lineRule="auto" w:before="119"/>
        <w:ind w:left="165" w:right="167"/>
        <w:jc w:val="both"/>
      </w:pPr>
      <w:r>
        <w:rPr/>
        <w:t>2015 provides that an unfair term </w:t>
      </w:r>
      <w:hyperlink w:history="true" w:anchor="_bookmark2444">
        <w:r>
          <w:rPr>
            <w:color w:val="005DA1"/>
            <w:u w:val="single" w:color="005DA1"/>
            <w:vertAlign w:val="superscript"/>
          </w:rPr>
          <w:t>1281</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089" name="Image 1089"/>
              <wp:cNvGraphicFramePr>
                <a:graphicFrameLocks/>
              </wp:cNvGraphicFramePr>
              <a:graphic>
                <a:graphicData uri="http://schemas.openxmlformats.org/drawingml/2006/picture">
                  <pic:pic>
                    <pic:nvPicPr>
                      <pic:cNvPr id="1089" name="Image 10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in a consumer contract will not be binding on the consumer. The Regulations and the Act give illustrations of terms which may be regarded as unfair: relevant to </w:t>
        </w:r>
        <w:bookmarkStart w:name="_bookmark2441" w:id="2443"/>
        <w:bookmarkEnd w:id="2443"/>
        <w:r>
          <w:rPr>
            <w:vertAlign w:val="baseline"/>
          </w:rPr>
          <w:t>clauses</w:t>
        </w:r>
        <w:r>
          <w:rPr>
            <w:spacing w:val="70"/>
            <w:vertAlign w:val="baseline"/>
          </w:rPr>
          <w:t> </w:t>
        </w:r>
        <w:r>
          <w:rPr>
            <w:vertAlign w:val="baseline"/>
          </w:rPr>
          <w:t>fixing</w:t>
        </w:r>
        <w:r>
          <w:rPr>
            <w:spacing w:val="70"/>
            <w:vertAlign w:val="baseline"/>
          </w:rPr>
          <w:t> </w:t>
        </w:r>
        <w:r>
          <w:rPr>
            <w:vertAlign w:val="baseline"/>
          </w:rPr>
          <w:t>damages</w:t>
        </w:r>
        <w:r>
          <w:rPr>
            <w:spacing w:val="70"/>
            <w:vertAlign w:val="baseline"/>
          </w:rPr>
          <w:t> </w:t>
        </w:r>
        <w:r>
          <w:rPr>
            <w:vertAlign w:val="baseline"/>
          </w:rPr>
          <w:t>is</w:t>
        </w:r>
        <w:r>
          <w:rPr>
            <w:spacing w:val="70"/>
            <w:vertAlign w:val="baseline"/>
          </w:rPr>
          <w:t> </w:t>
        </w:r>
        <w:r>
          <w:rPr>
            <w:vertAlign w:val="baseline"/>
          </w:rPr>
          <w:t>“requiring</w:t>
        </w:r>
        <w:r>
          <w:rPr>
            <w:spacing w:val="70"/>
            <w:vertAlign w:val="baseline"/>
          </w:rPr>
          <w:t> </w:t>
        </w:r>
        <w:r>
          <w:rPr>
            <w:vertAlign w:val="baseline"/>
          </w:rPr>
          <w:t>any</w:t>
        </w:r>
        <w:r>
          <w:rPr>
            <w:spacing w:val="70"/>
            <w:vertAlign w:val="baseline"/>
          </w:rPr>
          <w:t> </w:t>
        </w:r>
        <w:r>
          <w:rPr>
            <w:vertAlign w:val="baseline"/>
          </w:rPr>
          <w:t>consumer</w:t>
        </w:r>
        <w:r>
          <w:rPr>
            <w:spacing w:val="70"/>
            <w:vertAlign w:val="baseline"/>
          </w:rPr>
          <w:t> </w:t>
        </w:r>
        <w:r>
          <w:rPr>
            <w:vertAlign w:val="baseline"/>
          </w:rPr>
          <w:t>who</w:t>
        </w:r>
        <w:r>
          <w:rPr>
            <w:spacing w:val="70"/>
            <w:vertAlign w:val="baseline"/>
          </w:rPr>
          <w:t> </w:t>
        </w:r>
        <w:r>
          <w:rPr>
            <w:vertAlign w:val="baseline"/>
          </w:rPr>
          <w:t>fails</w:t>
        </w:r>
        <w:r>
          <w:rPr>
            <w:spacing w:val="70"/>
            <w:vertAlign w:val="baseline"/>
          </w:rPr>
          <w:t> </w:t>
        </w:r>
        <w:r>
          <w:rPr>
            <w:vertAlign w:val="baseline"/>
          </w:rPr>
          <w:t>to</w:t>
        </w:r>
        <w:r>
          <w:rPr>
            <w:spacing w:val="70"/>
            <w:vertAlign w:val="baseline"/>
          </w:rPr>
          <w:t> </w:t>
        </w:r>
        <w:r>
          <w:rPr>
            <w:vertAlign w:val="baseline"/>
          </w:rPr>
          <w:t>fulfil</w:t>
        </w:r>
        <w:r>
          <w:rPr>
            <w:spacing w:val="70"/>
            <w:vertAlign w:val="baseline"/>
          </w:rPr>
          <w:t> </w:t>
        </w:r>
        <w:r>
          <w:rPr>
            <w:vertAlign w:val="baseline"/>
          </w:rPr>
          <w:t>his</w:t>
        </w:r>
        <w:r>
          <w:rPr>
            <w:spacing w:val="70"/>
            <w:vertAlign w:val="baseline"/>
          </w:rPr>
          <w:t> </w:t>
        </w:r>
        <w:r>
          <w:rPr>
            <w:vertAlign w:val="baseline"/>
          </w:rPr>
          <w:t>obligation</w:t>
        </w:r>
        <w:r>
          <w:rPr>
            <w:spacing w:val="70"/>
            <w:vertAlign w:val="baseline"/>
          </w:rPr>
          <w:t> </w:t>
        </w:r>
        <w:r>
          <w:rPr>
            <w:vertAlign w:val="baseline"/>
          </w:rPr>
          <w:t>to</w:t>
        </w:r>
        <w:r>
          <w:rPr>
            <w:spacing w:val="70"/>
            <w:vertAlign w:val="baseline"/>
          </w:rPr>
          <w:t> </w:t>
        </w:r>
        <w:r>
          <w:rPr>
            <w:vertAlign w:val="baseline"/>
          </w:rPr>
          <w:t>pay</w:t>
        </w:r>
        <w:r>
          <w:rPr>
            <w:spacing w:val="70"/>
            <w:vertAlign w:val="baseline"/>
          </w:rPr>
          <w:t> </w:t>
        </w:r>
        <w:r>
          <w:rPr>
            <w:spacing w:val="-10"/>
            <w:vertAlign w:val="baseline"/>
          </w:rPr>
          <w:t>a</w:t>
        </w:r>
      </w:hyperlink>
    </w:p>
    <w:p>
      <w:pPr>
        <w:pStyle w:val="BodyText"/>
        <w:spacing w:line="235" w:lineRule="auto" w:before="119"/>
        <w:ind w:left="164" w:right="167"/>
        <w:jc w:val="both"/>
      </w:pPr>
      <w:r>
        <w:rPr/>
        <w:t>disproportionately high sum in compensation”. </w:t>
      </w:r>
      <w:hyperlink w:history="true" w:anchor="_bookmark2445">
        <w:r>
          <w:rPr>
            <w:color w:val="005DA1"/>
            <w:u w:val="single" w:color="005DA1"/>
            <w:vertAlign w:val="superscript"/>
          </w:rPr>
          <w:t>1282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090" name="Image 1090"/>
              <wp:cNvGraphicFramePr>
                <a:graphicFrameLocks/>
              </wp:cNvGraphicFramePr>
              <a:graphic>
                <a:graphicData uri="http://schemas.openxmlformats.org/drawingml/2006/picture">
                  <pic:pic>
                    <pic:nvPicPr>
                      <pic:cNvPr id="1090" name="Image 10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So a consumer will be able to appeal to this </w:t>
        </w:r>
        <w:bookmarkStart w:name="_bookmark2442" w:id="2444"/>
        <w:bookmarkEnd w:id="2444"/>
        <w:r>
          <w:rPr>
            <w:vertAlign w:val="baseline"/>
          </w:rPr>
          <w:t>standard,</w:t>
        </w:r>
        <w:r>
          <w:rPr>
            <w:spacing w:val="9"/>
            <w:vertAlign w:val="baseline"/>
          </w:rPr>
          <w:t> </w:t>
        </w:r>
        <w:r>
          <w:rPr>
            <w:vertAlign w:val="baseline"/>
          </w:rPr>
          <w:t>as</w:t>
        </w:r>
        <w:r>
          <w:rPr>
            <w:spacing w:val="9"/>
            <w:vertAlign w:val="baseline"/>
          </w:rPr>
          <w:t> </w:t>
        </w:r>
        <w:r>
          <w:rPr>
            <w:vertAlign w:val="baseline"/>
          </w:rPr>
          <w:t>well</w:t>
        </w:r>
        <w:r>
          <w:rPr>
            <w:spacing w:val="9"/>
            <w:vertAlign w:val="baseline"/>
          </w:rPr>
          <w:t> </w:t>
        </w:r>
        <w:r>
          <w:rPr>
            <w:vertAlign w:val="baseline"/>
          </w:rPr>
          <w:t>as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common</w:t>
        </w:r>
        <w:r>
          <w:rPr>
            <w:spacing w:val="9"/>
            <w:vertAlign w:val="baseline"/>
          </w:rPr>
          <w:t> </w:t>
        </w:r>
        <w:r>
          <w:rPr>
            <w:vertAlign w:val="baseline"/>
          </w:rPr>
          <w:t>law</w:t>
        </w:r>
        <w:r>
          <w:rPr>
            <w:spacing w:val="9"/>
            <w:vertAlign w:val="baseline"/>
          </w:rPr>
          <w:t> </w:t>
        </w:r>
        <w:r>
          <w:rPr>
            <w:vertAlign w:val="baseline"/>
          </w:rPr>
          <w:t>on</w:t>
        </w:r>
        <w:r>
          <w:rPr>
            <w:spacing w:val="9"/>
            <w:vertAlign w:val="baseline"/>
          </w:rPr>
          <w:t> </w:t>
        </w:r>
        <w:r>
          <w:rPr>
            <w:vertAlign w:val="baseline"/>
          </w:rPr>
          <w:t>penalties;</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has</w:t>
        </w:r>
        <w:r>
          <w:rPr>
            <w:spacing w:val="9"/>
            <w:vertAlign w:val="baseline"/>
          </w:rPr>
          <w:t> </w:t>
        </w:r>
        <w:r>
          <w:rPr>
            <w:vertAlign w:val="baseline"/>
          </w:rPr>
          <w:t>been</w:t>
        </w:r>
        <w:r>
          <w:rPr>
            <w:spacing w:val="9"/>
            <w:vertAlign w:val="baseline"/>
          </w:rPr>
          <w:t> </w:t>
        </w:r>
        <w:r>
          <w:rPr>
            <w:vertAlign w:val="baseline"/>
          </w:rPr>
          <w:t>held</w:t>
        </w:r>
        <w:r>
          <w:rPr>
            <w:spacing w:val="9"/>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term</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spacing w:val="-2"/>
            <w:vertAlign w:val="baseline"/>
          </w:rPr>
          <w:t>unfair</w:t>
        </w:r>
      </w:hyperlink>
    </w:p>
    <w:p>
      <w:pPr>
        <w:pStyle w:val="BodyText"/>
        <w:spacing w:before="115"/>
        <w:ind w:left="164"/>
        <w:jc w:val="both"/>
        <w:rPr>
          <w:position w:val="-2"/>
        </w:rPr>
      </w:pPr>
      <w:r>
        <w:rPr/>
        <w:t>even though on the facts it did not amount to a penalty at common law. </w:t>
      </w:r>
      <w:hyperlink w:history="true" w:anchor="_bookmark2446">
        <w:r>
          <w:rPr>
            <w:color w:val="005DA1"/>
            <w:u w:val="single" w:color="005DA1"/>
            <w:vertAlign w:val="superscript"/>
          </w:rPr>
          <w:t>1283</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91" name="Image 1091"/>
              <wp:cNvGraphicFramePr>
                <a:graphicFrameLocks/>
              </wp:cNvGraphicFramePr>
              <a:graphic>
                <a:graphicData uri="http://schemas.openxmlformats.org/drawingml/2006/picture">
                  <pic:pic>
                    <pic:nvPicPr>
                      <pic:cNvPr id="1091" name="Image 10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730176">
                <wp:simplePos x="0" y="0"/>
                <wp:positionH relativeFrom="page">
                  <wp:posOffset>914400</wp:posOffset>
                </wp:positionH>
                <wp:positionV relativeFrom="paragraph">
                  <wp:posOffset>186250</wp:posOffset>
                </wp:positionV>
                <wp:extent cx="5724525" cy="1270"/>
                <wp:effectExtent l="0" t="0" r="0" b="0"/>
                <wp:wrapTopAndBottom/>
                <wp:docPr id="1092" name="Graphic 1092"/>
                <wp:cNvGraphicFramePr>
                  <a:graphicFrameLocks/>
                </wp:cNvGraphicFramePr>
                <a:graphic>
                  <a:graphicData uri="http://schemas.microsoft.com/office/word/2010/wordprocessingShape">
                    <wps:wsp>
                      <wps:cNvPr id="1092" name="Graphic 10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5413pt;width:450.75pt;height:.1pt;mso-position-horizontal-relative:page;mso-position-vertical-relative:paragraph;z-index:-15586304;mso-wrap-distance-left:0;mso-wrap-distance-right:0" id="docshape109" coordorigin="1440,293" coordsize="9015,0" path="m1440,293l10454,293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165" w:right="0" w:firstLine="0"/>
        <w:jc w:val="left"/>
        <w:rPr>
          <w:sz w:val="14"/>
        </w:rPr>
      </w:pPr>
      <w:bookmarkStart w:name="_bookmark2443" w:id="2445"/>
      <w:bookmarkEnd w:id="2445"/>
      <w:r>
        <w:rPr/>
      </w:r>
      <w:hyperlink w:history="true" w:anchor="_bookmark2439">
        <w:r>
          <w:rPr>
            <w:color w:val="005DA1"/>
            <w:spacing w:val="-2"/>
            <w:sz w:val="14"/>
            <w:u w:val="single" w:color="005DA1"/>
          </w:rPr>
          <w:t>1280</w:t>
        </w:r>
      </w:hyperlink>
      <w:r>
        <w:rPr>
          <w:spacing w:val="-2"/>
          <w:sz w:val="14"/>
        </w:rPr>
        <w:t>.</w:t>
      </w:r>
    </w:p>
    <w:p>
      <w:pPr>
        <w:pStyle w:val="BodyText"/>
        <w:spacing w:line="206" w:lineRule="exact"/>
        <w:ind w:left="875"/>
      </w:pPr>
      <w:r>
        <w:rPr/>
        <w:drawing>
          <wp:anchor distT="0" distB="0" distL="0" distR="0" allowOverlap="1" layoutInCell="1" locked="0" behindDoc="0" simplePos="0" relativeHeight="15871488">
            <wp:simplePos x="0" y="0"/>
            <wp:positionH relativeFrom="page">
              <wp:posOffset>1257846</wp:posOffset>
            </wp:positionH>
            <wp:positionV relativeFrom="paragraph">
              <wp:posOffset>13038</wp:posOffset>
            </wp:positionV>
            <wp:extent cx="107988" cy="107988"/>
            <wp:effectExtent l="0" t="0" r="0" b="0"/>
            <wp:wrapNone/>
            <wp:docPr id="1093" name="Image 1093"/>
            <wp:cNvGraphicFramePr>
              <a:graphicFrameLocks/>
            </wp:cNvGraphicFramePr>
            <a:graphic>
              <a:graphicData uri="http://schemas.openxmlformats.org/drawingml/2006/picture">
                <pic:pic>
                  <pic:nvPicPr>
                    <pic:cNvPr id="1093" name="Image 1093"/>
                    <pic:cNvPicPr/>
                  </pic:nvPicPr>
                  <pic:blipFill>
                    <a:blip r:embed="rId6" cstate="print"/>
                    <a:stretch>
                      <a:fillRect/>
                    </a:stretch>
                  </pic:blipFill>
                  <pic:spPr>
                    <a:xfrm>
                      <a:off x="0" y="0"/>
                      <a:ext cx="107988" cy="107988"/>
                    </a:xfrm>
                    <a:prstGeom prst="rect">
                      <a:avLst/>
                    </a:prstGeom>
                  </pic:spPr>
                </pic:pic>
              </a:graphicData>
            </a:graphic>
          </wp:anchor>
        </w:drawing>
      </w:r>
      <w:r>
        <w:rPr/>
        <w:t>SI </w:t>
      </w:r>
      <w:r>
        <w:rPr>
          <w:spacing w:val="-2"/>
        </w:rPr>
        <w:t>1999/2083.</w:t>
      </w:r>
    </w:p>
    <w:p>
      <w:pPr>
        <w:pStyle w:val="BodyText"/>
        <w:spacing w:before="12"/>
      </w:pPr>
    </w:p>
    <w:p>
      <w:pPr>
        <w:spacing w:line="137" w:lineRule="exact" w:before="1"/>
        <w:ind w:left="165" w:right="0" w:firstLine="0"/>
        <w:jc w:val="left"/>
        <w:rPr>
          <w:sz w:val="14"/>
        </w:rPr>
      </w:pPr>
      <w:bookmarkStart w:name="_bookmark2444" w:id="2446"/>
      <w:bookmarkEnd w:id="2446"/>
      <w:r>
        <w:rPr/>
      </w:r>
      <w:hyperlink w:history="true" w:anchor="_bookmark2440">
        <w:r>
          <w:rPr>
            <w:color w:val="005DA1"/>
            <w:spacing w:val="-2"/>
            <w:sz w:val="14"/>
            <w:u w:val="single" w:color="005DA1"/>
          </w:rPr>
          <w:t>1281</w:t>
        </w:r>
      </w:hyperlink>
      <w:r>
        <w:rPr>
          <w:spacing w:val="-2"/>
          <w:sz w:val="14"/>
        </w:rPr>
        <w:t>.</w:t>
      </w:r>
    </w:p>
    <w:p>
      <w:pPr>
        <w:pStyle w:val="BodyText"/>
        <w:spacing w:line="206" w:lineRule="exact"/>
        <w:ind w:left="875"/>
      </w:pPr>
      <w:r>
        <w:rPr/>
        <w:drawing>
          <wp:anchor distT="0" distB="0" distL="0" distR="0" allowOverlap="1" layoutInCell="1" locked="0" behindDoc="0" simplePos="0" relativeHeight="15872000">
            <wp:simplePos x="0" y="0"/>
            <wp:positionH relativeFrom="page">
              <wp:posOffset>1257846</wp:posOffset>
            </wp:positionH>
            <wp:positionV relativeFrom="paragraph">
              <wp:posOffset>12555</wp:posOffset>
            </wp:positionV>
            <wp:extent cx="107988" cy="107988"/>
            <wp:effectExtent l="0" t="0" r="0" b="0"/>
            <wp:wrapNone/>
            <wp:docPr id="1094" name="Image 1094"/>
            <wp:cNvGraphicFramePr>
              <a:graphicFrameLocks/>
            </wp:cNvGraphicFramePr>
            <a:graphic>
              <a:graphicData uri="http://schemas.openxmlformats.org/drawingml/2006/picture">
                <pic:pic>
                  <pic:nvPicPr>
                    <pic:cNvPr id="1094" name="Image 1094"/>
                    <pic:cNvPicPr/>
                  </pic:nvPicPr>
                  <pic:blipFill>
                    <a:blip r:embed="rId6" cstate="print"/>
                    <a:stretch>
                      <a:fillRect/>
                    </a:stretch>
                  </pic:blipFill>
                  <pic:spPr>
                    <a:xfrm>
                      <a:off x="0" y="0"/>
                      <a:ext cx="107988" cy="107988"/>
                    </a:xfrm>
                    <a:prstGeom prst="rect">
                      <a:avLst/>
                    </a:prstGeom>
                  </pic:spPr>
                </pic:pic>
              </a:graphicData>
            </a:graphic>
          </wp:anchor>
        </w:drawing>
      </w:r>
      <w:r>
        <w:rPr/>
        <w:t>Whether negotiated or not: s.62. See Vol.II, para.38-</w:t>
      </w:r>
      <w:r>
        <w:rPr>
          <w:spacing w:val="-4"/>
        </w:rPr>
        <w:t>358.</w:t>
      </w:r>
    </w:p>
    <w:p>
      <w:pPr>
        <w:pStyle w:val="BodyText"/>
        <w:spacing w:before="12"/>
      </w:pPr>
    </w:p>
    <w:p>
      <w:pPr>
        <w:spacing w:line="137" w:lineRule="exact" w:before="0"/>
        <w:ind w:left="165" w:right="0" w:firstLine="0"/>
        <w:jc w:val="left"/>
        <w:rPr>
          <w:sz w:val="14"/>
        </w:rPr>
      </w:pPr>
      <w:bookmarkStart w:name="_bookmark2445" w:id="2447"/>
      <w:bookmarkEnd w:id="2447"/>
      <w:r>
        <w:rPr/>
      </w:r>
      <w:hyperlink w:history="true" w:anchor="_bookmark2441">
        <w:r>
          <w:rPr>
            <w:color w:val="005DA1"/>
            <w:spacing w:val="-2"/>
            <w:sz w:val="14"/>
            <w:u w:val="single" w:color="005DA1"/>
          </w:rPr>
          <w:t>1282</w:t>
        </w:r>
      </w:hyperlink>
      <w:r>
        <w:rPr>
          <w:spacing w:val="-2"/>
          <w:sz w:val="14"/>
        </w:rPr>
        <w:t>.</w:t>
      </w:r>
    </w:p>
    <w:p>
      <w:pPr>
        <w:pStyle w:val="BodyText"/>
        <w:spacing w:line="206" w:lineRule="exact"/>
        <w:ind w:left="875"/>
      </w:pPr>
      <w:r>
        <w:rPr/>
        <w:drawing>
          <wp:anchor distT="0" distB="0" distL="0" distR="0" allowOverlap="1" layoutInCell="1" locked="0" behindDoc="0" simplePos="0" relativeHeight="15872512">
            <wp:simplePos x="0" y="0"/>
            <wp:positionH relativeFrom="page">
              <wp:posOffset>1257846</wp:posOffset>
            </wp:positionH>
            <wp:positionV relativeFrom="paragraph">
              <wp:posOffset>12706</wp:posOffset>
            </wp:positionV>
            <wp:extent cx="107988" cy="107988"/>
            <wp:effectExtent l="0" t="0" r="0" b="0"/>
            <wp:wrapNone/>
            <wp:docPr id="1095" name="Image 1095"/>
            <wp:cNvGraphicFramePr>
              <a:graphicFrameLocks/>
            </wp:cNvGraphicFramePr>
            <a:graphic>
              <a:graphicData uri="http://schemas.openxmlformats.org/drawingml/2006/picture">
                <pic:pic>
                  <pic:nvPicPr>
                    <pic:cNvPr id="1095" name="Image 1095"/>
                    <pic:cNvPicPr/>
                  </pic:nvPicPr>
                  <pic:blipFill>
                    <a:blip r:embed="rId6" cstate="print"/>
                    <a:stretch>
                      <a:fillRect/>
                    </a:stretch>
                  </pic:blipFill>
                  <pic:spPr>
                    <a:xfrm>
                      <a:off x="0" y="0"/>
                      <a:ext cx="107988" cy="107988"/>
                    </a:xfrm>
                    <a:prstGeom prst="rect">
                      <a:avLst/>
                    </a:prstGeom>
                  </pic:spPr>
                </pic:pic>
              </a:graphicData>
            </a:graphic>
          </wp:anchor>
        </w:drawing>
      </w:r>
      <w:r>
        <w:rPr/>
        <w:t>1999 Regulations Sch.2 para.1(e); 2015 Act Sch.2 Pt 1 </w:t>
      </w:r>
      <w:r>
        <w:rPr>
          <w:spacing w:val="-2"/>
        </w:rPr>
        <w:t>para.(6).</w:t>
      </w:r>
    </w:p>
    <w:p>
      <w:pPr>
        <w:pStyle w:val="BodyText"/>
        <w:spacing w:before="12"/>
      </w:pPr>
    </w:p>
    <w:p>
      <w:pPr>
        <w:spacing w:line="137" w:lineRule="exact" w:before="0"/>
        <w:ind w:left="165" w:right="0" w:firstLine="0"/>
        <w:jc w:val="left"/>
        <w:rPr>
          <w:sz w:val="14"/>
        </w:rPr>
      </w:pPr>
      <w:bookmarkStart w:name="_bookmark2446" w:id="2448"/>
      <w:bookmarkEnd w:id="2448"/>
      <w:r>
        <w:rPr/>
      </w:r>
      <w:hyperlink w:history="true" w:anchor="_bookmark2442">
        <w:r>
          <w:rPr>
            <w:color w:val="005DA1"/>
            <w:spacing w:val="-2"/>
            <w:sz w:val="14"/>
            <w:u w:val="single" w:color="005DA1"/>
          </w:rPr>
          <w:t>1283</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73024">
            <wp:simplePos x="0" y="0"/>
            <wp:positionH relativeFrom="page">
              <wp:posOffset>1257846</wp:posOffset>
            </wp:positionH>
            <wp:positionV relativeFrom="paragraph">
              <wp:posOffset>12857</wp:posOffset>
            </wp:positionV>
            <wp:extent cx="107988" cy="107988"/>
            <wp:effectExtent l="0" t="0" r="0" b="0"/>
            <wp:wrapNone/>
            <wp:docPr id="1096" name="Image 1096"/>
            <wp:cNvGraphicFramePr>
              <a:graphicFrameLocks/>
            </wp:cNvGraphicFramePr>
            <a:graphic>
              <a:graphicData uri="http://schemas.openxmlformats.org/drawingml/2006/picture">
                <pic:pic>
                  <pic:nvPicPr>
                    <pic:cNvPr id="1096" name="Image 109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Munkenbeck</w:t>
      </w:r>
      <w:r>
        <w:rPr>
          <w:rFonts w:ascii="Arial"/>
          <w:i/>
          <w:spacing w:val="38"/>
          <w:sz w:val="20"/>
        </w:rPr>
        <w:t> </w:t>
      </w:r>
      <w:r>
        <w:rPr>
          <w:rFonts w:ascii="Arial"/>
          <w:i/>
          <w:sz w:val="20"/>
        </w:rPr>
        <w:t>&amp;</w:t>
      </w:r>
      <w:r>
        <w:rPr>
          <w:rFonts w:ascii="Arial"/>
          <w:i/>
          <w:spacing w:val="39"/>
          <w:sz w:val="20"/>
        </w:rPr>
        <w:t> </w:t>
      </w:r>
      <w:r>
        <w:rPr>
          <w:rFonts w:ascii="Arial"/>
          <w:i/>
          <w:sz w:val="20"/>
        </w:rPr>
        <w:t>Marshall</w:t>
      </w:r>
      <w:r>
        <w:rPr>
          <w:rFonts w:ascii="Arial"/>
          <w:i/>
          <w:spacing w:val="39"/>
          <w:sz w:val="20"/>
        </w:rPr>
        <w:t> </w:t>
      </w:r>
      <w:r>
        <w:rPr>
          <w:rFonts w:ascii="Arial"/>
          <w:i/>
          <w:sz w:val="20"/>
        </w:rPr>
        <w:t>v</w:t>
      </w:r>
      <w:r>
        <w:rPr>
          <w:rFonts w:ascii="Arial"/>
          <w:i/>
          <w:spacing w:val="39"/>
          <w:sz w:val="20"/>
        </w:rPr>
        <w:t> </w:t>
      </w:r>
      <w:r>
        <w:rPr>
          <w:rFonts w:ascii="Arial"/>
          <w:i/>
          <w:sz w:val="20"/>
        </w:rPr>
        <w:t>Harold</w:t>
      </w:r>
      <w:r>
        <w:rPr>
          <w:rFonts w:ascii="Arial"/>
          <w:i/>
          <w:spacing w:val="39"/>
          <w:sz w:val="20"/>
        </w:rPr>
        <w:t> </w:t>
      </w:r>
      <w:r>
        <w:rPr>
          <w:rFonts w:ascii="Arial"/>
          <w:i/>
          <w:sz w:val="20"/>
        </w:rPr>
        <w:t>[2005]</w:t>
      </w:r>
      <w:r>
        <w:rPr>
          <w:rFonts w:ascii="Arial"/>
          <w:i/>
          <w:spacing w:val="39"/>
          <w:sz w:val="20"/>
        </w:rPr>
        <w:t> </w:t>
      </w:r>
      <w:r>
        <w:rPr>
          <w:rFonts w:ascii="Arial"/>
          <w:i/>
          <w:sz w:val="20"/>
        </w:rPr>
        <w:t>EWHC</w:t>
      </w:r>
      <w:r>
        <w:rPr>
          <w:rFonts w:ascii="Arial"/>
          <w:i/>
          <w:spacing w:val="39"/>
          <w:sz w:val="20"/>
        </w:rPr>
        <w:t> </w:t>
      </w:r>
      <w:r>
        <w:rPr>
          <w:rFonts w:ascii="Arial"/>
          <w:i/>
          <w:sz w:val="20"/>
        </w:rPr>
        <w:t>356</w:t>
      </w:r>
      <w:r>
        <w:rPr>
          <w:rFonts w:ascii="Arial"/>
          <w:i/>
          <w:spacing w:val="39"/>
          <w:sz w:val="20"/>
        </w:rPr>
        <w:t> </w:t>
      </w:r>
      <w:r>
        <w:rPr>
          <w:rFonts w:ascii="Arial"/>
          <w:i/>
          <w:sz w:val="20"/>
        </w:rPr>
        <w:t>(TCC),</w:t>
      </w:r>
      <w:r>
        <w:rPr>
          <w:rFonts w:ascii="Arial"/>
          <w:i/>
          <w:spacing w:val="39"/>
          <w:sz w:val="20"/>
        </w:rPr>
        <w:t> </w:t>
      </w:r>
      <w:r>
        <w:rPr>
          <w:rFonts w:ascii="Arial"/>
          <w:i/>
          <w:sz w:val="20"/>
        </w:rPr>
        <w:t>[2005]</w:t>
      </w:r>
      <w:r>
        <w:rPr>
          <w:rFonts w:ascii="Arial"/>
          <w:i/>
          <w:spacing w:val="39"/>
          <w:sz w:val="20"/>
        </w:rPr>
        <w:t> </w:t>
      </w:r>
      <w:r>
        <w:rPr>
          <w:rFonts w:ascii="Arial"/>
          <w:i/>
          <w:sz w:val="20"/>
        </w:rPr>
        <w:t>All</w:t>
      </w:r>
      <w:r>
        <w:rPr>
          <w:rFonts w:ascii="Arial"/>
          <w:i/>
          <w:spacing w:val="39"/>
          <w:sz w:val="20"/>
        </w:rPr>
        <w:t> </w:t>
      </w:r>
      <w:r>
        <w:rPr>
          <w:rFonts w:ascii="Arial"/>
          <w:i/>
          <w:sz w:val="20"/>
        </w:rPr>
        <w:t>E.R.</w:t>
      </w:r>
      <w:r>
        <w:rPr>
          <w:rFonts w:ascii="Arial"/>
          <w:i/>
          <w:spacing w:val="39"/>
          <w:sz w:val="20"/>
        </w:rPr>
        <w:t> </w:t>
      </w:r>
      <w:r>
        <w:rPr>
          <w:rFonts w:ascii="Arial"/>
          <w:i/>
          <w:sz w:val="20"/>
        </w:rPr>
        <w:t>(D)</w:t>
      </w:r>
      <w:r>
        <w:rPr>
          <w:rFonts w:ascii="Arial"/>
          <w:i/>
          <w:spacing w:val="39"/>
          <w:sz w:val="20"/>
        </w:rPr>
        <w:t> </w:t>
      </w:r>
      <w:r>
        <w:rPr>
          <w:rFonts w:ascii="Arial"/>
          <w:i/>
          <w:sz w:val="20"/>
        </w:rPr>
        <w:t>227</w:t>
      </w:r>
      <w:r>
        <w:rPr>
          <w:sz w:val="20"/>
        </w:rPr>
        <w:t>;</w:t>
      </w:r>
      <w:r>
        <w:rPr>
          <w:spacing w:val="39"/>
          <w:sz w:val="20"/>
        </w:rPr>
        <w:t> </w:t>
      </w:r>
      <w:r>
        <w:rPr>
          <w:spacing w:val="-5"/>
          <w:sz w:val="20"/>
        </w:rPr>
        <w:t>see</w:t>
      </w:r>
    </w:p>
    <w:p>
      <w:pPr>
        <w:pStyle w:val="BodyText"/>
        <w:spacing w:line="235" w:lineRule="auto" w:before="1"/>
        <w:ind w:left="705"/>
      </w:pPr>
      <w:r>
        <w:rPr/>
        <w:t>below,</w:t>
      </w:r>
      <w:r>
        <w:rPr>
          <w:spacing w:val="38"/>
        </w:rPr>
        <w:t> </w:t>
      </w:r>
      <w:r>
        <w:rPr/>
        <w:t>Vol.II,</w:t>
      </w:r>
      <w:r>
        <w:rPr>
          <w:spacing w:val="38"/>
        </w:rPr>
        <w:t> </w:t>
      </w:r>
      <w:r>
        <w:rPr/>
        <w:t>para.38-280.</w:t>
      </w:r>
      <w:r>
        <w:rPr>
          <w:spacing w:val="38"/>
        </w:rPr>
        <w:t> </w:t>
      </w:r>
      <w:r>
        <w:rPr/>
        <w:t>For</w:t>
      </w:r>
      <w:r>
        <w:rPr>
          <w:spacing w:val="38"/>
        </w:rPr>
        <w:t> </w:t>
      </w:r>
      <w:r>
        <w:rPr/>
        <w:t>clauses</w:t>
      </w:r>
      <w:r>
        <w:rPr>
          <w:spacing w:val="38"/>
        </w:rPr>
        <w:t> </w:t>
      </w:r>
      <w:r>
        <w:rPr/>
        <w:t>requiring</w:t>
      </w:r>
      <w:r>
        <w:rPr>
          <w:spacing w:val="38"/>
        </w:rPr>
        <w:t> </w:t>
      </w:r>
      <w:r>
        <w:rPr/>
        <w:t>a</w:t>
      </w:r>
      <w:r>
        <w:rPr>
          <w:spacing w:val="38"/>
        </w:rPr>
        <w:t> </w:t>
      </w:r>
      <w:r>
        <w:rPr/>
        <w:t>consumer</w:t>
      </w:r>
      <w:r>
        <w:rPr>
          <w:spacing w:val="38"/>
        </w:rPr>
        <w:t> </w:t>
      </w:r>
      <w:r>
        <w:rPr/>
        <w:t>to</w:t>
      </w:r>
      <w:r>
        <w:rPr>
          <w:spacing w:val="38"/>
        </w:rPr>
        <w:t> </w:t>
      </w:r>
      <w:r>
        <w:rPr/>
        <w:t>make</w:t>
      </w:r>
      <w:r>
        <w:rPr>
          <w:spacing w:val="38"/>
        </w:rPr>
        <w:t> </w:t>
      </w:r>
      <w:r>
        <w:rPr/>
        <w:t>a</w:t>
      </w:r>
      <w:r>
        <w:rPr>
          <w:spacing w:val="38"/>
        </w:rPr>
        <w:t> </w:t>
      </w:r>
      <w:r>
        <w:rPr/>
        <w:t>payment</w:t>
      </w:r>
      <w:r>
        <w:rPr>
          <w:spacing w:val="38"/>
        </w:rPr>
        <w:t> </w:t>
      </w:r>
      <w:r>
        <w:rPr/>
        <w:t>on</w:t>
      </w:r>
      <w:r>
        <w:rPr>
          <w:spacing w:val="38"/>
        </w:rPr>
        <w:t> </w:t>
      </w:r>
      <w:r>
        <w:rPr/>
        <w:t>some event that is not a breach of contract, see above, para.26-216C.</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58"/>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12"/>
        </w:numPr>
        <w:tabs>
          <w:tab w:pos="2644" w:val="left" w:leader="none"/>
        </w:tabs>
        <w:spacing w:line="240" w:lineRule="auto" w:before="194" w:after="0"/>
        <w:ind w:left="2644" w:right="0" w:hanging="373"/>
        <w:jc w:val="left"/>
        <w:rPr>
          <w:b/>
          <w:sz w:val="24"/>
        </w:rPr>
      </w:pPr>
      <w:r>
        <w:rPr>
          <w:b/>
          <w:sz w:val="24"/>
        </w:rPr>
        <w:t>- Deposits and Forfeiture of Sums </w:t>
      </w:r>
      <w:r>
        <w:rPr>
          <w:b/>
          <w:spacing w:val="-4"/>
          <w:sz w:val="24"/>
        </w:rPr>
        <w:t>Paid</w:t>
      </w:r>
    </w:p>
    <w:p>
      <w:pPr>
        <w:pStyle w:val="BodyText"/>
        <w:rPr>
          <w:rFonts w:ascii="Arial"/>
          <w:b/>
          <w:sz w:val="24"/>
        </w:rPr>
      </w:pPr>
    </w:p>
    <w:p>
      <w:pPr>
        <w:pStyle w:val="BodyText"/>
        <w:spacing w:before="209"/>
        <w:rPr>
          <w:rFonts w:ascii="Arial"/>
          <w:b/>
          <w:sz w:val="24"/>
        </w:rPr>
      </w:pPr>
    </w:p>
    <w:p>
      <w:pPr>
        <w:spacing w:before="0"/>
        <w:ind w:left="165" w:right="0" w:firstLine="0"/>
        <w:jc w:val="left"/>
        <w:rPr>
          <w:rFonts w:ascii="Arial"/>
          <w:b/>
          <w:position w:val="-3"/>
          <w:sz w:val="18"/>
        </w:rPr>
      </w:pPr>
      <w:bookmarkStart w:name="_bookmark2447" w:id="2449"/>
      <w:bookmarkEnd w:id="2449"/>
      <w:r>
        <w:rPr/>
      </w:r>
      <w:r>
        <w:rPr>
          <w:rFonts w:ascii="Arial"/>
          <w:b/>
          <w:sz w:val="18"/>
        </w:rPr>
        <w:t>Deposits and forfeiture of sums paid </w:t>
      </w:r>
      <w:hyperlink w:history="true" w:anchor="_bookmark2462">
        <w:r>
          <w:rPr>
            <w:rFonts w:ascii="Arial"/>
            <w:b/>
            <w:color w:val="005DA1"/>
            <w:sz w:val="18"/>
            <w:u w:val="single" w:color="005DA1"/>
            <w:vertAlign w:val="superscript"/>
          </w:rPr>
          <w:t>1284</w:t>
        </w:r>
        <w:r>
          <w:rPr>
            <w:rFonts w:ascii="Arial"/>
            <w:b/>
            <w:color w:val="005DA1"/>
            <w:spacing w:val="80"/>
            <w:w w:val="150"/>
            <w:sz w:val="18"/>
            <w:vertAlign w:val="baseline"/>
          </w:rPr>
          <w:t> </w:t>
        </w:r>
        <w:r>
          <w:rPr>
            <w:rFonts w:ascii="Arial"/>
            <w:b/>
            <w:color w:val="005DA1"/>
            <w:position w:val="-3"/>
            <w:sz w:val="18"/>
            <w:vertAlign w:val="baseline"/>
          </w:rPr>
          <w:drawing>
            <wp:inline distT="0" distB="0" distL="0" distR="0">
              <wp:extent cx="107988" cy="107988"/>
              <wp:effectExtent l="0" t="0" r="0" b="0"/>
              <wp:docPr id="1097" name="Image 1097"/>
              <wp:cNvGraphicFramePr>
                <a:graphicFrameLocks/>
              </wp:cNvGraphicFramePr>
              <a:graphic>
                <a:graphicData uri="http://schemas.openxmlformats.org/drawingml/2006/picture">
                  <pic:pic>
                    <pic:nvPicPr>
                      <pic:cNvPr id="1097" name="Image 1097"/>
                      <pic:cNvPicPr/>
                    </pic:nvPicPr>
                    <pic:blipFill>
                      <a:blip r:embed="rId6" cstate="print"/>
                      <a:stretch>
                        <a:fillRect/>
                      </a:stretch>
                    </pic:blipFill>
                    <pic:spPr>
                      <a:xfrm>
                        <a:off x="0" y="0"/>
                        <a:ext cx="107988" cy="107988"/>
                      </a:xfrm>
                      <a:prstGeom prst="rect">
                        <a:avLst/>
                      </a:prstGeom>
                    </pic:spPr>
                  </pic:pic>
                </a:graphicData>
              </a:graphic>
            </wp:inline>
          </w:drawing>
        </w:r>
        <w:r>
          <w:rPr>
            <w:rFonts w:ascii="Arial"/>
            <w:b/>
            <w:color w:val="005DA1"/>
            <w:position w:val="-3"/>
            <w:sz w:val="18"/>
            <w:vertAlign w:val="baseline"/>
          </w:rPr>
        </w:r>
      </w:hyperlink>
    </w:p>
    <w:p>
      <w:pPr>
        <w:pStyle w:val="BodyText"/>
        <w:spacing w:before="42"/>
        <w:rPr>
          <w:rFonts w:ascii="Arial"/>
          <w:b/>
          <w:sz w:val="18"/>
        </w:rPr>
      </w:pPr>
    </w:p>
    <w:p>
      <w:pPr>
        <w:spacing w:before="1"/>
        <w:ind w:left="165" w:right="0" w:firstLine="0"/>
        <w:jc w:val="left"/>
        <w:rPr>
          <w:rFonts w:ascii="Arial"/>
          <w:b/>
          <w:sz w:val="24"/>
        </w:rPr>
      </w:pPr>
      <w:r>
        <w:rPr>
          <w:rFonts w:ascii="Arial"/>
          <w:b/>
          <w:sz w:val="24"/>
        </w:rPr>
        <w:t>26-</w:t>
      </w:r>
      <w:r>
        <w:rPr>
          <w:rFonts w:ascii="Arial"/>
          <w:b/>
          <w:spacing w:val="-4"/>
          <w:sz w:val="24"/>
        </w:rPr>
        <w:t>216N</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1098" name="Image 1098"/>
            <wp:cNvGraphicFramePr>
              <a:graphicFrameLocks/>
            </wp:cNvGraphicFramePr>
            <a:graphic>
              <a:graphicData uri="http://schemas.openxmlformats.org/drawingml/2006/picture">
                <pic:pic>
                  <pic:nvPicPr>
                    <pic:cNvPr id="1098" name="Image 109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2448" w:id="2450"/>
      <w:bookmarkEnd w:id="2450"/>
      <w:r>
        <w:rPr>
          <w:rFonts w:ascii="Times New Roman"/>
          <w:spacing w:val="24"/>
        </w:rPr>
      </w:r>
      <w:r>
        <w:rPr/>
        <w:t>A</w:t>
      </w:r>
      <w:r>
        <w:rPr>
          <w:spacing w:val="19"/>
        </w:rPr>
        <w:t> </w:t>
      </w:r>
      <w:r>
        <w:rPr/>
        <w:t>contract</w:t>
      </w:r>
      <w:r>
        <w:rPr>
          <w:spacing w:val="19"/>
        </w:rPr>
        <w:t> </w:t>
      </w:r>
      <w:r>
        <w:rPr/>
        <w:t>may,</w:t>
      </w:r>
      <w:r>
        <w:rPr>
          <w:spacing w:val="19"/>
        </w:rPr>
        <w:t> </w:t>
      </w:r>
      <w:r>
        <w:rPr/>
        <w:t>instead</w:t>
      </w:r>
      <w:r>
        <w:rPr>
          <w:spacing w:val="19"/>
        </w:rPr>
        <w:t> </w:t>
      </w:r>
      <w:r>
        <w:rPr/>
        <w:t>of</w:t>
      </w:r>
      <w:r>
        <w:rPr>
          <w:spacing w:val="19"/>
        </w:rPr>
        <w:t> </w:t>
      </w:r>
      <w:r>
        <w:rPr/>
        <w:t>fixing</w:t>
      </w:r>
      <w:r>
        <w:rPr>
          <w:spacing w:val="19"/>
        </w:rPr>
        <w:t> </w:t>
      </w:r>
      <w:r>
        <w:rPr/>
        <w:t>a</w:t>
      </w:r>
      <w:r>
        <w:rPr>
          <w:spacing w:val="19"/>
        </w:rPr>
        <w:t> </w:t>
      </w:r>
      <w:r>
        <w:rPr/>
        <w:t>sum</w:t>
      </w:r>
      <w:r>
        <w:rPr>
          <w:spacing w:val="19"/>
        </w:rPr>
        <w:t> </w:t>
      </w:r>
      <w:r>
        <w:rPr/>
        <w:t>to</w:t>
      </w:r>
      <w:r>
        <w:rPr>
          <w:spacing w:val="19"/>
        </w:rPr>
        <w:t> </w:t>
      </w:r>
      <w:r>
        <w:rPr/>
        <w:t>be</w:t>
      </w:r>
      <w:r>
        <w:rPr>
          <w:spacing w:val="19"/>
        </w:rPr>
        <w:t> </w:t>
      </w:r>
      <w:r>
        <w:rPr/>
        <w:t>paid</w:t>
      </w:r>
      <w:r>
        <w:rPr>
          <w:spacing w:val="19"/>
        </w:rPr>
        <w:t> </w:t>
      </w:r>
      <w:r>
        <w:rPr/>
        <w:t>upon</w:t>
      </w:r>
      <w:r>
        <w:rPr>
          <w:spacing w:val="19"/>
        </w:rPr>
        <w:t> </w:t>
      </w:r>
      <w:r>
        <w:rPr/>
        <w:t>breach,</w:t>
      </w:r>
      <w:r>
        <w:rPr>
          <w:spacing w:val="19"/>
        </w:rPr>
        <w:t> </w:t>
      </w:r>
      <w:r>
        <w:rPr/>
        <w:t>provide</w:t>
      </w:r>
      <w:r>
        <w:rPr>
          <w:spacing w:val="19"/>
        </w:rPr>
        <w:t> </w:t>
      </w:r>
      <w:r>
        <w:rPr/>
        <w:t>that</w:t>
      </w:r>
      <w:r>
        <w:rPr>
          <w:spacing w:val="19"/>
        </w:rPr>
        <w:t> </w:t>
      </w:r>
      <w:r>
        <w:rPr/>
        <w:t>a</w:t>
      </w:r>
      <w:r>
        <w:rPr>
          <w:spacing w:val="19"/>
        </w:rPr>
        <w:t> </w:t>
      </w:r>
      <w:r>
        <w:rPr/>
        <w:t>sum</w:t>
      </w:r>
      <w:r>
        <w:rPr>
          <w:spacing w:val="19"/>
        </w:rPr>
        <w:t> </w:t>
      </w:r>
      <w:r>
        <w:rPr/>
        <w:t>already</w:t>
      </w:r>
      <w:r>
        <w:rPr>
          <w:spacing w:val="19"/>
        </w:rPr>
        <w:t> </w:t>
      </w:r>
      <w:r>
        <w:rPr/>
        <w:t>paid</w:t>
      </w:r>
    </w:p>
    <w:p>
      <w:pPr>
        <w:pStyle w:val="BodyText"/>
        <w:spacing w:before="5"/>
      </w:pPr>
    </w:p>
    <w:p>
      <w:pPr>
        <w:pStyle w:val="BodyText"/>
        <w:ind w:left="165"/>
        <w:jc w:val="both"/>
      </w:pPr>
      <w:bookmarkStart w:name="_bookmark2449" w:id="2451"/>
      <w:bookmarkEnd w:id="2451"/>
      <w:r>
        <w:rPr/>
      </w:r>
      <w:bookmarkStart w:name="_bookmark2450" w:id="2452"/>
      <w:bookmarkEnd w:id="2452"/>
      <w:r>
        <w:rPr/>
      </w:r>
      <w:r>
        <w:rPr/>
        <w:t>shall</w:t>
      </w:r>
      <w:r>
        <w:rPr>
          <w:spacing w:val="14"/>
        </w:rPr>
        <w:t> </w:t>
      </w:r>
      <w:r>
        <w:rPr/>
        <w:t>be</w:t>
      </w:r>
      <w:r>
        <w:rPr>
          <w:spacing w:val="14"/>
        </w:rPr>
        <w:t> </w:t>
      </w:r>
      <w:r>
        <w:rPr/>
        <w:t>forfeited</w:t>
      </w:r>
      <w:r>
        <w:rPr>
          <w:spacing w:val="14"/>
        </w:rPr>
        <w:t> </w:t>
      </w:r>
      <w:r>
        <w:rPr>
          <w:color w:val="005DA1"/>
          <w:u w:val="single" w:color="005DA1"/>
          <w:vertAlign w:val="superscript"/>
        </w:rPr>
        <w:t>1285</w:t>
      </w:r>
      <w:r>
        <w:rPr>
          <w:color w:val="005DA1"/>
          <w:spacing w:val="49"/>
          <w:vertAlign w:val="baseline"/>
        </w:rPr>
        <w:t>  </w:t>
      </w:r>
      <w:r>
        <w:rPr>
          <w:color w:val="005DA1"/>
          <w:spacing w:val="-6"/>
          <w:position w:val="-2"/>
          <w:vertAlign w:val="baseline"/>
        </w:rPr>
        <w:drawing>
          <wp:inline distT="0" distB="0" distL="0" distR="0">
            <wp:extent cx="107988" cy="107988"/>
            <wp:effectExtent l="0" t="0" r="0" b="0"/>
            <wp:docPr id="1099" name="Image 1099"/>
            <wp:cNvGraphicFramePr>
              <a:graphicFrameLocks/>
            </wp:cNvGraphicFramePr>
            <a:graphic>
              <a:graphicData uri="http://schemas.openxmlformats.org/drawingml/2006/picture">
                <pic:pic>
                  <pic:nvPicPr>
                    <pic:cNvPr id="1099" name="Image 10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6"/>
          <w:vertAlign w:val="baseline"/>
        </w:rPr>
        <w:t> </w:t>
      </w:r>
      <w:r>
        <w:rPr>
          <w:vertAlign w:val="baseline"/>
        </w:rPr>
        <w:t>upon</w:t>
      </w:r>
      <w:r>
        <w:rPr>
          <w:spacing w:val="14"/>
          <w:vertAlign w:val="baseline"/>
        </w:rPr>
        <w:t> </w:t>
      </w:r>
      <w:r>
        <w:rPr>
          <w:vertAlign w:val="baseline"/>
        </w:rPr>
        <w:t>breach</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party</w:t>
      </w:r>
      <w:r>
        <w:rPr>
          <w:spacing w:val="14"/>
          <w:vertAlign w:val="baseline"/>
        </w:rPr>
        <w:t> </w:t>
      </w:r>
      <w:r>
        <w:rPr>
          <w:vertAlign w:val="baseline"/>
        </w:rPr>
        <w:t>who</w:t>
      </w:r>
      <w:r>
        <w:rPr>
          <w:spacing w:val="14"/>
          <w:vertAlign w:val="baseline"/>
        </w:rPr>
        <w:t> </w:t>
      </w:r>
      <w:r>
        <w:rPr>
          <w:vertAlign w:val="baseline"/>
        </w:rPr>
        <w:t>paid</w:t>
      </w:r>
      <w:r>
        <w:rPr>
          <w:spacing w:val="14"/>
          <w:vertAlign w:val="baseline"/>
        </w:rPr>
        <w:t> </w:t>
      </w:r>
      <w:r>
        <w:rPr>
          <w:vertAlign w:val="baseline"/>
        </w:rPr>
        <w:t>it.</w:t>
      </w:r>
      <w:r>
        <w:rPr>
          <w:spacing w:val="14"/>
          <w:vertAlign w:val="baseline"/>
        </w:rPr>
        <w:t> </w:t>
      </w:r>
      <w:hyperlink w:history="true" w:anchor="_bookmark2464">
        <w:r>
          <w:rPr>
            <w:color w:val="005DA1"/>
            <w:u w:val="single" w:color="005DA1"/>
            <w:vertAlign w:val="superscript"/>
          </w:rPr>
          <w:t>1286</w:t>
        </w:r>
        <w:r>
          <w:rPr>
            <w:color w:val="005DA1"/>
            <w:spacing w:val="49"/>
            <w:vertAlign w:val="baseline"/>
          </w:rPr>
          <w:t>  </w:t>
        </w:r>
        <w:r>
          <w:rPr>
            <w:color w:val="005DA1"/>
            <w:spacing w:val="-6"/>
            <w:position w:val="-2"/>
            <w:vertAlign w:val="baseline"/>
          </w:rPr>
          <w:drawing>
            <wp:inline distT="0" distB="0" distL="0" distR="0">
              <wp:extent cx="107988" cy="107988"/>
              <wp:effectExtent l="0" t="0" r="0" b="0"/>
              <wp:docPr id="1100" name="Image 1100"/>
              <wp:cNvGraphicFramePr>
                <a:graphicFrameLocks/>
              </wp:cNvGraphicFramePr>
              <a:graphic>
                <a:graphicData uri="http://schemas.openxmlformats.org/drawingml/2006/picture">
                  <pic:pic>
                    <pic:nvPicPr>
                      <pic:cNvPr id="1100" name="Image 11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6"/>
            <w:vertAlign w:val="baseline"/>
          </w:rPr>
          <w:t> </w:t>
        </w:r>
        <w:r>
          <w:rPr>
            <w:vertAlign w:val="baseline"/>
          </w:rPr>
          <w:t>Alternatively,</w:t>
        </w:r>
        <w:r>
          <w:rPr>
            <w:spacing w:val="14"/>
            <w:vertAlign w:val="baseline"/>
          </w:rPr>
          <w:t> </w:t>
        </w:r>
        <w:r>
          <w:rPr>
            <w:vertAlign w:val="baseline"/>
          </w:rPr>
          <w:t>a</w:t>
        </w:r>
        <w:r>
          <w:rPr>
            <w:spacing w:val="14"/>
            <w:vertAlign w:val="baseline"/>
          </w:rPr>
          <w:t> </w:t>
        </w:r>
        <w:r>
          <w:rPr>
            <w:vertAlign w:val="baseline"/>
          </w:rPr>
          <w:t>sum</w:t>
        </w:r>
        <w:r>
          <w:rPr>
            <w:spacing w:val="14"/>
            <w:vertAlign w:val="baseline"/>
          </w:rPr>
          <w:t> </w:t>
        </w:r>
        <w:r>
          <w:rPr>
            <w:vertAlign w:val="baseline"/>
          </w:rPr>
          <w:t>may</w:t>
        </w:r>
        <w:r>
          <w:rPr>
            <w:spacing w:val="14"/>
            <w:vertAlign w:val="baseline"/>
          </w:rPr>
          <w:t> </w:t>
        </w:r>
        <w:r>
          <w:rPr>
            <w:spacing w:val="-5"/>
            <w:vertAlign w:val="baseline"/>
          </w:rPr>
          <w:t>be</w:t>
        </w:r>
      </w:hyperlink>
    </w:p>
    <w:p>
      <w:pPr>
        <w:pStyle w:val="BodyText"/>
        <w:spacing w:line="235" w:lineRule="auto" w:before="119"/>
        <w:ind w:left="165" w:right="167"/>
        <w:jc w:val="both"/>
      </w:pPr>
      <w:r>
        <w:rPr/>
        <w:t>paid as a deposit, in which case the sum is forfeited if the payer breaks the contract. </w:t>
      </w:r>
      <w:hyperlink w:history="true" w:anchor="_bookmark2465">
        <w:r>
          <w:rPr>
            <w:color w:val="005DA1"/>
            <w:u w:val="single" w:color="005DA1"/>
            <w:vertAlign w:val="superscript"/>
          </w:rPr>
          <w:t>1287</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101" name="Image 1101"/>
              <wp:cNvGraphicFramePr>
                <a:graphicFrameLocks/>
              </wp:cNvGraphicFramePr>
              <a:graphic>
                <a:graphicData uri="http://schemas.openxmlformats.org/drawingml/2006/picture">
                  <pic:pic>
                    <pic:nvPicPr>
                      <pic:cNvPr id="1101" name="Image 11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If the </w:t>
        </w:r>
        <w:bookmarkStart w:name="_bookmark2451" w:id="2453"/>
        <w:bookmarkEnd w:id="2453"/>
        <w:r>
          <w:rPr>
            <w:vertAlign w:val="baseline"/>
          </w:rPr>
          <w:t>deposit</w:t>
        </w:r>
        <w:r>
          <w:rPr>
            <w:spacing w:val="2"/>
            <w:vertAlign w:val="baseline"/>
          </w:rPr>
          <w:t> </w:t>
        </w:r>
        <w:r>
          <w:rPr>
            <w:vertAlign w:val="baseline"/>
          </w:rPr>
          <w:t>has</w:t>
        </w:r>
        <w:r>
          <w:rPr>
            <w:spacing w:val="2"/>
            <w:vertAlign w:val="baseline"/>
          </w:rPr>
          <w:t> </w:t>
        </w:r>
        <w:r>
          <w:rPr>
            <w:vertAlign w:val="baseline"/>
          </w:rPr>
          <w:t>not</w:t>
        </w:r>
        <w:r>
          <w:rPr>
            <w:spacing w:val="2"/>
            <w:vertAlign w:val="baseline"/>
          </w:rPr>
          <w:t> </w:t>
        </w:r>
        <w:r>
          <w:rPr>
            <w:vertAlign w:val="baseline"/>
          </w:rPr>
          <w:t>been</w:t>
        </w:r>
        <w:r>
          <w:rPr>
            <w:spacing w:val="2"/>
            <w:vertAlign w:val="baseline"/>
          </w:rPr>
          <w:t> </w:t>
        </w:r>
        <w:r>
          <w:rPr>
            <w:vertAlign w:val="baseline"/>
          </w:rPr>
          <w:t>paid</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terminated,</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payable,</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recovered</w:t>
        </w:r>
        <w:r>
          <w:rPr>
            <w:spacing w:val="2"/>
            <w:vertAlign w:val="baseline"/>
          </w:rPr>
          <w:t> </w:t>
        </w:r>
        <w:r>
          <w:rPr>
            <w:spacing w:val="-5"/>
            <w:vertAlign w:val="baseline"/>
          </w:rPr>
          <w:t>as</w:t>
        </w:r>
      </w:hyperlink>
    </w:p>
    <w:p>
      <w:pPr>
        <w:pStyle w:val="BodyText"/>
        <w:spacing w:line="360" w:lineRule="auto" w:before="116"/>
        <w:ind w:left="164" w:right="167"/>
        <w:jc w:val="both"/>
        <w:rPr>
          <w:rFonts w:ascii="Arial"/>
          <w:i/>
        </w:rPr>
      </w:pPr>
      <w:bookmarkStart w:name="_bookmark2452" w:id="2454"/>
      <w:bookmarkEnd w:id="2454"/>
      <w:r>
        <w:rPr/>
      </w:r>
      <w:r>
        <w:rPr/>
        <w:t>a debt </w:t>
      </w:r>
      <w:hyperlink w:history="true" w:anchor="_bookmark2466">
        <w:r>
          <w:rPr>
            <w:color w:val="005DA1"/>
            <w:u w:val="single" w:color="005DA1"/>
            <w:vertAlign w:val="superscript"/>
          </w:rPr>
          <w:t>1288</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102" name="Image 1102"/>
              <wp:cNvGraphicFramePr>
                <a:graphicFrameLocks/>
              </wp:cNvGraphicFramePr>
              <a:graphic>
                <a:graphicData uri="http://schemas.openxmlformats.org/drawingml/2006/picture">
                  <pic:pic>
                    <pic:nvPicPr>
                      <pic:cNvPr id="1102" name="Image 11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vertAlign w:val="baseline"/>
          </w:rPr>
          <w:t>; if the contract was repudiated and terminated before the deposit became payable, the </w:t>
        </w:r>
        <w:bookmarkStart w:name="_bookmark2453" w:id="2455"/>
        <w:bookmarkEnd w:id="2455"/>
        <w:r>
          <w:rPr>
            <w:vertAlign w:val="baseline"/>
          </w:rPr>
          <w:t>innocent</w:t>
        </w:r>
        <w:r>
          <w:rPr>
            <w:spacing w:val="29"/>
            <w:vertAlign w:val="baseline"/>
          </w:rPr>
          <w:t> </w:t>
        </w:r>
        <w:r>
          <w:rPr>
            <w:vertAlign w:val="baseline"/>
          </w:rPr>
          <w:t>party</w:t>
        </w:r>
        <w:r>
          <w:rPr>
            <w:spacing w:val="30"/>
            <w:vertAlign w:val="baseline"/>
          </w:rPr>
          <w:t> </w:t>
        </w:r>
        <w:r>
          <w:rPr>
            <w:vertAlign w:val="baseline"/>
          </w:rPr>
          <w:t>may</w:t>
        </w:r>
        <w:r>
          <w:rPr>
            <w:spacing w:val="30"/>
            <w:vertAlign w:val="baseline"/>
          </w:rPr>
          <w:t> </w:t>
        </w:r>
        <w:r>
          <w:rPr>
            <w:vertAlign w:val="baseline"/>
          </w:rPr>
          <w:t>recover</w:t>
        </w:r>
        <w:r>
          <w:rPr>
            <w:spacing w:val="29"/>
            <w:vertAlign w:val="baseline"/>
          </w:rPr>
          <w:t> </w:t>
        </w:r>
        <w:r>
          <w:rPr>
            <w:vertAlign w:val="baseline"/>
          </w:rPr>
          <w:t>the</w:t>
        </w:r>
        <w:r>
          <w:rPr>
            <w:spacing w:val="30"/>
            <w:vertAlign w:val="baseline"/>
          </w:rPr>
          <w:t> </w:t>
        </w:r>
        <w:r>
          <w:rPr>
            <w:vertAlign w:val="baseline"/>
          </w:rPr>
          <w:t>amount</w:t>
        </w:r>
        <w:r>
          <w:rPr>
            <w:spacing w:val="30"/>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deposit</w:t>
        </w:r>
        <w:r>
          <w:rPr>
            <w:spacing w:val="30"/>
            <w:vertAlign w:val="baseline"/>
          </w:rPr>
          <w:t> </w:t>
        </w:r>
        <w:r>
          <w:rPr>
            <w:vertAlign w:val="baseline"/>
          </w:rPr>
          <w:t>by</w:t>
        </w:r>
        <w:r>
          <w:rPr>
            <w:spacing w:val="30"/>
            <w:vertAlign w:val="baseline"/>
          </w:rPr>
          <w:t> </w:t>
        </w:r>
        <w:r>
          <w:rPr>
            <w:vertAlign w:val="baseline"/>
          </w:rPr>
          <w:t>way</w:t>
        </w:r>
        <w:r>
          <w:rPr>
            <w:spacing w:val="30"/>
            <w:vertAlign w:val="baseline"/>
          </w:rPr>
          <w:t> </w:t>
        </w:r>
        <w:r>
          <w:rPr>
            <w:vertAlign w:val="baseline"/>
          </w:rPr>
          <w:t>of</w:t>
        </w:r>
        <w:r>
          <w:rPr>
            <w:spacing w:val="29"/>
            <w:vertAlign w:val="baseline"/>
          </w:rPr>
          <w:t> </w:t>
        </w:r>
        <w:r>
          <w:rPr>
            <w:vertAlign w:val="baseline"/>
          </w:rPr>
          <w:t>damages.</w:t>
        </w:r>
        <w:r>
          <w:rPr>
            <w:spacing w:val="29"/>
            <w:vertAlign w:val="baseline"/>
          </w:rPr>
          <w:t> </w:t>
        </w:r>
        <w:hyperlink w:history="true" w:anchor="_bookmark2467">
          <w:r>
            <w:rPr>
              <w:color w:val="005DA1"/>
              <w:u w:val="single" w:color="005DA1"/>
              <w:vertAlign w:val="superscript"/>
            </w:rPr>
            <w:t>1289</w:t>
          </w:r>
          <w:r>
            <w:rPr>
              <w:color w:val="005DA1"/>
              <w:spacing w:val="73"/>
              <w:vertAlign w:val="baseline"/>
            </w:rPr>
            <w:t>  </w:t>
          </w:r>
          <w:r>
            <w:rPr>
              <w:color w:val="005DA1"/>
              <w:spacing w:val="-16"/>
              <w:position w:val="-2"/>
              <w:vertAlign w:val="baseline"/>
            </w:rPr>
            <w:drawing>
              <wp:inline distT="0" distB="0" distL="0" distR="0">
                <wp:extent cx="107988" cy="107988"/>
                <wp:effectExtent l="0" t="0" r="0" b="0"/>
                <wp:docPr id="1103" name="Image 1103"/>
                <wp:cNvGraphicFramePr>
                  <a:graphicFrameLocks/>
                </wp:cNvGraphicFramePr>
                <a:graphic>
                  <a:graphicData uri="http://schemas.openxmlformats.org/drawingml/2006/picture">
                    <pic:pic>
                      <pic:nvPicPr>
                        <pic:cNvPr id="1103" name="Image 11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52"/>
              <w:vertAlign w:val="baseline"/>
            </w:rPr>
            <w:t> </w:t>
          </w:r>
          <w:r>
            <w:rPr>
              <w:vertAlign w:val="baseline"/>
            </w:rPr>
            <w:t>In</w:t>
          </w:r>
          <w:r>
            <w:rPr>
              <w:spacing w:val="30"/>
              <w:vertAlign w:val="baseline"/>
            </w:rPr>
            <w:t> </w:t>
          </w:r>
          <w:r>
            <w:rPr>
              <w:rFonts w:ascii="Arial"/>
              <w:i/>
              <w:spacing w:val="-2"/>
              <w:vertAlign w:val="baseline"/>
            </w:rPr>
            <w:t>Cavendish</w:t>
          </w:r>
        </w:hyperlink>
      </w:hyperlink>
    </w:p>
    <w:p>
      <w:pPr>
        <w:spacing w:line="235" w:lineRule="auto" w:before="4"/>
        <w:ind w:left="165" w:right="167" w:firstLine="0"/>
        <w:jc w:val="both"/>
        <w:rPr>
          <w:sz w:val="20"/>
        </w:rPr>
      </w:pPr>
      <w:r>
        <w:rPr>
          <w:rFonts w:ascii="Arial"/>
          <w:i/>
          <w:sz w:val="20"/>
        </w:rPr>
        <w:t>Square Holding BV v Makdessi </w:t>
      </w:r>
      <w:r>
        <w:rPr>
          <w:sz w:val="20"/>
        </w:rPr>
        <w:t>and </w:t>
      </w:r>
      <w:r>
        <w:rPr>
          <w:rFonts w:ascii="Arial"/>
          <w:i/>
          <w:sz w:val="20"/>
        </w:rPr>
        <w:t>ParkingEye Ltd v Beavis </w:t>
      </w:r>
      <w:hyperlink w:history="true" w:anchor="_bookmark2468">
        <w:r>
          <w:rPr>
            <w:color w:val="005DA1"/>
            <w:sz w:val="20"/>
            <w:u w:val="single" w:color="005DA1"/>
            <w:vertAlign w:val="superscript"/>
          </w:rPr>
          <w:t>1290</w:t>
        </w:r>
        <w:r>
          <w:rPr>
            <w:color w:val="005DA1"/>
            <w:spacing w:val="80"/>
            <w:w w:val="150"/>
            <w:sz w:val="20"/>
            <w:vertAlign w:val="baseline"/>
          </w:rPr>
          <w:t> </w:t>
        </w:r>
        <w:r>
          <w:rPr>
            <w:color w:val="005DA1"/>
            <w:spacing w:val="15"/>
            <w:position w:val="-2"/>
            <w:sz w:val="20"/>
            <w:vertAlign w:val="baseline"/>
          </w:rPr>
          <w:drawing>
            <wp:inline distT="0" distB="0" distL="0" distR="0">
              <wp:extent cx="107988" cy="107988"/>
              <wp:effectExtent l="0" t="0" r="0" b="0"/>
              <wp:docPr id="1104" name="Image 1104"/>
              <wp:cNvGraphicFramePr>
                <a:graphicFrameLocks/>
              </wp:cNvGraphicFramePr>
              <a:graphic>
                <a:graphicData uri="http://schemas.openxmlformats.org/drawingml/2006/picture">
                  <pic:pic>
                    <pic:nvPicPr>
                      <pic:cNvPr id="1104" name="Image 11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sz w:val="20"/>
            <w:vertAlign w:val="baseline"/>
          </w:rPr>
        </w:r>
        <w:r>
          <w:rPr>
            <w:rFonts w:ascii="Times New Roman"/>
            <w:color w:val="005DA1"/>
            <w:spacing w:val="12"/>
            <w:sz w:val="20"/>
            <w:vertAlign w:val="baseline"/>
          </w:rPr>
          <w:t> </w:t>
        </w:r>
        <w:r>
          <w:rPr>
            <w:sz w:val="20"/>
            <w:vertAlign w:val="baseline"/>
          </w:rPr>
          <w:t>the Supreme Court said that</w:t>
        </w:r>
        <w:r>
          <w:rPr>
            <w:spacing w:val="40"/>
            <w:sz w:val="20"/>
            <w:vertAlign w:val="baseline"/>
          </w:rPr>
          <w:t> </w:t>
        </w:r>
        <w:bookmarkStart w:name="_bookmark2454" w:id="2456"/>
        <w:bookmarkEnd w:id="2456"/>
        <w:r>
          <w:rPr>
            <w:sz w:val="20"/>
            <w:vertAlign w:val="baseline"/>
          </w:rPr>
          <w:t>both</w:t>
        </w:r>
        <w:r>
          <w:rPr>
            <w:spacing w:val="2"/>
            <w:sz w:val="20"/>
            <w:vertAlign w:val="baseline"/>
          </w:rPr>
          <w:t> </w:t>
        </w:r>
        <w:r>
          <w:rPr>
            <w:sz w:val="20"/>
            <w:vertAlign w:val="baseline"/>
          </w:rPr>
          <w:t>deposits</w:t>
        </w:r>
        <w:r>
          <w:rPr>
            <w:spacing w:val="2"/>
            <w:sz w:val="20"/>
            <w:vertAlign w:val="baseline"/>
          </w:rPr>
          <w:t> </w:t>
        </w:r>
        <w:r>
          <w:rPr>
            <w:sz w:val="20"/>
            <w:vertAlign w:val="baseline"/>
          </w:rPr>
          <w:t>and</w:t>
        </w:r>
        <w:r>
          <w:rPr>
            <w:spacing w:val="2"/>
            <w:sz w:val="20"/>
            <w:vertAlign w:val="baseline"/>
          </w:rPr>
          <w:t> </w:t>
        </w:r>
        <w:r>
          <w:rPr>
            <w:sz w:val="20"/>
            <w:vertAlign w:val="baseline"/>
          </w:rPr>
          <w:t>forfeiture</w:t>
        </w:r>
        <w:r>
          <w:rPr>
            <w:spacing w:val="2"/>
            <w:sz w:val="20"/>
            <w:vertAlign w:val="baseline"/>
          </w:rPr>
          <w:t> </w:t>
        </w:r>
        <w:r>
          <w:rPr>
            <w:sz w:val="20"/>
            <w:vertAlign w:val="baseline"/>
          </w:rPr>
          <w:t>clauses</w:t>
        </w:r>
        <w:r>
          <w:rPr>
            <w:spacing w:val="2"/>
            <w:sz w:val="20"/>
            <w:vertAlign w:val="baseline"/>
          </w:rPr>
          <w:t> </w:t>
        </w:r>
        <w:r>
          <w:rPr>
            <w:sz w:val="20"/>
            <w:vertAlign w:val="baseline"/>
          </w:rPr>
          <w:t>are</w:t>
        </w:r>
        <w:r>
          <w:rPr>
            <w:spacing w:val="2"/>
            <w:sz w:val="20"/>
            <w:vertAlign w:val="baseline"/>
          </w:rPr>
          <w:t> </w:t>
        </w:r>
        <w:r>
          <w:rPr>
            <w:sz w:val="20"/>
            <w:vertAlign w:val="baseline"/>
          </w:rPr>
          <w:t>subject</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2"/>
            <w:sz w:val="20"/>
            <w:vertAlign w:val="baseline"/>
          </w:rPr>
          <w:t> </w:t>
        </w:r>
        <w:r>
          <w:rPr>
            <w:sz w:val="20"/>
            <w:vertAlign w:val="baseline"/>
          </w:rPr>
          <w:t>penalty</w:t>
        </w:r>
        <w:r>
          <w:rPr>
            <w:spacing w:val="2"/>
            <w:sz w:val="20"/>
            <w:vertAlign w:val="baseline"/>
          </w:rPr>
          <w:t> </w:t>
        </w:r>
        <w:r>
          <w:rPr>
            <w:sz w:val="20"/>
            <w:vertAlign w:val="baseline"/>
          </w:rPr>
          <w:t>rules</w:t>
        </w:r>
        <w:r>
          <w:rPr>
            <w:spacing w:val="2"/>
            <w:sz w:val="20"/>
            <w:vertAlign w:val="baseline"/>
          </w:rPr>
          <w:t> </w:t>
        </w:r>
        <w:r>
          <w:rPr>
            <w:sz w:val="20"/>
            <w:vertAlign w:val="baseline"/>
          </w:rPr>
          <w:t>(though</w:t>
        </w:r>
        <w:r>
          <w:rPr>
            <w:spacing w:val="2"/>
            <w:sz w:val="20"/>
            <w:vertAlign w:val="baseline"/>
          </w:rPr>
          <w:t> </w:t>
        </w:r>
        <w:r>
          <w:rPr>
            <w:sz w:val="20"/>
            <w:vertAlign w:val="baseline"/>
          </w:rPr>
          <w:t>it</w:t>
        </w:r>
        <w:r>
          <w:rPr>
            <w:spacing w:val="2"/>
            <w:sz w:val="20"/>
            <w:vertAlign w:val="baseline"/>
          </w:rPr>
          <w:t> </w:t>
        </w:r>
        <w:r>
          <w:rPr>
            <w:sz w:val="20"/>
            <w:vertAlign w:val="baseline"/>
          </w:rPr>
          <w:t>will</w:t>
        </w:r>
        <w:r>
          <w:rPr>
            <w:spacing w:val="2"/>
            <w:sz w:val="20"/>
            <w:vertAlign w:val="baseline"/>
          </w:rPr>
          <w:t> </w:t>
        </w:r>
        <w:r>
          <w:rPr>
            <w:sz w:val="20"/>
            <w:vertAlign w:val="baseline"/>
          </w:rPr>
          <w:t>be</w:t>
        </w:r>
        <w:r>
          <w:rPr>
            <w:spacing w:val="2"/>
            <w:sz w:val="20"/>
            <w:vertAlign w:val="baseline"/>
          </w:rPr>
          <w:t> </w:t>
        </w:r>
        <w:r>
          <w:rPr>
            <w:sz w:val="20"/>
            <w:vertAlign w:val="baseline"/>
          </w:rPr>
          <w:t>submitted</w:t>
        </w:r>
        <w:r>
          <w:rPr>
            <w:spacing w:val="2"/>
            <w:sz w:val="20"/>
            <w:vertAlign w:val="baseline"/>
          </w:rPr>
          <w:t> </w:t>
        </w:r>
        <w:r>
          <w:rPr>
            <w:sz w:val="20"/>
            <w:vertAlign w:val="baseline"/>
          </w:rPr>
          <w:t>that</w:t>
        </w:r>
        <w:r>
          <w:rPr>
            <w:spacing w:val="2"/>
            <w:sz w:val="20"/>
            <w:vertAlign w:val="baseline"/>
          </w:rPr>
          <w:t> </w:t>
        </w:r>
        <w:r>
          <w:rPr>
            <w:spacing w:val="-5"/>
            <w:sz w:val="20"/>
            <w:vertAlign w:val="baseline"/>
          </w:rPr>
          <w:t>to</w:t>
        </w:r>
      </w:hyperlink>
    </w:p>
    <w:p>
      <w:pPr>
        <w:pStyle w:val="BodyText"/>
        <w:spacing w:line="360" w:lineRule="auto" w:before="115"/>
        <w:ind w:left="165" w:right="167"/>
        <w:jc w:val="both"/>
        <w:rPr>
          <w:position w:val="-2"/>
        </w:rPr>
      </w:pPr>
      <w:bookmarkStart w:name="_bookmark2455" w:id="2457"/>
      <w:bookmarkEnd w:id="2457"/>
      <w:r>
        <w:rPr/>
      </w:r>
      <w:r>
        <w:rPr/>
        <w:t>some extent the rules still differ </w:t>
      </w:r>
      <w:hyperlink w:history="true" w:anchor="_bookmark2469">
        <w:r>
          <w:rPr>
            <w:color w:val="005DA1"/>
            <w:u w:val="single" w:color="005DA1"/>
            <w:vertAlign w:val="superscript"/>
          </w:rPr>
          <w:t>1291</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105" name="Image 1105"/>
              <wp:cNvGraphicFramePr>
                <a:graphicFrameLocks/>
              </wp:cNvGraphicFramePr>
              <a:graphic>
                <a:graphicData uri="http://schemas.openxmlformats.org/drawingml/2006/picture">
                  <pic:pic>
                    <pic:nvPicPr>
                      <pic:cNvPr id="1105" name="Image 11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vertAlign w:val="baseline"/>
          </w:rPr>
          <w:t>). Many deposits and forfeiture provisions will also fall </w:t>
        </w:r>
        <w:r>
          <w:rPr>
            <w:vertAlign w:val="baseline"/>
          </w:rPr>
          <w:t>within </w:t>
        </w:r>
        <w:bookmarkStart w:name="_bookmark2456" w:id="2458"/>
        <w:bookmarkEnd w:id="2458"/>
        <w:r>
          <w:rPr>
            <w:vertAlign w:val="baseline"/>
          </w:rPr>
          <w:t>the</w:t>
        </w:r>
        <w:r>
          <w:rPr>
            <w:vertAlign w:val="baseline"/>
          </w:rPr>
          <w:t> Law of Property Act 1925 s.49(2), the Consumer Credit Act 1974 </w:t>
        </w:r>
        <w:hyperlink w:history="true" w:anchor="_bookmark2470">
          <w:r>
            <w:rPr>
              <w:color w:val="005DA1"/>
              <w:u w:val="single" w:color="005DA1"/>
              <w:vertAlign w:val="superscript"/>
            </w:rPr>
            <w:t>1292</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106" name="Image 1106"/>
                <wp:cNvGraphicFramePr>
                  <a:graphicFrameLocks/>
                </wp:cNvGraphicFramePr>
                <a:graphic>
                  <a:graphicData uri="http://schemas.openxmlformats.org/drawingml/2006/picture">
                    <pic:pic>
                      <pic:nvPicPr>
                        <pic:cNvPr id="1106" name="Image 11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40"/>
              <w:vertAlign w:val="baseline"/>
            </w:rPr>
            <w:t> </w:t>
          </w:r>
          <w:r>
            <w:rPr>
              <w:vertAlign w:val="baseline"/>
            </w:rPr>
            <w:t>and the Consumer Rights Act 2015. </w:t>
          </w:r>
          <w:hyperlink w:history="true" w:anchor="_bookmark2471">
            <w:r>
              <w:rPr>
                <w:color w:val="005DA1"/>
                <w:u w:val="single" w:color="005DA1"/>
                <w:vertAlign w:val="superscript"/>
              </w:rPr>
              <w:t>1293</w:t>
            </w:r>
            <w:r>
              <w:rPr>
                <w:color w:val="005DA1"/>
                <w:spacing w:val="80"/>
                <w:vertAlign w:val="baseline"/>
              </w:rPr>
              <w:t> </w:t>
            </w:r>
            <w:r>
              <w:rPr>
                <w:color w:val="005DA1"/>
                <w:position w:val="-2"/>
                <w:vertAlign w:val="baseline"/>
              </w:rPr>
              <w:drawing>
                <wp:inline distT="0" distB="0" distL="0" distR="0">
                  <wp:extent cx="107988" cy="107988"/>
                  <wp:effectExtent l="0" t="0" r="0" b="0"/>
                  <wp:docPr id="1107" name="Image 1107"/>
                  <wp:cNvGraphicFramePr>
                    <a:graphicFrameLocks/>
                  </wp:cNvGraphicFramePr>
                  <a:graphic>
                    <a:graphicData uri="http://schemas.openxmlformats.org/drawingml/2006/picture">
                      <pic:pic>
                        <pic:nvPicPr>
                          <pic:cNvPr id="1107" name="Image 11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hyperlink>
    </w:p>
    <w:p>
      <w:pPr>
        <w:pStyle w:val="BodyText"/>
        <w:spacing w:before="175"/>
        <w:rPr>
          <w:sz w:val="18"/>
        </w:rPr>
      </w:pPr>
    </w:p>
    <w:p>
      <w:pPr>
        <w:spacing w:before="1"/>
        <w:ind w:left="165" w:right="0" w:firstLine="0"/>
        <w:jc w:val="left"/>
        <w:rPr>
          <w:rFonts w:ascii="Arial"/>
          <w:b/>
          <w:sz w:val="18"/>
        </w:rPr>
      </w:pPr>
      <w:r>
        <w:rPr>
          <w:rFonts w:ascii="Arial"/>
          <w:b/>
          <w:sz w:val="18"/>
        </w:rPr>
        <w:t>Recovery of prepayments where no provision for </w:t>
      </w:r>
      <w:r>
        <w:rPr>
          <w:rFonts w:ascii="Arial"/>
          <w:b/>
          <w:spacing w:val="-2"/>
          <w:sz w:val="18"/>
        </w:rPr>
        <w:t>forfeiture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216O</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08" name="Image 1108"/>
            <wp:cNvGraphicFramePr>
              <a:graphicFrameLocks/>
            </wp:cNvGraphicFramePr>
            <a:graphic>
              <a:graphicData uri="http://schemas.openxmlformats.org/drawingml/2006/picture">
                <pic:pic>
                  <pic:nvPicPr>
                    <pic:cNvPr id="1108" name="Image 11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If in a contract of sale there is no express requirement that the buyer must pay a deposit or will, </w:t>
      </w:r>
      <w:r>
        <w:rPr/>
        <w:t>in the event of breach, forfeit sums paid, and the seller terminates the contract upon the buyer’s default, </w:t>
      </w:r>
      <w:bookmarkStart w:name="_bookmark2457" w:id="2459"/>
      <w:bookmarkEnd w:id="2459"/>
      <w:r>
        <w:rPr/>
        <w:t>the</w:t>
      </w:r>
      <w:r>
        <w:rPr>
          <w:spacing w:val="11"/>
        </w:rPr>
        <w:t> </w:t>
      </w:r>
      <w:r>
        <w:rPr/>
        <w:t>buyer</w:t>
      </w:r>
      <w:r>
        <w:rPr>
          <w:spacing w:val="11"/>
        </w:rPr>
        <w:t> </w:t>
      </w:r>
      <w:r>
        <w:rPr/>
        <w:t>may</w:t>
      </w:r>
      <w:r>
        <w:rPr>
          <w:spacing w:val="11"/>
        </w:rPr>
        <w:t> </w:t>
      </w:r>
      <w:r>
        <w:rPr/>
        <w:t>recover</w:t>
      </w:r>
      <w:r>
        <w:rPr>
          <w:spacing w:val="11"/>
        </w:rPr>
        <w:t> </w:t>
      </w:r>
      <w:r>
        <w:rPr/>
        <w:t>any</w:t>
      </w:r>
      <w:r>
        <w:rPr>
          <w:spacing w:val="11"/>
        </w:rPr>
        <w:t> </w:t>
      </w:r>
      <w:r>
        <w:rPr/>
        <w:t>prepayment</w:t>
      </w:r>
      <w:r>
        <w:rPr>
          <w:spacing w:val="11"/>
        </w:rPr>
        <w:t> </w:t>
      </w:r>
      <w:r>
        <w:rPr/>
        <w:t>or</w:t>
      </w:r>
      <w:r>
        <w:rPr>
          <w:spacing w:val="11"/>
        </w:rPr>
        <w:t> </w:t>
      </w:r>
      <w:r>
        <w:rPr/>
        <w:t>instalments</w:t>
      </w:r>
      <w:r>
        <w:rPr>
          <w:spacing w:val="11"/>
        </w:rPr>
        <w:t> </w:t>
      </w:r>
      <w:r>
        <w:rPr/>
        <w:t>paid</w:t>
      </w:r>
      <w:r>
        <w:rPr>
          <w:spacing w:val="11"/>
        </w:rPr>
        <w:t> </w:t>
      </w:r>
      <w:r>
        <w:rPr/>
        <w:t>in</w:t>
      </w:r>
      <w:r>
        <w:rPr>
          <w:spacing w:val="11"/>
        </w:rPr>
        <w:t> </w:t>
      </w:r>
      <w:r>
        <w:rPr/>
        <w:t>part</w:t>
      </w:r>
      <w:r>
        <w:rPr>
          <w:spacing w:val="11"/>
        </w:rPr>
        <w:t> </w:t>
      </w:r>
      <w:r>
        <w:rPr/>
        <w:t>payment</w:t>
      </w:r>
      <w:r>
        <w:rPr>
          <w:spacing w:val="11"/>
        </w:rPr>
        <w:t> </w:t>
      </w:r>
      <w:r>
        <w:rPr/>
        <w:t>of</w:t>
      </w:r>
      <w:r>
        <w:rPr>
          <w:spacing w:val="11"/>
        </w:rPr>
        <w:t> </w:t>
      </w:r>
      <w:r>
        <w:rPr/>
        <w:t>the</w:t>
      </w:r>
      <w:r>
        <w:rPr>
          <w:spacing w:val="11"/>
        </w:rPr>
        <w:t> </w:t>
      </w:r>
      <w:r>
        <w:rPr/>
        <w:t>price,</w:t>
      </w:r>
      <w:r>
        <w:rPr>
          <w:spacing w:val="11"/>
        </w:rPr>
        <w:t> </w:t>
      </w:r>
      <w:r>
        <w:rPr/>
        <w:t>subject</w:t>
      </w:r>
      <w:r>
        <w:rPr>
          <w:spacing w:val="11"/>
        </w:rPr>
        <w:t> </w:t>
      </w:r>
      <w:r>
        <w:rPr/>
        <w:t>to</w:t>
      </w:r>
      <w:r>
        <w:rPr>
          <w:spacing w:val="11"/>
        </w:rPr>
        <w:t> </w:t>
      </w:r>
      <w:r>
        <w:rPr>
          <w:spacing w:val="-10"/>
        </w:rPr>
        <w:t>a</w:t>
      </w:r>
    </w:p>
    <w:p>
      <w:pPr>
        <w:pStyle w:val="BodyText"/>
        <w:spacing w:before="116"/>
        <w:ind w:left="165"/>
        <w:jc w:val="both"/>
        <w:rPr>
          <w:rFonts w:ascii="Arial"/>
          <w:i/>
        </w:rPr>
      </w:pPr>
      <w:bookmarkStart w:name="_bookmark2458" w:id="2460"/>
      <w:bookmarkEnd w:id="2460"/>
      <w:r>
        <w:rPr/>
      </w:r>
      <w:r>
        <w:rPr/>
        <w:t>cross-claim</w:t>
      </w:r>
      <w:r>
        <w:rPr>
          <w:spacing w:val="14"/>
        </w:rPr>
        <w:t> </w:t>
      </w:r>
      <w:r>
        <w:rPr/>
        <w:t>by</w:t>
      </w:r>
      <w:r>
        <w:rPr>
          <w:spacing w:val="15"/>
        </w:rPr>
        <w:t> </w:t>
      </w:r>
      <w:r>
        <w:rPr/>
        <w:t>the</w:t>
      </w:r>
      <w:r>
        <w:rPr>
          <w:spacing w:val="15"/>
        </w:rPr>
        <w:t> </w:t>
      </w:r>
      <w:r>
        <w:rPr/>
        <w:t>seller</w:t>
      </w:r>
      <w:r>
        <w:rPr>
          <w:spacing w:val="15"/>
        </w:rPr>
        <w:t> </w:t>
      </w:r>
      <w:r>
        <w:rPr/>
        <w:t>for</w:t>
      </w:r>
      <w:r>
        <w:rPr>
          <w:spacing w:val="15"/>
        </w:rPr>
        <w:t> </w:t>
      </w:r>
      <w:r>
        <w:rPr/>
        <w:t>damages</w:t>
      </w:r>
      <w:r>
        <w:rPr>
          <w:spacing w:val="15"/>
        </w:rPr>
        <w:t> </w:t>
      </w:r>
      <w:r>
        <w:rPr/>
        <w:t>for</w:t>
      </w:r>
      <w:r>
        <w:rPr>
          <w:spacing w:val="14"/>
        </w:rPr>
        <w:t> </w:t>
      </w:r>
      <w:r>
        <w:rPr/>
        <w:t>the</w:t>
      </w:r>
      <w:r>
        <w:rPr>
          <w:spacing w:val="15"/>
        </w:rPr>
        <w:t> </w:t>
      </w:r>
      <w:r>
        <w:rPr/>
        <w:t>breach</w:t>
      </w:r>
      <w:r>
        <w:rPr>
          <w:spacing w:val="15"/>
        </w:rPr>
        <w:t> </w:t>
      </w:r>
      <w:r>
        <w:rPr/>
        <w:t>of</w:t>
      </w:r>
      <w:r>
        <w:rPr>
          <w:spacing w:val="15"/>
        </w:rPr>
        <w:t> </w:t>
      </w:r>
      <w:r>
        <w:rPr/>
        <w:t>contract.</w:t>
      </w:r>
      <w:r>
        <w:rPr>
          <w:spacing w:val="14"/>
        </w:rPr>
        <w:t> </w:t>
      </w:r>
      <w:hyperlink w:history="true" w:anchor="_bookmark2472">
        <w:r>
          <w:rPr>
            <w:color w:val="005DA1"/>
            <w:u w:val="single" w:color="005DA1"/>
            <w:vertAlign w:val="superscript"/>
          </w:rPr>
          <w:t>1294</w:t>
        </w:r>
        <w:r>
          <w:rPr>
            <w:color w:val="005DA1"/>
            <w:spacing w:val="50"/>
            <w:vertAlign w:val="baseline"/>
          </w:rPr>
          <w:t>  </w:t>
        </w:r>
        <w:r>
          <w:rPr>
            <w:color w:val="005DA1"/>
            <w:spacing w:val="-7"/>
            <w:position w:val="-2"/>
            <w:vertAlign w:val="baseline"/>
          </w:rPr>
          <w:drawing>
            <wp:inline distT="0" distB="0" distL="0" distR="0">
              <wp:extent cx="107988" cy="107988"/>
              <wp:effectExtent l="0" t="0" r="0" b="0"/>
              <wp:docPr id="1109" name="Image 1109"/>
              <wp:cNvGraphicFramePr>
                <a:graphicFrameLocks/>
              </wp:cNvGraphicFramePr>
              <a:graphic>
                <a:graphicData uri="http://schemas.openxmlformats.org/drawingml/2006/picture">
                  <pic:pic>
                    <pic:nvPicPr>
                      <pic:cNvPr id="1109" name="Image 11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28"/>
            <w:vertAlign w:val="baseline"/>
          </w:rPr>
          <w:t> </w:t>
        </w:r>
        <w:r>
          <w:rPr>
            <w:vertAlign w:val="baseline"/>
          </w:rPr>
          <w:t>Thus,</w:t>
        </w:r>
        <w:r>
          <w:rPr>
            <w:spacing w:val="14"/>
            <w:vertAlign w:val="baseline"/>
          </w:rPr>
          <w:t> </w:t>
        </w:r>
        <w:r>
          <w:rPr>
            <w:vertAlign w:val="baseline"/>
          </w:rPr>
          <w:t>in</w:t>
        </w:r>
        <w:r>
          <w:rPr>
            <w:spacing w:val="15"/>
            <w:vertAlign w:val="baseline"/>
          </w:rPr>
          <w:t> </w:t>
        </w:r>
        <w:r>
          <w:rPr>
            <w:rFonts w:ascii="Arial"/>
            <w:i/>
            <w:vertAlign w:val="baseline"/>
          </w:rPr>
          <w:t>Dies</w:t>
        </w:r>
        <w:r>
          <w:rPr>
            <w:rFonts w:ascii="Arial"/>
            <w:i/>
            <w:spacing w:val="15"/>
            <w:vertAlign w:val="baseline"/>
          </w:rPr>
          <w:t> </w:t>
        </w:r>
        <w:r>
          <w:rPr>
            <w:rFonts w:ascii="Arial"/>
            <w:i/>
            <w:vertAlign w:val="baseline"/>
          </w:rPr>
          <w:t>v</w:t>
        </w:r>
        <w:r>
          <w:rPr>
            <w:rFonts w:ascii="Arial"/>
            <w:i/>
            <w:spacing w:val="15"/>
            <w:vertAlign w:val="baseline"/>
          </w:rPr>
          <w:t> </w:t>
        </w:r>
        <w:r>
          <w:rPr>
            <w:rFonts w:ascii="Arial"/>
            <w:i/>
            <w:vertAlign w:val="baseline"/>
          </w:rPr>
          <w:t>British</w:t>
        </w:r>
        <w:r>
          <w:rPr>
            <w:rFonts w:ascii="Arial"/>
            <w:i/>
            <w:spacing w:val="15"/>
            <w:vertAlign w:val="baseline"/>
          </w:rPr>
          <w:t> </w:t>
        </w:r>
        <w:r>
          <w:rPr>
            <w:rFonts w:ascii="Arial"/>
            <w:i/>
            <w:spacing w:val="-5"/>
            <w:vertAlign w:val="baseline"/>
          </w:rPr>
          <w:t>and</w:t>
        </w:r>
      </w:hyperlink>
    </w:p>
    <w:p>
      <w:pPr>
        <w:pStyle w:val="BodyText"/>
        <w:spacing w:line="235" w:lineRule="auto" w:before="118"/>
        <w:ind w:left="165" w:right="167"/>
        <w:jc w:val="both"/>
      </w:pPr>
      <w:r>
        <w:rPr>
          <w:rFonts w:ascii="Arial"/>
          <w:i/>
        </w:rPr>
        <w:t>International Mining and Finance Corp Ltd</w:t>
      </w:r>
      <w:r>
        <w:rPr/>
        <w:t>, </w:t>
      </w:r>
      <w:hyperlink w:history="true" w:anchor="_bookmark2473">
        <w:r>
          <w:rPr>
            <w:color w:val="005DA1"/>
            <w:u w:val="single" w:color="005DA1"/>
            <w:vertAlign w:val="superscript"/>
          </w:rPr>
          <w:t>1295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110" name="Image 1110"/>
              <wp:cNvGraphicFramePr>
                <a:graphicFrameLocks/>
              </wp:cNvGraphicFramePr>
              <a:graphic>
                <a:graphicData uri="http://schemas.openxmlformats.org/drawingml/2006/picture">
                  <pic:pic>
                    <pic:nvPicPr>
                      <pic:cNvPr id="1110" name="Image 1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5"/>
            <w:vertAlign w:val="baseline"/>
          </w:rPr>
          <w:t> </w:t>
        </w:r>
        <w:r>
          <w:rPr>
            <w:vertAlign w:val="baseline"/>
          </w:rPr>
          <w:t>where a buyer repudiated his contract to purchase goods, he was nevertheless held to be entitled to recover a substantial prepayment (not in the </w:t>
        </w:r>
        <w:r>
          <w:rPr>
            <w:vertAlign w:val="baseline"/>
          </w:rPr>
          <w:t>nature of a deposit) made by him, subject to a deduction in respect of the actual damage suffered by the </w:t>
        </w:r>
        <w:bookmarkStart w:name="_bookmark2459" w:id="2461"/>
        <w:bookmarkEnd w:id="2461"/>
        <w:r>
          <w:rPr>
            <w:vertAlign w:val="baseline"/>
          </w:rPr>
          <w:t>seller</w:t>
        </w:r>
        <w:r>
          <w:rPr>
            <w:spacing w:val="22"/>
            <w:vertAlign w:val="baseline"/>
          </w:rPr>
          <w:t> </w:t>
        </w:r>
        <w:r>
          <w:rPr>
            <w:vertAlign w:val="baseline"/>
          </w:rPr>
          <w:t>through</w:t>
        </w:r>
        <w:r>
          <w:rPr>
            <w:spacing w:val="22"/>
            <w:vertAlign w:val="baseline"/>
          </w:rPr>
          <w:t> </w:t>
        </w:r>
        <w:r>
          <w:rPr>
            <w:vertAlign w:val="baseline"/>
          </w:rPr>
          <w:t>the</w:t>
        </w:r>
        <w:r>
          <w:rPr>
            <w:spacing w:val="22"/>
            <w:vertAlign w:val="baseline"/>
          </w:rPr>
          <w:t> </w:t>
        </w:r>
        <w:r>
          <w:rPr>
            <w:vertAlign w:val="baseline"/>
          </w:rPr>
          <w:t>breach</w:t>
        </w:r>
        <w:r>
          <w:rPr>
            <w:spacing w:val="22"/>
            <w:vertAlign w:val="baseline"/>
          </w:rPr>
          <w:t> </w:t>
        </w:r>
        <w:r>
          <w:rPr>
            <w:vertAlign w:val="baseline"/>
          </w:rPr>
          <w:t>of</w:t>
        </w:r>
        <w:r>
          <w:rPr>
            <w:spacing w:val="22"/>
            <w:vertAlign w:val="baseline"/>
          </w:rPr>
          <w:t> </w:t>
        </w:r>
        <w:r>
          <w:rPr>
            <w:vertAlign w:val="baseline"/>
          </w:rPr>
          <w:t>contract:</w:t>
        </w:r>
        <w:r>
          <w:rPr>
            <w:spacing w:val="22"/>
            <w:vertAlign w:val="baseline"/>
          </w:rPr>
          <w:t> </w:t>
        </w:r>
        <w:r>
          <w:rPr>
            <w:vertAlign w:val="baseline"/>
          </w:rPr>
          <w:t>the</w:t>
        </w:r>
        <w:r>
          <w:rPr>
            <w:spacing w:val="22"/>
            <w:vertAlign w:val="baseline"/>
          </w:rPr>
          <w:t> </w:t>
        </w:r>
        <w:r>
          <w:rPr>
            <w:vertAlign w:val="baseline"/>
          </w:rPr>
          <w:t>court</w:t>
        </w:r>
        <w:r>
          <w:rPr>
            <w:spacing w:val="22"/>
            <w:vertAlign w:val="baseline"/>
          </w:rPr>
          <w:t> </w:t>
        </w:r>
        <w:r>
          <w:rPr>
            <w:vertAlign w:val="baseline"/>
          </w:rPr>
          <w:t>held</w:t>
        </w:r>
        <w:r>
          <w:rPr>
            <w:spacing w:val="22"/>
            <w:vertAlign w:val="baseline"/>
          </w:rPr>
          <w:t> </w:t>
        </w:r>
        <w:r>
          <w:rPr>
            <w:vertAlign w:val="baseline"/>
          </w:rPr>
          <w:t>that</w:t>
        </w:r>
        <w:r>
          <w:rPr>
            <w:spacing w:val="22"/>
            <w:vertAlign w:val="baseline"/>
          </w:rPr>
          <w:t> </w:t>
        </w:r>
        <w:r>
          <w:rPr>
            <w:vertAlign w:val="baseline"/>
          </w:rPr>
          <w:t>if</w:t>
        </w:r>
        <w:r>
          <w:rPr>
            <w:spacing w:val="22"/>
            <w:vertAlign w:val="baseline"/>
          </w:rPr>
          <w:t> </w:t>
        </w:r>
        <w:r>
          <w:rPr>
            <w:vertAlign w:val="baseline"/>
          </w:rPr>
          <w:t>it</w:t>
        </w:r>
        <w:r>
          <w:rPr>
            <w:spacing w:val="22"/>
            <w:vertAlign w:val="baseline"/>
          </w:rPr>
          <w:t> </w:t>
        </w:r>
        <w:r>
          <w:rPr>
            <w:vertAlign w:val="baseline"/>
          </w:rPr>
          <w:t>permitted</w:t>
        </w:r>
        <w:r>
          <w:rPr>
            <w:spacing w:val="22"/>
            <w:vertAlign w:val="baseline"/>
          </w:rPr>
          <w:t> </w:t>
        </w:r>
        <w:r>
          <w:rPr>
            <w:vertAlign w:val="baseline"/>
          </w:rPr>
          <w:t>the</w:t>
        </w:r>
        <w:r>
          <w:rPr>
            <w:spacing w:val="22"/>
            <w:vertAlign w:val="baseline"/>
          </w:rPr>
          <w:t> </w:t>
        </w:r>
        <w:r>
          <w:rPr>
            <w:vertAlign w:val="baseline"/>
          </w:rPr>
          <w:t>whole</w:t>
        </w:r>
        <w:r>
          <w:rPr>
            <w:spacing w:val="22"/>
            <w:vertAlign w:val="baseline"/>
          </w:rPr>
          <w:t> </w:t>
        </w:r>
        <w:r>
          <w:rPr>
            <w:vertAlign w:val="baseline"/>
          </w:rPr>
          <w:t>prepayment</w:t>
        </w:r>
        <w:r>
          <w:rPr>
            <w:spacing w:val="22"/>
            <w:vertAlign w:val="baseline"/>
          </w:rPr>
          <w:t> </w:t>
        </w:r>
        <w:r>
          <w:rPr>
            <w:vertAlign w:val="baseline"/>
          </w:rPr>
          <w:t>to</w:t>
        </w:r>
        <w:r>
          <w:rPr>
            <w:spacing w:val="22"/>
            <w:vertAlign w:val="baseline"/>
          </w:rPr>
          <w:t> </w:t>
        </w:r>
        <w:r>
          <w:rPr>
            <w:spacing w:val="-5"/>
            <w:vertAlign w:val="baseline"/>
          </w:rPr>
          <w:t>be</w:t>
        </w:r>
      </w:hyperlink>
    </w:p>
    <w:p>
      <w:pPr>
        <w:pStyle w:val="BodyText"/>
        <w:spacing w:before="115"/>
        <w:ind w:left="165"/>
        <w:jc w:val="both"/>
        <w:rPr>
          <w:position w:val="-2"/>
        </w:rPr>
      </w:pPr>
      <w:bookmarkStart w:name="_bookmark2460" w:id="2462"/>
      <w:bookmarkEnd w:id="2462"/>
      <w:r>
        <w:rPr/>
      </w:r>
      <w:r>
        <w:rPr/>
        <w:t>retained by the seller, it would be permitting the retention of a penalty, not liquidated damages. </w:t>
      </w:r>
      <w:hyperlink w:history="true" w:anchor="_bookmark2474">
        <w:r>
          <w:rPr>
            <w:color w:val="005DA1"/>
            <w:u w:val="single" w:color="005DA1"/>
            <w:vertAlign w:val="superscript"/>
          </w:rPr>
          <w:t>1296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11" name="Image 1111"/>
              <wp:cNvGraphicFramePr>
                <a:graphicFrameLocks/>
              </wp:cNvGraphicFramePr>
              <a:graphic>
                <a:graphicData uri="http://schemas.openxmlformats.org/drawingml/2006/picture">
                  <pic:pic>
                    <pic:nvPicPr>
                      <pic:cNvPr id="1111" name="Image 11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line="235" w:lineRule="auto" w:before="119"/>
        <w:ind w:left="165" w:right="167"/>
        <w:jc w:val="both"/>
      </w:pPr>
      <w:r>
        <w:rPr/>
        <w:t>This decision has been distinguished by two of their Lordships in the House of Lords </w:t>
      </w:r>
      <w:hyperlink w:history="true" w:anchor="_bookmark2475">
        <w:r>
          <w:rPr>
            <w:color w:val="005DA1"/>
            <w:u w:val="single" w:color="005DA1"/>
            <w:vertAlign w:val="superscript"/>
          </w:rPr>
          <w:t>1297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112" name="Image 1112"/>
              <wp:cNvGraphicFramePr>
                <a:graphicFrameLocks/>
              </wp:cNvGraphicFramePr>
              <a:graphic>
                <a:graphicData uri="http://schemas.openxmlformats.org/drawingml/2006/picture">
                  <pic:pic>
                    <pic:nvPicPr>
                      <pic:cNvPr id="1112" name="Image 11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on </w:t>
        </w:r>
        <w:r>
          <w:rPr>
            <w:vertAlign w:val="baseline"/>
          </w:rPr>
          <w:t>the </w:t>
        </w:r>
        <w:bookmarkStart w:name="_bookmark2461" w:id="2463"/>
        <w:bookmarkEnd w:id="2463"/>
        <w:r>
          <w:rPr>
            <w:vertAlign w:val="baseline"/>
          </w:rPr>
          <w:t>ground</w:t>
        </w:r>
        <w:r>
          <w:rPr>
            <w:spacing w:val="13"/>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concerned</w:t>
        </w:r>
        <w:r>
          <w:rPr>
            <w:spacing w:val="13"/>
            <w:vertAlign w:val="baseline"/>
          </w:rPr>
          <w:t> </w:t>
        </w:r>
        <w:r>
          <w:rPr>
            <w:vertAlign w:val="baseline"/>
          </w:rPr>
          <w:t>a</w:t>
        </w:r>
        <w:r>
          <w:rPr>
            <w:spacing w:val="13"/>
            <w:vertAlign w:val="baseline"/>
          </w:rPr>
          <w:t> </w:t>
        </w:r>
        <w:r>
          <w:rPr>
            <w:vertAlign w:val="baseline"/>
          </w:rPr>
          <w:t>sale</w:t>
        </w:r>
        <w:r>
          <w:rPr>
            <w:spacing w:val="13"/>
            <w:vertAlign w:val="baseline"/>
          </w:rPr>
          <w:t> </w:t>
        </w:r>
        <w:r>
          <w:rPr>
            <w:vertAlign w:val="baseline"/>
          </w:rPr>
          <w:t>of</w:t>
        </w:r>
        <w:r>
          <w:rPr>
            <w:spacing w:val="13"/>
            <w:vertAlign w:val="baseline"/>
          </w:rPr>
          <w:t> </w:t>
        </w:r>
        <w:r>
          <w:rPr>
            <w:vertAlign w:val="baseline"/>
          </w:rPr>
          <w:t>existing</w:t>
        </w:r>
        <w:r>
          <w:rPr>
            <w:spacing w:val="13"/>
            <w:vertAlign w:val="baseline"/>
          </w:rPr>
          <w:t> </w:t>
        </w:r>
        <w:r>
          <w:rPr>
            <w:vertAlign w:val="baseline"/>
          </w:rPr>
          <w:t>goods</w:t>
        </w:r>
        <w:r>
          <w:rPr>
            <w:spacing w:val="13"/>
            <w:vertAlign w:val="baseline"/>
          </w:rPr>
          <w:t> </w:t>
        </w:r>
        <w:r>
          <w:rPr>
            <w:vertAlign w:val="baseline"/>
          </w:rPr>
          <w:t>where</w:t>
        </w:r>
        <w:r>
          <w:rPr>
            <w:spacing w:val="13"/>
            <w:vertAlign w:val="baseline"/>
          </w:rPr>
          <w:t> </w:t>
        </w:r>
        <w:r>
          <w:rPr>
            <w:vertAlign w:val="baseline"/>
          </w:rPr>
          <w:t>no</w:t>
        </w:r>
        <w:r>
          <w:rPr>
            <w:spacing w:val="13"/>
            <w:vertAlign w:val="baseline"/>
          </w:rPr>
          <w:t> </w:t>
        </w:r>
        <w:r>
          <w:rPr>
            <w:vertAlign w:val="baseline"/>
          </w:rPr>
          <w:t>expenditure</w:t>
        </w:r>
        <w:r>
          <w:rPr>
            <w:spacing w:val="13"/>
            <w:vertAlign w:val="baseline"/>
          </w:rPr>
          <w:t> </w:t>
        </w:r>
        <w:r>
          <w:rPr>
            <w:vertAlign w:val="baseline"/>
          </w:rPr>
          <w:t>was</w:t>
        </w:r>
        <w:r>
          <w:rPr>
            <w:spacing w:val="13"/>
            <w:vertAlign w:val="baseline"/>
          </w:rPr>
          <w:t> </w:t>
        </w:r>
        <w:r>
          <w:rPr>
            <w:vertAlign w:val="baseline"/>
          </w:rPr>
          <w:t>intended</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spacing w:val="-2"/>
            <w:vertAlign w:val="baseline"/>
          </w:rPr>
          <w:t>incurred</w:t>
        </w:r>
      </w:hyperlink>
    </w:p>
    <w:p>
      <w:pPr>
        <w:pStyle w:val="BodyText"/>
        <w:spacing w:line="235" w:lineRule="auto" w:before="119"/>
        <w:ind w:left="165" w:right="167"/>
        <w:jc w:val="both"/>
      </w:pPr>
      <w:r>
        <w:rPr/>
        <w:t>by the seller in reliance on the advance payment. It has been persuasively argued </w:t>
      </w:r>
      <w:hyperlink w:history="true" w:anchor="_bookmark2476">
        <w:r>
          <w:rPr>
            <w:color w:val="005DA1"/>
            <w:u w:val="single" w:color="005DA1"/>
            <w:vertAlign w:val="superscript"/>
          </w:rPr>
          <w:t>1298</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113" name="Image 1113"/>
              <wp:cNvGraphicFramePr>
                <a:graphicFrameLocks/>
              </wp:cNvGraphicFramePr>
              <a:graphic>
                <a:graphicData uri="http://schemas.openxmlformats.org/drawingml/2006/picture">
                  <pic:pic>
                    <pic:nvPicPr>
                      <pic:cNvPr id="1113" name="Image 11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that the question</w:t>
        </w:r>
        <w:r>
          <w:rPr>
            <w:spacing w:val="46"/>
            <w:vertAlign w:val="baseline"/>
          </w:rPr>
          <w:t> </w:t>
        </w:r>
        <w:r>
          <w:rPr>
            <w:vertAlign w:val="baseline"/>
          </w:rPr>
          <w:t>should</w:t>
        </w:r>
        <w:r>
          <w:rPr>
            <w:spacing w:val="46"/>
            <w:vertAlign w:val="baseline"/>
          </w:rPr>
          <w:t> </w:t>
        </w:r>
        <w:r>
          <w:rPr>
            <w:vertAlign w:val="baseline"/>
          </w:rPr>
          <w:t>depend</w:t>
        </w:r>
        <w:r>
          <w:rPr>
            <w:spacing w:val="46"/>
            <w:vertAlign w:val="baseline"/>
          </w:rPr>
          <w:t> </w:t>
        </w:r>
        <w:r>
          <w:rPr>
            <w:vertAlign w:val="baseline"/>
          </w:rPr>
          <w:t>on</w:t>
        </w:r>
        <w:r>
          <w:rPr>
            <w:spacing w:val="46"/>
            <w:vertAlign w:val="baseline"/>
          </w:rPr>
          <w:t> </w:t>
        </w:r>
        <w:r>
          <w:rPr>
            <w:vertAlign w:val="baseline"/>
          </w:rPr>
          <w:t>the</w:t>
        </w:r>
        <w:r>
          <w:rPr>
            <w:spacing w:val="46"/>
            <w:vertAlign w:val="baseline"/>
          </w:rPr>
          <w:t> </w:t>
        </w:r>
        <w:r>
          <w:rPr>
            <w:vertAlign w:val="baseline"/>
          </w:rPr>
          <w:t>construction</w:t>
        </w:r>
        <w:r>
          <w:rPr>
            <w:spacing w:val="46"/>
            <w:vertAlign w:val="baseline"/>
          </w:rPr>
          <w:t> </w:t>
        </w:r>
        <w:r>
          <w:rPr>
            <w:vertAlign w:val="baseline"/>
          </w:rPr>
          <w:t>of</w:t>
        </w:r>
        <w:r>
          <w:rPr>
            <w:spacing w:val="46"/>
            <w:vertAlign w:val="baseline"/>
          </w:rPr>
          <w:t> </w:t>
        </w:r>
        <w:r>
          <w:rPr>
            <w:vertAlign w:val="baseline"/>
          </w:rPr>
          <w:t>the</w:t>
        </w:r>
        <w:r>
          <w:rPr>
            <w:spacing w:val="46"/>
            <w:vertAlign w:val="baseline"/>
          </w:rPr>
          <w:t> </w:t>
        </w:r>
        <w:r>
          <w:rPr>
            <w:vertAlign w:val="baseline"/>
          </w:rPr>
          <w:t>clause</w:t>
        </w:r>
        <w:r>
          <w:rPr>
            <w:spacing w:val="46"/>
            <w:vertAlign w:val="baseline"/>
          </w:rPr>
          <w:t> </w:t>
        </w:r>
        <w:r>
          <w:rPr>
            <w:vertAlign w:val="baseline"/>
          </w:rPr>
          <w:t>in</w:t>
        </w:r>
        <w:r>
          <w:rPr>
            <w:spacing w:val="46"/>
            <w:vertAlign w:val="baseline"/>
          </w:rPr>
          <w:t> </w:t>
        </w:r>
        <w:r>
          <w:rPr>
            <w:vertAlign w:val="baseline"/>
          </w:rPr>
          <w:t>the</w:t>
        </w:r>
        <w:r>
          <w:rPr>
            <w:spacing w:val="46"/>
            <w:vertAlign w:val="baseline"/>
          </w:rPr>
          <w:t> </w:t>
        </w:r>
        <w:r>
          <w:rPr>
            <w:vertAlign w:val="baseline"/>
          </w:rPr>
          <w:t>contract</w:t>
        </w:r>
        <w:r>
          <w:rPr>
            <w:spacing w:val="46"/>
            <w:vertAlign w:val="baseline"/>
          </w:rPr>
          <w:t> </w:t>
        </w:r>
        <w:r>
          <w:rPr>
            <w:vertAlign w:val="baseline"/>
          </w:rPr>
          <w:t>requiring</w:t>
        </w:r>
        <w:r>
          <w:rPr>
            <w:spacing w:val="46"/>
            <w:vertAlign w:val="baseline"/>
          </w:rPr>
          <w:t> </w:t>
        </w:r>
        <w:r>
          <w:rPr>
            <w:vertAlign w:val="baseline"/>
          </w:rPr>
          <w:t>the</w:t>
        </w:r>
        <w:r>
          <w:rPr>
            <w:spacing w:val="46"/>
            <w:vertAlign w:val="baseline"/>
          </w:rPr>
          <w:t> </w:t>
        </w:r>
        <w:r>
          <w:rPr>
            <w:spacing w:val="-2"/>
            <w:vertAlign w:val="baseline"/>
          </w:rPr>
          <w:t>advance</w:t>
        </w:r>
      </w:hyperlink>
    </w:p>
    <w:p>
      <w:pPr>
        <w:sectPr>
          <w:pgSz w:w="11900" w:h="16840"/>
          <w:pgMar w:header="971" w:footer="0" w:top="1300" w:bottom="280" w:left="1275" w:right="1275"/>
        </w:sectPr>
      </w:pPr>
    </w:p>
    <w:p>
      <w:pPr>
        <w:pStyle w:val="BodyText"/>
        <w:spacing w:line="235" w:lineRule="auto" w:before="110"/>
        <w:ind w:left="165" w:right="167"/>
        <w:jc w:val="both"/>
      </w:pPr>
      <w:r>
        <w:rPr/>
        <w:t>payment: was the right to retain the payment intended to be conditional upon performance by the payee of his obligations, or was it intended to be a security for performance of the payer’s</w:t>
      </w:r>
      <w:r>
        <w:rPr>
          <w:spacing w:val="80"/>
        </w:rPr>
        <w:t> </w:t>
      </w:r>
      <w:r>
        <w:rPr>
          <w:spacing w:val="-2"/>
        </w:rPr>
        <w:t>obligations?</w:t>
      </w:r>
    </w:p>
    <w:p>
      <w:pPr>
        <w:pStyle w:val="BodyText"/>
      </w:pPr>
    </w:p>
    <w:p>
      <w:pPr>
        <w:pStyle w:val="BodyText"/>
        <w:spacing w:before="39"/>
      </w:pPr>
      <w:r>
        <w:rPr/>
        <mc:AlternateContent>
          <mc:Choice Requires="wps">
            <w:drawing>
              <wp:anchor distT="0" distB="0" distL="0" distR="0" allowOverlap="1" layoutInCell="1" locked="0" behindDoc="1" simplePos="0" relativeHeight="487732736">
                <wp:simplePos x="0" y="0"/>
                <wp:positionH relativeFrom="page">
                  <wp:posOffset>914400</wp:posOffset>
                </wp:positionH>
                <wp:positionV relativeFrom="paragraph">
                  <wp:posOffset>186213</wp:posOffset>
                </wp:positionV>
                <wp:extent cx="5724525" cy="1270"/>
                <wp:effectExtent l="0" t="0" r="0" b="0"/>
                <wp:wrapTopAndBottom/>
                <wp:docPr id="1115" name="Graphic 1115"/>
                <wp:cNvGraphicFramePr>
                  <a:graphicFrameLocks/>
                </wp:cNvGraphicFramePr>
                <a:graphic>
                  <a:graphicData uri="http://schemas.microsoft.com/office/word/2010/wordprocessingShape">
                    <wps:wsp>
                      <wps:cNvPr id="1115" name="Graphic 11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2488pt;width:450.75pt;height:.1pt;mso-position-horizontal-relative:page;mso-position-vertical-relative:paragraph;z-index:-15583744;mso-wrap-distance-left:0;mso-wrap-distance-right:0" id="docshape111" coordorigin="1440,293" coordsize="9015,0" path="m1440,293l10454,293e" filled="false" stroked="true" strokeweight="1pt" strokecolor="#000000">
                <v:path arrowok="t"/>
                <v:stroke dashstyle="solid"/>
                <w10:wrap type="topAndBottom"/>
              </v:shape>
            </w:pict>
          </mc:Fallback>
        </mc:AlternateContent>
      </w:r>
    </w:p>
    <w:p>
      <w:pPr>
        <w:pStyle w:val="BodyText"/>
        <w:spacing w:before="221"/>
      </w:pPr>
    </w:p>
    <w:p>
      <w:pPr>
        <w:pStyle w:val="BodyText"/>
        <w:spacing w:line="235" w:lineRule="auto"/>
        <w:ind w:left="705" w:right="167" w:hanging="541"/>
        <w:jc w:val="both"/>
      </w:pPr>
      <w:bookmarkStart w:name="_bookmark2462" w:id="2464"/>
      <w:bookmarkEnd w:id="2464"/>
      <w:r>
        <w:rPr/>
      </w:r>
      <w:hyperlink w:history="true" w:anchor="_bookmark2447">
        <w:r>
          <w:rPr>
            <w:color w:val="005DA1"/>
            <w:u w:val="single" w:color="005DA1"/>
            <w:vertAlign w:val="superscript"/>
          </w:rPr>
          <w:t>1284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116" name="Image 1116"/>
            <wp:cNvGraphicFramePr>
              <a:graphicFrameLocks/>
            </wp:cNvGraphicFramePr>
            <a:graphic>
              <a:graphicData uri="http://schemas.openxmlformats.org/drawingml/2006/picture">
                <pic:pic>
                  <pic:nvPicPr>
                    <pic:cNvPr id="1116" name="Image 11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Goff and Jones, </w:t>
      </w:r>
      <w:r>
        <w:rPr>
          <w:rFonts w:ascii="Arial" w:hAnsi="Arial"/>
          <w:i/>
          <w:vertAlign w:val="baseline"/>
        </w:rPr>
        <w:t>The Law of Unjust Enrichment</w:t>
      </w:r>
      <w:r>
        <w:rPr>
          <w:vertAlign w:val="baseline"/>
        </w:rPr>
        <w:t>, 9th edn (2016), Ch.14; McGregor on Damages, 19th edn (2014), paras 15–096 et seq.; the Law Commission, Working Paper No.61 (1975)</w:t>
      </w:r>
      <w:r>
        <w:rPr>
          <w:spacing w:val="-1"/>
          <w:vertAlign w:val="baseline"/>
        </w:rPr>
        <w:t> </w:t>
      </w:r>
      <w:r>
        <w:rPr>
          <w:vertAlign w:val="baseline"/>
        </w:rPr>
        <w:t>(“Penalty</w:t>
      </w:r>
      <w:r>
        <w:rPr>
          <w:spacing w:val="-1"/>
          <w:vertAlign w:val="baseline"/>
        </w:rPr>
        <w:t> </w:t>
      </w:r>
      <w:r>
        <w:rPr>
          <w:vertAlign w:val="baseline"/>
        </w:rPr>
        <w:t>Clauses</w:t>
      </w:r>
      <w:r>
        <w:rPr>
          <w:spacing w:val="-1"/>
          <w:vertAlign w:val="baseline"/>
        </w:rPr>
        <w:t> </w:t>
      </w:r>
      <w:r>
        <w:rPr>
          <w:vertAlign w:val="baseline"/>
        </w:rPr>
        <w:t>and</w:t>
      </w:r>
      <w:r>
        <w:rPr>
          <w:spacing w:val="-1"/>
          <w:vertAlign w:val="baseline"/>
        </w:rPr>
        <w:t> </w:t>
      </w:r>
      <w:r>
        <w:rPr>
          <w:vertAlign w:val="baseline"/>
        </w:rPr>
        <w:t>Forfeiture</w:t>
      </w:r>
      <w:r>
        <w:rPr>
          <w:spacing w:val="-1"/>
          <w:vertAlign w:val="baseline"/>
        </w:rPr>
        <w:t> </w:t>
      </w:r>
      <w:r>
        <w:rPr>
          <w:vertAlign w:val="baseline"/>
        </w:rPr>
        <w:t>of</w:t>
      </w:r>
      <w:r>
        <w:rPr>
          <w:spacing w:val="-1"/>
          <w:vertAlign w:val="baseline"/>
        </w:rPr>
        <w:t> </w:t>
      </w:r>
      <w:r>
        <w:rPr>
          <w:vertAlign w:val="baseline"/>
        </w:rPr>
        <w:t>Moneys</w:t>
      </w:r>
      <w:r>
        <w:rPr>
          <w:spacing w:val="-1"/>
          <w:vertAlign w:val="baseline"/>
        </w:rPr>
        <w:t> </w:t>
      </w:r>
      <w:r>
        <w:rPr>
          <w:vertAlign w:val="baseline"/>
        </w:rPr>
        <w:t>Paid”),</w:t>
      </w:r>
      <w:r>
        <w:rPr>
          <w:spacing w:val="-1"/>
          <w:vertAlign w:val="baseline"/>
        </w:rPr>
        <w:t> </w:t>
      </w:r>
      <w:r>
        <w:rPr>
          <w:vertAlign w:val="baseline"/>
        </w:rPr>
        <w:t>paras</w:t>
      </w:r>
      <w:r>
        <w:rPr>
          <w:spacing w:val="-1"/>
          <w:vertAlign w:val="baseline"/>
        </w:rPr>
        <w:t> </w:t>
      </w:r>
      <w:r>
        <w:rPr>
          <w:vertAlign w:val="baseline"/>
        </w:rPr>
        <w:t>50,</w:t>
      </w:r>
      <w:r>
        <w:rPr>
          <w:spacing w:val="-1"/>
          <w:vertAlign w:val="baseline"/>
        </w:rPr>
        <w:t> </w:t>
      </w:r>
      <w:r>
        <w:rPr>
          <w:vertAlign w:val="baseline"/>
        </w:rPr>
        <w:t>65,</w:t>
      </w:r>
      <w:r>
        <w:rPr>
          <w:spacing w:val="-1"/>
          <w:vertAlign w:val="baseline"/>
        </w:rPr>
        <w:t> </w:t>
      </w:r>
      <w:r>
        <w:rPr>
          <w:vertAlign w:val="baseline"/>
        </w:rPr>
        <w:t>66;</w:t>
      </w:r>
      <w:r>
        <w:rPr>
          <w:spacing w:val="-1"/>
          <w:vertAlign w:val="baseline"/>
        </w:rPr>
        <w:t> </w:t>
      </w:r>
      <w:r>
        <w:rPr>
          <w:vertAlign w:val="baseline"/>
        </w:rPr>
        <w:t>Smith</w:t>
      </w:r>
      <w:r>
        <w:rPr>
          <w:spacing w:val="-1"/>
          <w:vertAlign w:val="baseline"/>
        </w:rPr>
        <w:t> </w:t>
      </w:r>
      <w:r>
        <w:rPr>
          <w:vertAlign w:val="baseline"/>
        </w:rPr>
        <w:t>[2001]</w:t>
      </w:r>
      <w:r>
        <w:rPr>
          <w:spacing w:val="-1"/>
          <w:vertAlign w:val="baseline"/>
        </w:rPr>
        <w:t> </w:t>
      </w:r>
      <w:r>
        <w:rPr>
          <w:vertAlign w:val="baseline"/>
        </w:rPr>
        <w:t>C.L.J. 178; cf. </w:t>
      </w:r>
      <w:r>
        <w:rPr>
          <w:rFonts w:ascii="Arial" w:hAnsi="Arial"/>
          <w:i/>
          <w:vertAlign w:val="baseline"/>
        </w:rPr>
        <w:t>Commissioner of Public Works v Hills [1906] A.C. 368 </w:t>
      </w:r>
      <w:r>
        <w:rPr>
          <w:vertAlign w:val="baseline"/>
        </w:rPr>
        <w:t>(recovery of amount deposited</w:t>
      </w:r>
      <w:r>
        <w:rPr>
          <w:spacing w:val="40"/>
          <w:vertAlign w:val="baseline"/>
        </w:rPr>
        <w:t> </w:t>
      </w:r>
      <w:r>
        <w:rPr>
          <w:vertAlign w:val="baseline"/>
        </w:rPr>
        <w:t>as “security” in a building contract; above, para.26-187).</w:t>
      </w:r>
    </w:p>
    <w:p>
      <w:pPr>
        <w:pStyle w:val="BodyText"/>
        <w:spacing w:before="128"/>
      </w:pPr>
    </w:p>
    <w:p>
      <w:pPr>
        <w:pStyle w:val="BodyText"/>
        <w:spacing w:line="235" w:lineRule="auto"/>
        <w:ind w:left="705" w:right="167" w:hanging="541"/>
        <w:jc w:val="both"/>
      </w:pPr>
      <w:bookmarkStart w:name="_bookmark2463" w:id="2465"/>
      <w:bookmarkEnd w:id="2465"/>
      <w:r>
        <w:rPr/>
      </w:r>
      <w:hyperlink w:history="true" w:anchor="_bookmark2448">
        <w:r>
          <w:rPr>
            <w:color w:val="005DA1"/>
            <w:u w:val="single" w:color="005DA1"/>
            <w:vertAlign w:val="superscript"/>
          </w:rPr>
          <w:t>1285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117" name="Image 1117"/>
            <wp:cNvGraphicFramePr>
              <a:graphicFrameLocks/>
            </wp:cNvGraphicFramePr>
            <a:graphic>
              <a:graphicData uri="http://schemas.openxmlformats.org/drawingml/2006/picture">
                <pic:pic>
                  <pic:nvPicPr>
                    <pic:cNvPr id="1117" name="Image 11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payee “forfeits” the sum where he retains it for his own beneficial use, having freed</w:t>
      </w:r>
      <w:r>
        <w:rPr>
          <w:spacing w:val="40"/>
          <w:vertAlign w:val="baseline"/>
        </w:rPr>
        <w:t> </w:t>
      </w:r>
      <w:r>
        <w:rPr>
          <w:vertAlign w:val="baseline"/>
        </w:rPr>
        <w:t>himself of any further obligations under the contract by terminating the contract on account of the payer’s breach. It is then up to the payer to challenge the forfeiture if he has any </w:t>
      </w:r>
      <w:r>
        <w:rPr>
          <w:vertAlign w:val="baseline"/>
        </w:rPr>
        <w:t>legal ground for doing so.</w:t>
      </w:r>
    </w:p>
    <w:p>
      <w:pPr>
        <w:pStyle w:val="BodyText"/>
        <w:spacing w:before="128"/>
      </w:pPr>
    </w:p>
    <w:p>
      <w:pPr>
        <w:pStyle w:val="BodyText"/>
        <w:spacing w:line="235" w:lineRule="auto"/>
        <w:ind w:left="705" w:right="167" w:hanging="541"/>
        <w:jc w:val="both"/>
      </w:pPr>
      <w:bookmarkStart w:name="_bookmark2464" w:id="2466"/>
      <w:bookmarkEnd w:id="2466"/>
      <w:r>
        <w:rPr/>
      </w:r>
      <w:hyperlink w:history="true" w:anchor="_bookmark2449">
        <w:r>
          <w:rPr>
            <w:color w:val="005DA1"/>
            <w:u w:val="single" w:color="005DA1"/>
            <w:vertAlign w:val="superscript"/>
          </w:rPr>
          <w:t>1286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118" name="Image 1118"/>
            <wp:cNvGraphicFramePr>
              <a:graphicFrameLocks/>
            </wp:cNvGraphicFramePr>
            <a:graphic>
              <a:graphicData uri="http://schemas.openxmlformats.org/drawingml/2006/picture">
                <pic:pic>
                  <pic:nvPicPr>
                    <pic:cNvPr id="1118" name="Image 11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If the sum is a deposit paid by the buyer (viz a sum intended to be received by the seller as a security for the completion of the purchase by the buyer) it will be assumed that it is intended </w:t>
      </w:r>
      <w:r>
        <w:rPr>
          <w:vertAlign w:val="baseline"/>
        </w:rPr>
        <w:t>to be forfeited to the seller if the buyer defaults: </w:t>
      </w:r>
      <w:r>
        <w:rPr>
          <w:rFonts w:ascii="Arial" w:hAnsi="Arial"/>
          <w:i/>
          <w:vertAlign w:val="baseline"/>
        </w:rPr>
        <w:t>Howe v Smith (1884) 27 Ch. D. 89, 97–98 </w:t>
      </w:r>
      <w:r>
        <w:rPr>
          <w:vertAlign w:val="baseline"/>
        </w:rPr>
        <w:t>(Vol.I, para.29-068); </w:t>
      </w:r>
      <w:r>
        <w:rPr>
          <w:rFonts w:ascii="Arial" w:hAnsi="Arial"/>
          <w:i/>
          <w:vertAlign w:val="baseline"/>
        </w:rPr>
        <w:t>Stockloser v Johnson [1954] 1 Q.B. 476, 490 </w:t>
      </w:r>
      <w:r>
        <w:rPr>
          <w:vertAlign w:val="baseline"/>
        </w:rPr>
        <w:t>(“or the money is expressly paid as a deposit (which is equivalent to a forfeiture clause)”). The court has power to order the return</w:t>
      </w:r>
      <w:r>
        <w:rPr>
          <w:spacing w:val="40"/>
          <w:vertAlign w:val="baseline"/>
        </w:rPr>
        <w:t> </w:t>
      </w:r>
      <w:r>
        <w:rPr>
          <w:vertAlign w:val="baseline"/>
        </w:rPr>
        <w:t>of a deposit paid under a contract for the sale of land.</w:t>
      </w:r>
    </w:p>
    <w:p>
      <w:pPr>
        <w:pStyle w:val="BodyText"/>
        <w:spacing w:before="128"/>
      </w:pPr>
    </w:p>
    <w:p>
      <w:pPr>
        <w:spacing w:line="235" w:lineRule="auto" w:before="0"/>
        <w:ind w:left="705" w:right="168" w:hanging="541"/>
        <w:jc w:val="both"/>
        <w:rPr>
          <w:sz w:val="20"/>
        </w:rPr>
      </w:pPr>
      <w:bookmarkStart w:name="_bookmark2465" w:id="2467"/>
      <w:bookmarkEnd w:id="2467"/>
      <w:r>
        <w:rPr/>
      </w:r>
      <w:hyperlink w:history="true" w:anchor="_bookmark2450">
        <w:r>
          <w:rPr>
            <w:color w:val="005DA1"/>
            <w:sz w:val="20"/>
            <w:u w:val="single" w:color="005DA1"/>
            <w:vertAlign w:val="superscript"/>
          </w:rPr>
          <w:t>1287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119" name="Image 1119"/>
            <wp:cNvGraphicFramePr>
              <a:graphicFrameLocks/>
            </wp:cNvGraphicFramePr>
            <a:graphic>
              <a:graphicData uri="http://schemas.openxmlformats.org/drawingml/2006/picture">
                <pic:pic>
                  <pic:nvPicPr>
                    <pic:cNvPr id="1119" name="Image 11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Howe v Smith (1889) 27 Ch. D. 89</w:t>
      </w:r>
      <w:r>
        <w:rPr>
          <w:sz w:val="20"/>
          <w:vertAlign w:val="baseline"/>
        </w:rPr>
        <w:t>. If the payee claims damages from the payer, he must give credit for the amount of the deposit: see the dictum of Fry L.J. at 104 and </w:t>
      </w:r>
      <w:r>
        <w:rPr>
          <w:rFonts w:ascii="Arial"/>
          <w:i/>
          <w:sz w:val="20"/>
          <w:vertAlign w:val="baseline"/>
        </w:rPr>
        <w:t>Ng v Ashley King (Developments) Ltd [2010] EWHC 456 (Ch)</w:t>
      </w:r>
      <w:r>
        <w:rPr>
          <w:sz w:val="20"/>
          <w:vertAlign w:val="baseline"/>
        </w:rPr>
        <w:t>.</w:t>
      </w:r>
    </w:p>
    <w:p>
      <w:pPr>
        <w:pStyle w:val="BodyText"/>
        <w:spacing w:before="125"/>
      </w:pPr>
    </w:p>
    <w:p>
      <w:pPr>
        <w:pStyle w:val="BodyText"/>
        <w:ind w:left="165"/>
      </w:pPr>
      <w:bookmarkStart w:name="_bookmark2466" w:id="2468"/>
      <w:bookmarkEnd w:id="2468"/>
      <w:r>
        <w:rPr/>
      </w:r>
      <w:hyperlink w:history="true" w:anchor="_bookmark2451">
        <w:r>
          <w:rPr>
            <w:color w:val="005DA1"/>
            <w:u w:val="single" w:color="005DA1"/>
            <w:vertAlign w:val="superscript"/>
          </w:rPr>
          <w:t>1288</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1120" name="Image 1120"/>
            <wp:cNvGraphicFramePr>
              <a:graphicFrameLocks/>
            </wp:cNvGraphicFramePr>
            <a:graphic>
              <a:graphicData uri="http://schemas.openxmlformats.org/drawingml/2006/picture">
                <pic:pic>
                  <pic:nvPicPr>
                    <pic:cNvPr id="1120" name="Image 11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above,</w:t>
      </w:r>
      <w:r>
        <w:rPr>
          <w:spacing w:val="2"/>
          <w:vertAlign w:val="baseline"/>
        </w:rPr>
        <w:t> </w:t>
      </w:r>
      <w:r>
        <w:rPr>
          <w:vertAlign w:val="baseline"/>
        </w:rPr>
        <w:t>Vol.I,</w:t>
      </w:r>
      <w:r>
        <w:rPr>
          <w:spacing w:val="3"/>
          <w:vertAlign w:val="baseline"/>
        </w:rPr>
        <w:t> </w:t>
      </w:r>
      <w:r>
        <w:rPr>
          <w:vertAlign w:val="baseline"/>
        </w:rPr>
        <w:t>paras</w:t>
      </w:r>
      <w:r>
        <w:rPr>
          <w:spacing w:val="2"/>
          <w:vertAlign w:val="baseline"/>
        </w:rPr>
        <w:t> </w:t>
      </w:r>
      <w:r>
        <w:rPr>
          <w:vertAlign w:val="baseline"/>
        </w:rPr>
        <w:t>24-053</w:t>
      </w:r>
      <w:r>
        <w:rPr>
          <w:spacing w:val="2"/>
          <w:vertAlign w:val="baseline"/>
        </w:rPr>
        <w:t> </w:t>
      </w:r>
      <w:r>
        <w:rPr>
          <w:vertAlign w:val="baseline"/>
        </w:rPr>
        <w:t>and</w:t>
      </w:r>
      <w:r>
        <w:rPr>
          <w:spacing w:val="3"/>
          <w:vertAlign w:val="baseline"/>
        </w:rPr>
        <w:t> </w:t>
      </w:r>
      <w:r>
        <w:rPr>
          <w:vertAlign w:val="baseline"/>
        </w:rPr>
        <w:t>26-</w:t>
      </w:r>
      <w:r>
        <w:rPr>
          <w:spacing w:val="-4"/>
          <w:vertAlign w:val="baseline"/>
        </w:rPr>
        <w:t>008.</w:t>
      </w:r>
    </w:p>
    <w:p>
      <w:pPr>
        <w:pStyle w:val="BodyText"/>
        <w:spacing w:before="129"/>
      </w:pPr>
    </w:p>
    <w:p>
      <w:pPr>
        <w:spacing w:line="235" w:lineRule="auto" w:before="0"/>
        <w:ind w:left="705" w:right="167" w:hanging="541"/>
        <w:jc w:val="both"/>
        <w:rPr>
          <w:sz w:val="20"/>
        </w:rPr>
      </w:pPr>
      <w:bookmarkStart w:name="_bookmark2467" w:id="2469"/>
      <w:bookmarkEnd w:id="2469"/>
      <w:r>
        <w:rPr/>
      </w:r>
      <w:hyperlink w:history="true" w:anchor="_bookmark2452">
        <w:r>
          <w:rPr>
            <w:color w:val="005DA1"/>
            <w:sz w:val="20"/>
            <w:u w:val="single" w:color="005DA1"/>
            <w:vertAlign w:val="superscript"/>
          </w:rPr>
          <w:t>1289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21" name="Image 1121"/>
            <wp:cNvGraphicFramePr>
              <a:graphicFrameLocks/>
            </wp:cNvGraphicFramePr>
            <a:graphic>
              <a:graphicData uri="http://schemas.openxmlformats.org/drawingml/2006/picture">
                <pic:pic>
                  <pic:nvPicPr>
                    <pic:cNvPr id="1121" name="Image 11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Damon Compagnia Naviera SA v Hapag-Lloyd International SA [1985] 1 W.L.R. 435 </w:t>
      </w:r>
      <w:r>
        <w:rPr>
          <w:sz w:val="20"/>
          <w:vertAlign w:val="baseline"/>
        </w:rPr>
        <w:t>(see above,</w:t>
      </w:r>
      <w:r>
        <w:rPr>
          <w:spacing w:val="-1"/>
          <w:sz w:val="20"/>
          <w:vertAlign w:val="baseline"/>
        </w:rPr>
        <w:t> </w:t>
      </w:r>
      <w:r>
        <w:rPr>
          <w:sz w:val="20"/>
          <w:vertAlign w:val="baseline"/>
        </w:rPr>
        <w:t>para.24-053);</w:t>
      </w:r>
      <w:r>
        <w:rPr>
          <w:spacing w:val="-2"/>
          <w:sz w:val="20"/>
          <w:vertAlign w:val="baseline"/>
        </w:rPr>
        <w:t> </w:t>
      </w:r>
      <w:r>
        <w:rPr>
          <w:rFonts w:ascii="Arial"/>
          <w:i/>
          <w:sz w:val="20"/>
          <w:vertAlign w:val="baseline"/>
        </w:rPr>
        <w:t>Griffon</w:t>
      </w:r>
      <w:r>
        <w:rPr>
          <w:rFonts w:ascii="Arial"/>
          <w:i/>
          <w:spacing w:val="-1"/>
          <w:sz w:val="20"/>
          <w:vertAlign w:val="baseline"/>
        </w:rPr>
        <w:t> </w:t>
      </w:r>
      <w:r>
        <w:rPr>
          <w:rFonts w:ascii="Arial"/>
          <w:i/>
          <w:sz w:val="20"/>
          <w:vertAlign w:val="baseline"/>
        </w:rPr>
        <w:t>Shipping</w:t>
      </w:r>
      <w:r>
        <w:rPr>
          <w:rFonts w:ascii="Arial"/>
          <w:i/>
          <w:spacing w:val="-1"/>
          <w:sz w:val="20"/>
          <w:vertAlign w:val="baseline"/>
        </w:rPr>
        <w:t> </w:t>
      </w:r>
      <w:r>
        <w:rPr>
          <w:rFonts w:ascii="Arial"/>
          <w:i/>
          <w:sz w:val="20"/>
          <w:vertAlign w:val="baseline"/>
        </w:rPr>
        <w:t>LLC</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Firodi</w:t>
      </w:r>
      <w:r>
        <w:rPr>
          <w:rFonts w:ascii="Arial"/>
          <w:i/>
          <w:spacing w:val="-1"/>
          <w:sz w:val="20"/>
          <w:vertAlign w:val="baseline"/>
        </w:rPr>
        <w:t> </w:t>
      </w:r>
      <w:r>
        <w:rPr>
          <w:rFonts w:ascii="Arial"/>
          <w:i/>
          <w:sz w:val="20"/>
          <w:vertAlign w:val="baseline"/>
        </w:rPr>
        <w:t>Shipping</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(The</w:t>
      </w:r>
      <w:r>
        <w:rPr>
          <w:rFonts w:ascii="Arial"/>
          <w:i/>
          <w:spacing w:val="-1"/>
          <w:sz w:val="20"/>
          <w:vertAlign w:val="baseline"/>
        </w:rPr>
        <w:t> </w:t>
      </w:r>
      <w:r>
        <w:rPr>
          <w:rFonts w:ascii="Arial"/>
          <w:i/>
          <w:sz w:val="20"/>
          <w:vertAlign w:val="baseline"/>
        </w:rPr>
        <w:t>Griffon)</w:t>
      </w:r>
      <w:r>
        <w:rPr>
          <w:rFonts w:ascii="Arial"/>
          <w:i/>
          <w:spacing w:val="-1"/>
          <w:sz w:val="20"/>
          <w:vertAlign w:val="baseline"/>
        </w:rPr>
        <w:t> </w:t>
      </w:r>
      <w:r>
        <w:rPr>
          <w:rFonts w:ascii="Arial"/>
          <w:i/>
          <w:sz w:val="20"/>
          <w:vertAlign w:val="baseline"/>
        </w:rPr>
        <w:t>[2013]</w:t>
      </w:r>
      <w:r>
        <w:rPr>
          <w:rFonts w:ascii="Arial"/>
          <w:i/>
          <w:spacing w:val="-1"/>
          <w:sz w:val="20"/>
          <w:vertAlign w:val="baseline"/>
        </w:rPr>
        <w:t> </w:t>
      </w:r>
      <w:r>
        <w:rPr>
          <w:rFonts w:ascii="Arial"/>
          <w:i/>
          <w:sz w:val="20"/>
          <w:vertAlign w:val="baseline"/>
        </w:rPr>
        <w:t>EWCA</w:t>
      </w:r>
      <w:r>
        <w:rPr>
          <w:rFonts w:ascii="Arial"/>
          <w:i/>
          <w:spacing w:val="-1"/>
          <w:sz w:val="20"/>
          <w:vertAlign w:val="baseline"/>
        </w:rPr>
        <w:t> </w:t>
      </w:r>
      <w:r>
        <w:rPr>
          <w:rFonts w:ascii="Arial"/>
          <w:i/>
          <w:sz w:val="20"/>
          <w:vertAlign w:val="baseline"/>
        </w:rPr>
        <w:t>Civ 1567, [2014] 1 C.L.C. 1</w:t>
      </w:r>
      <w:r>
        <w:rPr>
          <w:sz w:val="20"/>
          <w:vertAlign w:val="baseline"/>
        </w:rPr>
        <w:t>. The contrary decision in </w:t>
      </w:r>
      <w:r>
        <w:rPr>
          <w:rFonts w:ascii="Arial"/>
          <w:i/>
          <w:sz w:val="20"/>
          <w:vertAlign w:val="baseline"/>
        </w:rPr>
        <w:t>Lowe v Hope [1970] Ch. 94 </w:t>
      </w:r>
      <w:r>
        <w:rPr>
          <w:sz w:val="20"/>
          <w:vertAlign w:val="baseline"/>
        </w:rPr>
        <w:t>is no longer good law: see </w:t>
      </w:r>
      <w:r>
        <w:rPr>
          <w:rFonts w:ascii="Arial"/>
          <w:i/>
          <w:sz w:val="20"/>
          <w:vertAlign w:val="baseline"/>
        </w:rPr>
        <w:t>Hardy v Griffiths [2014] EWHC 3947 (Ch) </w:t>
      </w:r>
      <w:r>
        <w:rPr>
          <w:sz w:val="20"/>
          <w:vertAlign w:val="baseline"/>
        </w:rPr>
        <w:t>at [102].</w:t>
      </w:r>
    </w:p>
    <w:p>
      <w:pPr>
        <w:pStyle w:val="BodyText"/>
        <w:spacing w:before="125"/>
      </w:pPr>
    </w:p>
    <w:p>
      <w:pPr>
        <w:spacing w:before="0"/>
        <w:ind w:left="165" w:right="0" w:firstLine="0"/>
        <w:jc w:val="left"/>
        <w:rPr>
          <w:sz w:val="20"/>
        </w:rPr>
      </w:pPr>
      <w:bookmarkStart w:name="_bookmark2468" w:id="2470"/>
      <w:bookmarkEnd w:id="2470"/>
      <w:r>
        <w:rPr/>
      </w:r>
      <w:hyperlink w:history="true" w:anchor="_bookmark2453">
        <w:r>
          <w:rPr>
            <w:color w:val="005DA1"/>
            <w:sz w:val="20"/>
            <w:u w:val="single" w:color="005DA1"/>
            <w:vertAlign w:val="superscript"/>
          </w:rPr>
          <w:t>1290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122" name="Image 1122"/>
            <wp:cNvGraphicFramePr>
              <a:graphicFrameLocks/>
            </wp:cNvGraphicFramePr>
            <a:graphic>
              <a:graphicData uri="http://schemas.openxmlformats.org/drawingml/2006/picture">
                <pic:pic>
                  <pic:nvPicPr>
                    <pic:cNvPr id="1122" name="Image 11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line="580" w:lineRule="atLeast" w:before="5"/>
        <w:ind w:left="165" w:right="6024"/>
      </w:pPr>
      <w:bookmarkStart w:name="_bookmark2469" w:id="2471"/>
      <w:bookmarkEnd w:id="2471"/>
      <w:r>
        <w:rPr/>
      </w:r>
      <w:hyperlink w:history="true" w:anchor="_bookmark2454">
        <w:r>
          <w:rPr>
            <w:color w:val="005DA1"/>
            <w:u w:val="single" w:color="005DA1"/>
            <w:vertAlign w:val="superscript"/>
          </w:rPr>
          <w:t>1291</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123" name="Image 1123"/>
            <wp:cNvGraphicFramePr>
              <a:graphicFrameLocks/>
            </wp:cNvGraphicFramePr>
            <a:graphic>
              <a:graphicData uri="http://schemas.openxmlformats.org/drawingml/2006/picture">
                <pic:pic>
                  <pic:nvPicPr>
                    <pic:cNvPr id="1123" name="Image 11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below, para.26-216R. </w:t>
      </w:r>
      <w:bookmarkStart w:name="_bookmark2470" w:id="2472"/>
      <w:bookmarkEnd w:id="2472"/>
      <w:r>
        <w:rPr>
          <w:vertAlign w:val="baseline"/>
        </w:rPr>
      </w:r>
      <w:hyperlink w:history="true" w:anchor="_bookmark2455">
        <w:r>
          <w:rPr>
            <w:color w:val="005DA1"/>
            <w:u w:val="single" w:color="005DA1"/>
            <w:vertAlign w:val="superscript"/>
          </w:rPr>
          <w:t>1292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124" name="Image 1124"/>
            <wp:cNvGraphicFramePr>
              <a:graphicFrameLocks/>
            </wp:cNvGraphicFramePr>
            <a:graphic>
              <a:graphicData uri="http://schemas.openxmlformats.org/drawingml/2006/picture">
                <pic:pic>
                  <pic:nvPicPr>
                    <pic:cNvPr id="1124" name="Image 11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w:t>
      </w:r>
      <w:r>
        <w:rPr>
          <w:vertAlign w:val="baseline"/>
        </w:rPr>
        <w:t>216AA. </w:t>
      </w:r>
      <w:bookmarkStart w:name="_bookmark2471" w:id="2473"/>
      <w:bookmarkEnd w:id="2473"/>
      <w:r>
        <w:rPr>
          <w:vertAlign w:val="baseline"/>
        </w:rPr>
      </w:r>
      <w:hyperlink w:history="true" w:anchor="_bookmark2456">
        <w:r>
          <w:rPr>
            <w:color w:val="005DA1"/>
            <w:u w:val="single" w:color="005DA1"/>
            <w:vertAlign w:val="superscript"/>
          </w:rPr>
          <w:t>1293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125" name="Image 1125"/>
            <wp:cNvGraphicFramePr>
              <a:graphicFrameLocks/>
            </wp:cNvGraphicFramePr>
            <a:graphic>
              <a:graphicData uri="http://schemas.openxmlformats.org/drawingml/2006/picture">
                <pic:pic>
                  <pic:nvPicPr>
                    <pic:cNvPr id="1125" name="Image 112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2"/>
          <w:vertAlign w:val="baseline"/>
        </w:rPr>
        <w:t>216AB.</w:t>
      </w:r>
    </w:p>
    <w:p>
      <w:pPr>
        <w:pStyle w:val="BodyText"/>
        <w:spacing w:before="138"/>
      </w:pPr>
    </w:p>
    <w:p>
      <w:pPr>
        <w:spacing w:line="235" w:lineRule="auto" w:before="1"/>
        <w:ind w:left="705" w:right="168" w:hanging="541"/>
        <w:jc w:val="both"/>
        <w:rPr>
          <w:rFonts w:ascii="Arial"/>
          <w:i/>
          <w:sz w:val="20"/>
        </w:rPr>
      </w:pPr>
      <w:bookmarkStart w:name="_bookmark2472" w:id="2474"/>
      <w:bookmarkEnd w:id="2474"/>
      <w:r>
        <w:rPr/>
      </w:r>
      <w:hyperlink w:history="true" w:anchor="_bookmark2457">
        <w:r>
          <w:rPr>
            <w:color w:val="005DA1"/>
            <w:sz w:val="20"/>
            <w:u w:val="single" w:color="005DA1"/>
            <w:vertAlign w:val="superscript"/>
          </w:rPr>
          <w:t>1294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126" name="Image 1126"/>
            <wp:cNvGraphicFramePr>
              <a:graphicFrameLocks/>
            </wp:cNvGraphicFramePr>
            <a:graphic>
              <a:graphicData uri="http://schemas.openxmlformats.org/drawingml/2006/picture">
                <pic:pic>
                  <pic:nvPicPr>
                    <pic:cNvPr id="1126" name="Image 112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Palmer v Temple (1839) 9 A. &amp; E. 508</w:t>
      </w:r>
      <w:r>
        <w:rPr>
          <w:sz w:val="20"/>
          <w:vertAlign w:val="baseline"/>
        </w:rPr>
        <w:t>; </w:t>
      </w:r>
      <w:r>
        <w:rPr>
          <w:rFonts w:ascii="Arial"/>
          <w:i/>
          <w:sz w:val="20"/>
          <w:vertAlign w:val="baseline"/>
        </w:rPr>
        <w:t>Mayson v Clouet [1924] A.C. 980</w:t>
      </w:r>
      <w:r>
        <w:rPr>
          <w:sz w:val="20"/>
          <w:vertAlign w:val="baseline"/>
        </w:rPr>
        <w:t>; </w:t>
      </w:r>
      <w:r>
        <w:rPr>
          <w:rFonts w:ascii="Arial"/>
          <w:i/>
          <w:sz w:val="20"/>
          <w:vertAlign w:val="baseline"/>
        </w:rPr>
        <w:t>Dies v British and International</w:t>
      </w:r>
      <w:r>
        <w:rPr>
          <w:rFonts w:ascii="Arial"/>
          <w:i/>
          <w:spacing w:val="24"/>
          <w:sz w:val="20"/>
          <w:vertAlign w:val="baseline"/>
        </w:rPr>
        <w:t> </w:t>
      </w:r>
      <w:r>
        <w:rPr>
          <w:rFonts w:ascii="Arial"/>
          <w:i/>
          <w:sz w:val="20"/>
          <w:vertAlign w:val="baseline"/>
        </w:rPr>
        <w:t>Mining</w:t>
      </w:r>
      <w:r>
        <w:rPr>
          <w:rFonts w:ascii="Arial"/>
          <w:i/>
          <w:spacing w:val="25"/>
          <w:sz w:val="20"/>
          <w:vertAlign w:val="baseline"/>
        </w:rPr>
        <w:t> </w:t>
      </w:r>
      <w:r>
        <w:rPr>
          <w:rFonts w:ascii="Arial"/>
          <w:i/>
          <w:sz w:val="20"/>
          <w:vertAlign w:val="baseline"/>
        </w:rPr>
        <w:t>and</w:t>
      </w:r>
      <w:r>
        <w:rPr>
          <w:rFonts w:ascii="Arial"/>
          <w:i/>
          <w:spacing w:val="25"/>
          <w:sz w:val="20"/>
          <w:vertAlign w:val="baseline"/>
        </w:rPr>
        <w:t> </w:t>
      </w:r>
      <w:r>
        <w:rPr>
          <w:rFonts w:ascii="Arial"/>
          <w:i/>
          <w:sz w:val="20"/>
          <w:vertAlign w:val="baseline"/>
        </w:rPr>
        <w:t>Finance</w:t>
      </w:r>
      <w:r>
        <w:rPr>
          <w:rFonts w:ascii="Arial"/>
          <w:i/>
          <w:spacing w:val="25"/>
          <w:sz w:val="20"/>
          <w:vertAlign w:val="baseline"/>
        </w:rPr>
        <w:t> </w:t>
      </w:r>
      <w:r>
        <w:rPr>
          <w:rFonts w:ascii="Arial"/>
          <w:i/>
          <w:sz w:val="20"/>
          <w:vertAlign w:val="baseline"/>
        </w:rPr>
        <w:t>Corp</w:t>
      </w:r>
      <w:r>
        <w:rPr>
          <w:rFonts w:ascii="Arial"/>
          <w:i/>
          <w:spacing w:val="25"/>
          <w:sz w:val="20"/>
          <w:vertAlign w:val="baseline"/>
        </w:rPr>
        <w:t> </w:t>
      </w:r>
      <w:r>
        <w:rPr>
          <w:rFonts w:ascii="Arial"/>
          <w:i/>
          <w:sz w:val="20"/>
          <w:vertAlign w:val="baseline"/>
        </w:rPr>
        <w:t>Ltd</w:t>
      </w:r>
      <w:r>
        <w:rPr>
          <w:rFonts w:ascii="Arial"/>
          <w:i/>
          <w:spacing w:val="25"/>
          <w:sz w:val="20"/>
          <w:vertAlign w:val="baseline"/>
        </w:rPr>
        <w:t> </w:t>
      </w:r>
      <w:r>
        <w:rPr>
          <w:rFonts w:ascii="Arial"/>
          <w:i/>
          <w:sz w:val="20"/>
          <w:vertAlign w:val="baseline"/>
        </w:rPr>
        <w:t>[1939]</w:t>
      </w:r>
      <w:r>
        <w:rPr>
          <w:rFonts w:ascii="Arial"/>
          <w:i/>
          <w:spacing w:val="25"/>
          <w:sz w:val="20"/>
          <w:vertAlign w:val="baseline"/>
        </w:rPr>
        <w:t> </w:t>
      </w:r>
      <w:r>
        <w:rPr>
          <w:rFonts w:ascii="Arial"/>
          <w:i/>
          <w:sz w:val="20"/>
          <w:vertAlign w:val="baseline"/>
        </w:rPr>
        <w:t>1</w:t>
      </w:r>
      <w:r>
        <w:rPr>
          <w:rFonts w:ascii="Arial"/>
          <w:i/>
          <w:spacing w:val="25"/>
          <w:sz w:val="20"/>
          <w:vertAlign w:val="baseline"/>
        </w:rPr>
        <w:t> </w:t>
      </w:r>
      <w:r>
        <w:rPr>
          <w:rFonts w:ascii="Arial"/>
          <w:i/>
          <w:sz w:val="20"/>
          <w:vertAlign w:val="baseline"/>
        </w:rPr>
        <w:t>K.B.</w:t>
      </w:r>
      <w:r>
        <w:rPr>
          <w:rFonts w:ascii="Arial"/>
          <w:i/>
          <w:spacing w:val="25"/>
          <w:sz w:val="20"/>
          <w:vertAlign w:val="baseline"/>
        </w:rPr>
        <w:t> </w:t>
      </w:r>
      <w:r>
        <w:rPr>
          <w:rFonts w:ascii="Arial"/>
          <w:i/>
          <w:sz w:val="20"/>
          <w:vertAlign w:val="baseline"/>
        </w:rPr>
        <w:t>724</w:t>
      </w:r>
      <w:r>
        <w:rPr>
          <w:sz w:val="20"/>
          <w:vertAlign w:val="baseline"/>
        </w:rPr>
        <w:t>;</w:t>
      </w:r>
      <w:r>
        <w:rPr>
          <w:spacing w:val="25"/>
          <w:sz w:val="20"/>
          <w:vertAlign w:val="baseline"/>
        </w:rPr>
        <w:t> </w:t>
      </w:r>
      <w:r>
        <w:rPr>
          <w:rFonts w:ascii="Arial"/>
          <w:i/>
          <w:sz w:val="20"/>
          <w:vertAlign w:val="baseline"/>
        </w:rPr>
        <w:t>Stockloser</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Johnson</w:t>
      </w:r>
      <w:r>
        <w:rPr>
          <w:rFonts w:ascii="Arial"/>
          <w:i/>
          <w:spacing w:val="25"/>
          <w:sz w:val="20"/>
          <w:vertAlign w:val="baseline"/>
        </w:rPr>
        <w:t> </w:t>
      </w:r>
      <w:r>
        <w:rPr>
          <w:rFonts w:ascii="Arial"/>
          <w:i/>
          <w:sz w:val="20"/>
          <w:vertAlign w:val="baseline"/>
        </w:rPr>
        <w:t>[1954]</w:t>
      </w:r>
      <w:r>
        <w:rPr>
          <w:rFonts w:ascii="Arial"/>
          <w:i/>
          <w:spacing w:val="25"/>
          <w:sz w:val="20"/>
          <w:vertAlign w:val="baseline"/>
        </w:rPr>
        <w:t> </w:t>
      </w:r>
      <w:r>
        <w:rPr>
          <w:rFonts w:ascii="Arial"/>
          <w:i/>
          <w:spacing w:val="-10"/>
          <w:sz w:val="20"/>
          <w:vertAlign w:val="baseline"/>
        </w:rPr>
        <w:t>1</w:t>
      </w:r>
    </w:p>
    <w:p>
      <w:pPr>
        <w:spacing w:line="225" w:lineRule="exact" w:before="0"/>
        <w:ind w:left="705" w:right="0" w:firstLine="0"/>
        <w:jc w:val="left"/>
        <w:rPr>
          <w:sz w:val="20"/>
        </w:rPr>
      </w:pPr>
      <w:r>
        <w:rPr>
          <w:rFonts w:ascii="Arial" w:hAnsi="Arial"/>
          <w:i/>
          <w:sz w:val="20"/>
        </w:rPr>
        <w:t>Q.B.</w:t>
      </w:r>
      <w:r>
        <w:rPr>
          <w:rFonts w:ascii="Arial" w:hAnsi="Arial"/>
          <w:i/>
          <w:spacing w:val="-1"/>
          <w:sz w:val="20"/>
        </w:rPr>
        <w:t> </w:t>
      </w:r>
      <w:r>
        <w:rPr>
          <w:rFonts w:ascii="Arial" w:hAnsi="Arial"/>
          <w:i/>
          <w:sz w:val="20"/>
        </w:rPr>
        <w:t>476, 483, 489–490</w:t>
      </w:r>
      <w:r>
        <w:rPr>
          <w:sz w:val="20"/>
        </w:rPr>
        <w:t>; Williams,</w:t>
      </w:r>
      <w:r>
        <w:rPr>
          <w:spacing w:val="-1"/>
          <w:sz w:val="20"/>
        </w:rPr>
        <w:t> </w:t>
      </w:r>
      <w:r>
        <w:rPr>
          <w:rFonts w:ascii="Arial" w:hAnsi="Arial"/>
          <w:i/>
          <w:sz w:val="20"/>
        </w:rPr>
        <w:t>Vendor</w:t>
      </w:r>
      <w:r>
        <w:rPr>
          <w:rFonts w:ascii="Arial" w:hAnsi="Arial"/>
          <w:i/>
          <w:spacing w:val="-1"/>
          <w:sz w:val="20"/>
        </w:rPr>
        <w:t> </w:t>
      </w:r>
      <w:r>
        <w:rPr>
          <w:rFonts w:ascii="Arial" w:hAnsi="Arial"/>
          <w:i/>
          <w:sz w:val="20"/>
        </w:rPr>
        <w:t>and Purchaser</w:t>
      </w:r>
      <w:r>
        <w:rPr>
          <w:sz w:val="20"/>
        </w:rPr>
        <w:t>, 4th edn (1936), </w:t>
      </w:r>
      <w:r>
        <w:rPr>
          <w:spacing w:val="-2"/>
          <w:sz w:val="20"/>
        </w:rPr>
        <w:t>p.1006.</w:t>
      </w:r>
    </w:p>
    <w:p>
      <w:pPr>
        <w:pStyle w:val="BodyText"/>
        <w:spacing w:before="125"/>
      </w:pPr>
    </w:p>
    <w:p>
      <w:pPr>
        <w:spacing w:line="227" w:lineRule="exact" w:before="0"/>
        <w:ind w:left="165" w:right="0" w:firstLine="0"/>
        <w:jc w:val="left"/>
        <w:rPr>
          <w:rFonts w:ascii="Arial"/>
          <w:i/>
          <w:sz w:val="20"/>
        </w:rPr>
      </w:pPr>
      <w:bookmarkStart w:name="_bookmark2473" w:id="2475"/>
      <w:bookmarkEnd w:id="2475"/>
      <w:r>
        <w:rPr/>
      </w:r>
      <w:hyperlink w:history="true" w:anchor="_bookmark2458">
        <w:r>
          <w:rPr>
            <w:color w:val="005DA1"/>
            <w:sz w:val="20"/>
            <w:u w:val="single" w:color="005DA1"/>
            <w:vertAlign w:val="superscript"/>
          </w:rPr>
          <w:t>1295</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27" name="Image 1127"/>
            <wp:cNvGraphicFramePr>
              <a:graphicFrameLocks/>
            </wp:cNvGraphicFramePr>
            <a:graphic>
              <a:graphicData uri="http://schemas.openxmlformats.org/drawingml/2006/picture">
                <pic:pic>
                  <pic:nvPicPr>
                    <pic:cNvPr id="1127" name="Image 112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[1939]</w:t>
      </w:r>
      <w:r>
        <w:rPr>
          <w:rFonts w:ascii="Arial"/>
          <w:i/>
          <w:spacing w:val="41"/>
          <w:sz w:val="20"/>
          <w:vertAlign w:val="baseline"/>
        </w:rPr>
        <w:t> </w:t>
      </w:r>
      <w:r>
        <w:rPr>
          <w:rFonts w:ascii="Arial"/>
          <w:i/>
          <w:sz w:val="20"/>
          <w:vertAlign w:val="baseline"/>
        </w:rPr>
        <w:t>1</w:t>
      </w:r>
      <w:r>
        <w:rPr>
          <w:rFonts w:ascii="Arial"/>
          <w:i/>
          <w:spacing w:val="40"/>
          <w:sz w:val="20"/>
          <w:vertAlign w:val="baseline"/>
        </w:rPr>
        <w:t> </w:t>
      </w:r>
      <w:r>
        <w:rPr>
          <w:rFonts w:ascii="Arial"/>
          <w:i/>
          <w:sz w:val="20"/>
          <w:vertAlign w:val="baseline"/>
        </w:rPr>
        <w:t>K.B.</w:t>
      </w:r>
      <w:r>
        <w:rPr>
          <w:rFonts w:ascii="Arial"/>
          <w:i/>
          <w:spacing w:val="40"/>
          <w:sz w:val="20"/>
          <w:vertAlign w:val="baseline"/>
        </w:rPr>
        <w:t> </w:t>
      </w:r>
      <w:r>
        <w:rPr>
          <w:rFonts w:ascii="Arial"/>
          <w:i/>
          <w:sz w:val="20"/>
          <w:vertAlign w:val="baseline"/>
        </w:rPr>
        <w:t>724</w:t>
      </w:r>
      <w:r>
        <w:rPr>
          <w:rFonts w:ascii="Arial"/>
          <w:i/>
          <w:spacing w:val="41"/>
          <w:sz w:val="20"/>
          <w:vertAlign w:val="baseline"/>
        </w:rPr>
        <w:t> </w:t>
      </w:r>
      <w:r>
        <w:rPr>
          <w:sz w:val="20"/>
          <w:vertAlign w:val="baseline"/>
        </w:rPr>
        <w:t>(followed</w:t>
      </w:r>
      <w:r>
        <w:rPr>
          <w:spacing w:val="40"/>
          <w:sz w:val="20"/>
          <w:vertAlign w:val="baseline"/>
        </w:rPr>
        <w:t> </w:t>
      </w:r>
      <w:r>
        <w:rPr>
          <w:sz w:val="20"/>
          <w:vertAlign w:val="baseline"/>
        </w:rPr>
        <w:t>in</w:t>
      </w:r>
      <w:r>
        <w:rPr>
          <w:spacing w:val="40"/>
          <w:sz w:val="20"/>
          <w:vertAlign w:val="baseline"/>
        </w:rPr>
        <w:t> </w:t>
      </w:r>
      <w:r>
        <w:rPr>
          <w:rFonts w:ascii="Arial"/>
          <w:i/>
          <w:sz w:val="20"/>
          <w:vertAlign w:val="baseline"/>
        </w:rPr>
        <w:t>Rover</w:t>
      </w:r>
      <w:r>
        <w:rPr>
          <w:rFonts w:ascii="Arial"/>
          <w:i/>
          <w:spacing w:val="40"/>
          <w:sz w:val="20"/>
          <w:vertAlign w:val="baseline"/>
        </w:rPr>
        <w:t> </w:t>
      </w:r>
      <w:r>
        <w:rPr>
          <w:rFonts w:ascii="Arial"/>
          <w:i/>
          <w:sz w:val="20"/>
          <w:vertAlign w:val="baseline"/>
        </w:rPr>
        <w:t>International</w:t>
      </w:r>
      <w:r>
        <w:rPr>
          <w:rFonts w:ascii="Arial"/>
          <w:i/>
          <w:spacing w:val="41"/>
          <w:sz w:val="20"/>
          <w:vertAlign w:val="baseline"/>
        </w:rPr>
        <w:t> </w:t>
      </w:r>
      <w:r>
        <w:rPr>
          <w:rFonts w:ascii="Arial"/>
          <w:i/>
          <w:sz w:val="20"/>
          <w:vertAlign w:val="baseline"/>
        </w:rPr>
        <w:t>Ltd</w:t>
      </w:r>
      <w:r>
        <w:rPr>
          <w:rFonts w:ascii="Arial"/>
          <w:i/>
          <w:spacing w:val="40"/>
          <w:sz w:val="20"/>
          <w:vertAlign w:val="baseline"/>
        </w:rPr>
        <w:t> </w:t>
      </w:r>
      <w:r>
        <w:rPr>
          <w:rFonts w:ascii="Arial"/>
          <w:i/>
          <w:sz w:val="20"/>
          <w:vertAlign w:val="baseline"/>
        </w:rPr>
        <w:t>v</w:t>
      </w:r>
      <w:r>
        <w:rPr>
          <w:rFonts w:ascii="Arial"/>
          <w:i/>
          <w:spacing w:val="40"/>
          <w:sz w:val="20"/>
          <w:vertAlign w:val="baseline"/>
        </w:rPr>
        <w:t> </w:t>
      </w:r>
      <w:r>
        <w:rPr>
          <w:rFonts w:ascii="Arial"/>
          <w:i/>
          <w:sz w:val="20"/>
          <w:vertAlign w:val="baseline"/>
        </w:rPr>
        <w:t>Cannon</w:t>
      </w:r>
      <w:r>
        <w:rPr>
          <w:rFonts w:ascii="Arial"/>
          <w:i/>
          <w:spacing w:val="41"/>
          <w:sz w:val="20"/>
          <w:vertAlign w:val="baseline"/>
        </w:rPr>
        <w:t> </w:t>
      </w:r>
      <w:r>
        <w:rPr>
          <w:rFonts w:ascii="Arial"/>
          <w:i/>
          <w:sz w:val="20"/>
          <w:vertAlign w:val="baseline"/>
        </w:rPr>
        <w:t>Film</w:t>
      </w:r>
      <w:r>
        <w:rPr>
          <w:rFonts w:ascii="Arial"/>
          <w:i/>
          <w:spacing w:val="40"/>
          <w:sz w:val="20"/>
          <w:vertAlign w:val="baseline"/>
        </w:rPr>
        <w:t> </w:t>
      </w:r>
      <w:r>
        <w:rPr>
          <w:rFonts w:ascii="Arial"/>
          <w:i/>
          <w:sz w:val="20"/>
          <w:vertAlign w:val="baseline"/>
        </w:rPr>
        <w:t>Sales</w:t>
      </w:r>
      <w:r>
        <w:rPr>
          <w:rFonts w:ascii="Arial"/>
          <w:i/>
          <w:spacing w:val="40"/>
          <w:sz w:val="20"/>
          <w:vertAlign w:val="baseline"/>
        </w:rPr>
        <w:t> </w:t>
      </w:r>
      <w:r>
        <w:rPr>
          <w:rFonts w:ascii="Arial"/>
          <w:i/>
          <w:sz w:val="20"/>
          <w:vertAlign w:val="baseline"/>
        </w:rPr>
        <w:t>Ltd</w:t>
      </w:r>
      <w:r>
        <w:rPr>
          <w:rFonts w:ascii="Arial"/>
          <w:i/>
          <w:spacing w:val="40"/>
          <w:sz w:val="20"/>
          <w:vertAlign w:val="baseline"/>
        </w:rPr>
        <w:t> </w:t>
      </w:r>
      <w:r>
        <w:rPr>
          <w:rFonts w:ascii="Arial"/>
          <w:i/>
          <w:sz w:val="20"/>
          <w:vertAlign w:val="baseline"/>
        </w:rPr>
        <w:t>[1989]</w:t>
      </w:r>
      <w:r>
        <w:rPr>
          <w:rFonts w:ascii="Arial"/>
          <w:i/>
          <w:spacing w:val="41"/>
          <w:sz w:val="20"/>
          <w:vertAlign w:val="baseline"/>
        </w:rPr>
        <w:t> </w:t>
      </w:r>
      <w:r>
        <w:rPr>
          <w:rFonts w:ascii="Arial"/>
          <w:i/>
          <w:spacing w:val="-10"/>
          <w:sz w:val="20"/>
          <w:vertAlign w:val="baseline"/>
        </w:rPr>
        <w:t>1</w:t>
      </w:r>
    </w:p>
    <w:p>
      <w:pPr>
        <w:spacing w:line="227" w:lineRule="exact" w:before="0"/>
        <w:ind w:left="705" w:right="0" w:firstLine="0"/>
        <w:jc w:val="left"/>
        <w:rPr>
          <w:sz w:val="20"/>
        </w:rPr>
      </w:pPr>
      <w:r>
        <w:rPr>
          <w:rFonts w:ascii="Arial"/>
          <w:i/>
          <w:sz w:val="20"/>
        </w:rPr>
        <w:t>W.L.R.</w:t>
      </w:r>
      <w:r>
        <w:rPr>
          <w:rFonts w:ascii="Arial"/>
          <w:i/>
          <w:spacing w:val="-2"/>
          <w:sz w:val="20"/>
        </w:rPr>
        <w:t> 912</w:t>
      </w:r>
      <w:r>
        <w:rPr>
          <w:spacing w:val="-2"/>
          <w:sz w:val="20"/>
        </w:rPr>
        <w:t>).</w:t>
      </w:r>
    </w:p>
    <w:p>
      <w:pPr>
        <w:pStyle w:val="BodyText"/>
        <w:spacing w:before="128"/>
      </w:pPr>
    </w:p>
    <w:p>
      <w:pPr>
        <w:pStyle w:val="BodyText"/>
        <w:spacing w:line="235" w:lineRule="auto" w:before="1"/>
        <w:ind w:left="705" w:right="167" w:hanging="541"/>
        <w:jc w:val="both"/>
      </w:pPr>
      <w:bookmarkStart w:name="_bookmark2474" w:id="2476"/>
      <w:bookmarkEnd w:id="2476"/>
      <w:r>
        <w:rPr/>
      </w:r>
      <w:hyperlink w:history="true" w:anchor="_bookmark2459">
        <w:r>
          <w:rPr>
            <w:color w:val="005DA1"/>
            <w:u w:val="single" w:color="005DA1"/>
            <w:vertAlign w:val="superscript"/>
          </w:rPr>
          <w:t>1296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128" name="Image 1128"/>
            <wp:cNvGraphicFramePr>
              <a:graphicFrameLocks/>
            </wp:cNvGraphicFramePr>
            <a:graphic>
              <a:graphicData uri="http://schemas.openxmlformats.org/drawingml/2006/picture">
                <pic:pic>
                  <pic:nvPicPr>
                    <pic:cNvPr id="1128" name="Image 112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also </w:t>
      </w:r>
      <w:r>
        <w:rPr>
          <w:rFonts w:ascii="Arial" w:hAnsi="Arial"/>
          <w:i/>
          <w:vertAlign w:val="baseline"/>
        </w:rPr>
        <w:t>RV Ward Ltd v Bignall [1967] 1 Q.B. 534 </w:t>
      </w:r>
      <w:r>
        <w:rPr>
          <w:vertAlign w:val="baseline"/>
        </w:rPr>
        <w:t>(Vol.II, para.44-358). It has been noted that the </w:t>
      </w:r>
      <w:r>
        <w:rPr>
          <w:rFonts w:ascii="Arial" w:hAnsi="Arial"/>
          <w:i/>
          <w:vertAlign w:val="baseline"/>
        </w:rPr>
        <w:t>Dies </w:t>
      </w:r>
      <w:r>
        <w:rPr>
          <w:vertAlign w:val="baseline"/>
        </w:rPr>
        <w:t>case was decided on the basis that the buyer’s payment of the price was </w:t>
      </w:r>
      <w:r>
        <w:rPr>
          <w:vertAlign w:val="baseline"/>
        </w:rPr>
        <w:t>conditional, but</w:t>
      </w:r>
      <w:r>
        <w:rPr>
          <w:spacing w:val="27"/>
          <w:vertAlign w:val="baseline"/>
        </w:rPr>
        <w:t> </w:t>
      </w:r>
      <w:r>
        <w:rPr>
          <w:vertAlign w:val="baseline"/>
        </w:rPr>
        <w:t>that</w:t>
      </w:r>
      <w:r>
        <w:rPr>
          <w:spacing w:val="27"/>
          <w:vertAlign w:val="baseline"/>
        </w:rPr>
        <w:t> </w:t>
      </w:r>
      <w:r>
        <w:rPr>
          <w:vertAlign w:val="baseline"/>
        </w:rPr>
        <w:t>now</w:t>
      </w:r>
      <w:r>
        <w:rPr>
          <w:spacing w:val="27"/>
          <w:vertAlign w:val="baseline"/>
        </w:rPr>
        <w:t> </w:t>
      </w:r>
      <w:r>
        <w:rPr>
          <w:vertAlign w:val="baseline"/>
        </w:rPr>
        <w:t>the</w:t>
      </w:r>
      <w:r>
        <w:rPr>
          <w:spacing w:val="27"/>
          <w:vertAlign w:val="baseline"/>
        </w:rPr>
        <w:t> </w:t>
      </w:r>
      <w:r>
        <w:rPr>
          <w:vertAlign w:val="baseline"/>
        </w:rPr>
        <w:t>case</w:t>
      </w:r>
      <w:r>
        <w:rPr>
          <w:spacing w:val="27"/>
          <w:vertAlign w:val="baseline"/>
        </w:rPr>
        <w:t> </w:t>
      </w:r>
      <w:r>
        <w:rPr>
          <w:vertAlign w:val="baseline"/>
        </w:rPr>
        <w:t>might</w:t>
      </w:r>
      <w:r>
        <w:rPr>
          <w:spacing w:val="27"/>
          <w:vertAlign w:val="baseline"/>
        </w:rPr>
        <w:t> </w:t>
      </w:r>
      <w:r>
        <w:rPr>
          <w:vertAlign w:val="baseline"/>
        </w:rPr>
        <w:t>be</w:t>
      </w:r>
      <w:r>
        <w:rPr>
          <w:spacing w:val="27"/>
          <w:vertAlign w:val="baseline"/>
        </w:rPr>
        <w:t> </w:t>
      </w:r>
      <w:r>
        <w:rPr>
          <w:vertAlign w:val="baseline"/>
        </w:rPr>
        <w:t>decided</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ground</w:t>
      </w:r>
      <w:r>
        <w:rPr>
          <w:spacing w:val="27"/>
          <w:vertAlign w:val="baseline"/>
        </w:rPr>
        <w:t> </w:t>
      </w:r>
      <w:r>
        <w:rPr>
          <w:vertAlign w:val="baseline"/>
        </w:rPr>
        <w:t>that</w:t>
      </w:r>
      <w:r>
        <w:rPr>
          <w:spacing w:val="27"/>
          <w:vertAlign w:val="baseline"/>
        </w:rPr>
        <w:t> </w:t>
      </w:r>
      <w:r>
        <w:rPr>
          <w:vertAlign w:val="baseline"/>
        </w:rPr>
        <w:t>there</w:t>
      </w:r>
      <w:r>
        <w:rPr>
          <w:spacing w:val="27"/>
          <w:vertAlign w:val="baseline"/>
        </w:rPr>
        <w:t> </w:t>
      </w:r>
      <w:r>
        <w:rPr>
          <w:vertAlign w:val="baseline"/>
        </w:rPr>
        <w:t>had</w:t>
      </w:r>
      <w:r>
        <w:rPr>
          <w:spacing w:val="27"/>
          <w:vertAlign w:val="baseline"/>
        </w:rPr>
        <w:t> </w:t>
      </w:r>
      <w:r>
        <w:rPr>
          <w:vertAlign w:val="baseline"/>
        </w:rPr>
        <w:t>been</w:t>
      </w:r>
      <w:r>
        <w:rPr>
          <w:spacing w:val="27"/>
          <w:vertAlign w:val="baseline"/>
        </w:rPr>
        <w:t> </w:t>
      </w:r>
      <w:r>
        <w:rPr>
          <w:vertAlign w:val="baseline"/>
        </w:rPr>
        <w:t>a</w:t>
      </w:r>
      <w:r>
        <w:rPr>
          <w:spacing w:val="27"/>
          <w:vertAlign w:val="baseline"/>
        </w:rPr>
        <w:t> </w:t>
      </w:r>
      <w:r>
        <w:rPr>
          <w:vertAlign w:val="baseline"/>
        </w:rPr>
        <w:t>total</w:t>
      </w:r>
      <w:r>
        <w:rPr>
          <w:spacing w:val="27"/>
          <w:vertAlign w:val="baseline"/>
        </w:rPr>
        <w:t> </w:t>
      </w:r>
      <w:r>
        <w:rPr>
          <w:vertAlign w:val="baseline"/>
        </w:rPr>
        <w:t>failure</w:t>
      </w:r>
      <w:r>
        <w:rPr>
          <w:spacing w:val="27"/>
          <w:vertAlign w:val="baseline"/>
        </w:rPr>
        <w:t> </w:t>
      </w:r>
      <w:r>
        <w:rPr>
          <w:spacing w:val="-5"/>
          <w:vertAlign w:val="baseline"/>
        </w:rPr>
        <w:t>of</w:t>
      </w:r>
    </w:p>
    <w:p>
      <w:pPr>
        <w:pStyle w:val="BodyText"/>
        <w:spacing w:after="0" w:line="235" w:lineRule="auto"/>
        <w:jc w:val="both"/>
        <w:sectPr>
          <w:headerReference w:type="default" r:id="rId59"/>
          <w:pgSz w:w="11900" w:h="16840"/>
          <w:pgMar w:header="971" w:footer="0" w:top="1300" w:bottom="280" w:left="1275" w:right="1275"/>
          <w:pgNumType w:start="2"/>
        </w:sectPr>
      </w:pPr>
    </w:p>
    <w:p>
      <w:pPr>
        <w:spacing w:line="235" w:lineRule="auto" w:before="110"/>
        <w:ind w:left="705" w:right="167" w:firstLine="0"/>
        <w:jc w:val="both"/>
        <w:rPr>
          <w:sz w:val="20"/>
        </w:rPr>
      </w:pPr>
      <w:r>
        <w:rPr>
          <w:sz w:val="20"/>
        </w:rPr>
        <w:t>consideration: </w:t>
      </w:r>
      <w:r>
        <w:rPr>
          <w:rFonts w:ascii="Arial"/>
          <w:i/>
          <w:sz w:val="20"/>
        </w:rPr>
        <w:t>Cadogan Petroleum Holdings Ltd v Global Process Systems LLC [2013] </w:t>
      </w:r>
      <w:r>
        <w:rPr>
          <w:rFonts w:ascii="Arial"/>
          <w:i/>
          <w:sz w:val="20"/>
        </w:rPr>
        <w:t>EWHC 214</w:t>
      </w:r>
      <w:r>
        <w:rPr>
          <w:rFonts w:ascii="Arial"/>
          <w:i/>
          <w:spacing w:val="-2"/>
          <w:sz w:val="20"/>
        </w:rPr>
        <w:t> </w:t>
      </w:r>
      <w:r>
        <w:rPr>
          <w:rFonts w:ascii="Arial"/>
          <w:i/>
          <w:sz w:val="20"/>
        </w:rPr>
        <w:t>(Comm)</w:t>
      </w:r>
      <w:r>
        <w:rPr>
          <w:rFonts w:ascii="Arial"/>
          <w:i/>
          <w:spacing w:val="-2"/>
          <w:sz w:val="20"/>
        </w:rPr>
        <w:t> </w:t>
      </w:r>
      <w:r>
        <w:rPr>
          <w:sz w:val="20"/>
        </w:rPr>
        <w:t>at</w:t>
      </w:r>
      <w:r>
        <w:rPr>
          <w:spacing w:val="-2"/>
          <w:sz w:val="20"/>
        </w:rPr>
        <w:t> </w:t>
      </w:r>
      <w:r>
        <w:rPr>
          <w:sz w:val="20"/>
        </w:rPr>
        <w:t>[23].</w:t>
      </w:r>
      <w:r>
        <w:rPr>
          <w:spacing w:val="-2"/>
          <w:sz w:val="20"/>
        </w:rPr>
        <w:t> </w:t>
      </w:r>
      <w:r>
        <w:rPr>
          <w:sz w:val="20"/>
        </w:rPr>
        <w:t>On</w:t>
      </w:r>
      <w:r>
        <w:rPr>
          <w:spacing w:val="-2"/>
          <w:sz w:val="20"/>
        </w:rPr>
        <w:t> </w:t>
      </w:r>
      <w:r>
        <w:rPr>
          <w:sz w:val="20"/>
        </w:rPr>
        <w:t>either</w:t>
      </w:r>
      <w:r>
        <w:rPr>
          <w:spacing w:val="-2"/>
          <w:sz w:val="20"/>
        </w:rPr>
        <w:t> </w:t>
      </w:r>
      <w:r>
        <w:rPr>
          <w:sz w:val="20"/>
        </w:rPr>
        <w:t>approach,</w:t>
      </w:r>
      <w:r>
        <w:rPr>
          <w:spacing w:val="-2"/>
          <w:sz w:val="20"/>
        </w:rPr>
        <w:t> </w:t>
      </w:r>
      <w:r>
        <w:rPr>
          <w:sz w:val="20"/>
        </w:rPr>
        <w:t>the</w:t>
      </w:r>
      <w:r>
        <w:rPr>
          <w:spacing w:val="-2"/>
          <w:sz w:val="20"/>
        </w:rPr>
        <w:t> </w:t>
      </w:r>
      <w:r>
        <w:rPr>
          <w:sz w:val="20"/>
        </w:rPr>
        <w:t>payment</w:t>
      </w:r>
      <w:r>
        <w:rPr>
          <w:spacing w:val="-2"/>
          <w:sz w:val="20"/>
        </w:rPr>
        <w:t> </w:t>
      </w:r>
      <w:r>
        <w:rPr>
          <w:sz w:val="20"/>
        </w:rPr>
        <w:t>is</w:t>
      </w:r>
      <w:r>
        <w:rPr>
          <w:spacing w:val="-2"/>
          <w:sz w:val="20"/>
        </w:rPr>
        <w:t> </w:t>
      </w:r>
      <w:r>
        <w:rPr>
          <w:sz w:val="20"/>
        </w:rPr>
        <w:t>not</w:t>
      </w:r>
      <w:r>
        <w:rPr>
          <w:spacing w:val="-2"/>
          <w:sz w:val="20"/>
        </w:rPr>
        <w:t> </w:t>
      </w:r>
      <w:r>
        <w:rPr>
          <w:sz w:val="20"/>
        </w:rPr>
        <w:t>recoverable</w:t>
      </w:r>
      <w:r>
        <w:rPr>
          <w:spacing w:val="-2"/>
          <w:sz w:val="20"/>
        </w:rPr>
        <w:t> </w:t>
      </w:r>
      <w:r>
        <w:rPr>
          <w:sz w:val="20"/>
        </w:rPr>
        <w:t>if</w:t>
      </w:r>
      <w:r>
        <w:rPr>
          <w:spacing w:val="-2"/>
          <w:sz w:val="20"/>
        </w:rPr>
        <w:t> </w:t>
      </w:r>
      <w:r>
        <w:rPr>
          <w:sz w:val="20"/>
        </w:rPr>
        <w:t>the</w:t>
      </w:r>
      <w:r>
        <w:rPr>
          <w:spacing w:val="-2"/>
          <w:sz w:val="20"/>
        </w:rPr>
        <w:t> </w:t>
      </w:r>
      <w:r>
        <w:rPr>
          <w:sz w:val="20"/>
        </w:rPr>
        <w:t>contract</w:t>
      </w:r>
      <w:r>
        <w:rPr>
          <w:spacing w:val="-2"/>
          <w:sz w:val="20"/>
        </w:rPr>
        <w:t> </w:t>
      </w:r>
      <w:r>
        <w:rPr>
          <w:sz w:val="20"/>
        </w:rPr>
        <w:t>provides otherwise: </w:t>
      </w:r>
      <w:r>
        <w:rPr>
          <w:rFonts w:ascii="Arial"/>
          <w:i/>
          <w:sz w:val="20"/>
        </w:rPr>
        <w:t>[2013] EWHC 214 (Comm) </w:t>
      </w:r>
      <w:r>
        <w:rPr>
          <w:sz w:val="20"/>
        </w:rPr>
        <w:t>at [18] and [27].</w:t>
      </w:r>
    </w:p>
    <w:p>
      <w:pPr>
        <w:pStyle w:val="BodyText"/>
        <w:spacing w:before="12"/>
      </w:pPr>
    </w:p>
    <w:p>
      <w:pPr>
        <w:spacing w:line="137" w:lineRule="exact" w:before="1"/>
        <w:ind w:left="165" w:right="0" w:firstLine="0"/>
        <w:jc w:val="left"/>
        <w:rPr>
          <w:sz w:val="14"/>
        </w:rPr>
      </w:pPr>
      <w:bookmarkStart w:name="_bookmark2475" w:id="2477"/>
      <w:bookmarkEnd w:id="2477"/>
      <w:r>
        <w:rPr/>
      </w:r>
      <w:hyperlink w:history="true" w:anchor="_bookmark2460">
        <w:r>
          <w:rPr>
            <w:color w:val="005DA1"/>
            <w:spacing w:val="-2"/>
            <w:sz w:val="14"/>
            <w:u w:val="single" w:color="005DA1"/>
          </w:rPr>
          <w:t>1297</w:t>
        </w:r>
      </w:hyperlink>
      <w:r>
        <w:rPr>
          <w:spacing w:val="-2"/>
          <w:sz w:val="14"/>
        </w:rPr>
        <w:t>.</w:t>
      </w:r>
    </w:p>
    <w:p>
      <w:pPr>
        <w:spacing w:line="203" w:lineRule="exact" w:before="0"/>
        <w:ind w:left="875" w:right="0" w:firstLine="0"/>
        <w:jc w:val="both"/>
        <w:rPr>
          <w:rFonts w:ascii="Arial" w:hAnsi="Arial"/>
          <w:i/>
          <w:sz w:val="20"/>
        </w:rPr>
      </w:pPr>
      <w:r>
        <w:rPr>
          <w:rFonts w:ascii="Arial" w:hAnsi="Arial"/>
          <w:i/>
          <w:sz w:val="20"/>
        </w:rPr>
        <w:drawing>
          <wp:anchor distT="0" distB="0" distL="0" distR="0" allowOverlap="1" layoutInCell="1" locked="0" behindDoc="0" simplePos="0" relativeHeight="15874048">
            <wp:simplePos x="0" y="0"/>
            <wp:positionH relativeFrom="page">
              <wp:posOffset>1257846</wp:posOffset>
            </wp:positionH>
            <wp:positionV relativeFrom="paragraph">
              <wp:posOffset>12545</wp:posOffset>
            </wp:positionV>
            <wp:extent cx="107988" cy="107988"/>
            <wp:effectExtent l="0" t="0" r="0" b="0"/>
            <wp:wrapNone/>
            <wp:docPr id="1129" name="Image 1129"/>
            <wp:cNvGraphicFramePr>
              <a:graphicFrameLocks/>
            </wp:cNvGraphicFramePr>
            <a:graphic>
              <a:graphicData uri="http://schemas.openxmlformats.org/drawingml/2006/picture">
                <pic:pic>
                  <pic:nvPicPr>
                    <pic:cNvPr id="1129" name="Image 112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Hyundai</w:t>
      </w:r>
      <w:r>
        <w:rPr>
          <w:rFonts w:ascii="Arial" w:hAnsi="Arial"/>
          <w:i/>
          <w:spacing w:val="70"/>
          <w:sz w:val="20"/>
        </w:rPr>
        <w:t> </w:t>
      </w:r>
      <w:r>
        <w:rPr>
          <w:rFonts w:ascii="Arial" w:hAnsi="Arial"/>
          <w:i/>
          <w:sz w:val="20"/>
        </w:rPr>
        <w:t>Heavy</w:t>
      </w:r>
      <w:r>
        <w:rPr>
          <w:rFonts w:ascii="Arial" w:hAnsi="Arial"/>
          <w:i/>
          <w:spacing w:val="70"/>
          <w:sz w:val="20"/>
        </w:rPr>
        <w:t> </w:t>
      </w:r>
      <w:r>
        <w:rPr>
          <w:rFonts w:ascii="Arial" w:hAnsi="Arial"/>
          <w:i/>
          <w:sz w:val="20"/>
        </w:rPr>
        <w:t>Industries</w:t>
      </w:r>
      <w:r>
        <w:rPr>
          <w:rFonts w:ascii="Arial" w:hAnsi="Arial"/>
          <w:i/>
          <w:spacing w:val="70"/>
          <w:sz w:val="20"/>
        </w:rPr>
        <w:t> </w:t>
      </w:r>
      <w:r>
        <w:rPr>
          <w:rFonts w:ascii="Arial" w:hAnsi="Arial"/>
          <w:i/>
          <w:sz w:val="20"/>
        </w:rPr>
        <w:t>Co</w:t>
      </w:r>
      <w:r>
        <w:rPr>
          <w:rFonts w:ascii="Arial" w:hAnsi="Arial"/>
          <w:i/>
          <w:spacing w:val="70"/>
          <w:sz w:val="20"/>
        </w:rPr>
        <w:t> </w:t>
      </w:r>
      <w:r>
        <w:rPr>
          <w:rFonts w:ascii="Arial" w:hAnsi="Arial"/>
          <w:i/>
          <w:sz w:val="20"/>
        </w:rPr>
        <w:t>Ltd</w:t>
      </w:r>
      <w:r>
        <w:rPr>
          <w:rFonts w:ascii="Arial" w:hAnsi="Arial"/>
          <w:i/>
          <w:spacing w:val="70"/>
          <w:sz w:val="20"/>
        </w:rPr>
        <w:t> </w:t>
      </w:r>
      <w:r>
        <w:rPr>
          <w:rFonts w:ascii="Arial" w:hAnsi="Arial"/>
          <w:i/>
          <w:sz w:val="20"/>
        </w:rPr>
        <w:t>v</w:t>
      </w:r>
      <w:r>
        <w:rPr>
          <w:rFonts w:ascii="Arial" w:hAnsi="Arial"/>
          <w:i/>
          <w:spacing w:val="70"/>
          <w:sz w:val="20"/>
        </w:rPr>
        <w:t> </w:t>
      </w:r>
      <w:r>
        <w:rPr>
          <w:rFonts w:ascii="Arial" w:hAnsi="Arial"/>
          <w:i/>
          <w:sz w:val="20"/>
        </w:rPr>
        <w:t>Papadopoulos</w:t>
      </w:r>
      <w:r>
        <w:rPr>
          <w:rFonts w:ascii="Arial" w:hAnsi="Arial"/>
          <w:i/>
          <w:spacing w:val="70"/>
          <w:sz w:val="20"/>
        </w:rPr>
        <w:t> </w:t>
      </w:r>
      <w:r>
        <w:rPr>
          <w:rFonts w:ascii="Arial" w:hAnsi="Arial"/>
          <w:i/>
          <w:sz w:val="20"/>
        </w:rPr>
        <w:t>[1980]</w:t>
      </w:r>
      <w:r>
        <w:rPr>
          <w:rFonts w:ascii="Arial" w:hAnsi="Arial"/>
          <w:i/>
          <w:spacing w:val="70"/>
          <w:sz w:val="20"/>
        </w:rPr>
        <w:t> </w:t>
      </w:r>
      <w:r>
        <w:rPr>
          <w:rFonts w:ascii="Arial" w:hAnsi="Arial"/>
          <w:i/>
          <w:sz w:val="20"/>
        </w:rPr>
        <w:t>1</w:t>
      </w:r>
      <w:r>
        <w:rPr>
          <w:rFonts w:ascii="Arial" w:hAnsi="Arial"/>
          <w:i/>
          <w:spacing w:val="70"/>
          <w:sz w:val="20"/>
        </w:rPr>
        <w:t> </w:t>
      </w:r>
      <w:r>
        <w:rPr>
          <w:rFonts w:ascii="Arial" w:hAnsi="Arial"/>
          <w:i/>
          <w:sz w:val="20"/>
        </w:rPr>
        <w:t>W.L.R.</w:t>
      </w:r>
      <w:r>
        <w:rPr>
          <w:rFonts w:ascii="Arial" w:hAnsi="Arial"/>
          <w:i/>
          <w:spacing w:val="70"/>
          <w:sz w:val="20"/>
        </w:rPr>
        <w:t> </w:t>
      </w:r>
      <w:r>
        <w:rPr>
          <w:rFonts w:ascii="Arial" w:hAnsi="Arial"/>
          <w:i/>
          <w:sz w:val="20"/>
        </w:rPr>
        <w:t>1129,</w:t>
      </w:r>
      <w:r>
        <w:rPr>
          <w:rFonts w:ascii="Arial" w:hAnsi="Arial"/>
          <w:i/>
          <w:spacing w:val="70"/>
          <w:sz w:val="20"/>
        </w:rPr>
        <w:t> </w:t>
      </w:r>
      <w:r>
        <w:rPr>
          <w:rFonts w:ascii="Arial" w:hAnsi="Arial"/>
          <w:i/>
          <w:spacing w:val="-2"/>
          <w:sz w:val="20"/>
        </w:rPr>
        <w:t>1142–1143,</w:t>
      </w:r>
    </w:p>
    <w:p>
      <w:pPr>
        <w:spacing w:line="235" w:lineRule="auto" w:before="1"/>
        <w:ind w:left="705" w:right="167" w:firstLine="0"/>
        <w:jc w:val="both"/>
        <w:rPr>
          <w:sz w:val="20"/>
        </w:rPr>
      </w:pPr>
      <w:r>
        <w:rPr>
          <w:rFonts w:ascii="Arial" w:hAnsi="Arial"/>
          <w:i/>
          <w:sz w:val="20"/>
        </w:rPr>
        <w:t>1147–1148</w:t>
      </w:r>
      <w:r>
        <w:rPr>
          <w:sz w:val="20"/>
        </w:rPr>
        <w:t>. (The contract in this case was for work and material supplied in the course of building a ship, and so it was treated as analogous to a building contract: see Beatson (1981)</w:t>
      </w:r>
      <w:r>
        <w:rPr>
          <w:spacing w:val="40"/>
          <w:sz w:val="20"/>
        </w:rPr>
        <w:t> </w:t>
      </w:r>
      <w:r>
        <w:rPr>
          <w:sz w:val="20"/>
        </w:rPr>
        <w:t>97</w:t>
      </w:r>
      <w:r>
        <w:rPr>
          <w:spacing w:val="-2"/>
          <w:sz w:val="20"/>
        </w:rPr>
        <w:t> </w:t>
      </w:r>
      <w:r>
        <w:rPr>
          <w:sz w:val="20"/>
        </w:rPr>
        <w:t>L.Q.R.</w:t>
      </w:r>
      <w:r>
        <w:rPr>
          <w:spacing w:val="-2"/>
          <w:sz w:val="20"/>
        </w:rPr>
        <w:t> </w:t>
      </w:r>
      <w:r>
        <w:rPr>
          <w:sz w:val="20"/>
        </w:rPr>
        <w:t>389,</w:t>
      </w:r>
      <w:r>
        <w:rPr>
          <w:spacing w:val="-2"/>
          <w:sz w:val="20"/>
        </w:rPr>
        <w:t> </w:t>
      </w:r>
      <w:r>
        <w:rPr>
          <w:sz w:val="20"/>
        </w:rPr>
        <w:t>401–404;</w:t>
      </w:r>
      <w:r>
        <w:rPr>
          <w:spacing w:val="-2"/>
          <w:sz w:val="20"/>
        </w:rPr>
        <w:t> </w:t>
      </w:r>
      <w:r>
        <w:rPr>
          <w:rFonts w:ascii="Arial" w:hAnsi="Arial"/>
          <w:i/>
          <w:sz w:val="20"/>
        </w:rPr>
        <w:t>Stocznia</w:t>
      </w:r>
      <w:r>
        <w:rPr>
          <w:rFonts w:ascii="Arial" w:hAnsi="Arial"/>
          <w:i/>
          <w:spacing w:val="-2"/>
          <w:sz w:val="20"/>
        </w:rPr>
        <w:t> </w:t>
      </w:r>
      <w:r>
        <w:rPr>
          <w:rFonts w:ascii="Arial" w:hAnsi="Arial"/>
          <w:i/>
          <w:sz w:val="20"/>
        </w:rPr>
        <w:t>Gdanska</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Latvian</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574</w:t>
      </w:r>
      <w:r>
        <w:rPr>
          <w:rFonts w:ascii="Arial" w:hAnsi="Arial"/>
          <w:i/>
          <w:spacing w:val="-2"/>
          <w:sz w:val="20"/>
        </w:rPr>
        <w:t> </w:t>
      </w:r>
      <w:r>
        <w:rPr>
          <w:rFonts w:ascii="Arial" w:hAnsi="Arial"/>
          <w:i/>
          <w:sz w:val="20"/>
        </w:rPr>
        <w:t>HL</w:t>
      </w:r>
      <w:r>
        <w:rPr>
          <w:sz w:val="20"/>
        </w:rPr>
        <w:t>.) The</w:t>
      </w:r>
      <w:r>
        <w:rPr>
          <w:spacing w:val="-2"/>
          <w:sz w:val="20"/>
        </w:rPr>
        <w:t> </w:t>
      </w:r>
      <w:r>
        <w:rPr>
          <w:rFonts w:ascii="Arial" w:hAnsi="Arial"/>
          <w:i/>
          <w:sz w:val="20"/>
        </w:rPr>
        <w:t>Dies</w:t>
      </w:r>
      <w:r>
        <w:rPr>
          <w:rFonts w:ascii="Arial" w:hAnsi="Arial"/>
          <w:i/>
          <w:spacing w:val="-2"/>
          <w:sz w:val="20"/>
        </w:rPr>
        <w:t> </w:t>
      </w:r>
      <w:r>
        <w:rPr>
          <w:rFonts w:ascii="Arial" w:hAnsi="Arial"/>
          <w:i/>
          <w:sz w:val="20"/>
        </w:rPr>
        <w:t>[1939]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724</w:t>
      </w:r>
      <w:r>
        <w:rPr>
          <w:rFonts w:ascii="Arial" w:hAnsi="Arial"/>
          <w:i/>
          <w:spacing w:val="-3"/>
          <w:sz w:val="20"/>
        </w:rPr>
        <w:t> </w:t>
      </w:r>
      <w:r>
        <w:rPr>
          <w:sz w:val="20"/>
        </w:rPr>
        <w:t>case</w:t>
      </w:r>
      <w:r>
        <w:rPr>
          <w:spacing w:val="-2"/>
          <w:sz w:val="20"/>
        </w:rPr>
        <w:t> </w:t>
      </w:r>
      <w:r>
        <w:rPr>
          <w:sz w:val="20"/>
        </w:rPr>
        <w:t>was</w:t>
      </w:r>
      <w:r>
        <w:rPr>
          <w:spacing w:val="-2"/>
          <w:sz w:val="20"/>
        </w:rPr>
        <w:t> </w:t>
      </w:r>
      <w:r>
        <w:rPr>
          <w:sz w:val="20"/>
        </w:rPr>
        <w:t>also</w:t>
      </w:r>
      <w:r>
        <w:rPr>
          <w:spacing w:val="-2"/>
          <w:sz w:val="20"/>
        </w:rPr>
        <w:t> </w:t>
      </w:r>
      <w:r>
        <w:rPr>
          <w:sz w:val="20"/>
        </w:rPr>
        <w:t>distinguished</w:t>
      </w:r>
      <w:r>
        <w:rPr>
          <w:spacing w:val="-2"/>
          <w:sz w:val="20"/>
        </w:rPr>
        <w:t> </w:t>
      </w:r>
      <w:r>
        <w:rPr>
          <w:sz w:val="20"/>
        </w:rPr>
        <w:t>in</w:t>
      </w:r>
      <w:r>
        <w:rPr>
          <w:spacing w:val="-2"/>
          <w:sz w:val="20"/>
        </w:rPr>
        <w:t> </w:t>
      </w:r>
      <w:r>
        <w:rPr>
          <w:sz w:val="20"/>
        </w:rPr>
        <w:t>the</w:t>
      </w:r>
      <w:r>
        <w:rPr>
          <w:spacing w:val="-3"/>
          <w:sz w:val="20"/>
        </w:rPr>
        <w:t> </w:t>
      </w:r>
      <w:r>
        <w:rPr>
          <w:rFonts w:ascii="Arial" w:hAnsi="Arial"/>
          <w:i/>
          <w:sz w:val="20"/>
        </w:rPr>
        <w:t>Hyundai</w:t>
      </w:r>
      <w:r>
        <w:rPr>
          <w:rFonts w:ascii="Arial" w:hAnsi="Arial"/>
          <w:i/>
          <w:spacing w:val="-3"/>
          <w:sz w:val="20"/>
        </w:rPr>
        <w:t> </w:t>
      </w:r>
      <w:r>
        <w:rPr>
          <w:sz w:val="20"/>
        </w:rPr>
        <w:t>case</w:t>
      </w:r>
      <w:r>
        <w:rPr>
          <w:spacing w:val="-2"/>
          <w:sz w:val="20"/>
        </w:rPr>
        <w:t> </w:t>
      </w:r>
      <w:r>
        <w:rPr>
          <w:sz w:val="20"/>
        </w:rPr>
        <w:t>1134–1136,</w:t>
      </w:r>
      <w:r>
        <w:rPr>
          <w:spacing w:val="-2"/>
          <w:sz w:val="20"/>
        </w:rPr>
        <w:t> </w:t>
      </w:r>
      <w:r>
        <w:rPr>
          <w:sz w:val="20"/>
        </w:rPr>
        <w:t>on</w:t>
      </w:r>
      <w:r>
        <w:rPr>
          <w:spacing w:val="-2"/>
          <w:sz w:val="20"/>
        </w:rPr>
        <w:t> </w:t>
      </w:r>
      <w:r>
        <w:rPr>
          <w:sz w:val="20"/>
        </w:rPr>
        <w:t>the ground that there was a total failure of consideration in </w:t>
      </w:r>
      <w:r>
        <w:rPr>
          <w:rFonts w:ascii="Arial" w:hAnsi="Arial"/>
          <w:i/>
          <w:sz w:val="20"/>
        </w:rPr>
        <w:t>Dies</w:t>
      </w:r>
      <w:r>
        <w:rPr>
          <w:sz w:val="20"/>
        </w:rPr>
        <w:t>: see Vol.I, paras 29-057 et seq.</w:t>
      </w:r>
    </w:p>
    <w:p>
      <w:pPr>
        <w:pStyle w:val="BodyText"/>
        <w:spacing w:before="11"/>
      </w:pPr>
    </w:p>
    <w:p>
      <w:pPr>
        <w:spacing w:line="137" w:lineRule="exact" w:before="0"/>
        <w:ind w:left="165" w:right="0" w:firstLine="0"/>
        <w:jc w:val="left"/>
        <w:rPr>
          <w:sz w:val="14"/>
        </w:rPr>
      </w:pPr>
      <w:bookmarkStart w:name="_bookmark2476" w:id="2478"/>
      <w:bookmarkEnd w:id="2478"/>
      <w:r>
        <w:rPr/>
      </w:r>
      <w:hyperlink w:history="true" w:anchor="_bookmark2461">
        <w:r>
          <w:rPr>
            <w:color w:val="005DA1"/>
            <w:spacing w:val="-2"/>
            <w:sz w:val="14"/>
            <w:u w:val="single" w:color="005DA1"/>
          </w:rPr>
          <w:t>1298</w:t>
        </w:r>
      </w:hyperlink>
      <w:r>
        <w:rPr>
          <w:spacing w:val="-2"/>
          <w:sz w:val="14"/>
        </w:rPr>
        <w:t>.</w:t>
      </w:r>
    </w:p>
    <w:p>
      <w:pPr>
        <w:spacing w:line="203" w:lineRule="exact" w:before="0"/>
        <w:ind w:left="875" w:right="0" w:firstLine="0"/>
        <w:jc w:val="both"/>
        <w:rPr>
          <w:rFonts w:ascii="Arial" w:hAnsi="Arial"/>
          <w:i/>
          <w:sz w:val="20"/>
        </w:rPr>
      </w:pPr>
      <w:r>
        <w:rPr>
          <w:rFonts w:ascii="Arial" w:hAnsi="Arial"/>
          <w:i/>
          <w:sz w:val="20"/>
        </w:rPr>
        <w:drawing>
          <wp:anchor distT="0" distB="0" distL="0" distR="0" allowOverlap="1" layoutInCell="1" locked="0" behindDoc="0" simplePos="0" relativeHeight="15874560">
            <wp:simplePos x="0" y="0"/>
            <wp:positionH relativeFrom="page">
              <wp:posOffset>1257846</wp:posOffset>
            </wp:positionH>
            <wp:positionV relativeFrom="paragraph">
              <wp:posOffset>13069</wp:posOffset>
            </wp:positionV>
            <wp:extent cx="107988" cy="107988"/>
            <wp:effectExtent l="0" t="0" r="0" b="0"/>
            <wp:wrapNone/>
            <wp:docPr id="1130" name="Image 1130"/>
            <wp:cNvGraphicFramePr>
              <a:graphicFrameLocks/>
            </wp:cNvGraphicFramePr>
            <a:graphic>
              <a:graphicData uri="http://schemas.openxmlformats.org/drawingml/2006/picture">
                <pic:pic>
                  <pic:nvPicPr>
                    <pic:cNvPr id="1130" name="Image 113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Beatson</w:t>
      </w:r>
      <w:r>
        <w:rPr>
          <w:spacing w:val="9"/>
          <w:sz w:val="20"/>
        </w:rPr>
        <w:t> </w:t>
      </w:r>
      <w:r>
        <w:rPr>
          <w:sz w:val="20"/>
        </w:rPr>
        <w:t>(1981)</w:t>
      </w:r>
      <w:r>
        <w:rPr>
          <w:spacing w:val="9"/>
          <w:sz w:val="20"/>
        </w:rPr>
        <w:t> </w:t>
      </w:r>
      <w:r>
        <w:rPr>
          <w:sz w:val="20"/>
        </w:rPr>
        <w:t>97</w:t>
      </w:r>
      <w:r>
        <w:rPr>
          <w:spacing w:val="9"/>
          <w:sz w:val="20"/>
        </w:rPr>
        <w:t> </w:t>
      </w:r>
      <w:r>
        <w:rPr>
          <w:sz w:val="20"/>
        </w:rPr>
        <w:t>L.Q.R.</w:t>
      </w:r>
      <w:r>
        <w:rPr>
          <w:spacing w:val="9"/>
          <w:sz w:val="20"/>
        </w:rPr>
        <w:t> </w:t>
      </w:r>
      <w:r>
        <w:rPr>
          <w:sz w:val="20"/>
        </w:rPr>
        <w:t>389,</w:t>
      </w:r>
      <w:r>
        <w:rPr>
          <w:spacing w:val="9"/>
          <w:sz w:val="20"/>
        </w:rPr>
        <w:t> </w:t>
      </w:r>
      <w:r>
        <w:rPr>
          <w:sz w:val="20"/>
        </w:rPr>
        <w:t>391–401.</w:t>
      </w:r>
      <w:r>
        <w:rPr>
          <w:spacing w:val="9"/>
          <w:sz w:val="20"/>
        </w:rPr>
        <w:t> </w:t>
      </w:r>
      <w:r>
        <w:rPr>
          <w:sz w:val="20"/>
        </w:rPr>
        <w:t>See</w:t>
      </w:r>
      <w:r>
        <w:rPr>
          <w:spacing w:val="9"/>
          <w:sz w:val="20"/>
        </w:rPr>
        <w:t> </w:t>
      </w:r>
      <w:r>
        <w:rPr>
          <w:sz w:val="20"/>
        </w:rPr>
        <w:t>also</w:t>
      </w:r>
      <w:r>
        <w:rPr>
          <w:spacing w:val="9"/>
          <w:sz w:val="20"/>
        </w:rPr>
        <w:t> </w:t>
      </w:r>
      <w:r>
        <w:rPr>
          <w:sz w:val="20"/>
        </w:rPr>
        <w:t>Dixon</w:t>
      </w:r>
      <w:r>
        <w:rPr>
          <w:spacing w:val="9"/>
          <w:sz w:val="20"/>
        </w:rPr>
        <w:t> </w:t>
      </w:r>
      <w:r>
        <w:rPr>
          <w:sz w:val="20"/>
        </w:rPr>
        <w:t>J.</w:t>
      </w:r>
      <w:r>
        <w:rPr>
          <w:spacing w:val="9"/>
          <w:sz w:val="20"/>
        </w:rPr>
        <w:t> </w:t>
      </w:r>
      <w:r>
        <w:rPr>
          <w:sz w:val="20"/>
        </w:rPr>
        <w:t>in</w:t>
      </w:r>
      <w:r>
        <w:rPr>
          <w:spacing w:val="8"/>
          <w:sz w:val="20"/>
        </w:rPr>
        <w:t> </w:t>
      </w:r>
      <w:r>
        <w:rPr>
          <w:rFonts w:ascii="Arial" w:hAnsi="Arial"/>
          <w:i/>
          <w:sz w:val="20"/>
        </w:rPr>
        <w:t>McDonald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Dennys</w:t>
      </w:r>
      <w:r>
        <w:rPr>
          <w:rFonts w:ascii="Arial" w:hAnsi="Arial"/>
          <w:i/>
          <w:spacing w:val="9"/>
          <w:sz w:val="20"/>
        </w:rPr>
        <w:t> </w:t>
      </w:r>
      <w:r>
        <w:rPr>
          <w:rFonts w:ascii="Arial" w:hAnsi="Arial"/>
          <w:i/>
          <w:spacing w:val="-2"/>
          <w:sz w:val="20"/>
        </w:rPr>
        <w:t>Lascelles</w:t>
      </w:r>
    </w:p>
    <w:p>
      <w:pPr>
        <w:spacing w:line="235" w:lineRule="auto" w:before="2"/>
        <w:ind w:left="705" w:right="168" w:firstLine="0"/>
        <w:jc w:val="both"/>
        <w:rPr>
          <w:sz w:val="20"/>
        </w:rPr>
      </w:pPr>
      <w:r>
        <w:rPr>
          <w:rFonts w:ascii="Arial" w:hAnsi="Arial"/>
          <w:i/>
          <w:sz w:val="20"/>
        </w:rPr>
        <w:t>Ltd (1933) 48 C.L.R. 457, 477 </w:t>
      </w:r>
      <w:r>
        <w:rPr>
          <w:sz w:val="20"/>
        </w:rPr>
        <w:t>(following termination of the contract “rights are not divested or discharged which have already been </w:t>
      </w:r>
      <w:r>
        <w:rPr>
          <w:rFonts w:ascii="Arial" w:hAnsi="Arial"/>
          <w:i/>
          <w:sz w:val="20"/>
        </w:rPr>
        <w:t>unconditionally </w:t>
      </w:r>
      <w:r>
        <w:rPr>
          <w:sz w:val="20"/>
        </w:rPr>
        <w:t>acquired” (italics supplied)); and </w:t>
      </w:r>
      <w:r>
        <w:rPr>
          <w:sz w:val="20"/>
        </w:rPr>
        <w:t>the </w:t>
      </w:r>
      <w:r>
        <w:rPr>
          <w:rFonts w:ascii="Arial" w:hAnsi="Arial"/>
          <w:i/>
          <w:sz w:val="20"/>
        </w:rPr>
        <w:t>Fibrosa case [1943] A.C. 32, 65 </w:t>
      </w:r>
      <w:r>
        <w:rPr>
          <w:sz w:val="20"/>
        </w:rPr>
        <w:t>(“[t]he condition of retaining it [the advance payment] is eventual performance”; cf. at 75).</w:t>
      </w:r>
    </w:p>
    <w:p>
      <w:pPr>
        <w:pStyle w:val="BodyText"/>
        <w:spacing w:before="191"/>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271" w:right="0" w:firstLine="0"/>
        <w:jc w:val="left"/>
        <w:rPr>
          <w:rFonts w:ascii="Arial"/>
          <w:b/>
          <w:sz w:val="24"/>
        </w:rPr>
      </w:pPr>
      <w:r>
        <w:rPr>
          <w:rFonts w:ascii="Arial"/>
          <w:b/>
          <w:sz w:val="24"/>
        </w:rPr>
        <w:t>(h) - Deposits and Forfeiture of Sums </w:t>
      </w:r>
      <w:r>
        <w:rPr>
          <w:rFonts w:ascii="Arial"/>
          <w:b/>
          <w:spacing w:val="-4"/>
          <w:sz w:val="24"/>
        </w:rPr>
        <w:t>Paid</w:t>
      </w:r>
    </w:p>
    <w:p>
      <w:pPr>
        <w:pStyle w:val="ListParagraph"/>
        <w:numPr>
          <w:ilvl w:val="0"/>
          <w:numId w:val="13"/>
        </w:numPr>
        <w:tabs>
          <w:tab w:pos="4238" w:val="left" w:leader="none"/>
        </w:tabs>
        <w:spacing w:line="240" w:lineRule="auto" w:before="194" w:after="0"/>
        <w:ind w:left="4238" w:right="0" w:hanging="293"/>
        <w:jc w:val="left"/>
        <w:rPr>
          <w:b/>
          <w:sz w:val="24"/>
        </w:rPr>
      </w:pPr>
      <w:r>
        <w:rPr>
          <w:b/>
          <w:sz w:val="24"/>
        </w:rPr>
        <w:t>- </w:t>
      </w:r>
      <w:r>
        <w:rPr>
          <w:b/>
          <w:spacing w:val="-2"/>
          <w:sz w:val="24"/>
        </w:rPr>
        <w:t>Deposits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Law of Property Act 1925 </w:t>
      </w:r>
      <w:r>
        <w:rPr>
          <w:rFonts w:ascii="Arial"/>
          <w:b/>
          <w:spacing w:val="-2"/>
          <w:sz w:val="18"/>
        </w:rPr>
        <w:t>s.49(2)</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216P</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32" name="Image 1132"/>
            <wp:cNvGraphicFramePr>
              <a:graphicFrameLocks/>
            </wp:cNvGraphicFramePr>
            <a:graphic>
              <a:graphicData uri="http://schemas.openxmlformats.org/drawingml/2006/picture">
                <pic:pic>
                  <pic:nvPicPr>
                    <pic:cNvPr id="1132" name="Image 113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Perhaps the most common use of provisions for a deposit is in contracts for the sale of land, which normally fall within Law of Property Act 1925 s.49(2); this may account for the relative paucity of case law on deposits at common law. Section 49(2) provides:</w:t>
      </w:r>
    </w:p>
    <w:p>
      <w:pPr>
        <w:pStyle w:val="BodyText"/>
      </w:pPr>
    </w:p>
    <w:p>
      <w:pPr>
        <w:pStyle w:val="BodyText"/>
        <w:spacing w:before="126"/>
      </w:pPr>
    </w:p>
    <w:p>
      <w:pPr>
        <w:pStyle w:val="BodyText"/>
        <w:spacing w:line="235" w:lineRule="auto"/>
        <w:ind w:left="1245" w:right="167"/>
        <w:jc w:val="both"/>
      </w:pPr>
      <w:r>
        <w:rPr/>
        <w:t>“Where the court refuses to grant specific performance of a contract, or in any action </w:t>
      </w:r>
      <w:r>
        <w:rPr/>
        <w:t>for the return of a deposit, the court may, if it thinks fit, order the repayment of any deposit.”</w:t>
      </w:r>
    </w:p>
    <w:p>
      <w:pPr>
        <w:pStyle w:val="BodyText"/>
      </w:pPr>
    </w:p>
    <w:p>
      <w:pPr>
        <w:pStyle w:val="BodyText"/>
        <w:spacing w:before="6"/>
      </w:pPr>
    </w:p>
    <w:p>
      <w:pPr>
        <w:pStyle w:val="BodyText"/>
        <w:spacing w:line="235" w:lineRule="auto"/>
        <w:ind w:left="165" w:right="167"/>
        <w:jc w:val="both"/>
      </w:pPr>
      <w:bookmarkStart w:name="_bookmark2477" w:id="2479"/>
      <w:bookmarkEnd w:id="2479"/>
      <w:r>
        <w:rPr/>
      </w:r>
      <w:r>
        <w:rPr/>
        <w:t>This provision is restricted to contracts for the sale or exchange of any interest in land. </w:t>
      </w:r>
      <w:hyperlink w:history="true" w:anchor="_bookmark2500">
        <w:r>
          <w:rPr>
            <w:color w:val="005DA1"/>
            <w:u w:val="single" w:color="005DA1"/>
            <w:vertAlign w:val="superscript"/>
          </w:rPr>
          <w:t>1299</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133" name="Image 1133"/>
              <wp:cNvGraphicFramePr>
                <a:graphicFrameLocks/>
              </wp:cNvGraphicFramePr>
              <a:graphic>
                <a:graphicData uri="http://schemas.openxmlformats.org/drawingml/2006/picture">
                  <pic:pic>
                    <pic:nvPicPr>
                      <pic:cNvPr id="1133" name="Image 11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Apart </w:t>
        </w:r>
        <w:bookmarkStart w:name="_bookmark2478" w:id="2480"/>
        <w:bookmarkEnd w:id="2480"/>
        <w:r>
          <w:rPr>
            <w:vertAlign w:val="baseline"/>
          </w:rPr>
          <w:t>from</w:t>
        </w:r>
        <w:r>
          <w:rPr>
            <w:spacing w:val="7"/>
            <w:vertAlign w:val="baseline"/>
          </w:rPr>
          <w:t> </w:t>
        </w:r>
        <w:r>
          <w:rPr>
            <w:vertAlign w:val="baseline"/>
          </w:rPr>
          <w:t>this</w:t>
        </w:r>
        <w:r>
          <w:rPr>
            <w:spacing w:val="7"/>
            <w:vertAlign w:val="baseline"/>
          </w:rPr>
          <w:t> </w:t>
        </w:r>
        <w:r>
          <w:rPr>
            <w:vertAlign w:val="baseline"/>
          </w:rPr>
          <w:t>provision,</w:t>
        </w:r>
        <w:r>
          <w:rPr>
            <w:spacing w:val="7"/>
            <w:vertAlign w:val="baseline"/>
          </w:rPr>
          <w:t> </w:t>
        </w:r>
        <w:r>
          <w:rPr>
            <w:vertAlign w:val="baseline"/>
          </w:rPr>
          <w:t>the</w:t>
        </w:r>
        <w:r>
          <w:rPr>
            <w:spacing w:val="7"/>
            <w:vertAlign w:val="baseline"/>
          </w:rPr>
          <w:t> </w:t>
        </w:r>
        <w:r>
          <w:rPr>
            <w:vertAlign w:val="baseline"/>
          </w:rPr>
          <w:t>vendor</w:t>
        </w:r>
        <w:r>
          <w:rPr>
            <w:spacing w:val="7"/>
            <w:vertAlign w:val="baseline"/>
          </w:rPr>
          <w:t> </w:t>
        </w:r>
        <w:r>
          <w:rPr>
            <w:vertAlign w:val="baseline"/>
          </w:rPr>
          <w:t>would</w:t>
        </w:r>
        <w:r>
          <w:rPr>
            <w:spacing w:val="7"/>
            <w:vertAlign w:val="baseline"/>
          </w:rPr>
          <w:t> </w:t>
        </w:r>
        <w:r>
          <w:rPr>
            <w:vertAlign w:val="baseline"/>
          </w:rPr>
          <w:t>be</w:t>
        </w:r>
        <w:r>
          <w:rPr>
            <w:spacing w:val="7"/>
            <w:vertAlign w:val="baseline"/>
          </w:rPr>
          <w:t> </w:t>
        </w:r>
        <w:r>
          <w:rPr>
            <w:vertAlign w:val="baseline"/>
          </w:rPr>
          <w:t>obliged</w:t>
        </w:r>
        <w:r>
          <w:rPr>
            <w:spacing w:val="7"/>
            <w:vertAlign w:val="baseline"/>
          </w:rPr>
          <w:t> </w:t>
        </w:r>
        <w:r>
          <w:rPr>
            <w:vertAlign w:val="baseline"/>
          </w:rPr>
          <w:t>to</w:t>
        </w:r>
        <w:r>
          <w:rPr>
            <w:spacing w:val="7"/>
            <w:vertAlign w:val="baseline"/>
          </w:rPr>
          <w:t> </w:t>
        </w:r>
        <w:r>
          <w:rPr>
            <w:vertAlign w:val="baseline"/>
          </w:rPr>
          <w:t>return</w:t>
        </w:r>
        <w:r>
          <w:rPr>
            <w:spacing w:val="7"/>
            <w:vertAlign w:val="baseline"/>
          </w:rPr>
          <w:t> </w:t>
        </w:r>
        <w:r>
          <w:rPr>
            <w:vertAlign w:val="baseline"/>
          </w:rPr>
          <w:t>the</w:t>
        </w:r>
        <w:r>
          <w:rPr>
            <w:spacing w:val="7"/>
            <w:vertAlign w:val="baseline"/>
          </w:rPr>
          <w:t> </w:t>
        </w:r>
        <w:r>
          <w:rPr>
            <w:vertAlign w:val="baseline"/>
          </w:rPr>
          <w:t>deposit</w:t>
        </w:r>
        <w:r>
          <w:rPr>
            <w:spacing w:val="7"/>
            <w:vertAlign w:val="baseline"/>
          </w:rPr>
          <w:t> </w:t>
        </w:r>
        <w:r>
          <w:rPr>
            <w:vertAlign w:val="baseline"/>
          </w:rPr>
          <w:t>only</w:t>
        </w:r>
        <w:r>
          <w:rPr>
            <w:spacing w:val="7"/>
            <w:vertAlign w:val="baseline"/>
          </w:rPr>
          <w:t> </w:t>
        </w:r>
        <w:r>
          <w:rPr>
            <w:vertAlign w:val="baseline"/>
          </w:rPr>
          <w:t>where</w:t>
        </w:r>
        <w:r>
          <w:rPr>
            <w:spacing w:val="7"/>
            <w:vertAlign w:val="baseline"/>
          </w:rPr>
          <w:t> </w:t>
        </w:r>
        <w:r>
          <w:rPr>
            <w:vertAlign w:val="baseline"/>
          </w:rPr>
          <w:t>he</w:t>
        </w:r>
        <w:r>
          <w:rPr>
            <w:spacing w:val="7"/>
            <w:vertAlign w:val="baseline"/>
          </w:rPr>
          <w:t> </w:t>
        </w:r>
        <w:r>
          <w:rPr>
            <w:vertAlign w:val="baseline"/>
          </w:rPr>
          <w:t>was</w:t>
        </w:r>
        <w:r>
          <w:rPr>
            <w:spacing w:val="7"/>
            <w:vertAlign w:val="baseline"/>
          </w:rPr>
          <w:t> </w:t>
        </w:r>
        <w:r>
          <w:rPr>
            <w:vertAlign w:val="baseline"/>
          </w:rPr>
          <w:t>in</w:t>
        </w:r>
        <w:r>
          <w:rPr>
            <w:spacing w:val="7"/>
            <w:vertAlign w:val="baseline"/>
          </w:rPr>
          <w:t> </w:t>
        </w:r>
        <w:r>
          <w:rPr>
            <w:vertAlign w:val="baseline"/>
          </w:rPr>
          <w:t>breach</w:t>
        </w:r>
        <w:r>
          <w:rPr>
            <w:spacing w:val="7"/>
            <w:vertAlign w:val="baseline"/>
          </w:rPr>
          <w:t> </w:t>
        </w:r>
        <w:r>
          <w:rPr>
            <w:spacing w:val="-5"/>
            <w:vertAlign w:val="baseline"/>
          </w:rPr>
          <w:t>of</w:t>
        </w:r>
      </w:hyperlink>
    </w:p>
    <w:p>
      <w:pPr>
        <w:pStyle w:val="BodyText"/>
        <w:spacing w:before="115"/>
        <w:ind w:left="165"/>
        <w:jc w:val="both"/>
      </w:pPr>
      <w:bookmarkStart w:name="_bookmark2479" w:id="2481"/>
      <w:bookmarkEnd w:id="2481"/>
      <w:r>
        <w:rPr/>
      </w:r>
      <w:r>
        <w:rPr/>
        <w:t>contract</w:t>
      </w:r>
      <w:r>
        <w:rPr>
          <w:spacing w:val="9"/>
        </w:rPr>
        <w:t> </w:t>
      </w:r>
      <w:r>
        <w:rPr>
          <w:color w:val="005DA1"/>
          <w:u w:val="single" w:color="005DA1"/>
          <w:vertAlign w:val="superscript"/>
        </w:rPr>
        <w:t>1300</w:t>
      </w:r>
      <w:r>
        <w:rPr>
          <w:color w:val="005DA1"/>
          <w:spacing w:val="42"/>
          <w:vertAlign w:val="baseline"/>
        </w:rPr>
        <w:t>  </w:t>
      </w:r>
      <w:r>
        <w:rPr>
          <w:color w:val="005DA1"/>
          <w:spacing w:val="-22"/>
          <w:position w:val="-2"/>
          <w:vertAlign w:val="baseline"/>
        </w:rPr>
        <w:drawing>
          <wp:inline distT="0" distB="0" distL="0" distR="0">
            <wp:extent cx="107988" cy="107988"/>
            <wp:effectExtent l="0" t="0" r="0" b="0"/>
            <wp:docPr id="1134" name="Image 1134"/>
            <wp:cNvGraphicFramePr>
              <a:graphicFrameLocks/>
            </wp:cNvGraphicFramePr>
            <a:graphic>
              <a:graphicData uri="http://schemas.openxmlformats.org/drawingml/2006/picture">
                <pic:pic>
                  <pic:nvPicPr>
                    <pic:cNvPr id="1134" name="Image 11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w:t>
      </w:r>
      <w:r>
        <w:rPr>
          <w:spacing w:val="11"/>
          <w:vertAlign w:val="baseline"/>
        </w:rPr>
        <w:t> </w:t>
      </w:r>
      <w:r>
        <w:rPr>
          <w:vertAlign w:val="baseline"/>
        </w:rPr>
        <w:t>the</w:t>
      </w:r>
      <w:r>
        <w:rPr>
          <w:spacing w:val="9"/>
          <w:vertAlign w:val="baseline"/>
        </w:rPr>
        <w:t> </w:t>
      </w:r>
      <w:r>
        <w:rPr>
          <w:vertAlign w:val="baseline"/>
        </w:rPr>
        <w:t>statutory</w:t>
      </w:r>
      <w:r>
        <w:rPr>
          <w:spacing w:val="10"/>
          <w:vertAlign w:val="baseline"/>
        </w:rPr>
        <w:t> </w:t>
      </w:r>
      <w:r>
        <w:rPr>
          <w:vertAlign w:val="baseline"/>
        </w:rPr>
        <w:t>discretion</w:t>
      </w:r>
      <w:r>
        <w:rPr>
          <w:spacing w:val="10"/>
          <w:vertAlign w:val="baseline"/>
        </w:rPr>
        <w:t> </w:t>
      </w:r>
      <w:r>
        <w:rPr>
          <w:vertAlign w:val="baseline"/>
        </w:rPr>
        <w:t>conferred</w:t>
      </w:r>
      <w:r>
        <w:rPr>
          <w:spacing w:val="9"/>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court</w:t>
      </w:r>
      <w:r>
        <w:rPr>
          <w:spacing w:val="10"/>
          <w:vertAlign w:val="baseline"/>
        </w:rPr>
        <w:t> </w:t>
      </w:r>
      <w:r>
        <w:rPr>
          <w:vertAlign w:val="baseline"/>
        </w:rPr>
        <w:t>by</w:t>
      </w:r>
      <w:r>
        <w:rPr>
          <w:spacing w:val="9"/>
          <w:vertAlign w:val="baseline"/>
        </w:rPr>
        <w:t> </w:t>
      </w:r>
      <w:r>
        <w:rPr>
          <w:vertAlign w:val="baseline"/>
        </w:rPr>
        <w:t>s.49(2)</w:t>
      </w:r>
      <w:r>
        <w:rPr>
          <w:spacing w:val="10"/>
          <w:vertAlign w:val="baseline"/>
        </w:rPr>
        <w:t> </w:t>
      </w:r>
      <w:r>
        <w:rPr>
          <w:vertAlign w:val="baseline"/>
        </w:rPr>
        <w:t>enables</w:t>
      </w:r>
      <w:r>
        <w:rPr>
          <w:spacing w:val="10"/>
          <w:vertAlign w:val="baseline"/>
        </w:rPr>
        <w:t> </w:t>
      </w:r>
      <w:r>
        <w:rPr>
          <w:vertAlign w:val="baseline"/>
        </w:rPr>
        <w:t>the</w:t>
      </w:r>
      <w:r>
        <w:rPr>
          <w:spacing w:val="9"/>
          <w:vertAlign w:val="baseline"/>
        </w:rPr>
        <w:t> </w:t>
      </w:r>
      <w:r>
        <w:rPr>
          <w:vertAlign w:val="baseline"/>
        </w:rPr>
        <w:t>court</w:t>
      </w:r>
      <w:r>
        <w:rPr>
          <w:spacing w:val="10"/>
          <w:vertAlign w:val="baseline"/>
        </w:rPr>
        <w:t> </w:t>
      </w:r>
      <w:r>
        <w:rPr>
          <w:vertAlign w:val="baseline"/>
        </w:rPr>
        <w:t>to</w:t>
      </w:r>
      <w:r>
        <w:rPr>
          <w:spacing w:val="10"/>
          <w:vertAlign w:val="baseline"/>
        </w:rPr>
        <w:t> </w:t>
      </w:r>
      <w:r>
        <w:rPr>
          <w:spacing w:val="-4"/>
          <w:vertAlign w:val="baseline"/>
        </w:rPr>
        <w:t>make</w:t>
      </w:r>
    </w:p>
    <w:p>
      <w:pPr>
        <w:pStyle w:val="BodyText"/>
        <w:spacing w:line="235" w:lineRule="auto" w:before="119"/>
        <w:ind w:left="165" w:right="168"/>
        <w:jc w:val="both"/>
      </w:pPr>
      <w:r>
        <w:rPr/>
        <w:t>an order where the justice of the case requires it. </w:t>
      </w:r>
      <w:hyperlink w:history="true" w:anchor="_bookmark2501">
        <w:r>
          <w:rPr>
            <w:color w:val="005DA1"/>
            <w:u w:val="single" w:color="005DA1"/>
            <w:vertAlign w:val="superscript"/>
          </w:rPr>
          <w:t>1301</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135" name="Image 1135"/>
              <wp:cNvGraphicFramePr>
                <a:graphicFrameLocks/>
              </wp:cNvGraphicFramePr>
              <a:graphic>
                <a:graphicData uri="http://schemas.openxmlformats.org/drawingml/2006/picture">
                  <pic:pic>
                    <pic:nvPicPr>
                      <pic:cNvPr id="1135" name="Image 11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The scope of application of this section was for a time thought to be narrow. It was said that it:</w:t>
        </w:r>
      </w:hyperlink>
    </w:p>
    <w:p>
      <w:pPr>
        <w:pStyle w:val="BodyText"/>
      </w:pPr>
    </w:p>
    <w:p>
      <w:pPr>
        <w:pStyle w:val="BodyText"/>
        <w:spacing w:before="126"/>
      </w:pPr>
    </w:p>
    <w:p>
      <w:pPr>
        <w:pStyle w:val="BodyText"/>
        <w:spacing w:line="235" w:lineRule="auto"/>
        <w:ind w:left="1245" w:right="167"/>
        <w:jc w:val="both"/>
      </w:pPr>
      <w:r>
        <w:rPr/>
        <w:t>“… was passed to remove the former hardship which existed where a defendant had </w:t>
      </w:r>
      <w:r>
        <w:rPr/>
        <w:t>a good defence in equity to a claim for specific performance but no defence in law, and, </w:t>
      </w:r>
      <w:bookmarkStart w:name="_bookmark2480" w:id="2482"/>
      <w:bookmarkEnd w:id="2482"/>
      <w:r>
        <w:rPr/>
        <w:t>therefore,</w:t>
      </w:r>
      <w:r>
        <w:rPr>
          <w:spacing w:val="13"/>
        </w:rPr>
        <w:t> </w:t>
      </w:r>
      <w:r>
        <w:rPr/>
        <w:t>the</w:t>
      </w:r>
      <w:r>
        <w:rPr>
          <w:spacing w:val="13"/>
        </w:rPr>
        <w:t> </w:t>
      </w:r>
      <w:r>
        <w:rPr/>
        <w:t>deposit</w:t>
      </w:r>
      <w:r>
        <w:rPr>
          <w:spacing w:val="13"/>
        </w:rPr>
        <w:t> </w:t>
      </w:r>
      <w:r>
        <w:rPr/>
        <w:t>was</w:t>
      </w:r>
      <w:r>
        <w:rPr>
          <w:spacing w:val="13"/>
        </w:rPr>
        <w:t> </w:t>
      </w:r>
      <w:r>
        <w:rPr/>
        <w:t>forfeited</w:t>
      </w:r>
      <w:r>
        <w:rPr>
          <w:spacing w:val="13"/>
        </w:rPr>
        <w:t> </w:t>
      </w:r>
      <w:r>
        <w:rPr/>
        <w:t>…</w:t>
      </w:r>
      <w:r>
        <w:rPr>
          <w:spacing w:val="13"/>
        </w:rPr>
        <w:t> </w:t>
      </w:r>
      <w:r>
        <w:rPr/>
        <w:t>outside</w:t>
      </w:r>
      <w:r>
        <w:rPr>
          <w:spacing w:val="13"/>
        </w:rPr>
        <w:t> </w:t>
      </w:r>
      <w:r>
        <w:rPr/>
        <w:t>that</w:t>
      </w:r>
      <w:r>
        <w:rPr>
          <w:spacing w:val="13"/>
        </w:rPr>
        <w:t> </w:t>
      </w:r>
      <w:r>
        <w:rPr/>
        <w:t>ambit</w:t>
      </w:r>
      <w:r>
        <w:rPr>
          <w:spacing w:val="13"/>
        </w:rPr>
        <w:t> </w:t>
      </w:r>
      <w:r>
        <w:rPr/>
        <w:t>[the</w:t>
      </w:r>
      <w:r>
        <w:rPr>
          <w:spacing w:val="13"/>
        </w:rPr>
        <w:t> </w:t>
      </w:r>
      <w:r>
        <w:rPr/>
        <w:t>jurisdiction]</w:t>
      </w:r>
      <w:r>
        <w:rPr>
          <w:spacing w:val="13"/>
        </w:rPr>
        <w:t> </w:t>
      </w:r>
      <w:r>
        <w:rPr/>
        <w:t>should</w:t>
      </w:r>
      <w:r>
        <w:rPr>
          <w:spacing w:val="13"/>
        </w:rPr>
        <w:t> </w:t>
      </w:r>
      <w:r>
        <w:rPr/>
        <w:t>only</w:t>
      </w:r>
      <w:r>
        <w:rPr>
          <w:spacing w:val="13"/>
        </w:rPr>
        <w:t> </w:t>
      </w:r>
      <w:r>
        <w:rPr>
          <w:spacing w:val="-5"/>
        </w:rPr>
        <w:t>be</w:t>
      </w:r>
    </w:p>
    <w:p>
      <w:pPr>
        <w:pStyle w:val="BodyText"/>
        <w:spacing w:before="115"/>
        <w:ind w:left="1245"/>
        <w:jc w:val="both"/>
        <w:rPr>
          <w:position w:val="-2"/>
        </w:rPr>
      </w:pPr>
      <w:r>
        <w:rPr/>
        <w:t>exercised, if at all, sparingly and with caution.” </w:t>
      </w:r>
      <w:hyperlink w:history="true" w:anchor="_bookmark2502">
        <w:r>
          <w:rPr>
            <w:color w:val="005DA1"/>
            <w:u w:val="single" w:color="005DA1"/>
            <w:vertAlign w:val="superscript"/>
          </w:rPr>
          <w:t>1302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36" name="Image 1136"/>
              <wp:cNvGraphicFramePr>
                <a:graphicFrameLocks/>
              </wp:cNvGraphicFramePr>
              <a:graphic>
                <a:graphicData uri="http://schemas.openxmlformats.org/drawingml/2006/picture">
                  <pic:pic>
                    <pic:nvPicPr>
                      <pic:cNvPr id="1136" name="Image 11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2"/>
      </w:pPr>
    </w:p>
    <w:p>
      <w:pPr>
        <w:pStyle w:val="BodyText"/>
        <w:ind w:left="165"/>
      </w:pPr>
      <w:bookmarkStart w:name="_bookmark2481" w:id="2483"/>
      <w:bookmarkEnd w:id="2483"/>
      <w:r>
        <w:rPr/>
      </w:r>
      <w:r>
        <w:rPr/>
        <w:t>It</w:t>
      </w:r>
      <w:r>
        <w:rPr>
          <w:spacing w:val="6"/>
        </w:rPr>
        <w:t> </w:t>
      </w:r>
      <w:r>
        <w:rPr/>
        <w:t>now</w:t>
      </w:r>
      <w:r>
        <w:rPr>
          <w:spacing w:val="6"/>
        </w:rPr>
        <w:t> </w:t>
      </w:r>
      <w:r>
        <w:rPr/>
        <w:t>seems</w:t>
      </w:r>
      <w:r>
        <w:rPr>
          <w:spacing w:val="6"/>
        </w:rPr>
        <w:t> </w:t>
      </w:r>
      <w:r>
        <w:rPr/>
        <w:t>to</w:t>
      </w:r>
      <w:r>
        <w:rPr>
          <w:spacing w:val="6"/>
        </w:rPr>
        <w:t> </w:t>
      </w:r>
      <w:r>
        <w:rPr/>
        <w:t>be</w:t>
      </w:r>
      <w:r>
        <w:rPr>
          <w:spacing w:val="6"/>
        </w:rPr>
        <w:t> </w:t>
      </w:r>
      <w:r>
        <w:rPr/>
        <w:t>accepted</w:t>
      </w:r>
      <w:r>
        <w:rPr>
          <w:spacing w:val="6"/>
        </w:rPr>
        <w:t> </w:t>
      </w:r>
      <w:r>
        <w:rPr/>
        <w:t>that</w:t>
      </w:r>
      <w:r>
        <w:rPr>
          <w:spacing w:val="6"/>
        </w:rPr>
        <w:t> </w:t>
      </w:r>
      <w:r>
        <w:rPr/>
        <w:t>“repayment</w:t>
      </w:r>
      <w:r>
        <w:rPr>
          <w:spacing w:val="6"/>
        </w:rPr>
        <w:t> </w:t>
      </w:r>
      <w:r>
        <w:rPr/>
        <w:t>must</w:t>
      </w:r>
      <w:r>
        <w:rPr>
          <w:spacing w:val="6"/>
        </w:rPr>
        <w:t> </w:t>
      </w:r>
      <w:r>
        <w:rPr/>
        <w:t>be</w:t>
      </w:r>
      <w:r>
        <w:rPr>
          <w:spacing w:val="6"/>
        </w:rPr>
        <w:t> </w:t>
      </w:r>
      <w:r>
        <w:rPr/>
        <w:t>ordered</w:t>
      </w:r>
      <w:r>
        <w:rPr>
          <w:spacing w:val="6"/>
        </w:rPr>
        <w:t> </w:t>
      </w:r>
      <w:r>
        <w:rPr/>
        <w:t>in</w:t>
      </w:r>
      <w:r>
        <w:rPr>
          <w:spacing w:val="6"/>
        </w:rPr>
        <w:t> </w:t>
      </w:r>
      <w:r>
        <w:rPr/>
        <w:t>any</w:t>
      </w:r>
      <w:r>
        <w:rPr>
          <w:spacing w:val="6"/>
        </w:rPr>
        <w:t> </w:t>
      </w:r>
      <w:r>
        <w:rPr/>
        <w:t>circumstances</w:t>
      </w:r>
      <w:r>
        <w:rPr>
          <w:spacing w:val="6"/>
        </w:rPr>
        <w:t> </w:t>
      </w:r>
      <w:r>
        <w:rPr/>
        <w:t>which</w:t>
      </w:r>
      <w:r>
        <w:rPr>
          <w:spacing w:val="6"/>
        </w:rPr>
        <w:t> </w:t>
      </w:r>
      <w:r>
        <w:rPr/>
        <w:t>make</w:t>
      </w:r>
      <w:r>
        <w:rPr>
          <w:spacing w:val="6"/>
        </w:rPr>
        <w:t> </w:t>
      </w:r>
      <w:r>
        <w:rPr>
          <w:spacing w:val="-4"/>
        </w:rPr>
        <w:t>this</w:t>
      </w:r>
    </w:p>
    <w:p>
      <w:pPr>
        <w:pStyle w:val="BodyText"/>
        <w:tabs>
          <w:tab w:pos="4682" w:val="left" w:leader="none"/>
        </w:tabs>
        <w:spacing w:line="235" w:lineRule="auto" w:before="119"/>
        <w:ind w:left="165" w:right="167"/>
      </w:pPr>
      <w:r>
        <w:rPr/>
        <w:t>the fairest course between the two parties”. </w:t>
      </w:r>
      <w:hyperlink w:history="true" w:anchor="_bookmark2503">
        <w:r>
          <w:rPr>
            <w:color w:val="005DA1"/>
            <w:u w:val="single" w:color="005DA1"/>
            <w:vertAlign w:val="superscript"/>
          </w:rPr>
          <w:t>1303</w:t>
        </w:r>
        <w:r>
          <w:rPr>
            <w:color w:val="005DA1"/>
            <w:vertAlign w:val="baseline"/>
          </w:rPr>
          <w:tab/>
        </w:r>
        <w:r>
          <w:rPr>
            <w:color w:val="005DA1"/>
            <w:position w:val="-2"/>
            <w:vertAlign w:val="baseline"/>
          </w:rPr>
          <w:drawing>
            <wp:inline distT="0" distB="0" distL="0" distR="0">
              <wp:extent cx="107988" cy="107988"/>
              <wp:effectExtent l="0" t="0" r="0" b="0"/>
              <wp:docPr id="1137" name="Image 1137"/>
              <wp:cNvGraphicFramePr>
                <a:graphicFrameLocks/>
              </wp:cNvGraphicFramePr>
              <a:graphic>
                <a:graphicData uri="http://schemas.openxmlformats.org/drawingml/2006/picture">
                  <pic:pic>
                    <pic:nvPicPr>
                      <pic:cNvPr id="1137" name="Image 11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But an order will not be made in every case </w:t>
        </w:r>
        <w:r>
          <w:rPr>
            <w:vertAlign w:val="baseline"/>
          </w:rPr>
          <w:t>in </w:t>
        </w:r>
        <w:bookmarkStart w:name="_bookmark2482" w:id="2484"/>
        <w:bookmarkEnd w:id="2484"/>
        <w:r>
          <w:rPr>
            <w:vertAlign w:val="baseline"/>
          </w:rPr>
          <w:t>which</w:t>
        </w:r>
        <w:r>
          <w:rPr>
            <w:spacing w:val="19"/>
            <w:vertAlign w:val="baseline"/>
          </w:rPr>
          <w:t> </w:t>
        </w:r>
        <w:r>
          <w:rPr>
            <w:vertAlign w:val="baseline"/>
          </w:rPr>
          <w:t>the</w:t>
        </w:r>
        <w:r>
          <w:rPr>
            <w:spacing w:val="19"/>
            <w:vertAlign w:val="baseline"/>
          </w:rPr>
          <w:t> </w:t>
        </w:r>
        <w:r>
          <w:rPr>
            <w:vertAlign w:val="baseline"/>
          </w:rPr>
          <w:t>purchaser</w:t>
        </w:r>
        <w:r>
          <w:rPr>
            <w:spacing w:val="19"/>
            <w:vertAlign w:val="baseline"/>
          </w:rPr>
          <w:t> </w:t>
        </w:r>
        <w:r>
          <w:rPr>
            <w:vertAlign w:val="baseline"/>
          </w:rPr>
          <w:t>defaults,</w:t>
        </w:r>
        <w:r>
          <w:rPr>
            <w:spacing w:val="19"/>
            <w:vertAlign w:val="baseline"/>
          </w:rPr>
          <w:t> </w:t>
        </w:r>
        <w:r>
          <w:rPr>
            <w:vertAlign w:val="baseline"/>
          </w:rPr>
          <w:t>even</w:t>
        </w:r>
        <w:r>
          <w:rPr>
            <w:spacing w:val="19"/>
            <w:vertAlign w:val="baseline"/>
          </w:rPr>
          <w:t> </w:t>
        </w:r>
        <w:r>
          <w:rPr>
            <w:vertAlign w:val="baseline"/>
          </w:rPr>
          <w:t>if</w:t>
        </w:r>
        <w:r>
          <w:rPr>
            <w:spacing w:val="19"/>
            <w:vertAlign w:val="baseline"/>
          </w:rPr>
          <w:t> </w:t>
        </w:r>
        <w:r>
          <w:rPr>
            <w:vertAlign w:val="baseline"/>
          </w:rPr>
          <w:t>the</w:t>
        </w:r>
        <w:r>
          <w:rPr>
            <w:spacing w:val="19"/>
            <w:vertAlign w:val="baseline"/>
          </w:rPr>
          <w:t> </w:t>
        </w:r>
        <w:r>
          <w:rPr>
            <w:vertAlign w:val="baseline"/>
          </w:rPr>
          <w:t>vendor</w:t>
        </w:r>
        <w:r>
          <w:rPr>
            <w:spacing w:val="19"/>
            <w:vertAlign w:val="baseline"/>
          </w:rPr>
          <w:t> </w:t>
        </w:r>
        <w:r>
          <w:rPr>
            <w:vertAlign w:val="baseline"/>
          </w:rPr>
          <w:t>does</w:t>
        </w:r>
        <w:r>
          <w:rPr>
            <w:spacing w:val="19"/>
            <w:vertAlign w:val="baseline"/>
          </w:rPr>
          <w:t> </w:t>
        </w:r>
        <w:r>
          <w:rPr>
            <w:vertAlign w:val="baseline"/>
          </w:rPr>
          <w:t>not</w:t>
        </w:r>
        <w:r>
          <w:rPr>
            <w:spacing w:val="19"/>
            <w:vertAlign w:val="baseline"/>
          </w:rPr>
          <w:t> </w:t>
        </w:r>
        <w:r>
          <w:rPr>
            <w:vertAlign w:val="baseline"/>
          </w:rPr>
          <w:t>suffer</w:t>
        </w:r>
        <w:r>
          <w:rPr>
            <w:spacing w:val="19"/>
            <w:vertAlign w:val="baseline"/>
          </w:rPr>
          <w:t> </w:t>
        </w:r>
        <w:r>
          <w:rPr>
            <w:vertAlign w:val="baseline"/>
          </w:rPr>
          <w:t>any</w:t>
        </w:r>
        <w:r>
          <w:rPr>
            <w:spacing w:val="19"/>
            <w:vertAlign w:val="baseline"/>
          </w:rPr>
          <w:t> </w:t>
        </w:r>
        <w:r>
          <w:rPr>
            <w:vertAlign w:val="baseline"/>
          </w:rPr>
          <w:t>loss:</w:t>
        </w:r>
        <w:r>
          <w:rPr>
            <w:spacing w:val="19"/>
            <w:vertAlign w:val="baseline"/>
          </w:rPr>
          <w:t> </w:t>
        </w:r>
        <w:r>
          <w:rPr>
            <w:vertAlign w:val="baseline"/>
          </w:rPr>
          <w:t>rather,</w:t>
        </w:r>
        <w:r>
          <w:rPr>
            <w:spacing w:val="19"/>
            <w:vertAlign w:val="baseline"/>
          </w:rPr>
          <w:t> </w:t>
        </w:r>
        <w:r>
          <w:rPr>
            <w:vertAlign w:val="baseline"/>
          </w:rPr>
          <w:t>the</w:t>
        </w:r>
        <w:r>
          <w:rPr>
            <w:spacing w:val="19"/>
            <w:vertAlign w:val="baseline"/>
          </w:rPr>
          <w:t> </w:t>
        </w:r>
        <w:r>
          <w:rPr>
            <w:vertAlign w:val="baseline"/>
          </w:rPr>
          <w:t>case</w:t>
        </w:r>
        <w:r>
          <w:rPr>
            <w:spacing w:val="19"/>
            <w:vertAlign w:val="baseline"/>
          </w:rPr>
          <w:t> </w:t>
        </w:r>
        <w:r>
          <w:rPr>
            <w:vertAlign w:val="baseline"/>
          </w:rPr>
          <w:t>must</w:t>
        </w:r>
        <w:r>
          <w:rPr>
            <w:spacing w:val="19"/>
            <w:vertAlign w:val="baseline"/>
          </w:rPr>
          <w:t> </w:t>
        </w:r>
        <w:r>
          <w:rPr>
            <w:spacing w:val="-5"/>
            <w:vertAlign w:val="baseline"/>
          </w:rPr>
          <w:t>be</w:t>
        </w:r>
      </w:hyperlink>
    </w:p>
    <w:p>
      <w:pPr>
        <w:pStyle w:val="BodyText"/>
        <w:spacing w:before="115"/>
        <w:ind w:left="165"/>
        <w:rPr>
          <w:position w:val="-2"/>
        </w:rPr>
      </w:pPr>
      <w:bookmarkStart w:name="_bookmark2483" w:id="2485"/>
      <w:bookmarkEnd w:id="2485"/>
      <w:r>
        <w:rPr/>
      </w:r>
      <w:r>
        <w:rPr/>
        <w:t>somehow exceptional for an order to be made for the return of a standard 10 per cent deposit. </w:t>
      </w:r>
      <w:hyperlink w:history="true" w:anchor="_bookmark2504">
        <w:r>
          <w:rPr>
            <w:color w:val="005DA1"/>
            <w:u w:val="single" w:color="005DA1"/>
            <w:vertAlign w:val="superscript"/>
          </w:rPr>
          <w:t>1304</w:t>
        </w:r>
        <w:r>
          <w:rPr>
            <w:color w:val="005DA1"/>
            <w:spacing w:val="39"/>
            <w:vertAlign w:val="baseline"/>
          </w:rPr>
          <w:t>  </w:t>
        </w:r>
        <w:r>
          <w:rPr>
            <w:color w:val="005DA1"/>
            <w:spacing w:val="7"/>
            <w:position w:val="-2"/>
            <w:vertAlign w:val="baseline"/>
          </w:rPr>
          <w:drawing>
            <wp:inline distT="0" distB="0" distL="0" distR="0">
              <wp:extent cx="107988" cy="107988"/>
              <wp:effectExtent l="0" t="0" r="0" b="0"/>
              <wp:docPr id="1138" name="Image 1138"/>
              <wp:cNvGraphicFramePr>
                <a:graphicFrameLocks/>
              </wp:cNvGraphicFramePr>
              <a:graphic>
                <a:graphicData uri="http://schemas.openxmlformats.org/drawingml/2006/picture">
                  <pic:pic>
                    <pic:nvPicPr>
                      <pic:cNvPr id="1138" name="Image 11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hyperlink>
    </w:p>
    <w:p>
      <w:pPr>
        <w:pStyle w:val="BodyText"/>
        <w:spacing w:before="115"/>
        <w:ind w:left="165"/>
        <w:rPr>
          <w:position w:val="-2"/>
        </w:rPr>
      </w:pPr>
      <w:r>
        <w:rPr/>
        <w:t>The court’s jurisdiction cannot be excluded by the parties. </w:t>
      </w:r>
      <w:hyperlink w:history="true" w:anchor="_bookmark2505">
        <w:r>
          <w:rPr>
            <w:color w:val="005DA1"/>
            <w:u w:val="single" w:color="005DA1"/>
            <w:vertAlign w:val="superscript"/>
          </w:rPr>
          <w:t>1305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39" name="Image 1139"/>
              <wp:cNvGraphicFramePr>
                <a:graphicFrameLocks/>
              </wp:cNvGraphicFramePr>
              <a:graphic>
                <a:graphicData uri="http://schemas.openxmlformats.org/drawingml/2006/picture">
                  <pic:pic>
                    <pic:nvPicPr>
                      <pic:cNvPr id="1139" name="Image 11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Penalty rules and </w:t>
      </w:r>
      <w:r>
        <w:rPr>
          <w:rFonts w:ascii="Arial"/>
          <w:b/>
          <w:spacing w:val="-2"/>
          <w:sz w:val="18"/>
        </w:rPr>
        <w:t>deposits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216Q</w:t>
      </w:r>
    </w:p>
    <w:p>
      <w:pPr>
        <w:spacing w:after="0"/>
        <w:jc w:val="left"/>
        <w:rPr>
          <w:rFonts w:ascii="Arial"/>
          <w:b/>
          <w:sz w:val="24"/>
        </w:rPr>
        <w:sectPr>
          <w:headerReference w:type="default" r:id="rId60"/>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40" name="Image 1140"/>
            <wp:cNvGraphicFramePr>
              <a:graphicFrameLocks/>
            </wp:cNvGraphicFramePr>
            <a:graphic>
              <a:graphicData uri="http://schemas.openxmlformats.org/drawingml/2006/picture">
                <pic:pic>
                  <pic:nvPicPr>
                    <pic:cNvPr id="1140" name="Image 114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484" w:id="2486"/>
      <w:bookmarkEnd w:id="2486"/>
      <w:r>
        <w:rPr>
          <w:rFonts w:ascii="Times New Roman"/>
          <w:spacing w:val="13"/>
        </w:rPr>
      </w:r>
      <w:r>
        <w:rPr/>
        <w:t>If the contract provides for one party to pay a deposit, and a breach of contract by the payor </w:t>
      </w:r>
      <w:r>
        <w:rPr/>
        <w:t>leads the</w:t>
      </w:r>
      <w:r>
        <w:rPr>
          <w:spacing w:val="18"/>
        </w:rPr>
        <w:t> </w:t>
      </w:r>
      <w:r>
        <w:rPr/>
        <w:t>payee</w:t>
      </w:r>
      <w:r>
        <w:rPr>
          <w:spacing w:val="20"/>
        </w:rPr>
        <w:t> </w:t>
      </w:r>
      <w:r>
        <w:rPr/>
        <w:t>justifiably</w:t>
      </w:r>
      <w:r>
        <w:rPr>
          <w:spacing w:val="20"/>
        </w:rPr>
        <w:t> </w:t>
      </w:r>
      <w:r>
        <w:rPr/>
        <w:t>to</w:t>
      </w:r>
      <w:r>
        <w:rPr>
          <w:spacing w:val="20"/>
        </w:rPr>
        <w:t> </w:t>
      </w:r>
      <w:r>
        <w:rPr/>
        <w:t>terminate</w:t>
      </w:r>
      <w:r>
        <w:rPr>
          <w:spacing w:val="20"/>
        </w:rPr>
        <w:t> </w:t>
      </w:r>
      <w:r>
        <w:rPr/>
        <w:t>the</w:t>
      </w:r>
      <w:r>
        <w:rPr>
          <w:spacing w:val="20"/>
        </w:rPr>
        <w:t> </w:t>
      </w:r>
      <w:r>
        <w:rPr/>
        <w:t>contract,</w:t>
      </w:r>
      <w:r>
        <w:rPr>
          <w:spacing w:val="20"/>
        </w:rPr>
        <w:t> </w:t>
      </w:r>
      <w:r>
        <w:rPr/>
        <w:t>then</w:t>
      </w:r>
      <w:r>
        <w:rPr>
          <w:spacing w:val="20"/>
        </w:rPr>
        <w:t> </w:t>
      </w:r>
      <w:r>
        <w:rPr/>
        <w:t>subject</w:t>
      </w:r>
      <w:r>
        <w:rPr>
          <w:spacing w:val="20"/>
        </w:rPr>
        <w:t> </w:t>
      </w:r>
      <w:r>
        <w:rPr/>
        <w:t>to</w:t>
      </w:r>
      <w:r>
        <w:rPr>
          <w:spacing w:val="20"/>
        </w:rPr>
        <w:t> </w:t>
      </w:r>
      <w:r>
        <w:rPr/>
        <w:t>the</w:t>
      </w:r>
      <w:r>
        <w:rPr>
          <w:spacing w:val="20"/>
        </w:rPr>
        <w:t> </w:t>
      </w:r>
      <w:r>
        <w:rPr/>
        <w:t>Law</w:t>
      </w:r>
      <w:r>
        <w:rPr>
          <w:spacing w:val="20"/>
        </w:rPr>
        <w:t> </w:t>
      </w:r>
      <w:r>
        <w:rPr/>
        <w:t>of</w:t>
      </w:r>
      <w:r>
        <w:rPr>
          <w:spacing w:val="20"/>
        </w:rPr>
        <w:t> </w:t>
      </w:r>
      <w:r>
        <w:rPr/>
        <w:t>Property</w:t>
      </w:r>
      <w:r>
        <w:rPr>
          <w:spacing w:val="20"/>
        </w:rPr>
        <w:t> </w:t>
      </w:r>
      <w:r>
        <w:rPr/>
        <w:t>Act</w:t>
      </w:r>
      <w:r>
        <w:rPr>
          <w:spacing w:val="20"/>
        </w:rPr>
        <w:t> </w:t>
      </w:r>
      <w:r>
        <w:rPr/>
        <w:t>1925</w:t>
      </w:r>
      <w:r>
        <w:rPr>
          <w:spacing w:val="20"/>
        </w:rPr>
        <w:t> </w:t>
      </w:r>
      <w:r>
        <w:rPr>
          <w:spacing w:val="-2"/>
        </w:rPr>
        <w:t>s.49(2)</w:t>
      </w:r>
    </w:p>
    <w:p>
      <w:pPr>
        <w:pStyle w:val="BodyText"/>
        <w:spacing w:before="9"/>
      </w:pPr>
    </w:p>
    <w:p>
      <w:pPr>
        <w:pStyle w:val="BodyText"/>
        <w:spacing w:line="235" w:lineRule="auto" w:before="1"/>
        <w:ind w:left="165" w:right="167"/>
        <w:jc w:val="both"/>
      </w:pPr>
      <w:bookmarkStart w:name="_bookmark2485" w:id="2487"/>
      <w:bookmarkEnd w:id="2487"/>
      <w:r>
        <w:rPr/>
      </w:r>
      <w:r>
        <w:rPr>
          <w:color w:val="005DA1"/>
          <w:u w:val="single" w:color="005DA1"/>
          <w:vertAlign w:val="superscript"/>
        </w:rPr>
        <w:t>1306</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141" name="Image 1141"/>
            <wp:cNvGraphicFramePr>
              <a:graphicFrameLocks/>
            </wp:cNvGraphicFramePr>
            <a:graphic>
              <a:graphicData uri="http://schemas.openxmlformats.org/drawingml/2006/picture">
                <pic:pic>
                  <pic:nvPicPr>
                    <pic:cNvPr id="1141" name="Image 11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and</w:t>
      </w:r>
      <w:r>
        <w:rPr>
          <w:spacing w:val="-2"/>
          <w:vertAlign w:val="baseline"/>
        </w:rPr>
        <w:t> </w:t>
      </w:r>
      <w:r>
        <w:rPr>
          <w:vertAlign w:val="baseline"/>
        </w:rPr>
        <w:t>what</w:t>
      </w:r>
      <w:r>
        <w:rPr>
          <w:spacing w:val="-2"/>
          <w:vertAlign w:val="baseline"/>
        </w:rPr>
        <w:t> </w:t>
      </w:r>
      <w:r>
        <w:rPr>
          <w:vertAlign w:val="baseline"/>
        </w:rPr>
        <w:t>is</w:t>
      </w:r>
      <w:r>
        <w:rPr>
          <w:spacing w:val="-2"/>
          <w:vertAlign w:val="baseline"/>
        </w:rPr>
        <w:t> </w:t>
      </w:r>
      <w:r>
        <w:rPr>
          <w:vertAlign w:val="baseline"/>
        </w:rPr>
        <w:t>said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paragraphs</w:t>
      </w:r>
      <w:r>
        <w:rPr>
          <w:spacing w:val="-3"/>
          <w:vertAlign w:val="baseline"/>
        </w:rPr>
        <w:t> </w:t>
      </w:r>
      <w:hyperlink w:history="true" w:anchor="_bookmark2507">
        <w:r>
          <w:rPr>
            <w:color w:val="005DA1"/>
            <w:u w:val="single" w:color="005DA1"/>
            <w:vertAlign w:val="superscript"/>
          </w:rPr>
          <w:t>1307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142" name="Image 1142"/>
              <wp:cNvGraphicFramePr>
                <a:graphicFrameLocks/>
              </wp:cNvGraphicFramePr>
              <a:graphic>
                <a:graphicData uri="http://schemas.openxmlformats.org/drawingml/2006/picture">
                  <pic:pic>
                    <pic:nvPicPr>
                      <pic:cNvPr id="1142" name="Image 11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w:t>
        </w:r>
        <w:r>
          <w:rPr>
            <w:spacing w:val="-2"/>
            <w:vertAlign w:val="baseline"/>
          </w:rPr>
          <w:t> </w:t>
        </w:r>
        <w:r>
          <w:rPr>
            <w:vertAlign w:val="baseline"/>
          </w:rPr>
          <w:t>payee</w:t>
        </w:r>
        <w:r>
          <w:rPr>
            <w:spacing w:val="-2"/>
            <w:vertAlign w:val="baseline"/>
          </w:rPr>
          <w:t> </w:t>
        </w:r>
        <w:r>
          <w:rPr>
            <w:vertAlign w:val="baseline"/>
          </w:rPr>
          <w:t>may</w:t>
        </w:r>
        <w:r>
          <w:rPr>
            <w:spacing w:val="-2"/>
            <w:vertAlign w:val="baseline"/>
          </w:rPr>
          <w:t> </w:t>
        </w:r>
        <w:r>
          <w:rPr>
            <w:vertAlign w:val="baseline"/>
          </w:rPr>
          <w:t>retain</w:t>
        </w:r>
        <w:r>
          <w:rPr>
            <w:spacing w:val="-2"/>
            <w:vertAlign w:val="baseline"/>
          </w:rPr>
          <w:t> </w:t>
        </w:r>
        <w:r>
          <w:rPr>
            <w:vertAlign w:val="baseline"/>
          </w:rPr>
          <w:t>the</w:t>
        </w:r>
        <w:r>
          <w:rPr>
            <w:spacing w:val="-2"/>
            <w:vertAlign w:val="baseline"/>
          </w:rPr>
          <w:t> </w:t>
        </w:r>
        <w:r>
          <w:rPr>
            <w:vertAlign w:val="baseline"/>
          </w:rPr>
          <w:t>deposit</w:t>
        </w:r>
        <w:r>
          <w:rPr>
            <w:spacing w:val="-2"/>
            <w:vertAlign w:val="baseline"/>
          </w:rPr>
          <w:t> </w:t>
        </w:r>
        <w:r>
          <w:rPr>
            <w:vertAlign w:val="baseline"/>
          </w:rPr>
          <w:t>provided that it does not exceed the amount that is customary (in contracts for the sale of land, normally 10 </w:t>
        </w:r>
        <w:r>
          <w:rPr>
            <w:vertAlign w:val="baseline"/>
          </w:rPr>
          <w:t>per cent of the purchase price). English courts have traditionally treated such deposits as somewhat </w:t>
        </w:r>
        <w:bookmarkStart w:name="_bookmark2486" w:id="2488"/>
        <w:bookmarkEnd w:id="2488"/>
        <w:r>
          <w:rPr>
            <w:vertAlign w:val="baseline"/>
          </w:rPr>
          <w:t>different</w:t>
        </w:r>
        <w:r>
          <w:rPr>
            <w:spacing w:val="3"/>
            <w:vertAlign w:val="baseline"/>
          </w:rPr>
          <w:t> </w:t>
        </w:r>
        <w:r>
          <w:rPr>
            <w:vertAlign w:val="baseline"/>
          </w:rPr>
          <w:t>from</w:t>
        </w:r>
        <w:r>
          <w:rPr>
            <w:spacing w:val="3"/>
            <w:vertAlign w:val="baseline"/>
          </w:rPr>
          <w:t> </w:t>
        </w:r>
        <w:r>
          <w:rPr>
            <w:vertAlign w:val="baseline"/>
          </w:rPr>
          <w:t>a</w:t>
        </w:r>
        <w:r>
          <w:rPr>
            <w:spacing w:val="3"/>
            <w:vertAlign w:val="baseline"/>
          </w:rPr>
          <w:t> </w:t>
        </w:r>
        <w:r>
          <w:rPr>
            <w:vertAlign w:val="baseline"/>
          </w:rPr>
          <w:t>sum</w:t>
        </w:r>
        <w:r>
          <w:rPr>
            <w:spacing w:val="3"/>
            <w:vertAlign w:val="baseline"/>
          </w:rPr>
          <w:t> </w:t>
        </w:r>
        <w:r>
          <w:rPr>
            <w:vertAlign w:val="baseline"/>
          </w:rPr>
          <w:t>payable</w:t>
        </w:r>
        <w:r>
          <w:rPr>
            <w:spacing w:val="3"/>
            <w:vertAlign w:val="baseline"/>
          </w:rPr>
          <w:t> </w:t>
        </w:r>
        <w:r>
          <w:rPr>
            <w:vertAlign w:val="baseline"/>
          </w:rPr>
          <w:t>upon</w:t>
        </w:r>
        <w:r>
          <w:rPr>
            <w:spacing w:val="3"/>
            <w:vertAlign w:val="baseline"/>
          </w:rPr>
          <w:t> </w:t>
        </w:r>
        <w:r>
          <w:rPr>
            <w:vertAlign w:val="baseline"/>
          </w:rPr>
          <w:t>breach</w:t>
        </w:r>
        <w:r>
          <w:rPr>
            <w:spacing w:val="3"/>
            <w:vertAlign w:val="baseline"/>
          </w:rPr>
          <w:t> </w:t>
        </w:r>
        <w:r>
          <w:rPr>
            <w:vertAlign w:val="baseline"/>
          </w:rPr>
          <w:t>and</w:t>
        </w:r>
        <w:r>
          <w:rPr>
            <w:spacing w:val="3"/>
            <w:vertAlign w:val="baseline"/>
          </w:rPr>
          <w:t> </w:t>
        </w:r>
        <w:r>
          <w:rPr>
            <w:vertAlign w:val="baseline"/>
          </w:rPr>
          <w:t>have</w:t>
        </w:r>
        <w:r>
          <w:rPr>
            <w:spacing w:val="3"/>
            <w:vertAlign w:val="baseline"/>
          </w:rPr>
          <w:t> </w:t>
        </w:r>
        <w:r>
          <w:rPr>
            <w:vertAlign w:val="baseline"/>
          </w:rPr>
          <w:t>not</w:t>
        </w:r>
        <w:r>
          <w:rPr>
            <w:spacing w:val="3"/>
            <w:vertAlign w:val="baseline"/>
          </w:rPr>
          <w:t> </w:t>
        </w:r>
        <w:r>
          <w:rPr>
            <w:vertAlign w:val="baseline"/>
          </w:rPr>
          <w:t>required</w:t>
        </w:r>
        <w:r>
          <w:rPr>
            <w:spacing w:val="3"/>
            <w:vertAlign w:val="baseline"/>
          </w:rPr>
          <w:t> </w:t>
        </w:r>
        <w:r>
          <w:rPr>
            <w:vertAlign w:val="baseline"/>
          </w:rPr>
          <w:t>the</w:t>
        </w:r>
        <w:r>
          <w:rPr>
            <w:spacing w:val="3"/>
            <w:vertAlign w:val="baseline"/>
          </w:rPr>
          <w:t> </w:t>
        </w:r>
        <w:r>
          <w:rPr>
            <w:vertAlign w:val="baseline"/>
          </w:rPr>
          <w:t>seller</w:t>
        </w:r>
        <w:r>
          <w:rPr>
            <w:spacing w:val="3"/>
            <w:vertAlign w:val="baseline"/>
          </w:rPr>
          <w:t> </w:t>
        </w:r>
        <w:r>
          <w:rPr>
            <w:vertAlign w:val="baseline"/>
          </w:rPr>
          <w:t>to</w:t>
        </w:r>
        <w:r>
          <w:rPr>
            <w:spacing w:val="3"/>
            <w:vertAlign w:val="baseline"/>
          </w:rPr>
          <w:t> </w:t>
        </w:r>
        <w:r>
          <w:rPr>
            <w:vertAlign w:val="baseline"/>
          </w:rPr>
          <w:t>show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amount</w:t>
        </w:r>
        <w:r>
          <w:rPr>
            <w:spacing w:val="3"/>
            <w:vertAlign w:val="baseline"/>
          </w:rPr>
          <w:t> </w:t>
        </w:r>
        <w:r>
          <w:rPr>
            <w:spacing w:val="-5"/>
            <w:vertAlign w:val="baseline"/>
          </w:rPr>
          <w:t>is</w:t>
        </w:r>
      </w:hyperlink>
    </w:p>
    <w:p>
      <w:pPr>
        <w:spacing w:line="235" w:lineRule="auto" w:before="118"/>
        <w:ind w:left="165" w:right="168" w:firstLine="0"/>
        <w:jc w:val="both"/>
        <w:rPr>
          <w:sz w:val="20"/>
        </w:rPr>
      </w:pPr>
      <w:r>
        <w:rPr>
          <w:sz w:val="20"/>
        </w:rPr>
        <w:t>a genuine pre-estimate of the loss. </w:t>
      </w:r>
      <w:hyperlink w:history="true" w:anchor="_bookmark2508">
        <w:r>
          <w:rPr>
            <w:color w:val="005DA1"/>
            <w:sz w:val="20"/>
            <w:u w:val="single" w:color="005DA1"/>
            <w:vertAlign w:val="superscript"/>
          </w:rPr>
          <w:t>1308</w:t>
        </w:r>
        <w:r>
          <w:rPr>
            <w:color w:val="005DA1"/>
            <w:spacing w:val="80"/>
            <w:w w:val="150"/>
            <w:sz w:val="20"/>
            <w:vertAlign w:val="baseline"/>
          </w:rPr>
          <w:t> </w:t>
        </w:r>
        <w:r>
          <w:rPr>
            <w:color w:val="005DA1"/>
            <w:spacing w:val="16"/>
            <w:position w:val="-2"/>
            <w:sz w:val="20"/>
            <w:vertAlign w:val="baseline"/>
          </w:rPr>
          <w:drawing>
            <wp:inline distT="0" distB="0" distL="0" distR="0">
              <wp:extent cx="107988" cy="107988"/>
              <wp:effectExtent l="0" t="0" r="0" b="0"/>
              <wp:docPr id="1143" name="Image 1143"/>
              <wp:cNvGraphicFramePr>
                <a:graphicFrameLocks/>
              </wp:cNvGraphicFramePr>
              <a:graphic>
                <a:graphicData uri="http://schemas.openxmlformats.org/drawingml/2006/picture">
                  <pic:pic>
                    <pic:nvPicPr>
                      <pic:cNvPr id="1143" name="Image 11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sz w:val="20"/>
            <w:vertAlign w:val="baseline"/>
          </w:rPr>
        </w:r>
        <w:r>
          <w:rPr>
            <w:rFonts w:ascii="Times New Roman"/>
            <w:color w:val="005DA1"/>
            <w:spacing w:val="16"/>
            <w:sz w:val="20"/>
            <w:vertAlign w:val="baseline"/>
          </w:rPr>
          <w:t> </w:t>
        </w:r>
        <w:r>
          <w:rPr>
            <w:sz w:val="20"/>
            <w:vertAlign w:val="baseline"/>
          </w:rPr>
          <w:t>In </w:t>
        </w:r>
        <w:r>
          <w:rPr>
            <w:rFonts w:ascii="Arial"/>
            <w:i/>
            <w:sz w:val="20"/>
            <w:vertAlign w:val="baseline"/>
          </w:rPr>
          <w:t>Workers Trust &amp; Merchant Bank Ltd v Dojap Investments Ltd </w:t>
        </w:r>
        <w:r>
          <w:rPr>
            <w:sz w:val="20"/>
            <w:vertAlign w:val="baseline"/>
          </w:rPr>
          <w:t>the Privy Council said, in general terms, that the law on penalties applies to:</w:t>
        </w:r>
      </w:hyperlink>
    </w:p>
    <w:p>
      <w:pPr>
        <w:pStyle w:val="BodyText"/>
      </w:pPr>
    </w:p>
    <w:p>
      <w:pPr>
        <w:pStyle w:val="BodyText"/>
        <w:spacing w:before="122"/>
      </w:pPr>
    </w:p>
    <w:p>
      <w:pPr>
        <w:pStyle w:val="BodyText"/>
        <w:spacing w:line="360" w:lineRule="auto"/>
        <w:ind w:left="1245"/>
        <w:rPr>
          <w:position w:val="-2"/>
        </w:rPr>
      </w:pPr>
      <w:bookmarkStart w:name="_bookmark2487" w:id="2489"/>
      <w:bookmarkEnd w:id="2489"/>
      <w:r>
        <w:rPr/>
      </w:r>
      <w:r>
        <w:rPr/>
        <w:t>“…</w:t>
      </w:r>
      <w:r>
        <w:rPr>
          <w:spacing w:val="32"/>
        </w:rPr>
        <w:t> </w:t>
      </w:r>
      <w:r>
        <w:rPr/>
        <w:t>a</w:t>
      </w:r>
      <w:r>
        <w:rPr>
          <w:spacing w:val="32"/>
        </w:rPr>
        <w:t> </w:t>
      </w:r>
      <w:r>
        <w:rPr/>
        <w:t>contractual</w:t>
      </w:r>
      <w:r>
        <w:rPr>
          <w:spacing w:val="32"/>
        </w:rPr>
        <w:t> </w:t>
      </w:r>
      <w:r>
        <w:rPr/>
        <w:t>provision</w:t>
      </w:r>
      <w:r>
        <w:rPr>
          <w:spacing w:val="32"/>
        </w:rPr>
        <w:t> </w:t>
      </w:r>
      <w:r>
        <w:rPr/>
        <w:t>which</w:t>
      </w:r>
      <w:r>
        <w:rPr>
          <w:spacing w:val="32"/>
        </w:rPr>
        <w:t> </w:t>
      </w:r>
      <w:r>
        <w:rPr/>
        <w:t>requires</w:t>
      </w:r>
      <w:r>
        <w:rPr>
          <w:spacing w:val="32"/>
        </w:rPr>
        <w:t> </w:t>
      </w:r>
      <w:r>
        <w:rPr/>
        <w:t>one</w:t>
      </w:r>
      <w:r>
        <w:rPr>
          <w:spacing w:val="32"/>
        </w:rPr>
        <w:t> </w:t>
      </w:r>
      <w:r>
        <w:rPr/>
        <w:t>party</w:t>
      </w:r>
      <w:r>
        <w:rPr>
          <w:spacing w:val="32"/>
        </w:rPr>
        <w:t> </w:t>
      </w:r>
      <w:r>
        <w:rPr/>
        <w:t>in</w:t>
      </w:r>
      <w:r>
        <w:rPr>
          <w:spacing w:val="32"/>
        </w:rPr>
        <w:t> </w:t>
      </w:r>
      <w:r>
        <w:rPr/>
        <w:t>the</w:t>
      </w:r>
      <w:r>
        <w:rPr>
          <w:spacing w:val="32"/>
        </w:rPr>
        <w:t> </w:t>
      </w:r>
      <w:r>
        <w:rPr/>
        <w:t>event</w:t>
      </w:r>
      <w:r>
        <w:rPr>
          <w:spacing w:val="32"/>
        </w:rPr>
        <w:t> </w:t>
      </w:r>
      <w:r>
        <w:rPr/>
        <w:t>of</w:t>
      </w:r>
      <w:r>
        <w:rPr>
          <w:spacing w:val="32"/>
        </w:rPr>
        <w:t> </w:t>
      </w:r>
      <w:r>
        <w:rPr/>
        <w:t>his</w:t>
      </w:r>
      <w:r>
        <w:rPr>
          <w:spacing w:val="32"/>
        </w:rPr>
        <w:t> </w:t>
      </w:r>
      <w:r>
        <w:rPr/>
        <w:t>breach</w:t>
      </w:r>
      <w:r>
        <w:rPr>
          <w:spacing w:val="32"/>
        </w:rPr>
        <w:t> </w:t>
      </w:r>
      <w:r>
        <w:rPr/>
        <w:t>of</w:t>
      </w:r>
      <w:r>
        <w:rPr>
          <w:spacing w:val="32"/>
        </w:rPr>
        <w:t> </w:t>
      </w:r>
      <w:r>
        <w:rPr/>
        <w:t>the contract to pay or forfeit a sum of money to the other party.” </w:t>
      </w:r>
      <w:hyperlink w:history="true" w:anchor="_bookmark2509">
        <w:r>
          <w:rPr>
            <w:color w:val="005DA1"/>
            <w:u w:val="single" w:color="005DA1"/>
            <w:vertAlign w:val="superscript"/>
          </w:rPr>
          <w:t>1309</w:t>
        </w:r>
        <w:r>
          <w:rPr>
            <w:color w:val="005DA1"/>
            <w:spacing w:val="80"/>
            <w:vertAlign w:val="baseline"/>
          </w:rPr>
          <w:t> </w:t>
        </w:r>
        <w:r>
          <w:rPr>
            <w:color w:val="005DA1"/>
            <w:position w:val="-2"/>
            <w:vertAlign w:val="baseline"/>
          </w:rPr>
          <w:drawing>
            <wp:inline distT="0" distB="0" distL="0" distR="0">
              <wp:extent cx="107988" cy="107988"/>
              <wp:effectExtent l="0" t="0" r="0" b="0"/>
              <wp:docPr id="1144" name="Image 1144"/>
              <wp:cNvGraphicFramePr>
                <a:graphicFrameLocks/>
              </wp:cNvGraphicFramePr>
              <a:graphic>
                <a:graphicData uri="http://schemas.openxmlformats.org/drawingml/2006/picture">
                  <pic:pic>
                    <pic:nvPicPr>
                      <pic:cNvPr id="1144" name="Image 11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
      </w:pPr>
    </w:p>
    <w:p>
      <w:pPr>
        <w:pStyle w:val="BodyText"/>
        <w:spacing w:line="235" w:lineRule="auto"/>
        <w:ind w:left="165" w:right="167"/>
        <w:jc w:val="both"/>
      </w:pPr>
      <w:r>
        <w:rPr/>
        <w:t>In that case a contract for the sale of land required a 25 per cent deposit. The Privy Council held that</w:t>
      </w:r>
      <w:r>
        <w:rPr>
          <w:spacing w:val="40"/>
        </w:rPr>
        <w:t> </w:t>
      </w:r>
      <w:r>
        <w:rPr/>
        <w:t>a larger deposit than the customary 10 per cent would be valid only if the seller could show that it </w:t>
      </w:r>
      <w:r>
        <w:rPr/>
        <w:t>was reasonable to demand one; and in the absence of that the whole deposit was invalid and must be repaid, subject to a cross-claim for any loss suffered by the seller. However, the Privy Council accepted that a customary 10 per cent deposit may be forfeited by the seller on the buyer’s default, </w:t>
      </w:r>
      <w:bookmarkStart w:name="_bookmark2488" w:id="2490"/>
      <w:bookmarkEnd w:id="2490"/>
      <w:r>
        <w:rPr/>
        <w:t>irrespective</w:t>
      </w:r>
      <w:r>
        <w:rPr>
          <w:spacing w:val="38"/>
        </w:rPr>
        <w:t> </w:t>
      </w:r>
      <w:r>
        <w:rPr/>
        <w:t>of</w:t>
      </w:r>
      <w:r>
        <w:rPr>
          <w:spacing w:val="38"/>
        </w:rPr>
        <w:t> </w:t>
      </w:r>
      <w:r>
        <w:rPr/>
        <w:t>the</w:t>
      </w:r>
      <w:r>
        <w:rPr>
          <w:spacing w:val="38"/>
        </w:rPr>
        <w:t> </w:t>
      </w:r>
      <w:r>
        <w:rPr/>
        <w:t>amount</w:t>
      </w:r>
      <w:r>
        <w:rPr>
          <w:spacing w:val="38"/>
        </w:rPr>
        <w:t> </w:t>
      </w:r>
      <w:r>
        <w:rPr/>
        <w:t>of</w:t>
      </w:r>
      <w:r>
        <w:rPr>
          <w:spacing w:val="38"/>
        </w:rPr>
        <w:t> </w:t>
      </w:r>
      <w:r>
        <w:rPr/>
        <w:t>the</w:t>
      </w:r>
      <w:r>
        <w:rPr>
          <w:spacing w:val="38"/>
        </w:rPr>
        <w:t> </w:t>
      </w:r>
      <w:r>
        <w:rPr/>
        <w:t>seller’s</w:t>
      </w:r>
      <w:r>
        <w:rPr>
          <w:spacing w:val="38"/>
        </w:rPr>
        <w:t> </w:t>
      </w:r>
      <w:r>
        <w:rPr/>
        <w:t>loss.</w:t>
      </w:r>
      <w:r>
        <w:rPr>
          <w:spacing w:val="38"/>
        </w:rPr>
        <w:t> </w:t>
      </w:r>
      <w:r>
        <w:rPr/>
        <w:t>In</w:t>
      </w:r>
      <w:r>
        <w:rPr>
          <w:spacing w:val="38"/>
        </w:rPr>
        <w:t> </w:t>
      </w:r>
      <w:r>
        <w:rPr>
          <w:rFonts w:ascii="Arial" w:hAnsi="Arial"/>
          <w:i/>
        </w:rPr>
        <w:t>Cavendish</w:t>
      </w:r>
      <w:r>
        <w:rPr>
          <w:rFonts w:ascii="Arial" w:hAnsi="Arial"/>
          <w:i/>
          <w:spacing w:val="38"/>
        </w:rPr>
        <w:t> </w:t>
      </w:r>
      <w:r>
        <w:rPr>
          <w:rFonts w:ascii="Arial" w:hAnsi="Arial"/>
          <w:i/>
        </w:rPr>
        <w:t>Square</w:t>
      </w:r>
      <w:r>
        <w:rPr>
          <w:rFonts w:ascii="Arial" w:hAnsi="Arial"/>
          <w:i/>
          <w:spacing w:val="38"/>
        </w:rPr>
        <w:t> </w:t>
      </w:r>
      <w:r>
        <w:rPr>
          <w:rFonts w:ascii="Arial" w:hAnsi="Arial"/>
          <w:i/>
        </w:rPr>
        <w:t>Holding</w:t>
      </w:r>
      <w:r>
        <w:rPr>
          <w:rFonts w:ascii="Arial" w:hAnsi="Arial"/>
          <w:i/>
          <w:spacing w:val="38"/>
        </w:rPr>
        <w:t> </w:t>
      </w:r>
      <w:r>
        <w:rPr>
          <w:rFonts w:ascii="Arial" w:hAnsi="Arial"/>
          <w:i/>
        </w:rPr>
        <w:t>BV</w:t>
      </w:r>
      <w:r>
        <w:rPr>
          <w:rFonts w:ascii="Arial" w:hAnsi="Arial"/>
          <w:i/>
          <w:spacing w:val="38"/>
        </w:rPr>
        <w:t> </w:t>
      </w:r>
      <w:r>
        <w:rPr>
          <w:rFonts w:ascii="Arial" w:hAnsi="Arial"/>
          <w:i/>
        </w:rPr>
        <w:t>v</w:t>
      </w:r>
      <w:r>
        <w:rPr>
          <w:rFonts w:ascii="Arial" w:hAnsi="Arial"/>
          <w:i/>
          <w:spacing w:val="38"/>
        </w:rPr>
        <w:t> </w:t>
      </w:r>
      <w:r>
        <w:rPr>
          <w:rFonts w:ascii="Arial" w:hAnsi="Arial"/>
          <w:i/>
        </w:rPr>
        <w:t>Makdessi</w:t>
      </w:r>
      <w:r>
        <w:rPr>
          <w:rFonts w:ascii="Arial" w:hAnsi="Arial"/>
          <w:i/>
          <w:spacing w:val="38"/>
        </w:rPr>
        <w:t> </w:t>
      </w:r>
      <w:r>
        <w:rPr>
          <w:spacing w:val="-5"/>
        </w:rPr>
        <w:t>and</w:t>
      </w:r>
    </w:p>
    <w:p>
      <w:pPr>
        <w:pStyle w:val="BodyText"/>
        <w:spacing w:line="346" w:lineRule="exact" w:before="25"/>
        <w:ind w:left="165" w:right="167"/>
        <w:jc w:val="both"/>
        <w:rPr>
          <w:position w:val="-2"/>
        </w:rPr>
      </w:pPr>
      <w:bookmarkStart w:name="_bookmark2489" w:id="2491"/>
      <w:bookmarkEnd w:id="2491"/>
      <w:r>
        <w:rPr/>
      </w:r>
      <w:r>
        <w:rPr>
          <w:rFonts w:ascii="Arial" w:hAnsi="Arial"/>
          <w:i/>
        </w:rPr>
        <w:t>ParkingEye Ltd v Beavis </w:t>
      </w:r>
      <w:hyperlink w:history="true" w:anchor="_bookmark2510">
        <w:r>
          <w:rPr>
            <w:color w:val="005DA1"/>
            <w:u w:val="single" w:color="005DA1"/>
            <w:vertAlign w:val="superscript"/>
          </w:rPr>
          <w:t>1310</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145" name="Image 1145"/>
              <wp:cNvGraphicFramePr>
                <a:graphicFrameLocks/>
              </wp:cNvGraphicFramePr>
              <a:graphic>
                <a:graphicData uri="http://schemas.openxmlformats.org/drawingml/2006/picture">
                  <pic:pic>
                    <pic:nvPicPr>
                      <pic:cNvPr id="1145" name="Image 11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23"/>
            <w:vertAlign w:val="baseline"/>
          </w:rPr>
          <w:t> </w:t>
        </w:r>
        <w:r>
          <w:rPr>
            <w:vertAlign w:val="baseline"/>
          </w:rPr>
          <w:t>the Supreme Court again said that the penalty rules apply to </w:t>
        </w:r>
        <w:bookmarkStart w:name="_bookmark2490" w:id="2492"/>
        <w:bookmarkEnd w:id="2492"/>
        <w:r>
          <w:rPr>
            <w:vertAlign w:val="baseline"/>
          </w:rPr>
          <w:t>deposits,</w:t>
        </w:r>
        <w:r>
          <w:rPr>
            <w:vertAlign w:val="baseline"/>
          </w:rPr>
          <w:t> </w:t>
        </w:r>
        <w:hyperlink w:history="true" w:anchor="_bookmark2511">
          <w:r>
            <w:rPr>
              <w:color w:val="005DA1"/>
              <w:u w:val="single" w:color="005DA1"/>
              <w:vertAlign w:val="superscript"/>
            </w:rPr>
            <w:t>1311</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146" name="Image 1146"/>
                <wp:cNvGraphicFramePr>
                  <a:graphicFrameLocks/>
                </wp:cNvGraphicFramePr>
                <a:graphic>
                  <a:graphicData uri="http://schemas.openxmlformats.org/drawingml/2006/picture">
                    <pic:pic>
                      <pic:nvPicPr>
                        <pic:cNvPr id="1146" name="Image 11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but either explained the right to keep a customary 10 per cent deposit either on </w:t>
          </w:r>
          <w:r>
            <w:rPr>
              <w:vertAlign w:val="baseline"/>
            </w:rPr>
            <w:t>the grounds</w:t>
          </w:r>
          <w:r>
            <w:rPr>
              <w:spacing w:val="11"/>
              <w:vertAlign w:val="baseline"/>
            </w:rPr>
            <w:t> </w:t>
          </w:r>
          <w:r>
            <w:rPr>
              <w:vertAlign w:val="baseline"/>
            </w:rPr>
            <w:t>that</w:t>
          </w:r>
          <w:r>
            <w:rPr>
              <w:spacing w:val="11"/>
              <w:vertAlign w:val="baseline"/>
            </w:rPr>
            <w:t> </w:t>
          </w:r>
          <w:r>
            <w:rPr>
              <w:vertAlign w:val="baseline"/>
            </w:rPr>
            <w:t>this</w:t>
          </w:r>
          <w:r>
            <w:rPr>
              <w:spacing w:val="11"/>
              <w:vertAlign w:val="baseline"/>
            </w:rPr>
            <w:t> </w:t>
          </w:r>
          <w:r>
            <w:rPr>
              <w:vertAlign w:val="baseline"/>
            </w:rPr>
            <w:t>is</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seen</w:t>
          </w:r>
          <w:r>
            <w:rPr>
              <w:spacing w:val="11"/>
              <w:vertAlign w:val="baseline"/>
            </w:rPr>
            <w:t> </w:t>
          </w:r>
          <w:r>
            <w:rPr>
              <w:vertAlign w:val="baseline"/>
            </w:rPr>
            <w:t>as</w:t>
          </w:r>
          <w:r>
            <w:rPr>
              <w:spacing w:val="11"/>
              <w:vertAlign w:val="baseline"/>
            </w:rPr>
            <w:t> </w:t>
          </w:r>
          <w:r>
            <w:rPr>
              <w:vertAlign w:val="baseline"/>
            </w:rPr>
            <w:t>“earnest</w:t>
          </w:r>
          <w:r>
            <w:rPr>
              <w:spacing w:val="11"/>
              <w:vertAlign w:val="baseline"/>
            </w:rPr>
            <w:t> </w:t>
          </w:r>
          <w:r>
            <w:rPr>
              <w:vertAlign w:val="baseline"/>
            </w:rPr>
            <w:t>money”</w:t>
          </w:r>
          <w:r>
            <w:rPr>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subject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penalty</w:t>
          </w:r>
          <w:r>
            <w:rPr>
              <w:spacing w:val="11"/>
              <w:vertAlign w:val="baseline"/>
            </w:rPr>
            <w:t> </w:t>
          </w:r>
          <w:r>
            <w:rPr>
              <w:vertAlign w:val="baseline"/>
            </w:rPr>
            <w:t>doctrine</w:t>
          </w:r>
          <w:r>
            <w:rPr>
              <w:spacing w:val="10"/>
              <w:vertAlign w:val="baseline"/>
            </w:rPr>
            <w:t> </w:t>
          </w:r>
          <w:hyperlink w:history="true" w:anchor="_bookmark2512">
            <w:r>
              <w:rPr>
                <w:color w:val="005DA1"/>
                <w:u w:val="single" w:color="005DA1"/>
                <w:vertAlign w:val="superscript"/>
              </w:rPr>
              <w:t>1312</w:t>
            </w:r>
            <w:r>
              <w:rPr>
                <w:color w:val="005DA1"/>
                <w:spacing w:val="36"/>
                <w:vertAlign w:val="baseline"/>
              </w:rPr>
              <w:t>  </w:t>
            </w:r>
            <w:r>
              <w:rPr>
                <w:color w:val="005DA1"/>
                <w:spacing w:val="-17"/>
                <w:position w:val="-2"/>
                <w:vertAlign w:val="baseline"/>
              </w:rPr>
              <w:drawing>
                <wp:inline distT="0" distB="0" distL="0" distR="0">
                  <wp:extent cx="107988" cy="107988"/>
                  <wp:effectExtent l="0" t="0" r="0" b="0"/>
                  <wp:docPr id="1147" name="Image 1147"/>
                  <wp:cNvGraphicFramePr>
                    <a:graphicFrameLocks/>
                  </wp:cNvGraphicFramePr>
                  <a:graphic>
                    <a:graphicData uri="http://schemas.openxmlformats.org/drawingml/2006/picture">
                      <pic:pic>
                        <pic:nvPicPr>
                          <pic:cNvPr id="1147" name="Image 11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hyperlink>
        </w:hyperlink>
      </w:hyperlink>
    </w:p>
    <w:p>
      <w:pPr>
        <w:pStyle w:val="BodyText"/>
        <w:spacing w:line="194" w:lineRule="exact"/>
        <w:ind w:left="165"/>
        <w:jc w:val="both"/>
      </w:pPr>
      <w:r>
        <w:rPr/>
        <w:t>or,</w:t>
      </w:r>
      <w:r>
        <w:rPr>
          <w:spacing w:val="2"/>
        </w:rPr>
        <w:t> </w:t>
      </w:r>
      <w:r>
        <w:rPr/>
        <w:t>it</w:t>
      </w:r>
      <w:r>
        <w:rPr>
          <w:spacing w:val="2"/>
        </w:rPr>
        <w:t> </w:t>
      </w:r>
      <w:r>
        <w:rPr/>
        <w:t>is</w:t>
      </w:r>
      <w:r>
        <w:rPr>
          <w:spacing w:val="2"/>
        </w:rPr>
        <w:t> </w:t>
      </w:r>
      <w:r>
        <w:rPr/>
        <w:t>thought,</w:t>
      </w:r>
      <w:r>
        <w:rPr>
          <w:spacing w:val="2"/>
        </w:rPr>
        <w:t> </w:t>
      </w:r>
      <w:r>
        <w:rPr/>
        <w:t>on</w:t>
      </w:r>
      <w:r>
        <w:rPr>
          <w:spacing w:val="2"/>
        </w:rPr>
        <w:t> </w:t>
      </w:r>
      <w:r>
        <w:rPr/>
        <w:t>the</w:t>
      </w:r>
      <w:r>
        <w:rPr>
          <w:spacing w:val="2"/>
        </w:rPr>
        <w:t> </w:t>
      </w:r>
      <w:r>
        <w:rPr/>
        <w:t>basis</w:t>
      </w:r>
      <w:r>
        <w:rPr>
          <w:spacing w:val="2"/>
        </w:rPr>
        <w:t> </w:t>
      </w:r>
      <w:r>
        <w:rPr/>
        <w:t>of</w:t>
      </w:r>
      <w:r>
        <w:rPr>
          <w:spacing w:val="2"/>
        </w:rPr>
        <w:t> </w:t>
      </w:r>
      <w:r>
        <w:rPr/>
        <w:t>a</w:t>
      </w:r>
      <w:r>
        <w:rPr>
          <w:spacing w:val="2"/>
        </w:rPr>
        <w:t> </w:t>
      </w:r>
      <w:r>
        <w:rPr/>
        <w:t>legitimate</w:t>
      </w:r>
      <w:r>
        <w:rPr>
          <w:spacing w:val="2"/>
        </w:rPr>
        <w:t> </w:t>
      </w:r>
      <w:r>
        <w:rPr/>
        <w:t>interest</w:t>
      </w:r>
      <w:r>
        <w:rPr>
          <w:spacing w:val="2"/>
        </w:rPr>
        <w:t> </w:t>
      </w:r>
      <w:r>
        <w:rPr/>
        <w:t>of</w:t>
      </w:r>
      <w:r>
        <w:rPr>
          <w:spacing w:val="2"/>
        </w:rPr>
        <w:t> </w:t>
      </w:r>
      <w:r>
        <w:rPr/>
        <w:t>the</w:t>
      </w:r>
      <w:r>
        <w:rPr>
          <w:spacing w:val="2"/>
        </w:rPr>
        <w:t> </w:t>
      </w:r>
      <w:r>
        <w:rPr/>
        <w:t>seller</w:t>
      </w:r>
      <w:r>
        <w:rPr>
          <w:spacing w:val="2"/>
        </w:rPr>
        <w:t> </w:t>
      </w:r>
      <w:r>
        <w:rPr/>
        <w:t>in</w:t>
      </w:r>
      <w:r>
        <w:rPr>
          <w:spacing w:val="2"/>
        </w:rPr>
        <w:t> </w:t>
      </w:r>
      <w:r>
        <w:rPr/>
        <w:t>deterring</w:t>
      </w:r>
      <w:r>
        <w:rPr>
          <w:spacing w:val="2"/>
        </w:rPr>
        <w:t> </w:t>
      </w:r>
      <w:r>
        <w:rPr/>
        <w:t>breach</w:t>
      </w:r>
      <w:r>
        <w:rPr>
          <w:spacing w:val="2"/>
        </w:rPr>
        <w:t> </w:t>
      </w:r>
      <w:r>
        <w:rPr/>
        <w:t>by</w:t>
      </w:r>
      <w:r>
        <w:rPr>
          <w:spacing w:val="2"/>
        </w:rPr>
        <w:t> </w:t>
      </w:r>
      <w:r>
        <w:rPr/>
        <w:t>the</w:t>
      </w:r>
      <w:r>
        <w:rPr>
          <w:spacing w:val="2"/>
        </w:rPr>
        <w:t> </w:t>
      </w:r>
      <w:r>
        <w:rPr/>
        <w:t>buyer.</w:t>
      </w:r>
      <w:r>
        <w:rPr>
          <w:spacing w:val="2"/>
        </w:rPr>
        <w:t> </w:t>
      </w:r>
      <w:r>
        <w:rPr>
          <w:spacing w:val="-4"/>
        </w:rPr>
        <w:t>This</w:t>
      </w:r>
    </w:p>
    <w:p>
      <w:pPr>
        <w:pStyle w:val="BodyText"/>
        <w:spacing w:line="360" w:lineRule="auto"/>
        <w:ind w:left="165" w:right="167"/>
        <w:jc w:val="both"/>
      </w:pPr>
      <w:bookmarkStart w:name="_bookmark2491" w:id="2493"/>
      <w:bookmarkEnd w:id="2493"/>
      <w:r>
        <w:rPr/>
      </w:r>
      <w:r>
        <w:rPr/>
        <w:t>seems to rest on the fact that each piece of land is treated as unique, so that damages are not </w:t>
      </w:r>
      <w:bookmarkStart w:name="_bookmark2492" w:id="2494"/>
      <w:bookmarkEnd w:id="2494"/>
      <w:r>
        <w:rPr/>
        <w:t>considered</w:t>
      </w:r>
      <w:r>
        <w:rPr>
          <w:spacing w:val="12"/>
        </w:rPr>
        <w:t> </w:t>
      </w:r>
      <w:r>
        <w:rPr/>
        <w:t>an</w:t>
      </w:r>
      <w:r>
        <w:rPr>
          <w:spacing w:val="13"/>
        </w:rPr>
        <w:t> </w:t>
      </w:r>
      <w:r>
        <w:rPr/>
        <w:t>adequate</w:t>
      </w:r>
      <w:r>
        <w:rPr>
          <w:spacing w:val="12"/>
        </w:rPr>
        <w:t> </w:t>
      </w:r>
      <w:r>
        <w:rPr/>
        <w:t>remedy.</w:t>
      </w:r>
      <w:r>
        <w:rPr>
          <w:spacing w:val="13"/>
        </w:rPr>
        <w:t> </w:t>
      </w:r>
      <w:r>
        <w:rPr/>
        <w:t>That</w:t>
      </w:r>
      <w:r>
        <w:rPr>
          <w:spacing w:val="12"/>
        </w:rPr>
        <w:t> </w:t>
      </w:r>
      <w:r>
        <w:rPr/>
        <w:t>justifies</w:t>
      </w:r>
      <w:r>
        <w:rPr>
          <w:spacing w:val="13"/>
        </w:rPr>
        <w:t> </w:t>
      </w:r>
      <w:r>
        <w:rPr/>
        <w:t>ordering</w:t>
      </w:r>
      <w:r>
        <w:rPr>
          <w:spacing w:val="12"/>
        </w:rPr>
        <w:t> </w:t>
      </w:r>
      <w:r>
        <w:rPr/>
        <w:t>specific</w:t>
      </w:r>
      <w:r>
        <w:rPr>
          <w:spacing w:val="13"/>
        </w:rPr>
        <w:t> </w:t>
      </w:r>
      <w:r>
        <w:rPr/>
        <w:t>performance</w:t>
      </w:r>
      <w:r>
        <w:rPr>
          <w:spacing w:val="12"/>
        </w:rPr>
        <w:t> </w:t>
      </w:r>
      <w:hyperlink w:history="true" w:anchor="_bookmark2513">
        <w:r>
          <w:rPr>
            <w:color w:val="005DA1"/>
            <w:u w:val="single" w:color="005DA1"/>
            <w:vertAlign w:val="superscript"/>
          </w:rPr>
          <w:t>1313</w:t>
        </w:r>
        <w:r>
          <w:rPr>
            <w:color w:val="005DA1"/>
            <w:spacing w:val="46"/>
            <w:vertAlign w:val="baseline"/>
          </w:rPr>
          <w:t>  </w:t>
        </w:r>
        <w:r>
          <w:rPr>
            <w:color w:val="005DA1"/>
            <w:spacing w:val="-13"/>
            <w:position w:val="-2"/>
            <w:vertAlign w:val="baseline"/>
          </w:rPr>
          <w:drawing>
            <wp:inline distT="0" distB="0" distL="0" distR="0">
              <wp:extent cx="107988" cy="107988"/>
              <wp:effectExtent l="0" t="0" r="0" b="0"/>
              <wp:docPr id="1148" name="Image 1148"/>
              <wp:cNvGraphicFramePr>
                <a:graphicFrameLocks/>
              </wp:cNvGraphicFramePr>
              <a:graphic>
                <a:graphicData uri="http://schemas.openxmlformats.org/drawingml/2006/picture">
                  <pic:pic>
                    <pic:nvPicPr>
                      <pic:cNvPr id="1148" name="Image 11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31"/>
            <w:vertAlign w:val="baseline"/>
          </w:rPr>
          <w:t> </w:t>
        </w:r>
        <w:r>
          <w:rPr>
            <w:vertAlign w:val="baseline"/>
          </w:rPr>
          <w:t>and</w:t>
        </w:r>
        <w:r>
          <w:rPr>
            <w:spacing w:val="13"/>
            <w:vertAlign w:val="baseline"/>
          </w:rPr>
          <w:t> </w:t>
        </w:r>
        <w:r>
          <w:rPr>
            <w:vertAlign w:val="baseline"/>
          </w:rPr>
          <w:t>so</w:t>
        </w:r>
        <w:r>
          <w:rPr>
            <w:spacing w:val="12"/>
            <w:vertAlign w:val="baseline"/>
          </w:rPr>
          <w:t> </w:t>
        </w:r>
        <w:r>
          <w:rPr>
            <w:vertAlign w:val="baseline"/>
          </w:rPr>
          <w:t>it</w:t>
        </w:r>
        <w:r>
          <w:rPr>
            <w:spacing w:val="13"/>
            <w:vertAlign w:val="baseline"/>
          </w:rPr>
          <w:t> </w:t>
        </w:r>
        <w:r>
          <w:rPr>
            <w:spacing w:val="-4"/>
            <w:vertAlign w:val="baseline"/>
          </w:rPr>
          <w:t>gives</w:t>
        </w:r>
      </w:hyperlink>
    </w:p>
    <w:p>
      <w:pPr>
        <w:pStyle w:val="BodyText"/>
        <w:spacing w:line="235" w:lineRule="auto" w:before="1"/>
        <w:ind w:left="165" w:right="167"/>
        <w:jc w:val="both"/>
      </w:pPr>
      <w:r>
        <w:rPr/>
        <w:t>the either party a legitimate interest for the purposes of the penalty rules. </w:t>
      </w:r>
      <w:hyperlink w:history="true" w:anchor="_bookmark2514">
        <w:r>
          <w:rPr>
            <w:color w:val="005DA1"/>
            <w:u w:val="single" w:color="005DA1"/>
            <w:vertAlign w:val="superscript"/>
          </w:rPr>
          <w:t>1314</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149" name="Image 1149"/>
              <wp:cNvGraphicFramePr>
                <a:graphicFrameLocks/>
              </wp:cNvGraphicFramePr>
              <a:graphic>
                <a:graphicData uri="http://schemas.openxmlformats.org/drawingml/2006/picture">
                  <pic:pic>
                    <pic:nvPicPr>
                      <pic:cNvPr id="1149" name="Image 11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vertAlign w:val="baseline"/>
          </w:rPr>
          <w:t> </w:t>
        </w:r>
        <w:r>
          <w:rPr>
            <w:vertAlign w:val="baseline"/>
          </w:rPr>
          <w:t>A deposit in </w:t>
        </w:r>
        <w:r>
          <w:rPr>
            <w:vertAlign w:val="baseline"/>
          </w:rPr>
          <w:t>other </w:t>
        </w:r>
        <w:bookmarkStart w:name="_bookmark2493" w:id="2495"/>
        <w:bookmarkEnd w:id="2495"/>
        <w:r>
          <w:rPr>
            <w:vertAlign w:val="baseline"/>
          </w:rPr>
          <w:t>types</w:t>
        </w:r>
        <w:r>
          <w:rPr>
            <w:spacing w:val="19"/>
            <w:vertAlign w:val="baseline"/>
          </w:rPr>
          <w:t> </w:t>
        </w:r>
        <w:r>
          <w:rPr>
            <w:vertAlign w:val="baseline"/>
          </w:rPr>
          <w:t>of</w:t>
        </w:r>
        <w:r>
          <w:rPr>
            <w:spacing w:val="19"/>
            <w:vertAlign w:val="baseline"/>
          </w:rPr>
          <w:t> </w:t>
        </w:r>
        <w:r>
          <w:rPr>
            <w:vertAlign w:val="baseline"/>
          </w:rPr>
          <w:t>contract,</w:t>
        </w:r>
        <w:r>
          <w:rPr>
            <w:spacing w:val="19"/>
            <w:vertAlign w:val="baseline"/>
          </w:rPr>
          <w:t> </w:t>
        </w:r>
        <w:r>
          <w:rPr>
            <w:vertAlign w:val="baseline"/>
          </w:rPr>
          <w:t>such</w:t>
        </w:r>
        <w:r>
          <w:rPr>
            <w:spacing w:val="19"/>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deposit</w:t>
        </w:r>
        <w:r>
          <w:rPr>
            <w:spacing w:val="19"/>
            <w:vertAlign w:val="baseline"/>
          </w:rPr>
          <w:t> </w:t>
        </w:r>
        <w:r>
          <w:rPr>
            <w:vertAlign w:val="baseline"/>
          </w:rPr>
          <w:t>paid</w:t>
        </w:r>
        <w:r>
          <w:rPr>
            <w:spacing w:val="19"/>
            <w:vertAlign w:val="baseline"/>
          </w:rPr>
          <w:t> </w:t>
        </w:r>
        <w:r>
          <w:rPr>
            <w:vertAlign w:val="baseline"/>
          </w:rPr>
          <w:t>when</w:t>
        </w:r>
        <w:r>
          <w:rPr>
            <w:spacing w:val="19"/>
            <w:vertAlign w:val="baseline"/>
          </w:rPr>
          <w:t> </w:t>
        </w:r>
        <w:r>
          <w:rPr>
            <w:vertAlign w:val="baseline"/>
          </w:rPr>
          <w:t>goods</w:t>
        </w:r>
        <w:r>
          <w:rPr>
            <w:spacing w:val="19"/>
            <w:vertAlign w:val="baseline"/>
          </w:rPr>
          <w:t> </w:t>
        </w:r>
        <w:r>
          <w:rPr>
            <w:vertAlign w:val="baseline"/>
          </w:rPr>
          <w:t>are</w:t>
        </w:r>
        <w:r>
          <w:rPr>
            <w:spacing w:val="19"/>
            <w:vertAlign w:val="baseline"/>
          </w:rPr>
          <w:t> </w:t>
        </w:r>
        <w:r>
          <w:rPr>
            <w:vertAlign w:val="baseline"/>
          </w:rPr>
          <w:t>ordered,</w:t>
        </w:r>
        <w:r>
          <w:rPr>
            <w:spacing w:val="19"/>
            <w:vertAlign w:val="baseline"/>
          </w:rPr>
          <w:t> </w:t>
        </w:r>
        <w:r>
          <w:rPr>
            <w:vertAlign w:val="baseline"/>
          </w:rPr>
          <w:t>may</w:t>
        </w:r>
        <w:r>
          <w:rPr>
            <w:spacing w:val="19"/>
            <w:vertAlign w:val="baseline"/>
          </w:rPr>
          <w:t> </w:t>
        </w:r>
        <w:r>
          <w:rPr>
            <w:vertAlign w:val="baseline"/>
          </w:rPr>
          <w:t>not</w:t>
        </w:r>
        <w:r>
          <w:rPr>
            <w:spacing w:val="19"/>
            <w:vertAlign w:val="baseline"/>
          </w:rPr>
          <w:t> </w:t>
        </w:r>
        <w:r>
          <w:rPr>
            <w:vertAlign w:val="baseline"/>
          </w:rPr>
          <w:t>be</w:t>
        </w:r>
        <w:r>
          <w:rPr>
            <w:spacing w:val="19"/>
            <w:vertAlign w:val="baseline"/>
          </w:rPr>
          <w:t> </w:t>
        </w:r>
        <w:r>
          <w:rPr>
            <w:vertAlign w:val="baseline"/>
          </w:rPr>
          <w:t>treated</w:t>
        </w:r>
        <w:r>
          <w:rPr>
            <w:spacing w:val="19"/>
            <w:vertAlign w:val="baseline"/>
          </w:rPr>
          <w:t> </w:t>
        </w:r>
        <w:r>
          <w:rPr>
            <w:vertAlign w:val="baseline"/>
          </w:rPr>
          <w:t>in</w:t>
        </w:r>
        <w:r>
          <w:rPr>
            <w:spacing w:val="19"/>
            <w:vertAlign w:val="baseline"/>
          </w:rPr>
          <w:t> </w:t>
        </w:r>
        <w:r>
          <w:rPr>
            <w:vertAlign w:val="baseline"/>
          </w:rPr>
          <w:t>the</w:t>
        </w:r>
        <w:r>
          <w:rPr>
            <w:spacing w:val="19"/>
            <w:vertAlign w:val="baseline"/>
          </w:rPr>
          <w:t> </w:t>
        </w:r>
        <w:r>
          <w:rPr>
            <w:spacing w:val="-4"/>
            <w:vertAlign w:val="baseline"/>
          </w:rPr>
          <w:t>same</w:t>
        </w:r>
      </w:hyperlink>
    </w:p>
    <w:p>
      <w:pPr>
        <w:pStyle w:val="BodyText"/>
        <w:spacing w:line="360" w:lineRule="auto" w:before="115"/>
        <w:ind w:left="165" w:right="167"/>
        <w:jc w:val="both"/>
        <w:rPr>
          <w:position w:val="-2"/>
        </w:rPr>
      </w:pPr>
      <w:bookmarkStart w:name="_bookmark2494" w:id="2496"/>
      <w:bookmarkEnd w:id="2496"/>
      <w:r>
        <w:rPr/>
      </w:r>
      <w:r>
        <w:rPr/>
        <w:t>way</w:t>
      </w:r>
      <w:r>
        <w:rPr>
          <w:spacing w:val="-2"/>
        </w:rPr>
        <w:t> </w:t>
      </w:r>
      <w:hyperlink w:history="true" w:anchor="_bookmark2515">
        <w:r>
          <w:rPr>
            <w:color w:val="005DA1"/>
            <w:u w:val="single" w:color="005DA1"/>
            <w:vertAlign w:val="superscript"/>
          </w:rPr>
          <w:t>1315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150" name="Image 1150"/>
              <wp:cNvGraphicFramePr>
                <a:graphicFrameLocks/>
              </wp:cNvGraphicFramePr>
              <a:graphic>
                <a:graphicData uri="http://schemas.openxmlformats.org/drawingml/2006/picture">
                  <pic:pic>
                    <pic:nvPicPr>
                      <pic:cNvPr id="1150" name="Image 11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vertAlign w:val="baseline"/>
          </w:rPr>
          <w:t>:</w:t>
        </w:r>
        <w:r>
          <w:rPr>
            <w:spacing w:val="-2"/>
            <w:vertAlign w:val="baseline"/>
          </w:rPr>
          <w:t> </w:t>
        </w:r>
        <w:r>
          <w:rPr>
            <w:vertAlign w:val="baseline"/>
          </w:rPr>
          <w:t>a</w:t>
        </w:r>
        <w:r>
          <w:rPr>
            <w:spacing w:val="-2"/>
            <w:vertAlign w:val="baseline"/>
          </w:rPr>
          <w:t> </w:t>
        </w:r>
        <w:r>
          <w:rPr>
            <w:vertAlign w:val="baseline"/>
          </w:rPr>
          <w:t>seller</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seem</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a</w:t>
        </w:r>
        <w:r>
          <w:rPr>
            <w:spacing w:val="-2"/>
            <w:vertAlign w:val="baseline"/>
          </w:rPr>
          <w:t> </w:t>
        </w:r>
        <w:r>
          <w:rPr>
            <w:vertAlign w:val="baseline"/>
          </w:rPr>
          <w:t>legitimate</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obtaining</w:t>
        </w:r>
        <w:r>
          <w:rPr>
            <w:spacing w:val="-2"/>
            <w:vertAlign w:val="baseline"/>
          </w:rPr>
          <w:t> </w:t>
        </w:r>
        <w:r>
          <w:rPr>
            <w:vertAlign w:val="baseline"/>
          </w:rPr>
          <w:t>performance</w:t>
        </w:r>
        <w:r>
          <w:rPr>
            <w:spacing w:val="-2"/>
            <w:vertAlign w:val="baseline"/>
          </w:rPr>
          <w:t> </w:t>
        </w:r>
        <w:r>
          <w:rPr>
            <w:vertAlign w:val="baseline"/>
          </w:rPr>
          <w:t>by </w:t>
        </w:r>
        <w:bookmarkStart w:name="_bookmark2495" w:id="2497"/>
        <w:bookmarkEnd w:id="2497"/>
        <w:r>
          <w:rPr>
            <w:vertAlign w:val="baseline"/>
          </w:rPr>
          <w:t>the</w:t>
        </w:r>
        <w:r>
          <w:rPr>
            <w:spacing w:val="-3"/>
            <w:vertAlign w:val="baseline"/>
          </w:rPr>
          <w:t> </w:t>
        </w:r>
        <w:r>
          <w:rPr>
            <w:vertAlign w:val="baseline"/>
          </w:rPr>
          <w:t>buyer</w:t>
        </w:r>
        <w:r>
          <w:rPr>
            <w:spacing w:val="-3"/>
            <w:vertAlign w:val="baseline"/>
          </w:rPr>
          <w:t> </w:t>
        </w:r>
        <w:r>
          <w:rPr>
            <w:vertAlign w:val="baseline"/>
          </w:rPr>
          <w:t>rather</w:t>
        </w:r>
        <w:r>
          <w:rPr>
            <w:spacing w:val="-3"/>
            <w:vertAlign w:val="baseline"/>
          </w:rPr>
          <w:t> </w:t>
        </w:r>
        <w:r>
          <w:rPr>
            <w:vertAlign w:val="baseline"/>
          </w:rPr>
          <w:t>than</w:t>
        </w:r>
        <w:r>
          <w:rPr>
            <w:spacing w:val="-3"/>
            <w:vertAlign w:val="baseline"/>
          </w:rPr>
          <w:t> </w:t>
        </w:r>
        <w:r>
          <w:rPr>
            <w:vertAlign w:val="baseline"/>
          </w:rPr>
          <w:t>damages,</w:t>
        </w:r>
        <w:r>
          <w:rPr>
            <w:spacing w:val="-3"/>
            <w:vertAlign w:val="baseline"/>
          </w:rPr>
          <w:t> </w:t>
        </w:r>
        <w:hyperlink w:history="true" w:anchor="_bookmark2516">
          <w:r>
            <w:rPr>
              <w:color w:val="005DA1"/>
              <w:u w:val="single" w:color="005DA1"/>
              <w:vertAlign w:val="superscript"/>
            </w:rPr>
            <w:t>1316</w:t>
          </w:r>
          <w:r>
            <w:rPr>
              <w:color w:val="005DA1"/>
              <w:spacing w:val="80"/>
              <w:vertAlign w:val="baseline"/>
            </w:rPr>
            <w:t> </w:t>
          </w:r>
          <w:r>
            <w:rPr>
              <w:color w:val="005DA1"/>
              <w:position w:val="-2"/>
              <w:vertAlign w:val="baseline"/>
            </w:rPr>
            <w:drawing>
              <wp:inline distT="0" distB="0" distL="0" distR="0">
                <wp:extent cx="107988" cy="107988"/>
                <wp:effectExtent l="0" t="0" r="0" b="0"/>
                <wp:docPr id="1151" name="Image 1151"/>
                <wp:cNvGraphicFramePr>
                  <a:graphicFrameLocks/>
                </wp:cNvGraphicFramePr>
                <a:graphic>
                  <a:graphicData uri="http://schemas.openxmlformats.org/drawingml/2006/picture">
                    <pic:pic>
                      <pic:nvPicPr>
                        <pic:cNvPr id="1151" name="Image 11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at</w:t>
          </w:r>
          <w:r>
            <w:rPr>
              <w:spacing w:val="-3"/>
              <w:vertAlign w:val="baseline"/>
            </w:rPr>
            <w:t> </w:t>
          </w:r>
          <w:r>
            <w:rPr>
              <w:vertAlign w:val="baseline"/>
            </w:rPr>
            <w:t>least</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goods</w:t>
          </w:r>
          <w:r>
            <w:rPr>
              <w:spacing w:val="-3"/>
              <w:vertAlign w:val="baseline"/>
            </w:rPr>
            <w:t> </w:t>
          </w:r>
          <w:r>
            <w:rPr>
              <w:vertAlign w:val="baseline"/>
            </w:rPr>
            <w:t>are</w:t>
          </w:r>
          <w:r>
            <w:rPr>
              <w:spacing w:val="-3"/>
              <w:vertAlign w:val="baseline"/>
            </w:rPr>
            <w:t> </w:t>
          </w:r>
          <w:r>
            <w:rPr>
              <w:vertAlign w:val="baseline"/>
            </w:rPr>
            <w:t>readily</w:t>
          </w:r>
          <w:r>
            <w:rPr>
              <w:spacing w:val="-3"/>
              <w:vertAlign w:val="baseline"/>
            </w:rPr>
            <w:t> </w:t>
          </w:r>
          <w:r>
            <w:rPr>
              <w:vertAlign w:val="baseline"/>
            </w:rPr>
            <w:t>re-saleable,</w:t>
          </w:r>
          <w:r>
            <w:rPr>
              <w:spacing w:val="-3"/>
              <w:vertAlign w:val="baseline"/>
            </w:rPr>
            <w:t> </w:t>
          </w:r>
          <w:r>
            <w:rPr>
              <w:vertAlign w:val="baseline"/>
            </w:rPr>
            <w:t>so</w:t>
          </w:r>
          <w:r>
            <w:rPr>
              <w:spacing w:val="-3"/>
              <w:vertAlign w:val="baseline"/>
            </w:rPr>
            <w:t> </w:t>
          </w:r>
          <w:r>
            <w:rPr>
              <w:vertAlign w:val="baseline"/>
            </w:rPr>
            <w:t>the</w:t>
          </w:r>
          <w:r>
            <w:rPr>
              <w:spacing w:val="-3"/>
              <w:vertAlign w:val="baseline"/>
            </w:rPr>
            <w:t> </w:t>
          </w:r>
          <w:r>
            <w:rPr>
              <w:vertAlign w:val="baseline"/>
            </w:rPr>
            <w:t>deposit may be valid only if meets the genuine pre-estimate test. </w:t>
          </w:r>
          <w:hyperlink w:history="true" w:anchor="_bookmark2517">
            <w:r>
              <w:rPr>
                <w:color w:val="005DA1"/>
                <w:u w:val="single" w:color="005DA1"/>
                <w:vertAlign w:val="superscript"/>
              </w:rPr>
              <w:t>1317</w:t>
            </w:r>
            <w:r>
              <w:rPr>
                <w:color w:val="005DA1"/>
                <w:spacing w:val="80"/>
                <w:vertAlign w:val="baseline"/>
              </w:rPr>
              <w:t> </w:t>
            </w:r>
            <w:r>
              <w:rPr>
                <w:color w:val="005DA1"/>
                <w:position w:val="-2"/>
                <w:vertAlign w:val="baseline"/>
              </w:rPr>
              <w:drawing>
                <wp:inline distT="0" distB="0" distL="0" distR="0">
                  <wp:extent cx="107988" cy="107988"/>
                  <wp:effectExtent l="0" t="0" r="0" b="0"/>
                  <wp:docPr id="1152" name="Image 1152"/>
                  <wp:cNvGraphicFramePr>
                    <a:graphicFrameLocks/>
                  </wp:cNvGraphicFramePr>
                  <a:graphic>
                    <a:graphicData uri="http://schemas.openxmlformats.org/drawingml/2006/picture">
                      <pic:pic>
                        <pic:nvPicPr>
                          <pic:cNvPr id="1152" name="Image 11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hyperlink>
    </w:p>
    <w:p>
      <w:pPr>
        <w:pStyle w:val="BodyText"/>
        <w:spacing w:before="176"/>
        <w:rPr>
          <w:sz w:val="18"/>
        </w:rPr>
      </w:pPr>
    </w:p>
    <w:p>
      <w:pPr>
        <w:spacing w:before="0"/>
        <w:ind w:left="165" w:right="0" w:firstLine="0"/>
        <w:jc w:val="left"/>
        <w:rPr>
          <w:rFonts w:ascii="Arial"/>
          <w:b/>
          <w:sz w:val="18"/>
        </w:rPr>
      </w:pPr>
      <w:r>
        <w:rPr>
          <w:rFonts w:ascii="Arial"/>
          <w:b/>
          <w:sz w:val="18"/>
        </w:rPr>
        <w:t>Damages in addition to forfeiture of </w:t>
      </w:r>
      <w:r>
        <w:rPr>
          <w:rFonts w:ascii="Arial"/>
          <w:b/>
          <w:spacing w:val="-2"/>
          <w:sz w:val="18"/>
        </w:rPr>
        <w:t>deposit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216R</w:t>
      </w:r>
    </w:p>
    <w:p>
      <w:pPr>
        <w:pStyle w:val="BodyText"/>
        <w:spacing w:before="209"/>
        <w:rPr>
          <w:rFonts w:ascii="Arial"/>
          <w:b/>
        </w:rPr>
      </w:pPr>
    </w:p>
    <w:p>
      <w:pPr>
        <w:spacing w:before="0"/>
        <w:ind w:left="165" w:right="0" w:firstLine="0"/>
        <w:jc w:val="both"/>
        <w:rPr>
          <w:sz w:val="20"/>
        </w:rPr>
      </w:pPr>
      <w:r>
        <w:rPr>
          <w:position w:val="-2"/>
        </w:rPr>
        <w:drawing>
          <wp:inline distT="0" distB="0" distL="0" distR="0">
            <wp:extent cx="107988" cy="107988"/>
            <wp:effectExtent l="0" t="0" r="0" b="0"/>
            <wp:docPr id="1153" name="Image 1153"/>
            <wp:cNvGraphicFramePr>
              <a:graphicFrameLocks/>
            </wp:cNvGraphicFramePr>
            <a:graphic>
              <a:graphicData uri="http://schemas.openxmlformats.org/drawingml/2006/picture">
                <pic:pic>
                  <pic:nvPicPr>
                    <pic:cNvPr id="1153" name="Image 11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6"/>
          <w:sz w:val="20"/>
        </w:rPr>
        <w:t> </w:t>
      </w:r>
      <w:bookmarkStart w:name="_bookmark2496" w:id="2498"/>
      <w:bookmarkEnd w:id="2498"/>
      <w:r>
        <w:rPr>
          <w:rFonts w:ascii="Times New Roman"/>
          <w:spacing w:val="-24"/>
          <w:sz w:val="20"/>
        </w:rPr>
      </w:r>
      <w:bookmarkStart w:name="_bookmark2497" w:id="2499"/>
      <w:bookmarkEnd w:id="2499"/>
      <w:r>
        <w:rPr>
          <w:rFonts w:ascii="Times New Roman"/>
          <w:spacing w:val="-24"/>
          <w:sz w:val="20"/>
        </w:rPr>
      </w:r>
      <w:r>
        <w:rPr>
          <w:sz w:val="20"/>
        </w:rPr>
        <w:t>Although</w:t>
      </w:r>
      <w:r>
        <w:rPr>
          <w:spacing w:val="20"/>
          <w:sz w:val="20"/>
        </w:rPr>
        <w:t> </w:t>
      </w:r>
      <w:r>
        <w:rPr>
          <w:sz w:val="20"/>
        </w:rPr>
        <w:t>in</w:t>
      </w:r>
      <w:r>
        <w:rPr>
          <w:spacing w:val="20"/>
          <w:sz w:val="20"/>
        </w:rPr>
        <w:t> </w:t>
      </w:r>
      <w:r>
        <w:rPr>
          <w:rFonts w:ascii="Arial"/>
          <w:i/>
          <w:sz w:val="20"/>
        </w:rPr>
        <w:t>Cavendish</w:t>
      </w:r>
      <w:r>
        <w:rPr>
          <w:rFonts w:ascii="Arial"/>
          <w:i/>
          <w:spacing w:val="20"/>
          <w:sz w:val="20"/>
        </w:rPr>
        <w:t> </w:t>
      </w:r>
      <w:r>
        <w:rPr>
          <w:rFonts w:ascii="Arial"/>
          <w:i/>
          <w:sz w:val="20"/>
        </w:rPr>
        <w:t>Square</w:t>
      </w:r>
      <w:r>
        <w:rPr>
          <w:rFonts w:ascii="Arial"/>
          <w:i/>
          <w:spacing w:val="20"/>
          <w:sz w:val="20"/>
        </w:rPr>
        <w:t> </w:t>
      </w:r>
      <w:r>
        <w:rPr>
          <w:rFonts w:ascii="Arial"/>
          <w:i/>
          <w:sz w:val="20"/>
        </w:rPr>
        <w:t>Holding</w:t>
      </w:r>
      <w:r>
        <w:rPr>
          <w:rFonts w:ascii="Arial"/>
          <w:i/>
          <w:spacing w:val="20"/>
          <w:sz w:val="20"/>
        </w:rPr>
        <w:t> </w:t>
      </w:r>
      <w:r>
        <w:rPr>
          <w:rFonts w:ascii="Arial"/>
          <w:i/>
          <w:sz w:val="20"/>
        </w:rPr>
        <w:t>BV</w:t>
      </w:r>
      <w:r>
        <w:rPr>
          <w:rFonts w:ascii="Arial"/>
          <w:i/>
          <w:spacing w:val="20"/>
          <w:sz w:val="20"/>
        </w:rPr>
        <w:t> </w:t>
      </w:r>
      <w:r>
        <w:rPr>
          <w:rFonts w:ascii="Arial"/>
          <w:i/>
          <w:sz w:val="20"/>
        </w:rPr>
        <w:t>v</w:t>
      </w:r>
      <w:r>
        <w:rPr>
          <w:rFonts w:ascii="Arial"/>
          <w:i/>
          <w:spacing w:val="20"/>
          <w:sz w:val="20"/>
        </w:rPr>
        <w:t> </w:t>
      </w:r>
      <w:r>
        <w:rPr>
          <w:rFonts w:ascii="Arial"/>
          <w:i/>
          <w:sz w:val="20"/>
        </w:rPr>
        <w:t>Makdessi</w:t>
      </w:r>
      <w:r>
        <w:rPr>
          <w:rFonts w:ascii="Arial"/>
          <w:i/>
          <w:spacing w:val="19"/>
          <w:sz w:val="20"/>
        </w:rPr>
        <w:t> </w:t>
      </w:r>
      <w:r>
        <w:rPr>
          <w:sz w:val="20"/>
        </w:rPr>
        <w:t>and</w:t>
      </w:r>
      <w:r>
        <w:rPr>
          <w:spacing w:val="20"/>
          <w:sz w:val="20"/>
        </w:rPr>
        <w:t> </w:t>
      </w:r>
      <w:r>
        <w:rPr>
          <w:rFonts w:ascii="Arial"/>
          <w:i/>
          <w:sz w:val="20"/>
        </w:rPr>
        <w:t>ParkingEye</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Beavis</w:t>
      </w:r>
      <w:r>
        <w:rPr>
          <w:rFonts w:ascii="Arial"/>
          <w:i/>
          <w:spacing w:val="20"/>
          <w:sz w:val="20"/>
        </w:rPr>
        <w:t> </w:t>
      </w:r>
      <w:hyperlink w:history="true" w:anchor="_bookmark2518">
        <w:r>
          <w:rPr>
            <w:color w:val="005DA1"/>
            <w:sz w:val="20"/>
            <w:u w:val="single" w:color="005DA1"/>
            <w:vertAlign w:val="superscript"/>
          </w:rPr>
          <w:t>1318</w:t>
        </w:r>
        <w:r>
          <w:rPr>
            <w:color w:val="005DA1"/>
            <w:spacing w:val="59"/>
            <w:sz w:val="20"/>
            <w:vertAlign w:val="baseline"/>
          </w:rPr>
          <w:t>  </w:t>
        </w:r>
        <w:r>
          <w:rPr>
            <w:color w:val="005DA1"/>
            <w:spacing w:val="6"/>
            <w:position w:val="-2"/>
            <w:sz w:val="20"/>
            <w:vertAlign w:val="baseline"/>
          </w:rPr>
          <w:drawing>
            <wp:inline distT="0" distB="0" distL="0" distR="0">
              <wp:extent cx="107988" cy="107988"/>
              <wp:effectExtent l="0" t="0" r="0" b="0"/>
              <wp:docPr id="1154" name="Image 1154"/>
              <wp:cNvGraphicFramePr>
                <a:graphicFrameLocks/>
              </wp:cNvGraphicFramePr>
              <a:graphic>
                <a:graphicData uri="http://schemas.openxmlformats.org/drawingml/2006/picture">
                  <pic:pic>
                    <pic:nvPicPr>
                      <pic:cNvPr id="1154" name="Image 11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sz w:val="20"/>
            <w:vertAlign w:val="baseline"/>
          </w:rPr>
        </w:r>
        <w:r>
          <w:rPr>
            <w:rFonts w:ascii="Times New Roman"/>
            <w:color w:val="005DA1"/>
            <w:spacing w:val="20"/>
            <w:sz w:val="20"/>
            <w:vertAlign w:val="baseline"/>
          </w:rPr>
          <w:t> </w:t>
        </w:r>
        <w:r>
          <w:rPr>
            <w:sz w:val="20"/>
            <w:vertAlign w:val="baseline"/>
          </w:rPr>
          <w:t>the</w:t>
        </w:r>
      </w:hyperlink>
    </w:p>
    <w:p>
      <w:pPr>
        <w:pStyle w:val="BodyText"/>
        <w:spacing w:line="235" w:lineRule="auto" w:before="119"/>
        <w:ind w:left="165" w:right="167"/>
        <w:jc w:val="both"/>
      </w:pPr>
      <w:r>
        <w:rPr/>
        <w:t>majority of the Supreme Court </w:t>
      </w:r>
      <w:hyperlink w:history="true" w:anchor="_bookmark2519">
        <w:r>
          <w:rPr>
            <w:color w:val="005DA1"/>
            <w:u w:val="single" w:color="005DA1"/>
            <w:vertAlign w:val="superscript"/>
          </w:rPr>
          <w:t>1319</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1155" name="Image 1155"/>
              <wp:cNvGraphicFramePr>
                <a:graphicFrameLocks/>
              </wp:cNvGraphicFramePr>
              <a:graphic>
                <a:graphicData uri="http://schemas.openxmlformats.org/drawingml/2006/picture">
                  <pic:pic>
                    <pic:nvPicPr>
                      <pic:cNvPr id="1155" name="Image 11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said that deposits are subject to the penalty rules, it </w:t>
        </w:r>
        <w:r>
          <w:rPr>
            <w:vertAlign w:val="baseline"/>
          </w:rPr>
          <w:t>is </w:t>
        </w:r>
        <w:bookmarkStart w:name="_bookmark2498" w:id="2500"/>
        <w:bookmarkEnd w:id="2500"/>
        <w:r>
          <w:rPr>
            <w:vertAlign w:val="baseline"/>
          </w:rPr>
          <w:t>submitted</w:t>
        </w:r>
        <w:r>
          <w:rPr>
            <w:spacing w:val="9"/>
            <w:vertAlign w:val="baseline"/>
          </w:rPr>
          <w:t> </w:t>
        </w:r>
        <w:r>
          <w:rPr>
            <w:vertAlign w:val="baseline"/>
          </w:rPr>
          <w:t>that</w:t>
        </w:r>
        <w:r>
          <w:rPr>
            <w:spacing w:val="9"/>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so</w:t>
        </w:r>
        <w:r>
          <w:rPr>
            <w:spacing w:val="9"/>
            <w:vertAlign w:val="baseline"/>
          </w:rPr>
          <w:t> </w:t>
        </w:r>
        <w:r>
          <w:rPr>
            <w:vertAlign w:val="baseline"/>
          </w:rPr>
          <w:t>entirely.</w:t>
        </w:r>
        <w:r>
          <w:rPr>
            <w:spacing w:val="9"/>
            <w:vertAlign w:val="baseline"/>
          </w:rPr>
          <w:t> </w:t>
        </w:r>
        <w:r>
          <w:rPr>
            <w:vertAlign w:val="baseline"/>
          </w:rPr>
          <w:t>A</w:t>
        </w:r>
        <w:r>
          <w:rPr>
            <w:spacing w:val="9"/>
            <w:vertAlign w:val="baseline"/>
          </w:rPr>
          <w:t> </w:t>
        </w:r>
        <w:r>
          <w:rPr>
            <w:vertAlign w:val="baseline"/>
          </w:rPr>
          <w:t>valid</w:t>
        </w:r>
        <w:r>
          <w:rPr>
            <w:spacing w:val="9"/>
            <w:vertAlign w:val="baseline"/>
          </w:rPr>
          <w:t> </w:t>
        </w:r>
        <w:r>
          <w:rPr>
            <w:vertAlign w:val="baseline"/>
          </w:rPr>
          <w:t>agreed</w:t>
        </w:r>
        <w:r>
          <w:rPr>
            <w:spacing w:val="9"/>
            <w:vertAlign w:val="baseline"/>
          </w:rPr>
          <w:t> </w:t>
        </w:r>
        <w:r>
          <w:rPr>
            <w:vertAlign w:val="baseline"/>
          </w:rPr>
          <w:t>damages</w:t>
        </w:r>
        <w:r>
          <w:rPr>
            <w:spacing w:val="9"/>
            <w:vertAlign w:val="baseline"/>
          </w:rPr>
          <w:t> </w:t>
        </w:r>
        <w:r>
          <w:rPr>
            <w:vertAlign w:val="baseline"/>
          </w:rPr>
          <w:t>clause</w:t>
        </w:r>
        <w:r>
          <w:rPr>
            <w:spacing w:val="9"/>
            <w:vertAlign w:val="baseline"/>
          </w:rPr>
          <w:t> </w:t>
        </w:r>
        <w:r>
          <w:rPr>
            <w:vertAlign w:val="baseline"/>
          </w:rPr>
          <w:t>gives</w:t>
        </w:r>
        <w:r>
          <w:rPr>
            <w:spacing w:val="9"/>
            <w:vertAlign w:val="baseline"/>
          </w:rPr>
          <w:t> </w:t>
        </w:r>
        <w:r>
          <w:rPr>
            <w:vertAlign w:val="baseline"/>
          </w:rPr>
          <w:t>the</w:t>
        </w:r>
        <w:r>
          <w:rPr>
            <w:spacing w:val="9"/>
            <w:vertAlign w:val="baseline"/>
          </w:rPr>
          <w:t> </w:t>
        </w:r>
        <w:r>
          <w:rPr>
            <w:vertAlign w:val="baseline"/>
          </w:rPr>
          <w:t>claimant</w:t>
        </w:r>
        <w:r>
          <w:rPr>
            <w:spacing w:val="9"/>
            <w:vertAlign w:val="baseline"/>
          </w:rPr>
          <w:t> </w:t>
        </w:r>
        <w:r>
          <w:rPr>
            <w:vertAlign w:val="baseline"/>
          </w:rPr>
          <w:t>a</w:t>
        </w:r>
        <w:r>
          <w:rPr>
            <w:spacing w:val="9"/>
            <w:vertAlign w:val="baseline"/>
          </w:rPr>
          <w:t> </w:t>
        </w:r>
        <w:r>
          <w:rPr>
            <w:vertAlign w:val="baseline"/>
          </w:rPr>
          <w:t>right</w:t>
        </w:r>
        <w:r>
          <w:rPr>
            <w:spacing w:val="9"/>
            <w:vertAlign w:val="baseline"/>
          </w:rPr>
          <w:t> </w:t>
        </w:r>
        <w:r>
          <w:rPr>
            <w:vertAlign w:val="baseline"/>
          </w:rPr>
          <w:t>to</w:t>
        </w:r>
        <w:r>
          <w:rPr>
            <w:spacing w:val="9"/>
            <w:vertAlign w:val="baseline"/>
          </w:rPr>
          <w:t> </w:t>
        </w:r>
        <w:r>
          <w:rPr>
            <w:spacing w:val="-5"/>
            <w:vertAlign w:val="baseline"/>
          </w:rPr>
          <w:t>the</w:t>
        </w:r>
      </w:hyperlink>
    </w:p>
    <w:p>
      <w:pPr>
        <w:pStyle w:val="BodyText"/>
        <w:spacing w:line="235" w:lineRule="auto" w:before="119"/>
        <w:ind w:left="165" w:right="167"/>
        <w:jc w:val="both"/>
      </w:pPr>
      <w:r>
        <w:rPr/>
        <w:t>agreed sum, no less but also no more. </w:t>
      </w:r>
      <w:hyperlink w:history="true" w:anchor="_bookmark2520">
        <w:r>
          <w:rPr>
            <w:color w:val="005DA1"/>
            <w:u w:val="single" w:color="005DA1"/>
            <w:vertAlign w:val="superscript"/>
          </w:rPr>
          <w:t>1320</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156" name="Image 1156"/>
              <wp:cNvGraphicFramePr>
                <a:graphicFrameLocks/>
              </wp:cNvGraphicFramePr>
              <a:graphic>
                <a:graphicData uri="http://schemas.openxmlformats.org/drawingml/2006/picture">
                  <pic:pic>
                    <pic:nvPicPr>
                      <pic:cNvPr id="1156" name="Image 11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36"/>
            <w:vertAlign w:val="baseline"/>
          </w:rPr>
          <w:t> </w:t>
        </w:r>
        <w:r>
          <w:rPr>
            <w:vertAlign w:val="baseline"/>
          </w:rPr>
          <w:t>In contrast it is well established that in contracts for </w:t>
        </w:r>
        <w:r>
          <w:rPr>
            <w:vertAlign w:val="baseline"/>
          </w:rPr>
          <w:t>a </w:t>
        </w:r>
        <w:bookmarkStart w:name="_bookmark2499" w:id="2501"/>
        <w:bookmarkEnd w:id="2501"/>
        <w:r>
          <w:rPr>
            <w:vertAlign w:val="baseline"/>
          </w:rPr>
          <w:t>sale</w:t>
        </w:r>
        <w:r>
          <w:rPr>
            <w:vertAlign w:val="baseline"/>
          </w:rPr>
          <w:t> of land, a vendor who validly terminates the contract because of a breach by the purchaser may both</w:t>
        </w:r>
        <w:r>
          <w:rPr>
            <w:spacing w:val="6"/>
            <w:vertAlign w:val="baseline"/>
          </w:rPr>
          <w:t> </w:t>
        </w:r>
        <w:r>
          <w:rPr>
            <w:vertAlign w:val="baseline"/>
          </w:rPr>
          <w:t>forfeit</w:t>
        </w:r>
        <w:r>
          <w:rPr>
            <w:spacing w:val="6"/>
            <w:vertAlign w:val="baseline"/>
          </w:rPr>
          <w:t> </w:t>
        </w:r>
        <w:r>
          <w:rPr>
            <w:vertAlign w:val="baseline"/>
          </w:rPr>
          <w:t>the</w:t>
        </w:r>
        <w:r>
          <w:rPr>
            <w:spacing w:val="6"/>
            <w:vertAlign w:val="baseline"/>
          </w:rPr>
          <w:t> </w:t>
        </w:r>
        <w:r>
          <w:rPr>
            <w:vertAlign w:val="baseline"/>
          </w:rPr>
          <w:t>deposit</w:t>
        </w:r>
        <w:r>
          <w:rPr>
            <w:spacing w:val="6"/>
            <w:vertAlign w:val="baseline"/>
          </w:rPr>
          <w:t> </w:t>
        </w:r>
        <w:r>
          <w:rPr>
            <w:vertAlign w:val="baseline"/>
          </w:rPr>
          <w:t>and</w:t>
        </w:r>
        <w:r>
          <w:rPr>
            <w:spacing w:val="6"/>
            <w:vertAlign w:val="baseline"/>
          </w:rPr>
          <w:t> </w:t>
        </w:r>
        <w:r>
          <w:rPr>
            <w:vertAlign w:val="baseline"/>
          </w:rPr>
          <w:t>recover</w:t>
        </w:r>
        <w:r>
          <w:rPr>
            <w:spacing w:val="6"/>
            <w:vertAlign w:val="baseline"/>
          </w:rPr>
          <w:t> </w:t>
        </w:r>
        <w:r>
          <w:rPr>
            <w:vertAlign w:val="baseline"/>
          </w:rPr>
          <w:t>damages,</w:t>
        </w:r>
        <w:r>
          <w:rPr>
            <w:spacing w:val="6"/>
            <w:vertAlign w:val="baseline"/>
          </w:rPr>
          <w:t> </w:t>
        </w:r>
        <w:r>
          <w:rPr>
            <w:vertAlign w:val="baseline"/>
          </w:rPr>
          <w:t>giving</w:t>
        </w:r>
        <w:r>
          <w:rPr>
            <w:spacing w:val="6"/>
            <w:vertAlign w:val="baseline"/>
          </w:rPr>
          <w:t> </w:t>
        </w:r>
        <w:r>
          <w:rPr>
            <w:vertAlign w:val="baseline"/>
          </w:rPr>
          <w:t>due</w:t>
        </w:r>
        <w:r>
          <w:rPr>
            <w:spacing w:val="6"/>
            <w:vertAlign w:val="baseline"/>
          </w:rPr>
          <w:t> </w:t>
        </w:r>
        <w:r>
          <w:rPr>
            <w:vertAlign w:val="baseline"/>
          </w:rPr>
          <w:t>allowance</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amount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deposit.</w:t>
        </w:r>
        <w:r>
          <w:rPr>
            <w:spacing w:val="4"/>
            <w:vertAlign w:val="baseline"/>
          </w:rPr>
          <w:t> </w:t>
        </w:r>
        <w:r>
          <w:rPr>
            <w:color w:val="005DA1"/>
            <w:spacing w:val="-8"/>
            <w:u w:val="single" w:color="005DA1"/>
            <w:vertAlign w:val="superscript"/>
          </w:rPr>
          <w:t>1321</w:t>
        </w:r>
      </w:hyperlink>
    </w:p>
    <w:p>
      <w:pPr>
        <w:pStyle w:val="BodyText"/>
        <w:spacing w:before="115"/>
        <w:ind w:left="276"/>
        <w:jc w:val="both"/>
      </w:pPr>
      <w:r>
        <w:rPr>
          <w:position w:val="-2"/>
        </w:rPr>
        <w:drawing>
          <wp:inline distT="0" distB="0" distL="0" distR="0">
            <wp:extent cx="107988" cy="107988"/>
            <wp:effectExtent l="0" t="0" r="0" b="0"/>
            <wp:docPr id="1157" name="Image 1157"/>
            <wp:cNvGraphicFramePr>
              <a:graphicFrameLocks/>
            </wp:cNvGraphicFramePr>
            <a:graphic>
              <a:graphicData uri="http://schemas.openxmlformats.org/drawingml/2006/picture">
                <pic:pic>
                  <pic:nvPicPr>
                    <pic:cNvPr id="1157" name="Image 115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
        </w:rPr>
        <w:t> </w:t>
      </w:r>
      <w:r>
        <w:rPr/>
        <w:t>It is not thought that the Supreme Court intended that this rule should be affected by its decision.</w:t>
      </w:r>
    </w:p>
    <w:p>
      <w:pPr>
        <w:pStyle w:val="BodyText"/>
      </w:pPr>
    </w:p>
    <w:p>
      <w:pPr>
        <w:pStyle w:val="BodyText"/>
        <w:spacing w:before="39"/>
      </w:pPr>
      <w:r>
        <w:rPr/>
        <mc:AlternateContent>
          <mc:Choice Requires="wps">
            <w:drawing>
              <wp:anchor distT="0" distB="0" distL="0" distR="0" allowOverlap="1" layoutInCell="1" locked="0" behindDoc="1" simplePos="0" relativeHeight="487734272">
                <wp:simplePos x="0" y="0"/>
                <wp:positionH relativeFrom="page">
                  <wp:posOffset>914400</wp:posOffset>
                </wp:positionH>
                <wp:positionV relativeFrom="paragraph">
                  <wp:posOffset>186156</wp:posOffset>
                </wp:positionV>
                <wp:extent cx="5724525" cy="1270"/>
                <wp:effectExtent l="0" t="0" r="0" b="0"/>
                <wp:wrapTopAndBottom/>
                <wp:docPr id="1158" name="Graphic 1158"/>
                <wp:cNvGraphicFramePr>
                  <a:graphicFrameLocks/>
                </wp:cNvGraphicFramePr>
                <a:graphic>
                  <a:graphicData uri="http://schemas.microsoft.com/office/word/2010/wordprocessingShape">
                    <wps:wsp>
                      <wps:cNvPr id="1158" name="Graphic 115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7961pt;width:450.75pt;height:.1pt;mso-position-horizontal-relative:page;mso-position-vertical-relative:paragraph;z-index:-15582208;mso-wrap-distance-left:0;mso-wrap-distance-right:0" id="docshape113"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pStyle w:val="BodyText"/>
        <w:ind w:left="165"/>
      </w:pPr>
      <w:bookmarkStart w:name="_bookmark2500" w:id="2502"/>
      <w:bookmarkEnd w:id="2502"/>
      <w:r>
        <w:rPr/>
      </w:r>
      <w:hyperlink w:history="true" w:anchor="_bookmark2477">
        <w:r>
          <w:rPr>
            <w:color w:val="005DA1"/>
            <w:u w:val="single" w:color="005DA1"/>
            <w:vertAlign w:val="superscript"/>
          </w:rPr>
          <w:t>1299</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1159" name="Image 1159"/>
            <wp:cNvGraphicFramePr>
              <a:graphicFrameLocks/>
            </wp:cNvGraphicFramePr>
            <a:graphic>
              <a:graphicData uri="http://schemas.openxmlformats.org/drawingml/2006/picture">
                <pic:pic>
                  <pic:nvPicPr>
                    <pic:cNvPr id="1159" name="Image 11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Law</w:t>
      </w:r>
      <w:r>
        <w:rPr>
          <w:spacing w:val="3"/>
          <w:vertAlign w:val="baseline"/>
        </w:rPr>
        <w:t> </w:t>
      </w:r>
      <w:r>
        <w:rPr>
          <w:vertAlign w:val="baseline"/>
        </w:rPr>
        <w:t>of</w:t>
      </w:r>
      <w:r>
        <w:rPr>
          <w:spacing w:val="3"/>
          <w:vertAlign w:val="baseline"/>
        </w:rPr>
        <w:t> </w:t>
      </w:r>
      <w:r>
        <w:rPr>
          <w:vertAlign w:val="baseline"/>
        </w:rPr>
        <w:t>Property</w:t>
      </w:r>
      <w:r>
        <w:rPr>
          <w:spacing w:val="3"/>
          <w:vertAlign w:val="baseline"/>
        </w:rPr>
        <w:t> </w:t>
      </w:r>
      <w:r>
        <w:rPr>
          <w:vertAlign w:val="baseline"/>
        </w:rPr>
        <w:t>Act</w:t>
      </w:r>
      <w:r>
        <w:rPr>
          <w:spacing w:val="2"/>
          <w:vertAlign w:val="baseline"/>
        </w:rPr>
        <w:t> </w:t>
      </w:r>
      <w:r>
        <w:rPr>
          <w:vertAlign w:val="baseline"/>
        </w:rPr>
        <w:t>1925</w:t>
      </w:r>
      <w:r>
        <w:rPr>
          <w:spacing w:val="3"/>
          <w:vertAlign w:val="baseline"/>
        </w:rPr>
        <w:t> </w:t>
      </w:r>
      <w:r>
        <w:rPr>
          <w:spacing w:val="-2"/>
          <w:vertAlign w:val="baseline"/>
        </w:rPr>
        <w:t>s.49(3).</w:t>
      </w:r>
    </w:p>
    <w:p>
      <w:pPr>
        <w:pStyle w:val="BodyText"/>
        <w:spacing w:after="0"/>
        <w:sectPr>
          <w:pgSz w:w="11900" w:h="16840"/>
          <w:pgMar w:header="971" w:footer="0" w:top="1300" w:bottom="280" w:left="1275" w:right="1275"/>
        </w:sectPr>
      </w:pPr>
    </w:p>
    <w:p>
      <w:pPr>
        <w:pStyle w:val="BodyText"/>
        <w:spacing w:before="56"/>
      </w:pPr>
    </w:p>
    <w:p>
      <w:pPr>
        <w:spacing w:line="227" w:lineRule="exact" w:before="0"/>
        <w:ind w:left="165" w:right="0" w:firstLine="0"/>
        <w:jc w:val="left"/>
        <w:rPr>
          <w:rFonts w:ascii="Arial" w:hAnsi="Arial"/>
          <w:i/>
          <w:sz w:val="20"/>
        </w:rPr>
      </w:pPr>
      <w:hyperlink w:history="true" w:anchor="_bookmark2478">
        <w:r>
          <w:rPr>
            <w:color w:val="005DA1"/>
            <w:sz w:val="20"/>
            <w:u w:val="single" w:color="005DA1"/>
            <w:vertAlign w:val="superscript"/>
          </w:rPr>
          <w:t>1300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60" name="Image 1160"/>
            <wp:cNvGraphicFramePr>
              <a:graphicFrameLocks/>
            </wp:cNvGraphicFramePr>
            <a:graphic>
              <a:graphicData uri="http://schemas.openxmlformats.org/drawingml/2006/picture">
                <pic:pic>
                  <pic:nvPicPr>
                    <pic:cNvPr id="1160" name="Image 11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Best</w:t>
      </w:r>
      <w:r>
        <w:rPr>
          <w:rFonts w:ascii="Arial" w:hAnsi="Arial"/>
          <w:i/>
          <w:spacing w:val="3"/>
          <w:sz w:val="20"/>
          <w:vertAlign w:val="baseline"/>
        </w:rPr>
        <w:t> </w:t>
      </w:r>
      <w:r>
        <w:rPr>
          <w:rFonts w:ascii="Arial" w:hAnsi="Arial"/>
          <w:i/>
          <w:sz w:val="20"/>
          <w:vertAlign w:val="baseline"/>
        </w:rPr>
        <w:t>v</w:t>
      </w:r>
      <w:r>
        <w:rPr>
          <w:rFonts w:ascii="Arial" w:hAnsi="Arial"/>
          <w:i/>
          <w:spacing w:val="2"/>
          <w:sz w:val="20"/>
          <w:vertAlign w:val="baseline"/>
        </w:rPr>
        <w:t> </w:t>
      </w:r>
      <w:r>
        <w:rPr>
          <w:rFonts w:ascii="Arial" w:hAnsi="Arial"/>
          <w:i/>
          <w:sz w:val="20"/>
          <w:vertAlign w:val="baseline"/>
        </w:rPr>
        <w:t>Hamand</w:t>
      </w:r>
      <w:r>
        <w:rPr>
          <w:rFonts w:ascii="Arial" w:hAnsi="Arial"/>
          <w:i/>
          <w:spacing w:val="2"/>
          <w:sz w:val="20"/>
          <w:vertAlign w:val="baseline"/>
        </w:rPr>
        <w:t> </w:t>
      </w:r>
      <w:r>
        <w:rPr>
          <w:rFonts w:ascii="Arial" w:hAnsi="Arial"/>
          <w:i/>
          <w:sz w:val="20"/>
          <w:vertAlign w:val="baseline"/>
        </w:rPr>
        <w:t>(1879)</w:t>
      </w:r>
      <w:r>
        <w:rPr>
          <w:rFonts w:ascii="Arial" w:hAnsi="Arial"/>
          <w:i/>
          <w:spacing w:val="2"/>
          <w:sz w:val="20"/>
          <w:vertAlign w:val="baseline"/>
        </w:rPr>
        <w:t> </w:t>
      </w:r>
      <w:r>
        <w:rPr>
          <w:rFonts w:ascii="Arial" w:hAnsi="Arial"/>
          <w:i/>
          <w:sz w:val="20"/>
          <w:vertAlign w:val="baseline"/>
        </w:rPr>
        <w:t>12</w:t>
      </w:r>
      <w:r>
        <w:rPr>
          <w:rFonts w:ascii="Arial" w:hAnsi="Arial"/>
          <w:i/>
          <w:spacing w:val="2"/>
          <w:sz w:val="20"/>
          <w:vertAlign w:val="baseline"/>
        </w:rPr>
        <w:t> </w:t>
      </w:r>
      <w:r>
        <w:rPr>
          <w:rFonts w:ascii="Arial" w:hAnsi="Arial"/>
          <w:i/>
          <w:sz w:val="20"/>
          <w:vertAlign w:val="baseline"/>
        </w:rPr>
        <w:t>Ch.</w:t>
      </w:r>
      <w:r>
        <w:rPr>
          <w:rFonts w:ascii="Arial" w:hAnsi="Arial"/>
          <w:i/>
          <w:spacing w:val="2"/>
          <w:sz w:val="20"/>
          <w:vertAlign w:val="baseline"/>
        </w:rPr>
        <w:t> </w:t>
      </w:r>
      <w:r>
        <w:rPr>
          <w:rFonts w:ascii="Arial" w:hAnsi="Arial"/>
          <w:i/>
          <w:sz w:val="20"/>
          <w:vertAlign w:val="baseline"/>
        </w:rPr>
        <w:t>D.</w:t>
      </w:r>
      <w:r>
        <w:rPr>
          <w:rFonts w:ascii="Arial" w:hAnsi="Arial"/>
          <w:i/>
          <w:spacing w:val="2"/>
          <w:sz w:val="20"/>
          <w:vertAlign w:val="baseline"/>
        </w:rPr>
        <w:t> </w:t>
      </w:r>
      <w:r>
        <w:rPr>
          <w:rFonts w:ascii="Arial" w:hAnsi="Arial"/>
          <w:i/>
          <w:sz w:val="20"/>
          <w:vertAlign w:val="baseline"/>
        </w:rPr>
        <w:t>1</w:t>
      </w:r>
      <w:r>
        <w:rPr>
          <w:sz w:val="20"/>
          <w:vertAlign w:val="baseline"/>
        </w:rPr>
        <w:t>;</w:t>
      </w:r>
      <w:r>
        <w:rPr>
          <w:spacing w:val="2"/>
          <w:sz w:val="20"/>
          <w:vertAlign w:val="baseline"/>
        </w:rPr>
        <w:t> </w:t>
      </w:r>
      <w:r>
        <w:rPr>
          <w:rFonts w:ascii="Arial" w:hAnsi="Arial"/>
          <w:i/>
          <w:sz w:val="20"/>
          <w:vertAlign w:val="baseline"/>
        </w:rPr>
        <w:t>Re</w:t>
      </w:r>
      <w:r>
        <w:rPr>
          <w:rFonts w:ascii="Arial" w:hAnsi="Arial"/>
          <w:i/>
          <w:spacing w:val="2"/>
          <w:sz w:val="20"/>
          <w:vertAlign w:val="baseline"/>
        </w:rPr>
        <w:t> </w:t>
      </w:r>
      <w:r>
        <w:rPr>
          <w:rFonts w:ascii="Arial" w:hAnsi="Arial"/>
          <w:i/>
          <w:sz w:val="20"/>
          <w:vertAlign w:val="baseline"/>
        </w:rPr>
        <w:t>Scott</w:t>
      </w:r>
      <w:r>
        <w:rPr>
          <w:rFonts w:ascii="Arial" w:hAnsi="Arial"/>
          <w:i/>
          <w:spacing w:val="2"/>
          <w:sz w:val="20"/>
          <w:vertAlign w:val="baseline"/>
        </w:rPr>
        <w:t> </w:t>
      </w:r>
      <w:r>
        <w:rPr>
          <w:rFonts w:ascii="Arial" w:hAnsi="Arial"/>
          <w:i/>
          <w:sz w:val="20"/>
          <w:vertAlign w:val="baseline"/>
        </w:rPr>
        <w:t>and</w:t>
      </w:r>
      <w:r>
        <w:rPr>
          <w:rFonts w:ascii="Arial" w:hAnsi="Arial"/>
          <w:i/>
          <w:spacing w:val="2"/>
          <w:sz w:val="20"/>
          <w:vertAlign w:val="baseline"/>
        </w:rPr>
        <w:t> </w:t>
      </w:r>
      <w:r>
        <w:rPr>
          <w:rFonts w:ascii="Arial" w:hAnsi="Arial"/>
          <w:i/>
          <w:sz w:val="20"/>
          <w:vertAlign w:val="baseline"/>
        </w:rPr>
        <w:t>Alvarez’s</w:t>
      </w:r>
      <w:r>
        <w:rPr>
          <w:rFonts w:ascii="Arial" w:hAnsi="Arial"/>
          <w:i/>
          <w:spacing w:val="2"/>
          <w:sz w:val="20"/>
          <w:vertAlign w:val="baseline"/>
        </w:rPr>
        <w:t> </w:t>
      </w:r>
      <w:r>
        <w:rPr>
          <w:rFonts w:ascii="Arial" w:hAnsi="Arial"/>
          <w:i/>
          <w:sz w:val="20"/>
          <w:vertAlign w:val="baseline"/>
        </w:rPr>
        <w:t>Contract</w:t>
      </w:r>
      <w:r>
        <w:rPr>
          <w:rFonts w:ascii="Arial" w:hAnsi="Arial"/>
          <w:i/>
          <w:spacing w:val="2"/>
          <w:sz w:val="20"/>
          <w:vertAlign w:val="baseline"/>
        </w:rPr>
        <w:t> </w:t>
      </w:r>
      <w:r>
        <w:rPr>
          <w:rFonts w:ascii="Arial" w:hAnsi="Arial"/>
          <w:i/>
          <w:sz w:val="20"/>
          <w:vertAlign w:val="baseline"/>
        </w:rPr>
        <w:t>[1895]</w:t>
      </w:r>
      <w:r>
        <w:rPr>
          <w:rFonts w:ascii="Arial" w:hAnsi="Arial"/>
          <w:i/>
          <w:spacing w:val="2"/>
          <w:sz w:val="20"/>
          <w:vertAlign w:val="baseline"/>
        </w:rPr>
        <w:t> </w:t>
      </w:r>
      <w:r>
        <w:rPr>
          <w:rFonts w:ascii="Arial" w:hAnsi="Arial"/>
          <w:i/>
          <w:sz w:val="20"/>
          <w:vertAlign w:val="baseline"/>
        </w:rPr>
        <w:t>2</w:t>
      </w:r>
      <w:r>
        <w:rPr>
          <w:rFonts w:ascii="Arial" w:hAnsi="Arial"/>
          <w:i/>
          <w:spacing w:val="2"/>
          <w:sz w:val="20"/>
          <w:vertAlign w:val="baseline"/>
        </w:rPr>
        <w:t> </w:t>
      </w:r>
      <w:r>
        <w:rPr>
          <w:rFonts w:ascii="Arial" w:hAnsi="Arial"/>
          <w:i/>
          <w:sz w:val="20"/>
          <w:vertAlign w:val="baseline"/>
        </w:rPr>
        <w:t>Ch.</w:t>
      </w:r>
      <w:r>
        <w:rPr>
          <w:rFonts w:ascii="Arial" w:hAnsi="Arial"/>
          <w:i/>
          <w:spacing w:val="2"/>
          <w:sz w:val="20"/>
          <w:vertAlign w:val="baseline"/>
        </w:rPr>
        <w:t> </w:t>
      </w:r>
      <w:r>
        <w:rPr>
          <w:rFonts w:ascii="Arial" w:hAnsi="Arial"/>
          <w:i/>
          <w:sz w:val="20"/>
          <w:vertAlign w:val="baseline"/>
        </w:rPr>
        <w:t>603</w:t>
      </w:r>
      <w:r>
        <w:rPr>
          <w:sz w:val="20"/>
          <w:vertAlign w:val="baseline"/>
        </w:rPr>
        <w:t>;</w:t>
      </w:r>
      <w:r>
        <w:rPr>
          <w:spacing w:val="2"/>
          <w:sz w:val="20"/>
          <w:vertAlign w:val="baseline"/>
        </w:rPr>
        <w:t> </w:t>
      </w:r>
      <w:r>
        <w:rPr>
          <w:rFonts w:ascii="Arial" w:hAnsi="Arial"/>
          <w:i/>
          <w:spacing w:val="-2"/>
          <w:sz w:val="20"/>
          <w:vertAlign w:val="baseline"/>
        </w:rPr>
        <w:t>Beyfus</w:t>
      </w:r>
    </w:p>
    <w:p>
      <w:pPr>
        <w:spacing w:line="227" w:lineRule="exact" w:before="0"/>
        <w:ind w:left="705" w:right="0" w:firstLine="0"/>
        <w:jc w:val="left"/>
        <w:rPr>
          <w:sz w:val="20"/>
        </w:rPr>
      </w:pPr>
      <w:r>
        <w:rPr>
          <w:rFonts w:ascii="Arial"/>
          <w:i/>
          <w:sz w:val="20"/>
        </w:rPr>
        <w:t>v</w:t>
      </w:r>
      <w:r>
        <w:rPr>
          <w:rFonts w:ascii="Arial"/>
          <w:i/>
          <w:spacing w:val="-1"/>
          <w:sz w:val="20"/>
        </w:rPr>
        <w:t> </w:t>
      </w:r>
      <w:r>
        <w:rPr>
          <w:rFonts w:ascii="Arial"/>
          <w:i/>
          <w:sz w:val="20"/>
        </w:rPr>
        <w:t>Lodge [1925] Ch. 350</w:t>
      </w:r>
      <w:r>
        <w:rPr>
          <w:sz w:val="20"/>
        </w:rPr>
        <w:t>; </w:t>
      </w:r>
      <w:r>
        <w:rPr>
          <w:rFonts w:ascii="Arial"/>
          <w:i/>
          <w:sz w:val="20"/>
        </w:rPr>
        <w:t>James Macara Ltd v Barclay [1945] K.B. 148, </w:t>
      </w:r>
      <w:r>
        <w:rPr>
          <w:rFonts w:ascii="Arial"/>
          <w:i/>
          <w:spacing w:val="-4"/>
          <w:sz w:val="20"/>
        </w:rPr>
        <w:t>156</w:t>
      </w:r>
      <w:r>
        <w:rPr>
          <w:spacing w:val="-4"/>
          <w:sz w:val="20"/>
        </w:rPr>
        <w:t>.</w:t>
      </w:r>
    </w:p>
    <w:p>
      <w:pPr>
        <w:pStyle w:val="BodyText"/>
        <w:spacing w:before="125"/>
      </w:pPr>
    </w:p>
    <w:p>
      <w:pPr>
        <w:spacing w:line="227" w:lineRule="exact" w:before="1"/>
        <w:ind w:left="165" w:right="0" w:firstLine="0"/>
        <w:jc w:val="left"/>
        <w:rPr>
          <w:rFonts w:ascii="Arial" w:hAnsi="Arial"/>
          <w:i/>
          <w:sz w:val="20"/>
        </w:rPr>
      </w:pPr>
      <w:bookmarkStart w:name="_bookmark2501" w:id="2503"/>
      <w:bookmarkEnd w:id="2503"/>
      <w:r>
        <w:rPr/>
      </w:r>
      <w:hyperlink w:history="true" w:anchor="_bookmark2479">
        <w:r>
          <w:rPr>
            <w:color w:val="005DA1"/>
            <w:sz w:val="20"/>
            <w:u w:val="single" w:color="005DA1"/>
            <w:vertAlign w:val="superscript"/>
          </w:rPr>
          <w:t>1301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61" name="Image 1161"/>
            <wp:cNvGraphicFramePr>
              <a:graphicFrameLocks/>
            </wp:cNvGraphicFramePr>
            <a:graphic>
              <a:graphicData uri="http://schemas.openxmlformats.org/drawingml/2006/picture">
                <pic:pic>
                  <pic:nvPicPr>
                    <pic:cNvPr id="1161" name="Image 11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Finkeilkraut</w:t>
      </w:r>
      <w:r>
        <w:rPr>
          <w:rFonts w:ascii="Arial" w:hAnsi="Arial"/>
          <w:i/>
          <w:spacing w:val="36"/>
          <w:sz w:val="20"/>
          <w:vertAlign w:val="baseline"/>
        </w:rPr>
        <w:t> </w:t>
      </w:r>
      <w:r>
        <w:rPr>
          <w:rFonts w:ascii="Arial" w:hAnsi="Arial"/>
          <w:i/>
          <w:sz w:val="20"/>
          <w:vertAlign w:val="baseline"/>
        </w:rPr>
        <w:t>v</w:t>
      </w:r>
      <w:r>
        <w:rPr>
          <w:rFonts w:ascii="Arial" w:hAnsi="Arial"/>
          <w:i/>
          <w:spacing w:val="35"/>
          <w:sz w:val="20"/>
          <w:vertAlign w:val="baseline"/>
        </w:rPr>
        <w:t> </w:t>
      </w:r>
      <w:r>
        <w:rPr>
          <w:rFonts w:ascii="Arial" w:hAnsi="Arial"/>
          <w:i/>
          <w:sz w:val="20"/>
          <w:vertAlign w:val="baseline"/>
        </w:rPr>
        <w:t>Monohan</w:t>
      </w:r>
      <w:r>
        <w:rPr>
          <w:rFonts w:ascii="Arial" w:hAnsi="Arial"/>
          <w:i/>
          <w:spacing w:val="36"/>
          <w:sz w:val="20"/>
          <w:vertAlign w:val="baseline"/>
        </w:rPr>
        <w:t> </w:t>
      </w:r>
      <w:r>
        <w:rPr>
          <w:rFonts w:ascii="Arial" w:hAnsi="Arial"/>
          <w:i/>
          <w:sz w:val="20"/>
          <w:vertAlign w:val="baseline"/>
        </w:rPr>
        <w:t>[1949]</w:t>
      </w:r>
      <w:r>
        <w:rPr>
          <w:rFonts w:ascii="Arial" w:hAnsi="Arial"/>
          <w:i/>
          <w:spacing w:val="35"/>
          <w:sz w:val="20"/>
          <w:vertAlign w:val="baseline"/>
        </w:rPr>
        <w:t> </w:t>
      </w:r>
      <w:r>
        <w:rPr>
          <w:rFonts w:ascii="Arial" w:hAnsi="Arial"/>
          <w:i/>
          <w:sz w:val="20"/>
          <w:vertAlign w:val="baseline"/>
        </w:rPr>
        <w:t>2</w:t>
      </w:r>
      <w:r>
        <w:rPr>
          <w:rFonts w:ascii="Arial" w:hAnsi="Arial"/>
          <w:i/>
          <w:spacing w:val="35"/>
          <w:sz w:val="20"/>
          <w:vertAlign w:val="baseline"/>
        </w:rPr>
        <w:t> </w:t>
      </w:r>
      <w:r>
        <w:rPr>
          <w:rFonts w:ascii="Arial" w:hAnsi="Arial"/>
          <w:i/>
          <w:sz w:val="20"/>
          <w:vertAlign w:val="baseline"/>
        </w:rPr>
        <w:t>All</w:t>
      </w:r>
      <w:r>
        <w:rPr>
          <w:rFonts w:ascii="Arial" w:hAnsi="Arial"/>
          <w:i/>
          <w:spacing w:val="35"/>
          <w:sz w:val="20"/>
          <w:vertAlign w:val="baseline"/>
        </w:rPr>
        <w:t> </w:t>
      </w:r>
      <w:r>
        <w:rPr>
          <w:rFonts w:ascii="Arial" w:hAnsi="Arial"/>
          <w:i/>
          <w:sz w:val="20"/>
          <w:vertAlign w:val="baseline"/>
        </w:rPr>
        <w:t>E.R.</w:t>
      </w:r>
      <w:r>
        <w:rPr>
          <w:rFonts w:ascii="Arial" w:hAnsi="Arial"/>
          <w:i/>
          <w:spacing w:val="36"/>
          <w:sz w:val="20"/>
          <w:vertAlign w:val="baseline"/>
        </w:rPr>
        <w:t> </w:t>
      </w:r>
      <w:r>
        <w:rPr>
          <w:rFonts w:ascii="Arial" w:hAnsi="Arial"/>
          <w:i/>
          <w:sz w:val="20"/>
          <w:vertAlign w:val="baseline"/>
        </w:rPr>
        <w:t>235,</w:t>
      </w:r>
      <w:r>
        <w:rPr>
          <w:rFonts w:ascii="Arial" w:hAnsi="Arial"/>
          <w:i/>
          <w:spacing w:val="35"/>
          <w:sz w:val="20"/>
          <w:vertAlign w:val="baseline"/>
        </w:rPr>
        <w:t> </w:t>
      </w:r>
      <w:r>
        <w:rPr>
          <w:rFonts w:ascii="Arial" w:hAnsi="Arial"/>
          <w:i/>
          <w:sz w:val="20"/>
          <w:vertAlign w:val="baseline"/>
        </w:rPr>
        <w:t>237–238</w:t>
      </w:r>
      <w:r>
        <w:rPr>
          <w:sz w:val="20"/>
          <w:vertAlign w:val="baseline"/>
        </w:rPr>
        <w:t>.</w:t>
      </w:r>
      <w:r>
        <w:rPr>
          <w:spacing w:val="35"/>
          <w:sz w:val="20"/>
          <w:vertAlign w:val="baseline"/>
        </w:rPr>
        <w:t> </w:t>
      </w:r>
      <w:r>
        <w:rPr>
          <w:sz w:val="20"/>
          <w:vertAlign w:val="baseline"/>
        </w:rPr>
        <w:t>(cf.</w:t>
      </w:r>
      <w:r>
        <w:rPr>
          <w:spacing w:val="36"/>
          <w:sz w:val="20"/>
          <w:vertAlign w:val="baseline"/>
        </w:rPr>
        <w:t> </w:t>
      </w:r>
      <w:r>
        <w:rPr>
          <w:rFonts w:ascii="Arial" w:hAnsi="Arial"/>
          <w:i/>
          <w:sz w:val="20"/>
          <w:vertAlign w:val="baseline"/>
        </w:rPr>
        <w:t>James</w:t>
      </w:r>
      <w:r>
        <w:rPr>
          <w:rFonts w:ascii="Arial" w:hAnsi="Arial"/>
          <w:i/>
          <w:spacing w:val="35"/>
          <w:sz w:val="20"/>
          <w:vertAlign w:val="baseline"/>
        </w:rPr>
        <w:t> </w:t>
      </w:r>
      <w:r>
        <w:rPr>
          <w:rFonts w:ascii="Arial" w:hAnsi="Arial"/>
          <w:i/>
          <w:sz w:val="20"/>
          <w:vertAlign w:val="baseline"/>
        </w:rPr>
        <w:t>Macara</w:t>
      </w:r>
      <w:r>
        <w:rPr>
          <w:rFonts w:ascii="Arial" w:hAnsi="Arial"/>
          <w:i/>
          <w:spacing w:val="35"/>
          <w:sz w:val="20"/>
          <w:vertAlign w:val="baseline"/>
        </w:rPr>
        <w:t> </w:t>
      </w:r>
      <w:r>
        <w:rPr>
          <w:rFonts w:ascii="Arial" w:hAnsi="Arial"/>
          <w:i/>
          <w:sz w:val="20"/>
          <w:vertAlign w:val="baseline"/>
        </w:rPr>
        <w:t>Ltd</w:t>
      </w:r>
      <w:r>
        <w:rPr>
          <w:rFonts w:ascii="Arial" w:hAnsi="Arial"/>
          <w:i/>
          <w:spacing w:val="35"/>
          <w:sz w:val="20"/>
          <w:vertAlign w:val="baseline"/>
        </w:rPr>
        <w:t> </w:t>
      </w:r>
      <w:r>
        <w:rPr>
          <w:rFonts w:ascii="Arial" w:hAnsi="Arial"/>
          <w:i/>
          <w:sz w:val="20"/>
          <w:vertAlign w:val="baseline"/>
        </w:rPr>
        <w:t>v</w:t>
      </w:r>
      <w:r>
        <w:rPr>
          <w:rFonts w:ascii="Arial" w:hAnsi="Arial"/>
          <w:i/>
          <w:spacing w:val="36"/>
          <w:sz w:val="20"/>
          <w:vertAlign w:val="baseline"/>
        </w:rPr>
        <w:t> </w:t>
      </w:r>
      <w:r>
        <w:rPr>
          <w:rFonts w:ascii="Arial" w:hAnsi="Arial"/>
          <w:i/>
          <w:spacing w:val="-2"/>
          <w:sz w:val="20"/>
          <w:vertAlign w:val="baseline"/>
        </w:rPr>
        <w:t>Barclay</w:t>
      </w:r>
    </w:p>
    <w:p>
      <w:pPr>
        <w:spacing w:line="227" w:lineRule="exact" w:before="0"/>
        <w:ind w:left="705" w:right="0" w:firstLine="0"/>
        <w:jc w:val="left"/>
        <w:rPr>
          <w:sz w:val="20"/>
        </w:rPr>
      </w:pPr>
      <w:r>
        <w:rPr>
          <w:rFonts w:ascii="Arial"/>
          <w:i/>
          <w:sz w:val="20"/>
        </w:rPr>
        <w:t>[1945] K.B. 148, </w:t>
      </w:r>
      <w:r>
        <w:rPr>
          <w:rFonts w:ascii="Arial"/>
          <w:i/>
          <w:spacing w:val="-2"/>
          <w:sz w:val="20"/>
        </w:rPr>
        <w:t>156</w:t>
      </w:r>
      <w:r>
        <w:rPr>
          <w:spacing w:val="-2"/>
          <w:sz w:val="20"/>
        </w:rPr>
        <w:t>).</w:t>
      </w:r>
    </w:p>
    <w:p>
      <w:pPr>
        <w:pStyle w:val="BodyText"/>
        <w:spacing w:before="128"/>
      </w:pPr>
    </w:p>
    <w:p>
      <w:pPr>
        <w:spacing w:line="235" w:lineRule="auto" w:before="0"/>
        <w:ind w:left="705" w:right="167" w:hanging="541"/>
        <w:jc w:val="both"/>
        <w:rPr>
          <w:sz w:val="20"/>
        </w:rPr>
      </w:pPr>
      <w:bookmarkStart w:name="_bookmark2502" w:id="2504"/>
      <w:bookmarkEnd w:id="2504"/>
      <w:r>
        <w:rPr/>
      </w:r>
      <w:hyperlink w:history="true" w:anchor="_bookmark2480">
        <w:r>
          <w:rPr>
            <w:color w:val="005DA1"/>
            <w:sz w:val="20"/>
            <w:u w:val="single" w:color="005DA1"/>
            <w:vertAlign w:val="superscript"/>
          </w:rPr>
          <w:t>1302</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1162" name="Image 1162"/>
            <wp:cNvGraphicFramePr>
              <a:graphicFrameLocks/>
            </wp:cNvGraphicFramePr>
            <a:graphic>
              <a:graphicData uri="http://schemas.openxmlformats.org/drawingml/2006/picture">
                <pic:pic>
                  <pic:nvPicPr>
                    <pic:cNvPr id="1162" name="Image 11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Michael Richards Properties Ltd v Corp of Wardens of St Saviour’s Parish, Southwark [1975]</w:t>
      </w:r>
      <w:r>
        <w:rPr>
          <w:rFonts w:ascii="Arial" w:hAnsi="Arial"/>
          <w:i/>
          <w:spacing w:val="80"/>
          <w:sz w:val="20"/>
          <w:vertAlign w:val="baseline"/>
        </w:rPr>
        <w:t> </w:t>
      </w:r>
      <w:r>
        <w:rPr>
          <w:rFonts w:ascii="Arial" w:hAnsi="Arial"/>
          <w:i/>
          <w:sz w:val="20"/>
          <w:vertAlign w:val="baseline"/>
        </w:rPr>
        <w:t>3 All E.R. 416, 424 </w:t>
      </w:r>
      <w:r>
        <w:rPr>
          <w:sz w:val="20"/>
          <w:vertAlign w:val="baseline"/>
        </w:rPr>
        <w:t>(Goff J.).</w:t>
      </w:r>
    </w:p>
    <w:p>
      <w:pPr>
        <w:pStyle w:val="BodyText"/>
        <w:spacing w:before="129"/>
      </w:pPr>
    </w:p>
    <w:p>
      <w:pPr>
        <w:spacing w:line="235" w:lineRule="auto" w:before="1"/>
        <w:ind w:left="705" w:right="168" w:hanging="541"/>
        <w:jc w:val="both"/>
        <w:rPr>
          <w:sz w:val="20"/>
        </w:rPr>
      </w:pPr>
      <w:bookmarkStart w:name="_bookmark2503" w:id="2505"/>
      <w:bookmarkEnd w:id="2505"/>
      <w:r>
        <w:rPr/>
      </w:r>
      <w:hyperlink w:history="true" w:anchor="_bookmark2481">
        <w:r>
          <w:rPr>
            <w:color w:val="005DA1"/>
            <w:sz w:val="20"/>
            <w:u w:val="single" w:color="005DA1"/>
            <w:vertAlign w:val="superscript"/>
          </w:rPr>
          <w:t>1303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163" name="Image 1163"/>
            <wp:cNvGraphicFramePr>
              <a:graphicFrameLocks/>
            </wp:cNvGraphicFramePr>
            <a:graphic>
              <a:graphicData uri="http://schemas.openxmlformats.org/drawingml/2006/picture">
                <pic:pic>
                  <pic:nvPicPr>
                    <pic:cNvPr id="1163" name="Image 11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Universal Corp v Five Ways Properties Ltd [1979] 1 All E.R. 553, 555 </w:t>
      </w:r>
      <w:r>
        <w:rPr>
          <w:sz w:val="20"/>
          <w:vertAlign w:val="baseline"/>
        </w:rPr>
        <w:t>(Buckley L.J.). See also </w:t>
      </w:r>
      <w:r>
        <w:rPr>
          <w:rFonts w:ascii="Arial"/>
          <w:i/>
          <w:sz w:val="20"/>
          <w:vertAlign w:val="baseline"/>
        </w:rPr>
        <w:t>Schindler</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Pigault</w:t>
      </w:r>
      <w:r>
        <w:rPr>
          <w:rFonts w:ascii="Arial"/>
          <w:i/>
          <w:spacing w:val="-1"/>
          <w:sz w:val="20"/>
          <w:vertAlign w:val="baseline"/>
        </w:rPr>
        <w:t> </w:t>
      </w:r>
      <w:r>
        <w:rPr>
          <w:rFonts w:ascii="Arial"/>
          <w:i/>
          <w:sz w:val="20"/>
          <w:vertAlign w:val="baseline"/>
        </w:rPr>
        <w:t>[1975]</w:t>
      </w:r>
      <w:r>
        <w:rPr>
          <w:rFonts w:ascii="Arial"/>
          <w:i/>
          <w:spacing w:val="-1"/>
          <w:sz w:val="20"/>
          <w:vertAlign w:val="baseline"/>
        </w:rPr>
        <w:t> </w:t>
      </w:r>
      <w:r>
        <w:rPr>
          <w:rFonts w:ascii="Arial"/>
          <w:i/>
          <w:sz w:val="20"/>
          <w:vertAlign w:val="baseline"/>
        </w:rPr>
        <w:t>30</w:t>
      </w:r>
      <w:r>
        <w:rPr>
          <w:rFonts w:ascii="Arial"/>
          <w:i/>
          <w:spacing w:val="-1"/>
          <w:sz w:val="20"/>
          <w:vertAlign w:val="baseline"/>
        </w:rPr>
        <w:t> </w:t>
      </w:r>
      <w:r>
        <w:rPr>
          <w:rFonts w:ascii="Arial"/>
          <w:i/>
          <w:sz w:val="20"/>
          <w:vertAlign w:val="baseline"/>
        </w:rPr>
        <w:t>P.</w:t>
      </w:r>
      <w:r>
        <w:rPr>
          <w:rFonts w:ascii="Arial"/>
          <w:i/>
          <w:spacing w:val="-1"/>
          <w:sz w:val="20"/>
          <w:vertAlign w:val="baseline"/>
        </w:rPr>
        <w:t> </w:t>
      </w:r>
      <w:r>
        <w:rPr>
          <w:rFonts w:ascii="Arial"/>
          <w:i/>
          <w:sz w:val="20"/>
          <w:vertAlign w:val="baseline"/>
        </w:rPr>
        <w:t>C.R.</w:t>
      </w:r>
      <w:r>
        <w:rPr>
          <w:rFonts w:ascii="Arial"/>
          <w:i/>
          <w:spacing w:val="-1"/>
          <w:sz w:val="20"/>
          <w:vertAlign w:val="baseline"/>
        </w:rPr>
        <w:t> </w:t>
      </w:r>
      <w:r>
        <w:rPr>
          <w:rFonts w:ascii="Arial"/>
          <w:i/>
          <w:sz w:val="20"/>
          <w:vertAlign w:val="baseline"/>
        </w:rPr>
        <w:t>328</w:t>
      </w:r>
      <w:r>
        <w:rPr>
          <w:sz w:val="20"/>
          <w:vertAlign w:val="baseline"/>
        </w:rPr>
        <w:t>;</w:t>
      </w:r>
      <w:r>
        <w:rPr>
          <w:spacing w:val="-1"/>
          <w:sz w:val="20"/>
          <w:vertAlign w:val="baseline"/>
        </w:rPr>
        <w:t> </w:t>
      </w:r>
      <w:r>
        <w:rPr>
          <w:rFonts w:ascii="Arial"/>
          <w:i/>
          <w:sz w:val="20"/>
          <w:vertAlign w:val="baseline"/>
        </w:rPr>
        <w:t>County</w:t>
      </w:r>
      <w:r>
        <w:rPr>
          <w:rFonts w:ascii="Arial"/>
          <w:i/>
          <w:spacing w:val="-1"/>
          <w:sz w:val="20"/>
          <w:vertAlign w:val="baseline"/>
        </w:rPr>
        <w:t> </w:t>
      </w:r>
      <w:r>
        <w:rPr>
          <w:rFonts w:ascii="Arial"/>
          <w:i/>
          <w:sz w:val="20"/>
          <w:vertAlign w:val="baseline"/>
        </w:rPr>
        <w:t>&amp;</w:t>
      </w:r>
      <w:r>
        <w:rPr>
          <w:rFonts w:ascii="Arial"/>
          <w:i/>
          <w:spacing w:val="-1"/>
          <w:sz w:val="20"/>
          <w:vertAlign w:val="baseline"/>
        </w:rPr>
        <w:t> </w:t>
      </w:r>
      <w:r>
        <w:rPr>
          <w:rFonts w:ascii="Arial"/>
          <w:i/>
          <w:sz w:val="20"/>
          <w:vertAlign w:val="baseline"/>
        </w:rPr>
        <w:t>Metropolitan</w:t>
      </w:r>
      <w:r>
        <w:rPr>
          <w:rFonts w:ascii="Arial"/>
          <w:i/>
          <w:spacing w:val="-1"/>
          <w:sz w:val="20"/>
          <w:vertAlign w:val="baseline"/>
        </w:rPr>
        <w:t> </w:t>
      </w:r>
      <w:r>
        <w:rPr>
          <w:rFonts w:ascii="Arial"/>
          <w:i/>
          <w:sz w:val="20"/>
          <w:vertAlign w:val="baseline"/>
        </w:rPr>
        <w:t>Homes</w:t>
      </w:r>
      <w:r>
        <w:rPr>
          <w:rFonts w:ascii="Arial"/>
          <w:i/>
          <w:spacing w:val="-1"/>
          <w:sz w:val="20"/>
          <w:vertAlign w:val="baseline"/>
        </w:rPr>
        <w:t> </w:t>
      </w:r>
      <w:r>
        <w:rPr>
          <w:rFonts w:ascii="Arial"/>
          <w:i/>
          <w:sz w:val="20"/>
          <w:vertAlign w:val="baseline"/>
        </w:rPr>
        <w:t>Survey</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Topclaim Ltd</w:t>
      </w:r>
      <w:r>
        <w:rPr>
          <w:rFonts w:ascii="Arial"/>
          <w:i/>
          <w:spacing w:val="30"/>
          <w:sz w:val="20"/>
          <w:vertAlign w:val="baseline"/>
        </w:rPr>
        <w:t> </w:t>
      </w:r>
      <w:r>
        <w:rPr>
          <w:rFonts w:ascii="Arial"/>
          <w:i/>
          <w:sz w:val="20"/>
          <w:vertAlign w:val="baseline"/>
        </w:rPr>
        <w:t>[1997]</w:t>
      </w:r>
      <w:r>
        <w:rPr>
          <w:rFonts w:ascii="Arial"/>
          <w:i/>
          <w:spacing w:val="30"/>
          <w:sz w:val="20"/>
          <w:vertAlign w:val="baseline"/>
        </w:rPr>
        <w:t> </w:t>
      </w:r>
      <w:r>
        <w:rPr>
          <w:rFonts w:ascii="Arial"/>
          <w:i/>
          <w:sz w:val="20"/>
          <w:vertAlign w:val="baseline"/>
        </w:rPr>
        <w:t>1</w:t>
      </w:r>
      <w:r>
        <w:rPr>
          <w:rFonts w:ascii="Arial"/>
          <w:i/>
          <w:spacing w:val="30"/>
          <w:sz w:val="20"/>
          <w:vertAlign w:val="baseline"/>
        </w:rPr>
        <w:t> </w:t>
      </w:r>
      <w:r>
        <w:rPr>
          <w:rFonts w:ascii="Arial"/>
          <w:i/>
          <w:sz w:val="20"/>
          <w:vertAlign w:val="baseline"/>
        </w:rPr>
        <w:t>All</w:t>
      </w:r>
      <w:r>
        <w:rPr>
          <w:rFonts w:ascii="Arial"/>
          <w:i/>
          <w:spacing w:val="30"/>
          <w:sz w:val="20"/>
          <w:vertAlign w:val="baseline"/>
        </w:rPr>
        <w:t> </w:t>
      </w:r>
      <w:r>
        <w:rPr>
          <w:rFonts w:ascii="Arial"/>
          <w:i/>
          <w:sz w:val="20"/>
          <w:vertAlign w:val="baseline"/>
        </w:rPr>
        <w:t>E.R.</w:t>
      </w:r>
      <w:r>
        <w:rPr>
          <w:rFonts w:ascii="Arial"/>
          <w:i/>
          <w:spacing w:val="30"/>
          <w:sz w:val="20"/>
          <w:vertAlign w:val="baseline"/>
        </w:rPr>
        <w:t> </w:t>
      </w:r>
      <w:r>
        <w:rPr>
          <w:rFonts w:ascii="Arial"/>
          <w:i/>
          <w:sz w:val="20"/>
          <w:vertAlign w:val="baseline"/>
        </w:rPr>
        <w:t>254</w:t>
      </w:r>
      <w:r>
        <w:rPr>
          <w:rFonts w:ascii="Arial"/>
          <w:i/>
          <w:spacing w:val="30"/>
          <w:sz w:val="20"/>
          <w:vertAlign w:val="baseline"/>
        </w:rPr>
        <w:t> </w:t>
      </w:r>
      <w:r>
        <w:rPr>
          <w:sz w:val="20"/>
          <w:vertAlign w:val="baseline"/>
        </w:rPr>
        <w:t>(effect</w:t>
      </w:r>
      <w:r>
        <w:rPr>
          <w:spacing w:val="30"/>
          <w:sz w:val="20"/>
          <w:vertAlign w:val="baseline"/>
        </w:rPr>
        <w:t> </w:t>
      </w:r>
      <w:r>
        <w:rPr>
          <w:sz w:val="20"/>
          <w:vertAlign w:val="baseline"/>
        </w:rPr>
        <w:t>of</w:t>
      </w:r>
      <w:r>
        <w:rPr>
          <w:spacing w:val="30"/>
          <w:sz w:val="20"/>
          <w:vertAlign w:val="baseline"/>
        </w:rPr>
        <w:t> </w:t>
      </w:r>
      <w:r>
        <w:rPr>
          <w:sz w:val="20"/>
          <w:vertAlign w:val="baseline"/>
        </w:rPr>
        <w:t>exclusion</w:t>
      </w:r>
      <w:r>
        <w:rPr>
          <w:spacing w:val="30"/>
          <w:sz w:val="20"/>
          <w:vertAlign w:val="baseline"/>
        </w:rPr>
        <w:t> </w:t>
      </w:r>
      <w:r>
        <w:rPr>
          <w:sz w:val="20"/>
          <w:vertAlign w:val="baseline"/>
        </w:rPr>
        <w:t>of</w:t>
      </w:r>
      <w:r>
        <w:rPr>
          <w:spacing w:val="30"/>
          <w:sz w:val="20"/>
          <w:vertAlign w:val="baseline"/>
        </w:rPr>
        <w:t> </w:t>
      </w:r>
      <w:r>
        <w:rPr>
          <w:sz w:val="20"/>
          <w:vertAlign w:val="baseline"/>
        </w:rPr>
        <w:t>Law</w:t>
      </w:r>
      <w:r>
        <w:rPr>
          <w:spacing w:val="30"/>
          <w:sz w:val="20"/>
          <w:vertAlign w:val="baseline"/>
        </w:rPr>
        <w:t> </w:t>
      </w:r>
      <w:r>
        <w:rPr>
          <w:sz w:val="20"/>
          <w:vertAlign w:val="baseline"/>
        </w:rPr>
        <w:t>of</w:t>
      </w:r>
      <w:r>
        <w:rPr>
          <w:spacing w:val="30"/>
          <w:sz w:val="20"/>
          <w:vertAlign w:val="baseline"/>
        </w:rPr>
        <w:t> </w:t>
      </w:r>
      <w:r>
        <w:rPr>
          <w:sz w:val="20"/>
          <w:vertAlign w:val="baseline"/>
        </w:rPr>
        <w:t>Property</w:t>
      </w:r>
      <w:r>
        <w:rPr>
          <w:spacing w:val="30"/>
          <w:sz w:val="20"/>
          <w:vertAlign w:val="baseline"/>
        </w:rPr>
        <w:t> </w:t>
      </w:r>
      <w:r>
        <w:rPr>
          <w:sz w:val="20"/>
          <w:vertAlign w:val="baseline"/>
        </w:rPr>
        <w:t>Act</w:t>
      </w:r>
      <w:r>
        <w:rPr>
          <w:spacing w:val="30"/>
          <w:sz w:val="20"/>
          <w:vertAlign w:val="baseline"/>
        </w:rPr>
        <w:t> </w:t>
      </w:r>
      <w:r>
        <w:rPr>
          <w:sz w:val="20"/>
          <w:vertAlign w:val="baseline"/>
        </w:rPr>
        <w:t>1925</w:t>
      </w:r>
      <w:r>
        <w:rPr>
          <w:spacing w:val="30"/>
          <w:sz w:val="20"/>
          <w:vertAlign w:val="baseline"/>
        </w:rPr>
        <w:t> </w:t>
      </w:r>
      <w:r>
        <w:rPr>
          <w:sz w:val="20"/>
          <w:vertAlign w:val="baseline"/>
        </w:rPr>
        <w:t>s.49(2));</w:t>
      </w:r>
      <w:r>
        <w:rPr>
          <w:spacing w:val="30"/>
          <w:sz w:val="20"/>
          <w:vertAlign w:val="baseline"/>
        </w:rPr>
        <w:t> </w:t>
      </w:r>
      <w:r>
        <w:rPr>
          <w:rFonts w:ascii="Arial"/>
          <w:i/>
          <w:sz w:val="20"/>
          <w:vertAlign w:val="baseline"/>
        </w:rPr>
        <w:t>Omar</w:t>
      </w:r>
      <w:r>
        <w:rPr>
          <w:rFonts w:ascii="Arial"/>
          <w:i/>
          <w:spacing w:val="30"/>
          <w:sz w:val="20"/>
          <w:vertAlign w:val="baseline"/>
        </w:rPr>
        <w:t> </w:t>
      </w:r>
      <w:r>
        <w:rPr>
          <w:rFonts w:ascii="Arial"/>
          <w:i/>
          <w:sz w:val="20"/>
          <w:vertAlign w:val="baseline"/>
        </w:rPr>
        <w:t>v El-Wakil [2001] EWCA Civ 1090</w:t>
      </w:r>
      <w:r>
        <w:rPr>
          <w:sz w:val="20"/>
          <w:vertAlign w:val="baseline"/>
        </w:rPr>
        <w:t>.</w:t>
      </w:r>
    </w:p>
    <w:p>
      <w:pPr>
        <w:pStyle w:val="BodyText"/>
        <w:spacing w:before="124"/>
      </w:pPr>
    </w:p>
    <w:p>
      <w:pPr>
        <w:spacing w:line="227" w:lineRule="exact" w:before="0"/>
        <w:ind w:left="165" w:right="0" w:firstLine="0"/>
        <w:jc w:val="left"/>
        <w:rPr>
          <w:sz w:val="20"/>
        </w:rPr>
      </w:pPr>
      <w:bookmarkStart w:name="_bookmark2504" w:id="2506"/>
      <w:bookmarkEnd w:id="2506"/>
      <w:r>
        <w:rPr/>
      </w:r>
      <w:hyperlink w:history="true" w:anchor="_bookmark2482">
        <w:r>
          <w:rPr>
            <w:color w:val="005DA1"/>
            <w:sz w:val="20"/>
            <w:u w:val="single" w:color="005DA1"/>
            <w:vertAlign w:val="superscript"/>
          </w:rPr>
          <w:t>1304</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64" name="Image 1164"/>
            <wp:cNvGraphicFramePr>
              <a:graphicFrameLocks/>
            </wp:cNvGraphicFramePr>
            <a:graphic>
              <a:graphicData uri="http://schemas.openxmlformats.org/drawingml/2006/picture">
                <pic:pic>
                  <pic:nvPicPr>
                    <pic:cNvPr id="1164" name="Image 116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31"/>
          <w:sz w:val="20"/>
          <w:vertAlign w:val="baseline"/>
        </w:rPr>
        <w:t> </w:t>
      </w:r>
      <w:r>
        <w:rPr>
          <w:rFonts w:ascii="Arial"/>
          <w:i/>
          <w:sz w:val="20"/>
          <w:vertAlign w:val="baseline"/>
        </w:rPr>
        <w:t>Omar</w:t>
      </w:r>
      <w:r>
        <w:rPr>
          <w:rFonts w:ascii="Arial"/>
          <w:i/>
          <w:spacing w:val="31"/>
          <w:sz w:val="20"/>
          <w:vertAlign w:val="baseline"/>
        </w:rPr>
        <w:t> </w:t>
      </w:r>
      <w:r>
        <w:rPr>
          <w:rFonts w:ascii="Arial"/>
          <w:i/>
          <w:sz w:val="20"/>
          <w:vertAlign w:val="baseline"/>
        </w:rPr>
        <w:t>v</w:t>
      </w:r>
      <w:r>
        <w:rPr>
          <w:rFonts w:ascii="Arial"/>
          <w:i/>
          <w:spacing w:val="32"/>
          <w:sz w:val="20"/>
          <w:vertAlign w:val="baseline"/>
        </w:rPr>
        <w:t> </w:t>
      </w:r>
      <w:r>
        <w:rPr>
          <w:rFonts w:ascii="Arial"/>
          <w:i/>
          <w:sz w:val="20"/>
          <w:vertAlign w:val="baseline"/>
        </w:rPr>
        <w:t>El-Wakil</w:t>
      </w:r>
      <w:r>
        <w:rPr>
          <w:rFonts w:ascii="Arial"/>
          <w:i/>
          <w:spacing w:val="31"/>
          <w:sz w:val="20"/>
          <w:vertAlign w:val="baseline"/>
        </w:rPr>
        <w:t> </w:t>
      </w:r>
      <w:r>
        <w:rPr>
          <w:rFonts w:ascii="Arial"/>
          <w:i/>
          <w:sz w:val="20"/>
          <w:vertAlign w:val="baseline"/>
        </w:rPr>
        <w:t>[2001]</w:t>
      </w:r>
      <w:r>
        <w:rPr>
          <w:rFonts w:ascii="Arial"/>
          <w:i/>
          <w:spacing w:val="31"/>
          <w:sz w:val="20"/>
          <w:vertAlign w:val="baseline"/>
        </w:rPr>
        <w:t> </w:t>
      </w:r>
      <w:r>
        <w:rPr>
          <w:rFonts w:ascii="Arial"/>
          <w:i/>
          <w:sz w:val="20"/>
          <w:vertAlign w:val="baseline"/>
        </w:rPr>
        <w:t>EWCA</w:t>
      </w:r>
      <w:r>
        <w:rPr>
          <w:rFonts w:ascii="Arial"/>
          <w:i/>
          <w:spacing w:val="31"/>
          <w:sz w:val="20"/>
          <w:vertAlign w:val="baseline"/>
        </w:rPr>
        <w:t> </w:t>
      </w:r>
      <w:r>
        <w:rPr>
          <w:rFonts w:ascii="Arial"/>
          <w:i/>
          <w:sz w:val="20"/>
          <w:vertAlign w:val="baseline"/>
        </w:rPr>
        <w:t>Civ</w:t>
      </w:r>
      <w:r>
        <w:rPr>
          <w:rFonts w:ascii="Arial"/>
          <w:i/>
          <w:spacing w:val="31"/>
          <w:sz w:val="20"/>
          <w:vertAlign w:val="baseline"/>
        </w:rPr>
        <w:t> </w:t>
      </w:r>
      <w:r>
        <w:rPr>
          <w:rFonts w:ascii="Arial"/>
          <w:i/>
          <w:sz w:val="20"/>
          <w:vertAlign w:val="baseline"/>
        </w:rPr>
        <w:t>1090,</w:t>
      </w:r>
      <w:r>
        <w:rPr>
          <w:rFonts w:ascii="Arial"/>
          <w:i/>
          <w:spacing w:val="31"/>
          <w:sz w:val="20"/>
          <w:vertAlign w:val="baseline"/>
        </w:rPr>
        <w:t> </w:t>
      </w:r>
      <w:r>
        <w:rPr>
          <w:rFonts w:ascii="Arial"/>
          <w:i/>
          <w:sz w:val="20"/>
          <w:vertAlign w:val="baseline"/>
        </w:rPr>
        <w:t>[2002]</w:t>
      </w:r>
      <w:r>
        <w:rPr>
          <w:rFonts w:ascii="Arial"/>
          <w:i/>
          <w:spacing w:val="31"/>
          <w:sz w:val="20"/>
          <w:vertAlign w:val="baseline"/>
        </w:rPr>
        <w:t> </w:t>
      </w:r>
      <w:r>
        <w:rPr>
          <w:rFonts w:ascii="Arial"/>
          <w:i/>
          <w:sz w:val="20"/>
          <w:vertAlign w:val="baseline"/>
        </w:rPr>
        <w:t>2</w:t>
      </w:r>
      <w:r>
        <w:rPr>
          <w:rFonts w:ascii="Arial"/>
          <w:i/>
          <w:spacing w:val="31"/>
          <w:sz w:val="20"/>
          <w:vertAlign w:val="baseline"/>
        </w:rPr>
        <w:t> </w:t>
      </w:r>
      <w:r>
        <w:rPr>
          <w:rFonts w:ascii="Arial"/>
          <w:i/>
          <w:sz w:val="20"/>
          <w:vertAlign w:val="baseline"/>
        </w:rPr>
        <w:t>P.</w:t>
      </w:r>
      <w:r>
        <w:rPr>
          <w:rFonts w:ascii="Arial"/>
          <w:i/>
          <w:spacing w:val="31"/>
          <w:sz w:val="20"/>
          <w:vertAlign w:val="baseline"/>
        </w:rPr>
        <w:t> </w:t>
      </w:r>
      <w:r>
        <w:rPr>
          <w:rFonts w:ascii="Arial"/>
          <w:i/>
          <w:sz w:val="20"/>
          <w:vertAlign w:val="baseline"/>
        </w:rPr>
        <w:t>&amp;</w:t>
      </w:r>
      <w:r>
        <w:rPr>
          <w:rFonts w:ascii="Arial"/>
          <w:i/>
          <w:spacing w:val="31"/>
          <w:sz w:val="20"/>
          <w:vertAlign w:val="baseline"/>
        </w:rPr>
        <w:t> </w:t>
      </w:r>
      <w:r>
        <w:rPr>
          <w:rFonts w:ascii="Arial"/>
          <w:i/>
          <w:sz w:val="20"/>
          <w:vertAlign w:val="baseline"/>
        </w:rPr>
        <w:t>C.R.</w:t>
      </w:r>
      <w:r>
        <w:rPr>
          <w:rFonts w:ascii="Arial"/>
          <w:i/>
          <w:spacing w:val="31"/>
          <w:sz w:val="20"/>
          <w:vertAlign w:val="baseline"/>
        </w:rPr>
        <w:t> </w:t>
      </w:r>
      <w:r>
        <w:rPr>
          <w:rFonts w:ascii="Arial"/>
          <w:i/>
          <w:sz w:val="20"/>
          <w:vertAlign w:val="baseline"/>
        </w:rPr>
        <w:t>3</w:t>
      </w:r>
      <w:r>
        <w:rPr>
          <w:rFonts w:ascii="Arial"/>
          <w:i/>
          <w:spacing w:val="30"/>
          <w:sz w:val="20"/>
          <w:vertAlign w:val="baseline"/>
        </w:rPr>
        <w:t> </w:t>
      </w:r>
      <w:r>
        <w:rPr>
          <w:sz w:val="20"/>
          <w:vertAlign w:val="baseline"/>
        </w:rPr>
        <w:t>at</w:t>
      </w:r>
      <w:r>
        <w:rPr>
          <w:spacing w:val="31"/>
          <w:sz w:val="20"/>
          <w:vertAlign w:val="baseline"/>
        </w:rPr>
        <w:t> </w:t>
      </w:r>
      <w:r>
        <w:rPr>
          <w:sz w:val="20"/>
          <w:vertAlign w:val="baseline"/>
        </w:rPr>
        <w:t>[37],</w:t>
      </w:r>
      <w:r>
        <w:rPr>
          <w:spacing w:val="32"/>
          <w:sz w:val="20"/>
          <w:vertAlign w:val="baseline"/>
        </w:rPr>
        <w:t> </w:t>
      </w:r>
      <w:r>
        <w:rPr>
          <w:sz w:val="20"/>
          <w:vertAlign w:val="baseline"/>
        </w:rPr>
        <w:t>[49]</w:t>
      </w:r>
      <w:r>
        <w:rPr>
          <w:spacing w:val="31"/>
          <w:sz w:val="20"/>
          <w:vertAlign w:val="baseline"/>
        </w:rPr>
        <w:t> </w:t>
      </w:r>
      <w:r>
        <w:rPr>
          <w:sz w:val="20"/>
          <w:vertAlign w:val="baseline"/>
        </w:rPr>
        <w:t>and</w:t>
      </w:r>
      <w:r>
        <w:rPr>
          <w:spacing w:val="31"/>
          <w:sz w:val="20"/>
          <w:vertAlign w:val="baseline"/>
        </w:rPr>
        <w:t> </w:t>
      </w:r>
      <w:r>
        <w:rPr>
          <w:spacing w:val="-2"/>
          <w:sz w:val="20"/>
          <w:vertAlign w:val="baseline"/>
        </w:rPr>
        <w:t>[55];</w:t>
      </w:r>
    </w:p>
    <w:p>
      <w:pPr>
        <w:spacing w:line="235" w:lineRule="auto" w:before="2"/>
        <w:ind w:left="705" w:right="167" w:firstLine="0"/>
        <w:jc w:val="both"/>
        <w:rPr>
          <w:sz w:val="20"/>
        </w:rPr>
      </w:pPr>
      <w:r>
        <w:rPr>
          <w:rFonts w:ascii="Arial" w:hAnsi="Arial"/>
          <w:i/>
          <w:sz w:val="20"/>
        </w:rPr>
        <w:t>Tennaro Ltd v Majorarch Ltd [2003] EWHC 2601 (Ch), [2003] 47 E.G. 154 (C.S.) </w:t>
      </w:r>
      <w:r>
        <w:rPr>
          <w:sz w:val="20"/>
        </w:rPr>
        <w:t>at </w:t>
      </w:r>
      <w:r>
        <w:rPr>
          <w:sz w:val="20"/>
        </w:rPr>
        <w:t>[84]; </w:t>
      </w:r>
      <w:r>
        <w:rPr>
          <w:rFonts w:ascii="Arial" w:hAnsi="Arial"/>
          <w:i/>
          <w:sz w:val="20"/>
        </w:rPr>
        <w:t>Aribisala v St James Homes (Grosvenor Dock) Ltd [2008] EWHC 456 (Ch), [2008] All E.R. (D) 201 (Mar)</w:t>
      </w:r>
      <w:r>
        <w:rPr>
          <w:sz w:val="20"/>
        </w:rPr>
        <w:t>; </w:t>
      </w:r>
      <w:r>
        <w:rPr>
          <w:rFonts w:ascii="Arial" w:hAnsi="Arial"/>
          <w:i/>
          <w:sz w:val="20"/>
        </w:rPr>
        <w:t>Midill (97PL) Ltd v Park Lane Estates Ltd [2008] EWCA Civ 1227, [2009] 2 P. &amp; C.R. 6</w:t>
      </w:r>
      <w:r>
        <w:rPr>
          <w:sz w:val="20"/>
        </w:rPr>
        <w:t>, citing the Privy Council case of </w:t>
      </w:r>
      <w:r>
        <w:rPr>
          <w:rFonts w:ascii="Arial" w:hAnsi="Arial"/>
          <w:i/>
          <w:sz w:val="20"/>
        </w:rPr>
        <w:t>Bidaisee v Sampath [1995] N.P.C. 59</w:t>
      </w:r>
      <w:r>
        <w:rPr>
          <w:sz w:val="20"/>
        </w:rPr>
        <w:t>; </w:t>
      </w:r>
      <w:r>
        <w:rPr>
          <w:rFonts w:ascii="Arial" w:hAnsi="Arial"/>
          <w:i/>
          <w:sz w:val="20"/>
        </w:rPr>
        <w:t>Cohen v Teseo Properties Ltd [2014] EWHC 2442 </w:t>
      </w:r>
      <w:r>
        <w:rPr>
          <w:sz w:val="20"/>
        </w:rPr>
        <w:t>at [57]; </w:t>
      </w:r>
      <w:r>
        <w:rPr>
          <w:rFonts w:ascii="Arial" w:hAnsi="Arial"/>
          <w:i/>
          <w:sz w:val="20"/>
        </w:rPr>
        <w:t>Solid Rock Investments UK Ltd v Reddy [2016] EWHC 3043 (Ch)</w:t>
      </w:r>
      <w:r>
        <w:rPr>
          <w:sz w:val="20"/>
        </w:rPr>
        <w:t>. In the </w:t>
      </w:r>
      <w:r>
        <w:rPr>
          <w:rFonts w:ascii="Arial" w:hAnsi="Arial"/>
          <w:i/>
          <w:sz w:val="20"/>
        </w:rPr>
        <w:t>Midill </w:t>
      </w:r>
      <w:r>
        <w:rPr>
          <w:sz w:val="20"/>
        </w:rPr>
        <w:t>case Carnwath L.J. said that “The critical point … is that the deposit is ‘an earnest for the performance of the contract’, which can be retained by the seller if the buyer defaults, without any necessary regard to the question of actual loss or its amount”: </w:t>
      </w:r>
      <w:r>
        <w:rPr>
          <w:rFonts w:ascii="Arial" w:hAnsi="Arial"/>
          <w:i/>
          <w:sz w:val="20"/>
        </w:rPr>
        <w:t>[2008] EWCA Civ 1227 </w:t>
      </w:r>
      <w:r>
        <w:rPr>
          <w:sz w:val="20"/>
        </w:rPr>
        <w:t>at [52].</w:t>
      </w:r>
    </w:p>
    <w:p>
      <w:pPr>
        <w:pStyle w:val="BodyText"/>
        <w:spacing w:before="122"/>
      </w:pPr>
    </w:p>
    <w:p>
      <w:pPr>
        <w:spacing w:line="227" w:lineRule="exact" w:before="0"/>
        <w:ind w:left="165" w:right="0" w:firstLine="0"/>
        <w:jc w:val="left"/>
        <w:rPr>
          <w:rFonts w:ascii="Arial"/>
          <w:i/>
          <w:sz w:val="20"/>
        </w:rPr>
      </w:pPr>
      <w:bookmarkStart w:name="_bookmark2505" w:id="2507"/>
      <w:bookmarkEnd w:id="2507"/>
      <w:r>
        <w:rPr/>
      </w:r>
      <w:hyperlink w:history="true" w:anchor="_bookmark2483">
        <w:r>
          <w:rPr>
            <w:color w:val="005DA1"/>
            <w:sz w:val="20"/>
            <w:u w:val="single" w:color="005DA1"/>
            <w:vertAlign w:val="superscript"/>
          </w:rPr>
          <w:t>1305</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165" name="Image 1165"/>
            <wp:cNvGraphicFramePr>
              <a:graphicFrameLocks/>
            </wp:cNvGraphicFramePr>
            <a:graphic>
              <a:graphicData uri="http://schemas.openxmlformats.org/drawingml/2006/picture">
                <pic:pic>
                  <pic:nvPicPr>
                    <pic:cNvPr id="1165" name="Image 116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Aribisala</w:t>
      </w:r>
      <w:r>
        <w:rPr>
          <w:rFonts w:ascii="Arial"/>
          <w:i/>
          <w:spacing w:val="18"/>
          <w:sz w:val="20"/>
          <w:vertAlign w:val="baseline"/>
        </w:rPr>
        <w:t> </w:t>
      </w:r>
      <w:r>
        <w:rPr>
          <w:rFonts w:ascii="Arial"/>
          <w:i/>
          <w:sz w:val="20"/>
          <w:vertAlign w:val="baseline"/>
        </w:rPr>
        <w:t>v</w:t>
      </w:r>
      <w:r>
        <w:rPr>
          <w:rFonts w:ascii="Arial"/>
          <w:i/>
          <w:spacing w:val="16"/>
          <w:sz w:val="20"/>
          <w:vertAlign w:val="baseline"/>
        </w:rPr>
        <w:t> </w:t>
      </w:r>
      <w:r>
        <w:rPr>
          <w:rFonts w:ascii="Arial"/>
          <w:i/>
          <w:sz w:val="20"/>
          <w:vertAlign w:val="baseline"/>
        </w:rPr>
        <w:t>St</w:t>
      </w:r>
      <w:r>
        <w:rPr>
          <w:rFonts w:ascii="Arial"/>
          <w:i/>
          <w:spacing w:val="16"/>
          <w:sz w:val="20"/>
          <w:vertAlign w:val="baseline"/>
        </w:rPr>
        <w:t> </w:t>
      </w:r>
      <w:r>
        <w:rPr>
          <w:rFonts w:ascii="Arial"/>
          <w:i/>
          <w:sz w:val="20"/>
          <w:vertAlign w:val="baseline"/>
        </w:rPr>
        <w:t>James</w:t>
      </w:r>
      <w:r>
        <w:rPr>
          <w:rFonts w:ascii="Arial"/>
          <w:i/>
          <w:spacing w:val="17"/>
          <w:sz w:val="20"/>
          <w:vertAlign w:val="baseline"/>
        </w:rPr>
        <w:t> </w:t>
      </w:r>
      <w:r>
        <w:rPr>
          <w:rFonts w:ascii="Arial"/>
          <w:i/>
          <w:sz w:val="20"/>
          <w:vertAlign w:val="baseline"/>
        </w:rPr>
        <w:t>Homes</w:t>
      </w:r>
      <w:r>
        <w:rPr>
          <w:rFonts w:ascii="Arial"/>
          <w:i/>
          <w:spacing w:val="16"/>
          <w:sz w:val="20"/>
          <w:vertAlign w:val="baseline"/>
        </w:rPr>
        <w:t> </w:t>
      </w:r>
      <w:r>
        <w:rPr>
          <w:rFonts w:ascii="Arial"/>
          <w:i/>
          <w:sz w:val="20"/>
          <w:vertAlign w:val="baseline"/>
        </w:rPr>
        <w:t>(Grosvenor</w:t>
      </w:r>
      <w:r>
        <w:rPr>
          <w:rFonts w:ascii="Arial"/>
          <w:i/>
          <w:spacing w:val="16"/>
          <w:sz w:val="20"/>
          <w:vertAlign w:val="baseline"/>
        </w:rPr>
        <w:t> </w:t>
      </w:r>
      <w:r>
        <w:rPr>
          <w:rFonts w:ascii="Arial"/>
          <w:i/>
          <w:sz w:val="20"/>
          <w:vertAlign w:val="baseline"/>
        </w:rPr>
        <w:t>Dock)</w:t>
      </w:r>
      <w:r>
        <w:rPr>
          <w:rFonts w:ascii="Arial"/>
          <w:i/>
          <w:spacing w:val="17"/>
          <w:sz w:val="20"/>
          <w:vertAlign w:val="baseline"/>
        </w:rPr>
        <w:t> </w:t>
      </w:r>
      <w:r>
        <w:rPr>
          <w:rFonts w:ascii="Arial"/>
          <w:i/>
          <w:sz w:val="20"/>
          <w:vertAlign w:val="baseline"/>
        </w:rPr>
        <w:t>Ltd</w:t>
      </w:r>
      <w:r>
        <w:rPr>
          <w:rFonts w:ascii="Arial"/>
          <w:i/>
          <w:spacing w:val="16"/>
          <w:sz w:val="20"/>
          <w:vertAlign w:val="baseline"/>
        </w:rPr>
        <w:t> </w:t>
      </w:r>
      <w:r>
        <w:rPr>
          <w:rFonts w:ascii="Arial"/>
          <w:i/>
          <w:sz w:val="20"/>
          <w:vertAlign w:val="baseline"/>
        </w:rPr>
        <w:t>[2007]</w:t>
      </w:r>
      <w:r>
        <w:rPr>
          <w:rFonts w:ascii="Arial"/>
          <w:i/>
          <w:spacing w:val="16"/>
          <w:sz w:val="20"/>
          <w:vertAlign w:val="baseline"/>
        </w:rPr>
        <w:t> </w:t>
      </w:r>
      <w:r>
        <w:rPr>
          <w:rFonts w:ascii="Arial"/>
          <w:i/>
          <w:sz w:val="20"/>
          <w:vertAlign w:val="baseline"/>
        </w:rPr>
        <w:t>EWHC</w:t>
      </w:r>
      <w:r>
        <w:rPr>
          <w:rFonts w:ascii="Arial"/>
          <w:i/>
          <w:spacing w:val="16"/>
          <w:sz w:val="20"/>
          <w:vertAlign w:val="baseline"/>
        </w:rPr>
        <w:t> </w:t>
      </w:r>
      <w:r>
        <w:rPr>
          <w:rFonts w:ascii="Arial"/>
          <w:i/>
          <w:sz w:val="20"/>
          <w:vertAlign w:val="baseline"/>
        </w:rPr>
        <w:t>1694</w:t>
      </w:r>
      <w:r>
        <w:rPr>
          <w:rFonts w:ascii="Arial"/>
          <w:i/>
          <w:spacing w:val="17"/>
          <w:sz w:val="20"/>
          <w:vertAlign w:val="baseline"/>
        </w:rPr>
        <w:t> </w:t>
      </w:r>
      <w:r>
        <w:rPr>
          <w:rFonts w:ascii="Arial"/>
          <w:i/>
          <w:sz w:val="20"/>
          <w:vertAlign w:val="baseline"/>
        </w:rPr>
        <w:t>(Ch),</w:t>
      </w:r>
      <w:r>
        <w:rPr>
          <w:rFonts w:ascii="Arial"/>
          <w:i/>
          <w:spacing w:val="16"/>
          <w:sz w:val="20"/>
          <w:vertAlign w:val="baseline"/>
        </w:rPr>
        <w:t> </w:t>
      </w:r>
      <w:r>
        <w:rPr>
          <w:rFonts w:ascii="Arial"/>
          <w:i/>
          <w:sz w:val="20"/>
          <w:vertAlign w:val="baseline"/>
        </w:rPr>
        <w:t>[2007]</w:t>
      </w:r>
      <w:r>
        <w:rPr>
          <w:rFonts w:ascii="Arial"/>
          <w:i/>
          <w:spacing w:val="16"/>
          <w:sz w:val="20"/>
          <w:vertAlign w:val="baseline"/>
        </w:rPr>
        <w:t> </w:t>
      </w:r>
      <w:r>
        <w:rPr>
          <w:rFonts w:ascii="Arial"/>
          <w:i/>
          <w:sz w:val="20"/>
          <w:vertAlign w:val="baseline"/>
        </w:rPr>
        <w:t>37</w:t>
      </w:r>
      <w:r>
        <w:rPr>
          <w:rFonts w:ascii="Arial"/>
          <w:i/>
          <w:spacing w:val="17"/>
          <w:sz w:val="20"/>
          <w:vertAlign w:val="baseline"/>
        </w:rPr>
        <w:t> </w:t>
      </w:r>
      <w:r>
        <w:rPr>
          <w:rFonts w:ascii="Arial"/>
          <w:i/>
          <w:spacing w:val="-4"/>
          <w:sz w:val="20"/>
          <w:vertAlign w:val="baseline"/>
        </w:rPr>
        <w:t>E.G.</w:t>
      </w:r>
    </w:p>
    <w:p>
      <w:pPr>
        <w:spacing w:line="227" w:lineRule="exact" w:before="0"/>
        <w:ind w:left="705" w:right="0" w:firstLine="0"/>
        <w:jc w:val="left"/>
        <w:rPr>
          <w:sz w:val="20"/>
        </w:rPr>
      </w:pPr>
      <w:r>
        <w:rPr>
          <w:rFonts w:ascii="Arial"/>
          <w:i/>
          <w:sz w:val="20"/>
        </w:rPr>
        <w:t>234, [2007] 2 P. &amp; C.R. </w:t>
      </w:r>
      <w:r>
        <w:rPr>
          <w:rFonts w:ascii="Arial"/>
          <w:i/>
          <w:spacing w:val="-2"/>
          <w:sz w:val="20"/>
        </w:rPr>
        <w:t>DG25</w:t>
      </w:r>
      <w:r>
        <w:rPr>
          <w:spacing w:val="-2"/>
          <w:sz w:val="20"/>
        </w:rPr>
        <w:t>.</w:t>
      </w:r>
    </w:p>
    <w:p>
      <w:pPr>
        <w:pStyle w:val="BodyText"/>
        <w:spacing w:before="125"/>
      </w:pPr>
    </w:p>
    <w:p>
      <w:pPr>
        <w:pStyle w:val="BodyText"/>
        <w:ind w:left="165"/>
      </w:pPr>
      <w:bookmarkStart w:name="_bookmark2506" w:id="2508"/>
      <w:bookmarkEnd w:id="2508"/>
      <w:r>
        <w:rPr/>
      </w:r>
      <w:hyperlink w:history="true" w:anchor="_bookmark2484">
        <w:r>
          <w:rPr>
            <w:color w:val="005DA1"/>
            <w:u w:val="single" w:color="005DA1"/>
            <w:vertAlign w:val="superscript"/>
          </w:rPr>
          <w:t>1306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166" name="Image 1166"/>
            <wp:cNvGraphicFramePr>
              <a:graphicFrameLocks/>
            </wp:cNvGraphicFramePr>
            <a:graphic>
              <a:graphicData uri="http://schemas.openxmlformats.org/drawingml/2006/picture">
                <pic:pic>
                  <pic:nvPicPr>
                    <pic:cNvPr id="1166" name="Image 116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2"/>
          <w:vertAlign w:val="baseline"/>
        </w:rPr>
        <w:t>216P.</w:t>
      </w:r>
    </w:p>
    <w:p>
      <w:pPr>
        <w:pStyle w:val="BodyText"/>
        <w:spacing w:before="125"/>
      </w:pPr>
    </w:p>
    <w:p>
      <w:pPr>
        <w:pStyle w:val="BodyText"/>
        <w:spacing w:before="1"/>
        <w:ind w:left="165"/>
      </w:pPr>
      <w:bookmarkStart w:name="_bookmark2507" w:id="2509"/>
      <w:bookmarkEnd w:id="2509"/>
      <w:r>
        <w:rPr/>
      </w:r>
      <w:hyperlink w:history="true" w:anchor="_bookmark2485">
        <w:r>
          <w:rPr>
            <w:color w:val="005DA1"/>
            <w:u w:val="single" w:color="005DA1"/>
            <w:vertAlign w:val="superscript"/>
          </w:rPr>
          <w:t>1307</w:t>
        </w:r>
      </w:hyperlink>
      <w:r>
        <w:rPr>
          <w:vertAlign w:val="superscript"/>
        </w:rPr>
        <w:t>.</w:t>
      </w:r>
      <w:r>
        <w:rPr>
          <w:spacing w:val="47"/>
          <w:vertAlign w:val="baseline"/>
        </w:rPr>
        <w:t>  </w:t>
      </w:r>
      <w:r>
        <w:rPr>
          <w:spacing w:val="23"/>
          <w:position w:val="-2"/>
          <w:vertAlign w:val="baseline"/>
        </w:rPr>
        <w:drawing>
          <wp:inline distT="0" distB="0" distL="0" distR="0">
            <wp:extent cx="107988" cy="107988"/>
            <wp:effectExtent l="0" t="0" r="0" b="0"/>
            <wp:docPr id="1167" name="Image 1167"/>
            <wp:cNvGraphicFramePr>
              <a:graphicFrameLocks/>
            </wp:cNvGraphicFramePr>
            <a:graphic>
              <a:graphicData uri="http://schemas.openxmlformats.org/drawingml/2006/picture">
                <pic:pic>
                  <pic:nvPicPr>
                    <pic:cNvPr id="1167" name="Image 116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Especially</w:t>
      </w:r>
      <w:r>
        <w:rPr>
          <w:spacing w:val="6"/>
          <w:vertAlign w:val="baseline"/>
        </w:rPr>
        <w:t> </w:t>
      </w:r>
      <w:r>
        <w:rPr>
          <w:vertAlign w:val="baseline"/>
        </w:rPr>
        <w:t>para.26-</w:t>
      </w:r>
      <w:r>
        <w:rPr>
          <w:spacing w:val="-2"/>
          <w:vertAlign w:val="baseline"/>
        </w:rPr>
        <w:t>216AB.</w:t>
      </w:r>
    </w:p>
    <w:p>
      <w:pPr>
        <w:pStyle w:val="BodyText"/>
        <w:spacing w:before="128"/>
      </w:pPr>
    </w:p>
    <w:p>
      <w:pPr>
        <w:spacing w:line="235" w:lineRule="auto" w:before="0"/>
        <w:ind w:left="705" w:right="167" w:hanging="541"/>
        <w:jc w:val="both"/>
        <w:rPr>
          <w:sz w:val="20"/>
        </w:rPr>
      </w:pPr>
      <w:bookmarkStart w:name="_bookmark2508" w:id="2510"/>
      <w:bookmarkEnd w:id="2510"/>
      <w:r>
        <w:rPr/>
      </w:r>
      <w:hyperlink w:history="true" w:anchor="_bookmark2486">
        <w:r>
          <w:rPr>
            <w:color w:val="005DA1"/>
            <w:sz w:val="20"/>
            <w:u w:val="single" w:color="005DA1"/>
            <w:vertAlign w:val="superscript"/>
          </w:rPr>
          <w:t>1308</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1168" name="Image 1168"/>
            <wp:cNvGraphicFramePr>
              <a:graphicFrameLocks/>
            </wp:cNvGraphicFramePr>
            <a:graphic>
              <a:graphicData uri="http://schemas.openxmlformats.org/drawingml/2006/picture">
                <pic:pic>
                  <pic:nvPicPr>
                    <pic:cNvPr id="1168" name="Image 116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w:t>
      </w:r>
      <w:r>
        <w:rPr>
          <w:rFonts w:ascii="Arial"/>
          <w:i/>
          <w:sz w:val="20"/>
          <w:vertAlign w:val="baseline"/>
        </w:rPr>
        <w:t>Cadogan Petroleum Holdings Ltd v Global Process Systems LLC [2013] EWHC </w:t>
      </w:r>
      <w:r>
        <w:rPr>
          <w:rFonts w:ascii="Arial"/>
          <w:i/>
          <w:sz w:val="20"/>
          <w:vertAlign w:val="baseline"/>
        </w:rPr>
        <w:t>214 (Comm) </w:t>
      </w:r>
      <w:r>
        <w:rPr>
          <w:sz w:val="20"/>
          <w:vertAlign w:val="baseline"/>
        </w:rPr>
        <w:t>at [34].</w:t>
      </w:r>
    </w:p>
    <w:p>
      <w:pPr>
        <w:pStyle w:val="BodyText"/>
        <w:spacing w:before="126"/>
      </w:pPr>
    </w:p>
    <w:p>
      <w:pPr>
        <w:spacing w:before="0"/>
        <w:ind w:left="165" w:right="0" w:firstLine="0"/>
        <w:jc w:val="left"/>
        <w:rPr>
          <w:sz w:val="20"/>
        </w:rPr>
      </w:pPr>
      <w:bookmarkStart w:name="_bookmark2509" w:id="2511"/>
      <w:bookmarkEnd w:id="2511"/>
      <w:r>
        <w:rPr/>
      </w:r>
      <w:hyperlink w:history="true" w:anchor="_bookmark2487">
        <w:r>
          <w:rPr>
            <w:color w:val="005DA1"/>
            <w:sz w:val="20"/>
            <w:u w:val="single" w:color="005DA1"/>
            <w:vertAlign w:val="superscript"/>
          </w:rPr>
          <w:t>1309</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169" name="Image 1169"/>
            <wp:cNvGraphicFramePr>
              <a:graphicFrameLocks/>
            </wp:cNvGraphicFramePr>
            <a:graphic>
              <a:graphicData uri="http://schemas.openxmlformats.org/drawingml/2006/picture">
                <pic:pic>
                  <pic:nvPicPr>
                    <pic:cNvPr id="1169" name="Image 116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[1993]</w:t>
      </w:r>
      <w:r>
        <w:rPr>
          <w:rFonts w:ascii="Arial"/>
          <w:i/>
          <w:spacing w:val="2"/>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573,</w:t>
      </w:r>
      <w:r>
        <w:rPr>
          <w:rFonts w:ascii="Arial"/>
          <w:i/>
          <w:spacing w:val="2"/>
          <w:sz w:val="20"/>
          <w:vertAlign w:val="baseline"/>
        </w:rPr>
        <w:t> </w:t>
      </w:r>
      <w:r>
        <w:rPr>
          <w:rFonts w:ascii="Arial"/>
          <w:i/>
          <w:sz w:val="20"/>
          <w:vertAlign w:val="baseline"/>
        </w:rPr>
        <w:t>578</w:t>
      </w:r>
      <w:r>
        <w:rPr>
          <w:sz w:val="20"/>
          <w:vertAlign w:val="baseline"/>
        </w:rPr>
        <w:t>.</w:t>
      </w:r>
      <w:r>
        <w:rPr>
          <w:spacing w:val="1"/>
          <w:sz w:val="20"/>
          <w:vertAlign w:val="baseline"/>
        </w:rPr>
        <w:t> </w:t>
      </w:r>
      <w:r>
        <w:rPr>
          <w:sz w:val="20"/>
          <w:vertAlign w:val="baseline"/>
        </w:rPr>
        <w:t>Law</w:t>
      </w:r>
      <w:r>
        <w:rPr>
          <w:spacing w:val="1"/>
          <w:sz w:val="20"/>
          <w:vertAlign w:val="baseline"/>
        </w:rPr>
        <w:t> </w:t>
      </w:r>
      <w:r>
        <w:rPr>
          <w:sz w:val="20"/>
          <w:vertAlign w:val="baseline"/>
        </w:rPr>
        <w:t>of</w:t>
      </w:r>
      <w:r>
        <w:rPr>
          <w:spacing w:val="2"/>
          <w:sz w:val="20"/>
          <w:vertAlign w:val="baseline"/>
        </w:rPr>
        <w:t> </w:t>
      </w:r>
      <w:r>
        <w:rPr>
          <w:sz w:val="20"/>
          <w:vertAlign w:val="baseline"/>
        </w:rPr>
        <w:t>Property</w:t>
      </w:r>
      <w:r>
        <w:rPr>
          <w:spacing w:val="1"/>
          <w:sz w:val="20"/>
          <w:vertAlign w:val="baseline"/>
        </w:rPr>
        <w:t> </w:t>
      </w:r>
      <w:r>
        <w:rPr>
          <w:sz w:val="20"/>
          <w:vertAlign w:val="baseline"/>
        </w:rPr>
        <w:t>Act</w:t>
      </w:r>
      <w:r>
        <w:rPr>
          <w:spacing w:val="1"/>
          <w:sz w:val="20"/>
          <w:vertAlign w:val="baseline"/>
        </w:rPr>
        <w:t> </w:t>
      </w:r>
      <w:r>
        <w:rPr>
          <w:sz w:val="20"/>
          <w:vertAlign w:val="baseline"/>
        </w:rPr>
        <w:t>1925</w:t>
      </w:r>
      <w:r>
        <w:rPr>
          <w:spacing w:val="2"/>
          <w:sz w:val="20"/>
          <w:vertAlign w:val="baseline"/>
        </w:rPr>
        <w:t> </w:t>
      </w:r>
      <w:r>
        <w:rPr>
          <w:sz w:val="20"/>
          <w:vertAlign w:val="baseline"/>
        </w:rPr>
        <w:t>s.49(2)</w:t>
      </w:r>
      <w:r>
        <w:rPr>
          <w:spacing w:val="1"/>
          <w:sz w:val="20"/>
          <w:vertAlign w:val="baseline"/>
        </w:rPr>
        <w:t> </w:t>
      </w:r>
      <w:r>
        <w:rPr>
          <w:sz w:val="20"/>
          <w:vertAlign w:val="baseline"/>
        </w:rPr>
        <w:t>did</w:t>
      </w:r>
      <w:r>
        <w:rPr>
          <w:spacing w:val="1"/>
          <w:sz w:val="20"/>
          <w:vertAlign w:val="baseline"/>
        </w:rPr>
        <w:t> </w:t>
      </w:r>
      <w:r>
        <w:rPr>
          <w:sz w:val="20"/>
          <w:vertAlign w:val="baseline"/>
        </w:rPr>
        <w:t>not</w:t>
      </w:r>
      <w:r>
        <w:rPr>
          <w:spacing w:val="2"/>
          <w:sz w:val="20"/>
          <w:vertAlign w:val="baseline"/>
        </w:rPr>
        <w:t> </w:t>
      </w:r>
      <w:r>
        <w:rPr>
          <w:spacing w:val="-2"/>
          <w:sz w:val="20"/>
          <w:vertAlign w:val="baseline"/>
        </w:rPr>
        <w:t>apply.</w:t>
      </w:r>
    </w:p>
    <w:p>
      <w:pPr>
        <w:pStyle w:val="BodyText"/>
        <w:spacing w:before="125"/>
      </w:pPr>
    </w:p>
    <w:p>
      <w:pPr>
        <w:spacing w:before="0"/>
        <w:ind w:left="165" w:right="0" w:firstLine="0"/>
        <w:jc w:val="left"/>
        <w:rPr>
          <w:sz w:val="20"/>
        </w:rPr>
      </w:pPr>
      <w:bookmarkStart w:name="_bookmark2510" w:id="2512"/>
      <w:bookmarkEnd w:id="2512"/>
      <w:r>
        <w:rPr/>
      </w:r>
      <w:hyperlink w:history="true" w:anchor="_bookmark2488">
        <w:r>
          <w:rPr>
            <w:color w:val="005DA1"/>
            <w:sz w:val="20"/>
            <w:u w:val="single" w:color="005DA1"/>
            <w:vertAlign w:val="superscript"/>
          </w:rPr>
          <w:t>1310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170" name="Image 1170"/>
            <wp:cNvGraphicFramePr>
              <a:graphicFrameLocks/>
            </wp:cNvGraphicFramePr>
            <a:graphic>
              <a:graphicData uri="http://schemas.openxmlformats.org/drawingml/2006/picture">
                <pic:pic>
                  <pic:nvPicPr>
                    <pic:cNvPr id="1170" name="Image 117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8"/>
      </w:pPr>
    </w:p>
    <w:p>
      <w:pPr>
        <w:pStyle w:val="BodyText"/>
        <w:spacing w:line="235" w:lineRule="auto" w:before="1"/>
        <w:ind w:left="705" w:right="167" w:hanging="541"/>
        <w:jc w:val="both"/>
      </w:pPr>
      <w:bookmarkStart w:name="_bookmark2511" w:id="2513"/>
      <w:bookmarkEnd w:id="2513"/>
      <w:r>
        <w:rPr/>
      </w:r>
      <w:hyperlink w:history="true" w:anchor="_bookmark2489">
        <w:r>
          <w:rPr>
            <w:color w:val="005DA1"/>
            <w:u w:val="single" w:color="005DA1"/>
            <w:vertAlign w:val="superscript"/>
          </w:rPr>
          <w:t>1311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171" name="Image 1171"/>
            <wp:cNvGraphicFramePr>
              <a:graphicFrameLocks/>
            </wp:cNvGraphicFramePr>
            <a:graphic>
              <a:graphicData uri="http://schemas.openxmlformats.org/drawingml/2006/picture">
                <pic:pic>
                  <pic:nvPicPr>
                    <pic:cNvPr id="1171" name="Image 117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w:t>
      </w:r>
      <w:r>
        <w:rPr>
          <w:rFonts w:ascii="Arial"/>
          <w:i/>
          <w:vertAlign w:val="baseline"/>
        </w:rPr>
        <w:t>[2015] UKSC 67 </w:t>
      </w:r>
      <w:r>
        <w:rPr>
          <w:vertAlign w:val="baseline"/>
        </w:rPr>
        <w:t>at [16] (Lords Neuberger and Sumption; see also at [35]); [238] (Lord Hodge; this was one of the paragraphs with which Lord Toulson (at [292]) said that he agreed); Lord</w:t>
      </w:r>
      <w:r>
        <w:rPr>
          <w:spacing w:val="-2"/>
          <w:vertAlign w:val="baseline"/>
        </w:rPr>
        <w:t> </w:t>
      </w:r>
      <w:r>
        <w:rPr>
          <w:vertAlign w:val="baseline"/>
        </w:rPr>
        <w:t>Mance</w:t>
      </w:r>
      <w:r>
        <w:rPr>
          <w:spacing w:val="-2"/>
          <w:vertAlign w:val="baseline"/>
        </w:rPr>
        <w:t> </w:t>
      </w:r>
      <w:r>
        <w:rPr>
          <w:vertAlign w:val="baseline"/>
        </w:rPr>
        <w:t>cited</w:t>
      </w:r>
      <w:r>
        <w:rPr>
          <w:spacing w:val="-2"/>
          <w:vertAlign w:val="baseline"/>
        </w:rPr>
        <w:t> </w:t>
      </w:r>
      <w:r>
        <w:rPr>
          <w:vertAlign w:val="baseline"/>
        </w:rPr>
        <w:t>the</w:t>
      </w:r>
      <w:r>
        <w:rPr>
          <w:spacing w:val="-2"/>
          <w:vertAlign w:val="baseline"/>
        </w:rPr>
        <w:t> </w:t>
      </w:r>
      <w:r>
        <w:rPr>
          <w:rFonts w:ascii="Arial"/>
          <w:i/>
          <w:vertAlign w:val="baseline"/>
        </w:rPr>
        <w:t>Workers</w:t>
      </w:r>
      <w:r>
        <w:rPr>
          <w:rFonts w:ascii="Arial"/>
          <w:i/>
          <w:spacing w:val="-2"/>
          <w:vertAlign w:val="baseline"/>
        </w:rPr>
        <w:t> </w:t>
      </w:r>
      <w:r>
        <w:rPr>
          <w:rFonts w:ascii="Arial"/>
          <w:i/>
          <w:vertAlign w:val="baseline"/>
        </w:rPr>
        <w:t>Trust</w:t>
      </w:r>
      <w:r>
        <w:rPr>
          <w:rFonts w:ascii="Arial"/>
          <w:i/>
          <w:spacing w:val="-2"/>
          <w:vertAlign w:val="baseline"/>
        </w:rPr>
        <w:t> </w:t>
      </w:r>
      <w:r>
        <w:rPr>
          <w:vertAlign w:val="baseline"/>
        </w:rPr>
        <w:t>case</w:t>
      </w:r>
      <w:r>
        <w:rPr>
          <w:spacing w:val="-2"/>
          <w:vertAlign w:val="baseline"/>
        </w:rPr>
        <w:t> </w:t>
      </w:r>
      <w:r>
        <w:rPr>
          <w:vertAlign w:val="baseline"/>
        </w:rPr>
        <w:t>with</w:t>
      </w:r>
      <w:r>
        <w:rPr>
          <w:spacing w:val="-2"/>
          <w:vertAlign w:val="baseline"/>
        </w:rPr>
        <w:t> </w:t>
      </w:r>
      <w:r>
        <w:rPr>
          <w:vertAlign w:val="baseline"/>
        </w:rPr>
        <w:t>apparent</w:t>
      </w:r>
      <w:r>
        <w:rPr>
          <w:spacing w:val="-2"/>
          <w:vertAlign w:val="baseline"/>
        </w:rPr>
        <w:t> </w:t>
      </w:r>
      <w:r>
        <w:rPr>
          <w:vertAlign w:val="baseline"/>
        </w:rPr>
        <w:t>approval</w:t>
      </w:r>
      <w:r>
        <w:rPr>
          <w:spacing w:val="-2"/>
          <w:vertAlign w:val="baseline"/>
        </w:rPr>
        <w:t> </w:t>
      </w:r>
      <w:r>
        <w:rPr>
          <w:vertAlign w:val="baseline"/>
        </w:rPr>
        <w:t>at</w:t>
      </w:r>
      <w:r>
        <w:rPr>
          <w:spacing w:val="-2"/>
          <w:vertAlign w:val="baseline"/>
        </w:rPr>
        <w:t> </w:t>
      </w:r>
      <w:r>
        <w:rPr>
          <w:vertAlign w:val="baseline"/>
        </w:rPr>
        <w:t>[156]</w:t>
      </w:r>
      <w:r>
        <w:rPr>
          <w:spacing w:val="-2"/>
          <w:vertAlign w:val="baseline"/>
        </w:rPr>
        <w:t> </w:t>
      </w:r>
      <w:r>
        <w:rPr>
          <w:vertAlign w:val="baseline"/>
        </w:rPr>
        <w:t>but</w:t>
      </w:r>
      <w:r>
        <w:rPr>
          <w:spacing w:val="-2"/>
          <w:vertAlign w:val="baseline"/>
        </w:rPr>
        <w:t> </w:t>
      </w:r>
      <w:r>
        <w:rPr>
          <w:vertAlign w:val="baseline"/>
        </w:rPr>
        <w:t>left</w:t>
      </w:r>
      <w:r>
        <w:rPr>
          <w:spacing w:val="-2"/>
          <w:vertAlign w:val="baseline"/>
        </w:rPr>
        <w:t> </w:t>
      </w:r>
      <w:r>
        <w:rPr>
          <w:vertAlign w:val="baseline"/>
        </w:rPr>
        <w:t>the</w:t>
      </w:r>
      <w:r>
        <w:rPr>
          <w:spacing w:val="-2"/>
          <w:vertAlign w:val="baseline"/>
        </w:rPr>
        <w:t> </w:t>
      </w:r>
      <w:r>
        <w:rPr>
          <w:vertAlign w:val="baseline"/>
        </w:rPr>
        <w:t>application of the penalty rules to deposits open: at [170]). Lord Clarke referred to forfeiture clauses but not specifically to deposits.</w:t>
      </w:r>
    </w:p>
    <w:p>
      <w:pPr>
        <w:pStyle w:val="BodyText"/>
        <w:spacing w:before="124"/>
      </w:pPr>
    </w:p>
    <w:p>
      <w:pPr>
        <w:pStyle w:val="BodyText"/>
        <w:ind w:left="165"/>
      </w:pPr>
      <w:bookmarkStart w:name="_bookmark2512" w:id="2514"/>
      <w:bookmarkEnd w:id="2514"/>
      <w:r>
        <w:rPr/>
      </w:r>
      <w:hyperlink w:history="true" w:anchor="_bookmark2490">
        <w:r>
          <w:rPr>
            <w:color w:val="005DA1"/>
            <w:u w:val="single" w:color="005DA1"/>
            <w:vertAlign w:val="superscript"/>
          </w:rPr>
          <w:t>1312</w:t>
        </w:r>
      </w:hyperlink>
      <w:r>
        <w:rPr>
          <w:vertAlign w:val="superscript"/>
        </w:rPr>
        <w:t>.</w:t>
      </w:r>
      <w:r>
        <w:rPr>
          <w:spacing w:val="42"/>
          <w:vertAlign w:val="baseline"/>
        </w:rPr>
        <w:t>  </w:t>
      </w:r>
      <w:r>
        <w:rPr>
          <w:spacing w:val="23"/>
          <w:position w:val="-2"/>
          <w:vertAlign w:val="baseline"/>
        </w:rPr>
        <w:drawing>
          <wp:inline distT="0" distB="0" distL="0" distR="0">
            <wp:extent cx="107988" cy="107988"/>
            <wp:effectExtent l="0" t="0" r="0" b="0"/>
            <wp:docPr id="1172" name="Image 1172"/>
            <wp:cNvGraphicFramePr>
              <a:graphicFrameLocks/>
            </wp:cNvGraphicFramePr>
            <a:graphic>
              <a:graphicData uri="http://schemas.openxmlformats.org/drawingml/2006/picture">
                <pic:pic>
                  <pic:nvPicPr>
                    <pic:cNvPr id="1172" name="Image 11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w:t>
      </w:r>
      <w:r>
        <w:rPr>
          <w:spacing w:val="1"/>
          <w:vertAlign w:val="baseline"/>
        </w:rPr>
        <w:t> </w:t>
      </w:r>
      <w:r>
        <w:rPr>
          <w:vertAlign w:val="baseline"/>
        </w:rPr>
        <w:t>Hodge</w:t>
      </w:r>
      <w:r>
        <w:rPr>
          <w:spacing w:val="1"/>
          <w:vertAlign w:val="baseline"/>
        </w:rPr>
        <w:t> </w:t>
      </w:r>
      <w:r>
        <w:rPr>
          <w:rFonts w:ascii="Arial"/>
          <w:i/>
          <w:vertAlign w:val="baseline"/>
        </w:rPr>
        <w:t>[2015]</w:t>
      </w:r>
      <w:r>
        <w:rPr>
          <w:rFonts w:ascii="Arial"/>
          <w:i/>
          <w:spacing w:val="1"/>
          <w:vertAlign w:val="baseline"/>
        </w:rPr>
        <w:t> </w:t>
      </w:r>
      <w:r>
        <w:rPr>
          <w:rFonts w:ascii="Arial"/>
          <w:i/>
          <w:vertAlign w:val="baseline"/>
        </w:rPr>
        <w:t>UKSC</w:t>
      </w:r>
      <w:r>
        <w:rPr>
          <w:rFonts w:ascii="Arial"/>
          <w:i/>
          <w:spacing w:val="2"/>
          <w:vertAlign w:val="baseline"/>
        </w:rPr>
        <w:t> </w:t>
      </w:r>
      <w:r>
        <w:rPr>
          <w:rFonts w:ascii="Arial"/>
          <w:i/>
          <w:vertAlign w:val="baseline"/>
        </w:rPr>
        <w:t>67</w:t>
      </w:r>
      <w:r>
        <w:rPr>
          <w:rFonts w:ascii="Arial"/>
          <w:i/>
          <w:spacing w:val="1"/>
          <w:vertAlign w:val="baseline"/>
        </w:rPr>
        <w:t> </w:t>
      </w:r>
      <w:r>
        <w:rPr>
          <w:vertAlign w:val="baseline"/>
        </w:rPr>
        <w:t>at</w:t>
      </w:r>
      <w:r>
        <w:rPr>
          <w:spacing w:val="1"/>
          <w:vertAlign w:val="baseline"/>
        </w:rPr>
        <w:t> </w:t>
      </w:r>
      <w:r>
        <w:rPr>
          <w:vertAlign w:val="baseline"/>
        </w:rPr>
        <w:t>[238].</w:t>
      </w:r>
      <w:r>
        <w:rPr>
          <w:spacing w:val="2"/>
          <w:vertAlign w:val="baseline"/>
        </w:rPr>
        <w:t> </w:t>
      </w:r>
      <w:r>
        <w:rPr>
          <w:vertAlign w:val="baseline"/>
        </w:rPr>
        <w:t>cf.</w:t>
      </w:r>
      <w:r>
        <w:rPr>
          <w:spacing w:val="1"/>
          <w:vertAlign w:val="baseline"/>
        </w:rPr>
        <w:t> </w:t>
      </w:r>
      <w:r>
        <w:rPr>
          <w:vertAlign w:val="baseline"/>
        </w:rPr>
        <w:t>above,</w:t>
      </w:r>
      <w:r>
        <w:rPr>
          <w:spacing w:val="2"/>
          <w:vertAlign w:val="baseline"/>
        </w:rPr>
        <w:t> </w:t>
      </w:r>
      <w:r>
        <w:rPr>
          <w:vertAlign w:val="baseline"/>
        </w:rPr>
        <w:t>para.26-216P</w:t>
      </w:r>
      <w:r>
        <w:rPr>
          <w:spacing w:val="2"/>
          <w:vertAlign w:val="baseline"/>
        </w:rPr>
        <w:t> </w:t>
      </w:r>
      <w:r>
        <w:rPr>
          <w:spacing w:val="-2"/>
          <w:vertAlign w:val="baseline"/>
        </w:rPr>
        <w:t>n.1118dc.</w:t>
      </w:r>
    </w:p>
    <w:p>
      <w:pPr>
        <w:pStyle w:val="BodyText"/>
        <w:spacing w:before="125"/>
      </w:pPr>
    </w:p>
    <w:p>
      <w:pPr>
        <w:pStyle w:val="BodyText"/>
        <w:ind w:left="165"/>
      </w:pPr>
      <w:bookmarkStart w:name="_bookmark2513" w:id="2515"/>
      <w:bookmarkEnd w:id="2515"/>
      <w:r>
        <w:rPr/>
      </w:r>
      <w:hyperlink w:history="true" w:anchor="_bookmark2491">
        <w:r>
          <w:rPr>
            <w:color w:val="005DA1"/>
            <w:u w:val="single" w:color="005DA1"/>
            <w:vertAlign w:val="superscript"/>
          </w:rPr>
          <w:t>1313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173" name="Image 1173"/>
            <wp:cNvGraphicFramePr>
              <a:graphicFrameLocks/>
            </wp:cNvGraphicFramePr>
            <a:graphic>
              <a:graphicData uri="http://schemas.openxmlformats.org/drawingml/2006/picture">
                <pic:pic>
                  <pic:nvPicPr>
                    <pic:cNvPr id="1173" name="Image 11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para.27-</w:t>
      </w:r>
      <w:r>
        <w:rPr>
          <w:spacing w:val="-4"/>
          <w:vertAlign w:val="baseline"/>
        </w:rPr>
        <w:t>007.</w:t>
      </w:r>
    </w:p>
    <w:p>
      <w:pPr>
        <w:pStyle w:val="BodyText"/>
        <w:spacing w:before="125"/>
      </w:pPr>
    </w:p>
    <w:p>
      <w:pPr>
        <w:pStyle w:val="BodyText"/>
        <w:ind w:left="165"/>
      </w:pPr>
      <w:bookmarkStart w:name="_bookmark2514" w:id="2516"/>
      <w:bookmarkEnd w:id="2516"/>
      <w:r>
        <w:rPr/>
      </w:r>
      <w:hyperlink w:history="true" w:anchor="_bookmark2492">
        <w:r>
          <w:rPr>
            <w:color w:val="005DA1"/>
            <w:u w:val="single" w:color="005DA1"/>
            <w:vertAlign w:val="superscript"/>
          </w:rPr>
          <w:t>1314</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174" name="Image 1174"/>
            <wp:cNvGraphicFramePr>
              <a:graphicFrameLocks/>
            </wp:cNvGraphicFramePr>
            <a:graphic>
              <a:graphicData uri="http://schemas.openxmlformats.org/drawingml/2006/picture">
                <pic:pic>
                  <pic:nvPicPr>
                    <pic:cNvPr id="1174" name="Image 11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198.</w:t>
      </w:r>
    </w:p>
    <w:p>
      <w:pPr>
        <w:pStyle w:val="BodyText"/>
        <w:spacing w:before="125"/>
      </w:pPr>
    </w:p>
    <w:p>
      <w:pPr>
        <w:pStyle w:val="BodyText"/>
        <w:ind w:left="165"/>
      </w:pPr>
      <w:bookmarkStart w:name="_bookmark2515" w:id="2517"/>
      <w:bookmarkEnd w:id="2517"/>
      <w:r>
        <w:rPr/>
      </w:r>
      <w:hyperlink w:history="true" w:anchor="_bookmark2493">
        <w:r>
          <w:rPr>
            <w:color w:val="005DA1"/>
            <w:u w:val="single" w:color="005DA1"/>
            <w:vertAlign w:val="superscript"/>
          </w:rPr>
          <w:t>1315</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175" name="Image 1175"/>
            <wp:cNvGraphicFramePr>
              <a:graphicFrameLocks/>
            </wp:cNvGraphicFramePr>
            <a:graphic>
              <a:graphicData uri="http://schemas.openxmlformats.org/drawingml/2006/picture">
                <pic:pic>
                  <pic:nvPicPr>
                    <pic:cNvPr id="1175" name="Image 11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If</w:t>
      </w:r>
      <w:r>
        <w:rPr>
          <w:spacing w:val="42"/>
          <w:vertAlign w:val="baseline"/>
        </w:rPr>
        <w:t> </w:t>
      </w:r>
      <w:r>
        <w:rPr>
          <w:vertAlign w:val="baseline"/>
        </w:rPr>
        <w:t>the</w:t>
      </w:r>
      <w:r>
        <w:rPr>
          <w:spacing w:val="41"/>
          <w:vertAlign w:val="baseline"/>
        </w:rPr>
        <w:t> </w:t>
      </w:r>
      <w:r>
        <w:rPr>
          <w:vertAlign w:val="baseline"/>
        </w:rPr>
        <w:t>sale</w:t>
      </w:r>
      <w:r>
        <w:rPr>
          <w:spacing w:val="41"/>
          <w:vertAlign w:val="baseline"/>
        </w:rPr>
        <w:t> </w:t>
      </w:r>
      <w:r>
        <w:rPr>
          <w:vertAlign w:val="baseline"/>
        </w:rPr>
        <w:t>is</w:t>
      </w:r>
      <w:r>
        <w:rPr>
          <w:spacing w:val="41"/>
          <w:vertAlign w:val="baseline"/>
        </w:rPr>
        <w:t> </w:t>
      </w:r>
      <w:r>
        <w:rPr>
          <w:vertAlign w:val="baseline"/>
        </w:rPr>
        <w:t>to</w:t>
      </w:r>
      <w:r>
        <w:rPr>
          <w:spacing w:val="41"/>
          <w:vertAlign w:val="baseline"/>
        </w:rPr>
        <w:t> </w:t>
      </w:r>
      <w:r>
        <w:rPr>
          <w:vertAlign w:val="baseline"/>
        </w:rPr>
        <w:t>a</w:t>
      </w:r>
      <w:r>
        <w:rPr>
          <w:spacing w:val="42"/>
          <w:vertAlign w:val="baseline"/>
        </w:rPr>
        <w:t> </w:t>
      </w:r>
      <w:r>
        <w:rPr>
          <w:vertAlign w:val="baseline"/>
        </w:rPr>
        <w:t>consumer,</w:t>
      </w:r>
      <w:r>
        <w:rPr>
          <w:spacing w:val="41"/>
          <w:vertAlign w:val="baseline"/>
        </w:rPr>
        <w:t> </w:t>
      </w:r>
      <w:r>
        <w:rPr>
          <w:vertAlign w:val="baseline"/>
        </w:rPr>
        <w:t>the</w:t>
      </w:r>
      <w:r>
        <w:rPr>
          <w:spacing w:val="41"/>
          <w:vertAlign w:val="baseline"/>
        </w:rPr>
        <w:t> </w:t>
      </w:r>
      <w:r>
        <w:rPr>
          <w:vertAlign w:val="baseline"/>
        </w:rPr>
        <w:t>deposit</w:t>
      </w:r>
      <w:r>
        <w:rPr>
          <w:spacing w:val="41"/>
          <w:vertAlign w:val="baseline"/>
        </w:rPr>
        <w:t> </w:t>
      </w:r>
      <w:r>
        <w:rPr>
          <w:vertAlign w:val="baseline"/>
        </w:rPr>
        <w:t>might</w:t>
      </w:r>
      <w:r>
        <w:rPr>
          <w:spacing w:val="41"/>
          <w:vertAlign w:val="baseline"/>
        </w:rPr>
        <w:t> </w:t>
      </w:r>
      <w:r>
        <w:rPr>
          <w:vertAlign w:val="baseline"/>
        </w:rPr>
        <w:t>be</w:t>
      </w:r>
      <w:r>
        <w:rPr>
          <w:spacing w:val="42"/>
          <w:vertAlign w:val="baseline"/>
        </w:rPr>
        <w:t> </w:t>
      </w:r>
      <w:r>
        <w:rPr>
          <w:vertAlign w:val="baseline"/>
        </w:rPr>
        <w:t>challenged</w:t>
      </w:r>
      <w:r>
        <w:rPr>
          <w:spacing w:val="41"/>
          <w:vertAlign w:val="baseline"/>
        </w:rPr>
        <w:t> </w:t>
      </w:r>
      <w:r>
        <w:rPr>
          <w:vertAlign w:val="baseline"/>
        </w:rPr>
        <w:t>under</w:t>
      </w:r>
      <w:r>
        <w:rPr>
          <w:spacing w:val="41"/>
          <w:vertAlign w:val="baseline"/>
        </w:rPr>
        <w:t> </w:t>
      </w:r>
      <w:r>
        <w:rPr>
          <w:vertAlign w:val="baseline"/>
        </w:rPr>
        <w:t>the</w:t>
      </w:r>
      <w:r>
        <w:rPr>
          <w:spacing w:val="41"/>
          <w:vertAlign w:val="baseline"/>
        </w:rPr>
        <w:t> </w:t>
      </w:r>
      <w:r>
        <w:rPr>
          <w:vertAlign w:val="baseline"/>
        </w:rPr>
        <w:t>Unfair</w:t>
      </w:r>
      <w:r>
        <w:rPr>
          <w:spacing w:val="42"/>
          <w:vertAlign w:val="baseline"/>
        </w:rPr>
        <w:t> </w:t>
      </w:r>
      <w:r>
        <w:rPr>
          <w:vertAlign w:val="baseline"/>
        </w:rPr>
        <w:t>Terms</w:t>
      </w:r>
      <w:r>
        <w:rPr>
          <w:spacing w:val="41"/>
          <w:vertAlign w:val="baseline"/>
        </w:rPr>
        <w:t> </w:t>
      </w:r>
      <w:r>
        <w:rPr>
          <w:spacing w:val="-5"/>
          <w:vertAlign w:val="baseline"/>
        </w:rPr>
        <w:t>in</w:t>
      </w:r>
    </w:p>
    <w:p>
      <w:pPr>
        <w:pStyle w:val="BodyText"/>
        <w:spacing w:after="0"/>
        <w:sectPr>
          <w:pgSz w:w="11900" w:h="16840"/>
          <w:pgMar w:header="971" w:footer="0" w:top="1300" w:bottom="280" w:left="1275" w:right="1275"/>
        </w:sectPr>
      </w:pPr>
    </w:p>
    <w:p>
      <w:pPr>
        <w:pStyle w:val="BodyText"/>
        <w:spacing w:line="235" w:lineRule="auto" w:before="110"/>
        <w:ind w:left="705" w:right="167"/>
        <w:jc w:val="both"/>
      </w:pPr>
      <w:r>
        <w:rPr/>
        <w:t>Consumer Contract Regulations 1999 or the Consumer Rights Act 2015 s.62, see below, </w:t>
      </w:r>
      <w:r>
        <w:rPr>
          <w:spacing w:val="-2"/>
        </w:rPr>
        <w:t>para.26-216AB.</w:t>
      </w:r>
    </w:p>
    <w:p>
      <w:pPr>
        <w:pStyle w:val="BodyText"/>
        <w:spacing w:before="13"/>
      </w:pPr>
    </w:p>
    <w:p>
      <w:pPr>
        <w:spacing w:line="137" w:lineRule="exact" w:before="0"/>
        <w:ind w:left="165" w:right="0" w:firstLine="0"/>
        <w:jc w:val="left"/>
        <w:rPr>
          <w:sz w:val="14"/>
        </w:rPr>
      </w:pPr>
      <w:bookmarkStart w:name="_bookmark2516" w:id="2518"/>
      <w:bookmarkEnd w:id="2518"/>
      <w:r>
        <w:rPr/>
      </w:r>
      <w:hyperlink w:history="true" w:anchor="_bookmark2494">
        <w:r>
          <w:rPr>
            <w:color w:val="005DA1"/>
            <w:spacing w:val="-2"/>
            <w:sz w:val="14"/>
            <w:u w:val="single" w:color="005DA1"/>
          </w:rPr>
          <w:t>1316</w:t>
        </w:r>
      </w:hyperlink>
      <w:r>
        <w:rPr>
          <w:spacing w:val="-2"/>
          <w:sz w:val="14"/>
        </w:rPr>
        <w:t>.</w:t>
      </w:r>
    </w:p>
    <w:p>
      <w:pPr>
        <w:pStyle w:val="BodyText"/>
        <w:spacing w:line="206" w:lineRule="exact"/>
        <w:ind w:left="875"/>
      </w:pPr>
      <w:r>
        <w:rPr/>
        <w:drawing>
          <wp:anchor distT="0" distB="0" distL="0" distR="0" allowOverlap="1" layoutInCell="1" locked="0" behindDoc="0" simplePos="0" relativeHeight="15875584">
            <wp:simplePos x="0" y="0"/>
            <wp:positionH relativeFrom="page">
              <wp:posOffset>1257846</wp:posOffset>
            </wp:positionH>
            <wp:positionV relativeFrom="paragraph">
              <wp:posOffset>12787</wp:posOffset>
            </wp:positionV>
            <wp:extent cx="107988" cy="107988"/>
            <wp:effectExtent l="0" t="0" r="0" b="0"/>
            <wp:wrapNone/>
            <wp:docPr id="1176" name="Image 1176"/>
            <wp:cNvGraphicFramePr>
              <a:graphicFrameLocks/>
            </wp:cNvGraphicFramePr>
            <a:graphic>
              <a:graphicData uri="http://schemas.openxmlformats.org/drawingml/2006/picture">
                <pic:pic>
                  <pic:nvPicPr>
                    <pic:cNvPr id="1176" name="Image 1176"/>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204.</w:t>
      </w:r>
    </w:p>
    <w:p>
      <w:pPr>
        <w:pStyle w:val="BodyText"/>
        <w:spacing w:before="12"/>
      </w:pPr>
    </w:p>
    <w:p>
      <w:pPr>
        <w:spacing w:line="137" w:lineRule="exact" w:before="0"/>
        <w:ind w:left="165" w:right="0" w:firstLine="0"/>
        <w:jc w:val="left"/>
        <w:rPr>
          <w:sz w:val="14"/>
        </w:rPr>
      </w:pPr>
      <w:bookmarkStart w:name="_bookmark2517" w:id="2519"/>
      <w:bookmarkEnd w:id="2519"/>
      <w:r>
        <w:rPr/>
      </w:r>
      <w:hyperlink w:history="true" w:anchor="_bookmark2495">
        <w:r>
          <w:rPr>
            <w:color w:val="005DA1"/>
            <w:spacing w:val="-2"/>
            <w:sz w:val="14"/>
            <w:u w:val="single" w:color="005DA1"/>
          </w:rPr>
          <w:t>1317</w:t>
        </w:r>
      </w:hyperlink>
      <w:r>
        <w:rPr>
          <w:spacing w:val="-2"/>
          <w:sz w:val="14"/>
        </w:rPr>
        <w:t>.</w:t>
      </w:r>
    </w:p>
    <w:p>
      <w:pPr>
        <w:pStyle w:val="BodyText"/>
        <w:spacing w:line="206" w:lineRule="exact"/>
        <w:ind w:left="875"/>
      </w:pPr>
      <w:r>
        <w:rPr/>
        <w:drawing>
          <wp:anchor distT="0" distB="0" distL="0" distR="0" allowOverlap="1" layoutInCell="1" locked="0" behindDoc="0" simplePos="0" relativeHeight="15876096">
            <wp:simplePos x="0" y="0"/>
            <wp:positionH relativeFrom="page">
              <wp:posOffset>1257846</wp:posOffset>
            </wp:positionH>
            <wp:positionV relativeFrom="paragraph">
              <wp:posOffset>12938</wp:posOffset>
            </wp:positionV>
            <wp:extent cx="107988" cy="107988"/>
            <wp:effectExtent l="0" t="0" r="0" b="0"/>
            <wp:wrapNone/>
            <wp:docPr id="1177" name="Image 1177"/>
            <wp:cNvGraphicFramePr>
              <a:graphicFrameLocks/>
            </wp:cNvGraphicFramePr>
            <a:graphic>
              <a:graphicData uri="http://schemas.openxmlformats.org/drawingml/2006/picture">
                <pic:pic>
                  <pic:nvPicPr>
                    <pic:cNvPr id="1177" name="Image 1177"/>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182.</w:t>
      </w:r>
    </w:p>
    <w:p>
      <w:pPr>
        <w:pStyle w:val="BodyText"/>
        <w:spacing w:before="12"/>
      </w:pPr>
    </w:p>
    <w:p>
      <w:pPr>
        <w:spacing w:line="137" w:lineRule="exact" w:before="0"/>
        <w:ind w:left="165" w:right="0" w:firstLine="0"/>
        <w:jc w:val="left"/>
        <w:rPr>
          <w:sz w:val="14"/>
        </w:rPr>
      </w:pPr>
      <w:bookmarkStart w:name="_bookmark2518" w:id="2520"/>
      <w:bookmarkEnd w:id="2520"/>
      <w:r>
        <w:rPr/>
      </w:r>
      <w:hyperlink w:history="true" w:anchor="_bookmark2496">
        <w:r>
          <w:rPr>
            <w:color w:val="005DA1"/>
            <w:spacing w:val="-2"/>
            <w:sz w:val="14"/>
            <w:u w:val="single" w:color="005DA1"/>
          </w:rPr>
          <w:t>1318</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76608">
            <wp:simplePos x="0" y="0"/>
            <wp:positionH relativeFrom="page">
              <wp:posOffset>1257846</wp:posOffset>
            </wp:positionH>
            <wp:positionV relativeFrom="paragraph">
              <wp:posOffset>13090</wp:posOffset>
            </wp:positionV>
            <wp:extent cx="107988" cy="107988"/>
            <wp:effectExtent l="0" t="0" r="0" b="0"/>
            <wp:wrapNone/>
            <wp:docPr id="1178" name="Image 1178"/>
            <wp:cNvGraphicFramePr>
              <a:graphicFrameLocks/>
            </wp:cNvGraphicFramePr>
            <a:graphic>
              <a:graphicData uri="http://schemas.openxmlformats.org/drawingml/2006/picture">
                <pic:pic>
                  <pic:nvPicPr>
                    <pic:cNvPr id="1178" name="Image 117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 [2016] A.C. </w:t>
      </w:r>
      <w:r>
        <w:rPr>
          <w:rFonts w:ascii="Arial"/>
          <w:i/>
          <w:spacing w:val="-2"/>
          <w:sz w:val="20"/>
        </w:rPr>
        <w:t>1172</w:t>
      </w:r>
      <w:r>
        <w:rPr>
          <w:spacing w:val="-2"/>
          <w:sz w:val="20"/>
        </w:rPr>
        <w:t>.</w:t>
      </w:r>
    </w:p>
    <w:p>
      <w:pPr>
        <w:pStyle w:val="BodyText"/>
        <w:spacing w:before="12"/>
      </w:pPr>
    </w:p>
    <w:p>
      <w:pPr>
        <w:spacing w:line="137" w:lineRule="exact" w:before="1"/>
        <w:ind w:left="165" w:right="0" w:firstLine="0"/>
        <w:jc w:val="left"/>
        <w:rPr>
          <w:sz w:val="14"/>
        </w:rPr>
      </w:pPr>
      <w:bookmarkStart w:name="_bookmark2519" w:id="2521"/>
      <w:bookmarkEnd w:id="2521"/>
      <w:r>
        <w:rPr/>
      </w:r>
      <w:hyperlink w:history="true" w:anchor="_bookmark2497">
        <w:r>
          <w:rPr>
            <w:color w:val="005DA1"/>
            <w:spacing w:val="-2"/>
            <w:sz w:val="14"/>
            <w:u w:val="single" w:color="005DA1"/>
          </w:rPr>
          <w:t>1319</w:t>
        </w:r>
      </w:hyperlink>
      <w:r>
        <w:rPr>
          <w:spacing w:val="-2"/>
          <w:sz w:val="14"/>
        </w:rPr>
        <w:t>.</w:t>
      </w:r>
    </w:p>
    <w:p>
      <w:pPr>
        <w:pStyle w:val="BodyText"/>
        <w:spacing w:line="203" w:lineRule="exact"/>
        <w:ind w:left="875"/>
      </w:pPr>
      <w:r>
        <w:rPr/>
        <w:drawing>
          <wp:anchor distT="0" distB="0" distL="0" distR="0" allowOverlap="1" layoutInCell="1" locked="0" behindDoc="0" simplePos="0" relativeHeight="15877120">
            <wp:simplePos x="0" y="0"/>
            <wp:positionH relativeFrom="page">
              <wp:posOffset>1257846</wp:posOffset>
            </wp:positionH>
            <wp:positionV relativeFrom="paragraph">
              <wp:posOffset>12607</wp:posOffset>
            </wp:positionV>
            <wp:extent cx="107988" cy="107988"/>
            <wp:effectExtent l="0" t="0" r="0" b="0"/>
            <wp:wrapNone/>
            <wp:docPr id="1179" name="Image 1179"/>
            <wp:cNvGraphicFramePr>
              <a:graphicFrameLocks/>
            </wp:cNvGraphicFramePr>
            <a:graphic>
              <a:graphicData uri="http://schemas.openxmlformats.org/drawingml/2006/picture">
                <pic:pic>
                  <pic:nvPicPr>
                    <pic:cNvPr id="1179" name="Image 1179"/>
                    <pic:cNvPicPr/>
                  </pic:nvPicPr>
                  <pic:blipFill>
                    <a:blip r:embed="rId6" cstate="print"/>
                    <a:stretch>
                      <a:fillRect/>
                    </a:stretch>
                  </pic:blipFill>
                  <pic:spPr>
                    <a:xfrm>
                      <a:off x="0" y="0"/>
                      <a:ext cx="107988" cy="107988"/>
                    </a:xfrm>
                    <a:prstGeom prst="rect">
                      <a:avLst/>
                    </a:prstGeom>
                  </pic:spPr>
                </pic:pic>
              </a:graphicData>
            </a:graphic>
          </wp:anchor>
        </w:drawing>
      </w:r>
      <w:r>
        <w:rPr/>
        <w:t>Lord</w:t>
      </w:r>
      <w:r>
        <w:rPr>
          <w:spacing w:val="2"/>
        </w:rPr>
        <w:t> </w:t>
      </w:r>
      <w:r>
        <w:rPr/>
        <w:t>Hodge</w:t>
      </w:r>
      <w:r>
        <w:rPr>
          <w:spacing w:val="2"/>
        </w:rPr>
        <w:t> </w:t>
      </w:r>
      <w:r>
        <w:rPr/>
        <w:t>said</w:t>
      </w:r>
      <w:r>
        <w:rPr>
          <w:spacing w:val="2"/>
        </w:rPr>
        <w:t> </w:t>
      </w:r>
      <w:r>
        <w:rPr/>
        <w:t>that</w:t>
      </w:r>
      <w:r>
        <w:rPr>
          <w:spacing w:val="2"/>
        </w:rPr>
        <w:t> </w:t>
      </w:r>
      <w:r>
        <w:rPr/>
        <w:t>the</w:t>
      </w:r>
      <w:r>
        <w:rPr>
          <w:spacing w:val="2"/>
        </w:rPr>
        <w:t> </w:t>
      </w:r>
      <w:r>
        <w:rPr/>
        <w:t>customary</w:t>
      </w:r>
      <w:r>
        <w:rPr>
          <w:spacing w:val="2"/>
        </w:rPr>
        <w:t> </w:t>
      </w:r>
      <w:r>
        <w:rPr/>
        <w:t>10</w:t>
      </w:r>
      <w:r>
        <w:rPr>
          <w:spacing w:val="2"/>
        </w:rPr>
        <w:t> </w:t>
      </w:r>
      <w:r>
        <w:rPr/>
        <w:t>per</w:t>
      </w:r>
      <w:r>
        <w:rPr>
          <w:spacing w:val="2"/>
        </w:rPr>
        <w:t> </w:t>
      </w:r>
      <w:r>
        <w:rPr/>
        <w:t>cent</w:t>
      </w:r>
      <w:r>
        <w:rPr>
          <w:spacing w:val="2"/>
        </w:rPr>
        <w:t> </w:t>
      </w:r>
      <w:r>
        <w:rPr/>
        <w:t>deposit</w:t>
      </w:r>
      <w:r>
        <w:rPr>
          <w:spacing w:val="2"/>
        </w:rPr>
        <w:t> </w:t>
      </w:r>
      <w:r>
        <w:rPr/>
        <w:t>was</w:t>
      </w:r>
      <w:r>
        <w:rPr>
          <w:spacing w:val="2"/>
        </w:rPr>
        <w:t> </w:t>
      </w:r>
      <w:r>
        <w:rPr/>
        <w:t>exempt</w:t>
      </w:r>
      <w:r>
        <w:rPr>
          <w:spacing w:val="2"/>
        </w:rPr>
        <w:t> </w:t>
      </w:r>
      <w:r>
        <w:rPr/>
        <w:t>as</w:t>
      </w:r>
      <w:r>
        <w:rPr>
          <w:spacing w:val="2"/>
        </w:rPr>
        <w:t> </w:t>
      </w:r>
      <w:r>
        <w:rPr/>
        <w:t>“earnest</w:t>
      </w:r>
      <w:r>
        <w:rPr>
          <w:spacing w:val="2"/>
        </w:rPr>
        <w:t> </w:t>
      </w:r>
      <w:r>
        <w:rPr/>
        <w:t>money”:</w:t>
      </w:r>
      <w:r>
        <w:rPr>
          <w:spacing w:val="2"/>
        </w:rPr>
        <w:t> </w:t>
      </w:r>
      <w:r>
        <w:rPr>
          <w:spacing w:val="-5"/>
        </w:rPr>
        <w:t>see</w:t>
      </w:r>
    </w:p>
    <w:p>
      <w:pPr>
        <w:pStyle w:val="BodyText"/>
        <w:spacing w:line="235" w:lineRule="auto" w:before="1"/>
        <w:ind w:left="705" w:right="167"/>
        <w:jc w:val="both"/>
      </w:pPr>
      <w:r>
        <w:rPr/>
        <w:t>above, para.26-216Q. If this is the correct explanation, the issue discussed in the present paragraph does not arise.</w:t>
      </w:r>
    </w:p>
    <w:p>
      <w:pPr>
        <w:pStyle w:val="BodyText"/>
        <w:spacing w:before="12"/>
      </w:pPr>
    </w:p>
    <w:p>
      <w:pPr>
        <w:spacing w:line="137" w:lineRule="exact" w:before="1"/>
        <w:ind w:left="165" w:right="0" w:firstLine="0"/>
        <w:jc w:val="left"/>
        <w:rPr>
          <w:sz w:val="14"/>
        </w:rPr>
      </w:pPr>
      <w:bookmarkStart w:name="_bookmark2520" w:id="2522"/>
      <w:bookmarkEnd w:id="2522"/>
      <w:r>
        <w:rPr/>
      </w:r>
      <w:hyperlink w:history="true" w:anchor="_bookmark2498">
        <w:r>
          <w:rPr>
            <w:color w:val="005DA1"/>
            <w:spacing w:val="-2"/>
            <w:sz w:val="14"/>
            <w:u w:val="single" w:color="005DA1"/>
          </w:rPr>
          <w:t>1320</w:t>
        </w:r>
      </w:hyperlink>
      <w:r>
        <w:rPr>
          <w:spacing w:val="-2"/>
          <w:sz w:val="14"/>
        </w:rPr>
        <w:t>.</w:t>
      </w:r>
    </w:p>
    <w:p>
      <w:pPr>
        <w:pStyle w:val="BodyText"/>
        <w:spacing w:line="206" w:lineRule="exact"/>
        <w:ind w:left="875"/>
      </w:pPr>
      <w:r>
        <w:rPr/>
        <w:drawing>
          <wp:anchor distT="0" distB="0" distL="0" distR="0" allowOverlap="1" layoutInCell="1" locked="0" behindDoc="0" simplePos="0" relativeHeight="15877632">
            <wp:simplePos x="0" y="0"/>
            <wp:positionH relativeFrom="page">
              <wp:posOffset>1257846</wp:posOffset>
            </wp:positionH>
            <wp:positionV relativeFrom="paragraph">
              <wp:posOffset>12586</wp:posOffset>
            </wp:positionV>
            <wp:extent cx="107988" cy="107988"/>
            <wp:effectExtent l="0" t="0" r="0" b="0"/>
            <wp:wrapNone/>
            <wp:docPr id="1180" name="Image 1180"/>
            <wp:cNvGraphicFramePr>
              <a:graphicFrameLocks/>
            </wp:cNvGraphicFramePr>
            <a:graphic>
              <a:graphicData uri="http://schemas.openxmlformats.org/drawingml/2006/picture">
                <pic:pic>
                  <pic:nvPicPr>
                    <pic:cNvPr id="1180" name="Image 1180"/>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178.</w:t>
      </w:r>
    </w:p>
    <w:p>
      <w:pPr>
        <w:pStyle w:val="BodyText"/>
        <w:spacing w:before="12"/>
      </w:pPr>
    </w:p>
    <w:p>
      <w:pPr>
        <w:spacing w:line="137" w:lineRule="exact" w:before="0"/>
        <w:ind w:left="165" w:right="0" w:firstLine="0"/>
        <w:jc w:val="left"/>
        <w:rPr>
          <w:sz w:val="14"/>
        </w:rPr>
      </w:pPr>
      <w:bookmarkStart w:name="_bookmark2521" w:id="2523"/>
      <w:bookmarkEnd w:id="2523"/>
      <w:r>
        <w:rPr/>
      </w:r>
      <w:hyperlink w:history="true" w:anchor="_bookmark2499">
        <w:r>
          <w:rPr>
            <w:color w:val="005DA1"/>
            <w:spacing w:val="-2"/>
            <w:sz w:val="14"/>
            <w:u w:val="single" w:color="005DA1"/>
          </w:rPr>
          <w:t>1321</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78144">
            <wp:simplePos x="0" y="0"/>
            <wp:positionH relativeFrom="page">
              <wp:posOffset>1257846</wp:posOffset>
            </wp:positionH>
            <wp:positionV relativeFrom="paragraph">
              <wp:posOffset>12737</wp:posOffset>
            </wp:positionV>
            <wp:extent cx="107988" cy="107988"/>
            <wp:effectExtent l="0" t="0" r="0" b="0"/>
            <wp:wrapNone/>
            <wp:docPr id="1181" name="Image 1181"/>
            <wp:cNvGraphicFramePr>
              <a:graphicFrameLocks/>
            </wp:cNvGraphicFramePr>
            <a:graphic>
              <a:graphicData uri="http://schemas.openxmlformats.org/drawingml/2006/picture">
                <pic:pic>
                  <pic:nvPicPr>
                    <pic:cNvPr id="1181" name="Image 11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Lock</w:t>
      </w:r>
      <w:r>
        <w:rPr>
          <w:rFonts w:ascii="Arial"/>
          <w:i/>
          <w:spacing w:val="10"/>
          <w:sz w:val="20"/>
        </w:rPr>
        <w:t> </w:t>
      </w:r>
      <w:r>
        <w:rPr>
          <w:rFonts w:ascii="Arial"/>
          <w:i/>
          <w:sz w:val="20"/>
        </w:rPr>
        <w:t>v</w:t>
      </w:r>
      <w:r>
        <w:rPr>
          <w:rFonts w:ascii="Arial"/>
          <w:i/>
          <w:spacing w:val="13"/>
          <w:sz w:val="20"/>
        </w:rPr>
        <w:t> </w:t>
      </w:r>
      <w:r>
        <w:rPr>
          <w:rFonts w:ascii="Arial"/>
          <w:i/>
          <w:sz w:val="20"/>
        </w:rPr>
        <w:t>Bell</w:t>
      </w:r>
      <w:r>
        <w:rPr>
          <w:rFonts w:ascii="Arial"/>
          <w:i/>
          <w:spacing w:val="13"/>
          <w:sz w:val="20"/>
        </w:rPr>
        <w:t> </w:t>
      </w:r>
      <w:r>
        <w:rPr>
          <w:rFonts w:ascii="Arial"/>
          <w:i/>
          <w:sz w:val="20"/>
        </w:rPr>
        <w:t>[1931]</w:t>
      </w:r>
      <w:r>
        <w:rPr>
          <w:rFonts w:ascii="Arial"/>
          <w:i/>
          <w:spacing w:val="13"/>
          <w:sz w:val="20"/>
        </w:rPr>
        <w:t> </w:t>
      </w:r>
      <w:r>
        <w:rPr>
          <w:rFonts w:ascii="Arial"/>
          <w:i/>
          <w:sz w:val="20"/>
        </w:rPr>
        <w:t>1</w:t>
      </w:r>
      <w:r>
        <w:rPr>
          <w:rFonts w:ascii="Arial"/>
          <w:i/>
          <w:spacing w:val="13"/>
          <w:sz w:val="20"/>
        </w:rPr>
        <w:t> </w:t>
      </w:r>
      <w:r>
        <w:rPr>
          <w:rFonts w:ascii="Arial"/>
          <w:i/>
          <w:sz w:val="20"/>
        </w:rPr>
        <w:t>Ch.</w:t>
      </w:r>
      <w:r>
        <w:rPr>
          <w:rFonts w:ascii="Arial"/>
          <w:i/>
          <w:spacing w:val="13"/>
          <w:sz w:val="20"/>
        </w:rPr>
        <w:t> </w:t>
      </w:r>
      <w:r>
        <w:rPr>
          <w:rFonts w:ascii="Arial"/>
          <w:i/>
          <w:sz w:val="20"/>
        </w:rPr>
        <w:t>35</w:t>
      </w:r>
      <w:r>
        <w:rPr>
          <w:sz w:val="20"/>
        </w:rPr>
        <w:t>.</w:t>
      </w:r>
      <w:r>
        <w:rPr>
          <w:spacing w:val="13"/>
          <w:sz w:val="20"/>
        </w:rPr>
        <w:t> </w:t>
      </w:r>
      <w:r>
        <w:rPr>
          <w:sz w:val="20"/>
        </w:rPr>
        <w:t>(In</w:t>
      </w:r>
      <w:r>
        <w:rPr>
          <w:spacing w:val="13"/>
          <w:sz w:val="20"/>
        </w:rPr>
        <w:t> </w:t>
      </w:r>
      <w:r>
        <w:rPr>
          <w:sz w:val="20"/>
        </w:rPr>
        <w:t>that</w:t>
      </w:r>
      <w:r>
        <w:rPr>
          <w:spacing w:val="13"/>
          <w:sz w:val="20"/>
        </w:rPr>
        <w:t> </w:t>
      </w:r>
      <w:r>
        <w:rPr>
          <w:sz w:val="20"/>
        </w:rPr>
        <w:t>case</w:t>
      </w:r>
      <w:r>
        <w:rPr>
          <w:spacing w:val="13"/>
          <w:sz w:val="20"/>
        </w:rPr>
        <w:t> </w:t>
      </w:r>
      <w:r>
        <w:rPr>
          <w:sz w:val="20"/>
        </w:rPr>
        <w:t>a</w:t>
      </w:r>
      <w:r>
        <w:rPr>
          <w:spacing w:val="13"/>
          <w:sz w:val="20"/>
        </w:rPr>
        <w:t> </w:t>
      </w:r>
      <w:r>
        <w:rPr>
          <w:sz w:val="20"/>
        </w:rPr>
        <w:t>separate</w:t>
      </w:r>
      <w:r>
        <w:rPr>
          <w:spacing w:val="13"/>
          <w:sz w:val="20"/>
        </w:rPr>
        <w:t> </w:t>
      </w:r>
      <w:r>
        <w:rPr>
          <w:sz w:val="20"/>
        </w:rPr>
        <w:t>clause</w:t>
      </w:r>
      <w:r>
        <w:rPr>
          <w:spacing w:val="13"/>
          <w:sz w:val="20"/>
        </w:rPr>
        <w:t> </w:t>
      </w:r>
      <w:r>
        <w:rPr>
          <w:sz w:val="20"/>
        </w:rPr>
        <w:t>requiring</w:t>
      </w:r>
      <w:r>
        <w:rPr>
          <w:spacing w:val="13"/>
          <w:sz w:val="20"/>
        </w:rPr>
        <w:t> </w:t>
      </w:r>
      <w:r>
        <w:rPr>
          <w:sz w:val="20"/>
        </w:rPr>
        <w:t>either</w:t>
      </w:r>
      <w:r>
        <w:rPr>
          <w:spacing w:val="13"/>
          <w:sz w:val="20"/>
        </w:rPr>
        <w:t> </w:t>
      </w:r>
      <w:r>
        <w:rPr>
          <w:sz w:val="20"/>
        </w:rPr>
        <w:t>party</w:t>
      </w:r>
      <w:r>
        <w:rPr>
          <w:spacing w:val="13"/>
          <w:sz w:val="20"/>
        </w:rPr>
        <w:t> </w:t>
      </w:r>
      <w:r>
        <w:rPr>
          <w:sz w:val="20"/>
        </w:rPr>
        <w:t>to</w:t>
      </w:r>
      <w:r>
        <w:rPr>
          <w:spacing w:val="13"/>
          <w:sz w:val="20"/>
        </w:rPr>
        <w:t> </w:t>
      </w:r>
      <w:r>
        <w:rPr>
          <w:sz w:val="20"/>
        </w:rPr>
        <w:t>pay</w:t>
      </w:r>
      <w:r>
        <w:rPr>
          <w:spacing w:val="13"/>
          <w:sz w:val="20"/>
        </w:rPr>
        <w:t> </w:t>
      </w:r>
      <w:r>
        <w:rPr>
          <w:spacing w:val="-5"/>
          <w:sz w:val="20"/>
        </w:rPr>
        <w:t>the</w:t>
      </w:r>
    </w:p>
    <w:p>
      <w:pPr>
        <w:spacing w:line="235" w:lineRule="auto" w:before="1"/>
        <w:ind w:left="705" w:right="167" w:firstLine="0"/>
        <w:jc w:val="both"/>
        <w:rPr>
          <w:sz w:val="20"/>
        </w:rPr>
      </w:pPr>
      <w:r>
        <w:rPr>
          <w:sz w:val="20"/>
        </w:rPr>
        <w:t>sum of £200 if it failed to perform any part of the contract. This was held to be a penalty </w:t>
      </w:r>
      <w:r>
        <w:rPr>
          <w:sz w:val="20"/>
        </w:rPr>
        <w:t>clause and the court ordered an inquiry into the damages, if any, suffered by the vendor beyond the amount of the deposit: see </w:t>
      </w:r>
      <w:r>
        <w:rPr>
          <w:rFonts w:ascii="Arial" w:hAnsi="Arial"/>
          <w:i/>
          <w:sz w:val="20"/>
        </w:rPr>
        <w:t>[1931] 1 Ch. 35, 46</w:t>
      </w:r>
      <w:r>
        <w:rPr>
          <w:sz w:val="20"/>
        </w:rPr>
        <w:t>.) See also </w:t>
      </w:r>
      <w:r>
        <w:rPr>
          <w:rFonts w:ascii="Arial" w:hAnsi="Arial"/>
          <w:i/>
          <w:sz w:val="20"/>
        </w:rPr>
        <w:t>Behzadi v Shaftesbury Hotels Ltd [1992] Ch. 1, 10</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271" w:right="0" w:firstLine="0"/>
        <w:jc w:val="left"/>
        <w:rPr>
          <w:rFonts w:ascii="Arial"/>
          <w:b/>
          <w:sz w:val="24"/>
        </w:rPr>
      </w:pPr>
      <w:r>
        <w:rPr>
          <w:rFonts w:ascii="Arial"/>
          <w:b/>
          <w:sz w:val="24"/>
        </w:rPr>
        <w:t>(h) - Deposits and Forfeiture of Sums </w:t>
      </w:r>
      <w:r>
        <w:rPr>
          <w:rFonts w:ascii="Arial"/>
          <w:b/>
          <w:spacing w:val="-4"/>
          <w:sz w:val="24"/>
        </w:rPr>
        <w:t>Paid</w:t>
      </w:r>
    </w:p>
    <w:p>
      <w:pPr>
        <w:pStyle w:val="ListParagraph"/>
        <w:numPr>
          <w:ilvl w:val="0"/>
          <w:numId w:val="13"/>
        </w:numPr>
        <w:tabs>
          <w:tab w:pos="3424" w:val="left" w:leader="none"/>
        </w:tabs>
        <w:spacing w:line="240" w:lineRule="auto" w:before="194" w:after="0"/>
        <w:ind w:left="3424" w:right="0" w:hanging="359"/>
        <w:jc w:val="left"/>
        <w:rPr>
          <w:b/>
          <w:sz w:val="24"/>
        </w:rPr>
      </w:pPr>
      <w:r>
        <w:rPr>
          <w:b/>
          <w:sz w:val="24"/>
        </w:rPr>
        <w:t>- Forfeiture of Sums </w:t>
      </w:r>
      <w:r>
        <w:rPr>
          <w:b/>
          <w:spacing w:val="-4"/>
          <w:sz w:val="24"/>
        </w:rPr>
        <w:t>Paid</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Forfeiture </w:t>
      </w:r>
      <w:r>
        <w:rPr>
          <w:rFonts w:ascii="Arial"/>
          <w:b/>
          <w:spacing w:val="-2"/>
          <w:sz w:val="18"/>
        </w:rPr>
        <w:t>provisions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216S</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183" name="Image 1183"/>
            <wp:cNvGraphicFramePr>
              <a:graphicFrameLocks/>
            </wp:cNvGraphicFramePr>
            <a:graphic>
              <a:graphicData uri="http://schemas.openxmlformats.org/drawingml/2006/picture">
                <pic:pic>
                  <pic:nvPicPr>
                    <pic:cNvPr id="1183" name="Image 11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
        </w:rPr>
        <w:t> </w:t>
      </w:r>
      <w:bookmarkStart w:name="_bookmark2522" w:id="2524"/>
      <w:bookmarkEnd w:id="2524"/>
      <w:r>
        <w:rPr>
          <w:rFonts w:ascii="Times New Roman"/>
          <w:spacing w:val="5"/>
        </w:rPr>
      </w:r>
      <w:r>
        <w:rPr/>
        <w:t>As noted earlier, a contract may, instead of fixing a sum to be paid upon breach, provide that a sum</w:t>
      </w:r>
    </w:p>
    <w:p>
      <w:pPr>
        <w:pStyle w:val="BodyText"/>
        <w:spacing w:line="235" w:lineRule="auto" w:before="118"/>
        <w:ind w:left="165" w:right="167"/>
        <w:jc w:val="both"/>
      </w:pPr>
      <w:r>
        <w:rPr/>
        <w:t>already paid shall be forfeited </w:t>
      </w:r>
      <w:hyperlink w:history="true" w:anchor="_bookmark2563">
        <w:r>
          <w:rPr>
            <w:color w:val="005DA1"/>
            <w:u w:val="single" w:color="005DA1"/>
            <w:vertAlign w:val="superscript"/>
          </w:rPr>
          <w:t>1322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184" name="Image 1184"/>
              <wp:cNvGraphicFramePr>
                <a:graphicFrameLocks/>
              </wp:cNvGraphicFramePr>
              <a:graphic>
                <a:graphicData uri="http://schemas.openxmlformats.org/drawingml/2006/picture">
                  <pic:pic>
                    <pic:nvPicPr>
                      <pic:cNvPr id="1184" name="Image 11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40"/>
            <w:vertAlign w:val="baseline"/>
          </w:rPr>
          <w:t> </w:t>
        </w:r>
        <w:r>
          <w:rPr>
            <w:vertAlign w:val="baseline"/>
          </w:rPr>
          <w:t>upon breach by the party who paid it. There has </w:t>
        </w:r>
        <w:r>
          <w:rPr>
            <w:vertAlign w:val="baseline"/>
          </w:rPr>
          <w:t>been considerable doubt over whether, or to what extent, the penalty rules apply to provisions of this type </w:t>
        </w:r>
        <w:bookmarkStart w:name="_bookmark2523" w:id="2525"/>
        <w:bookmarkEnd w:id="2525"/>
        <w:r>
          <w:rPr>
            <w:vertAlign w:val="baseline"/>
          </w:rPr>
          <w:t>and</w:t>
        </w:r>
        <w:r>
          <w:rPr>
            <w:spacing w:val="31"/>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relationship</w:t>
        </w:r>
        <w:r>
          <w:rPr>
            <w:spacing w:val="33"/>
            <w:vertAlign w:val="baseline"/>
          </w:rPr>
          <w:t> </w:t>
        </w:r>
        <w:r>
          <w:rPr>
            <w:vertAlign w:val="baseline"/>
          </w:rPr>
          <w:t>between</w:t>
        </w:r>
        <w:r>
          <w:rPr>
            <w:spacing w:val="33"/>
            <w:vertAlign w:val="baseline"/>
          </w:rPr>
          <w:t> </w:t>
        </w:r>
        <w:r>
          <w:rPr>
            <w:vertAlign w:val="baseline"/>
          </w:rPr>
          <w:t>the</w:t>
        </w:r>
        <w:r>
          <w:rPr>
            <w:spacing w:val="33"/>
            <w:vertAlign w:val="baseline"/>
          </w:rPr>
          <w:t> </w:t>
        </w:r>
        <w:r>
          <w:rPr>
            <w:vertAlign w:val="baseline"/>
          </w:rPr>
          <w:t>penalty</w:t>
        </w:r>
        <w:r>
          <w:rPr>
            <w:spacing w:val="33"/>
            <w:vertAlign w:val="baseline"/>
          </w:rPr>
          <w:t> </w:t>
        </w:r>
        <w:r>
          <w:rPr>
            <w:vertAlign w:val="baseline"/>
          </w:rPr>
          <w:t>rules</w:t>
        </w:r>
        <w:r>
          <w:rPr>
            <w:spacing w:val="33"/>
            <w:vertAlign w:val="baseline"/>
          </w:rPr>
          <w:t> </w:t>
        </w:r>
        <w:r>
          <w:rPr>
            <w:vertAlign w:val="baseline"/>
          </w:rPr>
          <w:t>and</w:t>
        </w:r>
        <w:r>
          <w:rPr>
            <w:spacing w:val="33"/>
            <w:vertAlign w:val="baseline"/>
          </w:rPr>
          <w:t> </w:t>
        </w:r>
        <w:r>
          <w:rPr>
            <w:vertAlign w:val="baseline"/>
          </w:rPr>
          <w:t>the</w:t>
        </w:r>
        <w:r>
          <w:rPr>
            <w:spacing w:val="33"/>
            <w:vertAlign w:val="baseline"/>
          </w:rPr>
          <w:t> </w:t>
        </w:r>
        <w:r>
          <w:rPr>
            <w:vertAlign w:val="baseline"/>
          </w:rPr>
          <w:t>court’s</w:t>
        </w:r>
        <w:r>
          <w:rPr>
            <w:spacing w:val="33"/>
            <w:vertAlign w:val="baseline"/>
          </w:rPr>
          <w:t> </w:t>
        </w:r>
        <w:r>
          <w:rPr>
            <w:vertAlign w:val="baseline"/>
          </w:rPr>
          <w:t>jurisdiction</w:t>
        </w:r>
        <w:r>
          <w:rPr>
            <w:spacing w:val="33"/>
            <w:vertAlign w:val="baseline"/>
          </w:rPr>
          <w:t> </w:t>
        </w:r>
        <w:r>
          <w:rPr>
            <w:vertAlign w:val="baseline"/>
          </w:rPr>
          <w:t>to</w:t>
        </w:r>
        <w:r>
          <w:rPr>
            <w:spacing w:val="33"/>
            <w:vertAlign w:val="baseline"/>
          </w:rPr>
          <w:t> </w:t>
        </w:r>
        <w:r>
          <w:rPr>
            <w:vertAlign w:val="baseline"/>
          </w:rPr>
          <w:t>give</w:t>
        </w:r>
        <w:r>
          <w:rPr>
            <w:spacing w:val="33"/>
            <w:vertAlign w:val="baseline"/>
          </w:rPr>
          <w:t> </w:t>
        </w:r>
        <w:r>
          <w:rPr>
            <w:vertAlign w:val="baseline"/>
          </w:rPr>
          <w:t>relief</w:t>
        </w:r>
        <w:r>
          <w:rPr>
            <w:spacing w:val="33"/>
            <w:vertAlign w:val="baseline"/>
          </w:rPr>
          <w:t> </w:t>
        </w:r>
        <w:r>
          <w:rPr>
            <w:spacing w:val="-2"/>
            <w:vertAlign w:val="baseline"/>
          </w:rPr>
          <w:t>against</w:t>
        </w:r>
      </w:hyperlink>
    </w:p>
    <w:p>
      <w:pPr>
        <w:pStyle w:val="BodyText"/>
        <w:spacing w:line="235" w:lineRule="auto" w:before="119"/>
        <w:ind w:left="165" w:right="167"/>
        <w:jc w:val="both"/>
      </w:pPr>
      <w:r>
        <w:rPr/>
        <w:t>forfeiture. In </w:t>
      </w:r>
      <w:r>
        <w:rPr>
          <w:rFonts w:ascii="Arial" w:hAnsi="Arial"/>
          <w:i/>
        </w:rPr>
        <w:t>Cavendish Square Holding BV v Makdessi </w:t>
      </w:r>
      <w:r>
        <w:rPr/>
        <w:t>and </w:t>
      </w:r>
      <w:r>
        <w:rPr>
          <w:rFonts w:ascii="Arial" w:hAnsi="Arial"/>
          <w:i/>
        </w:rPr>
        <w:t>ParkingEye Ltd v Beavis </w:t>
      </w:r>
      <w:hyperlink w:history="true" w:anchor="_bookmark2564">
        <w:r>
          <w:rPr>
            <w:color w:val="005DA1"/>
            <w:u w:val="single" w:color="005DA1"/>
            <w:vertAlign w:val="superscript"/>
          </w:rPr>
          <w:t>1323</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185" name="Image 1185"/>
              <wp:cNvGraphicFramePr>
                <a:graphicFrameLocks/>
              </wp:cNvGraphicFramePr>
              <a:graphic>
                <a:graphicData uri="http://schemas.openxmlformats.org/drawingml/2006/picture">
                  <pic:pic>
                    <pic:nvPicPr>
                      <pic:cNvPr id="1185" name="Image 11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the Supreme Court said that the penalty rules do apply to forfeiture provisions of this type, and may render the provision invalid. Even if the provision is valid (as a genuine pre-estimate of the innocent </w:t>
        </w:r>
        <w:bookmarkStart w:name="_bookmark2524" w:id="2526"/>
        <w:bookmarkEnd w:id="2526"/>
        <w:r>
          <w:rPr>
            <w:vertAlign w:val="baseline"/>
          </w:rPr>
          <w:t>party’s</w:t>
        </w:r>
        <w:r>
          <w:rPr>
            <w:spacing w:val="12"/>
            <w:vertAlign w:val="baseline"/>
          </w:rPr>
          <w:t> </w:t>
        </w:r>
        <w:r>
          <w:rPr>
            <w:vertAlign w:val="baseline"/>
          </w:rPr>
          <w:t>loss</w:t>
        </w:r>
        <w:r>
          <w:rPr>
            <w:spacing w:val="12"/>
            <w:vertAlign w:val="baseline"/>
          </w:rPr>
          <w:t> </w:t>
        </w:r>
        <w:r>
          <w:rPr>
            <w:vertAlign w:val="baseline"/>
          </w:rPr>
          <w:t>or</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“legitimate</w:t>
        </w:r>
        <w:r>
          <w:rPr>
            <w:spacing w:val="12"/>
            <w:vertAlign w:val="baseline"/>
          </w:rPr>
          <w:t> </w:t>
        </w:r>
        <w:r>
          <w:rPr>
            <w:vertAlign w:val="baseline"/>
          </w:rPr>
          <w:t>deterrent”),</w:t>
        </w:r>
        <w:r>
          <w:rPr>
            <w:spacing w:val="12"/>
            <w:vertAlign w:val="baseline"/>
          </w:rPr>
          <w:t> </w:t>
        </w:r>
        <w:r>
          <w:rPr>
            <w:vertAlign w:val="baseline"/>
          </w:rPr>
          <w:t>in</w:t>
        </w:r>
        <w:r>
          <w:rPr>
            <w:spacing w:val="12"/>
            <w:vertAlign w:val="baseline"/>
          </w:rPr>
          <w:t> </w:t>
        </w:r>
        <w:r>
          <w:rPr>
            <w:vertAlign w:val="baseline"/>
          </w:rPr>
          <w:t>an</w:t>
        </w:r>
        <w:r>
          <w:rPr>
            <w:spacing w:val="12"/>
            <w:vertAlign w:val="baseline"/>
          </w:rPr>
          <w:t> </w:t>
        </w:r>
        <w:r>
          <w:rPr>
            <w:vertAlign w:val="baseline"/>
          </w:rPr>
          <w:t>appropriate</w:t>
        </w:r>
        <w:r>
          <w:rPr>
            <w:spacing w:val="12"/>
            <w:vertAlign w:val="baseline"/>
          </w:rPr>
          <w:t> </w:t>
        </w:r>
        <w:r>
          <w:rPr>
            <w:vertAlign w:val="baseline"/>
          </w:rPr>
          <w:t>case</w:t>
        </w:r>
        <w:r>
          <w:rPr>
            <w:spacing w:val="12"/>
            <w:vertAlign w:val="baseline"/>
          </w:rPr>
          <w:t> </w:t>
        </w:r>
        <w:r>
          <w:rPr>
            <w:vertAlign w:val="baseline"/>
          </w:rPr>
          <w:t>the</w:t>
        </w:r>
        <w:r>
          <w:rPr>
            <w:spacing w:val="12"/>
            <w:vertAlign w:val="baseline"/>
          </w:rPr>
          <w:t> </w:t>
        </w:r>
        <w:r>
          <w:rPr>
            <w:vertAlign w:val="baseline"/>
          </w:rPr>
          <w:t>court</w:t>
        </w:r>
        <w:r>
          <w:rPr>
            <w:spacing w:val="12"/>
            <w:vertAlign w:val="baseline"/>
          </w:rPr>
          <w:t> </w:t>
        </w:r>
        <w:r>
          <w:rPr>
            <w:vertAlign w:val="baseline"/>
          </w:rPr>
          <w:t>may</w:t>
        </w:r>
        <w:r>
          <w:rPr>
            <w:spacing w:val="12"/>
            <w:vertAlign w:val="baseline"/>
          </w:rPr>
          <w:t> </w:t>
        </w:r>
        <w:r>
          <w:rPr>
            <w:vertAlign w:val="baseline"/>
          </w:rPr>
          <w:t>still</w:t>
        </w:r>
        <w:r>
          <w:rPr>
            <w:spacing w:val="12"/>
            <w:vertAlign w:val="baseline"/>
          </w:rPr>
          <w:t> </w:t>
        </w:r>
        <w:r>
          <w:rPr>
            <w:vertAlign w:val="baseline"/>
          </w:rPr>
          <w:t>be</w:t>
        </w:r>
        <w:r>
          <w:rPr>
            <w:spacing w:val="12"/>
            <w:vertAlign w:val="baseline"/>
          </w:rPr>
          <w:t> </w:t>
        </w:r>
        <w:r>
          <w:rPr>
            <w:vertAlign w:val="baseline"/>
          </w:rPr>
          <w:t>able</w:t>
        </w:r>
        <w:r>
          <w:rPr>
            <w:spacing w:val="12"/>
            <w:vertAlign w:val="baseline"/>
          </w:rPr>
          <w:t> </w:t>
        </w:r>
        <w:r>
          <w:rPr>
            <w:vertAlign w:val="baseline"/>
          </w:rPr>
          <w:t>to</w:t>
        </w:r>
        <w:r>
          <w:rPr>
            <w:spacing w:val="12"/>
            <w:vertAlign w:val="baseline"/>
          </w:rPr>
          <w:t> </w:t>
        </w:r>
        <w:r>
          <w:rPr>
            <w:spacing w:val="-2"/>
            <w:vertAlign w:val="baseline"/>
          </w:rPr>
          <w:t>grant</w:t>
        </w:r>
      </w:hyperlink>
    </w:p>
    <w:p>
      <w:pPr>
        <w:pStyle w:val="BodyText"/>
        <w:spacing w:before="115"/>
        <w:ind w:left="165"/>
        <w:jc w:val="both"/>
        <w:rPr>
          <w:position w:val="-2"/>
        </w:rPr>
      </w:pPr>
      <w:r>
        <w:rPr/>
        <w:t>relief against forfeiture. </w:t>
      </w:r>
      <w:hyperlink w:history="true" w:anchor="_bookmark2565">
        <w:r>
          <w:rPr>
            <w:color w:val="005DA1"/>
            <w:u w:val="single" w:color="005DA1"/>
            <w:vertAlign w:val="superscript"/>
          </w:rPr>
          <w:t>1324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86" name="Image 1186"/>
              <wp:cNvGraphicFramePr>
                <a:graphicFrameLocks/>
              </wp:cNvGraphicFramePr>
              <a:graphic>
                <a:graphicData uri="http://schemas.openxmlformats.org/drawingml/2006/picture">
                  <pic:pic>
                    <pic:nvPicPr>
                      <pic:cNvPr id="1186" name="Image 11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Purchase by instalments and pre-payment of </w:t>
      </w:r>
      <w:r>
        <w:rPr>
          <w:rFonts w:ascii="Arial"/>
          <w:b/>
          <w:spacing w:val="-2"/>
          <w:sz w:val="18"/>
        </w:rPr>
        <w:t>price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216T</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187" name="Image 1187"/>
            <wp:cNvGraphicFramePr>
              <a:graphicFrameLocks/>
            </wp:cNvGraphicFramePr>
            <a:graphic>
              <a:graphicData uri="http://schemas.openxmlformats.org/drawingml/2006/picture">
                <pic:pic>
                  <pic:nvPicPr>
                    <pic:cNvPr id="1187" name="Image 11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8"/>
        </w:rPr>
        <w:t> </w:t>
      </w:r>
      <w:bookmarkStart w:name="_bookmark2525" w:id="2527"/>
      <w:bookmarkEnd w:id="2527"/>
      <w:r>
        <w:rPr>
          <w:rFonts w:ascii="Times New Roman" w:hAnsi="Times New Roman"/>
          <w:spacing w:val="8"/>
        </w:rPr>
      </w:r>
      <w:r>
        <w:rPr/>
        <w:t>Traditionally,</w:t>
      </w:r>
      <w:r>
        <w:rPr>
          <w:spacing w:val="3"/>
        </w:rPr>
        <w:t> </w:t>
      </w:r>
      <w:r>
        <w:rPr/>
        <w:t>the</w:t>
      </w:r>
      <w:r>
        <w:rPr>
          <w:spacing w:val="3"/>
        </w:rPr>
        <w:t> </w:t>
      </w:r>
      <w:r>
        <w:rPr/>
        <w:t>courts</w:t>
      </w:r>
      <w:r>
        <w:rPr>
          <w:spacing w:val="3"/>
        </w:rPr>
        <w:t> </w:t>
      </w:r>
      <w:r>
        <w:rPr/>
        <w:t>were</w:t>
      </w:r>
      <w:r>
        <w:rPr>
          <w:spacing w:val="3"/>
        </w:rPr>
        <w:t> </w:t>
      </w:r>
      <w:r>
        <w:rPr/>
        <w:t>willing</w:t>
      </w:r>
      <w:r>
        <w:rPr>
          <w:spacing w:val="3"/>
        </w:rPr>
        <w:t> </w:t>
      </w:r>
      <w:r>
        <w:rPr/>
        <w:t>to</w:t>
      </w:r>
      <w:r>
        <w:rPr>
          <w:spacing w:val="3"/>
        </w:rPr>
        <w:t> </w:t>
      </w:r>
      <w:r>
        <w:rPr/>
        <w:t>grant</w:t>
      </w:r>
      <w:r>
        <w:rPr>
          <w:spacing w:val="3"/>
        </w:rPr>
        <w:t> </w:t>
      </w:r>
      <w:r>
        <w:rPr/>
        <w:t>relief</w:t>
      </w:r>
      <w:r>
        <w:rPr>
          <w:spacing w:val="3"/>
        </w:rPr>
        <w:t> </w:t>
      </w:r>
      <w:r>
        <w:rPr/>
        <w:t>against</w:t>
      </w:r>
      <w:r>
        <w:rPr>
          <w:spacing w:val="3"/>
        </w:rPr>
        <w:t> </w:t>
      </w:r>
      <w:r>
        <w:rPr/>
        <w:t>“forfeiture”</w:t>
      </w:r>
      <w:r>
        <w:rPr>
          <w:spacing w:val="3"/>
        </w:rPr>
        <w:t> </w:t>
      </w:r>
      <w:r>
        <w:rPr/>
        <w:t>clauses</w:t>
      </w:r>
      <w:r>
        <w:rPr>
          <w:spacing w:val="3"/>
        </w:rPr>
        <w:t> </w:t>
      </w:r>
      <w:r>
        <w:rPr/>
        <w:t>in</w:t>
      </w:r>
      <w:r>
        <w:rPr>
          <w:spacing w:val="3"/>
        </w:rPr>
        <w:t> </w:t>
      </w:r>
      <w:r>
        <w:rPr/>
        <w:t>only</w:t>
      </w:r>
      <w:r>
        <w:rPr>
          <w:spacing w:val="3"/>
        </w:rPr>
        <w:t> </w:t>
      </w:r>
      <w:r>
        <w:rPr/>
        <w:t>two</w:t>
      </w:r>
      <w:r>
        <w:rPr>
          <w:spacing w:val="3"/>
        </w:rPr>
        <w:t> </w:t>
      </w:r>
      <w:r>
        <w:rPr/>
        <w:t>situations;</w:t>
      </w:r>
    </w:p>
    <w:p>
      <w:pPr>
        <w:pStyle w:val="BodyText"/>
        <w:spacing w:line="235" w:lineRule="auto" w:before="118"/>
        <w:ind w:left="165" w:right="167"/>
        <w:jc w:val="both"/>
      </w:pPr>
      <w:r>
        <w:rPr/>
        <w:t>and, as will be seen below, </w:t>
      </w:r>
      <w:hyperlink w:history="true" w:anchor="_bookmark2566">
        <w:r>
          <w:rPr>
            <w:color w:val="005DA1"/>
            <w:u w:val="single" w:color="005DA1"/>
            <w:vertAlign w:val="superscript"/>
          </w:rPr>
          <w:t>1325</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188" name="Image 1188"/>
              <wp:cNvGraphicFramePr>
                <a:graphicFrameLocks/>
              </wp:cNvGraphicFramePr>
              <a:graphic>
                <a:graphicData uri="http://schemas.openxmlformats.org/drawingml/2006/picture">
                  <pic:pic>
                    <pic:nvPicPr>
                      <pic:cNvPr id="1188" name="Image 11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13"/>
            <w:vertAlign w:val="baseline"/>
          </w:rPr>
          <w:t> </w:t>
        </w:r>
        <w:r>
          <w:rPr>
            <w:vertAlign w:val="baseline"/>
          </w:rPr>
          <w:t>the relief was of a limited form, which if the payee was entitled to terminate the contract, did not include ordering a return of the sums paid. The first type of case is </w:t>
        </w:r>
        <w:r>
          <w:rPr>
            <w:vertAlign w:val="baseline"/>
          </w:rPr>
          <w:t>of landlord and tenant. There has been a long history of equitable relief against forfeiture of leasehold </w:t>
        </w:r>
        <w:bookmarkStart w:name="_bookmark2526" w:id="2528"/>
        <w:bookmarkEnd w:id="2528"/>
        <w:r>
          <w:rPr>
            <w:vertAlign w:val="baseline"/>
          </w:rPr>
          <w:t>interests,</w:t>
        </w:r>
        <w:r>
          <w:rPr>
            <w:spacing w:val="7"/>
            <w:vertAlign w:val="baseline"/>
          </w:rPr>
          <w:t> </w:t>
        </w:r>
        <w:r>
          <w:rPr>
            <w:vertAlign w:val="baseline"/>
          </w:rPr>
          <w:t>viz</w:t>
        </w:r>
        <w:r>
          <w:rPr>
            <w:spacing w:val="7"/>
            <w:vertAlign w:val="baseline"/>
          </w:rPr>
          <w:t> </w:t>
        </w:r>
        <w:r>
          <w:rPr>
            <w:vertAlign w:val="baseline"/>
          </w:rPr>
          <w:t>where</w:t>
        </w:r>
        <w:r>
          <w:rPr>
            <w:spacing w:val="7"/>
            <w:vertAlign w:val="baseline"/>
          </w:rPr>
          <w:t> </w:t>
        </w:r>
        <w:r>
          <w:rPr>
            <w:vertAlign w:val="baseline"/>
          </w:rPr>
          <w:t>a</w:t>
        </w:r>
        <w:r>
          <w:rPr>
            <w:spacing w:val="7"/>
            <w:vertAlign w:val="baseline"/>
          </w:rPr>
          <w:t> </w:t>
        </w:r>
        <w:r>
          <w:rPr>
            <w:vertAlign w:val="baseline"/>
          </w:rPr>
          <w:t>clause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lease</w:t>
        </w:r>
        <w:r>
          <w:rPr>
            <w:spacing w:val="7"/>
            <w:vertAlign w:val="baseline"/>
          </w:rPr>
          <w:t> </w:t>
        </w:r>
        <w:r>
          <w:rPr>
            <w:vertAlign w:val="baseline"/>
          </w:rPr>
          <w:t>entitled</w:t>
        </w:r>
        <w:r>
          <w:rPr>
            <w:spacing w:val="7"/>
            <w:vertAlign w:val="baseline"/>
          </w:rPr>
          <w:t> </w:t>
        </w:r>
        <w:r>
          <w:rPr>
            <w:vertAlign w:val="baseline"/>
          </w:rPr>
          <w:t>the</w:t>
        </w:r>
        <w:r>
          <w:rPr>
            <w:spacing w:val="7"/>
            <w:vertAlign w:val="baseline"/>
          </w:rPr>
          <w:t> </w:t>
        </w:r>
        <w:r>
          <w:rPr>
            <w:vertAlign w:val="baseline"/>
          </w:rPr>
          <w:t>landlord</w:t>
        </w:r>
        <w:r>
          <w:rPr>
            <w:spacing w:val="7"/>
            <w:vertAlign w:val="baseline"/>
          </w:rPr>
          <w:t> </w:t>
        </w:r>
        <w:r>
          <w:rPr>
            <w:vertAlign w:val="baseline"/>
          </w:rPr>
          <w:t>to</w:t>
        </w:r>
        <w:r>
          <w:rPr>
            <w:spacing w:val="7"/>
            <w:vertAlign w:val="baseline"/>
          </w:rPr>
          <w:t> </w:t>
        </w:r>
        <w:r>
          <w:rPr>
            <w:vertAlign w:val="baseline"/>
          </w:rPr>
          <w:t>repossess</w:t>
        </w:r>
        <w:r>
          <w:rPr>
            <w:spacing w:val="7"/>
            <w:vertAlign w:val="baseline"/>
          </w:rPr>
          <w:t> </w:t>
        </w:r>
        <w:r>
          <w:rPr>
            <w:vertAlign w:val="baseline"/>
          </w:rPr>
          <w:t>the</w:t>
        </w:r>
        <w:r>
          <w:rPr>
            <w:spacing w:val="7"/>
            <w:vertAlign w:val="baseline"/>
          </w:rPr>
          <w:t> </w:t>
        </w:r>
        <w:r>
          <w:rPr>
            <w:vertAlign w:val="baseline"/>
          </w:rPr>
          <w:t>premises</w:t>
        </w:r>
        <w:r>
          <w:rPr>
            <w:spacing w:val="7"/>
            <w:vertAlign w:val="baseline"/>
          </w:rPr>
          <w:t> </w:t>
        </w:r>
        <w:r>
          <w:rPr>
            <w:vertAlign w:val="baseline"/>
          </w:rPr>
          <w:t>if</w:t>
        </w:r>
        <w:r>
          <w:rPr>
            <w:spacing w:val="7"/>
            <w:vertAlign w:val="baseline"/>
          </w:rPr>
          <w:t> </w:t>
        </w:r>
        <w:r>
          <w:rPr>
            <w:vertAlign w:val="baseline"/>
          </w:rPr>
          <w:t>the</w:t>
        </w:r>
        <w:r>
          <w:rPr>
            <w:spacing w:val="7"/>
            <w:vertAlign w:val="baseline"/>
          </w:rPr>
          <w:t> </w:t>
        </w:r>
        <w:r>
          <w:rPr>
            <w:spacing w:val="-2"/>
            <w:vertAlign w:val="baseline"/>
          </w:rPr>
          <w:t>tenant</w:t>
        </w:r>
      </w:hyperlink>
    </w:p>
    <w:p>
      <w:pPr>
        <w:pStyle w:val="BodyText"/>
        <w:spacing w:line="235" w:lineRule="auto" w:before="119"/>
        <w:ind w:left="165" w:right="167"/>
        <w:jc w:val="both"/>
      </w:pPr>
      <w:r>
        <w:rPr/>
        <w:t>failed to pay an instalment of the rent. </w:t>
      </w:r>
      <w:hyperlink w:history="true" w:anchor="_bookmark2567">
        <w:r>
          <w:rPr>
            <w:color w:val="005DA1"/>
            <w:u w:val="single" w:color="005DA1"/>
            <w:vertAlign w:val="superscript"/>
          </w:rPr>
          <w:t>1326</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189" name="Image 1189"/>
              <wp:cNvGraphicFramePr>
                <a:graphicFrameLocks/>
              </wp:cNvGraphicFramePr>
              <a:graphic>
                <a:graphicData uri="http://schemas.openxmlformats.org/drawingml/2006/picture">
                  <pic:pic>
                    <pic:nvPicPr>
                      <pic:cNvPr id="1189" name="Image 11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27"/>
            <w:vertAlign w:val="baseline"/>
          </w:rPr>
          <w:t> </w:t>
        </w:r>
        <w:r>
          <w:rPr>
            <w:vertAlign w:val="baseline"/>
          </w:rPr>
          <w:t>The second situation was where the contract-</w:t>
        </w:r>
        <w:r>
          <w:rPr>
            <w:vertAlign w:val="baseline"/>
          </w:rPr>
          <w:t>breaker has been purchasing land by paying the price by instalments: it is clearly established that if, under a contract</w:t>
        </w:r>
        <w:r>
          <w:rPr>
            <w:spacing w:val="-2"/>
            <w:vertAlign w:val="baseline"/>
          </w:rPr>
          <w:t> </w:t>
        </w:r>
        <w:r>
          <w:rPr>
            <w:vertAlign w:val="baseline"/>
          </w:rPr>
          <w:t>to</w:t>
        </w:r>
        <w:r>
          <w:rPr>
            <w:spacing w:val="-2"/>
            <w:vertAlign w:val="baseline"/>
          </w:rPr>
          <w:t> </w:t>
        </w:r>
        <w:r>
          <w:rPr>
            <w:vertAlign w:val="baseline"/>
          </w:rPr>
          <w:t>purchase</w:t>
        </w:r>
        <w:r>
          <w:rPr>
            <w:spacing w:val="-2"/>
            <w:vertAlign w:val="baseline"/>
          </w:rPr>
          <w:t> </w:t>
        </w:r>
        <w:r>
          <w:rPr>
            <w:vertAlign w:val="baseline"/>
          </w:rPr>
          <w:t>land</w:t>
        </w:r>
        <w:r>
          <w:rPr>
            <w:spacing w:val="-2"/>
            <w:vertAlign w:val="baseline"/>
          </w:rPr>
          <w:t> </w:t>
        </w:r>
        <w:r>
          <w:rPr>
            <w:vertAlign w:val="baseline"/>
          </w:rPr>
          <w:t>by</w:t>
        </w:r>
        <w:r>
          <w:rPr>
            <w:spacing w:val="-2"/>
            <w:vertAlign w:val="baseline"/>
          </w:rPr>
          <w:t> </w:t>
        </w:r>
        <w:r>
          <w:rPr>
            <w:vertAlign w:val="baseline"/>
          </w:rPr>
          <w:t>instalment</w:t>
        </w:r>
        <w:r>
          <w:rPr>
            <w:spacing w:val="-2"/>
            <w:vertAlign w:val="baseline"/>
          </w:rPr>
          <w:t> </w:t>
        </w:r>
        <w:r>
          <w:rPr>
            <w:vertAlign w:val="baseline"/>
          </w:rPr>
          <w:t>payments,</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defaults</w:t>
        </w:r>
        <w:r>
          <w:rPr>
            <w:spacing w:val="-2"/>
            <w:vertAlign w:val="baseline"/>
          </w:rPr>
          <w:t> </w:t>
        </w:r>
        <w:r>
          <w:rPr>
            <w:vertAlign w:val="baseline"/>
          </w:rPr>
          <w:t>in</w:t>
        </w:r>
        <w:r>
          <w:rPr>
            <w:spacing w:val="-2"/>
            <w:vertAlign w:val="baseline"/>
          </w:rPr>
          <w:t> </w:t>
        </w:r>
        <w:r>
          <w:rPr>
            <w:vertAlign w:val="baseline"/>
          </w:rPr>
          <w:t>payment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instalment of the price, the court has jurisdiction in a proper case to relieve him against a clause providing for </w:t>
        </w:r>
        <w:bookmarkStart w:name="_bookmark2527" w:id="2529"/>
        <w:bookmarkEnd w:id="2529"/>
        <w:r>
          <w:rPr>
            <w:vertAlign w:val="baseline"/>
          </w:rPr>
          <w:t>forfeiture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instalments</w:t>
        </w:r>
        <w:r>
          <w:rPr>
            <w:spacing w:val="11"/>
            <w:vertAlign w:val="baseline"/>
          </w:rPr>
          <w:t> </w:t>
        </w:r>
        <w:r>
          <w:rPr>
            <w:vertAlign w:val="baseline"/>
          </w:rPr>
          <w:t>already</w:t>
        </w:r>
        <w:r>
          <w:rPr>
            <w:spacing w:val="11"/>
            <w:vertAlign w:val="baseline"/>
          </w:rPr>
          <w:t> </w:t>
        </w:r>
        <w:r>
          <w:rPr>
            <w:vertAlign w:val="baseline"/>
          </w:rPr>
          <w:t>paid,</w:t>
        </w:r>
        <w:r>
          <w:rPr>
            <w:spacing w:val="11"/>
            <w:vertAlign w:val="baseline"/>
          </w:rPr>
          <w:t> </w:t>
        </w:r>
        <w:r>
          <w:rPr>
            <w:vertAlign w:val="baseline"/>
          </w:rPr>
          <w:t>by</w:t>
        </w:r>
        <w:r>
          <w:rPr>
            <w:spacing w:val="11"/>
            <w:vertAlign w:val="baseline"/>
          </w:rPr>
          <w:t> </w:t>
        </w:r>
        <w:r>
          <w:rPr>
            <w:vertAlign w:val="baseline"/>
          </w:rPr>
          <w:t>granting</w:t>
        </w:r>
        <w:r>
          <w:rPr>
            <w:spacing w:val="11"/>
            <w:vertAlign w:val="baseline"/>
          </w:rPr>
          <w:t> </w:t>
        </w:r>
        <w:r>
          <w:rPr>
            <w:vertAlign w:val="baseline"/>
          </w:rPr>
          <w:t>him</w:t>
        </w:r>
        <w:r>
          <w:rPr>
            <w:spacing w:val="11"/>
            <w:vertAlign w:val="baseline"/>
          </w:rPr>
          <w:t> </w:t>
        </w:r>
        <w:r>
          <w:rPr>
            <w:vertAlign w:val="baseline"/>
          </w:rPr>
          <w:t>an</w:t>
        </w:r>
        <w:r>
          <w:rPr>
            <w:spacing w:val="11"/>
            <w:vertAlign w:val="baseline"/>
          </w:rPr>
          <w:t> </w:t>
        </w:r>
        <w:r>
          <w:rPr>
            <w:vertAlign w:val="baseline"/>
          </w:rPr>
          <w:t>extension</w:t>
        </w:r>
        <w:r>
          <w:rPr>
            <w:spacing w:val="11"/>
            <w:vertAlign w:val="baseline"/>
          </w:rPr>
          <w:t> </w:t>
        </w:r>
        <w:r>
          <w:rPr>
            <w:vertAlign w:val="baseline"/>
          </w:rPr>
          <w:t>of</w:t>
        </w:r>
        <w:r>
          <w:rPr>
            <w:spacing w:val="11"/>
            <w:vertAlign w:val="baseline"/>
          </w:rPr>
          <w:t> </w:t>
        </w:r>
        <w:r>
          <w:rPr>
            <w:vertAlign w:val="baseline"/>
          </w:rPr>
          <w:t>time</w:t>
        </w:r>
        <w:r>
          <w:rPr>
            <w:spacing w:val="11"/>
            <w:vertAlign w:val="baseline"/>
          </w:rPr>
          <w:t> </w:t>
        </w:r>
        <w:r>
          <w:rPr>
            <w:vertAlign w:val="baseline"/>
          </w:rPr>
          <w:t>within</w:t>
        </w:r>
        <w:r>
          <w:rPr>
            <w:spacing w:val="11"/>
            <w:vertAlign w:val="baseline"/>
          </w:rPr>
          <w:t> </w:t>
        </w:r>
        <w:r>
          <w:rPr>
            <w:vertAlign w:val="baseline"/>
          </w:rPr>
          <w:t>which</w:t>
        </w:r>
        <w:r>
          <w:rPr>
            <w:spacing w:val="11"/>
            <w:vertAlign w:val="baseline"/>
          </w:rPr>
          <w:t> </w:t>
        </w:r>
        <w:r>
          <w:rPr>
            <w:vertAlign w:val="baseline"/>
          </w:rPr>
          <w:t>he</w:t>
        </w:r>
        <w:r>
          <w:rPr>
            <w:spacing w:val="11"/>
            <w:vertAlign w:val="baseline"/>
          </w:rPr>
          <w:t> </w:t>
        </w:r>
        <w:r>
          <w:rPr>
            <w:spacing w:val="-2"/>
            <w:vertAlign w:val="baseline"/>
          </w:rPr>
          <w:t>could</w:t>
        </w:r>
      </w:hyperlink>
    </w:p>
    <w:p>
      <w:pPr>
        <w:pStyle w:val="BodyText"/>
        <w:spacing w:line="235" w:lineRule="auto" w:before="118"/>
        <w:ind w:left="165" w:right="167"/>
        <w:jc w:val="both"/>
      </w:pPr>
      <w:r>
        <w:rPr/>
        <w:t>pay the instalment now due. </w:t>
      </w:r>
      <w:hyperlink w:history="true" w:anchor="_bookmark2568">
        <w:r>
          <w:rPr>
            <w:color w:val="005DA1"/>
            <w:u w:val="single" w:color="005DA1"/>
            <w:vertAlign w:val="superscript"/>
          </w:rPr>
          <w:t>1327</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1190" name="Image 1190"/>
              <wp:cNvGraphicFramePr>
                <a:graphicFrameLocks/>
              </wp:cNvGraphicFramePr>
              <a:graphic>
                <a:graphicData uri="http://schemas.openxmlformats.org/drawingml/2006/picture">
                  <pic:pic>
                    <pic:nvPicPr>
                      <pic:cNvPr id="1190" name="Image 11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7"/>
            <w:vertAlign w:val="baseline"/>
          </w:rPr>
          <w:t> </w:t>
        </w:r>
        <w:r>
          <w:rPr>
            <w:vertAlign w:val="baseline"/>
          </w:rPr>
          <w:t>It is implicit in these cases that payment within the extended period would preserve the purchaser’s contractual rights in the same way as payment by the time originally agreed would have done. In what follows it is primarily the second situation that will </w:t>
        </w:r>
        <w:r>
          <w:rPr>
            <w:vertAlign w:val="baseline"/>
          </w:rPr>
          <w:t>be addressed, as it is thought that this is what the Supreme Court had in mind. Lords Neuberger and Sumption stated that</w:t>
        </w:r>
      </w:hyperlink>
    </w:p>
    <w:p>
      <w:pPr>
        <w:sectPr>
          <w:headerReference w:type="default" r:id="rId61"/>
          <w:pgSz w:w="11900" w:h="16840"/>
          <w:pgMar w:header="971" w:footer="0" w:top="1300" w:bottom="280" w:left="1275" w:right="1275"/>
          <w:pgNumType w:start="1"/>
        </w:sectPr>
      </w:pPr>
    </w:p>
    <w:p>
      <w:pPr>
        <w:pStyle w:val="BodyText"/>
        <w:spacing w:before="167"/>
      </w:pPr>
    </w:p>
    <w:p>
      <w:pPr>
        <w:pStyle w:val="BodyText"/>
        <w:spacing w:line="235" w:lineRule="auto"/>
        <w:ind w:left="1245" w:right="167"/>
        <w:jc w:val="both"/>
      </w:pPr>
      <w:r>
        <w:rPr/>
        <w:t>“Where a proprietary interest or a ‘proprietary or possessory right’ (such as a patent or </w:t>
      </w:r>
      <w:r>
        <w:rPr/>
        <w:t>a </w:t>
      </w:r>
      <w:bookmarkStart w:name="_bookmark2528" w:id="2530"/>
      <w:bookmarkEnd w:id="2530"/>
      <w:r>
        <w:rPr/>
        <w:t>lease)</w:t>
      </w:r>
      <w:r>
        <w:rPr/>
        <w:t> is granted or transferred subject to revocation or determination on breach, the clause</w:t>
      </w:r>
      <w:r>
        <w:rPr>
          <w:spacing w:val="13"/>
        </w:rPr>
        <w:t> </w:t>
      </w:r>
      <w:r>
        <w:rPr/>
        <w:t>providing</w:t>
      </w:r>
      <w:r>
        <w:rPr>
          <w:spacing w:val="15"/>
        </w:rPr>
        <w:t> </w:t>
      </w:r>
      <w:r>
        <w:rPr/>
        <w:t>for</w:t>
      </w:r>
      <w:r>
        <w:rPr>
          <w:spacing w:val="15"/>
        </w:rPr>
        <w:t> </w:t>
      </w:r>
      <w:r>
        <w:rPr/>
        <w:t>determination</w:t>
      </w:r>
      <w:r>
        <w:rPr>
          <w:spacing w:val="15"/>
        </w:rPr>
        <w:t> </w:t>
      </w:r>
      <w:r>
        <w:rPr/>
        <w:t>or</w:t>
      </w:r>
      <w:r>
        <w:rPr>
          <w:spacing w:val="15"/>
        </w:rPr>
        <w:t> </w:t>
      </w:r>
      <w:r>
        <w:rPr/>
        <w:t>revocation</w:t>
      </w:r>
      <w:r>
        <w:rPr>
          <w:spacing w:val="15"/>
        </w:rPr>
        <w:t> </w:t>
      </w:r>
      <w:r>
        <w:rPr/>
        <w:t>is</w:t>
      </w:r>
      <w:r>
        <w:rPr>
          <w:spacing w:val="15"/>
        </w:rPr>
        <w:t> </w:t>
      </w:r>
      <w:r>
        <w:rPr/>
        <w:t>a</w:t>
      </w:r>
      <w:r>
        <w:rPr>
          <w:spacing w:val="15"/>
        </w:rPr>
        <w:t> </w:t>
      </w:r>
      <w:r>
        <w:rPr/>
        <w:t>forfeiture</w:t>
      </w:r>
      <w:r>
        <w:rPr>
          <w:spacing w:val="15"/>
        </w:rPr>
        <w:t> </w:t>
      </w:r>
      <w:r>
        <w:rPr/>
        <w:t>and</w:t>
      </w:r>
      <w:r>
        <w:rPr>
          <w:spacing w:val="15"/>
        </w:rPr>
        <w:t> </w:t>
      </w:r>
      <w:r>
        <w:rPr/>
        <w:t>cannot</w:t>
      </w:r>
      <w:r>
        <w:rPr>
          <w:spacing w:val="15"/>
        </w:rPr>
        <w:t> </w:t>
      </w:r>
      <w:r>
        <w:rPr/>
        <w:t>be</w:t>
      </w:r>
      <w:r>
        <w:rPr>
          <w:spacing w:val="15"/>
        </w:rPr>
        <w:t> </w:t>
      </w:r>
      <w:r>
        <w:rPr/>
        <w:t>a</w:t>
      </w:r>
      <w:r>
        <w:rPr>
          <w:spacing w:val="15"/>
        </w:rPr>
        <w:t> </w:t>
      </w:r>
      <w:r>
        <w:rPr>
          <w:spacing w:val="-2"/>
        </w:rPr>
        <w:t>penalty.”</w:t>
      </w:r>
    </w:p>
    <w:p>
      <w:pPr>
        <w:spacing w:before="94"/>
        <w:ind w:left="1245" w:right="0" w:firstLine="0"/>
        <w:jc w:val="left"/>
        <w:rPr>
          <w:sz w:val="12"/>
        </w:rPr>
      </w:pPr>
      <w:r>
        <w:rPr>
          <w:sz w:val="12"/>
        </w:rPr>
        <w:drawing>
          <wp:anchor distT="0" distB="0" distL="0" distR="0" allowOverlap="1" layoutInCell="1" locked="0" behindDoc="0" simplePos="0" relativeHeight="15878656">
            <wp:simplePos x="0" y="0"/>
            <wp:positionH relativeFrom="page">
              <wp:posOffset>1875586</wp:posOffset>
            </wp:positionH>
            <wp:positionV relativeFrom="paragraph">
              <wp:posOffset>101225</wp:posOffset>
            </wp:positionV>
            <wp:extent cx="107988" cy="107988"/>
            <wp:effectExtent l="0" t="0" r="0" b="0"/>
            <wp:wrapNone/>
            <wp:docPr id="1191" name="Image 1191"/>
            <wp:cNvGraphicFramePr>
              <a:graphicFrameLocks/>
            </wp:cNvGraphicFramePr>
            <a:graphic>
              <a:graphicData uri="http://schemas.openxmlformats.org/drawingml/2006/picture">
                <pic:pic>
                  <pic:nvPicPr>
                    <pic:cNvPr id="1191" name="Image 1191"/>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569">
        <w:r>
          <w:rPr>
            <w:color w:val="005DA1"/>
            <w:spacing w:val="-4"/>
            <w:sz w:val="12"/>
            <w:u w:val="single" w:color="005DA1"/>
          </w:rPr>
          <w:t>1328</w:t>
        </w:r>
      </w:hyperlink>
    </w:p>
    <w:p>
      <w:pPr>
        <w:pStyle w:val="BodyText"/>
        <w:rPr>
          <w:sz w:val="12"/>
        </w:rPr>
      </w:pPr>
    </w:p>
    <w:p>
      <w:pPr>
        <w:pStyle w:val="BodyText"/>
        <w:rPr>
          <w:sz w:val="12"/>
        </w:rPr>
      </w:pPr>
    </w:p>
    <w:p>
      <w:pPr>
        <w:pStyle w:val="BodyText"/>
        <w:spacing w:before="44"/>
        <w:rPr>
          <w:sz w:val="12"/>
        </w:rPr>
      </w:pPr>
    </w:p>
    <w:p>
      <w:pPr>
        <w:pStyle w:val="BodyText"/>
        <w:spacing w:line="235" w:lineRule="auto" w:before="1"/>
        <w:ind w:left="165" w:right="167"/>
        <w:jc w:val="both"/>
      </w:pPr>
      <w:r>
        <w:rPr/>
        <w:t>Moreover, the first situation is equivalent termination of the contract by the landlord because of </w:t>
      </w:r>
      <w:r>
        <w:rPr/>
        <w:t>the tenant’s breach of contract, and there is no sign that the Supreme Court intended to place any </w:t>
      </w:r>
      <w:bookmarkStart w:name="_bookmark2529" w:id="2531"/>
      <w:bookmarkEnd w:id="2531"/>
      <w:r>
        <w:rPr/>
        <w:t>restrictions</w:t>
      </w:r>
      <w:r>
        <w:rPr>
          <w:spacing w:val="15"/>
        </w:rPr>
        <w:t> </w:t>
      </w:r>
      <w:r>
        <w:rPr/>
        <w:t>on</w:t>
      </w:r>
      <w:r>
        <w:rPr>
          <w:spacing w:val="15"/>
        </w:rPr>
        <w:t> </w:t>
      </w:r>
      <w:r>
        <w:rPr/>
        <w:t>the</w:t>
      </w:r>
      <w:r>
        <w:rPr>
          <w:spacing w:val="15"/>
        </w:rPr>
        <w:t> </w:t>
      </w:r>
      <w:r>
        <w:rPr/>
        <w:t>right</w:t>
      </w:r>
      <w:r>
        <w:rPr>
          <w:spacing w:val="15"/>
        </w:rPr>
        <w:t> </w:t>
      </w:r>
      <w:r>
        <w:rPr/>
        <w:t>to</w:t>
      </w:r>
      <w:r>
        <w:rPr>
          <w:spacing w:val="15"/>
        </w:rPr>
        <w:t> </w:t>
      </w:r>
      <w:r>
        <w:rPr/>
        <w:t>terminate,</w:t>
      </w:r>
      <w:r>
        <w:rPr>
          <w:spacing w:val="15"/>
        </w:rPr>
        <w:t> </w:t>
      </w:r>
      <w:r>
        <w:rPr/>
        <w:t>even</w:t>
      </w:r>
      <w:r>
        <w:rPr>
          <w:spacing w:val="15"/>
        </w:rPr>
        <w:t> </w:t>
      </w:r>
      <w:r>
        <w:rPr/>
        <w:t>when</w:t>
      </w:r>
      <w:r>
        <w:rPr>
          <w:spacing w:val="15"/>
        </w:rPr>
        <w:t> </w:t>
      </w:r>
      <w:r>
        <w:rPr/>
        <w:t>the</w:t>
      </w:r>
      <w:r>
        <w:rPr>
          <w:spacing w:val="15"/>
        </w:rPr>
        <w:t> </w:t>
      </w:r>
      <w:r>
        <w:rPr/>
        <w:t>right</w:t>
      </w:r>
      <w:r>
        <w:rPr>
          <w:spacing w:val="15"/>
        </w:rPr>
        <w:t> </w:t>
      </w:r>
      <w:r>
        <w:rPr/>
        <w:t>would</w:t>
      </w:r>
      <w:r>
        <w:rPr>
          <w:spacing w:val="15"/>
        </w:rPr>
        <w:t> </w:t>
      </w:r>
      <w:r>
        <w:rPr/>
        <w:t>not</w:t>
      </w:r>
      <w:r>
        <w:rPr>
          <w:spacing w:val="15"/>
        </w:rPr>
        <w:t> </w:t>
      </w:r>
      <w:r>
        <w:rPr/>
        <w:t>exist</w:t>
      </w:r>
      <w:r>
        <w:rPr>
          <w:spacing w:val="15"/>
        </w:rPr>
        <w:t> </w:t>
      </w:r>
      <w:r>
        <w:rPr/>
        <w:t>at</w:t>
      </w:r>
      <w:r>
        <w:rPr>
          <w:spacing w:val="15"/>
        </w:rPr>
        <w:t> </w:t>
      </w:r>
      <w:r>
        <w:rPr/>
        <w:t>common</w:t>
      </w:r>
      <w:r>
        <w:rPr>
          <w:spacing w:val="15"/>
        </w:rPr>
        <w:t> </w:t>
      </w:r>
      <w:r>
        <w:rPr/>
        <w:t>law</w:t>
      </w:r>
      <w:r>
        <w:rPr>
          <w:spacing w:val="15"/>
        </w:rPr>
        <w:t> </w:t>
      </w:r>
      <w:r>
        <w:rPr/>
        <w:t>and</w:t>
      </w:r>
      <w:r>
        <w:rPr>
          <w:spacing w:val="15"/>
        </w:rPr>
        <w:t> </w:t>
      </w:r>
      <w:r>
        <w:rPr>
          <w:spacing w:val="-2"/>
        </w:rPr>
        <w:t>arises</w:t>
      </w:r>
    </w:p>
    <w:p>
      <w:pPr>
        <w:pStyle w:val="BodyText"/>
        <w:spacing w:line="235" w:lineRule="auto" w:before="119"/>
        <w:ind w:left="165" w:right="167"/>
        <w:jc w:val="both"/>
      </w:pPr>
      <w:r>
        <w:rPr/>
        <w:t>only because of an express term of the contract.</w:t>
      </w:r>
      <w:r>
        <w:rPr>
          <w:spacing w:val="-1"/>
        </w:rPr>
        <w:t> </w:t>
      </w:r>
      <w:hyperlink w:history="true" w:anchor="_bookmark2570">
        <w:r>
          <w:rPr>
            <w:color w:val="005DA1"/>
            <w:u w:val="single" w:color="005DA1"/>
            <w:vertAlign w:val="superscript"/>
          </w:rPr>
          <w:t>1329</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192" name="Image 1192"/>
              <wp:cNvGraphicFramePr>
                <a:graphicFrameLocks/>
              </wp:cNvGraphicFramePr>
              <a:graphic>
                <a:graphicData uri="http://schemas.openxmlformats.org/drawingml/2006/picture">
                  <pic:pic>
                    <pic:nvPicPr>
                      <pic:cNvPr id="1192" name="Image 11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The Court’s remarks might apply, however, if </w:t>
        </w:r>
        <w:bookmarkStart w:name="_bookmark2530" w:id="2532"/>
        <w:bookmarkEnd w:id="2532"/>
        <w:r>
          <w:rPr>
            <w:vertAlign w:val="baseline"/>
          </w:rPr>
          <w:t>the</w:t>
        </w:r>
        <w:r>
          <w:rPr>
            <w:spacing w:val="32"/>
            <w:vertAlign w:val="baseline"/>
          </w:rPr>
          <w:t> </w:t>
        </w:r>
        <w:r>
          <w:rPr>
            <w:vertAlign w:val="baseline"/>
          </w:rPr>
          <w:t>tenant</w:t>
        </w:r>
        <w:r>
          <w:rPr>
            <w:spacing w:val="32"/>
            <w:vertAlign w:val="baseline"/>
          </w:rPr>
          <w:t> </w:t>
        </w:r>
        <w:r>
          <w:rPr>
            <w:vertAlign w:val="baseline"/>
          </w:rPr>
          <w:t>has</w:t>
        </w:r>
        <w:r>
          <w:rPr>
            <w:spacing w:val="32"/>
            <w:vertAlign w:val="baseline"/>
          </w:rPr>
          <w:t> </w:t>
        </w:r>
        <w:r>
          <w:rPr>
            <w:vertAlign w:val="baseline"/>
          </w:rPr>
          <w:t>paid</w:t>
        </w:r>
        <w:r>
          <w:rPr>
            <w:spacing w:val="32"/>
            <w:vertAlign w:val="baseline"/>
          </w:rPr>
          <w:t> </w:t>
        </w:r>
        <w:r>
          <w:rPr>
            <w:vertAlign w:val="baseline"/>
          </w:rPr>
          <w:t>a</w:t>
        </w:r>
        <w:r>
          <w:rPr>
            <w:spacing w:val="32"/>
            <w:vertAlign w:val="baseline"/>
          </w:rPr>
          <w:t> </w:t>
        </w:r>
        <w:r>
          <w:rPr>
            <w:vertAlign w:val="baseline"/>
          </w:rPr>
          <w:t>premium</w:t>
        </w:r>
        <w:r>
          <w:rPr>
            <w:spacing w:val="32"/>
            <w:vertAlign w:val="baseline"/>
          </w:rPr>
          <w:t> </w:t>
        </w:r>
        <w:r>
          <w:rPr>
            <w:vertAlign w:val="baseline"/>
          </w:rPr>
          <w:t>that</w:t>
        </w:r>
        <w:r>
          <w:rPr>
            <w:spacing w:val="32"/>
            <w:vertAlign w:val="baseline"/>
          </w:rPr>
          <w:t> </w:t>
        </w:r>
        <w:r>
          <w:rPr>
            <w:vertAlign w:val="baseline"/>
          </w:rPr>
          <w:t>would</w:t>
        </w:r>
        <w:r>
          <w:rPr>
            <w:spacing w:val="32"/>
            <w:vertAlign w:val="baseline"/>
          </w:rPr>
          <w:t> </w:t>
        </w:r>
        <w:r>
          <w:rPr>
            <w:vertAlign w:val="baseline"/>
          </w:rPr>
          <w:t>not</w:t>
        </w:r>
        <w:r>
          <w:rPr>
            <w:spacing w:val="32"/>
            <w:vertAlign w:val="baseline"/>
          </w:rPr>
          <w:t> </w:t>
        </w:r>
        <w:r>
          <w:rPr>
            <w:vertAlign w:val="baseline"/>
          </w:rPr>
          <w:t>be</w:t>
        </w:r>
        <w:r>
          <w:rPr>
            <w:spacing w:val="32"/>
            <w:vertAlign w:val="baseline"/>
          </w:rPr>
          <w:t> </w:t>
        </w:r>
        <w:r>
          <w:rPr>
            <w:vertAlign w:val="baseline"/>
          </w:rPr>
          <w:t>returnable,</w:t>
        </w:r>
        <w:r>
          <w:rPr>
            <w:spacing w:val="32"/>
            <w:vertAlign w:val="baseline"/>
          </w:rPr>
          <w:t> </w:t>
        </w:r>
        <w:r>
          <w:rPr>
            <w:vertAlign w:val="baseline"/>
          </w:rPr>
          <w:t>so</w:t>
        </w:r>
        <w:r>
          <w:rPr>
            <w:spacing w:val="32"/>
            <w:vertAlign w:val="baseline"/>
          </w:rPr>
          <w:t> </w:t>
        </w:r>
        <w:r>
          <w:rPr>
            <w:vertAlign w:val="baseline"/>
          </w:rPr>
          <w:t>that</w:t>
        </w:r>
        <w:r>
          <w:rPr>
            <w:spacing w:val="32"/>
            <w:vertAlign w:val="baseline"/>
          </w:rPr>
          <w:t> </w:t>
        </w:r>
        <w:r>
          <w:rPr>
            <w:vertAlign w:val="baseline"/>
          </w:rPr>
          <w:t>in</w:t>
        </w:r>
        <w:r>
          <w:rPr>
            <w:spacing w:val="32"/>
            <w:vertAlign w:val="baseline"/>
          </w:rPr>
          <w:t> </w:t>
        </w:r>
        <w:r>
          <w:rPr>
            <w:vertAlign w:val="baseline"/>
          </w:rPr>
          <w:t>effect</w:t>
        </w:r>
        <w:r>
          <w:rPr>
            <w:spacing w:val="32"/>
            <w:vertAlign w:val="baseline"/>
          </w:rPr>
          <w:t> </w:t>
        </w:r>
        <w:r>
          <w:rPr>
            <w:vertAlign w:val="baseline"/>
          </w:rPr>
          <w:t>the</w:t>
        </w:r>
        <w:r>
          <w:rPr>
            <w:spacing w:val="32"/>
            <w:vertAlign w:val="baseline"/>
          </w:rPr>
          <w:t> </w:t>
        </w:r>
        <w:r>
          <w:rPr>
            <w:vertAlign w:val="baseline"/>
          </w:rPr>
          <w:t>tenant</w:t>
        </w:r>
        <w:r>
          <w:rPr>
            <w:spacing w:val="32"/>
            <w:vertAlign w:val="baseline"/>
          </w:rPr>
          <w:t> </w:t>
        </w:r>
        <w:r>
          <w:rPr>
            <w:vertAlign w:val="baseline"/>
          </w:rPr>
          <w:t>ends</w:t>
        </w:r>
        <w:r>
          <w:rPr>
            <w:spacing w:val="32"/>
            <w:vertAlign w:val="baseline"/>
          </w:rPr>
          <w:t> </w:t>
        </w:r>
        <w:r>
          <w:rPr>
            <w:spacing w:val="-5"/>
            <w:vertAlign w:val="baseline"/>
          </w:rPr>
          <w:t>up</w:t>
        </w:r>
      </w:hyperlink>
    </w:p>
    <w:p>
      <w:pPr>
        <w:pStyle w:val="BodyText"/>
        <w:spacing w:before="115"/>
        <w:ind w:left="165"/>
        <w:jc w:val="both"/>
        <w:rPr>
          <w:position w:val="-2"/>
        </w:rPr>
      </w:pPr>
      <w:r>
        <w:rPr/>
        <w:t>paying in advance for occupation rights that he will not be able to exercise. </w:t>
      </w:r>
      <w:hyperlink w:history="true" w:anchor="_bookmark2571">
        <w:r>
          <w:rPr>
            <w:color w:val="005DA1"/>
            <w:u w:val="single" w:color="005DA1"/>
            <w:vertAlign w:val="superscript"/>
          </w:rPr>
          <w:t>1330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93" name="Image 1193"/>
              <wp:cNvGraphicFramePr>
                <a:graphicFrameLocks/>
              </wp:cNvGraphicFramePr>
              <a:graphic>
                <a:graphicData uri="http://schemas.openxmlformats.org/drawingml/2006/picture">
                  <pic:pic>
                    <pic:nvPicPr>
                      <pic:cNvPr id="1193" name="Image 11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34"/>
        <w:rPr>
          <w:sz w:val="24"/>
        </w:rPr>
      </w:pPr>
    </w:p>
    <w:p>
      <w:pPr>
        <w:spacing w:before="0"/>
        <w:ind w:left="165" w:right="0" w:firstLine="0"/>
        <w:jc w:val="left"/>
        <w:rPr>
          <w:rFonts w:ascii="Arial"/>
          <w:b/>
          <w:sz w:val="24"/>
        </w:rPr>
      </w:pPr>
      <w:r>
        <w:rPr>
          <w:rFonts w:ascii="Arial"/>
          <w:b/>
          <w:sz w:val="24"/>
        </w:rPr>
        <w:t>26-</w:t>
      </w:r>
      <w:r>
        <w:rPr>
          <w:rFonts w:ascii="Arial"/>
          <w:b/>
          <w:spacing w:val="-4"/>
          <w:sz w:val="24"/>
        </w:rPr>
        <w:t>216U</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94" name="Image 1194"/>
            <wp:cNvGraphicFramePr>
              <a:graphicFrameLocks/>
            </wp:cNvGraphicFramePr>
            <a:graphic>
              <a:graphicData uri="http://schemas.openxmlformats.org/drawingml/2006/picture">
                <pic:pic>
                  <pic:nvPicPr>
                    <pic:cNvPr id="1194" name="Image 119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only relatively recently that the courts began to grant a limited type of relief against forfeiture in a wider range of situations. A condition said to be necessary before equitable relief may be granted is that the forfeiture clause was inserted in order:</w:t>
      </w:r>
    </w:p>
    <w:p>
      <w:pPr>
        <w:pStyle w:val="BodyText"/>
      </w:pPr>
    </w:p>
    <w:p>
      <w:pPr>
        <w:pStyle w:val="BodyText"/>
        <w:spacing w:before="125"/>
      </w:pPr>
    </w:p>
    <w:p>
      <w:pPr>
        <w:pStyle w:val="BodyText"/>
        <w:spacing w:line="235" w:lineRule="auto" w:before="1"/>
        <w:ind w:left="1245" w:right="165"/>
      </w:pPr>
      <w:r>
        <w:rPr/>
        <w:t>“…</w:t>
      </w:r>
      <w:r>
        <w:rPr>
          <w:spacing w:val="26"/>
        </w:rPr>
        <w:t> </w:t>
      </w:r>
      <w:r>
        <w:rPr/>
        <w:t>to</w:t>
      </w:r>
      <w:r>
        <w:rPr>
          <w:spacing w:val="26"/>
        </w:rPr>
        <w:t> </w:t>
      </w:r>
      <w:r>
        <w:rPr/>
        <w:t>secure</w:t>
      </w:r>
      <w:r>
        <w:rPr>
          <w:spacing w:val="26"/>
        </w:rPr>
        <w:t> </w:t>
      </w:r>
      <w:r>
        <w:rPr/>
        <w:t>a</w:t>
      </w:r>
      <w:r>
        <w:rPr>
          <w:spacing w:val="26"/>
        </w:rPr>
        <w:t> </w:t>
      </w:r>
      <w:r>
        <w:rPr/>
        <w:t>stated</w:t>
      </w:r>
      <w:r>
        <w:rPr>
          <w:spacing w:val="26"/>
        </w:rPr>
        <w:t> </w:t>
      </w:r>
      <w:r>
        <w:rPr/>
        <w:t>result</w:t>
      </w:r>
      <w:r>
        <w:rPr>
          <w:spacing w:val="26"/>
        </w:rPr>
        <w:t> </w:t>
      </w:r>
      <w:r>
        <w:rPr/>
        <w:t>which</w:t>
      </w:r>
      <w:r>
        <w:rPr>
          <w:spacing w:val="26"/>
        </w:rPr>
        <w:t> </w:t>
      </w:r>
      <w:r>
        <w:rPr/>
        <w:t>can</w:t>
      </w:r>
      <w:r>
        <w:rPr>
          <w:spacing w:val="26"/>
        </w:rPr>
        <w:t> </w:t>
      </w:r>
      <w:r>
        <w:rPr/>
        <w:t>effectively</w:t>
      </w:r>
      <w:r>
        <w:rPr>
          <w:spacing w:val="26"/>
        </w:rPr>
        <w:t> </w:t>
      </w:r>
      <w:r>
        <w:rPr/>
        <w:t>be</w:t>
      </w:r>
      <w:r>
        <w:rPr>
          <w:spacing w:val="26"/>
        </w:rPr>
        <w:t> </w:t>
      </w:r>
      <w:r>
        <w:rPr/>
        <w:t>attained</w:t>
      </w:r>
      <w:r>
        <w:rPr>
          <w:spacing w:val="26"/>
        </w:rPr>
        <w:t> </w:t>
      </w:r>
      <w:r>
        <w:rPr/>
        <w:t>when</w:t>
      </w:r>
      <w:r>
        <w:rPr>
          <w:spacing w:val="26"/>
        </w:rPr>
        <w:t> </w:t>
      </w:r>
      <w:r>
        <w:rPr/>
        <w:t>the</w:t>
      </w:r>
      <w:r>
        <w:rPr>
          <w:spacing w:val="26"/>
        </w:rPr>
        <w:t> </w:t>
      </w:r>
      <w:r>
        <w:rPr/>
        <w:t>matter</w:t>
      </w:r>
      <w:r>
        <w:rPr>
          <w:spacing w:val="26"/>
        </w:rPr>
        <w:t> </w:t>
      </w:r>
      <w:r>
        <w:rPr/>
        <w:t>comes </w:t>
      </w:r>
      <w:bookmarkStart w:name="_bookmark2531" w:id="2533"/>
      <w:bookmarkEnd w:id="2533"/>
      <w:r>
        <w:rPr/>
        <w:t>before</w:t>
      </w:r>
      <w:r>
        <w:rPr>
          <w:spacing w:val="25"/>
        </w:rPr>
        <w:t> </w:t>
      </w:r>
      <w:r>
        <w:rPr/>
        <w:t>the</w:t>
      </w:r>
      <w:r>
        <w:rPr>
          <w:spacing w:val="25"/>
        </w:rPr>
        <w:t> </w:t>
      </w:r>
      <w:r>
        <w:rPr/>
        <w:t>court,</w:t>
      </w:r>
      <w:r>
        <w:rPr>
          <w:spacing w:val="25"/>
        </w:rPr>
        <w:t> </w:t>
      </w:r>
      <w:r>
        <w:rPr/>
        <w:t>and</w:t>
      </w:r>
      <w:r>
        <w:rPr>
          <w:spacing w:val="25"/>
        </w:rPr>
        <w:t> </w:t>
      </w:r>
      <w:r>
        <w:rPr/>
        <w:t>where</w:t>
      </w:r>
      <w:r>
        <w:rPr>
          <w:spacing w:val="25"/>
        </w:rPr>
        <w:t> </w:t>
      </w:r>
      <w:r>
        <w:rPr/>
        <w:t>the</w:t>
      </w:r>
      <w:r>
        <w:rPr>
          <w:spacing w:val="25"/>
        </w:rPr>
        <w:t> </w:t>
      </w:r>
      <w:r>
        <w:rPr/>
        <w:t>forfeiture</w:t>
      </w:r>
      <w:r>
        <w:rPr>
          <w:spacing w:val="25"/>
        </w:rPr>
        <w:t> </w:t>
      </w:r>
      <w:r>
        <w:rPr/>
        <w:t>provision</w:t>
      </w:r>
      <w:r>
        <w:rPr>
          <w:spacing w:val="25"/>
        </w:rPr>
        <w:t> </w:t>
      </w:r>
      <w:r>
        <w:rPr/>
        <w:t>is</w:t>
      </w:r>
      <w:r>
        <w:rPr>
          <w:spacing w:val="25"/>
        </w:rPr>
        <w:t> </w:t>
      </w:r>
      <w:r>
        <w:rPr/>
        <w:t>added</w:t>
      </w:r>
      <w:r>
        <w:rPr>
          <w:spacing w:val="25"/>
        </w:rPr>
        <w:t> </w:t>
      </w:r>
      <w:r>
        <w:rPr/>
        <w:t>by</w:t>
      </w:r>
      <w:r>
        <w:rPr>
          <w:spacing w:val="25"/>
        </w:rPr>
        <w:t> </w:t>
      </w:r>
      <w:r>
        <w:rPr/>
        <w:t>way</w:t>
      </w:r>
      <w:r>
        <w:rPr>
          <w:spacing w:val="25"/>
        </w:rPr>
        <w:t> </w:t>
      </w:r>
      <w:r>
        <w:rPr/>
        <w:t>of</w:t>
      </w:r>
      <w:r>
        <w:rPr>
          <w:spacing w:val="25"/>
        </w:rPr>
        <w:t> </w:t>
      </w:r>
      <w:r>
        <w:rPr/>
        <w:t>security</w:t>
      </w:r>
      <w:r>
        <w:rPr>
          <w:spacing w:val="25"/>
        </w:rPr>
        <w:t> </w:t>
      </w:r>
      <w:r>
        <w:rPr/>
        <w:t>for</w:t>
      </w:r>
      <w:r>
        <w:rPr>
          <w:spacing w:val="25"/>
        </w:rPr>
        <w:t> </w:t>
      </w:r>
      <w:r>
        <w:rPr>
          <w:spacing w:val="-5"/>
        </w:rPr>
        <w:t>the</w:t>
      </w:r>
    </w:p>
    <w:p>
      <w:pPr>
        <w:pStyle w:val="BodyText"/>
        <w:spacing w:before="115"/>
        <w:ind w:left="1245"/>
        <w:rPr>
          <w:position w:val="-2"/>
        </w:rPr>
      </w:pPr>
      <w:r>
        <w:rPr/>
        <w:t>production of that result.” </w:t>
      </w:r>
      <w:hyperlink w:history="true" w:anchor="_bookmark2572">
        <w:r>
          <w:rPr>
            <w:color w:val="005DA1"/>
            <w:u w:val="single" w:color="005DA1"/>
            <w:vertAlign w:val="superscript"/>
          </w:rPr>
          <w:t>1331</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95" name="Image 1195"/>
              <wp:cNvGraphicFramePr>
                <a:graphicFrameLocks/>
              </wp:cNvGraphicFramePr>
              <a:graphic>
                <a:graphicData uri="http://schemas.openxmlformats.org/drawingml/2006/picture">
                  <pic:pic>
                    <pic:nvPicPr>
                      <pic:cNvPr id="1195" name="Image 11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5"/>
      </w:pPr>
    </w:p>
    <w:p>
      <w:pPr>
        <w:pStyle w:val="BodyText"/>
        <w:spacing w:line="235" w:lineRule="auto" w:before="1"/>
        <w:ind w:left="165" w:right="166"/>
        <w:jc w:val="both"/>
      </w:pPr>
      <w:bookmarkStart w:name="_bookmark2532" w:id="2534"/>
      <w:bookmarkEnd w:id="2534"/>
      <w:r>
        <w:rPr/>
      </w:r>
      <w:r>
        <w:rPr/>
        <w:t>The wider development began in 1954 with </w:t>
      </w:r>
      <w:r>
        <w:rPr>
          <w:rFonts w:ascii="Arial"/>
          <w:i/>
        </w:rPr>
        <w:t>Stockloser v Johnson </w:t>
      </w:r>
      <w:hyperlink w:history="true" w:anchor="_bookmark2573">
        <w:r>
          <w:rPr>
            <w:color w:val="005DA1"/>
            <w:u w:val="single" w:color="005DA1"/>
            <w:vertAlign w:val="superscript"/>
          </w:rPr>
          <w:t>1332</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1196" name="Image 1196"/>
              <wp:cNvGraphicFramePr>
                <a:graphicFrameLocks/>
              </wp:cNvGraphicFramePr>
              <a:graphic>
                <a:graphicData uri="http://schemas.openxmlformats.org/drawingml/2006/picture">
                  <pic:pic>
                    <pic:nvPicPr>
                      <pic:cNvPr id="1196" name="Image 11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vertAlign w:val="baseline"/>
          </w:rPr>
          <w:t>: there was a provision, in </w:t>
        </w:r>
        <w:r>
          <w:rPr>
            <w:vertAlign w:val="baseline"/>
          </w:rPr>
          <w:t>a contract to purchase plant and machinery by instalment payments, that upon default by the buyer, the seller might terminate the contract and forfeit the instalments already paid. The majority of the Court</w:t>
        </w:r>
        <w:r>
          <w:rPr>
            <w:spacing w:val="40"/>
            <w:vertAlign w:val="baseline"/>
          </w:rPr>
          <w:t> </w:t>
        </w:r>
        <w:r>
          <w:rPr>
            <w:vertAlign w:val="baseline"/>
          </w:rPr>
          <w:t>of Appeal held that the court has an equitable jurisdiction to relieve against forfeiture of such instalments, even after termination of the contract, if in the actual circumstances of the case the clause was penal and it would be oppressive and unconscionable for the seller to retain all the </w:t>
        </w:r>
        <w:bookmarkStart w:name="_bookmark2533" w:id="2535"/>
        <w:bookmarkEnd w:id="2535"/>
        <w:r>
          <w:rPr>
            <w:vertAlign w:val="baseline"/>
          </w:rPr>
          <w:t>instalments.</w:t>
        </w:r>
        <w:r>
          <w:rPr>
            <w:spacing w:val="44"/>
            <w:vertAlign w:val="baseline"/>
          </w:rPr>
          <w:t> </w:t>
        </w:r>
        <w:r>
          <w:rPr>
            <w:vertAlign w:val="baseline"/>
          </w:rPr>
          <w:t>In</w:t>
        </w:r>
        <w:r>
          <w:rPr>
            <w:spacing w:val="44"/>
            <w:vertAlign w:val="baseline"/>
          </w:rPr>
          <w:t> </w:t>
        </w:r>
        <w:r>
          <w:rPr>
            <w:vertAlign w:val="baseline"/>
          </w:rPr>
          <w:t>1983,</w:t>
        </w:r>
        <w:r>
          <w:rPr>
            <w:spacing w:val="44"/>
            <w:vertAlign w:val="baseline"/>
          </w:rPr>
          <w:t> </w:t>
        </w:r>
        <w:r>
          <w:rPr>
            <w:vertAlign w:val="baseline"/>
          </w:rPr>
          <w:t>the</w:t>
        </w:r>
        <w:r>
          <w:rPr>
            <w:spacing w:val="44"/>
            <w:vertAlign w:val="baseline"/>
          </w:rPr>
          <w:t> </w:t>
        </w:r>
        <w:r>
          <w:rPr>
            <w:vertAlign w:val="baseline"/>
          </w:rPr>
          <w:t>House</w:t>
        </w:r>
        <w:r>
          <w:rPr>
            <w:spacing w:val="44"/>
            <w:vertAlign w:val="baseline"/>
          </w:rPr>
          <w:t> </w:t>
        </w:r>
        <w:r>
          <w:rPr>
            <w:vertAlign w:val="baseline"/>
          </w:rPr>
          <w:t>of</w:t>
        </w:r>
        <w:r>
          <w:rPr>
            <w:spacing w:val="44"/>
            <w:vertAlign w:val="baseline"/>
          </w:rPr>
          <w:t> </w:t>
        </w:r>
        <w:r>
          <w:rPr>
            <w:vertAlign w:val="baseline"/>
          </w:rPr>
          <w:t>Lords</w:t>
        </w:r>
        <w:r>
          <w:rPr>
            <w:spacing w:val="44"/>
            <w:vertAlign w:val="baseline"/>
          </w:rPr>
          <w:t> </w:t>
        </w:r>
        <w:r>
          <w:rPr>
            <w:vertAlign w:val="baseline"/>
          </w:rPr>
          <w:t>upheld</w:t>
        </w:r>
        <w:r>
          <w:rPr>
            <w:spacing w:val="44"/>
            <w:vertAlign w:val="baseline"/>
          </w:rPr>
          <w:t> </w:t>
        </w:r>
        <w:r>
          <w:rPr>
            <w:vertAlign w:val="baseline"/>
          </w:rPr>
          <w:t>the</w:t>
        </w:r>
        <w:r>
          <w:rPr>
            <w:spacing w:val="44"/>
            <w:vertAlign w:val="baseline"/>
          </w:rPr>
          <w:t> </w:t>
        </w:r>
        <w:r>
          <w:rPr>
            <w:vertAlign w:val="baseline"/>
          </w:rPr>
          <w:t>jurisdiction</w:t>
        </w:r>
        <w:r>
          <w:rPr>
            <w:spacing w:val="44"/>
            <w:vertAlign w:val="baseline"/>
          </w:rPr>
          <w:t> </w:t>
        </w:r>
        <w:r>
          <w:rPr>
            <w:vertAlign w:val="baseline"/>
          </w:rPr>
          <w:t>to</w:t>
        </w:r>
        <w:r>
          <w:rPr>
            <w:spacing w:val="44"/>
            <w:vertAlign w:val="baseline"/>
          </w:rPr>
          <w:t> </w:t>
        </w:r>
        <w:r>
          <w:rPr>
            <w:vertAlign w:val="baseline"/>
          </w:rPr>
          <w:t>relieve</w:t>
        </w:r>
        <w:r>
          <w:rPr>
            <w:spacing w:val="44"/>
            <w:vertAlign w:val="baseline"/>
          </w:rPr>
          <w:t> </w:t>
        </w:r>
        <w:r>
          <w:rPr>
            <w:vertAlign w:val="baseline"/>
          </w:rPr>
          <w:t>against</w:t>
        </w:r>
        <w:r>
          <w:rPr>
            <w:spacing w:val="44"/>
            <w:vertAlign w:val="baseline"/>
          </w:rPr>
          <w:t> </w:t>
        </w:r>
        <w:r>
          <w:rPr>
            <w:vertAlign w:val="baseline"/>
          </w:rPr>
          <w:t>forfeiture,</w:t>
        </w:r>
        <w:r>
          <w:rPr>
            <w:spacing w:val="44"/>
            <w:vertAlign w:val="baseline"/>
          </w:rPr>
          <w:t> </w:t>
        </w:r>
        <w:r>
          <w:rPr>
            <w:spacing w:val="-5"/>
            <w:vertAlign w:val="baseline"/>
          </w:rPr>
          <w:t>but</w:t>
        </w:r>
      </w:hyperlink>
    </w:p>
    <w:p>
      <w:pPr>
        <w:pStyle w:val="BodyText"/>
        <w:spacing w:line="227" w:lineRule="exact" w:before="113"/>
        <w:ind w:left="165"/>
        <w:jc w:val="both"/>
        <w:rPr>
          <w:position w:val="-2"/>
        </w:rPr>
      </w:pPr>
      <w:r>
        <w:rPr/>
        <w:t>limited</w:t>
      </w:r>
      <w:r>
        <w:rPr>
          <w:spacing w:val="23"/>
        </w:rPr>
        <w:t> </w:t>
      </w:r>
      <w:r>
        <w:rPr/>
        <w:t>it</w:t>
      </w:r>
      <w:r>
        <w:rPr>
          <w:spacing w:val="23"/>
        </w:rPr>
        <w:t> </w:t>
      </w:r>
      <w:r>
        <w:rPr/>
        <w:t>to</w:t>
      </w:r>
      <w:r>
        <w:rPr>
          <w:spacing w:val="23"/>
        </w:rPr>
        <w:t> </w:t>
      </w:r>
      <w:r>
        <w:rPr/>
        <w:t>contracts</w:t>
      </w:r>
      <w:r>
        <w:rPr>
          <w:spacing w:val="23"/>
        </w:rPr>
        <w:t> </w:t>
      </w:r>
      <w:r>
        <w:rPr/>
        <w:t>concerning</w:t>
      </w:r>
      <w:r>
        <w:rPr>
          <w:spacing w:val="23"/>
        </w:rPr>
        <w:t> </w:t>
      </w:r>
      <w:r>
        <w:rPr/>
        <w:t>the</w:t>
      </w:r>
      <w:r>
        <w:rPr>
          <w:spacing w:val="23"/>
        </w:rPr>
        <w:t> </w:t>
      </w:r>
      <w:r>
        <w:rPr/>
        <w:t>transfer</w:t>
      </w:r>
      <w:r>
        <w:rPr>
          <w:spacing w:val="23"/>
        </w:rPr>
        <w:t> </w:t>
      </w:r>
      <w:r>
        <w:rPr/>
        <w:t>or</w:t>
      </w:r>
      <w:r>
        <w:rPr>
          <w:spacing w:val="23"/>
        </w:rPr>
        <w:t> </w:t>
      </w:r>
      <w:r>
        <w:rPr/>
        <w:t>creation</w:t>
      </w:r>
      <w:r>
        <w:rPr>
          <w:spacing w:val="23"/>
        </w:rPr>
        <w:t> </w:t>
      </w:r>
      <w:r>
        <w:rPr/>
        <w:t>of</w:t>
      </w:r>
      <w:r>
        <w:rPr>
          <w:spacing w:val="23"/>
        </w:rPr>
        <w:t> </w:t>
      </w:r>
      <w:r>
        <w:rPr/>
        <w:t>proprietary</w:t>
      </w:r>
      <w:r>
        <w:rPr>
          <w:spacing w:val="23"/>
        </w:rPr>
        <w:t> </w:t>
      </w:r>
      <w:r>
        <w:rPr/>
        <w:t>or</w:t>
      </w:r>
      <w:r>
        <w:rPr>
          <w:spacing w:val="23"/>
        </w:rPr>
        <w:t> </w:t>
      </w:r>
      <w:r>
        <w:rPr/>
        <w:t>possessory</w:t>
      </w:r>
      <w:r>
        <w:rPr>
          <w:spacing w:val="23"/>
        </w:rPr>
        <w:t> </w:t>
      </w:r>
      <w:r>
        <w:rPr/>
        <w:t>rights.</w:t>
      </w:r>
      <w:r>
        <w:rPr>
          <w:spacing w:val="22"/>
        </w:rPr>
        <w:t> </w:t>
      </w:r>
      <w:hyperlink w:history="true" w:anchor="_bookmark2574">
        <w:r>
          <w:rPr>
            <w:color w:val="005DA1"/>
            <w:u w:val="single" w:color="005DA1"/>
            <w:vertAlign w:val="superscript"/>
          </w:rPr>
          <w:t>1333</w:t>
        </w:r>
        <w:r>
          <w:rPr>
            <w:color w:val="005DA1"/>
            <w:spacing w:val="63"/>
            <w:vertAlign w:val="baseline"/>
          </w:rPr>
          <w:t>  </w:t>
        </w:r>
        <w:r>
          <w:rPr>
            <w:color w:val="005DA1"/>
            <w:spacing w:val="-4"/>
            <w:position w:val="-2"/>
            <w:vertAlign w:val="baseline"/>
          </w:rPr>
          <w:drawing>
            <wp:inline distT="0" distB="0" distL="0" distR="0">
              <wp:extent cx="107988" cy="107988"/>
              <wp:effectExtent l="0" t="0" r="0" b="0"/>
              <wp:docPr id="1197" name="Image 1197"/>
              <wp:cNvGraphicFramePr>
                <a:graphicFrameLocks/>
              </wp:cNvGraphicFramePr>
              <a:graphic>
                <a:graphicData uri="http://schemas.openxmlformats.org/drawingml/2006/picture">
                  <pic:pic>
                    <pic:nvPicPr>
                      <pic:cNvPr id="1197" name="Image 11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hyperlink>
    </w:p>
    <w:p>
      <w:pPr>
        <w:pStyle w:val="BodyText"/>
        <w:spacing w:line="227" w:lineRule="exact"/>
        <w:ind w:left="165"/>
        <w:jc w:val="both"/>
      </w:pPr>
      <w:bookmarkStart w:name="_bookmark2534" w:id="2536"/>
      <w:bookmarkEnd w:id="2536"/>
      <w:r>
        <w:rPr/>
      </w:r>
      <w:r>
        <w:rPr/>
        <w:t>Thus</w:t>
      </w:r>
      <w:r>
        <w:rPr>
          <w:spacing w:val="10"/>
        </w:rPr>
        <w:t> </w:t>
      </w:r>
      <w:r>
        <w:rPr/>
        <w:t>it</w:t>
      </w:r>
      <w:r>
        <w:rPr>
          <w:spacing w:val="10"/>
        </w:rPr>
        <w:t> </w:t>
      </w:r>
      <w:r>
        <w:rPr/>
        <w:t>did</w:t>
      </w:r>
      <w:r>
        <w:rPr>
          <w:spacing w:val="10"/>
        </w:rPr>
        <w:t> </w:t>
      </w:r>
      <w:r>
        <w:rPr/>
        <w:t>not</w:t>
      </w:r>
      <w:r>
        <w:rPr>
          <w:spacing w:val="10"/>
        </w:rPr>
        <w:t> </w:t>
      </w:r>
      <w:r>
        <w:rPr/>
        <w:t>apply</w:t>
      </w:r>
      <w:r>
        <w:rPr>
          <w:spacing w:val="10"/>
        </w:rPr>
        <w:t> </w:t>
      </w:r>
      <w:r>
        <w:rPr/>
        <w:t>to</w:t>
      </w:r>
      <w:r>
        <w:rPr>
          <w:spacing w:val="10"/>
        </w:rPr>
        <w:t> </w:t>
      </w:r>
      <w:r>
        <w:rPr/>
        <w:t>the</w:t>
      </w:r>
      <w:r>
        <w:rPr>
          <w:spacing w:val="10"/>
        </w:rPr>
        <w:t> </w:t>
      </w:r>
      <w:r>
        <w:rPr/>
        <w:t>facts</w:t>
      </w:r>
      <w:r>
        <w:rPr>
          <w:spacing w:val="10"/>
        </w:rPr>
        <w:t> </w:t>
      </w:r>
      <w:r>
        <w:rPr/>
        <w:t>of</w:t>
      </w:r>
      <w:r>
        <w:rPr>
          <w:spacing w:val="10"/>
        </w:rPr>
        <w:t> </w:t>
      </w:r>
      <w:r>
        <w:rPr/>
        <w:t>the</w:t>
      </w:r>
      <w:r>
        <w:rPr>
          <w:spacing w:val="10"/>
        </w:rPr>
        <w:t> </w:t>
      </w:r>
      <w:r>
        <w:rPr/>
        <w:t>case</w:t>
      </w:r>
      <w:r>
        <w:rPr>
          <w:spacing w:val="10"/>
        </w:rPr>
        <w:t> </w:t>
      </w:r>
      <w:r>
        <w:rPr/>
        <w:t>before</w:t>
      </w:r>
      <w:r>
        <w:rPr>
          <w:spacing w:val="10"/>
        </w:rPr>
        <w:t> </w:t>
      </w:r>
      <w:r>
        <w:rPr/>
        <w:t>the</w:t>
      </w:r>
      <w:r>
        <w:rPr>
          <w:spacing w:val="10"/>
        </w:rPr>
        <w:t> </w:t>
      </w:r>
      <w:r>
        <w:rPr/>
        <w:t>House,</w:t>
      </w:r>
      <w:r>
        <w:rPr>
          <w:spacing w:val="10"/>
        </w:rPr>
        <w:t> </w:t>
      </w:r>
      <w:r>
        <w:rPr/>
        <w:t>where</w:t>
      </w:r>
      <w:r>
        <w:rPr>
          <w:spacing w:val="10"/>
        </w:rPr>
        <w:t> </w:t>
      </w:r>
      <w:r>
        <w:rPr/>
        <w:t>a</w:t>
      </w:r>
      <w:r>
        <w:rPr>
          <w:spacing w:val="10"/>
        </w:rPr>
        <w:t> </w:t>
      </w:r>
      <w:r>
        <w:rPr/>
        <w:t>shipowner</w:t>
      </w:r>
      <w:r>
        <w:rPr>
          <w:spacing w:val="10"/>
        </w:rPr>
        <w:t> </w:t>
      </w:r>
      <w:r>
        <w:rPr/>
        <w:t>withdrew</w:t>
      </w:r>
      <w:r>
        <w:rPr>
          <w:spacing w:val="10"/>
        </w:rPr>
        <w:t> </w:t>
      </w:r>
      <w:r>
        <w:rPr/>
        <w:t>his</w:t>
      </w:r>
      <w:r>
        <w:rPr>
          <w:spacing w:val="10"/>
        </w:rPr>
        <w:t> </w:t>
      </w:r>
      <w:r>
        <w:rPr>
          <w:spacing w:val="-4"/>
        </w:rPr>
        <w:t>ship</w:t>
      </w:r>
    </w:p>
    <w:p>
      <w:pPr>
        <w:pStyle w:val="BodyText"/>
        <w:spacing w:line="235" w:lineRule="auto" w:before="119"/>
        <w:ind w:left="165" w:right="167"/>
        <w:jc w:val="both"/>
      </w:pPr>
      <w:r>
        <w:rPr/>
        <w:t>(chartered under a time charter </w:t>
      </w:r>
      <w:hyperlink w:history="true" w:anchor="_bookmark2575">
        <w:r>
          <w:rPr>
            <w:color w:val="005DA1"/>
            <w:u w:val="single" w:color="005DA1"/>
            <w:vertAlign w:val="superscript"/>
          </w:rPr>
          <w:t>1334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198" name="Image 1198"/>
              <wp:cNvGraphicFramePr>
                <a:graphicFrameLocks/>
              </wp:cNvGraphicFramePr>
              <a:graphic>
                <a:graphicData uri="http://schemas.openxmlformats.org/drawingml/2006/picture">
                  <pic:pic>
                    <pic:nvPicPr>
                      <pic:cNvPr id="1198" name="Image 11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on the ground of the charterer’s failure to make punctual </w:t>
        </w:r>
        <w:bookmarkStart w:name="_bookmark2535" w:id="2537"/>
        <w:bookmarkEnd w:id="2537"/>
        <w:r>
          <w:rPr>
            <w:vertAlign w:val="baseline"/>
          </w:rPr>
          <w:t>payment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instalment</w:t>
        </w:r>
        <w:r>
          <w:rPr>
            <w:spacing w:val="2"/>
            <w:vertAlign w:val="baseline"/>
          </w:rPr>
          <w:t> </w:t>
        </w:r>
        <w:r>
          <w:rPr>
            <w:vertAlign w:val="baseline"/>
          </w:rPr>
          <w:t>of</w:t>
        </w:r>
        <w:r>
          <w:rPr>
            <w:spacing w:val="2"/>
            <w:vertAlign w:val="baseline"/>
          </w:rPr>
          <w:t> </w:t>
        </w:r>
        <w:r>
          <w:rPr>
            <w:vertAlign w:val="baseline"/>
          </w:rPr>
          <w:t>hire.</w:t>
        </w:r>
        <w:r>
          <w:rPr>
            <w:spacing w:val="2"/>
            <w:vertAlign w:val="baseline"/>
          </w:rPr>
          <w:t> </w:t>
        </w:r>
        <w:r>
          <w:rPr>
            <w:vertAlign w:val="baseline"/>
          </w:rPr>
          <w:t>Similarly,</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has</w:t>
        </w:r>
        <w:r>
          <w:rPr>
            <w:spacing w:val="2"/>
            <w:vertAlign w:val="baseline"/>
          </w:rPr>
          <w:t> </w:t>
        </w:r>
        <w:r>
          <w:rPr>
            <w:vertAlign w:val="baseline"/>
          </w:rPr>
          <w:t>refused</w:t>
        </w:r>
        <w:r>
          <w:rPr>
            <w:spacing w:val="2"/>
            <w:vertAlign w:val="baseline"/>
          </w:rPr>
          <w:t> </w:t>
        </w:r>
        <w:r>
          <w:rPr>
            <w:vertAlign w:val="baseline"/>
          </w:rPr>
          <w:t>relief</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spacing w:val="-2"/>
            <w:vertAlign w:val="baseline"/>
          </w:rPr>
          <w:t>forfeiture</w:t>
        </w:r>
      </w:hyperlink>
    </w:p>
    <w:p>
      <w:pPr>
        <w:pStyle w:val="BodyText"/>
        <w:spacing w:line="235" w:lineRule="auto" w:before="119"/>
        <w:ind w:left="165" w:right="167"/>
        <w:jc w:val="both"/>
      </w:pPr>
      <w:bookmarkStart w:name="_bookmark2536" w:id="2538"/>
      <w:bookmarkEnd w:id="2538"/>
      <w:r>
        <w:rPr/>
      </w:r>
      <w:r>
        <w:rPr/>
        <w:t>of “mere contractual licences” to use certain names and trade marks. </w:t>
      </w:r>
      <w:hyperlink w:history="true" w:anchor="_bookmark2576">
        <w:r>
          <w:rPr>
            <w:color w:val="005DA1"/>
            <w:u w:val="single" w:color="005DA1"/>
            <w:vertAlign w:val="superscript"/>
          </w:rPr>
          <w:t>1335</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199" name="Image 1199"/>
              <wp:cNvGraphicFramePr>
                <a:graphicFrameLocks/>
              </wp:cNvGraphicFramePr>
              <a:graphic>
                <a:graphicData uri="http://schemas.openxmlformats.org/drawingml/2006/picture">
                  <pic:pic>
                    <pic:nvPicPr>
                      <pic:cNvPr id="1199" name="Image 11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1"/>
            <w:vertAlign w:val="baseline"/>
          </w:rPr>
          <w:t> </w:t>
        </w:r>
        <w:r>
          <w:rPr>
            <w:vertAlign w:val="baseline"/>
          </w:rPr>
          <w:t>But the principle is </w:t>
        </w:r>
        <w:r>
          <w:rPr>
            <w:vertAlign w:val="baseline"/>
          </w:rPr>
          <w:t>not limited</w:t>
        </w:r>
        <w:r>
          <w:rPr>
            <w:spacing w:val="17"/>
            <w:vertAlign w:val="baseline"/>
          </w:rPr>
          <w:t> </w:t>
        </w:r>
        <w:r>
          <w:rPr>
            <w:vertAlign w:val="baseline"/>
          </w:rPr>
          <w:t>to</w:t>
        </w:r>
        <w:r>
          <w:rPr>
            <w:spacing w:val="17"/>
            <w:vertAlign w:val="baseline"/>
          </w:rPr>
          <w:t> </w:t>
        </w:r>
        <w:r>
          <w:rPr>
            <w:vertAlign w:val="baseline"/>
          </w:rPr>
          <w:t>real</w:t>
        </w:r>
        <w:r>
          <w:rPr>
            <w:spacing w:val="17"/>
            <w:vertAlign w:val="baseline"/>
          </w:rPr>
          <w:t> </w:t>
        </w:r>
        <w:r>
          <w:rPr>
            <w:vertAlign w:val="baseline"/>
          </w:rPr>
          <w:t>property,</w:t>
        </w:r>
        <w:r>
          <w:rPr>
            <w:spacing w:val="17"/>
            <w:vertAlign w:val="baseline"/>
          </w:rPr>
          <w:t> </w:t>
        </w:r>
        <w:r>
          <w:rPr>
            <w:vertAlign w:val="baseline"/>
          </w:rPr>
          <w:t>so</w:t>
        </w:r>
        <w:r>
          <w:rPr>
            <w:spacing w:val="17"/>
            <w:vertAlign w:val="baseline"/>
          </w:rPr>
          <w:t> </w:t>
        </w:r>
        <w:r>
          <w:rPr>
            <w:vertAlign w:val="baseline"/>
          </w:rPr>
          <w:t>the</w:t>
        </w:r>
        <w:r>
          <w:rPr>
            <w:spacing w:val="17"/>
            <w:vertAlign w:val="baseline"/>
          </w:rPr>
          <w:t> </w:t>
        </w:r>
        <w:r>
          <w:rPr>
            <w:vertAlign w:val="baseline"/>
          </w:rPr>
          <w:t>Privy</w:t>
        </w:r>
        <w:r>
          <w:rPr>
            <w:spacing w:val="17"/>
            <w:vertAlign w:val="baseline"/>
          </w:rPr>
          <w:t> </w:t>
        </w:r>
        <w:r>
          <w:rPr>
            <w:vertAlign w:val="baseline"/>
          </w:rPr>
          <w:t>Council</w:t>
        </w:r>
        <w:r>
          <w:rPr>
            <w:spacing w:val="17"/>
            <w:vertAlign w:val="baseline"/>
          </w:rPr>
          <w:t> </w:t>
        </w:r>
        <w:r>
          <w:rPr>
            <w:vertAlign w:val="baseline"/>
          </w:rPr>
          <w:t>has</w:t>
        </w:r>
        <w:r>
          <w:rPr>
            <w:spacing w:val="17"/>
            <w:vertAlign w:val="baseline"/>
          </w:rPr>
          <w:t> </w:t>
        </w:r>
        <w:r>
          <w:rPr>
            <w:vertAlign w:val="baseline"/>
          </w:rPr>
          <w:t>granted</w:t>
        </w:r>
        <w:r>
          <w:rPr>
            <w:spacing w:val="17"/>
            <w:vertAlign w:val="baseline"/>
          </w:rPr>
          <w:t> </w:t>
        </w:r>
        <w:r>
          <w:rPr>
            <w:vertAlign w:val="baseline"/>
          </w:rPr>
          <w:t>relief</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charge</w:t>
        </w:r>
        <w:r>
          <w:rPr>
            <w:spacing w:val="17"/>
            <w:vertAlign w:val="baseline"/>
          </w:rPr>
          <w:t> </w:t>
        </w:r>
        <w:r>
          <w:rPr>
            <w:vertAlign w:val="baseline"/>
          </w:rPr>
          <w:t>over</w:t>
        </w:r>
        <w:r>
          <w:rPr>
            <w:spacing w:val="17"/>
            <w:vertAlign w:val="baseline"/>
          </w:rPr>
          <w:t> </w:t>
        </w:r>
        <w:r>
          <w:rPr>
            <w:spacing w:val="-2"/>
            <w:vertAlign w:val="baseline"/>
          </w:rPr>
          <w:t>shares.</w:t>
        </w:r>
      </w:hyperlink>
    </w:p>
    <w:p>
      <w:pPr>
        <w:pStyle w:val="BodyText"/>
        <w:spacing w:line="235" w:lineRule="auto" w:before="119"/>
        <w:ind w:left="165" w:right="167"/>
        <w:jc w:val="both"/>
      </w:pPr>
      <w:hyperlink w:history="true" w:anchor="_bookmark2577">
        <w:r>
          <w:rPr>
            <w:color w:val="005DA1"/>
            <w:u w:val="single" w:color="005DA1"/>
            <w:vertAlign w:val="superscript"/>
          </w:rPr>
          <w:t>1336</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1200" name="Image 1200"/>
              <wp:cNvGraphicFramePr>
                <a:graphicFrameLocks/>
              </wp:cNvGraphicFramePr>
              <a:graphic>
                <a:graphicData uri="http://schemas.openxmlformats.org/drawingml/2006/picture">
                  <pic:pic>
                    <pic:nvPicPr>
                      <pic:cNvPr id="1200" name="Image 12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7"/>
            <w:vertAlign w:val="baseline"/>
          </w:rPr>
          <w:t> </w:t>
        </w:r>
        <w:r>
          <w:rPr>
            <w:vertAlign w:val="baseline"/>
          </w:rPr>
          <w:t>The Court of Appeal granted relief (in the form of an extension of time in which a payment </w:t>
        </w:r>
        <w:bookmarkStart w:name="_bookmark2537" w:id="2539"/>
        <w:bookmarkEnd w:id="2539"/>
        <w:r>
          <w:rPr>
            <w:vertAlign w:val="baseline"/>
          </w:rPr>
          <w:t>could</w:t>
        </w:r>
        <w:r>
          <w:rPr>
            <w:vertAlign w:val="baseline"/>
          </w:rPr>
          <w:t> be made by the defendant) in a commercial contract which provided that his failure to pay </w:t>
        </w:r>
        <w:r>
          <w:rPr>
            <w:vertAlign w:val="baseline"/>
          </w:rPr>
          <w:t>a</w:t>
        </w:r>
        <w:r>
          <w:rPr>
            <w:spacing w:val="40"/>
            <w:vertAlign w:val="baseline"/>
          </w:rPr>
          <w:t> </w:t>
        </w:r>
        <w:r>
          <w:rPr>
            <w:vertAlign w:val="baseline"/>
          </w:rPr>
          <w:t>sum</w:t>
        </w:r>
        <w:r>
          <w:rPr>
            <w:spacing w:val="13"/>
            <w:vertAlign w:val="baseline"/>
          </w:rPr>
          <w:t> </w:t>
        </w:r>
        <w:r>
          <w:rPr>
            <w:vertAlign w:val="baseline"/>
          </w:rPr>
          <w:t>on</w:t>
        </w:r>
        <w:r>
          <w:rPr>
            <w:spacing w:val="13"/>
            <w:vertAlign w:val="baseline"/>
          </w:rPr>
          <w:t> </w:t>
        </w:r>
        <w:r>
          <w:rPr>
            <w:vertAlign w:val="baseline"/>
          </w:rPr>
          <w:t>time</w:t>
        </w:r>
        <w:r>
          <w:rPr>
            <w:spacing w:val="13"/>
            <w:vertAlign w:val="baseline"/>
          </w:rPr>
          <w:t> </w:t>
        </w:r>
        <w:r>
          <w:rPr>
            <w:vertAlign w:val="baseline"/>
          </w:rPr>
          <w:t>would</w:t>
        </w:r>
        <w:r>
          <w:rPr>
            <w:spacing w:val="13"/>
            <w:vertAlign w:val="baseline"/>
          </w:rPr>
          <w:t> </w:t>
        </w:r>
        <w:r>
          <w:rPr>
            <w:vertAlign w:val="baseline"/>
          </w:rPr>
          <w:t>entitle</w:t>
        </w:r>
        <w:r>
          <w:rPr>
            <w:spacing w:val="13"/>
            <w:vertAlign w:val="baseline"/>
          </w:rPr>
          <w:t> </w:t>
        </w:r>
        <w:r>
          <w:rPr>
            <w:vertAlign w:val="baseline"/>
          </w:rPr>
          <w:t>the</w:t>
        </w:r>
        <w:r>
          <w:rPr>
            <w:spacing w:val="13"/>
            <w:vertAlign w:val="baseline"/>
          </w:rPr>
          <w:t> </w:t>
        </w:r>
        <w:r>
          <w:rPr>
            <w:vertAlign w:val="baseline"/>
          </w:rPr>
          <w:t>plaintiff</w:t>
        </w:r>
        <w:r>
          <w:rPr>
            <w:spacing w:val="13"/>
            <w:vertAlign w:val="baseline"/>
          </w:rPr>
          <w:t> </w:t>
        </w:r>
        <w:r>
          <w:rPr>
            <w:vertAlign w:val="baseline"/>
          </w:rPr>
          <w:t>to</w:t>
        </w:r>
        <w:r>
          <w:rPr>
            <w:spacing w:val="13"/>
            <w:vertAlign w:val="baseline"/>
          </w:rPr>
          <w:t> </w:t>
        </w:r>
        <w:r>
          <w:rPr>
            <w:vertAlign w:val="baseline"/>
          </w:rPr>
          <w:t>claim</w:t>
        </w:r>
        <w:r>
          <w:rPr>
            <w:spacing w:val="13"/>
            <w:vertAlign w:val="baseline"/>
          </w:rPr>
          <w:t> </w:t>
        </w:r>
        <w:r>
          <w:rPr>
            <w:vertAlign w:val="baseline"/>
          </w:rPr>
          <w:t>an</w:t>
        </w:r>
        <w:r>
          <w:rPr>
            <w:spacing w:val="13"/>
            <w:vertAlign w:val="baseline"/>
          </w:rPr>
          <w:t> </w:t>
        </w:r>
        <w:r>
          <w:rPr>
            <w:vertAlign w:val="baseline"/>
          </w:rPr>
          <w:t>assignment</w:t>
        </w:r>
        <w:r>
          <w:rPr>
            <w:spacing w:val="13"/>
            <w:vertAlign w:val="baseline"/>
          </w:rPr>
          <w:t> </w:t>
        </w:r>
        <w:r>
          <w:rPr>
            <w:vertAlign w:val="baseline"/>
          </w:rPr>
          <w:t>of</w:t>
        </w:r>
        <w:r>
          <w:rPr>
            <w:spacing w:val="13"/>
            <w:vertAlign w:val="baseline"/>
          </w:rPr>
          <w:t> </w:t>
        </w:r>
        <w:r>
          <w:rPr>
            <w:vertAlign w:val="baseline"/>
          </w:rPr>
          <w:t>patent</w:t>
        </w:r>
        <w:r>
          <w:rPr>
            <w:spacing w:val="13"/>
            <w:vertAlign w:val="baseline"/>
          </w:rPr>
          <w:t> </w:t>
        </w:r>
        <w:r>
          <w:rPr>
            <w:vertAlign w:val="baseline"/>
          </w:rPr>
          <w:t>rights</w:t>
        </w:r>
        <w:r>
          <w:rPr>
            <w:spacing w:val="13"/>
            <w:vertAlign w:val="baseline"/>
          </w:rPr>
          <w:t> </w:t>
        </w:r>
        <w:r>
          <w:rPr>
            <w:vertAlign w:val="baseline"/>
          </w:rPr>
          <w:t>held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spacing w:val="-2"/>
            <w:vertAlign w:val="baseline"/>
          </w:rPr>
          <w:t>defendant.</w:t>
        </w:r>
      </w:hyperlink>
    </w:p>
    <w:p>
      <w:pPr>
        <w:pStyle w:val="BodyText"/>
        <w:spacing w:before="9"/>
      </w:pPr>
    </w:p>
    <w:p>
      <w:pPr>
        <w:pStyle w:val="BodyText"/>
        <w:spacing w:line="235" w:lineRule="auto"/>
        <w:ind w:left="165" w:right="167"/>
        <w:jc w:val="both"/>
      </w:pPr>
      <w:bookmarkStart w:name="_bookmark2538" w:id="2540"/>
      <w:bookmarkEnd w:id="2540"/>
      <w:r>
        <w:rPr/>
      </w:r>
      <w:r>
        <w:rPr>
          <w:color w:val="005DA1"/>
          <w:u w:val="single" w:color="005DA1"/>
          <w:vertAlign w:val="superscript"/>
        </w:rPr>
        <w:t>1337</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201" name="Image 1201"/>
            <wp:cNvGraphicFramePr>
              <a:graphicFrameLocks/>
            </wp:cNvGraphicFramePr>
            <a:graphic>
              <a:graphicData uri="http://schemas.openxmlformats.org/drawingml/2006/picture">
                <pic:pic>
                  <pic:nvPicPr>
                    <pic:cNvPr id="1201" name="Image 12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2"/>
          <w:vertAlign w:val="baseline"/>
        </w:rPr>
        <w:t> </w:t>
      </w:r>
      <w:hyperlink w:history="true" w:anchor="_bookmark2579">
        <w:r>
          <w:rPr>
            <w:color w:val="005DA1"/>
            <w:u w:val="single" w:color="005DA1"/>
            <w:vertAlign w:val="superscript"/>
          </w:rPr>
          <w:t>1338</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202" name="Image 1202"/>
              <wp:cNvGraphicFramePr>
                <a:graphicFrameLocks/>
              </wp:cNvGraphicFramePr>
              <a:graphic>
                <a:graphicData uri="http://schemas.openxmlformats.org/drawingml/2006/picture">
                  <pic:pic>
                    <pic:nvPicPr>
                      <pic:cNvPr id="1202" name="Image 12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has</w:t>
        </w:r>
        <w:r>
          <w:rPr>
            <w:spacing w:val="-1"/>
            <w:vertAlign w:val="baseline"/>
          </w:rPr>
          <w:t> </w:t>
        </w:r>
        <w:r>
          <w:rPr>
            <w:vertAlign w:val="baseline"/>
          </w:rPr>
          <w:t>granted</w:t>
        </w:r>
        <w:r>
          <w:rPr>
            <w:spacing w:val="-1"/>
            <w:vertAlign w:val="baseline"/>
          </w:rPr>
          <w:t> </w:t>
        </w:r>
        <w:r>
          <w:rPr>
            <w:vertAlign w:val="baseline"/>
          </w:rPr>
          <w:t>relief</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lessee</w:t>
        </w:r>
        <w:r>
          <w:rPr>
            <w:spacing w:val="-1"/>
            <w:vertAlign w:val="baseline"/>
          </w:rPr>
          <w:t> </w:t>
        </w:r>
        <w:r>
          <w:rPr>
            <w:vertAlign w:val="baseline"/>
          </w:rPr>
          <w:t>of</w:t>
        </w:r>
        <w:r>
          <w:rPr>
            <w:spacing w:val="-1"/>
            <w:vertAlign w:val="baseline"/>
          </w:rPr>
          <w:t> </w:t>
        </w:r>
        <w:r>
          <w:rPr>
            <w:vertAlign w:val="baseline"/>
          </w:rPr>
          <w:t>chattels</w:t>
        </w:r>
        <w:r>
          <w:rPr>
            <w:spacing w:val="-1"/>
            <w:vertAlign w:val="baseline"/>
          </w:rPr>
          <w:t> </w:t>
        </w:r>
        <w:r>
          <w:rPr>
            <w:vertAlign w:val="baseline"/>
          </w:rPr>
          <w:t>from</w:t>
        </w:r>
        <w:r>
          <w:rPr>
            <w:spacing w:val="-1"/>
            <w:vertAlign w:val="baseline"/>
          </w:rPr>
          <w:t> </w:t>
        </w:r>
        <w:r>
          <w:rPr>
            <w:vertAlign w:val="baseline"/>
          </w:rPr>
          <w:t>their</w:t>
        </w:r>
        <w:r>
          <w:rPr>
            <w:spacing w:val="-1"/>
            <w:vertAlign w:val="baseline"/>
          </w:rPr>
          <w:t> </w:t>
        </w:r>
        <w:r>
          <w:rPr>
            <w:vertAlign w:val="baseline"/>
          </w:rPr>
          <w:t>forfeiture:</w:t>
        </w:r>
        <w:r>
          <w:rPr>
            <w:spacing w:val="-1"/>
            <w:vertAlign w:val="baseline"/>
          </w:rPr>
          <w:t> </w:t>
        </w:r>
        <w:r>
          <w:rPr>
            <w:vertAlign w:val="baseline"/>
          </w:rPr>
          <w:t>the House held that the court’s power to make an interim order for the sale of chattels (which formed the subject matter of the proceedings) did not prejudice the lessee’s right to seek relief from </w:t>
        </w:r>
        <w:r>
          <w:rPr>
            <w:vertAlign w:val="baseline"/>
          </w:rPr>
          <w:t>forfeiture.</w:t>
        </w:r>
        <w:r>
          <w:rPr>
            <w:spacing w:val="40"/>
            <w:vertAlign w:val="baseline"/>
          </w:rPr>
          <w:t> </w:t>
        </w:r>
        <w:r>
          <w:rPr>
            <w:vertAlign w:val="baseline"/>
          </w:rPr>
          <w:t>The proceeds of sale stood in the place of the chattels and relief could be given by an order deciding the proportions in which the parties were entitled to the money; it did not matter that the lessee could not be restored to possession.</w:t>
        </w:r>
      </w:hyperlink>
    </w:p>
    <w:p>
      <w:pPr>
        <w:pStyle w:val="BodyText"/>
      </w:pPr>
    </w:p>
    <w:p>
      <w:pPr>
        <w:pStyle w:val="BodyText"/>
        <w:spacing w:before="36"/>
      </w:pPr>
    </w:p>
    <w:p>
      <w:pPr>
        <w:spacing w:before="1"/>
        <w:ind w:left="165" w:right="0" w:firstLine="0"/>
        <w:jc w:val="both"/>
        <w:rPr>
          <w:rFonts w:ascii="Arial"/>
          <w:b/>
          <w:sz w:val="18"/>
        </w:rPr>
      </w:pPr>
      <w:r>
        <w:rPr>
          <w:rFonts w:ascii="Arial"/>
          <w:b/>
          <w:sz w:val="18"/>
        </w:rPr>
        <w:t>Form of relief: additional time to </w:t>
      </w:r>
      <w:r>
        <w:rPr>
          <w:rFonts w:ascii="Arial"/>
          <w:b/>
          <w:spacing w:val="-5"/>
          <w:sz w:val="18"/>
        </w:rPr>
        <w:t>pay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216V</w:t>
      </w:r>
    </w:p>
    <w:p>
      <w:pPr>
        <w:spacing w:after="0"/>
        <w:jc w:val="left"/>
        <w:rPr>
          <w:rFonts w:ascii="Arial"/>
          <w:b/>
          <w:sz w:val="24"/>
        </w:rPr>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203" name="Image 1203"/>
            <wp:cNvGraphicFramePr>
              <a:graphicFrameLocks/>
            </wp:cNvGraphicFramePr>
            <a:graphic>
              <a:graphicData uri="http://schemas.openxmlformats.org/drawingml/2006/picture">
                <pic:pic>
                  <pic:nvPicPr>
                    <pic:cNvPr id="1203" name="Image 12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Under this equitable principle, the courts will seldom do more than give the contract-breaker more time</w:t>
      </w:r>
      <w:r>
        <w:rPr>
          <w:spacing w:val="40"/>
        </w:rPr>
        <w:t> </w:t>
      </w:r>
      <w:r>
        <w:rPr/>
        <w:t>in</w:t>
      </w:r>
      <w:r>
        <w:rPr>
          <w:spacing w:val="40"/>
        </w:rPr>
        <w:t> </w:t>
      </w:r>
      <w:r>
        <w:rPr/>
        <w:t>which</w:t>
      </w:r>
      <w:r>
        <w:rPr>
          <w:spacing w:val="40"/>
        </w:rPr>
        <w:t> </w:t>
      </w:r>
      <w:r>
        <w:rPr/>
        <w:t>to</w:t>
      </w:r>
      <w:r>
        <w:rPr>
          <w:spacing w:val="40"/>
        </w:rPr>
        <w:t> </w:t>
      </w:r>
      <w:r>
        <w:rPr/>
        <w:t>pay</w:t>
      </w:r>
      <w:r>
        <w:rPr>
          <w:spacing w:val="40"/>
        </w:rPr>
        <w:t> </w:t>
      </w:r>
      <w:r>
        <w:rPr/>
        <w:t>the</w:t>
      </w:r>
      <w:r>
        <w:rPr>
          <w:spacing w:val="40"/>
        </w:rPr>
        <w:t> </w:t>
      </w:r>
      <w:r>
        <w:rPr/>
        <w:t>sum</w:t>
      </w:r>
      <w:r>
        <w:rPr>
          <w:spacing w:val="40"/>
        </w:rPr>
        <w:t> </w:t>
      </w:r>
      <w:r>
        <w:rPr/>
        <w:t>he</w:t>
      </w:r>
      <w:r>
        <w:rPr>
          <w:spacing w:val="40"/>
        </w:rPr>
        <w:t> </w:t>
      </w:r>
      <w:r>
        <w:rPr/>
        <w:t>had</w:t>
      </w:r>
      <w:r>
        <w:rPr>
          <w:spacing w:val="40"/>
        </w:rPr>
        <w:t> </w:t>
      </w:r>
      <w:r>
        <w:rPr/>
        <w:t>failed</w:t>
      </w:r>
      <w:r>
        <w:rPr>
          <w:spacing w:val="40"/>
        </w:rPr>
        <w:t> </w:t>
      </w:r>
      <w:r>
        <w:rPr/>
        <w:t>to</w:t>
      </w:r>
      <w:r>
        <w:rPr>
          <w:spacing w:val="40"/>
        </w:rPr>
        <w:t> </w:t>
      </w:r>
      <w:r>
        <w:rPr/>
        <w:t>pay</w:t>
      </w:r>
      <w:r>
        <w:rPr>
          <w:spacing w:val="40"/>
        </w:rPr>
        <w:t> </w:t>
      </w:r>
      <w:r>
        <w:rPr/>
        <w:t>on</w:t>
      </w:r>
      <w:r>
        <w:rPr>
          <w:spacing w:val="40"/>
        </w:rPr>
        <w:t> </w:t>
      </w:r>
      <w:r>
        <w:rPr/>
        <w:t>time.</w:t>
      </w:r>
      <w:r>
        <w:rPr>
          <w:spacing w:val="40"/>
        </w:rPr>
        <w:t> </w:t>
      </w:r>
      <w:r>
        <w:rPr/>
        <w:t>This</w:t>
      </w:r>
      <w:r>
        <w:rPr>
          <w:spacing w:val="40"/>
        </w:rPr>
        <w:t> </w:t>
      </w:r>
      <w:r>
        <w:rPr/>
        <w:t>relief</w:t>
      </w:r>
      <w:r>
        <w:rPr>
          <w:spacing w:val="40"/>
        </w:rPr>
        <w:t> </w:t>
      </w:r>
      <w:r>
        <w:rPr/>
        <w:t>has</w:t>
      </w:r>
      <w:r>
        <w:rPr>
          <w:spacing w:val="40"/>
        </w:rPr>
        <w:t> </w:t>
      </w:r>
      <w:r>
        <w:rPr/>
        <w:t>the</w:t>
      </w:r>
      <w:r>
        <w:rPr>
          <w:spacing w:val="40"/>
        </w:rPr>
        <w:t> </w:t>
      </w:r>
      <w:r>
        <w:rPr/>
        <w:t>effect</w:t>
      </w:r>
      <w:r>
        <w:rPr>
          <w:spacing w:val="40"/>
        </w:rPr>
        <w:t> </w:t>
      </w:r>
      <w:r>
        <w:rPr/>
        <w:t>that</w:t>
      </w:r>
      <w:r>
        <w:rPr>
          <w:spacing w:val="40"/>
        </w:rPr>
        <w:t> </w:t>
      </w:r>
      <w:r>
        <w:rPr/>
        <w:t>the contract-breaker does not forfeit the rights which he had under the contract, provided he pays </w:t>
      </w:r>
      <w:r>
        <w:rPr/>
        <w:t>within the time fixed by the court.</w:t>
      </w:r>
    </w:p>
    <w:p>
      <w:pPr>
        <w:pStyle w:val="BodyText"/>
      </w:pPr>
    </w:p>
    <w:p>
      <w:pPr>
        <w:pStyle w:val="BodyText"/>
        <w:spacing w:before="37"/>
      </w:pPr>
    </w:p>
    <w:p>
      <w:pPr>
        <w:spacing w:before="0"/>
        <w:ind w:left="165" w:right="0" w:firstLine="0"/>
        <w:jc w:val="both"/>
        <w:rPr>
          <w:rFonts w:ascii="Arial"/>
          <w:b/>
          <w:sz w:val="18"/>
        </w:rPr>
      </w:pPr>
      <w:r>
        <w:rPr>
          <w:rFonts w:ascii="Arial"/>
          <w:b/>
          <w:sz w:val="18"/>
        </w:rPr>
        <w:t>Return of payments subject to forfeiture </w:t>
      </w:r>
      <w:r>
        <w:rPr>
          <w:rFonts w:ascii="Arial"/>
          <w:b/>
          <w:spacing w:val="-2"/>
          <w:sz w:val="18"/>
        </w:rPr>
        <w:t>clause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216W</w:t>
      </w:r>
    </w:p>
    <w:p>
      <w:pPr>
        <w:pStyle w:val="BodyText"/>
        <w:spacing w:before="88"/>
        <w:rPr>
          <w:rFonts w:ascii="Arial"/>
          <w:b/>
        </w:rPr>
      </w:pPr>
    </w:p>
    <w:p>
      <w:pPr>
        <w:pStyle w:val="BodyText"/>
        <w:spacing w:line="360" w:lineRule="auto" w:before="1"/>
        <w:ind w:left="165" w:right="167"/>
        <w:jc w:val="both"/>
      </w:pPr>
      <w:r>
        <w:rPr>
          <w:position w:val="-2"/>
        </w:rPr>
        <w:drawing>
          <wp:inline distT="0" distB="0" distL="0" distR="0">
            <wp:extent cx="107988" cy="107988"/>
            <wp:effectExtent l="0" t="0" r="0" b="0"/>
            <wp:docPr id="1204" name="Image 1204"/>
            <wp:cNvGraphicFramePr>
              <a:graphicFrameLocks/>
            </wp:cNvGraphicFramePr>
            <a:graphic>
              <a:graphicData uri="http://schemas.openxmlformats.org/drawingml/2006/picture">
                <pic:pic>
                  <pic:nvPicPr>
                    <pic:cNvPr id="1204" name="Image 120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539" w:id="2541"/>
      <w:bookmarkEnd w:id="2541"/>
      <w:r>
        <w:rPr>
          <w:rFonts w:ascii="Times New Roman"/>
          <w:spacing w:val="11"/>
        </w:rPr>
      </w:r>
      <w:r>
        <w:rPr/>
        <w:t>If the contract-breaker is unable to pay, or if the contract has already been terminated, the </w:t>
      </w:r>
      <w:r>
        <w:rPr/>
        <w:t>position </w:t>
      </w:r>
      <w:bookmarkStart w:name="_bookmark2540" w:id="2542"/>
      <w:bookmarkEnd w:id="2542"/>
      <w:r>
        <w:rPr/>
        <w:t>is</w:t>
      </w:r>
      <w:r>
        <w:rPr>
          <w:spacing w:val="18"/>
        </w:rPr>
        <w:t> </w:t>
      </w:r>
      <w:r>
        <w:rPr/>
        <w:t>less</w:t>
      </w:r>
      <w:r>
        <w:rPr>
          <w:spacing w:val="19"/>
        </w:rPr>
        <w:t> </w:t>
      </w:r>
      <w:r>
        <w:rPr/>
        <w:t>clear.</w:t>
      </w:r>
      <w:r>
        <w:rPr>
          <w:spacing w:val="19"/>
        </w:rPr>
        <w:t> </w:t>
      </w:r>
      <w:r>
        <w:rPr/>
        <w:t>Traditionally,</w:t>
      </w:r>
      <w:r>
        <w:rPr>
          <w:spacing w:val="18"/>
        </w:rPr>
        <w:t> </w:t>
      </w:r>
      <w:r>
        <w:rPr/>
        <w:t>the</w:t>
      </w:r>
      <w:r>
        <w:rPr>
          <w:spacing w:val="19"/>
        </w:rPr>
        <w:t> </w:t>
      </w:r>
      <w:r>
        <w:rPr/>
        <w:t>courts</w:t>
      </w:r>
      <w:r>
        <w:rPr>
          <w:spacing w:val="19"/>
        </w:rPr>
        <w:t> </w:t>
      </w:r>
      <w:r>
        <w:rPr/>
        <w:t>have</w:t>
      </w:r>
      <w:r>
        <w:rPr>
          <w:spacing w:val="18"/>
        </w:rPr>
        <w:t> </w:t>
      </w:r>
      <w:r>
        <w:rPr/>
        <w:t>been</w:t>
      </w:r>
      <w:r>
        <w:rPr>
          <w:spacing w:val="19"/>
        </w:rPr>
        <w:t> </w:t>
      </w:r>
      <w:r>
        <w:rPr/>
        <w:t>more</w:t>
      </w:r>
      <w:r>
        <w:rPr>
          <w:spacing w:val="19"/>
        </w:rPr>
        <w:t> </w:t>
      </w:r>
      <w:r>
        <w:rPr/>
        <w:t>reluctant</w:t>
      </w:r>
      <w:r>
        <w:rPr>
          <w:spacing w:val="19"/>
        </w:rPr>
        <w:t> </w:t>
      </w:r>
      <w:hyperlink w:history="true" w:anchor="_bookmark2580">
        <w:r>
          <w:rPr>
            <w:color w:val="005DA1"/>
            <w:u w:val="single" w:color="005DA1"/>
            <w:vertAlign w:val="superscript"/>
          </w:rPr>
          <w:t>1339</w:t>
        </w:r>
        <w:r>
          <w:rPr>
            <w:color w:val="005DA1"/>
            <w:spacing w:val="56"/>
            <w:vertAlign w:val="baseline"/>
          </w:rPr>
          <w:t>  </w:t>
        </w:r>
        <w:r>
          <w:rPr>
            <w:color w:val="005DA1"/>
            <w:spacing w:val="6"/>
            <w:position w:val="-2"/>
            <w:vertAlign w:val="baseline"/>
          </w:rPr>
          <w:drawing>
            <wp:inline distT="0" distB="0" distL="0" distR="0">
              <wp:extent cx="107988" cy="107988"/>
              <wp:effectExtent l="0" t="0" r="0" b="0"/>
              <wp:docPr id="1205" name="Image 1205"/>
              <wp:cNvGraphicFramePr>
                <a:graphicFrameLocks/>
              </wp:cNvGraphicFramePr>
              <a:graphic>
                <a:graphicData uri="http://schemas.openxmlformats.org/drawingml/2006/picture">
                  <pic:pic>
                    <pic:nvPicPr>
                      <pic:cNvPr id="1205" name="Image 12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19"/>
            <w:vertAlign w:val="baseline"/>
          </w:rPr>
          <w:t> </w:t>
        </w:r>
        <w:r>
          <w:rPr>
            <w:vertAlign w:val="baseline"/>
          </w:rPr>
          <w:t>to</w:t>
        </w:r>
        <w:r>
          <w:rPr>
            <w:spacing w:val="19"/>
            <w:vertAlign w:val="baseline"/>
          </w:rPr>
          <w:t> </w:t>
        </w:r>
        <w:r>
          <w:rPr>
            <w:vertAlign w:val="baseline"/>
          </w:rPr>
          <w:t>allow</w:t>
        </w:r>
        <w:r>
          <w:rPr>
            <w:spacing w:val="18"/>
            <w:vertAlign w:val="baseline"/>
          </w:rPr>
          <w:t> </w:t>
        </w:r>
        <w:r>
          <w:rPr>
            <w:vertAlign w:val="baseline"/>
          </w:rPr>
          <w:t>recovery</w:t>
        </w:r>
        <w:r>
          <w:rPr>
            <w:spacing w:val="19"/>
            <w:vertAlign w:val="baseline"/>
          </w:rPr>
          <w:t> </w:t>
        </w:r>
        <w:r>
          <w:rPr>
            <w:vertAlign w:val="baseline"/>
          </w:rPr>
          <w:t>of</w:t>
        </w:r>
        <w:r>
          <w:rPr>
            <w:spacing w:val="19"/>
            <w:vertAlign w:val="baseline"/>
          </w:rPr>
          <w:t> </w:t>
        </w:r>
        <w:r>
          <w:rPr>
            <w:spacing w:val="-2"/>
            <w:vertAlign w:val="baseline"/>
          </w:rPr>
          <w:t>money</w:t>
        </w:r>
      </w:hyperlink>
    </w:p>
    <w:p>
      <w:pPr>
        <w:pStyle w:val="BodyText"/>
        <w:spacing w:line="235" w:lineRule="auto" w:before="3"/>
        <w:ind w:left="165" w:right="167"/>
        <w:jc w:val="both"/>
      </w:pPr>
      <w:r>
        <w:rPr/>
        <w:t>already paid by the contract-breaker (i.e. to grant affirmative relief) </w:t>
      </w:r>
      <w:hyperlink w:history="true" w:anchor="_bookmark2581">
        <w:r>
          <w:rPr>
            <w:color w:val="005DA1"/>
            <w:u w:val="single" w:color="005DA1"/>
            <w:vertAlign w:val="superscript"/>
          </w:rPr>
          <w:t>1340</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206" name="Image 1206"/>
              <wp:cNvGraphicFramePr>
                <a:graphicFrameLocks/>
              </wp:cNvGraphicFramePr>
              <a:graphic>
                <a:graphicData uri="http://schemas.openxmlformats.org/drawingml/2006/picture">
                  <pic:pic>
                    <pic:nvPicPr>
                      <pic:cNvPr id="1206" name="Image 12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9"/>
            <w:vertAlign w:val="baseline"/>
          </w:rPr>
          <w:t> </w:t>
        </w:r>
        <w:r>
          <w:rPr>
            <w:vertAlign w:val="baseline"/>
          </w:rPr>
          <w:t>than to deny recovery of a sum (a penalty) agreed to be payable upon breach by the contract-breaker (i.e. to grant negative relief) or to give more time to him to make a payment. In one case, the House of Lords directed the </w:t>
        </w:r>
        <w:bookmarkStart w:name="_bookmark2541" w:id="2543"/>
        <w:bookmarkEnd w:id="2543"/>
        <w:r>
          <w:rPr>
            <w:vertAlign w:val="baseline"/>
          </w:rPr>
          <w:t>relief</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proceeds</w:t>
        </w:r>
        <w:r>
          <w:rPr>
            <w:spacing w:val="1"/>
            <w:vertAlign w:val="baseline"/>
          </w:rPr>
          <w:t> </w:t>
        </w:r>
        <w:r>
          <w:rPr>
            <w:vertAlign w:val="baseline"/>
          </w:rPr>
          <w:t>of</w:t>
        </w:r>
        <w:r>
          <w:rPr>
            <w:spacing w:val="1"/>
            <w:vertAlign w:val="baseline"/>
          </w:rPr>
          <w:t> </w:t>
        </w:r>
        <w:r>
          <w:rPr>
            <w:vertAlign w:val="baseline"/>
          </w:rPr>
          <w:t>sale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had</w:t>
        </w:r>
        <w:r>
          <w:rPr>
            <w:spacing w:val="1"/>
            <w:vertAlign w:val="baseline"/>
          </w:rPr>
          <w:t> </w:t>
        </w:r>
        <w:r>
          <w:rPr>
            <w:vertAlign w:val="baseline"/>
          </w:rPr>
          <w:t>made</w:t>
        </w:r>
        <w:r>
          <w:rPr>
            <w:spacing w:val="1"/>
            <w:vertAlign w:val="baseline"/>
          </w:rPr>
          <w:t> </w:t>
        </w:r>
        <w:r>
          <w:rPr>
            <w:vertAlign w:val="baseline"/>
          </w:rPr>
          <w:t>an</w:t>
        </w:r>
        <w:r>
          <w:rPr>
            <w:spacing w:val="1"/>
            <w:vertAlign w:val="baseline"/>
          </w:rPr>
          <w:t> </w:t>
        </w:r>
        <w:r>
          <w:rPr>
            <w:vertAlign w:val="baseline"/>
          </w:rPr>
          <w:t>interim</w:t>
        </w:r>
        <w:r>
          <w:rPr>
            <w:spacing w:val="1"/>
            <w:vertAlign w:val="baseline"/>
          </w:rPr>
          <w:t> </w:t>
        </w:r>
        <w:r>
          <w:rPr>
            <w:vertAlign w:val="baseline"/>
          </w:rPr>
          <w:t>order</w:t>
        </w:r>
        <w:r>
          <w:rPr>
            <w:spacing w:val="1"/>
            <w:vertAlign w:val="baseline"/>
          </w:rPr>
          <w:t> </w:t>
        </w:r>
        <w:r>
          <w:rPr>
            <w:vertAlign w:val="baseline"/>
          </w:rPr>
          <w:t>for</w:t>
        </w:r>
        <w:r>
          <w:rPr>
            <w:spacing w:val="1"/>
            <w:vertAlign w:val="baseline"/>
          </w:rPr>
          <w:t> </w:t>
        </w:r>
        <w:r>
          <w:rPr>
            <w:vertAlign w:val="baseline"/>
          </w:rPr>
          <w:t>sale</w:t>
        </w:r>
        <w:r>
          <w:rPr>
            <w:spacing w:val="1"/>
            <w:vertAlign w:val="baseline"/>
          </w:rPr>
          <w:t> </w:t>
        </w:r>
        <w:r>
          <w:rPr>
            <w:vertAlign w:val="baseline"/>
          </w:rPr>
          <w:t>pending</w:t>
        </w:r>
        <w:r>
          <w:rPr>
            <w:spacing w:val="1"/>
            <w:vertAlign w:val="baseline"/>
          </w:rPr>
          <w:t> </w:t>
        </w:r>
        <w:r>
          <w:rPr>
            <w:vertAlign w:val="baseline"/>
          </w:rPr>
          <w:t>the</w:t>
        </w:r>
        <w:r>
          <w:rPr>
            <w:spacing w:val="1"/>
            <w:vertAlign w:val="baseline"/>
          </w:rPr>
          <w:t> </w:t>
        </w:r>
        <w:r>
          <w:rPr>
            <w:spacing w:val="-2"/>
            <w:vertAlign w:val="baseline"/>
          </w:rPr>
          <w:t>outcome</w:t>
        </w:r>
      </w:hyperlink>
    </w:p>
    <w:p>
      <w:pPr>
        <w:pStyle w:val="BodyText"/>
        <w:spacing w:line="235" w:lineRule="auto" w:before="119"/>
        <w:ind w:left="165" w:right="167"/>
        <w:jc w:val="both"/>
      </w:pPr>
      <w:r>
        <w:rPr/>
        <w:t>of</w:t>
      </w:r>
      <w:r>
        <w:rPr>
          <w:spacing w:val="-3"/>
        </w:rPr>
        <w:t> </w:t>
      </w:r>
      <w:r>
        <w:rPr/>
        <w:t>the</w:t>
      </w:r>
      <w:r>
        <w:rPr>
          <w:spacing w:val="-3"/>
        </w:rPr>
        <w:t> </w:t>
      </w:r>
      <w:r>
        <w:rPr/>
        <w:t>litigation.</w:t>
      </w:r>
      <w:r>
        <w:rPr>
          <w:spacing w:val="-3"/>
        </w:rPr>
        <w:t> </w:t>
      </w:r>
      <w:hyperlink w:history="true" w:anchor="_bookmark2582">
        <w:r>
          <w:rPr>
            <w:color w:val="005DA1"/>
            <w:u w:val="single" w:color="005DA1"/>
            <w:vertAlign w:val="superscript"/>
          </w:rPr>
          <w:t>1341</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207" name="Image 1207"/>
              <wp:cNvGraphicFramePr>
                <a:graphicFrameLocks/>
              </wp:cNvGraphicFramePr>
              <a:graphic>
                <a:graphicData uri="http://schemas.openxmlformats.org/drawingml/2006/picture">
                  <pic:pic>
                    <pic:nvPicPr>
                      <pic:cNvPr id="1207" name="Image 12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1"/>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facts</w:t>
        </w:r>
        <w:r>
          <w:rPr>
            <w:spacing w:val="-3"/>
            <w:vertAlign w:val="baseline"/>
          </w:rPr>
          <w:t> </w:t>
        </w:r>
        <w:r>
          <w:rPr>
            <w:vertAlign w:val="baseline"/>
          </w:rPr>
          <w:t>of</w:t>
        </w:r>
        <w:r>
          <w:rPr>
            <w:spacing w:val="-3"/>
            <w:vertAlign w:val="baseline"/>
          </w:rPr>
          <w:t> </w:t>
        </w:r>
        <w:r>
          <w:rPr>
            <w:rFonts w:ascii="Arial" w:hAnsi="Arial"/>
            <w:i/>
            <w:vertAlign w:val="baseline"/>
          </w:rPr>
          <w:t>Stockloser</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Johnson</w:t>
        </w:r>
        <w:r>
          <w:rPr>
            <w:vertAlign w:val="baseline"/>
          </w:rPr>
          <w:t>,</w:t>
        </w:r>
        <w:r>
          <w:rPr>
            <w:spacing w:val="-3"/>
            <w:vertAlign w:val="baseline"/>
          </w:rPr>
          <w:t> </w:t>
        </w:r>
        <w:r>
          <w:rPr>
            <w:vertAlign w:val="baseline"/>
          </w:rPr>
          <w:t>above,</w:t>
        </w:r>
        <w:r>
          <w:rPr>
            <w:spacing w:val="-3"/>
            <w:vertAlign w:val="baseline"/>
          </w:rPr>
          <w:t> </w:t>
        </w:r>
        <w:r>
          <w:rPr>
            <w:vertAlign w:val="baseline"/>
          </w:rPr>
          <w:t>although</w:t>
        </w:r>
        <w:r>
          <w:rPr>
            <w:spacing w:val="-3"/>
            <w:vertAlign w:val="baseline"/>
          </w:rPr>
          <w:t> </w:t>
        </w:r>
        <w:r>
          <w:rPr>
            <w:vertAlign w:val="baseline"/>
          </w:rPr>
          <w:t>the</w:t>
        </w:r>
        <w:r>
          <w:rPr>
            <w:spacing w:val="-3"/>
            <w:vertAlign w:val="baseline"/>
          </w:rPr>
          <w:t> </w:t>
        </w:r>
        <w:r>
          <w:rPr>
            <w:vertAlign w:val="baseline"/>
          </w:rPr>
          <w:t>majority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court were prepared to order that money paid be returned if it would be unconscionable for the seller to keep it, they did not think that the seller’s conduct in retaining £4,750 out of the £11,000 price in one </w:t>
        </w:r>
        <w:bookmarkStart w:name="_bookmark2542" w:id="2544"/>
        <w:bookmarkEnd w:id="2544"/>
        <w:r>
          <w:rPr>
            <w:vertAlign w:val="baseline"/>
          </w:rPr>
          <w:t>contract,</w:t>
        </w:r>
        <w:r>
          <w:rPr>
            <w:spacing w:val="25"/>
            <w:vertAlign w:val="baseline"/>
          </w:rPr>
          <w:t> </w:t>
        </w:r>
        <w:r>
          <w:rPr>
            <w:vertAlign w:val="baseline"/>
          </w:rPr>
          <w:t>and</w:t>
        </w:r>
        <w:r>
          <w:rPr>
            <w:spacing w:val="25"/>
            <w:vertAlign w:val="baseline"/>
          </w:rPr>
          <w:t> </w:t>
        </w:r>
        <w:r>
          <w:rPr>
            <w:vertAlign w:val="baseline"/>
          </w:rPr>
          <w:t>£3,500</w:t>
        </w:r>
        <w:r>
          <w:rPr>
            <w:spacing w:val="25"/>
            <w:vertAlign w:val="baseline"/>
          </w:rPr>
          <w:t> </w:t>
        </w:r>
        <w:r>
          <w:rPr>
            <w:vertAlign w:val="baseline"/>
          </w:rPr>
          <w:t>out</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£11,000</w:t>
        </w:r>
        <w:r>
          <w:rPr>
            <w:spacing w:val="25"/>
            <w:vertAlign w:val="baseline"/>
          </w:rPr>
          <w:t> </w:t>
        </w:r>
        <w:r>
          <w:rPr>
            <w:vertAlign w:val="baseline"/>
          </w:rPr>
          <w:t>price</w:t>
        </w:r>
        <w:r>
          <w:rPr>
            <w:spacing w:val="25"/>
            <w:vertAlign w:val="baseline"/>
          </w:rPr>
          <w:t> </w:t>
        </w:r>
        <w:r>
          <w:rPr>
            <w:vertAlign w:val="baseline"/>
          </w:rPr>
          <w:t>on</w:t>
        </w:r>
        <w:r>
          <w:rPr>
            <w:spacing w:val="25"/>
            <w:vertAlign w:val="baseline"/>
          </w:rPr>
          <w:t> </w:t>
        </w:r>
        <w:r>
          <w:rPr>
            <w:vertAlign w:val="baseline"/>
          </w:rPr>
          <w:t>another,</w:t>
        </w:r>
        <w:r>
          <w:rPr>
            <w:spacing w:val="25"/>
            <w:vertAlign w:val="baseline"/>
          </w:rPr>
          <w:t> </w:t>
        </w:r>
        <w:r>
          <w:rPr>
            <w:vertAlign w:val="baseline"/>
          </w:rPr>
          <w:t>was</w:t>
        </w:r>
        <w:r>
          <w:rPr>
            <w:spacing w:val="25"/>
            <w:vertAlign w:val="baseline"/>
          </w:rPr>
          <w:t> </w:t>
        </w:r>
        <w:r>
          <w:rPr>
            <w:vertAlign w:val="baseline"/>
          </w:rPr>
          <w:t>unconscionable,</w:t>
        </w:r>
        <w:r>
          <w:rPr>
            <w:spacing w:val="25"/>
            <w:vertAlign w:val="baseline"/>
          </w:rPr>
          <w:t> </w:t>
        </w:r>
        <w:r>
          <w:rPr>
            <w:vertAlign w:val="baseline"/>
          </w:rPr>
          <w:t>because</w:t>
        </w:r>
        <w:r>
          <w:rPr>
            <w:spacing w:val="25"/>
            <w:vertAlign w:val="baseline"/>
          </w:rPr>
          <w:t> </w:t>
        </w:r>
        <w:r>
          <w:rPr>
            <w:vertAlign w:val="baseline"/>
          </w:rPr>
          <w:t>the</w:t>
        </w:r>
        <w:r>
          <w:rPr>
            <w:spacing w:val="25"/>
            <w:vertAlign w:val="baseline"/>
          </w:rPr>
          <w:t> </w:t>
        </w:r>
        <w:r>
          <w:rPr>
            <w:spacing w:val="-2"/>
            <w:vertAlign w:val="baseline"/>
          </w:rPr>
          <w:t>buyer</w:t>
        </w:r>
      </w:hyperlink>
    </w:p>
    <w:p>
      <w:pPr>
        <w:pStyle w:val="BodyText"/>
        <w:spacing w:line="235" w:lineRule="auto" w:before="118"/>
        <w:ind w:left="165" w:right="167"/>
        <w:jc w:val="both"/>
      </w:pPr>
      <w:r>
        <w:rPr/>
        <w:t>had already received substantial benefits in the form of royalties. </w:t>
      </w:r>
      <w:hyperlink w:history="true" w:anchor="_bookmark2583">
        <w:r>
          <w:rPr>
            <w:color w:val="005DA1"/>
            <w:u w:val="single" w:color="005DA1"/>
            <w:vertAlign w:val="superscript"/>
          </w:rPr>
          <w:t>1342</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208" name="Image 1208"/>
              <wp:cNvGraphicFramePr>
                <a:graphicFrameLocks/>
              </wp:cNvGraphicFramePr>
              <a:graphic>
                <a:graphicData uri="http://schemas.openxmlformats.org/drawingml/2006/picture">
                  <pic:pic>
                    <pic:nvPicPr>
                      <pic:cNvPr id="1208" name="Image 12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In any event, subsequent </w:t>
        </w:r>
        <w:bookmarkStart w:name="_bookmark2543" w:id="2545"/>
        <w:bookmarkEnd w:id="2545"/>
        <w:r>
          <w:rPr>
            <w:vertAlign w:val="baseline"/>
          </w:rPr>
          <w:t>cases</w:t>
        </w:r>
        <w:r>
          <w:rPr>
            <w:spacing w:val="14"/>
            <w:vertAlign w:val="baseline"/>
          </w:rPr>
          <w:t> </w:t>
        </w:r>
        <w:r>
          <w:rPr>
            <w:vertAlign w:val="baseline"/>
          </w:rPr>
          <w:t>tended</w:t>
        </w:r>
        <w:r>
          <w:rPr>
            <w:spacing w:val="14"/>
            <w:vertAlign w:val="baseline"/>
          </w:rPr>
          <w:t> </w:t>
        </w:r>
        <w:r>
          <w:rPr>
            <w:vertAlign w:val="baseline"/>
          </w:rPr>
          <w:t>to</w:t>
        </w:r>
        <w:r>
          <w:rPr>
            <w:spacing w:val="14"/>
            <w:vertAlign w:val="baseline"/>
          </w:rPr>
          <w:t> </w:t>
        </w:r>
        <w:r>
          <w:rPr>
            <w:vertAlign w:val="baseline"/>
          </w:rPr>
          <w:t>follow</w:t>
        </w:r>
        <w:r>
          <w:rPr>
            <w:spacing w:val="14"/>
            <w:vertAlign w:val="baseline"/>
          </w:rPr>
          <w:t> </w:t>
        </w:r>
        <w:r>
          <w:rPr>
            <w:vertAlign w:val="baseline"/>
          </w:rPr>
          <w:t>the</w:t>
        </w:r>
        <w:r>
          <w:rPr>
            <w:spacing w:val="14"/>
            <w:vertAlign w:val="baseline"/>
          </w:rPr>
          <w:t> </w:t>
        </w:r>
        <w:r>
          <w:rPr>
            <w:vertAlign w:val="baseline"/>
          </w:rPr>
          <w:t>view</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third</w:t>
        </w:r>
        <w:r>
          <w:rPr>
            <w:spacing w:val="14"/>
            <w:vertAlign w:val="baseline"/>
          </w:rPr>
          <w:t> </w:t>
        </w:r>
        <w:r>
          <w:rPr>
            <w:vertAlign w:val="baseline"/>
          </w:rPr>
          <w:t>judge,</w:t>
        </w:r>
        <w:r>
          <w:rPr>
            <w:spacing w:val="14"/>
            <w:vertAlign w:val="baseline"/>
          </w:rPr>
          <w:t> </w:t>
        </w:r>
        <w:r>
          <w:rPr>
            <w:vertAlign w:val="baseline"/>
          </w:rPr>
          <w:t>Romer</w:t>
        </w:r>
        <w:r>
          <w:rPr>
            <w:spacing w:val="14"/>
            <w:vertAlign w:val="baseline"/>
          </w:rPr>
          <w:t> </w:t>
        </w:r>
        <w:r>
          <w:rPr>
            <w:vertAlign w:val="baseline"/>
          </w:rPr>
          <w:t>L.J.,</w:t>
        </w:r>
        <w:r>
          <w:rPr>
            <w:spacing w:val="14"/>
            <w:vertAlign w:val="baseline"/>
          </w:rPr>
          <w:t> </w:t>
        </w:r>
        <w:r>
          <w:rPr>
            <w:vertAlign w:val="baseline"/>
          </w:rPr>
          <w:t>that</w:t>
        </w:r>
        <w:r>
          <w:rPr>
            <w:spacing w:val="14"/>
            <w:vertAlign w:val="baseline"/>
          </w:rPr>
          <w:t> </w:t>
        </w:r>
        <w:r>
          <w:rPr>
            <w:vertAlign w:val="baseline"/>
          </w:rPr>
          <w:t>there</w:t>
        </w:r>
        <w:r>
          <w:rPr>
            <w:spacing w:val="14"/>
            <w:vertAlign w:val="baseline"/>
          </w:rPr>
          <w:t> </w:t>
        </w:r>
        <w:r>
          <w:rPr>
            <w:vertAlign w:val="baseline"/>
          </w:rPr>
          <w:t>could</w:t>
        </w:r>
        <w:r>
          <w:rPr>
            <w:spacing w:val="14"/>
            <w:vertAlign w:val="baseline"/>
          </w:rPr>
          <w:t> </w:t>
        </w:r>
        <w:r>
          <w:rPr>
            <w:vertAlign w:val="baseline"/>
          </w:rPr>
          <w:t>be</w:t>
        </w:r>
        <w:r>
          <w:rPr>
            <w:spacing w:val="14"/>
            <w:vertAlign w:val="baseline"/>
          </w:rPr>
          <w:t> </w:t>
        </w:r>
        <w:r>
          <w:rPr>
            <w:vertAlign w:val="baseline"/>
          </w:rPr>
          <w:t>relief</w:t>
        </w:r>
        <w:r>
          <w:rPr>
            <w:spacing w:val="14"/>
            <w:vertAlign w:val="baseline"/>
          </w:rPr>
          <w:t> </w:t>
        </w:r>
        <w:r>
          <w:rPr>
            <w:vertAlign w:val="baseline"/>
          </w:rPr>
          <w:t>only</w:t>
        </w:r>
        <w:r>
          <w:rPr>
            <w:spacing w:val="14"/>
            <w:vertAlign w:val="baseline"/>
          </w:rPr>
          <w:t> </w:t>
        </w:r>
        <w:r>
          <w:rPr>
            <w:vertAlign w:val="baseline"/>
          </w:rPr>
          <w:t>if</w:t>
        </w:r>
        <w:r>
          <w:rPr>
            <w:spacing w:val="14"/>
            <w:vertAlign w:val="baseline"/>
          </w:rPr>
          <w:t> </w:t>
        </w:r>
        <w:r>
          <w:rPr>
            <w:spacing w:val="-2"/>
            <w:vertAlign w:val="baseline"/>
          </w:rPr>
          <w:t>there</w:t>
        </w:r>
      </w:hyperlink>
    </w:p>
    <w:p>
      <w:pPr>
        <w:pStyle w:val="BodyText"/>
        <w:spacing w:line="235" w:lineRule="auto" w:before="120"/>
        <w:ind w:left="165" w:right="167"/>
        <w:jc w:val="both"/>
      </w:pPr>
      <w:r>
        <w:rPr/>
        <w:t>had been fraud, sharp practice or unconscionable conduct on the part of the seller. </w:t>
      </w:r>
      <w:r>
        <w:rPr>
          <w:color w:val="005DA1"/>
          <w:u w:val="single" w:color="005DA1"/>
          <w:vertAlign w:val="superscript"/>
        </w:rPr>
        <w:t>1343</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1209" name="Image 1209"/>
            <wp:cNvGraphicFramePr>
              <a:graphicFrameLocks/>
            </wp:cNvGraphicFramePr>
            <a:graphic>
              <a:graphicData uri="http://schemas.openxmlformats.org/drawingml/2006/picture">
                <pic:pic>
                  <pic:nvPicPr>
                    <pic:cNvPr id="1209" name="Image 1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In a Privy Council case in 1906, the contract-breaker obtained an order that the deposit he had paid in </w:t>
      </w:r>
      <w:r>
        <w:rPr>
          <w:vertAlign w:val="baseline"/>
        </w:rPr>
        <w:t>advance </w:t>
      </w:r>
      <w:bookmarkStart w:name="_bookmark2544" w:id="2546"/>
      <w:bookmarkEnd w:id="2546"/>
      <w:r>
        <w:rPr>
          <w:vertAlign w:val="baseline"/>
        </w:rPr>
        <w:t>to</w:t>
      </w:r>
      <w:r>
        <w:rPr>
          <w:spacing w:val="41"/>
          <w:vertAlign w:val="baseline"/>
        </w:rPr>
        <w:t> </w:t>
      </w:r>
      <w:r>
        <w:rPr>
          <w:vertAlign w:val="baseline"/>
        </w:rPr>
        <w:t>the</w:t>
      </w:r>
      <w:r>
        <w:rPr>
          <w:spacing w:val="41"/>
          <w:vertAlign w:val="baseline"/>
        </w:rPr>
        <w:t> </w:t>
      </w:r>
      <w:r>
        <w:rPr>
          <w:vertAlign w:val="baseline"/>
        </w:rPr>
        <w:t>innocent</w:t>
      </w:r>
      <w:r>
        <w:rPr>
          <w:spacing w:val="41"/>
          <w:vertAlign w:val="baseline"/>
        </w:rPr>
        <w:t> </w:t>
      </w:r>
      <w:r>
        <w:rPr>
          <w:vertAlign w:val="baseline"/>
        </w:rPr>
        <w:t>party</w:t>
      </w:r>
      <w:r>
        <w:rPr>
          <w:spacing w:val="41"/>
          <w:vertAlign w:val="baseline"/>
        </w:rPr>
        <w:t> </w:t>
      </w:r>
      <w:r>
        <w:rPr>
          <w:vertAlign w:val="baseline"/>
        </w:rPr>
        <w:t>should,</w:t>
      </w:r>
      <w:r>
        <w:rPr>
          <w:spacing w:val="41"/>
          <w:vertAlign w:val="baseline"/>
        </w:rPr>
        <w:t> </w:t>
      </w:r>
      <w:r>
        <w:rPr>
          <w:vertAlign w:val="baseline"/>
        </w:rPr>
        <w:t>despite</w:t>
      </w:r>
      <w:r>
        <w:rPr>
          <w:spacing w:val="41"/>
          <w:vertAlign w:val="baseline"/>
        </w:rPr>
        <w:t> </w:t>
      </w:r>
      <w:r>
        <w:rPr>
          <w:vertAlign w:val="baseline"/>
        </w:rPr>
        <w:t>a</w:t>
      </w:r>
      <w:r>
        <w:rPr>
          <w:spacing w:val="41"/>
          <w:vertAlign w:val="baseline"/>
        </w:rPr>
        <w:t> </w:t>
      </w:r>
      <w:r>
        <w:rPr>
          <w:vertAlign w:val="baseline"/>
        </w:rPr>
        <w:t>forfeiture</w:t>
      </w:r>
      <w:r>
        <w:rPr>
          <w:spacing w:val="41"/>
          <w:vertAlign w:val="baseline"/>
        </w:rPr>
        <w:t> </w:t>
      </w:r>
      <w:r>
        <w:rPr>
          <w:vertAlign w:val="baseline"/>
        </w:rPr>
        <w:t>clause,</w:t>
      </w:r>
      <w:r>
        <w:rPr>
          <w:spacing w:val="41"/>
          <w:vertAlign w:val="baseline"/>
        </w:rPr>
        <w:t> </w:t>
      </w:r>
      <w:r>
        <w:rPr>
          <w:vertAlign w:val="baseline"/>
        </w:rPr>
        <w:t>be</w:t>
      </w:r>
      <w:r>
        <w:rPr>
          <w:spacing w:val="41"/>
          <w:vertAlign w:val="baseline"/>
        </w:rPr>
        <w:t> </w:t>
      </w:r>
      <w:r>
        <w:rPr>
          <w:vertAlign w:val="baseline"/>
        </w:rPr>
        <w:t>repaid</w:t>
      </w:r>
      <w:r>
        <w:rPr>
          <w:spacing w:val="41"/>
          <w:vertAlign w:val="baseline"/>
        </w:rPr>
        <w:t> </w:t>
      </w:r>
      <w:r>
        <w:rPr>
          <w:vertAlign w:val="baseline"/>
        </w:rPr>
        <w:t>to</w:t>
      </w:r>
      <w:r>
        <w:rPr>
          <w:spacing w:val="41"/>
          <w:vertAlign w:val="baseline"/>
        </w:rPr>
        <w:t> </w:t>
      </w:r>
      <w:r>
        <w:rPr>
          <w:vertAlign w:val="baseline"/>
        </w:rPr>
        <w:t>him</w:t>
      </w:r>
      <w:r>
        <w:rPr>
          <w:spacing w:val="41"/>
          <w:vertAlign w:val="baseline"/>
        </w:rPr>
        <w:t> </w:t>
      </w:r>
      <w:r>
        <w:rPr>
          <w:vertAlign w:val="baseline"/>
        </w:rPr>
        <w:t>(subject</w:t>
      </w:r>
      <w:r>
        <w:rPr>
          <w:spacing w:val="41"/>
          <w:vertAlign w:val="baseline"/>
        </w:rPr>
        <w:t> </w:t>
      </w:r>
      <w:r>
        <w:rPr>
          <w:vertAlign w:val="baseline"/>
        </w:rPr>
        <w:t>to</w:t>
      </w:r>
      <w:r>
        <w:rPr>
          <w:spacing w:val="41"/>
          <w:vertAlign w:val="baseline"/>
        </w:rPr>
        <w:t> </w:t>
      </w:r>
      <w:r>
        <w:rPr>
          <w:vertAlign w:val="baseline"/>
        </w:rPr>
        <w:t>his</w:t>
      </w:r>
      <w:r>
        <w:rPr>
          <w:spacing w:val="41"/>
          <w:vertAlign w:val="baseline"/>
        </w:rPr>
        <w:t> </w:t>
      </w:r>
      <w:r>
        <w:rPr>
          <w:spacing w:val="-2"/>
          <w:vertAlign w:val="baseline"/>
        </w:rPr>
        <w:t>paying</w:t>
      </w:r>
    </w:p>
    <w:p>
      <w:pPr>
        <w:pStyle w:val="BodyText"/>
        <w:spacing w:before="115"/>
        <w:ind w:left="165"/>
        <w:jc w:val="both"/>
      </w:pPr>
      <w:bookmarkStart w:name="_bookmark2545" w:id="2547"/>
      <w:bookmarkEnd w:id="2547"/>
      <w:r>
        <w:rPr/>
      </w:r>
      <w:r>
        <w:rPr/>
        <w:t>damages</w:t>
      </w:r>
      <w:r>
        <w:rPr>
          <w:spacing w:val="11"/>
        </w:rPr>
        <w:t> </w:t>
      </w:r>
      <w:r>
        <w:rPr/>
        <w:t>for</w:t>
      </w:r>
      <w:r>
        <w:rPr>
          <w:spacing w:val="12"/>
        </w:rPr>
        <w:t> </w:t>
      </w:r>
      <w:r>
        <w:rPr/>
        <w:t>the</w:t>
      </w:r>
      <w:r>
        <w:rPr>
          <w:spacing w:val="12"/>
        </w:rPr>
        <w:t> </w:t>
      </w:r>
      <w:r>
        <w:rPr/>
        <w:t>actual</w:t>
      </w:r>
      <w:r>
        <w:rPr>
          <w:spacing w:val="12"/>
        </w:rPr>
        <w:t> </w:t>
      </w:r>
      <w:r>
        <w:rPr/>
        <w:t>loss</w:t>
      </w:r>
      <w:r>
        <w:rPr>
          <w:spacing w:val="12"/>
        </w:rPr>
        <w:t> </w:t>
      </w:r>
      <w:r>
        <w:rPr/>
        <w:t>caused</w:t>
      </w:r>
      <w:r>
        <w:rPr>
          <w:spacing w:val="12"/>
        </w:rPr>
        <w:t> </w:t>
      </w:r>
      <w:r>
        <w:rPr/>
        <w:t>to</w:t>
      </w:r>
      <w:r>
        <w:rPr>
          <w:spacing w:val="11"/>
        </w:rPr>
        <w:t> </w:t>
      </w:r>
      <w:r>
        <w:rPr/>
        <w:t>the</w:t>
      </w:r>
      <w:r>
        <w:rPr>
          <w:spacing w:val="12"/>
        </w:rPr>
        <w:t> </w:t>
      </w:r>
      <w:r>
        <w:rPr/>
        <w:t>innocent</w:t>
      </w:r>
      <w:r>
        <w:rPr>
          <w:spacing w:val="12"/>
        </w:rPr>
        <w:t> </w:t>
      </w:r>
      <w:r>
        <w:rPr/>
        <w:t>party</w:t>
      </w:r>
      <w:r>
        <w:rPr>
          <w:spacing w:val="12"/>
        </w:rPr>
        <w:t> </w:t>
      </w:r>
      <w:r>
        <w:rPr/>
        <w:t>by</w:t>
      </w:r>
      <w:r>
        <w:rPr>
          <w:spacing w:val="12"/>
        </w:rPr>
        <w:t> </w:t>
      </w:r>
      <w:r>
        <w:rPr/>
        <w:t>the</w:t>
      </w:r>
      <w:r>
        <w:rPr>
          <w:spacing w:val="12"/>
        </w:rPr>
        <w:t> </w:t>
      </w:r>
      <w:r>
        <w:rPr/>
        <w:t>breach</w:t>
      </w:r>
      <w:r>
        <w:rPr>
          <w:spacing w:val="12"/>
        </w:rPr>
        <w:t> </w:t>
      </w:r>
      <w:r>
        <w:rPr/>
        <w:t>of</w:t>
      </w:r>
      <w:r>
        <w:rPr>
          <w:spacing w:val="11"/>
        </w:rPr>
        <w:t> </w:t>
      </w:r>
      <w:r>
        <w:rPr/>
        <w:t>contract),</w:t>
      </w:r>
      <w:r>
        <w:rPr>
          <w:spacing w:val="11"/>
        </w:rPr>
        <w:t> </w:t>
      </w:r>
      <w:hyperlink w:history="true" w:anchor="_bookmark2584">
        <w:r>
          <w:rPr>
            <w:color w:val="005DA1"/>
            <w:u w:val="single" w:color="005DA1"/>
            <w:vertAlign w:val="superscript"/>
          </w:rPr>
          <w:t>1344</w:t>
        </w:r>
        <w:r>
          <w:rPr>
            <w:color w:val="005DA1"/>
            <w:spacing w:val="45"/>
            <w:vertAlign w:val="baseline"/>
          </w:rPr>
          <w:t>  </w:t>
        </w:r>
        <w:r>
          <w:rPr>
            <w:color w:val="005DA1"/>
            <w:spacing w:val="-17"/>
            <w:position w:val="-2"/>
            <w:vertAlign w:val="baseline"/>
          </w:rPr>
          <w:drawing>
            <wp:inline distT="0" distB="0" distL="0" distR="0">
              <wp:extent cx="107988" cy="107988"/>
              <wp:effectExtent l="0" t="0" r="0" b="0"/>
              <wp:docPr id="1210" name="Image 1210"/>
              <wp:cNvGraphicFramePr>
                <a:graphicFrameLocks/>
              </wp:cNvGraphicFramePr>
              <a:graphic>
                <a:graphicData uri="http://schemas.openxmlformats.org/drawingml/2006/picture">
                  <pic:pic>
                    <pic:nvPicPr>
                      <pic:cNvPr id="1210" name="Image 12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34"/>
            <w:vertAlign w:val="baseline"/>
          </w:rPr>
          <w:t> </w:t>
        </w:r>
        <w:r>
          <w:rPr>
            <w:vertAlign w:val="baseline"/>
          </w:rPr>
          <w:t>but</w:t>
        </w:r>
        <w:r>
          <w:rPr>
            <w:spacing w:val="12"/>
            <w:vertAlign w:val="baseline"/>
          </w:rPr>
          <w:t> </w:t>
        </w:r>
        <w:r>
          <w:rPr>
            <w:spacing w:val="-4"/>
            <w:vertAlign w:val="baseline"/>
          </w:rPr>
          <w:t>this</w:t>
        </w:r>
      </w:hyperlink>
    </w:p>
    <w:p>
      <w:pPr>
        <w:spacing w:line="235" w:lineRule="auto" w:before="118"/>
        <w:ind w:left="165" w:right="167" w:firstLine="0"/>
        <w:jc w:val="both"/>
        <w:rPr>
          <w:sz w:val="20"/>
        </w:rPr>
      </w:pPr>
      <w:r>
        <w:rPr>
          <w:sz w:val="20"/>
        </w:rPr>
        <w:t>case has not to date been followed in England. </w:t>
      </w:r>
      <w:hyperlink w:history="true" w:anchor="_bookmark2585">
        <w:r>
          <w:rPr>
            <w:color w:val="005DA1"/>
            <w:sz w:val="20"/>
            <w:u w:val="single" w:color="005DA1"/>
            <w:vertAlign w:val="superscript"/>
          </w:rPr>
          <w:t>1345</w:t>
        </w:r>
        <w:r>
          <w:rPr>
            <w:color w:val="005DA1"/>
            <w:spacing w:val="80"/>
            <w:sz w:val="20"/>
            <w:vertAlign w:val="baseline"/>
          </w:rPr>
          <w:t> </w:t>
        </w:r>
        <w:r>
          <w:rPr>
            <w:color w:val="005DA1"/>
            <w:spacing w:val="-25"/>
            <w:position w:val="-2"/>
            <w:sz w:val="20"/>
            <w:vertAlign w:val="baseline"/>
          </w:rPr>
          <w:drawing>
            <wp:inline distT="0" distB="0" distL="0" distR="0">
              <wp:extent cx="107988" cy="107988"/>
              <wp:effectExtent l="0" t="0" r="0" b="0"/>
              <wp:docPr id="1211" name="Image 1211"/>
              <wp:cNvGraphicFramePr>
                <a:graphicFrameLocks/>
              </wp:cNvGraphicFramePr>
              <a:graphic>
                <a:graphicData uri="http://schemas.openxmlformats.org/drawingml/2006/picture">
                  <pic:pic>
                    <pic:nvPicPr>
                      <pic:cNvPr id="1211" name="Image 12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color w:val="005DA1"/>
            <w:spacing w:val="34"/>
            <w:sz w:val="20"/>
            <w:vertAlign w:val="baseline"/>
          </w:rPr>
          <w:t> </w:t>
        </w:r>
        <w:r>
          <w:rPr>
            <w:sz w:val="20"/>
            <w:vertAlign w:val="baseline"/>
          </w:rPr>
          <w:t>In </w:t>
        </w:r>
        <w:r>
          <w:rPr>
            <w:rFonts w:ascii="Arial"/>
            <w:i/>
            <w:sz w:val="20"/>
            <w:vertAlign w:val="baseline"/>
          </w:rPr>
          <w:t>Cadogan Petroleum Holdings Ltd v </w:t>
        </w:r>
        <w:r>
          <w:rPr>
            <w:rFonts w:ascii="Arial"/>
            <w:i/>
            <w:sz w:val="20"/>
            <w:vertAlign w:val="baseline"/>
          </w:rPr>
          <w:t>Global Process Systems LLC </w:t>
        </w:r>
        <w:r>
          <w:rPr>
            <w:sz w:val="20"/>
            <w:vertAlign w:val="baseline"/>
          </w:rPr>
          <w:t>Eder J. held that it was unnecessary to resolve that debate because counsel </w:t>
        </w:r>
        <w:bookmarkStart w:name="_bookmark2546" w:id="2548"/>
        <w:bookmarkEnd w:id="2548"/>
        <w:r>
          <w:rPr>
            <w:sz w:val="20"/>
            <w:vertAlign w:val="baseline"/>
          </w:rPr>
          <w:t>accepted</w:t>
        </w:r>
        <w:r>
          <w:rPr>
            <w:spacing w:val="8"/>
            <w:sz w:val="20"/>
            <w:vertAlign w:val="baseline"/>
          </w:rPr>
          <w:t> </w:t>
        </w:r>
        <w:r>
          <w:rPr>
            <w:sz w:val="20"/>
            <w:vertAlign w:val="baseline"/>
          </w:rPr>
          <w:t>that</w:t>
        </w:r>
        <w:r>
          <w:rPr>
            <w:spacing w:val="8"/>
            <w:sz w:val="20"/>
            <w:vertAlign w:val="baseline"/>
          </w:rPr>
          <w:t> </w:t>
        </w:r>
        <w:r>
          <w:rPr>
            <w:sz w:val="20"/>
            <w:vertAlign w:val="baseline"/>
          </w:rPr>
          <w:t>in</w:t>
        </w:r>
        <w:r>
          <w:rPr>
            <w:spacing w:val="8"/>
            <w:sz w:val="20"/>
            <w:vertAlign w:val="baseline"/>
          </w:rPr>
          <w:t> </w:t>
        </w:r>
        <w:r>
          <w:rPr>
            <w:sz w:val="20"/>
            <w:vertAlign w:val="baseline"/>
          </w:rPr>
          <w:t>the</w:t>
        </w:r>
        <w:r>
          <w:rPr>
            <w:spacing w:val="8"/>
            <w:sz w:val="20"/>
            <w:vertAlign w:val="baseline"/>
          </w:rPr>
          <w:t> </w:t>
        </w:r>
        <w:r>
          <w:rPr>
            <w:sz w:val="20"/>
            <w:vertAlign w:val="baseline"/>
          </w:rPr>
          <w:t>circumstances</w:t>
        </w:r>
        <w:r>
          <w:rPr>
            <w:spacing w:val="8"/>
            <w:sz w:val="20"/>
            <w:vertAlign w:val="baseline"/>
          </w:rPr>
          <w:t> </w:t>
        </w:r>
        <w:r>
          <w:rPr>
            <w:sz w:val="20"/>
            <w:vertAlign w:val="baseline"/>
          </w:rPr>
          <w:t>the</w:t>
        </w:r>
        <w:r>
          <w:rPr>
            <w:spacing w:val="8"/>
            <w:sz w:val="20"/>
            <w:vertAlign w:val="baseline"/>
          </w:rPr>
          <w:t> </w:t>
        </w:r>
        <w:r>
          <w:rPr>
            <w:sz w:val="20"/>
            <w:vertAlign w:val="baseline"/>
          </w:rPr>
          <w:t>court</w:t>
        </w:r>
        <w:r>
          <w:rPr>
            <w:spacing w:val="8"/>
            <w:sz w:val="20"/>
            <w:vertAlign w:val="baseline"/>
          </w:rPr>
          <w:t> </w:t>
        </w:r>
        <w:r>
          <w:rPr>
            <w:sz w:val="20"/>
            <w:vertAlign w:val="baseline"/>
          </w:rPr>
          <w:t>did</w:t>
        </w:r>
        <w:r>
          <w:rPr>
            <w:spacing w:val="8"/>
            <w:sz w:val="20"/>
            <w:vertAlign w:val="baseline"/>
          </w:rPr>
          <w:t> </w:t>
        </w:r>
        <w:r>
          <w:rPr>
            <w:sz w:val="20"/>
            <w:vertAlign w:val="baseline"/>
          </w:rPr>
          <w:t>have</w:t>
        </w:r>
        <w:r>
          <w:rPr>
            <w:spacing w:val="8"/>
            <w:sz w:val="20"/>
            <w:vertAlign w:val="baseline"/>
          </w:rPr>
          <w:t> </w:t>
        </w:r>
        <w:r>
          <w:rPr>
            <w:sz w:val="20"/>
            <w:vertAlign w:val="baseline"/>
          </w:rPr>
          <w:t>jurisdiction</w:t>
        </w:r>
        <w:r>
          <w:rPr>
            <w:spacing w:val="8"/>
            <w:sz w:val="20"/>
            <w:vertAlign w:val="baseline"/>
          </w:rPr>
          <w:t> </w:t>
        </w:r>
        <w:r>
          <w:rPr>
            <w:sz w:val="20"/>
            <w:vertAlign w:val="baseline"/>
          </w:rPr>
          <w:t>to</w:t>
        </w:r>
        <w:r>
          <w:rPr>
            <w:spacing w:val="8"/>
            <w:sz w:val="20"/>
            <w:vertAlign w:val="baseline"/>
          </w:rPr>
          <w:t> </w:t>
        </w:r>
        <w:r>
          <w:rPr>
            <w:sz w:val="20"/>
            <w:vertAlign w:val="baseline"/>
          </w:rPr>
          <w:t>grant</w:t>
        </w:r>
        <w:r>
          <w:rPr>
            <w:spacing w:val="8"/>
            <w:sz w:val="20"/>
            <w:vertAlign w:val="baseline"/>
          </w:rPr>
          <w:t> </w:t>
        </w:r>
        <w:r>
          <w:rPr>
            <w:sz w:val="20"/>
            <w:vertAlign w:val="baseline"/>
          </w:rPr>
          <w:t>relief</w:t>
        </w:r>
        <w:r>
          <w:rPr>
            <w:spacing w:val="8"/>
            <w:sz w:val="20"/>
            <w:vertAlign w:val="baseline"/>
          </w:rPr>
          <w:t> </w:t>
        </w:r>
        <w:r>
          <w:rPr>
            <w:sz w:val="20"/>
            <w:vertAlign w:val="baseline"/>
          </w:rPr>
          <w:t>against</w:t>
        </w:r>
        <w:r>
          <w:rPr>
            <w:spacing w:val="8"/>
            <w:sz w:val="20"/>
            <w:vertAlign w:val="baseline"/>
          </w:rPr>
          <w:t> </w:t>
        </w:r>
        <w:r>
          <w:rPr>
            <w:sz w:val="20"/>
            <w:vertAlign w:val="baseline"/>
          </w:rPr>
          <w:t>forfeiture</w:t>
        </w:r>
        <w:r>
          <w:rPr>
            <w:spacing w:val="8"/>
            <w:sz w:val="20"/>
            <w:vertAlign w:val="baseline"/>
          </w:rPr>
          <w:t> </w:t>
        </w:r>
        <w:r>
          <w:rPr>
            <w:spacing w:val="-5"/>
            <w:sz w:val="20"/>
            <w:vertAlign w:val="baseline"/>
          </w:rPr>
          <w:t>and</w:t>
        </w:r>
      </w:hyperlink>
    </w:p>
    <w:p>
      <w:pPr>
        <w:pStyle w:val="BodyText"/>
        <w:spacing w:line="235" w:lineRule="auto" w:before="119"/>
        <w:ind w:left="165" w:right="167"/>
        <w:jc w:val="both"/>
      </w:pPr>
      <w:r>
        <w:rPr/>
        <w:t>that such jurisdiction went beyond simply giving the buyer more time to pay. </w:t>
      </w:r>
      <w:hyperlink w:history="true" w:anchor="_bookmark2586">
        <w:r>
          <w:rPr>
            <w:color w:val="005DA1"/>
            <w:u w:val="single" w:color="005DA1"/>
            <w:vertAlign w:val="superscript"/>
          </w:rPr>
          <w:t>1346</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212" name="Image 1212"/>
              <wp:cNvGraphicFramePr>
                <a:graphicFrameLocks/>
              </wp:cNvGraphicFramePr>
              <a:graphic>
                <a:graphicData uri="http://schemas.openxmlformats.org/drawingml/2006/picture">
                  <pic:pic>
                    <pic:nvPicPr>
                      <pic:cNvPr id="1212" name="Image 12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12"/>
            <w:vertAlign w:val="baseline"/>
          </w:rPr>
          <w:t> </w:t>
        </w:r>
        <w:r>
          <w:rPr>
            <w:vertAlign w:val="baseline"/>
          </w:rPr>
          <w:t>However, as the goods were of no use to the seller and their value was very uncertain, the court refused to order </w:t>
        </w:r>
        <w:bookmarkStart w:name="_bookmark2547" w:id="2549"/>
        <w:bookmarkEnd w:id="2549"/>
        <w:r>
          <w:rPr>
            <w:vertAlign w:val="baseline"/>
          </w:rPr>
          <w:t>repayment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sums</w:t>
        </w:r>
        <w:r>
          <w:rPr>
            <w:spacing w:val="9"/>
            <w:vertAlign w:val="baseline"/>
          </w:rPr>
          <w:t> </w:t>
        </w:r>
        <w:r>
          <w:rPr>
            <w:vertAlign w:val="baseline"/>
          </w:rPr>
          <w:t>already</w:t>
        </w:r>
        <w:r>
          <w:rPr>
            <w:spacing w:val="9"/>
            <w:vertAlign w:val="baseline"/>
          </w:rPr>
          <w:t> </w:t>
        </w:r>
        <w:r>
          <w:rPr>
            <w:vertAlign w:val="baseline"/>
          </w:rPr>
          <w:t>paid</w:t>
        </w:r>
        <w:r>
          <w:rPr>
            <w:spacing w:val="9"/>
            <w:vertAlign w:val="baseline"/>
          </w:rPr>
          <w:t> </w:t>
        </w:r>
        <w:r>
          <w:rPr>
            <w:vertAlign w:val="baseline"/>
          </w:rPr>
          <w:t>or</w:t>
        </w:r>
        <w:r>
          <w:rPr>
            <w:spacing w:val="9"/>
            <w:vertAlign w:val="baseline"/>
          </w:rPr>
          <w:t> </w:t>
        </w:r>
        <w:r>
          <w:rPr>
            <w:vertAlign w:val="baseline"/>
          </w:rPr>
          <w:t>that</w:t>
        </w:r>
        <w:r>
          <w:rPr>
            <w:spacing w:val="9"/>
            <w:vertAlign w:val="baseline"/>
          </w:rPr>
          <w:t> </w:t>
        </w:r>
        <w:r>
          <w:rPr>
            <w:vertAlign w:val="baseline"/>
          </w:rPr>
          <w:t>sums</w:t>
        </w:r>
        <w:r>
          <w:rPr>
            <w:spacing w:val="9"/>
            <w:vertAlign w:val="baseline"/>
          </w:rPr>
          <w:t> </w:t>
        </w:r>
        <w:r>
          <w:rPr>
            <w:vertAlign w:val="baseline"/>
          </w:rPr>
          <w:t>due</w:t>
        </w:r>
        <w:r>
          <w:rPr>
            <w:spacing w:val="9"/>
            <w:vertAlign w:val="baseline"/>
          </w:rPr>
          <w:t> </w:t>
        </w:r>
        <w:r>
          <w:rPr>
            <w:vertAlign w:val="baseline"/>
          </w:rPr>
          <w:t>before</w:t>
        </w:r>
        <w:r>
          <w:rPr>
            <w:spacing w:val="9"/>
            <w:vertAlign w:val="baseline"/>
          </w:rPr>
          <w:t> </w:t>
        </w:r>
        <w:r>
          <w:rPr>
            <w:vertAlign w:val="baseline"/>
          </w:rPr>
          <w:t>the</w:t>
        </w:r>
        <w:r>
          <w:rPr>
            <w:spacing w:val="9"/>
            <w:vertAlign w:val="baseline"/>
          </w:rPr>
          <w:t> </w:t>
        </w:r>
        <w:r>
          <w:rPr>
            <w:vertAlign w:val="baseline"/>
          </w:rPr>
          <w:t>date</w:t>
        </w:r>
        <w:r>
          <w:rPr>
            <w:spacing w:val="9"/>
            <w:vertAlign w:val="baseline"/>
          </w:rPr>
          <w:t> </w:t>
        </w:r>
        <w:r>
          <w:rPr>
            <w:vertAlign w:val="baseline"/>
          </w:rPr>
          <w:t>of</w:t>
        </w:r>
        <w:r>
          <w:rPr>
            <w:spacing w:val="9"/>
            <w:vertAlign w:val="baseline"/>
          </w:rPr>
          <w:t> </w:t>
        </w:r>
        <w:r>
          <w:rPr>
            <w:vertAlign w:val="baseline"/>
          </w:rPr>
          <w:t>termination</w:t>
        </w:r>
        <w:r>
          <w:rPr>
            <w:spacing w:val="9"/>
            <w:vertAlign w:val="baseline"/>
          </w:rPr>
          <w:t> </w:t>
        </w:r>
        <w:r>
          <w:rPr>
            <w:vertAlign w:val="baseline"/>
          </w:rPr>
          <w:t>should</w:t>
        </w:r>
        <w:r>
          <w:rPr>
            <w:spacing w:val="9"/>
            <w:vertAlign w:val="baseline"/>
          </w:rPr>
          <w:t> </w:t>
        </w:r>
        <w:r>
          <w:rPr>
            <w:vertAlign w:val="baseline"/>
          </w:rPr>
          <w:t>cease</w:t>
        </w:r>
        <w:r>
          <w:rPr>
            <w:spacing w:val="9"/>
            <w:vertAlign w:val="baseline"/>
          </w:rPr>
          <w:t> </w:t>
        </w:r>
        <w:r>
          <w:rPr>
            <w:spacing w:val="-5"/>
            <w:vertAlign w:val="baseline"/>
          </w:rPr>
          <w:t>to</w:t>
        </w:r>
      </w:hyperlink>
    </w:p>
    <w:p>
      <w:pPr>
        <w:pStyle w:val="BodyText"/>
        <w:spacing w:before="115"/>
        <w:ind w:left="165"/>
        <w:jc w:val="both"/>
        <w:rPr>
          <w:position w:val="-2"/>
        </w:rPr>
      </w:pPr>
      <w:r>
        <w:rPr/>
        <w:t>be payable. </w:t>
      </w:r>
      <w:hyperlink w:history="true" w:anchor="_bookmark2587">
        <w:r>
          <w:rPr>
            <w:color w:val="005DA1"/>
            <w:u w:val="single" w:color="005DA1"/>
            <w:vertAlign w:val="superscript"/>
          </w:rPr>
          <w:t>1347</w:t>
        </w:r>
        <w:r>
          <w:rPr>
            <w:color w:val="005DA1"/>
            <w:spacing w:val="80"/>
            <w:vertAlign w:val="baseline"/>
          </w:rPr>
          <w:t> </w:t>
        </w:r>
        <w:r>
          <w:rPr>
            <w:color w:val="005DA1"/>
            <w:position w:val="-2"/>
            <w:vertAlign w:val="baseline"/>
          </w:rPr>
          <w:drawing>
            <wp:inline distT="0" distB="0" distL="0" distR="0">
              <wp:extent cx="107988" cy="107988"/>
              <wp:effectExtent l="0" t="0" r="0" b="0"/>
              <wp:docPr id="1213" name="Image 1213"/>
              <wp:cNvGraphicFramePr>
                <a:graphicFrameLocks/>
              </wp:cNvGraphicFramePr>
              <a:graphic>
                <a:graphicData uri="http://schemas.openxmlformats.org/drawingml/2006/picture">
                  <pic:pic>
                    <pic:nvPicPr>
                      <pic:cNvPr id="1213" name="Image 12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Provision for forfeiture may be a </w:t>
      </w:r>
      <w:r>
        <w:rPr>
          <w:rFonts w:ascii="Arial"/>
          <w:b/>
          <w:spacing w:val="-2"/>
          <w:sz w:val="18"/>
        </w:rPr>
        <w:t>penalty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216X</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214" name="Image 1214"/>
            <wp:cNvGraphicFramePr>
              <a:graphicFrameLocks/>
            </wp:cNvGraphicFramePr>
            <a:graphic>
              <a:graphicData uri="http://schemas.openxmlformats.org/drawingml/2006/picture">
                <pic:pic>
                  <pic:nvPicPr>
                    <pic:cNvPr id="1214" name="Image 12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2548" w:id="2550"/>
      <w:bookmarkEnd w:id="2550"/>
      <w:r>
        <w:rPr>
          <w:rFonts w:ascii="Times New Roman"/>
          <w:spacing w:val="9"/>
        </w:rPr>
      </w:r>
      <w:r>
        <w:rPr/>
        <w:t>The</w:t>
      </w:r>
      <w:r>
        <w:rPr>
          <w:spacing w:val="5"/>
        </w:rPr>
        <w:t> </w:t>
      </w:r>
      <w:r>
        <w:rPr/>
        <w:t>Supreme</w:t>
      </w:r>
      <w:r>
        <w:rPr>
          <w:spacing w:val="5"/>
        </w:rPr>
        <w:t> </w:t>
      </w:r>
      <w:r>
        <w:rPr/>
        <w:t>Court</w:t>
      </w:r>
      <w:r>
        <w:rPr>
          <w:spacing w:val="5"/>
        </w:rPr>
        <w:t> </w:t>
      </w:r>
      <w:r>
        <w:rPr/>
        <w:t>has</w:t>
      </w:r>
      <w:r>
        <w:rPr>
          <w:spacing w:val="5"/>
        </w:rPr>
        <w:t> </w:t>
      </w:r>
      <w:r>
        <w:rPr/>
        <w:t>now</w:t>
      </w:r>
      <w:r>
        <w:rPr>
          <w:spacing w:val="5"/>
        </w:rPr>
        <w:t> </w:t>
      </w:r>
      <w:r>
        <w:rPr/>
        <w:t>expressed</w:t>
      </w:r>
      <w:r>
        <w:rPr>
          <w:spacing w:val="5"/>
        </w:rPr>
        <w:t> </w:t>
      </w:r>
      <w:r>
        <w:rPr/>
        <w:t>at</w:t>
      </w:r>
      <w:r>
        <w:rPr>
          <w:spacing w:val="5"/>
        </w:rPr>
        <w:t> </w:t>
      </w:r>
      <w:r>
        <w:rPr/>
        <w:t>least</w:t>
      </w:r>
      <w:r>
        <w:rPr>
          <w:spacing w:val="5"/>
        </w:rPr>
        <w:t> </w:t>
      </w:r>
      <w:r>
        <w:rPr/>
        <w:t>the</w:t>
      </w:r>
      <w:r>
        <w:rPr>
          <w:spacing w:val="5"/>
        </w:rPr>
        <w:t> </w:t>
      </w:r>
      <w:r>
        <w:rPr/>
        <w:t>provisional</w:t>
      </w:r>
      <w:r>
        <w:rPr>
          <w:spacing w:val="5"/>
        </w:rPr>
        <w:t> </w:t>
      </w:r>
      <w:r>
        <w:rPr/>
        <w:t>view</w:t>
      </w:r>
      <w:r>
        <w:rPr>
          <w:spacing w:val="5"/>
        </w:rPr>
        <w:t> </w:t>
      </w:r>
      <w:r>
        <w:rPr/>
        <w:t>that</w:t>
      </w:r>
      <w:r>
        <w:rPr>
          <w:spacing w:val="5"/>
        </w:rPr>
        <w:t> </w:t>
      </w:r>
      <w:r>
        <w:rPr/>
        <w:t>a</w:t>
      </w:r>
      <w:r>
        <w:rPr>
          <w:spacing w:val="5"/>
        </w:rPr>
        <w:t> </w:t>
      </w:r>
      <w:r>
        <w:rPr/>
        <w:t>clause</w:t>
      </w:r>
      <w:r>
        <w:rPr>
          <w:spacing w:val="5"/>
        </w:rPr>
        <w:t> </w:t>
      </w:r>
      <w:r>
        <w:rPr/>
        <w:t>providing</w:t>
      </w:r>
      <w:r>
        <w:rPr>
          <w:spacing w:val="5"/>
        </w:rPr>
        <w:t> </w:t>
      </w:r>
      <w:r>
        <w:rPr/>
        <w:t>for</w:t>
      </w:r>
      <w:r>
        <w:rPr>
          <w:spacing w:val="5"/>
        </w:rPr>
        <w:t> </w:t>
      </w:r>
      <w:r>
        <w:rPr/>
        <w:t>the</w:t>
      </w:r>
    </w:p>
    <w:p>
      <w:pPr>
        <w:pStyle w:val="BodyText"/>
        <w:spacing w:before="5"/>
      </w:pPr>
    </w:p>
    <w:p>
      <w:pPr>
        <w:pStyle w:val="BodyText"/>
        <w:tabs>
          <w:tab w:pos="6200" w:val="left" w:leader="none"/>
          <w:tab w:pos="7473" w:val="left" w:leader="none"/>
          <w:tab w:pos="8176" w:val="left" w:leader="none"/>
        </w:tabs>
        <w:spacing w:line="360" w:lineRule="auto"/>
        <w:ind w:left="165" w:right="168"/>
      </w:pPr>
      <w:bookmarkStart w:name="_bookmark2549" w:id="2551"/>
      <w:bookmarkEnd w:id="2551"/>
      <w:r>
        <w:rPr/>
      </w:r>
      <w:bookmarkStart w:name="_bookmark2550" w:id="2552"/>
      <w:bookmarkEnd w:id="2552"/>
      <w:r>
        <w:rPr/>
      </w:r>
      <w:r>
        <w:rPr/>
        <w:t>forfeiture of sums already paid is subject to the penalty rules </w:t>
      </w:r>
      <w:r>
        <w:rPr>
          <w:color w:val="005DA1"/>
          <w:u w:val="single" w:color="005DA1"/>
          <w:vertAlign w:val="superscript"/>
        </w:rPr>
        <w:t>1348</w:t>
      </w:r>
      <w:r>
        <w:rPr>
          <w:color w:val="005DA1"/>
          <w:vertAlign w:val="baseline"/>
        </w:rPr>
        <w:tab/>
      </w:r>
      <w:r>
        <w:rPr>
          <w:color w:val="005DA1"/>
          <w:position w:val="-2"/>
          <w:vertAlign w:val="baseline"/>
        </w:rPr>
        <w:drawing>
          <wp:inline distT="0" distB="0" distL="0" distR="0">
            <wp:extent cx="107988" cy="107988"/>
            <wp:effectExtent l="0" t="0" r="0" b="0"/>
            <wp:docPr id="1215" name="Image 1215"/>
            <wp:cNvGraphicFramePr>
              <a:graphicFrameLocks/>
            </wp:cNvGraphicFramePr>
            <a:graphic>
              <a:graphicData uri="http://schemas.openxmlformats.org/drawingml/2006/picture">
                <pic:pic>
                  <pic:nvPicPr>
                    <pic:cNvPr id="1215" name="Image 12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and similarly </w:t>
      </w:r>
      <w:hyperlink w:history="true" w:anchor="_bookmark2589">
        <w:r>
          <w:rPr>
            <w:color w:val="005DA1"/>
            <w:u w:val="single" w:color="005DA1"/>
            <w:vertAlign w:val="superscript"/>
          </w:rPr>
          <w:t>1349</w:t>
        </w:r>
        <w:r>
          <w:rPr>
            <w:color w:val="005DA1"/>
            <w:vertAlign w:val="baseline"/>
          </w:rPr>
          <w:tab/>
        </w:r>
        <w:r>
          <w:rPr>
            <w:color w:val="005DA1"/>
            <w:position w:val="-2"/>
            <w:vertAlign w:val="baseline"/>
          </w:rPr>
          <w:drawing>
            <wp:inline distT="0" distB="0" distL="0" distR="0">
              <wp:extent cx="107988" cy="107988"/>
              <wp:effectExtent l="0" t="0" r="0" b="0"/>
              <wp:docPr id="1216" name="Image 1216"/>
              <wp:cNvGraphicFramePr>
                <a:graphicFrameLocks/>
              </wp:cNvGraphicFramePr>
              <a:graphic>
                <a:graphicData uri="http://schemas.openxmlformats.org/drawingml/2006/picture">
                  <pic:pic>
                    <pic:nvPicPr>
                      <pic:cNvPr id="1216" name="Image 12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w:t>
        </w:r>
        <w:r>
          <w:rPr>
            <w:spacing w:val="-3"/>
            <w:vertAlign w:val="baseline"/>
          </w:rPr>
          <w:t> </w:t>
        </w:r>
        <w:r>
          <w:rPr>
            <w:vertAlign w:val="baseline"/>
          </w:rPr>
          <w:t>clause </w:t>
        </w:r>
        <w:bookmarkStart w:name="_bookmark2551" w:id="2553"/>
        <w:bookmarkEnd w:id="2553"/>
        <w:r>
          <w:rPr>
            <w:vertAlign w:val="baseline"/>
          </w:rPr>
          <w:t>requiring</w:t>
        </w:r>
        <w:r>
          <w:rPr>
            <w:spacing w:val="20"/>
            <w:vertAlign w:val="baseline"/>
          </w:rPr>
          <w:t> </w:t>
        </w:r>
        <w:r>
          <w:rPr>
            <w:vertAlign w:val="baseline"/>
          </w:rPr>
          <w:t>the</w:t>
        </w:r>
        <w:r>
          <w:rPr>
            <w:spacing w:val="20"/>
            <w:vertAlign w:val="baseline"/>
          </w:rPr>
          <w:t> </w:t>
        </w:r>
        <w:r>
          <w:rPr>
            <w:vertAlign w:val="baseline"/>
          </w:rPr>
          <w:t>contract-breaker,</w:t>
        </w:r>
        <w:r>
          <w:rPr>
            <w:spacing w:val="20"/>
            <w:vertAlign w:val="baseline"/>
          </w:rPr>
          <w:t> </w:t>
        </w:r>
        <w:r>
          <w:rPr>
            <w:vertAlign w:val="baseline"/>
          </w:rPr>
          <w:t>upon</w:t>
        </w:r>
        <w:r>
          <w:rPr>
            <w:spacing w:val="20"/>
            <w:vertAlign w:val="baseline"/>
          </w:rPr>
          <w:t> </w:t>
        </w:r>
        <w:r>
          <w:rPr>
            <w:vertAlign w:val="baseline"/>
          </w:rPr>
          <w:t>breach,</w:t>
        </w:r>
        <w:r>
          <w:rPr>
            <w:spacing w:val="20"/>
            <w:vertAlign w:val="baseline"/>
          </w:rPr>
          <w:t> </w:t>
        </w:r>
        <w:r>
          <w:rPr>
            <w:vertAlign w:val="baseline"/>
          </w:rPr>
          <w:t>to</w:t>
        </w:r>
        <w:r>
          <w:rPr>
            <w:spacing w:val="20"/>
            <w:vertAlign w:val="baseline"/>
          </w:rPr>
          <w:t> </w:t>
        </w:r>
        <w:r>
          <w:rPr>
            <w:vertAlign w:val="baseline"/>
          </w:rPr>
          <w:t>re-transfer</w:t>
        </w:r>
        <w:r>
          <w:rPr>
            <w:spacing w:val="20"/>
            <w:vertAlign w:val="baseline"/>
          </w:rPr>
          <w:t> </w:t>
        </w:r>
        <w:r>
          <w:rPr>
            <w:vertAlign w:val="baseline"/>
          </w:rPr>
          <w:t>some</w:t>
        </w:r>
        <w:r>
          <w:rPr>
            <w:spacing w:val="20"/>
            <w:vertAlign w:val="baseline"/>
          </w:rPr>
          <w:t> </w:t>
        </w:r>
        <w:r>
          <w:rPr>
            <w:vertAlign w:val="baseline"/>
          </w:rPr>
          <w:t>property</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innocent</w:t>
        </w:r>
        <w:r>
          <w:rPr>
            <w:spacing w:val="20"/>
            <w:vertAlign w:val="baseline"/>
          </w:rPr>
          <w:t> </w:t>
        </w:r>
        <w:r>
          <w:rPr>
            <w:vertAlign w:val="baseline"/>
          </w:rPr>
          <w:t>party.</w:t>
        </w:r>
        <w:r>
          <w:rPr>
            <w:spacing w:val="19"/>
            <w:vertAlign w:val="baseline"/>
          </w:rPr>
          <w:t> </w:t>
        </w:r>
        <w:hyperlink w:history="true" w:anchor="_bookmark2590">
          <w:r>
            <w:rPr>
              <w:color w:val="005DA1"/>
              <w:u w:val="single" w:color="005DA1"/>
              <w:vertAlign w:val="superscript"/>
            </w:rPr>
            <w:t>1350</w:t>
          </w:r>
        </w:hyperlink>
        <w:r>
          <w:rPr>
            <w:color w:val="005DA1"/>
            <w:vertAlign w:val="baseline"/>
          </w:rPr>
          <w:t> </w:t>
        </w:r>
        <w:r>
          <w:rPr>
            <w:color w:val="005DA1"/>
            <w:position w:val="-2"/>
            <w:vertAlign w:val="baseline"/>
          </w:rPr>
          <w:drawing>
            <wp:inline distT="0" distB="0" distL="0" distR="0">
              <wp:extent cx="107988" cy="107988"/>
              <wp:effectExtent l="0" t="0" r="0" b="0"/>
              <wp:docPr id="1217" name="Image 1217"/>
              <wp:cNvGraphicFramePr>
                <a:graphicFrameLocks/>
              </wp:cNvGraphicFramePr>
              <a:graphic>
                <a:graphicData uri="http://schemas.openxmlformats.org/drawingml/2006/picture">
                  <pic:pic>
                    <pic:nvPicPr>
                      <pic:cNvPr id="1217" name="Image 12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6"/>
            <w:vertAlign w:val="baseline"/>
          </w:rPr>
          <w:t> </w:t>
        </w:r>
        <w:bookmarkStart w:name="_bookmark2552" w:id="2554"/>
        <w:bookmarkEnd w:id="2554"/>
        <w:r>
          <w:rPr>
            <w:rFonts w:ascii="Times New Roman"/>
            <w:color w:val="005DA1"/>
            <w:spacing w:val="-18"/>
            <w:w w:val="92"/>
            <w:vertAlign w:val="baseline"/>
          </w:rPr>
        </w:r>
        <w:r>
          <w:rPr>
            <w:vertAlign w:val="baseline"/>
          </w:rPr>
          <w:t>Thus</w:t>
        </w:r>
        <w:r>
          <w:rPr>
            <w:spacing w:val="20"/>
            <w:vertAlign w:val="baseline"/>
          </w:rPr>
          <w:t> </w:t>
        </w:r>
        <w:r>
          <w:rPr>
            <w:vertAlign w:val="baseline"/>
          </w:rPr>
          <w:t>if</w:t>
        </w:r>
        <w:r>
          <w:rPr>
            <w:spacing w:val="20"/>
            <w:vertAlign w:val="baseline"/>
          </w:rPr>
          <w:t> </w:t>
        </w:r>
        <w:r>
          <w:rPr>
            <w:vertAlign w:val="baseline"/>
          </w:rPr>
          <w:t>the</w:t>
        </w:r>
        <w:r>
          <w:rPr>
            <w:spacing w:val="20"/>
            <w:vertAlign w:val="baseline"/>
          </w:rPr>
          <w:t> </w:t>
        </w:r>
        <w:r>
          <w:rPr>
            <w:vertAlign w:val="baseline"/>
          </w:rPr>
          <w:t>provision</w:t>
        </w:r>
        <w:r>
          <w:rPr>
            <w:spacing w:val="20"/>
            <w:vertAlign w:val="baseline"/>
          </w:rPr>
          <w:t> </w:t>
        </w:r>
        <w:r>
          <w:rPr>
            <w:vertAlign w:val="baseline"/>
          </w:rPr>
          <w:t>does</w:t>
        </w:r>
        <w:r>
          <w:rPr>
            <w:spacing w:val="20"/>
            <w:vertAlign w:val="baseline"/>
          </w:rPr>
          <w:t> </w:t>
        </w:r>
        <w:r>
          <w:rPr>
            <w:vertAlign w:val="baseline"/>
          </w:rPr>
          <w:t>not</w:t>
        </w:r>
        <w:r>
          <w:rPr>
            <w:spacing w:val="20"/>
            <w:vertAlign w:val="baseline"/>
          </w:rPr>
          <w:t> </w:t>
        </w:r>
        <w:r>
          <w:rPr>
            <w:vertAlign w:val="baseline"/>
          </w:rPr>
          <w:t>pass</w:t>
        </w:r>
        <w:r>
          <w:rPr>
            <w:spacing w:val="20"/>
            <w:vertAlign w:val="baseline"/>
          </w:rPr>
          <w:t> </w:t>
        </w:r>
        <w:r>
          <w:rPr>
            <w:vertAlign w:val="baseline"/>
          </w:rPr>
          <w:t>either</w:t>
        </w:r>
        <w:r>
          <w:rPr>
            <w:spacing w:val="20"/>
            <w:vertAlign w:val="baseline"/>
          </w:rPr>
          <w:t> </w:t>
        </w:r>
        <w:r>
          <w:rPr>
            <w:vertAlign w:val="baseline"/>
          </w:rPr>
          <w:t>the</w:t>
        </w:r>
        <w:r>
          <w:rPr>
            <w:spacing w:val="20"/>
            <w:vertAlign w:val="baseline"/>
          </w:rPr>
          <w:t> </w:t>
        </w:r>
        <w:r>
          <w:rPr>
            <w:vertAlign w:val="baseline"/>
          </w:rPr>
          <w:t>genuine</w:t>
        </w:r>
        <w:r>
          <w:rPr>
            <w:spacing w:val="20"/>
            <w:vertAlign w:val="baseline"/>
          </w:rPr>
          <w:t> </w:t>
        </w:r>
        <w:r>
          <w:rPr>
            <w:vertAlign w:val="baseline"/>
          </w:rPr>
          <w:t>pre-estimate</w:t>
        </w:r>
        <w:r>
          <w:rPr>
            <w:spacing w:val="20"/>
            <w:vertAlign w:val="baseline"/>
          </w:rPr>
          <w:t> </w:t>
        </w:r>
        <w:r>
          <w:rPr>
            <w:vertAlign w:val="baseline"/>
          </w:rPr>
          <w:t>test</w:t>
        </w:r>
        <w:r>
          <w:rPr>
            <w:spacing w:val="20"/>
            <w:vertAlign w:val="baseline"/>
          </w:rPr>
          <w:t> </w:t>
        </w:r>
        <w:hyperlink w:history="true" w:anchor="_bookmark2591">
          <w:r>
            <w:rPr>
              <w:color w:val="005DA1"/>
              <w:u w:val="single" w:color="005DA1"/>
              <w:vertAlign w:val="superscript"/>
            </w:rPr>
            <w:t>1351</w:t>
          </w:r>
          <w:r>
            <w:rPr>
              <w:color w:val="005DA1"/>
              <w:vertAlign w:val="baseline"/>
            </w:rPr>
            <w:tab/>
          </w:r>
          <w:r>
            <w:rPr>
              <w:color w:val="005DA1"/>
              <w:position w:val="-2"/>
              <w:vertAlign w:val="baseline"/>
            </w:rPr>
            <w:drawing>
              <wp:inline distT="0" distB="0" distL="0" distR="0">
                <wp:extent cx="107988" cy="107988"/>
                <wp:effectExtent l="0" t="0" r="0" b="0"/>
                <wp:docPr id="1218" name="Image 1218"/>
                <wp:cNvGraphicFramePr>
                  <a:graphicFrameLocks/>
                </wp:cNvGraphicFramePr>
                <a:graphic>
                  <a:graphicData uri="http://schemas.openxmlformats.org/drawingml/2006/picture">
                    <pic:pic>
                      <pic:nvPicPr>
                        <pic:cNvPr id="1218" name="Image 12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5"/>
              <w:vertAlign w:val="baseline"/>
            </w:rPr>
            <w:t> </w:t>
          </w:r>
          <w:r>
            <w:rPr>
              <w:vertAlign w:val="baseline"/>
            </w:rPr>
            <w:t>or</w:t>
          </w:r>
          <w:r>
            <w:rPr>
              <w:spacing w:val="9"/>
              <w:vertAlign w:val="baseline"/>
            </w:rPr>
            <w:t> </w:t>
          </w:r>
          <w:r>
            <w:rPr>
              <w:vertAlign w:val="baseline"/>
            </w:rPr>
            <w:t>the</w:t>
          </w:r>
          <w:r>
            <w:rPr>
              <w:spacing w:val="10"/>
              <w:vertAlign w:val="baseline"/>
            </w:rPr>
            <w:t> </w:t>
          </w:r>
          <w:r>
            <w:rPr>
              <w:vertAlign w:val="baseline"/>
            </w:rPr>
            <w:t>legitimate</w:t>
          </w:r>
        </w:hyperlink>
      </w:hyperlink>
    </w:p>
    <w:p>
      <w:pPr>
        <w:pStyle w:val="BodyText"/>
        <w:tabs>
          <w:tab w:pos="2043" w:val="left" w:leader="none"/>
        </w:tabs>
        <w:spacing w:line="235" w:lineRule="auto" w:before="4"/>
        <w:ind w:left="165" w:right="167"/>
      </w:pPr>
      <w:r>
        <w:rPr/>
        <w:t>deterrent</w:t>
      </w:r>
      <w:r>
        <w:rPr>
          <w:spacing w:val="40"/>
        </w:rPr>
        <w:t> </w:t>
      </w:r>
      <w:r>
        <w:rPr/>
        <w:t>test,</w:t>
      </w:r>
      <w:r>
        <w:rPr>
          <w:spacing w:val="40"/>
        </w:rPr>
        <w:t> </w:t>
      </w:r>
      <w:hyperlink w:history="true" w:anchor="_bookmark2592">
        <w:r>
          <w:rPr>
            <w:color w:val="005DA1"/>
            <w:u w:val="single" w:color="005DA1"/>
            <w:vertAlign w:val="superscript"/>
          </w:rPr>
          <w:t>1352</w:t>
        </w:r>
        <w:r>
          <w:rPr>
            <w:color w:val="005DA1"/>
            <w:vertAlign w:val="baseline"/>
          </w:rPr>
          <w:tab/>
        </w:r>
        <w:r>
          <w:rPr>
            <w:color w:val="005DA1"/>
            <w:position w:val="-2"/>
            <w:vertAlign w:val="baseline"/>
          </w:rPr>
          <w:drawing>
            <wp:inline distT="0" distB="0" distL="0" distR="0">
              <wp:extent cx="107988" cy="107988"/>
              <wp:effectExtent l="0" t="0" r="0" b="0"/>
              <wp:docPr id="1219" name="Image 1219"/>
              <wp:cNvGraphicFramePr>
                <a:graphicFrameLocks/>
              </wp:cNvGraphicFramePr>
              <a:graphic>
                <a:graphicData uri="http://schemas.openxmlformats.org/drawingml/2006/picture">
                  <pic:pic>
                    <pic:nvPicPr>
                      <pic:cNvPr id="1219" name="Image 12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4"/>
            <w:vertAlign w:val="baseline"/>
          </w:rPr>
          <w:t> </w:t>
        </w:r>
        <w:r>
          <w:rPr>
            <w:vertAlign w:val="baseline"/>
          </w:rPr>
          <w:t>the</w:t>
        </w:r>
        <w:r>
          <w:rPr>
            <w:spacing w:val="28"/>
            <w:vertAlign w:val="baseline"/>
          </w:rPr>
          <w:t> </w:t>
        </w:r>
        <w:r>
          <w:rPr>
            <w:vertAlign w:val="baseline"/>
          </w:rPr>
          <w:t>sum</w:t>
        </w:r>
        <w:r>
          <w:rPr>
            <w:spacing w:val="28"/>
            <w:vertAlign w:val="baseline"/>
          </w:rPr>
          <w:t> </w:t>
        </w:r>
        <w:r>
          <w:rPr>
            <w:vertAlign w:val="baseline"/>
          </w:rPr>
          <w:t>that</w:t>
        </w:r>
        <w:r>
          <w:rPr>
            <w:spacing w:val="28"/>
            <w:vertAlign w:val="baseline"/>
          </w:rPr>
          <w:t> </w:t>
        </w:r>
        <w:r>
          <w:rPr>
            <w:vertAlign w:val="baseline"/>
          </w:rPr>
          <w:t>was</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forfeited</w:t>
        </w:r>
        <w:r>
          <w:rPr>
            <w:spacing w:val="28"/>
            <w:vertAlign w:val="baseline"/>
          </w:rPr>
          <w:t> </w:t>
        </w:r>
        <w:r>
          <w:rPr>
            <w:vertAlign w:val="baseline"/>
          </w:rPr>
          <w:t>will</w:t>
        </w:r>
        <w:r>
          <w:rPr>
            <w:spacing w:val="28"/>
            <w:vertAlign w:val="baseline"/>
          </w:rPr>
          <w:t> </w:t>
        </w:r>
        <w:r>
          <w:rPr>
            <w:vertAlign w:val="baseline"/>
          </w:rPr>
          <w:t>be</w:t>
        </w:r>
        <w:r>
          <w:rPr>
            <w:spacing w:val="28"/>
            <w:vertAlign w:val="baseline"/>
          </w:rPr>
          <w:t> </w:t>
        </w:r>
        <w:r>
          <w:rPr>
            <w:vertAlign w:val="baseline"/>
          </w:rPr>
          <w:t>subject</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normal</w:t>
        </w:r>
        <w:r>
          <w:rPr>
            <w:spacing w:val="28"/>
            <w:vertAlign w:val="baseline"/>
          </w:rPr>
          <w:t> </w:t>
        </w:r>
        <w:r>
          <w:rPr>
            <w:vertAlign w:val="baseline"/>
          </w:rPr>
          <w:t>rules</w:t>
        </w:r>
        <w:r>
          <w:rPr>
            <w:spacing w:val="28"/>
            <w:vertAlign w:val="baseline"/>
          </w:rPr>
          <w:t> </w:t>
        </w:r>
        <w:r>
          <w:rPr>
            <w:vertAlign w:val="baseline"/>
          </w:rPr>
          <w:t>on</w:t>
        </w:r>
        <w:r>
          <w:rPr>
            <w:spacing w:val="28"/>
            <w:vertAlign w:val="baseline"/>
          </w:rPr>
          <w:t> </w:t>
        </w:r>
        <w:r>
          <w:rPr>
            <w:vertAlign w:val="baseline"/>
          </w:rPr>
          <w:t>the </w:t>
        </w:r>
        <w:bookmarkStart w:name="_bookmark2553" w:id="2555"/>
        <w:bookmarkEnd w:id="2555"/>
        <w:r>
          <w:rPr>
            <w:vertAlign w:val="baseline"/>
          </w:rPr>
          <w:t>repayment</w:t>
        </w:r>
        <w:r>
          <w:rPr>
            <w:spacing w:val="15"/>
            <w:vertAlign w:val="baseline"/>
          </w:rPr>
          <w:t> </w:t>
        </w:r>
        <w:r>
          <w:rPr>
            <w:vertAlign w:val="baseline"/>
          </w:rPr>
          <w:t>of</w:t>
        </w:r>
        <w:r>
          <w:rPr>
            <w:spacing w:val="15"/>
            <w:vertAlign w:val="baseline"/>
          </w:rPr>
          <w:t> </w:t>
        </w:r>
        <w:r>
          <w:rPr>
            <w:vertAlign w:val="baseline"/>
          </w:rPr>
          <w:t>sums</w:t>
        </w:r>
        <w:r>
          <w:rPr>
            <w:spacing w:val="15"/>
            <w:vertAlign w:val="baseline"/>
          </w:rPr>
          <w:t> </w:t>
        </w:r>
        <w:r>
          <w:rPr>
            <w:vertAlign w:val="baseline"/>
          </w:rPr>
          <w:t>already</w:t>
        </w:r>
        <w:r>
          <w:rPr>
            <w:spacing w:val="15"/>
            <w:vertAlign w:val="baseline"/>
          </w:rPr>
          <w:t> </w:t>
        </w:r>
        <w:r>
          <w:rPr>
            <w:vertAlign w:val="baseline"/>
          </w:rPr>
          <w:t>paid</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requirement</w:t>
        </w:r>
        <w:r>
          <w:rPr>
            <w:spacing w:val="15"/>
            <w:vertAlign w:val="baseline"/>
          </w:rPr>
          <w:t> </w:t>
        </w:r>
        <w:r>
          <w:rPr>
            <w:vertAlign w:val="baseline"/>
          </w:rPr>
          <w:t>to</w:t>
        </w:r>
        <w:r>
          <w:rPr>
            <w:spacing w:val="15"/>
            <w:vertAlign w:val="baseline"/>
          </w:rPr>
          <w:t> </w:t>
        </w:r>
        <w:r>
          <w:rPr>
            <w:vertAlign w:val="baseline"/>
          </w:rPr>
          <w:t>transfer</w:t>
        </w:r>
        <w:r>
          <w:rPr>
            <w:spacing w:val="15"/>
            <w:vertAlign w:val="baseline"/>
          </w:rPr>
          <w:t> </w:t>
        </w:r>
        <w:r>
          <w:rPr>
            <w:vertAlign w:val="baseline"/>
          </w:rPr>
          <w:t>the</w:t>
        </w:r>
        <w:r>
          <w:rPr>
            <w:spacing w:val="15"/>
            <w:vertAlign w:val="baseline"/>
          </w:rPr>
          <w:t> </w:t>
        </w:r>
        <w:r>
          <w:rPr>
            <w:vertAlign w:val="baseline"/>
          </w:rPr>
          <w:t>property</w:t>
        </w:r>
        <w:r>
          <w:rPr>
            <w:spacing w:val="15"/>
            <w:vertAlign w:val="baseline"/>
          </w:rPr>
          <w:t> </w:t>
        </w:r>
        <w:r>
          <w:rPr>
            <w:vertAlign w:val="baseline"/>
          </w:rPr>
          <w:t>at</w:t>
        </w:r>
        <w:r>
          <w:rPr>
            <w:spacing w:val="15"/>
            <w:vertAlign w:val="baseline"/>
          </w:rPr>
          <w:t> </w:t>
        </w:r>
        <w:r>
          <w:rPr>
            <w:vertAlign w:val="baseline"/>
          </w:rPr>
          <w:t>a</w:t>
        </w:r>
        <w:r>
          <w:rPr>
            <w:spacing w:val="15"/>
            <w:vertAlign w:val="baseline"/>
          </w:rPr>
          <w:t> </w:t>
        </w:r>
        <w:r>
          <w:rPr>
            <w:vertAlign w:val="baseline"/>
          </w:rPr>
          <w:t>reduced</w:t>
        </w:r>
        <w:r>
          <w:rPr>
            <w:spacing w:val="15"/>
            <w:vertAlign w:val="baseline"/>
          </w:rPr>
          <w:t> </w:t>
        </w:r>
        <w:r>
          <w:rPr>
            <w:vertAlign w:val="baseline"/>
          </w:rPr>
          <w:t>price</w:t>
        </w:r>
        <w:r>
          <w:rPr>
            <w:spacing w:val="15"/>
            <w:vertAlign w:val="baseline"/>
          </w:rPr>
          <w:t> </w:t>
        </w:r>
        <w:r>
          <w:rPr>
            <w:spacing w:val="-4"/>
            <w:vertAlign w:val="baseline"/>
          </w:rPr>
          <w:t>will</w:t>
        </w:r>
      </w:hyperlink>
    </w:p>
    <w:p>
      <w:pPr>
        <w:pStyle w:val="BodyText"/>
        <w:spacing w:before="115"/>
        <w:ind w:left="165"/>
        <w:rPr>
          <w:position w:val="-2"/>
        </w:rPr>
      </w:pPr>
      <w:r>
        <w:rPr/>
        <w:t>unenforceable. </w:t>
      </w:r>
      <w:hyperlink w:history="true" w:anchor="_bookmark2593">
        <w:r>
          <w:rPr>
            <w:color w:val="005DA1"/>
            <w:u w:val="single" w:color="005DA1"/>
            <w:vertAlign w:val="superscript"/>
          </w:rPr>
          <w:t>1353</w:t>
        </w:r>
        <w:r>
          <w:rPr>
            <w:color w:val="005DA1"/>
            <w:spacing w:val="80"/>
            <w:vertAlign w:val="baseline"/>
          </w:rPr>
          <w:t> </w:t>
        </w:r>
        <w:r>
          <w:rPr>
            <w:color w:val="005DA1"/>
            <w:position w:val="-2"/>
            <w:vertAlign w:val="baseline"/>
          </w:rPr>
          <w:drawing>
            <wp:inline distT="0" distB="0" distL="0" distR="0">
              <wp:extent cx="107988" cy="107988"/>
              <wp:effectExtent l="0" t="0" r="0" b="0"/>
              <wp:docPr id="1220" name="Image 1220"/>
              <wp:cNvGraphicFramePr>
                <a:graphicFrameLocks/>
              </wp:cNvGraphicFramePr>
              <a:graphic>
                <a:graphicData uri="http://schemas.openxmlformats.org/drawingml/2006/picture">
                  <pic:pic>
                    <pic:nvPicPr>
                      <pic:cNvPr id="1220" name="Image 12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Relief against forfeiture may also be </w:t>
      </w:r>
      <w:r>
        <w:rPr>
          <w:rFonts w:ascii="Arial"/>
          <w:b/>
          <w:spacing w:val="-2"/>
          <w:sz w:val="18"/>
        </w:rPr>
        <w:t>given</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4"/>
          <w:sz w:val="24"/>
        </w:rPr>
        <w:t>216Y</w:t>
      </w:r>
    </w:p>
    <w:p>
      <w:pPr>
        <w:pStyle w:val="BodyText"/>
        <w:rPr>
          <w:rFonts w:ascii="Arial"/>
          <w:b/>
        </w:rPr>
      </w:pPr>
    </w:p>
    <w:p>
      <w:pPr>
        <w:pStyle w:val="BodyText"/>
        <w:spacing w:before="10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221" name="Image 1221"/>
            <wp:cNvGraphicFramePr>
              <a:graphicFrameLocks/>
            </wp:cNvGraphicFramePr>
            <a:graphic>
              <a:graphicData uri="http://schemas.openxmlformats.org/drawingml/2006/picture">
                <pic:pic>
                  <pic:nvPicPr>
                    <pic:cNvPr id="1221" name="Image 12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554" w:id="2556"/>
      <w:bookmarkEnd w:id="2556"/>
      <w:r>
        <w:rPr>
          <w:rFonts w:ascii="Times New Roman"/>
          <w:spacing w:val="10"/>
        </w:rPr>
      </w:r>
      <w:bookmarkStart w:name="_bookmark2555" w:id="2557"/>
      <w:bookmarkEnd w:id="2557"/>
      <w:r>
        <w:rPr>
          <w:rFonts w:ascii="Times New Roman"/>
          <w:spacing w:val="10"/>
        </w:rPr>
      </w:r>
      <w:r>
        <w:rPr/>
        <w:t>In the </w:t>
      </w:r>
      <w:r>
        <w:rPr>
          <w:rFonts w:ascii="Arial"/>
          <w:i/>
        </w:rPr>
        <w:t>Cavendish Square </w:t>
      </w:r>
      <w:r>
        <w:rPr/>
        <w:t>case </w:t>
      </w:r>
      <w:r>
        <w:rPr>
          <w:color w:val="005DA1"/>
          <w:u w:val="single" w:color="005DA1"/>
          <w:vertAlign w:val="superscript"/>
        </w:rPr>
        <w:t>1354</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222" name="Image 1222"/>
            <wp:cNvGraphicFramePr>
              <a:graphicFrameLocks/>
            </wp:cNvGraphicFramePr>
            <a:graphic>
              <a:graphicData uri="http://schemas.openxmlformats.org/drawingml/2006/picture">
                <pic:pic>
                  <pic:nvPicPr>
                    <pic:cNvPr id="1222" name="Image 12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Lords Mance and Hodge said </w:t>
      </w:r>
      <w:hyperlink w:history="true" w:anchor="_bookmark2595">
        <w:r>
          <w:rPr>
            <w:color w:val="005DA1"/>
            <w:u w:val="single" w:color="005DA1"/>
            <w:vertAlign w:val="superscript"/>
          </w:rPr>
          <w:t>1355</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223" name="Image 1223"/>
              <wp:cNvGraphicFramePr>
                <a:graphicFrameLocks/>
              </wp:cNvGraphicFramePr>
              <a:graphic>
                <a:graphicData uri="http://schemas.openxmlformats.org/drawingml/2006/picture">
                  <pic:pic>
                    <pic:nvPicPr>
                      <pic:cNvPr id="1223" name="Image 12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that even if the clause providing for the forfeiture of sums already paid is not void as a penalty from the outset, if the </w:t>
        </w:r>
        <w:r>
          <w:rPr>
            <w:vertAlign w:val="baseline"/>
          </w:rPr>
          <w:t>party who will be prejudiced by the clause defaults, the court may grant relief against forfeiture. The </w:t>
        </w:r>
        <w:bookmarkStart w:name="_bookmark2556" w:id="2558"/>
        <w:bookmarkEnd w:id="2558"/>
        <w:r>
          <w:rPr>
            <w:vertAlign w:val="baseline"/>
          </w:rPr>
          <w:t>Supreme</w:t>
        </w:r>
        <w:r>
          <w:rPr>
            <w:spacing w:val="14"/>
            <w:vertAlign w:val="baseline"/>
          </w:rPr>
          <w:t> </w:t>
        </w:r>
        <w:r>
          <w:rPr>
            <w:vertAlign w:val="baseline"/>
          </w:rPr>
          <w:t>Court</w:t>
        </w:r>
        <w:r>
          <w:rPr>
            <w:spacing w:val="14"/>
            <w:vertAlign w:val="baseline"/>
          </w:rPr>
          <w:t> </w:t>
        </w:r>
        <w:r>
          <w:rPr>
            <w:vertAlign w:val="baseline"/>
          </w:rPr>
          <w:t>seemed</w:t>
        </w:r>
        <w:r>
          <w:rPr>
            <w:spacing w:val="14"/>
            <w:vertAlign w:val="baseline"/>
          </w:rPr>
          <w:t> </w:t>
        </w:r>
        <w:r>
          <w:rPr>
            <w:vertAlign w:val="baseline"/>
          </w:rPr>
          <w:t>to</w:t>
        </w:r>
        <w:r>
          <w:rPr>
            <w:spacing w:val="14"/>
            <w:vertAlign w:val="baseline"/>
          </w:rPr>
          <w:t> </w:t>
        </w:r>
        <w:r>
          <w:rPr>
            <w:vertAlign w:val="baseline"/>
          </w:rPr>
          <w:t>envisage</w:t>
        </w:r>
        <w:r>
          <w:rPr>
            <w:spacing w:val="14"/>
            <w:vertAlign w:val="baseline"/>
          </w:rPr>
          <w:t> </w:t>
        </w:r>
        <w:r>
          <w:rPr>
            <w:vertAlign w:val="baseline"/>
          </w:rPr>
          <w:t>this</w:t>
        </w:r>
        <w:r>
          <w:rPr>
            <w:spacing w:val="14"/>
            <w:vertAlign w:val="baseline"/>
          </w:rPr>
          <w:t> </w:t>
        </w:r>
        <w:r>
          <w:rPr>
            <w:vertAlign w:val="baseline"/>
          </w:rPr>
          <w:t>relief</w:t>
        </w:r>
        <w:r>
          <w:rPr>
            <w:spacing w:val="14"/>
            <w:vertAlign w:val="baseline"/>
          </w:rPr>
          <w:t> </w:t>
        </w:r>
        <w:r>
          <w:rPr>
            <w:vertAlign w:val="baseline"/>
          </w:rPr>
          <w:t>normally</w:t>
        </w:r>
        <w:r>
          <w:rPr>
            <w:spacing w:val="14"/>
            <w:vertAlign w:val="baseline"/>
          </w:rPr>
          <w:t> </w:t>
        </w:r>
        <w:r>
          <w:rPr>
            <w:vertAlign w:val="baseline"/>
          </w:rPr>
          <w:t>taking</w:t>
        </w:r>
        <w:r>
          <w:rPr>
            <w:spacing w:val="14"/>
            <w:vertAlign w:val="baseline"/>
          </w:rPr>
          <w:t> </w:t>
        </w:r>
        <w:r>
          <w:rPr>
            <w:vertAlign w:val="baseline"/>
          </w:rPr>
          <w:t>the</w:t>
        </w:r>
        <w:r>
          <w:rPr>
            <w:spacing w:val="14"/>
            <w:vertAlign w:val="baseline"/>
          </w:rPr>
          <w:t> </w:t>
        </w:r>
        <w:r>
          <w:rPr>
            <w:vertAlign w:val="baseline"/>
          </w:rPr>
          <w:t>form</w:t>
        </w:r>
        <w:r>
          <w:rPr>
            <w:spacing w:val="14"/>
            <w:vertAlign w:val="baseline"/>
          </w:rPr>
          <w:t> </w:t>
        </w:r>
        <w:r>
          <w:rPr>
            <w:vertAlign w:val="baseline"/>
          </w:rPr>
          <w:t>of</w:t>
        </w:r>
        <w:r>
          <w:rPr>
            <w:spacing w:val="14"/>
            <w:vertAlign w:val="baseline"/>
          </w:rPr>
          <w:t> </w:t>
        </w:r>
        <w:r>
          <w:rPr>
            <w:vertAlign w:val="baseline"/>
          </w:rPr>
          <w:t>giving</w:t>
        </w:r>
        <w:r>
          <w:rPr>
            <w:spacing w:val="14"/>
            <w:vertAlign w:val="baseline"/>
          </w:rPr>
          <w:t> </w:t>
        </w:r>
        <w:r>
          <w:rPr>
            <w:vertAlign w:val="baseline"/>
          </w:rPr>
          <w:t>the</w:t>
        </w:r>
        <w:r>
          <w:rPr>
            <w:spacing w:val="14"/>
            <w:vertAlign w:val="baseline"/>
          </w:rPr>
          <w:t> </w:t>
        </w:r>
        <w:r>
          <w:rPr>
            <w:vertAlign w:val="baseline"/>
          </w:rPr>
          <w:t>defaulting</w:t>
        </w:r>
        <w:r>
          <w:rPr>
            <w:spacing w:val="14"/>
            <w:vertAlign w:val="baseline"/>
          </w:rPr>
          <w:t> </w:t>
        </w:r>
        <w:r>
          <w:rPr>
            <w:spacing w:val="-2"/>
            <w:vertAlign w:val="baseline"/>
          </w:rPr>
          <w:t>party</w:t>
        </w:r>
      </w:hyperlink>
    </w:p>
    <w:p>
      <w:pPr>
        <w:pStyle w:val="BodyText"/>
        <w:spacing w:line="360" w:lineRule="auto" w:before="115"/>
        <w:ind w:left="165" w:right="168"/>
        <w:jc w:val="both"/>
        <w:rPr>
          <w:position w:val="-2"/>
        </w:rPr>
      </w:pPr>
      <w:bookmarkStart w:name="_bookmark2557" w:id="2559"/>
      <w:bookmarkEnd w:id="2559"/>
      <w:r>
        <w:rPr/>
      </w:r>
      <w:r>
        <w:rPr/>
        <w:t>extra time in which to pay, </w:t>
      </w:r>
      <w:hyperlink w:history="true" w:anchor="_bookmark2596">
        <w:r>
          <w:rPr>
            <w:color w:val="005DA1"/>
            <w:u w:val="single" w:color="005DA1"/>
            <w:vertAlign w:val="superscript"/>
          </w:rPr>
          <w:t>1356</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224" name="Image 1224"/>
              <wp:cNvGraphicFramePr>
                <a:graphicFrameLocks/>
              </wp:cNvGraphicFramePr>
              <a:graphic>
                <a:graphicData uri="http://schemas.openxmlformats.org/drawingml/2006/picture">
                  <pic:pic>
                    <pic:nvPicPr>
                      <pic:cNvPr id="1224" name="Image 12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8"/>
            <w:vertAlign w:val="baseline"/>
          </w:rPr>
          <w:t> </w:t>
        </w:r>
        <w:r>
          <w:rPr>
            <w:vertAlign w:val="baseline"/>
          </w:rPr>
          <w:t>but Lord Hodge at least indicated that it might also involve the purchaser recovering the payments made. </w:t>
        </w:r>
        <w:r>
          <w:rPr>
            <w:color w:val="005DA1"/>
            <w:u w:val="single" w:color="005DA1"/>
            <w:vertAlign w:val="superscript"/>
          </w:rPr>
          <w:t>1357</w:t>
        </w:r>
        <w:r>
          <w:rPr>
            <w:color w:val="005DA1"/>
            <w:spacing w:val="80"/>
            <w:vertAlign w:val="baseline"/>
          </w:rPr>
          <w:t> </w:t>
        </w:r>
        <w:r>
          <w:rPr>
            <w:color w:val="005DA1"/>
            <w:position w:val="-2"/>
            <w:vertAlign w:val="baseline"/>
          </w:rPr>
          <w:drawing>
            <wp:inline distT="0" distB="0" distL="0" distR="0">
              <wp:extent cx="107988" cy="107988"/>
              <wp:effectExtent l="0" t="0" r="0" b="0"/>
              <wp:docPr id="1225" name="Image 1225"/>
              <wp:cNvGraphicFramePr>
                <a:graphicFrameLocks/>
              </wp:cNvGraphicFramePr>
              <a:graphic>
                <a:graphicData uri="http://schemas.openxmlformats.org/drawingml/2006/picture">
                  <pic:pic>
                    <pic:nvPicPr>
                      <pic:cNvPr id="1225" name="Image 1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165" w:right="0" w:firstLine="0"/>
        <w:jc w:val="left"/>
        <w:rPr>
          <w:rFonts w:ascii="Arial"/>
          <w:b/>
          <w:sz w:val="18"/>
        </w:rPr>
      </w:pPr>
      <w:r>
        <w:rPr>
          <w:rFonts w:ascii="Arial"/>
          <w:b/>
          <w:sz w:val="18"/>
        </w:rPr>
        <w:t>Forfeiture of leases and relief against termination </w:t>
      </w:r>
      <w:r>
        <w:rPr>
          <w:rFonts w:ascii="Arial"/>
          <w:b/>
          <w:spacing w:val="-2"/>
          <w:sz w:val="18"/>
        </w:rPr>
        <w:t>clauses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4"/>
          <w:sz w:val="24"/>
        </w:rPr>
        <w:t>216Z</w:t>
      </w:r>
    </w:p>
    <w:p>
      <w:pPr>
        <w:pStyle w:val="BodyText"/>
        <w:spacing w:before="212"/>
        <w:rPr>
          <w:rFonts w:ascii="Arial"/>
          <w:b/>
        </w:rPr>
      </w:pPr>
    </w:p>
    <w:p>
      <w:pPr>
        <w:pStyle w:val="BodyText"/>
        <w:spacing w:line="235" w:lineRule="auto"/>
        <w:ind w:left="165" w:right="167"/>
        <w:jc w:val="both"/>
        <w:rPr>
          <w:rFonts w:ascii="Arial" w:hAnsi="Arial"/>
          <w:i/>
        </w:rPr>
      </w:pPr>
      <w:r>
        <w:rPr>
          <w:position w:val="-2"/>
        </w:rPr>
        <w:drawing>
          <wp:inline distT="0" distB="0" distL="0" distR="0">
            <wp:extent cx="107988" cy="107988"/>
            <wp:effectExtent l="0" t="0" r="0" b="0"/>
            <wp:docPr id="1226" name="Image 1226"/>
            <wp:cNvGraphicFramePr>
              <a:graphicFrameLocks/>
            </wp:cNvGraphicFramePr>
            <a:graphic>
              <a:graphicData uri="http://schemas.openxmlformats.org/drawingml/2006/picture">
                <pic:pic>
                  <pic:nvPicPr>
                    <pic:cNvPr id="1226" name="Image 12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2"/>
        </w:rPr>
        <w:t> </w:t>
      </w:r>
      <w:bookmarkStart w:name="_bookmark2558" w:id="2560"/>
      <w:bookmarkEnd w:id="2560"/>
      <w:r>
        <w:rPr>
          <w:rFonts w:ascii="Times New Roman" w:hAnsi="Times New Roman"/>
          <w:spacing w:val="-14"/>
        </w:rPr>
      </w:r>
      <w:r>
        <w:rPr/>
        <w:t>As stated earlier, </w:t>
      </w:r>
      <w:hyperlink w:history="true" w:anchor="_bookmark2597">
        <w:r>
          <w:rPr>
            <w:color w:val="005DA1"/>
            <w:u w:val="single" w:color="005DA1"/>
            <w:vertAlign w:val="superscript"/>
          </w:rPr>
          <w:t>1358</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1227" name="Image 1227"/>
              <wp:cNvGraphicFramePr>
                <a:graphicFrameLocks/>
              </wp:cNvGraphicFramePr>
              <a:graphic>
                <a:graphicData uri="http://schemas.openxmlformats.org/drawingml/2006/picture">
                  <pic:pic>
                    <pic:nvPicPr>
                      <pic:cNvPr id="1227" name="Image 12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40"/>
            <w:vertAlign w:val="baseline"/>
          </w:rPr>
          <w:t> </w:t>
        </w:r>
        <w:r>
          <w:rPr>
            <w:vertAlign w:val="baseline"/>
          </w:rPr>
          <w:t>a common situation in which relief against forfeiture may be given </w:t>
        </w:r>
        <w:r>
          <w:rPr>
            <w:vertAlign w:val="baseline"/>
          </w:rPr>
          <w:t>is where a lease entitles the landlord to repossess the premises because the tenant has failed to pay an </w:t>
        </w:r>
        <w:bookmarkStart w:name="_bookmark2559" w:id="2561"/>
        <w:bookmarkEnd w:id="2561"/>
        <w:r>
          <w:rPr>
            <w:vertAlign w:val="baseline"/>
          </w:rPr>
          <w:t>instalment</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rent.</w:t>
        </w:r>
        <w:r>
          <w:rPr>
            <w:spacing w:val="29"/>
            <w:vertAlign w:val="baseline"/>
          </w:rPr>
          <w:t> </w:t>
        </w:r>
        <w:r>
          <w:rPr>
            <w:vertAlign w:val="baseline"/>
          </w:rPr>
          <w:t>It</w:t>
        </w:r>
        <w:r>
          <w:rPr>
            <w:spacing w:val="29"/>
            <w:vertAlign w:val="baseline"/>
          </w:rPr>
          <w:t> </w:t>
        </w:r>
        <w:r>
          <w:rPr>
            <w:vertAlign w:val="baseline"/>
          </w:rPr>
          <w:t>is</w:t>
        </w:r>
        <w:r>
          <w:rPr>
            <w:spacing w:val="29"/>
            <w:vertAlign w:val="baseline"/>
          </w:rPr>
          <w:t> </w:t>
        </w:r>
        <w:r>
          <w:rPr>
            <w:vertAlign w:val="baseline"/>
          </w:rPr>
          <w:t>not</w:t>
        </w:r>
        <w:r>
          <w:rPr>
            <w:spacing w:val="29"/>
            <w:vertAlign w:val="baseline"/>
          </w:rPr>
          <w:t> </w:t>
        </w:r>
        <w:r>
          <w:rPr>
            <w:vertAlign w:val="baseline"/>
          </w:rPr>
          <w:t>thought</w:t>
        </w:r>
        <w:r>
          <w:rPr>
            <w:spacing w:val="29"/>
            <w:vertAlign w:val="baseline"/>
          </w:rPr>
          <w:t> </w:t>
        </w:r>
        <w:r>
          <w:rPr>
            <w:vertAlign w:val="baseline"/>
          </w:rPr>
          <w:t>that</w:t>
        </w:r>
        <w:r>
          <w:rPr>
            <w:spacing w:val="29"/>
            <w:vertAlign w:val="baseline"/>
          </w:rPr>
          <w:t> </w:t>
        </w:r>
        <w:r>
          <w:rPr>
            <w:vertAlign w:val="baseline"/>
          </w:rPr>
          <w:t>the</w:t>
        </w:r>
        <w:r>
          <w:rPr>
            <w:spacing w:val="29"/>
            <w:vertAlign w:val="baseline"/>
          </w:rPr>
          <w:t> </w:t>
        </w:r>
        <w:r>
          <w:rPr>
            <w:vertAlign w:val="baseline"/>
          </w:rPr>
          <w:t>Supreme</w:t>
        </w:r>
        <w:r>
          <w:rPr>
            <w:spacing w:val="29"/>
            <w:vertAlign w:val="baseline"/>
          </w:rPr>
          <w:t> </w:t>
        </w:r>
        <w:r>
          <w:rPr>
            <w:vertAlign w:val="baseline"/>
          </w:rPr>
          <w:t>Court’s</w:t>
        </w:r>
        <w:r>
          <w:rPr>
            <w:spacing w:val="29"/>
            <w:vertAlign w:val="baseline"/>
          </w:rPr>
          <w:t> </w:t>
        </w:r>
        <w:r>
          <w:rPr>
            <w:vertAlign w:val="baseline"/>
          </w:rPr>
          <w:t>statements</w:t>
        </w:r>
        <w:r>
          <w:rPr>
            <w:spacing w:val="29"/>
            <w:vertAlign w:val="baseline"/>
          </w:rPr>
          <w:t> </w:t>
        </w:r>
        <w:r>
          <w:rPr>
            <w:vertAlign w:val="baseline"/>
          </w:rPr>
          <w:t>in</w:t>
        </w:r>
        <w:r>
          <w:rPr>
            <w:spacing w:val="28"/>
            <w:vertAlign w:val="baseline"/>
          </w:rPr>
          <w:t> </w:t>
        </w:r>
        <w:r>
          <w:rPr>
            <w:rFonts w:ascii="Arial" w:hAnsi="Arial"/>
            <w:i/>
            <w:vertAlign w:val="baseline"/>
          </w:rPr>
          <w:t>Cavendish</w:t>
        </w:r>
        <w:r>
          <w:rPr>
            <w:rFonts w:ascii="Arial" w:hAnsi="Arial"/>
            <w:i/>
            <w:spacing w:val="29"/>
            <w:vertAlign w:val="baseline"/>
          </w:rPr>
          <w:t> </w:t>
        </w:r>
        <w:r>
          <w:rPr>
            <w:rFonts w:ascii="Arial" w:hAnsi="Arial"/>
            <w:i/>
            <w:spacing w:val="-2"/>
            <w:vertAlign w:val="baseline"/>
          </w:rPr>
          <w:t>Square</w:t>
        </w:r>
      </w:hyperlink>
    </w:p>
    <w:p>
      <w:pPr>
        <w:pStyle w:val="BodyText"/>
        <w:spacing w:line="235" w:lineRule="auto" w:before="119"/>
        <w:ind w:left="165" w:right="167"/>
        <w:jc w:val="both"/>
      </w:pPr>
      <w:r>
        <w:rPr>
          <w:rFonts w:ascii="Arial" w:hAnsi="Arial"/>
          <w:i/>
        </w:rPr>
        <w:t>Holding BV v Makdessi </w:t>
      </w:r>
      <w:r>
        <w:rPr/>
        <w:t>and </w:t>
      </w:r>
      <w:r>
        <w:rPr>
          <w:rFonts w:ascii="Arial" w:hAnsi="Arial"/>
          <w:i/>
        </w:rPr>
        <w:t>ParkingEye Ltd v Beavis </w:t>
      </w:r>
      <w:hyperlink w:history="true" w:anchor="_bookmark2598">
        <w:r>
          <w:rPr>
            <w:color w:val="005DA1"/>
            <w:u w:val="single" w:color="005DA1"/>
            <w:vertAlign w:val="superscript"/>
          </w:rPr>
          <w:t>1359</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228" name="Image 1228"/>
              <wp:cNvGraphicFramePr>
                <a:graphicFrameLocks/>
              </wp:cNvGraphicFramePr>
              <a:graphic>
                <a:graphicData uri="http://schemas.openxmlformats.org/drawingml/2006/picture">
                  <pic:pic>
                    <pic:nvPicPr>
                      <pic:cNvPr id="1228" name="Image 12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29"/>
            <w:vertAlign w:val="baseline"/>
          </w:rPr>
          <w:t> </w:t>
        </w:r>
        <w:r>
          <w:rPr>
            <w:vertAlign w:val="baseline"/>
          </w:rPr>
          <w:t>that forfeiture provisions are subject </w:t>
        </w:r>
        <w:r>
          <w:rPr>
            <w:vertAlign w:val="baseline"/>
          </w:rPr>
          <w:t>to the penalty rules were intended to address this situation. The tenant will normally not suffer the same “double loss”—loss of both their property rights and the money they have so far paid—as in, for example, cases in which the contract-breaker has been purchasing land by paying the price by </w:t>
        </w:r>
        <w:bookmarkStart w:name="_bookmark2560" w:id="2562"/>
        <w:bookmarkEnd w:id="2562"/>
        <w:r>
          <w:rPr>
            <w:vertAlign w:val="baseline"/>
          </w:rPr>
          <w:t>instalments</w:t>
        </w:r>
        <w:r>
          <w:rPr>
            <w:spacing w:val="22"/>
            <w:vertAlign w:val="baseline"/>
          </w:rPr>
          <w:t> </w:t>
        </w:r>
        <w:r>
          <w:rPr>
            <w:vertAlign w:val="baseline"/>
          </w:rPr>
          <w:t>and</w:t>
        </w:r>
        <w:r>
          <w:rPr>
            <w:spacing w:val="22"/>
            <w:vertAlign w:val="baseline"/>
          </w:rPr>
          <w:t> </w:t>
        </w:r>
        <w:r>
          <w:rPr>
            <w:vertAlign w:val="baseline"/>
          </w:rPr>
          <w:t>the</w:t>
        </w:r>
        <w:r>
          <w:rPr>
            <w:spacing w:val="22"/>
            <w:vertAlign w:val="baseline"/>
          </w:rPr>
          <w:t> </w:t>
        </w:r>
        <w:r>
          <w:rPr>
            <w:vertAlign w:val="baseline"/>
          </w:rPr>
          <w:t>agreement</w:t>
        </w:r>
        <w:r>
          <w:rPr>
            <w:spacing w:val="22"/>
            <w:vertAlign w:val="baseline"/>
          </w:rPr>
          <w:t> </w:t>
        </w:r>
        <w:r>
          <w:rPr>
            <w:vertAlign w:val="baseline"/>
          </w:rPr>
          <w:t>provides</w:t>
        </w:r>
        <w:r>
          <w:rPr>
            <w:spacing w:val="22"/>
            <w:vertAlign w:val="baseline"/>
          </w:rPr>
          <w:t> </w:t>
        </w:r>
        <w:r>
          <w:rPr>
            <w:vertAlign w:val="baseline"/>
          </w:rPr>
          <w:t>that</w:t>
        </w:r>
        <w:r>
          <w:rPr>
            <w:spacing w:val="22"/>
            <w:vertAlign w:val="baseline"/>
          </w:rPr>
          <w:t> </w:t>
        </w:r>
        <w:r>
          <w:rPr>
            <w:vertAlign w:val="baseline"/>
          </w:rPr>
          <w:t>if</w:t>
        </w:r>
        <w:r>
          <w:rPr>
            <w:spacing w:val="22"/>
            <w:vertAlign w:val="baseline"/>
          </w:rPr>
          <w:t> </w:t>
        </w:r>
        <w:r>
          <w:rPr>
            <w:vertAlign w:val="baseline"/>
          </w:rPr>
          <w:t>he</w:t>
        </w:r>
        <w:r>
          <w:rPr>
            <w:spacing w:val="22"/>
            <w:vertAlign w:val="baseline"/>
          </w:rPr>
          <w:t> </w:t>
        </w:r>
        <w:r>
          <w:rPr>
            <w:vertAlign w:val="baseline"/>
          </w:rPr>
          <w:t>defaults</w:t>
        </w:r>
        <w:r>
          <w:rPr>
            <w:spacing w:val="22"/>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payment,</w:t>
        </w:r>
        <w:r>
          <w:rPr>
            <w:spacing w:val="22"/>
            <w:vertAlign w:val="baseline"/>
          </w:rPr>
          <w:t> </w:t>
        </w:r>
        <w:r>
          <w:rPr>
            <w:vertAlign w:val="baseline"/>
          </w:rPr>
          <w:t>he</w:t>
        </w:r>
        <w:r>
          <w:rPr>
            <w:spacing w:val="22"/>
            <w:vertAlign w:val="baseline"/>
          </w:rPr>
          <w:t> </w:t>
        </w:r>
        <w:r>
          <w:rPr>
            <w:vertAlign w:val="baseline"/>
          </w:rPr>
          <w:t>will</w:t>
        </w:r>
        <w:r>
          <w:rPr>
            <w:spacing w:val="22"/>
            <w:vertAlign w:val="baseline"/>
          </w:rPr>
          <w:t> </w:t>
        </w:r>
        <w:r>
          <w:rPr>
            <w:vertAlign w:val="baseline"/>
          </w:rPr>
          <w:t>lose</w:t>
        </w:r>
        <w:r>
          <w:rPr>
            <w:spacing w:val="22"/>
            <w:vertAlign w:val="baseline"/>
          </w:rPr>
          <w:t> </w:t>
        </w:r>
        <w:r>
          <w:rPr>
            <w:vertAlign w:val="baseline"/>
          </w:rPr>
          <w:t>both</w:t>
        </w:r>
        <w:r>
          <w:rPr>
            <w:spacing w:val="22"/>
            <w:vertAlign w:val="baseline"/>
          </w:rPr>
          <w:t> </w:t>
        </w:r>
        <w:r>
          <w:rPr>
            <w:vertAlign w:val="baseline"/>
          </w:rPr>
          <w:t>the</w:t>
        </w:r>
        <w:r>
          <w:rPr>
            <w:spacing w:val="22"/>
            <w:vertAlign w:val="baseline"/>
          </w:rPr>
          <w:t> </w:t>
        </w:r>
        <w:r>
          <w:rPr>
            <w:spacing w:val="-4"/>
            <w:vertAlign w:val="baseline"/>
          </w:rPr>
          <w:t>land</w:t>
        </w:r>
      </w:hyperlink>
    </w:p>
    <w:p>
      <w:pPr>
        <w:pStyle w:val="BodyText"/>
        <w:spacing w:line="235" w:lineRule="auto" w:before="118"/>
        <w:ind w:left="165" w:right="167"/>
        <w:jc w:val="both"/>
      </w:pPr>
      <w:r>
        <w:rPr/>
        <w:t>and the sums he has paid. </w:t>
      </w:r>
      <w:hyperlink w:history="true" w:anchor="_bookmark2599">
        <w:r>
          <w:rPr>
            <w:color w:val="005DA1"/>
            <w:u w:val="single" w:color="005DA1"/>
            <w:vertAlign w:val="superscript"/>
          </w:rPr>
          <w:t>1360</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1229" name="Image 1229"/>
              <wp:cNvGraphicFramePr>
                <a:graphicFrameLocks/>
              </wp:cNvGraphicFramePr>
              <a:graphic>
                <a:graphicData uri="http://schemas.openxmlformats.org/drawingml/2006/picture">
                  <pic:pic>
                    <pic:nvPicPr>
                      <pic:cNvPr id="1229" name="Image 12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A similar situation occurs when a contract may provide that it may be terminated because of a default that at common law would not be sufficiently serious to </w:t>
        </w:r>
        <w:r>
          <w:rPr>
            <w:vertAlign w:val="baseline"/>
          </w:rPr>
          <w:t>justify </w:t>
        </w:r>
        <w:bookmarkStart w:name="_bookmark2561" w:id="2563"/>
        <w:bookmarkEnd w:id="2563"/>
        <w:r>
          <w:rPr>
            <w:vertAlign w:val="baseline"/>
          </w:rPr>
          <w:t>termination.</w:t>
        </w:r>
        <w:r>
          <w:rPr>
            <w:spacing w:val="15"/>
            <w:vertAlign w:val="baseline"/>
          </w:rPr>
          <w:t> </w:t>
        </w:r>
        <w:r>
          <w:rPr>
            <w:vertAlign w:val="baseline"/>
          </w:rPr>
          <w:t>Although</w:t>
        </w:r>
        <w:r>
          <w:rPr>
            <w:spacing w:val="15"/>
            <w:vertAlign w:val="baseline"/>
          </w:rPr>
          <w:t> </w:t>
        </w:r>
        <w:r>
          <w:rPr>
            <w:vertAlign w:val="baseline"/>
          </w:rPr>
          <w:t>some</w:t>
        </w:r>
        <w:r>
          <w:rPr>
            <w:spacing w:val="15"/>
            <w:vertAlign w:val="baseline"/>
          </w:rPr>
          <w:t> </w:t>
        </w:r>
        <w:r>
          <w:rPr>
            <w:vertAlign w:val="baseline"/>
          </w:rPr>
          <w:t>such</w:t>
        </w:r>
        <w:r>
          <w:rPr>
            <w:spacing w:val="15"/>
            <w:vertAlign w:val="baseline"/>
          </w:rPr>
          <w:t> </w:t>
        </w:r>
        <w:r>
          <w:rPr>
            <w:vertAlign w:val="baseline"/>
          </w:rPr>
          <w:t>clauses</w:t>
        </w:r>
        <w:r>
          <w:rPr>
            <w:spacing w:val="15"/>
            <w:vertAlign w:val="baseline"/>
          </w:rPr>
          <w:t> </w:t>
        </w:r>
        <w:r>
          <w:rPr>
            <w:vertAlign w:val="baseline"/>
          </w:rPr>
          <w:t>have</w:t>
        </w:r>
        <w:r>
          <w:rPr>
            <w:spacing w:val="15"/>
            <w:vertAlign w:val="baseline"/>
          </w:rPr>
          <w:t> </w:t>
        </w:r>
        <w:r>
          <w:rPr>
            <w:vertAlign w:val="baseline"/>
          </w:rPr>
          <w:t>been</w:t>
        </w:r>
        <w:r>
          <w:rPr>
            <w:spacing w:val="15"/>
            <w:vertAlign w:val="baseline"/>
          </w:rPr>
          <w:t> </w:t>
        </w:r>
        <w:r>
          <w:rPr>
            <w:vertAlign w:val="baseline"/>
          </w:rPr>
          <w:t>held</w:t>
        </w:r>
        <w:r>
          <w:rPr>
            <w:spacing w:val="15"/>
            <w:vertAlign w:val="baseline"/>
          </w:rPr>
          <w:t> </w:t>
        </w:r>
        <w:r>
          <w:rPr>
            <w:vertAlign w:val="baseline"/>
          </w:rPr>
          <w:t>to</w:t>
        </w:r>
        <w:r>
          <w:rPr>
            <w:spacing w:val="15"/>
            <w:vertAlign w:val="baseline"/>
          </w:rPr>
          <w:t> </w:t>
        </w:r>
        <w:r>
          <w:rPr>
            <w:vertAlign w:val="baseline"/>
          </w:rPr>
          <w:t>confer</w:t>
        </w:r>
        <w:r>
          <w:rPr>
            <w:spacing w:val="15"/>
            <w:vertAlign w:val="baseline"/>
          </w:rPr>
          <w:t> </w:t>
        </w:r>
        <w:r>
          <w:rPr>
            <w:vertAlign w:val="baseline"/>
          </w:rPr>
          <w:t>only</w:t>
        </w:r>
        <w:r>
          <w:rPr>
            <w:spacing w:val="15"/>
            <w:vertAlign w:val="baseline"/>
          </w:rPr>
          <w:t> </w:t>
        </w:r>
        <w:r>
          <w:rPr>
            <w:vertAlign w:val="baseline"/>
          </w:rPr>
          <w:t>a</w:t>
        </w:r>
        <w:r>
          <w:rPr>
            <w:spacing w:val="15"/>
            <w:vertAlign w:val="baseline"/>
          </w:rPr>
          <w:t> </w:t>
        </w:r>
        <w:r>
          <w:rPr>
            <w:vertAlign w:val="baseline"/>
          </w:rPr>
          <w:t>right</w:t>
        </w:r>
        <w:r>
          <w:rPr>
            <w:spacing w:val="15"/>
            <w:vertAlign w:val="baseline"/>
          </w:rPr>
          <w:t> </w:t>
        </w:r>
        <w:r>
          <w:rPr>
            <w:vertAlign w:val="baseline"/>
          </w:rPr>
          <w:t>to</w:t>
        </w:r>
        <w:r>
          <w:rPr>
            <w:spacing w:val="15"/>
            <w:vertAlign w:val="baseline"/>
          </w:rPr>
          <w:t> </w:t>
        </w:r>
        <w:r>
          <w:rPr>
            <w:vertAlign w:val="baseline"/>
          </w:rPr>
          <w:t>terminate</w:t>
        </w:r>
        <w:r>
          <w:rPr>
            <w:spacing w:val="15"/>
            <w:vertAlign w:val="baseline"/>
          </w:rPr>
          <w:t> </w:t>
        </w:r>
        <w:r>
          <w:rPr>
            <w:vertAlign w:val="baseline"/>
          </w:rPr>
          <w:t>and</w:t>
        </w:r>
        <w:r>
          <w:rPr>
            <w:spacing w:val="15"/>
            <w:vertAlign w:val="baseline"/>
          </w:rPr>
          <w:t> </w:t>
        </w:r>
        <w:r>
          <w:rPr>
            <w:spacing w:val="-5"/>
            <w:vertAlign w:val="baseline"/>
          </w:rPr>
          <w:t>not</w:t>
        </w:r>
      </w:hyperlink>
    </w:p>
    <w:p>
      <w:pPr>
        <w:pStyle w:val="BodyText"/>
        <w:spacing w:before="115"/>
        <w:ind w:left="165"/>
        <w:jc w:val="both"/>
      </w:pPr>
      <w:bookmarkStart w:name="_bookmark2562" w:id="2564"/>
      <w:bookmarkEnd w:id="2564"/>
      <w:r>
        <w:rPr/>
      </w:r>
      <w:r>
        <w:rPr/>
        <w:t>the</w:t>
      </w:r>
      <w:r>
        <w:rPr>
          <w:spacing w:val="11"/>
        </w:rPr>
        <w:t> </w:t>
      </w:r>
      <w:r>
        <w:rPr/>
        <w:t>further</w:t>
      </w:r>
      <w:r>
        <w:rPr>
          <w:spacing w:val="12"/>
        </w:rPr>
        <w:t> </w:t>
      </w:r>
      <w:r>
        <w:rPr/>
        <w:t>right</w:t>
      </w:r>
      <w:r>
        <w:rPr>
          <w:spacing w:val="12"/>
        </w:rPr>
        <w:t> </w:t>
      </w:r>
      <w:r>
        <w:rPr/>
        <w:t>to</w:t>
      </w:r>
      <w:r>
        <w:rPr>
          <w:spacing w:val="12"/>
        </w:rPr>
        <w:t> </w:t>
      </w:r>
      <w:r>
        <w:rPr/>
        <w:t>damages</w:t>
      </w:r>
      <w:r>
        <w:rPr>
          <w:spacing w:val="11"/>
        </w:rPr>
        <w:t> </w:t>
      </w:r>
      <w:r>
        <w:rPr/>
        <w:t>for</w:t>
      </w:r>
      <w:r>
        <w:rPr>
          <w:spacing w:val="12"/>
        </w:rPr>
        <w:t> </w:t>
      </w:r>
      <w:r>
        <w:rPr/>
        <w:t>non-performance,</w:t>
      </w:r>
      <w:r>
        <w:rPr>
          <w:spacing w:val="11"/>
        </w:rPr>
        <w:t> </w:t>
      </w:r>
      <w:hyperlink w:history="true" w:anchor="_bookmark2600">
        <w:r>
          <w:rPr>
            <w:color w:val="005DA1"/>
            <w:u w:val="single" w:color="005DA1"/>
            <w:vertAlign w:val="superscript"/>
          </w:rPr>
          <w:t>1361</w:t>
        </w:r>
        <w:r>
          <w:rPr>
            <w:color w:val="005DA1"/>
            <w:spacing w:val="45"/>
            <w:vertAlign w:val="baseline"/>
          </w:rPr>
          <w:t>  </w:t>
        </w:r>
        <w:r>
          <w:rPr>
            <w:color w:val="005DA1"/>
            <w:spacing w:val="-16"/>
            <w:position w:val="-2"/>
            <w:vertAlign w:val="baseline"/>
          </w:rPr>
          <w:drawing>
            <wp:inline distT="0" distB="0" distL="0" distR="0">
              <wp:extent cx="107988" cy="107988"/>
              <wp:effectExtent l="0" t="0" r="0" b="0"/>
              <wp:docPr id="1230" name="Image 1230"/>
              <wp:cNvGraphicFramePr>
                <a:graphicFrameLocks/>
              </wp:cNvGraphicFramePr>
              <a:graphic>
                <a:graphicData uri="http://schemas.openxmlformats.org/drawingml/2006/picture">
                  <pic:pic>
                    <pic:nvPicPr>
                      <pic:cNvPr id="1230" name="Image 12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33"/>
            <w:vertAlign w:val="baseline"/>
          </w:rPr>
          <w:t> </w:t>
        </w:r>
        <w:r>
          <w:rPr>
            <w:vertAlign w:val="baseline"/>
          </w:rPr>
          <w:t>it</w:t>
        </w:r>
        <w:r>
          <w:rPr>
            <w:spacing w:val="12"/>
            <w:vertAlign w:val="baseline"/>
          </w:rPr>
          <w:t> </w:t>
        </w:r>
        <w:r>
          <w:rPr>
            <w:vertAlign w:val="baseline"/>
          </w:rPr>
          <w:t>has</w:t>
        </w:r>
        <w:r>
          <w:rPr>
            <w:spacing w:val="12"/>
            <w:vertAlign w:val="baseline"/>
          </w:rPr>
          <w:t> </w:t>
        </w:r>
        <w:r>
          <w:rPr>
            <w:vertAlign w:val="baseline"/>
          </w:rPr>
          <w:t>been</w:t>
        </w:r>
        <w:r>
          <w:rPr>
            <w:spacing w:val="12"/>
            <w:vertAlign w:val="baseline"/>
          </w:rPr>
          <w:t> </w:t>
        </w:r>
        <w:r>
          <w:rPr>
            <w:vertAlign w:val="baseline"/>
          </w:rPr>
          <w:t>held</w:t>
        </w:r>
        <w:r>
          <w:rPr>
            <w:spacing w:val="12"/>
            <w:vertAlign w:val="baseline"/>
          </w:rPr>
          <w:t> </w:t>
        </w:r>
        <w:r>
          <w:rPr>
            <w:vertAlign w:val="baseline"/>
          </w:rPr>
          <w:t>that</w:t>
        </w:r>
        <w:r>
          <w:rPr>
            <w:spacing w:val="11"/>
            <w:vertAlign w:val="baseline"/>
          </w:rPr>
          <w:t> </w:t>
        </w:r>
        <w:r>
          <w:rPr>
            <w:vertAlign w:val="baseline"/>
          </w:rPr>
          <w:t>the</w:t>
        </w:r>
        <w:r>
          <w:rPr>
            <w:spacing w:val="12"/>
            <w:vertAlign w:val="baseline"/>
          </w:rPr>
          <w:t> </w:t>
        </w:r>
        <w:r>
          <w:rPr>
            <w:vertAlign w:val="baseline"/>
          </w:rPr>
          <w:t>penalty</w:t>
        </w:r>
        <w:r>
          <w:rPr>
            <w:spacing w:val="12"/>
            <w:vertAlign w:val="baseline"/>
          </w:rPr>
          <w:t> </w:t>
        </w:r>
        <w:r>
          <w:rPr>
            <w:vertAlign w:val="baseline"/>
          </w:rPr>
          <w:t>rules</w:t>
        </w:r>
        <w:r>
          <w:rPr>
            <w:spacing w:val="12"/>
            <w:vertAlign w:val="baseline"/>
          </w:rPr>
          <w:t> </w:t>
        </w:r>
        <w:r>
          <w:rPr>
            <w:spacing w:val="-5"/>
            <w:vertAlign w:val="baseline"/>
          </w:rPr>
          <w:t>are</w:t>
        </w:r>
      </w:hyperlink>
    </w:p>
    <w:p>
      <w:pPr>
        <w:pStyle w:val="BodyText"/>
        <w:spacing w:line="235" w:lineRule="auto" w:before="119"/>
        <w:ind w:left="165" w:right="168"/>
        <w:jc w:val="both"/>
      </w:pPr>
      <w:r>
        <w:rPr/>
        <w:t>not relevant to this situation. </w:t>
      </w:r>
      <w:hyperlink w:history="true" w:anchor="_bookmark2601">
        <w:r>
          <w:rPr>
            <w:color w:val="005DA1"/>
            <w:u w:val="single" w:color="005DA1"/>
            <w:vertAlign w:val="superscript"/>
          </w:rPr>
          <w:t>1362</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1231" name="Image 1231"/>
              <wp:cNvGraphicFramePr>
                <a:graphicFrameLocks/>
              </wp:cNvGraphicFramePr>
              <a:graphic>
                <a:graphicData uri="http://schemas.openxmlformats.org/drawingml/2006/picture">
                  <pic:pic>
                    <pic:nvPicPr>
                      <pic:cNvPr id="1231" name="Image 12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26"/>
            <w:vertAlign w:val="baseline"/>
          </w:rPr>
          <w:t> </w:t>
        </w:r>
        <w:r>
          <w:rPr>
            <w:vertAlign w:val="baseline"/>
          </w:rPr>
          <w:t>There is nothing in the </w:t>
        </w:r>
        <w:r>
          <w:rPr>
            <w:rFonts w:ascii="Arial"/>
            <w:i/>
            <w:vertAlign w:val="baseline"/>
          </w:rPr>
          <w:t>Cavendish Square </w:t>
        </w:r>
        <w:r>
          <w:rPr>
            <w:vertAlign w:val="baseline"/>
          </w:rPr>
          <w:t>case to indicate </w:t>
        </w:r>
        <w:r>
          <w:rPr>
            <w:vertAlign w:val="baseline"/>
          </w:rPr>
          <w:t>that the Supreme Court intended to change this position.</w:t>
        </w:r>
      </w:hyperlink>
    </w:p>
    <w:p>
      <w:pPr>
        <w:pStyle w:val="BodyText"/>
      </w:pPr>
    </w:p>
    <w:p>
      <w:pPr>
        <w:pStyle w:val="BodyText"/>
        <w:spacing w:before="39"/>
      </w:pPr>
      <w:r>
        <w:rPr/>
        <mc:AlternateContent>
          <mc:Choice Requires="wps">
            <w:drawing>
              <wp:anchor distT="0" distB="0" distL="0" distR="0" allowOverlap="1" layoutInCell="1" locked="0" behindDoc="1" simplePos="0" relativeHeight="487738368">
                <wp:simplePos x="0" y="0"/>
                <wp:positionH relativeFrom="page">
                  <wp:posOffset>914400</wp:posOffset>
                </wp:positionH>
                <wp:positionV relativeFrom="paragraph">
                  <wp:posOffset>186470</wp:posOffset>
                </wp:positionV>
                <wp:extent cx="5724525" cy="1270"/>
                <wp:effectExtent l="0" t="0" r="0" b="0"/>
                <wp:wrapTopAndBottom/>
                <wp:docPr id="1232" name="Graphic 1232"/>
                <wp:cNvGraphicFramePr>
                  <a:graphicFrameLocks/>
                </wp:cNvGraphicFramePr>
                <a:graphic>
                  <a:graphicData uri="http://schemas.microsoft.com/office/word/2010/wordprocessingShape">
                    <wps:wsp>
                      <wps:cNvPr id="1232" name="Graphic 12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2703pt;width:450.75pt;height:.1pt;mso-position-horizontal-relative:page;mso-position-vertical-relative:paragraph;z-index:-15578112;mso-wrap-distance-left:0;mso-wrap-distance-right:0" id="docshape115" coordorigin="1440,294" coordsize="9015,0" path="m1440,294l10454,294e" filled="false" stroked="true" strokeweight="1pt" strokecolor="#000000">
                <v:path arrowok="t"/>
                <v:stroke dashstyle="solid"/>
                <w10:wrap type="topAndBottom"/>
              </v:shape>
            </w:pict>
          </mc:Fallback>
        </mc:AlternateContent>
      </w:r>
    </w:p>
    <w:p>
      <w:pPr>
        <w:pStyle w:val="BodyText"/>
        <w:spacing w:before="221"/>
      </w:pPr>
    </w:p>
    <w:p>
      <w:pPr>
        <w:pStyle w:val="BodyText"/>
        <w:spacing w:line="235" w:lineRule="auto"/>
        <w:ind w:left="705" w:right="167" w:hanging="541"/>
        <w:jc w:val="both"/>
      </w:pPr>
      <w:bookmarkStart w:name="_bookmark2563" w:id="2565"/>
      <w:bookmarkEnd w:id="2565"/>
      <w:r>
        <w:rPr/>
      </w:r>
      <w:hyperlink w:history="true" w:anchor="_bookmark2522">
        <w:r>
          <w:rPr>
            <w:color w:val="005DA1"/>
            <w:u w:val="single" w:color="005DA1"/>
            <w:vertAlign w:val="superscript"/>
          </w:rPr>
          <w:t>1322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33" name="Image 1233"/>
            <wp:cNvGraphicFramePr>
              <a:graphicFrameLocks/>
            </wp:cNvGraphicFramePr>
            <a:graphic>
              <a:graphicData uri="http://schemas.openxmlformats.org/drawingml/2006/picture">
                <pic:pic>
                  <pic:nvPicPr>
                    <pic:cNvPr id="1233" name="Image 12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payee “forfeits” the sum where he retains it for his own beneficial use, having freed</w:t>
      </w:r>
      <w:r>
        <w:rPr>
          <w:spacing w:val="40"/>
          <w:vertAlign w:val="baseline"/>
        </w:rPr>
        <w:t> </w:t>
      </w:r>
      <w:r>
        <w:rPr>
          <w:vertAlign w:val="baseline"/>
        </w:rPr>
        <w:t>himself of any further obligations under the contract by terminating the contract on account of the payer’s breach. It is then up to the payer to challenge the forfeiture if he has any </w:t>
      </w:r>
      <w:r>
        <w:rPr>
          <w:vertAlign w:val="baseline"/>
        </w:rPr>
        <w:t>legal ground for doing so.</w:t>
      </w:r>
    </w:p>
    <w:p>
      <w:pPr>
        <w:pStyle w:val="BodyText"/>
        <w:spacing w:before="124"/>
      </w:pPr>
    </w:p>
    <w:p>
      <w:pPr>
        <w:spacing w:before="1"/>
        <w:ind w:left="165" w:right="0" w:firstLine="0"/>
        <w:jc w:val="left"/>
        <w:rPr>
          <w:sz w:val="20"/>
        </w:rPr>
      </w:pPr>
      <w:bookmarkStart w:name="_bookmark2564" w:id="2566"/>
      <w:bookmarkEnd w:id="2566"/>
      <w:r>
        <w:rPr/>
      </w:r>
      <w:hyperlink w:history="true" w:anchor="_bookmark2523">
        <w:r>
          <w:rPr>
            <w:color w:val="005DA1"/>
            <w:sz w:val="20"/>
            <w:u w:val="single" w:color="005DA1"/>
            <w:vertAlign w:val="superscript"/>
          </w:rPr>
          <w:t>1323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234" name="Image 1234"/>
            <wp:cNvGraphicFramePr>
              <a:graphicFrameLocks/>
            </wp:cNvGraphicFramePr>
            <a:graphic>
              <a:graphicData uri="http://schemas.openxmlformats.org/drawingml/2006/picture">
                <pic:pic>
                  <pic:nvPicPr>
                    <pic:cNvPr id="1234" name="Image 12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4"/>
      </w:pPr>
    </w:p>
    <w:p>
      <w:pPr>
        <w:spacing w:before="1"/>
        <w:ind w:left="165" w:right="0" w:firstLine="0"/>
        <w:jc w:val="left"/>
        <w:rPr>
          <w:sz w:val="20"/>
        </w:rPr>
      </w:pPr>
      <w:bookmarkStart w:name="_bookmark2565" w:id="2567"/>
      <w:bookmarkEnd w:id="2567"/>
      <w:r>
        <w:rPr/>
      </w:r>
      <w:hyperlink w:history="true" w:anchor="_bookmark2524">
        <w:r>
          <w:rPr>
            <w:color w:val="005DA1"/>
            <w:sz w:val="20"/>
            <w:u w:val="single" w:color="005DA1"/>
            <w:vertAlign w:val="superscript"/>
          </w:rPr>
          <w:t>1324</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235" name="Image 1235"/>
            <wp:cNvGraphicFramePr>
              <a:graphicFrameLocks/>
            </wp:cNvGraphicFramePr>
            <a:graphic>
              <a:graphicData uri="http://schemas.openxmlformats.org/drawingml/2006/picture">
                <pic:pic>
                  <pic:nvPicPr>
                    <pic:cNvPr id="1235" name="Image 12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Lord</w:t>
      </w:r>
      <w:r>
        <w:rPr>
          <w:spacing w:val="2"/>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[160].</w:t>
      </w:r>
    </w:p>
    <w:p>
      <w:pPr>
        <w:pStyle w:val="BodyText"/>
        <w:spacing w:before="125"/>
      </w:pPr>
    </w:p>
    <w:p>
      <w:pPr>
        <w:pStyle w:val="BodyText"/>
        <w:ind w:left="165"/>
      </w:pPr>
      <w:bookmarkStart w:name="_bookmark2566" w:id="2568"/>
      <w:bookmarkEnd w:id="2568"/>
      <w:r>
        <w:rPr/>
      </w:r>
      <w:hyperlink w:history="true" w:anchor="_bookmark2525">
        <w:r>
          <w:rPr>
            <w:color w:val="005DA1"/>
            <w:u w:val="single" w:color="005DA1"/>
            <w:vertAlign w:val="superscript"/>
          </w:rPr>
          <w:t>1325</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236" name="Image 1236"/>
            <wp:cNvGraphicFramePr>
              <a:graphicFrameLocks/>
            </wp:cNvGraphicFramePr>
            <a:graphic>
              <a:graphicData uri="http://schemas.openxmlformats.org/drawingml/2006/picture">
                <pic:pic>
                  <pic:nvPicPr>
                    <pic:cNvPr id="1236" name="Image 12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Below,</w:t>
      </w:r>
      <w:r>
        <w:rPr>
          <w:spacing w:val="4"/>
          <w:vertAlign w:val="baseline"/>
        </w:rPr>
        <w:t> </w:t>
      </w:r>
      <w:r>
        <w:rPr>
          <w:vertAlign w:val="baseline"/>
        </w:rPr>
        <w:t>paras</w:t>
      </w:r>
      <w:r>
        <w:rPr>
          <w:spacing w:val="4"/>
          <w:vertAlign w:val="baseline"/>
        </w:rPr>
        <w:t> </w:t>
      </w:r>
      <w:r>
        <w:rPr>
          <w:vertAlign w:val="baseline"/>
        </w:rPr>
        <w:t>26-216V—26-</w:t>
      </w:r>
      <w:r>
        <w:rPr>
          <w:spacing w:val="-2"/>
          <w:vertAlign w:val="baseline"/>
        </w:rPr>
        <w:t>216W.</w:t>
      </w:r>
    </w:p>
    <w:p>
      <w:pPr>
        <w:pStyle w:val="BodyText"/>
        <w:spacing w:before="125"/>
      </w:pPr>
    </w:p>
    <w:p>
      <w:pPr>
        <w:pStyle w:val="BodyText"/>
        <w:ind w:left="165"/>
      </w:pPr>
      <w:bookmarkStart w:name="_bookmark2567" w:id="2569"/>
      <w:bookmarkEnd w:id="2569"/>
      <w:r>
        <w:rPr/>
      </w:r>
      <w:hyperlink w:history="true" w:anchor="_bookmark2526">
        <w:r>
          <w:rPr>
            <w:color w:val="005DA1"/>
            <w:u w:val="single" w:color="005DA1"/>
            <w:vertAlign w:val="superscript"/>
          </w:rPr>
          <w:t>1326</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1237" name="Image 1237"/>
            <wp:cNvGraphicFramePr>
              <a:graphicFrameLocks/>
            </wp:cNvGraphicFramePr>
            <a:graphic>
              <a:graphicData uri="http://schemas.openxmlformats.org/drawingml/2006/picture">
                <pic:pic>
                  <pic:nvPicPr>
                    <pic:cNvPr id="1237" name="Image 12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also</w:t>
      </w:r>
      <w:r>
        <w:rPr>
          <w:spacing w:val="2"/>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2"/>
          <w:vertAlign w:val="baseline"/>
        </w:rPr>
        <w:t> </w:t>
      </w:r>
      <w:r>
        <w:rPr>
          <w:vertAlign w:val="baseline"/>
        </w:rPr>
        <w:t>Property</w:t>
      </w:r>
      <w:r>
        <w:rPr>
          <w:spacing w:val="1"/>
          <w:vertAlign w:val="baseline"/>
        </w:rPr>
        <w:t> </w:t>
      </w:r>
      <w:r>
        <w:rPr>
          <w:vertAlign w:val="baseline"/>
        </w:rPr>
        <w:t>Act</w:t>
      </w:r>
      <w:r>
        <w:rPr>
          <w:spacing w:val="2"/>
          <w:vertAlign w:val="baseline"/>
        </w:rPr>
        <w:t> </w:t>
      </w:r>
      <w:r>
        <w:rPr>
          <w:vertAlign w:val="baseline"/>
        </w:rPr>
        <w:t>1925</w:t>
      </w:r>
      <w:r>
        <w:rPr>
          <w:spacing w:val="1"/>
          <w:vertAlign w:val="baseline"/>
        </w:rPr>
        <w:t> </w:t>
      </w:r>
      <w:r>
        <w:rPr>
          <w:vertAlign w:val="baseline"/>
        </w:rPr>
        <w:t>s.146.</w:t>
      </w:r>
      <w:r>
        <w:rPr>
          <w:spacing w:val="1"/>
          <w:vertAlign w:val="baseline"/>
        </w:rPr>
        <w:t> </w:t>
      </w:r>
      <w:r>
        <w:rPr>
          <w:vertAlign w:val="baseline"/>
        </w:rPr>
        <w:t>See</w:t>
      </w:r>
      <w:r>
        <w:rPr>
          <w:spacing w:val="2"/>
          <w:vertAlign w:val="baseline"/>
        </w:rPr>
        <w:t> </w:t>
      </w:r>
      <w:r>
        <w:rPr>
          <w:vertAlign w:val="baseline"/>
        </w:rPr>
        <w:t>also</w:t>
      </w:r>
      <w:r>
        <w:rPr>
          <w:spacing w:val="1"/>
          <w:vertAlign w:val="baseline"/>
        </w:rPr>
        <w:t> </w:t>
      </w:r>
      <w:r>
        <w:rPr>
          <w:vertAlign w:val="baseline"/>
        </w:rPr>
        <w:t>n.1118ed,</w:t>
      </w:r>
      <w:r>
        <w:rPr>
          <w:spacing w:val="2"/>
          <w:vertAlign w:val="baseline"/>
        </w:rPr>
        <w:t> </w:t>
      </w:r>
      <w:r>
        <w:rPr>
          <w:spacing w:val="-2"/>
          <w:vertAlign w:val="baseline"/>
        </w:rPr>
        <w:t>below.</w:t>
      </w:r>
    </w:p>
    <w:p>
      <w:pPr>
        <w:pStyle w:val="BodyText"/>
        <w:spacing w:before="128"/>
      </w:pPr>
    </w:p>
    <w:p>
      <w:pPr>
        <w:spacing w:line="235" w:lineRule="auto" w:before="1"/>
        <w:ind w:left="705" w:right="168" w:hanging="541"/>
        <w:jc w:val="both"/>
        <w:rPr>
          <w:rFonts w:ascii="Arial"/>
          <w:i/>
          <w:sz w:val="20"/>
        </w:rPr>
      </w:pPr>
      <w:bookmarkStart w:name="_bookmark2568" w:id="2570"/>
      <w:bookmarkEnd w:id="2570"/>
      <w:r>
        <w:rPr/>
      </w:r>
      <w:hyperlink w:history="true" w:anchor="_bookmark2527">
        <w:r>
          <w:rPr>
            <w:color w:val="005DA1"/>
            <w:sz w:val="20"/>
            <w:u w:val="single" w:color="005DA1"/>
            <w:vertAlign w:val="superscript"/>
          </w:rPr>
          <w:t>1327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38" name="Image 1238"/>
            <wp:cNvGraphicFramePr>
              <a:graphicFrameLocks/>
            </wp:cNvGraphicFramePr>
            <a:graphic>
              <a:graphicData uri="http://schemas.openxmlformats.org/drawingml/2006/picture">
                <pic:pic>
                  <pic:nvPicPr>
                    <pic:cNvPr id="1238" name="Image 123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Re Dagenham (Thames) Dock Co (1972-73) L.R. 8 Ch. App. 1022</w:t>
      </w:r>
      <w:r>
        <w:rPr>
          <w:sz w:val="20"/>
          <w:vertAlign w:val="baseline"/>
        </w:rPr>
        <w:t>; </w:t>
      </w:r>
      <w:r>
        <w:rPr>
          <w:rFonts w:ascii="Arial"/>
          <w:i/>
          <w:sz w:val="20"/>
          <w:vertAlign w:val="baseline"/>
        </w:rPr>
        <w:t>Kilmer v British Columbia Orchard</w:t>
      </w:r>
      <w:r>
        <w:rPr>
          <w:rFonts w:ascii="Arial"/>
          <w:i/>
          <w:spacing w:val="31"/>
          <w:sz w:val="20"/>
          <w:vertAlign w:val="baseline"/>
        </w:rPr>
        <w:t> </w:t>
      </w:r>
      <w:r>
        <w:rPr>
          <w:rFonts w:ascii="Arial"/>
          <w:i/>
          <w:sz w:val="20"/>
          <w:vertAlign w:val="baseline"/>
        </w:rPr>
        <w:t>Lands</w:t>
      </w:r>
      <w:r>
        <w:rPr>
          <w:rFonts w:ascii="Arial"/>
          <w:i/>
          <w:spacing w:val="34"/>
          <w:sz w:val="20"/>
          <w:vertAlign w:val="baseline"/>
        </w:rPr>
        <w:t> </w:t>
      </w:r>
      <w:r>
        <w:rPr>
          <w:rFonts w:ascii="Arial"/>
          <w:i/>
          <w:sz w:val="20"/>
          <w:vertAlign w:val="baseline"/>
        </w:rPr>
        <w:t>Ltd</w:t>
      </w:r>
      <w:r>
        <w:rPr>
          <w:rFonts w:ascii="Arial"/>
          <w:i/>
          <w:spacing w:val="34"/>
          <w:sz w:val="20"/>
          <w:vertAlign w:val="baseline"/>
        </w:rPr>
        <w:t> </w:t>
      </w:r>
      <w:r>
        <w:rPr>
          <w:rFonts w:ascii="Arial"/>
          <w:i/>
          <w:sz w:val="20"/>
          <w:vertAlign w:val="baseline"/>
        </w:rPr>
        <w:t>[1913]</w:t>
      </w:r>
      <w:r>
        <w:rPr>
          <w:rFonts w:ascii="Arial"/>
          <w:i/>
          <w:spacing w:val="34"/>
          <w:sz w:val="20"/>
          <w:vertAlign w:val="baseline"/>
        </w:rPr>
        <w:t> </w:t>
      </w:r>
      <w:r>
        <w:rPr>
          <w:rFonts w:ascii="Arial"/>
          <w:i/>
          <w:sz w:val="20"/>
          <w:vertAlign w:val="baseline"/>
        </w:rPr>
        <w:t>A.C.</w:t>
      </w:r>
      <w:r>
        <w:rPr>
          <w:rFonts w:ascii="Arial"/>
          <w:i/>
          <w:spacing w:val="34"/>
          <w:sz w:val="20"/>
          <w:vertAlign w:val="baseline"/>
        </w:rPr>
        <w:t> </w:t>
      </w:r>
      <w:r>
        <w:rPr>
          <w:rFonts w:ascii="Arial"/>
          <w:i/>
          <w:sz w:val="20"/>
          <w:vertAlign w:val="baseline"/>
        </w:rPr>
        <w:t>319</w:t>
      </w:r>
      <w:r>
        <w:rPr>
          <w:sz w:val="20"/>
          <w:vertAlign w:val="baseline"/>
        </w:rPr>
        <w:t>;</w:t>
      </w:r>
      <w:r>
        <w:rPr>
          <w:spacing w:val="34"/>
          <w:sz w:val="20"/>
          <w:vertAlign w:val="baseline"/>
        </w:rPr>
        <w:t> </w:t>
      </w:r>
      <w:r>
        <w:rPr>
          <w:rFonts w:ascii="Arial"/>
          <w:i/>
          <w:sz w:val="20"/>
          <w:vertAlign w:val="baseline"/>
        </w:rPr>
        <w:t>Steedman</w:t>
      </w:r>
      <w:r>
        <w:rPr>
          <w:rFonts w:ascii="Arial"/>
          <w:i/>
          <w:spacing w:val="34"/>
          <w:sz w:val="20"/>
          <w:vertAlign w:val="baseline"/>
        </w:rPr>
        <w:t> </w:t>
      </w:r>
      <w:r>
        <w:rPr>
          <w:rFonts w:ascii="Arial"/>
          <w:i/>
          <w:sz w:val="20"/>
          <w:vertAlign w:val="baseline"/>
        </w:rPr>
        <w:t>v</w:t>
      </w:r>
      <w:r>
        <w:rPr>
          <w:rFonts w:ascii="Arial"/>
          <w:i/>
          <w:spacing w:val="33"/>
          <w:sz w:val="20"/>
          <w:vertAlign w:val="baseline"/>
        </w:rPr>
        <w:t> </w:t>
      </w:r>
      <w:r>
        <w:rPr>
          <w:rFonts w:ascii="Arial"/>
          <w:i/>
          <w:sz w:val="20"/>
          <w:vertAlign w:val="baseline"/>
        </w:rPr>
        <w:t>Drinkle</w:t>
      </w:r>
      <w:r>
        <w:rPr>
          <w:rFonts w:ascii="Arial"/>
          <w:i/>
          <w:spacing w:val="34"/>
          <w:sz w:val="20"/>
          <w:vertAlign w:val="baseline"/>
        </w:rPr>
        <w:t> </w:t>
      </w:r>
      <w:r>
        <w:rPr>
          <w:rFonts w:ascii="Arial"/>
          <w:i/>
          <w:sz w:val="20"/>
          <w:vertAlign w:val="baseline"/>
        </w:rPr>
        <w:t>[1916]</w:t>
      </w:r>
      <w:r>
        <w:rPr>
          <w:rFonts w:ascii="Arial"/>
          <w:i/>
          <w:spacing w:val="34"/>
          <w:sz w:val="20"/>
          <w:vertAlign w:val="baseline"/>
        </w:rPr>
        <w:t> </w:t>
      </w:r>
      <w:r>
        <w:rPr>
          <w:rFonts w:ascii="Arial"/>
          <w:i/>
          <w:sz w:val="20"/>
          <w:vertAlign w:val="baseline"/>
        </w:rPr>
        <w:t>1</w:t>
      </w:r>
      <w:r>
        <w:rPr>
          <w:rFonts w:ascii="Arial"/>
          <w:i/>
          <w:spacing w:val="34"/>
          <w:sz w:val="20"/>
          <w:vertAlign w:val="baseline"/>
        </w:rPr>
        <w:t> </w:t>
      </w:r>
      <w:r>
        <w:rPr>
          <w:rFonts w:ascii="Arial"/>
          <w:i/>
          <w:sz w:val="20"/>
          <w:vertAlign w:val="baseline"/>
        </w:rPr>
        <w:t>A.C.</w:t>
      </w:r>
      <w:r>
        <w:rPr>
          <w:rFonts w:ascii="Arial"/>
          <w:i/>
          <w:spacing w:val="34"/>
          <w:sz w:val="20"/>
          <w:vertAlign w:val="baseline"/>
        </w:rPr>
        <w:t> </w:t>
      </w:r>
      <w:r>
        <w:rPr>
          <w:rFonts w:ascii="Arial"/>
          <w:i/>
          <w:sz w:val="20"/>
          <w:vertAlign w:val="baseline"/>
        </w:rPr>
        <w:t>275</w:t>
      </w:r>
      <w:r>
        <w:rPr>
          <w:sz w:val="20"/>
          <w:vertAlign w:val="baseline"/>
        </w:rPr>
        <w:t>;</w:t>
      </w:r>
      <w:r>
        <w:rPr>
          <w:spacing w:val="34"/>
          <w:sz w:val="20"/>
          <w:vertAlign w:val="baseline"/>
        </w:rPr>
        <w:t> </w:t>
      </w:r>
      <w:r>
        <w:rPr>
          <w:rFonts w:ascii="Arial"/>
          <w:i/>
          <w:sz w:val="20"/>
          <w:vertAlign w:val="baseline"/>
        </w:rPr>
        <w:t>Mussen</w:t>
      </w:r>
      <w:r>
        <w:rPr>
          <w:rFonts w:ascii="Arial"/>
          <w:i/>
          <w:spacing w:val="34"/>
          <w:sz w:val="20"/>
          <w:vertAlign w:val="baseline"/>
        </w:rPr>
        <w:t> </w:t>
      </w:r>
      <w:r>
        <w:rPr>
          <w:rFonts w:ascii="Arial"/>
          <w:i/>
          <w:sz w:val="20"/>
          <w:vertAlign w:val="baseline"/>
        </w:rPr>
        <w:t>v</w:t>
      </w:r>
      <w:r>
        <w:rPr>
          <w:rFonts w:ascii="Arial"/>
          <w:i/>
          <w:spacing w:val="34"/>
          <w:sz w:val="20"/>
          <w:vertAlign w:val="baseline"/>
        </w:rPr>
        <w:t> </w:t>
      </w:r>
      <w:r>
        <w:rPr>
          <w:rFonts w:ascii="Arial"/>
          <w:i/>
          <w:spacing w:val="-5"/>
          <w:sz w:val="20"/>
          <w:vertAlign w:val="baseline"/>
        </w:rPr>
        <w:t>Van</w:t>
      </w:r>
    </w:p>
    <w:p>
      <w:pPr>
        <w:spacing w:line="235" w:lineRule="auto" w:before="0"/>
        <w:ind w:left="705" w:right="169" w:firstLine="0"/>
        <w:jc w:val="both"/>
        <w:rPr>
          <w:rFonts w:ascii="Arial" w:hAnsi="Arial"/>
          <w:i/>
          <w:sz w:val="20"/>
        </w:rPr>
      </w:pPr>
      <w:r>
        <w:rPr>
          <w:rFonts w:ascii="Arial" w:hAnsi="Arial"/>
          <w:i/>
          <w:sz w:val="20"/>
        </w:rPr>
        <w:t>Diemen’s Land Co [1938] Ch. 253</w:t>
      </w:r>
      <w:r>
        <w:rPr>
          <w:sz w:val="20"/>
        </w:rPr>
        <w:t>; </w:t>
      </w:r>
      <w:r>
        <w:rPr>
          <w:rFonts w:ascii="Arial" w:hAnsi="Arial"/>
          <w:i/>
          <w:sz w:val="20"/>
        </w:rPr>
        <w:t>Starside Properties Ltd v Mustapha [1974] 1 W.L.R. </w:t>
      </w:r>
      <w:r>
        <w:rPr>
          <w:rFonts w:ascii="Arial" w:hAnsi="Arial"/>
          <w:i/>
          <w:sz w:val="20"/>
        </w:rPr>
        <w:t>816</w:t>
      </w:r>
      <w:r>
        <w:rPr>
          <w:sz w:val="20"/>
        </w:rPr>
        <w:t>. (Time was not made “of the essence” in this contract: cf. above, para.26-216B.) The Privy Council</w:t>
      </w:r>
      <w:r>
        <w:rPr>
          <w:spacing w:val="8"/>
          <w:sz w:val="20"/>
        </w:rPr>
        <w:t> </w:t>
      </w:r>
      <w:r>
        <w:rPr>
          <w:sz w:val="20"/>
        </w:rPr>
        <w:t>has</w:t>
      </w:r>
      <w:r>
        <w:rPr>
          <w:spacing w:val="8"/>
          <w:sz w:val="20"/>
        </w:rPr>
        <w:t> </w:t>
      </w:r>
      <w:r>
        <w:rPr>
          <w:sz w:val="20"/>
        </w:rPr>
        <w:t>refused</w:t>
      </w:r>
      <w:r>
        <w:rPr>
          <w:spacing w:val="8"/>
          <w:sz w:val="20"/>
        </w:rPr>
        <w:t> </w:t>
      </w:r>
      <w:r>
        <w:rPr>
          <w:sz w:val="20"/>
        </w:rPr>
        <w:t>to</w:t>
      </w:r>
      <w:r>
        <w:rPr>
          <w:spacing w:val="8"/>
          <w:sz w:val="20"/>
        </w:rPr>
        <w:t> </w:t>
      </w:r>
      <w:r>
        <w:rPr>
          <w:sz w:val="20"/>
        </w:rPr>
        <w:t>extend</w:t>
      </w:r>
      <w:r>
        <w:rPr>
          <w:spacing w:val="8"/>
          <w:sz w:val="20"/>
        </w:rPr>
        <w:t> </w:t>
      </w:r>
      <w:r>
        <w:rPr>
          <w:sz w:val="20"/>
        </w:rPr>
        <w:t>this</w:t>
      </w:r>
      <w:r>
        <w:rPr>
          <w:spacing w:val="8"/>
          <w:sz w:val="20"/>
        </w:rPr>
        <w:t> </w:t>
      </w:r>
      <w:r>
        <w:rPr>
          <w:sz w:val="20"/>
        </w:rPr>
        <w:t>principle:</w:t>
      </w:r>
      <w:r>
        <w:rPr>
          <w:spacing w:val="7"/>
          <w:sz w:val="20"/>
        </w:rPr>
        <w:t> </w:t>
      </w:r>
      <w:r>
        <w:rPr>
          <w:rFonts w:ascii="Arial" w:hAnsi="Arial"/>
          <w:i/>
          <w:sz w:val="20"/>
        </w:rPr>
        <w:t>Union</w:t>
      </w:r>
      <w:r>
        <w:rPr>
          <w:rFonts w:ascii="Arial" w:hAnsi="Arial"/>
          <w:i/>
          <w:spacing w:val="8"/>
          <w:sz w:val="20"/>
        </w:rPr>
        <w:t> </w:t>
      </w:r>
      <w:r>
        <w:rPr>
          <w:rFonts w:ascii="Arial" w:hAnsi="Arial"/>
          <w:i/>
          <w:sz w:val="20"/>
        </w:rPr>
        <w:t>Eagle</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Golden</w:t>
      </w:r>
      <w:r>
        <w:rPr>
          <w:rFonts w:ascii="Arial" w:hAnsi="Arial"/>
          <w:i/>
          <w:spacing w:val="8"/>
          <w:sz w:val="20"/>
        </w:rPr>
        <w:t> </w:t>
      </w:r>
      <w:r>
        <w:rPr>
          <w:rFonts w:ascii="Arial" w:hAnsi="Arial"/>
          <w:i/>
          <w:sz w:val="20"/>
        </w:rPr>
        <w:t>Achievement</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pacing w:val="-2"/>
          <w:sz w:val="20"/>
        </w:rPr>
        <w:t>[1997]</w:t>
      </w:r>
    </w:p>
    <w:p>
      <w:pPr>
        <w:pStyle w:val="BodyText"/>
        <w:spacing w:line="225" w:lineRule="exact"/>
        <w:ind w:left="705"/>
        <w:jc w:val="both"/>
      </w:pPr>
      <w:r>
        <w:rPr>
          <w:rFonts w:ascii="Arial"/>
          <w:i/>
        </w:rPr>
        <w:t>A.C.</w:t>
      </w:r>
      <w:r>
        <w:rPr>
          <w:rFonts w:ascii="Arial"/>
          <w:i/>
          <w:spacing w:val="6"/>
        </w:rPr>
        <w:t> </w:t>
      </w:r>
      <w:r>
        <w:rPr>
          <w:rFonts w:ascii="Arial"/>
          <w:i/>
        </w:rPr>
        <w:t>514</w:t>
      </w:r>
      <w:r>
        <w:rPr>
          <w:rFonts w:ascii="Arial"/>
          <w:i/>
          <w:spacing w:val="6"/>
        </w:rPr>
        <w:t> </w:t>
      </w:r>
      <w:r>
        <w:rPr/>
        <w:t>(see</w:t>
      </w:r>
      <w:r>
        <w:rPr>
          <w:spacing w:val="6"/>
        </w:rPr>
        <w:t> </w:t>
      </w:r>
      <w:r>
        <w:rPr/>
        <w:t>the</w:t>
      </w:r>
      <w:r>
        <w:rPr>
          <w:spacing w:val="6"/>
        </w:rPr>
        <w:t> </w:t>
      </w:r>
      <w:r>
        <w:rPr/>
        <w:t>comments</w:t>
      </w:r>
      <w:r>
        <w:rPr>
          <w:spacing w:val="6"/>
        </w:rPr>
        <w:t> </w:t>
      </w:r>
      <w:r>
        <w:rPr/>
        <w:t>by</w:t>
      </w:r>
      <w:r>
        <w:rPr>
          <w:spacing w:val="6"/>
        </w:rPr>
        <w:t> </w:t>
      </w:r>
      <w:r>
        <w:rPr/>
        <w:t>Heydon</w:t>
      </w:r>
      <w:r>
        <w:rPr>
          <w:spacing w:val="6"/>
        </w:rPr>
        <w:t> </w:t>
      </w:r>
      <w:r>
        <w:rPr/>
        <w:t>(1997)</w:t>
      </w:r>
      <w:r>
        <w:rPr>
          <w:spacing w:val="6"/>
        </w:rPr>
        <w:t> </w:t>
      </w:r>
      <w:r>
        <w:rPr/>
        <w:t>113</w:t>
      </w:r>
      <w:r>
        <w:rPr>
          <w:spacing w:val="6"/>
        </w:rPr>
        <w:t> </w:t>
      </w:r>
      <w:r>
        <w:rPr/>
        <w:t>L.Q.R.</w:t>
      </w:r>
      <w:r>
        <w:rPr>
          <w:spacing w:val="6"/>
        </w:rPr>
        <w:t> </w:t>
      </w:r>
      <w:r>
        <w:rPr/>
        <w:t>385;</w:t>
      </w:r>
      <w:r>
        <w:rPr>
          <w:spacing w:val="6"/>
        </w:rPr>
        <w:t> </w:t>
      </w:r>
      <w:r>
        <w:rPr/>
        <w:t>and</w:t>
      </w:r>
      <w:r>
        <w:rPr>
          <w:spacing w:val="6"/>
        </w:rPr>
        <w:t> </w:t>
      </w:r>
      <w:r>
        <w:rPr/>
        <w:t>Stevens</w:t>
      </w:r>
      <w:r>
        <w:rPr>
          <w:spacing w:val="6"/>
        </w:rPr>
        <w:t> </w:t>
      </w:r>
      <w:r>
        <w:rPr/>
        <w:t>(1998)</w:t>
      </w:r>
      <w:r>
        <w:rPr>
          <w:spacing w:val="6"/>
        </w:rPr>
        <w:t> </w:t>
      </w:r>
      <w:r>
        <w:rPr/>
        <w:t>61</w:t>
      </w:r>
      <w:r>
        <w:rPr>
          <w:spacing w:val="6"/>
        </w:rPr>
        <w:t> </w:t>
      </w:r>
      <w:r>
        <w:rPr>
          <w:spacing w:val="-2"/>
        </w:rPr>
        <w:t>M.L.R.</w:t>
      </w:r>
    </w:p>
    <w:p>
      <w:pPr>
        <w:pStyle w:val="BodyText"/>
        <w:spacing w:after="0" w:line="225" w:lineRule="exact"/>
        <w:jc w:val="both"/>
        <w:sectPr>
          <w:pgSz w:w="11900" w:h="16840"/>
          <w:pgMar w:header="971" w:footer="0" w:top="1300" w:bottom="280" w:left="1275" w:right="1275"/>
        </w:sectPr>
      </w:pPr>
    </w:p>
    <w:p>
      <w:pPr>
        <w:pStyle w:val="BodyText"/>
        <w:spacing w:before="106"/>
        <w:ind w:left="705"/>
      </w:pPr>
      <w:r>
        <w:rPr/>
        <w:t>255). See Lang (1984) 100 L.Q.R. 427; Harpum [1984] C.L.J. </w:t>
      </w:r>
      <w:r>
        <w:rPr>
          <w:spacing w:val="-4"/>
        </w:rPr>
        <w:t>134.</w:t>
      </w:r>
    </w:p>
    <w:p>
      <w:pPr>
        <w:pStyle w:val="BodyText"/>
        <w:spacing w:before="129"/>
      </w:pPr>
    </w:p>
    <w:p>
      <w:pPr>
        <w:spacing w:line="235" w:lineRule="auto" w:before="0"/>
        <w:ind w:left="705" w:right="167" w:hanging="541"/>
        <w:jc w:val="both"/>
        <w:rPr>
          <w:sz w:val="20"/>
        </w:rPr>
      </w:pPr>
      <w:bookmarkStart w:name="_bookmark2569" w:id="2571"/>
      <w:bookmarkEnd w:id="2571"/>
      <w:r>
        <w:rPr/>
      </w:r>
      <w:hyperlink w:history="true" w:anchor="_bookmark2528">
        <w:r>
          <w:rPr>
            <w:color w:val="005DA1"/>
            <w:sz w:val="20"/>
            <w:u w:val="single" w:color="005DA1"/>
            <w:vertAlign w:val="superscript"/>
          </w:rPr>
          <w:t>1328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239" name="Image 1239"/>
            <wp:cNvGraphicFramePr>
              <a:graphicFrameLocks/>
            </wp:cNvGraphicFramePr>
            <a:graphic>
              <a:graphicData uri="http://schemas.openxmlformats.org/drawingml/2006/picture">
                <pic:pic>
                  <pic:nvPicPr>
                    <pic:cNvPr id="1239" name="Image 123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 UKSC 67 </w:t>
      </w:r>
      <w:r>
        <w:rPr>
          <w:sz w:val="20"/>
          <w:vertAlign w:val="baseline"/>
        </w:rPr>
        <w:t>at [17]; relief against forfeiture is available (at [17]), though relief against forfeiture of leases may now be governed exclusively by the Law of Property Act 1925 s.146 (at [10], referring to </w:t>
      </w:r>
      <w:r>
        <w:rPr>
          <w:rFonts w:ascii="Arial"/>
          <w:i/>
          <w:sz w:val="20"/>
          <w:vertAlign w:val="baseline"/>
        </w:rPr>
        <w:t>Official Custodian for Charities v Parway Estates Departments Ltd [1985] Ch. </w:t>
      </w:r>
      <w:r>
        <w:rPr>
          <w:rFonts w:ascii="Arial"/>
          <w:i/>
          <w:spacing w:val="-2"/>
          <w:sz w:val="20"/>
          <w:vertAlign w:val="baseline"/>
        </w:rPr>
        <w:t>151</w:t>
      </w:r>
      <w:r>
        <w:rPr>
          <w:spacing w:val="-2"/>
          <w:sz w:val="20"/>
          <w:vertAlign w:val="baseline"/>
        </w:rPr>
        <w:t>).</w:t>
      </w:r>
    </w:p>
    <w:p>
      <w:pPr>
        <w:pStyle w:val="BodyText"/>
        <w:spacing w:before="125"/>
      </w:pPr>
    </w:p>
    <w:p>
      <w:pPr>
        <w:pStyle w:val="BodyText"/>
        <w:ind w:left="165"/>
      </w:pPr>
      <w:bookmarkStart w:name="_bookmark2570" w:id="2572"/>
      <w:bookmarkEnd w:id="2572"/>
      <w:r>
        <w:rPr/>
      </w:r>
      <w:hyperlink w:history="true" w:anchor="_bookmark2529">
        <w:r>
          <w:rPr>
            <w:color w:val="005DA1"/>
            <w:u w:val="single" w:color="005DA1"/>
            <w:vertAlign w:val="superscript"/>
          </w:rPr>
          <w:t>1329</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240" name="Image 1240"/>
            <wp:cNvGraphicFramePr>
              <a:graphicFrameLocks/>
            </wp:cNvGraphicFramePr>
            <a:graphic>
              <a:graphicData uri="http://schemas.openxmlformats.org/drawingml/2006/picture">
                <pic:pic>
                  <pic:nvPicPr>
                    <pic:cNvPr id="1240" name="Image 124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2"/>
          <w:vertAlign w:val="baseline"/>
        </w:rPr>
        <w:t>216B.</w:t>
      </w:r>
    </w:p>
    <w:p>
      <w:pPr>
        <w:pStyle w:val="BodyText"/>
        <w:spacing w:before="125"/>
      </w:pPr>
    </w:p>
    <w:p>
      <w:pPr>
        <w:pStyle w:val="BodyText"/>
        <w:ind w:left="165"/>
      </w:pPr>
      <w:bookmarkStart w:name="_bookmark2571" w:id="2573"/>
      <w:bookmarkEnd w:id="2573"/>
      <w:r>
        <w:rPr/>
      </w:r>
      <w:hyperlink w:history="true" w:anchor="_bookmark2530">
        <w:r>
          <w:rPr>
            <w:color w:val="005DA1"/>
            <w:u w:val="single" w:color="005DA1"/>
            <w:vertAlign w:val="superscript"/>
          </w:rPr>
          <w:t>1330</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1241" name="Image 1241"/>
            <wp:cNvGraphicFramePr>
              <a:graphicFrameLocks/>
            </wp:cNvGraphicFramePr>
            <a:graphic>
              <a:graphicData uri="http://schemas.openxmlformats.org/drawingml/2006/picture">
                <pic:pic>
                  <pic:nvPicPr>
                    <pic:cNvPr id="1241" name="Image 124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para.26-216Z,</w:t>
      </w:r>
      <w:r>
        <w:rPr>
          <w:spacing w:val="4"/>
          <w:vertAlign w:val="baseline"/>
        </w:rPr>
        <w:t> </w:t>
      </w:r>
      <w:r>
        <w:rPr>
          <w:spacing w:val="-2"/>
          <w:vertAlign w:val="baseline"/>
        </w:rPr>
        <w:t>n.1118fg.</w:t>
      </w:r>
    </w:p>
    <w:p>
      <w:pPr>
        <w:pStyle w:val="BodyText"/>
        <w:spacing w:before="129"/>
      </w:pPr>
    </w:p>
    <w:p>
      <w:pPr>
        <w:spacing w:line="235" w:lineRule="auto" w:before="0"/>
        <w:ind w:left="705" w:right="167" w:hanging="541"/>
        <w:jc w:val="both"/>
        <w:rPr>
          <w:sz w:val="20"/>
        </w:rPr>
      </w:pPr>
      <w:bookmarkStart w:name="_bookmark2572" w:id="2574"/>
      <w:bookmarkEnd w:id="2574"/>
      <w:r>
        <w:rPr/>
      </w:r>
      <w:hyperlink w:history="true" w:anchor="_bookmark2531">
        <w:r>
          <w:rPr>
            <w:color w:val="005DA1"/>
            <w:sz w:val="20"/>
            <w:u w:val="single" w:color="005DA1"/>
            <w:vertAlign w:val="superscript"/>
          </w:rPr>
          <w:t>1331</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42" name="Image 1242"/>
            <wp:cNvGraphicFramePr>
              <a:graphicFrameLocks/>
            </wp:cNvGraphicFramePr>
            <a:graphic>
              <a:graphicData uri="http://schemas.openxmlformats.org/drawingml/2006/picture">
                <pic:pic>
                  <pic:nvPicPr>
                    <pic:cNvPr id="1242" name="Image 12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Shiloh Spinners Ltd v Harding [1973] A.C. 691, 723</w:t>
      </w:r>
      <w:r>
        <w:rPr>
          <w:sz w:val="20"/>
          <w:vertAlign w:val="baseline"/>
        </w:rPr>
        <w:t>. (The case concerned the right to forfeit (re-enter upon) leasehold property for failure to repair fences and to maintain works for the protection of adjoining property.)</w:t>
      </w:r>
    </w:p>
    <w:p>
      <w:pPr>
        <w:pStyle w:val="BodyText"/>
        <w:spacing w:before="125"/>
      </w:pPr>
    </w:p>
    <w:p>
      <w:pPr>
        <w:spacing w:before="0"/>
        <w:ind w:left="165" w:right="0" w:firstLine="0"/>
        <w:jc w:val="left"/>
        <w:rPr>
          <w:sz w:val="20"/>
        </w:rPr>
      </w:pPr>
      <w:bookmarkStart w:name="_bookmark2573" w:id="2575"/>
      <w:bookmarkEnd w:id="2575"/>
      <w:r>
        <w:rPr/>
      </w:r>
      <w:hyperlink w:history="true" w:anchor="_bookmark2532">
        <w:r>
          <w:rPr>
            <w:color w:val="005DA1"/>
            <w:sz w:val="20"/>
            <w:u w:val="single" w:color="005DA1"/>
            <w:vertAlign w:val="superscript"/>
          </w:rPr>
          <w:t>1332</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243" name="Image 1243"/>
            <wp:cNvGraphicFramePr>
              <a:graphicFrameLocks/>
            </wp:cNvGraphicFramePr>
            <a:graphic>
              <a:graphicData uri="http://schemas.openxmlformats.org/drawingml/2006/picture">
                <pic:pic>
                  <pic:nvPicPr>
                    <pic:cNvPr id="1243" name="Image 12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[1954]</w:t>
      </w:r>
      <w:r>
        <w:rPr>
          <w:rFonts w:ascii="Arial"/>
          <w:i/>
          <w:spacing w:val="3"/>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Q.B.</w:t>
      </w:r>
      <w:r>
        <w:rPr>
          <w:rFonts w:ascii="Arial"/>
          <w:i/>
          <w:spacing w:val="2"/>
          <w:sz w:val="20"/>
          <w:vertAlign w:val="baseline"/>
        </w:rPr>
        <w:t> </w:t>
      </w:r>
      <w:r>
        <w:rPr>
          <w:rFonts w:ascii="Arial"/>
          <w:i/>
          <w:sz w:val="20"/>
          <w:vertAlign w:val="baseline"/>
        </w:rPr>
        <w:t>476</w:t>
      </w:r>
      <w:r>
        <w:rPr>
          <w:sz w:val="20"/>
          <w:vertAlign w:val="baseline"/>
        </w:rPr>
        <w:t>.</w:t>
      </w:r>
      <w:r>
        <w:rPr>
          <w:spacing w:val="2"/>
          <w:sz w:val="20"/>
          <w:vertAlign w:val="baseline"/>
        </w:rPr>
        <w:t> </w:t>
      </w:r>
      <w:r>
        <w:rPr>
          <w:sz w:val="20"/>
          <w:vertAlign w:val="baseline"/>
        </w:rPr>
        <w:t>(See</w:t>
      </w:r>
      <w:r>
        <w:rPr>
          <w:spacing w:val="2"/>
          <w:sz w:val="20"/>
          <w:vertAlign w:val="baseline"/>
        </w:rPr>
        <w:t> </w:t>
      </w:r>
      <w:r>
        <w:rPr>
          <w:sz w:val="20"/>
          <w:vertAlign w:val="baseline"/>
        </w:rPr>
        <w:t>also</w:t>
      </w:r>
      <w:r>
        <w:rPr>
          <w:spacing w:val="2"/>
          <w:sz w:val="20"/>
          <w:vertAlign w:val="baseline"/>
        </w:rPr>
        <w:t> </w:t>
      </w:r>
      <w:r>
        <w:rPr>
          <w:sz w:val="20"/>
          <w:vertAlign w:val="baseline"/>
        </w:rPr>
        <w:t>Vol.II,</w:t>
      </w:r>
      <w:r>
        <w:rPr>
          <w:spacing w:val="2"/>
          <w:sz w:val="20"/>
          <w:vertAlign w:val="baseline"/>
        </w:rPr>
        <w:t> </w:t>
      </w:r>
      <w:r>
        <w:rPr>
          <w:sz w:val="20"/>
          <w:vertAlign w:val="baseline"/>
        </w:rPr>
        <w:t>para.39-</w:t>
      </w:r>
      <w:r>
        <w:rPr>
          <w:spacing w:val="-2"/>
          <w:sz w:val="20"/>
          <w:vertAlign w:val="baseline"/>
        </w:rPr>
        <w:t>343.)</w:t>
      </w:r>
    </w:p>
    <w:p>
      <w:pPr>
        <w:pStyle w:val="BodyText"/>
        <w:spacing w:before="125"/>
      </w:pPr>
    </w:p>
    <w:p>
      <w:pPr>
        <w:spacing w:line="227" w:lineRule="exact" w:before="0"/>
        <w:ind w:left="165" w:right="0" w:firstLine="0"/>
        <w:jc w:val="left"/>
        <w:rPr>
          <w:rFonts w:ascii="Arial"/>
          <w:i/>
          <w:sz w:val="20"/>
        </w:rPr>
      </w:pPr>
      <w:bookmarkStart w:name="_bookmark2574" w:id="2576"/>
      <w:bookmarkEnd w:id="2576"/>
      <w:r>
        <w:rPr/>
      </w:r>
      <w:hyperlink w:history="true" w:anchor="_bookmark2533">
        <w:r>
          <w:rPr>
            <w:color w:val="005DA1"/>
            <w:sz w:val="20"/>
            <w:u w:val="single" w:color="005DA1"/>
            <w:vertAlign w:val="superscript"/>
          </w:rPr>
          <w:t>1333</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244" name="Image 1244"/>
            <wp:cNvGraphicFramePr>
              <a:graphicFrameLocks/>
            </wp:cNvGraphicFramePr>
            <a:graphic>
              <a:graphicData uri="http://schemas.openxmlformats.org/drawingml/2006/picture">
                <pic:pic>
                  <pic:nvPicPr>
                    <pic:cNvPr id="1244" name="Image 12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Scandinavian</w:t>
      </w:r>
      <w:r>
        <w:rPr>
          <w:rFonts w:ascii="Arial"/>
          <w:i/>
          <w:spacing w:val="13"/>
          <w:sz w:val="20"/>
          <w:vertAlign w:val="baseline"/>
        </w:rPr>
        <w:t> </w:t>
      </w:r>
      <w:r>
        <w:rPr>
          <w:rFonts w:ascii="Arial"/>
          <w:i/>
          <w:sz w:val="20"/>
          <w:vertAlign w:val="baseline"/>
        </w:rPr>
        <w:t>Trading</w:t>
      </w:r>
      <w:r>
        <w:rPr>
          <w:rFonts w:ascii="Arial"/>
          <w:i/>
          <w:spacing w:val="12"/>
          <w:sz w:val="20"/>
          <w:vertAlign w:val="baseline"/>
        </w:rPr>
        <w:t> </w:t>
      </w:r>
      <w:r>
        <w:rPr>
          <w:rFonts w:ascii="Arial"/>
          <w:i/>
          <w:sz w:val="20"/>
          <w:vertAlign w:val="baseline"/>
        </w:rPr>
        <w:t>Tanker</w:t>
      </w:r>
      <w:r>
        <w:rPr>
          <w:rFonts w:ascii="Arial"/>
          <w:i/>
          <w:spacing w:val="13"/>
          <w:sz w:val="20"/>
          <w:vertAlign w:val="baseline"/>
        </w:rPr>
        <w:t> </w:t>
      </w:r>
      <w:r>
        <w:rPr>
          <w:rFonts w:ascii="Arial"/>
          <w:i/>
          <w:sz w:val="20"/>
          <w:vertAlign w:val="baseline"/>
        </w:rPr>
        <w:t>Co</w:t>
      </w:r>
      <w:r>
        <w:rPr>
          <w:rFonts w:ascii="Arial"/>
          <w:i/>
          <w:spacing w:val="12"/>
          <w:sz w:val="20"/>
          <w:vertAlign w:val="baseline"/>
        </w:rPr>
        <w:t> </w:t>
      </w:r>
      <w:r>
        <w:rPr>
          <w:rFonts w:ascii="Arial"/>
          <w:i/>
          <w:sz w:val="20"/>
          <w:vertAlign w:val="baseline"/>
        </w:rPr>
        <w:t>AB</w:t>
      </w:r>
      <w:r>
        <w:rPr>
          <w:rFonts w:ascii="Arial"/>
          <w:i/>
          <w:spacing w:val="12"/>
          <w:sz w:val="20"/>
          <w:vertAlign w:val="baseline"/>
        </w:rPr>
        <w:t> </w:t>
      </w:r>
      <w:r>
        <w:rPr>
          <w:rFonts w:ascii="Arial"/>
          <w:i/>
          <w:sz w:val="20"/>
          <w:vertAlign w:val="baseline"/>
        </w:rPr>
        <w:t>v</w:t>
      </w:r>
      <w:r>
        <w:rPr>
          <w:rFonts w:ascii="Arial"/>
          <w:i/>
          <w:spacing w:val="13"/>
          <w:sz w:val="20"/>
          <w:vertAlign w:val="baseline"/>
        </w:rPr>
        <w:t> </w:t>
      </w:r>
      <w:r>
        <w:rPr>
          <w:rFonts w:ascii="Arial"/>
          <w:i/>
          <w:sz w:val="20"/>
          <w:vertAlign w:val="baseline"/>
        </w:rPr>
        <w:t>Flota</w:t>
      </w:r>
      <w:r>
        <w:rPr>
          <w:rFonts w:ascii="Arial"/>
          <w:i/>
          <w:spacing w:val="12"/>
          <w:sz w:val="20"/>
          <w:vertAlign w:val="baseline"/>
        </w:rPr>
        <w:t> </w:t>
      </w:r>
      <w:r>
        <w:rPr>
          <w:rFonts w:ascii="Arial"/>
          <w:i/>
          <w:sz w:val="20"/>
          <w:vertAlign w:val="baseline"/>
        </w:rPr>
        <w:t>Petrolera</w:t>
      </w:r>
      <w:r>
        <w:rPr>
          <w:rFonts w:ascii="Arial"/>
          <w:i/>
          <w:spacing w:val="13"/>
          <w:sz w:val="20"/>
          <w:vertAlign w:val="baseline"/>
        </w:rPr>
        <w:t> </w:t>
      </w:r>
      <w:r>
        <w:rPr>
          <w:rFonts w:ascii="Arial"/>
          <w:i/>
          <w:sz w:val="20"/>
          <w:vertAlign w:val="baseline"/>
        </w:rPr>
        <w:t>Ecuatoriana</w:t>
      </w:r>
      <w:r>
        <w:rPr>
          <w:rFonts w:ascii="Arial"/>
          <w:i/>
          <w:spacing w:val="12"/>
          <w:sz w:val="20"/>
          <w:vertAlign w:val="baseline"/>
        </w:rPr>
        <w:t> </w:t>
      </w:r>
      <w:r>
        <w:rPr>
          <w:rFonts w:ascii="Arial"/>
          <w:i/>
          <w:sz w:val="20"/>
          <w:vertAlign w:val="baseline"/>
        </w:rPr>
        <w:t>(The</w:t>
      </w:r>
      <w:r>
        <w:rPr>
          <w:rFonts w:ascii="Arial"/>
          <w:i/>
          <w:spacing w:val="13"/>
          <w:sz w:val="20"/>
          <w:vertAlign w:val="baseline"/>
        </w:rPr>
        <w:t> </w:t>
      </w:r>
      <w:r>
        <w:rPr>
          <w:rFonts w:ascii="Arial"/>
          <w:i/>
          <w:sz w:val="20"/>
          <w:vertAlign w:val="baseline"/>
        </w:rPr>
        <w:t>Scaptrade)</w:t>
      </w:r>
      <w:r>
        <w:rPr>
          <w:rFonts w:ascii="Arial"/>
          <w:i/>
          <w:spacing w:val="12"/>
          <w:sz w:val="20"/>
          <w:vertAlign w:val="baseline"/>
        </w:rPr>
        <w:t> </w:t>
      </w:r>
      <w:r>
        <w:rPr>
          <w:rFonts w:ascii="Arial"/>
          <w:i/>
          <w:sz w:val="20"/>
          <w:vertAlign w:val="baseline"/>
        </w:rPr>
        <w:t>[1983]</w:t>
      </w:r>
      <w:r>
        <w:rPr>
          <w:rFonts w:ascii="Arial"/>
          <w:i/>
          <w:spacing w:val="13"/>
          <w:sz w:val="20"/>
          <w:vertAlign w:val="baseline"/>
        </w:rPr>
        <w:t> </w:t>
      </w:r>
      <w:r>
        <w:rPr>
          <w:rFonts w:ascii="Arial"/>
          <w:i/>
          <w:spacing w:val="-10"/>
          <w:sz w:val="20"/>
          <w:vertAlign w:val="baseline"/>
        </w:rPr>
        <w:t>2</w:t>
      </w:r>
    </w:p>
    <w:p>
      <w:pPr>
        <w:spacing w:line="235" w:lineRule="auto" w:before="1"/>
        <w:ind w:left="705" w:right="167" w:firstLine="0"/>
        <w:jc w:val="both"/>
        <w:rPr>
          <w:rFonts w:ascii="Arial" w:hAnsi="Arial"/>
          <w:i/>
          <w:sz w:val="20"/>
        </w:rPr>
      </w:pPr>
      <w:r>
        <w:rPr>
          <w:rFonts w:ascii="Arial" w:hAnsi="Arial"/>
          <w:i/>
          <w:sz w:val="20"/>
        </w:rPr>
        <w:t>A.C. 694 </w:t>
      </w:r>
      <w:r>
        <w:rPr>
          <w:sz w:val="20"/>
        </w:rPr>
        <w:t>(followed in </w:t>
      </w:r>
      <w:r>
        <w:rPr>
          <w:rFonts w:ascii="Arial" w:hAnsi="Arial"/>
          <w:i/>
          <w:sz w:val="20"/>
        </w:rPr>
        <w:t>Union Eagle Ltd v Golden Achievement Ltd [1997] A.C. 514 PC</w:t>
      </w:r>
      <w:r>
        <w:rPr>
          <w:sz w:val="20"/>
        </w:rPr>
        <w:t>, failure by 10 minutes to pay balance of purchase price on time, when time was “of the essence”: see Heydon</w:t>
      </w:r>
      <w:r>
        <w:rPr>
          <w:spacing w:val="16"/>
          <w:sz w:val="20"/>
        </w:rPr>
        <w:t> </w:t>
      </w:r>
      <w:r>
        <w:rPr>
          <w:sz w:val="20"/>
        </w:rPr>
        <w:t>(1997)</w:t>
      </w:r>
      <w:r>
        <w:rPr>
          <w:spacing w:val="16"/>
          <w:sz w:val="20"/>
        </w:rPr>
        <w:t> </w:t>
      </w:r>
      <w:r>
        <w:rPr>
          <w:sz w:val="20"/>
        </w:rPr>
        <w:t>113</w:t>
      </w:r>
      <w:r>
        <w:rPr>
          <w:spacing w:val="16"/>
          <w:sz w:val="20"/>
        </w:rPr>
        <w:t> </w:t>
      </w:r>
      <w:r>
        <w:rPr>
          <w:sz w:val="20"/>
        </w:rPr>
        <w:t>L.Q.R.</w:t>
      </w:r>
      <w:r>
        <w:rPr>
          <w:spacing w:val="16"/>
          <w:sz w:val="20"/>
        </w:rPr>
        <w:t> </w:t>
      </w:r>
      <w:r>
        <w:rPr>
          <w:sz w:val="20"/>
        </w:rPr>
        <w:t>385;</w:t>
      </w:r>
      <w:r>
        <w:rPr>
          <w:spacing w:val="16"/>
          <w:sz w:val="20"/>
        </w:rPr>
        <w:t> </w:t>
      </w:r>
      <w:r>
        <w:rPr>
          <w:sz w:val="20"/>
        </w:rPr>
        <w:t>Stevens</w:t>
      </w:r>
      <w:r>
        <w:rPr>
          <w:spacing w:val="16"/>
          <w:sz w:val="20"/>
        </w:rPr>
        <w:t> </w:t>
      </w:r>
      <w:r>
        <w:rPr>
          <w:sz w:val="20"/>
        </w:rPr>
        <w:t>(1998)</w:t>
      </w:r>
      <w:r>
        <w:rPr>
          <w:spacing w:val="16"/>
          <w:sz w:val="20"/>
        </w:rPr>
        <w:t> </w:t>
      </w:r>
      <w:r>
        <w:rPr>
          <w:sz w:val="20"/>
        </w:rPr>
        <w:t>61</w:t>
      </w:r>
      <w:r>
        <w:rPr>
          <w:spacing w:val="16"/>
          <w:sz w:val="20"/>
        </w:rPr>
        <w:t> </w:t>
      </w:r>
      <w:r>
        <w:rPr>
          <w:sz w:val="20"/>
        </w:rPr>
        <w:t>M.L.R.</w:t>
      </w:r>
      <w:r>
        <w:rPr>
          <w:spacing w:val="16"/>
          <w:sz w:val="20"/>
        </w:rPr>
        <w:t> </w:t>
      </w:r>
      <w:r>
        <w:rPr>
          <w:sz w:val="20"/>
        </w:rPr>
        <w:t>255).</w:t>
      </w:r>
      <w:r>
        <w:rPr>
          <w:spacing w:val="16"/>
          <w:sz w:val="20"/>
        </w:rPr>
        <w:t> </w:t>
      </w:r>
      <w:r>
        <w:rPr>
          <w:sz w:val="20"/>
        </w:rPr>
        <w:t>See</w:t>
      </w:r>
      <w:r>
        <w:rPr>
          <w:spacing w:val="16"/>
          <w:sz w:val="20"/>
        </w:rPr>
        <w:t> </w:t>
      </w:r>
      <w:r>
        <w:rPr>
          <w:sz w:val="20"/>
        </w:rPr>
        <w:t>also</w:t>
      </w:r>
      <w:r>
        <w:rPr>
          <w:spacing w:val="16"/>
          <w:sz w:val="20"/>
        </w:rPr>
        <w:t> </w:t>
      </w:r>
      <w:r>
        <w:rPr>
          <w:rFonts w:ascii="Arial" w:hAnsi="Arial"/>
          <w:i/>
          <w:sz w:val="20"/>
        </w:rPr>
        <w:t>The</w:t>
      </w:r>
      <w:r>
        <w:rPr>
          <w:rFonts w:ascii="Arial" w:hAnsi="Arial"/>
          <w:i/>
          <w:spacing w:val="16"/>
          <w:sz w:val="20"/>
        </w:rPr>
        <w:t> </w:t>
      </w:r>
      <w:r>
        <w:rPr>
          <w:rFonts w:ascii="Arial" w:hAnsi="Arial"/>
          <w:i/>
          <w:sz w:val="20"/>
        </w:rPr>
        <w:t>Laconia</w:t>
      </w:r>
      <w:r>
        <w:rPr>
          <w:rFonts w:ascii="Arial" w:hAnsi="Arial"/>
          <w:i/>
          <w:spacing w:val="16"/>
          <w:sz w:val="20"/>
        </w:rPr>
        <w:t> </w:t>
      </w:r>
      <w:r>
        <w:rPr>
          <w:rFonts w:ascii="Arial" w:hAnsi="Arial"/>
          <w:i/>
          <w:spacing w:val="-2"/>
          <w:sz w:val="20"/>
        </w:rPr>
        <w:t>[1977]</w:t>
      </w:r>
    </w:p>
    <w:p>
      <w:pPr>
        <w:spacing w:line="223" w:lineRule="exact" w:before="0"/>
        <w:ind w:left="705" w:right="0" w:firstLine="0"/>
        <w:jc w:val="left"/>
        <w:rPr>
          <w:rFonts w:ascii="Arial" w:hAnsi="Arial"/>
          <w:i/>
          <w:sz w:val="20"/>
        </w:rPr>
      </w:pPr>
      <w:r>
        <w:rPr>
          <w:rFonts w:ascii="Arial" w:hAnsi="Arial"/>
          <w:i/>
          <w:sz w:val="20"/>
        </w:rPr>
        <w:t>A.C.</w:t>
      </w:r>
      <w:r>
        <w:rPr>
          <w:rFonts w:ascii="Arial" w:hAnsi="Arial"/>
          <w:i/>
          <w:spacing w:val="25"/>
          <w:sz w:val="20"/>
        </w:rPr>
        <w:t> </w:t>
      </w:r>
      <w:r>
        <w:rPr>
          <w:rFonts w:ascii="Arial" w:hAnsi="Arial"/>
          <w:i/>
          <w:sz w:val="20"/>
        </w:rPr>
        <w:t>850,</w:t>
      </w:r>
      <w:r>
        <w:rPr>
          <w:rFonts w:ascii="Arial" w:hAnsi="Arial"/>
          <w:i/>
          <w:spacing w:val="28"/>
          <w:sz w:val="20"/>
        </w:rPr>
        <w:t> </w:t>
      </w:r>
      <w:r>
        <w:rPr>
          <w:rFonts w:ascii="Arial" w:hAnsi="Arial"/>
          <w:i/>
          <w:sz w:val="20"/>
        </w:rPr>
        <w:t>869–870,</w:t>
      </w:r>
      <w:r>
        <w:rPr>
          <w:rFonts w:ascii="Arial" w:hAnsi="Arial"/>
          <w:i/>
          <w:spacing w:val="28"/>
          <w:sz w:val="20"/>
        </w:rPr>
        <w:t> </w:t>
      </w:r>
      <w:r>
        <w:rPr>
          <w:rFonts w:ascii="Arial" w:hAnsi="Arial"/>
          <w:i/>
          <w:sz w:val="20"/>
        </w:rPr>
        <w:t>873–874,</w:t>
      </w:r>
      <w:r>
        <w:rPr>
          <w:rFonts w:ascii="Arial" w:hAnsi="Arial"/>
          <w:i/>
          <w:spacing w:val="28"/>
          <w:sz w:val="20"/>
        </w:rPr>
        <w:t> </w:t>
      </w:r>
      <w:r>
        <w:rPr>
          <w:rFonts w:ascii="Arial" w:hAnsi="Arial"/>
          <w:i/>
          <w:sz w:val="20"/>
        </w:rPr>
        <w:t>878,</w:t>
      </w:r>
      <w:r>
        <w:rPr>
          <w:rFonts w:ascii="Arial" w:hAnsi="Arial"/>
          <w:i/>
          <w:spacing w:val="28"/>
          <w:sz w:val="20"/>
        </w:rPr>
        <w:t> </w:t>
      </w:r>
      <w:r>
        <w:rPr>
          <w:rFonts w:ascii="Arial" w:hAnsi="Arial"/>
          <w:i/>
          <w:sz w:val="20"/>
        </w:rPr>
        <w:t>887</w:t>
      </w:r>
      <w:r>
        <w:rPr>
          <w:sz w:val="20"/>
        </w:rPr>
        <w:t>;</w:t>
      </w:r>
      <w:r>
        <w:rPr>
          <w:spacing w:val="28"/>
          <w:sz w:val="20"/>
        </w:rPr>
        <w:t> </w:t>
      </w:r>
      <w:r>
        <w:rPr>
          <w:sz w:val="20"/>
        </w:rPr>
        <w:t>cf.</w:t>
      </w:r>
      <w:r>
        <w:rPr>
          <w:spacing w:val="28"/>
          <w:sz w:val="20"/>
        </w:rPr>
        <w:t> </w:t>
      </w:r>
      <w:r>
        <w:rPr>
          <w:sz w:val="20"/>
        </w:rPr>
        <w:t>the</w:t>
      </w:r>
      <w:r>
        <w:rPr>
          <w:spacing w:val="28"/>
          <w:sz w:val="20"/>
        </w:rPr>
        <w:t> </w:t>
      </w:r>
      <w:r>
        <w:rPr>
          <w:sz w:val="20"/>
        </w:rPr>
        <w:t>High</w:t>
      </w:r>
      <w:r>
        <w:rPr>
          <w:spacing w:val="28"/>
          <w:sz w:val="20"/>
        </w:rPr>
        <w:t> </w:t>
      </w:r>
      <w:r>
        <w:rPr>
          <w:sz w:val="20"/>
        </w:rPr>
        <w:t>Court</w:t>
      </w:r>
      <w:r>
        <w:rPr>
          <w:spacing w:val="28"/>
          <w:sz w:val="20"/>
        </w:rPr>
        <w:t> </w:t>
      </w:r>
      <w:r>
        <w:rPr>
          <w:sz w:val="20"/>
        </w:rPr>
        <w:t>of</w:t>
      </w:r>
      <w:r>
        <w:rPr>
          <w:spacing w:val="28"/>
          <w:sz w:val="20"/>
        </w:rPr>
        <w:t> </w:t>
      </w:r>
      <w:r>
        <w:rPr>
          <w:sz w:val="20"/>
        </w:rPr>
        <w:t>Australia</w:t>
      </w:r>
      <w:r>
        <w:rPr>
          <w:spacing w:val="28"/>
          <w:sz w:val="20"/>
        </w:rPr>
        <w:t> </w:t>
      </w:r>
      <w:r>
        <w:rPr>
          <w:sz w:val="20"/>
        </w:rPr>
        <w:t>in</w:t>
      </w:r>
      <w:r>
        <w:rPr>
          <w:spacing w:val="28"/>
          <w:sz w:val="20"/>
        </w:rPr>
        <w:t> </w:t>
      </w:r>
      <w:r>
        <w:rPr>
          <w:rFonts w:ascii="Arial" w:hAnsi="Arial"/>
          <w:i/>
          <w:sz w:val="20"/>
        </w:rPr>
        <w:t>Legione</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pacing w:val="-2"/>
          <w:sz w:val="20"/>
        </w:rPr>
        <w:t>Hateley</w:t>
      </w:r>
    </w:p>
    <w:p>
      <w:pPr>
        <w:spacing w:line="225" w:lineRule="exact" w:before="0"/>
        <w:ind w:left="705" w:right="0" w:firstLine="0"/>
        <w:jc w:val="left"/>
        <w:rPr>
          <w:rFonts w:ascii="Arial"/>
          <w:i/>
          <w:sz w:val="20"/>
        </w:rPr>
      </w:pPr>
      <w:r>
        <w:rPr>
          <w:rFonts w:ascii="Arial"/>
          <w:i/>
          <w:sz w:val="20"/>
        </w:rPr>
        <w:t>(1983)</w:t>
      </w:r>
      <w:r>
        <w:rPr>
          <w:rFonts w:ascii="Arial"/>
          <w:i/>
          <w:spacing w:val="6"/>
          <w:sz w:val="20"/>
        </w:rPr>
        <w:t> </w:t>
      </w:r>
      <w:r>
        <w:rPr>
          <w:rFonts w:ascii="Arial"/>
          <w:i/>
          <w:sz w:val="20"/>
        </w:rPr>
        <w:t>46</w:t>
      </w:r>
      <w:r>
        <w:rPr>
          <w:rFonts w:ascii="Arial"/>
          <w:i/>
          <w:spacing w:val="7"/>
          <w:sz w:val="20"/>
        </w:rPr>
        <w:t> </w:t>
      </w:r>
      <w:r>
        <w:rPr>
          <w:rFonts w:ascii="Arial"/>
          <w:i/>
          <w:sz w:val="20"/>
        </w:rPr>
        <w:t>A.L.R.</w:t>
      </w:r>
      <w:r>
        <w:rPr>
          <w:rFonts w:ascii="Arial"/>
          <w:i/>
          <w:spacing w:val="7"/>
          <w:sz w:val="20"/>
        </w:rPr>
        <w:t> </w:t>
      </w:r>
      <w:r>
        <w:rPr>
          <w:rFonts w:ascii="Arial"/>
          <w:i/>
          <w:sz w:val="20"/>
        </w:rPr>
        <w:t>1</w:t>
      </w:r>
      <w:r>
        <w:rPr>
          <w:sz w:val="20"/>
        </w:rPr>
        <w:t>;</w:t>
      </w:r>
      <w:r>
        <w:rPr>
          <w:spacing w:val="7"/>
          <w:sz w:val="20"/>
        </w:rPr>
        <w:t> </w:t>
      </w:r>
      <w:r>
        <w:rPr>
          <w:rFonts w:ascii="Arial"/>
          <w:i/>
          <w:sz w:val="20"/>
        </w:rPr>
        <w:t>Ciavarella</w:t>
      </w:r>
      <w:r>
        <w:rPr>
          <w:rFonts w:ascii="Arial"/>
          <w:i/>
          <w:spacing w:val="7"/>
          <w:sz w:val="20"/>
        </w:rPr>
        <w:t> </w:t>
      </w:r>
      <w:r>
        <w:rPr>
          <w:rFonts w:ascii="Arial"/>
          <w:i/>
          <w:sz w:val="20"/>
        </w:rPr>
        <w:t>v</w:t>
      </w:r>
      <w:r>
        <w:rPr>
          <w:rFonts w:ascii="Arial"/>
          <w:i/>
          <w:spacing w:val="7"/>
          <w:sz w:val="20"/>
        </w:rPr>
        <w:t> </w:t>
      </w:r>
      <w:r>
        <w:rPr>
          <w:rFonts w:ascii="Arial"/>
          <w:i/>
          <w:sz w:val="20"/>
        </w:rPr>
        <w:t>Balmer</w:t>
      </w:r>
      <w:r>
        <w:rPr>
          <w:rFonts w:ascii="Arial"/>
          <w:i/>
          <w:spacing w:val="7"/>
          <w:sz w:val="20"/>
        </w:rPr>
        <w:t> </w:t>
      </w:r>
      <w:r>
        <w:rPr>
          <w:rFonts w:ascii="Arial"/>
          <w:i/>
          <w:sz w:val="20"/>
        </w:rPr>
        <w:t>(1983)</w:t>
      </w:r>
      <w:r>
        <w:rPr>
          <w:rFonts w:ascii="Arial"/>
          <w:i/>
          <w:spacing w:val="7"/>
          <w:sz w:val="20"/>
        </w:rPr>
        <w:t> </w:t>
      </w:r>
      <w:r>
        <w:rPr>
          <w:rFonts w:ascii="Arial"/>
          <w:i/>
          <w:sz w:val="20"/>
        </w:rPr>
        <w:t>153</w:t>
      </w:r>
      <w:r>
        <w:rPr>
          <w:rFonts w:ascii="Arial"/>
          <w:i/>
          <w:spacing w:val="6"/>
          <w:sz w:val="20"/>
        </w:rPr>
        <w:t> </w:t>
      </w:r>
      <w:r>
        <w:rPr>
          <w:rFonts w:ascii="Arial"/>
          <w:i/>
          <w:sz w:val="20"/>
        </w:rPr>
        <w:t>C.L.R.</w:t>
      </w:r>
      <w:r>
        <w:rPr>
          <w:rFonts w:ascii="Arial"/>
          <w:i/>
          <w:spacing w:val="7"/>
          <w:sz w:val="20"/>
        </w:rPr>
        <w:t> </w:t>
      </w:r>
      <w:r>
        <w:rPr>
          <w:rFonts w:ascii="Arial"/>
          <w:i/>
          <w:sz w:val="20"/>
        </w:rPr>
        <w:t>438</w:t>
      </w:r>
      <w:r>
        <w:rPr>
          <w:sz w:val="20"/>
        </w:rPr>
        <w:t>;</w:t>
      </w:r>
      <w:r>
        <w:rPr>
          <w:spacing w:val="7"/>
          <w:sz w:val="20"/>
        </w:rPr>
        <w:t> </w:t>
      </w:r>
      <w:r>
        <w:rPr>
          <w:sz w:val="20"/>
        </w:rPr>
        <w:t>and</w:t>
      </w:r>
      <w:r>
        <w:rPr>
          <w:spacing w:val="7"/>
          <w:sz w:val="20"/>
        </w:rPr>
        <w:t> </w:t>
      </w:r>
      <w:r>
        <w:rPr>
          <w:sz w:val="20"/>
        </w:rPr>
        <w:t>in</w:t>
      </w:r>
      <w:r>
        <w:rPr>
          <w:spacing w:val="7"/>
          <w:sz w:val="20"/>
        </w:rPr>
        <w:t> </w:t>
      </w:r>
      <w:r>
        <w:rPr>
          <w:rFonts w:ascii="Arial"/>
          <w:i/>
          <w:sz w:val="20"/>
        </w:rPr>
        <w:t>Stern</w:t>
      </w:r>
      <w:r>
        <w:rPr>
          <w:rFonts w:ascii="Arial"/>
          <w:i/>
          <w:spacing w:val="7"/>
          <w:sz w:val="20"/>
        </w:rPr>
        <w:t> </w:t>
      </w:r>
      <w:r>
        <w:rPr>
          <w:rFonts w:ascii="Arial"/>
          <w:i/>
          <w:sz w:val="20"/>
        </w:rPr>
        <w:t>v</w:t>
      </w:r>
      <w:r>
        <w:rPr>
          <w:rFonts w:ascii="Arial"/>
          <w:i/>
          <w:spacing w:val="7"/>
          <w:sz w:val="20"/>
        </w:rPr>
        <w:t> </w:t>
      </w:r>
      <w:r>
        <w:rPr>
          <w:rFonts w:ascii="Arial"/>
          <w:i/>
          <w:sz w:val="20"/>
        </w:rPr>
        <w:t>McArthur</w:t>
      </w:r>
      <w:r>
        <w:rPr>
          <w:rFonts w:ascii="Arial"/>
          <w:i/>
          <w:spacing w:val="7"/>
          <w:sz w:val="20"/>
        </w:rPr>
        <w:t> </w:t>
      </w:r>
      <w:r>
        <w:rPr>
          <w:rFonts w:ascii="Arial"/>
          <w:i/>
          <w:spacing w:val="-2"/>
          <w:sz w:val="20"/>
        </w:rPr>
        <w:t>(1988)</w:t>
      </w:r>
    </w:p>
    <w:p>
      <w:pPr>
        <w:spacing w:line="227" w:lineRule="exact" w:before="0"/>
        <w:ind w:left="705" w:right="0" w:firstLine="0"/>
        <w:jc w:val="left"/>
        <w:rPr>
          <w:sz w:val="20"/>
        </w:rPr>
      </w:pPr>
      <w:r>
        <w:rPr>
          <w:rFonts w:ascii="Arial"/>
          <w:i/>
          <w:sz w:val="20"/>
        </w:rPr>
        <w:t>165 C.L.R. </w:t>
      </w:r>
      <w:r>
        <w:rPr>
          <w:rFonts w:ascii="Arial"/>
          <w:i/>
          <w:spacing w:val="-4"/>
          <w:sz w:val="20"/>
        </w:rPr>
        <w:t>489</w:t>
      </w:r>
      <w:r>
        <w:rPr>
          <w:spacing w:val="-4"/>
          <w:sz w:val="20"/>
        </w:rPr>
        <w:t>.</w:t>
      </w:r>
    </w:p>
    <w:p>
      <w:pPr>
        <w:pStyle w:val="BodyText"/>
        <w:spacing w:before="125"/>
      </w:pPr>
    </w:p>
    <w:p>
      <w:pPr>
        <w:pStyle w:val="BodyText"/>
        <w:ind w:left="165"/>
      </w:pPr>
      <w:bookmarkStart w:name="_bookmark2575" w:id="2577"/>
      <w:bookmarkEnd w:id="2577"/>
      <w:r>
        <w:rPr/>
      </w:r>
      <w:hyperlink w:history="true" w:anchor="_bookmark2534">
        <w:r>
          <w:rPr>
            <w:color w:val="005DA1"/>
            <w:u w:val="single" w:color="005DA1"/>
            <w:vertAlign w:val="superscript"/>
          </w:rPr>
          <w:t>1334</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1245" name="Image 1245"/>
            <wp:cNvGraphicFramePr>
              <a:graphicFrameLocks/>
            </wp:cNvGraphicFramePr>
            <a:graphic>
              <a:graphicData uri="http://schemas.openxmlformats.org/drawingml/2006/picture">
                <pic:pic>
                  <pic:nvPicPr>
                    <pic:cNvPr id="1245" name="Image 124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w:t>
      </w:r>
      <w:r>
        <w:rPr>
          <w:spacing w:val="1"/>
          <w:vertAlign w:val="baseline"/>
        </w:rPr>
        <w:t> </w:t>
      </w:r>
      <w:r>
        <w:rPr>
          <w:vertAlign w:val="baseline"/>
        </w:rPr>
        <w:t>charter</w:t>
      </w:r>
      <w:r>
        <w:rPr>
          <w:spacing w:val="2"/>
          <w:vertAlign w:val="baseline"/>
        </w:rPr>
        <w:t> </w:t>
      </w:r>
      <w:r>
        <w:rPr>
          <w:vertAlign w:val="baseline"/>
        </w:rPr>
        <w:t>by</w:t>
      </w:r>
      <w:r>
        <w:rPr>
          <w:spacing w:val="1"/>
          <w:vertAlign w:val="baseline"/>
        </w:rPr>
        <w:t> </w:t>
      </w:r>
      <w:r>
        <w:rPr>
          <w:vertAlign w:val="baseline"/>
        </w:rPr>
        <w:t>demise</w:t>
      </w:r>
      <w:r>
        <w:rPr>
          <w:spacing w:val="1"/>
          <w:vertAlign w:val="baseline"/>
        </w:rPr>
        <w:t> </w:t>
      </w:r>
      <w:r>
        <w:rPr>
          <w:vertAlign w:val="baseline"/>
        </w:rPr>
        <w:t>would</w:t>
      </w:r>
      <w:r>
        <w:rPr>
          <w:spacing w:val="1"/>
          <w:vertAlign w:val="baseline"/>
        </w:rPr>
        <w:t> </w:t>
      </w:r>
      <w:r>
        <w:rPr>
          <w:vertAlign w:val="baseline"/>
        </w:rPr>
        <w:t>have</w:t>
      </w:r>
      <w:r>
        <w:rPr>
          <w:spacing w:val="2"/>
          <w:vertAlign w:val="baseline"/>
        </w:rPr>
        <w:t> </w:t>
      </w:r>
      <w:r>
        <w:rPr>
          <w:vertAlign w:val="baseline"/>
        </w:rPr>
        <w:t>given</w:t>
      </w:r>
      <w:r>
        <w:rPr>
          <w:spacing w:val="1"/>
          <w:vertAlign w:val="baseline"/>
        </w:rPr>
        <w:t> </w:t>
      </w:r>
      <w:r>
        <w:rPr>
          <w:vertAlign w:val="baseline"/>
        </w:rPr>
        <w:t>the</w:t>
      </w:r>
      <w:r>
        <w:rPr>
          <w:spacing w:val="1"/>
          <w:vertAlign w:val="baseline"/>
        </w:rPr>
        <w:t> </w:t>
      </w:r>
      <w:r>
        <w:rPr>
          <w:vertAlign w:val="baseline"/>
        </w:rPr>
        <w:t>charterer</w:t>
      </w:r>
      <w:r>
        <w:rPr>
          <w:spacing w:val="1"/>
          <w:vertAlign w:val="baseline"/>
        </w:rPr>
        <w:t> </w:t>
      </w:r>
      <w:r>
        <w:rPr>
          <w:vertAlign w:val="baseline"/>
        </w:rPr>
        <w:t>a</w:t>
      </w:r>
      <w:r>
        <w:rPr>
          <w:spacing w:val="2"/>
          <w:vertAlign w:val="baseline"/>
        </w:rPr>
        <w:t> </w:t>
      </w:r>
      <w:r>
        <w:rPr>
          <w:vertAlign w:val="baseline"/>
        </w:rPr>
        <w:t>possessory</w:t>
      </w:r>
      <w:r>
        <w:rPr>
          <w:spacing w:val="1"/>
          <w:vertAlign w:val="baseline"/>
        </w:rPr>
        <w:t> </w:t>
      </w:r>
      <w:r>
        <w:rPr>
          <w:vertAlign w:val="baseline"/>
        </w:rPr>
        <w:t>interest</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spacing w:val="-2"/>
          <w:vertAlign w:val="baseline"/>
        </w:rPr>
        <w:t>ship.</w:t>
      </w:r>
    </w:p>
    <w:p>
      <w:pPr>
        <w:pStyle w:val="BodyText"/>
        <w:spacing w:before="129"/>
      </w:pPr>
    </w:p>
    <w:p>
      <w:pPr>
        <w:spacing w:line="235" w:lineRule="auto" w:before="0"/>
        <w:ind w:left="705" w:right="167" w:hanging="541"/>
        <w:jc w:val="both"/>
        <w:rPr>
          <w:sz w:val="20"/>
        </w:rPr>
      </w:pPr>
      <w:bookmarkStart w:name="_bookmark2576" w:id="2578"/>
      <w:bookmarkEnd w:id="2578"/>
      <w:r>
        <w:rPr/>
      </w:r>
      <w:hyperlink w:history="true" w:anchor="_bookmark2535">
        <w:r>
          <w:rPr>
            <w:color w:val="005DA1"/>
            <w:sz w:val="20"/>
            <w:u w:val="single" w:color="005DA1"/>
            <w:vertAlign w:val="superscript"/>
          </w:rPr>
          <w:t>1335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46" name="Image 1246"/>
            <wp:cNvGraphicFramePr>
              <a:graphicFrameLocks/>
            </wp:cNvGraphicFramePr>
            <a:graphic>
              <a:graphicData uri="http://schemas.openxmlformats.org/drawingml/2006/picture">
                <pic:pic>
                  <pic:nvPicPr>
                    <pic:cNvPr id="1246" name="Image 12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Sport Internationaal Bussum BV v Inter-Footwear Ltd [1984] 1 W.L.R. 776 </w:t>
      </w:r>
      <w:r>
        <w:rPr>
          <w:sz w:val="20"/>
          <w:vertAlign w:val="baseline"/>
        </w:rPr>
        <w:t>(followed in </w:t>
      </w:r>
      <w:r>
        <w:rPr>
          <w:rFonts w:ascii="Arial"/>
          <w:i/>
          <w:sz w:val="20"/>
          <w:vertAlign w:val="baseline"/>
        </w:rPr>
        <w:t>Crittall Windows Ltd v Stormseal (UPVC) Window Systems Ltd [1991] R.P.C. 265</w:t>
      </w:r>
      <w:r>
        <w:rPr>
          <w:sz w:val="20"/>
          <w:vertAlign w:val="baseline"/>
        </w:rPr>
        <w:t>). But it is not a</w:t>
      </w:r>
      <w:r>
        <w:rPr>
          <w:spacing w:val="40"/>
          <w:sz w:val="20"/>
          <w:vertAlign w:val="baseline"/>
        </w:rPr>
        <w:t> </w:t>
      </w:r>
      <w:r>
        <w:rPr>
          <w:sz w:val="20"/>
          <w:vertAlign w:val="baseline"/>
        </w:rPr>
        <w:t>purely contractual right where a hirer is entitled to indefinite possession of chattels so long </w:t>
      </w:r>
      <w:r>
        <w:rPr>
          <w:sz w:val="20"/>
          <w:vertAlign w:val="baseline"/>
        </w:rPr>
        <w:t>as</w:t>
      </w:r>
      <w:r>
        <w:rPr>
          <w:spacing w:val="40"/>
          <w:sz w:val="20"/>
          <w:vertAlign w:val="baseline"/>
        </w:rPr>
        <w:t> </w:t>
      </w:r>
      <w:r>
        <w:rPr>
          <w:sz w:val="20"/>
          <w:vertAlign w:val="baseline"/>
        </w:rPr>
        <w:t>he makes hire payments: hence relief against forfeiture is available: </w:t>
      </w:r>
      <w:r>
        <w:rPr>
          <w:rFonts w:ascii="Arial"/>
          <w:i/>
          <w:sz w:val="20"/>
          <w:vertAlign w:val="baseline"/>
        </w:rPr>
        <w:t>On Demand Information</w:t>
      </w:r>
      <w:r>
        <w:rPr>
          <w:rFonts w:ascii="Arial"/>
          <w:i/>
          <w:spacing w:val="40"/>
          <w:sz w:val="20"/>
          <w:vertAlign w:val="baseline"/>
        </w:rPr>
        <w:t> </w:t>
      </w:r>
      <w:r>
        <w:rPr>
          <w:rFonts w:ascii="Arial"/>
          <w:i/>
          <w:sz w:val="20"/>
          <w:vertAlign w:val="baseline"/>
        </w:rPr>
        <w:t>Plc v Michael Gerson (Finance) Plc [2002] UKHL 13, [2003] 1 A.C. 368 </w:t>
      </w:r>
      <w:r>
        <w:rPr>
          <w:sz w:val="20"/>
          <w:vertAlign w:val="baseline"/>
        </w:rPr>
        <w:t>at [29]. In </w:t>
      </w:r>
      <w:r>
        <w:rPr>
          <w:rFonts w:ascii="Arial"/>
          <w:i/>
          <w:sz w:val="20"/>
          <w:vertAlign w:val="baseline"/>
        </w:rPr>
        <w:t>General Motors UK Ltd v Manchester Ship Canal Co Ltd [2016] EWHC 2960 (Ch) </w:t>
      </w:r>
      <w:r>
        <w:rPr>
          <w:sz w:val="20"/>
          <w:vertAlign w:val="baseline"/>
        </w:rPr>
        <w:t>relief was given in respect of a right to discharge surface water into a canal.</w:t>
      </w:r>
    </w:p>
    <w:p>
      <w:pPr>
        <w:pStyle w:val="BodyText"/>
        <w:spacing w:before="124"/>
      </w:pPr>
    </w:p>
    <w:p>
      <w:pPr>
        <w:spacing w:before="0"/>
        <w:ind w:left="165" w:right="0" w:firstLine="0"/>
        <w:jc w:val="left"/>
        <w:rPr>
          <w:sz w:val="20"/>
        </w:rPr>
      </w:pPr>
      <w:bookmarkStart w:name="_bookmark2577" w:id="2579"/>
      <w:bookmarkEnd w:id="2579"/>
      <w:r>
        <w:rPr/>
      </w:r>
      <w:hyperlink w:history="true" w:anchor="_bookmark2536">
        <w:r>
          <w:rPr>
            <w:color w:val="005DA1"/>
            <w:sz w:val="20"/>
            <w:u w:val="single" w:color="005DA1"/>
            <w:vertAlign w:val="superscript"/>
          </w:rPr>
          <w:t>1336</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247" name="Image 1247"/>
            <wp:cNvGraphicFramePr>
              <a:graphicFrameLocks/>
            </wp:cNvGraphicFramePr>
            <a:graphic>
              <a:graphicData uri="http://schemas.openxmlformats.org/drawingml/2006/picture">
                <pic:pic>
                  <pic:nvPicPr>
                    <pic:cNvPr id="1247" name="Image 12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Çukurova</w:t>
      </w:r>
      <w:r>
        <w:rPr>
          <w:rFonts w:ascii="Arial" w:hAnsi="Arial"/>
          <w:i/>
          <w:spacing w:val="3"/>
          <w:sz w:val="20"/>
          <w:vertAlign w:val="baseline"/>
        </w:rPr>
        <w:t> </w:t>
      </w:r>
      <w:r>
        <w:rPr>
          <w:rFonts w:ascii="Arial" w:hAnsi="Arial"/>
          <w:i/>
          <w:sz w:val="20"/>
          <w:vertAlign w:val="baseline"/>
        </w:rPr>
        <w:t>Finance</w:t>
      </w:r>
      <w:r>
        <w:rPr>
          <w:rFonts w:ascii="Arial" w:hAnsi="Arial"/>
          <w:i/>
          <w:spacing w:val="1"/>
          <w:sz w:val="20"/>
          <w:vertAlign w:val="baseline"/>
        </w:rPr>
        <w:t> </w:t>
      </w:r>
      <w:r>
        <w:rPr>
          <w:rFonts w:ascii="Arial" w:hAnsi="Arial"/>
          <w:i/>
          <w:sz w:val="20"/>
          <w:vertAlign w:val="baseline"/>
        </w:rPr>
        <w:t>International</w:t>
      </w:r>
      <w:r>
        <w:rPr>
          <w:rFonts w:ascii="Arial" w:hAnsi="Arial"/>
          <w:i/>
          <w:spacing w:val="2"/>
          <w:sz w:val="20"/>
          <w:vertAlign w:val="baseline"/>
        </w:rPr>
        <w:t> </w:t>
      </w:r>
      <w:r>
        <w:rPr>
          <w:rFonts w:ascii="Arial" w:hAnsi="Arial"/>
          <w:i/>
          <w:sz w:val="20"/>
          <w:vertAlign w:val="baseline"/>
        </w:rPr>
        <w:t>Ltd</w:t>
      </w:r>
      <w:r>
        <w:rPr>
          <w:rFonts w:ascii="Arial" w:hAnsi="Arial"/>
          <w:i/>
          <w:spacing w:val="1"/>
          <w:sz w:val="20"/>
          <w:vertAlign w:val="baseline"/>
        </w:rPr>
        <w:t> </w:t>
      </w:r>
      <w:r>
        <w:rPr>
          <w:rFonts w:ascii="Arial" w:hAnsi="Arial"/>
          <w:i/>
          <w:sz w:val="20"/>
          <w:vertAlign w:val="baseline"/>
        </w:rPr>
        <w:t>v</w:t>
      </w:r>
      <w:r>
        <w:rPr>
          <w:rFonts w:ascii="Arial" w:hAnsi="Arial"/>
          <w:i/>
          <w:spacing w:val="2"/>
          <w:sz w:val="20"/>
          <w:vertAlign w:val="baseline"/>
        </w:rPr>
        <w:t> </w:t>
      </w:r>
      <w:r>
        <w:rPr>
          <w:rFonts w:ascii="Arial" w:hAnsi="Arial"/>
          <w:i/>
          <w:sz w:val="20"/>
          <w:vertAlign w:val="baseline"/>
        </w:rPr>
        <w:t>Alfa</w:t>
      </w:r>
      <w:r>
        <w:rPr>
          <w:rFonts w:ascii="Arial" w:hAnsi="Arial"/>
          <w:i/>
          <w:spacing w:val="1"/>
          <w:sz w:val="20"/>
          <w:vertAlign w:val="baseline"/>
        </w:rPr>
        <w:t> </w:t>
      </w:r>
      <w:r>
        <w:rPr>
          <w:rFonts w:ascii="Arial" w:hAnsi="Arial"/>
          <w:i/>
          <w:sz w:val="20"/>
          <w:vertAlign w:val="baseline"/>
        </w:rPr>
        <w:t>Telecom</w:t>
      </w:r>
      <w:r>
        <w:rPr>
          <w:rFonts w:ascii="Arial" w:hAnsi="Arial"/>
          <w:i/>
          <w:spacing w:val="2"/>
          <w:sz w:val="20"/>
          <w:vertAlign w:val="baseline"/>
        </w:rPr>
        <w:t> </w:t>
      </w:r>
      <w:r>
        <w:rPr>
          <w:rFonts w:ascii="Arial" w:hAnsi="Arial"/>
          <w:i/>
          <w:sz w:val="20"/>
          <w:vertAlign w:val="baseline"/>
        </w:rPr>
        <w:t>Turkey</w:t>
      </w:r>
      <w:r>
        <w:rPr>
          <w:rFonts w:ascii="Arial" w:hAnsi="Arial"/>
          <w:i/>
          <w:spacing w:val="1"/>
          <w:sz w:val="20"/>
          <w:vertAlign w:val="baseline"/>
        </w:rPr>
        <w:t> </w:t>
      </w:r>
      <w:r>
        <w:rPr>
          <w:rFonts w:ascii="Arial" w:hAnsi="Arial"/>
          <w:i/>
          <w:sz w:val="20"/>
          <w:vertAlign w:val="baseline"/>
        </w:rPr>
        <w:t>Ltd</w:t>
      </w:r>
      <w:r>
        <w:rPr>
          <w:rFonts w:ascii="Arial" w:hAnsi="Arial"/>
          <w:i/>
          <w:spacing w:val="2"/>
          <w:sz w:val="20"/>
          <w:vertAlign w:val="baseline"/>
        </w:rPr>
        <w:t> </w:t>
      </w:r>
      <w:r>
        <w:rPr>
          <w:rFonts w:ascii="Arial" w:hAnsi="Arial"/>
          <w:i/>
          <w:sz w:val="20"/>
          <w:vertAlign w:val="baseline"/>
        </w:rPr>
        <w:t>[2013]</w:t>
      </w:r>
      <w:r>
        <w:rPr>
          <w:rFonts w:ascii="Arial" w:hAnsi="Arial"/>
          <w:i/>
          <w:spacing w:val="1"/>
          <w:sz w:val="20"/>
          <w:vertAlign w:val="baseline"/>
        </w:rPr>
        <w:t> </w:t>
      </w:r>
      <w:r>
        <w:rPr>
          <w:rFonts w:ascii="Arial" w:hAnsi="Arial"/>
          <w:i/>
          <w:sz w:val="20"/>
          <w:vertAlign w:val="baseline"/>
        </w:rPr>
        <w:t>UKPC</w:t>
      </w:r>
      <w:r>
        <w:rPr>
          <w:rFonts w:ascii="Arial" w:hAnsi="Arial"/>
          <w:i/>
          <w:spacing w:val="2"/>
          <w:sz w:val="20"/>
          <w:vertAlign w:val="baseline"/>
        </w:rPr>
        <w:t> </w:t>
      </w:r>
      <w:r>
        <w:rPr>
          <w:rFonts w:ascii="Arial" w:hAnsi="Arial"/>
          <w:i/>
          <w:spacing w:val="-5"/>
          <w:sz w:val="20"/>
          <w:vertAlign w:val="baseline"/>
        </w:rPr>
        <w:t>2</w:t>
      </w:r>
      <w:r>
        <w:rPr>
          <w:spacing w:val="-5"/>
          <w:sz w:val="20"/>
          <w:vertAlign w:val="baseline"/>
        </w:rPr>
        <w:t>.</w:t>
      </w:r>
    </w:p>
    <w:p>
      <w:pPr>
        <w:pStyle w:val="BodyText"/>
        <w:spacing w:before="125"/>
      </w:pPr>
    </w:p>
    <w:p>
      <w:pPr>
        <w:spacing w:line="227" w:lineRule="exact" w:before="0"/>
        <w:ind w:left="165" w:right="0" w:firstLine="0"/>
        <w:jc w:val="left"/>
        <w:rPr>
          <w:sz w:val="20"/>
        </w:rPr>
      </w:pPr>
      <w:bookmarkStart w:name="_bookmark2578" w:id="2580"/>
      <w:bookmarkEnd w:id="2580"/>
      <w:r>
        <w:rPr/>
      </w:r>
      <w:hyperlink w:history="true" w:anchor="_bookmark2537">
        <w:r>
          <w:rPr>
            <w:color w:val="005DA1"/>
            <w:sz w:val="20"/>
            <w:u w:val="single" w:color="005DA1"/>
            <w:vertAlign w:val="superscript"/>
          </w:rPr>
          <w:t>1337</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248" name="Image 1248"/>
            <wp:cNvGraphicFramePr>
              <a:graphicFrameLocks/>
            </wp:cNvGraphicFramePr>
            <a:graphic>
              <a:graphicData uri="http://schemas.openxmlformats.org/drawingml/2006/picture">
                <pic:pic>
                  <pic:nvPicPr>
                    <pic:cNvPr id="1248" name="Image 12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BICC</w:t>
      </w:r>
      <w:r>
        <w:rPr>
          <w:rFonts w:ascii="Arial" w:hAnsi="Arial"/>
          <w:i/>
          <w:spacing w:val="35"/>
          <w:sz w:val="20"/>
          <w:vertAlign w:val="baseline"/>
        </w:rPr>
        <w:t> </w:t>
      </w:r>
      <w:r>
        <w:rPr>
          <w:rFonts w:ascii="Arial" w:hAnsi="Arial"/>
          <w:i/>
          <w:sz w:val="20"/>
          <w:vertAlign w:val="baseline"/>
        </w:rPr>
        <w:t>Plc</w:t>
      </w:r>
      <w:r>
        <w:rPr>
          <w:rFonts w:ascii="Arial" w:hAnsi="Arial"/>
          <w:i/>
          <w:spacing w:val="34"/>
          <w:sz w:val="20"/>
          <w:vertAlign w:val="baseline"/>
        </w:rPr>
        <w:t> </w:t>
      </w:r>
      <w:r>
        <w:rPr>
          <w:rFonts w:ascii="Arial" w:hAnsi="Arial"/>
          <w:i/>
          <w:sz w:val="20"/>
          <w:vertAlign w:val="baseline"/>
        </w:rPr>
        <w:t>v</w:t>
      </w:r>
      <w:r>
        <w:rPr>
          <w:rFonts w:ascii="Arial" w:hAnsi="Arial"/>
          <w:i/>
          <w:spacing w:val="34"/>
          <w:sz w:val="20"/>
          <w:vertAlign w:val="baseline"/>
        </w:rPr>
        <w:t> </w:t>
      </w:r>
      <w:r>
        <w:rPr>
          <w:rFonts w:ascii="Arial" w:hAnsi="Arial"/>
          <w:i/>
          <w:sz w:val="20"/>
          <w:vertAlign w:val="baseline"/>
        </w:rPr>
        <w:t>Burndy</w:t>
      </w:r>
      <w:r>
        <w:rPr>
          <w:rFonts w:ascii="Arial" w:hAnsi="Arial"/>
          <w:i/>
          <w:spacing w:val="34"/>
          <w:sz w:val="20"/>
          <w:vertAlign w:val="baseline"/>
        </w:rPr>
        <w:t> </w:t>
      </w:r>
      <w:r>
        <w:rPr>
          <w:rFonts w:ascii="Arial" w:hAnsi="Arial"/>
          <w:i/>
          <w:sz w:val="20"/>
          <w:vertAlign w:val="baseline"/>
        </w:rPr>
        <w:t>Corp</w:t>
      </w:r>
      <w:r>
        <w:rPr>
          <w:rFonts w:ascii="Arial" w:hAnsi="Arial"/>
          <w:i/>
          <w:spacing w:val="35"/>
          <w:sz w:val="20"/>
          <w:vertAlign w:val="baseline"/>
        </w:rPr>
        <w:t> </w:t>
      </w:r>
      <w:r>
        <w:rPr>
          <w:rFonts w:ascii="Arial" w:hAnsi="Arial"/>
          <w:i/>
          <w:sz w:val="20"/>
          <w:vertAlign w:val="baseline"/>
        </w:rPr>
        <w:t>[1985]</w:t>
      </w:r>
      <w:r>
        <w:rPr>
          <w:rFonts w:ascii="Arial" w:hAnsi="Arial"/>
          <w:i/>
          <w:spacing w:val="34"/>
          <w:sz w:val="20"/>
          <w:vertAlign w:val="baseline"/>
        </w:rPr>
        <w:t> </w:t>
      </w:r>
      <w:r>
        <w:rPr>
          <w:rFonts w:ascii="Arial" w:hAnsi="Arial"/>
          <w:i/>
          <w:sz w:val="20"/>
          <w:vertAlign w:val="baseline"/>
        </w:rPr>
        <w:t>Ch.</w:t>
      </w:r>
      <w:r>
        <w:rPr>
          <w:rFonts w:ascii="Arial" w:hAnsi="Arial"/>
          <w:i/>
          <w:spacing w:val="34"/>
          <w:sz w:val="20"/>
          <w:vertAlign w:val="baseline"/>
        </w:rPr>
        <w:t> </w:t>
      </w:r>
      <w:r>
        <w:rPr>
          <w:rFonts w:ascii="Arial" w:hAnsi="Arial"/>
          <w:i/>
          <w:sz w:val="20"/>
          <w:vertAlign w:val="baseline"/>
        </w:rPr>
        <w:t>232,</w:t>
      </w:r>
      <w:r>
        <w:rPr>
          <w:rFonts w:ascii="Arial" w:hAnsi="Arial"/>
          <w:i/>
          <w:spacing w:val="34"/>
          <w:sz w:val="20"/>
          <w:vertAlign w:val="baseline"/>
        </w:rPr>
        <w:t> </w:t>
      </w:r>
      <w:r>
        <w:rPr>
          <w:rFonts w:ascii="Arial" w:hAnsi="Arial"/>
          <w:i/>
          <w:sz w:val="20"/>
          <w:vertAlign w:val="baseline"/>
        </w:rPr>
        <w:t>251–252</w:t>
      </w:r>
      <w:r>
        <w:rPr>
          <w:sz w:val="20"/>
          <w:vertAlign w:val="baseline"/>
        </w:rPr>
        <w:t>.</w:t>
      </w:r>
      <w:r>
        <w:rPr>
          <w:spacing w:val="34"/>
          <w:sz w:val="20"/>
          <w:vertAlign w:val="baseline"/>
        </w:rPr>
        <w:t> </w:t>
      </w:r>
      <w:r>
        <w:rPr>
          <w:sz w:val="20"/>
          <w:vertAlign w:val="baseline"/>
        </w:rPr>
        <w:t>(The</w:t>
      </w:r>
      <w:r>
        <w:rPr>
          <w:spacing w:val="35"/>
          <w:sz w:val="20"/>
          <w:vertAlign w:val="baseline"/>
        </w:rPr>
        <w:t> </w:t>
      </w:r>
      <w:r>
        <w:rPr>
          <w:sz w:val="20"/>
          <w:vertAlign w:val="baseline"/>
        </w:rPr>
        <w:t>line</w:t>
      </w:r>
      <w:r>
        <w:rPr>
          <w:spacing w:val="34"/>
          <w:sz w:val="20"/>
          <w:vertAlign w:val="baseline"/>
        </w:rPr>
        <w:t> </w:t>
      </w:r>
      <w:r>
        <w:rPr>
          <w:sz w:val="20"/>
          <w:vertAlign w:val="baseline"/>
        </w:rPr>
        <w:t>drawn</w:t>
      </w:r>
      <w:r>
        <w:rPr>
          <w:spacing w:val="34"/>
          <w:sz w:val="20"/>
          <w:vertAlign w:val="baseline"/>
        </w:rPr>
        <w:t> </w:t>
      </w:r>
      <w:r>
        <w:rPr>
          <w:sz w:val="20"/>
          <w:vertAlign w:val="baseline"/>
        </w:rPr>
        <w:t>between</w:t>
      </w:r>
      <w:r>
        <w:rPr>
          <w:spacing w:val="34"/>
          <w:sz w:val="20"/>
          <w:vertAlign w:val="baseline"/>
        </w:rPr>
        <w:t> </w:t>
      </w:r>
      <w:r>
        <w:rPr>
          <w:sz w:val="20"/>
          <w:vertAlign w:val="baseline"/>
        </w:rPr>
        <w:t>this</w:t>
      </w:r>
      <w:r>
        <w:rPr>
          <w:spacing w:val="35"/>
          <w:sz w:val="20"/>
          <w:vertAlign w:val="baseline"/>
        </w:rPr>
        <w:t> </w:t>
      </w:r>
      <w:r>
        <w:rPr>
          <w:sz w:val="20"/>
          <w:vertAlign w:val="baseline"/>
        </w:rPr>
        <w:t>and</w:t>
      </w:r>
      <w:r>
        <w:rPr>
          <w:spacing w:val="34"/>
          <w:sz w:val="20"/>
          <w:vertAlign w:val="baseline"/>
        </w:rPr>
        <w:t> </w:t>
      </w:r>
      <w:r>
        <w:rPr>
          <w:spacing w:val="-5"/>
          <w:sz w:val="20"/>
          <w:vertAlign w:val="baseline"/>
        </w:rPr>
        <w:t>the</w:t>
      </w:r>
    </w:p>
    <w:p>
      <w:pPr>
        <w:spacing w:line="227" w:lineRule="exact" w:before="0"/>
        <w:ind w:left="705" w:right="0" w:firstLine="0"/>
        <w:jc w:val="left"/>
        <w:rPr>
          <w:sz w:val="20"/>
        </w:rPr>
      </w:pPr>
      <w:r>
        <w:rPr>
          <w:rFonts w:ascii="Arial"/>
          <w:i/>
          <w:sz w:val="20"/>
        </w:rPr>
        <w:t>Sport Internationaal case [1984] 1 W.L.R. 776</w:t>
      </w:r>
      <w:r>
        <w:rPr>
          <w:rFonts w:ascii="Arial"/>
          <w:i/>
          <w:spacing w:val="-1"/>
          <w:sz w:val="20"/>
        </w:rPr>
        <w:t> </w:t>
      </w:r>
      <w:r>
        <w:rPr>
          <w:sz w:val="20"/>
        </w:rPr>
        <w:t>is not justifiable in commercial </w:t>
      </w:r>
      <w:r>
        <w:rPr>
          <w:spacing w:val="-2"/>
          <w:sz w:val="20"/>
        </w:rPr>
        <w:t>terms.)</w:t>
      </w:r>
    </w:p>
    <w:p>
      <w:pPr>
        <w:pStyle w:val="BodyText"/>
        <w:spacing w:before="125"/>
      </w:pPr>
    </w:p>
    <w:p>
      <w:pPr>
        <w:spacing w:before="0"/>
        <w:ind w:left="165" w:right="0" w:firstLine="0"/>
        <w:jc w:val="left"/>
        <w:rPr>
          <w:sz w:val="20"/>
        </w:rPr>
      </w:pPr>
      <w:bookmarkStart w:name="_bookmark2579" w:id="2581"/>
      <w:bookmarkEnd w:id="2581"/>
      <w:r>
        <w:rPr/>
      </w:r>
      <w:hyperlink w:history="true" w:anchor="_bookmark2538">
        <w:r>
          <w:rPr>
            <w:color w:val="005DA1"/>
            <w:sz w:val="20"/>
            <w:u w:val="single" w:color="005DA1"/>
            <w:vertAlign w:val="superscript"/>
          </w:rPr>
          <w:t>1338</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249" name="Image 1249"/>
            <wp:cNvGraphicFramePr>
              <a:graphicFrameLocks/>
            </wp:cNvGraphicFramePr>
            <a:graphic>
              <a:graphicData uri="http://schemas.openxmlformats.org/drawingml/2006/picture">
                <pic:pic>
                  <pic:nvPicPr>
                    <pic:cNvPr id="1249" name="Image 12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On</w:t>
      </w:r>
      <w:r>
        <w:rPr>
          <w:rFonts w:ascii="Arial"/>
          <w:i/>
          <w:spacing w:val="3"/>
          <w:sz w:val="20"/>
          <w:vertAlign w:val="baseline"/>
        </w:rPr>
        <w:t> </w:t>
      </w:r>
      <w:r>
        <w:rPr>
          <w:rFonts w:ascii="Arial"/>
          <w:i/>
          <w:sz w:val="20"/>
          <w:vertAlign w:val="baseline"/>
        </w:rPr>
        <w:t>Demand</w:t>
      </w:r>
      <w:r>
        <w:rPr>
          <w:rFonts w:ascii="Arial"/>
          <w:i/>
          <w:spacing w:val="1"/>
          <w:sz w:val="20"/>
          <w:vertAlign w:val="baseline"/>
        </w:rPr>
        <w:t> </w:t>
      </w:r>
      <w:r>
        <w:rPr>
          <w:rFonts w:ascii="Arial"/>
          <w:i/>
          <w:sz w:val="20"/>
          <w:vertAlign w:val="baseline"/>
        </w:rPr>
        <w:t>Information</w:t>
      </w:r>
      <w:r>
        <w:rPr>
          <w:rFonts w:ascii="Arial"/>
          <w:i/>
          <w:spacing w:val="2"/>
          <w:sz w:val="20"/>
          <w:vertAlign w:val="baseline"/>
        </w:rPr>
        <w:t> </w:t>
      </w:r>
      <w:r>
        <w:rPr>
          <w:rFonts w:ascii="Arial"/>
          <w:i/>
          <w:sz w:val="20"/>
          <w:vertAlign w:val="baseline"/>
        </w:rPr>
        <w:t>Plc</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Michael</w:t>
      </w:r>
      <w:r>
        <w:rPr>
          <w:rFonts w:ascii="Arial"/>
          <w:i/>
          <w:spacing w:val="1"/>
          <w:sz w:val="20"/>
          <w:vertAlign w:val="baseline"/>
        </w:rPr>
        <w:t> </w:t>
      </w:r>
      <w:r>
        <w:rPr>
          <w:rFonts w:ascii="Arial"/>
          <w:i/>
          <w:sz w:val="20"/>
          <w:vertAlign w:val="baseline"/>
        </w:rPr>
        <w:t>Gerson</w:t>
      </w:r>
      <w:r>
        <w:rPr>
          <w:rFonts w:ascii="Arial"/>
          <w:i/>
          <w:spacing w:val="2"/>
          <w:sz w:val="20"/>
          <w:vertAlign w:val="baseline"/>
        </w:rPr>
        <w:t> </w:t>
      </w:r>
      <w:r>
        <w:rPr>
          <w:rFonts w:ascii="Arial"/>
          <w:i/>
          <w:sz w:val="20"/>
          <w:vertAlign w:val="baseline"/>
        </w:rPr>
        <w:t>(Finance)</w:t>
      </w:r>
      <w:r>
        <w:rPr>
          <w:rFonts w:ascii="Arial"/>
          <w:i/>
          <w:spacing w:val="1"/>
          <w:sz w:val="20"/>
          <w:vertAlign w:val="baseline"/>
        </w:rPr>
        <w:t> </w:t>
      </w:r>
      <w:r>
        <w:rPr>
          <w:rFonts w:ascii="Arial"/>
          <w:i/>
          <w:sz w:val="20"/>
          <w:vertAlign w:val="baseline"/>
        </w:rPr>
        <w:t>Plc</w:t>
      </w:r>
      <w:r>
        <w:rPr>
          <w:rFonts w:ascii="Arial"/>
          <w:i/>
          <w:spacing w:val="2"/>
          <w:sz w:val="20"/>
          <w:vertAlign w:val="baseline"/>
        </w:rPr>
        <w:t> </w:t>
      </w:r>
      <w:r>
        <w:rPr>
          <w:rFonts w:ascii="Arial"/>
          <w:i/>
          <w:sz w:val="20"/>
          <w:vertAlign w:val="baseline"/>
        </w:rPr>
        <w:t>[2002]</w:t>
      </w:r>
      <w:r>
        <w:rPr>
          <w:rFonts w:ascii="Arial"/>
          <w:i/>
          <w:spacing w:val="1"/>
          <w:sz w:val="20"/>
          <w:vertAlign w:val="baseline"/>
        </w:rPr>
        <w:t> </w:t>
      </w:r>
      <w:r>
        <w:rPr>
          <w:rFonts w:ascii="Arial"/>
          <w:i/>
          <w:sz w:val="20"/>
          <w:vertAlign w:val="baseline"/>
        </w:rPr>
        <w:t>UKHL</w:t>
      </w:r>
      <w:r>
        <w:rPr>
          <w:rFonts w:ascii="Arial"/>
          <w:i/>
          <w:spacing w:val="2"/>
          <w:sz w:val="20"/>
          <w:vertAlign w:val="baseline"/>
        </w:rPr>
        <w:t> </w:t>
      </w:r>
      <w:r>
        <w:rPr>
          <w:rFonts w:ascii="Arial"/>
          <w:i/>
          <w:spacing w:val="-5"/>
          <w:sz w:val="20"/>
          <w:vertAlign w:val="baseline"/>
        </w:rPr>
        <w:t>13</w:t>
      </w:r>
      <w:r>
        <w:rPr>
          <w:spacing w:val="-5"/>
          <w:sz w:val="20"/>
          <w:vertAlign w:val="baseline"/>
        </w:rPr>
        <w:t>.</w:t>
      </w:r>
    </w:p>
    <w:p>
      <w:pPr>
        <w:pStyle w:val="BodyText"/>
        <w:spacing w:before="128"/>
      </w:pPr>
    </w:p>
    <w:p>
      <w:pPr>
        <w:spacing w:line="235" w:lineRule="auto" w:before="1"/>
        <w:ind w:left="705" w:right="168" w:hanging="541"/>
        <w:jc w:val="both"/>
        <w:rPr>
          <w:rFonts w:ascii="Arial" w:hAnsi="Arial"/>
          <w:i/>
          <w:sz w:val="20"/>
        </w:rPr>
      </w:pPr>
      <w:bookmarkStart w:name="_bookmark2580" w:id="2582"/>
      <w:bookmarkEnd w:id="2582"/>
      <w:r>
        <w:rPr/>
      </w:r>
      <w:hyperlink w:history="true" w:anchor="_bookmark2539">
        <w:r>
          <w:rPr>
            <w:color w:val="005DA1"/>
            <w:sz w:val="20"/>
            <w:u w:val="single" w:color="005DA1"/>
            <w:vertAlign w:val="superscript"/>
          </w:rPr>
          <w:t>1339</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50" name="Image 1250"/>
            <wp:cNvGraphicFramePr>
              <a:graphicFrameLocks/>
            </wp:cNvGraphicFramePr>
            <a:graphic>
              <a:graphicData uri="http://schemas.openxmlformats.org/drawingml/2006/picture">
                <pic:pic>
                  <pic:nvPicPr>
                    <pic:cNvPr id="1250" name="Image 12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Dies</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British</w:t>
      </w:r>
      <w:r>
        <w:rPr>
          <w:rFonts w:ascii="Arial" w:hAnsi="Arial"/>
          <w:i/>
          <w:spacing w:val="40"/>
          <w:sz w:val="20"/>
          <w:vertAlign w:val="baseline"/>
        </w:rPr>
        <w:t> </w:t>
      </w:r>
      <w:r>
        <w:rPr>
          <w:rFonts w:ascii="Arial" w:hAnsi="Arial"/>
          <w:i/>
          <w:sz w:val="20"/>
          <w:vertAlign w:val="baseline"/>
        </w:rPr>
        <w:t>and</w:t>
      </w:r>
      <w:r>
        <w:rPr>
          <w:rFonts w:ascii="Arial" w:hAnsi="Arial"/>
          <w:i/>
          <w:spacing w:val="40"/>
          <w:sz w:val="20"/>
          <w:vertAlign w:val="baseline"/>
        </w:rPr>
        <w:t> </w:t>
      </w:r>
      <w:r>
        <w:rPr>
          <w:rFonts w:ascii="Arial" w:hAnsi="Arial"/>
          <w:i/>
          <w:sz w:val="20"/>
          <w:vertAlign w:val="baseline"/>
        </w:rPr>
        <w:t>International</w:t>
      </w:r>
      <w:r>
        <w:rPr>
          <w:rFonts w:ascii="Arial" w:hAnsi="Arial"/>
          <w:i/>
          <w:spacing w:val="40"/>
          <w:sz w:val="20"/>
          <w:vertAlign w:val="baseline"/>
        </w:rPr>
        <w:t> </w:t>
      </w:r>
      <w:r>
        <w:rPr>
          <w:rFonts w:ascii="Arial" w:hAnsi="Arial"/>
          <w:i/>
          <w:sz w:val="20"/>
          <w:vertAlign w:val="baseline"/>
        </w:rPr>
        <w:t>Mining</w:t>
      </w:r>
      <w:r>
        <w:rPr>
          <w:rFonts w:ascii="Arial" w:hAnsi="Arial"/>
          <w:i/>
          <w:spacing w:val="40"/>
          <w:sz w:val="20"/>
          <w:vertAlign w:val="baseline"/>
        </w:rPr>
        <w:t> </w:t>
      </w:r>
      <w:r>
        <w:rPr>
          <w:rFonts w:ascii="Arial" w:hAnsi="Arial"/>
          <w:i/>
          <w:sz w:val="20"/>
          <w:vertAlign w:val="baseline"/>
        </w:rPr>
        <w:t>and</w:t>
      </w:r>
      <w:r>
        <w:rPr>
          <w:rFonts w:ascii="Arial" w:hAnsi="Arial"/>
          <w:i/>
          <w:spacing w:val="40"/>
          <w:sz w:val="20"/>
          <w:vertAlign w:val="baseline"/>
        </w:rPr>
        <w:t> </w:t>
      </w:r>
      <w:r>
        <w:rPr>
          <w:rFonts w:ascii="Arial" w:hAnsi="Arial"/>
          <w:i/>
          <w:sz w:val="20"/>
          <w:vertAlign w:val="baseline"/>
        </w:rPr>
        <w:t>Finance</w:t>
      </w:r>
      <w:r>
        <w:rPr>
          <w:rFonts w:ascii="Arial" w:hAnsi="Arial"/>
          <w:i/>
          <w:spacing w:val="40"/>
          <w:sz w:val="20"/>
          <w:vertAlign w:val="baseline"/>
        </w:rPr>
        <w:t> </w:t>
      </w:r>
      <w:r>
        <w:rPr>
          <w:rFonts w:ascii="Arial" w:hAnsi="Arial"/>
          <w:i/>
          <w:sz w:val="20"/>
          <w:vertAlign w:val="baseline"/>
        </w:rPr>
        <w:t>Corp</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[1939]</w:t>
      </w:r>
      <w:r>
        <w:rPr>
          <w:rFonts w:ascii="Arial" w:hAnsi="Arial"/>
          <w:i/>
          <w:spacing w:val="40"/>
          <w:sz w:val="20"/>
          <w:vertAlign w:val="baseline"/>
        </w:rPr>
        <w:t> </w:t>
      </w:r>
      <w:r>
        <w:rPr>
          <w:rFonts w:ascii="Arial" w:hAnsi="Arial"/>
          <w:i/>
          <w:sz w:val="20"/>
          <w:vertAlign w:val="baseline"/>
        </w:rPr>
        <w:t>1</w:t>
      </w:r>
      <w:r>
        <w:rPr>
          <w:rFonts w:ascii="Arial" w:hAnsi="Arial"/>
          <w:i/>
          <w:spacing w:val="40"/>
          <w:sz w:val="20"/>
          <w:vertAlign w:val="baseline"/>
        </w:rPr>
        <w:t> </w:t>
      </w:r>
      <w:r>
        <w:rPr>
          <w:rFonts w:ascii="Arial" w:hAnsi="Arial"/>
          <w:i/>
          <w:sz w:val="20"/>
          <w:vertAlign w:val="baseline"/>
        </w:rPr>
        <w:t>K.B.</w:t>
      </w:r>
      <w:r>
        <w:rPr>
          <w:rFonts w:ascii="Arial" w:hAnsi="Arial"/>
          <w:i/>
          <w:spacing w:val="40"/>
          <w:sz w:val="20"/>
          <w:vertAlign w:val="baseline"/>
        </w:rPr>
        <w:t> </w:t>
      </w:r>
      <w:r>
        <w:rPr>
          <w:rFonts w:ascii="Arial" w:hAnsi="Arial"/>
          <w:i/>
          <w:sz w:val="20"/>
          <w:vertAlign w:val="baseline"/>
        </w:rPr>
        <w:t>724 </w:t>
      </w:r>
      <w:r>
        <w:rPr>
          <w:sz w:val="20"/>
          <w:vertAlign w:val="baseline"/>
        </w:rPr>
        <w:t>(sale</w:t>
      </w:r>
      <w:r>
        <w:rPr>
          <w:spacing w:val="40"/>
          <w:sz w:val="20"/>
          <w:vertAlign w:val="baseline"/>
        </w:rPr>
        <w:t> </w:t>
      </w:r>
      <w:r>
        <w:rPr>
          <w:sz w:val="20"/>
          <w:vertAlign w:val="baseline"/>
        </w:rPr>
        <w:t>of goods);</w:t>
      </w:r>
      <w:r>
        <w:rPr>
          <w:spacing w:val="13"/>
          <w:sz w:val="20"/>
          <w:vertAlign w:val="baseline"/>
        </w:rPr>
        <w:t> </w:t>
      </w:r>
      <w:r>
        <w:rPr>
          <w:rFonts w:ascii="Arial" w:hAnsi="Arial"/>
          <w:i/>
          <w:sz w:val="20"/>
          <w:vertAlign w:val="baseline"/>
        </w:rPr>
        <w:t>Stockloser</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Johnson</w:t>
      </w:r>
      <w:r>
        <w:rPr>
          <w:rFonts w:ascii="Arial" w:hAnsi="Arial"/>
          <w:i/>
          <w:spacing w:val="16"/>
          <w:sz w:val="20"/>
          <w:vertAlign w:val="baseline"/>
        </w:rPr>
        <w:t> </w:t>
      </w:r>
      <w:r>
        <w:rPr>
          <w:rFonts w:ascii="Arial" w:hAnsi="Arial"/>
          <w:i/>
          <w:sz w:val="20"/>
          <w:vertAlign w:val="baseline"/>
        </w:rPr>
        <w:t>[1954]</w:t>
      </w:r>
      <w:r>
        <w:rPr>
          <w:rFonts w:ascii="Arial" w:hAnsi="Arial"/>
          <w:i/>
          <w:spacing w:val="16"/>
          <w:sz w:val="20"/>
          <w:vertAlign w:val="baseline"/>
        </w:rPr>
        <w:t> </w:t>
      </w:r>
      <w:r>
        <w:rPr>
          <w:rFonts w:ascii="Arial" w:hAnsi="Arial"/>
          <w:i/>
          <w:sz w:val="20"/>
          <w:vertAlign w:val="baseline"/>
        </w:rPr>
        <w:t>1</w:t>
      </w:r>
      <w:r>
        <w:rPr>
          <w:rFonts w:ascii="Arial" w:hAnsi="Arial"/>
          <w:i/>
          <w:spacing w:val="16"/>
          <w:sz w:val="20"/>
          <w:vertAlign w:val="baseline"/>
        </w:rPr>
        <w:t> </w:t>
      </w:r>
      <w:r>
        <w:rPr>
          <w:rFonts w:ascii="Arial" w:hAnsi="Arial"/>
          <w:i/>
          <w:sz w:val="20"/>
          <w:vertAlign w:val="baseline"/>
        </w:rPr>
        <w:t>Q.B.</w:t>
      </w:r>
      <w:r>
        <w:rPr>
          <w:rFonts w:ascii="Arial" w:hAnsi="Arial"/>
          <w:i/>
          <w:spacing w:val="16"/>
          <w:sz w:val="20"/>
          <w:vertAlign w:val="baseline"/>
        </w:rPr>
        <w:t> </w:t>
      </w:r>
      <w:r>
        <w:rPr>
          <w:rFonts w:ascii="Arial" w:hAnsi="Arial"/>
          <w:i/>
          <w:sz w:val="20"/>
          <w:vertAlign w:val="baseline"/>
        </w:rPr>
        <w:t>476,</w:t>
      </w:r>
      <w:r>
        <w:rPr>
          <w:rFonts w:ascii="Arial" w:hAnsi="Arial"/>
          <w:i/>
          <w:spacing w:val="16"/>
          <w:sz w:val="20"/>
          <w:vertAlign w:val="baseline"/>
        </w:rPr>
        <w:t> </w:t>
      </w:r>
      <w:r>
        <w:rPr>
          <w:rFonts w:ascii="Arial" w:hAnsi="Arial"/>
          <w:i/>
          <w:sz w:val="20"/>
          <w:vertAlign w:val="baseline"/>
        </w:rPr>
        <w:t>483,</w:t>
      </w:r>
      <w:r>
        <w:rPr>
          <w:rFonts w:ascii="Arial" w:hAnsi="Arial"/>
          <w:i/>
          <w:spacing w:val="16"/>
          <w:sz w:val="20"/>
          <w:vertAlign w:val="baseline"/>
        </w:rPr>
        <w:t> </w:t>
      </w:r>
      <w:r>
        <w:rPr>
          <w:rFonts w:ascii="Arial" w:hAnsi="Arial"/>
          <w:i/>
          <w:sz w:val="20"/>
          <w:vertAlign w:val="baseline"/>
        </w:rPr>
        <w:t>489–490</w:t>
      </w:r>
      <w:r>
        <w:rPr>
          <w:sz w:val="20"/>
          <w:vertAlign w:val="baseline"/>
        </w:rPr>
        <w:t>;</w:t>
      </w:r>
      <w:r>
        <w:rPr>
          <w:spacing w:val="16"/>
          <w:sz w:val="20"/>
          <w:vertAlign w:val="baseline"/>
        </w:rPr>
        <w:t> </w:t>
      </w:r>
      <w:r>
        <w:rPr>
          <w:rFonts w:ascii="Arial" w:hAnsi="Arial"/>
          <w:i/>
          <w:sz w:val="20"/>
          <w:vertAlign w:val="baseline"/>
        </w:rPr>
        <w:t>Mayson</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Clouet</w:t>
      </w:r>
      <w:r>
        <w:rPr>
          <w:rFonts w:ascii="Arial" w:hAnsi="Arial"/>
          <w:i/>
          <w:spacing w:val="16"/>
          <w:sz w:val="20"/>
          <w:vertAlign w:val="baseline"/>
        </w:rPr>
        <w:t> </w:t>
      </w:r>
      <w:r>
        <w:rPr>
          <w:rFonts w:ascii="Arial" w:hAnsi="Arial"/>
          <w:i/>
          <w:sz w:val="20"/>
          <w:vertAlign w:val="baseline"/>
        </w:rPr>
        <w:t>[1924]</w:t>
      </w:r>
      <w:r>
        <w:rPr>
          <w:rFonts w:ascii="Arial" w:hAnsi="Arial"/>
          <w:i/>
          <w:spacing w:val="16"/>
          <w:sz w:val="20"/>
          <w:vertAlign w:val="baseline"/>
        </w:rPr>
        <w:t> </w:t>
      </w:r>
      <w:r>
        <w:rPr>
          <w:rFonts w:ascii="Arial" w:hAnsi="Arial"/>
          <w:i/>
          <w:spacing w:val="-4"/>
          <w:sz w:val="20"/>
          <w:vertAlign w:val="baseline"/>
        </w:rPr>
        <w:t>A.C.</w:t>
      </w:r>
    </w:p>
    <w:p>
      <w:pPr>
        <w:spacing w:line="225" w:lineRule="exact" w:before="0"/>
        <w:ind w:left="705" w:right="0" w:firstLine="0"/>
        <w:jc w:val="left"/>
        <w:rPr>
          <w:sz w:val="20"/>
        </w:rPr>
      </w:pPr>
      <w:r>
        <w:rPr>
          <w:rFonts w:ascii="Arial"/>
          <w:i/>
          <w:sz w:val="20"/>
        </w:rPr>
        <w:t>980</w:t>
      </w:r>
      <w:r>
        <w:rPr>
          <w:rFonts w:ascii="Arial"/>
          <w:i/>
          <w:spacing w:val="-1"/>
          <w:sz w:val="20"/>
        </w:rPr>
        <w:t> </w:t>
      </w:r>
      <w:r>
        <w:rPr>
          <w:sz w:val="20"/>
        </w:rPr>
        <w:t>(sale of land);</w:t>
      </w:r>
      <w:r>
        <w:rPr>
          <w:spacing w:val="-1"/>
          <w:sz w:val="20"/>
        </w:rPr>
        <w:t> </w:t>
      </w:r>
      <w:r>
        <w:rPr>
          <w:rFonts w:ascii="Arial"/>
          <w:i/>
          <w:sz w:val="20"/>
        </w:rPr>
        <w:t>Galbraith v Mitchenall Estates Ltd [1965] 2 Q.B. </w:t>
      </w:r>
      <w:r>
        <w:rPr>
          <w:rFonts w:ascii="Arial"/>
          <w:i/>
          <w:spacing w:val="-4"/>
          <w:sz w:val="20"/>
        </w:rPr>
        <w:t>473</w:t>
      </w:r>
      <w:r>
        <w:rPr>
          <w:spacing w:val="-4"/>
          <w:sz w:val="20"/>
        </w:rPr>
        <w:t>.</w:t>
      </w:r>
    </w:p>
    <w:p>
      <w:pPr>
        <w:pStyle w:val="BodyText"/>
        <w:spacing w:before="124"/>
      </w:pPr>
    </w:p>
    <w:p>
      <w:pPr>
        <w:pStyle w:val="BodyText"/>
        <w:spacing w:before="1"/>
        <w:ind w:left="165"/>
      </w:pPr>
      <w:bookmarkStart w:name="_bookmark2581" w:id="2583"/>
      <w:bookmarkEnd w:id="2583"/>
      <w:r>
        <w:rPr/>
      </w:r>
      <w:hyperlink w:history="true" w:anchor="_bookmark2540">
        <w:r>
          <w:rPr>
            <w:color w:val="005DA1"/>
            <w:u w:val="single" w:color="005DA1"/>
            <w:vertAlign w:val="superscript"/>
          </w:rPr>
          <w:t>1340</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251" name="Image 1251"/>
            <wp:cNvGraphicFramePr>
              <a:graphicFrameLocks/>
            </wp:cNvGraphicFramePr>
            <a:graphic>
              <a:graphicData uri="http://schemas.openxmlformats.org/drawingml/2006/picture">
                <pic:pic>
                  <pic:nvPicPr>
                    <pic:cNvPr id="1251" name="Image 125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4"/>
          <w:vertAlign w:val="baseline"/>
        </w:rPr>
        <w:t> </w:t>
      </w:r>
      <w:r>
        <w:rPr>
          <w:vertAlign w:val="baseline"/>
        </w:rPr>
        <w:t>above,</w:t>
      </w:r>
      <w:r>
        <w:rPr>
          <w:spacing w:val="4"/>
          <w:vertAlign w:val="baseline"/>
        </w:rPr>
        <w:t> </w:t>
      </w:r>
      <w:r>
        <w:rPr>
          <w:vertAlign w:val="baseline"/>
        </w:rPr>
        <w:t>para.26-</w:t>
      </w:r>
      <w:r>
        <w:rPr>
          <w:spacing w:val="-2"/>
          <w:vertAlign w:val="baseline"/>
        </w:rPr>
        <w:t>216Q.</w:t>
      </w:r>
    </w:p>
    <w:p>
      <w:pPr>
        <w:pStyle w:val="BodyText"/>
        <w:spacing w:before="124"/>
      </w:pPr>
    </w:p>
    <w:p>
      <w:pPr>
        <w:spacing w:before="1"/>
        <w:ind w:left="165" w:right="0" w:firstLine="0"/>
        <w:jc w:val="left"/>
        <w:rPr>
          <w:sz w:val="20"/>
        </w:rPr>
      </w:pPr>
      <w:bookmarkStart w:name="_bookmark2582" w:id="2584"/>
      <w:bookmarkEnd w:id="2584"/>
      <w:r>
        <w:rPr/>
      </w:r>
      <w:hyperlink w:history="true" w:anchor="_bookmark2541">
        <w:r>
          <w:rPr>
            <w:color w:val="005DA1"/>
            <w:sz w:val="20"/>
            <w:u w:val="single" w:color="005DA1"/>
            <w:vertAlign w:val="superscript"/>
          </w:rPr>
          <w:t>1341</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252" name="Image 1252"/>
            <wp:cNvGraphicFramePr>
              <a:graphicFrameLocks/>
            </wp:cNvGraphicFramePr>
            <a:graphic>
              <a:graphicData uri="http://schemas.openxmlformats.org/drawingml/2006/picture">
                <pic:pic>
                  <pic:nvPicPr>
                    <pic:cNvPr id="1252" name="Image 125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On</w:t>
      </w:r>
      <w:r>
        <w:rPr>
          <w:rFonts w:ascii="Arial"/>
          <w:i/>
          <w:spacing w:val="3"/>
          <w:sz w:val="20"/>
          <w:vertAlign w:val="baseline"/>
        </w:rPr>
        <w:t> </w:t>
      </w:r>
      <w:r>
        <w:rPr>
          <w:rFonts w:ascii="Arial"/>
          <w:i/>
          <w:sz w:val="20"/>
          <w:vertAlign w:val="baseline"/>
        </w:rPr>
        <w:t>Demand</w:t>
      </w:r>
      <w:r>
        <w:rPr>
          <w:rFonts w:ascii="Arial"/>
          <w:i/>
          <w:spacing w:val="1"/>
          <w:sz w:val="20"/>
          <w:vertAlign w:val="baseline"/>
        </w:rPr>
        <w:t> </w:t>
      </w:r>
      <w:r>
        <w:rPr>
          <w:rFonts w:ascii="Arial"/>
          <w:i/>
          <w:sz w:val="20"/>
          <w:vertAlign w:val="baseline"/>
        </w:rPr>
        <w:t>Information</w:t>
      </w:r>
      <w:r>
        <w:rPr>
          <w:rFonts w:ascii="Arial"/>
          <w:i/>
          <w:spacing w:val="2"/>
          <w:sz w:val="20"/>
          <w:vertAlign w:val="baseline"/>
        </w:rPr>
        <w:t> </w:t>
      </w:r>
      <w:r>
        <w:rPr>
          <w:rFonts w:ascii="Arial"/>
          <w:i/>
          <w:sz w:val="20"/>
          <w:vertAlign w:val="baseline"/>
        </w:rPr>
        <w:t>Plc</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Michael</w:t>
      </w:r>
      <w:r>
        <w:rPr>
          <w:rFonts w:ascii="Arial"/>
          <w:i/>
          <w:spacing w:val="1"/>
          <w:sz w:val="20"/>
          <w:vertAlign w:val="baseline"/>
        </w:rPr>
        <w:t> </w:t>
      </w:r>
      <w:r>
        <w:rPr>
          <w:rFonts w:ascii="Arial"/>
          <w:i/>
          <w:sz w:val="20"/>
          <w:vertAlign w:val="baseline"/>
        </w:rPr>
        <w:t>Gerson</w:t>
      </w:r>
      <w:r>
        <w:rPr>
          <w:rFonts w:ascii="Arial"/>
          <w:i/>
          <w:spacing w:val="2"/>
          <w:sz w:val="20"/>
          <w:vertAlign w:val="baseline"/>
        </w:rPr>
        <w:t> </w:t>
      </w:r>
      <w:r>
        <w:rPr>
          <w:rFonts w:ascii="Arial"/>
          <w:i/>
          <w:sz w:val="20"/>
          <w:vertAlign w:val="baseline"/>
        </w:rPr>
        <w:t>(Finance)</w:t>
      </w:r>
      <w:r>
        <w:rPr>
          <w:rFonts w:ascii="Arial"/>
          <w:i/>
          <w:spacing w:val="1"/>
          <w:sz w:val="20"/>
          <w:vertAlign w:val="baseline"/>
        </w:rPr>
        <w:t> </w:t>
      </w:r>
      <w:r>
        <w:rPr>
          <w:rFonts w:ascii="Arial"/>
          <w:i/>
          <w:sz w:val="20"/>
          <w:vertAlign w:val="baseline"/>
        </w:rPr>
        <w:t>Plc</w:t>
      </w:r>
      <w:r>
        <w:rPr>
          <w:rFonts w:ascii="Arial"/>
          <w:i/>
          <w:spacing w:val="2"/>
          <w:sz w:val="20"/>
          <w:vertAlign w:val="baseline"/>
        </w:rPr>
        <w:t> </w:t>
      </w:r>
      <w:r>
        <w:rPr>
          <w:rFonts w:ascii="Arial"/>
          <w:i/>
          <w:sz w:val="20"/>
          <w:vertAlign w:val="baseline"/>
        </w:rPr>
        <w:t>[2002]</w:t>
      </w:r>
      <w:r>
        <w:rPr>
          <w:rFonts w:ascii="Arial"/>
          <w:i/>
          <w:spacing w:val="1"/>
          <w:sz w:val="20"/>
          <w:vertAlign w:val="baseline"/>
        </w:rPr>
        <w:t> </w:t>
      </w:r>
      <w:r>
        <w:rPr>
          <w:rFonts w:ascii="Arial"/>
          <w:i/>
          <w:sz w:val="20"/>
          <w:vertAlign w:val="baseline"/>
        </w:rPr>
        <w:t>UKHL</w:t>
      </w:r>
      <w:r>
        <w:rPr>
          <w:rFonts w:ascii="Arial"/>
          <w:i/>
          <w:spacing w:val="2"/>
          <w:sz w:val="20"/>
          <w:vertAlign w:val="baseline"/>
        </w:rPr>
        <w:t> </w:t>
      </w:r>
      <w:r>
        <w:rPr>
          <w:rFonts w:ascii="Arial"/>
          <w:i/>
          <w:spacing w:val="-5"/>
          <w:sz w:val="20"/>
          <w:vertAlign w:val="baseline"/>
        </w:rPr>
        <w:t>13</w:t>
      </w:r>
      <w:r>
        <w:rPr>
          <w:spacing w:val="-5"/>
          <w:sz w:val="20"/>
          <w:vertAlign w:val="baseline"/>
        </w:rPr>
        <w:t>.</w:t>
      </w:r>
    </w:p>
    <w:p>
      <w:pPr>
        <w:pStyle w:val="BodyText"/>
        <w:spacing w:before="124"/>
      </w:pPr>
    </w:p>
    <w:p>
      <w:pPr>
        <w:spacing w:before="1"/>
        <w:ind w:left="165" w:right="0" w:firstLine="0"/>
        <w:jc w:val="left"/>
        <w:rPr>
          <w:sz w:val="20"/>
        </w:rPr>
      </w:pPr>
      <w:bookmarkStart w:name="_bookmark2583" w:id="2585"/>
      <w:bookmarkEnd w:id="2585"/>
      <w:r>
        <w:rPr/>
      </w:r>
      <w:hyperlink w:history="true" w:anchor="_bookmark2542">
        <w:r>
          <w:rPr>
            <w:color w:val="005DA1"/>
            <w:sz w:val="20"/>
            <w:u w:val="single" w:color="005DA1"/>
            <w:vertAlign w:val="superscript"/>
          </w:rPr>
          <w:t>1342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253" name="Image 1253"/>
            <wp:cNvGraphicFramePr>
              <a:graphicFrameLocks/>
            </wp:cNvGraphicFramePr>
            <a:graphic>
              <a:graphicData uri="http://schemas.openxmlformats.org/drawingml/2006/picture">
                <pic:pic>
                  <pic:nvPicPr>
                    <pic:cNvPr id="1253" name="Image 125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[1954]</w:t>
      </w:r>
      <w:r>
        <w:rPr>
          <w:rFonts w:ascii="Arial"/>
          <w:i/>
          <w:spacing w:val="3"/>
          <w:sz w:val="20"/>
          <w:vertAlign w:val="baseline"/>
        </w:rPr>
        <w:t> </w:t>
      </w:r>
      <w:r>
        <w:rPr>
          <w:rFonts w:ascii="Arial"/>
          <w:i/>
          <w:sz w:val="20"/>
          <w:vertAlign w:val="baseline"/>
        </w:rPr>
        <w:t>1</w:t>
      </w:r>
      <w:r>
        <w:rPr>
          <w:rFonts w:ascii="Arial"/>
          <w:i/>
          <w:spacing w:val="3"/>
          <w:sz w:val="20"/>
          <w:vertAlign w:val="baseline"/>
        </w:rPr>
        <w:t> </w:t>
      </w:r>
      <w:r>
        <w:rPr>
          <w:rFonts w:ascii="Arial"/>
          <w:i/>
          <w:sz w:val="20"/>
          <w:vertAlign w:val="baseline"/>
        </w:rPr>
        <w:t>Q.B.</w:t>
      </w:r>
      <w:r>
        <w:rPr>
          <w:rFonts w:ascii="Arial"/>
          <w:i/>
          <w:spacing w:val="3"/>
          <w:sz w:val="20"/>
          <w:vertAlign w:val="baseline"/>
        </w:rPr>
        <w:t> </w:t>
      </w:r>
      <w:r>
        <w:rPr>
          <w:rFonts w:ascii="Arial"/>
          <w:i/>
          <w:sz w:val="20"/>
          <w:vertAlign w:val="baseline"/>
        </w:rPr>
        <w:t>476,</w:t>
      </w:r>
      <w:r>
        <w:rPr>
          <w:rFonts w:ascii="Arial"/>
          <w:i/>
          <w:spacing w:val="2"/>
          <w:sz w:val="20"/>
          <w:vertAlign w:val="baseline"/>
        </w:rPr>
        <w:t> </w:t>
      </w:r>
      <w:r>
        <w:rPr>
          <w:rFonts w:ascii="Arial"/>
          <w:i/>
          <w:sz w:val="20"/>
          <w:vertAlign w:val="baseline"/>
        </w:rPr>
        <w:t>484,</w:t>
      </w:r>
      <w:r>
        <w:rPr>
          <w:rFonts w:ascii="Arial"/>
          <w:i/>
          <w:spacing w:val="3"/>
          <w:sz w:val="20"/>
          <w:vertAlign w:val="baseline"/>
        </w:rPr>
        <w:t> </w:t>
      </w:r>
      <w:r>
        <w:rPr>
          <w:rFonts w:ascii="Arial"/>
          <w:i/>
          <w:spacing w:val="-4"/>
          <w:sz w:val="20"/>
          <w:vertAlign w:val="baseline"/>
        </w:rPr>
        <w:t>492</w:t>
      </w:r>
      <w:r>
        <w:rPr>
          <w:spacing w:val="-4"/>
          <w:sz w:val="20"/>
          <w:vertAlign w:val="baseline"/>
        </w:rPr>
        <w:t>.</w:t>
      </w:r>
    </w:p>
    <w:p>
      <w:pPr>
        <w:spacing w:after="0"/>
        <w:jc w:val="left"/>
        <w:rPr>
          <w:sz w:val="20"/>
        </w:rPr>
        <w:sectPr>
          <w:pgSz w:w="11900" w:h="16840"/>
          <w:pgMar w:header="971" w:footer="0" w:top="1300" w:bottom="280" w:left="1275" w:right="1275"/>
        </w:sectPr>
      </w:pPr>
    </w:p>
    <w:p>
      <w:pPr>
        <w:pStyle w:val="BodyText"/>
        <w:spacing w:before="56"/>
      </w:pPr>
    </w:p>
    <w:p>
      <w:pPr>
        <w:spacing w:before="0"/>
        <w:ind w:left="165" w:right="0" w:firstLine="0"/>
        <w:jc w:val="left"/>
        <w:rPr>
          <w:sz w:val="20"/>
        </w:rPr>
      </w:pPr>
      <w:hyperlink w:history="true" w:anchor="_bookmark2543">
        <w:r>
          <w:rPr>
            <w:color w:val="005DA1"/>
            <w:sz w:val="20"/>
            <w:u w:val="single" w:color="005DA1"/>
            <w:vertAlign w:val="superscript"/>
          </w:rPr>
          <w:t>1343</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254" name="Image 1254"/>
            <wp:cNvGraphicFramePr>
              <a:graphicFrameLocks/>
            </wp:cNvGraphicFramePr>
            <a:graphic>
              <a:graphicData uri="http://schemas.openxmlformats.org/drawingml/2006/picture">
                <pic:pic>
                  <pic:nvPicPr>
                    <pic:cNvPr id="1254" name="Image 125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1"/>
          <w:sz w:val="20"/>
          <w:vertAlign w:val="baseline"/>
        </w:rPr>
        <w:t> </w:t>
      </w:r>
      <w:r>
        <w:rPr>
          <w:rFonts w:ascii="Arial"/>
          <w:i/>
          <w:sz w:val="20"/>
          <w:vertAlign w:val="baseline"/>
        </w:rPr>
        <w:t>Galbraith</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Mitchenall</w:t>
      </w:r>
      <w:r>
        <w:rPr>
          <w:rFonts w:ascii="Arial"/>
          <w:i/>
          <w:spacing w:val="2"/>
          <w:sz w:val="20"/>
          <w:vertAlign w:val="baseline"/>
        </w:rPr>
        <w:t> </w:t>
      </w:r>
      <w:r>
        <w:rPr>
          <w:rFonts w:ascii="Arial"/>
          <w:i/>
          <w:sz w:val="20"/>
          <w:vertAlign w:val="baseline"/>
        </w:rPr>
        <w:t>Estates</w:t>
      </w:r>
      <w:r>
        <w:rPr>
          <w:rFonts w:ascii="Arial"/>
          <w:i/>
          <w:spacing w:val="2"/>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[1965]</w:t>
      </w:r>
      <w:r>
        <w:rPr>
          <w:rFonts w:ascii="Arial"/>
          <w:i/>
          <w:spacing w:val="2"/>
          <w:sz w:val="20"/>
          <w:vertAlign w:val="baseline"/>
        </w:rPr>
        <w:t> </w:t>
      </w:r>
      <w:r>
        <w:rPr>
          <w:rFonts w:ascii="Arial"/>
          <w:i/>
          <w:sz w:val="20"/>
          <w:vertAlign w:val="baseline"/>
        </w:rPr>
        <w:t>2</w:t>
      </w:r>
      <w:r>
        <w:rPr>
          <w:rFonts w:ascii="Arial"/>
          <w:i/>
          <w:spacing w:val="2"/>
          <w:sz w:val="20"/>
          <w:vertAlign w:val="baseline"/>
        </w:rPr>
        <w:t> </w:t>
      </w:r>
      <w:r>
        <w:rPr>
          <w:rFonts w:ascii="Arial"/>
          <w:i/>
          <w:sz w:val="20"/>
          <w:vertAlign w:val="baseline"/>
        </w:rPr>
        <w:t>Q.B.</w:t>
      </w:r>
      <w:r>
        <w:rPr>
          <w:rFonts w:ascii="Arial"/>
          <w:i/>
          <w:spacing w:val="2"/>
          <w:sz w:val="20"/>
          <w:vertAlign w:val="baseline"/>
        </w:rPr>
        <w:t> </w:t>
      </w:r>
      <w:r>
        <w:rPr>
          <w:rFonts w:ascii="Arial"/>
          <w:i/>
          <w:spacing w:val="-4"/>
          <w:sz w:val="20"/>
          <w:vertAlign w:val="baseline"/>
        </w:rPr>
        <w:t>473</w:t>
      </w:r>
      <w:r>
        <w:rPr>
          <w:spacing w:val="-4"/>
          <w:sz w:val="20"/>
          <w:vertAlign w:val="baseline"/>
        </w:rPr>
        <w:t>.</w:t>
      </w:r>
    </w:p>
    <w:p>
      <w:pPr>
        <w:pStyle w:val="BodyText"/>
        <w:spacing w:before="125"/>
      </w:pPr>
    </w:p>
    <w:p>
      <w:pPr>
        <w:spacing w:before="1"/>
        <w:ind w:left="165" w:right="0" w:firstLine="0"/>
        <w:jc w:val="left"/>
        <w:rPr>
          <w:sz w:val="20"/>
        </w:rPr>
      </w:pPr>
      <w:bookmarkStart w:name="_bookmark2584" w:id="2586"/>
      <w:bookmarkEnd w:id="2586"/>
      <w:r>
        <w:rPr/>
      </w:r>
      <w:hyperlink w:history="true" w:anchor="_bookmark2544">
        <w:r>
          <w:rPr>
            <w:color w:val="005DA1"/>
            <w:sz w:val="20"/>
            <w:u w:val="single" w:color="005DA1"/>
            <w:vertAlign w:val="superscript"/>
          </w:rPr>
          <w:t>1344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255" name="Image 1255"/>
            <wp:cNvGraphicFramePr>
              <a:graphicFrameLocks/>
            </wp:cNvGraphicFramePr>
            <a:graphic>
              <a:graphicData uri="http://schemas.openxmlformats.org/drawingml/2006/picture">
                <pic:pic>
                  <pic:nvPicPr>
                    <pic:cNvPr id="1255" name="Image 125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3"/>
          <w:sz w:val="20"/>
          <w:vertAlign w:val="baseline"/>
        </w:rPr>
        <w:t> </w:t>
      </w:r>
      <w:r>
        <w:rPr>
          <w:rFonts w:ascii="Arial"/>
          <w:i/>
          <w:sz w:val="20"/>
          <w:vertAlign w:val="baseline"/>
        </w:rPr>
        <w:t>of</w:t>
      </w:r>
      <w:r>
        <w:rPr>
          <w:rFonts w:ascii="Arial"/>
          <w:i/>
          <w:spacing w:val="2"/>
          <w:sz w:val="20"/>
          <w:vertAlign w:val="baseline"/>
        </w:rPr>
        <w:t> </w:t>
      </w:r>
      <w:r>
        <w:rPr>
          <w:rFonts w:ascii="Arial"/>
          <w:i/>
          <w:sz w:val="20"/>
          <w:vertAlign w:val="baseline"/>
        </w:rPr>
        <w:t>Public</w:t>
      </w:r>
      <w:r>
        <w:rPr>
          <w:rFonts w:ascii="Arial"/>
          <w:i/>
          <w:spacing w:val="1"/>
          <w:sz w:val="20"/>
          <w:vertAlign w:val="baseline"/>
        </w:rPr>
        <w:t> </w:t>
      </w:r>
      <w:r>
        <w:rPr>
          <w:rFonts w:ascii="Arial"/>
          <w:i/>
          <w:sz w:val="20"/>
          <w:vertAlign w:val="baseline"/>
        </w:rPr>
        <w:t>Works</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Hills</w:t>
      </w:r>
      <w:r>
        <w:rPr>
          <w:rFonts w:ascii="Arial"/>
          <w:i/>
          <w:spacing w:val="1"/>
          <w:sz w:val="20"/>
          <w:vertAlign w:val="baseline"/>
        </w:rPr>
        <w:t> </w:t>
      </w:r>
      <w:r>
        <w:rPr>
          <w:rFonts w:ascii="Arial"/>
          <w:i/>
          <w:sz w:val="20"/>
          <w:vertAlign w:val="baseline"/>
        </w:rPr>
        <w:t>[1906]</w:t>
      </w:r>
      <w:r>
        <w:rPr>
          <w:rFonts w:ascii="Arial"/>
          <w:i/>
          <w:spacing w:val="2"/>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368</w:t>
      </w:r>
      <w:r>
        <w:rPr>
          <w:rFonts w:ascii="Arial"/>
          <w:i/>
          <w:spacing w:val="1"/>
          <w:sz w:val="20"/>
          <w:vertAlign w:val="baseline"/>
        </w:rPr>
        <w:t> </w:t>
      </w:r>
      <w:r>
        <w:rPr>
          <w:sz w:val="20"/>
          <w:vertAlign w:val="baseline"/>
        </w:rPr>
        <w:t>(above,</w:t>
      </w:r>
      <w:r>
        <w:rPr>
          <w:spacing w:val="2"/>
          <w:sz w:val="20"/>
          <w:vertAlign w:val="baseline"/>
        </w:rPr>
        <w:t> </w:t>
      </w:r>
      <w:r>
        <w:rPr>
          <w:sz w:val="20"/>
          <w:vertAlign w:val="baseline"/>
        </w:rPr>
        <w:t>para.26-</w:t>
      </w:r>
      <w:r>
        <w:rPr>
          <w:spacing w:val="-2"/>
          <w:sz w:val="20"/>
          <w:vertAlign w:val="baseline"/>
        </w:rPr>
        <w:t>187).</w:t>
      </w:r>
    </w:p>
    <w:p>
      <w:pPr>
        <w:pStyle w:val="BodyText"/>
        <w:spacing w:before="128"/>
      </w:pPr>
    </w:p>
    <w:p>
      <w:pPr>
        <w:spacing w:line="235" w:lineRule="auto" w:before="0"/>
        <w:ind w:left="705" w:right="168" w:hanging="541"/>
        <w:jc w:val="both"/>
        <w:rPr>
          <w:sz w:val="20"/>
        </w:rPr>
      </w:pPr>
      <w:bookmarkStart w:name="_bookmark2585" w:id="2587"/>
      <w:bookmarkEnd w:id="2587"/>
      <w:r>
        <w:rPr/>
      </w:r>
      <w:hyperlink w:history="true" w:anchor="_bookmark2545">
        <w:r>
          <w:rPr>
            <w:color w:val="005DA1"/>
            <w:sz w:val="20"/>
            <w:u w:val="single" w:color="005DA1"/>
            <w:vertAlign w:val="superscript"/>
          </w:rPr>
          <w:t>1345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56" name="Image 1256"/>
            <wp:cNvGraphicFramePr>
              <a:graphicFrameLocks/>
            </wp:cNvGraphicFramePr>
            <a:graphic>
              <a:graphicData uri="http://schemas.openxmlformats.org/drawingml/2006/picture">
                <pic:pic>
                  <pic:nvPicPr>
                    <pic:cNvPr id="1256" name="Image 125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Though the penalty rules were assumed to apply to a sum paid by way of deposit in </w:t>
      </w:r>
      <w:r>
        <w:rPr>
          <w:rFonts w:ascii="Arial"/>
          <w:i/>
          <w:sz w:val="20"/>
          <w:vertAlign w:val="baseline"/>
        </w:rPr>
        <w:t>Pye v British Automobile Commercial Syndicate Ltd [1906] 1 K.B. 425 </w:t>
      </w:r>
      <w:r>
        <w:rPr>
          <w:sz w:val="20"/>
          <w:vertAlign w:val="baseline"/>
        </w:rPr>
        <w:t>(held not penal).</w:t>
      </w:r>
    </w:p>
    <w:p>
      <w:pPr>
        <w:pStyle w:val="BodyText"/>
        <w:spacing w:before="126"/>
      </w:pPr>
    </w:p>
    <w:p>
      <w:pPr>
        <w:spacing w:before="0"/>
        <w:ind w:left="165" w:right="0" w:firstLine="0"/>
        <w:jc w:val="left"/>
        <w:rPr>
          <w:sz w:val="20"/>
        </w:rPr>
      </w:pPr>
      <w:bookmarkStart w:name="_bookmark2586" w:id="2588"/>
      <w:bookmarkEnd w:id="2588"/>
      <w:r>
        <w:rPr/>
      </w:r>
      <w:hyperlink w:history="true" w:anchor="_bookmark2546">
        <w:r>
          <w:rPr>
            <w:color w:val="005DA1"/>
            <w:sz w:val="20"/>
            <w:u w:val="single" w:color="005DA1"/>
            <w:vertAlign w:val="superscript"/>
          </w:rPr>
          <w:t>1346</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257" name="Image 1257"/>
            <wp:cNvGraphicFramePr>
              <a:graphicFrameLocks/>
            </wp:cNvGraphicFramePr>
            <a:graphic>
              <a:graphicData uri="http://schemas.openxmlformats.org/drawingml/2006/picture">
                <pic:pic>
                  <pic:nvPicPr>
                    <pic:cNvPr id="1257" name="Image 12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[2013]</w:t>
      </w:r>
      <w:r>
        <w:rPr>
          <w:rFonts w:ascii="Arial"/>
          <w:i/>
          <w:spacing w:val="3"/>
          <w:sz w:val="20"/>
          <w:vertAlign w:val="baseline"/>
        </w:rPr>
        <w:t> </w:t>
      </w:r>
      <w:r>
        <w:rPr>
          <w:rFonts w:ascii="Arial"/>
          <w:i/>
          <w:sz w:val="20"/>
          <w:vertAlign w:val="baseline"/>
        </w:rPr>
        <w:t>EWHC</w:t>
      </w:r>
      <w:r>
        <w:rPr>
          <w:rFonts w:ascii="Arial"/>
          <w:i/>
          <w:spacing w:val="3"/>
          <w:sz w:val="20"/>
          <w:vertAlign w:val="baseline"/>
        </w:rPr>
        <w:t> </w:t>
      </w:r>
      <w:r>
        <w:rPr>
          <w:rFonts w:ascii="Arial"/>
          <w:i/>
          <w:sz w:val="20"/>
          <w:vertAlign w:val="baseline"/>
        </w:rPr>
        <w:t>214</w:t>
      </w:r>
      <w:r>
        <w:rPr>
          <w:rFonts w:ascii="Arial"/>
          <w:i/>
          <w:spacing w:val="3"/>
          <w:sz w:val="20"/>
          <w:vertAlign w:val="baseline"/>
        </w:rPr>
        <w:t> </w:t>
      </w:r>
      <w:r>
        <w:rPr>
          <w:rFonts w:ascii="Arial"/>
          <w:i/>
          <w:sz w:val="20"/>
          <w:vertAlign w:val="baseline"/>
        </w:rPr>
        <w:t>(Comm)</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[38].</w:t>
      </w:r>
    </w:p>
    <w:p>
      <w:pPr>
        <w:pStyle w:val="BodyText"/>
        <w:spacing w:before="125"/>
      </w:pPr>
    </w:p>
    <w:p>
      <w:pPr>
        <w:spacing w:before="0"/>
        <w:ind w:left="165" w:right="0" w:firstLine="0"/>
        <w:jc w:val="left"/>
        <w:rPr>
          <w:sz w:val="20"/>
        </w:rPr>
      </w:pPr>
      <w:bookmarkStart w:name="_bookmark2587" w:id="2589"/>
      <w:bookmarkEnd w:id="2589"/>
      <w:r>
        <w:rPr/>
      </w:r>
      <w:hyperlink w:history="true" w:anchor="_bookmark2547">
        <w:r>
          <w:rPr>
            <w:color w:val="005DA1"/>
            <w:sz w:val="20"/>
            <w:u w:val="single" w:color="005DA1"/>
            <w:vertAlign w:val="superscript"/>
          </w:rPr>
          <w:t>1347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1258" name="Image 1258"/>
            <wp:cNvGraphicFramePr>
              <a:graphicFrameLocks/>
            </wp:cNvGraphicFramePr>
            <a:graphic>
              <a:graphicData uri="http://schemas.openxmlformats.org/drawingml/2006/picture">
                <pic:pic>
                  <pic:nvPicPr>
                    <pic:cNvPr id="1258" name="Image 12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[2013]</w:t>
      </w:r>
      <w:r>
        <w:rPr>
          <w:rFonts w:ascii="Arial"/>
          <w:i/>
          <w:spacing w:val="3"/>
          <w:sz w:val="20"/>
          <w:vertAlign w:val="baseline"/>
        </w:rPr>
        <w:t> </w:t>
      </w:r>
      <w:r>
        <w:rPr>
          <w:rFonts w:ascii="Arial"/>
          <w:i/>
          <w:sz w:val="20"/>
          <w:vertAlign w:val="baseline"/>
        </w:rPr>
        <w:t>EWHC</w:t>
      </w:r>
      <w:r>
        <w:rPr>
          <w:rFonts w:ascii="Arial"/>
          <w:i/>
          <w:spacing w:val="3"/>
          <w:sz w:val="20"/>
          <w:vertAlign w:val="baseline"/>
        </w:rPr>
        <w:t> </w:t>
      </w:r>
      <w:r>
        <w:rPr>
          <w:rFonts w:ascii="Arial"/>
          <w:i/>
          <w:sz w:val="20"/>
          <w:vertAlign w:val="baseline"/>
        </w:rPr>
        <w:t>214</w:t>
      </w:r>
      <w:r>
        <w:rPr>
          <w:rFonts w:ascii="Arial"/>
          <w:i/>
          <w:spacing w:val="3"/>
          <w:sz w:val="20"/>
          <w:vertAlign w:val="baseline"/>
        </w:rPr>
        <w:t> </w:t>
      </w:r>
      <w:r>
        <w:rPr>
          <w:rFonts w:ascii="Arial"/>
          <w:i/>
          <w:sz w:val="20"/>
          <w:vertAlign w:val="baseline"/>
        </w:rPr>
        <w:t>(Comm)</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[41].</w:t>
      </w:r>
    </w:p>
    <w:p>
      <w:pPr>
        <w:pStyle w:val="BodyText"/>
        <w:spacing w:before="128"/>
      </w:pPr>
    </w:p>
    <w:p>
      <w:pPr>
        <w:pStyle w:val="BodyText"/>
        <w:spacing w:line="235" w:lineRule="auto" w:before="1"/>
        <w:ind w:left="705" w:right="167" w:hanging="541"/>
        <w:jc w:val="both"/>
      </w:pPr>
      <w:bookmarkStart w:name="_bookmark2588" w:id="2590"/>
      <w:bookmarkEnd w:id="2590"/>
      <w:r>
        <w:rPr/>
      </w:r>
      <w:hyperlink w:history="true" w:anchor="_bookmark2548">
        <w:r>
          <w:rPr>
            <w:color w:val="005DA1"/>
            <w:u w:val="single" w:color="005DA1"/>
            <w:vertAlign w:val="superscript"/>
          </w:rPr>
          <w:t>1348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59" name="Image 1259"/>
            <wp:cNvGraphicFramePr>
              <a:graphicFrameLocks/>
            </wp:cNvGraphicFramePr>
            <a:graphic>
              <a:graphicData uri="http://schemas.openxmlformats.org/drawingml/2006/picture">
                <pic:pic>
                  <pic:nvPicPr>
                    <pic:cNvPr id="1259" name="Image 12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Cavendish Square Holding BV v Makdessi </w:t>
      </w:r>
      <w:r>
        <w:rPr>
          <w:vertAlign w:val="baseline"/>
        </w:rPr>
        <w:t>and </w:t>
      </w:r>
      <w:r>
        <w:rPr>
          <w:rFonts w:ascii="Arial" w:hAnsi="Arial"/>
          <w:i/>
          <w:vertAlign w:val="baseline"/>
        </w:rPr>
        <w:t>ParkingEye Ltd v Beavis [2015] UKSC 67, [2016] A.C. 1172</w:t>
      </w:r>
      <w:r>
        <w:rPr>
          <w:vertAlign w:val="baseline"/>
        </w:rPr>
        <w:t>. Lord Mance said that it is “both logical and correct in principle under the current law” that a clause may both be subject to the penalty doctrine and the power of </w:t>
      </w:r>
      <w:r>
        <w:rPr>
          <w:vertAlign w:val="baseline"/>
        </w:rPr>
        <w:t>the</w:t>
      </w:r>
      <w:r>
        <w:rPr>
          <w:spacing w:val="40"/>
          <w:vertAlign w:val="baseline"/>
        </w:rPr>
        <w:t> </w:t>
      </w:r>
      <w:r>
        <w:rPr>
          <w:vertAlign w:val="baseline"/>
        </w:rPr>
        <w:t>court to give relief for forfeiture (at [160]) but said the application of the penalty doctrine to deposits and the forfeiture of money paid must await decision in due course (at [170]). Lord Hodge said that the court should determine whether a forfeiture clause was a penalty: at [227]. Lord Toulson agreed with what Lord Mance had said at [160] and with the relevant paragraphs of Lord Hodge’s judgment; Lord Clarke was inclined to agree with them also. Lords Neuberger and Sumption said they could see the force in the arguments of Lords Mance and Hodge: at </w:t>
      </w:r>
      <w:r>
        <w:rPr>
          <w:spacing w:val="-2"/>
          <w:vertAlign w:val="baseline"/>
        </w:rPr>
        <w:t>[18].</w:t>
      </w:r>
    </w:p>
    <w:p>
      <w:pPr>
        <w:pStyle w:val="BodyText"/>
        <w:spacing w:before="126"/>
      </w:pPr>
    </w:p>
    <w:p>
      <w:pPr>
        <w:pStyle w:val="BodyText"/>
        <w:spacing w:line="235" w:lineRule="auto"/>
        <w:ind w:left="705" w:right="167" w:hanging="541"/>
        <w:jc w:val="both"/>
      </w:pPr>
      <w:bookmarkStart w:name="_bookmark2589" w:id="2591"/>
      <w:bookmarkEnd w:id="2591"/>
      <w:r>
        <w:rPr/>
      </w:r>
      <w:hyperlink w:history="true" w:anchor="_bookmark2549">
        <w:r>
          <w:rPr>
            <w:color w:val="005DA1"/>
            <w:u w:val="single" w:color="005DA1"/>
            <w:vertAlign w:val="superscript"/>
          </w:rPr>
          <w:t>1349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60" name="Image 1260"/>
            <wp:cNvGraphicFramePr>
              <a:graphicFrameLocks/>
            </wp:cNvGraphicFramePr>
            <a:graphic>
              <a:graphicData uri="http://schemas.openxmlformats.org/drawingml/2006/picture">
                <pic:pic>
                  <pic:nvPicPr>
                    <pic:cNvPr id="1260" name="Image 12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 Mance at [160]–[161], Lord Hodge at [230], [233]. Lords Neuberger and Sumption </w:t>
      </w:r>
      <w:r>
        <w:rPr>
          <w:vertAlign w:val="baseline"/>
        </w:rPr>
        <w:t>said there is no reason in principle “why an obligation to transfer assets (either for nothing or at an undervalue) should not be capable of constituting a penalty” (at [16]). At [84] they said that it was not necessary to decide whether it was open to the purchaser in </w:t>
      </w:r>
      <w:r>
        <w:rPr>
          <w:rFonts w:ascii="Arial" w:hAnsi="Arial"/>
          <w:i/>
          <w:vertAlign w:val="baseline"/>
        </w:rPr>
        <w:t>Jobson v Johnson </w:t>
      </w:r>
      <w:r>
        <w:rPr>
          <w:vertAlign w:val="baseline"/>
        </w:rPr>
        <w:t>to argue that the obligation to transfer back shares he had received was a penalty: it may be subject only to the forfeiture rules but not the penalty rules, referring back to [18] of their </w:t>
      </w:r>
      <w:r>
        <w:rPr>
          <w:spacing w:val="-2"/>
          <w:vertAlign w:val="baseline"/>
        </w:rPr>
        <w:t>judgment.</w:t>
      </w:r>
    </w:p>
    <w:p>
      <w:pPr>
        <w:pStyle w:val="BodyText"/>
        <w:spacing w:before="127"/>
      </w:pPr>
    </w:p>
    <w:p>
      <w:pPr>
        <w:spacing w:line="235" w:lineRule="auto" w:before="0"/>
        <w:ind w:left="705" w:right="168" w:hanging="541"/>
        <w:jc w:val="both"/>
        <w:rPr>
          <w:sz w:val="20"/>
        </w:rPr>
      </w:pPr>
      <w:bookmarkStart w:name="_bookmark2590" w:id="2592"/>
      <w:bookmarkEnd w:id="2592"/>
      <w:r>
        <w:rPr/>
      </w:r>
      <w:hyperlink w:history="true" w:anchor="_bookmark2550">
        <w:r>
          <w:rPr>
            <w:color w:val="005DA1"/>
            <w:sz w:val="20"/>
            <w:u w:val="single" w:color="005DA1"/>
            <w:vertAlign w:val="superscript"/>
          </w:rPr>
          <w:t>1350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61" name="Image 1261"/>
            <wp:cNvGraphicFramePr>
              <a:graphicFrameLocks/>
            </wp:cNvGraphicFramePr>
            <a:graphic>
              <a:graphicData uri="http://schemas.openxmlformats.org/drawingml/2006/picture">
                <pic:pic>
                  <pic:nvPicPr>
                    <pic:cNvPr id="1261" name="Image 12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As in </w:t>
      </w:r>
      <w:r>
        <w:rPr>
          <w:rFonts w:ascii="Arial"/>
          <w:i/>
          <w:sz w:val="20"/>
          <w:vertAlign w:val="baseline"/>
        </w:rPr>
        <w:t>Jobson v Johnson [1989] 1 W.L.R. 1026</w:t>
      </w:r>
      <w:r>
        <w:rPr>
          <w:sz w:val="20"/>
          <w:vertAlign w:val="baseline"/>
        </w:rPr>
        <w:t>. The order made in that case was disapproved: see below, para.26-216K.</w:t>
      </w:r>
    </w:p>
    <w:p>
      <w:pPr>
        <w:pStyle w:val="BodyText"/>
        <w:spacing w:line="580" w:lineRule="atLeast" w:before="6"/>
        <w:ind w:left="165" w:right="6270"/>
        <w:jc w:val="both"/>
      </w:pPr>
      <w:bookmarkStart w:name="_bookmark2591" w:id="2593"/>
      <w:bookmarkEnd w:id="2593"/>
      <w:r>
        <w:rPr/>
      </w:r>
      <w:hyperlink w:history="true" w:anchor="_bookmark2551">
        <w:r>
          <w:rPr>
            <w:color w:val="005DA1"/>
            <w:u w:val="single" w:color="005DA1"/>
            <w:vertAlign w:val="superscript"/>
          </w:rPr>
          <w:t>1351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262" name="Image 1262"/>
            <wp:cNvGraphicFramePr>
              <a:graphicFrameLocks/>
            </wp:cNvGraphicFramePr>
            <a:graphic>
              <a:graphicData uri="http://schemas.openxmlformats.org/drawingml/2006/picture">
                <pic:pic>
                  <pic:nvPicPr>
                    <pic:cNvPr id="1262" name="Image 12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w:t>
      </w:r>
      <w:r>
        <w:rPr>
          <w:vertAlign w:val="baseline"/>
        </w:rPr>
        <w:t>182. </w:t>
      </w:r>
      <w:bookmarkStart w:name="_bookmark2592" w:id="2594"/>
      <w:bookmarkEnd w:id="2594"/>
      <w:r>
        <w:rPr>
          <w:vertAlign w:val="baseline"/>
        </w:rPr>
      </w:r>
      <w:hyperlink w:history="true" w:anchor="_bookmark2552">
        <w:r>
          <w:rPr>
            <w:color w:val="005DA1"/>
            <w:u w:val="single" w:color="005DA1"/>
            <w:vertAlign w:val="superscript"/>
          </w:rPr>
          <w:t>1352</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263" name="Image 1263"/>
            <wp:cNvGraphicFramePr>
              <a:graphicFrameLocks/>
            </wp:cNvGraphicFramePr>
            <a:graphic>
              <a:graphicData uri="http://schemas.openxmlformats.org/drawingml/2006/picture">
                <pic:pic>
                  <pic:nvPicPr>
                    <pic:cNvPr id="1263" name="Image 12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para.26-196. </w:t>
      </w:r>
      <w:bookmarkStart w:name="_bookmark2593" w:id="2595"/>
      <w:bookmarkEnd w:id="2595"/>
      <w:r>
        <w:rPr>
          <w:vertAlign w:val="baseline"/>
        </w:rPr>
      </w:r>
      <w:hyperlink w:history="true" w:anchor="_bookmark2553">
        <w:r>
          <w:rPr>
            <w:color w:val="005DA1"/>
            <w:u w:val="single" w:color="005DA1"/>
            <w:vertAlign w:val="superscript"/>
          </w:rPr>
          <w:t>1353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1264" name="Image 1264"/>
            <wp:cNvGraphicFramePr>
              <a:graphicFrameLocks/>
            </wp:cNvGraphicFramePr>
            <a:graphic>
              <a:graphicData uri="http://schemas.openxmlformats.org/drawingml/2006/picture">
                <pic:pic>
                  <pic:nvPicPr>
                    <pic:cNvPr id="1264" name="Image 126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216.</w:t>
      </w:r>
    </w:p>
    <w:p>
      <w:pPr>
        <w:pStyle w:val="BodyText"/>
        <w:spacing w:before="138"/>
      </w:pPr>
    </w:p>
    <w:p>
      <w:pPr>
        <w:spacing w:line="235" w:lineRule="auto" w:before="0"/>
        <w:ind w:left="705" w:right="168" w:hanging="541"/>
        <w:jc w:val="both"/>
        <w:rPr>
          <w:sz w:val="20"/>
        </w:rPr>
      </w:pPr>
      <w:bookmarkStart w:name="_bookmark2594" w:id="2596"/>
      <w:bookmarkEnd w:id="2596"/>
      <w:r>
        <w:rPr/>
      </w:r>
      <w:hyperlink w:history="true" w:anchor="_bookmark2554">
        <w:r>
          <w:rPr>
            <w:color w:val="005DA1"/>
            <w:sz w:val="20"/>
            <w:u w:val="single" w:color="005DA1"/>
            <w:vertAlign w:val="superscript"/>
          </w:rPr>
          <w:t>1354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265" name="Image 1265"/>
            <wp:cNvGraphicFramePr>
              <a:graphicFrameLocks/>
            </wp:cNvGraphicFramePr>
            <a:graphic>
              <a:graphicData uri="http://schemas.openxmlformats.org/drawingml/2006/picture">
                <pic:pic>
                  <pic:nvPicPr>
                    <pic:cNvPr id="1265" name="Image 126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 Square Holding BV v Makdessi </w:t>
      </w:r>
      <w:r>
        <w:rPr>
          <w:sz w:val="20"/>
          <w:vertAlign w:val="baseline"/>
        </w:rPr>
        <w:t>and </w:t>
      </w:r>
      <w:r>
        <w:rPr>
          <w:rFonts w:ascii="Arial"/>
          <w:i/>
          <w:sz w:val="20"/>
          <w:vertAlign w:val="baseline"/>
        </w:rPr>
        <w:t>ParkingEye Ltd v Beavis [2015] UKSC 67, [2016] A.C. 1172</w:t>
      </w:r>
      <w:r>
        <w:rPr>
          <w:sz w:val="20"/>
          <w:vertAlign w:val="baseline"/>
        </w:rPr>
        <w:t>.</w:t>
      </w:r>
    </w:p>
    <w:p>
      <w:pPr>
        <w:pStyle w:val="BodyText"/>
        <w:spacing w:before="126"/>
      </w:pPr>
    </w:p>
    <w:p>
      <w:pPr>
        <w:spacing w:line="227" w:lineRule="exact" w:before="0"/>
        <w:ind w:left="165" w:right="0" w:firstLine="0"/>
        <w:jc w:val="left"/>
        <w:rPr>
          <w:sz w:val="20"/>
        </w:rPr>
      </w:pPr>
      <w:bookmarkStart w:name="_bookmark2595" w:id="2597"/>
      <w:bookmarkEnd w:id="2597"/>
      <w:r>
        <w:rPr/>
      </w:r>
      <w:hyperlink w:history="true" w:anchor="_bookmark2555">
        <w:r>
          <w:rPr>
            <w:color w:val="005DA1"/>
            <w:sz w:val="20"/>
            <w:u w:val="single" w:color="005DA1"/>
            <w:vertAlign w:val="superscript"/>
          </w:rPr>
          <w:t>1355</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266" name="Image 1266"/>
            <wp:cNvGraphicFramePr>
              <a:graphicFrameLocks/>
            </wp:cNvGraphicFramePr>
            <a:graphic>
              <a:graphicData uri="http://schemas.openxmlformats.org/drawingml/2006/picture">
                <pic:pic>
                  <pic:nvPicPr>
                    <pic:cNvPr id="1266" name="Image 126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18"/>
          <w:sz w:val="20"/>
          <w:vertAlign w:val="baseline"/>
        </w:rPr>
        <w:t> </w:t>
      </w:r>
      <w:r>
        <w:rPr>
          <w:rFonts w:ascii="Arial"/>
          <w:i/>
          <w:sz w:val="20"/>
          <w:vertAlign w:val="baseline"/>
        </w:rPr>
        <w:t>Square</w:t>
      </w:r>
      <w:r>
        <w:rPr>
          <w:rFonts w:ascii="Arial"/>
          <w:i/>
          <w:spacing w:val="16"/>
          <w:sz w:val="20"/>
          <w:vertAlign w:val="baseline"/>
        </w:rPr>
        <w:t> </w:t>
      </w:r>
      <w:r>
        <w:rPr>
          <w:rFonts w:ascii="Arial"/>
          <w:i/>
          <w:sz w:val="20"/>
          <w:vertAlign w:val="baseline"/>
        </w:rPr>
        <w:t>Holding</w:t>
      </w:r>
      <w:r>
        <w:rPr>
          <w:rFonts w:ascii="Arial"/>
          <w:i/>
          <w:spacing w:val="16"/>
          <w:sz w:val="20"/>
          <w:vertAlign w:val="baseline"/>
        </w:rPr>
        <w:t> </w:t>
      </w:r>
      <w:r>
        <w:rPr>
          <w:rFonts w:ascii="Arial"/>
          <w:i/>
          <w:sz w:val="20"/>
          <w:vertAlign w:val="baseline"/>
        </w:rPr>
        <w:t>BV</w:t>
      </w:r>
      <w:r>
        <w:rPr>
          <w:rFonts w:ascii="Arial"/>
          <w:i/>
          <w:spacing w:val="17"/>
          <w:sz w:val="20"/>
          <w:vertAlign w:val="baseline"/>
        </w:rPr>
        <w:t> </w:t>
      </w:r>
      <w:r>
        <w:rPr>
          <w:rFonts w:ascii="Arial"/>
          <w:i/>
          <w:sz w:val="20"/>
          <w:vertAlign w:val="baseline"/>
        </w:rPr>
        <w:t>v</w:t>
      </w:r>
      <w:r>
        <w:rPr>
          <w:rFonts w:ascii="Arial"/>
          <w:i/>
          <w:spacing w:val="16"/>
          <w:sz w:val="20"/>
          <w:vertAlign w:val="baseline"/>
        </w:rPr>
        <w:t> </w:t>
      </w:r>
      <w:r>
        <w:rPr>
          <w:rFonts w:ascii="Arial"/>
          <w:i/>
          <w:sz w:val="20"/>
          <w:vertAlign w:val="baseline"/>
        </w:rPr>
        <w:t>Makdessi</w:t>
      </w:r>
      <w:r>
        <w:rPr>
          <w:rFonts w:ascii="Arial"/>
          <w:i/>
          <w:spacing w:val="15"/>
          <w:sz w:val="20"/>
          <w:vertAlign w:val="baseline"/>
        </w:rPr>
        <w:t> </w:t>
      </w:r>
      <w:r>
        <w:rPr>
          <w:sz w:val="20"/>
          <w:vertAlign w:val="baseline"/>
        </w:rPr>
        <w:t>and</w:t>
      </w:r>
      <w:r>
        <w:rPr>
          <w:spacing w:val="17"/>
          <w:sz w:val="20"/>
          <w:vertAlign w:val="baseline"/>
        </w:rPr>
        <w:t> </w:t>
      </w:r>
      <w:r>
        <w:rPr>
          <w:rFonts w:ascii="Arial"/>
          <w:i/>
          <w:sz w:val="20"/>
          <w:vertAlign w:val="baseline"/>
        </w:rPr>
        <w:t>ParkingEye</w:t>
      </w:r>
      <w:r>
        <w:rPr>
          <w:rFonts w:ascii="Arial"/>
          <w:i/>
          <w:spacing w:val="16"/>
          <w:sz w:val="20"/>
          <w:vertAlign w:val="baseline"/>
        </w:rPr>
        <w:t> </w:t>
      </w:r>
      <w:r>
        <w:rPr>
          <w:rFonts w:ascii="Arial"/>
          <w:i/>
          <w:sz w:val="20"/>
          <w:vertAlign w:val="baseline"/>
        </w:rPr>
        <w:t>Ltd</w:t>
      </w:r>
      <w:r>
        <w:rPr>
          <w:rFonts w:ascii="Arial"/>
          <w:i/>
          <w:spacing w:val="16"/>
          <w:sz w:val="20"/>
          <w:vertAlign w:val="baseline"/>
        </w:rPr>
        <w:t> </w:t>
      </w:r>
      <w:r>
        <w:rPr>
          <w:rFonts w:ascii="Arial"/>
          <w:i/>
          <w:sz w:val="20"/>
          <w:vertAlign w:val="baseline"/>
        </w:rPr>
        <w:t>v</w:t>
      </w:r>
      <w:r>
        <w:rPr>
          <w:rFonts w:ascii="Arial"/>
          <w:i/>
          <w:spacing w:val="17"/>
          <w:sz w:val="20"/>
          <w:vertAlign w:val="baseline"/>
        </w:rPr>
        <w:t> </w:t>
      </w:r>
      <w:r>
        <w:rPr>
          <w:rFonts w:ascii="Arial"/>
          <w:i/>
          <w:sz w:val="20"/>
          <w:vertAlign w:val="baseline"/>
        </w:rPr>
        <w:t>Beavis</w:t>
      </w:r>
      <w:r>
        <w:rPr>
          <w:rFonts w:ascii="Arial"/>
          <w:i/>
          <w:spacing w:val="16"/>
          <w:sz w:val="20"/>
          <w:vertAlign w:val="baseline"/>
        </w:rPr>
        <w:t> </w:t>
      </w:r>
      <w:r>
        <w:rPr>
          <w:rFonts w:ascii="Arial"/>
          <w:i/>
          <w:sz w:val="20"/>
          <w:vertAlign w:val="baseline"/>
        </w:rPr>
        <w:t>[2015]</w:t>
      </w:r>
      <w:r>
        <w:rPr>
          <w:rFonts w:ascii="Arial"/>
          <w:i/>
          <w:spacing w:val="16"/>
          <w:sz w:val="20"/>
          <w:vertAlign w:val="baseline"/>
        </w:rPr>
        <w:t> </w:t>
      </w:r>
      <w:r>
        <w:rPr>
          <w:rFonts w:ascii="Arial"/>
          <w:i/>
          <w:sz w:val="20"/>
          <w:vertAlign w:val="baseline"/>
        </w:rPr>
        <w:t>UKSC</w:t>
      </w:r>
      <w:r>
        <w:rPr>
          <w:rFonts w:ascii="Arial"/>
          <w:i/>
          <w:spacing w:val="16"/>
          <w:sz w:val="20"/>
          <w:vertAlign w:val="baseline"/>
        </w:rPr>
        <w:t> </w:t>
      </w:r>
      <w:r>
        <w:rPr>
          <w:rFonts w:ascii="Arial"/>
          <w:i/>
          <w:sz w:val="20"/>
          <w:vertAlign w:val="baseline"/>
        </w:rPr>
        <w:t>67</w:t>
      </w:r>
      <w:r>
        <w:rPr>
          <w:rFonts w:ascii="Arial"/>
          <w:i/>
          <w:spacing w:val="16"/>
          <w:sz w:val="20"/>
          <w:vertAlign w:val="baseline"/>
        </w:rPr>
        <w:t> </w:t>
      </w:r>
      <w:r>
        <w:rPr>
          <w:spacing w:val="-5"/>
          <w:sz w:val="20"/>
          <w:vertAlign w:val="baseline"/>
        </w:rPr>
        <w:t>at</w:t>
      </w:r>
    </w:p>
    <w:p>
      <w:pPr>
        <w:pStyle w:val="BodyText"/>
        <w:spacing w:line="235" w:lineRule="auto" w:before="1"/>
        <w:ind w:left="705" w:right="167"/>
        <w:jc w:val="both"/>
      </w:pPr>
      <w:r>
        <w:rPr/>
        <w:t>[160] (Lord Mance) and [227], [230] (Lord Hodge): Lord Toulson agreed, Lord Clarke was inclined to agree (see at [291]). Lords Neuberger and Sumption saw force in the argument </w:t>
      </w:r>
      <w:r>
        <w:rPr/>
        <w:t>but preferred not to express a view.</w:t>
      </w:r>
    </w:p>
    <w:p>
      <w:pPr>
        <w:pStyle w:val="BodyText"/>
        <w:spacing w:before="129"/>
      </w:pPr>
    </w:p>
    <w:p>
      <w:pPr>
        <w:spacing w:line="235" w:lineRule="auto" w:before="0"/>
        <w:ind w:left="705" w:right="167" w:hanging="541"/>
        <w:jc w:val="both"/>
        <w:rPr>
          <w:sz w:val="20"/>
        </w:rPr>
      </w:pPr>
      <w:bookmarkStart w:name="_bookmark2596" w:id="2598"/>
      <w:bookmarkEnd w:id="2598"/>
      <w:r>
        <w:rPr/>
      </w:r>
      <w:hyperlink w:history="true" w:anchor="_bookmark2556">
        <w:r>
          <w:rPr>
            <w:color w:val="005DA1"/>
            <w:sz w:val="20"/>
            <w:u w:val="single" w:color="005DA1"/>
            <w:vertAlign w:val="superscript"/>
          </w:rPr>
          <w:t>1356</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267" name="Image 1267"/>
            <wp:cNvGraphicFramePr>
              <a:graphicFrameLocks/>
            </wp:cNvGraphicFramePr>
            <a:graphic>
              <a:graphicData uri="http://schemas.openxmlformats.org/drawingml/2006/picture">
                <pic:pic>
                  <pic:nvPicPr>
                    <pic:cNvPr id="1267" name="Image 126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Lord Mance </w:t>
      </w:r>
      <w:r>
        <w:rPr>
          <w:rFonts w:ascii="Arial" w:hAnsi="Arial"/>
          <w:i/>
          <w:sz w:val="20"/>
          <w:vertAlign w:val="baseline"/>
        </w:rPr>
        <w:t>[2015] UKSC 67 </w:t>
      </w:r>
      <w:r>
        <w:rPr>
          <w:sz w:val="20"/>
          <w:vertAlign w:val="baseline"/>
        </w:rPr>
        <w:t>at [160], quoting the Privy Council in </w:t>
      </w:r>
      <w:r>
        <w:rPr>
          <w:rFonts w:ascii="Arial" w:hAnsi="Arial"/>
          <w:i/>
          <w:sz w:val="20"/>
          <w:vertAlign w:val="baseline"/>
        </w:rPr>
        <w:t>Çukurova </w:t>
      </w:r>
      <w:r>
        <w:rPr>
          <w:rFonts w:ascii="Arial" w:hAnsi="Arial"/>
          <w:i/>
          <w:sz w:val="20"/>
          <w:vertAlign w:val="baseline"/>
        </w:rPr>
        <w:t>Finance International Ltd v Alfa Telecom Turkey Ltd (No.4) [2013] UKPC 25, [2015] 2 W.L.R. 875 </w:t>
      </w:r>
      <w:r>
        <w:rPr>
          <w:sz w:val="20"/>
          <w:vertAlign w:val="baseline"/>
        </w:rPr>
        <w:t>at [13] (“relief in equity will only be granted on the basis of conditions requiring performance, albeit</w:t>
      </w:r>
      <w:r>
        <w:rPr>
          <w:spacing w:val="40"/>
          <w:sz w:val="20"/>
          <w:vertAlign w:val="baseline"/>
        </w:rPr>
        <w:t> </w:t>
      </w:r>
      <w:r>
        <w:rPr>
          <w:sz w:val="20"/>
          <w:vertAlign w:val="baseline"/>
        </w:rPr>
        <w:t>late, of the contract in accordance with its terms as to principal, interest and costs”). This would not preclude relief in the form granted in </w:t>
      </w:r>
      <w:r>
        <w:rPr>
          <w:rFonts w:ascii="Arial" w:hAnsi="Arial"/>
          <w:i/>
          <w:sz w:val="20"/>
          <w:vertAlign w:val="baseline"/>
        </w:rPr>
        <w:t>On Demand Information Plc v Michael Gerson (Finance) Plc [2002] UKHL 13, [2003] 1 A.C. 368</w:t>
      </w:r>
      <w:r>
        <w:rPr>
          <w:sz w:val="20"/>
          <w:vertAlign w:val="baseline"/>
        </w:rPr>
        <w:t>, see above, para.26-216U.</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557">
        <w:r>
          <w:rPr>
            <w:color w:val="005DA1"/>
            <w:spacing w:val="-2"/>
            <w:sz w:val="14"/>
            <w:u w:val="single" w:color="005DA1"/>
          </w:rPr>
          <w:t>1357</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79680">
            <wp:simplePos x="0" y="0"/>
            <wp:positionH relativeFrom="page">
              <wp:posOffset>1257846</wp:posOffset>
            </wp:positionH>
            <wp:positionV relativeFrom="paragraph">
              <wp:posOffset>12632</wp:posOffset>
            </wp:positionV>
            <wp:extent cx="107988" cy="107988"/>
            <wp:effectExtent l="0" t="0" r="0" b="0"/>
            <wp:wrapNone/>
            <wp:docPr id="1269" name="Image 1269"/>
            <wp:cNvGraphicFramePr>
              <a:graphicFrameLocks/>
            </wp:cNvGraphicFramePr>
            <a:graphic>
              <a:graphicData uri="http://schemas.openxmlformats.org/drawingml/2006/picture">
                <pic:pic>
                  <pic:nvPicPr>
                    <pic:cNvPr id="1269" name="Image 126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[229].</w:t>
      </w:r>
    </w:p>
    <w:p>
      <w:pPr>
        <w:pStyle w:val="BodyText"/>
        <w:spacing w:before="12"/>
      </w:pPr>
    </w:p>
    <w:p>
      <w:pPr>
        <w:spacing w:line="137" w:lineRule="exact" w:before="0"/>
        <w:ind w:left="165" w:right="0" w:firstLine="0"/>
        <w:jc w:val="left"/>
        <w:rPr>
          <w:sz w:val="14"/>
        </w:rPr>
      </w:pPr>
      <w:bookmarkStart w:name="_bookmark2597" w:id="2599"/>
      <w:bookmarkEnd w:id="2599"/>
      <w:r>
        <w:rPr/>
      </w:r>
      <w:hyperlink w:history="true" w:anchor="_bookmark2558">
        <w:r>
          <w:rPr>
            <w:color w:val="005DA1"/>
            <w:spacing w:val="-2"/>
            <w:sz w:val="14"/>
            <w:u w:val="single" w:color="005DA1"/>
          </w:rPr>
          <w:t>1358</w:t>
        </w:r>
      </w:hyperlink>
      <w:r>
        <w:rPr>
          <w:spacing w:val="-2"/>
          <w:sz w:val="14"/>
        </w:rPr>
        <w:t>.</w:t>
      </w:r>
    </w:p>
    <w:p>
      <w:pPr>
        <w:pStyle w:val="BodyText"/>
        <w:spacing w:line="206" w:lineRule="exact"/>
        <w:ind w:left="875"/>
      </w:pPr>
      <w:r>
        <w:rPr/>
        <w:drawing>
          <wp:anchor distT="0" distB="0" distL="0" distR="0" allowOverlap="1" layoutInCell="1" locked="0" behindDoc="0" simplePos="0" relativeHeight="15880192">
            <wp:simplePos x="0" y="0"/>
            <wp:positionH relativeFrom="page">
              <wp:posOffset>1257846</wp:posOffset>
            </wp:positionH>
            <wp:positionV relativeFrom="paragraph">
              <wp:posOffset>12783</wp:posOffset>
            </wp:positionV>
            <wp:extent cx="107988" cy="107988"/>
            <wp:effectExtent l="0" t="0" r="0" b="0"/>
            <wp:wrapNone/>
            <wp:docPr id="1270" name="Image 1270"/>
            <wp:cNvGraphicFramePr>
              <a:graphicFrameLocks/>
            </wp:cNvGraphicFramePr>
            <a:graphic>
              <a:graphicData uri="http://schemas.openxmlformats.org/drawingml/2006/picture">
                <pic:pic>
                  <pic:nvPicPr>
                    <pic:cNvPr id="1270" name="Image 1270"/>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2"/>
        </w:rPr>
        <w:t>216T.</w:t>
      </w:r>
    </w:p>
    <w:p>
      <w:pPr>
        <w:pStyle w:val="BodyText"/>
        <w:spacing w:before="12"/>
      </w:pPr>
    </w:p>
    <w:p>
      <w:pPr>
        <w:spacing w:line="137" w:lineRule="exact" w:before="0"/>
        <w:ind w:left="165" w:right="0" w:firstLine="0"/>
        <w:jc w:val="left"/>
        <w:rPr>
          <w:sz w:val="14"/>
        </w:rPr>
      </w:pPr>
      <w:bookmarkStart w:name="_bookmark2598" w:id="2600"/>
      <w:bookmarkEnd w:id="2600"/>
      <w:r>
        <w:rPr/>
      </w:r>
      <w:hyperlink w:history="true" w:anchor="_bookmark2559">
        <w:r>
          <w:rPr>
            <w:color w:val="005DA1"/>
            <w:spacing w:val="-2"/>
            <w:sz w:val="14"/>
            <w:u w:val="single" w:color="005DA1"/>
          </w:rPr>
          <w:t>1359</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80704">
            <wp:simplePos x="0" y="0"/>
            <wp:positionH relativeFrom="page">
              <wp:posOffset>1257846</wp:posOffset>
            </wp:positionH>
            <wp:positionV relativeFrom="paragraph">
              <wp:posOffset>12935</wp:posOffset>
            </wp:positionV>
            <wp:extent cx="107988" cy="107988"/>
            <wp:effectExtent l="0" t="0" r="0" b="0"/>
            <wp:wrapNone/>
            <wp:docPr id="1271" name="Image 1271"/>
            <wp:cNvGraphicFramePr>
              <a:graphicFrameLocks/>
            </wp:cNvGraphicFramePr>
            <a:graphic>
              <a:graphicData uri="http://schemas.openxmlformats.org/drawingml/2006/picture">
                <pic:pic>
                  <pic:nvPicPr>
                    <pic:cNvPr id="1271" name="Image 127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 [2016] A.C. </w:t>
      </w:r>
      <w:r>
        <w:rPr>
          <w:rFonts w:ascii="Arial"/>
          <w:i/>
          <w:spacing w:val="-2"/>
          <w:sz w:val="20"/>
        </w:rPr>
        <w:t>1172</w:t>
      </w:r>
      <w:r>
        <w:rPr>
          <w:spacing w:val="-2"/>
          <w:sz w:val="20"/>
        </w:rPr>
        <w:t>.</w:t>
      </w:r>
    </w:p>
    <w:p>
      <w:pPr>
        <w:pStyle w:val="BodyText"/>
        <w:spacing w:before="12"/>
      </w:pPr>
    </w:p>
    <w:p>
      <w:pPr>
        <w:spacing w:line="137" w:lineRule="exact" w:before="0"/>
        <w:ind w:left="165" w:right="0" w:firstLine="0"/>
        <w:jc w:val="left"/>
        <w:rPr>
          <w:sz w:val="14"/>
        </w:rPr>
      </w:pPr>
      <w:bookmarkStart w:name="_bookmark2599" w:id="2601"/>
      <w:bookmarkEnd w:id="2601"/>
      <w:r>
        <w:rPr/>
      </w:r>
      <w:hyperlink w:history="true" w:anchor="_bookmark2560">
        <w:r>
          <w:rPr>
            <w:color w:val="005DA1"/>
            <w:spacing w:val="-2"/>
            <w:sz w:val="14"/>
            <w:u w:val="single" w:color="005DA1"/>
          </w:rPr>
          <w:t>1360</w:t>
        </w:r>
      </w:hyperlink>
      <w:r>
        <w:rPr>
          <w:spacing w:val="-2"/>
          <w:sz w:val="14"/>
        </w:rPr>
        <w:t>.</w:t>
      </w:r>
    </w:p>
    <w:p>
      <w:pPr>
        <w:pStyle w:val="BodyText"/>
        <w:spacing w:line="203" w:lineRule="exact"/>
        <w:ind w:left="875"/>
      </w:pPr>
      <w:r>
        <w:rPr/>
        <w:drawing>
          <wp:anchor distT="0" distB="0" distL="0" distR="0" allowOverlap="1" layoutInCell="1" locked="0" behindDoc="0" simplePos="0" relativeHeight="15881216">
            <wp:simplePos x="0" y="0"/>
            <wp:positionH relativeFrom="page">
              <wp:posOffset>1257846</wp:posOffset>
            </wp:positionH>
            <wp:positionV relativeFrom="paragraph">
              <wp:posOffset>13087</wp:posOffset>
            </wp:positionV>
            <wp:extent cx="107988" cy="107988"/>
            <wp:effectExtent l="0" t="0" r="0" b="0"/>
            <wp:wrapNone/>
            <wp:docPr id="1272" name="Image 1272"/>
            <wp:cNvGraphicFramePr>
              <a:graphicFrameLocks/>
            </wp:cNvGraphicFramePr>
            <a:graphic>
              <a:graphicData uri="http://schemas.openxmlformats.org/drawingml/2006/picture">
                <pic:pic>
                  <pic:nvPicPr>
                    <pic:cNvPr id="1272" name="Image 1272"/>
                    <pic:cNvPicPr/>
                  </pic:nvPicPr>
                  <pic:blipFill>
                    <a:blip r:embed="rId6" cstate="print"/>
                    <a:stretch>
                      <a:fillRect/>
                    </a:stretch>
                  </pic:blipFill>
                  <pic:spPr>
                    <a:xfrm>
                      <a:off x="0" y="0"/>
                      <a:ext cx="107988" cy="107988"/>
                    </a:xfrm>
                    <a:prstGeom prst="rect">
                      <a:avLst/>
                    </a:prstGeom>
                  </pic:spPr>
                </pic:pic>
              </a:graphicData>
            </a:graphic>
          </wp:anchor>
        </w:drawing>
      </w:r>
      <w:r>
        <w:rPr/>
        <w:t>See</w:t>
      </w:r>
      <w:r>
        <w:rPr>
          <w:spacing w:val="57"/>
        </w:rPr>
        <w:t> </w:t>
      </w:r>
      <w:r>
        <w:rPr/>
        <w:t>above,</w:t>
      </w:r>
      <w:r>
        <w:rPr>
          <w:spacing w:val="57"/>
        </w:rPr>
        <w:t> </w:t>
      </w:r>
      <w:r>
        <w:rPr/>
        <w:t>para.26-216T.</w:t>
      </w:r>
      <w:r>
        <w:rPr>
          <w:spacing w:val="57"/>
        </w:rPr>
        <w:t> </w:t>
      </w:r>
      <w:r>
        <w:rPr/>
        <w:t>Possibly</w:t>
      </w:r>
      <w:r>
        <w:rPr>
          <w:spacing w:val="57"/>
        </w:rPr>
        <w:t> </w:t>
      </w:r>
      <w:r>
        <w:rPr/>
        <w:t>the</w:t>
      </w:r>
      <w:r>
        <w:rPr>
          <w:spacing w:val="57"/>
        </w:rPr>
        <w:t> </w:t>
      </w:r>
      <w:r>
        <w:rPr/>
        <w:t>penalty</w:t>
      </w:r>
      <w:r>
        <w:rPr>
          <w:spacing w:val="57"/>
        </w:rPr>
        <w:t> </w:t>
      </w:r>
      <w:r>
        <w:rPr/>
        <w:t>rule</w:t>
      </w:r>
      <w:r>
        <w:rPr>
          <w:spacing w:val="57"/>
        </w:rPr>
        <w:t> </w:t>
      </w:r>
      <w:r>
        <w:rPr/>
        <w:t>will</w:t>
      </w:r>
      <w:r>
        <w:rPr>
          <w:spacing w:val="57"/>
        </w:rPr>
        <w:t> </w:t>
      </w:r>
      <w:r>
        <w:rPr/>
        <w:t>apply</w:t>
      </w:r>
      <w:r>
        <w:rPr>
          <w:spacing w:val="57"/>
        </w:rPr>
        <w:t> </w:t>
      </w:r>
      <w:r>
        <w:rPr/>
        <w:t>if</w:t>
      </w:r>
      <w:r>
        <w:rPr>
          <w:spacing w:val="57"/>
        </w:rPr>
        <w:t> </w:t>
      </w:r>
      <w:r>
        <w:rPr/>
        <w:t>the</w:t>
      </w:r>
      <w:r>
        <w:rPr>
          <w:spacing w:val="57"/>
        </w:rPr>
        <w:t> </w:t>
      </w:r>
      <w:r>
        <w:rPr/>
        <w:t>tenant</w:t>
      </w:r>
      <w:r>
        <w:rPr>
          <w:spacing w:val="57"/>
        </w:rPr>
        <w:t> </w:t>
      </w:r>
      <w:r>
        <w:rPr/>
        <w:t>has</w:t>
      </w:r>
      <w:r>
        <w:rPr>
          <w:spacing w:val="57"/>
        </w:rPr>
        <w:t> </w:t>
      </w:r>
      <w:r>
        <w:rPr/>
        <w:t>paid</w:t>
      </w:r>
      <w:r>
        <w:rPr>
          <w:spacing w:val="57"/>
        </w:rPr>
        <w:t> </w:t>
      </w:r>
      <w:r>
        <w:rPr>
          <w:spacing w:val="-10"/>
        </w:rPr>
        <w:t>a</w:t>
      </w:r>
    </w:p>
    <w:p>
      <w:pPr>
        <w:pStyle w:val="BodyText"/>
        <w:spacing w:line="235" w:lineRule="auto" w:before="2"/>
        <w:ind w:left="705" w:right="174"/>
      </w:pPr>
      <w:r>
        <w:rPr/>
        <w:t>substantial premium in advance and will lose the benefit of that as well as losing the </w:t>
      </w:r>
      <w:r>
        <w:rPr/>
        <w:t>premises, but this suggestion is speculative.</w:t>
      </w:r>
    </w:p>
    <w:p>
      <w:pPr>
        <w:pStyle w:val="BodyText"/>
        <w:spacing w:before="12"/>
      </w:pPr>
    </w:p>
    <w:p>
      <w:pPr>
        <w:spacing w:line="137" w:lineRule="exact" w:before="0"/>
        <w:ind w:left="165" w:right="0" w:firstLine="0"/>
        <w:jc w:val="left"/>
        <w:rPr>
          <w:sz w:val="14"/>
        </w:rPr>
      </w:pPr>
      <w:bookmarkStart w:name="_bookmark2600" w:id="2602"/>
      <w:bookmarkEnd w:id="2602"/>
      <w:r>
        <w:rPr/>
      </w:r>
      <w:hyperlink w:history="true" w:anchor="_bookmark2561">
        <w:r>
          <w:rPr>
            <w:color w:val="005DA1"/>
            <w:spacing w:val="-2"/>
            <w:sz w:val="14"/>
            <w:u w:val="single" w:color="005DA1"/>
          </w:rPr>
          <w:t>1361</w:t>
        </w:r>
      </w:hyperlink>
      <w:r>
        <w:rPr>
          <w:spacing w:val="-2"/>
          <w:sz w:val="14"/>
        </w:rPr>
        <w:t>.</w:t>
      </w:r>
    </w:p>
    <w:p>
      <w:pPr>
        <w:pStyle w:val="BodyText"/>
        <w:spacing w:line="206" w:lineRule="exact"/>
        <w:ind w:left="875"/>
      </w:pPr>
      <w:r>
        <w:rPr/>
        <w:drawing>
          <wp:anchor distT="0" distB="0" distL="0" distR="0" allowOverlap="1" layoutInCell="1" locked="0" behindDoc="0" simplePos="0" relativeHeight="15881728">
            <wp:simplePos x="0" y="0"/>
            <wp:positionH relativeFrom="page">
              <wp:posOffset>1257846</wp:posOffset>
            </wp:positionH>
            <wp:positionV relativeFrom="paragraph">
              <wp:posOffset>13066</wp:posOffset>
            </wp:positionV>
            <wp:extent cx="107988" cy="107988"/>
            <wp:effectExtent l="0" t="0" r="0" b="0"/>
            <wp:wrapNone/>
            <wp:docPr id="1273" name="Image 1273"/>
            <wp:cNvGraphicFramePr>
              <a:graphicFrameLocks/>
            </wp:cNvGraphicFramePr>
            <a:graphic>
              <a:graphicData uri="http://schemas.openxmlformats.org/drawingml/2006/picture">
                <pic:pic>
                  <pic:nvPicPr>
                    <pic:cNvPr id="1273" name="Image 1273"/>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2"/>
        </w:rPr>
        <w:t>216T.</w:t>
      </w:r>
    </w:p>
    <w:p>
      <w:pPr>
        <w:pStyle w:val="BodyText"/>
        <w:spacing w:before="12"/>
      </w:pPr>
    </w:p>
    <w:p>
      <w:pPr>
        <w:spacing w:line="137" w:lineRule="exact" w:before="1"/>
        <w:ind w:left="165" w:right="0" w:firstLine="0"/>
        <w:jc w:val="left"/>
        <w:rPr>
          <w:sz w:val="14"/>
        </w:rPr>
      </w:pPr>
      <w:bookmarkStart w:name="_bookmark2601" w:id="2603"/>
      <w:bookmarkEnd w:id="2603"/>
      <w:r>
        <w:rPr/>
      </w:r>
      <w:hyperlink w:history="true" w:anchor="_bookmark2562">
        <w:r>
          <w:rPr>
            <w:color w:val="005DA1"/>
            <w:spacing w:val="-2"/>
            <w:sz w:val="14"/>
            <w:u w:val="single" w:color="005DA1"/>
          </w:rPr>
          <w:t>1362</w:t>
        </w:r>
      </w:hyperlink>
      <w:r>
        <w:rPr>
          <w:spacing w:val="-2"/>
          <w:sz w:val="14"/>
        </w:rPr>
        <w:t>.</w:t>
      </w:r>
    </w:p>
    <w:p>
      <w:pPr>
        <w:pStyle w:val="BodyText"/>
        <w:spacing w:line="206" w:lineRule="exact"/>
        <w:ind w:left="875"/>
      </w:pPr>
      <w:r>
        <w:rPr/>
        <w:drawing>
          <wp:anchor distT="0" distB="0" distL="0" distR="0" allowOverlap="1" layoutInCell="1" locked="0" behindDoc="0" simplePos="0" relativeHeight="15882240">
            <wp:simplePos x="0" y="0"/>
            <wp:positionH relativeFrom="page">
              <wp:posOffset>1257846</wp:posOffset>
            </wp:positionH>
            <wp:positionV relativeFrom="paragraph">
              <wp:posOffset>12582</wp:posOffset>
            </wp:positionV>
            <wp:extent cx="107988" cy="107988"/>
            <wp:effectExtent l="0" t="0" r="0" b="0"/>
            <wp:wrapNone/>
            <wp:docPr id="1274" name="Image 1274"/>
            <wp:cNvGraphicFramePr>
              <a:graphicFrameLocks/>
            </wp:cNvGraphicFramePr>
            <a:graphic>
              <a:graphicData uri="http://schemas.openxmlformats.org/drawingml/2006/picture">
                <pic:pic>
                  <pic:nvPicPr>
                    <pic:cNvPr id="1274" name="Image 1274"/>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2"/>
        </w:rPr>
        <w:t>216B.</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62"/>
          <w:pgSz w:w="11900" w:h="16840"/>
          <w:pgMar w:header="971" w:footer="0" w:top="1300" w:bottom="280" w:left="1275" w:right="1275"/>
        </w:sectPr>
      </w:pPr>
    </w:p>
    <w:p>
      <w:pPr>
        <w:pStyle w:val="Heading1"/>
      </w:pPr>
      <w:bookmarkStart w:name="_bookmark2609" w:id="2604"/>
      <w:bookmarkEnd w:id="2604"/>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271" w:right="0" w:firstLine="0"/>
        <w:jc w:val="left"/>
        <w:rPr>
          <w:rFonts w:ascii="Arial"/>
          <w:b/>
          <w:sz w:val="24"/>
        </w:rPr>
      </w:pPr>
      <w:r>
        <w:rPr>
          <w:rFonts w:ascii="Arial"/>
          <w:b/>
          <w:sz w:val="24"/>
        </w:rPr>
        <w:t>(h) - Deposits and Forfeiture of Sums </w:t>
      </w:r>
      <w:r>
        <w:rPr>
          <w:rFonts w:ascii="Arial"/>
          <w:b/>
          <w:spacing w:val="-4"/>
          <w:sz w:val="24"/>
        </w:rPr>
        <w:t>Paid</w:t>
      </w:r>
    </w:p>
    <w:p>
      <w:pPr>
        <w:pStyle w:val="ListParagraph"/>
        <w:numPr>
          <w:ilvl w:val="0"/>
          <w:numId w:val="13"/>
        </w:numPr>
        <w:tabs>
          <w:tab w:pos="1257" w:val="left" w:leader="none"/>
        </w:tabs>
        <w:spacing w:line="240" w:lineRule="auto" w:before="194" w:after="0"/>
        <w:ind w:left="1257" w:right="0" w:hanging="426"/>
        <w:jc w:val="left"/>
        <w:rPr>
          <w:b/>
          <w:sz w:val="24"/>
        </w:rPr>
      </w:pPr>
      <w:r>
        <w:rPr>
          <w:b/>
          <w:sz w:val="24"/>
        </w:rPr>
        <w:t>- Deposits and Forfeiture of Money Paid in Consumer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Consumer Credit Act </w:t>
      </w:r>
      <w:r>
        <w:rPr>
          <w:rFonts w:ascii="Arial"/>
          <w:b/>
          <w:spacing w:val="-4"/>
          <w:sz w:val="18"/>
        </w:rPr>
        <w:t>1974</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2"/>
          <w:sz w:val="24"/>
        </w:rPr>
        <w:t>216AA</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276" name="Image 1276"/>
            <wp:cNvGraphicFramePr>
              <a:graphicFrameLocks/>
            </wp:cNvGraphicFramePr>
            <a:graphic>
              <a:graphicData uri="http://schemas.openxmlformats.org/drawingml/2006/picture">
                <pic:pic>
                  <pic:nvPicPr>
                    <pic:cNvPr id="1276" name="Image 12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2602" w:id="2605"/>
      <w:bookmarkEnd w:id="2605"/>
      <w:r>
        <w:rPr>
          <w:rFonts w:ascii="Times New Roman"/>
          <w:spacing w:val="21"/>
        </w:rPr>
      </w:r>
      <w:r>
        <w:rPr/>
        <w:t>Some</w:t>
      </w:r>
      <w:r>
        <w:rPr>
          <w:spacing w:val="17"/>
        </w:rPr>
        <w:t> </w:t>
      </w:r>
      <w:r>
        <w:rPr/>
        <w:t>of</w:t>
      </w:r>
      <w:r>
        <w:rPr>
          <w:spacing w:val="17"/>
        </w:rPr>
        <w:t> </w:t>
      </w:r>
      <w:r>
        <w:rPr/>
        <w:t>the</w:t>
      </w:r>
      <w:r>
        <w:rPr>
          <w:spacing w:val="17"/>
        </w:rPr>
        <w:t> </w:t>
      </w:r>
      <w:r>
        <w:rPr/>
        <w:t>problems</w:t>
      </w:r>
      <w:r>
        <w:rPr>
          <w:spacing w:val="17"/>
        </w:rPr>
        <w:t> </w:t>
      </w:r>
      <w:r>
        <w:rPr/>
        <w:t>created</w:t>
      </w:r>
      <w:r>
        <w:rPr>
          <w:spacing w:val="17"/>
        </w:rPr>
        <w:t> </w:t>
      </w:r>
      <w:r>
        <w:rPr/>
        <w:t>by</w:t>
      </w:r>
      <w:r>
        <w:rPr>
          <w:spacing w:val="17"/>
        </w:rPr>
        <w:t> </w:t>
      </w:r>
      <w:r>
        <w:rPr/>
        <w:t>contractual</w:t>
      </w:r>
      <w:r>
        <w:rPr>
          <w:spacing w:val="17"/>
        </w:rPr>
        <w:t> </w:t>
      </w:r>
      <w:r>
        <w:rPr/>
        <w:t>provisions</w:t>
      </w:r>
      <w:r>
        <w:rPr>
          <w:spacing w:val="17"/>
        </w:rPr>
        <w:t> </w:t>
      </w:r>
      <w:r>
        <w:rPr/>
        <w:t>requiring</w:t>
      </w:r>
      <w:r>
        <w:rPr>
          <w:spacing w:val="17"/>
        </w:rPr>
        <w:t> </w:t>
      </w:r>
      <w:r>
        <w:rPr/>
        <w:t>payments</w:t>
      </w:r>
      <w:r>
        <w:rPr>
          <w:spacing w:val="17"/>
        </w:rPr>
        <w:t> </w:t>
      </w:r>
      <w:r>
        <w:rPr/>
        <w:t>on</w:t>
      </w:r>
      <w:r>
        <w:rPr>
          <w:spacing w:val="17"/>
        </w:rPr>
        <w:t> </w:t>
      </w:r>
      <w:r>
        <w:rPr/>
        <w:t>the</w:t>
      </w:r>
      <w:r>
        <w:rPr>
          <w:spacing w:val="17"/>
        </w:rPr>
        <w:t> </w:t>
      </w:r>
      <w:r>
        <w:rPr/>
        <w:t>occurrence</w:t>
      </w:r>
      <w:r>
        <w:rPr>
          <w:spacing w:val="17"/>
        </w:rPr>
        <w:t> </w:t>
      </w:r>
      <w:r>
        <w:rPr/>
        <w:t>of</w:t>
      </w:r>
    </w:p>
    <w:p>
      <w:pPr>
        <w:pStyle w:val="BodyText"/>
        <w:spacing w:line="235" w:lineRule="auto" w:before="118"/>
        <w:ind w:left="165" w:right="167"/>
        <w:jc w:val="both"/>
      </w:pPr>
      <w:r>
        <w:rPr/>
        <w:t>specified events will be governed by the Consumer Credit Act 1974. </w:t>
      </w:r>
      <w:hyperlink w:history="true" w:anchor="_bookmark2617">
        <w:r>
          <w:rPr>
            <w:color w:val="005DA1"/>
            <w:u w:val="single" w:color="005DA1"/>
            <w:vertAlign w:val="superscript"/>
          </w:rPr>
          <w:t>1363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277" name="Image 1277"/>
              <wp:cNvGraphicFramePr>
                <a:graphicFrameLocks/>
              </wp:cNvGraphicFramePr>
              <a:graphic>
                <a:graphicData uri="http://schemas.openxmlformats.org/drawingml/2006/picture">
                  <pic:pic>
                    <pic:nvPicPr>
                      <pic:cNvPr id="1277" name="Image 12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For instance, s.100(1) </w:t>
        </w:r>
        <w:bookmarkStart w:name="_bookmark2603" w:id="2606"/>
        <w:bookmarkEnd w:id="2606"/>
        <w:r>
          <w:rPr>
            <w:vertAlign w:val="baseline"/>
          </w:rPr>
          <w:t>provides</w:t>
        </w:r>
        <w:r>
          <w:rPr>
            <w:spacing w:val="54"/>
            <w:vertAlign w:val="baseline"/>
          </w:rPr>
          <w:t> </w:t>
        </w:r>
        <w:r>
          <w:rPr>
            <w:vertAlign w:val="baseline"/>
          </w:rPr>
          <w:t>that</w:t>
        </w:r>
        <w:r>
          <w:rPr>
            <w:spacing w:val="54"/>
            <w:vertAlign w:val="baseline"/>
          </w:rPr>
          <w:t> </w:t>
        </w:r>
        <w:r>
          <w:rPr>
            <w:vertAlign w:val="baseline"/>
          </w:rPr>
          <w:t>where</w:t>
        </w:r>
        <w:r>
          <w:rPr>
            <w:spacing w:val="54"/>
            <w:vertAlign w:val="baseline"/>
          </w:rPr>
          <w:t> </w:t>
        </w:r>
        <w:r>
          <w:rPr>
            <w:vertAlign w:val="baseline"/>
          </w:rPr>
          <w:t>a</w:t>
        </w:r>
        <w:r>
          <w:rPr>
            <w:spacing w:val="54"/>
            <w:vertAlign w:val="baseline"/>
          </w:rPr>
          <w:t> </w:t>
        </w:r>
        <w:r>
          <w:rPr>
            <w:vertAlign w:val="baseline"/>
          </w:rPr>
          <w:t>debtor</w:t>
        </w:r>
        <w:r>
          <w:rPr>
            <w:spacing w:val="54"/>
            <w:vertAlign w:val="baseline"/>
          </w:rPr>
          <w:t> </w:t>
        </w:r>
        <w:r>
          <w:rPr>
            <w:vertAlign w:val="baseline"/>
          </w:rPr>
          <w:t>under</w:t>
        </w:r>
        <w:r>
          <w:rPr>
            <w:spacing w:val="54"/>
            <w:vertAlign w:val="baseline"/>
          </w:rPr>
          <w:t> </w:t>
        </w:r>
        <w:r>
          <w:rPr>
            <w:vertAlign w:val="baseline"/>
          </w:rPr>
          <w:t>a</w:t>
        </w:r>
        <w:r>
          <w:rPr>
            <w:spacing w:val="54"/>
            <w:vertAlign w:val="baseline"/>
          </w:rPr>
          <w:t> </w:t>
        </w:r>
        <w:r>
          <w:rPr>
            <w:vertAlign w:val="baseline"/>
          </w:rPr>
          <w:t>regulated</w:t>
        </w:r>
        <w:r>
          <w:rPr>
            <w:spacing w:val="54"/>
            <w:vertAlign w:val="baseline"/>
          </w:rPr>
          <w:t> </w:t>
        </w:r>
        <w:r>
          <w:rPr>
            <w:vertAlign w:val="baseline"/>
          </w:rPr>
          <w:t>hire-purchase</w:t>
        </w:r>
        <w:r>
          <w:rPr>
            <w:spacing w:val="54"/>
            <w:vertAlign w:val="baseline"/>
          </w:rPr>
          <w:t> </w:t>
        </w:r>
        <w:r>
          <w:rPr>
            <w:vertAlign w:val="baseline"/>
          </w:rPr>
          <w:t>(or</w:t>
        </w:r>
        <w:r>
          <w:rPr>
            <w:spacing w:val="54"/>
            <w:vertAlign w:val="baseline"/>
          </w:rPr>
          <w:t> </w:t>
        </w:r>
        <w:r>
          <w:rPr>
            <w:vertAlign w:val="baseline"/>
          </w:rPr>
          <w:t>a</w:t>
        </w:r>
        <w:r>
          <w:rPr>
            <w:spacing w:val="54"/>
            <w:vertAlign w:val="baseline"/>
          </w:rPr>
          <w:t> </w:t>
        </w:r>
        <w:r>
          <w:rPr>
            <w:vertAlign w:val="baseline"/>
          </w:rPr>
          <w:t>regulated</w:t>
        </w:r>
        <w:r>
          <w:rPr>
            <w:spacing w:val="54"/>
            <w:vertAlign w:val="baseline"/>
          </w:rPr>
          <w:t> </w:t>
        </w:r>
        <w:r>
          <w:rPr>
            <w:vertAlign w:val="baseline"/>
          </w:rPr>
          <w:t>conditional</w:t>
        </w:r>
        <w:r>
          <w:rPr>
            <w:spacing w:val="54"/>
            <w:vertAlign w:val="baseline"/>
          </w:rPr>
          <w:t> </w:t>
        </w:r>
        <w:r>
          <w:rPr>
            <w:spacing w:val="-2"/>
            <w:vertAlign w:val="baseline"/>
          </w:rPr>
          <w:t>sale)</w:t>
        </w:r>
      </w:hyperlink>
    </w:p>
    <w:p>
      <w:pPr>
        <w:pStyle w:val="BodyText"/>
        <w:spacing w:line="235" w:lineRule="auto" w:before="120"/>
        <w:ind w:left="165" w:right="167"/>
        <w:jc w:val="both"/>
      </w:pPr>
      <w:r>
        <w:rPr/>
        <w:t>agreement </w:t>
      </w:r>
      <w:hyperlink w:history="true" w:anchor="_bookmark2618">
        <w:r>
          <w:rPr>
            <w:color w:val="005DA1"/>
            <w:u w:val="single" w:color="005DA1"/>
            <w:vertAlign w:val="superscript"/>
          </w:rPr>
          <w:t>1364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278" name="Image 1278"/>
              <wp:cNvGraphicFramePr>
                <a:graphicFrameLocks/>
              </wp:cNvGraphicFramePr>
              <a:graphic>
                <a:graphicData uri="http://schemas.openxmlformats.org/drawingml/2006/picture">
                  <pic:pic>
                    <pic:nvPicPr>
                      <pic:cNvPr id="1278" name="Image 12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has prematurely terminated the agreement, he shall be liable to pay the difference </w:t>
        </w:r>
        <w:bookmarkStart w:name="_bookmark2604" w:id="2607"/>
        <w:bookmarkEnd w:id="2607"/>
        <w:r>
          <w:rPr>
            <w:vertAlign w:val="baseline"/>
          </w:rPr>
          <w:t>between</w:t>
        </w:r>
        <w:r>
          <w:rPr>
            <w:vertAlign w:val="baseline"/>
          </w:rPr>
          <w:t> the sums already paid or payable by him and onehalf of the total price; but by s.100(3) </w:t>
        </w:r>
        <w:r>
          <w:rPr>
            <w:vertAlign w:val="baseline"/>
          </w:rPr>
          <w:t>the court</w:t>
        </w:r>
        <w:r>
          <w:rPr>
            <w:spacing w:val="3"/>
            <w:vertAlign w:val="baseline"/>
          </w:rPr>
          <w:t> </w:t>
        </w:r>
        <w:r>
          <w:rPr>
            <w:vertAlign w:val="baseline"/>
          </w:rPr>
          <w:t>may</w:t>
        </w:r>
        <w:r>
          <w:rPr>
            <w:spacing w:val="3"/>
            <w:vertAlign w:val="baseline"/>
          </w:rPr>
          <w:t> </w:t>
        </w:r>
        <w:r>
          <w:rPr>
            <w:vertAlign w:val="baseline"/>
          </w:rPr>
          <w:t>order</w:t>
        </w:r>
        <w:r>
          <w:rPr>
            <w:spacing w:val="3"/>
            <w:vertAlign w:val="baseline"/>
          </w:rPr>
          <w:t> </w:t>
        </w:r>
        <w:r>
          <w:rPr>
            <w:vertAlign w:val="baseline"/>
          </w:rPr>
          <w:t>payment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smaller</w:t>
        </w:r>
        <w:r>
          <w:rPr>
            <w:spacing w:val="3"/>
            <w:vertAlign w:val="baseline"/>
          </w:rPr>
          <w:t> </w:t>
        </w:r>
        <w:r>
          <w:rPr>
            <w:vertAlign w:val="baseline"/>
          </w:rPr>
          <w:t>sum</w:t>
        </w:r>
        <w:r>
          <w:rPr>
            <w:spacing w:val="3"/>
            <w:vertAlign w:val="baseline"/>
          </w:rPr>
          <w:t> </w:t>
        </w:r>
        <w:r>
          <w:rPr>
            <w:vertAlign w:val="baseline"/>
          </w:rPr>
          <w:t>if</w:t>
        </w:r>
        <w:r>
          <w:rPr>
            <w:spacing w:val="3"/>
            <w:vertAlign w:val="baseline"/>
          </w:rPr>
          <w:t> </w:t>
        </w:r>
        <w:r>
          <w:rPr>
            <w:vertAlign w:val="baseline"/>
          </w:rPr>
          <w:t>that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equal</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loss</w:t>
        </w:r>
        <w:r>
          <w:rPr>
            <w:spacing w:val="3"/>
            <w:vertAlign w:val="baseline"/>
          </w:rPr>
          <w:t> </w:t>
        </w:r>
        <w:r>
          <w:rPr>
            <w:vertAlign w:val="baseline"/>
          </w:rPr>
          <w:t>sustained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spacing w:val="-2"/>
            <w:vertAlign w:val="baseline"/>
          </w:rPr>
          <w:t>creditor.</w:t>
        </w:r>
      </w:hyperlink>
    </w:p>
    <w:p>
      <w:pPr>
        <w:pStyle w:val="BodyText"/>
        <w:spacing w:before="115"/>
        <w:ind w:left="165"/>
        <w:jc w:val="both"/>
      </w:pPr>
      <w:hyperlink w:history="true" w:anchor="_bookmark2619">
        <w:r>
          <w:rPr>
            <w:color w:val="005DA1"/>
            <w:u w:val="single" w:color="005DA1"/>
            <w:vertAlign w:val="superscript"/>
          </w:rPr>
          <w:t>1365</w:t>
        </w:r>
        <w:r>
          <w:rPr>
            <w:color w:val="005DA1"/>
            <w:spacing w:val="57"/>
            <w:vertAlign w:val="baseline"/>
          </w:rPr>
          <w:t>  </w:t>
        </w:r>
        <w:r>
          <w:rPr>
            <w:color w:val="005DA1"/>
            <w:spacing w:val="8"/>
            <w:position w:val="-2"/>
            <w:vertAlign w:val="baseline"/>
          </w:rPr>
          <w:drawing>
            <wp:inline distT="0" distB="0" distL="0" distR="0">
              <wp:extent cx="107988" cy="107988"/>
              <wp:effectExtent l="0" t="0" r="0" b="0"/>
              <wp:docPr id="1279" name="Image 1279"/>
              <wp:cNvGraphicFramePr>
                <a:graphicFrameLocks/>
              </wp:cNvGraphicFramePr>
              <a:graphic>
                <a:graphicData uri="http://schemas.openxmlformats.org/drawingml/2006/picture">
                  <pic:pic>
                    <pic:nvPicPr>
                      <pic:cNvPr id="1279" name="Image 12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17"/>
            <w:vertAlign w:val="baseline"/>
          </w:rPr>
          <w:t> </w:t>
        </w:r>
        <w:bookmarkStart w:name="_bookmark2605" w:id="2608"/>
        <w:bookmarkEnd w:id="2608"/>
        <w:r>
          <w:rPr>
            <w:rFonts w:ascii="Times New Roman"/>
            <w:color w:val="005DA1"/>
            <w:spacing w:val="18"/>
            <w:vertAlign w:val="baseline"/>
          </w:rPr>
        </w:r>
        <w:r>
          <w:rPr>
            <w:vertAlign w:val="baseline"/>
          </w:rPr>
          <w:t>The</w:t>
        </w:r>
        <w:r>
          <w:rPr>
            <w:spacing w:val="20"/>
            <w:vertAlign w:val="baseline"/>
          </w:rPr>
          <w:t> </w:t>
        </w:r>
        <w:r>
          <w:rPr>
            <w:vertAlign w:val="baseline"/>
          </w:rPr>
          <w:t>court</w:t>
        </w:r>
        <w:r>
          <w:rPr>
            <w:spacing w:val="19"/>
            <w:vertAlign w:val="baseline"/>
          </w:rPr>
          <w:t> </w:t>
        </w:r>
        <w:r>
          <w:rPr>
            <w:vertAlign w:val="baseline"/>
          </w:rPr>
          <w:t>is</w:t>
        </w:r>
        <w:r>
          <w:rPr>
            <w:spacing w:val="20"/>
            <w:vertAlign w:val="baseline"/>
          </w:rPr>
          <w:t> </w:t>
        </w:r>
        <w:r>
          <w:rPr>
            <w:vertAlign w:val="baseline"/>
          </w:rPr>
          <w:t>also</w:t>
        </w:r>
        <w:r>
          <w:rPr>
            <w:spacing w:val="20"/>
            <w:vertAlign w:val="baseline"/>
          </w:rPr>
          <w:t> </w:t>
        </w:r>
        <w:r>
          <w:rPr>
            <w:vertAlign w:val="baseline"/>
          </w:rPr>
          <w:t>empowered</w:t>
        </w:r>
        <w:r>
          <w:rPr>
            <w:spacing w:val="19"/>
            <w:vertAlign w:val="baseline"/>
          </w:rPr>
          <w:t> </w:t>
        </w:r>
        <w:r>
          <w:rPr>
            <w:vertAlign w:val="baseline"/>
          </w:rPr>
          <w:t>to</w:t>
        </w:r>
        <w:r>
          <w:rPr>
            <w:spacing w:val="20"/>
            <w:vertAlign w:val="baseline"/>
          </w:rPr>
          <w:t> </w:t>
        </w:r>
        <w:r>
          <w:rPr>
            <w:vertAlign w:val="baseline"/>
          </w:rPr>
          <w:t>intervene</w:t>
        </w:r>
        <w:r>
          <w:rPr>
            <w:spacing w:val="20"/>
            <w:vertAlign w:val="baseline"/>
          </w:rPr>
          <w:t> </w:t>
        </w:r>
        <w:r>
          <w:rPr>
            <w:vertAlign w:val="baseline"/>
          </w:rPr>
          <w:t>if</w:t>
        </w:r>
        <w:r>
          <w:rPr>
            <w:spacing w:val="20"/>
            <w:vertAlign w:val="baseline"/>
          </w:rPr>
          <w:t> </w:t>
        </w:r>
        <w:r>
          <w:rPr>
            <w:vertAlign w:val="baseline"/>
          </w:rPr>
          <w:t>it</w:t>
        </w:r>
        <w:r>
          <w:rPr>
            <w:spacing w:val="19"/>
            <w:vertAlign w:val="baseline"/>
          </w:rPr>
          <w:t> </w:t>
        </w:r>
        <w:r>
          <w:rPr>
            <w:vertAlign w:val="baseline"/>
          </w:rPr>
          <w:t>determines</w:t>
        </w:r>
        <w:r>
          <w:rPr>
            <w:spacing w:val="20"/>
            <w:vertAlign w:val="baseline"/>
          </w:rPr>
          <w:t> </w:t>
        </w:r>
        <w:r>
          <w:rPr>
            <w:vertAlign w:val="baseline"/>
          </w:rPr>
          <w:t>that</w:t>
        </w:r>
        <w:r>
          <w:rPr>
            <w:spacing w:val="20"/>
            <w:vertAlign w:val="baseline"/>
          </w:rPr>
          <w:t> </w:t>
        </w:r>
        <w:r>
          <w:rPr>
            <w:vertAlign w:val="baseline"/>
          </w:rPr>
          <w:t>the</w:t>
        </w:r>
        <w:r>
          <w:rPr>
            <w:spacing w:val="19"/>
            <w:vertAlign w:val="baseline"/>
          </w:rPr>
          <w:t> </w:t>
        </w:r>
        <w:r>
          <w:rPr>
            <w:vertAlign w:val="baseline"/>
          </w:rPr>
          <w:t>relationship</w:t>
        </w:r>
        <w:r>
          <w:rPr>
            <w:spacing w:val="20"/>
            <w:vertAlign w:val="baseline"/>
          </w:rPr>
          <w:t> </w:t>
        </w:r>
        <w:r>
          <w:rPr>
            <w:vertAlign w:val="baseline"/>
          </w:rPr>
          <w:t>between</w:t>
        </w:r>
        <w:r>
          <w:rPr>
            <w:spacing w:val="20"/>
            <w:vertAlign w:val="baseline"/>
          </w:rPr>
          <w:t> </w:t>
        </w:r>
        <w:r>
          <w:rPr>
            <w:spacing w:val="-5"/>
            <w:vertAlign w:val="baseline"/>
          </w:rPr>
          <w:t>the</w:t>
        </w:r>
      </w:hyperlink>
    </w:p>
    <w:p>
      <w:pPr>
        <w:pStyle w:val="BodyText"/>
        <w:spacing w:line="235" w:lineRule="auto" w:before="118"/>
        <w:ind w:left="165" w:right="168"/>
        <w:jc w:val="both"/>
      </w:pPr>
      <w:r>
        <w:rPr/>
        <w:t>creditor and the debtor is “unfair”. </w:t>
      </w:r>
      <w:hyperlink w:history="true" w:anchor="_bookmark2620">
        <w:r>
          <w:rPr>
            <w:color w:val="005DA1"/>
            <w:u w:val="single" w:color="005DA1"/>
            <w:vertAlign w:val="superscript"/>
          </w:rPr>
          <w:t>1366</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280" name="Image 1280"/>
              <wp:cNvGraphicFramePr>
                <a:graphicFrameLocks/>
              </wp:cNvGraphicFramePr>
              <a:graphic>
                <a:graphicData uri="http://schemas.openxmlformats.org/drawingml/2006/picture">
                  <pic:pic>
                    <pic:nvPicPr>
                      <pic:cNvPr id="1280" name="Image 12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It may determine that the relationship is unfair because </w:t>
        </w:r>
        <w:r>
          <w:rPr>
            <w:vertAlign w:val="baseline"/>
          </w:rPr>
          <w:t>of one or more of the following:</w:t>
        </w:r>
      </w:hyperlink>
    </w:p>
    <w:p>
      <w:pPr>
        <w:pStyle w:val="BodyText"/>
      </w:pPr>
    </w:p>
    <w:p>
      <w:pPr>
        <w:pStyle w:val="BodyText"/>
        <w:spacing w:before="196"/>
      </w:pPr>
    </w:p>
    <w:p>
      <w:pPr>
        <w:pStyle w:val="BodyText"/>
        <w:ind w:left="165"/>
      </w:pPr>
      <w:r>
        <w:rPr>
          <w:spacing w:val="-5"/>
        </w:rPr>
        <w:t>(a)</w:t>
      </w:r>
    </w:p>
    <w:p>
      <w:pPr>
        <w:pStyle w:val="BodyText"/>
        <w:spacing w:before="110"/>
        <w:ind w:left="645"/>
      </w:pPr>
      <w:r>
        <w:rPr/>
        <w:t>any of the terms of the agreement or of any related </w:t>
      </w:r>
      <w:r>
        <w:rPr>
          <w:spacing w:val="-2"/>
        </w:rPr>
        <w:t>agreement;</w:t>
      </w:r>
    </w:p>
    <w:p>
      <w:pPr>
        <w:pStyle w:val="BodyText"/>
      </w:pPr>
    </w:p>
    <w:p>
      <w:pPr>
        <w:pStyle w:val="BodyText"/>
        <w:spacing w:before="35"/>
      </w:pPr>
    </w:p>
    <w:p>
      <w:pPr>
        <w:pStyle w:val="BodyText"/>
        <w:ind w:left="165"/>
      </w:pPr>
      <w:r>
        <w:rPr>
          <w:spacing w:val="-5"/>
        </w:rPr>
        <w:t>(b)</w:t>
      </w:r>
    </w:p>
    <w:p>
      <w:pPr>
        <w:pStyle w:val="BodyText"/>
        <w:spacing w:line="235" w:lineRule="auto" w:before="114"/>
        <w:ind w:left="645"/>
      </w:pPr>
      <w:r>
        <w:rPr/>
        <w:t>the way in which the creditor has exercised or enforced any of his rights under the agreement </w:t>
      </w:r>
      <w:r>
        <w:rPr/>
        <w:t>or any related agreement;</w:t>
      </w:r>
    </w:p>
    <w:p>
      <w:pPr>
        <w:pStyle w:val="BodyText"/>
      </w:pPr>
    </w:p>
    <w:p>
      <w:pPr>
        <w:pStyle w:val="BodyText"/>
        <w:spacing w:before="35"/>
      </w:pPr>
    </w:p>
    <w:p>
      <w:pPr>
        <w:pStyle w:val="BodyText"/>
        <w:ind w:left="165"/>
      </w:pPr>
      <w:r>
        <w:rPr>
          <w:spacing w:val="-5"/>
        </w:rPr>
        <w:t>(c)</w:t>
      </w:r>
    </w:p>
    <w:p>
      <w:pPr>
        <w:pStyle w:val="BodyText"/>
        <w:spacing w:line="360" w:lineRule="auto" w:before="110"/>
        <w:ind w:left="645"/>
        <w:rPr>
          <w:position w:val="-2"/>
        </w:rPr>
      </w:pPr>
      <w:bookmarkStart w:name="_bookmark2606" w:id="2609"/>
      <w:bookmarkEnd w:id="2609"/>
      <w:r>
        <w:rPr/>
      </w:r>
      <w:r>
        <w:rPr/>
        <w:t>any</w:t>
      </w:r>
      <w:r>
        <w:rPr>
          <w:spacing w:val="24"/>
        </w:rPr>
        <w:t> </w:t>
      </w:r>
      <w:r>
        <w:rPr/>
        <w:t>other</w:t>
      </w:r>
      <w:r>
        <w:rPr>
          <w:spacing w:val="24"/>
        </w:rPr>
        <w:t> </w:t>
      </w:r>
      <w:r>
        <w:rPr/>
        <w:t>thing</w:t>
      </w:r>
      <w:r>
        <w:rPr>
          <w:spacing w:val="24"/>
        </w:rPr>
        <w:t> </w:t>
      </w:r>
      <w:r>
        <w:rPr/>
        <w:t>done</w:t>
      </w:r>
      <w:r>
        <w:rPr>
          <w:spacing w:val="24"/>
        </w:rPr>
        <w:t> </w:t>
      </w:r>
      <w:r>
        <w:rPr/>
        <w:t>(or</w:t>
      </w:r>
      <w:r>
        <w:rPr>
          <w:spacing w:val="24"/>
        </w:rPr>
        <w:t> </w:t>
      </w:r>
      <w:r>
        <w:rPr/>
        <w:t>not</w:t>
      </w:r>
      <w:r>
        <w:rPr>
          <w:spacing w:val="24"/>
        </w:rPr>
        <w:t> </w:t>
      </w:r>
      <w:r>
        <w:rPr/>
        <w:t>done)</w:t>
      </w:r>
      <w:r>
        <w:rPr>
          <w:spacing w:val="24"/>
        </w:rPr>
        <w:t> </w:t>
      </w:r>
      <w:r>
        <w:rPr/>
        <w:t>by,</w:t>
      </w:r>
      <w:r>
        <w:rPr>
          <w:spacing w:val="24"/>
        </w:rPr>
        <w:t> </w:t>
      </w:r>
      <w:r>
        <w:rPr/>
        <w:t>or</w:t>
      </w:r>
      <w:r>
        <w:rPr>
          <w:spacing w:val="24"/>
        </w:rPr>
        <w:t> </w:t>
      </w:r>
      <w:r>
        <w:rPr/>
        <w:t>on</w:t>
      </w:r>
      <w:r>
        <w:rPr>
          <w:spacing w:val="24"/>
        </w:rPr>
        <w:t> </w:t>
      </w:r>
      <w:r>
        <w:rPr/>
        <w:t>behalf</w:t>
      </w:r>
      <w:r>
        <w:rPr>
          <w:spacing w:val="24"/>
        </w:rPr>
        <w:t> </w:t>
      </w:r>
      <w:r>
        <w:rPr/>
        <w:t>of,</w:t>
      </w:r>
      <w:r>
        <w:rPr>
          <w:spacing w:val="24"/>
        </w:rPr>
        <w:t> </w:t>
      </w:r>
      <w:r>
        <w:rPr/>
        <w:t>the</w:t>
      </w:r>
      <w:r>
        <w:rPr>
          <w:spacing w:val="24"/>
        </w:rPr>
        <w:t> </w:t>
      </w:r>
      <w:r>
        <w:rPr/>
        <w:t>creditor</w:t>
      </w:r>
      <w:r>
        <w:rPr>
          <w:spacing w:val="24"/>
        </w:rPr>
        <w:t> </w:t>
      </w:r>
      <w:r>
        <w:rPr/>
        <w:t>(either</w:t>
      </w:r>
      <w:r>
        <w:rPr>
          <w:spacing w:val="24"/>
        </w:rPr>
        <w:t> </w:t>
      </w:r>
      <w:r>
        <w:rPr/>
        <w:t>before</w:t>
      </w:r>
      <w:r>
        <w:rPr>
          <w:spacing w:val="24"/>
        </w:rPr>
        <w:t> </w:t>
      </w:r>
      <w:r>
        <w:rPr/>
        <w:t>or</w:t>
      </w:r>
      <w:r>
        <w:rPr>
          <w:spacing w:val="24"/>
        </w:rPr>
        <w:t> </w:t>
      </w:r>
      <w:r>
        <w:rPr/>
        <w:t>after</w:t>
      </w:r>
      <w:r>
        <w:rPr>
          <w:spacing w:val="24"/>
        </w:rPr>
        <w:t> </w:t>
      </w:r>
      <w:r>
        <w:rPr/>
        <w:t>the making of the agreement or any related agreement). </w:t>
      </w:r>
      <w:hyperlink w:history="true" w:anchor="_bookmark2621">
        <w:r>
          <w:rPr>
            <w:color w:val="005DA1"/>
            <w:u w:val="single" w:color="005DA1"/>
            <w:vertAlign w:val="superscript"/>
          </w:rPr>
          <w:t>1367</w:t>
        </w:r>
        <w:r>
          <w:rPr>
            <w:color w:val="005DA1"/>
            <w:spacing w:val="80"/>
            <w:vertAlign w:val="baseline"/>
          </w:rPr>
          <w:t> </w:t>
        </w:r>
        <w:r>
          <w:rPr>
            <w:color w:val="005DA1"/>
            <w:position w:val="-2"/>
            <w:vertAlign w:val="baseline"/>
          </w:rPr>
          <w:drawing>
            <wp:inline distT="0" distB="0" distL="0" distR="0">
              <wp:extent cx="107988" cy="107988"/>
              <wp:effectExtent l="0" t="0" r="0" b="0"/>
              <wp:docPr id="1281" name="Image 1281"/>
              <wp:cNvGraphicFramePr>
                <a:graphicFrameLocks/>
              </wp:cNvGraphicFramePr>
              <a:graphic>
                <a:graphicData uri="http://schemas.openxmlformats.org/drawingml/2006/picture">
                  <pic:pic>
                    <pic:nvPicPr>
                      <pic:cNvPr id="1281" name="Image 12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94"/>
      </w:pPr>
    </w:p>
    <w:p>
      <w:pPr>
        <w:pStyle w:val="BodyText"/>
        <w:spacing w:line="235" w:lineRule="auto"/>
        <w:ind w:left="165" w:right="167"/>
        <w:jc w:val="both"/>
      </w:pPr>
      <w:r>
        <w:rPr/>
        <w:t>The court may, for example, require the creditor, or any associate of his, to repay (in whole or in part) </w:t>
      </w:r>
      <w:bookmarkStart w:name="_bookmark2607" w:id="2610"/>
      <w:bookmarkEnd w:id="2610"/>
      <w:r>
        <w:rPr/>
        <w:t>any</w:t>
      </w:r>
      <w:r>
        <w:rPr/>
        <w:t> sum paid by the debtor or by a surety, reduce or discharge any sum payable by the debtor or </w:t>
      </w:r>
      <w:r>
        <w:rPr/>
        <w:t>by</w:t>
      </w:r>
      <w:r>
        <w:rPr>
          <w:spacing w:val="80"/>
        </w:rPr>
        <w:t> </w:t>
      </w:r>
      <w:r>
        <w:rPr/>
        <w:t>a</w:t>
      </w:r>
      <w:r>
        <w:rPr>
          <w:spacing w:val="7"/>
        </w:rPr>
        <w:t> </w:t>
      </w:r>
      <w:r>
        <w:rPr/>
        <w:t>surety</w:t>
      </w:r>
      <w:r>
        <w:rPr>
          <w:spacing w:val="9"/>
        </w:rPr>
        <w:t> </w:t>
      </w:r>
      <w:r>
        <w:rPr/>
        <w:t>by</w:t>
      </w:r>
      <w:r>
        <w:rPr>
          <w:spacing w:val="9"/>
        </w:rPr>
        <w:t> </w:t>
      </w:r>
      <w:r>
        <w:rPr/>
        <w:t>virtue</w:t>
      </w:r>
      <w:r>
        <w:rPr>
          <w:spacing w:val="9"/>
        </w:rPr>
        <w:t> </w:t>
      </w:r>
      <w:r>
        <w:rPr/>
        <w:t>of</w:t>
      </w:r>
      <w:r>
        <w:rPr>
          <w:spacing w:val="9"/>
        </w:rPr>
        <w:t> </w:t>
      </w:r>
      <w:r>
        <w:rPr/>
        <w:t>the</w:t>
      </w:r>
      <w:r>
        <w:rPr>
          <w:spacing w:val="9"/>
        </w:rPr>
        <w:t> </w:t>
      </w:r>
      <w:r>
        <w:rPr/>
        <w:t>agreement,</w:t>
      </w:r>
      <w:r>
        <w:rPr>
          <w:spacing w:val="9"/>
        </w:rPr>
        <w:t> </w:t>
      </w:r>
      <w:r>
        <w:rPr/>
        <w:t>or</w:t>
      </w:r>
      <w:r>
        <w:rPr>
          <w:spacing w:val="9"/>
        </w:rPr>
        <w:t> </w:t>
      </w:r>
      <w:r>
        <w:rPr/>
        <w:t>alter</w:t>
      </w:r>
      <w:r>
        <w:rPr>
          <w:spacing w:val="9"/>
        </w:rPr>
        <w:t> </w:t>
      </w:r>
      <w:r>
        <w:rPr/>
        <w:t>the</w:t>
      </w:r>
      <w:r>
        <w:rPr>
          <w:spacing w:val="9"/>
        </w:rPr>
        <w:t> </w:t>
      </w:r>
      <w:r>
        <w:rPr/>
        <w:t>terms</w:t>
      </w:r>
      <w:r>
        <w:rPr>
          <w:spacing w:val="9"/>
        </w:rPr>
        <w:t> </w:t>
      </w:r>
      <w:r>
        <w:rPr/>
        <w:t>of</w:t>
      </w:r>
      <w:r>
        <w:rPr>
          <w:spacing w:val="9"/>
        </w:rPr>
        <w:t> </w:t>
      </w:r>
      <w:r>
        <w:rPr/>
        <w:t>the</w:t>
      </w:r>
      <w:r>
        <w:rPr>
          <w:spacing w:val="9"/>
        </w:rPr>
        <w:t> </w:t>
      </w:r>
      <w:r>
        <w:rPr/>
        <w:t>agreement</w:t>
      </w:r>
      <w:r>
        <w:rPr>
          <w:spacing w:val="9"/>
        </w:rPr>
        <w:t> </w:t>
      </w:r>
      <w:r>
        <w:rPr/>
        <w:t>or</w:t>
      </w:r>
      <w:r>
        <w:rPr>
          <w:spacing w:val="9"/>
        </w:rPr>
        <w:t> </w:t>
      </w:r>
      <w:r>
        <w:rPr/>
        <w:t>of</w:t>
      </w:r>
      <w:r>
        <w:rPr>
          <w:spacing w:val="9"/>
        </w:rPr>
        <w:t> </w:t>
      </w:r>
      <w:r>
        <w:rPr/>
        <w:t>any</w:t>
      </w:r>
      <w:r>
        <w:rPr>
          <w:spacing w:val="9"/>
        </w:rPr>
        <w:t> </w:t>
      </w:r>
      <w:r>
        <w:rPr/>
        <w:t>related</w:t>
      </w:r>
      <w:r>
        <w:rPr>
          <w:spacing w:val="9"/>
        </w:rPr>
        <w:t> </w:t>
      </w:r>
      <w:r>
        <w:rPr>
          <w:spacing w:val="-2"/>
        </w:rPr>
        <w:t>agreement.</w:t>
      </w:r>
    </w:p>
    <w:p>
      <w:pPr>
        <w:pStyle w:val="BodyText"/>
        <w:spacing w:line="235" w:lineRule="auto" w:before="119"/>
        <w:ind w:left="165" w:right="167"/>
        <w:jc w:val="both"/>
      </w:pPr>
      <w:hyperlink w:history="true" w:anchor="_bookmark2622">
        <w:r>
          <w:rPr>
            <w:color w:val="005DA1"/>
            <w:u w:val="single" w:color="005DA1"/>
            <w:vertAlign w:val="superscript"/>
          </w:rPr>
          <w:t>1368</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1282" name="Image 1282"/>
              <wp:cNvGraphicFramePr>
                <a:graphicFrameLocks/>
              </wp:cNvGraphicFramePr>
              <a:graphic>
                <a:graphicData uri="http://schemas.openxmlformats.org/drawingml/2006/picture">
                  <pic:pic>
                    <pic:nvPicPr>
                      <pic:cNvPr id="1282" name="Image 12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24"/>
            <w:vertAlign w:val="baseline"/>
          </w:rPr>
          <w:t> </w:t>
        </w:r>
        <w:r>
          <w:rPr>
            <w:vertAlign w:val="baseline"/>
          </w:rPr>
          <w:t>The Act will therefore cover many of the situations which arise in practice, and the </w:t>
        </w:r>
        <w:r>
          <w:rPr>
            <w:vertAlign w:val="baseline"/>
          </w:rPr>
          <w:t>common </w:t>
        </w:r>
        <w:bookmarkStart w:name="_bookmark2608" w:id="2611"/>
        <w:bookmarkEnd w:id="2611"/>
        <w:r>
          <w:rPr>
            <w:vertAlign w:val="baseline"/>
          </w:rPr>
          <w:t>law</w:t>
        </w:r>
        <w:r>
          <w:rPr>
            <w:spacing w:val="53"/>
            <w:vertAlign w:val="baseline"/>
          </w:rPr>
          <w:t> </w:t>
        </w:r>
        <w:r>
          <w:rPr>
            <w:vertAlign w:val="baseline"/>
          </w:rPr>
          <w:t>and</w:t>
        </w:r>
        <w:r>
          <w:rPr>
            <w:spacing w:val="53"/>
            <w:vertAlign w:val="baseline"/>
          </w:rPr>
          <w:t> </w:t>
        </w:r>
        <w:r>
          <w:rPr>
            <w:vertAlign w:val="baseline"/>
          </w:rPr>
          <w:t>equitable</w:t>
        </w:r>
        <w:r>
          <w:rPr>
            <w:spacing w:val="53"/>
            <w:vertAlign w:val="baseline"/>
          </w:rPr>
          <w:t> </w:t>
        </w:r>
        <w:r>
          <w:rPr>
            <w:vertAlign w:val="baseline"/>
          </w:rPr>
          <w:t>rules</w:t>
        </w:r>
        <w:r>
          <w:rPr>
            <w:spacing w:val="53"/>
            <w:vertAlign w:val="baseline"/>
          </w:rPr>
          <w:t> </w:t>
        </w:r>
        <w:r>
          <w:rPr>
            <w:vertAlign w:val="baseline"/>
          </w:rPr>
          <w:t>will</w:t>
        </w:r>
        <w:r>
          <w:rPr>
            <w:spacing w:val="53"/>
            <w:vertAlign w:val="baseline"/>
          </w:rPr>
          <w:t> </w:t>
        </w:r>
        <w:r>
          <w:rPr>
            <w:vertAlign w:val="baseline"/>
          </w:rPr>
          <w:t>not</w:t>
        </w:r>
        <w:r>
          <w:rPr>
            <w:spacing w:val="53"/>
            <w:vertAlign w:val="baseline"/>
          </w:rPr>
          <w:t> </w:t>
        </w:r>
        <w:r>
          <w:rPr>
            <w:vertAlign w:val="baseline"/>
          </w:rPr>
          <w:t>need</w:t>
        </w:r>
        <w:r>
          <w:rPr>
            <w:spacing w:val="53"/>
            <w:vertAlign w:val="baseline"/>
          </w:rPr>
          <w:t> </w:t>
        </w:r>
        <w:r>
          <w:rPr>
            <w:vertAlign w:val="baseline"/>
          </w:rPr>
          <w:t>to</w:t>
        </w:r>
        <w:r>
          <w:rPr>
            <w:spacing w:val="53"/>
            <w:vertAlign w:val="baseline"/>
          </w:rPr>
          <w:t> </w:t>
        </w:r>
        <w:r>
          <w:rPr>
            <w:vertAlign w:val="baseline"/>
          </w:rPr>
          <w:t>be</w:t>
        </w:r>
        <w:r>
          <w:rPr>
            <w:spacing w:val="53"/>
            <w:vertAlign w:val="baseline"/>
          </w:rPr>
          <w:t> </w:t>
        </w:r>
        <w:r>
          <w:rPr>
            <w:vertAlign w:val="baseline"/>
          </w:rPr>
          <w:t>applied.</w:t>
        </w:r>
        <w:r>
          <w:rPr>
            <w:spacing w:val="53"/>
            <w:vertAlign w:val="baseline"/>
          </w:rPr>
          <w:t> </w:t>
        </w:r>
        <w:r>
          <w:rPr>
            <w:vertAlign w:val="baseline"/>
          </w:rPr>
          <w:t>Thus,</w:t>
        </w:r>
        <w:r>
          <w:rPr>
            <w:spacing w:val="53"/>
            <w:vertAlign w:val="baseline"/>
          </w:rPr>
          <w:t> </w:t>
        </w:r>
        <w:r>
          <w:rPr>
            <w:vertAlign w:val="baseline"/>
          </w:rPr>
          <w:t>it</w:t>
        </w:r>
        <w:r>
          <w:rPr>
            <w:spacing w:val="53"/>
            <w:vertAlign w:val="baseline"/>
          </w:rPr>
          <w:t> </w:t>
        </w:r>
        <w:r>
          <w:rPr>
            <w:vertAlign w:val="baseline"/>
          </w:rPr>
          <w:t>is</w:t>
        </w:r>
        <w:r>
          <w:rPr>
            <w:spacing w:val="53"/>
            <w:vertAlign w:val="baseline"/>
          </w:rPr>
          <w:t> </w:t>
        </w:r>
        <w:r>
          <w:rPr>
            <w:vertAlign w:val="baseline"/>
          </w:rPr>
          <w:t>uncertain</w:t>
        </w:r>
        <w:r>
          <w:rPr>
            <w:spacing w:val="53"/>
            <w:vertAlign w:val="baseline"/>
          </w:rPr>
          <w:t> </w:t>
        </w:r>
        <w:r>
          <w:rPr>
            <w:vertAlign w:val="baseline"/>
          </w:rPr>
          <w:t>how</w:t>
        </w:r>
        <w:r>
          <w:rPr>
            <w:spacing w:val="53"/>
            <w:vertAlign w:val="baseline"/>
          </w:rPr>
          <w:t> </w:t>
        </w:r>
        <w:r>
          <w:rPr>
            <w:vertAlign w:val="baseline"/>
          </w:rPr>
          <w:t>far</w:t>
        </w:r>
        <w:r>
          <w:rPr>
            <w:spacing w:val="53"/>
            <w:vertAlign w:val="baseline"/>
          </w:rPr>
          <w:t> </w:t>
        </w:r>
        <w:r>
          <w:rPr>
            <w:vertAlign w:val="baseline"/>
          </w:rPr>
          <w:t>the</w:t>
        </w:r>
        <w:r>
          <w:rPr>
            <w:spacing w:val="53"/>
            <w:vertAlign w:val="baseline"/>
          </w:rPr>
          <w:t> </w:t>
        </w:r>
        <w:r>
          <w:rPr>
            <w:spacing w:val="-2"/>
            <w:vertAlign w:val="baseline"/>
          </w:rPr>
          <w:t>principle</w:t>
        </w:r>
      </w:hyperlink>
    </w:p>
    <w:p>
      <w:pPr>
        <w:sectPr>
          <w:headerReference w:type="default" r:id="rId63"/>
          <w:pgSz w:w="11900" w:h="16840"/>
          <w:pgMar w:header="971" w:footer="0" w:top="1300" w:bottom="280" w:left="1275" w:right="1275"/>
          <w:pgNumType w:start="1"/>
        </w:sectPr>
      </w:pPr>
    </w:p>
    <w:p>
      <w:pPr>
        <w:pStyle w:val="BodyText"/>
      </w:pPr>
    </w:p>
    <w:p>
      <w:pPr>
        <w:pStyle w:val="BodyText"/>
        <w:spacing w:line="235" w:lineRule="auto"/>
        <w:ind w:left="165"/>
      </w:pPr>
      <w:r>
        <w:rPr>
          <w:position w:val="-2"/>
        </w:rPr>
        <w:drawing>
          <wp:inline distT="0" distB="0" distL="0" distR="0">
            <wp:extent cx="107988" cy="107988"/>
            <wp:effectExtent l="0" t="0" r="0" b="0"/>
            <wp:docPr id="1283" name="Image 1283"/>
            <wp:cNvGraphicFramePr>
              <a:graphicFrameLocks/>
            </wp:cNvGraphicFramePr>
            <a:graphic>
              <a:graphicData uri="http://schemas.openxmlformats.org/drawingml/2006/picture">
                <pic:pic>
                  <pic:nvPicPr>
                    <pic:cNvPr id="1283" name="Image 12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agreements</w:t>
      </w:r>
      <w:r>
        <w:rPr>
          <w:spacing w:val="-1"/>
        </w:rPr>
        <w:t> </w:t>
      </w:r>
      <w:r>
        <w:rPr/>
        <w:t>that</w:t>
      </w:r>
      <w:r>
        <w:rPr>
          <w:spacing w:val="-1"/>
        </w:rPr>
        <w:t> </w:t>
      </w:r>
      <w:r>
        <w:rPr/>
        <w:t>fall</w:t>
      </w:r>
      <w:r>
        <w:rPr>
          <w:spacing w:val="-1"/>
        </w:rPr>
        <w:t> </w:t>
      </w:r>
      <w:r>
        <w:rPr/>
        <w:t>within</w:t>
      </w:r>
      <w:r>
        <w:rPr>
          <w:spacing w:val="-1"/>
        </w:rPr>
        <w:t> </w:t>
      </w:r>
      <w:r>
        <w:rPr/>
        <w:t>the</w:t>
      </w:r>
      <w:r>
        <w:rPr>
          <w:spacing w:val="-1"/>
        </w:rPr>
        <w:t> </w:t>
      </w:r>
      <w:r>
        <w:rPr/>
        <w:t>Act</w:t>
      </w:r>
      <w:r>
        <w:rPr>
          <w:spacing w:val="-1"/>
        </w:rPr>
        <w:t> </w:t>
      </w:r>
      <w:r>
        <w:rPr/>
        <w:t>so</w:t>
      </w:r>
      <w:r>
        <w:rPr>
          <w:spacing w:val="-1"/>
        </w:rPr>
        <w:t> </w:t>
      </w:r>
      <w:r>
        <w:rPr/>
        <w:t>as</w:t>
      </w:r>
      <w:r>
        <w:rPr>
          <w:spacing w:val="-1"/>
        </w:rPr>
        <w:t> </w:t>
      </w:r>
      <w:r>
        <w:rPr/>
        <w:t>to</w:t>
      </w:r>
      <w:r>
        <w:rPr>
          <w:spacing w:val="-1"/>
        </w:rPr>
        <w:t> </w:t>
      </w:r>
      <w:r>
        <w:rPr/>
        <w:t>permit</w:t>
      </w:r>
      <w:r>
        <w:rPr>
          <w:spacing w:val="-1"/>
        </w:rPr>
        <w:t> </w:t>
      </w:r>
      <w:r>
        <w:rPr/>
        <w:t>the</w:t>
      </w:r>
      <w:r>
        <w:rPr>
          <w:spacing w:val="-1"/>
        </w:rPr>
        <w:t> </w:t>
      </w:r>
      <w:r>
        <w:rPr/>
        <w:t>court</w:t>
      </w:r>
      <w:r>
        <w:rPr>
          <w:spacing w:val="-1"/>
        </w:rPr>
        <w:t> </w:t>
      </w:r>
      <w:r>
        <w:rPr/>
        <w:t>to</w:t>
      </w:r>
      <w:r>
        <w:rPr>
          <w:spacing w:val="-1"/>
        </w:rPr>
        <w:t> </w:t>
      </w:r>
      <w:r>
        <w:rPr/>
        <w:t>grant</w:t>
      </w:r>
      <w:r>
        <w:rPr>
          <w:spacing w:val="-1"/>
        </w:rPr>
        <w:t> </w:t>
      </w:r>
      <w:r>
        <w:rPr/>
        <w:t>relief</w:t>
      </w:r>
      <w:r>
        <w:rPr>
          <w:spacing w:val="-1"/>
        </w:rPr>
        <w:t> </w:t>
      </w:r>
      <w:r>
        <w:rPr/>
        <w:t>to</w:t>
      </w:r>
      <w:r>
        <w:rPr>
          <w:spacing w:val="-1"/>
        </w:rPr>
        <w:t> </w:t>
      </w:r>
      <w:r>
        <w:rPr/>
        <w:t>a</w:t>
      </w:r>
      <w:r>
        <w:rPr>
          <w:spacing w:val="-1"/>
        </w:rPr>
        <w:t> </w:t>
      </w:r>
      <w:r>
        <w:rPr/>
        <w:t>hirer</w:t>
      </w:r>
      <w:r>
        <w:rPr>
          <w:spacing w:val="-1"/>
        </w:rPr>
        <w:t> </w:t>
      </w:r>
      <w:r>
        <w:rPr/>
        <w:t>against</w:t>
      </w:r>
      <w:r>
        <w:rPr>
          <w:spacing w:val="-1"/>
        </w:rPr>
        <w:t> </w:t>
      </w:r>
      <w:r>
        <w:rPr/>
        <w:t>a</w:t>
      </w:r>
      <w:r>
        <w:rPr>
          <w:spacing w:val="-1"/>
        </w:rPr>
        <w:t> </w:t>
      </w:r>
      <w:r>
        <w:rPr/>
        <w:t>clause </w:t>
      </w:r>
      <w:bookmarkStart w:name="_bookmark2610" w:id="2612"/>
      <w:bookmarkEnd w:id="2612"/>
      <w:r>
        <w:rPr/>
        <w:t>providing</w:t>
      </w:r>
      <w:r>
        <w:rPr>
          <w:spacing w:val="14"/>
        </w:rPr>
        <w:t> </w:t>
      </w:r>
      <w:r>
        <w:rPr/>
        <w:t>for</w:t>
      </w:r>
      <w:r>
        <w:rPr>
          <w:spacing w:val="14"/>
        </w:rPr>
        <w:t> </w:t>
      </w:r>
      <w:r>
        <w:rPr/>
        <w:t>the</w:t>
      </w:r>
      <w:r>
        <w:rPr>
          <w:spacing w:val="14"/>
        </w:rPr>
        <w:t> </w:t>
      </w:r>
      <w:r>
        <w:rPr/>
        <w:t>forfeiture</w:t>
      </w:r>
      <w:r>
        <w:rPr>
          <w:spacing w:val="14"/>
        </w:rPr>
        <w:t> </w:t>
      </w:r>
      <w:r>
        <w:rPr/>
        <w:t>of</w:t>
      </w:r>
      <w:r>
        <w:rPr>
          <w:spacing w:val="14"/>
        </w:rPr>
        <w:t> </w:t>
      </w:r>
      <w:r>
        <w:rPr/>
        <w:t>instalments</w:t>
      </w:r>
      <w:r>
        <w:rPr>
          <w:spacing w:val="14"/>
        </w:rPr>
        <w:t> </w:t>
      </w:r>
      <w:r>
        <w:rPr/>
        <w:t>already</w:t>
      </w:r>
      <w:r>
        <w:rPr>
          <w:spacing w:val="14"/>
        </w:rPr>
        <w:t> </w:t>
      </w:r>
      <w:r>
        <w:rPr/>
        <w:t>paid</w:t>
      </w:r>
      <w:r>
        <w:rPr>
          <w:spacing w:val="14"/>
        </w:rPr>
        <w:t> </w:t>
      </w:r>
      <w:r>
        <w:rPr/>
        <w:t>or</w:t>
      </w:r>
      <w:r>
        <w:rPr>
          <w:spacing w:val="14"/>
        </w:rPr>
        <w:t> </w:t>
      </w:r>
      <w:r>
        <w:rPr/>
        <w:t>for</w:t>
      </w:r>
      <w:r>
        <w:rPr>
          <w:spacing w:val="14"/>
        </w:rPr>
        <w:t> </w:t>
      </w:r>
      <w:r>
        <w:rPr/>
        <w:t>a</w:t>
      </w:r>
      <w:r>
        <w:rPr>
          <w:spacing w:val="14"/>
        </w:rPr>
        <w:t> </w:t>
      </w:r>
      <w:r>
        <w:rPr/>
        <w:t>“minimum</w:t>
      </w:r>
      <w:r>
        <w:rPr>
          <w:spacing w:val="14"/>
        </w:rPr>
        <w:t> </w:t>
      </w:r>
      <w:r>
        <w:rPr/>
        <w:t>payment”</w:t>
      </w:r>
      <w:r>
        <w:rPr>
          <w:spacing w:val="14"/>
        </w:rPr>
        <w:t> </w:t>
      </w:r>
      <w:r>
        <w:rPr/>
        <w:t>by</w:t>
      </w:r>
      <w:r>
        <w:rPr>
          <w:spacing w:val="14"/>
        </w:rPr>
        <w:t> </w:t>
      </w:r>
      <w:r>
        <w:rPr/>
        <w:t>the</w:t>
      </w:r>
      <w:r>
        <w:rPr>
          <w:spacing w:val="14"/>
        </w:rPr>
        <w:t> </w:t>
      </w:r>
      <w:r>
        <w:rPr/>
        <w:t>hirer</w:t>
      </w:r>
      <w:r>
        <w:rPr>
          <w:spacing w:val="14"/>
        </w:rPr>
        <w:t> </w:t>
      </w:r>
      <w:r>
        <w:rPr>
          <w:spacing w:val="-4"/>
        </w:rPr>
        <w:t>upon</w:t>
      </w:r>
    </w:p>
    <w:p>
      <w:pPr>
        <w:pStyle w:val="BodyText"/>
        <w:tabs>
          <w:tab w:pos="3875" w:val="left" w:leader="none"/>
        </w:tabs>
        <w:spacing w:before="116"/>
        <w:ind w:left="165"/>
      </w:pPr>
      <w:bookmarkStart w:name="_bookmark2611" w:id="2613"/>
      <w:bookmarkEnd w:id="2613"/>
      <w:r>
        <w:rPr/>
      </w:r>
      <w:r>
        <w:rPr/>
        <w:t>his</w:t>
      </w:r>
      <w:r>
        <w:rPr>
          <w:spacing w:val="36"/>
        </w:rPr>
        <w:t> </w:t>
      </w:r>
      <w:r>
        <w:rPr/>
        <w:t>termination</w:t>
      </w:r>
      <w:r>
        <w:rPr>
          <w:spacing w:val="36"/>
        </w:rPr>
        <w:t> </w:t>
      </w:r>
      <w:r>
        <w:rPr/>
        <w:t>of</w:t>
      </w:r>
      <w:r>
        <w:rPr>
          <w:spacing w:val="36"/>
        </w:rPr>
        <w:t> </w:t>
      </w:r>
      <w:r>
        <w:rPr/>
        <w:t>the</w:t>
      </w:r>
      <w:r>
        <w:rPr>
          <w:spacing w:val="36"/>
        </w:rPr>
        <w:t> </w:t>
      </w:r>
      <w:r>
        <w:rPr/>
        <w:t>agreement.</w:t>
      </w:r>
      <w:r>
        <w:rPr>
          <w:spacing w:val="36"/>
        </w:rPr>
        <w:t> </w:t>
      </w:r>
      <w:hyperlink w:history="true" w:anchor="_bookmark2625">
        <w:r>
          <w:rPr>
            <w:color w:val="005DA1"/>
            <w:spacing w:val="-4"/>
            <w:u w:val="single" w:color="005DA1"/>
            <w:vertAlign w:val="superscript"/>
          </w:rPr>
          <w:t>1371</w:t>
        </w:r>
        <w:r>
          <w:rPr>
            <w:color w:val="005DA1"/>
            <w:vertAlign w:val="baseline"/>
          </w:rPr>
          <w:tab/>
        </w:r>
        <w:r>
          <w:rPr>
            <w:color w:val="005DA1"/>
            <w:position w:val="-2"/>
            <w:vertAlign w:val="baseline"/>
          </w:rPr>
          <w:drawing>
            <wp:inline distT="0" distB="0" distL="0" distR="0">
              <wp:extent cx="107988" cy="107988"/>
              <wp:effectExtent l="0" t="0" r="0" b="0"/>
              <wp:docPr id="1284" name="Image 1284"/>
              <wp:cNvGraphicFramePr>
                <a:graphicFrameLocks/>
              </wp:cNvGraphicFramePr>
              <a:graphic>
                <a:graphicData uri="http://schemas.openxmlformats.org/drawingml/2006/picture">
                  <pic:pic>
                    <pic:nvPicPr>
                      <pic:cNvPr id="1284" name="Image 12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When</w:t>
        </w:r>
        <w:r>
          <w:rPr>
            <w:spacing w:val="40"/>
            <w:vertAlign w:val="baseline"/>
          </w:rPr>
          <w:t> </w:t>
        </w:r>
        <w:r>
          <w:rPr>
            <w:vertAlign w:val="baseline"/>
          </w:rPr>
          <w:t>a</w:t>
        </w:r>
        <w:r>
          <w:rPr>
            <w:spacing w:val="40"/>
            <w:vertAlign w:val="baseline"/>
          </w:rPr>
          <w:t> </w:t>
        </w:r>
        <w:r>
          <w:rPr>
            <w:vertAlign w:val="baseline"/>
          </w:rPr>
          <w:t>hire-purchase</w:t>
        </w:r>
        <w:r>
          <w:rPr>
            <w:spacing w:val="40"/>
            <w:vertAlign w:val="baseline"/>
          </w:rPr>
          <w:t> </w:t>
        </w:r>
        <w:r>
          <w:rPr>
            <w:vertAlign w:val="baseline"/>
          </w:rPr>
          <w:t>agreement</w:t>
        </w:r>
        <w:r>
          <w:rPr>
            <w:spacing w:val="40"/>
            <w:vertAlign w:val="baseline"/>
          </w:rPr>
          <w:t> </w:t>
        </w:r>
        <w:r>
          <w:rPr>
            <w:vertAlign w:val="baseline"/>
          </w:rPr>
          <w:t>is</w:t>
        </w:r>
        <w:r>
          <w:rPr>
            <w:spacing w:val="40"/>
            <w:vertAlign w:val="baseline"/>
          </w:rPr>
          <w:t> </w:t>
        </w:r>
        <w:r>
          <w:rPr>
            <w:vertAlign w:val="baseline"/>
          </w:rPr>
          <w:t>terminated</w:t>
        </w:r>
        <w:r>
          <w:rPr>
            <w:spacing w:val="40"/>
            <w:vertAlign w:val="baseline"/>
          </w:rPr>
          <w:t> </w:t>
        </w:r>
        <w:r>
          <w:rPr>
            <w:vertAlign w:val="baseline"/>
          </w:rPr>
          <w:t>by</w:t>
        </w:r>
        <w:r>
          <w:rPr>
            <w:spacing w:val="40"/>
            <w:vertAlign w:val="baseline"/>
          </w:rPr>
          <w:t> </w:t>
        </w:r>
        <w:r>
          <w:rPr>
            <w:vertAlign w:val="baseline"/>
          </w:rPr>
          <w:t>the</w:t>
        </w:r>
      </w:hyperlink>
    </w:p>
    <w:p>
      <w:pPr>
        <w:pStyle w:val="BodyText"/>
        <w:tabs>
          <w:tab w:pos="6361" w:val="left" w:leader="none"/>
        </w:tabs>
        <w:spacing w:line="235" w:lineRule="auto" w:before="119"/>
        <w:ind w:left="165" w:right="167"/>
      </w:pPr>
      <w:r>
        <w:rPr/>
        <w:t>owner upon the hirer’s default, the common law as to penalties </w:t>
      </w:r>
      <w:hyperlink w:history="true" w:anchor="_bookmark2626">
        <w:r>
          <w:rPr>
            <w:color w:val="005DA1"/>
            <w:u w:val="single" w:color="005DA1"/>
            <w:vertAlign w:val="superscript"/>
          </w:rPr>
          <w:t>1372</w:t>
        </w:r>
        <w:r>
          <w:rPr>
            <w:color w:val="005DA1"/>
            <w:vertAlign w:val="baseline"/>
          </w:rPr>
          <w:tab/>
        </w:r>
        <w:r>
          <w:rPr>
            <w:color w:val="005DA1"/>
            <w:position w:val="-2"/>
            <w:vertAlign w:val="baseline"/>
          </w:rPr>
          <w:drawing>
            <wp:inline distT="0" distB="0" distL="0" distR="0">
              <wp:extent cx="107988" cy="107988"/>
              <wp:effectExtent l="0" t="0" r="0" b="0"/>
              <wp:docPr id="1285" name="Image 1285"/>
              <wp:cNvGraphicFramePr>
                <a:graphicFrameLocks/>
              </wp:cNvGraphicFramePr>
              <a:graphic>
                <a:graphicData uri="http://schemas.openxmlformats.org/drawingml/2006/picture">
                  <pic:pic>
                    <pic:nvPicPr>
                      <pic:cNvPr id="1285" name="Image 12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and the provisions of the </w:t>
        </w:r>
        <w:r>
          <w:rPr>
            <w:vertAlign w:val="baseline"/>
          </w:rPr>
          <w:t>Act </w:t>
        </w:r>
        <w:bookmarkStart w:name="_bookmark2612" w:id="2614"/>
        <w:bookmarkEnd w:id="2614"/>
        <w:r>
          <w:rPr>
            <w:vertAlign w:val="baseline"/>
          </w:rPr>
          <w:t>will</w:t>
        </w:r>
        <w:r>
          <w:rPr>
            <w:spacing w:val="42"/>
            <w:vertAlign w:val="baseline"/>
          </w:rPr>
          <w:t> </w:t>
        </w:r>
        <w:r>
          <w:rPr>
            <w:vertAlign w:val="baseline"/>
          </w:rPr>
          <w:t>often</w:t>
        </w:r>
        <w:r>
          <w:rPr>
            <w:spacing w:val="42"/>
            <w:vertAlign w:val="baseline"/>
          </w:rPr>
          <w:t> </w:t>
        </w:r>
        <w:r>
          <w:rPr>
            <w:vertAlign w:val="baseline"/>
          </w:rPr>
          <w:t>protect</w:t>
        </w:r>
        <w:r>
          <w:rPr>
            <w:spacing w:val="42"/>
            <w:vertAlign w:val="baseline"/>
          </w:rPr>
          <w:t> </w:t>
        </w:r>
        <w:r>
          <w:rPr>
            <w:vertAlign w:val="baseline"/>
          </w:rPr>
          <w:t>the</w:t>
        </w:r>
        <w:r>
          <w:rPr>
            <w:spacing w:val="42"/>
            <w:vertAlign w:val="baseline"/>
          </w:rPr>
          <w:t> </w:t>
        </w:r>
        <w:r>
          <w:rPr>
            <w:vertAlign w:val="baseline"/>
          </w:rPr>
          <w:t>hirer</w:t>
        </w:r>
        <w:r>
          <w:rPr>
            <w:spacing w:val="42"/>
            <w:vertAlign w:val="baseline"/>
          </w:rPr>
          <w:t> </w:t>
        </w:r>
        <w:r>
          <w:rPr>
            <w:vertAlign w:val="baseline"/>
          </w:rPr>
          <w:t>against</w:t>
        </w:r>
        <w:r>
          <w:rPr>
            <w:spacing w:val="42"/>
            <w:vertAlign w:val="baseline"/>
          </w:rPr>
          <w:t> </w:t>
        </w:r>
        <w:r>
          <w:rPr>
            <w:vertAlign w:val="baseline"/>
          </w:rPr>
          <w:t>clauses</w:t>
        </w:r>
        <w:r>
          <w:rPr>
            <w:spacing w:val="42"/>
            <w:vertAlign w:val="baseline"/>
          </w:rPr>
          <w:t> </w:t>
        </w:r>
        <w:r>
          <w:rPr>
            <w:vertAlign w:val="baseline"/>
          </w:rPr>
          <w:t>requiring</w:t>
        </w:r>
        <w:r>
          <w:rPr>
            <w:spacing w:val="42"/>
            <w:vertAlign w:val="baseline"/>
          </w:rPr>
          <w:t> </w:t>
        </w:r>
        <w:r>
          <w:rPr>
            <w:vertAlign w:val="baseline"/>
          </w:rPr>
          <w:t>further</w:t>
        </w:r>
        <w:r>
          <w:rPr>
            <w:spacing w:val="42"/>
            <w:vertAlign w:val="baseline"/>
          </w:rPr>
          <w:t> </w:t>
        </w:r>
        <w:r>
          <w:rPr>
            <w:vertAlign w:val="baseline"/>
          </w:rPr>
          <w:t>payments,</w:t>
        </w:r>
        <w:r>
          <w:rPr>
            <w:spacing w:val="42"/>
            <w:vertAlign w:val="baseline"/>
          </w:rPr>
          <w:t> </w:t>
        </w:r>
        <w:r>
          <w:rPr>
            <w:vertAlign w:val="baseline"/>
          </w:rPr>
          <w:t>e.g.</w:t>
        </w:r>
        <w:r>
          <w:rPr>
            <w:spacing w:val="42"/>
            <w:vertAlign w:val="baseline"/>
          </w:rPr>
          <w:t> </w:t>
        </w:r>
        <w:r>
          <w:rPr>
            <w:vertAlign w:val="baseline"/>
          </w:rPr>
          <w:t>for</w:t>
        </w:r>
        <w:r>
          <w:rPr>
            <w:spacing w:val="42"/>
            <w:vertAlign w:val="baseline"/>
          </w:rPr>
          <w:t> </w:t>
        </w:r>
        <w:r>
          <w:rPr>
            <w:vertAlign w:val="baseline"/>
          </w:rPr>
          <w:t>“depreciation”;</w:t>
        </w:r>
        <w:r>
          <w:rPr>
            <w:spacing w:val="42"/>
            <w:vertAlign w:val="baseline"/>
          </w:rPr>
          <w:t> </w:t>
        </w:r>
        <w:r>
          <w:rPr>
            <w:spacing w:val="-5"/>
            <w:vertAlign w:val="baseline"/>
          </w:rPr>
          <w:t>the</w:t>
        </w:r>
      </w:hyperlink>
    </w:p>
    <w:p>
      <w:pPr>
        <w:pStyle w:val="BodyText"/>
        <w:tabs>
          <w:tab w:pos="6733" w:val="left" w:leader="none"/>
        </w:tabs>
        <w:spacing w:line="235" w:lineRule="auto" w:before="119"/>
        <w:ind w:left="165" w:right="167"/>
      </w:pPr>
      <w:r>
        <w:rPr/>
        <w:t>common</w:t>
      </w:r>
      <w:r>
        <w:rPr>
          <w:spacing w:val="40"/>
        </w:rPr>
        <w:t> </w:t>
      </w:r>
      <w:r>
        <w:rPr/>
        <w:t>law</w:t>
      </w:r>
      <w:r>
        <w:rPr>
          <w:spacing w:val="40"/>
        </w:rPr>
        <w:t> </w:t>
      </w:r>
      <w:r>
        <w:rPr/>
        <w:t>rules</w:t>
      </w:r>
      <w:r>
        <w:rPr>
          <w:spacing w:val="40"/>
        </w:rPr>
        <w:t> </w:t>
      </w:r>
      <w:r>
        <w:rPr/>
        <w:t>apply</w:t>
      </w:r>
      <w:r>
        <w:rPr>
          <w:spacing w:val="40"/>
        </w:rPr>
        <w:t> </w:t>
      </w:r>
      <w:r>
        <w:rPr/>
        <w:t>to</w:t>
      </w:r>
      <w:r>
        <w:rPr>
          <w:spacing w:val="40"/>
        </w:rPr>
        <w:t> </w:t>
      </w:r>
      <w:r>
        <w:rPr/>
        <w:t>similar</w:t>
      </w:r>
      <w:r>
        <w:rPr>
          <w:spacing w:val="40"/>
        </w:rPr>
        <w:t> </w:t>
      </w:r>
      <w:r>
        <w:rPr/>
        <w:t>clauses</w:t>
      </w:r>
      <w:r>
        <w:rPr>
          <w:spacing w:val="40"/>
        </w:rPr>
        <w:t> </w:t>
      </w:r>
      <w:r>
        <w:rPr/>
        <w:t>in</w:t>
      </w:r>
      <w:r>
        <w:rPr>
          <w:spacing w:val="40"/>
        </w:rPr>
        <w:t> </w:t>
      </w:r>
      <w:r>
        <w:rPr/>
        <w:t>hiring</w:t>
      </w:r>
      <w:r>
        <w:rPr>
          <w:spacing w:val="40"/>
        </w:rPr>
        <w:t> </w:t>
      </w:r>
      <w:r>
        <w:rPr/>
        <w:t>agreements.</w:t>
      </w:r>
      <w:r>
        <w:rPr>
          <w:spacing w:val="40"/>
        </w:rPr>
        <w:t> </w:t>
      </w:r>
      <w:hyperlink w:history="true" w:anchor="_bookmark2627">
        <w:r>
          <w:rPr>
            <w:color w:val="005DA1"/>
            <w:u w:val="single" w:color="005DA1"/>
            <w:vertAlign w:val="superscript"/>
          </w:rPr>
          <w:t>1373</w:t>
        </w:r>
        <w:r>
          <w:rPr>
            <w:color w:val="005DA1"/>
            <w:vertAlign w:val="baseline"/>
          </w:rPr>
          <w:tab/>
        </w:r>
        <w:r>
          <w:rPr>
            <w:color w:val="005DA1"/>
            <w:position w:val="-2"/>
            <w:vertAlign w:val="baseline"/>
          </w:rPr>
          <w:drawing>
            <wp:inline distT="0" distB="0" distL="0" distR="0">
              <wp:extent cx="107988" cy="107988"/>
              <wp:effectExtent l="0" t="0" r="0" b="0"/>
              <wp:docPr id="1286" name="Image 1286"/>
              <wp:cNvGraphicFramePr>
                <a:graphicFrameLocks/>
              </wp:cNvGraphicFramePr>
              <a:graphic>
                <a:graphicData uri="http://schemas.openxmlformats.org/drawingml/2006/picture">
                  <pic:pic>
                    <pic:nvPicPr>
                      <pic:cNvPr id="1286" name="Image 12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0"/>
            <w:vertAlign w:val="baseline"/>
          </w:rPr>
          <w:t> </w:t>
        </w:r>
        <w:r>
          <w:rPr>
            <w:vertAlign w:val="baseline"/>
          </w:rPr>
          <w:t>The</w:t>
        </w:r>
        <w:r>
          <w:rPr>
            <w:spacing w:val="23"/>
            <w:vertAlign w:val="baseline"/>
          </w:rPr>
          <w:t> </w:t>
        </w:r>
        <w:r>
          <w:rPr>
            <w:vertAlign w:val="baseline"/>
          </w:rPr>
          <w:t>question</w:t>
        </w:r>
        <w:r>
          <w:rPr>
            <w:spacing w:val="23"/>
            <w:vertAlign w:val="baseline"/>
          </w:rPr>
          <w:t> </w:t>
        </w:r>
        <w:r>
          <w:rPr>
            <w:vertAlign w:val="baseline"/>
          </w:rPr>
          <w:t>whether</w:t>
        </w:r>
        <w:r>
          <w:rPr>
            <w:spacing w:val="23"/>
            <w:vertAlign w:val="baseline"/>
          </w:rPr>
          <w:t> </w:t>
        </w:r>
        <w:r>
          <w:rPr>
            <w:vertAlign w:val="baseline"/>
          </w:rPr>
          <w:t>a </w:t>
        </w:r>
        <w:bookmarkStart w:name="_bookmark2613" w:id="2615"/>
        <w:bookmarkEnd w:id="2615"/>
        <w:r>
          <w:rPr>
            <w:vertAlign w:val="baseline"/>
          </w:rPr>
          <w:t>depreciation</w:t>
        </w:r>
        <w:r>
          <w:rPr>
            <w:spacing w:val="6"/>
            <w:vertAlign w:val="baseline"/>
          </w:rPr>
          <w:t> </w:t>
        </w:r>
        <w:r>
          <w:rPr>
            <w:vertAlign w:val="baseline"/>
          </w:rPr>
          <w:t>clause</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penalty</w:t>
        </w:r>
        <w:r>
          <w:rPr>
            <w:spacing w:val="6"/>
            <w:vertAlign w:val="baseline"/>
          </w:rPr>
          <w:t> </w:t>
        </w:r>
        <w:r>
          <w:rPr>
            <w:vertAlign w:val="baseline"/>
          </w:rPr>
          <w:t>or</w:t>
        </w:r>
        <w:r>
          <w:rPr>
            <w:spacing w:val="6"/>
            <w:vertAlign w:val="baseline"/>
          </w:rPr>
          <w:t> </w:t>
        </w:r>
        <w:r>
          <w:rPr>
            <w:vertAlign w:val="baseline"/>
          </w:rPr>
          <w:t>not</w:t>
        </w:r>
        <w:r>
          <w:rPr>
            <w:spacing w:val="6"/>
            <w:vertAlign w:val="baseline"/>
          </w:rPr>
          <w:t> </w:t>
        </w:r>
        <w:r>
          <w:rPr>
            <w:vertAlign w:val="baseline"/>
          </w:rPr>
          <w:t>depends</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construction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clause</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light</w:t>
        </w:r>
        <w:r>
          <w:rPr>
            <w:spacing w:val="6"/>
            <w:vertAlign w:val="baseline"/>
          </w:rPr>
          <w:t> </w:t>
        </w:r>
        <w:r>
          <w:rPr>
            <w:vertAlign w:val="baseline"/>
          </w:rPr>
          <w:t>of</w:t>
        </w:r>
        <w:r>
          <w:rPr>
            <w:spacing w:val="6"/>
            <w:vertAlign w:val="baseline"/>
          </w:rPr>
          <w:t> </w:t>
        </w:r>
        <w:r>
          <w:rPr>
            <w:vertAlign w:val="baseline"/>
          </w:rPr>
          <w:t>all</w:t>
        </w:r>
        <w:r>
          <w:rPr>
            <w:spacing w:val="6"/>
            <w:vertAlign w:val="baseline"/>
          </w:rPr>
          <w:t> </w:t>
        </w:r>
        <w:r>
          <w:rPr>
            <w:spacing w:val="-5"/>
            <w:vertAlign w:val="baseline"/>
          </w:rPr>
          <w:t>the</w:t>
        </w:r>
      </w:hyperlink>
    </w:p>
    <w:p>
      <w:pPr>
        <w:pStyle w:val="BodyText"/>
        <w:spacing w:before="115"/>
        <w:ind w:left="165"/>
        <w:rPr>
          <w:position w:val="-2"/>
        </w:rPr>
      </w:pPr>
      <w:r>
        <w:rPr/>
        <w:t>circumstances surrounding the particular agreement. </w:t>
      </w:r>
      <w:hyperlink w:history="true" w:anchor="_bookmark2628">
        <w:r>
          <w:rPr>
            <w:color w:val="005DA1"/>
            <w:u w:val="single" w:color="005DA1"/>
            <w:vertAlign w:val="superscript"/>
          </w:rPr>
          <w:t>1374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87" name="Image 1287"/>
              <wp:cNvGraphicFramePr>
                <a:graphicFrameLocks/>
              </wp:cNvGraphicFramePr>
              <a:graphic>
                <a:graphicData uri="http://schemas.openxmlformats.org/drawingml/2006/picture">
                  <pic:pic>
                    <pic:nvPicPr>
                      <pic:cNvPr id="1287" name="Image 12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203"/>
        <w:rPr>
          <w:sz w:val="18"/>
        </w:rPr>
      </w:pPr>
    </w:p>
    <w:p>
      <w:pPr>
        <w:spacing w:before="1"/>
        <w:ind w:left="165" w:right="0" w:firstLine="0"/>
        <w:jc w:val="left"/>
        <w:rPr>
          <w:rFonts w:ascii="Arial"/>
          <w:b/>
          <w:position w:val="-3"/>
          <w:sz w:val="18"/>
        </w:rPr>
      </w:pPr>
      <w:bookmarkStart w:name="_bookmark2614" w:id="2616"/>
      <w:bookmarkEnd w:id="2616"/>
      <w:r>
        <w:rPr/>
      </w:r>
      <w:r>
        <w:rPr>
          <w:rFonts w:ascii="Arial"/>
          <w:b/>
          <w:sz w:val="18"/>
        </w:rPr>
        <w:t>Unfair Terms in Consumer Contracts Regulations 1999 and Consumer Rights Act 2015 </w:t>
      </w:r>
      <w:hyperlink w:history="true" w:anchor="_bookmark2629">
        <w:r>
          <w:rPr>
            <w:rFonts w:ascii="Arial"/>
            <w:b/>
            <w:color w:val="005DA1"/>
            <w:sz w:val="18"/>
            <w:u w:val="single" w:color="005DA1"/>
            <w:vertAlign w:val="superscript"/>
          </w:rPr>
          <w:t>1375</w:t>
        </w:r>
        <w:r>
          <w:rPr>
            <w:rFonts w:ascii="Arial"/>
            <w:b/>
            <w:color w:val="005DA1"/>
            <w:spacing w:val="80"/>
            <w:w w:val="150"/>
            <w:sz w:val="18"/>
            <w:vertAlign w:val="baseline"/>
          </w:rPr>
          <w:t> </w:t>
        </w:r>
        <w:r>
          <w:rPr>
            <w:rFonts w:ascii="Arial"/>
            <w:b/>
            <w:color w:val="005DA1"/>
            <w:position w:val="-3"/>
            <w:sz w:val="18"/>
            <w:vertAlign w:val="baseline"/>
          </w:rPr>
          <w:drawing>
            <wp:inline distT="0" distB="0" distL="0" distR="0">
              <wp:extent cx="107988" cy="107988"/>
              <wp:effectExtent l="0" t="0" r="0" b="0"/>
              <wp:docPr id="1288" name="Image 1288"/>
              <wp:cNvGraphicFramePr>
                <a:graphicFrameLocks/>
              </wp:cNvGraphicFramePr>
              <a:graphic>
                <a:graphicData uri="http://schemas.openxmlformats.org/drawingml/2006/picture">
                  <pic:pic>
                    <pic:nvPicPr>
                      <pic:cNvPr id="1288" name="Image 1288"/>
                      <pic:cNvPicPr/>
                    </pic:nvPicPr>
                    <pic:blipFill>
                      <a:blip r:embed="rId6" cstate="print"/>
                      <a:stretch>
                        <a:fillRect/>
                      </a:stretch>
                    </pic:blipFill>
                    <pic:spPr>
                      <a:xfrm>
                        <a:off x="0" y="0"/>
                        <a:ext cx="107988" cy="107988"/>
                      </a:xfrm>
                      <a:prstGeom prst="rect">
                        <a:avLst/>
                      </a:prstGeom>
                    </pic:spPr>
                  </pic:pic>
                </a:graphicData>
              </a:graphic>
            </wp:inline>
          </w:drawing>
        </w:r>
        <w:r>
          <w:rPr>
            <w:rFonts w:ascii="Arial"/>
            <w:b/>
            <w:color w:val="005DA1"/>
            <w:position w:val="-3"/>
            <w:sz w:val="18"/>
            <w:vertAlign w:val="baseline"/>
          </w:rPr>
        </w:r>
      </w:hyperlink>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2"/>
          <w:sz w:val="24"/>
        </w:rPr>
        <w:t>216AB</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289" name="Image 1289"/>
            <wp:cNvGraphicFramePr>
              <a:graphicFrameLocks/>
            </wp:cNvGraphicFramePr>
            <a:graphic>
              <a:graphicData uri="http://schemas.openxmlformats.org/drawingml/2006/picture">
                <pic:pic>
                  <pic:nvPicPr>
                    <pic:cNvPr id="1289" name="Image 12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bookmarkStart w:name="_bookmark2615" w:id="2617"/>
      <w:bookmarkEnd w:id="2617"/>
      <w:r>
        <w:rPr>
          <w:rFonts w:ascii="Times New Roman"/>
          <w:spacing w:val="17"/>
        </w:rPr>
      </w:r>
      <w:r>
        <w:rPr/>
        <w:t>The</w:t>
      </w:r>
      <w:r>
        <w:rPr>
          <w:spacing w:val="13"/>
        </w:rPr>
        <w:t> </w:t>
      </w:r>
      <w:r>
        <w:rPr/>
        <w:t>Unfair</w:t>
      </w:r>
      <w:r>
        <w:rPr>
          <w:spacing w:val="13"/>
        </w:rPr>
        <w:t> </w:t>
      </w:r>
      <w:r>
        <w:rPr/>
        <w:t>Terms</w:t>
      </w:r>
      <w:r>
        <w:rPr>
          <w:spacing w:val="13"/>
        </w:rPr>
        <w:t> </w:t>
      </w:r>
      <w:r>
        <w:rPr/>
        <w:t>in</w:t>
      </w:r>
      <w:r>
        <w:rPr>
          <w:spacing w:val="13"/>
        </w:rPr>
        <w:t> </w:t>
      </w:r>
      <w:r>
        <w:rPr/>
        <w:t>Consumer</w:t>
      </w:r>
      <w:r>
        <w:rPr>
          <w:spacing w:val="13"/>
        </w:rPr>
        <w:t> </w:t>
      </w:r>
      <w:r>
        <w:rPr/>
        <w:t>Contracts</w:t>
      </w:r>
      <w:r>
        <w:rPr>
          <w:spacing w:val="13"/>
        </w:rPr>
        <w:t> </w:t>
      </w:r>
      <w:r>
        <w:rPr/>
        <w:t>Regulations</w:t>
      </w:r>
      <w:r>
        <w:rPr>
          <w:spacing w:val="13"/>
        </w:rPr>
        <w:t> </w:t>
      </w:r>
      <w:r>
        <w:rPr/>
        <w:t>1999</w:t>
      </w:r>
      <w:r>
        <w:rPr>
          <w:spacing w:val="13"/>
        </w:rPr>
        <w:t> </w:t>
      </w:r>
      <w:r>
        <w:rPr/>
        <w:t>provided</w:t>
      </w:r>
      <w:r>
        <w:rPr>
          <w:spacing w:val="13"/>
        </w:rPr>
        <w:t> </w:t>
      </w:r>
      <w:r>
        <w:rPr/>
        <w:t>that</w:t>
      </w:r>
      <w:r>
        <w:rPr>
          <w:spacing w:val="13"/>
        </w:rPr>
        <w:t> </w:t>
      </w:r>
      <w:r>
        <w:rPr/>
        <w:t>in</w:t>
      </w:r>
      <w:r>
        <w:rPr>
          <w:spacing w:val="13"/>
        </w:rPr>
        <w:t> </w:t>
      </w:r>
      <w:r>
        <w:rPr/>
        <w:t>a</w:t>
      </w:r>
      <w:r>
        <w:rPr>
          <w:spacing w:val="13"/>
        </w:rPr>
        <w:t> </w:t>
      </w:r>
      <w:r>
        <w:rPr/>
        <w:t>contract</w:t>
      </w:r>
      <w:r>
        <w:rPr>
          <w:spacing w:val="13"/>
        </w:rPr>
        <w:t> </w:t>
      </w:r>
      <w:r>
        <w:rPr/>
        <w:t>between</w:t>
      </w:r>
      <w:r>
        <w:rPr>
          <w:spacing w:val="13"/>
        </w:rPr>
        <w:t> </w:t>
      </w:r>
      <w:r>
        <w:rPr/>
        <w:t>a</w:t>
      </w:r>
    </w:p>
    <w:p>
      <w:pPr>
        <w:pStyle w:val="BodyText"/>
        <w:spacing w:line="235" w:lineRule="auto" w:before="119"/>
        <w:ind w:left="165" w:right="167"/>
        <w:jc w:val="both"/>
      </w:pPr>
      <w:r>
        <w:rPr/>
        <w:t>business and a consumer an “unfair term” will not be binding on the consumer. </w:t>
      </w:r>
      <w:hyperlink w:history="true" w:anchor="_bookmark2630">
        <w:r>
          <w:rPr>
            <w:color w:val="005DA1"/>
            <w:u w:val="single" w:color="005DA1"/>
            <w:vertAlign w:val="superscript"/>
          </w:rPr>
          <w:t>1376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290" name="Image 1290"/>
              <wp:cNvGraphicFramePr>
                <a:graphicFrameLocks/>
              </wp:cNvGraphicFramePr>
              <a:graphic>
                <a:graphicData uri="http://schemas.openxmlformats.org/drawingml/2006/picture">
                  <pic:pic>
                    <pic:nvPicPr>
                      <pic:cNvPr id="1290" name="Image 12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For </w:t>
        </w:r>
        <w:r>
          <w:rPr>
            <w:vertAlign w:val="baseline"/>
          </w:rPr>
          <w:t>contracts made after October 1, 2015, the Consumer Rights Act 2015 replaces the Regulations. The Regulations and the Act give illustrations of terms which will, prima facie, be regarded as unfair: </w:t>
        </w:r>
        <w:bookmarkStart w:name="_bookmark2616" w:id="2618"/>
        <w:bookmarkEnd w:id="2618"/>
        <w:r>
          <w:rPr>
            <w:vertAlign w:val="baseline"/>
          </w:rPr>
          <w:t>relevant</w:t>
        </w:r>
        <w:r>
          <w:rPr>
            <w:spacing w:val="4"/>
            <w:vertAlign w:val="baseline"/>
          </w:rPr>
          <w:t> </w:t>
        </w:r>
        <w:r>
          <w:rPr>
            <w:vertAlign w:val="baseline"/>
          </w:rPr>
          <w:t>to</w:t>
        </w:r>
        <w:r>
          <w:rPr>
            <w:spacing w:val="4"/>
            <w:vertAlign w:val="baseline"/>
          </w:rPr>
          <w:t> </w:t>
        </w:r>
        <w:r>
          <w:rPr>
            <w:vertAlign w:val="baseline"/>
          </w:rPr>
          <w:t>clauses</w:t>
        </w:r>
        <w:r>
          <w:rPr>
            <w:spacing w:val="4"/>
            <w:vertAlign w:val="baseline"/>
          </w:rPr>
          <w:t> </w:t>
        </w:r>
        <w:r>
          <w:rPr>
            <w:vertAlign w:val="baseline"/>
          </w:rPr>
          <w:t>fixing</w:t>
        </w:r>
        <w:r>
          <w:rPr>
            <w:spacing w:val="4"/>
            <w:vertAlign w:val="baseline"/>
          </w:rPr>
          <w:t> </w:t>
        </w:r>
        <w:r>
          <w:rPr>
            <w:vertAlign w:val="baseline"/>
          </w:rPr>
          <w:t>damages</w:t>
        </w:r>
        <w:r>
          <w:rPr>
            <w:spacing w:val="4"/>
            <w:vertAlign w:val="baseline"/>
          </w:rPr>
          <w:t> </w:t>
        </w:r>
        <w:r>
          <w:rPr>
            <w:vertAlign w:val="baseline"/>
          </w:rPr>
          <w:t>is</w:t>
        </w:r>
        <w:r>
          <w:rPr>
            <w:spacing w:val="4"/>
            <w:vertAlign w:val="baseline"/>
          </w:rPr>
          <w:t> </w:t>
        </w:r>
        <w:r>
          <w:rPr>
            <w:vertAlign w:val="baseline"/>
          </w:rPr>
          <w:t>“requiring</w:t>
        </w:r>
        <w:r>
          <w:rPr>
            <w:spacing w:val="4"/>
            <w:vertAlign w:val="baseline"/>
          </w:rPr>
          <w:t> </w:t>
        </w:r>
        <w:r>
          <w:rPr>
            <w:vertAlign w:val="baseline"/>
          </w:rPr>
          <w:t>any</w:t>
        </w:r>
        <w:r>
          <w:rPr>
            <w:spacing w:val="4"/>
            <w:vertAlign w:val="baseline"/>
          </w:rPr>
          <w:t> </w:t>
        </w:r>
        <w:r>
          <w:rPr>
            <w:vertAlign w:val="baseline"/>
          </w:rPr>
          <w:t>consumer</w:t>
        </w:r>
        <w:r>
          <w:rPr>
            <w:spacing w:val="4"/>
            <w:vertAlign w:val="baseline"/>
          </w:rPr>
          <w:t> </w:t>
        </w:r>
        <w:r>
          <w:rPr>
            <w:vertAlign w:val="baseline"/>
          </w:rPr>
          <w:t>who</w:t>
        </w:r>
        <w:r>
          <w:rPr>
            <w:spacing w:val="4"/>
            <w:vertAlign w:val="baseline"/>
          </w:rPr>
          <w:t> </w:t>
        </w:r>
        <w:r>
          <w:rPr>
            <w:vertAlign w:val="baseline"/>
          </w:rPr>
          <w:t>fails</w:t>
        </w:r>
        <w:r>
          <w:rPr>
            <w:spacing w:val="4"/>
            <w:vertAlign w:val="baseline"/>
          </w:rPr>
          <w:t> </w:t>
        </w:r>
        <w:r>
          <w:rPr>
            <w:vertAlign w:val="baseline"/>
          </w:rPr>
          <w:t>to</w:t>
        </w:r>
        <w:r>
          <w:rPr>
            <w:spacing w:val="4"/>
            <w:vertAlign w:val="baseline"/>
          </w:rPr>
          <w:t> </w:t>
        </w:r>
        <w:r>
          <w:rPr>
            <w:vertAlign w:val="baseline"/>
          </w:rPr>
          <w:t>fulfil</w:t>
        </w:r>
        <w:r>
          <w:rPr>
            <w:spacing w:val="4"/>
            <w:vertAlign w:val="baseline"/>
          </w:rPr>
          <w:t> </w:t>
        </w:r>
        <w:r>
          <w:rPr>
            <w:vertAlign w:val="baseline"/>
          </w:rPr>
          <w:t>his</w:t>
        </w:r>
        <w:r>
          <w:rPr>
            <w:spacing w:val="4"/>
            <w:vertAlign w:val="baseline"/>
          </w:rPr>
          <w:t> </w:t>
        </w:r>
        <w:r>
          <w:rPr>
            <w:vertAlign w:val="baseline"/>
          </w:rPr>
          <w:t>obligation</w:t>
        </w:r>
        <w:r>
          <w:rPr>
            <w:spacing w:val="4"/>
            <w:vertAlign w:val="baseline"/>
          </w:rPr>
          <w:t> </w:t>
        </w:r>
        <w:r>
          <w:rPr>
            <w:vertAlign w:val="baseline"/>
          </w:rPr>
          <w:t>to</w:t>
        </w:r>
        <w:r>
          <w:rPr>
            <w:spacing w:val="4"/>
            <w:vertAlign w:val="baseline"/>
          </w:rPr>
          <w:t> </w:t>
        </w:r>
        <w:r>
          <w:rPr>
            <w:vertAlign w:val="baseline"/>
          </w:rPr>
          <w:t>pay</w:t>
        </w:r>
        <w:r>
          <w:rPr>
            <w:spacing w:val="4"/>
            <w:vertAlign w:val="baseline"/>
          </w:rPr>
          <w:t> </w:t>
        </w:r>
        <w:r>
          <w:rPr>
            <w:spacing w:val="-10"/>
            <w:vertAlign w:val="baseline"/>
          </w:rPr>
          <w:t>a</w:t>
        </w:r>
      </w:hyperlink>
    </w:p>
    <w:p>
      <w:pPr>
        <w:pStyle w:val="BodyText"/>
        <w:spacing w:line="235" w:lineRule="auto" w:before="118"/>
        <w:ind w:left="165" w:right="167"/>
        <w:jc w:val="both"/>
      </w:pPr>
      <w:r>
        <w:rPr/>
        <w:t>disproportionately</w:t>
      </w:r>
      <w:r>
        <w:rPr>
          <w:spacing w:val="-1"/>
        </w:rPr>
        <w:t> </w:t>
      </w:r>
      <w:r>
        <w:rPr/>
        <w:t>high</w:t>
      </w:r>
      <w:r>
        <w:rPr>
          <w:spacing w:val="-1"/>
        </w:rPr>
        <w:t> </w:t>
      </w:r>
      <w:r>
        <w:rPr/>
        <w:t>sum</w:t>
      </w:r>
      <w:r>
        <w:rPr>
          <w:spacing w:val="-1"/>
        </w:rPr>
        <w:t> </w:t>
      </w:r>
      <w:r>
        <w:rPr/>
        <w:t>in</w:t>
      </w:r>
      <w:r>
        <w:rPr>
          <w:spacing w:val="-1"/>
        </w:rPr>
        <w:t> </w:t>
      </w:r>
      <w:r>
        <w:rPr/>
        <w:t>compensation”.</w:t>
      </w:r>
      <w:r>
        <w:rPr>
          <w:spacing w:val="-1"/>
        </w:rPr>
        <w:t> </w:t>
      </w:r>
      <w:hyperlink w:history="true" w:anchor="_bookmark2631">
        <w:r>
          <w:rPr>
            <w:color w:val="005DA1"/>
            <w:u w:val="single" w:color="005DA1"/>
            <w:vertAlign w:val="superscript"/>
          </w:rPr>
          <w:t>1377</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291" name="Image 1291"/>
              <wp:cNvGraphicFramePr>
                <a:graphicFrameLocks/>
              </wp:cNvGraphicFramePr>
              <a:graphic>
                <a:graphicData uri="http://schemas.openxmlformats.org/drawingml/2006/picture">
                  <pic:pic>
                    <pic:nvPicPr>
                      <pic:cNvPr id="1291" name="Image 12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This</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so</w:t>
        </w:r>
        <w:r>
          <w:rPr>
            <w:spacing w:val="-1"/>
            <w:vertAlign w:val="baseline"/>
          </w:rPr>
          <w:t> </w:t>
        </w:r>
        <w:r>
          <w:rPr>
            <w:vertAlign w:val="baseline"/>
          </w:rPr>
          <w:t>many</w:t>
        </w:r>
        <w:r>
          <w:rPr>
            <w:spacing w:val="-1"/>
            <w:vertAlign w:val="baseline"/>
          </w:rPr>
          <w:t> </w:t>
        </w:r>
        <w:r>
          <w:rPr>
            <w:vertAlign w:val="baseline"/>
          </w:rPr>
          <w:t>words</w:t>
        </w:r>
        <w:r>
          <w:rPr>
            <w:spacing w:val="-1"/>
            <w:vertAlign w:val="baseline"/>
          </w:rPr>
          <w:t> </w:t>
        </w:r>
        <w:r>
          <w:rPr>
            <w:vertAlign w:val="baseline"/>
          </w:rPr>
          <w:t>cover</w:t>
        </w:r>
        <w:r>
          <w:rPr>
            <w:spacing w:val="-1"/>
            <w:vertAlign w:val="baseline"/>
          </w:rPr>
          <w:t> </w:t>
        </w:r>
        <w:r>
          <w:rPr>
            <w:vertAlign w:val="baseline"/>
          </w:rPr>
          <w:t>the</w:t>
        </w:r>
        <w:r>
          <w:rPr>
            <w:spacing w:val="-1"/>
            <w:vertAlign w:val="baseline"/>
          </w:rPr>
          <w:t> </w:t>
        </w:r>
        <w:r>
          <w:rPr>
            <w:vertAlign w:val="baseline"/>
          </w:rPr>
          <w:t>case of a deposit or provision for forfeiture, but there seems no doubt that such a term may be declared to be unfair in an appropriate case.</w:t>
        </w:r>
      </w:hyperlink>
    </w:p>
    <w:p>
      <w:pPr>
        <w:pStyle w:val="BodyText"/>
      </w:pPr>
    </w:p>
    <w:p>
      <w:pPr>
        <w:pStyle w:val="BodyText"/>
        <w:spacing w:before="39"/>
      </w:pPr>
      <w:r>
        <w:rPr/>
        <mc:AlternateContent>
          <mc:Choice Requires="wps">
            <w:drawing>
              <wp:anchor distT="0" distB="0" distL="0" distR="0" allowOverlap="1" layoutInCell="1" locked="0" behindDoc="1" simplePos="0" relativeHeight="487741952">
                <wp:simplePos x="0" y="0"/>
                <wp:positionH relativeFrom="page">
                  <wp:posOffset>914400</wp:posOffset>
                </wp:positionH>
                <wp:positionV relativeFrom="paragraph">
                  <wp:posOffset>186065</wp:posOffset>
                </wp:positionV>
                <wp:extent cx="5724525" cy="1270"/>
                <wp:effectExtent l="0" t="0" r="0" b="0"/>
                <wp:wrapTopAndBottom/>
                <wp:docPr id="1292" name="Graphic 1292"/>
                <wp:cNvGraphicFramePr>
                  <a:graphicFrameLocks/>
                </wp:cNvGraphicFramePr>
                <a:graphic>
                  <a:graphicData uri="http://schemas.microsoft.com/office/word/2010/wordprocessingShape">
                    <wps:wsp>
                      <wps:cNvPr id="1292" name="Graphic 12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0863pt;width:450.75pt;height:.1pt;mso-position-horizontal-relative:page;mso-position-vertical-relative:paragraph;z-index:-15574528;mso-wrap-distance-left:0;mso-wrap-distance-right:0" id="docshape118" coordorigin="1440,293" coordsize="9015,0" path="m1440,293l10454,293e" filled="false" stroked="true" strokeweight="1pt" strokecolor="#000000">
                <v:path arrowok="t"/>
                <v:stroke dashstyle="solid"/>
                <w10:wrap type="topAndBottom"/>
              </v:shape>
            </w:pict>
          </mc:Fallback>
        </mc:AlternateContent>
      </w:r>
    </w:p>
    <w:p>
      <w:pPr>
        <w:pStyle w:val="BodyText"/>
        <w:spacing w:before="221"/>
      </w:pPr>
    </w:p>
    <w:p>
      <w:pPr>
        <w:pStyle w:val="BodyText"/>
        <w:spacing w:line="235" w:lineRule="auto"/>
        <w:ind w:left="705" w:right="167" w:hanging="541"/>
        <w:jc w:val="both"/>
      </w:pPr>
      <w:bookmarkStart w:name="_bookmark2617" w:id="2619"/>
      <w:bookmarkEnd w:id="2619"/>
      <w:r>
        <w:rPr/>
      </w:r>
      <w:hyperlink w:history="true" w:anchor="_bookmark2602">
        <w:r>
          <w:rPr>
            <w:color w:val="005DA1"/>
            <w:u w:val="single" w:color="005DA1"/>
            <w:vertAlign w:val="superscript"/>
          </w:rPr>
          <w:t>1363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93" name="Image 1293"/>
            <wp:cNvGraphicFramePr>
              <a:graphicFrameLocks/>
            </wp:cNvGraphicFramePr>
            <a:graphic>
              <a:graphicData uri="http://schemas.openxmlformats.org/drawingml/2006/picture">
                <pic:pic>
                  <pic:nvPicPr>
                    <pic:cNvPr id="1293" name="Image 12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Vol.II, paras 33-085 et seq. deal with hiring agreements, while paras 39-005 et seq. deal with the other agreements within the scope of the Act.</w:t>
      </w:r>
    </w:p>
    <w:p>
      <w:pPr>
        <w:pStyle w:val="BodyText"/>
        <w:spacing w:before="125"/>
      </w:pPr>
    </w:p>
    <w:p>
      <w:pPr>
        <w:pStyle w:val="BodyText"/>
        <w:ind w:left="165"/>
      </w:pPr>
      <w:bookmarkStart w:name="_bookmark2618" w:id="2620"/>
      <w:bookmarkEnd w:id="2620"/>
      <w:r>
        <w:rPr/>
      </w:r>
      <w:hyperlink w:history="true" w:anchor="_bookmark2603">
        <w:r>
          <w:rPr>
            <w:color w:val="005DA1"/>
            <w:u w:val="single" w:color="005DA1"/>
            <w:vertAlign w:val="superscript"/>
          </w:rPr>
          <w:t>1364</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1294" name="Image 1294"/>
            <wp:cNvGraphicFramePr>
              <a:graphicFrameLocks/>
            </wp:cNvGraphicFramePr>
            <a:graphic>
              <a:graphicData uri="http://schemas.openxmlformats.org/drawingml/2006/picture">
                <pic:pic>
                  <pic:nvPicPr>
                    <pic:cNvPr id="1294" name="Image 12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Definitions</w:t>
      </w:r>
      <w:r>
        <w:rPr>
          <w:spacing w:val="3"/>
          <w:vertAlign w:val="baseline"/>
        </w:rPr>
        <w:t> </w:t>
      </w:r>
      <w:r>
        <w:rPr>
          <w:vertAlign w:val="baseline"/>
        </w:rPr>
        <w:t>of</w:t>
      </w:r>
      <w:r>
        <w:rPr>
          <w:spacing w:val="1"/>
          <w:vertAlign w:val="baseline"/>
        </w:rPr>
        <w:t> </w:t>
      </w:r>
      <w:r>
        <w:rPr>
          <w:vertAlign w:val="baseline"/>
        </w:rPr>
        <w:t>these</w:t>
      </w:r>
      <w:r>
        <w:rPr>
          <w:spacing w:val="2"/>
          <w:vertAlign w:val="baseline"/>
        </w:rPr>
        <w:t> </w:t>
      </w:r>
      <w:r>
        <w:rPr>
          <w:vertAlign w:val="baseline"/>
        </w:rPr>
        <w:t>agreements</w:t>
      </w:r>
      <w:r>
        <w:rPr>
          <w:spacing w:val="1"/>
          <w:vertAlign w:val="baseline"/>
        </w:rPr>
        <w:t> </w:t>
      </w:r>
      <w:r>
        <w:rPr>
          <w:vertAlign w:val="baseline"/>
        </w:rPr>
        <w:t>are</w:t>
      </w:r>
      <w:r>
        <w:rPr>
          <w:spacing w:val="2"/>
          <w:vertAlign w:val="baseline"/>
        </w:rPr>
        <w:t> </w:t>
      </w:r>
      <w:r>
        <w:rPr>
          <w:vertAlign w:val="baseline"/>
        </w:rPr>
        <w:t>examined</w:t>
      </w:r>
      <w:r>
        <w:rPr>
          <w:spacing w:val="1"/>
          <w:vertAlign w:val="baseline"/>
        </w:rPr>
        <w:t> </w:t>
      </w:r>
      <w:r>
        <w:rPr>
          <w:vertAlign w:val="baseline"/>
        </w:rPr>
        <w:t>in</w:t>
      </w:r>
      <w:r>
        <w:rPr>
          <w:spacing w:val="2"/>
          <w:vertAlign w:val="baseline"/>
        </w:rPr>
        <w:t> </w:t>
      </w:r>
      <w:r>
        <w:rPr>
          <w:vertAlign w:val="baseline"/>
        </w:rPr>
        <w:t>Vol.II,</w:t>
      </w:r>
      <w:r>
        <w:rPr>
          <w:spacing w:val="1"/>
          <w:vertAlign w:val="baseline"/>
        </w:rPr>
        <w:t> </w:t>
      </w:r>
      <w:r>
        <w:rPr>
          <w:vertAlign w:val="baseline"/>
        </w:rPr>
        <w:t>paras</w:t>
      </w:r>
      <w:r>
        <w:rPr>
          <w:spacing w:val="2"/>
          <w:vertAlign w:val="baseline"/>
        </w:rPr>
        <w:t> </w:t>
      </w:r>
      <w:r>
        <w:rPr>
          <w:vertAlign w:val="baseline"/>
        </w:rPr>
        <w:t>39-356</w:t>
      </w:r>
      <w:r>
        <w:rPr>
          <w:spacing w:val="1"/>
          <w:vertAlign w:val="baseline"/>
        </w:rPr>
        <w:t> </w:t>
      </w:r>
      <w:r>
        <w:rPr>
          <w:vertAlign w:val="baseline"/>
        </w:rPr>
        <w:t>et</w:t>
      </w:r>
      <w:r>
        <w:rPr>
          <w:spacing w:val="2"/>
          <w:vertAlign w:val="baseline"/>
        </w:rPr>
        <w:t> </w:t>
      </w:r>
      <w:r>
        <w:rPr>
          <w:spacing w:val="-4"/>
          <w:vertAlign w:val="baseline"/>
        </w:rPr>
        <w:t>seq.</w:t>
      </w:r>
    </w:p>
    <w:p>
      <w:pPr>
        <w:pStyle w:val="BodyText"/>
        <w:spacing w:before="129"/>
      </w:pPr>
    </w:p>
    <w:p>
      <w:pPr>
        <w:pStyle w:val="BodyText"/>
        <w:spacing w:line="235" w:lineRule="auto"/>
        <w:ind w:left="705" w:right="167" w:hanging="541"/>
        <w:jc w:val="both"/>
      </w:pPr>
      <w:bookmarkStart w:name="_bookmark2619" w:id="2621"/>
      <w:bookmarkEnd w:id="2621"/>
      <w:r>
        <w:rPr/>
      </w:r>
      <w:hyperlink w:history="true" w:anchor="_bookmark2604">
        <w:r>
          <w:rPr>
            <w:color w:val="005DA1"/>
            <w:u w:val="single" w:color="005DA1"/>
            <w:vertAlign w:val="superscript"/>
          </w:rPr>
          <w:t>1365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95" name="Image 1295"/>
            <wp:cNvGraphicFramePr>
              <a:graphicFrameLocks/>
            </wp:cNvGraphicFramePr>
            <a:graphic>
              <a:graphicData uri="http://schemas.openxmlformats.org/drawingml/2006/picture">
                <pic:pic>
                  <pic:nvPicPr>
                    <pic:cNvPr id="1295" name="Image 12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Vol.II, paras 39-368—39-369; cf. the similar power conferred on the court by s.132 in the case of a regulated consumer hire agreement.</w:t>
      </w:r>
    </w:p>
    <w:p>
      <w:pPr>
        <w:pStyle w:val="BodyText"/>
        <w:spacing w:before="129"/>
      </w:pPr>
    </w:p>
    <w:p>
      <w:pPr>
        <w:pStyle w:val="BodyText"/>
        <w:spacing w:line="235" w:lineRule="auto"/>
        <w:ind w:left="705" w:right="167" w:hanging="541"/>
        <w:jc w:val="both"/>
      </w:pPr>
      <w:bookmarkStart w:name="_bookmark2620" w:id="2622"/>
      <w:bookmarkEnd w:id="2622"/>
      <w:r>
        <w:rPr/>
      </w:r>
      <w:hyperlink w:history="true" w:anchor="_bookmark2605">
        <w:r>
          <w:rPr>
            <w:color w:val="005DA1"/>
            <w:u w:val="single" w:color="005DA1"/>
            <w:vertAlign w:val="superscript"/>
          </w:rPr>
          <w:t>1366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96" name="Image 1296"/>
            <wp:cNvGraphicFramePr>
              <a:graphicFrameLocks/>
            </wp:cNvGraphicFramePr>
            <a:graphic>
              <a:graphicData uri="http://schemas.openxmlformats.org/drawingml/2006/picture">
                <pic:pic>
                  <pic:nvPicPr>
                    <pic:cNvPr id="1296" name="Image 12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Consumer Credit Act 1974 ss.140A–140C, inserted by Consumer Credit Act 2006 </w:t>
      </w:r>
      <w:r>
        <w:rPr>
          <w:vertAlign w:val="baseline"/>
        </w:rPr>
        <w:t>ss.19–22. These</w:t>
      </w:r>
      <w:r>
        <w:rPr>
          <w:spacing w:val="17"/>
          <w:vertAlign w:val="baseline"/>
        </w:rPr>
        <w:t> </w:t>
      </w:r>
      <w:r>
        <w:rPr>
          <w:vertAlign w:val="baseline"/>
        </w:rPr>
        <w:t>provisions</w:t>
      </w:r>
      <w:r>
        <w:rPr>
          <w:spacing w:val="19"/>
          <w:vertAlign w:val="baseline"/>
        </w:rPr>
        <w:t> </w:t>
      </w:r>
      <w:r>
        <w:rPr>
          <w:vertAlign w:val="baseline"/>
        </w:rPr>
        <w:t>replace</w:t>
      </w:r>
      <w:r>
        <w:rPr>
          <w:spacing w:val="19"/>
          <w:vertAlign w:val="baseline"/>
        </w:rPr>
        <w:t> </w:t>
      </w:r>
      <w:r>
        <w:rPr>
          <w:vertAlign w:val="baseline"/>
        </w:rPr>
        <w:t>ss.137–140</w:t>
      </w:r>
      <w:r>
        <w:rPr>
          <w:spacing w:val="19"/>
          <w:vertAlign w:val="baseline"/>
        </w:rPr>
        <w:t> </w:t>
      </w:r>
      <w:r>
        <w:rPr>
          <w:vertAlign w:val="baseline"/>
        </w:rPr>
        <w:t>on</w:t>
      </w:r>
      <w:r>
        <w:rPr>
          <w:spacing w:val="19"/>
          <w:vertAlign w:val="baseline"/>
        </w:rPr>
        <w:t> </w:t>
      </w:r>
      <w:r>
        <w:rPr>
          <w:vertAlign w:val="baseline"/>
        </w:rPr>
        <w:t>“extortionate</w:t>
      </w:r>
      <w:r>
        <w:rPr>
          <w:spacing w:val="19"/>
          <w:vertAlign w:val="baseline"/>
        </w:rPr>
        <w:t> </w:t>
      </w:r>
      <w:r>
        <w:rPr>
          <w:vertAlign w:val="baseline"/>
        </w:rPr>
        <w:t>credit</w:t>
      </w:r>
      <w:r>
        <w:rPr>
          <w:spacing w:val="19"/>
          <w:vertAlign w:val="baseline"/>
        </w:rPr>
        <w:t> </w:t>
      </w:r>
      <w:r>
        <w:rPr>
          <w:vertAlign w:val="baseline"/>
        </w:rPr>
        <w:t>bargains”,</w:t>
      </w:r>
      <w:r>
        <w:rPr>
          <w:spacing w:val="19"/>
          <w:vertAlign w:val="baseline"/>
        </w:rPr>
        <w:t> </w:t>
      </w:r>
      <w:r>
        <w:rPr>
          <w:vertAlign w:val="baseline"/>
        </w:rPr>
        <w:t>which</w:t>
      </w:r>
      <w:r>
        <w:rPr>
          <w:spacing w:val="19"/>
          <w:vertAlign w:val="baseline"/>
        </w:rPr>
        <w:t> </w:t>
      </w:r>
      <w:r>
        <w:rPr>
          <w:vertAlign w:val="baseline"/>
        </w:rPr>
        <w:t>are</w:t>
      </w:r>
      <w:r>
        <w:rPr>
          <w:spacing w:val="19"/>
          <w:vertAlign w:val="baseline"/>
        </w:rPr>
        <w:t> </w:t>
      </w:r>
      <w:r>
        <w:rPr>
          <w:vertAlign w:val="baseline"/>
        </w:rPr>
        <w:t>repealed</w:t>
      </w:r>
      <w:r>
        <w:rPr>
          <w:spacing w:val="19"/>
          <w:vertAlign w:val="baseline"/>
        </w:rPr>
        <w:t> </w:t>
      </w:r>
      <w:r>
        <w:rPr>
          <w:spacing w:val="-5"/>
          <w:vertAlign w:val="baseline"/>
        </w:rPr>
        <w:t>by</w:t>
      </w:r>
    </w:p>
    <w:p>
      <w:pPr>
        <w:pStyle w:val="BodyText"/>
        <w:spacing w:line="225" w:lineRule="exact"/>
        <w:ind w:left="705"/>
      </w:pPr>
      <w:r>
        <w:rPr/>
        <w:t>s.70 and Sch.4 of the 2006 Act. See further Vol.II, paras 39-212 et </w:t>
      </w:r>
      <w:r>
        <w:rPr>
          <w:spacing w:val="-4"/>
        </w:rPr>
        <w:t>seq.</w:t>
      </w:r>
    </w:p>
    <w:p>
      <w:pPr>
        <w:pStyle w:val="BodyText"/>
        <w:spacing w:before="125"/>
      </w:pPr>
    </w:p>
    <w:p>
      <w:pPr>
        <w:pStyle w:val="BodyText"/>
        <w:ind w:left="165"/>
      </w:pPr>
      <w:bookmarkStart w:name="_bookmark2621" w:id="2623"/>
      <w:bookmarkEnd w:id="2623"/>
      <w:r>
        <w:rPr/>
      </w:r>
      <w:hyperlink w:history="true" w:anchor="_bookmark2606">
        <w:r>
          <w:rPr>
            <w:color w:val="005DA1"/>
            <w:w w:val="105"/>
            <w:u w:val="single" w:color="005DA1"/>
            <w:vertAlign w:val="superscript"/>
          </w:rPr>
          <w:t>1367</w:t>
        </w:r>
      </w:hyperlink>
      <w:r>
        <w:rPr>
          <w:w w:val="105"/>
          <w:vertAlign w:val="superscript"/>
        </w:rPr>
        <w:t>.</w:t>
      </w:r>
      <w:r>
        <w:rPr>
          <w:spacing w:val="39"/>
          <w:w w:val="105"/>
          <w:vertAlign w:val="baseline"/>
        </w:rPr>
        <w:t>  </w:t>
      </w:r>
      <w:r>
        <w:rPr>
          <w:spacing w:val="23"/>
          <w:position w:val="-2"/>
          <w:vertAlign w:val="baseline"/>
        </w:rPr>
        <w:drawing>
          <wp:inline distT="0" distB="0" distL="0" distR="0">
            <wp:extent cx="107988" cy="107988"/>
            <wp:effectExtent l="0" t="0" r="0" b="0"/>
            <wp:docPr id="1297" name="Image 1297"/>
            <wp:cNvGraphicFramePr>
              <a:graphicFrameLocks/>
            </wp:cNvGraphicFramePr>
            <a:graphic>
              <a:graphicData uri="http://schemas.openxmlformats.org/drawingml/2006/picture">
                <pic:pic>
                  <pic:nvPicPr>
                    <pic:cNvPr id="1297" name="Image 12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spacing w:val="-2"/>
          <w:w w:val="105"/>
          <w:vertAlign w:val="baseline"/>
        </w:rPr>
        <w:t>s.140A(1).</w:t>
      </w:r>
    </w:p>
    <w:p>
      <w:pPr>
        <w:pStyle w:val="BodyText"/>
        <w:spacing w:before="129"/>
      </w:pPr>
    </w:p>
    <w:p>
      <w:pPr>
        <w:pStyle w:val="BodyText"/>
        <w:spacing w:line="235" w:lineRule="auto"/>
        <w:ind w:left="705" w:right="167" w:hanging="541"/>
        <w:jc w:val="both"/>
      </w:pPr>
      <w:bookmarkStart w:name="_bookmark2622" w:id="2624"/>
      <w:bookmarkEnd w:id="2624"/>
      <w:r>
        <w:rPr/>
      </w:r>
      <w:hyperlink w:history="true" w:anchor="_bookmark2607">
        <w:r>
          <w:rPr>
            <w:color w:val="005DA1"/>
            <w:u w:val="single" w:color="005DA1"/>
            <w:vertAlign w:val="superscript"/>
          </w:rPr>
          <w:t>1368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298" name="Image 1298"/>
            <wp:cNvGraphicFramePr>
              <a:graphicFrameLocks/>
            </wp:cNvGraphicFramePr>
            <a:graphic>
              <a:graphicData uri="http://schemas.openxmlformats.org/drawingml/2006/picture">
                <pic:pic>
                  <pic:nvPicPr>
                    <pic:cNvPr id="1298" name="Image 12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s.140B(1). These powers can be exercised in relation to any credit agreement where </w:t>
      </w:r>
      <w:r>
        <w:rPr>
          <w:vertAlign w:val="baseline"/>
        </w:rPr>
        <w:t>the debtor is an individual (as defined in s.189(1), as amended: see Vol.II, paras 39-016 et seq.) or any</w:t>
      </w:r>
      <w:r>
        <w:rPr>
          <w:spacing w:val="-2"/>
          <w:vertAlign w:val="baseline"/>
        </w:rPr>
        <w:t> </w:t>
      </w:r>
      <w:r>
        <w:rPr>
          <w:vertAlign w:val="baseline"/>
        </w:rPr>
        <w:t>related</w:t>
      </w:r>
      <w:r>
        <w:rPr>
          <w:spacing w:val="-2"/>
          <w:vertAlign w:val="baseline"/>
        </w:rPr>
        <w:t> </w:t>
      </w:r>
      <w:r>
        <w:rPr>
          <w:vertAlign w:val="baseline"/>
        </w:rPr>
        <w:t>agreement</w:t>
      </w:r>
      <w:r>
        <w:rPr>
          <w:spacing w:val="-2"/>
          <w:vertAlign w:val="baseline"/>
        </w:rPr>
        <w:t> </w:t>
      </w:r>
      <w:r>
        <w:rPr>
          <w:vertAlign w:val="baseline"/>
        </w:rPr>
        <w:t>(as</w:t>
      </w:r>
      <w:r>
        <w:rPr>
          <w:spacing w:val="-2"/>
          <w:vertAlign w:val="baseline"/>
        </w:rPr>
        <w:t> </w:t>
      </w:r>
      <w:r>
        <w:rPr>
          <w:vertAlign w:val="baseline"/>
        </w:rPr>
        <w:t>defined</w:t>
      </w:r>
      <w:r>
        <w:rPr>
          <w:spacing w:val="-2"/>
          <w:vertAlign w:val="baseline"/>
        </w:rPr>
        <w:t> </w:t>
      </w:r>
      <w:r>
        <w:rPr>
          <w:vertAlign w:val="baseline"/>
        </w:rPr>
        <w:t>in</w:t>
      </w:r>
      <w:r>
        <w:rPr>
          <w:spacing w:val="-2"/>
          <w:vertAlign w:val="baseline"/>
        </w:rPr>
        <w:t> </w:t>
      </w:r>
      <w:r>
        <w:rPr>
          <w:vertAlign w:val="baseline"/>
        </w:rPr>
        <w:t>s.140C(4)).</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exempt,</w:t>
      </w:r>
      <w:r>
        <w:rPr>
          <w:spacing w:val="-2"/>
          <w:vertAlign w:val="baseline"/>
        </w:rPr>
        <w:t> </w:t>
      </w:r>
      <w:r>
        <w:rPr>
          <w:vertAlign w:val="baseline"/>
        </w:rPr>
        <w:t>and not a regulated, agreement is immaterial, except that no order can be made in connection with</w:t>
      </w:r>
      <w:r>
        <w:rPr>
          <w:spacing w:val="40"/>
          <w:vertAlign w:val="baseline"/>
        </w:rPr>
        <w:t> </w:t>
      </w:r>
      <w:r>
        <w:rPr>
          <w:vertAlign w:val="baseline"/>
        </w:rPr>
        <w:t>a</w:t>
      </w:r>
      <w:r>
        <w:rPr>
          <w:spacing w:val="-2"/>
          <w:vertAlign w:val="baseline"/>
        </w:rPr>
        <w:t> </w:t>
      </w:r>
      <w:r>
        <w:rPr>
          <w:vertAlign w:val="baseline"/>
        </w:rPr>
        <w:t>credit</w:t>
      </w:r>
      <w:r>
        <w:rPr>
          <w:spacing w:val="-2"/>
          <w:vertAlign w:val="baseline"/>
        </w:rPr>
        <w:t> </w:t>
      </w:r>
      <w:r>
        <w:rPr>
          <w:vertAlign w:val="baseline"/>
        </w:rPr>
        <w:t>agreement</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exempt</w:t>
      </w:r>
      <w:r>
        <w:rPr>
          <w:spacing w:val="-2"/>
          <w:vertAlign w:val="baseline"/>
        </w:rPr>
        <w:t> </w:t>
      </w:r>
      <w:r>
        <w:rPr>
          <w:vertAlign w:val="baseline"/>
        </w:rPr>
        <w:t>agreement</w:t>
      </w:r>
      <w:r>
        <w:rPr>
          <w:spacing w:val="-2"/>
          <w:vertAlign w:val="baseline"/>
        </w:rPr>
        <w:t> </w:t>
      </w:r>
      <w:r>
        <w:rPr>
          <w:vertAlign w:val="baseline"/>
        </w:rPr>
        <w:t>by</w:t>
      </w:r>
      <w:r>
        <w:rPr>
          <w:spacing w:val="-2"/>
          <w:vertAlign w:val="baseline"/>
        </w:rPr>
        <w:t> </w:t>
      </w:r>
      <w:r>
        <w:rPr>
          <w:vertAlign w:val="baseline"/>
        </w:rPr>
        <w:t>virtue</w:t>
      </w:r>
      <w:r>
        <w:rPr>
          <w:spacing w:val="-2"/>
          <w:vertAlign w:val="baseline"/>
        </w:rPr>
        <w:t> </w:t>
      </w:r>
      <w:r>
        <w:rPr>
          <w:vertAlign w:val="baseline"/>
        </w:rPr>
        <w:t>of</w:t>
      </w:r>
      <w:r>
        <w:rPr>
          <w:spacing w:val="-2"/>
          <w:vertAlign w:val="baseline"/>
        </w:rPr>
        <w:t> </w:t>
      </w:r>
      <w:r>
        <w:rPr>
          <w:vertAlign w:val="baseline"/>
        </w:rPr>
        <w:t>s.16(6C).</w:t>
      </w:r>
      <w:r>
        <w:rPr>
          <w:spacing w:val="-2"/>
          <w:vertAlign w:val="baseline"/>
        </w:rPr>
        <w:t> </w:t>
      </w:r>
      <w:r>
        <w:rPr>
          <w:vertAlign w:val="baseline"/>
        </w:rPr>
        <w:t>These</w:t>
      </w:r>
      <w:r>
        <w:rPr>
          <w:spacing w:val="-2"/>
          <w:vertAlign w:val="baseline"/>
        </w:rPr>
        <w:t> </w:t>
      </w:r>
      <w:r>
        <w:rPr>
          <w:vertAlign w:val="baseline"/>
        </w:rPr>
        <w:t>provisions</w:t>
      </w:r>
      <w:r>
        <w:rPr>
          <w:spacing w:val="-2"/>
          <w:vertAlign w:val="baseline"/>
        </w:rPr>
        <w:t> </w:t>
      </w:r>
      <w:r>
        <w:rPr>
          <w:vertAlign w:val="baseline"/>
        </w:rPr>
        <w:t>came into force on April 6, 2007 (SI 2007/123 (c.6)).</w:t>
      </w:r>
    </w:p>
    <w:p>
      <w:pPr>
        <w:pStyle w:val="BodyText"/>
        <w:spacing w:before="128"/>
      </w:pPr>
    </w:p>
    <w:p>
      <w:pPr>
        <w:spacing w:line="235" w:lineRule="auto" w:before="0"/>
        <w:ind w:left="705" w:right="167" w:hanging="541"/>
        <w:jc w:val="both"/>
        <w:rPr>
          <w:sz w:val="20"/>
        </w:rPr>
      </w:pPr>
      <w:bookmarkStart w:name="_bookmark2623" w:id="2625"/>
      <w:bookmarkEnd w:id="2625"/>
      <w:r>
        <w:rPr/>
      </w:r>
      <w:hyperlink w:history="true" w:anchor="_bookmark2608">
        <w:r>
          <w:rPr>
            <w:color w:val="005DA1"/>
            <w:sz w:val="20"/>
            <w:u w:val="single" w:color="005DA1"/>
            <w:vertAlign w:val="superscript"/>
          </w:rPr>
          <w:t>1369</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1299" name="Image 1299"/>
            <wp:cNvGraphicFramePr>
              <a:graphicFrameLocks/>
            </wp:cNvGraphicFramePr>
            <a:graphic>
              <a:graphicData uri="http://schemas.openxmlformats.org/drawingml/2006/picture">
                <pic:pic>
                  <pic:nvPicPr>
                    <pic:cNvPr id="1299" name="Image 12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Campbell Discount Co Ltd v Bridge [1961] 1 Q.B. 445 CA </w:t>
      </w:r>
      <w:r>
        <w:rPr>
          <w:sz w:val="20"/>
          <w:vertAlign w:val="baseline"/>
        </w:rPr>
        <w:t>(on appeal, the case was decided</w:t>
      </w:r>
      <w:r>
        <w:rPr>
          <w:spacing w:val="40"/>
          <w:sz w:val="20"/>
          <w:vertAlign w:val="baseline"/>
        </w:rPr>
        <w:t> </w:t>
      </w:r>
      <w:r>
        <w:rPr>
          <w:sz w:val="20"/>
          <w:vertAlign w:val="baseline"/>
        </w:rPr>
        <w:t>on</w:t>
      </w:r>
      <w:r>
        <w:rPr>
          <w:spacing w:val="46"/>
          <w:sz w:val="20"/>
          <w:vertAlign w:val="baseline"/>
        </w:rPr>
        <w:t> </w:t>
      </w:r>
      <w:r>
        <w:rPr>
          <w:sz w:val="20"/>
          <w:vertAlign w:val="baseline"/>
        </w:rPr>
        <w:t>another</w:t>
      </w:r>
      <w:r>
        <w:rPr>
          <w:spacing w:val="47"/>
          <w:sz w:val="20"/>
          <w:vertAlign w:val="baseline"/>
        </w:rPr>
        <w:t> </w:t>
      </w:r>
      <w:r>
        <w:rPr>
          <w:sz w:val="20"/>
          <w:vertAlign w:val="baseline"/>
        </w:rPr>
        <w:t>point:</w:t>
      </w:r>
      <w:r>
        <w:rPr>
          <w:spacing w:val="47"/>
          <w:sz w:val="20"/>
          <w:vertAlign w:val="baseline"/>
        </w:rPr>
        <w:t> </w:t>
      </w:r>
      <w:r>
        <w:rPr>
          <w:rFonts w:ascii="Arial" w:hAnsi="Arial"/>
          <w:i/>
          <w:sz w:val="20"/>
          <w:vertAlign w:val="baseline"/>
        </w:rPr>
        <w:t>[1962]</w:t>
      </w:r>
      <w:r>
        <w:rPr>
          <w:rFonts w:ascii="Arial" w:hAnsi="Arial"/>
          <w:i/>
          <w:spacing w:val="47"/>
          <w:sz w:val="20"/>
          <w:vertAlign w:val="baseline"/>
        </w:rPr>
        <w:t> </w:t>
      </w:r>
      <w:r>
        <w:rPr>
          <w:rFonts w:ascii="Arial" w:hAnsi="Arial"/>
          <w:i/>
          <w:sz w:val="20"/>
          <w:vertAlign w:val="baseline"/>
        </w:rPr>
        <w:t>A.C.</w:t>
      </w:r>
      <w:r>
        <w:rPr>
          <w:rFonts w:ascii="Arial" w:hAnsi="Arial"/>
          <w:i/>
          <w:spacing w:val="47"/>
          <w:sz w:val="20"/>
          <w:vertAlign w:val="baseline"/>
        </w:rPr>
        <w:t> </w:t>
      </w:r>
      <w:r>
        <w:rPr>
          <w:rFonts w:ascii="Arial" w:hAnsi="Arial"/>
          <w:i/>
          <w:sz w:val="20"/>
          <w:vertAlign w:val="baseline"/>
        </w:rPr>
        <w:t>600</w:t>
      </w:r>
      <w:r>
        <w:rPr>
          <w:sz w:val="20"/>
          <w:vertAlign w:val="baseline"/>
        </w:rPr>
        <w:t>);</w:t>
      </w:r>
      <w:r>
        <w:rPr>
          <w:spacing w:val="47"/>
          <w:sz w:val="20"/>
          <w:vertAlign w:val="baseline"/>
        </w:rPr>
        <w:t> </w:t>
      </w:r>
      <w:r>
        <w:rPr>
          <w:sz w:val="20"/>
          <w:vertAlign w:val="baseline"/>
        </w:rPr>
        <w:t>see</w:t>
      </w:r>
      <w:r>
        <w:rPr>
          <w:spacing w:val="47"/>
          <w:sz w:val="20"/>
          <w:vertAlign w:val="baseline"/>
        </w:rPr>
        <w:t> </w:t>
      </w:r>
      <w:r>
        <w:rPr>
          <w:sz w:val="20"/>
          <w:vertAlign w:val="baseline"/>
        </w:rPr>
        <w:t>Vol.II,</w:t>
      </w:r>
      <w:r>
        <w:rPr>
          <w:spacing w:val="47"/>
          <w:sz w:val="20"/>
          <w:vertAlign w:val="baseline"/>
        </w:rPr>
        <w:t> </w:t>
      </w:r>
      <w:r>
        <w:rPr>
          <w:sz w:val="20"/>
          <w:vertAlign w:val="baseline"/>
        </w:rPr>
        <w:t>paras</w:t>
      </w:r>
      <w:r>
        <w:rPr>
          <w:spacing w:val="47"/>
          <w:sz w:val="20"/>
          <w:vertAlign w:val="baseline"/>
        </w:rPr>
        <w:t> </w:t>
      </w:r>
      <w:r>
        <w:rPr>
          <w:sz w:val="20"/>
          <w:vertAlign w:val="baseline"/>
        </w:rPr>
        <w:t>39-349—39-353;</w:t>
      </w:r>
      <w:r>
        <w:rPr>
          <w:spacing w:val="47"/>
          <w:sz w:val="20"/>
          <w:vertAlign w:val="baseline"/>
        </w:rPr>
        <w:t> </w:t>
      </w:r>
      <w:r>
        <w:rPr>
          <w:sz w:val="20"/>
          <w:vertAlign w:val="baseline"/>
        </w:rPr>
        <w:t>Diamond</w:t>
      </w:r>
      <w:r>
        <w:rPr>
          <w:spacing w:val="47"/>
          <w:sz w:val="20"/>
          <w:vertAlign w:val="baseline"/>
        </w:rPr>
        <w:t> </w:t>
      </w:r>
      <w:r>
        <w:rPr>
          <w:sz w:val="20"/>
          <w:vertAlign w:val="baseline"/>
        </w:rPr>
        <w:t>(1956)</w:t>
      </w:r>
      <w:r>
        <w:rPr>
          <w:spacing w:val="47"/>
          <w:sz w:val="20"/>
          <w:vertAlign w:val="baseline"/>
        </w:rPr>
        <w:t> </w:t>
      </w:r>
      <w:r>
        <w:rPr>
          <w:spacing w:val="-5"/>
          <w:sz w:val="20"/>
          <w:vertAlign w:val="baseline"/>
        </w:rPr>
        <w:t>19</w:t>
      </w:r>
    </w:p>
    <w:p>
      <w:pPr>
        <w:pStyle w:val="BodyText"/>
        <w:spacing w:line="225" w:lineRule="exact"/>
        <w:ind w:left="705"/>
      </w:pPr>
      <w:r>
        <w:rPr/>
        <w:t>M.L.R. 498 and (1958) 21 M.L.R. 199; Prince (1957) 20 M.L.R. </w:t>
      </w:r>
      <w:r>
        <w:rPr>
          <w:spacing w:val="-4"/>
        </w:rPr>
        <w:t>620.</w:t>
      </w:r>
    </w:p>
    <w:p>
      <w:pPr>
        <w:pStyle w:val="BodyText"/>
        <w:spacing w:before="125"/>
      </w:pPr>
    </w:p>
    <w:p>
      <w:pPr>
        <w:spacing w:before="0"/>
        <w:ind w:left="165" w:right="0" w:firstLine="0"/>
        <w:jc w:val="left"/>
        <w:rPr>
          <w:rFonts w:ascii="Arial"/>
          <w:i/>
          <w:sz w:val="20"/>
        </w:rPr>
      </w:pPr>
      <w:bookmarkStart w:name="_bookmark2624" w:id="2626"/>
      <w:bookmarkEnd w:id="2626"/>
      <w:r>
        <w:rPr/>
      </w:r>
      <w:hyperlink w:history="true" w:anchor="_bookmark2609">
        <w:r>
          <w:rPr>
            <w:color w:val="005DA1"/>
            <w:sz w:val="20"/>
            <w:u w:val="single" w:color="005DA1"/>
            <w:vertAlign w:val="superscript"/>
          </w:rPr>
          <w:t>1370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1300" name="Image 1300"/>
            <wp:cNvGraphicFramePr>
              <a:graphicFrameLocks/>
            </wp:cNvGraphicFramePr>
            <a:graphic>
              <a:graphicData uri="http://schemas.openxmlformats.org/drawingml/2006/picture">
                <pic:pic>
                  <pic:nvPicPr>
                    <pic:cNvPr id="1300" name="Image 13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Galbraith</w:t>
      </w:r>
      <w:r>
        <w:rPr>
          <w:rFonts w:ascii="Arial"/>
          <w:i/>
          <w:spacing w:val="17"/>
          <w:sz w:val="20"/>
          <w:vertAlign w:val="baseline"/>
        </w:rPr>
        <w:t> </w:t>
      </w:r>
      <w:r>
        <w:rPr>
          <w:rFonts w:ascii="Arial"/>
          <w:i/>
          <w:sz w:val="20"/>
          <w:vertAlign w:val="baseline"/>
        </w:rPr>
        <w:t>v</w:t>
      </w:r>
      <w:r>
        <w:rPr>
          <w:rFonts w:ascii="Arial"/>
          <w:i/>
          <w:spacing w:val="16"/>
          <w:sz w:val="20"/>
          <w:vertAlign w:val="baseline"/>
        </w:rPr>
        <w:t> </w:t>
      </w:r>
      <w:r>
        <w:rPr>
          <w:rFonts w:ascii="Arial"/>
          <w:i/>
          <w:sz w:val="20"/>
          <w:vertAlign w:val="baseline"/>
        </w:rPr>
        <w:t>Mitchenall</w:t>
      </w:r>
      <w:r>
        <w:rPr>
          <w:rFonts w:ascii="Arial"/>
          <w:i/>
          <w:spacing w:val="17"/>
          <w:sz w:val="20"/>
          <w:vertAlign w:val="baseline"/>
        </w:rPr>
        <w:t> </w:t>
      </w:r>
      <w:r>
        <w:rPr>
          <w:rFonts w:ascii="Arial"/>
          <w:i/>
          <w:sz w:val="20"/>
          <w:vertAlign w:val="baseline"/>
        </w:rPr>
        <w:t>Estates</w:t>
      </w:r>
      <w:r>
        <w:rPr>
          <w:rFonts w:ascii="Arial"/>
          <w:i/>
          <w:spacing w:val="16"/>
          <w:sz w:val="20"/>
          <w:vertAlign w:val="baseline"/>
        </w:rPr>
        <w:t> </w:t>
      </w:r>
      <w:r>
        <w:rPr>
          <w:rFonts w:ascii="Arial"/>
          <w:i/>
          <w:sz w:val="20"/>
          <w:vertAlign w:val="baseline"/>
        </w:rPr>
        <w:t>Ltd</w:t>
      </w:r>
      <w:r>
        <w:rPr>
          <w:rFonts w:ascii="Arial"/>
          <w:i/>
          <w:spacing w:val="16"/>
          <w:sz w:val="20"/>
          <w:vertAlign w:val="baseline"/>
        </w:rPr>
        <w:t> </w:t>
      </w:r>
      <w:r>
        <w:rPr>
          <w:rFonts w:ascii="Arial"/>
          <w:i/>
          <w:sz w:val="20"/>
          <w:vertAlign w:val="baseline"/>
        </w:rPr>
        <w:t>[1965]</w:t>
      </w:r>
      <w:r>
        <w:rPr>
          <w:rFonts w:ascii="Arial"/>
          <w:i/>
          <w:spacing w:val="16"/>
          <w:sz w:val="20"/>
          <w:vertAlign w:val="baseline"/>
        </w:rPr>
        <w:t> </w:t>
      </w:r>
      <w:r>
        <w:rPr>
          <w:rFonts w:ascii="Arial"/>
          <w:i/>
          <w:sz w:val="20"/>
          <w:vertAlign w:val="baseline"/>
        </w:rPr>
        <w:t>2</w:t>
      </w:r>
      <w:r>
        <w:rPr>
          <w:rFonts w:ascii="Arial"/>
          <w:i/>
          <w:spacing w:val="16"/>
          <w:sz w:val="20"/>
          <w:vertAlign w:val="baseline"/>
        </w:rPr>
        <w:t> </w:t>
      </w:r>
      <w:r>
        <w:rPr>
          <w:rFonts w:ascii="Arial"/>
          <w:i/>
          <w:sz w:val="20"/>
          <w:vertAlign w:val="baseline"/>
        </w:rPr>
        <w:t>Q.B.</w:t>
      </w:r>
      <w:r>
        <w:rPr>
          <w:rFonts w:ascii="Arial"/>
          <w:i/>
          <w:spacing w:val="16"/>
          <w:sz w:val="20"/>
          <w:vertAlign w:val="baseline"/>
        </w:rPr>
        <w:t> </w:t>
      </w:r>
      <w:r>
        <w:rPr>
          <w:rFonts w:ascii="Arial"/>
          <w:i/>
          <w:sz w:val="20"/>
          <w:vertAlign w:val="baseline"/>
        </w:rPr>
        <w:t>473</w:t>
      </w:r>
      <w:r>
        <w:rPr>
          <w:sz w:val="20"/>
          <w:vertAlign w:val="baseline"/>
        </w:rPr>
        <w:t>;</w:t>
      </w:r>
      <w:r>
        <w:rPr>
          <w:spacing w:val="17"/>
          <w:sz w:val="20"/>
          <w:vertAlign w:val="baseline"/>
        </w:rPr>
        <w:t> </w:t>
      </w:r>
      <w:r>
        <w:rPr>
          <w:rFonts w:ascii="Arial"/>
          <w:i/>
          <w:sz w:val="20"/>
          <w:vertAlign w:val="baseline"/>
        </w:rPr>
        <w:t>Barton</w:t>
      </w:r>
      <w:r>
        <w:rPr>
          <w:rFonts w:ascii="Arial"/>
          <w:i/>
          <w:spacing w:val="16"/>
          <w:sz w:val="20"/>
          <w:vertAlign w:val="baseline"/>
        </w:rPr>
        <w:t> </w:t>
      </w:r>
      <w:r>
        <w:rPr>
          <w:rFonts w:ascii="Arial"/>
          <w:i/>
          <w:sz w:val="20"/>
          <w:vertAlign w:val="baseline"/>
        </w:rPr>
        <w:t>Thompson</w:t>
      </w:r>
      <w:r>
        <w:rPr>
          <w:rFonts w:ascii="Arial"/>
          <w:i/>
          <w:spacing w:val="16"/>
          <w:sz w:val="20"/>
          <w:vertAlign w:val="baseline"/>
        </w:rPr>
        <w:t> </w:t>
      </w:r>
      <w:r>
        <w:rPr>
          <w:rFonts w:ascii="Arial"/>
          <w:i/>
          <w:sz w:val="20"/>
          <w:vertAlign w:val="baseline"/>
        </w:rPr>
        <w:t>&amp;</w:t>
      </w:r>
      <w:r>
        <w:rPr>
          <w:rFonts w:ascii="Arial"/>
          <w:i/>
          <w:spacing w:val="16"/>
          <w:sz w:val="20"/>
          <w:vertAlign w:val="baseline"/>
        </w:rPr>
        <w:t> </w:t>
      </w:r>
      <w:r>
        <w:rPr>
          <w:rFonts w:ascii="Arial"/>
          <w:i/>
          <w:sz w:val="20"/>
          <w:vertAlign w:val="baseline"/>
        </w:rPr>
        <w:t>Co</w:t>
      </w:r>
      <w:r>
        <w:rPr>
          <w:rFonts w:ascii="Arial"/>
          <w:i/>
          <w:spacing w:val="16"/>
          <w:sz w:val="20"/>
          <w:vertAlign w:val="baseline"/>
        </w:rPr>
        <w:t> </w:t>
      </w:r>
      <w:r>
        <w:rPr>
          <w:rFonts w:ascii="Arial"/>
          <w:i/>
          <w:sz w:val="20"/>
          <w:vertAlign w:val="baseline"/>
        </w:rPr>
        <w:t>Ltd</w:t>
      </w:r>
      <w:r>
        <w:rPr>
          <w:rFonts w:ascii="Arial"/>
          <w:i/>
          <w:spacing w:val="17"/>
          <w:sz w:val="20"/>
          <w:vertAlign w:val="baseline"/>
        </w:rPr>
        <w:t> </w:t>
      </w:r>
      <w:r>
        <w:rPr>
          <w:rFonts w:ascii="Arial"/>
          <w:i/>
          <w:sz w:val="20"/>
          <w:vertAlign w:val="baseline"/>
        </w:rPr>
        <w:t>v</w:t>
      </w:r>
      <w:r>
        <w:rPr>
          <w:rFonts w:ascii="Arial"/>
          <w:i/>
          <w:spacing w:val="16"/>
          <w:sz w:val="20"/>
          <w:vertAlign w:val="baseline"/>
        </w:rPr>
        <w:t> </w:t>
      </w:r>
      <w:r>
        <w:rPr>
          <w:rFonts w:ascii="Arial"/>
          <w:i/>
          <w:spacing w:val="-2"/>
          <w:sz w:val="20"/>
          <w:vertAlign w:val="baseline"/>
        </w:rPr>
        <w:t>Stapling</w:t>
      </w:r>
    </w:p>
    <w:p>
      <w:pPr>
        <w:spacing w:after="0"/>
        <w:jc w:val="lef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Machines Co [1966] Ch. </w:t>
      </w:r>
      <w:r>
        <w:rPr>
          <w:rFonts w:ascii="Arial"/>
          <w:i/>
          <w:spacing w:val="-4"/>
          <w:sz w:val="20"/>
        </w:rPr>
        <w:t>499</w:t>
      </w:r>
      <w:r>
        <w:rPr>
          <w:spacing w:val="-4"/>
          <w:sz w:val="20"/>
        </w:rPr>
        <w:t>.</w:t>
      </w:r>
    </w:p>
    <w:p>
      <w:pPr>
        <w:pStyle w:val="BodyText"/>
        <w:spacing w:before="13"/>
      </w:pPr>
    </w:p>
    <w:p>
      <w:pPr>
        <w:spacing w:line="137" w:lineRule="exact" w:before="0"/>
        <w:ind w:left="165" w:right="0" w:firstLine="0"/>
        <w:jc w:val="left"/>
        <w:rPr>
          <w:sz w:val="14"/>
        </w:rPr>
      </w:pPr>
      <w:bookmarkStart w:name="_bookmark2625" w:id="2627"/>
      <w:bookmarkEnd w:id="2627"/>
      <w:r>
        <w:rPr/>
      </w:r>
      <w:hyperlink w:history="true" w:anchor="_bookmark2610">
        <w:r>
          <w:rPr>
            <w:color w:val="005DA1"/>
            <w:spacing w:val="-2"/>
            <w:sz w:val="14"/>
            <w:u w:val="single" w:color="005DA1"/>
          </w:rPr>
          <w:t>1371</w:t>
        </w:r>
      </w:hyperlink>
      <w:r>
        <w:rPr>
          <w:spacing w:val="-2"/>
          <w:sz w:val="14"/>
        </w:rPr>
        <w:t>.</w:t>
      </w:r>
    </w:p>
    <w:p>
      <w:pPr>
        <w:pStyle w:val="BodyText"/>
        <w:spacing w:line="203" w:lineRule="exact"/>
        <w:ind w:left="875"/>
      </w:pPr>
      <w:r>
        <w:rPr/>
        <w:drawing>
          <wp:anchor distT="0" distB="0" distL="0" distR="0" allowOverlap="1" layoutInCell="1" locked="0" behindDoc="0" simplePos="0" relativeHeight="15883264">
            <wp:simplePos x="0" y="0"/>
            <wp:positionH relativeFrom="page">
              <wp:posOffset>1257846</wp:posOffset>
            </wp:positionH>
            <wp:positionV relativeFrom="paragraph">
              <wp:posOffset>12648</wp:posOffset>
            </wp:positionV>
            <wp:extent cx="107988" cy="107988"/>
            <wp:effectExtent l="0" t="0" r="0" b="0"/>
            <wp:wrapNone/>
            <wp:docPr id="1301" name="Image 1301"/>
            <wp:cNvGraphicFramePr>
              <a:graphicFrameLocks/>
            </wp:cNvGraphicFramePr>
            <a:graphic>
              <a:graphicData uri="http://schemas.openxmlformats.org/drawingml/2006/picture">
                <pic:pic>
                  <pic:nvPicPr>
                    <pic:cNvPr id="1301" name="Image 1301"/>
                    <pic:cNvPicPr/>
                  </pic:nvPicPr>
                  <pic:blipFill>
                    <a:blip r:embed="rId6" cstate="print"/>
                    <a:stretch>
                      <a:fillRect/>
                    </a:stretch>
                  </pic:blipFill>
                  <pic:spPr>
                    <a:xfrm>
                      <a:off x="0" y="0"/>
                      <a:ext cx="107988" cy="107988"/>
                    </a:xfrm>
                    <a:prstGeom prst="rect">
                      <a:avLst/>
                    </a:prstGeom>
                  </pic:spPr>
                </pic:pic>
              </a:graphicData>
            </a:graphic>
          </wp:anchor>
        </w:drawing>
      </w:r>
      <w:r>
        <w:rPr/>
        <w:t>See</w:t>
      </w:r>
      <w:r>
        <w:rPr>
          <w:spacing w:val="62"/>
        </w:rPr>
        <w:t> </w:t>
      </w:r>
      <w:r>
        <w:rPr/>
        <w:t>the</w:t>
      </w:r>
      <w:r>
        <w:rPr>
          <w:spacing w:val="62"/>
        </w:rPr>
        <w:t> </w:t>
      </w:r>
      <w:r>
        <w:rPr/>
        <w:t>proposals</w:t>
      </w:r>
      <w:r>
        <w:rPr>
          <w:spacing w:val="62"/>
        </w:rPr>
        <w:t> </w:t>
      </w:r>
      <w:r>
        <w:rPr/>
        <w:t>for</w:t>
      </w:r>
      <w:r>
        <w:rPr>
          <w:spacing w:val="62"/>
        </w:rPr>
        <w:t> </w:t>
      </w:r>
      <w:r>
        <w:rPr/>
        <w:t>reform</w:t>
      </w:r>
      <w:r>
        <w:rPr>
          <w:spacing w:val="62"/>
        </w:rPr>
        <w:t> </w:t>
      </w:r>
      <w:r>
        <w:rPr/>
        <w:t>in</w:t>
      </w:r>
      <w:r>
        <w:rPr>
          <w:spacing w:val="62"/>
        </w:rPr>
        <w:t> </w:t>
      </w:r>
      <w:r>
        <w:rPr/>
        <w:t>the</w:t>
      </w:r>
      <w:r>
        <w:rPr>
          <w:spacing w:val="62"/>
        </w:rPr>
        <w:t> </w:t>
      </w:r>
      <w:r>
        <w:rPr/>
        <w:t>Law</w:t>
      </w:r>
      <w:r>
        <w:rPr>
          <w:spacing w:val="62"/>
        </w:rPr>
        <w:t> </w:t>
      </w:r>
      <w:r>
        <w:rPr/>
        <w:t>Commission’s</w:t>
      </w:r>
      <w:r>
        <w:rPr>
          <w:spacing w:val="62"/>
        </w:rPr>
        <w:t> </w:t>
      </w:r>
      <w:r>
        <w:rPr/>
        <w:t>Working</w:t>
      </w:r>
      <w:r>
        <w:rPr>
          <w:spacing w:val="62"/>
        </w:rPr>
        <w:t> </w:t>
      </w:r>
      <w:r>
        <w:rPr/>
        <w:t>Paper</w:t>
      </w:r>
      <w:r>
        <w:rPr>
          <w:spacing w:val="62"/>
        </w:rPr>
        <w:t> </w:t>
      </w:r>
      <w:r>
        <w:rPr/>
        <w:t>No.61,</w:t>
      </w:r>
      <w:r>
        <w:rPr>
          <w:spacing w:val="62"/>
        </w:rPr>
        <w:t> </w:t>
      </w:r>
      <w:r>
        <w:rPr>
          <w:spacing w:val="-2"/>
        </w:rPr>
        <w:t>Penalty</w:t>
      </w:r>
    </w:p>
    <w:p>
      <w:pPr>
        <w:pStyle w:val="BodyText"/>
        <w:spacing w:line="227" w:lineRule="exact"/>
        <w:ind w:left="705"/>
      </w:pPr>
      <w:r>
        <w:rPr/>
        <w:t>Clauses and Forfeiture of Moneys Paid </w:t>
      </w:r>
      <w:r>
        <w:rPr>
          <w:spacing w:val="-2"/>
        </w:rPr>
        <w:t>(1975).</w:t>
      </w:r>
    </w:p>
    <w:p>
      <w:pPr>
        <w:pStyle w:val="BodyText"/>
        <w:spacing w:before="12"/>
      </w:pPr>
    </w:p>
    <w:p>
      <w:pPr>
        <w:spacing w:line="137" w:lineRule="exact" w:before="0"/>
        <w:ind w:left="165" w:right="0" w:firstLine="0"/>
        <w:jc w:val="left"/>
        <w:rPr>
          <w:sz w:val="14"/>
        </w:rPr>
      </w:pPr>
      <w:bookmarkStart w:name="_bookmark2626" w:id="2628"/>
      <w:bookmarkEnd w:id="2628"/>
      <w:r>
        <w:rPr/>
      </w:r>
      <w:hyperlink w:history="true" w:anchor="_bookmark2611">
        <w:r>
          <w:rPr>
            <w:color w:val="005DA1"/>
            <w:spacing w:val="-2"/>
            <w:sz w:val="14"/>
            <w:u w:val="single" w:color="005DA1"/>
          </w:rPr>
          <w:t>1372</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83776">
            <wp:simplePos x="0" y="0"/>
            <wp:positionH relativeFrom="page">
              <wp:posOffset>1257846</wp:posOffset>
            </wp:positionH>
            <wp:positionV relativeFrom="paragraph">
              <wp:posOffset>12799</wp:posOffset>
            </wp:positionV>
            <wp:extent cx="107988" cy="107988"/>
            <wp:effectExtent l="0" t="0" r="0" b="0"/>
            <wp:wrapNone/>
            <wp:docPr id="1302" name="Image 1302"/>
            <wp:cNvGraphicFramePr>
              <a:graphicFrameLocks/>
            </wp:cNvGraphicFramePr>
            <a:graphic>
              <a:graphicData uri="http://schemas.openxmlformats.org/drawingml/2006/picture">
                <pic:pic>
                  <pic:nvPicPr>
                    <pic:cNvPr id="1302" name="Image 130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Bridge</w:t>
      </w:r>
      <w:r>
        <w:rPr>
          <w:rFonts w:ascii="Arial"/>
          <w:i/>
          <w:spacing w:val="18"/>
          <w:sz w:val="20"/>
        </w:rPr>
        <w:t> </w:t>
      </w:r>
      <w:r>
        <w:rPr>
          <w:rFonts w:ascii="Arial"/>
          <w:i/>
          <w:sz w:val="20"/>
        </w:rPr>
        <w:t>v</w:t>
      </w:r>
      <w:r>
        <w:rPr>
          <w:rFonts w:ascii="Arial"/>
          <w:i/>
          <w:spacing w:val="21"/>
          <w:sz w:val="20"/>
        </w:rPr>
        <w:t> </w:t>
      </w:r>
      <w:r>
        <w:rPr>
          <w:rFonts w:ascii="Arial"/>
          <w:i/>
          <w:sz w:val="20"/>
        </w:rPr>
        <w:t>Campbell</w:t>
      </w:r>
      <w:r>
        <w:rPr>
          <w:rFonts w:ascii="Arial"/>
          <w:i/>
          <w:spacing w:val="21"/>
          <w:sz w:val="20"/>
        </w:rPr>
        <w:t> </w:t>
      </w:r>
      <w:r>
        <w:rPr>
          <w:rFonts w:ascii="Arial"/>
          <w:i/>
          <w:sz w:val="20"/>
        </w:rPr>
        <w:t>Discount</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[1962]</w:t>
      </w:r>
      <w:r>
        <w:rPr>
          <w:rFonts w:ascii="Arial"/>
          <w:i/>
          <w:spacing w:val="21"/>
          <w:sz w:val="20"/>
        </w:rPr>
        <w:t> </w:t>
      </w:r>
      <w:r>
        <w:rPr>
          <w:rFonts w:ascii="Arial"/>
          <w:i/>
          <w:sz w:val="20"/>
        </w:rPr>
        <w:t>A.C.</w:t>
      </w:r>
      <w:r>
        <w:rPr>
          <w:rFonts w:ascii="Arial"/>
          <w:i/>
          <w:spacing w:val="21"/>
          <w:sz w:val="20"/>
        </w:rPr>
        <w:t> </w:t>
      </w:r>
      <w:r>
        <w:rPr>
          <w:rFonts w:ascii="Arial"/>
          <w:i/>
          <w:sz w:val="20"/>
        </w:rPr>
        <w:t>600</w:t>
      </w:r>
      <w:r>
        <w:rPr>
          <w:sz w:val="20"/>
        </w:rPr>
        <w:t>,</w:t>
      </w:r>
      <w:r>
        <w:rPr>
          <w:spacing w:val="21"/>
          <w:sz w:val="20"/>
        </w:rPr>
        <w:t> </w:t>
      </w:r>
      <w:r>
        <w:rPr>
          <w:sz w:val="20"/>
        </w:rPr>
        <w:t>upholding</w:t>
      </w:r>
      <w:r>
        <w:rPr>
          <w:spacing w:val="21"/>
          <w:sz w:val="20"/>
        </w:rPr>
        <w:t> </w:t>
      </w:r>
      <w:r>
        <w:rPr>
          <w:sz w:val="20"/>
        </w:rPr>
        <w:t>the</w:t>
      </w:r>
      <w:r>
        <w:rPr>
          <w:spacing w:val="21"/>
          <w:sz w:val="20"/>
        </w:rPr>
        <w:t> </w:t>
      </w:r>
      <w:r>
        <w:rPr>
          <w:sz w:val="20"/>
        </w:rPr>
        <w:t>decision</w:t>
      </w:r>
      <w:r>
        <w:rPr>
          <w:spacing w:val="21"/>
          <w:sz w:val="20"/>
        </w:rPr>
        <w:t> </w:t>
      </w:r>
      <w:r>
        <w:rPr>
          <w:sz w:val="20"/>
        </w:rPr>
        <w:t>of</w:t>
      </w:r>
      <w:r>
        <w:rPr>
          <w:spacing w:val="21"/>
          <w:sz w:val="20"/>
        </w:rPr>
        <w:t> </w:t>
      </w:r>
      <w:r>
        <w:rPr>
          <w:sz w:val="20"/>
        </w:rPr>
        <w:t>the</w:t>
      </w:r>
      <w:r>
        <w:rPr>
          <w:spacing w:val="21"/>
          <w:sz w:val="20"/>
        </w:rPr>
        <w:t> </w:t>
      </w:r>
      <w:r>
        <w:rPr>
          <w:sz w:val="20"/>
        </w:rPr>
        <w:t>Court</w:t>
      </w:r>
      <w:r>
        <w:rPr>
          <w:spacing w:val="21"/>
          <w:sz w:val="20"/>
        </w:rPr>
        <w:t> </w:t>
      </w:r>
      <w:r>
        <w:rPr>
          <w:spacing w:val="-5"/>
          <w:sz w:val="20"/>
        </w:rPr>
        <w:t>of</w:t>
      </w:r>
    </w:p>
    <w:p>
      <w:pPr>
        <w:spacing w:line="235" w:lineRule="auto" w:before="1"/>
        <w:ind w:left="705" w:right="206" w:firstLine="0"/>
        <w:jc w:val="left"/>
        <w:rPr>
          <w:sz w:val="20"/>
        </w:rPr>
      </w:pPr>
      <w:r>
        <w:rPr>
          <w:sz w:val="20"/>
        </w:rPr>
        <w:t>Appeal in </w:t>
      </w:r>
      <w:r>
        <w:rPr>
          <w:rFonts w:ascii="Arial"/>
          <w:i/>
          <w:sz w:val="20"/>
        </w:rPr>
        <w:t>Cooden Engineering Co Ltd v Stanford [1953] 1 Q.B. 86</w:t>
      </w:r>
      <w:r>
        <w:rPr>
          <w:sz w:val="20"/>
        </w:rPr>
        <w:t>; </w:t>
      </w:r>
      <w:r>
        <w:rPr>
          <w:rFonts w:ascii="Arial"/>
          <w:i/>
          <w:sz w:val="20"/>
        </w:rPr>
        <w:t>Anglo Auto Finance Co Ltd</w:t>
      </w:r>
      <w:r>
        <w:rPr>
          <w:rFonts w:ascii="Arial"/>
          <w:i/>
          <w:spacing w:val="40"/>
          <w:sz w:val="20"/>
        </w:rPr>
        <w:t> </w:t>
      </w:r>
      <w:r>
        <w:rPr>
          <w:rFonts w:ascii="Arial"/>
          <w:i/>
          <w:sz w:val="20"/>
        </w:rPr>
        <w:t>v James [1963] 1 W.L.R. 1042, 1049</w:t>
      </w:r>
      <w:r>
        <w:rPr>
          <w:sz w:val="20"/>
        </w:rPr>
        <w:t>.</w:t>
      </w:r>
    </w:p>
    <w:p>
      <w:pPr>
        <w:pStyle w:val="BodyText"/>
        <w:spacing w:before="13"/>
      </w:pPr>
    </w:p>
    <w:p>
      <w:pPr>
        <w:spacing w:line="137" w:lineRule="exact" w:before="0"/>
        <w:ind w:left="165" w:right="0" w:firstLine="0"/>
        <w:jc w:val="left"/>
        <w:rPr>
          <w:sz w:val="14"/>
        </w:rPr>
      </w:pPr>
      <w:bookmarkStart w:name="_bookmark2627" w:id="2629"/>
      <w:bookmarkEnd w:id="2629"/>
      <w:r>
        <w:rPr/>
      </w:r>
      <w:hyperlink w:history="true" w:anchor="_bookmark2612">
        <w:r>
          <w:rPr>
            <w:color w:val="005DA1"/>
            <w:spacing w:val="-2"/>
            <w:sz w:val="14"/>
            <w:u w:val="single" w:color="005DA1"/>
          </w:rPr>
          <w:t>1373</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84288">
            <wp:simplePos x="0" y="0"/>
            <wp:positionH relativeFrom="page">
              <wp:posOffset>1257846</wp:posOffset>
            </wp:positionH>
            <wp:positionV relativeFrom="paragraph">
              <wp:posOffset>12779</wp:posOffset>
            </wp:positionV>
            <wp:extent cx="107988" cy="107988"/>
            <wp:effectExtent l="0" t="0" r="0" b="0"/>
            <wp:wrapNone/>
            <wp:docPr id="1303" name="Image 1303"/>
            <wp:cNvGraphicFramePr>
              <a:graphicFrameLocks/>
            </wp:cNvGraphicFramePr>
            <a:graphic>
              <a:graphicData uri="http://schemas.openxmlformats.org/drawingml/2006/picture">
                <pic:pic>
                  <pic:nvPicPr>
                    <pic:cNvPr id="1303" name="Image 130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Robophone Facilities Ltd v Blank [1966] 1 W.L.R. </w:t>
      </w:r>
      <w:r>
        <w:rPr>
          <w:rFonts w:ascii="Arial"/>
          <w:i/>
          <w:spacing w:val="-2"/>
          <w:sz w:val="20"/>
        </w:rPr>
        <w:t>1428</w:t>
      </w:r>
      <w:r>
        <w:rPr>
          <w:spacing w:val="-2"/>
          <w:sz w:val="20"/>
        </w:rPr>
        <w:t>.</w:t>
      </w:r>
    </w:p>
    <w:p>
      <w:pPr>
        <w:pStyle w:val="BodyText"/>
        <w:spacing w:before="12"/>
      </w:pPr>
    </w:p>
    <w:p>
      <w:pPr>
        <w:spacing w:line="137" w:lineRule="exact" w:before="0"/>
        <w:ind w:left="165" w:right="0" w:firstLine="0"/>
        <w:jc w:val="left"/>
        <w:rPr>
          <w:sz w:val="14"/>
        </w:rPr>
      </w:pPr>
      <w:bookmarkStart w:name="_bookmark2628" w:id="2630"/>
      <w:bookmarkEnd w:id="2630"/>
      <w:r>
        <w:rPr/>
      </w:r>
      <w:hyperlink w:history="true" w:anchor="_bookmark2613">
        <w:r>
          <w:rPr>
            <w:color w:val="005DA1"/>
            <w:spacing w:val="-2"/>
            <w:sz w:val="14"/>
            <w:u w:val="single" w:color="005DA1"/>
          </w:rPr>
          <w:t>1374</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84800">
            <wp:simplePos x="0" y="0"/>
            <wp:positionH relativeFrom="page">
              <wp:posOffset>1257846</wp:posOffset>
            </wp:positionH>
            <wp:positionV relativeFrom="paragraph">
              <wp:posOffset>12930</wp:posOffset>
            </wp:positionV>
            <wp:extent cx="107988" cy="107988"/>
            <wp:effectExtent l="0" t="0" r="0" b="0"/>
            <wp:wrapNone/>
            <wp:docPr id="1304" name="Image 1304"/>
            <wp:cNvGraphicFramePr>
              <a:graphicFrameLocks/>
            </wp:cNvGraphicFramePr>
            <a:graphic>
              <a:graphicData uri="http://schemas.openxmlformats.org/drawingml/2006/picture">
                <pic:pic>
                  <pic:nvPicPr>
                    <pic:cNvPr id="1304" name="Image 130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Lombank</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Excell</w:t>
      </w:r>
      <w:r>
        <w:rPr>
          <w:rFonts w:ascii="Arial"/>
          <w:i/>
          <w:spacing w:val="17"/>
          <w:sz w:val="20"/>
        </w:rPr>
        <w:t> </w:t>
      </w:r>
      <w:r>
        <w:rPr>
          <w:rFonts w:ascii="Arial"/>
          <w:i/>
          <w:sz w:val="20"/>
        </w:rPr>
        <w:t>[1964]</w:t>
      </w:r>
      <w:r>
        <w:rPr>
          <w:rFonts w:ascii="Arial"/>
          <w:i/>
          <w:spacing w:val="17"/>
          <w:sz w:val="20"/>
        </w:rPr>
        <w:t> </w:t>
      </w:r>
      <w:r>
        <w:rPr>
          <w:rFonts w:ascii="Arial"/>
          <w:i/>
          <w:sz w:val="20"/>
        </w:rPr>
        <w:t>1</w:t>
      </w:r>
      <w:r>
        <w:rPr>
          <w:rFonts w:ascii="Arial"/>
          <w:i/>
          <w:spacing w:val="17"/>
          <w:sz w:val="20"/>
        </w:rPr>
        <w:t> </w:t>
      </w:r>
      <w:r>
        <w:rPr>
          <w:rFonts w:ascii="Arial"/>
          <w:i/>
          <w:sz w:val="20"/>
        </w:rPr>
        <w:t>Q.B.</w:t>
      </w:r>
      <w:r>
        <w:rPr>
          <w:rFonts w:ascii="Arial"/>
          <w:i/>
          <w:spacing w:val="17"/>
          <w:sz w:val="20"/>
        </w:rPr>
        <w:t> </w:t>
      </w:r>
      <w:r>
        <w:rPr>
          <w:rFonts w:ascii="Arial"/>
          <w:i/>
          <w:sz w:val="20"/>
        </w:rPr>
        <w:t>415</w:t>
      </w:r>
      <w:r>
        <w:rPr>
          <w:rFonts w:ascii="Arial"/>
          <w:i/>
          <w:spacing w:val="17"/>
          <w:sz w:val="20"/>
        </w:rPr>
        <w:t> </w:t>
      </w:r>
      <w:r>
        <w:rPr>
          <w:sz w:val="20"/>
        </w:rPr>
        <w:t>(interpreting</w:t>
      </w:r>
      <w:r>
        <w:rPr>
          <w:spacing w:val="17"/>
          <w:sz w:val="20"/>
        </w:rPr>
        <w:t> </w:t>
      </w:r>
      <w:r>
        <w:rPr>
          <w:rFonts w:ascii="Arial"/>
          <w:i/>
          <w:sz w:val="20"/>
        </w:rPr>
        <w:t>Phonographic</w:t>
      </w:r>
      <w:r>
        <w:rPr>
          <w:rFonts w:ascii="Arial"/>
          <w:i/>
          <w:spacing w:val="17"/>
          <w:sz w:val="20"/>
        </w:rPr>
        <w:t> </w:t>
      </w:r>
      <w:r>
        <w:rPr>
          <w:rFonts w:ascii="Arial"/>
          <w:i/>
          <w:sz w:val="20"/>
        </w:rPr>
        <w:t>Equipment</w:t>
      </w:r>
      <w:r>
        <w:rPr>
          <w:rFonts w:ascii="Arial"/>
          <w:i/>
          <w:spacing w:val="17"/>
          <w:sz w:val="20"/>
        </w:rPr>
        <w:t> </w:t>
      </w:r>
      <w:r>
        <w:rPr>
          <w:rFonts w:ascii="Arial"/>
          <w:i/>
          <w:sz w:val="20"/>
        </w:rPr>
        <w:t>(1958)</w:t>
      </w:r>
      <w:r>
        <w:rPr>
          <w:rFonts w:ascii="Arial"/>
          <w:i/>
          <w:spacing w:val="17"/>
          <w:sz w:val="20"/>
        </w:rPr>
        <w:t> </w:t>
      </w:r>
      <w:r>
        <w:rPr>
          <w:rFonts w:ascii="Arial"/>
          <w:i/>
          <w:sz w:val="20"/>
        </w:rPr>
        <w:t>Ltd</w:t>
      </w:r>
      <w:r>
        <w:rPr>
          <w:rFonts w:ascii="Arial"/>
          <w:i/>
          <w:spacing w:val="17"/>
          <w:sz w:val="20"/>
        </w:rPr>
        <w:t> </w:t>
      </w:r>
      <w:r>
        <w:rPr>
          <w:rFonts w:ascii="Arial"/>
          <w:i/>
          <w:spacing w:val="-10"/>
          <w:sz w:val="20"/>
        </w:rPr>
        <w:t>v</w:t>
      </w:r>
    </w:p>
    <w:p>
      <w:pPr>
        <w:spacing w:line="227" w:lineRule="exact" w:before="0"/>
        <w:ind w:left="705" w:right="0" w:firstLine="0"/>
        <w:jc w:val="left"/>
        <w:rPr>
          <w:sz w:val="20"/>
        </w:rPr>
      </w:pPr>
      <w:r>
        <w:rPr>
          <w:rFonts w:ascii="Arial"/>
          <w:i/>
          <w:sz w:val="20"/>
        </w:rPr>
        <w:t>Muslu [1961] 1 W.L.R. </w:t>
      </w:r>
      <w:r>
        <w:rPr>
          <w:rFonts w:ascii="Arial"/>
          <w:i/>
          <w:spacing w:val="-2"/>
          <w:sz w:val="20"/>
        </w:rPr>
        <w:t>1379</w:t>
      </w:r>
      <w:r>
        <w:rPr>
          <w:spacing w:val="-2"/>
          <w:sz w:val="20"/>
        </w:rPr>
        <w:t>).</w:t>
      </w:r>
    </w:p>
    <w:p>
      <w:pPr>
        <w:pStyle w:val="BodyText"/>
        <w:spacing w:before="12"/>
      </w:pPr>
    </w:p>
    <w:p>
      <w:pPr>
        <w:spacing w:line="137" w:lineRule="exact" w:before="0"/>
        <w:ind w:left="165" w:right="0" w:firstLine="0"/>
        <w:jc w:val="left"/>
        <w:rPr>
          <w:sz w:val="14"/>
        </w:rPr>
      </w:pPr>
      <w:bookmarkStart w:name="_bookmark2629" w:id="2631"/>
      <w:bookmarkEnd w:id="2631"/>
      <w:r>
        <w:rPr/>
      </w:r>
      <w:hyperlink w:history="true" w:anchor="_bookmark2614">
        <w:r>
          <w:rPr>
            <w:color w:val="005DA1"/>
            <w:spacing w:val="-2"/>
            <w:sz w:val="14"/>
            <w:u w:val="single" w:color="005DA1"/>
          </w:rPr>
          <w:t>1375</w:t>
        </w:r>
      </w:hyperlink>
      <w:r>
        <w:rPr>
          <w:spacing w:val="-2"/>
          <w:sz w:val="14"/>
        </w:rPr>
        <w:t>.</w:t>
      </w:r>
    </w:p>
    <w:p>
      <w:pPr>
        <w:pStyle w:val="BodyText"/>
        <w:spacing w:line="206" w:lineRule="exact"/>
        <w:ind w:left="875"/>
      </w:pPr>
      <w:r>
        <w:rPr/>
        <w:drawing>
          <wp:anchor distT="0" distB="0" distL="0" distR="0" allowOverlap="1" layoutInCell="1" locked="0" behindDoc="0" simplePos="0" relativeHeight="15885312">
            <wp:simplePos x="0" y="0"/>
            <wp:positionH relativeFrom="page">
              <wp:posOffset>1257846</wp:posOffset>
            </wp:positionH>
            <wp:positionV relativeFrom="paragraph">
              <wp:posOffset>13082</wp:posOffset>
            </wp:positionV>
            <wp:extent cx="107988" cy="107988"/>
            <wp:effectExtent l="0" t="0" r="0" b="0"/>
            <wp:wrapNone/>
            <wp:docPr id="1305" name="Image 1305"/>
            <wp:cNvGraphicFramePr>
              <a:graphicFrameLocks/>
            </wp:cNvGraphicFramePr>
            <a:graphic>
              <a:graphicData uri="http://schemas.openxmlformats.org/drawingml/2006/picture">
                <pic:pic>
                  <pic:nvPicPr>
                    <pic:cNvPr id="1305" name="Image 1305"/>
                    <pic:cNvPicPr/>
                  </pic:nvPicPr>
                  <pic:blipFill>
                    <a:blip r:embed="rId6" cstate="print"/>
                    <a:stretch>
                      <a:fillRect/>
                    </a:stretch>
                  </pic:blipFill>
                  <pic:spPr>
                    <a:xfrm>
                      <a:off x="0" y="0"/>
                      <a:ext cx="107988" cy="107988"/>
                    </a:xfrm>
                    <a:prstGeom prst="rect">
                      <a:avLst/>
                    </a:prstGeom>
                  </pic:spPr>
                </pic:pic>
              </a:graphicData>
            </a:graphic>
          </wp:anchor>
        </w:drawing>
      </w:r>
      <w:r>
        <w:rPr/>
        <w:t>SI </w:t>
      </w:r>
      <w:r>
        <w:rPr>
          <w:spacing w:val="-2"/>
        </w:rPr>
        <w:t>1999/2083.</w:t>
      </w:r>
    </w:p>
    <w:p>
      <w:pPr>
        <w:pStyle w:val="BodyText"/>
        <w:spacing w:before="12"/>
      </w:pPr>
    </w:p>
    <w:p>
      <w:pPr>
        <w:spacing w:line="137" w:lineRule="exact" w:before="1"/>
        <w:ind w:left="165" w:right="0" w:firstLine="0"/>
        <w:jc w:val="left"/>
        <w:rPr>
          <w:sz w:val="14"/>
        </w:rPr>
      </w:pPr>
      <w:bookmarkStart w:name="_bookmark2630" w:id="2632"/>
      <w:bookmarkEnd w:id="2632"/>
      <w:r>
        <w:rPr/>
      </w:r>
      <w:hyperlink w:history="true" w:anchor="_bookmark2615">
        <w:r>
          <w:rPr>
            <w:color w:val="005DA1"/>
            <w:spacing w:val="-2"/>
            <w:sz w:val="14"/>
            <w:u w:val="single" w:color="005DA1"/>
          </w:rPr>
          <w:t>1376</w:t>
        </w:r>
      </w:hyperlink>
      <w:r>
        <w:rPr>
          <w:spacing w:val="-2"/>
          <w:sz w:val="14"/>
        </w:rPr>
        <w:t>.</w:t>
      </w:r>
    </w:p>
    <w:p>
      <w:pPr>
        <w:pStyle w:val="BodyText"/>
        <w:spacing w:line="206" w:lineRule="exact"/>
        <w:ind w:left="875"/>
      </w:pPr>
      <w:r>
        <w:rPr/>
        <w:drawing>
          <wp:anchor distT="0" distB="0" distL="0" distR="0" allowOverlap="1" layoutInCell="1" locked="0" behindDoc="0" simplePos="0" relativeHeight="15885824">
            <wp:simplePos x="0" y="0"/>
            <wp:positionH relativeFrom="page">
              <wp:posOffset>1257846</wp:posOffset>
            </wp:positionH>
            <wp:positionV relativeFrom="paragraph">
              <wp:posOffset>12598</wp:posOffset>
            </wp:positionV>
            <wp:extent cx="107988" cy="107988"/>
            <wp:effectExtent l="0" t="0" r="0" b="0"/>
            <wp:wrapNone/>
            <wp:docPr id="1306" name="Image 1306"/>
            <wp:cNvGraphicFramePr>
              <a:graphicFrameLocks/>
            </wp:cNvGraphicFramePr>
            <a:graphic>
              <a:graphicData uri="http://schemas.openxmlformats.org/drawingml/2006/picture">
                <pic:pic>
                  <pic:nvPicPr>
                    <pic:cNvPr id="1306" name="Image 1306"/>
                    <pic:cNvPicPr/>
                  </pic:nvPicPr>
                  <pic:blipFill>
                    <a:blip r:embed="rId6" cstate="print"/>
                    <a:stretch>
                      <a:fillRect/>
                    </a:stretch>
                  </pic:blipFill>
                  <pic:spPr>
                    <a:xfrm>
                      <a:off x="0" y="0"/>
                      <a:ext cx="107988" cy="107988"/>
                    </a:xfrm>
                    <a:prstGeom prst="rect">
                      <a:avLst/>
                    </a:prstGeom>
                  </pic:spPr>
                </pic:pic>
              </a:graphicData>
            </a:graphic>
          </wp:anchor>
        </w:drawing>
      </w:r>
      <w:r>
        <w:rPr/>
        <w:t>See Vol.II, paras 38-201 et </w:t>
      </w:r>
      <w:r>
        <w:rPr>
          <w:spacing w:val="-4"/>
        </w:rPr>
        <w:t>seq.</w:t>
      </w:r>
    </w:p>
    <w:p>
      <w:pPr>
        <w:pStyle w:val="BodyText"/>
        <w:spacing w:before="12"/>
      </w:pPr>
    </w:p>
    <w:p>
      <w:pPr>
        <w:spacing w:line="137" w:lineRule="exact" w:before="0"/>
        <w:ind w:left="165" w:right="0" w:firstLine="0"/>
        <w:jc w:val="left"/>
        <w:rPr>
          <w:sz w:val="14"/>
        </w:rPr>
      </w:pPr>
      <w:bookmarkStart w:name="_bookmark2631" w:id="2633"/>
      <w:bookmarkEnd w:id="2633"/>
      <w:r>
        <w:rPr/>
      </w:r>
      <w:hyperlink w:history="true" w:anchor="_bookmark2616">
        <w:r>
          <w:rPr>
            <w:color w:val="005DA1"/>
            <w:spacing w:val="-2"/>
            <w:sz w:val="14"/>
            <w:u w:val="single" w:color="005DA1"/>
          </w:rPr>
          <w:t>1377</w:t>
        </w:r>
      </w:hyperlink>
      <w:r>
        <w:rPr>
          <w:spacing w:val="-2"/>
          <w:sz w:val="14"/>
        </w:rPr>
        <w:t>.</w:t>
      </w:r>
    </w:p>
    <w:p>
      <w:pPr>
        <w:pStyle w:val="BodyText"/>
        <w:spacing w:line="206" w:lineRule="exact"/>
        <w:ind w:left="875"/>
      </w:pPr>
      <w:r>
        <w:rPr/>
        <w:drawing>
          <wp:anchor distT="0" distB="0" distL="0" distR="0" allowOverlap="1" layoutInCell="1" locked="0" behindDoc="0" simplePos="0" relativeHeight="15886336">
            <wp:simplePos x="0" y="0"/>
            <wp:positionH relativeFrom="page">
              <wp:posOffset>1257846</wp:posOffset>
            </wp:positionH>
            <wp:positionV relativeFrom="paragraph">
              <wp:posOffset>12750</wp:posOffset>
            </wp:positionV>
            <wp:extent cx="107988" cy="107988"/>
            <wp:effectExtent l="0" t="0" r="0" b="0"/>
            <wp:wrapNone/>
            <wp:docPr id="1307" name="Image 1307"/>
            <wp:cNvGraphicFramePr>
              <a:graphicFrameLocks/>
            </wp:cNvGraphicFramePr>
            <a:graphic>
              <a:graphicData uri="http://schemas.openxmlformats.org/drawingml/2006/picture">
                <pic:pic>
                  <pic:nvPicPr>
                    <pic:cNvPr id="1307" name="Image 1307"/>
                    <pic:cNvPicPr/>
                  </pic:nvPicPr>
                  <pic:blipFill>
                    <a:blip r:embed="rId6" cstate="print"/>
                    <a:stretch>
                      <a:fillRect/>
                    </a:stretch>
                  </pic:blipFill>
                  <pic:spPr>
                    <a:xfrm>
                      <a:off x="0" y="0"/>
                      <a:ext cx="107988" cy="107988"/>
                    </a:xfrm>
                    <a:prstGeom prst="rect">
                      <a:avLst/>
                    </a:prstGeom>
                  </pic:spPr>
                </pic:pic>
              </a:graphicData>
            </a:graphic>
          </wp:anchor>
        </w:drawing>
      </w:r>
      <w:r>
        <w:rPr/>
        <w:t>cf. Vol.II, para.38-</w:t>
      </w:r>
      <w:r>
        <w:rPr>
          <w:spacing w:val="-4"/>
        </w:rPr>
        <w:t>280.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sz w:val="24"/>
        </w:rPr>
      </w:pPr>
      <w:r>
        <w:rPr>
          <w:rFonts w:ascii="Arial"/>
          <w:b/>
          <w:sz w:val="24"/>
        </w:rPr>
        <w:t>Section 11. - The Tax Element in </w:t>
      </w:r>
      <w:r>
        <w:rPr>
          <w:rFonts w:ascii="Arial"/>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2632" w:id="2634"/>
      <w:bookmarkEnd w:id="2634"/>
      <w:r>
        <w:rPr/>
      </w:r>
      <w:r>
        <w:rPr>
          <w:rFonts w:ascii="Arial"/>
          <w:b/>
          <w:sz w:val="18"/>
        </w:rPr>
        <w:t>The</w:t>
      </w:r>
      <w:r>
        <w:rPr>
          <w:rFonts w:ascii="Arial"/>
          <w:b/>
          <w:spacing w:val="-2"/>
          <w:sz w:val="18"/>
        </w:rPr>
        <w:t> </w:t>
      </w:r>
      <w:r>
        <w:rPr>
          <w:rFonts w:ascii="Arial"/>
          <w:b/>
          <w:sz w:val="18"/>
        </w:rPr>
        <w:t>tax element in damages</w:t>
      </w:r>
      <w:r>
        <w:rPr>
          <w:rFonts w:ascii="Arial"/>
          <w:b/>
          <w:spacing w:val="-1"/>
          <w:sz w:val="18"/>
        </w:rPr>
        <w:t> </w:t>
      </w:r>
      <w:r>
        <w:rPr>
          <w:rFonts w:ascii="Arial"/>
          <w:b/>
          <w:color w:val="005DA1"/>
          <w:spacing w:val="-4"/>
          <w:sz w:val="18"/>
          <w:u w:val="single" w:color="005DA1"/>
          <w:vertAlign w:val="superscript"/>
        </w:rPr>
        <w:t>1378</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217</w:t>
      </w:r>
    </w:p>
    <w:p>
      <w:pPr>
        <w:pStyle w:val="BodyText"/>
        <w:spacing w:line="235" w:lineRule="auto" w:before="202"/>
        <w:ind w:left="164" w:right="167"/>
        <w:jc w:val="both"/>
      </w:pPr>
      <w:bookmarkStart w:name="_bookmark2633" w:id="2635"/>
      <w:bookmarkEnd w:id="2635"/>
      <w:r>
        <w:rPr/>
      </w:r>
      <w:r>
        <w:rPr/>
        <w:t>In </w:t>
      </w:r>
      <w:r>
        <w:rPr>
          <w:rFonts w:ascii="Arial" w:hAnsi="Arial"/>
          <w:i/>
        </w:rPr>
        <w:t>British Transport Commission v Gourley</w:t>
      </w:r>
      <w:r>
        <w:rPr/>
        <w:t>, </w:t>
      </w:r>
      <w:r>
        <w:rPr>
          <w:color w:val="005DA1"/>
          <w:u w:val="single" w:color="005DA1"/>
          <w:vertAlign w:val="superscript"/>
        </w:rPr>
        <w:t>1379</w:t>
      </w:r>
      <w:r>
        <w:rPr>
          <w:color w:val="005DA1"/>
          <w:vertAlign w:val="baseline"/>
        </w:rPr>
        <w:t> </w:t>
      </w:r>
      <w:r>
        <w:rPr>
          <w:vertAlign w:val="baseline"/>
        </w:rPr>
        <w:t>a decision on the assessment of damages for loss of earnings following personal injuries caused by negligence, the House of Lords held that income </w:t>
      </w:r>
      <w:r>
        <w:rPr>
          <w:vertAlign w:val="baseline"/>
        </w:rPr>
        <w:t>tax (including the higher rates) must be taken into account in assessing damages for either actual or prospective loss of earnings. The main principle to be applied is that damages are to compensate the claimant only in respect of what he has lost, and in view of the incidence of taxation, he has in such a </w:t>
      </w:r>
      <w:bookmarkStart w:name="_bookmark2634" w:id="2636"/>
      <w:bookmarkEnd w:id="2636"/>
      <w:r>
        <w:rPr>
          <w:vertAlign w:val="baseline"/>
        </w:rPr>
        <w:t>case</w:t>
      </w:r>
      <w:r>
        <w:rPr>
          <w:vertAlign w:val="baseline"/>
        </w:rPr>
        <w:t> lost only his net earnings. The rule in </w:t>
      </w:r>
      <w:r>
        <w:rPr>
          <w:rFonts w:ascii="Arial" w:hAnsi="Arial"/>
          <w:i/>
          <w:vertAlign w:val="baseline"/>
        </w:rPr>
        <w:t>Gourley</w:t>
      </w:r>
      <w:r>
        <w:rPr>
          <w:rFonts w:ascii="Arial" w:hAnsi="Arial"/>
          <w:i/>
          <w:spacing w:val="-4"/>
          <w:vertAlign w:val="baseline"/>
        </w:rPr>
        <w:t> </w:t>
      </w:r>
      <w:r>
        <w:rPr>
          <w:vertAlign w:val="baseline"/>
        </w:rPr>
        <w:t>’s case (above) will apply only where two </w:t>
      </w:r>
      <w:bookmarkStart w:name="_bookmark2635" w:id="2637"/>
      <w:bookmarkEnd w:id="2637"/>
      <w:r>
        <w:rPr>
          <w:vertAlign w:val="baseline"/>
        </w:rPr>
        <w:t>conditions</w:t>
      </w:r>
      <w:r>
        <w:rPr>
          <w:vertAlign w:val="baseline"/>
        </w:rPr>
        <w:t> are satisfied </w:t>
      </w:r>
      <w:r>
        <w:rPr>
          <w:color w:val="005DA1"/>
          <w:u w:val="single" w:color="005DA1"/>
          <w:vertAlign w:val="superscript"/>
        </w:rPr>
        <w:t>1380</w:t>
      </w:r>
      <w:r>
        <w:rPr>
          <w:vertAlign w:val="baseline"/>
        </w:rPr>
        <w:t>: (1) the money, for the loss of which damages are awarded, would have </w:t>
      </w:r>
      <w:bookmarkStart w:name="_bookmark2636" w:id="2638"/>
      <w:bookmarkEnd w:id="2638"/>
      <w:r>
        <w:rPr>
          <w:vertAlign w:val="baseline"/>
        </w:rPr>
        <w:t>been</w:t>
      </w:r>
      <w:r>
        <w:rPr>
          <w:vertAlign w:val="baseline"/>
        </w:rPr>
        <w:t> subject to tax as income </w:t>
      </w:r>
      <w:r>
        <w:rPr>
          <w:color w:val="005DA1"/>
          <w:u w:val="single" w:color="005DA1"/>
          <w:vertAlign w:val="superscript"/>
        </w:rPr>
        <w:t>1381</w:t>
      </w:r>
      <w:r>
        <w:rPr>
          <w:vertAlign w:val="baseline"/>
        </w:rPr>
        <w:t>; and (2) the damages awarded to the claimant are not subject to</w:t>
      </w:r>
      <w:r>
        <w:rPr>
          <w:spacing w:val="40"/>
          <w:vertAlign w:val="baseline"/>
        </w:rPr>
        <w:t> </w:t>
      </w:r>
      <w:bookmarkStart w:name="_bookmark2637" w:id="2639"/>
      <w:bookmarkEnd w:id="2639"/>
      <w:r>
        <w:rPr>
          <w:vertAlign w:val="baseline"/>
        </w:rPr>
        <w:t>tax</w:t>
      </w:r>
      <w:r>
        <w:rPr>
          <w:vertAlign w:val="baseline"/>
        </w:rPr>
        <w:t> </w:t>
      </w:r>
      <w:r>
        <w:rPr>
          <w:color w:val="005DA1"/>
          <w:u w:val="single" w:color="005DA1"/>
          <w:vertAlign w:val="superscript"/>
        </w:rPr>
        <w:t>1382</w:t>
      </w:r>
      <w:r>
        <w:rPr>
          <w:color w:val="005DA1"/>
          <w:vertAlign w:val="baseline"/>
        </w:rPr>
        <w:t> </w:t>
      </w:r>
      <w:r>
        <w:rPr>
          <w:vertAlign w:val="baseline"/>
        </w:rPr>
        <w:t>in his hands. </w:t>
      </w:r>
      <w:r>
        <w:rPr>
          <w:color w:val="005DA1"/>
          <w:u w:val="single" w:color="005DA1"/>
          <w:vertAlign w:val="superscript"/>
        </w:rPr>
        <w:t>1383</w:t>
      </w:r>
      <w:r>
        <w:rPr>
          <w:color w:val="005DA1"/>
          <w:vertAlign w:val="baseline"/>
        </w:rPr>
        <w:t> </w:t>
      </w:r>
      <w:r>
        <w:rPr>
          <w:vertAlign w:val="baseline"/>
        </w:rPr>
        <w:t>If these conditions are satisfied, the rule in </w:t>
      </w:r>
      <w:r>
        <w:rPr>
          <w:rFonts w:ascii="Arial" w:hAnsi="Arial"/>
          <w:i/>
          <w:vertAlign w:val="baseline"/>
        </w:rPr>
        <w:t>Gourley</w:t>
      </w:r>
      <w:r>
        <w:rPr>
          <w:vertAlign w:val="baseline"/>
        </w:rPr>
        <w:t>’s case will apply to the assessment of damages in contract. </w:t>
      </w:r>
      <w:r>
        <w:rPr>
          <w:color w:val="005DA1"/>
          <w:u w:val="single" w:color="005DA1"/>
          <w:vertAlign w:val="superscript"/>
        </w:rPr>
        <w:t>1384</w:t>
      </w:r>
      <w:r>
        <w:rPr>
          <w:color w:val="005DA1"/>
          <w:vertAlign w:val="baseline"/>
        </w:rPr>
        <w:t> </w:t>
      </w:r>
      <w:r>
        <w:rPr>
          <w:vertAlign w:val="baseline"/>
        </w:rPr>
        <w:t>Conversely, tax credits obtained by the claimants, which had </w:t>
      </w:r>
      <w:bookmarkStart w:name="_bookmark2638" w:id="2640"/>
      <w:bookmarkEnd w:id="2640"/>
      <w:r>
        <w:rPr>
          <w:vertAlign w:val="baseline"/>
        </w:rPr>
        <w:t>the</w:t>
      </w:r>
      <w:r>
        <w:rPr>
          <w:vertAlign w:val="baseline"/>
        </w:rPr>
        <w:t> practical effect of reducing the purchase price, should be taken into account if they were “part and parcel” of the scheme. </w:t>
      </w:r>
      <w:r>
        <w:rPr>
          <w:color w:val="005DA1"/>
          <w:u w:val="single" w:color="005DA1"/>
          <w:vertAlign w:val="superscript"/>
        </w:rPr>
        <w:t>1385</w:t>
      </w:r>
    </w:p>
    <w:p>
      <w:pPr>
        <w:pStyle w:val="BodyText"/>
      </w:pPr>
    </w:p>
    <w:p>
      <w:pPr>
        <w:pStyle w:val="BodyText"/>
        <w:spacing w:before="34"/>
      </w:pPr>
    </w:p>
    <w:p>
      <w:pPr>
        <w:spacing w:before="0"/>
        <w:ind w:left="165" w:right="0" w:firstLine="0"/>
        <w:jc w:val="left"/>
        <w:rPr>
          <w:rFonts w:ascii="Arial"/>
          <w:b/>
          <w:sz w:val="18"/>
        </w:rPr>
      </w:pPr>
      <w:bookmarkStart w:name="_bookmark2639" w:id="2641"/>
      <w:bookmarkEnd w:id="2641"/>
      <w:r>
        <w:rPr/>
      </w:r>
      <w:r>
        <w:rPr>
          <w:rFonts w:ascii="Arial"/>
          <w:b/>
          <w:sz w:val="18"/>
        </w:rPr>
        <w:t>Taxation on damages for wrongful dismissal </w:t>
      </w:r>
      <w:r>
        <w:rPr>
          <w:rFonts w:ascii="Arial"/>
          <w:b/>
          <w:color w:val="005DA1"/>
          <w:spacing w:val="-4"/>
          <w:sz w:val="18"/>
          <w:u w:val="single" w:color="005DA1"/>
          <w:vertAlign w:val="superscript"/>
        </w:rPr>
        <w:t>1386</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218</w:t>
      </w:r>
    </w:p>
    <w:p>
      <w:pPr>
        <w:pStyle w:val="BodyText"/>
        <w:spacing w:line="235" w:lineRule="auto" w:before="202"/>
        <w:ind w:left="165" w:right="167"/>
        <w:jc w:val="both"/>
      </w:pPr>
      <w:bookmarkStart w:name="_bookmark2640" w:id="2642"/>
      <w:bookmarkEnd w:id="2642"/>
      <w:r>
        <w:rPr/>
      </w:r>
      <w:bookmarkStart w:name="_bookmark2641" w:id="2643"/>
      <w:bookmarkEnd w:id="2643"/>
      <w:r>
        <w:rPr/>
      </w:r>
      <w:r>
        <w:rPr/>
        <w:t>By Income Tax (Earnings and Pensions) Act 2003 ss.401(1) and 403(1), </w:t>
      </w:r>
      <w:r>
        <w:rPr>
          <w:color w:val="005DA1"/>
          <w:u w:val="single" w:color="005DA1"/>
          <w:vertAlign w:val="superscript"/>
        </w:rPr>
        <w:t>1387</w:t>
      </w:r>
      <w:r>
        <w:rPr>
          <w:color w:val="005DA1"/>
          <w:vertAlign w:val="baseline"/>
        </w:rPr>
        <w:t> </w:t>
      </w:r>
      <w:r>
        <w:rPr>
          <w:vertAlign w:val="baseline"/>
        </w:rPr>
        <w:t>any payments made </w:t>
      </w:r>
      <w:r>
        <w:rPr>
          <w:vertAlign w:val="baseline"/>
        </w:rPr>
        <w:t>on</w:t>
      </w:r>
      <w:r>
        <w:rPr>
          <w:spacing w:val="40"/>
          <w:vertAlign w:val="baseline"/>
        </w:rPr>
        <w:t> </w:t>
      </w:r>
      <w:r>
        <w:rPr>
          <w:vertAlign w:val="baseline"/>
        </w:rPr>
        <w:t>a person’s retirement or removal from any office or employment are taxable </w:t>
      </w:r>
      <w:r>
        <w:rPr>
          <w:color w:val="005DA1"/>
          <w:u w:val="single" w:color="005DA1"/>
          <w:vertAlign w:val="superscript"/>
        </w:rPr>
        <w:t>1388</w:t>
      </w:r>
      <w:r>
        <w:rPr>
          <w:vertAlign w:val="baseline"/>
        </w:rPr>
        <w:t>; the terms of the Act </w:t>
      </w:r>
      <w:bookmarkStart w:name="_bookmark2642" w:id="2644"/>
      <w:bookmarkEnd w:id="2644"/>
      <w:r>
        <w:rPr>
          <w:vertAlign w:val="baseline"/>
        </w:rPr>
        <w:t>are</w:t>
      </w:r>
      <w:r>
        <w:rPr>
          <w:vertAlign w:val="baseline"/>
        </w:rPr>
        <w:t> wide enough to cover damages awarded for loss of earnings in an action for wrongful dismissal, </w:t>
      </w:r>
      <w:bookmarkStart w:name="_bookmark2643" w:id="2645"/>
      <w:bookmarkEnd w:id="2645"/>
      <w:r>
        <w:rPr>
          <w:vertAlign w:val="baseline"/>
        </w:rPr>
        <w:t>although</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primarily</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agreed</w:t>
      </w:r>
      <w:r>
        <w:rPr>
          <w:spacing w:val="-2"/>
          <w:vertAlign w:val="baseline"/>
        </w:rPr>
        <w:t> </w:t>
      </w:r>
      <w:r>
        <w:rPr>
          <w:vertAlign w:val="baseline"/>
        </w:rPr>
        <w:t>compensation</w:t>
      </w:r>
      <w:r>
        <w:rPr>
          <w:spacing w:val="-2"/>
          <w:vertAlign w:val="baseline"/>
        </w:rPr>
        <w:t> </w:t>
      </w:r>
      <w:r>
        <w:rPr>
          <w:vertAlign w:val="baseline"/>
        </w:rPr>
        <w:t>for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office.</w:t>
      </w:r>
      <w:r>
        <w:rPr>
          <w:spacing w:val="-3"/>
          <w:vertAlign w:val="baseline"/>
        </w:rPr>
        <w:t> </w:t>
      </w:r>
      <w:r>
        <w:rPr>
          <w:color w:val="005DA1"/>
          <w:u w:val="single" w:color="005DA1"/>
          <w:vertAlign w:val="superscript"/>
        </w:rPr>
        <w:t>1389</w:t>
      </w:r>
      <w:r>
        <w:rPr>
          <w:color w:val="005DA1"/>
          <w:spacing w:val="-2"/>
          <w:vertAlign w:val="baseline"/>
        </w:rPr>
        <w:t> </w:t>
      </w:r>
      <w:r>
        <w:rPr>
          <w:vertAlign w:val="baseline"/>
        </w:rPr>
        <w:t>Tax </w:t>
      </w:r>
      <w:bookmarkStart w:name="_bookmark2644" w:id="2646"/>
      <w:bookmarkEnd w:id="2646"/>
      <w:r>
        <w:rPr>
          <w:vertAlign w:val="baseline"/>
        </w:rPr>
        <w:t>is</w:t>
      </w:r>
      <w:r>
        <w:rPr>
          <w:vertAlign w:val="baseline"/>
        </w:rPr>
        <w:t> not chargeable on the first £30,000 of any such payment </w:t>
      </w:r>
      <w:r>
        <w:rPr>
          <w:color w:val="005DA1"/>
          <w:u w:val="single" w:color="005DA1"/>
          <w:vertAlign w:val="superscript"/>
        </w:rPr>
        <w:t>1390</w:t>
      </w:r>
      <w:r>
        <w:rPr>
          <w:vertAlign w:val="baseline"/>
        </w:rPr>
        <w:t>; and the excess over £30,000 is subject to income tax in the normal way. </w:t>
      </w:r>
      <w:r>
        <w:rPr>
          <w:color w:val="005DA1"/>
          <w:u w:val="single" w:color="005DA1"/>
          <w:vertAlign w:val="superscript"/>
        </w:rPr>
        <w:t>1391</w:t>
      </w:r>
      <w:r>
        <w:rPr>
          <w:color w:val="005DA1"/>
          <w:vertAlign w:val="baseline"/>
        </w:rPr>
        <w:t> </w:t>
      </w:r>
      <w:r>
        <w:rPr>
          <w:vertAlign w:val="baseline"/>
        </w:rPr>
        <w:t>It has not been held (as might have been expected) that since the taxation rules covered the situation, the rule in </w:t>
      </w:r>
      <w:r>
        <w:rPr>
          <w:rFonts w:ascii="Arial" w:hAnsi="Arial"/>
          <w:i/>
          <w:vertAlign w:val="baseline"/>
        </w:rPr>
        <w:t>Gourley</w:t>
      </w:r>
      <w:r>
        <w:rPr>
          <w:rFonts w:ascii="Arial" w:hAnsi="Arial"/>
          <w:i/>
          <w:spacing w:val="-14"/>
          <w:vertAlign w:val="baseline"/>
        </w:rPr>
        <w:t> </w:t>
      </w:r>
      <w:r>
        <w:rPr>
          <w:vertAlign w:val="baseline"/>
        </w:rPr>
        <w:t>’s case was ousted: instead the</w:t>
      </w:r>
      <w:r>
        <w:rPr>
          <w:spacing w:val="40"/>
          <w:vertAlign w:val="baseline"/>
        </w:rPr>
        <w:t> </w:t>
      </w:r>
      <w:r>
        <w:rPr>
          <w:vertAlign w:val="baseline"/>
        </w:rPr>
        <w:t>Court of Appeal has held that the rule in </w:t>
      </w:r>
      <w:r>
        <w:rPr>
          <w:rFonts w:ascii="Arial" w:hAnsi="Arial"/>
          <w:i/>
          <w:vertAlign w:val="baseline"/>
        </w:rPr>
        <w:t>Gourley</w:t>
      </w:r>
      <w:r>
        <w:rPr>
          <w:rFonts w:ascii="Arial" w:hAnsi="Arial"/>
          <w:i/>
          <w:spacing w:val="-14"/>
          <w:vertAlign w:val="baseline"/>
        </w:rPr>
        <w:t> </w:t>
      </w:r>
      <w:r>
        <w:rPr>
          <w:vertAlign w:val="baseline"/>
        </w:rPr>
        <w:t>’s case continues to apply to the assessment of </w:t>
      </w:r>
      <w:bookmarkStart w:name="_bookmark2645" w:id="2647"/>
      <w:bookmarkEnd w:id="2647"/>
      <w:r>
        <w:rPr>
          <w:vertAlign w:val="baseline"/>
        </w:rPr>
        <w:t>damages</w:t>
      </w:r>
      <w:r>
        <w:rPr>
          <w:spacing w:val="23"/>
          <w:vertAlign w:val="baseline"/>
        </w:rPr>
        <w:t> </w:t>
      </w:r>
      <w:r>
        <w:rPr>
          <w:vertAlign w:val="baseline"/>
        </w:rPr>
        <w:t>for</w:t>
      </w:r>
      <w:r>
        <w:rPr>
          <w:spacing w:val="23"/>
          <w:vertAlign w:val="baseline"/>
        </w:rPr>
        <w:t> </w:t>
      </w:r>
      <w:r>
        <w:rPr>
          <w:vertAlign w:val="baseline"/>
        </w:rPr>
        <w:t>wrongful</w:t>
      </w:r>
      <w:r>
        <w:rPr>
          <w:spacing w:val="23"/>
          <w:vertAlign w:val="baseline"/>
        </w:rPr>
        <w:t> </w:t>
      </w:r>
      <w:r>
        <w:rPr>
          <w:vertAlign w:val="baseline"/>
        </w:rPr>
        <w:t>dismissal</w:t>
      </w:r>
      <w:r>
        <w:rPr>
          <w:spacing w:val="23"/>
          <w:vertAlign w:val="baseline"/>
        </w:rPr>
        <w:t> </w:t>
      </w:r>
      <w:r>
        <w:rPr>
          <w:vertAlign w:val="baseline"/>
        </w:rPr>
        <w:t>where</w:t>
      </w:r>
      <w:r>
        <w:rPr>
          <w:spacing w:val="23"/>
          <w:vertAlign w:val="baseline"/>
        </w:rPr>
        <w:t> </w:t>
      </w:r>
      <w:r>
        <w:rPr>
          <w:vertAlign w:val="baseline"/>
        </w:rPr>
        <w:t>the</w:t>
      </w:r>
      <w:r>
        <w:rPr>
          <w:spacing w:val="23"/>
          <w:vertAlign w:val="baseline"/>
        </w:rPr>
        <w:t> </w:t>
      </w:r>
      <w:r>
        <w:rPr>
          <w:vertAlign w:val="baseline"/>
        </w:rPr>
        <w:t>damages</w:t>
      </w:r>
      <w:r>
        <w:rPr>
          <w:spacing w:val="23"/>
          <w:vertAlign w:val="baseline"/>
        </w:rPr>
        <w:t> </w:t>
      </w:r>
      <w:r>
        <w:rPr>
          <w:vertAlign w:val="baseline"/>
        </w:rPr>
        <w:t>are</w:t>
      </w:r>
      <w:r>
        <w:rPr>
          <w:spacing w:val="23"/>
          <w:vertAlign w:val="baseline"/>
        </w:rPr>
        <w:t> </w:t>
      </w:r>
      <w:r>
        <w:rPr>
          <w:vertAlign w:val="baseline"/>
        </w:rPr>
        <w:t>under</w:t>
      </w:r>
      <w:r>
        <w:rPr>
          <w:spacing w:val="23"/>
          <w:vertAlign w:val="baseline"/>
        </w:rPr>
        <w:t> </w:t>
      </w:r>
      <w:r>
        <w:rPr>
          <w:vertAlign w:val="baseline"/>
        </w:rPr>
        <w:t>the</w:t>
      </w:r>
      <w:r>
        <w:rPr>
          <w:spacing w:val="23"/>
          <w:vertAlign w:val="baseline"/>
        </w:rPr>
        <w:t> </w:t>
      </w:r>
      <w:r>
        <w:rPr>
          <w:vertAlign w:val="baseline"/>
        </w:rPr>
        <w:t>exempted</w:t>
      </w:r>
      <w:r>
        <w:rPr>
          <w:spacing w:val="23"/>
          <w:vertAlign w:val="baseline"/>
        </w:rPr>
        <w:t> </w:t>
      </w:r>
      <w:r>
        <w:rPr>
          <w:vertAlign w:val="baseline"/>
        </w:rPr>
        <w:t>amount</w:t>
      </w:r>
      <w:r>
        <w:rPr>
          <w:spacing w:val="23"/>
          <w:vertAlign w:val="baseline"/>
        </w:rPr>
        <w:t> </w:t>
      </w:r>
      <w:r>
        <w:rPr>
          <w:vertAlign w:val="baseline"/>
        </w:rPr>
        <w:t>(at</w:t>
      </w:r>
      <w:r>
        <w:rPr>
          <w:spacing w:val="23"/>
          <w:vertAlign w:val="baseline"/>
        </w:rPr>
        <w:t> </w:t>
      </w:r>
      <w:r>
        <w:rPr>
          <w:vertAlign w:val="baseline"/>
        </w:rPr>
        <w:t>that</w:t>
      </w:r>
      <w:r>
        <w:rPr>
          <w:spacing w:val="23"/>
          <w:vertAlign w:val="baseline"/>
        </w:rPr>
        <w:t> </w:t>
      </w:r>
      <w:r>
        <w:rPr>
          <w:spacing w:val="-2"/>
          <w:vertAlign w:val="baseline"/>
        </w:rPr>
        <w:t>time,</w:t>
      </w:r>
    </w:p>
    <w:p>
      <w:pPr>
        <w:pStyle w:val="BodyText"/>
        <w:spacing w:line="235" w:lineRule="auto"/>
        <w:ind w:left="165" w:right="167"/>
        <w:jc w:val="both"/>
      </w:pPr>
      <w:bookmarkStart w:name="_bookmark2646" w:id="2648"/>
      <w:bookmarkEnd w:id="2648"/>
      <w:r>
        <w:rPr/>
      </w:r>
      <w:r>
        <w:rPr/>
        <w:t>£5,000). </w:t>
      </w:r>
      <w:r>
        <w:rPr>
          <w:color w:val="005DA1"/>
          <w:u w:val="single" w:color="005DA1"/>
          <w:vertAlign w:val="superscript"/>
        </w:rPr>
        <w:t>1392</w:t>
      </w:r>
      <w:r>
        <w:rPr>
          <w:color w:val="005DA1"/>
          <w:vertAlign w:val="baseline"/>
        </w:rPr>
        <w:t> </w:t>
      </w:r>
      <w:r>
        <w:rPr>
          <w:vertAlign w:val="baseline"/>
        </w:rPr>
        <w:t>Although the court discussed the position where both the lost earnings and the damages are</w:t>
      </w:r>
      <w:r>
        <w:rPr>
          <w:spacing w:val="-4"/>
          <w:vertAlign w:val="baseline"/>
        </w:rPr>
        <w:t> </w:t>
      </w:r>
      <w:r>
        <w:rPr>
          <w:vertAlign w:val="baseline"/>
        </w:rPr>
        <w:t>taxable,</w:t>
      </w:r>
      <w:r>
        <w:rPr>
          <w:spacing w:val="-4"/>
          <w:vertAlign w:val="baseline"/>
        </w:rPr>
        <w:t> </w:t>
      </w:r>
      <w:r>
        <w:rPr>
          <w:color w:val="005DA1"/>
          <w:u w:val="single" w:color="005DA1"/>
          <w:vertAlign w:val="superscript"/>
        </w:rPr>
        <w:t>1393</w:t>
      </w:r>
      <w:r>
        <w:rPr>
          <w:color w:val="005DA1"/>
          <w:spacing w:val="-4"/>
          <w:vertAlign w:val="baseline"/>
        </w:rPr>
        <w:t> </w:t>
      </w:r>
      <w:r>
        <w:rPr>
          <w:vertAlign w:val="baseline"/>
        </w:rPr>
        <w:t>the</w:t>
      </w:r>
      <w:r>
        <w:rPr>
          <w:spacing w:val="-4"/>
          <w:vertAlign w:val="baseline"/>
        </w:rPr>
        <w:t> </w:t>
      </w:r>
      <w:r>
        <w:rPr>
          <w:vertAlign w:val="baseline"/>
        </w:rPr>
        <w:t>position</w:t>
      </w:r>
      <w:r>
        <w:rPr>
          <w:spacing w:val="-4"/>
          <w:vertAlign w:val="baseline"/>
        </w:rPr>
        <w:t> </w:t>
      </w:r>
      <w:r>
        <w:rPr>
          <w:vertAlign w:val="baseline"/>
        </w:rPr>
        <w:t>where</w:t>
      </w:r>
      <w:r>
        <w:rPr>
          <w:spacing w:val="-4"/>
          <w:vertAlign w:val="baseline"/>
        </w:rPr>
        <w:t> </w:t>
      </w:r>
      <w:r>
        <w:rPr>
          <w:vertAlign w:val="baseline"/>
        </w:rPr>
        <w:t>damages</w:t>
      </w:r>
      <w:r>
        <w:rPr>
          <w:spacing w:val="-4"/>
          <w:vertAlign w:val="baseline"/>
        </w:rPr>
        <w:t> </w:t>
      </w:r>
      <w:r>
        <w:rPr>
          <w:vertAlign w:val="baseline"/>
        </w:rPr>
        <w:t>for</w:t>
      </w:r>
      <w:r>
        <w:rPr>
          <w:spacing w:val="-4"/>
          <w:vertAlign w:val="baseline"/>
        </w:rPr>
        <w:t> </w:t>
      </w:r>
      <w:r>
        <w:rPr>
          <w:vertAlign w:val="baseline"/>
        </w:rPr>
        <w:t>wrongful</w:t>
      </w:r>
      <w:r>
        <w:rPr>
          <w:spacing w:val="-4"/>
          <w:vertAlign w:val="baseline"/>
        </w:rPr>
        <w:t> </w:t>
      </w:r>
      <w:r>
        <w:rPr>
          <w:vertAlign w:val="baseline"/>
        </w:rPr>
        <w:t>dismissal</w:t>
      </w:r>
      <w:r>
        <w:rPr>
          <w:spacing w:val="-4"/>
          <w:vertAlign w:val="baseline"/>
        </w:rPr>
        <w:t> </w:t>
      </w:r>
      <w:r>
        <w:rPr>
          <w:vertAlign w:val="baseline"/>
        </w:rPr>
        <w:t>exceed</w:t>
      </w:r>
      <w:r>
        <w:rPr>
          <w:spacing w:val="-4"/>
          <w:vertAlign w:val="baseline"/>
        </w:rPr>
        <w:t> </w:t>
      </w:r>
      <w:r>
        <w:rPr>
          <w:vertAlign w:val="baseline"/>
        </w:rPr>
        <w:t>the</w:t>
      </w:r>
      <w:r>
        <w:rPr>
          <w:spacing w:val="-4"/>
          <w:vertAlign w:val="baseline"/>
        </w:rPr>
        <w:t> </w:t>
      </w:r>
      <w:r>
        <w:rPr>
          <w:vertAlign w:val="baseline"/>
        </w:rPr>
        <w:t>exempted</w:t>
      </w:r>
      <w:r>
        <w:rPr>
          <w:spacing w:val="-4"/>
          <w:vertAlign w:val="baseline"/>
        </w:rPr>
        <w:t> </w:t>
      </w:r>
      <w:r>
        <w:rPr>
          <w:vertAlign w:val="baseline"/>
        </w:rPr>
        <w:t>amount</w:t>
      </w:r>
      <w:r>
        <w:rPr>
          <w:spacing w:val="-4"/>
          <w:vertAlign w:val="baseline"/>
        </w:rPr>
        <w:t> </w:t>
      </w:r>
      <w:r>
        <w:rPr>
          <w:vertAlign w:val="baseline"/>
        </w:rPr>
        <w:t>was </w:t>
      </w:r>
      <w:bookmarkStart w:name="_bookmark2647" w:id="2649"/>
      <w:bookmarkEnd w:id="2649"/>
      <w:r>
        <w:rPr>
          <w:vertAlign w:val="baseline"/>
        </w:rPr>
        <w:t>not</w:t>
      </w:r>
      <w:r>
        <w:rPr>
          <w:vertAlign w:val="baseline"/>
        </w:rPr>
        <w:t> finally decided. At first instance it was later held that in this event notional tax should be deducted as if the total award was only for the exempted amount </w:t>
      </w:r>
      <w:r>
        <w:rPr>
          <w:color w:val="005DA1"/>
          <w:u w:val="single" w:color="005DA1"/>
          <w:vertAlign w:val="superscript"/>
        </w:rPr>
        <w:t>1394</w:t>
      </w:r>
      <w:r>
        <w:rPr>
          <w:vertAlign w:val="baseline"/>
        </w:rPr>
        <w:t>; on the facts of the particular case, </w:t>
      </w:r>
      <w:r>
        <w:rPr>
          <w:vertAlign w:val="baseline"/>
        </w:rPr>
        <w:t>the exempted amount of £5,000 represented future earnings of £5,850 over the remaining years of the contract of employment (discounted on the basis of the cost of an annuity) and the tax to be deducted </w:t>
      </w:r>
      <w:bookmarkStart w:name="_bookmark2648" w:id="2650"/>
      <w:bookmarkEnd w:id="2650"/>
      <w:r>
        <w:rPr>
          <w:vertAlign w:val="baseline"/>
        </w:rPr>
        <w:t>was</w:t>
      </w:r>
      <w:r>
        <w:rPr>
          <w:vertAlign w:val="baseline"/>
        </w:rPr>
        <w:t> calculated on this gross sum, after the other income of the plaintiff was taken into account to calculate the rate of tax. A second solution adopted in Scotland </w:t>
      </w:r>
      <w:r>
        <w:rPr>
          <w:color w:val="005DA1"/>
          <w:u w:val="single" w:color="005DA1"/>
          <w:vertAlign w:val="superscript"/>
        </w:rPr>
        <w:t>1395</w:t>
      </w:r>
      <w:r>
        <w:rPr>
          <w:color w:val="005DA1"/>
          <w:vertAlign w:val="baseline"/>
        </w:rPr>
        <w:t> </w:t>
      </w:r>
      <w:r>
        <w:rPr>
          <w:vertAlign w:val="baseline"/>
        </w:rPr>
        <w:t>was to assess the damages as if the whole award was subject to the </w:t>
      </w:r>
      <w:r>
        <w:rPr>
          <w:rFonts w:ascii="Arial" w:hAnsi="Arial"/>
          <w:i/>
          <w:vertAlign w:val="baseline"/>
        </w:rPr>
        <w:t>Gourley </w:t>
      </w:r>
      <w:r>
        <w:rPr>
          <w:vertAlign w:val="baseline"/>
        </w:rPr>
        <w:t>principle, and then to add to that sum a further amount which would be sufficient to cover the tax payable by the plaintiff on the excess over the exempted </w:t>
      </w:r>
      <w:bookmarkStart w:name="_bookmark2649" w:id="2651"/>
      <w:bookmarkEnd w:id="2651"/>
      <w:r>
        <w:rPr>
          <w:vertAlign w:val="baseline"/>
        </w:rPr>
        <w:t>amount</w:t>
      </w:r>
      <w:r>
        <w:rPr>
          <w:vertAlign w:val="baseline"/>
        </w:rPr>
        <w:t> (at that time, £5,000). This is the more precise method, since it will meet the claimant’s exact loss </w:t>
      </w:r>
      <w:r>
        <w:rPr>
          <w:color w:val="005DA1"/>
          <w:u w:val="single" w:color="005DA1"/>
          <w:vertAlign w:val="superscript"/>
        </w:rPr>
        <w:t>1396</w:t>
      </w:r>
      <w:r>
        <w:rPr>
          <w:vertAlign w:val="baseline"/>
        </w:rPr>
        <w:t>; but it suffers from the disadvantage that the addition to the award of the amount of tax may </w:t>
      </w:r>
      <w:bookmarkStart w:name="_bookmark2650" w:id="2652"/>
      <w:bookmarkEnd w:id="2652"/>
      <w:r>
        <w:rPr>
          <w:vertAlign w:val="baseline"/>
        </w:rPr>
        <w:t>cause</w:t>
      </w:r>
      <w:r>
        <w:rPr>
          <w:vertAlign w:val="baseline"/>
        </w:rPr>
        <w:t> the amount of tax payable to be increased. The second method has been adopted at first instance in England, </w:t>
      </w:r>
      <w:r>
        <w:rPr>
          <w:color w:val="005DA1"/>
          <w:u w:val="single" w:color="005DA1"/>
          <w:vertAlign w:val="superscript"/>
        </w:rPr>
        <w:t>1397</w:t>
      </w:r>
      <w:r>
        <w:rPr>
          <w:color w:val="005DA1"/>
          <w:vertAlign w:val="baseline"/>
        </w:rPr>
        <w:t> </w:t>
      </w:r>
      <w:r>
        <w:rPr>
          <w:vertAlign w:val="baseline"/>
        </w:rPr>
        <w:t>and it is submitted that it is the better method. </w:t>
      </w:r>
      <w:r>
        <w:rPr>
          <w:color w:val="005DA1"/>
          <w:u w:val="single" w:color="005DA1"/>
          <w:vertAlign w:val="superscript"/>
        </w:rPr>
        <w:t>1398</w:t>
      </w:r>
    </w:p>
    <w:p>
      <w:pPr>
        <w:pStyle w:val="BodyText"/>
        <w:spacing w:after="0" w:line="235" w:lineRule="auto"/>
        <w:jc w:val="both"/>
        <w:sectPr>
          <w:headerReference w:type="default" r:id="rId64"/>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Method of calculating </w:t>
      </w:r>
      <w:r>
        <w:rPr>
          <w:rFonts w:ascii="Arial"/>
          <w:b/>
          <w:spacing w:val="-5"/>
          <w:sz w:val="18"/>
        </w:rPr>
        <w:t>tax</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219</w:t>
      </w:r>
    </w:p>
    <w:p>
      <w:pPr>
        <w:pStyle w:val="BodyText"/>
        <w:spacing w:line="235" w:lineRule="auto" w:before="203"/>
        <w:ind w:left="165" w:right="167"/>
        <w:jc w:val="both"/>
      </w:pPr>
      <w:bookmarkStart w:name="_bookmark2651" w:id="2653"/>
      <w:bookmarkEnd w:id="2653"/>
      <w:r>
        <w:rPr/>
      </w:r>
      <w:r>
        <w:rPr/>
        <w:t>Where the damages are calculated in respect of a number of years, the </w:t>
      </w:r>
      <w:r>
        <w:rPr>
          <w:rFonts w:ascii="Arial" w:hAnsi="Arial"/>
          <w:i/>
        </w:rPr>
        <w:t>Gourley </w:t>
      </w:r>
      <w:r>
        <w:rPr/>
        <w:t>calculation will spread the payments and the relevant tax over the same number of years. </w:t>
      </w:r>
      <w:r>
        <w:rPr>
          <w:color w:val="005DA1"/>
          <w:u w:val="single" w:color="005DA1"/>
          <w:vertAlign w:val="superscript"/>
        </w:rPr>
        <w:t>1399</w:t>
      </w:r>
      <w:r>
        <w:rPr>
          <w:color w:val="005DA1"/>
          <w:vertAlign w:val="baseline"/>
        </w:rPr>
        <w:t> </w:t>
      </w:r>
      <w:r>
        <w:rPr>
          <w:vertAlign w:val="baseline"/>
        </w:rPr>
        <w:t>The House of Lords </w:t>
      </w:r>
      <w:r>
        <w:rPr>
          <w:color w:val="005DA1"/>
          <w:u w:val="single" w:color="005DA1"/>
          <w:vertAlign w:val="superscript"/>
        </w:rPr>
        <w:t>1400</w:t>
      </w:r>
      <w:r>
        <w:rPr>
          <w:color w:val="005DA1"/>
          <w:vertAlign w:val="baseline"/>
        </w:rPr>
        <w:t> </w:t>
      </w:r>
      <w:r>
        <w:rPr>
          <w:vertAlign w:val="baseline"/>
        </w:rPr>
        <w:t>has emphasised that the courts cannot make an elaborate assessment of the claimant’s </w:t>
      </w:r>
      <w:r>
        <w:rPr>
          <w:vertAlign w:val="baseline"/>
        </w:rPr>
        <w:t>tax </w:t>
      </w:r>
      <w:bookmarkStart w:name="_bookmark2652" w:id="2654"/>
      <w:bookmarkEnd w:id="2654"/>
      <w:r>
        <w:rPr>
          <w:vertAlign w:val="baseline"/>
        </w:rPr>
        <w:t>liability,</w:t>
      </w:r>
      <w:r>
        <w:rPr>
          <w:vertAlign w:val="baseline"/>
        </w:rPr>
        <w:t> but should act on broad lines. The rate of tax to be considered is the effective rate of tax </w:t>
      </w:r>
      <w:bookmarkStart w:name="_bookmark2653" w:id="2655"/>
      <w:bookmarkEnd w:id="2655"/>
      <w:r>
        <w:rPr>
          <w:vertAlign w:val="baseline"/>
        </w:rPr>
        <w:t>applicable</w:t>
      </w:r>
      <w:r>
        <w:rPr>
          <w:vertAlign w:val="baseline"/>
        </w:rPr>
        <w:t> to the claimant’s earnings, and not the standard rate of tax </w:t>
      </w:r>
      <w:r>
        <w:rPr>
          <w:color w:val="005DA1"/>
          <w:u w:val="single" w:color="005DA1"/>
          <w:vertAlign w:val="superscript"/>
        </w:rPr>
        <w:t>1401</w:t>
      </w:r>
      <w:r>
        <w:rPr>
          <w:vertAlign w:val="baseline"/>
        </w:rPr>
        <w:t>; moreover, the relevant rates of tax are those in force at the time of the court’s judgment. </w:t>
      </w:r>
      <w:r>
        <w:rPr>
          <w:color w:val="005DA1"/>
          <w:u w:val="single" w:color="005DA1"/>
          <w:vertAlign w:val="superscript"/>
        </w:rPr>
        <w:t>1402</w:t>
      </w:r>
      <w:r>
        <w:rPr>
          <w:color w:val="005DA1"/>
          <w:vertAlign w:val="baseline"/>
        </w:rPr>
        <w:t> </w:t>
      </w:r>
      <w:r>
        <w:rPr>
          <w:vertAlign w:val="baseline"/>
        </w:rPr>
        <w:t>If the claimant’s rate of tax depends partly on unearned income, the court may pay comparatively little regard to the unearned income in fixing the deduction for tax on his prospective earned income from the defendants, since</w:t>
      </w:r>
      <w:r>
        <w:rPr>
          <w:spacing w:val="40"/>
          <w:vertAlign w:val="baseline"/>
        </w:rPr>
        <w:t> </w:t>
      </w:r>
      <w:bookmarkStart w:name="_bookmark2654" w:id="2656"/>
      <w:bookmarkEnd w:id="2656"/>
      <w:r>
        <w:rPr>
          <w:vertAlign w:val="baseline"/>
        </w:rPr>
        <w:t>the</w:t>
      </w:r>
      <w:r>
        <w:rPr>
          <w:vertAlign w:val="baseline"/>
        </w:rPr>
        <w:t> claimant is able to dispose of his private capital at any time, e.g. by settlements, covenants or gifts. </w:t>
      </w:r>
      <w:r>
        <w:rPr>
          <w:color w:val="005DA1"/>
          <w:u w:val="single" w:color="005DA1"/>
          <w:vertAlign w:val="superscript"/>
        </w:rPr>
        <w:t>1403</w:t>
      </w:r>
    </w:p>
    <w:p>
      <w:pPr>
        <w:pStyle w:val="BodyText"/>
      </w:pPr>
    </w:p>
    <w:p>
      <w:pPr>
        <w:pStyle w:val="BodyText"/>
        <w:spacing w:before="35"/>
      </w:pPr>
    </w:p>
    <w:p>
      <w:pPr>
        <w:spacing w:before="0"/>
        <w:ind w:left="165" w:right="0" w:firstLine="0"/>
        <w:jc w:val="left"/>
        <w:rPr>
          <w:rFonts w:ascii="Arial"/>
          <w:b/>
          <w:sz w:val="18"/>
        </w:rPr>
      </w:pPr>
      <w:r>
        <w:rPr>
          <w:rFonts w:ascii="Arial"/>
          <w:b/>
          <w:sz w:val="18"/>
        </w:rPr>
        <w:t>Loss of part of </w:t>
      </w:r>
      <w:r>
        <w:rPr>
          <w:rFonts w:ascii="Arial"/>
          <w:b/>
          <w:spacing w:val="-2"/>
          <w:sz w:val="18"/>
        </w:rPr>
        <w:t>earnings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220</w:t>
      </w:r>
    </w:p>
    <w:p>
      <w:pPr>
        <w:pStyle w:val="BodyText"/>
        <w:spacing w:line="235" w:lineRule="auto" w:before="203"/>
        <w:ind w:left="164" w:right="167"/>
        <w:jc w:val="both"/>
      </w:pPr>
      <w:r>
        <w:rPr/>
        <w:t>Where the claimant’s claim for loss of earnings represents only part of his earnings for the relevant</w:t>
      </w:r>
      <w:r>
        <w:rPr>
          <w:spacing w:val="40"/>
        </w:rPr>
        <w:t> </w:t>
      </w:r>
      <w:bookmarkStart w:name="_bookmark2655" w:id="2657"/>
      <w:bookmarkEnd w:id="2657"/>
      <w:r>
        <w:rPr/>
        <w:t>tax</w:t>
      </w:r>
      <w:r>
        <w:rPr/>
        <w:t> year, the lost earnings are treated as the top slice of the claimant’s notional total income for that year. In </w:t>
      </w:r>
      <w:r>
        <w:rPr>
          <w:rFonts w:ascii="Arial" w:hAnsi="Arial"/>
          <w:i/>
        </w:rPr>
        <w:t>Lyndale Fashion Manufacturers v Rich </w:t>
      </w:r>
      <w:r>
        <w:rPr>
          <w:color w:val="005DA1"/>
          <w:u w:val="single" w:color="005DA1"/>
          <w:vertAlign w:val="superscript"/>
        </w:rPr>
        <w:t>1404</w:t>
      </w:r>
      <w:r>
        <w:rPr>
          <w:color w:val="005DA1"/>
          <w:vertAlign w:val="baseline"/>
        </w:rPr>
        <w:t> </w:t>
      </w:r>
      <w:r>
        <w:rPr>
          <w:vertAlign w:val="baseline"/>
        </w:rPr>
        <w:t>the plaintiff was awarded a sum as damages for loss of commission following the wrongful termination of his appointment as a salesman. The Court of Appeal held that the amount of tax to be deducted under the </w:t>
      </w:r>
      <w:r>
        <w:rPr>
          <w:rFonts w:ascii="Arial" w:hAnsi="Arial"/>
          <w:i/>
          <w:vertAlign w:val="baseline"/>
        </w:rPr>
        <w:t>Gourley </w:t>
      </w:r>
      <w:r>
        <w:rPr>
          <w:vertAlign w:val="baseline"/>
        </w:rPr>
        <w:t>principle was to be calculated</w:t>
      </w:r>
      <w:r>
        <w:rPr>
          <w:spacing w:val="80"/>
          <w:vertAlign w:val="baseline"/>
        </w:rPr>
        <w:t> </w:t>
      </w:r>
      <w:r>
        <w:rPr>
          <w:vertAlign w:val="baseline"/>
        </w:rPr>
        <w:t>by treating the gross sum for loss of commission as the top slice of the plaintiff’s notional income for the relevant year. (The notional total comprised his actual receipts in that year and the gross </w:t>
      </w:r>
      <w:r>
        <w:rPr>
          <w:vertAlign w:val="baseline"/>
        </w:rPr>
        <w:t>amount </w:t>
      </w:r>
      <w:bookmarkStart w:name="_bookmark2656" w:id="2658"/>
      <w:bookmarkEnd w:id="2658"/>
      <w:r>
        <w:rPr>
          <w:vertAlign w:val="baseline"/>
        </w:rPr>
        <w:t>of</w:t>
      </w:r>
      <w:r>
        <w:rPr>
          <w:vertAlign w:val="baseline"/>
        </w:rPr>
        <w:t> the damages.) This top slice would therefore attract to itself all the additional tax applicable to the notional total income for that year. </w:t>
      </w:r>
      <w:r>
        <w:rPr>
          <w:color w:val="005DA1"/>
          <w:u w:val="single" w:color="005DA1"/>
          <w:vertAlign w:val="superscript"/>
        </w:rPr>
        <w:t>1405</w:t>
      </w:r>
      <w:r>
        <w:rPr>
          <w:color w:val="005DA1"/>
          <w:vertAlign w:val="baseline"/>
        </w:rPr>
        <w:t> </w:t>
      </w:r>
      <w:r>
        <w:rPr>
          <w:vertAlign w:val="baseline"/>
        </w:rPr>
        <w:t>It was also held that any expenses which would have been incurred in earning the lost commission should be set against the assumed additional income. The defendant is entitled to reasonable particulars of the claimant’s taxable income from other sources, </w:t>
      </w:r>
      <w:bookmarkStart w:name="_bookmark2657" w:id="2659"/>
      <w:bookmarkEnd w:id="2659"/>
      <w:r>
        <w:rPr>
          <w:vertAlign w:val="baseline"/>
        </w:rPr>
        <w:t>and</w:t>
      </w:r>
      <w:r>
        <w:rPr>
          <w:vertAlign w:val="baseline"/>
        </w:rPr>
        <w:t> of his tax assessments and allowances, since these particulars are directly relevant to the assessment of the claimant’s net loss of earnings </w:t>
      </w:r>
      <w:r>
        <w:rPr>
          <w:color w:val="005DA1"/>
          <w:u w:val="single" w:color="005DA1"/>
          <w:vertAlign w:val="superscript"/>
        </w:rPr>
        <w:t>1406</w:t>
      </w:r>
      <w:r>
        <w:rPr>
          <w:vertAlign w:val="baseline"/>
        </w:rPr>
        <w:t>; elaborate particulars, however, might increase costs, and are unnecessary, since:</w:t>
      </w:r>
    </w:p>
    <w:p>
      <w:pPr>
        <w:pStyle w:val="BodyText"/>
      </w:pPr>
    </w:p>
    <w:p>
      <w:pPr>
        <w:pStyle w:val="BodyText"/>
        <w:spacing w:before="121"/>
      </w:pPr>
    </w:p>
    <w:p>
      <w:pPr>
        <w:pStyle w:val="BodyText"/>
        <w:spacing w:line="235" w:lineRule="auto"/>
        <w:ind w:left="1245"/>
      </w:pPr>
      <w:bookmarkStart w:name="_bookmark2658" w:id="2660"/>
      <w:bookmarkEnd w:id="2660"/>
      <w:r>
        <w:rPr/>
      </w:r>
      <w:r>
        <w:rPr/>
        <w:t>“…</w:t>
      </w:r>
      <w:r>
        <w:rPr>
          <w:spacing w:val="34"/>
        </w:rPr>
        <w:t> </w:t>
      </w:r>
      <w:r>
        <w:rPr/>
        <w:t>particulars</w:t>
      </w:r>
      <w:r>
        <w:rPr>
          <w:spacing w:val="34"/>
        </w:rPr>
        <w:t> </w:t>
      </w:r>
      <w:r>
        <w:rPr/>
        <w:t>should</w:t>
      </w:r>
      <w:r>
        <w:rPr>
          <w:spacing w:val="34"/>
        </w:rPr>
        <w:t> </w:t>
      </w:r>
      <w:r>
        <w:rPr/>
        <w:t>be</w:t>
      </w:r>
      <w:r>
        <w:rPr>
          <w:spacing w:val="34"/>
        </w:rPr>
        <w:t> </w:t>
      </w:r>
      <w:r>
        <w:rPr/>
        <w:t>limited</w:t>
      </w:r>
      <w:r>
        <w:rPr>
          <w:spacing w:val="34"/>
        </w:rPr>
        <w:t> </w:t>
      </w:r>
      <w:r>
        <w:rPr/>
        <w:t>to</w:t>
      </w:r>
      <w:r>
        <w:rPr>
          <w:spacing w:val="34"/>
        </w:rPr>
        <w:t> </w:t>
      </w:r>
      <w:r>
        <w:rPr/>
        <w:t>what</w:t>
      </w:r>
      <w:r>
        <w:rPr>
          <w:spacing w:val="34"/>
        </w:rPr>
        <w:t> </w:t>
      </w:r>
      <w:r>
        <w:rPr/>
        <w:t>is</w:t>
      </w:r>
      <w:r>
        <w:rPr>
          <w:spacing w:val="34"/>
        </w:rPr>
        <w:t> </w:t>
      </w:r>
      <w:r>
        <w:rPr/>
        <w:t>really</w:t>
      </w:r>
      <w:r>
        <w:rPr>
          <w:spacing w:val="34"/>
        </w:rPr>
        <w:t> </w:t>
      </w:r>
      <w:r>
        <w:rPr/>
        <w:t>reasonably</w:t>
      </w:r>
      <w:r>
        <w:rPr>
          <w:spacing w:val="34"/>
        </w:rPr>
        <w:t> </w:t>
      </w:r>
      <w:r>
        <w:rPr/>
        <w:t>necessary</w:t>
      </w:r>
      <w:r>
        <w:rPr>
          <w:spacing w:val="34"/>
        </w:rPr>
        <w:t> </w:t>
      </w:r>
      <w:r>
        <w:rPr/>
        <w:t>to</w:t>
      </w:r>
      <w:r>
        <w:rPr>
          <w:spacing w:val="34"/>
        </w:rPr>
        <w:t> </w:t>
      </w:r>
      <w:r>
        <w:rPr/>
        <w:t>enable</w:t>
      </w:r>
      <w:r>
        <w:rPr>
          <w:spacing w:val="34"/>
        </w:rPr>
        <w:t> </w:t>
      </w:r>
      <w:r>
        <w:rPr/>
        <w:t>the party seeking them to know what case he has to meet.” </w:t>
      </w:r>
      <w:r>
        <w:rPr>
          <w:color w:val="005DA1"/>
          <w:u w:val="single" w:color="005DA1"/>
          <w:vertAlign w:val="superscript"/>
        </w:rPr>
        <w:t>1407</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Foreign tax </w:t>
      </w:r>
      <w:r>
        <w:rPr>
          <w:rFonts w:ascii="Arial"/>
          <w:b/>
          <w:spacing w:val="-4"/>
          <w:sz w:val="18"/>
        </w:rPr>
        <w:t>laws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221</w:t>
      </w:r>
    </w:p>
    <w:p>
      <w:pPr>
        <w:pStyle w:val="BodyText"/>
        <w:spacing w:line="235" w:lineRule="auto" w:before="203"/>
        <w:ind w:left="165" w:right="167"/>
        <w:jc w:val="both"/>
      </w:pPr>
      <w:r>
        <w:rPr/>
        <w:t>Foreign tax laws are to be treated in the same way as United Kingdom tax laws in this connection: if </w:t>
      </w:r>
      <w:bookmarkStart w:name="_bookmark2659" w:id="2661"/>
      <w:bookmarkEnd w:id="2661"/>
      <w:r>
        <w:rPr/>
        <w:t>the</w:t>
      </w:r>
      <w:r>
        <w:rPr/>
        <w:t> claimant in a claim for loss of earnings is subject to foreign fiscal laws under which no tax is payable on the damages it would seem that the rule in </w:t>
      </w:r>
      <w:r>
        <w:rPr>
          <w:rFonts w:ascii="Arial" w:hAnsi="Arial"/>
          <w:i/>
        </w:rPr>
        <w:t>Gourley</w:t>
      </w:r>
      <w:r>
        <w:rPr/>
        <w:t>’s case (above) would apply. </w:t>
      </w:r>
      <w:r>
        <w:rPr>
          <w:color w:val="005DA1"/>
          <w:u w:val="single" w:color="005DA1"/>
          <w:vertAlign w:val="superscript"/>
        </w:rPr>
        <w:t>1408</w:t>
      </w:r>
    </w:p>
    <w:p>
      <w:pPr>
        <w:pStyle w:val="BodyText"/>
      </w:pPr>
    </w:p>
    <w:p>
      <w:pPr>
        <w:pStyle w:val="BodyText"/>
        <w:spacing w:before="37"/>
      </w:pPr>
    </w:p>
    <w:p>
      <w:pPr>
        <w:spacing w:before="0"/>
        <w:ind w:left="165" w:right="0" w:firstLine="0"/>
        <w:jc w:val="left"/>
        <w:rPr>
          <w:rFonts w:ascii="Arial"/>
          <w:b/>
          <w:sz w:val="18"/>
        </w:rPr>
      </w:pPr>
      <w:r>
        <w:rPr>
          <w:rFonts w:ascii="Arial"/>
          <w:b/>
          <w:sz w:val="18"/>
        </w:rPr>
        <w:t>National insurance contributions; tax </w:t>
      </w:r>
      <w:r>
        <w:rPr>
          <w:rFonts w:ascii="Arial"/>
          <w:b/>
          <w:spacing w:val="-2"/>
          <w:sz w:val="18"/>
        </w:rPr>
        <w:t>rebates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26-</w:t>
      </w:r>
      <w:r>
        <w:rPr>
          <w:rFonts w:ascii="Arial"/>
          <w:b/>
          <w:spacing w:val="-5"/>
          <w:sz w:val="24"/>
        </w:rPr>
        <w:t>222</w:t>
      </w:r>
    </w:p>
    <w:p>
      <w:pPr>
        <w:pStyle w:val="BodyText"/>
        <w:spacing w:line="235" w:lineRule="auto" w:before="202"/>
        <w:ind w:left="165" w:right="167"/>
        <w:jc w:val="both"/>
      </w:pPr>
      <w:r>
        <w:rPr/>
        <w:t>On the basis of the approach adopted in </w:t>
      </w:r>
      <w:r>
        <w:rPr>
          <w:rFonts w:ascii="Arial" w:hAnsi="Arial"/>
          <w:i/>
        </w:rPr>
        <w:t>Gourley</w:t>
      </w:r>
      <w:r>
        <w:rPr/>
        <w:t>’s case, it has been held that in the assessment of </w:t>
      </w:r>
      <w:bookmarkStart w:name="_bookmark2660" w:id="2662"/>
      <w:bookmarkEnd w:id="2662"/>
      <w:r>
        <w:rPr/>
        <w:t>damages</w:t>
      </w:r>
      <w:r>
        <w:rPr/>
        <w:t> for wrongful dismissal, a deduction should be made for the employee’s national </w:t>
      </w:r>
      <w:r>
        <w:rPr/>
        <w:t>insurance contributions which the employer would have been obliged to deduct from the employee’s wages </w:t>
      </w:r>
      <w:r>
        <w:rPr>
          <w:color w:val="005DA1"/>
          <w:u w:val="single" w:color="005DA1"/>
          <w:vertAlign w:val="superscript"/>
        </w:rPr>
        <w:t>1409</w:t>
      </w:r>
      <w:r>
        <w:rPr>
          <w:vertAlign w:val="baseline"/>
        </w:rPr>
        <w:t>; an</w:t>
      </w:r>
      <w:r>
        <w:rPr>
          <w:spacing w:val="34"/>
          <w:vertAlign w:val="baseline"/>
        </w:rPr>
        <w:t> </w:t>
      </w:r>
      <w:r>
        <w:rPr>
          <w:vertAlign w:val="baseline"/>
        </w:rPr>
        <w:t>income</w:t>
      </w:r>
      <w:r>
        <w:rPr>
          <w:spacing w:val="34"/>
          <w:vertAlign w:val="baseline"/>
        </w:rPr>
        <w:t> </w:t>
      </w:r>
      <w:r>
        <w:rPr>
          <w:vertAlign w:val="baseline"/>
        </w:rPr>
        <w:t>tax</w:t>
      </w:r>
      <w:r>
        <w:rPr>
          <w:spacing w:val="34"/>
          <w:vertAlign w:val="baseline"/>
        </w:rPr>
        <w:t> </w:t>
      </w:r>
      <w:r>
        <w:rPr>
          <w:vertAlign w:val="baseline"/>
        </w:rPr>
        <w:t>rebate</w:t>
      </w:r>
      <w:r>
        <w:rPr>
          <w:spacing w:val="34"/>
          <w:vertAlign w:val="baseline"/>
        </w:rPr>
        <w:t> </w:t>
      </w:r>
      <w:r>
        <w:rPr>
          <w:vertAlign w:val="baseline"/>
        </w:rPr>
        <w:t>received</w:t>
      </w:r>
      <w:r>
        <w:rPr>
          <w:spacing w:val="34"/>
          <w:vertAlign w:val="baseline"/>
        </w:rPr>
        <w:t> </w:t>
      </w:r>
      <w:r>
        <w:rPr>
          <w:vertAlign w:val="baseline"/>
        </w:rPr>
        <w:t>in</w:t>
      </w:r>
      <w:r>
        <w:rPr>
          <w:spacing w:val="34"/>
          <w:vertAlign w:val="baseline"/>
        </w:rPr>
        <w:t> </w:t>
      </w:r>
      <w:r>
        <w:rPr>
          <w:vertAlign w:val="baseline"/>
        </w:rPr>
        <w:t>respect</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period</w:t>
      </w:r>
      <w:r>
        <w:rPr>
          <w:spacing w:val="34"/>
          <w:vertAlign w:val="baseline"/>
        </w:rPr>
        <w:t> </w:t>
      </w:r>
      <w:r>
        <w:rPr>
          <w:vertAlign w:val="baseline"/>
        </w:rPr>
        <w:t>of</w:t>
      </w:r>
      <w:r>
        <w:rPr>
          <w:spacing w:val="34"/>
          <w:vertAlign w:val="baseline"/>
        </w:rPr>
        <w:t> </w:t>
      </w:r>
      <w:r>
        <w:rPr>
          <w:vertAlign w:val="baseline"/>
        </w:rPr>
        <w:t>unemployment</w:t>
      </w:r>
      <w:r>
        <w:rPr>
          <w:spacing w:val="34"/>
          <w:vertAlign w:val="baseline"/>
        </w:rPr>
        <w:t> </w:t>
      </w:r>
      <w:r>
        <w:rPr>
          <w:vertAlign w:val="baseline"/>
        </w:rPr>
        <w:t>should</w:t>
      </w:r>
      <w:r>
        <w:rPr>
          <w:spacing w:val="34"/>
          <w:vertAlign w:val="baseline"/>
        </w:rPr>
        <w:t> </w:t>
      </w:r>
      <w:r>
        <w:rPr>
          <w:vertAlign w:val="baseline"/>
        </w:rPr>
        <w:t>also</w:t>
      </w:r>
      <w:r>
        <w:rPr>
          <w:spacing w:val="34"/>
          <w:vertAlign w:val="baseline"/>
        </w:rPr>
        <w:t> </w:t>
      </w:r>
      <w:r>
        <w:rPr>
          <w:vertAlign w:val="baseline"/>
        </w:rPr>
        <w:t>be</w:t>
      </w:r>
      <w:r>
        <w:rPr>
          <w:spacing w:val="34"/>
          <w:vertAlign w:val="baseline"/>
        </w:rPr>
        <w:t> </w:t>
      </w:r>
      <w:r>
        <w:rPr>
          <w:vertAlign w:val="baseline"/>
        </w:rPr>
        <w:t>taken</w:t>
      </w:r>
      <w:r>
        <w:rPr>
          <w:spacing w:val="34"/>
          <w:vertAlign w:val="baseline"/>
        </w:rPr>
        <w:t> </w:t>
      </w:r>
      <w:r>
        <w:rPr>
          <w:spacing w:val="-4"/>
          <w:vertAlign w:val="baseline"/>
        </w:rPr>
        <w:t>into</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2661" w:id="2663"/>
      <w:bookmarkEnd w:id="2663"/>
      <w:r>
        <w:rPr/>
      </w:r>
      <w:r>
        <w:rPr/>
        <w:t>account to reduce damages for loss of earnings during that period.</w:t>
      </w:r>
      <w:r>
        <w:rPr>
          <w:spacing w:val="-1"/>
        </w:rPr>
        <w:t> </w:t>
      </w:r>
      <w:r>
        <w:rPr>
          <w:color w:val="005DA1"/>
          <w:spacing w:val="-4"/>
          <w:u w:val="single" w:color="005DA1"/>
          <w:vertAlign w:val="superscript"/>
        </w:rPr>
        <w:t>1410</w:t>
      </w:r>
    </w:p>
    <w:p>
      <w:pPr>
        <w:pStyle w:val="BodyText"/>
      </w:pPr>
    </w:p>
    <w:p>
      <w:pPr>
        <w:pStyle w:val="BodyText"/>
        <w:spacing w:before="38"/>
      </w:pPr>
    </w:p>
    <w:p>
      <w:pPr>
        <w:spacing w:before="0"/>
        <w:ind w:left="165" w:right="0" w:firstLine="0"/>
        <w:jc w:val="left"/>
        <w:rPr>
          <w:rFonts w:ascii="Arial"/>
          <w:b/>
          <w:sz w:val="18"/>
        </w:rPr>
      </w:pPr>
      <w:r>
        <w:rPr>
          <w:rFonts w:ascii="Arial"/>
          <w:b/>
          <w:sz w:val="18"/>
        </w:rPr>
        <w:t>Instances where the Gourley principle is </w:t>
      </w:r>
      <w:r>
        <w:rPr>
          <w:rFonts w:ascii="Arial"/>
          <w:b/>
          <w:spacing w:val="-2"/>
          <w:sz w:val="18"/>
        </w:rPr>
        <w:t>irrelevant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223</w:t>
      </w:r>
    </w:p>
    <w:p>
      <w:pPr>
        <w:pStyle w:val="BodyText"/>
        <w:spacing w:line="235" w:lineRule="auto" w:before="203"/>
        <w:ind w:left="164" w:right="167"/>
        <w:jc w:val="both"/>
      </w:pPr>
      <w:r>
        <w:rPr/>
        <w:t>If a sum awarded as damages for loss of profit would be subject to tax in the hands of the </w:t>
      </w:r>
      <w:r>
        <w:rPr/>
        <w:t>claimant, the tax element should be ignored in assessing damages, even though the tax likely to be levied on </w:t>
      </w:r>
      <w:bookmarkStart w:name="_bookmark2662" w:id="2664"/>
      <w:bookmarkEnd w:id="2664"/>
      <w:r>
        <w:rPr/>
        <w:t>the</w:t>
      </w:r>
      <w:r>
        <w:rPr/>
        <w:t> damages may be less than that which would have been levied on the income (if it had been received). </w:t>
      </w:r>
      <w:r>
        <w:rPr>
          <w:color w:val="005DA1"/>
          <w:u w:val="single" w:color="005DA1"/>
          <w:vertAlign w:val="superscript"/>
        </w:rPr>
        <w:t>1411</w:t>
      </w:r>
      <w:r>
        <w:rPr>
          <w:color w:val="005DA1"/>
          <w:vertAlign w:val="baseline"/>
        </w:rPr>
        <w:t> </w:t>
      </w:r>
      <w:r>
        <w:rPr>
          <w:vertAlign w:val="baseline"/>
        </w:rPr>
        <w:t>The general principle is that if the sum paid as damages would have been taxable as </w:t>
      </w:r>
      <w:bookmarkStart w:name="_bookmark2663" w:id="2665"/>
      <w:bookmarkEnd w:id="2665"/>
      <w:r>
        <w:rPr>
          <w:vertAlign w:val="baseline"/>
        </w:rPr>
        <w:t>income</w:t>
      </w:r>
      <w:r>
        <w:rPr>
          <w:vertAlign w:val="baseline"/>
        </w:rPr>
        <w:t> if it had been paid by the defendant without dispute, then the damages themselves are</w:t>
      </w:r>
      <w:r>
        <w:rPr>
          <w:spacing w:val="40"/>
          <w:vertAlign w:val="baseline"/>
        </w:rPr>
        <w:t> </w:t>
      </w:r>
      <w:r>
        <w:rPr>
          <w:vertAlign w:val="baseline"/>
        </w:rPr>
        <w:t>subject to income tax. </w:t>
      </w:r>
      <w:r>
        <w:rPr>
          <w:color w:val="005DA1"/>
          <w:u w:val="single" w:color="005DA1"/>
          <w:vertAlign w:val="superscript"/>
        </w:rPr>
        <w:t>1412</w:t>
      </w:r>
      <w:r>
        <w:rPr>
          <w:color w:val="005DA1"/>
          <w:vertAlign w:val="baseline"/>
        </w:rPr>
        <w:t> </w:t>
      </w:r>
      <w:r>
        <w:rPr>
          <w:vertAlign w:val="baseline"/>
        </w:rPr>
        <w:t>Thus, in a claim against a vendor for breach of a contract to sell land, the purchaser, a dealer in real estate, was held entitled to a sum equal to the gross amount of his profit (namely, the difference between the purchase price and the market value of the land at the date of</w:t>
      </w:r>
      <w:r>
        <w:rPr>
          <w:spacing w:val="80"/>
          <w:vertAlign w:val="baseline"/>
        </w:rPr>
        <w:t> </w:t>
      </w:r>
      <w:bookmarkStart w:name="_bookmark2664" w:id="2666"/>
      <w:bookmarkEnd w:id="2666"/>
      <w:r>
        <w:rPr>
          <w:vertAlign w:val="baseline"/>
        </w:rPr>
        <w:t>the</w:t>
      </w:r>
      <w:r>
        <w:rPr>
          <w:spacing w:val="-2"/>
          <w:vertAlign w:val="baseline"/>
        </w:rPr>
        <w:t> </w:t>
      </w:r>
      <w:r>
        <w:rPr>
          <w:vertAlign w:val="baseline"/>
        </w:rPr>
        <w:t>breach)</w:t>
      </w:r>
      <w:r>
        <w:rPr>
          <w:spacing w:val="-2"/>
          <w:vertAlign w:val="baseline"/>
        </w:rPr>
        <w:t> </w:t>
      </w:r>
      <w:r>
        <w:rPr>
          <w:vertAlign w:val="baseline"/>
        </w:rPr>
        <w:t>since</w:t>
      </w:r>
      <w:r>
        <w:rPr>
          <w:spacing w:val="-2"/>
          <w:vertAlign w:val="baseline"/>
        </w:rPr>
        <w:t> </w:t>
      </w:r>
      <w:r>
        <w:rPr>
          <w:vertAlign w:val="baseline"/>
        </w:rPr>
        <w:t>any</w:t>
      </w:r>
      <w:r>
        <w:rPr>
          <w:spacing w:val="-2"/>
          <w:vertAlign w:val="baseline"/>
        </w:rPr>
        <w:t> </w:t>
      </w:r>
      <w:r>
        <w:rPr>
          <w:vertAlign w:val="baseline"/>
        </w:rPr>
        <w:t>damages</w:t>
      </w:r>
      <w:r>
        <w:rPr>
          <w:spacing w:val="-2"/>
          <w:vertAlign w:val="baseline"/>
        </w:rPr>
        <w:t> </w:t>
      </w:r>
      <w:r>
        <w:rPr>
          <w:vertAlign w:val="baseline"/>
        </w:rPr>
        <w:t>recovered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would</w:t>
      </w:r>
      <w:r>
        <w:rPr>
          <w:spacing w:val="-2"/>
          <w:vertAlign w:val="baseline"/>
        </w:rPr>
        <w:t> </w:t>
      </w:r>
      <w:r>
        <w:rPr>
          <w:vertAlign w:val="baseline"/>
        </w:rPr>
        <w:t>attract</w:t>
      </w:r>
      <w:r>
        <w:rPr>
          <w:spacing w:val="-2"/>
          <w:vertAlign w:val="baseline"/>
        </w:rPr>
        <w:t> </w:t>
      </w:r>
      <w:r>
        <w:rPr>
          <w:vertAlign w:val="baseline"/>
        </w:rPr>
        <w:t>tax</w:t>
      </w:r>
      <w:r>
        <w:rPr>
          <w:spacing w:val="-2"/>
          <w:vertAlign w:val="baseline"/>
        </w:rPr>
        <w:t> </w:t>
      </w:r>
      <w:r>
        <w:rPr>
          <w:vertAlign w:val="baseline"/>
        </w:rPr>
        <w:t>as</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profits</w:t>
      </w:r>
      <w:r>
        <w:rPr>
          <w:spacing w:val="-2"/>
          <w:vertAlign w:val="baseline"/>
        </w:rPr>
        <w:t> </w:t>
      </w:r>
      <w:r>
        <w:rPr>
          <w:vertAlign w:val="baseline"/>
        </w:rPr>
        <w:t>of</w:t>
      </w:r>
      <w:r>
        <w:rPr>
          <w:spacing w:val="-2"/>
          <w:vertAlign w:val="baseline"/>
        </w:rPr>
        <w:t> </w:t>
      </w:r>
      <w:r>
        <w:rPr>
          <w:vertAlign w:val="baseline"/>
        </w:rPr>
        <w:t>his </w:t>
      </w:r>
      <w:bookmarkStart w:name="_bookmark2665" w:id="2667"/>
      <w:bookmarkEnd w:id="2667"/>
      <w:r>
        <w:rPr>
          <w:vertAlign w:val="baseline"/>
        </w:rPr>
        <w:t>business.</w:t>
      </w:r>
      <w:r>
        <w:rPr>
          <w:vertAlign w:val="baseline"/>
        </w:rPr>
        <w:t> </w:t>
      </w:r>
      <w:r>
        <w:rPr>
          <w:color w:val="005DA1"/>
          <w:u w:val="single" w:color="005DA1"/>
          <w:vertAlign w:val="superscript"/>
        </w:rPr>
        <w:t>1413</w:t>
      </w:r>
      <w:r>
        <w:rPr>
          <w:color w:val="005DA1"/>
          <w:vertAlign w:val="baseline"/>
        </w:rPr>
        <w:t> </w:t>
      </w:r>
      <w:r>
        <w:rPr>
          <w:vertAlign w:val="baseline"/>
        </w:rPr>
        <w:t>Damages in respect of goods which constitute the claimant’s trading stock are treated as</w:t>
      </w:r>
      <w:r>
        <w:rPr>
          <w:spacing w:val="-3"/>
          <w:vertAlign w:val="baseline"/>
        </w:rPr>
        <w:t> </w:t>
      </w:r>
      <w:r>
        <w:rPr>
          <w:vertAlign w:val="baseline"/>
        </w:rPr>
        <w:t>a</w:t>
      </w:r>
      <w:r>
        <w:rPr>
          <w:spacing w:val="-3"/>
          <w:vertAlign w:val="baseline"/>
        </w:rPr>
        <w:t> </w:t>
      </w:r>
      <w:r>
        <w:rPr>
          <w:vertAlign w:val="baseline"/>
        </w:rPr>
        <w:t>taxable</w:t>
      </w:r>
      <w:r>
        <w:rPr>
          <w:spacing w:val="-3"/>
          <w:vertAlign w:val="baseline"/>
        </w:rPr>
        <w:t> </w:t>
      </w:r>
      <w:r>
        <w:rPr>
          <w:vertAlign w:val="baseline"/>
        </w:rPr>
        <w:t>revenue</w:t>
      </w:r>
      <w:r>
        <w:rPr>
          <w:spacing w:val="-3"/>
          <w:vertAlign w:val="baseline"/>
        </w:rPr>
        <w:t> </w:t>
      </w:r>
      <w:r>
        <w:rPr>
          <w:vertAlign w:val="baseline"/>
        </w:rPr>
        <w:t>receipt.</w:t>
      </w:r>
      <w:r>
        <w:rPr>
          <w:spacing w:val="-3"/>
          <w:vertAlign w:val="baseline"/>
        </w:rPr>
        <w:t> </w:t>
      </w:r>
      <w:r>
        <w:rPr>
          <w:color w:val="005DA1"/>
          <w:u w:val="single" w:color="005DA1"/>
          <w:vertAlign w:val="superscript"/>
        </w:rPr>
        <w:t>1414</w:t>
      </w:r>
      <w:r>
        <w:rPr>
          <w:color w:val="005DA1"/>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goods</w:t>
      </w:r>
      <w:r>
        <w:rPr>
          <w:spacing w:val="-3"/>
          <w:vertAlign w:val="baseline"/>
        </w:rPr>
        <w:t> </w:t>
      </w:r>
      <w:r>
        <w:rPr>
          <w:vertAlign w:val="baseline"/>
        </w:rPr>
        <w:t>would</w:t>
      </w:r>
      <w:r>
        <w:rPr>
          <w:spacing w:val="-3"/>
          <w:vertAlign w:val="baseline"/>
        </w:rPr>
        <w:t> </w:t>
      </w:r>
      <w:r>
        <w:rPr>
          <w:vertAlign w:val="baseline"/>
        </w:rPr>
        <w:t>have</w:t>
      </w:r>
      <w:r>
        <w:rPr>
          <w:spacing w:val="-3"/>
          <w:vertAlign w:val="baseline"/>
        </w:rPr>
        <w:t> </w:t>
      </w:r>
      <w:r>
        <w:rPr>
          <w:vertAlign w:val="baseline"/>
        </w:rPr>
        <w:t>represented</w:t>
      </w:r>
      <w:r>
        <w:rPr>
          <w:spacing w:val="-3"/>
          <w:vertAlign w:val="baseline"/>
        </w:rPr>
        <w:t> </w:t>
      </w:r>
      <w:r>
        <w:rPr>
          <w:vertAlign w:val="baseline"/>
        </w:rPr>
        <w:t>a</w:t>
      </w:r>
      <w:r>
        <w:rPr>
          <w:spacing w:val="-3"/>
          <w:vertAlign w:val="baseline"/>
        </w:rPr>
        <w:t> </w:t>
      </w:r>
      <w:r>
        <w:rPr>
          <w:vertAlign w:val="baseline"/>
        </w:rPr>
        <w:t>capital</w:t>
      </w:r>
      <w:r>
        <w:rPr>
          <w:spacing w:val="-3"/>
          <w:vertAlign w:val="baseline"/>
        </w:rPr>
        <w:t> </w:t>
      </w:r>
      <w:r>
        <w:rPr>
          <w:vertAlign w:val="baseline"/>
        </w:rPr>
        <w:t>asset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claimant’s hands, and the damages are in respect of their capital value, the first condition in </w:t>
      </w:r>
      <w:r>
        <w:rPr>
          <w:rFonts w:ascii="Arial" w:hAnsi="Arial"/>
          <w:i/>
          <w:vertAlign w:val="baseline"/>
        </w:rPr>
        <w:t>Gourley </w:t>
      </w:r>
      <w:r>
        <w:rPr>
          <w:vertAlign w:val="baseline"/>
        </w:rPr>
        <w:t>is not </w:t>
      </w:r>
      <w:bookmarkStart w:name="_bookmark2666" w:id="2668"/>
      <w:bookmarkEnd w:id="2668"/>
      <w:r>
        <w:rPr>
          <w:vertAlign w:val="baseline"/>
        </w:rPr>
        <w:t>satisfied;</w:t>
      </w:r>
      <w:r>
        <w:rPr>
          <w:vertAlign w:val="baseline"/>
        </w:rPr>
        <w:t> but where the claimant recovers damages for loss of use of such goods (or for interest on their</w:t>
      </w:r>
      <w:r>
        <w:rPr>
          <w:spacing w:val="-1"/>
          <w:vertAlign w:val="baseline"/>
        </w:rPr>
        <w:t> </w:t>
      </w:r>
      <w:r>
        <w:rPr>
          <w:vertAlign w:val="baseline"/>
        </w:rPr>
        <w:t>value</w:t>
      </w:r>
      <w:r>
        <w:rPr>
          <w:spacing w:val="-1"/>
          <w:vertAlign w:val="baseline"/>
        </w:rPr>
        <w:t> </w:t>
      </w:r>
      <w:r>
        <w:rPr>
          <w:color w:val="005DA1"/>
          <w:u w:val="single" w:color="005DA1"/>
          <w:vertAlign w:val="superscript"/>
        </w:rPr>
        <w:t>1415</w:t>
      </w:r>
      <w:r>
        <w:rPr>
          <w:vertAlign w:val="baseline"/>
        </w:rPr>
        <w:t>)</w:t>
      </w:r>
      <w:r>
        <w:rPr>
          <w:spacing w:val="-1"/>
          <w:vertAlign w:val="baseline"/>
        </w:rPr>
        <w:t> </w:t>
      </w:r>
      <w:r>
        <w:rPr>
          <w:vertAlign w:val="baseline"/>
        </w:rPr>
        <w:t>the</w:t>
      </w:r>
      <w:r>
        <w:rPr>
          <w:spacing w:val="-1"/>
          <w:vertAlign w:val="baseline"/>
        </w:rPr>
        <w:t> </w:t>
      </w:r>
      <w:r>
        <w:rPr>
          <w:vertAlign w:val="baseline"/>
        </w:rPr>
        <w:t>damages</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treated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trading</w:t>
      </w:r>
      <w:r>
        <w:rPr>
          <w:spacing w:val="-1"/>
          <w:vertAlign w:val="baseline"/>
        </w:rPr>
        <w:t> </w:t>
      </w:r>
      <w:r>
        <w:rPr>
          <w:vertAlign w:val="baseline"/>
        </w:rPr>
        <w:t>receipt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calculation</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trading</w:t>
      </w:r>
      <w:r>
        <w:rPr>
          <w:spacing w:val="-1"/>
          <w:vertAlign w:val="baseline"/>
        </w:rPr>
        <w:t> </w:t>
      </w:r>
      <w:r>
        <w:rPr>
          <w:vertAlign w:val="baseline"/>
        </w:rPr>
        <w:t>profits. </w:t>
      </w:r>
      <w:r>
        <w:rPr>
          <w:color w:val="005DA1"/>
          <w:u w:val="single" w:color="005DA1"/>
          <w:vertAlign w:val="superscript"/>
        </w:rPr>
        <w:t>1416</w:t>
      </w:r>
      <w:r>
        <w:rPr>
          <w:color w:val="005DA1"/>
          <w:vertAlign w:val="baseline"/>
        </w:rPr>
        <w:t> </w:t>
      </w:r>
      <w:bookmarkStart w:name="_bookmark2667" w:id="2669"/>
      <w:bookmarkEnd w:id="2669"/>
      <w:r>
        <w:rPr>
          <w:color w:val="005DA1"/>
          <w:spacing w:val="14"/>
          <w:vertAlign w:val="baseline"/>
        </w:rPr>
      </w:r>
      <w:r>
        <w:rPr>
          <w:vertAlign w:val="baseline"/>
        </w:rPr>
        <w:t>Other awards held to be taxable in the hands of the recipient were for loss of rent from a tenant </w:t>
      </w:r>
      <w:bookmarkStart w:name="_bookmark2668" w:id="2670"/>
      <w:bookmarkEnd w:id="2670"/>
      <w:r>
        <w:rPr>
          <w:vertAlign w:val="baseline"/>
        </w:rPr>
        <w:t>who</w:t>
      </w:r>
      <w:r>
        <w:rPr>
          <w:vertAlign w:val="baseline"/>
        </w:rPr>
        <w:t> failed to comply with a valid notice to quit</w:t>
      </w:r>
      <w:r>
        <w:rPr>
          <w:spacing w:val="-1"/>
          <w:vertAlign w:val="baseline"/>
        </w:rPr>
        <w:t> </w:t>
      </w:r>
      <w:r>
        <w:rPr>
          <w:color w:val="005DA1"/>
          <w:u w:val="single" w:color="005DA1"/>
          <w:vertAlign w:val="superscript"/>
        </w:rPr>
        <w:t>1417</w:t>
      </w:r>
      <w:r>
        <w:rPr>
          <w:vertAlign w:val="baseline"/>
        </w:rPr>
        <w:t>; and for damages received by a Lloyd’s Name from his agent. </w:t>
      </w:r>
      <w:r>
        <w:rPr>
          <w:color w:val="005DA1"/>
          <w:u w:val="single" w:color="005DA1"/>
          <w:vertAlign w:val="superscript"/>
        </w:rPr>
        <w:t>1418</w:t>
      </w:r>
    </w:p>
    <w:p>
      <w:pPr>
        <w:pStyle w:val="BodyText"/>
      </w:pPr>
    </w:p>
    <w:p>
      <w:pPr>
        <w:pStyle w:val="BodyText"/>
        <w:spacing w:before="32"/>
      </w:pPr>
    </w:p>
    <w:p>
      <w:pPr>
        <w:spacing w:before="0"/>
        <w:ind w:left="165" w:right="0" w:firstLine="0"/>
        <w:jc w:val="left"/>
        <w:rPr>
          <w:rFonts w:ascii="Arial"/>
          <w:b/>
          <w:sz w:val="18"/>
        </w:rPr>
      </w:pPr>
      <w:r>
        <w:rPr>
          <w:rFonts w:ascii="Arial"/>
          <w:b/>
          <w:sz w:val="18"/>
        </w:rPr>
        <w:t>Salvage </w:t>
      </w:r>
      <w:r>
        <w:rPr>
          <w:rFonts w:ascii="Arial"/>
          <w:b/>
          <w:spacing w:val="-2"/>
          <w:sz w:val="18"/>
        </w:rPr>
        <w:t>services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224</w:t>
      </w:r>
    </w:p>
    <w:p>
      <w:pPr>
        <w:pStyle w:val="BodyText"/>
        <w:spacing w:line="235" w:lineRule="auto" w:before="203"/>
        <w:ind w:left="165" w:right="167"/>
        <w:jc w:val="both"/>
      </w:pPr>
      <w:bookmarkStart w:name="_bookmark2669" w:id="2671"/>
      <w:bookmarkEnd w:id="2671"/>
      <w:r>
        <w:rPr/>
      </w:r>
      <w:r>
        <w:rPr/>
        <w:t>There are conflicting decisions of two judges at first instance on the question whether liability to tax </w:t>
      </w:r>
      <w:r>
        <w:rPr/>
        <w:t>is </w:t>
      </w:r>
      <w:bookmarkStart w:name="_bookmark2670" w:id="2672"/>
      <w:bookmarkEnd w:id="2672"/>
      <w:r>
        <w:rPr/>
        <w:t>a</w:t>
      </w:r>
      <w:r>
        <w:rPr/>
        <w:t> relevant factor in assessing an award for salvage services. </w:t>
      </w:r>
      <w:r>
        <w:rPr>
          <w:color w:val="005DA1"/>
          <w:u w:val="single" w:color="005DA1"/>
          <w:vertAlign w:val="superscript"/>
        </w:rPr>
        <w:t>1419</w:t>
      </w:r>
      <w:r>
        <w:rPr>
          <w:color w:val="005DA1"/>
          <w:vertAlign w:val="baseline"/>
        </w:rPr>
        <w:t> </w:t>
      </w:r>
      <w:r>
        <w:rPr>
          <w:vertAlign w:val="baseline"/>
        </w:rPr>
        <w:t>It is submitted that the better view is that</w:t>
      </w:r>
      <w:r>
        <w:rPr>
          <w:spacing w:val="-4"/>
          <w:vertAlign w:val="baseline"/>
        </w:rPr>
        <w:t> </w:t>
      </w:r>
      <w:r>
        <w:rPr>
          <w:color w:val="005DA1"/>
          <w:u w:val="single" w:color="005DA1"/>
          <w:vertAlign w:val="superscript"/>
        </w:rPr>
        <w:t>1420</w:t>
      </w:r>
      <w:r>
        <w:rPr>
          <w:color w:val="005DA1"/>
          <w:vertAlign w:val="baseline"/>
        </w:rPr>
        <w:t> </w:t>
      </w:r>
      <w:r>
        <w:rPr>
          <w:vertAlign w:val="baseline"/>
        </w:rPr>
        <w:t>the rule in </w:t>
      </w:r>
      <w:r>
        <w:rPr>
          <w:rFonts w:ascii="Arial" w:hAnsi="Arial"/>
          <w:i/>
          <w:vertAlign w:val="baseline"/>
        </w:rPr>
        <w:t>Gourley</w:t>
      </w:r>
      <w:r>
        <w:rPr>
          <w:rFonts w:ascii="Arial" w:hAnsi="Arial"/>
          <w:i/>
          <w:spacing w:val="-14"/>
          <w:vertAlign w:val="baseline"/>
        </w:rPr>
        <w:t> </w:t>
      </w:r>
      <w:r>
        <w:rPr>
          <w:vertAlign w:val="baseline"/>
        </w:rPr>
        <w:t>’s case (above) is only applicable to diminish an award for damages for </w:t>
      </w:r>
      <w:bookmarkStart w:name="_bookmark2671" w:id="2673"/>
      <w:bookmarkEnd w:id="2673"/>
      <w:r>
        <w:rPr>
          <w:vertAlign w:val="baseline"/>
        </w:rPr>
        <w:t>loss</w:t>
      </w:r>
      <w:r>
        <w:rPr>
          <w:vertAlign w:val="baseline"/>
        </w:rPr>
        <w:t> of personal earnings where the damages are not subject to tax, and thus not applicable to increase the assessment of a salvage award merely because the profit of the salvor is taxable. </w:t>
      </w:r>
      <w:r>
        <w:rPr>
          <w:color w:val="005DA1"/>
          <w:u w:val="single" w:color="005DA1"/>
          <w:vertAlign w:val="superscript"/>
        </w:rPr>
        <w:t>1421</w:t>
      </w:r>
    </w:p>
    <w:p>
      <w:pPr>
        <w:pStyle w:val="BodyText"/>
      </w:pPr>
    </w:p>
    <w:p>
      <w:pPr>
        <w:pStyle w:val="BodyText"/>
        <w:spacing w:before="37"/>
      </w:pPr>
    </w:p>
    <w:p>
      <w:pPr>
        <w:spacing w:before="0"/>
        <w:ind w:left="165" w:right="0" w:firstLine="0"/>
        <w:jc w:val="left"/>
        <w:rPr>
          <w:rFonts w:ascii="Arial"/>
          <w:b/>
          <w:sz w:val="18"/>
        </w:rPr>
      </w:pPr>
      <w:r>
        <w:rPr>
          <w:rFonts w:ascii="Arial"/>
          <w:b/>
          <w:sz w:val="18"/>
        </w:rPr>
        <w:t>Where both the lost earnings (or profits) and the damages are </w:t>
      </w:r>
      <w:r>
        <w:rPr>
          <w:rFonts w:ascii="Arial"/>
          <w:b/>
          <w:spacing w:val="-2"/>
          <w:sz w:val="18"/>
        </w:rPr>
        <w:t>taxable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225</w:t>
      </w:r>
    </w:p>
    <w:p>
      <w:pPr>
        <w:pStyle w:val="BodyText"/>
        <w:spacing w:line="232" w:lineRule="auto" w:before="205"/>
        <w:ind w:left="165" w:right="167"/>
        <w:jc w:val="both"/>
        <w:rPr>
          <w:sz w:val="12"/>
        </w:rPr>
      </w:pPr>
      <w:bookmarkStart w:name="_bookmark2672" w:id="2674"/>
      <w:bookmarkEnd w:id="2674"/>
      <w:r>
        <w:rPr/>
      </w:r>
      <w:r>
        <w:rPr/>
        <w:t>The Court of Appeal </w:t>
      </w:r>
      <w:r>
        <w:rPr>
          <w:color w:val="005DA1"/>
          <w:u w:val="single" w:color="005DA1"/>
          <w:vertAlign w:val="superscript"/>
        </w:rPr>
        <w:t>1422</w:t>
      </w:r>
      <w:r>
        <w:rPr>
          <w:color w:val="005DA1"/>
          <w:vertAlign w:val="baseline"/>
        </w:rPr>
        <w:t> </w:t>
      </w:r>
      <w:r>
        <w:rPr>
          <w:vertAlign w:val="baseline"/>
        </w:rPr>
        <w:t>has upheld the practice that in cases where both the lost earnings or </w:t>
      </w:r>
      <w:r>
        <w:rPr>
          <w:vertAlign w:val="baseline"/>
        </w:rPr>
        <w:t>profits and the damages to be awarded would be taxable, the incidence of taxation should be ignored. The </w:t>
      </w:r>
      <w:bookmarkStart w:name="_bookmark2673" w:id="2675"/>
      <w:bookmarkEnd w:id="2675"/>
      <w:r>
        <w:rPr>
          <w:vertAlign w:val="baseline"/>
        </w:rPr>
        <w:t>tax</w:t>
      </w:r>
      <w:r>
        <w:rPr>
          <w:vertAlign w:val="baseline"/>
        </w:rPr>
        <w:t> on the damages is left to be set off against the tax on the lost earnings or profits; “rough justice is </w:t>
      </w:r>
      <w:bookmarkStart w:name="_bookmark2674" w:id="2676"/>
      <w:bookmarkEnd w:id="2676"/>
      <w:r>
        <w:rPr>
          <w:vertAlign w:val="baseline"/>
        </w:rPr>
        <w:t>done</w:t>
      </w:r>
      <w:r>
        <w:rPr>
          <w:vertAlign w:val="baseline"/>
        </w:rPr>
        <w:t> and a great expenditure of time and costs is saved by ignoring the tax on both sides” </w:t>
      </w:r>
      <w:r>
        <w:rPr>
          <w:color w:val="005DA1"/>
          <w:u w:val="single" w:color="005DA1"/>
          <w:vertAlign w:val="superscript"/>
        </w:rPr>
        <w:t>1423</w:t>
      </w:r>
      <w:r>
        <w:rPr>
          <w:color w:val="005DA1"/>
          <w:vertAlign w:val="baseline"/>
        </w:rPr>
        <w:t> </w:t>
      </w:r>
      <w:r>
        <w:rPr>
          <w:vertAlign w:val="baseline"/>
        </w:rPr>
        <w:t>even though the actual amounts of tax, if calculated precisely, might differ widely. </w:t>
      </w:r>
      <w:r>
        <w:rPr>
          <w:color w:val="005DA1"/>
          <w:u w:val="single" w:color="005DA1"/>
          <w:vertAlign w:val="superscript"/>
        </w:rPr>
        <w:t>1424</w:t>
      </w:r>
      <w:r>
        <w:rPr>
          <w:color w:val="005DA1"/>
          <w:vertAlign w:val="baseline"/>
        </w:rPr>
        <w:t> </w:t>
      </w:r>
      <w:r>
        <w:rPr>
          <w:vertAlign w:val="baseline"/>
        </w:rPr>
        <w:t>However, one judge </w:t>
      </w:r>
      <w:bookmarkStart w:name="_bookmark2675" w:id="2677"/>
      <w:bookmarkEnd w:id="2677"/>
      <w:r>
        <w:rPr>
          <w:vertAlign w:val="baseline"/>
        </w:rPr>
        <w:t>has</w:t>
      </w:r>
      <w:r>
        <w:rPr>
          <w:vertAlign w:val="baseline"/>
        </w:rPr>
        <w:t> considered the incidence of taxation on both sides, in a commercial case where failure to do so would have given the plaintiff substantially more than his actual loss. </w:t>
      </w:r>
      <w:r>
        <w:rPr>
          <w:color w:val="005DA1"/>
          <w:u w:val="single" w:color="005DA1"/>
          <w:vertAlign w:val="superscript"/>
        </w:rPr>
        <w:t>1425</w:t>
      </w:r>
      <w:r>
        <w:rPr>
          <w:color w:val="005DA1"/>
          <w:vertAlign w:val="baseline"/>
        </w:rPr>
        <w:t> </w:t>
      </w:r>
      <w:r>
        <w:rPr>
          <w:vertAlign w:val="baseline"/>
        </w:rPr>
        <w:t>In some instances the court </w:t>
      </w:r>
      <w:bookmarkStart w:name="_bookmark2676" w:id="2678"/>
      <w:bookmarkEnd w:id="2678"/>
      <w:r>
        <w:rPr>
          <w:vertAlign w:val="baseline"/>
        </w:rPr>
        <w:t>has</w:t>
      </w:r>
      <w:r>
        <w:rPr>
          <w:vertAlign w:val="baseline"/>
        </w:rPr>
        <w:t> divided the award of damages into two separate elements, one being taxable while the other is </w:t>
      </w:r>
      <w:r>
        <w:rPr>
          <w:position w:val="-9"/>
          <w:vertAlign w:val="baseline"/>
        </w:rPr>
        <w:t>not. </w:t>
      </w:r>
      <w:r>
        <w:rPr>
          <w:color w:val="005DA1"/>
          <w:sz w:val="12"/>
          <w:u w:val="single" w:color="005DA1"/>
          <w:vertAlign w:val="baseline"/>
        </w:rPr>
        <w:t>1426</w:t>
      </w:r>
    </w:p>
    <w:p>
      <w:pPr>
        <w:pStyle w:val="BodyText"/>
      </w:pPr>
    </w:p>
    <w:p>
      <w:pPr>
        <w:pStyle w:val="BodyText"/>
        <w:spacing w:before="28"/>
      </w:pPr>
    </w:p>
    <w:p>
      <w:pPr>
        <w:spacing w:before="1"/>
        <w:ind w:left="165" w:right="0" w:firstLine="0"/>
        <w:jc w:val="left"/>
        <w:rPr>
          <w:rFonts w:ascii="Arial"/>
          <w:b/>
          <w:sz w:val="18"/>
        </w:rPr>
      </w:pPr>
      <w:r>
        <w:rPr>
          <w:rFonts w:ascii="Arial"/>
          <w:b/>
          <w:sz w:val="18"/>
        </w:rPr>
        <w:t>Capital gains </w:t>
      </w:r>
      <w:r>
        <w:rPr>
          <w:rFonts w:ascii="Arial"/>
          <w:b/>
          <w:spacing w:val="-5"/>
          <w:sz w:val="18"/>
        </w:rPr>
        <w:t>tax</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226</w:t>
      </w:r>
    </w:p>
    <w:p>
      <w:pPr>
        <w:pStyle w:val="BodyText"/>
        <w:spacing w:line="235" w:lineRule="auto" w:before="203"/>
        <w:ind w:left="165" w:right="167"/>
        <w:jc w:val="both"/>
      </w:pPr>
      <w:bookmarkStart w:name="_bookmark2677" w:id="2679"/>
      <w:bookmarkEnd w:id="2679"/>
      <w:r>
        <w:rPr/>
      </w:r>
      <w:r>
        <w:rPr/>
        <w:t>Capital gains tax is charged upon gains accruing to a person on the disposal of assets. </w:t>
      </w:r>
      <w:r>
        <w:rPr>
          <w:color w:val="005DA1"/>
          <w:u w:val="single" w:color="005DA1"/>
          <w:vertAlign w:val="superscript"/>
        </w:rPr>
        <w:t>1427</w:t>
      </w:r>
      <w:r>
        <w:rPr>
          <w:color w:val="005DA1"/>
          <w:vertAlign w:val="baseline"/>
        </w:rPr>
        <w:t> </w:t>
      </w:r>
      <w:r>
        <w:rPr>
          <w:vertAlign w:val="baseline"/>
        </w:rPr>
        <w:t>The list </w:t>
      </w:r>
      <w:r>
        <w:rPr>
          <w:vertAlign w:val="baseline"/>
        </w:rPr>
        <w:t>of </w:t>
      </w:r>
      <w:bookmarkStart w:name="_bookmark2678" w:id="2680"/>
      <w:bookmarkEnd w:id="2680"/>
      <w:r>
        <w:rPr>
          <w:vertAlign w:val="baseline"/>
        </w:rPr>
        <w:t>types</w:t>
      </w:r>
      <w:r>
        <w:rPr>
          <w:vertAlign w:val="baseline"/>
        </w:rPr>
        <w:t> of property subject to capital gains tax includes: “21(1)(a) options, debts and incorporeal property generally” (which is wide enough to cover rights of action </w:t>
      </w:r>
      <w:r>
        <w:rPr>
          <w:color w:val="005DA1"/>
          <w:u w:val="single" w:color="005DA1"/>
          <w:vertAlign w:val="superscript"/>
        </w:rPr>
        <w:t>1428</w:t>
      </w:r>
      <w:r>
        <w:rPr>
          <w:vertAlign w:val="baseline"/>
        </w:rPr>
        <w:t>); and:</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“22(1)(a) [C]apital sums received by way of compensation for any kind of damage or</w:t>
      </w:r>
      <w:r>
        <w:rPr>
          <w:spacing w:val="40"/>
        </w:rPr>
        <w:t> </w:t>
      </w:r>
      <w:r>
        <w:rPr/>
        <w:t>injury to assets or for the loss, destruction or dissipation of assets or for any </w:t>
      </w:r>
      <w:r>
        <w:rPr/>
        <w:t>depreciation or risk of depreciation of an asset.”</w:t>
      </w:r>
    </w:p>
    <w:p>
      <w:pPr>
        <w:pStyle w:val="BodyText"/>
        <w:spacing w:before="115"/>
      </w:pPr>
    </w:p>
    <w:p>
      <w:pPr>
        <w:pStyle w:val="BodyText"/>
        <w:spacing w:line="235" w:lineRule="auto" w:before="1"/>
        <w:ind w:left="164" w:right="167"/>
        <w:jc w:val="both"/>
      </w:pPr>
      <w:bookmarkStart w:name="_bookmark2679" w:id="2681"/>
      <w:bookmarkEnd w:id="2681"/>
      <w:r>
        <w:rPr/>
      </w:r>
      <w:bookmarkStart w:name="_bookmark2680" w:id="2682"/>
      <w:bookmarkEnd w:id="2682"/>
      <w:r>
        <w:rPr/>
      </w:r>
      <w:r>
        <w:rPr/>
        <w:t>Many instances of the receipt of damages in contract will therefore be liable to capital gains tax </w:t>
      </w:r>
      <w:r>
        <w:rPr>
          <w:color w:val="005DA1"/>
          <w:u w:val="single" w:color="005DA1"/>
          <w:vertAlign w:val="superscript"/>
        </w:rPr>
        <w:t>1429</w:t>
      </w:r>
      <w:r>
        <w:rPr>
          <w:color w:val="005DA1"/>
          <w:vertAlign w:val="baseline"/>
        </w:rPr>
        <w:t> </w:t>
      </w:r>
      <w:r>
        <w:rPr>
          <w:vertAlign w:val="baseline"/>
        </w:rPr>
        <w:t>and so the </w:t>
      </w:r>
      <w:r>
        <w:rPr>
          <w:rFonts w:ascii="Arial"/>
          <w:i/>
          <w:vertAlign w:val="baseline"/>
        </w:rPr>
        <w:t>Gourley </w:t>
      </w:r>
      <w:r>
        <w:rPr>
          <w:vertAlign w:val="baseline"/>
        </w:rPr>
        <w:t>principle will not apply. </w:t>
      </w:r>
      <w:r>
        <w:rPr>
          <w:color w:val="005DA1"/>
          <w:u w:val="single" w:color="005DA1"/>
          <w:vertAlign w:val="superscript"/>
        </w:rPr>
        <w:t>1430</w:t>
      </w:r>
      <w:r>
        <w:rPr>
          <w:color w:val="005DA1"/>
          <w:vertAlign w:val="baseline"/>
        </w:rPr>
        <w:t> </w:t>
      </w:r>
      <w:r>
        <w:rPr>
          <w:vertAlign w:val="baseline"/>
        </w:rPr>
        <w:t>There is a wider ground, for it seems that whenever</w:t>
      </w:r>
      <w:r>
        <w:rPr>
          <w:spacing w:val="40"/>
          <w:vertAlign w:val="baseline"/>
        </w:rPr>
        <w:t> </w:t>
      </w:r>
      <w:bookmarkStart w:name="_bookmark2681" w:id="2683"/>
      <w:bookmarkEnd w:id="2683"/>
      <w:r>
        <w:rPr>
          <w:vertAlign w:val="baseline"/>
        </w:rPr>
        <w:t>the</w:t>
      </w:r>
      <w:r>
        <w:rPr>
          <w:vertAlign w:val="baseline"/>
        </w:rPr>
        <w:t> asset lost by the claimant would have been subject to capital gains tax, the damages recovered</w:t>
      </w:r>
      <w:r>
        <w:rPr>
          <w:spacing w:val="40"/>
          <w:vertAlign w:val="baseline"/>
        </w:rPr>
        <w:t> </w:t>
      </w:r>
      <w:r>
        <w:rPr>
          <w:vertAlign w:val="baseline"/>
        </w:rPr>
        <w:t>by him in respect of its value will also be subject to the tax. </w:t>
      </w:r>
      <w:r>
        <w:rPr>
          <w:color w:val="005DA1"/>
          <w:u w:val="single" w:color="005DA1"/>
          <w:vertAlign w:val="superscript"/>
        </w:rPr>
        <w:t>1431</w:t>
      </w:r>
      <w:r>
        <w:rPr>
          <w:color w:val="005DA1"/>
          <w:vertAlign w:val="baseline"/>
        </w:rPr>
        <w:t> </w:t>
      </w:r>
      <w:r>
        <w:rPr>
          <w:vertAlign w:val="baseline"/>
        </w:rPr>
        <w:t>However, the Act provides </w:t>
      </w:r>
      <w:r>
        <w:rPr>
          <w:color w:val="005DA1"/>
          <w:u w:val="single" w:color="005DA1"/>
          <w:vertAlign w:val="superscript"/>
        </w:rPr>
        <w:t>1432</w:t>
      </w:r>
      <w:r>
        <w:rPr>
          <w:color w:val="005DA1"/>
          <w:vertAlign w:val="baseline"/>
        </w:rPr>
        <w:t> </w:t>
      </w:r>
      <w:r>
        <w:rPr>
          <w:vertAlign w:val="baseline"/>
        </w:rPr>
        <w:t>that:</w:t>
      </w:r>
    </w:p>
    <w:p>
      <w:pPr>
        <w:pStyle w:val="BodyText"/>
      </w:pPr>
    </w:p>
    <w:p>
      <w:pPr>
        <w:pStyle w:val="BodyText"/>
        <w:spacing w:before="125"/>
      </w:pPr>
    </w:p>
    <w:p>
      <w:pPr>
        <w:pStyle w:val="BodyText"/>
        <w:spacing w:line="235" w:lineRule="auto"/>
        <w:ind w:left="1245" w:right="167"/>
        <w:jc w:val="both"/>
      </w:pPr>
      <w:r>
        <w:rPr/>
        <w:t>“… sums obtained by way of compensation or damages for any wrong or injury </w:t>
      </w:r>
      <w:r>
        <w:rPr/>
        <w:t>suffered by an individual in his person or in his profession or vocation are not chargeable gains”,”</w:t>
      </w:r>
    </w:p>
    <w:p>
      <w:pPr>
        <w:pStyle w:val="BodyText"/>
        <w:spacing w:before="116"/>
      </w:pPr>
    </w:p>
    <w:p>
      <w:pPr>
        <w:pStyle w:val="BodyText"/>
        <w:spacing w:line="235" w:lineRule="auto"/>
        <w:ind w:left="165" w:right="167"/>
        <w:jc w:val="both"/>
      </w:pPr>
      <w:r>
        <w:rPr/>
        <w:t>for the purposes of the taxation of capital gains. This provision exempts many heads of damages in tort from the new tax but it is conceivable that the words “any wrong … suffered by an individual … </w:t>
      </w:r>
      <w:r>
        <w:rPr/>
        <w:t>in </w:t>
      </w:r>
      <w:bookmarkStart w:name="_bookmark2682" w:id="2684"/>
      <w:bookmarkEnd w:id="2684"/>
      <w:r>
        <w:rPr/>
        <w:t>his</w:t>
      </w:r>
      <w:r>
        <w:rPr/>
        <w:t> profession or vocation” could apply to some damages in contract, unless it is held that no breach of contract is a “wrong” in this context. </w:t>
      </w:r>
      <w:r>
        <w:rPr>
          <w:color w:val="005DA1"/>
          <w:u w:val="single" w:color="005DA1"/>
          <w:vertAlign w:val="superscript"/>
        </w:rPr>
        <w:t>1433</w:t>
      </w:r>
    </w:p>
    <w:p>
      <w:pPr>
        <w:pStyle w:val="BodyText"/>
      </w:pPr>
    </w:p>
    <w:p>
      <w:pPr>
        <w:pStyle w:val="BodyText"/>
        <w:spacing w:before="38"/>
      </w:pPr>
      <w:r>
        <w:rPr/>
        <mc:AlternateContent>
          <mc:Choice Requires="wps">
            <w:drawing>
              <wp:anchor distT="0" distB="0" distL="0" distR="0" allowOverlap="1" layoutInCell="1" locked="0" behindDoc="1" simplePos="0" relativeHeight="487746048">
                <wp:simplePos x="0" y="0"/>
                <wp:positionH relativeFrom="page">
                  <wp:posOffset>914400</wp:posOffset>
                </wp:positionH>
                <wp:positionV relativeFrom="paragraph">
                  <wp:posOffset>185799</wp:posOffset>
                </wp:positionV>
                <wp:extent cx="5724525" cy="1270"/>
                <wp:effectExtent l="0" t="0" r="0" b="0"/>
                <wp:wrapTopAndBottom/>
                <wp:docPr id="1309" name="Graphic 1309"/>
                <wp:cNvGraphicFramePr>
                  <a:graphicFrameLocks/>
                </wp:cNvGraphicFramePr>
                <a:graphic>
                  <a:graphicData uri="http://schemas.microsoft.com/office/word/2010/wordprocessingShape">
                    <wps:wsp>
                      <wps:cNvPr id="1309" name="Graphic 130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9918pt;width:450.75pt;height:.1pt;mso-position-horizontal-relative:page;mso-position-vertical-relative:paragraph;z-index:-15570432;mso-wrap-distance-left:0;mso-wrap-distance-right:0" id="docshape12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2683" w:id="2685"/>
      <w:bookmarkEnd w:id="2685"/>
      <w:r>
        <w:rPr/>
      </w:r>
      <w:hyperlink w:history="true" w:anchor="_bookmark2632">
        <w:r>
          <w:rPr>
            <w:color w:val="005DA1"/>
            <w:position w:val="5"/>
            <w:sz w:val="14"/>
            <w:u w:val="single" w:color="005DA1"/>
          </w:rPr>
          <w:t>1378</w:t>
        </w:r>
      </w:hyperlink>
      <w:r>
        <w:rPr>
          <w:position w:val="5"/>
          <w:sz w:val="14"/>
        </w:rPr>
        <w:t>.</w:t>
      </w:r>
      <w:r>
        <w:rPr>
          <w:spacing w:val="80"/>
          <w:position w:val="5"/>
          <w:sz w:val="14"/>
        </w:rPr>
        <w:t> </w:t>
      </w:r>
      <w:r>
        <w:rPr/>
        <w:t>Whiteman and Sherry on Income Tax, 4th edn (2010), paras 24.01 et seq.; Simon’s Taxes,</w:t>
      </w:r>
      <w:r>
        <w:rPr>
          <w:spacing w:val="40"/>
        </w:rPr>
        <w:t> </w:t>
      </w:r>
      <w:r>
        <w:rPr/>
        <w:t>paras E4.831-E4.836. See the Seventh Report of the Law Reform Committee, Effect of Tax Liability</w:t>
      </w:r>
      <w:r>
        <w:rPr>
          <w:spacing w:val="32"/>
        </w:rPr>
        <w:t> </w:t>
      </w:r>
      <w:r>
        <w:rPr/>
        <w:t>on</w:t>
      </w:r>
      <w:r>
        <w:rPr>
          <w:spacing w:val="32"/>
        </w:rPr>
        <w:t> </w:t>
      </w:r>
      <w:r>
        <w:rPr/>
        <w:t>Damages,</w:t>
      </w:r>
      <w:r>
        <w:rPr>
          <w:spacing w:val="32"/>
        </w:rPr>
        <w:t> </w:t>
      </w:r>
      <w:r>
        <w:rPr/>
        <w:t>1958,</w:t>
      </w:r>
      <w:r>
        <w:rPr>
          <w:spacing w:val="32"/>
        </w:rPr>
        <w:t> </w:t>
      </w:r>
      <w:r>
        <w:rPr/>
        <w:t>Cmnd.501;</w:t>
      </w:r>
      <w:r>
        <w:rPr>
          <w:spacing w:val="32"/>
        </w:rPr>
        <w:t> </w:t>
      </w:r>
      <w:r>
        <w:rPr/>
        <w:t>Stevenson</w:t>
      </w:r>
      <w:r>
        <w:rPr>
          <w:spacing w:val="32"/>
        </w:rPr>
        <w:t> </w:t>
      </w:r>
      <w:r>
        <w:rPr/>
        <w:t>and</w:t>
      </w:r>
      <w:r>
        <w:rPr>
          <w:spacing w:val="32"/>
        </w:rPr>
        <w:t> </w:t>
      </w:r>
      <w:r>
        <w:rPr/>
        <w:t>Orr</w:t>
      </w:r>
      <w:r>
        <w:rPr>
          <w:spacing w:val="32"/>
        </w:rPr>
        <w:t> </w:t>
      </w:r>
      <w:r>
        <w:rPr/>
        <w:t>[1956]</w:t>
      </w:r>
      <w:r>
        <w:rPr>
          <w:spacing w:val="32"/>
        </w:rPr>
        <w:t> </w:t>
      </w:r>
      <w:r>
        <w:rPr/>
        <w:t>B.T.R.</w:t>
      </w:r>
      <w:r>
        <w:rPr>
          <w:spacing w:val="32"/>
        </w:rPr>
        <w:t> </w:t>
      </w:r>
      <w:r>
        <w:rPr/>
        <w:t>1;</w:t>
      </w:r>
      <w:r>
        <w:rPr>
          <w:spacing w:val="32"/>
        </w:rPr>
        <w:t> </w:t>
      </w:r>
      <w:r>
        <w:rPr/>
        <w:t>Dworkin</w:t>
      </w:r>
      <w:r>
        <w:rPr>
          <w:spacing w:val="32"/>
        </w:rPr>
        <w:t> </w:t>
      </w:r>
      <w:r>
        <w:rPr>
          <w:spacing w:val="-2"/>
        </w:rPr>
        <w:t>[1967]</w:t>
      </w:r>
    </w:p>
    <w:p>
      <w:pPr>
        <w:pStyle w:val="BodyText"/>
        <w:spacing w:line="225" w:lineRule="exact"/>
        <w:ind w:left="705"/>
        <w:jc w:val="both"/>
      </w:pPr>
      <w:r>
        <w:rPr/>
        <w:t>B.T.R. 315, </w:t>
      </w:r>
      <w:r>
        <w:rPr>
          <w:spacing w:val="-4"/>
        </w:rPr>
        <w:t>373.</w:t>
      </w:r>
    </w:p>
    <w:p>
      <w:pPr>
        <w:pStyle w:val="BodyText"/>
        <w:spacing w:before="5"/>
      </w:pPr>
    </w:p>
    <w:p>
      <w:pPr>
        <w:spacing w:before="0"/>
        <w:ind w:left="165" w:right="0" w:firstLine="0"/>
        <w:jc w:val="left"/>
        <w:rPr>
          <w:sz w:val="20"/>
        </w:rPr>
      </w:pPr>
      <w:bookmarkStart w:name="_bookmark2684" w:id="2686"/>
      <w:bookmarkEnd w:id="2686"/>
      <w:r>
        <w:rPr/>
      </w:r>
      <w:hyperlink w:history="true" w:anchor="_bookmark2633">
        <w:r>
          <w:rPr>
            <w:color w:val="005DA1"/>
            <w:position w:val="5"/>
            <w:sz w:val="14"/>
            <w:u w:val="single" w:color="005DA1"/>
          </w:rPr>
          <w:t>1379</w:t>
        </w:r>
      </w:hyperlink>
      <w:r>
        <w:rPr>
          <w:position w:val="5"/>
          <w:sz w:val="14"/>
        </w:rPr>
        <w:t>.</w:t>
      </w:r>
      <w:r>
        <w:rPr>
          <w:spacing w:val="55"/>
          <w:position w:val="5"/>
          <w:sz w:val="14"/>
        </w:rPr>
        <w:t>  </w:t>
      </w:r>
      <w:r>
        <w:rPr>
          <w:rFonts w:ascii="Arial"/>
          <w:i/>
          <w:sz w:val="20"/>
        </w:rPr>
        <w:t>[1956]</w:t>
      </w:r>
      <w:r>
        <w:rPr>
          <w:rFonts w:ascii="Arial"/>
          <w:i/>
          <w:spacing w:val="1"/>
          <w:sz w:val="20"/>
        </w:rPr>
        <w:t> </w:t>
      </w:r>
      <w:r>
        <w:rPr>
          <w:rFonts w:ascii="Arial"/>
          <w:i/>
          <w:sz w:val="20"/>
        </w:rPr>
        <w:t>A.C. </w:t>
      </w:r>
      <w:r>
        <w:rPr>
          <w:rFonts w:ascii="Arial"/>
          <w:i/>
          <w:spacing w:val="-4"/>
          <w:sz w:val="20"/>
        </w:rPr>
        <w:t>185</w:t>
      </w:r>
      <w:r>
        <w:rPr>
          <w:spacing w:val="-4"/>
          <w:sz w:val="20"/>
        </w:rPr>
        <w:t>.</w:t>
      </w:r>
    </w:p>
    <w:p>
      <w:pPr>
        <w:pStyle w:val="BodyText"/>
        <w:spacing w:before="9"/>
      </w:pPr>
    </w:p>
    <w:p>
      <w:pPr>
        <w:spacing w:line="235" w:lineRule="auto" w:before="0"/>
        <w:ind w:left="705" w:right="167" w:hanging="541"/>
        <w:jc w:val="both"/>
        <w:rPr>
          <w:sz w:val="20"/>
        </w:rPr>
      </w:pPr>
      <w:bookmarkStart w:name="_bookmark2685" w:id="2687"/>
      <w:bookmarkEnd w:id="2687"/>
      <w:r>
        <w:rPr/>
      </w:r>
      <w:hyperlink w:history="true" w:anchor="_bookmark2634">
        <w:r>
          <w:rPr>
            <w:color w:val="005DA1"/>
            <w:position w:val="5"/>
            <w:sz w:val="14"/>
            <w:u w:val="single" w:color="005DA1"/>
          </w:rPr>
          <w:t>1380</w:t>
        </w:r>
      </w:hyperlink>
      <w:r>
        <w:rPr>
          <w:position w:val="5"/>
          <w:sz w:val="14"/>
        </w:rPr>
        <w:t>.</w:t>
      </w:r>
      <w:r>
        <w:rPr>
          <w:spacing w:val="80"/>
          <w:position w:val="5"/>
          <w:sz w:val="14"/>
        </w:rPr>
        <w:t> </w:t>
      </w:r>
      <w:r>
        <w:rPr>
          <w:sz w:val="20"/>
        </w:rPr>
        <w:t>The defendant must show that the second condition is satisfied: </w:t>
      </w:r>
      <w:r>
        <w:rPr>
          <w:rFonts w:ascii="Arial"/>
          <w:i/>
          <w:sz w:val="20"/>
        </w:rPr>
        <w:t>Stoke-on-Trent City Council v Wood Mitchell &amp; Co Ltd [1980] 1 W.L.R. 254</w:t>
      </w:r>
      <w:r>
        <w:rPr>
          <w:sz w:val="20"/>
        </w:rPr>
        <w:t>. (This was not a contract case.) Then the onus of proof is on the claimant to prove his damage, and thus to show that the first condition </w:t>
      </w:r>
      <w:r>
        <w:rPr>
          <w:sz w:val="20"/>
        </w:rPr>
        <w:t>is inapplicable: </w:t>
      </w:r>
      <w:r>
        <w:rPr>
          <w:rFonts w:ascii="Arial"/>
          <w:i/>
          <w:sz w:val="20"/>
        </w:rPr>
        <w:t>Hall v Pearlberg [1956] 1 W.L.R. 244</w:t>
      </w:r>
      <w:r>
        <w:rPr>
          <w:sz w:val="20"/>
        </w:rPr>
        <w:t>.</w:t>
      </w:r>
    </w:p>
    <w:p>
      <w:pPr>
        <w:pStyle w:val="BodyText"/>
        <w:spacing w:before="8"/>
      </w:pPr>
    </w:p>
    <w:p>
      <w:pPr>
        <w:spacing w:line="235" w:lineRule="auto" w:before="0"/>
        <w:ind w:left="705" w:right="167" w:hanging="541"/>
        <w:jc w:val="both"/>
        <w:rPr>
          <w:rFonts w:ascii="Arial"/>
          <w:i/>
          <w:sz w:val="20"/>
        </w:rPr>
      </w:pPr>
      <w:bookmarkStart w:name="_bookmark2686" w:id="2688"/>
      <w:bookmarkEnd w:id="2688"/>
      <w:r>
        <w:rPr/>
      </w:r>
      <w:hyperlink w:history="true" w:anchor="_bookmark2635">
        <w:r>
          <w:rPr>
            <w:color w:val="005DA1"/>
            <w:position w:val="5"/>
            <w:sz w:val="14"/>
            <w:u w:val="single" w:color="005DA1"/>
          </w:rPr>
          <w:t>1381</w:t>
        </w:r>
      </w:hyperlink>
      <w:r>
        <w:rPr>
          <w:position w:val="5"/>
          <w:sz w:val="14"/>
        </w:rPr>
        <w:t>.</w:t>
      </w:r>
      <w:r>
        <w:rPr>
          <w:spacing w:val="80"/>
          <w:position w:val="5"/>
          <w:sz w:val="14"/>
        </w:rPr>
        <w:t> </w:t>
      </w:r>
      <w:r>
        <w:rPr>
          <w:sz w:val="20"/>
        </w:rPr>
        <w:t>Thus where the claimant is deprived of a capital asset and his damages represent its </w:t>
      </w:r>
      <w:r>
        <w:rPr>
          <w:sz w:val="20"/>
        </w:rPr>
        <w:t>capital value, no question of income tax arises unless he also claims for loss of profits: cf. </w:t>
      </w:r>
      <w:r>
        <w:rPr>
          <w:rFonts w:ascii="Arial"/>
          <w:i/>
          <w:sz w:val="20"/>
        </w:rPr>
        <w:t>Hall v Pearlberg</w:t>
      </w:r>
      <w:r>
        <w:rPr>
          <w:rFonts w:ascii="Arial"/>
          <w:i/>
          <w:spacing w:val="19"/>
          <w:sz w:val="20"/>
        </w:rPr>
        <w:t> </w:t>
      </w:r>
      <w:r>
        <w:rPr>
          <w:rFonts w:ascii="Arial"/>
          <w:i/>
          <w:sz w:val="20"/>
        </w:rPr>
        <w:t>[1956]</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244</w:t>
      </w:r>
      <w:r>
        <w:rPr>
          <w:sz w:val="20"/>
        </w:rPr>
        <w:t>;</w:t>
      </w:r>
      <w:r>
        <w:rPr>
          <w:spacing w:val="20"/>
          <w:sz w:val="20"/>
        </w:rPr>
        <w:t> </w:t>
      </w:r>
      <w:r>
        <w:rPr>
          <w:rFonts w:ascii="Arial"/>
          <w:i/>
          <w:sz w:val="20"/>
        </w:rPr>
        <w:t>Sykes</w:t>
      </w:r>
      <w:r>
        <w:rPr>
          <w:rFonts w:ascii="Arial"/>
          <w:i/>
          <w:spacing w:val="20"/>
          <w:sz w:val="20"/>
        </w:rPr>
        <w:t> </w:t>
      </w:r>
      <w:r>
        <w:rPr>
          <w:rFonts w:ascii="Arial"/>
          <w:i/>
          <w:sz w:val="20"/>
        </w:rPr>
        <w:t>v</w:t>
      </w:r>
      <w:r>
        <w:rPr>
          <w:rFonts w:ascii="Arial"/>
          <w:i/>
          <w:spacing w:val="20"/>
          <w:sz w:val="20"/>
        </w:rPr>
        <w:t> </w:t>
      </w:r>
      <w:r>
        <w:rPr>
          <w:rFonts w:ascii="Arial"/>
          <w:i/>
          <w:sz w:val="20"/>
        </w:rPr>
        <w:t>Midland</w:t>
      </w:r>
      <w:r>
        <w:rPr>
          <w:rFonts w:ascii="Arial"/>
          <w:i/>
          <w:spacing w:val="20"/>
          <w:sz w:val="20"/>
        </w:rPr>
        <w:t> </w:t>
      </w:r>
      <w:r>
        <w:rPr>
          <w:rFonts w:ascii="Arial"/>
          <w:i/>
          <w:sz w:val="20"/>
        </w:rPr>
        <w:t>Bank</w:t>
      </w:r>
      <w:r>
        <w:rPr>
          <w:rFonts w:ascii="Arial"/>
          <w:i/>
          <w:spacing w:val="20"/>
          <w:sz w:val="20"/>
        </w:rPr>
        <w:t> </w:t>
      </w:r>
      <w:r>
        <w:rPr>
          <w:rFonts w:ascii="Arial"/>
          <w:i/>
          <w:sz w:val="20"/>
        </w:rPr>
        <w:t>Executor</w:t>
      </w:r>
      <w:r>
        <w:rPr>
          <w:rFonts w:ascii="Arial"/>
          <w:i/>
          <w:spacing w:val="20"/>
          <w:sz w:val="20"/>
        </w:rPr>
        <w:t> </w:t>
      </w:r>
      <w:r>
        <w:rPr>
          <w:rFonts w:ascii="Arial"/>
          <w:i/>
          <w:sz w:val="20"/>
        </w:rPr>
        <w:t>and</w:t>
      </w:r>
      <w:r>
        <w:rPr>
          <w:rFonts w:ascii="Arial"/>
          <w:i/>
          <w:spacing w:val="20"/>
          <w:sz w:val="20"/>
        </w:rPr>
        <w:t> </w:t>
      </w:r>
      <w:r>
        <w:rPr>
          <w:rFonts w:ascii="Arial"/>
          <w:i/>
          <w:sz w:val="20"/>
        </w:rPr>
        <w:t>Trustee</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[1969]</w:t>
      </w:r>
      <w:r>
        <w:rPr>
          <w:rFonts w:ascii="Arial"/>
          <w:i/>
          <w:spacing w:val="20"/>
          <w:sz w:val="20"/>
        </w:rPr>
        <w:t> </w:t>
      </w:r>
      <w:r>
        <w:rPr>
          <w:rFonts w:ascii="Arial"/>
          <w:i/>
          <w:spacing w:val="-10"/>
          <w:sz w:val="20"/>
        </w:rPr>
        <w:t>2</w:t>
      </w:r>
    </w:p>
    <w:p>
      <w:pPr>
        <w:spacing w:line="235" w:lineRule="auto" w:before="0"/>
        <w:ind w:left="705" w:right="168" w:firstLine="0"/>
        <w:jc w:val="both"/>
        <w:rPr>
          <w:sz w:val="20"/>
        </w:rPr>
      </w:pPr>
      <w:r>
        <w:rPr>
          <w:rFonts w:ascii="Arial" w:hAnsi="Arial"/>
          <w:i/>
          <w:sz w:val="20"/>
        </w:rPr>
        <w:t>Q.B.</w:t>
      </w:r>
      <w:r>
        <w:rPr>
          <w:rFonts w:ascii="Arial" w:hAnsi="Arial"/>
          <w:i/>
          <w:spacing w:val="40"/>
          <w:sz w:val="20"/>
        </w:rPr>
        <w:t> </w:t>
      </w:r>
      <w:r>
        <w:rPr>
          <w:rFonts w:ascii="Arial" w:hAnsi="Arial"/>
          <w:i/>
          <w:sz w:val="20"/>
        </w:rPr>
        <w:t>518,</w:t>
      </w:r>
      <w:r>
        <w:rPr>
          <w:rFonts w:ascii="Arial" w:hAnsi="Arial"/>
          <w:i/>
          <w:spacing w:val="40"/>
          <w:sz w:val="20"/>
        </w:rPr>
        <w:t> </w:t>
      </w:r>
      <w:r>
        <w:rPr>
          <w:rFonts w:ascii="Arial" w:hAnsi="Arial"/>
          <w:i/>
          <w:sz w:val="20"/>
        </w:rPr>
        <w:t>536–537</w:t>
      </w:r>
      <w:r>
        <w:rPr>
          <w:rFonts w:ascii="Arial" w:hAnsi="Arial"/>
          <w:i/>
          <w:spacing w:val="40"/>
          <w:sz w:val="20"/>
        </w:rPr>
        <w:t> </w:t>
      </w:r>
      <w:r>
        <w:rPr>
          <w:sz w:val="20"/>
        </w:rPr>
        <w:t>(reversed</w:t>
      </w:r>
      <w:r>
        <w:rPr>
          <w:spacing w:val="40"/>
          <w:sz w:val="20"/>
        </w:rPr>
        <w:t> </w:t>
      </w:r>
      <w:r>
        <w:rPr>
          <w:sz w:val="20"/>
        </w:rPr>
        <w:t>on</w:t>
      </w:r>
      <w:r>
        <w:rPr>
          <w:spacing w:val="40"/>
          <w:sz w:val="20"/>
        </w:rPr>
        <w:t> </w:t>
      </w:r>
      <w:r>
        <w:rPr>
          <w:sz w:val="20"/>
        </w:rPr>
        <w:t>a</w:t>
      </w:r>
      <w:r>
        <w:rPr>
          <w:spacing w:val="40"/>
          <w:sz w:val="20"/>
        </w:rPr>
        <w:t> </w:t>
      </w:r>
      <w:r>
        <w:rPr>
          <w:sz w:val="20"/>
        </w:rPr>
        <w:t>different</w:t>
      </w:r>
      <w:r>
        <w:rPr>
          <w:spacing w:val="40"/>
          <w:sz w:val="20"/>
        </w:rPr>
        <w:t> </w:t>
      </w:r>
      <w:r>
        <w:rPr>
          <w:sz w:val="20"/>
        </w:rPr>
        <w:t>ground:</w:t>
      </w:r>
      <w:r>
        <w:rPr>
          <w:spacing w:val="40"/>
          <w:sz w:val="20"/>
        </w:rPr>
        <w:t> </w:t>
      </w:r>
      <w:r>
        <w:rPr>
          <w:rFonts w:ascii="Arial" w:hAnsi="Arial"/>
          <w:i/>
          <w:sz w:val="20"/>
        </w:rPr>
        <w:t>[1971]</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113</w:t>
      </w:r>
      <w:r>
        <w:rPr>
          <w:sz w:val="20"/>
        </w:rPr>
        <w:t>).</w:t>
      </w:r>
      <w:r>
        <w:rPr>
          <w:spacing w:val="40"/>
          <w:sz w:val="20"/>
        </w:rPr>
        <w:t> </w:t>
      </w:r>
      <w:r>
        <w:rPr>
          <w:sz w:val="20"/>
        </w:rPr>
        <w:t>See</w:t>
      </w:r>
      <w:r>
        <w:rPr>
          <w:spacing w:val="85"/>
          <w:sz w:val="20"/>
        </w:rPr>
        <w:t> </w:t>
      </w:r>
      <w:r>
        <w:rPr>
          <w:sz w:val="20"/>
        </w:rPr>
        <w:t>below, </w:t>
      </w:r>
      <w:r>
        <w:rPr>
          <w:spacing w:val="-2"/>
          <w:sz w:val="20"/>
        </w:rPr>
        <w:t>para.26-223.</w:t>
      </w:r>
    </w:p>
    <w:p>
      <w:pPr>
        <w:pStyle w:val="BodyText"/>
        <w:spacing w:before="4"/>
      </w:pPr>
    </w:p>
    <w:p>
      <w:pPr>
        <w:pStyle w:val="BodyText"/>
        <w:spacing w:before="1"/>
        <w:ind w:left="165"/>
      </w:pPr>
      <w:bookmarkStart w:name="_bookmark2687" w:id="2689"/>
      <w:bookmarkEnd w:id="2689"/>
      <w:r>
        <w:rPr/>
      </w:r>
      <w:hyperlink w:history="true" w:anchor="_bookmark2636">
        <w:r>
          <w:rPr>
            <w:color w:val="005DA1"/>
            <w:position w:val="5"/>
            <w:sz w:val="14"/>
            <w:u w:val="single" w:color="005DA1"/>
          </w:rPr>
          <w:t>1382</w:t>
        </w:r>
      </w:hyperlink>
      <w:r>
        <w:rPr>
          <w:position w:val="5"/>
          <w:sz w:val="14"/>
        </w:rPr>
        <w:t>.</w:t>
      </w:r>
      <w:r>
        <w:rPr>
          <w:spacing w:val="55"/>
          <w:position w:val="5"/>
          <w:sz w:val="14"/>
        </w:rPr>
        <w:t>  </w:t>
      </w:r>
      <w:r>
        <w:rPr/>
        <w:t>On</w:t>
      </w:r>
      <w:r>
        <w:rPr>
          <w:spacing w:val="1"/>
        </w:rPr>
        <w:t> </w:t>
      </w:r>
      <w:r>
        <w:rPr/>
        <w:t>the position where the damages are subject to capital gains tax (below, para.26-</w:t>
      </w:r>
      <w:r>
        <w:rPr>
          <w:spacing w:val="-2"/>
        </w:rPr>
        <w:t>226).</w:t>
      </w:r>
    </w:p>
    <w:p>
      <w:pPr>
        <w:pStyle w:val="BodyText"/>
        <w:spacing w:before="8"/>
      </w:pPr>
    </w:p>
    <w:p>
      <w:pPr>
        <w:pStyle w:val="BodyText"/>
        <w:spacing w:line="235" w:lineRule="auto"/>
        <w:ind w:left="705" w:right="167" w:hanging="541"/>
        <w:jc w:val="both"/>
      </w:pPr>
      <w:bookmarkStart w:name="_bookmark2688" w:id="2690"/>
      <w:bookmarkEnd w:id="2690"/>
      <w:r>
        <w:rPr/>
      </w:r>
      <w:hyperlink w:history="true" w:anchor="_bookmark2636">
        <w:r>
          <w:rPr>
            <w:color w:val="005DA1"/>
            <w:position w:val="5"/>
            <w:sz w:val="14"/>
            <w:u w:val="single" w:color="005DA1"/>
          </w:rPr>
          <w:t>1383</w:t>
        </w:r>
      </w:hyperlink>
      <w:r>
        <w:rPr>
          <w:position w:val="5"/>
          <w:sz w:val="14"/>
        </w:rPr>
        <w:t>.</w:t>
      </w:r>
      <w:r>
        <w:rPr>
          <w:spacing w:val="40"/>
          <w:position w:val="5"/>
          <w:sz w:val="14"/>
        </w:rPr>
        <w:t> </w:t>
      </w:r>
      <w:r>
        <w:rPr/>
        <w:t>See below, para.26-223. By Income Tax (Trading and Other Income) Act 2005 s.751(1) (replacing s.329 of the Income and Corporation Taxes Act 1988), where the court awards a</w:t>
      </w:r>
      <w:r>
        <w:rPr>
          <w:spacing w:val="40"/>
        </w:rPr>
        <w:t> </w:t>
      </w:r>
      <w:r>
        <w:rPr/>
        <w:t>sum which includes interest on damages in respect of personal injuries or death, that interest is not regarded as income for any income tax purpose. See </w:t>
      </w:r>
      <w:r>
        <w:rPr>
          <w:rFonts w:ascii="Arial"/>
          <w:i/>
        </w:rPr>
        <w:t>Mason v Harman [1972] R.T.R. 1</w:t>
      </w:r>
      <w:r>
        <w:rPr/>
        <w:t>.</w:t>
      </w:r>
    </w:p>
    <w:p>
      <w:pPr>
        <w:pStyle w:val="BodyText"/>
        <w:spacing w:before="9"/>
      </w:pPr>
    </w:p>
    <w:p>
      <w:pPr>
        <w:spacing w:line="235" w:lineRule="auto" w:before="0"/>
        <w:ind w:left="705" w:right="166" w:hanging="541"/>
        <w:jc w:val="left"/>
        <w:rPr>
          <w:rFonts w:ascii="Arial"/>
          <w:i/>
          <w:sz w:val="20"/>
        </w:rPr>
      </w:pPr>
      <w:bookmarkStart w:name="_bookmark2689" w:id="2691"/>
      <w:bookmarkEnd w:id="2691"/>
      <w:r>
        <w:rPr/>
      </w:r>
      <w:hyperlink w:history="true" w:anchor="_bookmark2637">
        <w:r>
          <w:rPr>
            <w:color w:val="005DA1"/>
            <w:position w:val="5"/>
            <w:sz w:val="14"/>
            <w:u w:val="single" w:color="005DA1"/>
          </w:rPr>
          <w:t>1384</w:t>
        </w:r>
      </w:hyperlink>
      <w:r>
        <w:rPr>
          <w:position w:val="5"/>
          <w:sz w:val="14"/>
        </w:rPr>
        <w:t>.</w:t>
      </w:r>
      <w:r>
        <w:rPr>
          <w:spacing w:val="40"/>
          <w:position w:val="5"/>
          <w:sz w:val="14"/>
        </w:rPr>
        <w:t>  </w:t>
      </w:r>
      <w:r>
        <w:rPr>
          <w:sz w:val="20"/>
        </w:rPr>
        <w:t>But</w:t>
      </w:r>
      <w:r>
        <w:rPr>
          <w:spacing w:val="18"/>
          <w:sz w:val="20"/>
        </w:rPr>
        <w:t> </w:t>
      </w:r>
      <w:r>
        <w:rPr>
          <w:sz w:val="20"/>
        </w:rPr>
        <w:t>see</w:t>
      </w:r>
      <w:r>
        <w:rPr>
          <w:spacing w:val="18"/>
          <w:sz w:val="20"/>
        </w:rPr>
        <w:t> </w:t>
      </w:r>
      <w:r>
        <w:rPr>
          <w:sz w:val="20"/>
        </w:rPr>
        <w:t>the</w:t>
      </w:r>
      <w:r>
        <w:rPr>
          <w:spacing w:val="18"/>
          <w:sz w:val="20"/>
        </w:rPr>
        <w:t> </w:t>
      </w:r>
      <w:r>
        <w:rPr>
          <w:sz w:val="20"/>
        </w:rPr>
        <w:t>splitting</w:t>
      </w:r>
      <w:r>
        <w:rPr>
          <w:spacing w:val="18"/>
          <w:sz w:val="20"/>
        </w:rPr>
        <w:t> </w:t>
      </w:r>
      <w:r>
        <w:rPr>
          <w:sz w:val="20"/>
        </w:rPr>
        <w:t>of</w:t>
      </w:r>
      <w:r>
        <w:rPr>
          <w:spacing w:val="18"/>
          <w:sz w:val="20"/>
        </w:rPr>
        <w:t> </w:t>
      </w:r>
      <w:r>
        <w:rPr>
          <w:sz w:val="20"/>
        </w:rPr>
        <w:t>the</w:t>
      </w:r>
      <w:r>
        <w:rPr>
          <w:spacing w:val="18"/>
          <w:sz w:val="20"/>
        </w:rPr>
        <w:t> </w:t>
      </w:r>
      <w:r>
        <w:rPr>
          <w:sz w:val="20"/>
        </w:rPr>
        <w:t>award</w:t>
      </w:r>
      <w:r>
        <w:rPr>
          <w:spacing w:val="18"/>
          <w:sz w:val="20"/>
        </w:rPr>
        <w:t> </w:t>
      </w:r>
      <w:r>
        <w:rPr>
          <w:sz w:val="20"/>
        </w:rPr>
        <w:t>into</w:t>
      </w:r>
      <w:r>
        <w:rPr>
          <w:spacing w:val="18"/>
          <w:sz w:val="20"/>
        </w:rPr>
        <w:t> </w:t>
      </w:r>
      <w:r>
        <w:rPr>
          <w:sz w:val="20"/>
        </w:rPr>
        <w:t>taxable</w:t>
      </w:r>
      <w:r>
        <w:rPr>
          <w:spacing w:val="18"/>
          <w:sz w:val="20"/>
        </w:rPr>
        <w:t> </w:t>
      </w:r>
      <w:r>
        <w:rPr>
          <w:sz w:val="20"/>
        </w:rPr>
        <w:t>and</w:t>
      </w:r>
      <w:r>
        <w:rPr>
          <w:spacing w:val="18"/>
          <w:sz w:val="20"/>
        </w:rPr>
        <w:t> </w:t>
      </w:r>
      <w:r>
        <w:rPr>
          <w:sz w:val="20"/>
        </w:rPr>
        <w:t>non-taxable</w:t>
      </w:r>
      <w:r>
        <w:rPr>
          <w:spacing w:val="18"/>
          <w:sz w:val="20"/>
        </w:rPr>
        <w:t> </w:t>
      </w:r>
      <w:r>
        <w:rPr>
          <w:sz w:val="20"/>
        </w:rPr>
        <w:t>elements</w:t>
      </w:r>
      <w:r>
        <w:rPr>
          <w:spacing w:val="18"/>
          <w:sz w:val="20"/>
        </w:rPr>
        <w:t> </w:t>
      </w:r>
      <w:r>
        <w:rPr>
          <w:sz w:val="20"/>
        </w:rPr>
        <w:t>in</w:t>
      </w:r>
      <w:r>
        <w:rPr>
          <w:spacing w:val="18"/>
          <w:sz w:val="20"/>
        </w:rPr>
        <w:t> </w:t>
      </w:r>
      <w:r>
        <w:rPr>
          <w:sz w:val="20"/>
        </w:rPr>
        <w:t>cases</w:t>
      </w:r>
      <w:r>
        <w:rPr>
          <w:spacing w:val="18"/>
          <w:sz w:val="20"/>
        </w:rPr>
        <w:t> </w:t>
      </w:r>
      <w:r>
        <w:rPr>
          <w:sz w:val="20"/>
        </w:rPr>
        <w:t>of</w:t>
      </w:r>
      <w:r>
        <w:rPr>
          <w:spacing w:val="18"/>
          <w:sz w:val="20"/>
        </w:rPr>
        <w:t> </w:t>
      </w:r>
      <w:r>
        <w:rPr>
          <w:sz w:val="20"/>
        </w:rPr>
        <w:t>wrongful dismissal:</w:t>
      </w:r>
      <w:r>
        <w:rPr>
          <w:spacing w:val="-2"/>
          <w:sz w:val="20"/>
        </w:rPr>
        <w:t> </w:t>
      </w:r>
      <w:r>
        <w:rPr>
          <w:rFonts w:ascii="Arial"/>
          <w:i/>
          <w:sz w:val="20"/>
        </w:rPr>
        <w:t>Phipps</w:t>
      </w:r>
      <w:r>
        <w:rPr>
          <w:rFonts w:ascii="Arial"/>
          <w:i/>
          <w:spacing w:val="1"/>
          <w:sz w:val="20"/>
        </w:rPr>
        <w:t> </w:t>
      </w:r>
      <w:r>
        <w:rPr>
          <w:rFonts w:ascii="Arial"/>
          <w:i/>
          <w:sz w:val="20"/>
        </w:rPr>
        <w:t>v</w:t>
      </w:r>
      <w:r>
        <w:rPr>
          <w:rFonts w:ascii="Arial"/>
          <w:i/>
          <w:spacing w:val="1"/>
          <w:sz w:val="20"/>
        </w:rPr>
        <w:t> </w:t>
      </w:r>
      <w:r>
        <w:rPr>
          <w:rFonts w:ascii="Arial"/>
          <w:i/>
          <w:sz w:val="20"/>
        </w:rPr>
        <w:t>Orthodox</w:t>
      </w:r>
      <w:r>
        <w:rPr>
          <w:rFonts w:ascii="Arial"/>
          <w:i/>
          <w:spacing w:val="1"/>
          <w:sz w:val="20"/>
        </w:rPr>
        <w:t> </w:t>
      </w:r>
      <w:r>
        <w:rPr>
          <w:rFonts w:ascii="Arial"/>
          <w:i/>
          <w:sz w:val="20"/>
        </w:rPr>
        <w:t>Unit</w:t>
      </w:r>
      <w:r>
        <w:rPr>
          <w:rFonts w:ascii="Arial"/>
          <w:i/>
          <w:spacing w:val="1"/>
          <w:sz w:val="20"/>
        </w:rPr>
        <w:t> </w:t>
      </w:r>
      <w:r>
        <w:rPr>
          <w:rFonts w:ascii="Arial"/>
          <w:i/>
          <w:sz w:val="20"/>
        </w:rPr>
        <w:t>Trusts</w:t>
      </w:r>
      <w:r>
        <w:rPr>
          <w:rFonts w:ascii="Arial"/>
          <w:i/>
          <w:spacing w:val="1"/>
          <w:sz w:val="20"/>
        </w:rPr>
        <w:t> </w:t>
      </w:r>
      <w:r>
        <w:rPr>
          <w:rFonts w:ascii="Arial"/>
          <w:i/>
          <w:sz w:val="20"/>
        </w:rPr>
        <w:t>Ltd</w:t>
      </w:r>
      <w:r>
        <w:rPr>
          <w:rFonts w:ascii="Arial"/>
          <w:i/>
          <w:spacing w:val="1"/>
          <w:sz w:val="20"/>
        </w:rPr>
        <w:t> </w:t>
      </w:r>
      <w:r>
        <w:rPr>
          <w:rFonts w:ascii="Arial"/>
          <w:i/>
          <w:sz w:val="20"/>
        </w:rPr>
        <w:t>[1958]</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314 </w:t>
      </w:r>
      <w:r>
        <w:rPr>
          <w:sz w:val="20"/>
        </w:rPr>
        <w:t>(below,</w:t>
      </w:r>
      <w:r>
        <w:rPr>
          <w:spacing w:val="1"/>
          <w:sz w:val="20"/>
        </w:rPr>
        <w:t> </w:t>
      </w:r>
      <w:r>
        <w:rPr>
          <w:sz w:val="20"/>
        </w:rPr>
        <w:t>para.26-219); </w:t>
      </w:r>
      <w:r>
        <w:rPr>
          <w:rFonts w:ascii="Arial"/>
          <w:i/>
          <w:sz w:val="20"/>
        </w:rPr>
        <w:t>Parsons</w:t>
      </w:r>
      <w:r>
        <w:rPr>
          <w:rFonts w:ascii="Arial"/>
          <w:i/>
          <w:spacing w:val="1"/>
          <w:sz w:val="20"/>
        </w:rPr>
        <w:t> </w:t>
      </w:r>
      <w:r>
        <w:rPr>
          <w:rFonts w:ascii="Arial"/>
          <w:i/>
          <w:spacing w:val="-10"/>
          <w:sz w:val="20"/>
        </w:rPr>
        <w:t>v</w:t>
      </w:r>
    </w:p>
    <w:p>
      <w:pPr>
        <w:spacing w:line="225" w:lineRule="exact" w:before="0"/>
        <w:ind w:left="705" w:right="0" w:firstLine="0"/>
        <w:jc w:val="left"/>
        <w:rPr>
          <w:sz w:val="20"/>
        </w:rPr>
      </w:pPr>
      <w:r>
        <w:rPr>
          <w:rFonts w:ascii="Arial"/>
          <w:i/>
          <w:sz w:val="20"/>
        </w:rPr>
        <w:t>B.N.M. Laboratories Ltd [1964] 1 Q.B. 95</w:t>
      </w:r>
      <w:r>
        <w:rPr>
          <w:rFonts w:ascii="Arial"/>
          <w:i/>
          <w:spacing w:val="-1"/>
          <w:sz w:val="20"/>
        </w:rPr>
        <w:t> </w:t>
      </w:r>
      <w:r>
        <w:rPr>
          <w:sz w:val="20"/>
        </w:rPr>
        <w:t>(below, para.26-218). cf. below, para.26-225 </w:t>
      </w:r>
      <w:r>
        <w:rPr>
          <w:spacing w:val="-2"/>
          <w:sz w:val="20"/>
        </w:rPr>
        <w:t>n.1167.</w:t>
      </w:r>
    </w:p>
    <w:p>
      <w:pPr>
        <w:pStyle w:val="BodyText"/>
        <w:spacing w:before="5"/>
      </w:pPr>
    </w:p>
    <w:p>
      <w:pPr>
        <w:spacing w:line="227" w:lineRule="exact" w:before="0"/>
        <w:ind w:left="165" w:right="0" w:firstLine="0"/>
        <w:jc w:val="left"/>
        <w:rPr>
          <w:sz w:val="20"/>
        </w:rPr>
      </w:pPr>
      <w:bookmarkStart w:name="_bookmark2690" w:id="2692"/>
      <w:bookmarkEnd w:id="2692"/>
      <w:r>
        <w:rPr/>
      </w:r>
      <w:hyperlink w:history="true" w:anchor="_bookmark2638">
        <w:r>
          <w:rPr>
            <w:color w:val="005DA1"/>
            <w:position w:val="5"/>
            <w:sz w:val="14"/>
            <w:u w:val="single" w:color="005DA1"/>
          </w:rPr>
          <w:t>1385</w:t>
        </w:r>
      </w:hyperlink>
      <w:r>
        <w:rPr>
          <w:position w:val="5"/>
          <w:sz w:val="14"/>
        </w:rPr>
        <w:t>.</w:t>
      </w:r>
      <w:r>
        <w:rPr>
          <w:spacing w:val="55"/>
          <w:position w:val="5"/>
          <w:sz w:val="14"/>
        </w:rPr>
        <w:t>  </w:t>
      </w:r>
      <w:r>
        <w:rPr>
          <w:rFonts w:ascii="Arial"/>
          <w:i/>
          <w:sz w:val="20"/>
        </w:rPr>
        <w:t>Capita</w:t>
      </w:r>
      <w:r>
        <w:rPr>
          <w:rFonts w:ascii="Arial"/>
          <w:i/>
          <w:spacing w:val="31"/>
          <w:sz w:val="20"/>
        </w:rPr>
        <w:t> </w:t>
      </w:r>
      <w:r>
        <w:rPr>
          <w:rFonts w:ascii="Arial"/>
          <w:i/>
          <w:sz w:val="20"/>
        </w:rPr>
        <w:t>Alternative</w:t>
      </w:r>
      <w:r>
        <w:rPr>
          <w:rFonts w:ascii="Arial"/>
          <w:i/>
          <w:spacing w:val="30"/>
          <w:sz w:val="20"/>
        </w:rPr>
        <w:t> </w:t>
      </w:r>
      <w:r>
        <w:rPr>
          <w:rFonts w:ascii="Arial"/>
          <w:i/>
          <w:sz w:val="20"/>
        </w:rPr>
        <w:t>Fund</w:t>
      </w:r>
      <w:r>
        <w:rPr>
          <w:rFonts w:ascii="Arial"/>
          <w:i/>
          <w:spacing w:val="30"/>
          <w:sz w:val="20"/>
        </w:rPr>
        <w:t> </w:t>
      </w:r>
      <w:r>
        <w:rPr>
          <w:rFonts w:ascii="Arial"/>
          <w:i/>
          <w:sz w:val="20"/>
        </w:rPr>
        <w:t>Services</w:t>
      </w:r>
      <w:r>
        <w:rPr>
          <w:rFonts w:ascii="Arial"/>
          <w:i/>
          <w:spacing w:val="30"/>
          <w:sz w:val="20"/>
        </w:rPr>
        <w:t> </w:t>
      </w:r>
      <w:r>
        <w:rPr>
          <w:rFonts w:ascii="Arial"/>
          <w:i/>
          <w:sz w:val="20"/>
        </w:rPr>
        <w:t>(Guernsey</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Drivers</w:t>
      </w:r>
      <w:r>
        <w:rPr>
          <w:rFonts w:ascii="Arial"/>
          <w:i/>
          <w:spacing w:val="30"/>
          <w:sz w:val="20"/>
        </w:rPr>
        <w:t> </w:t>
      </w:r>
      <w:r>
        <w:rPr>
          <w:rFonts w:ascii="Arial"/>
          <w:i/>
          <w:sz w:val="20"/>
        </w:rPr>
        <w:t>Jonas</w:t>
      </w:r>
      <w:r>
        <w:rPr>
          <w:rFonts w:ascii="Arial"/>
          <w:i/>
          <w:spacing w:val="30"/>
          <w:sz w:val="20"/>
        </w:rPr>
        <w:t> </w:t>
      </w:r>
      <w:r>
        <w:rPr>
          <w:rFonts w:ascii="Arial"/>
          <w:i/>
          <w:sz w:val="20"/>
        </w:rPr>
        <w:t>[2012]</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1417</w:t>
      </w:r>
      <w:r>
        <w:rPr>
          <w:rFonts w:ascii="Arial"/>
          <w:i/>
          <w:spacing w:val="29"/>
          <w:sz w:val="20"/>
        </w:rPr>
        <w:t> </w:t>
      </w:r>
      <w:r>
        <w:rPr>
          <w:spacing w:val="-5"/>
          <w:sz w:val="20"/>
        </w:rPr>
        <w:t>at</w:t>
      </w:r>
    </w:p>
    <w:p>
      <w:pPr>
        <w:pStyle w:val="BodyText"/>
        <w:spacing w:line="235" w:lineRule="auto" w:before="1"/>
        <w:ind w:left="705"/>
      </w:pPr>
      <w:r>
        <w:rPr/>
        <w:t>[56]–[59]. This was so even if, by virtue of a special “look through” provision, the credits were </w:t>
      </w:r>
      <w:r>
        <w:rPr/>
        <w:t>in fact obtained by the investors rather than by the trust set up for the purpose: at [63].</w:t>
      </w:r>
    </w:p>
    <w:p>
      <w:pPr>
        <w:pStyle w:val="BodyText"/>
        <w:spacing w:before="5"/>
      </w:pPr>
    </w:p>
    <w:p>
      <w:pPr>
        <w:pStyle w:val="BodyText"/>
        <w:spacing w:before="1"/>
        <w:ind w:left="165"/>
      </w:pPr>
      <w:bookmarkStart w:name="_bookmark2691" w:id="2693"/>
      <w:bookmarkEnd w:id="2693"/>
      <w:r>
        <w:rPr/>
      </w:r>
      <w:hyperlink w:history="true" w:anchor="_bookmark2639">
        <w:r>
          <w:rPr>
            <w:color w:val="005DA1"/>
            <w:position w:val="5"/>
            <w:sz w:val="14"/>
            <w:u w:val="single" w:color="005DA1"/>
          </w:rPr>
          <w:t>1386</w:t>
        </w:r>
      </w:hyperlink>
      <w:r>
        <w:rPr>
          <w:position w:val="5"/>
          <w:sz w:val="14"/>
        </w:rPr>
        <w:t>.</w:t>
      </w:r>
      <w:r>
        <w:rPr>
          <w:spacing w:val="55"/>
          <w:position w:val="5"/>
          <w:sz w:val="14"/>
        </w:rPr>
        <w:t>  </w:t>
      </w:r>
      <w:r>
        <w:rPr/>
        <w:t>See</w:t>
      </w:r>
      <w:r>
        <w:rPr>
          <w:spacing w:val="1"/>
        </w:rPr>
        <w:t> </w:t>
      </w:r>
      <w:r>
        <w:rPr/>
        <w:t>Powell (1981) 10 I.L.J. 239; Whiteman and Sherry on Income Tax, paras 14.226-</w:t>
      </w:r>
      <w:r>
        <w:rPr>
          <w:spacing w:val="-2"/>
        </w:rPr>
        <w:t>14.233.</w:t>
      </w:r>
    </w:p>
    <w:p>
      <w:pPr>
        <w:pStyle w:val="BodyText"/>
        <w:spacing w:before="5"/>
      </w:pPr>
    </w:p>
    <w:p>
      <w:pPr>
        <w:pStyle w:val="BodyText"/>
        <w:ind w:left="165"/>
      </w:pPr>
      <w:bookmarkStart w:name="_bookmark2692" w:id="2694"/>
      <w:bookmarkEnd w:id="2694"/>
      <w:r>
        <w:rPr/>
      </w:r>
      <w:hyperlink w:history="true" w:anchor="_bookmark2640">
        <w:r>
          <w:rPr>
            <w:color w:val="005DA1"/>
            <w:position w:val="5"/>
            <w:sz w:val="14"/>
            <w:u w:val="single" w:color="005DA1"/>
          </w:rPr>
          <w:t>1387</w:t>
        </w:r>
      </w:hyperlink>
      <w:r>
        <w:rPr>
          <w:position w:val="5"/>
          <w:sz w:val="14"/>
        </w:rPr>
        <w:t>.</w:t>
      </w:r>
      <w:r>
        <w:rPr>
          <w:spacing w:val="55"/>
          <w:position w:val="5"/>
          <w:sz w:val="14"/>
        </w:rPr>
        <w:t>  </w:t>
      </w:r>
      <w:r>
        <w:rPr/>
        <w:t>Replacing</w:t>
      </w:r>
      <w:r>
        <w:rPr>
          <w:spacing w:val="1"/>
        </w:rPr>
        <w:t> </w:t>
      </w:r>
      <w:r>
        <w:rPr/>
        <w:t>ss.148 and 188 of (and Sch.11 to) the Income and Corporation Taxes Act </w:t>
      </w:r>
      <w:r>
        <w:rPr>
          <w:spacing w:val="-2"/>
        </w:rPr>
        <w:t>1988.</w:t>
      </w:r>
    </w:p>
    <w:p>
      <w:pPr>
        <w:pStyle w:val="BodyText"/>
        <w:spacing w:after="0"/>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1244" w:hRule="atLeast"/>
        </w:trPr>
        <w:tc>
          <w:tcPr>
            <w:tcW w:w="496" w:type="dxa"/>
          </w:tcPr>
          <w:p>
            <w:pPr>
              <w:pStyle w:val="TableParagraph"/>
              <w:spacing w:before="0"/>
              <w:ind w:right="43"/>
              <w:jc w:val="center"/>
              <w:rPr>
                <w:sz w:val="14"/>
              </w:rPr>
            </w:pPr>
            <w:hyperlink w:history="true" w:anchor="_bookmark2641">
              <w:r>
                <w:rPr>
                  <w:color w:val="005DA1"/>
                  <w:spacing w:val="-2"/>
                  <w:sz w:val="14"/>
                  <w:u w:val="single" w:color="005DA1"/>
                </w:rPr>
                <w:t>1388</w:t>
              </w:r>
            </w:hyperlink>
            <w:r>
              <w:rPr>
                <w:spacing w:val="-2"/>
                <w:sz w:val="14"/>
              </w:rPr>
              <w:t>.</w:t>
            </w:r>
          </w:p>
        </w:tc>
        <w:tc>
          <w:tcPr>
            <w:tcW w:w="8621" w:type="dxa"/>
          </w:tcPr>
          <w:p>
            <w:pPr>
              <w:pStyle w:val="TableParagraph"/>
              <w:spacing w:line="235" w:lineRule="auto" w:before="0"/>
              <w:ind w:left="94" w:right="49"/>
              <w:jc w:val="both"/>
              <w:rPr>
                <w:sz w:val="20"/>
              </w:rPr>
            </w:pPr>
            <w:r>
              <w:rPr>
                <w:sz w:val="20"/>
              </w:rPr>
              <w:t>There are a number of exemptions: see e.g. s.309 of the 2003 Act. Where an ex-</w:t>
            </w:r>
            <w:r>
              <w:rPr>
                <w:sz w:val="20"/>
              </w:rPr>
              <w:t>employee takes legal action to recover compensation for loss of employment there was an extra-statutory exemption</w:t>
            </w:r>
            <w:r>
              <w:rPr>
                <w:spacing w:val="-1"/>
                <w:sz w:val="20"/>
              </w:rPr>
              <w:t> </w:t>
            </w:r>
            <w:r>
              <w:rPr>
                <w:sz w:val="20"/>
              </w:rPr>
              <w:t>granted</w:t>
            </w:r>
            <w:r>
              <w:rPr>
                <w:spacing w:val="-1"/>
                <w:sz w:val="20"/>
              </w:rPr>
              <w:t> </w:t>
            </w:r>
            <w:r>
              <w:rPr>
                <w:sz w:val="20"/>
              </w:rPr>
              <w:t>by</w:t>
            </w:r>
            <w:r>
              <w:rPr>
                <w:spacing w:val="-1"/>
                <w:sz w:val="20"/>
              </w:rPr>
              <w:t> </w:t>
            </w:r>
            <w:r>
              <w:rPr>
                <w:sz w:val="20"/>
              </w:rPr>
              <w:t>the</w:t>
            </w:r>
            <w:r>
              <w:rPr>
                <w:spacing w:val="-1"/>
                <w:sz w:val="20"/>
              </w:rPr>
              <w:t> </w:t>
            </w:r>
            <w:r>
              <w:rPr>
                <w:sz w:val="20"/>
              </w:rPr>
              <w:t>Inland</w:t>
            </w:r>
            <w:r>
              <w:rPr>
                <w:spacing w:val="-1"/>
                <w:sz w:val="20"/>
              </w:rPr>
              <w:t> </w:t>
            </w:r>
            <w:r>
              <w:rPr>
                <w:sz w:val="20"/>
              </w:rPr>
              <w:t>Revenue</w:t>
            </w:r>
            <w:r>
              <w:rPr>
                <w:spacing w:val="-1"/>
                <w:sz w:val="20"/>
              </w:rPr>
              <w:t> </w:t>
            </w:r>
            <w:r>
              <w:rPr>
                <w:sz w:val="20"/>
              </w:rPr>
              <w:t>(dated</w:t>
            </w:r>
            <w:r>
              <w:rPr>
                <w:spacing w:val="-1"/>
                <w:sz w:val="20"/>
              </w:rPr>
              <w:t> </w:t>
            </w:r>
            <w:r>
              <w:rPr>
                <w:sz w:val="20"/>
              </w:rPr>
              <w:t>September</w:t>
            </w:r>
            <w:r>
              <w:rPr>
                <w:spacing w:val="-1"/>
                <w:sz w:val="20"/>
              </w:rPr>
              <w:t> </w:t>
            </w:r>
            <w:r>
              <w:rPr>
                <w:sz w:val="20"/>
              </w:rPr>
              <w:t>2,</w:t>
            </w:r>
            <w:r>
              <w:rPr>
                <w:spacing w:val="-1"/>
                <w:sz w:val="20"/>
              </w:rPr>
              <w:t> </w:t>
            </w:r>
            <w:r>
              <w:rPr>
                <w:sz w:val="20"/>
              </w:rPr>
              <w:t>1993)</w:t>
            </w:r>
            <w:r>
              <w:rPr>
                <w:spacing w:val="-1"/>
                <w:sz w:val="20"/>
              </w:rPr>
              <w:t> </w:t>
            </w:r>
            <w:r>
              <w:rPr>
                <w:sz w:val="20"/>
              </w:rPr>
              <w:t>exempting</w:t>
            </w:r>
            <w:r>
              <w:rPr>
                <w:spacing w:val="-1"/>
                <w:sz w:val="20"/>
              </w:rPr>
              <w:t> </w:t>
            </w:r>
            <w:r>
              <w:rPr>
                <w:sz w:val="20"/>
              </w:rPr>
              <w:t>his</w:t>
            </w:r>
            <w:r>
              <w:rPr>
                <w:spacing w:val="-1"/>
                <w:sz w:val="20"/>
              </w:rPr>
              <w:t> </w:t>
            </w:r>
            <w:r>
              <w:rPr>
                <w:sz w:val="20"/>
              </w:rPr>
              <w:t>legal</w:t>
            </w:r>
            <w:r>
              <w:rPr>
                <w:spacing w:val="-1"/>
                <w:sz w:val="20"/>
              </w:rPr>
              <w:t> </w:t>
            </w:r>
            <w:r>
              <w:rPr>
                <w:sz w:val="20"/>
              </w:rPr>
              <w:t>costs from ss.401–406: see now s.413A of the 2003 Act (effective for payments after April 6, 2011). See Simon’s Taxes, para.E4.827.</w:t>
            </w:r>
          </w:p>
        </w:tc>
      </w:tr>
      <w:tr>
        <w:trPr>
          <w:trHeight w:val="690" w:hRule="atLeast"/>
        </w:trPr>
        <w:tc>
          <w:tcPr>
            <w:tcW w:w="496" w:type="dxa"/>
          </w:tcPr>
          <w:p>
            <w:pPr>
              <w:pStyle w:val="TableParagraph"/>
              <w:ind w:right="43"/>
              <w:jc w:val="center"/>
              <w:rPr>
                <w:sz w:val="14"/>
              </w:rPr>
            </w:pPr>
            <w:bookmarkStart w:name="_bookmark2693" w:id="2695"/>
            <w:bookmarkEnd w:id="2695"/>
            <w:r>
              <w:rPr/>
            </w:r>
            <w:hyperlink w:history="true" w:anchor="_bookmark2642">
              <w:r>
                <w:rPr>
                  <w:color w:val="005DA1"/>
                  <w:spacing w:val="-2"/>
                  <w:sz w:val="14"/>
                  <w:u w:val="single" w:color="005DA1"/>
                </w:rPr>
                <w:t>1389</w:t>
              </w:r>
            </w:hyperlink>
            <w:r>
              <w:rPr>
                <w:spacing w:val="-2"/>
                <w:sz w:val="14"/>
              </w:rPr>
              <w:t>.</w:t>
            </w:r>
          </w:p>
        </w:tc>
        <w:tc>
          <w:tcPr>
            <w:tcW w:w="8621" w:type="dxa"/>
          </w:tcPr>
          <w:p>
            <w:pPr>
              <w:pStyle w:val="TableParagraph"/>
              <w:spacing w:line="235" w:lineRule="auto" w:before="118"/>
              <w:ind w:left="94"/>
              <w:rPr>
                <w:sz w:val="20"/>
              </w:rPr>
            </w:pPr>
            <w:r>
              <w:rPr>
                <w:sz w:val="20"/>
              </w:rPr>
              <w:t>s.401(1)</w:t>
            </w:r>
            <w:r>
              <w:rPr>
                <w:spacing w:val="66"/>
                <w:sz w:val="20"/>
              </w:rPr>
              <w:t> </w:t>
            </w:r>
            <w:r>
              <w:rPr>
                <w:sz w:val="20"/>
              </w:rPr>
              <w:t>refers</w:t>
            </w:r>
            <w:r>
              <w:rPr>
                <w:spacing w:val="66"/>
                <w:sz w:val="20"/>
              </w:rPr>
              <w:t> </w:t>
            </w:r>
            <w:r>
              <w:rPr>
                <w:sz w:val="20"/>
              </w:rPr>
              <w:t>to</w:t>
            </w:r>
            <w:r>
              <w:rPr>
                <w:spacing w:val="66"/>
                <w:sz w:val="20"/>
              </w:rPr>
              <w:t> </w:t>
            </w:r>
            <w:r>
              <w:rPr>
                <w:sz w:val="20"/>
              </w:rPr>
              <w:t>any</w:t>
            </w:r>
            <w:r>
              <w:rPr>
                <w:spacing w:val="66"/>
                <w:sz w:val="20"/>
              </w:rPr>
              <w:t> </w:t>
            </w:r>
            <w:r>
              <w:rPr>
                <w:sz w:val="20"/>
              </w:rPr>
              <w:t>payment</w:t>
            </w:r>
            <w:r>
              <w:rPr>
                <w:spacing w:val="66"/>
                <w:sz w:val="20"/>
              </w:rPr>
              <w:t> </w:t>
            </w:r>
            <w:r>
              <w:rPr>
                <w:sz w:val="20"/>
              </w:rPr>
              <w:t>made</w:t>
            </w:r>
            <w:r>
              <w:rPr>
                <w:spacing w:val="66"/>
                <w:sz w:val="20"/>
              </w:rPr>
              <w:t> </w:t>
            </w:r>
            <w:r>
              <w:rPr>
                <w:sz w:val="20"/>
              </w:rPr>
              <w:t>“either</w:t>
            </w:r>
            <w:r>
              <w:rPr>
                <w:spacing w:val="66"/>
                <w:sz w:val="20"/>
              </w:rPr>
              <w:t> </w:t>
            </w:r>
            <w:r>
              <w:rPr>
                <w:sz w:val="20"/>
              </w:rPr>
              <w:t>directly</w:t>
            </w:r>
            <w:r>
              <w:rPr>
                <w:spacing w:val="66"/>
                <w:sz w:val="20"/>
              </w:rPr>
              <w:t> </w:t>
            </w:r>
            <w:r>
              <w:rPr>
                <w:sz w:val="20"/>
              </w:rPr>
              <w:t>or</w:t>
            </w:r>
            <w:r>
              <w:rPr>
                <w:spacing w:val="66"/>
                <w:sz w:val="20"/>
              </w:rPr>
              <w:t> </w:t>
            </w:r>
            <w:r>
              <w:rPr>
                <w:sz w:val="20"/>
              </w:rPr>
              <w:t>indirectly</w:t>
            </w:r>
            <w:r>
              <w:rPr>
                <w:spacing w:val="66"/>
                <w:sz w:val="20"/>
              </w:rPr>
              <w:t> </w:t>
            </w:r>
            <w:r>
              <w:rPr>
                <w:sz w:val="20"/>
              </w:rPr>
              <w:t>in</w:t>
            </w:r>
            <w:r>
              <w:rPr>
                <w:spacing w:val="66"/>
                <w:sz w:val="20"/>
              </w:rPr>
              <w:t> </w:t>
            </w:r>
            <w:r>
              <w:rPr>
                <w:sz w:val="20"/>
              </w:rPr>
              <w:t>consideration</w:t>
            </w:r>
            <w:r>
              <w:rPr>
                <w:spacing w:val="66"/>
                <w:sz w:val="20"/>
              </w:rPr>
              <w:t> </w:t>
            </w:r>
            <w:r>
              <w:rPr>
                <w:sz w:val="20"/>
              </w:rPr>
              <w:t>or</w:t>
            </w:r>
            <w:r>
              <w:rPr>
                <w:spacing w:val="66"/>
                <w:sz w:val="20"/>
              </w:rPr>
              <w:t> </w:t>
            </w:r>
            <w:r>
              <w:rPr>
                <w:sz w:val="20"/>
              </w:rPr>
              <w:t>in consequence of, or otherwise in connection with, the termination of a person’s employment”.</w:t>
            </w:r>
          </w:p>
        </w:tc>
      </w:tr>
      <w:tr>
        <w:trPr>
          <w:trHeight w:val="465" w:hRule="atLeast"/>
        </w:trPr>
        <w:tc>
          <w:tcPr>
            <w:tcW w:w="496" w:type="dxa"/>
          </w:tcPr>
          <w:p>
            <w:pPr>
              <w:pStyle w:val="TableParagraph"/>
              <w:ind w:right="43"/>
              <w:jc w:val="center"/>
              <w:rPr>
                <w:sz w:val="14"/>
              </w:rPr>
            </w:pPr>
            <w:bookmarkStart w:name="_bookmark2694" w:id="2696"/>
            <w:bookmarkEnd w:id="2696"/>
            <w:r>
              <w:rPr/>
            </w:r>
            <w:hyperlink w:history="true" w:anchor="_bookmark2643">
              <w:r>
                <w:rPr>
                  <w:color w:val="005DA1"/>
                  <w:spacing w:val="-2"/>
                  <w:sz w:val="14"/>
                  <w:u w:val="single" w:color="005DA1"/>
                </w:rPr>
                <w:t>1390</w:t>
              </w:r>
            </w:hyperlink>
            <w:r>
              <w:rPr>
                <w:spacing w:val="-2"/>
                <w:sz w:val="14"/>
              </w:rPr>
              <w:t>.</w:t>
            </w:r>
          </w:p>
        </w:tc>
        <w:tc>
          <w:tcPr>
            <w:tcW w:w="8621" w:type="dxa"/>
          </w:tcPr>
          <w:p>
            <w:pPr>
              <w:pStyle w:val="TableParagraph"/>
              <w:spacing w:before="114"/>
              <w:ind w:left="94"/>
              <w:rPr>
                <w:sz w:val="20"/>
              </w:rPr>
            </w:pPr>
            <w:r>
              <w:rPr>
                <w:spacing w:val="-2"/>
                <w:sz w:val="20"/>
              </w:rPr>
              <w:t>s.403(1).</w:t>
            </w:r>
          </w:p>
        </w:tc>
      </w:tr>
      <w:tr>
        <w:trPr>
          <w:trHeight w:val="690" w:hRule="atLeast"/>
        </w:trPr>
        <w:tc>
          <w:tcPr>
            <w:tcW w:w="496" w:type="dxa"/>
          </w:tcPr>
          <w:p>
            <w:pPr>
              <w:pStyle w:val="TableParagraph"/>
              <w:ind w:right="43"/>
              <w:jc w:val="center"/>
              <w:rPr>
                <w:sz w:val="14"/>
              </w:rPr>
            </w:pPr>
            <w:bookmarkStart w:name="_bookmark2695" w:id="2697"/>
            <w:bookmarkEnd w:id="2697"/>
            <w:r>
              <w:rPr/>
            </w:r>
            <w:hyperlink w:history="true" w:anchor="_bookmark2644">
              <w:r>
                <w:rPr>
                  <w:color w:val="005DA1"/>
                  <w:spacing w:val="-2"/>
                  <w:sz w:val="14"/>
                  <w:u w:val="single" w:color="005DA1"/>
                </w:rPr>
                <w:t>1391</w:t>
              </w:r>
            </w:hyperlink>
            <w:r>
              <w:rPr>
                <w:spacing w:val="-2"/>
                <w:sz w:val="14"/>
              </w:rPr>
              <w:t>.</w:t>
            </w:r>
          </w:p>
        </w:tc>
        <w:tc>
          <w:tcPr>
            <w:tcW w:w="8621" w:type="dxa"/>
          </w:tcPr>
          <w:p>
            <w:pPr>
              <w:pStyle w:val="TableParagraph"/>
              <w:spacing w:line="235" w:lineRule="auto" w:before="118"/>
              <w:ind w:left="94"/>
              <w:rPr>
                <w:sz w:val="20"/>
              </w:rPr>
            </w:pPr>
            <w:r>
              <w:rPr>
                <w:sz w:val="20"/>
              </w:rPr>
              <w:t>On the question whether the first £30,000 might be subject to capital gains tax, see Whiteman and Sherry on Income Tax, 4th edn (2010), para.14.225.</w:t>
            </w:r>
          </w:p>
        </w:tc>
      </w:tr>
      <w:tr>
        <w:trPr>
          <w:trHeight w:val="690" w:hRule="atLeast"/>
        </w:trPr>
        <w:tc>
          <w:tcPr>
            <w:tcW w:w="496" w:type="dxa"/>
          </w:tcPr>
          <w:p>
            <w:pPr>
              <w:pStyle w:val="TableParagraph"/>
              <w:ind w:right="43"/>
              <w:jc w:val="center"/>
              <w:rPr>
                <w:sz w:val="14"/>
              </w:rPr>
            </w:pPr>
            <w:bookmarkStart w:name="_bookmark2696" w:id="2698"/>
            <w:bookmarkEnd w:id="2698"/>
            <w:r>
              <w:rPr/>
            </w:r>
            <w:hyperlink w:history="true" w:anchor="_bookmark2645">
              <w:r>
                <w:rPr>
                  <w:color w:val="005DA1"/>
                  <w:spacing w:val="-2"/>
                  <w:sz w:val="14"/>
                  <w:u w:val="single" w:color="005DA1"/>
                </w:rPr>
                <w:t>1392</w:t>
              </w:r>
            </w:hyperlink>
            <w:r>
              <w:rPr>
                <w:spacing w:val="-2"/>
                <w:sz w:val="14"/>
              </w:rPr>
              <w:t>.</w:t>
            </w:r>
          </w:p>
        </w:tc>
        <w:tc>
          <w:tcPr>
            <w:tcW w:w="8621" w:type="dxa"/>
          </w:tcPr>
          <w:p>
            <w:pPr>
              <w:pStyle w:val="TableParagraph"/>
              <w:spacing w:line="235" w:lineRule="auto" w:before="118"/>
              <w:ind w:left="94"/>
              <w:rPr>
                <w:sz w:val="20"/>
              </w:rPr>
            </w:pPr>
            <w:r>
              <w:rPr>
                <w:rFonts w:ascii="Arial"/>
                <w:i/>
                <w:sz w:val="20"/>
              </w:rPr>
              <w:t>Parsons v B. N. M. Laboratories Ltd [1964] 1 Q.B. 95 </w:t>
            </w:r>
            <w:r>
              <w:rPr>
                <w:sz w:val="20"/>
              </w:rPr>
              <w:t>(on the provision now superseded by </w:t>
            </w:r>
            <w:r>
              <w:rPr>
                <w:sz w:val="20"/>
              </w:rPr>
              <w:t>the 2003 Act).</w:t>
            </w:r>
          </w:p>
        </w:tc>
      </w:tr>
      <w:tr>
        <w:trPr>
          <w:trHeight w:val="465" w:hRule="atLeast"/>
        </w:trPr>
        <w:tc>
          <w:tcPr>
            <w:tcW w:w="496" w:type="dxa"/>
          </w:tcPr>
          <w:p>
            <w:pPr>
              <w:pStyle w:val="TableParagraph"/>
              <w:ind w:right="43"/>
              <w:jc w:val="center"/>
              <w:rPr>
                <w:sz w:val="14"/>
              </w:rPr>
            </w:pPr>
            <w:bookmarkStart w:name="_bookmark2697" w:id="2699"/>
            <w:bookmarkEnd w:id="2699"/>
            <w:r>
              <w:rPr/>
            </w:r>
            <w:hyperlink w:history="true" w:anchor="_bookmark2646">
              <w:r>
                <w:rPr>
                  <w:color w:val="005DA1"/>
                  <w:spacing w:val="-2"/>
                  <w:sz w:val="14"/>
                  <w:u w:val="single" w:color="005DA1"/>
                </w:rPr>
                <w:t>1393</w:t>
              </w:r>
            </w:hyperlink>
            <w:r>
              <w:rPr>
                <w:spacing w:val="-2"/>
                <w:sz w:val="14"/>
              </w:rPr>
              <w:t>.</w:t>
            </w:r>
          </w:p>
        </w:tc>
        <w:tc>
          <w:tcPr>
            <w:tcW w:w="8621" w:type="dxa"/>
          </w:tcPr>
          <w:p>
            <w:pPr>
              <w:pStyle w:val="TableParagraph"/>
              <w:spacing w:before="114"/>
              <w:ind w:left="94"/>
              <w:rPr>
                <w:sz w:val="20"/>
              </w:rPr>
            </w:pPr>
            <w:r>
              <w:rPr>
                <w:sz w:val="20"/>
              </w:rPr>
              <w:t>See below, para.26-</w:t>
            </w:r>
            <w:r>
              <w:rPr>
                <w:spacing w:val="-4"/>
                <w:sz w:val="20"/>
              </w:rPr>
              <w:t>225.</w:t>
            </w:r>
          </w:p>
        </w:tc>
      </w:tr>
      <w:tr>
        <w:trPr>
          <w:trHeight w:val="690" w:hRule="atLeast"/>
        </w:trPr>
        <w:tc>
          <w:tcPr>
            <w:tcW w:w="496" w:type="dxa"/>
          </w:tcPr>
          <w:p>
            <w:pPr>
              <w:pStyle w:val="TableParagraph"/>
              <w:ind w:right="43"/>
              <w:jc w:val="center"/>
              <w:rPr>
                <w:sz w:val="14"/>
              </w:rPr>
            </w:pPr>
            <w:bookmarkStart w:name="_bookmark2698" w:id="2700"/>
            <w:bookmarkEnd w:id="2700"/>
            <w:r>
              <w:rPr/>
            </w:r>
            <w:hyperlink w:history="true" w:anchor="_bookmark2647">
              <w:r>
                <w:rPr>
                  <w:color w:val="005DA1"/>
                  <w:spacing w:val="-2"/>
                  <w:sz w:val="14"/>
                  <w:u w:val="single" w:color="005DA1"/>
                </w:rPr>
                <w:t>1394</w:t>
              </w:r>
            </w:hyperlink>
            <w:r>
              <w:rPr>
                <w:spacing w:val="-2"/>
                <w:sz w:val="14"/>
              </w:rPr>
              <w:t>.</w:t>
            </w:r>
          </w:p>
        </w:tc>
        <w:tc>
          <w:tcPr>
            <w:tcW w:w="8621" w:type="dxa"/>
          </w:tcPr>
          <w:p>
            <w:pPr>
              <w:pStyle w:val="TableParagraph"/>
              <w:spacing w:line="235" w:lineRule="auto" w:before="118"/>
              <w:ind w:left="94"/>
              <w:rPr>
                <w:sz w:val="20"/>
              </w:rPr>
            </w:pPr>
            <w:r>
              <w:rPr>
                <w:rFonts w:ascii="Arial"/>
                <w:i/>
                <w:sz w:val="20"/>
              </w:rPr>
              <w:t>Bold v Brough, Nicholson &amp; Hall Ltd [1964] 1 W.L.R. 201 </w:t>
            </w:r>
            <w:r>
              <w:rPr>
                <w:sz w:val="20"/>
              </w:rPr>
              <w:t>(followed in </w:t>
            </w:r>
            <w:r>
              <w:rPr>
                <w:rFonts w:ascii="Arial"/>
                <w:i/>
                <w:sz w:val="20"/>
              </w:rPr>
              <w:t>Basnett v J. &amp; A. Jackson Ltd [1976] I.C.R. 63, 74)</w:t>
            </w:r>
            <w:r>
              <w:rPr>
                <w:sz w:val="20"/>
              </w:rPr>
              <w:t>.</w:t>
            </w:r>
          </w:p>
        </w:tc>
      </w:tr>
      <w:tr>
        <w:trPr>
          <w:trHeight w:val="915" w:hRule="atLeast"/>
        </w:trPr>
        <w:tc>
          <w:tcPr>
            <w:tcW w:w="496" w:type="dxa"/>
          </w:tcPr>
          <w:p>
            <w:pPr>
              <w:pStyle w:val="TableParagraph"/>
              <w:ind w:right="43"/>
              <w:jc w:val="center"/>
              <w:rPr>
                <w:sz w:val="14"/>
              </w:rPr>
            </w:pPr>
            <w:bookmarkStart w:name="_bookmark2699" w:id="2701"/>
            <w:bookmarkEnd w:id="2701"/>
            <w:r>
              <w:rPr/>
            </w:r>
            <w:hyperlink w:history="true" w:anchor="_bookmark2648">
              <w:r>
                <w:rPr>
                  <w:color w:val="005DA1"/>
                  <w:spacing w:val="-2"/>
                  <w:sz w:val="14"/>
                  <w:u w:val="single" w:color="005DA1"/>
                </w:rPr>
                <w:t>1395</w:t>
              </w:r>
            </w:hyperlink>
            <w:r>
              <w:rPr>
                <w:spacing w:val="-2"/>
                <w:sz w:val="14"/>
              </w:rPr>
              <w:t>.</w:t>
            </w:r>
          </w:p>
        </w:tc>
        <w:tc>
          <w:tcPr>
            <w:tcW w:w="8621" w:type="dxa"/>
          </w:tcPr>
          <w:p>
            <w:pPr>
              <w:pStyle w:val="TableParagraph"/>
              <w:spacing w:line="235" w:lineRule="auto" w:before="118"/>
              <w:ind w:left="94" w:right="49"/>
              <w:jc w:val="both"/>
              <w:rPr>
                <w:sz w:val="20"/>
              </w:rPr>
            </w:pPr>
            <w:r>
              <w:rPr>
                <w:rFonts w:ascii="Arial" w:hAnsi="Arial"/>
                <w:i/>
                <w:sz w:val="20"/>
              </w:rPr>
              <w:t>Stewart v Glentaggart Ltd (1963) S.L.T. 119</w:t>
            </w:r>
            <w:r>
              <w:rPr>
                <w:sz w:val="20"/>
              </w:rPr>
              <w:t>. See Simon’s Taxes, para.E4.833; </w:t>
            </w:r>
            <w:r>
              <w:rPr>
                <w:sz w:val="20"/>
              </w:rPr>
              <w:t>McGregor, </w:t>
            </w:r>
            <w:r>
              <w:rPr>
                <w:rFonts w:ascii="Arial" w:hAnsi="Arial"/>
                <w:i/>
                <w:sz w:val="20"/>
              </w:rPr>
              <w:t>Damages</w:t>
            </w:r>
            <w:r>
              <w:rPr>
                <w:sz w:val="20"/>
              </w:rPr>
              <w:t>, 19th edn (2014), para.17–046 (which submits that the 1998 substitution of s.148</w:t>
            </w:r>
            <w:r>
              <w:rPr>
                <w:spacing w:val="40"/>
                <w:sz w:val="20"/>
              </w:rPr>
              <w:t> </w:t>
            </w:r>
            <w:r>
              <w:rPr>
                <w:sz w:val="20"/>
              </w:rPr>
              <w:t>(see now ss.401–403 of the 2003 Act) avoided the problem).</w:t>
            </w:r>
          </w:p>
        </w:tc>
      </w:tr>
      <w:tr>
        <w:trPr>
          <w:trHeight w:val="690" w:hRule="atLeast"/>
        </w:trPr>
        <w:tc>
          <w:tcPr>
            <w:tcW w:w="496" w:type="dxa"/>
          </w:tcPr>
          <w:p>
            <w:pPr>
              <w:pStyle w:val="TableParagraph"/>
              <w:ind w:right="43"/>
              <w:jc w:val="center"/>
              <w:rPr>
                <w:sz w:val="14"/>
              </w:rPr>
            </w:pPr>
            <w:bookmarkStart w:name="_bookmark2700" w:id="2702"/>
            <w:bookmarkEnd w:id="2702"/>
            <w:r>
              <w:rPr/>
            </w:r>
            <w:hyperlink w:history="true" w:anchor="_bookmark2649">
              <w:r>
                <w:rPr>
                  <w:color w:val="005DA1"/>
                  <w:spacing w:val="-2"/>
                  <w:sz w:val="14"/>
                  <w:u w:val="single" w:color="005DA1"/>
                </w:rPr>
                <w:t>1396</w:t>
              </w:r>
            </w:hyperlink>
            <w:r>
              <w:rPr>
                <w:spacing w:val="-2"/>
                <w:sz w:val="14"/>
              </w:rPr>
              <w:t>.</w:t>
            </w:r>
          </w:p>
        </w:tc>
        <w:tc>
          <w:tcPr>
            <w:tcW w:w="8621" w:type="dxa"/>
          </w:tcPr>
          <w:p>
            <w:pPr>
              <w:pStyle w:val="TableParagraph"/>
              <w:spacing w:line="235" w:lineRule="auto" w:before="118"/>
              <w:ind w:left="94" w:right="15"/>
              <w:rPr>
                <w:sz w:val="20"/>
              </w:rPr>
            </w:pPr>
            <w:r>
              <w:rPr>
                <w:sz w:val="20"/>
              </w:rPr>
              <w:t>It</w:t>
            </w:r>
            <w:r>
              <w:rPr>
                <w:spacing w:val="-1"/>
                <w:sz w:val="20"/>
              </w:rPr>
              <w:t> </w:t>
            </w:r>
            <w:r>
              <w:rPr>
                <w:sz w:val="20"/>
              </w:rPr>
              <w:t>is</w:t>
            </w:r>
            <w:r>
              <w:rPr>
                <w:spacing w:val="-1"/>
                <w:sz w:val="20"/>
              </w:rPr>
              <w:t> </w:t>
            </w:r>
            <w:r>
              <w:rPr>
                <w:sz w:val="20"/>
              </w:rPr>
              <w:t>possible</w:t>
            </w:r>
            <w:r>
              <w:rPr>
                <w:spacing w:val="-1"/>
                <w:sz w:val="20"/>
              </w:rPr>
              <w:t> </w:t>
            </w:r>
            <w:r>
              <w:rPr>
                <w:sz w:val="20"/>
              </w:rPr>
              <w:t>under</w:t>
            </w:r>
            <w:r>
              <w:rPr>
                <w:spacing w:val="-1"/>
                <w:sz w:val="20"/>
              </w:rPr>
              <w:t> </w:t>
            </w:r>
            <w:r>
              <w:rPr>
                <w:sz w:val="20"/>
              </w:rPr>
              <w:t>this</w:t>
            </w:r>
            <w:r>
              <w:rPr>
                <w:spacing w:val="-1"/>
                <w:sz w:val="20"/>
              </w:rPr>
              <w:t> </w:t>
            </w:r>
            <w:r>
              <w:rPr>
                <w:sz w:val="20"/>
              </w:rPr>
              <w:t>method</w:t>
            </w:r>
            <w:r>
              <w:rPr>
                <w:spacing w:val="-1"/>
                <w:sz w:val="20"/>
              </w:rPr>
              <w:t> </w:t>
            </w:r>
            <w:r>
              <w:rPr>
                <w:sz w:val="20"/>
              </w:rPr>
              <w:t>for</w:t>
            </w:r>
            <w:r>
              <w:rPr>
                <w:spacing w:val="-1"/>
                <w:sz w:val="20"/>
              </w:rPr>
              <w:t> </w:t>
            </w:r>
            <w:r>
              <w:rPr>
                <w:sz w:val="20"/>
              </w:rPr>
              <w:t>the</w:t>
            </w:r>
            <w:r>
              <w:rPr>
                <w:spacing w:val="-1"/>
                <w:sz w:val="20"/>
              </w:rPr>
              <w:t> </w:t>
            </w:r>
            <w:r>
              <w:rPr>
                <w:sz w:val="20"/>
              </w:rPr>
              <w:t>award</w:t>
            </w:r>
            <w:r>
              <w:rPr>
                <w:spacing w:val="-1"/>
                <w:sz w:val="20"/>
              </w:rPr>
              <w:t> </w:t>
            </w:r>
            <w:r>
              <w:rPr>
                <w:sz w:val="20"/>
              </w:rPr>
              <w:t>to</w:t>
            </w:r>
            <w:r>
              <w:rPr>
                <w:spacing w:val="-1"/>
                <w:sz w:val="20"/>
              </w:rPr>
              <w:t> </w:t>
            </w:r>
            <w:r>
              <w:rPr>
                <w:sz w:val="20"/>
              </w:rPr>
              <w:t>be</w:t>
            </w:r>
            <w:r>
              <w:rPr>
                <w:spacing w:val="-1"/>
                <w:sz w:val="20"/>
              </w:rPr>
              <w:t> </w:t>
            </w:r>
            <w:r>
              <w:rPr>
                <w:sz w:val="20"/>
              </w:rPr>
              <w:t>higher</w:t>
            </w:r>
            <w:r>
              <w:rPr>
                <w:spacing w:val="-1"/>
                <w:sz w:val="20"/>
              </w:rPr>
              <w:t> </w:t>
            </w:r>
            <w:r>
              <w:rPr>
                <w:sz w:val="20"/>
              </w:rPr>
              <w:t>than</w:t>
            </w:r>
            <w:r>
              <w:rPr>
                <w:spacing w:val="-1"/>
                <w:sz w:val="20"/>
              </w:rPr>
              <w:t> </w:t>
            </w:r>
            <w:r>
              <w:rPr>
                <w:sz w:val="20"/>
              </w:rPr>
              <w:t>the</w:t>
            </w:r>
            <w:r>
              <w:rPr>
                <w:spacing w:val="-1"/>
                <w:sz w:val="20"/>
              </w:rPr>
              <w:t> </w:t>
            </w:r>
            <w:r>
              <w:rPr>
                <w:sz w:val="20"/>
              </w:rPr>
              <w:t>claimant’s</w:t>
            </w:r>
            <w:r>
              <w:rPr>
                <w:spacing w:val="-1"/>
                <w:sz w:val="20"/>
              </w:rPr>
              <w:t> </w:t>
            </w:r>
            <w:r>
              <w:rPr>
                <w:sz w:val="20"/>
              </w:rPr>
              <w:t>gross</w:t>
            </w:r>
            <w:r>
              <w:rPr>
                <w:spacing w:val="-1"/>
                <w:sz w:val="20"/>
              </w:rPr>
              <w:t> </w:t>
            </w:r>
            <w:r>
              <w:rPr>
                <w:sz w:val="20"/>
              </w:rPr>
              <w:t>loss:</w:t>
            </w:r>
            <w:r>
              <w:rPr>
                <w:spacing w:val="-2"/>
                <w:sz w:val="20"/>
              </w:rPr>
              <w:t> </w:t>
            </w:r>
            <w:r>
              <w:rPr>
                <w:rFonts w:ascii="Arial" w:hAnsi="Arial"/>
                <w:i/>
                <w:sz w:val="20"/>
              </w:rPr>
              <w:t>Shove v Downs Surgical [1984] 1 All E.R. 7</w:t>
            </w:r>
            <w:r>
              <w:rPr>
                <w:sz w:val="20"/>
              </w:rPr>
              <w:t>.</w:t>
            </w:r>
          </w:p>
        </w:tc>
      </w:tr>
      <w:tr>
        <w:trPr>
          <w:trHeight w:val="465" w:hRule="atLeast"/>
        </w:trPr>
        <w:tc>
          <w:tcPr>
            <w:tcW w:w="496" w:type="dxa"/>
          </w:tcPr>
          <w:p>
            <w:pPr>
              <w:pStyle w:val="TableParagraph"/>
              <w:ind w:right="43"/>
              <w:jc w:val="center"/>
              <w:rPr>
                <w:sz w:val="14"/>
              </w:rPr>
            </w:pPr>
            <w:bookmarkStart w:name="_bookmark2701" w:id="2703"/>
            <w:bookmarkEnd w:id="2703"/>
            <w:r>
              <w:rPr/>
            </w:r>
            <w:hyperlink w:history="true" w:anchor="_bookmark2650">
              <w:r>
                <w:rPr>
                  <w:color w:val="005DA1"/>
                  <w:spacing w:val="-2"/>
                  <w:sz w:val="14"/>
                  <w:u w:val="single" w:color="005DA1"/>
                </w:rPr>
                <w:t>1397</w:t>
              </w:r>
            </w:hyperlink>
            <w:r>
              <w:rPr>
                <w:spacing w:val="-2"/>
                <w:sz w:val="14"/>
              </w:rPr>
              <w:t>.</w:t>
            </w:r>
          </w:p>
        </w:tc>
        <w:tc>
          <w:tcPr>
            <w:tcW w:w="8621" w:type="dxa"/>
          </w:tcPr>
          <w:p>
            <w:pPr>
              <w:pStyle w:val="TableParagraph"/>
              <w:spacing w:before="114"/>
              <w:ind w:left="94"/>
              <w:rPr>
                <w:sz w:val="20"/>
              </w:rPr>
            </w:pPr>
            <w:r>
              <w:rPr>
                <w:rFonts w:ascii="Arial"/>
                <w:i/>
                <w:sz w:val="20"/>
              </w:rPr>
              <w:t>Shove v Downs Surgical [1984] 1 All E.R. </w:t>
            </w:r>
            <w:r>
              <w:rPr>
                <w:rFonts w:ascii="Arial"/>
                <w:i/>
                <w:spacing w:val="-5"/>
                <w:sz w:val="20"/>
              </w:rPr>
              <w:t>7</w:t>
            </w:r>
            <w:r>
              <w:rPr>
                <w:spacing w:val="-5"/>
                <w:sz w:val="20"/>
              </w:rPr>
              <w:t>.</w:t>
            </w:r>
          </w:p>
        </w:tc>
      </w:tr>
      <w:tr>
        <w:trPr>
          <w:trHeight w:val="690" w:hRule="atLeast"/>
        </w:trPr>
        <w:tc>
          <w:tcPr>
            <w:tcW w:w="496" w:type="dxa"/>
          </w:tcPr>
          <w:p>
            <w:pPr>
              <w:pStyle w:val="TableParagraph"/>
              <w:ind w:right="43"/>
              <w:jc w:val="center"/>
              <w:rPr>
                <w:sz w:val="14"/>
              </w:rPr>
            </w:pPr>
            <w:bookmarkStart w:name="_bookmark2702" w:id="2704"/>
            <w:bookmarkEnd w:id="2704"/>
            <w:r>
              <w:rPr/>
            </w:r>
            <w:hyperlink w:history="true" w:anchor="_bookmark2650">
              <w:r>
                <w:rPr>
                  <w:color w:val="005DA1"/>
                  <w:spacing w:val="-2"/>
                  <w:sz w:val="14"/>
                  <w:u w:val="single" w:color="005DA1"/>
                </w:rPr>
                <w:t>1398</w:t>
              </w:r>
            </w:hyperlink>
            <w:r>
              <w:rPr>
                <w:spacing w:val="-2"/>
                <w:sz w:val="14"/>
              </w:rPr>
              <w:t>.</w:t>
            </w:r>
          </w:p>
        </w:tc>
        <w:tc>
          <w:tcPr>
            <w:tcW w:w="8621" w:type="dxa"/>
          </w:tcPr>
          <w:p>
            <w:pPr>
              <w:pStyle w:val="TableParagraph"/>
              <w:spacing w:line="235" w:lineRule="auto" w:before="118"/>
              <w:ind w:left="94"/>
              <w:rPr>
                <w:sz w:val="20"/>
              </w:rPr>
            </w:pPr>
            <w:r>
              <w:rPr>
                <w:sz w:val="20"/>
              </w:rPr>
              <w:t>Whiteman</w:t>
            </w:r>
            <w:r>
              <w:rPr>
                <w:spacing w:val="36"/>
                <w:sz w:val="20"/>
              </w:rPr>
              <w:t> </w:t>
            </w:r>
            <w:r>
              <w:rPr>
                <w:sz w:val="20"/>
              </w:rPr>
              <w:t>and</w:t>
            </w:r>
            <w:r>
              <w:rPr>
                <w:spacing w:val="36"/>
                <w:sz w:val="20"/>
              </w:rPr>
              <w:t> </w:t>
            </w:r>
            <w:r>
              <w:rPr>
                <w:sz w:val="20"/>
              </w:rPr>
              <w:t>Sherry,</w:t>
            </w:r>
            <w:r>
              <w:rPr>
                <w:spacing w:val="36"/>
                <w:sz w:val="20"/>
              </w:rPr>
              <w:t> </w:t>
            </w:r>
            <w:r>
              <w:rPr>
                <w:sz w:val="20"/>
              </w:rPr>
              <w:t>para.14.234</w:t>
            </w:r>
            <w:r>
              <w:rPr>
                <w:spacing w:val="36"/>
                <w:sz w:val="20"/>
              </w:rPr>
              <w:t> </w:t>
            </w:r>
            <w:r>
              <w:rPr>
                <w:sz w:val="20"/>
              </w:rPr>
              <w:t>also</w:t>
            </w:r>
            <w:r>
              <w:rPr>
                <w:spacing w:val="36"/>
                <w:sz w:val="20"/>
              </w:rPr>
              <w:t> </w:t>
            </w:r>
            <w:r>
              <w:rPr>
                <w:sz w:val="20"/>
              </w:rPr>
              <w:t>submits</w:t>
            </w:r>
            <w:r>
              <w:rPr>
                <w:spacing w:val="36"/>
                <w:sz w:val="20"/>
              </w:rPr>
              <w:t> </w:t>
            </w:r>
            <w:r>
              <w:rPr>
                <w:sz w:val="20"/>
              </w:rPr>
              <w:t>that</w:t>
            </w:r>
            <w:r>
              <w:rPr>
                <w:spacing w:val="36"/>
                <w:sz w:val="20"/>
              </w:rPr>
              <w:t> </w:t>
            </w:r>
            <w:r>
              <w:rPr>
                <w:sz w:val="20"/>
              </w:rPr>
              <w:t>this</w:t>
            </w:r>
            <w:r>
              <w:rPr>
                <w:spacing w:val="36"/>
                <w:sz w:val="20"/>
              </w:rPr>
              <w:t> </w:t>
            </w:r>
            <w:r>
              <w:rPr>
                <w:sz w:val="20"/>
              </w:rPr>
              <w:t>method</w:t>
            </w:r>
            <w:r>
              <w:rPr>
                <w:spacing w:val="36"/>
                <w:sz w:val="20"/>
              </w:rPr>
              <w:t> </w:t>
            </w:r>
            <w:r>
              <w:rPr>
                <w:sz w:val="20"/>
              </w:rPr>
              <w:t>should</w:t>
            </w:r>
            <w:r>
              <w:rPr>
                <w:spacing w:val="36"/>
                <w:sz w:val="20"/>
              </w:rPr>
              <w:t> </w:t>
            </w:r>
            <w:r>
              <w:rPr>
                <w:sz w:val="20"/>
              </w:rPr>
              <w:t>be</w:t>
            </w:r>
            <w:r>
              <w:rPr>
                <w:spacing w:val="36"/>
                <w:sz w:val="20"/>
              </w:rPr>
              <w:t> </w:t>
            </w:r>
            <w:r>
              <w:rPr>
                <w:sz w:val="20"/>
              </w:rPr>
              <w:t>followed.</w:t>
            </w:r>
            <w:r>
              <w:rPr>
                <w:spacing w:val="36"/>
                <w:sz w:val="20"/>
              </w:rPr>
              <w:t> </w:t>
            </w:r>
            <w:r>
              <w:rPr>
                <w:sz w:val="20"/>
              </w:rPr>
              <w:t>(See above, n.1136).</w:t>
            </w:r>
          </w:p>
        </w:tc>
      </w:tr>
      <w:tr>
        <w:trPr>
          <w:trHeight w:val="465" w:hRule="atLeast"/>
        </w:trPr>
        <w:tc>
          <w:tcPr>
            <w:tcW w:w="496" w:type="dxa"/>
          </w:tcPr>
          <w:p>
            <w:pPr>
              <w:pStyle w:val="TableParagraph"/>
              <w:ind w:right="43"/>
              <w:jc w:val="center"/>
              <w:rPr>
                <w:sz w:val="14"/>
              </w:rPr>
            </w:pPr>
            <w:bookmarkStart w:name="_bookmark2703" w:id="2705"/>
            <w:bookmarkEnd w:id="2705"/>
            <w:r>
              <w:rPr/>
            </w:r>
            <w:hyperlink w:history="true" w:anchor="_bookmark2651">
              <w:r>
                <w:rPr>
                  <w:color w:val="005DA1"/>
                  <w:spacing w:val="-2"/>
                  <w:sz w:val="14"/>
                  <w:u w:val="single" w:color="005DA1"/>
                </w:rPr>
                <w:t>1399</w:t>
              </w:r>
            </w:hyperlink>
            <w:r>
              <w:rPr>
                <w:spacing w:val="-2"/>
                <w:sz w:val="14"/>
              </w:rPr>
              <w:t>.</w:t>
            </w:r>
          </w:p>
        </w:tc>
        <w:tc>
          <w:tcPr>
            <w:tcW w:w="8621" w:type="dxa"/>
          </w:tcPr>
          <w:p>
            <w:pPr>
              <w:pStyle w:val="TableParagraph"/>
              <w:spacing w:before="114"/>
              <w:ind w:left="94"/>
              <w:rPr>
                <w:sz w:val="20"/>
              </w:rPr>
            </w:pPr>
            <w:r>
              <w:rPr>
                <w:rFonts w:ascii="Arial"/>
                <w:i/>
                <w:sz w:val="20"/>
              </w:rPr>
              <w:t>Re Houghton Main Colliery Co Ltd [1956] 1 W.L.R. </w:t>
            </w:r>
            <w:r>
              <w:rPr>
                <w:rFonts w:ascii="Arial"/>
                <w:i/>
                <w:spacing w:val="-2"/>
                <w:sz w:val="20"/>
              </w:rPr>
              <w:t>1219</w:t>
            </w:r>
            <w:r>
              <w:rPr>
                <w:spacing w:val="-2"/>
                <w:sz w:val="20"/>
              </w:rPr>
              <w:t>.</w:t>
            </w:r>
          </w:p>
        </w:tc>
      </w:tr>
      <w:tr>
        <w:trPr>
          <w:trHeight w:val="465" w:hRule="atLeast"/>
        </w:trPr>
        <w:tc>
          <w:tcPr>
            <w:tcW w:w="496" w:type="dxa"/>
          </w:tcPr>
          <w:p>
            <w:pPr>
              <w:pStyle w:val="TableParagraph"/>
              <w:ind w:right="43"/>
              <w:jc w:val="center"/>
              <w:rPr>
                <w:sz w:val="14"/>
              </w:rPr>
            </w:pPr>
            <w:bookmarkStart w:name="_bookmark2704" w:id="2706"/>
            <w:bookmarkEnd w:id="2706"/>
            <w:r>
              <w:rPr/>
            </w:r>
            <w:hyperlink w:history="true" w:anchor="_bookmark2651">
              <w:r>
                <w:rPr>
                  <w:color w:val="005DA1"/>
                  <w:spacing w:val="-2"/>
                  <w:sz w:val="14"/>
                  <w:u w:val="single" w:color="005DA1"/>
                </w:rPr>
                <w:t>1400</w:t>
              </w:r>
            </w:hyperlink>
            <w:r>
              <w:rPr>
                <w:spacing w:val="-2"/>
                <w:sz w:val="14"/>
              </w:rPr>
              <w:t>.</w:t>
            </w:r>
          </w:p>
        </w:tc>
        <w:tc>
          <w:tcPr>
            <w:tcW w:w="8621" w:type="dxa"/>
          </w:tcPr>
          <w:p>
            <w:pPr>
              <w:pStyle w:val="TableParagraph"/>
              <w:spacing w:before="114"/>
              <w:ind w:left="94"/>
              <w:rPr>
                <w:sz w:val="20"/>
              </w:rPr>
            </w:pPr>
            <w:r>
              <w:rPr>
                <w:rFonts w:ascii="Arial"/>
                <w:i/>
                <w:sz w:val="20"/>
              </w:rPr>
              <w:t>British Transport Commission v Gourley [1956] A.C. 185, 203, 207, </w:t>
            </w:r>
            <w:r>
              <w:rPr>
                <w:rFonts w:ascii="Arial"/>
                <w:i/>
                <w:spacing w:val="-4"/>
                <w:sz w:val="20"/>
              </w:rPr>
              <w:t>215</w:t>
            </w:r>
            <w:r>
              <w:rPr>
                <w:spacing w:val="-4"/>
                <w:sz w:val="20"/>
              </w:rPr>
              <w:t>.</w:t>
            </w:r>
          </w:p>
        </w:tc>
      </w:tr>
      <w:tr>
        <w:trPr>
          <w:trHeight w:val="465" w:hRule="atLeast"/>
        </w:trPr>
        <w:tc>
          <w:tcPr>
            <w:tcW w:w="496" w:type="dxa"/>
          </w:tcPr>
          <w:p>
            <w:pPr>
              <w:pStyle w:val="TableParagraph"/>
              <w:ind w:right="43"/>
              <w:jc w:val="center"/>
              <w:rPr>
                <w:sz w:val="14"/>
              </w:rPr>
            </w:pPr>
            <w:bookmarkStart w:name="_bookmark2705" w:id="2707"/>
            <w:bookmarkEnd w:id="2707"/>
            <w:r>
              <w:rPr/>
            </w:r>
            <w:hyperlink w:history="true" w:anchor="_bookmark2652">
              <w:r>
                <w:rPr>
                  <w:color w:val="005DA1"/>
                  <w:spacing w:val="-2"/>
                  <w:sz w:val="14"/>
                  <w:u w:val="single" w:color="005DA1"/>
                </w:rPr>
                <w:t>1401</w:t>
              </w:r>
            </w:hyperlink>
            <w:r>
              <w:rPr>
                <w:spacing w:val="-2"/>
                <w:sz w:val="14"/>
              </w:rPr>
              <w:t>.</w:t>
            </w:r>
          </w:p>
        </w:tc>
        <w:tc>
          <w:tcPr>
            <w:tcW w:w="8621" w:type="dxa"/>
          </w:tcPr>
          <w:p>
            <w:pPr>
              <w:pStyle w:val="TableParagraph"/>
              <w:spacing w:before="114"/>
              <w:ind w:left="94"/>
              <w:rPr>
                <w:sz w:val="20"/>
              </w:rPr>
            </w:pPr>
            <w:r>
              <w:rPr>
                <w:rFonts w:ascii="Arial"/>
                <w:i/>
                <w:sz w:val="20"/>
              </w:rPr>
              <w:t>[1956]</w:t>
            </w:r>
            <w:r>
              <w:rPr>
                <w:rFonts w:ascii="Arial"/>
                <w:i/>
                <w:spacing w:val="-2"/>
                <w:sz w:val="20"/>
              </w:rPr>
              <w:t> </w:t>
            </w:r>
            <w:r>
              <w:rPr>
                <w:rFonts w:ascii="Arial"/>
                <w:i/>
                <w:sz w:val="20"/>
              </w:rPr>
              <w:t>A.C. 185, </w:t>
            </w:r>
            <w:r>
              <w:rPr>
                <w:rFonts w:ascii="Arial"/>
                <w:i/>
                <w:spacing w:val="-4"/>
                <w:sz w:val="20"/>
              </w:rPr>
              <w:t>207</w:t>
            </w:r>
            <w:r>
              <w:rPr>
                <w:spacing w:val="-4"/>
                <w:sz w:val="20"/>
              </w:rPr>
              <w:t>.</w:t>
            </w:r>
          </w:p>
        </w:tc>
      </w:tr>
      <w:tr>
        <w:trPr>
          <w:trHeight w:val="465" w:hRule="atLeast"/>
        </w:trPr>
        <w:tc>
          <w:tcPr>
            <w:tcW w:w="496" w:type="dxa"/>
          </w:tcPr>
          <w:p>
            <w:pPr>
              <w:pStyle w:val="TableParagraph"/>
              <w:ind w:right="43"/>
              <w:jc w:val="center"/>
              <w:rPr>
                <w:sz w:val="14"/>
              </w:rPr>
            </w:pPr>
            <w:bookmarkStart w:name="_bookmark2706" w:id="2708"/>
            <w:bookmarkEnd w:id="2708"/>
            <w:r>
              <w:rPr/>
            </w:r>
            <w:hyperlink w:history="true" w:anchor="_bookmark2653">
              <w:r>
                <w:rPr>
                  <w:color w:val="005DA1"/>
                  <w:spacing w:val="-2"/>
                  <w:sz w:val="14"/>
                  <w:u w:val="single" w:color="005DA1"/>
                </w:rPr>
                <w:t>1402</w:t>
              </w:r>
            </w:hyperlink>
            <w:r>
              <w:rPr>
                <w:spacing w:val="-2"/>
                <w:sz w:val="14"/>
              </w:rPr>
              <w:t>.</w:t>
            </w:r>
          </w:p>
        </w:tc>
        <w:tc>
          <w:tcPr>
            <w:tcW w:w="8621" w:type="dxa"/>
          </w:tcPr>
          <w:p>
            <w:pPr>
              <w:pStyle w:val="TableParagraph"/>
              <w:spacing w:before="114"/>
              <w:ind w:left="94"/>
              <w:rPr>
                <w:sz w:val="20"/>
              </w:rPr>
            </w:pPr>
            <w:r>
              <w:rPr>
                <w:rFonts w:ascii="Arial"/>
                <w:i/>
                <w:sz w:val="20"/>
              </w:rPr>
              <w:t>[1956]</w:t>
            </w:r>
            <w:r>
              <w:rPr>
                <w:rFonts w:ascii="Arial"/>
                <w:i/>
                <w:spacing w:val="-2"/>
                <w:sz w:val="20"/>
              </w:rPr>
              <w:t> </w:t>
            </w:r>
            <w:r>
              <w:rPr>
                <w:rFonts w:ascii="Arial"/>
                <w:i/>
                <w:sz w:val="20"/>
              </w:rPr>
              <w:t>A.C. 185, </w:t>
            </w:r>
            <w:r>
              <w:rPr>
                <w:rFonts w:ascii="Arial"/>
                <w:i/>
                <w:spacing w:val="-4"/>
                <w:sz w:val="20"/>
              </w:rPr>
              <w:t>209</w:t>
            </w:r>
            <w:r>
              <w:rPr>
                <w:spacing w:val="-4"/>
                <w:sz w:val="20"/>
              </w:rPr>
              <w:t>.</w:t>
            </w:r>
          </w:p>
        </w:tc>
      </w:tr>
      <w:tr>
        <w:trPr>
          <w:trHeight w:val="465" w:hRule="atLeast"/>
        </w:trPr>
        <w:tc>
          <w:tcPr>
            <w:tcW w:w="496" w:type="dxa"/>
          </w:tcPr>
          <w:p>
            <w:pPr>
              <w:pStyle w:val="TableParagraph"/>
              <w:ind w:right="43"/>
              <w:jc w:val="center"/>
              <w:rPr>
                <w:sz w:val="14"/>
              </w:rPr>
            </w:pPr>
            <w:bookmarkStart w:name="_bookmark2707" w:id="2709"/>
            <w:bookmarkEnd w:id="2709"/>
            <w:r>
              <w:rPr/>
            </w:r>
            <w:hyperlink w:history="true" w:anchor="_bookmark2654">
              <w:r>
                <w:rPr>
                  <w:color w:val="005DA1"/>
                  <w:spacing w:val="-2"/>
                  <w:sz w:val="14"/>
                  <w:u w:val="single" w:color="005DA1"/>
                </w:rPr>
                <w:t>1403</w:t>
              </w:r>
            </w:hyperlink>
            <w:r>
              <w:rPr>
                <w:spacing w:val="-2"/>
                <w:sz w:val="14"/>
              </w:rPr>
              <w:t>.</w:t>
            </w:r>
          </w:p>
        </w:tc>
        <w:tc>
          <w:tcPr>
            <w:tcW w:w="8621" w:type="dxa"/>
          </w:tcPr>
          <w:p>
            <w:pPr>
              <w:pStyle w:val="TableParagraph"/>
              <w:spacing w:before="114"/>
              <w:ind w:left="94"/>
              <w:rPr>
                <w:sz w:val="20"/>
              </w:rPr>
            </w:pPr>
            <w:r>
              <w:rPr>
                <w:rFonts w:ascii="Arial"/>
                <w:i/>
                <w:sz w:val="20"/>
              </w:rPr>
              <w:t>Beach v Reed Corrugated Cases Ltd [1956] 1 W.L.R. 807</w:t>
            </w:r>
            <w:r>
              <w:rPr>
                <w:rFonts w:ascii="Arial"/>
                <w:i/>
                <w:spacing w:val="-1"/>
                <w:sz w:val="20"/>
              </w:rPr>
              <w:t> </w:t>
            </w:r>
            <w:r>
              <w:rPr>
                <w:sz w:val="20"/>
              </w:rPr>
              <w:t>(wrongful </w:t>
            </w:r>
            <w:r>
              <w:rPr>
                <w:spacing w:val="-2"/>
                <w:sz w:val="20"/>
              </w:rPr>
              <w:t>dismissal).</w:t>
            </w:r>
          </w:p>
        </w:tc>
      </w:tr>
      <w:tr>
        <w:trPr>
          <w:trHeight w:val="1140" w:hRule="atLeast"/>
        </w:trPr>
        <w:tc>
          <w:tcPr>
            <w:tcW w:w="496" w:type="dxa"/>
          </w:tcPr>
          <w:p>
            <w:pPr>
              <w:pStyle w:val="TableParagraph"/>
              <w:ind w:right="43"/>
              <w:jc w:val="center"/>
              <w:rPr>
                <w:sz w:val="14"/>
              </w:rPr>
            </w:pPr>
            <w:bookmarkStart w:name="_bookmark2708" w:id="2710"/>
            <w:bookmarkEnd w:id="2710"/>
            <w:r>
              <w:rPr/>
            </w:r>
            <w:hyperlink w:history="true" w:anchor="_bookmark2655">
              <w:r>
                <w:rPr>
                  <w:color w:val="005DA1"/>
                  <w:spacing w:val="-2"/>
                  <w:sz w:val="14"/>
                  <w:u w:val="single" w:color="005DA1"/>
                </w:rPr>
                <w:t>1404</w:t>
              </w:r>
            </w:hyperlink>
            <w:r>
              <w:rPr>
                <w:spacing w:val="-2"/>
                <w:sz w:val="14"/>
              </w:rPr>
              <w:t>.</w:t>
            </w:r>
          </w:p>
        </w:tc>
        <w:tc>
          <w:tcPr>
            <w:tcW w:w="8621" w:type="dxa"/>
          </w:tcPr>
          <w:p>
            <w:pPr>
              <w:pStyle w:val="TableParagraph"/>
              <w:spacing w:line="235" w:lineRule="auto" w:before="118"/>
              <w:ind w:left="94" w:right="49"/>
              <w:jc w:val="both"/>
              <w:rPr>
                <w:sz w:val="20"/>
              </w:rPr>
            </w:pPr>
            <w:r>
              <w:rPr>
                <w:rFonts w:ascii="Arial" w:hAnsi="Arial"/>
                <w:i/>
                <w:sz w:val="20"/>
              </w:rPr>
              <w:t>[1973] 1 W.L.R. 73</w:t>
            </w:r>
            <w:r>
              <w:rPr>
                <w:sz w:val="20"/>
              </w:rPr>
              <w:t>. (McGregor on Damages, 18th edn (2009), para.14–046, criticises the view taken in this case that the damages would not be taxable in the hands of the plaintiff. In</w:t>
            </w:r>
            <w:r>
              <w:rPr>
                <w:spacing w:val="40"/>
                <w:sz w:val="20"/>
              </w:rPr>
              <w:t> </w:t>
            </w:r>
            <w:r>
              <w:rPr>
                <w:sz w:val="20"/>
              </w:rPr>
              <w:t>para.14-047 he relies on the decision of the House of Lords in </w:t>
            </w:r>
            <w:r>
              <w:rPr>
                <w:rFonts w:ascii="Arial" w:hAnsi="Arial"/>
                <w:i/>
                <w:sz w:val="20"/>
              </w:rPr>
              <w:t>Deeny v Gooda Walker (No.2) [1996] 1 W.L.R. 426 </w:t>
            </w:r>
            <w:r>
              <w:rPr>
                <w:sz w:val="20"/>
              </w:rPr>
              <w:t>(see below, para.26-223 n.1153).)</w:t>
            </w:r>
          </w:p>
        </w:tc>
      </w:tr>
      <w:tr>
        <w:trPr>
          <w:trHeight w:val="915" w:hRule="atLeast"/>
        </w:trPr>
        <w:tc>
          <w:tcPr>
            <w:tcW w:w="496" w:type="dxa"/>
          </w:tcPr>
          <w:p>
            <w:pPr>
              <w:pStyle w:val="TableParagraph"/>
              <w:ind w:right="43"/>
              <w:jc w:val="center"/>
              <w:rPr>
                <w:sz w:val="14"/>
              </w:rPr>
            </w:pPr>
            <w:bookmarkStart w:name="_bookmark2709" w:id="2711"/>
            <w:bookmarkEnd w:id="2711"/>
            <w:r>
              <w:rPr/>
            </w:r>
            <w:hyperlink w:history="true" w:anchor="_bookmark2656">
              <w:r>
                <w:rPr>
                  <w:color w:val="005DA1"/>
                  <w:spacing w:val="-2"/>
                  <w:sz w:val="14"/>
                  <w:u w:val="single" w:color="005DA1"/>
                </w:rPr>
                <w:t>1405</w:t>
              </w:r>
            </w:hyperlink>
            <w:r>
              <w:rPr>
                <w:spacing w:val="-2"/>
                <w:sz w:val="14"/>
              </w:rPr>
              <w:t>.</w:t>
            </w:r>
          </w:p>
        </w:tc>
        <w:tc>
          <w:tcPr>
            <w:tcW w:w="8621" w:type="dxa"/>
          </w:tcPr>
          <w:p>
            <w:pPr>
              <w:pStyle w:val="TableParagraph"/>
              <w:spacing w:line="227" w:lineRule="exact" w:before="114"/>
              <w:ind w:left="94"/>
              <w:rPr>
                <w:rFonts w:ascii="Arial"/>
                <w:i/>
                <w:sz w:val="20"/>
              </w:rPr>
            </w:pPr>
            <w:r>
              <w:rPr>
                <w:sz w:val="20"/>
              </w:rPr>
              <w:t>The</w:t>
            </w:r>
            <w:r>
              <w:rPr>
                <w:spacing w:val="16"/>
                <w:sz w:val="20"/>
              </w:rPr>
              <w:t> </w:t>
            </w:r>
            <w:r>
              <w:rPr>
                <w:sz w:val="20"/>
              </w:rPr>
              <w:t>Court</w:t>
            </w:r>
            <w:r>
              <w:rPr>
                <w:spacing w:val="16"/>
                <w:sz w:val="20"/>
              </w:rPr>
              <w:t> </w:t>
            </w:r>
            <w:r>
              <w:rPr>
                <w:sz w:val="20"/>
              </w:rPr>
              <w:t>of</w:t>
            </w:r>
            <w:r>
              <w:rPr>
                <w:spacing w:val="16"/>
                <w:sz w:val="20"/>
              </w:rPr>
              <w:t> </w:t>
            </w:r>
            <w:r>
              <w:rPr>
                <w:sz w:val="20"/>
              </w:rPr>
              <w:t>Appeal</w:t>
            </w:r>
            <w:r>
              <w:rPr>
                <w:spacing w:val="16"/>
                <w:sz w:val="20"/>
              </w:rPr>
              <w:t> </w:t>
            </w:r>
            <w:r>
              <w:rPr>
                <w:sz w:val="20"/>
              </w:rPr>
              <w:t>did</w:t>
            </w:r>
            <w:r>
              <w:rPr>
                <w:spacing w:val="16"/>
                <w:sz w:val="20"/>
              </w:rPr>
              <w:t> </w:t>
            </w:r>
            <w:r>
              <w:rPr>
                <w:sz w:val="20"/>
              </w:rPr>
              <w:t>not</w:t>
            </w:r>
            <w:r>
              <w:rPr>
                <w:spacing w:val="16"/>
                <w:sz w:val="20"/>
              </w:rPr>
              <w:t> </w:t>
            </w:r>
            <w:r>
              <w:rPr>
                <w:sz w:val="20"/>
              </w:rPr>
              <w:t>accept</w:t>
            </w:r>
            <w:r>
              <w:rPr>
                <w:spacing w:val="16"/>
                <w:sz w:val="20"/>
              </w:rPr>
              <w:t> </w:t>
            </w:r>
            <w:r>
              <w:rPr>
                <w:sz w:val="20"/>
              </w:rPr>
              <w:t>the</w:t>
            </w:r>
            <w:r>
              <w:rPr>
                <w:spacing w:val="16"/>
                <w:sz w:val="20"/>
              </w:rPr>
              <w:t> </w:t>
            </w:r>
            <w:r>
              <w:rPr>
                <w:sz w:val="20"/>
              </w:rPr>
              <w:t>view</w:t>
            </w:r>
            <w:r>
              <w:rPr>
                <w:spacing w:val="16"/>
                <w:sz w:val="20"/>
              </w:rPr>
              <w:t> </w:t>
            </w:r>
            <w:r>
              <w:rPr>
                <w:sz w:val="20"/>
              </w:rPr>
              <w:t>taken</w:t>
            </w:r>
            <w:r>
              <w:rPr>
                <w:spacing w:val="16"/>
                <w:sz w:val="20"/>
              </w:rPr>
              <w:t> </w:t>
            </w:r>
            <w:r>
              <w:rPr>
                <w:sz w:val="20"/>
              </w:rPr>
              <w:t>in</w:t>
            </w:r>
            <w:r>
              <w:rPr>
                <w:spacing w:val="15"/>
                <w:sz w:val="20"/>
              </w:rPr>
              <w:t> </w:t>
            </w:r>
            <w:r>
              <w:rPr>
                <w:rFonts w:ascii="Arial"/>
                <w:i/>
                <w:sz w:val="20"/>
              </w:rPr>
              <w:t>Re</w:t>
            </w:r>
            <w:r>
              <w:rPr>
                <w:rFonts w:ascii="Arial"/>
                <w:i/>
                <w:spacing w:val="16"/>
                <w:sz w:val="20"/>
              </w:rPr>
              <w:t> </w:t>
            </w:r>
            <w:r>
              <w:rPr>
                <w:rFonts w:ascii="Arial"/>
                <w:i/>
                <w:sz w:val="20"/>
              </w:rPr>
              <w:t>Houghton</w:t>
            </w:r>
            <w:r>
              <w:rPr>
                <w:rFonts w:ascii="Arial"/>
                <w:i/>
                <w:spacing w:val="16"/>
                <w:sz w:val="20"/>
              </w:rPr>
              <w:t> </w:t>
            </w:r>
            <w:r>
              <w:rPr>
                <w:rFonts w:ascii="Arial"/>
                <w:i/>
                <w:sz w:val="20"/>
              </w:rPr>
              <w:t>Main</w:t>
            </w:r>
            <w:r>
              <w:rPr>
                <w:rFonts w:ascii="Arial"/>
                <w:i/>
                <w:spacing w:val="16"/>
                <w:sz w:val="20"/>
              </w:rPr>
              <w:t> </w:t>
            </w:r>
            <w:r>
              <w:rPr>
                <w:rFonts w:ascii="Arial"/>
                <w:i/>
                <w:sz w:val="20"/>
              </w:rPr>
              <w:t>Colliery</w:t>
            </w:r>
            <w:r>
              <w:rPr>
                <w:rFonts w:ascii="Arial"/>
                <w:i/>
                <w:spacing w:val="16"/>
                <w:sz w:val="20"/>
              </w:rPr>
              <w:t> </w:t>
            </w:r>
            <w:r>
              <w:rPr>
                <w:rFonts w:ascii="Arial"/>
                <w:i/>
                <w:sz w:val="20"/>
              </w:rPr>
              <w:t>Ltd</w:t>
            </w:r>
            <w:r>
              <w:rPr>
                <w:rFonts w:ascii="Arial"/>
                <w:i/>
                <w:spacing w:val="16"/>
                <w:sz w:val="20"/>
              </w:rPr>
              <w:t> </w:t>
            </w:r>
            <w:r>
              <w:rPr>
                <w:rFonts w:ascii="Arial"/>
                <w:i/>
                <w:sz w:val="20"/>
              </w:rPr>
              <w:t>[1956]</w:t>
            </w:r>
            <w:r>
              <w:rPr>
                <w:rFonts w:ascii="Arial"/>
                <w:i/>
                <w:spacing w:val="16"/>
                <w:sz w:val="20"/>
              </w:rPr>
              <w:t> </w:t>
            </w:r>
            <w:r>
              <w:rPr>
                <w:rFonts w:ascii="Arial"/>
                <w:i/>
                <w:spacing w:val="-10"/>
                <w:sz w:val="20"/>
              </w:rPr>
              <w:t>1</w:t>
            </w:r>
          </w:p>
          <w:p>
            <w:pPr>
              <w:pStyle w:val="TableParagraph"/>
              <w:spacing w:line="235" w:lineRule="auto" w:before="1"/>
              <w:ind w:left="94"/>
              <w:rPr>
                <w:sz w:val="20"/>
              </w:rPr>
            </w:pPr>
            <w:r>
              <w:rPr>
                <w:rFonts w:ascii="Arial" w:hAnsi="Arial"/>
                <w:i/>
                <w:sz w:val="20"/>
              </w:rPr>
              <w:t>W.L.R. 1219 </w:t>
            </w:r>
            <w:r>
              <w:rPr>
                <w:sz w:val="20"/>
              </w:rPr>
              <w:t>that the partial loss was not to be treated as any particular part of the claimant’s</w:t>
            </w:r>
            <w:r>
              <w:rPr>
                <w:spacing w:val="80"/>
                <w:sz w:val="20"/>
              </w:rPr>
              <w:t> </w:t>
            </w:r>
            <w:r>
              <w:rPr>
                <w:sz w:val="20"/>
              </w:rPr>
              <w:t>income, so as to attract a higher or lower rate of tax.</w:t>
            </w:r>
          </w:p>
        </w:tc>
      </w:tr>
      <w:tr>
        <w:trPr>
          <w:trHeight w:val="915" w:hRule="atLeast"/>
        </w:trPr>
        <w:tc>
          <w:tcPr>
            <w:tcW w:w="496" w:type="dxa"/>
          </w:tcPr>
          <w:p>
            <w:pPr>
              <w:pStyle w:val="TableParagraph"/>
              <w:ind w:right="43"/>
              <w:jc w:val="center"/>
              <w:rPr>
                <w:sz w:val="14"/>
              </w:rPr>
            </w:pPr>
            <w:bookmarkStart w:name="_bookmark2710" w:id="2712"/>
            <w:bookmarkEnd w:id="2712"/>
            <w:r>
              <w:rPr/>
            </w:r>
            <w:hyperlink w:history="true" w:anchor="_bookmark2657">
              <w:r>
                <w:rPr>
                  <w:color w:val="005DA1"/>
                  <w:spacing w:val="-2"/>
                  <w:sz w:val="14"/>
                  <w:u w:val="single" w:color="005DA1"/>
                </w:rPr>
                <w:t>1406</w:t>
              </w:r>
            </w:hyperlink>
            <w:r>
              <w:rPr>
                <w:spacing w:val="-2"/>
                <w:sz w:val="14"/>
              </w:rPr>
              <w:t>.</w:t>
            </w:r>
          </w:p>
        </w:tc>
        <w:tc>
          <w:tcPr>
            <w:tcW w:w="8621" w:type="dxa"/>
          </w:tcPr>
          <w:p>
            <w:pPr>
              <w:pStyle w:val="TableParagraph"/>
              <w:spacing w:line="235" w:lineRule="auto" w:before="118"/>
              <w:ind w:left="94" w:right="49"/>
              <w:jc w:val="both"/>
              <w:rPr>
                <w:sz w:val="20"/>
              </w:rPr>
            </w:pPr>
            <w:r>
              <w:rPr>
                <w:rFonts w:ascii="Arial"/>
                <w:i/>
                <w:sz w:val="20"/>
              </w:rPr>
              <w:t>Phipps v Orthodox Unit Trusts Ltd [1958] 1 Q.B. 314 </w:t>
            </w:r>
            <w:r>
              <w:rPr>
                <w:sz w:val="20"/>
              </w:rPr>
              <w:t>(following </w:t>
            </w:r>
            <w:r>
              <w:rPr>
                <w:rFonts w:ascii="Arial"/>
                <w:i/>
                <w:sz w:val="20"/>
              </w:rPr>
              <w:t>Monk v Redwing Aircraft Co </w:t>
            </w:r>
            <w:r>
              <w:rPr>
                <w:rFonts w:ascii="Arial"/>
                <w:i/>
                <w:sz w:val="20"/>
              </w:rPr>
              <w:t>Ltd [1942] 1 K.B. 182</w:t>
            </w:r>
            <w:r>
              <w:rPr>
                <w:sz w:val="20"/>
              </w:rPr>
              <w:t>, where the claimant was compelled to give particulars of other employment</w:t>
            </w:r>
            <w:r>
              <w:rPr>
                <w:spacing w:val="40"/>
                <w:sz w:val="20"/>
              </w:rPr>
              <w:t> </w:t>
            </w:r>
            <w:r>
              <w:rPr>
                <w:sz w:val="20"/>
              </w:rPr>
              <w:t>he had undertaken since his wrongful dismissal).</w:t>
            </w:r>
          </w:p>
        </w:tc>
      </w:tr>
      <w:tr>
        <w:trPr>
          <w:trHeight w:val="465" w:hRule="atLeast"/>
        </w:trPr>
        <w:tc>
          <w:tcPr>
            <w:tcW w:w="496" w:type="dxa"/>
          </w:tcPr>
          <w:p>
            <w:pPr>
              <w:pStyle w:val="TableParagraph"/>
              <w:ind w:right="43"/>
              <w:jc w:val="center"/>
              <w:rPr>
                <w:sz w:val="14"/>
              </w:rPr>
            </w:pPr>
            <w:bookmarkStart w:name="_bookmark2711" w:id="2713"/>
            <w:bookmarkEnd w:id="2713"/>
            <w:r>
              <w:rPr/>
            </w:r>
            <w:hyperlink w:history="true" w:anchor="_bookmark2658">
              <w:r>
                <w:rPr>
                  <w:color w:val="005DA1"/>
                  <w:spacing w:val="-2"/>
                  <w:sz w:val="14"/>
                  <w:u w:val="single" w:color="005DA1"/>
                </w:rPr>
                <w:t>1407</w:t>
              </w:r>
            </w:hyperlink>
            <w:r>
              <w:rPr>
                <w:spacing w:val="-2"/>
                <w:sz w:val="14"/>
              </w:rPr>
              <w:t>.</w:t>
            </w:r>
          </w:p>
        </w:tc>
        <w:tc>
          <w:tcPr>
            <w:tcW w:w="8621" w:type="dxa"/>
          </w:tcPr>
          <w:p>
            <w:pPr>
              <w:pStyle w:val="TableParagraph"/>
              <w:spacing w:before="114"/>
              <w:ind w:left="94"/>
              <w:rPr>
                <w:rFonts w:ascii="Arial"/>
                <w:i/>
                <w:sz w:val="20"/>
              </w:rPr>
            </w:pPr>
            <w:r>
              <w:rPr>
                <w:rFonts w:ascii="Arial"/>
                <w:i/>
                <w:sz w:val="20"/>
              </w:rPr>
              <w:t>Phipps v Orthodox Unit Trusts Ltd [1958] 1 Q.B. 314, 321. </w:t>
            </w:r>
            <w:r>
              <w:rPr>
                <w:rFonts w:ascii="Arial"/>
                <w:i/>
                <w:spacing w:val="-2"/>
                <w:sz w:val="20"/>
              </w:rPr>
              <w:t>[1944]</w:t>
            </w:r>
          </w:p>
        </w:tc>
      </w:tr>
      <w:tr>
        <w:trPr>
          <w:trHeight w:val="344" w:hRule="atLeast"/>
        </w:trPr>
        <w:tc>
          <w:tcPr>
            <w:tcW w:w="496" w:type="dxa"/>
          </w:tcPr>
          <w:p>
            <w:pPr>
              <w:pStyle w:val="TableParagraph"/>
              <w:ind w:right="43"/>
              <w:jc w:val="center"/>
              <w:rPr>
                <w:sz w:val="14"/>
              </w:rPr>
            </w:pPr>
            <w:bookmarkStart w:name="_bookmark2712" w:id="2714"/>
            <w:bookmarkEnd w:id="2714"/>
            <w:r>
              <w:rPr/>
            </w:r>
            <w:hyperlink w:history="true" w:anchor="_bookmark2659">
              <w:r>
                <w:rPr>
                  <w:color w:val="005DA1"/>
                  <w:spacing w:val="-2"/>
                  <w:sz w:val="14"/>
                  <w:u w:val="single" w:color="005DA1"/>
                </w:rPr>
                <w:t>1408</w:t>
              </w:r>
            </w:hyperlink>
            <w:r>
              <w:rPr>
                <w:spacing w:val="-2"/>
                <w:sz w:val="14"/>
              </w:rPr>
              <w:t>.</w:t>
            </w:r>
          </w:p>
        </w:tc>
        <w:tc>
          <w:tcPr>
            <w:tcW w:w="8621" w:type="dxa"/>
          </w:tcPr>
          <w:p>
            <w:pPr>
              <w:pStyle w:val="TableParagraph"/>
              <w:spacing w:line="210" w:lineRule="exact" w:before="114"/>
              <w:ind w:left="94"/>
              <w:rPr>
                <w:sz w:val="20"/>
              </w:rPr>
            </w:pPr>
            <w:r>
              <w:rPr>
                <w:rFonts w:ascii="Arial" w:hAnsi="Arial"/>
                <w:i/>
                <w:sz w:val="20"/>
              </w:rPr>
              <w:t>Julien Praet et Cie SA v H. G. Poland Ltd [1962] 1 Lloyd’s Rep. 566</w:t>
            </w:r>
            <w:r>
              <w:rPr>
                <w:rFonts w:ascii="Arial" w:hAnsi="Arial"/>
                <w:i/>
                <w:spacing w:val="-1"/>
                <w:sz w:val="20"/>
              </w:rPr>
              <w:t> </w:t>
            </w:r>
            <w:r>
              <w:rPr>
                <w:sz w:val="20"/>
              </w:rPr>
              <w:t>(where damages for </w:t>
            </w:r>
            <w:r>
              <w:rPr>
                <w:spacing w:val="-2"/>
                <w:sz w:val="20"/>
              </w:rPr>
              <w:t>breach</w:t>
            </w:r>
          </w:p>
        </w:tc>
      </w:tr>
    </w:tbl>
    <w:p>
      <w:pPr>
        <w:pStyle w:val="TableParagraph"/>
        <w:spacing w:after="0" w:line="210" w:lineRule="exact"/>
        <w:rPr>
          <w:sz w:val="20"/>
        </w:rPr>
        <w:sectPr>
          <w:pgSz w:w="11900" w:h="16840"/>
          <w:pgMar w:header="971" w:footer="0" w:top="1300" w:bottom="280" w:left="1275" w:right="1275"/>
        </w:sectPr>
      </w:pPr>
    </w:p>
    <w:p>
      <w:pPr>
        <w:pStyle w:val="BodyText"/>
        <w:spacing w:line="235" w:lineRule="auto" w:before="110"/>
        <w:ind w:left="705" w:right="167"/>
        <w:jc w:val="both"/>
      </w:pPr>
      <w:r>
        <w:rPr/>
        <w:t>of contract are subject to foreign taxation, the rule in </w:t>
      </w:r>
      <w:r>
        <w:rPr>
          <w:rFonts w:ascii="Arial" w:hAnsi="Arial"/>
          <w:i/>
        </w:rPr>
        <w:t>Gourley</w:t>
      </w:r>
      <w:r>
        <w:rPr/>
        <w:t>’s case does not apply). In </w:t>
      </w:r>
      <w:r>
        <w:rPr>
          <w:rFonts w:ascii="Arial" w:hAnsi="Arial"/>
          <w:i/>
        </w:rPr>
        <w:t>John </w:t>
      </w:r>
      <w:r>
        <w:rPr>
          <w:rFonts w:ascii="Arial" w:hAnsi="Arial"/>
          <w:i/>
        </w:rPr>
        <w:t>v James</w:t>
      </w:r>
      <w:r>
        <w:rPr>
          <w:rFonts w:ascii="Arial" w:hAnsi="Arial"/>
          <w:i/>
          <w:spacing w:val="-3"/>
        </w:rPr>
        <w:t> </w:t>
      </w:r>
      <w:r>
        <w:rPr>
          <w:rFonts w:ascii="Arial" w:hAnsi="Arial"/>
          <w:i/>
        </w:rPr>
        <w:t>[1986]</w:t>
      </w:r>
      <w:r>
        <w:rPr>
          <w:rFonts w:ascii="Arial" w:hAnsi="Arial"/>
          <w:i/>
          <w:spacing w:val="-3"/>
        </w:rPr>
        <w:t> </w:t>
      </w:r>
      <w:r>
        <w:rPr>
          <w:rFonts w:ascii="Arial" w:hAnsi="Arial"/>
          <w:i/>
        </w:rPr>
        <w:t>S.T.C.</w:t>
      </w:r>
      <w:r>
        <w:rPr>
          <w:rFonts w:ascii="Arial" w:hAnsi="Arial"/>
          <w:i/>
          <w:spacing w:val="-3"/>
        </w:rPr>
        <w:t> </w:t>
      </w:r>
      <w:r>
        <w:rPr>
          <w:rFonts w:ascii="Arial" w:hAnsi="Arial"/>
          <w:i/>
        </w:rPr>
        <w:t>352</w:t>
      </w:r>
      <w:r>
        <w:rPr/>
        <w:t>,</w:t>
      </w:r>
      <w:r>
        <w:rPr>
          <w:spacing w:val="-3"/>
        </w:rPr>
        <w:t> </w:t>
      </w:r>
      <w:r>
        <w:rPr/>
        <w:t>a</w:t>
      </w:r>
      <w:r>
        <w:rPr>
          <w:spacing w:val="-3"/>
        </w:rPr>
        <w:t> </w:t>
      </w:r>
      <w:r>
        <w:rPr/>
        <w:t>complicated</w:t>
      </w:r>
      <w:r>
        <w:rPr>
          <w:spacing w:val="-3"/>
        </w:rPr>
        <w:t> </w:t>
      </w:r>
      <w:r>
        <w:rPr/>
        <w:t>situation</w:t>
      </w:r>
      <w:r>
        <w:rPr>
          <w:spacing w:val="-3"/>
        </w:rPr>
        <w:t> </w:t>
      </w:r>
      <w:r>
        <w:rPr/>
        <w:t>created</w:t>
      </w:r>
      <w:r>
        <w:rPr>
          <w:spacing w:val="-3"/>
        </w:rPr>
        <w:t> </w:t>
      </w:r>
      <w:r>
        <w:rPr/>
        <w:t>possible</w:t>
      </w:r>
      <w:r>
        <w:rPr>
          <w:spacing w:val="-3"/>
        </w:rPr>
        <w:t> </w:t>
      </w:r>
      <w:r>
        <w:rPr/>
        <w:t>tax</w:t>
      </w:r>
      <w:r>
        <w:rPr>
          <w:spacing w:val="-3"/>
        </w:rPr>
        <w:t> </w:t>
      </w:r>
      <w:r>
        <w:rPr/>
        <w:t>liabilities</w:t>
      </w:r>
      <w:r>
        <w:rPr>
          <w:spacing w:val="-3"/>
        </w:rPr>
        <w:t> </w:t>
      </w:r>
      <w:r>
        <w:rPr/>
        <w:t>in</w:t>
      </w:r>
      <w:r>
        <w:rPr>
          <w:spacing w:val="-3"/>
        </w:rPr>
        <w:t> </w:t>
      </w:r>
      <w:r>
        <w:rPr/>
        <w:t>seven</w:t>
      </w:r>
      <w:r>
        <w:rPr>
          <w:spacing w:val="-3"/>
        </w:rPr>
        <w:t> </w:t>
      </w:r>
      <w:r>
        <w:rPr/>
        <w:t>foreign countries (as well as the UK) over many years, but the judge calculated damages without making any deductions on account of tax.</w:t>
      </w:r>
    </w:p>
    <w:p>
      <w:pPr>
        <w:pStyle w:val="BodyText"/>
        <w:spacing w:before="9"/>
      </w:pPr>
    </w:p>
    <w:p>
      <w:pPr>
        <w:spacing w:line="235" w:lineRule="auto" w:before="0"/>
        <w:ind w:left="705" w:right="167" w:hanging="541"/>
        <w:jc w:val="both"/>
        <w:rPr>
          <w:sz w:val="20"/>
        </w:rPr>
      </w:pPr>
      <w:bookmarkStart w:name="_bookmark2713" w:id="2715"/>
      <w:bookmarkEnd w:id="2715"/>
      <w:r>
        <w:rPr/>
      </w:r>
      <w:hyperlink w:history="true" w:anchor="_bookmark2660">
        <w:r>
          <w:rPr>
            <w:color w:val="005DA1"/>
            <w:position w:val="5"/>
            <w:sz w:val="14"/>
            <w:u w:val="single" w:color="005DA1"/>
          </w:rPr>
          <w:t>1409</w:t>
        </w:r>
      </w:hyperlink>
      <w:r>
        <w:rPr>
          <w:position w:val="5"/>
          <w:sz w:val="14"/>
        </w:rPr>
        <w:t>.</w:t>
      </w:r>
      <w:r>
        <w:rPr>
          <w:spacing w:val="80"/>
          <w:position w:val="5"/>
          <w:sz w:val="14"/>
        </w:rPr>
        <w:t> </w:t>
      </w:r>
      <w:r>
        <w:rPr>
          <w:rFonts w:ascii="Arial" w:hAnsi="Arial"/>
          <w:i/>
          <w:sz w:val="20"/>
        </w:rPr>
        <w:t>Cooper v Firth Brown Ltd [1963] 1 W.L.R. 418 </w:t>
      </w:r>
      <w:r>
        <w:rPr>
          <w:sz w:val="20"/>
        </w:rPr>
        <w:t>(Vol.II, para.40-205). In a personal injury tort</w:t>
      </w:r>
      <w:r>
        <w:rPr>
          <w:spacing w:val="40"/>
          <w:sz w:val="20"/>
        </w:rPr>
        <w:t> </w:t>
      </w:r>
      <w:r>
        <w:rPr>
          <w:sz w:val="20"/>
        </w:rPr>
        <w:t>case, a deduction has also been made from the claimant’s lost wages in respect of </w:t>
      </w:r>
      <w:r>
        <w:rPr>
          <w:sz w:val="20"/>
        </w:rPr>
        <w:t>the contributions he did not have to make to a pension scheme to which he was obliged to belong as one of the terms of his employment: </w:t>
      </w:r>
      <w:r>
        <w:rPr>
          <w:rFonts w:ascii="Arial" w:hAnsi="Arial"/>
          <w:i/>
          <w:sz w:val="20"/>
        </w:rPr>
        <w:t>Dews v National Coal Board [1988] A.C. 1</w:t>
      </w:r>
      <w:r>
        <w:rPr>
          <w:sz w:val="20"/>
        </w:rPr>
        <w:t>. (Any diminution in his ultimate pension should be valued separately: at 14–15, 18.)</w:t>
      </w:r>
    </w:p>
    <w:p>
      <w:pPr>
        <w:pStyle w:val="BodyText"/>
        <w:spacing w:before="8"/>
      </w:pPr>
    </w:p>
    <w:p>
      <w:pPr>
        <w:spacing w:line="235" w:lineRule="auto" w:before="0"/>
        <w:ind w:left="705" w:right="0" w:hanging="541"/>
        <w:jc w:val="left"/>
        <w:rPr>
          <w:sz w:val="20"/>
        </w:rPr>
      </w:pPr>
      <w:bookmarkStart w:name="_bookmark2714" w:id="2716"/>
      <w:bookmarkEnd w:id="2716"/>
      <w:r>
        <w:rPr/>
      </w:r>
      <w:hyperlink w:history="true" w:anchor="_bookmark2661">
        <w:r>
          <w:rPr>
            <w:color w:val="005DA1"/>
            <w:position w:val="5"/>
            <w:sz w:val="14"/>
            <w:u w:val="single" w:color="005DA1"/>
          </w:rPr>
          <w:t>1410</w:t>
        </w:r>
      </w:hyperlink>
      <w:r>
        <w:rPr>
          <w:position w:val="5"/>
          <w:sz w:val="14"/>
        </w:rPr>
        <w:t>.</w:t>
      </w:r>
      <w:r>
        <w:rPr>
          <w:spacing w:val="55"/>
          <w:position w:val="5"/>
          <w:sz w:val="14"/>
        </w:rPr>
        <w:t>  </w:t>
      </w:r>
      <w:r>
        <w:rPr>
          <w:rFonts w:ascii="Arial"/>
          <w:i/>
          <w:sz w:val="20"/>
        </w:rPr>
        <w:t>Hartley</w:t>
      </w:r>
      <w:r>
        <w:rPr>
          <w:rFonts w:ascii="Arial"/>
          <w:i/>
          <w:spacing w:val="40"/>
          <w:sz w:val="20"/>
        </w:rPr>
        <w:t> </w:t>
      </w:r>
      <w:r>
        <w:rPr>
          <w:rFonts w:ascii="Arial"/>
          <w:i/>
          <w:sz w:val="20"/>
        </w:rPr>
        <w:t>v</w:t>
      </w:r>
      <w:r>
        <w:rPr>
          <w:rFonts w:ascii="Arial"/>
          <w:i/>
          <w:spacing w:val="40"/>
          <w:sz w:val="20"/>
        </w:rPr>
        <w:t> </w:t>
      </w:r>
      <w:r>
        <w:rPr>
          <w:rFonts w:ascii="Arial"/>
          <w:i/>
          <w:sz w:val="20"/>
        </w:rPr>
        <w:t>Sandholme</w:t>
      </w:r>
      <w:r>
        <w:rPr>
          <w:rFonts w:ascii="Arial"/>
          <w:i/>
          <w:spacing w:val="40"/>
          <w:sz w:val="20"/>
        </w:rPr>
        <w:t> </w:t>
      </w:r>
      <w:r>
        <w:rPr>
          <w:rFonts w:ascii="Arial"/>
          <w:i/>
          <w:sz w:val="20"/>
        </w:rPr>
        <w:t>Iron</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[1975]</w:t>
      </w:r>
      <w:r>
        <w:rPr>
          <w:rFonts w:ascii="Arial"/>
          <w:i/>
          <w:spacing w:val="40"/>
          <w:sz w:val="20"/>
        </w:rPr>
        <w:t> </w:t>
      </w:r>
      <w:r>
        <w:rPr>
          <w:rFonts w:ascii="Arial"/>
          <w:i/>
          <w:sz w:val="20"/>
        </w:rPr>
        <w:t>Q.B.</w:t>
      </w:r>
      <w:r>
        <w:rPr>
          <w:rFonts w:ascii="Arial"/>
          <w:i/>
          <w:spacing w:val="40"/>
          <w:sz w:val="20"/>
        </w:rPr>
        <w:t> </w:t>
      </w:r>
      <w:r>
        <w:rPr>
          <w:rFonts w:ascii="Arial"/>
          <w:i/>
          <w:sz w:val="20"/>
        </w:rPr>
        <w:t>600</w:t>
      </w:r>
      <w:r>
        <w:rPr>
          <w:rFonts w:ascii="Arial"/>
          <w:i/>
          <w:spacing w:val="40"/>
          <w:sz w:val="20"/>
        </w:rPr>
        <w:t> </w:t>
      </w:r>
      <w:r>
        <w:rPr>
          <w:sz w:val="20"/>
        </w:rPr>
        <w:t>(a</w:t>
      </w:r>
      <w:r>
        <w:rPr>
          <w:spacing w:val="40"/>
          <w:sz w:val="20"/>
        </w:rPr>
        <w:t> </w:t>
      </w:r>
      <w:r>
        <w:rPr>
          <w:sz w:val="20"/>
        </w:rPr>
        <w:t>tort</w:t>
      </w:r>
      <w:r>
        <w:rPr>
          <w:spacing w:val="40"/>
          <w:sz w:val="20"/>
        </w:rPr>
        <w:t> </w:t>
      </w:r>
      <w:r>
        <w:rPr>
          <w:sz w:val="20"/>
        </w:rPr>
        <w:t>case).</w:t>
      </w:r>
      <w:r>
        <w:rPr>
          <w:spacing w:val="40"/>
          <w:sz w:val="20"/>
        </w:rPr>
        <w:t> </w:t>
      </w:r>
      <w:r>
        <w:rPr>
          <w:sz w:val="20"/>
        </w:rPr>
        <w:t>cf.</w:t>
      </w:r>
      <w:r>
        <w:rPr>
          <w:spacing w:val="40"/>
          <w:sz w:val="20"/>
        </w:rPr>
        <w:t> </w:t>
      </w:r>
      <w:r>
        <w:rPr>
          <w:sz w:val="20"/>
        </w:rPr>
        <w:t>also</w:t>
      </w:r>
      <w:r>
        <w:rPr>
          <w:spacing w:val="40"/>
          <w:sz w:val="20"/>
        </w:rPr>
        <w:t> </w:t>
      </w:r>
      <w:r>
        <w:rPr>
          <w:sz w:val="20"/>
        </w:rPr>
        <w:t>the</w:t>
      </w:r>
      <w:r>
        <w:rPr>
          <w:spacing w:val="40"/>
          <w:sz w:val="20"/>
        </w:rPr>
        <w:t> </w:t>
      </w:r>
      <w:r>
        <w:rPr>
          <w:sz w:val="20"/>
        </w:rPr>
        <w:t>question</w:t>
      </w:r>
      <w:r>
        <w:rPr>
          <w:spacing w:val="40"/>
          <w:sz w:val="20"/>
        </w:rPr>
        <w:t> </w:t>
      </w:r>
      <w:r>
        <w:rPr>
          <w:sz w:val="20"/>
        </w:rPr>
        <w:t>of</w:t>
      </w:r>
      <w:r>
        <w:rPr>
          <w:spacing w:val="40"/>
          <w:sz w:val="20"/>
        </w:rPr>
        <w:t> </w:t>
      </w:r>
      <w:r>
        <w:rPr>
          <w:sz w:val="20"/>
        </w:rPr>
        <w:t>deducting a redundancy payment from damages for wrongful dismissal: see Vol.II, para.40-</w:t>
      </w:r>
      <w:r>
        <w:rPr>
          <w:spacing w:val="-4"/>
          <w:sz w:val="20"/>
        </w:rPr>
        <w:t>206.</w:t>
      </w:r>
    </w:p>
    <w:p>
      <w:pPr>
        <w:pStyle w:val="BodyText"/>
        <w:spacing w:before="9"/>
      </w:pPr>
    </w:p>
    <w:p>
      <w:pPr>
        <w:spacing w:line="235" w:lineRule="auto" w:before="0"/>
        <w:ind w:left="705" w:right="167" w:hanging="541"/>
        <w:jc w:val="both"/>
        <w:rPr>
          <w:sz w:val="20"/>
        </w:rPr>
      </w:pPr>
      <w:bookmarkStart w:name="_bookmark2715" w:id="2717"/>
      <w:bookmarkEnd w:id="2717"/>
      <w:r>
        <w:rPr/>
      </w:r>
      <w:hyperlink w:history="true" w:anchor="_bookmark2662">
        <w:r>
          <w:rPr>
            <w:color w:val="005DA1"/>
            <w:position w:val="5"/>
            <w:sz w:val="14"/>
            <w:u w:val="single" w:color="005DA1"/>
          </w:rPr>
          <w:t>1411</w:t>
        </w:r>
      </w:hyperlink>
      <w:r>
        <w:rPr>
          <w:position w:val="5"/>
          <w:sz w:val="14"/>
        </w:rPr>
        <w:t>.</w:t>
      </w:r>
      <w:r>
        <w:rPr>
          <w:spacing w:val="80"/>
          <w:w w:val="150"/>
          <w:position w:val="5"/>
          <w:sz w:val="14"/>
        </w:rPr>
        <w:t> </w:t>
      </w:r>
      <w:r>
        <w:rPr>
          <w:rFonts w:ascii="Arial" w:hAnsi="Arial"/>
          <w:i/>
          <w:sz w:val="20"/>
        </w:rPr>
        <w:t>Parsons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B.N.M.</w:t>
      </w:r>
      <w:r>
        <w:rPr>
          <w:rFonts w:ascii="Arial" w:hAnsi="Arial"/>
          <w:i/>
          <w:spacing w:val="-1"/>
          <w:sz w:val="20"/>
        </w:rPr>
        <w:t> </w:t>
      </w:r>
      <w:r>
        <w:rPr>
          <w:rFonts w:ascii="Arial" w:hAnsi="Arial"/>
          <w:i/>
          <w:sz w:val="20"/>
        </w:rPr>
        <w:t>Laboratories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[1964]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95</w:t>
      </w:r>
      <w:r>
        <w:rPr>
          <w:sz w:val="20"/>
        </w:rPr>
        <w:t>;</w:t>
      </w:r>
      <w:r>
        <w:rPr>
          <w:spacing w:val="-1"/>
          <w:sz w:val="20"/>
        </w:rPr>
        <w:t> </w:t>
      </w:r>
      <w:r>
        <w:rPr>
          <w:rFonts w:ascii="Arial" w:hAnsi="Arial"/>
          <w:i/>
          <w:sz w:val="20"/>
        </w:rPr>
        <w:t>Diamond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Campbell-Jones</w:t>
      </w:r>
      <w:r>
        <w:rPr>
          <w:rFonts w:ascii="Arial" w:hAnsi="Arial"/>
          <w:i/>
          <w:spacing w:val="-1"/>
          <w:sz w:val="20"/>
        </w:rPr>
        <w:t> </w:t>
      </w:r>
      <w:r>
        <w:rPr>
          <w:rFonts w:ascii="Arial" w:hAnsi="Arial"/>
          <w:i/>
          <w:sz w:val="20"/>
        </w:rPr>
        <w:t>[1961]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22, 37</w:t>
      </w:r>
      <w:r>
        <w:rPr>
          <w:sz w:val="20"/>
        </w:rPr>
        <w:t>; </w:t>
      </w:r>
      <w:r>
        <w:rPr>
          <w:rFonts w:ascii="Arial" w:hAnsi="Arial"/>
          <w:i/>
          <w:sz w:val="20"/>
        </w:rPr>
        <w:t>Julien Praet et Cie, SA v H. G. Poland Ltd [1962] 1 Lloyd’s Rep. 566</w:t>
      </w:r>
      <w:r>
        <w:rPr>
          <w:sz w:val="20"/>
        </w:rPr>
        <w:t>. (See, however, </w:t>
      </w:r>
      <w:r>
        <w:rPr>
          <w:sz w:val="20"/>
        </w:rPr>
        <w:t>the splitting of damages for wrongful dismissal into separate parts—taxable and non-taxable:</w:t>
      </w:r>
      <w:r>
        <w:rPr>
          <w:spacing w:val="40"/>
          <w:sz w:val="20"/>
        </w:rPr>
        <w:t> </w:t>
      </w:r>
      <w:r>
        <w:rPr>
          <w:sz w:val="20"/>
        </w:rPr>
        <w:t>above, para.26-218.) cf. </w:t>
      </w:r>
      <w:r>
        <w:rPr>
          <w:rFonts w:ascii="Arial" w:hAnsi="Arial"/>
          <w:i/>
          <w:sz w:val="20"/>
        </w:rPr>
        <w:t>Burmah S.S. Co v IRC (1931) 16 T.C. 67</w:t>
      </w:r>
      <w:r>
        <w:rPr>
          <w:sz w:val="20"/>
        </w:rPr>
        <w:t>.</w:t>
      </w:r>
    </w:p>
    <w:p>
      <w:pPr>
        <w:pStyle w:val="BodyText"/>
        <w:spacing w:before="8"/>
      </w:pPr>
    </w:p>
    <w:p>
      <w:pPr>
        <w:spacing w:line="235" w:lineRule="auto" w:before="1"/>
        <w:ind w:left="705" w:right="167" w:hanging="541"/>
        <w:jc w:val="both"/>
        <w:rPr>
          <w:sz w:val="20"/>
        </w:rPr>
      </w:pPr>
      <w:bookmarkStart w:name="_bookmark2716" w:id="2718"/>
      <w:bookmarkEnd w:id="2718"/>
      <w:r>
        <w:rPr/>
      </w:r>
      <w:hyperlink w:history="true" w:anchor="_bookmark2663">
        <w:r>
          <w:rPr>
            <w:color w:val="005DA1"/>
            <w:position w:val="5"/>
            <w:sz w:val="14"/>
            <w:u w:val="single" w:color="005DA1"/>
          </w:rPr>
          <w:t>1412</w:t>
        </w:r>
      </w:hyperlink>
      <w:r>
        <w:rPr>
          <w:position w:val="5"/>
          <w:sz w:val="14"/>
        </w:rPr>
        <w:t>.</w:t>
      </w:r>
      <w:r>
        <w:rPr>
          <w:spacing w:val="80"/>
          <w:position w:val="5"/>
          <w:sz w:val="14"/>
        </w:rPr>
        <w:t> </w:t>
      </w:r>
      <w:r>
        <w:rPr>
          <w:sz w:val="20"/>
        </w:rPr>
        <w:t>Whiteman and Sherry on Income Tax, 4th edn (2010), paras 24.01 et seq. See </w:t>
      </w:r>
      <w:r>
        <w:rPr>
          <w:rFonts w:ascii="Arial" w:hAnsi="Arial"/>
          <w:i/>
          <w:sz w:val="20"/>
        </w:rPr>
        <w:t>Deeny v Gooda Walker (No.2) [1996] 1 W.L.R. 426 </w:t>
      </w:r>
      <w:r>
        <w:rPr>
          <w:sz w:val="20"/>
        </w:rPr>
        <w:t>(HL, “payments in compensation for what would have been revenue items in the trade”: at 437).</w:t>
      </w:r>
    </w:p>
    <w:p>
      <w:pPr>
        <w:pStyle w:val="BodyText"/>
        <w:spacing w:before="5"/>
      </w:pPr>
    </w:p>
    <w:p>
      <w:pPr>
        <w:spacing w:line="227" w:lineRule="exact" w:before="0"/>
        <w:ind w:left="165" w:right="0" w:firstLine="0"/>
        <w:jc w:val="left"/>
        <w:rPr>
          <w:rFonts w:ascii="Arial"/>
          <w:i/>
          <w:sz w:val="20"/>
        </w:rPr>
      </w:pPr>
      <w:bookmarkStart w:name="_bookmark2717" w:id="2719"/>
      <w:bookmarkEnd w:id="2719"/>
      <w:r>
        <w:rPr/>
      </w:r>
      <w:hyperlink w:history="true" w:anchor="_bookmark2664">
        <w:r>
          <w:rPr>
            <w:color w:val="005DA1"/>
            <w:position w:val="5"/>
            <w:sz w:val="14"/>
            <w:u w:val="single" w:color="005DA1"/>
          </w:rPr>
          <w:t>1413</w:t>
        </w:r>
      </w:hyperlink>
      <w:r>
        <w:rPr>
          <w:position w:val="5"/>
          <w:sz w:val="14"/>
        </w:rPr>
        <w:t>.</w:t>
      </w:r>
      <w:r>
        <w:rPr>
          <w:spacing w:val="55"/>
          <w:position w:val="5"/>
          <w:sz w:val="14"/>
        </w:rPr>
        <w:t>  </w:t>
      </w:r>
      <w:r>
        <w:rPr>
          <w:rFonts w:ascii="Arial"/>
          <w:i/>
          <w:sz w:val="20"/>
        </w:rPr>
        <w:t>Diamond</w:t>
      </w:r>
      <w:r>
        <w:rPr>
          <w:rFonts w:ascii="Arial"/>
          <w:i/>
          <w:spacing w:val="15"/>
          <w:sz w:val="20"/>
        </w:rPr>
        <w:t> </w:t>
      </w:r>
      <w:r>
        <w:rPr>
          <w:rFonts w:ascii="Arial"/>
          <w:i/>
          <w:sz w:val="20"/>
        </w:rPr>
        <w:t>v</w:t>
      </w:r>
      <w:r>
        <w:rPr>
          <w:rFonts w:ascii="Arial"/>
          <w:i/>
          <w:spacing w:val="14"/>
          <w:sz w:val="20"/>
        </w:rPr>
        <w:t> </w:t>
      </w:r>
      <w:r>
        <w:rPr>
          <w:rFonts w:ascii="Arial"/>
          <w:i/>
          <w:sz w:val="20"/>
        </w:rPr>
        <w:t>Campbell-Jones</w:t>
      </w:r>
      <w:r>
        <w:rPr>
          <w:rFonts w:ascii="Arial"/>
          <w:i/>
          <w:spacing w:val="14"/>
          <w:sz w:val="20"/>
        </w:rPr>
        <w:t> </w:t>
      </w:r>
      <w:r>
        <w:rPr>
          <w:rFonts w:ascii="Arial"/>
          <w:i/>
          <w:sz w:val="20"/>
        </w:rPr>
        <w:t>[1961]</w:t>
      </w:r>
      <w:r>
        <w:rPr>
          <w:rFonts w:ascii="Arial"/>
          <w:i/>
          <w:spacing w:val="14"/>
          <w:sz w:val="20"/>
        </w:rPr>
        <w:t> </w:t>
      </w:r>
      <w:r>
        <w:rPr>
          <w:rFonts w:ascii="Arial"/>
          <w:i/>
          <w:sz w:val="20"/>
        </w:rPr>
        <w:t>Ch.</w:t>
      </w:r>
      <w:r>
        <w:rPr>
          <w:rFonts w:ascii="Arial"/>
          <w:i/>
          <w:spacing w:val="14"/>
          <w:sz w:val="20"/>
        </w:rPr>
        <w:t> </w:t>
      </w:r>
      <w:r>
        <w:rPr>
          <w:rFonts w:ascii="Arial"/>
          <w:i/>
          <w:sz w:val="20"/>
        </w:rPr>
        <w:t>22</w:t>
      </w:r>
      <w:r>
        <w:rPr>
          <w:sz w:val="20"/>
        </w:rPr>
        <w:t>.</w:t>
      </w:r>
      <w:r>
        <w:rPr>
          <w:spacing w:val="14"/>
          <w:sz w:val="20"/>
        </w:rPr>
        <w:t> </w:t>
      </w:r>
      <w:r>
        <w:rPr>
          <w:sz w:val="20"/>
        </w:rPr>
        <w:t>cf.</w:t>
      </w:r>
      <w:r>
        <w:rPr>
          <w:spacing w:val="13"/>
          <w:sz w:val="20"/>
        </w:rPr>
        <w:t> </w:t>
      </w:r>
      <w:r>
        <w:rPr>
          <w:rFonts w:ascii="Arial"/>
          <w:i/>
          <w:sz w:val="20"/>
        </w:rPr>
        <w:t>Lyndale</w:t>
      </w:r>
      <w:r>
        <w:rPr>
          <w:rFonts w:ascii="Arial"/>
          <w:i/>
          <w:spacing w:val="14"/>
          <w:sz w:val="20"/>
        </w:rPr>
        <w:t> </w:t>
      </w:r>
      <w:r>
        <w:rPr>
          <w:rFonts w:ascii="Arial"/>
          <w:i/>
          <w:sz w:val="20"/>
        </w:rPr>
        <w:t>Fashion</w:t>
      </w:r>
      <w:r>
        <w:rPr>
          <w:rFonts w:ascii="Arial"/>
          <w:i/>
          <w:spacing w:val="14"/>
          <w:sz w:val="20"/>
        </w:rPr>
        <w:t> </w:t>
      </w:r>
      <w:r>
        <w:rPr>
          <w:rFonts w:ascii="Arial"/>
          <w:i/>
          <w:sz w:val="20"/>
        </w:rPr>
        <w:t>Manufacturers</w:t>
      </w:r>
      <w:r>
        <w:rPr>
          <w:rFonts w:ascii="Arial"/>
          <w:i/>
          <w:spacing w:val="14"/>
          <w:sz w:val="20"/>
        </w:rPr>
        <w:t> </w:t>
      </w:r>
      <w:r>
        <w:rPr>
          <w:rFonts w:ascii="Arial"/>
          <w:i/>
          <w:sz w:val="20"/>
        </w:rPr>
        <w:t>v</w:t>
      </w:r>
      <w:r>
        <w:rPr>
          <w:rFonts w:ascii="Arial"/>
          <w:i/>
          <w:spacing w:val="14"/>
          <w:sz w:val="20"/>
        </w:rPr>
        <w:t> </w:t>
      </w:r>
      <w:r>
        <w:rPr>
          <w:rFonts w:ascii="Arial"/>
          <w:i/>
          <w:sz w:val="20"/>
        </w:rPr>
        <w:t>Rich</w:t>
      </w:r>
      <w:r>
        <w:rPr>
          <w:rFonts w:ascii="Arial"/>
          <w:i/>
          <w:spacing w:val="14"/>
          <w:sz w:val="20"/>
        </w:rPr>
        <w:t> </w:t>
      </w:r>
      <w:r>
        <w:rPr>
          <w:rFonts w:ascii="Arial"/>
          <w:i/>
          <w:sz w:val="20"/>
        </w:rPr>
        <w:t>[1973]</w:t>
      </w:r>
      <w:r>
        <w:rPr>
          <w:rFonts w:ascii="Arial"/>
          <w:i/>
          <w:spacing w:val="14"/>
          <w:sz w:val="20"/>
        </w:rPr>
        <w:t> </w:t>
      </w:r>
      <w:r>
        <w:rPr>
          <w:rFonts w:ascii="Arial"/>
          <w:i/>
          <w:spacing w:val="-10"/>
          <w:sz w:val="20"/>
        </w:rPr>
        <w:t>1</w:t>
      </w:r>
    </w:p>
    <w:p>
      <w:pPr>
        <w:pStyle w:val="BodyText"/>
        <w:spacing w:line="235" w:lineRule="auto" w:before="1"/>
        <w:ind w:left="705" w:right="167"/>
        <w:jc w:val="both"/>
      </w:pPr>
      <w:r>
        <w:rPr>
          <w:rFonts w:ascii="Arial" w:hAnsi="Arial"/>
          <w:i/>
        </w:rPr>
        <w:t>W.L.R. 73 </w:t>
      </w:r>
      <w:r>
        <w:rPr/>
        <w:t>(where the </w:t>
      </w:r>
      <w:r>
        <w:rPr>
          <w:rFonts w:ascii="Arial" w:hAnsi="Arial"/>
          <w:i/>
        </w:rPr>
        <w:t>Gourley </w:t>
      </w:r>
      <w:r>
        <w:rPr/>
        <w:t>principle was applied to damages for loss of a </w:t>
      </w:r>
      <w:r>
        <w:rPr/>
        <w:t>salesman’s commission; but McGregor 19th edn (2014), at para.17–047, argues that the damages </w:t>
      </w:r>
      <w:r>
        <w:rPr/>
        <w:t>should have been treated as taxable).</w:t>
      </w:r>
    </w:p>
    <w:p>
      <w:pPr>
        <w:pStyle w:val="BodyText"/>
        <w:spacing w:before="5"/>
      </w:pPr>
    </w:p>
    <w:p>
      <w:pPr>
        <w:spacing w:before="0"/>
        <w:ind w:left="165" w:right="0" w:firstLine="0"/>
        <w:jc w:val="left"/>
        <w:rPr>
          <w:sz w:val="20"/>
        </w:rPr>
      </w:pPr>
      <w:bookmarkStart w:name="_bookmark2718" w:id="2720"/>
      <w:bookmarkEnd w:id="2720"/>
      <w:r>
        <w:rPr/>
      </w:r>
      <w:hyperlink w:history="true" w:anchor="_bookmark2665">
        <w:r>
          <w:rPr>
            <w:color w:val="005DA1"/>
            <w:position w:val="5"/>
            <w:sz w:val="14"/>
            <w:u w:val="single" w:color="005DA1"/>
          </w:rPr>
          <w:t>1414</w:t>
        </w:r>
      </w:hyperlink>
      <w:r>
        <w:rPr>
          <w:position w:val="5"/>
          <w:sz w:val="14"/>
        </w:rPr>
        <w:t>.</w:t>
      </w:r>
      <w:r>
        <w:rPr>
          <w:spacing w:val="55"/>
          <w:position w:val="5"/>
          <w:sz w:val="14"/>
        </w:rPr>
        <w:t>  </w:t>
      </w:r>
      <w:r>
        <w:rPr>
          <w:rFonts w:ascii="Arial"/>
          <w:i/>
          <w:sz w:val="20"/>
        </w:rPr>
        <w:t>Sommerfelds</w:t>
      </w:r>
      <w:r>
        <w:rPr>
          <w:rFonts w:ascii="Arial"/>
          <w:i/>
          <w:spacing w:val="1"/>
          <w:sz w:val="20"/>
        </w:rPr>
        <w:t> </w:t>
      </w:r>
      <w:r>
        <w:rPr>
          <w:rFonts w:ascii="Arial"/>
          <w:i/>
          <w:sz w:val="20"/>
        </w:rPr>
        <w:t>v Freeman [1967] 1 W.L.R. </w:t>
      </w:r>
      <w:r>
        <w:rPr>
          <w:rFonts w:ascii="Arial"/>
          <w:i/>
          <w:spacing w:val="-4"/>
          <w:sz w:val="20"/>
        </w:rPr>
        <w:t>489</w:t>
      </w:r>
      <w:r>
        <w:rPr>
          <w:spacing w:val="-4"/>
          <w:sz w:val="20"/>
        </w:rPr>
        <w:t>.</w:t>
      </w:r>
    </w:p>
    <w:p>
      <w:pPr>
        <w:pStyle w:val="BodyText"/>
        <w:spacing w:before="5"/>
      </w:pPr>
    </w:p>
    <w:p>
      <w:pPr>
        <w:spacing w:line="227" w:lineRule="exact" w:before="0"/>
        <w:ind w:left="165" w:right="0" w:firstLine="0"/>
        <w:jc w:val="left"/>
        <w:rPr>
          <w:sz w:val="20"/>
        </w:rPr>
      </w:pPr>
      <w:bookmarkStart w:name="_bookmark2719" w:id="2721"/>
      <w:bookmarkEnd w:id="2721"/>
      <w:r>
        <w:rPr/>
      </w:r>
      <w:hyperlink w:history="true" w:anchor="_bookmark2666">
        <w:r>
          <w:rPr>
            <w:color w:val="005DA1"/>
            <w:position w:val="5"/>
            <w:sz w:val="14"/>
            <w:u w:val="single" w:color="005DA1"/>
          </w:rPr>
          <w:t>1415</w:t>
        </w:r>
      </w:hyperlink>
      <w:r>
        <w:rPr>
          <w:position w:val="5"/>
          <w:sz w:val="14"/>
        </w:rPr>
        <w:t>.</w:t>
      </w:r>
      <w:r>
        <w:rPr>
          <w:spacing w:val="55"/>
          <w:position w:val="5"/>
          <w:sz w:val="14"/>
        </w:rPr>
        <w:t>  </w:t>
      </w:r>
      <w:r>
        <w:rPr>
          <w:rFonts w:ascii="Arial"/>
          <w:i/>
          <w:sz w:val="20"/>
        </w:rPr>
        <w:t>Riches</w:t>
      </w:r>
      <w:r>
        <w:rPr>
          <w:rFonts w:ascii="Arial"/>
          <w:i/>
          <w:spacing w:val="6"/>
          <w:sz w:val="20"/>
        </w:rPr>
        <w:t> </w:t>
      </w:r>
      <w:r>
        <w:rPr>
          <w:rFonts w:ascii="Arial"/>
          <w:i/>
          <w:sz w:val="20"/>
        </w:rPr>
        <w:t>v</w:t>
      </w:r>
      <w:r>
        <w:rPr>
          <w:rFonts w:ascii="Arial"/>
          <w:i/>
          <w:spacing w:val="5"/>
          <w:sz w:val="20"/>
        </w:rPr>
        <w:t> </w:t>
      </w:r>
      <w:r>
        <w:rPr>
          <w:rFonts w:ascii="Arial"/>
          <w:i/>
          <w:sz w:val="20"/>
        </w:rPr>
        <w:t>Westminster</w:t>
      </w:r>
      <w:r>
        <w:rPr>
          <w:rFonts w:ascii="Arial"/>
          <w:i/>
          <w:spacing w:val="5"/>
          <w:sz w:val="20"/>
        </w:rPr>
        <w:t> </w:t>
      </w:r>
      <w:r>
        <w:rPr>
          <w:rFonts w:ascii="Arial"/>
          <w:i/>
          <w:sz w:val="20"/>
        </w:rPr>
        <w:t>Bank</w:t>
      </w:r>
      <w:r>
        <w:rPr>
          <w:rFonts w:ascii="Arial"/>
          <w:i/>
          <w:spacing w:val="5"/>
          <w:sz w:val="20"/>
        </w:rPr>
        <w:t> </w:t>
      </w:r>
      <w:r>
        <w:rPr>
          <w:rFonts w:ascii="Arial"/>
          <w:i/>
          <w:sz w:val="20"/>
        </w:rPr>
        <w:t>[1947]</w:t>
      </w:r>
      <w:r>
        <w:rPr>
          <w:rFonts w:ascii="Arial"/>
          <w:i/>
          <w:spacing w:val="5"/>
          <w:sz w:val="20"/>
        </w:rPr>
        <w:t> </w:t>
      </w:r>
      <w:r>
        <w:rPr>
          <w:rFonts w:ascii="Arial"/>
          <w:i/>
          <w:sz w:val="20"/>
        </w:rPr>
        <w:t>A.C.</w:t>
      </w:r>
      <w:r>
        <w:rPr>
          <w:rFonts w:ascii="Arial"/>
          <w:i/>
          <w:spacing w:val="5"/>
          <w:sz w:val="20"/>
        </w:rPr>
        <w:t> </w:t>
      </w:r>
      <w:r>
        <w:rPr>
          <w:rFonts w:ascii="Arial"/>
          <w:i/>
          <w:sz w:val="20"/>
        </w:rPr>
        <w:t>390</w:t>
      </w:r>
      <w:r>
        <w:rPr>
          <w:rFonts w:ascii="Arial"/>
          <w:i/>
          <w:spacing w:val="5"/>
          <w:sz w:val="20"/>
        </w:rPr>
        <w:t> </w:t>
      </w:r>
      <w:r>
        <w:rPr>
          <w:sz w:val="20"/>
        </w:rPr>
        <w:t>(interest</w:t>
      </w:r>
      <w:r>
        <w:rPr>
          <w:spacing w:val="5"/>
          <w:sz w:val="20"/>
        </w:rPr>
        <w:t> </w:t>
      </w:r>
      <w:r>
        <w:rPr>
          <w:sz w:val="20"/>
        </w:rPr>
        <w:t>awarded</w:t>
      </w:r>
      <w:r>
        <w:rPr>
          <w:spacing w:val="5"/>
          <w:sz w:val="20"/>
        </w:rPr>
        <w:t> </w:t>
      </w:r>
      <w:r>
        <w:rPr>
          <w:sz w:val="20"/>
        </w:rPr>
        <w:t>as</w:t>
      </w:r>
      <w:r>
        <w:rPr>
          <w:spacing w:val="5"/>
          <w:sz w:val="20"/>
        </w:rPr>
        <w:t> </w:t>
      </w:r>
      <w:r>
        <w:rPr>
          <w:sz w:val="20"/>
        </w:rPr>
        <w:t>damages</w:t>
      </w:r>
      <w:r>
        <w:rPr>
          <w:spacing w:val="5"/>
          <w:sz w:val="20"/>
        </w:rPr>
        <w:t> </w:t>
      </w:r>
      <w:r>
        <w:rPr>
          <w:sz w:val="20"/>
        </w:rPr>
        <w:t>held</w:t>
      </w:r>
      <w:r>
        <w:rPr>
          <w:spacing w:val="5"/>
          <w:sz w:val="20"/>
        </w:rPr>
        <w:t> </w:t>
      </w:r>
      <w:r>
        <w:rPr>
          <w:sz w:val="20"/>
        </w:rPr>
        <w:t>to</w:t>
      </w:r>
      <w:r>
        <w:rPr>
          <w:spacing w:val="5"/>
          <w:sz w:val="20"/>
        </w:rPr>
        <w:t> </w:t>
      </w:r>
      <w:r>
        <w:rPr>
          <w:sz w:val="20"/>
        </w:rPr>
        <w:t>be</w:t>
      </w:r>
      <w:r>
        <w:rPr>
          <w:spacing w:val="5"/>
          <w:sz w:val="20"/>
        </w:rPr>
        <w:t> </w:t>
      </w:r>
      <w:r>
        <w:rPr>
          <w:spacing w:val="-2"/>
          <w:sz w:val="20"/>
        </w:rPr>
        <w:t>taxable);</w:t>
      </w:r>
    </w:p>
    <w:p>
      <w:pPr>
        <w:spacing w:line="227" w:lineRule="exact" w:before="0"/>
        <w:ind w:left="705" w:right="0" w:firstLine="0"/>
        <w:jc w:val="left"/>
        <w:rPr>
          <w:sz w:val="20"/>
        </w:rPr>
      </w:pPr>
      <w:r>
        <w:rPr>
          <w:rFonts w:ascii="Arial"/>
          <w:i/>
          <w:sz w:val="20"/>
        </w:rPr>
        <w:t>The Norseman [1957] P. 224</w:t>
      </w:r>
      <w:r>
        <w:rPr>
          <w:rFonts w:ascii="Arial"/>
          <w:i/>
          <w:spacing w:val="-1"/>
          <w:sz w:val="20"/>
        </w:rPr>
        <w:t> </w:t>
      </w:r>
      <w:r>
        <w:rPr>
          <w:spacing w:val="-2"/>
          <w:sz w:val="20"/>
        </w:rPr>
        <w:t>(interest).</w:t>
      </w:r>
    </w:p>
    <w:p>
      <w:pPr>
        <w:pStyle w:val="BodyText"/>
        <w:spacing w:before="5"/>
      </w:pPr>
    </w:p>
    <w:p>
      <w:pPr>
        <w:spacing w:before="0"/>
        <w:ind w:left="165" w:right="0" w:firstLine="0"/>
        <w:jc w:val="left"/>
        <w:rPr>
          <w:sz w:val="20"/>
        </w:rPr>
      </w:pPr>
      <w:bookmarkStart w:name="_bookmark2720" w:id="2722"/>
      <w:bookmarkEnd w:id="2722"/>
      <w:r>
        <w:rPr/>
      </w:r>
      <w:hyperlink w:history="true" w:anchor="_bookmark2666">
        <w:r>
          <w:rPr>
            <w:color w:val="005DA1"/>
            <w:position w:val="5"/>
            <w:sz w:val="14"/>
            <w:u w:val="single" w:color="005DA1"/>
          </w:rPr>
          <w:t>1416</w:t>
        </w:r>
      </w:hyperlink>
      <w:r>
        <w:rPr>
          <w:position w:val="5"/>
          <w:sz w:val="14"/>
        </w:rPr>
        <w:t>.</w:t>
      </w:r>
      <w:r>
        <w:rPr>
          <w:spacing w:val="55"/>
          <w:position w:val="5"/>
          <w:sz w:val="14"/>
        </w:rPr>
        <w:t>  </w:t>
      </w:r>
      <w:r>
        <w:rPr>
          <w:rFonts w:ascii="Arial"/>
          <w:i/>
          <w:sz w:val="20"/>
        </w:rPr>
        <w:t>Burmah</w:t>
      </w:r>
      <w:r>
        <w:rPr>
          <w:rFonts w:ascii="Arial"/>
          <w:i/>
          <w:spacing w:val="1"/>
          <w:sz w:val="20"/>
        </w:rPr>
        <w:t> </w:t>
      </w:r>
      <w:r>
        <w:rPr>
          <w:rFonts w:ascii="Arial"/>
          <w:i/>
          <w:sz w:val="20"/>
        </w:rPr>
        <w:t>S.S. Co v Inland Revenue Commissioners (1931) 16 T.C. 67</w:t>
      </w:r>
      <w:r>
        <w:rPr>
          <w:rFonts w:ascii="Arial"/>
          <w:i/>
          <w:spacing w:val="-1"/>
          <w:sz w:val="20"/>
        </w:rPr>
        <w:t> </w:t>
      </w:r>
      <w:r>
        <w:rPr>
          <w:sz w:val="20"/>
        </w:rPr>
        <w:t>(a Scots </w:t>
      </w:r>
      <w:r>
        <w:rPr>
          <w:spacing w:val="-2"/>
          <w:sz w:val="20"/>
        </w:rPr>
        <w:t>case).</w:t>
      </w:r>
    </w:p>
    <w:p>
      <w:pPr>
        <w:pStyle w:val="BodyText"/>
        <w:spacing w:before="9"/>
      </w:pPr>
    </w:p>
    <w:p>
      <w:pPr>
        <w:spacing w:line="235" w:lineRule="auto" w:before="0"/>
        <w:ind w:left="705" w:right="168" w:hanging="541"/>
        <w:jc w:val="both"/>
        <w:rPr>
          <w:sz w:val="20"/>
        </w:rPr>
      </w:pPr>
      <w:bookmarkStart w:name="_bookmark2721" w:id="2723"/>
      <w:bookmarkEnd w:id="2723"/>
      <w:r>
        <w:rPr/>
      </w:r>
      <w:hyperlink w:history="true" w:anchor="_bookmark2667">
        <w:r>
          <w:rPr>
            <w:color w:val="005DA1"/>
            <w:position w:val="5"/>
            <w:sz w:val="14"/>
            <w:u w:val="single" w:color="005DA1"/>
          </w:rPr>
          <w:t>1417</w:t>
        </w:r>
      </w:hyperlink>
      <w:r>
        <w:rPr>
          <w:position w:val="5"/>
          <w:sz w:val="14"/>
        </w:rPr>
        <w:t>.</w:t>
      </w:r>
      <w:r>
        <w:rPr>
          <w:spacing w:val="80"/>
          <w:position w:val="5"/>
          <w:sz w:val="14"/>
        </w:rPr>
        <w:t> </w:t>
      </w:r>
      <w:r>
        <w:rPr>
          <w:rFonts w:ascii="Arial" w:hAnsi="Arial"/>
          <w:i/>
          <w:sz w:val="20"/>
        </w:rPr>
        <w:t>Raja’s Commercial College v Gian Singh &amp; Co Ltd [1977] A.C. 312</w:t>
      </w:r>
      <w:r>
        <w:rPr>
          <w:sz w:val="20"/>
        </w:rPr>
        <w:t>; cf. </w:t>
      </w:r>
      <w:r>
        <w:rPr>
          <w:rFonts w:ascii="Arial" w:hAnsi="Arial"/>
          <w:i/>
          <w:sz w:val="20"/>
        </w:rPr>
        <w:t>Stoke-on-Trent </w:t>
      </w:r>
      <w:r>
        <w:rPr>
          <w:rFonts w:ascii="Arial" w:hAnsi="Arial"/>
          <w:i/>
          <w:sz w:val="20"/>
        </w:rPr>
        <w:t>City Council v Wood Mitchell &amp; Co Ltd [1980] 1 W.L.R. 254 </w:t>
      </w:r>
      <w:r>
        <w:rPr>
          <w:sz w:val="20"/>
        </w:rPr>
        <w:t>(loss of profits as part of statutory compensation for compulsory acquisition); </w:t>
      </w:r>
      <w:r>
        <w:rPr>
          <w:rFonts w:ascii="Arial" w:hAnsi="Arial"/>
          <w:i/>
          <w:sz w:val="20"/>
        </w:rPr>
        <w:t>London and Thames Haven Oil Wharves Ltd v Attwooll [1967] Ch. 772 </w:t>
      </w:r>
      <w:r>
        <w:rPr>
          <w:sz w:val="20"/>
        </w:rPr>
        <w:t>(loss of trading profits: the dictum of Diplock L.J. in this case was discussed by the HL in </w:t>
      </w:r>
      <w:r>
        <w:rPr>
          <w:rFonts w:ascii="Arial" w:hAnsi="Arial"/>
          <w:i/>
          <w:sz w:val="20"/>
        </w:rPr>
        <w:t>Deeny v Gooda Walker Ltd (No.2) [1996] 1 W.L.R. 426)</w:t>
      </w:r>
      <w:r>
        <w:rPr>
          <w:sz w:val="20"/>
        </w:rPr>
        <w:t>.</w:t>
      </w:r>
    </w:p>
    <w:p>
      <w:pPr>
        <w:pStyle w:val="BodyText"/>
        <w:spacing w:before="4"/>
      </w:pPr>
    </w:p>
    <w:p>
      <w:pPr>
        <w:spacing w:before="0"/>
        <w:ind w:left="165" w:right="0" w:firstLine="0"/>
        <w:jc w:val="left"/>
        <w:rPr>
          <w:sz w:val="20"/>
        </w:rPr>
      </w:pPr>
      <w:bookmarkStart w:name="_bookmark2722" w:id="2724"/>
      <w:bookmarkEnd w:id="2724"/>
      <w:r>
        <w:rPr/>
      </w:r>
      <w:hyperlink w:history="true" w:anchor="_bookmark2668">
        <w:r>
          <w:rPr>
            <w:color w:val="005DA1"/>
            <w:position w:val="5"/>
            <w:sz w:val="14"/>
            <w:u w:val="single" w:color="005DA1"/>
          </w:rPr>
          <w:t>1418</w:t>
        </w:r>
      </w:hyperlink>
      <w:r>
        <w:rPr>
          <w:position w:val="5"/>
          <w:sz w:val="14"/>
        </w:rPr>
        <w:t>.</w:t>
      </w:r>
      <w:r>
        <w:rPr>
          <w:spacing w:val="55"/>
          <w:position w:val="5"/>
          <w:sz w:val="14"/>
        </w:rPr>
        <w:t>  </w:t>
      </w:r>
      <w:r>
        <w:rPr>
          <w:rFonts w:ascii="Arial"/>
          <w:i/>
          <w:sz w:val="20"/>
        </w:rPr>
        <w:t>Deeny</w:t>
      </w:r>
      <w:r>
        <w:rPr>
          <w:rFonts w:ascii="Arial"/>
          <w:i/>
          <w:spacing w:val="1"/>
          <w:sz w:val="20"/>
        </w:rPr>
        <w:t> </w:t>
      </w:r>
      <w:r>
        <w:rPr>
          <w:rFonts w:ascii="Arial"/>
          <w:i/>
          <w:sz w:val="20"/>
        </w:rPr>
        <w:t>v Gooda Walker Ltd (No.2) [1996] 1 W.L.R. </w:t>
      </w:r>
      <w:r>
        <w:rPr>
          <w:rFonts w:ascii="Arial"/>
          <w:i/>
          <w:spacing w:val="-4"/>
          <w:sz w:val="20"/>
        </w:rPr>
        <w:t>426</w:t>
      </w:r>
      <w:r>
        <w:rPr>
          <w:spacing w:val="-4"/>
          <w:sz w:val="20"/>
        </w:rPr>
        <w:t>.</w:t>
      </w:r>
    </w:p>
    <w:p>
      <w:pPr>
        <w:pStyle w:val="BodyText"/>
        <w:spacing w:before="5"/>
      </w:pPr>
    </w:p>
    <w:p>
      <w:pPr>
        <w:spacing w:line="227" w:lineRule="exact" w:before="0"/>
        <w:ind w:left="165" w:right="0" w:firstLine="0"/>
        <w:jc w:val="left"/>
        <w:rPr>
          <w:rFonts w:ascii="Arial" w:hAnsi="Arial"/>
          <w:i/>
          <w:sz w:val="20"/>
        </w:rPr>
      </w:pPr>
      <w:bookmarkStart w:name="_bookmark2723" w:id="2725"/>
      <w:bookmarkEnd w:id="2725"/>
      <w:r>
        <w:rPr/>
      </w:r>
      <w:hyperlink w:history="true" w:anchor="_bookmark2669">
        <w:r>
          <w:rPr>
            <w:color w:val="005DA1"/>
            <w:position w:val="5"/>
            <w:sz w:val="14"/>
            <w:u w:val="single" w:color="005DA1"/>
          </w:rPr>
          <w:t>1419</w:t>
        </w:r>
      </w:hyperlink>
      <w:r>
        <w:rPr>
          <w:position w:val="5"/>
          <w:sz w:val="14"/>
        </w:rPr>
        <w:t>.</w:t>
      </w:r>
      <w:r>
        <w:rPr>
          <w:spacing w:val="55"/>
          <w:position w:val="5"/>
          <w:sz w:val="14"/>
        </w:rPr>
        <w:t>  </w:t>
      </w:r>
      <w:r>
        <w:rPr>
          <w:rFonts w:ascii="Arial" w:hAnsi="Arial"/>
          <w:i/>
          <w:sz w:val="20"/>
        </w:rPr>
        <w:t>The</w:t>
      </w:r>
      <w:r>
        <w:rPr>
          <w:rFonts w:ascii="Arial" w:hAnsi="Arial"/>
          <w:i/>
          <w:spacing w:val="1"/>
          <w:sz w:val="20"/>
        </w:rPr>
        <w:t> </w:t>
      </w:r>
      <w:r>
        <w:rPr>
          <w:rFonts w:ascii="Arial" w:hAnsi="Arial"/>
          <w:i/>
          <w:sz w:val="20"/>
        </w:rPr>
        <w:t>Telemachus [1957] P.</w:t>
      </w:r>
      <w:r>
        <w:rPr>
          <w:rFonts w:ascii="Arial" w:hAnsi="Arial"/>
          <w:i/>
          <w:spacing w:val="-1"/>
          <w:sz w:val="20"/>
        </w:rPr>
        <w:t> </w:t>
      </w:r>
      <w:r>
        <w:rPr>
          <w:rFonts w:ascii="Arial" w:hAnsi="Arial"/>
          <w:i/>
          <w:sz w:val="20"/>
        </w:rPr>
        <w:t>47</w:t>
      </w:r>
      <w:r>
        <w:rPr>
          <w:sz w:val="20"/>
        </w:rPr>
        <w:t>; </w:t>
      </w:r>
      <w:r>
        <w:rPr>
          <w:rFonts w:ascii="Arial" w:hAnsi="Arial"/>
          <w:i/>
          <w:sz w:val="20"/>
        </w:rPr>
        <w:t>The Makedonia [1958] 1 Q.B. 365</w:t>
      </w:r>
      <w:r>
        <w:rPr>
          <w:sz w:val="20"/>
        </w:rPr>
        <w:t>;</w:t>
      </w:r>
      <w:r>
        <w:rPr>
          <w:spacing w:val="-1"/>
          <w:sz w:val="20"/>
        </w:rPr>
        <w:t> </w:t>
      </w:r>
      <w:r>
        <w:rPr>
          <w:sz w:val="20"/>
        </w:rPr>
        <w:t>cf. </w:t>
      </w:r>
      <w:r>
        <w:rPr>
          <w:rFonts w:ascii="Arial" w:hAnsi="Arial"/>
          <w:i/>
          <w:sz w:val="20"/>
        </w:rPr>
        <w:t>The Frisia [1960] 1 </w:t>
      </w:r>
      <w:r>
        <w:rPr>
          <w:rFonts w:ascii="Arial" w:hAnsi="Arial"/>
          <w:i/>
          <w:spacing w:val="-2"/>
          <w:sz w:val="20"/>
        </w:rPr>
        <w:t>Lloyd’s</w:t>
      </w:r>
    </w:p>
    <w:p>
      <w:pPr>
        <w:spacing w:line="235" w:lineRule="auto" w:before="2"/>
        <w:ind w:left="705" w:right="174" w:firstLine="0"/>
        <w:jc w:val="left"/>
        <w:rPr>
          <w:sz w:val="20"/>
        </w:rPr>
      </w:pPr>
      <w:r>
        <w:rPr>
          <w:rFonts w:ascii="Arial" w:hAnsi="Arial"/>
          <w:i/>
          <w:sz w:val="20"/>
        </w:rPr>
        <w:t>Rep. 90, 94, 95, 96</w:t>
      </w:r>
      <w:r>
        <w:rPr>
          <w:sz w:val="20"/>
        </w:rPr>
        <w:t>. McGregor on Damages, 19th edn (2014), para.17–013 n.36, submits that the decision in </w:t>
      </w:r>
      <w:r>
        <w:rPr>
          <w:rFonts w:ascii="Arial" w:hAnsi="Arial"/>
          <w:i/>
          <w:sz w:val="20"/>
        </w:rPr>
        <w:t>The Telemachus </w:t>
      </w:r>
      <w:r>
        <w:rPr>
          <w:sz w:val="20"/>
        </w:rPr>
        <w:t>was wrong. On salvage, see below, para.29-142.</w:t>
      </w:r>
    </w:p>
    <w:p>
      <w:pPr>
        <w:pStyle w:val="BodyText"/>
        <w:spacing w:before="5"/>
      </w:pPr>
    </w:p>
    <w:p>
      <w:pPr>
        <w:spacing w:before="0"/>
        <w:ind w:left="165" w:right="0" w:firstLine="0"/>
        <w:jc w:val="left"/>
        <w:rPr>
          <w:sz w:val="20"/>
        </w:rPr>
      </w:pPr>
      <w:bookmarkStart w:name="_bookmark2724" w:id="2726"/>
      <w:bookmarkEnd w:id="2726"/>
      <w:r>
        <w:rPr/>
      </w:r>
      <w:hyperlink w:history="true" w:anchor="_bookmark2670">
        <w:r>
          <w:rPr>
            <w:color w:val="005DA1"/>
            <w:position w:val="5"/>
            <w:sz w:val="14"/>
            <w:u w:val="single" w:color="005DA1"/>
          </w:rPr>
          <w:t>1420</w:t>
        </w:r>
      </w:hyperlink>
      <w:r>
        <w:rPr>
          <w:position w:val="5"/>
          <w:sz w:val="14"/>
        </w:rPr>
        <w:t>.</w:t>
      </w:r>
      <w:r>
        <w:rPr>
          <w:spacing w:val="55"/>
          <w:position w:val="5"/>
          <w:sz w:val="14"/>
        </w:rPr>
        <w:t>  </w:t>
      </w:r>
      <w:r>
        <w:rPr>
          <w:rFonts w:ascii="Arial"/>
          <w:i/>
          <w:sz w:val="20"/>
        </w:rPr>
        <w:t>The</w:t>
      </w:r>
      <w:r>
        <w:rPr>
          <w:rFonts w:ascii="Arial"/>
          <w:i/>
          <w:spacing w:val="1"/>
          <w:sz w:val="20"/>
        </w:rPr>
        <w:t> </w:t>
      </w:r>
      <w:r>
        <w:rPr>
          <w:rFonts w:ascii="Arial"/>
          <w:i/>
          <w:sz w:val="20"/>
        </w:rPr>
        <w:t>Makedonia [1958] 1 Q.B. </w:t>
      </w:r>
      <w:r>
        <w:rPr>
          <w:rFonts w:ascii="Arial"/>
          <w:i/>
          <w:spacing w:val="-4"/>
          <w:sz w:val="20"/>
        </w:rPr>
        <w:t>365</w:t>
      </w:r>
      <w:r>
        <w:rPr>
          <w:spacing w:val="-4"/>
          <w:sz w:val="20"/>
        </w:rPr>
        <w:t>.</w:t>
      </w:r>
    </w:p>
    <w:p>
      <w:pPr>
        <w:pStyle w:val="BodyText"/>
        <w:spacing w:before="5"/>
      </w:pPr>
    </w:p>
    <w:p>
      <w:pPr>
        <w:pStyle w:val="BodyText"/>
        <w:ind w:left="165"/>
      </w:pPr>
      <w:bookmarkStart w:name="_bookmark2725" w:id="2727"/>
      <w:bookmarkEnd w:id="2727"/>
      <w:r>
        <w:rPr/>
      </w:r>
      <w:hyperlink w:history="true" w:anchor="_bookmark2671">
        <w:r>
          <w:rPr>
            <w:color w:val="005DA1"/>
            <w:position w:val="5"/>
            <w:sz w:val="14"/>
            <w:u w:val="single" w:color="005DA1"/>
          </w:rPr>
          <w:t>1421</w:t>
        </w:r>
      </w:hyperlink>
      <w:r>
        <w:rPr>
          <w:position w:val="5"/>
          <w:sz w:val="14"/>
        </w:rPr>
        <w:t>.</w:t>
      </w:r>
      <w:r>
        <w:rPr>
          <w:spacing w:val="55"/>
          <w:position w:val="5"/>
          <w:sz w:val="14"/>
        </w:rPr>
        <w:t>  </w:t>
      </w:r>
      <w:r>
        <w:rPr/>
        <w:t>Hall</w:t>
      </w:r>
      <w:r>
        <w:rPr>
          <w:spacing w:val="1"/>
        </w:rPr>
        <w:t> </w:t>
      </w:r>
      <w:r>
        <w:rPr/>
        <w:t>(1957) 73 L.Q.R. 212, 219–220; (1958) 74 L.Q.R. 168; (1958) 21 M.L.R. </w:t>
      </w:r>
      <w:r>
        <w:rPr>
          <w:spacing w:val="-4"/>
        </w:rPr>
        <w:t>301.</w:t>
      </w:r>
    </w:p>
    <w:p>
      <w:pPr>
        <w:pStyle w:val="BodyText"/>
        <w:spacing w:before="9"/>
      </w:pPr>
    </w:p>
    <w:p>
      <w:pPr>
        <w:spacing w:line="235" w:lineRule="auto" w:before="0"/>
        <w:ind w:left="705" w:right="167" w:hanging="541"/>
        <w:jc w:val="both"/>
        <w:rPr>
          <w:sz w:val="20"/>
        </w:rPr>
      </w:pPr>
      <w:bookmarkStart w:name="_bookmark2726" w:id="2728"/>
      <w:bookmarkEnd w:id="2728"/>
      <w:r>
        <w:rPr/>
      </w:r>
      <w:hyperlink w:history="true" w:anchor="_bookmark2672">
        <w:r>
          <w:rPr>
            <w:color w:val="005DA1"/>
            <w:position w:val="5"/>
            <w:sz w:val="14"/>
            <w:u w:val="single" w:color="005DA1"/>
          </w:rPr>
          <w:t>1422</w:t>
        </w:r>
      </w:hyperlink>
      <w:r>
        <w:rPr>
          <w:position w:val="5"/>
          <w:sz w:val="14"/>
        </w:rPr>
        <w:t>.</w:t>
      </w:r>
      <w:r>
        <w:rPr>
          <w:spacing w:val="80"/>
          <w:w w:val="150"/>
          <w:position w:val="5"/>
          <w:sz w:val="14"/>
        </w:rPr>
        <w:t> </w:t>
      </w:r>
      <w:r>
        <w:rPr>
          <w:rFonts w:ascii="Arial" w:hAnsi="Arial"/>
          <w:i/>
          <w:sz w:val="20"/>
        </w:rPr>
        <w:t>Parsons v B.N.M. Laboratories Ltd [1964] 1 Q.B. 95 </w:t>
      </w:r>
      <w:r>
        <w:rPr>
          <w:sz w:val="20"/>
        </w:rPr>
        <w:t>(“[I]t is impossible to maintain that there</w:t>
      </w:r>
      <w:r>
        <w:rPr>
          <w:spacing w:val="80"/>
          <w:sz w:val="20"/>
        </w:rPr>
        <w:t> </w:t>
      </w:r>
      <w:r>
        <w:rPr>
          <w:sz w:val="20"/>
        </w:rPr>
        <w:t>can be derived from Gourley’s case any principle requiring taxation to be taken into account </w:t>
      </w:r>
      <w:r>
        <w:rPr>
          <w:sz w:val="20"/>
        </w:rPr>
        <w:t>in assessing damages in a situation where both the lost earnings or profits and the damages are taxable”: at 136). See also </w:t>
      </w:r>
      <w:r>
        <w:rPr>
          <w:rFonts w:ascii="Arial" w:hAnsi="Arial"/>
          <w:i/>
          <w:sz w:val="20"/>
        </w:rPr>
        <w:t>Julien Praet et Cie SA v H. G. Poland Ltd [1962] 1 Lloyd’s Rep. 566</w:t>
      </w:r>
      <w:r>
        <w:rPr>
          <w:sz w:val="20"/>
        </w:rPr>
        <w:t>.</w:t>
      </w:r>
    </w:p>
    <w:p>
      <w:pPr>
        <w:pStyle w:val="BodyText"/>
        <w:spacing w:before="8"/>
      </w:pPr>
    </w:p>
    <w:p>
      <w:pPr>
        <w:spacing w:line="235" w:lineRule="auto" w:before="0"/>
        <w:ind w:left="705" w:right="0" w:hanging="541"/>
        <w:jc w:val="left"/>
        <w:rPr>
          <w:sz w:val="20"/>
        </w:rPr>
      </w:pPr>
      <w:bookmarkStart w:name="_bookmark2727" w:id="2729"/>
      <w:bookmarkEnd w:id="2729"/>
      <w:r>
        <w:rPr/>
      </w:r>
      <w:hyperlink w:history="true" w:anchor="_bookmark2673">
        <w:r>
          <w:rPr>
            <w:color w:val="005DA1"/>
            <w:position w:val="5"/>
            <w:sz w:val="14"/>
            <w:u w:val="single" w:color="005DA1"/>
          </w:rPr>
          <w:t>1423</w:t>
        </w:r>
      </w:hyperlink>
      <w:r>
        <w:rPr>
          <w:position w:val="5"/>
          <w:sz w:val="14"/>
        </w:rPr>
        <w:t>.</w:t>
      </w:r>
      <w:r>
        <w:rPr>
          <w:spacing w:val="40"/>
          <w:position w:val="5"/>
          <w:sz w:val="14"/>
        </w:rPr>
        <w:t>  </w:t>
      </w:r>
      <w:r>
        <w:rPr>
          <w:rFonts w:ascii="Arial"/>
          <w:i/>
          <w:sz w:val="20"/>
        </w:rPr>
        <w:t>Parsons</w:t>
      </w:r>
      <w:r>
        <w:rPr>
          <w:rFonts w:ascii="Arial"/>
          <w:i/>
          <w:spacing w:val="28"/>
          <w:sz w:val="20"/>
        </w:rPr>
        <w:t> </w:t>
      </w:r>
      <w:r>
        <w:rPr>
          <w:rFonts w:ascii="Arial"/>
          <w:i/>
          <w:sz w:val="20"/>
        </w:rPr>
        <w:t>v</w:t>
      </w:r>
      <w:r>
        <w:rPr>
          <w:rFonts w:ascii="Arial"/>
          <w:i/>
          <w:spacing w:val="28"/>
          <w:sz w:val="20"/>
        </w:rPr>
        <w:t> </w:t>
      </w:r>
      <w:r>
        <w:rPr>
          <w:rFonts w:ascii="Arial"/>
          <w:i/>
          <w:sz w:val="20"/>
        </w:rPr>
        <w:t>B.N.M.</w:t>
      </w:r>
      <w:r>
        <w:rPr>
          <w:rFonts w:ascii="Arial"/>
          <w:i/>
          <w:spacing w:val="28"/>
          <w:sz w:val="20"/>
        </w:rPr>
        <w:t> </w:t>
      </w:r>
      <w:r>
        <w:rPr>
          <w:rFonts w:ascii="Arial"/>
          <w:i/>
          <w:sz w:val="20"/>
        </w:rPr>
        <w:t>Laboratories</w:t>
      </w:r>
      <w:r>
        <w:rPr>
          <w:rFonts w:ascii="Arial"/>
          <w:i/>
          <w:spacing w:val="28"/>
          <w:sz w:val="20"/>
        </w:rPr>
        <w:t> </w:t>
      </w:r>
      <w:r>
        <w:rPr>
          <w:rFonts w:ascii="Arial"/>
          <w:i/>
          <w:sz w:val="20"/>
        </w:rPr>
        <w:t>Ltd</w:t>
      </w:r>
      <w:r>
        <w:rPr>
          <w:rFonts w:ascii="Arial"/>
          <w:i/>
          <w:spacing w:val="28"/>
          <w:sz w:val="20"/>
        </w:rPr>
        <w:t> </w:t>
      </w:r>
      <w:r>
        <w:rPr>
          <w:rFonts w:ascii="Arial"/>
          <w:i/>
          <w:sz w:val="20"/>
        </w:rPr>
        <w:t>[1964]</w:t>
      </w:r>
      <w:r>
        <w:rPr>
          <w:rFonts w:ascii="Arial"/>
          <w:i/>
          <w:spacing w:val="28"/>
          <w:sz w:val="20"/>
        </w:rPr>
        <w:t> </w:t>
      </w:r>
      <w:r>
        <w:rPr>
          <w:rFonts w:ascii="Arial"/>
          <w:i/>
          <w:sz w:val="20"/>
        </w:rPr>
        <w:t>1</w:t>
      </w:r>
      <w:r>
        <w:rPr>
          <w:rFonts w:ascii="Arial"/>
          <w:i/>
          <w:spacing w:val="28"/>
          <w:sz w:val="20"/>
        </w:rPr>
        <w:t> </w:t>
      </w:r>
      <w:r>
        <w:rPr>
          <w:rFonts w:ascii="Arial"/>
          <w:i/>
          <w:sz w:val="20"/>
        </w:rPr>
        <w:t>Q.B.</w:t>
      </w:r>
      <w:r>
        <w:rPr>
          <w:rFonts w:ascii="Arial"/>
          <w:i/>
          <w:spacing w:val="28"/>
          <w:sz w:val="20"/>
        </w:rPr>
        <w:t> </w:t>
      </w:r>
      <w:r>
        <w:rPr>
          <w:rFonts w:ascii="Arial"/>
          <w:i/>
          <w:sz w:val="20"/>
        </w:rPr>
        <w:t>95,</w:t>
      </w:r>
      <w:r>
        <w:rPr>
          <w:rFonts w:ascii="Arial"/>
          <w:i/>
          <w:spacing w:val="28"/>
          <w:sz w:val="20"/>
        </w:rPr>
        <w:t> </w:t>
      </w:r>
      <w:r>
        <w:rPr>
          <w:rFonts w:ascii="Arial"/>
          <w:i/>
          <w:sz w:val="20"/>
        </w:rPr>
        <w:t>135</w:t>
      </w:r>
      <w:r>
        <w:rPr>
          <w:sz w:val="20"/>
        </w:rPr>
        <w:t>.</w:t>
      </w:r>
      <w:r>
        <w:rPr>
          <w:spacing w:val="28"/>
          <w:sz w:val="20"/>
        </w:rPr>
        <w:t> </w:t>
      </w:r>
      <w:r>
        <w:rPr>
          <w:sz w:val="20"/>
        </w:rPr>
        <w:t>It</w:t>
      </w:r>
      <w:r>
        <w:rPr>
          <w:spacing w:val="28"/>
          <w:sz w:val="20"/>
        </w:rPr>
        <w:t> </w:t>
      </w:r>
      <w:r>
        <w:rPr>
          <w:sz w:val="20"/>
        </w:rPr>
        <w:t>was</w:t>
      </w:r>
      <w:r>
        <w:rPr>
          <w:spacing w:val="28"/>
          <w:sz w:val="20"/>
        </w:rPr>
        <w:t> </w:t>
      </w:r>
      <w:r>
        <w:rPr>
          <w:sz w:val="20"/>
        </w:rPr>
        <w:t>similarly</w:t>
      </w:r>
      <w:r>
        <w:rPr>
          <w:spacing w:val="28"/>
          <w:sz w:val="20"/>
        </w:rPr>
        <w:t> </w:t>
      </w:r>
      <w:r>
        <w:rPr>
          <w:sz w:val="20"/>
        </w:rPr>
        <w:t>assumed</w:t>
      </w:r>
      <w:r>
        <w:rPr>
          <w:spacing w:val="28"/>
          <w:sz w:val="20"/>
        </w:rPr>
        <w:t> </w:t>
      </w:r>
      <w:r>
        <w:rPr>
          <w:sz w:val="20"/>
        </w:rPr>
        <w:t>that</w:t>
      </w:r>
      <w:r>
        <w:rPr>
          <w:spacing w:val="28"/>
          <w:sz w:val="20"/>
        </w:rPr>
        <w:t> </w:t>
      </w:r>
      <w:r>
        <w:rPr>
          <w:sz w:val="20"/>
        </w:rPr>
        <w:t>the damages would be taxable in </w:t>
      </w:r>
      <w:r>
        <w:rPr>
          <w:rFonts w:ascii="Arial"/>
          <w:i/>
          <w:sz w:val="20"/>
        </w:rPr>
        <w:t>Dickinson v Jones Alexander &amp; Co [1993] 2 F.L.R. 321.</w:t>
      </w:r>
      <w:r>
        <w:rPr>
          <w:sz w:val="20"/>
        </w:rPr>
        <w:t>.</w:t>
      </w:r>
    </w:p>
    <w:p>
      <w:pPr>
        <w:pStyle w:val="BodyText"/>
        <w:spacing w:before="6"/>
      </w:pPr>
    </w:p>
    <w:p>
      <w:pPr>
        <w:spacing w:before="0"/>
        <w:ind w:left="165" w:right="0" w:firstLine="0"/>
        <w:jc w:val="left"/>
        <w:rPr>
          <w:rFonts w:ascii="Arial"/>
          <w:i/>
          <w:sz w:val="20"/>
        </w:rPr>
      </w:pPr>
      <w:bookmarkStart w:name="_bookmark2728" w:id="2730"/>
      <w:bookmarkEnd w:id="2730"/>
      <w:r>
        <w:rPr/>
      </w:r>
      <w:hyperlink w:history="true" w:anchor="_bookmark2674">
        <w:r>
          <w:rPr>
            <w:color w:val="005DA1"/>
            <w:position w:val="5"/>
            <w:sz w:val="14"/>
            <w:u w:val="single" w:color="005DA1"/>
          </w:rPr>
          <w:t>1424</w:t>
        </w:r>
      </w:hyperlink>
      <w:r>
        <w:rPr>
          <w:position w:val="5"/>
          <w:sz w:val="14"/>
        </w:rPr>
        <w:t>.</w:t>
      </w:r>
      <w:r>
        <w:rPr>
          <w:spacing w:val="55"/>
          <w:position w:val="5"/>
          <w:sz w:val="14"/>
        </w:rPr>
        <w:t>  </w:t>
      </w:r>
      <w:r>
        <w:rPr>
          <w:sz w:val="20"/>
        </w:rPr>
        <w:t>Exceptional</w:t>
      </w:r>
      <w:r>
        <w:rPr>
          <w:spacing w:val="29"/>
          <w:sz w:val="20"/>
        </w:rPr>
        <w:t> </w:t>
      </w:r>
      <w:r>
        <w:rPr>
          <w:sz w:val="20"/>
        </w:rPr>
        <w:t>cases</w:t>
      </w:r>
      <w:r>
        <w:rPr>
          <w:spacing w:val="28"/>
          <w:sz w:val="20"/>
        </w:rPr>
        <w:t> </w:t>
      </w:r>
      <w:r>
        <w:rPr>
          <w:sz w:val="20"/>
        </w:rPr>
        <w:t>might</w:t>
      </w:r>
      <w:r>
        <w:rPr>
          <w:spacing w:val="28"/>
          <w:sz w:val="20"/>
        </w:rPr>
        <w:t> </w:t>
      </w:r>
      <w:r>
        <w:rPr>
          <w:sz w:val="20"/>
        </w:rPr>
        <w:t>justify</w:t>
      </w:r>
      <w:r>
        <w:rPr>
          <w:spacing w:val="28"/>
          <w:sz w:val="20"/>
        </w:rPr>
        <w:t> </w:t>
      </w:r>
      <w:r>
        <w:rPr>
          <w:sz w:val="20"/>
        </w:rPr>
        <w:t>separate</w:t>
      </w:r>
      <w:r>
        <w:rPr>
          <w:spacing w:val="28"/>
          <w:sz w:val="20"/>
        </w:rPr>
        <w:t> </w:t>
      </w:r>
      <w:r>
        <w:rPr>
          <w:sz w:val="20"/>
        </w:rPr>
        <w:t>assessments</w:t>
      </w:r>
      <w:r>
        <w:rPr>
          <w:spacing w:val="28"/>
          <w:sz w:val="20"/>
        </w:rPr>
        <w:t> </w:t>
      </w:r>
      <w:r>
        <w:rPr>
          <w:sz w:val="20"/>
        </w:rPr>
        <w:t>of</w:t>
      </w:r>
      <w:r>
        <w:rPr>
          <w:spacing w:val="28"/>
          <w:sz w:val="20"/>
        </w:rPr>
        <w:t> </w:t>
      </w:r>
      <w:r>
        <w:rPr>
          <w:sz w:val="20"/>
        </w:rPr>
        <w:t>tax:</w:t>
      </w:r>
      <w:r>
        <w:rPr>
          <w:spacing w:val="27"/>
          <w:sz w:val="20"/>
        </w:rPr>
        <w:t> </w:t>
      </w:r>
      <w:r>
        <w:rPr>
          <w:rFonts w:ascii="Arial"/>
          <w:i/>
          <w:sz w:val="20"/>
        </w:rPr>
        <w:t>Parsons</w:t>
      </w:r>
      <w:r>
        <w:rPr>
          <w:rFonts w:ascii="Arial"/>
          <w:i/>
          <w:spacing w:val="28"/>
          <w:sz w:val="20"/>
        </w:rPr>
        <w:t> </w:t>
      </w:r>
      <w:r>
        <w:rPr>
          <w:rFonts w:ascii="Arial"/>
          <w:i/>
          <w:sz w:val="20"/>
        </w:rPr>
        <w:t>v</w:t>
      </w:r>
      <w:r>
        <w:rPr>
          <w:rFonts w:ascii="Arial"/>
          <w:i/>
          <w:spacing w:val="28"/>
          <w:sz w:val="20"/>
        </w:rPr>
        <w:t> </w:t>
      </w:r>
      <w:r>
        <w:rPr>
          <w:rFonts w:ascii="Arial"/>
          <w:i/>
          <w:sz w:val="20"/>
        </w:rPr>
        <w:t>B.N.M.</w:t>
      </w:r>
      <w:r>
        <w:rPr>
          <w:rFonts w:ascii="Arial"/>
          <w:i/>
          <w:spacing w:val="28"/>
          <w:sz w:val="20"/>
        </w:rPr>
        <w:t> </w:t>
      </w:r>
      <w:r>
        <w:rPr>
          <w:rFonts w:ascii="Arial"/>
          <w:i/>
          <w:spacing w:val="-2"/>
          <w:sz w:val="20"/>
        </w:rPr>
        <w:t>Laboratories</w:t>
      </w:r>
    </w:p>
    <w:p>
      <w:pPr>
        <w:spacing w:after="0"/>
        <w:jc w:val="left"/>
        <w:rPr>
          <w:rFonts w:ascii="Arial"/>
          <w:i/>
          <w:sz w:val="20"/>
        </w:rPr>
        <w:sectPr>
          <w:pgSz w:w="11900" w:h="16840"/>
          <w:pgMar w:header="971" w:footer="0" w:top="1300" w:bottom="280" w:left="1275" w:right="1275"/>
        </w:sectPr>
      </w:pPr>
    </w:p>
    <w:p>
      <w:pPr>
        <w:spacing w:before="106"/>
        <w:ind w:left="705" w:right="0" w:firstLine="0"/>
        <w:jc w:val="left"/>
        <w:rPr>
          <w:rFonts w:ascii="Arial"/>
          <w:i/>
          <w:sz w:val="20"/>
        </w:rPr>
      </w:pPr>
      <w:r>
        <w:rPr>
          <w:rFonts w:ascii="Arial"/>
          <w:i/>
          <w:sz w:val="20"/>
        </w:rPr>
        <w:t>Ltd [1964] 1 Q.B. 95, </w:t>
      </w:r>
      <w:r>
        <w:rPr>
          <w:rFonts w:ascii="Arial"/>
          <w:i/>
          <w:spacing w:val="-5"/>
          <w:sz w:val="20"/>
        </w:rPr>
        <w:t>137</w:t>
      </w:r>
    </w:p>
    <w:p>
      <w:pPr>
        <w:pStyle w:val="BodyText"/>
        <w:spacing w:before="5"/>
        <w:rPr>
          <w:rFonts w:ascii="Arial"/>
          <w:i/>
        </w:rPr>
      </w:pPr>
    </w:p>
    <w:p>
      <w:pPr>
        <w:spacing w:before="1"/>
        <w:ind w:left="165" w:right="0" w:firstLine="0"/>
        <w:jc w:val="left"/>
        <w:rPr>
          <w:sz w:val="20"/>
        </w:rPr>
      </w:pPr>
      <w:bookmarkStart w:name="_bookmark2729" w:id="2731"/>
      <w:bookmarkEnd w:id="2731"/>
      <w:r>
        <w:rPr/>
      </w:r>
      <w:hyperlink w:history="true" w:anchor="_bookmark2675">
        <w:r>
          <w:rPr>
            <w:color w:val="005DA1"/>
            <w:position w:val="5"/>
            <w:sz w:val="14"/>
            <w:u w:val="single" w:color="005DA1"/>
          </w:rPr>
          <w:t>1425</w:t>
        </w:r>
      </w:hyperlink>
      <w:r>
        <w:rPr>
          <w:position w:val="5"/>
          <w:sz w:val="14"/>
        </w:rPr>
        <w:t>.</w:t>
      </w:r>
      <w:r>
        <w:rPr>
          <w:spacing w:val="55"/>
          <w:position w:val="5"/>
          <w:sz w:val="14"/>
        </w:rPr>
        <w:t>  </w:t>
      </w:r>
      <w:r>
        <w:rPr>
          <w:rFonts w:ascii="Arial"/>
          <w:i/>
          <w:sz w:val="20"/>
        </w:rPr>
        <w:t>Amstrad</w:t>
      </w:r>
      <w:r>
        <w:rPr>
          <w:rFonts w:ascii="Arial"/>
          <w:i/>
          <w:spacing w:val="1"/>
          <w:sz w:val="20"/>
        </w:rPr>
        <w:t> </w:t>
      </w:r>
      <w:r>
        <w:rPr>
          <w:rFonts w:ascii="Arial"/>
          <w:i/>
          <w:sz w:val="20"/>
        </w:rPr>
        <w:t>Plc v Seagate Technology Inc (1997) 86 Build. L.R. </w:t>
      </w:r>
      <w:r>
        <w:rPr>
          <w:rFonts w:ascii="Arial"/>
          <w:i/>
          <w:spacing w:val="-5"/>
          <w:sz w:val="20"/>
        </w:rPr>
        <w:t>34</w:t>
      </w:r>
      <w:r>
        <w:rPr>
          <w:spacing w:val="-5"/>
          <w:sz w:val="20"/>
        </w:rPr>
        <w:t>.</w:t>
      </w:r>
    </w:p>
    <w:p>
      <w:pPr>
        <w:pStyle w:val="BodyText"/>
        <w:spacing w:before="8"/>
      </w:pPr>
    </w:p>
    <w:p>
      <w:pPr>
        <w:spacing w:line="235" w:lineRule="auto" w:before="0"/>
        <w:ind w:left="705" w:right="167" w:hanging="541"/>
        <w:jc w:val="both"/>
        <w:rPr>
          <w:sz w:val="20"/>
        </w:rPr>
      </w:pPr>
      <w:bookmarkStart w:name="_bookmark2730" w:id="2732"/>
      <w:bookmarkEnd w:id="2732"/>
      <w:r>
        <w:rPr/>
      </w:r>
      <w:hyperlink w:history="true" w:anchor="_bookmark2676">
        <w:r>
          <w:rPr>
            <w:color w:val="005DA1"/>
            <w:position w:val="5"/>
            <w:sz w:val="14"/>
            <w:u w:val="single" w:color="005DA1"/>
          </w:rPr>
          <w:t>1426</w:t>
        </w:r>
      </w:hyperlink>
      <w:r>
        <w:rPr>
          <w:position w:val="5"/>
          <w:sz w:val="14"/>
        </w:rPr>
        <w:t>.</w:t>
      </w:r>
      <w:r>
        <w:rPr>
          <w:spacing w:val="80"/>
          <w:position w:val="5"/>
          <w:sz w:val="14"/>
        </w:rPr>
        <w:t> </w:t>
      </w:r>
      <w:r>
        <w:rPr>
          <w:rFonts w:ascii="Arial" w:hAnsi="Arial"/>
          <w:i/>
          <w:sz w:val="20"/>
        </w:rPr>
        <w:t>O’Sullivan v Management Agency and Music Ltd [1985] Q.B. 428 </w:t>
      </w:r>
      <w:r>
        <w:rPr>
          <w:sz w:val="20"/>
        </w:rPr>
        <w:t>(CA: claim for accounting of profits, some of which would not be taxable in the plaintiff’s hands, because of the time period</w:t>
      </w:r>
      <w:r>
        <w:rPr>
          <w:spacing w:val="40"/>
          <w:sz w:val="20"/>
        </w:rPr>
        <w:t> </w:t>
      </w:r>
      <w:r>
        <w:rPr>
          <w:sz w:val="20"/>
        </w:rPr>
        <w:t>in question). cf. the contrary opinion at first instance in </w:t>
      </w:r>
      <w:r>
        <w:rPr>
          <w:rFonts w:ascii="Arial" w:hAnsi="Arial"/>
          <w:i/>
          <w:sz w:val="20"/>
        </w:rPr>
        <w:t>John v James [1986] S.T.C. 352</w:t>
      </w:r>
      <w:r>
        <w:rPr>
          <w:sz w:val="20"/>
        </w:rPr>
        <w:t>. See also above, para.26-218 (where awards of damages for wrongful dismissal are discussed: </w:t>
      </w:r>
      <w:r>
        <w:rPr>
          <w:sz w:val="20"/>
        </w:rPr>
        <w:t>such awards have been split into taxable and non-taxable parts) and the opinion of Lord Hunter in </w:t>
      </w:r>
      <w:r>
        <w:rPr>
          <w:rFonts w:ascii="Arial" w:hAnsi="Arial"/>
          <w:i/>
          <w:sz w:val="20"/>
        </w:rPr>
        <w:t>Stewart v Glentaggart Ltd (1963) S.L.T. 119</w:t>
      </w:r>
      <w:r>
        <w:rPr>
          <w:sz w:val="20"/>
        </w:rPr>
        <w:t>.</w:t>
      </w:r>
    </w:p>
    <w:p>
      <w:pPr>
        <w:pStyle w:val="BodyText"/>
        <w:spacing w:before="8"/>
      </w:pPr>
    </w:p>
    <w:p>
      <w:pPr>
        <w:pStyle w:val="BodyText"/>
        <w:spacing w:line="235" w:lineRule="auto"/>
        <w:ind w:left="705" w:right="167" w:hanging="541"/>
        <w:jc w:val="both"/>
      </w:pPr>
      <w:bookmarkStart w:name="_bookmark2731" w:id="2733"/>
      <w:bookmarkEnd w:id="2733"/>
      <w:r>
        <w:rPr/>
      </w:r>
      <w:hyperlink w:history="true" w:anchor="_bookmark2677">
        <w:r>
          <w:rPr>
            <w:color w:val="005DA1"/>
            <w:position w:val="5"/>
            <w:sz w:val="14"/>
            <w:u w:val="single" w:color="005DA1"/>
          </w:rPr>
          <w:t>1427</w:t>
        </w:r>
      </w:hyperlink>
      <w:r>
        <w:rPr>
          <w:position w:val="5"/>
          <w:sz w:val="14"/>
        </w:rPr>
        <w:t>.</w:t>
      </w:r>
      <w:r>
        <w:rPr>
          <w:spacing w:val="80"/>
          <w:position w:val="5"/>
          <w:sz w:val="14"/>
        </w:rPr>
        <w:t> </w:t>
      </w:r>
      <w:r>
        <w:rPr/>
        <w:t>Taxation of Chargeable Gains Act 1992 s.1(1). See Simon’s Taxes, paras C1.320, C1.325 and C2.502; Whiteman and Sherry on Capital Gains Tax, 5th edn (2008); Sumption, </w:t>
      </w:r>
      <w:r>
        <w:rPr>
          <w:rFonts w:ascii="Arial" w:hAnsi="Arial"/>
          <w:i/>
        </w:rPr>
        <w:t>Capital Gains Tax </w:t>
      </w:r>
      <w:r>
        <w:rPr/>
        <w:t>(looseleaf); McGregor, 19th edn (2014), paras 17–063 et seq.</w:t>
      </w:r>
    </w:p>
    <w:p>
      <w:pPr>
        <w:pStyle w:val="BodyText"/>
        <w:spacing w:before="5"/>
      </w:pPr>
    </w:p>
    <w:p>
      <w:pPr>
        <w:spacing w:line="227" w:lineRule="exact" w:before="0"/>
        <w:ind w:left="165" w:right="0" w:firstLine="0"/>
        <w:jc w:val="left"/>
        <w:rPr>
          <w:rFonts w:ascii="Arial" w:hAnsi="Arial"/>
          <w:i/>
          <w:sz w:val="20"/>
        </w:rPr>
      </w:pPr>
      <w:bookmarkStart w:name="_bookmark2732" w:id="2734"/>
      <w:bookmarkEnd w:id="2734"/>
      <w:r>
        <w:rPr/>
      </w:r>
      <w:hyperlink w:history="true" w:anchor="_bookmark2678">
        <w:r>
          <w:rPr>
            <w:color w:val="005DA1"/>
            <w:position w:val="5"/>
            <w:sz w:val="14"/>
            <w:u w:val="single" w:color="005DA1"/>
          </w:rPr>
          <w:t>1428</w:t>
        </w:r>
      </w:hyperlink>
      <w:r>
        <w:rPr>
          <w:position w:val="5"/>
          <w:sz w:val="14"/>
        </w:rPr>
        <w:t>.</w:t>
      </w:r>
      <w:r>
        <w:rPr>
          <w:spacing w:val="55"/>
          <w:position w:val="5"/>
          <w:sz w:val="14"/>
        </w:rPr>
        <w:t>  </w:t>
      </w:r>
      <w:r>
        <w:rPr>
          <w:sz w:val="20"/>
        </w:rPr>
        <w:t>cf.</w:t>
      </w:r>
      <w:r>
        <w:rPr>
          <w:spacing w:val="3"/>
          <w:sz w:val="20"/>
        </w:rPr>
        <w:t> </w:t>
      </w:r>
      <w:r>
        <w:rPr>
          <w:sz w:val="20"/>
        </w:rPr>
        <w:t>Taxation</w:t>
      </w:r>
      <w:r>
        <w:rPr>
          <w:spacing w:val="2"/>
          <w:sz w:val="20"/>
        </w:rPr>
        <w:t> </w:t>
      </w:r>
      <w:r>
        <w:rPr>
          <w:sz w:val="20"/>
        </w:rPr>
        <w:t>of</w:t>
      </w:r>
      <w:r>
        <w:rPr>
          <w:spacing w:val="2"/>
          <w:sz w:val="20"/>
        </w:rPr>
        <w:t> </w:t>
      </w:r>
      <w:r>
        <w:rPr>
          <w:sz w:val="20"/>
        </w:rPr>
        <w:t>Chargeable</w:t>
      </w:r>
      <w:r>
        <w:rPr>
          <w:spacing w:val="2"/>
          <w:sz w:val="20"/>
        </w:rPr>
        <w:t> </w:t>
      </w:r>
      <w:r>
        <w:rPr>
          <w:sz w:val="20"/>
        </w:rPr>
        <w:t>Gains</w:t>
      </w:r>
      <w:r>
        <w:rPr>
          <w:spacing w:val="2"/>
          <w:sz w:val="20"/>
        </w:rPr>
        <w:t> </w:t>
      </w:r>
      <w:r>
        <w:rPr>
          <w:sz w:val="20"/>
        </w:rPr>
        <w:t>Act</w:t>
      </w:r>
      <w:r>
        <w:rPr>
          <w:spacing w:val="2"/>
          <w:sz w:val="20"/>
        </w:rPr>
        <w:t> </w:t>
      </w:r>
      <w:r>
        <w:rPr>
          <w:sz w:val="20"/>
        </w:rPr>
        <w:t>1992</w:t>
      </w:r>
      <w:r>
        <w:rPr>
          <w:spacing w:val="2"/>
          <w:sz w:val="20"/>
        </w:rPr>
        <w:t> </w:t>
      </w:r>
      <w:r>
        <w:rPr>
          <w:sz w:val="20"/>
        </w:rPr>
        <w:t>s.51(2).</w:t>
      </w:r>
      <w:r>
        <w:rPr>
          <w:spacing w:val="2"/>
          <w:sz w:val="20"/>
        </w:rPr>
        <w:t> </w:t>
      </w:r>
      <w:r>
        <w:rPr>
          <w:sz w:val="20"/>
        </w:rPr>
        <w:t>See</w:t>
      </w:r>
      <w:r>
        <w:rPr>
          <w:spacing w:val="2"/>
          <w:sz w:val="20"/>
        </w:rPr>
        <w:t> </w:t>
      </w:r>
      <w:r>
        <w:rPr>
          <w:sz w:val="20"/>
        </w:rPr>
        <w:t>also</w:t>
      </w:r>
      <w:r>
        <w:rPr>
          <w:spacing w:val="1"/>
          <w:sz w:val="20"/>
        </w:rPr>
        <w:t> </w:t>
      </w:r>
      <w:r>
        <w:rPr>
          <w:rFonts w:ascii="Arial" w:hAnsi="Arial"/>
          <w:i/>
          <w:sz w:val="20"/>
        </w:rPr>
        <w:t>O’Brien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Benson’s</w:t>
      </w:r>
      <w:r>
        <w:rPr>
          <w:rFonts w:ascii="Arial" w:hAnsi="Arial"/>
          <w:i/>
          <w:spacing w:val="2"/>
          <w:sz w:val="20"/>
        </w:rPr>
        <w:t> </w:t>
      </w:r>
      <w:r>
        <w:rPr>
          <w:rFonts w:ascii="Arial" w:hAnsi="Arial"/>
          <w:i/>
          <w:sz w:val="20"/>
        </w:rPr>
        <w:t>Hosiery</w:t>
      </w:r>
      <w:r>
        <w:rPr>
          <w:rFonts w:ascii="Arial" w:hAnsi="Arial"/>
          <w:i/>
          <w:spacing w:val="2"/>
          <w:sz w:val="20"/>
        </w:rPr>
        <w:t> </w:t>
      </w:r>
      <w:r>
        <w:rPr>
          <w:rFonts w:ascii="Arial" w:hAnsi="Arial"/>
          <w:i/>
          <w:spacing w:val="-2"/>
          <w:sz w:val="20"/>
        </w:rPr>
        <w:t>[1979]</w:t>
      </w:r>
    </w:p>
    <w:p>
      <w:pPr>
        <w:pStyle w:val="BodyText"/>
        <w:spacing w:line="235" w:lineRule="auto" w:before="1"/>
        <w:ind w:left="705"/>
      </w:pPr>
      <w:r>
        <w:rPr>
          <w:rFonts w:ascii="Arial" w:hAnsi="Arial"/>
          <w:i/>
        </w:rPr>
        <w:t>S.T.C. 735 </w:t>
      </w:r>
      <w:r>
        <w:rPr/>
        <w:t>(payment by employee for release from a contract of employment was an “asset” for the purposes of capital gains tax).</w:t>
      </w:r>
    </w:p>
    <w:p>
      <w:pPr>
        <w:pStyle w:val="BodyText"/>
        <w:spacing w:before="9"/>
      </w:pPr>
    </w:p>
    <w:p>
      <w:pPr>
        <w:pStyle w:val="BodyText"/>
        <w:spacing w:line="235" w:lineRule="auto" w:before="1"/>
        <w:ind w:left="705" w:hanging="541"/>
      </w:pPr>
      <w:bookmarkStart w:name="_bookmark2733" w:id="2735"/>
      <w:bookmarkEnd w:id="2735"/>
      <w:r>
        <w:rPr/>
      </w:r>
      <w:hyperlink w:history="true" w:anchor="_bookmark2679">
        <w:r>
          <w:rPr>
            <w:color w:val="005DA1"/>
            <w:position w:val="5"/>
            <w:sz w:val="14"/>
            <w:u w:val="single" w:color="005DA1"/>
          </w:rPr>
          <w:t>1429</w:t>
        </w:r>
      </w:hyperlink>
      <w:r>
        <w:rPr>
          <w:position w:val="5"/>
          <w:sz w:val="14"/>
        </w:rPr>
        <w:t>.</w:t>
      </w:r>
      <w:r>
        <w:rPr>
          <w:spacing w:val="40"/>
          <w:position w:val="5"/>
          <w:sz w:val="14"/>
        </w:rPr>
        <w:t>  </w:t>
      </w:r>
      <w:r>
        <w:rPr/>
        <w:t>Since</w:t>
      </w:r>
      <w:r>
        <w:rPr>
          <w:spacing w:val="27"/>
        </w:rPr>
        <w:t> </w:t>
      </w:r>
      <w:r>
        <w:rPr/>
        <w:t>the</w:t>
      </w:r>
      <w:r>
        <w:rPr>
          <w:spacing w:val="27"/>
        </w:rPr>
        <w:t> </w:t>
      </w:r>
      <w:r>
        <w:rPr/>
        <w:t>deriving</w:t>
      </w:r>
      <w:r>
        <w:rPr>
          <w:spacing w:val="27"/>
        </w:rPr>
        <w:t> </w:t>
      </w:r>
      <w:r>
        <w:rPr/>
        <w:t>of</w:t>
      </w:r>
      <w:r>
        <w:rPr>
          <w:spacing w:val="27"/>
        </w:rPr>
        <w:t> </w:t>
      </w:r>
      <w:r>
        <w:rPr/>
        <w:t>a</w:t>
      </w:r>
      <w:r>
        <w:rPr>
          <w:spacing w:val="27"/>
        </w:rPr>
        <w:t> </w:t>
      </w:r>
      <w:r>
        <w:rPr/>
        <w:t>capital</w:t>
      </w:r>
      <w:r>
        <w:rPr>
          <w:spacing w:val="27"/>
        </w:rPr>
        <w:t> </w:t>
      </w:r>
      <w:r>
        <w:rPr/>
        <w:t>sum</w:t>
      </w:r>
      <w:r>
        <w:rPr>
          <w:spacing w:val="27"/>
        </w:rPr>
        <w:t> </w:t>
      </w:r>
      <w:r>
        <w:rPr/>
        <w:t>may</w:t>
      </w:r>
      <w:r>
        <w:rPr>
          <w:spacing w:val="27"/>
        </w:rPr>
        <w:t> </w:t>
      </w:r>
      <w:r>
        <w:rPr/>
        <w:t>be</w:t>
      </w:r>
      <w:r>
        <w:rPr>
          <w:spacing w:val="27"/>
        </w:rPr>
        <w:t> </w:t>
      </w:r>
      <w:r>
        <w:rPr/>
        <w:t>a</w:t>
      </w:r>
      <w:r>
        <w:rPr>
          <w:spacing w:val="27"/>
        </w:rPr>
        <w:t> </w:t>
      </w:r>
      <w:r>
        <w:rPr/>
        <w:t>disposal</w:t>
      </w:r>
      <w:r>
        <w:rPr>
          <w:spacing w:val="27"/>
        </w:rPr>
        <w:t> </w:t>
      </w:r>
      <w:r>
        <w:rPr/>
        <w:t>of</w:t>
      </w:r>
      <w:r>
        <w:rPr>
          <w:spacing w:val="27"/>
        </w:rPr>
        <w:t> </w:t>
      </w:r>
      <w:r>
        <w:rPr/>
        <w:t>assets,</w:t>
      </w:r>
      <w:r>
        <w:rPr>
          <w:spacing w:val="27"/>
        </w:rPr>
        <w:t> </w:t>
      </w:r>
      <w:r>
        <w:rPr/>
        <w:t>a</w:t>
      </w:r>
      <w:r>
        <w:rPr>
          <w:spacing w:val="27"/>
        </w:rPr>
        <w:t> </w:t>
      </w:r>
      <w:r>
        <w:rPr/>
        <w:t>seller’s</w:t>
      </w:r>
      <w:r>
        <w:rPr>
          <w:spacing w:val="27"/>
        </w:rPr>
        <w:t> </w:t>
      </w:r>
      <w:r>
        <w:rPr/>
        <w:t>damages</w:t>
      </w:r>
      <w:r>
        <w:rPr>
          <w:spacing w:val="27"/>
        </w:rPr>
        <w:t> </w:t>
      </w:r>
      <w:r>
        <w:rPr/>
        <w:t>for</w:t>
      </w:r>
      <w:r>
        <w:rPr>
          <w:spacing w:val="27"/>
        </w:rPr>
        <w:t> </w:t>
      </w:r>
      <w:r>
        <w:rPr/>
        <w:t>the buyer’s failure to accept the goods may be subject to capital gains tax.</w:t>
      </w:r>
    </w:p>
    <w:p>
      <w:pPr>
        <w:pStyle w:val="BodyText"/>
        <w:spacing w:before="9"/>
      </w:pPr>
    </w:p>
    <w:p>
      <w:pPr>
        <w:pStyle w:val="BodyText"/>
        <w:spacing w:line="235" w:lineRule="auto"/>
        <w:ind w:left="705" w:right="167" w:hanging="541"/>
        <w:jc w:val="both"/>
      </w:pPr>
      <w:bookmarkStart w:name="_bookmark2734" w:id="2736"/>
      <w:bookmarkEnd w:id="2736"/>
      <w:r>
        <w:rPr/>
      </w:r>
      <w:hyperlink w:history="true" w:anchor="_bookmark2680">
        <w:r>
          <w:rPr>
            <w:color w:val="005DA1"/>
            <w:position w:val="5"/>
            <w:sz w:val="14"/>
            <w:u w:val="single" w:color="005DA1"/>
          </w:rPr>
          <w:t>1430</w:t>
        </w:r>
      </w:hyperlink>
      <w:r>
        <w:rPr>
          <w:position w:val="5"/>
          <w:sz w:val="14"/>
        </w:rPr>
        <w:t>.</w:t>
      </w:r>
      <w:r>
        <w:rPr>
          <w:spacing w:val="80"/>
          <w:position w:val="5"/>
          <w:sz w:val="14"/>
        </w:rPr>
        <w:t> </w:t>
      </w:r>
      <w:r>
        <w:rPr/>
        <w:t>McGregor, 19th edn (2014), paras 17–063—17–066; Whiteman and Sherry, 5th edn </w:t>
      </w:r>
      <w:r>
        <w:rPr/>
        <w:t>(2008), paras</w:t>
      </w:r>
      <w:r>
        <w:rPr>
          <w:spacing w:val="-3"/>
        </w:rPr>
        <w:t> </w:t>
      </w:r>
      <w:r>
        <w:rPr/>
        <w:t>6.33–6.40</w:t>
      </w:r>
      <w:r>
        <w:rPr>
          <w:spacing w:val="-3"/>
        </w:rPr>
        <w:t> </w:t>
      </w:r>
      <w:r>
        <w:rPr/>
        <w:t>and</w:t>
      </w:r>
      <w:r>
        <w:rPr>
          <w:spacing w:val="-3"/>
        </w:rPr>
        <w:t> </w:t>
      </w:r>
      <w:r>
        <w:rPr/>
        <w:t>7.86–7.108.</w:t>
      </w:r>
      <w:r>
        <w:rPr>
          <w:spacing w:val="-3"/>
        </w:rPr>
        <w:t> </w:t>
      </w:r>
      <w:r>
        <w:rPr/>
        <w:t>If</w:t>
      </w:r>
      <w:r>
        <w:rPr>
          <w:spacing w:val="-3"/>
        </w:rPr>
        <w:t> </w:t>
      </w:r>
      <w:r>
        <w:rPr/>
        <w:t>damages</w:t>
      </w:r>
      <w:r>
        <w:rPr>
          <w:spacing w:val="-3"/>
        </w:rPr>
        <w:t> </w:t>
      </w:r>
      <w:r>
        <w:rPr/>
        <w:t>for</w:t>
      </w:r>
      <w:r>
        <w:rPr>
          <w:spacing w:val="-3"/>
        </w:rPr>
        <w:t> </w:t>
      </w:r>
      <w:r>
        <w:rPr/>
        <w:t>breach</w:t>
      </w:r>
      <w:r>
        <w:rPr>
          <w:spacing w:val="-3"/>
        </w:rPr>
        <w:t> </w:t>
      </w:r>
      <w:r>
        <w:rPr/>
        <w:t>of</w:t>
      </w:r>
      <w:r>
        <w:rPr>
          <w:spacing w:val="-3"/>
        </w:rPr>
        <w:t> </w:t>
      </w:r>
      <w:r>
        <w:rPr/>
        <w:t>contract</w:t>
      </w:r>
      <w:r>
        <w:rPr>
          <w:spacing w:val="-3"/>
        </w:rPr>
        <w:t> </w:t>
      </w:r>
      <w:r>
        <w:rPr/>
        <w:t>awarded</w:t>
      </w:r>
      <w:r>
        <w:rPr>
          <w:spacing w:val="-3"/>
        </w:rPr>
        <w:t> </w:t>
      </w:r>
      <w:r>
        <w:rPr/>
        <w:t>to</w:t>
      </w:r>
      <w:r>
        <w:rPr>
          <w:spacing w:val="-3"/>
        </w:rPr>
        <w:t> </w:t>
      </w:r>
      <w:r>
        <w:rPr/>
        <w:t>a</w:t>
      </w:r>
      <w:r>
        <w:rPr>
          <w:spacing w:val="-3"/>
        </w:rPr>
        <w:t> </w:t>
      </w:r>
      <w:r>
        <w:rPr/>
        <w:t>buyer</w:t>
      </w:r>
      <w:r>
        <w:rPr>
          <w:spacing w:val="-3"/>
        </w:rPr>
        <w:t> </w:t>
      </w:r>
      <w:r>
        <w:rPr/>
        <w:t>or</w:t>
      </w:r>
      <w:r>
        <w:rPr>
          <w:spacing w:val="-3"/>
        </w:rPr>
        <w:t> </w:t>
      </w:r>
      <w:r>
        <w:rPr/>
        <w:t>seller amount to a trading receipt in the hands of the recipient and thus liable to income tax, they will not be liable to capital gains tax: s.37 of the 1992 Act.</w:t>
      </w:r>
    </w:p>
    <w:p>
      <w:pPr>
        <w:pStyle w:val="BodyText"/>
        <w:spacing w:before="8"/>
      </w:pPr>
    </w:p>
    <w:p>
      <w:pPr>
        <w:spacing w:line="235" w:lineRule="auto" w:before="0"/>
        <w:ind w:left="705" w:right="167" w:hanging="541"/>
        <w:jc w:val="both"/>
        <w:rPr>
          <w:sz w:val="20"/>
        </w:rPr>
      </w:pPr>
      <w:bookmarkStart w:name="_bookmark2735" w:id="2737"/>
      <w:bookmarkEnd w:id="2737"/>
      <w:r>
        <w:rPr/>
      </w:r>
      <w:hyperlink w:history="true" w:anchor="_bookmark2681">
        <w:r>
          <w:rPr>
            <w:color w:val="005DA1"/>
            <w:position w:val="5"/>
            <w:sz w:val="14"/>
            <w:u w:val="single" w:color="005DA1"/>
          </w:rPr>
          <w:t>1431</w:t>
        </w:r>
      </w:hyperlink>
      <w:r>
        <w:rPr>
          <w:position w:val="5"/>
          <w:sz w:val="14"/>
        </w:rPr>
        <w:t>.</w:t>
      </w:r>
      <w:r>
        <w:rPr>
          <w:spacing w:val="80"/>
          <w:position w:val="5"/>
          <w:sz w:val="14"/>
        </w:rPr>
        <w:t> </w:t>
      </w:r>
      <w:r>
        <w:rPr>
          <w:sz w:val="20"/>
        </w:rPr>
        <w:t>cf. </w:t>
      </w:r>
      <w:r>
        <w:rPr>
          <w:rFonts w:ascii="Arial" w:hAnsi="Arial"/>
          <w:i/>
          <w:sz w:val="20"/>
        </w:rPr>
        <w:t>Zim Properties v Procter [1985] S.T.C. 90 </w:t>
      </w:r>
      <w:r>
        <w:rPr>
          <w:sz w:val="20"/>
        </w:rPr>
        <w:t>(criticised by McGregor, 19th edn (2014), paras 17–064—17–066). See also the Extra-Statutory Concession dated December 19, 1988 </w:t>
      </w:r>
      <w:r>
        <w:rPr>
          <w:sz w:val="20"/>
        </w:rPr>
        <w:t>(see Whiteman and Sherry, para.6.44; Sumption at D.78).</w:t>
      </w:r>
    </w:p>
    <w:p>
      <w:pPr>
        <w:pStyle w:val="BodyText"/>
        <w:spacing w:before="5"/>
      </w:pPr>
    </w:p>
    <w:p>
      <w:pPr>
        <w:spacing w:before="1"/>
        <w:ind w:left="165" w:right="0" w:firstLine="0"/>
        <w:jc w:val="left"/>
        <w:rPr>
          <w:sz w:val="20"/>
        </w:rPr>
      </w:pPr>
      <w:bookmarkStart w:name="_bookmark2736" w:id="2738"/>
      <w:bookmarkEnd w:id="2738"/>
      <w:r>
        <w:rPr/>
      </w:r>
      <w:hyperlink w:history="true" w:anchor="_bookmark2681">
        <w:r>
          <w:rPr>
            <w:color w:val="005DA1"/>
            <w:position w:val="5"/>
            <w:sz w:val="14"/>
            <w:u w:val="single" w:color="005DA1"/>
          </w:rPr>
          <w:t>1432</w:t>
        </w:r>
      </w:hyperlink>
      <w:r>
        <w:rPr>
          <w:position w:val="5"/>
          <w:sz w:val="14"/>
        </w:rPr>
        <w:t>.</w:t>
      </w:r>
      <w:r>
        <w:rPr>
          <w:spacing w:val="55"/>
          <w:position w:val="5"/>
          <w:sz w:val="14"/>
        </w:rPr>
        <w:t>  </w:t>
      </w:r>
      <w:r>
        <w:rPr>
          <w:spacing w:val="-2"/>
          <w:sz w:val="20"/>
        </w:rPr>
        <w:t>s.51(2).</w:t>
      </w:r>
    </w:p>
    <w:p>
      <w:pPr>
        <w:pStyle w:val="BodyText"/>
        <w:spacing w:before="4"/>
      </w:pPr>
    </w:p>
    <w:p>
      <w:pPr>
        <w:pStyle w:val="BodyText"/>
        <w:spacing w:line="227" w:lineRule="exact" w:before="1"/>
        <w:ind w:left="165"/>
      </w:pPr>
      <w:bookmarkStart w:name="_bookmark2737" w:id="2739"/>
      <w:bookmarkEnd w:id="2739"/>
      <w:r>
        <w:rPr/>
      </w:r>
      <w:hyperlink w:history="true" w:anchor="_bookmark2682">
        <w:r>
          <w:rPr>
            <w:color w:val="005DA1"/>
            <w:position w:val="5"/>
            <w:sz w:val="14"/>
            <w:u w:val="single" w:color="005DA1"/>
          </w:rPr>
          <w:t>1433</w:t>
        </w:r>
      </w:hyperlink>
      <w:r>
        <w:rPr>
          <w:position w:val="5"/>
          <w:sz w:val="14"/>
        </w:rPr>
        <w:t>.</w:t>
      </w:r>
      <w:r>
        <w:rPr>
          <w:spacing w:val="55"/>
          <w:position w:val="5"/>
          <w:sz w:val="14"/>
        </w:rPr>
        <w:t>  </w:t>
      </w:r>
      <w:r>
        <w:rPr/>
        <w:t>Provision</w:t>
      </w:r>
      <w:r>
        <w:rPr>
          <w:spacing w:val="24"/>
        </w:rPr>
        <w:t> </w:t>
      </w:r>
      <w:r>
        <w:rPr/>
        <w:t>is</w:t>
      </w:r>
      <w:r>
        <w:rPr>
          <w:spacing w:val="23"/>
        </w:rPr>
        <w:t> </w:t>
      </w:r>
      <w:r>
        <w:rPr/>
        <w:t>made</w:t>
      </w:r>
      <w:r>
        <w:rPr>
          <w:spacing w:val="23"/>
        </w:rPr>
        <w:t> </w:t>
      </w:r>
      <w:r>
        <w:rPr/>
        <w:t>for</w:t>
      </w:r>
      <w:r>
        <w:rPr>
          <w:spacing w:val="23"/>
        </w:rPr>
        <w:t> </w:t>
      </w:r>
      <w:r>
        <w:rPr/>
        <w:t>the</w:t>
      </w:r>
      <w:r>
        <w:rPr>
          <w:spacing w:val="23"/>
        </w:rPr>
        <w:t> </w:t>
      </w:r>
      <w:r>
        <w:rPr/>
        <w:t>postponement</w:t>
      </w:r>
      <w:r>
        <w:rPr>
          <w:spacing w:val="23"/>
        </w:rPr>
        <w:t> </w:t>
      </w:r>
      <w:r>
        <w:rPr/>
        <w:t>of</w:t>
      </w:r>
      <w:r>
        <w:rPr>
          <w:spacing w:val="23"/>
        </w:rPr>
        <w:t> </w:t>
      </w:r>
      <w:r>
        <w:rPr/>
        <w:t>the</w:t>
      </w:r>
      <w:r>
        <w:rPr>
          <w:spacing w:val="23"/>
        </w:rPr>
        <w:t> </w:t>
      </w:r>
      <w:r>
        <w:rPr/>
        <w:t>capital</w:t>
      </w:r>
      <w:r>
        <w:rPr>
          <w:spacing w:val="23"/>
        </w:rPr>
        <w:t> </w:t>
      </w:r>
      <w:r>
        <w:rPr/>
        <w:t>gains</w:t>
      </w:r>
      <w:r>
        <w:rPr>
          <w:spacing w:val="23"/>
        </w:rPr>
        <w:t> </w:t>
      </w:r>
      <w:r>
        <w:rPr/>
        <w:t>charge</w:t>
      </w:r>
      <w:r>
        <w:rPr>
          <w:spacing w:val="23"/>
        </w:rPr>
        <w:t> </w:t>
      </w:r>
      <w:r>
        <w:rPr/>
        <w:t>in</w:t>
      </w:r>
      <w:r>
        <w:rPr>
          <w:spacing w:val="23"/>
        </w:rPr>
        <w:t> </w:t>
      </w:r>
      <w:r>
        <w:rPr/>
        <w:t>certain</w:t>
      </w:r>
      <w:r>
        <w:rPr>
          <w:spacing w:val="23"/>
        </w:rPr>
        <w:t> </w:t>
      </w:r>
      <w:r>
        <w:rPr>
          <w:spacing w:val="-2"/>
        </w:rPr>
        <w:t>circumstances,</w:t>
      </w:r>
    </w:p>
    <w:p>
      <w:pPr>
        <w:pStyle w:val="BodyText"/>
        <w:spacing w:line="235" w:lineRule="auto" w:before="1"/>
        <w:ind w:left="705"/>
      </w:pPr>
      <w:r>
        <w:rPr/>
        <w:t>e.g.</w:t>
      </w:r>
      <w:r>
        <w:rPr>
          <w:spacing w:val="20"/>
        </w:rPr>
        <w:t> </w:t>
      </w:r>
      <w:r>
        <w:rPr/>
        <w:t>if</w:t>
      </w:r>
      <w:r>
        <w:rPr>
          <w:spacing w:val="20"/>
        </w:rPr>
        <w:t> </w:t>
      </w:r>
      <w:r>
        <w:rPr/>
        <w:t>the</w:t>
      </w:r>
      <w:r>
        <w:rPr>
          <w:spacing w:val="20"/>
        </w:rPr>
        <w:t> </w:t>
      </w:r>
      <w:r>
        <w:rPr/>
        <w:t>recipient</w:t>
      </w:r>
      <w:r>
        <w:rPr>
          <w:spacing w:val="20"/>
        </w:rPr>
        <w:t> </w:t>
      </w:r>
      <w:r>
        <w:rPr/>
        <w:t>of</w:t>
      </w:r>
      <w:r>
        <w:rPr>
          <w:spacing w:val="20"/>
        </w:rPr>
        <w:t> </w:t>
      </w:r>
      <w:r>
        <w:rPr/>
        <w:t>damages</w:t>
      </w:r>
      <w:r>
        <w:rPr>
          <w:spacing w:val="20"/>
        </w:rPr>
        <w:t> </w:t>
      </w:r>
      <w:r>
        <w:rPr/>
        <w:t>uses</w:t>
      </w:r>
      <w:r>
        <w:rPr>
          <w:spacing w:val="20"/>
        </w:rPr>
        <w:t> </w:t>
      </w:r>
      <w:r>
        <w:rPr/>
        <w:t>them</w:t>
      </w:r>
      <w:r>
        <w:rPr>
          <w:spacing w:val="20"/>
        </w:rPr>
        <w:t> </w:t>
      </w:r>
      <w:r>
        <w:rPr/>
        <w:t>to</w:t>
      </w:r>
      <w:r>
        <w:rPr>
          <w:spacing w:val="20"/>
        </w:rPr>
        <w:t> </w:t>
      </w:r>
      <w:r>
        <w:rPr/>
        <w:t>repair</w:t>
      </w:r>
      <w:r>
        <w:rPr>
          <w:spacing w:val="20"/>
        </w:rPr>
        <w:t> </w:t>
      </w:r>
      <w:r>
        <w:rPr/>
        <w:t>damaged</w:t>
      </w:r>
      <w:r>
        <w:rPr>
          <w:spacing w:val="20"/>
        </w:rPr>
        <w:t> </w:t>
      </w:r>
      <w:r>
        <w:rPr/>
        <w:t>property:</w:t>
      </w:r>
      <w:r>
        <w:rPr>
          <w:spacing w:val="20"/>
        </w:rPr>
        <w:t> </w:t>
      </w:r>
      <w:r>
        <w:rPr/>
        <w:t>s.23</w:t>
      </w:r>
      <w:r>
        <w:rPr>
          <w:spacing w:val="20"/>
        </w:rPr>
        <w:t> </w:t>
      </w:r>
      <w:r>
        <w:rPr/>
        <w:t>of</w:t>
      </w:r>
      <w:r>
        <w:rPr>
          <w:spacing w:val="20"/>
        </w:rPr>
        <w:t> </w:t>
      </w:r>
      <w:r>
        <w:rPr/>
        <w:t>the</w:t>
      </w:r>
      <w:r>
        <w:rPr>
          <w:spacing w:val="20"/>
        </w:rPr>
        <w:t> </w:t>
      </w:r>
      <w:r>
        <w:rPr/>
        <w:t>Act.</w:t>
      </w:r>
      <w:r>
        <w:rPr>
          <w:spacing w:val="20"/>
        </w:rPr>
        <w:t> </w:t>
      </w:r>
      <w:r>
        <w:rPr/>
        <w:t>(See also ss.152–154.)</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4078" w:val="left" w:leader="none"/>
        </w:tabs>
        <w:spacing w:line="240" w:lineRule="auto" w:before="194" w:after="0"/>
        <w:ind w:left="4078" w:right="0" w:hanging="360"/>
        <w:jc w:val="left"/>
        <w:rPr>
          <w:b/>
          <w:sz w:val="24"/>
        </w:rPr>
      </w:pPr>
      <w:r>
        <w:rPr>
          <w:b/>
          <w:sz w:val="24"/>
        </w:rPr>
        <w:t>- </w:t>
      </w:r>
      <w:r>
        <w:rPr>
          <w:b/>
          <w:spacing w:val="-2"/>
          <w:sz w:val="24"/>
        </w:rPr>
        <w:t>Introduction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227</w:t>
      </w:r>
    </w:p>
    <w:p>
      <w:pPr>
        <w:pStyle w:val="BodyText"/>
        <w:spacing w:line="235" w:lineRule="auto" w:before="202"/>
        <w:ind w:left="164" w:right="167"/>
        <w:jc w:val="both"/>
      </w:pPr>
      <w:bookmarkStart w:name="_bookmark2738" w:id="2740"/>
      <w:bookmarkEnd w:id="2740"/>
      <w:r>
        <w:rPr/>
      </w:r>
      <w:r>
        <w:rPr/>
        <w:t>It has always been open to the parties to make express provision in their contract for the payment of interest, which the courts will enforce </w:t>
      </w:r>
      <w:r>
        <w:rPr>
          <w:color w:val="005DA1"/>
          <w:u w:val="single" w:color="005DA1"/>
          <w:vertAlign w:val="superscript"/>
        </w:rPr>
        <w:t>1435</w:t>
      </w:r>
      <w:r>
        <w:rPr>
          <w:color w:val="005DA1"/>
          <w:vertAlign w:val="baseline"/>
        </w:rPr>
        <w:t> </w:t>
      </w:r>
      <w:r>
        <w:rPr>
          <w:vertAlign w:val="baseline"/>
        </w:rPr>
        <w:t>(except in situations covered by specific statutory provision </w:t>
      </w:r>
      <w:r>
        <w:rPr>
          <w:color w:val="005DA1"/>
          <w:u w:val="single" w:color="005DA1"/>
          <w:vertAlign w:val="superscript"/>
        </w:rPr>
        <w:t>1436</w:t>
      </w:r>
      <w:bookmarkStart w:name="_bookmark2739" w:id="2741"/>
      <w:bookmarkEnd w:id="2741"/>
      <w:r>
        <w:rPr>
          <w:color w:val="005DA1"/>
          <w:spacing w:val="-1"/>
          <w:vertAlign w:val="baseline"/>
        </w:rPr>
      </w:r>
      <w:r>
        <w:rPr>
          <w:vertAlign w:val="baseline"/>
        </w:rPr>
        <w:t>). The courts were sometimes prepared to infer an agreement to pay interest where the inference could be based on the course of dealing between the parties </w:t>
      </w:r>
      <w:r>
        <w:rPr>
          <w:color w:val="005DA1"/>
          <w:u w:val="single" w:color="005DA1"/>
          <w:vertAlign w:val="superscript"/>
        </w:rPr>
        <w:t>1437</w:t>
      </w:r>
      <w:r>
        <w:rPr>
          <w:color w:val="005DA1"/>
          <w:vertAlign w:val="baseline"/>
        </w:rPr>
        <w:t> </w:t>
      </w:r>
      <w:r>
        <w:rPr>
          <w:vertAlign w:val="baseline"/>
        </w:rPr>
        <w:t>or on a relevant trade usage. </w:t>
      </w:r>
      <w:r>
        <w:rPr>
          <w:color w:val="005DA1"/>
          <w:u w:val="single" w:color="005DA1"/>
          <w:vertAlign w:val="superscript"/>
        </w:rPr>
        <w:t>1438</w:t>
      </w:r>
      <w:r>
        <w:rPr>
          <w:color w:val="005DA1"/>
          <w:vertAlign w:val="baseline"/>
        </w:rPr>
        <w:t> </w:t>
      </w:r>
      <w:r>
        <w:rPr>
          <w:vertAlign w:val="baseline"/>
        </w:rPr>
        <w:t>In </w:t>
      </w:r>
      <w:bookmarkStart w:name="_bookmark2740" w:id="2742"/>
      <w:bookmarkEnd w:id="2742"/>
      <w:r>
        <w:rPr>
          <w:vertAlign w:val="baseline"/>
        </w:rPr>
        <w:t>the</w:t>
      </w:r>
      <w:r>
        <w:rPr>
          <w:vertAlign w:val="baseline"/>
        </w:rPr>
        <w:t> absence of such an express or implied provision for the payment of interest, however, interest</w:t>
      </w:r>
      <w:r>
        <w:rPr>
          <w:spacing w:val="40"/>
          <w:vertAlign w:val="baseline"/>
        </w:rPr>
        <w:t> </w:t>
      </w:r>
      <w:r>
        <w:rPr>
          <w:vertAlign w:val="baseline"/>
        </w:rPr>
        <w:t>was not payable. In 1893 in the </w:t>
      </w:r>
      <w:r>
        <w:rPr>
          <w:rFonts w:ascii="Arial"/>
          <w:i/>
          <w:vertAlign w:val="baseline"/>
        </w:rPr>
        <w:t>London Chatham </w:t>
      </w:r>
      <w:r>
        <w:rPr>
          <w:vertAlign w:val="baseline"/>
        </w:rPr>
        <w:t>case </w:t>
      </w:r>
      <w:r>
        <w:rPr>
          <w:color w:val="005DA1"/>
          <w:u w:val="single" w:color="005DA1"/>
          <w:vertAlign w:val="superscript"/>
        </w:rPr>
        <w:t>1439</w:t>
      </w:r>
      <w:r>
        <w:rPr>
          <w:color w:val="005DA1"/>
          <w:vertAlign w:val="baseline"/>
        </w:rPr>
        <w:t> </w:t>
      </w:r>
      <w:r>
        <w:rPr>
          <w:vertAlign w:val="baseline"/>
        </w:rPr>
        <w:t>the House of Lords decided that the common</w:t>
      </w:r>
      <w:r>
        <w:rPr>
          <w:spacing w:val="-2"/>
          <w:vertAlign w:val="baseline"/>
        </w:rPr>
        <w:t> </w:t>
      </w:r>
      <w:r>
        <w:rPr>
          <w:vertAlign w:val="baseline"/>
        </w:rPr>
        <w:t>law</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permit</w:t>
      </w:r>
      <w:r>
        <w:rPr>
          <w:spacing w:val="-2"/>
          <w:vertAlign w:val="baseline"/>
        </w:rPr>
        <w:t> </w:t>
      </w:r>
      <w:r>
        <w:rPr>
          <w:vertAlign w:val="baseline"/>
        </w:rPr>
        <w:t>the</w:t>
      </w:r>
      <w:r>
        <w:rPr>
          <w:spacing w:val="-2"/>
          <w:vertAlign w:val="baseline"/>
        </w:rPr>
        <w:t> </w:t>
      </w:r>
      <w:r>
        <w:rPr>
          <w:vertAlign w:val="baseline"/>
        </w:rPr>
        <w:t>award</w:t>
      </w:r>
      <w:r>
        <w:rPr>
          <w:spacing w:val="-2"/>
          <w:vertAlign w:val="baseline"/>
        </w:rPr>
        <w:t> </w:t>
      </w:r>
      <w:r>
        <w:rPr>
          <w:vertAlign w:val="baseline"/>
        </w:rPr>
        <w:t>of</w:t>
      </w:r>
      <w:r>
        <w:rPr>
          <w:spacing w:val="-2"/>
          <w:vertAlign w:val="baseline"/>
        </w:rPr>
        <w:t> </w:t>
      </w:r>
      <w:r>
        <w:rPr>
          <w:vertAlign w:val="baseline"/>
        </w:rPr>
        <w:t>interest</w:t>
      </w:r>
      <w:r>
        <w:rPr>
          <w:spacing w:val="-2"/>
          <w:vertAlign w:val="baseline"/>
        </w:rPr>
        <w:t> </w:t>
      </w:r>
      <w:r>
        <w:rPr>
          <w:vertAlign w:val="baseline"/>
        </w:rPr>
        <w:t>by</w:t>
      </w:r>
      <w:r>
        <w:rPr>
          <w:spacing w:val="-2"/>
          <w:vertAlign w:val="baseline"/>
        </w:rPr>
        <w:t> </w:t>
      </w:r>
      <w:r>
        <w:rPr>
          <w:vertAlign w:val="baseline"/>
        </w:rPr>
        <w:t>way</w:t>
      </w:r>
      <w:r>
        <w:rPr>
          <w:spacing w:val="-2"/>
          <w:vertAlign w:val="baseline"/>
        </w:rPr>
        <w:t> </w:t>
      </w:r>
      <w:r>
        <w:rPr>
          <w:vertAlign w:val="baseline"/>
        </w:rPr>
        <w:t>of</w:t>
      </w:r>
      <w:r>
        <w:rPr>
          <w:spacing w:val="-2"/>
          <w:vertAlign w:val="baseline"/>
        </w:rPr>
        <w:t> </w:t>
      </w:r>
      <w:r>
        <w:rPr>
          <w:vertAlign w:val="baseline"/>
        </w:rPr>
        <w:t>general</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delay</w:t>
      </w:r>
      <w:r>
        <w:rPr>
          <w:spacing w:val="-2"/>
          <w:vertAlign w:val="baseline"/>
        </w:rPr>
        <w:t> </w:t>
      </w:r>
      <w:r>
        <w:rPr>
          <w:vertAlign w:val="baseline"/>
        </w:rPr>
        <w:t>in</w:t>
      </w:r>
      <w:r>
        <w:rPr>
          <w:spacing w:val="-2"/>
          <w:vertAlign w:val="baseline"/>
        </w:rPr>
        <w:t> </w:t>
      </w:r>
      <w:r>
        <w:rPr>
          <w:vertAlign w:val="baseline"/>
        </w:rPr>
        <w:t>payment</w:t>
      </w:r>
      <w:r>
        <w:rPr>
          <w:spacing w:val="-2"/>
          <w:vertAlign w:val="baseline"/>
        </w:rPr>
        <w:t> </w:t>
      </w:r>
      <w:r>
        <w:rPr>
          <w:vertAlign w:val="baseline"/>
        </w:rPr>
        <w:t>of </w:t>
      </w:r>
      <w:bookmarkStart w:name="_bookmark2741" w:id="2743"/>
      <w:bookmarkEnd w:id="2743"/>
      <w:r>
        <w:rPr>
          <w:vertAlign w:val="baseline"/>
        </w:rPr>
        <w:t>a</w:t>
      </w:r>
      <w:r>
        <w:rPr>
          <w:vertAlign w:val="baseline"/>
        </w:rPr>
        <w:t> debt beyond the date when it was contractually due. Various statutes gave an entitlement </w:t>
      </w:r>
      <w:r>
        <w:rPr>
          <w:vertAlign w:val="baseline"/>
        </w:rPr>
        <w:t>to</w:t>
      </w:r>
      <w:r>
        <w:rPr>
          <w:spacing w:val="40"/>
          <w:vertAlign w:val="baseline"/>
        </w:rPr>
        <w:t> </w:t>
      </w:r>
      <w:r>
        <w:rPr>
          <w:vertAlign w:val="baseline"/>
        </w:rPr>
        <w:t>interest, or empowered the courts to award interest, in certain types of case. </w:t>
      </w:r>
      <w:r>
        <w:rPr>
          <w:color w:val="005DA1"/>
          <w:u w:val="single" w:color="005DA1"/>
          <w:vertAlign w:val="superscript"/>
        </w:rPr>
        <w:t>1440</w:t>
      </w:r>
      <w:r>
        <w:rPr>
          <w:color w:val="005DA1"/>
          <w:vertAlign w:val="baseline"/>
        </w:rPr>
        <w:t> </w:t>
      </w:r>
      <w:r>
        <w:rPr>
          <w:vertAlign w:val="baseline"/>
        </w:rPr>
        <w:t>In 1934 the courts </w:t>
      </w:r>
      <w:bookmarkStart w:name="_bookmark2742" w:id="2744"/>
      <w:bookmarkEnd w:id="2744"/>
      <w:r>
        <w:rPr>
          <w:vertAlign w:val="baseline"/>
        </w:rPr>
        <w:t>were</w:t>
      </w:r>
      <w:r>
        <w:rPr>
          <w:vertAlign w:val="baseline"/>
        </w:rPr>
        <w:t> given a general statutory discretion to award interest in proceedings for debt or damages, and </w:t>
      </w:r>
      <w:bookmarkStart w:name="_bookmark2743" w:id="2745"/>
      <w:bookmarkEnd w:id="2745"/>
      <w:r>
        <w:rPr>
          <w:vertAlign w:val="baseline"/>
        </w:rPr>
        <w:t>this</w:t>
      </w:r>
      <w:r>
        <w:rPr>
          <w:vertAlign w:val="baseline"/>
        </w:rPr>
        <w:t> was subsequently extended. </w:t>
      </w:r>
      <w:r>
        <w:rPr>
          <w:color w:val="005DA1"/>
          <w:u w:val="single" w:color="005DA1"/>
          <w:vertAlign w:val="superscript"/>
        </w:rPr>
        <w:t>1441</w:t>
      </w:r>
      <w:r>
        <w:rPr>
          <w:color w:val="005DA1"/>
          <w:vertAlign w:val="baseline"/>
        </w:rPr>
        <w:t> </w:t>
      </w:r>
      <w:r>
        <w:rPr>
          <w:vertAlign w:val="baseline"/>
        </w:rPr>
        <w:t>In 1985 the House </w:t>
      </w:r>
      <w:r>
        <w:rPr>
          <w:color w:val="005DA1"/>
          <w:u w:val="single" w:color="005DA1"/>
          <w:vertAlign w:val="superscript"/>
        </w:rPr>
        <w:t>1442</w:t>
      </w:r>
      <w:r>
        <w:rPr>
          <w:color w:val="005DA1"/>
          <w:vertAlign w:val="baseline"/>
        </w:rPr>
        <w:t> </w:t>
      </w:r>
      <w:r>
        <w:rPr>
          <w:vertAlign w:val="baseline"/>
        </w:rPr>
        <w:t>refused to depart from its previous decision,</w:t>
      </w:r>
      <w:r>
        <w:rPr>
          <w:spacing w:val="-4"/>
          <w:vertAlign w:val="baseline"/>
        </w:rPr>
        <w:t> </w:t>
      </w:r>
      <w:r>
        <w:rPr>
          <w:vertAlign w:val="baseline"/>
        </w:rPr>
        <w:t>though</w:t>
      </w:r>
      <w:r>
        <w:rPr>
          <w:spacing w:val="-4"/>
          <w:vertAlign w:val="baseline"/>
        </w:rPr>
        <w:t> </w:t>
      </w:r>
      <w:r>
        <w:rPr>
          <w:vertAlign w:val="baseline"/>
        </w:rPr>
        <w:t>it</w:t>
      </w:r>
      <w:r>
        <w:rPr>
          <w:spacing w:val="-4"/>
          <w:vertAlign w:val="baseline"/>
        </w:rPr>
        <w:t> </w:t>
      </w:r>
      <w:r>
        <w:rPr>
          <w:vertAlign w:val="baseline"/>
        </w:rPr>
        <w:t>approved</w:t>
      </w:r>
      <w:r>
        <w:rPr>
          <w:spacing w:val="-4"/>
          <w:vertAlign w:val="baseline"/>
        </w:rPr>
        <w:t> </w:t>
      </w:r>
      <w:r>
        <w:rPr>
          <w:vertAlign w:val="baseline"/>
        </w:rPr>
        <w:t>a</w:t>
      </w:r>
      <w:r>
        <w:rPr>
          <w:spacing w:val="-4"/>
          <w:vertAlign w:val="baseline"/>
        </w:rPr>
        <w:t> </w:t>
      </w:r>
      <w:r>
        <w:rPr>
          <w:vertAlign w:val="baseline"/>
        </w:rPr>
        <w:t>Court</w:t>
      </w:r>
      <w:r>
        <w:rPr>
          <w:spacing w:val="-4"/>
          <w:vertAlign w:val="baseline"/>
        </w:rPr>
        <w:t> </w:t>
      </w:r>
      <w:r>
        <w:rPr>
          <w:vertAlign w:val="baseline"/>
        </w:rPr>
        <w:t>of</w:t>
      </w:r>
      <w:r>
        <w:rPr>
          <w:spacing w:val="-4"/>
          <w:vertAlign w:val="baseline"/>
        </w:rPr>
        <w:t> </w:t>
      </w:r>
      <w:r>
        <w:rPr>
          <w:vertAlign w:val="baseline"/>
        </w:rPr>
        <w:t>Appeal</w:t>
      </w:r>
      <w:r>
        <w:rPr>
          <w:spacing w:val="-4"/>
          <w:vertAlign w:val="baseline"/>
        </w:rPr>
        <w:t> </w:t>
      </w:r>
      <w:r>
        <w:rPr>
          <w:vertAlign w:val="baseline"/>
        </w:rPr>
        <w:t>decision</w:t>
      </w:r>
      <w:r>
        <w:rPr>
          <w:spacing w:val="-4"/>
          <w:vertAlign w:val="baseline"/>
        </w:rPr>
        <w:t> </w:t>
      </w:r>
      <w:r>
        <w:rPr>
          <w:color w:val="005DA1"/>
          <w:u w:val="single" w:color="005DA1"/>
          <w:vertAlign w:val="superscript"/>
        </w:rPr>
        <w:t>1443</w:t>
      </w:r>
      <w:r>
        <w:rPr>
          <w:color w:val="005DA1"/>
          <w:spacing w:val="-4"/>
          <w:vertAlign w:val="baseline"/>
        </w:rPr>
        <w:t> </w:t>
      </w:r>
      <w:r>
        <w:rPr>
          <w:vertAlign w:val="baseline"/>
        </w:rPr>
        <w:t>that</w:t>
      </w:r>
      <w:r>
        <w:rPr>
          <w:spacing w:val="-4"/>
          <w:vertAlign w:val="baseline"/>
        </w:rPr>
        <w:t> </w:t>
      </w:r>
      <w:r>
        <w:rPr>
          <w:vertAlign w:val="baseline"/>
        </w:rPr>
        <w:t>damages</w:t>
      </w:r>
      <w:r>
        <w:rPr>
          <w:spacing w:val="-4"/>
          <w:vertAlign w:val="baseline"/>
        </w:rPr>
        <w:t> </w:t>
      </w:r>
      <w:r>
        <w:rPr>
          <w:vertAlign w:val="baseline"/>
        </w:rPr>
        <w:t>could</w:t>
      </w:r>
      <w:r>
        <w:rPr>
          <w:spacing w:val="-4"/>
          <w:vertAlign w:val="baseline"/>
        </w:rPr>
        <w:t> </w:t>
      </w:r>
      <w:r>
        <w:rPr>
          <w:vertAlign w:val="baseline"/>
        </w:rPr>
        <w:t>be</w:t>
      </w:r>
      <w:r>
        <w:rPr>
          <w:spacing w:val="-4"/>
          <w:vertAlign w:val="baseline"/>
        </w:rPr>
        <w:t> </w:t>
      </w:r>
      <w:r>
        <w:rPr>
          <w:vertAlign w:val="baseline"/>
        </w:rPr>
        <w:t>recovered</w:t>
      </w:r>
      <w:r>
        <w:rPr>
          <w:spacing w:val="-4"/>
          <w:vertAlign w:val="baseline"/>
        </w:rPr>
        <w:t> </w:t>
      </w:r>
      <w:r>
        <w:rPr>
          <w:vertAlign w:val="baseline"/>
        </w:rPr>
        <w:t>in</w:t>
      </w:r>
      <w:r>
        <w:rPr>
          <w:spacing w:val="-4"/>
          <w:vertAlign w:val="baseline"/>
        </w:rPr>
        <w:t> </w:t>
      </w:r>
      <w:r>
        <w:rPr>
          <w:vertAlign w:val="baseline"/>
        </w:rPr>
        <w:t>some </w:t>
      </w:r>
      <w:bookmarkStart w:name="_bookmark2744" w:id="2746"/>
      <w:bookmarkEnd w:id="2746"/>
      <w:r>
        <w:rPr>
          <w:vertAlign w:val="baseline"/>
        </w:rPr>
        <w:t>circumstances.</w:t>
      </w:r>
      <w:r>
        <w:rPr>
          <w:vertAlign w:val="baseline"/>
        </w:rPr>
        <w:t> Recently, however, the House has said that damages for loss of interest should be recoverable whenever the loss has been pleaded and proved. </w:t>
      </w:r>
      <w:r>
        <w:rPr>
          <w:color w:val="005DA1"/>
          <w:u w:val="single" w:color="005DA1"/>
          <w:vertAlign w:val="superscript"/>
        </w:rPr>
        <w:t>1444</w:t>
      </w:r>
    </w:p>
    <w:p>
      <w:pPr>
        <w:pStyle w:val="BodyText"/>
      </w:pPr>
    </w:p>
    <w:p>
      <w:pPr>
        <w:pStyle w:val="BodyText"/>
        <w:spacing w:before="35"/>
      </w:pPr>
      <w:r>
        <w:rPr/>
        <mc:AlternateContent>
          <mc:Choice Requires="wps">
            <w:drawing>
              <wp:anchor distT="0" distB="0" distL="0" distR="0" allowOverlap="1" layoutInCell="1" locked="0" behindDoc="1" simplePos="0" relativeHeight="487746560">
                <wp:simplePos x="0" y="0"/>
                <wp:positionH relativeFrom="page">
                  <wp:posOffset>914400</wp:posOffset>
                </wp:positionH>
                <wp:positionV relativeFrom="paragraph">
                  <wp:posOffset>183578</wp:posOffset>
                </wp:positionV>
                <wp:extent cx="5724525" cy="1270"/>
                <wp:effectExtent l="0" t="0" r="0" b="0"/>
                <wp:wrapTopAndBottom/>
                <wp:docPr id="1311" name="Graphic 1311"/>
                <wp:cNvGraphicFramePr>
                  <a:graphicFrameLocks/>
                </wp:cNvGraphicFramePr>
                <a:graphic>
                  <a:graphicData uri="http://schemas.microsoft.com/office/word/2010/wordprocessingShape">
                    <wps:wsp>
                      <wps:cNvPr id="1311" name="Graphic 13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4968pt;width:450.75pt;height:.1pt;mso-position-horizontal-relative:page;mso-position-vertical-relative:paragraph;z-index:-15569920;mso-wrap-distance-left:0;mso-wrap-distance-right:0" id="docshape122"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ind w:left="165"/>
      </w:pP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5"/>
      </w:pPr>
    </w:p>
    <w:p>
      <w:pPr>
        <w:pStyle w:val="BodyText"/>
        <w:ind w:left="165"/>
      </w:pPr>
      <w:bookmarkStart w:name="_bookmark2745" w:id="2747"/>
      <w:bookmarkEnd w:id="2747"/>
      <w:r>
        <w:rPr/>
      </w:r>
      <w:hyperlink w:history="true" w:anchor="_bookmark2738">
        <w:r>
          <w:rPr>
            <w:color w:val="005DA1"/>
            <w:position w:val="5"/>
            <w:sz w:val="14"/>
            <w:u w:val="single" w:color="005DA1"/>
          </w:rPr>
          <w:t>1435</w:t>
        </w:r>
      </w:hyperlink>
      <w:r>
        <w:rPr>
          <w:position w:val="5"/>
          <w:sz w:val="14"/>
        </w:rPr>
        <w:t>.</w:t>
      </w:r>
      <w:r>
        <w:rPr>
          <w:spacing w:val="55"/>
          <w:position w:val="5"/>
          <w:sz w:val="14"/>
        </w:rPr>
        <w:t>  </w:t>
      </w:r>
      <w:r>
        <w:rPr/>
        <w:t>See</w:t>
      </w:r>
      <w:r>
        <w:rPr>
          <w:spacing w:val="1"/>
        </w:rPr>
        <w:t> </w:t>
      </w:r>
      <w:r>
        <w:rPr/>
        <w:t>Vol.II, paras 39-285 et seq. But see below, para.26-244 </w:t>
      </w:r>
      <w:r>
        <w:rPr>
          <w:spacing w:val="-2"/>
        </w:rPr>
        <w:t>n.1284.</w:t>
      </w:r>
    </w:p>
    <w:p>
      <w:pPr>
        <w:pStyle w:val="BodyText"/>
        <w:spacing w:before="9"/>
      </w:pPr>
    </w:p>
    <w:p>
      <w:pPr>
        <w:pStyle w:val="BodyText"/>
        <w:spacing w:line="235" w:lineRule="auto"/>
        <w:ind w:left="705" w:right="167" w:hanging="541"/>
        <w:jc w:val="both"/>
      </w:pPr>
      <w:bookmarkStart w:name="_bookmark2746" w:id="2748"/>
      <w:bookmarkEnd w:id="2748"/>
      <w:r>
        <w:rPr/>
      </w:r>
      <w:hyperlink w:history="true" w:anchor="_bookmark2738">
        <w:r>
          <w:rPr>
            <w:color w:val="005DA1"/>
            <w:position w:val="5"/>
            <w:sz w:val="14"/>
            <w:u w:val="single" w:color="005DA1"/>
          </w:rPr>
          <w:t>1436</w:t>
        </w:r>
      </w:hyperlink>
      <w:r>
        <w:rPr>
          <w:position w:val="5"/>
          <w:sz w:val="14"/>
        </w:rPr>
        <w:t>.</w:t>
      </w:r>
      <w:r>
        <w:rPr>
          <w:spacing w:val="80"/>
          <w:position w:val="5"/>
          <w:sz w:val="14"/>
        </w:rPr>
        <w:t> </w:t>
      </w:r>
      <w:r>
        <w:rPr/>
        <w:t>By ss.137–140 of the Consumer Credit Act 1974 the court was empowered to reopen </w:t>
      </w:r>
      <w:r>
        <w:rPr/>
        <w:t>certain transactions where the rate of interest is “grossly exorbitant”. These sections have now been replaced by ss.140A–140C (inserted by Consumer Credit Act 2006 ss.19–22), which apply when there is an unfair relationship between creditor and debtor. See above, para.26-215 and below, Vol.II, paras 39-212 et seq.) cf. ss.244 and 343 of the Insolvency Act 1986. See also below, para.26-232.</w:t>
      </w:r>
    </w:p>
    <w:p>
      <w:pPr>
        <w:pStyle w:val="BodyText"/>
        <w:spacing w:before="4"/>
      </w:pPr>
    </w:p>
    <w:p>
      <w:pPr>
        <w:spacing w:line="227" w:lineRule="exact" w:before="0"/>
        <w:ind w:left="165" w:right="0" w:firstLine="0"/>
        <w:jc w:val="left"/>
        <w:rPr>
          <w:rFonts w:ascii="Arial"/>
          <w:i/>
          <w:sz w:val="20"/>
        </w:rPr>
      </w:pPr>
      <w:bookmarkStart w:name="_bookmark2747" w:id="2749"/>
      <w:bookmarkEnd w:id="2749"/>
      <w:r>
        <w:rPr/>
      </w:r>
      <w:hyperlink w:history="true" w:anchor="_bookmark2739">
        <w:r>
          <w:rPr>
            <w:color w:val="005DA1"/>
            <w:position w:val="5"/>
            <w:sz w:val="14"/>
            <w:u w:val="single" w:color="005DA1"/>
          </w:rPr>
          <w:t>1437</w:t>
        </w:r>
      </w:hyperlink>
      <w:r>
        <w:rPr>
          <w:position w:val="5"/>
          <w:sz w:val="14"/>
        </w:rPr>
        <w:t>.</w:t>
      </w:r>
      <w:r>
        <w:rPr>
          <w:spacing w:val="55"/>
          <w:position w:val="5"/>
          <w:sz w:val="14"/>
        </w:rPr>
        <w:t>  </w:t>
      </w:r>
      <w:r>
        <w:rPr>
          <w:rFonts w:ascii="Arial"/>
          <w:i/>
          <w:sz w:val="20"/>
        </w:rPr>
        <w:t>Re</w:t>
      </w:r>
      <w:r>
        <w:rPr>
          <w:rFonts w:ascii="Arial"/>
          <w:i/>
          <w:spacing w:val="13"/>
          <w:sz w:val="20"/>
        </w:rPr>
        <w:t> </w:t>
      </w:r>
      <w:r>
        <w:rPr>
          <w:rFonts w:ascii="Arial"/>
          <w:i/>
          <w:sz w:val="20"/>
        </w:rPr>
        <w:t>Anglesey</w:t>
      </w:r>
      <w:r>
        <w:rPr>
          <w:rFonts w:ascii="Arial"/>
          <w:i/>
          <w:spacing w:val="12"/>
          <w:sz w:val="20"/>
        </w:rPr>
        <w:t> </w:t>
      </w:r>
      <w:r>
        <w:rPr>
          <w:rFonts w:ascii="Arial"/>
          <w:i/>
          <w:sz w:val="20"/>
        </w:rPr>
        <w:t>[1901]</w:t>
      </w:r>
      <w:r>
        <w:rPr>
          <w:rFonts w:ascii="Arial"/>
          <w:i/>
          <w:spacing w:val="12"/>
          <w:sz w:val="20"/>
        </w:rPr>
        <w:t> </w:t>
      </w:r>
      <w:r>
        <w:rPr>
          <w:rFonts w:ascii="Arial"/>
          <w:i/>
          <w:sz w:val="20"/>
        </w:rPr>
        <w:t>2</w:t>
      </w:r>
      <w:r>
        <w:rPr>
          <w:rFonts w:ascii="Arial"/>
          <w:i/>
          <w:spacing w:val="12"/>
          <w:sz w:val="20"/>
        </w:rPr>
        <w:t> </w:t>
      </w:r>
      <w:r>
        <w:rPr>
          <w:rFonts w:ascii="Arial"/>
          <w:i/>
          <w:sz w:val="20"/>
        </w:rPr>
        <w:t>Ch.</w:t>
      </w:r>
      <w:r>
        <w:rPr>
          <w:rFonts w:ascii="Arial"/>
          <w:i/>
          <w:spacing w:val="12"/>
          <w:sz w:val="20"/>
        </w:rPr>
        <w:t> </w:t>
      </w:r>
      <w:r>
        <w:rPr>
          <w:rFonts w:ascii="Arial"/>
          <w:i/>
          <w:sz w:val="20"/>
        </w:rPr>
        <w:t>548</w:t>
      </w:r>
      <w:r>
        <w:rPr>
          <w:sz w:val="20"/>
        </w:rPr>
        <w:t>.</w:t>
      </w:r>
      <w:r>
        <w:rPr>
          <w:spacing w:val="12"/>
          <w:sz w:val="20"/>
        </w:rPr>
        <w:t> </w:t>
      </w:r>
      <w:r>
        <w:rPr>
          <w:sz w:val="20"/>
        </w:rPr>
        <w:t>See</w:t>
      </w:r>
      <w:r>
        <w:rPr>
          <w:spacing w:val="12"/>
          <w:sz w:val="20"/>
        </w:rPr>
        <w:t> </w:t>
      </w:r>
      <w:r>
        <w:rPr>
          <w:sz w:val="20"/>
        </w:rPr>
        <w:t>also</w:t>
      </w:r>
      <w:r>
        <w:rPr>
          <w:spacing w:val="11"/>
          <w:sz w:val="20"/>
        </w:rPr>
        <w:t> </w:t>
      </w:r>
      <w:r>
        <w:rPr>
          <w:rFonts w:ascii="Arial"/>
          <w:i/>
          <w:sz w:val="20"/>
        </w:rPr>
        <w:t>Great</w:t>
      </w:r>
      <w:r>
        <w:rPr>
          <w:rFonts w:ascii="Arial"/>
          <w:i/>
          <w:spacing w:val="12"/>
          <w:sz w:val="20"/>
        </w:rPr>
        <w:t> </w:t>
      </w:r>
      <w:r>
        <w:rPr>
          <w:rFonts w:ascii="Arial"/>
          <w:i/>
          <w:sz w:val="20"/>
        </w:rPr>
        <w:t>Western</w:t>
      </w:r>
      <w:r>
        <w:rPr>
          <w:rFonts w:ascii="Arial"/>
          <w:i/>
          <w:spacing w:val="12"/>
          <w:sz w:val="20"/>
        </w:rPr>
        <w:t> </w:t>
      </w:r>
      <w:r>
        <w:rPr>
          <w:rFonts w:ascii="Arial"/>
          <w:i/>
          <w:sz w:val="20"/>
        </w:rPr>
        <w:t>Insurance</w:t>
      </w:r>
      <w:r>
        <w:rPr>
          <w:rFonts w:ascii="Arial"/>
          <w:i/>
          <w:spacing w:val="12"/>
          <w:sz w:val="20"/>
        </w:rPr>
        <w:t> </w:t>
      </w:r>
      <w:r>
        <w:rPr>
          <w:rFonts w:ascii="Arial"/>
          <w:i/>
          <w:sz w:val="20"/>
        </w:rPr>
        <w:t>Co</w:t>
      </w:r>
      <w:r>
        <w:rPr>
          <w:rFonts w:ascii="Arial"/>
          <w:i/>
          <w:spacing w:val="12"/>
          <w:sz w:val="20"/>
        </w:rPr>
        <w:t> </w:t>
      </w:r>
      <w:r>
        <w:rPr>
          <w:rFonts w:ascii="Arial"/>
          <w:i/>
          <w:sz w:val="20"/>
        </w:rPr>
        <w:t>v</w:t>
      </w:r>
      <w:r>
        <w:rPr>
          <w:rFonts w:ascii="Arial"/>
          <w:i/>
          <w:spacing w:val="12"/>
          <w:sz w:val="20"/>
        </w:rPr>
        <w:t> </w:t>
      </w:r>
      <w:r>
        <w:rPr>
          <w:rFonts w:ascii="Arial"/>
          <w:i/>
          <w:sz w:val="20"/>
        </w:rPr>
        <w:t>Cunliffe</w:t>
      </w:r>
      <w:r>
        <w:rPr>
          <w:rFonts w:ascii="Arial"/>
          <w:i/>
          <w:spacing w:val="12"/>
          <w:sz w:val="20"/>
        </w:rPr>
        <w:t> </w:t>
      </w:r>
      <w:r>
        <w:rPr>
          <w:rFonts w:ascii="Arial"/>
          <w:i/>
          <w:sz w:val="20"/>
        </w:rPr>
        <w:t>(1874)</w:t>
      </w:r>
      <w:r>
        <w:rPr>
          <w:rFonts w:ascii="Arial"/>
          <w:i/>
          <w:spacing w:val="12"/>
          <w:sz w:val="20"/>
        </w:rPr>
        <w:t> </w:t>
      </w:r>
      <w:r>
        <w:rPr>
          <w:rFonts w:ascii="Arial"/>
          <w:i/>
          <w:sz w:val="20"/>
        </w:rPr>
        <w:t>L.R.</w:t>
      </w:r>
      <w:r>
        <w:rPr>
          <w:rFonts w:ascii="Arial"/>
          <w:i/>
          <w:spacing w:val="12"/>
          <w:sz w:val="20"/>
        </w:rPr>
        <w:t> </w:t>
      </w:r>
      <w:r>
        <w:rPr>
          <w:rFonts w:ascii="Arial"/>
          <w:i/>
          <w:spacing w:val="-10"/>
          <w:sz w:val="20"/>
        </w:rPr>
        <w:t>9</w:t>
      </w:r>
    </w:p>
    <w:p>
      <w:pPr>
        <w:spacing w:line="227" w:lineRule="exact" w:before="0"/>
        <w:ind w:left="705" w:right="0" w:firstLine="0"/>
        <w:jc w:val="left"/>
        <w:rPr>
          <w:sz w:val="20"/>
        </w:rPr>
      </w:pPr>
      <w:r>
        <w:rPr>
          <w:rFonts w:ascii="Arial"/>
          <w:i/>
          <w:sz w:val="20"/>
        </w:rPr>
        <w:t>Ch.</w:t>
      </w:r>
      <w:r>
        <w:rPr>
          <w:rFonts w:ascii="Arial"/>
          <w:i/>
          <w:spacing w:val="-1"/>
          <w:sz w:val="20"/>
        </w:rPr>
        <w:t> </w:t>
      </w:r>
      <w:r>
        <w:rPr>
          <w:rFonts w:ascii="Arial"/>
          <w:i/>
          <w:sz w:val="20"/>
        </w:rPr>
        <w:t>525</w:t>
      </w:r>
      <w:r>
        <w:rPr>
          <w:sz w:val="20"/>
        </w:rPr>
        <w:t>; </w:t>
      </w:r>
      <w:r>
        <w:rPr>
          <w:rFonts w:ascii="Arial"/>
          <w:i/>
          <w:sz w:val="20"/>
        </w:rPr>
        <w:t>Re Duncan &amp; Co [1905] 1 Ch. </w:t>
      </w:r>
      <w:r>
        <w:rPr>
          <w:rFonts w:ascii="Arial"/>
          <w:i/>
          <w:spacing w:val="-4"/>
          <w:sz w:val="20"/>
        </w:rPr>
        <w:t>307</w:t>
      </w:r>
      <w:r>
        <w:rPr>
          <w:spacing w:val="-4"/>
          <w:sz w:val="20"/>
        </w:rPr>
        <w:t>.</w:t>
      </w:r>
    </w:p>
    <w:p>
      <w:pPr>
        <w:pStyle w:val="BodyText"/>
        <w:spacing w:before="9"/>
      </w:pPr>
    </w:p>
    <w:p>
      <w:pPr>
        <w:spacing w:line="235" w:lineRule="auto" w:before="0"/>
        <w:ind w:left="705" w:right="167" w:hanging="541"/>
        <w:jc w:val="both"/>
        <w:rPr>
          <w:sz w:val="20"/>
        </w:rPr>
      </w:pPr>
      <w:bookmarkStart w:name="_bookmark2748" w:id="2750"/>
      <w:bookmarkEnd w:id="2750"/>
      <w:r>
        <w:rPr/>
      </w:r>
      <w:hyperlink w:history="true" w:anchor="_bookmark2739">
        <w:r>
          <w:rPr>
            <w:color w:val="005DA1"/>
            <w:position w:val="5"/>
            <w:sz w:val="14"/>
            <w:u w:val="single" w:color="005DA1"/>
          </w:rPr>
          <w:t>1438</w:t>
        </w:r>
      </w:hyperlink>
      <w:r>
        <w:rPr>
          <w:position w:val="5"/>
          <w:sz w:val="14"/>
        </w:rPr>
        <w:t>.</w:t>
      </w:r>
      <w:r>
        <w:rPr>
          <w:spacing w:val="80"/>
          <w:w w:val="150"/>
          <w:position w:val="5"/>
          <w:sz w:val="14"/>
        </w:rPr>
        <w:t> </w:t>
      </w:r>
      <w:r>
        <w:rPr>
          <w:rFonts w:ascii="Arial"/>
          <w:i/>
          <w:sz w:val="20"/>
        </w:rPr>
        <w:t>Ikin v Bradley (1818) 8 Taunt. 250</w:t>
      </w:r>
      <w:r>
        <w:rPr>
          <w:sz w:val="20"/>
        </w:rPr>
        <w:t>; </w:t>
      </w:r>
      <w:r>
        <w:rPr>
          <w:rFonts w:ascii="Arial"/>
          <w:i/>
          <w:sz w:val="20"/>
        </w:rPr>
        <w:t>Page v Newman (1829) 9 B. &amp; C. 378, 381</w:t>
      </w:r>
      <w:r>
        <w:rPr>
          <w:sz w:val="20"/>
        </w:rPr>
        <w:t>. cf. the implied term</w:t>
      </w:r>
      <w:r>
        <w:rPr>
          <w:spacing w:val="40"/>
          <w:sz w:val="20"/>
        </w:rPr>
        <w:t> </w:t>
      </w:r>
      <w:r>
        <w:rPr>
          <w:sz w:val="20"/>
        </w:rPr>
        <w:t>arising</w:t>
      </w:r>
      <w:r>
        <w:rPr>
          <w:spacing w:val="40"/>
          <w:sz w:val="20"/>
        </w:rPr>
        <w:t> </w:t>
      </w:r>
      <w:r>
        <w:rPr>
          <w:sz w:val="20"/>
        </w:rPr>
        <w:t>under</w:t>
      </w:r>
      <w:r>
        <w:rPr>
          <w:spacing w:val="40"/>
          <w:sz w:val="20"/>
        </w:rPr>
        <w:t> </w:t>
      </w:r>
      <w:r>
        <w:rPr>
          <w:sz w:val="20"/>
        </w:rPr>
        <w:t>the</w:t>
      </w:r>
      <w:r>
        <w:rPr>
          <w:spacing w:val="40"/>
          <w:sz w:val="20"/>
        </w:rPr>
        <w:t> </w:t>
      </w:r>
      <w:r>
        <w:rPr>
          <w:sz w:val="20"/>
        </w:rPr>
        <w:t>Late</w:t>
      </w:r>
      <w:r>
        <w:rPr>
          <w:spacing w:val="40"/>
          <w:sz w:val="20"/>
        </w:rPr>
        <w:t> </w:t>
      </w:r>
      <w:r>
        <w:rPr>
          <w:sz w:val="20"/>
        </w:rPr>
        <w:t>Payment</w:t>
      </w:r>
      <w:r>
        <w:rPr>
          <w:spacing w:val="40"/>
          <w:sz w:val="20"/>
        </w:rPr>
        <w:t> </w:t>
      </w:r>
      <w:r>
        <w:rPr>
          <w:sz w:val="20"/>
        </w:rPr>
        <w:t>of</w:t>
      </w:r>
      <w:r>
        <w:rPr>
          <w:spacing w:val="40"/>
          <w:sz w:val="20"/>
        </w:rPr>
        <w:t> </w:t>
      </w:r>
      <w:r>
        <w:rPr>
          <w:sz w:val="20"/>
        </w:rPr>
        <w:t>Commercial</w:t>
      </w:r>
      <w:r>
        <w:rPr>
          <w:spacing w:val="40"/>
          <w:sz w:val="20"/>
        </w:rPr>
        <w:t> </w:t>
      </w:r>
      <w:r>
        <w:rPr>
          <w:sz w:val="20"/>
        </w:rPr>
        <w:t>Debts</w:t>
      </w:r>
      <w:r>
        <w:rPr>
          <w:spacing w:val="40"/>
          <w:sz w:val="20"/>
        </w:rPr>
        <w:t> </w:t>
      </w:r>
      <w:r>
        <w:rPr>
          <w:sz w:val="20"/>
        </w:rPr>
        <w:t>(Interest)</w:t>
      </w:r>
      <w:r>
        <w:rPr>
          <w:spacing w:val="40"/>
          <w:sz w:val="20"/>
        </w:rPr>
        <w:t> </w:t>
      </w:r>
      <w:r>
        <w:rPr>
          <w:sz w:val="20"/>
        </w:rPr>
        <w:t>Act</w:t>
      </w:r>
      <w:r>
        <w:rPr>
          <w:spacing w:val="40"/>
          <w:sz w:val="20"/>
        </w:rPr>
        <w:t> </w:t>
      </w:r>
      <w:r>
        <w:rPr>
          <w:sz w:val="20"/>
        </w:rPr>
        <w:t>1998</w:t>
      </w:r>
      <w:r>
        <w:rPr>
          <w:spacing w:val="40"/>
          <w:sz w:val="20"/>
        </w:rPr>
        <w:t> </w:t>
      </w:r>
      <w:r>
        <w:rPr>
          <w:sz w:val="20"/>
        </w:rPr>
        <w:t>(below, para.26-232; Vol.II, paras 39-295 et seq.).</w:t>
      </w:r>
    </w:p>
    <w:p>
      <w:pPr>
        <w:pStyle w:val="BodyText"/>
        <w:spacing w:before="5"/>
      </w:pPr>
    </w:p>
    <w:p>
      <w:pPr>
        <w:spacing w:before="0"/>
        <w:ind w:left="165" w:right="0" w:firstLine="0"/>
        <w:jc w:val="left"/>
        <w:rPr>
          <w:sz w:val="20"/>
        </w:rPr>
      </w:pPr>
      <w:bookmarkStart w:name="_bookmark2749" w:id="2751"/>
      <w:bookmarkEnd w:id="2751"/>
      <w:r>
        <w:rPr/>
      </w:r>
      <w:hyperlink w:history="true" w:anchor="_bookmark2740">
        <w:r>
          <w:rPr>
            <w:color w:val="005DA1"/>
            <w:position w:val="5"/>
            <w:sz w:val="14"/>
            <w:u w:val="single" w:color="005DA1"/>
          </w:rPr>
          <w:t>1439</w:t>
        </w:r>
      </w:hyperlink>
      <w:r>
        <w:rPr>
          <w:position w:val="5"/>
          <w:sz w:val="14"/>
        </w:rPr>
        <w:t>.</w:t>
      </w:r>
      <w:r>
        <w:rPr>
          <w:spacing w:val="55"/>
          <w:position w:val="5"/>
          <w:sz w:val="14"/>
        </w:rPr>
        <w:t>  </w:t>
      </w:r>
      <w:r>
        <w:rPr>
          <w:rFonts w:ascii="Arial"/>
          <w:i/>
          <w:sz w:val="20"/>
        </w:rPr>
        <w:t>London,</w:t>
      </w:r>
      <w:r>
        <w:rPr>
          <w:rFonts w:ascii="Arial"/>
          <w:i/>
          <w:spacing w:val="1"/>
          <w:sz w:val="20"/>
        </w:rPr>
        <w:t> </w:t>
      </w:r>
      <w:r>
        <w:rPr>
          <w:rFonts w:ascii="Arial"/>
          <w:i/>
          <w:sz w:val="20"/>
        </w:rPr>
        <w:t>Chatham and Dover Railway Co v South Eastern Railway Co [1893] A.C. </w:t>
      </w:r>
      <w:r>
        <w:rPr>
          <w:rFonts w:ascii="Arial"/>
          <w:i/>
          <w:spacing w:val="-4"/>
          <w:sz w:val="20"/>
        </w:rPr>
        <w:t>429</w:t>
      </w:r>
      <w:r>
        <w:rPr>
          <w:spacing w:val="-4"/>
          <w:sz w:val="20"/>
        </w:rPr>
        <w:t>.</w:t>
      </w:r>
    </w:p>
    <w:p>
      <w:pPr>
        <w:pStyle w:val="BodyText"/>
        <w:spacing w:before="5"/>
      </w:pPr>
    </w:p>
    <w:p>
      <w:pPr>
        <w:pStyle w:val="BodyText"/>
        <w:ind w:left="165"/>
      </w:pPr>
      <w:bookmarkStart w:name="_bookmark2750" w:id="2752"/>
      <w:bookmarkEnd w:id="2752"/>
      <w:r>
        <w:rPr/>
      </w:r>
      <w:hyperlink w:history="true" w:anchor="_bookmark2741">
        <w:r>
          <w:rPr>
            <w:color w:val="005DA1"/>
            <w:position w:val="5"/>
            <w:sz w:val="14"/>
            <w:u w:val="single" w:color="005DA1"/>
          </w:rPr>
          <w:t>1440</w:t>
        </w:r>
      </w:hyperlink>
      <w:r>
        <w:rPr>
          <w:position w:val="5"/>
          <w:sz w:val="14"/>
        </w:rPr>
        <w:t>.</w:t>
      </w:r>
      <w:r>
        <w:rPr>
          <w:spacing w:val="55"/>
          <w:position w:val="5"/>
          <w:sz w:val="14"/>
        </w:rPr>
        <w:t>  </w:t>
      </w:r>
      <w:r>
        <w:rPr/>
        <w:t>See</w:t>
      </w:r>
      <w:r>
        <w:rPr>
          <w:spacing w:val="1"/>
        </w:rPr>
        <w:t> </w:t>
      </w:r>
      <w:r>
        <w:rPr/>
        <w:t>below, paras 26-232 et seq. and 26-</w:t>
      </w:r>
      <w:r>
        <w:rPr>
          <w:spacing w:val="-4"/>
        </w:rPr>
        <w:t>236.</w:t>
      </w:r>
    </w:p>
    <w:p>
      <w:pPr>
        <w:pStyle w:val="BodyText"/>
        <w:spacing w:after="0"/>
        <w:sectPr>
          <w:headerReference w:type="default" r:id="rId65"/>
          <w:pgSz w:w="11900" w:h="16840"/>
          <w:pgMar w:header="971" w:footer="0" w:top="1300" w:bottom="280" w:left="1275" w:right="1275"/>
          <w:pgNumType w:start="1"/>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344" w:hRule="atLeast"/>
        </w:trPr>
        <w:tc>
          <w:tcPr>
            <w:tcW w:w="496" w:type="dxa"/>
          </w:tcPr>
          <w:p>
            <w:pPr>
              <w:pStyle w:val="TableParagraph"/>
              <w:spacing w:before="0"/>
              <w:ind w:right="43"/>
              <w:jc w:val="center"/>
              <w:rPr>
                <w:sz w:val="14"/>
              </w:rPr>
            </w:pPr>
            <w:bookmarkStart w:name="_bookmark2751" w:id="2753"/>
            <w:bookmarkEnd w:id="2753"/>
            <w:r>
              <w:rPr/>
            </w:r>
            <w:hyperlink w:history="true" w:anchor="_bookmark2742">
              <w:r>
                <w:rPr>
                  <w:color w:val="005DA1"/>
                  <w:spacing w:val="-2"/>
                  <w:sz w:val="14"/>
                  <w:u w:val="single" w:color="005DA1"/>
                </w:rPr>
                <w:t>1441</w:t>
              </w:r>
            </w:hyperlink>
            <w:r>
              <w:rPr>
                <w:spacing w:val="-2"/>
                <w:sz w:val="14"/>
              </w:rPr>
              <w:t>.</w:t>
            </w:r>
          </w:p>
        </w:tc>
        <w:tc>
          <w:tcPr>
            <w:tcW w:w="8619" w:type="dxa"/>
          </w:tcPr>
          <w:p>
            <w:pPr>
              <w:pStyle w:val="TableParagraph"/>
              <w:spacing w:line="223" w:lineRule="exact" w:before="0"/>
              <w:ind w:left="94"/>
              <w:rPr>
                <w:sz w:val="20"/>
              </w:rPr>
            </w:pPr>
            <w:r>
              <w:rPr>
                <w:sz w:val="20"/>
              </w:rPr>
              <w:t>See below, paras 26-236 et </w:t>
            </w:r>
            <w:r>
              <w:rPr>
                <w:spacing w:val="-4"/>
                <w:sz w:val="20"/>
              </w:rPr>
              <w:t>seq.</w:t>
            </w:r>
          </w:p>
        </w:tc>
      </w:tr>
      <w:tr>
        <w:trPr>
          <w:trHeight w:val="915" w:hRule="atLeast"/>
        </w:trPr>
        <w:tc>
          <w:tcPr>
            <w:tcW w:w="496" w:type="dxa"/>
          </w:tcPr>
          <w:p>
            <w:pPr>
              <w:pStyle w:val="TableParagraph"/>
              <w:ind w:right="43"/>
              <w:jc w:val="center"/>
              <w:rPr>
                <w:sz w:val="14"/>
              </w:rPr>
            </w:pPr>
            <w:bookmarkStart w:name="_bookmark2752" w:id="2754"/>
            <w:bookmarkEnd w:id="2754"/>
            <w:r>
              <w:rPr/>
            </w:r>
            <w:hyperlink w:history="true" w:anchor="_bookmark2742">
              <w:r>
                <w:rPr>
                  <w:color w:val="005DA1"/>
                  <w:spacing w:val="-2"/>
                  <w:sz w:val="14"/>
                  <w:u w:val="single" w:color="005DA1"/>
                </w:rPr>
                <w:t>1442</w:t>
              </w:r>
            </w:hyperlink>
            <w:r>
              <w:rPr>
                <w:spacing w:val="-2"/>
                <w:sz w:val="14"/>
              </w:rPr>
              <w:t>.</w:t>
            </w:r>
          </w:p>
        </w:tc>
        <w:tc>
          <w:tcPr>
            <w:tcW w:w="8619" w:type="dxa"/>
          </w:tcPr>
          <w:p>
            <w:pPr>
              <w:pStyle w:val="TableParagraph"/>
              <w:spacing w:line="235" w:lineRule="auto" w:before="118"/>
              <w:ind w:left="94" w:right="48"/>
              <w:jc w:val="both"/>
              <w:rPr>
                <w:sz w:val="20"/>
              </w:rPr>
            </w:pPr>
            <w:r>
              <w:rPr>
                <w:rFonts w:ascii="Arial"/>
                <w:i/>
                <w:sz w:val="20"/>
              </w:rPr>
              <w:t>President of India v La Pintada Compania Navegacion SA [1985] A.C. 104 </w:t>
            </w:r>
            <w:r>
              <w:rPr>
                <w:sz w:val="20"/>
              </w:rPr>
              <w:t>(which was </w:t>
            </w:r>
            <w:r>
              <w:rPr>
                <w:sz w:val="20"/>
              </w:rPr>
              <w:t>further considered by the House of Lords in </w:t>
            </w:r>
            <w:r>
              <w:rPr>
                <w:rFonts w:ascii="Arial"/>
                <w:i/>
                <w:sz w:val="20"/>
              </w:rPr>
              <w:t>President of India v Lips Maritime Corp [1988] A.C. 395</w:t>
            </w:r>
            <w:r>
              <w:rPr>
                <w:sz w:val="20"/>
              </w:rPr>
              <w:t>). See Mann (1985) 101 L.Q.R. 30.</w:t>
            </w:r>
          </w:p>
        </w:tc>
      </w:tr>
      <w:tr>
        <w:trPr>
          <w:trHeight w:val="465" w:hRule="atLeast"/>
        </w:trPr>
        <w:tc>
          <w:tcPr>
            <w:tcW w:w="496" w:type="dxa"/>
          </w:tcPr>
          <w:p>
            <w:pPr>
              <w:pStyle w:val="TableParagraph"/>
              <w:ind w:right="43"/>
              <w:jc w:val="center"/>
              <w:rPr>
                <w:sz w:val="14"/>
              </w:rPr>
            </w:pPr>
            <w:bookmarkStart w:name="_bookmark2753" w:id="2755"/>
            <w:bookmarkEnd w:id="2755"/>
            <w:r>
              <w:rPr/>
            </w:r>
            <w:hyperlink w:history="true" w:anchor="_bookmark2743">
              <w:r>
                <w:rPr>
                  <w:color w:val="005DA1"/>
                  <w:spacing w:val="-2"/>
                  <w:sz w:val="14"/>
                  <w:u w:val="single" w:color="005DA1"/>
                </w:rPr>
                <w:t>1443</w:t>
              </w:r>
            </w:hyperlink>
            <w:r>
              <w:rPr>
                <w:spacing w:val="-2"/>
                <w:sz w:val="14"/>
              </w:rPr>
              <w:t>.</w:t>
            </w:r>
          </w:p>
        </w:tc>
        <w:tc>
          <w:tcPr>
            <w:tcW w:w="8619" w:type="dxa"/>
          </w:tcPr>
          <w:p>
            <w:pPr>
              <w:pStyle w:val="TableParagraph"/>
              <w:spacing w:before="114"/>
              <w:ind w:left="94"/>
              <w:rPr>
                <w:sz w:val="20"/>
              </w:rPr>
            </w:pPr>
            <w:r>
              <w:rPr>
                <w:rFonts w:ascii="Arial"/>
                <w:i/>
                <w:sz w:val="20"/>
              </w:rPr>
              <w:t>Wadsworth</w:t>
            </w:r>
            <w:r>
              <w:rPr>
                <w:rFonts w:ascii="Arial"/>
                <w:i/>
                <w:spacing w:val="-1"/>
                <w:sz w:val="20"/>
              </w:rPr>
              <w:t> </w:t>
            </w:r>
            <w:r>
              <w:rPr>
                <w:rFonts w:ascii="Arial"/>
                <w:i/>
                <w:sz w:val="20"/>
              </w:rPr>
              <w:t>v Lydall [1981] 1 W.L.R. 598</w:t>
            </w:r>
            <w:r>
              <w:rPr>
                <w:sz w:val="20"/>
              </w:rPr>
              <w:t>. (See below, para.26-</w:t>
            </w:r>
            <w:r>
              <w:rPr>
                <w:spacing w:val="-2"/>
                <w:sz w:val="20"/>
              </w:rPr>
              <w:t>229.)</w:t>
            </w:r>
          </w:p>
        </w:tc>
      </w:tr>
      <w:tr>
        <w:trPr>
          <w:trHeight w:val="344" w:hRule="atLeast"/>
        </w:trPr>
        <w:tc>
          <w:tcPr>
            <w:tcW w:w="496" w:type="dxa"/>
          </w:tcPr>
          <w:p>
            <w:pPr>
              <w:pStyle w:val="TableParagraph"/>
              <w:ind w:right="43"/>
              <w:jc w:val="center"/>
              <w:rPr>
                <w:sz w:val="14"/>
              </w:rPr>
            </w:pPr>
            <w:bookmarkStart w:name="_bookmark2754" w:id="2756"/>
            <w:bookmarkEnd w:id="2756"/>
            <w:r>
              <w:rPr/>
            </w:r>
            <w:hyperlink w:history="true" w:anchor="_bookmark2744">
              <w:r>
                <w:rPr>
                  <w:color w:val="005DA1"/>
                  <w:spacing w:val="-2"/>
                  <w:sz w:val="14"/>
                  <w:u w:val="single" w:color="005DA1"/>
                </w:rPr>
                <w:t>1444</w:t>
              </w:r>
            </w:hyperlink>
            <w:r>
              <w:rPr>
                <w:spacing w:val="-2"/>
                <w:sz w:val="14"/>
              </w:rPr>
              <w:t>.</w:t>
            </w:r>
          </w:p>
        </w:tc>
        <w:tc>
          <w:tcPr>
            <w:tcW w:w="8619" w:type="dxa"/>
          </w:tcPr>
          <w:p>
            <w:pPr>
              <w:pStyle w:val="TableParagraph"/>
              <w:spacing w:line="210" w:lineRule="exact" w:before="114"/>
              <w:ind w:left="94"/>
              <w:rPr>
                <w:sz w:val="20"/>
              </w:rPr>
            </w:pPr>
            <w:r>
              <w:rPr>
                <w:rFonts w:ascii="Arial"/>
                <w:i/>
                <w:sz w:val="20"/>
              </w:rPr>
              <w:t>Sempra Metals Ltd v Commissioners of Inland Revenue [2007] UKHL 34, [2008] 1 A.C. </w:t>
            </w:r>
            <w:r>
              <w:rPr>
                <w:rFonts w:ascii="Arial"/>
                <w:i/>
                <w:spacing w:val="-4"/>
                <w:sz w:val="20"/>
              </w:rPr>
              <w:t>561</w:t>
            </w:r>
            <w:r>
              <w:rPr>
                <w:spacing w:val="-4"/>
                <w:sz w:val="20"/>
              </w:rPr>
              <w:t>.</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2171" w:val="left" w:leader="none"/>
        </w:tabs>
        <w:spacing w:line="240" w:lineRule="auto" w:before="194" w:after="0"/>
        <w:ind w:left="2171" w:right="0" w:hanging="373"/>
        <w:jc w:val="left"/>
        <w:rPr>
          <w:b/>
          <w:sz w:val="24"/>
        </w:rPr>
      </w:pPr>
      <w:r>
        <w:rPr>
          <w:b/>
          <w:sz w:val="24"/>
        </w:rPr>
        <w:t>- Damages for Loss of Interest at Common </w:t>
      </w:r>
      <w:r>
        <w:rPr>
          <w:b/>
          <w:spacing w:val="-5"/>
          <w:sz w:val="24"/>
        </w:rPr>
        <w:t>Law</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starting point: no </w:t>
      </w:r>
      <w:r>
        <w:rPr>
          <w:rFonts w:ascii="Arial"/>
          <w:b/>
          <w:spacing w:val="-2"/>
          <w:sz w:val="18"/>
        </w:rPr>
        <w:t>recovery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228</w:t>
      </w:r>
    </w:p>
    <w:p>
      <w:pPr>
        <w:pStyle w:val="BodyText"/>
        <w:spacing w:line="235" w:lineRule="auto" w:before="202"/>
        <w:ind w:left="165" w:right="167"/>
        <w:jc w:val="both"/>
      </w:pPr>
      <w:bookmarkStart w:name="_bookmark2755" w:id="2757"/>
      <w:bookmarkEnd w:id="2757"/>
      <w:r>
        <w:rPr/>
      </w:r>
      <w:r>
        <w:rPr/>
        <w:t>The starting point for the discussion may be taken the decision of the House of Lords in the </w:t>
      </w:r>
      <w:r>
        <w:rPr>
          <w:rFonts w:ascii="Arial"/>
          <w:i/>
        </w:rPr>
        <w:t>London Chatham </w:t>
      </w:r>
      <w:r>
        <w:rPr/>
        <w:t>case </w:t>
      </w:r>
      <w:r>
        <w:rPr>
          <w:color w:val="005DA1"/>
          <w:u w:val="single" w:color="005DA1"/>
          <w:vertAlign w:val="superscript"/>
        </w:rPr>
        <w:t>1445</w:t>
      </w:r>
      <w:r>
        <w:rPr>
          <w:color w:val="005DA1"/>
          <w:vertAlign w:val="baseline"/>
        </w:rPr>
        <w:t> </w:t>
      </w:r>
      <w:r>
        <w:rPr>
          <w:vertAlign w:val="baseline"/>
        </w:rPr>
        <w:t>in 1893. There it was treated as well settled that as a general rule, debts do not carry interest, nor are damages available for simple later payment, so that a debtor who pays </w:t>
      </w:r>
      <w:r>
        <w:rPr>
          <w:vertAlign w:val="baseline"/>
        </w:rPr>
        <w:t>late </w:t>
      </w:r>
      <w:bookmarkStart w:name="_bookmark2756" w:id="2758"/>
      <w:bookmarkEnd w:id="2758"/>
      <w:r>
        <w:rPr>
          <w:vertAlign w:val="baseline"/>
        </w:rPr>
        <w:t>discharges</w:t>
      </w:r>
      <w:r>
        <w:rPr>
          <w:vertAlign w:val="baseline"/>
        </w:rPr>
        <w:t> his obligation by paying the sum originally due. The House viewed this rule without </w:t>
      </w:r>
      <w:bookmarkStart w:name="_bookmark2757" w:id="2759"/>
      <w:bookmarkEnd w:id="2759"/>
      <w:r>
        <w:rPr>
          <w:vertAlign w:val="baseline"/>
        </w:rPr>
        <w:t>enthusiasm,</w:t>
      </w:r>
      <w:r>
        <w:rPr>
          <w:vertAlign w:val="baseline"/>
        </w:rPr>
        <w:t> </w:t>
      </w:r>
      <w:r>
        <w:rPr>
          <w:color w:val="005DA1"/>
          <w:u w:val="single" w:color="005DA1"/>
          <w:vertAlign w:val="superscript"/>
        </w:rPr>
        <w:t>1446</w:t>
      </w:r>
      <w:r>
        <w:rPr>
          <w:color w:val="005DA1"/>
          <w:vertAlign w:val="baseline"/>
        </w:rPr>
        <w:t> </w:t>
      </w:r>
      <w:r>
        <w:rPr>
          <w:vertAlign w:val="baseline"/>
        </w:rPr>
        <w:t>and it is perhaps not surprising that ultimately it first should be the subject of a major exception </w:t>
      </w:r>
      <w:r>
        <w:rPr>
          <w:color w:val="005DA1"/>
          <w:u w:val="single" w:color="005DA1"/>
          <w:vertAlign w:val="superscript"/>
        </w:rPr>
        <w:t>1447</w:t>
      </w:r>
      <w:r>
        <w:rPr>
          <w:color w:val="005DA1"/>
          <w:vertAlign w:val="baseline"/>
        </w:rPr>
        <w:t> </w:t>
      </w:r>
      <w:r>
        <w:rPr>
          <w:vertAlign w:val="baseline"/>
        </w:rPr>
        <w:t>and later reduced almost to vanishing point. </w:t>
      </w:r>
      <w:r>
        <w:rPr>
          <w:color w:val="005DA1"/>
          <w:u w:val="single" w:color="005DA1"/>
          <w:vertAlign w:val="superscript"/>
        </w:rPr>
        <w:t>1448</w:t>
      </w:r>
    </w:p>
    <w:p>
      <w:pPr>
        <w:pStyle w:val="BodyText"/>
      </w:pPr>
    </w:p>
    <w:p>
      <w:pPr>
        <w:pStyle w:val="BodyText"/>
        <w:spacing w:before="36"/>
      </w:pPr>
    </w:p>
    <w:p>
      <w:pPr>
        <w:spacing w:before="1"/>
        <w:ind w:left="165" w:right="0" w:firstLine="0"/>
        <w:jc w:val="left"/>
        <w:rPr>
          <w:rFonts w:ascii="Arial"/>
          <w:b/>
          <w:sz w:val="18"/>
        </w:rPr>
      </w:pPr>
      <w:r>
        <w:rPr>
          <w:rFonts w:ascii="Arial"/>
          <w:b/>
          <w:sz w:val="18"/>
        </w:rPr>
        <w:t>Finance charges on particular transaction </w:t>
      </w:r>
      <w:r>
        <w:rPr>
          <w:rFonts w:ascii="Arial"/>
          <w:b/>
          <w:spacing w:val="-2"/>
          <w:sz w:val="18"/>
        </w:rPr>
        <w:t>contemplated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229</w:t>
      </w:r>
    </w:p>
    <w:p>
      <w:pPr>
        <w:pStyle w:val="BodyText"/>
        <w:spacing w:line="235" w:lineRule="auto" w:before="203"/>
        <w:ind w:left="164" w:right="167"/>
        <w:jc w:val="both"/>
      </w:pPr>
      <w:bookmarkStart w:name="_bookmark2758" w:id="2760"/>
      <w:bookmarkEnd w:id="2760"/>
      <w:r>
        <w:rPr/>
      </w:r>
      <w:bookmarkStart w:name="_bookmark2759" w:id="2761"/>
      <w:bookmarkEnd w:id="2761"/>
      <w:r>
        <w:rPr/>
      </w:r>
      <w:r>
        <w:rPr/>
        <w:t>In 1981 an exception to the common law rule was created by the Court of Appeal </w:t>
      </w:r>
      <w:r>
        <w:rPr>
          <w:color w:val="005DA1"/>
          <w:u w:val="single" w:color="005DA1"/>
          <w:vertAlign w:val="superscript"/>
        </w:rPr>
        <w:t>1449</w:t>
      </w:r>
      <w:r>
        <w:rPr>
          <w:color w:val="005DA1"/>
          <w:vertAlign w:val="baseline"/>
        </w:rPr>
        <w:t> </w:t>
      </w:r>
      <w:r>
        <w:rPr>
          <w:vertAlign w:val="baseline"/>
        </w:rPr>
        <w:t>(and was </w:t>
      </w:r>
      <w:bookmarkStart w:name="_bookmark2760" w:id="2762"/>
      <w:bookmarkEnd w:id="2762"/>
      <w:r>
        <w:rPr>
          <w:vertAlign w:val="baseline"/>
        </w:rPr>
        <w:t>expressly</w:t>
      </w:r>
      <w:r>
        <w:rPr>
          <w:vertAlign w:val="baseline"/>
        </w:rPr>
        <w:t> approved by the House of Lords in 1985 </w:t>
      </w:r>
      <w:r>
        <w:rPr>
          <w:color w:val="005DA1"/>
          <w:u w:val="single" w:color="005DA1"/>
          <w:vertAlign w:val="superscript"/>
        </w:rPr>
        <w:t>1450</w:t>
      </w:r>
      <w:r>
        <w:rPr>
          <w:vertAlign w:val="baseline"/>
        </w:rPr>
        <w:t>). This was that provided the second rule in </w:t>
      </w:r>
      <w:bookmarkStart w:name="_bookmark2761" w:id="2763"/>
      <w:bookmarkEnd w:id="2763"/>
      <w:r>
        <w:rPr>
          <w:vertAlign w:val="baseline"/>
        </w:rPr>
      </w:r>
      <w:r>
        <w:rPr>
          <w:rFonts w:ascii="Arial" w:hAnsi="Arial"/>
          <w:i/>
          <w:vertAlign w:val="baseline"/>
        </w:rPr>
        <w:t>Hadley v Baxendale </w:t>
      </w:r>
      <w:r>
        <w:rPr>
          <w:color w:val="005DA1"/>
          <w:u w:val="single" w:color="005DA1"/>
          <w:vertAlign w:val="superscript"/>
        </w:rPr>
        <w:t>1451</w:t>
      </w:r>
      <w:r>
        <w:rPr>
          <w:color w:val="005DA1"/>
          <w:vertAlign w:val="baseline"/>
        </w:rPr>
        <w:t> </w:t>
      </w:r>
      <w:r>
        <w:rPr>
          <w:vertAlign w:val="baseline"/>
        </w:rPr>
        <w:t>(the remoteness test where a promisor with notice of special facts had assumed responsibility for a type of loss not normally within contemplation </w:t>
      </w:r>
      <w:r>
        <w:rPr>
          <w:color w:val="005DA1"/>
          <w:u w:val="single" w:color="005DA1"/>
          <w:vertAlign w:val="superscript"/>
        </w:rPr>
        <w:t>1452</w:t>
      </w:r>
      <w:r>
        <w:rPr>
          <w:vertAlign w:val="baseline"/>
        </w:rPr>
        <w:t>) was satisfied, special </w:t>
      </w:r>
      <w:bookmarkStart w:name="_bookmark2762" w:id="2764"/>
      <w:bookmarkEnd w:id="2764"/>
      <w:r>
        <w:rPr>
          <w:vertAlign w:val="baseline"/>
        </w:rPr>
        <w:t>damages</w:t>
      </w:r>
      <w:r>
        <w:rPr>
          <w:vertAlign w:val="baseline"/>
        </w:rPr>
        <w:t> could be awarded where, as the result of the defendant failing to pay money when it was due, the claimant had actually incurred interest charges </w:t>
      </w:r>
      <w:r>
        <w:rPr>
          <w:color w:val="005DA1"/>
          <w:u w:val="single" w:color="005DA1"/>
          <w:vertAlign w:val="superscript"/>
        </w:rPr>
        <w:t>1453</w:t>
      </w:r>
      <w:r>
        <w:rPr>
          <w:color w:val="005DA1"/>
          <w:vertAlign w:val="baseline"/>
        </w:rPr>
        <w:t> </w:t>
      </w:r>
      <w:r>
        <w:rPr>
          <w:vertAlign w:val="baseline"/>
        </w:rPr>
        <w:t>in obtaining finance from another source. The defendant knew that the claimant needed the payment to finance a purchase, and that, if the defendant failed to make the payment, the claimant would need to borrow the amount elsewhere. An analogous situation arose where the plaintiff was buying a machine on hire-purchase. The</w:t>
      </w:r>
      <w:r>
        <w:rPr>
          <w:spacing w:val="40"/>
          <w:vertAlign w:val="baseline"/>
        </w:rPr>
        <w:t> </w:t>
      </w:r>
      <w:r>
        <w:rPr>
          <w:vertAlign w:val="baseline"/>
        </w:rPr>
        <w:t>defendant’s breach of contract led to the need to replace an expensive part of it; since it was found </w:t>
      </w:r>
      <w:bookmarkStart w:name="_bookmark2763" w:id="2765"/>
      <w:bookmarkEnd w:id="2765"/>
      <w:r>
        <w:rPr>
          <w:vertAlign w:val="baseline"/>
        </w:rPr>
        <w:t>that</w:t>
      </w:r>
      <w:r>
        <w:rPr>
          <w:vertAlign w:val="baseline"/>
        </w:rPr>
        <w:t> the plaintiff acted reasonably in buying the replacement on hirepurchase, the defendant was held liable to pay the finance charges. </w:t>
      </w:r>
      <w:r>
        <w:rPr>
          <w:color w:val="005DA1"/>
          <w:u w:val="single" w:color="005DA1"/>
          <w:vertAlign w:val="superscript"/>
        </w:rPr>
        <w:t>1454</w:t>
      </w:r>
    </w:p>
    <w:p>
      <w:pPr>
        <w:pStyle w:val="BodyText"/>
      </w:pPr>
    </w:p>
    <w:p>
      <w:pPr>
        <w:pStyle w:val="BodyText"/>
        <w:spacing w:before="34"/>
      </w:pPr>
    </w:p>
    <w:p>
      <w:pPr>
        <w:spacing w:before="0"/>
        <w:ind w:left="165" w:right="0" w:firstLine="0"/>
        <w:jc w:val="left"/>
        <w:rPr>
          <w:rFonts w:ascii="Arial"/>
          <w:b/>
          <w:sz w:val="18"/>
        </w:rPr>
      </w:pPr>
      <w:r>
        <w:rPr>
          <w:rFonts w:ascii="Arial"/>
          <w:b/>
          <w:sz w:val="18"/>
        </w:rPr>
        <w:t>Loss of interest compensable if pleaded and </w:t>
      </w:r>
      <w:r>
        <w:rPr>
          <w:rFonts w:ascii="Arial"/>
          <w:b/>
          <w:spacing w:val="-2"/>
          <w:sz w:val="18"/>
        </w:rPr>
        <w:t>proved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230</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313" name="Image 1313"/>
            <wp:cNvGraphicFramePr>
              <a:graphicFrameLocks/>
            </wp:cNvGraphicFramePr>
            <a:graphic>
              <a:graphicData uri="http://schemas.openxmlformats.org/drawingml/2006/picture">
                <pic:pic>
                  <pic:nvPicPr>
                    <pic:cNvPr id="1313" name="Image 13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764" w:id="2766"/>
      <w:bookmarkEnd w:id="2766"/>
      <w:r>
        <w:rPr>
          <w:rFonts w:ascii="Times New Roman" w:hAnsi="Times New Roman"/>
          <w:spacing w:val="9"/>
        </w:rPr>
      </w:r>
      <w:r>
        <w:rPr/>
        <w:t>However, in the </w:t>
      </w:r>
      <w:r>
        <w:rPr>
          <w:rFonts w:ascii="Arial" w:hAnsi="Arial"/>
          <w:i/>
        </w:rPr>
        <w:t>Sempra Metals </w:t>
      </w:r>
      <w:r>
        <w:rPr/>
        <w:t>case </w:t>
      </w:r>
      <w:r>
        <w:rPr>
          <w:color w:val="005DA1"/>
          <w:u w:val="single" w:color="005DA1"/>
          <w:vertAlign w:val="superscript"/>
        </w:rPr>
        <w:t>1455</w:t>
      </w:r>
      <w:r>
        <w:rPr>
          <w:color w:val="005DA1"/>
          <w:vertAlign w:val="baseline"/>
        </w:rPr>
        <w:t> </w:t>
      </w:r>
      <w:r>
        <w:rPr>
          <w:vertAlign w:val="baseline"/>
        </w:rPr>
        <w:t>the House of Lords went further than the Court of Appeal. It</w:t>
      </w:r>
      <w:r>
        <w:rPr>
          <w:spacing w:val="-2"/>
          <w:vertAlign w:val="baseline"/>
        </w:rPr>
        <w:t> </w:t>
      </w:r>
      <w:r>
        <w:rPr>
          <w:vertAlign w:val="baseline"/>
        </w:rPr>
        <w:t>severely</w:t>
      </w:r>
      <w:r>
        <w:rPr>
          <w:spacing w:val="-2"/>
          <w:vertAlign w:val="baseline"/>
        </w:rPr>
        <w:t> </w:t>
      </w:r>
      <w:r>
        <w:rPr>
          <w:vertAlign w:val="baseline"/>
        </w:rPr>
        <w:t>restricted</w:t>
      </w:r>
      <w:r>
        <w:rPr>
          <w:spacing w:val="-2"/>
          <w:vertAlign w:val="baseline"/>
        </w:rPr>
        <w:t> </w:t>
      </w:r>
      <w:r>
        <w:rPr>
          <w:vertAlign w:val="baseline"/>
        </w:rPr>
        <w:t>the</w:t>
      </w:r>
      <w:r>
        <w:rPr>
          <w:spacing w:val="-2"/>
          <w:vertAlign w:val="baseline"/>
        </w:rPr>
        <w:t> </w:t>
      </w:r>
      <w:r>
        <w:rPr>
          <w:vertAlign w:val="baseline"/>
        </w:rPr>
        <w:t>rule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rFonts w:ascii="Arial" w:hAnsi="Arial"/>
          <w:i/>
          <w:vertAlign w:val="baseline"/>
        </w:rPr>
        <w:t>London</w:t>
      </w:r>
      <w:r>
        <w:rPr>
          <w:rFonts w:ascii="Arial" w:hAnsi="Arial"/>
          <w:i/>
          <w:spacing w:val="-2"/>
          <w:vertAlign w:val="baseline"/>
        </w:rPr>
        <w:t> </w:t>
      </w:r>
      <w:r>
        <w:rPr>
          <w:rFonts w:ascii="Arial" w:hAnsi="Arial"/>
          <w:i/>
          <w:vertAlign w:val="baseline"/>
        </w:rPr>
        <w:t>Chatham</w:t>
      </w:r>
      <w:r>
        <w:rPr>
          <w:rFonts w:ascii="Arial" w:hAnsi="Arial"/>
          <w:i/>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1893.</w:t>
      </w:r>
      <w:r>
        <w:rPr>
          <w:spacing w:val="-2"/>
          <w:vertAlign w:val="baseline"/>
        </w:rPr>
        <w:t> </w:t>
      </w:r>
      <w:r>
        <w:rPr>
          <w:vertAlign w:val="baseline"/>
        </w:rPr>
        <w:t>Although</w:t>
      </w:r>
      <w:r>
        <w:rPr>
          <w:spacing w:val="-2"/>
          <w:vertAlign w:val="baseline"/>
        </w:rPr>
        <w:t> </w:t>
      </w:r>
      <w:r>
        <w:rPr>
          <w:vertAlign w:val="baseline"/>
        </w:rPr>
        <w:t>the</w:t>
      </w:r>
      <w:r>
        <w:rPr>
          <w:spacing w:val="-2"/>
          <w:vertAlign w:val="baseline"/>
        </w:rPr>
        <w:t> </w:t>
      </w:r>
      <w:r>
        <w:rPr>
          <w:vertAlign w:val="baseline"/>
        </w:rPr>
        <w:t>actual</w:t>
      </w:r>
      <w:r>
        <w:rPr>
          <w:spacing w:val="-2"/>
          <w:vertAlign w:val="baseline"/>
        </w:rPr>
        <w:t> </w:t>
      </w:r>
      <w:r>
        <w:rPr>
          <w:vertAlign w:val="baseline"/>
        </w:rPr>
        <w:t>decision</w:t>
      </w:r>
      <w:r>
        <w:rPr>
          <w:spacing w:val="-2"/>
          <w:vertAlign w:val="baseline"/>
        </w:rPr>
        <w:t> </w:t>
      </w:r>
      <w:r>
        <w:rPr>
          <w:vertAlign w:val="baseline"/>
        </w:rPr>
        <w:t>in</w:t>
      </w:r>
      <w:r>
        <w:rPr>
          <w:spacing w:val="-2"/>
          <w:vertAlign w:val="baseline"/>
        </w:rPr>
        <w:t> </w:t>
      </w:r>
      <w:r>
        <w:rPr>
          <w:vertAlign w:val="baseline"/>
        </w:rPr>
        <w:t>the </w:t>
      </w:r>
      <w:r>
        <w:rPr>
          <w:rFonts w:ascii="Arial" w:hAnsi="Arial"/>
          <w:i/>
          <w:vertAlign w:val="baseline"/>
        </w:rPr>
        <w:t>Sempra Metals </w:t>
      </w:r>
      <w:r>
        <w:rPr>
          <w:vertAlign w:val="baseline"/>
        </w:rPr>
        <w:t>case was on the remedy in restitution, four of their Lordships took the opportunity to limit the effect of the </w:t>
      </w:r>
      <w:r>
        <w:rPr>
          <w:rFonts w:ascii="Arial" w:hAnsi="Arial"/>
          <w:i/>
          <w:vertAlign w:val="baseline"/>
        </w:rPr>
        <w:t>London Chatham </w:t>
      </w:r>
      <w:r>
        <w:rPr>
          <w:vertAlign w:val="baseline"/>
        </w:rPr>
        <w:t>rule to cases where the claimant does not plead or prove any </w:t>
      </w:r>
      <w:bookmarkStart w:name="_bookmark2765" w:id="2767"/>
      <w:bookmarkEnd w:id="2767"/>
      <w:r>
        <w:rPr>
          <w:vertAlign w:val="baseline"/>
        </w:rPr>
        <w:t>losses</w:t>
      </w:r>
      <w:r>
        <w:rPr>
          <w:vertAlign w:val="baseline"/>
        </w:rPr>
        <w:t> arising from late payment of the debt due to him: the rule still prevents the award of damages for “an unparticularised and unproved claim” for interest losses. </w:t>
      </w:r>
      <w:r>
        <w:rPr>
          <w:color w:val="005DA1"/>
          <w:u w:val="single" w:color="005DA1"/>
          <w:vertAlign w:val="superscript"/>
        </w:rPr>
        <w:t>1456</w:t>
      </w:r>
      <w:r>
        <w:rPr>
          <w:color w:val="005DA1"/>
          <w:vertAlign w:val="baseline"/>
        </w:rPr>
        <w:t> </w:t>
      </w:r>
      <w:r>
        <w:rPr>
          <w:vertAlign w:val="baseline"/>
        </w:rPr>
        <w:t>But their Lordships held that </w:t>
      </w:r>
      <w:r>
        <w:rPr>
          <w:vertAlign w:val="baseline"/>
        </w:rPr>
        <w:t>at </w:t>
      </w:r>
      <w:bookmarkStart w:name="_bookmark2766" w:id="2768"/>
      <w:bookmarkEnd w:id="2768"/>
      <w:r>
        <w:rPr>
          <w:vertAlign w:val="baseline"/>
        </w:rPr>
        <w:t>common</w:t>
      </w:r>
      <w:r>
        <w:rPr>
          <w:spacing w:val="12"/>
          <w:vertAlign w:val="baseline"/>
        </w:rPr>
        <w:t> </w:t>
      </w:r>
      <w:r>
        <w:rPr>
          <w:vertAlign w:val="baseline"/>
        </w:rPr>
        <w:t>law</w:t>
      </w:r>
      <w:r>
        <w:rPr>
          <w:spacing w:val="1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always</w:t>
      </w:r>
      <w:r>
        <w:rPr>
          <w:spacing w:val="12"/>
          <w:vertAlign w:val="baseline"/>
        </w:rPr>
        <w:t> </w:t>
      </w:r>
      <w:r>
        <w:rPr>
          <w:vertAlign w:val="baseline"/>
        </w:rPr>
        <w:t>in</w:t>
      </w:r>
      <w:r>
        <w:rPr>
          <w:spacing w:val="12"/>
          <w:vertAlign w:val="baseline"/>
        </w:rPr>
        <w:t> </w:t>
      </w:r>
      <w:r>
        <w:rPr>
          <w:vertAlign w:val="baseline"/>
        </w:rPr>
        <w:t>principle</w:t>
      </w:r>
      <w:r>
        <w:rPr>
          <w:spacing w:val="12"/>
          <w:vertAlign w:val="baseline"/>
        </w:rPr>
        <w:t> </w:t>
      </w:r>
      <w:r>
        <w:rPr>
          <w:vertAlign w:val="baseline"/>
        </w:rPr>
        <w:t>open</w:t>
      </w:r>
      <w:r>
        <w:rPr>
          <w:spacing w:val="12"/>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claimant</w:t>
      </w:r>
      <w:r>
        <w:rPr>
          <w:spacing w:val="12"/>
          <w:vertAlign w:val="baseline"/>
        </w:rPr>
        <w:t> </w:t>
      </w:r>
      <w:r>
        <w:rPr>
          <w:vertAlign w:val="baseline"/>
        </w:rPr>
        <w:t>to</w:t>
      </w:r>
      <w:r>
        <w:rPr>
          <w:spacing w:val="12"/>
          <w:vertAlign w:val="baseline"/>
        </w:rPr>
        <w:t> </w:t>
      </w:r>
      <w:r>
        <w:rPr>
          <w:vertAlign w:val="baseline"/>
        </w:rPr>
        <w:t>plead</w:t>
      </w:r>
      <w:r>
        <w:rPr>
          <w:spacing w:val="12"/>
          <w:vertAlign w:val="baseline"/>
        </w:rPr>
        <w:t> </w:t>
      </w:r>
      <w:r>
        <w:rPr>
          <w:vertAlign w:val="baseline"/>
        </w:rPr>
        <w:t>and</w:t>
      </w:r>
      <w:r>
        <w:rPr>
          <w:spacing w:val="12"/>
          <w:vertAlign w:val="baseline"/>
        </w:rPr>
        <w:t> </w:t>
      </w:r>
      <w:r>
        <w:rPr>
          <w:vertAlign w:val="baseline"/>
        </w:rPr>
        <w:t>prove</w:t>
      </w:r>
      <w:r>
        <w:rPr>
          <w:spacing w:val="12"/>
          <w:vertAlign w:val="baseline"/>
        </w:rPr>
        <w:t> </w:t>
      </w:r>
      <w:r>
        <w:rPr>
          <w:vertAlign w:val="baseline"/>
        </w:rPr>
        <w:t>his</w:t>
      </w:r>
      <w:r>
        <w:rPr>
          <w:spacing w:val="12"/>
          <w:vertAlign w:val="baseline"/>
        </w:rPr>
        <w:t> </w:t>
      </w:r>
      <w:r>
        <w:rPr>
          <w:vertAlign w:val="baseline"/>
        </w:rPr>
        <w:t>actual</w:t>
      </w:r>
      <w:r>
        <w:rPr>
          <w:spacing w:val="12"/>
          <w:vertAlign w:val="baseline"/>
        </w:rPr>
        <w:t> </w:t>
      </w:r>
      <w:r>
        <w:rPr>
          <w:vertAlign w:val="baseline"/>
        </w:rPr>
        <w:t>interest</w:t>
      </w:r>
      <w:r>
        <w:rPr>
          <w:spacing w:val="12"/>
          <w:vertAlign w:val="baseline"/>
        </w:rPr>
        <w:t> </w:t>
      </w:r>
      <w:r>
        <w:rPr>
          <w:spacing w:val="-2"/>
          <w:vertAlign w:val="baseline"/>
        </w:rPr>
        <w:t>losses</w:t>
      </w:r>
    </w:p>
    <w:p>
      <w:pPr>
        <w:pStyle w:val="BodyText"/>
        <w:spacing w:before="113"/>
        <w:ind w:left="165"/>
        <w:jc w:val="both"/>
      </w:pPr>
      <w:r>
        <w:rPr/>
        <w:t>(including</w:t>
      </w:r>
      <w:r>
        <w:rPr>
          <w:spacing w:val="18"/>
        </w:rPr>
        <w:t> </w:t>
      </w:r>
      <w:r>
        <w:rPr/>
        <w:t>a</w:t>
      </w:r>
      <w:r>
        <w:rPr>
          <w:spacing w:val="19"/>
        </w:rPr>
        <w:t> </w:t>
      </w:r>
      <w:r>
        <w:rPr/>
        <w:t>loss</w:t>
      </w:r>
      <w:r>
        <w:rPr>
          <w:spacing w:val="19"/>
        </w:rPr>
        <w:t> </w:t>
      </w:r>
      <w:r>
        <w:rPr/>
        <w:t>of</w:t>
      </w:r>
      <w:r>
        <w:rPr>
          <w:spacing w:val="19"/>
        </w:rPr>
        <w:t> </w:t>
      </w:r>
      <w:r>
        <w:rPr/>
        <w:t>compound</w:t>
      </w:r>
      <w:r>
        <w:rPr>
          <w:spacing w:val="19"/>
        </w:rPr>
        <w:t> </w:t>
      </w:r>
      <w:r>
        <w:rPr/>
        <w:t>interest)</w:t>
      </w:r>
      <w:r>
        <w:rPr>
          <w:spacing w:val="19"/>
        </w:rPr>
        <w:t> </w:t>
      </w:r>
      <w:r>
        <w:rPr/>
        <w:t>caused</w:t>
      </w:r>
      <w:r>
        <w:rPr>
          <w:spacing w:val="18"/>
        </w:rPr>
        <w:t> </w:t>
      </w:r>
      <w:r>
        <w:rPr/>
        <w:t>by</w:t>
      </w:r>
      <w:r>
        <w:rPr>
          <w:spacing w:val="19"/>
        </w:rPr>
        <w:t> </w:t>
      </w:r>
      <w:r>
        <w:rPr/>
        <w:t>late</w:t>
      </w:r>
      <w:r>
        <w:rPr>
          <w:spacing w:val="19"/>
        </w:rPr>
        <w:t> </w:t>
      </w:r>
      <w:r>
        <w:rPr/>
        <w:t>payment</w:t>
      </w:r>
      <w:r>
        <w:rPr>
          <w:spacing w:val="19"/>
        </w:rPr>
        <w:t> </w:t>
      </w:r>
      <w:r>
        <w:rPr/>
        <w:t>of</w:t>
      </w:r>
      <w:r>
        <w:rPr>
          <w:spacing w:val="19"/>
        </w:rPr>
        <w:t> </w:t>
      </w:r>
      <w:r>
        <w:rPr/>
        <w:t>a</w:t>
      </w:r>
      <w:r>
        <w:rPr>
          <w:spacing w:val="19"/>
        </w:rPr>
        <w:t> </w:t>
      </w:r>
      <w:r>
        <w:rPr/>
        <w:t>debt.</w:t>
      </w:r>
      <w:r>
        <w:rPr>
          <w:spacing w:val="17"/>
        </w:rPr>
        <w:t> </w:t>
      </w:r>
      <w:hyperlink w:history="true" w:anchor="_bookmark2781">
        <w:r>
          <w:rPr>
            <w:color w:val="005DA1"/>
            <w:u w:val="single" w:color="005DA1"/>
            <w:vertAlign w:val="superscript"/>
          </w:rPr>
          <w:t>1457</w:t>
        </w:r>
        <w:r>
          <w:rPr>
            <w:color w:val="005DA1"/>
            <w:spacing w:val="56"/>
            <w:vertAlign w:val="baseline"/>
          </w:rPr>
          <w:t>  </w:t>
        </w:r>
        <w:r>
          <w:rPr>
            <w:color w:val="005DA1"/>
            <w:spacing w:val="5"/>
            <w:position w:val="-2"/>
            <w:vertAlign w:val="baseline"/>
          </w:rPr>
          <w:drawing>
            <wp:inline distT="0" distB="0" distL="0" distR="0">
              <wp:extent cx="107988" cy="107988"/>
              <wp:effectExtent l="0" t="0" r="0" b="0"/>
              <wp:docPr id="1314" name="Image 1314"/>
              <wp:cNvGraphicFramePr>
                <a:graphicFrameLocks/>
              </wp:cNvGraphicFramePr>
              <a:graphic>
                <a:graphicData uri="http://schemas.openxmlformats.org/drawingml/2006/picture">
                  <pic:pic>
                    <pic:nvPicPr>
                      <pic:cNvPr id="1314" name="Image 13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19"/>
            <w:vertAlign w:val="baseline"/>
          </w:rPr>
          <w:t> </w:t>
        </w:r>
        <w:r>
          <w:rPr>
            <w:vertAlign w:val="baseline"/>
          </w:rPr>
          <w:t>(Such</w:t>
        </w:r>
        <w:r>
          <w:rPr>
            <w:spacing w:val="19"/>
            <w:vertAlign w:val="baseline"/>
          </w:rPr>
          <w:t> </w:t>
        </w:r>
        <w:r>
          <w:rPr>
            <w:vertAlign w:val="baseline"/>
          </w:rPr>
          <w:t>a</w:t>
        </w:r>
        <w:r>
          <w:rPr>
            <w:spacing w:val="19"/>
            <w:vertAlign w:val="baseline"/>
          </w:rPr>
          <w:t> </w:t>
        </w:r>
        <w:r>
          <w:rPr>
            <w:vertAlign w:val="baseline"/>
          </w:rPr>
          <w:t>claim</w:t>
        </w:r>
        <w:r>
          <w:rPr>
            <w:spacing w:val="19"/>
            <w:vertAlign w:val="baseline"/>
          </w:rPr>
          <w:t> </w:t>
        </w:r>
        <w:r>
          <w:rPr>
            <w:spacing w:val="-5"/>
            <w:vertAlign w:val="baseline"/>
          </w:rPr>
          <w:t>is</w:t>
        </w:r>
      </w:hyperlink>
    </w:p>
    <w:p>
      <w:pPr>
        <w:sectPr>
          <w:headerReference w:type="default" r:id="rId66"/>
          <w:pgSz w:w="11900" w:h="16840"/>
          <w:pgMar w:header="971" w:footer="0" w:top="1300" w:bottom="280" w:left="1275" w:right="1275"/>
          <w:pgNumType w:start="1"/>
        </w:sectPr>
      </w:pPr>
    </w:p>
    <w:p>
      <w:pPr>
        <w:pStyle w:val="BodyText"/>
        <w:spacing w:line="235" w:lineRule="auto" w:before="110"/>
        <w:ind w:left="165" w:right="167"/>
        <w:jc w:val="both"/>
      </w:pPr>
      <w:bookmarkStart w:name="_bookmark2767" w:id="2769"/>
      <w:bookmarkEnd w:id="2769"/>
      <w:r>
        <w:rPr/>
      </w:r>
      <w:r>
        <w:rPr/>
        <w:t>subject to all the ordinary rules on damages, such as those on remoteness and mitigation, </w:t>
      </w:r>
      <w:r>
        <w:rPr>
          <w:color w:val="005DA1"/>
          <w:u w:val="single" w:color="005DA1"/>
          <w:vertAlign w:val="superscript"/>
        </w:rPr>
        <w:t>1458</w:t>
      </w:r>
      <w:r>
        <w:rPr>
          <w:color w:val="005DA1"/>
          <w:vertAlign w:val="baseline"/>
        </w:rPr>
        <w:t> </w:t>
      </w:r>
      <w:r>
        <w:rPr>
          <w:vertAlign w:val="baseline"/>
        </w:rPr>
        <w:t>and </w:t>
      </w:r>
      <w:bookmarkStart w:name="_bookmark2768" w:id="2770"/>
      <w:bookmarkEnd w:id="2770"/>
      <w:r>
        <w:rPr>
          <w:vertAlign w:val="baseline"/>
        </w:rPr>
        <w:t>presumably</w:t>
      </w:r>
      <w:r>
        <w:rPr>
          <w:vertAlign w:val="baseline"/>
        </w:rPr>
        <w:t> also the new requirement that it was reasonable to assume that the defendant was assuming responsibility for the loss. </w:t>
      </w:r>
      <w:r>
        <w:rPr>
          <w:color w:val="005DA1"/>
          <w:u w:val="single" w:color="005DA1"/>
          <w:vertAlign w:val="superscript"/>
        </w:rPr>
        <w:t>1459</w:t>
      </w:r>
      <w:r>
        <w:rPr>
          <w:vertAlign w:val="baseline"/>
        </w:rPr>
        <w:t>) The actual decision in the </w:t>
      </w:r>
      <w:r>
        <w:rPr>
          <w:rFonts w:ascii="Arial"/>
          <w:i/>
          <w:vertAlign w:val="baseline"/>
        </w:rPr>
        <w:t>Sempra Metals </w:t>
      </w:r>
      <w:r>
        <w:rPr>
          <w:vertAlign w:val="baseline"/>
        </w:rPr>
        <w:t>case permitted a claim in restitution for compound interest where a payment had been made under a mistake of law (to which a more favourable limitation rule applied than in the case of a damages claim).</w:t>
      </w:r>
    </w:p>
    <w:p>
      <w:pPr>
        <w:pStyle w:val="BodyText"/>
      </w:pPr>
    </w:p>
    <w:p>
      <w:pPr>
        <w:pStyle w:val="BodyText"/>
        <w:spacing w:before="38"/>
      </w:pPr>
      <w:r>
        <w:rPr/>
        <mc:AlternateContent>
          <mc:Choice Requires="wps">
            <w:drawing>
              <wp:anchor distT="0" distB="0" distL="0" distR="0" allowOverlap="1" layoutInCell="1" locked="0" behindDoc="1" simplePos="0" relativeHeight="487747072">
                <wp:simplePos x="0" y="0"/>
                <wp:positionH relativeFrom="page">
                  <wp:posOffset>914400</wp:posOffset>
                </wp:positionH>
                <wp:positionV relativeFrom="paragraph">
                  <wp:posOffset>185729</wp:posOffset>
                </wp:positionV>
                <wp:extent cx="5724525" cy="1270"/>
                <wp:effectExtent l="0" t="0" r="0" b="0"/>
                <wp:wrapTopAndBottom/>
                <wp:docPr id="1315" name="Graphic 1315"/>
                <wp:cNvGraphicFramePr>
                  <a:graphicFrameLocks/>
                </wp:cNvGraphicFramePr>
                <a:graphic>
                  <a:graphicData uri="http://schemas.microsoft.com/office/word/2010/wordprocessingShape">
                    <wps:wsp>
                      <wps:cNvPr id="1315" name="Graphic 13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4402pt;width:450.75pt;height:.1pt;mso-position-horizontal-relative:page;mso-position-vertical-relative:paragraph;z-index:-15569408;mso-wrap-distance-left:0;mso-wrap-distance-right:0" id="docshape124" coordorigin="1440,292" coordsize="9015,0" path="m1440,292l10454,292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sz w:val="14"/>
              </w:rPr>
            </w:pPr>
            <w:hyperlink w:history="true" w:anchor="_bookmark2960">
              <w:r>
                <w:rPr>
                  <w:color w:val="005DA1"/>
                  <w:spacing w:val="-2"/>
                  <w:sz w:val="14"/>
                  <w:u w:val="single" w:color="005DA1"/>
                </w:rPr>
                <w:t>1434</w:t>
              </w:r>
            </w:hyperlink>
            <w:r>
              <w:rPr>
                <w:spacing w:val="-2"/>
                <w:sz w:val="14"/>
              </w:rPr>
              <w:t>.</w:t>
            </w:r>
          </w:p>
        </w:tc>
        <w:tc>
          <w:tcPr>
            <w:tcW w:w="8620" w:type="dxa"/>
          </w:tcPr>
          <w:p>
            <w:pPr>
              <w:pStyle w:val="TableParagraph"/>
              <w:spacing w:line="223" w:lineRule="exact" w:before="0"/>
              <w:ind w:left="94"/>
              <w:rPr>
                <w:sz w:val="20"/>
              </w:rPr>
            </w:pPr>
            <w:r>
              <w:rPr>
                <w:sz w:val="20"/>
              </w:rPr>
              <w:t>See also Vol.II, paras 39-284 et seq.; McGregor on Damages, 19th edn (2014), </w:t>
            </w:r>
            <w:r>
              <w:rPr>
                <w:spacing w:val="-2"/>
                <w:sz w:val="20"/>
              </w:rPr>
              <w:t>Ch.18.</w:t>
            </w:r>
          </w:p>
        </w:tc>
      </w:tr>
      <w:tr>
        <w:trPr>
          <w:trHeight w:val="465" w:hRule="atLeast"/>
        </w:trPr>
        <w:tc>
          <w:tcPr>
            <w:tcW w:w="496" w:type="dxa"/>
          </w:tcPr>
          <w:p>
            <w:pPr>
              <w:pStyle w:val="TableParagraph"/>
              <w:ind w:right="43"/>
              <w:jc w:val="center"/>
              <w:rPr>
                <w:sz w:val="14"/>
              </w:rPr>
            </w:pPr>
            <w:bookmarkStart w:name="_bookmark2769" w:id="2771"/>
            <w:bookmarkEnd w:id="2771"/>
            <w:r>
              <w:rPr/>
            </w:r>
            <w:hyperlink w:history="true" w:anchor="_bookmark2755">
              <w:r>
                <w:rPr>
                  <w:color w:val="005DA1"/>
                  <w:spacing w:val="-2"/>
                  <w:sz w:val="14"/>
                  <w:u w:val="single" w:color="005DA1"/>
                </w:rPr>
                <w:t>1445</w:t>
              </w:r>
            </w:hyperlink>
            <w:r>
              <w:rPr>
                <w:spacing w:val="-2"/>
                <w:sz w:val="14"/>
              </w:rPr>
              <w:t>.</w:t>
            </w:r>
          </w:p>
        </w:tc>
        <w:tc>
          <w:tcPr>
            <w:tcW w:w="8620" w:type="dxa"/>
          </w:tcPr>
          <w:p>
            <w:pPr>
              <w:pStyle w:val="TableParagraph"/>
              <w:spacing w:before="114"/>
              <w:ind w:left="94"/>
              <w:rPr>
                <w:sz w:val="20"/>
              </w:rPr>
            </w:pPr>
            <w:r>
              <w:rPr>
                <w:rFonts w:ascii="Arial"/>
                <w:i/>
                <w:sz w:val="20"/>
              </w:rPr>
              <w:t>London, Chatham and Dover Ry Co v South Eastern Railway Co [1893] A.C. </w:t>
            </w:r>
            <w:r>
              <w:rPr>
                <w:rFonts w:ascii="Arial"/>
                <w:i/>
                <w:spacing w:val="-4"/>
                <w:sz w:val="20"/>
              </w:rPr>
              <w:t>429</w:t>
            </w:r>
            <w:r>
              <w:rPr>
                <w:spacing w:val="-4"/>
                <w:sz w:val="20"/>
              </w:rPr>
              <w:t>.</w:t>
            </w:r>
          </w:p>
        </w:tc>
      </w:tr>
      <w:tr>
        <w:trPr>
          <w:trHeight w:val="465" w:hRule="atLeast"/>
        </w:trPr>
        <w:tc>
          <w:tcPr>
            <w:tcW w:w="496" w:type="dxa"/>
          </w:tcPr>
          <w:p>
            <w:pPr>
              <w:pStyle w:val="TableParagraph"/>
              <w:ind w:right="43"/>
              <w:jc w:val="center"/>
              <w:rPr>
                <w:sz w:val="14"/>
              </w:rPr>
            </w:pPr>
            <w:bookmarkStart w:name="_bookmark2770" w:id="2772"/>
            <w:bookmarkEnd w:id="2772"/>
            <w:r>
              <w:rPr/>
            </w:r>
            <w:hyperlink w:history="true" w:anchor="_bookmark2756">
              <w:r>
                <w:rPr>
                  <w:color w:val="005DA1"/>
                  <w:spacing w:val="-2"/>
                  <w:sz w:val="14"/>
                  <w:u w:val="single" w:color="005DA1"/>
                </w:rPr>
                <w:t>1446</w:t>
              </w:r>
            </w:hyperlink>
            <w:r>
              <w:rPr>
                <w:spacing w:val="-2"/>
                <w:sz w:val="14"/>
              </w:rPr>
              <w:t>.</w:t>
            </w:r>
          </w:p>
        </w:tc>
        <w:tc>
          <w:tcPr>
            <w:tcW w:w="8620" w:type="dxa"/>
          </w:tcPr>
          <w:p>
            <w:pPr>
              <w:pStyle w:val="TableParagraph"/>
              <w:spacing w:before="114"/>
              <w:ind w:left="94"/>
              <w:rPr>
                <w:sz w:val="20"/>
              </w:rPr>
            </w:pPr>
            <w:r>
              <w:rPr>
                <w:sz w:val="20"/>
              </w:rPr>
              <w:t>See</w:t>
            </w:r>
            <w:r>
              <w:rPr>
                <w:spacing w:val="-1"/>
                <w:sz w:val="20"/>
              </w:rPr>
              <w:t> </w:t>
            </w:r>
            <w:r>
              <w:rPr>
                <w:sz w:val="20"/>
              </w:rPr>
              <w:t>e.g.</w:t>
            </w:r>
            <w:r>
              <w:rPr>
                <w:spacing w:val="-1"/>
                <w:sz w:val="20"/>
              </w:rPr>
              <w:t> </w:t>
            </w:r>
            <w:r>
              <w:rPr>
                <w:rFonts w:ascii="Arial"/>
                <w:i/>
                <w:sz w:val="20"/>
              </w:rPr>
              <w:t>[1893] A.C. 429</w:t>
            </w:r>
            <w:r>
              <w:rPr>
                <w:sz w:val="20"/>
              </w:rPr>
              <w:t>, at 440, 441 and </w:t>
            </w:r>
            <w:r>
              <w:rPr>
                <w:spacing w:val="-4"/>
                <w:sz w:val="20"/>
              </w:rPr>
              <w:t>443.</w:t>
            </w:r>
          </w:p>
        </w:tc>
      </w:tr>
      <w:tr>
        <w:trPr>
          <w:trHeight w:val="465" w:hRule="atLeast"/>
        </w:trPr>
        <w:tc>
          <w:tcPr>
            <w:tcW w:w="496" w:type="dxa"/>
          </w:tcPr>
          <w:p>
            <w:pPr>
              <w:pStyle w:val="TableParagraph"/>
              <w:ind w:right="43"/>
              <w:jc w:val="center"/>
              <w:rPr>
                <w:sz w:val="14"/>
              </w:rPr>
            </w:pPr>
            <w:bookmarkStart w:name="_bookmark2771" w:id="2773"/>
            <w:bookmarkEnd w:id="2773"/>
            <w:r>
              <w:rPr/>
            </w:r>
            <w:hyperlink w:history="true" w:anchor="_bookmark2757">
              <w:r>
                <w:rPr>
                  <w:color w:val="005DA1"/>
                  <w:spacing w:val="-2"/>
                  <w:sz w:val="14"/>
                  <w:u w:val="single" w:color="005DA1"/>
                </w:rPr>
                <w:t>1447</w:t>
              </w:r>
            </w:hyperlink>
            <w:r>
              <w:rPr>
                <w:spacing w:val="-2"/>
                <w:sz w:val="14"/>
              </w:rPr>
              <w:t>.</w:t>
            </w:r>
          </w:p>
        </w:tc>
        <w:tc>
          <w:tcPr>
            <w:tcW w:w="8620" w:type="dxa"/>
          </w:tcPr>
          <w:p>
            <w:pPr>
              <w:pStyle w:val="TableParagraph"/>
              <w:spacing w:before="114"/>
              <w:ind w:left="94"/>
              <w:rPr>
                <w:sz w:val="20"/>
              </w:rPr>
            </w:pPr>
            <w:r>
              <w:rPr>
                <w:sz w:val="20"/>
              </w:rPr>
              <w:t>See next </w:t>
            </w:r>
            <w:r>
              <w:rPr>
                <w:spacing w:val="-2"/>
                <w:sz w:val="20"/>
              </w:rPr>
              <w:t>paragraph.</w:t>
            </w:r>
          </w:p>
        </w:tc>
      </w:tr>
      <w:tr>
        <w:trPr>
          <w:trHeight w:val="465" w:hRule="atLeast"/>
        </w:trPr>
        <w:tc>
          <w:tcPr>
            <w:tcW w:w="496" w:type="dxa"/>
          </w:tcPr>
          <w:p>
            <w:pPr>
              <w:pStyle w:val="TableParagraph"/>
              <w:ind w:right="43"/>
              <w:jc w:val="center"/>
              <w:rPr>
                <w:sz w:val="14"/>
              </w:rPr>
            </w:pPr>
            <w:bookmarkStart w:name="_bookmark2772" w:id="2774"/>
            <w:bookmarkEnd w:id="2774"/>
            <w:r>
              <w:rPr/>
            </w:r>
            <w:hyperlink w:history="true" w:anchor="_bookmark2757">
              <w:r>
                <w:rPr>
                  <w:color w:val="005DA1"/>
                  <w:spacing w:val="-2"/>
                  <w:sz w:val="14"/>
                  <w:u w:val="single" w:color="005DA1"/>
                </w:rPr>
                <w:t>1448</w:t>
              </w:r>
            </w:hyperlink>
            <w:r>
              <w:rPr>
                <w:spacing w:val="-2"/>
                <w:sz w:val="14"/>
              </w:rPr>
              <w:t>.</w:t>
            </w:r>
          </w:p>
        </w:tc>
        <w:tc>
          <w:tcPr>
            <w:tcW w:w="8620" w:type="dxa"/>
          </w:tcPr>
          <w:p>
            <w:pPr>
              <w:pStyle w:val="TableParagraph"/>
              <w:spacing w:before="114"/>
              <w:ind w:left="94"/>
              <w:rPr>
                <w:sz w:val="20"/>
              </w:rPr>
            </w:pPr>
            <w:r>
              <w:rPr>
                <w:sz w:val="20"/>
              </w:rPr>
              <w:t>See para.26-</w:t>
            </w:r>
            <w:r>
              <w:rPr>
                <w:spacing w:val="-4"/>
                <w:sz w:val="20"/>
              </w:rPr>
              <w:t>230.</w:t>
            </w:r>
          </w:p>
        </w:tc>
      </w:tr>
      <w:tr>
        <w:trPr>
          <w:trHeight w:val="465" w:hRule="atLeast"/>
        </w:trPr>
        <w:tc>
          <w:tcPr>
            <w:tcW w:w="496" w:type="dxa"/>
          </w:tcPr>
          <w:p>
            <w:pPr>
              <w:pStyle w:val="TableParagraph"/>
              <w:ind w:right="43"/>
              <w:jc w:val="center"/>
              <w:rPr>
                <w:sz w:val="14"/>
              </w:rPr>
            </w:pPr>
            <w:bookmarkStart w:name="_bookmark2773" w:id="2775"/>
            <w:bookmarkEnd w:id="2775"/>
            <w:r>
              <w:rPr/>
            </w:r>
            <w:hyperlink w:history="true" w:anchor="_bookmark2758">
              <w:r>
                <w:rPr>
                  <w:color w:val="005DA1"/>
                  <w:spacing w:val="-2"/>
                  <w:sz w:val="14"/>
                  <w:u w:val="single" w:color="005DA1"/>
                </w:rPr>
                <w:t>1449</w:t>
              </w:r>
            </w:hyperlink>
            <w:r>
              <w:rPr>
                <w:spacing w:val="-2"/>
                <w:sz w:val="14"/>
              </w:rPr>
              <w:t>.</w:t>
            </w:r>
          </w:p>
        </w:tc>
        <w:tc>
          <w:tcPr>
            <w:tcW w:w="8620" w:type="dxa"/>
          </w:tcPr>
          <w:p>
            <w:pPr>
              <w:pStyle w:val="TableParagraph"/>
              <w:spacing w:before="114"/>
              <w:ind w:left="94"/>
              <w:rPr>
                <w:sz w:val="20"/>
              </w:rPr>
            </w:pPr>
            <w:r>
              <w:rPr>
                <w:rFonts w:ascii="Arial"/>
                <w:i/>
                <w:sz w:val="20"/>
              </w:rPr>
              <w:t>Wadsworth</w:t>
            </w:r>
            <w:r>
              <w:rPr>
                <w:rFonts w:ascii="Arial"/>
                <w:i/>
                <w:spacing w:val="-1"/>
                <w:sz w:val="20"/>
              </w:rPr>
              <w:t> </w:t>
            </w:r>
            <w:r>
              <w:rPr>
                <w:rFonts w:ascii="Arial"/>
                <w:i/>
                <w:sz w:val="20"/>
              </w:rPr>
              <w:t>v Lydall [1981] 1 W.L.R. 598</w:t>
            </w:r>
            <w:r>
              <w:rPr>
                <w:sz w:val="20"/>
              </w:rPr>
              <w:t>. (See also above, para.26-</w:t>
            </w:r>
            <w:r>
              <w:rPr>
                <w:spacing w:val="-2"/>
                <w:sz w:val="20"/>
              </w:rPr>
              <w:t>175.)</w:t>
            </w:r>
          </w:p>
        </w:tc>
      </w:tr>
      <w:tr>
        <w:trPr>
          <w:trHeight w:val="465" w:hRule="atLeast"/>
        </w:trPr>
        <w:tc>
          <w:tcPr>
            <w:tcW w:w="496" w:type="dxa"/>
          </w:tcPr>
          <w:p>
            <w:pPr>
              <w:pStyle w:val="TableParagraph"/>
              <w:ind w:right="43"/>
              <w:jc w:val="center"/>
              <w:rPr>
                <w:sz w:val="14"/>
              </w:rPr>
            </w:pPr>
            <w:bookmarkStart w:name="_bookmark2774" w:id="2776"/>
            <w:bookmarkEnd w:id="2776"/>
            <w:r>
              <w:rPr/>
            </w:r>
            <w:hyperlink w:history="true" w:anchor="_bookmark2759">
              <w:r>
                <w:rPr>
                  <w:color w:val="005DA1"/>
                  <w:spacing w:val="-2"/>
                  <w:sz w:val="14"/>
                  <w:u w:val="single" w:color="005DA1"/>
                </w:rPr>
                <w:t>1450</w:t>
              </w:r>
            </w:hyperlink>
            <w:r>
              <w:rPr>
                <w:spacing w:val="-2"/>
                <w:sz w:val="14"/>
              </w:rPr>
              <w:t>.</w:t>
            </w:r>
          </w:p>
        </w:tc>
        <w:tc>
          <w:tcPr>
            <w:tcW w:w="8620" w:type="dxa"/>
          </w:tcPr>
          <w:p>
            <w:pPr>
              <w:pStyle w:val="TableParagraph"/>
              <w:spacing w:before="114"/>
              <w:ind w:left="94"/>
              <w:rPr>
                <w:sz w:val="20"/>
              </w:rPr>
            </w:pPr>
            <w:r>
              <w:rPr>
                <w:rFonts w:ascii="Arial" w:hAnsi="Arial"/>
                <w:i/>
                <w:sz w:val="20"/>
              </w:rPr>
              <w:t>The</w:t>
            </w:r>
            <w:r>
              <w:rPr>
                <w:rFonts w:ascii="Arial" w:hAnsi="Arial"/>
                <w:i/>
                <w:spacing w:val="-1"/>
                <w:sz w:val="20"/>
              </w:rPr>
              <w:t> </w:t>
            </w:r>
            <w:r>
              <w:rPr>
                <w:rFonts w:ascii="Arial" w:hAnsi="Arial"/>
                <w:i/>
                <w:sz w:val="20"/>
              </w:rPr>
              <w:t>President of India case [1985] A.C. 104</w:t>
            </w:r>
            <w:r>
              <w:rPr>
                <w:sz w:val="20"/>
              </w:rPr>
              <w:t>, at </w:t>
            </w:r>
            <w:r>
              <w:rPr>
                <w:spacing w:val="-2"/>
                <w:sz w:val="20"/>
              </w:rPr>
              <w:t>125–127.</w:t>
            </w:r>
          </w:p>
        </w:tc>
      </w:tr>
      <w:tr>
        <w:trPr>
          <w:trHeight w:val="465" w:hRule="atLeast"/>
        </w:trPr>
        <w:tc>
          <w:tcPr>
            <w:tcW w:w="496" w:type="dxa"/>
          </w:tcPr>
          <w:p>
            <w:pPr>
              <w:pStyle w:val="TableParagraph"/>
              <w:ind w:right="43"/>
              <w:jc w:val="center"/>
              <w:rPr>
                <w:sz w:val="14"/>
              </w:rPr>
            </w:pPr>
            <w:bookmarkStart w:name="_bookmark2775" w:id="2777"/>
            <w:bookmarkEnd w:id="2777"/>
            <w:r>
              <w:rPr/>
            </w:r>
            <w:hyperlink w:history="true" w:anchor="_bookmark2760">
              <w:r>
                <w:rPr>
                  <w:color w:val="005DA1"/>
                  <w:spacing w:val="-2"/>
                  <w:sz w:val="14"/>
                  <w:u w:val="single" w:color="005DA1"/>
                </w:rPr>
                <w:t>1451</w:t>
              </w:r>
            </w:hyperlink>
            <w:r>
              <w:rPr>
                <w:spacing w:val="-2"/>
                <w:sz w:val="14"/>
              </w:rPr>
              <w:t>.</w:t>
            </w:r>
          </w:p>
        </w:tc>
        <w:tc>
          <w:tcPr>
            <w:tcW w:w="8620" w:type="dxa"/>
          </w:tcPr>
          <w:p>
            <w:pPr>
              <w:pStyle w:val="TableParagraph"/>
              <w:spacing w:before="114"/>
              <w:ind w:left="94"/>
              <w:rPr>
                <w:sz w:val="20"/>
              </w:rPr>
            </w:pPr>
            <w:r>
              <w:rPr>
                <w:rFonts w:ascii="Arial"/>
                <w:i/>
                <w:sz w:val="20"/>
              </w:rPr>
              <w:t>(1854)</w:t>
            </w:r>
            <w:r>
              <w:rPr>
                <w:rFonts w:ascii="Arial"/>
                <w:i/>
                <w:spacing w:val="-2"/>
                <w:sz w:val="20"/>
              </w:rPr>
              <w:t> </w:t>
            </w:r>
            <w:r>
              <w:rPr>
                <w:rFonts w:ascii="Arial"/>
                <w:i/>
                <w:sz w:val="20"/>
              </w:rPr>
              <w:t>9 Ex. </w:t>
            </w:r>
            <w:r>
              <w:rPr>
                <w:rFonts w:ascii="Arial"/>
                <w:i/>
                <w:spacing w:val="-4"/>
                <w:sz w:val="20"/>
              </w:rPr>
              <w:t>341</w:t>
            </w:r>
            <w:r>
              <w:rPr>
                <w:spacing w:val="-4"/>
                <w:sz w:val="20"/>
              </w:rPr>
              <w:t>.</w:t>
            </w:r>
          </w:p>
        </w:tc>
      </w:tr>
      <w:tr>
        <w:trPr>
          <w:trHeight w:val="465" w:hRule="atLeast"/>
        </w:trPr>
        <w:tc>
          <w:tcPr>
            <w:tcW w:w="496" w:type="dxa"/>
          </w:tcPr>
          <w:p>
            <w:pPr>
              <w:pStyle w:val="TableParagraph"/>
              <w:ind w:right="43"/>
              <w:jc w:val="center"/>
              <w:rPr>
                <w:sz w:val="14"/>
              </w:rPr>
            </w:pPr>
            <w:bookmarkStart w:name="_bookmark2776" w:id="2778"/>
            <w:bookmarkEnd w:id="2778"/>
            <w:r>
              <w:rPr/>
            </w:r>
            <w:hyperlink w:history="true" w:anchor="_bookmark2761">
              <w:r>
                <w:rPr>
                  <w:color w:val="005DA1"/>
                  <w:spacing w:val="-2"/>
                  <w:sz w:val="14"/>
                  <w:u w:val="single" w:color="005DA1"/>
                </w:rPr>
                <w:t>1452</w:t>
              </w:r>
            </w:hyperlink>
            <w:r>
              <w:rPr>
                <w:spacing w:val="-2"/>
                <w:sz w:val="14"/>
              </w:rPr>
              <w:t>.</w:t>
            </w:r>
          </w:p>
        </w:tc>
        <w:tc>
          <w:tcPr>
            <w:tcW w:w="8620" w:type="dxa"/>
          </w:tcPr>
          <w:p>
            <w:pPr>
              <w:pStyle w:val="TableParagraph"/>
              <w:spacing w:before="114"/>
              <w:ind w:left="94"/>
              <w:rPr>
                <w:sz w:val="20"/>
              </w:rPr>
            </w:pPr>
            <w:r>
              <w:rPr>
                <w:sz w:val="20"/>
              </w:rPr>
              <w:t>Above, paras 26-119—26-</w:t>
            </w:r>
            <w:r>
              <w:rPr>
                <w:spacing w:val="-4"/>
                <w:sz w:val="20"/>
              </w:rPr>
              <w:t>125.</w:t>
            </w:r>
          </w:p>
        </w:tc>
      </w:tr>
      <w:tr>
        <w:trPr>
          <w:trHeight w:val="690" w:hRule="atLeast"/>
        </w:trPr>
        <w:tc>
          <w:tcPr>
            <w:tcW w:w="496" w:type="dxa"/>
          </w:tcPr>
          <w:p>
            <w:pPr>
              <w:pStyle w:val="TableParagraph"/>
              <w:ind w:right="43"/>
              <w:jc w:val="center"/>
              <w:rPr>
                <w:sz w:val="14"/>
              </w:rPr>
            </w:pPr>
            <w:bookmarkStart w:name="_bookmark2777" w:id="2779"/>
            <w:bookmarkEnd w:id="2779"/>
            <w:r>
              <w:rPr/>
            </w:r>
            <w:hyperlink w:history="true" w:anchor="_bookmark2762">
              <w:r>
                <w:rPr>
                  <w:color w:val="005DA1"/>
                  <w:spacing w:val="-2"/>
                  <w:sz w:val="14"/>
                  <w:u w:val="single" w:color="005DA1"/>
                </w:rPr>
                <w:t>1453</w:t>
              </w:r>
            </w:hyperlink>
            <w:r>
              <w:rPr>
                <w:spacing w:val="-2"/>
                <w:sz w:val="14"/>
              </w:rPr>
              <w:t>.</w:t>
            </w:r>
          </w:p>
        </w:tc>
        <w:tc>
          <w:tcPr>
            <w:tcW w:w="8620" w:type="dxa"/>
          </w:tcPr>
          <w:p>
            <w:pPr>
              <w:pStyle w:val="TableParagraph"/>
              <w:spacing w:line="235" w:lineRule="auto" w:before="118"/>
              <w:ind w:left="94"/>
              <w:rPr>
                <w:sz w:val="20"/>
              </w:rPr>
            </w:pPr>
            <w:r>
              <w:rPr>
                <w:rFonts w:ascii="Arial" w:hAnsi="Arial"/>
                <w:i/>
                <w:sz w:val="20"/>
              </w:rPr>
              <w:t>Compania</w:t>
            </w:r>
            <w:r>
              <w:rPr>
                <w:rFonts w:ascii="Arial" w:hAnsi="Arial"/>
                <w:i/>
                <w:spacing w:val="24"/>
                <w:sz w:val="20"/>
              </w:rPr>
              <w:t> </w:t>
            </w:r>
            <w:r>
              <w:rPr>
                <w:rFonts w:ascii="Arial" w:hAnsi="Arial"/>
                <w:i/>
                <w:sz w:val="20"/>
              </w:rPr>
              <w:t>Financiera</w:t>
            </w:r>
            <w:r>
              <w:rPr>
                <w:rFonts w:ascii="Arial" w:hAnsi="Arial"/>
                <w:i/>
                <w:spacing w:val="24"/>
                <w:sz w:val="20"/>
              </w:rPr>
              <w:t> </w:t>
            </w:r>
            <w:r>
              <w:rPr>
                <w:rFonts w:ascii="Arial" w:hAnsi="Arial"/>
                <w:i/>
                <w:sz w:val="20"/>
              </w:rPr>
              <w:t>“Soleada”</w:t>
            </w:r>
            <w:r>
              <w:rPr>
                <w:rFonts w:ascii="Arial" w:hAnsi="Arial"/>
                <w:i/>
                <w:spacing w:val="24"/>
                <w:sz w:val="20"/>
              </w:rPr>
              <w:t> </w:t>
            </w:r>
            <w:r>
              <w:rPr>
                <w:rFonts w:ascii="Arial" w:hAnsi="Arial"/>
                <w:i/>
                <w:sz w:val="20"/>
              </w:rPr>
              <w:t>SA</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Hamoor</w:t>
            </w:r>
            <w:r>
              <w:rPr>
                <w:rFonts w:ascii="Arial" w:hAnsi="Arial"/>
                <w:i/>
                <w:spacing w:val="24"/>
                <w:sz w:val="20"/>
              </w:rPr>
              <w:t> </w:t>
            </w:r>
            <w:r>
              <w:rPr>
                <w:rFonts w:ascii="Arial" w:hAnsi="Arial"/>
                <w:i/>
                <w:sz w:val="20"/>
              </w:rPr>
              <w:t>Tanker</w:t>
            </w:r>
            <w:r>
              <w:rPr>
                <w:rFonts w:ascii="Arial" w:hAnsi="Arial"/>
                <w:i/>
                <w:spacing w:val="24"/>
                <w:sz w:val="20"/>
              </w:rPr>
              <w:t> </w:t>
            </w:r>
            <w:r>
              <w:rPr>
                <w:rFonts w:ascii="Arial" w:hAnsi="Arial"/>
                <w:i/>
                <w:sz w:val="20"/>
              </w:rPr>
              <w:t>Corp</w:t>
            </w:r>
            <w:r>
              <w:rPr>
                <w:rFonts w:ascii="Arial" w:hAnsi="Arial"/>
                <w:i/>
                <w:spacing w:val="24"/>
                <w:sz w:val="20"/>
              </w:rPr>
              <w:t> </w:t>
            </w:r>
            <w:r>
              <w:rPr>
                <w:rFonts w:ascii="Arial" w:hAnsi="Arial"/>
                <w:i/>
                <w:sz w:val="20"/>
              </w:rPr>
              <w:t>Inc</w:t>
            </w:r>
            <w:r>
              <w:rPr>
                <w:rFonts w:ascii="Arial" w:hAnsi="Arial"/>
                <w:i/>
                <w:spacing w:val="24"/>
                <w:sz w:val="20"/>
              </w:rPr>
              <w:t> </w:t>
            </w:r>
            <w:r>
              <w:rPr>
                <w:rFonts w:ascii="Arial" w:hAnsi="Arial"/>
                <w:i/>
                <w:sz w:val="20"/>
              </w:rPr>
              <w:t>(The</w:t>
            </w:r>
            <w:r>
              <w:rPr>
                <w:rFonts w:ascii="Arial" w:hAnsi="Arial"/>
                <w:i/>
                <w:spacing w:val="24"/>
                <w:sz w:val="20"/>
              </w:rPr>
              <w:t> </w:t>
            </w:r>
            <w:r>
              <w:rPr>
                <w:rFonts w:ascii="Arial" w:hAnsi="Arial"/>
                <w:i/>
                <w:sz w:val="20"/>
              </w:rPr>
              <w:t>Borag)</w:t>
            </w:r>
            <w:r>
              <w:rPr>
                <w:rFonts w:ascii="Arial" w:hAnsi="Arial"/>
                <w:i/>
                <w:spacing w:val="24"/>
                <w:sz w:val="20"/>
              </w:rPr>
              <w:t> </w:t>
            </w:r>
            <w:r>
              <w:rPr>
                <w:rFonts w:ascii="Arial" w:hAnsi="Arial"/>
                <w:i/>
                <w:sz w:val="20"/>
              </w:rPr>
              <w:t>[1981]</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W.L.R. 274 </w:t>
            </w:r>
            <w:r>
              <w:rPr>
                <w:sz w:val="20"/>
              </w:rPr>
              <w:t>(interest charges held unreasonable).</w:t>
            </w:r>
          </w:p>
        </w:tc>
      </w:tr>
      <w:tr>
        <w:trPr>
          <w:trHeight w:val="465" w:hRule="atLeast"/>
        </w:trPr>
        <w:tc>
          <w:tcPr>
            <w:tcW w:w="496" w:type="dxa"/>
          </w:tcPr>
          <w:p>
            <w:pPr>
              <w:pStyle w:val="TableParagraph"/>
              <w:ind w:right="43"/>
              <w:jc w:val="center"/>
              <w:rPr>
                <w:sz w:val="14"/>
              </w:rPr>
            </w:pPr>
            <w:bookmarkStart w:name="_bookmark2778" w:id="2780"/>
            <w:bookmarkEnd w:id="2780"/>
            <w:r>
              <w:rPr/>
            </w:r>
            <w:hyperlink w:history="true" w:anchor="_bookmark2763">
              <w:r>
                <w:rPr>
                  <w:color w:val="005DA1"/>
                  <w:spacing w:val="-2"/>
                  <w:sz w:val="14"/>
                  <w:u w:val="single" w:color="005DA1"/>
                </w:rPr>
                <w:t>1454</w:t>
              </w:r>
            </w:hyperlink>
            <w:r>
              <w:rPr>
                <w:spacing w:val="-2"/>
                <w:sz w:val="14"/>
              </w:rPr>
              <w:t>.</w:t>
            </w:r>
          </w:p>
        </w:tc>
        <w:tc>
          <w:tcPr>
            <w:tcW w:w="8620" w:type="dxa"/>
          </w:tcPr>
          <w:p>
            <w:pPr>
              <w:pStyle w:val="TableParagraph"/>
              <w:spacing w:before="114"/>
              <w:ind w:left="94"/>
              <w:rPr>
                <w:sz w:val="20"/>
              </w:rPr>
            </w:pPr>
            <w:r>
              <w:rPr>
                <w:rFonts w:ascii="Arial"/>
                <w:i/>
                <w:sz w:val="20"/>
              </w:rPr>
              <w:t>Bacon v Cooper (Metals) Ltd [1982] 1 All E.R. 397</w:t>
            </w:r>
            <w:r>
              <w:rPr>
                <w:rFonts w:ascii="Arial"/>
                <w:i/>
                <w:spacing w:val="-1"/>
                <w:sz w:val="20"/>
              </w:rPr>
              <w:t> </w:t>
            </w:r>
            <w:r>
              <w:rPr>
                <w:sz w:val="20"/>
              </w:rPr>
              <w:t>(see above, para.26-</w:t>
            </w:r>
            <w:r>
              <w:rPr>
                <w:spacing w:val="-2"/>
                <w:sz w:val="20"/>
              </w:rPr>
              <w:t>085).</w:t>
            </w:r>
          </w:p>
        </w:tc>
      </w:tr>
      <w:tr>
        <w:trPr>
          <w:trHeight w:val="465" w:hRule="atLeast"/>
        </w:trPr>
        <w:tc>
          <w:tcPr>
            <w:tcW w:w="496" w:type="dxa"/>
          </w:tcPr>
          <w:p>
            <w:pPr>
              <w:pStyle w:val="TableParagraph"/>
              <w:ind w:right="43"/>
              <w:jc w:val="center"/>
              <w:rPr>
                <w:sz w:val="14"/>
              </w:rPr>
            </w:pPr>
            <w:bookmarkStart w:name="_bookmark2779" w:id="2781"/>
            <w:bookmarkEnd w:id="2781"/>
            <w:r>
              <w:rPr/>
            </w:r>
            <w:hyperlink w:history="true" w:anchor="_bookmark2764">
              <w:r>
                <w:rPr>
                  <w:color w:val="005DA1"/>
                  <w:spacing w:val="-2"/>
                  <w:sz w:val="14"/>
                  <w:u w:val="single" w:color="005DA1"/>
                </w:rPr>
                <w:t>1455</w:t>
              </w:r>
            </w:hyperlink>
            <w:r>
              <w:rPr>
                <w:spacing w:val="-2"/>
                <w:sz w:val="14"/>
              </w:rPr>
              <w:t>.</w:t>
            </w:r>
          </w:p>
        </w:tc>
        <w:tc>
          <w:tcPr>
            <w:tcW w:w="8620" w:type="dxa"/>
          </w:tcPr>
          <w:p>
            <w:pPr>
              <w:pStyle w:val="TableParagraph"/>
              <w:spacing w:before="114"/>
              <w:ind w:left="94"/>
              <w:rPr>
                <w:sz w:val="20"/>
              </w:rPr>
            </w:pPr>
            <w:r>
              <w:rPr>
                <w:rFonts w:ascii="Arial"/>
                <w:i/>
                <w:sz w:val="20"/>
              </w:rPr>
              <w:t>Sempra Metals Ltd v Commissioners of Inland Revenue [2007] UKHL 34, [2008] 1 A.C. </w:t>
            </w:r>
            <w:r>
              <w:rPr>
                <w:rFonts w:ascii="Arial"/>
                <w:i/>
                <w:spacing w:val="-4"/>
                <w:sz w:val="20"/>
              </w:rPr>
              <w:t>561</w:t>
            </w:r>
            <w:r>
              <w:rPr>
                <w:spacing w:val="-4"/>
                <w:sz w:val="20"/>
              </w:rPr>
              <w:t>.</w:t>
            </w:r>
          </w:p>
        </w:tc>
      </w:tr>
      <w:tr>
        <w:trPr>
          <w:trHeight w:val="344" w:hRule="atLeast"/>
        </w:trPr>
        <w:tc>
          <w:tcPr>
            <w:tcW w:w="496" w:type="dxa"/>
          </w:tcPr>
          <w:p>
            <w:pPr>
              <w:pStyle w:val="TableParagraph"/>
              <w:ind w:right="43"/>
              <w:jc w:val="center"/>
              <w:rPr>
                <w:sz w:val="14"/>
              </w:rPr>
            </w:pPr>
            <w:bookmarkStart w:name="_bookmark2780" w:id="2782"/>
            <w:bookmarkEnd w:id="2782"/>
            <w:r>
              <w:rPr/>
            </w:r>
            <w:hyperlink w:history="true" w:anchor="_bookmark2765">
              <w:r>
                <w:rPr>
                  <w:color w:val="005DA1"/>
                  <w:spacing w:val="-2"/>
                  <w:sz w:val="14"/>
                  <w:u w:val="single" w:color="005DA1"/>
                </w:rPr>
                <w:t>1456</w:t>
              </w:r>
            </w:hyperlink>
            <w:r>
              <w:rPr>
                <w:spacing w:val="-2"/>
                <w:sz w:val="14"/>
              </w:rPr>
              <w:t>.</w:t>
            </w:r>
          </w:p>
        </w:tc>
        <w:tc>
          <w:tcPr>
            <w:tcW w:w="8620" w:type="dxa"/>
          </w:tcPr>
          <w:p>
            <w:pPr>
              <w:pStyle w:val="TableParagraph"/>
              <w:spacing w:line="210" w:lineRule="exact" w:before="114"/>
              <w:ind w:left="94"/>
              <w:rPr>
                <w:sz w:val="20"/>
              </w:rPr>
            </w:pPr>
            <w:r>
              <w:rPr>
                <w:rFonts w:ascii="Arial"/>
                <w:i/>
                <w:sz w:val="20"/>
              </w:rPr>
              <w:t>[2007] UKHL 34</w:t>
            </w:r>
            <w:r>
              <w:rPr>
                <w:rFonts w:ascii="Arial"/>
                <w:i/>
                <w:spacing w:val="-1"/>
                <w:sz w:val="20"/>
              </w:rPr>
              <w:t> </w:t>
            </w:r>
            <w:r>
              <w:rPr>
                <w:sz w:val="20"/>
              </w:rPr>
              <w:t>at </w:t>
            </w:r>
            <w:r>
              <w:rPr>
                <w:spacing w:val="-2"/>
                <w:sz w:val="20"/>
              </w:rPr>
              <w:t>[96].</w:t>
            </w:r>
          </w:p>
        </w:tc>
      </w:tr>
    </w:tbl>
    <w:p>
      <w:pPr>
        <w:pStyle w:val="BodyText"/>
        <w:spacing w:before="81"/>
        <w:rPr>
          <w:sz w:val="14"/>
        </w:rPr>
      </w:pPr>
    </w:p>
    <w:p>
      <w:pPr>
        <w:spacing w:line="137" w:lineRule="exact" w:before="0"/>
        <w:ind w:left="165" w:right="0" w:firstLine="0"/>
        <w:jc w:val="left"/>
        <w:rPr>
          <w:sz w:val="14"/>
        </w:rPr>
      </w:pPr>
      <w:bookmarkStart w:name="_bookmark2781" w:id="2783"/>
      <w:bookmarkEnd w:id="2783"/>
      <w:r>
        <w:rPr/>
      </w:r>
      <w:hyperlink w:history="true" w:anchor="_bookmark2766">
        <w:r>
          <w:rPr>
            <w:color w:val="005DA1"/>
            <w:spacing w:val="-2"/>
            <w:sz w:val="14"/>
            <w:u w:val="single" w:color="005DA1"/>
          </w:rPr>
          <w:t>1457</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88384">
            <wp:simplePos x="0" y="0"/>
            <wp:positionH relativeFrom="page">
              <wp:posOffset>1257846</wp:posOffset>
            </wp:positionH>
            <wp:positionV relativeFrom="paragraph">
              <wp:posOffset>13064</wp:posOffset>
            </wp:positionV>
            <wp:extent cx="107988" cy="107988"/>
            <wp:effectExtent l="0" t="0" r="0" b="0"/>
            <wp:wrapNone/>
            <wp:docPr id="1316" name="Image 1316"/>
            <wp:cNvGraphicFramePr>
              <a:graphicFrameLocks/>
            </wp:cNvGraphicFramePr>
            <a:graphic>
              <a:graphicData uri="http://schemas.openxmlformats.org/drawingml/2006/picture">
                <pic:pic>
                  <pic:nvPicPr>
                    <pic:cNvPr id="1316" name="Image 131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[2007]</w:t>
      </w:r>
      <w:r>
        <w:rPr>
          <w:rFonts w:ascii="Arial" w:hAnsi="Arial"/>
          <w:i/>
          <w:spacing w:val="14"/>
        </w:rPr>
        <w:t> </w:t>
      </w:r>
      <w:r>
        <w:rPr>
          <w:rFonts w:ascii="Arial" w:hAnsi="Arial"/>
          <w:i/>
        </w:rPr>
        <w:t>UKHL</w:t>
      </w:r>
      <w:r>
        <w:rPr>
          <w:rFonts w:ascii="Arial" w:hAnsi="Arial"/>
          <w:i/>
          <w:spacing w:val="14"/>
        </w:rPr>
        <w:t> </w:t>
      </w:r>
      <w:r>
        <w:rPr>
          <w:rFonts w:ascii="Arial" w:hAnsi="Arial"/>
          <w:i/>
        </w:rPr>
        <w:t>34</w:t>
      </w:r>
      <w:r>
        <w:rPr>
          <w:rFonts w:ascii="Arial" w:hAnsi="Arial"/>
          <w:i/>
          <w:spacing w:val="13"/>
        </w:rPr>
        <w:t> </w:t>
      </w:r>
      <w:r>
        <w:rPr/>
        <w:t>at</w:t>
      </w:r>
      <w:r>
        <w:rPr>
          <w:spacing w:val="14"/>
        </w:rPr>
        <w:t> </w:t>
      </w:r>
      <w:r>
        <w:rPr/>
        <w:t>[16]–[17],</w:t>
      </w:r>
      <w:r>
        <w:rPr>
          <w:spacing w:val="14"/>
        </w:rPr>
        <w:t> </w:t>
      </w:r>
      <w:r>
        <w:rPr/>
        <w:t>[94].</w:t>
      </w:r>
      <w:r>
        <w:rPr>
          <w:spacing w:val="14"/>
        </w:rPr>
        <w:t> </w:t>
      </w:r>
      <w:r>
        <w:rPr/>
        <w:t>[100],</w:t>
      </w:r>
      <w:r>
        <w:rPr>
          <w:spacing w:val="14"/>
        </w:rPr>
        <w:t> </w:t>
      </w:r>
      <w:r>
        <w:rPr/>
        <w:t>[132]</w:t>
      </w:r>
      <w:r>
        <w:rPr>
          <w:spacing w:val="14"/>
        </w:rPr>
        <w:t> </w:t>
      </w:r>
      <w:r>
        <w:rPr/>
        <w:t>and</w:t>
      </w:r>
      <w:r>
        <w:rPr>
          <w:spacing w:val="14"/>
        </w:rPr>
        <w:t> </w:t>
      </w:r>
      <w:r>
        <w:rPr/>
        <w:t>[154].</w:t>
      </w:r>
      <w:r>
        <w:rPr>
          <w:spacing w:val="14"/>
        </w:rPr>
        <w:t> </w:t>
      </w:r>
      <w:r>
        <w:rPr/>
        <w:t>(Lord</w:t>
      </w:r>
      <w:r>
        <w:rPr>
          <w:spacing w:val="14"/>
        </w:rPr>
        <w:t> </w:t>
      </w:r>
      <w:r>
        <w:rPr/>
        <w:t>Mance</w:t>
      </w:r>
      <w:r>
        <w:rPr>
          <w:spacing w:val="14"/>
        </w:rPr>
        <w:t> </w:t>
      </w:r>
      <w:r>
        <w:rPr/>
        <w:t>rejected</w:t>
      </w:r>
      <w:r>
        <w:rPr>
          <w:spacing w:val="14"/>
        </w:rPr>
        <w:t> </w:t>
      </w:r>
      <w:r>
        <w:rPr/>
        <w:t>the</w:t>
      </w:r>
      <w:r>
        <w:rPr>
          <w:spacing w:val="14"/>
        </w:rPr>
        <w:t> </w:t>
      </w:r>
      <w:r>
        <w:rPr>
          <w:spacing w:val="-2"/>
        </w:rPr>
        <w:t>invitation</w:t>
      </w:r>
    </w:p>
    <w:p>
      <w:pPr>
        <w:spacing w:line="235" w:lineRule="auto" w:before="2"/>
        <w:ind w:left="705" w:right="167" w:firstLine="0"/>
        <w:jc w:val="both"/>
        <w:rPr>
          <w:sz w:val="20"/>
        </w:rPr>
      </w:pPr>
      <w:r>
        <w:rPr>
          <w:sz w:val="20"/>
        </w:rPr>
        <w:t>to revisit the common law rule.) In a fraud case, compound interest was refused when the claimants had merely pleaded that they had suffered loss and damage, without any </w:t>
      </w:r>
      <w:r>
        <w:rPr>
          <w:sz w:val="20"/>
        </w:rPr>
        <w:t>allegation</w:t>
      </w:r>
      <w:r>
        <w:rPr>
          <w:spacing w:val="40"/>
          <w:sz w:val="20"/>
        </w:rPr>
        <w:t> </w:t>
      </w:r>
      <w:r>
        <w:rPr>
          <w:sz w:val="20"/>
        </w:rPr>
        <w:t>of the use to which the monies paid away as a result of the fraud would have been put had</w:t>
      </w:r>
      <w:r>
        <w:rPr>
          <w:spacing w:val="40"/>
          <w:sz w:val="20"/>
        </w:rPr>
        <w:t> </w:t>
      </w:r>
      <w:r>
        <w:rPr>
          <w:sz w:val="20"/>
        </w:rPr>
        <w:t>there</w:t>
      </w:r>
      <w:r>
        <w:rPr>
          <w:spacing w:val="-2"/>
          <w:sz w:val="20"/>
        </w:rPr>
        <w:t> </w:t>
      </w:r>
      <w:r>
        <w:rPr>
          <w:sz w:val="20"/>
        </w:rPr>
        <w:t>been</w:t>
      </w:r>
      <w:r>
        <w:rPr>
          <w:spacing w:val="-2"/>
          <w:sz w:val="20"/>
        </w:rPr>
        <w:t> </w:t>
      </w:r>
      <w:r>
        <w:rPr>
          <w:sz w:val="20"/>
        </w:rPr>
        <w:t>no</w:t>
      </w:r>
      <w:r>
        <w:rPr>
          <w:spacing w:val="-2"/>
          <w:sz w:val="20"/>
        </w:rPr>
        <w:t> </w:t>
      </w:r>
      <w:r>
        <w:rPr>
          <w:sz w:val="20"/>
        </w:rPr>
        <w:t>fraud,</w:t>
      </w:r>
      <w:r>
        <w:rPr>
          <w:spacing w:val="-2"/>
          <w:sz w:val="20"/>
        </w:rPr>
        <w:t> </w:t>
      </w:r>
      <w:r>
        <w:rPr>
          <w:sz w:val="20"/>
        </w:rPr>
        <w:t>or</w:t>
      </w:r>
      <w:r>
        <w:rPr>
          <w:spacing w:val="-2"/>
          <w:sz w:val="20"/>
        </w:rPr>
        <w:t> </w:t>
      </w:r>
      <w:r>
        <w:rPr>
          <w:sz w:val="20"/>
        </w:rPr>
        <w:t>allegation</w:t>
      </w:r>
      <w:r>
        <w:rPr>
          <w:spacing w:val="-2"/>
          <w:sz w:val="20"/>
        </w:rPr>
        <w:t> </w:t>
      </w:r>
      <w:r>
        <w:rPr>
          <w:sz w:val="20"/>
        </w:rPr>
        <w:t>of</w:t>
      </w:r>
      <w:r>
        <w:rPr>
          <w:spacing w:val="-2"/>
          <w:sz w:val="20"/>
        </w:rPr>
        <w:t> </w:t>
      </w:r>
      <w:r>
        <w:rPr>
          <w:sz w:val="20"/>
        </w:rPr>
        <w:t>losses</w:t>
      </w:r>
      <w:r>
        <w:rPr>
          <w:spacing w:val="-2"/>
          <w:sz w:val="20"/>
        </w:rPr>
        <w:t> </w:t>
      </w:r>
      <w:r>
        <w:rPr>
          <w:sz w:val="20"/>
        </w:rPr>
        <w:t>the</w:t>
      </w:r>
      <w:r>
        <w:rPr>
          <w:spacing w:val="-2"/>
          <w:sz w:val="20"/>
        </w:rPr>
        <w:t> </w:t>
      </w:r>
      <w:r>
        <w:rPr>
          <w:sz w:val="20"/>
        </w:rPr>
        <w:t>claimants</w:t>
      </w:r>
      <w:r>
        <w:rPr>
          <w:spacing w:val="-2"/>
          <w:sz w:val="20"/>
        </w:rPr>
        <w:t> </w:t>
      </w:r>
      <w:r>
        <w:rPr>
          <w:sz w:val="20"/>
        </w:rPr>
        <w:t>had</w:t>
      </w:r>
      <w:r>
        <w:rPr>
          <w:spacing w:val="-2"/>
          <w:sz w:val="20"/>
        </w:rPr>
        <w:t> </w:t>
      </w:r>
      <w:r>
        <w:rPr>
          <w:sz w:val="20"/>
        </w:rPr>
        <w:t>suffered</w:t>
      </w:r>
      <w:r>
        <w:rPr>
          <w:spacing w:val="-2"/>
          <w:sz w:val="20"/>
        </w:rPr>
        <w:t> </w:t>
      </w:r>
      <w:r>
        <w:rPr>
          <w:sz w:val="20"/>
        </w:rPr>
        <w:t>in</w:t>
      </w:r>
      <w:r>
        <w:rPr>
          <w:spacing w:val="-2"/>
          <w:sz w:val="20"/>
        </w:rPr>
        <w:t> </w:t>
      </w:r>
      <w:r>
        <w:rPr>
          <w:sz w:val="20"/>
        </w:rPr>
        <w:t>addition</w:t>
      </w:r>
      <w:r>
        <w:rPr>
          <w:spacing w:val="-2"/>
          <w:sz w:val="20"/>
        </w:rPr>
        <w:t> </w:t>
      </w:r>
      <w:r>
        <w:rPr>
          <w:sz w:val="20"/>
        </w:rPr>
        <w:t>to</w:t>
      </w:r>
      <w:r>
        <w:rPr>
          <w:spacing w:val="-2"/>
          <w:sz w:val="20"/>
        </w:rPr>
        <w:t> </w:t>
      </w:r>
      <w:r>
        <w:rPr>
          <w:sz w:val="20"/>
        </w:rPr>
        <w:t>having</w:t>
      </w:r>
      <w:r>
        <w:rPr>
          <w:spacing w:val="-2"/>
          <w:sz w:val="20"/>
        </w:rPr>
        <w:t> </w:t>
      </w:r>
      <w:r>
        <w:rPr>
          <w:sz w:val="20"/>
        </w:rPr>
        <w:t>paid away the principal sums: </w:t>
      </w:r>
      <w:r>
        <w:rPr>
          <w:rFonts w:ascii="Arial" w:hAnsi="Arial"/>
          <w:i/>
          <w:sz w:val="20"/>
        </w:rPr>
        <w:t>JSC BTA Bank v Ablyazov [2013] EWHC 867 (Comm)</w:t>
      </w:r>
      <w:r>
        <w:rPr>
          <w:sz w:val="20"/>
        </w:rPr>
        <w:t>. The court awarded simple interest under its statutory discretion: see below, para.26-236. It has been held that “general evidence” that the claimant suffered loss from the delay will suffice: </w:t>
      </w:r>
      <w:r>
        <w:rPr>
          <w:rFonts w:ascii="Arial" w:hAnsi="Arial"/>
          <w:i/>
          <w:sz w:val="20"/>
        </w:rPr>
        <w:t>Equitas Ltd v Walsham Bros &amp; Co Ltd [2013] EWHC 3264 (Comm) </w:t>
      </w:r>
      <w:r>
        <w:rPr>
          <w:sz w:val="20"/>
        </w:rPr>
        <w:t>at [123], [2014] Lloyd’s Rep. I.R. 398; </w:t>
      </w:r>
      <w:r>
        <w:rPr>
          <w:rFonts w:ascii="Arial" w:hAnsi="Arial"/>
          <w:i/>
          <w:sz w:val="20"/>
        </w:rPr>
        <w:t>Sainsbury’s Supermarkets Ltd v Mastercard Inc [2016] CAT 11 </w:t>
      </w:r>
      <w:r>
        <w:rPr>
          <w:sz w:val="20"/>
        </w:rPr>
        <w:t>at [521].</w:t>
      </w:r>
    </w:p>
    <w:p>
      <w:pPr>
        <w:pStyle w:val="BodyText"/>
        <w:spacing w:before="2"/>
      </w:pPr>
    </w:p>
    <w:p>
      <w:pPr>
        <w:pStyle w:val="BodyText"/>
        <w:ind w:left="165"/>
      </w:pPr>
      <w:bookmarkStart w:name="_bookmark2782" w:id="2784"/>
      <w:bookmarkEnd w:id="2784"/>
      <w:r>
        <w:rPr/>
      </w:r>
      <w:hyperlink w:history="true" w:anchor="_bookmark2767">
        <w:r>
          <w:rPr>
            <w:color w:val="005DA1"/>
            <w:position w:val="5"/>
            <w:sz w:val="14"/>
            <w:u w:val="single" w:color="005DA1"/>
          </w:rPr>
          <w:t>1458</w:t>
        </w:r>
      </w:hyperlink>
      <w:r>
        <w:rPr>
          <w:position w:val="5"/>
          <w:sz w:val="14"/>
        </w:rPr>
        <w:t>.</w:t>
      </w:r>
      <w:r>
        <w:rPr>
          <w:spacing w:val="55"/>
          <w:position w:val="5"/>
          <w:sz w:val="14"/>
        </w:rPr>
        <w:t>  </w:t>
      </w:r>
      <w:r>
        <w:rPr/>
        <w:t>On</w:t>
      </w:r>
      <w:r>
        <w:rPr>
          <w:spacing w:val="1"/>
        </w:rPr>
        <w:t> </w:t>
      </w:r>
      <w:r>
        <w:rPr/>
        <w:t>the relevance of the impecuniosity of the claimant, see above, paras 26-083—26-</w:t>
      </w:r>
      <w:r>
        <w:rPr>
          <w:spacing w:val="-4"/>
        </w:rPr>
        <w:t>086.</w:t>
      </w:r>
    </w:p>
    <w:p>
      <w:pPr>
        <w:pStyle w:val="BodyText"/>
        <w:spacing w:before="5"/>
      </w:pPr>
    </w:p>
    <w:p>
      <w:pPr>
        <w:spacing w:line="227" w:lineRule="exact" w:before="1"/>
        <w:ind w:left="0" w:right="2" w:firstLine="0"/>
        <w:jc w:val="center"/>
        <w:rPr>
          <w:rFonts w:ascii="Arial"/>
          <w:i/>
          <w:sz w:val="20"/>
        </w:rPr>
      </w:pPr>
      <w:bookmarkStart w:name="_bookmark2783" w:id="2785"/>
      <w:bookmarkEnd w:id="2785"/>
      <w:r>
        <w:rPr/>
      </w:r>
      <w:hyperlink w:history="true" w:anchor="_bookmark2768">
        <w:r>
          <w:rPr>
            <w:color w:val="005DA1"/>
            <w:position w:val="5"/>
            <w:sz w:val="14"/>
            <w:u w:val="single" w:color="005DA1"/>
          </w:rPr>
          <w:t>1459</w:t>
        </w:r>
      </w:hyperlink>
      <w:r>
        <w:rPr>
          <w:position w:val="5"/>
          <w:sz w:val="14"/>
        </w:rPr>
        <w:t>.</w:t>
      </w:r>
      <w:r>
        <w:rPr>
          <w:spacing w:val="55"/>
          <w:position w:val="5"/>
          <w:sz w:val="14"/>
        </w:rPr>
        <w:t>  </w:t>
      </w:r>
      <w:r>
        <w:rPr>
          <w:rFonts w:ascii="Arial"/>
          <w:i/>
          <w:sz w:val="20"/>
        </w:rPr>
        <w:t>Transfield</w:t>
      </w:r>
      <w:r>
        <w:rPr>
          <w:rFonts w:ascii="Arial"/>
          <w:i/>
          <w:spacing w:val="10"/>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v</w:t>
      </w:r>
      <w:r>
        <w:rPr>
          <w:rFonts w:ascii="Arial"/>
          <w:i/>
          <w:spacing w:val="9"/>
          <w:sz w:val="20"/>
        </w:rPr>
        <w:t> </w:t>
      </w:r>
      <w:r>
        <w:rPr>
          <w:rFonts w:ascii="Arial"/>
          <w:i/>
          <w:sz w:val="20"/>
        </w:rPr>
        <w:t>Mercator</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(The</w:t>
      </w:r>
      <w:r>
        <w:rPr>
          <w:rFonts w:ascii="Arial"/>
          <w:i/>
          <w:spacing w:val="9"/>
          <w:sz w:val="20"/>
        </w:rPr>
        <w:t> </w:t>
      </w:r>
      <w:r>
        <w:rPr>
          <w:rFonts w:ascii="Arial"/>
          <w:i/>
          <w:sz w:val="20"/>
        </w:rPr>
        <w:t>Achilleas)</w:t>
      </w:r>
      <w:r>
        <w:rPr>
          <w:rFonts w:ascii="Arial"/>
          <w:i/>
          <w:spacing w:val="9"/>
          <w:sz w:val="20"/>
        </w:rPr>
        <w:t> </w:t>
      </w:r>
      <w:r>
        <w:rPr>
          <w:rFonts w:ascii="Arial"/>
          <w:i/>
          <w:sz w:val="20"/>
        </w:rPr>
        <w:t>[2008]</w:t>
      </w:r>
      <w:r>
        <w:rPr>
          <w:rFonts w:ascii="Arial"/>
          <w:i/>
          <w:spacing w:val="9"/>
          <w:sz w:val="20"/>
        </w:rPr>
        <w:t> </w:t>
      </w:r>
      <w:r>
        <w:rPr>
          <w:rFonts w:ascii="Arial"/>
          <w:i/>
          <w:sz w:val="20"/>
        </w:rPr>
        <w:t>UKHL</w:t>
      </w:r>
      <w:r>
        <w:rPr>
          <w:rFonts w:ascii="Arial"/>
          <w:i/>
          <w:spacing w:val="9"/>
          <w:sz w:val="20"/>
        </w:rPr>
        <w:t> </w:t>
      </w:r>
      <w:r>
        <w:rPr>
          <w:rFonts w:ascii="Arial"/>
          <w:i/>
          <w:sz w:val="20"/>
        </w:rPr>
        <w:t>48,</w:t>
      </w:r>
      <w:r>
        <w:rPr>
          <w:rFonts w:ascii="Arial"/>
          <w:i/>
          <w:spacing w:val="9"/>
          <w:sz w:val="20"/>
        </w:rPr>
        <w:t> </w:t>
      </w:r>
      <w:r>
        <w:rPr>
          <w:rFonts w:ascii="Arial"/>
          <w:i/>
          <w:sz w:val="20"/>
        </w:rPr>
        <w:t>[2009]</w:t>
      </w:r>
      <w:r>
        <w:rPr>
          <w:rFonts w:ascii="Arial"/>
          <w:i/>
          <w:spacing w:val="9"/>
          <w:sz w:val="20"/>
        </w:rPr>
        <w:t> </w:t>
      </w:r>
      <w:r>
        <w:rPr>
          <w:rFonts w:ascii="Arial"/>
          <w:i/>
          <w:sz w:val="20"/>
        </w:rPr>
        <w:t>1</w:t>
      </w:r>
      <w:r>
        <w:rPr>
          <w:rFonts w:ascii="Arial"/>
          <w:i/>
          <w:spacing w:val="9"/>
          <w:sz w:val="20"/>
        </w:rPr>
        <w:t> </w:t>
      </w:r>
      <w:r>
        <w:rPr>
          <w:rFonts w:ascii="Arial"/>
          <w:i/>
          <w:spacing w:val="-4"/>
          <w:sz w:val="20"/>
        </w:rPr>
        <w:t>A.C.</w:t>
      </w:r>
    </w:p>
    <w:p>
      <w:pPr>
        <w:pStyle w:val="BodyText"/>
        <w:spacing w:line="227" w:lineRule="exact"/>
        <w:ind w:left="705"/>
      </w:pPr>
      <w:r>
        <w:rPr>
          <w:rFonts w:ascii="Arial"/>
          <w:i/>
        </w:rPr>
        <w:t>61</w:t>
      </w:r>
      <w:r>
        <w:rPr/>
        <w:t>.</w:t>
      </w:r>
      <w:r>
        <w:rPr>
          <w:spacing w:val="-1"/>
        </w:rPr>
        <w:t> </w:t>
      </w:r>
      <w:r>
        <w:rPr/>
        <w:t>See above, paras 26-126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3578" w:val="left" w:leader="none"/>
        </w:tabs>
        <w:spacing w:line="240" w:lineRule="auto" w:before="194" w:after="0"/>
        <w:ind w:left="3578" w:right="0" w:hanging="360"/>
        <w:jc w:val="left"/>
        <w:rPr>
          <w:b/>
          <w:sz w:val="24"/>
        </w:rPr>
      </w:pPr>
      <w:r>
        <w:rPr>
          <w:b/>
          <w:sz w:val="24"/>
        </w:rPr>
        <w:t>- Admiralty and </w:t>
      </w:r>
      <w:r>
        <w:rPr>
          <w:b/>
          <w:spacing w:val="-2"/>
          <w:sz w:val="24"/>
        </w:rPr>
        <w:t>Equity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Admiralty—equity </w:t>
      </w:r>
      <w:r>
        <w:rPr>
          <w:rFonts w:ascii="Arial" w:hAnsi="Arial"/>
          <w:b/>
          <w:spacing w:val="-2"/>
          <w:sz w:val="18"/>
        </w:rPr>
        <w:t>jurisdiction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231</w:t>
      </w:r>
    </w:p>
    <w:p>
      <w:pPr>
        <w:pStyle w:val="BodyText"/>
        <w:spacing w:line="235" w:lineRule="auto" w:before="202"/>
        <w:ind w:left="164"/>
      </w:pPr>
      <w:bookmarkStart w:name="_bookmark2784" w:id="2786"/>
      <w:bookmarkEnd w:id="2786"/>
      <w:r>
        <w:rPr/>
      </w:r>
      <w:r>
        <w:rPr/>
        <w:t>In</w:t>
      </w:r>
      <w:r>
        <w:rPr>
          <w:spacing w:val="28"/>
        </w:rPr>
        <w:t> </w:t>
      </w:r>
      <w:r>
        <w:rPr/>
        <w:t>some</w:t>
      </w:r>
      <w:r>
        <w:rPr>
          <w:spacing w:val="28"/>
        </w:rPr>
        <w:t> </w:t>
      </w:r>
      <w:r>
        <w:rPr/>
        <w:t>jurisdictions</w:t>
      </w:r>
      <w:r>
        <w:rPr>
          <w:spacing w:val="28"/>
        </w:rPr>
        <w:t> </w:t>
      </w:r>
      <w:r>
        <w:rPr/>
        <w:t>outside</w:t>
      </w:r>
      <w:r>
        <w:rPr>
          <w:spacing w:val="28"/>
        </w:rPr>
        <w:t> </w:t>
      </w:r>
      <w:r>
        <w:rPr/>
        <w:t>the</w:t>
      </w:r>
      <w:r>
        <w:rPr>
          <w:spacing w:val="28"/>
        </w:rPr>
        <w:t> </w:t>
      </w:r>
      <w:r>
        <w:rPr/>
        <w:t>common</w:t>
      </w:r>
      <w:r>
        <w:rPr>
          <w:spacing w:val="28"/>
        </w:rPr>
        <w:t> </w:t>
      </w:r>
      <w:r>
        <w:rPr/>
        <w:t>law,</w:t>
      </w:r>
      <w:r>
        <w:rPr>
          <w:spacing w:val="28"/>
        </w:rPr>
        <w:t> </w:t>
      </w:r>
      <w:r>
        <w:rPr/>
        <w:t>interest</w:t>
      </w:r>
      <w:r>
        <w:rPr>
          <w:spacing w:val="28"/>
        </w:rPr>
        <w:t> </w:t>
      </w:r>
      <w:r>
        <w:rPr/>
        <w:t>could</w:t>
      </w:r>
      <w:r>
        <w:rPr>
          <w:spacing w:val="28"/>
        </w:rPr>
        <w:t> </w:t>
      </w:r>
      <w:r>
        <w:rPr/>
        <w:t>be</w:t>
      </w:r>
      <w:r>
        <w:rPr>
          <w:spacing w:val="28"/>
        </w:rPr>
        <w:t> </w:t>
      </w:r>
      <w:r>
        <w:rPr/>
        <w:t>awarded</w:t>
      </w:r>
      <w:r>
        <w:rPr>
          <w:spacing w:val="28"/>
        </w:rPr>
        <w:t> </w:t>
      </w:r>
      <w:r>
        <w:rPr/>
        <w:t>by</w:t>
      </w:r>
      <w:r>
        <w:rPr>
          <w:spacing w:val="28"/>
        </w:rPr>
        <w:t> </w:t>
      </w:r>
      <w:r>
        <w:rPr/>
        <w:t>the</w:t>
      </w:r>
      <w:r>
        <w:rPr>
          <w:spacing w:val="28"/>
        </w:rPr>
        <w:t> </w:t>
      </w:r>
      <w:r>
        <w:rPr/>
        <w:t>court,</w:t>
      </w:r>
      <w:r>
        <w:rPr>
          <w:spacing w:val="28"/>
        </w:rPr>
        <w:t> </w:t>
      </w:r>
      <w:r>
        <w:rPr/>
        <w:t>e.g.</w:t>
      </w:r>
      <w:r>
        <w:rPr>
          <w:spacing w:val="28"/>
        </w:rPr>
        <w:t> </w:t>
      </w:r>
      <w:r>
        <w:rPr/>
        <w:t>in</w:t>
      </w:r>
      <w:r>
        <w:rPr>
          <w:spacing w:val="28"/>
        </w:rPr>
        <w:t> </w:t>
      </w:r>
      <w:r>
        <w:rPr/>
        <w:t>the Admiralty Court on a salvage award, </w:t>
      </w:r>
      <w:r>
        <w:rPr>
          <w:color w:val="005DA1"/>
          <w:u w:val="single" w:color="005DA1"/>
          <w:vertAlign w:val="superscript"/>
        </w:rPr>
        <w:t>1460</w:t>
      </w:r>
      <w:r>
        <w:rPr>
          <w:color w:val="005DA1"/>
          <w:vertAlign w:val="baseline"/>
        </w:rPr>
        <w:t> </w:t>
      </w:r>
      <w:r>
        <w:rPr>
          <w:vertAlign w:val="baseline"/>
        </w:rPr>
        <w:t>or in the equitable jurisdiction of the Chancery Court. </w:t>
      </w:r>
      <w:r>
        <w:rPr>
          <w:color w:val="005DA1"/>
          <w:u w:val="single" w:color="005DA1"/>
          <w:vertAlign w:val="superscript"/>
        </w:rPr>
        <w:t>1461</w:t>
      </w:r>
    </w:p>
    <w:p>
      <w:pPr>
        <w:pStyle w:val="BodyText"/>
      </w:pPr>
    </w:p>
    <w:p>
      <w:pPr>
        <w:pStyle w:val="BodyText"/>
        <w:spacing w:before="39"/>
      </w:pPr>
      <w:r>
        <w:rPr/>
        <mc:AlternateContent>
          <mc:Choice Requires="wps">
            <w:drawing>
              <wp:anchor distT="0" distB="0" distL="0" distR="0" allowOverlap="1" layoutInCell="1" locked="0" behindDoc="1" simplePos="0" relativeHeight="487748096">
                <wp:simplePos x="0" y="0"/>
                <wp:positionH relativeFrom="page">
                  <wp:posOffset>914400</wp:posOffset>
                </wp:positionH>
                <wp:positionV relativeFrom="paragraph">
                  <wp:posOffset>186480</wp:posOffset>
                </wp:positionV>
                <wp:extent cx="5724525" cy="1270"/>
                <wp:effectExtent l="0" t="0" r="0" b="0"/>
                <wp:wrapTopAndBottom/>
                <wp:docPr id="1318" name="Graphic 1318"/>
                <wp:cNvGraphicFramePr>
                  <a:graphicFrameLocks/>
                </wp:cNvGraphicFramePr>
                <a:graphic>
                  <a:graphicData uri="http://schemas.microsoft.com/office/word/2010/wordprocessingShape">
                    <wps:wsp>
                      <wps:cNvPr id="1318" name="Graphic 131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3484pt;width:450.75pt;height:.1pt;mso-position-horizontal-relative:page;mso-position-vertical-relative:paragraph;z-index:-15568384;mso-wrap-distance-left:0;mso-wrap-distance-right:0" id="docshape126"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pStyle w:val="BodyText"/>
        <w:ind w:left="165"/>
      </w:pP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5"/>
      </w:pPr>
    </w:p>
    <w:p>
      <w:pPr>
        <w:spacing w:before="0"/>
        <w:ind w:left="165" w:right="0" w:firstLine="0"/>
        <w:jc w:val="left"/>
        <w:rPr>
          <w:sz w:val="20"/>
        </w:rPr>
      </w:pPr>
      <w:bookmarkStart w:name="_bookmark2785" w:id="2787"/>
      <w:bookmarkEnd w:id="2787"/>
      <w:r>
        <w:rPr/>
      </w:r>
      <w:hyperlink w:history="true" w:anchor="_bookmark2784">
        <w:r>
          <w:rPr>
            <w:color w:val="005DA1"/>
            <w:position w:val="5"/>
            <w:sz w:val="14"/>
            <w:u w:val="single" w:color="005DA1"/>
          </w:rPr>
          <w:t>1460</w:t>
        </w:r>
      </w:hyperlink>
      <w:r>
        <w:rPr>
          <w:position w:val="5"/>
          <w:sz w:val="14"/>
        </w:rPr>
        <w:t>.</w:t>
      </w:r>
      <w:r>
        <w:rPr>
          <w:spacing w:val="55"/>
          <w:position w:val="5"/>
          <w:sz w:val="14"/>
        </w:rPr>
        <w:t>  </w:t>
      </w:r>
      <w:r>
        <w:rPr>
          <w:rFonts w:ascii="Arial" w:hAnsi="Arial"/>
          <w:i/>
          <w:sz w:val="20"/>
        </w:rPr>
        <w:t>The</w:t>
      </w:r>
      <w:r>
        <w:rPr>
          <w:rFonts w:ascii="Arial" w:hAnsi="Arial"/>
          <w:i/>
          <w:spacing w:val="1"/>
          <w:sz w:val="20"/>
        </w:rPr>
        <w:t> </w:t>
      </w:r>
      <w:r>
        <w:rPr>
          <w:rFonts w:ascii="Arial" w:hAnsi="Arial"/>
          <w:i/>
          <w:sz w:val="20"/>
        </w:rPr>
        <w:t>Aldora [1975] Q.B. 748</w:t>
      </w:r>
      <w:r>
        <w:rPr>
          <w:sz w:val="20"/>
        </w:rPr>
        <w:t>;</w:t>
      </w:r>
      <w:r>
        <w:rPr>
          <w:spacing w:val="-1"/>
          <w:sz w:val="20"/>
        </w:rPr>
        <w:t> </w:t>
      </w:r>
      <w:r>
        <w:rPr>
          <w:rFonts w:ascii="Arial" w:hAnsi="Arial"/>
          <w:i/>
          <w:sz w:val="20"/>
        </w:rPr>
        <w:t>The Rilland [1979] 1 Lloyd’s Rep. </w:t>
      </w:r>
      <w:r>
        <w:rPr>
          <w:rFonts w:ascii="Arial" w:hAnsi="Arial"/>
          <w:i/>
          <w:spacing w:val="-4"/>
          <w:sz w:val="20"/>
        </w:rPr>
        <w:t>455</w:t>
      </w:r>
      <w:r>
        <w:rPr>
          <w:spacing w:val="-4"/>
          <w:sz w:val="20"/>
        </w:rPr>
        <w:t>.</w:t>
      </w:r>
    </w:p>
    <w:p>
      <w:pPr>
        <w:pStyle w:val="BodyText"/>
        <w:spacing w:before="9"/>
      </w:pPr>
    </w:p>
    <w:p>
      <w:pPr>
        <w:spacing w:line="235" w:lineRule="auto" w:before="0"/>
        <w:ind w:left="705" w:right="167" w:hanging="541"/>
        <w:jc w:val="both"/>
        <w:rPr>
          <w:sz w:val="20"/>
        </w:rPr>
      </w:pPr>
      <w:bookmarkStart w:name="_bookmark2786" w:id="2788"/>
      <w:bookmarkEnd w:id="2788"/>
      <w:r>
        <w:rPr/>
      </w:r>
      <w:hyperlink w:history="true" w:anchor="_bookmark2784">
        <w:r>
          <w:rPr>
            <w:color w:val="005DA1"/>
            <w:position w:val="5"/>
            <w:sz w:val="14"/>
            <w:u w:val="single" w:color="005DA1"/>
          </w:rPr>
          <w:t>1461</w:t>
        </w:r>
      </w:hyperlink>
      <w:r>
        <w:rPr>
          <w:position w:val="5"/>
          <w:sz w:val="14"/>
        </w:rPr>
        <w:t>.</w:t>
      </w:r>
      <w:r>
        <w:rPr>
          <w:spacing w:val="80"/>
          <w:position w:val="5"/>
          <w:sz w:val="14"/>
        </w:rPr>
        <w:t> </w:t>
      </w:r>
      <w:r>
        <w:rPr>
          <w:rFonts w:ascii="Arial" w:hAnsi="Arial"/>
          <w:i/>
          <w:sz w:val="20"/>
        </w:rPr>
        <w:t>Wallersteiner v Moir (No.2) [1975] Q.B. 373, 388, 406</w:t>
      </w:r>
      <w:r>
        <w:rPr>
          <w:sz w:val="20"/>
        </w:rPr>
        <w:t>; </w:t>
      </w:r>
      <w:r>
        <w:rPr>
          <w:rFonts w:ascii="Arial" w:hAnsi="Arial"/>
          <w:i/>
          <w:sz w:val="20"/>
        </w:rPr>
        <w:t>O’Sullivan v Management Agency </w:t>
      </w:r>
      <w:r>
        <w:rPr>
          <w:rFonts w:ascii="Arial" w:hAnsi="Arial"/>
          <w:i/>
          <w:sz w:val="20"/>
        </w:rPr>
        <w:t>and Music</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[1985]</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428</w:t>
      </w:r>
      <w:r>
        <w:rPr>
          <w:rFonts w:ascii="Arial" w:hAnsi="Arial"/>
          <w:i/>
          <w:spacing w:val="-1"/>
          <w:sz w:val="20"/>
        </w:rPr>
        <w:t> </w:t>
      </w:r>
      <w:r>
        <w:rPr>
          <w:sz w:val="20"/>
        </w:rPr>
        <w:t>(fiduciary</w:t>
      </w:r>
      <w:r>
        <w:rPr>
          <w:spacing w:val="-1"/>
          <w:sz w:val="20"/>
        </w:rPr>
        <w:t> </w:t>
      </w:r>
      <w:r>
        <w:rPr>
          <w:sz w:val="20"/>
        </w:rPr>
        <w:t>relationship).</w:t>
      </w:r>
      <w:r>
        <w:rPr>
          <w:spacing w:val="-1"/>
          <w:sz w:val="20"/>
        </w:rPr>
        <w:t> </w:t>
      </w:r>
      <w:r>
        <w:rPr>
          <w:sz w:val="20"/>
        </w:rPr>
        <w:t>The</w:t>
      </w:r>
      <w:r>
        <w:rPr>
          <w:spacing w:val="-1"/>
          <w:sz w:val="20"/>
        </w:rPr>
        <w:t> </w:t>
      </w:r>
      <w:r>
        <w:rPr>
          <w:sz w:val="20"/>
        </w:rPr>
        <w:t>award</w:t>
      </w:r>
      <w:r>
        <w:rPr>
          <w:spacing w:val="-1"/>
          <w:sz w:val="20"/>
        </w:rPr>
        <w:t> </w:t>
      </w:r>
      <w:r>
        <w:rPr>
          <w:sz w:val="20"/>
        </w:rPr>
        <w:t>of</w:t>
      </w:r>
      <w:r>
        <w:rPr>
          <w:spacing w:val="-1"/>
          <w:sz w:val="20"/>
        </w:rPr>
        <w:t> </w:t>
      </w:r>
      <w:r>
        <w:rPr>
          <w:sz w:val="20"/>
        </w:rPr>
        <w:t>interest</w:t>
      </w:r>
      <w:r>
        <w:rPr>
          <w:spacing w:val="-1"/>
          <w:sz w:val="20"/>
        </w:rPr>
        <w:t> </w:t>
      </w:r>
      <w:r>
        <w:rPr>
          <w:sz w:val="20"/>
        </w:rPr>
        <w:t>in</w:t>
      </w:r>
      <w:r>
        <w:rPr>
          <w:spacing w:val="-1"/>
          <w:sz w:val="20"/>
        </w:rPr>
        <w:t> </w:t>
      </w:r>
      <w:r>
        <w:rPr>
          <w:sz w:val="20"/>
        </w:rPr>
        <w:t>equity</w:t>
      </w:r>
      <w:r>
        <w:rPr>
          <w:spacing w:val="-1"/>
          <w:sz w:val="20"/>
        </w:rPr>
        <w:t> </w:t>
      </w:r>
      <w:r>
        <w:rPr>
          <w:sz w:val="20"/>
        </w:rPr>
        <w:t>was</w:t>
      </w:r>
      <w:r>
        <w:rPr>
          <w:spacing w:val="-1"/>
          <w:sz w:val="20"/>
        </w:rPr>
        <w:t> </w:t>
      </w:r>
      <w:r>
        <w:rPr>
          <w:sz w:val="20"/>
        </w:rPr>
        <w:t>examined (especially in relation to compound interest) in </w:t>
      </w:r>
      <w:r>
        <w:rPr>
          <w:rFonts w:ascii="Arial" w:hAnsi="Arial"/>
          <w:i/>
          <w:sz w:val="20"/>
        </w:rPr>
        <w:t>Westdeutsche Landesbank Girozentrale v Islington LBC [1996] A.C. 669 </w:t>
      </w:r>
      <w:r>
        <w:rPr>
          <w:sz w:val="20"/>
        </w:rPr>
        <w:t>(below, para.26-236 n.1232) and in the </w:t>
      </w:r>
      <w:r>
        <w:rPr>
          <w:rFonts w:ascii="Arial" w:hAnsi="Arial"/>
          <w:i/>
          <w:sz w:val="20"/>
        </w:rPr>
        <w:t>Sempra Metals case [2007] UKHL 34</w:t>
      </w:r>
      <w:r>
        <w:rPr>
          <w:sz w:val="20"/>
        </w:rPr>
        <w:t>.</w:t>
      </w:r>
    </w:p>
    <w:p>
      <w:pPr>
        <w:pStyle w:val="BodyText"/>
        <w:spacing w:before="191"/>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67"/>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3238" w:val="left" w:leader="none"/>
        </w:tabs>
        <w:spacing w:line="240" w:lineRule="auto" w:before="194" w:after="0"/>
        <w:ind w:left="3238" w:right="0" w:hanging="373"/>
        <w:jc w:val="left"/>
        <w:rPr>
          <w:b/>
          <w:sz w:val="24"/>
        </w:rPr>
      </w:pPr>
      <w:r>
        <w:rPr>
          <w:b/>
          <w:sz w:val="24"/>
        </w:rPr>
        <w:t>- Statutory Rights to </w:t>
      </w:r>
      <w:r>
        <w:rPr>
          <w:b/>
          <w:spacing w:val="-2"/>
          <w:sz w:val="24"/>
        </w:rPr>
        <w:t>Interest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Interest on commercial </w:t>
      </w:r>
      <w:r>
        <w:rPr>
          <w:rFonts w:ascii="Arial"/>
          <w:b/>
          <w:spacing w:val="-2"/>
          <w:sz w:val="18"/>
        </w:rPr>
        <w:t>debts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232</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319" name="Image 1319"/>
            <wp:cNvGraphicFramePr>
              <a:graphicFrameLocks/>
            </wp:cNvGraphicFramePr>
            <a:graphic>
              <a:graphicData uri="http://schemas.openxmlformats.org/drawingml/2006/picture">
                <pic:pic>
                  <pic:nvPicPr>
                    <pic:cNvPr id="1319" name="Image 131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3"/>
        </w:rPr>
        <w:t> </w:t>
      </w:r>
      <w:bookmarkStart w:name="_bookmark2787" w:id="2789"/>
      <w:bookmarkEnd w:id="2789"/>
      <w:r>
        <w:rPr>
          <w:rFonts w:ascii="Times New Roman" w:hAnsi="Times New Roman"/>
          <w:spacing w:val="23"/>
        </w:rPr>
      </w:r>
      <w:r>
        <w:rPr/>
        <w:t>Interest</w:t>
      </w:r>
      <w:r>
        <w:rPr>
          <w:spacing w:val="18"/>
        </w:rPr>
        <w:t> </w:t>
      </w:r>
      <w:r>
        <w:rPr/>
        <w:t>is</w:t>
      </w:r>
      <w:r>
        <w:rPr>
          <w:spacing w:val="18"/>
        </w:rPr>
        <w:t> </w:t>
      </w:r>
      <w:r>
        <w:rPr/>
        <w:t>payable</w:t>
      </w:r>
      <w:r>
        <w:rPr>
          <w:spacing w:val="18"/>
        </w:rPr>
        <w:t> </w:t>
      </w:r>
      <w:r>
        <w:rPr/>
        <w:t>on</w:t>
      </w:r>
      <w:r>
        <w:rPr>
          <w:spacing w:val="18"/>
        </w:rPr>
        <w:t> </w:t>
      </w:r>
      <w:r>
        <w:rPr/>
        <w:t>certain</w:t>
      </w:r>
      <w:r>
        <w:rPr>
          <w:spacing w:val="18"/>
        </w:rPr>
        <w:t> </w:t>
      </w:r>
      <w:r>
        <w:rPr/>
        <w:t>debts</w:t>
      </w:r>
      <w:r>
        <w:rPr>
          <w:spacing w:val="18"/>
        </w:rPr>
        <w:t> </w:t>
      </w:r>
      <w:r>
        <w:rPr/>
        <w:t>“created</w:t>
      </w:r>
      <w:r>
        <w:rPr>
          <w:spacing w:val="18"/>
        </w:rPr>
        <w:t> </w:t>
      </w:r>
      <w:r>
        <w:rPr/>
        <w:t>by</w:t>
      </w:r>
      <w:r>
        <w:rPr>
          <w:spacing w:val="18"/>
        </w:rPr>
        <w:t> </w:t>
      </w:r>
      <w:r>
        <w:rPr/>
        <w:t>virtue</w:t>
      </w:r>
      <w:r>
        <w:rPr>
          <w:spacing w:val="18"/>
        </w:rPr>
        <w:t> </w:t>
      </w:r>
      <w:r>
        <w:rPr/>
        <w:t>of</w:t>
      </w:r>
      <w:r>
        <w:rPr>
          <w:spacing w:val="18"/>
        </w:rPr>
        <w:t> </w:t>
      </w:r>
      <w:r>
        <w:rPr/>
        <w:t>an</w:t>
      </w:r>
      <w:r>
        <w:rPr>
          <w:spacing w:val="18"/>
        </w:rPr>
        <w:t> </w:t>
      </w:r>
      <w:r>
        <w:rPr/>
        <w:t>obligation</w:t>
      </w:r>
      <w:r>
        <w:rPr>
          <w:spacing w:val="18"/>
        </w:rPr>
        <w:t> </w:t>
      </w:r>
      <w:r>
        <w:rPr/>
        <w:t>under</w:t>
      </w:r>
      <w:r>
        <w:rPr>
          <w:spacing w:val="18"/>
        </w:rPr>
        <w:t> </w:t>
      </w:r>
      <w:r>
        <w:rPr/>
        <w:t>a</w:t>
      </w:r>
      <w:r>
        <w:rPr>
          <w:spacing w:val="18"/>
        </w:rPr>
        <w:t> </w:t>
      </w:r>
      <w:r>
        <w:rPr/>
        <w:t>contract</w:t>
      </w:r>
      <w:r>
        <w:rPr>
          <w:spacing w:val="18"/>
        </w:rPr>
        <w:t> </w:t>
      </w:r>
      <w:r>
        <w:rPr/>
        <w:t>…</w:t>
      </w:r>
      <w:r>
        <w:rPr>
          <w:spacing w:val="18"/>
        </w:rPr>
        <w:t> </w:t>
      </w:r>
      <w:r>
        <w:rPr/>
        <w:t>to</w:t>
      </w:r>
      <w:r>
        <w:rPr>
          <w:spacing w:val="18"/>
        </w:rPr>
        <w:t> </w:t>
      </w:r>
      <w:r>
        <w:rPr/>
        <w:t>pay</w:t>
      </w:r>
    </w:p>
    <w:p>
      <w:pPr>
        <w:pStyle w:val="BodyText"/>
        <w:spacing w:line="235" w:lineRule="auto" w:before="118"/>
        <w:ind w:left="164" w:right="167"/>
        <w:jc w:val="both"/>
      </w:pPr>
      <w:r>
        <w:rPr/>
        <w:t>the whole or any part of the contract price” </w:t>
      </w:r>
      <w:hyperlink w:history="true" w:anchor="_bookmark2806">
        <w:r>
          <w:rPr>
            <w:color w:val="005DA1"/>
            <w:u w:val="single" w:color="005DA1"/>
            <w:vertAlign w:val="superscript"/>
          </w:rPr>
          <w:t>1462</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320" name="Image 1320"/>
              <wp:cNvGraphicFramePr>
                <a:graphicFrameLocks/>
              </wp:cNvGraphicFramePr>
              <a:graphic>
                <a:graphicData uri="http://schemas.openxmlformats.org/drawingml/2006/picture">
                  <pic:pic>
                    <pic:nvPicPr>
                      <pic:cNvPr id="1320" name="Image 13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7"/>
            <w:vertAlign w:val="baseline"/>
          </w:rPr>
          <w:t> </w:t>
        </w:r>
        <w:r>
          <w:rPr>
            <w:vertAlign w:val="baseline"/>
          </w:rPr>
          <w:t>under a term implied into contracts by the Late </w:t>
        </w:r>
        <w:bookmarkStart w:name="_bookmark2788" w:id="2790"/>
        <w:bookmarkEnd w:id="2790"/>
        <w:r>
          <w:rPr>
            <w:vertAlign w:val="baseline"/>
          </w:rPr>
          <w:t>Payment</w:t>
        </w:r>
        <w:r>
          <w:rPr>
            <w:vertAlign w:val="baseline"/>
          </w:rPr>
          <w:t> of Commercial Debts (Interest) Act 1998. The Act applies to “a contract for the supply of </w:t>
        </w:r>
        <w:bookmarkStart w:name="_bookmark2789" w:id="2791"/>
        <w:bookmarkEnd w:id="2791"/>
        <w:r>
          <w:rPr>
            <w:vertAlign w:val="baseline"/>
          </w:rPr>
          <w:t>goods</w:t>
        </w:r>
        <w:r>
          <w:rPr>
            <w:vertAlign w:val="baseline"/>
          </w:rPr>
          <w:t> or services” </w:t>
        </w:r>
        <w:r>
          <w:rPr>
            <w:color w:val="005DA1"/>
            <w:u w:val="single" w:color="005DA1"/>
            <w:vertAlign w:val="superscript"/>
          </w:rPr>
          <w:t>1463</w:t>
        </w:r>
        <w:r>
          <w:rPr>
            <w:color w:val="005DA1"/>
            <w:vertAlign w:val="baseline"/>
          </w:rPr>
          <w:t> </w:t>
        </w:r>
        <w:r>
          <w:rPr>
            <w:vertAlign w:val="baseline"/>
          </w:rPr>
          <w:t>where both parties are acting in the course of a business. </w:t>
        </w:r>
        <w:r>
          <w:rPr>
            <w:color w:val="005DA1"/>
            <w:u w:val="single" w:color="005DA1"/>
            <w:vertAlign w:val="superscript"/>
          </w:rPr>
          <w:t>1464</w:t>
        </w:r>
        <w:r>
          <w:rPr>
            <w:color w:val="005DA1"/>
            <w:vertAlign w:val="baseline"/>
          </w:rPr>
          <w:t> </w:t>
        </w:r>
        <w:r>
          <w:rPr>
            <w:vertAlign w:val="baseline"/>
          </w:rPr>
          <w:t>It is an implied </w:t>
        </w:r>
        <w:r>
          <w:rPr>
            <w:color w:val="005DA1"/>
            <w:u w:val="single" w:color="005DA1"/>
            <w:vertAlign w:val="superscript"/>
          </w:rPr>
          <w:t>1465</w:t>
        </w:r>
        <w:r>
          <w:rPr>
            <w:color w:val="005DA1"/>
            <w:vertAlign w:val="baseline"/>
          </w:rPr>
          <w:t> </w:t>
        </w:r>
        <w:bookmarkStart w:name="_bookmark2790" w:id="2792"/>
        <w:bookmarkEnd w:id="2792"/>
        <w:r>
          <w:rPr>
            <w:color w:val="005DA1"/>
            <w:spacing w:val="-24"/>
            <w:vertAlign w:val="baseline"/>
          </w:rPr>
        </w:r>
        <w:r>
          <w:rPr>
            <w:vertAlign w:val="baseline"/>
          </w:rPr>
          <w:t>term in any such contract that any “qualifying debt” </w:t>
        </w:r>
        <w:r>
          <w:rPr>
            <w:color w:val="005DA1"/>
            <w:u w:val="single" w:color="005DA1"/>
            <w:vertAlign w:val="superscript"/>
          </w:rPr>
          <w:t>1466</w:t>
        </w:r>
        <w:r>
          <w:rPr>
            <w:color w:val="005DA1"/>
            <w:vertAlign w:val="baseline"/>
          </w:rPr>
          <w:t> </w:t>
        </w:r>
        <w:r>
          <w:rPr>
            <w:vertAlign w:val="baseline"/>
          </w:rPr>
          <w:t>created by the contract carries simple </w:t>
        </w:r>
        <w:bookmarkStart w:name="_bookmark2791" w:id="2793"/>
        <w:bookmarkEnd w:id="2793"/>
        <w:r>
          <w:rPr>
            <w:vertAlign w:val="baseline"/>
          </w:rPr>
          <w:t>interest</w:t>
        </w:r>
        <w:r>
          <w:rPr>
            <w:vertAlign w:val="baseline"/>
          </w:rPr>
          <w:t> (called “statutory interest” in the Act). </w:t>
        </w:r>
        <w:r>
          <w:rPr>
            <w:color w:val="005DA1"/>
            <w:u w:val="single" w:color="005DA1"/>
            <w:vertAlign w:val="superscript"/>
          </w:rPr>
          <w:t>1467</w:t>
        </w:r>
        <w:r>
          <w:rPr>
            <w:color w:val="005DA1"/>
            <w:vertAlign w:val="baseline"/>
          </w:rPr>
          <w:t> </w:t>
        </w:r>
        <w:r>
          <w:rPr>
            <w:vertAlign w:val="baseline"/>
          </w:rPr>
          <w:t>The rate of statutory interest (or the formula for calculating it) is to be prescribed by order of the Secretary of State. </w:t>
        </w:r>
        <w:r>
          <w:rPr>
            <w:color w:val="005DA1"/>
            <w:u w:val="single" w:color="005DA1"/>
            <w:vertAlign w:val="superscript"/>
          </w:rPr>
          <w:t>1468</w:t>
        </w:r>
        <w:r>
          <w:rPr>
            <w:color w:val="005DA1"/>
            <w:vertAlign w:val="baseline"/>
          </w:rPr>
          <w:t> </w:t>
        </w:r>
        <w:r>
          <w:rPr>
            <w:vertAlign w:val="baseline"/>
          </w:rPr>
          <w:t>Once statutory interest begins </w:t>
        </w:r>
        <w:bookmarkStart w:name="_bookmark2792" w:id="2794"/>
        <w:bookmarkEnd w:id="2794"/>
        <w:r>
          <w:rPr>
            <w:vertAlign w:val="baseline"/>
          </w:rPr>
          <w:t>to</w:t>
        </w:r>
        <w:r>
          <w:rPr>
            <w:vertAlign w:val="baseline"/>
          </w:rPr>
          <w:t> run on a qualifying debt, the supplier is entitled to a fixed sum of compensation in addition to the statutory interest. </w:t>
        </w:r>
        <w:r>
          <w:rPr>
            <w:color w:val="005DA1"/>
            <w:u w:val="single" w:color="005DA1"/>
            <w:vertAlign w:val="superscript"/>
          </w:rPr>
          <w:t>1469</w:t>
        </w:r>
      </w:hyperlink>
    </w:p>
    <w:p>
      <w:pPr>
        <w:pStyle w:val="BodyText"/>
      </w:pPr>
    </w:p>
    <w:p>
      <w:pPr>
        <w:pStyle w:val="BodyText"/>
        <w:spacing w:before="36"/>
      </w:pPr>
    </w:p>
    <w:p>
      <w:pPr>
        <w:spacing w:before="0"/>
        <w:ind w:left="164" w:right="0" w:firstLine="0"/>
        <w:jc w:val="both"/>
        <w:rPr>
          <w:rFonts w:ascii="Arial"/>
          <w:b/>
          <w:sz w:val="18"/>
        </w:rPr>
      </w:pPr>
      <w:r>
        <w:rPr>
          <w:rFonts w:ascii="Arial"/>
          <w:b/>
          <w:sz w:val="18"/>
        </w:rPr>
        <w:t>Period of statutory interest: where a date for payment has been </w:t>
      </w:r>
      <w:r>
        <w:rPr>
          <w:rFonts w:ascii="Arial"/>
          <w:b/>
          <w:spacing w:val="-2"/>
          <w:sz w:val="18"/>
        </w:rPr>
        <w:t>Agreed</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233</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321" name="Image 1321"/>
            <wp:cNvGraphicFramePr>
              <a:graphicFrameLocks/>
            </wp:cNvGraphicFramePr>
            <a:graphic>
              <a:graphicData uri="http://schemas.openxmlformats.org/drawingml/2006/picture">
                <pic:pic>
                  <pic:nvPicPr>
                    <pic:cNvPr id="1321" name="Image 13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793" w:id="2795"/>
      <w:bookmarkEnd w:id="2795"/>
      <w:r>
        <w:rPr>
          <w:rFonts w:ascii="Times New Roman" w:hAnsi="Times New Roman"/>
          <w:spacing w:val="-23"/>
        </w:rPr>
      </w:r>
      <w:r>
        <w:rPr/>
        <w:t>The period for which interest is payable is set out in s.4, which has recently been amended. </w:t>
      </w:r>
      <w:r>
        <w:rPr>
          <w:color w:val="005DA1"/>
          <w:u w:val="single" w:color="005DA1"/>
          <w:vertAlign w:val="superscript"/>
        </w:rPr>
        <w:t>1470</w:t>
      </w:r>
      <w:r>
        <w:rPr>
          <w:color w:val="005DA1"/>
          <w:vertAlign w:val="baseline"/>
        </w:rPr>
        <w:t> </w:t>
      </w:r>
      <w:bookmarkStart w:name="_bookmark2794" w:id="2796"/>
      <w:bookmarkEnd w:id="2796"/>
      <w:r>
        <w:rPr>
          <w:color w:val="005DA1"/>
          <w:w w:val="92"/>
          <w:vertAlign w:val="baseline"/>
        </w:rPr>
      </w:r>
      <w:r>
        <w:rPr>
          <w:vertAlign w:val="baseline"/>
        </w:rPr>
        <w:t>Where the parties agree a date for payment of the debt, statutory interest starts to run on the next</w:t>
      </w:r>
      <w:r>
        <w:rPr>
          <w:spacing w:val="40"/>
          <w:vertAlign w:val="baseline"/>
        </w:rPr>
        <w:t> </w:t>
      </w:r>
      <w:bookmarkStart w:name="_bookmark2795" w:id="2797"/>
      <w:bookmarkEnd w:id="2797"/>
      <w:r>
        <w:rPr>
          <w:vertAlign w:val="baseline"/>
        </w:rPr>
        <w:t>day,</w:t>
      </w:r>
      <w:r>
        <w:rPr>
          <w:vertAlign w:val="baseline"/>
        </w:rPr>
        <w:t> </w:t>
      </w:r>
      <w:r>
        <w:rPr>
          <w:color w:val="005DA1"/>
          <w:u w:val="single" w:color="005DA1"/>
          <w:vertAlign w:val="superscript"/>
        </w:rPr>
        <w:t>1471</w:t>
      </w:r>
      <w:r>
        <w:rPr>
          <w:color w:val="005DA1"/>
          <w:vertAlign w:val="baseline"/>
        </w:rPr>
        <w:t> </w:t>
      </w:r>
      <w:r>
        <w:rPr>
          <w:vertAlign w:val="baseline"/>
        </w:rPr>
        <w:t>subject to three exceptions. The first exception is when the debt relates to an obligation to </w:t>
      </w:r>
      <w:bookmarkStart w:name="_bookmark2796" w:id="2798"/>
      <w:bookmarkEnd w:id="2798"/>
      <w:r>
        <w:rPr>
          <w:vertAlign w:val="baseline"/>
        </w:rPr>
        <w:t>make</w:t>
      </w:r>
      <w:r>
        <w:rPr>
          <w:vertAlign w:val="baseline"/>
        </w:rPr>
        <w:t> an advance payment </w:t>
      </w:r>
      <w:r>
        <w:rPr>
          <w:color w:val="005DA1"/>
          <w:u w:val="single" w:color="005DA1"/>
          <w:vertAlign w:val="superscript"/>
        </w:rPr>
        <w:t>1472</w:t>
      </w:r>
      <w:r>
        <w:rPr>
          <w:vertAlign w:val="baseline"/>
        </w:rPr>
        <w:t>: the debt is then treated as created on the day when the supplier’s obligation</w:t>
      </w:r>
      <w:r>
        <w:rPr>
          <w:spacing w:val="-1"/>
          <w:vertAlign w:val="baseline"/>
        </w:rPr>
        <w:t> </w:t>
      </w:r>
      <w:r>
        <w:rPr>
          <w:vertAlign w:val="baseline"/>
        </w:rPr>
        <w:t>is</w:t>
      </w:r>
      <w:r>
        <w:rPr>
          <w:spacing w:val="-1"/>
          <w:vertAlign w:val="baseline"/>
        </w:rPr>
        <w:t> </w:t>
      </w:r>
      <w:r>
        <w:rPr>
          <w:vertAlign w:val="baseline"/>
        </w:rPr>
        <w:t>performed.</w:t>
      </w:r>
      <w:r>
        <w:rPr>
          <w:spacing w:val="-1"/>
          <w:vertAlign w:val="baseline"/>
        </w:rPr>
        <w:t> </w:t>
      </w:r>
      <w:r>
        <w:rPr>
          <w:color w:val="005DA1"/>
          <w:u w:val="single" w:color="005DA1"/>
          <w:vertAlign w:val="superscript"/>
        </w:rPr>
        <w:t>1473</w:t>
      </w:r>
      <w:r>
        <w:rPr>
          <w:color w:val="005DA1"/>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exception</w:t>
      </w:r>
      <w:r>
        <w:rPr>
          <w:spacing w:val="-1"/>
          <w:vertAlign w:val="baseline"/>
        </w:rPr>
        <w:t> </w:t>
      </w:r>
      <w:r>
        <w:rPr>
          <w:vertAlign w:val="baseline"/>
        </w:rPr>
        <w:t>applies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purchaser</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public</w:t>
      </w:r>
      <w:r>
        <w:rPr>
          <w:spacing w:val="-1"/>
          <w:vertAlign w:val="baseline"/>
        </w:rPr>
        <w:t> </w:t>
      </w:r>
      <w:r>
        <w:rPr>
          <w:vertAlign w:val="baseline"/>
        </w:rPr>
        <w:t>authority:</w:t>
      </w:r>
      <w:r>
        <w:rPr>
          <w:spacing w:val="-1"/>
          <w:vertAlign w:val="baseline"/>
        </w:rPr>
        <w:t> </w:t>
      </w:r>
      <w:r>
        <w:rPr>
          <w:vertAlign w:val="baseline"/>
        </w:rPr>
        <w:t>if </w:t>
      </w:r>
      <w:bookmarkStart w:name="_bookmark2797" w:id="2799"/>
      <w:bookmarkEnd w:id="2799"/>
      <w:r>
        <w:rPr>
          <w:vertAlign w:val="baseline"/>
        </w:rPr>
        <w:t>the</w:t>
      </w:r>
      <w:r>
        <w:rPr>
          <w:vertAlign w:val="baseline"/>
        </w:rPr>
        <w:t> agreed date would be later than the end of the “relevant 30-day period” that would apply if the </w:t>
      </w:r>
      <w:bookmarkStart w:name="_bookmark2798" w:id="2800"/>
      <w:bookmarkEnd w:id="2800"/>
      <w:r>
        <w:rPr>
          <w:vertAlign w:val="baseline"/>
        </w:rPr>
        <w:t>parties</w:t>
      </w:r>
      <w:r>
        <w:rPr>
          <w:vertAlign w:val="baseline"/>
        </w:rPr>
        <w:t> had not agreed a date, </w:t>
      </w:r>
      <w:r>
        <w:rPr>
          <w:color w:val="005DA1"/>
          <w:u w:val="single" w:color="005DA1"/>
          <w:vertAlign w:val="superscript"/>
        </w:rPr>
        <w:t>1474</w:t>
      </w:r>
      <w:r>
        <w:rPr>
          <w:color w:val="005DA1"/>
          <w:vertAlign w:val="baseline"/>
        </w:rPr>
        <w:t> </w:t>
      </w:r>
      <w:r>
        <w:rPr>
          <w:vertAlign w:val="baseline"/>
        </w:rPr>
        <w:t>then statutory interest will start to run from the last day of the </w:t>
      </w:r>
      <w:bookmarkStart w:name="_bookmark2799" w:id="2801"/>
      <w:bookmarkEnd w:id="2801"/>
      <w:r>
        <w:rPr>
          <w:vertAlign w:val="baseline"/>
        </w:rPr>
        <w:t>period.</w:t>
      </w:r>
      <w:r>
        <w:rPr>
          <w:vertAlign w:val="baseline"/>
        </w:rPr>
        <w:t> </w:t>
      </w:r>
      <w:r>
        <w:rPr>
          <w:color w:val="005DA1"/>
          <w:u w:val="single" w:color="005DA1"/>
          <w:vertAlign w:val="superscript"/>
        </w:rPr>
        <w:t>1475</w:t>
      </w:r>
      <w:r>
        <w:rPr>
          <w:color w:val="005DA1"/>
          <w:vertAlign w:val="baseline"/>
        </w:rPr>
        <w:t> </w:t>
      </w:r>
      <w:r>
        <w:rPr>
          <w:vertAlign w:val="baseline"/>
        </w:rPr>
        <w:t>The third exception is when the purchaser is not a public authority: if the agreed date </w:t>
      </w:r>
      <w:bookmarkStart w:name="_bookmark2800" w:id="2802"/>
      <w:bookmarkEnd w:id="2802"/>
      <w:r>
        <w:rPr>
          <w:vertAlign w:val="baseline"/>
        </w:rPr>
        <w:t>would</w:t>
      </w:r>
      <w:r>
        <w:rPr>
          <w:vertAlign w:val="baseline"/>
        </w:rPr>
        <w:t> be more later than the end of a “relevant 60-day period”, </w:t>
      </w:r>
      <w:r>
        <w:rPr>
          <w:color w:val="005DA1"/>
          <w:u w:val="single" w:color="005DA1"/>
          <w:vertAlign w:val="superscript"/>
        </w:rPr>
        <w:t>1476</w:t>
      </w:r>
      <w:r>
        <w:rPr>
          <w:color w:val="005DA1"/>
          <w:vertAlign w:val="baseline"/>
        </w:rPr>
        <w:t> </w:t>
      </w:r>
      <w:r>
        <w:rPr>
          <w:vertAlign w:val="baseline"/>
        </w:rPr>
        <w:t>statutory interest will start to run from the</w:t>
      </w:r>
      <w:r>
        <w:rPr>
          <w:spacing w:val="1"/>
          <w:vertAlign w:val="baseline"/>
        </w:rPr>
        <w:t> </w:t>
      </w:r>
      <w:r>
        <w:rPr>
          <w:vertAlign w:val="baseline"/>
        </w:rPr>
        <w:t>last</w:t>
      </w:r>
      <w:r>
        <w:rPr>
          <w:spacing w:val="1"/>
          <w:vertAlign w:val="baseline"/>
        </w:rPr>
        <w:t> </w:t>
      </w:r>
      <w:r>
        <w:rPr>
          <w:vertAlign w:val="baseline"/>
        </w:rPr>
        <w:t>day</w:t>
      </w:r>
      <w:r>
        <w:rPr>
          <w:spacing w:val="1"/>
          <w:vertAlign w:val="baseline"/>
        </w:rPr>
        <w:t> </w:t>
      </w:r>
      <w:r>
        <w:rPr>
          <w:vertAlign w:val="baseline"/>
        </w:rPr>
        <w:t>of the</w:t>
      </w:r>
      <w:r>
        <w:rPr>
          <w:spacing w:val="1"/>
          <w:vertAlign w:val="baseline"/>
        </w:rPr>
        <w:t> </w:t>
      </w:r>
      <w:r>
        <w:rPr>
          <w:vertAlign w:val="baseline"/>
        </w:rPr>
        <w:t>period</w:t>
      </w:r>
      <w:r>
        <w:rPr>
          <w:spacing w:val="1"/>
          <w:vertAlign w:val="baseline"/>
        </w:rPr>
        <w:t> </w:t>
      </w:r>
      <w:r>
        <w:rPr>
          <w:color w:val="005DA1"/>
          <w:u w:val="single" w:color="005DA1"/>
          <w:vertAlign w:val="superscript"/>
        </w:rPr>
        <w:t>1477</w:t>
      </w:r>
      <w:r>
        <w:rPr>
          <w:color w:val="005DA1"/>
          <w:spacing w:val="1"/>
          <w:vertAlign w:val="baseline"/>
        </w:rPr>
        <w:t> </w:t>
      </w:r>
      <w:r>
        <w:rPr>
          <w:vertAlign w:val="baseline"/>
        </w:rPr>
        <w:t>unless</w:t>
      </w:r>
      <w:r>
        <w:rPr>
          <w:spacing w:val="1"/>
          <w:vertAlign w:val="baseline"/>
        </w:rPr>
        <w:t> </w:t>
      </w:r>
      <w:r>
        <w:rPr>
          <w:vertAlign w:val="baseline"/>
        </w:rPr>
        <w:t>the agreed</w:t>
      </w:r>
      <w:r>
        <w:rPr>
          <w:spacing w:val="1"/>
          <w:vertAlign w:val="baseline"/>
        </w:rPr>
        <w:t> </w:t>
      </w:r>
      <w:r>
        <w:rPr>
          <w:vertAlign w:val="baseline"/>
        </w:rPr>
        <w:t>payment</w:t>
      </w:r>
      <w:r>
        <w:rPr>
          <w:spacing w:val="1"/>
          <w:vertAlign w:val="baseline"/>
        </w:rPr>
        <w:t> </w:t>
      </w:r>
      <w:r>
        <w:rPr>
          <w:vertAlign w:val="baseline"/>
        </w:rPr>
        <w:t>day</w:t>
      </w:r>
      <w:r>
        <w:rPr>
          <w:spacing w:val="1"/>
          <w:vertAlign w:val="baseline"/>
        </w:rPr>
        <w:t> </w:t>
      </w:r>
      <w:r>
        <w:rPr>
          <w:vertAlign w:val="baseline"/>
        </w:rPr>
        <w:t>is not</w:t>
      </w:r>
      <w:r>
        <w:rPr>
          <w:spacing w:val="1"/>
          <w:vertAlign w:val="baseline"/>
        </w:rPr>
        <w:t> </w:t>
      </w:r>
      <w:r>
        <w:rPr>
          <w:vertAlign w:val="baseline"/>
        </w:rPr>
        <w:t>grossly</w:t>
      </w:r>
      <w:r>
        <w:rPr>
          <w:spacing w:val="1"/>
          <w:vertAlign w:val="baseline"/>
        </w:rPr>
        <w:t> </w:t>
      </w:r>
      <w:r>
        <w:rPr>
          <w:vertAlign w:val="baseline"/>
        </w:rPr>
        <w:t>unfair</w:t>
      </w:r>
      <w:r>
        <w:rPr>
          <w:spacing w:val="1"/>
          <w:vertAlign w:val="baseline"/>
        </w:rPr>
        <w:t> </w:t>
      </w:r>
      <w:r>
        <w:rPr>
          <w:vertAlign w:val="baseline"/>
        </w:rPr>
        <w:t>to</w:t>
      </w:r>
      <w:r>
        <w:rPr>
          <w:spacing w:val="1"/>
          <w:vertAlign w:val="baseline"/>
        </w:rPr>
        <w:t> </w:t>
      </w:r>
      <w:r>
        <w:rPr>
          <w:vertAlign w:val="baseline"/>
        </w:rPr>
        <w:t>the </w:t>
      </w:r>
      <w:r>
        <w:rPr>
          <w:spacing w:val="-2"/>
          <w:vertAlign w:val="baseline"/>
        </w:rPr>
        <w:t>supplier.</w:t>
      </w:r>
    </w:p>
    <w:p>
      <w:pPr>
        <w:spacing w:before="92"/>
        <w:ind w:left="165" w:right="0" w:firstLine="0"/>
        <w:jc w:val="left"/>
        <w:rPr>
          <w:sz w:val="12"/>
        </w:rPr>
      </w:pPr>
      <w:r>
        <w:rPr>
          <w:sz w:val="12"/>
        </w:rPr>
        <w:drawing>
          <wp:anchor distT="0" distB="0" distL="0" distR="0" allowOverlap="1" layoutInCell="1" locked="0" behindDoc="0" simplePos="0" relativeHeight="15889408">
            <wp:simplePos x="0" y="0"/>
            <wp:positionH relativeFrom="page">
              <wp:posOffset>1189786</wp:posOffset>
            </wp:positionH>
            <wp:positionV relativeFrom="paragraph">
              <wp:posOffset>99449</wp:posOffset>
            </wp:positionV>
            <wp:extent cx="107988" cy="107988"/>
            <wp:effectExtent l="0" t="0" r="0" b="0"/>
            <wp:wrapNone/>
            <wp:docPr id="1322" name="Image 1322"/>
            <wp:cNvGraphicFramePr>
              <a:graphicFrameLocks/>
            </wp:cNvGraphicFramePr>
            <a:graphic>
              <a:graphicData uri="http://schemas.openxmlformats.org/drawingml/2006/picture">
                <pic:pic>
                  <pic:nvPicPr>
                    <pic:cNvPr id="1322" name="Image 1322"/>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822">
        <w:r>
          <w:rPr>
            <w:color w:val="005DA1"/>
            <w:spacing w:val="-4"/>
            <w:sz w:val="12"/>
            <w:u w:val="single" w:color="005DA1"/>
          </w:rPr>
          <w:t>1478</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Where no date for payment </w:t>
      </w:r>
      <w:r>
        <w:rPr>
          <w:rFonts w:ascii="Arial"/>
          <w:b/>
          <w:spacing w:val="-2"/>
          <w:sz w:val="18"/>
        </w:rPr>
        <w:t>agreed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234</w:t>
      </w:r>
    </w:p>
    <w:p>
      <w:pPr>
        <w:pStyle w:val="BodyText"/>
        <w:spacing w:line="235" w:lineRule="auto" w:before="203"/>
        <w:ind w:left="165" w:right="167"/>
        <w:jc w:val="both"/>
      </w:pPr>
      <w:r>
        <w:rPr/>
        <w:t>If the parties have not agreed a date for payment, statutory interest runs from day after the end of </w:t>
      </w:r>
      <w:bookmarkStart w:name="_bookmark2801" w:id="2803"/>
      <w:bookmarkEnd w:id="2803"/>
      <w:r>
        <w:rPr/>
        <w:t>“relevant</w:t>
      </w:r>
      <w:r>
        <w:rPr/>
        <w:t> period”, which is the latest of the following dates: after the period of 30 days from </w:t>
      </w:r>
      <w:r>
        <w:rPr/>
        <w:t>the </w:t>
      </w:r>
      <w:bookmarkStart w:name="_bookmark2802" w:id="2804"/>
      <w:bookmarkEnd w:id="2804"/>
      <w:r>
        <w:rPr/>
        <w:t>performance</w:t>
      </w:r>
      <w:r>
        <w:rPr/>
        <w:t> of the obligation to which the debt relates </w:t>
      </w:r>
      <w:r>
        <w:rPr>
          <w:color w:val="005DA1"/>
          <w:u w:val="single" w:color="005DA1"/>
          <w:vertAlign w:val="superscript"/>
        </w:rPr>
        <w:t>1479</w:t>
      </w:r>
      <w:r>
        <w:rPr>
          <w:vertAlign w:val="baseline"/>
        </w:rPr>
        <w:t>; from the day when the purchaser has notice of the amount of the debt </w:t>
      </w:r>
      <w:r>
        <w:rPr>
          <w:color w:val="005DA1"/>
          <w:u w:val="single" w:color="005DA1"/>
          <w:vertAlign w:val="superscript"/>
        </w:rPr>
        <w:t>1480</w:t>
      </w:r>
      <w:r>
        <w:rPr>
          <w:vertAlign w:val="baseline"/>
        </w:rPr>
        <w:t>; or, if there is a procedure of acceptance or verification (whether provided</w:t>
      </w:r>
      <w:r>
        <w:rPr>
          <w:spacing w:val="25"/>
          <w:vertAlign w:val="baseline"/>
        </w:rPr>
        <w:t> </w:t>
      </w:r>
      <w:r>
        <w:rPr>
          <w:vertAlign w:val="baseline"/>
        </w:rPr>
        <w:t>for</w:t>
      </w:r>
      <w:r>
        <w:rPr>
          <w:spacing w:val="25"/>
          <w:vertAlign w:val="baseline"/>
        </w:rPr>
        <w:t> </w:t>
      </w:r>
      <w:r>
        <w:rPr>
          <w:vertAlign w:val="baseline"/>
        </w:rPr>
        <w:t>by</w:t>
      </w:r>
      <w:r>
        <w:rPr>
          <w:spacing w:val="25"/>
          <w:vertAlign w:val="baseline"/>
        </w:rPr>
        <w:t> </w:t>
      </w:r>
      <w:r>
        <w:rPr>
          <w:vertAlign w:val="baseline"/>
        </w:rPr>
        <w:t>an</w:t>
      </w:r>
      <w:r>
        <w:rPr>
          <w:spacing w:val="25"/>
          <w:vertAlign w:val="baseline"/>
        </w:rPr>
        <w:t> </w:t>
      </w:r>
      <w:r>
        <w:rPr>
          <w:vertAlign w:val="baseline"/>
        </w:rPr>
        <w:t>enactment</w:t>
      </w:r>
      <w:r>
        <w:rPr>
          <w:spacing w:val="25"/>
          <w:vertAlign w:val="baseline"/>
        </w:rPr>
        <w:t> </w:t>
      </w:r>
      <w:r>
        <w:rPr>
          <w:vertAlign w:val="baseline"/>
        </w:rPr>
        <w:t>or</w:t>
      </w:r>
      <w:r>
        <w:rPr>
          <w:spacing w:val="25"/>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contract)</w:t>
      </w:r>
      <w:r>
        <w:rPr>
          <w:spacing w:val="25"/>
          <w:vertAlign w:val="baseline"/>
        </w:rPr>
        <w:t> </w:t>
      </w:r>
      <w:r>
        <w:rPr>
          <w:vertAlign w:val="baseline"/>
        </w:rPr>
        <w:t>under</w:t>
      </w:r>
      <w:r>
        <w:rPr>
          <w:spacing w:val="25"/>
          <w:vertAlign w:val="baseline"/>
        </w:rPr>
        <w:t> </w:t>
      </w:r>
      <w:r>
        <w:rPr>
          <w:vertAlign w:val="baseline"/>
        </w:rPr>
        <w:t>which</w:t>
      </w:r>
      <w:r>
        <w:rPr>
          <w:spacing w:val="25"/>
          <w:vertAlign w:val="baseline"/>
        </w:rPr>
        <w:t> </w:t>
      </w:r>
      <w:r>
        <w:rPr>
          <w:vertAlign w:val="baseline"/>
        </w:rPr>
        <w:t>the</w:t>
      </w:r>
      <w:r>
        <w:rPr>
          <w:spacing w:val="25"/>
          <w:vertAlign w:val="baseline"/>
        </w:rPr>
        <w:t> </w:t>
      </w:r>
      <w:r>
        <w:rPr>
          <w:vertAlign w:val="baseline"/>
        </w:rPr>
        <w:t>conforming</w:t>
      </w:r>
      <w:r>
        <w:rPr>
          <w:spacing w:val="25"/>
          <w:vertAlign w:val="baseline"/>
        </w:rPr>
        <w:t> </w:t>
      </w:r>
      <w:r>
        <w:rPr>
          <w:vertAlign w:val="baseline"/>
        </w:rPr>
        <w:t>of</w:t>
      </w:r>
      <w:r>
        <w:rPr>
          <w:spacing w:val="25"/>
          <w:vertAlign w:val="baseline"/>
        </w:rPr>
        <w:t> </w:t>
      </w:r>
      <w:r>
        <w:rPr>
          <w:vertAlign w:val="baseline"/>
        </w:rPr>
        <w:t>goods</w:t>
      </w:r>
      <w:r>
        <w:rPr>
          <w:spacing w:val="25"/>
          <w:vertAlign w:val="baseline"/>
        </w:rPr>
        <w:t> </w:t>
      </w:r>
      <w:r>
        <w:rPr>
          <w:vertAlign w:val="baseline"/>
        </w:rPr>
        <w:t>or</w:t>
      </w:r>
      <w:r>
        <w:rPr>
          <w:spacing w:val="25"/>
          <w:vertAlign w:val="baseline"/>
        </w:rPr>
        <w:t> </w:t>
      </w:r>
      <w:r>
        <w:rPr>
          <w:spacing w:val="-2"/>
          <w:vertAlign w:val="baseline"/>
        </w:rPr>
        <w:t>services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with the contract is to be ascertained, from the day after the procedure is completed. In the last </w:t>
      </w:r>
      <w:r>
        <w:rPr/>
        <w:t>case, if the parties have agreed on a period of over than 30 days for the procedure to be carried out, the </w:t>
      </w:r>
      <w:bookmarkStart w:name="_bookmark2803" w:id="2805"/>
      <w:bookmarkEnd w:id="2805"/>
      <w:r>
        <w:rPr/>
        <w:t>procedure</w:t>
      </w:r>
      <w:r>
        <w:rPr/>
        <w:t> will be treated as being completed after 30 days unless the parties have expressly agreed otherwise and the longer period is not grossly unfair to the supplier. </w:t>
      </w:r>
      <w:r>
        <w:rPr>
          <w:color w:val="005DA1"/>
          <w:u w:val="single" w:color="005DA1"/>
          <w:vertAlign w:val="superscript"/>
        </w:rPr>
        <w:t>1481</w:t>
      </w:r>
    </w:p>
    <w:p>
      <w:pPr>
        <w:pStyle w:val="BodyText"/>
      </w:pPr>
    </w:p>
    <w:p>
      <w:pPr>
        <w:pStyle w:val="BodyText"/>
        <w:spacing w:before="37"/>
      </w:pPr>
    </w:p>
    <w:p>
      <w:pPr>
        <w:spacing w:before="0"/>
        <w:ind w:left="165" w:right="0" w:firstLine="0"/>
        <w:jc w:val="both"/>
        <w:rPr>
          <w:rFonts w:ascii="Arial"/>
          <w:b/>
          <w:sz w:val="18"/>
        </w:rPr>
      </w:pPr>
      <w:r>
        <w:rPr>
          <w:rFonts w:ascii="Arial"/>
          <w:b/>
          <w:sz w:val="18"/>
        </w:rPr>
        <w:t>When interest ceases to </w:t>
      </w:r>
      <w:r>
        <w:rPr>
          <w:rFonts w:ascii="Arial"/>
          <w:b/>
          <w:spacing w:val="-5"/>
          <w:sz w:val="18"/>
        </w:rPr>
        <w:t>run</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235</w:t>
      </w:r>
    </w:p>
    <w:p>
      <w:pPr>
        <w:pStyle w:val="BodyText"/>
        <w:spacing w:before="92"/>
        <w:rPr>
          <w:rFonts w:ascii="Arial"/>
          <w:b/>
        </w:rPr>
      </w:pPr>
    </w:p>
    <w:p>
      <w:pPr>
        <w:pStyle w:val="BodyText"/>
        <w:spacing w:line="235" w:lineRule="auto"/>
        <w:ind w:left="165"/>
      </w:pPr>
      <w:r>
        <w:rPr>
          <w:position w:val="-2"/>
        </w:rPr>
        <w:drawing>
          <wp:inline distT="0" distB="0" distL="0" distR="0">
            <wp:extent cx="107988" cy="107988"/>
            <wp:effectExtent l="0" t="0" r="0" b="0"/>
            <wp:docPr id="1324" name="Image 1324"/>
            <wp:cNvGraphicFramePr>
              <a:graphicFrameLocks/>
            </wp:cNvGraphicFramePr>
            <a:graphic>
              <a:graphicData uri="http://schemas.openxmlformats.org/drawingml/2006/picture">
                <pic:pic>
                  <pic:nvPicPr>
                    <pic:cNvPr id="1324" name="Image 13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4"/>
        </w:rPr>
        <w:t> </w:t>
      </w:r>
      <w:bookmarkStart w:name="_bookmark2804" w:id="2806"/>
      <w:bookmarkEnd w:id="2806"/>
      <w:r>
        <w:rPr>
          <w:rFonts w:ascii="Times New Roman" w:hAnsi="Times New Roman"/>
          <w:spacing w:val="-23"/>
        </w:rPr>
      </w:r>
      <w:r>
        <w:rPr/>
        <w:t>Statutory</w:t>
      </w:r>
      <w:r>
        <w:rPr>
          <w:spacing w:val="19"/>
        </w:rPr>
        <w:t> </w:t>
      </w:r>
      <w:r>
        <w:rPr/>
        <w:t>interest</w:t>
      </w:r>
      <w:r>
        <w:rPr>
          <w:spacing w:val="19"/>
        </w:rPr>
        <w:t> </w:t>
      </w:r>
      <w:r>
        <w:rPr/>
        <w:t>ceases</w:t>
      </w:r>
      <w:r>
        <w:rPr>
          <w:spacing w:val="19"/>
        </w:rPr>
        <w:t> </w:t>
      </w:r>
      <w:r>
        <w:rPr/>
        <w:t>to</w:t>
      </w:r>
      <w:r>
        <w:rPr>
          <w:spacing w:val="19"/>
        </w:rPr>
        <w:t> </w:t>
      </w:r>
      <w:r>
        <w:rPr/>
        <w:t>run</w:t>
      </w:r>
      <w:r>
        <w:rPr>
          <w:spacing w:val="19"/>
        </w:rPr>
        <w:t> </w:t>
      </w:r>
      <w:r>
        <w:rPr/>
        <w:t>when</w:t>
      </w:r>
      <w:r>
        <w:rPr>
          <w:spacing w:val="19"/>
        </w:rPr>
        <w:t> </w:t>
      </w:r>
      <w:r>
        <w:rPr/>
        <w:t>the</w:t>
      </w:r>
      <w:r>
        <w:rPr>
          <w:spacing w:val="19"/>
        </w:rPr>
        <w:t> </w:t>
      </w:r>
      <w:r>
        <w:rPr/>
        <w:t>interest</w:t>
      </w:r>
      <w:r>
        <w:rPr>
          <w:spacing w:val="19"/>
        </w:rPr>
        <w:t> </w:t>
      </w:r>
      <w:r>
        <w:rPr/>
        <w:t>would</w:t>
      </w:r>
      <w:r>
        <w:rPr>
          <w:spacing w:val="19"/>
        </w:rPr>
        <w:t> </w:t>
      </w:r>
      <w:r>
        <w:rPr/>
        <w:t>cease</w:t>
      </w:r>
      <w:r>
        <w:rPr>
          <w:spacing w:val="19"/>
        </w:rPr>
        <w:t> </w:t>
      </w:r>
      <w:r>
        <w:rPr/>
        <w:t>to</w:t>
      </w:r>
      <w:r>
        <w:rPr>
          <w:spacing w:val="19"/>
        </w:rPr>
        <w:t> </w:t>
      </w:r>
      <w:r>
        <w:rPr/>
        <w:t>run</w:t>
      </w:r>
      <w:r>
        <w:rPr>
          <w:spacing w:val="19"/>
        </w:rPr>
        <w:t> </w:t>
      </w:r>
      <w:r>
        <w:rPr/>
        <w:t>if</w:t>
      </w:r>
      <w:r>
        <w:rPr>
          <w:spacing w:val="19"/>
        </w:rPr>
        <w:t> </w:t>
      </w:r>
      <w:r>
        <w:rPr/>
        <w:t>it</w:t>
      </w:r>
      <w:r>
        <w:rPr>
          <w:spacing w:val="19"/>
        </w:rPr>
        <w:t> </w:t>
      </w:r>
      <w:r>
        <w:rPr/>
        <w:t>were</w:t>
      </w:r>
      <w:r>
        <w:rPr>
          <w:spacing w:val="19"/>
        </w:rPr>
        <w:t> </w:t>
      </w:r>
      <w:r>
        <w:rPr/>
        <w:t>carried</w:t>
      </w:r>
      <w:r>
        <w:rPr>
          <w:spacing w:val="19"/>
        </w:rPr>
        <w:t> </w:t>
      </w:r>
      <w:r>
        <w:rPr/>
        <w:t>under</w:t>
      </w:r>
      <w:r>
        <w:rPr>
          <w:spacing w:val="19"/>
        </w:rPr>
        <w:t> </w:t>
      </w:r>
      <w:r>
        <w:rPr/>
        <w:t>an </w:t>
      </w:r>
      <w:bookmarkStart w:name="_bookmark2805" w:id="2807"/>
      <w:bookmarkEnd w:id="2807"/>
      <w:r>
        <w:rPr/>
        <w:t>express</w:t>
      </w:r>
      <w:r>
        <w:rPr>
          <w:spacing w:val="2"/>
        </w:rPr>
        <w:t> </w:t>
      </w:r>
      <w:r>
        <w:rPr/>
        <w:t>contract</w:t>
      </w:r>
      <w:r>
        <w:rPr>
          <w:spacing w:val="3"/>
        </w:rPr>
        <w:t> </w:t>
      </w:r>
      <w:r>
        <w:rPr/>
        <w:t>term.</w:t>
      </w:r>
      <w:r>
        <w:rPr>
          <w:spacing w:val="2"/>
        </w:rPr>
        <w:t> </w:t>
      </w:r>
      <w:r>
        <w:rPr>
          <w:color w:val="005DA1"/>
          <w:u w:val="single" w:color="005DA1"/>
          <w:vertAlign w:val="superscript"/>
        </w:rPr>
        <w:t>1482</w:t>
      </w:r>
      <w:r>
        <w:rPr>
          <w:color w:val="005DA1"/>
          <w:spacing w:val="3"/>
          <w:vertAlign w:val="baseline"/>
        </w:rPr>
        <w:t> </w:t>
      </w:r>
      <w:r>
        <w:rPr>
          <w:vertAlign w:val="baseline"/>
        </w:rPr>
        <w:t>Statutory</w:t>
      </w:r>
      <w:r>
        <w:rPr>
          <w:spacing w:val="3"/>
          <w:vertAlign w:val="baseline"/>
        </w:rPr>
        <w:t> </w:t>
      </w:r>
      <w:r>
        <w:rPr>
          <w:vertAlign w:val="baseline"/>
        </w:rPr>
        <w:t>interest</w:t>
      </w:r>
      <w:r>
        <w:rPr>
          <w:spacing w:val="2"/>
          <w:vertAlign w:val="baseline"/>
        </w:rPr>
        <w:t> </w:t>
      </w:r>
      <w:r>
        <w:rPr>
          <w:vertAlign w:val="baseline"/>
        </w:rPr>
        <w:t>also</w:t>
      </w:r>
      <w:r>
        <w:rPr>
          <w:spacing w:val="3"/>
          <w:vertAlign w:val="baseline"/>
        </w:rPr>
        <w:t> </w:t>
      </w:r>
      <w:r>
        <w:rPr>
          <w:vertAlign w:val="baseline"/>
        </w:rPr>
        <w:t>does</w:t>
      </w:r>
      <w:r>
        <w:rPr>
          <w:spacing w:val="3"/>
          <w:vertAlign w:val="baseline"/>
        </w:rPr>
        <w:t> </w:t>
      </w:r>
      <w:r>
        <w:rPr>
          <w:vertAlign w:val="baseline"/>
        </w:rPr>
        <w:t>not</w:t>
      </w:r>
      <w:r>
        <w:rPr>
          <w:spacing w:val="2"/>
          <w:vertAlign w:val="baseline"/>
        </w:rPr>
        <w:t> </w:t>
      </w:r>
      <w:r>
        <w:rPr>
          <w:vertAlign w:val="baseline"/>
        </w:rPr>
        <w:t>run</w:t>
      </w:r>
      <w:r>
        <w:rPr>
          <w:spacing w:val="3"/>
          <w:vertAlign w:val="baseline"/>
        </w:rPr>
        <w:t> </w:t>
      </w:r>
      <w:r>
        <w:rPr>
          <w:vertAlign w:val="baseline"/>
        </w:rPr>
        <w:t>for</w:t>
      </w:r>
      <w:r>
        <w:rPr>
          <w:spacing w:val="3"/>
          <w:vertAlign w:val="baseline"/>
        </w:rPr>
        <w:t> </w:t>
      </w:r>
      <w:r>
        <w:rPr>
          <w:vertAlign w:val="baseline"/>
        </w:rPr>
        <w:t>any</w:t>
      </w:r>
      <w:r>
        <w:rPr>
          <w:spacing w:val="2"/>
          <w:vertAlign w:val="baseline"/>
        </w:rPr>
        <w:t> </w:t>
      </w:r>
      <w:r>
        <w:rPr>
          <w:vertAlign w:val="baseline"/>
        </w:rPr>
        <w:t>period</w:t>
      </w:r>
      <w:r>
        <w:rPr>
          <w:spacing w:val="3"/>
          <w:vertAlign w:val="baseline"/>
        </w:rPr>
        <w:t> </w:t>
      </w:r>
      <w:r>
        <w:rPr>
          <w:vertAlign w:val="baseline"/>
        </w:rPr>
        <w:t>where</w:t>
      </w:r>
      <w:r>
        <w:rPr>
          <w:spacing w:val="2"/>
          <w:vertAlign w:val="baseline"/>
        </w:rPr>
        <w:t> </w:t>
      </w:r>
      <w:r>
        <w:rPr>
          <w:vertAlign w:val="baseline"/>
        </w:rPr>
        <w:t>“by</w:t>
      </w:r>
      <w:r>
        <w:rPr>
          <w:spacing w:val="3"/>
          <w:vertAlign w:val="baseline"/>
        </w:rPr>
        <w:t> </w:t>
      </w:r>
      <w:r>
        <w:rPr>
          <w:vertAlign w:val="baseline"/>
        </w:rPr>
        <w:t>reason</w:t>
      </w:r>
      <w:r>
        <w:rPr>
          <w:spacing w:val="3"/>
          <w:vertAlign w:val="baseline"/>
        </w:rPr>
        <w:t> </w:t>
      </w:r>
      <w:r>
        <w:rPr>
          <w:vertAlign w:val="baseline"/>
        </w:rPr>
        <w:t>of</w:t>
      </w:r>
      <w:r>
        <w:rPr>
          <w:spacing w:val="2"/>
          <w:vertAlign w:val="baseline"/>
        </w:rPr>
        <w:t> </w:t>
      </w:r>
      <w:r>
        <w:rPr>
          <w:spacing w:val="-5"/>
          <w:vertAlign w:val="baseline"/>
        </w:rPr>
        <w:t>any</w:t>
      </w:r>
    </w:p>
    <w:p>
      <w:pPr>
        <w:pStyle w:val="BodyText"/>
        <w:spacing w:before="116"/>
        <w:ind w:left="164"/>
        <w:rPr>
          <w:position w:val="-2"/>
        </w:rPr>
      </w:pPr>
      <w:r>
        <w:rPr/>
        <w:t>conduct of the supplier”, </w:t>
      </w:r>
      <w:hyperlink w:history="true" w:anchor="_bookmark2827">
        <w:r>
          <w:rPr>
            <w:color w:val="005DA1"/>
            <w:u w:val="single" w:color="005DA1"/>
            <w:vertAlign w:val="superscript"/>
          </w:rPr>
          <w:t>1483</w:t>
        </w:r>
      </w:hyperlink>
      <w:r>
        <w:rPr>
          <w:color w:val="005DA1"/>
          <w:vertAlign w:val="baseline"/>
        </w:rPr>
        <w:t> </w:t>
      </w:r>
      <w:r>
        <w:rPr>
          <w:vertAlign w:val="baseline"/>
        </w:rPr>
        <w:t>“the interests of justice require”. </w:t>
      </w:r>
      <w:hyperlink w:history="true" w:anchor="_bookmark2828">
        <w:r>
          <w:rPr>
            <w:color w:val="005DA1"/>
            <w:u w:val="single" w:color="005DA1"/>
            <w:vertAlign w:val="superscript"/>
          </w:rPr>
          <w:t>1484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25" name="Image 1325"/>
              <wp:cNvGraphicFramePr>
                <a:graphicFrameLocks/>
              </wp:cNvGraphicFramePr>
              <a:graphic>
                <a:graphicData uri="http://schemas.openxmlformats.org/drawingml/2006/picture">
                  <pic:pic>
                    <pic:nvPicPr>
                      <pic:cNvPr id="1325" name="Image 13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8"/>
      </w:pPr>
      <w:r>
        <w:rPr/>
        <mc:AlternateContent>
          <mc:Choice Requires="wps">
            <w:drawing>
              <wp:anchor distT="0" distB="0" distL="0" distR="0" allowOverlap="1" layoutInCell="1" locked="0" behindDoc="1" simplePos="0" relativeHeight="487749120">
                <wp:simplePos x="0" y="0"/>
                <wp:positionH relativeFrom="page">
                  <wp:posOffset>914400</wp:posOffset>
                </wp:positionH>
                <wp:positionV relativeFrom="paragraph">
                  <wp:posOffset>185892</wp:posOffset>
                </wp:positionV>
                <wp:extent cx="5724525" cy="1270"/>
                <wp:effectExtent l="0" t="0" r="0" b="0"/>
                <wp:wrapTopAndBottom/>
                <wp:docPr id="1326" name="Graphic 1326"/>
                <wp:cNvGraphicFramePr>
                  <a:graphicFrameLocks/>
                </wp:cNvGraphicFramePr>
                <a:graphic>
                  <a:graphicData uri="http://schemas.microsoft.com/office/word/2010/wordprocessingShape">
                    <wps:wsp>
                      <wps:cNvPr id="1326" name="Graphic 13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7196pt;width:450.75pt;height:.1pt;mso-position-horizontal-relative:page;mso-position-vertical-relative:paragraph;z-index:-15567360;mso-wrap-distance-left:0;mso-wrap-distance-right:0" id="docshape128"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ind w:left="165"/>
      </w:pP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12"/>
      </w:pPr>
    </w:p>
    <w:p>
      <w:pPr>
        <w:spacing w:line="137" w:lineRule="exact" w:before="0"/>
        <w:ind w:left="165" w:right="0" w:firstLine="0"/>
        <w:jc w:val="left"/>
        <w:rPr>
          <w:sz w:val="14"/>
        </w:rPr>
      </w:pPr>
      <w:bookmarkStart w:name="_bookmark2806" w:id="2808"/>
      <w:bookmarkEnd w:id="2808"/>
      <w:r>
        <w:rPr/>
      </w:r>
      <w:hyperlink w:history="true" w:anchor="_bookmark2787">
        <w:r>
          <w:rPr>
            <w:color w:val="005DA1"/>
            <w:spacing w:val="-2"/>
            <w:sz w:val="14"/>
            <w:u w:val="single" w:color="005DA1"/>
          </w:rPr>
          <w:t>1462</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90432">
            <wp:simplePos x="0" y="0"/>
            <wp:positionH relativeFrom="page">
              <wp:posOffset>1257846</wp:posOffset>
            </wp:positionH>
            <wp:positionV relativeFrom="paragraph">
              <wp:posOffset>13058</wp:posOffset>
            </wp:positionV>
            <wp:extent cx="107988" cy="107988"/>
            <wp:effectExtent l="0" t="0" r="0" b="0"/>
            <wp:wrapNone/>
            <wp:docPr id="1327" name="Image 1327"/>
            <wp:cNvGraphicFramePr>
              <a:graphicFrameLocks/>
            </wp:cNvGraphicFramePr>
            <a:graphic>
              <a:graphicData uri="http://schemas.openxmlformats.org/drawingml/2006/picture">
                <pic:pic>
                  <pic:nvPicPr>
                    <pic:cNvPr id="1327" name="Image 1327"/>
                    <pic:cNvPicPr/>
                  </pic:nvPicPr>
                  <pic:blipFill>
                    <a:blip r:embed="rId6" cstate="print"/>
                    <a:stretch>
                      <a:fillRect/>
                    </a:stretch>
                  </pic:blipFill>
                  <pic:spPr>
                    <a:xfrm>
                      <a:off x="0" y="0"/>
                      <a:ext cx="107988" cy="107988"/>
                    </a:xfrm>
                    <a:prstGeom prst="rect">
                      <a:avLst/>
                    </a:prstGeom>
                  </pic:spPr>
                </pic:pic>
              </a:graphicData>
            </a:graphic>
          </wp:anchor>
        </w:drawing>
      </w:r>
      <w:r>
        <w:rPr/>
        <w:t>s.3(1),</w:t>
      </w:r>
      <w:r>
        <w:rPr>
          <w:spacing w:val="52"/>
        </w:rPr>
        <w:t> </w:t>
      </w:r>
      <w:r>
        <w:rPr/>
        <w:t>Late</w:t>
      </w:r>
      <w:r>
        <w:rPr>
          <w:spacing w:val="52"/>
        </w:rPr>
        <w:t> </w:t>
      </w:r>
      <w:r>
        <w:rPr/>
        <w:t>Payment</w:t>
      </w:r>
      <w:r>
        <w:rPr>
          <w:spacing w:val="52"/>
        </w:rPr>
        <w:t> </w:t>
      </w:r>
      <w:r>
        <w:rPr/>
        <w:t>of</w:t>
      </w:r>
      <w:r>
        <w:rPr>
          <w:spacing w:val="52"/>
        </w:rPr>
        <w:t> </w:t>
      </w:r>
      <w:r>
        <w:rPr/>
        <w:t>Commercial</w:t>
      </w:r>
      <w:r>
        <w:rPr>
          <w:spacing w:val="52"/>
        </w:rPr>
        <w:t> </w:t>
      </w:r>
      <w:r>
        <w:rPr/>
        <w:t>Debts</w:t>
      </w:r>
      <w:r>
        <w:rPr>
          <w:spacing w:val="52"/>
        </w:rPr>
        <w:t> </w:t>
      </w:r>
      <w:r>
        <w:rPr/>
        <w:t>(Interest)</w:t>
      </w:r>
      <w:r>
        <w:rPr>
          <w:spacing w:val="52"/>
        </w:rPr>
        <w:t> </w:t>
      </w:r>
      <w:r>
        <w:rPr/>
        <w:t>Act</w:t>
      </w:r>
      <w:r>
        <w:rPr>
          <w:spacing w:val="52"/>
        </w:rPr>
        <w:t> </w:t>
      </w:r>
      <w:r>
        <w:rPr/>
        <w:t>1998.</w:t>
      </w:r>
      <w:r>
        <w:rPr>
          <w:spacing w:val="52"/>
        </w:rPr>
        <w:t> </w:t>
      </w:r>
      <w:r>
        <w:rPr/>
        <w:t>A</w:t>
      </w:r>
      <w:r>
        <w:rPr>
          <w:spacing w:val="52"/>
        </w:rPr>
        <w:t> </w:t>
      </w:r>
      <w:r>
        <w:rPr/>
        <w:t>claim</w:t>
      </w:r>
      <w:r>
        <w:rPr>
          <w:spacing w:val="52"/>
        </w:rPr>
        <w:t> </w:t>
      </w:r>
      <w:r>
        <w:rPr/>
        <w:t>for</w:t>
      </w:r>
      <w:r>
        <w:rPr>
          <w:spacing w:val="52"/>
        </w:rPr>
        <w:t> </w:t>
      </w:r>
      <w:r>
        <w:rPr>
          <w:spacing w:val="-2"/>
        </w:rPr>
        <w:t>unliquidated</w:t>
      </w:r>
    </w:p>
    <w:p>
      <w:pPr>
        <w:spacing w:line="235" w:lineRule="auto" w:before="2"/>
        <w:ind w:left="705" w:right="167" w:firstLine="0"/>
        <w:jc w:val="both"/>
        <w:rPr>
          <w:sz w:val="20"/>
        </w:rPr>
      </w:pPr>
      <w:r>
        <w:rPr>
          <w:sz w:val="20"/>
        </w:rPr>
        <w:t>damages is not within the Act, at least in the absence of some mechanism in the contract that has the effect of converting the claim into part of the contract price: </w:t>
      </w:r>
      <w:r>
        <w:rPr>
          <w:rFonts w:ascii="Arial" w:hAnsi="Arial"/>
          <w:i/>
          <w:sz w:val="20"/>
        </w:rPr>
        <w:t>National Museums and Galleries on Merseyside Board of Trustees v AEW Architects and Designers Ltd [2013] EWHC 3025 (TCC) </w:t>
      </w:r>
      <w:r>
        <w:rPr>
          <w:sz w:val="20"/>
        </w:rPr>
        <w:t>at [7]–[8]; </w:t>
      </w:r>
      <w:r>
        <w:rPr>
          <w:rFonts w:ascii="Arial" w:hAnsi="Arial"/>
          <w:i/>
          <w:sz w:val="20"/>
        </w:rPr>
        <w:t>Mailbox (Birmingham) Ltd v Galliford Try Construction Ltd [2017] EWHC 67 (TCC) </w:t>
      </w:r>
      <w:r>
        <w:rPr>
          <w:sz w:val="20"/>
        </w:rPr>
        <w:t>at [56]. Rather, the court has discretion to award interest under s.35A of the </w:t>
      </w:r>
      <w:r>
        <w:rPr>
          <w:sz w:val="20"/>
        </w:rPr>
        <w:t>Senior Courts Act 1981, see para.26-236.</w:t>
      </w:r>
    </w:p>
    <w:p>
      <w:pPr>
        <w:pStyle w:val="BodyText"/>
        <w:spacing w:before="7"/>
      </w:pPr>
    </w:p>
    <w:p>
      <w:pPr>
        <w:pStyle w:val="BodyText"/>
        <w:spacing w:line="235" w:lineRule="auto"/>
        <w:ind w:left="705" w:right="167" w:hanging="541"/>
        <w:jc w:val="both"/>
      </w:pPr>
      <w:bookmarkStart w:name="_bookmark2807" w:id="2809"/>
      <w:bookmarkEnd w:id="2809"/>
      <w:r>
        <w:rPr/>
      </w:r>
      <w:hyperlink w:history="true" w:anchor="_bookmark2788">
        <w:r>
          <w:rPr>
            <w:color w:val="005DA1"/>
            <w:position w:val="5"/>
            <w:sz w:val="14"/>
            <w:u w:val="single" w:color="005DA1"/>
          </w:rPr>
          <w:t>1463</w:t>
        </w:r>
      </w:hyperlink>
      <w:r>
        <w:rPr>
          <w:position w:val="5"/>
          <w:sz w:val="14"/>
        </w:rPr>
        <w:t>.</w:t>
      </w:r>
      <w:r>
        <w:rPr>
          <w:spacing w:val="80"/>
          <w:position w:val="5"/>
          <w:sz w:val="14"/>
        </w:rPr>
        <w:t> </w:t>
      </w:r>
      <w:r>
        <w:rPr/>
        <w:t>Defined by s.2(2), (3) and (4). (Some other relevant definitions are found in s.16). Certain contracts are excepted by s.2(5) (as amended): consumer credit agreements; </w:t>
      </w:r>
      <w:r>
        <w:rPr/>
        <w:t>mortgages, pledges, charges or other securities. Section 12 makes provision for the conflict of laws. The</w:t>
      </w:r>
      <w:r>
        <w:rPr>
          <w:spacing w:val="40"/>
        </w:rPr>
        <w:t> </w:t>
      </w:r>
      <w:r>
        <w:rPr/>
        <w:t>Act does not apply to a contract governed by the law of part of the UK by choice of the parties if there is no significant connection between the contract and that part of the UK and, but for that choice, the contract would have been governed by a foreign law: s.12(1). On the application of this provision, see </w:t>
      </w:r>
      <w:r>
        <w:rPr>
          <w:rFonts w:ascii="Arial"/>
          <w:i/>
        </w:rPr>
        <w:t>Martrade Shipping &amp; Transport GmbH v United Enterprises Corp [2014] EWHC 1884 (Comm)</w:t>
      </w:r>
      <w:r>
        <w:rPr/>
        <w:t>.</w:t>
      </w:r>
    </w:p>
    <w:p>
      <w:pPr>
        <w:pStyle w:val="BodyText"/>
        <w:spacing w:before="7"/>
      </w:pPr>
    </w:p>
    <w:p>
      <w:pPr>
        <w:pStyle w:val="BodyText"/>
        <w:spacing w:line="235" w:lineRule="auto"/>
        <w:ind w:left="705" w:right="167" w:hanging="541"/>
        <w:jc w:val="both"/>
      </w:pPr>
      <w:bookmarkStart w:name="_bookmark2808" w:id="2810"/>
      <w:bookmarkEnd w:id="2810"/>
      <w:r>
        <w:rPr/>
      </w:r>
      <w:hyperlink w:history="true" w:anchor="_bookmark2788">
        <w:r>
          <w:rPr>
            <w:color w:val="005DA1"/>
            <w:position w:val="5"/>
            <w:sz w:val="14"/>
            <w:u w:val="single" w:color="005DA1"/>
          </w:rPr>
          <w:t>1464</w:t>
        </w:r>
      </w:hyperlink>
      <w:r>
        <w:rPr>
          <w:position w:val="5"/>
          <w:sz w:val="14"/>
        </w:rPr>
        <w:t>.</w:t>
      </w:r>
      <w:r>
        <w:rPr>
          <w:spacing w:val="80"/>
          <w:position w:val="5"/>
          <w:sz w:val="14"/>
        </w:rPr>
        <w:t> </w:t>
      </w:r>
      <w:r>
        <w:rPr/>
        <w:t>s.2(1). The meaning of “business” includes a profession and the activities of any government department or local or public authority (s.2(7)). By the Late Payment of Commercial Debts (Interest)</w:t>
      </w:r>
      <w:r>
        <w:rPr>
          <w:spacing w:val="-3"/>
        </w:rPr>
        <w:t> </w:t>
      </w:r>
      <w:r>
        <w:rPr/>
        <w:t>Act</w:t>
      </w:r>
      <w:r>
        <w:rPr>
          <w:spacing w:val="-3"/>
        </w:rPr>
        <w:t> </w:t>
      </w:r>
      <w:r>
        <w:rPr/>
        <w:t>1998</w:t>
      </w:r>
      <w:r>
        <w:rPr>
          <w:spacing w:val="-3"/>
        </w:rPr>
        <w:t> </w:t>
      </w:r>
      <w:r>
        <w:rPr/>
        <w:t>(Commencement</w:t>
      </w:r>
      <w:r>
        <w:rPr>
          <w:spacing w:val="-3"/>
        </w:rPr>
        <w:t> </w:t>
      </w:r>
      <w:r>
        <w:rPr/>
        <w:t>No.5)</w:t>
      </w:r>
      <w:r>
        <w:rPr>
          <w:spacing w:val="-3"/>
        </w:rPr>
        <w:t> </w:t>
      </w:r>
      <w:r>
        <w:rPr/>
        <w:t>Order</w:t>
      </w:r>
      <w:r>
        <w:rPr>
          <w:spacing w:val="-3"/>
        </w:rPr>
        <w:t> </w:t>
      </w:r>
      <w:r>
        <w:rPr/>
        <w:t>2002</w:t>
      </w:r>
      <w:r>
        <w:rPr>
          <w:spacing w:val="-3"/>
        </w:rPr>
        <w:t> </w:t>
      </w:r>
      <w:r>
        <w:rPr/>
        <w:t>(SI</w:t>
      </w:r>
      <w:r>
        <w:rPr>
          <w:spacing w:val="-3"/>
        </w:rPr>
        <w:t> </w:t>
      </w:r>
      <w:r>
        <w:rPr/>
        <w:t>2002/1673),</w:t>
      </w:r>
      <w:r>
        <w:rPr>
          <w:spacing w:val="-3"/>
        </w:rPr>
        <w:t> </w:t>
      </w:r>
      <w:r>
        <w:rPr/>
        <w:t>the</w:t>
      </w:r>
      <w:r>
        <w:rPr>
          <w:spacing w:val="-3"/>
        </w:rPr>
        <w:t> </w:t>
      </w:r>
      <w:r>
        <w:rPr/>
        <w:t>provisions</w:t>
      </w:r>
      <w:r>
        <w:rPr>
          <w:spacing w:val="-3"/>
        </w:rPr>
        <w:t> </w:t>
      </w:r>
      <w:r>
        <w:rPr/>
        <w:t>of</w:t>
      </w:r>
      <w:r>
        <w:rPr>
          <w:spacing w:val="-3"/>
        </w:rPr>
        <w:t> </w:t>
      </w:r>
      <w:r>
        <w:rPr/>
        <w:t>the</w:t>
      </w:r>
      <w:r>
        <w:rPr>
          <w:spacing w:val="-3"/>
        </w:rPr>
        <w:t> </w:t>
      </w:r>
      <w:r>
        <w:rPr/>
        <w:t>Act apply to businesses of all sizes and to the public sector.</w:t>
      </w:r>
    </w:p>
    <w:p>
      <w:pPr>
        <w:pStyle w:val="BodyText"/>
        <w:spacing w:before="9"/>
      </w:pPr>
    </w:p>
    <w:p>
      <w:pPr>
        <w:pStyle w:val="BodyText"/>
        <w:spacing w:line="235" w:lineRule="auto"/>
        <w:ind w:left="705" w:right="167" w:hanging="541"/>
        <w:jc w:val="both"/>
      </w:pPr>
      <w:bookmarkStart w:name="_bookmark2809" w:id="2811"/>
      <w:bookmarkEnd w:id="2811"/>
      <w:r>
        <w:rPr/>
      </w:r>
      <w:hyperlink w:history="true" w:anchor="_bookmark2788">
        <w:r>
          <w:rPr>
            <w:color w:val="005DA1"/>
            <w:position w:val="5"/>
            <w:sz w:val="14"/>
            <w:u w:val="single" w:color="005DA1"/>
          </w:rPr>
          <w:t>1465</w:t>
        </w:r>
      </w:hyperlink>
      <w:r>
        <w:rPr>
          <w:position w:val="5"/>
          <w:sz w:val="14"/>
        </w:rPr>
        <w:t>.</w:t>
      </w:r>
      <w:r>
        <w:rPr>
          <w:spacing w:val="40"/>
          <w:position w:val="5"/>
          <w:sz w:val="14"/>
        </w:rPr>
        <w:t>  </w:t>
      </w:r>
      <w:r>
        <w:rPr/>
        <w:t>In cases where the contract provides “a substantial remedy” (as defined in s.9) for late </w:t>
      </w:r>
      <w:r>
        <w:rPr/>
        <w:t>payment of the debt, s.1(3) and Pt II of the Act (ss.7–10) permit the parties to oust or vary the right to statutory interest conferred by s.1(1).</w:t>
      </w:r>
    </w:p>
    <w:p>
      <w:pPr>
        <w:pStyle w:val="BodyText"/>
        <w:spacing w:before="9"/>
      </w:pPr>
    </w:p>
    <w:p>
      <w:pPr>
        <w:pStyle w:val="BodyText"/>
        <w:spacing w:line="235" w:lineRule="auto"/>
        <w:ind w:left="705" w:right="167" w:hanging="541"/>
        <w:jc w:val="both"/>
      </w:pPr>
      <w:bookmarkStart w:name="_bookmark2810" w:id="2812"/>
      <w:bookmarkEnd w:id="2812"/>
      <w:r>
        <w:rPr/>
      </w:r>
      <w:hyperlink w:history="true" w:anchor="_bookmark2789">
        <w:r>
          <w:rPr>
            <w:color w:val="005DA1"/>
            <w:position w:val="5"/>
            <w:sz w:val="14"/>
            <w:u w:val="single" w:color="005DA1"/>
          </w:rPr>
          <w:t>1466</w:t>
        </w:r>
      </w:hyperlink>
      <w:r>
        <w:rPr>
          <w:position w:val="5"/>
          <w:sz w:val="14"/>
        </w:rPr>
        <w:t>.</w:t>
      </w:r>
      <w:r>
        <w:rPr>
          <w:spacing w:val="40"/>
          <w:position w:val="5"/>
          <w:sz w:val="14"/>
        </w:rPr>
        <w:t>  </w:t>
      </w:r>
      <w:r>
        <w:rPr/>
        <w:t>As defined by s.3(1). Section 3(2) and (3) exclude debts where any other enactment or any rule of law confers a right to interest or to charge interest. By s.13, the Act applies to a qualifying debt despite any assignment of the debt or the transfer of the duty to pay it, or any change in</w:t>
      </w:r>
      <w:r>
        <w:rPr>
          <w:spacing w:val="40"/>
        </w:rPr>
        <w:t> </w:t>
      </w:r>
      <w:r>
        <w:rPr/>
        <w:t>the identity of the parties, whether by assignment, operation of law or otherwise.</w:t>
      </w:r>
    </w:p>
    <w:p>
      <w:pPr>
        <w:pStyle w:val="BodyText"/>
        <w:spacing w:before="4"/>
      </w:pPr>
    </w:p>
    <w:p>
      <w:pPr>
        <w:spacing w:before="0"/>
        <w:ind w:left="165" w:right="0" w:firstLine="0"/>
        <w:jc w:val="left"/>
        <w:rPr>
          <w:sz w:val="20"/>
        </w:rPr>
      </w:pPr>
      <w:bookmarkStart w:name="_bookmark2811" w:id="2813"/>
      <w:bookmarkEnd w:id="2813"/>
      <w:r>
        <w:rPr/>
      </w:r>
      <w:hyperlink w:history="true" w:anchor="_bookmark2790">
        <w:r>
          <w:rPr>
            <w:color w:val="005DA1"/>
            <w:position w:val="5"/>
            <w:sz w:val="14"/>
            <w:u w:val="single" w:color="005DA1"/>
          </w:rPr>
          <w:t>1467</w:t>
        </w:r>
      </w:hyperlink>
      <w:r>
        <w:rPr>
          <w:position w:val="5"/>
          <w:sz w:val="14"/>
        </w:rPr>
        <w:t>.</w:t>
      </w:r>
      <w:r>
        <w:rPr>
          <w:spacing w:val="55"/>
          <w:position w:val="5"/>
          <w:sz w:val="14"/>
        </w:rPr>
        <w:t>  </w:t>
      </w:r>
      <w:r>
        <w:rPr>
          <w:spacing w:val="-2"/>
          <w:sz w:val="20"/>
        </w:rPr>
        <w:t>s.1(1).</w:t>
      </w:r>
    </w:p>
    <w:p>
      <w:pPr>
        <w:pStyle w:val="BodyText"/>
        <w:spacing w:before="9"/>
      </w:pPr>
    </w:p>
    <w:p>
      <w:pPr>
        <w:pStyle w:val="BodyText"/>
        <w:spacing w:line="235" w:lineRule="auto"/>
        <w:ind w:left="705" w:right="167" w:hanging="541"/>
        <w:jc w:val="both"/>
      </w:pPr>
      <w:bookmarkStart w:name="_bookmark2812" w:id="2814"/>
      <w:bookmarkEnd w:id="2814"/>
      <w:r>
        <w:rPr/>
      </w:r>
      <w:hyperlink w:history="true" w:anchor="_bookmark2791">
        <w:r>
          <w:rPr>
            <w:color w:val="005DA1"/>
            <w:position w:val="5"/>
            <w:sz w:val="14"/>
            <w:u w:val="single" w:color="005DA1"/>
          </w:rPr>
          <w:t>1468</w:t>
        </w:r>
      </w:hyperlink>
      <w:r>
        <w:rPr>
          <w:position w:val="5"/>
          <w:sz w:val="14"/>
        </w:rPr>
        <w:t>.</w:t>
      </w:r>
      <w:r>
        <w:rPr>
          <w:spacing w:val="80"/>
          <w:position w:val="5"/>
          <w:sz w:val="14"/>
        </w:rPr>
        <w:t> </w:t>
      </w:r>
      <w:r>
        <w:rPr/>
        <w:t>s.6. Currently set at 8 per cent over the official dealing rate of the Bank of England: </w:t>
      </w:r>
      <w:r>
        <w:rPr/>
        <w:t>SI 2002/1675. For the purposes of s.6 the official dealing rate in force on June 30 applies in respect of interest which starts to run during the following six-month period July 1 to December 31,</w:t>
      </w:r>
      <w:r>
        <w:rPr>
          <w:spacing w:val="-2"/>
        </w:rPr>
        <w:t> </w:t>
      </w:r>
      <w:r>
        <w:rPr/>
        <w:t>and</w:t>
      </w:r>
      <w:r>
        <w:rPr>
          <w:spacing w:val="-2"/>
        </w:rPr>
        <w:t> </w:t>
      </w:r>
      <w:r>
        <w:rPr/>
        <w:t>the</w:t>
      </w:r>
      <w:r>
        <w:rPr>
          <w:spacing w:val="-2"/>
        </w:rPr>
        <w:t> </w:t>
      </w:r>
      <w:r>
        <w:rPr/>
        <w:t>rate</w:t>
      </w:r>
      <w:r>
        <w:rPr>
          <w:spacing w:val="-2"/>
        </w:rPr>
        <w:t> </w:t>
      </w:r>
      <w:r>
        <w:rPr/>
        <w:t>in</w:t>
      </w:r>
      <w:r>
        <w:rPr>
          <w:spacing w:val="-2"/>
        </w:rPr>
        <w:t> </w:t>
      </w:r>
      <w:r>
        <w:rPr/>
        <w:t>force</w:t>
      </w:r>
      <w:r>
        <w:rPr>
          <w:spacing w:val="-2"/>
        </w:rPr>
        <w:t> </w:t>
      </w:r>
      <w:r>
        <w:rPr/>
        <w:t>on</w:t>
      </w:r>
      <w:r>
        <w:rPr>
          <w:spacing w:val="-2"/>
        </w:rPr>
        <w:t> </w:t>
      </w:r>
      <w:r>
        <w:rPr/>
        <w:t>December</w:t>
      </w:r>
      <w:r>
        <w:rPr>
          <w:spacing w:val="-2"/>
        </w:rPr>
        <w:t> </w:t>
      </w:r>
      <w:r>
        <w:rPr/>
        <w:t>31</w:t>
      </w:r>
      <w:r>
        <w:rPr>
          <w:spacing w:val="-2"/>
        </w:rPr>
        <w:t> </w:t>
      </w:r>
      <w:r>
        <w:rPr/>
        <w:t>applies</w:t>
      </w:r>
      <w:r>
        <w:rPr>
          <w:spacing w:val="-2"/>
        </w:rPr>
        <w:t> </w:t>
      </w:r>
      <w:r>
        <w:rPr/>
        <w:t>to</w:t>
      </w:r>
      <w:r>
        <w:rPr>
          <w:spacing w:val="-2"/>
        </w:rPr>
        <w:t> </w:t>
      </w:r>
      <w:r>
        <w:rPr/>
        <w:t>interest</w:t>
      </w:r>
      <w:r>
        <w:rPr>
          <w:spacing w:val="-2"/>
        </w:rPr>
        <w:t> </w:t>
      </w:r>
      <w:r>
        <w:rPr/>
        <w:t>starting</w:t>
      </w:r>
      <w:r>
        <w:rPr>
          <w:spacing w:val="-2"/>
        </w:rPr>
        <w:t> </w:t>
      </w:r>
      <w:r>
        <w:rPr/>
        <w:t>during</w:t>
      </w:r>
      <w:r>
        <w:rPr>
          <w:spacing w:val="-2"/>
        </w:rPr>
        <w:t> </w:t>
      </w:r>
      <w:r>
        <w:rPr/>
        <w:t>the</w:t>
      </w:r>
      <w:r>
        <w:rPr>
          <w:spacing w:val="-2"/>
        </w:rPr>
        <w:t> </w:t>
      </w:r>
      <w:r>
        <w:rPr/>
        <w:t>six-month</w:t>
      </w:r>
      <w:r>
        <w:rPr>
          <w:spacing w:val="-2"/>
        </w:rPr>
        <w:t> </w:t>
      </w:r>
      <w:r>
        <w:rPr/>
        <w:t>period January 1 to June 30.</w:t>
      </w:r>
    </w:p>
    <w:p>
      <w:pPr>
        <w:pStyle w:val="BodyText"/>
        <w:spacing w:before="4"/>
      </w:pPr>
    </w:p>
    <w:p>
      <w:pPr>
        <w:pStyle w:val="BodyText"/>
        <w:spacing w:before="1"/>
        <w:ind w:left="165"/>
      </w:pPr>
      <w:bookmarkStart w:name="_bookmark2813" w:id="2815"/>
      <w:bookmarkEnd w:id="2815"/>
      <w:r>
        <w:rPr/>
      </w:r>
      <w:hyperlink w:history="true" w:anchor="_bookmark2792">
        <w:r>
          <w:rPr>
            <w:color w:val="005DA1"/>
            <w:position w:val="5"/>
            <w:sz w:val="14"/>
            <w:u w:val="single" w:color="005DA1"/>
          </w:rPr>
          <w:t>1469</w:t>
        </w:r>
      </w:hyperlink>
      <w:r>
        <w:rPr>
          <w:position w:val="5"/>
          <w:sz w:val="14"/>
        </w:rPr>
        <w:t>.</w:t>
      </w:r>
      <w:r>
        <w:rPr>
          <w:spacing w:val="55"/>
          <w:position w:val="5"/>
          <w:sz w:val="14"/>
        </w:rPr>
        <w:t>  </w:t>
      </w:r>
      <w:r>
        <w:rPr/>
        <w:t>s.5A,</w:t>
      </w:r>
      <w:r>
        <w:rPr>
          <w:spacing w:val="28"/>
        </w:rPr>
        <w:t> </w:t>
      </w:r>
      <w:r>
        <w:rPr/>
        <w:t>inserted</w:t>
      </w:r>
      <w:r>
        <w:rPr>
          <w:spacing w:val="27"/>
        </w:rPr>
        <w:t> </w:t>
      </w:r>
      <w:r>
        <w:rPr/>
        <w:t>by</w:t>
      </w:r>
      <w:r>
        <w:rPr>
          <w:spacing w:val="27"/>
        </w:rPr>
        <w:t> </w:t>
      </w:r>
      <w:r>
        <w:rPr/>
        <w:t>Late</w:t>
      </w:r>
      <w:r>
        <w:rPr>
          <w:spacing w:val="27"/>
        </w:rPr>
        <w:t> </w:t>
      </w:r>
      <w:r>
        <w:rPr/>
        <w:t>Payment</w:t>
      </w:r>
      <w:r>
        <w:rPr>
          <w:spacing w:val="27"/>
        </w:rPr>
        <w:t> </w:t>
      </w:r>
      <w:r>
        <w:rPr/>
        <w:t>of</w:t>
      </w:r>
      <w:r>
        <w:rPr>
          <w:spacing w:val="27"/>
        </w:rPr>
        <w:t> </w:t>
      </w:r>
      <w:r>
        <w:rPr/>
        <w:t>Commercial</w:t>
      </w:r>
      <w:r>
        <w:rPr>
          <w:spacing w:val="27"/>
        </w:rPr>
        <w:t> </w:t>
      </w:r>
      <w:r>
        <w:rPr/>
        <w:t>Debts</w:t>
      </w:r>
      <w:r>
        <w:rPr>
          <w:spacing w:val="27"/>
        </w:rPr>
        <w:t> </w:t>
      </w:r>
      <w:r>
        <w:rPr/>
        <w:t>Regulations</w:t>
      </w:r>
      <w:r>
        <w:rPr>
          <w:spacing w:val="27"/>
        </w:rPr>
        <w:t> </w:t>
      </w:r>
      <w:r>
        <w:rPr/>
        <w:t>2002</w:t>
      </w:r>
      <w:r>
        <w:rPr>
          <w:spacing w:val="27"/>
        </w:rPr>
        <w:t> </w:t>
      </w:r>
      <w:r>
        <w:rPr/>
        <w:t>(SI</w:t>
      </w:r>
      <w:r>
        <w:rPr>
          <w:spacing w:val="27"/>
        </w:rPr>
        <w:t> </w:t>
      </w:r>
      <w:r>
        <w:rPr/>
        <w:t>2002/1674).</w:t>
      </w:r>
      <w:r>
        <w:rPr>
          <w:spacing w:val="27"/>
        </w:rPr>
        <w:t> </w:t>
      </w:r>
      <w:r>
        <w:rPr>
          <w:spacing w:val="-5"/>
        </w:rPr>
        <w:t>The</w:t>
      </w:r>
    </w:p>
    <w:p>
      <w:pPr>
        <w:pStyle w:val="BodyText"/>
        <w:spacing w:after="0"/>
        <w:sectPr>
          <w:headerReference w:type="default" r:id="rId68"/>
          <w:pgSz w:w="11900" w:h="16840"/>
          <w:pgMar w:header="971" w:footer="0" w:top="1300" w:bottom="280" w:left="1275" w:right="1275"/>
          <w:pgNumType w:start="2"/>
        </w:sectPr>
      </w:pPr>
    </w:p>
    <w:p>
      <w:pPr>
        <w:pStyle w:val="BodyText"/>
        <w:spacing w:line="235" w:lineRule="auto" w:before="170"/>
        <w:ind w:left="705"/>
      </w:pPr>
      <w:r>
        <w:rPr/>
        <w:t>amount</w:t>
      </w:r>
      <w:r>
        <w:rPr>
          <w:spacing w:val="-2"/>
        </w:rPr>
        <w:t> </w:t>
      </w:r>
      <w:r>
        <w:rPr/>
        <w:t>of</w:t>
      </w:r>
      <w:r>
        <w:rPr>
          <w:spacing w:val="-2"/>
        </w:rPr>
        <w:t> </w:t>
      </w:r>
      <w:r>
        <w:rPr/>
        <w:t>compensation</w:t>
      </w:r>
      <w:r>
        <w:rPr>
          <w:spacing w:val="-2"/>
        </w:rPr>
        <w:t> </w:t>
      </w:r>
      <w:r>
        <w:rPr/>
        <w:t>is</w:t>
      </w:r>
      <w:r>
        <w:rPr>
          <w:spacing w:val="-2"/>
        </w:rPr>
        <w:t> </w:t>
      </w:r>
      <w:r>
        <w:rPr/>
        <w:t>fixed</w:t>
      </w:r>
      <w:r>
        <w:rPr>
          <w:spacing w:val="-2"/>
        </w:rPr>
        <w:t> </w:t>
      </w:r>
      <w:r>
        <w:rPr/>
        <w:t>on</w:t>
      </w:r>
      <w:r>
        <w:rPr>
          <w:spacing w:val="-2"/>
        </w:rPr>
        <w:t> </w:t>
      </w:r>
      <w:r>
        <w:rPr/>
        <w:t>a</w:t>
      </w:r>
      <w:r>
        <w:rPr>
          <w:spacing w:val="-2"/>
        </w:rPr>
        <w:t> </w:t>
      </w:r>
      <w:r>
        <w:rPr/>
        <w:t>scale</w:t>
      </w:r>
      <w:r>
        <w:rPr>
          <w:spacing w:val="-2"/>
        </w:rPr>
        <w:t> </w:t>
      </w:r>
      <w:r>
        <w:rPr/>
        <w:t>under</w:t>
      </w:r>
      <w:r>
        <w:rPr>
          <w:spacing w:val="-2"/>
        </w:rPr>
        <w:t> </w:t>
      </w:r>
      <w:r>
        <w:rPr/>
        <w:t>the</w:t>
      </w:r>
      <w:r>
        <w:rPr>
          <w:spacing w:val="-2"/>
        </w:rPr>
        <w:t> </w:t>
      </w:r>
      <w:r>
        <w:rPr/>
        <w:t>regulations</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size</w:t>
      </w:r>
      <w:r>
        <w:rPr>
          <w:spacing w:val="-2"/>
        </w:rPr>
        <w:t> </w:t>
      </w:r>
      <w:r>
        <w:rPr/>
        <w:t>of</w:t>
      </w:r>
      <w:r>
        <w:rPr>
          <w:spacing w:val="-2"/>
        </w:rPr>
        <w:t> </w:t>
      </w:r>
      <w:r>
        <w:rPr/>
        <w:t>the debt (see reg.2(4)): £40 for an unpaid debt up to £999; £70 from £1,000 to £9,999; and £100 </w:t>
      </w:r>
      <w:r>
        <w:rPr>
          <w:spacing w:val="-5"/>
        </w:rPr>
        <w:t>for</w:t>
      </w:r>
    </w:p>
    <w:p>
      <w:pPr>
        <w:pStyle w:val="BodyText"/>
        <w:spacing w:line="225" w:lineRule="exact"/>
        <w:ind w:left="705"/>
      </w:pPr>
      <w:r>
        <w:rPr/>
        <w:t>£10,000 and over. (The compensation is intended for recovery </w:t>
      </w:r>
      <w:r>
        <w:rPr>
          <w:spacing w:val="-2"/>
        </w:rPr>
        <w:t>costs.)</w:t>
      </w:r>
    </w:p>
    <w:p>
      <w:pPr>
        <w:pStyle w:val="BodyText"/>
        <w:spacing w:before="9"/>
      </w:pPr>
    </w:p>
    <w:p>
      <w:pPr>
        <w:pStyle w:val="BodyText"/>
        <w:spacing w:line="235" w:lineRule="auto"/>
        <w:ind w:left="705" w:right="167" w:hanging="541"/>
        <w:jc w:val="both"/>
      </w:pPr>
      <w:bookmarkStart w:name="_bookmark2814" w:id="2816"/>
      <w:bookmarkEnd w:id="2816"/>
      <w:r>
        <w:rPr/>
      </w:r>
      <w:hyperlink w:history="true" w:anchor="_bookmark2793">
        <w:r>
          <w:rPr>
            <w:color w:val="005DA1"/>
            <w:position w:val="5"/>
            <w:sz w:val="14"/>
            <w:u w:val="single" w:color="005DA1"/>
          </w:rPr>
          <w:t>1470</w:t>
        </w:r>
      </w:hyperlink>
      <w:r>
        <w:rPr>
          <w:position w:val="5"/>
          <w:sz w:val="14"/>
        </w:rPr>
        <w:t>.</w:t>
      </w:r>
      <w:r>
        <w:rPr>
          <w:spacing w:val="80"/>
          <w:position w:val="5"/>
          <w:sz w:val="14"/>
        </w:rPr>
        <w:t> </w:t>
      </w:r>
      <w:r>
        <w:rPr/>
        <w:t>Late Payment of Commercial Debts Regulations 2013 (SI 2013/395), in force since March 16, 2013, Late Payment of Commercial Debts (No.2) Regulations 2013 (SI 2013/908), in </w:t>
      </w:r>
      <w:r>
        <w:rPr/>
        <w:t>force</w:t>
      </w:r>
      <w:r>
        <w:rPr>
          <w:spacing w:val="40"/>
        </w:rPr>
        <w:t> </w:t>
      </w:r>
      <w:r>
        <w:rPr/>
        <w:t>since May 14, 2013 and Late Payment of Commercial Debts (Amendment) Regulations 2015 (SI 2015/1336), in force since June 21, 2015. The Regulations implement Directive 2011/7/EU of the European Parliament and of the Council of 16 February 2011 on combating late payment in commercial transactions.</w:t>
      </w:r>
    </w:p>
    <w:p>
      <w:pPr>
        <w:pStyle w:val="BodyText"/>
        <w:spacing w:before="8"/>
      </w:pPr>
    </w:p>
    <w:p>
      <w:pPr>
        <w:spacing w:line="235" w:lineRule="auto" w:before="0"/>
        <w:ind w:left="705" w:right="167" w:hanging="541"/>
        <w:jc w:val="both"/>
        <w:rPr>
          <w:sz w:val="20"/>
        </w:rPr>
      </w:pPr>
      <w:bookmarkStart w:name="_bookmark2815" w:id="2817"/>
      <w:bookmarkEnd w:id="2817"/>
      <w:r>
        <w:rPr/>
      </w:r>
      <w:hyperlink w:history="true" w:anchor="_bookmark2794">
        <w:r>
          <w:rPr>
            <w:color w:val="005DA1"/>
            <w:position w:val="5"/>
            <w:sz w:val="14"/>
            <w:u w:val="single" w:color="005DA1"/>
          </w:rPr>
          <w:t>1471</w:t>
        </w:r>
      </w:hyperlink>
      <w:r>
        <w:rPr>
          <w:position w:val="5"/>
          <w:sz w:val="14"/>
        </w:rPr>
        <w:t>.</w:t>
      </w:r>
      <w:r>
        <w:rPr>
          <w:spacing w:val="80"/>
          <w:w w:val="150"/>
          <w:position w:val="5"/>
          <w:sz w:val="14"/>
        </w:rPr>
        <w:t> </w:t>
      </w:r>
      <w:r>
        <w:rPr>
          <w:sz w:val="20"/>
        </w:rPr>
        <w:t>s.4(2) and (2A). The provision applies only to a date agreed in advance, not one agreed only after performance: </w:t>
      </w:r>
      <w:r>
        <w:rPr>
          <w:rFonts w:ascii="Arial" w:hAnsi="Arial"/>
          <w:i/>
          <w:sz w:val="20"/>
        </w:rPr>
        <w:t>Ruttle Plant Hire Ltd v Secretary of State for Environment, Food and </w:t>
      </w:r>
      <w:r>
        <w:rPr>
          <w:rFonts w:ascii="Arial" w:hAnsi="Arial"/>
          <w:i/>
          <w:sz w:val="20"/>
        </w:rPr>
        <w:t>Rural Affairs [2009] EWCA Civ 97 </w:t>
      </w:r>
      <w:r>
        <w:rPr>
          <w:sz w:val="20"/>
        </w:rPr>
        <w:t>at [25]. The agreed date “may depend on the happening of an</w:t>
      </w:r>
      <w:r>
        <w:rPr>
          <w:spacing w:val="40"/>
          <w:sz w:val="20"/>
        </w:rPr>
        <w:t> </w:t>
      </w:r>
      <w:r>
        <w:rPr>
          <w:sz w:val="20"/>
        </w:rPr>
        <w:t>event or the failure of an event to happen”: s.4(2C). Section 14 extends the application of the Unfair Contract Terms Act 1977 to a contract term postponing the time when a qualifying debt would otherwise arise.</w:t>
      </w:r>
    </w:p>
    <w:p>
      <w:pPr>
        <w:pStyle w:val="BodyText"/>
        <w:spacing w:before="4"/>
      </w:pPr>
    </w:p>
    <w:p>
      <w:pPr>
        <w:spacing w:before="0"/>
        <w:ind w:left="165" w:right="0" w:firstLine="0"/>
        <w:jc w:val="left"/>
        <w:rPr>
          <w:sz w:val="20"/>
        </w:rPr>
      </w:pPr>
      <w:bookmarkStart w:name="_bookmark2816" w:id="2818"/>
      <w:bookmarkEnd w:id="2818"/>
      <w:r>
        <w:rPr/>
      </w:r>
      <w:hyperlink w:history="true" w:anchor="_bookmark2795">
        <w:r>
          <w:rPr>
            <w:color w:val="005DA1"/>
            <w:position w:val="5"/>
            <w:sz w:val="14"/>
            <w:u w:val="single" w:color="005DA1"/>
          </w:rPr>
          <w:t>1472</w:t>
        </w:r>
      </w:hyperlink>
      <w:r>
        <w:rPr>
          <w:position w:val="5"/>
          <w:sz w:val="14"/>
        </w:rPr>
        <w:t>.</w:t>
      </w:r>
      <w:r>
        <w:rPr>
          <w:spacing w:val="55"/>
          <w:position w:val="5"/>
          <w:sz w:val="14"/>
        </w:rPr>
        <w:t>  </w:t>
      </w:r>
      <w:r>
        <w:rPr>
          <w:sz w:val="20"/>
        </w:rPr>
        <w:t>ss.4(2G)</w:t>
      </w:r>
      <w:r>
        <w:rPr>
          <w:spacing w:val="1"/>
          <w:sz w:val="20"/>
        </w:rPr>
        <w:t> </w:t>
      </w:r>
      <w:r>
        <w:rPr>
          <w:sz w:val="20"/>
        </w:rPr>
        <w:t>and </w:t>
      </w:r>
      <w:r>
        <w:rPr>
          <w:spacing w:val="-5"/>
          <w:sz w:val="20"/>
        </w:rPr>
        <w:t>11.</w:t>
      </w:r>
    </w:p>
    <w:p>
      <w:pPr>
        <w:pStyle w:val="BodyText"/>
        <w:spacing w:before="8"/>
      </w:pPr>
    </w:p>
    <w:p>
      <w:pPr>
        <w:pStyle w:val="BodyText"/>
        <w:spacing w:line="235" w:lineRule="auto" w:before="1"/>
        <w:ind w:left="705" w:hanging="541"/>
      </w:pPr>
      <w:bookmarkStart w:name="_bookmark2817" w:id="2819"/>
      <w:bookmarkEnd w:id="2819"/>
      <w:r>
        <w:rPr/>
      </w:r>
      <w:hyperlink w:history="true" w:anchor="_bookmark2796">
        <w:r>
          <w:rPr>
            <w:color w:val="005DA1"/>
            <w:position w:val="5"/>
            <w:sz w:val="14"/>
            <w:u w:val="single" w:color="005DA1"/>
          </w:rPr>
          <w:t>1473</w:t>
        </w:r>
      </w:hyperlink>
      <w:r>
        <w:rPr>
          <w:position w:val="5"/>
          <w:sz w:val="14"/>
        </w:rPr>
        <w:t>.</w:t>
      </w:r>
      <w:r>
        <w:rPr>
          <w:spacing w:val="40"/>
          <w:position w:val="5"/>
          <w:sz w:val="14"/>
        </w:rPr>
        <w:t>  </w:t>
      </w:r>
      <w:r>
        <w:rPr/>
        <w:t>s.11(3).</w:t>
      </w:r>
      <w:r>
        <w:rPr>
          <w:spacing w:val="40"/>
        </w:rPr>
        <w:t> </w:t>
      </w:r>
      <w:r>
        <w:rPr/>
        <w:t>Section</w:t>
      </w:r>
      <w:r>
        <w:rPr>
          <w:spacing w:val="40"/>
        </w:rPr>
        <w:t> </w:t>
      </w:r>
      <w:r>
        <w:rPr/>
        <w:t>11(4)–(7)</w:t>
      </w:r>
      <w:r>
        <w:rPr>
          <w:spacing w:val="40"/>
        </w:rPr>
        <w:t> </w:t>
      </w:r>
      <w:r>
        <w:rPr/>
        <w:t>prescribe</w:t>
      </w:r>
      <w:r>
        <w:rPr>
          <w:spacing w:val="40"/>
        </w:rPr>
        <w:t> </w:t>
      </w:r>
      <w:r>
        <w:rPr/>
        <w:t>detailed</w:t>
      </w:r>
      <w:r>
        <w:rPr>
          <w:spacing w:val="40"/>
        </w:rPr>
        <w:t> </w:t>
      </w:r>
      <w:r>
        <w:rPr/>
        <w:t>rules</w:t>
      </w:r>
      <w:r>
        <w:rPr>
          <w:spacing w:val="40"/>
        </w:rPr>
        <w:t> </w:t>
      </w:r>
      <w:r>
        <w:rPr/>
        <w:t>on</w:t>
      </w:r>
      <w:r>
        <w:rPr>
          <w:spacing w:val="40"/>
        </w:rPr>
        <w:t> </w:t>
      </w:r>
      <w:r>
        <w:rPr/>
        <w:t>advance</w:t>
      </w:r>
      <w:r>
        <w:rPr>
          <w:spacing w:val="40"/>
        </w:rPr>
        <w:t> </w:t>
      </w:r>
      <w:r>
        <w:rPr/>
        <w:t>payments</w:t>
      </w:r>
      <w:r>
        <w:rPr>
          <w:spacing w:val="40"/>
        </w:rPr>
        <w:t> </w:t>
      </w:r>
      <w:r>
        <w:rPr/>
        <w:t>in</w:t>
      </w:r>
      <w:r>
        <w:rPr>
          <w:spacing w:val="40"/>
        </w:rPr>
        <w:t> </w:t>
      </w:r>
      <w:r>
        <w:rPr/>
        <w:t>respect</w:t>
      </w:r>
      <w:r>
        <w:rPr>
          <w:spacing w:val="40"/>
        </w:rPr>
        <w:t> </w:t>
      </w:r>
      <w:r>
        <w:rPr/>
        <w:t>of</w:t>
      </w:r>
      <w:r>
        <w:rPr>
          <w:spacing w:val="40"/>
        </w:rPr>
        <w:t> </w:t>
      </w:r>
      <w:r>
        <w:rPr/>
        <w:t>part performance or the hire of goods.</w:t>
      </w:r>
    </w:p>
    <w:p>
      <w:pPr>
        <w:pStyle w:val="BodyText"/>
        <w:spacing w:before="5"/>
      </w:pPr>
    </w:p>
    <w:p>
      <w:pPr>
        <w:pStyle w:val="BodyText"/>
        <w:ind w:left="165"/>
      </w:pPr>
      <w:bookmarkStart w:name="_bookmark2818" w:id="2820"/>
      <w:bookmarkEnd w:id="2820"/>
      <w:r>
        <w:rPr/>
      </w:r>
      <w:hyperlink w:history="true" w:anchor="_bookmark2797">
        <w:r>
          <w:rPr>
            <w:color w:val="005DA1"/>
            <w:position w:val="5"/>
            <w:sz w:val="14"/>
            <w:u w:val="single" w:color="005DA1"/>
          </w:rPr>
          <w:t>1474</w:t>
        </w:r>
      </w:hyperlink>
      <w:r>
        <w:rPr>
          <w:position w:val="5"/>
          <w:sz w:val="14"/>
        </w:rPr>
        <w:t>.</w:t>
      </w:r>
      <w:r>
        <w:rPr>
          <w:spacing w:val="55"/>
          <w:position w:val="5"/>
          <w:sz w:val="14"/>
        </w:rPr>
        <w:t>  </w:t>
      </w:r>
      <w:r>
        <w:rPr/>
        <w:t>s.4(2D);</w:t>
      </w:r>
      <w:r>
        <w:rPr>
          <w:spacing w:val="1"/>
        </w:rPr>
        <w:t> </w:t>
      </w:r>
      <w:r>
        <w:rPr/>
        <w:t>for how the relevant period is calculated, see below, para.26-</w:t>
      </w:r>
      <w:r>
        <w:rPr>
          <w:spacing w:val="-4"/>
        </w:rPr>
        <w:t>234.</w:t>
      </w:r>
    </w:p>
    <w:p>
      <w:pPr>
        <w:pStyle w:val="BodyText"/>
        <w:spacing w:before="5"/>
      </w:pPr>
    </w:p>
    <w:p>
      <w:pPr>
        <w:spacing w:before="0"/>
        <w:ind w:left="165" w:right="0" w:firstLine="0"/>
        <w:jc w:val="left"/>
        <w:rPr>
          <w:sz w:val="20"/>
        </w:rPr>
      </w:pPr>
      <w:bookmarkStart w:name="_bookmark2819" w:id="2821"/>
      <w:bookmarkEnd w:id="2821"/>
      <w:r>
        <w:rPr/>
      </w:r>
      <w:hyperlink w:history="true" w:anchor="_bookmark2798">
        <w:r>
          <w:rPr>
            <w:color w:val="005DA1"/>
            <w:position w:val="5"/>
            <w:sz w:val="14"/>
            <w:u w:val="single" w:color="005DA1"/>
          </w:rPr>
          <w:t>1475</w:t>
        </w:r>
      </w:hyperlink>
      <w:r>
        <w:rPr>
          <w:position w:val="5"/>
          <w:sz w:val="14"/>
        </w:rPr>
        <w:t>.</w:t>
      </w:r>
      <w:r>
        <w:rPr>
          <w:spacing w:val="55"/>
          <w:position w:val="5"/>
          <w:sz w:val="14"/>
        </w:rPr>
        <w:t>  </w:t>
      </w:r>
      <w:r>
        <w:rPr>
          <w:spacing w:val="-2"/>
          <w:sz w:val="20"/>
        </w:rPr>
        <w:t>s.4(2A).</w:t>
      </w:r>
    </w:p>
    <w:p>
      <w:pPr>
        <w:pStyle w:val="BodyText"/>
        <w:spacing w:before="5"/>
      </w:pPr>
    </w:p>
    <w:p>
      <w:pPr>
        <w:pStyle w:val="BodyText"/>
        <w:ind w:left="165"/>
      </w:pPr>
      <w:bookmarkStart w:name="_bookmark2820" w:id="2822"/>
      <w:bookmarkEnd w:id="2822"/>
      <w:r>
        <w:rPr/>
      </w:r>
      <w:hyperlink w:history="true" w:anchor="_bookmark2799">
        <w:r>
          <w:rPr>
            <w:color w:val="005DA1"/>
            <w:position w:val="5"/>
            <w:sz w:val="14"/>
            <w:u w:val="single" w:color="005DA1"/>
          </w:rPr>
          <w:t>1476</w:t>
        </w:r>
      </w:hyperlink>
      <w:r>
        <w:rPr>
          <w:position w:val="5"/>
          <w:sz w:val="14"/>
        </w:rPr>
        <w:t>.</w:t>
      </w:r>
      <w:r>
        <w:rPr>
          <w:spacing w:val="55"/>
          <w:position w:val="5"/>
          <w:sz w:val="14"/>
        </w:rPr>
        <w:t>  </w:t>
      </w:r>
      <w:r>
        <w:rPr/>
        <w:t>s.4(2E);</w:t>
      </w:r>
      <w:r>
        <w:rPr>
          <w:spacing w:val="1"/>
        </w:rPr>
        <w:t> </w:t>
      </w:r>
      <w:r>
        <w:rPr/>
        <w:t>the period is calculated in the same way as the 30-day period, see below, para.26-</w:t>
      </w:r>
      <w:r>
        <w:rPr>
          <w:spacing w:val="-4"/>
        </w:rPr>
        <w:t>234.</w:t>
      </w:r>
    </w:p>
    <w:p>
      <w:pPr>
        <w:pStyle w:val="BodyText"/>
        <w:spacing w:before="5"/>
      </w:pPr>
    </w:p>
    <w:p>
      <w:pPr>
        <w:spacing w:before="0"/>
        <w:ind w:left="165" w:right="0" w:firstLine="0"/>
        <w:jc w:val="left"/>
        <w:rPr>
          <w:sz w:val="20"/>
        </w:rPr>
      </w:pPr>
      <w:bookmarkStart w:name="_bookmark2821" w:id="2823"/>
      <w:bookmarkEnd w:id="2823"/>
      <w:r>
        <w:rPr/>
      </w:r>
      <w:hyperlink w:history="true" w:anchor="_bookmark2800">
        <w:r>
          <w:rPr>
            <w:color w:val="005DA1"/>
            <w:position w:val="5"/>
            <w:sz w:val="14"/>
            <w:u w:val="single" w:color="005DA1"/>
          </w:rPr>
          <w:t>1477</w:t>
        </w:r>
      </w:hyperlink>
      <w:r>
        <w:rPr>
          <w:position w:val="5"/>
          <w:sz w:val="14"/>
        </w:rPr>
        <w:t>.</w:t>
      </w:r>
      <w:r>
        <w:rPr>
          <w:spacing w:val="55"/>
          <w:position w:val="5"/>
          <w:sz w:val="14"/>
        </w:rPr>
        <w:t>  </w:t>
      </w:r>
      <w:r>
        <w:rPr>
          <w:spacing w:val="-2"/>
          <w:sz w:val="20"/>
        </w:rPr>
        <w:t>s.4(2A).</w:t>
      </w:r>
    </w:p>
    <w:p>
      <w:pPr>
        <w:pStyle w:val="BodyText"/>
        <w:spacing w:before="12"/>
      </w:pPr>
    </w:p>
    <w:p>
      <w:pPr>
        <w:spacing w:line="137" w:lineRule="exact" w:before="0"/>
        <w:ind w:left="165" w:right="0" w:firstLine="0"/>
        <w:jc w:val="left"/>
        <w:rPr>
          <w:sz w:val="14"/>
        </w:rPr>
      </w:pPr>
      <w:bookmarkStart w:name="_bookmark2822" w:id="2824"/>
      <w:bookmarkEnd w:id="2824"/>
      <w:r>
        <w:rPr/>
      </w:r>
      <w:hyperlink w:history="true" w:anchor="_bookmark2800">
        <w:r>
          <w:rPr>
            <w:color w:val="005DA1"/>
            <w:spacing w:val="-2"/>
            <w:sz w:val="14"/>
            <w:u w:val="single" w:color="005DA1"/>
          </w:rPr>
          <w:t>1478</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90944">
            <wp:simplePos x="0" y="0"/>
            <wp:positionH relativeFrom="page">
              <wp:posOffset>1257846</wp:posOffset>
            </wp:positionH>
            <wp:positionV relativeFrom="paragraph">
              <wp:posOffset>13075</wp:posOffset>
            </wp:positionV>
            <wp:extent cx="107988" cy="107988"/>
            <wp:effectExtent l="0" t="0" r="0" b="0"/>
            <wp:wrapNone/>
            <wp:docPr id="1328" name="Image 1328"/>
            <wp:cNvGraphicFramePr>
              <a:graphicFrameLocks/>
            </wp:cNvGraphicFramePr>
            <a:graphic>
              <a:graphicData uri="http://schemas.openxmlformats.org/drawingml/2006/picture">
                <pic:pic>
                  <pic:nvPicPr>
                    <pic:cNvPr id="1328" name="Image 1328"/>
                    <pic:cNvPicPr/>
                  </pic:nvPicPr>
                  <pic:blipFill>
                    <a:blip r:embed="rId6" cstate="print"/>
                    <a:stretch>
                      <a:fillRect/>
                    </a:stretch>
                  </pic:blipFill>
                  <pic:spPr>
                    <a:xfrm>
                      <a:off x="0" y="0"/>
                      <a:ext cx="107988" cy="107988"/>
                    </a:xfrm>
                    <a:prstGeom prst="rect">
                      <a:avLst/>
                    </a:prstGeom>
                  </pic:spPr>
                </pic:pic>
              </a:graphicData>
            </a:graphic>
          </wp:anchor>
        </w:drawing>
      </w:r>
      <w:r>
        <w:rPr/>
        <w:t>s.4(2F).</w:t>
      </w:r>
      <w:r>
        <w:rPr>
          <w:spacing w:val="39"/>
        </w:rPr>
        <w:t> </w:t>
      </w:r>
      <w:r>
        <w:rPr/>
        <w:t>The</w:t>
      </w:r>
      <w:r>
        <w:rPr>
          <w:spacing w:val="39"/>
        </w:rPr>
        <w:t> </w:t>
      </w:r>
      <w:r>
        <w:rPr/>
        <w:t>Late</w:t>
      </w:r>
      <w:r>
        <w:rPr>
          <w:spacing w:val="39"/>
        </w:rPr>
        <w:t> </w:t>
      </w:r>
      <w:r>
        <w:rPr/>
        <w:t>Payment</w:t>
      </w:r>
      <w:r>
        <w:rPr>
          <w:spacing w:val="39"/>
        </w:rPr>
        <w:t> </w:t>
      </w:r>
      <w:r>
        <w:rPr/>
        <w:t>of</w:t>
      </w:r>
      <w:r>
        <w:rPr>
          <w:spacing w:val="39"/>
        </w:rPr>
        <w:t> </w:t>
      </w:r>
      <w:r>
        <w:rPr/>
        <w:t>Commercial</w:t>
      </w:r>
      <w:r>
        <w:rPr>
          <w:spacing w:val="39"/>
        </w:rPr>
        <w:t> </w:t>
      </w:r>
      <w:r>
        <w:rPr/>
        <w:t>Debts</w:t>
      </w:r>
      <w:r>
        <w:rPr>
          <w:spacing w:val="39"/>
        </w:rPr>
        <w:t> </w:t>
      </w:r>
      <w:r>
        <w:rPr/>
        <w:t>Regulations</w:t>
      </w:r>
      <w:r>
        <w:rPr>
          <w:spacing w:val="39"/>
        </w:rPr>
        <w:t> </w:t>
      </w:r>
      <w:r>
        <w:rPr/>
        <w:t>2002</w:t>
      </w:r>
      <w:r>
        <w:rPr>
          <w:spacing w:val="39"/>
        </w:rPr>
        <w:t> </w:t>
      </w:r>
      <w:r>
        <w:rPr/>
        <w:t>(SI</w:t>
      </w:r>
      <w:r>
        <w:rPr>
          <w:spacing w:val="39"/>
        </w:rPr>
        <w:t> </w:t>
      </w:r>
      <w:r>
        <w:rPr/>
        <w:t>2002/1674)</w:t>
      </w:r>
      <w:r>
        <w:rPr>
          <w:spacing w:val="39"/>
        </w:rPr>
        <w:t> </w:t>
      </w:r>
      <w:r>
        <w:rPr>
          <w:spacing w:val="-2"/>
        </w:rPr>
        <w:t>reg.3,</w:t>
      </w:r>
    </w:p>
    <w:p>
      <w:pPr>
        <w:pStyle w:val="BodyText"/>
        <w:spacing w:line="235" w:lineRule="auto" w:before="2"/>
        <w:ind w:left="705" w:right="167"/>
        <w:jc w:val="both"/>
      </w:pPr>
      <w:r>
        <w:rPr/>
        <w:t>allow representative bodies to bring proceedings in the High Court on behalf of small </w:t>
      </w:r>
      <w:r>
        <w:rPr/>
        <w:t>and medium-sized enterprises to obtain an injunction preventing other businesses using terms purporting to oust or vary the right to statutory interest in relation to qualifying debts created by those contracts. The Department of Business, Innovations and Skills has consulted on amendments to this regime: Late Payment: challenging “grossly unfair” terms and practices: Consultation Paper (2015).</w:t>
      </w:r>
    </w:p>
    <w:p>
      <w:pPr>
        <w:pStyle w:val="BodyText"/>
        <w:spacing w:before="7"/>
      </w:pPr>
    </w:p>
    <w:p>
      <w:pPr>
        <w:pStyle w:val="BodyText"/>
        <w:spacing w:line="235" w:lineRule="auto"/>
        <w:ind w:left="705" w:right="174" w:hanging="541"/>
      </w:pPr>
      <w:bookmarkStart w:name="_bookmark2823" w:id="2825"/>
      <w:bookmarkEnd w:id="2825"/>
      <w:r>
        <w:rPr/>
      </w:r>
      <w:hyperlink w:history="true" w:anchor="_bookmark2801">
        <w:r>
          <w:rPr>
            <w:color w:val="005DA1"/>
            <w:position w:val="5"/>
            <w:sz w:val="14"/>
            <w:u w:val="single" w:color="005DA1"/>
          </w:rPr>
          <w:t>1479</w:t>
        </w:r>
      </w:hyperlink>
      <w:r>
        <w:rPr>
          <w:position w:val="5"/>
          <w:sz w:val="14"/>
        </w:rPr>
        <w:t>.</w:t>
      </w:r>
      <w:r>
        <w:rPr>
          <w:spacing w:val="40"/>
          <w:position w:val="5"/>
          <w:sz w:val="14"/>
        </w:rPr>
        <w:t>  </w:t>
      </w:r>
      <w:r>
        <w:rPr/>
        <w:t>s.4(2A)(b) and (2H)(a). If the debt arises from a period of hire of goods, the 30 days runs from</w:t>
      </w:r>
      <w:r>
        <w:rPr>
          <w:spacing w:val="40"/>
        </w:rPr>
        <w:t> </w:t>
      </w:r>
      <w:r>
        <w:rPr/>
        <w:t>the last day of that period: s.4(6).</w:t>
      </w:r>
    </w:p>
    <w:p>
      <w:pPr>
        <w:pStyle w:val="BodyText"/>
        <w:spacing w:before="9"/>
      </w:pPr>
    </w:p>
    <w:p>
      <w:pPr>
        <w:pStyle w:val="BodyText"/>
        <w:spacing w:line="235" w:lineRule="auto" w:before="1"/>
        <w:ind w:left="705" w:right="167" w:hanging="541"/>
        <w:jc w:val="both"/>
      </w:pPr>
      <w:bookmarkStart w:name="_bookmark2824" w:id="2826"/>
      <w:bookmarkEnd w:id="2826"/>
      <w:r>
        <w:rPr/>
      </w:r>
      <w:hyperlink w:history="true" w:anchor="_bookmark2802">
        <w:r>
          <w:rPr>
            <w:color w:val="005DA1"/>
            <w:position w:val="5"/>
            <w:sz w:val="14"/>
            <w:u w:val="single" w:color="005DA1"/>
          </w:rPr>
          <w:t>1480</w:t>
        </w:r>
      </w:hyperlink>
      <w:r>
        <w:rPr>
          <w:position w:val="5"/>
          <w:sz w:val="14"/>
        </w:rPr>
        <w:t>.</w:t>
      </w:r>
      <w:r>
        <w:rPr>
          <w:spacing w:val="80"/>
          <w:position w:val="5"/>
          <w:sz w:val="14"/>
        </w:rPr>
        <w:t> </w:t>
      </w:r>
      <w:r>
        <w:rPr/>
        <w:t>If the amount is unascertained, the 30-day period runs from the day when the purchaser has notice of the sum claimed: s.4(2H)(b). The amount claimed need not be accurate for s.4(2H)(b) to</w:t>
      </w:r>
      <w:r>
        <w:rPr>
          <w:spacing w:val="-2"/>
        </w:rPr>
        <w:t> </w:t>
      </w:r>
      <w:r>
        <w:rPr/>
        <w:t>apply.</w:t>
      </w:r>
      <w:r>
        <w:rPr>
          <w:spacing w:val="-2"/>
        </w:rPr>
        <w:t> </w:t>
      </w:r>
      <w:r>
        <w:rPr/>
        <w:t>The</w:t>
      </w:r>
      <w:r>
        <w:rPr>
          <w:spacing w:val="-2"/>
        </w:rPr>
        <w:t> </w:t>
      </w:r>
      <w:r>
        <w:rPr/>
        <w:t>debtor</w:t>
      </w:r>
      <w:r>
        <w:rPr>
          <w:spacing w:val="-2"/>
        </w:rPr>
        <w:t> </w:t>
      </w:r>
      <w:r>
        <w:rPr/>
        <w:t>should</w:t>
      </w:r>
      <w:r>
        <w:rPr>
          <w:spacing w:val="-2"/>
        </w:rPr>
        <w:t> </w:t>
      </w:r>
      <w:r>
        <w:rPr/>
        <w:t>pay</w:t>
      </w:r>
      <w:r>
        <w:rPr>
          <w:spacing w:val="-2"/>
        </w:rPr>
        <w:t> </w:t>
      </w:r>
      <w:r>
        <w:rPr/>
        <w:t>what</w:t>
      </w:r>
      <w:r>
        <w:rPr>
          <w:spacing w:val="-2"/>
        </w:rPr>
        <w:t> </w:t>
      </w:r>
      <w:r>
        <w:rPr/>
        <w:t>it</w:t>
      </w:r>
      <w:r>
        <w:rPr>
          <w:spacing w:val="-2"/>
        </w:rPr>
        <w:t> </w:t>
      </w:r>
      <w:r>
        <w:rPr/>
        <w:t>thinks</w:t>
      </w:r>
      <w:r>
        <w:rPr>
          <w:spacing w:val="-2"/>
        </w:rPr>
        <w:t> </w:t>
      </w:r>
      <w:r>
        <w:rPr/>
        <w:t>is</w:t>
      </w:r>
      <w:r>
        <w:rPr>
          <w:spacing w:val="-2"/>
        </w:rPr>
        <w:t> </w:t>
      </w:r>
      <w:r>
        <w:rPr/>
        <w:t>due</w:t>
      </w:r>
      <w:r>
        <w:rPr>
          <w:spacing w:val="-2"/>
        </w:rPr>
        <w:t> </w:t>
      </w:r>
      <w:r>
        <w:rPr/>
        <w:t>and</w:t>
      </w:r>
      <w:r>
        <w:rPr>
          <w:spacing w:val="-2"/>
        </w:rPr>
        <w:t> </w:t>
      </w:r>
      <w:r>
        <w:rPr/>
        <w:t>ask</w:t>
      </w:r>
      <w:r>
        <w:rPr>
          <w:spacing w:val="-2"/>
        </w:rPr>
        <w:t> </w:t>
      </w:r>
      <w:r>
        <w:rPr/>
        <w:t>for</w:t>
      </w:r>
      <w:r>
        <w:rPr>
          <w:spacing w:val="-2"/>
        </w:rPr>
        <w:t> </w:t>
      </w:r>
      <w:r>
        <w:rPr/>
        <w:t>substantiation</w:t>
      </w:r>
      <w:r>
        <w:rPr>
          <w:spacing w:val="-2"/>
        </w:rPr>
        <w:t> </w:t>
      </w:r>
      <w:r>
        <w:rPr/>
        <w:t>of</w:t>
      </w:r>
      <w:r>
        <w:rPr>
          <w:spacing w:val="-2"/>
        </w:rPr>
        <w:t> </w:t>
      </w:r>
      <w:r>
        <w:rPr/>
        <w:t>the</w:t>
      </w:r>
      <w:r>
        <w:rPr>
          <w:spacing w:val="-2"/>
        </w:rPr>
        <w:t> </w:t>
      </w:r>
      <w:r>
        <w:rPr/>
        <w:t>balance.</w:t>
      </w:r>
      <w:r>
        <w:rPr>
          <w:spacing w:val="-2"/>
        </w:rPr>
        <w:t> </w:t>
      </w:r>
      <w:r>
        <w:rPr/>
        <w:t>If it has</w:t>
      </w:r>
      <w:r>
        <w:rPr>
          <w:spacing w:val="2"/>
        </w:rPr>
        <w:t> </w:t>
      </w:r>
      <w:r>
        <w:rPr/>
        <w:t>paid</w:t>
      </w:r>
      <w:r>
        <w:rPr>
          <w:spacing w:val="2"/>
        </w:rPr>
        <w:t> </w:t>
      </w:r>
      <w:r>
        <w:rPr/>
        <w:t>less</w:t>
      </w:r>
      <w:r>
        <w:rPr>
          <w:spacing w:val="2"/>
        </w:rPr>
        <w:t> </w:t>
      </w:r>
      <w:r>
        <w:rPr/>
        <w:t>than</w:t>
      </w:r>
      <w:r>
        <w:rPr>
          <w:spacing w:val="2"/>
        </w:rPr>
        <w:t> </w:t>
      </w:r>
      <w:r>
        <w:rPr/>
        <w:t>is</w:t>
      </w:r>
      <w:r>
        <w:rPr>
          <w:spacing w:val="2"/>
        </w:rPr>
        <w:t> </w:t>
      </w:r>
      <w:r>
        <w:rPr/>
        <w:t>really</w:t>
      </w:r>
      <w:r>
        <w:rPr>
          <w:spacing w:val="2"/>
        </w:rPr>
        <w:t> </w:t>
      </w:r>
      <w:r>
        <w:rPr/>
        <w:t>due,</w:t>
      </w:r>
      <w:r>
        <w:rPr>
          <w:spacing w:val="2"/>
        </w:rPr>
        <w:t> </w:t>
      </w:r>
      <w:r>
        <w:rPr/>
        <w:t>it</w:t>
      </w:r>
      <w:r>
        <w:rPr>
          <w:spacing w:val="2"/>
        </w:rPr>
        <w:t> </w:t>
      </w:r>
      <w:r>
        <w:rPr/>
        <w:t>can</w:t>
      </w:r>
      <w:r>
        <w:rPr>
          <w:spacing w:val="2"/>
        </w:rPr>
        <w:t> </w:t>
      </w:r>
      <w:r>
        <w:rPr/>
        <w:t>ask</w:t>
      </w:r>
      <w:r>
        <w:rPr>
          <w:spacing w:val="2"/>
        </w:rPr>
        <w:t> </w:t>
      </w:r>
      <w:r>
        <w:rPr/>
        <w:t>for</w:t>
      </w:r>
      <w:r>
        <w:rPr>
          <w:spacing w:val="2"/>
        </w:rPr>
        <w:t> </w:t>
      </w:r>
      <w:r>
        <w:rPr/>
        <w:t>a</w:t>
      </w:r>
      <w:r>
        <w:rPr>
          <w:spacing w:val="2"/>
        </w:rPr>
        <w:t> </w:t>
      </w:r>
      <w:r>
        <w:rPr/>
        <w:t>remission</w:t>
      </w:r>
      <w:r>
        <w:rPr>
          <w:spacing w:val="2"/>
        </w:rPr>
        <w:t> </w:t>
      </w:r>
      <w:r>
        <w:rPr/>
        <w:t>of</w:t>
      </w:r>
      <w:r>
        <w:rPr>
          <w:spacing w:val="2"/>
        </w:rPr>
        <w:t> </w:t>
      </w:r>
      <w:r>
        <w:rPr/>
        <w:t>the</w:t>
      </w:r>
      <w:r>
        <w:rPr>
          <w:spacing w:val="2"/>
        </w:rPr>
        <w:t> </w:t>
      </w:r>
      <w:r>
        <w:rPr/>
        <w:t>interest</w:t>
      </w:r>
      <w:r>
        <w:rPr>
          <w:spacing w:val="2"/>
        </w:rPr>
        <w:t> </w:t>
      </w:r>
      <w:r>
        <w:rPr/>
        <w:t>on</w:t>
      </w:r>
      <w:r>
        <w:rPr>
          <w:spacing w:val="2"/>
        </w:rPr>
        <w:t> </w:t>
      </w:r>
      <w:r>
        <w:rPr/>
        <w:t>the</w:t>
      </w:r>
      <w:r>
        <w:rPr>
          <w:spacing w:val="2"/>
        </w:rPr>
        <w:t> </w:t>
      </w:r>
      <w:r>
        <w:rPr/>
        <w:t>balance</w:t>
      </w:r>
      <w:r>
        <w:rPr>
          <w:spacing w:val="2"/>
        </w:rPr>
        <w:t> </w:t>
      </w:r>
      <w:r>
        <w:rPr>
          <w:spacing w:val="-2"/>
        </w:rPr>
        <w:t>under</w:t>
      </w:r>
    </w:p>
    <w:p>
      <w:pPr>
        <w:spacing w:line="235" w:lineRule="auto" w:before="0"/>
        <w:ind w:left="705" w:right="167" w:firstLine="0"/>
        <w:jc w:val="both"/>
        <w:rPr>
          <w:sz w:val="20"/>
        </w:rPr>
      </w:pPr>
      <w:r>
        <w:rPr>
          <w:sz w:val="20"/>
        </w:rPr>
        <w:t>s.5 (see para.26-235, below). The debt does not cease to be a “qualifying debt” under </w:t>
      </w:r>
      <w:r>
        <w:rPr>
          <w:sz w:val="20"/>
        </w:rPr>
        <w:t>s.3(1) because the invoice is wrong: </w:t>
      </w:r>
      <w:r>
        <w:rPr>
          <w:rFonts w:ascii="Arial" w:hAnsi="Arial"/>
          <w:i/>
          <w:sz w:val="20"/>
        </w:rPr>
        <w:t>Ruttle Plant Hire Ltd v Secretary of State for Environment, Food and Rural Affairs [2009] EWCA Civ 97 </w:t>
      </w:r>
      <w:r>
        <w:rPr>
          <w:sz w:val="20"/>
        </w:rPr>
        <w:t>at [29]–[41].</w:t>
      </w:r>
    </w:p>
    <w:p>
      <w:pPr>
        <w:pStyle w:val="BodyText"/>
        <w:spacing w:before="7"/>
      </w:pPr>
    </w:p>
    <w:p>
      <w:pPr>
        <w:pStyle w:val="BodyText"/>
        <w:spacing w:line="235" w:lineRule="auto"/>
        <w:ind w:left="705" w:hanging="541"/>
      </w:pPr>
      <w:bookmarkStart w:name="_bookmark2825" w:id="2827"/>
      <w:bookmarkEnd w:id="2827"/>
      <w:r>
        <w:rPr/>
      </w:r>
      <w:hyperlink w:history="true" w:anchor="_bookmark2803">
        <w:r>
          <w:rPr>
            <w:color w:val="005DA1"/>
            <w:position w:val="5"/>
            <w:sz w:val="14"/>
            <w:u w:val="single" w:color="005DA1"/>
          </w:rPr>
          <w:t>1481</w:t>
        </w:r>
      </w:hyperlink>
      <w:r>
        <w:rPr>
          <w:position w:val="5"/>
          <w:sz w:val="14"/>
        </w:rPr>
        <w:t>.</w:t>
      </w:r>
      <w:r>
        <w:rPr>
          <w:spacing w:val="54"/>
          <w:position w:val="5"/>
          <w:sz w:val="14"/>
        </w:rPr>
        <w:t>  </w:t>
      </w:r>
      <w:r>
        <w:rPr/>
        <w:t>s.4(5D).</w:t>
      </w:r>
      <w:r>
        <w:rPr>
          <w:spacing w:val="72"/>
        </w:rPr>
        <w:t> </w:t>
      </w:r>
      <w:r>
        <w:rPr/>
        <w:t>Section</w:t>
      </w:r>
      <w:r>
        <w:rPr>
          <w:spacing w:val="72"/>
        </w:rPr>
        <w:t> </w:t>
      </w:r>
      <w:r>
        <w:rPr/>
        <w:t>4(7A)</w:t>
      </w:r>
      <w:r>
        <w:rPr>
          <w:spacing w:val="72"/>
        </w:rPr>
        <w:t> </w:t>
      </w:r>
      <w:r>
        <w:rPr/>
        <w:t>(see</w:t>
      </w:r>
      <w:r>
        <w:rPr>
          <w:spacing w:val="72"/>
        </w:rPr>
        <w:t> </w:t>
      </w:r>
      <w:r>
        <w:rPr/>
        <w:t>above,</w:t>
      </w:r>
      <w:r>
        <w:rPr>
          <w:spacing w:val="72"/>
        </w:rPr>
        <w:t> </w:t>
      </w:r>
      <w:r>
        <w:rPr/>
        <w:t>n.1218)</w:t>
      </w:r>
      <w:r>
        <w:rPr>
          <w:spacing w:val="72"/>
        </w:rPr>
        <w:t> </w:t>
      </w:r>
      <w:r>
        <w:rPr/>
        <w:t>sets</w:t>
      </w:r>
      <w:r>
        <w:rPr>
          <w:spacing w:val="72"/>
        </w:rPr>
        <w:t> </w:t>
      </w:r>
      <w:r>
        <w:rPr/>
        <w:t>out</w:t>
      </w:r>
      <w:r>
        <w:rPr>
          <w:spacing w:val="72"/>
        </w:rPr>
        <w:t> </w:t>
      </w:r>
      <w:r>
        <w:rPr/>
        <w:t>what</w:t>
      </w:r>
      <w:r>
        <w:rPr>
          <w:spacing w:val="72"/>
        </w:rPr>
        <w:t> </w:t>
      </w:r>
      <w:r>
        <w:rPr/>
        <w:t>is</w:t>
      </w:r>
      <w:r>
        <w:rPr>
          <w:spacing w:val="72"/>
        </w:rPr>
        <w:t> </w:t>
      </w:r>
      <w:r>
        <w:rPr/>
        <w:t>to</w:t>
      </w:r>
      <w:r>
        <w:rPr>
          <w:spacing w:val="72"/>
        </w:rPr>
        <w:t> </w:t>
      </w:r>
      <w:r>
        <w:rPr/>
        <w:t>be</w:t>
      </w:r>
      <w:r>
        <w:rPr>
          <w:spacing w:val="72"/>
        </w:rPr>
        <w:t> </w:t>
      </w:r>
      <w:r>
        <w:rPr/>
        <w:t>taken</w:t>
      </w:r>
      <w:r>
        <w:rPr>
          <w:spacing w:val="72"/>
        </w:rPr>
        <w:t> </w:t>
      </w:r>
      <w:r>
        <w:rPr/>
        <w:t>into</w:t>
      </w:r>
      <w:r>
        <w:rPr>
          <w:spacing w:val="72"/>
        </w:rPr>
        <w:t> </w:t>
      </w:r>
      <w:r>
        <w:rPr/>
        <w:t>account determining whether the whether the term is grossly unfair.</w:t>
      </w:r>
    </w:p>
    <w:p>
      <w:pPr>
        <w:pStyle w:val="BodyText"/>
        <w:spacing w:before="5"/>
      </w:pPr>
    </w:p>
    <w:p>
      <w:pPr>
        <w:spacing w:before="1"/>
        <w:ind w:left="165" w:right="0" w:firstLine="0"/>
        <w:jc w:val="left"/>
        <w:rPr>
          <w:sz w:val="20"/>
        </w:rPr>
      </w:pPr>
      <w:bookmarkStart w:name="_bookmark2826" w:id="2828"/>
      <w:bookmarkEnd w:id="2828"/>
      <w:r>
        <w:rPr/>
      </w:r>
      <w:hyperlink w:history="true" w:anchor="_bookmark2804">
        <w:r>
          <w:rPr>
            <w:color w:val="005DA1"/>
            <w:position w:val="5"/>
            <w:sz w:val="14"/>
            <w:u w:val="single" w:color="005DA1"/>
          </w:rPr>
          <w:t>1482</w:t>
        </w:r>
      </w:hyperlink>
      <w:r>
        <w:rPr>
          <w:position w:val="5"/>
          <w:sz w:val="14"/>
        </w:rPr>
        <w:t>.</w:t>
      </w:r>
      <w:r>
        <w:rPr>
          <w:spacing w:val="55"/>
          <w:position w:val="5"/>
          <w:sz w:val="14"/>
        </w:rPr>
        <w:t>  </w:t>
      </w:r>
      <w:r>
        <w:rPr>
          <w:spacing w:val="-2"/>
          <w:sz w:val="20"/>
        </w:rPr>
        <w:t>s.4(7).</w:t>
      </w:r>
    </w:p>
    <w:p>
      <w:pPr>
        <w:pStyle w:val="BodyText"/>
        <w:spacing w:before="8"/>
      </w:pPr>
    </w:p>
    <w:p>
      <w:pPr>
        <w:pStyle w:val="BodyText"/>
        <w:spacing w:line="235" w:lineRule="auto"/>
        <w:ind w:left="705" w:hanging="541"/>
      </w:pPr>
      <w:bookmarkStart w:name="_bookmark2827" w:id="2829"/>
      <w:bookmarkEnd w:id="2829"/>
      <w:r>
        <w:rPr/>
      </w:r>
      <w:hyperlink w:history="true" w:anchor="_bookmark2805">
        <w:r>
          <w:rPr>
            <w:color w:val="005DA1"/>
            <w:position w:val="5"/>
            <w:sz w:val="14"/>
            <w:u w:val="single" w:color="005DA1"/>
          </w:rPr>
          <w:t>1483</w:t>
        </w:r>
      </w:hyperlink>
      <w:r>
        <w:rPr>
          <w:position w:val="5"/>
          <w:sz w:val="14"/>
        </w:rPr>
        <w:t>.</w:t>
      </w:r>
      <w:r>
        <w:rPr>
          <w:spacing w:val="40"/>
          <w:position w:val="5"/>
          <w:sz w:val="14"/>
        </w:rPr>
        <w:t>  </w:t>
      </w:r>
      <w:r>
        <w:rPr/>
        <w:t>s.5(1).</w:t>
      </w:r>
      <w:r>
        <w:rPr>
          <w:spacing w:val="17"/>
        </w:rPr>
        <w:t> </w:t>
      </w:r>
      <w:r>
        <w:rPr/>
        <w:t>“Conduct”</w:t>
      </w:r>
      <w:r>
        <w:rPr>
          <w:spacing w:val="17"/>
        </w:rPr>
        <w:t> </w:t>
      </w:r>
      <w:r>
        <w:rPr/>
        <w:t>includes</w:t>
      </w:r>
      <w:r>
        <w:rPr>
          <w:spacing w:val="17"/>
        </w:rPr>
        <w:t> </w:t>
      </w:r>
      <w:r>
        <w:rPr/>
        <w:t>any</w:t>
      </w:r>
      <w:r>
        <w:rPr>
          <w:spacing w:val="17"/>
        </w:rPr>
        <w:t> </w:t>
      </w:r>
      <w:r>
        <w:rPr/>
        <w:t>act</w:t>
      </w:r>
      <w:r>
        <w:rPr>
          <w:spacing w:val="17"/>
        </w:rPr>
        <w:t> </w:t>
      </w:r>
      <w:r>
        <w:rPr/>
        <w:t>or</w:t>
      </w:r>
      <w:r>
        <w:rPr>
          <w:spacing w:val="17"/>
        </w:rPr>
        <w:t> </w:t>
      </w:r>
      <w:r>
        <w:rPr/>
        <w:t>omission</w:t>
      </w:r>
      <w:r>
        <w:rPr>
          <w:spacing w:val="17"/>
        </w:rPr>
        <w:t> </w:t>
      </w:r>
      <w:r>
        <w:rPr/>
        <w:t>(s.5(5))</w:t>
      </w:r>
      <w:r>
        <w:rPr>
          <w:spacing w:val="17"/>
        </w:rPr>
        <w:t> </w:t>
      </w:r>
      <w:r>
        <w:rPr/>
        <w:t>and</w:t>
      </w:r>
      <w:r>
        <w:rPr>
          <w:spacing w:val="17"/>
        </w:rPr>
        <w:t> </w:t>
      </w:r>
      <w:r>
        <w:rPr/>
        <w:t>may</w:t>
      </w:r>
      <w:r>
        <w:rPr>
          <w:spacing w:val="17"/>
        </w:rPr>
        <w:t> </w:t>
      </w:r>
      <w:r>
        <w:rPr/>
        <w:t>be</w:t>
      </w:r>
      <w:r>
        <w:rPr>
          <w:spacing w:val="17"/>
        </w:rPr>
        <w:t> </w:t>
      </w:r>
      <w:r>
        <w:rPr/>
        <w:t>relevant</w:t>
      </w:r>
      <w:r>
        <w:rPr>
          <w:spacing w:val="17"/>
        </w:rPr>
        <w:t> </w:t>
      </w:r>
      <w:r>
        <w:rPr/>
        <w:t>whether</w:t>
      </w:r>
      <w:r>
        <w:rPr>
          <w:spacing w:val="17"/>
        </w:rPr>
        <w:t> </w:t>
      </w:r>
      <w:r>
        <w:rPr/>
        <w:t>it</w:t>
      </w:r>
      <w:r>
        <w:rPr>
          <w:spacing w:val="17"/>
        </w:rPr>
        <w:t> </w:t>
      </w:r>
      <w:r>
        <w:rPr/>
        <w:t>occurs before or after the time when the debt is created (s.5(4)).</w:t>
      </w:r>
    </w:p>
    <w:p>
      <w:pPr>
        <w:pStyle w:val="BodyText"/>
        <w:spacing w:before="126"/>
      </w:pPr>
    </w:p>
    <w:p>
      <w:pPr>
        <w:pStyle w:val="BodyText"/>
        <w:ind w:left="165"/>
      </w:pPr>
      <w:bookmarkStart w:name="_bookmark2828" w:id="2830"/>
      <w:bookmarkEnd w:id="2830"/>
      <w:r>
        <w:rPr/>
      </w:r>
      <w:hyperlink w:history="true" w:anchor="_bookmark2805">
        <w:r>
          <w:rPr>
            <w:color w:val="005DA1"/>
            <w:u w:val="single" w:color="005DA1"/>
            <w:vertAlign w:val="superscript"/>
          </w:rPr>
          <w:t>1484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329" name="Image 1329"/>
            <wp:cNvGraphicFramePr>
              <a:graphicFrameLocks/>
            </wp:cNvGraphicFramePr>
            <a:graphic>
              <a:graphicData uri="http://schemas.openxmlformats.org/drawingml/2006/picture">
                <pic:pic>
                  <pic:nvPicPr>
                    <pic:cNvPr id="1329" name="Image 132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s.5(1)</w:t>
      </w:r>
      <w:r>
        <w:rPr>
          <w:spacing w:val="34"/>
          <w:vertAlign w:val="baseline"/>
        </w:rPr>
        <w:t> </w:t>
      </w:r>
      <w:r>
        <w:rPr>
          <w:vertAlign w:val="baseline"/>
        </w:rPr>
        <w:t>and</w:t>
      </w:r>
      <w:r>
        <w:rPr>
          <w:spacing w:val="33"/>
          <w:vertAlign w:val="baseline"/>
        </w:rPr>
        <w:t> </w:t>
      </w:r>
      <w:r>
        <w:rPr>
          <w:vertAlign w:val="baseline"/>
        </w:rPr>
        <w:t>(2).</w:t>
      </w:r>
      <w:r>
        <w:rPr>
          <w:spacing w:val="33"/>
          <w:vertAlign w:val="baseline"/>
        </w:rPr>
        <w:t> </w:t>
      </w:r>
      <w:r>
        <w:rPr>
          <w:vertAlign w:val="baseline"/>
        </w:rPr>
        <w:t>By</w:t>
      </w:r>
      <w:r>
        <w:rPr>
          <w:spacing w:val="33"/>
          <w:vertAlign w:val="baseline"/>
        </w:rPr>
        <w:t> </w:t>
      </w:r>
      <w:r>
        <w:rPr>
          <w:vertAlign w:val="baseline"/>
        </w:rPr>
        <w:t>s.5(3)</w:t>
      </w:r>
      <w:r>
        <w:rPr>
          <w:spacing w:val="34"/>
          <w:vertAlign w:val="baseline"/>
        </w:rPr>
        <w:t> </w:t>
      </w:r>
      <w:r>
        <w:rPr>
          <w:vertAlign w:val="baseline"/>
        </w:rPr>
        <w:t>a</w:t>
      </w:r>
      <w:r>
        <w:rPr>
          <w:spacing w:val="33"/>
          <w:vertAlign w:val="baseline"/>
        </w:rPr>
        <w:t> </w:t>
      </w:r>
      <w:r>
        <w:rPr>
          <w:vertAlign w:val="baseline"/>
        </w:rPr>
        <w:t>reduced</w:t>
      </w:r>
      <w:r>
        <w:rPr>
          <w:spacing w:val="33"/>
          <w:vertAlign w:val="baseline"/>
        </w:rPr>
        <w:t> </w:t>
      </w:r>
      <w:r>
        <w:rPr>
          <w:vertAlign w:val="baseline"/>
        </w:rPr>
        <w:t>rate</w:t>
      </w:r>
      <w:r>
        <w:rPr>
          <w:spacing w:val="33"/>
          <w:vertAlign w:val="baseline"/>
        </w:rPr>
        <w:t> </w:t>
      </w:r>
      <w:r>
        <w:rPr>
          <w:vertAlign w:val="baseline"/>
        </w:rPr>
        <w:t>of</w:t>
      </w:r>
      <w:r>
        <w:rPr>
          <w:spacing w:val="33"/>
          <w:vertAlign w:val="baseline"/>
        </w:rPr>
        <w:t> </w:t>
      </w:r>
      <w:r>
        <w:rPr>
          <w:vertAlign w:val="baseline"/>
        </w:rPr>
        <w:t>statutory</w:t>
      </w:r>
      <w:r>
        <w:rPr>
          <w:spacing w:val="34"/>
          <w:vertAlign w:val="baseline"/>
        </w:rPr>
        <w:t> </w:t>
      </w:r>
      <w:r>
        <w:rPr>
          <w:vertAlign w:val="baseline"/>
        </w:rPr>
        <w:t>interest</w:t>
      </w:r>
      <w:r>
        <w:rPr>
          <w:spacing w:val="33"/>
          <w:vertAlign w:val="baseline"/>
        </w:rPr>
        <w:t> </w:t>
      </w:r>
      <w:r>
        <w:rPr>
          <w:vertAlign w:val="baseline"/>
        </w:rPr>
        <w:t>may</w:t>
      </w:r>
      <w:r>
        <w:rPr>
          <w:spacing w:val="33"/>
          <w:vertAlign w:val="baseline"/>
        </w:rPr>
        <w:t> </w:t>
      </w:r>
      <w:r>
        <w:rPr>
          <w:vertAlign w:val="baseline"/>
        </w:rPr>
        <w:t>apply</w:t>
      </w:r>
      <w:r>
        <w:rPr>
          <w:spacing w:val="33"/>
          <w:vertAlign w:val="baseline"/>
        </w:rPr>
        <w:t> </w:t>
      </w:r>
      <w:r>
        <w:rPr>
          <w:vertAlign w:val="baseline"/>
        </w:rPr>
        <w:t>if</w:t>
      </w:r>
      <w:r>
        <w:rPr>
          <w:spacing w:val="33"/>
          <w:vertAlign w:val="baseline"/>
        </w:rPr>
        <w:t> </w:t>
      </w:r>
      <w:r>
        <w:rPr>
          <w:vertAlign w:val="baseline"/>
        </w:rPr>
        <w:t>“the</w:t>
      </w:r>
      <w:r>
        <w:rPr>
          <w:spacing w:val="34"/>
          <w:vertAlign w:val="baseline"/>
        </w:rPr>
        <w:t> </w:t>
      </w:r>
      <w:r>
        <w:rPr>
          <w:vertAlign w:val="baseline"/>
        </w:rPr>
        <w:t>interests</w:t>
      </w:r>
      <w:r>
        <w:rPr>
          <w:spacing w:val="33"/>
          <w:vertAlign w:val="baseline"/>
        </w:rPr>
        <w:t> </w:t>
      </w:r>
      <w:r>
        <w:rPr>
          <w:spacing w:val="-5"/>
          <w:vertAlign w:val="baseline"/>
        </w:rPr>
        <w:t>of</w:t>
      </w:r>
    </w:p>
    <w:p>
      <w:pPr>
        <w:pStyle w:val="BodyText"/>
        <w:spacing w:after="0"/>
        <w:sectPr>
          <w:pgSz w:w="11900" w:h="16840"/>
          <w:pgMar w:header="971" w:footer="0" w:top="1300" w:bottom="280" w:left="1275" w:right="1275"/>
        </w:sectPr>
      </w:pPr>
    </w:p>
    <w:p>
      <w:pPr>
        <w:spacing w:line="235" w:lineRule="auto" w:before="110"/>
        <w:ind w:left="705" w:right="167" w:firstLine="0"/>
        <w:jc w:val="both"/>
        <w:rPr>
          <w:sz w:val="20"/>
        </w:rPr>
      </w:pPr>
      <w:r>
        <w:rPr>
          <w:sz w:val="20"/>
        </w:rPr>
        <w:t>justice require”. For possible analogies, see, Vol.II, paras 38-359 et seq. on “unfairness”, and above, para.15-096 on “reasonableness”. In </w:t>
      </w:r>
      <w:r>
        <w:rPr>
          <w:rFonts w:ascii="Arial" w:hAnsi="Arial"/>
          <w:i/>
          <w:sz w:val="20"/>
        </w:rPr>
        <w:t>Ruttle Plant Hire Ltd v Secretary of State </w:t>
      </w:r>
      <w:r>
        <w:rPr>
          <w:rFonts w:ascii="Arial" w:hAnsi="Arial"/>
          <w:i/>
          <w:sz w:val="20"/>
        </w:rPr>
        <w:t>for Environment,</w:t>
      </w:r>
      <w:r>
        <w:rPr>
          <w:rFonts w:ascii="Arial" w:hAnsi="Arial"/>
          <w:i/>
          <w:spacing w:val="-2"/>
          <w:sz w:val="20"/>
        </w:rPr>
        <w:t> </w:t>
      </w:r>
      <w:r>
        <w:rPr>
          <w:rFonts w:ascii="Arial" w:hAnsi="Arial"/>
          <w:i/>
          <w:sz w:val="20"/>
        </w:rPr>
        <w:t>Food</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Rural</w:t>
      </w:r>
      <w:r>
        <w:rPr>
          <w:rFonts w:ascii="Arial" w:hAnsi="Arial"/>
          <w:i/>
          <w:spacing w:val="-2"/>
          <w:sz w:val="20"/>
        </w:rPr>
        <w:t> </w:t>
      </w:r>
      <w:r>
        <w:rPr>
          <w:rFonts w:ascii="Arial" w:hAnsi="Arial"/>
          <w:i/>
          <w:sz w:val="20"/>
        </w:rPr>
        <w:t>Affairs</w:t>
      </w:r>
      <w:r>
        <w:rPr>
          <w:rFonts w:ascii="Arial" w:hAnsi="Arial"/>
          <w:i/>
          <w:spacing w:val="-3"/>
          <w:sz w:val="20"/>
        </w:rPr>
        <w:t> </w:t>
      </w:r>
      <w:r>
        <w:rPr>
          <w:rFonts w:ascii="Arial" w:hAnsi="Arial"/>
          <w:i/>
          <w:sz w:val="20"/>
        </w:rPr>
        <w:t>[2009]</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97</w:t>
      </w:r>
      <w:r>
        <w:rPr>
          <w:rFonts w:ascii="Arial" w:hAnsi="Arial"/>
          <w:i/>
          <w:spacing w:val="-3"/>
          <w:sz w:val="20"/>
        </w:rPr>
        <w:t> </w:t>
      </w:r>
      <w:r>
        <w:rPr>
          <w:sz w:val="20"/>
        </w:rPr>
        <w:t>at</w:t>
      </w:r>
      <w:r>
        <w:rPr>
          <w:spacing w:val="-2"/>
          <w:sz w:val="20"/>
        </w:rPr>
        <w:t> </w:t>
      </w:r>
      <w:r>
        <w:rPr>
          <w:sz w:val="20"/>
        </w:rPr>
        <w:t>[53]</w:t>
      </w:r>
      <w:r>
        <w:rPr>
          <w:spacing w:val="-2"/>
          <w:sz w:val="20"/>
        </w:rPr>
        <w:t> </w:t>
      </w:r>
      <w:r>
        <w:rPr>
          <w:sz w:val="20"/>
        </w:rPr>
        <w:t>it</w:t>
      </w:r>
      <w:r>
        <w:rPr>
          <w:spacing w:val="-2"/>
          <w:sz w:val="20"/>
        </w:rPr>
        <w:t> </w:t>
      </w:r>
      <w:r>
        <w:rPr>
          <w:sz w:val="20"/>
        </w:rPr>
        <w:t>was</w:t>
      </w:r>
      <w:r>
        <w:rPr>
          <w:spacing w:val="-2"/>
          <w:sz w:val="20"/>
        </w:rPr>
        <w:t> </w:t>
      </w:r>
      <w:r>
        <w:rPr>
          <w:sz w:val="20"/>
        </w:rPr>
        <w:t>said</w:t>
      </w:r>
      <w:r>
        <w:rPr>
          <w:spacing w:val="-3"/>
          <w:sz w:val="20"/>
        </w:rPr>
        <w:t> </w:t>
      </w:r>
      <w:r>
        <w:rPr>
          <w:sz w:val="20"/>
        </w:rPr>
        <w:t>that</w:t>
      </w:r>
      <w:r>
        <w:rPr>
          <w:spacing w:val="-2"/>
          <w:sz w:val="20"/>
        </w:rPr>
        <w:t> </w:t>
      </w:r>
      <w:r>
        <w:rPr>
          <w:sz w:val="20"/>
        </w:rPr>
        <w:t>interest</w:t>
      </w:r>
      <w:r>
        <w:rPr>
          <w:spacing w:val="-2"/>
          <w:sz w:val="20"/>
        </w:rPr>
        <w:t> </w:t>
      </w:r>
      <w:r>
        <w:rPr>
          <w:sz w:val="20"/>
        </w:rPr>
        <w:t>should be remitted where the supplier had created or allowed uncertainty over the amount due. In </w:t>
      </w:r>
      <w:r>
        <w:rPr>
          <w:rFonts w:ascii="Arial" w:hAnsi="Arial"/>
          <w:i/>
          <w:sz w:val="20"/>
        </w:rPr>
        <w:t>Rowles-Davies v Call 24–7 Ltd [2010] EWHC 1443 (Ch) </w:t>
      </w:r>
      <w:r>
        <w:rPr>
          <w:sz w:val="20"/>
        </w:rPr>
        <w:t>the court reduced the rate because of the supplier’s delay in claiming, to 4 per cent above the official bank rate from the date when each debt became due until 30 days after it was claimed, and thereafter 8 per cent above the official bank rate. See also </w:t>
      </w:r>
      <w:r>
        <w:rPr>
          <w:rFonts w:ascii="Arial" w:hAnsi="Arial"/>
          <w:i/>
          <w:sz w:val="20"/>
        </w:rPr>
        <w:t>First Personnel Services Ltd v Halfords Ltd [2016] EWHC 3220 (Ch) </w:t>
      </w:r>
      <w:r>
        <w:rPr>
          <w:sz w:val="20"/>
        </w:rPr>
        <w:t>at [164]–[169], applying the principles stated by Jackson J. in </w:t>
      </w:r>
      <w:r>
        <w:rPr>
          <w:rFonts w:ascii="Arial" w:hAnsi="Arial"/>
          <w:i/>
          <w:sz w:val="20"/>
        </w:rPr>
        <w:t>Claymore Services Ltd v Nautilus Properties Ltd [2007] EWHC 805 (TCC) </w:t>
      </w:r>
      <w:r>
        <w:rPr>
          <w:sz w:val="20"/>
        </w:rPr>
        <w:t>at [55], a case involving a statutory discretion to award interest, see below, para.26-238 n.1261.</w:t>
      </w:r>
    </w:p>
    <w:p>
      <w:pPr>
        <w:pStyle w:val="BodyText"/>
        <w:spacing w:before="189"/>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2618" w:val="left" w:leader="none"/>
        </w:tabs>
        <w:spacing w:line="240" w:lineRule="auto" w:before="194" w:after="0"/>
        <w:ind w:left="2618" w:right="0" w:hanging="360"/>
        <w:jc w:val="left"/>
        <w:rPr>
          <w:b/>
          <w:sz w:val="24"/>
        </w:rPr>
      </w:pPr>
      <w:r>
        <w:rPr>
          <w:b/>
          <w:sz w:val="24"/>
        </w:rPr>
        <w:t>- Statutory Discretion to Award </w:t>
      </w:r>
      <w:r>
        <w:rPr>
          <w:b/>
          <w:spacing w:val="-2"/>
          <w:sz w:val="24"/>
        </w:rPr>
        <w:t>Interest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Statutory power to award </w:t>
      </w:r>
      <w:r>
        <w:rPr>
          <w:rFonts w:ascii="Arial"/>
          <w:b/>
          <w:spacing w:val="-2"/>
          <w:sz w:val="18"/>
        </w:rPr>
        <w:t>interest</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236</w:t>
      </w:r>
    </w:p>
    <w:p>
      <w:pPr>
        <w:pStyle w:val="BodyText"/>
        <w:spacing w:line="235" w:lineRule="auto" w:before="202"/>
        <w:ind w:left="164" w:right="167"/>
        <w:jc w:val="both"/>
      </w:pPr>
      <w:bookmarkStart w:name="_bookmark2829" w:id="2831"/>
      <w:bookmarkEnd w:id="2831"/>
      <w:r>
        <w:rPr/>
      </w:r>
      <w:r>
        <w:rPr/>
        <w:t>A statutory provision may empower the court to award interest in particular circumstances, e.g. </w:t>
      </w:r>
      <w:r>
        <w:rPr/>
        <w:t>where </w:t>
      </w:r>
      <w:bookmarkStart w:name="_bookmark2830" w:id="2832"/>
      <w:bookmarkEnd w:id="2832"/>
      <w:r>
        <w:rPr/>
        <w:t>a</w:t>
      </w:r>
      <w:r>
        <w:rPr/>
        <w:t> bill of exchange has been dishonoured. </w:t>
      </w:r>
      <w:r>
        <w:rPr>
          <w:color w:val="005DA1"/>
          <w:u w:val="single" w:color="005DA1"/>
          <w:vertAlign w:val="superscript"/>
        </w:rPr>
        <w:t>1485</w:t>
      </w:r>
      <w:r>
        <w:rPr>
          <w:color w:val="005DA1"/>
          <w:vertAlign w:val="baseline"/>
        </w:rPr>
        <w:t> </w:t>
      </w:r>
      <w:r>
        <w:rPr>
          <w:vertAlign w:val="baseline"/>
        </w:rPr>
        <w:t>The first general discretionary power was enacted in </w:t>
      </w:r>
      <w:bookmarkStart w:name="_bookmark2831" w:id="2833"/>
      <w:bookmarkEnd w:id="2833"/>
      <w:r>
        <w:rPr>
          <w:vertAlign w:val="baseline"/>
        </w:rPr>
        <w:t>1934</w:t>
      </w:r>
      <w:r>
        <w:rPr>
          <w:vertAlign w:val="baseline"/>
        </w:rPr>
        <w:t> </w:t>
      </w:r>
      <w:r>
        <w:rPr>
          <w:color w:val="005DA1"/>
          <w:u w:val="single" w:color="005DA1"/>
          <w:vertAlign w:val="superscript"/>
        </w:rPr>
        <w:t>1486</w:t>
      </w:r>
      <w:r>
        <w:rPr>
          <w:color w:val="005DA1"/>
          <w:vertAlign w:val="baseline"/>
        </w:rPr>
        <w:t> </w:t>
      </w:r>
      <w:r>
        <w:rPr>
          <w:vertAlign w:val="baseline"/>
        </w:rPr>
        <w:t>and is now found in two separate statutes covering the main courts. </w:t>
      </w:r>
      <w:r>
        <w:rPr>
          <w:color w:val="005DA1"/>
          <w:u w:val="single" w:color="005DA1"/>
          <w:vertAlign w:val="superscript"/>
        </w:rPr>
        <w:t>1487</w:t>
      </w:r>
      <w:r>
        <w:rPr>
          <w:color w:val="005DA1"/>
          <w:vertAlign w:val="baseline"/>
        </w:rPr>
        <w:t> </w:t>
      </w:r>
      <w:r>
        <w:rPr>
          <w:vertAlign w:val="baseline"/>
        </w:rPr>
        <w:t>(It should be noted </w:t>
      </w:r>
      <w:bookmarkStart w:name="_bookmark2832" w:id="2834"/>
      <w:bookmarkEnd w:id="2834"/>
      <w:r>
        <w:rPr>
          <w:vertAlign w:val="baseline"/>
        </w:rPr>
        <w:t>that</w:t>
      </w:r>
      <w:r>
        <w:rPr>
          <w:vertAlign w:val="baseline"/>
        </w:rPr>
        <w:t> those statutes do not confer on the creditor a right to interest </w:t>
      </w:r>
      <w:r>
        <w:rPr>
          <w:color w:val="005DA1"/>
          <w:u w:val="single" w:color="005DA1"/>
          <w:vertAlign w:val="superscript"/>
        </w:rPr>
        <w:t>1488</w:t>
      </w:r>
      <w:r>
        <w:rPr>
          <w:vertAlign w:val="baseline"/>
        </w:rPr>
        <w:t>). The High Court </w:t>
      </w:r>
      <w:r>
        <w:rPr>
          <w:color w:val="005DA1"/>
          <w:u w:val="single" w:color="005DA1"/>
          <w:vertAlign w:val="superscript"/>
        </w:rPr>
        <w:t>1489</w:t>
      </w:r>
      <w:r>
        <w:rPr>
          <w:color w:val="005DA1"/>
          <w:vertAlign w:val="baseline"/>
        </w:rPr>
        <w:t> </w:t>
      </w:r>
      <w:r>
        <w:rPr>
          <w:vertAlign w:val="baseline"/>
        </w:rPr>
        <w:t>and the </w:t>
      </w:r>
      <w:bookmarkStart w:name="_bookmark2833" w:id="2835"/>
      <w:bookmarkEnd w:id="2835"/>
      <w:r>
        <w:rPr>
          <w:vertAlign w:val="baseline"/>
        </w:rPr>
        <w:t>county</w:t>
      </w:r>
      <w:r>
        <w:rPr>
          <w:spacing w:val="-1"/>
          <w:vertAlign w:val="baseline"/>
        </w:rPr>
        <w:t> </w:t>
      </w:r>
      <w:r>
        <w:rPr>
          <w:vertAlign w:val="baseline"/>
        </w:rPr>
        <w:t>court</w:t>
      </w:r>
      <w:r>
        <w:rPr>
          <w:spacing w:val="-1"/>
          <w:vertAlign w:val="baseline"/>
        </w:rPr>
        <w:t> </w:t>
      </w:r>
      <w:r>
        <w:rPr>
          <w:color w:val="005DA1"/>
          <w:u w:val="single" w:color="005DA1"/>
          <w:vertAlign w:val="superscript"/>
        </w:rPr>
        <w:t>1490</w:t>
      </w:r>
      <w:r>
        <w:rPr>
          <w:color w:val="005DA1"/>
          <w:spacing w:val="-1"/>
          <w:vertAlign w:val="baseline"/>
        </w:rPr>
        <w:t> </w:t>
      </w:r>
      <w:r>
        <w:rPr>
          <w:vertAlign w:val="baseline"/>
        </w:rPr>
        <w:t>are</w:t>
      </w:r>
      <w:r>
        <w:rPr>
          <w:spacing w:val="-1"/>
          <w:vertAlign w:val="baseline"/>
        </w:rPr>
        <w:t> </w:t>
      </w:r>
      <w:r>
        <w:rPr>
          <w:vertAlign w:val="baseline"/>
        </w:rPr>
        <w:t>empowered,</w:t>
      </w:r>
      <w:r>
        <w:rPr>
          <w:spacing w:val="-1"/>
          <w:vertAlign w:val="baseline"/>
        </w:rPr>
        <w:t> </w:t>
      </w:r>
      <w:r>
        <w:rPr>
          <w:vertAlign w:val="baseline"/>
        </w:rPr>
        <w:t>in</w:t>
      </w:r>
      <w:r>
        <w:rPr>
          <w:spacing w:val="-1"/>
          <w:vertAlign w:val="baseline"/>
        </w:rPr>
        <w:t> </w:t>
      </w:r>
      <w:r>
        <w:rPr>
          <w:vertAlign w:val="baseline"/>
        </w:rPr>
        <w:t>proceedings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recovery</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or</w:t>
      </w:r>
      <w:r>
        <w:rPr>
          <w:spacing w:val="-1"/>
          <w:vertAlign w:val="baseline"/>
        </w:rPr>
        <w:t> </w:t>
      </w:r>
      <w:r>
        <w:rPr>
          <w:vertAlign w:val="baseline"/>
        </w:rPr>
        <w:t>damages,</w:t>
      </w:r>
      <w:r>
        <w:rPr>
          <w:spacing w:val="-2"/>
          <w:vertAlign w:val="baseline"/>
        </w:rPr>
        <w:t> </w:t>
      </w:r>
      <w:r>
        <w:rPr>
          <w:color w:val="005DA1"/>
          <w:u w:val="single" w:color="005DA1"/>
          <w:vertAlign w:val="superscript"/>
        </w:rPr>
        <w:t>1491</w:t>
      </w:r>
      <w:r>
        <w:rPr>
          <w:color w:val="005DA1"/>
          <w:spacing w:val="-1"/>
          <w:vertAlign w:val="baseline"/>
        </w:rPr>
        <w:t> </w:t>
      </w:r>
      <w:r>
        <w:rPr>
          <w:vertAlign w:val="baseline"/>
        </w:rPr>
        <w:t>to</w:t>
      </w:r>
      <w:r>
        <w:rPr>
          <w:spacing w:val="-1"/>
          <w:vertAlign w:val="baseline"/>
        </w:rPr>
        <w:t> </w:t>
      </w:r>
      <w:r>
        <w:rPr>
          <w:vertAlign w:val="baseline"/>
        </w:rPr>
        <w:t>include </w:t>
      </w:r>
      <w:bookmarkStart w:name="_bookmark2834" w:id="2836"/>
      <w:bookmarkEnd w:id="2836"/>
      <w:r>
        <w:rPr>
          <w:vertAlign w:val="baseline"/>
        </w:rPr>
        <w:t>“in</w:t>
      </w:r>
      <w:r>
        <w:rPr>
          <w:vertAlign w:val="baseline"/>
        </w:rPr>
        <w:t> any sum for which judgment is given” simple </w:t>
      </w:r>
      <w:r>
        <w:rPr>
          <w:color w:val="005DA1"/>
          <w:u w:val="single" w:color="005DA1"/>
          <w:vertAlign w:val="superscript"/>
        </w:rPr>
        <w:t>1492</w:t>
      </w:r>
      <w:r>
        <w:rPr>
          <w:color w:val="005DA1"/>
          <w:vertAlign w:val="baseline"/>
        </w:rPr>
        <w:t> </w:t>
      </w:r>
      <w:r>
        <w:rPr>
          <w:vertAlign w:val="baseline"/>
        </w:rPr>
        <w:t>interest </w:t>
      </w:r>
      <w:r>
        <w:rPr>
          <w:color w:val="005DA1"/>
          <w:u w:val="single" w:color="005DA1"/>
          <w:vertAlign w:val="superscript"/>
        </w:rPr>
        <w:t>1493</w:t>
      </w:r>
      <w:r>
        <w:rPr>
          <w:vertAlign w:val="baseline"/>
        </w:rPr>
        <w:t>; subject to any rules of court, </w:t>
      </w:r>
      <w:r>
        <w:rPr>
          <w:color w:val="005DA1"/>
          <w:u w:val="single" w:color="005DA1"/>
          <w:vertAlign w:val="superscript"/>
        </w:rPr>
        <w:t>1494</w:t>
      </w:r>
      <w:r>
        <w:rPr>
          <w:color w:val="005DA1"/>
          <w:vertAlign w:val="baseline"/>
        </w:rPr>
        <w:t> </w:t>
      </w:r>
      <w:r>
        <w:rPr>
          <w:vertAlign w:val="baseline"/>
        </w:rPr>
        <w:t>the court</w:t>
      </w:r>
      <w:r>
        <w:rPr>
          <w:spacing w:val="-2"/>
          <w:vertAlign w:val="baseline"/>
        </w:rPr>
        <w:t> </w:t>
      </w:r>
      <w:r>
        <w:rPr>
          <w:vertAlign w:val="baseline"/>
        </w:rPr>
        <w:t>is</w:t>
      </w:r>
      <w:r>
        <w:rPr>
          <w:spacing w:val="-2"/>
          <w:vertAlign w:val="baseline"/>
        </w:rPr>
        <w:t> </w:t>
      </w:r>
      <w:r>
        <w:rPr>
          <w:vertAlign w:val="baseline"/>
        </w:rPr>
        <w:t>given</w:t>
      </w:r>
      <w:r>
        <w:rPr>
          <w:spacing w:val="-2"/>
          <w:vertAlign w:val="baseline"/>
        </w:rPr>
        <w:t> </w:t>
      </w:r>
      <w:r>
        <w:rPr>
          <w:vertAlign w:val="baseline"/>
        </w:rPr>
        <w:t>a</w:t>
      </w:r>
      <w:r>
        <w:rPr>
          <w:spacing w:val="-2"/>
          <w:vertAlign w:val="baseline"/>
        </w:rPr>
        <w:t> </w:t>
      </w:r>
      <w:r>
        <w:rPr>
          <w:vertAlign w:val="baseline"/>
        </w:rPr>
        <w:t>discretion</w:t>
      </w:r>
      <w:r>
        <w:rPr>
          <w:spacing w:val="-2"/>
          <w:vertAlign w:val="baseline"/>
        </w:rPr>
        <w:t> </w:t>
      </w:r>
      <w:r>
        <w:rPr>
          <w:vertAlign w:val="baseline"/>
        </w:rPr>
        <w:t>to</w:t>
      </w:r>
      <w:r>
        <w:rPr>
          <w:spacing w:val="-2"/>
          <w:vertAlign w:val="baseline"/>
        </w:rPr>
        <w:t> </w:t>
      </w:r>
      <w:r>
        <w:rPr>
          <w:vertAlign w:val="baseline"/>
        </w:rPr>
        <w:t>fix</w:t>
      </w:r>
      <w:r>
        <w:rPr>
          <w:spacing w:val="-2"/>
          <w:vertAlign w:val="baseline"/>
        </w:rPr>
        <w:t> </w:t>
      </w:r>
      <w:r>
        <w:rPr>
          <w:vertAlign w:val="baseline"/>
        </w:rPr>
        <w:t>the</w:t>
      </w:r>
      <w:r>
        <w:rPr>
          <w:spacing w:val="-2"/>
          <w:vertAlign w:val="baseline"/>
        </w:rPr>
        <w:t> </w:t>
      </w:r>
      <w:r>
        <w:rPr>
          <w:vertAlign w:val="baseline"/>
        </w:rPr>
        <w:t>rate</w:t>
      </w:r>
      <w:r>
        <w:rPr>
          <w:spacing w:val="-2"/>
          <w:vertAlign w:val="baseline"/>
        </w:rPr>
        <w:t> </w:t>
      </w:r>
      <w:r>
        <w:rPr>
          <w:vertAlign w:val="baseline"/>
        </w:rPr>
        <w:t>of</w:t>
      </w:r>
      <w:r>
        <w:rPr>
          <w:spacing w:val="-2"/>
          <w:vertAlign w:val="baseline"/>
        </w:rPr>
        <w:t> </w:t>
      </w:r>
      <w:r>
        <w:rPr>
          <w:vertAlign w:val="baseline"/>
        </w:rPr>
        <w:t>interest,</w:t>
      </w:r>
      <w:r>
        <w:rPr>
          <w:spacing w:val="-2"/>
          <w:vertAlign w:val="baseline"/>
        </w:rPr>
        <w:t> </w:t>
      </w:r>
      <w:r>
        <w:rPr>
          <w:color w:val="005DA1"/>
          <w:u w:val="single" w:color="005DA1"/>
          <w:vertAlign w:val="superscript"/>
        </w:rPr>
        <w:t>1495</w:t>
      </w:r>
      <w:r>
        <w:rPr>
          <w:color w:val="005DA1"/>
          <w:spacing w:val="-2"/>
          <w:vertAlign w:val="baseline"/>
        </w:rPr>
        <w:t> </w:t>
      </w:r>
      <w:r>
        <w:rPr>
          <w:vertAlign w:val="baseline"/>
        </w:rPr>
        <w:t>to</w:t>
      </w:r>
      <w:r>
        <w:rPr>
          <w:spacing w:val="-2"/>
          <w:vertAlign w:val="baseline"/>
        </w:rPr>
        <w:t> </w:t>
      </w:r>
      <w:r>
        <w:rPr>
          <w:vertAlign w:val="baseline"/>
        </w:rPr>
        <w:t>decide</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interest</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on</w:t>
      </w:r>
      <w:r>
        <w:rPr>
          <w:spacing w:val="-2"/>
          <w:vertAlign w:val="baseline"/>
        </w:rPr>
        <w:t> </w:t>
      </w:r>
      <w:r>
        <w:rPr>
          <w:vertAlign w:val="baseline"/>
        </w:rPr>
        <w:t>“all or any part of” the debt or damages, and for “all or any part of the period between the date when the </w:t>
      </w:r>
      <w:bookmarkStart w:name="_bookmark2835" w:id="2837"/>
      <w:bookmarkEnd w:id="2837"/>
      <w:r>
        <w:rPr>
          <w:vertAlign w:val="baseline"/>
        </w:rPr>
        <w:t>cause</w:t>
      </w:r>
      <w:r>
        <w:rPr>
          <w:vertAlign w:val="baseline"/>
        </w:rPr>
        <w:t> of action arose” and either the date of payment (of any sum paid before judgment) or the date of judgment. </w:t>
      </w:r>
      <w:r>
        <w:rPr>
          <w:color w:val="005DA1"/>
          <w:u w:val="single" w:color="005DA1"/>
          <w:vertAlign w:val="superscript"/>
        </w:rPr>
        <w:t>1496</w:t>
      </w:r>
      <w:r>
        <w:rPr>
          <w:color w:val="005DA1"/>
          <w:vertAlign w:val="baseline"/>
        </w:rPr>
        <w:t> </w:t>
      </w:r>
      <w:r>
        <w:rPr>
          <w:vertAlign w:val="baseline"/>
        </w:rPr>
        <w:t>The claimant </w:t>
      </w:r>
      <w:r>
        <w:rPr>
          <w:color w:val="005DA1"/>
          <w:u w:val="single" w:color="005DA1"/>
          <w:vertAlign w:val="superscript"/>
        </w:rPr>
        <w:t>1497</w:t>
      </w:r>
      <w:r>
        <w:rPr>
          <w:color w:val="005DA1"/>
          <w:vertAlign w:val="baseline"/>
        </w:rPr>
        <w:t> </w:t>
      </w:r>
      <w:r>
        <w:rPr>
          <w:vertAlign w:val="baseline"/>
        </w:rPr>
        <w:t>is also entitled (subject to a similar </w:t>
      </w:r>
      <w:r>
        <w:rPr>
          <w:color w:val="005DA1"/>
          <w:u w:val="single" w:color="005DA1"/>
          <w:vertAlign w:val="superscript"/>
        </w:rPr>
        <w:t>1498</w:t>
      </w:r>
      <w:r>
        <w:rPr>
          <w:color w:val="005DA1"/>
          <w:vertAlign w:val="baseline"/>
        </w:rPr>
        <w:t> </w:t>
      </w:r>
      <w:r>
        <w:rPr>
          <w:vertAlign w:val="baseline"/>
        </w:rPr>
        <w:t>judicial discretion as to the rate of interest, the period for which it is payable, and whether it should be on all or only part of the </w:t>
      </w:r>
      <w:bookmarkStart w:name="_bookmark2836" w:id="2838"/>
      <w:bookmarkEnd w:id="2838"/>
      <w:r>
        <w:rPr>
          <w:vertAlign w:val="baseline"/>
        </w:rPr>
        <w:t>debt</w:t>
      </w:r>
      <w:r>
        <w:rPr>
          <w:vertAlign w:val="baseline"/>
        </w:rPr>
        <w:t> or damages) to the award of simple interest where the defendant pays the whole of a debt to the claimant after proceedings for its recovery were instituted but before any judgment. </w:t>
      </w:r>
      <w:r>
        <w:rPr>
          <w:color w:val="005DA1"/>
          <w:u w:val="single" w:color="005DA1"/>
          <w:vertAlign w:val="superscript"/>
        </w:rPr>
        <w:t>1499</w:t>
      </w:r>
      <w:r>
        <w:rPr>
          <w:color w:val="005DA1"/>
          <w:vertAlign w:val="baseline"/>
        </w:rPr>
        <w:t> </w:t>
      </w:r>
      <w:r>
        <w:rPr>
          <w:vertAlign w:val="baseline"/>
        </w:rPr>
        <w:t>Where an </w:t>
      </w:r>
      <w:bookmarkStart w:name="_bookmark2837" w:id="2839"/>
      <w:bookmarkEnd w:id="2839"/>
      <w:r>
        <w:rPr>
          <w:vertAlign w:val="baseline"/>
        </w:rPr>
        <w:t>action</w:t>
      </w:r>
      <w:r>
        <w:rPr>
          <w:vertAlign w:val="baseline"/>
        </w:rPr>
        <w:t> has been brought for damages for breach of contract, payment of the amount claimed prior to </w:t>
      </w:r>
      <w:bookmarkStart w:name="_bookmark2838" w:id="2840"/>
      <w:bookmarkEnd w:id="2840"/>
      <w:r>
        <w:rPr>
          <w:vertAlign w:val="baseline"/>
        </w:rPr>
        <w:t>the</w:t>
      </w:r>
      <w:r>
        <w:rPr>
          <w:vertAlign w:val="baseline"/>
        </w:rPr>
        <w:t> hearing does not extinguish the cause of action </w:t>
      </w:r>
      <w:r>
        <w:rPr>
          <w:color w:val="005DA1"/>
          <w:u w:val="single" w:color="005DA1"/>
          <w:vertAlign w:val="superscript"/>
        </w:rPr>
        <w:t>1500</w:t>
      </w:r>
      <w:r>
        <w:rPr>
          <w:vertAlign w:val="baseline"/>
        </w:rPr>
        <w:t>: hence, when the payment does not include </w:t>
      </w:r>
      <w:bookmarkStart w:name="_bookmark2839" w:id="2841"/>
      <w:bookmarkEnd w:id="2841"/>
      <w:r>
        <w:rPr>
          <w:vertAlign w:val="baseline"/>
        </w:rPr>
        <w:t>interest</w:t>
      </w:r>
      <w:r>
        <w:rPr>
          <w:vertAlign w:val="baseline"/>
        </w:rPr>
        <w:t> on the amount claimed, the court can still award the damages and interest under the statute. </w:t>
      </w:r>
      <w:r>
        <w:rPr>
          <w:color w:val="005DA1"/>
          <w:u w:val="single" w:color="005DA1"/>
          <w:vertAlign w:val="superscript"/>
        </w:rPr>
        <w:t>1501</w:t>
      </w:r>
      <w:r>
        <w:rPr>
          <w:color w:val="005DA1"/>
          <w:vertAlign w:val="baseline"/>
        </w:rPr>
        <w:t> </w:t>
      </w:r>
      <w:bookmarkStart w:name="_bookmark2840" w:id="2842"/>
      <w:bookmarkEnd w:id="2842"/>
      <w:r>
        <w:rPr>
          <w:color w:val="005DA1"/>
          <w:spacing w:val="17"/>
          <w:vertAlign w:val="baseline"/>
        </w:rPr>
      </w:r>
      <w:r>
        <w:rPr>
          <w:vertAlign w:val="baseline"/>
        </w:rPr>
        <w:t>It should be noted, however, that neither enactment </w:t>
      </w:r>
      <w:r>
        <w:rPr>
          <w:color w:val="005DA1"/>
          <w:u w:val="single" w:color="005DA1"/>
          <w:vertAlign w:val="superscript"/>
        </w:rPr>
        <w:t>1502</w:t>
      </w:r>
      <w:r>
        <w:rPr>
          <w:color w:val="005DA1"/>
          <w:vertAlign w:val="baseline"/>
        </w:rPr>
        <w:t> </w:t>
      </w:r>
      <w:r>
        <w:rPr>
          <w:vertAlign w:val="baseline"/>
        </w:rPr>
        <w:t>gives the court a discretionary power to award interest on any sum paid late before any proceedings for its recovery have been begun. </w:t>
      </w:r>
      <w:r>
        <w:rPr>
          <w:color w:val="005DA1"/>
          <w:u w:val="single" w:color="005DA1"/>
          <w:vertAlign w:val="superscript"/>
        </w:rPr>
        <w:t>1503</w:t>
      </w:r>
      <w:r>
        <w:rPr>
          <w:color w:val="005DA1"/>
          <w:vertAlign w:val="baseline"/>
        </w:rPr>
        <w:t> </w:t>
      </w:r>
      <w:bookmarkStart w:name="_bookmark2841" w:id="2843"/>
      <w:bookmarkEnd w:id="2843"/>
      <w:r>
        <w:rPr>
          <w:color w:val="005DA1"/>
          <w:w w:val="92"/>
          <w:vertAlign w:val="baseline"/>
        </w:rPr>
      </w:r>
      <w:r>
        <w:rPr>
          <w:vertAlign w:val="baseline"/>
        </w:rPr>
        <w:t>This applies to late payment of the whole or part of a debt and to a sum paid as damages before the </w:t>
      </w:r>
      <w:bookmarkStart w:name="_bookmark2842" w:id="2844"/>
      <w:bookmarkEnd w:id="2844"/>
      <w:r>
        <w:rPr>
          <w:vertAlign w:val="baseline"/>
        </w:rPr>
        <w:t>commencement</w:t>
      </w:r>
      <w:r>
        <w:rPr>
          <w:spacing w:val="-4"/>
          <w:vertAlign w:val="baseline"/>
        </w:rPr>
        <w:t> </w:t>
      </w:r>
      <w:r>
        <w:rPr>
          <w:vertAlign w:val="baseline"/>
        </w:rPr>
        <w:t>of</w:t>
      </w:r>
      <w:r>
        <w:rPr>
          <w:spacing w:val="-4"/>
          <w:vertAlign w:val="baseline"/>
        </w:rPr>
        <w:t> </w:t>
      </w:r>
      <w:r>
        <w:rPr>
          <w:vertAlign w:val="baseline"/>
        </w:rPr>
        <w:t>proceedings.</w:t>
      </w:r>
      <w:r>
        <w:rPr>
          <w:spacing w:val="-4"/>
          <w:vertAlign w:val="baseline"/>
        </w:rPr>
        <w:t> </w:t>
      </w:r>
      <w:r>
        <w:rPr>
          <w:color w:val="005DA1"/>
          <w:u w:val="single" w:color="005DA1"/>
          <w:vertAlign w:val="superscript"/>
        </w:rPr>
        <w:t>1504</w:t>
      </w:r>
      <w:r>
        <w:rPr>
          <w:color w:val="005DA1"/>
          <w:spacing w:val="-4"/>
          <w:vertAlign w:val="baseline"/>
        </w:rPr>
        <w:t> </w:t>
      </w:r>
      <w:r>
        <w:rPr>
          <w:vertAlign w:val="baseline"/>
        </w:rPr>
        <w:t>But</w:t>
      </w:r>
      <w:r>
        <w:rPr>
          <w:spacing w:val="-4"/>
          <w:vertAlign w:val="baseline"/>
        </w:rPr>
        <w:t> </w:t>
      </w:r>
      <w:r>
        <w:rPr>
          <w:vertAlign w:val="baseline"/>
        </w:rPr>
        <w:t>interest</w:t>
      </w:r>
      <w:r>
        <w:rPr>
          <w:spacing w:val="-4"/>
          <w:vertAlign w:val="baseline"/>
        </w:rPr>
        <w:t> </w:t>
      </w:r>
      <w:r>
        <w:rPr>
          <w:vertAlign w:val="baseline"/>
        </w:rPr>
        <w:t>may</w:t>
      </w:r>
      <w:r>
        <w:rPr>
          <w:spacing w:val="-4"/>
          <w:vertAlign w:val="baseline"/>
        </w:rPr>
        <w:t> </w:t>
      </w:r>
      <w:r>
        <w:rPr>
          <w:vertAlign w:val="baseline"/>
        </w:rPr>
        <w:t>arise</w:t>
      </w:r>
      <w:r>
        <w:rPr>
          <w:spacing w:val="-4"/>
          <w:vertAlign w:val="baseline"/>
        </w:rPr>
        <w:t> </w:t>
      </w:r>
      <w:r>
        <w:rPr>
          <w:vertAlign w:val="baseline"/>
        </w:rPr>
        <w:t>as</w:t>
      </w:r>
      <w:r>
        <w:rPr>
          <w:spacing w:val="-4"/>
          <w:vertAlign w:val="baseline"/>
        </w:rPr>
        <w:t> </w:t>
      </w:r>
      <w:r>
        <w:rPr>
          <w:vertAlign w:val="baseline"/>
        </w:rPr>
        <w:t>of</w:t>
      </w:r>
      <w:r>
        <w:rPr>
          <w:spacing w:val="-4"/>
          <w:vertAlign w:val="baseline"/>
        </w:rPr>
        <w:t> </w:t>
      </w:r>
      <w:r>
        <w:rPr>
          <w:rFonts w:ascii="Arial" w:hAnsi="Arial"/>
          <w:i/>
          <w:vertAlign w:val="baseline"/>
        </w:rPr>
        <w:t>right</w:t>
      </w:r>
      <w:r>
        <w:rPr>
          <w:rFonts w:ascii="Arial" w:hAnsi="Arial"/>
          <w:i/>
          <w:spacing w:val="-4"/>
          <w:vertAlign w:val="baseline"/>
        </w:rPr>
        <w:t> </w:t>
      </w:r>
      <w:r>
        <w:rPr>
          <w:vertAlign w:val="baseline"/>
        </w:rPr>
        <w:t>under</w:t>
      </w:r>
      <w:r>
        <w:rPr>
          <w:spacing w:val="-4"/>
          <w:vertAlign w:val="baseline"/>
        </w:rPr>
        <w:t> </w:t>
      </w:r>
      <w:r>
        <w:rPr>
          <w:vertAlign w:val="baseline"/>
        </w:rPr>
        <w:t>other</w:t>
      </w:r>
      <w:r>
        <w:rPr>
          <w:spacing w:val="-4"/>
          <w:vertAlign w:val="baseline"/>
        </w:rPr>
        <w:t> </w:t>
      </w:r>
      <w:r>
        <w:rPr>
          <w:vertAlign w:val="baseline"/>
        </w:rPr>
        <w:t>statutory</w:t>
      </w:r>
      <w:r>
        <w:rPr>
          <w:spacing w:val="-4"/>
          <w:vertAlign w:val="baseline"/>
        </w:rPr>
        <w:t> </w:t>
      </w:r>
      <w:r>
        <w:rPr>
          <w:vertAlign w:val="baseline"/>
        </w:rPr>
        <w:t>provisions, </w:t>
      </w:r>
      <w:r>
        <w:rPr>
          <w:color w:val="005DA1"/>
          <w:u w:val="single" w:color="005DA1"/>
          <w:vertAlign w:val="superscript"/>
        </w:rPr>
        <w:t>1505</w:t>
      </w:r>
      <w:r>
        <w:rPr>
          <w:color w:val="005DA1"/>
          <w:vertAlign w:val="baseline"/>
        </w:rPr>
        <w:t> </w:t>
      </w:r>
      <w:bookmarkStart w:name="_bookmark2843" w:id="2845"/>
      <w:bookmarkEnd w:id="2845"/>
      <w:r>
        <w:rPr>
          <w:color w:val="005DA1"/>
          <w:spacing w:val="-19"/>
          <w:vertAlign w:val="baseline"/>
        </w:rPr>
      </w:r>
      <w:r>
        <w:rPr>
          <w:vertAlign w:val="baseline"/>
        </w:rPr>
        <w:t>such as under the Late Payment of Commercial Debts (Interest) Act 1998. </w:t>
      </w:r>
      <w:r>
        <w:rPr>
          <w:color w:val="005DA1"/>
          <w:u w:val="single" w:color="005DA1"/>
          <w:vertAlign w:val="superscript"/>
        </w:rPr>
        <w:t>1506</w:t>
      </w:r>
      <w:r>
        <w:rPr>
          <w:color w:val="005DA1"/>
          <w:vertAlign w:val="baseline"/>
        </w:rPr>
        <w:t> </w:t>
      </w:r>
      <w:r>
        <w:rPr>
          <w:vertAlign w:val="baseline"/>
        </w:rPr>
        <w:t>Any claim for </w:t>
      </w:r>
      <w:bookmarkStart w:name="_bookmark2844" w:id="2846"/>
      <w:bookmarkEnd w:id="2846"/>
      <w:r>
        <w:rPr>
          <w:vertAlign w:val="baseline"/>
        </w:rPr>
        <w:t>interest,</w:t>
      </w:r>
      <w:r>
        <w:rPr>
          <w:vertAlign w:val="baseline"/>
        </w:rPr>
        <w:t> whether under the statutory provisions or otherwise, should be specifically pleaded </w:t>
      </w:r>
      <w:r>
        <w:rPr>
          <w:color w:val="005DA1"/>
          <w:u w:val="single" w:color="005DA1"/>
          <w:vertAlign w:val="superscript"/>
        </w:rPr>
        <w:t>1507</w:t>
      </w:r>
      <w:r>
        <w:rPr>
          <w:color w:val="005DA1"/>
          <w:vertAlign w:val="baseline"/>
        </w:rPr>
        <w:t> </w:t>
      </w:r>
      <w:r>
        <w:rPr>
          <w:vertAlign w:val="baseline"/>
        </w:rPr>
        <w:t>but </w:t>
      </w:r>
      <w:bookmarkStart w:name="_bookmark2845" w:id="2847"/>
      <w:bookmarkEnd w:id="2847"/>
      <w:r>
        <w:rPr>
          <w:vertAlign w:val="baseline"/>
        </w:rPr>
        <w:t>the</w:t>
      </w:r>
      <w:r>
        <w:rPr>
          <w:vertAlign w:val="baseline"/>
        </w:rPr>
        <w:t> court has power to award interest even if a claim for interest was not made. </w:t>
      </w:r>
      <w:r>
        <w:rPr>
          <w:color w:val="005DA1"/>
          <w:u w:val="single" w:color="005DA1"/>
          <w:vertAlign w:val="superscript"/>
        </w:rPr>
        <w:t>1508</w:t>
      </w:r>
      <w:r>
        <w:rPr>
          <w:color w:val="005DA1"/>
          <w:vertAlign w:val="baseline"/>
        </w:rPr>
        <w:t> </w:t>
      </w:r>
      <w:r>
        <w:rPr>
          <w:vertAlign w:val="baseline"/>
        </w:rPr>
        <w:t>Special rules apply to the award of interest on damages in respect of death or personal injuries. </w:t>
      </w:r>
      <w:r>
        <w:rPr>
          <w:color w:val="005DA1"/>
          <w:u w:val="single" w:color="005DA1"/>
          <w:vertAlign w:val="superscript"/>
        </w:rPr>
        <w:t>1509</w:t>
      </w:r>
    </w:p>
    <w:p>
      <w:pPr>
        <w:pStyle w:val="BodyText"/>
      </w:pPr>
    </w:p>
    <w:p>
      <w:pPr>
        <w:pStyle w:val="BodyText"/>
        <w:spacing w:before="30"/>
      </w:pPr>
    </w:p>
    <w:p>
      <w:pPr>
        <w:spacing w:before="0"/>
        <w:ind w:left="165" w:right="0" w:firstLine="0"/>
        <w:jc w:val="both"/>
        <w:rPr>
          <w:rFonts w:ascii="Arial"/>
          <w:b/>
          <w:sz w:val="18"/>
        </w:rPr>
      </w:pPr>
      <w:r>
        <w:rPr>
          <w:rFonts w:ascii="Arial"/>
          <w:b/>
          <w:sz w:val="18"/>
        </w:rPr>
        <w:t>Exercise of the discretion to award </w:t>
      </w:r>
      <w:r>
        <w:rPr>
          <w:rFonts w:asci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237</w:t>
      </w:r>
    </w:p>
    <w:p>
      <w:pPr>
        <w:pStyle w:val="BodyText"/>
        <w:spacing w:line="235" w:lineRule="auto" w:before="203"/>
        <w:ind w:left="165" w:right="167"/>
        <w:jc w:val="both"/>
      </w:pPr>
      <w:bookmarkStart w:name="_bookmark2846" w:id="2848"/>
      <w:bookmarkEnd w:id="2848"/>
      <w:r>
        <w:rPr/>
      </w:r>
      <w:r>
        <w:rPr/>
        <w:t>The basic principle </w:t>
      </w:r>
      <w:r>
        <w:rPr>
          <w:color w:val="005DA1"/>
          <w:u w:val="single" w:color="005DA1"/>
          <w:vertAlign w:val="superscript"/>
        </w:rPr>
        <w:t>1510</w:t>
      </w:r>
      <w:r>
        <w:rPr>
          <w:color w:val="005DA1"/>
          <w:vertAlign w:val="baseline"/>
        </w:rPr>
        <w:t> </w:t>
      </w:r>
      <w:r>
        <w:rPr>
          <w:vertAlign w:val="baseline"/>
        </w:rPr>
        <w:t>is that the court should award interest wherever the defendant’s breach of </w:t>
      </w:r>
      <w:bookmarkStart w:name="_bookmark2847" w:id="2849"/>
      <w:bookmarkEnd w:id="2849"/>
      <w:r>
        <w:rPr>
          <w:vertAlign w:val="baseline"/>
        </w:rPr>
        <w:t>contract</w:t>
      </w:r>
      <w:r>
        <w:rPr>
          <w:vertAlign w:val="baseline"/>
        </w:rPr>
        <w:t> deprived the claimant of the opportunity to put the subject-matter of the claim to work to earn profits or income. </w:t>
      </w:r>
      <w:r>
        <w:rPr>
          <w:color w:val="005DA1"/>
          <w:u w:val="single" w:color="005DA1"/>
          <w:vertAlign w:val="superscript"/>
        </w:rPr>
        <w:t>1511</w:t>
      </w:r>
      <w:r>
        <w:rPr>
          <w:color w:val="005DA1"/>
          <w:vertAlign w:val="baseline"/>
        </w:rPr>
        <w:t> </w:t>
      </w:r>
      <w:r>
        <w:rPr>
          <w:vertAlign w:val="baseline"/>
        </w:rPr>
        <w:t>So where the buyer failed to pay the price of goods sold and delivered to him, interest has been awarded:</w:t>
      </w:r>
    </w:p>
    <w:p>
      <w:pPr>
        <w:pStyle w:val="BodyText"/>
      </w:pPr>
    </w:p>
    <w:p>
      <w:pPr>
        <w:pStyle w:val="BodyText"/>
        <w:spacing w:before="125"/>
      </w:pPr>
    </w:p>
    <w:p>
      <w:pPr>
        <w:pStyle w:val="BodyText"/>
        <w:spacing w:line="235" w:lineRule="auto"/>
        <w:ind w:left="1245"/>
      </w:pPr>
      <w:bookmarkStart w:name="_bookmark2848" w:id="2850"/>
      <w:bookmarkEnd w:id="2850"/>
      <w:r>
        <w:rPr/>
      </w:r>
      <w:r>
        <w:rPr/>
        <w:t>“…</w:t>
      </w:r>
      <w:r>
        <w:rPr>
          <w:spacing w:val="20"/>
        </w:rPr>
        <w:t> </w:t>
      </w:r>
      <w:r>
        <w:rPr/>
        <w:t>on</w:t>
      </w:r>
      <w:r>
        <w:rPr>
          <w:spacing w:val="20"/>
        </w:rPr>
        <w:t> </w:t>
      </w:r>
      <w:r>
        <w:rPr/>
        <w:t>the</w:t>
      </w:r>
      <w:r>
        <w:rPr>
          <w:spacing w:val="20"/>
        </w:rPr>
        <w:t> </w:t>
      </w:r>
      <w:r>
        <w:rPr/>
        <w:t>simple</w:t>
      </w:r>
      <w:r>
        <w:rPr>
          <w:spacing w:val="20"/>
        </w:rPr>
        <w:t> </w:t>
      </w:r>
      <w:r>
        <w:rPr/>
        <w:t>commercial</w:t>
      </w:r>
      <w:r>
        <w:rPr>
          <w:spacing w:val="20"/>
        </w:rPr>
        <w:t> </w:t>
      </w:r>
      <w:r>
        <w:rPr/>
        <w:t>basis</w:t>
      </w:r>
      <w:r>
        <w:rPr>
          <w:spacing w:val="20"/>
        </w:rPr>
        <w:t> </w:t>
      </w:r>
      <w:r>
        <w:rPr/>
        <w:t>that</w:t>
      </w:r>
      <w:r>
        <w:rPr>
          <w:spacing w:val="20"/>
        </w:rPr>
        <w:t> </w:t>
      </w:r>
      <w:r>
        <w:rPr/>
        <w:t>if</w:t>
      </w:r>
      <w:r>
        <w:rPr>
          <w:spacing w:val="20"/>
        </w:rPr>
        <w:t> </w:t>
      </w:r>
      <w:r>
        <w:rPr/>
        <w:t>the</w:t>
      </w:r>
      <w:r>
        <w:rPr>
          <w:spacing w:val="20"/>
        </w:rPr>
        <w:t> </w:t>
      </w:r>
      <w:r>
        <w:rPr/>
        <w:t>money</w:t>
      </w:r>
      <w:r>
        <w:rPr>
          <w:spacing w:val="20"/>
        </w:rPr>
        <w:t> </w:t>
      </w:r>
      <w:r>
        <w:rPr/>
        <w:t>had</w:t>
      </w:r>
      <w:r>
        <w:rPr>
          <w:spacing w:val="20"/>
        </w:rPr>
        <w:t> </w:t>
      </w:r>
      <w:r>
        <w:rPr/>
        <w:t>been</w:t>
      </w:r>
      <w:r>
        <w:rPr>
          <w:spacing w:val="20"/>
        </w:rPr>
        <w:t> </w:t>
      </w:r>
      <w:r>
        <w:rPr/>
        <w:t>paid</w:t>
      </w:r>
      <w:r>
        <w:rPr>
          <w:spacing w:val="20"/>
        </w:rPr>
        <w:t> </w:t>
      </w:r>
      <w:r>
        <w:rPr/>
        <w:t>at</w:t>
      </w:r>
      <w:r>
        <w:rPr>
          <w:spacing w:val="20"/>
        </w:rPr>
        <w:t> </w:t>
      </w:r>
      <w:r>
        <w:rPr/>
        <w:t>the</w:t>
      </w:r>
      <w:r>
        <w:rPr>
          <w:spacing w:val="20"/>
        </w:rPr>
        <w:t> </w:t>
      </w:r>
      <w:r>
        <w:rPr/>
        <w:t>appropriate commercial time, the other side would have had the use of it.” </w:t>
      </w:r>
      <w:r>
        <w:rPr>
          <w:color w:val="005DA1"/>
          <w:u w:val="single" w:color="005DA1"/>
          <w:vertAlign w:val="superscript"/>
        </w:rPr>
        <w:t>1512</w:t>
      </w:r>
    </w:p>
    <w:p>
      <w:pPr>
        <w:pStyle w:val="BodyText"/>
        <w:spacing w:after="0" w:line="235" w:lineRule="auto"/>
        <w:sectPr>
          <w:headerReference w:type="default" r:id="rId69"/>
          <w:pgSz w:w="11900" w:h="16840"/>
          <w:pgMar w:header="971" w:footer="0" w:top="1300" w:bottom="280" w:left="1275" w:right="1275"/>
          <w:pgNumType w:start="1"/>
        </w:sectPr>
      </w:pPr>
    </w:p>
    <w:p>
      <w:pPr>
        <w:pStyle w:val="BodyText"/>
        <w:spacing w:line="235" w:lineRule="auto" w:before="110"/>
        <w:ind w:left="164" w:right="167"/>
        <w:jc w:val="both"/>
      </w:pPr>
      <w:r>
        <w:rPr/>
        <w:t>Where the seller failed to deliver the goods, the buyer’s damages should include interest on </w:t>
      </w:r>
      <w:r>
        <w:rPr/>
        <w:t>the </w:t>
      </w:r>
      <w:bookmarkStart w:name="_bookmark2849" w:id="2851"/>
      <w:bookmarkEnd w:id="2851"/>
      <w:r>
        <w:rPr/>
        <w:t>normal</w:t>
      </w:r>
      <w:r>
        <w:rPr/>
        <w:t> measure of the damages, viz the difference between the contract price and the market price </w:t>
      </w:r>
      <w:bookmarkStart w:name="_bookmark2850" w:id="2852"/>
      <w:bookmarkEnd w:id="2852"/>
      <w:r>
        <w:rPr/>
        <w:t>for</w:t>
      </w:r>
      <w:r>
        <w:rPr/>
        <w:t> substitute goods available at the date fixed for delivery. </w:t>
      </w:r>
      <w:r>
        <w:rPr>
          <w:color w:val="005DA1"/>
          <w:u w:val="single" w:color="005DA1"/>
          <w:vertAlign w:val="superscript"/>
        </w:rPr>
        <w:t>1513</w:t>
      </w:r>
      <w:r>
        <w:rPr>
          <w:color w:val="005DA1"/>
          <w:vertAlign w:val="baseline"/>
        </w:rPr>
        <w:t> </w:t>
      </w:r>
      <w:r>
        <w:rPr>
          <w:vertAlign w:val="baseline"/>
        </w:rPr>
        <w:t>Again, where the claimant has </w:t>
      </w:r>
      <w:bookmarkStart w:name="_bookmark2851" w:id="2853"/>
      <w:bookmarkEnd w:id="2853"/>
      <w:r>
        <w:rPr>
          <w:vertAlign w:val="baseline"/>
        </w:rPr>
        <w:t>reasonably</w:t>
      </w:r>
      <w:r>
        <w:rPr>
          <w:vertAlign w:val="baseline"/>
        </w:rPr>
        <w:t> incurred expenditure as the result of the defendant’s breach, </w:t>
      </w:r>
      <w:r>
        <w:rPr>
          <w:color w:val="005DA1"/>
          <w:u w:val="single" w:color="005DA1"/>
          <w:vertAlign w:val="superscript"/>
        </w:rPr>
        <w:t>1514</w:t>
      </w:r>
      <w:r>
        <w:rPr>
          <w:color w:val="005DA1"/>
          <w:vertAlign w:val="baseline"/>
        </w:rPr>
        <w:t> </w:t>
      </w:r>
      <w:r>
        <w:rPr>
          <w:vertAlign w:val="baseline"/>
        </w:rPr>
        <w:t>interest should be awarded as damages in respect of that expenditure. </w:t>
      </w:r>
      <w:r>
        <w:rPr>
          <w:color w:val="005DA1"/>
          <w:u w:val="single" w:color="005DA1"/>
          <w:vertAlign w:val="superscript"/>
        </w:rPr>
        <w:t>1515</w:t>
      </w:r>
      <w:r>
        <w:rPr>
          <w:color w:val="005DA1"/>
          <w:vertAlign w:val="baseline"/>
        </w:rPr>
        <w:t> </w:t>
      </w:r>
      <w:r>
        <w:rPr>
          <w:vertAlign w:val="baseline"/>
        </w:rPr>
        <w:t>The court should not award interest if that </w:t>
      </w:r>
      <w:bookmarkStart w:name="_bookmark2852" w:id="2854"/>
      <w:bookmarkEnd w:id="2854"/>
      <w:r>
        <w:rPr>
          <w:vertAlign w:val="baseline"/>
        </w:rPr>
        <w:t>would</w:t>
      </w:r>
      <w:r>
        <w:rPr>
          <w:vertAlign w:val="baseline"/>
        </w:rPr>
        <w:t> give the claimant double recovery for the same loss: the use of property, or the receipt of the income arising from its use, is the equivalent of interest earned by a sum of money. </w:t>
      </w:r>
      <w:r>
        <w:rPr>
          <w:color w:val="005DA1"/>
          <w:u w:val="single" w:color="005DA1"/>
          <w:vertAlign w:val="superscript"/>
        </w:rPr>
        <w:t>1516</w:t>
      </w:r>
      <w:r>
        <w:rPr>
          <w:color w:val="005DA1"/>
          <w:vertAlign w:val="baseline"/>
        </w:rPr>
        <w:t> </w:t>
      </w:r>
      <w:r>
        <w:rPr>
          <w:vertAlign w:val="baseline"/>
        </w:rPr>
        <w:t>For instance, if</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retains</w:t>
      </w:r>
      <w:r>
        <w:rPr>
          <w:spacing w:val="-1"/>
          <w:vertAlign w:val="baseline"/>
        </w:rPr>
        <w:t> </w:t>
      </w:r>
      <w:r>
        <w:rPr>
          <w:vertAlign w:val="baseline"/>
        </w:rPr>
        <w:t>incomeproducing</w:t>
      </w:r>
      <w:r>
        <w:rPr>
          <w:spacing w:val="-1"/>
          <w:vertAlign w:val="baseline"/>
        </w:rPr>
        <w:t> </w:t>
      </w:r>
      <w:r>
        <w:rPr>
          <w:vertAlign w:val="baseline"/>
        </w:rPr>
        <w:t>property,</w:t>
      </w:r>
      <w:r>
        <w:rPr>
          <w:spacing w:val="-1"/>
          <w:vertAlign w:val="baseline"/>
        </w:rPr>
        <w:t> </w:t>
      </w:r>
      <w:r>
        <w:rPr>
          <w:vertAlign w:val="baseline"/>
        </w:rPr>
        <w:t>which</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transferred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had</w:t>
      </w:r>
      <w:r>
        <w:rPr>
          <w:spacing w:val="-1"/>
          <w:vertAlign w:val="baseline"/>
        </w:rPr>
        <w:t> </w:t>
      </w:r>
      <w:r>
        <w:rPr>
          <w:vertAlign w:val="baseline"/>
        </w:rPr>
        <w:t>he </w:t>
      </w:r>
      <w:bookmarkStart w:name="_bookmark2853" w:id="2855"/>
      <w:bookmarkEnd w:id="2855"/>
      <w:r>
        <w:rPr>
          <w:vertAlign w:val="baseline"/>
        </w:rPr>
        <w:t>paid</w:t>
      </w:r>
      <w:r>
        <w:rPr>
          <w:vertAlign w:val="baseline"/>
        </w:rPr>
        <w:t> the price, the seller should not be given interest on the price if he is entitled to the income arising from the property during the delay until the price is paid. </w:t>
      </w:r>
      <w:r>
        <w:rPr>
          <w:color w:val="005DA1"/>
          <w:u w:val="single" w:color="005DA1"/>
          <w:vertAlign w:val="superscript"/>
        </w:rPr>
        <w:t>1517</w:t>
      </w:r>
      <w:r>
        <w:rPr>
          <w:color w:val="005DA1"/>
          <w:vertAlign w:val="baseline"/>
        </w:rPr>
        <w:t> </w:t>
      </w:r>
      <w:r>
        <w:rPr>
          <w:vertAlign w:val="baseline"/>
        </w:rPr>
        <w:t>Where the breach of contract deprives the claimant of the use of land or goods, and the court awards him damages for the loss of that use </w:t>
      </w:r>
      <w:bookmarkStart w:name="_bookmark2854" w:id="2856"/>
      <w:bookmarkEnd w:id="2856"/>
      <w:r>
        <w:rPr>
          <w:vertAlign w:val="baseline"/>
        </w:rPr>
        <w:t>(e.g.</w:t>
      </w:r>
      <w:r>
        <w:rPr>
          <w:vertAlign w:val="baseline"/>
        </w:rPr>
        <w:t> loss of rents or profits), he should not also be awarded interest on the value (or price) of the land or goods. </w:t>
      </w:r>
      <w:r>
        <w:rPr>
          <w:color w:val="005DA1"/>
          <w:u w:val="single" w:color="005DA1"/>
          <w:vertAlign w:val="superscript"/>
        </w:rPr>
        <w:t>1518</w:t>
      </w:r>
    </w:p>
    <w:p>
      <w:pPr>
        <w:pStyle w:val="BodyText"/>
      </w:pPr>
    </w:p>
    <w:p>
      <w:pPr>
        <w:pStyle w:val="BodyText"/>
        <w:spacing w:before="34"/>
      </w:pPr>
    </w:p>
    <w:p>
      <w:pPr>
        <w:spacing w:before="0"/>
        <w:ind w:left="165" w:right="0" w:firstLine="0"/>
        <w:jc w:val="both"/>
        <w:rPr>
          <w:rFonts w:ascii="Arial"/>
          <w:b/>
          <w:sz w:val="18"/>
        </w:rPr>
      </w:pPr>
      <w:r>
        <w:rPr>
          <w:rFonts w:ascii="Arial"/>
          <w:b/>
          <w:sz w:val="18"/>
        </w:rPr>
        <w:t>Period of </w:t>
      </w:r>
      <w:r>
        <w:rPr>
          <w:rFonts w:asci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31" name="Image 1331"/>
            <wp:cNvGraphicFramePr>
              <a:graphicFrameLocks/>
            </wp:cNvGraphicFramePr>
            <a:graphic>
              <a:graphicData uri="http://schemas.openxmlformats.org/drawingml/2006/picture">
                <pic:pic>
                  <pic:nvPicPr>
                    <pic:cNvPr id="1331" name="Image 13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855" w:id="2857"/>
      <w:bookmarkEnd w:id="2857"/>
      <w:r>
        <w:rPr>
          <w:rFonts w:ascii="Times New Roman"/>
          <w:spacing w:val="22"/>
        </w:rPr>
      </w:r>
      <w:r>
        <w:rPr/>
        <w:t>In principle, interest should run only from the date (after accrual of the cause of action) when the </w:t>
      </w:r>
      <w:bookmarkStart w:name="_bookmark2856" w:id="2858"/>
      <w:bookmarkEnd w:id="2858"/>
      <w:r>
        <w:rPr/>
        <w:t>claimant</w:t>
      </w:r>
      <w:r>
        <w:rPr>
          <w:spacing w:val="8"/>
        </w:rPr>
        <w:t> </w:t>
      </w:r>
      <w:r>
        <w:rPr/>
        <w:t>incurred</w:t>
      </w:r>
      <w:r>
        <w:rPr>
          <w:spacing w:val="9"/>
        </w:rPr>
        <w:t> </w:t>
      </w:r>
      <w:r>
        <w:rPr/>
        <w:t>the</w:t>
      </w:r>
      <w:r>
        <w:rPr>
          <w:spacing w:val="8"/>
        </w:rPr>
        <w:t> </w:t>
      </w:r>
      <w:r>
        <w:rPr/>
        <w:t>loss</w:t>
      </w:r>
      <w:r>
        <w:rPr>
          <w:spacing w:val="9"/>
        </w:rPr>
        <w:t> </w:t>
      </w:r>
      <w:r>
        <w:rPr/>
        <w:t>in</w:t>
      </w:r>
      <w:r>
        <w:rPr>
          <w:spacing w:val="8"/>
        </w:rPr>
        <w:t> </w:t>
      </w:r>
      <w:r>
        <w:rPr/>
        <w:t>question.</w:t>
      </w:r>
      <w:r>
        <w:rPr>
          <w:spacing w:val="8"/>
        </w:rPr>
        <w:t> </w:t>
      </w:r>
      <w:r>
        <w:rPr>
          <w:color w:val="005DA1"/>
          <w:u w:val="single" w:color="005DA1"/>
          <w:vertAlign w:val="superscript"/>
        </w:rPr>
        <w:t>1519</w:t>
      </w:r>
      <w:r>
        <w:rPr>
          <w:color w:val="005DA1"/>
          <w:spacing w:val="8"/>
          <w:vertAlign w:val="baseline"/>
        </w:rPr>
        <w:t> </w:t>
      </w:r>
      <w:r>
        <w:rPr>
          <w:vertAlign w:val="baseline"/>
        </w:rPr>
        <w:t>The</w:t>
      </w:r>
      <w:r>
        <w:rPr>
          <w:spacing w:val="9"/>
          <w:vertAlign w:val="baseline"/>
        </w:rPr>
        <w:t> </w:t>
      </w:r>
      <w:r>
        <w:rPr>
          <w:vertAlign w:val="baseline"/>
        </w:rPr>
        <w:t>court</w:t>
      </w:r>
      <w:r>
        <w:rPr>
          <w:spacing w:val="9"/>
          <w:vertAlign w:val="baseline"/>
        </w:rPr>
        <w:t> </w:t>
      </w:r>
      <w:r>
        <w:rPr>
          <w:vertAlign w:val="baseline"/>
        </w:rPr>
        <w:t>has</w:t>
      </w:r>
      <w:r>
        <w:rPr>
          <w:spacing w:val="8"/>
          <w:vertAlign w:val="baseline"/>
        </w:rPr>
        <w:t> </w:t>
      </w:r>
      <w:r>
        <w:rPr>
          <w:vertAlign w:val="baseline"/>
        </w:rPr>
        <w:t>a</w:t>
      </w:r>
      <w:r>
        <w:rPr>
          <w:spacing w:val="9"/>
          <w:vertAlign w:val="baseline"/>
        </w:rPr>
        <w:t> </w:t>
      </w:r>
      <w:r>
        <w:rPr>
          <w:vertAlign w:val="baseline"/>
        </w:rPr>
        <w:t>discretion</w:t>
      </w:r>
      <w:r>
        <w:rPr>
          <w:spacing w:val="8"/>
          <w:vertAlign w:val="baseline"/>
        </w:rPr>
        <w:t> </w:t>
      </w:r>
      <w:r>
        <w:rPr>
          <w:vertAlign w:val="baseline"/>
        </w:rPr>
        <w:t>to</w:t>
      </w:r>
      <w:r>
        <w:rPr>
          <w:spacing w:val="9"/>
          <w:vertAlign w:val="baseline"/>
        </w:rPr>
        <w:t> </w:t>
      </w:r>
      <w:r>
        <w:rPr>
          <w:vertAlign w:val="baseline"/>
        </w:rPr>
        <w:t>fix</w:t>
      </w:r>
      <w:r>
        <w:rPr>
          <w:spacing w:val="8"/>
          <w:vertAlign w:val="baseline"/>
        </w:rPr>
        <w:t> </w:t>
      </w:r>
      <w:r>
        <w:rPr>
          <w:vertAlign w:val="baseline"/>
        </w:rPr>
        <w:t>a</w:t>
      </w:r>
      <w:r>
        <w:rPr>
          <w:spacing w:val="9"/>
          <w:vertAlign w:val="baseline"/>
        </w:rPr>
        <w:t> </w:t>
      </w:r>
      <w:r>
        <w:rPr>
          <w:vertAlign w:val="baseline"/>
        </w:rPr>
        <w:t>later</w:t>
      </w:r>
      <w:r>
        <w:rPr>
          <w:spacing w:val="9"/>
          <w:vertAlign w:val="baseline"/>
        </w:rPr>
        <w:t> </w:t>
      </w:r>
      <w:r>
        <w:rPr>
          <w:vertAlign w:val="baseline"/>
        </w:rPr>
        <w:t>date,</w:t>
      </w:r>
      <w:r>
        <w:rPr>
          <w:spacing w:val="7"/>
          <w:vertAlign w:val="baseline"/>
        </w:rPr>
        <w:t> </w:t>
      </w:r>
      <w:r>
        <w:rPr>
          <w:color w:val="005DA1"/>
          <w:u w:val="single" w:color="005DA1"/>
          <w:vertAlign w:val="superscript"/>
        </w:rPr>
        <w:t>1520</w:t>
      </w:r>
      <w:r>
        <w:rPr>
          <w:color w:val="005DA1"/>
          <w:spacing w:val="9"/>
          <w:vertAlign w:val="baseline"/>
        </w:rPr>
        <w:t> </w:t>
      </w:r>
      <w:r>
        <w:rPr>
          <w:vertAlign w:val="baseline"/>
        </w:rPr>
        <w:t>as</w:t>
      </w:r>
      <w:r>
        <w:rPr>
          <w:spacing w:val="8"/>
          <w:vertAlign w:val="baseline"/>
        </w:rPr>
        <w:t> </w:t>
      </w:r>
      <w:r>
        <w:rPr>
          <w:spacing w:val="-2"/>
          <w:vertAlign w:val="baseline"/>
        </w:rPr>
        <w:t>where</w:t>
      </w:r>
    </w:p>
    <w:p>
      <w:pPr>
        <w:pStyle w:val="BodyText"/>
        <w:spacing w:line="235" w:lineRule="auto" w:before="119"/>
        <w:ind w:left="165" w:right="167"/>
        <w:jc w:val="both"/>
      </w:pPr>
      <w:r>
        <w:rPr/>
        <w:t>the claimant has unreasonably delayed bringing his action. </w:t>
      </w:r>
      <w:hyperlink w:history="true" w:anchor="_bookmark2919">
        <w:r>
          <w:rPr>
            <w:color w:val="005DA1"/>
            <w:u w:val="single" w:color="005DA1"/>
            <w:vertAlign w:val="superscript"/>
          </w:rPr>
          <w:t>1521</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332" name="Image 1332"/>
              <wp:cNvGraphicFramePr>
                <a:graphicFrameLocks/>
              </wp:cNvGraphicFramePr>
              <a:graphic>
                <a:graphicData uri="http://schemas.openxmlformats.org/drawingml/2006/picture">
                  <pic:pic>
                    <pic:nvPicPr>
                      <pic:cNvPr id="1332" name="Image 13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Where the claim is for the cost </w:t>
        </w:r>
        <w:r>
          <w:rPr>
            <w:vertAlign w:val="baseline"/>
          </w:rPr>
          <w:t>of </w:t>
        </w:r>
        <w:bookmarkStart w:name="_bookmark2857" w:id="2859"/>
        <w:bookmarkEnd w:id="2859"/>
        <w:r>
          <w:rPr>
            <w:vertAlign w:val="baseline"/>
          </w:rPr>
          <w:t>remedying</w:t>
        </w:r>
        <w:r>
          <w:rPr>
            <w:spacing w:val="-2"/>
            <w:vertAlign w:val="baseline"/>
          </w:rPr>
          <w:t> </w:t>
        </w:r>
        <w:r>
          <w:rPr>
            <w:vertAlign w:val="baseline"/>
          </w:rPr>
          <w:t>defects,</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should</w:t>
        </w:r>
        <w:r>
          <w:rPr>
            <w:spacing w:val="-2"/>
            <w:vertAlign w:val="baseline"/>
          </w:rPr>
          <w:t> </w:t>
        </w:r>
        <w:r>
          <w:rPr>
            <w:vertAlign w:val="baseline"/>
          </w:rPr>
          <w:t>also</w:t>
        </w:r>
        <w:r>
          <w:rPr>
            <w:spacing w:val="-2"/>
            <w:vertAlign w:val="baseline"/>
          </w:rPr>
          <w:t> </w:t>
        </w:r>
        <w:r>
          <w:rPr>
            <w:vertAlign w:val="baseline"/>
          </w:rPr>
          <w:t>take</w:t>
        </w:r>
        <w:r>
          <w:rPr>
            <w:spacing w:val="-2"/>
            <w:vertAlign w:val="baseline"/>
          </w:rPr>
          <w:t> </w:t>
        </w:r>
        <w:r>
          <w:rPr>
            <w:vertAlign w:val="baseline"/>
          </w:rPr>
          <w:t>into</w:t>
        </w:r>
        <w:r>
          <w:rPr>
            <w:spacing w:val="-2"/>
            <w:vertAlign w:val="baseline"/>
          </w:rPr>
          <w:t> </w:t>
        </w:r>
        <w:r>
          <w:rPr>
            <w:vertAlign w:val="baseline"/>
          </w:rPr>
          <w:t>account</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costs</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calculated</w:t>
        </w:r>
        <w:r>
          <w:rPr>
            <w:spacing w:val="-2"/>
            <w:vertAlign w:val="baseline"/>
          </w:rPr>
          <w:t> </w:t>
        </w:r>
        <w:r>
          <w:rPr>
            <w:vertAlign w:val="baseline"/>
          </w:rPr>
          <w:t>as </w:t>
        </w:r>
        <w:bookmarkStart w:name="_bookmark2858" w:id="2860"/>
        <w:bookmarkEnd w:id="2860"/>
        <w:r>
          <w:rPr>
            <w:vertAlign w:val="baseline"/>
          </w:rPr>
          <w:t>at</w:t>
        </w:r>
        <w:r>
          <w:rPr>
            <w:vertAlign w:val="baseline"/>
          </w:rPr>
          <w:t> the time of breach or at rates prevalent at the time of trial. </w:t>
        </w:r>
        <w:r>
          <w:rPr>
            <w:color w:val="005DA1"/>
            <w:u w:val="single" w:color="005DA1"/>
            <w:vertAlign w:val="superscript"/>
          </w:rPr>
          <w:t>1522</w:t>
        </w:r>
        <w:r>
          <w:rPr>
            <w:color w:val="005DA1"/>
            <w:vertAlign w:val="baseline"/>
          </w:rPr>
          <w:t> </w:t>
        </w:r>
        <w:r>
          <w:rPr>
            <w:vertAlign w:val="baseline"/>
          </w:rPr>
          <w:t>A question about the relevant dates </w:t>
        </w:r>
        <w:bookmarkStart w:name="_bookmark2859" w:id="2861"/>
        <w:bookmarkEnd w:id="2861"/>
        <w:r>
          <w:rPr>
            <w:vertAlign w:val="baseline"/>
          </w:rPr>
          <w:t>from</w:t>
        </w:r>
        <w:r>
          <w:rPr>
            <w:spacing w:val="-1"/>
            <w:vertAlign w:val="baseline"/>
          </w:rPr>
          <w:t> </w:t>
        </w:r>
        <w:r>
          <w:rPr>
            <w:vertAlign w:val="baseline"/>
          </w:rPr>
          <w:t>which</w:t>
        </w:r>
        <w:r>
          <w:rPr>
            <w:spacing w:val="-1"/>
            <w:vertAlign w:val="baseline"/>
          </w:rPr>
          <w:t> </w:t>
        </w:r>
        <w:r>
          <w:rPr>
            <w:vertAlign w:val="baseline"/>
          </w:rPr>
          <w:t>interest</w:t>
        </w:r>
        <w:r>
          <w:rPr>
            <w:spacing w:val="-1"/>
            <w:vertAlign w:val="baseline"/>
          </w:rPr>
          <w:t> </w:t>
        </w:r>
        <w:r>
          <w:rPr>
            <w:vertAlign w:val="baseline"/>
          </w:rPr>
          <w:t>should</w:t>
        </w:r>
        <w:r>
          <w:rPr>
            <w:spacing w:val="-1"/>
            <w:vertAlign w:val="baseline"/>
          </w:rPr>
          <w:t> </w:t>
        </w:r>
        <w:r>
          <w:rPr>
            <w:vertAlign w:val="baseline"/>
          </w:rPr>
          <w:t>run</w:t>
        </w:r>
        <w:r>
          <w:rPr>
            <w:spacing w:val="-1"/>
            <w:vertAlign w:val="baseline"/>
          </w:rPr>
          <w:t> </w:t>
        </w:r>
        <w:r>
          <w:rPr>
            <w:vertAlign w:val="baseline"/>
          </w:rPr>
          <w:t>arises</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was</w:t>
        </w:r>
        <w:r>
          <w:rPr>
            <w:spacing w:val="-1"/>
            <w:vertAlign w:val="baseline"/>
          </w:rPr>
          <w:t> </w:t>
        </w:r>
        <w:r>
          <w:rPr>
            <w:vertAlign w:val="baseline"/>
          </w:rPr>
          <w:t>insured</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particular</w:t>
        </w:r>
        <w:r>
          <w:rPr>
            <w:spacing w:val="-1"/>
            <w:vertAlign w:val="baseline"/>
          </w:rPr>
          <w:t> </w:t>
        </w:r>
        <w:r>
          <w:rPr>
            <w:vertAlign w:val="baseline"/>
          </w:rPr>
          <w:t>loss.</w:t>
        </w:r>
        <w:r>
          <w:rPr>
            <w:spacing w:val="-2"/>
            <w:vertAlign w:val="baseline"/>
          </w:rPr>
          <w:t> </w:t>
        </w:r>
        <w:r>
          <w:rPr>
            <w:color w:val="005DA1"/>
            <w:u w:val="single" w:color="005DA1"/>
            <w:vertAlign w:val="superscript"/>
          </w:rPr>
          <w:t>1523</w:t>
        </w:r>
        <w:r>
          <w:rPr>
            <w:color w:val="005DA1"/>
            <w:spacing w:val="-1"/>
            <w:vertAlign w:val="baseline"/>
          </w:rPr>
          <w:t> </w:t>
        </w:r>
        <w:r>
          <w:rPr>
            <w:vertAlign w:val="baseline"/>
          </w:rPr>
          <w:t>In one case, </w:t>
        </w:r>
        <w:r>
          <w:rPr>
            <w:color w:val="005DA1"/>
            <w:u w:val="single" w:color="005DA1"/>
            <w:vertAlign w:val="superscript"/>
          </w:rPr>
          <w:t>1524</w:t>
        </w:r>
        <w:r>
          <w:rPr>
            <w:color w:val="005DA1"/>
            <w:vertAlign w:val="baseline"/>
          </w:rPr>
          <w:t> </w:t>
        </w:r>
        <w:r>
          <w:rPr>
            <w:vertAlign w:val="baseline"/>
          </w:rPr>
          <w:t>the Court of Appeal was prepared to award interest on damages for the period after the plaintiffs were in fact indemnified by their insurers in respect of the loss. The court implied a term into the contract of insurance, to the effect that the plaintiffs could retain any interest awarded which accrued before the insurers paid the plaintiffs, but that any interest for a later period must go to the </w:t>
        </w:r>
        <w:r>
          <w:rPr>
            <w:spacing w:val="-2"/>
            <w:vertAlign w:val="baseline"/>
          </w:rPr>
          <w:t>insurers.</w:t>
        </w:r>
      </w:hyperlink>
    </w:p>
    <w:p>
      <w:pPr>
        <w:pStyle w:val="BodyText"/>
      </w:pPr>
    </w:p>
    <w:p>
      <w:pPr>
        <w:pStyle w:val="BodyText"/>
        <w:spacing w:before="35"/>
      </w:pPr>
    </w:p>
    <w:p>
      <w:pPr>
        <w:spacing w:before="0"/>
        <w:ind w:left="165" w:right="0" w:firstLine="0"/>
        <w:jc w:val="both"/>
        <w:rPr>
          <w:rFonts w:ascii="Arial"/>
          <w:b/>
          <w:sz w:val="18"/>
        </w:rPr>
      </w:pPr>
      <w:r>
        <w:rPr>
          <w:rFonts w:ascii="Arial"/>
          <w:b/>
          <w:sz w:val="18"/>
        </w:rPr>
        <w:t>No power where interest already </w:t>
      </w:r>
      <w:r>
        <w:rPr>
          <w:rFonts w:ascii="Arial"/>
          <w:b/>
          <w:spacing w:val="-2"/>
          <w:sz w:val="18"/>
        </w:rPr>
        <w:t>running</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239</w:t>
      </w:r>
    </w:p>
    <w:p>
      <w:pPr>
        <w:pStyle w:val="BodyText"/>
        <w:spacing w:line="235" w:lineRule="auto" w:before="202"/>
        <w:ind w:left="164" w:right="167"/>
        <w:jc w:val="both"/>
      </w:pPr>
      <w:bookmarkStart w:name="_bookmark2860" w:id="2862"/>
      <w:bookmarkEnd w:id="2862"/>
      <w:r>
        <w:rPr/>
      </w:r>
      <w:r>
        <w:rPr/>
        <w:t>The relevant statutes provide that interest in respect of a debt must not be awarded “for a </w:t>
      </w:r>
      <w:r>
        <w:rPr/>
        <w:t>period during which, for whatever reason, interest on the debt already runs”. </w:t>
      </w:r>
      <w:r>
        <w:rPr>
          <w:color w:val="005DA1"/>
          <w:u w:val="single" w:color="005DA1"/>
          <w:vertAlign w:val="superscript"/>
        </w:rPr>
        <w:t>1525</w:t>
      </w:r>
      <w:r>
        <w:rPr>
          <w:color w:val="005DA1"/>
          <w:vertAlign w:val="baseline"/>
        </w:rPr>
        <w:t> </w:t>
      </w:r>
      <w:r>
        <w:rPr>
          <w:vertAlign w:val="baseline"/>
        </w:rPr>
        <w:t>Hence, if the contract itself </w:t>
      </w:r>
      <w:bookmarkStart w:name="_bookmark2861" w:id="2863"/>
      <w:bookmarkEnd w:id="2863"/>
      <w:r>
        <w:rPr>
          <w:vertAlign w:val="baseline"/>
        </w:rPr>
        <w:t>fixes</w:t>
      </w:r>
      <w:r>
        <w:rPr>
          <w:vertAlign w:val="baseline"/>
        </w:rPr>
        <w:t> interest, the court can only enforce that provision: its statutory power does not override the </w:t>
      </w:r>
      <w:bookmarkStart w:name="_bookmark2862" w:id="2864"/>
      <w:bookmarkEnd w:id="2864"/>
      <w:r>
        <w:rPr>
          <w:vertAlign w:val="baseline"/>
        </w:rPr>
        <w:t>contractual</w:t>
      </w:r>
      <w:r>
        <w:rPr>
          <w:vertAlign w:val="baseline"/>
        </w:rPr>
        <w:t> provision, e.g. the court may not fix a different rate of interest </w:t>
      </w:r>
      <w:r>
        <w:rPr>
          <w:color w:val="005DA1"/>
          <w:u w:val="single" w:color="005DA1"/>
          <w:vertAlign w:val="superscript"/>
        </w:rPr>
        <w:t>1526</w:t>
      </w:r>
      <w:r>
        <w:rPr>
          <w:color w:val="005DA1"/>
          <w:vertAlign w:val="baseline"/>
        </w:rPr>
        <w:t> </w:t>
      </w:r>
      <w:r>
        <w:rPr>
          <w:vertAlign w:val="baseline"/>
        </w:rPr>
        <w:t>or award interest in circumstances in which the contract provides that it is not to be payable. </w:t>
      </w:r>
      <w:r>
        <w:rPr>
          <w:color w:val="005DA1"/>
          <w:u w:val="single" w:color="005DA1"/>
          <w:vertAlign w:val="superscript"/>
        </w:rPr>
        <w:t>1527</w:t>
      </w:r>
    </w:p>
    <w:p>
      <w:pPr>
        <w:pStyle w:val="BodyText"/>
      </w:pPr>
    </w:p>
    <w:p>
      <w:pPr>
        <w:pStyle w:val="BodyText"/>
        <w:spacing w:before="37"/>
      </w:pPr>
    </w:p>
    <w:p>
      <w:pPr>
        <w:spacing w:before="0"/>
        <w:ind w:left="165" w:right="0" w:firstLine="0"/>
        <w:jc w:val="left"/>
        <w:rPr>
          <w:rFonts w:ascii="Arial"/>
          <w:b/>
          <w:sz w:val="18"/>
        </w:rPr>
      </w:pPr>
      <w:r>
        <w:rPr>
          <w:rFonts w:ascii="Arial"/>
          <w:b/>
          <w:sz w:val="18"/>
        </w:rPr>
        <w:t>Rates of </w:t>
      </w:r>
      <w:r>
        <w:rPr>
          <w:rFonts w:asci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240</w:t>
      </w:r>
    </w:p>
    <w:p>
      <w:pPr>
        <w:pStyle w:val="BodyText"/>
        <w:spacing w:line="235" w:lineRule="auto" w:before="203"/>
        <w:ind w:left="164" w:right="167"/>
        <w:jc w:val="both"/>
      </w:pPr>
      <w:bookmarkStart w:name="_bookmark2863" w:id="2865"/>
      <w:bookmarkEnd w:id="2865"/>
      <w:r>
        <w:rPr/>
      </w:r>
      <w:bookmarkStart w:name="_bookmark2864" w:id="2866"/>
      <w:bookmarkEnd w:id="2866"/>
      <w:r>
        <w:rPr/>
      </w:r>
      <w:r>
        <w:rPr/>
        <w:t>The court is empowered to award interest “at different rates in respect of different periods”. </w:t>
      </w:r>
      <w:r>
        <w:rPr>
          <w:color w:val="005DA1"/>
          <w:u w:val="single" w:color="005DA1"/>
          <w:vertAlign w:val="superscript"/>
        </w:rPr>
        <w:t>1528</w:t>
      </w:r>
      <w:r>
        <w:rPr>
          <w:color w:val="005DA1"/>
          <w:vertAlign w:val="baseline"/>
        </w:rPr>
        <w:t> </w:t>
      </w:r>
      <w:r>
        <w:rPr>
          <w:vertAlign w:val="baseline"/>
        </w:rPr>
        <w:t>In business </w:t>
      </w:r>
      <w:r>
        <w:rPr>
          <w:color w:val="005DA1"/>
          <w:u w:val="single" w:color="005DA1"/>
          <w:vertAlign w:val="superscript"/>
        </w:rPr>
        <w:t>1529</w:t>
      </w:r>
      <w:r>
        <w:rPr>
          <w:color w:val="005DA1"/>
          <w:vertAlign w:val="baseline"/>
        </w:rPr>
        <w:t> </w:t>
      </w:r>
      <w:r>
        <w:rPr>
          <w:vertAlign w:val="baseline"/>
        </w:rPr>
        <w:t>contexts, the rate of interest should reflect the current commercial rate. </w:t>
      </w:r>
      <w:r>
        <w:rPr>
          <w:color w:val="005DA1"/>
          <w:u w:val="single" w:color="005DA1"/>
          <w:vertAlign w:val="superscript"/>
        </w:rPr>
        <w:t>1530</w:t>
      </w:r>
      <w:r>
        <w:rPr>
          <w:color w:val="005DA1"/>
          <w:vertAlign w:val="baseline"/>
        </w:rPr>
        <w:t> </w:t>
      </w:r>
      <w:r>
        <w:rPr>
          <w:vertAlign w:val="baseline"/>
        </w:rPr>
        <w:t>The approach of the Commercial Court is to award interest at a rate which broadly represents the rate at </w:t>
      </w:r>
      <w:bookmarkStart w:name="_bookmark2865" w:id="2867"/>
      <w:bookmarkEnd w:id="2867"/>
      <w:r>
        <w:rPr>
          <w:vertAlign w:val="baseline"/>
        </w:rPr>
        <w:t>which</w:t>
      </w:r>
      <w:r>
        <w:rPr>
          <w:vertAlign w:val="baseline"/>
        </w:rPr>
        <w:t> the successful party would have had to borrow the amount recovered over the period in </w:t>
      </w:r>
      <w:bookmarkStart w:name="_bookmark2866" w:id="2868"/>
      <w:bookmarkEnd w:id="2868"/>
      <w:r>
        <w:rPr>
          <w:vertAlign w:val="baseline"/>
        </w:rPr>
        <w:t>question.</w:t>
      </w:r>
      <w:r>
        <w:rPr>
          <w:vertAlign w:val="baseline"/>
        </w:rPr>
        <w:t> </w:t>
      </w:r>
      <w:r>
        <w:rPr>
          <w:color w:val="005DA1"/>
          <w:u w:val="single" w:color="005DA1"/>
          <w:vertAlign w:val="superscript"/>
        </w:rPr>
        <w:t>1531</w:t>
      </w:r>
      <w:r>
        <w:rPr>
          <w:color w:val="005DA1"/>
          <w:vertAlign w:val="baseline"/>
        </w:rPr>
        <w:t> </w:t>
      </w:r>
      <w:r>
        <w:rPr>
          <w:vertAlign w:val="baseline"/>
        </w:rPr>
        <w:t>The Court of Appeal has upheld the practice of the Commercial Court to award interest </w:t>
      </w:r>
      <w:bookmarkStart w:name="_bookmark2867" w:id="2869"/>
      <w:bookmarkEnd w:id="2869"/>
      <w:r>
        <w:rPr>
          <w:vertAlign w:val="baseline"/>
        </w:rPr>
        <w:t>at</w:t>
      </w:r>
      <w:r>
        <w:rPr>
          <w:vertAlign w:val="baseline"/>
        </w:rPr>
        <w:t> a borrower’s rate of 1 per cent above the base rate prevailing from time to time, </w:t>
      </w:r>
      <w:r>
        <w:rPr>
          <w:color w:val="005DA1"/>
          <w:u w:val="single" w:color="005DA1"/>
          <w:vertAlign w:val="superscript"/>
        </w:rPr>
        <w:t>1532</w:t>
      </w:r>
      <w:r>
        <w:rPr>
          <w:color w:val="005DA1"/>
          <w:vertAlign w:val="baseline"/>
        </w:rPr>
        <w:t> </w:t>
      </w:r>
      <w:r>
        <w:rPr>
          <w:vertAlign w:val="baseline"/>
        </w:rPr>
        <w:t>but this is only a presumption which can be displaced if its application would be unfair to either party. </w:t>
      </w:r>
      <w:r>
        <w:rPr>
          <w:color w:val="005DA1"/>
          <w:u w:val="single" w:color="005DA1"/>
          <w:vertAlign w:val="superscript"/>
        </w:rPr>
        <w:t>1533</w:t>
      </w:r>
      <w:r>
        <w:rPr>
          <w:color w:val="005DA1"/>
          <w:vertAlign w:val="baseline"/>
        </w:rPr>
        <w:t> </w:t>
      </w:r>
      <w:r>
        <w:rPr>
          <w:vertAlign w:val="baseline"/>
        </w:rPr>
        <w:t>The Court of Appeal has recognised that the borrowing costs of small businesses are often higher than for first </w:t>
      </w:r>
      <w:bookmarkStart w:name="_bookmark2868" w:id="2870"/>
      <w:bookmarkEnd w:id="2870"/>
      <w:r>
        <w:rPr>
          <w:vertAlign w:val="baseline"/>
        </w:rPr>
        <w:t>class</w:t>
      </w:r>
      <w:r>
        <w:rPr>
          <w:vertAlign w:val="baseline"/>
        </w:rPr>
        <w:t> borrowers for whom 1 per cent above base rate is appropriate: interest on damages at 3 per </w:t>
      </w:r>
      <w:bookmarkStart w:name="_bookmark2869" w:id="2871"/>
      <w:bookmarkEnd w:id="2871"/>
      <w:r>
        <w:rPr>
          <w:vertAlign w:val="baseline"/>
        </w:rPr>
        <w:t>cent</w:t>
      </w:r>
      <w:r>
        <w:rPr>
          <w:spacing w:val="-1"/>
          <w:vertAlign w:val="baseline"/>
        </w:rPr>
        <w:t> </w:t>
      </w:r>
      <w:r>
        <w:rPr>
          <w:vertAlign w:val="baseline"/>
        </w:rPr>
        <w:t>above</w:t>
      </w:r>
      <w:r>
        <w:rPr>
          <w:spacing w:val="-1"/>
          <w:vertAlign w:val="baseline"/>
        </w:rPr>
        <w:t> </w:t>
      </w:r>
      <w:r>
        <w:rPr>
          <w:vertAlign w:val="baseline"/>
        </w:rPr>
        <w:t>base</w:t>
      </w:r>
      <w:r>
        <w:rPr>
          <w:spacing w:val="-1"/>
          <w:vertAlign w:val="baseline"/>
        </w:rPr>
        <w:t> </w:t>
      </w:r>
      <w:r>
        <w:rPr>
          <w:vertAlign w:val="baseline"/>
        </w:rPr>
        <w:t>rate</w:t>
      </w:r>
      <w:r>
        <w:rPr>
          <w:spacing w:val="-1"/>
          <w:vertAlign w:val="baseline"/>
        </w:rPr>
        <w:t> </w:t>
      </w:r>
      <w:r>
        <w:rPr>
          <w:vertAlign w:val="baseline"/>
        </w:rPr>
        <w:t>was</w:t>
      </w:r>
      <w:r>
        <w:rPr>
          <w:spacing w:val="-1"/>
          <w:vertAlign w:val="baseline"/>
        </w:rPr>
        <w:t> </w:t>
      </w:r>
      <w:r>
        <w:rPr>
          <w:vertAlign w:val="baseline"/>
        </w:rPr>
        <w:t>awarded,</w:t>
      </w:r>
      <w:r>
        <w:rPr>
          <w:spacing w:val="-2"/>
          <w:vertAlign w:val="baseline"/>
        </w:rPr>
        <w:t> </w:t>
      </w:r>
      <w:r>
        <w:rPr>
          <w:color w:val="005DA1"/>
          <w:u w:val="single" w:color="005DA1"/>
          <w:vertAlign w:val="superscript"/>
        </w:rPr>
        <w:t>1534</w:t>
      </w:r>
      <w:r>
        <w:rPr>
          <w:color w:val="005DA1"/>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claim</w:t>
      </w:r>
      <w:r>
        <w:rPr>
          <w:spacing w:val="-1"/>
          <w:vertAlign w:val="baseline"/>
        </w:rPr>
        <w:t> </w:t>
      </w:r>
      <w:r>
        <w:rPr>
          <w:vertAlign w:val="baseline"/>
        </w:rPr>
        <w:t>is</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the</w:t>
      </w:r>
      <w:r>
        <w:rPr>
          <w:spacing w:val="-1"/>
          <w:vertAlign w:val="baseline"/>
        </w:rPr>
        <w:t> </w:t>
      </w:r>
      <w:r>
        <w:rPr>
          <w:vertAlign w:val="baseline"/>
        </w:rPr>
        <w:t>appropriate</w:t>
      </w:r>
      <w:r>
        <w:rPr>
          <w:spacing w:val="-1"/>
          <w:vertAlign w:val="baseline"/>
        </w:rPr>
        <w:t> </w:t>
      </w:r>
      <w:r>
        <w:rPr>
          <w:vertAlign w:val="baseline"/>
        </w:rPr>
        <w:t>rate is the cost of unsecured borrowing by individuals. </w:t>
      </w:r>
      <w:r>
        <w:rPr>
          <w:color w:val="005DA1"/>
          <w:u w:val="single" w:color="005DA1"/>
          <w:vertAlign w:val="superscript"/>
        </w:rPr>
        <w:t>1535</w:t>
      </w:r>
    </w:p>
    <w:p>
      <w:pPr>
        <w:pStyle w:val="BodyText"/>
        <w:spacing w:after="0" w:line="235" w:lineRule="auto"/>
        <w:jc w:val="both"/>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26-</w:t>
      </w:r>
      <w:r>
        <w:rPr>
          <w:rFonts w:ascii="Arial"/>
          <w:b/>
          <w:spacing w:val="-5"/>
          <w:sz w:val="24"/>
        </w:rPr>
        <w:t>241</w:t>
      </w:r>
    </w:p>
    <w:p>
      <w:pPr>
        <w:pStyle w:val="BodyText"/>
        <w:spacing w:line="235" w:lineRule="auto" w:before="202"/>
        <w:ind w:left="165" w:right="167"/>
        <w:jc w:val="both"/>
      </w:pPr>
      <w:bookmarkStart w:name="_bookmark2870" w:id="2872"/>
      <w:bookmarkEnd w:id="2872"/>
      <w:r>
        <w:rPr/>
      </w:r>
      <w:bookmarkStart w:name="_bookmark2871" w:id="2873"/>
      <w:bookmarkEnd w:id="2873"/>
      <w:r>
        <w:rPr/>
      </w:r>
      <w:r>
        <w:rPr/>
        <w:t>Rules of court may be made </w:t>
      </w:r>
      <w:r>
        <w:rPr>
          <w:color w:val="005DA1"/>
          <w:u w:val="single" w:color="005DA1"/>
          <w:vertAlign w:val="superscript"/>
        </w:rPr>
        <w:t>1536</w:t>
      </w:r>
      <w:r>
        <w:rPr>
          <w:color w:val="005DA1"/>
          <w:vertAlign w:val="baseline"/>
        </w:rPr>
        <w:t> </w:t>
      </w:r>
      <w:r>
        <w:rPr>
          <w:vertAlign w:val="baseline"/>
        </w:rPr>
        <w:t>fixing the rate of interest which the court may award by reference </w:t>
      </w:r>
      <w:r>
        <w:rPr>
          <w:vertAlign w:val="baseline"/>
        </w:rPr>
        <w:t>to the rate fixed from time to time for judgment debts under the Judgments Act 1838 </w:t>
      </w:r>
      <w:r>
        <w:rPr>
          <w:color w:val="005DA1"/>
          <w:u w:val="single" w:color="005DA1"/>
          <w:vertAlign w:val="superscript"/>
        </w:rPr>
        <w:t>1537</w:t>
      </w:r>
      <w:r>
        <w:rPr>
          <w:color w:val="005DA1"/>
          <w:vertAlign w:val="baseline"/>
        </w:rPr>
        <w:t> </w:t>
      </w:r>
      <w:r>
        <w:rPr>
          <w:vertAlign w:val="baseline"/>
        </w:rPr>
        <w:t>or by reference to a rate for which any other enactment provides. The Civil Procedure Rules 1998 contain provisions about interest when the claimant seeks judgment by default, when the claimant makes an offer or when the defendant makes a payment into court. Where the claimant claims interest on a specified </w:t>
      </w:r>
      <w:bookmarkStart w:name="_bookmark2872" w:id="2874"/>
      <w:bookmarkEnd w:id="2874"/>
      <w:r>
        <w:rPr>
          <w:vertAlign w:val="baseline"/>
        </w:rPr>
        <w:t>amount</w:t>
      </w:r>
      <w:r>
        <w:rPr>
          <w:vertAlign w:val="baseline"/>
        </w:rPr>
        <w:t> of money (under s.35A of the 1981 Act or s.69 of the 1984 Act) at a rate no higher than that </w:t>
      </w:r>
      <w:bookmarkStart w:name="_bookmark2873" w:id="2875"/>
      <w:bookmarkEnd w:id="2875"/>
      <w:r>
        <w:rPr>
          <w:vertAlign w:val="baseline"/>
        </w:rPr>
        <w:t>payable</w:t>
      </w:r>
      <w:r>
        <w:rPr>
          <w:vertAlign w:val="baseline"/>
        </w:rPr>
        <w:t> on judgment debts </w:t>
      </w:r>
      <w:r>
        <w:rPr>
          <w:color w:val="005DA1"/>
          <w:u w:val="single" w:color="005DA1"/>
          <w:vertAlign w:val="superscript"/>
        </w:rPr>
        <w:t>1538</w:t>
      </w:r>
      <w:r>
        <w:rPr>
          <w:color w:val="005DA1"/>
          <w:vertAlign w:val="baseline"/>
        </w:rPr>
        <w:t> </w:t>
      </w:r>
      <w:r>
        <w:rPr>
          <w:vertAlign w:val="baseline"/>
        </w:rPr>
        <w:t>at the date when the claim form was issued, a default judgment may include the amount of interest to the date of judgment.</w:t>
      </w:r>
      <w:r>
        <w:rPr>
          <w:spacing w:val="-1"/>
          <w:vertAlign w:val="baseline"/>
        </w:rPr>
        <w:t> </w:t>
      </w:r>
      <w:r>
        <w:rPr>
          <w:color w:val="005DA1"/>
          <w:u w:val="single" w:color="005DA1"/>
          <w:vertAlign w:val="superscript"/>
        </w:rPr>
        <w:t>1539</w:t>
      </w:r>
      <w:r>
        <w:rPr>
          <w:color w:val="005DA1"/>
          <w:vertAlign w:val="baseline"/>
        </w:rPr>
        <w:t> </w:t>
      </w:r>
      <w:r>
        <w:rPr>
          <w:vertAlign w:val="baseline"/>
        </w:rPr>
        <w:t>If the claim is for a different rate of interest, </w:t>
      </w:r>
      <w:bookmarkStart w:name="_bookmark2874" w:id="2876"/>
      <w:bookmarkEnd w:id="2876"/>
      <w:r>
        <w:rPr>
          <w:vertAlign w:val="baseline"/>
        </w:rPr>
        <w:t>the</w:t>
      </w:r>
      <w:r>
        <w:rPr>
          <w:vertAlign w:val="baseline"/>
        </w:rPr>
        <w:t> default judgment must exclude interest but judgment may be entered for interest to be decided by </w:t>
      </w:r>
      <w:bookmarkStart w:name="_bookmark2875" w:id="2877"/>
      <w:bookmarkEnd w:id="2877"/>
      <w:r>
        <w:rPr>
          <w:vertAlign w:val="baseline"/>
        </w:rPr>
        <w:t>the</w:t>
      </w:r>
      <w:r>
        <w:rPr>
          <w:vertAlign w:val="baseline"/>
        </w:rPr>
        <w:t> court. </w:t>
      </w:r>
      <w:r>
        <w:rPr>
          <w:color w:val="005DA1"/>
          <w:u w:val="single" w:color="005DA1"/>
          <w:vertAlign w:val="superscript"/>
        </w:rPr>
        <w:t>1540</w:t>
      </w:r>
      <w:r>
        <w:rPr>
          <w:color w:val="005DA1"/>
          <w:vertAlign w:val="baseline"/>
        </w:rPr>
        <w:t> </w:t>
      </w:r>
      <w:r>
        <w:rPr>
          <w:vertAlign w:val="baseline"/>
        </w:rPr>
        <w:t>A Pt 36 offer which offers to pay or offers to accept a sum of money will be treated as inclusive of interest. </w:t>
      </w:r>
      <w:r>
        <w:rPr>
          <w:color w:val="005DA1"/>
          <w:u w:val="single" w:color="005DA1"/>
          <w:vertAlign w:val="superscript"/>
        </w:rPr>
        <w:t>1541</w:t>
      </w:r>
    </w:p>
    <w:p>
      <w:pPr>
        <w:pStyle w:val="BodyText"/>
      </w:pPr>
    </w:p>
    <w:p>
      <w:pPr>
        <w:pStyle w:val="BodyText"/>
        <w:spacing w:before="35"/>
      </w:pPr>
    </w:p>
    <w:p>
      <w:pPr>
        <w:spacing w:before="0"/>
        <w:ind w:left="165" w:right="0" w:firstLine="0"/>
        <w:jc w:val="left"/>
        <w:rPr>
          <w:rFonts w:ascii="Arial"/>
          <w:b/>
          <w:sz w:val="18"/>
        </w:rPr>
      </w:pPr>
      <w:r>
        <w:rPr>
          <w:rFonts w:ascii="Arial"/>
          <w:b/>
          <w:sz w:val="18"/>
        </w:rPr>
        <w:t>Debt or damages in foreign </w:t>
      </w:r>
      <w:r>
        <w:rPr>
          <w:rFonts w:ascii="Arial"/>
          <w:b/>
          <w:spacing w:val="-2"/>
          <w:sz w:val="18"/>
        </w:rPr>
        <w:t>currency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242</w:t>
      </w:r>
    </w:p>
    <w:p>
      <w:pPr>
        <w:pStyle w:val="BodyText"/>
        <w:spacing w:line="235" w:lineRule="auto" w:before="203"/>
        <w:ind w:left="165" w:right="167"/>
        <w:jc w:val="both"/>
      </w:pPr>
      <w:bookmarkStart w:name="_bookmark2876" w:id="2878"/>
      <w:bookmarkEnd w:id="2878"/>
      <w:r>
        <w:rPr/>
      </w:r>
      <w:r>
        <w:rPr/>
        <w:t>When the debt or damages are calculated in a foreign currency, the rate of interest should be the commercial borrowing rate in that currency in the relevant country. </w:t>
      </w:r>
      <w:r>
        <w:rPr>
          <w:color w:val="005DA1"/>
          <w:u w:val="single" w:color="005DA1"/>
          <w:vertAlign w:val="superscript"/>
        </w:rPr>
        <w:t>1542</w:t>
      </w:r>
    </w:p>
    <w:p>
      <w:pPr>
        <w:pStyle w:val="BodyText"/>
      </w:pPr>
    </w:p>
    <w:p>
      <w:pPr>
        <w:pStyle w:val="BodyText"/>
        <w:spacing w:before="37"/>
      </w:pPr>
    </w:p>
    <w:p>
      <w:pPr>
        <w:spacing w:before="1"/>
        <w:ind w:left="165" w:right="0" w:firstLine="0"/>
        <w:jc w:val="left"/>
        <w:rPr>
          <w:rFonts w:ascii="Arial"/>
          <w:b/>
          <w:sz w:val="18"/>
        </w:rPr>
      </w:pPr>
      <w:r>
        <w:rPr>
          <w:rFonts w:ascii="Arial"/>
          <w:b/>
          <w:sz w:val="18"/>
        </w:rPr>
        <w:t>Rate of </w:t>
      </w:r>
      <w:r>
        <w:rPr>
          <w:rFonts w:ascii="Arial"/>
          <w:b/>
          <w:spacing w:val="-2"/>
          <w:sz w:val="18"/>
        </w:rPr>
        <w:t>exchange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243</w:t>
      </w:r>
    </w:p>
    <w:p>
      <w:pPr>
        <w:pStyle w:val="BodyText"/>
        <w:spacing w:line="235" w:lineRule="auto" w:before="202"/>
        <w:ind w:left="165" w:right="167"/>
        <w:jc w:val="both"/>
      </w:pPr>
      <w:bookmarkStart w:name="_bookmark2877" w:id="2879"/>
      <w:bookmarkEnd w:id="2879"/>
      <w:r>
        <w:rPr/>
      </w:r>
      <w:r>
        <w:rPr/>
        <w:t>The question of the appropriate rate of exchange when the debt or damages for breach of </w:t>
      </w:r>
      <w:r>
        <w:rPr/>
        <w:t>contract</w:t>
      </w:r>
      <w:r>
        <w:rPr>
          <w:spacing w:val="40"/>
        </w:rPr>
        <w:t> </w:t>
      </w:r>
      <w:r>
        <w:rPr/>
        <w:t>are calculable in a foreign currency is examined in Ch.30. </w:t>
      </w:r>
      <w:r>
        <w:rPr>
          <w:color w:val="005DA1"/>
          <w:u w:val="single" w:color="005DA1"/>
          <w:vertAlign w:val="superscript"/>
        </w:rPr>
        <w:t>1543</w:t>
      </w:r>
    </w:p>
    <w:p>
      <w:pPr>
        <w:pStyle w:val="BodyText"/>
      </w:pPr>
    </w:p>
    <w:p>
      <w:pPr>
        <w:pStyle w:val="BodyText"/>
        <w:spacing w:before="38"/>
      </w:pPr>
    </w:p>
    <w:p>
      <w:pPr>
        <w:spacing w:before="0"/>
        <w:ind w:left="165" w:right="0" w:firstLine="0"/>
        <w:jc w:val="left"/>
        <w:rPr>
          <w:rFonts w:ascii="Arial"/>
          <w:b/>
          <w:sz w:val="18"/>
        </w:rPr>
      </w:pPr>
      <w:r>
        <w:rPr>
          <w:rFonts w:ascii="Arial"/>
          <w:b/>
          <w:sz w:val="18"/>
        </w:rPr>
        <w:t>Interest due as of </w:t>
      </w:r>
      <w:r>
        <w:rPr>
          <w:rFonts w:ascii="Arial"/>
          <w:b/>
          <w:spacing w:val="-2"/>
          <w:sz w:val="18"/>
        </w:rPr>
        <w:t>right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26-</w:t>
      </w:r>
      <w:r>
        <w:rPr>
          <w:rFonts w:ascii="Arial"/>
          <w:b/>
          <w:spacing w:val="-5"/>
          <w:sz w:val="24"/>
        </w:rPr>
        <w:t>244</w:t>
      </w:r>
    </w:p>
    <w:p>
      <w:pPr>
        <w:pStyle w:val="BodyText"/>
        <w:spacing w:line="235" w:lineRule="auto" w:before="202"/>
        <w:ind w:left="164" w:right="167"/>
        <w:jc w:val="both"/>
      </w:pPr>
      <w:bookmarkStart w:name="_bookmark2878" w:id="2880"/>
      <w:bookmarkEnd w:id="2880"/>
      <w:r>
        <w:rPr/>
      </w:r>
      <w:r>
        <w:rPr/>
        <w:t>The general statutory powers to award interest which have been examined in the </w:t>
      </w:r>
      <w:r>
        <w:rPr/>
        <w:t>preceding </w:t>
      </w:r>
      <w:bookmarkStart w:name="_bookmark2879" w:id="2881"/>
      <w:bookmarkEnd w:id="2881"/>
      <w:r>
        <w:rPr/>
        <w:t>paragraphs</w:t>
      </w:r>
      <w:r>
        <w:rPr/>
        <w:t> do not apply where interest is payable under the terms of the contract itself </w:t>
      </w:r>
      <w:r>
        <w:rPr>
          <w:color w:val="005DA1"/>
          <w:u w:val="single" w:color="005DA1"/>
          <w:vertAlign w:val="superscript"/>
        </w:rPr>
        <w:t>1544</w:t>
      </w:r>
      <w:r>
        <w:rPr>
          <w:color w:val="005DA1"/>
          <w:vertAlign w:val="baseline"/>
        </w:rPr>
        <w:t> </w:t>
      </w:r>
      <w:r>
        <w:rPr>
          <w:vertAlign w:val="baseline"/>
        </w:rPr>
        <w:t>or under some other special provision. </w:t>
      </w:r>
      <w:r>
        <w:rPr>
          <w:color w:val="005DA1"/>
          <w:u w:val="single" w:color="005DA1"/>
          <w:vertAlign w:val="superscript"/>
        </w:rPr>
        <w:t>1545</w:t>
      </w:r>
      <w:r>
        <w:rPr>
          <w:color w:val="005DA1"/>
          <w:vertAlign w:val="baseline"/>
        </w:rPr>
        <w:t> </w:t>
      </w:r>
      <w:r>
        <w:rPr>
          <w:vertAlign w:val="baseline"/>
        </w:rPr>
        <w:t>Thus, the Late Payment of Commercial Debts (Interest) Act 1998 </w:t>
      </w:r>
      <w:bookmarkStart w:name="_bookmark2880" w:id="2882"/>
      <w:bookmarkEnd w:id="2882"/>
      <w:r>
        <w:rPr>
          <w:vertAlign w:val="baseline"/>
        </w:rPr>
        <w:t>confers</w:t>
      </w:r>
      <w:r>
        <w:rPr>
          <w:vertAlign w:val="baseline"/>
        </w:rPr>
        <w:t> on the creditor a right under an implied term to “statutory interest” on “qualifying debts” where both parties are acting in the course of a business. </w:t>
      </w:r>
      <w:r>
        <w:rPr>
          <w:color w:val="005DA1"/>
          <w:u w:val="single" w:color="005DA1"/>
          <w:vertAlign w:val="superscript"/>
        </w:rPr>
        <w:t>1546</w:t>
      </w:r>
      <w:r>
        <w:rPr>
          <w:color w:val="005DA1"/>
          <w:vertAlign w:val="baseline"/>
        </w:rPr>
        <w:t> </w:t>
      </w:r>
      <w:r>
        <w:rPr>
          <w:vertAlign w:val="baseline"/>
        </w:rPr>
        <w:t>Similarly, where the contract itself </w:t>
      </w:r>
      <w:r>
        <w:rPr>
          <w:color w:val="005DA1"/>
          <w:u w:val="single" w:color="005DA1"/>
          <w:vertAlign w:val="superscript"/>
        </w:rPr>
        <w:t>1547</w:t>
      </w:r>
      <w:r>
        <w:rPr>
          <w:color w:val="005DA1"/>
          <w:vertAlign w:val="baseline"/>
        </w:rPr>
        <w:t> </w:t>
      </w:r>
      <w:r>
        <w:rPr>
          <w:vertAlign w:val="baseline"/>
        </w:rPr>
        <w:t>entitles </w:t>
      </w:r>
      <w:bookmarkStart w:name="_bookmark2881" w:id="2883"/>
      <w:bookmarkEnd w:id="2883"/>
      <w:r>
        <w:rPr>
          <w:vertAlign w:val="baseline"/>
        </w:rPr>
        <w:t>the</w:t>
      </w:r>
      <w:r>
        <w:rPr>
          <w:vertAlign w:val="baseline"/>
        </w:rPr>
        <w:t> seller to claim interest on the price, the seller is not dependent on the exercise of the court’s </w:t>
      </w:r>
      <w:bookmarkStart w:name="_bookmark2882" w:id="2884"/>
      <w:bookmarkEnd w:id="2884"/>
      <w:r>
        <w:rPr>
          <w:vertAlign w:val="baseline"/>
        </w:rPr>
        <w:t>discretion</w:t>
      </w:r>
      <w:r>
        <w:rPr>
          <w:vertAlign w:val="baseline"/>
        </w:rPr>
        <w:t> and the court can award interest only at the rate specified in the contract. </w:t>
      </w:r>
      <w:r>
        <w:rPr>
          <w:color w:val="005DA1"/>
          <w:u w:val="single" w:color="005DA1"/>
          <w:vertAlign w:val="superscript"/>
        </w:rPr>
        <w:t>1548</w:t>
      </w:r>
      <w:r>
        <w:rPr>
          <w:color w:val="005DA1"/>
          <w:vertAlign w:val="baseline"/>
        </w:rPr>
        <w:t> </w:t>
      </w:r>
      <w:r>
        <w:rPr>
          <w:vertAlign w:val="baseline"/>
        </w:rPr>
        <w:t>A suitably worded contractual clause may fix interest to run beyond judgment for the debt. </w:t>
      </w:r>
      <w:r>
        <w:rPr>
          <w:color w:val="005DA1"/>
          <w:u w:val="single" w:color="005DA1"/>
          <w:vertAlign w:val="superscript"/>
        </w:rPr>
        <w:t>1549</w:t>
      </w:r>
    </w:p>
    <w:p>
      <w:pPr>
        <w:pStyle w:val="BodyText"/>
      </w:pPr>
    </w:p>
    <w:p>
      <w:pPr>
        <w:pStyle w:val="BodyText"/>
        <w:spacing w:before="37"/>
      </w:pPr>
      <w:r>
        <w:rPr/>
        <mc:AlternateContent>
          <mc:Choice Requires="wps">
            <w:drawing>
              <wp:anchor distT="0" distB="0" distL="0" distR="0" allowOverlap="1" layoutInCell="1" locked="0" behindDoc="1" simplePos="0" relativeHeight="487750656">
                <wp:simplePos x="0" y="0"/>
                <wp:positionH relativeFrom="page">
                  <wp:posOffset>914400</wp:posOffset>
                </wp:positionH>
                <wp:positionV relativeFrom="paragraph">
                  <wp:posOffset>185070</wp:posOffset>
                </wp:positionV>
                <wp:extent cx="5724525" cy="1270"/>
                <wp:effectExtent l="0" t="0" r="0" b="0"/>
                <wp:wrapTopAndBottom/>
                <wp:docPr id="1333" name="Graphic 1333"/>
                <wp:cNvGraphicFramePr>
                  <a:graphicFrameLocks/>
                </wp:cNvGraphicFramePr>
                <a:graphic>
                  <a:graphicData uri="http://schemas.microsoft.com/office/word/2010/wordprocessingShape">
                    <wps:wsp>
                      <wps:cNvPr id="1333" name="Graphic 13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245pt;width:450.75pt;height:.1pt;mso-position-horizontal-relative:page;mso-position-vertical-relative:paragraph;z-index:-15565824;mso-wrap-distance-left:0;mso-wrap-distance-right:0" id="docshape130"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ind w:left="165"/>
      </w:pP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9"/>
      </w:pPr>
    </w:p>
    <w:p>
      <w:pPr>
        <w:pStyle w:val="BodyText"/>
        <w:spacing w:line="235" w:lineRule="auto"/>
        <w:ind w:left="705" w:right="167" w:hanging="541"/>
        <w:jc w:val="both"/>
      </w:pPr>
      <w:bookmarkStart w:name="_bookmark2883" w:id="2885"/>
      <w:bookmarkEnd w:id="2885"/>
      <w:r>
        <w:rPr/>
      </w:r>
      <w:hyperlink w:history="true" w:anchor="_bookmark2829">
        <w:r>
          <w:rPr>
            <w:color w:val="005DA1"/>
            <w:position w:val="5"/>
            <w:sz w:val="14"/>
            <w:u w:val="single" w:color="005DA1"/>
          </w:rPr>
          <w:t>1485</w:t>
        </w:r>
      </w:hyperlink>
      <w:r>
        <w:rPr>
          <w:position w:val="5"/>
          <w:sz w:val="14"/>
        </w:rPr>
        <w:t>.</w:t>
      </w:r>
      <w:r>
        <w:rPr>
          <w:spacing w:val="80"/>
          <w:position w:val="5"/>
          <w:sz w:val="14"/>
        </w:rPr>
        <w:t> </w:t>
      </w:r>
      <w:r>
        <w:rPr/>
        <w:t>Bills of Exchange Act 1882 s.57. In the enactment of general powers to award </w:t>
      </w:r>
      <w:r>
        <w:rPr/>
        <w:t>interest (discussed below), this provision has been preserved: s.3(1)(c) of the Law Reform (Miscellaneous</w:t>
      </w:r>
      <w:r>
        <w:rPr>
          <w:spacing w:val="-1"/>
        </w:rPr>
        <w:t> </w:t>
      </w:r>
      <w:r>
        <w:rPr/>
        <w:t>Provisions)</w:t>
      </w:r>
      <w:r>
        <w:rPr>
          <w:spacing w:val="-1"/>
        </w:rPr>
        <w:t> </w:t>
      </w:r>
      <w:r>
        <w:rPr/>
        <w:t>Act</w:t>
      </w:r>
      <w:r>
        <w:rPr>
          <w:spacing w:val="-1"/>
        </w:rPr>
        <w:t> </w:t>
      </w:r>
      <w:r>
        <w:rPr/>
        <w:t>1934;</w:t>
      </w:r>
      <w:r>
        <w:rPr>
          <w:spacing w:val="-1"/>
        </w:rPr>
        <w:t> </w:t>
      </w:r>
      <w:r>
        <w:rPr/>
        <w:t>s.35A(8)</w:t>
      </w:r>
      <w:r>
        <w:rPr>
          <w:spacing w:val="-1"/>
        </w:rPr>
        <w:t> </w:t>
      </w:r>
      <w:r>
        <w:rPr/>
        <w:t>of</w:t>
      </w:r>
      <w:r>
        <w:rPr>
          <w:spacing w:val="-1"/>
        </w:rPr>
        <w:t> </w:t>
      </w:r>
      <w:r>
        <w:rPr/>
        <w:t>the</w:t>
      </w:r>
      <w:r>
        <w:rPr>
          <w:spacing w:val="-1"/>
        </w:rPr>
        <w:t> </w:t>
      </w:r>
      <w:r>
        <w:rPr/>
        <w:t>Senior</w:t>
      </w:r>
      <w:r>
        <w:rPr>
          <w:spacing w:val="-1"/>
        </w:rPr>
        <w:t> </w:t>
      </w:r>
      <w:r>
        <w:rPr/>
        <w:t>Courts</w:t>
      </w:r>
      <w:r>
        <w:rPr>
          <w:spacing w:val="-1"/>
        </w:rPr>
        <w:t> </w:t>
      </w:r>
      <w:r>
        <w:rPr/>
        <w:t>Act</w:t>
      </w:r>
      <w:r>
        <w:rPr>
          <w:spacing w:val="-1"/>
        </w:rPr>
        <w:t> </w:t>
      </w:r>
      <w:r>
        <w:rPr/>
        <w:t>1981;</w:t>
      </w:r>
      <w:r>
        <w:rPr>
          <w:spacing w:val="-1"/>
        </w:rPr>
        <w:t> </w:t>
      </w:r>
      <w:r>
        <w:rPr/>
        <w:t>and</w:t>
      </w:r>
      <w:r>
        <w:rPr>
          <w:spacing w:val="-1"/>
        </w:rPr>
        <w:t> </w:t>
      </w:r>
      <w:r>
        <w:rPr/>
        <w:t>s.69(7)</w:t>
      </w:r>
      <w:r>
        <w:rPr>
          <w:spacing w:val="-1"/>
        </w:rPr>
        <w:t> </w:t>
      </w:r>
      <w:r>
        <w:rPr/>
        <w:t>of</w:t>
      </w:r>
      <w:r>
        <w:rPr>
          <w:spacing w:val="-1"/>
        </w:rPr>
        <w:t> </w:t>
      </w:r>
      <w:r>
        <w:rPr/>
        <w:t>the County Courts Act 1984. See also below, Vol.II, para.39-295.</w:t>
      </w:r>
    </w:p>
    <w:p>
      <w:pPr>
        <w:pStyle w:val="BodyText"/>
        <w:spacing w:before="4"/>
      </w:pPr>
    </w:p>
    <w:p>
      <w:pPr>
        <w:pStyle w:val="BodyText"/>
        <w:spacing w:before="1"/>
        <w:ind w:left="165"/>
      </w:pPr>
      <w:bookmarkStart w:name="_bookmark2884" w:id="2886"/>
      <w:bookmarkEnd w:id="2886"/>
      <w:r>
        <w:rPr/>
      </w:r>
      <w:hyperlink w:history="true" w:anchor="_bookmark2830">
        <w:r>
          <w:rPr>
            <w:color w:val="005DA1"/>
            <w:position w:val="5"/>
            <w:sz w:val="14"/>
            <w:u w:val="single" w:color="005DA1"/>
          </w:rPr>
          <w:t>1486</w:t>
        </w:r>
      </w:hyperlink>
      <w:r>
        <w:rPr>
          <w:position w:val="5"/>
          <w:sz w:val="14"/>
        </w:rPr>
        <w:t>.</w:t>
      </w:r>
      <w:r>
        <w:rPr>
          <w:spacing w:val="55"/>
          <w:position w:val="5"/>
          <w:sz w:val="14"/>
        </w:rPr>
        <w:t>  </w:t>
      </w:r>
      <w:r>
        <w:rPr/>
        <w:t>The</w:t>
      </w:r>
      <w:r>
        <w:rPr>
          <w:spacing w:val="1"/>
        </w:rPr>
        <w:t> </w:t>
      </w:r>
      <w:r>
        <w:rPr/>
        <w:t>Law Reform (Miscellaneous Provisions) Act 1934 </w:t>
      </w:r>
      <w:r>
        <w:rPr>
          <w:spacing w:val="-2"/>
        </w:rPr>
        <w:t>s.3(1).</w:t>
      </w:r>
    </w:p>
    <w:p>
      <w:pPr>
        <w:pStyle w:val="BodyText"/>
        <w:spacing w:before="8"/>
      </w:pPr>
    </w:p>
    <w:p>
      <w:pPr>
        <w:pStyle w:val="BodyText"/>
        <w:spacing w:line="235" w:lineRule="auto"/>
        <w:ind w:left="705" w:right="167" w:hanging="541"/>
        <w:jc w:val="both"/>
      </w:pPr>
      <w:bookmarkStart w:name="_bookmark2885" w:id="2887"/>
      <w:bookmarkEnd w:id="2887"/>
      <w:r>
        <w:rPr/>
      </w:r>
      <w:hyperlink w:history="true" w:anchor="_bookmark2830">
        <w:r>
          <w:rPr>
            <w:color w:val="005DA1"/>
            <w:position w:val="5"/>
            <w:sz w:val="14"/>
            <w:u w:val="single" w:color="005DA1"/>
          </w:rPr>
          <w:t>1487</w:t>
        </w:r>
      </w:hyperlink>
      <w:r>
        <w:rPr>
          <w:position w:val="5"/>
          <w:sz w:val="14"/>
        </w:rPr>
        <w:t>.</w:t>
      </w:r>
      <w:r>
        <w:rPr>
          <w:spacing w:val="80"/>
          <w:position w:val="5"/>
          <w:sz w:val="14"/>
        </w:rPr>
        <w:t> </w:t>
      </w:r>
      <w:r>
        <w:rPr/>
        <w:t>The</w:t>
      </w:r>
      <w:r>
        <w:rPr>
          <w:spacing w:val="40"/>
        </w:rPr>
        <w:t> </w:t>
      </w:r>
      <w:r>
        <w:rPr/>
        <w:t>new</w:t>
      </w:r>
      <w:r>
        <w:rPr>
          <w:spacing w:val="40"/>
        </w:rPr>
        <w:t> </w:t>
      </w:r>
      <w:r>
        <w:rPr/>
        <w:t>statutory</w:t>
      </w:r>
      <w:r>
        <w:rPr>
          <w:spacing w:val="40"/>
        </w:rPr>
        <w:t> </w:t>
      </w:r>
      <w:r>
        <w:rPr/>
        <w:t>provisions</w:t>
      </w:r>
      <w:r>
        <w:rPr>
          <w:spacing w:val="40"/>
        </w:rPr>
        <w:t> </w:t>
      </w:r>
      <w:r>
        <w:rPr/>
        <w:t>were</w:t>
      </w:r>
      <w:r>
        <w:rPr>
          <w:spacing w:val="40"/>
        </w:rPr>
        <w:t> </w:t>
      </w:r>
      <w:r>
        <w:rPr/>
        <w:t>the</w:t>
      </w:r>
      <w:r>
        <w:rPr>
          <w:spacing w:val="40"/>
        </w:rPr>
        <w:t> </w:t>
      </w:r>
      <w:r>
        <w:rPr/>
        <w:t>result</w:t>
      </w:r>
      <w:r>
        <w:rPr>
          <w:spacing w:val="40"/>
        </w:rPr>
        <w:t> </w:t>
      </w:r>
      <w:r>
        <w:rPr/>
        <w:t>of</w:t>
      </w:r>
      <w:r>
        <w:rPr>
          <w:spacing w:val="40"/>
        </w:rPr>
        <w:t> </w:t>
      </w:r>
      <w:r>
        <w:rPr/>
        <w:t>the</w:t>
      </w:r>
      <w:r>
        <w:rPr>
          <w:spacing w:val="40"/>
        </w:rPr>
        <w:t> </w:t>
      </w:r>
      <w:r>
        <w:rPr/>
        <w:t>Law</w:t>
      </w:r>
      <w:r>
        <w:rPr>
          <w:spacing w:val="40"/>
        </w:rPr>
        <w:t> </w:t>
      </w:r>
      <w:r>
        <w:rPr/>
        <w:t>Commission’s</w:t>
      </w:r>
      <w:r>
        <w:rPr>
          <w:spacing w:val="40"/>
        </w:rPr>
        <w:t> </w:t>
      </w:r>
      <w:r>
        <w:rPr/>
        <w:t>Report</w:t>
      </w:r>
      <w:r>
        <w:rPr>
          <w:spacing w:val="40"/>
        </w:rPr>
        <w:t> </w:t>
      </w:r>
      <w:r>
        <w:rPr/>
        <w:t>on</w:t>
      </w:r>
      <w:r>
        <w:rPr>
          <w:spacing w:val="40"/>
        </w:rPr>
        <w:t> </w:t>
      </w:r>
      <w:r>
        <w:rPr/>
        <w:t>Interest No.88, 1978, Cmnd.7229. The Law Commission has since proposed further improvements, including that the court should have power to award compound interest. See Pre-Judgment Interest</w:t>
      </w:r>
      <w:r>
        <w:rPr>
          <w:spacing w:val="55"/>
        </w:rPr>
        <w:t> </w:t>
      </w:r>
      <w:r>
        <w:rPr/>
        <w:t>on</w:t>
      </w:r>
      <w:r>
        <w:rPr>
          <w:spacing w:val="56"/>
        </w:rPr>
        <w:t> </w:t>
      </w:r>
      <w:r>
        <w:rPr/>
        <w:t>Debts</w:t>
      </w:r>
      <w:r>
        <w:rPr>
          <w:spacing w:val="55"/>
        </w:rPr>
        <w:t> </w:t>
      </w:r>
      <w:r>
        <w:rPr/>
        <w:t>and</w:t>
      </w:r>
      <w:r>
        <w:rPr>
          <w:spacing w:val="56"/>
        </w:rPr>
        <w:t> </w:t>
      </w:r>
      <w:r>
        <w:rPr/>
        <w:t>Damages</w:t>
      </w:r>
      <w:r>
        <w:rPr>
          <w:spacing w:val="55"/>
        </w:rPr>
        <w:t> </w:t>
      </w:r>
      <w:r>
        <w:rPr/>
        <w:t>(Law</w:t>
      </w:r>
      <w:r>
        <w:rPr>
          <w:spacing w:val="56"/>
        </w:rPr>
        <w:t> </w:t>
      </w:r>
      <w:r>
        <w:rPr/>
        <w:t>Com.</w:t>
      </w:r>
      <w:r>
        <w:rPr>
          <w:spacing w:val="55"/>
        </w:rPr>
        <w:t> </w:t>
      </w:r>
      <w:r>
        <w:rPr/>
        <w:t>No.287,</w:t>
      </w:r>
      <w:r>
        <w:rPr>
          <w:spacing w:val="56"/>
        </w:rPr>
        <w:t> </w:t>
      </w:r>
      <w:r>
        <w:rPr/>
        <w:t>2004)</w:t>
      </w:r>
      <w:r>
        <w:rPr>
          <w:spacing w:val="56"/>
        </w:rPr>
        <w:t> </w:t>
      </w:r>
      <w:r>
        <w:rPr/>
        <w:t>but</w:t>
      </w:r>
      <w:r>
        <w:rPr>
          <w:spacing w:val="55"/>
        </w:rPr>
        <w:t> </w:t>
      </w:r>
      <w:r>
        <w:rPr/>
        <w:t>the</w:t>
      </w:r>
      <w:r>
        <w:rPr>
          <w:spacing w:val="56"/>
        </w:rPr>
        <w:t> </w:t>
      </w:r>
      <w:r>
        <w:rPr/>
        <w:t>proposals</w:t>
      </w:r>
      <w:r>
        <w:rPr>
          <w:spacing w:val="55"/>
        </w:rPr>
        <w:t> </w:t>
      </w:r>
      <w:r>
        <w:rPr/>
        <w:t>have</w:t>
      </w:r>
      <w:r>
        <w:rPr>
          <w:spacing w:val="56"/>
        </w:rPr>
        <w:t> </w:t>
      </w:r>
      <w:r>
        <w:rPr>
          <w:spacing w:val="-4"/>
        </w:rPr>
        <w:t>been</w:t>
      </w:r>
    </w:p>
    <w:p>
      <w:pPr>
        <w:pStyle w:val="BodyText"/>
        <w:spacing w:after="0" w:line="235" w:lineRule="auto"/>
        <w:jc w:val="both"/>
        <w:sectPr>
          <w:pgSz w:w="11900" w:h="16840"/>
          <w:pgMar w:header="971" w:footer="0" w:top="1300" w:bottom="280" w:left="1275" w:right="1275"/>
        </w:sectPr>
      </w:pPr>
    </w:p>
    <w:p>
      <w:pPr>
        <w:pStyle w:val="BodyText"/>
        <w:spacing w:before="166"/>
        <w:ind w:left="705"/>
      </w:pPr>
      <w:r>
        <w:rPr/>
        <w:t>rejected by </w:t>
      </w:r>
      <w:r>
        <w:rPr>
          <w:spacing w:val="-2"/>
        </w:rPr>
        <w:t>Government.</w:t>
      </w:r>
    </w:p>
    <w:p>
      <w:pPr>
        <w:pStyle w:val="BodyText"/>
        <w:spacing w:before="5"/>
      </w:pPr>
    </w:p>
    <w:p>
      <w:pPr>
        <w:pStyle w:val="BodyText"/>
        <w:spacing w:before="1"/>
        <w:ind w:left="165"/>
      </w:pPr>
      <w:bookmarkStart w:name="_bookmark2886" w:id="2888"/>
      <w:bookmarkEnd w:id="2888"/>
      <w:r>
        <w:rPr/>
      </w:r>
      <w:hyperlink w:history="true" w:anchor="_bookmark2831">
        <w:r>
          <w:rPr>
            <w:color w:val="005DA1"/>
            <w:position w:val="5"/>
            <w:sz w:val="14"/>
            <w:u w:val="single" w:color="005DA1"/>
          </w:rPr>
          <w:t>1488</w:t>
        </w:r>
      </w:hyperlink>
      <w:r>
        <w:rPr>
          <w:position w:val="5"/>
          <w:sz w:val="14"/>
        </w:rPr>
        <w:t>.</w:t>
      </w:r>
      <w:r>
        <w:rPr>
          <w:spacing w:val="55"/>
          <w:position w:val="5"/>
          <w:sz w:val="14"/>
        </w:rPr>
        <w:t>  </w:t>
      </w:r>
      <w:r>
        <w:rPr/>
        <w:t>cf.</w:t>
      </w:r>
      <w:r>
        <w:rPr>
          <w:spacing w:val="1"/>
        </w:rPr>
        <w:t> </w:t>
      </w:r>
      <w:r>
        <w:rPr/>
        <w:t>above, para.26-232; below, para.26-</w:t>
      </w:r>
      <w:r>
        <w:rPr>
          <w:spacing w:val="-4"/>
        </w:rPr>
        <w:t>244.</w:t>
      </w:r>
    </w:p>
    <w:p>
      <w:pPr>
        <w:pStyle w:val="BodyText"/>
        <w:spacing w:before="8"/>
      </w:pPr>
    </w:p>
    <w:p>
      <w:pPr>
        <w:pStyle w:val="BodyText"/>
        <w:spacing w:line="235" w:lineRule="auto"/>
        <w:ind w:left="705" w:hanging="541"/>
      </w:pPr>
      <w:bookmarkStart w:name="_bookmark2887" w:id="2889"/>
      <w:bookmarkEnd w:id="2889"/>
      <w:r>
        <w:rPr/>
      </w:r>
      <w:hyperlink w:history="true" w:anchor="_bookmark2831">
        <w:r>
          <w:rPr>
            <w:color w:val="005DA1"/>
            <w:position w:val="5"/>
            <w:sz w:val="14"/>
            <w:u w:val="single" w:color="005DA1"/>
          </w:rPr>
          <w:t>1489</w:t>
        </w:r>
      </w:hyperlink>
      <w:r>
        <w:rPr>
          <w:position w:val="5"/>
          <w:sz w:val="14"/>
        </w:rPr>
        <w:t>.</w:t>
      </w:r>
      <w:r>
        <w:rPr>
          <w:spacing w:val="55"/>
          <w:position w:val="5"/>
          <w:sz w:val="14"/>
        </w:rPr>
        <w:t>  </w:t>
      </w:r>
      <w:r>
        <w:rPr/>
        <w:t>By</w:t>
      </w:r>
      <w:r>
        <w:rPr>
          <w:spacing w:val="40"/>
        </w:rPr>
        <w:t> </w:t>
      </w:r>
      <w:r>
        <w:rPr/>
        <w:t>s.35A</w:t>
      </w:r>
      <w:r>
        <w:rPr>
          <w:spacing w:val="40"/>
        </w:rPr>
        <w:t> </w:t>
      </w:r>
      <w:r>
        <w:rPr/>
        <w:t>of</w:t>
      </w:r>
      <w:r>
        <w:rPr>
          <w:spacing w:val="40"/>
        </w:rPr>
        <w:t> </w:t>
      </w:r>
      <w:r>
        <w:rPr/>
        <w:t>the</w:t>
      </w:r>
      <w:r>
        <w:rPr>
          <w:spacing w:val="40"/>
        </w:rPr>
        <w:t> </w:t>
      </w:r>
      <w:r>
        <w:rPr/>
        <w:t>Senior</w:t>
      </w:r>
      <w:r>
        <w:rPr>
          <w:spacing w:val="40"/>
        </w:rPr>
        <w:t> </w:t>
      </w:r>
      <w:r>
        <w:rPr/>
        <w:t>Courts</w:t>
      </w:r>
      <w:r>
        <w:rPr>
          <w:spacing w:val="40"/>
        </w:rPr>
        <w:t> </w:t>
      </w:r>
      <w:r>
        <w:rPr/>
        <w:t>Act</w:t>
      </w:r>
      <w:r>
        <w:rPr>
          <w:spacing w:val="40"/>
        </w:rPr>
        <w:t> </w:t>
      </w:r>
      <w:r>
        <w:rPr/>
        <w:t>1981</w:t>
      </w:r>
      <w:r>
        <w:rPr>
          <w:spacing w:val="40"/>
        </w:rPr>
        <w:t> </w:t>
      </w:r>
      <w:r>
        <w:rPr/>
        <w:t>(which</w:t>
      </w:r>
      <w:r>
        <w:rPr>
          <w:spacing w:val="40"/>
        </w:rPr>
        <w:t> </w:t>
      </w:r>
      <w:r>
        <w:rPr/>
        <w:t>was</w:t>
      </w:r>
      <w:r>
        <w:rPr>
          <w:spacing w:val="40"/>
        </w:rPr>
        <w:t> </w:t>
      </w:r>
      <w:r>
        <w:rPr/>
        <w:t>inserted</w:t>
      </w:r>
      <w:r>
        <w:rPr>
          <w:spacing w:val="40"/>
        </w:rPr>
        <w:t> </w:t>
      </w:r>
      <w:r>
        <w:rPr/>
        <w:t>by</w:t>
      </w:r>
      <w:r>
        <w:rPr>
          <w:spacing w:val="40"/>
        </w:rPr>
        <w:t> </w:t>
      </w:r>
      <w:r>
        <w:rPr/>
        <w:t>s.15</w:t>
      </w:r>
      <w:r>
        <w:rPr>
          <w:spacing w:val="40"/>
        </w:rPr>
        <w:t> </w:t>
      </w:r>
      <w:r>
        <w:rPr/>
        <w:t>of</w:t>
      </w:r>
      <w:r>
        <w:rPr>
          <w:spacing w:val="40"/>
        </w:rPr>
        <w:t> </w:t>
      </w:r>
      <w:r>
        <w:rPr/>
        <w:t>and</w:t>
      </w:r>
      <w:r>
        <w:rPr>
          <w:spacing w:val="40"/>
        </w:rPr>
        <w:t> </w:t>
      </w:r>
      <w:r>
        <w:rPr/>
        <w:t>Sch.1</w:t>
      </w:r>
      <w:r>
        <w:rPr>
          <w:spacing w:val="40"/>
        </w:rPr>
        <w:t> </w:t>
      </w:r>
      <w:r>
        <w:rPr/>
        <w:t>to</w:t>
      </w:r>
      <w:r>
        <w:rPr>
          <w:spacing w:val="40"/>
        </w:rPr>
        <w:t> </w:t>
      </w:r>
      <w:r>
        <w:rPr/>
        <w:t>the Administration of Justice Act 1982). For the power given to arbitrators, see below, para.26-245.</w:t>
      </w:r>
    </w:p>
    <w:p>
      <w:pPr>
        <w:pStyle w:val="BodyText"/>
        <w:spacing w:before="9"/>
      </w:pPr>
    </w:p>
    <w:p>
      <w:pPr>
        <w:pStyle w:val="BodyText"/>
        <w:spacing w:line="235" w:lineRule="auto" w:before="1"/>
        <w:ind w:left="705" w:right="167" w:hanging="541"/>
        <w:jc w:val="both"/>
      </w:pPr>
      <w:bookmarkStart w:name="_bookmark2888" w:id="2890"/>
      <w:bookmarkEnd w:id="2890"/>
      <w:r>
        <w:rPr/>
      </w:r>
      <w:hyperlink w:history="true" w:anchor="_bookmark2832">
        <w:r>
          <w:rPr>
            <w:color w:val="005DA1"/>
            <w:position w:val="5"/>
            <w:sz w:val="14"/>
            <w:u w:val="single" w:color="005DA1"/>
          </w:rPr>
          <w:t>1490</w:t>
        </w:r>
      </w:hyperlink>
      <w:r>
        <w:rPr>
          <w:position w:val="5"/>
          <w:sz w:val="14"/>
        </w:rPr>
        <w:t>.</w:t>
      </w:r>
      <w:r>
        <w:rPr>
          <w:spacing w:val="80"/>
          <w:w w:val="150"/>
          <w:position w:val="5"/>
          <w:sz w:val="14"/>
        </w:rPr>
        <w:t> </w:t>
      </w:r>
      <w:r>
        <w:rPr/>
        <w:t>By</w:t>
      </w:r>
      <w:r>
        <w:rPr>
          <w:spacing w:val="-2"/>
        </w:rPr>
        <w:t> </w:t>
      </w:r>
      <w:r>
        <w:rPr/>
        <w:t>s.69</w:t>
      </w:r>
      <w:r>
        <w:rPr>
          <w:spacing w:val="-2"/>
        </w:rPr>
        <w:t> </w:t>
      </w:r>
      <w:r>
        <w:rPr/>
        <w:t>of</w:t>
      </w:r>
      <w:r>
        <w:rPr>
          <w:spacing w:val="-2"/>
        </w:rPr>
        <w:t> </w:t>
      </w:r>
      <w:r>
        <w:rPr/>
        <w:t>the</w:t>
      </w:r>
      <w:r>
        <w:rPr>
          <w:spacing w:val="-2"/>
        </w:rPr>
        <w:t> </w:t>
      </w:r>
      <w:r>
        <w:rPr/>
        <w:t>County</w:t>
      </w:r>
      <w:r>
        <w:rPr>
          <w:spacing w:val="-2"/>
        </w:rPr>
        <w:t> </w:t>
      </w:r>
      <w:r>
        <w:rPr/>
        <w:t>Courts</w:t>
      </w:r>
      <w:r>
        <w:rPr>
          <w:spacing w:val="-2"/>
        </w:rPr>
        <w:t> </w:t>
      </w:r>
      <w:r>
        <w:rPr/>
        <w:t>Act</w:t>
      </w:r>
      <w:r>
        <w:rPr>
          <w:spacing w:val="-2"/>
        </w:rPr>
        <w:t> </w:t>
      </w:r>
      <w:r>
        <w:rPr/>
        <w:t>1984.</w:t>
      </w:r>
      <w:r>
        <w:rPr>
          <w:spacing w:val="-2"/>
        </w:rPr>
        <w:t> </w:t>
      </w:r>
      <w:r>
        <w:rPr/>
        <w:t>Section</w:t>
      </w:r>
      <w:r>
        <w:rPr>
          <w:spacing w:val="-2"/>
        </w:rPr>
        <w:t> </w:t>
      </w:r>
      <w:r>
        <w:rPr/>
        <w:t>3</w:t>
      </w:r>
      <w:r>
        <w:rPr>
          <w:spacing w:val="-2"/>
        </w:rPr>
        <w:t> </w:t>
      </w:r>
      <w:r>
        <w:rPr/>
        <w:t>of</w:t>
      </w:r>
      <w:r>
        <w:rPr>
          <w:spacing w:val="-2"/>
        </w:rPr>
        <w:t> </w:t>
      </w:r>
      <w:r>
        <w:rPr/>
        <w:t>the</w:t>
      </w:r>
      <w:r>
        <w:rPr>
          <w:spacing w:val="-2"/>
        </w:rPr>
        <w:t> </w:t>
      </w:r>
      <w:r>
        <w:rPr/>
        <w:t>Law</w:t>
      </w:r>
      <w:r>
        <w:rPr>
          <w:spacing w:val="-2"/>
        </w:rPr>
        <w:t> </w:t>
      </w:r>
      <w:r>
        <w:rPr/>
        <w:t>Reform</w:t>
      </w:r>
      <w:r>
        <w:rPr>
          <w:spacing w:val="-2"/>
        </w:rPr>
        <w:t> </w:t>
      </w:r>
      <w:r>
        <w:rPr/>
        <w:t>(Miscellaneous</w:t>
      </w:r>
      <w:r>
        <w:rPr>
          <w:spacing w:val="-2"/>
        </w:rPr>
        <w:t> </w:t>
      </w:r>
      <w:r>
        <w:rPr/>
        <w:t>Provisions) Act 1934 which is examined in the 25th edition of this work (Vol.I, paras 1745-1747) remains in force for courts of record other than the High Court and county court.</w:t>
      </w:r>
    </w:p>
    <w:p>
      <w:pPr>
        <w:pStyle w:val="BodyText"/>
        <w:spacing w:before="8"/>
      </w:pPr>
    </w:p>
    <w:p>
      <w:pPr>
        <w:pStyle w:val="BodyText"/>
        <w:spacing w:line="235" w:lineRule="auto"/>
        <w:ind w:left="705" w:right="167" w:hanging="541"/>
        <w:jc w:val="both"/>
      </w:pPr>
      <w:bookmarkStart w:name="_bookmark2889" w:id="2891"/>
      <w:bookmarkEnd w:id="2891"/>
      <w:r>
        <w:rPr/>
      </w:r>
      <w:hyperlink w:history="true" w:anchor="_bookmark2832">
        <w:r>
          <w:rPr>
            <w:color w:val="005DA1"/>
            <w:position w:val="5"/>
            <w:sz w:val="14"/>
            <w:u w:val="single" w:color="005DA1"/>
          </w:rPr>
          <w:t>1491</w:t>
        </w:r>
      </w:hyperlink>
      <w:r>
        <w:rPr>
          <w:position w:val="5"/>
          <w:sz w:val="14"/>
        </w:rPr>
        <w:t>.</w:t>
      </w:r>
      <w:r>
        <w:rPr>
          <w:spacing w:val="80"/>
          <w:w w:val="150"/>
          <w:position w:val="5"/>
          <w:sz w:val="14"/>
        </w:rPr>
        <w:t> </w:t>
      </w:r>
      <w:r>
        <w:rPr/>
        <w:t>The</w:t>
      </w:r>
      <w:r>
        <w:rPr>
          <w:spacing w:val="-2"/>
        </w:rPr>
        <w:t> </w:t>
      </w:r>
      <w:r>
        <w:rPr/>
        <w:t>House</w:t>
      </w:r>
      <w:r>
        <w:rPr>
          <w:spacing w:val="-2"/>
        </w:rPr>
        <w:t> </w:t>
      </w:r>
      <w:r>
        <w:rPr/>
        <w:t>of</w:t>
      </w:r>
      <w:r>
        <w:rPr>
          <w:spacing w:val="-2"/>
        </w:rPr>
        <w:t> </w:t>
      </w:r>
      <w:r>
        <w:rPr/>
        <w:t>Lords</w:t>
      </w:r>
      <w:r>
        <w:rPr>
          <w:spacing w:val="-2"/>
        </w:rPr>
        <w:t> </w:t>
      </w:r>
      <w:r>
        <w:rPr/>
        <w:t>held</w:t>
      </w:r>
      <w:r>
        <w:rPr>
          <w:spacing w:val="-2"/>
        </w:rPr>
        <w:t> </w:t>
      </w:r>
      <w:r>
        <w:rPr/>
        <w:t>that</w:t>
      </w:r>
      <w:r>
        <w:rPr>
          <w:spacing w:val="-2"/>
        </w:rPr>
        <w:t> </w:t>
      </w:r>
      <w:r>
        <w:rPr/>
        <w:t>the</w:t>
      </w:r>
      <w:r>
        <w:rPr>
          <w:spacing w:val="-2"/>
        </w:rPr>
        <w:t> </w:t>
      </w:r>
      <w:r>
        <w:rPr/>
        <w:t>words</w:t>
      </w:r>
      <w:r>
        <w:rPr>
          <w:spacing w:val="-2"/>
        </w:rPr>
        <w:t> </w:t>
      </w:r>
      <w:r>
        <w:rPr/>
        <w:t>“any</w:t>
      </w:r>
      <w:r>
        <w:rPr>
          <w:spacing w:val="-2"/>
        </w:rPr>
        <w:t> </w:t>
      </w:r>
      <w:r>
        <w:rPr/>
        <w:t>debt</w:t>
      </w:r>
      <w:r>
        <w:rPr>
          <w:spacing w:val="-2"/>
        </w:rPr>
        <w:t> </w:t>
      </w:r>
      <w:r>
        <w:rPr/>
        <w:t>or</w:t>
      </w:r>
      <w:r>
        <w:rPr>
          <w:spacing w:val="-2"/>
        </w:rPr>
        <w:t> </w:t>
      </w:r>
      <w:r>
        <w:rPr/>
        <w:t>damages”</w:t>
      </w:r>
      <w:r>
        <w:rPr>
          <w:spacing w:val="-2"/>
        </w:rPr>
        <w:t> </w:t>
      </w:r>
      <w:r>
        <w:rPr/>
        <w:t>in</w:t>
      </w:r>
      <w:r>
        <w:rPr>
          <w:spacing w:val="-2"/>
        </w:rPr>
        <w:t> </w:t>
      </w:r>
      <w:r>
        <w:rPr/>
        <w:t>s.3(1)</w:t>
      </w:r>
      <w:r>
        <w:rPr>
          <w:spacing w:val="-2"/>
        </w:rPr>
        <w:t> </w:t>
      </w:r>
      <w:r>
        <w:rPr/>
        <w:t>of</w:t>
      </w:r>
      <w:r>
        <w:rPr>
          <w:spacing w:val="-2"/>
        </w:rPr>
        <w:t> </w:t>
      </w:r>
      <w:r>
        <w:rPr/>
        <w:t>the</w:t>
      </w:r>
      <w:r>
        <w:rPr>
          <w:spacing w:val="-2"/>
        </w:rPr>
        <w:t> </w:t>
      </w:r>
      <w:r>
        <w:rPr/>
        <w:t>1934</w:t>
      </w:r>
      <w:r>
        <w:rPr>
          <w:spacing w:val="-2"/>
        </w:rPr>
        <w:t> </w:t>
      </w:r>
      <w:r>
        <w:rPr/>
        <w:t>Act,</w:t>
      </w:r>
      <w:r>
        <w:rPr>
          <w:spacing w:val="-2"/>
        </w:rPr>
        <w:t> </w:t>
      </w:r>
      <w:r>
        <w:rPr/>
        <w:t>above: “… are very wide, so that they cover any sum of money which is recoverable by one party from another, either at common law or in equity or under a statute of the kind here concerned”. (viz the Law Reform (Frustrated Contracts) Act 1943.) </w:t>
      </w:r>
      <w:r>
        <w:rPr>
          <w:rFonts w:ascii="Arial" w:hAnsi="Arial"/>
          <w:i/>
        </w:rPr>
        <w:t>B.P. Exploration Co (Libya) Ltd v Hunt (No.2) [1983] 2 A.C. 352, 373</w:t>
      </w:r>
      <w:r>
        <w:rPr/>
        <w:t>. This statement should also apply to ss.35A and 69 of the present Acts, </w:t>
      </w:r>
      <w:r>
        <w:rPr>
          <w:spacing w:val="-2"/>
        </w:rPr>
        <w:t>above.</w:t>
      </w:r>
    </w:p>
    <w:p>
      <w:pPr>
        <w:pStyle w:val="BodyText"/>
        <w:spacing w:before="4"/>
      </w:pPr>
    </w:p>
    <w:p>
      <w:pPr>
        <w:spacing w:line="227" w:lineRule="exact" w:before="0"/>
        <w:ind w:left="165" w:right="0" w:firstLine="0"/>
        <w:jc w:val="left"/>
        <w:rPr>
          <w:sz w:val="20"/>
        </w:rPr>
      </w:pPr>
      <w:bookmarkStart w:name="_bookmark2890" w:id="2892"/>
      <w:bookmarkEnd w:id="2892"/>
      <w:r>
        <w:rPr/>
      </w:r>
      <w:hyperlink w:history="true" w:anchor="_bookmark2833">
        <w:r>
          <w:rPr>
            <w:color w:val="005DA1"/>
            <w:position w:val="5"/>
            <w:sz w:val="14"/>
            <w:u w:val="single" w:color="005DA1"/>
          </w:rPr>
          <w:t>1492</w:t>
        </w:r>
      </w:hyperlink>
      <w:r>
        <w:rPr>
          <w:position w:val="5"/>
          <w:sz w:val="14"/>
        </w:rPr>
        <w:t>.</w:t>
      </w:r>
      <w:r>
        <w:rPr>
          <w:spacing w:val="55"/>
          <w:position w:val="5"/>
          <w:sz w:val="14"/>
        </w:rPr>
        <w:t>  </w:t>
      </w:r>
      <w:r>
        <w:rPr>
          <w:rFonts w:ascii="Arial"/>
          <w:i/>
          <w:sz w:val="20"/>
        </w:rPr>
        <w:t>Wentworth</w:t>
      </w:r>
      <w:r>
        <w:rPr>
          <w:rFonts w:ascii="Arial"/>
          <w:i/>
          <w:spacing w:val="3"/>
          <w:sz w:val="20"/>
        </w:rPr>
        <w:t> </w:t>
      </w:r>
      <w:r>
        <w:rPr>
          <w:rFonts w:ascii="Arial"/>
          <w:i/>
          <w:sz w:val="20"/>
        </w:rPr>
        <w:t>v</w:t>
      </w:r>
      <w:r>
        <w:rPr>
          <w:rFonts w:ascii="Arial"/>
          <w:i/>
          <w:spacing w:val="2"/>
          <w:sz w:val="20"/>
        </w:rPr>
        <w:t> </w:t>
      </w:r>
      <w:r>
        <w:rPr>
          <w:rFonts w:ascii="Arial"/>
          <w:i/>
          <w:sz w:val="20"/>
        </w:rPr>
        <w:t>Wiltshire</w:t>
      </w:r>
      <w:r>
        <w:rPr>
          <w:rFonts w:ascii="Arial"/>
          <w:i/>
          <w:spacing w:val="2"/>
          <w:sz w:val="20"/>
        </w:rPr>
        <w:t> </w:t>
      </w:r>
      <w:r>
        <w:rPr>
          <w:rFonts w:ascii="Arial"/>
          <w:i/>
          <w:sz w:val="20"/>
        </w:rPr>
        <w:t>CC</w:t>
      </w:r>
      <w:r>
        <w:rPr>
          <w:rFonts w:ascii="Arial"/>
          <w:i/>
          <w:spacing w:val="2"/>
          <w:sz w:val="20"/>
        </w:rPr>
        <w:t> </w:t>
      </w:r>
      <w:r>
        <w:rPr>
          <w:rFonts w:ascii="Arial"/>
          <w:i/>
          <w:sz w:val="20"/>
        </w:rPr>
        <w:t>[1993]</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256,</w:t>
      </w:r>
      <w:r>
        <w:rPr>
          <w:rFonts w:ascii="Arial"/>
          <w:i/>
          <w:spacing w:val="2"/>
          <w:sz w:val="20"/>
        </w:rPr>
        <w:t> </w:t>
      </w:r>
      <w:r>
        <w:rPr>
          <w:rFonts w:ascii="Arial"/>
          <w:i/>
          <w:sz w:val="20"/>
        </w:rPr>
        <w:t>269</w:t>
      </w:r>
      <w:r>
        <w:rPr>
          <w:rFonts w:ascii="Arial"/>
          <w:i/>
          <w:spacing w:val="1"/>
          <w:sz w:val="20"/>
        </w:rPr>
        <w:t> </w:t>
      </w:r>
      <w:r>
        <w:rPr>
          <w:sz w:val="20"/>
        </w:rPr>
        <w:t>(also</w:t>
      </w:r>
      <w:r>
        <w:rPr>
          <w:spacing w:val="2"/>
          <w:sz w:val="20"/>
        </w:rPr>
        <w:t> </w:t>
      </w:r>
      <w:r>
        <w:rPr>
          <w:sz w:val="20"/>
        </w:rPr>
        <w:t>at</w:t>
      </w:r>
      <w:r>
        <w:rPr>
          <w:spacing w:val="2"/>
          <w:sz w:val="20"/>
        </w:rPr>
        <w:t> </w:t>
      </w:r>
      <w:r>
        <w:rPr>
          <w:sz w:val="20"/>
        </w:rPr>
        <w:t>263)</w:t>
      </w:r>
      <w:r>
        <w:rPr>
          <w:spacing w:val="2"/>
          <w:sz w:val="20"/>
        </w:rPr>
        <w:t> </w:t>
      </w:r>
      <w:r>
        <w:rPr>
          <w:sz w:val="20"/>
        </w:rPr>
        <w:t>(not</w:t>
      </w:r>
      <w:r>
        <w:rPr>
          <w:spacing w:val="2"/>
          <w:sz w:val="20"/>
        </w:rPr>
        <w:t> </w:t>
      </w:r>
      <w:r>
        <w:rPr>
          <w:sz w:val="20"/>
        </w:rPr>
        <w:t>a</w:t>
      </w:r>
      <w:r>
        <w:rPr>
          <w:spacing w:val="2"/>
          <w:sz w:val="20"/>
        </w:rPr>
        <w:t> </w:t>
      </w:r>
      <w:r>
        <w:rPr>
          <w:sz w:val="20"/>
        </w:rPr>
        <w:t>contract</w:t>
      </w:r>
      <w:r>
        <w:rPr>
          <w:spacing w:val="2"/>
          <w:sz w:val="20"/>
        </w:rPr>
        <w:t> </w:t>
      </w:r>
      <w:r>
        <w:rPr>
          <w:sz w:val="20"/>
        </w:rPr>
        <w:t>case).</w:t>
      </w:r>
      <w:r>
        <w:rPr>
          <w:spacing w:val="2"/>
          <w:sz w:val="20"/>
        </w:rPr>
        <w:t> </w:t>
      </w:r>
      <w:r>
        <w:rPr>
          <w:spacing w:val="-2"/>
          <w:sz w:val="20"/>
        </w:rPr>
        <w:t>Section</w:t>
      </w:r>
    </w:p>
    <w:p>
      <w:pPr>
        <w:spacing w:line="235" w:lineRule="auto" w:before="2"/>
        <w:ind w:left="705" w:right="167" w:firstLine="0"/>
        <w:jc w:val="both"/>
        <w:rPr>
          <w:rFonts w:ascii="Arial" w:hAnsi="Arial"/>
          <w:i/>
          <w:sz w:val="20"/>
        </w:rPr>
      </w:pPr>
      <w:r>
        <w:rPr>
          <w:sz w:val="20"/>
        </w:rPr>
        <w:t>3 of the 1934 Act explicitly excluded “the giving of interest upon interest”: see </w:t>
      </w:r>
      <w:r>
        <w:rPr>
          <w:rFonts w:ascii="Arial" w:hAnsi="Arial"/>
          <w:i/>
          <w:sz w:val="20"/>
        </w:rPr>
        <w:t>Bushwell Properties Ltd v Vortex Properties Ltd [1975] 1 W.L.R. 1649 </w:t>
      </w:r>
      <w:r>
        <w:rPr>
          <w:sz w:val="20"/>
        </w:rPr>
        <w:t>(“the court is not to award interest on such part of the sum claimed as represents contractual interest”: at 1660). (The </w:t>
      </w:r>
      <w:r>
        <w:rPr>
          <w:sz w:val="20"/>
        </w:rPr>
        <w:t>decision</w:t>
      </w:r>
      <w:r>
        <w:rPr>
          <w:spacing w:val="40"/>
          <w:sz w:val="20"/>
        </w:rPr>
        <w:t> </w:t>
      </w:r>
      <w:r>
        <w:rPr>
          <w:sz w:val="20"/>
        </w:rPr>
        <w:t>was reversed on another point: </w:t>
      </w:r>
      <w:r>
        <w:rPr>
          <w:rFonts w:ascii="Arial" w:hAnsi="Arial"/>
          <w:i/>
          <w:sz w:val="20"/>
        </w:rPr>
        <w:t>[1976] 1 W.L.R. 591</w:t>
      </w:r>
      <w:r>
        <w:rPr>
          <w:sz w:val="20"/>
        </w:rPr>
        <w:t>.) The Law Commission has </w:t>
      </w:r>
      <w:r>
        <w:rPr>
          <w:sz w:val="20"/>
        </w:rPr>
        <w:t>recommended that the courts be given power to award compound interest: see Pre-Judgment Interest on Debts and Damages (Law Com. No.287, 2004).) (Both the Canadian and Australian courts</w:t>
      </w:r>
      <w:r>
        <w:rPr>
          <w:spacing w:val="40"/>
          <w:sz w:val="20"/>
        </w:rPr>
        <w:t> </w:t>
      </w:r>
      <w:r>
        <w:rPr>
          <w:sz w:val="20"/>
        </w:rPr>
        <w:t>have allowed compound interest: see McInnes 118 (2002) L.Q.R. 516.) In equity, </w:t>
      </w:r>
      <w:r>
        <w:rPr>
          <w:sz w:val="20"/>
        </w:rPr>
        <w:t>compound interest has been awarded for profits made through breach of a fiduciary duty: </w:t>
      </w:r>
      <w:r>
        <w:rPr>
          <w:rFonts w:ascii="Arial" w:hAnsi="Arial"/>
          <w:i/>
          <w:sz w:val="20"/>
        </w:rPr>
        <w:t>Wallersteiner </w:t>
      </w:r>
      <w:r>
        <w:rPr>
          <w:rFonts w:ascii="Arial" w:hAnsi="Arial"/>
          <w:i/>
          <w:sz w:val="20"/>
        </w:rPr>
        <w:t>v Moir</w:t>
      </w:r>
      <w:r>
        <w:rPr>
          <w:rFonts w:ascii="Arial" w:hAnsi="Arial"/>
          <w:i/>
          <w:spacing w:val="8"/>
          <w:sz w:val="20"/>
        </w:rPr>
        <w:t> </w:t>
      </w:r>
      <w:r>
        <w:rPr>
          <w:rFonts w:ascii="Arial" w:hAnsi="Arial"/>
          <w:i/>
          <w:sz w:val="20"/>
        </w:rPr>
        <w:t>(No.2)</w:t>
      </w:r>
      <w:r>
        <w:rPr>
          <w:rFonts w:ascii="Arial" w:hAnsi="Arial"/>
          <w:i/>
          <w:spacing w:val="9"/>
          <w:sz w:val="20"/>
        </w:rPr>
        <w:t> </w:t>
      </w:r>
      <w:r>
        <w:rPr>
          <w:rFonts w:ascii="Arial" w:hAnsi="Arial"/>
          <w:i/>
          <w:sz w:val="20"/>
        </w:rPr>
        <w:t>[1975]</w:t>
      </w:r>
      <w:r>
        <w:rPr>
          <w:rFonts w:ascii="Arial" w:hAnsi="Arial"/>
          <w:i/>
          <w:spacing w:val="9"/>
          <w:sz w:val="20"/>
        </w:rPr>
        <w:t> </w:t>
      </w:r>
      <w:r>
        <w:rPr>
          <w:rFonts w:ascii="Arial" w:hAnsi="Arial"/>
          <w:i/>
          <w:sz w:val="20"/>
        </w:rPr>
        <w:t>Q.B.</w:t>
      </w:r>
      <w:r>
        <w:rPr>
          <w:rFonts w:ascii="Arial" w:hAnsi="Arial"/>
          <w:i/>
          <w:spacing w:val="9"/>
          <w:sz w:val="20"/>
        </w:rPr>
        <w:t> </w:t>
      </w:r>
      <w:r>
        <w:rPr>
          <w:rFonts w:ascii="Arial" w:hAnsi="Arial"/>
          <w:i/>
          <w:sz w:val="20"/>
        </w:rPr>
        <w:t>373</w:t>
      </w:r>
      <w:r>
        <w:rPr>
          <w:sz w:val="20"/>
        </w:rPr>
        <w:t>.</w:t>
      </w:r>
      <w:r>
        <w:rPr>
          <w:spacing w:val="9"/>
          <w:sz w:val="20"/>
        </w:rPr>
        <w:t> </w:t>
      </w:r>
      <w:r>
        <w:rPr>
          <w:sz w:val="20"/>
        </w:rPr>
        <w:t>In</w:t>
      </w:r>
      <w:r>
        <w:rPr>
          <w:spacing w:val="9"/>
          <w:sz w:val="20"/>
        </w:rPr>
        <w:t> </w:t>
      </w:r>
      <w:r>
        <w:rPr>
          <w:rFonts w:ascii="Arial" w:hAnsi="Arial"/>
          <w:i/>
          <w:sz w:val="20"/>
        </w:rPr>
        <w:t>Westdeutsche</w:t>
      </w:r>
      <w:r>
        <w:rPr>
          <w:rFonts w:ascii="Arial" w:hAnsi="Arial"/>
          <w:i/>
          <w:spacing w:val="9"/>
          <w:sz w:val="20"/>
        </w:rPr>
        <w:t> </w:t>
      </w:r>
      <w:r>
        <w:rPr>
          <w:rFonts w:ascii="Arial" w:hAnsi="Arial"/>
          <w:i/>
          <w:sz w:val="20"/>
        </w:rPr>
        <w:t>Landesbank</w:t>
      </w:r>
      <w:r>
        <w:rPr>
          <w:rFonts w:ascii="Arial" w:hAnsi="Arial"/>
          <w:i/>
          <w:spacing w:val="9"/>
          <w:sz w:val="20"/>
        </w:rPr>
        <w:t> </w:t>
      </w:r>
      <w:r>
        <w:rPr>
          <w:rFonts w:ascii="Arial" w:hAnsi="Arial"/>
          <w:i/>
          <w:sz w:val="20"/>
        </w:rPr>
        <w:t>Girozentrale</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Islington</w:t>
      </w:r>
      <w:r>
        <w:rPr>
          <w:rFonts w:ascii="Arial" w:hAnsi="Arial"/>
          <w:i/>
          <w:spacing w:val="9"/>
          <w:sz w:val="20"/>
        </w:rPr>
        <w:t> </w:t>
      </w:r>
      <w:r>
        <w:rPr>
          <w:rFonts w:ascii="Arial" w:hAnsi="Arial"/>
          <w:i/>
          <w:sz w:val="20"/>
        </w:rPr>
        <w:t>LBC</w:t>
      </w:r>
      <w:r>
        <w:rPr>
          <w:rFonts w:ascii="Arial" w:hAnsi="Arial"/>
          <w:i/>
          <w:spacing w:val="9"/>
          <w:sz w:val="20"/>
        </w:rPr>
        <w:t> </w:t>
      </w:r>
      <w:r>
        <w:rPr>
          <w:rFonts w:ascii="Arial" w:hAnsi="Arial"/>
          <w:i/>
          <w:spacing w:val="-2"/>
          <w:sz w:val="20"/>
        </w:rPr>
        <w:t>[1996]</w:t>
      </w:r>
    </w:p>
    <w:p>
      <w:pPr>
        <w:spacing w:line="235" w:lineRule="auto" w:before="0"/>
        <w:ind w:left="705" w:right="167" w:firstLine="0"/>
        <w:jc w:val="both"/>
        <w:rPr>
          <w:sz w:val="20"/>
        </w:rPr>
      </w:pPr>
      <w:r>
        <w:rPr>
          <w:rFonts w:ascii="Arial"/>
          <w:i/>
          <w:sz w:val="20"/>
        </w:rPr>
        <w:t>A.C. 699</w:t>
      </w:r>
      <w:r>
        <w:rPr>
          <w:sz w:val="20"/>
        </w:rPr>
        <w:t>, the House of Lords held that in equity compound interest may be awarded only </w:t>
      </w:r>
      <w:r>
        <w:rPr>
          <w:sz w:val="20"/>
        </w:rPr>
        <w:t>in cases of fraud or against a trustee (or other person in a fiduciary position) in respect of profits improperly made by him. See also </w:t>
      </w:r>
      <w:r>
        <w:rPr>
          <w:rFonts w:ascii="Arial"/>
          <w:i/>
          <w:sz w:val="20"/>
        </w:rPr>
        <w:t>Mathew v T.M. Sutton Ltd [1994] 1 W.L.R. 1455, 1463</w:t>
      </w:r>
      <w:r>
        <w:rPr>
          <w:sz w:val="20"/>
        </w:rPr>
        <w:t>.</w:t>
      </w:r>
    </w:p>
    <w:p>
      <w:pPr>
        <w:pStyle w:val="BodyText"/>
        <w:spacing w:before="1"/>
      </w:pPr>
    </w:p>
    <w:p>
      <w:pPr>
        <w:pStyle w:val="BodyText"/>
        <w:ind w:left="165"/>
      </w:pPr>
      <w:bookmarkStart w:name="_bookmark2891" w:id="2893"/>
      <w:bookmarkEnd w:id="2893"/>
      <w:r>
        <w:rPr/>
      </w:r>
      <w:hyperlink w:history="true" w:anchor="_bookmark2833">
        <w:r>
          <w:rPr>
            <w:color w:val="005DA1"/>
            <w:position w:val="5"/>
            <w:sz w:val="14"/>
            <w:u w:val="single" w:color="005DA1"/>
          </w:rPr>
          <w:t>1493</w:t>
        </w:r>
      </w:hyperlink>
      <w:r>
        <w:rPr>
          <w:position w:val="5"/>
          <w:sz w:val="14"/>
        </w:rPr>
        <w:t>.</w:t>
      </w:r>
      <w:r>
        <w:rPr>
          <w:spacing w:val="55"/>
          <w:position w:val="5"/>
          <w:sz w:val="14"/>
        </w:rPr>
        <w:t>  </w:t>
      </w:r>
      <w:r>
        <w:rPr/>
        <w:t>For</w:t>
      </w:r>
      <w:r>
        <w:rPr>
          <w:spacing w:val="1"/>
        </w:rPr>
        <w:t> </w:t>
      </w:r>
      <w:r>
        <w:rPr/>
        <w:t>interest on arbitration awards and judgment debts, see below, paras 26-245, 26-</w:t>
      </w:r>
      <w:r>
        <w:rPr>
          <w:spacing w:val="-4"/>
        </w:rPr>
        <w:t>246.</w:t>
      </w:r>
    </w:p>
    <w:p>
      <w:pPr>
        <w:pStyle w:val="BodyText"/>
        <w:spacing w:before="5"/>
      </w:pPr>
    </w:p>
    <w:p>
      <w:pPr>
        <w:spacing w:before="0"/>
        <w:ind w:left="165" w:right="0" w:firstLine="0"/>
        <w:jc w:val="left"/>
        <w:rPr>
          <w:sz w:val="20"/>
        </w:rPr>
      </w:pPr>
      <w:bookmarkStart w:name="_bookmark2892" w:id="2894"/>
      <w:bookmarkEnd w:id="2894"/>
      <w:r>
        <w:rPr/>
      </w:r>
      <w:hyperlink w:history="true" w:anchor="_bookmark2833">
        <w:r>
          <w:rPr>
            <w:color w:val="005DA1"/>
            <w:position w:val="5"/>
            <w:sz w:val="14"/>
            <w:u w:val="single" w:color="005DA1"/>
          </w:rPr>
          <w:t>1494</w:t>
        </w:r>
      </w:hyperlink>
      <w:r>
        <w:rPr>
          <w:position w:val="5"/>
          <w:sz w:val="14"/>
        </w:rPr>
        <w:t>.</w:t>
      </w:r>
      <w:r>
        <w:rPr>
          <w:spacing w:val="55"/>
          <w:position w:val="5"/>
          <w:sz w:val="14"/>
        </w:rPr>
        <w:t>  </w:t>
      </w:r>
      <w:r>
        <w:rPr>
          <w:sz w:val="20"/>
        </w:rPr>
        <w:t>See</w:t>
      </w:r>
      <w:r>
        <w:rPr>
          <w:spacing w:val="1"/>
          <w:sz w:val="20"/>
        </w:rPr>
        <w:t> </w:t>
      </w:r>
      <w:r>
        <w:rPr>
          <w:sz w:val="20"/>
        </w:rPr>
        <w:t>below, para.26-</w:t>
      </w:r>
      <w:r>
        <w:rPr>
          <w:spacing w:val="-4"/>
          <w:sz w:val="20"/>
        </w:rPr>
        <w:t>241.</w:t>
      </w:r>
    </w:p>
    <w:p>
      <w:pPr>
        <w:pStyle w:val="BodyText"/>
        <w:spacing w:before="5"/>
      </w:pPr>
    </w:p>
    <w:p>
      <w:pPr>
        <w:pStyle w:val="BodyText"/>
        <w:ind w:left="165"/>
      </w:pPr>
      <w:bookmarkStart w:name="_bookmark2893" w:id="2895"/>
      <w:bookmarkEnd w:id="2895"/>
      <w:r>
        <w:rPr/>
      </w:r>
      <w:hyperlink w:history="true" w:anchor="_bookmark2834">
        <w:r>
          <w:rPr>
            <w:color w:val="005DA1"/>
            <w:position w:val="5"/>
            <w:sz w:val="14"/>
            <w:u w:val="single" w:color="005DA1"/>
          </w:rPr>
          <w:t>1495</w:t>
        </w:r>
      </w:hyperlink>
      <w:r>
        <w:rPr>
          <w:position w:val="5"/>
          <w:sz w:val="14"/>
        </w:rPr>
        <w:t>.</w:t>
      </w:r>
      <w:r>
        <w:rPr>
          <w:spacing w:val="55"/>
          <w:position w:val="5"/>
          <w:sz w:val="14"/>
        </w:rPr>
        <w:t>  </w:t>
      </w:r>
      <w:r>
        <w:rPr/>
        <w:t>See</w:t>
      </w:r>
      <w:r>
        <w:rPr>
          <w:spacing w:val="1"/>
        </w:rPr>
        <w:t> </w:t>
      </w:r>
      <w:r>
        <w:rPr/>
        <w:t>below, paras 26-240—26-</w:t>
      </w:r>
      <w:r>
        <w:rPr>
          <w:spacing w:val="-4"/>
        </w:rPr>
        <w:t>241.</w:t>
      </w:r>
    </w:p>
    <w:p>
      <w:pPr>
        <w:pStyle w:val="BodyText"/>
        <w:spacing w:before="9"/>
      </w:pPr>
    </w:p>
    <w:p>
      <w:pPr>
        <w:spacing w:line="235" w:lineRule="auto" w:before="0"/>
        <w:ind w:left="705" w:right="167" w:hanging="541"/>
        <w:jc w:val="both"/>
        <w:rPr>
          <w:sz w:val="20"/>
        </w:rPr>
      </w:pPr>
      <w:bookmarkStart w:name="_bookmark2894" w:id="2896"/>
      <w:bookmarkEnd w:id="2896"/>
      <w:r>
        <w:rPr/>
      </w:r>
      <w:hyperlink w:history="true" w:anchor="_bookmark2835">
        <w:r>
          <w:rPr>
            <w:color w:val="005DA1"/>
            <w:position w:val="5"/>
            <w:sz w:val="14"/>
            <w:u w:val="single" w:color="005DA1"/>
          </w:rPr>
          <w:t>1496</w:t>
        </w:r>
      </w:hyperlink>
      <w:r>
        <w:rPr>
          <w:position w:val="5"/>
          <w:sz w:val="14"/>
        </w:rPr>
        <w:t>.</w:t>
      </w:r>
      <w:r>
        <w:rPr>
          <w:spacing w:val="80"/>
          <w:position w:val="5"/>
          <w:sz w:val="14"/>
        </w:rPr>
        <w:t> </w:t>
      </w:r>
      <w:r>
        <w:rPr>
          <w:sz w:val="20"/>
        </w:rPr>
        <w:t>subs.(1) of ss.35A and 69 respectively. After the judgment, interest is payable under a </w:t>
      </w:r>
      <w:r>
        <w:rPr>
          <w:sz w:val="20"/>
        </w:rPr>
        <w:t>different authority: see below, para.26-246. On the time of “entering up” a judgment, see </w:t>
      </w:r>
      <w:r>
        <w:rPr>
          <w:rFonts w:ascii="Arial" w:hAnsi="Arial"/>
          <w:i/>
          <w:sz w:val="20"/>
        </w:rPr>
        <w:t>Parsons v Mather &amp; Platt Ltd [1977] 1 W.L.R. 855</w:t>
      </w:r>
      <w:r>
        <w:rPr>
          <w:sz w:val="20"/>
        </w:rPr>
        <w:t>.</w:t>
      </w:r>
    </w:p>
    <w:p>
      <w:pPr>
        <w:pStyle w:val="BodyText"/>
        <w:spacing w:before="9"/>
      </w:pPr>
    </w:p>
    <w:p>
      <w:pPr>
        <w:pStyle w:val="BodyText"/>
        <w:spacing w:line="235" w:lineRule="auto"/>
        <w:ind w:left="705" w:hanging="541"/>
      </w:pPr>
      <w:bookmarkStart w:name="_bookmark2895" w:id="2897"/>
      <w:bookmarkEnd w:id="2897"/>
      <w:r>
        <w:rPr/>
      </w:r>
      <w:hyperlink w:history="true" w:anchor="_bookmark2835">
        <w:r>
          <w:rPr>
            <w:color w:val="005DA1"/>
            <w:position w:val="5"/>
            <w:sz w:val="14"/>
            <w:u w:val="single" w:color="005DA1"/>
          </w:rPr>
          <w:t>1497</w:t>
        </w:r>
      </w:hyperlink>
      <w:r>
        <w:rPr>
          <w:position w:val="5"/>
          <w:sz w:val="14"/>
        </w:rPr>
        <w:t>.</w:t>
      </w:r>
      <w:r>
        <w:rPr>
          <w:spacing w:val="40"/>
          <w:position w:val="5"/>
          <w:sz w:val="14"/>
        </w:rPr>
        <w:t>  </w:t>
      </w:r>
      <w:r>
        <w:rPr/>
        <w:t>In</w:t>
      </w:r>
      <w:r>
        <w:rPr>
          <w:spacing w:val="19"/>
        </w:rPr>
        <w:t> </w:t>
      </w:r>
      <w:r>
        <w:rPr/>
        <w:t>the</w:t>
      </w:r>
      <w:r>
        <w:rPr>
          <w:spacing w:val="19"/>
        </w:rPr>
        <w:t> </w:t>
      </w:r>
      <w:r>
        <w:rPr/>
        <w:t>Act,</w:t>
      </w:r>
      <w:r>
        <w:rPr>
          <w:spacing w:val="19"/>
        </w:rPr>
        <w:t> </w:t>
      </w:r>
      <w:r>
        <w:rPr/>
        <w:t>the</w:t>
      </w:r>
      <w:r>
        <w:rPr>
          <w:spacing w:val="19"/>
        </w:rPr>
        <w:t> </w:t>
      </w:r>
      <w:r>
        <w:rPr/>
        <w:t>“plaintiff”</w:t>
      </w:r>
      <w:r>
        <w:rPr>
          <w:spacing w:val="19"/>
        </w:rPr>
        <w:t> </w:t>
      </w:r>
      <w:r>
        <w:rPr/>
        <w:t>is</w:t>
      </w:r>
      <w:r>
        <w:rPr>
          <w:spacing w:val="19"/>
        </w:rPr>
        <w:t> </w:t>
      </w:r>
      <w:r>
        <w:rPr/>
        <w:t>defined</w:t>
      </w:r>
      <w:r>
        <w:rPr>
          <w:spacing w:val="19"/>
        </w:rPr>
        <w:t> </w:t>
      </w:r>
      <w:r>
        <w:rPr/>
        <w:t>as</w:t>
      </w:r>
      <w:r>
        <w:rPr>
          <w:spacing w:val="19"/>
        </w:rPr>
        <w:t> </w:t>
      </w:r>
      <w:r>
        <w:rPr/>
        <w:t>the</w:t>
      </w:r>
      <w:r>
        <w:rPr>
          <w:spacing w:val="19"/>
        </w:rPr>
        <w:t> </w:t>
      </w:r>
      <w:r>
        <w:rPr/>
        <w:t>person</w:t>
      </w:r>
      <w:r>
        <w:rPr>
          <w:spacing w:val="19"/>
        </w:rPr>
        <w:t> </w:t>
      </w:r>
      <w:r>
        <w:rPr/>
        <w:t>seeking</w:t>
      </w:r>
      <w:r>
        <w:rPr>
          <w:spacing w:val="19"/>
        </w:rPr>
        <w:t> </w:t>
      </w:r>
      <w:r>
        <w:rPr/>
        <w:t>the</w:t>
      </w:r>
      <w:r>
        <w:rPr>
          <w:spacing w:val="19"/>
        </w:rPr>
        <w:t> </w:t>
      </w:r>
      <w:r>
        <w:rPr/>
        <w:t>debt</w:t>
      </w:r>
      <w:r>
        <w:rPr>
          <w:spacing w:val="19"/>
        </w:rPr>
        <w:t> </w:t>
      </w:r>
      <w:r>
        <w:rPr/>
        <w:t>or</w:t>
      </w:r>
      <w:r>
        <w:rPr>
          <w:spacing w:val="19"/>
        </w:rPr>
        <w:t> </w:t>
      </w:r>
      <w:r>
        <w:rPr/>
        <w:t>damages:</w:t>
      </w:r>
      <w:r>
        <w:rPr>
          <w:spacing w:val="19"/>
        </w:rPr>
        <w:t> </w:t>
      </w:r>
      <w:r>
        <w:rPr/>
        <w:t>s.35A(7)</w:t>
      </w:r>
      <w:r>
        <w:rPr>
          <w:spacing w:val="19"/>
        </w:rPr>
        <w:t> </w:t>
      </w:r>
      <w:r>
        <w:rPr/>
        <w:t>and s.69(6) respectively.</w:t>
      </w:r>
    </w:p>
    <w:p>
      <w:pPr>
        <w:pStyle w:val="BodyText"/>
        <w:spacing w:before="5"/>
      </w:pPr>
    </w:p>
    <w:p>
      <w:pPr>
        <w:spacing w:before="1"/>
        <w:ind w:left="165" w:right="0" w:firstLine="0"/>
        <w:jc w:val="left"/>
        <w:rPr>
          <w:sz w:val="20"/>
        </w:rPr>
      </w:pPr>
      <w:bookmarkStart w:name="_bookmark2896" w:id="2898"/>
      <w:bookmarkEnd w:id="2898"/>
      <w:r>
        <w:rPr/>
      </w:r>
      <w:hyperlink w:history="true" w:anchor="_bookmark2835">
        <w:r>
          <w:rPr>
            <w:color w:val="005DA1"/>
            <w:position w:val="5"/>
            <w:sz w:val="14"/>
            <w:u w:val="single" w:color="005DA1"/>
          </w:rPr>
          <w:t>1498</w:t>
        </w:r>
      </w:hyperlink>
      <w:r>
        <w:rPr>
          <w:position w:val="5"/>
          <w:sz w:val="14"/>
        </w:rPr>
        <w:t>.</w:t>
      </w:r>
      <w:r>
        <w:rPr>
          <w:spacing w:val="55"/>
          <w:position w:val="5"/>
          <w:sz w:val="14"/>
        </w:rPr>
        <w:t>  </w:t>
      </w:r>
      <w:r>
        <w:rPr>
          <w:sz w:val="20"/>
        </w:rPr>
        <w:t>As</w:t>
      </w:r>
      <w:r>
        <w:rPr>
          <w:spacing w:val="1"/>
          <w:sz w:val="20"/>
        </w:rPr>
        <w:t> </w:t>
      </w:r>
      <w:r>
        <w:rPr>
          <w:sz w:val="20"/>
        </w:rPr>
        <w:t>in subs.(1) </w:t>
      </w:r>
      <w:r>
        <w:rPr>
          <w:spacing w:val="-2"/>
          <w:sz w:val="20"/>
        </w:rPr>
        <w:t>above.</w:t>
      </w:r>
    </w:p>
    <w:p>
      <w:pPr>
        <w:pStyle w:val="BodyText"/>
        <w:spacing w:before="4"/>
      </w:pPr>
    </w:p>
    <w:p>
      <w:pPr>
        <w:pStyle w:val="BodyText"/>
        <w:spacing w:before="1"/>
        <w:ind w:left="165"/>
      </w:pPr>
      <w:bookmarkStart w:name="_bookmark2897" w:id="2899"/>
      <w:bookmarkEnd w:id="2899"/>
      <w:r>
        <w:rPr/>
      </w:r>
      <w:hyperlink w:history="true" w:anchor="_bookmark2836">
        <w:r>
          <w:rPr>
            <w:color w:val="005DA1"/>
            <w:position w:val="5"/>
            <w:sz w:val="14"/>
            <w:u w:val="single" w:color="005DA1"/>
          </w:rPr>
          <w:t>1499</w:t>
        </w:r>
      </w:hyperlink>
      <w:r>
        <w:rPr>
          <w:position w:val="5"/>
          <w:sz w:val="14"/>
        </w:rPr>
        <w:t>.</w:t>
      </w:r>
      <w:r>
        <w:rPr>
          <w:spacing w:val="55"/>
          <w:position w:val="5"/>
          <w:sz w:val="14"/>
        </w:rPr>
        <w:t>  </w:t>
      </w:r>
      <w:r>
        <w:rPr/>
        <w:t>subs.(3)</w:t>
      </w:r>
      <w:r>
        <w:rPr>
          <w:spacing w:val="1"/>
        </w:rPr>
        <w:t> </w:t>
      </w:r>
      <w:r>
        <w:rPr/>
        <w:t>of ss.35A and 69 respectively. (This provision is wider than s.3 of the 1934 </w:t>
      </w:r>
      <w:r>
        <w:rPr>
          <w:spacing w:val="-2"/>
        </w:rPr>
        <w:t>Act.)</w:t>
      </w:r>
    </w:p>
    <w:p>
      <w:pPr>
        <w:pStyle w:val="BodyText"/>
        <w:spacing w:before="8"/>
      </w:pPr>
    </w:p>
    <w:p>
      <w:pPr>
        <w:spacing w:line="235" w:lineRule="auto" w:before="0"/>
        <w:ind w:left="705" w:right="174" w:hanging="541"/>
        <w:jc w:val="left"/>
        <w:rPr>
          <w:sz w:val="20"/>
        </w:rPr>
      </w:pPr>
      <w:bookmarkStart w:name="_bookmark2898" w:id="2900"/>
      <w:bookmarkEnd w:id="2900"/>
      <w:r>
        <w:rPr/>
      </w:r>
      <w:hyperlink w:history="true" w:anchor="_bookmark2837">
        <w:r>
          <w:rPr>
            <w:color w:val="005DA1"/>
            <w:position w:val="5"/>
            <w:sz w:val="14"/>
            <w:u w:val="single" w:color="005DA1"/>
          </w:rPr>
          <w:t>1500</w:t>
        </w:r>
      </w:hyperlink>
      <w:r>
        <w:rPr>
          <w:position w:val="5"/>
          <w:sz w:val="14"/>
        </w:rPr>
        <w:t>.</w:t>
      </w:r>
      <w:r>
        <w:rPr>
          <w:spacing w:val="80"/>
          <w:w w:val="150"/>
          <w:position w:val="5"/>
          <w:sz w:val="14"/>
        </w:rPr>
        <w:t> </w:t>
      </w:r>
      <w:r>
        <w:rPr>
          <w:rFonts w:ascii="Arial"/>
          <w:i/>
          <w:sz w:val="20"/>
        </w:rPr>
        <w:t>Edmunds v Lloyd Italico, etc., SpA [1986] 1 W.L.R. 492, 495</w:t>
      </w:r>
      <w:r>
        <w:rPr>
          <w:sz w:val="20"/>
        </w:rPr>
        <w:t>. (The payment merely gives rise </w:t>
      </w:r>
      <w:r>
        <w:rPr>
          <w:sz w:val="20"/>
        </w:rPr>
        <w:t>to an equitable set-off which could be used as a potential cross-claim.)</w:t>
      </w:r>
    </w:p>
    <w:p>
      <w:pPr>
        <w:pStyle w:val="BodyText"/>
        <w:spacing w:before="10"/>
      </w:pPr>
    </w:p>
    <w:p>
      <w:pPr>
        <w:spacing w:line="235" w:lineRule="auto" w:before="0"/>
        <w:ind w:left="705" w:right="167" w:hanging="541"/>
        <w:jc w:val="both"/>
        <w:rPr>
          <w:sz w:val="20"/>
        </w:rPr>
      </w:pPr>
      <w:bookmarkStart w:name="_bookmark2899" w:id="2901"/>
      <w:bookmarkEnd w:id="2901"/>
      <w:r>
        <w:rPr/>
      </w:r>
      <w:hyperlink w:history="true" w:anchor="_bookmark2838">
        <w:r>
          <w:rPr>
            <w:color w:val="005DA1"/>
            <w:position w:val="5"/>
            <w:sz w:val="14"/>
            <w:u w:val="single" w:color="005DA1"/>
          </w:rPr>
          <w:t>1501</w:t>
        </w:r>
      </w:hyperlink>
      <w:r>
        <w:rPr>
          <w:position w:val="5"/>
          <w:sz w:val="14"/>
        </w:rPr>
        <w:t>.</w:t>
      </w:r>
      <w:r>
        <w:rPr>
          <w:spacing w:val="80"/>
          <w:position w:val="5"/>
          <w:sz w:val="14"/>
        </w:rPr>
        <w:t> </w:t>
      </w:r>
      <w:r>
        <w:rPr>
          <w:rFonts w:ascii="Arial"/>
          <w:i/>
          <w:sz w:val="20"/>
        </w:rPr>
        <w:t>Edmunds</w:t>
      </w:r>
      <w:r>
        <w:rPr>
          <w:rFonts w:ascii="Arial"/>
          <w:i/>
          <w:spacing w:val="40"/>
          <w:sz w:val="20"/>
        </w:rPr>
        <w:t> </w:t>
      </w:r>
      <w:r>
        <w:rPr>
          <w:rFonts w:ascii="Arial"/>
          <w:i/>
          <w:sz w:val="20"/>
        </w:rPr>
        <w:t>v</w:t>
      </w:r>
      <w:r>
        <w:rPr>
          <w:rFonts w:ascii="Arial"/>
          <w:i/>
          <w:spacing w:val="40"/>
          <w:sz w:val="20"/>
        </w:rPr>
        <w:t> </w:t>
      </w:r>
      <w:r>
        <w:rPr>
          <w:rFonts w:ascii="Arial"/>
          <w:i/>
          <w:sz w:val="20"/>
        </w:rPr>
        <w:t>Lloyd</w:t>
      </w:r>
      <w:r>
        <w:rPr>
          <w:rFonts w:ascii="Arial"/>
          <w:i/>
          <w:spacing w:val="40"/>
          <w:sz w:val="20"/>
        </w:rPr>
        <w:t> </w:t>
      </w:r>
      <w:r>
        <w:rPr>
          <w:rFonts w:ascii="Arial"/>
          <w:i/>
          <w:sz w:val="20"/>
        </w:rPr>
        <w:t>Italico,</w:t>
      </w:r>
      <w:r>
        <w:rPr>
          <w:rFonts w:ascii="Arial"/>
          <w:i/>
          <w:spacing w:val="40"/>
          <w:sz w:val="20"/>
        </w:rPr>
        <w:t> </w:t>
      </w:r>
      <w:r>
        <w:rPr>
          <w:rFonts w:ascii="Arial"/>
          <w:i/>
          <w:sz w:val="20"/>
        </w:rPr>
        <w:t>etc.,</w:t>
      </w:r>
      <w:r>
        <w:rPr>
          <w:rFonts w:ascii="Arial"/>
          <w:i/>
          <w:spacing w:val="40"/>
          <w:sz w:val="20"/>
        </w:rPr>
        <w:t> </w:t>
      </w:r>
      <w:r>
        <w:rPr>
          <w:rFonts w:ascii="Arial"/>
          <w:i/>
          <w:sz w:val="20"/>
        </w:rPr>
        <w:t>SpA</w:t>
      </w:r>
      <w:r>
        <w:rPr>
          <w:rFonts w:ascii="Arial"/>
          <w:i/>
          <w:spacing w:val="40"/>
          <w:sz w:val="20"/>
        </w:rPr>
        <w:t> </w:t>
      </w:r>
      <w:r>
        <w:rPr>
          <w:rFonts w:ascii="Arial"/>
          <w:i/>
          <w:sz w:val="20"/>
        </w:rPr>
        <w:t>[1986]</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492</w:t>
      </w:r>
      <w:r>
        <w:rPr>
          <w:sz w:val="20"/>
        </w:rPr>
        <w:t>.</w:t>
      </w:r>
      <w:r>
        <w:rPr>
          <w:spacing w:val="40"/>
          <w:sz w:val="20"/>
        </w:rPr>
        <w:t> </w:t>
      </w:r>
      <w:r>
        <w:rPr>
          <w:sz w:val="20"/>
        </w:rPr>
        <w:t>(The</w:t>
      </w:r>
      <w:r>
        <w:rPr>
          <w:spacing w:val="40"/>
          <w:sz w:val="20"/>
        </w:rPr>
        <w:t> </w:t>
      </w:r>
      <w:r>
        <w:rPr>
          <w:sz w:val="20"/>
        </w:rPr>
        <w:t>defendant</w:t>
      </w:r>
      <w:r>
        <w:rPr>
          <w:spacing w:val="40"/>
          <w:sz w:val="20"/>
        </w:rPr>
        <w:t> </w:t>
      </w:r>
      <w:r>
        <w:rPr>
          <w:sz w:val="20"/>
        </w:rPr>
        <w:t>could</w:t>
      </w:r>
      <w:r>
        <w:rPr>
          <w:spacing w:val="40"/>
          <w:sz w:val="20"/>
        </w:rPr>
        <w:t> </w:t>
      </w:r>
      <w:r>
        <w:rPr>
          <w:sz w:val="20"/>
        </w:rPr>
        <w:t>resist</w:t>
      </w:r>
      <w:r>
        <w:rPr>
          <w:spacing w:val="40"/>
          <w:sz w:val="20"/>
        </w:rPr>
        <w:t> </w:t>
      </w:r>
      <w:r>
        <w:rPr>
          <w:sz w:val="20"/>
        </w:rPr>
        <w:t>any attempt to levy execution on the judgment which failed to give credit for the amount already </w:t>
      </w:r>
      <w:r>
        <w:rPr>
          <w:spacing w:val="-2"/>
          <w:sz w:val="20"/>
        </w:rPr>
        <w:t>paid.)</w:t>
      </w:r>
    </w:p>
    <w:p>
      <w:pPr>
        <w:pStyle w:val="BodyText"/>
        <w:spacing w:before="5"/>
      </w:pPr>
    </w:p>
    <w:p>
      <w:pPr>
        <w:pStyle w:val="BodyText"/>
        <w:ind w:left="165"/>
      </w:pPr>
      <w:bookmarkStart w:name="_bookmark2900" w:id="2902"/>
      <w:bookmarkEnd w:id="2902"/>
      <w:r>
        <w:rPr/>
      </w:r>
      <w:hyperlink w:history="true" w:anchor="_bookmark2839">
        <w:r>
          <w:rPr>
            <w:color w:val="005DA1"/>
            <w:position w:val="5"/>
            <w:sz w:val="14"/>
            <w:u w:val="single" w:color="005DA1"/>
          </w:rPr>
          <w:t>1502</w:t>
        </w:r>
      </w:hyperlink>
      <w:r>
        <w:rPr>
          <w:position w:val="5"/>
          <w:sz w:val="14"/>
        </w:rPr>
        <w:t>.</w:t>
      </w:r>
      <w:r>
        <w:rPr>
          <w:spacing w:val="55"/>
          <w:position w:val="5"/>
          <w:sz w:val="14"/>
        </w:rPr>
        <w:t>  </w:t>
      </w:r>
      <w:r>
        <w:rPr/>
        <w:t>See</w:t>
      </w:r>
      <w:r>
        <w:rPr>
          <w:spacing w:val="1"/>
        </w:rPr>
        <w:t> </w:t>
      </w:r>
      <w:r>
        <w:rPr/>
        <w:t>nn.1229 and 1230, </w:t>
      </w:r>
      <w:r>
        <w:rPr>
          <w:spacing w:val="-2"/>
        </w:rPr>
        <w:t>above.</w:t>
      </w:r>
    </w:p>
    <w:p>
      <w:pPr>
        <w:pStyle w:val="BodyText"/>
        <w:spacing w:before="8"/>
      </w:pPr>
    </w:p>
    <w:p>
      <w:pPr>
        <w:spacing w:line="235" w:lineRule="auto" w:before="1"/>
        <w:ind w:left="705" w:right="0" w:hanging="541"/>
        <w:jc w:val="left"/>
        <w:rPr>
          <w:sz w:val="20"/>
        </w:rPr>
      </w:pPr>
      <w:bookmarkStart w:name="_bookmark2901" w:id="2903"/>
      <w:bookmarkEnd w:id="2903"/>
      <w:r>
        <w:rPr/>
      </w:r>
      <w:hyperlink w:history="true" w:anchor="_bookmark2840">
        <w:r>
          <w:rPr>
            <w:color w:val="005DA1"/>
            <w:position w:val="5"/>
            <w:sz w:val="14"/>
            <w:u w:val="single" w:color="005DA1"/>
          </w:rPr>
          <w:t>1503</w:t>
        </w:r>
      </w:hyperlink>
      <w:r>
        <w:rPr>
          <w:position w:val="5"/>
          <w:sz w:val="14"/>
        </w:rPr>
        <w:t>.</w:t>
      </w:r>
      <w:r>
        <w:rPr>
          <w:spacing w:val="40"/>
          <w:position w:val="5"/>
          <w:sz w:val="14"/>
        </w:rPr>
        <w:t>  </w:t>
      </w:r>
      <w:r>
        <w:rPr>
          <w:rFonts w:ascii="Arial" w:hAnsi="Arial"/>
          <w:i/>
          <w:sz w:val="20"/>
        </w:rPr>
        <w:t>I.M. Properties Plc v Cape &amp; Dalgleish (A Firm) [1999] Q.B. 297 CA</w:t>
      </w:r>
      <w:r>
        <w:rPr>
          <w:sz w:val="20"/>
        </w:rPr>
        <w:t>. In </w:t>
      </w:r>
      <w:r>
        <w:rPr>
          <w:rFonts w:ascii="Arial" w:hAnsi="Arial"/>
          <w:i/>
          <w:sz w:val="20"/>
        </w:rPr>
        <w:t>President of India v La Pintada</w:t>
      </w:r>
      <w:r>
        <w:rPr>
          <w:rFonts w:ascii="Arial" w:hAnsi="Arial"/>
          <w:i/>
          <w:spacing w:val="21"/>
          <w:sz w:val="20"/>
        </w:rPr>
        <w:t> </w:t>
      </w:r>
      <w:r>
        <w:rPr>
          <w:rFonts w:ascii="Arial" w:hAnsi="Arial"/>
          <w:i/>
          <w:sz w:val="20"/>
        </w:rPr>
        <w:t>Compania</w:t>
      </w:r>
      <w:r>
        <w:rPr>
          <w:rFonts w:ascii="Arial" w:hAnsi="Arial"/>
          <w:i/>
          <w:spacing w:val="24"/>
          <w:sz w:val="20"/>
        </w:rPr>
        <w:t> </w:t>
      </w:r>
      <w:r>
        <w:rPr>
          <w:rFonts w:ascii="Arial" w:hAnsi="Arial"/>
          <w:i/>
          <w:sz w:val="20"/>
        </w:rPr>
        <w:t>Navigacion</w:t>
      </w:r>
      <w:r>
        <w:rPr>
          <w:rFonts w:ascii="Arial" w:hAnsi="Arial"/>
          <w:i/>
          <w:spacing w:val="24"/>
          <w:sz w:val="20"/>
        </w:rPr>
        <w:t> </w:t>
      </w:r>
      <w:r>
        <w:rPr>
          <w:rFonts w:ascii="Arial" w:hAnsi="Arial"/>
          <w:i/>
          <w:sz w:val="20"/>
        </w:rPr>
        <w:t>SA</w:t>
      </w:r>
      <w:r>
        <w:rPr>
          <w:rFonts w:ascii="Arial" w:hAnsi="Arial"/>
          <w:i/>
          <w:spacing w:val="24"/>
          <w:sz w:val="20"/>
        </w:rPr>
        <w:t> </w:t>
      </w:r>
      <w:r>
        <w:rPr>
          <w:rFonts w:ascii="Arial" w:hAnsi="Arial"/>
          <w:i/>
          <w:sz w:val="20"/>
        </w:rPr>
        <w:t>[1985]</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104,</w:t>
      </w:r>
      <w:r>
        <w:rPr>
          <w:rFonts w:ascii="Arial" w:hAnsi="Arial"/>
          <w:i/>
          <w:spacing w:val="24"/>
          <w:sz w:val="20"/>
        </w:rPr>
        <w:t> </w:t>
      </w:r>
      <w:r>
        <w:rPr>
          <w:rFonts w:ascii="Arial" w:hAnsi="Arial"/>
          <w:i/>
          <w:sz w:val="20"/>
        </w:rPr>
        <w:t>129–131</w:t>
      </w:r>
      <w:r>
        <w:rPr>
          <w:sz w:val="20"/>
        </w:rPr>
        <w:t>,</w:t>
      </w:r>
      <w:r>
        <w:rPr>
          <w:spacing w:val="24"/>
          <w:sz w:val="20"/>
        </w:rPr>
        <w:t> </w:t>
      </w:r>
      <w:r>
        <w:rPr>
          <w:sz w:val="20"/>
        </w:rPr>
        <w:t>the</w:t>
      </w:r>
      <w:r>
        <w:rPr>
          <w:spacing w:val="24"/>
          <w:sz w:val="20"/>
        </w:rPr>
        <w:t> </w:t>
      </w:r>
      <w:r>
        <w:rPr>
          <w:sz w:val="20"/>
        </w:rPr>
        <w:t>House</w:t>
      </w:r>
      <w:r>
        <w:rPr>
          <w:spacing w:val="24"/>
          <w:sz w:val="20"/>
        </w:rPr>
        <w:t> </w:t>
      </w:r>
      <w:r>
        <w:rPr>
          <w:sz w:val="20"/>
        </w:rPr>
        <w:t>of</w:t>
      </w:r>
      <w:r>
        <w:rPr>
          <w:spacing w:val="24"/>
          <w:sz w:val="20"/>
        </w:rPr>
        <w:t> </w:t>
      </w:r>
      <w:r>
        <w:rPr>
          <w:sz w:val="20"/>
        </w:rPr>
        <w:t>Lords</w:t>
      </w:r>
      <w:r>
        <w:rPr>
          <w:spacing w:val="24"/>
          <w:sz w:val="20"/>
        </w:rPr>
        <w:t> </w:t>
      </w:r>
      <w:r>
        <w:rPr>
          <w:spacing w:val="-2"/>
          <w:sz w:val="20"/>
        </w:rPr>
        <w:t>considered</w:t>
      </w:r>
    </w:p>
    <w:p>
      <w:pPr>
        <w:spacing w:after="0" w:line="235" w:lineRule="auto"/>
        <w:jc w:val="left"/>
        <w:rPr>
          <w:sz w:val="20"/>
        </w:rPr>
        <w:sectPr>
          <w:pgSz w:w="11900" w:h="16840"/>
          <w:pgMar w:header="971" w:footer="0" w:top="1300" w:bottom="280" w:left="1275" w:right="1275"/>
        </w:sectPr>
      </w:pPr>
    </w:p>
    <w:p>
      <w:pPr>
        <w:spacing w:before="106"/>
        <w:ind w:left="705" w:right="0" w:firstLine="0"/>
        <w:jc w:val="left"/>
        <w:rPr>
          <w:sz w:val="20"/>
        </w:rPr>
      </w:pPr>
      <w:r>
        <w:rPr>
          <w:sz w:val="20"/>
        </w:rPr>
        <w:t>this</w:t>
      </w:r>
      <w:r>
        <w:rPr>
          <w:spacing w:val="-2"/>
          <w:sz w:val="20"/>
        </w:rPr>
        <w:t> </w:t>
      </w:r>
      <w:r>
        <w:rPr>
          <w:sz w:val="20"/>
        </w:rPr>
        <w:t>to be a gap in the law. cf.</w:t>
      </w:r>
      <w:r>
        <w:rPr>
          <w:spacing w:val="-1"/>
          <w:sz w:val="20"/>
        </w:rPr>
        <w:t> </w:t>
      </w:r>
      <w:r>
        <w:rPr>
          <w:rFonts w:ascii="Arial"/>
          <w:i/>
          <w:sz w:val="20"/>
        </w:rPr>
        <w:t>Mathew v T.M. Sutton Ltd [1994] 1 W.L.R. </w:t>
      </w:r>
      <w:r>
        <w:rPr>
          <w:rFonts w:ascii="Arial"/>
          <w:i/>
          <w:spacing w:val="-2"/>
          <w:sz w:val="20"/>
        </w:rPr>
        <w:t>1455</w:t>
      </w:r>
      <w:r>
        <w:rPr>
          <w:spacing w:val="-2"/>
          <w:sz w:val="20"/>
        </w:rPr>
        <w:t>.</w:t>
      </w:r>
    </w:p>
    <w:p>
      <w:pPr>
        <w:pStyle w:val="BodyText"/>
        <w:spacing w:before="9"/>
      </w:pPr>
    </w:p>
    <w:p>
      <w:pPr>
        <w:spacing w:line="235" w:lineRule="auto" w:before="0"/>
        <w:ind w:left="705" w:right="167" w:hanging="541"/>
        <w:jc w:val="both"/>
        <w:rPr>
          <w:sz w:val="20"/>
        </w:rPr>
      </w:pPr>
      <w:bookmarkStart w:name="_bookmark2902" w:id="2904"/>
      <w:bookmarkEnd w:id="2904"/>
      <w:r>
        <w:rPr/>
      </w:r>
      <w:hyperlink w:history="true" w:anchor="_bookmark2841">
        <w:r>
          <w:rPr>
            <w:color w:val="005DA1"/>
            <w:position w:val="5"/>
            <w:sz w:val="14"/>
            <w:u w:val="single" w:color="005DA1"/>
          </w:rPr>
          <w:t>1504</w:t>
        </w:r>
      </w:hyperlink>
      <w:r>
        <w:rPr>
          <w:position w:val="5"/>
          <w:sz w:val="14"/>
        </w:rPr>
        <w:t>.</w:t>
      </w:r>
      <w:r>
        <w:rPr>
          <w:spacing w:val="80"/>
          <w:w w:val="150"/>
          <w:position w:val="5"/>
          <w:sz w:val="14"/>
        </w:rPr>
        <w:t> </w:t>
      </w:r>
      <w:r>
        <w:rPr>
          <w:rFonts w:ascii="Arial" w:hAnsi="Arial"/>
          <w:i/>
          <w:sz w:val="20"/>
        </w:rPr>
        <w:t>I.M. Properties Plc v Cape &amp; Dalgleish [1999] Q.B. 297 CA</w:t>
      </w:r>
      <w:r>
        <w:rPr>
          <w:sz w:val="20"/>
        </w:rPr>
        <w:t>. (The court also said that the court had no power to award interest on any sum paid by a third party in reduction of the </w:t>
      </w:r>
      <w:r>
        <w:rPr>
          <w:sz w:val="20"/>
        </w:rPr>
        <w:t>plaintiff’s claim against the defendant: at 306, but cf. 308).</w:t>
      </w:r>
    </w:p>
    <w:p>
      <w:pPr>
        <w:pStyle w:val="BodyText"/>
        <w:spacing w:before="5"/>
      </w:pPr>
    </w:p>
    <w:p>
      <w:pPr>
        <w:spacing w:before="0"/>
        <w:ind w:left="165" w:right="0" w:firstLine="0"/>
        <w:jc w:val="left"/>
        <w:rPr>
          <w:sz w:val="20"/>
        </w:rPr>
      </w:pPr>
      <w:bookmarkStart w:name="_bookmark2903" w:id="2905"/>
      <w:bookmarkEnd w:id="2905"/>
      <w:r>
        <w:rPr/>
      </w:r>
      <w:hyperlink w:history="true" w:anchor="_bookmark2841">
        <w:r>
          <w:rPr>
            <w:color w:val="005DA1"/>
            <w:position w:val="5"/>
            <w:sz w:val="14"/>
            <w:u w:val="single" w:color="005DA1"/>
          </w:rPr>
          <w:t>1505</w:t>
        </w:r>
      </w:hyperlink>
      <w:r>
        <w:rPr>
          <w:position w:val="5"/>
          <w:sz w:val="14"/>
        </w:rPr>
        <w:t>.</w:t>
      </w:r>
      <w:r>
        <w:rPr>
          <w:spacing w:val="55"/>
          <w:position w:val="5"/>
          <w:sz w:val="14"/>
        </w:rPr>
        <w:t>  </w:t>
      </w:r>
      <w:r>
        <w:rPr>
          <w:sz w:val="20"/>
        </w:rPr>
        <w:t>See</w:t>
      </w:r>
      <w:r>
        <w:rPr>
          <w:spacing w:val="1"/>
          <w:sz w:val="20"/>
        </w:rPr>
        <w:t> </w:t>
      </w:r>
      <w:r>
        <w:rPr>
          <w:sz w:val="20"/>
        </w:rPr>
        <w:t>below, para.26-</w:t>
      </w:r>
      <w:r>
        <w:rPr>
          <w:spacing w:val="-4"/>
          <w:sz w:val="20"/>
        </w:rPr>
        <w:t>244.</w:t>
      </w:r>
    </w:p>
    <w:p>
      <w:pPr>
        <w:pStyle w:val="BodyText"/>
        <w:spacing w:before="5"/>
      </w:pPr>
    </w:p>
    <w:p>
      <w:pPr>
        <w:spacing w:before="0"/>
        <w:ind w:left="165" w:right="0" w:firstLine="0"/>
        <w:jc w:val="left"/>
        <w:rPr>
          <w:sz w:val="20"/>
        </w:rPr>
      </w:pPr>
      <w:bookmarkStart w:name="_bookmark2904" w:id="2906"/>
      <w:bookmarkEnd w:id="2906"/>
      <w:r>
        <w:rPr/>
      </w:r>
      <w:hyperlink w:history="true" w:anchor="_bookmark2842">
        <w:r>
          <w:rPr>
            <w:color w:val="005DA1"/>
            <w:position w:val="5"/>
            <w:sz w:val="14"/>
            <w:u w:val="single" w:color="005DA1"/>
          </w:rPr>
          <w:t>1506</w:t>
        </w:r>
      </w:hyperlink>
      <w:r>
        <w:rPr>
          <w:position w:val="5"/>
          <w:sz w:val="14"/>
        </w:rPr>
        <w:t>.</w:t>
      </w:r>
      <w:r>
        <w:rPr>
          <w:spacing w:val="55"/>
          <w:position w:val="5"/>
          <w:sz w:val="14"/>
        </w:rPr>
        <w:t>  </w:t>
      </w:r>
      <w:r>
        <w:rPr>
          <w:sz w:val="20"/>
        </w:rPr>
        <w:t>Above,</w:t>
      </w:r>
      <w:r>
        <w:rPr>
          <w:spacing w:val="1"/>
          <w:sz w:val="20"/>
        </w:rPr>
        <w:t> </w:t>
      </w:r>
      <w:r>
        <w:rPr>
          <w:sz w:val="20"/>
        </w:rPr>
        <w:t>paras 26-232 et </w:t>
      </w:r>
      <w:r>
        <w:rPr>
          <w:spacing w:val="-4"/>
          <w:sz w:val="20"/>
        </w:rPr>
        <w:t>seq.</w:t>
      </w:r>
    </w:p>
    <w:p>
      <w:pPr>
        <w:pStyle w:val="BodyText"/>
        <w:spacing w:before="9"/>
      </w:pPr>
    </w:p>
    <w:p>
      <w:pPr>
        <w:pStyle w:val="BodyText"/>
        <w:spacing w:line="235" w:lineRule="auto"/>
        <w:ind w:left="705" w:right="167" w:hanging="541"/>
        <w:jc w:val="both"/>
      </w:pPr>
      <w:bookmarkStart w:name="_bookmark2905" w:id="2907"/>
      <w:bookmarkEnd w:id="2907"/>
      <w:r>
        <w:rPr/>
      </w:r>
      <w:hyperlink w:history="true" w:anchor="_bookmark2843">
        <w:r>
          <w:rPr>
            <w:color w:val="005DA1"/>
            <w:position w:val="5"/>
            <w:sz w:val="14"/>
            <w:u w:val="single" w:color="005DA1"/>
          </w:rPr>
          <w:t>1507</w:t>
        </w:r>
      </w:hyperlink>
      <w:r>
        <w:rPr>
          <w:position w:val="5"/>
          <w:sz w:val="14"/>
        </w:rPr>
        <w:t>.</w:t>
      </w:r>
      <w:r>
        <w:rPr>
          <w:spacing w:val="80"/>
          <w:position w:val="5"/>
          <w:sz w:val="14"/>
        </w:rPr>
        <w:t> </w:t>
      </w:r>
      <w:r>
        <w:rPr/>
        <w:t>CPR r.16.4(2): the claimant must give details of the legal basis of the claim and, where a specified amount of money is claimed, the percentage rate claimed, the date from which it is claimed, the total amount claimed up to the date of calculation, and the daily rate at </w:t>
      </w:r>
      <w:r>
        <w:rPr/>
        <w:t>which interest accrues after that date.</w:t>
      </w:r>
    </w:p>
    <w:p>
      <w:pPr>
        <w:pStyle w:val="BodyText"/>
        <w:spacing w:before="9"/>
      </w:pPr>
    </w:p>
    <w:p>
      <w:pPr>
        <w:spacing w:line="235" w:lineRule="auto" w:before="0"/>
        <w:ind w:left="705" w:right="0" w:hanging="541"/>
        <w:jc w:val="left"/>
        <w:rPr>
          <w:sz w:val="20"/>
        </w:rPr>
      </w:pPr>
      <w:bookmarkStart w:name="_bookmark2906" w:id="2908"/>
      <w:bookmarkEnd w:id="2908"/>
      <w:r>
        <w:rPr/>
      </w:r>
      <w:hyperlink w:history="true" w:anchor="_bookmark2844">
        <w:r>
          <w:rPr>
            <w:color w:val="005DA1"/>
            <w:position w:val="5"/>
            <w:sz w:val="14"/>
            <w:u w:val="single" w:color="005DA1"/>
          </w:rPr>
          <w:t>1508</w:t>
        </w:r>
      </w:hyperlink>
      <w:r>
        <w:rPr>
          <w:position w:val="5"/>
          <w:sz w:val="14"/>
        </w:rPr>
        <w:t>.</w:t>
      </w:r>
      <w:r>
        <w:rPr>
          <w:spacing w:val="54"/>
          <w:position w:val="5"/>
          <w:sz w:val="14"/>
        </w:rPr>
        <w:t>  </w:t>
      </w:r>
      <w:r>
        <w:rPr>
          <w:rFonts w:ascii="Arial" w:hAnsi="Arial"/>
          <w:i/>
          <w:sz w:val="20"/>
        </w:rPr>
        <w:t>El</w:t>
      </w:r>
      <w:r>
        <w:rPr>
          <w:rFonts w:ascii="Arial" w:hAnsi="Arial"/>
          <w:i/>
          <w:spacing w:val="40"/>
          <w:sz w:val="20"/>
        </w:rPr>
        <w:t> </w:t>
      </w:r>
      <w:r>
        <w:rPr>
          <w:rFonts w:ascii="Arial" w:hAnsi="Arial"/>
          <w:i/>
          <w:sz w:val="20"/>
        </w:rPr>
        <w:t>Ajou</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Stern</w:t>
      </w:r>
      <w:r>
        <w:rPr>
          <w:rFonts w:ascii="Arial" w:hAnsi="Arial"/>
          <w:i/>
          <w:spacing w:val="40"/>
          <w:sz w:val="20"/>
        </w:rPr>
        <w:t> </w:t>
      </w:r>
      <w:r>
        <w:rPr>
          <w:rFonts w:ascii="Arial" w:hAnsi="Arial"/>
          <w:i/>
          <w:sz w:val="20"/>
        </w:rPr>
        <w:t>[2006]</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165</w:t>
      </w:r>
      <w:r>
        <w:rPr>
          <w:rFonts w:ascii="Arial" w:hAnsi="Arial"/>
          <w:i/>
          <w:spacing w:val="40"/>
          <w:sz w:val="20"/>
        </w:rPr>
        <w:t> </w:t>
      </w:r>
      <w:r>
        <w:rPr>
          <w:sz w:val="20"/>
        </w:rPr>
        <w:t>at</w:t>
      </w:r>
      <w:r>
        <w:rPr>
          <w:spacing w:val="40"/>
          <w:sz w:val="20"/>
        </w:rPr>
        <w:t> </w:t>
      </w:r>
      <w:r>
        <w:rPr>
          <w:sz w:val="20"/>
        </w:rPr>
        <w:t>[35]–[39];</w:t>
      </w:r>
      <w:r>
        <w:rPr>
          <w:spacing w:val="40"/>
          <w:sz w:val="20"/>
        </w:rPr>
        <w:t> </w:t>
      </w:r>
      <w:r>
        <w:rPr>
          <w:rFonts w:ascii="Arial" w:hAnsi="Arial"/>
          <w:i/>
          <w:sz w:val="20"/>
        </w:rPr>
        <w:t>Starbev</w:t>
      </w:r>
      <w:r>
        <w:rPr>
          <w:rFonts w:ascii="Arial" w:hAnsi="Arial"/>
          <w:i/>
          <w:spacing w:val="40"/>
          <w:sz w:val="20"/>
        </w:rPr>
        <w:t> </w:t>
      </w:r>
      <w:r>
        <w:rPr>
          <w:rFonts w:ascii="Arial" w:hAnsi="Arial"/>
          <w:i/>
          <w:sz w:val="20"/>
        </w:rPr>
        <w:t>GP</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Interbrew</w:t>
      </w:r>
      <w:r>
        <w:rPr>
          <w:rFonts w:ascii="Arial" w:hAnsi="Arial"/>
          <w:i/>
          <w:spacing w:val="40"/>
          <w:sz w:val="20"/>
        </w:rPr>
        <w:t> </w:t>
      </w:r>
      <w:r>
        <w:rPr>
          <w:rFonts w:ascii="Arial" w:hAnsi="Arial"/>
          <w:i/>
          <w:sz w:val="20"/>
        </w:rPr>
        <w:t>Central</w:t>
      </w:r>
      <w:r>
        <w:rPr>
          <w:rFonts w:ascii="Arial" w:hAnsi="Arial"/>
          <w:i/>
          <w:spacing w:val="80"/>
          <w:sz w:val="20"/>
        </w:rPr>
        <w:t> </w:t>
      </w:r>
      <w:r>
        <w:rPr>
          <w:rFonts w:ascii="Arial" w:hAnsi="Arial"/>
          <w:i/>
          <w:sz w:val="20"/>
        </w:rPr>
        <w:t>European Holdings BV [2014] EWHC 2863 (Comm) </w:t>
      </w:r>
      <w:r>
        <w:rPr>
          <w:sz w:val="20"/>
        </w:rPr>
        <w:t>at [45].</w:t>
      </w:r>
    </w:p>
    <w:p>
      <w:pPr>
        <w:pStyle w:val="BodyText"/>
        <w:spacing w:before="9"/>
      </w:pPr>
    </w:p>
    <w:p>
      <w:pPr>
        <w:pStyle w:val="BodyText"/>
        <w:spacing w:line="235" w:lineRule="auto"/>
        <w:ind w:left="705" w:right="167" w:hanging="541"/>
        <w:jc w:val="both"/>
      </w:pPr>
      <w:bookmarkStart w:name="_bookmark2907" w:id="2909"/>
      <w:bookmarkEnd w:id="2909"/>
      <w:r>
        <w:rPr/>
      </w:r>
      <w:hyperlink w:history="true" w:anchor="_bookmark2845">
        <w:r>
          <w:rPr>
            <w:color w:val="005DA1"/>
            <w:position w:val="5"/>
            <w:sz w:val="14"/>
            <w:u w:val="single" w:color="005DA1"/>
          </w:rPr>
          <w:t>1509</w:t>
        </w:r>
      </w:hyperlink>
      <w:r>
        <w:rPr>
          <w:position w:val="5"/>
          <w:sz w:val="14"/>
        </w:rPr>
        <w:t>.</w:t>
      </w:r>
      <w:r>
        <w:rPr>
          <w:spacing w:val="80"/>
          <w:position w:val="5"/>
          <w:sz w:val="14"/>
        </w:rPr>
        <w:t> </w:t>
      </w:r>
      <w:r>
        <w:rPr/>
        <w:t>1981 Act s.35A; s.69(2) of the 1984 Act. (In particular the court is required, in the absence of special reasons, to award interest on such damages.) See McGregor on Damages, 19th </w:t>
      </w:r>
      <w:r>
        <w:rPr/>
        <w:t>edn (2014), paras 18–050 et seq. and standard textbooks on tort.</w:t>
      </w:r>
    </w:p>
    <w:p>
      <w:pPr>
        <w:pStyle w:val="BodyText"/>
        <w:spacing w:before="5"/>
      </w:pPr>
    </w:p>
    <w:p>
      <w:pPr>
        <w:spacing w:before="0"/>
        <w:ind w:left="165" w:right="0" w:firstLine="0"/>
        <w:jc w:val="left"/>
        <w:rPr>
          <w:sz w:val="20"/>
        </w:rPr>
      </w:pPr>
      <w:bookmarkStart w:name="_bookmark2908" w:id="2910"/>
      <w:bookmarkEnd w:id="2910"/>
      <w:r>
        <w:rPr/>
      </w:r>
      <w:hyperlink w:history="true" w:anchor="_bookmark2846">
        <w:r>
          <w:rPr>
            <w:color w:val="005DA1"/>
            <w:position w:val="5"/>
            <w:sz w:val="14"/>
            <w:u w:val="single" w:color="005DA1"/>
          </w:rPr>
          <w:t>1510</w:t>
        </w:r>
      </w:hyperlink>
      <w:r>
        <w:rPr>
          <w:position w:val="5"/>
          <w:sz w:val="14"/>
        </w:rPr>
        <w:t>.</w:t>
      </w:r>
      <w:r>
        <w:rPr>
          <w:spacing w:val="55"/>
          <w:position w:val="5"/>
          <w:sz w:val="14"/>
        </w:rPr>
        <w:t>  </w:t>
      </w:r>
      <w:r>
        <w:rPr>
          <w:sz w:val="20"/>
        </w:rPr>
        <w:t>cf.</w:t>
      </w:r>
      <w:r>
        <w:rPr>
          <w:spacing w:val="1"/>
          <w:sz w:val="20"/>
        </w:rPr>
        <w:t> </w:t>
      </w:r>
      <w:r>
        <w:rPr>
          <w:sz w:val="20"/>
        </w:rPr>
        <w:t>the statement in a personal injury (tort) case:</w:t>
      </w:r>
      <w:r>
        <w:rPr>
          <w:spacing w:val="-1"/>
          <w:sz w:val="20"/>
        </w:rPr>
        <w:t> </w:t>
      </w:r>
      <w:r>
        <w:rPr>
          <w:rFonts w:ascii="Arial"/>
          <w:i/>
          <w:sz w:val="20"/>
        </w:rPr>
        <w:t>Jefford v Gee [1970] 2 Q.B. 130, </w:t>
      </w:r>
      <w:r>
        <w:rPr>
          <w:rFonts w:ascii="Arial"/>
          <w:i/>
          <w:spacing w:val="-4"/>
          <w:sz w:val="20"/>
        </w:rPr>
        <w:t>146</w:t>
      </w:r>
      <w:r>
        <w:rPr>
          <w:spacing w:val="-4"/>
          <w:sz w:val="20"/>
        </w:rPr>
        <w:t>.</w:t>
      </w:r>
    </w:p>
    <w:p>
      <w:pPr>
        <w:pStyle w:val="BodyText"/>
        <w:spacing w:before="9"/>
      </w:pPr>
    </w:p>
    <w:p>
      <w:pPr>
        <w:spacing w:line="235" w:lineRule="auto" w:before="0"/>
        <w:ind w:left="705" w:right="0" w:hanging="541"/>
        <w:jc w:val="left"/>
        <w:rPr>
          <w:sz w:val="20"/>
        </w:rPr>
      </w:pPr>
      <w:bookmarkStart w:name="_bookmark2909" w:id="2911"/>
      <w:bookmarkEnd w:id="2911"/>
      <w:r>
        <w:rPr/>
      </w:r>
      <w:hyperlink w:history="true" w:anchor="_bookmark2847">
        <w:r>
          <w:rPr>
            <w:color w:val="005DA1"/>
            <w:position w:val="5"/>
            <w:sz w:val="14"/>
            <w:u w:val="single" w:color="005DA1"/>
          </w:rPr>
          <w:t>1511</w:t>
        </w:r>
      </w:hyperlink>
      <w:r>
        <w:rPr>
          <w:position w:val="5"/>
          <w:sz w:val="14"/>
        </w:rPr>
        <w:t>.</w:t>
      </w:r>
      <w:r>
        <w:rPr>
          <w:spacing w:val="40"/>
          <w:position w:val="5"/>
          <w:sz w:val="14"/>
        </w:rPr>
        <w:t>  </w:t>
      </w:r>
      <w:r>
        <w:rPr>
          <w:sz w:val="20"/>
        </w:rPr>
        <w:t>Interest</w:t>
      </w:r>
      <w:r>
        <w:rPr>
          <w:spacing w:val="40"/>
          <w:sz w:val="20"/>
        </w:rPr>
        <w:t> </w:t>
      </w:r>
      <w:r>
        <w:rPr>
          <w:sz w:val="20"/>
        </w:rPr>
        <w:t>should</w:t>
      </w:r>
      <w:r>
        <w:rPr>
          <w:spacing w:val="40"/>
          <w:sz w:val="20"/>
        </w:rPr>
        <w:t> </w:t>
      </w:r>
      <w:r>
        <w:rPr>
          <w:sz w:val="20"/>
        </w:rPr>
        <w:t>be</w:t>
      </w:r>
      <w:r>
        <w:rPr>
          <w:spacing w:val="40"/>
          <w:sz w:val="20"/>
        </w:rPr>
        <w:t> </w:t>
      </w:r>
      <w:r>
        <w:rPr>
          <w:sz w:val="20"/>
        </w:rPr>
        <w:t>awarded</w:t>
      </w:r>
      <w:r>
        <w:rPr>
          <w:spacing w:val="40"/>
          <w:sz w:val="20"/>
        </w:rPr>
        <w:t> </w:t>
      </w:r>
      <w:r>
        <w:rPr>
          <w:sz w:val="20"/>
        </w:rPr>
        <w:t>only</w:t>
      </w:r>
      <w:r>
        <w:rPr>
          <w:spacing w:val="40"/>
          <w:sz w:val="20"/>
        </w:rPr>
        <w:t> </w:t>
      </w:r>
      <w:r>
        <w:rPr>
          <w:sz w:val="20"/>
        </w:rPr>
        <w:t>on</w:t>
      </w:r>
      <w:r>
        <w:rPr>
          <w:spacing w:val="40"/>
          <w:sz w:val="20"/>
        </w:rPr>
        <w:t> </w:t>
      </w:r>
      <w:r>
        <w:rPr>
          <w:sz w:val="20"/>
        </w:rPr>
        <w:t>money</w:t>
      </w:r>
      <w:r>
        <w:rPr>
          <w:spacing w:val="40"/>
          <w:sz w:val="20"/>
        </w:rPr>
        <w:t> </w:t>
      </w:r>
      <w:r>
        <w:rPr>
          <w:sz w:val="20"/>
        </w:rPr>
        <w:t>which</w:t>
      </w:r>
      <w:r>
        <w:rPr>
          <w:spacing w:val="40"/>
          <w:sz w:val="20"/>
        </w:rPr>
        <w:t> </w:t>
      </w:r>
      <w:r>
        <w:rPr>
          <w:sz w:val="20"/>
        </w:rPr>
        <w:t>has</w:t>
      </w:r>
      <w:r>
        <w:rPr>
          <w:spacing w:val="40"/>
          <w:sz w:val="20"/>
        </w:rPr>
        <w:t> </w:t>
      </w:r>
      <w:r>
        <w:rPr>
          <w:sz w:val="20"/>
        </w:rPr>
        <w:t>been</w:t>
      </w:r>
      <w:r>
        <w:rPr>
          <w:spacing w:val="40"/>
          <w:sz w:val="20"/>
        </w:rPr>
        <w:t> </w:t>
      </w:r>
      <w:r>
        <w:rPr>
          <w:sz w:val="20"/>
        </w:rPr>
        <w:t>wrongfully</w:t>
      </w:r>
      <w:r>
        <w:rPr>
          <w:spacing w:val="40"/>
          <w:sz w:val="20"/>
        </w:rPr>
        <w:t> </w:t>
      </w:r>
      <w:r>
        <w:rPr>
          <w:sz w:val="20"/>
        </w:rPr>
        <w:t>withheld:</w:t>
      </w:r>
      <w:r>
        <w:rPr>
          <w:spacing w:val="40"/>
          <w:sz w:val="20"/>
        </w:rPr>
        <w:t> </w:t>
      </w:r>
      <w:r>
        <w:rPr>
          <w:rFonts w:ascii="Arial" w:hAnsi="Arial"/>
          <w:i/>
          <w:sz w:val="20"/>
        </w:rPr>
        <w:t>Business Computers Ltd v Anglo-African Leasing Ltd [1977] 1 W.L.R. 578, 587–8</w:t>
      </w:r>
      <w:r>
        <w:rPr>
          <w:sz w:val="20"/>
        </w:rPr>
        <w:t>.</w:t>
      </w:r>
    </w:p>
    <w:p>
      <w:pPr>
        <w:pStyle w:val="BodyText"/>
        <w:spacing w:before="5"/>
      </w:pPr>
    </w:p>
    <w:p>
      <w:pPr>
        <w:spacing w:before="0"/>
        <w:ind w:left="165" w:right="0" w:firstLine="0"/>
        <w:jc w:val="left"/>
        <w:rPr>
          <w:sz w:val="20"/>
        </w:rPr>
      </w:pPr>
      <w:bookmarkStart w:name="_bookmark2910" w:id="2912"/>
      <w:bookmarkEnd w:id="2912"/>
      <w:r>
        <w:rPr/>
      </w:r>
      <w:hyperlink w:history="true" w:anchor="_bookmark2848">
        <w:r>
          <w:rPr>
            <w:color w:val="005DA1"/>
            <w:position w:val="5"/>
            <w:sz w:val="14"/>
            <w:u w:val="single" w:color="005DA1"/>
          </w:rPr>
          <w:t>1512</w:t>
        </w:r>
      </w:hyperlink>
      <w:r>
        <w:rPr>
          <w:position w:val="5"/>
          <w:sz w:val="14"/>
        </w:rPr>
        <w:t>.</w:t>
      </w:r>
      <w:r>
        <w:rPr>
          <w:spacing w:val="55"/>
          <w:position w:val="5"/>
          <w:sz w:val="14"/>
        </w:rPr>
        <w:t>  </w:t>
      </w:r>
      <w:r>
        <w:rPr>
          <w:rFonts w:ascii="Arial" w:hAnsi="Arial"/>
          <w:i/>
          <w:sz w:val="20"/>
        </w:rPr>
        <w:t>Kemp</w:t>
      </w:r>
      <w:r>
        <w:rPr>
          <w:rFonts w:ascii="Arial" w:hAnsi="Arial"/>
          <w:i/>
          <w:spacing w:val="1"/>
          <w:sz w:val="20"/>
        </w:rPr>
        <w:t> </w:t>
      </w:r>
      <w:r>
        <w:rPr>
          <w:rFonts w:ascii="Arial" w:hAnsi="Arial"/>
          <w:i/>
          <w:sz w:val="20"/>
        </w:rPr>
        <w:t>v Tolland [1956] 2 Lloyd’s Rep. 681,</w:t>
      </w:r>
      <w:r>
        <w:rPr>
          <w:rFonts w:ascii="Arial" w:hAnsi="Arial"/>
          <w:i/>
          <w:spacing w:val="-1"/>
          <w:sz w:val="20"/>
        </w:rPr>
        <w:t> </w:t>
      </w:r>
      <w:r>
        <w:rPr>
          <w:rFonts w:ascii="Arial" w:hAnsi="Arial"/>
          <w:i/>
          <w:sz w:val="20"/>
        </w:rPr>
        <w:t>691</w:t>
      </w:r>
      <w:r>
        <w:rPr>
          <w:sz w:val="20"/>
        </w:rPr>
        <w:t>. cf. </w:t>
      </w:r>
      <w:r>
        <w:rPr>
          <w:rFonts w:ascii="Arial" w:hAnsi="Arial"/>
          <w:i/>
          <w:sz w:val="20"/>
        </w:rPr>
        <w:t>Marsh v Jones (1889) 40 Ch. D. </w:t>
      </w:r>
      <w:r>
        <w:rPr>
          <w:rFonts w:ascii="Arial" w:hAnsi="Arial"/>
          <w:i/>
          <w:spacing w:val="-4"/>
          <w:sz w:val="20"/>
        </w:rPr>
        <w:t>563</w:t>
      </w:r>
      <w:r>
        <w:rPr>
          <w:spacing w:val="-4"/>
          <w:sz w:val="20"/>
        </w:rPr>
        <w:t>.</w:t>
      </w:r>
    </w:p>
    <w:p>
      <w:pPr>
        <w:pStyle w:val="BodyText"/>
        <w:spacing w:before="5"/>
      </w:pPr>
    </w:p>
    <w:p>
      <w:pPr>
        <w:spacing w:line="227" w:lineRule="exact" w:before="0"/>
        <w:ind w:left="165" w:right="0" w:firstLine="0"/>
        <w:jc w:val="left"/>
        <w:rPr>
          <w:sz w:val="20"/>
        </w:rPr>
      </w:pPr>
      <w:bookmarkStart w:name="_bookmark2911" w:id="2913"/>
      <w:bookmarkEnd w:id="2913"/>
      <w:r>
        <w:rPr/>
      </w:r>
      <w:hyperlink w:history="true" w:anchor="_bookmark2849">
        <w:r>
          <w:rPr>
            <w:color w:val="005DA1"/>
            <w:position w:val="5"/>
            <w:sz w:val="14"/>
            <w:u w:val="single" w:color="005DA1"/>
          </w:rPr>
          <w:t>1513</w:t>
        </w:r>
      </w:hyperlink>
      <w:r>
        <w:rPr>
          <w:position w:val="5"/>
          <w:sz w:val="14"/>
        </w:rPr>
        <w:t>.</w:t>
      </w:r>
      <w:r>
        <w:rPr>
          <w:spacing w:val="55"/>
          <w:position w:val="5"/>
          <w:sz w:val="14"/>
        </w:rPr>
        <w:t>  </w:t>
      </w:r>
      <w:r>
        <w:rPr>
          <w:rFonts w:ascii="Arial" w:hAnsi="Arial"/>
          <w:i/>
          <w:sz w:val="20"/>
        </w:rPr>
        <w:t>Panchaud</w:t>
      </w:r>
      <w:r>
        <w:rPr>
          <w:rFonts w:ascii="Arial" w:hAnsi="Arial"/>
          <w:i/>
          <w:spacing w:val="13"/>
          <w:sz w:val="20"/>
        </w:rPr>
        <w:t> </w:t>
      </w:r>
      <w:r>
        <w:rPr>
          <w:rFonts w:ascii="Arial" w:hAnsi="Arial"/>
          <w:i/>
          <w:sz w:val="20"/>
        </w:rPr>
        <w:t>Frères</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Pagnan</w:t>
      </w:r>
      <w:r>
        <w:rPr>
          <w:rFonts w:ascii="Arial" w:hAnsi="Arial"/>
          <w:i/>
          <w:spacing w:val="11"/>
          <w:sz w:val="20"/>
        </w:rPr>
        <w:t> </w:t>
      </w:r>
      <w:r>
        <w:rPr>
          <w:rFonts w:ascii="Arial" w:hAnsi="Arial"/>
          <w:i/>
          <w:sz w:val="20"/>
        </w:rPr>
        <w:t>and</w:t>
      </w:r>
      <w:r>
        <w:rPr>
          <w:rFonts w:ascii="Arial" w:hAnsi="Arial"/>
          <w:i/>
          <w:spacing w:val="12"/>
          <w:sz w:val="20"/>
        </w:rPr>
        <w:t> </w:t>
      </w:r>
      <w:r>
        <w:rPr>
          <w:rFonts w:ascii="Arial" w:hAnsi="Arial"/>
          <w:i/>
          <w:sz w:val="20"/>
        </w:rPr>
        <w:t>Fratelli</w:t>
      </w:r>
      <w:r>
        <w:rPr>
          <w:rFonts w:ascii="Arial" w:hAnsi="Arial"/>
          <w:i/>
          <w:spacing w:val="12"/>
          <w:sz w:val="20"/>
        </w:rPr>
        <w:t> </w:t>
      </w:r>
      <w:r>
        <w:rPr>
          <w:rFonts w:ascii="Arial" w:hAnsi="Arial"/>
          <w:i/>
          <w:sz w:val="20"/>
        </w:rPr>
        <w:t>[1974]</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1"/>
          <w:sz w:val="20"/>
        </w:rPr>
        <w:t> </w:t>
      </w:r>
      <w:r>
        <w:rPr>
          <w:rFonts w:ascii="Arial" w:hAnsi="Arial"/>
          <w:i/>
          <w:sz w:val="20"/>
        </w:rPr>
        <w:t>394,</w:t>
      </w:r>
      <w:r>
        <w:rPr>
          <w:rFonts w:ascii="Arial" w:hAnsi="Arial"/>
          <w:i/>
          <w:spacing w:val="12"/>
          <w:sz w:val="20"/>
        </w:rPr>
        <w:t> </w:t>
      </w:r>
      <w:r>
        <w:rPr>
          <w:rFonts w:ascii="Arial" w:hAnsi="Arial"/>
          <w:i/>
          <w:sz w:val="20"/>
        </w:rPr>
        <w:t>411,</w:t>
      </w:r>
      <w:r>
        <w:rPr>
          <w:rFonts w:ascii="Arial" w:hAnsi="Arial"/>
          <w:i/>
          <w:spacing w:val="12"/>
          <w:sz w:val="20"/>
        </w:rPr>
        <w:t> </w:t>
      </w:r>
      <w:r>
        <w:rPr>
          <w:rFonts w:ascii="Arial" w:hAnsi="Arial"/>
          <w:i/>
          <w:sz w:val="20"/>
        </w:rPr>
        <w:t>414</w:t>
      </w:r>
      <w:r>
        <w:rPr>
          <w:sz w:val="20"/>
        </w:rPr>
        <w:t>.</w:t>
      </w:r>
      <w:r>
        <w:rPr>
          <w:spacing w:val="12"/>
          <w:sz w:val="20"/>
        </w:rPr>
        <w:t> </w:t>
      </w:r>
      <w:r>
        <w:rPr>
          <w:sz w:val="20"/>
        </w:rPr>
        <w:t>See</w:t>
      </w:r>
      <w:r>
        <w:rPr>
          <w:spacing w:val="12"/>
          <w:sz w:val="20"/>
        </w:rPr>
        <w:t> </w:t>
      </w:r>
      <w:r>
        <w:rPr>
          <w:sz w:val="20"/>
        </w:rPr>
        <w:t>Vol.II,</w:t>
      </w:r>
      <w:r>
        <w:rPr>
          <w:spacing w:val="12"/>
          <w:sz w:val="20"/>
        </w:rPr>
        <w:t> </w:t>
      </w:r>
      <w:r>
        <w:rPr>
          <w:spacing w:val="-2"/>
          <w:sz w:val="20"/>
        </w:rPr>
        <w:t>paras</w:t>
      </w:r>
    </w:p>
    <w:p>
      <w:pPr>
        <w:pStyle w:val="BodyText"/>
        <w:spacing w:line="227" w:lineRule="exact"/>
        <w:ind w:left="705"/>
      </w:pPr>
      <w:r>
        <w:rPr/>
        <w:t>44-387 et </w:t>
      </w:r>
      <w:r>
        <w:rPr>
          <w:spacing w:val="-4"/>
        </w:rPr>
        <w:t>seq.</w:t>
      </w:r>
    </w:p>
    <w:p>
      <w:pPr>
        <w:pStyle w:val="BodyText"/>
        <w:spacing w:before="5"/>
      </w:pPr>
    </w:p>
    <w:p>
      <w:pPr>
        <w:pStyle w:val="BodyText"/>
        <w:ind w:left="165"/>
      </w:pPr>
      <w:bookmarkStart w:name="_bookmark2912" w:id="2914"/>
      <w:bookmarkEnd w:id="2914"/>
      <w:r>
        <w:rPr/>
      </w:r>
      <w:hyperlink w:history="true" w:anchor="_bookmark2850">
        <w:r>
          <w:rPr>
            <w:color w:val="005DA1"/>
            <w:position w:val="5"/>
            <w:sz w:val="14"/>
            <w:u w:val="single" w:color="005DA1"/>
          </w:rPr>
          <w:t>1514</w:t>
        </w:r>
      </w:hyperlink>
      <w:r>
        <w:rPr>
          <w:position w:val="5"/>
          <w:sz w:val="14"/>
        </w:rPr>
        <w:t>.</w:t>
      </w:r>
      <w:r>
        <w:rPr>
          <w:spacing w:val="55"/>
          <w:position w:val="5"/>
          <w:sz w:val="14"/>
        </w:rPr>
        <w:t>  </w:t>
      </w:r>
      <w:r>
        <w:rPr/>
        <w:t>See</w:t>
      </w:r>
      <w:r>
        <w:rPr>
          <w:spacing w:val="1"/>
        </w:rPr>
        <w:t> </w:t>
      </w:r>
      <w:r>
        <w:rPr/>
        <w:t>above, paras 26-032, 26-</w:t>
      </w:r>
      <w:r>
        <w:rPr>
          <w:spacing w:val="-4"/>
        </w:rPr>
        <w:t>102.</w:t>
      </w:r>
    </w:p>
    <w:p>
      <w:pPr>
        <w:pStyle w:val="BodyText"/>
        <w:spacing w:before="9"/>
      </w:pPr>
    </w:p>
    <w:p>
      <w:pPr>
        <w:spacing w:line="235" w:lineRule="auto" w:before="0"/>
        <w:ind w:left="705" w:right="0" w:hanging="541"/>
        <w:jc w:val="left"/>
        <w:rPr>
          <w:sz w:val="20"/>
        </w:rPr>
      </w:pPr>
      <w:bookmarkStart w:name="_bookmark2913" w:id="2915"/>
      <w:bookmarkEnd w:id="2915"/>
      <w:r>
        <w:rPr/>
      </w:r>
      <w:hyperlink w:history="true" w:anchor="_bookmark2851">
        <w:r>
          <w:rPr>
            <w:color w:val="005DA1"/>
            <w:position w:val="5"/>
            <w:sz w:val="14"/>
            <w:u w:val="single" w:color="005DA1"/>
          </w:rPr>
          <w:t>1515</w:t>
        </w:r>
      </w:hyperlink>
      <w:r>
        <w:rPr>
          <w:position w:val="5"/>
          <w:sz w:val="14"/>
        </w:rPr>
        <w:t>.</w:t>
      </w:r>
      <w:r>
        <w:rPr>
          <w:spacing w:val="40"/>
          <w:position w:val="5"/>
          <w:sz w:val="14"/>
        </w:rPr>
        <w:t>  </w:t>
      </w:r>
      <w:r>
        <w:rPr>
          <w:rFonts w:ascii="Arial" w:hAnsi="Arial"/>
          <w:i/>
          <w:sz w:val="20"/>
        </w:rPr>
        <w:t>Harbutt’s</w:t>
      </w:r>
      <w:r>
        <w:rPr>
          <w:rFonts w:ascii="Arial" w:hAnsi="Arial"/>
          <w:i/>
          <w:spacing w:val="21"/>
          <w:sz w:val="20"/>
        </w:rPr>
        <w:t> </w:t>
      </w:r>
      <w:r>
        <w:rPr>
          <w:rFonts w:ascii="Arial" w:hAnsi="Arial"/>
          <w:i/>
          <w:sz w:val="20"/>
        </w:rPr>
        <w:t>“Plasticine”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Wayne</w:t>
      </w:r>
      <w:r>
        <w:rPr>
          <w:rFonts w:ascii="Arial" w:hAnsi="Arial"/>
          <w:i/>
          <w:spacing w:val="20"/>
          <w:sz w:val="20"/>
        </w:rPr>
        <w:t> </w:t>
      </w:r>
      <w:r>
        <w:rPr>
          <w:rFonts w:ascii="Arial" w:hAnsi="Arial"/>
          <w:i/>
          <w:sz w:val="20"/>
        </w:rPr>
        <w:t>Tank</w:t>
      </w:r>
      <w:r>
        <w:rPr>
          <w:rFonts w:ascii="Arial" w:hAnsi="Arial"/>
          <w:i/>
          <w:spacing w:val="21"/>
          <w:sz w:val="20"/>
        </w:rPr>
        <w:t> </w:t>
      </w:r>
      <w:r>
        <w:rPr>
          <w:rFonts w:ascii="Arial" w:hAnsi="Arial"/>
          <w:i/>
          <w:sz w:val="20"/>
        </w:rPr>
        <w:t>and</w:t>
      </w:r>
      <w:r>
        <w:rPr>
          <w:rFonts w:ascii="Arial" w:hAnsi="Arial"/>
          <w:i/>
          <w:spacing w:val="21"/>
          <w:sz w:val="20"/>
        </w:rPr>
        <w:t> </w:t>
      </w:r>
      <w:r>
        <w:rPr>
          <w:rFonts w:ascii="Arial" w:hAnsi="Arial"/>
          <w:i/>
          <w:sz w:val="20"/>
        </w:rPr>
        <w:t>Pump</w:t>
      </w:r>
      <w:r>
        <w:rPr>
          <w:rFonts w:ascii="Arial" w:hAnsi="Arial"/>
          <w:i/>
          <w:spacing w:val="21"/>
          <w:sz w:val="20"/>
        </w:rPr>
        <w:t> </w:t>
      </w:r>
      <w:r>
        <w:rPr>
          <w:rFonts w:ascii="Arial" w:hAnsi="Arial"/>
          <w:i/>
          <w:sz w:val="20"/>
        </w:rPr>
        <w:t>Co</w:t>
      </w:r>
      <w:r>
        <w:rPr>
          <w:rFonts w:ascii="Arial" w:hAnsi="Arial"/>
          <w:i/>
          <w:spacing w:val="20"/>
          <w:sz w:val="20"/>
        </w:rPr>
        <w:t> </w:t>
      </w:r>
      <w:r>
        <w:rPr>
          <w:rFonts w:ascii="Arial" w:hAnsi="Arial"/>
          <w:i/>
          <w:sz w:val="20"/>
        </w:rPr>
        <w:t>[1970]</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447</w:t>
      </w:r>
      <w:r>
        <w:rPr>
          <w:sz w:val="20"/>
        </w:rPr>
        <w:t>.</w:t>
      </w:r>
      <w:r>
        <w:rPr>
          <w:spacing w:val="20"/>
          <w:sz w:val="20"/>
        </w:rPr>
        <w:t> </w:t>
      </w:r>
      <w:r>
        <w:rPr>
          <w:sz w:val="20"/>
        </w:rPr>
        <w:t>(Overruled</w:t>
      </w:r>
      <w:r>
        <w:rPr>
          <w:spacing w:val="21"/>
          <w:sz w:val="20"/>
        </w:rPr>
        <w:t> </w:t>
      </w:r>
      <w:r>
        <w:rPr>
          <w:sz w:val="20"/>
        </w:rPr>
        <w:t>on</w:t>
      </w:r>
      <w:r>
        <w:rPr>
          <w:spacing w:val="21"/>
          <w:sz w:val="20"/>
        </w:rPr>
        <w:t> </w:t>
      </w:r>
      <w:r>
        <w:rPr>
          <w:sz w:val="20"/>
        </w:rPr>
        <w:t>another point: see above, para.15-025.)</w:t>
      </w:r>
    </w:p>
    <w:p>
      <w:pPr>
        <w:pStyle w:val="BodyText"/>
        <w:spacing w:before="9"/>
      </w:pPr>
    </w:p>
    <w:p>
      <w:pPr>
        <w:spacing w:line="235" w:lineRule="auto" w:before="1"/>
        <w:ind w:left="705" w:right="168" w:hanging="541"/>
        <w:jc w:val="both"/>
        <w:rPr>
          <w:sz w:val="20"/>
        </w:rPr>
      </w:pPr>
      <w:bookmarkStart w:name="_bookmark2914" w:id="2916"/>
      <w:bookmarkEnd w:id="2916"/>
      <w:r>
        <w:rPr/>
      </w:r>
      <w:hyperlink w:history="true" w:anchor="_bookmark2852">
        <w:r>
          <w:rPr>
            <w:color w:val="005DA1"/>
            <w:position w:val="5"/>
            <w:sz w:val="14"/>
            <w:u w:val="single" w:color="005DA1"/>
          </w:rPr>
          <w:t>1516</w:t>
        </w:r>
      </w:hyperlink>
      <w:r>
        <w:rPr>
          <w:position w:val="5"/>
          <w:sz w:val="14"/>
        </w:rPr>
        <w:t>.</w:t>
      </w:r>
      <w:r>
        <w:rPr>
          <w:spacing w:val="80"/>
          <w:w w:val="150"/>
          <w:position w:val="5"/>
          <w:sz w:val="14"/>
        </w:rPr>
        <w:t> </w:t>
      </w:r>
      <w:r>
        <w:rPr>
          <w:rFonts w:ascii="Arial"/>
          <w:i/>
          <w:sz w:val="20"/>
        </w:rPr>
        <w:t>Fletcher</w:t>
      </w:r>
      <w:r>
        <w:rPr>
          <w:rFonts w:ascii="Arial"/>
          <w:i/>
          <w:spacing w:val="-2"/>
          <w:sz w:val="20"/>
        </w:rPr>
        <w:t> </w:t>
      </w:r>
      <w:r>
        <w:rPr>
          <w:rFonts w:ascii="Arial"/>
          <w:i/>
          <w:sz w:val="20"/>
        </w:rPr>
        <w:t>v</w:t>
      </w:r>
      <w:r>
        <w:rPr>
          <w:rFonts w:ascii="Arial"/>
          <w:i/>
          <w:spacing w:val="-2"/>
          <w:sz w:val="20"/>
        </w:rPr>
        <w:t> </w:t>
      </w:r>
      <w:r>
        <w:rPr>
          <w:rFonts w:ascii="Arial"/>
          <w:i/>
          <w:sz w:val="20"/>
        </w:rPr>
        <w:t>Tayleur</w:t>
      </w:r>
      <w:r>
        <w:rPr>
          <w:rFonts w:ascii="Arial"/>
          <w:i/>
          <w:spacing w:val="-2"/>
          <w:sz w:val="20"/>
        </w:rPr>
        <w:t> </w:t>
      </w:r>
      <w:r>
        <w:rPr>
          <w:rFonts w:ascii="Arial"/>
          <w:i/>
          <w:sz w:val="20"/>
        </w:rPr>
        <w:t>(1855)</w:t>
      </w:r>
      <w:r>
        <w:rPr>
          <w:rFonts w:ascii="Arial"/>
          <w:i/>
          <w:spacing w:val="-2"/>
          <w:sz w:val="20"/>
        </w:rPr>
        <w:t> </w:t>
      </w:r>
      <w:r>
        <w:rPr>
          <w:rFonts w:ascii="Arial"/>
          <w:i/>
          <w:sz w:val="20"/>
        </w:rPr>
        <w:t>17</w:t>
      </w:r>
      <w:r>
        <w:rPr>
          <w:rFonts w:ascii="Arial"/>
          <w:i/>
          <w:spacing w:val="-2"/>
          <w:sz w:val="20"/>
        </w:rPr>
        <w:t> </w:t>
      </w:r>
      <w:r>
        <w:rPr>
          <w:rFonts w:ascii="Arial"/>
          <w:i/>
          <w:sz w:val="20"/>
        </w:rPr>
        <w:t>C.B.</w:t>
      </w:r>
      <w:r>
        <w:rPr>
          <w:rFonts w:ascii="Arial"/>
          <w:i/>
          <w:spacing w:val="-2"/>
          <w:sz w:val="20"/>
        </w:rPr>
        <w:t> </w:t>
      </w:r>
      <w:r>
        <w:rPr>
          <w:rFonts w:ascii="Arial"/>
          <w:i/>
          <w:sz w:val="20"/>
        </w:rPr>
        <w:t>21,</w:t>
      </w:r>
      <w:r>
        <w:rPr>
          <w:rFonts w:ascii="Arial"/>
          <w:i/>
          <w:spacing w:val="-2"/>
          <w:sz w:val="20"/>
        </w:rPr>
        <w:t> </w:t>
      </w:r>
      <w:r>
        <w:rPr>
          <w:rFonts w:ascii="Arial"/>
          <w:i/>
          <w:sz w:val="20"/>
        </w:rPr>
        <w:t>29</w:t>
      </w:r>
      <w:r>
        <w:rPr>
          <w:rFonts w:ascii="Arial"/>
          <w:i/>
          <w:spacing w:val="-2"/>
          <w:sz w:val="20"/>
        </w:rPr>
        <w:t> </w:t>
      </w:r>
      <w:r>
        <w:rPr>
          <w:sz w:val="20"/>
        </w:rPr>
        <w:t>(delay</w:t>
      </w:r>
      <w:r>
        <w:rPr>
          <w:spacing w:val="-2"/>
          <w:sz w:val="20"/>
        </w:rPr>
        <w:t> </w:t>
      </w:r>
      <w:r>
        <w:rPr>
          <w:sz w:val="20"/>
        </w:rPr>
        <w:t>in</w:t>
      </w:r>
      <w:r>
        <w:rPr>
          <w:spacing w:val="-2"/>
          <w:sz w:val="20"/>
        </w:rPr>
        <w:t> </w:t>
      </w:r>
      <w:r>
        <w:rPr>
          <w:sz w:val="20"/>
        </w:rPr>
        <w:t>building</w:t>
      </w:r>
      <w:r>
        <w:rPr>
          <w:spacing w:val="-2"/>
          <w:sz w:val="20"/>
        </w:rPr>
        <w:t> </w:t>
      </w:r>
      <w:r>
        <w:rPr>
          <w:sz w:val="20"/>
        </w:rPr>
        <w:t>a</w:t>
      </w:r>
      <w:r>
        <w:rPr>
          <w:spacing w:val="-2"/>
          <w:sz w:val="20"/>
        </w:rPr>
        <w:t> </w:t>
      </w:r>
      <w:r>
        <w:rPr>
          <w:sz w:val="20"/>
        </w:rPr>
        <w:t>ship);</w:t>
      </w:r>
      <w:r>
        <w:rPr>
          <w:spacing w:val="-2"/>
          <w:sz w:val="20"/>
        </w:rPr>
        <w:t> </w:t>
      </w:r>
      <w:r>
        <w:rPr>
          <w:rFonts w:ascii="Arial"/>
          <w:i/>
          <w:sz w:val="20"/>
        </w:rPr>
        <w:t>British</w:t>
      </w:r>
      <w:r>
        <w:rPr>
          <w:rFonts w:ascii="Arial"/>
          <w:i/>
          <w:spacing w:val="-2"/>
          <w:sz w:val="20"/>
        </w:rPr>
        <w:t> </w:t>
      </w:r>
      <w:r>
        <w:rPr>
          <w:rFonts w:ascii="Arial"/>
          <w:i/>
          <w:sz w:val="20"/>
        </w:rPr>
        <w:t>Columbia</w:t>
      </w:r>
      <w:r>
        <w:rPr>
          <w:rFonts w:ascii="Arial"/>
          <w:i/>
          <w:spacing w:val="-2"/>
          <w:sz w:val="20"/>
        </w:rPr>
        <w:t> </w:t>
      </w:r>
      <w:r>
        <w:rPr>
          <w:rFonts w:ascii="Arial"/>
          <w:i/>
          <w:sz w:val="20"/>
        </w:rPr>
        <w:t>Saw</w:t>
      </w:r>
      <w:r>
        <w:rPr>
          <w:rFonts w:ascii="Arial"/>
          <w:i/>
          <w:spacing w:val="-2"/>
          <w:sz w:val="20"/>
        </w:rPr>
        <w:t> </w:t>
      </w:r>
      <w:r>
        <w:rPr>
          <w:rFonts w:ascii="Arial"/>
          <w:i/>
          <w:sz w:val="20"/>
        </w:rPr>
        <w:t>Mill</w:t>
      </w:r>
      <w:r>
        <w:rPr>
          <w:rFonts w:ascii="Arial"/>
          <w:i/>
          <w:spacing w:val="-2"/>
          <w:sz w:val="20"/>
        </w:rPr>
        <w:t> </w:t>
      </w:r>
      <w:r>
        <w:rPr>
          <w:rFonts w:ascii="Arial"/>
          <w:i/>
          <w:sz w:val="20"/>
        </w:rPr>
        <w:t>Co Ltd v Nettleship (1868) L.R. 3 C.P. 499, 507 </w:t>
      </w:r>
      <w:r>
        <w:rPr>
          <w:sz w:val="20"/>
        </w:rPr>
        <w:t>(delay in obtaining replacement for goods lost by carrier); </w:t>
      </w:r>
      <w:r>
        <w:rPr>
          <w:rFonts w:ascii="Arial"/>
          <w:i/>
          <w:sz w:val="20"/>
        </w:rPr>
        <w:t>Jaques v Millar (1877) 6 Ch. D. 153 </w:t>
      </w:r>
      <w:r>
        <w:rPr>
          <w:sz w:val="20"/>
        </w:rPr>
        <w:t>(lease); cf. </w:t>
      </w:r>
      <w:r>
        <w:rPr>
          <w:rFonts w:ascii="Arial"/>
          <w:i/>
          <w:sz w:val="20"/>
        </w:rPr>
        <w:t>Bushwall Properties Ltd v Vortex Properties Ltd [1975] 1 W.L.R. 1649 </w:t>
      </w:r>
      <w:r>
        <w:rPr>
          <w:sz w:val="20"/>
        </w:rPr>
        <w:t>(reversed on another point</w:t>
      </w:r>
      <w:r>
        <w:rPr>
          <w:rFonts w:ascii="Arial"/>
          <w:i/>
          <w:sz w:val="20"/>
        </w:rPr>
        <w:t>: [1976] 1 W.L.R. 591</w:t>
      </w:r>
      <w:r>
        <w:rPr>
          <w:sz w:val="20"/>
        </w:rPr>
        <w:t>).</w:t>
      </w:r>
    </w:p>
    <w:p>
      <w:pPr>
        <w:pStyle w:val="BodyText"/>
        <w:spacing w:before="8"/>
      </w:pPr>
    </w:p>
    <w:p>
      <w:pPr>
        <w:spacing w:line="235" w:lineRule="auto" w:before="0"/>
        <w:ind w:left="705" w:right="0" w:hanging="541"/>
        <w:jc w:val="left"/>
        <w:rPr>
          <w:sz w:val="20"/>
        </w:rPr>
      </w:pPr>
      <w:bookmarkStart w:name="_bookmark2915" w:id="2917"/>
      <w:bookmarkEnd w:id="2917"/>
      <w:r>
        <w:rPr/>
      </w:r>
      <w:hyperlink w:history="true" w:anchor="_bookmark2853">
        <w:r>
          <w:rPr>
            <w:color w:val="005DA1"/>
            <w:position w:val="5"/>
            <w:sz w:val="14"/>
            <w:u w:val="single" w:color="005DA1"/>
          </w:rPr>
          <w:t>1517</w:t>
        </w:r>
      </w:hyperlink>
      <w:r>
        <w:rPr>
          <w:position w:val="5"/>
          <w:sz w:val="14"/>
        </w:rPr>
        <w:t>.</w:t>
      </w:r>
      <w:r>
        <w:rPr>
          <w:spacing w:val="55"/>
          <w:position w:val="5"/>
          <w:sz w:val="14"/>
        </w:rPr>
        <w:t>  </w:t>
      </w:r>
      <w:r>
        <w:rPr>
          <w:sz w:val="20"/>
        </w:rPr>
        <w:t>cf.</w:t>
      </w:r>
      <w:r>
        <w:rPr>
          <w:spacing w:val="40"/>
          <w:sz w:val="20"/>
        </w:rPr>
        <w:t> </w:t>
      </w:r>
      <w:r>
        <w:rPr>
          <w:rFonts w:ascii="Arial" w:hAnsi="Arial"/>
          <w:i/>
          <w:sz w:val="20"/>
        </w:rPr>
        <w:t>Janred</w:t>
      </w:r>
      <w:r>
        <w:rPr>
          <w:rFonts w:ascii="Arial" w:hAnsi="Arial"/>
          <w:i/>
          <w:spacing w:val="40"/>
          <w:sz w:val="20"/>
        </w:rPr>
        <w:t> </w:t>
      </w:r>
      <w:r>
        <w:rPr>
          <w:rFonts w:ascii="Arial" w:hAnsi="Arial"/>
          <w:i/>
          <w:sz w:val="20"/>
        </w:rPr>
        <w:t>Properties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Ente</w:t>
      </w:r>
      <w:r>
        <w:rPr>
          <w:rFonts w:ascii="Arial" w:hAnsi="Arial"/>
          <w:i/>
          <w:spacing w:val="40"/>
          <w:sz w:val="20"/>
        </w:rPr>
        <w:t> </w:t>
      </w:r>
      <w:r>
        <w:rPr>
          <w:rFonts w:ascii="Arial" w:hAnsi="Arial"/>
          <w:i/>
          <w:sz w:val="20"/>
        </w:rPr>
        <w:t>Nazionale</w:t>
      </w:r>
      <w:r>
        <w:rPr>
          <w:rFonts w:ascii="Arial" w:hAnsi="Arial"/>
          <w:i/>
          <w:spacing w:val="40"/>
          <w:sz w:val="20"/>
        </w:rPr>
        <w:t> </w:t>
      </w:r>
      <w:r>
        <w:rPr>
          <w:rFonts w:ascii="Arial" w:hAnsi="Arial"/>
          <w:i/>
          <w:sz w:val="20"/>
        </w:rPr>
        <w:t>Italiano</w:t>
      </w:r>
      <w:r>
        <w:rPr>
          <w:rFonts w:ascii="Arial" w:hAnsi="Arial"/>
          <w:i/>
          <w:spacing w:val="40"/>
          <w:sz w:val="20"/>
        </w:rPr>
        <w:t> </w:t>
      </w:r>
      <w:r>
        <w:rPr>
          <w:rFonts w:ascii="Arial" w:hAnsi="Arial"/>
          <w:i/>
          <w:sz w:val="20"/>
        </w:rPr>
        <w:t>per</w:t>
      </w:r>
      <w:r>
        <w:rPr>
          <w:rFonts w:ascii="Arial" w:hAnsi="Arial"/>
          <w:i/>
          <w:spacing w:val="40"/>
          <w:sz w:val="20"/>
        </w:rPr>
        <w:t> </w:t>
      </w:r>
      <w:r>
        <w:rPr>
          <w:rFonts w:ascii="Arial" w:hAnsi="Arial"/>
          <w:i/>
          <w:sz w:val="20"/>
        </w:rPr>
        <w:t>il</w:t>
      </w:r>
      <w:r>
        <w:rPr>
          <w:rFonts w:ascii="Arial" w:hAnsi="Arial"/>
          <w:i/>
          <w:spacing w:val="40"/>
          <w:sz w:val="20"/>
        </w:rPr>
        <w:t> </w:t>
      </w:r>
      <w:r>
        <w:rPr>
          <w:rFonts w:ascii="Arial" w:hAnsi="Arial"/>
          <w:i/>
          <w:sz w:val="20"/>
        </w:rPr>
        <w:t>Turismo</w:t>
      </w:r>
      <w:r>
        <w:rPr>
          <w:rFonts w:ascii="Arial" w:hAnsi="Arial"/>
          <w:i/>
          <w:spacing w:val="40"/>
          <w:sz w:val="20"/>
        </w:rPr>
        <w:t> </w:t>
      </w:r>
      <w:r>
        <w:rPr>
          <w:rFonts w:ascii="Arial" w:hAnsi="Arial"/>
          <w:i/>
          <w:sz w:val="20"/>
        </w:rPr>
        <w:t>[1989]</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All</w:t>
      </w:r>
      <w:r>
        <w:rPr>
          <w:rFonts w:ascii="Arial" w:hAnsi="Arial"/>
          <w:i/>
          <w:spacing w:val="40"/>
          <w:sz w:val="20"/>
        </w:rPr>
        <w:t> </w:t>
      </w:r>
      <w:r>
        <w:rPr>
          <w:rFonts w:ascii="Arial" w:hAnsi="Arial"/>
          <w:i/>
          <w:sz w:val="20"/>
        </w:rPr>
        <w:t>E.R.</w:t>
      </w:r>
      <w:r>
        <w:rPr>
          <w:rFonts w:ascii="Arial" w:hAnsi="Arial"/>
          <w:i/>
          <w:spacing w:val="40"/>
          <w:sz w:val="20"/>
        </w:rPr>
        <w:t> </w:t>
      </w:r>
      <w:r>
        <w:rPr>
          <w:rFonts w:ascii="Arial" w:hAnsi="Arial"/>
          <w:i/>
          <w:sz w:val="20"/>
        </w:rPr>
        <w:t>444, </w:t>
      </w:r>
      <w:r>
        <w:rPr>
          <w:rFonts w:ascii="Arial" w:hAnsi="Arial"/>
          <w:i/>
          <w:spacing w:val="-2"/>
          <w:sz w:val="20"/>
        </w:rPr>
        <w:t>456–457</w:t>
      </w:r>
      <w:r>
        <w:rPr>
          <w:spacing w:val="-2"/>
          <w:sz w:val="20"/>
        </w:rPr>
        <w:t>.</w:t>
      </w:r>
    </w:p>
    <w:p>
      <w:pPr>
        <w:pStyle w:val="BodyText"/>
        <w:spacing w:before="5"/>
      </w:pPr>
    </w:p>
    <w:p>
      <w:pPr>
        <w:spacing w:line="227" w:lineRule="exact" w:before="1"/>
        <w:ind w:left="165" w:right="0" w:firstLine="0"/>
        <w:jc w:val="left"/>
        <w:rPr>
          <w:rFonts w:ascii="Arial" w:hAnsi="Arial"/>
          <w:i/>
          <w:sz w:val="20"/>
        </w:rPr>
      </w:pPr>
      <w:bookmarkStart w:name="_bookmark2916" w:id="2918"/>
      <w:bookmarkEnd w:id="2918"/>
      <w:r>
        <w:rPr/>
      </w:r>
      <w:hyperlink w:history="true" w:anchor="_bookmark2854">
        <w:r>
          <w:rPr>
            <w:color w:val="005DA1"/>
            <w:position w:val="5"/>
            <w:sz w:val="14"/>
            <w:u w:val="single" w:color="005DA1"/>
          </w:rPr>
          <w:t>1518</w:t>
        </w:r>
      </w:hyperlink>
      <w:r>
        <w:rPr>
          <w:position w:val="5"/>
          <w:sz w:val="14"/>
        </w:rPr>
        <w:t>.</w:t>
      </w:r>
      <w:r>
        <w:rPr>
          <w:spacing w:val="55"/>
          <w:position w:val="5"/>
          <w:sz w:val="14"/>
        </w:rPr>
        <w:t>  </w:t>
      </w:r>
      <w:r>
        <w:rPr>
          <w:rFonts w:ascii="Arial" w:hAnsi="Arial"/>
          <w:i/>
          <w:sz w:val="20"/>
        </w:rPr>
        <w:t>Trafigura</w:t>
      </w:r>
      <w:r>
        <w:rPr>
          <w:rFonts w:ascii="Arial" w:hAnsi="Arial"/>
          <w:i/>
          <w:spacing w:val="13"/>
          <w:sz w:val="20"/>
        </w:rPr>
        <w:t> </w:t>
      </w:r>
      <w:r>
        <w:rPr>
          <w:rFonts w:ascii="Arial" w:hAnsi="Arial"/>
          <w:i/>
          <w:sz w:val="20"/>
        </w:rPr>
        <w:t>Beheer</w:t>
      </w:r>
      <w:r>
        <w:rPr>
          <w:rFonts w:ascii="Arial" w:hAnsi="Arial"/>
          <w:i/>
          <w:spacing w:val="12"/>
          <w:sz w:val="20"/>
        </w:rPr>
        <w:t> </w:t>
      </w:r>
      <w:r>
        <w:rPr>
          <w:rFonts w:ascii="Arial" w:hAnsi="Arial"/>
          <w:i/>
          <w:sz w:val="20"/>
        </w:rPr>
        <w:t>BV</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Mediterranean</w:t>
      </w:r>
      <w:r>
        <w:rPr>
          <w:rFonts w:ascii="Arial" w:hAnsi="Arial"/>
          <w:i/>
          <w:spacing w:val="12"/>
          <w:sz w:val="20"/>
        </w:rPr>
        <w:t> </w:t>
      </w:r>
      <w:r>
        <w:rPr>
          <w:rFonts w:ascii="Arial" w:hAnsi="Arial"/>
          <w:i/>
          <w:sz w:val="20"/>
        </w:rPr>
        <w:t>Shipping</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SA</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z w:val="20"/>
        </w:rPr>
        <w:t>794,</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 622</w:t>
      </w:r>
      <w:r>
        <w:rPr>
          <w:rFonts w:ascii="Arial"/>
          <w:i/>
          <w:spacing w:val="-1"/>
          <w:sz w:val="20"/>
        </w:rPr>
        <w:t> </w:t>
      </w:r>
      <w:r>
        <w:rPr>
          <w:sz w:val="20"/>
        </w:rPr>
        <w:t>at [42] </w:t>
      </w:r>
      <w:r>
        <w:rPr>
          <w:spacing w:val="-2"/>
          <w:sz w:val="20"/>
        </w:rPr>
        <w:t>(conversion).</w:t>
      </w:r>
    </w:p>
    <w:p>
      <w:pPr>
        <w:pStyle w:val="BodyText"/>
        <w:spacing w:before="8"/>
      </w:pPr>
    </w:p>
    <w:p>
      <w:pPr>
        <w:spacing w:line="235" w:lineRule="auto" w:before="0"/>
        <w:ind w:left="705" w:right="168" w:hanging="541"/>
        <w:jc w:val="both"/>
        <w:rPr>
          <w:sz w:val="20"/>
        </w:rPr>
      </w:pPr>
      <w:bookmarkStart w:name="_bookmark2917" w:id="2919"/>
      <w:bookmarkEnd w:id="2919"/>
      <w:r>
        <w:rPr/>
      </w:r>
      <w:hyperlink w:history="true" w:anchor="_bookmark2855">
        <w:r>
          <w:rPr>
            <w:color w:val="005DA1"/>
            <w:position w:val="5"/>
            <w:sz w:val="14"/>
            <w:u w:val="single" w:color="005DA1"/>
          </w:rPr>
          <w:t>1519</w:t>
        </w:r>
      </w:hyperlink>
      <w:r>
        <w:rPr>
          <w:position w:val="5"/>
          <w:sz w:val="14"/>
        </w:rPr>
        <w:t>.</w:t>
      </w:r>
      <w:r>
        <w:rPr>
          <w:spacing w:val="80"/>
          <w:position w:val="5"/>
          <w:sz w:val="14"/>
        </w:rPr>
        <w:t> </w:t>
      </w:r>
      <w:r>
        <w:rPr>
          <w:rFonts w:ascii="Arial" w:hAnsi="Arial"/>
          <w:i/>
          <w:sz w:val="20"/>
        </w:rPr>
        <w:t>Harbutt’s “Plasticine” v Wayne Tank and Pump Co [1970] 1 Q.B. 447</w:t>
      </w:r>
      <w:r>
        <w:rPr>
          <w:sz w:val="20"/>
        </w:rPr>
        <w:t>; </w:t>
      </w:r>
      <w:r>
        <w:rPr>
          <w:rFonts w:ascii="Arial" w:hAnsi="Arial"/>
          <w:i/>
          <w:sz w:val="20"/>
        </w:rPr>
        <w:t>Metal Box Co Ltd v</w:t>
      </w:r>
      <w:r>
        <w:rPr>
          <w:rFonts w:ascii="Arial" w:hAnsi="Arial"/>
          <w:i/>
          <w:spacing w:val="80"/>
          <w:sz w:val="20"/>
        </w:rPr>
        <w:t> </w:t>
      </w:r>
      <w:r>
        <w:rPr>
          <w:rFonts w:ascii="Arial" w:hAnsi="Arial"/>
          <w:i/>
          <w:sz w:val="20"/>
        </w:rPr>
        <w:t>Currys Ltd [1988] 1 W.L.R. 175 </w:t>
      </w:r>
      <w:r>
        <w:rPr>
          <w:sz w:val="20"/>
        </w:rPr>
        <w:t>(tort: damages for value of destroyed chattel). For examples from cases on breach of contract see </w:t>
      </w:r>
      <w:r>
        <w:rPr>
          <w:rFonts w:ascii="Arial" w:hAnsi="Arial"/>
          <w:i/>
          <w:sz w:val="20"/>
        </w:rPr>
        <w:t>Sycamore Bidco Ltd v Breslin [2013] EWHC 174 </w:t>
      </w:r>
      <w:r>
        <w:rPr>
          <w:rFonts w:ascii="Arial" w:hAnsi="Arial"/>
          <w:i/>
          <w:sz w:val="20"/>
        </w:rPr>
        <w:t>(Ch)</w:t>
      </w:r>
      <w:r>
        <w:rPr>
          <w:sz w:val="20"/>
        </w:rPr>
        <w:t>; </w:t>
      </w:r>
      <w:r>
        <w:rPr>
          <w:rFonts w:ascii="Arial" w:hAnsi="Arial"/>
          <w:i/>
          <w:sz w:val="20"/>
        </w:rPr>
        <w:t>Hackney Empire Ltd v Aviva Insurance UK Ltd [2013] EWHC 2212 (TCC), 149 Con. L.R. 213</w:t>
      </w:r>
      <w:r>
        <w:rPr>
          <w:sz w:val="20"/>
        </w:rPr>
        <w:t>.</w:t>
      </w:r>
    </w:p>
    <w:p>
      <w:pPr>
        <w:pStyle w:val="BodyText"/>
        <w:spacing w:before="9"/>
      </w:pPr>
    </w:p>
    <w:p>
      <w:pPr>
        <w:spacing w:line="235" w:lineRule="auto" w:before="0"/>
        <w:ind w:left="705" w:right="168" w:hanging="541"/>
        <w:jc w:val="both"/>
        <w:rPr>
          <w:sz w:val="20"/>
        </w:rPr>
      </w:pPr>
      <w:bookmarkStart w:name="_bookmark2918" w:id="2920"/>
      <w:bookmarkEnd w:id="2920"/>
      <w:r>
        <w:rPr/>
      </w:r>
      <w:hyperlink w:history="true" w:anchor="_bookmark2855">
        <w:r>
          <w:rPr>
            <w:color w:val="005DA1"/>
            <w:position w:val="5"/>
            <w:sz w:val="14"/>
            <w:u w:val="single" w:color="005DA1"/>
          </w:rPr>
          <w:t>1520</w:t>
        </w:r>
      </w:hyperlink>
      <w:r>
        <w:rPr>
          <w:position w:val="5"/>
          <w:sz w:val="14"/>
        </w:rPr>
        <w:t>.</w:t>
      </w:r>
      <w:r>
        <w:rPr>
          <w:spacing w:val="80"/>
          <w:position w:val="5"/>
          <w:sz w:val="14"/>
        </w:rPr>
        <w:t> </w:t>
      </w:r>
      <w:r>
        <w:rPr>
          <w:sz w:val="20"/>
        </w:rPr>
        <w:t>This is illustrated in cases not involving breach of contract: </w:t>
      </w:r>
      <w:r>
        <w:rPr>
          <w:rFonts w:ascii="Arial"/>
          <w:i/>
          <w:sz w:val="20"/>
        </w:rPr>
        <w:t>General Tire and Rubber Co </w:t>
      </w:r>
      <w:r>
        <w:rPr>
          <w:rFonts w:ascii="Arial"/>
          <w:i/>
          <w:sz w:val="20"/>
        </w:rPr>
        <w:t>v Firestone Tyre and Rubber Co [1975] 1 W.L.R. 819 </w:t>
      </w:r>
      <w:r>
        <w:rPr>
          <w:sz w:val="20"/>
        </w:rPr>
        <w:t>(infringement of patent); </w:t>
      </w:r>
      <w:r>
        <w:rPr>
          <w:rFonts w:ascii="Arial"/>
          <w:i/>
          <w:sz w:val="20"/>
        </w:rPr>
        <w:t>B.P. Exploration</w:t>
      </w:r>
      <w:r>
        <w:rPr>
          <w:rFonts w:ascii="Arial"/>
          <w:i/>
          <w:spacing w:val="40"/>
          <w:sz w:val="20"/>
        </w:rPr>
        <w:t> </w:t>
      </w:r>
      <w:r>
        <w:rPr>
          <w:rFonts w:ascii="Arial"/>
          <w:i/>
          <w:sz w:val="20"/>
        </w:rPr>
        <w:t>Co (Libya) v Hunt (No.2) [1979] 1 W.L.R. 783 </w:t>
      </w:r>
      <w:r>
        <w:rPr>
          <w:sz w:val="20"/>
        </w:rPr>
        <w:t>(upheld in [1983] A.C. 353) (restitution following </w:t>
      </w:r>
      <w:r>
        <w:rPr>
          <w:spacing w:val="-2"/>
          <w:sz w:val="20"/>
        </w:rPr>
        <w:t>frustration).</w:t>
      </w:r>
    </w:p>
    <w:p>
      <w:pPr>
        <w:pStyle w:val="BodyText"/>
        <w:spacing w:before="128"/>
      </w:pPr>
    </w:p>
    <w:p>
      <w:pPr>
        <w:spacing w:line="235" w:lineRule="auto" w:before="0"/>
        <w:ind w:left="705" w:right="168" w:hanging="541"/>
        <w:jc w:val="both"/>
        <w:rPr>
          <w:rFonts w:ascii="Arial" w:hAnsi="Arial"/>
          <w:i/>
          <w:sz w:val="20"/>
        </w:rPr>
      </w:pPr>
      <w:bookmarkStart w:name="_bookmark2919" w:id="2921"/>
      <w:bookmarkEnd w:id="2921"/>
      <w:r>
        <w:rPr/>
      </w:r>
      <w:hyperlink w:history="true" w:anchor="_bookmark2856">
        <w:r>
          <w:rPr>
            <w:color w:val="005DA1"/>
            <w:sz w:val="20"/>
            <w:u w:val="single" w:color="005DA1"/>
            <w:vertAlign w:val="superscript"/>
          </w:rPr>
          <w:t>1521</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334" name="Image 1334"/>
            <wp:cNvGraphicFramePr>
              <a:graphicFrameLocks/>
            </wp:cNvGraphicFramePr>
            <a:graphic>
              <a:graphicData uri="http://schemas.openxmlformats.org/drawingml/2006/picture">
                <pic:pic>
                  <pic:nvPicPr>
                    <pic:cNvPr id="1334" name="Image 13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Metal Box Co Ltd v Currys Ltd [1988] 1 W.L.R. 175</w:t>
      </w:r>
      <w:r>
        <w:rPr>
          <w:sz w:val="20"/>
          <w:vertAlign w:val="baseline"/>
        </w:rPr>
        <w:t>. However, the date should be postponed only</w:t>
      </w:r>
      <w:r>
        <w:rPr>
          <w:spacing w:val="36"/>
          <w:sz w:val="20"/>
          <w:vertAlign w:val="baseline"/>
        </w:rPr>
        <w:t> </w:t>
      </w:r>
      <w:r>
        <w:rPr>
          <w:sz w:val="20"/>
          <w:vertAlign w:val="baseline"/>
        </w:rPr>
        <w:t>if</w:t>
      </w:r>
      <w:r>
        <w:rPr>
          <w:spacing w:val="38"/>
          <w:sz w:val="20"/>
          <w:vertAlign w:val="baseline"/>
        </w:rPr>
        <w:t> </w:t>
      </w:r>
      <w:r>
        <w:rPr>
          <w:sz w:val="20"/>
          <w:vertAlign w:val="baseline"/>
        </w:rPr>
        <w:t>the</w:t>
      </w:r>
      <w:r>
        <w:rPr>
          <w:spacing w:val="38"/>
          <w:sz w:val="20"/>
          <w:vertAlign w:val="baseline"/>
        </w:rPr>
        <w:t> </w:t>
      </w:r>
      <w:r>
        <w:rPr>
          <w:sz w:val="20"/>
          <w:vertAlign w:val="baseline"/>
        </w:rPr>
        <w:t>claimant’s</w:t>
      </w:r>
      <w:r>
        <w:rPr>
          <w:spacing w:val="38"/>
          <w:sz w:val="20"/>
          <w:vertAlign w:val="baseline"/>
        </w:rPr>
        <w:t> </w:t>
      </w:r>
      <w:r>
        <w:rPr>
          <w:sz w:val="20"/>
          <w:vertAlign w:val="baseline"/>
        </w:rPr>
        <w:t>delay</w:t>
      </w:r>
      <w:r>
        <w:rPr>
          <w:spacing w:val="38"/>
          <w:sz w:val="20"/>
          <w:vertAlign w:val="baseline"/>
        </w:rPr>
        <w:t> </w:t>
      </w:r>
      <w:r>
        <w:rPr>
          <w:sz w:val="20"/>
          <w:vertAlign w:val="baseline"/>
        </w:rPr>
        <w:t>was</w:t>
      </w:r>
      <w:r>
        <w:rPr>
          <w:spacing w:val="38"/>
          <w:sz w:val="20"/>
          <w:vertAlign w:val="baseline"/>
        </w:rPr>
        <w:t> </w:t>
      </w:r>
      <w:r>
        <w:rPr>
          <w:sz w:val="20"/>
          <w:vertAlign w:val="baseline"/>
        </w:rPr>
        <w:t>exceptional</w:t>
      </w:r>
      <w:r>
        <w:rPr>
          <w:spacing w:val="38"/>
          <w:sz w:val="20"/>
          <w:vertAlign w:val="baseline"/>
        </w:rPr>
        <w:t> </w:t>
      </w:r>
      <w:r>
        <w:rPr>
          <w:sz w:val="20"/>
          <w:vertAlign w:val="baseline"/>
        </w:rPr>
        <w:t>and</w:t>
      </w:r>
      <w:r>
        <w:rPr>
          <w:spacing w:val="38"/>
          <w:sz w:val="20"/>
          <w:vertAlign w:val="baseline"/>
        </w:rPr>
        <w:t> </w:t>
      </w:r>
      <w:r>
        <w:rPr>
          <w:sz w:val="20"/>
          <w:vertAlign w:val="baseline"/>
        </w:rPr>
        <w:t>inexcusable:</w:t>
      </w:r>
      <w:r>
        <w:rPr>
          <w:spacing w:val="37"/>
          <w:sz w:val="20"/>
          <w:vertAlign w:val="baseline"/>
        </w:rPr>
        <w:t> </w:t>
      </w:r>
      <w:r>
        <w:rPr>
          <w:rFonts w:ascii="Arial" w:hAnsi="Arial"/>
          <w:i/>
          <w:sz w:val="20"/>
          <w:vertAlign w:val="baseline"/>
        </w:rPr>
        <w:t>Challinor</w:t>
      </w:r>
      <w:r>
        <w:rPr>
          <w:rFonts w:ascii="Arial" w:hAnsi="Arial"/>
          <w:i/>
          <w:spacing w:val="38"/>
          <w:sz w:val="20"/>
          <w:vertAlign w:val="baseline"/>
        </w:rPr>
        <w:t> </w:t>
      </w:r>
      <w:r>
        <w:rPr>
          <w:rFonts w:ascii="Arial" w:hAnsi="Arial"/>
          <w:i/>
          <w:sz w:val="20"/>
          <w:vertAlign w:val="baseline"/>
        </w:rPr>
        <w:t>v</w:t>
      </w:r>
      <w:r>
        <w:rPr>
          <w:rFonts w:ascii="Arial" w:hAnsi="Arial"/>
          <w:i/>
          <w:spacing w:val="38"/>
          <w:sz w:val="20"/>
          <w:vertAlign w:val="baseline"/>
        </w:rPr>
        <w:t> </w:t>
      </w:r>
      <w:r>
        <w:rPr>
          <w:rFonts w:ascii="Arial" w:hAnsi="Arial"/>
          <w:i/>
          <w:sz w:val="20"/>
          <w:vertAlign w:val="baseline"/>
        </w:rPr>
        <w:t>Juliet</w:t>
      </w:r>
      <w:r>
        <w:rPr>
          <w:rFonts w:ascii="Arial" w:hAnsi="Arial"/>
          <w:i/>
          <w:spacing w:val="38"/>
          <w:sz w:val="20"/>
          <w:vertAlign w:val="baseline"/>
        </w:rPr>
        <w:t> </w:t>
      </w:r>
      <w:r>
        <w:rPr>
          <w:rFonts w:ascii="Arial" w:hAnsi="Arial"/>
          <w:i/>
          <w:sz w:val="20"/>
          <w:vertAlign w:val="baseline"/>
        </w:rPr>
        <w:t>Bellis</w:t>
      </w:r>
      <w:r>
        <w:rPr>
          <w:rFonts w:ascii="Arial" w:hAnsi="Arial"/>
          <w:i/>
          <w:spacing w:val="38"/>
          <w:sz w:val="20"/>
          <w:vertAlign w:val="baseline"/>
        </w:rPr>
        <w:t> </w:t>
      </w:r>
      <w:r>
        <w:rPr>
          <w:rFonts w:ascii="Arial" w:hAnsi="Arial"/>
          <w:i/>
          <w:sz w:val="20"/>
          <w:vertAlign w:val="baseline"/>
        </w:rPr>
        <w:t>&amp;</w:t>
      </w:r>
      <w:r>
        <w:rPr>
          <w:rFonts w:ascii="Arial" w:hAnsi="Arial"/>
          <w:i/>
          <w:spacing w:val="38"/>
          <w:sz w:val="20"/>
          <w:vertAlign w:val="baseline"/>
        </w:rPr>
        <w:t> </w:t>
      </w:r>
      <w:r>
        <w:rPr>
          <w:rFonts w:ascii="Arial" w:hAnsi="Arial"/>
          <w:i/>
          <w:spacing w:val="-5"/>
          <w:sz w:val="20"/>
          <w:vertAlign w:val="baseline"/>
        </w:rPr>
        <w:t>Co</w:t>
      </w:r>
    </w:p>
    <w:p>
      <w:pPr>
        <w:spacing w:after="0" w:line="235" w:lineRule="auto"/>
        <w:jc w:val="both"/>
        <w:rPr>
          <w:rFonts w:ascii="Arial" w:hAns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hAnsi="Arial"/>
          <w:i/>
        </w:rPr>
        <w:t>[2013] EWHC 620 (Ch) </w:t>
      </w:r>
      <w:r>
        <w:rPr/>
        <w:t>at [48]; </w:t>
      </w:r>
      <w:r>
        <w:rPr>
          <w:rFonts w:ascii="Arial" w:hAnsi="Arial"/>
          <w:i/>
        </w:rPr>
        <w:t>Hackney Empire Ltd v Aviva Insurance UK Ltd [2013] </w:t>
      </w:r>
      <w:r>
        <w:rPr>
          <w:rFonts w:ascii="Arial" w:hAnsi="Arial"/>
          <w:i/>
        </w:rPr>
        <w:t>EWHC 2212 (TCC), 149 Con. L.R. 213 </w:t>
      </w:r>
      <w:r>
        <w:rPr/>
        <w:t>at [19]. Another illustration of a later date is the payment of demurrage: </w:t>
      </w:r>
      <w:r>
        <w:rPr>
          <w:rFonts w:ascii="Arial" w:hAnsi="Arial"/>
          <w:i/>
        </w:rPr>
        <w:t>President of India v Lips Maritime Corp [1988] A.C. 395, 424–425</w:t>
      </w:r>
      <w:r>
        <w:rPr/>
        <w:t>. In </w:t>
      </w:r>
      <w:r>
        <w:rPr>
          <w:rFonts w:ascii="Arial" w:hAnsi="Arial"/>
          <w:i/>
        </w:rPr>
        <w:t>Claymore Services Ltd v Nautilus Properties Ltd [2007] EWHC 805 (TCC) </w:t>
      </w:r>
      <w:r>
        <w:rPr/>
        <w:t>Jackson J. reviewed the authorities</w:t>
      </w:r>
      <w:r>
        <w:rPr>
          <w:spacing w:val="-1"/>
        </w:rPr>
        <w:t> </w:t>
      </w:r>
      <w:r>
        <w:rPr/>
        <w:t>and</w:t>
      </w:r>
      <w:r>
        <w:rPr>
          <w:spacing w:val="-1"/>
        </w:rPr>
        <w:t> </w:t>
      </w:r>
      <w:r>
        <w:rPr/>
        <w:t>concluded</w:t>
      </w:r>
      <w:r>
        <w:rPr>
          <w:spacing w:val="-1"/>
        </w:rPr>
        <w:t> </w:t>
      </w:r>
      <w:r>
        <w:rPr/>
        <w:t>that</w:t>
      </w:r>
      <w:r>
        <w:rPr>
          <w:spacing w:val="-1"/>
        </w:rPr>
        <w:t> </w:t>
      </w:r>
      <w:r>
        <w:rPr/>
        <w:t>“(1)</w:t>
      </w:r>
      <w:r>
        <w:rPr>
          <w:spacing w:val="-1"/>
        </w:rPr>
        <w:t> </w:t>
      </w:r>
      <w:r>
        <w:rPr/>
        <w:t>Where</w:t>
      </w:r>
      <w:r>
        <w:rPr>
          <w:spacing w:val="-1"/>
        </w:rPr>
        <w:t> </w:t>
      </w:r>
      <w:r>
        <w:rPr/>
        <w:t>a</w:t>
      </w:r>
      <w:r>
        <w:rPr>
          <w:spacing w:val="-1"/>
        </w:rPr>
        <w:t> </w:t>
      </w:r>
      <w:r>
        <w:rPr/>
        <w:t>claimant</w:t>
      </w:r>
      <w:r>
        <w:rPr>
          <w:spacing w:val="-1"/>
        </w:rPr>
        <w:t> </w:t>
      </w:r>
      <w:r>
        <w:rPr/>
        <w:t>has</w:t>
      </w:r>
      <w:r>
        <w:rPr>
          <w:spacing w:val="-1"/>
        </w:rPr>
        <w:t> </w:t>
      </w:r>
      <w:r>
        <w:rPr/>
        <w:t>delayed</w:t>
      </w:r>
      <w:r>
        <w:rPr>
          <w:spacing w:val="-1"/>
        </w:rPr>
        <w:t> </w:t>
      </w:r>
      <w:r>
        <w:rPr/>
        <w:t>unreasonably</w:t>
      </w:r>
      <w:r>
        <w:rPr>
          <w:spacing w:val="-1"/>
        </w:rPr>
        <w:t> </w:t>
      </w:r>
      <w:r>
        <w:rPr/>
        <w:t>in</w:t>
      </w:r>
      <w:r>
        <w:rPr>
          <w:spacing w:val="-1"/>
        </w:rPr>
        <w:t> </w:t>
      </w:r>
      <w:r>
        <w:rPr/>
        <w:t>commencing or prosecuting proceedings, the court may exercise its discretion either to disallow interest for a period or to reduce the rate of interest; (2) In exercising that discretion the court must take a realistic view of delay. In the case of business disputes, litigation is for all parties an unwelcome distraction from their proper business. It is not reasonable to expect any party to take every litigious step at the first possible moment, or to concentrate on litigation to the exclusion of all else. Delay should only be characterised as unreasonable for present purposes when, after making due allowance for the circumstances, it can be seen that the claimant has neglected or declined to pursue his claim for a significant period; (3) When determining what disallowance or reduction of interest should be made to mark a period of unreasonable delay, the court should bear in mind that the defendant has had the use of the money during that period of delay” (at </w:t>
      </w:r>
      <w:r>
        <w:rPr>
          <w:spacing w:val="-2"/>
        </w:rPr>
        <w:t>[55]).</w:t>
      </w:r>
    </w:p>
    <w:p>
      <w:pPr>
        <w:pStyle w:val="BodyText"/>
      </w:pPr>
    </w:p>
    <w:p>
      <w:pPr>
        <w:spacing w:line="227" w:lineRule="exact" w:before="0"/>
        <w:ind w:left="0" w:right="167" w:firstLine="0"/>
        <w:jc w:val="right"/>
        <w:rPr>
          <w:rFonts w:ascii="Arial"/>
          <w:i/>
          <w:sz w:val="20"/>
        </w:rPr>
      </w:pPr>
      <w:bookmarkStart w:name="_bookmark2920" w:id="2922"/>
      <w:bookmarkEnd w:id="2922"/>
      <w:r>
        <w:rPr/>
      </w:r>
      <w:hyperlink w:history="true" w:anchor="_bookmark2857">
        <w:r>
          <w:rPr>
            <w:color w:val="005DA1"/>
            <w:position w:val="5"/>
            <w:sz w:val="14"/>
            <w:u w:val="single" w:color="005DA1"/>
          </w:rPr>
          <w:t>1522</w:t>
        </w:r>
      </w:hyperlink>
      <w:r>
        <w:rPr>
          <w:position w:val="5"/>
          <w:sz w:val="14"/>
        </w:rPr>
        <w:t>.</w:t>
      </w:r>
      <w:r>
        <w:rPr>
          <w:spacing w:val="55"/>
          <w:position w:val="5"/>
          <w:sz w:val="14"/>
        </w:rPr>
        <w:t>  </w:t>
      </w:r>
      <w:r>
        <w:rPr>
          <w:sz w:val="20"/>
        </w:rPr>
        <w:t>See</w:t>
      </w:r>
      <w:r>
        <w:rPr>
          <w:spacing w:val="25"/>
          <w:sz w:val="20"/>
        </w:rPr>
        <w:t> </w:t>
      </w:r>
      <w:r>
        <w:rPr>
          <w:rFonts w:ascii="Arial"/>
          <w:i/>
          <w:sz w:val="20"/>
        </w:rPr>
        <w:t>Aerospace</w:t>
      </w:r>
      <w:r>
        <w:rPr>
          <w:rFonts w:ascii="Arial"/>
          <w:i/>
          <w:spacing w:val="24"/>
          <w:sz w:val="20"/>
        </w:rPr>
        <w:t> </w:t>
      </w:r>
      <w:r>
        <w:rPr>
          <w:rFonts w:ascii="Arial"/>
          <w:i/>
          <w:sz w:val="20"/>
        </w:rPr>
        <w:t>Publishing</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Thames</w:t>
      </w:r>
      <w:r>
        <w:rPr>
          <w:rFonts w:ascii="Arial"/>
          <w:i/>
          <w:spacing w:val="24"/>
          <w:sz w:val="20"/>
        </w:rPr>
        <w:t> </w:t>
      </w:r>
      <w:r>
        <w:rPr>
          <w:rFonts w:ascii="Arial"/>
          <w:i/>
          <w:sz w:val="20"/>
        </w:rPr>
        <w:t>Water</w:t>
      </w:r>
      <w:r>
        <w:rPr>
          <w:rFonts w:ascii="Arial"/>
          <w:i/>
          <w:spacing w:val="24"/>
          <w:sz w:val="20"/>
        </w:rPr>
        <w:t> </w:t>
      </w:r>
      <w:r>
        <w:rPr>
          <w:rFonts w:ascii="Arial"/>
          <w:i/>
          <w:sz w:val="20"/>
        </w:rPr>
        <w:t>Utilities</w:t>
      </w:r>
      <w:r>
        <w:rPr>
          <w:rFonts w:ascii="Arial"/>
          <w:i/>
          <w:spacing w:val="24"/>
          <w:sz w:val="20"/>
        </w:rPr>
        <w:t> </w:t>
      </w:r>
      <w:r>
        <w:rPr>
          <w:rFonts w:ascii="Arial"/>
          <w:i/>
          <w:sz w:val="20"/>
        </w:rPr>
        <w:t>Ltd</w:t>
      </w:r>
      <w:r>
        <w:rPr>
          <w:rFonts w:ascii="Arial"/>
          <w:i/>
          <w:spacing w:val="24"/>
          <w:sz w:val="20"/>
        </w:rPr>
        <w:t> </w:t>
      </w:r>
      <w:r>
        <w:rPr>
          <w:rFonts w:ascii="Arial"/>
          <w:i/>
          <w:sz w:val="20"/>
        </w:rPr>
        <w:t>[2007]</w:t>
      </w:r>
      <w:r>
        <w:rPr>
          <w:rFonts w:ascii="Arial"/>
          <w:i/>
          <w:spacing w:val="24"/>
          <w:sz w:val="20"/>
        </w:rPr>
        <w:t> </w:t>
      </w:r>
      <w:r>
        <w:rPr>
          <w:rFonts w:ascii="Arial"/>
          <w:i/>
          <w:sz w:val="20"/>
        </w:rPr>
        <w:t>EWCA</w:t>
      </w:r>
      <w:r>
        <w:rPr>
          <w:rFonts w:ascii="Arial"/>
          <w:i/>
          <w:spacing w:val="24"/>
          <w:sz w:val="20"/>
        </w:rPr>
        <w:t> </w:t>
      </w:r>
      <w:r>
        <w:rPr>
          <w:rFonts w:ascii="Arial"/>
          <w:i/>
          <w:sz w:val="20"/>
        </w:rPr>
        <w:t>Civ</w:t>
      </w:r>
      <w:r>
        <w:rPr>
          <w:rFonts w:ascii="Arial"/>
          <w:i/>
          <w:spacing w:val="24"/>
          <w:sz w:val="20"/>
        </w:rPr>
        <w:t> </w:t>
      </w:r>
      <w:r>
        <w:rPr>
          <w:rFonts w:ascii="Arial"/>
          <w:i/>
          <w:sz w:val="20"/>
        </w:rPr>
        <w:t>3,</w:t>
      </w:r>
      <w:r>
        <w:rPr>
          <w:rFonts w:ascii="Arial"/>
          <w:i/>
          <w:spacing w:val="24"/>
          <w:sz w:val="20"/>
        </w:rPr>
        <w:t> </w:t>
      </w:r>
      <w:r>
        <w:rPr>
          <w:rFonts w:ascii="Arial"/>
          <w:i/>
          <w:sz w:val="20"/>
        </w:rPr>
        <w:t>[2007]</w:t>
      </w:r>
      <w:r>
        <w:rPr>
          <w:rFonts w:ascii="Arial"/>
          <w:i/>
          <w:spacing w:val="24"/>
          <w:sz w:val="20"/>
        </w:rPr>
        <w:t> </w:t>
      </w:r>
      <w:r>
        <w:rPr>
          <w:rFonts w:ascii="Arial"/>
          <w:i/>
          <w:spacing w:val="-4"/>
          <w:sz w:val="20"/>
        </w:rPr>
        <w:t>Bus.</w:t>
      </w:r>
    </w:p>
    <w:p>
      <w:pPr>
        <w:spacing w:line="225" w:lineRule="exact" w:before="0"/>
        <w:ind w:left="0" w:right="168" w:firstLine="0"/>
        <w:jc w:val="right"/>
        <w:rPr>
          <w:sz w:val="20"/>
        </w:rPr>
      </w:pPr>
      <w:r>
        <w:rPr>
          <w:rFonts w:ascii="Arial"/>
          <w:i/>
          <w:sz w:val="20"/>
        </w:rPr>
        <w:t>L.R.</w:t>
      </w:r>
      <w:r>
        <w:rPr>
          <w:rFonts w:ascii="Arial"/>
          <w:i/>
          <w:spacing w:val="26"/>
          <w:sz w:val="20"/>
        </w:rPr>
        <w:t> </w:t>
      </w:r>
      <w:r>
        <w:rPr>
          <w:rFonts w:ascii="Arial"/>
          <w:i/>
          <w:sz w:val="20"/>
        </w:rPr>
        <w:t>726</w:t>
      </w:r>
      <w:r>
        <w:rPr>
          <w:rFonts w:ascii="Arial"/>
          <w:i/>
          <w:spacing w:val="26"/>
          <w:sz w:val="20"/>
        </w:rPr>
        <w:t> </w:t>
      </w:r>
      <w:r>
        <w:rPr>
          <w:sz w:val="20"/>
        </w:rPr>
        <w:t>at</w:t>
      </w:r>
      <w:r>
        <w:rPr>
          <w:spacing w:val="26"/>
          <w:sz w:val="20"/>
        </w:rPr>
        <w:t> </w:t>
      </w:r>
      <w:r>
        <w:rPr>
          <w:sz w:val="20"/>
        </w:rPr>
        <w:t>[94];</w:t>
      </w:r>
      <w:r>
        <w:rPr>
          <w:spacing w:val="26"/>
          <w:sz w:val="20"/>
        </w:rPr>
        <w:t> </w:t>
      </w:r>
      <w:r>
        <w:rPr>
          <w:rFonts w:ascii="Arial"/>
          <w:i/>
          <w:sz w:val="20"/>
        </w:rPr>
        <w:t>Woodlands</w:t>
      </w:r>
      <w:r>
        <w:rPr>
          <w:rFonts w:ascii="Arial"/>
          <w:i/>
          <w:spacing w:val="26"/>
          <w:sz w:val="20"/>
        </w:rPr>
        <w:t> </w:t>
      </w:r>
      <w:r>
        <w:rPr>
          <w:rFonts w:ascii="Arial"/>
          <w:i/>
          <w:sz w:val="20"/>
        </w:rPr>
        <w:t>Oak</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Conwell</w:t>
      </w:r>
      <w:r>
        <w:rPr>
          <w:rFonts w:ascii="Arial"/>
          <w:i/>
          <w:spacing w:val="26"/>
          <w:sz w:val="20"/>
        </w:rPr>
        <w:t> </w:t>
      </w:r>
      <w:r>
        <w:rPr>
          <w:rFonts w:ascii="Arial"/>
          <w:i/>
          <w:sz w:val="20"/>
        </w:rPr>
        <w:t>[2011]</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254,</w:t>
      </w:r>
      <w:r>
        <w:rPr>
          <w:rFonts w:ascii="Arial"/>
          <w:i/>
          <w:spacing w:val="26"/>
          <w:sz w:val="20"/>
        </w:rPr>
        <w:t> </w:t>
      </w:r>
      <w:r>
        <w:rPr>
          <w:rFonts w:ascii="Arial"/>
          <w:i/>
          <w:sz w:val="20"/>
        </w:rPr>
        <w:t>[2011]</w:t>
      </w:r>
      <w:r>
        <w:rPr>
          <w:rFonts w:ascii="Arial"/>
          <w:i/>
          <w:spacing w:val="26"/>
          <w:sz w:val="20"/>
        </w:rPr>
        <w:t> </w:t>
      </w:r>
      <w:r>
        <w:rPr>
          <w:rFonts w:ascii="Arial"/>
          <w:i/>
          <w:sz w:val="20"/>
        </w:rPr>
        <w:t>B.L.R.</w:t>
      </w:r>
      <w:r>
        <w:rPr>
          <w:rFonts w:ascii="Arial"/>
          <w:i/>
          <w:spacing w:val="26"/>
          <w:sz w:val="20"/>
        </w:rPr>
        <w:t> </w:t>
      </w:r>
      <w:r>
        <w:rPr>
          <w:rFonts w:ascii="Arial"/>
          <w:i/>
          <w:sz w:val="20"/>
        </w:rPr>
        <w:t>365</w:t>
      </w:r>
      <w:r>
        <w:rPr>
          <w:rFonts w:ascii="Arial"/>
          <w:i/>
          <w:spacing w:val="25"/>
          <w:sz w:val="20"/>
        </w:rPr>
        <w:t> </w:t>
      </w:r>
      <w:r>
        <w:rPr>
          <w:spacing w:val="-5"/>
          <w:sz w:val="20"/>
        </w:rPr>
        <w:t>at</w:t>
      </w:r>
    </w:p>
    <w:p>
      <w:pPr>
        <w:pStyle w:val="BodyText"/>
        <w:spacing w:line="225" w:lineRule="exact"/>
        <w:ind w:left="705"/>
      </w:pPr>
      <w:r>
        <w:rPr/>
        <w:t>[35]–[36].</w:t>
      </w:r>
      <w:r>
        <w:rPr>
          <w:spacing w:val="20"/>
        </w:rPr>
        <w:t> </w:t>
      </w:r>
      <w:r>
        <w:rPr/>
        <w:t>Where</w:t>
      </w:r>
      <w:r>
        <w:rPr>
          <w:spacing w:val="20"/>
        </w:rPr>
        <w:t> </w:t>
      </w:r>
      <w:r>
        <w:rPr/>
        <w:t>there</w:t>
      </w:r>
      <w:r>
        <w:rPr>
          <w:spacing w:val="20"/>
        </w:rPr>
        <w:t> </w:t>
      </w:r>
      <w:r>
        <w:rPr/>
        <w:t>are</w:t>
      </w:r>
      <w:r>
        <w:rPr>
          <w:spacing w:val="20"/>
        </w:rPr>
        <w:t> </w:t>
      </w:r>
      <w:r>
        <w:rPr/>
        <w:t>counter-claims,</w:t>
      </w:r>
      <w:r>
        <w:rPr>
          <w:spacing w:val="20"/>
        </w:rPr>
        <w:t> </w:t>
      </w:r>
      <w:r>
        <w:rPr/>
        <w:t>the</w:t>
      </w:r>
      <w:r>
        <w:rPr>
          <w:spacing w:val="20"/>
        </w:rPr>
        <w:t> </w:t>
      </w:r>
      <w:r>
        <w:rPr/>
        <w:t>interest</w:t>
      </w:r>
      <w:r>
        <w:rPr>
          <w:spacing w:val="20"/>
        </w:rPr>
        <w:t> </w:t>
      </w:r>
      <w:r>
        <w:rPr/>
        <w:t>should</w:t>
      </w:r>
      <w:r>
        <w:rPr>
          <w:spacing w:val="20"/>
        </w:rPr>
        <w:t> </w:t>
      </w:r>
      <w:r>
        <w:rPr/>
        <w:t>be</w:t>
      </w:r>
      <w:r>
        <w:rPr>
          <w:spacing w:val="20"/>
        </w:rPr>
        <w:t> </w:t>
      </w:r>
      <w:r>
        <w:rPr/>
        <w:t>on</w:t>
      </w:r>
      <w:r>
        <w:rPr>
          <w:spacing w:val="20"/>
        </w:rPr>
        <w:t> </w:t>
      </w:r>
      <w:r>
        <w:rPr/>
        <w:t>the</w:t>
      </w:r>
      <w:r>
        <w:rPr>
          <w:spacing w:val="20"/>
        </w:rPr>
        <w:t> </w:t>
      </w:r>
      <w:r>
        <w:rPr/>
        <w:t>balance</w:t>
      </w:r>
      <w:r>
        <w:rPr>
          <w:spacing w:val="20"/>
        </w:rPr>
        <w:t> </w:t>
      </w:r>
      <w:r>
        <w:rPr/>
        <w:t>after</w:t>
      </w:r>
      <w:r>
        <w:rPr>
          <w:spacing w:val="20"/>
        </w:rPr>
        <w:t> </w:t>
      </w:r>
      <w:r>
        <w:rPr/>
        <w:t>set-</w:t>
      </w:r>
      <w:r>
        <w:rPr>
          <w:spacing w:val="-4"/>
        </w:rPr>
        <w:t>off:</w:t>
      </w:r>
    </w:p>
    <w:p>
      <w:pPr>
        <w:spacing w:line="227" w:lineRule="exact" w:before="0"/>
        <w:ind w:left="705" w:right="0" w:firstLine="0"/>
        <w:jc w:val="left"/>
        <w:rPr>
          <w:sz w:val="20"/>
        </w:rPr>
      </w:pPr>
      <w:r>
        <w:rPr>
          <w:rFonts w:ascii="Arial"/>
          <w:i/>
          <w:sz w:val="20"/>
        </w:rPr>
        <w:t>[2011] EWCA Civ 254</w:t>
      </w:r>
      <w:r>
        <w:rPr>
          <w:rFonts w:ascii="Arial"/>
          <w:i/>
          <w:spacing w:val="-1"/>
          <w:sz w:val="20"/>
        </w:rPr>
        <w:t> </w:t>
      </w:r>
      <w:r>
        <w:rPr>
          <w:sz w:val="20"/>
        </w:rPr>
        <w:t>at </w:t>
      </w:r>
      <w:r>
        <w:rPr>
          <w:spacing w:val="-2"/>
          <w:sz w:val="20"/>
        </w:rPr>
        <w:t>[37].</w:t>
      </w:r>
    </w:p>
    <w:p>
      <w:pPr>
        <w:pStyle w:val="BodyText"/>
        <w:spacing w:before="9"/>
      </w:pPr>
    </w:p>
    <w:p>
      <w:pPr>
        <w:spacing w:line="235" w:lineRule="auto" w:before="0"/>
        <w:ind w:left="705" w:right="167" w:hanging="541"/>
        <w:jc w:val="both"/>
        <w:rPr>
          <w:sz w:val="20"/>
        </w:rPr>
      </w:pPr>
      <w:bookmarkStart w:name="_bookmark2921" w:id="2923"/>
      <w:bookmarkEnd w:id="2923"/>
      <w:r>
        <w:rPr/>
      </w:r>
      <w:hyperlink w:history="true" w:anchor="_bookmark2858">
        <w:r>
          <w:rPr>
            <w:color w:val="005DA1"/>
            <w:position w:val="5"/>
            <w:sz w:val="14"/>
            <w:u w:val="single" w:color="005DA1"/>
          </w:rPr>
          <w:t>1523</w:t>
        </w:r>
      </w:hyperlink>
      <w:r>
        <w:rPr>
          <w:position w:val="5"/>
          <w:sz w:val="14"/>
        </w:rPr>
        <w:t>.</w:t>
      </w:r>
      <w:r>
        <w:rPr>
          <w:spacing w:val="80"/>
          <w:position w:val="5"/>
          <w:sz w:val="14"/>
        </w:rPr>
        <w:t> </w:t>
      </w:r>
      <w:r>
        <w:rPr>
          <w:sz w:val="20"/>
        </w:rPr>
        <w:t>The period should start only at the first date the insurer could reasonably be expected to </w:t>
      </w:r>
      <w:r>
        <w:rPr>
          <w:sz w:val="20"/>
        </w:rPr>
        <w:t>pay: </w:t>
      </w:r>
      <w:r>
        <w:rPr>
          <w:rFonts w:ascii="Arial"/>
          <w:i/>
          <w:sz w:val="20"/>
        </w:rPr>
        <w:t>Hackney Empire Ltd v Aviva Insurance UK Ltd [2013] EWHC 2212 (TCC), 149 Con. L.R. 213</w:t>
      </w:r>
      <w:r>
        <w:rPr>
          <w:rFonts w:ascii="Arial"/>
          <w:i/>
          <w:spacing w:val="-1"/>
          <w:sz w:val="20"/>
        </w:rPr>
        <w:t> </w:t>
      </w:r>
      <w:r>
        <w:rPr>
          <w:sz w:val="20"/>
        </w:rPr>
        <w:t>at </w:t>
      </w:r>
      <w:r>
        <w:rPr>
          <w:spacing w:val="-2"/>
          <w:sz w:val="20"/>
        </w:rPr>
        <w:t>[14].</w:t>
      </w:r>
    </w:p>
    <w:p>
      <w:pPr>
        <w:pStyle w:val="BodyText"/>
        <w:spacing w:before="5"/>
      </w:pPr>
    </w:p>
    <w:p>
      <w:pPr>
        <w:spacing w:before="0"/>
        <w:ind w:left="165" w:right="0" w:firstLine="0"/>
        <w:jc w:val="left"/>
        <w:rPr>
          <w:sz w:val="20"/>
        </w:rPr>
      </w:pPr>
      <w:bookmarkStart w:name="_bookmark2922" w:id="2924"/>
      <w:bookmarkEnd w:id="2924"/>
      <w:r>
        <w:rPr/>
      </w:r>
      <w:hyperlink w:history="true" w:anchor="_bookmark2859">
        <w:r>
          <w:rPr>
            <w:color w:val="005DA1"/>
            <w:position w:val="5"/>
            <w:sz w:val="14"/>
            <w:u w:val="single" w:color="005DA1"/>
          </w:rPr>
          <w:t>1524</w:t>
        </w:r>
      </w:hyperlink>
      <w:r>
        <w:rPr>
          <w:position w:val="5"/>
          <w:sz w:val="14"/>
        </w:rPr>
        <w:t>.</w:t>
      </w:r>
      <w:r>
        <w:rPr>
          <w:spacing w:val="55"/>
          <w:position w:val="5"/>
          <w:sz w:val="14"/>
        </w:rPr>
        <w:t>  </w:t>
      </w:r>
      <w:r>
        <w:rPr>
          <w:rFonts w:ascii="Arial"/>
          <w:i/>
          <w:sz w:val="20"/>
        </w:rPr>
        <w:t>H.</w:t>
      </w:r>
      <w:r>
        <w:rPr>
          <w:rFonts w:ascii="Arial"/>
          <w:i/>
          <w:spacing w:val="1"/>
          <w:sz w:val="20"/>
        </w:rPr>
        <w:t> </w:t>
      </w:r>
      <w:r>
        <w:rPr>
          <w:rFonts w:ascii="Arial"/>
          <w:i/>
          <w:sz w:val="20"/>
        </w:rPr>
        <w:t>Cousins &amp; Co v D. and C. Carriers Ltd [1971] 2 Q.B. </w:t>
      </w:r>
      <w:r>
        <w:rPr>
          <w:rFonts w:ascii="Arial"/>
          <w:i/>
          <w:spacing w:val="-4"/>
          <w:sz w:val="20"/>
        </w:rPr>
        <w:t>230</w:t>
      </w:r>
      <w:r>
        <w:rPr>
          <w:spacing w:val="-4"/>
          <w:sz w:val="20"/>
        </w:rPr>
        <w:t>.</w:t>
      </w:r>
    </w:p>
    <w:p>
      <w:pPr>
        <w:pStyle w:val="BodyText"/>
        <w:spacing w:before="5"/>
      </w:pPr>
    </w:p>
    <w:p>
      <w:pPr>
        <w:pStyle w:val="BodyText"/>
        <w:ind w:left="165"/>
      </w:pPr>
      <w:bookmarkStart w:name="_bookmark2923" w:id="2925"/>
      <w:bookmarkEnd w:id="2925"/>
      <w:r>
        <w:rPr/>
      </w:r>
      <w:hyperlink w:history="true" w:anchor="_bookmark2860">
        <w:r>
          <w:rPr>
            <w:color w:val="005DA1"/>
            <w:position w:val="5"/>
            <w:sz w:val="14"/>
            <w:u w:val="single" w:color="005DA1"/>
          </w:rPr>
          <w:t>1525</w:t>
        </w:r>
      </w:hyperlink>
      <w:r>
        <w:rPr>
          <w:position w:val="5"/>
          <w:sz w:val="14"/>
        </w:rPr>
        <w:t>.</w:t>
      </w:r>
      <w:r>
        <w:rPr>
          <w:spacing w:val="55"/>
          <w:position w:val="5"/>
          <w:sz w:val="14"/>
        </w:rPr>
        <w:t>  </w:t>
      </w:r>
      <w:r>
        <w:rPr/>
        <w:t>s.35A(4)</w:t>
      </w:r>
      <w:r>
        <w:rPr>
          <w:spacing w:val="1"/>
        </w:rPr>
        <w:t> </w:t>
      </w:r>
      <w:r>
        <w:rPr/>
        <w:t>of the 1981 Act and s.69(4) of the 1984 Act </w:t>
      </w:r>
      <w:r>
        <w:rPr>
          <w:spacing w:val="-2"/>
        </w:rPr>
        <w:t>respectively.</w:t>
      </w:r>
    </w:p>
    <w:p>
      <w:pPr>
        <w:pStyle w:val="BodyText"/>
        <w:spacing w:before="9"/>
      </w:pPr>
    </w:p>
    <w:p>
      <w:pPr>
        <w:spacing w:line="235" w:lineRule="auto" w:before="0"/>
        <w:ind w:left="705" w:right="0" w:hanging="541"/>
        <w:jc w:val="left"/>
        <w:rPr>
          <w:sz w:val="20"/>
        </w:rPr>
      </w:pPr>
      <w:bookmarkStart w:name="_bookmark2924" w:id="2926"/>
      <w:bookmarkEnd w:id="2926"/>
      <w:r>
        <w:rPr/>
      </w:r>
      <w:hyperlink w:history="true" w:anchor="_bookmark2861">
        <w:r>
          <w:rPr>
            <w:color w:val="005DA1"/>
            <w:position w:val="5"/>
            <w:sz w:val="14"/>
            <w:u w:val="single" w:color="005DA1"/>
          </w:rPr>
          <w:t>1526</w:t>
        </w:r>
      </w:hyperlink>
      <w:r>
        <w:rPr>
          <w:position w:val="5"/>
          <w:sz w:val="14"/>
        </w:rPr>
        <w:t>.</w:t>
      </w:r>
      <w:r>
        <w:rPr>
          <w:spacing w:val="80"/>
          <w:w w:val="150"/>
          <w:position w:val="5"/>
          <w:sz w:val="14"/>
        </w:rPr>
        <w:t> </w:t>
      </w:r>
      <w:r>
        <w:rPr>
          <w:rFonts w:ascii="Arial"/>
          <w:i/>
          <w:sz w:val="20"/>
        </w:rPr>
        <w:t>Standard Chartered Bank v Ceylon Petroleum Corporation [2011] EWHC 2094 (Comm) </w:t>
      </w:r>
      <w:r>
        <w:rPr>
          <w:sz w:val="20"/>
        </w:rPr>
        <w:t>at [10], citing this paragraph.</w:t>
      </w:r>
    </w:p>
    <w:p>
      <w:pPr>
        <w:pStyle w:val="BodyText"/>
        <w:spacing w:before="5"/>
      </w:pPr>
    </w:p>
    <w:p>
      <w:pPr>
        <w:spacing w:before="1"/>
        <w:ind w:left="165" w:right="0" w:firstLine="0"/>
        <w:jc w:val="left"/>
        <w:rPr>
          <w:sz w:val="20"/>
        </w:rPr>
      </w:pPr>
      <w:bookmarkStart w:name="_bookmark2925" w:id="2927"/>
      <w:bookmarkEnd w:id="2927"/>
      <w:r>
        <w:rPr/>
      </w:r>
      <w:hyperlink w:history="true" w:anchor="_bookmark2862">
        <w:r>
          <w:rPr>
            <w:color w:val="005DA1"/>
            <w:position w:val="5"/>
            <w:sz w:val="14"/>
            <w:u w:val="single" w:color="005DA1"/>
          </w:rPr>
          <w:t>1527</w:t>
        </w:r>
      </w:hyperlink>
      <w:r>
        <w:rPr>
          <w:position w:val="5"/>
          <w:sz w:val="14"/>
        </w:rPr>
        <w:t>.</w:t>
      </w:r>
      <w:r>
        <w:rPr>
          <w:spacing w:val="55"/>
          <w:position w:val="5"/>
          <w:sz w:val="14"/>
        </w:rPr>
        <w:t>  </w:t>
      </w:r>
      <w:r>
        <w:rPr>
          <w:rFonts w:ascii="Arial"/>
          <w:i/>
          <w:sz w:val="20"/>
        </w:rPr>
        <w:t>Starbev</w:t>
      </w:r>
      <w:r>
        <w:rPr>
          <w:rFonts w:ascii="Arial"/>
          <w:i/>
          <w:spacing w:val="1"/>
          <w:sz w:val="20"/>
        </w:rPr>
        <w:t> </w:t>
      </w:r>
      <w:r>
        <w:rPr>
          <w:rFonts w:ascii="Arial"/>
          <w:i/>
          <w:sz w:val="20"/>
        </w:rPr>
        <w:t>GP Ltd v Interbrew Central European Holdings BV [2014] EWHC 2863 (Comm)</w:t>
      </w:r>
      <w:r>
        <w:rPr>
          <w:rFonts w:ascii="Arial"/>
          <w:i/>
          <w:spacing w:val="-1"/>
          <w:sz w:val="20"/>
        </w:rPr>
        <w:t> </w:t>
      </w:r>
      <w:r>
        <w:rPr>
          <w:sz w:val="20"/>
        </w:rPr>
        <w:t>at </w:t>
      </w:r>
      <w:r>
        <w:rPr>
          <w:spacing w:val="-2"/>
          <w:sz w:val="20"/>
        </w:rPr>
        <w:t>[46].</w:t>
      </w:r>
    </w:p>
    <w:p>
      <w:pPr>
        <w:pStyle w:val="BodyText"/>
        <w:spacing w:before="8"/>
      </w:pPr>
    </w:p>
    <w:p>
      <w:pPr>
        <w:spacing w:line="235" w:lineRule="auto" w:before="0"/>
        <w:ind w:left="705" w:right="167" w:hanging="541"/>
        <w:jc w:val="both"/>
        <w:rPr>
          <w:sz w:val="20"/>
        </w:rPr>
      </w:pPr>
      <w:bookmarkStart w:name="_bookmark2926" w:id="2928"/>
      <w:bookmarkEnd w:id="2928"/>
      <w:r>
        <w:rPr/>
      </w:r>
      <w:hyperlink w:history="true" w:anchor="_bookmark2863">
        <w:r>
          <w:rPr>
            <w:color w:val="005DA1"/>
            <w:position w:val="5"/>
            <w:sz w:val="14"/>
            <w:u w:val="single" w:color="005DA1"/>
          </w:rPr>
          <w:t>1528</w:t>
        </w:r>
      </w:hyperlink>
      <w:r>
        <w:rPr>
          <w:position w:val="5"/>
          <w:sz w:val="14"/>
        </w:rPr>
        <w:t>.</w:t>
      </w:r>
      <w:r>
        <w:rPr>
          <w:spacing w:val="80"/>
          <w:w w:val="150"/>
          <w:position w:val="5"/>
          <w:sz w:val="14"/>
        </w:rPr>
        <w:t> </w:t>
      </w:r>
      <w:r>
        <w:rPr>
          <w:sz w:val="20"/>
        </w:rPr>
        <w:t>1981 Act, s.35A(6); s.69(5) of the 1984 Act. Delay by the claimant in progressing his claim </w:t>
      </w:r>
      <w:r>
        <w:rPr>
          <w:sz w:val="20"/>
        </w:rPr>
        <w:t>may be reflected in a reduced rate of interest for the overall period (instead of depriving him of all interest for the period of the delay): </w:t>
      </w:r>
      <w:r>
        <w:rPr>
          <w:rFonts w:ascii="Arial" w:hAnsi="Arial"/>
          <w:i/>
          <w:sz w:val="20"/>
        </w:rPr>
        <w:t>Derby Resources A.G. v Blue Corinth Marine Co Ltd (No.2) [1998] 2 Lloyd’s Rep. 425</w:t>
      </w:r>
      <w:r>
        <w:rPr>
          <w:sz w:val="20"/>
        </w:rPr>
        <w:t>.</w:t>
      </w:r>
    </w:p>
    <w:p>
      <w:pPr>
        <w:pStyle w:val="BodyText"/>
        <w:spacing w:before="9"/>
      </w:pPr>
    </w:p>
    <w:p>
      <w:pPr>
        <w:spacing w:line="235" w:lineRule="auto" w:before="0"/>
        <w:ind w:left="705" w:right="167" w:hanging="541"/>
        <w:jc w:val="both"/>
        <w:rPr>
          <w:sz w:val="20"/>
        </w:rPr>
      </w:pPr>
      <w:bookmarkStart w:name="_bookmark2927" w:id="2929"/>
      <w:bookmarkEnd w:id="2929"/>
      <w:r>
        <w:rPr/>
      </w:r>
      <w:hyperlink w:history="true" w:anchor="_bookmark2864">
        <w:r>
          <w:rPr>
            <w:color w:val="005DA1"/>
            <w:position w:val="5"/>
            <w:sz w:val="14"/>
            <w:u w:val="single" w:color="005DA1"/>
          </w:rPr>
          <w:t>1529</w:t>
        </w:r>
      </w:hyperlink>
      <w:r>
        <w:rPr>
          <w:position w:val="5"/>
          <w:sz w:val="14"/>
        </w:rPr>
        <w:t>.</w:t>
      </w:r>
      <w:r>
        <w:rPr>
          <w:spacing w:val="80"/>
          <w:w w:val="150"/>
          <w:position w:val="5"/>
          <w:sz w:val="14"/>
        </w:rPr>
        <w:t> </w:t>
      </w:r>
      <w:r>
        <w:rPr>
          <w:sz w:val="20"/>
        </w:rPr>
        <w:t>Compare a case where the claimant was a charity: </w:t>
      </w:r>
      <w:r>
        <w:rPr>
          <w:rFonts w:ascii="Arial" w:hAnsi="Arial"/>
          <w:i/>
          <w:sz w:val="20"/>
        </w:rPr>
        <w:t>Hackney Empire Ltd v Aviva Insurance UK Ltd [2013] EWHC 2212 (TCC), 149 Con. L.R. 213</w:t>
      </w:r>
      <w:r>
        <w:rPr>
          <w:sz w:val="20"/>
        </w:rPr>
        <w:t>. In cases where one party is a </w:t>
      </w:r>
      <w:r>
        <w:rPr>
          <w:sz w:val="20"/>
        </w:rPr>
        <w:t>private</w:t>
      </w:r>
      <w:r>
        <w:rPr>
          <w:spacing w:val="40"/>
          <w:sz w:val="20"/>
        </w:rPr>
        <w:t> </w:t>
      </w:r>
      <w:r>
        <w:rPr>
          <w:sz w:val="20"/>
        </w:rPr>
        <w:t>person, the Court of Appeal is reluctant to interfere with the judge’s discretion in fixing the rate</w:t>
      </w:r>
      <w:r>
        <w:rPr>
          <w:spacing w:val="40"/>
          <w:sz w:val="20"/>
        </w:rPr>
        <w:t> </w:t>
      </w:r>
      <w:r>
        <w:rPr>
          <w:sz w:val="20"/>
        </w:rPr>
        <w:t>of interest: </w:t>
      </w:r>
      <w:r>
        <w:rPr>
          <w:rFonts w:ascii="Arial" w:hAnsi="Arial"/>
          <w:i/>
          <w:sz w:val="20"/>
        </w:rPr>
        <w:t>Watts v Morrow [1991] 1 W.L.R. 1421, 1443–1444, 1446</w:t>
      </w:r>
      <w:r>
        <w:rPr>
          <w:sz w:val="20"/>
        </w:rPr>
        <w:t>.</w:t>
      </w:r>
    </w:p>
    <w:p>
      <w:pPr>
        <w:pStyle w:val="BodyText"/>
        <w:spacing w:before="4"/>
      </w:pPr>
    </w:p>
    <w:p>
      <w:pPr>
        <w:spacing w:before="1"/>
        <w:ind w:left="165" w:right="0" w:firstLine="0"/>
        <w:jc w:val="left"/>
        <w:rPr>
          <w:sz w:val="20"/>
        </w:rPr>
      </w:pPr>
      <w:bookmarkStart w:name="_bookmark2928" w:id="2930"/>
      <w:bookmarkEnd w:id="2930"/>
      <w:r>
        <w:rPr/>
      </w:r>
      <w:hyperlink w:history="true" w:anchor="_bookmark2864">
        <w:r>
          <w:rPr>
            <w:color w:val="005DA1"/>
            <w:position w:val="5"/>
            <w:sz w:val="14"/>
            <w:u w:val="single" w:color="005DA1"/>
          </w:rPr>
          <w:t>1530</w:t>
        </w:r>
      </w:hyperlink>
      <w:r>
        <w:rPr>
          <w:position w:val="5"/>
          <w:sz w:val="14"/>
        </w:rPr>
        <w:t>.</w:t>
      </w:r>
      <w:r>
        <w:rPr>
          <w:spacing w:val="55"/>
          <w:position w:val="5"/>
          <w:sz w:val="14"/>
        </w:rPr>
        <w:t>  </w:t>
      </w:r>
      <w:r>
        <w:rPr>
          <w:sz w:val="20"/>
        </w:rPr>
        <w:t>cf.</w:t>
      </w:r>
      <w:r>
        <w:rPr>
          <w:spacing w:val="1"/>
          <w:sz w:val="20"/>
        </w:rPr>
        <w:t> </w:t>
      </w:r>
      <w:r>
        <w:rPr>
          <w:rFonts w:ascii="Arial"/>
          <w:i/>
          <w:sz w:val="20"/>
        </w:rPr>
        <w:t>The Mecca [1968] P. 665, </w:t>
      </w:r>
      <w:r>
        <w:rPr>
          <w:rFonts w:ascii="Arial"/>
          <w:i/>
          <w:spacing w:val="-4"/>
          <w:sz w:val="20"/>
        </w:rPr>
        <w:t>672</w:t>
      </w:r>
      <w:r>
        <w:rPr>
          <w:spacing w:val="-4"/>
          <w:sz w:val="20"/>
        </w:rPr>
        <w:t>.</w:t>
      </w:r>
    </w:p>
    <w:p>
      <w:pPr>
        <w:pStyle w:val="BodyText"/>
        <w:spacing w:before="8"/>
      </w:pPr>
    </w:p>
    <w:p>
      <w:pPr>
        <w:spacing w:line="235" w:lineRule="auto" w:before="0"/>
        <w:ind w:left="705" w:right="0" w:hanging="541"/>
        <w:jc w:val="left"/>
        <w:rPr>
          <w:sz w:val="20"/>
        </w:rPr>
      </w:pPr>
      <w:bookmarkStart w:name="_bookmark2929" w:id="2931"/>
      <w:bookmarkEnd w:id="2931"/>
      <w:r>
        <w:rPr/>
      </w:r>
      <w:hyperlink w:history="true" w:anchor="_bookmark2865">
        <w:r>
          <w:rPr>
            <w:color w:val="005DA1"/>
            <w:position w:val="5"/>
            <w:sz w:val="14"/>
            <w:u w:val="single" w:color="005DA1"/>
          </w:rPr>
          <w:t>1531</w:t>
        </w:r>
      </w:hyperlink>
      <w:r>
        <w:rPr>
          <w:position w:val="5"/>
          <w:sz w:val="14"/>
        </w:rPr>
        <w:t>.</w:t>
      </w:r>
      <w:r>
        <w:rPr>
          <w:spacing w:val="40"/>
          <w:position w:val="5"/>
          <w:sz w:val="14"/>
        </w:rPr>
        <w:t>  </w:t>
      </w:r>
      <w:r>
        <w:rPr>
          <w:rFonts w:ascii="Arial" w:hAnsi="Arial"/>
          <w:i/>
          <w:sz w:val="20"/>
        </w:rPr>
        <w:t>Cremer v General Carriers SA [1974] 1 W.L.R. 341, 355–358</w:t>
      </w:r>
      <w:r>
        <w:rPr>
          <w:sz w:val="20"/>
        </w:rPr>
        <w:t>. See </w:t>
      </w:r>
      <w:r>
        <w:rPr>
          <w:rFonts w:ascii="Arial" w:hAnsi="Arial"/>
          <w:i/>
          <w:sz w:val="20"/>
        </w:rPr>
        <w:t>JSC BTA Bank v Ablyazov [2013] EWHC 867 (Comm) </w:t>
      </w:r>
      <w:r>
        <w:rPr>
          <w:sz w:val="20"/>
        </w:rPr>
        <w:t>(a fraud case) at [20] et seq.</w:t>
      </w:r>
    </w:p>
    <w:p>
      <w:pPr>
        <w:pStyle w:val="BodyText"/>
        <w:spacing w:before="10"/>
      </w:pPr>
    </w:p>
    <w:p>
      <w:pPr>
        <w:spacing w:line="235" w:lineRule="auto" w:before="0"/>
        <w:ind w:left="705" w:right="167" w:hanging="541"/>
        <w:jc w:val="both"/>
        <w:rPr>
          <w:rFonts w:ascii="Arial" w:hAnsi="Arial"/>
          <w:i/>
          <w:sz w:val="20"/>
        </w:rPr>
      </w:pPr>
      <w:bookmarkStart w:name="_bookmark2930" w:id="2932"/>
      <w:bookmarkEnd w:id="2932"/>
      <w:r>
        <w:rPr/>
      </w:r>
      <w:hyperlink w:history="true" w:anchor="_bookmark2866">
        <w:r>
          <w:rPr>
            <w:color w:val="005DA1"/>
            <w:position w:val="5"/>
            <w:sz w:val="14"/>
            <w:u w:val="single" w:color="005DA1"/>
          </w:rPr>
          <w:t>1532</w:t>
        </w:r>
      </w:hyperlink>
      <w:r>
        <w:rPr>
          <w:position w:val="5"/>
          <w:sz w:val="14"/>
        </w:rPr>
        <w:t>.</w:t>
      </w:r>
      <w:r>
        <w:rPr>
          <w:spacing w:val="80"/>
          <w:w w:val="150"/>
          <w:position w:val="5"/>
          <w:sz w:val="14"/>
        </w:rPr>
        <w:t> </w:t>
      </w:r>
      <w:r>
        <w:rPr>
          <w:rFonts w:ascii="Arial" w:hAnsi="Arial"/>
          <w:i/>
          <w:sz w:val="20"/>
        </w:rPr>
        <w:t>Polish S.S. Co v Atlantic Maritime Co [1985] Q.B. 41, 67 </w:t>
      </w:r>
      <w:r>
        <w:rPr>
          <w:sz w:val="20"/>
        </w:rPr>
        <w:t>(followed in </w:t>
      </w:r>
      <w:r>
        <w:rPr>
          <w:rFonts w:ascii="Arial" w:hAnsi="Arial"/>
          <w:i/>
          <w:sz w:val="20"/>
        </w:rPr>
        <w:t>Metal Box Co Ltd v Currys Ltd [1988] 1 W.L.R. 175, 182–183 </w:t>
      </w:r>
      <w:r>
        <w:rPr>
          <w:sz w:val="20"/>
        </w:rPr>
        <w:t>(insurers subrogated to a claim in tort for loss of </w:t>
      </w:r>
      <w:r>
        <w:rPr>
          <w:sz w:val="20"/>
        </w:rPr>
        <w:t>chattels)). For</w:t>
      </w:r>
      <w:r>
        <w:rPr>
          <w:spacing w:val="-1"/>
          <w:sz w:val="20"/>
        </w:rPr>
        <w:t> </w:t>
      </w:r>
      <w:r>
        <w:rPr>
          <w:sz w:val="20"/>
        </w:rPr>
        <w:t>a</w:t>
      </w:r>
      <w:r>
        <w:rPr>
          <w:spacing w:val="-1"/>
          <w:sz w:val="20"/>
        </w:rPr>
        <w:t> </w:t>
      </w:r>
      <w:r>
        <w:rPr>
          <w:sz w:val="20"/>
        </w:rPr>
        <w:t>recent</w:t>
      </w:r>
      <w:r>
        <w:rPr>
          <w:spacing w:val="-1"/>
          <w:sz w:val="20"/>
        </w:rPr>
        <w:t> </w:t>
      </w:r>
      <w:r>
        <w:rPr>
          <w:sz w:val="20"/>
        </w:rPr>
        <w:t>example</w:t>
      </w:r>
      <w:r>
        <w:rPr>
          <w:spacing w:val="-1"/>
          <w:sz w:val="20"/>
        </w:rPr>
        <w:t> </w:t>
      </w:r>
      <w:r>
        <w:rPr>
          <w:sz w:val="20"/>
        </w:rPr>
        <w:t>see</w:t>
      </w:r>
      <w:r>
        <w:rPr>
          <w:spacing w:val="-2"/>
          <w:sz w:val="20"/>
        </w:rPr>
        <w:t> </w:t>
      </w:r>
      <w:r>
        <w:rPr>
          <w:rFonts w:ascii="Arial" w:hAnsi="Arial"/>
          <w:i/>
          <w:sz w:val="20"/>
        </w:rPr>
        <w:t>National</w:t>
      </w:r>
      <w:r>
        <w:rPr>
          <w:rFonts w:ascii="Arial" w:hAnsi="Arial"/>
          <w:i/>
          <w:spacing w:val="-1"/>
          <w:sz w:val="20"/>
        </w:rPr>
        <w:t> </w:t>
      </w:r>
      <w:r>
        <w:rPr>
          <w:rFonts w:ascii="Arial" w:hAnsi="Arial"/>
          <w:i/>
          <w:sz w:val="20"/>
        </w:rPr>
        <w:t>Westminster</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Rabobank</w:t>
      </w:r>
      <w:r>
        <w:rPr>
          <w:rFonts w:ascii="Arial" w:hAnsi="Arial"/>
          <w:i/>
          <w:spacing w:val="-1"/>
          <w:sz w:val="20"/>
        </w:rPr>
        <w:t> </w:t>
      </w:r>
      <w:r>
        <w:rPr>
          <w:rFonts w:ascii="Arial" w:hAnsi="Arial"/>
          <w:i/>
          <w:sz w:val="20"/>
        </w:rPr>
        <w:t>Nederland</w:t>
      </w:r>
      <w:r>
        <w:rPr>
          <w:rFonts w:ascii="Arial" w:hAnsi="Arial"/>
          <w:i/>
          <w:spacing w:val="-1"/>
          <w:sz w:val="20"/>
        </w:rPr>
        <w:t> </w:t>
      </w:r>
      <w:r>
        <w:rPr>
          <w:rFonts w:ascii="Arial" w:hAnsi="Arial"/>
          <w:i/>
          <w:sz w:val="20"/>
        </w:rPr>
        <w:t>[2007]</w:t>
      </w:r>
      <w:r>
        <w:rPr>
          <w:rFonts w:ascii="Arial" w:hAnsi="Arial"/>
          <w:i/>
          <w:spacing w:val="-1"/>
          <w:sz w:val="20"/>
        </w:rPr>
        <w:t> </w:t>
      </w:r>
      <w:r>
        <w:rPr>
          <w:rFonts w:ascii="Arial" w:hAnsi="Arial"/>
          <w:i/>
          <w:sz w:val="20"/>
        </w:rPr>
        <w:t>EWHC 1742</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(D)</w:t>
      </w:r>
      <w:r>
        <w:rPr>
          <w:rFonts w:ascii="Arial" w:hAnsi="Arial"/>
          <w:i/>
          <w:spacing w:val="-3"/>
          <w:sz w:val="20"/>
        </w:rPr>
        <w:t> </w:t>
      </w:r>
      <w:r>
        <w:rPr>
          <w:rFonts w:ascii="Arial" w:hAnsi="Arial"/>
          <w:i/>
          <w:sz w:val="20"/>
        </w:rPr>
        <w:t>477</w:t>
      </w:r>
      <w:r>
        <w:rPr>
          <w:rFonts w:ascii="Arial" w:hAnsi="Arial"/>
          <w:i/>
          <w:spacing w:val="-3"/>
          <w:sz w:val="20"/>
        </w:rPr>
        <w:t> </w:t>
      </w:r>
      <w:r>
        <w:rPr>
          <w:rFonts w:ascii="Arial" w:hAnsi="Arial"/>
          <w:i/>
          <w:sz w:val="20"/>
        </w:rPr>
        <w:t>(Oct)</w:t>
      </w:r>
      <w:r>
        <w:rPr>
          <w:sz w:val="20"/>
        </w:rPr>
        <w:t>.</w:t>
      </w:r>
      <w:r>
        <w:rPr>
          <w:spacing w:val="-3"/>
          <w:sz w:val="20"/>
        </w:rPr>
        <w:t> </w:t>
      </w:r>
      <w:r>
        <w:rPr>
          <w:sz w:val="20"/>
        </w:rPr>
        <w:t>(Base</w:t>
      </w:r>
      <w:r>
        <w:rPr>
          <w:spacing w:val="-3"/>
          <w:sz w:val="20"/>
        </w:rPr>
        <w:t> </w:t>
      </w:r>
      <w:r>
        <w:rPr>
          <w:sz w:val="20"/>
        </w:rPr>
        <w:t>rate</w:t>
      </w:r>
      <w:r>
        <w:rPr>
          <w:spacing w:val="-3"/>
          <w:sz w:val="20"/>
        </w:rPr>
        <w:t> </w:t>
      </w:r>
      <w:r>
        <w:rPr>
          <w:sz w:val="20"/>
        </w:rPr>
        <w:t>replaces</w:t>
      </w:r>
      <w:r>
        <w:rPr>
          <w:spacing w:val="-3"/>
          <w:sz w:val="20"/>
        </w:rPr>
        <w:t> </w:t>
      </w:r>
      <w:r>
        <w:rPr>
          <w:sz w:val="20"/>
        </w:rPr>
        <w:t>the</w:t>
      </w:r>
      <w:r>
        <w:rPr>
          <w:spacing w:val="-3"/>
          <w:sz w:val="20"/>
        </w:rPr>
        <w:t> </w:t>
      </w:r>
      <w:r>
        <w:rPr>
          <w:sz w:val="20"/>
        </w:rPr>
        <w:t>minimum</w:t>
      </w:r>
      <w:r>
        <w:rPr>
          <w:spacing w:val="-3"/>
          <w:sz w:val="20"/>
        </w:rPr>
        <w:t> </w:t>
      </w:r>
      <w:r>
        <w:rPr>
          <w:sz w:val="20"/>
        </w:rPr>
        <w:t>lending</w:t>
      </w:r>
      <w:r>
        <w:rPr>
          <w:spacing w:val="-3"/>
          <w:sz w:val="20"/>
        </w:rPr>
        <w:t> </w:t>
      </w:r>
      <w:r>
        <w:rPr>
          <w:sz w:val="20"/>
        </w:rPr>
        <w:t>rates</w:t>
      </w:r>
      <w:r>
        <w:rPr>
          <w:spacing w:val="-3"/>
          <w:sz w:val="20"/>
        </w:rPr>
        <w:t> </w:t>
      </w:r>
      <w:r>
        <w:rPr>
          <w:sz w:val="20"/>
        </w:rPr>
        <w:t>and the London Interbank Offered Rate, previously used: see </w:t>
      </w:r>
      <w:r>
        <w:rPr>
          <w:rFonts w:ascii="Arial" w:hAnsi="Arial"/>
          <w:i/>
          <w:sz w:val="20"/>
        </w:rPr>
        <w:t>Cia Banca de Panama SA v George Wimpey &amp; Co Ltd [1980] 1 Lloyd’s Rep. 598, 615–617</w:t>
      </w:r>
      <w:r>
        <w:rPr>
          <w:sz w:val="20"/>
        </w:rPr>
        <w:t>; </w:t>
      </w:r>
      <w:r>
        <w:rPr>
          <w:rFonts w:ascii="Arial" w:hAnsi="Arial"/>
          <w:i/>
          <w:sz w:val="20"/>
        </w:rPr>
        <w:t>Shearson Lehman Hutton Inc v</w:t>
      </w:r>
      <w:r>
        <w:rPr>
          <w:rFonts w:ascii="Arial" w:hAnsi="Arial"/>
          <w:i/>
          <w:spacing w:val="40"/>
          <w:sz w:val="20"/>
        </w:rPr>
        <w:t> </w:t>
      </w:r>
      <w:r>
        <w:rPr>
          <w:rFonts w:ascii="Arial" w:hAnsi="Arial"/>
          <w:i/>
          <w:sz w:val="20"/>
        </w:rPr>
        <w:t>Maclaine Watson &amp; Co Ltd [1990] 3 All E.R. 723, 732–733.)</w:t>
      </w:r>
    </w:p>
    <w:p>
      <w:pPr>
        <w:pStyle w:val="BodyText"/>
        <w:spacing w:before="7"/>
        <w:rPr>
          <w:rFonts w:ascii="Arial"/>
          <w:i/>
        </w:rPr>
      </w:pPr>
    </w:p>
    <w:p>
      <w:pPr>
        <w:spacing w:line="235" w:lineRule="auto" w:before="0"/>
        <w:ind w:left="705" w:right="168" w:hanging="541"/>
        <w:jc w:val="both"/>
        <w:rPr>
          <w:sz w:val="20"/>
        </w:rPr>
      </w:pPr>
      <w:bookmarkStart w:name="_bookmark2931" w:id="2933"/>
      <w:bookmarkEnd w:id="2933"/>
      <w:r>
        <w:rPr/>
      </w:r>
      <w:hyperlink w:history="true" w:anchor="_bookmark2867">
        <w:r>
          <w:rPr>
            <w:color w:val="005DA1"/>
            <w:position w:val="5"/>
            <w:sz w:val="14"/>
            <w:u w:val="single" w:color="005DA1"/>
          </w:rPr>
          <w:t>1533</w:t>
        </w:r>
      </w:hyperlink>
      <w:r>
        <w:rPr>
          <w:position w:val="5"/>
          <w:sz w:val="14"/>
        </w:rPr>
        <w:t>.</w:t>
      </w:r>
      <w:r>
        <w:rPr>
          <w:spacing w:val="80"/>
          <w:position w:val="5"/>
          <w:sz w:val="14"/>
        </w:rPr>
        <w:t> </w:t>
      </w:r>
      <w:r>
        <w:rPr>
          <w:sz w:val="20"/>
        </w:rPr>
        <w:t>The </w:t>
      </w:r>
      <w:r>
        <w:rPr>
          <w:rFonts w:ascii="Arial"/>
          <w:i/>
          <w:sz w:val="20"/>
        </w:rPr>
        <w:t>Shearson Lehman case [1990] 3 All E.R. 723, 733</w:t>
      </w:r>
      <w:r>
        <w:rPr>
          <w:sz w:val="20"/>
        </w:rPr>
        <w:t>. It is not relevant that the claimant was cash rich and might not have had to borrow to fund the deficit: </w:t>
      </w:r>
      <w:r>
        <w:rPr>
          <w:rFonts w:ascii="Arial"/>
          <w:i/>
          <w:sz w:val="20"/>
        </w:rPr>
        <w:t>SABIC UK Petrochemicals Ltd </w:t>
      </w:r>
      <w:r>
        <w:rPr>
          <w:rFonts w:ascii="Arial"/>
          <w:i/>
          <w:sz w:val="20"/>
        </w:rPr>
        <w:t>v Punj</w:t>
      </w:r>
      <w:r>
        <w:rPr>
          <w:rFonts w:ascii="Arial"/>
          <w:i/>
          <w:spacing w:val="25"/>
          <w:sz w:val="20"/>
        </w:rPr>
        <w:t> </w:t>
      </w:r>
      <w:r>
        <w:rPr>
          <w:rFonts w:ascii="Arial"/>
          <w:i/>
          <w:sz w:val="20"/>
        </w:rPr>
        <w:t>Lloyd</w:t>
      </w:r>
      <w:r>
        <w:rPr>
          <w:rFonts w:ascii="Arial"/>
          <w:i/>
          <w:spacing w:val="25"/>
          <w:sz w:val="20"/>
        </w:rPr>
        <w:t> </w:t>
      </w:r>
      <w:r>
        <w:rPr>
          <w:rFonts w:ascii="Arial"/>
          <w:i/>
          <w:sz w:val="20"/>
        </w:rPr>
        <w:t>Ltd</w:t>
      </w:r>
      <w:r>
        <w:rPr>
          <w:rFonts w:ascii="Arial"/>
          <w:i/>
          <w:spacing w:val="25"/>
          <w:sz w:val="20"/>
        </w:rPr>
        <w:t> </w:t>
      </w:r>
      <w:r>
        <w:rPr>
          <w:rFonts w:ascii="Arial"/>
          <w:i/>
          <w:sz w:val="20"/>
        </w:rPr>
        <w:t>[2013]</w:t>
      </w:r>
      <w:r>
        <w:rPr>
          <w:rFonts w:ascii="Arial"/>
          <w:i/>
          <w:spacing w:val="25"/>
          <w:sz w:val="20"/>
        </w:rPr>
        <w:t> </w:t>
      </w:r>
      <w:r>
        <w:rPr>
          <w:rFonts w:ascii="Arial"/>
          <w:i/>
          <w:sz w:val="20"/>
        </w:rPr>
        <w:t>EWHC</w:t>
      </w:r>
      <w:r>
        <w:rPr>
          <w:rFonts w:ascii="Arial"/>
          <w:i/>
          <w:spacing w:val="25"/>
          <w:sz w:val="20"/>
        </w:rPr>
        <w:t> </w:t>
      </w:r>
      <w:r>
        <w:rPr>
          <w:rFonts w:ascii="Arial"/>
          <w:i/>
          <w:sz w:val="20"/>
        </w:rPr>
        <w:t>3202</w:t>
      </w:r>
      <w:r>
        <w:rPr>
          <w:rFonts w:ascii="Arial"/>
          <w:i/>
          <w:spacing w:val="25"/>
          <w:sz w:val="20"/>
        </w:rPr>
        <w:t> </w:t>
      </w:r>
      <w:r>
        <w:rPr>
          <w:rFonts w:ascii="Arial"/>
          <w:i/>
          <w:sz w:val="20"/>
        </w:rPr>
        <w:t>(TCC)</w:t>
      </w:r>
      <w:r>
        <w:rPr>
          <w:rFonts w:ascii="Arial"/>
          <w:i/>
          <w:spacing w:val="24"/>
          <w:sz w:val="20"/>
        </w:rPr>
        <w:t> </w:t>
      </w:r>
      <w:r>
        <w:rPr>
          <w:sz w:val="20"/>
        </w:rPr>
        <w:t>at</w:t>
      </w:r>
      <w:r>
        <w:rPr>
          <w:spacing w:val="25"/>
          <w:sz w:val="20"/>
        </w:rPr>
        <w:t> </w:t>
      </w:r>
      <w:r>
        <w:rPr>
          <w:sz w:val="20"/>
        </w:rPr>
        <w:t>[10].</w:t>
      </w:r>
      <w:r>
        <w:rPr>
          <w:spacing w:val="25"/>
          <w:sz w:val="20"/>
        </w:rPr>
        <w:t> </w:t>
      </w:r>
      <w:r>
        <w:rPr>
          <w:sz w:val="20"/>
        </w:rPr>
        <w:t>However,</w:t>
      </w:r>
      <w:r>
        <w:rPr>
          <w:spacing w:val="25"/>
          <w:sz w:val="20"/>
        </w:rPr>
        <w:t> </w:t>
      </w:r>
      <w:r>
        <w:rPr>
          <w:sz w:val="20"/>
        </w:rPr>
        <w:t>evidence</w:t>
      </w:r>
      <w:r>
        <w:rPr>
          <w:spacing w:val="25"/>
          <w:sz w:val="20"/>
        </w:rPr>
        <w:t> </w:t>
      </w:r>
      <w:r>
        <w:rPr>
          <w:sz w:val="20"/>
        </w:rPr>
        <w:t>is</w:t>
      </w:r>
      <w:r>
        <w:rPr>
          <w:spacing w:val="25"/>
          <w:sz w:val="20"/>
        </w:rPr>
        <w:t> </w:t>
      </w:r>
      <w:r>
        <w:rPr>
          <w:sz w:val="20"/>
        </w:rPr>
        <w:t>admissible</w:t>
      </w:r>
      <w:r>
        <w:rPr>
          <w:spacing w:val="25"/>
          <w:sz w:val="20"/>
        </w:rPr>
        <w:t> </w:t>
      </w:r>
      <w:r>
        <w:rPr>
          <w:sz w:val="20"/>
        </w:rPr>
        <w:t>as</w:t>
      </w:r>
      <w:r>
        <w:rPr>
          <w:spacing w:val="25"/>
          <w:sz w:val="20"/>
        </w:rPr>
        <w:t> </w:t>
      </w:r>
      <w:r>
        <w:rPr>
          <w:sz w:val="20"/>
        </w:rPr>
        <w:t>to</w:t>
      </w:r>
      <w:r>
        <w:rPr>
          <w:spacing w:val="25"/>
          <w:sz w:val="20"/>
        </w:rPr>
        <w:t> </w:t>
      </w:r>
      <w:r>
        <w:rPr>
          <w:spacing w:val="-5"/>
          <w:sz w:val="20"/>
        </w:rPr>
        <w:t>the</w:t>
      </w:r>
    </w:p>
    <w:p>
      <w:pPr>
        <w:spacing w:after="0" w:line="235" w:lineRule="auto"/>
        <w:jc w:val="both"/>
        <w:rPr>
          <w:sz w:val="20"/>
        </w:rPr>
        <w:sectPr>
          <w:pgSz w:w="11900" w:h="16840"/>
          <w:pgMar w:header="971" w:footer="0" w:top="1300" w:bottom="280" w:left="1275" w:right="1275"/>
        </w:sectPr>
      </w:pPr>
    </w:p>
    <w:p>
      <w:pPr>
        <w:pStyle w:val="BodyText"/>
        <w:spacing w:before="9" w:after="1"/>
        <w:rPr>
          <w:sz w:val="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rPr>
                <w:rFonts w:ascii="Times New Roman"/>
                <w:sz w:val="18"/>
              </w:rPr>
            </w:pPr>
          </w:p>
        </w:tc>
        <w:tc>
          <w:tcPr>
            <w:tcW w:w="8620" w:type="dxa"/>
          </w:tcPr>
          <w:p>
            <w:pPr>
              <w:pStyle w:val="TableParagraph"/>
              <w:spacing w:line="235" w:lineRule="auto" w:before="0"/>
              <w:ind w:left="94"/>
              <w:rPr>
                <w:sz w:val="20"/>
              </w:rPr>
            </w:pPr>
            <w:r>
              <w:rPr>
                <w:sz w:val="20"/>
              </w:rPr>
              <w:t>rate</w:t>
            </w:r>
            <w:r>
              <w:rPr>
                <w:spacing w:val="40"/>
                <w:sz w:val="20"/>
              </w:rPr>
              <w:t> </w:t>
            </w:r>
            <w:r>
              <w:rPr>
                <w:sz w:val="20"/>
              </w:rPr>
              <w:t>at</w:t>
            </w:r>
            <w:r>
              <w:rPr>
                <w:spacing w:val="40"/>
                <w:sz w:val="20"/>
              </w:rPr>
              <w:t> </w:t>
            </w:r>
            <w:r>
              <w:rPr>
                <w:sz w:val="20"/>
              </w:rPr>
              <w:t>which</w:t>
            </w:r>
            <w:r>
              <w:rPr>
                <w:spacing w:val="40"/>
                <w:sz w:val="20"/>
              </w:rPr>
              <w:t> </w:t>
            </w:r>
            <w:r>
              <w:rPr>
                <w:sz w:val="20"/>
              </w:rPr>
              <w:t>persons</w:t>
            </w:r>
            <w:r>
              <w:rPr>
                <w:spacing w:val="40"/>
                <w:sz w:val="20"/>
              </w:rPr>
              <w:t> </w:t>
            </w:r>
            <w:r>
              <w:rPr>
                <w:sz w:val="20"/>
              </w:rPr>
              <w:t>with</w:t>
            </w:r>
            <w:r>
              <w:rPr>
                <w:spacing w:val="40"/>
                <w:sz w:val="20"/>
              </w:rPr>
              <w:t> </w:t>
            </w:r>
            <w:r>
              <w:rPr>
                <w:sz w:val="20"/>
              </w:rPr>
              <w:t>the</w:t>
            </w:r>
            <w:r>
              <w:rPr>
                <w:spacing w:val="40"/>
                <w:sz w:val="20"/>
              </w:rPr>
              <w:t> </w:t>
            </w:r>
            <w:r>
              <w:rPr>
                <w:sz w:val="20"/>
              </w:rPr>
              <w:t>general</w:t>
            </w:r>
            <w:r>
              <w:rPr>
                <w:spacing w:val="40"/>
                <w:sz w:val="20"/>
              </w:rPr>
              <w:t> </w:t>
            </w:r>
            <w:r>
              <w:rPr>
                <w:sz w:val="20"/>
              </w:rPr>
              <w:t>attributes</w:t>
            </w:r>
            <w:r>
              <w:rPr>
                <w:spacing w:val="40"/>
                <w:sz w:val="20"/>
              </w:rPr>
              <w:t> </w:t>
            </w:r>
            <w:r>
              <w:rPr>
                <w:sz w:val="20"/>
              </w:rPr>
              <w:t>of</w:t>
            </w:r>
            <w:r>
              <w:rPr>
                <w:spacing w:val="40"/>
                <w:sz w:val="20"/>
              </w:rPr>
              <w:t> </w:t>
            </w:r>
            <w:r>
              <w:rPr>
                <w:sz w:val="20"/>
              </w:rPr>
              <w:t>the</w:t>
            </w:r>
            <w:r>
              <w:rPr>
                <w:spacing w:val="40"/>
                <w:sz w:val="20"/>
              </w:rPr>
              <w:t> </w:t>
            </w:r>
            <w:r>
              <w:rPr>
                <w:sz w:val="20"/>
              </w:rPr>
              <w:t>claimant</w:t>
            </w:r>
            <w:r>
              <w:rPr>
                <w:spacing w:val="40"/>
                <w:sz w:val="20"/>
              </w:rPr>
              <w:t> </w:t>
            </w:r>
            <w:r>
              <w:rPr>
                <w:sz w:val="20"/>
              </w:rPr>
              <w:t>could</w:t>
            </w:r>
            <w:r>
              <w:rPr>
                <w:spacing w:val="40"/>
                <w:sz w:val="20"/>
              </w:rPr>
              <w:t> </w:t>
            </w:r>
            <w:r>
              <w:rPr>
                <w:sz w:val="20"/>
              </w:rPr>
              <w:t>have</w:t>
            </w:r>
            <w:r>
              <w:rPr>
                <w:spacing w:val="40"/>
                <w:sz w:val="20"/>
              </w:rPr>
              <w:t> </w:t>
            </w:r>
            <w:r>
              <w:rPr>
                <w:sz w:val="20"/>
              </w:rPr>
              <w:t>borrowed</w:t>
            </w:r>
            <w:r>
              <w:rPr>
                <w:spacing w:val="40"/>
                <w:sz w:val="20"/>
              </w:rPr>
              <w:t> </w:t>
            </w:r>
            <w:r>
              <w:rPr>
                <w:sz w:val="20"/>
              </w:rPr>
              <w:t>the money: </w:t>
            </w:r>
            <w:r>
              <w:rPr>
                <w:rFonts w:ascii="Arial" w:hAnsi="Arial"/>
                <w:i/>
                <w:sz w:val="20"/>
              </w:rPr>
              <w:t>Tate &amp; Lyle Food and Distribution Ltd v G.L.C. [1982] 1 W.L.R. 149, 154–155</w:t>
            </w:r>
            <w:r>
              <w:rPr>
                <w:sz w:val="20"/>
              </w:rPr>
              <w:t>.</w:t>
            </w:r>
          </w:p>
        </w:tc>
      </w:tr>
      <w:tr>
        <w:trPr>
          <w:trHeight w:val="465" w:hRule="atLeast"/>
        </w:trPr>
        <w:tc>
          <w:tcPr>
            <w:tcW w:w="496" w:type="dxa"/>
          </w:tcPr>
          <w:p>
            <w:pPr>
              <w:pStyle w:val="TableParagraph"/>
              <w:ind w:right="43"/>
              <w:jc w:val="center"/>
              <w:rPr>
                <w:sz w:val="14"/>
              </w:rPr>
            </w:pPr>
            <w:bookmarkStart w:name="_bookmark2932" w:id="2934"/>
            <w:bookmarkEnd w:id="2934"/>
            <w:r>
              <w:rPr/>
            </w:r>
            <w:hyperlink w:history="true" w:anchor="_bookmark2868">
              <w:r>
                <w:rPr>
                  <w:color w:val="005DA1"/>
                  <w:spacing w:val="-2"/>
                  <w:sz w:val="14"/>
                  <w:u w:val="single" w:color="005DA1"/>
                </w:rPr>
                <w:t>1534</w:t>
              </w:r>
            </w:hyperlink>
            <w:r>
              <w:rPr>
                <w:spacing w:val="-2"/>
                <w:sz w:val="14"/>
              </w:rPr>
              <w:t>.</w:t>
            </w:r>
          </w:p>
        </w:tc>
        <w:tc>
          <w:tcPr>
            <w:tcW w:w="8620" w:type="dxa"/>
          </w:tcPr>
          <w:p>
            <w:pPr>
              <w:pStyle w:val="TableParagraph"/>
              <w:spacing w:before="114"/>
              <w:ind w:left="94"/>
              <w:rPr>
                <w:sz w:val="20"/>
              </w:rPr>
            </w:pPr>
            <w:r>
              <w:rPr>
                <w:rFonts w:ascii="Arial"/>
                <w:i/>
                <w:sz w:val="20"/>
              </w:rPr>
              <w:t>Jaura v Ahmed [2002] EWCA Civ 210, [2002] 4 C.L. </w:t>
            </w:r>
            <w:r>
              <w:rPr>
                <w:rFonts w:ascii="Arial"/>
                <w:i/>
                <w:spacing w:val="-4"/>
                <w:sz w:val="20"/>
              </w:rPr>
              <w:t>130</w:t>
            </w:r>
            <w:r>
              <w:rPr>
                <w:spacing w:val="-4"/>
                <w:sz w:val="20"/>
              </w:rPr>
              <w:t>.</w:t>
            </w:r>
          </w:p>
        </w:tc>
      </w:tr>
      <w:tr>
        <w:trPr>
          <w:trHeight w:val="465" w:hRule="atLeast"/>
        </w:trPr>
        <w:tc>
          <w:tcPr>
            <w:tcW w:w="496" w:type="dxa"/>
          </w:tcPr>
          <w:p>
            <w:pPr>
              <w:pStyle w:val="TableParagraph"/>
              <w:ind w:right="43"/>
              <w:jc w:val="center"/>
              <w:rPr>
                <w:sz w:val="14"/>
              </w:rPr>
            </w:pPr>
            <w:bookmarkStart w:name="_bookmark2933" w:id="2935"/>
            <w:bookmarkEnd w:id="2935"/>
            <w:r>
              <w:rPr/>
            </w:r>
            <w:hyperlink w:history="true" w:anchor="_bookmark2869">
              <w:r>
                <w:rPr>
                  <w:color w:val="005DA1"/>
                  <w:spacing w:val="-2"/>
                  <w:sz w:val="14"/>
                  <w:u w:val="single" w:color="005DA1"/>
                </w:rPr>
                <w:t>1535</w:t>
              </w:r>
            </w:hyperlink>
            <w:r>
              <w:rPr>
                <w:spacing w:val="-2"/>
                <w:sz w:val="14"/>
              </w:rPr>
              <w:t>.</w:t>
            </w:r>
          </w:p>
        </w:tc>
        <w:tc>
          <w:tcPr>
            <w:tcW w:w="8620" w:type="dxa"/>
          </w:tcPr>
          <w:p>
            <w:pPr>
              <w:pStyle w:val="TableParagraph"/>
              <w:spacing w:before="114"/>
              <w:ind w:left="94"/>
              <w:rPr>
                <w:sz w:val="20"/>
              </w:rPr>
            </w:pPr>
            <w:r>
              <w:rPr>
                <w:rFonts w:ascii="Arial"/>
                <w:i/>
                <w:sz w:val="20"/>
              </w:rPr>
              <w:t>Attrill v Dresdner Kleinwort Ltd, Commerzbank AG [2012] EWHC 1468 (QB)</w:t>
            </w:r>
            <w:r>
              <w:rPr>
                <w:rFonts w:ascii="Arial"/>
                <w:i/>
                <w:spacing w:val="-1"/>
                <w:sz w:val="20"/>
              </w:rPr>
              <w:t> </w:t>
            </w:r>
            <w:r>
              <w:rPr>
                <w:sz w:val="20"/>
              </w:rPr>
              <w:t>at </w:t>
            </w:r>
            <w:r>
              <w:rPr>
                <w:spacing w:val="-4"/>
                <w:sz w:val="20"/>
              </w:rPr>
              <w:t>[5].</w:t>
            </w:r>
          </w:p>
        </w:tc>
      </w:tr>
      <w:tr>
        <w:trPr>
          <w:trHeight w:val="465" w:hRule="atLeast"/>
        </w:trPr>
        <w:tc>
          <w:tcPr>
            <w:tcW w:w="496" w:type="dxa"/>
          </w:tcPr>
          <w:p>
            <w:pPr>
              <w:pStyle w:val="TableParagraph"/>
              <w:ind w:right="43"/>
              <w:jc w:val="center"/>
              <w:rPr>
                <w:sz w:val="14"/>
              </w:rPr>
            </w:pPr>
            <w:bookmarkStart w:name="_bookmark2934" w:id="2936"/>
            <w:bookmarkEnd w:id="2936"/>
            <w:r>
              <w:rPr/>
            </w:r>
            <w:hyperlink w:history="true" w:anchor="_bookmark2870">
              <w:r>
                <w:rPr>
                  <w:color w:val="005DA1"/>
                  <w:spacing w:val="-2"/>
                  <w:sz w:val="14"/>
                  <w:u w:val="single" w:color="005DA1"/>
                </w:rPr>
                <w:t>1536</w:t>
              </w:r>
            </w:hyperlink>
            <w:r>
              <w:rPr>
                <w:spacing w:val="-2"/>
                <w:sz w:val="14"/>
              </w:rPr>
              <w:t>.</w:t>
            </w:r>
          </w:p>
        </w:tc>
        <w:tc>
          <w:tcPr>
            <w:tcW w:w="8620" w:type="dxa"/>
          </w:tcPr>
          <w:p>
            <w:pPr>
              <w:pStyle w:val="TableParagraph"/>
              <w:spacing w:before="114"/>
              <w:ind w:left="94"/>
              <w:rPr>
                <w:sz w:val="20"/>
              </w:rPr>
            </w:pPr>
            <w:r>
              <w:rPr>
                <w:sz w:val="20"/>
              </w:rPr>
              <w:t>Under s.35A(5) of the 1981 Act. See CPR r.12.6, </w:t>
            </w:r>
            <w:r>
              <w:rPr>
                <w:spacing w:val="-2"/>
                <w:sz w:val="20"/>
              </w:rPr>
              <w:t>below.</w:t>
            </w:r>
          </w:p>
        </w:tc>
      </w:tr>
      <w:tr>
        <w:trPr>
          <w:trHeight w:val="465" w:hRule="atLeast"/>
        </w:trPr>
        <w:tc>
          <w:tcPr>
            <w:tcW w:w="496" w:type="dxa"/>
          </w:tcPr>
          <w:p>
            <w:pPr>
              <w:pStyle w:val="TableParagraph"/>
              <w:ind w:right="43"/>
              <w:jc w:val="center"/>
              <w:rPr>
                <w:sz w:val="14"/>
              </w:rPr>
            </w:pPr>
            <w:bookmarkStart w:name="_bookmark2935" w:id="2937"/>
            <w:bookmarkEnd w:id="2937"/>
            <w:r>
              <w:rPr/>
            </w:r>
            <w:hyperlink w:history="true" w:anchor="_bookmark2871">
              <w:r>
                <w:rPr>
                  <w:color w:val="005DA1"/>
                  <w:spacing w:val="-2"/>
                  <w:sz w:val="14"/>
                  <w:u w:val="single" w:color="005DA1"/>
                </w:rPr>
                <w:t>1537</w:t>
              </w:r>
            </w:hyperlink>
            <w:r>
              <w:rPr>
                <w:spacing w:val="-2"/>
                <w:sz w:val="14"/>
              </w:rPr>
              <w:t>.</w:t>
            </w:r>
          </w:p>
        </w:tc>
        <w:tc>
          <w:tcPr>
            <w:tcW w:w="8620" w:type="dxa"/>
          </w:tcPr>
          <w:p>
            <w:pPr>
              <w:pStyle w:val="TableParagraph"/>
              <w:spacing w:before="114"/>
              <w:ind w:left="94"/>
              <w:rPr>
                <w:sz w:val="20"/>
              </w:rPr>
            </w:pPr>
            <w:r>
              <w:rPr>
                <w:sz w:val="20"/>
              </w:rPr>
              <w:t>Judgments Act 1838 s.17. See below, para.26-</w:t>
            </w:r>
            <w:r>
              <w:rPr>
                <w:spacing w:val="-4"/>
                <w:sz w:val="20"/>
              </w:rPr>
              <w:t>246.</w:t>
            </w:r>
          </w:p>
        </w:tc>
      </w:tr>
      <w:tr>
        <w:trPr>
          <w:trHeight w:val="465" w:hRule="atLeast"/>
        </w:trPr>
        <w:tc>
          <w:tcPr>
            <w:tcW w:w="496" w:type="dxa"/>
          </w:tcPr>
          <w:p>
            <w:pPr>
              <w:pStyle w:val="TableParagraph"/>
              <w:ind w:right="43"/>
              <w:jc w:val="center"/>
              <w:rPr>
                <w:sz w:val="14"/>
              </w:rPr>
            </w:pPr>
            <w:bookmarkStart w:name="_bookmark2936" w:id="2938"/>
            <w:bookmarkEnd w:id="2938"/>
            <w:r>
              <w:rPr/>
            </w:r>
            <w:hyperlink w:history="true" w:anchor="_bookmark2872">
              <w:r>
                <w:rPr>
                  <w:color w:val="005DA1"/>
                  <w:spacing w:val="-2"/>
                  <w:sz w:val="14"/>
                  <w:u w:val="single" w:color="005DA1"/>
                </w:rPr>
                <w:t>1538</w:t>
              </w:r>
            </w:hyperlink>
            <w:r>
              <w:rPr>
                <w:spacing w:val="-2"/>
                <w:sz w:val="14"/>
              </w:rPr>
              <w:t>.</w:t>
            </w:r>
          </w:p>
        </w:tc>
        <w:tc>
          <w:tcPr>
            <w:tcW w:w="8620" w:type="dxa"/>
          </w:tcPr>
          <w:p>
            <w:pPr>
              <w:pStyle w:val="TableParagraph"/>
              <w:spacing w:before="114"/>
              <w:ind w:left="94"/>
              <w:rPr>
                <w:sz w:val="20"/>
              </w:rPr>
            </w:pPr>
            <w:r>
              <w:rPr>
                <w:sz w:val="20"/>
              </w:rPr>
              <w:t>See below, para.26-</w:t>
            </w:r>
            <w:r>
              <w:rPr>
                <w:spacing w:val="-4"/>
                <w:sz w:val="20"/>
              </w:rPr>
              <w:t>246.</w:t>
            </w:r>
          </w:p>
        </w:tc>
      </w:tr>
      <w:tr>
        <w:trPr>
          <w:trHeight w:val="465" w:hRule="atLeast"/>
        </w:trPr>
        <w:tc>
          <w:tcPr>
            <w:tcW w:w="496" w:type="dxa"/>
          </w:tcPr>
          <w:p>
            <w:pPr>
              <w:pStyle w:val="TableParagraph"/>
              <w:ind w:right="43"/>
              <w:jc w:val="center"/>
              <w:rPr>
                <w:sz w:val="14"/>
              </w:rPr>
            </w:pPr>
            <w:bookmarkStart w:name="_bookmark2937" w:id="2939"/>
            <w:bookmarkEnd w:id="2939"/>
            <w:r>
              <w:rPr/>
            </w:r>
            <w:hyperlink w:history="true" w:anchor="_bookmark2873">
              <w:r>
                <w:rPr>
                  <w:color w:val="005DA1"/>
                  <w:spacing w:val="-2"/>
                  <w:sz w:val="14"/>
                  <w:u w:val="single" w:color="005DA1"/>
                </w:rPr>
                <w:t>1539</w:t>
              </w:r>
            </w:hyperlink>
            <w:r>
              <w:rPr>
                <w:spacing w:val="-2"/>
                <w:sz w:val="14"/>
              </w:rPr>
              <w:t>.</w:t>
            </w:r>
          </w:p>
        </w:tc>
        <w:tc>
          <w:tcPr>
            <w:tcW w:w="8620" w:type="dxa"/>
          </w:tcPr>
          <w:p>
            <w:pPr>
              <w:pStyle w:val="TableParagraph"/>
              <w:spacing w:before="114"/>
              <w:ind w:left="94"/>
              <w:rPr>
                <w:sz w:val="20"/>
              </w:rPr>
            </w:pPr>
            <w:r>
              <w:rPr>
                <w:sz w:val="20"/>
              </w:rPr>
              <w:t>CPR </w:t>
            </w:r>
            <w:r>
              <w:rPr>
                <w:spacing w:val="-2"/>
                <w:sz w:val="20"/>
              </w:rPr>
              <w:t>r.12.6.</w:t>
            </w:r>
          </w:p>
        </w:tc>
      </w:tr>
      <w:tr>
        <w:trPr>
          <w:trHeight w:val="465" w:hRule="atLeast"/>
        </w:trPr>
        <w:tc>
          <w:tcPr>
            <w:tcW w:w="496" w:type="dxa"/>
          </w:tcPr>
          <w:p>
            <w:pPr>
              <w:pStyle w:val="TableParagraph"/>
              <w:ind w:right="43"/>
              <w:jc w:val="center"/>
              <w:rPr>
                <w:sz w:val="14"/>
              </w:rPr>
            </w:pPr>
            <w:bookmarkStart w:name="_bookmark2938" w:id="2940"/>
            <w:bookmarkEnd w:id="2940"/>
            <w:r>
              <w:rPr/>
            </w:r>
            <w:hyperlink w:history="true" w:anchor="_bookmark2874">
              <w:r>
                <w:rPr>
                  <w:color w:val="005DA1"/>
                  <w:spacing w:val="-2"/>
                  <w:sz w:val="14"/>
                  <w:u w:val="single" w:color="005DA1"/>
                </w:rPr>
                <w:t>1540</w:t>
              </w:r>
            </w:hyperlink>
            <w:r>
              <w:rPr>
                <w:spacing w:val="-2"/>
                <w:sz w:val="14"/>
              </w:rPr>
              <w:t>.</w:t>
            </w:r>
          </w:p>
        </w:tc>
        <w:tc>
          <w:tcPr>
            <w:tcW w:w="8620" w:type="dxa"/>
          </w:tcPr>
          <w:p>
            <w:pPr>
              <w:pStyle w:val="TableParagraph"/>
              <w:spacing w:before="114"/>
              <w:ind w:left="94"/>
              <w:rPr>
                <w:sz w:val="20"/>
              </w:rPr>
            </w:pPr>
            <w:r>
              <w:rPr>
                <w:sz w:val="20"/>
              </w:rPr>
              <w:t>CPR r.12.6(2). The procedure for deciding the amount of interest is set out in CPR </w:t>
            </w:r>
            <w:r>
              <w:rPr>
                <w:spacing w:val="-2"/>
                <w:sz w:val="20"/>
              </w:rPr>
              <w:t>r.12.7.</w:t>
            </w:r>
          </w:p>
        </w:tc>
      </w:tr>
      <w:tr>
        <w:trPr>
          <w:trHeight w:val="465" w:hRule="atLeast"/>
        </w:trPr>
        <w:tc>
          <w:tcPr>
            <w:tcW w:w="496" w:type="dxa"/>
          </w:tcPr>
          <w:p>
            <w:pPr>
              <w:pStyle w:val="TableParagraph"/>
              <w:ind w:right="43"/>
              <w:jc w:val="center"/>
              <w:rPr>
                <w:sz w:val="14"/>
              </w:rPr>
            </w:pPr>
            <w:bookmarkStart w:name="_bookmark2939" w:id="2941"/>
            <w:bookmarkEnd w:id="2941"/>
            <w:r>
              <w:rPr/>
            </w:r>
            <w:hyperlink w:history="true" w:anchor="_bookmark2875">
              <w:r>
                <w:rPr>
                  <w:color w:val="005DA1"/>
                  <w:spacing w:val="-2"/>
                  <w:sz w:val="14"/>
                  <w:u w:val="single" w:color="005DA1"/>
                </w:rPr>
                <w:t>1541</w:t>
              </w:r>
            </w:hyperlink>
            <w:r>
              <w:rPr>
                <w:spacing w:val="-2"/>
                <w:sz w:val="14"/>
              </w:rPr>
              <w:t>.</w:t>
            </w:r>
          </w:p>
        </w:tc>
        <w:tc>
          <w:tcPr>
            <w:tcW w:w="8620" w:type="dxa"/>
          </w:tcPr>
          <w:p>
            <w:pPr>
              <w:pStyle w:val="TableParagraph"/>
              <w:spacing w:before="114"/>
              <w:ind w:left="94"/>
              <w:rPr>
                <w:sz w:val="20"/>
              </w:rPr>
            </w:pPr>
            <w:r>
              <w:rPr>
                <w:sz w:val="20"/>
              </w:rPr>
              <w:t>CPR </w:t>
            </w:r>
            <w:r>
              <w:rPr>
                <w:spacing w:val="-2"/>
                <w:sz w:val="20"/>
              </w:rPr>
              <w:t>r.36.3(3).</w:t>
            </w:r>
          </w:p>
        </w:tc>
      </w:tr>
      <w:tr>
        <w:trPr>
          <w:trHeight w:val="915" w:hRule="atLeast"/>
        </w:trPr>
        <w:tc>
          <w:tcPr>
            <w:tcW w:w="496" w:type="dxa"/>
          </w:tcPr>
          <w:p>
            <w:pPr>
              <w:pStyle w:val="TableParagraph"/>
              <w:ind w:right="43"/>
              <w:jc w:val="center"/>
              <w:rPr>
                <w:sz w:val="14"/>
              </w:rPr>
            </w:pPr>
            <w:bookmarkStart w:name="_bookmark2940" w:id="2942"/>
            <w:bookmarkEnd w:id="2942"/>
            <w:r>
              <w:rPr/>
            </w:r>
            <w:hyperlink w:history="true" w:anchor="_bookmark2876">
              <w:r>
                <w:rPr>
                  <w:color w:val="005DA1"/>
                  <w:spacing w:val="-2"/>
                  <w:sz w:val="14"/>
                  <w:u w:val="single" w:color="005DA1"/>
                </w:rPr>
                <w:t>1542</w:t>
              </w:r>
            </w:hyperlink>
            <w:r>
              <w:rPr>
                <w:spacing w:val="-2"/>
                <w:sz w:val="14"/>
              </w:rPr>
              <w:t>.</w:t>
            </w:r>
          </w:p>
        </w:tc>
        <w:tc>
          <w:tcPr>
            <w:tcW w:w="8620" w:type="dxa"/>
          </w:tcPr>
          <w:p>
            <w:pPr>
              <w:pStyle w:val="TableParagraph"/>
              <w:spacing w:line="235" w:lineRule="auto" w:before="118"/>
              <w:ind w:left="94"/>
              <w:rPr>
                <w:sz w:val="20"/>
              </w:rPr>
            </w:pPr>
            <w:r>
              <w:rPr>
                <w:rFonts w:ascii="Arial" w:hAnsi="Arial"/>
                <w:i/>
                <w:sz w:val="20"/>
              </w:rPr>
              <w:t>Miliangos v George Frank (Textiles) (No.2) [1977] Q.B. 489, 497</w:t>
            </w:r>
            <w:r>
              <w:rPr>
                <w:sz w:val="20"/>
              </w:rPr>
              <w:t>; </w:t>
            </w:r>
            <w:r>
              <w:rPr>
                <w:rFonts w:ascii="Arial" w:hAnsi="Arial"/>
                <w:i/>
                <w:sz w:val="20"/>
              </w:rPr>
              <w:t>Helmsing Schiffahrts v </w:t>
            </w:r>
            <w:r>
              <w:rPr>
                <w:rFonts w:ascii="Arial" w:hAnsi="Arial"/>
                <w:i/>
                <w:sz w:val="20"/>
              </w:rPr>
              <w:t>Malta Drydocks</w:t>
            </w:r>
            <w:r>
              <w:rPr>
                <w:rFonts w:ascii="Arial" w:hAnsi="Arial"/>
                <w:i/>
                <w:spacing w:val="10"/>
                <w:sz w:val="20"/>
              </w:rPr>
              <w:t> </w:t>
            </w:r>
            <w:r>
              <w:rPr>
                <w:rFonts w:ascii="Arial" w:hAnsi="Arial"/>
                <w:i/>
                <w:sz w:val="20"/>
              </w:rPr>
              <w:t>Corp</w:t>
            </w:r>
            <w:r>
              <w:rPr>
                <w:rFonts w:ascii="Arial" w:hAnsi="Arial"/>
                <w:i/>
                <w:spacing w:val="11"/>
                <w:sz w:val="20"/>
              </w:rPr>
              <w:t> </w:t>
            </w:r>
            <w:r>
              <w:rPr>
                <w:rFonts w:ascii="Arial" w:hAnsi="Arial"/>
                <w:i/>
                <w:sz w:val="20"/>
              </w:rPr>
              <w:t>[1977]</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444,</w:t>
            </w:r>
            <w:r>
              <w:rPr>
                <w:rFonts w:ascii="Arial" w:hAnsi="Arial"/>
                <w:i/>
                <w:spacing w:val="11"/>
                <w:sz w:val="20"/>
              </w:rPr>
              <w:t> </w:t>
            </w:r>
            <w:r>
              <w:rPr>
                <w:rFonts w:ascii="Arial" w:hAnsi="Arial"/>
                <w:i/>
                <w:sz w:val="20"/>
              </w:rPr>
              <w:t>449</w:t>
            </w:r>
            <w:r>
              <w:rPr>
                <w:sz w:val="20"/>
              </w:rPr>
              <w:t>.</w:t>
            </w:r>
            <w:r>
              <w:rPr>
                <w:spacing w:val="11"/>
                <w:sz w:val="20"/>
              </w:rPr>
              <w:t> </w:t>
            </w:r>
            <w:r>
              <w:rPr>
                <w:sz w:val="20"/>
              </w:rPr>
              <w:t>See</w:t>
            </w:r>
            <w:r>
              <w:rPr>
                <w:spacing w:val="11"/>
                <w:sz w:val="20"/>
              </w:rPr>
              <w:t> </w:t>
            </w:r>
            <w:r>
              <w:rPr>
                <w:sz w:val="20"/>
              </w:rPr>
              <w:t>further</w:t>
            </w:r>
            <w:r>
              <w:rPr>
                <w:spacing w:val="11"/>
                <w:sz w:val="20"/>
              </w:rPr>
              <w:t> </w:t>
            </w:r>
            <w:r>
              <w:rPr>
                <w:sz w:val="20"/>
              </w:rPr>
              <w:t>below,</w:t>
            </w:r>
            <w:r>
              <w:rPr>
                <w:spacing w:val="11"/>
                <w:sz w:val="20"/>
              </w:rPr>
              <w:t> </w:t>
            </w:r>
            <w:r>
              <w:rPr>
                <w:sz w:val="20"/>
              </w:rPr>
              <w:t>paras</w:t>
            </w:r>
            <w:r>
              <w:rPr>
                <w:spacing w:val="11"/>
                <w:sz w:val="20"/>
              </w:rPr>
              <w:t> </w:t>
            </w:r>
            <w:r>
              <w:rPr>
                <w:sz w:val="20"/>
              </w:rPr>
              <w:t>30-371—30-381;</w:t>
            </w:r>
            <w:r>
              <w:rPr>
                <w:spacing w:val="11"/>
                <w:sz w:val="20"/>
              </w:rPr>
              <w:t> </w:t>
            </w:r>
            <w:r>
              <w:rPr>
                <w:spacing w:val="-5"/>
                <w:sz w:val="20"/>
              </w:rPr>
              <w:t>and</w:t>
            </w:r>
          </w:p>
          <w:p>
            <w:pPr>
              <w:pStyle w:val="TableParagraph"/>
              <w:spacing w:line="225" w:lineRule="exact" w:before="0"/>
              <w:ind w:left="94"/>
              <w:rPr>
                <w:sz w:val="20"/>
              </w:rPr>
            </w:pPr>
            <w:r>
              <w:rPr>
                <w:sz w:val="20"/>
              </w:rPr>
              <w:t>Bowles and Phillips (1976) 39 M.L.R. </w:t>
            </w:r>
            <w:r>
              <w:rPr>
                <w:spacing w:val="-4"/>
                <w:sz w:val="20"/>
              </w:rPr>
              <w:t>196.</w:t>
            </w:r>
          </w:p>
        </w:tc>
      </w:tr>
      <w:tr>
        <w:trPr>
          <w:trHeight w:val="465" w:hRule="atLeast"/>
        </w:trPr>
        <w:tc>
          <w:tcPr>
            <w:tcW w:w="496" w:type="dxa"/>
          </w:tcPr>
          <w:p>
            <w:pPr>
              <w:pStyle w:val="TableParagraph"/>
              <w:ind w:right="43"/>
              <w:jc w:val="center"/>
              <w:rPr>
                <w:sz w:val="14"/>
              </w:rPr>
            </w:pPr>
            <w:bookmarkStart w:name="_bookmark2941" w:id="2943"/>
            <w:bookmarkEnd w:id="2943"/>
            <w:r>
              <w:rPr/>
            </w:r>
            <w:hyperlink w:history="true" w:anchor="_bookmark2877">
              <w:r>
                <w:rPr>
                  <w:color w:val="005DA1"/>
                  <w:spacing w:val="-2"/>
                  <w:sz w:val="14"/>
                  <w:u w:val="single" w:color="005DA1"/>
                </w:rPr>
                <w:t>1543</w:t>
              </w:r>
            </w:hyperlink>
            <w:r>
              <w:rPr>
                <w:spacing w:val="-2"/>
                <w:sz w:val="14"/>
              </w:rPr>
              <w:t>.</w:t>
            </w:r>
          </w:p>
        </w:tc>
        <w:tc>
          <w:tcPr>
            <w:tcW w:w="8620" w:type="dxa"/>
          </w:tcPr>
          <w:p>
            <w:pPr>
              <w:pStyle w:val="TableParagraph"/>
              <w:spacing w:before="114"/>
              <w:ind w:left="94"/>
              <w:rPr>
                <w:sz w:val="20"/>
              </w:rPr>
            </w:pPr>
            <w:r>
              <w:rPr>
                <w:sz w:val="20"/>
              </w:rPr>
              <w:t>Below, paras 30-371—30-</w:t>
            </w:r>
            <w:r>
              <w:rPr>
                <w:spacing w:val="-4"/>
                <w:sz w:val="20"/>
              </w:rPr>
              <w:t>381.</w:t>
            </w:r>
          </w:p>
        </w:tc>
      </w:tr>
      <w:tr>
        <w:trPr>
          <w:trHeight w:val="1140" w:hRule="atLeast"/>
        </w:trPr>
        <w:tc>
          <w:tcPr>
            <w:tcW w:w="496" w:type="dxa"/>
          </w:tcPr>
          <w:p>
            <w:pPr>
              <w:pStyle w:val="TableParagraph"/>
              <w:ind w:right="43"/>
              <w:jc w:val="center"/>
              <w:rPr>
                <w:sz w:val="14"/>
              </w:rPr>
            </w:pPr>
            <w:bookmarkStart w:name="_bookmark2942" w:id="2944"/>
            <w:bookmarkEnd w:id="2944"/>
            <w:r>
              <w:rPr/>
            </w:r>
            <w:hyperlink w:history="true" w:anchor="_bookmark2878">
              <w:r>
                <w:rPr>
                  <w:color w:val="005DA1"/>
                  <w:spacing w:val="-2"/>
                  <w:sz w:val="14"/>
                  <w:u w:val="single" w:color="005DA1"/>
                </w:rPr>
                <w:t>1544</w:t>
              </w:r>
            </w:hyperlink>
            <w:r>
              <w:rPr>
                <w:spacing w:val="-2"/>
                <w:sz w:val="14"/>
              </w:rPr>
              <w:t>.</w:t>
            </w:r>
          </w:p>
        </w:tc>
        <w:tc>
          <w:tcPr>
            <w:tcW w:w="8620" w:type="dxa"/>
          </w:tcPr>
          <w:p>
            <w:pPr>
              <w:pStyle w:val="TableParagraph"/>
              <w:spacing w:line="235" w:lineRule="auto" w:before="118"/>
              <w:ind w:left="94" w:right="48"/>
              <w:jc w:val="both"/>
              <w:rPr>
                <w:sz w:val="20"/>
              </w:rPr>
            </w:pPr>
            <w:r>
              <w:rPr>
                <w:sz w:val="20"/>
              </w:rPr>
              <w:t>For illustrations, see Vol.II, paras 39-285 et seq. In a contract of loan where the lender is </w:t>
            </w:r>
            <w:r>
              <w:rPr>
                <w:sz w:val="20"/>
              </w:rPr>
              <w:t>given</w:t>
            </w:r>
            <w:r>
              <w:rPr>
                <w:spacing w:val="40"/>
                <w:sz w:val="20"/>
              </w:rPr>
              <w:t> </w:t>
            </w:r>
            <w:r>
              <w:rPr>
                <w:sz w:val="20"/>
              </w:rPr>
              <w:t>a discretion to vary the interest rate, there is an implied term to the effect that the rates of interest will not be set dishonestly, for an improper purpose, capriciously or arbitrarily: </w:t>
            </w:r>
            <w:r>
              <w:rPr>
                <w:rFonts w:ascii="Arial"/>
                <w:i/>
                <w:sz w:val="20"/>
              </w:rPr>
              <w:t>Paragon Finance Plc v Staunton [2001] EWCA Civ 1466, [2002] 1 W.L.R. 685</w:t>
            </w:r>
            <w:r>
              <w:rPr>
                <w:sz w:val="20"/>
              </w:rPr>
              <w:t>.</w:t>
            </w:r>
          </w:p>
        </w:tc>
      </w:tr>
      <w:tr>
        <w:trPr>
          <w:trHeight w:val="915" w:hRule="atLeast"/>
        </w:trPr>
        <w:tc>
          <w:tcPr>
            <w:tcW w:w="496" w:type="dxa"/>
          </w:tcPr>
          <w:p>
            <w:pPr>
              <w:pStyle w:val="TableParagraph"/>
              <w:ind w:right="43"/>
              <w:jc w:val="center"/>
              <w:rPr>
                <w:sz w:val="14"/>
              </w:rPr>
            </w:pPr>
            <w:bookmarkStart w:name="_bookmark2943" w:id="2945"/>
            <w:bookmarkEnd w:id="2945"/>
            <w:r>
              <w:rPr/>
            </w:r>
            <w:hyperlink w:history="true" w:anchor="_bookmark2879">
              <w:r>
                <w:rPr>
                  <w:color w:val="005DA1"/>
                  <w:spacing w:val="-2"/>
                  <w:sz w:val="14"/>
                  <w:u w:val="single" w:color="005DA1"/>
                </w:rPr>
                <w:t>1545</w:t>
              </w:r>
            </w:hyperlink>
            <w:r>
              <w:rPr>
                <w:spacing w:val="-2"/>
                <w:sz w:val="14"/>
              </w:rPr>
              <w:t>.</w:t>
            </w:r>
          </w:p>
        </w:tc>
        <w:tc>
          <w:tcPr>
            <w:tcW w:w="8620" w:type="dxa"/>
          </w:tcPr>
          <w:p>
            <w:pPr>
              <w:pStyle w:val="TableParagraph"/>
              <w:spacing w:line="235" w:lineRule="auto" w:before="118"/>
              <w:ind w:left="94" w:right="48"/>
              <w:jc w:val="both"/>
              <w:rPr>
                <w:sz w:val="20"/>
              </w:rPr>
            </w:pPr>
            <w:r>
              <w:rPr>
                <w:sz w:val="20"/>
              </w:rPr>
              <w:t>By s.35A(4) of the Senior Courts Act 1981 and s.69(4) of the County Courts Act 1984 the court must not award interest in respect of a debt “for a period during which, for whatever reason, interest on the debt already runs”.</w:t>
            </w:r>
          </w:p>
        </w:tc>
      </w:tr>
      <w:tr>
        <w:trPr>
          <w:trHeight w:val="465" w:hRule="atLeast"/>
        </w:trPr>
        <w:tc>
          <w:tcPr>
            <w:tcW w:w="496" w:type="dxa"/>
          </w:tcPr>
          <w:p>
            <w:pPr>
              <w:pStyle w:val="TableParagraph"/>
              <w:ind w:right="43"/>
              <w:jc w:val="center"/>
              <w:rPr>
                <w:sz w:val="14"/>
              </w:rPr>
            </w:pPr>
            <w:bookmarkStart w:name="_bookmark2944" w:id="2946"/>
            <w:bookmarkEnd w:id="2946"/>
            <w:r>
              <w:rPr/>
            </w:r>
            <w:hyperlink w:history="true" w:anchor="_bookmark2880">
              <w:r>
                <w:rPr>
                  <w:color w:val="005DA1"/>
                  <w:spacing w:val="-2"/>
                  <w:sz w:val="14"/>
                  <w:u w:val="single" w:color="005DA1"/>
                </w:rPr>
                <w:t>1546</w:t>
              </w:r>
            </w:hyperlink>
            <w:r>
              <w:rPr>
                <w:spacing w:val="-2"/>
                <w:sz w:val="14"/>
              </w:rPr>
              <w:t>.</w:t>
            </w:r>
          </w:p>
        </w:tc>
        <w:tc>
          <w:tcPr>
            <w:tcW w:w="8620" w:type="dxa"/>
          </w:tcPr>
          <w:p>
            <w:pPr>
              <w:pStyle w:val="TableParagraph"/>
              <w:spacing w:before="114"/>
              <w:ind w:left="94"/>
              <w:rPr>
                <w:sz w:val="20"/>
              </w:rPr>
            </w:pPr>
            <w:r>
              <w:rPr>
                <w:sz w:val="20"/>
              </w:rPr>
              <w:t>Above, para.26-232; Vol.II, paras 39-295 et </w:t>
            </w:r>
            <w:r>
              <w:rPr>
                <w:spacing w:val="-4"/>
                <w:sz w:val="20"/>
              </w:rPr>
              <w:t>seq.</w:t>
            </w:r>
          </w:p>
        </w:tc>
      </w:tr>
      <w:tr>
        <w:trPr>
          <w:trHeight w:val="690" w:hRule="atLeast"/>
        </w:trPr>
        <w:tc>
          <w:tcPr>
            <w:tcW w:w="496" w:type="dxa"/>
          </w:tcPr>
          <w:p>
            <w:pPr>
              <w:pStyle w:val="TableParagraph"/>
              <w:ind w:right="43"/>
              <w:jc w:val="center"/>
              <w:rPr>
                <w:sz w:val="14"/>
              </w:rPr>
            </w:pPr>
            <w:bookmarkStart w:name="_bookmark2945" w:id="2947"/>
            <w:bookmarkEnd w:id="2947"/>
            <w:r>
              <w:rPr/>
            </w:r>
            <w:hyperlink w:history="true" w:anchor="_bookmark2880">
              <w:r>
                <w:rPr>
                  <w:color w:val="005DA1"/>
                  <w:spacing w:val="-2"/>
                  <w:sz w:val="14"/>
                  <w:u w:val="single" w:color="005DA1"/>
                </w:rPr>
                <w:t>1547</w:t>
              </w:r>
            </w:hyperlink>
            <w:r>
              <w:rPr>
                <w:spacing w:val="-2"/>
                <w:sz w:val="14"/>
              </w:rPr>
              <w:t>.</w:t>
            </w:r>
          </w:p>
        </w:tc>
        <w:tc>
          <w:tcPr>
            <w:tcW w:w="8620" w:type="dxa"/>
          </w:tcPr>
          <w:p>
            <w:pPr>
              <w:pStyle w:val="TableParagraph"/>
              <w:spacing w:line="235" w:lineRule="auto" w:before="118"/>
              <w:ind w:left="94"/>
              <w:rPr>
                <w:sz w:val="20"/>
              </w:rPr>
            </w:pPr>
            <w:r>
              <w:rPr>
                <w:sz w:val="20"/>
              </w:rPr>
              <w:t>A</w:t>
            </w:r>
            <w:r>
              <w:rPr>
                <w:spacing w:val="-2"/>
                <w:sz w:val="20"/>
              </w:rPr>
              <w:t> </w:t>
            </w:r>
            <w:r>
              <w:rPr>
                <w:sz w:val="20"/>
              </w:rPr>
              <w:t>course</w:t>
            </w:r>
            <w:r>
              <w:rPr>
                <w:spacing w:val="-2"/>
                <w:sz w:val="20"/>
              </w:rPr>
              <w:t> </w:t>
            </w:r>
            <w:r>
              <w:rPr>
                <w:sz w:val="20"/>
              </w:rPr>
              <w:t>of</w:t>
            </w:r>
            <w:r>
              <w:rPr>
                <w:spacing w:val="-2"/>
                <w:sz w:val="20"/>
              </w:rPr>
              <w:t> </w:t>
            </w:r>
            <w:r>
              <w:rPr>
                <w:sz w:val="20"/>
              </w:rPr>
              <w:t>dealing</w:t>
            </w:r>
            <w:r>
              <w:rPr>
                <w:spacing w:val="-2"/>
                <w:sz w:val="20"/>
              </w:rPr>
              <w:t> </w:t>
            </w:r>
            <w:r>
              <w:rPr>
                <w:sz w:val="20"/>
              </w:rPr>
              <w:t>between</w:t>
            </w:r>
            <w:r>
              <w:rPr>
                <w:spacing w:val="-2"/>
                <w:sz w:val="20"/>
              </w:rPr>
              <w:t> </w:t>
            </w:r>
            <w:r>
              <w:rPr>
                <w:sz w:val="20"/>
              </w:rPr>
              <w:t>the</w:t>
            </w:r>
            <w:r>
              <w:rPr>
                <w:spacing w:val="-2"/>
                <w:sz w:val="20"/>
              </w:rPr>
              <w:t> </w:t>
            </w:r>
            <w:r>
              <w:rPr>
                <w:sz w:val="20"/>
              </w:rPr>
              <w:t>parties,</w:t>
            </w:r>
            <w:r>
              <w:rPr>
                <w:spacing w:val="-2"/>
                <w:sz w:val="20"/>
              </w:rPr>
              <w:t> </w:t>
            </w:r>
            <w:r>
              <w:rPr>
                <w:sz w:val="20"/>
              </w:rPr>
              <w:t>or</w:t>
            </w:r>
            <w:r>
              <w:rPr>
                <w:spacing w:val="-2"/>
                <w:sz w:val="20"/>
              </w:rPr>
              <w:t> </w:t>
            </w:r>
            <w:r>
              <w:rPr>
                <w:sz w:val="20"/>
              </w:rPr>
              <w:t>the</w:t>
            </w:r>
            <w:r>
              <w:rPr>
                <w:spacing w:val="-2"/>
                <w:sz w:val="20"/>
              </w:rPr>
              <w:t> </w:t>
            </w:r>
            <w:r>
              <w:rPr>
                <w:sz w:val="20"/>
              </w:rPr>
              <w:t>custom</w:t>
            </w:r>
            <w:r>
              <w:rPr>
                <w:spacing w:val="-2"/>
                <w:sz w:val="20"/>
              </w:rPr>
              <w:t> </w:t>
            </w:r>
            <w:r>
              <w:rPr>
                <w:sz w:val="20"/>
              </w:rPr>
              <w:t>or</w:t>
            </w:r>
            <w:r>
              <w:rPr>
                <w:spacing w:val="-2"/>
                <w:sz w:val="20"/>
              </w:rPr>
              <w:t> </w:t>
            </w:r>
            <w:r>
              <w:rPr>
                <w:sz w:val="20"/>
              </w:rPr>
              <w:t>usages</w:t>
            </w:r>
            <w:r>
              <w:rPr>
                <w:spacing w:val="-2"/>
                <w:sz w:val="20"/>
              </w:rPr>
              <w:t> </w:t>
            </w:r>
            <w:r>
              <w:rPr>
                <w:sz w:val="20"/>
              </w:rPr>
              <w:t>of</w:t>
            </w:r>
            <w:r>
              <w:rPr>
                <w:spacing w:val="-2"/>
                <w:sz w:val="20"/>
              </w:rPr>
              <w:t> </w:t>
            </w:r>
            <w:r>
              <w:rPr>
                <w:sz w:val="20"/>
              </w:rPr>
              <w:t>a</w:t>
            </w:r>
            <w:r>
              <w:rPr>
                <w:spacing w:val="-2"/>
                <w:sz w:val="20"/>
              </w:rPr>
              <w:t> </w:t>
            </w:r>
            <w:r>
              <w:rPr>
                <w:sz w:val="20"/>
              </w:rPr>
              <w:t>particular</w:t>
            </w:r>
            <w:r>
              <w:rPr>
                <w:spacing w:val="-2"/>
                <w:sz w:val="20"/>
              </w:rPr>
              <w:t> </w:t>
            </w:r>
            <w:r>
              <w:rPr>
                <w:sz w:val="20"/>
              </w:rPr>
              <w:t>trade,</w:t>
            </w:r>
            <w:r>
              <w:rPr>
                <w:spacing w:val="-2"/>
                <w:sz w:val="20"/>
              </w:rPr>
              <w:t> </w:t>
            </w:r>
            <w:r>
              <w:rPr>
                <w:sz w:val="20"/>
              </w:rPr>
              <w:t>may</w:t>
            </w:r>
            <w:r>
              <w:rPr>
                <w:spacing w:val="-2"/>
                <w:sz w:val="20"/>
              </w:rPr>
              <w:t> </w:t>
            </w:r>
            <w:r>
              <w:rPr>
                <w:sz w:val="20"/>
              </w:rPr>
              <w:t>lead to an implied term that interest may be charged: see above, para.26-227.</w:t>
            </w:r>
          </w:p>
        </w:tc>
      </w:tr>
      <w:tr>
        <w:trPr>
          <w:trHeight w:val="915" w:hRule="atLeast"/>
        </w:trPr>
        <w:tc>
          <w:tcPr>
            <w:tcW w:w="496" w:type="dxa"/>
          </w:tcPr>
          <w:p>
            <w:pPr>
              <w:pStyle w:val="TableParagraph"/>
              <w:ind w:right="43"/>
              <w:jc w:val="center"/>
              <w:rPr>
                <w:sz w:val="14"/>
              </w:rPr>
            </w:pPr>
            <w:bookmarkStart w:name="_bookmark2946" w:id="2948"/>
            <w:bookmarkEnd w:id="2948"/>
            <w:r>
              <w:rPr/>
            </w:r>
            <w:hyperlink w:history="true" w:anchor="_bookmark2881">
              <w:r>
                <w:rPr>
                  <w:color w:val="005DA1"/>
                  <w:spacing w:val="-2"/>
                  <w:sz w:val="14"/>
                  <w:u w:val="single" w:color="005DA1"/>
                </w:rPr>
                <w:t>1548</w:t>
              </w:r>
            </w:hyperlink>
            <w:r>
              <w:rPr>
                <w:spacing w:val="-2"/>
                <w:sz w:val="14"/>
              </w:rPr>
              <w:t>.</w:t>
            </w:r>
          </w:p>
        </w:tc>
        <w:tc>
          <w:tcPr>
            <w:tcW w:w="8620" w:type="dxa"/>
          </w:tcPr>
          <w:p>
            <w:pPr>
              <w:pStyle w:val="TableParagraph"/>
              <w:spacing w:line="235" w:lineRule="auto" w:before="118"/>
              <w:ind w:left="94" w:right="48"/>
              <w:jc w:val="both"/>
              <w:rPr>
                <w:sz w:val="20"/>
              </w:rPr>
            </w:pPr>
            <w:r>
              <w:rPr>
                <w:sz w:val="20"/>
              </w:rPr>
              <w:t>Consumer Credit Act 1974 ss.140A–140C enable the court to re-open certain transactions: see above, para.26-215. (cf. ss.244 and 343 of the Insolvency Act 1986.) See Vol.II, paras 39-212</w:t>
            </w:r>
            <w:r>
              <w:rPr>
                <w:spacing w:val="40"/>
                <w:sz w:val="20"/>
              </w:rPr>
              <w:t> </w:t>
            </w:r>
            <w:r>
              <w:rPr>
                <w:sz w:val="20"/>
              </w:rPr>
              <w:t>et seq.</w:t>
            </w:r>
          </w:p>
        </w:tc>
      </w:tr>
      <w:tr>
        <w:trPr>
          <w:trHeight w:val="1244" w:hRule="atLeast"/>
        </w:trPr>
        <w:tc>
          <w:tcPr>
            <w:tcW w:w="496" w:type="dxa"/>
          </w:tcPr>
          <w:p>
            <w:pPr>
              <w:pStyle w:val="TableParagraph"/>
              <w:ind w:right="43"/>
              <w:jc w:val="center"/>
              <w:rPr>
                <w:sz w:val="14"/>
              </w:rPr>
            </w:pPr>
            <w:bookmarkStart w:name="_bookmark2947" w:id="2949"/>
            <w:bookmarkEnd w:id="2949"/>
            <w:r>
              <w:rPr/>
            </w:r>
            <w:hyperlink w:history="true" w:anchor="_bookmark2882">
              <w:r>
                <w:rPr>
                  <w:color w:val="005DA1"/>
                  <w:spacing w:val="-2"/>
                  <w:sz w:val="14"/>
                  <w:u w:val="single" w:color="005DA1"/>
                </w:rPr>
                <w:t>1549</w:t>
              </w:r>
            </w:hyperlink>
            <w:r>
              <w:rPr>
                <w:spacing w:val="-2"/>
                <w:sz w:val="14"/>
              </w:rPr>
              <w:t>.</w:t>
            </w:r>
          </w:p>
        </w:tc>
        <w:tc>
          <w:tcPr>
            <w:tcW w:w="8620" w:type="dxa"/>
          </w:tcPr>
          <w:p>
            <w:pPr>
              <w:pStyle w:val="TableParagraph"/>
              <w:spacing w:line="226" w:lineRule="exact" w:before="94"/>
              <w:ind w:left="94" w:right="48"/>
              <w:jc w:val="both"/>
              <w:rPr>
                <w:sz w:val="20"/>
              </w:rPr>
            </w:pPr>
            <w:r>
              <w:rPr>
                <w:rFonts w:ascii="Arial" w:hAnsi="Arial"/>
                <w:i/>
                <w:sz w:val="20"/>
              </w:rPr>
              <w:t>Economic Assurance Society v Usborne [1902] A.C. 147</w:t>
            </w:r>
            <w:r>
              <w:rPr>
                <w:sz w:val="20"/>
              </w:rPr>
              <w:t>. It is not an “unfair term” under </w:t>
            </w:r>
            <w:r>
              <w:rPr>
                <w:sz w:val="20"/>
              </w:rPr>
              <w:t>the Unfair Terms in Consumer Contracts Regulations 1999 in a loan agreement that interest at the contractual</w:t>
            </w:r>
            <w:r>
              <w:rPr>
                <w:spacing w:val="-3"/>
                <w:sz w:val="20"/>
              </w:rPr>
              <w:t> </w:t>
            </w:r>
            <w:r>
              <w:rPr>
                <w:sz w:val="20"/>
              </w:rPr>
              <w:t>rate</w:t>
            </w:r>
            <w:r>
              <w:rPr>
                <w:spacing w:val="-3"/>
                <w:sz w:val="20"/>
              </w:rPr>
              <w:t> </w:t>
            </w:r>
            <w:r>
              <w:rPr>
                <w:sz w:val="20"/>
              </w:rPr>
              <w:t>would</w:t>
            </w:r>
            <w:r>
              <w:rPr>
                <w:spacing w:val="-3"/>
                <w:sz w:val="20"/>
              </w:rPr>
              <w:t> </w:t>
            </w:r>
            <w:r>
              <w:rPr>
                <w:sz w:val="20"/>
              </w:rPr>
              <w:t>be</w:t>
            </w:r>
            <w:r>
              <w:rPr>
                <w:spacing w:val="-3"/>
                <w:sz w:val="20"/>
              </w:rPr>
              <w:t> </w:t>
            </w:r>
            <w:r>
              <w:rPr>
                <w:sz w:val="20"/>
              </w:rPr>
              <w:t>charged</w:t>
            </w:r>
            <w:r>
              <w:rPr>
                <w:spacing w:val="-3"/>
                <w:sz w:val="20"/>
              </w:rPr>
              <w:t> </w:t>
            </w:r>
            <w:r>
              <w:rPr>
                <w:sz w:val="20"/>
              </w:rPr>
              <w:t>until</w:t>
            </w:r>
            <w:r>
              <w:rPr>
                <w:spacing w:val="-3"/>
                <w:sz w:val="20"/>
              </w:rPr>
              <w:t> </w:t>
            </w:r>
            <w:r>
              <w:rPr>
                <w:sz w:val="20"/>
              </w:rPr>
              <w:t>payment</w:t>
            </w:r>
            <w:r>
              <w:rPr>
                <w:spacing w:val="-3"/>
                <w:sz w:val="20"/>
              </w:rPr>
              <w:t> </w:t>
            </w:r>
            <w:r>
              <w:rPr>
                <w:sz w:val="20"/>
              </w:rPr>
              <w:t>after</w:t>
            </w:r>
            <w:r>
              <w:rPr>
                <w:spacing w:val="-3"/>
                <w:sz w:val="20"/>
              </w:rPr>
              <w:t> </w:t>
            </w:r>
            <w:r>
              <w:rPr>
                <w:sz w:val="20"/>
              </w:rPr>
              <w:t>(as</w:t>
            </w:r>
            <w:r>
              <w:rPr>
                <w:spacing w:val="-3"/>
                <w:sz w:val="20"/>
              </w:rPr>
              <w:t> </w:t>
            </w:r>
            <w:r>
              <w:rPr>
                <w:sz w:val="20"/>
              </w:rPr>
              <w:t>well</w:t>
            </w:r>
            <w:r>
              <w:rPr>
                <w:spacing w:val="-3"/>
                <w:sz w:val="20"/>
              </w:rPr>
              <w:t> </w:t>
            </w:r>
            <w:r>
              <w:rPr>
                <w:sz w:val="20"/>
              </w:rPr>
              <w:t>as</w:t>
            </w:r>
            <w:r>
              <w:rPr>
                <w:spacing w:val="-3"/>
                <w:sz w:val="20"/>
              </w:rPr>
              <w:t> </w:t>
            </w:r>
            <w:r>
              <w:rPr>
                <w:sz w:val="20"/>
              </w:rPr>
              <w:t>before)</w:t>
            </w:r>
            <w:r>
              <w:rPr>
                <w:spacing w:val="-3"/>
                <w:sz w:val="20"/>
              </w:rPr>
              <w:t> </w:t>
            </w:r>
            <w:r>
              <w:rPr>
                <w:sz w:val="20"/>
              </w:rPr>
              <w:t>any</w:t>
            </w:r>
            <w:r>
              <w:rPr>
                <w:spacing w:val="-3"/>
                <w:sz w:val="20"/>
              </w:rPr>
              <w:t> </w:t>
            </w:r>
            <w:r>
              <w:rPr>
                <w:sz w:val="20"/>
              </w:rPr>
              <w:t>judgment:</w:t>
            </w:r>
            <w:r>
              <w:rPr>
                <w:spacing w:val="-4"/>
                <w:sz w:val="20"/>
              </w:rPr>
              <w:t> </w:t>
            </w:r>
            <w:r>
              <w:rPr>
                <w:rFonts w:ascii="Arial" w:hAnsi="Arial"/>
                <w:i/>
                <w:sz w:val="20"/>
              </w:rPr>
              <w:t>Director General of Fair Trading v First National Bank Plc [2001] UKHL 52, [2002] 1 A.C. 481</w:t>
            </w:r>
            <w:r>
              <w:rPr>
                <w:sz w:val="20"/>
              </w:rPr>
              <w:t>. See</w:t>
            </w:r>
            <w:r>
              <w:rPr>
                <w:spacing w:val="40"/>
                <w:sz w:val="20"/>
              </w:rPr>
              <w:t> </w:t>
            </w:r>
            <w:r>
              <w:rPr>
                <w:sz w:val="20"/>
              </w:rPr>
              <w:t>Vol.II, paras 38-263 and 39-297.</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3024" w:val="left" w:leader="none"/>
        </w:tabs>
        <w:spacing w:line="240" w:lineRule="auto" w:before="194" w:after="0"/>
        <w:ind w:left="3024" w:right="0" w:hanging="306"/>
        <w:jc w:val="left"/>
        <w:rPr>
          <w:b/>
          <w:sz w:val="24"/>
        </w:rPr>
      </w:pPr>
      <w:r>
        <w:rPr>
          <w:b/>
          <w:sz w:val="24"/>
        </w:rPr>
        <w:t>- Interest on Arbitration </w:t>
      </w:r>
      <w:r>
        <w:rPr>
          <w:b/>
          <w:spacing w:val="-2"/>
          <w:sz w:val="24"/>
        </w:rPr>
        <w:t>Awards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Arbitration </w:t>
      </w:r>
      <w:r>
        <w:rPr>
          <w:rFonts w:ascii="Arial"/>
          <w:b/>
          <w:spacing w:val="-2"/>
          <w:sz w:val="18"/>
        </w:rPr>
        <w:t>awards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245</w:t>
      </w:r>
    </w:p>
    <w:p>
      <w:pPr>
        <w:pStyle w:val="BodyText"/>
        <w:spacing w:line="235" w:lineRule="auto" w:before="202"/>
        <w:ind w:left="164" w:right="167"/>
        <w:jc w:val="both"/>
      </w:pPr>
      <w:bookmarkStart w:name="_bookmark2948" w:id="2950"/>
      <w:bookmarkEnd w:id="2950"/>
      <w:r>
        <w:rPr/>
      </w:r>
      <w:r>
        <w:rPr/>
        <w:t>At common law an arbitrator had no power to award general damages in respect of interest on debts paid late. </w:t>
      </w:r>
      <w:r>
        <w:rPr>
          <w:color w:val="005DA1"/>
          <w:u w:val="single" w:color="005DA1"/>
          <w:vertAlign w:val="superscript"/>
        </w:rPr>
        <w:t>1550</w:t>
      </w:r>
      <w:r>
        <w:rPr>
          <w:color w:val="005DA1"/>
          <w:vertAlign w:val="baseline"/>
        </w:rPr>
        <w:t> </w:t>
      </w:r>
      <w:r>
        <w:rPr>
          <w:vertAlign w:val="baseline"/>
        </w:rPr>
        <w:t>But s.49 of the Arbitration Act 1996 </w:t>
      </w:r>
      <w:r>
        <w:rPr>
          <w:color w:val="005DA1"/>
          <w:u w:val="single" w:color="005DA1"/>
          <w:vertAlign w:val="superscript"/>
        </w:rPr>
        <w:t>1551</w:t>
      </w:r>
      <w:r>
        <w:rPr>
          <w:color w:val="005DA1"/>
          <w:vertAlign w:val="baseline"/>
        </w:rPr>
        <w:t> </w:t>
      </w:r>
      <w:r>
        <w:rPr>
          <w:vertAlign w:val="baseline"/>
        </w:rPr>
        <w:t>provides that (unless the parties agree otherwise) the arbitral tribunal may award simple or compound interest from such date at such </w:t>
      </w:r>
      <w:r>
        <w:rPr>
          <w:vertAlign w:val="baseline"/>
        </w:rPr>
        <w:t>rates </w:t>
      </w:r>
      <w:bookmarkStart w:name="_bookmark2949" w:id="2951"/>
      <w:bookmarkEnd w:id="2951"/>
      <w:r>
        <w:rPr>
          <w:vertAlign w:val="baseline"/>
        </w:rPr>
        <w:t>and</w:t>
      </w:r>
      <w:r>
        <w:rPr>
          <w:vertAlign w:val="baseline"/>
        </w:rPr>
        <w:t> with such rests as it considers meets the justice of the case. Such interest may be awarded on the</w:t>
      </w:r>
      <w:r>
        <w:rPr>
          <w:spacing w:val="-1"/>
          <w:vertAlign w:val="baseline"/>
        </w:rPr>
        <w:t> </w:t>
      </w:r>
      <w:r>
        <w:rPr>
          <w:vertAlign w:val="baseline"/>
        </w:rPr>
        <w:t>whole</w:t>
      </w:r>
      <w:r>
        <w:rPr>
          <w:spacing w:val="-1"/>
          <w:vertAlign w:val="baseline"/>
        </w:rPr>
        <w:t> </w:t>
      </w:r>
      <w:r>
        <w:rPr>
          <w:vertAlign w:val="baseline"/>
        </w:rPr>
        <w:t>or</w:t>
      </w:r>
      <w:r>
        <w:rPr>
          <w:spacing w:val="-1"/>
          <w:vertAlign w:val="baseline"/>
        </w:rPr>
        <w:t> </w:t>
      </w:r>
      <w:r>
        <w:rPr>
          <w:vertAlign w:val="baseline"/>
        </w:rPr>
        <w:t>any</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awarded</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any</w:t>
      </w:r>
      <w:r>
        <w:rPr>
          <w:spacing w:val="-1"/>
          <w:vertAlign w:val="baseline"/>
        </w:rPr>
        <w:t> </w:t>
      </w:r>
      <w:r>
        <w:rPr>
          <w:vertAlign w:val="baseline"/>
        </w:rPr>
        <w:t>period</w:t>
      </w:r>
      <w:r>
        <w:rPr>
          <w:spacing w:val="-1"/>
          <w:vertAlign w:val="baseline"/>
        </w:rPr>
        <w:t> </w:t>
      </w:r>
      <w:r>
        <w:rPr>
          <w:vertAlign w:val="baseline"/>
        </w:rPr>
        <w:t>up</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award</w:t>
      </w:r>
      <w:r>
        <w:rPr>
          <w:spacing w:val="-2"/>
          <w:vertAlign w:val="baseline"/>
        </w:rPr>
        <w:t> </w:t>
      </w:r>
      <w:r>
        <w:rPr>
          <w:color w:val="005DA1"/>
          <w:u w:val="single" w:color="005DA1"/>
          <w:vertAlign w:val="superscript"/>
        </w:rPr>
        <w:t>1552</w:t>
      </w:r>
      <w:r>
        <w:rPr>
          <w:vertAlign w:val="baseline"/>
        </w:rPr>
        <w:t>;</w:t>
      </w:r>
      <w:r>
        <w:rPr>
          <w:spacing w:val="-1"/>
          <w:vertAlign w:val="baseline"/>
        </w:rPr>
        <w:t> </w:t>
      </w:r>
      <w:r>
        <w:rPr>
          <w:vertAlign w:val="baseline"/>
        </w:rPr>
        <w:t>and</w:t>
      </w:r>
      <w:r>
        <w:rPr>
          <w:spacing w:val="-1"/>
          <w:vertAlign w:val="baseline"/>
        </w:rPr>
        <w:t> </w:t>
      </w:r>
      <w:r>
        <w:rPr>
          <w:vertAlign w:val="baseline"/>
        </w:rPr>
        <w:t>(b) any</w:t>
      </w:r>
      <w:r>
        <w:rPr>
          <w:spacing w:val="-1"/>
          <w:vertAlign w:val="baseline"/>
        </w:rPr>
        <w:t> </w:t>
      </w:r>
      <w:r>
        <w:rPr>
          <w:vertAlign w:val="baseline"/>
        </w:rPr>
        <w:t>amount</w:t>
      </w:r>
      <w:r>
        <w:rPr>
          <w:spacing w:val="-1"/>
          <w:vertAlign w:val="baseline"/>
        </w:rPr>
        <w:t> </w:t>
      </w:r>
      <w:r>
        <w:rPr>
          <w:vertAlign w:val="baseline"/>
        </w:rPr>
        <w:t>which</w:t>
      </w:r>
      <w:r>
        <w:rPr>
          <w:spacing w:val="-1"/>
          <w:vertAlign w:val="baseline"/>
        </w:rPr>
        <w:t> </w:t>
      </w:r>
      <w:r>
        <w:rPr>
          <w:vertAlign w:val="baseline"/>
        </w:rPr>
        <w:t>was</w:t>
      </w:r>
      <w:r>
        <w:rPr>
          <w:spacing w:val="-2"/>
          <w:vertAlign w:val="baseline"/>
        </w:rPr>
        <w:t> </w:t>
      </w:r>
      <w:r>
        <w:rPr>
          <w:vertAlign w:val="baseline"/>
        </w:rPr>
        <w:t>claimed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arbitration</w:t>
      </w:r>
      <w:r>
        <w:rPr>
          <w:spacing w:val="-2"/>
          <w:vertAlign w:val="baseline"/>
        </w:rPr>
        <w:t> </w:t>
      </w:r>
      <w:r>
        <w:rPr>
          <w:vertAlign w:val="baseline"/>
        </w:rPr>
        <w:t>and</w:t>
      </w:r>
      <w:r>
        <w:rPr>
          <w:spacing w:val="-1"/>
          <w:vertAlign w:val="baseline"/>
        </w:rPr>
        <w:t> </w:t>
      </w:r>
      <w:r>
        <w:rPr>
          <w:vertAlign w:val="baseline"/>
        </w:rPr>
        <w:t>outstanding</w:t>
      </w:r>
      <w:r>
        <w:rPr>
          <w:spacing w:val="-1"/>
          <w:vertAlign w:val="baseline"/>
        </w:rPr>
        <w:t> </w:t>
      </w:r>
      <w:r>
        <w:rPr>
          <w:vertAlign w:val="baseline"/>
        </w:rPr>
        <w:t>at</w:t>
      </w:r>
      <w:r>
        <w:rPr>
          <w:spacing w:val="-1"/>
          <w:vertAlign w:val="baseline"/>
        </w:rPr>
        <w:t> </w:t>
      </w:r>
      <w:r>
        <w:rPr>
          <w:vertAlign w:val="baseline"/>
        </w:rPr>
        <w:t>the</w:t>
      </w:r>
      <w:r>
        <w:rPr>
          <w:spacing w:val="-2"/>
          <w:vertAlign w:val="baseline"/>
        </w:rPr>
        <w:t> </w:t>
      </w:r>
      <w:r>
        <w:rPr>
          <w:vertAlign w:val="baseline"/>
        </w:rPr>
        <w:t>commencement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arbitral </w:t>
      </w:r>
      <w:bookmarkStart w:name="_bookmark2950" w:id="2952"/>
      <w:bookmarkEnd w:id="2952"/>
      <w:r>
        <w:rPr>
          <w:vertAlign w:val="baseline"/>
        </w:rPr>
        <w:t>proceedings,</w:t>
      </w:r>
      <w:r>
        <w:rPr>
          <w:vertAlign w:val="baseline"/>
        </w:rPr>
        <w:t> but was paid before the award was made in respect of any period up to the date of </w:t>
      </w:r>
      <w:bookmarkStart w:name="_bookmark2951" w:id="2953"/>
      <w:bookmarkEnd w:id="2953"/>
      <w:r>
        <w:rPr>
          <w:vertAlign w:val="baseline"/>
        </w:rPr>
        <w:t>payment.</w:t>
      </w:r>
      <w:r>
        <w:rPr>
          <w:vertAlign w:val="baseline"/>
        </w:rPr>
        <w:t> </w:t>
      </w:r>
      <w:r>
        <w:rPr>
          <w:color w:val="005DA1"/>
          <w:u w:val="single" w:color="005DA1"/>
          <w:vertAlign w:val="superscript"/>
        </w:rPr>
        <w:t>1553</w:t>
      </w:r>
      <w:r>
        <w:rPr>
          <w:color w:val="005DA1"/>
          <w:vertAlign w:val="baseline"/>
        </w:rPr>
        <w:t> </w:t>
      </w:r>
      <w:r>
        <w:rPr>
          <w:vertAlign w:val="baseline"/>
        </w:rPr>
        <w:t>This power is similar to that granted to courts </w:t>
      </w:r>
      <w:r>
        <w:rPr>
          <w:color w:val="005DA1"/>
          <w:u w:val="single" w:color="005DA1"/>
          <w:vertAlign w:val="superscript"/>
        </w:rPr>
        <w:t>1554</w:t>
      </w:r>
      <w:r>
        <w:rPr>
          <w:color w:val="005DA1"/>
          <w:vertAlign w:val="baseline"/>
        </w:rPr>
        <w:t> </w:t>
      </w:r>
      <w:r>
        <w:rPr>
          <w:vertAlign w:val="baseline"/>
        </w:rPr>
        <w:t>but wider in that compound interest </w:t>
      </w:r>
      <w:bookmarkStart w:name="_bookmark2952" w:id="2954"/>
      <w:bookmarkEnd w:id="2954"/>
      <w:r>
        <w:rPr>
          <w:vertAlign w:val="baseline"/>
        </w:rPr>
        <w:t>may</w:t>
      </w:r>
      <w:r>
        <w:rPr>
          <w:vertAlign w:val="baseline"/>
        </w:rPr>
        <w:t> be awarded. </w:t>
      </w:r>
      <w:r>
        <w:rPr>
          <w:color w:val="005DA1"/>
          <w:u w:val="single" w:color="005DA1"/>
          <w:vertAlign w:val="superscript"/>
        </w:rPr>
        <w:t>1555</w:t>
      </w:r>
      <w:r>
        <w:rPr>
          <w:color w:val="005DA1"/>
          <w:vertAlign w:val="baseline"/>
        </w:rPr>
        <w:t> </w:t>
      </w:r>
      <w:r>
        <w:rPr>
          <w:vertAlign w:val="baseline"/>
        </w:rPr>
        <w:t>But the arbitral tribunal cannot award interest on a debt which was paid late but before the proceedings began. </w:t>
      </w:r>
      <w:r>
        <w:rPr>
          <w:color w:val="005DA1"/>
          <w:u w:val="single" w:color="005DA1"/>
          <w:vertAlign w:val="superscript"/>
        </w:rPr>
        <w:t>1556</w:t>
      </w:r>
    </w:p>
    <w:p>
      <w:pPr>
        <w:pStyle w:val="BodyText"/>
      </w:pPr>
    </w:p>
    <w:p>
      <w:pPr>
        <w:pStyle w:val="BodyText"/>
        <w:spacing w:before="36"/>
      </w:pPr>
      <w:r>
        <w:rPr/>
        <mc:AlternateContent>
          <mc:Choice Requires="wps">
            <w:drawing>
              <wp:anchor distT="0" distB="0" distL="0" distR="0" allowOverlap="1" layoutInCell="1" locked="0" behindDoc="1" simplePos="0" relativeHeight="487751168">
                <wp:simplePos x="0" y="0"/>
                <wp:positionH relativeFrom="page">
                  <wp:posOffset>914400</wp:posOffset>
                </wp:positionH>
                <wp:positionV relativeFrom="paragraph">
                  <wp:posOffset>184545</wp:posOffset>
                </wp:positionV>
                <wp:extent cx="5724525" cy="1270"/>
                <wp:effectExtent l="0" t="0" r="0" b="0"/>
                <wp:wrapTopAndBottom/>
                <wp:docPr id="1336" name="Graphic 1336"/>
                <wp:cNvGraphicFramePr>
                  <a:graphicFrameLocks/>
                </wp:cNvGraphicFramePr>
                <a:graphic>
                  <a:graphicData uri="http://schemas.microsoft.com/office/word/2010/wordprocessingShape">
                    <wps:wsp>
                      <wps:cNvPr id="1336" name="Graphic 13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114pt;width:450.75pt;height:.1pt;mso-position-horizontal-relative:page;mso-position-vertical-relative:paragraph;z-index:-15565312;mso-wrap-distance-left:0;mso-wrap-distance-right:0" id="docshape132"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ind w:left="165"/>
      </w:pP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9"/>
      </w:pPr>
    </w:p>
    <w:p>
      <w:pPr>
        <w:spacing w:line="235" w:lineRule="auto" w:before="0"/>
        <w:ind w:left="705" w:right="167" w:hanging="541"/>
        <w:jc w:val="both"/>
        <w:rPr>
          <w:sz w:val="20"/>
        </w:rPr>
      </w:pPr>
      <w:bookmarkStart w:name="_bookmark2953" w:id="2955"/>
      <w:bookmarkEnd w:id="2955"/>
      <w:r>
        <w:rPr/>
      </w:r>
      <w:hyperlink w:history="true" w:anchor="_bookmark2948">
        <w:r>
          <w:rPr>
            <w:color w:val="005DA1"/>
            <w:position w:val="5"/>
            <w:sz w:val="14"/>
            <w:u w:val="single" w:color="005DA1"/>
          </w:rPr>
          <w:t>1550</w:t>
        </w:r>
      </w:hyperlink>
      <w:r>
        <w:rPr>
          <w:position w:val="5"/>
          <w:sz w:val="14"/>
        </w:rPr>
        <w:t>.</w:t>
      </w:r>
      <w:r>
        <w:rPr>
          <w:spacing w:val="80"/>
          <w:position w:val="5"/>
          <w:sz w:val="14"/>
        </w:rPr>
        <w:t> </w:t>
      </w:r>
      <w:r>
        <w:rPr>
          <w:rFonts w:ascii="Arial"/>
          <w:i/>
          <w:sz w:val="20"/>
        </w:rPr>
        <w:t>President</w:t>
      </w:r>
      <w:r>
        <w:rPr>
          <w:rFonts w:ascii="Arial"/>
          <w:i/>
          <w:spacing w:val="40"/>
          <w:sz w:val="20"/>
        </w:rPr>
        <w:t> </w:t>
      </w:r>
      <w:r>
        <w:rPr>
          <w:rFonts w:ascii="Arial"/>
          <w:i/>
          <w:sz w:val="20"/>
        </w:rPr>
        <w:t>of</w:t>
      </w:r>
      <w:r>
        <w:rPr>
          <w:rFonts w:ascii="Arial"/>
          <w:i/>
          <w:spacing w:val="40"/>
          <w:sz w:val="20"/>
        </w:rPr>
        <w:t> </w:t>
      </w:r>
      <w:r>
        <w:rPr>
          <w:rFonts w:ascii="Arial"/>
          <w:i/>
          <w:sz w:val="20"/>
        </w:rPr>
        <w:t>India</w:t>
      </w:r>
      <w:r>
        <w:rPr>
          <w:rFonts w:ascii="Arial"/>
          <w:i/>
          <w:spacing w:val="40"/>
          <w:sz w:val="20"/>
        </w:rPr>
        <w:t> </w:t>
      </w:r>
      <w:r>
        <w:rPr>
          <w:rFonts w:ascii="Arial"/>
          <w:i/>
          <w:sz w:val="20"/>
        </w:rPr>
        <w:t>v</w:t>
      </w:r>
      <w:r>
        <w:rPr>
          <w:rFonts w:ascii="Arial"/>
          <w:i/>
          <w:spacing w:val="40"/>
          <w:sz w:val="20"/>
        </w:rPr>
        <w:t> </w:t>
      </w:r>
      <w:r>
        <w:rPr>
          <w:rFonts w:ascii="Arial"/>
          <w:i/>
          <w:sz w:val="20"/>
        </w:rPr>
        <w:t>La</w:t>
      </w:r>
      <w:r>
        <w:rPr>
          <w:rFonts w:ascii="Arial"/>
          <w:i/>
          <w:spacing w:val="40"/>
          <w:sz w:val="20"/>
        </w:rPr>
        <w:t> </w:t>
      </w:r>
      <w:r>
        <w:rPr>
          <w:rFonts w:ascii="Arial"/>
          <w:i/>
          <w:sz w:val="20"/>
        </w:rPr>
        <w:t>Pintada</w:t>
      </w:r>
      <w:r>
        <w:rPr>
          <w:rFonts w:ascii="Arial"/>
          <w:i/>
          <w:spacing w:val="40"/>
          <w:sz w:val="20"/>
        </w:rPr>
        <w:t> </w:t>
      </w:r>
      <w:r>
        <w:rPr>
          <w:rFonts w:ascii="Arial"/>
          <w:i/>
          <w:sz w:val="20"/>
        </w:rPr>
        <w:t>Compania</w:t>
      </w:r>
      <w:r>
        <w:rPr>
          <w:rFonts w:ascii="Arial"/>
          <w:i/>
          <w:spacing w:val="40"/>
          <w:sz w:val="20"/>
        </w:rPr>
        <w:t> </w:t>
      </w:r>
      <w:r>
        <w:rPr>
          <w:rFonts w:ascii="Arial"/>
          <w:i/>
          <w:sz w:val="20"/>
        </w:rPr>
        <w:t>Navegacion</w:t>
      </w:r>
      <w:r>
        <w:rPr>
          <w:rFonts w:ascii="Arial"/>
          <w:i/>
          <w:spacing w:val="40"/>
          <w:sz w:val="20"/>
        </w:rPr>
        <w:t> </w:t>
      </w:r>
      <w:r>
        <w:rPr>
          <w:rFonts w:ascii="Arial"/>
          <w:i/>
          <w:sz w:val="20"/>
        </w:rPr>
        <w:t>SA</w:t>
      </w:r>
      <w:r>
        <w:rPr>
          <w:rFonts w:ascii="Arial"/>
          <w:i/>
          <w:spacing w:val="40"/>
          <w:sz w:val="20"/>
        </w:rPr>
        <w:t> </w:t>
      </w:r>
      <w:r>
        <w:rPr>
          <w:rFonts w:ascii="Arial"/>
          <w:i/>
          <w:sz w:val="20"/>
        </w:rPr>
        <w:t>[1985]</w:t>
      </w:r>
      <w:r>
        <w:rPr>
          <w:rFonts w:ascii="Arial"/>
          <w:i/>
          <w:spacing w:val="40"/>
          <w:sz w:val="20"/>
        </w:rPr>
        <w:t> </w:t>
      </w:r>
      <w:r>
        <w:rPr>
          <w:rFonts w:ascii="Arial"/>
          <w:i/>
          <w:sz w:val="20"/>
        </w:rPr>
        <w:t>A.C.</w:t>
      </w:r>
      <w:r>
        <w:rPr>
          <w:rFonts w:ascii="Arial"/>
          <w:i/>
          <w:spacing w:val="40"/>
          <w:sz w:val="20"/>
        </w:rPr>
        <w:t> </w:t>
      </w:r>
      <w:r>
        <w:rPr>
          <w:rFonts w:ascii="Arial"/>
          <w:i/>
          <w:sz w:val="20"/>
        </w:rPr>
        <w:t>104</w:t>
      </w:r>
      <w:r>
        <w:rPr>
          <w:sz w:val="20"/>
        </w:rPr>
        <w:t>.</w:t>
      </w:r>
      <w:r>
        <w:rPr>
          <w:spacing w:val="40"/>
          <w:sz w:val="20"/>
        </w:rPr>
        <w:t> </w:t>
      </w:r>
      <w:r>
        <w:rPr>
          <w:sz w:val="20"/>
        </w:rPr>
        <w:t>See</w:t>
      </w:r>
      <w:r>
        <w:rPr>
          <w:spacing w:val="40"/>
          <w:sz w:val="20"/>
        </w:rPr>
        <w:t> </w:t>
      </w:r>
      <w:r>
        <w:rPr>
          <w:sz w:val="20"/>
        </w:rPr>
        <w:t>above, para.26-228. (In the same case it was held that the Admiralty jurisdiction does not extend to the award of interest on debts already paid, nor to the award of compound interest.) But see now above, para.26-230.</w:t>
      </w:r>
    </w:p>
    <w:p>
      <w:pPr>
        <w:pStyle w:val="BodyText"/>
        <w:spacing w:before="8"/>
      </w:pPr>
    </w:p>
    <w:p>
      <w:pPr>
        <w:spacing w:line="235" w:lineRule="auto" w:before="0"/>
        <w:ind w:left="705" w:right="167" w:hanging="541"/>
        <w:jc w:val="both"/>
        <w:rPr>
          <w:sz w:val="20"/>
        </w:rPr>
      </w:pPr>
      <w:bookmarkStart w:name="_bookmark2954" w:id="2956"/>
      <w:bookmarkEnd w:id="2956"/>
      <w:r>
        <w:rPr/>
      </w:r>
      <w:hyperlink w:history="true" w:anchor="_bookmark2948">
        <w:r>
          <w:rPr>
            <w:color w:val="005DA1"/>
            <w:position w:val="5"/>
            <w:sz w:val="14"/>
            <w:u w:val="single" w:color="005DA1"/>
          </w:rPr>
          <w:t>1551</w:t>
        </w:r>
      </w:hyperlink>
      <w:r>
        <w:rPr>
          <w:position w:val="5"/>
          <w:sz w:val="14"/>
        </w:rPr>
        <w:t>.</w:t>
      </w:r>
      <w:r>
        <w:rPr>
          <w:spacing w:val="40"/>
          <w:position w:val="5"/>
          <w:sz w:val="14"/>
        </w:rPr>
        <w:t> </w:t>
      </w:r>
      <w:r>
        <w:rPr>
          <w:sz w:val="20"/>
        </w:rPr>
        <w:t>Since an arbitration agreement impliedly empowers the arbitrator to decide the dispute</w:t>
      </w:r>
      <w:r>
        <w:rPr>
          <w:spacing w:val="80"/>
          <w:sz w:val="20"/>
        </w:rPr>
        <w:t> </w:t>
      </w:r>
      <w:r>
        <w:rPr>
          <w:sz w:val="20"/>
        </w:rPr>
        <w:t>according to the law existing at the date of his award, Arbitration Act 1996 s.49 applies to </w:t>
      </w:r>
      <w:r>
        <w:rPr>
          <w:sz w:val="20"/>
        </w:rPr>
        <w:t>all arbitration agreements under the Act, whenever made: </w:t>
      </w:r>
      <w:r>
        <w:rPr>
          <w:rFonts w:ascii="Arial"/>
          <w:i/>
          <w:sz w:val="20"/>
        </w:rPr>
        <w:t>Food Corp of India v Marastro</w:t>
      </w:r>
      <w:r>
        <w:rPr>
          <w:rFonts w:ascii="Arial"/>
          <w:i/>
          <w:spacing w:val="40"/>
          <w:sz w:val="20"/>
        </w:rPr>
        <w:t> </w:t>
      </w:r>
      <w:r>
        <w:rPr>
          <w:rFonts w:ascii="Arial"/>
          <w:i/>
          <w:sz w:val="20"/>
        </w:rPr>
        <w:t>Compania Naviera SA of Panama (The Trade Fortitude) [1987] 1 W.L.R. 134 </w:t>
      </w:r>
      <w:r>
        <w:rPr>
          <w:sz w:val="20"/>
        </w:rPr>
        <w:t>(decided on the previous Act).</w:t>
      </w:r>
    </w:p>
    <w:p>
      <w:pPr>
        <w:pStyle w:val="BodyText"/>
        <w:spacing w:before="5"/>
      </w:pPr>
    </w:p>
    <w:p>
      <w:pPr>
        <w:pStyle w:val="BodyText"/>
        <w:ind w:left="165"/>
      </w:pPr>
      <w:bookmarkStart w:name="_bookmark2955" w:id="2957"/>
      <w:bookmarkEnd w:id="2957"/>
      <w:r>
        <w:rPr/>
      </w:r>
      <w:hyperlink w:history="true" w:anchor="_bookmark2949">
        <w:r>
          <w:rPr>
            <w:color w:val="005DA1"/>
            <w:position w:val="5"/>
            <w:sz w:val="14"/>
            <w:u w:val="single" w:color="005DA1"/>
          </w:rPr>
          <w:t>1552</w:t>
        </w:r>
      </w:hyperlink>
      <w:r>
        <w:rPr>
          <w:position w:val="5"/>
          <w:sz w:val="14"/>
        </w:rPr>
        <w:t>.</w:t>
      </w:r>
      <w:r>
        <w:rPr>
          <w:spacing w:val="55"/>
          <w:position w:val="5"/>
          <w:sz w:val="14"/>
        </w:rPr>
        <w:t>  </w:t>
      </w:r>
      <w:r>
        <w:rPr/>
        <w:t>See</w:t>
      </w:r>
      <w:r>
        <w:rPr>
          <w:spacing w:val="1"/>
        </w:rPr>
        <w:t> </w:t>
      </w:r>
      <w:r>
        <w:rPr/>
        <w:t>below, para.26-246 for interest after the date of the </w:t>
      </w:r>
      <w:r>
        <w:rPr>
          <w:spacing w:val="-2"/>
        </w:rPr>
        <w:t>award.</w:t>
      </w:r>
    </w:p>
    <w:p>
      <w:pPr>
        <w:pStyle w:val="BodyText"/>
        <w:spacing w:before="8"/>
      </w:pPr>
    </w:p>
    <w:p>
      <w:pPr>
        <w:pStyle w:val="BodyText"/>
        <w:spacing w:line="235" w:lineRule="auto" w:before="1"/>
        <w:ind w:left="705" w:hanging="541"/>
      </w:pPr>
      <w:bookmarkStart w:name="_bookmark2956" w:id="2958"/>
      <w:bookmarkEnd w:id="2958"/>
      <w:r>
        <w:rPr/>
      </w:r>
      <w:hyperlink w:history="true" w:anchor="_bookmark2950">
        <w:r>
          <w:rPr>
            <w:color w:val="005DA1"/>
            <w:position w:val="5"/>
            <w:sz w:val="14"/>
            <w:u w:val="single" w:color="005DA1"/>
          </w:rPr>
          <w:t>1553</w:t>
        </w:r>
      </w:hyperlink>
      <w:r>
        <w:rPr>
          <w:position w:val="5"/>
          <w:sz w:val="14"/>
        </w:rPr>
        <w:t>.</w:t>
      </w:r>
      <w:r>
        <w:rPr>
          <w:spacing w:val="40"/>
          <w:position w:val="5"/>
          <w:sz w:val="14"/>
        </w:rPr>
        <w:t>  </w:t>
      </w:r>
      <w:r>
        <w:rPr/>
        <w:t>s.49(3).</w:t>
      </w:r>
      <w:r>
        <w:rPr>
          <w:spacing w:val="30"/>
        </w:rPr>
        <w:t> </w:t>
      </w:r>
      <w:r>
        <w:rPr/>
        <w:t>By</w:t>
      </w:r>
      <w:r>
        <w:rPr>
          <w:spacing w:val="30"/>
        </w:rPr>
        <w:t> </w:t>
      </w:r>
      <w:r>
        <w:rPr/>
        <w:t>s.49(6)</w:t>
      </w:r>
      <w:r>
        <w:rPr>
          <w:spacing w:val="30"/>
        </w:rPr>
        <w:t> </w:t>
      </w:r>
      <w:r>
        <w:rPr/>
        <w:t>the</w:t>
      </w:r>
      <w:r>
        <w:rPr>
          <w:spacing w:val="30"/>
        </w:rPr>
        <w:t> </w:t>
      </w:r>
      <w:r>
        <w:rPr/>
        <w:t>provisions</w:t>
      </w:r>
      <w:r>
        <w:rPr>
          <w:spacing w:val="30"/>
        </w:rPr>
        <w:t> </w:t>
      </w:r>
      <w:r>
        <w:rPr/>
        <w:t>in</w:t>
      </w:r>
      <w:r>
        <w:rPr>
          <w:spacing w:val="30"/>
        </w:rPr>
        <w:t> </w:t>
      </w:r>
      <w:r>
        <w:rPr/>
        <w:t>s.49(3)</w:t>
      </w:r>
      <w:r>
        <w:rPr>
          <w:spacing w:val="30"/>
        </w:rPr>
        <w:t> </w:t>
      </w:r>
      <w:r>
        <w:rPr/>
        <w:t>do</w:t>
      </w:r>
      <w:r>
        <w:rPr>
          <w:spacing w:val="30"/>
        </w:rPr>
        <w:t> </w:t>
      </w:r>
      <w:r>
        <w:rPr/>
        <w:t>not</w:t>
      </w:r>
      <w:r>
        <w:rPr>
          <w:spacing w:val="30"/>
        </w:rPr>
        <w:t> </w:t>
      </w:r>
      <w:r>
        <w:rPr/>
        <w:t>affect</w:t>
      </w:r>
      <w:r>
        <w:rPr>
          <w:spacing w:val="30"/>
        </w:rPr>
        <w:t> </w:t>
      </w:r>
      <w:r>
        <w:rPr/>
        <w:t>any</w:t>
      </w:r>
      <w:r>
        <w:rPr>
          <w:spacing w:val="30"/>
        </w:rPr>
        <w:t> </w:t>
      </w:r>
      <w:r>
        <w:rPr/>
        <w:t>other</w:t>
      </w:r>
      <w:r>
        <w:rPr>
          <w:spacing w:val="30"/>
        </w:rPr>
        <w:t> </w:t>
      </w:r>
      <w:r>
        <w:rPr/>
        <w:t>power</w:t>
      </w:r>
      <w:r>
        <w:rPr>
          <w:spacing w:val="30"/>
        </w:rPr>
        <w:t> </w:t>
      </w:r>
      <w:r>
        <w:rPr/>
        <w:t>of</w:t>
      </w:r>
      <w:r>
        <w:rPr>
          <w:spacing w:val="30"/>
        </w:rPr>
        <w:t> </w:t>
      </w:r>
      <w:r>
        <w:rPr/>
        <w:t>the</w:t>
      </w:r>
      <w:r>
        <w:rPr>
          <w:spacing w:val="30"/>
        </w:rPr>
        <w:t> </w:t>
      </w:r>
      <w:r>
        <w:rPr/>
        <w:t>tribunal</w:t>
      </w:r>
      <w:r>
        <w:rPr>
          <w:spacing w:val="30"/>
        </w:rPr>
        <w:t> </w:t>
      </w:r>
      <w:r>
        <w:rPr/>
        <w:t>to award interest, e.g. above, para.26-244.</w:t>
      </w:r>
    </w:p>
    <w:p>
      <w:pPr>
        <w:pStyle w:val="BodyText"/>
        <w:spacing w:before="9"/>
      </w:pPr>
    </w:p>
    <w:p>
      <w:pPr>
        <w:spacing w:line="235" w:lineRule="auto" w:before="0"/>
        <w:ind w:left="705" w:right="167" w:hanging="541"/>
        <w:jc w:val="both"/>
        <w:rPr>
          <w:sz w:val="20"/>
        </w:rPr>
      </w:pPr>
      <w:bookmarkStart w:name="_bookmark2957" w:id="2959"/>
      <w:bookmarkEnd w:id="2959"/>
      <w:r>
        <w:rPr/>
      </w:r>
      <w:hyperlink w:history="true" w:anchor="_bookmark2950">
        <w:r>
          <w:rPr>
            <w:color w:val="005DA1"/>
            <w:position w:val="5"/>
            <w:sz w:val="14"/>
            <w:u w:val="single" w:color="005DA1"/>
          </w:rPr>
          <w:t>1554</w:t>
        </w:r>
      </w:hyperlink>
      <w:r>
        <w:rPr>
          <w:position w:val="5"/>
          <w:sz w:val="14"/>
        </w:rPr>
        <w:t>.</w:t>
      </w:r>
      <w:r>
        <w:rPr>
          <w:spacing w:val="80"/>
          <w:position w:val="5"/>
          <w:sz w:val="14"/>
        </w:rPr>
        <w:t> </w:t>
      </w:r>
      <w:r>
        <w:rPr>
          <w:sz w:val="20"/>
        </w:rPr>
        <w:t>See above, paras 26-236 et seq. The power of the arbitral tribunal applies whether the sum claimed is a debt or damages: </w:t>
      </w:r>
      <w:r>
        <w:rPr>
          <w:rFonts w:ascii="Arial" w:hAnsi="Arial"/>
          <w:i/>
          <w:sz w:val="20"/>
        </w:rPr>
        <w:t>Edmunds v Lloyd Italico, etc. SpA [1986] 1 W.L.R. 492, 495–496 </w:t>
      </w:r>
      <w:r>
        <w:rPr>
          <w:sz w:val="20"/>
        </w:rPr>
        <w:t>(decided on the preceding Act).</w:t>
      </w:r>
    </w:p>
    <w:p>
      <w:pPr>
        <w:pStyle w:val="BodyText"/>
        <w:spacing w:before="5"/>
      </w:pPr>
    </w:p>
    <w:p>
      <w:pPr>
        <w:spacing w:before="0"/>
        <w:ind w:left="165" w:right="0" w:firstLine="0"/>
        <w:jc w:val="left"/>
        <w:rPr>
          <w:sz w:val="20"/>
        </w:rPr>
      </w:pPr>
      <w:bookmarkStart w:name="_bookmark2958" w:id="2960"/>
      <w:bookmarkEnd w:id="2960"/>
      <w:r>
        <w:rPr/>
      </w:r>
      <w:hyperlink w:history="true" w:anchor="_bookmark2951">
        <w:r>
          <w:rPr>
            <w:color w:val="005DA1"/>
            <w:position w:val="5"/>
            <w:sz w:val="14"/>
            <w:u w:val="single" w:color="005DA1"/>
          </w:rPr>
          <w:t>1555</w:t>
        </w:r>
      </w:hyperlink>
      <w:r>
        <w:rPr>
          <w:position w:val="5"/>
          <w:sz w:val="14"/>
        </w:rPr>
        <w:t>.</w:t>
      </w:r>
      <w:r>
        <w:rPr>
          <w:spacing w:val="55"/>
          <w:position w:val="5"/>
          <w:sz w:val="14"/>
        </w:rPr>
        <w:t>  </w:t>
      </w:r>
      <w:r>
        <w:rPr>
          <w:sz w:val="20"/>
        </w:rPr>
        <w:t>See</w:t>
      </w:r>
      <w:r>
        <w:rPr>
          <w:spacing w:val="1"/>
          <w:sz w:val="20"/>
        </w:rPr>
        <w:t> </w:t>
      </w:r>
      <w:r>
        <w:rPr>
          <w:sz w:val="20"/>
        </w:rPr>
        <w:t>above, para.26-</w:t>
      </w:r>
      <w:r>
        <w:rPr>
          <w:spacing w:val="-4"/>
          <w:sz w:val="20"/>
        </w:rPr>
        <w:t>236.</w:t>
      </w:r>
    </w:p>
    <w:p>
      <w:pPr>
        <w:pStyle w:val="BodyText"/>
        <w:spacing w:before="5"/>
      </w:pPr>
    </w:p>
    <w:p>
      <w:pPr>
        <w:spacing w:before="0"/>
        <w:ind w:left="165" w:right="0" w:firstLine="0"/>
        <w:jc w:val="left"/>
        <w:rPr>
          <w:sz w:val="20"/>
        </w:rPr>
      </w:pPr>
      <w:bookmarkStart w:name="_bookmark2959" w:id="2961"/>
      <w:bookmarkEnd w:id="2961"/>
      <w:r>
        <w:rPr/>
      </w:r>
      <w:hyperlink w:history="true" w:anchor="_bookmark2952">
        <w:r>
          <w:rPr>
            <w:color w:val="005DA1"/>
            <w:position w:val="5"/>
            <w:sz w:val="14"/>
            <w:u w:val="single" w:color="005DA1"/>
          </w:rPr>
          <w:t>1556</w:t>
        </w:r>
      </w:hyperlink>
      <w:r>
        <w:rPr>
          <w:position w:val="5"/>
          <w:sz w:val="14"/>
        </w:rPr>
        <w:t>.</w:t>
      </w:r>
      <w:r>
        <w:rPr>
          <w:spacing w:val="55"/>
          <w:position w:val="5"/>
          <w:sz w:val="14"/>
        </w:rPr>
        <w:t>  </w:t>
      </w:r>
      <w:r>
        <w:rPr>
          <w:sz w:val="20"/>
        </w:rPr>
        <w:t>See</w:t>
      </w:r>
      <w:r>
        <w:rPr>
          <w:spacing w:val="1"/>
          <w:sz w:val="20"/>
        </w:rPr>
        <w:t> </w:t>
      </w:r>
      <w:r>
        <w:rPr>
          <w:sz w:val="20"/>
        </w:rPr>
        <w:t>the</w:t>
      </w:r>
      <w:r>
        <w:rPr>
          <w:spacing w:val="-1"/>
          <w:sz w:val="20"/>
        </w:rPr>
        <w:t> </w:t>
      </w:r>
      <w:r>
        <w:rPr>
          <w:rFonts w:ascii="Arial"/>
          <w:i/>
          <w:sz w:val="20"/>
        </w:rPr>
        <w:t>President of India [1985] A.C. 104.</w:t>
      </w:r>
      <w:r>
        <w:rPr>
          <w:rFonts w:ascii="Arial"/>
          <w:i/>
          <w:spacing w:val="-1"/>
          <w:sz w:val="20"/>
        </w:rPr>
        <w:t> </w:t>
      </w:r>
      <w:r>
        <w:rPr>
          <w:sz w:val="20"/>
        </w:rPr>
        <w:t>(cf. above, para.26-</w:t>
      </w:r>
      <w:r>
        <w:rPr>
          <w:spacing w:val="-2"/>
          <w:sz w:val="20"/>
        </w:rPr>
        <w:t>236).</w:t>
      </w:r>
    </w:p>
    <w:p>
      <w:pPr>
        <w:spacing w:after="0"/>
        <w:jc w:val="left"/>
        <w:rPr>
          <w:sz w:val="20"/>
        </w:rPr>
        <w:sectPr>
          <w:headerReference w:type="default" r:id="rId70"/>
          <w:pgSz w:w="11900" w:h="16840"/>
          <w:pgMar w:header="971" w:footer="0" w:top="1300" w:bottom="280" w:left="1275" w:right="1275"/>
          <w:pgNumType w:start="1"/>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947" w:right="1950"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940" w:right="943" w:firstLine="0"/>
        <w:jc w:val="center"/>
        <w:rPr>
          <w:rFonts w:ascii="Arial"/>
          <w:b/>
          <w:position w:val="11"/>
          <w:sz w:val="12"/>
        </w:rPr>
      </w:pPr>
      <w:bookmarkStart w:name="_bookmark2960" w:id="2962"/>
      <w:bookmarkEnd w:id="2962"/>
      <w:r>
        <w:rPr/>
      </w:r>
      <w:r>
        <w:rPr>
          <w:rFonts w:ascii="Arial"/>
          <w:b/>
          <w:sz w:val="24"/>
        </w:rPr>
        <w:t>Section</w:t>
      </w:r>
      <w:r>
        <w:rPr>
          <w:rFonts w:ascii="Arial"/>
          <w:b/>
          <w:spacing w:val="-2"/>
          <w:sz w:val="24"/>
        </w:rPr>
        <w:t> </w:t>
      </w:r>
      <w:r>
        <w:rPr>
          <w:rFonts w:ascii="Arial"/>
          <w:b/>
          <w:sz w:val="24"/>
        </w:rPr>
        <w:t>12. - Interest</w:t>
      </w:r>
      <w:r>
        <w:rPr>
          <w:rFonts w:ascii="Arial"/>
          <w:b/>
          <w:spacing w:val="-1"/>
          <w:sz w:val="24"/>
        </w:rPr>
        <w:t> </w:t>
      </w:r>
      <w:r>
        <w:rPr>
          <w:rFonts w:ascii="Arial"/>
          <w:b/>
          <w:color w:val="005DA1"/>
          <w:spacing w:val="-4"/>
          <w:position w:val="11"/>
          <w:sz w:val="12"/>
          <w:u w:val="single" w:color="005DA1"/>
        </w:rPr>
        <w:t>1434</w:t>
      </w:r>
    </w:p>
    <w:p>
      <w:pPr>
        <w:pStyle w:val="ListParagraph"/>
        <w:numPr>
          <w:ilvl w:val="0"/>
          <w:numId w:val="14"/>
        </w:numPr>
        <w:tabs>
          <w:tab w:pos="3198" w:val="left" w:leader="none"/>
        </w:tabs>
        <w:spacing w:line="240" w:lineRule="auto" w:before="194" w:after="0"/>
        <w:ind w:left="3198" w:right="0" w:hanging="373"/>
        <w:jc w:val="left"/>
        <w:rPr>
          <w:b/>
          <w:sz w:val="24"/>
        </w:rPr>
      </w:pPr>
      <w:r>
        <w:rPr>
          <w:b/>
          <w:sz w:val="24"/>
        </w:rPr>
        <w:t>- Interest on Judgment </w:t>
      </w:r>
      <w:r>
        <w:rPr>
          <w:b/>
          <w:spacing w:val="-2"/>
          <w:sz w:val="24"/>
        </w:rPr>
        <w:t>Debts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Interest on judgment debts and arbitration </w:t>
      </w:r>
      <w:r>
        <w:rPr>
          <w:rFonts w:ascii="Arial"/>
          <w:b/>
          <w:spacing w:val="-2"/>
          <w:sz w:val="18"/>
        </w:rPr>
        <w:t>awards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26-</w:t>
      </w:r>
      <w:r>
        <w:rPr>
          <w:rFonts w:ascii="Arial"/>
          <w:b/>
          <w:spacing w:val="-5"/>
          <w:sz w:val="24"/>
        </w:rPr>
        <w:t>246</w:t>
      </w:r>
    </w:p>
    <w:p>
      <w:pPr>
        <w:pStyle w:val="BodyText"/>
        <w:spacing w:line="235" w:lineRule="auto" w:before="202"/>
        <w:ind w:left="164" w:right="167"/>
        <w:jc w:val="both"/>
      </w:pPr>
      <w:bookmarkStart w:name="_bookmark2961" w:id="2963"/>
      <w:bookmarkEnd w:id="2963"/>
      <w:r>
        <w:rPr/>
      </w:r>
      <w:r>
        <w:rPr/>
        <w:t>A special enactment prescribes the rate of interest on a High Court judgment debt from the time </w:t>
      </w:r>
      <w:r>
        <w:rPr/>
        <w:t>of </w:t>
      </w:r>
      <w:bookmarkStart w:name="_bookmark2962" w:id="2964"/>
      <w:bookmarkEnd w:id="2964"/>
      <w:r>
        <w:rPr/>
        <w:t>entering</w:t>
      </w:r>
      <w:r>
        <w:rPr/>
        <w:t> up the judgment </w:t>
      </w:r>
      <w:r>
        <w:rPr>
          <w:color w:val="005DA1"/>
          <w:u w:val="single" w:color="005DA1"/>
          <w:vertAlign w:val="superscript"/>
        </w:rPr>
        <w:t>1557</w:t>
      </w:r>
      <w:r>
        <w:rPr>
          <w:vertAlign w:val="baseline"/>
        </w:rPr>
        <w:t>: the current rate is fixed from time to time by statutory instrument. </w:t>
      </w:r>
      <w:r>
        <w:rPr>
          <w:color w:val="005DA1"/>
          <w:u w:val="single" w:color="005DA1"/>
          <w:vertAlign w:val="superscript"/>
        </w:rPr>
        <w:t>1558</w:t>
      </w:r>
      <w:r>
        <w:rPr>
          <w:color w:val="005DA1"/>
          <w:vertAlign w:val="baseline"/>
        </w:rPr>
        <w:t> </w:t>
      </w:r>
      <w:r>
        <w:rPr>
          <w:vertAlign w:val="baseline"/>
        </w:rPr>
        <w:t>County Court judgments </w:t>
      </w:r>
      <w:r>
        <w:rPr>
          <w:color w:val="005DA1"/>
          <w:u w:val="single" w:color="005DA1"/>
          <w:vertAlign w:val="superscript"/>
        </w:rPr>
        <w:t>1559</w:t>
      </w:r>
      <w:r>
        <w:rPr>
          <w:color w:val="005DA1"/>
          <w:vertAlign w:val="baseline"/>
        </w:rPr>
        <w:t> </w:t>
      </w:r>
      <w:r>
        <w:rPr>
          <w:vertAlign w:val="baseline"/>
        </w:rPr>
        <w:t>for £5,000 or more also carry interest at the same rate. </w:t>
      </w:r>
      <w:r>
        <w:rPr>
          <w:color w:val="005DA1"/>
          <w:u w:val="single" w:color="005DA1"/>
          <w:vertAlign w:val="superscript"/>
        </w:rPr>
        <w:t>1560</w:t>
      </w:r>
      <w:r>
        <w:rPr>
          <w:color w:val="005DA1"/>
          <w:vertAlign w:val="baseline"/>
        </w:rPr>
        <w:t> </w:t>
      </w:r>
      <w:r>
        <w:rPr>
          <w:vertAlign w:val="baseline"/>
        </w:rPr>
        <w:t>The rate of </w:t>
      </w:r>
      <w:bookmarkStart w:name="_bookmark2963" w:id="2965"/>
      <w:bookmarkEnd w:id="2965"/>
      <w:r>
        <w:rPr>
          <w:vertAlign w:val="baseline"/>
        </w:rPr>
        <w:t>interest</w:t>
      </w:r>
      <w:r>
        <w:rPr>
          <w:vertAlign w:val="baseline"/>
        </w:rPr>
        <w:t> is fixed at the rate in force at the time the judgment was entered up: it does not fluctuate in </w:t>
      </w:r>
      <w:bookmarkStart w:name="_bookmark2964" w:id="2966"/>
      <w:bookmarkEnd w:id="2966"/>
      <w:r>
        <w:rPr>
          <w:vertAlign w:val="baseline"/>
        </w:rPr>
        <w:t>accordance</w:t>
      </w:r>
      <w:r>
        <w:rPr>
          <w:vertAlign w:val="baseline"/>
        </w:rPr>
        <w:t> with later statutory instruments made before the judgment or award is satisfied. </w:t>
      </w:r>
      <w:r>
        <w:rPr>
          <w:color w:val="005DA1"/>
          <w:u w:val="single" w:color="005DA1"/>
          <w:vertAlign w:val="superscript"/>
        </w:rPr>
        <w:t>1561</w:t>
      </w:r>
      <w:r>
        <w:rPr>
          <w:color w:val="005DA1"/>
          <w:vertAlign w:val="baseline"/>
        </w:rPr>
        <w:t> </w:t>
      </w:r>
      <w:r>
        <w:rPr>
          <w:vertAlign w:val="baseline"/>
        </w:rPr>
        <w:t>By </w:t>
      </w:r>
      <w:bookmarkStart w:name="_bookmark2965" w:id="2967"/>
      <w:bookmarkEnd w:id="2967"/>
      <w:r>
        <w:rPr>
          <w:vertAlign w:val="baseline"/>
        </w:rPr>
        <w:t>statute,</w:t>
      </w:r>
      <w:r>
        <w:rPr>
          <w:vertAlign w:val="baseline"/>
        </w:rPr>
        <w:t> </w:t>
      </w:r>
      <w:r>
        <w:rPr>
          <w:color w:val="005DA1"/>
          <w:u w:val="single" w:color="005DA1"/>
          <w:vertAlign w:val="superscript"/>
        </w:rPr>
        <w:t>1562</w:t>
      </w:r>
      <w:r>
        <w:rPr>
          <w:color w:val="005DA1"/>
          <w:vertAlign w:val="baseline"/>
        </w:rPr>
        <w:t> </w:t>
      </w:r>
      <w:r>
        <w:rPr>
          <w:vertAlign w:val="baseline"/>
        </w:rPr>
        <w:t>an arbitrator has discretion to decide whether an award should or should not carry interest. </w:t>
      </w:r>
      <w:r>
        <w:rPr>
          <w:color w:val="005DA1"/>
          <w:u w:val="single" w:color="005DA1"/>
          <w:vertAlign w:val="superscript"/>
        </w:rPr>
        <w:t>1563</w:t>
      </w:r>
      <w:r>
        <w:rPr>
          <w:color w:val="005DA1"/>
          <w:vertAlign w:val="baseline"/>
        </w:rPr>
        <w:t> </w:t>
      </w:r>
      <w:r>
        <w:rPr>
          <w:vertAlign w:val="baseline"/>
        </w:rPr>
        <w:t>By the Arbitration Act 1996 </w:t>
      </w:r>
      <w:r>
        <w:rPr>
          <w:color w:val="005DA1"/>
          <w:u w:val="single" w:color="005DA1"/>
          <w:vertAlign w:val="superscript"/>
        </w:rPr>
        <w:t>1564</w:t>
      </w:r>
      <w:r>
        <w:rPr>
          <w:color w:val="005DA1"/>
          <w:vertAlign w:val="baseline"/>
        </w:rPr>
        <w:t> </w:t>
      </w:r>
      <w:r>
        <w:rPr>
          <w:vertAlign w:val="baseline"/>
        </w:rPr>
        <w:t>an arbitral tribunal may award simple or compound interest from the date of the award (or any later date) until payment: it has discretion to fix the rates of interest and the rests (if any).</w:t>
      </w:r>
    </w:p>
    <w:p>
      <w:pPr>
        <w:pStyle w:val="BodyText"/>
      </w:pPr>
    </w:p>
    <w:p>
      <w:pPr>
        <w:pStyle w:val="BodyText"/>
        <w:spacing w:before="37"/>
      </w:pPr>
      <w:r>
        <w:rPr/>
        <mc:AlternateContent>
          <mc:Choice Requires="wps">
            <w:drawing>
              <wp:anchor distT="0" distB="0" distL="0" distR="0" allowOverlap="1" layoutInCell="1" locked="0" behindDoc="1" simplePos="0" relativeHeight="487751680">
                <wp:simplePos x="0" y="0"/>
                <wp:positionH relativeFrom="page">
                  <wp:posOffset>914400</wp:posOffset>
                </wp:positionH>
                <wp:positionV relativeFrom="paragraph">
                  <wp:posOffset>184787</wp:posOffset>
                </wp:positionV>
                <wp:extent cx="5724525" cy="1270"/>
                <wp:effectExtent l="0" t="0" r="0" b="0"/>
                <wp:wrapTopAndBottom/>
                <wp:docPr id="1338" name="Graphic 1338"/>
                <wp:cNvGraphicFramePr>
                  <a:graphicFrameLocks/>
                </wp:cNvGraphicFramePr>
                <a:graphic>
                  <a:graphicData uri="http://schemas.microsoft.com/office/word/2010/wordprocessingShape">
                    <wps:wsp>
                      <wps:cNvPr id="1338" name="Graphic 13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183pt;width:450.75pt;height:.1pt;mso-position-horizontal-relative:page;mso-position-vertical-relative:paragraph;z-index:-15564800;mso-wrap-distance-left:0;mso-wrap-distance-right:0" id="docshape134"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ind w:left="165"/>
      </w:pPr>
      <w:bookmarkStart w:name="_bookmark2966" w:id="2968"/>
      <w:bookmarkEnd w:id="2968"/>
      <w:r>
        <w:rPr/>
      </w:r>
      <w:hyperlink w:history="true" w:anchor="_bookmark2960">
        <w:r>
          <w:rPr>
            <w:color w:val="005DA1"/>
            <w:position w:val="5"/>
            <w:sz w:val="14"/>
            <w:u w:val="single" w:color="005DA1"/>
          </w:rPr>
          <w:t>1434</w:t>
        </w:r>
      </w:hyperlink>
      <w:r>
        <w:rPr>
          <w:position w:val="5"/>
          <w:sz w:val="14"/>
        </w:rPr>
        <w:t>.</w:t>
      </w:r>
      <w:r>
        <w:rPr>
          <w:spacing w:val="55"/>
          <w:position w:val="5"/>
          <w:sz w:val="14"/>
        </w:rPr>
        <w:t>  </w:t>
      </w:r>
      <w:r>
        <w:rPr/>
        <w:t>See</w:t>
      </w:r>
      <w:r>
        <w:rPr>
          <w:spacing w:val="1"/>
        </w:rPr>
        <w:t> </w:t>
      </w:r>
      <w:r>
        <w:rPr/>
        <w:t>also Vol.II, paras 39-284 et seq.; McGregor on Damages, 19th edn (2014), </w:t>
      </w:r>
      <w:r>
        <w:rPr>
          <w:spacing w:val="-2"/>
        </w:rPr>
        <w:t>Ch.18.</w:t>
      </w:r>
    </w:p>
    <w:p>
      <w:pPr>
        <w:pStyle w:val="BodyText"/>
        <w:spacing w:before="9"/>
      </w:pPr>
    </w:p>
    <w:p>
      <w:pPr>
        <w:pStyle w:val="BodyText"/>
        <w:spacing w:line="235" w:lineRule="auto"/>
        <w:ind w:left="705" w:right="167" w:hanging="541"/>
        <w:jc w:val="both"/>
        <w:rPr>
          <w:rFonts w:ascii="Arial"/>
          <w:i/>
        </w:rPr>
      </w:pPr>
      <w:bookmarkStart w:name="_bookmark2967" w:id="2969"/>
      <w:bookmarkEnd w:id="2969"/>
      <w:r>
        <w:rPr/>
      </w:r>
      <w:hyperlink w:history="true" w:anchor="_bookmark2961">
        <w:r>
          <w:rPr>
            <w:color w:val="005DA1"/>
            <w:position w:val="5"/>
            <w:sz w:val="14"/>
            <w:u w:val="single" w:color="005DA1"/>
          </w:rPr>
          <w:t>1557</w:t>
        </w:r>
      </w:hyperlink>
      <w:r>
        <w:rPr>
          <w:position w:val="5"/>
          <w:sz w:val="14"/>
        </w:rPr>
        <w:t>.</w:t>
      </w:r>
      <w:r>
        <w:rPr>
          <w:spacing w:val="80"/>
          <w:position w:val="5"/>
          <w:sz w:val="14"/>
        </w:rPr>
        <w:t> </w:t>
      </w:r>
      <w:r>
        <w:rPr/>
        <w:t>Judgments Act 1838 s.17 (as amended by s.44(1) of the Administration of Justice Act 1970 which</w:t>
      </w:r>
      <w:r>
        <w:rPr>
          <w:spacing w:val="-3"/>
        </w:rPr>
        <w:t> </w:t>
      </w:r>
      <w:r>
        <w:rPr/>
        <w:t>empowers</w:t>
      </w:r>
      <w:r>
        <w:rPr>
          <w:spacing w:val="-3"/>
        </w:rPr>
        <w:t> </w:t>
      </w:r>
      <w:r>
        <w:rPr/>
        <w:t>the</w:t>
      </w:r>
      <w:r>
        <w:rPr>
          <w:spacing w:val="-3"/>
        </w:rPr>
        <w:t> </w:t>
      </w:r>
      <w:r>
        <w:rPr/>
        <w:t>making</w:t>
      </w:r>
      <w:r>
        <w:rPr>
          <w:spacing w:val="-3"/>
        </w:rPr>
        <w:t> </w:t>
      </w:r>
      <w:r>
        <w:rPr/>
        <w:t>of</w:t>
      </w:r>
      <w:r>
        <w:rPr>
          <w:spacing w:val="-3"/>
        </w:rPr>
        <w:t> </w:t>
      </w:r>
      <w:r>
        <w:rPr/>
        <w:t>an</w:t>
      </w:r>
      <w:r>
        <w:rPr>
          <w:spacing w:val="-3"/>
        </w:rPr>
        <w:t> </w:t>
      </w:r>
      <w:r>
        <w:rPr/>
        <w:t>order</w:t>
      </w:r>
      <w:r>
        <w:rPr>
          <w:spacing w:val="-3"/>
        </w:rPr>
        <w:t> </w:t>
      </w:r>
      <w:r>
        <w:rPr/>
        <w:t>amending</w:t>
      </w:r>
      <w:r>
        <w:rPr>
          <w:spacing w:val="-3"/>
        </w:rPr>
        <w:t> </w:t>
      </w:r>
      <w:r>
        <w:rPr/>
        <w:t>the</w:t>
      </w:r>
      <w:r>
        <w:rPr>
          <w:spacing w:val="-3"/>
        </w:rPr>
        <w:t> </w:t>
      </w:r>
      <w:r>
        <w:rPr/>
        <w:t>rate</w:t>
      </w:r>
      <w:r>
        <w:rPr>
          <w:spacing w:val="-3"/>
        </w:rPr>
        <w:t> </w:t>
      </w:r>
      <w:r>
        <w:rPr/>
        <w:t>of</w:t>
      </w:r>
      <w:r>
        <w:rPr>
          <w:spacing w:val="-3"/>
        </w:rPr>
        <w:t> </w:t>
      </w:r>
      <w:r>
        <w:rPr/>
        <w:t>interest</w:t>
      </w:r>
      <w:r>
        <w:rPr>
          <w:spacing w:val="-3"/>
        </w:rPr>
        <w:t> </w:t>
      </w:r>
      <w:r>
        <w:rPr/>
        <w:t>in</w:t>
      </w:r>
      <w:r>
        <w:rPr>
          <w:spacing w:val="-3"/>
        </w:rPr>
        <w:t> </w:t>
      </w:r>
      <w:r>
        <w:rPr/>
        <w:t>s.17).</w:t>
      </w:r>
      <w:r>
        <w:rPr>
          <w:spacing w:val="-3"/>
        </w:rPr>
        <w:t> </w:t>
      </w:r>
      <w:r>
        <w:rPr/>
        <w:t>The</w:t>
      </w:r>
      <w:r>
        <w:rPr>
          <w:spacing w:val="-3"/>
        </w:rPr>
        <w:t> </w:t>
      </w:r>
      <w:r>
        <w:rPr/>
        <w:t>interest</w:t>
      </w:r>
      <w:r>
        <w:rPr>
          <w:spacing w:val="-3"/>
        </w:rPr>
        <w:t> </w:t>
      </w:r>
      <w:r>
        <w:rPr/>
        <w:t>runs from</w:t>
      </w:r>
      <w:r>
        <w:rPr>
          <w:spacing w:val="18"/>
        </w:rPr>
        <w:t> </w:t>
      </w:r>
      <w:r>
        <w:rPr/>
        <w:t>the</w:t>
      </w:r>
      <w:r>
        <w:rPr>
          <w:spacing w:val="18"/>
        </w:rPr>
        <w:t> </w:t>
      </w:r>
      <w:r>
        <w:rPr/>
        <w:t>time</w:t>
      </w:r>
      <w:r>
        <w:rPr>
          <w:spacing w:val="18"/>
        </w:rPr>
        <w:t> </w:t>
      </w:r>
      <w:r>
        <w:rPr/>
        <w:t>of</w:t>
      </w:r>
      <w:r>
        <w:rPr>
          <w:spacing w:val="18"/>
        </w:rPr>
        <w:t> </w:t>
      </w:r>
      <w:r>
        <w:rPr/>
        <w:t>entering</w:t>
      </w:r>
      <w:r>
        <w:rPr>
          <w:spacing w:val="18"/>
        </w:rPr>
        <w:t> </w:t>
      </w:r>
      <w:r>
        <w:rPr/>
        <w:t>up</w:t>
      </w:r>
      <w:r>
        <w:rPr>
          <w:spacing w:val="18"/>
        </w:rPr>
        <w:t> </w:t>
      </w:r>
      <w:r>
        <w:rPr/>
        <w:t>a</w:t>
      </w:r>
      <w:r>
        <w:rPr>
          <w:spacing w:val="18"/>
        </w:rPr>
        <w:t> </w:t>
      </w:r>
      <w:r>
        <w:rPr/>
        <w:t>judgment,</w:t>
      </w:r>
      <w:r>
        <w:rPr>
          <w:spacing w:val="18"/>
        </w:rPr>
        <w:t> </w:t>
      </w:r>
      <w:r>
        <w:rPr/>
        <w:t>on</w:t>
      </w:r>
      <w:r>
        <w:rPr>
          <w:spacing w:val="18"/>
        </w:rPr>
        <w:t> </w:t>
      </w:r>
      <w:r>
        <w:rPr/>
        <w:t>which</w:t>
      </w:r>
      <w:r>
        <w:rPr>
          <w:spacing w:val="18"/>
        </w:rPr>
        <w:t> </w:t>
      </w:r>
      <w:r>
        <w:rPr/>
        <w:t>see</w:t>
      </w:r>
      <w:r>
        <w:rPr>
          <w:spacing w:val="17"/>
        </w:rPr>
        <w:t> </w:t>
      </w:r>
      <w:r>
        <w:rPr>
          <w:rFonts w:ascii="Arial"/>
          <w:i/>
        </w:rPr>
        <w:t>Parsons</w:t>
      </w:r>
      <w:r>
        <w:rPr>
          <w:rFonts w:ascii="Arial"/>
          <w:i/>
          <w:spacing w:val="18"/>
        </w:rPr>
        <w:t> </w:t>
      </w:r>
      <w:r>
        <w:rPr>
          <w:rFonts w:ascii="Arial"/>
          <w:i/>
        </w:rPr>
        <w:t>v</w:t>
      </w:r>
      <w:r>
        <w:rPr>
          <w:rFonts w:ascii="Arial"/>
          <w:i/>
          <w:spacing w:val="18"/>
        </w:rPr>
        <w:t> </w:t>
      </w:r>
      <w:r>
        <w:rPr>
          <w:rFonts w:ascii="Arial"/>
          <w:i/>
        </w:rPr>
        <w:t>Mather</w:t>
      </w:r>
      <w:r>
        <w:rPr>
          <w:rFonts w:ascii="Arial"/>
          <w:i/>
          <w:spacing w:val="18"/>
        </w:rPr>
        <w:t> </w:t>
      </w:r>
      <w:r>
        <w:rPr>
          <w:rFonts w:ascii="Arial"/>
          <w:i/>
        </w:rPr>
        <w:t>&amp;</w:t>
      </w:r>
      <w:r>
        <w:rPr>
          <w:rFonts w:ascii="Arial"/>
          <w:i/>
          <w:spacing w:val="18"/>
        </w:rPr>
        <w:t> </w:t>
      </w:r>
      <w:r>
        <w:rPr>
          <w:rFonts w:ascii="Arial"/>
          <w:i/>
        </w:rPr>
        <w:t>Platt</w:t>
      </w:r>
      <w:r>
        <w:rPr>
          <w:rFonts w:ascii="Arial"/>
          <w:i/>
          <w:spacing w:val="18"/>
        </w:rPr>
        <w:t> </w:t>
      </w:r>
      <w:r>
        <w:rPr>
          <w:rFonts w:ascii="Arial"/>
          <w:i/>
        </w:rPr>
        <w:t>Ltd</w:t>
      </w:r>
      <w:r>
        <w:rPr>
          <w:rFonts w:ascii="Arial"/>
          <w:i/>
          <w:spacing w:val="18"/>
        </w:rPr>
        <w:t> </w:t>
      </w:r>
      <w:r>
        <w:rPr>
          <w:rFonts w:ascii="Arial"/>
          <w:i/>
        </w:rPr>
        <w:t>[1977]</w:t>
      </w:r>
      <w:r>
        <w:rPr>
          <w:rFonts w:ascii="Arial"/>
          <w:i/>
          <w:spacing w:val="18"/>
        </w:rPr>
        <w:t> </w:t>
      </w:r>
      <w:r>
        <w:rPr>
          <w:rFonts w:ascii="Arial"/>
          <w:i/>
          <w:spacing w:val="-10"/>
        </w:rPr>
        <w:t>1</w:t>
      </w:r>
    </w:p>
    <w:p>
      <w:pPr>
        <w:spacing w:line="235" w:lineRule="auto" w:before="0"/>
        <w:ind w:left="705" w:right="167" w:firstLine="0"/>
        <w:jc w:val="both"/>
        <w:rPr>
          <w:sz w:val="20"/>
        </w:rPr>
      </w:pPr>
      <w:r>
        <w:rPr>
          <w:rFonts w:ascii="Arial"/>
          <w:i/>
          <w:sz w:val="20"/>
        </w:rPr>
        <w:t>W.L.R. 855 </w:t>
      </w:r>
      <w:r>
        <w:rPr>
          <w:sz w:val="20"/>
        </w:rPr>
        <w:t>(approved by the Court of Appeal in </w:t>
      </w:r>
      <w:r>
        <w:rPr>
          <w:rFonts w:ascii="Arial"/>
          <w:i/>
          <w:sz w:val="20"/>
        </w:rPr>
        <w:t>Erven Warnink BV v J. Townend &amp; Sons (Hull) Ltd [1982] 3 All E.R. 312</w:t>
      </w:r>
      <w:r>
        <w:rPr>
          <w:sz w:val="20"/>
        </w:rPr>
        <w:t>). An order for payment of costs ranks as a judgment; but interest </w:t>
      </w:r>
      <w:r>
        <w:rPr>
          <w:sz w:val="20"/>
        </w:rPr>
        <w:t>on costs cannot be ordered from a date earlier than the date on which judgment was </w:t>
      </w:r>
      <w:r>
        <w:rPr>
          <w:sz w:val="20"/>
        </w:rPr>
        <w:t>given: </w:t>
      </w:r>
      <w:r>
        <w:rPr>
          <w:rFonts w:ascii="Arial"/>
          <w:i/>
          <w:sz w:val="20"/>
        </w:rPr>
        <w:t>Nykredit Mortgage Bank Plc v Edward Erdman Group Ltd [1997] 1 W.L.R. 1627 HL </w:t>
      </w:r>
      <w:r>
        <w:rPr>
          <w:sz w:val="20"/>
        </w:rPr>
        <w:t>(a decision on RSC Ord.42 r.1 that an order for costs cannot be backdated to the date on which judgment had been given in a lower court).</w:t>
      </w:r>
    </w:p>
    <w:p>
      <w:pPr>
        <w:pStyle w:val="BodyText"/>
        <w:spacing w:before="6"/>
      </w:pPr>
    </w:p>
    <w:p>
      <w:pPr>
        <w:pStyle w:val="BodyText"/>
        <w:spacing w:line="235" w:lineRule="auto" w:before="1"/>
        <w:ind w:left="705" w:right="167" w:hanging="541"/>
      </w:pPr>
      <w:bookmarkStart w:name="_bookmark2968" w:id="2970"/>
      <w:bookmarkEnd w:id="2970"/>
      <w:r>
        <w:rPr/>
      </w:r>
      <w:hyperlink w:history="true" w:anchor="_bookmark2961">
        <w:r>
          <w:rPr>
            <w:color w:val="005DA1"/>
            <w:position w:val="5"/>
            <w:sz w:val="14"/>
            <w:u w:val="single" w:color="005DA1"/>
          </w:rPr>
          <w:t>1558</w:t>
        </w:r>
      </w:hyperlink>
      <w:r>
        <w:rPr>
          <w:position w:val="5"/>
          <w:sz w:val="14"/>
        </w:rPr>
        <w:t>.</w:t>
      </w:r>
      <w:r>
        <w:rPr>
          <w:spacing w:val="40"/>
          <w:position w:val="5"/>
          <w:sz w:val="14"/>
        </w:rPr>
        <w:t>  </w:t>
      </w:r>
      <w:r>
        <w:rPr/>
        <w:t>For judgments entered up after April 1, 1993, the rate is 8 per cent: see Judgment Debts (Rate of</w:t>
      </w:r>
      <w:r>
        <w:rPr>
          <w:spacing w:val="11"/>
        </w:rPr>
        <w:t> </w:t>
      </w:r>
      <w:r>
        <w:rPr/>
        <w:t>Interest)</w:t>
      </w:r>
      <w:r>
        <w:rPr>
          <w:spacing w:val="11"/>
        </w:rPr>
        <w:t> </w:t>
      </w:r>
      <w:r>
        <w:rPr/>
        <w:t>Order</w:t>
      </w:r>
      <w:r>
        <w:rPr>
          <w:spacing w:val="11"/>
        </w:rPr>
        <w:t> </w:t>
      </w:r>
      <w:r>
        <w:rPr/>
        <w:t>1993</w:t>
      </w:r>
      <w:r>
        <w:rPr>
          <w:spacing w:val="11"/>
        </w:rPr>
        <w:t> </w:t>
      </w:r>
      <w:r>
        <w:rPr/>
        <w:t>(SI</w:t>
      </w:r>
      <w:r>
        <w:rPr>
          <w:spacing w:val="11"/>
        </w:rPr>
        <w:t> </w:t>
      </w:r>
      <w:r>
        <w:rPr/>
        <w:t>1993/564).</w:t>
      </w:r>
      <w:r>
        <w:rPr>
          <w:spacing w:val="11"/>
        </w:rPr>
        <w:t> </w:t>
      </w:r>
      <w:r>
        <w:rPr/>
        <w:t>On</w:t>
      </w:r>
      <w:r>
        <w:rPr>
          <w:spacing w:val="11"/>
        </w:rPr>
        <w:t> </w:t>
      </w:r>
      <w:r>
        <w:rPr/>
        <w:t>the</w:t>
      </w:r>
      <w:r>
        <w:rPr>
          <w:spacing w:val="11"/>
        </w:rPr>
        <w:t> </w:t>
      </w:r>
      <w:r>
        <w:rPr/>
        <w:t>time</w:t>
      </w:r>
      <w:r>
        <w:rPr>
          <w:spacing w:val="11"/>
        </w:rPr>
        <w:t> </w:t>
      </w:r>
      <w:r>
        <w:rPr/>
        <w:t>from</w:t>
      </w:r>
      <w:r>
        <w:rPr>
          <w:spacing w:val="11"/>
        </w:rPr>
        <w:t> </w:t>
      </w:r>
      <w:r>
        <w:rPr/>
        <w:t>which</w:t>
      </w:r>
      <w:r>
        <w:rPr>
          <w:spacing w:val="11"/>
        </w:rPr>
        <w:t> </w:t>
      </w:r>
      <w:r>
        <w:rPr/>
        <w:t>interest</w:t>
      </w:r>
      <w:r>
        <w:rPr>
          <w:spacing w:val="11"/>
        </w:rPr>
        <w:t> </w:t>
      </w:r>
      <w:r>
        <w:rPr/>
        <w:t>begins</w:t>
      </w:r>
      <w:r>
        <w:rPr>
          <w:spacing w:val="11"/>
        </w:rPr>
        <w:t> </w:t>
      </w:r>
      <w:r>
        <w:rPr/>
        <w:t>to</w:t>
      </w:r>
      <w:r>
        <w:rPr>
          <w:spacing w:val="11"/>
        </w:rPr>
        <w:t> </w:t>
      </w:r>
      <w:r>
        <w:rPr/>
        <w:t>run,</w:t>
      </w:r>
      <w:r>
        <w:rPr>
          <w:spacing w:val="11"/>
        </w:rPr>
        <w:t> </w:t>
      </w:r>
      <w:r>
        <w:rPr/>
        <w:t>see</w:t>
      </w:r>
      <w:r>
        <w:rPr>
          <w:spacing w:val="11"/>
        </w:rPr>
        <w:t> </w:t>
      </w:r>
      <w:r>
        <w:rPr>
          <w:spacing w:val="-5"/>
        </w:rPr>
        <w:t>CPR</w:t>
      </w:r>
    </w:p>
    <w:p>
      <w:pPr>
        <w:pStyle w:val="BodyText"/>
        <w:spacing w:line="235" w:lineRule="auto"/>
        <w:ind w:left="705"/>
      </w:pPr>
      <w:r>
        <w:rPr/>
        <w:t>r.40.8.</w:t>
      </w:r>
      <w:r>
        <w:rPr>
          <w:spacing w:val="24"/>
        </w:rPr>
        <w:t> </w:t>
      </w:r>
      <w:r>
        <w:rPr/>
        <w:t>However,</w:t>
      </w:r>
      <w:r>
        <w:rPr>
          <w:spacing w:val="24"/>
        </w:rPr>
        <w:t> </w:t>
      </w:r>
      <w:r>
        <w:rPr/>
        <w:t>a</w:t>
      </w:r>
      <w:r>
        <w:rPr>
          <w:spacing w:val="24"/>
        </w:rPr>
        <w:t> </w:t>
      </w:r>
      <w:r>
        <w:rPr/>
        <w:t>clause</w:t>
      </w:r>
      <w:r>
        <w:rPr>
          <w:spacing w:val="24"/>
        </w:rPr>
        <w:t> </w:t>
      </w:r>
      <w:r>
        <w:rPr/>
        <w:t>in</w:t>
      </w:r>
      <w:r>
        <w:rPr>
          <w:spacing w:val="24"/>
        </w:rPr>
        <w:t> </w:t>
      </w:r>
      <w:r>
        <w:rPr/>
        <w:t>the</w:t>
      </w:r>
      <w:r>
        <w:rPr>
          <w:spacing w:val="24"/>
        </w:rPr>
        <w:t> </w:t>
      </w:r>
      <w:r>
        <w:rPr/>
        <w:t>contract</w:t>
      </w:r>
      <w:r>
        <w:rPr>
          <w:spacing w:val="24"/>
        </w:rPr>
        <w:t> </w:t>
      </w:r>
      <w:r>
        <w:rPr/>
        <w:t>may</w:t>
      </w:r>
      <w:r>
        <w:rPr>
          <w:spacing w:val="24"/>
        </w:rPr>
        <w:t> </w:t>
      </w:r>
      <w:r>
        <w:rPr/>
        <w:t>explicitly</w:t>
      </w:r>
      <w:r>
        <w:rPr>
          <w:spacing w:val="24"/>
        </w:rPr>
        <w:t> </w:t>
      </w:r>
      <w:r>
        <w:rPr/>
        <w:t>fix</w:t>
      </w:r>
      <w:r>
        <w:rPr>
          <w:spacing w:val="24"/>
        </w:rPr>
        <w:t> </w:t>
      </w:r>
      <w:r>
        <w:rPr/>
        <w:t>a</w:t>
      </w:r>
      <w:r>
        <w:rPr>
          <w:spacing w:val="24"/>
        </w:rPr>
        <w:t> </w:t>
      </w:r>
      <w:r>
        <w:rPr/>
        <w:t>rate</w:t>
      </w:r>
      <w:r>
        <w:rPr>
          <w:spacing w:val="24"/>
        </w:rPr>
        <w:t> </w:t>
      </w:r>
      <w:r>
        <w:rPr/>
        <w:t>to</w:t>
      </w:r>
      <w:r>
        <w:rPr>
          <w:spacing w:val="24"/>
        </w:rPr>
        <w:t> </w:t>
      </w:r>
      <w:r>
        <w:rPr/>
        <w:t>run</w:t>
      </w:r>
      <w:r>
        <w:rPr>
          <w:spacing w:val="24"/>
        </w:rPr>
        <w:t> </w:t>
      </w:r>
      <w:r>
        <w:rPr/>
        <w:t>on</w:t>
      </w:r>
      <w:r>
        <w:rPr>
          <w:spacing w:val="24"/>
        </w:rPr>
        <w:t> </w:t>
      </w:r>
      <w:r>
        <w:rPr/>
        <w:t>a</w:t>
      </w:r>
      <w:r>
        <w:rPr>
          <w:spacing w:val="24"/>
        </w:rPr>
        <w:t> </w:t>
      </w:r>
      <w:r>
        <w:rPr/>
        <w:t>judgment</w:t>
      </w:r>
      <w:r>
        <w:rPr>
          <w:spacing w:val="24"/>
        </w:rPr>
        <w:t> </w:t>
      </w:r>
      <w:r>
        <w:rPr/>
        <w:t>for</w:t>
      </w:r>
      <w:r>
        <w:rPr>
          <w:spacing w:val="24"/>
        </w:rPr>
        <w:t> </w:t>
      </w:r>
      <w:r>
        <w:rPr/>
        <w:t>a debt: see above, para.26-244.</w:t>
      </w:r>
    </w:p>
    <w:p>
      <w:pPr>
        <w:pStyle w:val="BodyText"/>
        <w:spacing w:before="8"/>
      </w:pPr>
    </w:p>
    <w:p>
      <w:pPr>
        <w:pStyle w:val="BodyText"/>
        <w:spacing w:line="235" w:lineRule="auto"/>
        <w:ind w:left="705" w:right="174" w:hanging="541"/>
      </w:pPr>
      <w:bookmarkStart w:name="_bookmark2969" w:id="2971"/>
      <w:bookmarkEnd w:id="2971"/>
      <w:r>
        <w:rPr/>
      </w:r>
      <w:hyperlink w:history="true" w:anchor="_bookmark2962">
        <w:r>
          <w:rPr>
            <w:color w:val="005DA1"/>
            <w:position w:val="5"/>
            <w:sz w:val="14"/>
            <w:u w:val="single" w:color="005DA1"/>
          </w:rPr>
          <w:t>1559</w:t>
        </w:r>
      </w:hyperlink>
      <w:r>
        <w:rPr>
          <w:position w:val="5"/>
          <w:sz w:val="14"/>
        </w:rPr>
        <w:t>.</w:t>
      </w:r>
      <w:r>
        <w:rPr>
          <w:spacing w:val="40"/>
          <w:position w:val="5"/>
          <w:sz w:val="14"/>
        </w:rPr>
        <w:t>  </w:t>
      </w:r>
      <w:r>
        <w:rPr/>
        <w:t>By s.74 of the County Courts Act 1984 the Lord Chancellor is empowered to provide by order</w:t>
      </w:r>
      <w:r>
        <w:rPr>
          <w:spacing w:val="80"/>
        </w:rPr>
        <w:t> </w:t>
      </w:r>
      <w:r>
        <w:rPr/>
        <w:t>that county court judgments or orders shall carry interest.</w:t>
      </w:r>
    </w:p>
    <w:p>
      <w:pPr>
        <w:pStyle w:val="BodyText"/>
        <w:spacing w:before="9"/>
      </w:pPr>
    </w:p>
    <w:p>
      <w:pPr>
        <w:pStyle w:val="BodyText"/>
        <w:spacing w:line="235" w:lineRule="auto"/>
        <w:ind w:left="705" w:right="167" w:hanging="541"/>
        <w:jc w:val="both"/>
      </w:pPr>
      <w:bookmarkStart w:name="_bookmark2970" w:id="2972"/>
      <w:bookmarkEnd w:id="2972"/>
      <w:r>
        <w:rPr/>
      </w:r>
      <w:hyperlink w:history="true" w:anchor="_bookmark2962">
        <w:r>
          <w:rPr>
            <w:color w:val="005DA1"/>
            <w:position w:val="5"/>
            <w:sz w:val="14"/>
            <w:u w:val="single" w:color="005DA1"/>
          </w:rPr>
          <w:t>1560</w:t>
        </w:r>
      </w:hyperlink>
      <w:r>
        <w:rPr>
          <w:position w:val="5"/>
          <w:sz w:val="14"/>
        </w:rPr>
        <w:t>.</w:t>
      </w:r>
      <w:r>
        <w:rPr>
          <w:spacing w:val="80"/>
          <w:position w:val="5"/>
          <w:sz w:val="14"/>
        </w:rPr>
        <w:t> </w:t>
      </w:r>
      <w:r>
        <w:rPr/>
        <w:t>The County Courts (Interest on Judgment Debts) Order 1991 (SI 1991/1184). Some judgments are excluded from the provision. By SI 1998/2400 (L.9) county court judgments in respect of qualifying debts under the Late Payment of Commercial Debts (Interest) Act 1998 (see </w:t>
      </w:r>
      <w:r>
        <w:rPr/>
        <w:t>above, para.26-232) are included in the 1991 Order.</w:t>
      </w:r>
    </w:p>
    <w:p>
      <w:pPr>
        <w:pStyle w:val="BodyText"/>
        <w:spacing w:before="9"/>
      </w:pPr>
    </w:p>
    <w:p>
      <w:pPr>
        <w:spacing w:line="235" w:lineRule="auto" w:before="0"/>
        <w:ind w:left="705" w:right="0" w:hanging="541"/>
        <w:jc w:val="left"/>
        <w:rPr>
          <w:sz w:val="20"/>
        </w:rPr>
      </w:pPr>
      <w:bookmarkStart w:name="_bookmark2971" w:id="2973"/>
      <w:bookmarkEnd w:id="2973"/>
      <w:r>
        <w:rPr/>
      </w:r>
      <w:hyperlink w:history="true" w:anchor="_bookmark2963">
        <w:r>
          <w:rPr>
            <w:color w:val="005DA1"/>
            <w:position w:val="5"/>
            <w:sz w:val="14"/>
            <w:u w:val="single" w:color="005DA1"/>
          </w:rPr>
          <w:t>1561</w:t>
        </w:r>
      </w:hyperlink>
      <w:r>
        <w:rPr>
          <w:position w:val="5"/>
          <w:sz w:val="14"/>
        </w:rPr>
        <w:t>.</w:t>
      </w:r>
      <w:r>
        <w:rPr>
          <w:spacing w:val="40"/>
          <w:position w:val="5"/>
          <w:sz w:val="14"/>
        </w:rPr>
        <w:t>  </w:t>
      </w:r>
      <w:r>
        <w:rPr>
          <w:rFonts w:ascii="Arial"/>
          <w:i/>
          <w:sz w:val="20"/>
        </w:rPr>
        <w:t>Rocco Giuseppe &amp; Figli v Tradax Export SA [1984] 1 W.L.R. 742</w:t>
      </w:r>
      <w:r>
        <w:rPr>
          <w:sz w:val="20"/>
        </w:rPr>
        <w:t>; cf. the decision of the </w:t>
      </w:r>
      <w:r>
        <w:rPr>
          <w:sz w:val="20"/>
        </w:rPr>
        <w:t>Privy</w:t>
      </w:r>
      <w:r>
        <w:rPr>
          <w:spacing w:val="80"/>
          <w:sz w:val="20"/>
        </w:rPr>
        <w:t> </w:t>
      </w:r>
      <w:r>
        <w:rPr>
          <w:sz w:val="20"/>
        </w:rPr>
        <w:t>Council on a New Zealand provision: </w:t>
      </w:r>
      <w:r>
        <w:rPr>
          <w:rFonts w:ascii="Arial"/>
          <w:i/>
          <w:sz w:val="20"/>
        </w:rPr>
        <w:t>Rowling v Takaro Properties Ltd [1988] 1 All E.R. 163</w:t>
      </w:r>
      <w:r>
        <w:rPr>
          <w:sz w:val="20"/>
        </w:rPr>
        <w:t>.</w:t>
      </w:r>
    </w:p>
    <w:p>
      <w:pPr>
        <w:spacing w:after="0" w:line="235" w:lineRule="auto"/>
        <w:jc w:val="left"/>
        <w:rPr>
          <w:sz w:val="20"/>
        </w:rPr>
        <w:sectPr>
          <w:headerReference w:type="default" r:id="rId71"/>
          <w:pgSz w:w="11900" w:h="16840"/>
          <w:pgMar w:header="971" w:footer="0" w:top="1300" w:bottom="280" w:left="1275" w:right="1275"/>
          <w:pgNumType w:start="1"/>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sz w:val="14"/>
              </w:rPr>
            </w:pPr>
            <w:bookmarkStart w:name="_bookmark2972" w:id="2974"/>
            <w:bookmarkEnd w:id="2974"/>
            <w:r>
              <w:rPr/>
            </w:r>
            <w:hyperlink w:history="true" w:anchor="_bookmark2964">
              <w:r>
                <w:rPr>
                  <w:color w:val="005DA1"/>
                  <w:spacing w:val="-2"/>
                  <w:sz w:val="14"/>
                  <w:u w:val="single" w:color="005DA1"/>
                </w:rPr>
                <w:t>1562</w:t>
              </w:r>
            </w:hyperlink>
            <w:r>
              <w:rPr>
                <w:spacing w:val="-2"/>
                <w:sz w:val="14"/>
              </w:rPr>
              <w:t>.</w:t>
            </w:r>
          </w:p>
        </w:tc>
        <w:tc>
          <w:tcPr>
            <w:tcW w:w="8620" w:type="dxa"/>
          </w:tcPr>
          <w:p>
            <w:pPr>
              <w:pStyle w:val="TableParagraph"/>
              <w:spacing w:line="223" w:lineRule="exact" w:before="0"/>
              <w:ind w:left="94"/>
              <w:rPr>
                <w:sz w:val="20"/>
              </w:rPr>
            </w:pPr>
            <w:r>
              <w:rPr>
                <w:sz w:val="20"/>
              </w:rPr>
              <w:t>Arbitration Act 1996 </w:t>
            </w:r>
            <w:r>
              <w:rPr>
                <w:spacing w:val="-2"/>
                <w:sz w:val="20"/>
              </w:rPr>
              <w:t>s.49(4).</w:t>
            </w:r>
          </w:p>
        </w:tc>
      </w:tr>
      <w:tr>
        <w:trPr>
          <w:trHeight w:val="915" w:hRule="atLeast"/>
        </w:trPr>
        <w:tc>
          <w:tcPr>
            <w:tcW w:w="496" w:type="dxa"/>
          </w:tcPr>
          <w:p>
            <w:pPr>
              <w:pStyle w:val="TableParagraph"/>
              <w:ind w:right="43"/>
              <w:jc w:val="center"/>
              <w:rPr>
                <w:sz w:val="14"/>
              </w:rPr>
            </w:pPr>
            <w:bookmarkStart w:name="_bookmark2973" w:id="2975"/>
            <w:bookmarkEnd w:id="2975"/>
            <w:r>
              <w:rPr/>
            </w:r>
            <w:hyperlink w:history="true" w:anchor="_bookmark2965">
              <w:r>
                <w:rPr>
                  <w:color w:val="005DA1"/>
                  <w:spacing w:val="-2"/>
                  <w:sz w:val="14"/>
                  <w:u w:val="single" w:color="005DA1"/>
                </w:rPr>
                <w:t>1563</w:t>
              </w:r>
            </w:hyperlink>
            <w:r>
              <w:rPr>
                <w:spacing w:val="-2"/>
                <w:sz w:val="14"/>
              </w:rPr>
              <w:t>.</w:t>
            </w:r>
          </w:p>
        </w:tc>
        <w:tc>
          <w:tcPr>
            <w:tcW w:w="8620" w:type="dxa"/>
          </w:tcPr>
          <w:p>
            <w:pPr>
              <w:pStyle w:val="TableParagraph"/>
              <w:spacing w:line="235" w:lineRule="auto" w:before="118"/>
              <w:ind w:left="94" w:right="48"/>
              <w:jc w:val="both"/>
              <w:rPr>
                <w:sz w:val="20"/>
              </w:rPr>
            </w:pPr>
            <w:r>
              <w:rPr>
                <w:sz w:val="20"/>
              </w:rPr>
              <w:t>Under the previous statutory power (s.20 of the Arbitration Act 1950) it was held that if the arbitration award was silent on the question, it automatically carried interest: </w:t>
            </w:r>
            <w:r>
              <w:rPr>
                <w:rFonts w:ascii="Arial" w:hAnsi="Arial"/>
                <w:i/>
                <w:sz w:val="20"/>
              </w:rPr>
              <w:t>Continental </w:t>
            </w:r>
            <w:r>
              <w:rPr>
                <w:rFonts w:ascii="Arial" w:hAnsi="Arial"/>
                <w:i/>
                <w:sz w:val="20"/>
              </w:rPr>
              <w:t>Grain Co v Bremer Handelsgesellschaft mbH (No.2) [1984] 1 Lloyd’s Rep. 121</w:t>
            </w:r>
            <w:r>
              <w:rPr>
                <w:sz w:val="20"/>
              </w:rPr>
              <w:t>.</w:t>
            </w:r>
          </w:p>
        </w:tc>
      </w:tr>
      <w:tr>
        <w:trPr>
          <w:trHeight w:val="344" w:hRule="atLeast"/>
        </w:trPr>
        <w:tc>
          <w:tcPr>
            <w:tcW w:w="496" w:type="dxa"/>
          </w:tcPr>
          <w:p>
            <w:pPr>
              <w:pStyle w:val="TableParagraph"/>
              <w:ind w:right="43"/>
              <w:jc w:val="center"/>
              <w:rPr>
                <w:sz w:val="14"/>
              </w:rPr>
            </w:pPr>
            <w:bookmarkStart w:name="_bookmark2974" w:id="2976"/>
            <w:bookmarkEnd w:id="2976"/>
            <w:r>
              <w:rPr/>
            </w:r>
            <w:hyperlink w:history="true" w:anchor="_bookmark2965">
              <w:r>
                <w:rPr>
                  <w:color w:val="005DA1"/>
                  <w:spacing w:val="-2"/>
                  <w:sz w:val="14"/>
                  <w:u w:val="single" w:color="005DA1"/>
                </w:rPr>
                <w:t>1564</w:t>
              </w:r>
            </w:hyperlink>
            <w:r>
              <w:rPr>
                <w:spacing w:val="-2"/>
                <w:sz w:val="14"/>
              </w:rPr>
              <w:t>.</w:t>
            </w:r>
          </w:p>
        </w:tc>
        <w:tc>
          <w:tcPr>
            <w:tcW w:w="8620" w:type="dxa"/>
          </w:tcPr>
          <w:p>
            <w:pPr>
              <w:pStyle w:val="TableParagraph"/>
              <w:spacing w:line="210" w:lineRule="exact" w:before="114"/>
              <w:ind w:left="94"/>
              <w:rPr>
                <w:sz w:val="20"/>
              </w:rPr>
            </w:pPr>
            <w:r>
              <w:rPr>
                <w:spacing w:val="-2"/>
                <w:sz w:val="20"/>
              </w:rPr>
              <w:t>s.49(4).</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pStyle w:val="BodyText"/>
      </w:pPr>
    </w:p>
    <w:p>
      <w:pPr>
        <w:pStyle w:val="BodyText"/>
        <w:spacing w:before="50"/>
      </w:pPr>
      <w:r>
        <w:rPr/>
        <w:drawing>
          <wp:anchor distT="0" distB="0" distL="0" distR="0" allowOverlap="1" layoutInCell="1" locked="0" behindDoc="1" simplePos="0" relativeHeight="487752192">
            <wp:simplePos x="0" y="0"/>
            <wp:positionH relativeFrom="page">
              <wp:posOffset>3077972</wp:posOffset>
            </wp:positionH>
            <wp:positionV relativeFrom="paragraph">
              <wp:posOffset>193049</wp:posOffset>
            </wp:positionV>
            <wp:extent cx="1393507" cy="329374"/>
            <wp:effectExtent l="0" t="0" r="0" b="0"/>
            <wp:wrapTopAndBottom/>
            <wp:docPr id="1339" name="Image 1339"/>
            <wp:cNvGraphicFramePr>
              <a:graphicFrameLocks/>
            </wp:cNvGraphicFramePr>
            <a:graphic>
              <a:graphicData uri="http://schemas.openxmlformats.org/drawingml/2006/picture">
                <pic:pic>
                  <pic:nvPicPr>
                    <pic:cNvPr id="1339" name="Image 1339"/>
                    <pic:cNvPicPr/>
                  </pic:nvPicPr>
                  <pic:blipFill>
                    <a:blip r:embed="rId33"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5376">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2411110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9984">
              <wp:simplePos x="0" y="0"/>
              <wp:positionH relativeFrom="page">
                <wp:posOffset>6221984</wp:posOffset>
              </wp:positionH>
              <wp:positionV relativeFrom="page">
                <wp:posOffset>617496</wp:posOffset>
              </wp:positionV>
              <wp:extent cx="442595" cy="1390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4106496"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0496">
              <wp:simplePos x="0" y="0"/>
              <wp:positionH relativeFrom="page">
                <wp:posOffset>6278473</wp:posOffset>
              </wp:positionH>
              <wp:positionV relativeFrom="page">
                <wp:posOffset>617496</wp:posOffset>
              </wp:positionV>
              <wp:extent cx="386080" cy="1390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5984"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1008">
              <wp:simplePos x="0" y="0"/>
              <wp:positionH relativeFrom="page">
                <wp:posOffset>6278473</wp:posOffset>
              </wp:positionH>
              <wp:positionV relativeFrom="page">
                <wp:posOffset>617496</wp:posOffset>
              </wp:positionV>
              <wp:extent cx="386080" cy="1390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5472"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1520">
              <wp:simplePos x="0" y="0"/>
              <wp:positionH relativeFrom="page">
                <wp:posOffset>6278473</wp:posOffset>
              </wp:positionH>
              <wp:positionV relativeFrom="page">
                <wp:posOffset>617496</wp:posOffset>
              </wp:positionV>
              <wp:extent cx="386080" cy="1390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4960"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2032">
              <wp:simplePos x="0" y="0"/>
              <wp:positionH relativeFrom="page">
                <wp:posOffset>6278473</wp:posOffset>
              </wp:positionH>
              <wp:positionV relativeFrom="page">
                <wp:posOffset>617496</wp:posOffset>
              </wp:positionV>
              <wp:extent cx="386080" cy="1390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4448"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2544">
              <wp:simplePos x="0" y="0"/>
              <wp:positionH relativeFrom="page">
                <wp:posOffset>6278473</wp:posOffset>
              </wp:positionH>
              <wp:positionV relativeFrom="page">
                <wp:posOffset>617496</wp:posOffset>
              </wp:positionV>
              <wp:extent cx="347980" cy="1390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103936"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3056">
              <wp:simplePos x="0" y="0"/>
              <wp:positionH relativeFrom="page">
                <wp:posOffset>6278473</wp:posOffset>
              </wp:positionH>
              <wp:positionV relativeFrom="page">
                <wp:posOffset>617496</wp:posOffset>
              </wp:positionV>
              <wp:extent cx="386080" cy="1390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3424"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3568">
              <wp:simplePos x="0" y="0"/>
              <wp:positionH relativeFrom="page">
                <wp:posOffset>6278473</wp:posOffset>
              </wp:positionH>
              <wp:positionV relativeFrom="page">
                <wp:posOffset>617496</wp:posOffset>
              </wp:positionV>
              <wp:extent cx="38608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2912"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4080">
              <wp:simplePos x="0" y="0"/>
              <wp:positionH relativeFrom="page">
                <wp:posOffset>6278473</wp:posOffset>
              </wp:positionH>
              <wp:positionV relativeFrom="page">
                <wp:posOffset>617496</wp:posOffset>
              </wp:positionV>
              <wp:extent cx="38608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2400" type="#_x0000_t202" id="docshape4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4592">
              <wp:simplePos x="0" y="0"/>
              <wp:positionH relativeFrom="page">
                <wp:posOffset>6221984</wp:posOffset>
              </wp:positionH>
              <wp:positionV relativeFrom="page">
                <wp:posOffset>617496</wp:posOffset>
              </wp:positionV>
              <wp:extent cx="44259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4101888" type="#_x0000_t202" id="docshape4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5888">
              <wp:simplePos x="0" y="0"/>
              <wp:positionH relativeFrom="page">
                <wp:posOffset>6278473</wp:posOffset>
              </wp:positionH>
              <wp:positionV relativeFrom="page">
                <wp:posOffset>617496</wp:posOffset>
              </wp:positionV>
              <wp:extent cx="3479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110592"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5104">
              <wp:simplePos x="0" y="0"/>
              <wp:positionH relativeFrom="page">
                <wp:posOffset>6278473</wp:posOffset>
              </wp:positionH>
              <wp:positionV relativeFrom="page">
                <wp:posOffset>617496</wp:posOffset>
              </wp:positionV>
              <wp:extent cx="386080" cy="13906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1376"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5616">
              <wp:simplePos x="0" y="0"/>
              <wp:positionH relativeFrom="page">
                <wp:posOffset>6278473</wp:posOffset>
              </wp:positionH>
              <wp:positionV relativeFrom="page">
                <wp:posOffset>617496</wp:posOffset>
              </wp:positionV>
              <wp:extent cx="386080" cy="1390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0864" type="#_x0000_t202" id="docshape4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6128">
              <wp:simplePos x="0" y="0"/>
              <wp:positionH relativeFrom="page">
                <wp:posOffset>6278473</wp:posOffset>
              </wp:positionH>
              <wp:positionV relativeFrom="page">
                <wp:posOffset>617496</wp:posOffset>
              </wp:positionV>
              <wp:extent cx="386080" cy="13906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0352" type="#_x0000_t202" id="docshape4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6640">
              <wp:simplePos x="0" y="0"/>
              <wp:positionH relativeFrom="page">
                <wp:posOffset>6278473</wp:posOffset>
              </wp:positionH>
              <wp:positionV relativeFrom="page">
                <wp:posOffset>617496</wp:posOffset>
              </wp:positionV>
              <wp:extent cx="386080" cy="13906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9840" type="#_x0000_t202" id="docshape5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7152">
              <wp:simplePos x="0" y="0"/>
              <wp:positionH relativeFrom="page">
                <wp:posOffset>6278473</wp:posOffset>
              </wp:positionH>
              <wp:positionV relativeFrom="page">
                <wp:posOffset>617496</wp:posOffset>
              </wp:positionV>
              <wp:extent cx="386080" cy="13906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9328" type="#_x0000_t202" id="docshape5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7664">
              <wp:simplePos x="0" y="0"/>
              <wp:positionH relativeFrom="page">
                <wp:posOffset>6278473</wp:posOffset>
              </wp:positionH>
              <wp:positionV relativeFrom="page">
                <wp:posOffset>617496</wp:posOffset>
              </wp:positionV>
              <wp:extent cx="386080" cy="13906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8816" type="#_x0000_t202" id="docshape5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8176">
              <wp:simplePos x="0" y="0"/>
              <wp:positionH relativeFrom="page">
                <wp:posOffset>6278473</wp:posOffset>
              </wp:positionH>
              <wp:positionV relativeFrom="page">
                <wp:posOffset>617496</wp:posOffset>
              </wp:positionV>
              <wp:extent cx="347980" cy="13906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98304" type="#_x0000_t202" id="docshape5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8688">
              <wp:simplePos x="0" y="0"/>
              <wp:positionH relativeFrom="page">
                <wp:posOffset>6278473</wp:posOffset>
              </wp:positionH>
              <wp:positionV relativeFrom="page">
                <wp:posOffset>617496</wp:posOffset>
              </wp:positionV>
              <wp:extent cx="386080" cy="13906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7792" type="#_x0000_t202" id="docshape5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9200">
              <wp:simplePos x="0" y="0"/>
              <wp:positionH relativeFrom="page">
                <wp:posOffset>6278473</wp:posOffset>
              </wp:positionH>
              <wp:positionV relativeFrom="page">
                <wp:posOffset>617496</wp:posOffset>
              </wp:positionV>
              <wp:extent cx="386080" cy="13906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7280" type="#_x0000_t202" id="docshape6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19712">
              <wp:simplePos x="0" y="0"/>
              <wp:positionH relativeFrom="page">
                <wp:posOffset>6221984</wp:posOffset>
              </wp:positionH>
              <wp:positionV relativeFrom="page">
                <wp:posOffset>617496</wp:posOffset>
              </wp:positionV>
              <wp:extent cx="442595" cy="13906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4096768" type="#_x0000_t202" id="docshape6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6400">
              <wp:simplePos x="0" y="0"/>
              <wp:positionH relativeFrom="page">
                <wp:posOffset>6278473</wp:posOffset>
              </wp:positionH>
              <wp:positionV relativeFrom="page">
                <wp:posOffset>617496</wp:posOffset>
              </wp:positionV>
              <wp:extent cx="347980"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110080"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0224">
              <wp:simplePos x="0" y="0"/>
              <wp:positionH relativeFrom="page">
                <wp:posOffset>6278473</wp:posOffset>
              </wp:positionH>
              <wp:positionV relativeFrom="page">
                <wp:posOffset>617496</wp:posOffset>
              </wp:positionV>
              <wp:extent cx="386080" cy="13906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6256" type="#_x0000_t202" id="docshape6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0736">
              <wp:simplePos x="0" y="0"/>
              <wp:positionH relativeFrom="page">
                <wp:posOffset>6278473</wp:posOffset>
              </wp:positionH>
              <wp:positionV relativeFrom="page">
                <wp:posOffset>617496</wp:posOffset>
              </wp:positionV>
              <wp:extent cx="386080" cy="13906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5744" type="#_x0000_t202" id="docshape6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1248">
              <wp:simplePos x="0" y="0"/>
              <wp:positionH relativeFrom="page">
                <wp:posOffset>6278473</wp:posOffset>
              </wp:positionH>
              <wp:positionV relativeFrom="page">
                <wp:posOffset>617496</wp:posOffset>
              </wp:positionV>
              <wp:extent cx="347980" cy="13906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95232" type="#_x0000_t202" id="docshape6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1760">
              <wp:simplePos x="0" y="0"/>
              <wp:positionH relativeFrom="page">
                <wp:posOffset>6278473</wp:posOffset>
              </wp:positionH>
              <wp:positionV relativeFrom="page">
                <wp:posOffset>617496</wp:posOffset>
              </wp:positionV>
              <wp:extent cx="386080" cy="13906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4720" type="#_x0000_t202" id="docshape7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2272">
              <wp:simplePos x="0" y="0"/>
              <wp:positionH relativeFrom="page">
                <wp:posOffset>6278473</wp:posOffset>
              </wp:positionH>
              <wp:positionV relativeFrom="page">
                <wp:posOffset>617496</wp:posOffset>
              </wp:positionV>
              <wp:extent cx="347980" cy="13906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94208" type="#_x0000_t202" id="docshape7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2784">
              <wp:simplePos x="0" y="0"/>
              <wp:positionH relativeFrom="page">
                <wp:posOffset>6278473</wp:posOffset>
              </wp:positionH>
              <wp:positionV relativeFrom="page">
                <wp:posOffset>617496</wp:posOffset>
              </wp:positionV>
              <wp:extent cx="386080" cy="13906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3696" type="#_x0000_t202" id="docshape7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3296">
              <wp:simplePos x="0" y="0"/>
              <wp:positionH relativeFrom="page">
                <wp:posOffset>6278473</wp:posOffset>
              </wp:positionH>
              <wp:positionV relativeFrom="page">
                <wp:posOffset>617496</wp:posOffset>
              </wp:positionV>
              <wp:extent cx="386080" cy="13906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3184" type="#_x0000_t202" id="docshape7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3808">
              <wp:simplePos x="0" y="0"/>
              <wp:positionH relativeFrom="page">
                <wp:posOffset>6278473</wp:posOffset>
              </wp:positionH>
              <wp:positionV relativeFrom="page">
                <wp:posOffset>617496</wp:posOffset>
              </wp:positionV>
              <wp:extent cx="386080" cy="13906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2672" type="#_x0000_t202" id="docshape7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4320">
              <wp:simplePos x="0" y="0"/>
              <wp:positionH relativeFrom="page">
                <wp:posOffset>6278473</wp:posOffset>
              </wp:positionH>
              <wp:positionV relativeFrom="page">
                <wp:posOffset>617496</wp:posOffset>
              </wp:positionV>
              <wp:extent cx="386080" cy="13906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2160" type="#_x0000_t202" id="docshape8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4832">
              <wp:simplePos x="0" y="0"/>
              <wp:positionH relativeFrom="page">
                <wp:posOffset>6278473</wp:posOffset>
              </wp:positionH>
              <wp:positionV relativeFrom="page">
                <wp:posOffset>617496</wp:posOffset>
              </wp:positionV>
              <wp:extent cx="386080" cy="13906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1648" type="#_x0000_t202" id="docshape8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6912">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9568"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5344">
              <wp:simplePos x="0" y="0"/>
              <wp:positionH relativeFrom="page">
                <wp:posOffset>6278473</wp:posOffset>
              </wp:positionH>
              <wp:positionV relativeFrom="page">
                <wp:posOffset>617496</wp:posOffset>
              </wp:positionV>
              <wp:extent cx="347980" cy="13906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91136" type="#_x0000_t202" id="docshape8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5856">
              <wp:simplePos x="0" y="0"/>
              <wp:positionH relativeFrom="page">
                <wp:posOffset>6278473</wp:posOffset>
              </wp:positionH>
              <wp:positionV relativeFrom="page">
                <wp:posOffset>617496</wp:posOffset>
              </wp:positionV>
              <wp:extent cx="386080" cy="13906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90624" type="#_x0000_t202" id="docshape8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6368">
              <wp:simplePos x="0" y="0"/>
              <wp:positionH relativeFrom="page">
                <wp:posOffset>6221984</wp:posOffset>
              </wp:positionH>
              <wp:positionV relativeFrom="page">
                <wp:posOffset>617496</wp:posOffset>
              </wp:positionV>
              <wp:extent cx="442595" cy="13906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4090112" type="#_x0000_t202" id="docshape8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6880">
              <wp:simplePos x="0" y="0"/>
              <wp:positionH relativeFrom="page">
                <wp:posOffset>6278473</wp:posOffset>
              </wp:positionH>
              <wp:positionV relativeFrom="page">
                <wp:posOffset>617496</wp:posOffset>
              </wp:positionV>
              <wp:extent cx="386080" cy="139065"/>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9600" type="#_x0000_t202" id="docshape9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7392">
              <wp:simplePos x="0" y="0"/>
              <wp:positionH relativeFrom="page">
                <wp:posOffset>6221984</wp:posOffset>
              </wp:positionH>
              <wp:positionV relativeFrom="page">
                <wp:posOffset>617496</wp:posOffset>
              </wp:positionV>
              <wp:extent cx="442595" cy="13906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4089088" type="#_x0000_t202" id="docshape9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7904">
              <wp:simplePos x="0" y="0"/>
              <wp:positionH relativeFrom="page">
                <wp:posOffset>6221984</wp:posOffset>
              </wp:positionH>
              <wp:positionV relativeFrom="page">
                <wp:posOffset>617496</wp:posOffset>
              </wp:positionV>
              <wp:extent cx="404495" cy="139065"/>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4044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t>17</w:t>
                          </w:r>
                        </w:p>
                      </w:txbxContent>
                    </wps:txbx>
                    <wps:bodyPr wrap="square" lIns="0" tIns="0" rIns="0" bIns="0" rtlCol="0">
                      <a:noAutofit/>
                    </wps:bodyPr>
                  </wps:wsp>
                </a:graphicData>
              </a:graphic>
            </wp:anchor>
          </w:drawing>
        </mc:Choice>
        <mc:Fallback>
          <w:pict>
            <v:shape style="position:absolute;margin-left:489.920013pt;margin-top:48.621811pt;width:31.85pt;height:10.95pt;mso-position-horizontal-relative:page;mso-position-vertical-relative:page;z-index:-24088576" type="#_x0000_t202" id="docshape9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t>17</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8416">
              <wp:simplePos x="0" y="0"/>
              <wp:positionH relativeFrom="page">
                <wp:posOffset>6278473</wp:posOffset>
              </wp:positionH>
              <wp:positionV relativeFrom="page">
                <wp:posOffset>617496</wp:posOffset>
              </wp:positionV>
              <wp:extent cx="386080" cy="139065"/>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8064" type="#_x0000_t202" id="docshape9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8928">
              <wp:simplePos x="0" y="0"/>
              <wp:positionH relativeFrom="page">
                <wp:posOffset>6278473</wp:posOffset>
              </wp:positionH>
              <wp:positionV relativeFrom="page">
                <wp:posOffset>617496</wp:posOffset>
              </wp:positionV>
              <wp:extent cx="386080" cy="139065"/>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7552" type="#_x0000_t202" id="docshape9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9440">
              <wp:simplePos x="0" y="0"/>
              <wp:positionH relativeFrom="page">
                <wp:posOffset>6278473</wp:posOffset>
              </wp:positionH>
              <wp:positionV relativeFrom="page">
                <wp:posOffset>617496</wp:posOffset>
              </wp:positionV>
              <wp:extent cx="386080" cy="139065"/>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7040" type="#_x0000_t202" id="docshape10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29952">
              <wp:simplePos x="0" y="0"/>
              <wp:positionH relativeFrom="page">
                <wp:posOffset>6278473</wp:posOffset>
              </wp:positionH>
              <wp:positionV relativeFrom="page">
                <wp:posOffset>617496</wp:posOffset>
              </wp:positionV>
              <wp:extent cx="386080" cy="139065"/>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6528" type="#_x0000_t202" id="docshape10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7424">
              <wp:simplePos x="0" y="0"/>
              <wp:positionH relativeFrom="page">
                <wp:posOffset>6278473</wp:posOffset>
              </wp:positionH>
              <wp:positionV relativeFrom="page">
                <wp:posOffset>617496</wp:posOffset>
              </wp:positionV>
              <wp:extent cx="386080" cy="1390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9056"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0464">
              <wp:simplePos x="0" y="0"/>
              <wp:positionH relativeFrom="page">
                <wp:posOffset>6278473</wp:posOffset>
              </wp:positionH>
              <wp:positionV relativeFrom="page">
                <wp:posOffset>617496</wp:posOffset>
              </wp:positionV>
              <wp:extent cx="386080" cy="139065"/>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6016" type="#_x0000_t202" id="docshape10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0976">
              <wp:simplePos x="0" y="0"/>
              <wp:positionH relativeFrom="page">
                <wp:posOffset>6278473</wp:posOffset>
              </wp:positionH>
              <wp:positionV relativeFrom="page">
                <wp:posOffset>617496</wp:posOffset>
              </wp:positionV>
              <wp:extent cx="386080" cy="139065"/>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5504" type="#_x0000_t202" id="docshape10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1488">
              <wp:simplePos x="0" y="0"/>
              <wp:positionH relativeFrom="page">
                <wp:posOffset>6278473</wp:posOffset>
              </wp:positionH>
              <wp:positionV relativeFrom="page">
                <wp:posOffset>617496</wp:posOffset>
              </wp:positionV>
              <wp:extent cx="347980" cy="139065"/>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84992" type="#_x0000_t202" id="docshape10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2000">
              <wp:simplePos x="0" y="0"/>
              <wp:positionH relativeFrom="page">
                <wp:posOffset>6278473</wp:posOffset>
              </wp:positionH>
              <wp:positionV relativeFrom="page">
                <wp:posOffset>617496</wp:posOffset>
              </wp:positionV>
              <wp:extent cx="386080" cy="139065"/>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4480" type="#_x0000_t202" id="docshape1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2512">
              <wp:simplePos x="0" y="0"/>
              <wp:positionH relativeFrom="page">
                <wp:posOffset>6278473</wp:posOffset>
              </wp:positionH>
              <wp:positionV relativeFrom="page">
                <wp:posOffset>617496</wp:posOffset>
              </wp:positionV>
              <wp:extent cx="386080" cy="139065"/>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3968" type="#_x0000_t202" id="docshape1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3024">
              <wp:simplePos x="0" y="0"/>
              <wp:positionH relativeFrom="page">
                <wp:posOffset>6278473</wp:posOffset>
              </wp:positionH>
              <wp:positionV relativeFrom="page">
                <wp:posOffset>617496</wp:posOffset>
              </wp:positionV>
              <wp:extent cx="386080" cy="139065"/>
              <wp:effectExtent l="0" t="0" r="0" b="0"/>
              <wp:wrapNone/>
              <wp:docPr id="1182" name="Textbox 1182"/>
              <wp:cNvGraphicFramePr>
                <a:graphicFrameLocks/>
              </wp:cNvGraphicFramePr>
              <a:graphic>
                <a:graphicData uri="http://schemas.microsoft.com/office/word/2010/wordprocessingShape">
                  <wps:wsp>
                    <wps:cNvPr id="1182" name="Textbox 11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3456" type="#_x0000_t202" id="docshape1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3536">
              <wp:simplePos x="0" y="0"/>
              <wp:positionH relativeFrom="page">
                <wp:posOffset>6278473</wp:posOffset>
              </wp:positionH>
              <wp:positionV relativeFrom="page">
                <wp:posOffset>617496</wp:posOffset>
              </wp:positionV>
              <wp:extent cx="347980" cy="139065"/>
              <wp:effectExtent l="0" t="0" r="0" b="0"/>
              <wp:wrapNone/>
              <wp:docPr id="1268" name="Textbox 1268"/>
              <wp:cNvGraphicFramePr>
                <a:graphicFrameLocks/>
              </wp:cNvGraphicFramePr>
              <a:graphic>
                <a:graphicData uri="http://schemas.microsoft.com/office/word/2010/wordprocessingShape">
                  <wps:wsp>
                    <wps:cNvPr id="1268" name="Textbox 126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7</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82944" type="#_x0000_t202" id="docshape1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7</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4048">
              <wp:simplePos x="0" y="0"/>
              <wp:positionH relativeFrom="page">
                <wp:posOffset>6278473</wp:posOffset>
              </wp:positionH>
              <wp:positionV relativeFrom="page">
                <wp:posOffset>617496</wp:posOffset>
              </wp:positionV>
              <wp:extent cx="386080" cy="139065"/>
              <wp:effectExtent l="0" t="0" r="0" b="0"/>
              <wp:wrapNone/>
              <wp:docPr id="1275" name="Textbox 1275"/>
              <wp:cNvGraphicFramePr>
                <a:graphicFrameLocks/>
              </wp:cNvGraphicFramePr>
              <a:graphic>
                <a:graphicData uri="http://schemas.microsoft.com/office/word/2010/wordprocessingShape">
                  <wps:wsp>
                    <wps:cNvPr id="1275" name="Textbox 127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2432" type="#_x0000_t202" id="docshape1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4560">
              <wp:simplePos x="0" y="0"/>
              <wp:positionH relativeFrom="page">
                <wp:posOffset>6278473</wp:posOffset>
              </wp:positionH>
              <wp:positionV relativeFrom="page">
                <wp:posOffset>617496</wp:posOffset>
              </wp:positionV>
              <wp:extent cx="386080" cy="139065"/>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1920" type="#_x0000_t202" id="docshape1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5072">
              <wp:simplePos x="0" y="0"/>
              <wp:positionH relativeFrom="page">
                <wp:posOffset>6278473</wp:posOffset>
              </wp:positionH>
              <wp:positionV relativeFrom="page">
                <wp:posOffset>617496</wp:posOffset>
              </wp:positionV>
              <wp:extent cx="386080" cy="139065"/>
              <wp:effectExtent l="0" t="0" r="0" b="0"/>
              <wp:wrapNone/>
              <wp:docPr id="1310" name="Textbox 1310"/>
              <wp:cNvGraphicFramePr>
                <a:graphicFrameLocks/>
              </wp:cNvGraphicFramePr>
              <a:graphic>
                <a:graphicData uri="http://schemas.microsoft.com/office/word/2010/wordprocessingShape">
                  <wps:wsp>
                    <wps:cNvPr id="1310" name="Textbox 131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1408" type="#_x0000_t202" id="docshape1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7936">
              <wp:simplePos x="0" y="0"/>
              <wp:positionH relativeFrom="page">
                <wp:posOffset>6278473</wp:posOffset>
              </wp:positionH>
              <wp:positionV relativeFrom="page">
                <wp:posOffset>617496</wp:posOffset>
              </wp:positionV>
              <wp:extent cx="347980"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108544"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5584">
              <wp:simplePos x="0" y="0"/>
              <wp:positionH relativeFrom="page">
                <wp:posOffset>6278473</wp:posOffset>
              </wp:positionH>
              <wp:positionV relativeFrom="page">
                <wp:posOffset>617496</wp:posOffset>
              </wp:positionV>
              <wp:extent cx="386080" cy="139065"/>
              <wp:effectExtent l="0" t="0" r="0" b="0"/>
              <wp:wrapNone/>
              <wp:docPr id="1312" name="Textbox 1312"/>
              <wp:cNvGraphicFramePr>
                <a:graphicFrameLocks/>
              </wp:cNvGraphicFramePr>
              <a:graphic>
                <a:graphicData uri="http://schemas.microsoft.com/office/word/2010/wordprocessingShape">
                  <wps:wsp>
                    <wps:cNvPr id="1312" name="Textbox 131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80896" type="#_x0000_t202" id="docshape1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6096">
              <wp:simplePos x="0" y="0"/>
              <wp:positionH relativeFrom="page">
                <wp:posOffset>6278473</wp:posOffset>
              </wp:positionH>
              <wp:positionV relativeFrom="page">
                <wp:posOffset>617496</wp:posOffset>
              </wp:positionV>
              <wp:extent cx="347980" cy="139065"/>
              <wp:effectExtent l="0" t="0" r="0" b="0"/>
              <wp:wrapNone/>
              <wp:docPr id="1317" name="Textbox 1317"/>
              <wp:cNvGraphicFramePr>
                <a:graphicFrameLocks/>
              </wp:cNvGraphicFramePr>
              <a:graphic>
                <a:graphicData uri="http://schemas.microsoft.com/office/word/2010/wordprocessingShape">
                  <wps:wsp>
                    <wps:cNvPr id="1317" name="Textbox 131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4080384" type="#_x0000_t202" id="docshape1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6608">
              <wp:simplePos x="0" y="0"/>
              <wp:positionH relativeFrom="page">
                <wp:posOffset>6278473</wp:posOffset>
              </wp:positionH>
              <wp:positionV relativeFrom="page">
                <wp:posOffset>617496</wp:posOffset>
              </wp:positionV>
              <wp:extent cx="386080" cy="139065"/>
              <wp:effectExtent l="0" t="0" r="0" b="0"/>
              <wp:wrapNone/>
              <wp:docPr id="1323" name="Textbox 1323"/>
              <wp:cNvGraphicFramePr>
                <a:graphicFrameLocks/>
              </wp:cNvGraphicFramePr>
              <a:graphic>
                <a:graphicData uri="http://schemas.microsoft.com/office/word/2010/wordprocessingShape">
                  <wps:wsp>
                    <wps:cNvPr id="1323" name="Textbox 13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79872" type="#_x0000_t202" id="docshape1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7120">
              <wp:simplePos x="0" y="0"/>
              <wp:positionH relativeFrom="page">
                <wp:posOffset>6278473</wp:posOffset>
              </wp:positionH>
              <wp:positionV relativeFrom="page">
                <wp:posOffset>617496</wp:posOffset>
              </wp:positionV>
              <wp:extent cx="386080" cy="139065"/>
              <wp:effectExtent l="0" t="0" r="0" b="0"/>
              <wp:wrapNone/>
              <wp:docPr id="1330" name="Textbox 1330"/>
              <wp:cNvGraphicFramePr>
                <a:graphicFrameLocks/>
              </wp:cNvGraphicFramePr>
              <a:graphic>
                <a:graphicData uri="http://schemas.microsoft.com/office/word/2010/wordprocessingShape">
                  <wps:wsp>
                    <wps:cNvPr id="1330" name="Textbox 13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79360" type="#_x0000_t202" id="docshape1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7632">
              <wp:simplePos x="0" y="0"/>
              <wp:positionH relativeFrom="page">
                <wp:posOffset>6278473</wp:posOffset>
              </wp:positionH>
              <wp:positionV relativeFrom="page">
                <wp:posOffset>617496</wp:posOffset>
              </wp:positionV>
              <wp:extent cx="386080" cy="139065"/>
              <wp:effectExtent l="0" t="0" r="0" b="0"/>
              <wp:wrapNone/>
              <wp:docPr id="1335" name="Textbox 1335"/>
              <wp:cNvGraphicFramePr>
                <a:graphicFrameLocks/>
              </wp:cNvGraphicFramePr>
              <a:graphic>
                <a:graphicData uri="http://schemas.microsoft.com/office/word/2010/wordprocessingShape">
                  <wps:wsp>
                    <wps:cNvPr id="1335" name="Textbox 13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78848" type="#_x0000_t202" id="docshape1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38144">
              <wp:simplePos x="0" y="0"/>
              <wp:positionH relativeFrom="page">
                <wp:posOffset>6278473</wp:posOffset>
              </wp:positionH>
              <wp:positionV relativeFrom="page">
                <wp:posOffset>617496</wp:posOffset>
              </wp:positionV>
              <wp:extent cx="386080" cy="139065"/>
              <wp:effectExtent l="0" t="0" r="0" b="0"/>
              <wp:wrapNone/>
              <wp:docPr id="1337" name="Textbox 1337"/>
              <wp:cNvGraphicFramePr>
                <a:graphicFrameLocks/>
              </wp:cNvGraphicFramePr>
              <a:graphic>
                <a:graphicData uri="http://schemas.microsoft.com/office/word/2010/wordprocessingShape">
                  <wps:wsp>
                    <wps:cNvPr id="1337" name="Textbox 133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078336" type="#_x0000_t202" id="docshape1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8448">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8032"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8960">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7520"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209472">
              <wp:simplePos x="0" y="0"/>
              <wp:positionH relativeFrom="page">
                <wp:posOffset>6278473</wp:posOffset>
              </wp:positionH>
              <wp:positionV relativeFrom="page">
                <wp:posOffset>617496</wp:posOffset>
              </wp:positionV>
              <wp:extent cx="386080" cy="1390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4107008"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07" w:hanging="361"/>
      </w:pPr>
      <w:rPr>
        <w:rFonts w:hint="default"/>
        <w:lang w:val="en-US" w:eastAsia="en-US" w:bidi="ar-SA"/>
      </w:rPr>
    </w:lvl>
    <w:lvl w:ilvl="2">
      <w:start w:val="0"/>
      <w:numFmt w:val="bullet"/>
      <w:lvlText w:val="•"/>
      <w:lvlJc w:val="left"/>
      <w:pPr>
        <w:ind w:left="5134" w:hanging="361"/>
      </w:pPr>
      <w:rPr>
        <w:rFonts w:hint="default"/>
        <w:lang w:val="en-US" w:eastAsia="en-US" w:bidi="ar-SA"/>
      </w:rPr>
    </w:lvl>
    <w:lvl w:ilvl="3">
      <w:start w:val="0"/>
      <w:numFmt w:val="bullet"/>
      <w:lvlText w:val="•"/>
      <w:lvlJc w:val="left"/>
      <w:pPr>
        <w:ind w:left="5661" w:hanging="361"/>
      </w:pPr>
      <w:rPr>
        <w:rFonts w:hint="default"/>
        <w:lang w:val="en-US" w:eastAsia="en-US" w:bidi="ar-SA"/>
      </w:rPr>
    </w:lvl>
    <w:lvl w:ilvl="4">
      <w:start w:val="0"/>
      <w:numFmt w:val="bullet"/>
      <w:lvlText w:val="•"/>
      <w:lvlJc w:val="left"/>
      <w:pPr>
        <w:ind w:left="6188"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242" w:hanging="361"/>
      </w:pPr>
      <w:rPr>
        <w:rFonts w:hint="default"/>
        <w:lang w:val="en-US" w:eastAsia="en-US" w:bidi="ar-SA"/>
      </w:rPr>
    </w:lvl>
    <w:lvl w:ilvl="7">
      <w:start w:val="0"/>
      <w:numFmt w:val="bullet"/>
      <w:lvlText w:val="•"/>
      <w:lvlJc w:val="left"/>
      <w:pPr>
        <w:ind w:left="7769" w:hanging="361"/>
      </w:pPr>
      <w:rPr>
        <w:rFonts w:hint="default"/>
        <w:lang w:val="en-US" w:eastAsia="en-US" w:bidi="ar-SA"/>
      </w:rPr>
    </w:lvl>
    <w:lvl w:ilvl="8">
      <w:start w:val="0"/>
      <w:numFmt w:val="bullet"/>
      <w:lvlText w:val="•"/>
      <w:lvlJc w:val="left"/>
      <w:pPr>
        <w:ind w:left="8296" w:hanging="361"/>
      </w:pPr>
      <w:rPr>
        <w:rFonts w:hint="default"/>
        <w:lang w:val="en-US" w:eastAsia="en-US" w:bidi="ar-SA"/>
      </w:rPr>
    </w:lvl>
  </w:abstractNum>
  <w:abstractNum w:abstractNumId="3">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07" w:hanging="361"/>
      </w:pPr>
      <w:rPr>
        <w:rFonts w:hint="default"/>
        <w:lang w:val="en-US" w:eastAsia="en-US" w:bidi="ar-SA"/>
      </w:rPr>
    </w:lvl>
    <w:lvl w:ilvl="2">
      <w:start w:val="0"/>
      <w:numFmt w:val="bullet"/>
      <w:lvlText w:val="•"/>
      <w:lvlJc w:val="left"/>
      <w:pPr>
        <w:ind w:left="5134" w:hanging="361"/>
      </w:pPr>
      <w:rPr>
        <w:rFonts w:hint="default"/>
        <w:lang w:val="en-US" w:eastAsia="en-US" w:bidi="ar-SA"/>
      </w:rPr>
    </w:lvl>
    <w:lvl w:ilvl="3">
      <w:start w:val="0"/>
      <w:numFmt w:val="bullet"/>
      <w:lvlText w:val="•"/>
      <w:lvlJc w:val="left"/>
      <w:pPr>
        <w:ind w:left="5661" w:hanging="361"/>
      </w:pPr>
      <w:rPr>
        <w:rFonts w:hint="default"/>
        <w:lang w:val="en-US" w:eastAsia="en-US" w:bidi="ar-SA"/>
      </w:rPr>
    </w:lvl>
    <w:lvl w:ilvl="4">
      <w:start w:val="0"/>
      <w:numFmt w:val="bullet"/>
      <w:lvlText w:val="•"/>
      <w:lvlJc w:val="left"/>
      <w:pPr>
        <w:ind w:left="6188"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242" w:hanging="361"/>
      </w:pPr>
      <w:rPr>
        <w:rFonts w:hint="default"/>
        <w:lang w:val="en-US" w:eastAsia="en-US" w:bidi="ar-SA"/>
      </w:rPr>
    </w:lvl>
    <w:lvl w:ilvl="7">
      <w:start w:val="0"/>
      <w:numFmt w:val="bullet"/>
      <w:lvlText w:val="•"/>
      <w:lvlJc w:val="left"/>
      <w:pPr>
        <w:ind w:left="7769" w:hanging="361"/>
      </w:pPr>
      <w:rPr>
        <w:rFonts w:hint="default"/>
        <w:lang w:val="en-US" w:eastAsia="en-US" w:bidi="ar-SA"/>
      </w:rPr>
    </w:lvl>
    <w:lvl w:ilvl="8">
      <w:start w:val="0"/>
      <w:numFmt w:val="bullet"/>
      <w:lvlText w:val="•"/>
      <w:lvlJc w:val="left"/>
      <w:pPr>
        <w:ind w:left="8296" w:hanging="361"/>
      </w:pPr>
      <w:rPr>
        <w:rFonts w:hint="default"/>
        <w:lang w:val="en-US" w:eastAsia="en-US" w:bidi="ar-SA"/>
      </w:rPr>
    </w:lvl>
  </w:abstractNum>
  <w:abstractNum w:abstractNumId="2">
    <w:multiLevelType w:val="hybridMultilevel"/>
    <w:lvl w:ilvl="0">
      <w:start w:val="1"/>
      <w:numFmt w:val="lowerLetter"/>
      <w:lvlText w:val="(%1)"/>
      <w:lvlJc w:val="left"/>
      <w:pPr>
        <w:ind w:left="263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311" w:hanging="361"/>
      </w:pPr>
      <w:rPr>
        <w:rFonts w:hint="default"/>
        <w:lang w:val="en-US" w:eastAsia="en-US" w:bidi="ar-SA"/>
      </w:rPr>
    </w:lvl>
    <w:lvl w:ilvl="2">
      <w:start w:val="0"/>
      <w:numFmt w:val="bullet"/>
      <w:lvlText w:val="•"/>
      <w:lvlJc w:val="left"/>
      <w:pPr>
        <w:ind w:left="3982" w:hanging="361"/>
      </w:pPr>
      <w:rPr>
        <w:rFonts w:hint="default"/>
        <w:lang w:val="en-US" w:eastAsia="en-US" w:bidi="ar-SA"/>
      </w:rPr>
    </w:lvl>
    <w:lvl w:ilvl="3">
      <w:start w:val="0"/>
      <w:numFmt w:val="bullet"/>
      <w:lvlText w:val="•"/>
      <w:lvlJc w:val="left"/>
      <w:pPr>
        <w:ind w:left="4653" w:hanging="361"/>
      </w:pPr>
      <w:rPr>
        <w:rFonts w:hint="default"/>
        <w:lang w:val="en-US" w:eastAsia="en-US" w:bidi="ar-SA"/>
      </w:rPr>
    </w:lvl>
    <w:lvl w:ilvl="4">
      <w:start w:val="0"/>
      <w:numFmt w:val="bullet"/>
      <w:lvlText w:val="•"/>
      <w:lvlJc w:val="left"/>
      <w:pPr>
        <w:ind w:left="5324" w:hanging="361"/>
      </w:pPr>
      <w:rPr>
        <w:rFonts w:hint="default"/>
        <w:lang w:val="en-US" w:eastAsia="en-US" w:bidi="ar-SA"/>
      </w:rPr>
    </w:lvl>
    <w:lvl w:ilvl="5">
      <w:start w:val="0"/>
      <w:numFmt w:val="bullet"/>
      <w:lvlText w:val="•"/>
      <w:lvlJc w:val="left"/>
      <w:pPr>
        <w:ind w:left="5995" w:hanging="361"/>
      </w:pPr>
      <w:rPr>
        <w:rFonts w:hint="default"/>
        <w:lang w:val="en-US" w:eastAsia="en-US" w:bidi="ar-SA"/>
      </w:rPr>
    </w:lvl>
    <w:lvl w:ilvl="6">
      <w:start w:val="0"/>
      <w:numFmt w:val="bullet"/>
      <w:lvlText w:val="•"/>
      <w:lvlJc w:val="left"/>
      <w:pPr>
        <w:ind w:left="6666" w:hanging="361"/>
      </w:pPr>
      <w:rPr>
        <w:rFonts w:hint="default"/>
        <w:lang w:val="en-US" w:eastAsia="en-US" w:bidi="ar-SA"/>
      </w:rPr>
    </w:lvl>
    <w:lvl w:ilvl="7">
      <w:start w:val="0"/>
      <w:numFmt w:val="bullet"/>
      <w:lvlText w:val="•"/>
      <w:lvlJc w:val="left"/>
      <w:pPr>
        <w:ind w:left="7337" w:hanging="361"/>
      </w:pPr>
      <w:rPr>
        <w:rFonts w:hint="default"/>
        <w:lang w:val="en-US" w:eastAsia="en-US" w:bidi="ar-SA"/>
      </w:rPr>
    </w:lvl>
    <w:lvl w:ilvl="8">
      <w:start w:val="0"/>
      <w:numFmt w:val="bullet"/>
      <w:lvlText w:val="•"/>
      <w:lvlJc w:val="left"/>
      <w:pPr>
        <w:ind w:left="8008" w:hanging="361"/>
      </w:pPr>
      <w:rPr>
        <w:rFonts w:hint="default"/>
        <w:lang w:val="en-US" w:eastAsia="en-US" w:bidi="ar-SA"/>
      </w:rPr>
    </w:lvl>
  </w:abstractNum>
  <w:abstractNum w:abstractNumId="12">
    <w:multiLevelType w:val="hybridMultilevel"/>
    <w:lvl w:ilvl="0">
      <w:start w:val="1"/>
      <w:numFmt w:val="lowerRoman"/>
      <w:lvlText w:val="(%1)"/>
      <w:lvlJc w:val="left"/>
      <w:pPr>
        <w:ind w:left="423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51" w:hanging="294"/>
      </w:pPr>
      <w:rPr>
        <w:rFonts w:hint="default"/>
        <w:lang w:val="en-US" w:eastAsia="en-US" w:bidi="ar-SA"/>
      </w:rPr>
    </w:lvl>
    <w:lvl w:ilvl="2">
      <w:start w:val="0"/>
      <w:numFmt w:val="bullet"/>
      <w:lvlText w:val="•"/>
      <w:lvlJc w:val="left"/>
      <w:pPr>
        <w:ind w:left="5262" w:hanging="294"/>
      </w:pPr>
      <w:rPr>
        <w:rFonts w:hint="default"/>
        <w:lang w:val="en-US" w:eastAsia="en-US" w:bidi="ar-SA"/>
      </w:rPr>
    </w:lvl>
    <w:lvl w:ilvl="3">
      <w:start w:val="0"/>
      <w:numFmt w:val="bullet"/>
      <w:lvlText w:val="•"/>
      <w:lvlJc w:val="left"/>
      <w:pPr>
        <w:ind w:left="5773" w:hanging="294"/>
      </w:pPr>
      <w:rPr>
        <w:rFonts w:hint="default"/>
        <w:lang w:val="en-US" w:eastAsia="en-US" w:bidi="ar-SA"/>
      </w:rPr>
    </w:lvl>
    <w:lvl w:ilvl="4">
      <w:start w:val="0"/>
      <w:numFmt w:val="bullet"/>
      <w:lvlText w:val="•"/>
      <w:lvlJc w:val="left"/>
      <w:pPr>
        <w:ind w:left="6284" w:hanging="294"/>
      </w:pPr>
      <w:rPr>
        <w:rFonts w:hint="default"/>
        <w:lang w:val="en-US" w:eastAsia="en-US" w:bidi="ar-SA"/>
      </w:rPr>
    </w:lvl>
    <w:lvl w:ilvl="5">
      <w:start w:val="0"/>
      <w:numFmt w:val="bullet"/>
      <w:lvlText w:val="•"/>
      <w:lvlJc w:val="left"/>
      <w:pPr>
        <w:ind w:left="6795" w:hanging="294"/>
      </w:pPr>
      <w:rPr>
        <w:rFonts w:hint="default"/>
        <w:lang w:val="en-US" w:eastAsia="en-US" w:bidi="ar-SA"/>
      </w:rPr>
    </w:lvl>
    <w:lvl w:ilvl="6">
      <w:start w:val="0"/>
      <w:numFmt w:val="bullet"/>
      <w:lvlText w:val="•"/>
      <w:lvlJc w:val="left"/>
      <w:pPr>
        <w:ind w:left="7306" w:hanging="294"/>
      </w:pPr>
      <w:rPr>
        <w:rFonts w:hint="default"/>
        <w:lang w:val="en-US" w:eastAsia="en-US" w:bidi="ar-SA"/>
      </w:rPr>
    </w:lvl>
    <w:lvl w:ilvl="7">
      <w:start w:val="0"/>
      <w:numFmt w:val="bullet"/>
      <w:lvlText w:val="•"/>
      <w:lvlJc w:val="left"/>
      <w:pPr>
        <w:ind w:left="7817" w:hanging="294"/>
      </w:pPr>
      <w:rPr>
        <w:rFonts w:hint="default"/>
        <w:lang w:val="en-US" w:eastAsia="en-US" w:bidi="ar-SA"/>
      </w:rPr>
    </w:lvl>
    <w:lvl w:ilvl="8">
      <w:start w:val="0"/>
      <w:numFmt w:val="bullet"/>
      <w:lvlText w:val="•"/>
      <w:lvlJc w:val="left"/>
      <w:pPr>
        <w:ind w:left="8328" w:hanging="294"/>
      </w:pPr>
      <w:rPr>
        <w:rFonts w:hint="default"/>
        <w:lang w:val="en-US" w:eastAsia="en-US" w:bidi="ar-SA"/>
      </w:rPr>
    </w:lvl>
  </w:abstractNum>
  <w:abstractNum w:abstractNumId="11">
    <w:multiLevelType w:val="hybridMultilevel"/>
    <w:lvl w:ilvl="0">
      <w:start w:val="5"/>
      <w:numFmt w:val="lowerLetter"/>
      <w:lvlText w:val="(%1)"/>
      <w:lvlJc w:val="left"/>
      <w:pPr>
        <w:ind w:left="308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707" w:hanging="361"/>
      </w:pPr>
      <w:rPr>
        <w:rFonts w:hint="default"/>
        <w:lang w:val="en-US" w:eastAsia="en-US" w:bidi="ar-SA"/>
      </w:rPr>
    </w:lvl>
    <w:lvl w:ilvl="2">
      <w:start w:val="0"/>
      <w:numFmt w:val="bullet"/>
      <w:lvlText w:val="•"/>
      <w:lvlJc w:val="left"/>
      <w:pPr>
        <w:ind w:left="4334" w:hanging="361"/>
      </w:pPr>
      <w:rPr>
        <w:rFonts w:hint="default"/>
        <w:lang w:val="en-US" w:eastAsia="en-US" w:bidi="ar-SA"/>
      </w:rPr>
    </w:lvl>
    <w:lvl w:ilvl="3">
      <w:start w:val="0"/>
      <w:numFmt w:val="bullet"/>
      <w:lvlText w:val="•"/>
      <w:lvlJc w:val="left"/>
      <w:pPr>
        <w:ind w:left="4961" w:hanging="361"/>
      </w:pPr>
      <w:rPr>
        <w:rFonts w:hint="default"/>
        <w:lang w:val="en-US" w:eastAsia="en-US" w:bidi="ar-SA"/>
      </w:rPr>
    </w:lvl>
    <w:lvl w:ilvl="4">
      <w:start w:val="0"/>
      <w:numFmt w:val="bullet"/>
      <w:lvlText w:val="•"/>
      <w:lvlJc w:val="left"/>
      <w:pPr>
        <w:ind w:left="5588" w:hanging="361"/>
      </w:pPr>
      <w:rPr>
        <w:rFonts w:hint="default"/>
        <w:lang w:val="en-US" w:eastAsia="en-US" w:bidi="ar-SA"/>
      </w:rPr>
    </w:lvl>
    <w:lvl w:ilvl="5">
      <w:start w:val="0"/>
      <w:numFmt w:val="bullet"/>
      <w:lvlText w:val="•"/>
      <w:lvlJc w:val="left"/>
      <w:pPr>
        <w:ind w:left="6215" w:hanging="361"/>
      </w:pPr>
      <w:rPr>
        <w:rFonts w:hint="default"/>
        <w:lang w:val="en-US" w:eastAsia="en-US" w:bidi="ar-SA"/>
      </w:rPr>
    </w:lvl>
    <w:lvl w:ilvl="6">
      <w:start w:val="0"/>
      <w:numFmt w:val="bullet"/>
      <w:lvlText w:val="•"/>
      <w:lvlJc w:val="left"/>
      <w:pPr>
        <w:ind w:left="6842" w:hanging="361"/>
      </w:pPr>
      <w:rPr>
        <w:rFonts w:hint="default"/>
        <w:lang w:val="en-US" w:eastAsia="en-US" w:bidi="ar-SA"/>
      </w:rPr>
    </w:lvl>
    <w:lvl w:ilvl="7">
      <w:start w:val="0"/>
      <w:numFmt w:val="bullet"/>
      <w:lvlText w:val="•"/>
      <w:lvlJc w:val="left"/>
      <w:pPr>
        <w:ind w:left="7469" w:hanging="361"/>
      </w:pPr>
      <w:rPr>
        <w:rFonts w:hint="default"/>
        <w:lang w:val="en-US" w:eastAsia="en-US" w:bidi="ar-SA"/>
      </w:rPr>
    </w:lvl>
    <w:lvl w:ilvl="8">
      <w:start w:val="0"/>
      <w:numFmt w:val="bullet"/>
      <w:lvlText w:val="•"/>
      <w:lvlJc w:val="left"/>
      <w:pPr>
        <w:ind w:left="8096" w:hanging="361"/>
      </w:pPr>
      <w:rPr>
        <w:rFonts w:hint="default"/>
        <w:lang w:val="en-US" w:eastAsia="en-US" w:bidi="ar-SA"/>
      </w:rPr>
    </w:lvl>
  </w:abstractNum>
  <w:abstractNum w:abstractNumId="10">
    <w:multiLevelType w:val="hybridMultilevel"/>
    <w:lvl w:ilvl="0">
      <w:start w:val="1"/>
      <w:numFmt w:val="lowerRoman"/>
      <w:lvlText w:val="(%1)"/>
      <w:lvlJc w:val="left"/>
      <w:pPr>
        <w:ind w:left="2251"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969" w:hanging="294"/>
      </w:pPr>
      <w:rPr>
        <w:rFonts w:hint="default"/>
        <w:lang w:val="en-US" w:eastAsia="en-US" w:bidi="ar-SA"/>
      </w:rPr>
    </w:lvl>
    <w:lvl w:ilvl="2">
      <w:start w:val="0"/>
      <w:numFmt w:val="bullet"/>
      <w:lvlText w:val="•"/>
      <w:lvlJc w:val="left"/>
      <w:pPr>
        <w:ind w:left="3678" w:hanging="294"/>
      </w:pPr>
      <w:rPr>
        <w:rFonts w:hint="default"/>
        <w:lang w:val="en-US" w:eastAsia="en-US" w:bidi="ar-SA"/>
      </w:rPr>
    </w:lvl>
    <w:lvl w:ilvl="3">
      <w:start w:val="0"/>
      <w:numFmt w:val="bullet"/>
      <w:lvlText w:val="•"/>
      <w:lvlJc w:val="left"/>
      <w:pPr>
        <w:ind w:left="4387" w:hanging="294"/>
      </w:pPr>
      <w:rPr>
        <w:rFonts w:hint="default"/>
        <w:lang w:val="en-US" w:eastAsia="en-US" w:bidi="ar-SA"/>
      </w:rPr>
    </w:lvl>
    <w:lvl w:ilvl="4">
      <w:start w:val="0"/>
      <w:numFmt w:val="bullet"/>
      <w:lvlText w:val="•"/>
      <w:lvlJc w:val="left"/>
      <w:pPr>
        <w:ind w:left="5096" w:hanging="294"/>
      </w:pPr>
      <w:rPr>
        <w:rFonts w:hint="default"/>
        <w:lang w:val="en-US" w:eastAsia="en-US" w:bidi="ar-SA"/>
      </w:rPr>
    </w:lvl>
    <w:lvl w:ilvl="5">
      <w:start w:val="0"/>
      <w:numFmt w:val="bullet"/>
      <w:lvlText w:val="•"/>
      <w:lvlJc w:val="left"/>
      <w:pPr>
        <w:ind w:left="5805" w:hanging="294"/>
      </w:pPr>
      <w:rPr>
        <w:rFonts w:hint="default"/>
        <w:lang w:val="en-US" w:eastAsia="en-US" w:bidi="ar-SA"/>
      </w:rPr>
    </w:lvl>
    <w:lvl w:ilvl="6">
      <w:start w:val="0"/>
      <w:numFmt w:val="bullet"/>
      <w:lvlText w:val="•"/>
      <w:lvlJc w:val="left"/>
      <w:pPr>
        <w:ind w:left="6514" w:hanging="294"/>
      </w:pPr>
      <w:rPr>
        <w:rFonts w:hint="default"/>
        <w:lang w:val="en-US" w:eastAsia="en-US" w:bidi="ar-SA"/>
      </w:rPr>
    </w:lvl>
    <w:lvl w:ilvl="7">
      <w:start w:val="0"/>
      <w:numFmt w:val="bullet"/>
      <w:lvlText w:val="•"/>
      <w:lvlJc w:val="left"/>
      <w:pPr>
        <w:ind w:left="7223" w:hanging="294"/>
      </w:pPr>
      <w:rPr>
        <w:rFonts w:hint="default"/>
        <w:lang w:val="en-US" w:eastAsia="en-US" w:bidi="ar-SA"/>
      </w:rPr>
    </w:lvl>
    <w:lvl w:ilvl="8">
      <w:start w:val="0"/>
      <w:numFmt w:val="bullet"/>
      <w:lvlText w:val="•"/>
      <w:lvlJc w:val="left"/>
      <w:pPr>
        <w:ind w:left="7932" w:hanging="294"/>
      </w:pPr>
      <w:rPr>
        <w:rFonts w:hint="default"/>
        <w:lang w:val="en-US" w:eastAsia="en-US" w:bidi="ar-SA"/>
      </w:rPr>
    </w:lvl>
  </w:abstractNum>
  <w:abstractNum w:abstractNumId="9">
    <w:multiLevelType w:val="hybridMultilevel"/>
    <w:lvl w:ilvl="0">
      <w:start w:val="4"/>
      <w:numFmt w:val="lowerLetter"/>
      <w:lvlText w:val="(%1)"/>
      <w:lvlJc w:val="left"/>
      <w:pPr>
        <w:ind w:left="3071"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707" w:hanging="374"/>
      </w:pPr>
      <w:rPr>
        <w:rFonts w:hint="default"/>
        <w:lang w:val="en-US" w:eastAsia="en-US" w:bidi="ar-SA"/>
      </w:rPr>
    </w:lvl>
    <w:lvl w:ilvl="2">
      <w:start w:val="0"/>
      <w:numFmt w:val="bullet"/>
      <w:lvlText w:val="•"/>
      <w:lvlJc w:val="left"/>
      <w:pPr>
        <w:ind w:left="4334" w:hanging="374"/>
      </w:pPr>
      <w:rPr>
        <w:rFonts w:hint="default"/>
        <w:lang w:val="en-US" w:eastAsia="en-US" w:bidi="ar-SA"/>
      </w:rPr>
    </w:lvl>
    <w:lvl w:ilvl="3">
      <w:start w:val="0"/>
      <w:numFmt w:val="bullet"/>
      <w:lvlText w:val="•"/>
      <w:lvlJc w:val="left"/>
      <w:pPr>
        <w:ind w:left="4961" w:hanging="374"/>
      </w:pPr>
      <w:rPr>
        <w:rFonts w:hint="default"/>
        <w:lang w:val="en-US" w:eastAsia="en-US" w:bidi="ar-SA"/>
      </w:rPr>
    </w:lvl>
    <w:lvl w:ilvl="4">
      <w:start w:val="0"/>
      <w:numFmt w:val="bullet"/>
      <w:lvlText w:val="•"/>
      <w:lvlJc w:val="left"/>
      <w:pPr>
        <w:ind w:left="5588" w:hanging="374"/>
      </w:pPr>
      <w:rPr>
        <w:rFonts w:hint="default"/>
        <w:lang w:val="en-US" w:eastAsia="en-US" w:bidi="ar-SA"/>
      </w:rPr>
    </w:lvl>
    <w:lvl w:ilvl="5">
      <w:start w:val="0"/>
      <w:numFmt w:val="bullet"/>
      <w:lvlText w:val="•"/>
      <w:lvlJc w:val="left"/>
      <w:pPr>
        <w:ind w:left="6215" w:hanging="374"/>
      </w:pPr>
      <w:rPr>
        <w:rFonts w:hint="default"/>
        <w:lang w:val="en-US" w:eastAsia="en-US" w:bidi="ar-SA"/>
      </w:rPr>
    </w:lvl>
    <w:lvl w:ilvl="6">
      <w:start w:val="0"/>
      <w:numFmt w:val="bullet"/>
      <w:lvlText w:val="•"/>
      <w:lvlJc w:val="left"/>
      <w:pPr>
        <w:ind w:left="6842" w:hanging="374"/>
      </w:pPr>
      <w:rPr>
        <w:rFonts w:hint="default"/>
        <w:lang w:val="en-US" w:eastAsia="en-US" w:bidi="ar-SA"/>
      </w:rPr>
    </w:lvl>
    <w:lvl w:ilvl="7">
      <w:start w:val="0"/>
      <w:numFmt w:val="bullet"/>
      <w:lvlText w:val="•"/>
      <w:lvlJc w:val="left"/>
      <w:pPr>
        <w:ind w:left="7469" w:hanging="374"/>
      </w:pPr>
      <w:rPr>
        <w:rFonts w:hint="default"/>
        <w:lang w:val="en-US" w:eastAsia="en-US" w:bidi="ar-SA"/>
      </w:rPr>
    </w:lvl>
    <w:lvl w:ilvl="8">
      <w:start w:val="0"/>
      <w:numFmt w:val="bullet"/>
      <w:lvlText w:val="•"/>
      <w:lvlJc w:val="left"/>
      <w:pPr>
        <w:ind w:left="8096" w:hanging="374"/>
      </w:pPr>
      <w:rPr>
        <w:rFonts w:hint="default"/>
        <w:lang w:val="en-US" w:eastAsia="en-US" w:bidi="ar-SA"/>
      </w:rPr>
    </w:lvl>
  </w:abstractNum>
  <w:abstractNum w:abstractNumId="8">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07" w:hanging="361"/>
      </w:pPr>
      <w:rPr>
        <w:rFonts w:hint="default"/>
        <w:lang w:val="en-US" w:eastAsia="en-US" w:bidi="ar-SA"/>
      </w:rPr>
    </w:lvl>
    <w:lvl w:ilvl="2">
      <w:start w:val="0"/>
      <w:numFmt w:val="bullet"/>
      <w:lvlText w:val="•"/>
      <w:lvlJc w:val="left"/>
      <w:pPr>
        <w:ind w:left="5134" w:hanging="361"/>
      </w:pPr>
      <w:rPr>
        <w:rFonts w:hint="default"/>
        <w:lang w:val="en-US" w:eastAsia="en-US" w:bidi="ar-SA"/>
      </w:rPr>
    </w:lvl>
    <w:lvl w:ilvl="3">
      <w:start w:val="0"/>
      <w:numFmt w:val="bullet"/>
      <w:lvlText w:val="•"/>
      <w:lvlJc w:val="left"/>
      <w:pPr>
        <w:ind w:left="5661" w:hanging="361"/>
      </w:pPr>
      <w:rPr>
        <w:rFonts w:hint="default"/>
        <w:lang w:val="en-US" w:eastAsia="en-US" w:bidi="ar-SA"/>
      </w:rPr>
    </w:lvl>
    <w:lvl w:ilvl="4">
      <w:start w:val="0"/>
      <w:numFmt w:val="bullet"/>
      <w:lvlText w:val="•"/>
      <w:lvlJc w:val="left"/>
      <w:pPr>
        <w:ind w:left="6188"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242" w:hanging="361"/>
      </w:pPr>
      <w:rPr>
        <w:rFonts w:hint="default"/>
        <w:lang w:val="en-US" w:eastAsia="en-US" w:bidi="ar-SA"/>
      </w:rPr>
    </w:lvl>
    <w:lvl w:ilvl="7">
      <w:start w:val="0"/>
      <w:numFmt w:val="bullet"/>
      <w:lvlText w:val="•"/>
      <w:lvlJc w:val="left"/>
      <w:pPr>
        <w:ind w:left="7769" w:hanging="361"/>
      </w:pPr>
      <w:rPr>
        <w:rFonts w:hint="default"/>
        <w:lang w:val="en-US" w:eastAsia="en-US" w:bidi="ar-SA"/>
      </w:rPr>
    </w:lvl>
    <w:lvl w:ilvl="8">
      <w:start w:val="0"/>
      <w:numFmt w:val="bullet"/>
      <w:lvlText w:val="•"/>
      <w:lvlJc w:val="left"/>
      <w:pPr>
        <w:ind w:left="8296" w:hanging="361"/>
      </w:pPr>
      <w:rPr>
        <w:rFonts w:hint="default"/>
        <w:lang w:val="en-US" w:eastAsia="en-US" w:bidi="ar-SA"/>
      </w:rPr>
    </w:lvl>
  </w:abstractNum>
  <w:abstractNum w:abstractNumId="7">
    <w:multiLevelType w:val="hybridMultilevel"/>
    <w:lvl w:ilvl="0">
      <w:start w:val="1"/>
      <w:numFmt w:val="lowerLetter"/>
      <w:lvlText w:val="(%1)"/>
      <w:lvlJc w:val="left"/>
      <w:pPr>
        <w:ind w:left="397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517" w:hanging="361"/>
      </w:pPr>
      <w:rPr>
        <w:rFonts w:hint="default"/>
        <w:lang w:val="en-US" w:eastAsia="en-US" w:bidi="ar-SA"/>
      </w:rPr>
    </w:lvl>
    <w:lvl w:ilvl="2">
      <w:start w:val="0"/>
      <w:numFmt w:val="bullet"/>
      <w:lvlText w:val="•"/>
      <w:lvlJc w:val="left"/>
      <w:pPr>
        <w:ind w:left="5054" w:hanging="361"/>
      </w:pPr>
      <w:rPr>
        <w:rFonts w:hint="default"/>
        <w:lang w:val="en-US" w:eastAsia="en-US" w:bidi="ar-SA"/>
      </w:rPr>
    </w:lvl>
    <w:lvl w:ilvl="3">
      <w:start w:val="0"/>
      <w:numFmt w:val="bullet"/>
      <w:lvlText w:val="•"/>
      <w:lvlJc w:val="left"/>
      <w:pPr>
        <w:ind w:left="5591" w:hanging="361"/>
      </w:pPr>
      <w:rPr>
        <w:rFonts w:hint="default"/>
        <w:lang w:val="en-US" w:eastAsia="en-US" w:bidi="ar-SA"/>
      </w:rPr>
    </w:lvl>
    <w:lvl w:ilvl="4">
      <w:start w:val="0"/>
      <w:numFmt w:val="bullet"/>
      <w:lvlText w:val="•"/>
      <w:lvlJc w:val="left"/>
      <w:pPr>
        <w:ind w:left="6128" w:hanging="361"/>
      </w:pPr>
      <w:rPr>
        <w:rFonts w:hint="default"/>
        <w:lang w:val="en-US" w:eastAsia="en-US" w:bidi="ar-SA"/>
      </w:rPr>
    </w:lvl>
    <w:lvl w:ilvl="5">
      <w:start w:val="0"/>
      <w:numFmt w:val="bullet"/>
      <w:lvlText w:val="•"/>
      <w:lvlJc w:val="left"/>
      <w:pPr>
        <w:ind w:left="6665" w:hanging="361"/>
      </w:pPr>
      <w:rPr>
        <w:rFonts w:hint="default"/>
        <w:lang w:val="en-US" w:eastAsia="en-US" w:bidi="ar-SA"/>
      </w:rPr>
    </w:lvl>
    <w:lvl w:ilvl="6">
      <w:start w:val="0"/>
      <w:numFmt w:val="bullet"/>
      <w:lvlText w:val="•"/>
      <w:lvlJc w:val="left"/>
      <w:pPr>
        <w:ind w:left="7202" w:hanging="361"/>
      </w:pPr>
      <w:rPr>
        <w:rFonts w:hint="default"/>
        <w:lang w:val="en-US" w:eastAsia="en-US" w:bidi="ar-SA"/>
      </w:rPr>
    </w:lvl>
    <w:lvl w:ilvl="7">
      <w:start w:val="0"/>
      <w:numFmt w:val="bullet"/>
      <w:lvlText w:val="•"/>
      <w:lvlJc w:val="left"/>
      <w:pPr>
        <w:ind w:left="7739" w:hanging="361"/>
      </w:pPr>
      <w:rPr>
        <w:rFonts w:hint="default"/>
        <w:lang w:val="en-US" w:eastAsia="en-US" w:bidi="ar-SA"/>
      </w:rPr>
    </w:lvl>
    <w:lvl w:ilvl="8">
      <w:start w:val="0"/>
      <w:numFmt w:val="bullet"/>
      <w:lvlText w:val="•"/>
      <w:lvlJc w:val="left"/>
      <w:pPr>
        <w:ind w:left="8276" w:hanging="361"/>
      </w:pPr>
      <w:rPr>
        <w:rFonts w:hint="default"/>
        <w:lang w:val="en-US" w:eastAsia="en-US" w:bidi="ar-SA"/>
      </w:rPr>
    </w:lvl>
  </w:abstractNum>
  <w:abstractNum w:abstractNumId="6">
    <w:multiLevelType w:val="hybridMultilevel"/>
    <w:lvl w:ilvl="0">
      <w:start w:val="6"/>
      <w:numFmt w:val="lowerLetter"/>
      <w:lvlText w:val="(%1)"/>
      <w:lvlJc w:val="left"/>
      <w:pPr>
        <w:ind w:left="3445" w:hanging="307"/>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031" w:hanging="307"/>
      </w:pPr>
      <w:rPr>
        <w:rFonts w:hint="default"/>
        <w:lang w:val="en-US" w:eastAsia="en-US" w:bidi="ar-SA"/>
      </w:rPr>
    </w:lvl>
    <w:lvl w:ilvl="2">
      <w:start w:val="0"/>
      <w:numFmt w:val="bullet"/>
      <w:lvlText w:val="•"/>
      <w:lvlJc w:val="left"/>
      <w:pPr>
        <w:ind w:left="4622" w:hanging="307"/>
      </w:pPr>
      <w:rPr>
        <w:rFonts w:hint="default"/>
        <w:lang w:val="en-US" w:eastAsia="en-US" w:bidi="ar-SA"/>
      </w:rPr>
    </w:lvl>
    <w:lvl w:ilvl="3">
      <w:start w:val="0"/>
      <w:numFmt w:val="bullet"/>
      <w:lvlText w:val="•"/>
      <w:lvlJc w:val="left"/>
      <w:pPr>
        <w:ind w:left="5213" w:hanging="307"/>
      </w:pPr>
      <w:rPr>
        <w:rFonts w:hint="default"/>
        <w:lang w:val="en-US" w:eastAsia="en-US" w:bidi="ar-SA"/>
      </w:rPr>
    </w:lvl>
    <w:lvl w:ilvl="4">
      <w:start w:val="0"/>
      <w:numFmt w:val="bullet"/>
      <w:lvlText w:val="•"/>
      <w:lvlJc w:val="left"/>
      <w:pPr>
        <w:ind w:left="5804" w:hanging="307"/>
      </w:pPr>
      <w:rPr>
        <w:rFonts w:hint="default"/>
        <w:lang w:val="en-US" w:eastAsia="en-US" w:bidi="ar-SA"/>
      </w:rPr>
    </w:lvl>
    <w:lvl w:ilvl="5">
      <w:start w:val="0"/>
      <w:numFmt w:val="bullet"/>
      <w:lvlText w:val="•"/>
      <w:lvlJc w:val="left"/>
      <w:pPr>
        <w:ind w:left="6395" w:hanging="307"/>
      </w:pPr>
      <w:rPr>
        <w:rFonts w:hint="default"/>
        <w:lang w:val="en-US" w:eastAsia="en-US" w:bidi="ar-SA"/>
      </w:rPr>
    </w:lvl>
    <w:lvl w:ilvl="6">
      <w:start w:val="0"/>
      <w:numFmt w:val="bullet"/>
      <w:lvlText w:val="•"/>
      <w:lvlJc w:val="left"/>
      <w:pPr>
        <w:ind w:left="6986" w:hanging="307"/>
      </w:pPr>
      <w:rPr>
        <w:rFonts w:hint="default"/>
        <w:lang w:val="en-US" w:eastAsia="en-US" w:bidi="ar-SA"/>
      </w:rPr>
    </w:lvl>
    <w:lvl w:ilvl="7">
      <w:start w:val="0"/>
      <w:numFmt w:val="bullet"/>
      <w:lvlText w:val="•"/>
      <w:lvlJc w:val="left"/>
      <w:pPr>
        <w:ind w:left="7577" w:hanging="307"/>
      </w:pPr>
      <w:rPr>
        <w:rFonts w:hint="default"/>
        <w:lang w:val="en-US" w:eastAsia="en-US" w:bidi="ar-SA"/>
      </w:rPr>
    </w:lvl>
    <w:lvl w:ilvl="8">
      <w:start w:val="0"/>
      <w:numFmt w:val="bullet"/>
      <w:lvlText w:val="•"/>
      <w:lvlJc w:val="left"/>
      <w:pPr>
        <w:ind w:left="8168" w:hanging="307"/>
      </w:pPr>
      <w:rPr>
        <w:rFonts w:hint="default"/>
        <w:lang w:val="en-US" w:eastAsia="en-US" w:bidi="ar-SA"/>
      </w:rPr>
    </w:lvl>
  </w:abstractNum>
  <w:abstractNum w:abstractNumId="5">
    <w:multiLevelType w:val="hybridMultilevel"/>
    <w:lvl w:ilvl="0">
      <w:start w:val="1"/>
      <w:numFmt w:val="lowerLetter"/>
      <w:lvlText w:val="(%1)"/>
      <w:lvlJc w:val="left"/>
      <w:pPr>
        <w:ind w:left="321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833" w:hanging="361"/>
      </w:pPr>
      <w:rPr>
        <w:rFonts w:hint="default"/>
        <w:lang w:val="en-US" w:eastAsia="en-US" w:bidi="ar-SA"/>
      </w:rPr>
    </w:lvl>
    <w:lvl w:ilvl="2">
      <w:start w:val="0"/>
      <w:numFmt w:val="bullet"/>
      <w:lvlText w:val="•"/>
      <w:lvlJc w:val="left"/>
      <w:pPr>
        <w:ind w:left="4446" w:hanging="361"/>
      </w:pPr>
      <w:rPr>
        <w:rFonts w:hint="default"/>
        <w:lang w:val="en-US" w:eastAsia="en-US" w:bidi="ar-SA"/>
      </w:rPr>
    </w:lvl>
    <w:lvl w:ilvl="3">
      <w:start w:val="0"/>
      <w:numFmt w:val="bullet"/>
      <w:lvlText w:val="•"/>
      <w:lvlJc w:val="left"/>
      <w:pPr>
        <w:ind w:left="5059" w:hanging="361"/>
      </w:pPr>
      <w:rPr>
        <w:rFonts w:hint="default"/>
        <w:lang w:val="en-US" w:eastAsia="en-US" w:bidi="ar-SA"/>
      </w:rPr>
    </w:lvl>
    <w:lvl w:ilvl="4">
      <w:start w:val="0"/>
      <w:numFmt w:val="bullet"/>
      <w:lvlText w:val="•"/>
      <w:lvlJc w:val="left"/>
      <w:pPr>
        <w:ind w:left="5672" w:hanging="361"/>
      </w:pPr>
      <w:rPr>
        <w:rFonts w:hint="default"/>
        <w:lang w:val="en-US" w:eastAsia="en-US" w:bidi="ar-SA"/>
      </w:rPr>
    </w:lvl>
    <w:lvl w:ilvl="5">
      <w:start w:val="0"/>
      <w:numFmt w:val="bullet"/>
      <w:lvlText w:val="•"/>
      <w:lvlJc w:val="left"/>
      <w:pPr>
        <w:ind w:left="6285" w:hanging="361"/>
      </w:pPr>
      <w:rPr>
        <w:rFonts w:hint="default"/>
        <w:lang w:val="en-US" w:eastAsia="en-US" w:bidi="ar-SA"/>
      </w:rPr>
    </w:lvl>
    <w:lvl w:ilvl="6">
      <w:start w:val="0"/>
      <w:numFmt w:val="bullet"/>
      <w:lvlText w:val="•"/>
      <w:lvlJc w:val="left"/>
      <w:pPr>
        <w:ind w:left="6898" w:hanging="361"/>
      </w:pPr>
      <w:rPr>
        <w:rFonts w:hint="default"/>
        <w:lang w:val="en-US" w:eastAsia="en-US" w:bidi="ar-SA"/>
      </w:rPr>
    </w:lvl>
    <w:lvl w:ilvl="7">
      <w:start w:val="0"/>
      <w:numFmt w:val="bullet"/>
      <w:lvlText w:val="•"/>
      <w:lvlJc w:val="left"/>
      <w:pPr>
        <w:ind w:left="7511" w:hanging="361"/>
      </w:pPr>
      <w:rPr>
        <w:rFonts w:hint="default"/>
        <w:lang w:val="en-US" w:eastAsia="en-US" w:bidi="ar-SA"/>
      </w:rPr>
    </w:lvl>
    <w:lvl w:ilvl="8">
      <w:start w:val="0"/>
      <w:numFmt w:val="bullet"/>
      <w:lvlText w:val="•"/>
      <w:lvlJc w:val="left"/>
      <w:pPr>
        <w:ind w:left="8124" w:hanging="361"/>
      </w:pPr>
      <w:rPr>
        <w:rFonts w:hint="default"/>
        <w:lang w:val="en-US" w:eastAsia="en-US" w:bidi="ar-SA"/>
      </w:rPr>
    </w:lvl>
  </w:abstractNum>
  <w:abstractNum w:abstractNumId="4">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07" w:hanging="361"/>
      </w:pPr>
      <w:rPr>
        <w:rFonts w:hint="default"/>
        <w:lang w:val="en-US" w:eastAsia="en-US" w:bidi="ar-SA"/>
      </w:rPr>
    </w:lvl>
    <w:lvl w:ilvl="2">
      <w:start w:val="0"/>
      <w:numFmt w:val="bullet"/>
      <w:lvlText w:val="•"/>
      <w:lvlJc w:val="left"/>
      <w:pPr>
        <w:ind w:left="5134" w:hanging="361"/>
      </w:pPr>
      <w:rPr>
        <w:rFonts w:hint="default"/>
        <w:lang w:val="en-US" w:eastAsia="en-US" w:bidi="ar-SA"/>
      </w:rPr>
    </w:lvl>
    <w:lvl w:ilvl="3">
      <w:start w:val="0"/>
      <w:numFmt w:val="bullet"/>
      <w:lvlText w:val="•"/>
      <w:lvlJc w:val="left"/>
      <w:pPr>
        <w:ind w:left="5661" w:hanging="361"/>
      </w:pPr>
      <w:rPr>
        <w:rFonts w:hint="default"/>
        <w:lang w:val="en-US" w:eastAsia="en-US" w:bidi="ar-SA"/>
      </w:rPr>
    </w:lvl>
    <w:lvl w:ilvl="4">
      <w:start w:val="0"/>
      <w:numFmt w:val="bullet"/>
      <w:lvlText w:val="•"/>
      <w:lvlJc w:val="left"/>
      <w:pPr>
        <w:ind w:left="6188"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242" w:hanging="361"/>
      </w:pPr>
      <w:rPr>
        <w:rFonts w:hint="default"/>
        <w:lang w:val="en-US" w:eastAsia="en-US" w:bidi="ar-SA"/>
      </w:rPr>
    </w:lvl>
    <w:lvl w:ilvl="7">
      <w:start w:val="0"/>
      <w:numFmt w:val="bullet"/>
      <w:lvlText w:val="•"/>
      <w:lvlJc w:val="left"/>
      <w:pPr>
        <w:ind w:left="7769" w:hanging="361"/>
      </w:pPr>
      <w:rPr>
        <w:rFonts w:hint="default"/>
        <w:lang w:val="en-US" w:eastAsia="en-US" w:bidi="ar-SA"/>
      </w:rPr>
    </w:lvl>
    <w:lvl w:ilvl="8">
      <w:start w:val="0"/>
      <w:numFmt w:val="bullet"/>
      <w:lvlText w:val="•"/>
      <w:lvlJc w:val="left"/>
      <w:pPr>
        <w:ind w:left="8296" w:hanging="361"/>
      </w:pPr>
      <w:rPr>
        <w:rFonts w:hint="default"/>
        <w:lang w:val="en-US" w:eastAsia="en-US" w:bidi="ar-SA"/>
      </w:rPr>
    </w:lvl>
  </w:abstractNum>
  <w:abstractNum w:abstractNumId="1">
    <w:multiLevelType w:val="hybridMultilevel"/>
    <w:lvl w:ilvl="0">
      <w:start w:val="6"/>
      <w:numFmt w:val="lowerLetter"/>
      <w:lvlText w:val="(%1)"/>
      <w:lvlJc w:val="left"/>
      <w:pPr>
        <w:ind w:left="3558" w:hanging="307"/>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39" w:hanging="307"/>
      </w:pPr>
      <w:rPr>
        <w:rFonts w:hint="default"/>
        <w:lang w:val="en-US" w:eastAsia="en-US" w:bidi="ar-SA"/>
      </w:rPr>
    </w:lvl>
    <w:lvl w:ilvl="2">
      <w:start w:val="0"/>
      <w:numFmt w:val="bullet"/>
      <w:lvlText w:val="•"/>
      <w:lvlJc w:val="left"/>
      <w:pPr>
        <w:ind w:left="4718" w:hanging="307"/>
      </w:pPr>
      <w:rPr>
        <w:rFonts w:hint="default"/>
        <w:lang w:val="en-US" w:eastAsia="en-US" w:bidi="ar-SA"/>
      </w:rPr>
    </w:lvl>
    <w:lvl w:ilvl="3">
      <w:start w:val="0"/>
      <w:numFmt w:val="bullet"/>
      <w:lvlText w:val="•"/>
      <w:lvlJc w:val="left"/>
      <w:pPr>
        <w:ind w:left="5297" w:hanging="307"/>
      </w:pPr>
      <w:rPr>
        <w:rFonts w:hint="default"/>
        <w:lang w:val="en-US" w:eastAsia="en-US" w:bidi="ar-SA"/>
      </w:rPr>
    </w:lvl>
    <w:lvl w:ilvl="4">
      <w:start w:val="0"/>
      <w:numFmt w:val="bullet"/>
      <w:lvlText w:val="•"/>
      <w:lvlJc w:val="left"/>
      <w:pPr>
        <w:ind w:left="5876" w:hanging="307"/>
      </w:pPr>
      <w:rPr>
        <w:rFonts w:hint="default"/>
        <w:lang w:val="en-US" w:eastAsia="en-US" w:bidi="ar-SA"/>
      </w:rPr>
    </w:lvl>
    <w:lvl w:ilvl="5">
      <w:start w:val="0"/>
      <w:numFmt w:val="bullet"/>
      <w:lvlText w:val="•"/>
      <w:lvlJc w:val="left"/>
      <w:pPr>
        <w:ind w:left="6455" w:hanging="307"/>
      </w:pPr>
      <w:rPr>
        <w:rFonts w:hint="default"/>
        <w:lang w:val="en-US" w:eastAsia="en-US" w:bidi="ar-SA"/>
      </w:rPr>
    </w:lvl>
    <w:lvl w:ilvl="6">
      <w:start w:val="0"/>
      <w:numFmt w:val="bullet"/>
      <w:lvlText w:val="•"/>
      <w:lvlJc w:val="left"/>
      <w:pPr>
        <w:ind w:left="7034" w:hanging="307"/>
      </w:pPr>
      <w:rPr>
        <w:rFonts w:hint="default"/>
        <w:lang w:val="en-US" w:eastAsia="en-US" w:bidi="ar-SA"/>
      </w:rPr>
    </w:lvl>
    <w:lvl w:ilvl="7">
      <w:start w:val="0"/>
      <w:numFmt w:val="bullet"/>
      <w:lvlText w:val="•"/>
      <w:lvlJc w:val="left"/>
      <w:pPr>
        <w:ind w:left="7613" w:hanging="307"/>
      </w:pPr>
      <w:rPr>
        <w:rFonts w:hint="default"/>
        <w:lang w:val="en-US" w:eastAsia="en-US" w:bidi="ar-SA"/>
      </w:rPr>
    </w:lvl>
    <w:lvl w:ilvl="8">
      <w:start w:val="0"/>
      <w:numFmt w:val="bullet"/>
      <w:lvlText w:val="•"/>
      <w:lvlJc w:val="left"/>
      <w:pPr>
        <w:ind w:left="8192" w:hanging="307"/>
      </w:pPr>
      <w:rPr>
        <w:rFonts w:hint="default"/>
        <w:lang w:val="en-US" w:eastAsia="en-US" w:bidi="ar-SA"/>
      </w:rPr>
    </w:lvl>
  </w:abstractNum>
  <w:abstractNum w:abstractNumId="0">
    <w:multiLevelType w:val="hybridMultilevel"/>
    <w:lvl w:ilvl="0">
      <w:start w:val="1"/>
      <w:numFmt w:val="lowerLetter"/>
      <w:lvlText w:val="(%1)"/>
      <w:lvlJc w:val="left"/>
      <w:pPr>
        <w:ind w:left="1970" w:hanging="246"/>
        <w:jc w:val="right"/>
      </w:pPr>
      <w:rPr>
        <w:rFonts w:hint="default"/>
        <w:spacing w:val="0"/>
        <w:w w:val="99"/>
        <w:lang w:val="en-US" w:eastAsia="en-US" w:bidi="ar-SA"/>
      </w:rPr>
    </w:lvl>
    <w:lvl w:ilvl="1">
      <w:start w:val="0"/>
      <w:numFmt w:val="bullet"/>
      <w:lvlText w:val="•"/>
      <w:lvlJc w:val="left"/>
      <w:pPr>
        <w:ind w:left="2717" w:hanging="246"/>
      </w:pPr>
      <w:rPr>
        <w:rFonts w:hint="default"/>
        <w:lang w:val="en-US" w:eastAsia="en-US" w:bidi="ar-SA"/>
      </w:rPr>
    </w:lvl>
    <w:lvl w:ilvl="2">
      <w:start w:val="0"/>
      <w:numFmt w:val="bullet"/>
      <w:lvlText w:val="•"/>
      <w:lvlJc w:val="left"/>
      <w:pPr>
        <w:ind w:left="3454" w:hanging="246"/>
      </w:pPr>
      <w:rPr>
        <w:rFonts w:hint="default"/>
        <w:lang w:val="en-US" w:eastAsia="en-US" w:bidi="ar-SA"/>
      </w:rPr>
    </w:lvl>
    <w:lvl w:ilvl="3">
      <w:start w:val="0"/>
      <w:numFmt w:val="bullet"/>
      <w:lvlText w:val="•"/>
      <w:lvlJc w:val="left"/>
      <w:pPr>
        <w:ind w:left="4191" w:hanging="246"/>
      </w:pPr>
      <w:rPr>
        <w:rFonts w:hint="default"/>
        <w:lang w:val="en-US" w:eastAsia="en-US" w:bidi="ar-SA"/>
      </w:rPr>
    </w:lvl>
    <w:lvl w:ilvl="4">
      <w:start w:val="0"/>
      <w:numFmt w:val="bullet"/>
      <w:lvlText w:val="•"/>
      <w:lvlJc w:val="left"/>
      <w:pPr>
        <w:ind w:left="4928" w:hanging="246"/>
      </w:pPr>
      <w:rPr>
        <w:rFonts w:hint="default"/>
        <w:lang w:val="en-US" w:eastAsia="en-US" w:bidi="ar-SA"/>
      </w:rPr>
    </w:lvl>
    <w:lvl w:ilvl="5">
      <w:start w:val="0"/>
      <w:numFmt w:val="bullet"/>
      <w:lvlText w:val="•"/>
      <w:lvlJc w:val="left"/>
      <w:pPr>
        <w:ind w:left="5665" w:hanging="246"/>
      </w:pPr>
      <w:rPr>
        <w:rFonts w:hint="default"/>
        <w:lang w:val="en-US" w:eastAsia="en-US" w:bidi="ar-SA"/>
      </w:rPr>
    </w:lvl>
    <w:lvl w:ilvl="6">
      <w:start w:val="0"/>
      <w:numFmt w:val="bullet"/>
      <w:lvlText w:val="•"/>
      <w:lvlJc w:val="left"/>
      <w:pPr>
        <w:ind w:left="6402" w:hanging="246"/>
      </w:pPr>
      <w:rPr>
        <w:rFonts w:hint="default"/>
        <w:lang w:val="en-US" w:eastAsia="en-US" w:bidi="ar-SA"/>
      </w:rPr>
    </w:lvl>
    <w:lvl w:ilvl="7">
      <w:start w:val="0"/>
      <w:numFmt w:val="bullet"/>
      <w:lvlText w:val="•"/>
      <w:lvlJc w:val="left"/>
      <w:pPr>
        <w:ind w:left="7139" w:hanging="246"/>
      </w:pPr>
      <w:rPr>
        <w:rFonts w:hint="default"/>
        <w:lang w:val="en-US" w:eastAsia="en-US" w:bidi="ar-SA"/>
      </w:rPr>
    </w:lvl>
    <w:lvl w:ilvl="8">
      <w:start w:val="0"/>
      <w:numFmt w:val="bullet"/>
      <w:lvlText w:val="•"/>
      <w:lvlJc w:val="left"/>
      <w:pPr>
        <w:ind w:left="7876" w:hanging="246"/>
      </w:pPr>
      <w:rPr>
        <w:rFonts w:hint="default"/>
        <w:lang w:val="en-US" w:eastAsia="en-US" w:bidi="ar-SA"/>
      </w:rPr>
    </w:lvl>
  </w:abstractNum>
  <w:num w:numId="14">
    <w:abstractNumId w:val="13"/>
  </w:num>
  <w:num w:numId="4">
    <w:abstractNumId w:val="3"/>
  </w:num>
  <w:num w:numId="3">
    <w:abstractNumId w:val="2"/>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94"/>
      <w:ind w:left="4078" w:hanging="373"/>
    </w:pPr>
    <w:rPr>
      <w:rFonts w:ascii="Arial" w:hAnsi="Arial" w:eastAsia="Arial" w:cs="Arial"/>
      <w:lang w:val="en-US" w:eastAsia="en-US" w:bidi="ar-SA"/>
    </w:rPr>
  </w:style>
  <w:style w:styleId="TableParagraph" w:type="paragraph">
    <w:name w:val="Table Paragraph"/>
    <w:basedOn w:val="Normal"/>
    <w:uiPriority w:val="1"/>
    <w:qFormat/>
    <w:pPr>
      <w:spacing w:before="121"/>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image" Target="media/image2.jpeg"/><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header" Target="header39.xml"/><Relationship Id="rId46" Type="http://schemas.openxmlformats.org/officeDocument/2006/relationships/header" Target="header40.xml"/><Relationship Id="rId47" Type="http://schemas.openxmlformats.org/officeDocument/2006/relationships/header" Target="header41.xml"/><Relationship Id="rId48" Type="http://schemas.openxmlformats.org/officeDocument/2006/relationships/header" Target="header42.xml"/><Relationship Id="rId49" Type="http://schemas.openxmlformats.org/officeDocument/2006/relationships/header" Target="header43.xml"/><Relationship Id="rId50" Type="http://schemas.openxmlformats.org/officeDocument/2006/relationships/header" Target="header44.xml"/><Relationship Id="rId51" Type="http://schemas.openxmlformats.org/officeDocument/2006/relationships/header" Target="header45.xml"/><Relationship Id="rId52" Type="http://schemas.openxmlformats.org/officeDocument/2006/relationships/header" Target="header46.xml"/><Relationship Id="rId53" Type="http://schemas.openxmlformats.org/officeDocument/2006/relationships/header" Target="header47.xml"/><Relationship Id="rId54" Type="http://schemas.openxmlformats.org/officeDocument/2006/relationships/header" Target="header48.xml"/><Relationship Id="rId55" Type="http://schemas.openxmlformats.org/officeDocument/2006/relationships/header" Target="header49.xml"/><Relationship Id="rId56" Type="http://schemas.openxmlformats.org/officeDocument/2006/relationships/header" Target="header50.xml"/><Relationship Id="rId57" Type="http://schemas.openxmlformats.org/officeDocument/2006/relationships/header" Target="header51.xml"/><Relationship Id="rId58" Type="http://schemas.openxmlformats.org/officeDocument/2006/relationships/header" Target="header52.xml"/><Relationship Id="rId59" Type="http://schemas.openxmlformats.org/officeDocument/2006/relationships/header" Target="header53.xml"/><Relationship Id="rId60" Type="http://schemas.openxmlformats.org/officeDocument/2006/relationships/header" Target="header54.xml"/><Relationship Id="rId61" Type="http://schemas.openxmlformats.org/officeDocument/2006/relationships/header" Target="header55.xml"/><Relationship Id="rId62" Type="http://schemas.openxmlformats.org/officeDocument/2006/relationships/header" Target="header56.xml"/><Relationship Id="rId63" Type="http://schemas.openxmlformats.org/officeDocument/2006/relationships/header" Target="header57.xml"/><Relationship Id="rId64" Type="http://schemas.openxmlformats.org/officeDocument/2006/relationships/header" Target="header58.xml"/><Relationship Id="rId65" Type="http://schemas.openxmlformats.org/officeDocument/2006/relationships/header" Target="header59.xml"/><Relationship Id="rId66" Type="http://schemas.openxmlformats.org/officeDocument/2006/relationships/header" Target="header60.xml"/><Relationship Id="rId67" Type="http://schemas.openxmlformats.org/officeDocument/2006/relationships/header" Target="header61.xml"/><Relationship Id="rId68" Type="http://schemas.openxmlformats.org/officeDocument/2006/relationships/header" Target="header62.xml"/><Relationship Id="rId69" Type="http://schemas.openxmlformats.org/officeDocument/2006/relationships/header" Target="header63.xml"/><Relationship Id="rId70" Type="http://schemas.openxmlformats.org/officeDocument/2006/relationships/header" Target="header64.xml"/><Relationship Id="rId71" Type="http://schemas.openxmlformats.org/officeDocument/2006/relationships/header" Target="header65.xml"/><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2025-03-18T07:59:11Z</dcterms:created>
  <dcterms:modified xsi:type="dcterms:W3CDTF">2025-03-18T07:59:11Z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